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B47F2" w14:textId="77777777" w:rsidR="00F76A63" w:rsidRDefault="00F76A63">
      <w:pPr>
        <w:rPr>
          <w:sz w:val="36"/>
          <w:szCs w:val="36"/>
        </w:rPr>
      </w:pPr>
      <w:bookmarkStart w:id="0" w:name="_Hlk204759638"/>
    </w:p>
    <w:p w14:paraId="68F41B2E" w14:textId="77777777" w:rsidR="00F76A63" w:rsidRDefault="00F76A63">
      <w:pPr>
        <w:rPr>
          <w:sz w:val="36"/>
          <w:szCs w:val="36"/>
        </w:rPr>
      </w:pPr>
    </w:p>
    <w:p w14:paraId="77C39A49" w14:textId="77777777" w:rsidR="00F76A63" w:rsidRDefault="00F76A63">
      <w:pPr>
        <w:rPr>
          <w:sz w:val="36"/>
          <w:szCs w:val="36"/>
        </w:rPr>
      </w:pPr>
    </w:p>
    <w:p w14:paraId="2602D5E9" w14:textId="77777777" w:rsidR="00F76A63" w:rsidRDefault="00F76A63">
      <w:pPr>
        <w:rPr>
          <w:sz w:val="36"/>
          <w:szCs w:val="36"/>
        </w:rPr>
      </w:pPr>
    </w:p>
    <w:p w14:paraId="55D51AFE" w14:textId="77777777" w:rsidR="00F76A63" w:rsidRDefault="00F76A63">
      <w:pPr>
        <w:rPr>
          <w:sz w:val="36"/>
          <w:szCs w:val="36"/>
        </w:rPr>
      </w:pPr>
    </w:p>
    <w:p w14:paraId="6B7969D2" w14:textId="77777777" w:rsidR="00F76A63" w:rsidRDefault="00000000">
      <w:pPr>
        <w:adjustRightInd w:val="0"/>
        <w:snapToGrid w:val="0"/>
        <w:jc w:val="center"/>
        <w:outlineLvl w:val="0"/>
        <w:rPr>
          <w:bCs/>
          <w:sz w:val="72"/>
          <w:szCs w:val="72"/>
        </w:rPr>
      </w:pPr>
      <w:r>
        <w:rPr>
          <w:bCs/>
          <w:sz w:val="72"/>
          <w:szCs w:val="72"/>
        </w:rPr>
        <w:t>建设项目环境影响报告表</w:t>
      </w:r>
    </w:p>
    <w:p w14:paraId="2BDD9E8B" w14:textId="77777777" w:rsidR="00F76A63" w:rsidRDefault="00000000">
      <w:pPr>
        <w:adjustRightInd w:val="0"/>
        <w:snapToGrid w:val="0"/>
        <w:spacing w:beforeLines="80" w:before="192"/>
        <w:jc w:val="center"/>
        <w:rPr>
          <w:bCs/>
          <w:sz w:val="48"/>
          <w:szCs w:val="48"/>
        </w:rPr>
      </w:pPr>
      <w:r>
        <w:rPr>
          <w:bCs/>
          <w:sz w:val="48"/>
          <w:szCs w:val="48"/>
        </w:rPr>
        <w:t>（污染影响类）</w:t>
      </w:r>
    </w:p>
    <w:p w14:paraId="7017FAB5" w14:textId="77777777" w:rsidR="00F76A63" w:rsidRDefault="00F76A63"/>
    <w:p w14:paraId="62F9E524" w14:textId="77777777" w:rsidR="00F76A63" w:rsidRDefault="00F76A63">
      <w:pPr>
        <w:jc w:val="center"/>
        <w:rPr>
          <w:sz w:val="52"/>
          <w:szCs w:val="52"/>
        </w:rPr>
      </w:pPr>
    </w:p>
    <w:p w14:paraId="27D88BCB" w14:textId="77777777" w:rsidR="00F76A63" w:rsidRDefault="00F76A63">
      <w:pPr>
        <w:ind w:firstLine="1040"/>
        <w:rPr>
          <w:sz w:val="44"/>
          <w:szCs w:val="44"/>
        </w:rPr>
      </w:pPr>
    </w:p>
    <w:p w14:paraId="3977ABEF" w14:textId="77777777" w:rsidR="00F76A63" w:rsidRDefault="00F76A63">
      <w:pPr>
        <w:ind w:firstLine="1040"/>
        <w:rPr>
          <w:sz w:val="44"/>
          <w:szCs w:val="44"/>
        </w:rPr>
      </w:pPr>
    </w:p>
    <w:p w14:paraId="3F0BCAB6" w14:textId="77777777" w:rsidR="00F76A63" w:rsidRDefault="00000000">
      <w:pPr>
        <w:adjustRightInd w:val="0"/>
        <w:snapToGrid w:val="0"/>
        <w:spacing w:line="288" w:lineRule="auto"/>
        <w:ind w:leftChars="500" w:left="2850" w:hangingChars="500" w:hanging="1800"/>
        <w:rPr>
          <w:bCs/>
          <w:sz w:val="36"/>
          <w:szCs w:val="36"/>
          <w:u w:val="single"/>
        </w:rPr>
      </w:pPr>
      <w:r>
        <w:rPr>
          <w:sz w:val="36"/>
          <w:szCs w:val="36"/>
        </w:rPr>
        <w:t>项目名称：</w:t>
      </w:r>
      <w:bookmarkStart w:id="1" w:name="OLE_LINK15"/>
      <w:r>
        <w:rPr>
          <w:bCs/>
          <w:sz w:val="36"/>
          <w:szCs w:val="36"/>
        </w:rPr>
        <w:t>替</w:t>
      </w:r>
      <w:r>
        <w:rPr>
          <w:bCs/>
          <w:sz w:val="36"/>
          <w:szCs w:val="36"/>
          <w:u w:val="single"/>
        </w:rPr>
        <w:t>代燃料节能减排项目（二期）</w:t>
      </w:r>
      <w:bookmarkEnd w:id="1"/>
    </w:p>
    <w:p w14:paraId="426C8E9F" w14:textId="77777777" w:rsidR="00F76A63" w:rsidRDefault="00000000">
      <w:pPr>
        <w:adjustRightInd w:val="0"/>
        <w:snapToGrid w:val="0"/>
        <w:spacing w:line="288" w:lineRule="auto"/>
        <w:ind w:firstLine="1040"/>
        <w:rPr>
          <w:bCs/>
          <w:sz w:val="36"/>
          <w:szCs w:val="36"/>
          <w:u w:val="single"/>
        </w:rPr>
      </w:pPr>
      <w:r>
        <w:rPr>
          <w:sz w:val="36"/>
          <w:szCs w:val="36"/>
        </w:rPr>
        <w:t>建设单位（盖章）：</w:t>
      </w:r>
      <w:r>
        <w:rPr>
          <w:sz w:val="36"/>
          <w:szCs w:val="36"/>
          <w:u w:val="single"/>
        </w:rPr>
        <w:t xml:space="preserve">   </w:t>
      </w:r>
      <w:bookmarkStart w:id="2" w:name="_Hlk206094200"/>
      <w:bookmarkStart w:id="3" w:name="OLE_LINK55"/>
      <w:r>
        <w:rPr>
          <w:bCs/>
          <w:sz w:val="36"/>
          <w:szCs w:val="36"/>
          <w:u w:val="single"/>
        </w:rPr>
        <w:t>句容台泥水泥有限公司</w:t>
      </w:r>
      <w:bookmarkEnd w:id="2"/>
      <w:bookmarkEnd w:id="3"/>
      <w:r>
        <w:rPr>
          <w:bCs/>
          <w:sz w:val="36"/>
          <w:szCs w:val="36"/>
          <w:u w:val="single"/>
        </w:rPr>
        <w:t xml:space="preserve">   </w:t>
      </w:r>
    </w:p>
    <w:p w14:paraId="59A82FD2" w14:textId="77777777" w:rsidR="00F76A63" w:rsidRDefault="00000000">
      <w:pPr>
        <w:adjustRightInd w:val="0"/>
        <w:snapToGrid w:val="0"/>
        <w:spacing w:line="288" w:lineRule="auto"/>
        <w:ind w:firstLine="1040"/>
        <w:rPr>
          <w:sz w:val="36"/>
          <w:szCs w:val="36"/>
          <w:u w:val="single"/>
        </w:rPr>
      </w:pPr>
      <w:r>
        <w:rPr>
          <w:sz w:val="36"/>
          <w:szCs w:val="36"/>
        </w:rPr>
        <w:t>编制日期：</w:t>
      </w:r>
      <w:r>
        <w:rPr>
          <w:sz w:val="36"/>
          <w:szCs w:val="36"/>
          <w:u w:val="single"/>
        </w:rPr>
        <w:t xml:space="preserve">        2026</w:t>
      </w:r>
      <w:r>
        <w:rPr>
          <w:sz w:val="36"/>
          <w:szCs w:val="36"/>
          <w:u w:val="single"/>
        </w:rPr>
        <w:t>年</w:t>
      </w:r>
      <w:r>
        <w:rPr>
          <w:rFonts w:hint="eastAsia"/>
          <w:sz w:val="36"/>
          <w:szCs w:val="36"/>
          <w:u w:val="single"/>
        </w:rPr>
        <w:t>7</w:t>
      </w:r>
      <w:r>
        <w:rPr>
          <w:sz w:val="36"/>
          <w:szCs w:val="36"/>
          <w:u w:val="single"/>
        </w:rPr>
        <w:t>月</w:t>
      </w:r>
      <w:r>
        <w:rPr>
          <w:sz w:val="36"/>
          <w:szCs w:val="36"/>
          <w:u w:val="single"/>
        </w:rPr>
        <w:t xml:space="preserve">               </w:t>
      </w:r>
    </w:p>
    <w:p w14:paraId="243F5EC3" w14:textId="77777777" w:rsidR="00F76A63" w:rsidRDefault="00F76A63">
      <w:pPr>
        <w:adjustRightInd w:val="0"/>
        <w:snapToGrid w:val="0"/>
        <w:spacing w:line="288" w:lineRule="auto"/>
        <w:ind w:firstLine="1040"/>
        <w:rPr>
          <w:sz w:val="36"/>
          <w:szCs w:val="36"/>
          <w:u w:val="single"/>
        </w:rPr>
      </w:pPr>
      <w:bookmarkStart w:id="4" w:name="_Hlk57884087"/>
    </w:p>
    <w:p w14:paraId="2E231FA7" w14:textId="77777777" w:rsidR="00F76A63" w:rsidRDefault="00F76A63">
      <w:pPr>
        <w:adjustRightInd w:val="0"/>
        <w:snapToGrid w:val="0"/>
        <w:spacing w:line="288" w:lineRule="auto"/>
        <w:ind w:firstLine="1040"/>
        <w:rPr>
          <w:sz w:val="36"/>
          <w:szCs w:val="36"/>
        </w:rPr>
      </w:pPr>
    </w:p>
    <w:p w14:paraId="14822815" w14:textId="77777777" w:rsidR="00F76A63" w:rsidRDefault="00F76A63">
      <w:pPr>
        <w:adjustRightInd w:val="0"/>
        <w:snapToGrid w:val="0"/>
        <w:spacing w:line="288" w:lineRule="auto"/>
        <w:ind w:firstLine="1040"/>
        <w:rPr>
          <w:sz w:val="36"/>
          <w:szCs w:val="36"/>
          <w:u w:val="single"/>
        </w:rPr>
      </w:pPr>
    </w:p>
    <w:p w14:paraId="60485C02" w14:textId="77777777" w:rsidR="00F76A63" w:rsidRDefault="00F76A63">
      <w:pPr>
        <w:adjustRightInd w:val="0"/>
        <w:snapToGrid w:val="0"/>
        <w:spacing w:line="288" w:lineRule="auto"/>
        <w:ind w:firstLine="1040"/>
        <w:rPr>
          <w:sz w:val="36"/>
          <w:szCs w:val="36"/>
        </w:rPr>
      </w:pPr>
    </w:p>
    <w:p w14:paraId="52FEA346" w14:textId="77777777" w:rsidR="00F76A63" w:rsidRDefault="00F76A63">
      <w:pPr>
        <w:adjustRightInd w:val="0"/>
        <w:snapToGrid w:val="0"/>
        <w:spacing w:line="288" w:lineRule="auto"/>
        <w:ind w:firstLine="1040"/>
        <w:rPr>
          <w:sz w:val="36"/>
          <w:szCs w:val="36"/>
        </w:rPr>
      </w:pPr>
    </w:p>
    <w:p w14:paraId="0DCA9983" w14:textId="77777777" w:rsidR="00F76A63" w:rsidRDefault="00F76A63">
      <w:pPr>
        <w:adjustRightInd w:val="0"/>
        <w:snapToGrid w:val="0"/>
        <w:spacing w:line="288" w:lineRule="auto"/>
        <w:ind w:firstLine="1040"/>
        <w:rPr>
          <w:sz w:val="36"/>
          <w:szCs w:val="36"/>
        </w:rPr>
      </w:pPr>
    </w:p>
    <w:p w14:paraId="306FEB57" w14:textId="77777777" w:rsidR="00F76A63" w:rsidRDefault="00F76A63">
      <w:pPr>
        <w:adjustRightInd w:val="0"/>
        <w:snapToGrid w:val="0"/>
        <w:spacing w:line="288" w:lineRule="auto"/>
        <w:ind w:firstLine="1040"/>
        <w:rPr>
          <w:sz w:val="36"/>
          <w:szCs w:val="36"/>
        </w:rPr>
      </w:pPr>
    </w:p>
    <w:p w14:paraId="50A43DA6" w14:textId="77777777" w:rsidR="00F76A63" w:rsidRDefault="00F76A63">
      <w:pPr>
        <w:adjustRightInd w:val="0"/>
        <w:snapToGrid w:val="0"/>
        <w:spacing w:line="288" w:lineRule="auto"/>
        <w:ind w:firstLine="1040"/>
        <w:rPr>
          <w:sz w:val="36"/>
          <w:szCs w:val="36"/>
        </w:rPr>
      </w:pPr>
    </w:p>
    <w:p w14:paraId="47DDE95D" w14:textId="77777777" w:rsidR="00F76A63" w:rsidRDefault="00F76A63">
      <w:pPr>
        <w:adjustRightInd w:val="0"/>
        <w:snapToGrid w:val="0"/>
        <w:spacing w:line="288" w:lineRule="auto"/>
        <w:ind w:firstLine="1040"/>
        <w:jc w:val="center"/>
        <w:rPr>
          <w:sz w:val="36"/>
          <w:szCs w:val="36"/>
        </w:rPr>
      </w:pPr>
    </w:p>
    <w:bookmarkEnd w:id="4"/>
    <w:p w14:paraId="274E6962" w14:textId="77777777" w:rsidR="00F76A63" w:rsidRDefault="00000000">
      <w:pPr>
        <w:adjustRightInd w:val="0"/>
        <w:snapToGrid w:val="0"/>
        <w:spacing w:line="288" w:lineRule="auto"/>
        <w:jc w:val="center"/>
        <w:rPr>
          <w:sz w:val="36"/>
          <w:szCs w:val="36"/>
        </w:rPr>
        <w:sectPr w:rsidR="00F76A63">
          <w:footerReference w:type="even" r:id="rId9"/>
          <w:footerReference w:type="default" r:id="rId10"/>
          <w:pgSz w:w="11906" w:h="16838"/>
          <w:pgMar w:top="1701" w:right="1531" w:bottom="1701" w:left="1531" w:header="851" w:footer="1077" w:gutter="0"/>
          <w:pgNumType w:start="3"/>
          <w:cols w:space="720"/>
          <w:titlePg/>
          <w:docGrid w:linePitch="312"/>
        </w:sectPr>
      </w:pPr>
      <w:r>
        <w:rPr>
          <w:sz w:val="36"/>
          <w:szCs w:val="36"/>
        </w:rPr>
        <w:t>中华人民共和国生态环境部制</w:t>
      </w:r>
    </w:p>
    <w:p w14:paraId="062D8ADA" w14:textId="77777777" w:rsidR="00F76A63" w:rsidRDefault="00000000">
      <w:pPr>
        <w:pStyle w:val="afc"/>
        <w:spacing w:after="0" w:line="500" w:lineRule="exact"/>
        <w:rPr>
          <w:b/>
          <w:bCs/>
          <w:sz w:val="24"/>
          <w:szCs w:val="32"/>
        </w:rPr>
      </w:pPr>
      <w:r>
        <w:rPr>
          <w:b/>
          <w:bCs/>
          <w:sz w:val="24"/>
          <w:szCs w:val="32"/>
        </w:rPr>
        <w:lastRenderedPageBreak/>
        <w:t>附图</w:t>
      </w:r>
    </w:p>
    <w:p w14:paraId="1C349428" w14:textId="77777777" w:rsidR="00F76A63" w:rsidRDefault="00000000">
      <w:pPr>
        <w:pStyle w:val="afc"/>
        <w:spacing w:after="0" w:line="500" w:lineRule="exact"/>
        <w:rPr>
          <w:sz w:val="24"/>
          <w:szCs w:val="32"/>
        </w:rPr>
      </w:pPr>
      <w:r>
        <w:rPr>
          <w:sz w:val="24"/>
          <w:szCs w:val="32"/>
        </w:rPr>
        <w:t>附图</w:t>
      </w:r>
      <w:r>
        <w:rPr>
          <w:sz w:val="24"/>
          <w:szCs w:val="32"/>
        </w:rPr>
        <w:t xml:space="preserve">1 </w:t>
      </w:r>
      <w:r>
        <w:rPr>
          <w:sz w:val="24"/>
          <w:szCs w:val="32"/>
        </w:rPr>
        <w:t>本项目地理位置图</w:t>
      </w:r>
    </w:p>
    <w:p w14:paraId="28247689" w14:textId="77777777" w:rsidR="00F76A63" w:rsidRDefault="00000000">
      <w:pPr>
        <w:pStyle w:val="afc"/>
        <w:spacing w:after="0" w:line="500" w:lineRule="exact"/>
        <w:rPr>
          <w:sz w:val="24"/>
          <w:szCs w:val="32"/>
        </w:rPr>
      </w:pPr>
      <w:r>
        <w:rPr>
          <w:sz w:val="24"/>
          <w:szCs w:val="32"/>
        </w:rPr>
        <w:t>附图</w:t>
      </w:r>
      <w:r>
        <w:rPr>
          <w:sz w:val="24"/>
          <w:szCs w:val="32"/>
        </w:rPr>
        <w:t xml:space="preserve">2 </w:t>
      </w:r>
      <w:r>
        <w:rPr>
          <w:sz w:val="24"/>
          <w:szCs w:val="32"/>
        </w:rPr>
        <w:t>本项目平面布置图</w:t>
      </w:r>
    </w:p>
    <w:p w14:paraId="19E41B7F" w14:textId="77777777" w:rsidR="00F76A63" w:rsidRDefault="00000000">
      <w:pPr>
        <w:pStyle w:val="afc"/>
        <w:spacing w:after="0" w:line="500" w:lineRule="exact"/>
        <w:rPr>
          <w:sz w:val="24"/>
          <w:szCs w:val="32"/>
        </w:rPr>
      </w:pPr>
      <w:r>
        <w:rPr>
          <w:sz w:val="24"/>
          <w:szCs w:val="32"/>
        </w:rPr>
        <w:t>附图</w:t>
      </w:r>
      <w:r>
        <w:rPr>
          <w:sz w:val="24"/>
          <w:szCs w:val="32"/>
        </w:rPr>
        <w:t xml:space="preserve">3 </w:t>
      </w:r>
      <w:r>
        <w:rPr>
          <w:sz w:val="24"/>
          <w:szCs w:val="32"/>
        </w:rPr>
        <w:t>本项目周边现状图</w:t>
      </w:r>
    </w:p>
    <w:p w14:paraId="5EFF93AD" w14:textId="77777777" w:rsidR="00F76A63" w:rsidRDefault="00000000">
      <w:pPr>
        <w:pStyle w:val="afc"/>
        <w:spacing w:after="0" w:line="500" w:lineRule="exact"/>
        <w:rPr>
          <w:sz w:val="24"/>
          <w:szCs w:val="32"/>
        </w:rPr>
      </w:pPr>
      <w:r>
        <w:rPr>
          <w:sz w:val="24"/>
          <w:szCs w:val="32"/>
        </w:rPr>
        <w:t>附图</w:t>
      </w:r>
      <w:r>
        <w:rPr>
          <w:sz w:val="24"/>
          <w:szCs w:val="32"/>
        </w:rPr>
        <w:t xml:space="preserve">4 </w:t>
      </w:r>
      <w:r>
        <w:rPr>
          <w:sz w:val="24"/>
          <w:szCs w:val="32"/>
        </w:rPr>
        <w:t>本项目环境敏感目标分布图</w:t>
      </w:r>
    </w:p>
    <w:p w14:paraId="0DD14B10" w14:textId="77777777" w:rsidR="00F76A63" w:rsidRDefault="00000000">
      <w:pPr>
        <w:pStyle w:val="afc"/>
        <w:spacing w:after="0" w:line="500" w:lineRule="exact"/>
        <w:rPr>
          <w:sz w:val="24"/>
          <w:szCs w:val="32"/>
        </w:rPr>
      </w:pPr>
      <w:r>
        <w:rPr>
          <w:sz w:val="24"/>
          <w:szCs w:val="32"/>
        </w:rPr>
        <w:t>附图</w:t>
      </w:r>
      <w:r>
        <w:rPr>
          <w:sz w:val="24"/>
          <w:szCs w:val="32"/>
        </w:rPr>
        <w:t xml:space="preserve">5 </w:t>
      </w:r>
      <w:r>
        <w:rPr>
          <w:sz w:val="24"/>
          <w:szCs w:val="32"/>
        </w:rPr>
        <w:t>本项目周边水系图</w:t>
      </w:r>
    </w:p>
    <w:p w14:paraId="313957EA" w14:textId="77777777" w:rsidR="00F76A63" w:rsidRDefault="00000000">
      <w:pPr>
        <w:pStyle w:val="afc"/>
        <w:spacing w:after="0" w:line="500" w:lineRule="exact"/>
        <w:rPr>
          <w:sz w:val="24"/>
          <w:szCs w:val="32"/>
        </w:rPr>
      </w:pPr>
      <w:r>
        <w:rPr>
          <w:sz w:val="24"/>
          <w:szCs w:val="32"/>
        </w:rPr>
        <w:t>附图</w:t>
      </w:r>
      <w:r>
        <w:rPr>
          <w:sz w:val="24"/>
          <w:szCs w:val="32"/>
        </w:rPr>
        <w:t xml:space="preserve">6 </w:t>
      </w:r>
      <w:r>
        <w:rPr>
          <w:sz w:val="24"/>
          <w:szCs w:val="32"/>
        </w:rPr>
        <w:t>与句容下蜀高新技术产业园开发建设规划关系图</w:t>
      </w:r>
    </w:p>
    <w:p w14:paraId="7FEE8133" w14:textId="77777777" w:rsidR="00F76A63" w:rsidRDefault="00000000">
      <w:pPr>
        <w:pStyle w:val="afc"/>
        <w:spacing w:after="0" w:line="500" w:lineRule="exact"/>
        <w:rPr>
          <w:sz w:val="24"/>
          <w:szCs w:val="32"/>
        </w:rPr>
      </w:pPr>
      <w:r>
        <w:rPr>
          <w:sz w:val="24"/>
          <w:szCs w:val="32"/>
        </w:rPr>
        <w:t>附图</w:t>
      </w:r>
      <w:r>
        <w:rPr>
          <w:sz w:val="24"/>
          <w:szCs w:val="32"/>
        </w:rPr>
        <w:t xml:space="preserve">7 </w:t>
      </w:r>
      <w:r>
        <w:rPr>
          <w:sz w:val="24"/>
          <w:szCs w:val="32"/>
        </w:rPr>
        <w:t>本项目与江苏省国家级生态保护红线规划位置关系图</w:t>
      </w:r>
    </w:p>
    <w:p w14:paraId="7BDF6F85" w14:textId="77777777" w:rsidR="00F76A63" w:rsidRDefault="00000000">
      <w:pPr>
        <w:pStyle w:val="afc"/>
        <w:spacing w:after="0" w:line="500" w:lineRule="exact"/>
        <w:rPr>
          <w:sz w:val="24"/>
          <w:szCs w:val="32"/>
        </w:rPr>
      </w:pPr>
      <w:r>
        <w:rPr>
          <w:sz w:val="24"/>
          <w:szCs w:val="32"/>
        </w:rPr>
        <w:t>附图</w:t>
      </w:r>
      <w:r>
        <w:rPr>
          <w:sz w:val="24"/>
          <w:szCs w:val="32"/>
        </w:rPr>
        <w:t xml:space="preserve">8 </w:t>
      </w:r>
      <w:r>
        <w:rPr>
          <w:sz w:val="24"/>
          <w:szCs w:val="32"/>
        </w:rPr>
        <w:t>本项目与江苏省生态空间管控区域规划位置关系图</w:t>
      </w:r>
    </w:p>
    <w:p w14:paraId="45C63408" w14:textId="77777777" w:rsidR="00F76A63" w:rsidRDefault="00000000">
      <w:pPr>
        <w:pStyle w:val="afc"/>
        <w:spacing w:after="0" w:line="500" w:lineRule="exact"/>
        <w:rPr>
          <w:sz w:val="24"/>
          <w:szCs w:val="32"/>
        </w:rPr>
      </w:pPr>
      <w:r>
        <w:rPr>
          <w:sz w:val="24"/>
          <w:szCs w:val="32"/>
        </w:rPr>
        <w:t>附图</w:t>
      </w:r>
      <w:r>
        <w:rPr>
          <w:sz w:val="24"/>
          <w:szCs w:val="32"/>
        </w:rPr>
        <w:t xml:space="preserve">9 </w:t>
      </w:r>
      <w:r>
        <w:rPr>
          <w:sz w:val="24"/>
          <w:szCs w:val="32"/>
        </w:rPr>
        <w:t>本项目与《</w:t>
      </w:r>
      <w:bookmarkStart w:id="5" w:name="OLE_LINK20"/>
      <w:r>
        <w:rPr>
          <w:sz w:val="24"/>
          <w:szCs w:val="32"/>
        </w:rPr>
        <w:t>镇江市国土空间规划</w:t>
      </w:r>
      <w:bookmarkEnd w:id="5"/>
      <w:r>
        <w:rPr>
          <w:sz w:val="24"/>
          <w:szCs w:val="32"/>
        </w:rPr>
        <w:t>（</w:t>
      </w:r>
      <w:r>
        <w:rPr>
          <w:sz w:val="24"/>
          <w:szCs w:val="32"/>
        </w:rPr>
        <w:t>2021—2035</w:t>
      </w:r>
      <w:r>
        <w:rPr>
          <w:sz w:val="24"/>
          <w:szCs w:val="32"/>
        </w:rPr>
        <w:t>年）》三区三线位置关系图</w:t>
      </w:r>
    </w:p>
    <w:p w14:paraId="5FC6F457" w14:textId="77777777" w:rsidR="00F76A63" w:rsidRDefault="00000000">
      <w:pPr>
        <w:pStyle w:val="afc"/>
        <w:spacing w:after="0" w:line="500" w:lineRule="exact"/>
        <w:rPr>
          <w:sz w:val="24"/>
          <w:szCs w:val="32"/>
        </w:rPr>
      </w:pPr>
      <w:r>
        <w:rPr>
          <w:sz w:val="24"/>
          <w:szCs w:val="32"/>
        </w:rPr>
        <w:t>附图</w:t>
      </w:r>
      <w:r>
        <w:rPr>
          <w:sz w:val="24"/>
          <w:szCs w:val="32"/>
        </w:rPr>
        <w:t xml:space="preserve">10 </w:t>
      </w:r>
      <w:r>
        <w:rPr>
          <w:sz w:val="24"/>
          <w:szCs w:val="32"/>
        </w:rPr>
        <w:t>本项目雨污水管网图</w:t>
      </w:r>
    </w:p>
    <w:p w14:paraId="6E989AD9" w14:textId="77777777" w:rsidR="00F76A63" w:rsidRDefault="00000000">
      <w:pPr>
        <w:pStyle w:val="afc"/>
        <w:spacing w:after="0" w:line="500" w:lineRule="exact"/>
        <w:rPr>
          <w:sz w:val="24"/>
          <w:szCs w:val="32"/>
        </w:rPr>
      </w:pPr>
      <w:r>
        <w:rPr>
          <w:sz w:val="24"/>
          <w:szCs w:val="32"/>
        </w:rPr>
        <w:t>附图</w:t>
      </w:r>
      <w:r>
        <w:rPr>
          <w:sz w:val="24"/>
          <w:szCs w:val="32"/>
        </w:rPr>
        <w:t xml:space="preserve">11 </w:t>
      </w:r>
      <w:r>
        <w:rPr>
          <w:sz w:val="24"/>
          <w:szCs w:val="32"/>
        </w:rPr>
        <w:t>本项目厂区分区防渗图</w:t>
      </w:r>
    </w:p>
    <w:p w14:paraId="6F797097" w14:textId="77777777" w:rsidR="00F76A63" w:rsidRDefault="00000000">
      <w:pPr>
        <w:pStyle w:val="afc"/>
        <w:spacing w:after="0" w:line="500" w:lineRule="exact"/>
        <w:rPr>
          <w:b/>
          <w:bCs/>
          <w:sz w:val="24"/>
          <w:szCs w:val="32"/>
        </w:rPr>
      </w:pPr>
      <w:r>
        <w:rPr>
          <w:b/>
          <w:bCs/>
          <w:sz w:val="24"/>
          <w:szCs w:val="32"/>
        </w:rPr>
        <w:t>附件</w:t>
      </w:r>
    </w:p>
    <w:p w14:paraId="20E13124" w14:textId="77777777" w:rsidR="00F76A63" w:rsidRPr="00B914AD" w:rsidRDefault="00000000" w:rsidP="00B914AD">
      <w:pPr>
        <w:pStyle w:val="afc"/>
        <w:adjustRightInd w:val="0"/>
        <w:spacing w:after="0" w:line="500" w:lineRule="exact"/>
        <w:rPr>
          <w:snapToGrid w:val="0"/>
          <w:sz w:val="24"/>
        </w:rPr>
      </w:pPr>
      <w:bookmarkStart w:id="6" w:name="OLE_LINK83"/>
      <w:r w:rsidRPr="00B914AD">
        <w:rPr>
          <w:snapToGrid w:val="0"/>
          <w:sz w:val="24"/>
        </w:rPr>
        <w:t>附件</w:t>
      </w:r>
      <w:r w:rsidRPr="00B914AD">
        <w:rPr>
          <w:snapToGrid w:val="0"/>
          <w:sz w:val="24"/>
        </w:rPr>
        <w:t xml:space="preserve">1 </w:t>
      </w:r>
      <w:r w:rsidRPr="00B914AD">
        <w:rPr>
          <w:snapToGrid w:val="0"/>
          <w:sz w:val="24"/>
        </w:rPr>
        <w:t>营业执照</w:t>
      </w:r>
    </w:p>
    <w:p w14:paraId="22DA0FA4" w14:textId="77777777" w:rsidR="00B914AD" w:rsidRPr="00B914AD" w:rsidRDefault="00000000" w:rsidP="00B914AD">
      <w:pPr>
        <w:pStyle w:val="afc"/>
        <w:adjustRightInd w:val="0"/>
        <w:spacing w:after="0" w:line="500" w:lineRule="exact"/>
        <w:rPr>
          <w:snapToGrid w:val="0"/>
          <w:sz w:val="24"/>
        </w:rPr>
      </w:pPr>
      <w:r w:rsidRPr="00B914AD">
        <w:rPr>
          <w:snapToGrid w:val="0"/>
          <w:sz w:val="24"/>
        </w:rPr>
        <w:t>附件</w:t>
      </w:r>
      <w:r w:rsidRPr="00B914AD">
        <w:rPr>
          <w:snapToGrid w:val="0"/>
          <w:sz w:val="24"/>
        </w:rPr>
        <w:t xml:space="preserve">2 </w:t>
      </w:r>
      <w:r w:rsidR="00B914AD" w:rsidRPr="00B914AD">
        <w:rPr>
          <w:b/>
          <w:i/>
          <w:iCs/>
          <w:snapToGrid w:val="0"/>
          <w:sz w:val="24"/>
        </w:rPr>
        <w:t>（涉密已删除）</w:t>
      </w:r>
    </w:p>
    <w:p w14:paraId="4980C972" w14:textId="77777777" w:rsidR="00B914AD" w:rsidRPr="00B914AD" w:rsidRDefault="00000000" w:rsidP="00B914AD">
      <w:pPr>
        <w:pStyle w:val="afc"/>
        <w:adjustRightInd w:val="0"/>
        <w:spacing w:after="0" w:line="500" w:lineRule="exact"/>
        <w:rPr>
          <w:snapToGrid w:val="0"/>
          <w:sz w:val="24"/>
        </w:rPr>
      </w:pPr>
      <w:r w:rsidRPr="00B914AD">
        <w:rPr>
          <w:snapToGrid w:val="0"/>
          <w:sz w:val="24"/>
        </w:rPr>
        <w:t>附件</w:t>
      </w:r>
      <w:r w:rsidRPr="00B914AD">
        <w:rPr>
          <w:snapToGrid w:val="0"/>
          <w:sz w:val="24"/>
        </w:rPr>
        <w:t xml:space="preserve">3 </w:t>
      </w:r>
      <w:r w:rsidR="00B914AD" w:rsidRPr="00B914AD">
        <w:rPr>
          <w:b/>
          <w:i/>
          <w:iCs/>
          <w:snapToGrid w:val="0"/>
          <w:sz w:val="24"/>
        </w:rPr>
        <w:t>（涉密已删除）</w:t>
      </w:r>
    </w:p>
    <w:p w14:paraId="4D260E0D" w14:textId="77777777" w:rsidR="00B914AD" w:rsidRPr="00B914AD" w:rsidRDefault="00000000" w:rsidP="00B914AD">
      <w:pPr>
        <w:pStyle w:val="afc"/>
        <w:adjustRightInd w:val="0"/>
        <w:spacing w:after="0" w:line="500" w:lineRule="exact"/>
        <w:rPr>
          <w:snapToGrid w:val="0"/>
          <w:sz w:val="24"/>
        </w:rPr>
      </w:pPr>
      <w:r w:rsidRPr="00B914AD">
        <w:rPr>
          <w:snapToGrid w:val="0"/>
          <w:sz w:val="24"/>
        </w:rPr>
        <w:t>附件</w:t>
      </w:r>
      <w:r w:rsidRPr="00B914AD">
        <w:rPr>
          <w:snapToGrid w:val="0"/>
          <w:sz w:val="24"/>
        </w:rPr>
        <w:t xml:space="preserve">4 </w:t>
      </w:r>
      <w:bookmarkStart w:id="7" w:name="OLE_LINK6"/>
      <w:r w:rsidR="00B914AD" w:rsidRPr="00B914AD">
        <w:rPr>
          <w:b/>
          <w:i/>
          <w:iCs/>
          <w:snapToGrid w:val="0"/>
          <w:sz w:val="24"/>
        </w:rPr>
        <w:t>（涉密已删除）</w:t>
      </w:r>
      <w:bookmarkEnd w:id="7"/>
    </w:p>
    <w:p w14:paraId="2CEA71F5" w14:textId="16861867" w:rsidR="00F76A63" w:rsidRPr="00B914AD" w:rsidRDefault="00000000" w:rsidP="00B914AD">
      <w:pPr>
        <w:pStyle w:val="afc"/>
        <w:adjustRightInd w:val="0"/>
        <w:spacing w:after="0" w:line="500" w:lineRule="exact"/>
        <w:rPr>
          <w:snapToGrid w:val="0"/>
          <w:sz w:val="24"/>
        </w:rPr>
      </w:pPr>
      <w:r w:rsidRPr="00B914AD">
        <w:rPr>
          <w:snapToGrid w:val="0"/>
          <w:sz w:val="24"/>
        </w:rPr>
        <w:t>附件</w:t>
      </w:r>
      <w:r w:rsidRPr="00B914AD">
        <w:rPr>
          <w:snapToGrid w:val="0"/>
          <w:sz w:val="24"/>
        </w:rPr>
        <w:t xml:space="preserve">5 </w:t>
      </w:r>
      <w:r w:rsidR="00D452AC" w:rsidRPr="00B914AD">
        <w:rPr>
          <w:b/>
          <w:i/>
          <w:iCs/>
          <w:snapToGrid w:val="0"/>
          <w:sz w:val="24"/>
        </w:rPr>
        <w:t>（涉密已删除）</w:t>
      </w:r>
    </w:p>
    <w:p w14:paraId="39228544" w14:textId="34D6631F" w:rsidR="00F76A63" w:rsidRPr="00B914AD" w:rsidRDefault="00000000" w:rsidP="00B914AD">
      <w:pPr>
        <w:pStyle w:val="afc"/>
        <w:adjustRightInd w:val="0"/>
        <w:spacing w:after="0" w:line="500" w:lineRule="exact"/>
        <w:rPr>
          <w:snapToGrid w:val="0"/>
          <w:sz w:val="24"/>
        </w:rPr>
      </w:pPr>
      <w:r w:rsidRPr="00B914AD">
        <w:rPr>
          <w:snapToGrid w:val="0"/>
          <w:sz w:val="24"/>
        </w:rPr>
        <w:t>附件</w:t>
      </w:r>
      <w:r w:rsidRPr="00B914AD">
        <w:rPr>
          <w:snapToGrid w:val="0"/>
          <w:sz w:val="24"/>
        </w:rPr>
        <w:t xml:space="preserve">6 </w:t>
      </w:r>
      <w:r w:rsidR="00D452AC" w:rsidRPr="00B914AD">
        <w:rPr>
          <w:b/>
          <w:i/>
          <w:iCs/>
          <w:snapToGrid w:val="0"/>
          <w:sz w:val="24"/>
        </w:rPr>
        <w:t>（涉密已删除）</w:t>
      </w:r>
    </w:p>
    <w:p w14:paraId="7A8A3661" w14:textId="77777777" w:rsidR="00D452AC" w:rsidRDefault="00000000">
      <w:pPr>
        <w:pStyle w:val="afc"/>
        <w:adjustRightInd w:val="0"/>
        <w:spacing w:after="0" w:line="500" w:lineRule="exact"/>
        <w:rPr>
          <w:b/>
          <w:i/>
          <w:iCs/>
          <w:snapToGrid w:val="0"/>
          <w:sz w:val="24"/>
        </w:rPr>
      </w:pPr>
      <w:r w:rsidRPr="00B914AD">
        <w:rPr>
          <w:snapToGrid w:val="0"/>
          <w:sz w:val="24"/>
        </w:rPr>
        <w:t>附件</w:t>
      </w:r>
      <w:r w:rsidRPr="00B914AD">
        <w:rPr>
          <w:snapToGrid w:val="0"/>
          <w:sz w:val="24"/>
        </w:rPr>
        <w:t xml:space="preserve">7 </w:t>
      </w:r>
      <w:r w:rsidR="00D452AC" w:rsidRPr="00B914AD">
        <w:rPr>
          <w:b/>
          <w:i/>
          <w:iCs/>
          <w:snapToGrid w:val="0"/>
          <w:sz w:val="24"/>
        </w:rPr>
        <w:t>（涉密已删除）</w:t>
      </w:r>
    </w:p>
    <w:p w14:paraId="727B4754" w14:textId="38C7B11D" w:rsidR="00F76A63" w:rsidRDefault="00000000">
      <w:pPr>
        <w:pStyle w:val="afc"/>
        <w:adjustRightInd w:val="0"/>
        <w:spacing w:after="0" w:line="500" w:lineRule="exact"/>
        <w:rPr>
          <w:snapToGrid w:val="0"/>
          <w:sz w:val="24"/>
        </w:rPr>
      </w:pPr>
      <w:r>
        <w:rPr>
          <w:snapToGrid w:val="0"/>
          <w:sz w:val="24"/>
        </w:rPr>
        <w:t>附件</w:t>
      </w:r>
      <w:r>
        <w:rPr>
          <w:snapToGrid w:val="0"/>
          <w:sz w:val="24"/>
        </w:rPr>
        <w:t xml:space="preserve">8 </w:t>
      </w:r>
      <w:r w:rsidR="00D452AC" w:rsidRPr="00B914AD">
        <w:rPr>
          <w:b/>
          <w:i/>
          <w:iCs/>
          <w:snapToGrid w:val="0"/>
          <w:sz w:val="24"/>
        </w:rPr>
        <w:t>（涉密已删除）</w:t>
      </w:r>
    </w:p>
    <w:p w14:paraId="7E6C4E62" w14:textId="77777777" w:rsidR="00F76A63" w:rsidRDefault="00000000">
      <w:pPr>
        <w:pStyle w:val="afc"/>
        <w:adjustRightInd w:val="0"/>
        <w:spacing w:after="0" w:line="500" w:lineRule="exact"/>
        <w:rPr>
          <w:snapToGrid w:val="0"/>
          <w:sz w:val="24"/>
        </w:rPr>
      </w:pPr>
      <w:r>
        <w:rPr>
          <w:snapToGrid w:val="0"/>
          <w:sz w:val="24"/>
        </w:rPr>
        <w:t>附件</w:t>
      </w:r>
      <w:r>
        <w:rPr>
          <w:snapToGrid w:val="0"/>
          <w:sz w:val="24"/>
        </w:rPr>
        <w:t xml:space="preserve">9 </w:t>
      </w:r>
      <w:r>
        <w:rPr>
          <w:snapToGrid w:val="0"/>
          <w:sz w:val="24"/>
        </w:rPr>
        <w:t>江苏省生态环境分区管控综合查询报告</w:t>
      </w:r>
    </w:p>
    <w:p w14:paraId="1C0802F6" w14:textId="0E827FF5" w:rsidR="00F76A63" w:rsidRDefault="00000000">
      <w:pPr>
        <w:pStyle w:val="afc"/>
        <w:adjustRightInd w:val="0"/>
        <w:spacing w:after="0" w:line="500" w:lineRule="exact"/>
        <w:rPr>
          <w:snapToGrid w:val="0"/>
          <w:sz w:val="24"/>
        </w:rPr>
      </w:pPr>
      <w:r>
        <w:rPr>
          <w:snapToGrid w:val="0"/>
          <w:sz w:val="24"/>
        </w:rPr>
        <w:t>附件</w:t>
      </w:r>
      <w:r>
        <w:rPr>
          <w:snapToGrid w:val="0"/>
          <w:sz w:val="24"/>
        </w:rPr>
        <w:t xml:space="preserve">10 </w:t>
      </w:r>
      <w:r w:rsidR="00D452AC" w:rsidRPr="00B914AD">
        <w:rPr>
          <w:b/>
          <w:i/>
          <w:iCs/>
          <w:snapToGrid w:val="0"/>
          <w:sz w:val="24"/>
        </w:rPr>
        <w:t>（涉密已删除）</w:t>
      </w:r>
    </w:p>
    <w:p w14:paraId="7A66467E" w14:textId="1DDB3827" w:rsidR="00F76A63" w:rsidRDefault="00000000">
      <w:pPr>
        <w:pStyle w:val="afc"/>
        <w:adjustRightInd w:val="0"/>
        <w:spacing w:after="0" w:line="500" w:lineRule="exact"/>
        <w:rPr>
          <w:snapToGrid w:val="0"/>
          <w:sz w:val="24"/>
        </w:rPr>
      </w:pPr>
      <w:r>
        <w:rPr>
          <w:snapToGrid w:val="0"/>
          <w:sz w:val="24"/>
        </w:rPr>
        <w:t>附件</w:t>
      </w:r>
      <w:r>
        <w:rPr>
          <w:snapToGrid w:val="0"/>
          <w:sz w:val="24"/>
        </w:rPr>
        <w:t xml:space="preserve">11 </w:t>
      </w:r>
      <w:r w:rsidR="00D452AC" w:rsidRPr="00B914AD">
        <w:rPr>
          <w:b/>
          <w:i/>
          <w:iCs/>
          <w:snapToGrid w:val="0"/>
          <w:sz w:val="24"/>
        </w:rPr>
        <w:t>（涉密已删除）</w:t>
      </w:r>
    </w:p>
    <w:p w14:paraId="40AB59A4" w14:textId="4EDC5B4B" w:rsidR="00F76A63" w:rsidRPr="00B914AD" w:rsidRDefault="00000000" w:rsidP="00B914AD">
      <w:pPr>
        <w:pStyle w:val="afc"/>
        <w:adjustRightInd w:val="0"/>
        <w:spacing w:after="0" w:line="500" w:lineRule="exact"/>
        <w:rPr>
          <w:snapToGrid w:val="0"/>
          <w:sz w:val="24"/>
        </w:rPr>
      </w:pPr>
      <w:r>
        <w:rPr>
          <w:snapToGrid w:val="0"/>
          <w:sz w:val="24"/>
        </w:rPr>
        <w:t>附件</w:t>
      </w:r>
      <w:r>
        <w:rPr>
          <w:snapToGrid w:val="0"/>
          <w:sz w:val="24"/>
        </w:rPr>
        <w:t xml:space="preserve">12 </w:t>
      </w:r>
      <w:r w:rsidR="00D452AC" w:rsidRPr="00B914AD">
        <w:rPr>
          <w:b/>
          <w:i/>
          <w:iCs/>
          <w:snapToGrid w:val="0"/>
          <w:sz w:val="24"/>
        </w:rPr>
        <w:t>（涉密已删除）</w:t>
      </w:r>
    </w:p>
    <w:p w14:paraId="089ACAD0" w14:textId="08DF63F7" w:rsidR="00F76A63" w:rsidRDefault="00000000">
      <w:pPr>
        <w:pStyle w:val="afc"/>
        <w:adjustRightInd w:val="0"/>
        <w:spacing w:after="0" w:line="500" w:lineRule="exact"/>
        <w:rPr>
          <w:snapToGrid w:val="0"/>
          <w:sz w:val="24"/>
        </w:rPr>
      </w:pPr>
      <w:r>
        <w:rPr>
          <w:snapToGrid w:val="0"/>
          <w:sz w:val="24"/>
        </w:rPr>
        <w:t>附件</w:t>
      </w:r>
      <w:r>
        <w:rPr>
          <w:snapToGrid w:val="0"/>
          <w:sz w:val="24"/>
        </w:rPr>
        <w:t xml:space="preserve">13 </w:t>
      </w:r>
      <w:r w:rsidR="00D452AC" w:rsidRPr="00B914AD">
        <w:rPr>
          <w:b/>
          <w:i/>
          <w:iCs/>
          <w:snapToGrid w:val="0"/>
          <w:sz w:val="24"/>
        </w:rPr>
        <w:t>（涉密已删除）</w:t>
      </w:r>
    </w:p>
    <w:p w14:paraId="3563460F" w14:textId="0B6A490A" w:rsidR="00F76A63" w:rsidRPr="00B914AD" w:rsidRDefault="00000000">
      <w:pPr>
        <w:pStyle w:val="afc"/>
        <w:adjustRightInd w:val="0"/>
        <w:spacing w:after="0" w:line="500" w:lineRule="exact"/>
        <w:rPr>
          <w:snapToGrid w:val="0"/>
          <w:sz w:val="24"/>
        </w:rPr>
      </w:pPr>
      <w:r>
        <w:rPr>
          <w:snapToGrid w:val="0"/>
          <w:sz w:val="24"/>
        </w:rPr>
        <w:lastRenderedPageBreak/>
        <w:t>附件</w:t>
      </w:r>
      <w:r>
        <w:rPr>
          <w:snapToGrid w:val="0"/>
          <w:sz w:val="24"/>
        </w:rPr>
        <w:t xml:space="preserve">14 </w:t>
      </w:r>
      <w:r w:rsidR="00D452AC" w:rsidRPr="00B914AD">
        <w:rPr>
          <w:b/>
          <w:i/>
          <w:iCs/>
          <w:snapToGrid w:val="0"/>
          <w:sz w:val="24"/>
        </w:rPr>
        <w:t>（涉密已删除）</w:t>
      </w:r>
    </w:p>
    <w:p w14:paraId="3C8385A4" w14:textId="09CAF005" w:rsidR="00F76A63" w:rsidRPr="00B914AD" w:rsidRDefault="00000000">
      <w:pPr>
        <w:pStyle w:val="afc"/>
        <w:adjustRightInd w:val="0"/>
        <w:spacing w:after="0" w:line="500" w:lineRule="exact"/>
        <w:rPr>
          <w:snapToGrid w:val="0"/>
          <w:sz w:val="24"/>
        </w:rPr>
      </w:pPr>
      <w:r w:rsidRPr="00B914AD">
        <w:rPr>
          <w:snapToGrid w:val="0"/>
          <w:sz w:val="24"/>
        </w:rPr>
        <w:t>附件</w:t>
      </w:r>
      <w:r w:rsidRPr="00B914AD">
        <w:rPr>
          <w:snapToGrid w:val="0"/>
          <w:sz w:val="24"/>
        </w:rPr>
        <w:t>1</w:t>
      </w:r>
      <w:r w:rsidRPr="00B914AD">
        <w:rPr>
          <w:rFonts w:hint="eastAsia"/>
          <w:snapToGrid w:val="0"/>
          <w:sz w:val="24"/>
        </w:rPr>
        <w:t>5</w:t>
      </w:r>
      <w:r w:rsidRPr="00B914AD">
        <w:rPr>
          <w:snapToGrid w:val="0"/>
          <w:sz w:val="24"/>
        </w:rPr>
        <w:t xml:space="preserve"> </w:t>
      </w:r>
      <w:r w:rsidR="00D452AC" w:rsidRPr="00B914AD">
        <w:rPr>
          <w:b/>
          <w:i/>
          <w:iCs/>
          <w:snapToGrid w:val="0"/>
          <w:sz w:val="24"/>
        </w:rPr>
        <w:t>（涉密已删除）</w:t>
      </w:r>
    </w:p>
    <w:p w14:paraId="1CAAB667" w14:textId="77777777" w:rsidR="00F76A63" w:rsidRPr="00B914AD" w:rsidRDefault="00000000">
      <w:pPr>
        <w:pStyle w:val="afc"/>
        <w:adjustRightInd w:val="0"/>
        <w:spacing w:after="0" w:line="500" w:lineRule="exact"/>
        <w:rPr>
          <w:snapToGrid w:val="0"/>
          <w:sz w:val="24"/>
        </w:rPr>
      </w:pPr>
      <w:r w:rsidRPr="00B914AD">
        <w:rPr>
          <w:snapToGrid w:val="0"/>
          <w:sz w:val="24"/>
        </w:rPr>
        <w:t>附件</w:t>
      </w:r>
      <w:r w:rsidRPr="00B914AD">
        <w:rPr>
          <w:snapToGrid w:val="0"/>
          <w:sz w:val="24"/>
        </w:rPr>
        <w:t>1</w:t>
      </w:r>
      <w:r w:rsidRPr="00B914AD">
        <w:rPr>
          <w:rFonts w:hint="eastAsia"/>
          <w:snapToGrid w:val="0"/>
          <w:sz w:val="24"/>
        </w:rPr>
        <w:t>6</w:t>
      </w:r>
      <w:r w:rsidRPr="00B914AD">
        <w:rPr>
          <w:snapToGrid w:val="0"/>
          <w:sz w:val="24"/>
        </w:rPr>
        <w:t xml:space="preserve"> </w:t>
      </w:r>
      <w:r w:rsidRPr="00B914AD">
        <w:rPr>
          <w:snapToGrid w:val="0"/>
          <w:sz w:val="24"/>
        </w:rPr>
        <w:t>百年一遇洪水水位说明材料</w:t>
      </w:r>
    </w:p>
    <w:p w14:paraId="5C244E61" w14:textId="77777777" w:rsidR="00F76A63" w:rsidRDefault="00000000">
      <w:pPr>
        <w:pStyle w:val="afc"/>
        <w:adjustRightInd w:val="0"/>
        <w:spacing w:after="0" w:line="500" w:lineRule="exact"/>
        <w:rPr>
          <w:snapToGrid w:val="0"/>
          <w:sz w:val="24"/>
        </w:rPr>
      </w:pPr>
      <w:r w:rsidRPr="00B914AD">
        <w:rPr>
          <w:snapToGrid w:val="0"/>
          <w:sz w:val="24"/>
        </w:rPr>
        <w:t>附件</w:t>
      </w:r>
      <w:r w:rsidRPr="00B914AD">
        <w:rPr>
          <w:snapToGrid w:val="0"/>
          <w:sz w:val="24"/>
        </w:rPr>
        <w:t>1</w:t>
      </w:r>
      <w:r w:rsidRPr="00B914AD">
        <w:rPr>
          <w:rFonts w:hint="eastAsia"/>
          <w:snapToGrid w:val="0"/>
          <w:sz w:val="24"/>
        </w:rPr>
        <w:t>7</w:t>
      </w:r>
      <w:r w:rsidRPr="00B914AD">
        <w:rPr>
          <w:snapToGrid w:val="0"/>
          <w:sz w:val="24"/>
        </w:rPr>
        <w:t xml:space="preserve"> </w:t>
      </w:r>
      <w:r w:rsidRPr="00B914AD">
        <w:rPr>
          <w:snapToGrid w:val="0"/>
          <w:sz w:val="24"/>
        </w:rPr>
        <w:t>关于《句容下蜀高新技术产业园开发建设规划环境影响报告书》的审查意见</w:t>
      </w:r>
    </w:p>
    <w:p w14:paraId="77DFCB95" w14:textId="77777777" w:rsidR="00F76A63" w:rsidRDefault="00000000">
      <w:pPr>
        <w:pStyle w:val="afc"/>
        <w:adjustRightInd w:val="0"/>
        <w:spacing w:after="0" w:line="500" w:lineRule="exact"/>
        <w:rPr>
          <w:snapToGrid w:val="0"/>
          <w:sz w:val="24"/>
        </w:rPr>
      </w:pPr>
      <w:r w:rsidRPr="00B914AD">
        <w:rPr>
          <w:snapToGrid w:val="0"/>
          <w:sz w:val="24"/>
        </w:rPr>
        <w:t>附件</w:t>
      </w:r>
      <w:r w:rsidRPr="00B914AD">
        <w:rPr>
          <w:snapToGrid w:val="0"/>
          <w:sz w:val="24"/>
        </w:rPr>
        <w:t>1</w:t>
      </w:r>
      <w:r w:rsidRPr="00B914AD">
        <w:rPr>
          <w:rFonts w:hint="eastAsia"/>
          <w:snapToGrid w:val="0"/>
          <w:sz w:val="24"/>
        </w:rPr>
        <w:t>8</w:t>
      </w:r>
      <w:r w:rsidRPr="00B914AD">
        <w:rPr>
          <w:snapToGrid w:val="0"/>
          <w:sz w:val="24"/>
        </w:rPr>
        <w:t xml:space="preserve"> </w:t>
      </w:r>
      <w:r>
        <w:rPr>
          <w:snapToGrid w:val="0"/>
          <w:sz w:val="24"/>
        </w:rPr>
        <w:t>关于建设项目环境影响评价文件中删除不宜公开信息的说明及公示截图</w:t>
      </w:r>
    </w:p>
    <w:p w14:paraId="5F9205FE" w14:textId="124AE5C2" w:rsidR="00F76A63" w:rsidRDefault="00000000">
      <w:pPr>
        <w:pStyle w:val="afc"/>
        <w:adjustRightInd w:val="0"/>
        <w:spacing w:after="0" w:line="500" w:lineRule="exact"/>
        <w:rPr>
          <w:snapToGrid w:val="0"/>
          <w:sz w:val="24"/>
        </w:rPr>
      </w:pPr>
      <w:r w:rsidRPr="00B914AD">
        <w:rPr>
          <w:snapToGrid w:val="0"/>
          <w:sz w:val="24"/>
        </w:rPr>
        <w:t>附件</w:t>
      </w:r>
      <w:r w:rsidRPr="00B914AD">
        <w:rPr>
          <w:rFonts w:hint="eastAsia"/>
          <w:snapToGrid w:val="0"/>
          <w:sz w:val="24"/>
        </w:rPr>
        <w:t>19</w:t>
      </w:r>
      <w:r w:rsidRPr="00B914AD">
        <w:rPr>
          <w:snapToGrid w:val="0"/>
          <w:sz w:val="24"/>
        </w:rPr>
        <w:t xml:space="preserve"> </w:t>
      </w:r>
      <w:r w:rsidR="00D452AC" w:rsidRPr="00B914AD">
        <w:rPr>
          <w:b/>
          <w:i/>
          <w:iCs/>
          <w:snapToGrid w:val="0"/>
          <w:sz w:val="24"/>
        </w:rPr>
        <w:t>（涉密已删除）</w:t>
      </w:r>
    </w:p>
    <w:p w14:paraId="4D8AA4D0" w14:textId="77777777" w:rsidR="00B914AD" w:rsidRPr="00B914AD" w:rsidRDefault="00000000" w:rsidP="00B914AD">
      <w:pPr>
        <w:pStyle w:val="afc"/>
        <w:adjustRightInd w:val="0"/>
        <w:spacing w:after="0" w:line="500" w:lineRule="exact"/>
        <w:rPr>
          <w:snapToGrid w:val="0"/>
          <w:sz w:val="24"/>
        </w:rPr>
      </w:pPr>
      <w:r w:rsidRPr="00B914AD">
        <w:rPr>
          <w:snapToGrid w:val="0"/>
          <w:sz w:val="24"/>
        </w:rPr>
        <w:t>附件</w:t>
      </w:r>
      <w:r w:rsidRPr="00B914AD">
        <w:rPr>
          <w:snapToGrid w:val="0"/>
          <w:sz w:val="24"/>
        </w:rPr>
        <w:t>2</w:t>
      </w:r>
      <w:r w:rsidRPr="00B914AD">
        <w:rPr>
          <w:rFonts w:hint="eastAsia"/>
          <w:snapToGrid w:val="0"/>
          <w:sz w:val="24"/>
        </w:rPr>
        <w:t>0</w:t>
      </w:r>
      <w:r w:rsidRPr="00B914AD">
        <w:rPr>
          <w:snapToGrid w:val="0"/>
          <w:sz w:val="24"/>
        </w:rPr>
        <w:t xml:space="preserve"> </w:t>
      </w:r>
      <w:r w:rsidR="00B914AD" w:rsidRPr="00B914AD">
        <w:rPr>
          <w:b/>
          <w:i/>
          <w:iCs/>
          <w:snapToGrid w:val="0"/>
          <w:sz w:val="24"/>
        </w:rPr>
        <w:t>（涉密已删除）</w:t>
      </w:r>
    </w:p>
    <w:p w14:paraId="2043BAF2" w14:textId="61B8319F" w:rsidR="00F76A63" w:rsidRDefault="00000000" w:rsidP="00B914AD">
      <w:pPr>
        <w:pStyle w:val="afc"/>
        <w:adjustRightInd w:val="0"/>
        <w:spacing w:after="0" w:line="500" w:lineRule="exact"/>
        <w:rPr>
          <w:snapToGrid w:val="0"/>
          <w:sz w:val="24"/>
        </w:rPr>
      </w:pPr>
      <w:r w:rsidRPr="00B914AD">
        <w:rPr>
          <w:snapToGrid w:val="0"/>
          <w:sz w:val="24"/>
        </w:rPr>
        <w:t>附件</w:t>
      </w:r>
      <w:r w:rsidRPr="00B914AD">
        <w:rPr>
          <w:snapToGrid w:val="0"/>
          <w:sz w:val="24"/>
        </w:rPr>
        <w:t>2</w:t>
      </w:r>
      <w:r w:rsidRPr="00B914AD">
        <w:rPr>
          <w:rFonts w:hint="eastAsia"/>
          <w:snapToGrid w:val="0"/>
          <w:sz w:val="24"/>
        </w:rPr>
        <w:t>1</w:t>
      </w:r>
      <w:r w:rsidRPr="00B914AD">
        <w:rPr>
          <w:snapToGrid w:val="0"/>
          <w:sz w:val="24"/>
        </w:rPr>
        <w:t xml:space="preserve"> </w:t>
      </w:r>
      <w:r w:rsidR="00D452AC" w:rsidRPr="00B914AD">
        <w:rPr>
          <w:b/>
          <w:i/>
          <w:iCs/>
          <w:snapToGrid w:val="0"/>
          <w:sz w:val="24"/>
        </w:rPr>
        <w:t>（涉密已删除）</w:t>
      </w:r>
    </w:p>
    <w:p w14:paraId="6167AA0F" w14:textId="2F929097" w:rsidR="00F76A63" w:rsidRDefault="00000000" w:rsidP="00B914AD">
      <w:pPr>
        <w:pStyle w:val="afc"/>
        <w:adjustRightInd w:val="0"/>
        <w:spacing w:after="0" w:line="500" w:lineRule="exact"/>
        <w:rPr>
          <w:snapToGrid w:val="0"/>
          <w:sz w:val="24"/>
        </w:rPr>
      </w:pPr>
      <w:r>
        <w:rPr>
          <w:sz w:val="24"/>
          <w:szCs w:val="32"/>
        </w:rPr>
        <w:t>附件</w:t>
      </w:r>
      <w:r>
        <w:rPr>
          <w:sz w:val="24"/>
          <w:szCs w:val="32"/>
        </w:rPr>
        <w:t>2</w:t>
      </w:r>
      <w:r>
        <w:rPr>
          <w:rFonts w:hint="eastAsia"/>
          <w:sz w:val="24"/>
          <w:szCs w:val="32"/>
        </w:rPr>
        <w:t>2</w:t>
      </w:r>
      <w:r>
        <w:rPr>
          <w:sz w:val="24"/>
          <w:szCs w:val="32"/>
        </w:rPr>
        <w:t xml:space="preserve"> </w:t>
      </w:r>
      <w:r w:rsidR="00D452AC" w:rsidRPr="00B914AD">
        <w:rPr>
          <w:b/>
          <w:i/>
          <w:iCs/>
          <w:snapToGrid w:val="0"/>
          <w:sz w:val="24"/>
        </w:rPr>
        <w:t>（涉密已删除）</w:t>
      </w:r>
    </w:p>
    <w:p w14:paraId="60F3DA9D" w14:textId="6EDED888" w:rsidR="00F76A63" w:rsidRDefault="00000000" w:rsidP="00B914AD">
      <w:pPr>
        <w:pStyle w:val="afc"/>
        <w:adjustRightInd w:val="0"/>
        <w:spacing w:after="0" w:line="500" w:lineRule="exact"/>
        <w:rPr>
          <w:snapToGrid w:val="0"/>
          <w:sz w:val="24"/>
        </w:rPr>
      </w:pPr>
      <w:r>
        <w:rPr>
          <w:sz w:val="24"/>
          <w:szCs w:val="32"/>
        </w:rPr>
        <w:t>附件</w:t>
      </w:r>
      <w:r>
        <w:rPr>
          <w:sz w:val="24"/>
          <w:szCs w:val="32"/>
        </w:rPr>
        <w:t>2</w:t>
      </w:r>
      <w:r>
        <w:rPr>
          <w:rFonts w:hint="eastAsia"/>
          <w:sz w:val="24"/>
          <w:szCs w:val="32"/>
        </w:rPr>
        <w:t>3</w:t>
      </w:r>
      <w:r>
        <w:rPr>
          <w:sz w:val="24"/>
          <w:szCs w:val="32"/>
        </w:rPr>
        <w:t xml:space="preserve"> </w:t>
      </w:r>
      <w:r w:rsidR="00D452AC" w:rsidRPr="00B914AD">
        <w:rPr>
          <w:b/>
          <w:i/>
          <w:iCs/>
          <w:snapToGrid w:val="0"/>
          <w:sz w:val="24"/>
        </w:rPr>
        <w:t>（涉密已删除）</w:t>
      </w:r>
    </w:p>
    <w:p w14:paraId="061698B9" w14:textId="5FE468E1" w:rsidR="00F76A63" w:rsidRDefault="00000000" w:rsidP="00B914AD">
      <w:pPr>
        <w:pStyle w:val="afc"/>
        <w:adjustRightInd w:val="0"/>
        <w:spacing w:after="0" w:line="500" w:lineRule="exact"/>
        <w:rPr>
          <w:snapToGrid w:val="0"/>
          <w:sz w:val="24"/>
        </w:rPr>
      </w:pPr>
      <w:r>
        <w:rPr>
          <w:snapToGrid w:val="0"/>
          <w:sz w:val="24"/>
        </w:rPr>
        <w:t>附件</w:t>
      </w:r>
      <w:r>
        <w:rPr>
          <w:rFonts w:hint="eastAsia"/>
          <w:snapToGrid w:val="0"/>
          <w:sz w:val="24"/>
        </w:rPr>
        <w:t xml:space="preserve">24 </w:t>
      </w:r>
      <w:r w:rsidR="00D452AC" w:rsidRPr="00B914AD">
        <w:rPr>
          <w:b/>
          <w:i/>
          <w:iCs/>
          <w:snapToGrid w:val="0"/>
          <w:sz w:val="24"/>
        </w:rPr>
        <w:t>（涉密已删除）</w:t>
      </w:r>
    </w:p>
    <w:bookmarkEnd w:id="6"/>
    <w:p w14:paraId="3FE18561" w14:textId="77777777" w:rsidR="00B914AD" w:rsidRPr="00B914AD" w:rsidRDefault="00000000" w:rsidP="00B914AD">
      <w:pPr>
        <w:pStyle w:val="afc"/>
        <w:adjustRightInd w:val="0"/>
        <w:spacing w:line="500" w:lineRule="exact"/>
        <w:rPr>
          <w:b/>
          <w:i/>
          <w:iCs/>
          <w:snapToGrid w:val="0"/>
          <w:sz w:val="24"/>
        </w:rPr>
      </w:pPr>
      <w:r>
        <w:rPr>
          <w:rFonts w:hint="eastAsia"/>
          <w:snapToGrid w:val="0"/>
          <w:sz w:val="24"/>
        </w:rPr>
        <w:t>附件</w:t>
      </w:r>
      <w:r>
        <w:rPr>
          <w:rFonts w:hint="eastAsia"/>
          <w:snapToGrid w:val="0"/>
          <w:sz w:val="24"/>
        </w:rPr>
        <w:t xml:space="preserve">25 </w:t>
      </w:r>
      <w:r w:rsidR="00B914AD" w:rsidRPr="00B914AD">
        <w:rPr>
          <w:b/>
          <w:i/>
          <w:iCs/>
          <w:snapToGrid w:val="0"/>
          <w:sz w:val="24"/>
        </w:rPr>
        <w:t>（涉密已删除）</w:t>
      </w:r>
    </w:p>
    <w:p w14:paraId="44DCEC00" w14:textId="77777777" w:rsidR="00B914AD" w:rsidRPr="00B914AD" w:rsidRDefault="00000000" w:rsidP="00B914AD">
      <w:pPr>
        <w:pStyle w:val="afc"/>
        <w:adjustRightInd w:val="0"/>
        <w:spacing w:line="500" w:lineRule="exact"/>
        <w:rPr>
          <w:b/>
          <w:i/>
          <w:iCs/>
          <w:snapToGrid w:val="0"/>
          <w:sz w:val="24"/>
        </w:rPr>
      </w:pPr>
      <w:r>
        <w:rPr>
          <w:rFonts w:hint="eastAsia"/>
          <w:snapToGrid w:val="0"/>
          <w:sz w:val="24"/>
        </w:rPr>
        <w:t>附件</w:t>
      </w:r>
      <w:r>
        <w:rPr>
          <w:rFonts w:hint="eastAsia"/>
          <w:snapToGrid w:val="0"/>
          <w:sz w:val="24"/>
        </w:rPr>
        <w:t xml:space="preserve">26 </w:t>
      </w:r>
      <w:r w:rsidR="00B914AD" w:rsidRPr="00B914AD">
        <w:rPr>
          <w:b/>
          <w:i/>
          <w:iCs/>
          <w:snapToGrid w:val="0"/>
          <w:sz w:val="24"/>
        </w:rPr>
        <w:t>（涉密已删除）</w:t>
      </w:r>
    </w:p>
    <w:p w14:paraId="008839F2" w14:textId="77777777" w:rsidR="00B914AD" w:rsidRPr="00B914AD" w:rsidRDefault="00000000" w:rsidP="00B914AD">
      <w:pPr>
        <w:pStyle w:val="afc"/>
        <w:adjustRightInd w:val="0"/>
        <w:spacing w:line="500" w:lineRule="exact"/>
        <w:rPr>
          <w:b/>
          <w:i/>
          <w:iCs/>
          <w:snapToGrid w:val="0"/>
          <w:sz w:val="24"/>
        </w:rPr>
      </w:pPr>
      <w:r>
        <w:rPr>
          <w:rFonts w:hint="eastAsia"/>
          <w:snapToGrid w:val="0"/>
          <w:sz w:val="24"/>
        </w:rPr>
        <w:t>附件</w:t>
      </w:r>
      <w:r>
        <w:rPr>
          <w:rFonts w:hint="eastAsia"/>
          <w:snapToGrid w:val="0"/>
          <w:sz w:val="24"/>
        </w:rPr>
        <w:t xml:space="preserve">27 </w:t>
      </w:r>
      <w:r w:rsidR="00B914AD" w:rsidRPr="00B914AD">
        <w:rPr>
          <w:b/>
          <w:i/>
          <w:iCs/>
          <w:snapToGrid w:val="0"/>
          <w:sz w:val="24"/>
        </w:rPr>
        <w:t>（涉密已删除）</w:t>
      </w:r>
    </w:p>
    <w:p w14:paraId="273D89CB" w14:textId="0523983D" w:rsidR="00F76A63" w:rsidRDefault="00F76A63">
      <w:pPr>
        <w:pStyle w:val="afc"/>
        <w:adjustRightInd w:val="0"/>
        <w:spacing w:after="0" w:line="500" w:lineRule="exact"/>
        <w:rPr>
          <w:snapToGrid w:val="0"/>
          <w:sz w:val="24"/>
        </w:rPr>
        <w:sectPr w:rsidR="00F76A63">
          <w:footerReference w:type="default" r:id="rId11"/>
          <w:pgSz w:w="11906" w:h="16838"/>
          <w:pgMar w:top="1701" w:right="1531" w:bottom="1701" w:left="1531" w:header="851" w:footer="1077" w:gutter="0"/>
          <w:pgNumType w:fmt="upperRoman" w:start="1"/>
          <w:cols w:space="720"/>
          <w:docGrid w:linePitch="312"/>
        </w:sectPr>
      </w:pPr>
    </w:p>
    <w:p w14:paraId="7EDBF65A" w14:textId="77777777" w:rsidR="00F76A63" w:rsidRDefault="00000000">
      <w:pPr>
        <w:tabs>
          <w:tab w:val="left" w:pos="516"/>
        </w:tabs>
        <w:jc w:val="center"/>
        <w:outlineLvl w:val="0"/>
        <w:rPr>
          <w:b/>
          <w:bCs/>
          <w:snapToGrid w:val="0"/>
          <w:sz w:val="30"/>
          <w:szCs w:val="30"/>
        </w:rPr>
      </w:pPr>
      <w:r>
        <w:rPr>
          <w:b/>
          <w:bCs/>
          <w:snapToGrid w:val="0"/>
          <w:sz w:val="30"/>
          <w:szCs w:val="30"/>
        </w:rPr>
        <w:lastRenderedPageBreak/>
        <w:t>一、建设项目基本情况</w:t>
      </w:r>
    </w:p>
    <w:tbl>
      <w:tblPr>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1"/>
        <w:gridCol w:w="3178"/>
        <w:gridCol w:w="2212"/>
        <w:gridCol w:w="2639"/>
      </w:tblGrid>
      <w:tr w:rsidR="00F76A63" w14:paraId="7FE409C8" w14:textId="77777777">
        <w:trPr>
          <w:trHeight w:val="90"/>
          <w:jc w:val="center"/>
        </w:trPr>
        <w:tc>
          <w:tcPr>
            <w:tcW w:w="841" w:type="dxa"/>
            <w:tcMar>
              <w:top w:w="16" w:type="dxa"/>
              <w:left w:w="16" w:type="dxa"/>
              <w:right w:w="16" w:type="dxa"/>
            </w:tcMar>
            <w:vAlign w:val="center"/>
          </w:tcPr>
          <w:p w14:paraId="5786D115" w14:textId="77777777" w:rsidR="00F76A63" w:rsidRDefault="00000000">
            <w:pPr>
              <w:adjustRightInd w:val="0"/>
              <w:snapToGrid w:val="0"/>
              <w:jc w:val="center"/>
              <w:rPr>
                <w:b/>
                <w:bCs/>
                <w:sz w:val="24"/>
              </w:rPr>
            </w:pPr>
            <w:r>
              <w:rPr>
                <w:b/>
                <w:bCs/>
                <w:sz w:val="24"/>
              </w:rPr>
              <w:t>建设项目名称</w:t>
            </w:r>
          </w:p>
        </w:tc>
        <w:tc>
          <w:tcPr>
            <w:tcW w:w="8029" w:type="dxa"/>
            <w:gridSpan w:val="3"/>
            <w:vAlign w:val="center"/>
          </w:tcPr>
          <w:p w14:paraId="6A0FEC2A" w14:textId="77777777" w:rsidR="00F76A63" w:rsidRDefault="00000000">
            <w:pPr>
              <w:adjustRightInd w:val="0"/>
              <w:snapToGrid w:val="0"/>
              <w:jc w:val="center"/>
              <w:rPr>
                <w:sz w:val="24"/>
                <w:highlight w:val="yellow"/>
              </w:rPr>
            </w:pPr>
            <w:r>
              <w:rPr>
                <w:bCs/>
                <w:sz w:val="24"/>
              </w:rPr>
              <w:t>替代燃料节能减排项目（二期）</w:t>
            </w:r>
          </w:p>
        </w:tc>
      </w:tr>
      <w:tr w:rsidR="00F76A63" w14:paraId="0FF82711" w14:textId="77777777">
        <w:trPr>
          <w:trHeight w:val="497"/>
          <w:jc w:val="center"/>
        </w:trPr>
        <w:tc>
          <w:tcPr>
            <w:tcW w:w="841" w:type="dxa"/>
            <w:tcMar>
              <w:top w:w="16" w:type="dxa"/>
              <w:left w:w="16" w:type="dxa"/>
              <w:right w:w="16" w:type="dxa"/>
            </w:tcMar>
            <w:vAlign w:val="center"/>
          </w:tcPr>
          <w:p w14:paraId="6A582787" w14:textId="77777777" w:rsidR="00F76A63" w:rsidRDefault="00000000">
            <w:pPr>
              <w:adjustRightInd w:val="0"/>
              <w:snapToGrid w:val="0"/>
              <w:jc w:val="center"/>
              <w:rPr>
                <w:b/>
                <w:bCs/>
                <w:sz w:val="24"/>
              </w:rPr>
            </w:pPr>
            <w:r>
              <w:rPr>
                <w:b/>
                <w:bCs/>
                <w:sz w:val="24"/>
              </w:rPr>
              <w:t>项目代码</w:t>
            </w:r>
          </w:p>
        </w:tc>
        <w:tc>
          <w:tcPr>
            <w:tcW w:w="8029" w:type="dxa"/>
            <w:gridSpan w:val="3"/>
            <w:vAlign w:val="center"/>
          </w:tcPr>
          <w:p w14:paraId="52F15935" w14:textId="77777777" w:rsidR="00F76A63" w:rsidRDefault="00000000">
            <w:pPr>
              <w:adjustRightInd w:val="0"/>
              <w:snapToGrid w:val="0"/>
              <w:jc w:val="center"/>
              <w:rPr>
                <w:sz w:val="24"/>
                <w:highlight w:val="yellow"/>
              </w:rPr>
            </w:pPr>
            <w:r>
              <w:rPr>
                <w:sz w:val="24"/>
              </w:rPr>
              <w:t>2404-321154-89-02-389053</w:t>
            </w:r>
          </w:p>
        </w:tc>
      </w:tr>
      <w:tr w:rsidR="00F76A63" w14:paraId="13199987" w14:textId="77777777">
        <w:trPr>
          <w:trHeight w:val="497"/>
          <w:jc w:val="center"/>
        </w:trPr>
        <w:tc>
          <w:tcPr>
            <w:tcW w:w="841" w:type="dxa"/>
            <w:tcMar>
              <w:top w:w="16" w:type="dxa"/>
              <w:left w:w="16" w:type="dxa"/>
              <w:right w:w="16" w:type="dxa"/>
            </w:tcMar>
            <w:vAlign w:val="center"/>
          </w:tcPr>
          <w:p w14:paraId="3DFF5E5D" w14:textId="77777777" w:rsidR="00F76A63" w:rsidRDefault="00000000">
            <w:pPr>
              <w:adjustRightInd w:val="0"/>
              <w:snapToGrid w:val="0"/>
              <w:jc w:val="center"/>
              <w:rPr>
                <w:b/>
                <w:bCs/>
                <w:sz w:val="24"/>
              </w:rPr>
            </w:pPr>
            <w:r>
              <w:rPr>
                <w:b/>
                <w:bCs/>
                <w:sz w:val="24"/>
              </w:rPr>
              <w:t>建设单位联系人</w:t>
            </w:r>
          </w:p>
        </w:tc>
        <w:tc>
          <w:tcPr>
            <w:tcW w:w="3178" w:type="dxa"/>
            <w:vAlign w:val="center"/>
          </w:tcPr>
          <w:p w14:paraId="08D3EF8E" w14:textId="77777777" w:rsidR="00F76A63" w:rsidRDefault="00000000">
            <w:pPr>
              <w:adjustRightInd w:val="0"/>
              <w:snapToGrid w:val="0"/>
              <w:jc w:val="center"/>
              <w:rPr>
                <w:sz w:val="24"/>
              </w:rPr>
            </w:pPr>
            <w:r>
              <w:rPr>
                <w:sz w:val="24"/>
              </w:rPr>
              <w:t>徐爱国</w:t>
            </w:r>
          </w:p>
        </w:tc>
        <w:tc>
          <w:tcPr>
            <w:tcW w:w="2212" w:type="dxa"/>
            <w:vAlign w:val="center"/>
          </w:tcPr>
          <w:p w14:paraId="4599BEED" w14:textId="77777777" w:rsidR="00F76A63" w:rsidRDefault="00000000">
            <w:pPr>
              <w:adjustRightInd w:val="0"/>
              <w:snapToGrid w:val="0"/>
              <w:jc w:val="center"/>
              <w:rPr>
                <w:b/>
                <w:bCs/>
                <w:sz w:val="24"/>
              </w:rPr>
            </w:pPr>
            <w:r>
              <w:rPr>
                <w:b/>
                <w:bCs/>
                <w:sz w:val="24"/>
              </w:rPr>
              <w:t>联系方式</w:t>
            </w:r>
          </w:p>
        </w:tc>
        <w:tc>
          <w:tcPr>
            <w:tcW w:w="2639" w:type="dxa"/>
            <w:vAlign w:val="center"/>
          </w:tcPr>
          <w:p w14:paraId="363E679C" w14:textId="77777777" w:rsidR="00F76A63" w:rsidRDefault="00000000">
            <w:pPr>
              <w:adjustRightInd w:val="0"/>
              <w:snapToGrid w:val="0"/>
              <w:jc w:val="center"/>
              <w:rPr>
                <w:sz w:val="24"/>
              </w:rPr>
            </w:pPr>
            <w:r>
              <w:rPr>
                <w:sz w:val="24"/>
              </w:rPr>
              <w:t>13225117376</w:t>
            </w:r>
          </w:p>
        </w:tc>
      </w:tr>
      <w:tr w:rsidR="00F76A63" w14:paraId="3E42AEB7" w14:textId="77777777">
        <w:trPr>
          <w:trHeight w:val="497"/>
          <w:jc w:val="center"/>
        </w:trPr>
        <w:tc>
          <w:tcPr>
            <w:tcW w:w="841" w:type="dxa"/>
            <w:tcMar>
              <w:top w:w="16" w:type="dxa"/>
              <w:left w:w="16" w:type="dxa"/>
              <w:right w:w="16" w:type="dxa"/>
            </w:tcMar>
            <w:vAlign w:val="center"/>
          </w:tcPr>
          <w:p w14:paraId="582378F4" w14:textId="77777777" w:rsidR="00F76A63" w:rsidRDefault="00000000">
            <w:pPr>
              <w:adjustRightInd w:val="0"/>
              <w:snapToGrid w:val="0"/>
              <w:jc w:val="center"/>
              <w:rPr>
                <w:b/>
                <w:bCs/>
                <w:sz w:val="24"/>
              </w:rPr>
            </w:pPr>
            <w:r>
              <w:rPr>
                <w:b/>
                <w:bCs/>
                <w:sz w:val="24"/>
              </w:rPr>
              <w:t>建设地点</w:t>
            </w:r>
          </w:p>
        </w:tc>
        <w:tc>
          <w:tcPr>
            <w:tcW w:w="8029" w:type="dxa"/>
            <w:gridSpan w:val="3"/>
            <w:vAlign w:val="center"/>
          </w:tcPr>
          <w:p w14:paraId="63E40939" w14:textId="77777777" w:rsidR="00F76A63" w:rsidRDefault="00000000">
            <w:pPr>
              <w:adjustRightInd w:val="0"/>
              <w:snapToGrid w:val="0"/>
              <w:jc w:val="center"/>
              <w:rPr>
                <w:sz w:val="24"/>
                <w:u w:val="single"/>
              </w:rPr>
            </w:pPr>
            <w:r>
              <w:rPr>
                <w:sz w:val="24"/>
                <w:u w:val="single"/>
              </w:rPr>
              <w:t>江苏省镇江市句容市下蜀镇句容台泥水泥有限公司厂内</w:t>
            </w:r>
          </w:p>
        </w:tc>
      </w:tr>
      <w:tr w:rsidR="00F76A63" w14:paraId="53E58953" w14:textId="77777777">
        <w:trPr>
          <w:trHeight w:val="497"/>
          <w:jc w:val="center"/>
        </w:trPr>
        <w:tc>
          <w:tcPr>
            <w:tcW w:w="841" w:type="dxa"/>
            <w:tcMar>
              <w:top w:w="16" w:type="dxa"/>
              <w:left w:w="16" w:type="dxa"/>
              <w:right w:w="16" w:type="dxa"/>
            </w:tcMar>
            <w:vAlign w:val="center"/>
          </w:tcPr>
          <w:p w14:paraId="1F35889C" w14:textId="77777777" w:rsidR="00F76A63" w:rsidRDefault="00000000">
            <w:pPr>
              <w:adjustRightInd w:val="0"/>
              <w:snapToGrid w:val="0"/>
              <w:jc w:val="center"/>
              <w:rPr>
                <w:b/>
                <w:bCs/>
                <w:sz w:val="24"/>
              </w:rPr>
            </w:pPr>
            <w:r>
              <w:rPr>
                <w:b/>
                <w:bCs/>
                <w:sz w:val="24"/>
              </w:rPr>
              <w:t>地理坐标</w:t>
            </w:r>
          </w:p>
        </w:tc>
        <w:tc>
          <w:tcPr>
            <w:tcW w:w="8029" w:type="dxa"/>
            <w:gridSpan w:val="3"/>
            <w:vAlign w:val="center"/>
          </w:tcPr>
          <w:p w14:paraId="63C69240" w14:textId="77777777" w:rsidR="00F76A63" w:rsidRDefault="00000000">
            <w:pPr>
              <w:jc w:val="center"/>
              <w:rPr>
                <w:sz w:val="24"/>
              </w:rPr>
            </w:pPr>
            <w:r>
              <w:rPr>
                <w:sz w:val="24"/>
              </w:rPr>
              <w:t>（经度</w:t>
            </w:r>
            <w:r>
              <w:rPr>
                <w:sz w:val="24"/>
              </w:rPr>
              <w:t>119</w:t>
            </w:r>
            <w:r>
              <w:rPr>
                <w:sz w:val="24"/>
              </w:rPr>
              <w:t>度</w:t>
            </w:r>
            <w:r>
              <w:rPr>
                <w:sz w:val="24"/>
              </w:rPr>
              <w:t>15</w:t>
            </w:r>
            <w:r>
              <w:rPr>
                <w:sz w:val="24"/>
              </w:rPr>
              <w:t>分</w:t>
            </w:r>
            <w:r>
              <w:rPr>
                <w:sz w:val="24"/>
              </w:rPr>
              <w:t>44.050</w:t>
            </w:r>
            <w:r>
              <w:rPr>
                <w:sz w:val="24"/>
              </w:rPr>
              <w:t>秒，纬度</w:t>
            </w:r>
            <w:r>
              <w:rPr>
                <w:sz w:val="24"/>
              </w:rPr>
              <w:t>32</w:t>
            </w:r>
            <w:r>
              <w:rPr>
                <w:sz w:val="24"/>
              </w:rPr>
              <w:t>度</w:t>
            </w:r>
            <w:r>
              <w:rPr>
                <w:sz w:val="24"/>
              </w:rPr>
              <w:t>11</w:t>
            </w:r>
            <w:r>
              <w:rPr>
                <w:sz w:val="24"/>
              </w:rPr>
              <w:t>分</w:t>
            </w:r>
            <w:r>
              <w:rPr>
                <w:sz w:val="24"/>
              </w:rPr>
              <w:t>17.710</w:t>
            </w:r>
            <w:r>
              <w:rPr>
                <w:sz w:val="24"/>
              </w:rPr>
              <w:t>秒）</w:t>
            </w:r>
          </w:p>
        </w:tc>
      </w:tr>
      <w:tr w:rsidR="00F76A63" w14:paraId="71985AD6" w14:textId="77777777">
        <w:trPr>
          <w:trHeight w:val="561"/>
          <w:jc w:val="center"/>
        </w:trPr>
        <w:tc>
          <w:tcPr>
            <w:tcW w:w="841" w:type="dxa"/>
            <w:tcMar>
              <w:top w:w="16" w:type="dxa"/>
              <w:left w:w="16" w:type="dxa"/>
              <w:right w:w="16" w:type="dxa"/>
            </w:tcMar>
            <w:vAlign w:val="center"/>
          </w:tcPr>
          <w:p w14:paraId="27D21A75" w14:textId="77777777" w:rsidR="00F76A63" w:rsidRDefault="00000000">
            <w:pPr>
              <w:adjustRightInd w:val="0"/>
              <w:snapToGrid w:val="0"/>
              <w:jc w:val="center"/>
              <w:rPr>
                <w:b/>
                <w:bCs/>
                <w:sz w:val="24"/>
              </w:rPr>
            </w:pPr>
            <w:r>
              <w:rPr>
                <w:b/>
                <w:bCs/>
                <w:sz w:val="24"/>
              </w:rPr>
              <w:t>国民经济行业类别</w:t>
            </w:r>
          </w:p>
        </w:tc>
        <w:tc>
          <w:tcPr>
            <w:tcW w:w="3178" w:type="dxa"/>
            <w:vAlign w:val="center"/>
          </w:tcPr>
          <w:p w14:paraId="424DC429" w14:textId="77777777" w:rsidR="00F76A63" w:rsidRDefault="00000000">
            <w:pPr>
              <w:adjustRightInd w:val="0"/>
              <w:snapToGrid w:val="0"/>
              <w:jc w:val="center"/>
              <w:rPr>
                <w:sz w:val="24"/>
              </w:rPr>
            </w:pPr>
            <w:r>
              <w:rPr>
                <w:sz w:val="24"/>
              </w:rPr>
              <w:t>[N7723]</w:t>
            </w:r>
            <w:bookmarkStart w:id="8" w:name="OLE_LINK26"/>
            <w:r>
              <w:rPr>
                <w:sz w:val="24"/>
              </w:rPr>
              <w:t>固体废物治理</w:t>
            </w:r>
            <w:bookmarkEnd w:id="8"/>
          </w:p>
        </w:tc>
        <w:tc>
          <w:tcPr>
            <w:tcW w:w="2212" w:type="dxa"/>
            <w:vAlign w:val="center"/>
          </w:tcPr>
          <w:p w14:paraId="3C6B2193" w14:textId="77777777" w:rsidR="00F76A63" w:rsidRDefault="00000000">
            <w:pPr>
              <w:adjustRightInd w:val="0"/>
              <w:snapToGrid w:val="0"/>
              <w:jc w:val="center"/>
              <w:rPr>
                <w:b/>
                <w:bCs/>
                <w:sz w:val="24"/>
              </w:rPr>
            </w:pPr>
            <w:r>
              <w:rPr>
                <w:b/>
                <w:bCs/>
                <w:sz w:val="24"/>
              </w:rPr>
              <w:t>建设项目</w:t>
            </w:r>
          </w:p>
          <w:p w14:paraId="74F3E595" w14:textId="77777777" w:rsidR="00F76A63" w:rsidRDefault="00000000">
            <w:pPr>
              <w:adjustRightInd w:val="0"/>
              <w:snapToGrid w:val="0"/>
              <w:jc w:val="center"/>
              <w:rPr>
                <w:b/>
                <w:bCs/>
                <w:sz w:val="24"/>
              </w:rPr>
            </w:pPr>
            <w:r>
              <w:rPr>
                <w:b/>
                <w:bCs/>
                <w:sz w:val="24"/>
              </w:rPr>
              <w:t>行业类别</w:t>
            </w:r>
          </w:p>
        </w:tc>
        <w:tc>
          <w:tcPr>
            <w:tcW w:w="2639" w:type="dxa"/>
            <w:vAlign w:val="center"/>
          </w:tcPr>
          <w:p w14:paraId="4BBB7585" w14:textId="77777777" w:rsidR="00F76A63" w:rsidRDefault="00000000">
            <w:pPr>
              <w:adjustRightInd w:val="0"/>
              <w:snapToGrid w:val="0"/>
              <w:rPr>
                <w:sz w:val="24"/>
              </w:rPr>
            </w:pPr>
            <w:r>
              <w:rPr>
                <w:rFonts w:hint="eastAsia"/>
                <w:sz w:val="24"/>
              </w:rPr>
              <w:t>“</w:t>
            </w:r>
            <w:r>
              <w:rPr>
                <w:sz w:val="24"/>
              </w:rPr>
              <w:t>四十七、生态保护和环境治理业</w:t>
            </w:r>
            <w:r>
              <w:rPr>
                <w:rFonts w:hint="eastAsia"/>
                <w:sz w:val="24"/>
              </w:rPr>
              <w:t>”</w:t>
            </w:r>
            <w:r>
              <w:rPr>
                <w:sz w:val="24"/>
              </w:rPr>
              <w:t>中一般工业固体废物（含污水处理污泥）、建筑施工废弃物处置及综合利用的</w:t>
            </w:r>
            <w:r>
              <w:rPr>
                <w:rFonts w:hint="eastAsia"/>
                <w:sz w:val="24"/>
              </w:rPr>
              <w:t>“</w:t>
            </w:r>
            <w:r>
              <w:rPr>
                <w:sz w:val="24"/>
              </w:rPr>
              <w:t>其他</w:t>
            </w:r>
            <w:r>
              <w:rPr>
                <w:rFonts w:hint="eastAsia"/>
                <w:sz w:val="24"/>
              </w:rPr>
              <w:t>”</w:t>
            </w:r>
          </w:p>
        </w:tc>
      </w:tr>
      <w:tr w:rsidR="00F76A63" w14:paraId="7980295C" w14:textId="77777777">
        <w:trPr>
          <w:trHeight w:val="1219"/>
          <w:jc w:val="center"/>
        </w:trPr>
        <w:tc>
          <w:tcPr>
            <w:tcW w:w="841" w:type="dxa"/>
            <w:tcMar>
              <w:top w:w="16" w:type="dxa"/>
              <w:left w:w="16" w:type="dxa"/>
              <w:right w:w="16" w:type="dxa"/>
            </w:tcMar>
            <w:vAlign w:val="center"/>
          </w:tcPr>
          <w:p w14:paraId="7CE1B6AE" w14:textId="77777777" w:rsidR="00F76A63" w:rsidRDefault="00000000">
            <w:pPr>
              <w:adjustRightInd w:val="0"/>
              <w:snapToGrid w:val="0"/>
              <w:jc w:val="center"/>
              <w:rPr>
                <w:b/>
                <w:bCs/>
                <w:sz w:val="24"/>
              </w:rPr>
            </w:pPr>
            <w:r>
              <w:rPr>
                <w:b/>
                <w:bCs/>
                <w:sz w:val="24"/>
              </w:rPr>
              <w:t>建设性质</w:t>
            </w:r>
          </w:p>
        </w:tc>
        <w:tc>
          <w:tcPr>
            <w:tcW w:w="3178" w:type="dxa"/>
            <w:vAlign w:val="center"/>
          </w:tcPr>
          <w:p w14:paraId="7A2A23A0" w14:textId="77777777" w:rsidR="00F76A63" w:rsidRDefault="00000000">
            <w:pPr>
              <w:jc w:val="left"/>
              <w:rPr>
                <w:sz w:val="24"/>
              </w:rPr>
            </w:pPr>
            <w:r>
              <w:rPr>
                <w:sz w:val="24"/>
              </w:rPr>
              <w:sym w:font="Wingdings 2" w:char="00A3"/>
            </w:r>
            <w:r>
              <w:rPr>
                <w:sz w:val="24"/>
              </w:rPr>
              <w:t>新建（迁建）</w:t>
            </w:r>
          </w:p>
          <w:p w14:paraId="3DA5990D" w14:textId="77777777" w:rsidR="00F76A63" w:rsidRDefault="00000000">
            <w:pPr>
              <w:jc w:val="left"/>
              <w:rPr>
                <w:sz w:val="24"/>
              </w:rPr>
            </w:pPr>
            <w:r>
              <w:rPr>
                <w:sz w:val="24"/>
              </w:rPr>
              <w:sym w:font="Wingdings 2" w:char="0052"/>
            </w:r>
            <w:r>
              <w:rPr>
                <w:sz w:val="24"/>
              </w:rPr>
              <w:t>改建</w:t>
            </w:r>
          </w:p>
          <w:p w14:paraId="14ED5F2B" w14:textId="77777777" w:rsidR="00F76A63" w:rsidRDefault="00000000">
            <w:pPr>
              <w:jc w:val="left"/>
              <w:rPr>
                <w:sz w:val="24"/>
              </w:rPr>
            </w:pPr>
            <w:r>
              <w:rPr>
                <w:sz w:val="24"/>
              </w:rPr>
              <w:sym w:font="Wingdings 2" w:char="00A3"/>
            </w:r>
            <w:r>
              <w:rPr>
                <w:sz w:val="24"/>
              </w:rPr>
              <w:t>扩建</w:t>
            </w:r>
          </w:p>
          <w:p w14:paraId="7168A71F" w14:textId="77777777" w:rsidR="00F76A63" w:rsidRDefault="00000000">
            <w:pPr>
              <w:jc w:val="left"/>
              <w:rPr>
                <w:sz w:val="24"/>
              </w:rPr>
            </w:pPr>
            <w:r>
              <w:rPr>
                <w:sz w:val="24"/>
              </w:rPr>
              <w:sym w:font="Wingdings 2" w:char="00A3"/>
            </w:r>
            <w:r>
              <w:rPr>
                <w:sz w:val="24"/>
              </w:rPr>
              <w:t>技术改造</w:t>
            </w:r>
          </w:p>
        </w:tc>
        <w:tc>
          <w:tcPr>
            <w:tcW w:w="2212" w:type="dxa"/>
            <w:vAlign w:val="center"/>
          </w:tcPr>
          <w:p w14:paraId="56E03A6F" w14:textId="77777777" w:rsidR="00F76A63" w:rsidRDefault="00000000">
            <w:pPr>
              <w:adjustRightInd w:val="0"/>
              <w:snapToGrid w:val="0"/>
              <w:jc w:val="center"/>
              <w:rPr>
                <w:b/>
                <w:bCs/>
                <w:sz w:val="24"/>
              </w:rPr>
            </w:pPr>
            <w:r>
              <w:rPr>
                <w:b/>
                <w:bCs/>
                <w:sz w:val="24"/>
              </w:rPr>
              <w:t>建设项目</w:t>
            </w:r>
          </w:p>
          <w:p w14:paraId="732E9CFF" w14:textId="77777777" w:rsidR="00F76A63" w:rsidRDefault="00000000">
            <w:pPr>
              <w:adjustRightInd w:val="0"/>
              <w:snapToGrid w:val="0"/>
              <w:jc w:val="center"/>
              <w:rPr>
                <w:b/>
                <w:bCs/>
                <w:sz w:val="24"/>
              </w:rPr>
            </w:pPr>
            <w:r>
              <w:rPr>
                <w:b/>
                <w:bCs/>
                <w:sz w:val="24"/>
              </w:rPr>
              <w:t>申报情形</w:t>
            </w:r>
          </w:p>
        </w:tc>
        <w:tc>
          <w:tcPr>
            <w:tcW w:w="2639" w:type="dxa"/>
            <w:vAlign w:val="center"/>
          </w:tcPr>
          <w:p w14:paraId="5E49D952" w14:textId="77777777" w:rsidR="00F76A63" w:rsidRDefault="00000000">
            <w:pPr>
              <w:jc w:val="left"/>
              <w:rPr>
                <w:sz w:val="24"/>
              </w:rPr>
            </w:pPr>
            <w:r>
              <w:rPr>
                <w:sz w:val="24"/>
              </w:rPr>
              <w:sym w:font="Wingdings 2" w:char="F052"/>
            </w:r>
            <w:r>
              <w:rPr>
                <w:sz w:val="24"/>
              </w:rPr>
              <w:t>首次申报项目</w:t>
            </w:r>
            <w:r>
              <w:rPr>
                <w:sz w:val="24"/>
              </w:rPr>
              <w:t xml:space="preserve">             </w:t>
            </w:r>
          </w:p>
          <w:p w14:paraId="52231433" w14:textId="77777777" w:rsidR="00F76A63" w:rsidRDefault="00000000">
            <w:pPr>
              <w:jc w:val="left"/>
              <w:rPr>
                <w:sz w:val="24"/>
              </w:rPr>
            </w:pPr>
            <w:r>
              <w:rPr>
                <w:sz w:val="24"/>
              </w:rPr>
              <w:sym w:font="Wingdings 2" w:char="00A3"/>
            </w:r>
            <w:r>
              <w:rPr>
                <w:sz w:val="24"/>
              </w:rPr>
              <w:t>不予批准后再次申报项目</w:t>
            </w:r>
          </w:p>
          <w:p w14:paraId="26CADA92" w14:textId="77777777" w:rsidR="00F76A63" w:rsidRDefault="00000000">
            <w:pPr>
              <w:jc w:val="left"/>
              <w:rPr>
                <w:sz w:val="24"/>
              </w:rPr>
            </w:pPr>
            <w:r>
              <w:rPr>
                <w:sz w:val="24"/>
              </w:rPr>
              <w:sym w:font="Wingdings 2" w:char="00A3"/>
            </w:r>
            <w:r>
              <w:rPr>
                <w:sz w:val="24"/>
              </w:rPr>
              <w:t>超五年重新审核项目</w:t>
            </w:r>
            <w:r>
              <w:rPr>
                <w:sz w:val="24"/>
              </w:rPr>
              <w:t xml:space="preserve">     </w:t>
            </w:r>
          </w:p>
          <w:p w14:paraId="4F2FD80C" w14:textId="77777777" w:rsidR="00F76A63" w:rsidRDefault="00000000">
            <w:pPr>
              <w:jc w:val="left"/>
              <w:rPr>
                <w:sz w:val="24"/>
              </w:rPr>
            </w:pPr>
            <w:r>
              <w:rPr>
                <w:sz w:val="24"/>
              </w:rPr>
              <w:sym w:font="Wingdings 2" w:char="00A3"/>
            </w:r>
            <w:r>
              <w:rPr>
                <w:sz w:val="24"/>
              </w:rPr>
              <w:t>重大变动重新报批项目</w:t>
            </w:r>
          </w:p>
        </w:tc>
      </w:tr>
      <w:tr w:rsidR="00F76A63" w14:paraId="20132513" w14:textId="77777777">
        <w:trPr>
          <w:trHeight w:val="851"/>
          <w:jc w:val="center"/>
        </w:trPr>
        <w:tc>
          <w:tcPr>
            <w:tcW w:w="841" w:type="dxa"/>
            <w:tcMar>
              <w:top w:w="16" w:type="dxa"/>
              <w:left w:w="16" w:type="dxa"/>
              <w:right w:w="16" w:type="dxa"/>
            </w:tcMar>
            <w:vAlign w:val="center"/>
          </w:tcPr>
          <w:p w14:paraId="44BFA8EE" w14:textId="77777777" w:rsidR="00F76A63" w:rsidRDefault="00000000">
            <w:pPr>
              <w:adjustRightInd w:val="0"/>
              <w:snapToGrid w:val="0"/>
              <w:jc w:val="center"/>
              <w:rPr>
                <w:b/>
                <w:bCs/>
                <w:sz w:val="24"/>
              </w:rPr>
            </w:pPr>
            <w:r>
              <w:rPr>
                <w:b/>
                <w:bCs/>
                <w:sz w:val="24"/>
              </w:rPr>
              <w:t>项目审批（核准</w:t>
            </w:r>
            <w:r>
              <w:rPr>
                <w:b/>
                <w:bCs/>
                <w:sz w:val="24"/>
              </w:rPr>
              <w:t>/</w:t>
            </w:r>
            <w:r>
              <w:rPr>
                <w:b/>
                <w:bCs/>
                <w:sz w:val="24"/>
              </w:rPr>
              <w:t>备案）部门（选填）</w:t>
            </w:r>
          </w:p>
        </w:tc>
        <w:tc>
          <w:tcPr>
            <w:tcW w:w="3178" w:type="dxa"/>
            <w:vAlign w:val="center"/>
          </w:tcPr>
          <w:p w14:paraId="07C08BB4" w14:textId="77777777" w:rsidR="00F76A63" w:rsidRDefault="00000000">
            <w:pPr>
              <w:adjustRightInd w:val="0"/>
              <w:snapToGrid w:val="0"/>
              <w:jc w:val="center"/>
              <w:rPr>
                <w:sz w:val="24"/>
              </w:rPr>
            </w:pPr>
            <w:r>
              <w:rPr>
                <w:sz w:val="24"/>
              </w:rPr>
              <w:t>句容市下蜀镇人民政府</w:t>
            </w:r>
          </w:p>
        </w:tc>
        <w:tc>
          <w:tcPr>
            <w:tcW w:w="2212" w:type="dxa"/>
            <w:vAlign w:val="center"/>
          </w:tcPr>
          <w:p w14:paraId="00BC38AF" w14:textId="77777777" w:rsidR="00F76A63" w:rsidRDefault="00000000">
            <w:pPr>
              <w:adjustRightInd w:val="0"/>
              <w:snapToGrid w:val="0"/>
              <w:jc w:val="center"/>
              <w:rPr>
                <w:b/>
                <w:bCs/>
                <w:sz w:val="24"/>
              </w:rPr>
            </w:pPr>
            <w:r>
              <w:rPr>
                <w:b/>
                <w:bCs/>
                <w:sz w:val="24"/>
              </w:rPr>
              <w:t>项目审批（核准</w:t>
            </w:r>
            <w:r>
              <w:rPr>
                <w:b/>
                <w:bCs/>
                <w:sz w:val="24"/>
              </w:rPr>
              <w:t>/</w:t>
            </w:r>
          </w:p>
          <w:p w14:paraId="4FD73F34" w14:textId="77777777" w:rsidR="00F76A63" w:rsidRDefault="00000000">
            <w:pPr>
              <w:adjustRightInd w:val="0"/>
              <w:snapToGrid w:val="0"/>
              <w:jc w:val="center"/>
              <w:rPr>
                <w:b/>
                <w:bCs/>
                <w:sz w:val="24"/>
              </w:rPr>
            </w:pPr>
            <w:r>
              <w:rPr>
                <w:b/>
                <w:bCs/>
                <w:sz w:val="24"/>
              </w:rPr>
              <w:t>备案）文号（选填）</w:t>
            </w:r>
          </w:p>
        </w:tc>
        <w:tc>
          <w:tcPr>
            <w:tcW w:w="2639" w:type="dxa"/>
            <w:vAlign w:val="center"/>
          </w:tcPr>
          <w:p w14:paraId="0FA09F7D" w14:textId="77777777" w:rsidR="00F76A63" w:rsidRDefault="00000000">
            <w:pPr>
              <w:adjustRightInd w:val="0"/>
              <w:snapToGrid w:val="0"/>
              <w:jc w:val="center"/>
              <w:rPr>
                <w:sz w:val="24"/>
              </w:rPr>
            </w:pPr>
            <w:r>
              <w:rPr>
                <w:sz w:val="24"/>
              </w:rPr>
              <w:t>蜀行审备〔</w:t>
            </w:r>
            <w:r>
              <w:rPr>
                <w:sz w:val="24"/>
              </w:rPr>
              <w:t>2025</w:t>
            </w:r>
            <w:r>
              <w:rPr>
                <w:sz w:val="24"/>
              </w:rPr>
              <w:t>〕</w:t>
            </w:r>
            <w:r>
              <w:rPr>
                <w:sz w:val="24"/>
              </w:rPr>
              <w:t>70</w:t>
            </w:r>
            <w:r>
              <w:rPr>
                <w:sz w:val="24"/>
              </w:rPr>
              <w:t>号</w:t>
            </w:r>
          </w:p>
        </w:tc>
      </w:tr>
      <w:tr w:rsidR="00F76A63" w14:paraId="56BF2728" w14:textId="77777777">
        <w:trPr>
          <w:trHeight w:val="497"/>
          <w:jc w:val="center"/>
        </w:trPr>
        <w:tc>
          <w:tcPr>
            <w:tcW w:w="841" w:type="dxa"/>
            <w:tcMar>
              <w:top w:w="16" w:type="dxa"/>
              <w:left w:w="16" w:type="dxa"/>
              <w:right w:w="16" w:type="dxa"/>
            </w:tcMar>
            <w:vAlign w:val="center"/>
          </w:tcPr>
          <w:p w14:paraId="19821941" w14:textId="77777777" w:rsidR="00F76A63" w:rsidRDefault="00000000">
            <w:pPr>
              <w:adjustRightInd w:val="0"/>
              <w:snapToGrid w:val="0"/>
              <w:jc w:val="center"/>
              <w:rPr>
                <w:b/>
                <w:bCs/>
                <w:sz w:val="24"/>
              </w:rPr>
            </w:pPr>
            <w:r>
              <w:rPr>
                <w:b/>
                <w:bCs/>
                <w:sz w:val="24"/>
              </w:rPr>
              <w:t>总投资（万元）</w:t>
            </w:r>
          </w:p>
        </w:tc>
        <w:tc>
          <w:tcPr>
            <w:tcW w:w="3178" w:type="dxa"/>
            <w:vAlign w:val="center"/>
          </w:tcPr>
          <w:p w14:paraId="2F0F93CD" w14:textId="77777777" w:rsidR="00F76A63" w:rsidRDefault="00000000">
            <w:pPr>
              <w:adjustRightInd w:val="0"/>
              <w:snapToGrid w:val="0"/>
              <w:jc w:val="center"/>
              <w:rPr>
                <w:sz w:val="24"/>
              </w:rPr>
            </w:pPr>
            <w:r>
              <w:rPr>
                <w:sz w:val="24"/>
              </w:rPr>
              <w:t>3000</w:t>
            </w:r>
          </w:p>
        </w:tc>
        <w:tc>
          <w:tcPr>
            <w:tcW w:w="2212" w:type="dxa"/>
            <w:tcMar>
              <w:top w:w="16" w:type="dxa"/>
              <w:left w:w="16" w:type="dxa"/>
              <w:right w:w="16" w:type="dxa"/>
            </w:tcMar>
            <w:vAlign w:val="center"/>
          </w:tcPr>
          <w:p w14:paraId="03A5FA5D" w14:textId="77777777" w:rsidR="00F76A63" w:rsidRDefault="00000000">
            <w:pPr>
              <w:adjustRightInd w:val="0"/>
              <w:snapToGrid w:val="0"/>
              <w:jc w:val="center"/>
              <w:rPr>
                <w:b/>
                <w:bCs/>
                <w:sz w:val="24"/>
              </w:rPr>
            </w:pPr>
            <w:r>
              <w:rPr>
                <w:b/>
                <w:bCs/>
                <w:sz w:val="24"/>
              </w:rPr>
              <w:t>环保投资（万元）</w:t>
            </w:r>
          </w:p>
        </w:tc>
        <w:tc>
          <w:tcPr>
            <w:tcW w:w="2639" w:type="dxa"/>
            <w:vAlign w:val="center"/>
          </w:tcPr>
          <w:p w14:paraId="118281ED" w14:textId="77777777" w:rsidR="00F76A63" w:rsidRDefault="00000000">
            <w:pPr>
              <w:adjustRightInd w:val="0"/>
              <w:snapToGrid w:val="0"/>
              <w:jc w:val="center"/>
              <w:rPr>
                <w:sz w:val="24"/>
              </w:rPr>
            </w:pPr>
            <w:r>
              <w:rPr>
                <w:sz w:val="24"/>
              </w:rPr>
              <w:t>80</w:t>
            </w:r>
          </w:p>
        </w:tc>
      </w:tr>
      <w:tr w:rsidR="00F76A63" w14:paraId="5F9F2FC8" w14:textId="77777777">
        <w:trPr>
          <w:trHeight w:val="497"/>
          <w:jc w:val="center"/>
        </w:trPr>
        <w:tc>
          <w:tcPr>
            <w:tcW w:w="841" w:type="dxa"/>
            <w:tcMar>
              <w:top w:w="16" w:type="dxa"/>
              <w:left w:w="16" w:type="dxa"/>
              <w:right w:w="16" w:type="dxa"/>
            </w:tcMar>
            <w:vAlign w:val="center"/>
          </w:tcPr>
          <w:p w14:paraId="7E4DFCFF" w14:textId="77777777" w:rsidR="00F76A63" w:rsidRDefault="00000000">
            <w:pPr>
              <w:adjustRightInd w:val="0"/>
              <w:snapToGrid w:val="0"/>
              <w:jc w:val="center"/>
              <w:rPr>
                <w:b/>
                <w:bCs/>
                <w:sz w:val="24"/>
              </w:rPr>
            </w:pPr>
            <w:r>
              <w:rPr>
                <w:b/>
                <w:bCs/>
                <w:sz w:val="24"/>
              </w:rPr>
              <w:t>环保投资占比（</w:t>
            </w:r>
            <w:r>
              <w:rPr>
                <w:b/>
                <w:bCs/>
                <w:sz w:val="24"/>
              </w:rPr>
              <w:t>%</w:t>
            </w:r>
            <w:r>
              <w:rPr>
                <w:b/>
                <w:bCs/>
                <w:sz w:val="24"/>
              </w:rPr>
              <w:t>）</w:t>
            </w:r>
          </w:p>
        </w:tc>
        <w:tc>
          <w:tcPr>
            <w:tcW w:w="3178" w:type="dxa"/>
            <w:vAlign w:val="center"/>
          </w:tcPr>
          <w:p w14:paraId="10EFD02E" w14:textId="77777777" w:rsidR="00F76A63" w:rsidRDefault="00000000">
            <w:pPr>
              <w:adjustRightInd w:val="0"/>
              <w:snapToGrid w:val="0"/>
              <w:jc w:val="center"/>
              <w:rPr>
                <w:sz w:val="24"/>
              </w:rPr>
            </w:pPr>
            <w:r>
              <w:rPr>
                <w:sz w:val="24"/>
              </w:rPr>
              <w:t>2.6%</w:t>
            </w:r>
          </w:p>
        </w:tc>
        <w:tc>
          <w:tcPr>
            <w:tcW w:w="2212" w:type="dxa"/>
            <w:tcMar>
              <w:top w:w="16" w:type="dxa"/>
              <w:left w:w="16" w:type="dxa"/>
              <w:right w:w="16" w:type="dxa"/>
            </w:tcMar>
            <w:vAlign w:val="center"/>
          </w:tcPr>
          <w:p w14:paraId="5B122CD5" w14:textId="77777777" w:rsidR="00F76A63" w:rsidRDefault="00000000">
            <w:pPr>
              <w:adjustRightInd w:val="0"/>
              <w:snapToGrid w:val="0"/>
              <w:jc w:val="center"/>
              <w:rPr>
                <w:b/>
                <w:bCs/>
                <w:sz w:val="24"/>
              </w:rPr>
            </w:pPr>
            <w:r>
              <w:rPr>
                <w:b/>
                <w:bCs/>
                <w:sz w:val="24"/>
              </w:rPr>
              <w:t>施工工期</w:t>
            </w:r>
          </w:p>
        </w:tc>
        <w:tc>
          <w:tcPr>
            <w:tcW w:w="2639" w:type="dxa"/>
            <w:vAlign w:val="center"/>
          </w:tcPr>
          <w:p w14:paraId="634EC317" w14:textId="77777777" w:rsidR="00F76A63" w:rsidRDefault="00000000">
            <w:pPr>
              <w:adjustRightInd w:val="0"/>
              <w:snapToGrid w:val="0"/>
              <w:jc w:val="center"/>
              <w:rPr>
                <w:sz w:val="24"/>
              </w:rPr>
            </w:pPr>
            <w:r>
              <w:rPr>
                <w:sz w:val="24"/>
              </w:rPr>
              <w:t>6</w:t>
            </w:r>
            <w:r>
              <w:rPr>
                <w:sz w:val="24"/>
              </w:rPr>
              <w:t>个月</w:t>
            </w:r>
          </w:p>
        </w:tc>
      </w:tr>
      <w:tr w:rsidR="00F76A63" w14:paraId="3A93BE77" w14:textId="77777777">
        <w:trPr>
          <w:trHeight w:val="497"/>
          <w:jc w:val="center"/>
        </w:trPr>
        <w:tc>
          <w:tcPr>
            <w:tcW w:w="841" w:type="dxa"/>
            <w:tcMar>
              <w:top w:w="16" w:type="dxa"/>
              <w:left w:w="16" w:type="dxa"/>
              <w:right w:w="16" w:type="dxa"/>
            </w:tcMar>
            <w:vAlign w:val="center"/>
          </w:tcPr>
          <w:p w14:paraId="78F8F11B" w14:textId="77777777" w:rsidR="00F76A63" w:rsidRDefault="00000000">
            <w:pPr>
              <w:adjustRightInd w:val="0"/>
              <w:snapToGrid w:val="0"/>
              <w:jc w:val="center"/>
              <w:rPr>
                <w:b/>
                <w:bCs/>
                <w:sz w:val="24"/>
              </w:rPr>
            </w:pPr>
            <w:r>
              <w:rPr>
                <w:b/>
                <w:bCs/>
                <w:sz w:val="24"/>
              </w:rPr>
              <w:t>是否开工建设</w:t>
            </w:r>
          </w:p>
        </w:tc>
        <w:tc>
          <w:tcPr>
            <w:tcW w:w="3178" w:type="dxa"/>
            <w:vAlign w:val="center"/>
          </w:tcPr>
          <w:p w14:paraId="014696C4" w14:textId="77777777" w:rsidR="00F76A63" w:rsidRDefault="00000000">
            <w:pPr>
              <w:adjustRightInd w:val="0"/>
              <w:snapToGrid w:val="0"/>
              <w:rPr>
                <w:sz w:val="24"/>
              </w:rPr>
            </w:pPr>
            <w:r>
              <w:rPr>
                <w:sz w:val="24"/>
              </w:rPr>
              <w:sym w:font="Wingdings 2" w:char="0052"/>
            </w:r>
            <w:r>
              <w:rPr>
                <w:sz w:val="24"/>
              </w:rPr>
              <w:t>否</w:t>
            </w:r>
          </w:p>
          <w:p w14:paraId="0C129DB8" w14:textId="77777777" w:rsidR="00F76A63" w:rsidRDefault="00000000">
            <w:pPr>
              <w:adjustRightInd w:val="0"/>
              <w:snapToGrid w:val="0"/>
              <w:rPr>
                <w:sz w:val="24"/>
              </w:rPr>
            </w:pPr>
            <w:r>
              <w:rPr>
                <w:sz w:val="24"/>
              </w:rPr>
              <w:sym w:font="Wingdings 2" w:char="00A3"/>
            </w:r>
            <w:r>
              <w:rPr>
                <w:sz w:val="24"/>
              </w:rPr>
              <w:t>是：</w:t>
            </w:r>
            <w:r>
              <w:rPr>
                <w:sz w:val="24"/>
                <w:u w:val="single"/>
              </w:rPr>
              <w:t xml:space="preserve">       </w:t>
            </w:r>
          </w:p>
        </w:tc>
        <w:tc>
          <w:tcPr>
            <w:tcW w:w="2212" w:type="dxa"/>
            <w:tcMar>
              <w:top w:w="16" w:type="dxa"/>
              <w:left w:w="16" w:type="dxa"/>
              <w:right w:w="16" w:type="dxa"/>
            </w:tcMar>
            <w:vAlign w:val="center"/>
          </w:tcPr>
          <w:p w14:paraId="41395E62" w14:textId="77777777" w:rsidR="00F76A63" w:rsidRDefault="00000000">
            <w:pPr>
              <w:adjustRightInd w:val="0"/>
              <w:snapToGrid w:val="0"/>
              <w:jc w:val="center"/>
              <w:rPr>
                <w:b/>
                <w:bCs/>
                <w:spacing w:val="-6"/>
                <w:sz w:val="24"/>
              </w:rPr>
            </w:pPr>
            <w:r>
              <w:rPr>
                <w:b/>
                <w:bCs/>
                <w:spacing w:val="-6"/>
                <w:sz w:val="24"/>
              </w:rPr>
              <w:t>用地（用海）面积（</w:t>
            </w:r>
            <w:r>
              <w:rPr>
                <w:b/>
                <w:bCs/>
                <w:spacing w:val="-6"/>
                <w:sz w:val="24"/>
              </w:rPr>
              <w:t>m</w:t>
            </w:r>
            <w:r>
              <w:rPr>
                <w:b/>
                <w:bCs/>
                <w:spacing w:val="-6"/>
                <w:sz w:val="24"/>
                <w:vertAlign w:val="superscript"/>
              </w:rPr>
              <w:t>2</w:t>
            </w:r>
            <w:r>
              <w:rPr>
                <w:b/>
                <w:bCs/>
                <w:spacing w:val="-6"/>
                <w:sz w:val="24"/>
              </w:rPr>
              <w:t>）</w:t>
            </w:r>
          </w:p>
        </w:tc>
        <w:tc>
          <w:tcPr>
            <w:tcW w:w="2639" w:type="dxa"/>
            <w:vAlign w:val="center"/>
          </w:tcPr>
          <w:p w14:paraId="50E69FF8" w14:textId="77777777" w:rsidR="00F76A63" w:rsidRDefault="00000000">
            <w:pPr>
              <w:adjustRightInd w:val="0"/>
              <w:snapToGrid w:val="0"/>
              <w:jc w:val="center"/>
              <w:rPr>
                <w:bCs/>
                <w:sz w:val="24"/>
              </w:rPr>
            </w:pPr>
            <w:r>
              <w:rPr>
                <w:bCs/>
                <w:sz w:val="24"/>
              </w:rPr>
              <w:t>依托现有</w:t>
            </w:r>
          </w:p>
        </w:tc>
      </w:tr>
      <w:tr w:rsidR="00F76A63" w14:paraId="40D40907" w14:textId="77777777">
        <w:tblPrEx>
          <w:tblCellMar>
            <w:left w:w="108" w:type="dxa"/>
            <w:right w:w="108" w:type="dxa"/>
          </w:tblCellMar>
        </w:tblPrEx>
        <w:trPr>
          <w:trHeight w:val="1021"/>
          <w:jc w:val="center"/>
        </w:trPr>
        <w:tc>
          <w:tcPr>
            <w:tcW w:w="841" w:type="dxa"/>
            <w:vAlign w:val="center"/>
          </w:tcPr>
          <w:p w14:paraId="50FEBF1C" w14:textId="77777777" w:rsidR="00F76A63" w:rsidRDefault="00000000">
            <w:pPr>
              <w:autoSpaceDE w:val="0"/>
              <w:autoSpaceDN w:val="0"/>
              <w:adjustRightInd w:val="0"/>
              <w:snapToGrid w:val="0"/>
              <w:jc w:val="center"/>
              <w:rPr>
                <w:b/>
                <w:bCs/>
                <w:kern w:val="0"/>
                <w:sz w:val="24"/>
              </w:rPr>
            </w:pPr>
            <w:r>
              <w:rPr>
                <w:b/>
                <w:bCs/>
                <w:kern w:val="0"/>
                <w:sz w:val="24"/>
              </w:rPr>
              <w:t>专项评价设置情况</w:t>
            </w:r>
          </w:p>
        </w:tc>
        <w:tc>
          <w:tcPr>
            <w:tcW w:w="8029" w:type="dxa"/>
            <w:gridSpan w:val="3"/>
            <w:vAlign w:val="center"/>
          </w:tcPr>
          <w:p w14:paraId="57F673E1" w14:textId="77777777" w:rsidR="00F76A63" w:rsidRDefault="00000000">
            <w:pPr>
              <w:adjustRightInd w:val="0"/>
              <w:snapToGrid w:val="0"/>
              <w:spacing w:line="500" w:lineRule="exact"/>
              <w:ind w:firstLineChars="200" w:firstLine="480"/>
              <w:rPr>
                <w:bCs/>
                <w:sz w:val="24"/>
                <w:szCs w:val="32"/>
              </w:rPr>
            </w:pPr>
            <w:r>
              <w:rPr>
                <w:bCs/>
                <w:sz w:val="24"/>
                <w:szCs w:val="32"/>
              </w:rPr>
              <w:t>根据《建设项目环境影响报告表编制技术指南（污染影响类）（试行）》，编制报告表的项目专项评价设置原则及本项目专项设置判定情况见下表：</w:t>
            </w:r>
          </w:p>
          <w:p w14:paraId="24C86F5C" w14:textId="77777777" w:rsidR="00F76A63" w:rsidRDefault="00F76A63">
            <w:pPr>
              <w:spacing w:line="500" w:lineRule="exact"/>
              <w:jc w:val="center"/>
              <w:rPr>
                <w:b/>
                <w:bCs/>
                <w:sz w:val="24"/>
                <w:szCs w:val="32"/>
              </w:rPr>
            </w:pPr>
          </w:p>
          <w:p w14:paraId="3864D020" w14:textId="77777777" w:rsidR="00F76A63" w:rsidRDefault="00000000">
            <w:pPr>
              <w:spacing w:line="500" w:lineRule="exact"/>
              <w:jc w:val="center"/>
              <w:rPr>
                <w:kern w:val="0"/>
                <w:sz w:val="24"/>
              </w:rPr>
            </w:pPr>
            <w:r>
              <w:rPr>
                <w:b/>
                <w:bCs/>
                <w:sz w:val="24"/>
                <w:szCs w:val="32"/>
              </w:rPr>
              <w:lastRenderedPageBreak/>
              <w:t>表</w:t>
            </w:r>
            <w:r>
              <w:rPr>
                <w:b/>
                <w:bCs/>
                <w:sz w:val="24"/>
                <w:szCs w:val="32"/>
              </w:rPr>
              <w:t xml:space="preserve">1-1  </w:t>
            </w:r>
            <w:r>
              <w:rPr>
                <w:b/>
                <w:bCs/>
                <w:sz w:val="24"/>
                <w:szCs w:val="32"/>
              </w:rPr>
              <w:t>专项评价设置情况判定一览表</w:t>
            </w:r>
          </w:p>
          <w:tbl>
            <w:tblPr>
              <w:tblStyle w:val="TableNormal"/>
              <w:tblW w:w="4993" w:type="pct"/>
              <w:jc w:val="center"/>
              <w:tblInd w:w="0" w:type="dxa"/>
              <w:tblBorders>
                <w:top w:val="single" w:sz="12" w:space="0" w:color="000000"/>
                <w:bottom w:val="single" w:sz="12" w:space="0" w:color="000000"/>
                <w:insideH w:val="single" w:sz="2" w:space="0" w:color="000000"/>
                <w:insideV w:val="single" w:sz="2" w:space="0" w:color="000000"/>
              </w:tblBorders>
              <w:tblLayout w:type="fixed"/>
              <w:tblLook w:val="04A0" w:firstRow="1" w:lastRow="0" w:firstColumn="1" w:lastColumn="0" w:noHBand="0" w:noVBand="1"/>
            </w:tblPr>
            <w:tblGrid>
              <w:gridCol w:w="1050"/>
              <w:gridCol w:w="3330"/>
              <w:gridCol w:w="2529"/>
              <w:gridCol w:w="893"/>
            </w:tblGrid>
            <w:tr w:rsidR="00F76A63" w14:paraId="28E6FD87" w14:textId="77777777">
              <w:trPr>
                <w:trHeight w:val="629"/>
                <w:jc w:val="center"/>
              </w:trPr>
              <w:tc>
                <w:tcPr>
                  <w:tcW w:w="673" w:type="pct"/>
                  <w:tcBorders>
                    <w:tl2br w:val="nil"/>
                    <w:tr2bl w:val="nil"/>
                  </w:tcBorders>
                  <w:vAlign w:val="center"/>
                </w:tcPr>
                <w:p w14:paraId="0E911BD8" w14:textId="77777777" w:rsidR="00F76A63" w:rsidRDefault="00000000">
                  <w:pPr>
                    <w:jc w:val="center"/>
                    <w:rPr>
                      <w:b/>
                      <w:bCs/>
                    </w:rPr>
                  </w:pPr>
                  <w:r>
                    <w:rPr>
                      <w:b/>
                      <w:bCs/>
                    </w:rPr>
                    <w:t>专项评价的类别</w:t>
                  </w:r>
                </w:p>
              </w:tc>
              <w:tc>
                <w:tcPr>
                  <w:tcW w:w="2133" w:type="pct"/>
                  <w:tcBorders>
                    <w:tl2br w:val="nil"/>
                    <w:tr2bl w:val="nil"/>
                  </w:tcBorders>
                  <w:vAlign w:val="center"/>
                </w:tcPr>
                <w:p w14:paraId="6FE5D421" w14:textId="77777777" w:rsidR="00F76A63" w:rsidRDefault="00000000">
                  <w:pPr>
                    <w:jc w:val="center"/>
                    <w:rPr>
                      <w:b/>
                      <w:bCs/>
                    </w:rPr>
                  </w:pPr>
                  <w:r>
                    <w:rPr>
                      <w:b/>
                      <w:bCs/>
                    </w:rPr>
                    <w:t>设置原则</w:t>
                  </w:r>
                </w:p>
              </w:tc>
              <w:tc>
                <w:tcPr>
                  <w:tcW w:w="1620" w:type="pct"/>
                  <w:tcBorders>
                    <w:tl2br w:val="nil"/>
                    <w:tr2bl w:val="nil"/>
                  </w:tcBorders>
                  <w:vAlign w:val="center"/>
                </w:tcPr>
                <w:p w14:paraId="5F07EBB3" w14:textId="77777777" w:rsidR="00F76A63" w:rsidRDefault="00000000">
                  <w:pPr>
                    <w:jc w:val="center"/>
                    <w:rPr>
                      <w:b/>
                      <w:bCs/>
                    </w:rPr>
                  </w:pPr>
                  <w:r>
                    <w:rPr>
                      <w:b/>
                      <w:bCs/>
                    </w:rPr>
                    <w:t>本项目情况</w:t>
                  </w:r>
                </w:p>
              </w:tc>
              <w:tc>
                <w:tcPr>
                  <w:tcW w:w="572" w:type="pct"/>
                  <w:tcBorders>
                    <w:tl2br w:val="nil"/>
                    <w:tr2bl w:val="nil"/>
                  </w:tcBorders>
                  <w:vAlign w:val="center"/>
                </w:tcPr>
                <w:p w14:paraId="4DEA19A7" w14:textId="77777777" w:rsidR="00F76A63" w:rsidRDefault="00000000">
                  <w:pPr>
                    <w:jc w:val="center"/>
                    <w:rPr>
                      <w:b/>
                      <w:bCs/>
                    </w:rPr>
                  </w:pPr>
                  <w:r>
                    <w:rPr>
                      <w:b/>
                      <w:bCs/>
                    </w:rPr>
                    <w:t>是否设置专项</w:t>
                  </w:r>
                </w:p>
              </w:tc>
            </w:tr>
            <w:tr w:rsidR="00F76A63" w14:paraId="7A92AD58" w14:textId="77777777">
              <w:trPr>
                <w:trHeight w:val="1204"/>
                <w:jc w:val="center"/>
              </w:trPr>
              <w:tc>
                <w:tcPr>
                  <w:tcW w:w="673" w:type="pct"/>
                  <w:tcBorders>
                    <w:tl2br w:val="nil"/>
                    <w:tr2bl w:val="nil"/>
                  </w:tcBorders>
                  <w:vAlign w:val="center"/>
                </w:tcPr>
                <w:p w14:paraId="4098E010" w14:textId="77777777" w:rsidR="00F76A63" w:rsidRDefault="00000000">
                  <w:pPr>
                    <w:jc w:val="center"/>
                  </w:pPr>
                  <w:r>
                    <w:t>大气</w:t>
                  </w:r>
                </w:p>
              </w:tc>
              <w:tc>
                <w:tcPr>
                  <w:tcW w:w="2133" w:type="pct"/>
                  <w:tcBorders>
                    <w:tl2br w:val="nil"/>
                    <w:tr2bl w:val="nil"/>
                  </w:tcBorders>
                  <w:vAlign w:val="center"/>
                </w:tcPr>
                <w:p w14:paraId="43D88C3F" w14:textId="77777777" w:rsidR="00F76A63" w:rsidRDefault="00000000">
                  <w:pPr>
                    <w:jc w:val="center"/>
                  </w:pPr>
                  <w:r>
                    <w:t>排放废气含有毒有害污染物</w:t>
                  </w:r>
                  <w:r>
                    <w:rPr>
                      <w:vertAlign w:val="superscript"/>
                    </w:rPr>
                    <w:t>1</w:t>
                  </w:r>
                  <w:r>
                    <w:t>、二噁英、苯并</w:t>
                  </w:r>
                  <w:r>
                    <w:t>[a]</w:t>
                  </w:r>
                  <w:r>
                    <w:t>芘、氰化物、氯气且厂界外</w:t>
                  </w:r>
                  <w:r>
                    <w:t>500</w:t>
                  </w:r>
                  <w:r>
                    <w:t>米范围内有环境空气保护目标</w:t>
                  </w:r>
                  <w:r>
                    <w:rPr>
                      <w:vertAlign w:val="superscript"/>
                    </w:rPr>
                    <w:t>2</w:t>
                  </w:r>
                  <w:r>
                    <w:t>的建设项目</w:t>
                  </w:r>
                </w:p>
              </w:tc>
              <w:tc>
                <w:tcPr>
                  <w:tcW w:w="1620" w:type="pct"/>
                  <w:tcBorders>
                    <w:tl2br w:val="nil"/>
                    <w:tr2bl w:val="nil"/>
                  </w:tcBorders>
                  <w:vAlign w:val="center"/>
                </w:tcPr>
                <w:p w14:paraId="65891CD5" w14:textId="77777777" w:rsidR="00F76A63" w:rsidRDefault="00000000">
                  <w:pPr>
                    <w:jc w:val="center"/>
                  </w:pPr>
                  <w:r>
                    <w:t>本项目涉及有毒有害污染物二噁英等污染物排放，</w:t>
                  </w:r>
                  <w:r>
                    <w:t>500</w:t>
                  </w:r>
                  <w:r>
                    <w:t>米范围内有环境空气保护目标</w:t>
                  </w:r>
                </w:p>
              </w:tc>
              <w:tc>
                <w:tcPr>
                  <w:tcW w:w="572" w:type="pct"/>
                  <w:tcBorders>
                    <w:tl2br w:val="nil"/>
                    <w:tr2bl w:val="nil"/>
                  </w:tcBorders>
                  <w:vAlign w:val="center"/>
                </w:tcPr>
                <w:p w14:paraId="58241050" w14:textId="77777777" w:rsidR="00F76A63" w:rsidRDefault="00000000">
                  <w:pPr>
                    <w:jc w:val="center"/>
                    <w:rPr>
                      <w:b/>
                      <w:bCs/>
                    </w:rPr>
                  </w:pPr>
                  <w:r>
                    <w:rPr>
                      <w:b/>
                      <w:bCs/>
                    </w:rPr>
                    <w:t>是</w:t>
                  </w:r>
                </w:p>
              </w:tc>
            </w:tr>
            <w:tr w:rsidR="00F76A63" w14:paraId="7414568D" w14:textId="77777777">
              <w:trPr>
                <w:trHeight w:val="904"/>
                <w:jc w:val="center"/>
              </w:trPr>
              <w:tc>
                <w:tcPr>
                  <w:tcW w:w="673" w:type="pct"/>
                  <w:tcBorders>
                    <w:tl2br w:val="nil"/>
                    <w:tr2bl w:val="nil"/>
                  </w:tcBorders>
                  <w:vAlign w:val="center"/>
                </w:tcPr>
                <w:p w14:paraId="6810F277" w14:textId="77777777" w:rsidR="00F76A63" w:rsidRDefault="00000000">
                  <w:pPr>
                    <w:jc w:val="center"/>
                  </w:pPr>
                  <w:r>
                    <w:t>地表水</w:t>
                  </w:r>
                </w:p>
              </w:tc>
              <w:tc>
                <w:tcPr>
                  <w:tcW w:w="2133" w:type="pct"/>
                  <w:tcBorders>
                    <w:tl2br w:val="nil"/>
                    <w:tr2bl w:val="nil"/>
                  </w:tcBorders>
                  <w:vAlign w:val="center"/>
                </w:tcPr>
                <w:p w14:paraId="6D32B5D7" w14:textId="77777777" w:rsidR="00F76A63" w:rsidRDefault="00000000">
                  <w:pPr>
                    <w:jc w:val="center"/>
                  </w:pPr>
                  <w:r>
                    <w:t>新增工业废水直排建设项目（槽罐车外送污水处理厂的除外）；新增废水直排的污水集中处理厂</w:t>
                  </w:r>
                </w:p>
              </w:tc>
              <w:tc>
                <w:tcPr>
                  <w:tcW w:w="1620" w:type="pct"/>
                  <w:tcBorders>
                    <w:tl2br w:val="nil"/>
                    <w:tr2bl w:val="nil"/>
                  </w:tcBorders>
                  <w:vAlign w:val="center"/>
                </w:tcPr>
                <w:p w14:paraId="4D76E78D" w14:textId="77777777" w:rsidR="00F76A63" w:rsidRDefault="00000000">
                  <w:pPr>
                    <w:jc w:val="center"/>
                  </w:pPr>
                  <w:r>
                    <w:t>本项目无工业废水</w:t>
                  </w:r>
                  <w:r>
                    <w:rPr>
                      <w:rFonts w:hint="eastAsia"/>
                    </w:rPr>
                    <w:t>直排</w:t>
                  </w:r>
                </w:p>
              </w:tc>
              <w:tc>
                <w:tcPr>
                  <w:tcW w:w="572" w:type="pct"/>
                  <w:tcBorders>
                    <w:tl2br w:val="nil"/>
                    <w:tr2bl w:val="nil"/>
                  </w:tcBorders>
                  <w:vAlign w:val="center"/>
                </w:tcPr>
                <w:p w14:paraId="659DDC2B" w14:textId="77777777" w:rsidR="00F76A63" w:rsidRDefault="00000000">
                  <w:pPr>
                    <w:jc w:val="center"/>
                  </w:pPr>
                  <w:r>
                    <w:t>否</w:t>
                  </w:r>
                </w:p>
              </w:tc>
            </w:tr>
            <w:tr w:rsidR="00F76A63" w14:paraId="3614BBB3" w14:textId="77777777">
              <w:trPr>
                <w:trHeight w:val="604"/>
                <w:jc w:val="center"/>
              </w:trPr>
              <w:tc>
                <w:tcPr>
                  <w:tcW w:w="673" w:type="pct"/>
                  <w:tcBorders>
                    <w:tl2br w:val="nil"/>
                    <w:tr2bl w:val="nil"/>
                  </w:tcBorders>
                  <w:vAlign w:val="center"/>
                </w:tcPr>
                <w:p w14:paraId="4B4965DE" w14:textId="77777777" w:rsidR="00F76A63" w:rsidRDefault="00000000">
                  <w:pPr>
                    <w:jc w:val="center"/>
                  </w:pPr>
                  <w:r>
                    <w:t>环境风险</w:t>
                  </w:r>
                </w:p>
              </w:tc>
              <w:tc>
                <w:tcPr>
                  <w:tcW w:w="2133" w:type="pct"/>
                  <w:tcBorders>
                    <w:tl2br w:val="nil"/>
                    <w:tr2bl w:val="nil"/>
                  </w:tcBorders>
                  <w:vAlign w:val="center"/>
                </w:tcPr>
                <w:p w14:paraId="59D5DF39" w14:textId="77777777" w:rsidR="00F76A63" w:rsidRDefault="00000000">
                  <w:pPr>
                    <w:jc w:val="center"/>
                  </w:pPr>
                  <w:r>
                    <w:t>有毒有害和易燃易爆危险物质存储量超过临界量</w:t>
                  </w:r>
                  <w:r>
                    <w:rPr>
                      <w:vertAlign w:val="superscript"/>
                    </w:rPr>
                    <w:t>3</w:t>
                  </w:r>
                  <w:r>
                    <w:t>的建设项目</w:t>
                  </w:r>
                </w:p>
              </w:tc>
              <w:tc>
                <w:tcPr>
                  <w:tcW w:w="1620" w:type="pct"/>
                  <w:tcBorders>
                    <w:tl2br w:val="nil"/>
                    <w:tr2bl w:val="nil"/>
                  </w:tcBorders>
                  <w:vAlign w:val="center"/>
                </w:tcPr>
                <w:p w14:paraId="7CE164EC" w14:textId="77777777" w:rsidR="00F76A63" w:rsidRDefault="00000000">
                  <w:pPr>
                    <w:jc w:val="center"/>
                  </w:pPr>
                  <w:r>
                    <w:t>本项目易燃易爆物质存储量超过临界量</w:t>
                  </w:r>
                </w:p>
              </w:tc>
              <w:tc>
                <w:tcPr>
                  <w:tcW w:w="572" w:type="pct"/>
                  <w:tcBorders>
                    <w:tl2br w:val="nil"/>
                    <w:tr2bl w:val="nil"/>
                  </w:tcBorders>
                  <w:vAlign w:val="center"/>
                </w:tcPr>
                <w:p w14:paraId="6DE99C0E" w14:textId="77777777" w:rsidR="00F76A63" w:rsidRDefault="00000000">
                  <w:pPr>
                    <w:jc w:val="center"/>
                  </w:pPr>
                  <w:r>
                    <w:rPr>
                      <w:b/>
                      <w:bCs/>
                    </w:rPr>
                    <w:t>是</w:t>
                  </w:r>
                </w:p>
              </w:tc>
            </w:tr>
            <w:tr w:rsidR="00F76A63" w14:paraId="654455DB" w14:textId="77777777">
              <w:trPr>
                <w:trHeight w:val="1204"/>
                <w:jc w:val="center"/>
              </w:trPr>
              <w:tc>
                <w:tcPr>
                  <w:tcW w:w="673" w:type="pct"/>
                  <w:tcBorders>
                    <w:tl2br w:val="nil"/>
                    <w:tr2bl w:val="nil"/>
                  </w:tcBorders>
                  <w:vAlign w:val="center"/>
                </w:tcPr>
                <w:p w14:paraId="54718A2F" w14:textId="77777777" w:rsidR="00F76A63" w:rsidRDefault="00000000">
                  <w:pPr>
                    <w:jc w:val="center"/>
                  </w:pPr>
                  <w:r>
                    <w:t>生态</w:t>
                  </w:r>
                </w:p>
              </w:tc>
              <w:tc>
                <w:tcPr>
                  <w:tcW w:w="2133" w:type="pct"/>
                  <w:tcBorders>
                    <w:tl2br w:val="nil"/>
                    <w:tr2bl w:val="nil"/>
                  </w:tcBorders>
                  <w:vAlign w:val="center"/>
                </w:tcPr>
                <w:p w14:paraId="22CF03D8" w14:textId="77777777" w:rsidR="00F76A63" w:rsidRDefault="00000000">
                  <w:pPr>
                    <w:jc w:val="center"/>
                  </w:pPr>
                  <w:r>
                    <w:t>取水口下游</w:t>
                  </w:r>
                  <w:r>
                    <w:t>500</w:t>
                  </w:r>
                  <w:r>
                    <w:t>米范围内有重要水生生物的自然产卵场、索饵场、越冬场和洄游通道的新增河道取水的污染类建设项目</w:t>
                  </w:r>
                </w:p>
              </w:tc>
              <w:tc>
                <w:tcPr>
                  <w:tcW w:w="1620" w:type="pct"/>
                  <w:tcBorders>
                    <w:tl2br w:val="nil"/>
                    <w:tr2bl w:val="nil"/>
                  </w:tcBorders>
                  <w:vAlign w:val="center"/>
                </w:tcPr>
                <w:p w14:paraId="7AD335FB" w14:textId="77777777" w:rsidR="00F76A63" w:rsidRDefault="00000000">
                  <w:pPr>
                    <w:jc w:val="center"/>
                  </w:pPr>
                  <w:r>
                    <w:t>本项目用水由现有厂区提供，不新增河道取水</w:t>
                  </w:r>
                </w:p>
              </w:tc>
              <w:tc>
                <w:tcPr>
                  <w:tcW w:w="572" w:type="pct"/>
                  <w:tcBorders>
                    <w:tl2br w:val="nil"/>
                    <w:tr2bl w:val="nil"/>
                  </w:tcBorders>
                  <w:vAlign w:val="center"/>
                </w:tcPr>
                <w:p w14:paraId="13CAC716" w14:textId="77777777" w:rsidR="00F76A63" w:rsidRDefault="00000000">
                  <w:pPr>
                    <w:jc w:val="center"/>
                  </w:pPr>
                  <w:r>
                    <w:t>否</w:t>
                  </w:r>
                </w:p>
              </w:tc>
            </w:tr>
            <w:tr w:rsidR="00F76A63" w14:paraId="568CBFE0" w14:textId="77777777">
              <w:trPr>
                <w:trHeight w:val="628"/>
                <w:jc w:val="center"/>
              </w:trPr>
              <w:tc>
                <w:tcPr>
                  <w:tcW w:w="673" w:type="pct"/>
                  <w:tcBorders>
                    <w:tl2br w:val="nil"/>
                    <w:tr2bl w:val="nil"/>
                  </w:tcBorders>
                  <w:vAlign w:val="center"/>
                </w:tcPr>
                <w:p w14:paraId="099E9B9D" w14:textId="77777777" w:rsidR="00F76A63" w:rsidRDefault="00000000">
                  <w:pPr>
                    <w:jc w:val="center"/>
                  </w:pPr>
                  <w:r>
                    <w:t>海洋</w:t>
                  </w:r>
                </w:p>
              </w:tc>
              <w:tc>
                <w:tcPr>
                  <w:tcW w:w="2133" w:type="pct"/>
                  <w:tcBorders>
                    <w:tl2br w:val="nil"/>
                    <w:tr2bl w:val="nil"/>
                  </w:tcBorders>
                  <w:vAlign w:val="center"/>
                </w:tcPr>
                <w:p w14:paraId="24C47C7A" w14:textId="77777777" w:rsidR="00F76A63" w:rsidRDefault="00000000">
                  <w:pPr>
                    <w:jc w:val="center"/>
                  </w:pPr>
                  <w:r>
                    <w:t>直接向海排放污染物的海洋工程建设项目</w:t>
                  </w:r>
                </w:p>
              </w:tc>
              <w:tc>
                <w:tcPr>
                  <w:tcW w:w="1620" w:type="pct"/>
                  <w:tcBorders>
                    <w:tl2br w:val="nil"/>
                    <w:tr2bl w:val="nil"/>
                  </w:tcBorders>
                  <w:vAlign w:val="center"/>
                </w:tcPr>
                <w:p w14:paraId="20E80EC4" w14:textId="77777777" w:rsidR="00F76A63" w:rsidRDefault="00000000">
                  <w:pPr>
                    <w:jc w:val="center"/>
                  </w:pPr>
                  <w:r>
                    <w:t>本项目不属于海洋工程建设项目</w:t>
                  </w:r>
                </w:p>
              </w:tc>
              <w:tc>
                <w:tcPr>
                  <w:tcW w:w="572" w:type="pct"/>
                  <w:tcBorders>
                    <w:tl2br w:val="nil"/>
                    <w:tr2bl w:val="nil"/>
                  </w:tcBorders>
                  <w:vAlign w:val="center"/>
                </w:tcPr>
                <w:p w14:paraId="018B42C2" w14:textId="77777777" w:rsidR="00F76A63" w:rsidRDefault="00000000">
                  <w:pPr>
                    <w:jc w:val="center"/>
                  </w:pPr>
                  <w:r>
                    <w:t>否</w:t>
                  </w:r>
                </w:p>
              </w:tc>
            </w:tr>
          </w:tbl>
          <w:p w14:paraId="70A9E571" w14:textId="77777777" w:rsidR="00F76A63" w:rsidRDefault="00000000">
            <w:pPr>
              <w:pStyle w:val="00"/>
              <w:spacing w:line="240" w:lineRule="auto"/>
              <w:jc w:val="both"/>
              <w:rPr>
                <w:sz w:val="18"/>
                <w:szCs w:val="18"/>
              </w:rPr>
            </w:pPr>
            <w:r>
              <w:rPr>
                <w:sz w:val="18"/>
                <w:szCs w:val="18"/>
              </w:rPr>
              <w:t>注：</w:t>
            </w:r>
            <w:r>
              <w:rPr>
                <w:sz w:val="18"/>
                <w:szCs w:val="18"/>
              </w:rPr>
              <w:t>1.</w:t>
            </w:r>
            <w:r>
              <w:rPr>
                <w:sz w:val="18"/>
                <w:szCs w:val="18"/>
              </w:rPr>
              <w:t>废气中有毒有害污染物指纳入《有毒有害大气污染物名录》的污染物（不包括无排放标准的污染物）；</w:t>
            </w:r>
            <w:r>
              <w:rPr>
                <w:sz w:val="18"/>
                <w:szCs w:val="18"/>
              </w:rPr>
              <w:t>2.</w:t>
            </w:r>
            <w:r>
              <w:rPr>
                <w:sz w:val="18"/>
                <w:szCs w:val="18"/>
              </w:rPr>
              <w:t>环境空气保护目标指自然保护区、风景名胜区、居住区、文化区和农村地区中人群较集中的区域。</w:t>
            </w:r>
            <w:r>
              <w:rPr>
                <w:sz w:val="18"/>
                <w:szCs w:val="18"/>
              </w:rPr>
              <w:t>3.</w:t>
            </w:r>
            <w:r>
              <w:rPr>
                <w:sz w:val="18"/>
                <w:szCs w:val="18"/>
              </w:rPr>
              <w:t>临界量及其计算方法可参考《建设项目环境风险评价技术导则》（</w:t>
            </w:r>
            <w:r>
              <w:rPr>
                <w:sz w:val="18"/>
                <w:szCs w:val="18"/>
              </w:rPr>
              <w:t>HJ169</w:t>
            </w:r>
            <w:r>
              <w:rPr>
                <w:sz w:val="18"/>
                <w:szCs w:val="18"/>
              </w:rPr>
              <w:t>）附录</w:t>
            </w:r>
            <w:r>
              <w:rPr>
                <w:sz w:val="18"/>
                <w:szCs w:val="18"/>
              </w:rPr>
              <w:t>B</w:t>
            </w:r>
            <w:r>
              <w:rPr>
                <w:sz w:val="18"/>
                <w:szCs w:val="18"/>
              </w:rPr>
              <w:t>、附录</w:t>
            </w:r>
            <w:r>
              <w:rPr>
                <w:sz w:val="18"/>
                <w:szCs w:val="18"/>
              </w:rPr>
              <w:t>C</w:t>
            </w:r>
            <w:r>
              <w:rPr>
                <w:sz w:val="18"/>
                <w:szCs w:val="18"/>
              </w:rPr>
              <w:t>。</w:t>
            </w:r>
          </w:p>
        </w:tc>
      </w:tr>
      <w:tr w:rsidR="00F76A63" w14:paraId="609BA066" w14:textId="77777777">
        <w:tblPrEx>
          <w:tblCellMar>
            <w:left w:w="108" w:type="dxa"/>
            <w:right w:w="108" w:type="dxa"/>
          </w:tblCellMar>
        </w:tblPrEx>
        <w:trPr>
          <w:trHeight w:val="1021"/>
          <w:jc w:val="center"/>
        </w:trPr>
        <w:tc>
          <w:tcPr>
            <w:tcW w:w="841" w:type="dxa"/>
            <w:vAlign w:val="center"/>
          </w:tcPr>
          <w:p w14:paraId="216B1774" w14:textId="77777777" w:rsidR="00F76A63" w:rsidRDefault="00000000">
            <w:pPr>
              <w:autoSpaceDE w:val="0"/>
              <w:autoSpaceDN w:val="0"/>
              <w:adjustRightInd w:val="0"/>
              <w:snapToGrid w:val="0"/>
              <w:jc w:val="center"/>
              <w:rPr>
                <w:b/>
                <w:bCs/>
                <w:kern w:val="0"/>
                <w:sz w:val="24"/>
              </w:rPr>
            </w:pPr>
            <w:r>
              <w:rPr>
                <w:b/>
                <w:bCs/>
                <w:sz w:val="24"/>
              </w:rPr>
              <w:lastRenderedPageBreak/>
              <w:t>规划情况</w:t>
            </w:r>
          </w:p>
        </w:tc>
        <w:tc>
          <w:tcPr>
            <w:tcW w:w="8029" w:type="dxa"/>
            <w:gridSpan w:val="3"/>
            <w:vAlign w:val="center"/>
          </w:tcPr>
          <w:p w14:paraId="246F82AD" w14:textId="77777777" w:rsidR="00F76A63" w:rsidRDefault="00000000">
            <w:pPr>
              <w:pStyle w:val="afffffffffffff1"/>
            </w:pPr>
            <w:r>
              <w:t>1</w:t>
            </w:r>
            <w:r>
              <w:t>、规划名称：《</w:t>
            </w:r>
            <w:bookmarkStart w:id="9" w:name="OLE_LINK66"/>
            <w:r>
              <w:t>镇江市国土空间总体规划（</w:t>
            </w:r>
            <w:r>
              <w:t>2021-2035</w:t>
            </w:r>
            <w:r>
              <w:t>）</w:t>
            </w:r>
            <w:bookmarkEnd w:id="9"/>
            <w:r>
              <w:t>》；</w:t>
            </w:r>
          </w:p>
          <w:p w14:paraId="64F4EFE7" w14:textId="77777777" w:rsidR="00F76A63" w:rsidRDefault="00000000">
            <w:pPr>
              <w:pStyle w:val="afffffffffffff1"/>
            </w:pPr>
            <w:r>
              <w:t>审批机关：江苏省人民政府；</w:t>
            </w:r>
          </w:p>
          <w:p w14:paraId="23A44E95" w14:textId="77777777" w:rsidR="00F76A63" w:rsidRDefault="00000000">
            <w:pPr>
              <w:pStyle w:val="afffffffffffff1"/>
            </w:pPr>
            <w:r>
              <w:t>审批文件名称及文号：</w:t>
            </w:r>
            <w:r>
              <w:rPr>
                <w:rFonts w:hint="eastAsia"/>
              </w:rPr>
              <w:t>《江苏省人民政府关于镇江市国土空间总体规划（</w:t>
            </w:r>
            <w:r>
              <w:rPr>
                <w:rFonts w:hint="eastAsia"/>
              </w:rPr>
              <w:t>2021-2035</w:t>
            </w:r>
            <w:r>
              <w:rPr>
                <w:rFonts w:hint="eastAsia"/>
              </w:rPr>
              <w:t>年）的批复》（</w:t>
            </w:r>
            <w:r>
              <w:t>苏政复</w:t>
            </w:r>
            <w:r>
              <w:t>[2023]25</w:t>
            </w:r>
            <w:r>
              <w:t>号</w:t>
            </w:r>
            <w:r>
              <w:rPr>
                <w:rFonts w:hint="eastAsia"/>
              </w:rPr>
              <w:t>）</w:t>
            </w:r>
            <w:r>
              <w:t>；</w:t>
            </w:r>
          </w:p>
          <w:p w14:paraId="71675F8D" w14:textId="77777777" w:rsidR="00F76A63" w:rsidRDefault="00000000">
            <w:pPr>
              <w:pStyle w:val="afffffffffffff1"/>
            </w:pPr>
            <w:r>
              <w:rPr>
                <w:rFonts w:hint="eastAsia"/>
              </w:rPr>
              <w:t>2</w:t>
            </w:r>
            <w:r>
              <w:t>、规划名称：</w:t>
            </w:r>
            <w:bookmarkStart w:id="10" w:name="OLE_LINK11"/>
            <w:r>
              <w:t>《句容市下蜀镇总体规划（</w:t>
            </w:r>
            <w:r>
              <w:t>2017-2035</w:t>
            </w:r>
            <w:r>
              <w:t>年）》；</w:t>
            </w:r>
          </w:p>
          <w:bookmarkEnd w:id="10"/>
          <w:p w14:paraId="25C9919F" w14:textId="77777777" w:rsidR="00F76A63" w:rsidRDefault="00000000">
            <w:pPr>
              <w:pStyle w:val="afffffffffffff1"/>
            </w:pPr>
            <w:r>
              <w:t>审批机关：句容市人民政府；</w:t>
            </w:r>
          </w:p>
          <w:p w14:paraId="40E43BBB" w14:textId="77777777" w:rsidR="00F76A63" w:rsidRDefault="00000000">
            <w:pPr>
              <w:pStyle w:val="afffffffffffff1"/>
            </w:pPr>
            <w:r>
              <w:t>审批文件名称及文号：《句容市人民政府关于同意〈下蜀镇总体规划（</w:t>
            </w:r>
            <w:r>
              <w:t>2017-2035</w:t>
            </w:r>
            <w:r>
              <w:t>年）〉的批复》（句政复</w:t>
            </w:r>
            <w:r>
              <w:t>[2019]38</w:t>
            </w:r>
            <w:r>
              <w:t>号）；</w:t>
            </w:r>
          </w:p>
          <w:p w14:paraId="0ED44CE7" w14:textId="77777777" w:rsidR="00F76A63" w:rsidRDefault="00000000">
            <w:pPr>
              <w:pStyle w:val="afffffffffffff1"/>
            </w:pPr>
            <w:r>
              <w:rPr>
                <w:rFonts w:hint="eastAsia"/>
              </w:rPr>
              <w:t>3</w:t>
            </w:r>
            <w:r>
              <w:t>、规划名称：</w:t>
            </w:r>
            <w:bookmarkStart w:id="11" w:name="_Hlk200895605"/>
            <w:r>
              <w:t>《句容下蜀高新技术产业园开发建设规划（</w:t>
            </w:r>
            <w:r>
              <w:t>2021—2035</w:t>
            </w:r>
            <w:r>
              <w:t>年）》</w:t>
            </w:r>
            <w:bookmarkEnd w:id="11"/>
            <w:r>
              <w:t>；</w:t>
            </w:r>
          </w:p>
          <w:p w14:paraId="0196F6D7" w14:textId="77777777" w:rsidR="00F76A63" w:rsidRDefault="00000000">
            <w:pPr>
              <w:pStyle w:val="afffffffffffff1"/>
            </w:pPr>
            <w:r>
              <w:t>审查机关：句容市人民政府；</w:t>
            </w:r>
          </w:p>
          <w:p w14:paraId="17883D12" w14:textId="77777777" w:rsidR="00F76A63" w:rsidRDefault="00000000">
            <w:pPr>
              <w:pStyle w:val="afffffffffffff1"/>
            </w:pPr>
            <w:r>
              <w:t>审查文件名称及文号：</w:t>
            </w:r>
            <w:bookmarkStart w:id="12" w:name="_Hlk200895615"/>
            <w:r>
              <w:t>句政复</w:t>
            </w:r>
            <w:r>
              <w:t>[2021]4</w:t>
            </w:r>
            <w:r>
              <w:t>号</w:t>
            </w:r>
            <w:bookmarkEnd w:id="12"/>
            <w:r>
              <w:t>。</w:t>
            </w:r>
          </w:p>
        </w:tc>
      </w:tr>
      <w:tr w:rsidR="00F76A63" w14:paraId="1795E932" w14:textId="77777777">
        <w:tblPrEx>
          <w:tblCellMar>
            <w:left w:w="108" w:type="dxa"/>
            <w:right w:w="108" w:type="dxa"/>
          </w:tblCellMar>
        </w:tblPrEx>
        <w:trPr>
          <w:trHeight w:val="736"/>
          <w:jc w:val="center"/>
        </w:trPr>
        <w:tc>
          <w:tcPr>
            <w:tcW w:w="841" w:type="dxa"/>
            <w:vAlign w:val="center"/>
          </w:tcPr>
          <w:p w14:paraId="4D654B9F" w14:textId="77777777" w:rsidR="00F76A63" w:rsidRDefault="00000000">
            <w:pPr>
              <w:adjustRightInd w:val="0"/>
              <w:snapToGrid w:val="0"/>
              <w:jc w:val="center"/>
              <w:rPr>
                <w:b/>
                <w:bCs/>
                <w:sz w:val="24"/>
              </w:rPr>
            </w:pPr>
            <w:r>
              <w:rPr>
                <w:b/>
                <w:bCs/>
                <w:sz w:val="24"/>
              </w:rPr>
              <w:t>规划环境影响</w:t>
            </w:r>
            <w:r>
              <w:rPr>
                <w:b/>
                <w:bCs/>
                <w:sz w:val="24"/>
              </w:rPr>
              <w:lastRenderedPageBreak/>
              <w:t>评价情况</w:t>
            </w:r>
          </w:p>
        </w:tc>
        <w:tc>
          <w:tcPr>
            <w:tcW w:w="8029" w:type="dxa"/>
            <w:gridSpan w:val="3"/>
            <w:vAlign w:val="center"/>
          </w:tcPr>
          <w:p w14:paraId="4212FDC2" w14:textId="77777777" w:rsidR="00F76A63" w:rsidRDefault="00000000">
            <w:pPr>
              <w:autoSpaceDE w:val="0"/>
              <w:autoSpaceDN w:val="0"/>
              <w:adjustRightInd w:val="0"/>
              <w:snapToGrid w:val="0"/>
              <w:spacing w:line="500" w:lineRule="exact"/>
              <w:rPr>
                <w:bCs/>
                <w:kern w:val="0"/>
                <w:sz w:val="24"/>
              </w:rPr>
            </w:pPr>
            <w:r>
              <w:rPr>
                <w:bCs/>
                <w:kern w:val="0"/>
                <w:sz w:val="24"/>
              </w:rPr>
              <w:lastRenderedPageBreak/>
              <w:t>1</w:t>
            </w:r>
            <w:r>
              <w:rPr>
                <w:bCs/>
                <w:kern w:val="0"/>
                <w:sz w:val="24"/>
              </w:rPr>
              <w:t>、文件名称：</w:t>
            </w:r>
            <w:bookmarkStart w:id="13" w:name="_Hlk200895630"/>
            <w:r>
              <w:rPr>
                <w:bCs/>
                <w:kern w:val="0"/>
                <w:sz w:val="24"/>
              </w:rPr>
              <w:t>《句容市下蜀高新技术产业园开发建设规划环境影响报告书》</w:t>
            </w:r>
            <w:bookmarkEnd w:id="13"/>
            <w:r>
              <w:rPr>
                <w:bCs/>
                <w:kern w:val="0"/>
                <w:sz w:val="24"/>
              </w:rPr>
              <w:t>；</w:t>
            </w:r>
          </w:p>
          <w:p w14:paraId="6D9DE400" w14:textId="77777777" w:rsidR="00F76A63" w:rsidRDefault="00000000">
            <w:pPr>
              <w:autoSpaceDE w:val="0"/>
              <w:autoSpaceDN w:val="0"/>
              <w:adjustRightInd w:val="0"/>
              <w:snapToGrid w:val="0"/>
              <w:spacing w:line="500" w:lineRule="exact"/>
              <w:rPr>
                <w:bCs/>
                <w:kern w:val="0"/>
                <w:sz w:val="24"/>
              </w:rPr>
            </w:pPr>
            <w:r>
              <w:rPr>
                <w:bCs/>
                <w:kern w:val="0"/>
                <w:sz w:val="24"/>
              </w:rPr>
              <w:t>召集审查机关：镇江市句容生态环境局；</w:t>
            </w:r>
          </w:p>
          <w:p w14:paraId="5D40BCC0" w14:textId="77777777" w:rsidR="00F76A63" w:rsidRDefault="00000000">
            <w:pPr>
              <w:autoSpaceDE w:val="0"/>
              <w:autoSpaceDN w:val="0"/>
              <w:adjustRightInd w:val="0"/>
              <w:snapToGrid w:val="0"/>
              <w:spacing w:line="500" w:lineRule="exact"/>
              <w:rPr>
                <w:bCs/>
                <w:kern w:val="0"/>
                <w:sz w:val="24"/>
              </w:rPr>
            </w:pPr>
            <w:bookmarkStart w:id="14" w:name="OLE_LINK12"/>
            <w:r>
              <w:rPr>
                <w:bCs/>
                <w:kern w:val="0"/>
                <w:sz w:val="24"/>
              </w:rPr>
              <w:lastRenderedPageBreak/>
              <w:t>审查文件名称及文号：</w:t>
            </w:r>
            <w:bookmarkEnd w:id="14"/>
            <w:r>
              <w:rPr>
                <w:bCs/>
                <w:kern w:val="0"/>
                <w:sz w:val="24"/>
              </w:rPr>
              <w:t>《关于〈句容市下蜀高新技术产业园开发建设规划环境影响报告书〉的审查意见》（</w:t>
            </w:r>
            <w:bookmarkStart w:id="15" w:name="_Hlk200895641"/>
            <w:r>
              <w:rPr>
                <w:bCs/>
                <w:kern w:val="0"/>
                <w:sz w:val="24"/>
              </w:rPr>
              <w:t>句环字</w:t>
            </w:r>
            <w:r>
              <w:rPr>
                <w:bCs/>
                <w:kern w:val="0"/>
                <w:sz w:val="24"/>
              </w:rPr>
              <w:t>[2024]50</w:t>
            </w:r>
            <w:r>
              <w:rPr>
                <w:bCs/>
                <w:kern w:val="0"/>
                <w:sz w:val="24"/>
              </w:rPr>
              <w:t>号</w:t>
            </w:r>
            <w:bookmarkEnd w:id="15"/>
            <w:r>
              <w:rPr>
                <w:bCs/>
                <w:kern w:val="0"/>
                <w:sz w:val="24"/>
              </w:rPr>
              <w:t>）；</w:t>
            </w:r>
          </w:p>
        </w:tc>
      </w:tr>
      <w:tr w:rsidR="00F76A63" w14:paraId="00EE4CFF" w14:textId="77777777">
        <w:tblPrEx>
          <w:tblCellMar>
            <w:left w:w="108" w:type="dxa"/>
            <w:right w:w="108" w:type="dxa"/>
          </w:tblCellMar>
        </w:tblPrEx>
        <w:trPr>
          <w:trHeight w:val="6090"/>
          <w:jc w:val="center"/>
        </w:trPr>
        <w:tc>
          <w:tcPr>
            <w:tcW w:w="841" w:type="dxa"/>
            <w:vAlign w:val="center"/>
          </w:tcPr>
          <w:p w14:paraId="6D1FD5AA" w14:textId="77777777" w:rsidR="00F76A63" w:rsidRDefault="00000000">
            <w:pPr>
              <w:autoSpaceDE w:val="0"/>
              <w:autoSpaceDN w:val="0"/>
              <w:adjustRightInd w:val="0"/>
              <w:snapToGrid w:val="0"/>
              <w:jc w:val="center"/>
              <w:rPr>
                <w:b/>
                <w:bCs/>
                <w:kern w:val="0"/>
                <w:sz w:val="24"/>
              </w:rPr>
            </w:pPr>
            <w:bookmarkStart w:id="16" w:name="_Hlk191562227"/>
            <w:r>
              <w:rPr>
                <w:b/>
                <w:bCs/>
                <w:kern w:val="0"/>
                <w:sz w:val="24"/>
              </w:rPr>
              <w:lastRenderedPageBreak/>
              <w:t>规划及规划环境影响评价符合性分析</w:t>
            </w:r>
          </w:p>
        </w:tc>
        <w:tc>
          <w:tcPr>
            <w:tcW w:w="8029" w:type="dxa"/>
            <w:gridSpan w:val="3"/>
            <w:vAlign w:val="center"/>
          </w:tcPr>
          <w:p w14:paraId="7954C4EE" w14:textId="77777777" w:rsidR="00F76A63" w:rsidRDefault="00000000">
            <w:pPr>
              <w:adjustRightInd w:val="0"/>
              <w:snapToGrid w:val="0"/>
              <w:spacing w:line="500" w:lineRule="exact"/>
              <w:ind w:firstLineChars="200" w:firstLine="482"/>
              <w:rPr>
                <w:b/>
                <w:bCs/>
                <w:sz w:val="24"/>
              </w:rPr>
            </w:pPr>
            <w:r>
              <w:rPr>
                <w:b/>
                <w:bCs/>
                <w:sz w:val="24"/>
              </w:rPr>
              <w:t>1</w:t>
            </w:r>
            <w:r>
              <w:rPr>
                <w:b/>
                <w:bCs/>
                <w:sz w:val="24"/>
              </w:rPr>
              <w:t>、与</w:t>
            </w:r>
            <w:bookmarkStart w:id="17" w:name="_Hlk200895664"/>
            <w:r>
              <w:rPr>
                <w:b/>
                <w:bCs/>
                <w:sz w:val="24"/>
              </w:rPr>
              <w:t>《</w:t>
            </w:r>
            <w:bookmarkStart w:id="18" w:name="OLE_LINK18"/>
            <w:r>
              <w:rPr>
                <w:b/>
                <w:bCs/>
                <w:sz w:val="24"/>
              </w:rPr>
              <w:t>镇江市国土空间总体规划（</w:t>
            </w:r>
            <w:r>
              <w:rPr>
                <w:b/>
                <w:bCs/>
                <w:sz w:val="24"/>
              </w:rPr>
              <w:t>2021—2035</w:t>
            </w:r>
            <w:r>
              <w:rPr>
                <w:b/>
                <w:bCs/>
                <w:sz w:val="24"/>
              </w:rPr>
              <w:t>年）</w:t>
            </w:r>
            <w:bookmarkEnd w:id="18"/>
            <w:r>
              <w:rPr>
                <w:b/>
                <w:bCs/>
                <w:sz w:val="24"/>
              </w:rPr>
              <w:t>》</w:t>
            </w:r>
            <w:bookmarkEnd w:id="17"/>
            <w:r>
              <w:rPr>
                <w:b/>
                <w:bCs/>
                <w:sz w:val="24"/>
              </w:rPr>
              <w:t>相符性分析</w:t>
            </w:r>
          </w:p>
          <w:p w14:paraId="4413C723" w14:textId="77777777" w:rsidR="00F76A63" w:rsidRDefault="00000000">
            <w:pPr>
              <w:adjustRightInd w:val="0"/>
              <w:snapToGrid w:val="0"/>
              <w:spacing w:line="500" w:lineRule="exact"/>
              <w:ind w:firstLineChars="200" w:firstLine="480"/>
              <w:rPr>
                <w:sz w:val="24"/>
              </w:rPr>
            </w:pPr>
            <w:r>
              <w:rPr>
                <w:sz w:val="24"/>
              </w:rPr>
              <w:t>根据《镇江市国土空间总体规划（</w:t>
            </w:r>
            <w:r>
              <w:rPr>
                <w:sz w:val="24"/>
              </w:rPr>
              <w:t>2021—2035</w:t>
            </w:r>
            <w:r>
              <w:rPr>
                <w:sz w:val="24"/>
              </w:rPr>
              <w:t>年）》，本项目位于镇江市国土空间总体规划</w:t>
            </w:r>
            <w:r>
              <w:rPr>
                <w:sz w:val="24"/>
              </w:rPr>
              <w:t>“</w:t>
            </w:r>
            <w:r>
              <w:rPr>
                <w:sz w:val="24"/>
              </w:rPr>
              <w:t>三区三线</w:t>
            </w:r>
            <w:r>
              <w:rPr>
                <w:sz w:val="24"/>
              </w:rPr>
              <w:t>”</w:t>
            </w:r>
            <w:r>
              <w:rPr>
                <w:sz w:val="24"/>
              </w:rPr>
              <w:t>中的城镇开发边界内，不涉及</w:t>
            </w:r>
            <w:r>
              <w:rPr>
                <w:sz w:val="24"/>
              </w:rPr>
              <w:t>“</w:t>
            </w:r>
            <w:r>
              <w:rPr>
                <w:sz w:val="24"/>
              </w:rPr>
              <w:t>三区三线</w:t>
            </w:r>
            <w:r>
              <w:rPr>
                <w:sz w:val="24"/>
              </w:rPr>
              <w:t>”</w:t>
            </w:r>
            <w:r>
              <w:rPr>
                <w:sz w:val="24"/>
              </w:rPr>
              <w:t>划定成果中的生态保护红线。因此，本项目符合《镇江市国土空间总体规划（</w:t>
            </w:r>
            <w:r>
              <w:rPr>
                <w:sz w:val="24"/>
              </w:rPr>
              <w:t>2021—2035</w:t>
            </w:r>
            <w:r>
              <w:rPr>
                <w:sz w:val="24"/>
              </w:rPr>
              <w:t>年）》要求。</w:t>
            </w:r>
          </w:p>
          <w:p w14:paraId="45CB5A1D" w14:textId="77777777" w:rsidR="00F76A63" w:rsidRDefault="00000000">
            <w:pPr>
              <w:adjustRightInd w:val="0"/>
              <w:snapToGrid w:val="0"/>
              <w:spacing w:line="500" w:lineRule="exact"/>
              <w:ind w:firstLineChars="200" w:firstLine="482"/>
              <w:rPr>
                <w:b/>
                <w:bCs/>
                <w:sz w:val="24"/>
              </w:rPr>
            </w:pPr>
            <w:bookmarkStart w:id="19" w:name="OLE_LINK50"/>
            <w:r>
              <w:rPr>
                <w:rFonts w:hint="eastAsia"/>
                <w:b/>
                <w:bCs/>
                <w:sz w:val="24"/>
              </w:rPr>
              <w:t>2</w:t>
            </w:r>
            <w:r>
              <w:rPr>
                <w:b/>
                <w:bCs/>
                <w:sz w:val="24"/>
              </w:rPr>
              <w:t>、与《句容市下蜀镇总体规划（</w:t>
            </w:r>
            <w:r>
              <w:rPr>
                <w:b/>
                <w:bCs/>
                <w:sz w:val="24"/>
              </w:rPr>
              <w:t>2017—2035</w:t>
            </w:r>
            <w:r>
              <w:rPr>
                <w:b/>
                <w:bCs/>
                <w:sz w:val="24"/>
              </w:rPr>
              <w:t>年）》符合性分析</w:t>
            </w:r>
          </w:p>
          <w:p w14:paraId="254CE08E" w14:textId="77777777" w:rsidR="00F76A63" w:rsidRDefault="00000000">
            <w:pPr>
              <w:adjustRightInd w:val="0"/>
              <w:snapToGrid w:val="0"/>
              <w:spacing w:line="500" w:lineRule="exact"/>
              <w:ind w:firstLineChars="200" w:firstLine="480"/>
              <w:rPr>
                <w:sz w:val="24"/>
              </w:rPr>
            </w:pPr>
            <w:r>
              <w:rPr>
                <w:sz w:val="24"/>
              </w:rPr>
              <w:t>（</w:t>
            </w:r>
            <w:r>
              <w:rPr>
                <w:sz w:val="24"/>
              </w:rPr>
              <w:t>1</w:t>
            </w:r>
            <w:r>
              <w:rPr>
                <w:sz w:val="24"/>
              </w:rPr>
              <w:t>）规划范围：规划范围包括镇域和镇区两个空间层次。镇域规划范围：下蜀镇行政辖区，总面积约</w:t>
            </w:r>
            <w:r>
              <w:rPr>
                <w:sz w:val="24"/>
              </w:rPr>
              <w:t>130.94</w:t>
            </w:r>
            <w:r>
              <w:rPr>
                <w:sz w:val="24"/>
              </w:rPr>
              <w:t>平方公里；镇区规划范围：包括工业区、生活区和科教区。北起长江沿岸及纬一路，南至沪宁城际铁路和规划站前路，西起邹王路及新城路，东至规划新大公路及下蜀镇行政边界，规划面积约</w:t>
            </w:r>
            <w:r>
              <w:rPr>
                <w:sz w:val="24"/>
              </w:rPr>
              <w:t>16.08</w:t>
            </w:r>
            <w:r>
              <w:rPr>
                <w:sz w:val="24"/>
              </w:rPr>
              <w:t>平方公里。</w:t>
            </w:r>
          </w:p>
          <w:p w14:paraId="114F6F25" w14:textId="77777777" w:rsidR="00F76A63" w:rsidRDefault="00000000">
            <w:pPr>
              <w:adjustRightInd w:val="0"/>
              <w:snapToGrid w:val="0"/>
              <w:spacing w:line="500" w:lineRule="exact"/>
              <w:ind w:firstLineChars="200" w:firstLine="480"/>
              <w:rPr>
                <w:sz w:val="24"/>
              </w:rPr>
            </w:pPr>
            <w:r>
              <w:rPr>
                <w:sz w:val="24"/>
              </w:rPr>
              <w:t>（</w:t>
            </w:r>
            <w:r>
              <w:rPr>
                <w:sz w:val="24"/>
              </w:rPr>
              <w:t>2</w:t>
            </w:r>
            <w:r>
              <w:rPr>
                <w:sz w:val="24"/>
              </w:rPr>
              <w:t>）规划时段：近期：</w:t>
            </w:r>
            <w:r>
              <w:rPr>
                <w:sz w:val="24"/>
              </w:rPr>
              <w:t>2017—2025</w:t>
            </w:r>
            <w:r>
              <w:rPr>
                <w:sz w:val="24"/>
              </w:rPr>
              <w:t>年；远期：</w:t>
            </w:r>
            <w:r>
              <w:rPr>
                <w:sz w:val="24"/>
              </w:rPr>
              <w:t>2026—2035</w:t>
            </w:r>
            <w:r>
              <w:rPr>
                <w:sz w:val="24"/>
              </w:rPr>
              <w:t>年。</w:t>
            </w:r>
          </w:p>
          <w:p w14:paraId="2F67A3D4" w14:textId="77777777" w:rsidR="00F76A63" w:rsidRDefault="00000000">
            <w:pPr>
              <w:adjustRightInd w:val="0"/>
              <w:snapToGrid w:val="0"/>
              <w:spacing w:line="500" w:lineRule="exact"/>
              <w:ind w:firstLineChars="200" w:firstLine="480"/>
              <w:rPr>
                <w:sz w:val="24"/>
              </w:rPr>
            </w:pPr>
            <w:r>
              <w:rPr>
                <w:sz w:val="24"/>
              </w:rPr>
              <w:t>（</w:t>
            </w:r>
            <w:r>
              <w:rPr>
                <w:sz w:val="24"/>
              </w:rPr>
              <w:t>3</w:t>
            </w:r>
            <w:r>
              <w:rPr>
                <w:sz w:val="24"/>
              </w:rPr>
              <w:t>）产业定位：以绿色建材为主导，推动产业壮大提升，构建先进制造业、现代物流、茶产业生态农业和休闲旅游一体化发展的格局。</w:t>
            </w:r>
          </w:p>
          <w:p w14:paraId="3604B723" w14:textId="77777777" w:rsidR="00F76A63" w:rsidRDefault="00000000">
            <w:pPr>
              <w:adjustRightInd w:val="0"/>
              <w:snapToGrid w:val="0"/>
              <w:spacing w:line="500" w:lineRule="exact"/>
              <w:ind w:firstLineChars="200" w:firstLine="480"/>
              <w:rPr>
                <w:sz w:val="24"/>
              </w:rPr>
            </w:pPr>
            <w:r>
              <w:rPr>
                <w:sz w:val="24"/>
              </w:rPr>
              <w:t>本项目行业类别为</w:t>
            </w:r>
            <w:r>
              <w:rPr>
                <w:sz w:val="24"/>
              </w:rPr>
              <w:t>“</w:t>
            </w:r>
            <w:r>
              <w:rPr>
                <w:sz w:val="24"/>
              </w:rPr>
              <w:t>四十七、生态保护和环境治理业</w:t>
            </w:r>
            <w:r>
              <w:rPr>
                <w:sz w:val="24"/>
              </w:rPr>
              <w:t>”</w:t>
            </w:r>
            <w:r>
              <w:rPr>
                <w:sz w:val="24"/>
              </w:rPr>
              <w:t>中</w:t>
            </w:r>
            <w:r>
              <w:rPr>
                <w:sz w:val="24"/>
              </w:rPr>
              <w:t>“</w:t>
            </w:r>
            <w:r>
              <w:rPr>
                <w:sz w:val="24"/>
              </w:rPr>
              <w:t>一般工业固体废物（含污水处理污泥）、建筑施工废弃物处置及综合利用的其他</w:t>
            </w:r>
            <w:r>
              <w:rPr>
                <w:sz w:val="24"/>
              </w:rPr>
              <w:t>”</w:t>
            </w:r>
            <w:r>
              <w:rPr>
                <w:sz w:val="24"/>
              </w:rPr>
              <w:t>，属于</w:t>
            </w:r>
            <w:r>
              <w:rPr>
                <w:sz w:val="24"/>
              </w:rPr>
              <w:t>[N7723]</w:t>
            </w:r>
            <w:r>
              <w:rPr>
                <w:sz w:val="24"/>
              </w:rPr>
              <w:t>固体废物治理，</w:t>
            </w:r>
            <w:r>
              <w:rPr>
                <w:rFonts w:hint="eastAsia"/>
                <w:sz w:val="24"/>
              </w:rPr>
              <w:t>不属于园区</w:t>
            </w:r>
            <w:r>
              <w:rPr>
                <w:sz w:val="24"/>
              </w:rPr>
              <w:t>禁止引入类产业，因此本项目建设符合句容市下蜀镇总体规划。</w:t>
            </w:r>
          </w:p>
          <w:p w14:paraId="6DF27940" w14:textId="77777777" w:rsidR="00F76A63" w:rsidRDefault="00000000">
            <w:pPr>
              <w:adjustRightInd w:val="0"/>
              <w:snapToGrid w:val="0"/>
              <w:spacing w:line="500" w:lineRule="exact"/>
              <w:ind w:firstLineChars="200" w:firstLine="482"/>
              <w:rPr>
                <w:b/>
                <w:bCs/>
                <w:sz w:val="24"/>
              </w:rPr>
            </w:pPr>
            <w:r>
              <w:rPr>
                <w:rFonts w:hint="eastAsia"/>
                <w:b/>
                <w:bCs/>
                <w:sz w:val="24"/>
              </w:rPr>
              <w:t>3</w:t>
            </w:r>
            <w:r>
              <w:rPr>
                <w:b/>
                <w:bCs/>
                <w:sz w:val="24"/>
              </w:rPr>
              <w:t>、与《句容下蜀高新技术产业园开发建设规划（</w:t>
            </w:r>
            <w:r>
              <w:rPr>
                <w:b/>
                <w:bCs/>
                <w:sz w:val="24"/>
              </w:rPr>
              <w:t>2021—2035</w:t>
            </w:r>
            <w:r>
              <w:rPr>
                <w:b/>
                <w:bCs/>
                <w:sz w:val="24"/>
              </w:rPr>
              <w:t>年）》符合性分析</w:t>
            </w:r>
          </w:p>
          <w:p w14:paraId="0A228DA8" w14:textId="77777777" w:rsidR="00F76A63" w:rsidRDefault="00000000">
            <w:pPr>
              <w:adjustRightInd w:val="0"/>
              <w:snapToGrid w:val="0"/>
              <w:spacing w:line="500" w:lineRule="exact"/>
              <w:ind w:firstLineChars="200" w:firstLine="480"/>
              <w:rPr>
                <w:sz w:val="24"/>
              </w:rPr>
            </w:pPr>
            <w:r>
              <w:rPr>
                <w:sz w:val="24"/>
              </w:rPr>
              <w:t>2021</w:t>
            </w:r>
            <w:r>
              <w:rPr>
                <w:sz w:val="24"/>
              </w:rPr>
              <w:t>年</w:t>
            </w:r>
            <w:r>
              <w:rPr>
                <w:sz w:val="24"/>
              </w:rPr>
              <w:t>2</w:t>
            </w:r>
            <w:r>
              <w:rPr>
                <w:sz w:val="24"/>
              </w:rPr>
              <w:t>月</w:t>
            </w:r>
            <w:r>
              <w:rPr>
                <w:sz w:val="24"/>
              </w:rPr>
              <w:t>3</w:t>
            </w:r>
            <w:r>
              <w:rPr>
                <w:sz w:val="24"/>
              </w:rPr>
              <w:t>日句容市人民政府批复了句容市临港集中区下蜀片区新的四至范围及产业定位。调整后四至范围为：北至长江沿岸及大道河，南至规划便民河路，西至规划新城路、疏港大道，东至句容市行政边界；总用地面积</w:t>
            </w:r>
            <w:r>
              <w:rPr>
                <w:sz w:val="24"/>
              </w:rPr>
              <w:t>12.74</w:t>
            </w:r>
            <w:r>
              <w:rPr>
                <w:sz w:val="24"/>
              </w:rPr>
              <w:t>平方公里。</w:t>
            </w:r>
            <w:r>
              <w:rPr>
                <w:sz w:val="24"/>
              </w:rPr>
              <w:t>2022</w:t>
            </w:r>
            <w:r>
              <w:rPr>
                <w:sz w:val="24"/>
              </w:rPr>
              <w:t>年</w:t>
            </w:r>
            <w:r>
              <w:rPr>
                <w:sz w:val="24"/>
              </w:rPr>
              <w:t>7</w:t>
            </w:r>
            <w:r>
              <w:rPr>
                <w:sz w:val="24"/>
              </w:rPr>
              <w:t>月镇江市《关于公布镇江市第一批保留开发</w:t>
            </w:r>
            <w:r>
              <w:rPr>
                <w:sz w:val="24"/>
              </w:rPr>
              <w:lastRenderedPageBreak/>
              <w:t>区（园区）名单及四至边界的通知》中确定句容下蜀临港产业园新范围，东至句容市行政边界，南至老便民河，西至规划新城路，北至长江沿岸</w:t>
            </w:r>
            <w:r>
              <w:rPr>
                <w:sz w:val="24"/>
              </w:rPr>
              <w:t>—</w:t>
            </w:r>
            <w:r>
              <w:rPr>
                <w:sz w:val="24"/>
              </w:rPr>
              <w:t>龙北大道，园区面积</w:t>
            </w:r>
            <w:r>
              <w:rPr>
                <w:sz w:val="24"/>
              </w:rPr>
              <w:t>9.73</w:t>
            </w:r>
            <w:r>
              <w:rPr>
                <w:sz w:val="24"/>
              </w:rPr>
              <w:t>平方公里。句容市第十七届人民政府第</w:t>
            </w:r>
            <w:r>
              <w:rPr>
                <w:sz w:val="24"/>
              </w:rPr>
              <w:t>13</w:t>
            </w:r>
            <w:r>
              <w:rPr>
                <w:sz w:val="24"/>
              </w:rPr>
              <w:t>次常务会议将</w:t>
            </w:r>
            <w:r>
              <w:rPr>
                <w:sz w:val="24"/>
              </w:rPr>
              <w:t>“</w:t>
            </w:r>
            <w:r>
              <w:rPr>
                <w:sz w:val="24"/>
              </w:rPr>
              <w:t>句容下蜀临港产业园</w:t>
            </w:r>
            <w:r>
              <w:rPr>
                <w:sz w:val="24"/>
              </w:rPr>
              <w:t>”</w:t>
            </w:r>
            <w:r>
              <w:rPr>
                <w:sz w:val="24"/>
              </w:rPr>
              <w:t>更名为</w:t>
            </w:r>
            <w:r>
              <w:rPr>
                <w:sz w:val="24"/>
              </w:rPr>
              <w:t>“</w:t>
            </w:r>
            <w:r>
              <w:rPr>
                <w:sz w:val="24"/>
              </w:rPr>
              <w:t>句容市下蜀高新技术产业园</w:t>
            </w:r>
            <w:r>
              <w:rPr>
                <w:sz w:val="24"/>
              </w:rPr>
              <w:t>”</w:t>
            </w:r>
            <w:r>
              <w:rPr>
                <w:sz w:val="24"/>
              </w:rPr>
              <w:t>。</w:t>
            </w:r>
          </w:p>
          <w:p w14:paraId="6AA10DD1" w14:textId="77777777" w:rsidR="00F76A63" w:rsidRDefault="00000000">
            <w:pPr>
              <w:adjustRightInd w:val="0"/>
              <w:snapToGrid w:val="0"/>
              <w:spacing w:line="500" w:lineRule="exact"/>
              <w:ind w:firstLineChars="200" w:firstLine="480"/>
              <w:rPr>
                <w:sz w:val="24"/>
              </w:rPr>
            </w:pPr>
            <w:r>
              <w:rPr>
                <w:sz w:val="24"/>
              </w:rPr>
              <w:t>（</w:t>
            </w:r>
            <w:r>
              <w:rPr>
                <w:sz w:val="24"/>
              </w:rPr>
              <w:t>1</w:t>
            </w:r>
            <w:r>
              <w:rPr>
                <w:sz w:val="24"/>
              </w:rPr>
              <w:t>）规划概况</w:t>
            </w:r>
          </w:p>
          <w:p w14:paraId="3F9BF613" w14:textId="77777777" w:rsidR="00F76A63" w:rsidRDefault="00000000">
            <w:pPr>
              <w:adjustRightInd w:val="0"/>
              <w:snapToGrid w:val="0"/>
              <w:spacing w:line="500" w:lineRule="exact"/>
              <w:ind w:firstLineChars="200" w:firstLine="480"/>
              <w:rPr>
                <w:sz w:val="24"/>
              </w:rPr>
            </w:pPr>
            <w:r>
              <w:rPr>
                <w:sz w:val="24"/>
              </w:rPr>
              <w:t>1</w:t>
            </w:r>
            <w:r>
              <w:rPr>
                <w:sz w:val="24"/>
              </w:rPr>
              <w:t>）规划范围</w:t>
            </w:r>
          </w:p>
          <w:p w14:paraId="5D3C0700" w14:textId="77777777" w:rsidR="00F76A63" w:rsidRDefault="00000000">
            <w:pPr>
              <w:adjustRightInd w:val="0"/>
              <w:snapToGrid w:val="0"/>
              <w:spacing w:line="500" w:lineRule="exact"/>
              <w:ind w:firstLineChars="200" w:firstLine="480"/>
              <w:rPr>
                <w:sz w:val="24"/>
              </w:rPr>
            </w:pPr>
            <w:r>
              <w:rPr>
                <w:sz w:val="24"/>
              </w:rPr>
              <w:t>东至句容市行政边界，南至老便民河，西至规划新城路，北至长江沿岸</w:t>
            </w:r>
            <w:r>
              <w:rPr>
                <w:sz w:val="24"/>
              </w:rPr>
              <w:t>—</w:t>
            </w:r>
            <w:r>
              <w:rPr>
                <w:sz w:val="24"/>
              </w:rPr>
              <w:t>龙北大道，总用地面积</w:t>
            </w:r>
            <w:r>
              <w:rPr>
                <w:sz w:val="24"/>
              </w:rPr>
              <w:t>9.73</w:t>
            </w:r>
            <w:r>
              <w:rPr>
                <w:sz w:val="24"/>
              </w:rPr>
              <w:t>平方公里。</w:t>
            </w:r>
          </w:p>
          <w:p w14:paraId="62E56B81" w14:textId="77777777" w:rsidR="00F76A63" w:rsidRDefault="00000000">
            <w:pPr>
              <w:adjustRightInd w:val="0"/>
              <w:snapToGrid w:val="0"/>
              <w:spacing w:line="500" w:lineRule="exact"/>
              <w:ind w:firstLineChars="200" w:firstLine="480"/>
              <w:rPr>
                <w:sz w:val="24"/>
              </w:rPr>
            </w:pPr>
            <w:r>
              <w:rPr>
                <w:sz w:val="24"/>
              </w:rPr>
              <w:t>2</w:t>
            </w:r>
            <w:r>
              <w:rPr>
                <w:sz w:val="24"/>
              </w:rPr>
              <w:t>）功能定位</w:t>
            </w:r>
          </w:p>
          <w:p w14:paraId="165A3245" w14:textId="77777777" w:rsidR="00F76A63" w:rsidRDefault="00000000">
            <w:pPr>
              <w:adjustRightInd w:val="0"/>
              <w:snapToGrid w:val="0"/>
              <w:spacing w:line="500" w:lineRule="exact"/>
              <w:ind w:firstLineChars="200" w:firstLine="480"/>
              <w:rPr>
                <w:sz w:val="24"/>
              </w:rPr>
            </w:pPr>
            <w:r>
              <w:rPr>
                <w:sz w:val="24"/>
              </w:rPr>
              <w:t>辐射句容全市的物流中心、滨江临港的产业基地和快速发展的经济新区，以发展新型建材、五金机械、物流、现代服务业为主导产业。</w:t>
            </w:r>
          </w:p>
          <w:p w14:paraId="1D4744F4" w14:textId="77777777" w:rsidR="00F76A63" w:rsidRDefault="00000000">
            <w:pPr>
              <w:adjustRightInd w:val="0"/>
              <w:snapToGrid w:val="0"/>
              <w:spacing w:line="500" w:lineRule="exact"/>
              <w:ind w:firstLineChars="200" w:firstLine="480"/>
              <w:rPr>
                <w:sz w:val="24"/>
              </w:rPr>
            </w:pPr>
            <w:r>
              <w:rPr>
                <w:sz w:val="24"/>
              </w:rPr>
              <w:t>3</w:t>
            </w:r>
            <w:r>
              <w:rPr>
                <w:sz w:val="24"/>
              </w:rPr>
              <w:t>）用地规划</w:t>
            </w:r>
          </w:p>
          <w:p w14:paraId="522D0DD8" w14:textId="77777777" w:rsidR="00F76A63" w:rsidRDefault="00000000">
            <w:pPr>
              <w:adjustRightInd w:val="0"/>
              <w:snapToGrid w:val="0"/>
              <w:spacing w:line="500" w:lineRule="exact"/>
              <w:ind w:firstLineChars="200" w:firstLine="480"/>
              <w:rPr>
                <w:sz w:val="24"/>
              </w:rPr>
            </w:pPr>
            <w:r>
              <w:rPr>
                <w:sz w:val="24"/>
              </w:rPr>
              <w:t>产业空间整体沿沿江高等级公路向西拓展，产业布局包括西部新材料及装备制造区、中部生产孵化区、东部建材制造区、区域设施配套区、发展备用区。</w:t>
            </w:r>
          </w:p>
          <w:p w14:paraId="25790311" w14:textId="77777777" w:rsidR="00F76A63" w:rsidRDefault="00000000">
            <w:pPr>
              <w:adjustRightInd w:val="0"/>
              <w:snapToGrid w:val="0"/>
              <w:spacing w:line="500" w:lineRule="exact"/>
              <w:ind w:firstLineChars="200" w:firstLine="480"/>
              <w:rPr>
                <w:sz w:val="24"/>
              </w:rPr>
            </w:pPr>
            <w:r>
              <w:rPr>
                <w:sz w:val="24"/>
              </w:rPr>
              <w:t>（</w:t>
            </w:r>
            <w:r>
              <w:rPr>
                <w:sz w:val="24"/>
              </w:rPr>
              <w:t>2</w:t>
            </w:r>
            <w:r>
              <w:rPr>
                <w:sz w:val="24"/>
              </w:rPr>
              <w:t>）西部新材料及装备制造区</w:t>
            </w:r>
          </w:p>
          <w:p w14:paraId="2E7776B9" w14:textId="77777777" w:rsidR="00F76A63" w:rsidRDefault="00000000">
            <w:pPr>
              <w:adjustRightInd w:val="0"/>
              <w:snapToGrid w:val="0"/>
              <w:spacing w:line="500" w:lineRule="exact"/>
              <w:ind w:firstLineChars="200" w:firstLine="480"/>
              <w:rPr>
                <w:sz w:val="24"/>
              </w:rPr>
            </w:pPr>
            <w:r>
              <w:rPr>
                <w:sz w:val="24"/>
              </w:rPr>
              <w:t>以机械、专用设备、交通运输设备、汽摩配、通用设备、金属、电子及通信、仪器与仪表、电器制造、建筑涂料等产业为主，二类工业用地</w:t>
            </w:r>
            <w:r>
              <w:rPr>
                <w:sz w:val="24"/>
              </w:rPr>
              <w:t>172.80</w:t>
            </w:r>
            <w:r>
              <w:rPr>
                <w:sz w:val="24"/>
              </w:rPr>
              <w:t>公顷。</w:t>
            </w:r>
          </w:p>
          <w:p w14:paraId="38125EFD" w14:textId="77777777" w:rsidR="00F76A63" w:rsidRDefault="00000000">
            <w:pPr>
              <w:adjustRightInd w:val="0"/>
              <w:snapToGrid w:val="0"/>
              <w:spacing w:line="500" w:lineRule="exact"/>
              <w:ind w:firstLineChars="200" w:firstLine="480"/>
              <w:rPr>
                <w:sz w:val="24"/>
              </w:rPr>
            </w:pPr>
            <w:r>
              <w:rPr>
                <w:sz w:val="24"/>
              </w:rPr>
              <w:t>（</w:t>
            </w:r>
            <w:r>
              <w:rPr>
                <w:sz w:val="24"/>
              </w:rPr>
              <w:t>3</w:t>
            </w:r>
            <w:r>
              <w:rPr>
                <w:sz w:val="24"/>
              </w:rPr>
              <w:t>）中部生产孵化区</w:t>
            </w:r>
          </w:p>
          <w:p w14:paraId="33D2EA33" w14:textId="77777777" w:rsidR="00F76A63" w:rsidRDefault="00000000">
            <w:pPr>
              <w:adjustRightInd w:val="0"/>
              <w:snapToGrid w:val="0"/>
              <w:spacing w:line="500" w:lineRule="exact"/>
              <w:ind w:firstLineChars="200" w:firstLine="480"/>
              <w:rPr>
                <w:sz w:val="24"/>
              </w:rPr>
            </w:pPr>
            <w:r>
              <w:rPr>
                <w:sz w:val="24"/>
              </w:rPr>
              <w:t>为了进一步丰富高新技术产业园的产业结构，规划为生产孵化区。以建材、机械、现代服务业、新材料（非化工类）、装备制造产业等产业为主，含一类工业用地</w:t>
            </w:r>
            <w:r>
              <w:rPr>
                <w:sz w:val="24"/>
              </w:rPr>
              <w:t>47.34</w:t>
            </w:r>
            <w:r>
              <w:rPr>
                <w:sz w:val="24"/>
              </w:rPr>
              <w:t>公顷，二类工业用地</w:t>
            </w:r>
            <w:r>
              <w:rPr>
                <w:sz w:val="24"/>
              </w:rPr>
              <w:t>70.21</w:t>
            </w:r>
            <w:r>
              <w:rPr>
                <w:sz w:val="24"/>
              </w:rPr>
              <w:t>公顷，一类仓储物流用地</w:t>
            </w:r>
            <w:r>
              <w:rPr>
                <w:sz w:val="24"/>
              </w:rPr>
              <w:t>3.73</w:t>
            </w:r>
            <w:r>
              <w:rPr>
                <w:sz w:val="24"/>
              </w:rPr>
              <w:t>公顷。引导产业逐步提档升级，加强培育中小企业。</w:t>
            </w:r>
          </w:p>
          <w:p w14:paraId="3D6F7BA5" w14:textId="77777777" w:rsidR="00F76A63" w:rsidRDefault="00000000">
            <w:pPr>
              <w:adjustRightInd w:val="0"/>
              <w:snapToGrid w:val="0"/>
              <w:spacing w:line="500" w:lineRule="exact"/>
              <w:ind w:firstLineChars="200" w:firstLine="480"/>
              <w:rPr>
                <w:sz w:val="24"/>
              </w:rPr>
            </w:pPr>
            <w:r>
              <w:rPr>
                <w:sz w:val="24"/>
              </w:rPr>
              <w:t>（</w:t>
            </w:r>
            <w:r>
              <w:rPr>
                <w:sz w:val="24"/>
              </w:rPr>
              <w:t>4</w:t>
            </w:r>
            <w:r>
              <w:rPr>
                <w:sz w:val="24"/>
              </w:rPr>
              <w:t>）东部建材制造区</w:t>
            </w:r>
          </w:p>
          <w:p w14:paraId="78E74FF7" w14:textId="77777777" w:rsidR="00F76A63" w:rsidRDefault="00000000">
            <w:pPr>
              <w:adjustRightInd w:val="0"/>
              <w:snapToGrid w:val="0"/>
              <w:spacing w:line="500" w:lineRule="exact"/>
              <w:ind w:firstLineChars="200" w:firstLine="480"/>
              <w:rPr>
                <w:sz w:val="24"/>
              </w:rPr>
            </w:pPr>
            <w:r>
              <w:rPr>
                <w:sz w:val="24"/>
              </w:rPr>
              <w:t>以重点扶持壮大绿色墙体材料，绿色装饰装修材料，绿色保温绝热材料，</w:t>
            </w:r>
            <w:r>
              <w:rPr>
                <w:sz w:val="24"/>
              </w:rPr>
              <w:lastRenderedPageBreak/>
              <w:t>绿色防水密封材料四大新型产业，含二类工业用地</w:t>
            </w:r>
            <w:r>
              <w:rPr>
                <w:sz w:val="24"/>
              </w:rPr>
              <w:t>224.81</w:t>
            </w:r>
            <w:r>
              <w:rPr>
                <w:sz w:val="24"/>
              </w:rPr>
              <w:t>公顷。依托现有绿色建筑产业基地和句容港、沿江高等级公路，打造装配式建筑生产基地。</w:t>
            </w:r>
          </w:p>
          <w:p w14:paraId="5CF3AD91" w14:textId="77777777" w:rsidR="00F76A63" w:rsidRDefault="00000000">
            <w:pPr>
              <w:adjustRightInd w:val="0"/>
              <w:snapToGrid w:val="0"/>
              <w:spacing w:line="500" w:lineRule="exact"/>
              <w:ind w:firstLineChars="200" w:firstLine="480"/>
              <w:rPr>
                <w:sz w:val="24"/>
              </w:rPr>
            </w:pPr>
            <w:r>
              <w:rPr>
                <w:sz w:val="24"/>
              </w:rPr>
              <w:t>（</w:t>
            </w:r>
            <w:r>
              <w:rPr>
                <w:sz w:val="24"/>
              </w:rPr>
              <w:t>5</w:t>
            </w:r>
            <w:r>
              <w:rPr>
                <w:sz w:val="24"/>
              </w:rPr>
              <w:t>）区域设施配套区</w:t>
            </w:r>
          </w:p>
          <w:p w14:paraId="0B5670D1" w14:textId="77777777" w:rsidR="00F76A63" w:rsidRDefault="00000000">
            <w:pPr>
              <w:adjustRightInd w:val="0"/>
              <w:snapToGrid w:val="0"/>
              <w:spacing w:line="500" w:lineRule="exact"/>
              <w:ind w:firstLineChars="200" w:firstLine="480"/>
              <w:rPr>
                <w:sz w:val="24"/>
              </w:rPr>
            </w:pPr>
            <w:r>
              <w:rPr>
                <w:sz w:val="24"/>
              </w:rPr>
              <w:t>处于高新技术产业园的东北侧，靠近长江，含区域公用设施用地</w:t>
            </w:r>
            <w:r>
              <w:rPr>
                <w:sz w:val="24"/>
              </w:rPr>
              <w:t>112.30</w:t>
            </w:r>
            <w:r>
              <w:rPr>
                <w:sz w:val="24"/>
              </w:rPr>
              <w:t>公顷，主要是华电江苏能源有限公司。</w:t>
            </w:r>
          </w:p>
          <w:p w14:paraId="0E32ACF0" w14:textId="77777777" w:rsidR="00F76A63" w:rsidRDefault="00000000">
            <w:pPr>
              <w:adjustRightInd w:val="0"/>
              <w:snapToGrid w:val="0"/>
              <w:spacing w:line="500" w:lineRule="exact"/>
              <w:ind w:firstLineChars="200" w:firstLine="480"/>
              <w:rPr>
                <w:sz w:val="24"/>
              </w:rPr>
            </w:pPr>
            <w:r>
              <w:rPr>
                <w:sz w:val="24"/>
              </w:rPr>
              <w:t>（</w:t>
            </w:r>
            <w:r>
              <w:rPr>
                <w:sz w:val="24"/>
              </w:rPr>
              <w:t>6</w:t>
            </w:r>
            <w:r>
              <w:rPr>
                <w:sz w:val="24"/>
              </w:rPr>
              <w:t>）发展备用区</w:t>
            </w:r>
          </w:p>
          <w:p w14:paraId="492130B4" w14:textId="77777777" w:rsidR="00F76A63" w:rsidRDefault="00000000">
            <w:pPr>
              <w:adjustRightInd w:val="0"/>
              <w:snapToGrid w:val="0"/>
              <w:spacing w:line="500" w:lineRule="exact"/>
              <w:ind w:firstLineChars="200" w:firstLine="480"/>
              <w:rPr>
                <w:sz w:val="24"/>
              </w:rPr>
            </w:pPr>
            <w:r>
              <w:rPr>
                <w:sz w:val="24"/>
              </w:rPr>
              <w:t>处于高新技术产业园的东北侧，以农林用地和特殊用地为主，是高新技术产业园未来发展的备用空间。</w:t>
            </w:r>
          </w:p>
          <w:p w14:paraId="1956481A" w14:textId="77777777" w:rsidR="00F76A63" w:rsidRDefault="00000000">
            <w:pPr>
              <w:adjustRightInd w:val="0"/>
              <w:snapToGrid w:val="0"/>
              <w:spacing w:line="500" w:lineRule="exact"/>
              <w:ind w:firstLineChars="200" w:firstLine="480"/>
              <w:rPr>
                <w:sz w:val="24"/>
              </w:rPr>
            </w:pPr>
            <w:bookmarkStart w:id="20" w:name="OLE_LINK85"/>
            <w:r>
              <w:rPr>
                <w:sz w:val="24"/>
              </w:rPr>
              <w:t>本项目位于东部建材制造区，用地为句容台泥水泥现有二类工业用地，不新增占地，符合园区用地规划布局；本项目依托现有水泥窑协同处置污染土及污泥</w:t>
            </w:r>
            <w:r>
              <w:rPr>
                <w:rFonts w:hint="eastAsia"/>
                <w:sz w:val="24"/>
              </w:rPr>
              <w:t>，</w:t>
            </w:r>
            <w:r>
              <w:rPr>
                <w:sz w:val="24"/>
              </w:rPr>
              <w:t>属于新型建材</w:t>
            </w:r>
            <w:r>
              <w:rPr>
                <w:sz w:val="24"/>
              </w:rPr>
              <w:t>+</w:t>
            </w:r>
            <w:r>
              <w:rPr>
                <w:sz w:val="24"/>
              </w:rPr>
              <w:t>固废资源化利用，是园区重点扶持的绿色建材产业，完全匹配园区的功能定位</w:t>
            </w:r>
            <w:r>
              <w:rPr>
                <w:rFonts w:hint="eastAsia"/>
                <w:sz w:val="24"/>
              </w:rPr>
              <w:t>。</w:t>
            </w:r>
          </w:p>
          <w:bookmarkEnd w:id="19"/>
          <w:bookmarkEnd w:id="20"/>
          <w:p w14:paraId="1E18D7B4" w14:textId="77777777" w:rsidR="00F76A63" w:rsidRDefault="00000000">
            <w:pPr>
              <w:adjustRightInd w:val="0"/>
              <w:snapToGrid w:val="0"/>
              <w:spacing w:line="500" w:lineRule="exact"/>
              <w:ind w:firstLineChars="200" w:firstLine="482"/>
              <w:rPr>
                <w:b/>
                <w:bCs/>
                <w:sz w:val="24"/>
              </w:rPr>
            </w:pPr>
            <w:r>
              <w:rPr>
                <w:rFonts w:hint="eastAsia"/>
                <w:b/>
                <w:bCs/>
                <w:sz w:val="24"/>
              </w:rPr>
              <w:t>4</w:t>
            </w:r>
            <w:r>
              <w:rPr>
                <w:b/>
                <w:bCs/>
                <w:sz w:val="24"/>
              </w:rPr>
              <w:t>、与《句容市下蜀高新技术产业园开发建设规划环境影响报告书》及其审查意见（句环字</w:t>
            </w:r>
            <w:r>
              <w:rPr>
                <w:b/>
                <w:bCs/>
                <w:sz w:val="24"/>
              </w:rPr>
              <w:t>[2024]50</w:t>
            </w:r>
            <w:r>
              <w:rPr>
                <w:b/>
                <w:bCs/>
                <w:sz w:val="24"/>
              </w:rPr>
              <w:t>号）符合性分析</w:t>
            </w:r>
          </w:p>
          <w:p w14:paraId="3A17C818" w14:textId="77777777" w:rsidR="00F76A63" w:rsidRDefault="00000000">
            <w:pPr>
              <w:adjustRightInd w:val="0"/>
              <w:snapToGrid w:val="0"/>
              <w:spacing w:line="500" w:lineRule="exact"/>
              <w:ind w:firstLineChars="200" w:firstLine="480"/>
              <w:rPr>
                <w:sz w:val="24"/>
              </w:rPr>
            </w:pPr>
            <w:r>
              <w:rPr>
                <w:bCs/>
                <w:sz w:val="24"/>
              </w:rPr>
              <w:t>本项目与</w:t>
            </w:r>
            <w:r>
              <w:rPr>
                <w:sz w:val="24"/>
              </w:rPr>
              <w:t>《句容市下蜀高新技术产业园开发建设规划环境影响报告书》中生态环境准入要求相符性分析见表</w:t>
            </w:r>
            <w:r>
              <w:rPr>
                <w:sz w:val="24"/>
              </w:rPr>
              <w:t>1-1</w:t>
            </w:r>
            <w:r>
              <w:rPr>
                <w:sz w:val="24"/>
              </w:rPr>
              <w:t>，本项目与《关于</w:t>
            </w:r>
            <w:r>
              <w:rPr>
                <w:sz w:val="24"/>
              </w:rPr>
              <w:t>&lt;</w:t>
            </w:r>
            <w:r>
              <w:rPr>
                <w:sz w:val="24"/>
              </w:rPr>
              <w:t>句容市下蜀高新技术产业园开发建设规划环境影响报告书</w:t>
            </w:r>
            <w:r>
              <w:rPr>
                <w:sz w:val="24"/>
              </w:rPr>
              <w:t>&gt;</w:t>
            </w:r>
            <w:r>
              <w:rPr>
                <w:sz w:val="24"/>
              </w:rPr>
              <w:t>的审查意见》（句环字</w:t>
            </w:r>
            <w:r>
              <w:rPr>
                <w:sz w:val="24"/>
              </w:rPr>
              <w:t>[2024]50</w:t>
            </w:r>
            <w:r>
              <w:rPr>
                <w:sz w:val="24"/>
              </w:rPr>
              <w:t>号）相符性分析见表</w:t>
            </w:r>
            <w:r>
              <w:rPr>
                <w:sz w:val="24"/>
              </w:rPr>
              <w:t>1-2</w:t>
            </w:r>
            <w:r>
              <w:rPr>
                <w:sz w:val="24"/>
              </w:rPr>
              <w:t>。</w:t>
            </w:r>
          </w:p>
          <w:p w14:paraId="3D6400EF" w14:textId="77777777" w:rsidR="00F76A63" w:rsidRDefault="00000000">
            <w:pPr>
              <w:adjustRightInd w:val="0"/>
              <w:snapToGrid w:val="0"/>
              <w:spacing w:line="500" w:lineRule="exact"/>
              <w:ind w:firstLineChars="200" w:firstLine="482"/>
              <w:jc w:val="center"/>
              <w:rPr>
                <w:b/>
                <w:sz w:val="24"/>
              </w:rPr>
            </w:pPr>
            <w:r>
              <w:rPr>
                <w:b/>
                <w:sz w:val="24"/>
              </w:rPr>
              <w:t>表</w:t>
            </w:r>
            <w:r>
              <w:rPr>
                <w:b/>
                <w:sz w:val="24"/>
              </w:rPr>
              <w:t xml:space="preserve">1-1  </w:t>
            </w:r>
            <w:r>
              <w:rPr>
                <w:b/>
                <w:sz w:val="24"/>
              </w:rPr>
              <w:t>与《</w:t>
            </w:r>
            <w:r>
              <w:rPr>
                <w:b/>
                <w:bCs/>
                <w:sz w:val="24"/>
              </w:rPr>
              <w:t>句容市下蜀高新技术产业园开发建设规划环境影响报告书</w:t>
            </w:r>
            <w:r>
              <w:rPr>
                <w:b/>
                <w:sz w:val="24"/>
              </w:rPr>
              <w:t>》中生态环境准入要求相符性分析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474"/>
              <w:gridCol w:w="470"/>
              <w:gridCol w:w="4019"/>
              <w:gridCol w:w="2425"/>
              <w:gridCol w:w="425"/>
            </w:tblGrid>
            <w:tr w:rsidR="00F76A63" w14:paraId="5A1E2D76" w14:textId="77777777">
              <w:trPr>
                <w:jc w:val="center"/>
              </w:trPr>
              <w:tc>
                <w:tcPr>
                  <w:tcW w:w="604" w:type="pct"/>
                  <w:gridSpan w:val="2"/>
                  <w:tcBorders>
                    <w:top w:val="single" w:sz="12" w:space="0" w:color="auto"/>
                    <w:left w:val="nil"/>
                    <w:bottom w:val="single" w:sz="4" w:space="0" w:color="auto"/>
                    <w:right w:val="single" w:sz="4" w:space="0" w:color="auto"/>
                  </w:tcBorders>
                  <w:vAlign w:val="center"/>
                </w:tcPr>
                <w:p w14:paraId="40849DDA" w14:textId="77777777" w:rsidR="00F76A63" w:rsidRDefault="00000000">
                  <w:pPr>
                    <w:adjustRightInd w:val="0"/>
                    <w:snapToGrid w:val="0"/>
                    <w:jc w:val="center"/>
                    <w:rPr>
                      <w:b/>
                      <w:bCs/>
                      <w:szCs w:val="21"/>
                    </w:rPr>
                  </w:pPr>
                  <w:r>
                    <w:rPr>
                      <w:b/>
                      <w:bCs/>
                      <w:szCs w:val="21"/>
                    </w:rPr>
                    <w:t>类别</w:t>
                  </w:r>
                </w:p>
              </w:tc>
              <w:tc>
                <w:tcPr>
                  <w:tcW w:w="2571" w:type="pct"/>
                  <w:tcBorders>
                    <w:top w:val="single" w:sz="12" w:space="0" w:color="auto"/>
                    <w:left w:val="single" w:sz="4" w:space="0" w:color="auto"/>
                    <w:bottom w:val="single" w:sz="4" w:space="0" w:color="auto"/>
                    <w:right w:val="single" w:sz="4" w:space="0" w:color="auto"/>
                  </w:tcBorders>
                  <w:vAlign w:val="center"/>
                </w:tcPr>
                <w:p w14:paraId="3AA8838C" w14:textId="77777777" w:rsidR="00F76A63" w:rsidRDefault="00000000">
                  <w:pPr>
                    <w:adjustRightInd w:val="0"/>
                    <w:snapToGrid w:val="0"/>
                    <w:jc w:val="center"/>
                    <w:rPr>
                      <w:b/>
                      <w:bCs/>
                      <w:szCs w:val="21"/>
                    </w:rPr>
                  </w:pPr>
                  <w:r>
                    <w:rPr>
                      <w:b/>
                      <w:bCs/>
                      <w:szCs w:val="21"/>
                    </w:rPr>
                    <w:t>环境准入条件</w:t>
                  </w:r>
                </w:p>
              </w:tc>
              <w:tc>
                <w:tcPr>
                  <w:tcW w:w="1551" w:type="pct"/>
                  <w:tcBorders>
                    <w:top w:val="single" w:sz="12" w:space="0" w:color="auto"/>
                    <w:left w:val="single" w:sz="4" w:space="0" w:color="auto"/>
                    <w:bottom w:val="single" w:sz="4" w:space="0" w:color="auto"/>
                    <w:right w:val="single" w:sz="4" w:space="0" w:color="auto"/>
                  </w:tcBorders>
                  <w:vAlign w:val="center"/>
                </w:tcPr>
                <w:p w14:paraId="6DCB530B" w14:textId="77777777" w:rsidR="00F76A63" w:rsidRDefault="00000000">
                  <w:pPr>
                    <w:adjustRightInd w:val="0"/>
                    <w:snapToGrid w:val="0"/>
                    <w:jc w:val="center"/>
                    <w:rPr>
                      <w:b/>
                      <w:bCs/>
                      <w:szCs w:val="21"/>
                    </w:rPr>
                  </w:pPr>
                  <w:r>
                    <w:rPr>
                      <w:b/>
                      <w:bCs/>
                      <w:szCs w:val="21"/>
                    </w:rPr>
                    <w:t>相符性分析</w:t>
                  </w:r>
                </w:p>
              </w:tc>
              <w:tc>
                <w:tcPr>
                  <w:tcW w:w="272" w:type="pct"/>
                  <w:tcBorders>
                    <w:top w:val="single" w:sz="12" w:space="0" w:color="auto"/>
                    <w:left w:val="single" w:sz="4" w:space="0" w:color="auto"/>
                    <w:bottom w:val="single" w:sz="4" w:space="0" w:color="auto"/>
                    <w:right w:val="nil"/>
                  </w:tcBorders>
                  <w:vAlign w:val="center"/>
                </w:tcPr>
                <w:p w14:paraId="2C3DCE40" w14:textId="77777777" w:rsidR="00F76A63" w:rsidRDefault="00000000">
                  <w:pPr>
                    <w:adjustRightInd w:val="0"/>
                    <w:snapToGrid w:val="0"/>
                    <w:jc w:val="center"/>
                    <w:rPr>
                      <w:b/>
                      <w:bCs/>
                      <w:szCs w:val="21"/>
                    </w:rPr>
                  </w:pPr>
                  <w:r>
                    <w:rPr>
                      <w:b/>
                      <w:bCs/>
                      <w:szCs w:val="21"/>
                    </w:rPr>
                    <w:t>符合性</w:t>
                  </w:r>
                </w:p>
              </w:tc>
            </w:tr>
            <w:tr w:rsidR="00F76A63" w14:paraId="09EB17AB" w14:textId="77777777">
              <w:trPr>
                <w:jc w:val="center"/>
              </w:trPr>
              <w:tc>
                <w:tcPr>
                  <w:tcW w:w="303" w:type="pct"/>
                  <w:vMerge w:val="restart"/>
                  <w:tcBorders>
                    <w:top w:val="single" w:sz="4" w:space="0" w:color="auto"/>
                    <w:left w:val="nil"/>
                    <w:bottom w:val="single" w:sz="4" w:space="0" w:color="auto"/>
                    <w:right w:val="single" w:sz="4" w:space="0" w:color="auto"/>
                  </w:tcBorders>
                  <w:vAlign w:val="center"/>
                </w:tcPr>
                <w:p w14:paraId="52C2FB42" w14:textId="77777777" w:rsidR="00F76A63" w:rsidRDefault="00000000">
                  <w:pPr>
                    <w:adjustRightInd w:val="0"/>
                    <w:snapToGrid w:val="0"/>
                    <w:jc w:val="center"/>
                    <w:rPr>
                      <w:szCs w:val="21"/>
                    </w:rPr>
                  </w:pPr>
                  <w:r>
                    <w:rPr>
                      <w:szCs w:val="21"/>
                    </w:rPr>
                    <w:t>产业准入</w:t>
                  </w:r>
                </w:p>
              </w:tc>
              <w:tc>
                <w:tcPr>
                  <w:tcW w:w="301" w:type="pct"/>
                  <w:vMerge w:val="restart"/>
                  <w:tcBorders>
                    <w:top w:val="single" w:sz="4" w:space="0" w:color="auto"/>
                    <w:left w:val="single" w:sz="4" w:space="0" w:color="auto"/>
                    <w:bottom w:val="single" w:sz="4" w:space="0" w:color="auto"/>
                    <w:right w:val="single" w:sz="4" w:space="0" w:color="auto"/>
                  </w:tcBorders>
                  <w:vAlign w:val="center"/>
                </w:tcPr>
                <w:p w14:paraId="1D2DE254" w14:textId="77777777" w:rsidR="00F76A63" w:rsidRDefault="00000000">
                  <w:pPr>
                    <w:adjustRightInd w:val="0"/>
                    <w:snapToGrid w:val="0"/>
                    <w:jc w:val="center"/>
                    <w:rPr>
                      <w:szCs w:val="21"/>
                    </w:rPr>
                  </w:pPr>
                  <w:r>
                    <w:rPr>
                      <w:szCs w:val="21"/>
                    </w:rPr>
                    <w:t>优先引入</w:t>
                  </w:r>
                </w:p>
              </w:tc>
              <w:tc>
                <w:tcPr>
                  <w:tcW w:w="2571" w:type="pct"/>
                  <w:tcBorders>
                    <w:top w:val="single" w:sz="4" w:space="0" w:color="auto"/>
                    <w:left w:val="single" w:sz="4" w:space="0" w:color="auto"/>
                    <w:bottom w:val="single" w:sz="4" w:space="0" w:color="auto"/>
                    <w:right w:val="single" w:sz="4" w:space="0" w:color="auto"/>
                  </w:tcBorders>
                  <w:vAlign w:val="center"/>
                </w:tcPr>
                <w:p w14:paraId="045071B5" w14:textId="77777777" w:rsidR="00F76A63" w:rsidRDefault="00000000">
                  <w:pPr>
                    <w:adjustRightInd w:val="0"/>
                    <w:snapToGrid w:val="0"/>
                    <w:jc w:val="center"/>
                    <w:rPr>
                      <w:szCs w:val="21"/>
                    </w:rPr>
                  </w:pPr>
                  <w:r>
                    <w:rPr>
                      <w:szCs w:val="21"/>
                    </w:rPr>
                    <w:t>1</w:t>
                  </w:r>
                  <w:r>
                    <w:rPr>
                      <w:szCs w:val="21"/>
                    </w:rPr>
                    <w:t>、符合国家及地方产业政策，包括《产业结构调整指导目录》《外商投资产业指导目录》《江苏省人民政府发布核准的投资项目目录》。</w:t>
                  </w:r>
                </w:p>
              </w:tc>
              <w:tc>
                <w:tcPr>
                  <w:tcW w:w="1551" w:type="pct"/>
                  <w:vMerge w:val="restart"/>
                  <w:tcBorders>
                    <w:top w:val="single" w:sz="4" w:space="0" w:color="auto"/>
                    <w:left w:val="single" w:sz="4" w:space="0" w:color="auto"/>
                    <w:bottom w:val="single" w:sz="4" w:space="0" w:color="auto"/>
                    <w:right w:val="single" w:sz="4" w:space="0" w:color="auto"/>
                  </w:tcBorders>
                  <w:vAlign w:val="center"/>
                </w:tcPr>
                <w:p w14:paraId="1D26E148" w14:textId="77777777" w:rsidR="00F76A63" w:rsidRDefault="00000000">
                  <w:pPr>
                    <w:adjustRightInd w:val="0"/>
                    <w:snapToGrid w:val="0"/>
                    <w:jc w:val="center"/>
                    <w:rPr>
                      <w:szCs w:val="21"/>
                    </w:rPr>
                  </w:pPr>
                  <w:r>
                    <w:rPr>
                      <w:szCs w:val="21"/>
                    </w:rPr>
                    <w:t>本项目为利用现有水泥窑协同处置</w:t>
                  </w:r>
                  <w:bookmarkStart w:id="21" w:name="OLE_LINK49"/>
                  <w:r>
                    <w:rPr>
                      <w:szCs w:val="21"/>
                    </w:rPr>
                    <w:t>污染土及污泥</w:t>
                  </w:r>
                  <w:bookmarkEnd w:id="21"/>
                  <w:r>
                    <w:rPr>
                      <w:szCs w:val="21"/>
                    </w:rPr>
                    <w:t>，属于</w:t>
                  </w:r>
                  <w:r>
                    <w:rPr>
                      <w:szCs w:val="21"/>
                    </w:rPr>
                    <w:t>[N7723]</w:t>
                  </w:r>
                  <w:r>
                    <w:rPr>
                      <w:szCs w:val="21"/>
                    </w:rPr>
                    <w:t>固体废物治理，属于《</w:t>
                  </w:r>
                  <w:bookmarkStart w:id="22" w:name="OLE_LINK9"/>
                  <w:r>
                    <w:rPr>
                      <w:szCs w:val="21"/>
                    </w:rPr>
                    <w:t>产业结构调整指导目录</w:t>
                  </w:r>
                  <w:bookmarkEnd w:id="22"/>
                  <w:r>
                    <w:rPr>
                      <w:szCs w:val="21"/>
                    </w:rPr>
                    <w:t>（</w:t>
                  </w:r>
                  <w:r>
                    <w:rPr>
                      <w:szCs w:val="21"/>
                    </w:rPr>
                    <w:t>2024</w:t>
                  </w:r>
                  <w:r>
                    <w:rPr>
                      <w:szCs w:val="21"/>
                    </w:rPr>
                    <w:t>年本）》中的鼓励类。</w:t>
                  </w:r>
                </w:p>
                <w:p w14:paraId="779D474B" w14:textId="77777777" w:rsidR="00F76A63" w:rsidRDefault="00000000">
                  <w:pPr>
                    <w:adjustRightInd w:val="0"/>
                    <w:snapToGrid w:val="0"/>
                    <w:jc w:val="center"/>
                    <w:rPr>
                      <w:szCs w:val="21"/>
                    </w:rPr>
                  </w:pPr>
                  <w:r>
                    <w:rPr>
                      <w:szCs w:val="21"/>
                    </w:rPr>
                    <w:t>项目协同处置污染土及污泥，不改变句容台泥水泥有限公司现有项目</w:t>
                  </w:r>
                  <w:r>
                    <w:rPr>
                      <w:szCs w:val="21"/>
                    </w:rPr>
                    <w:lastRenderedPageBreak/>
                    <w:t>的产能和性质。句容台泥产品为水泥，属于建材行业，符合下蜀高新技术产业园产业</w:t>
                  </w:r>
                  <w:r>
                    <w:rPr>
                      <w:szCs w:val="21"/>
                    </w:rPr>
                    <w:t>“</w:t>
                  </w:r>
                  <w:r>
                    <w:rPr>
                      <w:szCs w:val="21"/>
                    </w:rPr>
                    <w:t>发展新型建材、五金机械、物流、现代服务业为主导产业</w:t>
                  </w:r>
                  <w:r>
                    <w:rPr>
                      <w:szCs w:val="21"/>
                    </w:rPr>
                    <w:t>”</w:t>
                  </w:r>
                  <w:r>
                    <w:rPr>
                      <w:szCs w:val="21"/>
                    </w:rPr>
                    <w:t>定位。</w:t>
                  </w:r>
                </w:p>
              </w:tc>
              <w:tc>
                <w:tcPr>
                  <w:tcW w:w="272" w:type="pct"/>
                  <w:vMerge w:val="restart"/>
                  <w:tcBorders>
                    <w:top w:val="single" w:sz="4" w:space="0" w:color="auto"/>
                    <w:left w:val="single" w:sz="4" w:space="0" w:color="auto"/>
                    <w:bottom w:val="single" w:sz="4" w:space="0" w:color="auto"/>
                    <w:right w:val="nil"/>
                  </w:tcBorders>
                  <w:vAlign w:val="center"/>
                </w:tcPr>
                <w:p w14:paraId="67C4F4AA" w14:textId="77777777" w:rsidR="00F76A63" w:rsidRDefault="00000000">
                  <w:pPr>
                    <w:adjustRightInd w:val="0"/>
                    <w:snapToGrid w:val="0"/>
                    <w:jc w:val="center"/>
                    <w:rPr>
                      <w:szCs w:val="21"/>
                    </w:rPr>
                  </w:pPr>
                  <w:r>
                    <w:rPr>
                      <w:szCs w:val="21"/>
                    </w:rPr>
                    <w:lastRenderedPageBreak/>
                    <w:t>符合</w:t>
                  </w:r>
                </w:p>
              </w:tc>
            </w:tr>
            <w:tr w:rsidR="00F76A63" w14:paraId="621FC871"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1AF7C2E8"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2DFCF235"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5BE4B05F" w14:textId="77777777" w:rsidR="00F76A63" w:rsidRDefault="00000000">
                  <w:pPr>
                    <w:adjustRightInd w:val="0"/>
                    <w:snapToGrid w:val="0"/>
                    <w:jc w:val="center"/>
                    <w:rPr>
                      <w:szCs w:val="21"/>
                    </w:rPr>
                  </w:pPr>
                  <w:r>
                    <w:rPr>
                      <w:szCs w:val="21"/>
                    </w:rPr>
                    <w:t>2</w:t>
                  </w:r>
                  <w:r>
                    <w:rPr>
                      <w:szCs w:val="21"/>
                    </w:rPr>
                    <w:t>、符合所属行业有关发展规划或相关规范条件。</w:t>
                  </w:r>
                </w:p>
              </w:tc>
              <w:tc>
                <w:tcPr>
                  <w:tcW w:w="1551" w:type="pct"/>
                  <w:vMerge/>
                  <w:tcBorders>
                    <w:top w:val="single" w:sz="4" w:space="0" w:color="auto"/>
                    <w:left w:val="single" w:sz="4" w:space="0" w:color="auto"/>
                    <w:bottom w:val="single" w:sz="4" w:space="0" w:color="auto"/>
                    <w:right w:val="single" w:sz="4" w:space="0" w:color="auto"/>
                  </w:tcBorders>
                  <w:vAlign w:val="center"/>
                </w:tcPr>
                <w:p w14:paraId="6F4F1389"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47AD659B" w14:textId="77777777" w:rsidR="00F76A63" w:rsidRDefault="00F76A63">
                  <w:pPr>
                    <w:adjustRightInd w:val="0"/>
                    <w:snapToGrid w:val="0"/>
                    <w:jc w:val="center"/>
                    <w:rPr>
                      <w:szCs w:val="21"/>
                    </w:rPr>
                  </w:pPr>
                </w:p>
              </w:tc>
            </w:tr>
            <w:tr w:rsidR="00F76A63" w14:paraId="70B78007"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78598EC8"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1EC798E7"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6A418E56" w14:textId="77777777" w:rsidR="00F76A63" w:rsidRDefault="00000000">
                  <w:pPr>
                    <w:adjustRightInd w:val="0"/>
                    <w:snapToGrid w:val="0"/>
                    <w:jc w:val="center"/>
                    <w:rPr>
                      <w:szCs w:val="21"/>
                    </w:rPr>
                  </w:pPr>
                  <w:r>
                    <w:rPr>
                      <w:szCs w:val="21"/>
                    </w:rPr>
                    <w:t>3</w:t>
                  </w:r>
                  <w:r>
                    <w:rPr>
                      <w:szCs w:val="21"/>
                    </w:rPr>
                    <w:t>、符合下蜀高新技术产业园产业定位。</w:t>
                  </w:r>
                </w:p>
              </w:tc>
              <w:tc>
                <w:tcPr>
                  <w:tcW w:w="1551" w:type="pct"/>
                  <w:vMerge/>
                  <w:tcBorders>
                    <w:top w:val="single" w:sz="4" w:space="0" w:color="auto"/>
                    <w:left w:val="single" w:sz="4" w:space="0" w:color="auto"/>
                    <w:bottom w:val="single" w:sz="4" w:space="0" w:color="auto"/>
                    <w:right w:val="single" w:sz="4" w:space="0" w:color="auto"/>
                  </w:tcBorders>
                  <w:vAlign w:val="center"/>
                </w:tcPr>
                <w:p w14:paraId="6FFE70D3"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0F3B4AF6" w14:textId="77777777" w:rsidR="00F76A63" w:rsidRDefault="00F76A63">
                  <w:pPr>
                    <w:adjustRightInd w:val="0"/>
                    <w:snapToGrid w:val="0"/>
                    <w:jc w:val="center"/>
                    <w:rPr>
                      <w:szCs w:val="21"/>
                    </w:rPr>
                  </w:pPr>
                </w:p>
              </w:tc>
            </w:tr>
            <w:tr w:rsidR="00F76A63" w14:paraId="0D575D0C"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4AB78361"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7D37FD5F"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68001D3F" w14:textId="77777777" w:rsidR="00F76A63" w:rsidRDefault="00000000">
                  <w:pPr>
                    <w:adjustRightInd w:val="0"/>
                    <w:snapToGrid w:val="0"/>
                    <w:jc w:val="center"/>
                    <w:rPr>
                      <w:szCs w:val="21"/>
                    </w:rPr>
                  </w:pPr>
                  <w:r>
                    <w:rPr>
                      <w:szCs w:val="21"/>
                    </w:rPr>
                    <w:t>4</w:t>
                  </w:r>
                  <w:r>
                    <w:rPr>
                      <w:szCs w:val="21"/>
                    </w:rPr>
                    <w:t>、鼓励依托龙头企业发展上下游关联度强、技术水平高、绿色安全环保的项目，</w:t>
                  </w:r>
                  <w:r>
                    <w:rPr>
                      <w:szCs w:val="21"/>
                    </w:rPr>
                    <w:lastRenderedPageBreak/>
                    <w:t>进一步补链、延链、强链。</w:t>
                  </w:r>
                </w:p>
              </w:tc>
              <w:tc>
                <w:tcPr>
                  <w:tcW w:w="1551" w:type="pct"/>
                  <w:vMerge/>
                  <w:tcBorders>
                    <w:top w:val="single" w:sz="4" w:space="0" w:color="auto"/>
                    <w:left w:val="single" w:sz="4" w:space="0" w:color="auto"/>
                    <w:bottom w:val="single" w:sz="4" w:space="0" w:color="auto"/>
                    <w:right w:val="single" w:sz="4" w:space="0" w:color="auto"/>
                  </w:tcBorders>
                  <w:vAlign w:val="center"/>
                </w:tcPr>
                <w:p w14:paraId="676EDDEA"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234446A8" w14:textId="77777777" w:rsidR="00F76A63" w:rsidRDefault="00F76A63">
                  <w:pPr>
                    <w:adjustRightInd w:val="0"/>
                    <w:snapToGrid w:val="0"/>
                    <w:jc w:val="center"/>
                    <w:rPr>
                      <w:szCs w:val="21"/>
                    </w:rPr>
                  </w:pPr>
                </w:p>
              </w:tc>
            </w:tr>
            <w:tr w:rsidR="00F76A63" w14:paraId="01F9AB27"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6B9949CF"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72B169BB"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1B321B8E" w14:textId="77777777" w:rsidR="00F76A63" w:rsidRDefault="00000000">
                  <w:pPr>
                    <w:adjustRightInd w:val="0"/>
                    <w:snapToGrid w:val="0"/>
                    <w:jc w:val="center"/>
                    <w:rPr>
                      <w:szCs w:val="21"/>
                    </w:rPr>
                  </w:pPr>
                  <w:r>
                    <w:rPr>
                      <w:szCs w:val="21"/>
                    </w:rPr>
                    <w:t>5</w:t>
                  </w:r>
                  <w:r>
                    <w:rPr>
                      <w:szCs w:val="21"/>
                    </w:rPr>
                    <w:t>、复配类优先发展涂料产品满足《绿色产品评价</w:t>
                  </w:r>
                  <w:r>
                    <w:rPr>
                      <w:szCs w:val="21"/>
                    </w:rPr>
                    <w:t>—</w:t>
                  </w:r>
                  <w:r>
                    <w:rPr>
                      <w:szCs w:val="21"/>
                    </w:rPr>
                    <w:t>涂料》（</w:t>
                  </w:r>
                  <w:r>
                    <w:rPr>
                      <w:szCs w:val="21"/>
                    </w:rPr>
                    <w:t>GB/T35602-2017</w:t>
                  </w:r>
                  <w:r>
                    <w:rPr>
                      <w:szCs w:val="21"/>
                    </w:rPr>
                    <w:t>）指标要求的复配类企业，同时鼓励涂料企业依照《绿色产品评价</w:t>
                  </w:r>
                  <w:r>
                    <w:rPr>
                      <w:szCs w:val="21"/>
                    </w:rPr>
                    <w:t>—</w:t>
                  </w:r>
                  <w:r>
                    <w:rPr>
                      <w:szCs w:val="21"/>
                    </w:rPr>
                    <w:t>涂料》（</w:t>
                  </w:r>
                  <w:r>
                    <w:rPr>
                      <w:szCs w:val="21"/>
                    </w:rPr>
                    <w:t>GB/T35602-2017</w:t>
                  </w:r>
                  <w:r>
                    <w:rPr>
                      <w:szCs w:val="21"/>
                    </w:rPr>
                    <w:t>）改进企业生产和管理。</w:t>
                  </w:r>
                </w:p>
              </w:tc>
              <w:tc>
                <w:tcPr>
                  <w:tcW w:w="1551" w:type="pct"/>
                  <w:vMerge/>
                  <w:tcBorders>
                    <w:top w:val="single" w:sz="4" w:space="0" w:color="auto"/>
                    <w:left w:val="single" w:sz="4" w:space="0" w:color="auto"/>
                    <w:bottom w:val="single" w:sz="4" w:space="0" w:color="auto"/>
                    <w:right w:val="single" w:sz="4" w:space="0" w:color="auto"/>
                  </w:tcBorders>
                  <w:vAlign w:val="center"/>
                </w:tcPr>
                <w:p w14:paraId="6C57CA5C"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7EFB18F7" w14:textId="77777777" w:rsidR="00F76A63" w:rsidRDefault="00F76A63">
                  <w:pPr>
                    <w:adjustRightInd w:val="0"/>
                    <w:snapToGrid w:val="0"/>
                    <w:jc w:val="center"/>
                    <w:rPr>
                      <w:szCs w:val="21"/>
                    </w:rPr>
                  </w:pPr>
                </w:p>
              </w:tc>
            </w:tr>
            <w:tr w:rsidR="00F76A63" w14:paraId="67D5E124"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6227AE8A" w14:textId="77777777" w:rsidR="00F76A63" w:rsidRDefault="00F76A63">
                  <w:pPr>
                    <w:adjustRightInd w:val="0"/>
                    <w:snapToGrid w:val="0"/>
                    <w:jc w:val="center"/>
                    <w:rPr>
                      <w:szCs w:val="21"/>
                    </w:rPr>
                  </w:pPr>
                </w:p>
              </w:tc>
              <w:tc>
                <w:tcPr>
                  <w:tcW w:w="301" w:type="pct"/>
                  <w:vMerge w:val="restart"/>
                  <w:tcBorders>
                    <w:top w:val="single" w:sz="4" w:space="0" w:color="auto"/>
                    <w:left w:val="single" w:sz="4" w:space="0" w:color="auto"/>
                    <w:bottom w:val="single" w:sz="4" w:space="0" w:color="auto"/>
                    <w:right w:val="single" w:sz="4" w:space="0" w:color="auto"/>
                  </w:tcBorders>
                  <w:vAlign w:val="center"/>
                </w:tcPr>
                <w:p w14:paraId="275FC6E4" w14:textId="77777777" w:rsidR="00F76A63" w:rsidRDefault="00000000">
                  <w:pPr>
                    <w:adjustRightInd w:val="0"/>
                    <w:snapToGrid w:val="0"/>
                    <w:jc w:val="center"/>
                    <w:rPr>
                      <w:szCs w:val="21"/>
                    </w:rPr>
                  </w:pPr>
                  <w:r>
                    <w:rPr>
                      <w:szCs w:val="21"/>
                    </w:rPr>
                    <w:t>禁止引入</w:t>
                  </w:r>
                </w:p>
              </w:tc>
              <w:tc>
                <w:tcPr>
                  <w:tcW w:w="2571" w:type="pct"/>
                  <w:tcBorders>
                    <w:top w:val="single" w:sz="4" w:space="0" w:color="auto"/>
                    <w:left w:val="single" w:sz="4" w:space="0" w:color="auto"/>
                    <w:bottom w:val="single" w:sz="4" w:space="0" w:color="auto"/>
                    <w:right w:val="single" w:sz="4" w:space="0" w:color="auto"/>
                  </w:tcBorders>
                  <w:vAlign w:val="center"/>
                </w:tcPr>
                <w:p w14:paraId="205DF2BF" w14:textId="77777777" w:rsidR="00F76A63" w:rsidRDefault="00000000">
                  <w:pPr>
                    <w:adjustRightInd w:val="0"/>
                    <w:snapToGrid w:val="0"/>
                    <w:jc w:val="center"/>
                    <w:rPr>
                      <w:szCs w:val="21"/>
                    </w:rPr>
                  </w:pPr>
                  <w:r>
                    <w:rPr>
                      <w:szCs w:val="21"/>
                    </w:rPr>
                    <w:t>1</w:t>
                  </w:r>
                  <w:r>
                    <w:rPr>
                      <w:szCs w:val="21"/>
                    </w:rPr>
                    <w:t>、《产业结构调整指导目录（</w:t>
                  </w:r>
                  <w:r>
                    <w:rPr>
                      <w:szCs w:val="21"/>
                    </w:rPr>
                    <w:t>2024</w:t>
                  </w:r>
                  <w:r>
                    <w:rPr>
                      <w:szCs w:val="21"/>
                    </w:rPr>
                    <w:t>年本）》中淘汰类或负面清单项目；列入《外商投资准入特别管理措施（负面清单）（</w:t>
                  </w:r>
                  <w:r>
                    <w:rPr>
                      <w:szCs w:val="21"/>
                    </w:rPr>
                    <w:t>2021</w:t>
                  </w:r>
                  <w:r>
                    <w:rPr>
                      <w:szCs w:val="21"/>
                    </w:rPr>
                    <w:t>年版）》的产业；采用落后的、淘汰的生产工艺或生产设备，清洁生产达不到国内先进水平的项目；《长江经济带发展负面清单指南（试行，</w:t>
                  </w:r>
                  <w:r>
                    <w:rPr>
                      <w:szCs w:val="21"/>
                    </w:rPr>
                    <w:t>2022</w:t>
                  </w:r>
                  <w:r>
                    <w:rPr>
                      <w:szCs w:val="21"/>
                    </w:rPr>
                    <w:t>年版）》列明的禁止建设的产业以及江苏省产业政策中明确列入淘汰的项目。</w:t>
                  </w:r>
                </w:p>
              </w:tc>
              <w:tc>
                <w:tcPr>
                  <w:tcW w:w="1551" w:type="pct"/>
                  <w:vMerge w:val="restart"/>
                  <w:tcBorders>
                    <w:top w:val="single" w:sz="4" w:space="0" w:color="auto"/>
                    <w:left w:val="single" w:sz="4" w:space="0" w:color="auto"/>
                    <w:bottom w:val="single" w:sz="4" w:space="0" w:color="auto"/>
                    <w:right w:val="single" w:sz="4" w:space="0" w:color="auto"/>
                  </w:tcBorders>
                  <w:vAlign w:val="center"/>
                </w:tcPr>
                <w:p w14:paraId="4F363BAA" w14:textId="77777777" w:rsidR="00F76A63" w:rsidRDefault="00000000">
                  <w:pPr>
                    <w:adjustRightInd w:val="0"/>
                    <w:snapToGrid w:val="0"/>
                    <w:jc w:val="center"/>
                    <w:rPr>
                      <w:szCs w:val="21"/>
                    </w:rPr>
                  </w:pPr>
                  <w:r>
                    <w:rPr>
                      <w:szCs w:val="21"/>
                    </w:rPr>
                    <w:t>本项目属于</w:t>
                  </w:r>
                  <w:r>
                    <w:rPr>
                      <w:szCs w:val="21"/>
                    </w:rPr>
                    <w:t>[N7723]</w:t>
                  </w:r>
                  <w:r>
                    <w:rPr>
                      <w:szCs w:val="21"/>
                    </w:rPr>
                    <w:t>固体废物治理，不属于《产业结构调整指导目录（</w:t>
                  </w:r>
                  <w:r>
                    <w:rPr>
                      <w:szCs w:val="21"/>
                    </w:rPr>
                    <w:t>2024</w:t>
                  </w:r>
                  <w:r>
                    <w:rPr>
                      <w:szCs w:val="21"/>
                    </w:rPr>
                    <w:t>年本）》中淘汰类或负面清单项目；不属于采用落后的、淘汰的生产工艺或生产设备，清洁生产达不到国内先进水平的项目；不属于《长江经济带发展负面清单指南（试行，</w:t>
                  </w:r>
                  <w:r>
                    <w:rPr>
                      <w:szCs w:val="21"/>
                    </w:rPr>
                    <w:t>2022</w:t>
                  </w:r>
                  <w:r>
                    <w:rPr>
                      <w:szCs w:val="21"/>
                    </w:rPr>
                    <w:t>年版）》列明的禁止建设的产业以及江苏省产业政策中明确列入淘汰的项目；不属于电镀项目；不属于绿色建材外的传统高耗能、高污染项目；不生产和使用高</w:t>
                  </w:r>
                  <w:r>
                    <w:rPr>
                      <w:szCs w:val="21"/>
                    </w:rPr>
                    <w:t>VOCs</w:t>
                  </w:r>
                  <w:r>
                    <w:rPr>
                      <w:szCs w:val="21"/>
                    </w:rPr>
                    <w:t>含量的溶剂型涂料、油墨、胶粘剂；不属于</w:t>
                  </w:r>
                  <w:r>
                    <w:rPr>
                      <w:szCs w:val="21"/>
                    </w:rPr>
                    <w:t>“</w:t>
                  </w:r>
                  <w:r>
                    <w:rPr>
                      <w:szCs w:val="21"/>
                    </w:rPr>
                    <w:t>二十三、化学原料和化学制品制造业</w:t>
                  </w:r>
                  <w:r>
                    <w:rPr>
                      <w:szCs w:val="21"/>
                    </w:rPr>
                    <w:t>”</w:t>
                  </w:r>
                  <w:r>
                    <w:rPr>
                      <w:szCs w:val="21"/>
                    </w:rPr>
                    <w:t>项目。</w:t>
                  </w:r>
                </w:p>
              </w:tc>
              <w:tc>
                <w:tcPr>
                  <w:tcW w:w="272" w:type="pct"/>
                  <w:vMerge w:val="restart"/>
                  <w:tcBorders>
                    <w:top w:val="single" w:sz="4" w:space="0" w:color="auto"/>
                    <w:left w:val="single" w:sz="4" w:space="0" w:color="auto"/>
                    <w:bottom w:val="single" w:sz="4" w:space="0" w:color="auto"/>
                    <w:right w:val="nil"/>
                  </w:tcBorders>
                  <w:vAlign w:val="center"/>
                </w:tcPr>
                <w:p w14:paraId="6E9BBE06" w14:textId="77777777" w:rsidR="00F76A63" w:rsidRDefault="00000000">
                  <w:pPr>
                    <w:adjustRightInd w:val="0"/>
                    <w:snapToGrid w:val="0"/>
                    <w:jc w:val="center"/>
                    <w:rPr>
                      <w:szCs w:val="21"/>
                    </w:rPr>
                  </w:pPr>
                  <w:r>
                    <w:rPr>
                      <w:szCs w:val="21"/>
                    </w:rPr>
                    <w:t>符合</w:t>
                  </w:r>
                </w:p>
              </w:tc>
            </w:tr>
            <w:tr w:rsidR="00F76A63" w14:paraId="1F34D372"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132B10C0"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762E5416"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6A5CD4FD" w14:textId="77777777" w:rsidR="00F76A63" w:rsidRDefault="00000000">
                  <w:pPr>
                    <w:adjustRightInd w:val="0"/>
                    <w:snapToGrid w:val="0"/>
                    <w:jc w:val="center"/>
                    <w:rPr>
                      <w:szCs w:val="21"/>
                    </w:rPr>
                  </w:pPr>
                  <w:r>
                    <w:rPr>
                      <w:szCs w:val="21"/>
                    </w:rPr>
                    <w:t>2</w:t>
                  </w:r>
                  <w:r>
                    <w:rPr>
                      <w:szCs w:val="21"/>
                    </w:rPr>
                    <w:t>、装备制造产业禁止引入专业电镀项目。</w:t>
                  </w:r>
                </w:p>
              </w:tc>
              <w:tc>
                <w:tcPr>
                  <w:tcW w:w="1551" w:type="pct"/>
                  <w:vMerge/>
                  <w:tcBorders>
                    <w:top w:val="single" w:sz="4" w:space="0" w:color="auto"/>
                    <w:left w:val="single" w:sz="4" w:space="0" w:color="auto"/>
                    <w:bottom w:val="single" w:sz="4" w:space="0" w:color="auto"/>
                    <w:right w:val="single" w:sz="4" w:space="0" w:color="auto"/>
                  </w:tcBorders>
                  <w:vAlign w:val="center"/>
                </w:tcPr>
                <w:p w14:paraId="0663D7A3"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3F544701" w14:textId="77777777" w:rsidR="00F76A63" w:rsidRDefault="00F76A63">
                  <w:pPr>
                    <w:adjustRightInd w:val="0"/>
                    <w:snapToGrid w:val="0"/>
                    <w:jc w:val="center"/>
                    <w:rPr>
                      <w:szCs w:val="21"/>
                    </w:rPr>
                  </w:pPr>
                </w:p>
              </w:tc>
            </w:tr>
            <w:tr w:rsidR="00F76A63" w14:paraId="0203B151"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48A08D56"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525AFCAD"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079C49ED" w14:textId="77777777" w:rsidR="00F76A63" w:rsidRDefault="00000000">
                  <w:pPr>
                    <w:adjustRightInd w:val="0"/>
                    <w:snapToGrid w:val="0"/>
                    <w:jc w:val="center"/>
                    <w:rPr>
                      <w:szCs w:val="21"/>
                    </w:rPr>
                  </w:pPr>
                  <w:r>
                    <w:rPr>
                      <w:szCs w:val="21"/>
                    </w:rPr>
                    <w:t>3</w:t>
                  </w:r>
                  <w:r>
                    <w:rPr>
                      <w:szCs w:val="21"/>
                    </w:rPr>
                    <w:t>、建材产业禁止引入绿色建材外的传统高耗能、高污染项目。</w:t>
                  </w:r>
                </w:p>
              </w:tc>
              <w:tc>
                <w:tcPr>
                  <w:tcW w:w="1551" w:type="pct"/>
                  <w:vMerge/>
                  <w:tcBorders>
                    <w:top w:val="single" w:sz="4" w:space="0" w:color="auto"/>
                    <w:left w:val="single" w:sz="4" w:space="0" w:color="auto"/>
                    <w:bottom w:val="single" w:sz="4" w:space="0" w:color="auto"/>
                    <w:right w:val="single" w:sz="4" w:space="0" w:color="auto"/>
                  </w:tcBorders>
                  <w:vAlign w:val="center"/>
                </w:tcPr>
                <w:p w14:paraId="11CCAABE"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73BF03DA" w14:textId="77777777" w:rsidR="00F76A63" w:rsidRDefault="00F76A63">
                  <w:pPr>
                    <w:adjustRightInd w:val="0"/>
                    <w:snapToGrid w:val="0"/>
                    <w:jc w:val="center"/>
                    <w:rPr>
                      <w:szCs w:val="21"/>
                    </w:rPr>
                  </w:pPr>
                </w:p>
              </w:tc>
            </w:tr>
            <w:tr w:rsidR="00F76A63" w14:paraId="5503AA84" w14:textId="77777777">
              <w:trPr>
                <w:trHeight w:val="90"/>
                <w:jc w:val="center"/>
              </w:trPr>
              <w:tc>
                <w:tcPr>
                  <w:tcW w:w="303" w:type="pct"/>
                  <w:vMerge/>
                  <w:tcBorders>
                    <w:top w:val="single" w:sz="4" w:space="0" w:color="auto"/>
                    <w:left w:val="nil"/>
                    <w:bottom w:val="single" w:sz="4" w:space="0" w:color="auto"/>
                    <w:right w:val="single" w:sz="4" w:space="0" w:color="auto"/>
                  </w:tcBorders>
                  <w:vAlign w:val="center"/>
                </w:tcPr>
                <w:p w14:paraId="62B63249"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02B40DC4"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5080CA41" w14:textId="77777777" w:rsidR="00F76A63" w:rsidRDefault="00000000">
                  <w:pPr>
                    <w:adjustRightInd w:val="0"/>
                    <w:snapToGrid w:val="0"/>
                    <w:jc w:val="center"/>
                    <w:rPr>
                      <w:szCs w:val="21"/>
                    </w:rPr>
                  </w:pPr>
                  <w:r>
                    <w:rPr>
                      <w:szCs w:val="21"/>
                    </w:rPr>
                    <w:t>4</w:t>
                  </w:r>
                  <w:r>
                    <w:rPr>
                      <w:szCs w:val="21"/>
                    </w:rPr>
                    <w:t>、新材料产业禁止引入化工新材料项目。</w:t>
                  </w:r>
                </w:p>
              </w:tc>
              <w:tc>
                <w:tcPr>
                  <w:tcW w:w="1551" w:type="pct"/>
                  <w:vMerge/>
                  <w:tcBorders>
                    <w:top w:val="single" w:sz="4" w:space="0" w:color="auto"/>
                    <w:left w:val="single" w:sz="4" w:space="0" w:color="auto"/>
                    <w:bottom w:val="single" w:sz="4" w:space="0" w:color="auto"/>
                    <w:right w:val="single" w:sz="4" w:space="0" w:color="auto"/>
                  </w:tcBorders>
                  <w:vAlign w:val="center"/>
                </w:tcPr>
                <w:p w14:paraId="77DC0657"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4EEC2992" w14:textId="77777777" w:rsidR="00F76A63" w:rsidRDefault="00F76A63">
                  <w:pPr>
                    <w:adjustRightInd w:val="0"/>
                    <w:snapToGrid w:val="0"/>
                    <w:jc w:val="center"/>
                    <w:rPr>
                      <w:szCs w:val="21"/>
                    </w:rPr>
                  </w:pPr>
                </w:p>
              </w:tc>
            </w:tr>
            <w:tr w:rsidR="00F76A63" w14:paraId="0C7EEB06" w14:textId="77777777">
              <w:trPr>
                <w:trHeight w:val="252"/>
                <w:jc w:val="center"/>
              </w:trPr>
              <w:tc>
                <w:tcPr>
                  <w:tcW w:w="303" w:type="pct"/>
                  <w:vMerge/>
                  <w:tcBorders>
                    <w:top w:val="single" w:sz="4" w:space="0" w:color="auto"/>
                    <w:left w:val="nil"/>
                    <w:bottom w:val="single" w:sz="4" w:space="0" w:color="auto"/>
                    <w:right w:val="single" w:sz="4" w:space="0" w:color="auto"/>
                  </w:tcBorders>
                  <w:vAlign w:val="center"/>
                </w:tcPr>
                <w:p w14:paraId="08B17A0D"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1BA3EE03"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7AEE9FC9" w14:textId="77777777" w:rsidR="00F76A63" w:rsidRDefault="00000000">
                  <w:pPr>
                    <w:adjustRightInd w:val="0"/>
                    <w:snapToGrid w:val="0"/>
                    <w:jc w:val="center"/>
                    <w:rPr>
                      <w:szCs w:val="21"/>
                    </w:rPr>
                  </w:pPr>
                  <w:r>
                    <w:rPr>
                      <w:szCs w:val="21"/>
                    </w:rPr>
                    <w:t>5</w:t>
                  </w:r>
                  <w:r>
                    <w:rPr>
                      <w:szCs w:val="21"/>
                    </w:rPr>
                    <w:t>、生产和使用高</w:t>
                  </w:r>
                  <w:r>
                    <w:rPr>
                      <w:szCs w:val="21"/>
                    </w:rPr>
                    <w:t>VOCs</w:t>
                  </w:r>
                  <w:r>
                    <w:rPr>
                      <w:szCs w:val="21"/>
                    </w:rPr>
                    <w:t>含量的溶剂型涂料、油墨、胶粘剂等项目。</w:t>
                  </w:r>
                </w:p>
              </w:tc>
              <w:tc>
                <w:tcPr>
                  <w:tcW w:w="1551" w:type="pct"/>
                  <w:vMerge/>
                  <w:tcBorders>
                    <w:top w:val="single" w:sz="4" w:space="0" w:color="auto"/>
                    <w:left w:val="single" w:sz="4" w:space="0" w:color="auto"/>
                    <w:bottom w:val="single" w:sz="4" w:space="0" w:color="auto"/>
                    <w:right w:val="single" w:sz="4" w:space="0" w:color="auto"/>
                  </w:tcBorders>
                  <w:vAlign w:val="center"/>
                </w:tcPr>
                <w:p w14:paraId="2F74D2CA"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2FC75119" w14:textId="77777777" w:rsidR="00F76A63" w:rsidRDefault="00F76A63">
                  <w:pPr>
                    <w:adjustRightInd w:val="0"/>
                    <w:snapToGrid w:val="0"/>
                    <w:jc w:val="center"/>
                    <w:rPr>
                      <w:szCs w:val="21"/>
                    </w:rPr>
                  </w:pPr>
                </w:p>
              </w:tc>
            </w:tr>
            <w:tr w:rsidR="00F76A63" w14:paraId="29258553" w14:textId="77777777">
              <w:trPr>
                <w:trHeight w:val="252"/>
                <w:jc w:val="center"/>
              </w:trPr>
              <w:tc>
                <w:tcPr>
                  <w:tcW w:w="303" w:type="pct"/>
                  <w:vMerge/>
                  <w:tcBorders>
                    <w:top w:val="single" w:sz="4" w:space="0" w:color="auto"/>
                    <w:left w:val="nil"/>
                    <w:bottom w:val="single" w:sz="4" w:space="0" w:color="auto"/>
                    <w:right w:val="single" w:sz="4" w:space="0" w:color="auto"/>
                  </w:tcBorders>
                  <w:vAlign w:val="center"/>
                </w:tcPr>
                <w:p w14:paraId="7C0B0ED5"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4F44F06C"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22C84091" w14:textId="77777777" w:rsidR="00F76A63" w:rsidRDefault="00000000">
                  <w:pPr>
                    <w:adjustRightInd w:val="0"/>
                    <w:snapToGrid w:val="0"/>
                    <w:jc w:val="center"/>
                    <w:rPr>
                      <w:szCs w:val="21"/>
                    </w:rPr>
                  </w:pPr>
                  <w:r>
                    <w:rPr>
                      <w:szCs w:val="21"/>
                    </w:rPr>
                    <w:t>6</w:t>
                  </w:r>
                  <w:r>
                    <w:rPr>
                      <w:szCs w:val="21"/>
                    </w:rPr>
                    <w:t>、复配产业集中区禁止引入《建设项目环境影响评价分类管理名录》</w:t>
                  </w:r>
                  <w:r>
                    <w:rPr>
                      <w:szCs w:val="21"/>
                    </w:rPr>
                    <w:t>2021</w:t>
                  </w:r>
                  <w:r>
                    <w:rPr>
                      <w:szCs w:val="21"/>
                    </w:rPr>
                    <w:t>版中</w:t>
                  </w:r>
                  <w:r>
                    <w:rPr>
                      <w:szCs w:val="21"/>
                    </w:rPr>
                    <w:t>“</w:t>
                  </w:r>
                  <w:r>
                    <w:rPr>
                      <w:szCs w:val="21"/>
                    </w:rPr>
                    <w:t>二十三、化学原料和化学制品制造业</w:t>
                  </w:r>
                  <w:r>
                    <w:rPr>
                      <w:szCs w:val="21"/>
                    </w:rPr>
                    <w:t>”</w:t>
                  </w:r>
                  <w:r>
                    <w:rPr>
                      <w:szCs w:val="21"/>
                    </w:rPr>
                    <w:t>规定的需做环境影响评价报告书的项目。</w:t>
                  </w:r>
                </w:p>
              </w:tc>
              <w:tc>
                <w:tcPr>
                  <w:tcW w:w="1551" w:type="pct"/>
                  <w:vMerge/>
                  <w:tcBorders>
                    <w:top w:val="single" w:sz="4" w:space="0" w:color="auto"/>
                    <w:left w:val="single" w:sz="4" w:space="0" w:color="auto"/>
                    <w:bottom w:val="single" w:sz="4" w:space="0" w:color="auto"/>
                    <w:right w:val="single" w:sz="4" w:space="0" w:color="auto"/>
                  </w:tcBorders>
                  <w:vAlign w:val="center"/>
                </w:tcPr>
                <w:p w14:paraId="7761D2A3"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7EDAC0DB" w14:textId="77777777" w:rsidR="00F76A63" w:rsidRDefault="00F76A63">
                  <w:pPr>
                    <w:adjustRightInd w:val="0"/>
                    <w:snapToGrid w:val="0"/>
                    <w:jc w:val="center"/>
                    <w:rPr>
                      <w:szCs w:val="21"/>
                    </w:rPr>
                  </w:pPr>
                </w:p>
              </w:tc>
            </w:tr>
            <w:tr w:rsidR="00F76A63" w14:paraId="3C73C799"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1F788D0F"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6EC82BFF"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104CD4A5" w14:textId="77777777" w:rsidR="00F76A63" w:rsidRDefault="00000000">
                  <w:pPr>
                    <w:adjustRightInd w:val="0"/>
                    <w:snapToGrid w:val="0"/>
                    <w:jc w:val="center"/>
                    <w:rPr>
                      <w:szCs w:val="21"/>
                    </w:rPr>
                  </w:pPr>
                  <w:r>
                    <w:rPr>
                      <w:szCs w:val="21"/>
                    </w:rPr>
                    <w:t>7</w:t>
                  </w:r>
                  <w:r>
                    <w:rPr>
                      <w:szCs w:val="21"/>
                    </w:rPr>
                    <w:t>、不符合国家、江苏省有关法律法规规定，严重浪费资源、污染环境、不具备安全生产条件，需要淘汰的落后工艺技术、装备及产品。</w:t>
                  </w:r>
                </w:p>
              </w:tc>
              <w:tc>
                <w:tcPr>
                  <w:tcW w:w="1551" w:type="pct"/>
                  <w:vMerge/>
                  <w:tcBorders>
                    <w:top w:val="single" w:sz="4" w:space="0" w:color="auto"/>
                    <w:left w:val="single" w:sz="4" w:space="0" w:color="auto"/>
                    <w:bottom w:val="single" w:sz="4" w:space="0" w:color="auto"/>
                    <w:right w:val="single" w:sz="4" w:space="0" w:color="auto"/>
                  </w:tcBorders>
                  <w:vAlign w:val="center"/>
                </w:tcPr>
                <w:p w14:paraId="6E866CEB"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360D6F4E" w14:textId="77777777" w:rsidR="00F76A63" w:rsidRDefault="00F76A63">
                  <w:pPr>
                    <w:adjustRightInd w:val="0"/>
                    <w:snapToGrid w:val="0"/>
                    <w:jc w:val="center"/>
                    <w:rPr>
                      <w:szCs w:val="21"/>
                    </w:rPr>
                  </w:pPr>
                </w:p>
              </w:tc>
            </w:tr>
            <w:tr w:rsidR="00F76A63" w14:paraId="03E10529"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40BCFE44" w14:textId="77777777" w:rsidR="00F76A63" w:rsidRDefault="00F76A63">
                  <w:pPr>
                    <w:adjustRightInd w:val="0"/>
                    <w:snapToGrid w:val="0"/>
                    <w:jc w:val="center"/>
                    <w:rPr>
                      <w:szCs w:val="21"/>
                    </w:rPr>
                  </w:pPr>
                </w:p>
              </w:tc>
              <w:tc>
                <w:tcPr>
                  <w:tcW w:w="301" w:type="pct"/>
                  <w:tcBorders>
                    <w:top w:val="single" w:sz="4" w:space="0" w:color="auto"/>
                    <w:left w:val="single" w:sz="4" w:space="0" w:color="auto"/>
                    <w:bottom w:val="single" w:sz="4" w:space="0" w:color="auto"/>
                    <w:right w:val="single" w:sz="4" w:space="0" w:color="auto"/>
                  </w:tcBorders>
                  <w:vAlign w:val="center"/>
                </w:tcPr>
                <w:p w14:paraId="2D734DB2" w14:textId="77777777" w:rsidR="00F76A63" w:rsidRDefault="00000000">
                  <w:pPr>
                    <w:adjustRightInd w:val="0"/>
                    <w:snapToGrid w:val="0"/>
                    <w:jc w:val="center"/>
                    <w:rPr>
                      <w:szCs w:val="21"/>
                    </w:rPr>
                  </w:pPr>
                  <w:r>
                    <w:rPr>
                      <w:szCs w:val="21"/>
                    </w:rPr>
                    <w:t>限制引入</w:t>
                  </w:r>
                </w:p>
              </w:tc>
              <w:tc>
                <w:tcPr>
                  <w:tcW w:w="2571" w:type="pct"/>
                  <w:tcBorders>
                    <w:top w:val="single" w:sz="4" w:space="0" w:color="auto"/>
                    <w:left w:val="single" w:sz="4" w:space="0" w:color="auto"/>
                    <w:bottom w:val="single" w:sz="4" w:space="0" w:color="auto"/>
                    <w:right w:val="single" w:sz="4" w:space="0" w:color="auto"/>
                  </w:tcBorders>
                  <w:vAlign w:val="center"/>
                </w:tcPr>
                <w:p w14:paraId="3B787B15" w14:textId="77777777" w:rsidR="00F76A63" w:rsidRDefault="00000000">
                  <w:pPr>
                    <w:adjustRightInd w:val="0"/>
                    <w:snapToGrid w:val="0"/>
                    <w:jc w:val="center"/>
                    <w:rPr>
                      <w:szCs w:val="21"/>
                    </w:rPr>
                  </w:pPr>
                  <w:r>
                    <w:rPr>
                      <w:szCs w:val="21"/>
                    </w:rPr>
                    <w:t>《产业结构调整指导目录（</w:t>
                  </w:r>
                  <w:r>
                    <w:rPr>
                      <w:szCs w:val="21"/>
                    </w:rPr>
                    <w:t>2024</w:t>
                  </w:r>
                  <w:r>
                    <w:rPr>
                      <w:szCs w:val="21"/>
                    </w:rPr>
                    <w:t>年本）》中限制类项目。</w:t>
                  </w:r>
                </w:p>
              </w:tc>
              <w:tc>
                <w:tcPr>
                  <w:tcW w:w="1551" w:type="pct"/>
                  <w:tcBorders>
                    <w:top w:val="single" w:sz="4" w:space="0" w:color="auto"/>
                    <w:left w:val="single" w:sz="4" w:space="0" w:color="auto"/>
                    <w:bottom w:val="single" w:sz="4" w:space="0" w:color="auto"/>
                    <w:right w:val="single" w:sz="4" w:space="0" w:color="auto"/>
                  </w:tcBorders>
                  <w:vAlign w:val="center"/>
                </w:tcPr>
                <w:p w14:paraId="1816B12B" w14:textId="77777777" w:rsidR="00F76A63" w:rsidRDefault="00000000">
                  <w:pPr>
                    <w:adjustRightInd w:val="0"/>
                    <w:snapToGrid w:val="0"/>
                    <w:jc w:val="center"/>
                    <w:rPr>
                      <w:szCs w:val="21"/>
                    </w:rPr>
                  </w:pPr>
                  <w:r>
                    <w:rPr>
                      <w:szCs w:val="21"/>
                    </w:rPr>
                    <w:t>本项目不属于《产业结构调整指导目录（</w:t>
                  </w:r>
                  <w:r>
                    <w:rPr>
                      <w:szCs w:val="21"/>
                    </w:rPr>
                    <w:t>2024</w:t>
                  </w:r>
                  <w:r>
                    <w:rPr>
                      <w:szCs w:val="21"/>
                    </w:rPr>
                    <w:t>年本）》中限制类项目。</w:t>
                  </w:r>
                </w:p>
              </w:tc>
              <w:tc>
                <w:tcPr>
                  <w:tcW w:w="272" w:type="pct"/>
                  <w:tcBorders>
                    <w:top w:val="single" w:sz="4" w:space="0" w:color="auto"/>
                    <w:left w:val="single" w:sz="4" w:space="0" w:color="auto"/>
                    <w:bottom w:val="single" w:sz="4" w:space="0" w:color="auto"/>
                    <w:right w:val="nil"/>
                  </w:tcBorders>
                  <w:vAlign w:val="center"/>
                </w:tcPr>
                <w:p w14:paraId="39977E9C" w14:textId="77777777" w:rsidR="00F76A63" w:rsidRDefault="00000000">
                  <w:pPr>
                    <w:adjustRightInd w:val="0"/>
                    <w:snapToGrid w:val="0"/>
                    <w:jc w:val="center"/>
                    <w:rPr>
                      <w:szCs w:val="21"/>
                    </w:rPr>
                  </w:pPr>
                  <w:r>
                    <w:rPr>
                      <w:szCs w:val="21"/>
                    </w:rPr>
                    <w:t>符合</w:t>
                  </w:r>
                </w:p>
              </w:tc>
            </w:tr>
            <w:tr w:rsidR="00F76A63" w14:paraId="55D7D67B" w14:textId="77777777">
              <w:trPr>
                <w:jc w:val="center"/>
              </w:trPr>
              <w:tc>
                <w:tcPr>
                  <w:tcW w:w="604" w:type="pct"/>
                  <w:gridSpan w:val="2"/>
                  <w:vMerge w:val="restart"/>
                  <w:tcBorders>
                    <w:top w:val="single" w:sz="4" w:space="0" w:color="auto"/>
                    <w:left w:val="nil"/>
                    <w:bottom w:val="single" w:sz="4" w:space="0" w:color="auto"/>
                    <w:right w:val="single" w:sz="4" w:space="0" w:color="auto"/>
                  </w:tcBorders>
                  <w:vAlign w:val="center"/>
                </w:tcPr>
                <w:p w14:paraId="6A8FAB3E" w14:textId="77777777" w:rsidR="00F76A63" w:rsidRDefault="00000000">
                  <w:pPr>
                    <w:adjustRightInd w:val="0"/>
                    <w:snapToGrid w:val="0"/>
                    <w:jc w:val="center"/>
                    <w:rPr>
                      <w:szCs w:val="21"/>
                    </w:rPr>
                  </w:pPr>
                  <w:r>
                    <w:rPr>
                      <w:szCs w:val="21"/>
                    </w:rPr>
                    <w:t>空间布局约束</w:t>
                  </w:r>
                </w:p>
              </w:tc>
              <w:tc>
                <w:tcPr>
                  <w:tcW w:w="2571" w:type="pct"/>
                  <w:tcBorders>
                    <w:top w:val="single" w:sz="4" w:space="0" w:color="auto"/>
                    <w:left w:val="single" w:sz="4" w:space="0" w:color="auto"/>
                    <w:bottom w:val="single" w:sz="4" w:space="0" w:color="auto"/>
                    <w:right w:val="single" w:sz="4" w:space="0" w:color="auto"/>
                  </w:tcBorders>
                  <w:vAlign w:val="center"/>
                </w:tcPr>
                <w:p w14:paraId="24A94FF4" w14:textId="77777777" w:rsidR="00F76A63" w:rsidRDefault="00000000">
                  <w:pPr>
                    <w:adjustRightInd w:val="0"/>
                    <w:snapToGrid w:val="0"/>
                    <w:jc w:val="center"/>
                    <w:rPr>
                      <w:szCs w:val="21"/>
                    </w:rPr>
                  </w:pPr>
                  <w:r>
                    <w:rPr>
                      <w:szCs w:val="21"/>
                    </w:rPr>
                    <w:t>本次规划范围属于《江苏省</w:t>
                  </w:r>
                  <w:r>
                    <w:rPr>
                      <w:szCs w:val="21"/>
                    </w:rPr>
                    <w:t>“</w:t>
                  </w:r>
                  <w:r>
                    <w:rPr>
                      <w:szCs w:val="21"/>
                    </w:rPr>
                    <w:t>三线一单</w:t>
                  </w:r>
                  <w:r>
                    <w:rPr>
                      <w:szCs w:val="21"/>
                    </w:rPr>
                    <w:t>”</w:t>
                  </w:r>
                  <w:r>
                    <w:rPr>
                      <w:szCs w:val="21"/>
                    </w:rPr>
                    <w:t>生态环境分区管控方案》重点管控单元、《镇江市</w:t>
                  </w:r>
                  <w:r>
                    <w:rPr>
                      <w:szCs w:val="21"/>
                    </w:rPr>
                    <w:t>“</w:t>
                  </w:r>
                  <w:r>
                    <w:rPr>
                      <w:szCs w:val="21"/>
                    </w:rPr>
                    <w:t>三线一单</w:t>
                  </w:r>
                  <w:r>
                    <w:rPr>
                      <w:szCs w:val="21"/>
                    </w:rPr>
                    <w:t>”</w:t>
                  </w:r>
                  <w:r>
                    <w:rPr>
                      <w:szCs w:val="21"/>
                    </w:rPr>
                    <w:t>生态环境分区管控方案》重点管控单元和一般管控单元，按照相关管控方案执行。</w:t>
                  </w:r>
                </w:p>
              </w:tc>
              <w:tc>
                <w:tcPr>
                  <w:tcW w:w="1551" w:type="pct"/>
                  <w:vMerge w:val="restart"/>
                  <w:tcBorders>
                    <w:top w:val="single" w:sz="4" w:space="0" w:color="auto"/>
                    <w:left w:val="single" w:sz="4" w:space="0" w:color="auto"/>
                    <w:bottom w:val="single" w:sz="4" w:space="0" w:color="auto"/>
                    <w:right w:val="single" w:sz="4" w:space="0" w:color="auto"/>
                  </w:tcBorders>
                  <w:vAlign w:val="center"/>
                </w:tcPr>
                <w:p w14:paraId="0E6D02BC" w14:textId="77777777" w:rsidR="00F76A63" w:rsidRDefault="00000000">
                  <w:pPr>
                    <w:adjustRightInd w:val="0"/>
                    <w:snapToGrid w:val="0"/>
                    <w:jc w:val="center"/>
                    <w:rPr>
                      <w:szCs w:val="21"/>
                    </w:rPr>
                  </w:pPr>
                  <w:r>
                    <w:rPr>
                      <w:szCs w:val="21"/>
                    </w:rPr>
                    <w:t>本项目位于句容市下蜀高新技术产业园，本项目不新增用地，所在地为工业用地，距离最近的省级生态空间管控区域为长江（丹徒区）重要湿地，直线距离约</w:t>
                  </w:r>
                  <w:r>
                    <w:rPr>
                      <w:szCs w:val="21"/>
                    </w:rPr>
                    <w:t>400m</w:t>
                  </w:r>
                  <w:r>
                    <w:rPr>
                      <w:szCs w:val="21"/>
                    </w:rPr>
                    <w:t>，不涉及国家级生态红线、省级生态空间管控区域及基本农田。</w:t>
                  </w:r>
                </w:p>
              </w:tc>
              <w:tc>
                <w:tcPr>
                  <w:tcW w:w="272" w:type="pct"/>
                  <w:vMerge w:val="restart"/>
                  <w:tcBorders>
                    <w:top w:val="single" w:sz="4" w:space="0" w:color="auto"/>
                    <w:left w:val="single" w:sz="4" w:space="0" w:color="auto"/>
                    <w:bottom w:val="single" w:sz="4" w:space="0" w:color="auto"/>
                    <w:right w:val="nil"/>
                  </w:tcBorders>
                  <w:vAlign w:val="center"/>
                </w:tcPr>
                <w:p w14:paraId="070E9787" w14:textId="77777777" w:rsidR="00F76A63" w:rsidRDefault="00000000">
                  <w:pPr>
                    <w:adjustRightInd w:val="0"/>
                    <w:snapToGrid w:val="0"/>
                    <w:jc w:val="center"/>
                    <w:rPr>
                      <w:szCs w:val="21"/>
                    </w:rPr>
                  </w:pPr>
                  <w:r>
                    <w:rPr>
                      <w:szCs w:val="21"/>
                    </w:rPr>
                    <w:t>符合</w:t>
                  </w:r>
                </w:p>
              </w:tc>
            </w:tr>
            <w:tr w:rsidR="00F76A63" w14:paraId="78A067F2" w14:textId="77777777">
              <w:trPr>
                <w:jc w:val="center"/>
              </w:trPr>
              <w:tc>
                <w:tcPr>
                  <w:tcW w:w="604" w:type="pct"/>
                  <w:gridSpan w:val="2"/>
                  <w:vMerge/>
                  <w:tcBorders>
                    <w:top w:val="single" w:sz="4" w:space="0" w:color="auto"/>
                    <w:left w:val="nil"/>
                    <w:bottom w:val="single" w:sz="4" w:space="0" w:color="auto"/>
                    <w:right w:val="single" w:sz="4" w:space="0" w:color="auto"/>
                  </w:tcBorders>
                  <w:vAlign w:val="center"/>
                </w:tcPr>
                <w:p w14:paraId="544C0E9D"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04D98663" w14:textId="77777777" w:rsidR="00F76A63" w:rsidRDefault="00000000">
                  <w:pPr>
                    <w:adjustRightInd w:val="0"/>
                    <w:snapToGrid w:val="0"/>
                    <w:jc w:val="center"/>
                    <w:rPr>
                      <w:szCs w:val="21"/>
                    </w:rPr>
                  </w:pPr>
                  <w:r>
                    <w:rPr>
                      <w:szCs w:val="21"/>
                    </w:rPr>
                    <w:t>落实《江苏省生态空间管控区域规划》《江苏省国家级生态保护红线规划》管控要求。</w:t>
                  </w:r>
                </w:p>
              </w:tc>
              <w:tc>
                <w:tcPr>
                  <w:tcW w:w="1551" w:type="pct"/>
                  <w:vMerge/>
                  <w:tcBorders>
                    <w:top w:val="single" w:sz="4" w:space="0" w:color="auto"/>
                    <w:left w:val="single" w:sz="4" w:space="0" w:color="auto"/>
                    <w:bottom w:val="single" w:sz="4" w:space="0" w:color="auto"/>
                    <w:right w:val="single" w:sz="4" w:space="0" w:color="auto"/>
                  </w:tcBorders>
                  <w:vAlign w:val="center"/>
                </w:tcPr>
                <w:p w14:paraId="28054647"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6D65E21D" w14:textId="77777777" w:rsidR="00F76A63" w:rsidRDefault="00F76A63">
                  <w:pPr>
                    <w:adjustRightInd w:val="0"/>
                    <w:snapToGrid w:val="0"/>
                    <w:jc w:val="center"/>
                    <w:rPr>
                      <w:szCs w:val="21"/>
                    </w:rPr>
                  </w:pPr>
                </w:p>
              </w:tc>
            </w:tr>
            <w:tr w:rsidR="00F76A63" w14:paraId="28067F06" w14:textId="77777777">
              <w:trPr>
                <w:jc w:val="center"/>
              </w:trPr>
              <w:tc>
                <w:tcPr>
                  <w:tcW w:w="604" w:type="pct"/>
                  <w:gridSpan w:val="2"/>
                  <w:vMerge/>
                  <w:tcBorders>
                    <w:top w:val="single" w:sz="4" w:space="0" w:color="auto"/>
                    <w:left w:val="nil"/>
                    <w:bottom w:val="single" w:sz="4" w:space="0" w:color="auto"/>
                    <w:right w:val="single" w:sz="4" w:space="0" w:color="auto"/>
                  </w:tcBorders>
                  <w:vAlign w:val="center"/>
                </w:tcPr>
                <w:p w14:paraId="3CC0A108"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44EE7BF5" w14:textId="77777777" w:rsidR="00F76A63" w:rsidRDefault="00000000">
                  <w:pPr>
                    <w:adjustRightInd w:val="0"/>
                    <w:snapToGrid w:val="0"/>
                    <w:jc w:val="center"/>
                    <w:rPr>
                      <w:szCs w:val="21"/>
                    </w:rPr>
                  </w:pPr>
                  <w:r>
                    <w:rPr>
                      <w:szCs w:val="21"/>
                    </w:rPr>
                    <w:t>开发内绿地</w:t>
                  </w:r>
                  <w:r>
                    <w:rPr>
                      <w:szCs w:val="21"/>
                    </w:rPr>
                    <w:t>54.5</w:t>
                  </w:r>
                  <w:r>
                    <w:rPr>
                      <w:szCs w:val="21"/>
                    </w:rPr>
                    <w:t>公顷和水域</w:t>
                  </w:r>
                  <w:r>
                    <w:rPr>
                      <w:szCs w:val="21"/>
                    </w:rPr>
                    <w:t>43.2</w:t>
                  </w:r>
                  <w:r>
                    <w:rPr>
                      <w:szCs w:val="21"/>
                    </w:rPr>
                    <w:t>公顷，重点保护，提出限制占用的管理要求。</w:t>
                  </w:r>
                </w:p>
              </w:tc>
              <w:tc>
                <w:tcPr>
                  <w:tcW w:w="1551" w:type="pct"/>
                  <w:vMerge/>
                  <w:tcBorders>
                    <w:top w:val="single" w:sz="4" w:space="0" w:color="auto"/>
                    <w:left w:val="single" w:sz="4" w:space="0" w:color="auto"/>
                    <w:bottom w:val="single" w:sz="4" w:space="0" w:color="auto"/>
                    <w:right w:val="single" w:sz="4" w:space="0" w:color="auto"/>
                  </w:tcBorders>
                  <w:vAlign w:val="center"/>
                </w:tcPr>
                <w:p w14:paraId="0C164DDC"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4EB59AF5" w14:textId="77777777" w:rsidR="00F76A63" w:rsidRDefault="00F76A63">
                  <w:pPr>
                    <w:adjustRightInd w:val="0"/>
                    <w:snapToGrid w:val="0"/>
                    <w:jc w:val="center"/>
                    <w:rPr>
                      <w:szCs w:val="21"/>
                    </w:rPr>
                  </w:pPr>
                </w:p>
              </w:tc>
            </w:tr>
            <w:tr w:rsidR="00F76A63" w14:paraId="0DED429E" w14:textId="77777777">
              <w:trPr>
                <w:jc w:val="center"/>
              </w:trPr>
              <w:tc>
                <w:tcPr>
                  <w:tcW w:w="604" w:type="pct"/>
                  <w:gridSpan w:val="2"/>
                  <w:vMerge/>
                  <w:tcBorders>
                    <w:top w:val="single" w:sz="4" w:space="0" w:color="auto"/>
                    <w:left w:val="nil"/>
                    <w:bottom w:val="single" w:sz="4" w:space="0" w:color="auto"/>
                    <w:right w:val="single" w:sz="4" w:space="0" w:color="auto"/>
                  </w:tcBorders>
                  <w:vAlign w:val="center"/>
                </w:tcPr>
                <w:p w14:paraId="1C43D0BD"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70ABA80B" w14:textId="77777777" w:rsidR="00F76A63" w:rsidRDefault="00000000">
                  <w:pPr>
                    <w:adjustRightInd w:val="0"/>
                    <w:snapToGrid w:val="0"/>
                    <w:jc w:val="center"/>
                    <w:rPr>
                      <w:szCs w:val="21"/>
                    </w:rPr>
                  </w:pPr>
                  <w:r>
                    <w:rPr>
                      <w:szCs w:val="21"/>
                    </w:rPr>
                    <w:t>产业园区原则上按照《下蜀高新技术产业园开发建设规划（</w:t>
                  </w:r>
                  <w:r>
                    <w:rPr>
                      <w:szCs w:val="21"/>
                    </w:rPr>
                    <w:t>2021-2035</w:t>
                  </w:r>
                  <w:r>
                    <w:rPr>
                      <w:szCs w:val="21"/>
                    </w:rPr>
                    <w:t>年）》产业</w:t>
                  </w:r>
                  <w:r>
                    <w:rPr>
                      <w:szCs w:val="21"/>
                    </w:rPr>
                    <w:lastRenderedPageBreak/>
                    <w:t>布局中</w:t>
                  </w:r>
                  <w:r>
                    <w:rPr>
                      <w:szCs w:val="21"/>
                    </w:rPr>
                    <w:t>“</w:t>
                  </w:r>
                  <w:r>
                    <w:rPr>
                      <w:szCs w:val="21"/>
                    </w:rPr>
                    <w:t>四大片区</w:t>
                  </w:r>
                  <w:r>
                    <w:rPr>
                      <w:szCs w:val="21"/>
                    </w:rPr>
                    <w:t>”</w:t>
                  </w:r>
                  <w:r>
                    <w:rPr>
                      <w:szCs w:val="21"/>
                    </w:rPr>
                    <w:t>即装备制造产业园、新材料产业园、建材制造产业园、复配产业园以及</w:t>
                  </w:r>
                  <w:r>
                    <w:rPr>
                      <w:szCs w:val="21"/>
                    </w:rPr>
                    <w:t>“</w:t>
                  </w:r>
                  <w:r>
                    <w:rPr>
                      <w:szCs w:val="21"/>
                    </w:rPr>
                    <w:t>多中心</w:t>
                  </w:r>
                  <w:r>
                    <w:rPr>
                      <w:szCs w:val="21"/>
                    </w:rPr>
                    <w:t>”</w:t>
                  </w:r>
                  <w:r>
                    <w:rPr>
                      <w:szCs w:val="21"/>
                    </w:rPr>
                    <w:t>中物流中心布局建设项目；考虑到产品市场的不确定性，若项目实施时产品链的产品规模与规划方案发生改变，需控制污染物排放总量不突破本规划环评的建议控制总量。</w:t>
                  </w:r>
                </w:p>
              </w:tc>
              <w:tc>
                <w:tcPr>
                  <w:tcW w:w="1551" w:type="pct"/>
                  <w:vMerge/>
                  <w:tcBorders>
                    <w:top w:val="single" w:sz="4" w:space="0" w:color="auto"/>
                    <w:left w:val="single" w:sz="4" w:space="0" w:color="auto"/>
                    <w:bottom w:val="single" w:sz="4" w:space="0" w:color="auto"/>
                    <w:right w:val="single" w:sz="4" w:space="0" w:color="auto"/>
                  </w:tcBorders>
                  <w:vAlign w:val="center"/>
                </w:tcPr>
                <w:p w14:paraId="045A8F7B"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213F214D" w14:textId="77777777" w:rsidR="00F76A63" w:rsidRDefault="00F76A63">
                  <w:pPr>
                    <w:adjustRightInd w:val="0"/>
                    <w:snapToGrid w:val="0"/>
                    <w:jc w:val="center"/>
                    <w:rPr>
                      <w:szCs w:val="21"/>
                    </w:rPr>
                  </w:pPr>
                </w:p>
              </w:tc>
            </w:tr>
            <w:tr w:rsidR="00F76A63" w14:paraId="399C0246" w14:textId="77777777">
              <w:trPr>
                <w:jc w:val="center"/>
              </w:trPr>
              <w:tc>
                <w:tcPr>
                  <w:tcW w:w="604" w:type="pct"/>
                  <w:gridSpan w:val="2"/>
                  <w:vMerge/>
                  <w:tcBorders>
                    <w:top w:val="single" w:sz="4" w:space="0" w:color="auto"/>
                    <w:left w:val="nil"/>
                    <w:bottom w:val="single" w:sz="4" w:space="0" w:color="auto"/>
                    <w:right w:val="single" w:sz="4" w:space="0" w:color="auto"/>
                  </w:tcBorders>
                  <w:vAlign w:val="center"/>
                </w:tcPr>
                <w:p w14:paraId="6221715A"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38066E40" w14:textId="77777777" w:rsidR="00F76A63" w:rsidRDefault="00000000">
                  <w:pPr>
                    <w:adjustRightInd w:val="0"/>
                    <w:snapToGrid w:val="0"/>
                    <w:jc w:val="center"/>
                    <w:rPr>
                      <w:szCs w:val="21"/>
                    </w:rPr>
                  </w:pPr>
                  <w:r>
                    <w:rPr>
                      <w:szCs w:val="21"/>
                    </w:rPr>
                    <w:t>现状和规划居住区附近的工业用地布设污染性小的工业企业，居民生活用地、行政办公用地与工业用地、仓储用地之间应根据项目环评要求设立相应的卫生防护距离或大气环境防护距离，设置生态缓冲隔离带，隔离带应设置一定的防护绿地，减少工业企业生产对产业园区区内及周边居住区的污染，避免出现工业污染扰民现象。</w:t>
                  </w:r>
                </w:p>
              </w:tc>
              <w:tc>
                <w:tcPr>
                  <w:tcW w:w="1551" w:type="pct"/>
                  <w:vMerge/>
                  <w:tcBorders>
                    <w:top w:val="single" w:sz="4" w:space="0" w:color="auto"/>
                    <w:left w:val="single" w:sz="4" w:space="0" w:color="auto"/>
                    <w:bottom w:val="single" w:sz="4" w:space="0" w:color="auto"/>
                    <w:right w:val="single" w:sz="4" w:space="0" w:color="auto"/>
                  </w:tcBorders>
                  <w:vAlign w:val="center"/>
                </w:tcPr>
                <w:p w14:paraId="69C05DF2"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13E0FECF" w14:textId="77777777" w:rsidR="00F76A63" w:rsidRDefault="00F76A63">
                  <w:pPr>
                    <w:adjustRightInd w:val="0"/>
                    <w:snapToGrid w:val="0"/>
                    <w:jc w:val="center"/>
                    <w:rPr>
                      <w:szCs w:val="21"/>
                    </w:rPr>
                  </w:pPr>
                </w:p>
              </w:tc>
            </w:tr>
            <w:tr w:rsidR="00F76A63" w14:paraId="59E44DB9" w14:textId="77777777">
              <w:trPr>
                <w:jc w:val="center"/>
              </w:trPr>
              <w:tc>
                <w:tcPr>
                  <w:tcW w:w="303" w:type="pct"/>
                  <w:vMerge w:val="restart"/>
                  <w:tcBorders>
                    <w:top w:val="single" w:sz="4" w:space="0" w:color="auto"/>
                    <w:left w:val="nil"/>
                    <w:bottom w:val="single" w:sz="4" w:space="0" w:color="auto"/>
                    <w:right w:val="single" w:sz="4" w:space="0" w:color="auto"/>
                  </w:tcBorders>
                  <w:vAlign w:val="center"/>
                </w:tcPr>
                <w:p w14:paraId="310FFE50" w14:textId="77777777" w:rsidR="00F76A63" w:rsidRDefault="00000000">
                  <w:pPr>
                    <w:adjustRightInd w:val="0"/>
                    <w:snapToGrid w:val="0"/>
                    <w:jc w:val="center"/>
                    <w:rPr>
                      <w:szCs w:val="21"/>
                    </w:rPr>
                  </w:pPr>
                  <w:r>
                    <w:rPr>
                      <w:szCs w:val="21"/>
                    </w:rPr>
                    <w:t>污染物排放管控</w:t>
                  </w:r>
                </w:p>
              </w:tc>
              <w:tc>
                <w:tcPr>
                  <w:tcW w:w="301" w:type="pct"/>
                  <w:vMerge w:val="restart"/>
                  <w:tcBorders>
                    <w:top w:val="single" w:sz="4" w:space="0" w:color="auto"/>
                    <w:left w:val="single" w:sz="4" w:space="0" w:color="auto"/>
                    <w:bottom w:val="single" w:sz="4" w:space="0" w:color="auto"/>
                    <w:right w:val="single" w:sz="4" w:space="0" w:color="auto"/>
                  </w:tcBorders>
                  <w:vAlign w:val="center"/>
                </w:tcPr>
                <w:p w14:paraId="4D9C1675" w14:textId="77777777" w:rsidR="00F76A63" w:rsidRDefault="00000000">
                  <w:pPr>
                    <w:adjustRightInd w:val="0"/>
                    <w:snapToGrid w:val="0"/>
                    <w:jc w:val="center"/>
                    <w:rPr>
                      <w:szCs w:val="21"/>
                    </w:rPr>
                  </w:pPr>
                  <w:r>
                    <w:rPr>
                      <w:szCs w:val="21"/>
                    </w:rPr>
                    <w:t>总体要求</w:t>
                  </w:r>
                </w:p>
              </w:tc>
              <w:tc>
                <w:tcPr>
                  <w:tcW w:w="2571" w:type="pct"/>
                  <w:tcBorders>
                    <w:top w:val="single" w:sz="4" w:space="0" w:color="auto"/>
                    <w:left w:val="single" w:sz="4" w:space="0" w:color="auto"/>
                    <w:bottom w:val="single" w:sz="4" w:space="0" w:color="auto"/>
                    <w:right w:val="single" w:sz="4" w:space="0" w:color="auto"/>
                  </w:tcBorders>
                  <w:vAlign w:val="center"/>
                </w:tcPr>
                <w:p w14:paraId="781666B5" w14:textId="77777777" w:rsidR="00F76A63" w:rsidRDefault="00000000">
                  <w:pPr>
                    <w:adjustRightInd w:val="0"/>
                    <w:snapToGrid w:val="0"/>
                    <w:jc w:val="center"/>
                    <w:rPr>
                      <w:szCs w:val="21"/>
                    </w:rPr>
                  </w:pPr>
                  <w:r>
                    <w:rPr>
                      <w:szCs w:val="21"/>
                    </w:rPr>
                    <w:t>1</w:t>
                  </w:r>
                  <w:r>
                    <w:rPr>
                      <w:szCs w:val="21"/>
                    </w:rPr>
                    <w:t>、工业项目排放污染物必须达到国家和地方规定的污染物排放标准。</w:t>
                  </w:r>
                </w:p>
                <w:p w14:paraId="0E6F36A7" w14:textId="77777777" w:rsidR="00F76A63" w:rsidRDefault="00000000">
                  <w:pPr>
                    <w:adjustRightInd w:val="0"/>
                    <w:snapToGrid w:val="0"/>
                    <w:jc w:val="center"/>
                    <w:rPr>
                      <w:szCs w:val="21"/>
                    </w:rPr>
                  </w:pPr>
                  <w:r>
                    <w:rPr>
                      <w:szCs w:val="21"/>
                    </w:rPr>
                    <w:t>2</w:t>
                  </w:r>
                  <w:r>
                    <w:rPr>
                      <w:szCs w:val="21"/>
                    </w:rPr>
                    <w:t>、新建企业生产技术和工艺、水耗能耗物耗、产排污情况及环境管理等方面应达到国内先进水平（有清洁生产标准的不得低于国内清洁生产先进水平，有国家效率指南的执行国家先进</w:t>
                  </w:r>
                  <w:r>
                    <w:rPr>
                      <w:szCs w:val="21"/>
                    </w:rPr>
                    <w:t>/</w:t>
                  </w:r>
                  <w:r>
                    <w:rPr>
                      <w:szCs w:val="21"/>
                    </w:rPr>
                    <w:t>标杆水平）。其中复配园区入区企业需依据《涂料制造业清洁生产评价指标体系（试行）》定期开展清洁生产审核，生产工艺和装备的选择应有利于促进节能减排，有利于清污分流和减少无组织排放；禁止新增《产业结构调整指导目录（</w:t>
                  </w:r>
                  <w:r>
                    <w:rPr>
                      <w:szCs w:val="21"/>
                    </w:rPr>
                    <w:t>2024</w:t>
                  </w:r>
                  <w:r>
                    <w:rPr>
                      <w:szCs w:val="21"/>
                    </w:rPr>
                    <w:t>年本）》中限制类、淘汰类的落后生产工艺、设备和产品；提倡采用连续化生产工艺和定量化控制技术，提高产品收率，减少污染物产生量。</w:t>
                  </w:r>
                </w:p>
              </w:tc>
              <w:tc>
                <w:tcPr>
                  <w:tcW w:w="1551" w:type="pct"/>
                  <w:vMerge w:val="restart"/>
                  <w:tcBorders>
                    <w:top w:val="single" w:sz="4" w:space="0" w:color="auto"/>
                    <w:left w:val="single" w:sz="4" w:space="0" w:color="auto"/>
                    <w:bottom w:val="single" w:sz="4" w:space="0" w:color="auto"/>
                    <w:right w:val="single" w:sz="4" w:space="0" w:color="auto"/>
                  </w:tcBorders>
                  <w:vAlign w:val="center"/>
                </w:tcPr>
                <w:p w14:paraId="5B9052BF" w14:textId="77777777" w:rsidR="00F76A63" w:rsidRDefault="00000000">
                  <w:pPr>
                    <w:adjustRightInd w:val="0"/>
                    <w:snapToGrid w:val="0"/>
                    <w:jc w:val="center"/>
                    <w:rPr>
                      <w:szCs w:val="21"/>
                    </w:rPr>
                  </w:pPr>
                  <w:r>
                    <w:t>1</w:t>
                  </w:r>
                  <w:r>
                    <w:t>、本项目产生的窑尾废气中颗粒物、二氧化硫、氮氧化物、汞及其化合物和氨的排放限值执行《水泥工业大气污染物排放标准》（</w:t>
                  </w:r>
                  <w:r>
                    <w:t>DB32/4149-2021</w:t>
                  </w:r>
                  <w:r>
                    <w:t>）表</w:t>
                  </w:r>
                  <w:r>
                    <w:t>1</w:t>
                  </w:r>
                  <w:r>
                    <w:t>中</w:t>
                  </w:r>
                  <w:r>
                    <w:t>II</w:t>
                  </w:r>
                  <w:r>
                    <w:t>阶段规定的大气污染物排放浓度限值</w:t>
                  </w:r>
                  <w:r>
                    <w:rPr>
                      <w:szCs w:val="21"/>
                    </w:rPr>
                    <w:t>，</w:t>
                  </w:r>
                  <w:r>
                    <w:t>氯化氢、氟化氢、铊、镉、铅、砷及其化合物（以</w:t>
                  </w:r>
                  <w:r>
                    <w:t>Tl+Cd+Pb+As</w:t>
                  </w:r>
                  <w:r>
                    <w:t>计）、铍、铬、锡、锑、铜、钴、锰、镍、钒及其化合物（</w:t>
                  </w:r>
                  <w:r>
                    <w:t>Be+Cr+Sn+Sb+Cu+Co+Mn+Ni+V</w:t>
                  </w:r>
                  <w:r>
                    <w:t>计）、二噁英类等执行《水泥窑协同处置固体废物污染控制标准》（</w:t>
                  </w:r>
                  <w:r>
                    <w:t>GB30485-2013</w:t>
                  </w:r>
                  <w:r>
                    <w:t>）表</w:t>
                  </w:r>
                  <w:r>
                    <w:t>1</w:t>
                  </w:r>
                  <w:r>
                    <w:t>规定的大气污染物最高允许排放浓度，</w:t>
                  </w:r>
                  <w:r>
                    <w:rPr>
                      <w:szCs w:val="21"/>
                    </w:rPr>
                    <w:t>无组织废气执行表</w:t>
                  </w:r>
                  <w:r>
                    <w:rPr>
                      <w:szCs w:val="21"/>
                    </w:rPr>
                    <w:t>2</w:t>
                  </w:r>
                  <w:r>
                    <w:rPr>
                      <w:szCs w:val="21"/>
                    </w:rPr>
                    <w:t>厂区内颗粒物无组织</w:t>
                  </w:r>
                  <w:r>
                    <w:rPr>
                      <w:szCs w:val="21"/>
                    </w:rPr>
                    <w:lastRenderedPageBreak/>
                    <w:t>排放限值及表</w:t>
                  </w:r>
                  <w:r>
                    <w:rPr>
                      <w:szCs w:val="21"/>
                    </w:rPr>
                    <w:t>3</w:t>
                  </w:r>
                  <w:r>
                    <w:rPr>
                      <w:szCs w:val="21"/>
                    </w:rPr>
                    <w:t>企业边界大气污染物浓度限值</w:t>
                  </w:r>
                  <w:bookmarkStart w:id="23" w:name="OLE_LINK35"/>
                  <w:r>
                    <w:rPr>
                      <w:szCs w:val="21"/>
                    </w:rPr>
                    <w:t>。</w:t>
                  </w:r>
                </w:p>
                <w:p w14:paraId="4AC35E6D" w14:textId="77777777" w:rsidR="00F76A63" w:rsidRDefault="00000000">
                  <w:pPr>
                    <w:adjustRightInd w:val="0"/>
                    <w:snapToGrid w:val="0"/>
                    <w:jc w:val="center"/>
                    <w:rPr>
                      <w:szCs w:val="21"/>
                    </w:rPr>
                  </w:pPr>
                  <w:r>
                    <w:rPr>
                      <w:szCs w:val="21"/>
                    </w:rPr>
                    <w:t>2</w:t>
                  </w:r>
                  <w:r>
                    <w:rPr>
                      <w:szCs w:val="21"/>
                    </w:rPr>
                    <w:t>、企业</w:t>
                  </w:r>
                  <w:r>
                    <w:rPr>
                      <w:szCs w:val="21"/>
                    </w:rPr>
                    <w:t>2023</w:t>
                  </w:r>
                  <w:r>
                    <w:rPr>
                      <w:szCs w:val="21"/>
                    </w:rPr>
                    <w:t>年进行了清洁生产审核，全厂总体生产水平为清洁生产一级水平，被评定为国际清洁生产先进水平。</w:t>
                  </w:r>
                  <w:bookmarkEnd w:id="23"/>
                  <w:r>
                    <w:rPr>
                      <w:szCs w:val="21"/>
                    </w:rPr>
                    <w:t>无《产业结构调整指导目录（</w:t>
                  </w:r>
                  <w:r>
                    <w:rPr>
                      <w:szCs w:val="21"/>
                    </w:rPr>
                    <w:t>2024</w:t>
                  </w:r>
                  <w:r>
                    <w:rPr>
                      <w:szCs w:val="21"/>
                    </w:rPr>
                    <w:t>年本）》中限制类、淘汰类的落后生产工艺、设备和产品。</w:t>
                  </w:r>
                </w:p>
              </w:tc>
              <w:tc>
                <w:tcPr>
                  <w:tcW w:w="272" w:type="pct"/>
                  <w:vMerge w:val="restart"/>
                  <w:tcBorders>
                    <w:top w:val="single" w:sz="4" w:space="0" w:color="auto"/>
                    <w:left w:val="single" w:sz="4" w:space="0" w:color="auto"/>
                    <w:bottom w:val="single" w:sz="4" w:space="0" w:color="auto"/>
                    <w:right w:val="nil"/>
                  </w:tcBorders>
                  <w:vAlign w:val="center"/>
                </w:tcPr>
                <w:p w14:paraId="440A4ACC" w14:textId="77777777" w:rsidR="00F76A63" w:rsidRDefault="00000000">
                  <w:pPr>
                    <w:adjustRightInd w:val="0"/>
                    <w:snapToGrid w:val="0"/>
                    <w:jc w:val="center"/>
                    <w:rPr>
                      <w:szCs w:val="21"/>
                    </w:rPr>
                  </w:pPr>
                  <w:r>
                    <w:rPr>
                      <w:szCs w:val="21"/>
                    </w:rPr>
                    <w:lastRenderedPageBreak/>
                    <w:t>符合</w:t>
                  </w:r>
                </w:p>
              </w:tc>
            </w:tr>
            <w:tr w:rsidR="00F76A63" w14:paraId="2474D484"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26869557"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141BE9FF"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0DECA8BE" w14:textId="77777777" w:rsidR="00F76A63" w:rsidRDefault="00000000">
                  <w:pPr>
                    <w:adjustRightInd w:val="0"/>
                    <w:snapToGrid w:val="0"/>
                    <w:jc w:val="center"/>
                    <w:rPr>
                      <w:szCs w:val="21"/>
                    </w:rPr>
                  </w:pPr>
                  <w:r>
                    <w:rPr>
                      <w:szCs w:val="21"/>
                    </w:rPr>
                    <w:t>3</w:t>
                  </w:r>
                  <w:r>
                    <w:rPr>
                      <w:szCs w:val="21"/>
                    </w:rPr>
                    <w:t>、对列入《优先控制化学品名录（第一批）》的化学品，应当针对其产生环境与健康风险的主要环节，采取风险管控措施；</w:t>
                  </w:r>
                </w:p>
              </w:tc>
              <w:tc>
                <w:tcPr>
                  <w:tcW w:w="1551" w:type="pct"/>
                  <w:vMerge/>
                  <w:tcBorders>
                    <w:top w:val="single" w:sz="4" w:space="0" w:color="auto"/>
                    <w:left w:val="single" w:sz="4" w:space="0" w:color="auto"/>
                    <w:bottom w:val="single" w:sz="4" w:space="0" w:color="auto"/>
                    <w:right w:val="single" w:sz="4" w:space="0" w:color="auto"/>
                  </w:tcBorders>
                  <w:vAlign w:val="center"/>
                </w:tcPr>
                <w:p w14:paraId="4B1230FA"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13EDCA41" w14:textId="77777777" w:rsidR="00F76A63" w:rsidRDefault="00F76A63">
                  <w:pPr>
                    <w:adjustRightInd w:val="0"/>
                    <w:snapToGrid w:val="0"/>
                    <w:jc w:val="center"/>
                    <w:rPr>
                      <w:szCs w:val="21"/>
                    </w:rPr>
                  </w:pPr>
                </w:p>
              </w:tc>
            </w:tr>
            <w:tr w:rsidR="00F76A63" w14:paraId="483B9880"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31098892"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55C920DB"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1FFE46E7" w14:textId="77777777" w:rsidR="00F76A63" w:rsidRDefault="00000000">
                  <w:pPr>
                    <w:adjustRightInd w:val="0"/>
                    <w:snapToGrid w:val="0"/>
                    <w:jc w:val="center"/>
                    <w:rPr>
                      <w:szCs w:val="21"/>
                    </w:rPr>
                  </w:pPr>
                  <w:r>
                    <w:rPr>
                      <w:szCs w:val="21"/>
                    </w:rPr>
                    <w:t>2</w:t>
                  </w:r>
                  <w:r>
                    <w:rPr>
                      <w:szCs w:val="21"/>
                    </w:rPr>
                    <w:t>、</w:t>
                  </w:r>
                  <w:bookmarkStart w:id="24" w:name="_Hlk96594580"/>
                  <w:r>
                    <w:rPr>
                      <w:szCs w:val="21"/>
                    </w:rPr>
                    <w:t>建设用地满足《土壤环境质量建设用地土壤污染风险管控标准》（</w:t>
                  </w:r>
                  <w:r>
                    <w:rPr>
                      <w:szCs w:val="21"/>
                    </w:rPr>
                    <w:t>GB36600-2018</w:t>
                  </w:r>
                  <w:r>
                    <w:rPr>
                      <w:szCs w:val="21"/>
                    </w:rPr>
                    <w:t>）筛选值中的第一类、第二类用地标准</w:t>
                  </w:r>
                  <w:bookmarkEnd w:id="24"/>
                  <w:r>
                    <w:rPr>
                      <w:szCs w:val="21"/>
                    </w:rPr>
                    <w:t>。</w:t>
                  </w:r>
                </w:p>
              </w:tc>
              <w:tc>
                <w:tcPr>
                  <w:tcW w:w="1551" w:type="pct"/>
                  <w:vMerge/>
                  <w:tcBorders>
                    <w:top w:val="single" w:sz="4" w:space="0" w:color="auto"/>
                    <w:left w:val="single" w:sz="4" w:space="0" w:color="auto"/>
                    <w:bottom w:val="single" w:sz="4" w:space="0" w:color="auto"/>
                    <w:right w:val="single" w:sz="4" w:space="0" w:color="auto"/>
                  </w:tcBorders>
                  <w:vAlign w:val="center"/>
                </w:tcPr>
                <w:p w14:paraId="78F2E17C"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18C13C86" w14:textId="77777777" w:rsidR="00F76A63" w:rsidRDefault="00F76A63">
                  <w:pPr>
                    <w:adjustRightInd w:val="0"/>
                    <w:snapToGrid w:val="0"/>
                    <w:jc w:val="center"/>
                    <w:rPr>
                      <w:szCs w:val="21"/>
                    </w:rPr>
                  </w:pPr>
                </w:p>
              </w:tc>
            </w:tr>
            <w:tr w:rsidR="00F76A63" w14:paraId="5D80891C" w14:textId="77777777">
              <w:trPr>
                <w:trHeight w:val="2852"/>
                <w:jc w:val="center"/>
              </w:trPr>
              <w:tc>
                <w:tcPr>
                  <w:tcW w:w="303" w:type="pct"/>
                  <w:vMerge/>
                  <w:tcBorders>
                    <w:top w:val="single" w:sz="4" w:space="0" w:color="auto"/>
                    <w:left w:val="nil"/>
                    <w:bottom w:val="single" w:sz="4" w:space="0" w:color="auto"/>
                    <w:right w:val="single" w:sz="4" w:space="0" w:color="auto"/>
                  </w:tcBorders>
                  <w:vAlign w:val="center"/>
                </w:tcPr>
                <w:p w14:paraId="31564CB4"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56C965F0"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07588C25" w14:textId="77777777" w:rsidR="00F76A63" w:rsidRDefault="00000000">
                  <w:pPr>
                    <w:adjustRightInd w:val="0"/>
                    <w:snapToGrid w:val="0"/>
                    <w:jc w:val="center"/>
                    <w:rPr>
                      <w:szCs w:val="21"/>
                    </w:rPr>
                  </w:pPr>
                  <w:r>
                    <w:rPr>
                      <w:szCs w:val="21"/>
                    </w:rPr>
                    <w:t>3</w:t>
                  </w:r>
                  <w:r>
                    <w:rPr>
                      <w:szCs w:val="21"/>
                    </w:rPr>
                    <w:t>、区内水体对应各水功能区水质目标要求分别执行《地表水环境质量标准》（</w:t>
                  </w:r>
                  <w:r>
                    <w:rPr>
                      <w:szCs w:val="21"/>
                    </w:rPr>
                    <w:t>GB3838-2002</w:t>
                  </w:r>
                  <w:r>
                    <w:rPr>
                      <w:szCs w:val="21"/>
                    </w:rPr>
                    <w:t>）</w:t>
                  </w:r>
                  <w:r>
                    <w:rPr>
                      <w:szCs w:val="21"/>
                    </w:rPr>
                    <w:t>Ⅲ</w:t>
                  </w:r>
                  <w:r>
                    <w:rPr>
                      <w:szCs w:val="21"/>
                    </w:rPr>
                    <w:t>类水标准。</w:t>
                  </w:r>
                </w:p>
              </w:tc>
              <w:tc>
                <w:tcPr>
                  <w:tcW w:w="1551" w:type="pct"/>
                  <w:vMerge/>
                  <w:tcBorders>
                    <w:top w:val="single" w:sz="4" w:space="0" w:color="auto"/>
                    <w:left w:val="single" w:sz="4" w:space="0" w:color="auto"/>
                    <w:bottom w:val="single" w:sz="4" w:space="0" w:color="auto"/>
                    <w:right w:val="single" w:sz="4" w:space="0" w:color="auto"/>
                  </w:tcBorders>
                  <w:vAlign w:val="center"/>
                </w:tcPr>
                <w:p w14:paraId="6B0526C1"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3FACA69C" w14:textId="77777777" w:rsidR="00F76A63" w:rsidRDefault="00F76A63">
                  <w:pPr>
                    <w:adjustRightInd w:val="0"/>
                    <w:snapToGrid w:val="0"/>
                    <w:jc w:val="center"/>
                    <w:rPr>
                      <w:szCs w:val="21"/>
                    </w:rPr>
                  </w:pPr>
                </w:p>
              </w:tc>
            </w:tr>
            <w:tr w:rsidR="00F76A63" w14:paraId="210E28FA"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2718DA3B" w14:textId="77777777" w:rsidR="00F76A63" w:rsidRDefault="00F76A63">
                  <w:pPr>
                    <w:adjustRightInd w:val="0"/>
                    <w:snapToGrid w:val="0"/>
                    <w:jc w:val="center"/>
                    <w:rPr>
                      <w:szCs w:val="21"/>
                    </w:rPr>
                  </w:pPr>
                </w:p>
              </w:tc>
              <w:tc>
                <w:tcPr>
                  <w:tcW w:w="301" w:type="pct"/>
                  <w:vMerge w:val="restart"/>
                  <w:tcBorders>
                    <w:top w:val="single" w:sz="4" w:space="0" w:color="auto"/>
                    <w:left w:val="single" w:sz="4" w:space="0" w:color="auto"/>
                    <w:bottom w:val="single" w:sz="4" w:space="0" w:color="auto"/>
                    <w:right w:val="single" w:sz="4" w:space="0" w:color="auto"/>
                  </w:tcBorders>
                  <w:vAlign w:val="center"/>
                </w:tcPr>
                <w:p w14:paraId="7F78C1DA" w14:textId="77777777" w:rsidR="00F76A63" w:rsidRDefault="00000000">
                  <w:pPr>
                    <w:adjustRightInd w:val="0"/>
                    <w:snapToGrid w:val="0"/>
                    <w:jc w:val="center"/>
                    <w:rPr>
                      <w:szCs w:val="21"/>
                    </w:rPr>
                  </w:pPr>
                  <w:r>
                    <w:rPr>
                      <w:szCs w:val="21"/>
                    </w:rPr>
                    <w:t>污染物排放总量</w:t>
                  </w:r>
                </w:p>
              </w:tc>
              <w:tc>
                <w:tcPr>
                  <w:tcW w:w="2571" w:type="pct"/>
                  <w:tcBorders>
                    <w:top w:val="single" w:sz="4" w:space="0" w:color="auto"/>
                    <w:left w:val="single" w:sz="4" w:space="0" w:color="auto"/>
                    <w:bottom w:val="single" w:sz="4" w:space="0" w:color="auto"/>
                    <w:right w:val="single" w:sz="4" w:space="0" w:color="auto"/>
                  </w:tcBorders>
                  <w:vAlign w:val="center"/>
                </w:tcPr>
                <w:p w14:paraId="56B1BFC8" w14:textId="77777777" w:rsidR="00F76A63" w:rsidRDefault="00000000">
                  <w:pPr>
                    <w:adjustRightInd w:val="0"/>
                    <w:snapToGrid w:val="0"/>
                    <w:jc w:val="center"/>
                    <w:rPr>
                      <w:szCs w:val="21"/>
                    </w:rPr>
                  </w:pPr>
                  <w:r>
                    <w:rPr>
                      <w:szCs w:val="21"/>
                    </w:rPr>
                    <w:t>1</w:t>
                  </w:r>
                  <w:r>
                    <w:rPr>
                      <w:szCs w:val="21"/>
                    </w:rPr>
                    <w:t>、废气污染物：近期</w:t>
                  </w:r>
                  <w:r>
                    <w:rPr>
                      <w:szCs w:val="21"/>
                    </w:rPr>
                    <w:t>SO</w:t>
                  </w:r>
                  <w:r>
                    <w:rPr>
                      <w:szCs w:val="21"/>
                      <w:vertAlign w:val="subscript"/>
                    </w:rPr>
                    <w:t xml:space="preserve">2 </w:t>
                  </w:r>
                  <w:r>
                    <w:rPr>
                      <w:szCs w:val="21"/>
                    </w:rPr>
                    <w:t>2195.19t/a</w:t>
                  </w:r>
                  <w:r>
                    <w:rPr>
                      <w:szCs w:val="21"/>
                    </w:rPr>
                    <w:t>、</w:t>
                  </w:r>
                  <w:r>
                    <w:rPr>
                      <w:szCs w:val="21"/>
                    </w:rPr>
                    <w:t>NOx4332.139t/a</w:t>
                  </w:r>
                  <w:r>
                    <w:rPr>
                      <w:szCs w:val="21"/>
                    </w:rPr>
                    <w:t>、颗粒物</w:t>
                  </w:r>
                  <w:r>
                    <w:rPr>
                      <w:szCs w:val="21"/>
                    </w:rPr>
                    <w:t>422.058t/a</w:t>
                  </w:r>
                  <w:r>
                    <w:rPr>
                      <w:szCs w:val="21"/>
                    </w:rPr>
                    <w:t>、</w:t>
                  </w:r>
                  <w:r>
                    <w:rPr>
                      <w:szCs w:val="21"/>
                    </w:rPr>
                    <w:t>VOCs2.5t/a</w:t>
                  </w:r>
                  <w:r>
                    <w:rPr>
                      <w:szCs w:val="21"/>
                    </w:rPr>
                    <w:t>；远期</w:t>
                  </w:r>
                  <w:r>
                    <w:rPr>
                      <w:szCs w:val="21"/>
                    </w:rPr>
                    <w:t>SO</w:t>
                  </w:r>
                  <w:r>
                    <w:rPr>
                      <w:szCs w:val="21"/>
                      <w:vertAlign w:val="subscript"/>
                    </w:rPr>
                    <w:t>2</w:t>
                  </w:r>
                  <w:r>
                    <w:rPr>
                      <w:szCs w:val="21"/>
                    </w:rPr>
                    <w:t>2204.718t/a</w:t>
                  </w:r>
                  <w:r>
                    <w:rPr>
                      <w:szCs w:val="21"/>
                    </w:rPr>
                    <w:t>、</w:t>
                  </w:r>
                  <w:r>
                    <w:rPr>
                      <w:szCs w:val="21"/>
                    </w:rPr>
                    <w:t>NOx4393.451t/a</w:t>
                  </w:r>
                  <w:r>
                    <w:rPr>
                      <w:szCs w:val="21"/>
                    </w:rPr>
                    <w:t>、颗粒物</w:t>
                  </w:r>
                  <w:r>
                    <w:rPr>
                      <w:szCs w:val="21"/>
                    </w:rPr>
                    <w:t>468.791t/a</w:t>
                  </w:r>
                  <w:r>
                    <w:rPr>
                      <w:szCs w:val="21"/>
                    </w:rPr>
                    <w:t>、</w:t>
                  </w:r>
                  <w:r>
                    <w:rPr>
                      <w:szCs w:val="21"/>
                    </w:rPr>
                    <w:t>VOCs24.4t/a</w:t>
                  </w:r>
                  <w:r>
                    <w:rPr>
                      <w:szCs w:val="21"/>
                    </w:rPr>
                    <w:t>。</w:t>
                  </w:r>
                </w:p>
              </w:tc>
              <w:tc>
                <w:tcPr>
                  <w:tcW w:w="1551" w:type="pct"/>
                  <w:vMerge w:val="restart"/>
                  <w:tcBorders>
                    <w:top w:val="single" w:sz="4" w:space="0" w:color="auto"/>
                    <w:left w:val="single" w:sz="4" w:space="0" w:color="auto"/>
                    <w:bottom w:val="single" w:sz="4" w:space="0" w:color="auto"/>
                    <w:right w:val="single" w:sz="4" w:space="0" w:color="auto"/>
                  </w:tcBorders>
                  <w:vAlign w:val="center"/>
                </w:tcPr>
                <w:p w14:paraId="7C173198" w14:textId="77777777" w:rsidR="00F76A63" w:rsidRDefault="00000000">
                  <w:pPr>
                    <w:adjustRightInd w:val="0"/>
                    <w:snapToGrid w:val="0"/>
                    <w:jc w:val="center"/>
                    <w:rPr>
                      <w:szCs w:val="21"/>
                    </w:rPr>
                  </w:pPr>
                  <w:r>
                    <w:rPr>
                      <w:szCs w:val="21"/>
                    </w:rPr>
                    <w:t>本项目严格执行总量要求，</w:t>
                  </w:r>
                  <w:r>
                    <w:rPr>
                      <w:rFonts w:hint="eastAsia"/>
                      <w:szCs w:val="21"/>
                    </w:rPr>
                    <w:t>本项目污染物排放在厂内平衡，不会突破句容下蜀高新技术产业园</w:t>
                  </w:r>
                  <w:r>
                    <w:rPr>
                      <w:szCs w:val="21"/>
                    </w:rPr>
                    <w:t>污染物排放管控</w:t>
                  </w:r>
                  <w:r>
                    <w:rPr>
                      <w:rFonts w:hint="eastAsia"/>
                      <w:szCs w:val="21"/>
                    </w:rPr>
                    <w:t>总量。</w:t>
                  </w:r>
                </w:p>
                <w:p w14:paraId="20D6A189" w14:textId="77777777" w:rsidR="00F76A63" w:rsidRDefault="00000000">
                  <w:pPr>
                    <w:adjustRightInd w:val="0"/>
                    <w:snapToGrid w:val="0"/>
                    <w:jc w:val="center"/>
                    <w:rPr>
                      <w:szCs w:val="21"/>
                    </w:rPr>
                  </w:pPr>
                  <w:r>
                    <w:rPr>
                      <w:szCs w:val="21"/>
                    </w:rPr>
                    <w:t>本项目不涉及废水排放</w:t>
                  </w:r>
                  <w:r>
                    <w:rPr>
                      <w:rFonts w:hint="eastAsia"/>
                      <w:szCs w:val="21"/>
                    </w:rPr>
                    <w:t>；</w:t>
                  </w:r>
                  <w:r>
                    <w:rPr>
                      <w:bCs/>
                      <w:kern w:val="28"/>
                      <w:szCs w:val="21"/>
                    </w:rPr>
                    <w:t>项目</w:t>
                  </w:r>
                  <w:r>
                    <w:rPr>
                      <w:rFonts w:hint="eastAsia"/>
                      <w:bCs/>
                      <w:kern w:val="28"/>
                      <w:szCs w:val="21"/>
                    </w:rPr>
                    <w:t>产生的废水为污泥堆放产生的渗滤液，经集水沟统一收集至原水池和生产废水一起经中水处理系统处理后回用</w:t>
                  </w:r>
                  <w:r>
                    <w:rPr>
                      <w:szCs w:val="21"/>
                    </w:rPr>
                    <w:t>，项目废气主要污染物排放总量在</w:t>
                  </w:r>
                  <w:r>
                    <w:rPr>
                      <w:rFonts w:hint="eastAsia"/>
                      <w:szCs w:val="21"/>
                    </w:rPr>
                    <w:t>厂</w:t>
                  </w:r>
                  <w:r>
                    <w:rPr>
                      <w:szCs w:val="21"/>
                    </w:rPr>
                    <w:t>内平衡，无需申请总量。</w:t>
                  </w:r>
                </w:p>
                <w:p w14:paraId="64FFCE6C" w14:textId="77777777" w:rsidR="00F76A63" w:rsidRDefault="00000000">
                  <w:pPr>
                    <w:adjustRightInd w:val="0"/>
                    <w:snapToGrid w:val="0"/>
                    <w:jc w:val="center"/>
                    <w:rPr>
                      <w:szCs w:val="21"/>
                    </w:rPr>
                  </w:pPr>
                  <w:r>
                    <w:rPr>
                      <w:szCs w:val="21"/>
                    </w:rPr>
                    <w:t>本项目为水泥窑协同处置污泥及污染土，有效综合利用了固废，符合循环经济理念，符合园区产业定位；项目位于句容台泥厂区内，所在地现状及规划均为工业用地，用地性质符合园区用地规划要求。</w:t>
                  </w:r>
                </w:p>
              </w:tc>
              <w:tc>
                <w:tcPr>
                  <w:tcW w:w="272" w:type="pct"/>
                  <w:vMerge w:val="restart"/>
                  <w:tcBorders>
                    <w:top w:val="single" w:sz="4" w:space="0" w:color="auto"/>
                    <w:left w:val="single" w:sz="4" w:space="0" w:color="auto"/>
                    <w:bottom w:val="single" w:sz="4" w:space="0" w:color="auto"/>
                    <w:right w:val="nil"/>
                  </w:tcBorders>
                  <w:vAlign w:val="center"/>
                </w:tcPr>
                <w:p w14:paraId="449EF447" w14:textId="77777777" w:rsidR="00F76A63" w:rsidRDefault="00000000">
                  <w:pPr>
                    <w:adjustRightInd w:val="0"/>
                    <w:snapToGrid w:val="0"/>
                    <w:jc w:val="center"/>
                    <w:rPr>
                      <w:szCs w:val="21"/>
                    </w:rPr>
                  </w:pPr>
                  <w:r>
                    <w:rPr>
                      <w:szCs w:val="21"/>
                    </w:rPr>
                    <w:t>符合</w:t>
                  </w:r>
                </w:p>
              </w:tc>
            </w:tr>
            <w:tr w:rsidR="00F76A63" w14:paraId="10A38035"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3746C8DA"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3194185B"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197727A3" w14:textId="77777777" w:rsidR="00F76A63" w:rsidRDefault="00000000">
                  <w:pPr>
                    <w:adjustRightInd w:val="0"/>
                    <w:snapToGrid w:val="0"/>
                    <w:jc w:val="center"/>
                    <w:rPr>
                      <w:szCs w:val="21"/>
                    </w:rPr>
                  </w:pPr>
                  <w:r>
                    <w:rPr>
                      <w:szCs w:val="21"/>
                    </w:rPr>
                    <w:t>2</w:t>
                  </w:r>
                  <w:r>
                    <w:rPr>
                      <w:szCs w:val="21"/>
                    </w:rPr>
                    <w:t>、废水污染物：近期排放量：污水</w:t>
                  </w:r>
                  <w:r>
                    <w:rPr>
                      <w:szCs w:val="21"/>
                    </w:rPr>
                    <w:t>803292t/a</w:t>
                  </w:r>
                  <w:r>
                    <w:rPr>
                      <w:szCs w:val="21"/>
                    </w:rPr>
                    <w:t>，</w:t>
                  </w:r>
                  <w:r>
                    <w:rPr>
                      <w:szCs w:val="21"/>
                    </w:rPr>
                    <w:t>COD40.165t/a</w:t>
                  </w:r>
                  <w:r>
                    <w:rPr>
                      <w:szCs w:val="21"/>
                    </w:rPr>
                    <w:t>、氨氮</w:t>
                  </w:r>
                  <w:r>
                    <w:rPr>
                      <w:szCs w:val="21"/>
                    </w:rPr>
                    <w:t>4.016t/a</w:t>
                  </w:r>
                  <w:r>
                    <w:rPr>
                      <w:szCs w:val="21"/>
                    </w:rPr>
                    <w:t>、总磷</w:t>
                  </w:r>
                  <w:r>
                    <w:rPr>
                      <w:szCs w:val="21"/>
                    </w:rPr>
                    <w:t>0.402t/a</w:t>
                  </w:r>
                  <w:r>
                    <w:rPr>
                      <w:szCs w:val="21"/>
                    </w:rPr>
                    <w:t>、总氮</w:t>
                  </w:r>
                  <w:r>
                    <w:rPr>
                      <w:szCs w:val="21"/>
                    </w:rPr>
                    <w:t>12.049t/a</w:t>
                  </w:r>
                  <w:r>
                    <w:rPr>
                      <w:szCs w:val="21"/>
                    </w:rPr>
                    <w:t>；远期排放量：污水</w:t>
                  </w:r>
                  <w:r>
                    <w:rPr>
                      <w:szCs w:val="21"/>
                    </w:rPr>
                    <w:t>980828t/a</w:t>
                  </w:r>
                  <w:r>
                    <w:rPr>
                      <w:szCs w:val="21"/>
                    </w:rPr>
                    <w:t>，</w:t>
                  </w:r>
                  <w:r>
                    <w:rPr>
                      <w:szCs w:val="21"/>
                    </w:rPr>
                    <w:t>COD49.041t/a</w:t>
                  </w:r>
                  <w:r>
                    <w:rPr>
                      <w:szCs w:val="21"/>
                    </w:rPr>
                    <w:t>、氨氮</w:t>
                  </w:r>
                  <w:r>
                    <w:rPr>
                      <w:szCs w:val="21"/>
                    </w:rPr>
                    <w:t>4.904t/a</w:t>
                  </w:r>
                  <w:r>
                    <w:rPr>
                      <w:szCs w:val="21"/>
                    </w:rPr>
                    <w:t>、总磷</w:t>
                  </w:r>
                  <w:r>
                    <w:rPr>
                      <w:szCs w:val="21"/>
                    </w:rPr>
                    <w:t>0.490t/a</w:t>
                  </w:r>
                  <w:r>
                    <w:rPr>
                      <w:szCs w:val="21"/>
                    </w:rPr>
                    <w:t>、总氮</w:t>
                  </w:r>
                  <w:r>
                    <w:rPr>
                      <w:szCs w:val="21"/>
                    </w:rPr>
                    <w:t>14.712t/a</w:t>
                  </w:r>
                  <w:r>
                    <w:rPr>
                      <w:szCs w:val="21"/>
                    </w:rPr>
                    <w:t>。</w:t>
                  </w:r>
                </w:p>
              </w:tc>
              <w:tc>
                <w:tcPr>
                  <w:tcW w:w="1551" w:type="pct"/>
                  <w:vMerge/>
                  <w:tcBorders>
                    <w:top w:val="single" w:sz="4" w:space="0" w:color="auto"/>
                    <w:left w:val="single" w:sz="4" w:space="0" w:color="auto"/>
                    <w:bottom w:val="single" w:sz="4" w:space="0" w:color="auto"/>
                    <w:right w:val="single" w:sz="4" w:space="0" w:color="auto"/>
                  </w:tcBorders>
                  <w:vAlign w:val="center"/>
                </w:tcPr>
                <w:p w14:paraId="0B38641F"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0D65ACD1" w14:textId="77777777" w:rsidR="00F76A63" w:rsidRDefault="00F76A63">
                  <w:pPr>
                    <w:adjustRightInd w:val="0"/>
                    <w:snapToGrid w:val="0"/>
                    <w:jc w:val="center"/>
                    <w:rPr>
                      <w:szCs w:val="21"/>
                    </w:rPr>
                  </w:pPr>
                </w:p>
              </w:tc>
            </w:tr>
            <w:tr w:rsidR="00F76A63" w14:paraId="4571A909" w14:textId="77777777">
              <w:trPr>
                <w:jc w:val="center"/>
              </w:trPr>
              <w:tc>
                <w:tcPr>
                  <w:tcW w:w="303" w:type="pct"/>
                  <w:vMerge/>
                  <w:tcBorders>
                    <w:top w:val="single" w:sz="4" w:space="0" w:color="auto"/>
                    <w:left w:val="nil"/>
                    <w:bottom w:val="single" w:sz="4" w:space="0" w:color="auto"/>
                    <w:right w:val="single" w:sz="4" w:space="0" w:color="auto"/>
                  </w:tcBorders>
                  <w:vAlign w:val="center"/>
                </w:tcPr>
                <w:p w14:paraId="6B7A2028" w14:textId="77777777" w:rsidR="00F76A63" w:rsidRDefault="00F76A63">
                  <w:pPr>
                    <w:adjustRightInd w:val="0"/>
                    <w:snapToGrid w:val="0"/>
                    <w:jc w:val="center"/>
                    <w:rPr>
                      <w:szCs w:val="21"/>
                    </w:rPr>
                  </w:pPr>
                </w:p>
              </w:tc>
              <w:tc>
                <w:tcPr>
                  <w:tcW w:w="301" w:type="pct"/>
                  <w:vMerge/>
                  <w:tcBorders>
                    <w:top w:val="single" w:sz="4" w:space="0" w:color="auto"/>
                    <w:left w:val="single" w:sz="4" w:space="0" w:color="auto"/>
                    <w:bottom w:val="single" w:sz="4" w:space="0" w:color="auto"/>
                    <w:right w:val="single" w:sz="4" w:space="0" w:color="auto"/>
                  </w:tcBorders>
                  <w:vAlign w:val="center"/>
                </w:tcPr>
                <w:p w14:paraId="4730937F" w14:textId="77777777" w:rsidR="00F76A63" w:rsidRDefault="00F76A63">
                  <w:pPr>
                    <w:adjustRightInd w:val="0"/>
                    <w:snapToGrid w:val="0"/>
                    <w:jc w:val="center"/>
                    <w:rPr>
                      <w:szCs w:val="21"/>
                    </w:rPr>
                  </w:pPr>
                </w:p>
              </w:tc>
              <w:tc>
                <w:tcPr>
                  <w:tcW w:w="2571" w:type="pct"/>
                  <w:tcBorders>
                    <w:top w:val="single" w:sz="4" w:space="0" w:color="auto"/>
                    <w:left w:val="single" w:sz="4" w:space="0" w:color="auto"/>
                    <w:bottom w:val="single" w:sz="4" w:space="0" w:color="auto"/>
                    <w:right w:val="single" w:sz="4" w:space="0" w:color="auto"/>
                  </w:tcBorders>
                  <w:vAlign w:val="center"/>
                </w:tcPr>
                <w:p w14:paraId="2D973772" w14:textId="77777777" w:rsidR="00F76A63" w:rsidRDefault="00000000">
                  <w:pPr>
                    <w:adjustRightInd w:val="0"/>
                    <w:snapToGrid w:val="0"/>
                    <w:jc w:val="center"/>
                    <w:rPr>
                      <w:szCs w:val="21"/>
                    </w:rPr>
                  </w:pPr>
                  <w:r>
                    <w:rPr>
                      <w:szCs w:val="21"/>
                    </w:rPr>
                    <w:t>3</w:t>
                  </w:r>
                  <w:r>
                    <w:rPr>
                      <w:szCs w:val="21"/>
                    </w:rPr>
                    <w:t>、入驻产业园区的企业必须取得污染物排放总量指标，产业园区污染物总量达到限值后，不得引进排放同类污染物的企业，产业园区同类企业不得进行改、扩建（对环境或总量削减有改善除外）。产业园区现状不符合土地利用规划或产业定位的企业维持现状，不得进行改、扩建（对环境或总量削减有改善除外）。</w:t>
                  </w:r>
                </w:p>
              </w:tc>
              <w:tc>
                <w:tcPr>
                  <w:tcW w:w="1551" w:type="pct"/>
                  <w:vMerge/>
                  <w:tcBorders>
                    <w:top w:val="single" w:sz="4" w:space="0" w:color="auto"/>
                    <w:left w:val="single" w:sz="4" w:space="0" w:color="auto"/>
                    <w:bottom w:val="single" w:sz="4" w:space="0" w:color="auto"/>
                    <w:right w:val="single" w:sz="4" w:space="0" w:color="auto"/>
                  </w:tcBorders>
                  <w:vAlign w:val="center"/>
                </w:tcPr>
                <w:p w14:paraId="1D36CEC2" w14:textId="77777777" w:rsidR="00F76A63" w:rsidRDefault="00F76A63">
                  <w:pPr>
                    <w:adjustRightInd w:val="0"/>
                    <w:snapToGrid w:val="0"/>
                    <w:jc w:val="center"/>
                    <w:rPr>
                      <w:szCs w:val="21"/>
                    </w:rPr>
                  </w:pPr>
                </w:p>
              </w:tc>
              <w:tc>
                <w:tcPr>
                  <w:tcW w:w="272" w:type="pct"/>
                  <w:vMerge/>
                  <w:tcBorders>
                    <w:top w:val="single" w:sz="4" w:space="0" w:color="auto"/>
                    <w:left w:val="single" w:sz="4" w:space="0" w:color="auto"/>
                    <w:bottom w:val="single" w:sz="4" w:space="0" w:color="auto"/>
                    <w:right w:val="nil"/>
                  </w:tcBorders>
                  <w:vAlign w:val="center"/>
                </w:tcPr>
                <w:p w14:paraId="5AA6A0BF" w14:textId="77777777" w:rsidR="00F76A63" w:rsidRDefault="00F76A63">
                  <w:pPr>
                    <w:adjustRightInd w:val="0"/>
                    <w:snapToGrid w:val="0"/>
                    <w:jc w:val="center"/>
                    <w:rPr>
                      <w:szCs w:val="21"/>
                    </w:rPr>
                  </w:pPr>
                </w:p>
              </w:tc>
            </w:tr>
            <w:tr w:rsidR="00F76A63" w14:paraId="7D97CAC5" w14:textId="77777777">
              <w:trPr>
                <w:jc w:val="center"/>
              </w:trPr>
              <w:tc>
                <w:tcPr>
                  <w:tcW w:w="604" w:type="pct"/>
                  <w:gridSpan w:val="2"/>
                  <w:tcBorders>
                    <w:top w:val="single" w:sz="4" w:space="0" w:color="auto"/>
                    <w:left w:val="nil"/>
                    <w:bottom w:val="single" w:sz="4" w:space="0" w:color="auto"/>
                    <w:right w:val="single" w:sz="4" w:space="0" w:color="auto"/>
                  </w:tcBorders>
                  <w:vAlign w:val="center"/>
                </w:tcPr>
                <w:p w14:paraId="346E9C75" w14:textId="77777777" w:rsidR="00F76A63" w:rsidRDefault="00000000">
                  <w:pPr>
                    <w:adjustRightInd w:val="0"/>
                    <w:snapToGrid w:val="0"/>
                    <w:jc w:val="center"/>
                    <w:rPr>
                      <w:szCs w:val="21"/>
                    </w:rPr>
                  </w:pPr>
                  <w:r>
                    <w:rPr>
                      <w:szCs w:val="21"/>
                    </w:rPr>
                    <w:t>环境风险防控</w:t>
                  </w:r>
                </w:p>
              </w:tc>
              <w:tc>
                <w:tcPr>
                  <w:tcW w:w="2571" w:type="pct"/>
                  <w:tcBorders>
                    <w:top w:val="single" w:sz="4" w:space="0" w:color="auto"/>
                    <w:left w:val="single" w:sz="4" w:space="0" w:color="auto"/>
                    <w:bottom w:val="single" w:sz="4" w:space="0" w:color="auto"/>
                    <w:right w:val="single" w:sz="4" w:space="0" w:color="auto"/>
                  </w:tcBorders>
                  <w:vAlign w:val="center"/>
                </w:tcPr>
                <w:p w14:paraId="1274F459" w14:textId="77777777" w:rsidR="00F76A63" w:rsidRDefault="00000000">
                  <w:pPr>
                    <w:adjustRightInd w:val="0"/>
                    <w:snapToGrid w:val="0"/>
                    <w:jc w:val="center"/>
                    <w:rPr>
                      <w:szCs w:val="21"/>
                    </w:rPr>
                  </w:pPr>
                  <w:r>
                    <w:rPr>
                      <w:szCs w:val="21"/>
                    </w:rPr>
                    <w:t>1</w:t>
                  </w:r>
                  <w:r>
                    <w:rPr>
                      <w:szCs w:val="21"/>
                    </w:rPr>
                    <w:t>、产业园区和企业编制环境风险应急预案，对重点风险源编制环境风险评估报告。</w:t>
                  </w:r>
                </w:p>
                <w:p w14:paraId="2BCEA485" w14:textId="77777777" w:rsidR="00F76A63" w:rsidRDefault="00000000">
                  <w:pPr>
                    <w:adjustRightInd w:val="0"/>
                    <w:snapToGrid w:val="0"/>
                    <w:jc w:val="center"/>
                    <w:rPr>
                      <w:szCs w:val="21"/>
                    </w:rPr>
                  </w:pPr>
                  <w:r>
                    <w:rPr>
                      <w:szCs w:val="21"/>
                    </w:rPr>
                    <w:t>2</w:t>
                  </w:r>
                  <w:r>
                    <w:rPr>
                      <w:szCs w:val="21"/>
                    </w:rPr>
                    <w:t>、建立有毒有害气体预警体系，完善重点监控区域预警和应急机制，涉及有毒有害气体的企业全部安装毒害气体监控预警装置并与当地生态环境主管部门或产业园区管理平台联网，加强监控；</w:t>
                  </w:r>
                </w:p>
                <w:p w14:paraId="318A3FE9" w14:textId="77777777" w:rsidR="00F76A63" w:rsidRDefault="00000000">
                  <w:pPr>
                    <w:adjustRightInd w:val="0"/>
                    <w:snapToGrid w:val="0"/>
                    <w:jc w:val="center"/>
                    <w:rPr>
                      <w:szCs w:val="21"/>
                    </w:rPr>
                  </w:pPr>
                  <w:r>
                    <w:rPr>
                      <w:szCs w:val="21"/>
                    </w:rPr>
                    <w:t>3</w:t>
                  </w:r>
                  <w:r>
                    <w:rPr>
                      <w:szCs w:val="21"/>
                    </w:rPr>
                    <w:t>、建立突发水污染事件应急防范体系，完善</w:t>
                  </w:r>
                  <w:r>
                    <w:rPr>
                      <w:szCs w:val="21"/>
                    </w:rPr>
                    <w:t>“</w:t>
                  </w:r>
                  <w:r>
                    <w:rPr>
                      <w:szCs w:val="21"/>
                    </w:rPr>
                    <w:t>企业厂界、产业园区边界及周边水体</w:t>
                  </w:r>
                  <w:r>
                    <w:rPr>
                      <w:szCs w:val="21"/>
                    </w:rPr>
                    <w:t>”</w:t>
                  </w:r>
                  <w:r>
                    <w:rPr>
                      <w:szCs w:val="21"/>
                    </w:rPr>
                    <w:t>水污染三级防控基础设施建设，以</w:t>
                  </w:r>
                  <w:r>
                    <w:rPr>
                      <w:szCs w:val="21"/>
                    </w:rPr>
                    <w:t>“</w:t>
                  </w:r>
                  <w:r>
                    <w:rPr>
                      <w:szCs w:val="21"/>
                    </w:rPr>
                    <w:t>区内外多级河道闸坝</w:t>
                  </w:r>
                  <w:r>
                    <w:rPr>
                      <w:szCs w:val="21"/>
                    </w:rPr>
                    <w:t>”</w:t>
                  </w:r>
                  <w:r>
                    <w:rPr>
                      <w:szCs w:val="21"/>
                    </w:rPr>
                    <w:t>为依托，按照分区阻</w:t>
                  </w:r>
                  <w:r>
                    <w:rPr>
                      <w:szCs w:val="21"/>
                    </w:rPr>
                    <w:lastRenderedPageBreak/>
                    <w:t>隔原则，选取合适河段科学设置突发水污染事件临时应急池，编制三级防控体系建设方案，建设突发水污染事件三级防控体系建设；</w:t>
                  </w:r>
                </w:p>
                <w:p w14:paraId="1FC28CF6" w14:textId="77777777" w:rsidR="00F76A63" w:rsidRDefault="00000000">
                  <w:pPr>
                    <w:adjustRightInd w:val="0"/>
                    <w:snapToGrid w:val="0"/>
                    <w:jc w:val="center"/>
                    <w:rPr>
                      <w:szCs w:val="21"/>
                    </w:rPr>
                  </w:pPr>
                  <w:r>
                    <w:rPr>
                      <w:szCs w:val="21"/>
                    </w:rPr>
                    <w:t>4</w:t>
                  </w:r>
                  <w:r>
                    <w:rPr>
                      <w:szCs w:val="21"/>
                    </w:rPr>
                    <w:t>、建立突发环境事件隐患排查整改及突发环境事件应急管理长效机制。将产业园区突发环境事件隐患排查及整改、环境应急物资管理、环境应急演练拉练、环境应急预案备案及修编等工作，纳入产业园区管理平台进行信息化管理；</w:t>
                  </w:r>
                </w:p>
                <w:p w14:paraId="05A67F81" w14:textId="77777777" w:rsidR="00F76A63" w:rsidRDefault="00000000">
                  <w:pPr>
                    <w:adjustRightInd w:val="0"/>
                    <w:snapToGrid w:val="0"/>
                    <w:jc w:val="center"/>
                    <w:rPr>
                      <w:szCs w:val="21"/>
                    </w:rPr>
                  </w:pPr>
                  <w:r>
                    <w:rPr>
                      <w:szCs w:val="21"/>
                    </w:rPr>
                    <w:t>5</w:t>
                  </w:r>
                  <w:r>
                    <w:rPr>
                      <w:szCs w:val="21"/>
                    </w:rPr>
                    <w:t>、布局管控，产业园区内部的功能布局应充分考虑风险源对区内及周边环境的影响，储罐区应远离村镇集中区、区内人群聚集的办公楼、周边村庄及河流，以减少对其他项目的影响；产业园区内不同企业风险源之间应尽量远离，防止其中某一风险源发生风险事故引起其他风险源爆发带来的连锁反应，降低风险事故发生的范围。</w:t>
                  </w:r>
                </w:p>
                <w:p w14:paraId="5F762BF0" w14:textId="77777777" w:rsidR="00F76A63" w:rsidRDefault="00000000">
                  <w:pPr>
                    <w:adjustRightInd w:val="0"/>
                    <w:snapToGrid w:val="0"/>
                    <w:jc w:val="center"/>
                    <w:rPr>
                      <w:szCs w:val="21"/>
                    </w:rPr>
                  </w:pPr>
                  <w:r>
                    <w:rPr>
                      <w:szCs w:val="21"/>
                    </w:rPr>
                    <w:t>6</w:t>
                  </w:r>
                  <w:r>
                    <w:rPr>
                      <w:szCs w:val="21"/>
                    </w:rPr>
                    <w:t>、对建设用地污染风险重点管控区内关闭搬迁、拟变更土地利用方式和土地使用权人的重点行业企业用地，由土地使用权人负责开展土壤环境状况调查评估。暂不开发利用或现阶段不具备治理与修复条件的污染地块，实施以防止污染扩散为目的的风险管控。</w:t>
                  </w:r>
                </w:p>
                <w:p w14:paraId="5380793E" w14:textId="77777777" w:rsidR="00F76A63" w:rsidRDefault="00000000">
                  <w:pPr>
                    <w:adjustRightInd w:val="0"/>
                    <w:snapToGrid w:val="0"/>
                    <w:jc w:val="center"/>
                    <w:rPr>
                      <w:szCs w:val="21"/>
                    </w:rPr>
                  </w:pPr>
                  <w:r>
                    <w:rPr>
                      <w:szCs w:val="21"/>
                    </w:rPr>
                    <w:t>7</w:t>
                  </w:r>
                  <w:r>
                    <w:rPr>
                      <w:szCs w:val="21"/>
                    </w:rPr>
                    <w:t>、禁止无法落实危险废物处置途径的项目入园。</w:t>
                  </w:r>
                </w:p>
              </w:tc>
              <w:tc>
                <w:tcPr>
                  <w:tcW w:w="1551" w:type="pct"/>
                  <w:tcBorders>
                    <w:top w:val="single" w:sz="4" w:space="0" w:color="auto"/>
                    <w:left w:val="single" w:sz="4" w:space="0" w:color="auto"/>
                    <w:bottom w:val="single" w:sz="4" w:space="0" w:color="auto"/>
                    <w:right w:val="single" w:sz="4" w:space="0" w:color="auto"/>
                  </w:tcBorders>
                  <w:vAlign w:val="center"/>
                </w:tcPr>
                <w:p w14:paraId="02B81E50" w14:textId="77777777" w:rsidR="00F76A63" w:rsidRDefault="00000000">
                  <w:pPr>
                    <w:adjustRightInd w:val="0"/>
                    <w:snapToGrid w:val="0"/>
                    <w:jc w:val="center"/>
                    <w:rPr>
                      <w:bCs/>
                      <w:szCs w:val="21"/>
                    </w:rPr>
                  </w:pPr>
                  <w:r>
                    <w:rPr>
                      <w:bCs/>
                      <w:szCs w:val="21"/>
                    </w:rPr>
                    <w:lastRenderedPageBreak/>
                    <w:t>建设单位已编制突发环境事件应急预案，并取得主管部门备案，本项目建成后，建设单位将对重点风险源进行环境风险评估并修编现有环境应急预案。</w:t>
                  </w:r>
                </w:p>
                <w:p w14:paraId="6C6F8DEB" w14:textId="77777777" w:rsidR="00F76A63" w:rsidRDefault="00000000">
                  <w:pPr>
                    <w:adjustRightInd w:val="0"/>
                    <w:snapToGrid w:val="0"/>
                    <w:jc w:val="center"/>
                    <w:rPr>
                      <w:bCs/>
                      <w:szCs w:val="21"/>
                    </w:rPr>
                  </w:pPr>
                  <w:r>
                    <w:rPr>
                      <w:bCs/>
                      <w:szCs w:val="21"/>
                    </w:rPr>
                    <w:t>本项目不涉及有毒有害气体，建设单位现有</w:t>
                  </w:r>
                  <w:r>
                    <w:rPr>
                      <w:bCs/>
                      <w:szCs w:val="21"/>
                    </w:rPr>
                    <w:t>2</w:t>
                  </w:r>
                  <w:r>
                    <w:rPr>
                      <w:bCs/>
                      <w:szCs w:val="21"/>
                    </w:rPr>
                    <w:t>套熟料生产窑尾废气排口安装了废气在线监控设施，对废气排放流</w:t>
                  </w:r>
                  <w:r>
                    <w:rPr>
                      <w:bCs/>
                      <w:szCs w:val="21"/>
                    </w:rPr>
                    <w:lastRenderedPageBreak/>
                    <w:t>量、温度、压力等参数以及烟尘、</w:t>
                  </w:r>
                  <w:r>
                    <w:rPr>
                      <w:bCs/>
                      <w:szCs w:val="21"/>
                    </w:rPr>
                    <w:t>SO</w:t>
                  </w:r>
                  <w:r>
                    <w:rPr>
                      <w:bCs/>
                      <w:szCs w:val="21"/>
                      <w:vertAlign w:val="subscript"/>
                    </w:rPr>
                    <w:t>2</w:t>
                  </w:r>
                  <w:r>
                    <w:rPr>
                      <w:bCs/>
                      <w:szCs w:val="21"/>
                    </w:rPr>
                    <w:t>、</w:t>
                  </w:r>
                  <w:r>
                    <w:rPr>
                      <w:bCs/>
                      <w:szCs w:val="21"/>
                    </w:rPr>
                    <w:t>NOx</w:t>
                  </w:r>
                  <w:r>
                    <w:rPr>
                      <w:bCs/>
                      <w:szCs w:val="21"/>
                    </w:rPr>
                    <w:t>排放浓度进行</w:t>
                  </w:r>
                  <w:r>
                    <w:rPr>
                      <w:bCs/>
                      <w:szCs w:val="21"/>
                    </w:rPr>
                    <w:t>24</w:t>
                  </w:r>
                  <w:r>
                    <w:rPr>
                      <w:bCs/>
                      <w:szCs w:val="21"/>
                    </w:rPr>
                    <w:t>小时监控，超标报警。</w:t>
                  </w:r>
                </w:p>
                <w:p w14:paraId="0EA46CAF" w14:textId="77777777" w:rsidR="00F76A63" w:rsidRDefault="00000000">
                  <w:pPr>
                    <w:adjustRightInd w:val="0"/>
                    <w:snapToGrid w:val="0"/>
                    <w:jc w:val="center"/>
                    <w:rPr>
                      <w:bCs/>
                      <w:szCs w:val="21"/>
                    </w:rPr>
                  </w:pPr>
                  <w:r>
                    <w:rPr>
                      <w:bCs/>
                      <w:szCs w:val="21"/>
                    </w:rPr>
                    <w:t>事故废水环境风险防范已按照</w:t>
                  </w:r>
                  <w:r>
                    <w:rPr>
                      <w:bCs/>
                      <w:szCs w:val="21"/>
                    </w:rPr>
                    <w:t>“</w:t>
                  </w:r>
                  <w:r>
                    <w:rPr>
                      <w:bCs/>
                      <w:szCs w:val="21"/>
                    </w:rPr>
                    <w:t>单元</w:t>
                  </w:r>
                  <w:r>
                    <w:rPr>
                      <w:bCs/>
                      <w:szCs w:val="21"/>
                    </w:rPr>
                    <w:t>-</w:t>
                  </w:r>
                  <w:r>
                    <w:rPr>
                      <w:bCs/>
                      <w:szCs w:val="21"/>
                    </w:rPr>
                    <w:t>厂区</w:t>
                  </w:r>
                  <w:r>
                    <w:rPr>
                      <w:bCs/>
                      <w:szCs w:val="21"/>
                    </w:rPr>
                    <w:t>-</w:t>
                  </w:r>
                  <w:r>
                    <w:rPr>
                      <w:bCs/>
                      <w:szCs w:val="21"/>
                    </w:rPr>
                    <w:t>园区</w:t>
                  </w:r>
                  <w:r>
                    <w:rPr>
                      <w:bCs/>
                      <w:szCs w:val="21"/>
                    </w:rPr>
                    <w:t>/</w:t>
                  </w:r>
                  <w:r>
                    <w:rPr>
                      <w:bCs/>
                      <w:szCs w:val="21"/>
                    </w:rPr>
                    <w:t>区域</w:t>
                  </w:r>
                  <w:r>
                    <w:rPr>
                      <w:bCs/>
                      <w:szCs w:val="21"/>
                    </w:rPr>
                    <w:t>”</w:t>
                  </w:r>
                  <w:r>
                    <w:rPr>
                      <w:bCs/>
                      <w:szCs w:val="21"/>
                    </w:rPr>
                    <w:t>环境风险防控体系的要求，提出必要的应急设施（包括围堰、应急池、雨污水排口闸阀及配套管网设施等）建设要求。</w:t>
                  </w:r>
                </w:p>
                <w:p w14:paraId="54EA26CD" w14:textId="77777777" w:rsidR="00F76A63" w:rsidRDefault="00000000">
                  <w:pPr>
                    <w:adjustRightInd w:val="0"/>
                    <w:snapToGrid w:val="0"/>
                    <w:jc w:val="center"/>
                    <w:rPr>
                      <w:bCs/>
                      <w:szCs w:val="21"/>
                    </w:rPr>
                  </w:pPr>
                  <w:r>
                    <w:rPr>
                      <w:bCs/>
                      <w:szCs w:val="21"/>
                    </w:rPr>
                    <w:t>为建立突发环境事件隐患排查治理长效管理机制，推进公司突发环境事件隐患排查治理工作，有效防止和减少各类事故的发生，企业制定了隐患排查管理制度。企业安环部门会同企业各相关部门，定期对厂区进行隐患排查，并下发《环境事故安全隐患整改通知书》，由各车间、部门负责人负责落实整改。</w:t>
                  </w:r>
                </w:p>
                <w:p w14:paraId="35DF6D46" w14:textId="77777777" w:rsidR="00F76A63" w:rsidRDefault="00000000">
                  <w:pPr>
                    <w:adjustRightInd w:val="0"/>
                    <w:snapToGrid w:val="0"/>
                    <w:jc w:val="center"/>
                    <w:rPr>
                      <w:bCs/>
                      <w:szCs w:val="21"/>
                    </w:rPr>
                  </w:pPr>
                  <w:r>
                    <w:rPr>
                      <w:bCs/>
                      <w:szCs w:val="21"/>
                    </w:rPr>
                    <w:t>项目储罐远离居民区及厂内办公楼等区域，且各储罐分开布置，不会因一处风险源发生风险事故而引起其他风险源的连锁反应，且储罐均建设有围堰并且配备了相应应急物资。</w:t>
                  </w:r>
                </w:p>
              </w:tc>
              <w:tc>
                <w:tcPr>
                  <w:tcW w:w="272" w:type="pct"/>
                  <w:tcBorders>
                    <w:top w:val="single" w:sz="4" w:space="0" w:color="auto"/>
                    <w:left w:val="single" w:sz="4" w:space="0" w:color="auto"/>
                    <w:bottom w:val="single" w:sz="4" w:space="0" w:color="auto"/>
                    <w:right w:val="nil"/>
                  </w:tcBorders>
                  <w:vAlign w:val="center"/>
                </w:tcPr>
                <w:p w14:paraId="576FF85C" w14:textId="77777777" w:rsidR="00F76A63" w:rsidRDefault="00000000">
                  <w:pPr>
                    <w:adjustRightInd w:val="0"/>
                    <w:snapToGrid w:val="0"/>
                    <w:jc w:val="center"/>
                    <w:rPr>
                      <w:szCs w:val="21"/>
                    </w:rPr>
                  </w:pPr>
                  <w:r>
                    <w:rPr>
                      <w:szCs w:val="21"/>
                    </w:rPr>
                    <w:lastRenderedPageBreak/>
                    <w:t>符合</w:t>
                  </w:r>
                </w:p>
              </w:tc>
            </w:tr>
            <w:tr w:rsidR="00F76A63" w14:paraId="3F05B6C8" w14:textId="77777777">
              <w:trPr>
                <w:jc w:val="center"/>
              </w:trPr>
              <w:tc>
                <w:tcPr>
                  <w:tcW w:w="604" w:type="pct"/>
                  <w:gridSpan w:val="2"/>
                  <w:tcBorders>
                    <w:top w:val="single" w:sz="4" w:space="0" w:color="auto"/>
                    <w:left w:val="nil"/>
                    <w:bottom w:val="single" w:sz="12" w:space="0" w:color="auto"/>
                    <w:right w:val="single" w:sz="4" w:space="0" w:color="auto"/>
                  </w:tcBorders>
                  <w:vAlign w:val="center"/>
                </w:tcPr>
                <w:p w14:paraId="434AD03E" w14:textId="77777777" w:rsidR="00F76A63" w:rsidRDefault="00000000">
                  <w:pPr>
                    <w:adjustRightInd w:val="0"/>
                    <w:snapToGrid w:val="0"/>
                    <w:jc w:val="center"/>
                    <w:rPr>
                      <w:szCs w:val="21"/>
                    </w:rPr>
                  </w:pPr>
                  <w:r>
                    <w:rPr>
                      <w:szCs w:val="21"/>
                    </w:rPr>
                    <w:t>资源开发利用要求</w:t>
                  </w:r>
                </w:p>
              </w:tc>
              <w:tc>
                <w:tcPr>
                  <w:tcW w:w="2571" w:type="pct"/>
                  <w:tcBorders>
                    <w:top w:val="single" w:sz="4" w:space="0" w:color="auto"/>
                    <w:left w:val="single" w:sz="4" w:space="0" w:color="auto"/>
                    <w:bottom w:val="single" w:sz="12" w:space="0" w:color="auto"/>
                    <w:right w:val="single" w:sz="4" w:space="0" w:color="auto"/>
                  </w:tcBorders>
                  <w:vAlign w:val="center"/>
                </w:tcPr>
                <w:p w14:paraId="2823AAEC" w14:textId="77777777" w:rsidR="00F76A63" w:rsidRDefault="00000000">
                  <w:pPr>
                    <w:adjustRightInd w:val="0"/>
                    <w:snapToGrid w:val="0"/>
                    <w:jc w:val="center"/>
                    <w:rPr>
                      <w:szCs w:val="21"/>
                    </w:rPr>
                  </w:pPr>
                  <w:r>
                    <w:rPr>
                      <w:szCs w:val="21"/>
                    </w:rPr>
                    <w:t>1</w:t>
                  </w:r>
                  <w:r>
                    <w:rPr>
                      <w:szCs w:val="21"/>
                    </w:rPr>
                    <w:t>、单位工业增加值新鲜水耗</w:t>
                  </w:r>
                  <w:r>
                    <w:rPr>
                      <w:szCs w:val="21"/>
                    </w:rPr>
                    <w:t>≤8m</w:t>
                  </w:r>
                  <w:r>
                    <w:rPr>
                      <w:szCs w:val="21"/>
                      <w:vertAlign w:val="superscript"/>
                    </w:rPr>
                    <w:t>3</w:t>
                  </w:r>
                  <w:r>
                    <w:rPr>
                      <w:szCs w:val="21"/>
                    </w:rPr>
                    <w:t>/</w:t>
                  </w:r>
                  <w:r>
                    <w:rPr>
                      <w:szCs w:val="21"/>
                    </w:rPr>
                    <w:t>万元，产业园区用水总量</w:t>
                  </w:r>
                  <w:r>
                    <w:rPr>
                      <w:szCs w:val="21"/>
                    </w:rPr>
                    <w:t>27000</w:t>
                  </w:r>
                  <w:r>
                    <w:rPr>
                      <w:szCs w:val="21"/>
                    </w:rPr>
                    <w:t>立方米</w:t>
                  </w:r>
                  <w:r>
                    <w:rPr>
                      <w:szCs w:val="21"/>
                    </w:rPr>
                    <w:t>/</w:t>
                  </w:r>
                  <w:r>
                    <w:rPr>
                      <w:szCs w:val="21"/>
                    </w:rPr>
                    <w:t>日；</w:t>
                  </w:r>
                </w:p>
                <w:p w14:paraId="7B60F5C0" w14:textId="77777777" w:rsidR="00F76A63" w:rsidRDefault="00000000">
                  <w:pPr>
                    <w:adjustRightInd w:val="0"/>
                    <w:snapToGrid w:val="0"/>
                    <w:jc w:val="center"/>
                    <w:rPr>
                      <w:szCs w:val="21"/>
                    </w:rPr>
                  </w:pPr>
                  <w:r>
                    <w:rPr>
                      <w:szCs w:val="21"/>
                    </w:rPr>
                    <w:t>2.</w:t>
                  </w:r>
                  <w:r>
                    <w:rPr>
                      <w:szCs w:val="21"/>
                    </w:rPr>
                    <w:t>土地资源可利用产业园区总面积上线</w:t>
                  </w:r>
                  <w:r>
                    <w:rPr>
                      <w:szCs w:val="21"/>
                    </w:rPr>
                    <w:t>9.73</w:t>
                  </w:r>
                  <w:r>
                    <w:rPr>
                      <w:szCs w:val="21"/>
                    </w:rPr>
                    <w:t>平方公里，建设用地总面积上线</w:t>
                  </w:r>
                  <w:r>
                    <w:rPr>
                      <w:szCs w:val="21"/>
                    </w:rPr>
                    <w:t>816.03hm</w:t>
                  </w:r>
                  <w:r>
                    <w:rPr>
                      <w:szCs w:val="21"/>
                      <w:vertAlign w:val="superscript"/>
                    </w:rPr>
                    <w:t>2</w:t>
                  </w:r>
                  <w:r>
                    <w:rPr>
                      <w:szCs w:val="21"/>
                    </w:rPr>
                    <w:t>，工业用地总面积上线</w:t>
                  </w:r>
                  <w:r>
                    <w:rPr>
                      <w:szCs w:val="21"/>
                    </w:rPr>
                    <w:t>515.16hm</w:t>
                  </w:r>
                  <w:r>
                    <w:rPr>
                      <w:szCs w:val="21"/>
                      <w:vertAlign w:val="superscript"/>
                    </w:rPr>
                    <w:t>2</w:t>
                  </w:r>
                  <w:r>
                    <w:rPr>
                      <w:szCs w:val="21"/>
                    </w:rPr>
                    <w:t>，单位工业用地工业增加值</w:t>
                  </w:r>
                  <w:r>
                    <w:rPr>
                      <w:szCs w:val="21"/>
                    </w:rPr>
                    <w:t>≥9</w:t>
                  </w:r>
                  <w:r>
                    <w:rPr>
                      <w:szCs w:val="21"/>
                    </w:rPr>
                    <w:t>亿元</w:t>
                  </w:r>
                  <w:r>
                    <w:rPr>
                      <w:szCs w:val="21"/>
                    </w:rPr>
                    <w:t>/km</w:t>
                  </w:r>
                  <w:r>
                    <w:rPr>
                      <w:szCs w:val="21"/>
                      <w:vertAlign w:val="superscript"/>
                    </w:rPr>
                    <w:t>2</w:t>
                  </w:r>
                  <w:r>
                    <w:rPr>
                      <w:szCs w:val="21"/>
                    </w:rPr>
                    <w:t>；</w:t>
                  </w:r>
                </w:p>
                <w:p w14:paraId="51C0B4AB" w14:textId="77777777" w:rsidR="00F76A63" w:rsidRDefault="00000000">
                  <w:pPr>
                    <w:adjustRightInd w:val="0"/>
                    <w:snapToGrid w:val="0"/>
                    <w:jc w:val="center"/>
                    <w:rPr>
                      <w:szCs w:val="21"/>
                    </w:rPr>
                  </w:pPr>
                  <w:r>
                    <w:rPr>
                      <w:szCs w:val="21"/>
                    </w:rPr>
                    <w:t>3</w:t>
                  </w:r>
                  <w:r>
                    <w:rPr>
                      <w:szCs w:val="21"/>
                    </w:rPr>
                    <w:t>、规划能源利用主要为电能和天然气等清洁能源，视发展需求由市场配置供应；区内企业禁止配套新建自备燃煤锅炉；单位工业增加值综合能耗</w:t>
                  </w:r>
                  <w:r>
                    <w:rPr>
                      <w:szCs w:val="21"/>
                    </w:rPr>
                    <w:t>≤0.5</w:t>
                  </w:r>
                  <w:r>
                    <w:rPr>
                      <w:szCs w:val="21"/>
                    </w:rPr>
                    <w:t>吨标煤</w:t>
                  </w:r>
                  <w:r>
                    <w:rPr>
                      <w:szCs w:val="21"/>
                    </w:rPr>
                    <w:t>/</w:t>
                  </w:r>
                  <w:r>
                    <w:rPr>
                      <w:szCs w:val="21"/>
                    </w:rPr>
                    <w:t>万元。</w:t>
                  </w:r>
                </w:p>
              </w:tc>
              <w:tc>
                <w:tcPr>
                  <w:tcW w:w="1551" w:type="pct"/>
                  <w:tcBorders>
                    <w:top w:val="single" w:sz="4" w:space="0" w:color="auto"/>
                    <w:left w:val="single" w:sz="4" w:space="0" w:color="auto"/>
                    <w:bottom w:val="single" w:sz="12" w:space="0" w:color="auto"/>
                    <w:right w:val="single" w:sz="4" w:space="0" w:color="auto"/>
                  </w:tcBorders>
                  <w:vAlign w:val="center"/>
                </w:tcPr>
                <w:p w14:paraId="68DFEFF1" w14:textId="77777777" w:rsidR="00F76A63" w:rsidRDefault="00000000">
                  <w:pPr>
                    <w:adjustRightInd w:val="0"/>
                    <w:snapToGrid w:val="0"/>
                    <w:jc w:val="center"/>
                    <w:rPr>
                      <w:szCs w:val="21"/>
                    </w:rPr>
                  </w:pPr>
                  <w:r>
                    <w:rPr>
                      <w:szCs w:val="21"/>
                    </w:rPr>
                    <w:t>本项目利用的能源主要为电能等清洁能源。</w:t>
                  </w:r>
                </w:p>
              </w:tc>
              <w:tc>
                <w:tcPr>
                  <w:tcW w:w="272" w:type="pct"/>
                  <w:tcBorders>
                    <w:top w:val="single" w:sz="4" w:space="0" w:color="auto"/>
                    <w:left w:val="single" w:sz="4" w:space="0" w:color="auto"/>
                    <w:bottom w:val="single" w:sz="12" w:space="0" w:color="auto"/>
                    <w:right w:val="nil"/>
                  </w:tcBorders>
                  <w:vAlign w:val="center"/>
                </w:tcPr>
                <w:p w14:paraId="7204D900" w14:textId="77777777" w:rsidR="00F76A63" w:rsidRDefault="00000000">
                  <w:pPr>
                    <w:adjustRightInd w:val="0"/>
                    <w:snapToGrid w:val="0"/>
                    <w:jc w:val="center"/>
                    <w:rPr>
                      <w:szCs w:val="21"/>
                    </w:rPr>
                  </w:pPr>
                  <w:r>
                    <w:rPr>
                      <w:szCs w:val="21"/>
                    </w:rPr>
                    <w:t>符合</w:t>
                  </w:r>
                </w:p>
              </w:tc>
            </w:tr>
          </w:tbl>
          <w:p w14:paraId="5941F224" w14:textId="77777777" w:rsidR="00F76A63" w:rsidRDefault="00000000">
            <w:pPr>
              <w:adjustRightInd w:val="0"/>
              <w:snapToGrid w:val="0"/>
              <w:spacing w:line="500" w:lineRule="exact"/>
              <w:ind w:firstLineChars="200" w:firstLine="480"/>
              <w:rPr>
                <w:sz w:val="24"/>
              </w:rPr>
            </w:pPr>
            <w:r>
              <w:rPr>
                <w:sz w:val="24"/>
              </w:rPr>
              <w:t>综上，本项目满足《句容市下蜀高新技术产业园开发建设规划环境影响</w:t>
            </w:r>
            <w:r>
              <w:rPr>
                <w:sz w:val="24"/>
              </w:rPr>
              <w:lastRenderedPageBreak/>
              <w:t>报告书》生态准入清单的各项要求。</w:t>
            </w:r>
          </w:p>
          <w:p w14:paraId="51F346F6" w14:textId="77777777" w:rsidR="00F76A63" w:rsidRDefault="00000000">
            <w:pPr>
              <w:adjustRightInd w:val="0"/>
              <w:snapToGrid w:val="0"/>
              <w:spacing w:line="500" w:lineRule="exact"/>
              <w:ind w:firstLineChars="200" w:firstLine="482"/>
              <w:jc w:val="center"/>
              <w:rPr>
                <w:b/>
                <w:sz w:val="24"/>
              </w:rPr>
            </w:pPr>
            <w:r>
              <w:rPr>
                <w:b/>
                <w:sz w:val="24"/>
              </w:rPr>
              <w:t>表</w:t>
            </w:r>
            <w:r>
              <w:rPr>
                <w:b/>
                <w:sz w:val="24"/>
              </w:rPr>
              <w:t xml:space="preserve">1-2  </w:t>
            </w:r>
            <w:r>
              <w:rPr>
                <w:b/>
                <w:sz w:val="24"/>
              </w:rPr>
              <w:t>本项目与句容市下蜀高新技术产业园开发建设规划环境影响报告书审查意见相关内容相符性分析</w:t>
            </w:r>
          </w:p>
          <w:tbl>
            <w:tblPr>
              <w:tblStyle w:val="afffd"/>
              <w:tblW w:w="5000" w:type="pct"/>
              <w:tblLayout w:type="fixed"/>
              <w:tblLook w:val="04A0" w:firstRow="1" w:lastRow="0" w:firstColumn="1" w:lastColumn="0" w:noHBand="0" w:noVBand="1"/>
            </w:tblPr>
            <w:tblGrid>
              <w:gridCol w:w="783"/>
              <w:gridCol w:w="3448"/>
              <w:gridCol w:w="2549"/>
              <w:gridCol w:w="1033"/>
            </w:tblGrid>
            <w:tr w:rsidR="00F76A63" w14:paraId="0CFB0BD5" w14:textId="77777777">
              <w:trPr>
                <w:trHeight w:val="162"/>
              </w:trPr>
              <w:tc>
                <w:tcPr>
                  <w:tcW w:w="741" w:type="dxa"/>
                  <w:tcBorders>
                    <w:top w:val="single" w:sz="12" w:space="0" w:color="auto"/>
                    <w:left w:val="nil"/>
                  </w:tcBorders>
                  <w:vAlign w:val="center"/>
                </w:tcPr>
                <w:p w14:paraId="7CF63D2E" w14:textId="77777777" w:rsidR="00F76A63" w:rsidRDefault="00000000">
                  <w:pPr>
                    <w:adjustRightInd w:val="0"/>
                    <w:snapToGrid w:val="0"/>
                    <w:jc w:val="center"/>
                    <w:rPr>
                      <w:b/>
                      <w:bCs/>
                      <w:sz w:val="24"/>
                    </w:rPr>
                  </w:pPr>
                  <w:r>
                    <w:rPr>
                      <w:b/>
                      <w:bCs/>
                    </w:rPr>
                    <w:t>序号</w:t>
                  </w:r>
                </w:p>
              </w:tc>
              <w:tc>
                <w:tcPr>
                  <w:tcW w:w="3260" w:type="dxa"/>
                  <w:tcBorders>
                    <w:top w:val="single" w:sz="12" w:space="0" w:color="auto"/>
                  </w:tcBorders>
                  <w:vAlign w:val="center"/>
                </w:tcPr>
                <w:p w14:paraId="0D960A8B" w14:textId="77777777" w:rsidR="00F76A63" w:rsidRDefault="00000000">
                  <w:pPr>
                    <w:adjustRightInd w:val="0"/>
                    <w:snapToGrid w:val="0"/>
                    <w:jc w:val="center"/>
                    <w:rPr>
                      <w:b/>
                      <w:bCs/>
                      <w:sz w:val="24"/>
                    </w:rPr>
                  </w:pPr>
                  <w:r>
                    <w:rPr>
                      <w:b/>
                      <w:bCs/>
                    </w:rPr>
                    <w:t>要求</w:t>
                  </w:r>
                </w:p>
              </w:tc>
              <w:tc>
                <w:tcPr>
                  <w:tcW w:w="2410" w:type="dxa"/>
                  <w:tcBorders>
                    <w:top w:val="single" w:sz="12" w:space="0" w:color="auto"/>
                  </w:tcBorders>
                  <w:vAlign w:val="center"/>
                </w:tcPr>
                <w:p w14:paraId="501F41A6" w14:textId="77777777" w:rsidR="00F76A63" w:rsidRDefault="00000000">
                  <w:pPr>
                    <w:adjustRightInd w:val="0"/>
                    <w:snapToGrid w:val="0"/>
                    <w:jc w:val="center"/>
                    <w:rPr>
                      <w:b/>
                      <w:bCs/>
                      <w:sz w:val="24"/>
                    </w:rPr>
                  </w:pPr>
                  <w:r>
                    <w:rPr>
                      <w:b/>
                      <w:bCs/>
                    </w:rPr>
                    <w:t>符合性分析</w:t>
                  </w:r>
                </w:p>
              </w:tc>
              <w:tc>
                <w:tcPr>
                  <w:tcW w:w="977" w:type="dxa"/>
                  <w:tcBorders>
                    <w:top w:val="single" w:sz="12" w:space="0" w:color="auto"/>
                    <w:right w:val="nil"/>
                  </w:tcBorders>
                  <w:vAlign w:val="center"/>
                </w:tcPr>
                <w:p w14:paraId="5A265E43" w14:textId="77777777" w:rsidR="00F76A63" w:rsidRDefault="00000000">
                  <w:pPr>
                    <w:adjustRightInd w:val="0"/>
                    <w:snapToGrid w:val="0"/>
                    <w:jc w:val="center"/>
                    <w:rPr>
                      <w:b/>
                      <w:bCs/>
                      <w:sz w:val="24"/>
                    </w:rPr>
                  </w:pPr>
                  <w:r>
                    <w:rPr>
                      <w:b/>
                      <w:bCs/>
                    </w:rPr>
                    <w:t>相符性</w:t>
                  </w:r>
                </w:p>
              </w:tc>
            </w:tr>
            <w:tr w:rsidR="00F76A63" w14:paraId="0F4BE989" w14:textId="77777777">
              <w:tc>
                <w:tcPr>
                  <w:tcW w:w="741" w:type="dxa"/>
                  <w:tcBorders>
                    <w:left w:val="nil"/>
                  </w:tcBorders>
                  <w:vAlign w:val="center"/>
                </w:tcPr>
                <w:p w14:paraId="1601958A" w14:textId="77777777" w:rsidR="00F76A63" w:rsidRDefault="00000000">
                  <w:pPr>
                    <w:adjustRightInd w:val="0"/>
                    <w:snapToGrid w:val="0"/>
                    <w:jc w:val="center"/>
                    <w:rPr>
                      <w:bCs/>
                      <w:szCs w:val="21"/>
                    </w:rPr>
                  </w:pPr>
                  <w:r>
                    <w:rPr>
                      <w:bCs/>
                      <w:szCs w:val="21"/>
                    </w:rPr>
                    <w:t>1</w:t>
                  </w:r>
                </w:p>
              </w:tc>
              <w:tc>
                <w:tcPr>
                  <w:tcW w:w="3260" w:type="dxa"/>
                  <w:vAlign w:val="center"/>
                </w:tcPr>
                <w:p w14:paraId="55D29A96" w14:textId="77777777" w:rsidR="00F76A63" w:rsidRDefault="00000000">
                  <w:pPr>
                    <w:adjustRightInd w:val="0"/>
                    <w:snapToGrid w:val="0"/>
                    <w:jc w:val="center"/>
                    <w:rPr>
                      <w:bCs/>
                      <w:sz w:val="24"/>
                    </w:rPr>
                  </w:pPr>
                  <w:r>
                    <w:rPr>
                      <w:bCs/>
                      <w:szCs w:val="21"/>
                    </w:rPr>
                    <w:t>深入践行习近平生态文明思想，完整准确全面贯彻新发展理念。加强规划引导，坚持生态优先、集约高效，以生态环境质量改善为核心，进一步优化《规划》布局、产业定位和发展规模，协同推进生态环境高水平保护和经济高质量发展。</w:t>
                  </w:r>
                </w:p>
              </w:tc>
              <w:tc>
                <w:tcPr>
                  <w:tcW w:w="2410" w:type="dxa"/>
                  <w:vAlign w:val="center"/>
                </w:tcPr>
                <w:p w14:paraId="0B8142F7" w14:textId="77777777" w:rsidR="00F76A63" w:rsidRDefault="00000000">
                  <w:pPr>
                    <w:adjustRightInd w:val="0"/>
                    <w:snapToGrid w:val="0"/>
                    <w:jc w:val="center"/>
                    <w:rPr>
                      <w:bCs/>
                      <w:sz w:val="24"/>
                    </w:rPr>
                  </w:pPr>
                  <w:r>
                    <w:rPr>
                      <w:bCs/>
                      <w:szCs w:val="21"/>
                    </w:rPr>
                    <w:t>本项目为水泥窑协同处置污泥及污染土，所属行业为</w:t>
                  </w:r>
                  <w:r>
                    <w:rPr>
                      <w:bCs/>
                      <w:szCs w:val="21"/>
                    </w:rPr>
                    <w:t>[N7723]</w:t>
                  </w:r>
                  <w:r>
                    <w:rPr>
                      <w:bCs/>
                      <w:szCs w:val="21"/>
                    </w:rPr>
                    <w:t>固体废物治理，项目的实施利用一般固废可减少原料使用量，符合循环经济理念，符合园区产业定位；项目位于句容台泥厂区内，所在地现状及规划均为工业用地，用地性质符合园区用地规划要求。</w:t>
                  </w:r>
                </w:p>
              </w:tc>
              <w:tc>
                <w:tcPr>
                  <w:tcW w:w="977" w:type="dxa"/>
                  <w:tcBorders>
                    <w:right w:val="nil"/>
                  </w:tcBorders>
                  <w:vAlign w:val="center"/>
                </w:tcPr>
                <w:p w14:paraId="78F2A25E" w14:textId="77777777" w:rsidR="00F76A63" w:rsidRDefault="00000000">
                  <w:pPr>
                    <w:adjustRightInd w:val="0"/>
                    <w:snapToGrid w:val="0"/>
                    <w:jc w:val="center"/>
                    <w:rPr>
                      <w:bCs/>
                      <w:sz w:val="24"/>
                    </w:rPr>
                  </w:pPr>
                  <w:r>
                    <w:rPr>
                      <w:bCs/>
                      <w:szCs w:val="21"/>
                    </w:rPr>
                    <w:t>符合</w:t>
                  </w:r>
                </w:p>
              </w:tc>
            </w:tr>
            <w:tr w:rsidR="00F76A63" w14:paraId="228A9B9F" w14:textId="77777777">
              <w:tc>
                <w:tcPr>
                  <w:tcW w:w="741" w:type="dxa"/>
                  <w:tcBorders>
                    <w:left w:val="nil"/>
                    <w:bottom w:val="single" w:sz="4" w:space="0" w:color="auto"/>
                  </w:tcBorders>
                  <w:vAlign w:val="center"/>
                </w:tcPr>
                <w:p w14:paraId="6E4AEA22" w14:textId="77777777" w:rsidR="00F76A63" w:rsidRDefault="00000000">
                  <w:pPr>
                    <w:adjustRightInd w:val="0"/>
                    <w:snapToGrid w:val="0"/>
                    <w:jc w:val="center"/>
                    <w:rPr>
                      <w:bCs/>
                      <w:szCs w:val="21"/>
                    </w:rPr>
                  </w:pPr>
                  <w:r>
                    <w:rPr>
                      <w:bCs/>
                      <w:szCs w:val="21"/>
                    </w:rPr>
                    <w:t>2</w:t>
                  </w:r>
                </w:p>
              </w:tc>
              <w:tc>
                <w:tcPr>
                  <w:tcW w:w="3260" w:type="dxa"/>
                  <w:tcBorders>
                    <w:bottom w:val="single" w:sz="4" w:space="0" w:color="auto"/>
                  </w:tcBorders>
                  <w:vAlign w:val="center"/>
                </w:tcPr>
                <w:p w14:paraId="4B05117D" w14:textId="77777777" w:rsidR="00F76A63" w:rsidRDefault="00000000">
                  <w:pPr>
                    <w:adjustRightInd w:val="0"/>
                    <w:snapToGrid w:val="0"/>
                    <w:jc w:val="center"/>
                    <w:rPr>
                      <w:bCs/>
                      <w:szCs w:val="21"/>
                    </w:rPr>
                  </w:pPr>
                  <w:r>
                    <w:rPr>
                      <w:bCs/>
                      <w:szCs w:val="21"/>
                    </w:rPr>
                    <w:t>严守环境质量底线，强化污染物排放总量管控。根据国家和江苏省关于大气、水、土壤污染防治和江苏省、镇江市</w:t>
                  </w:r>
                  <w:r>
                    <w:rPr>
                      <w:bCs/>
                      <w:szCs w:val="21"/>
                    </w:rPr>
                    <w:t>“</w:t>
                  </w:r>
                  <w:r>
                    <w:rPr>
                      <w:bCs/>
                      <w:szCs w:val="21"/>
                    </w:rPr>
                    <w:t>三线一单</w:t>
                  </w:r>
                  <w:r>
                    <w:rPr>
                      <w:bCs/>
                      <w:szCs w:val="21"/>
                    </w:rPr>
                    <w:t>”</w:t>
                  </w:r>
                  <w:r>
                    <w:rPr>
                      <w:bCs/>
                      <w:szCs w:val="21"/>
                    </w:rPr>
                    <w:t>生态环境分区管控等相关要求，落实规划环评提出的污染物排放、总量控制等要求。企业应采用有效措施控制污染物排放总量，实现主要污染物排放浓度和总量</w:t>
                  </w:r>
                  <w:r>
                    <w:rPr>
                      <w:bCs/>
                      <w:szCs w:val="21"/>
                    </w:rPr>
                    <w:t>“</w:t>
                  </w:r>
                  <w:r>
                    <w:rPr>
                      <w:bCs/>
                      <w:szCs w:val="21"/>
                    </w:rPr>
                    <w:t>双管控</w:t>
                  </w:r>
                  <w:r>
                    <w:rPr>
                      <w:bCs/>
                      <w:szCs w:val="21"/>
                    </w:rPr>
                    <w:t>”</w:t>
                  </w:r>
                  <w:r>
                    <w:rPr>
                      <w:bCs/>
                      <w:szCs w:val="21"/>
                    </w:rPr>
                    <w:t>，推进区域环境质量持续改善。</w:t>
                  </w:r>
                </w:p>
              </w:tc>
              <w:tc>
                <w:tcPr>
                  <w:tcW w:w="2410" w:type="dxa"/>
                  <w:tcBorders>
                    <w:bottom w:val="single" w:sz="4" w:space="0" w:color="auto"/>
                  </w:tcBorders>
                  <w:vAlign w:val="center"/>
                </w:tcPr>
                <w:p w14:paraId="1C7CBB0F" w14:textId="77777777" w:rsidR="00F76A63" w:rsidRDefault="00000000">
                  <w:pPr>
                    <w:adjustRightInd w:val="0"/>
                    <w:snapToGrid w:val="0"/>
                    <w:jc w:val="center"/>
                    <w:rPr>
                      <w:bCs/>
                      <w:sz w:val="24"/>
                    </w:rPr>
                  </w:pPr>
                  <w:r>
                    <w:rPr>
                      <w:bCs/>
                      <w:szCs w:val="21"/>
                    </w:rPr>
                    <w:t>本项目严格执行总量要求，项目不涉及废水排放</w:t>
                  </w:r>
                  <w:r>
                    <w:rPr>
                      <w:rFonts w:hint="eastAsia"/>
                      <w:bCs/>
                      <w:szCs w:val="21"/>
                    </w:rPr>
                    <w:t>；</w:t>
                  </w:r>
                  <w:r>
                    <w:rPr>
                      <w:bCs/>
                      <w:kern w:val="28"/>
                      <w:szCs w:val="21"/>
                    </w:rPr>
                    <w:t>本项目</w:t>
                  </w:r>
                  <w:r>
                    <w:rPr>
                      <w:rFonts w:hint="eastAsia"/>
                      <w:bCs/>
                      <w:kern w:val="28"/>
                      <w:szCs w:val="21"/>
                    </w:rPr>
                    <w:t>产生的废水为污泥堆放产生的渗滤液，经集水沟统一收集至原水池和生产废水一起经中水处理系统处理后回用</w:t>
                  </w:r>
                  <w:r>
                    <w:rPr>
                      <w:bCs/>
                      <w:szCs w:val="21"/>
                    </w:rPr>
                    <w:t>，</w:t>
                  </w:r>
                  <w:r>
                    <w:rPr>
                      <w:szCs w:val="21"/>
                    </w:rPr>
                    <w:t>项目废气主要污染物排放总量在</w:t>
                  </w:r>
                  <w:r>
                    <w:rPr>
                      <w:rFonts w:hint="eastAsia"/>
                      <w:szCs w:val="21"/>
                    </w:rPr>
                    <w:t>厂</w:t>
                  </w:r>
                  <w:r>
                    <w:rPr>
                      <w:szCs w:val="21"/>
                    </w:rPr>
                    <w:t>内平衡，无需申请总量</w:t>
                  </w:r>
                  <w:r>
                    <w:rPr>
                      <w:bCs/>
                      <w:szCs w:val="21"/>
                    </w:rPr>
                    <w:t>；满足</w:t>
                  </w:r>
                  <w:r>
                    <w:rPr>
                      <w:rFonts w:hint="eastAsia"/>
                      <w:bCs/>
                      <w:szCs w:val="21"/>
                    </w:rPr>
                    <w:t>生态环境分区管控动态更新成果</w:t>
                  </w:r>
                  <w:r>
                    <w:rPr>
                      <w:bCs/>
                      <w:szCs w:val="21"/>
                    </w:rPr>
                    <w:t>；项目废气废水均达标排放，固废均得到妥善处置。</w:t>
                  </w:r>
                </w:p>
              </w:tc>
              <w:tc>
                <w:tcPr>
                  <w:tcW w:w="977" w:type="dxa"/>
                  <w:tcBorders>
                    <w:bottom w:val="single" w:sz="4" w:space="0" w:color="auto"/>
                    <w:right w:val="nil"/>
                  </w:tcBorders>
                  <w:vAlign w:val="center"/>
                </w:tcPr>
                <w:p w14:paraId="7820EF56" w14:textId="77777777" w:rsidR="00F76A63" w:rsidRDefault="00000000">
                  <w:pPr>
                    <w:adjustRightInd w:val="0"/>
                    <w:snapToGrid w:val="0"/>
                    <w:jc w:val="center"/>
                    <w:rPr>
                      <w:b/>
                      <w:sz w:val="24"/>
                    </w:rPr>
                  </w:pPr>
                  <w:r>
                    <w:rPr>
                      <w:bCs/>
                      <w:szCs w:val="21"/>
                    </w:rPr>
                    <w:t>符合</w:t>
                  </w:r>
                </w:p>
              </w:tc>
            </w:tr>
            <w:tr w:rsidR="00F76A63" w14:paraId="70DDE931" w14:textId="77777777">
              <w:tc>
                <w:tcPr>
                  <w:tcW w:w="741" w:type="dxa"/>
                  <w:tcBorders>
                    <w:left w:val="nil"/>
                  </w:tcBorders>
                  <w:vAlign w:val="center"/>
                </w:tcPr>
                <w:p w14:paraId="3A80F376" w14:textId="77777777" w:rsidR="00F76A63" w:rsidRDefault="00000000">
                  <w:pPr>
                    <w:adjustRightInd w:val="0"/>
                    <w:snapToGrid w:val="0"/>
                    <w:jc w:val="center"/>
                    <w:rPr>
                      <w:bCs/>
                      <w:szCs w:val="21"/>
                    </w:rPr>
                  </w:pPr>
                  <w:r>
                    <w:rPr>
                      <w:bCs/>
                      <w:szCs w:val="21"/>
                    </w:rPr>
                    <w:t>3</w:t>
                  </w:r>
                </w:p>
              </w:tc>
              <w:tc>
                <w:tcPr>
                  <w:tcW w:w="3260" w:type="dxa"/>
                  <w:vAlign w:val="center"/>
                </w:tcPr>
                <w:p w14:paraId="0008C166" w14:textId="77777777" w:rsidR="00F76A63" w:rsidRDefault="00000000">
                  <w:pPr>
                    <w:adjustRightInd w:val="0"/>
                    <w:snapToGrid w:val="0"/>
                    <w:jc w:val="center"/>
                    <w:rPr>
                      <w:bCs/>
                      <w:sz w:val="24"/>
                    </w:rPr>
                  </w:pPr>
                  <w:r>
                    <w:rPr>
                      <w:bCs/>
                      <w:szCs w:val="21"/>
                    </w:rPr>
                    <w:t>加强源头治理，协同推进减污降碳。严格落实生态环境准入清单，加强企业特征污染物排放控制，建设高效治理设施，强化精细化管控。引进项目的生产工艺、设备、污染治理技术清洁生产水平等须达到同行业国内先进水平。全面开展清洁生产审核，推动重点行业依法实施强制性审核，引导其他行业自觉自愿开展审核，不断提高现有企业清洁生产和污染治理水平。落实国家、省碳达峰行动方案和节能减排要求，优化产业结构、能源结构和交通结构等规划内容，推进减污降碳协同增效。</w:t>
                  </w:r>
                </w:p>
              </w:tc>
              <w:tc>
                <w:tcPr>
                  <w:tcW w:w="2410" w:type="dxa"/>
                  <w:vAlign w:val="center"/>
                </w:tcPr>
                <w:p w14:paraId="6AF01D20" w14:textId="77777777" w:rsidR="00F76A63" w:rsidRDefault="00000000">
                  <w:pPr>
                    <w:adjustRightInd w:val="0"/>
                    <w:snapToGrid w:val="0"/>
                    <w:jc w:val="center"/>
                    <w:rPr>
                      <w:b/>
                      <w:sz w:val="24"/>
                    </w:rPr>
                  </w:pPr>
                  <w:r>
                    <w:rPr>
                      <w:bCs/>
                      <w:szCs w:val="21"/>
                    </w:rPr>
                    <w:t>本项目严格落实生态环境准入清单，本项目不新增废水、固废，废气在</w:t>
                  </w:r>
                  <w:r>
                    <w:rPr>
                      <w:rFonts w:hint="eastAsia"/>
                      <w:bCs/>
                      <w:szCs w:val="21"/>
                    </w:rPr>
                    <w:t>厂内</w:t>
                  </w:r>
                  <w:r>
                    <w:rPr>
                      <w:bCs/>
                      <w:szCs w:val="21"/>
                    </w:rPr>
                    <w:t>内平衡，项目废气废水均达标排放，固废均得到妥善处置。生产工艺、设备、污染措施均达到同行业国内先进水平，</w:t>
                  </w:r>
                  <w:r>
                    <w:rPr>
                      <w:szCs w:val="21"/>
                    </w:rPr>
                    <w:t>企业</w:t>
                  </w:r>
                  <w:r>
                    <w:rPr>
                      <w:szCs w:val="21"/>
                    </w:rPr>
                    <w:t>2023</w:t>
                  </w:r>
                  <w:r>
                    <w:rPr>
                      <w:szCs w:val="21"/>
                    </w:rPr>
                    <w:t>年进行了清洁生产审核，全厂总体生产水平为清洁生产一级水平，被评定为国际清洁生产先进水平。</w:t>
                  </w:r>
                  <w:r>
                    <w:rPr>
                      <w:bCs/>
                      <w:szCs w:val="21"/>
                    </w:rPr>
                    <w:t>本项目落实节水、节电、节气等各项措施，落实国家、省碳达峰行动方案和节能减排要求，优化产业结构、能源结构和交通结构等规划内容。</w:t>
                  </w:r>
                </w:p>
              </w:tc>
              <w:tc>
                <w:tcPr>
                  <w:tcW w:w="977" w:type="dxa"/>
                  <w:tcBorders>
                    <w:right w:val="nil"/>
                  </w:tcBorders>
                  <w:vAlign w:val="center"/>
                </w:tcPr>
                <w:p w14:paraId="189A41E0" w14:textId="77777777" w:rsidR="00F76A63" w:rsidRDefault="00000000">
                  <w:pPr>
                    <w:adjustRightInd w:val="0"/>
                    <w:snapToGrid w:val="0"/>
                    <w:jc w:val="center"/>
                    <w:rPr>
                      <w:b/>
                      <w:sz w:val="24"/>
                    </w:rPr>
                  </w:pPr>
                  <w:r>
                    <w:rPr>
                      <w:bCs/>
                      <w:szCs w:val="21"/>
                    </w:rPr>
                    <w:t>符合</w:t>
                  </w:r>
                </w:p>
              </w:tc>
            </w:tr>
            <w:tr w:rsidR="00F76A63" w14:paraId="2532C5AC" w14:textId="77777777">
              <w:tc>
                <w:tcPr>
                  <w:tcW w:w="741" w:type="dxa"/>
                  <w:tcBorders>
                    <w:left w:val="nil"/>
                  </w:tcBorders>
                  <w:vAlign w:val="center"/>
                </w:tcPr>
                <w:p w14:paraId="0C47ED32" w14:textId="77777777" w:rsidR="00F76A63" w:rsidRDefault="00000000">
                  <w:pPr>
                    <w:adjustRightInd w:val="0"/>
                    <w:snapToGrid w:val="0"/>
                    <w:jc w:val="center"/>
                    <w:rPr>
                      <w:bCs/>
                      <w:szCs w:val="21"/>
                    </w:rPr>
                  </w:pPr>
                  <w:r>
                    <w:rPr>
                      <w:bCs/>
                      <w:szCs w:val="21"/>
                    </w:rPr>
                    <w:lastRenderedPageBreak/>
                    <w:t>4</w:t>
                  </w:r>
                </w:p>
              </w:tc>
              <w:tc>
                <w:tcPr>
                  <w:tcW w:w="3260" w:type="dxa"/>
                  <w:vAlign w:val="center"/>
                </w:tcPr>
                <w:p w14:paraId="3E635C53" w14:textId="77777777" w:rsidR="00F76A63" w:rsidRDefault="00000000">
                  <w:pPr>
                    <w:adjustRightInd w:val="0"/>
                    <w:snapToGrid w:val="0"/>
                    <w:jc w:val="center"/>
                    <w:rPr>
                      <w:b/>
                      <w:szCs w:val="21"/>
                    </w:rPr>
                  </w:pPr>
                  <w:r>
                    <w:rPr>
                      <w:spacing w:val="-3"/>
                      <w:szCs w:val="21"/>
                    </w:rPr>
                    <w:t>完善环境基础设施建设，提高基础设施运行效能。下蜀高新技术产业园实施雨污分流和污水集中处</w:t>
                  </w:r>
                  <w:r>
                    <w:rPr>
                      <w:spacing w:val="-5"/>
                      <w:szCs w:val="21"/>
                    </w:rPr>
                    <w:t>理，加强企业工艺废水的污染控制，确保满</w:t>
                  </w:r>
                  <w:r>
                    <w:rPr>
                      <w:spacing w:val="-6"/>
                      <w:szCs w:val="21"/>
                    </w:rPr>
                    <w:t>足接管</w:t>
                  </w:r>
                  <w:r>
                    <w:rPr>
                      <w:spacing w:val="-10"/>
                      <w:szCs w:val="21"/>
                    </w:rPr>
                    <w:t>标准要求。复配类产业片区企业应采用</w:t>
                  </w:r>
                  <w:r>
                    <w:rPr>
                      <w:spacing w:val="-10"/>
                      <w:szCs w:val="21"/>
                    </w:rPr>
                    <w:t>“</w:t>
                  </w:r>
                  <w:r>
                    <w:rPr>
                      <w:spacing w:val="-10"/>
                      <w:szCs w:val="21"/>
                    </w:rPr>
                    <w:t>分</w:t>
                  </w:r>
                  <w:r>
                    <w:rPr>
                      <w:spacing w:val="-11"/>
                      <w:szCs w:val="21"/>
                    </w:rPr>
                    <w:t>类收集、</w:t>
                  </w:r>
                  <w:r>
                    <w:rPr>
                      <w:spacing w:val="-7"/>
                      <w:szCs w:val="21"/>
                    </w:rPr>
                    <w:t>分质处理、一企一管、明管输送、实时监测</w:t>
                  </w:r>
                  <w:r>
                    <w:rPr>
                      <w:spacing w:val="-7"/>
                      <w:szCs w:val="21"/>
                    </w:rPr>
                    <w:t>”</w:t>
                  </w:r>
                  <w:r>
                    <w:rPr>
                      <w:spacing w:val="-7"/>
                      <w:szCs w:val="21"/>
                    </w:rPr>
                    <w:t>排放</w:t>
                  </w:r>
                  <w:r>
                    <w:rPr>
                      <w:spacing w:val="-5"/>
                      <w:szCs w:val="21"/>
                    </w:rPr>
                    <w:t>模式，接管至工业污水处理厂（处理设施）</w:t>
                  </w:r>
                  <w:r>
                    <w:rPr>
                      <w:spacing w:val="-6"/>
                      <w:szCs w:val="21"/>
                    </w:rPr>
                    <w:t>集中处</w:t>
                  </w:r>
                  <w:r>
                    <w:rPr>
                      <w:spacing w:val="-5"/>
                      <w:szCs w:val="21"/>
                    </w:rPr>
                    <w:t>置。园区由区内的华电句容电厂实施集中供</w:t>
                  </w:r>
                  <w:r>
                    <w:rPr>
                      <w:spacing w:val="-6"/>
                      <w:szCs w:val="21"/>
                    </w:rPr>
                    <w:t>热，严</w:t>
                  </w:r>
                  <w:r>
                    <w:rPr>
                      <w:spacing w:val="-3"/>
                      <w:szCs w:val="21"/>
                    </w:rPr>
                    <w:t>禁建设高污染燃料设施；加强园区固体废物减量</w:t>
                  </w:r>
                  <w:r>
                    <w:rPr>
                      <w:spacing w:val="-5"/>
                      <w:szCs w:val="21"/>
                    </w:rPr>
                    <w:t>化、资源化、无害化处理，一般固体废物、</w:t>
                  </w:r>
                  <w:r>
                    <w:rPr>
                      <w:spacing w:val="-6"/>
                      <w:szCs w:val="21"/>
                    </w:rPr>
                    <w:t>危险废</w:t>
                  </w:r>
                  <w:r>
                    <w:rPr>
                      <w:spacing w:val="-10"/>
                      <w:szCs w:val="21"/>
                    </w:rPr>
                    <w:t>物应依法依规收集、处理处置，做到就地分</w:t>
                  </w:r>
                  <w:r>
                    <w:rPr>
                      <w:spacing w:val="-11"/>
                      <w:szCs w:val="21"/>
                    </w:rPr>
                    <w:t>类收集、</w:t>
                  </w:r>
                  <w:r>
                    <w:rPr>
                      <w:spacing w:val="-4"/>
                      <w:szCs w:val="21"/>
                    </w:rPr>
                    <w:t>就近转移处置。</w:t>
                  </w:r>
                </w:p>
              </w:tc>
              <w:tc>
                <w:tcPr>
                  <w:tcW w:w="2410" w:type="dxa"/>
                  <w:vAlign w:val="center"/>
                </w:tcPr>
                <w:p w14:paraId="04D9A8BC" w14:textId="77777777" w:rsidR="00F76A63" w:rsidRDefault="00000000">
                  <w:pPr>
                    <w:pStyle w:val="affff8"/>
                    <w:rPr>
                      <w:rFonts w:cs="Times New Roman"/>
                      <w:bCs/>
                      <w:szCs w:val="21"/>
                    </w:rPr>
                  </w:pPr>
                  <w:r>
                    <w:rPr>
                      <w:rFonts w:cs="Times New Roman"/>
                      <w:bCs/>
                      <w:szCs w:val="21"/>
                    </w:rPr>
                    <w:t>本项目不新增废水</w:t>
                  </w:r>
                  <w:r>
                    <w:rPr>
                      <w:rFonts w:cs="Times New Roman" w:hint="eastAsia"/>
                      <w:bCs/>
                      <w:szCs w:val="21"/>
                    </w:rPr>
                    <w:t>排放，</w:t>
                  </w:r>
                  <w:r>
                    <w:rPr>
                      <w:bCs/>
                      <w:kern w:val="28"/>
                      <w:szCs w:val="21"/>
                    </w:rPr>
                    <w:t>项目</w:t>
                  </w:r>
                  <w:r>
                    <w:rPr>
                      <w:rFonts w:hint="eastAsia"/>
                      <w:bCs/>
                      <w:kern w:val="28"/>
                      <w:szCs w:val="21"/>
                    </w:rPr>
                    <w:t>产生的废水为污泥堆放产生的渗滤液，经集水沟统一收集至原水池和生产废水一起经中水处理系统处理后回用</w:t>
                  </w:r>
                  <w:r>
                    <w:rPr>
                      <w:rFonts w:cs="Times New Roman"/>
                      <w:bCs/>
                      <w:szCs w:val="21"/>
                    </w:rPr>
                    <w:t>，</w:t>
                  </w:r>
                  <w:r>
                    <w:rPr>
                      <w:rFonts w:cs="Times New Roman"/>
                    </w:rPr>
                    <w:t>现有生产废水冷却后回到循环冷却水池，回用于生产；现有生活污水经台泥厂区化粪池预处理后接管句容市下蜀污水处理有限公司集中处理，处理达标后排入老便民河</w:t>
                  </w:r>
                  <w:r>
                    <w:rPr>
                      <w:rFonts w:cs="Times New Roman"/>
                      <w:bCs/>
                      <w:szCs w:val="21"/>
                    </w:rPr>
                    <w:t>；</w:t>
                  </w:r>
                </w:p>
                <w:p w14:paraId="2D2AD9D6" w14:textId="77777777" w:rsidR="00F76A63" w:rsidRDefault="00000000">
                  <w:pPr>
                    <w:pStyle w:val="affff8"/>
                    <w:rPr>
                      <w:rFonts w:cs="Times New Roman"/>
                      <w:bCs/>
                      <w:sz w:val="24"/>
                    </w:rPr>
                  </w:pPr>
                  <w:r>
                    <w:rPr>
                      <w:rFonts w:cs="Times New Roman"/>
                      <w:bCs/>
                      <w:szCs w:val="21"/>
                    </w:rPr>
                    <w:t>项目一般固废、危险废物均依法收集、处理处置。</w:t>
                  </w:r>
                </w:p>
              </w:tc>
              <w:tc>
                <w:tcPr>
                  <w:tcW w:w="977" w:type="dxa"/>
                  <w:tcBorders>
                    <w:right w:val="nil"/>
                  </w:tcBorders>
                  <w:vAlign w:val="center"/>
                </w:tcPr>
                <w:p w14:paraId="5FF3C0A8" w14:textId="77777777" w:rsidR="00F76A63" w:rsidRDefault="00000000">
                  <w:pPr>
                    <w:adjustRightInd w:val="0"/>
                    <w:snapToGrid w:val="0"/>
                    <w:jc w:val="center"/>
                    <w:rPr>
                      <w:b/>
                      <w:sz w:val="24"/>
                    </w:rPr>
                  </w:pPr>
                  <w:r>
                    <w:rPr>
                      <w:bCs/>
                      <w:szCs w:val="21"/>
                    </w:rPr>
                    <w:t>符合</w:t>
                  </w:r>
                </w:p>
              </w:tc>
            </w:tr>
            <w:tr w:rsidR="00F76A63" w14:paraId="5B97A6F3" w14:textId="77777777">
              <w:tc>
                <w:tcPr>
                  <w:tcW w:w="741" w:type="dxa"/>
                  <w:tcBorders>
                    <w:left w:val="nil"/>
                  </w:tcBorders>
                  <w:vAlign w:val="center"/>
                </w:tcPr>
                <w:p w14:paraId="27D62CC1" w14:textId="77777777" w:rsidR="00F76A63" w:rsidRDefault="00000000">
                  <w:pPr>
                    <w:adjustRightInd w:val="0"/>
                    <w:snapToGrid w:val="0"/>
                    <w:jc w:val="center"/>
                    <w:rPr>
                      <w:bCs/>
                      <w:szCs w:val="21"/>
                    </w:rPr>
                  </w:pPr>
                  <w:r>
                    <w:rPr>
                      <w:bCs/>
                      <w:szCs w:val="21"/>
                    </w:rPr>
                    <w:t>5</w:t>
                  </w:r>
                </w:p>
              </w:tc>
              <w:tc>
                <w:tcPr>
                  <w:tcW w:w="3260" w:type="dxa"/>
                  <w:vAlign w:val="center"/>
                </w:tcPr>
                <w:p w14:paraId="5E7FB6B6" w14:textId="77777777" w:rsidR="00F76A63" w:rsidRDefault="00000000">
                  <w:pPr>
                    <w:adjustRightInd w:val="0"/>
                    <w:snapToGrid w:val="0"/>
                    <w:jc w:val="center"/>
                    <w:rPr>
                      <w:b/>
                      <w:szCs w:val="21"/>
                    </w:rPr>
                  </w:pPr>
                  <w:r>
                    <w:rPr>
                      <w:spacing w:val="-5"/>
                      <w:szCs w:val="21"/>
                    </w:rPr>
                    <w:t>完善环境风险应急体系建设。建立环境应急管理制度提升环境应急能力。完善园区三级环境防控体系建设，完善环境风险防控基础设施，落实风险防范</w:t>
                  </w:r>
                  <w:r>
                    <w:rPr>
                      <w:spacing w:val="-11"/>
                      <w:szCs w:val="21"/>
                    </w:rPr>
                    <w:t>措施。制定环境应急预案，健全应急响应联动机制，</w:t>
                  </w:r>
                  <w:r>
                    <w:rPr>
                      <w:spacing w:val="-5"/>
                      <w:szCs w:val="21"/>
                    </w:rPr>
                    <w:t>建立定期隐患排查治理制度，监督和指导企业落实</w:t>
                  </w:r>
                  <w:r>
                    <w:rPr>
                      <w:spacing w:val="-3"/>
                      <w:szCs w:val="21"/>
                    </w:rPr>
                    <w:t>各项风险防范措施。</w:t>
                  </w:r>
                </w:p>
              </w:tc>
              <w:tc>
                <w:tcPr>
                  <w:tcW w:w="2410" w:type="dxa"/>
                  <w:vAlign w:val="center"/>
                </w:tcPr>
                <w:p w14:paraId="649152B6" w14:textId="77777777" w:rsidR="00F76A63" w:rsidRDefault="00000000">
                  <w:pPr>
                    <w:adjustRightInd w:val="0"/>
                    <w:snapToGrid w:val="0"/>
                    <w:jc w:val="center"/>
                    <w:rPr>
                      <w:b/>
                      <w:sz w:val="24"/>
                    </w:rPr>
                  </w:pPr>
                  <w:r>
                    <w:rPr>
                      <w:szCs w:val="21"/>
                    </w:rPr>
                    <w:t>企业已编制环境风险应急预案并备案，对重点风险源编制环境风险评估报告。厂内建设突发环境事件防控机制，构成园区三级防控体系一环；</w:t>
                  </w:r>
                  <w:r>
                    <w:rPr>
                      <w:bCs/>
                      <w:szCs w:val="21"/>
                    </w:rPr>
                    <w:t>本项目建成后，建设单位将对重点风险源进行环境风险评估并修编现有环境应急预案。</w:t>
                  </w:r>
                </w:p>
              </w:tc>
              <w:tc>
                <w:tcPr>
                  <w:tcW w:w="977" w:type="dxa"/>
                  <w:tcBorders>
                    <w:right w:val="nil"/>
                  </w:tcBorders>
                  <w:vAlign w:val="center"/>
                </w:tcPr>
                <w:p w14:paraId="361EEDDA" w14:textId="77777777" w:rsidR="00F76A63" w:rsidRDefault="00000000">
                  <w:pPr>
                    <w:adjustRightInd w:val="0"/>
                    <w:snapToGrid w:val="0"/>
                    <w:jc w:val="center"/>
                    <w:rPr>
                      <w:b/>
                      <w:sz w:val="24"/>
                    </w:rPr>
                  </w:pPr>
                  <w:r>
                    <w:rPr>
                      <w:bCs/>
                      <w:szCs w:val="21"/>
                    </w:rPr>
                    <w:t>符合</w:t>
                  </w:r>
                </w:p>
              </w:tc>
            </w:tr>
            <w:tr w:rsidR="00F76A63" w14:paraId="5B6EF934" w14:textId="77777777">
              <w:tc>
                <w:tcPr>
                  <w:tcW w:w="741" w:type="dxa"/>
                  <w:tcBorders>
                    <w:left w:val="nil"/>
                    <w:bottom w:val="single" w:sz="12" w:space="0" w:color="auto"/>
                  </w:tcBorders>
                  <w:vAlign w:val="center"/>
                </w:tcPr>
                <w:p w14:paraId="63ECA18D" w14:textId="77777777" w:rsidR="00F76A63" w:rsidRDefault="00000000">
                  <w:pPr>
                    <w:adjustRightInd w:val="0"/>
                    <w:snapToGrid w:val="0"/>
                    <w:jc w:val="center"/>
                    <w:rPr>
                      <w:bCs/>
                      <w:szCs w:val="21"/>
                    </w:rPr>
                  </w:pPr>
                  <w:r>
                    <w:rPr>
                      <w:bCs/>
                      <w:szCs w:val="21"/>
                    </w:rPr>
                    <w:t>6</w:t>
                  </w:r>
                </w:p>
              </w:tc>
              <w:tc>
                <w:tcPr>
                  <w:tcW w:w="3260" w:type="dxa"/>
                  <w:tcBorders>
                    <w:bottom w:val="single" w:sz="12" w:space="0" w:color="auto"/>
                  </w:tcBorders>
                  <w:vAlign w:val="center"/>
                </w:tcPr>
                <w:p w14:paraId="07FE7FEF" w14:textId="77777777" w:rsidR="00F76A63" w:rsidRDefault="00000000">
                  <w:pPr>
                    <w:adjustRightInd w:val="0"/>
                    <w:snapToGrid w:val="0"/>
                    <w:jc w:val="center"/>
                    <w:rPr>
                      <w:b/>
                      <w:szCs w:val="21"/>
                    </w:rPr>
                  </w:pPr>
                  <w:r>
                    <w:rPr>
                      <w:spacing w:val="-3"/>
                      <w:szCs w:val="21"/>
                    </w:rPr>
                    <w:t>建立健全环境监测监控体系。开展包括环境空气，地表水、地下水、土壤、底泥等环境要素的跟踪监测，根据监测结果，结合环境影响、区域污染物削</w:t>
                  </w:r>
                  <w:r>
                    <w:rPr>
                      <w:spacing w:val="-1"/>
                      <w:szCs w:val="21"/>
                    </w:rPr>
                    <w:t>减措施实施的进度和效果适时优化《规划》。</w:t>
                  </w:r>
                </w:p>
              </w:tc>
              <w:tc>
                <w:tcPr>
                  <w:tcW w:w="2410" w:type="dxa"/>
                  <w:tcBorders>
                    <w:bottom w:val="single" w:sz="12" w:space="0" w:color="auto"/>
                  </w:tcBorders>
                  <w:vAlign w:val="center"/>
                </w:tcPr>
                <w:p w14:paraId="497EA1E8" w14:textId="77777777" w:rsidR="00F76A63" w:rsidRDefault="00000000">
                  <w:pPr>
                    <w:adjustRightInd w:val="0"/>
                    <w:snapToGrid w:val="0"/>
                    <w:jc w:val="center"/>
                    <w:rPr>
                      <w:bCs/>
                      <w:sz w:val="24"/>
                    </w:rPr>
                  </w:pPr>
                  <w:r>
                    <w:rPr>
                      <w:bCs/>
                      <w:szCs w:val="21"/>
                    </w:rPr>
                    <w:t>本项目制定例行监测计划，定期监测本项目污染源，确保达标排放。</w:t>
                  </w:r>
                </w:p>
              </w:tc>
              <w:tc>
                <w:tcPr>
                  <w:tcW w:w="977" w:type="dxa"/>
                  <w:tcBorders>
                    <w:bottom w:val="single" w:sz="12" w:space="0" w:color="auto"/>
                    <w:right w:val="nil"/>
                  </w:tcBorders>
                  <w:vAlign w:val="center"/>
                </w:tcPr>
                <w:p w14:paraId="1A160FF5" w14:textId="77777777" w:rsidR="00F76A63" w:rsidRDefault="00000000">
                  <w:pPr>
                    <w:adjustRightInd w:val="0"/>
                    <w:snapToGrid w:val="0"/>
                    <w:jc w:val="center"/>
                    <w:rPr>
                      <w:b/>
                      <w:sz w:val="24"/>
                    </w:rPr>
                  </w:pPr>
                  <w:r>
                    <w:rPr>
                      <w:bCs/>
                      <w:szCs w:val="21"/>
                    </w:rPr>
                    <w:t>符合</w:t>
                  </w:r>
                </w:p>
              </w:tc>
            </w:tr>
          </w:tbl>
          <w:p w14:paraId="4B5B1981" w14:textId="77777777" w:rsidR="00F76A63" w:rsidRDefault="00000000">
            <w:pPr>
              <w:adjustRightInd w:val="0"/>
              <w:snapToGrid w:val="0"/>
              <w:spacing w:line="500" w:lineRule="exact"/>
              <w:ind w:firstLineChars="200" w:firstLine="480"/>
              <w:rPr>
                <w:bCs/>
                <w:sz w:val="24"/>
              </w:rPr>
            </w:pPr>
            <w:r>
              <w:rPr>
                <w:bCs/>
                <w:sz w:val="24"/>
              </w:rPr>
              <w:t>综上可知，本项目建设与句容市下蜀高新技术产业园规划环评审查意见相符。</w:t>
            </w:r>
          </w:p>
        </w:tc>
      </w:tr>
      <w:bookmarkEnd w:id="16"/>
      <w:tr w:rsidR="00F76A63" w14:paraId="216BE75A" w14:textId="77777777">
        <w:tblPrEx>
          <w:tblCellMar>
            <w:left w:w="108" w:type="dxa"/>
            <w:right w:w="108" w:type="dxa"/>
          </w:tblCellMar>
        </w:tblPrEx>
        <w:trPr>
          <w:trHeight w:val="11614"/>
          <w:jc w:val="center"/>
        </w:trPr>
        <w:tc>
          <w:tcPr>
            <w:tcW w:w="841" w:type="dxa"/>
            <w:vAlign w:val="center"/>
          </w:tcPr>
          <w:p w14:paraId="510C9206" w14:textId="77777777" w:rsidR="00F76A63" w:rsidRDefault="00000000">
            <w:pPr>
              <w:autoSpaceDE w:val="0"/>
              <w:autoSpaceDN w:val="0"/>
              <w:adjustRightInd w:val="0"/>
              <w:snapToGrid w:val="0"/>
              <w:jc w:val="center"/>
              <w:rPr>
                <w:b/>
                <w:bCs/>
                <w:kern w:val="0"/>
                <w:sz w:val="24"/>
              </w:rPr>
            </w:pPr>
            <w:r>
              <w:rPr>
                <w:b/>
                <w:bCs/>
                <w:kern w:val="0"/>
                <w:sz w:val="24"/>
              </w:rPr>
              <w:lastRenderedPageBreak/>
              <w:t>其他符合性分析</w:t>
            </w:r>
          </w:p>
        </w:tc>
        <w:tc>
          <w:tcPr>
            <w:tcW w:w="8029" w:type="dxa"/>
            <w:gridSpan w:val="3"/>
            <w:vAlign w:val="center"/>
          </w:tcPr>
          <w:p w14:paraId="6A4AE3A5" w14:textId="77777777" w:rsidR="00F76A63" w:rsidRDefault="00000000">
            <w:pPr>
              <w:adjustRightInd w:val="0"/>
              <w:snapToGrid w:val="0"/>
              <w:spacing w:line="500" w:lineRule="exact"/>
              <w:ind w:firstLineChars="200" w:firstLine="482"/>
              <w:rPr>
                <w:b/>
                <w:bCs/>
                <w:sz w:val="24"/>
              </w:rPr>
            </w:pPr>
            <w:r>
              <w:rPr>
                <w:b/>
                <w:bCs/>
                <w:sz w:val="24"/>
              </w:rPr>
              <w:t>一、</w:t>
            </w:r>
            <w:r>
              <w:rPr>
                <w:b/>
                <w:bCs/>
                <w:sz w:val="24"/>
              </w:rPr>
              <w:t>“</w:t>
            </w:r>
            <w:r>
              <w:rPr>
                <w:rFonts w:hint="eastAsia"/>
                <w:b/>
                <w:bCs/>
                <w:sz w:val="24"/>
              </w:rPr>
              <w:t>生</w:t>
            </w:r>
            <w:r>
              <w:rPr>
                <w:b/>
                <w:bCs/>
                <w:sz w:val="24"/>
              </w:rPr>
              <w:t>态环境分区管控</w:t>
            </w:r>
            <w:r>
              <w:rPr>
                <w:b/>
                <w:bCs/>
                <w:sz w:val="24"/>
              </w:rPr>
              <w:t>”</w:t>
            </w:r>
            <w:r>
              <w:rPr>
                <w:b/>
                <w:bCs/>
                <w:sz w:val="24"/>
              </w:rPr>
              <w:t>的相符性分析</w:t>
            </w:r>
          </w:p>
          <w:p w14:paraId="560C12B9" w14:textId="77777777" w:rsidR="00F76A63" w:rsidRDefault="00000000">
            <w:pPr>
              <w:adjustRightInd w:val="0"/>
              <w:snapToGrid w:val="0"/>
              <w:spacing w:line="500" w:lineRule="exact"/>
              <w:ind w:firstLineChars="200" w:firstLine="482"/>
              <w:rPr>
                <w:b/>
                <w:bCs/>
                <w:sz w:val="24"/>
              </w:rPr>
            </w:pPr>
            <w:r>
              <w:rPr>
                <w:b/>
                <w:bCs/>
                <w:sz w:val="24"/>
              </w:rPr>
              <w:t>1</w:t>
            </w:r>
            <w:r>
              <w:rPr>
                <w:b/>
                <w:bCs/>
                <w:sz w:val="24"/>
              </w:rPr>
              <w:t>、与生态保护红线和生态空间管控区的相符性分析</w:t>
            </w:r>
          </w:p>
          <w:p w14:paraId="28371E9F" w14:textId="77777777" w:rsidR="00F76A63" w:rsidRDefault="00000000">
            <w:pPr>
              <w:adjustRightInd w:val="0"/>
              <w:snapToGrid w:val="0"/>
              <w:spacing w:line="500" w:lineRule="exact"/>
              <w:ind w:firstLineChars="200" w:firstLine="482"/>
              <w:rPr>
                <w:b/>
                <w:bCs/>
                <w:sz w:val="24"/>
              </w:rPr>
            </w:pPr>
            <w:r>
              <w:rPr>
                <w:b/>
                <w:bCs/>
                <w:sz w:val="24"/>
              </w:rPr>
              <w:t>（</w:t>
            </w:r>
            <w:r>
              <w:rPr>
                <w:b/>
                <w:bCs/>
                <w:sz w:val="24"/>
              </w:rPr>
              <w:t>1</w:t>
            </w:r>
            <w:r>
              <w:rPr>
                <w:b/>
                <w:bCs/>
                <w:sz w:val="24"/>
              </w:rPr>
              <w:t>）生态保护红线</w:t>
            </w:r>
          </w:p>
          <w:p w14:paraId="659E8450" w14:textId="77777777" w:rsidR="00F76A63" w:rsidRDefault="00000000">
            <w:pPr>
              <w:adjustRightInd w:val="0"/>
              <w:snapToGrid w:val="0"/>
              <w:spacing w:line="500" w:lineRule="exact"/>
              <w:ind w:firstLineChars="200" w:firstLine="480"/>
              <w:rPr>
                <w:sz w:val="24"/>
              </w:rPr>
            </w:pPr>
            <w:r>
              <w:rPr>
                <w:sz w:val="24"/>
              </w:rPr>
              <w:t>根据《江苏省国家级生态保护红线规划》（苏政发</w:t>
            </w:r>
            <w:r>
              <w:rPr>
                <w:sz w:val="24"/>
              </w:rPr>
              <w:t>[2018]74</w:t>
            </w:r>
            <w:r>
              <w:rPr>
                <w:sz w:val="24"/>
              </w:rPr>
              <w:t>号），本项目不涉及江苏省国家级生态保护红线，距离本项目最近的国家级生态保护红线为扬州润扬省级湿地公园，距离项目边界约</w:t>
            </w:r>
            <w:r>
              <w:rPr>
                <w:sz w:val="24"/>
              </w:rPr>
              <w:t>11.65km</w:t>
            </w:r>
            <w:r>
              <w:rPr>
                <w:sz w:val="24"/>
              </w:rPr>
              <w:t>，因此项目建设与《江苏省国家级生态保护红线规划》相符。</w:t>
            </w:r>
          </w:p>
          <w:p w14:paraId="0D46E701" w14:textId="77777777" w:rsidR="00F76A63" w:rsidRDefault="00000000">
            <w:pPr>
              <w:adjustRightInd w:val="0"/>
              <w:snapToGrid w:val="0"/>
              <w:spacing w:line="500" w:lineRule="exact"/>
              <w:ind w:firstLineChars="200" w:firstLine="480"/>
              <w:rPr>
                <w:sz w:val="24"/>
              </w:rPr>
            </w:pPr>
            <w:r>
              <w:rPr>
                <w:sz w:val="24"/>
              </w:rPr>
              <w:t>本项目与江苏省国家级生态保护红线区域位置关系见附图</w:t>
            </w:r>
            <w:r>
              <w:rPr>
                <w:sz w:val="24"/>
              </w:rPr>
              <w:t>8</w:t>
            </w:r>
            <w:r>
              <w:rPr>
                <w:sz w:val="24"/>
              </w:rPr>
              <w:t>，项目周边国家级生态保护红线见表</w:t>
            </w:r>
            <w:r>
              <w:rPr>
                <w:sz w:val="24"/>
              </w:rPr>
              <w:t>1-3</w:t>
            </w:r>
            <w:r>
              <w:rPr>
                <w:sz w:val="24"/>
              </w:rPr>
              <w:t>。</w:t>
            </w:r>
          </w:p>
          <w:p w14:paraId="7418C117" w14:textId="77777777" w:rsidR="00F76A63" w:rsidRDefault="00000000">
            <w:pPr>
              <w:adjustRightInd w:val="0"/>
              <w:snapToGrid w:val="0"/>
              <w:spacing w:line="500" w:lineRule="exact"/>
              <w:jc w:val="center"/>
              <w:rPr>
                <w:b/>
                <w:sz w:val="24"/>
              </w:rPr>
            </w:pPr>
            <w:r>
              <w:rPr>
                <w:b/>
                <w:sz w:val="24"/>
              </w:rPr>
              <w:t>表</w:t>
            </w:r>
            <w:r>
              <w:rPr>
                <w:b/>
                <w:sz w:val="24"/>
              </w:rPr>
              <w:t xml:space="preserve">1-3  </w:t>
            </w:r>
            <w:r>
              <w:rPr>
                <w:b/>
                <w:sz w:val="24"/>
              </w:rPr>
              <w:t>项目与周边江苏省国家级生态保护红线一览表</w:t>
            </w:r>
          </w:p>
          <w:tbl>
            <w:tblPr>
              <w:tblW w:w="5000" w:type="pct"/>
              <w:jc w:val="center"/>
              <w:tblBorders>
                <w:top w:val="single" w:sz="12" w:space="0" w:color="auto"/>
                <w:bottom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054"/>
              <w:gridCol w:w="1414"/>
              <w:gridCol w:w="2195"/>
              <w:gridCol w:w="1045"/>
              <w:gridCol w:w="1105"/>
            </w:tblGrid>
            <w:tr w:rsidR="00F76A63" w14:paraId="331EB9B9" w14:textId="77777777">
              <w:trPr>
                <w:trHeight w:val="283"/>
                <w:jc w:val="center"/>
              </w:trPr>
              <w:tc>
                <w:tcPr>
                  <w:tcW w:w="1314" w:type="pct"/>
                  <w:vAlign w:val="center"/>
                </w:tcPr>
                <w:p w14:paraId="74B4843E" w14:textId="77777777" w:rsidR="00F76A63" w:rsidRDefault="00000000">
                  <w:pPr>
                    <w:jc w:val="center"/>
                    <w:rPr>
                      <w:b/>
                      <w:bCs/>
                      <w:kern w:val="28"/>
                      <w:szCs w:val="21"/>
                    </w:rPr>
                  </w:pPr>
                  <w:r>
                    <w:rPr>
                      <w:b/>
                      <w:bCs/>
                      <w:kern w:val="28"/>
                      <w:szCs w:val="21"/>
                    </w:rPr>
                    <w:t>生态保护红线名称</w:t>
                  </w:r>
                </w:p>
              </w:tc>
              <w:tc>
                <w:tcPr>
                  <w:tcW w:w="905" w:type="pct"/>
                  <w:vAlign w:val="center"/>
                </w:tcPr>
                <w:p w14:paraId="4C422626" w14:textId="77777777" w:rsidR="00F76A63" w:rsidRDefault="00000000">
                  <w:pPr>
                    <w:jc w:val="center"/>
                    <w:rPr>
                      <w:b/>
                      <w:bCs/>
                      <w:kern w:val="28"/>
                      <w:szCs w:val="21"/>
                    </w:rPr>
                  </w:pPr>
                  <w:r>
                    <w:rPr>
                      <w:b/>
                      <w:bCs/>
                      <w:kern w:val="28"/>
                      <w:szCs w:val="21"/>
                    </w:rPr>
                    <w:t>类型</w:t>
                  </w:r>
                </w:p>
              </w:tc>
              <w:tc>
                <w:tcPr>
                  <w:tcW w:w="1405" w:type="pct"/>
                  <w:vAlign w:val="center"/>
                </w:tcPr>
                <w:p w14:paraId="20BE61BD" w14:textId="77777777" w:rsidR="00F76A63" w:rsidRDefault="00000000">
                  <w:pPr>
                    <w:jc w:val="center"/>
                    <w:rPr>
                      <w:b/>
                      <w:bCs/>
                      <w:kern w:val="28"/>
                      <w:szCs w:val="21"/>
                    </w:rPr>
                  </w:pPr>
                  <w:r>
                    <w:rPr>
                      <w:b/>
                      <w:bCs/>
                      <w:kern w:val="28"/>
                      <w:szCs w:val="21"/>
                    </w:rPr>
                    <w:t>地理位置</w:t>
                  </w:r>
                </w:p>
              </w:tc>
              <w:tc>
                <w:tcPr>
                  <w:tcW w:w="669" w:type="pct"/>
                  <w:vAlign w:val="center"/>
                </w:tcPr>
                <w:p w14:paraId="42B852A5" w14:textId="77777777" w:rsidR="00F76A63" w:rsidRDefault="00000000">
                  <w:pPr>
                    <w:jc w:val="center"/>
                    <w:rPr>
                      <w:b/>
                      <w:bCs/>
                      <w:kern w:val="28"/>
                      <w:szCs w:val="21"/>
                    </w:rPr>
                  </w:pPr>
                  <w:r>
                    <w:rPr>
                      <w:b/>
                      <w:bCs/>
                      <w:kern w:val="28"/>
                      <w:szCs w:val="21"/>
                    </w:rPr>
                    <w:t>面积（平方公里）</w:t>
                  </w:r>
                </w:p>
              </w:tc>
              <w:tc>
                <w:tcPr>
                  <w:tcW w:w="708" w:type="pct"/>
                  <w:vAlign w:val="center"/>
                </w:tcPr>
                <w:p w14:paraId="34476C9E" w14:textId="77777777" w:rsidR="00F76A63" w:rsidRDefault="00000000">
                  <w:pPr>
                    <w:jc w:val="center"/>
                    <w:rPr>
                      <w:b/>
                      <w:bCs/>
                      <w:kern w:val="28"/>
                      <w:szCs w:val="21"/>
                    </w:rPr>
                  </w:pPr>
                  <w:r>
                    <w:rPr>
                      <w:b/>
                      <w:bCs/>
                      <w:kern w:val="28"/>
                      <w:szCs w:val="21"/>
                    </w:rPr>
                    <w:t>相对位置及距离</w:t>
                  </w:r>
                </w:p>
              </w:tc>
            </w:tr>
            <w:tr w:rsidR="00F76A63" w14:paraId="23DB6C97" w14:textId="77777777">
              <w:trPr>
                <w:trHeight w:val="283"/>
                <w:jc w:val="center"/>
              </w:trPr>
              <w:tc>
                <w:tcPr>
                  <w:tcW w:w="1314" w:type="pct"/>
                  <w:vAlign w:val="center"/>
                </w:tcPr>
                <w:p w14:paraId="3CC7BD42" w14:textId="77777777" w:rsidR="00F76A63" w:rsidRDefault="00000000">
                  <w:pPr>
                    <w:jc w:val="center"/>
                    <w:rPr>
                      <w:bCs/>
                      <w:kern w:val="28"/>
                      <w:szCs w:val="21"/>
                    </w:rPr>
                  </w:pPr>
                  <w:r>
                    <w:rPr>
                      <w:bCs/>
                      <w:kern w:val="28"/>
                      <w:szCs w:val="21"/>
                    </w:rPr>
                    <w:t>宝华山国家级森林公园</w:t>
                  </w:r>
                </w:p>
              </w:tc>
              <w:tc>
                <w:tcPr>
                  <w:tcW w:w="905" w:type="pct"/>
                  <w:vAlign w:val="center"/>
                </w:tcPr>
                <w:p w14:paraId="55B458A7" w14:textId="77777777" w:rsidR="00F76A63" w:rsidRDefault="00000000">
                  <w:pPr>
                    <w:jc w:val="center"/>
                    <w:rPr>
                      <w:bCs/>
                      <w:kern w:val="28"/>
                      <w:szCs w:val="21"/>
                    </w:rPr>
                  </w:pPr>
                  <w:r>
                    <w:rPr>
                      <w:bCs/>
                      <w:kern w:val="28"/>
                      <w:szCs w:val="21"/>
                    </w:rPr>
                    <w:t>森林公园的生态保育区和核心景观区</w:t>
                  </w:r>
                </w:p>
              </w:tc>
              <w:tc>
                <w:tcPr>
                  <w:tcW w:w="1405" w:type="pct"/>
                  <w:vAlign w:val="center"/>
                </w:tcPr>
                <w:p w14:paraId="02B9EA0B" w14:textId="77777777" w:rsidR="00F76A63" w:rsidRDefault="00000000">
                  <w:pPr>
                    <w:jc w:val="center"/>
                    <w:rPr>
                      <w:bCs/>
                      <w:kern w:val="28"/>
                      <w:szCs w:val="21"/>
                    </w:rPr>
                  </w:pPr>
                  <w:r>
                    <w:rPr>
                      <w:bCs/>
                      <w:kern w:val="28"/>
                      <w:szCs w:val="21"/>
                    </w:rPr>
                    <w:t>宝华山国家级森林公园总体规划中的生态保育区和核心景观区范围</w:t>
                  </w:r>
                </w:p>
              </w:tc>
              <w:tc>
                <w:tcPr>
                  <w:tcW w:w="669" w:type="pct"/>
                  <w:vAlign w:val="center"/>
                </w:tcPr>
                <w:p w14:paraId="315466A3" w14:textId="77777777" w:rsidR="00F76A63" w:rsidRDefault="00000000">
                  <w:pPr>
                    <w:jc w:val="center"/>
                    <w:rPr>
                      <w:bCs/>
                      <w:kern w:val="28"/>
                      <w:szCs w:val="21"/>
                    </w:rPr>
                  </w:pPr>
                  <w:r>
                    <w:rPr>
                      <w:bCs/>
                      <w:kern w:val="28"/>
                      <w:szCs w:val="21"/>
                    </w:rPr>
                    <w:t>17.00</w:t>
                  </w:r>
                </w:p>
              </w:tc>
              <w:tc>
                <w:tcPr>
                  <w:tcW w:w="708" w:type="pct"/>
                  <w:vAlign w:val="center"/>
                </w:tcPr>
                <w:p w14:paraId="0DF24F5D" w14:textId="77777777" w:rsidR="00F76A63" w:rsidRDefault="00000000">
                  <w:pPr>
                    <w:jc w:val="center"/>
                    <w:rPr>
                      <w:bCs/>
                      <w:kern w:val="28"/>
                      <w:szCs w:val="21"/>
                    </w:rPr>
                  </w:pPr>
                  <w:r>
                    <w:rPr>
                      <w:bCs/>
                      <w:kern w:val="28"/>
                      <w:szCs w:val="21"/>
                    </w:rPr>
                    <w:t>西南，</w:t>
                  </w:r>
                  <w:r>
                    <w:rPr>
                      <w:bCs/>
                      <w:kern w:val="28"/>
                      <w:szCs w:val="21"/>
                    </w:rPr>
                    <w:t>13.7km</w:t>
                  </w:r>
                </w:p>
              </w:tc>
            </w:tr>
            <w:tr w:rsidR="00F76A63" w14:paraId="39DB4678" w14:textId="77777777">
              <w:trPr>
                <w:trHeight w:val="283"/>
                <w:jc w:val="center"/>
              </w:trPr>
              <w:tc>
                <w:tcPr>
                  <w:tcW w:w="1314" w:type="pct"/>
                  <w:vAlign w:val="center"/>
                </w:tcPr>
                <w:p w14:paraId="33E1B379" w14:textId="77777777" w:rsidR="00F76A63" w:rsidRDefault="00000000">
                  <w:pPr>
                    <w:jc w:val="center"/>
                    <w:rPr>
                      <w:bCs/>
                      <w:kern w:val="28"/>
                      <w:szCs w:val="21"/>
                    </w:rPr>
                  </w:pPr>
                  <w:r>
                    <w:rPr>
                      <w:bCs/>
                      <w:kern w:val="28"/>
                      <w:szCs w:val="21"/>
                    </w:rPr>
                    <w:t>扬州润扬省级湿地公园</w:t>
                  </w:r>
                </w:p>
              </w:tc>
              <w:tc>
                <w:tcPr>
                  <w:tcW w:w="905" w:type="pct"/>
                  <w:vAlign w:val="center"/>
                </w:tcPr>
                <w:p w14:paraId="74AF01E5" w14:textId="77777777" w:rsidR="00F76A63" w:rsidRDefault="00000000">
                  <w:pPr>
                    <w:jc w:val="center"/>
                    <w:rPr>
                      <w:bCs/>
                      <w:kern w:val="28"/>
                      <w:szCs w:val="21"/>
                    </w:rPr>
                  </w:pPr>
                  <w:r>
                    <w:rPr>
                      <w:bCs/>
                      <w:kern w:val="28"/>
                      <w:szCs w:val="21"/>
                    </w:rPr>
                    <w:t>湿地公园的湿地保育区和恢复重建区</w:t>
                  </w:r>
                </w:p>
              </w:tc>
              <w:tc>
                <w:tcPr>
                  <w:tcW w:w="1405" w:type="pct"/>
                  <w:vAlign w:val="center"/>
                </w:tcPr>
                <w:p w14:paraId="78E89F54" w14:textId="77777777" w:rsidR="00F76A63" w:rsidRDefault="00000000">
                  <w:pPr>
                    <w:jc w:val="center"/>
                    <w:rPr>
                      <w:bCs/>
                      <w:kern w:val="28"/>
                      <w:szCs w:val="21"/>
                    </w:rPr>
                  </w:pPr>
                  <w:r>
                    <w:rPr>
                      <w:bCs/>
                      <w:kern w:val="28"/>
                      <w:szCs w:val="21"/>
                    </w:rPr>
                    <w:t>扬州润扬省级湿地公园总体规划中的湿地保育区和恢复重建区范围</w:t>
                  </w:r>
                </w:p>
              </w:tc>
              <w:tc>
                <w:tcPr>
                  <w:tcW w:w="669" w:type="pct"/>
                  <w:vAlign w:val="center"/>
                </w:tcPr>
                <w:p w14:paraId="0F356483" w14:textId="77777777" w:rsidR="00F76A63" w:rsidRDefault="00000000">
                  <w:pPr>
                    <w:jc w:val="center"/>
                    <w:rPr>
                      <w:bCs/>
                      <w:kern w:val="28"/>
                      <w:szCs w:val="21"/>
                    </w:rPr>
                  </w:pPr>
                  <w:r>
                    <w:rPr>
                      <w:bCs/>
                      <w:kern w:val="28"/>
                      <w:szCs w:val="21"/>
                    </w:rPr>
                    <w:t>2.31</w:t>
                  </w:r>
                </w:p>
              </w:tc>
              <w:tc>
                <w:tcPr>
                  <w:tcW w:w="708" w:type="pct"/>
                  <w:vAlign w:val="center"/>
                </w:tcPr>
                <w:p w14:paraId="0E5DA6F9" w14:textId="77777777" w:rsidR="00F76A63" w:rsidRDefault="00000000">
                  <w:pPr>
                    <w:jc w:val="center"/>
                    <w:rPr>
                      <w:bCs/>
                      <w:kern w:val="28"/>
                      <w:szCs w:val="21"/>
                    </w:rPr>
                  </w:pPr>
                  <w:r>
                    <w:rPr>
                      <w:bCs/>
                      <w:kern w:val="28"/>
                      <w:szCs w:val="21"/>
                    </w:rPr>
                    <w:t>东北，</w:t>
                  </w:r>
                  <w:r>
                    <w:rPr>
                      <w:bCs/>
                      <w:kern w:val="28"/>
                      <w:szCs w:val="21"/>
                    </w:rPr>
                    <w:t>11.65km</w:t>
                  </w:r>
                </w:p>
              </w:tc>
            </w:tr>
          </w:tbl>
          <w:p w14:paraId="2C2B4349" w14:textId="77777777" w:rsidR="00F76A63" w:rsidRDefault="00000000">
            <w:pPr>
              <w:adjustRightInd w:val="0"/>
              <w:snapToGrid w:val="0"/>
              <w:spacing w:line="500" w:lineRule="exact"/>
              <w:ind w:firstLineChars="200" w:firstLine="482"/>
              <w:rPr>
                <w:b/>
                <w:bCs/>
                <w:sz w:val="24"/>
              </w:rPr>
            </w:pPr>
            <w:r>
              <w:rPr>
                <w:b/>
                <w:bCs/>
                <w:sz w:val="24"/>
              </w:rPr>
              <w:t>（</w:t>
            </w:r>
            <w:r>
              <w:rPr>
                <w:b/>
                <w:bCs/>
                <w:sz w:val="24"/>
              </w:rPr>
              <w:t>2</w:t>
            </w:r>
            <w:r>
              <w:rPr>
                <w:b/>
                <w:bCs/>
                <w:sz w:val="24"/>
              </w:rPr>
              <w:t>）生态空间管控区</w:t>
            </w:r>
          </w:p>
          <w:p w14:paraId="12C10B42" w14:textId="77777777" w:rsidR="00F76A63" w:rsidRDefault="00000000">
            <w:pPr>
              <w:adjustRightInd w:val="0"/>
              <w:snapToGrid w:val="0"/>
              <w:spacing w:line="500" w:lineRule="exact"/>
              <w:ind w:firstLineChars="200" w:firstLine="480"/>
              <w:rPr>
                <w:sz w:val="24"/>
              </w:rPr>
            </w:pPr>
            <w:r>
              <w:rPr>
                <w:sz w:val="24"/>
              </w:rPr>
              <w:t>根据《江苏省生态空间管控区域规划》（苏政发</w:t>
            </w:r>
            <w:r>
              <w:rPr>
                <w:sz w:val="24"/>
              </w:rPr>
              <w:t>[2020]1</w:t>
            </w:r>
            <w:r>
              <w:rPr>
                <w:sz w:val="24"/>
              </w:rPr>
              <w:t>号），本项目不涉及江苏省生态空间管控区域，距离本项目最近的生态空间管控区域为长江（丹徒区）重要湿地，距离项目边界约</w:t>
            </w:r>
            <w:r>
              <w:rPr>
                <w:sz w:val="24"/>
              </w:rPr>
              <w:t>400</w:t>
            </w:r>
            <w:r>
              <w:rPr>
                <w:sz w:val="24"/>
              </w:rPr>
              <w:t>米，因此项目建设与《省政府关于印发江苏省生态空间管控区域规划的通知》相符。</w:t>
            </w:r>
          </w:p>
          <w:p w14:paraId="12D99E3F" w14:textId="77777777" w:rsidR="00F76A63" w:rsidRDefault="00000000">
            <w:pPr>
              <w:adjustRightInd w:val="0"/>
              <w:snapToGrid w:val="0"/>
              <w:spacing w:line="500" w:lineRule="exact"/>
              <w:ind w:firstLineChars="200" w:firstLine="480"/>
              <w:rPr>
                <w:sz w:val="24"/>
              </w:rPr>
            </w:pPr>
            <w:r>
              <w:rPr>
                <w:sz w:val="24"/>
              </w:rPr>
              <w:t>本项目与江苏省生态空间管控区域位置关系见附图</w:t>
            </w:r>
            <w:r>
              <w:rPr>
                <w:sz w:val="24"/>
              </w:rPr>
              <w:t>7</w:t>
            </w:r>
            <w:r>
              <w:rPr>
                <w:sz w:val="24"/>
              </w:rPr>
              <w:t>，项目周边江苏省生态空间管控区域见表</w:t>
            </w:r>
            <w:r>
              <w:rPr>
                <w:sz w:val="24"/>
              </w:rPr>
              <w:t>1-4</w:t>
            </w:r>
            <w:r>
              <w:rPr>
                <w:sz w:val="24"/>
              </w:rPr>
              <w:t>。</w:t>
            </w:r>
          </w:p>
          <w:p w14:paraId="4198A45D" w14:textId="77777777" w:rsidR="00F76A63" w:rsidRDefault="00000000">
            <w:pPr>
              <w:adjustRightInd w:val="0"/>
              <w:snapToGrid w:val="0"/>
              <w:spacing w:line="500" w:lineRule="exact"/>
              <w:jc w:val="center"/>
              <w:rPr>
                <w:b/>
                <w:sz w:val="24"/>
              </w:rPr>
            </w:pPr>
            <w:r>
              <w:rPr>
                <w:b/>
                <w:sz w:val="24"/>
              </w:rPr>
              <w:t>表</w:t>
            </w:r>
            <w:r>
              <w:rPr>
                <w:b/>
                <w:sz w:val="24"/>
              </w:rPr>
              <w:t xml:space="preserve">1-4  </w:t>
            </w:r>
            <w:r>
              <w:rPr>
                <w:b/>
                <w:sz w:val="24"/>
              </w:rPr>
              <w:t>项目与周边生态空间管控区域位置关系</w:t>
            </w:r>
          </w:p>
          <w:tbl>
            <w:tblPr>
              <w:tblW w:w="5000" w:type="pct"/>
              <w:jc w:val="center"/>
              <w:tblBorders>
                <w:top w:val="single" w:sz="12" w:space="0" w:color="auto"/>
                <w:bottom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82"/>
              <w:gridCol w:w="676"/>
              <w:gridCol w:w="1055"/>
              <w:gridCol w:w="1922"/>
              <w:gridCol w:w="952"/>
              <w:gridCol w:w="655"/>
              <w:gridCol w:w="733"/>
              <w:gridCol w:w="638"/>
            </w:tblGrid>
            <w:tr w:rsidR="00F76A63" w14:paraId="45DBFAD1" w14:textId="77777777">
              <w:trPr>
                <w:trHeight w:val="283"/>
                <w:jc w:val="center"/>
              </w:trPr>
              <w:tc>
                <w:tcPr>
                  <w:tcW w:w="757" w:type="pct"/>
                  <w:vMerge w:val="restart"/>
                  <w:tcBorders>
                    <w:top w:val="single" w:sz="12" w:space="0" w:color="auto"/>
                    <w:left w:val="nil"/>
                    <w:bottom w:val="single" w:sz="6" w:space="0" w:color="auto"/>
                    <w:right w:val="single" w:sz="6" w:space="0" w:color="auto"/>
                  </w:tcBorders>
                  <w:vAlign w:val="center"/>
                </w:tcPr>
                <w:p w14:paraId="17E65695" w14:textId="77777777" w:rsidR="00F76A63" w:rsidRDefault="00000000">
                  <w:pPr>
                    <w:adjustRightInd w:val="0"/>
                    <w:snapToGrid w:val="0"/>
                    <w:jc w:val="center"/>
                    <w:rPr>
                      <w:b/>
                      <w:bCs/>
                      <w:szCs w:val="21"/>
                    </w:rPr>
                  </w:pPr>
                  <w:r>
                    <w:rPr>
                      <w:b/>
                      <w:bCs/>
                      <w:szCs w:val="21"/>
                    </w:rPr>
                    <w:t>生态空间保护区域名称</w:t>
                  </w:r>
                </w:p>
              </w:tc>
              <w:tc>
                <w:tcPr>
                  <w:tcW w:w="433" w:type="pct"/>
                  <w:vMerge w:val="restart"/>
                  <w:tcBorders>
                    <w:top w:val="single" w:sz="12" w:space="0" w:color="auto"/>
                    <w:left w:val="single" w:sz="6" w:space="0" w:color="auto"/>
                    <w:bottom w:val="single" w:sz="6" w:space="0" w:color="auto"/>
                    <w:right w:val="single" w:sz="6" w:space="0" w:color="auto"/>
                  </w:tcBorders>
                  <w:vAlign w:val="center"/>
                </w:tcPr>
                <w:p w14:paraId="7A9460F3" w14:textId="77777777" w:rsidR="00F76A63" w:rsidRDefault="00000000">
                  <w:pPr>
                    <w:adjustRightInd w:val="0"/>
                    <w:snapToGrid w:val="0"/>
                    <w:jc w:val="center"/>
                    <w:rPr>
                      <w:b/>
                      <w:bCs/>
                      <w:szCs w:val="21"/>
                    </w:rPr>
                  </w:pPr>
                  <w:r>
                    <w:rPr>
                      <w:b/>
                      <w:bCs/>
                      <w:szCs w:val="21"/>
                    </w:rPr>
                    <w:t>主导生态功能</w:t>
                  </w:r>
                </w:p>
              </w:tc>
              <w:tc>
                <w:tcPr>
                  <w:tcW w:w="1905" w:type="pct"/>
                  <w:gridSpan w:val="2"/>
                  <w:tcBorders>
                    <w:top w:val="single" w:sz="12" w:space="0" w:color="auto"/>
                    <w:left w:val="single" w:sz="6" w:space="0" w:color="auto"/>
                    <w:bottom w:val="single" w:sz="6" w:space="0" w:color="auto"/>
                    <w:right w:val="single" w:sz="6" w:space="0" w:color="auto"/>
                  </w:tcBorders>
                  <w:vAlign w:val="center"/>
                </w:tcPr>
                <w:p w14:paraId="29584DC7" w14:textId="77777777" w:rsidR="00F76A63" w:rsidRDefault="00000000">
                  <w:pPr>
                    <w:adjustRightInd w:val="0"/>
                    <w:snapToGrid w:val="0"/>
                    <w:jc w:val="center"/>
                    <w:rPr>
                      <w:b/>
                      <w:bCs/>
                      <w:szCs w:val="21"/>
                    </w:rPr>
                  </w:pPr>
                  <w:r>
                    <w:rPr>
                      <w:b/>
                      <w:bCs/>
                      <w:szCs w:val="21"/>
                    </w:rPr>
                    <w:t>范围</w:t>
                  </w:r>
                </w:p>
              </w:tc>
              <w:tc>
                <w:tcPr>
                  <w:tcW w:w="1497" w:type="pct"/>
                  <w:gridSpan w:val="3"/>
                  <w:tcBorders>
                    <w:top w:val="single" w:sz="12" w:space="0" w:color="auto"/>
                    <w:left w:val="single" w:sz="6" w:space="0" w:color="auto"/>
                    <w:bottom w:val="single" w:sz="6" w:space="0" w:color="auto"/>
                    <w:right w:val="single" w:sz="6" w:space="0" w:color="auto"/>
                  </w:tcBorders>
                  <w:vAlign w:val="center"/>
                </w:tcPr>
                <w:p w14:paraId="3BAC9CBE" w14:textId="77777777" w:rsidR="00F76A63" w:rsidRDefault="00000000">
                  <w:pPr>
                    <w:adjustRightInd w:val="0"/>
                    <w:snapToGrid w:val="0"/>
                    <w:jc w:val="center"/>
                    <w:rPr>
                      <w:b/>
                      <w:bCs/>
                      <w:szCs w:val="21"/>
                    </w:rPr>
                  </w:pPr>
                  <w:r>
                    <w:rPr>
                      <w:b/>
                      <w:bCs/>
                      <w:szCs w:val="21"/>
                    </w:rPr>
                    <w:t>面积（平方公里）</w:t>
                  </w:r>
                </w:p>
              </w:tc>
              <w:tc>
                <w:tcPr>
                  <w:tcW w:w="409" w:type="pct"/>
                  <w:vMerge w:val="restart"/>
                  <w:tcBorders>
                    <w:top w:val="single" w:sz="12" w:space="0" w:color="auto"/>
                    <w:left w:val="single" w:sz="6" w:space="0" w:color="auto"/>
                    <w:bottom w:val="single" w:sz="6" w:space="0" w:color="auto"/>
                    <w:right w:val="nil"/>
                  </w:tcBorders>
                  <w:vAlign w:val="center"/>
                </w:tcPr>
                <w:p w14:paraId="6805E981" w14:textId="77777777" w:rsidR="00F76A63" w:rsidRDefault="00000000">
                  <w:pPr>
                    <w:adjustRightInd w:val="0"/>
                    <w:snapToGrid w:val="0"/>
                    <w:jc w:val="center"/>
                    <w:rPr>
                      <w:b/>
                      <w:bCs/>
                      <w:szCs w:val="21"/>
                    </w:rPr>
                  </w:pPr>
                  <w:r>
                    <w:rPr>
                      <w:b/>
                      <w:bCs/>
                      <w:szCs w:val="21"/>
                    </w:rPr>
                    <w:t>相对位置及距离</w:t>
                  </w:r>
                </w:p>
              </w:tc>
            </w:tr>
            <w:tr w:rsidR="00F76A63" w14:paraId="62184378" w14:textId="77777777">
              <w:trPr>
                <w:trHeight w:val="283"/>
                <w:jc w:val="center"/>
              </w:trPr>
              <w:tc>
                <w:tcPr>
                  <w:tcW w:w="1089" w:type="dxa"/>
                  <w:vMerge/>
                  <w:tcBorders>
                    <w:top w:val="single" w:sz="12" w:space="0" w:color="auto"/>
                    <w:left w:val="nil"/>
                    <w:bottom w:val="single" w:sz="6" w:space="0" w:color="auto"/>
                    <w:right w:val="single" w:sz="6" w:space="0" w:color="auto"/>
                  </w:tcBorders>
                  <w:vAlign w:val="center"/>
                </w:tcPr>
                <w:p w14:paraId="2331EE8E" w14:textId="77777777" w:rsidR="00F76A63" w:rsidRDefault="00F76A63">
                  <w:pPr>
                    <w:adjustRightInd w:val="0"/>
                    <w:snapToGrid w:val="0"/>
                    <w:jc w:val="center"/>
                    <w:rPr>
                      <w:b/>
                      <w:bCs/>
                      <w:szCs w:val="21"/>
                    </w:rPr>
                  </w:pPr>
                </w:p>
              </w:tc>
              <w:tc>
                <w:tcPr>
                  <w:tcW w:w="621" w:type="dxa"/>
                  <w:vMerge/>
                  <w:tcBorders>
                    <w:top w:val="single" w:sz="12" w:space="0" w:color="auto"/>
                    <w:left w:val="single" w:sz="6" w:space="0" w:color="auto"/>
                    <w:bottom w:val="single" w:sz="6" w:space="0" w:color="auto"/>
                    <w:right w:val="single" w:sz="6" w:space="0" w:color="auto"/>
                  </w:tcBorders>
                  <w:vAlign w:val="center"/>
                </w:tcPr>
                <w:p w14:paraId="4D999421" w14:textId="77777777" w:rsidR="00F76A63" w:rsidRDefault="00F76A63">
                  <w:pPr>
                    <w:adjustRightInd w:val="0"/>
                    <w:snapToGrid w:val="0"/>
                    <w:jc w:val="center"/>
                    <w:rPr>
                      <w:b/>
                      <w:bCs/>
                      <w:szCs w:val="21"/>
                    </w:rPr>
                  </w:pPr>
                </w:p>
              </w:tc>
              <w:tc>
                <w:tcPr>
                  <w:tcW w:w="675" w:type="pct"/>
                  <w:tcBorders>
                    <w:top w:val="single" w:sz="6" w:space="0" w:color="auto"/>
                    <w:left w:val="single" w:sz="6" w:space="0" w:color="auto"/>
                    <w:bottom w:val="single" w:sz="6" w:space="0" w:color="auto"/>
                    <w:right w:val="single" w:sz="6" w:space="0" w:color="auto"/>
                  </w:tcBorders>
                  <w:vAlign w:val="center"/>
                </w:tcPr>
                <w:p w14:paraId="17D487F6" w14:textId="77777777" w:rsidR="00F76A63" w:rsidRDefault="00000000">
                  <w:pPr>
                    <w:adjustRightInd w:val="0"/>
                    <w:snapToGrid w:val="0"/>
                    <w:jc w:val="center"/>
                    <w:rPr>
                      <w:b/>
                      <w:bCs/>
                      <w:szCs w:val="21"/>
                    </w:rPr>
                  </w:pPr>
                  <w:r>
                    <w:rPr>
                      <w:b/>
                      <w:bCs/>
                      <w:szCs w:val="21"/>
                    </w:rPr>
                    <w:t>国家级生态保护红线范围</w:t>
                  </w:r>
                </w:p>
              </w:tc>
              <w:tc>
                <w:tcPr>
                  <w:tcW w:w="1230" w:type="pct"/>
                  <w:tcBorders>
                    <w:top w:val="single" w:sz="6" w:space="0" w:color="auto"/>
                    <w:left w:val="single" w:sz="6" w:space="0" w:color="auto"/>
                    <w:bottom w:val="single" w:sz="6" w:space="0" w:color="auto"/>
                    <w:right w:val="single" w:sz="6" w:space="0" w:color="auto"/>
                  </w:tcBorders>
                  <w:vAlign w:val="center"/>
                </w:tcPr>
                <w:p w14:paraId="4F70B744" w14:textId="77777777" w:rsidR="00F76A63" w:rsidRDefault="00000000">
                  <w:pPr>
                    <w:adjustRightInd w:val="0"/>
                    <w:snapToGrid w:val="0"/>
                    <w:jc w:val="center"/>
                    <w:rPr>
                      <w:b/>
                      <w:bCs/>
                      <w:szCs w:val="21"/>
                    </w:rPr>
                  </w:pPr>
                  <w:r>
                    <w:rPr>
                      <w:b/>
                      <w:bCs/>
                      <w:szCs w:val="21"/>
                    </w:rPr>
                    <w:t>生态空间管控区域范围</w:t>
                  </w:r>
                </w:p>
              </w:tc>
              <w:tc>
                <w:tcPr>
                  <w:tcW w:w="609" w:type="pct"/>
                  <w:tcBorders>
                    <w:top w:val="single" w:sz="6" w:space="0" w:color="auto"/>
                    <w:left w:val="single" w:sz="6" w:space="0" w:color="auto"/>
                    <w:bottom w:val="single" w:sz="6" w:space="0" w:color="auto"/>
                    <w:right w:val="single" w:sz="6" w:space="0" w:color="auto"/>
                  </w:tcBorders>
                  <w:vAlign w:val="center"/>
                </w:tcPr>
                <w:p w14:paraId="32338FCF" w14:textId="77777777" w:rsidR="00F76A63" w:rsidRDefault="00000000">
                  <w:pPr>
                    <w:adjustRightInd w:val="0"/>
                    <w:snapToGrid w:val="0"/>
                    <w:jc w:val="center"/>
                    <w:rPr>
                      <w:b/>
                      <w:bCs/>
                      <w:szCs w:val="21"/>
                    </w:rPr>
                  </w:pPr>
                  <w:r>
                    <w:rPr>
                      <w:b/>
                      <w:bCs/>
                      <w:szCs w:val="21"/>
                    </w:rPr>
                    <w:t>国家级生态保护红线面积</w:t>
                  </w:r>
                </w:p>
              </w:tc>
              <w:tc>
                <w:tcPr>
                  <w:tcW w:w="419" w:type="pct"/>
                  <w:tcBorders>
                    <w:top w:val="single" w:sz="6" w:space="0" w:color="auto"/>
                    <w:left w:val="single" w:sz="6" w:space="0" w:color="auto"/>
                    <w:bottom w:val="single" w:sz="6" w:space="0" w:color="auto"/>
                    <w:right w:val="single" w:sz="6" w:space="0" w:color="auto"/>
                  </w:tcBorders>
                  <w:vAlign w:val="center"/>
                </w:tcPr>
                <w:p w14:paraId="7F20C572" w14:textId="77777777" w:rsidR="00F76A63" w:rsidRDefault="00000000">
                  <w:pPr>
                    <w:adjustRightInd w:val="0"/>
                    <w:snapToGrid w:val="0"/>
                    <w:jc w:val="center"/>
                    <w:rPr>
                      <w:b/>
                      <w:bCs/>
                      <w:szCs w:val="21"/>
                    </w:rPr>
                  </w:pPr>
                  <w:r>
                    <w:rPr>
                      <w:b/>
                      <w:bCs/>
                      <w:szCs w:val="21"/>
                    </w:rPr>
                    <w:t>生态空间管控区域面积</w:t>
                  </w:r>
                </w:p>
              </w:tc>
              <w:tc>
                <w:tcPr>
                  <w:tcW w:w="469" w:type="pct"/>
                  <w:tcBorders>
                    <w:top w:val="single" w:sz="6" w:space="0" w:color="auto"/>
                    <w:left w:val="single" w:sz="6" w:space="0" w:color="auto"/>
                    <w:bottom w:val="single" w:sz="6" w:space="0" w:color="auto"/>
                    <w:right w:val="single" w:sz="6" w:space="0" w:color="auto"/>
                  </w:tcBorders>
                  <w:vAlign w:val="center"/>
                </w:tcPr>
                <w:p w14:paraId="2743B109" w14:textId="77777777" w:rsidR="00F76A63" w:rsidRDefault="00000000">
                  <w:pPr>
                    <w:adjustRightInd w:val="0"/>
                    <w:snapToGrid w:val="0"/>
                    <w:jc w:val="center"/>
                    <w:rPr>
                      <w:b/>
                      <w:bCs/>
                      <w:szCs w:val="21"/>
                    </w:rPr>
                  </w:pPr>
                  <w:r>
                    <w:rPr>
                      <w:b/>
                      <w:bCs/>
                      <w:szCs w:val="21"/>
                    </w:rPr>
                    <w:t>总面积</w:t>
                  </w:r>
                </w:p>
              </w:tc>
              <w:tc>
                <w:tcPr>
                  <w:tcW w:w="640" w:type="dxa"/>
                  <w:vMerge/>
                  <w:tcBorders>
                    <w:top w:val="single" w:sz="12" w:space="0" w:color="auto"/>
                    <w:left w:val="single" w:sz="6" w:space="0" w:color="auto"/>
                    <w:bottom w:val="single" w:sz="6" w:space="0" w:color="auto"/>
                    <w:right w:val="nil"/>
                  </w:tcBorders>
                  <w:vAlign w:val="center"/>
                </w:tcPr>
                <w:p w14:paraId="6AEB5B3E" w14:textId="77777777" w:rsidR="00F76A63" w:rsidRDefault="00F76A63">
                  <w:pPr>
                    <w:adjustRightInd w:val="0"/>
                    <w:snapToGrid w:val="0"/>
                    <w:jc w:val="center"/>
                    <w:rPr>
                      <w:b/>
                      <w:bCs/>
                      <w:szCs w:val="21"/>
                    </w:rPr>
                  </w:pPr>
                </w:p>
              </w:tc>
            </w:tr>
            <w:tr w:rsidR="00F76A63" w14:paraId="7F87412B" w14:textId="77777777">
              <w:trPr>
                <w:trHeight w:val="283"/>
                <w:jc w:val="center"/>
              </w:trPr>
              <w:tc>
                <w:tcPr>
                  <w:tcW w:w="757" w:type="pct"/>
                  <w:tcBorders>
                    <w:top w:val="single" w:sz="6" w:space="0" w:color="auto"/>
                    <w:left w:val="nil"/>
                    <w:bottom w:val="single" w:sz="6" w:space="0" w:color="auto"/>
                    <w:right w:val="single" w:sz="6" w:space="0" w:color="auto"/>
                  </w:tcBorders>
                  <w:vAlign w:val="center"/>
                </w:tcPr>
                <w:p w14:paraId="57E14CCD" w14:textId="77777777" w:rsidR="00F76A63" w:rsidRDefault="00000000">
                  <w:pPr>
                    <w:adjustRightInd w:val="0"/>
                    <w:snapToGrid w:val="0"/>
                    <w:jc w:val="center"/>
                    <w:rPr>
                      <w:szCs w:val="21"/>
                    </w:rPr>
                  </w:pPr>
                  <w:r>
                    <w:rPr>
                      <w:szCs w:val="21"/>
                    </w:rPr>
                    <w:t>长江（丹徒</w:t>
                  </w:r>
                  <w:r>
                    <w:rPr>
                      <w:szCs w:val="21"/>
                    </w:rPr>
                    <w:lastRenderedPageBreak/>
                    <w:t>区）重要湿地</w:t>
                  </w:r>
                </w:p>
              </w:tc>
              <w:tc>
                <w:tcPr>
                  <w:tcW w:w="433" w:type="pct"/>
                  <w:tcBorders>
                    <w:top w:val="single" w:sz="6" w:space="0" w:color="auto"/>
                    <w:left w:val="single" w:sz="6" w:space="0" w:color="auto"/>
                    <w:bottom w:val="single" w:sz="6" w:space="0" w:color="auto"/>
                    <w:right w:val="single" w:sz="6" w:space="0" w:color="auto"/>
                  </w:tcBorders>
                  <w:vAlign w:val="center"/>
                </w:tcPr>
                <w:p w14:paraId="794C3820" w14:textId="77777777" w:rsidR="00F76A63" w:rsidRDefault="00000000">
                  <w:pPr>
                    <w:adjustRightInd w:val="0"/>
                    <w:snapToGrid w:val="0"/>
                    <w:jc w:val="center"/>
                    <w:rPr>
                      <w:szCs w:val="21"/>
                    </w:rPr>
                  </w:pPr>
                  <w:r>
                    <w:rPr>
                      <w:szCs w:val="21"/>
                    </w:rPr>
                    <w:lastRenderedPageBreak/>
                    <w:t>湿地</w:t>
                  </w:r>
                  <w:r>
                    <w:rPr>
                      <w:szCs w:val="21"/>
                    </w:rPr>
                    <w:lastRenderedPageBreak/>
                    <w:t>生态系统保护</w:t>
                  </w:r>
                </w:p>
              </w:tc>
              <w:tc>
                <w:tcPr>
                  <w:tcW w:w="675" w:type="pct"/>
                  <w:tcBorders>
                    <w:top w:val="single" w:sz="6" w:space="0" w:color="auto"/>
                    <w:left w:val="single" w:sz="6" w:space="0" w:color="auto"/>
                    <w:bottom w:val="single" w:sz="6" w:space="0" w:color="auto"/>
                    <w:right w:val="single" w:sz="6" w:space="0" w:color="auto"/>
                  </w:tcBorders>
                  <w:vAlign w:val="center"/>
                </w:tcPr>
                <w:p w14:paraId="7C1213CA" w14:textId="77777777" w:rsidR="00F76A63" w:rsidRDefault="00000000">
                  <w:pPr>
                    <w:adjustRightInd w:val="0"/>
                    <w:snapToGrid w:val="0"/>
                    <w:jc w:val="center"/>
                    <w:rPr>
                      <w:szCs w:val="21"/>
                    </w:rPr>
                  </w:pPr>
                  <w:r>
                    <w:rPr>
                      <w:szCs w:val="21"/>
                    </w:rPr>
                    <w:lastRenderedPageBreak/>
                    <w:t>/</w:t>
                  </w:r>
                </w:p>
              </w:tc>
              <w:tc>
                <w:tcPr>
                  <w:tcW w:w="1230" w:type="pct"/>
                  <w:tcBorders>
                    <w:top w:val="single" w:sz="6" w:space="0" w:color="auto"/>
                    <w:left w:val="single" w:sz="6" w:space="0" w:color="auto"/>
                    <w:bottom w:val="single" w:sz="6" w:space="0" w:color="auto"/>
                    <w:right w:val="single" w:sz="6" w:space="0" w:color="auto"/>
                  </w:tcBorders>
                  <w:vAlign w:val="center"/>
                </w:tcPr>
                <w:p w14:paraId="5C8E2970" w14:textId="77777777" w:rsidR="00F76A63" w:rsidRDefault="00000000">
                  <w:pPr>
                    <w:adjustRightInd w:val="0"/>
                    <w:snapToGrid w:val="0"/>
                    <w:jc w:val="center"/>
                    <w:rPr>
                      <w:szCs w:val="21"/>
                    </w:rPr>
                  </w:pPr>
                  <w:r>
                    <w:rPr>
                      <w:szCs w:val="21"/>
                    </w:rPr>
                    <w:t>共有</w:t>
                  </w:r>
                  <w:r>
                    <w:rPr>
                      <w:szCs w:val="21"/>
                    </w:rPr>
                    <w:t>3</w:t>
                  </w:r>
                  <w:r>
                    <w:rPr>
                      <w:szCs w:val="21"/>
                    </w:rPr>
                    <w:t>个片区组</w:t>
                  </w:r>
                  <w:r>
                    <w:rPr>
                      <w:szCs w:val="21"/>
                    </w:rPr>
                    <w:lastRenderedPageBreak/>
                    <w:t>成，包括世业镇片区、江心农业生态园区片区和高资街道片区</w:t>
                  </w:r>
                </w:p>
              </w:tc>
              <w:tc>
                <w:tcPr>
                  <w:tcW w:w="609" w:type="pct"/>
                  <w:tcBorders>
                    <w:top w:val="single" w:sz="6" w:space="0" w:color="auto"/>
                    <w:left w:val="single" w:sz="6" w:space="0" w:color="auto"/>
                    <w:bottom w:val="single" w:sz="6" w:space="0" w:color="auto"/>
                    <w:right w:val="single" w:sz="6" w:space="0" w:color="auto"/>
                  </w:tcBorders>
                  <w:vAlign w:val="center"/>
                </w:tcPr>
                <w:p w14:paraId="54D88DAB" w14:textId="77777777" w:rsidR="00F76A63" w:rsidRDefault="00000000">
                  <w:pPr>
                    <w:adjustRightInd w:val="0"/>
                    <w:snapToGrid w:val="0"/>
                    <w:jc w:val="center"/>
                    <w:rPr>
                      <w:szCs w:val="21"/>
                    </w:rPr>
                  </w:pPr>
                  <w:r>
                    <w:rPr>
                      <w:szCs w:val="21"/>
                    </w:rPr>
                    <w:lastRenderedPageBreak/>
                    <w:t>/</w:t>
                  </w:r>
                </w:p>
              </w:tc>
              <w:tc>
                <w:tcPr>
                  <w:tcW w:w="419" w:type="pct"/>
                  <w:tcBorders>
                    <w:top w:val="single" w:sz="6" w:space="0" w:color="auto"/>
                    <w:left w:val="single" w:sz="6" w:space="0" w:color="auto"/>
                    <w:bottom w:val="single" w:sz="6" w:space="0" w:color="auto"/>
                    <w:right w:val="single" w:sz="6" w:space="0" w:color="auto"/>
                  </w:tcBorders>
                  <w:vAlign w:val="center"/>
                </w:tcPr>
                <w:p w14:paraId="12BFCD1D" w14:textId="77777777" w:rsidR="00F76A63" w:rsidRDefault="00000000">
                  <w:pPr>
                    <w:adjustRightInd w:val="0"/>
                    <w:snapToGrid w:val="0"/>
                    <w:jc w:val="center"/>
                    <w:rPr>
                      <w:szCs w:val="21"/>
                    </w:rPr>
                  </w:pPr>
                  <w:r>
                    <w:rPr>
                      <w:szCs w:val="21"/>
                    </w:rPr>
                    <w:t>37.12</w:t>
                  </w:r>
                </w:p>
              </w:tc>
              <w:tc>
                <w:tcPr>
                  <w:tcW w:w="469" w:type="pct"/>
                  <w:tcBorders>
                    <w:top w:val="single" w:sz="6" w:space="0" w:color="auto"/>
                    <w:left w:val="single" w:sz="6" w:space="0" w:color="auto"/>
                    <w:bottom w:val="single" w:sz="6" w:space="0" w:color="auto"/>
                    <w:right w:val="single" w:sz="6" w:space="0" w:color="auto"/>
                  </w:tcBorders>
                  <w:vAlign w:val="center"/>
                </w:tcPr>
                <w:p w14:paraId="632C8BE7" w14:textId="77777777" w:rsidR="00F76A63" w:rsidRDefault="00000000">
                  <w:pPr>
                    <w:adjustRightInd w:val="0"/>
                    <w:snapToGrid w:val="0"/>
                    <w:jc w:val="center"/>
                    <w:rPr>
                      <w:szCs w:val="21"/>
                    </w:rPr>
                  </w:pPr>
                  <w:r>
                    <w:rPr>
                      <w:szCs w:val="21"/>
                    </w:rPr>
                    <w:t>37.12</w:t>
                  </w:r>
                </w:p>
              </w:tc>
              <w:tc>
                <w:tcPr>
                  <w:tcW w:w="409" w:type="pct"/>
                  <w:tcBorders>
                    <w:top w:val="single" w:sz="6" w:space="0" w:color="auto"/>
                    <w:left w:val="single" w:sz="6" w:space="0" w:color="auto"/>
                    <w:bottom w:val="single" w:sz="6" w:space="0" w:color="auto"/>
                    <w:right w:val="nil"/>
                  </w:tcBorders>
                  <w:vAlign w:val="center"/>
                </w:tcPr>
                <w:p w14:paraId="3F0009DD" w14:textId="77777777" w:rsidR="00F76A63" w:rsidRDefault="00000000">
                  <w:pPr>
                    <w:adjustRightInd w:val="0"/>
                    <w:snapToGrid w:val="0"/>
                    <w:jc w:val="center"/>
                    <w:rPr>
                      <w:szCs w:val="21"/>
                    </w:rPr>
                  </w:pPr>
                  <w:r>
                    <w:rPr>
                      <w:szCs w:val="21"/>
                    </w:rPr>
                    <w:t>东</w:t>
                  </w:r>
                  <w:r>
                    <w:rPr>
                      <w:szCs w:val="21"/>
                    </w:rPr>
                    <w:lastRenderedPageBreak/>
                    <w:t>北，</w:t>
                  </w:r>
                  <w:r>
                    <w:rPr>
                      <w:szCs w:val="21"/>
                    </w:rPr>
                    <w:t>400m</w:t>
                  </w:r>
                </w:p>
              </w:tc>
            </w:tr>
            <w:tr w:rsidR="00F76A63" w14:paraId="3AD46B1F" w14:textId="77777777">
              <w:trPr>
                <w:trHeight w:val="283"/>
                <w:jc w:val="center"/>
              </w:trPr>
              <w:tc>
                <w:tcPr>
                  <w:tcW w:w="757" w:type="pct"/>
                  <w:tcBorders>
                    <w:top w:val="single" w:sz="6" w:space="0" w:color="auto"/>
                    <w:left w:val="nil"/>
                    <w:bottom w:val="single" w:sz="6" w:space="0" w:color="auto"/>
                    <w:right w:val="single" w:sz="6" w:space="0" w:color="auto"/>
                  </w:tcBorders>
                  <w:vAlign w:val="center"/>
                </w:tcPr>
                <w:p w14:paraId="02DBFF51" w14:textId="77777777" w:rsidR="00F76A63" w:rsidRDefault="00000000">
                  <w:pPr>
                    <w:adjustRightInd w:val="0"/>
                    <w:snapToGrid w:val="0"/>
                    <w:jc w:val="center"/>
                    <w:rPr>
                      <w:szCs w:val="21"/>
                    </w:rPr>
                  </w:pPr>
                  <w:r>
                    <w:rPr>
                      <w:bCs/>
                      <w:szCs w:val="21"/>
                    </w:rPr>
                    <w:lastRenderedPageBreak/>
                    <w:t>空青山生态公益林</w:t>
                  </w:r>
                </w:p>
              </w:tc>
              <w:tc>
                <w:tcPr>
                  <w:tcW w:w="433" w:type="pct"/>
                  <w:tcBorders>
                    <w:top w:val="single" w:sz="6" w:space="0" w:color="auto"/>
                    <w:left w:val="single" w:sz="6" w:space="0" w:color="auto"/>
                    <w:bottom w:val="single" w:sz="6" w:space="0" w:color="auto"/>
                    <w:right w:val="single" w:sz="6" w:space="0" w:color="auto"/>
                  </w:tcBorders>
                  <w:vAlign w:val="center"/>
                </w:tcPr>
                <w:p w14:paraId="4CDE8118" w14:textId="77777777" w:rsidR="00F76A63" w:rsidRDefault="00000000">
                  <w:pPr>
                    <w:adjustRightInd w:val="0"/>
                    <w:snapToGrid w:val="0"/>
                    <w:jc w:val="center"/>
                    <w:rPr>
                      <w:szCs w:val="21"/>
                    </w:rPr>
                  </w:pPr>
                  <w:r>
                    <w:rPr>
                      <w:bCs/>
                      <w:szCs w:val="21"/>
                    </w:rPr>
                    <w:t>水土保持</w:t>
                  </w:r>
                </w:p>
              </w:tc>
              <w:tc>
                <w:tcPr>
                  <w:tcW w:w="675" w:type="pct"/>
                  <w:tcBorders>
                    <w:top w:val="single" w:sz="6" w:space="0" w:color="auto"/>
                    <w:left w:val="single" w:sz="6" w:space="0" w:color="auto"/>
                    <w:bottom w:val="single" w:sz="6" w:space="0" w:color="auto"/>
                    <w:right w:val="single" w:sz="6" w:space="0" w:color="auto"/>
                  </w:tcBorders>
                  <w:vAlign w:val="center"/>
                </w:tcPr>
                <w:p w14:paraId="0F0B582E" w14:textId="77777777" w:rsidR="00F76A63" w:rsidRDefault="00000000">
                  <w:pPr>
                    <w:adjustRightInd w:val="0"/>
                    <w:snapToGrid w:val="0"/>
                    <w:jc w:val="center"/>
                    <w:rPr>
                      <w:szCs w:val="21"/>
                    </w:rPr>
                  </w:pPr>
                  <w:r>
                    <w:rPr>
                      <w:szCs w:val="21"/>
                    </w:rPr>
                    <w:t>/</w:t>
                  </w:r>
                </w:p>
              </w:tc>
              <w:tc>
                <w:tcPr>
                  <w:tcW w:w="1230" w:type="pct"/>
                  <w:tcBorders>
                    <w:top w:val="single" w:sz="6" w:space="0" w:color="auto"/>
                    <w:left w:val="single" w:sz="6" w:space="0" w:color="auto"/>
                    <w:bottom w:val="single" w:sz="6" w:space="0" w:color="auto"/>
                    <w:right w:val="single" w:sz="6" w:space="0" w:color="auto"/>
                  </w:tcBorders>
                  <w:vAlign w:val="center"/>
                </w:tcPr>
                <w:p w14:paraId="41429AC0" w14:textId="77777777" w:rsidR="00F76A63" w:rsidRDefault="00000000">
                  <w:pPr>
                    <w:adjustRightInd w:val="0"/>
                    <w:snapToGrid w:val="0"/>
                    <w:jc w:val="center"/>
                    <w:rPr>
                      <w:szCs w:val="21"/>
                    </w:rPr>
                  </w:pPr>
                  <w:r>
                    <w:rPr>
                      <w:bCs/>
                      <w:szCs w:val="21"/>
                    </w:rPr>
                    <w:t>位于下蜀境内，东至下蜀与丹徒交界处，西至宝华山自然保护区南大门，南至句容林场南，北至龙王山北</w:t>
                  </w:r>
                </w:p>
              </w:tc>
              <w:tc>
                <w:tcPr>
                  <w:tcW w:w="609" w:type="pct"/>
                  <w:tcBorders>
                    <w:top w:val="single" w:sz="6" w:space="0" w:color="auto"/>
                    <w:left w:val="single" w:sz="6" w:space="0" w:color="auto"/>
                    <w:bottom w:val="single" w:sz="6" w:space="0" w:color="auto"/>
                    <w:right w:val="single" w:sz="6" w:space="0" w:color="auto"/>
                  </w:tcBorders>
                  <w:vAlign w:val="center"/>
                </w:tcPr>
                <w:p w14:paraId="3337A0E0" w14:textId="77777777" w:rsidR="00F76A63" w:rsidRDefault="00000000">
                  <w:pPr>
                    <w:adjustRightInd w:val="0"/>
                    <w:snapToGrid w:val="0"/>
                    <w:jc w:val="center"/>
                    <w:rPr>
                      <w:szCs w:val="21"/>
                    </w:rPr>
                  </w:pPr>
                  <w:r>
                    <w:rPr>
                      <w:szCs w:val="21"/>
                    </w:rPr>
                    <w:t>/</w:t>
                  </w:r>
                </w:p>
              </w:tc>
              <w:tc>
                <w:tcPr>
                  <w:tcW w:w="419" w:type="pct"/>
                  <w:tcBorders>
                    <w:top w:val="single" w:sz="6" w:space="0" w:color="auto"/>
                    <w:left w:val="single" w:sz="6" w:space="0" w:color="auto"/>
                    <w:bottom w:val="single" w:sz="6" w:space="0" w:color="auto"/>
                    <w:right w:val="single" w:sz="6" w:space="0" w:color="auto"/>
                  </w:tcBorders>
                  <w:vAlign w:val="center"/>
                </w:tcPr>
                <w:p w14:paraId="78238524" w14:textId="77777777" w:rsidR="00F76A63" w:rsidRDefault="00000000">
                  <w:pPr>
                    <w:adjustRightInd w:val="0"/>
                    <w:snapToGrid w:val="0"/>
                    <w:jc w:val="center"/>
                    <w:rPr>
                      <w:szCs w:val="21"/>
                    </w:rPr>
                  </w:pPr>
                  <w:r>
                    <w:rPr>
                      <w:szCs w:val="21"/>
                    </w:rPr>
                    <w:t>57.39</w:t>
                  </w:r>
                </w:p>
              </w:tc>
              <w:tc>
                <w:tcPr>
                  <w:tcW w:w="469" w:type="pct"/>
                  <w:tcBorders>
                    <w:top w:val="single" w:sz="6" w:space="0" w:color="auto"/>
                    <w:left w:val="single" w:sz="6" w:space="0" w:color="auto"/>
                    <w:bottom w:val="single" w:sz="6" w:space="0" w:color="auto"/>
                    <w:right w:val="single" w:sz="6" w:space="0" w:color="auto"/>
                  </w:tcBorders>
                  <w:vAlign w:val="center"/>
                </w:tcPr>
                <w:p w14:paraId="05B7B922" w14:textId="77777777" w:rsidR="00F76A63" w:rsidRDefault="00000000">
                  <w:pPr>
                    <w:adjustRightInd w:val="0"/>
                    <w:snapToGrid w:val="0"/>
                    <w:jc w:val="center"/>
                    <w:rPr>
                      <w:szCs w:val="21"/>
                    </w:rPr>
                  </w:pPr>
                  <w:r>
                    <w:rPr>
                      <w:szCs w:val="21"/>
                    </w:rPr>
                    <w:t>57.39</w:t>
                  </w:r>
                </w:p>
              </w:tc>
              <w:tc>
                <w:tcPr>
                  <w:tcW w:w="409" w:type="pct"/>
                  <w:tcBorders>
                    <w:top w:val="single" w:sz="6" w:space="0" w:color="auto"/>
                    <w:left w:val="single" w:sz="6" w:space="0" w:color="auto"/>
                    <w:bottom w:val="single" w:sz="6" w:space="0" w:color="auto"/>
                    <w:right w:val="nil"/>
                  </w:tcBorders>
                  <w:vAlign w:val="center"/>
                </w:tcPr>
                <w:p w14:paraId="7445F4FC" w14:textId="77777777" w:rsidR="00F76A63" w:rsidRDefault="00000000">
                  <w:pPr>
                    <w:adjustRightInd w:val="0"/>
                    <w:snapToGrid w:val="0"/>
                    <w:jc w:val="center"/>
                    <w:rPr>
                      <w:szCs w:val="21"/>
                    </w:rPr>
                  </w:pPr>
                  <w:r>
                    <w:rPr>
                      <w:szCs w:val="21"/>
                    </w:rPr>
                    <w:t>南，</w:t>
                  </w:r>
                  <w:r>
                    <w:rPr>
                      <w:szCs w:val="21"/>
                    </w:rPr>
                    <w:t>4800m</w:t>
                  </w:r>
                </w:p>
              </w:tc>
            </w:tr>
            <w:tr w:rsidR="00F76A63" w14:paraId="2AF42B2C" w14:textId="77777777">
              <w:trPr>
                <w:trHeight w:val="283"/>
                <w:jc w:val="center"/>
              </w:trPr>
              <w:tc>
                <w:tcPr>
                  <w:tcW w:w="757" w:type="pct"/>
                  <w:tcBorders>
                    <w:top w:val="single" w:sz="6" w:space="0" w:color="auto"/>
                    <w:left w:val="nil"/>
                    <w:bottom w:val="single" w:sz="12" w:space="0" w:color="auto"/>
                    <w:right w:val="single" w:sz="6" w:space="0" w:color="auto"/>
                  </w:tcBorders>
                  <w:vAlign w:val="center"/>
                </w:tcPr>
                <w:p w14:paraId="021E5C9B" w14:textId="77777777" w:rsidR="00F76A63" w:rsidRDefault="00000000">
                  <w:pPr>
                    <w:adjustRightInd w:val="0"/>
                    <w:snapToGrid w:val="0"/>
                    <w:jc w:val="center"/>
                    <w:rPr>
                      <w:bCs/>
                      <w:szCs w:val="21"/>
                    </w:rPr>
                  </w:pPr>
                  <w:r>
                    <w:rPr>
                      <w:bCs/>
                      <w:szCs w:val="21"/>
                    </w:rPr>
                    <w:t>青龙山生态公益林</w:t>
                  </w:r>
                </w:p>
              </w:tc>
              <w:tc>
                <w:tcPr>
                  <w:tcW w:w="433" w:type="pct"/>
                  <w:tcBorders>
                    <w:top w:val="single" w:sz="6" w:space="0" w:color="auto"/>
                    <w:left w:val="single" w:sz="6" w:space="0" w:color="auto"/>
                    <w:bottom w:val="single" w:sz="12" w:space="0" w:color="auto"/>
                    <w:right w:val="single" w:sz="6" w:space="0" w:color="auto"/>
                  </w:tcBorders>
                  <w:vAlign w:val="center"/>
                </w:tcPr>
                <w:p w14:paraId="61D35FB4" w14:textId="77777777" w:rsidR="00F76A63" w:rsidRDefault="00000000">
                  <w:pPr>
                    <w:adjustRightInd w:val="0"/>
                    <w:snapToGrid w:val="0"/>
                    <w:jc w:val="center"/>
                    <w:rPr>
                      <w:szCs w:val="21"/>
                    </w:rPr>
                  </w:pPr>
                  <w:r>
                    <w:rPr>
                      <w:bCs/>
                      <w:szCs w:val="21"/>
                    </w:rPr>
                    <w:t>水土保持</w:t>
                  </w:r>
                </w:p>
              </w:tc>
              <w:tc>
                <w:tcPr>
                  <w:tcW w:w="675" w:type="pct"/>
                  <w:tcBorders>
                    <w:top w:val="single" w:sz="6" w:space="0" w:color="auto"/>
                    <w:left w:val="single" w:sz="6" w:space="0" w:color="auto"/>
                    <w:bottom w:val="single" w:sz="12" w:space="0" w:color="auto"/>
                    <w:right w:val="single" w:sz="6" w:space="0" w:color="auto"/>
                  </w:tcBorders>
                  <w:vAlign w:val="center"/>
                </w:tcPr>
                <w:p w14:paraId="050B5B7B" w14:textId="77777777" w:rsidR="00F76A63" w:rsidRDefault="00000000">
                  <w:pPr>
                    <w:adjustRightInd w:val="0"/>
                    <w:snapToGrid w:val="0"/>
                    <w:jc w:val="center"/>
                    <w:rPr>
                      <w:szCs w:val="21"/>
                    </w:rPr>
                  </w:pPr>
                  <w:r>
                    <w:rPr>
                      <w:szCs w:val="21"/>
                    </w:rPr>
                    <w:t>/</w:t>
                  </w:r>
                </w:p>
              </w:tc>
              <w:tc>
                <w:tcPr>
                  <w:tcW w:w="1230" w:type="pct"/>
                  <w:tcBorders>
                    <w:top w:val="single" w:sz="6" w:space="0" w:color="auto"/>
                    <w:left w:val="single" w:sz="6" w:space="0" w:color="auto"/>
                    <w:bottom w:val="single" w:sz="12" w:space="0" w:color="auto"/>
                    <w:right w:val="single" w:sz="6" w:space="0" w:color="auto"/>
                  </w:tcBorders>
                  <w:vAlign w:val="center"/>
                </w:tcPr>
                <w:p w14:paraId="1FC1350F" w14:textId="77777777" w:rsidR="00F76A63" w:rsidRDefault="00000000">
                  <w:pPr>
                    <w:adjustRightInd w:val="0"/>
                    <w:snapToGrid w:val="0"/>
                    <w:jc w:val="center"/>
                    <w:rPr>
                      <w:bCs/>
                      <w:szCs w:val="21"/>
                    </w:rPr>
                  </w:pPr>
                  <w:r>
                    <w:rPr>
                      <w:bCs/>
                      <w:szCs w:val="21"/>
                    </w:rPr>
                    <w:t>位于宝华山北部，北至沪宁铁路南，南至</w:t>
                  </w:r>
                  <w:r>
                    <w:rPr>
                      <w:bCs/>
                      <w:szCs w:val="21"/>
                    </w:rPr>
                    <w:t>312</w:t>
                  </w:r>
                  <w:r>
                    <w:rPr>
                      <w:bCs/>
                      <w:szCs w:val="21"/>
                    </w:rPr>
                    <w:t>国道路北，东至宝华与下蜀交界处，西至宝华与龙潭交界处</w:t>
                  </w:r>
                </w:p>
              </w:tc>
              <w:tc>
                <w:tcPr>
                  <w:tcW w:w="609" w:type="pct"/>
                  <w:tcBorders>
                    <w:top w:val="single" w:sz="6" w:space="0" w:color="auto"/>
                    <w:left w:val="single" w:sz="6" w:space="0" w:color="auto"/>
                    <w:bottom w:val="single" w:sz="12" w:space="0" w:color="auto"/>
                    <w:right w:val="single" w:sz="6" w:space="0" w:color="auto"/>
                  </w:tcBorders>
                  <w:vAlign w:val="center"/>
                </w:tcPr>
                <w:p w14:paraId="521D3CD7" w14:textId="77777777" w:rsidR="00F76A63" w:rsidRDefault="00000000">
                  <w:pPr>
                    <w:adjustRightInd w:val="0"/>
                    <w:snapToGrid w:val="0"/>
                    <w:jc w:val="center"/>
                    <w:rPr>
                      <w:szCs w:val="21"/>
                    </w:rPr>
                  </w:pPr>
                  <w:r>
                    <w:rPr>
                      <w:szCs w:val="21"/>
                    </w:rPr>
                    <w:t>/</w:t>
                  </w:r>
                </w:p>
              </w:tc>
              <w:tc>
                <w:tcPr>
                  <w:tcW w:w="419" w:type="pct"/>
                  <w:tcBorders>
                    <w:top w:val="single" w:sz="6" w:space="0" w:color="auto"/>
                    <w:left w:val="single" w:sz="6" w:space="0" w:color="auto"/>
                    <w:bottom w:val="single" w:sz="12" w:space="0" w:color="auto"/>
                    <w:right w:val="single" w:sz="6" w:space="0" w:color="auto"/>
                  </w:tcBorders>
                  <w:vAlign w:val="center"/>
                </w:tcPr>
                <w:p w14:paraId="46B3ED61" w14:textId="77777777" w:rsidR="00F76A63" w:rsidRDefault="00000000">
                  <w:pPr>
                    <w:adjustRightInd w:val="0"/>
                    <w:snapToGrid w:val="0"/>
                    <w:jc w:val="center"/>
                    <w:rPr>
                      <w:szCs w:val="21"/>
                    </w:rPr>
                  </w:pPr>
                  <w:r>
                    <w:rPr>
                      <w:szCs w:val="21"/>
                    </w:rPr>
                    <w:t>14.92</w:t>
                  </w:r>
                </w:p>
              </w:tc>
              <w:tc>
                <w:tcPr>
                  <w:tcW w:w="469" w:type="pct"/>
                  <w:tcBorders>
                    <w:top w:val="single" w:sz="6" w:space="0" w:color="auto"/>
                    <w:left w:val="single" w:sz="6" w:space="0" w:color="auto"/>
                    <w:bottom w:val="single" w:sz="12" w:space="0" w:color="auto"/>
                    <w:right w:val="single" w:sz="6" w:space="0" w:color="auto"/>
                  </w:tcBorders>
                  <w:vAlign w:val="center"/>
                </w:tcPr>
                <w:p w14:paraId="7FA683F1" w14:textId="77777777" w:rsidR="00F76A63" w:rsidRDefault="00000000">
                  <w:pPr>
                    <w:adjustRightInd w:val="0"/>
                    <w:snapToGrid w:val="0"/>
                    <w:jc w:val="center"/>
                    <w:rPr>
                      <w:szCs w:val="21"/>
                    </w:rPr>
                  </w:pPr>
                  <w:r>
                    <w:rPr>
                      <w:szCs w:val="21"/>
                    </w:rPr>
                    <w:t>14.92</w:t>
                  </w:r>
                </w:p>
              </w:tc>
              <w:tc>
                <w:tcPr>
                  <w:tcW w:w="409" w:type="pct"/>
                  <w:tcBorders>
                    <w:top w:val="single" w:sz="6" w:space="0" w:color="auto"/>
                    <w:left w:val="single" w:sz="6" w:space="0" w:color="auto"/>
                    <w:bottom w:val="single" w:sz="12" w:space="0" w:color="auto"/>
                    <w:right w:val="nil"/>
                  </w:tcBorders>
                  <w:vAlign w:val="center"/>
                </w:tcPr>
                <w:p w14:paraId="3220AF5C" w14:textId="77777777" w:rsidR="00F76A63" w:rsidRDefault="00000000">
                  <w:pPr>
                    <w:adjustRightInd w:val="0"/>
                    <w:snapToGrid w:val="0"/>
                    <w:jc w:val="center"/>
                    <w:rPr>
                      <w:szCs w:val="21"/>
                    </w:rPr>
                  </w:pPr>
                  <w:r>
                    <w:rPr>
                      <w:szCs w:val="21"/>
                    </w:rPr>
                    <w:t>西南，</w:t>
                  </w:r>
                  <w:r>
                    <w:rPr>
                      <w:szCs w:val="21"/>
                    </w:rPr>
                    <w:t>9500m</w:t>
                  </w:r>
                </w:p>
              </w:tc>
            </w:tr>
          </w:tbl>
          <w:p w14:paraId="74290D26" w14:textId="77777777" w:rsidR="00F76A63" w:rsidRDefault="00000000">
            <w:pPr>
              <w:adjustRightInd w:val="0"/>
              <w:snapToGrid w:val="0"/>
              <w:spacing w:line="500" w:lineRule="exact"/>
              <w:ind w:firstLineChars="200" w:firstLine="482"/>
              <w:rPr>
                <w:b/>
                <w:bCs/>
                <w:sz w:val="24"/>
              </w:rPr>
            </w:pPr>
            <w:r>
              <w:rPr>
                <w:b/>
                <w:bCs/>
                <w:sz w:val="24"/>
              </w:rPr>
              <w:t>2</w:t>
            </w:r>
            <w:r>
              <w:rPr>
                <w:b/>
                <w:bCs/>
                <w:sz w:val="24"/>
              </w:rPr>
              <w:t>、环境质量底线相符性分析</w:t>
            </w:r>
          </w:p>
          <w:p w14:paraId="65EA66A9" w14:textId="77777777" w:rsidR="00F76A63" w:rsidRDefault="00000000">
            <w:pPr>
              <w:adjustRightInd w:val="0"/>
              <w:snapToGrid w:val="0"/>
              <w:spacing w:line="500" w:lineRule="exact"/>
              <w:ind w:firstLineChars="200" w:firstLine="480"/>
              <w:rPr>
                <w:sz w:val="24"/>
              </w:rPr>
            </w:pPr>
            <w:r>
              <w:rPr>
                <w:rFonts w:hint="eastAsia"/>
                <w:bCs/>
                <w:sz w:val="24"/>
              </w:rPr>
              <w:t>根据《</w:t>
            </w:r>
            <w:r>
              <w:rPr>
                <w:rFonts w:hint="eastAsia"/>
                <w:bCs/>
                <w:sz w:val="24"/>
              </w:rPr>
              <w:t>2025</w:t>
            </w:r>
            <w:r>
              <w:rPr>
                <w:rFonts w:hint="eastAsia"/>
                <w:bCs/>
                <w:sz w:val="24"/>
              </w:rPr>
              <w:t>年度镇江市生态环境状况公报》，</w:t>
            </w:r>
            <w:r>
              <w:rPr>
                <w:sz w:val="24"/>
                <w:szCs w:val="32"/>
              </w:rPr>
              <w:t>镇江市区环境空气中</w:t>
            </w:r>
            <w:r>
              <w:rPr>
                <w:sz w:val="24"/>
                <w:szCs w:val="32"/>
              </w:rPr>
              <w:t>PM</w:t>
            </w:r>
            <w:r>
              <w:rPr>
                <w:sz w:val="24"/>
                <w:szCs w:val="32"/>
                <w:vertAlign w:val="subscript"/>
              </w:rPr>
              <w:t>2.5</w:t>
            </w:r>
            <w:r>
              <w:rPr>
                <w:sz w:val="24"/>
                <w:szCs w:val="32"/>
              </w:rPr>
              <w:t>、</w:t>
            </w:r>
            <w:r>
              <w:rPr>
                <w:sz w:val="24"/>
                <w:szCs w:val="32"/>
              </w:rPr>
              <w:t>PM</w:t>
            </w:r>
            <w:r>
              <w:rPr>
                <w:sz w:val="24"/>
                <w:szCs w:val="32"/>
                <w:vertAlign w:val="subscript"/>
              </w:rPr>
              <w:t>10</w:t>
            </w:r>
            <w:r>
              <w:rPr>
                <w:sz w:val="24"/>
                <w:szCs w:val="32"/>
              </w:rPr>
              <w:t>、二氧化硫、二氧化氮年均浓度分别为</w:t>
            </w:r>
            <w:r>
              <w:rPr>
                <w:sz w:val="24"/>
                <w:szCs w:val="32"/>
              </w:rPr>
              <w:t>3</w:t>
            </w:r>
            <w:r>
              <w:rPr>
                <w:rFonts w:hint="eastAsia"/>
                <w:sz w:val="24"/>
                <w:szCs w:val="32"/>
              </w:rPr>
              <w:t>4</w:t>
            </w:r>
            <w:r>
              <w:rPr>
                <w:sz w:val="24"/>
                <w:szCs w:val="32"/>
              </w:rPr>
              <w:t>μg/m</w:t>
            </w:r>
            <w:r>
              <w:rPr>
                <w:sz w:val="24"/>
                <w:szCs w:val="32"/>
                <w:vertAlign w:val="superscript"/>
              </w:rPr>
              <w:t>3</w:t>
            </w:r>
            <w:r>
              <w:rPr>
                <w:sz w:val="24"/>
                <w:szCs w:val="32"/>
              </w:rPr>
              <w:t>、</w:t>
            </w:r>
            <w:r>
              <w:rPr>
                <w:sz w:val="24"/>
                <w:szCs w:val="32"/>
              </w:rPr>
              <w:t>51μg/m</w:t>
            </w:r>
            <w:r>
              <w:rPr>
                <w:sz w:val="24"/>
                <w:szCs w:val="32"/>
                <w:vertAlign w:val="superscript"/>
              </w:rPr>
              <w:t>3</w:t>
            </w:r>
            <w:r>
              <w:rPr>
                <w:sz w:val="24"/>
                <w:szCs w:val="32"/>
              </w:rPr>
              <w:t>、</w:t>
            </w:r>
            <w:r>
              <w:rPr>
                <w:sz w:val="24"/>
                <w:szCs w:val="32"/>
              </w:rPr>
              <w:t>6μg/m</w:t>
            </w:r>
            <w:r>
              <w:rPr>
                <w:sz w:val="24"/>
                <w:szCs w:val="32"/>
                <w:vertAlign w:val="superscript"/>
              </w:rPr>
              <w:t>3</w:t>
            </w:r>
            <w:r>
              <w:rPr>
                <w:sz w:val="24"/>
                <w:szCs w:val="32"/>
              </w:rPr>
              <w:t>、</w:t>
            </w:r>
            <w:r>
              <w:rPr>
                <w:sz w:val="24"/>
                <w:szCs w:val="32"/>
              </w:rPr>
              <w:t>27μg/m</w:t>
            </w:r>
            <w:r>
              <w:rPr>
                <w:sz w:val="24"/>
                <w:szCs w:val="32"/>
                <w:vertAlign w:val="superscript"/>
              </w:rPr>
              <w:t>3</w:t>
            </w:r>
            <w:r>
              <w:rPr>
                <w:sz w:val="24"/>
                <w:szCs w:val="32"/>
              </w:rPr>
              <w:t>；一氧化碳</w:t>
            </w:r>
            <w:r>
              <w:rPr>
                <w:sz w:val="24"/>
                <w:szCs w:val="32"/>
              </w:rPr>
              <w:t>24</w:t>
            </w:r>
            <w:r>
              <w:rPr>
                <w:sz w:val="24"/>
                <w:szCs w:val="32"/>
              </w:rPr>
              <w:t>小时平均第</w:t>
            </w:r>
            <w:r>
              <w:rPr>
                <w:sz w:val="24"/>
                <w:szCs w:val="32"/>
              </w:rPr>
              <w:t>95</w:t>
            </w:r>
            <w:r>
              <w:rPr>
                <w:sz w:val="24"/>
                <w:szCs w:val="32"/>
              </w:rPr>
              <w:t>百分位数浓度（以下简称一氧化碳浓度）、臭氧日最大</w:t>
            </w:r>
            <w:r>
              <w:rPr>
                <w:sz w:val="24"/>
                <w:szCs w:val="32"/>
              </w:rPr>
              <w:t>8</w:t>
            </w:r>
            <w:r>
              <w:rPr>
                <w:sz w:val="24"/>
                <w:szCs w:val="32"/>
              </w:rPr>
              <w:t>小时滑动平均第</w:t>
            </w:r>
            <w:r>
              <w:rPr>
                <w:sz w:val="24"/>
                <w:szCs w:val="32"/>
              </w:rPr>
              <w:t>90</w:t>
            </w:r>
            <w:r>
              <w:rPr>
                <w:sz w:val="24"/>
                <w:szCs w:val="32"/>
              </w:rPr>
              <w:t>百分位数浓度（以下简称臭氧浓度）分别为</w:t>
            </w:r>
            <w:r>
              <w:rPr>
                <w:rFonts w:hint="eastAsia"/>
                <w:sz w:val="24"/>
                <w:szCs w:val="32"/>
              </w:rPr>
              <w:t>1.0</w:t>
            </w:r>
            <w:r>
              <w:rPr>
                <w:sz w:val="24"/>
                <w:szCs w:val="32"/>
              </w:rPr>
              <w:t>mg/m</w:t>
            </w:r>
            <w:r>
              <w:rPr>
                <w:sz w:val="24"/>
                <w:szCs w:val="32"/>
                <w:vertAlign w:val="superscript"/>
              </w:rPr>
              <w:t>3</w:t>
            </w:r>
            <w:r>
              <w:rPr>
                <w:sz w:val="24"/>
                <w:szCs w:val="32"/>
              </w:rPr>
              <w:t>、</w:t>
            </w:r>
            <w:r>
              <w:rPr>
                <w:sz w:val="24"/>
                <w:szCs w:val="32"/>
              </w:rPr>
              <w:t>16</w:t>
            </w:r>
            <w:r>
              <w:rPr>
                <w:rFonts w:hint="eastAsia"/>
                <w:sz w:val="24"/>
                <w:szCs w:val="32"/>
              </w:rPr>
              <w:t>8</w:t>
            </w:r>
            <w:r>
              <w:rPr>
                <w:sz w:val="24"/>
                <w:szCs w:val="32"/>
              </w:rPr>
              <w:t>μg/m</w:t>
            </w:r>
            <w:r>
              <w:rPr>
                <w:sz w:val="24"/>
                <w:szCs w:val="32"/>
                <w:vertAlign w:val="superscript"/>
              </w:rPr>
              <w:t>3</w:t>
            </w:r>
            <w:r>
              <w:rPr>
                <w:sz w:val="24"/>
                <w:szCs w:val="32"/>
              </w:rPr>
              <w:t>。</w:t>
            </w:r>
            <w:r>
              <w:rPr>
                <w:bCs/>
                <w:kern w:val="0"/>
                <w:sz w:val="24"/>
              </w:rPr>
              <w:t>对照《环境空气质量标准》（</w:t>
            </w:r>
            <w:r>
              <w:rPr>
                <w:bCs/>
                <w:kern w:val="0"/>
                <w:sz w:val="24"/>
              </w:rPr>
              <w:t>GB3095-2026</w:t>
            </w:r>
            <w:r>
              <w:rPr>
                <w:bCs/>
                <w:kern w:val="0"/>
                <w:sz w:val="24"/>
              </w:rPr>
              <w:t>）</w:t>
            </w:r>
            <w:r>
              <w:rPr>
                <w:rFonts w:hint="eastAsia"/>
                <w:bCs/>
                <w:kern w:val="0"/>
                <w:sz w:val="24"/>
              </w:rPr>
              <w:t>过渡阶段浓度限值二级标准</w:t>
            </w:r>
            <w:r>
              <w:rPr>
                <w:bCs/>
                <w:kern w:val="0"/>
                <w:sz w:val="24"/>
              </w:rPr>
              <w:t>，臭氧、</w:t>
            </w:r>
            <w:r>
              <w:rPr>
                <w:bCs/>
                <w:kern w:val="0"/>
                <w:sz w:val="24"/>
              </w:rPr>
              <w:t>PM</w:t>
            </w:r>
            <w:r>
              <w:rPr>
                <w:bCs/>
                <w:kern w:val="0"/>
                <w:sz w:val="24"/>
                <w:vertAlign w:val="subscript"/>
              </w:rPr>
              <w:t>2.5</w:t>
            </w:r>
            <w:r>
              <w:rPr>
                <w:sz w:val="24"/>
              </w:rPr>
              <w:t>未达要求，因此项目属于不达标区。</w:t>
            </w:r>
          </w:p>
          <w:p w14:paraId="6C7144F9" w14:textId="77777777" w:rsidR="00F76A63" w:rsidRDefault="00000000">
            <w:pPr>
              <w:adjustRightInd w:val="0"/>
              <w:snapToGrid w:val="0"/>
              <w:spacing w:line="500" w:lineRule="exact"/>
              <w:ind w:firstLineChars="200" w:firstLine="480"/>
              <w:rPr>
                <w:bCs/>
                <w:kern w:val="0"/>
                <w:sz w:val="24"/>
              </w:rPr>
            </w:pPr>
            <w:r>
              <w:rPr>
                <w:bCs/>
                <w:kern w:val="0"/>
                <w:sz w:val="24"/>
              </w:rPr>
              <w:t>根据《关于印发</w:t>
            </w:r>
            <w:r>
              <w:rPr>
                <w:bCs/>
                <w:kern w:val="0"/>
                <w:sz w:val="24"/>
              </w:rPr>
              <w:t>&lt;</w:t>
            </w:r>
            <w:r>
              <w:rPr>
                <w:bCs/>
                <w:kern w:val="0"/>
                <w:sz w:val="24"/>
              </w:rPr>
              <w:t>镇江市</w:t>
            </w:r>
            <w:r>
              <w:rPr>
                <w:bCs/>
                <w:kern w:val="0"/>
                <w:sz w:val="24"/>
              </w:rPr>
              <w:t>2025</w:t>
            </w:r>
            <w:r>
              <w:rPr>
                <w:bCs/>
                <w:kern w:val="0"/>
                <w:sz w:val="24"/>
              </w:rPr>
              <w:t>年大气污染防治工作计划</w:t>
            </w:r>
            <w:r>
              <w:rPr>
                <w:bCs/>
                <w:kern w:val="0"/>
                <w:sz w:val="24"/>
              </w:rPr>
              <w:t>&gt;</w:t>
            </w:r>
            <w:r>
              <w:rPr>
                <w:bCs/>
                <w:kern w:val="0"/>
                <w:sz w:val="24"/>
              </w:rPr>
              <w:t>的通知》</w:t>
            </w:r>
            <w:r>
              <w:rPr>
                <w:bCs/>
                <w:kern w:val="0"/>
                <w:sz w:val="24"/>
              </w:rPr>
              <w:t>(</w:t>
            </w:r>
            <w:r>
              <w:rPr>
                <w:bCs/>
                <w:kern w:val="0"/>
                <w:sz w:val="24"/>
              </w:rPr>
              <w:t>镇污治指办</w:t>
            </w:r>
            <w:r>
              <w:rPr>
                <w:bCs/>
                <w:kern w:val="0"/>
                <w:sz w:val="24"/>
              </w:rPr>
              <w:t>(2025 19</w:t>
            </w:r>
            <w:r>
              <w:rPr>
                <w:bCs/>
                <w:kern w:val="0"/>
                <w:sz w:val="24"/>
              </w:rPr>
              <w:t>号</w:t>
            </w:r>
            <w:r>
              <w:rPr>
                <w:bCs/>
                <w:kern w:val="0"/>
                <w:sz w:val="24"/>
              </w:rPr>
              <w:t>)</w:t>
            </w:r>
            <w:r>
              <w:rPr>
                <w:bCs/>
                <w:kern w:val="0"/>
                <w:sz w:val="24"/>
              </w:rPr>
              <w:t>，</w:t>
            </w:r>
            <w:r>
              <w:rPr>
                <w:bCs/>
                <w:kern w:val="0"/>
                <w:sz w:val="24"/>
              </w:rPr>
              <w:t>2025</w:t>
            </w:r>
            <w:r>
              <w:rPr>
                <w:bCs/>
                <w:kern w:val="0"/>
                <w:sz w:val="24"/>
              </w:rPr>
              <w:t>年，市区</w:t>
            </w:r>
            <w:r>
              <w:rPr>
                <w:bCs/>
                <w:kern w:val="0"/>
                <w:sz w:val="24"/>
              </w:rPr>
              <w:t>PM</w:t>
            </w:r>
            <w:r>
              <w:rPr>
                <w:bCs/>
                <w:kern w:val="0"/>
                <w:sz w:val="24"/>
                <w:vertAlign w:val="subscript"/>
              </w:rPr>
              <w:t>2.5</w:t>
            </w:r>
            <w:r>
              <w:rPr>
                <w:bCs/>
                <w:kern w:val="0"/>
                <w:sz w:val="24"/>
              </w:rPr>
              <w:t>浓度不高于</w:t>
            </w:r>
            <w:r>
              <w:rPr>
                <w:bCs/>
                <w:kern w:val="0"/>
                <w:sz w:val="24"/>
              </w:rPr>
              <w:t>340</w:t>
            </w:r>
            <w:r>
              <w:rPr>
                <w:bCs/>
                <w:kern w:val="0"/>
                <w:sz w:val="24"/>
              </w:rPr>
              <w:t>微克立方米，优良天数比率</w:t>
            </w:r>
            <w:r>
              <w:rPr>
                <w:bCs/>
                <w:kern w:val="0"/>
                <w:sz w:val="24"/>
              </w:rPr>
              <w:t>81.2%</w:t>
            </w:r>
            <w:r>
              <w:rPr>
                <w:bCs/>
                <w:kern w:val="0"/>
                <w:sz w:val="24"/>
              </w:rPr>
              <w:t>左右，全面消除重污染天气；</w:t>
            </w:r>
            <w:r>
              <w:rPr>
                <w:bCs/>
                <w:kern w:val="0"/>
                <w:sz w:val="24"/>
              </w:rPr>
              <w:t>3</w:t>
            </w:r>
            <w:r>
              <w:rPr>
                <w:bCs/>
                <w:kern w:val="0"/>
                <w:sz w:val="24"/>
              </w:rPr>
              <w:t>个省控站点空气质量持续改善，丹阳市</w:t>
            </w:r>
            <w:r>
              <w:rPr>
                <w:bCs/>
                <w:kern w:val="0"/>
                <w:sz w:val="24"/>
              </w:rPr>
              <w:t>PM</w:t>
            </w:r>
            <w:r>
              <w:rPr>
                <w:bCs/>
                <w:kern w:val="0"/>
                <w:sz w:val="24"/>
                <w:vertAlign w:val="subscript"/>
              </w:rPr>
              <w:t>2.5</w:t>
            </w:r>
            <w:r>
              <w:rPr>
                <w:bCs/>
                <w:kern w:val="0"/>
                <w:sz w:val="24"/>
              </w:rPr>
              <w:t>浓度不高于</w:t>
            </w:r>
            <w:r>
              <w:rPr>
                <w:bCs/>
                <w:kern w:val="0"/>
                <w:sz w:val="24"/>
              </w:rPr>
              <w:t>330</w:t>
            </w:r>
            <w:r>
              <w:rPr>
                <w:bCs/>
                <w:kern w:val="0"/>
                <w:sz w:val="24"/>
              </w:rPr>
              <w:t>微克立方米，句容市、扬中市</w:t>
            </w:r>
            <w:r>
              <w:rPr>
                <w:bCs/>
                <w:kern w:val="0"/>
                <w:sz w:val="24"/>
              </w:rPr>
              <w:t>PM</w:t>
            </w:r>
            <w:r>
              <w:rPr>
                <w:bCs/>
                <w:kern w:val="0"/>
                <w:sz w:val="24"/>
                <w:vertAlign w:val="subscript"/>
              </w:rPr>
              <w:t>2.5</w:t>
            </w:r>
            <w:r>
              <w:rPr>
                <w:bCs/>
                <w:kern w:val="0"/>
                <w:sz w:val="24"/>
              </w:rPr>
              <w:t>浓度不高于</w:t>
            </w:r>
            <w:r>
              <w:rPr>
                <w:bCs/>
                <w:kern w:val="0"/>
                <w:sz w:val="24"/>
              </w:rPr>
              <w:t>320</w:t>
            </w:r>
            <w:r>
              <w:rPr>
                <w:bCs/>
                <w:kern w:val="0"/>
                <w:sz w:val="24"/>
              </w:rPr>
              <w:t>微克立方米；全市氮氧化物、挥发性有机物重点工程减排量完成省下达的指标要求。坚决遏制高耗能、高排放、低水平项目盲目上马；加快退出重点行业落后产能；推动园区、产业集群绿色化改造；推进能源结构调整优化；高质量推进超低排放改造工作；实施重点行业大气污染深度治理；持续优化重点行业排放水平；加快实施低</w:t>
            </w:r>
            <w:r>
              <w:rPr>
                <w:bCs/>
                <w:kern w:val="0"/>
                <w:sz w:val="24"/>
              </w:rPr>
              <w:t>VOCs</w:t>
            </w:r>
            <w:r>
              <w:rPr>
                <w:bCs/>
                <w:kern w:val="0"/>
                <w:sz w:val="24"/>
              </w:rPr>
              <w:t>含量原辅材料替代；强化</w:t>
            </w:r>
            <w:r>
              <w:rPr>
                <w:bCs/>
                <w:kern w:val="0"/>
                <w:sz w:val="24"/>
              </w:rPr>
              <w:lastRenderedPageBreak/>
              <w:t>VOCs</w:t>
            </w:r>
            <w:r>
              <w:rPr>
                <w:bCs/>
                <w:kern w:val="0"/>
                <w:sz w:val="24"/>
              </w:rPr>
              <w:t>综合治理；推进油品</w:t>
            </w:r>
            <w:r>
              <w:rPr>
                <w:bCs/>
                <w:kern w:val="0"/>
                <w:sz w:val="24"/>
              </w:rPr>
              <w:t>VOCs</w:t>
            </w:r>
            <w:r>
              <w:rPr>
                <w:bCs/>
                <w:kern w:val="0"/>
                <w:sz w:val="24"/>
              </w:rPr>
              <w:t>综合管控等。通过上述大气污染防治工作计划的实施，预计镇江市大气环境质量状况可以得到进一步改善。</w:t>
            </w:r>
          </w:p>
          <w:p w14:paraId="506FEDA8" w14:textId="77777777" w:rsidR="00F76A63" w:rsidRDefault="00000000">
            <w:pPr>
              <w:adjustRightInd w:val="0"/>
              <w:snapToGrid w:val="0"/>
              <w:spacing w:line="500" w:lineRule="exact"/>
              <w:ind w:firstLineChars="200" w:firstLine="480"/>
              <w:rPr>
                <w:sz w:val="24"/>
              </w:rPr>
            </w:pPr>
            <w:r>
              <w:rPr>
                <w:sz w:val="24"/>
              </w:rPr>
              <w:t>根据《</w:t>
            </w:r>
            <w:r>
              <w:rPr>
                <w:sz w:val="24"/>
              </w:rPr>
              <w:t>202</w:t>
            </w:r>
            <w:r>
              <w:rPr>
                <w:rFonts w:hint="eastAsia"/>
                <w:sz w:val="24"/>
              </w:rPr>
              <w:t>5</w:t>
            </w:r>
            <w:r>
              <w:rPr>
                <w:sz w:val="24"/>
              </w:rPr>
              <w:t>年度镇江市生态环境状况公报》，</w:t>
            </w:r>
            <w:r>
              <w:rPr>
                <w:sz w:val="24"/>
              </w:rPr>
              <w:t>2025</w:t>
            </w:r>
            <w:r>
              <w:rPr>
                <w:sz w:val="24"/>
              </w:rPr>
              <w:t>年，镇江市地表水环境质量总体为优。列入《江苏省水污染防治工作计划》地表水环境质量考核的</w:t>
            </w:r>
            <w:r>
              <w:rPr>
                <w:sz w:val="24"/>
              </w:rPr>
              <w:t>10</w:t>
            </w:r>
            <w:r>
              <w:rPr>
                <w:sz w:val="24"/>
              </w:rPr>
              <w:t>个国考断面中，水质符合《地表水环境质量标准》（</w:t>
            </w:r>
            <w:r>
              <w:rPr>
                <w:sz w:val="24"/>
              </w:rPr>
              <w:t>GB 3838-2002</w:t>
            </w:r>
            <w:r>
              <w:rPr>
                <w:sz w:val="24"/>
              </w:rPr>
              <w:t>）优</w:t>
            </w:r>
            <w:r>
              <w:rPr>
                <w:sz w:val="24"/>
              </w:rPr>
              <w:t>Ⅲ</w:t>
            </w:r>
            <w:r>
              <w:rPr>
                <w:sz w:val="24"/>
              </w:rPr>
              <w:t>类断面比例为</w:t>
            </w:r>
            <w:r>
              <w:rPr>
                <w:sz w:val="24"/>
              </w:rPr>
              <w:t>100%</w:t>
            </w:r>
            <w:r>
              <w:rPr>
                <w:sz w:val="24"/>
              </w:rPr>
              <w:t>，优</w:t>
            </w:r>
            <w:r>
              <w:rPr>
                <w:sz w:val="24"/>
              </w:rPr>
              <w:t>Ⅱ</w:t>
            </w:r>
            <w:r>
              <w:rPr>
                <w:sz w:val="24"/>
              </w:rPr>
              <w:t>类断面比例为</w:t>
            </w:r>
            <w:r>
              <w:rPr>
                <w:sz w:val="24"/>
              </w:rPr>
              <w:t>70%</w:t>
            </w:r>
            <w:r>
              <w:rPr>
                <w:sz w:val="24"/>
              </w:rPr>
              <w:t>。省考</w:t>
            </w:r>
            <w:r>
              <w:rPr>
                <w:sz w:val="24"/>
              </w:rPr>
              <w:t>45</w:t>
            </w:r>
            <w:r>
              <w:rPr>
                <w:sz w:val="24"/>
              </w:rPr>
              <w:t>个断面中，优</w:t>
            </w:r>
            <w:r>
              <w:rPr>
                <w:sz w:val="24"/>
              </w:rPr>
              <w:t>Ⅲ</w:t>
            </w:r>
            <w:r>
              <w:rPr>
                <w:sz w:val="24"/>
              </w:rPr>
              <w:t>类断面比例为</w:t>
            </w:r>
            <w:r>
              <w:rPr>
                <w:sz w:val="24"/>
              </w:rPr>
              <w:t>100%</w:t>
            </w:r>
            <w:r>
              <w:rPr>
                <w:sz w:val="24"/>
              </w:rPr>
              <w:t>，优</w:t>
            </w:r>
            <w:r>
              <w:rPr>
                <w:sz w:val="24"/>
              </w:rPr>
              <w:t>Ⅱ</w:t>
            </w:r>
            <w:r>
              <w:rPr>
                <w:sz w:val="24"/>
              </w:rPr>
              <w:t>类断面比例为</w:t>
            </w:r>
            <w:r>
              <w:rPr>
                <w:sz w:val="24"/>
              </w:rPr>
              <w:t>71.1%</w:t>
            </w:r>
            <w:r>
              <w:rPr>
                <w:sz w:val="24"/>
              </w:rPr>
              <w:t>。与上年相比，国考断面优</w:t>
            </w:r>
            <w:r>
              <w:rPr>
                <w:sz w:val="24"/>
              </w:rPr>
              <w:t>Ⅲ</w:t>
            </w:r>
            <w:r>
              <w:rPr>
                <w:sz w:val="24"/>
              </w:rPr>
              <w:t>类断面占比持平，优</w:t>
            </w:r>
            <w:r>
              <w:rPr>
                <w:sz w:val="24"/>
              </w:rPr>
              <w:t>Ⅱ</w:t>
            </w:r>
            <w:r>
              <w:rPr>
                <w:sz w:val="24"/>
              </w:rPr>
              <w:t>类断面占比上升</w:t>
            </w:r>
            <w:r>
              <w:rPr>
                <w:sz w:val="24"/>
              </w:rPr>
              <w:t>10</w:t>
            </w:r>
            <w:r>
              <w:rPr>
                <w:sz w:val="24"/>
              </w:rPr>
              <w:t>百分点。省考断面优</w:t>
            </w:r>
            <w:r>
              <w:rPr>
                <w:sz w:val="24"/>
              </w:rPr>
              <w:t>Ⅲ</w:t>
            </w:r>
            <w:r>
              <w:rPr>
                <w:sz w:val="24"/>
              </w:rPr>
              <w:t>类断面占比持平，优</w:t>
            </w:r>
            <w:r>
              <w:rPr>
                <w:sz w:val="24"/>
              </w:rPr>
              <w:t>Ⅱ</w:t>
            </w:r>
            <w:r>
              <w:rPr>
                <w:sz w:val="24"/>
              </w:rPr>
              <w:t>类断面占比持平。</w:t>
            </w:r>
          </w:p>
          <w:p w14:paraId="70FD20C4" w14:textId="77777777" w:rsidR="00F76A63" w:rsidRDefault="00000000">
            <w:pPr>
              <w:adjustRightInd w:val="0"/>
              <w:snapToGrid w:val="0"/>
              <w:spacing w:line="500" w:lineRule="exact"/>
              <w:ind w:firstLineChars="200" w:firstLine="480"/>
              <w:rPr>
                <w:sz w:val="24"/>
              </w:rPr>
            </w:pPr>
            <w:r>
              <w:rPr>
                <w:sz w:val="24"/>
              </w:rPr>
              <w:t>本项目无废水排放</w:t>
            </w:r>
            <w:r>
              <w:rPr>
                <w:rFonts w:hint="eastAsia"/>
                <w:sz w:val="24"/>
              </w:rPr>
              <w:t>，污染土贮存过程产生的少量渗滤液，经集水沟统一收集至原水池和生产废水一起经中水处理系统处理，不外排，全部回用</w:t>
            </w:r>
            <w:r>
              <w:rPr>
                <w:sz w:val="24"/>
              </w:rPr>
              <w:t>，现有项目生活污水经厂内化粪池预处理后接管至下蜀镇污水处理厂集中处理，不会对区域地表水环境造成不利影响。</w:t>
            </w:r>
          </w:p>
          <w:p w14:paraId="39DEFE22" w14:textId="77777777" w:rsidR="00F76A63" w:rsidRDefault="00000000">
            <w:pPr>
              <w:adjustRightInd w:val="0"/>
              <w:snapToGrid w:val="0"/>
              <w:spacing w:line="500" w:lineRule="exact"/>
              <w:ind w:firstLineChars="200" w:firstLine="480"/>
              <w:rPr>
                <w:sz w:val="24"/>
              </w:rPr>
            </w:pPr>
            <w:r>
              <w:rPr>
                <w:sz w:val="24"/>
              </w:rPr>
              <w:t>根据《</w:t>
            </w:r>
            <w:r>
              <w:rPr>
                <w:sz w:val="24"/>
              </w:rPr>
              <w:t>202</w:t>
            </w:r>
            <w:r>
              <w:rPr>
                <w:rFonts w:hint="eastAsia"/>
                <w:sz w:val="24"/>
              </w:rPr>
              <w:t>5</w:t>
            </w:r>
            <w:r>
              <w:rPr>
                <w:sz w:val="24"/>
              </w:rPr>
              <w:t>年度镇江市生态环境状况公报》，</w:t>
            </w:r>
            <w:r>
              <w:rPr>
                <w:rFonts w:hint="eastAsia"/>
                <w:sz w:val="24"/>
              </w:rPr>
              <w:t>2025</w:t>
            </w:r>
            <w:r>
              <w:rPr>
                <w:rFonts w:hint="eastAsia"/>
                <w:sz w:val="24"/>
              </w:rPr>
              <w:t>年，镇江市区域环境噪声平均等效声级为</w:t>
            </w:r>
            <w:r>
              <w:rPr>
                <w:rFonts w:hint="eastAsia"/>
                <w:sz w:val="24"/>
              </w:rPr>
              <w:t>59.1</w:t>
            </w:r>
            <w:r>
              <w:rPr>
                <w:rFonts w:hint="eastAsia"/>
                <w:sz w:val="24"/>
              </w:rPr>
              <w:t>分贝，与上年相比，上升</w:t>
            </w:r>
            <w:r>
              <w:rPr>
                <w:rFonts w:hint="eastAsia"/>
                <w:sz w:val="24"/>
              </w:rPr>
              <w:t>2.3</w:t>
            </w:r>
            <w:r>
              <w:rPr>
                <w:rFonts w:hint="eastAsia"/>
                <w:sz w:val="24"/>
              </w:rPr>
              <w:t>分贝。按照《环境噪声监测技术规范</w:t>
            </w:r>
            <w:r>
              <w:rPr>
                <w:rFonts w:hint="eastAsia"/>
                <w:sz w:val="24"/>
              </w:rPr>
              <w:t xml:space="preserve"> </w:t>
            </w:r>
            <w:r>
              <w:rPr>
                <w:rFonts w:hint="eastAsia"/>
                <w:sz w:val="24"/>
              </w:rPr>
              <w:t>城市声环境常规监测》（</w:t>
            </w:r>
            <w:r>
              <w:rPr>
                <w:rFonts w:hint="eastAsia"/>
                <w:sz w:val="24"/>
              </w:rPr>
              <w:t>HJ 640-2012</w:t>
            </w:r>
            <w:r>
              <w:rPr>
                <w:rFonts w:hint="eastAsia"/>
                <w:sz w:val="24"/>
              </w:rPr>
              <w:t>）标准，全市区域声环境质量等级为三级，处于“一般”水平。</w:t>
            </w:r>
          </w:p>
          <w:p w14:paraId="3AC82CCD" w14:textId="77777777" w:rsidR="00F76A63" w:rsidRDefault="00000000">
            <w:pPr>
              <w:spacing w:line="500" w:lineRule="exact"/>
              <w:ind w:firstLineChars="200" w:firstLine="480"/>
              <w:rPr>
                <w:sz w:val="24"/>
              </w:rPr>
            </w:pPr>
            <w:r>
              <w:rPr>
                <w:sz w:val="24"/>
              </w:rPr>
              <w:t>根据《</w:t>
            </w:r>
            <w:r>
              <w:rPr>
                <w:sz w:val="24"/>
              </w:rPr>
              <w:t>202</w:t>
            </w:r>
            <w:r>
              <w:rPr>
                <w:rFonts w:hint="eastAsia"/>
                <w:sz w:val="24"/>
              </w:rPr>
              <w:t>5</w:t>
            </w:r>
            <w:r>
              <w:rPr>
                <w:sz w:val="24"/>
              </w:rPr>
              <w:t>年度镇江市生态环境状况公报》，</w:t>
            </w:r>
            <w:r>
              <w:rPr>
                <w:rFonts w:hint="eastAsia"/>
                <w:sz w:val="24"/>
              </w:rPr>
              <w:t>2025</w:t>
            </w:r>
            <w:r>
              <w:rPr>
                <w:rFonts w:hint="eastAsia"/>
                <w:sz w:val="24"/>
              </w:rPr>
              <w:t>年，对全市省控土壤监测网</w:t>
            </w:r>
            <w:r>
              <w:rPr>
                <w:rFonts w:hint="eastAsia"/>
                <w:sz w:val="24"/>
              </w:rPr>
              <w:t>10</w:t>
            </w:r>
            <w:r>
              <w:rPr>
                <w:rFonts w:hint="eastAsia"/>
                <w:sz w:val="24"/>
              </w:rPr>
              <w:t>个地块的</w:t>
            </w:r>
            <w:r>
              <w:rPr>
                <w:rFonts w:hint="eastAsia"/>
                <w:sz w:val="24"/>
              </w:rPr>
              <w:t>32</w:t>
            </w:r>
            <w:r>
              <w:rPr>
                <w:rFonts w:hint="eastAsia"/>
                <w:sz w:val="24"/>
              </w:rPr>
              <w:t>个风险监控点开展土壤环境质量监测。监测结果表明：土壤环境质量总体良好，属于清洁水平。</w:t>
            </w:r>
          </w:p>
          <w:p w14:paraId="2C6B9522" w14:textId="77777777" w:rsidR="00F76A63" w:rsidRDefault="00000000">
            <w:pPr>
              <w:adjustRightInd w:val="0"/>
              <w:snapToGrid w:val="0"/>
              <w:spacing w:line="500" w:lineRule="exact"/>
              <w:ind w:firstLineChars="200" w:firstLine="480"/>
              <w:rPr>
                <w:sz w:val="24"/>
              </w:rPr>
            </w:pPr>
            <w:r>
              <w:rPr>
                <w:sz w:val="24"/>
              </w:rPr>
              <w:t>综上，项目建设不会对区域水、气、声、土壤环境质量造成明显不利影响，项目建设符合区域环境质量底线的管控要求。</w:t>
            </w:r>
          </w:p>
          <w:p w14:paraId="3644F8F7" w14:textId="77777777" w:rsidR="00F76A63" w:rsidRDefault="00000000">
            <w:pPr>
              <w:adjustRightInd w:val="0"/>
              <w:snapToGrid w:val="0"/>
              <w:spacing w:line="500" w:lineRule="exact"/>
              <w:ind w:firstLineChars="200" w:firstLine="482"/>
              <w:rPr>
                <w:b/>
                <w:bCs/>
                <w:sz w:val="24"/>
              </w:rPr>
            </w:pPr>
            <w:r>
              <w:rPr>
                <w:b/>
                <w:bCs/>
                <w:sz w:val="24"/>
              </w:rPr>
              <w:t>3</w:t>
            </w:r>
            <w:r>
              <w:rPr>
                <w:b/>
                <w:bCs/>
                <w:sz w:val="24"/>
              </w:rPr>
              <w:t>、资源利用上线相符性分析</w:t>
            </w:r>
          </w:p>
          <w:p w14:paraId="0F0FFDBD" w14:textId="77777777" w:rsidR="00F76A63" w:rsidRDefault="00000000">
            <w:pPr>
              <w:adjustRightInd w:val="0"/>
              <w:snapToGrid w:val="0"/>
              <w:spacing w:line="500" w:lineRule="exact"/>
              <w:ind w:firstLineChars="200" w:firstLine="480"/>
              <w:rPr>
                <w:sz w:val="24"/>
              </w:rPr>
            </w:pPr>
            <w:r>
              <w:rPr>
                <w:sz w:val="24"/>
              </w:rPr>
              <w:t>项目运营过程主要资源消耗为电能，电能消耗约</w:t>
            </w:r>
            <w:r>
              <w:rPr>
                <w:sz w:val="24"/>
              </w:rPr>
              <w:t>250</w:t>
            </w:r>
            <w:r>
              <w:rPr>
                <w:sz w:val="24"/>
              </w:rPr>
              <w:t>万千瓦时</w:t>
            </w:r>
            <w:r>
              <w:rPr>
                <w:sz w:val="24"/>
              </w:rPr>
              <w:t>/</w:t>
            </w:r>
            <w:r>
              <w:rPr>
                <w:sz w:val="24"/>
              </w:rPr>
              <w:t>年，由当地供电部门提供，项目资源消耗量较小，不会超出当地资源利用上线。项目利用现有工业厂房进行生产，不新增用地，符合当地土地利用规划要求。</w:t>
            </w:r>
          </w:p>
          <w:p w14:paraId="7386059D" w14:textId="77777777" w:rsidR="00F76A63" w:rsidRDefault="00000000">
            <w:pPr>
              <w:adjustRightInd w:val="0"/>
              <w:snapToGrid w:val="0"/>
              <w:spacing w:line="500" w:lineRule="exact"/>
              <w:ind w:firstLineChars="200" w:firstLine="482"/>
              <w:rPr>
                <w:b/>
                <w:bCs/>
                <w:sz w:val="24"/>
              </w:rPr>
            </w:pPr>
            <w:r>
              <w:rPr>
                <w:b/>
                <w:bCs/>
                <w:sz w:val="24"/>
              </w:rPr>
              <w:lastRenderedPageBreak/>
              <w:t>4</w:t>
            </w:r>
            <w:r>
              <w:rPr>
                <w:b/>
                <w:bCs/>
                <w:sz w:val="24"/>
              </w:rPr>
              <w:t>、与环境准入负面清单相符性分析</w:t>
            </w:r>
          </w:p>
          <w:p w14:paraId="77923C96" w14:textId="77777777" w:rsidR="00F76A63" w:rsidRDefault="00000000">
            <w:pPr>
              <w:adjustRightInd w:val="0"/>
              <w:snapToGrid w:val="0"/>
              <w:spacing w:line="500" w:lineRule="exact"/>
              <w:ind w:firstLineChars="200" w:firstLine="482"/>
              <w:rPr>
                <w:b/>
                <w:bCs/>
                <w:sz w:val="24"/>
              </w:rPr>
            </w:pPr>
            <w:r>
              <w:rPr>
                <w:b/>
                <w:bCs/>
                <w:sz w:val="24"/>
              </w:rPr>
              <w:t>1</w:t>
            </w:r>
            <w:r>
              <w:rPr>
                <w:b/>
                <w:bCs/>
                <w:sz w:val="24"/>
              </w:rPr>
              <w:t>）与《市场准入负面清单（</w:t>
            </w:r>
            <w:r>
              <w:rPr>
                <w:b/>
                <w:bCs/>
                <w:sz w:val="24"/>
              </w:rPr>
              <w:t>2025</w:t>
            </w:r>
            <w:r>
              <w:rPr>
                <w:b/>
                <w:bCs/>
                <w:sz w:val="24"/>
              </w:rPr>
              <w:t>年版）》相符性</w:t>
            </w:r>
          </w:p>
          <w:p w14:paraId="402B3DB4" w14:textId="77777777" w:rsidR="00F76A63" w:rsidRDefault="00000000">
            <w:pPr>
              <w:adjustRightInd w:val="0"/>
              <w:snapToGrid w:val="0"/>
              <w:spacing w:line="500" w:lineRule="exact"/>
              <w:ind w:firstLineChars="200" w:firstLine="480"/>
              <w:rPr>
                <w:sz w:val="24"/>
              </w:rPr>
            </w:pPr>
            <w:r>
              <w:rPr>
                <w:sz w:val="24"/>
              </w:rPr>
              <w:t>《市场准入负面清单（</w:t>
            </w:r>
            <w:r>
              <w:rPr>
                <w:sz w:val="24"/>
              </w:rPr>
              <w:t>2025</w:t>
            </w:r>
            <w:r>
              <w:rPr>
                <w:sz w:val="24"/>
              </w:rPr>
              <w:t>年版）》中列有禁止准入事项</w:t>
            </w:r>
            <w:r>
              <w:rPr>
                <w:sz w:val="24"/>
              </w:rPr>
              <w:t>6</w:t>
            </w:r>
            <w:r>
              <w:rPr>
                <w:sz w:val="24"/>
              </w:rPr>
              <w:t>项，许可准入事项</w:t>
            </w:r>
            <w:r>
              <w:rPr>
                <w:sz w:val="24"/>
              </w:rPr>
              <w:t>106</w:t>
            </w:r>
            <w:r>
              <w:rPr>
                <w:sz w:val="24"/>
              </w:rPr>
              <w:t>项，共计</w:t>
            </w:r>
            <w:r>
              <w:rPr>
                <w:sz w:val="24"/>
              </w:rPr>
              <w:t>112</w:t>
            </w:r>
            <w:r>
              <w:rPr>
                <w:sz w:val="24"/>
              </w:rPr>
              <w:t>项。</w:t>
            </w:r>
          </w:p>
          <w:p w14:paraId="55EAFBEE" w14:textId="77777777" w:rsidR="00F76A63" w:rsidRDefault="00000000">
            <w:pPr>
              <w:adjustRightInd w:val="0"/>
              <w:snapToGrid w:val="0"/>
              <w:spacing w:line="500" w:lineRule="exact"/>
              <w:ind w:firstLineChars="200" w:firstLine="480"/>
              <w:rPr>
                <w:sz w:val="24"/>
              </w:rPr>
            </w:pPr>
            <w:r>
              <w:rPr>
                <w:sz w:val="24"/>
              </w:rPr>
              <w:t>禁止准入类事项包括</w:t>
            </w:r>
            <w:r>
              <w:rPr>
                <w:sz w:val="24"/>
              </w:rPr>
              <w:t>6</w:t>
            </w:r>
            <w:r>
              <w:rPr>
                <w:sz w:val="24"/>
              </w:rPr>
              <w:t>个事项。第一项是法律、法规、国务院决定等明确设立且与市场准入相关的禁止性规定；第二项是国家产业政策明令淘汰和限制的产品、技术、工艺、设备及行为；第三项是不符合主体功能区建设要求的各类开发活动；第四项是禁止违规开展金融相关经营活动；第五项是禁止违规开展互联网相关经营活动；第六项是禁止违规开展新闻传媒相关业务。对于禁止类事项，市场主体不得进入，行政机关不予审批。</w:t>
            </w:r>
          </w:p>
          <w:p w14:paraId="32CFB5A0" w14:textId="77777777" w:rsidR="00F76A63" w:rsidRDefault="00000000">
            <w:pPr>
              <w:adjustRightInd w:val="0"/>
              <w:snapToGrid w:val="0"/>
              <w:spacing w:line="500" w:lineRule="exact"/>
              <w:ind w:firstLineChars="200" w:firstLine="480"/>
              <w:rPr>
                <w:sz w:val="24"/>
              </w:rPr>
            </w:pPr>
            <w:r>
              <w:rPr>
                <w:sz w:val="24"/>
              </w:rPr>
              <w:t>本项目为固体废物治理项目，不属于《市场准入负面清单（</w:t>
            </w:r>
            <w:r>
              <w:rPr>
                <w:sz w:val="24"/>
              </w:rPr>
              <w:t>2025</w:t>
            </w:r>
            <w:r>
              <w:rPr>
                <w:sz w:val="24"/>
              </w:rPr>
              <w:t>年版）》中的禁止准入类事项。</w:t>
            </w:r>
          </w:p>
          <w:p w14:paraId="65777EA2" w14:textId="77777777" w:rsidR="00F76A63" w:rsidRDefault="00000000">
            <w:pPr>
              <w:adjustRightInd w:val="0"/>
              <w:snapToGrid w:val="0"/>
              <w:spacing w:line="500" w:lineRule="exact"/>
              <w:ind w:firstLineChars="200" w:firstLine="482"/>
              <w:rPr>
                <w:b/>
                <w:bCs/>
                <w:sz w:val="24"/>
              </w:rPr>
            </w:pPr>
            <w:bookmarkStart w:id="25" w:name="OLE_LINK52"/>
            <w:r>
              <w:rPr>
                <w:b/>
                <w:bCs/>
                <w:sz w:val="24"/>
              </w:rPr>
              <w:t>2</w:t>
            </w:r>
            <w:r>
              <w:rPr>
                <w:b/>
                <w:bCs/>
                <w:sz w:val="24"/>
              </w:rPr>
              <w:t>）与《长江经济带发展负面清单指南（试行，</w:t>
            </w:r>
            <w:r>
              <w:rPr>
                <w:b/>
                <w:bCs/>
                <w:sz w:val="24"/>
              </w:rPr>
              <w:t>2022</w:t>
            </w:r>
            <w:r>
              <w:rPr>
                <w:b/>
                <w:bCs/>
                <w:sz w:val="24"/>
              </w:rPr>
              <w:t>年版）》相符性分析</w:t>
            </w:r>
          </w:p>
          <w:p w14:paraId="3441FFF1" w14:textId="77777777" w:rsidR="00F76A63" w:rsidRDefault="00000000">
            <w:pPr>
              <w:adjustRightInd w:val="0"/>
              <w:snapToGrid w:val="0"/>
              <w:spacing w:line="500" w:lineRule="exact"/>
              <w:ind w:firstLineChars="200" w:firstLine="480"/>
              <w:rPr>
                <w:sz w:val="24"/>
              </w:rPr>
            </w:pPr>
            <w:r>
              <w:rPr>
                <w:sz w:val="24"/>
              </w:rPr>
              <w:t>对照《长江经济带发展负面清单指南（试行，</w:t>
            </w:r>
            <w:r>
              <w:rPr>
                <w:sz w:val="24"/>
              </w:rPr>
              <w:t>2022</w:t>
            </w:r>
            <w:r>
              <w:rPr>
                <w:sz w:val="24"/>
              </w:rPr>
              <w:t>年版）》及《</w:t>
            </w:r>
            <w:r>
              <w:rPr>
                <w:sz w:val="24"/>
              </w:rPr>
              <w:t>&lt;</w:t>
            </w:r>
            <w:r>
              <w:rPr>
                <w:sz w:val="24"/>
              </w:rPr>
              <w:t>长江经济带发展负面清单指南（试行，</w:t>
            </w:r>
            <w:r>
              <w:rPr>
                <w:sz w:val="24"/>
              </w:rPr>
              <w:t>2022</w:t>
            </w:r>
            <w:r>
              <w:rPr>
                <w:sz w:val="24"/>
              </w:rPr>
              <w:t>年版）</w:t>
            </w:r>
            <w:r>
              <w:rPr>
                <w:sz w:val="24"/>
              </w:rPr>
              <w:t>&gt;</w:t>
            </w:r>
            <w:r>
              <w:rPr>
                <w:sz w:val="24"/>
              </w:rPr>
              <w:t>江苏省实施细则》中的要求，本项目符合指南管控要求。具体管控要求及对照分析见表</w:t>
            </w:r>
            <w:r>
              <w:rPr>
                <w:sz w:val="24"/>
              </w:rPr>
              <w:t>1-5~</w:t>
            </w:r>
            <w:r>
              <w:rPr>
                <w:sz w:val="24"/>
              </w:rPr>
              <w:t>表</w:t>
            </w:r>
            <w:r>
              <w:rPr>
                <w:sz w:val="24"/>
              </w:rPr>
              <w:t>1-6</w:t>
            </w:r>
            <w:r>
              <w:rPr>
                <w:sz w:val="24"/>
              </w:rPr>
              <w:t>。</w:t>
            </w:r>
          </w:p>
          <w:p w14:paraId="63049A63" w14:textId="77777777" w:rsidR="00F76A63" w:rsidRDefault="00000000">
            <w:pPr>
              <w:adjustRightInd w:val="0"/>
              <w:snapToGrid w:val="0"/>
              <w:spacing w:line="500" w:lineRule="exact"/>
              <w:ind w:firstLineChars="200" w:firstLine="482"/>
              <w:jc w:val="center"/>
              <w:rPr>
                <w:b/>
                <w:sz w:val="24"/>
              </w:rPr>
            </w:pPr>
            <w:r>
              <w:rPr>
                <w:b/>
                <w:sz w:val="24"/>
              </w:rPr>
              <w:t>表</w:t>
            </w:r>
            <w:r>
              <w:rPr>
                <w:b/>
                <w:sz w:val="24"/>
              </w:rPr>
              <w:t xml:space="preserve">1-5  </w:t>
            </w:r>
            <w:r>
              <w:rPr>
                <w:b/>
                <w:sz w:val="24"/>
              </w:rPr>
              <w:t>与《长江经济带发展负面清单指南（试行，</w:t>
            </w:r>
            <w:r>
              <w:rPr>
                <w:b/>
                <w:sz w:val="24"/>
              </w:rPr>
              <w:t>2022</w:t>
            </w:r>
            <w:r>
              <w:rPr>
                <w:b/>
                <w:sz w:val="24"/>
              </w:rPr>
              <w:t>年版）》符合性分析</w:t>
            </w:r>
          </w:p>
          <w:tbl>
            <w:tblPr>
              <w:tblW w:w="5000" w:type="pct"/>
              <w:tblInd w:w="108" w:type="dxa"/>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692"/>
              <w:gridCol w:w="4073"/>
              <w:gridCol w:w="2014"/>
              <w:gridCol w:w="1034"/>
            </w:tblGrid>
            <w:tr w:rsidR="00F76A63" w14:paraId="3DF85395" w14:textId="77777777">
              <w:trPr>
                <w:trHeight w:val="340"/>
              </w:trPr>
              <w:tc>
                <w:tcPr>
                  <w:tcW w:w="602" w:type="dxa"/>
                  <w:tcBorders>
                    <w:top w:val="single" w:sz="12" w:space="0" w:color="auto"/>
                    <w:left w:val="nil"/>
                    <w:bottom w:val="single" w:sz="4" w:space="0" w:color="auto"/>
                    <w:right w:val="single" w:sz="4" w:space="0" w:color="auto"/>
                  </w:tcBorders>
                  <w:vAlign w:val="center"/>
                </w:tcPr>
                <w:p w14:paraId="42A3C000" w14:textId="77777777" w:rsidR="00F76A63" w:rsidRDefault="00000000">
                  <w:pPr>
                    <w:adjustRightInd w:val="0"/>
                    <w:snapToGrid w:val="0"/>
                    <w:jc w:val="center"/>
                    <w:rPr>
                      <w:b/>
                      <w:szCs w:val="21"/>
                    </w:rPr>
                  </w:pPr>
                  <w:r>
                    <w:rPr>
                      <w:b/>
                      <w:szCs w:val="21"/>
                    </w:rPr>
                    <w:t>序号</w:t>
                  </w:r>
                </w:p>
              </w:tc>
              <w:tc>
                <w:tcPr>
                  <w:tcW w:w="3544" w:type="dxa"/>
                  <w:tcBorders>
                    <w:top w:val="single" w:sz="12" w:space="0" w:color="auto"/>
                    <w:left w:val="single" w:sz="4" w:space="0" w:color="auto"/>
                    <w:bottom w:val="single" w:sz="4" w:space="0" w:color="auto"/>
                    <w:right w:val="single" w:sz="4" w:space="0" w:color="auto"/>
                  </w:tcBorders>
                  <w:vAlign w:val="center"/>
                </w:tcPr>
                <w:p w14:paraId="1F099964" w14:textId="77777777" w:rsidR="00F76A63" w:rsidRDefault="00000000">
                  <w:pPr>
                    <w:adjustRightInd w:val="0"/>
                    <w:snapToGrid w:val="0"/>
                    <w:jc w:val="center"/>
                    <w:rPr>
                      <w:b/>
                      <w:szCs w:val="21"/>
                    </w:rPr>
                  </w:pPr>
                  <w:r>
                    <w:rPr>
                      <w:b/>
                      <w:szCs w:val="21"/>
                    </w:rPr>
                    <w:t>文件相关内容</w:t>
                  </w:r>
                </w:p>
              </w:tc>
              <w:tc>
                <w:tcPr>
                  <w:tcW w:w="1752" w:type="dxa"/>
                  <w:tcBorders>
                    <w:top w:val="single" w:sz="12" w:space="0" w:color="auto"/>
                    <w:left w:val="single" w:sz="4" w:space="0" w:color="auto"/>
                    <w:bottom w:val="single" w:sz="4" w:space="0" w:color="auto"/>
                    <w:right w:val="single" w:sz="4" w:space="0" w:color="auto"/>
                  </w:tcBorders>
                  <w:vAlign w:val="center"/>
                </w:tcPr>
                <w:p w14:paraId="4E4E5F8D" w14:textId="77777777" w:rsidR="00F76A63" w:rsidRDefault="00000000">
                  <w:pPr>
                    <w:adjustRightInd w:val="0"/>
                    <w:snapToGrid w:val="0"/>
                    <w:jc w:val="center"/>
                    <w:rPr>
                      <w:b/>
                      <w:szCs w:val="21"/>
                    </w:rPr>
                  </w:pPr>
                  <w:r>
                    <w:rPr>
                      <w:b/>
                      <w:szCs w:val="21"/>
                    </w:rPr>
                    <w:t>本项目建设内容</w:t>
                  </w:r>
                </w:p>
              </w:tc>
              <w:tc>
                <w:tcPr>
                  <w:tcW w:w="900" w:type="dxa"/>
                  <w:tcBorders>
                    <w:top w:val="single" w:sz="12" w:space="0" w:color="auto"/>
                    <w:left w:val="single" w:sz="4" w:space="0" w:color="auto"/>
                    <w:bottom w:val="single" w:sz="4" w:space="0" w:color="auto"/>
                    <w:right w:val="nil"/>
                  </w:tcBorders>
                  <w:vAlign w:val="center"/>
                </w:tcPr>
                <w:p w14:paraId="2FB49657" w14:textId="77777777" w:rsidR="00F76A63" w:rsidRDefault="00000000">
                  <w:pPr>
                    <w:adjustRightInd w:val="0"/>
                    <w:snapToGrid w:val="0"/>
                    <w:jc w:val="center"/>
                    <w:rPr>
                      <w:b/>
                      <w:szCs w:val="21"/>
                    </w:rPr>
                  </w:pPr>
                  <w:r>
                    <w:rPr>
                      <w:b/>
                      <w:szCs w:val="21"/>
                    </w:rPr>
                    <w:t>符合性分析</w:t>
                  </w:r>
                </w:p>
              </w:tc>
            </w:tr>
            <w:tr w:rsidR="00F76A63" w14:paraId="7F7389D9" w14:textId="77777777">
              <w:trPr>
                <w:trHeight w:val="340"/>
              </w:trPr>
              <w:tc>
                <w:tcPr>
                  <w:tcW w:w="602" w:type="dxa"/>
                  <w:tcBorders>
                    <w:top w:val="single" w:sz="4" w:space="0" w:color="auto"/>
                    <w:left w:val="nil"/>
                    <w:bottom w:val="single" w:sz="4" w:space="0" w:color="auto"/>
                    <w:right w:val="single" w:sz="4" w:space="0" w:color="auto"/>
                  </w:tcBorders>
                  <w:vAlign w:val="center"/>
                </w:tcPr>
                <w:p w14:paraId="7AAB5C02" w14:textId="77777777" w:rsidR="00F76A63" w:rsidRDefault="00000000">
                  <w:pPr>
                    <w:adjustRightInd w:val="0"/>
                    <w:snapToGrid w:val="0"/>
                    <w:jc w:val="center"/>
                    <w:rPr>
                      <w:szCs w:val="21"/>
                    </w:rPr>
                  </w:pPr>
                  <w:r>
                    <w:rPr>
                      <w:szCs w:val="21"/>
                    </w:rPr>
                    <w:t>1</w:t>
                  </w:r>
                </w:p>
              </w:tc>
              <w:tc>
                <w:tcPr>
                  <w:tcW w:w="3544" w:type="dxa"/>
                  <w:tcBorders>
                    <w:top w:val="single" w:sz="4" w:space="0" w:color="auto"/>
                    <w:left w:val="single" w:sz="4" w:space="0" w:color="auto"/>
                    <w:bottom w:val="single" w:sz="4" w:space="0" w:color="auto"/>
                    <w:right w:val="single" w:sz="4" w:space="0" w:color="auto"/>
                  </w:tcBorders>
                  <w:vAlign w:val="center"/>
                </w:tcPr>
                <w:p w14:paraId="1AF5B39D" w14:textId="77777777" w:rsidR="00F76A63" w:rsidRDefault="00000000">
                  <w:pPr>
                    <w:adjustRightInd w:val="0"/>
                    <w:snapToGrid w:val="0"/>
                    <w:jc w:val="center"/>
                    <w:rPr>
                      <w:szCs w:val="21"/>
                    </w:rPr>
                  </w:pPr>
                  <w:r>
                    <w:rPr>
                      <w:szCs w:val="21"/>
                    </w:rPr>
                    <w:t>禁止建设不符合全国和省级港口布局规划以及港口总体规划的码头项目，禁止建设不符合《长江干线过江通道布局规划》的过长江通道项目。</w:t>
                  </w:r>
                </w:p>
              </w:tc>
              <w:tc>
                <w:tcPr>
                  <w:tcW w:w="1752" w:type="dxa"/>
                  <w:tcBorders>
                    <w:top w:val="single" w:sz="4" w:space="0" w:color="auto"/>
                    <w:left w:val="single" w:sz="4" w:space="0" w:color="auto"/>
                    <w:bottom w:val="single" w:sz="4" w:space="0" w:color="auto"/>
                    <w:right w:val="single" w:sz="4" w:space="0" w:color="auto"/>
                  </w:tcBorders>
                  <w:vAlign w:val="center"/>
                </w:tcPr>
                <w:p w14:paraId="5EF83D50" w14:textId="77777777" w:rsidR="00F76A63" w:rsidRDefault="00000000">
                  <w:pPr>
                    <w:adjustRightInd w:val="0"/>
                    <w:snapToGrid w:val="0"/>
                    <w:jc w:val="center"/>
                    <w:rPr>
                      <w:szCs w:val="21"/>
                    </w:rPr>
                  </w:pPr>
                  <w:r>
                    <w:rPr>
                      <w:szCs w:val="21"/>
                    </w:rPr>
                    <w:t>本项目不属于码头、过长江通道项目。</w:t>
                  </w:r>
                </w:p>
              </w:tc>
              <w:tc>
                <w:tcPr>
                  <w:tcW w:w="900" w:type="dxa"/>
                  <w:tcBorders>
                    <w:top w:val="single" w:sz="4" w:space="0" w:color="auto"/>
                    <w:left w:val="single" w:sz="4" w:space="0" w:color="auto"/>
                    <w:bottom w:val="single" w:sz="4" w:space="0" w:color="auto"/>
                    <w:right w:val="nil"/>
                  </w:tcBorders>
                  <w:vAlign w:val="center"/>
                </w:tcPr>
                <w:p w14:paraId="74551780" w14:textId="77777777" w:rsidR="00F76A63" w:rsidRDefault="00000000">
                  <w:pPr>
                    <w:adjustRightInd w:val="0"/>
                    <w:snapToGrid w:val="0"/>
                    <w:jc w:val="center"/>
                    <w:rPr>
                      <w:szCs w:val="21"/>
                    </w:rPr>
                  </w:pPr>
                  <w:r>
                    <w:rPr>
                      <w:szCs w:val="21"/>
                    </w:rPr>
                    <w:t>相符</w:t>
                  </w:r>
                </w:p>
              </w:tc>
            </w:tr>
            <w:tr w:rsidR="00F76A63" w14:paraId="1B844E1B" w14:textId="77777777">
              <w:trPr>
                <w:trHeight w:val="340"/>
              </w:trPr>
              <w:tc>
                <w:tcPr>
                  <w:tcW w:w="602" w:type="dxa"/>
                  <w:tcBorders>
                    <w:top w:val="single" w:sz="4" w:space="0" w:color="auto"/>
                    <w:left w:val="nil"/>
                    <w:bottom w:val="single" w:sz="4" w:space="0" w:color="auto"/>
                    <w:right w:val="single" w:sz="4" w:space="0" w:color="auto"/>
                  </w:tcBorders>
                  <w:vAlign w:val="center"/>
                </w:tcPr>
                <w:p w14:paraId="0E7C4FE2" w14:textId="77777777" w:rsidR="00F76A63" w:rsidRDefault="00000000">
                  <w:pPr>
                    <w:adjustRightInd w:val="0"/>
                    <w:snapToGrid w:val="0"/>
                    <w:jc w:val="center"/>
                    <w:rPr>
                      <w:szCs w:val="21"/>
                    </w:rPr>
                  </w:pPr>
                  <w:r>
                    <w:rPr>
                      <w:szCs w:val="21"/>
                    </w:rPr>
                    <w:t>2</w:t>
                  </w:r>
                </w:p>
              </w:tc>
              <w:tc>
                <w:tcPr>
                  <w:tcW w:w="3544" w:type="dxa"/>
                  <w:tcBorders>
                    <w:top w:val="single" w:sz="4" w:space="0" w:color="auto"/>
                    <w:left w:val="single" w:sz="4" w:space="0" w:color="auto"/>
                    <w:bottom w:val="single" w:sz="4" w:space="0" w:color="auto"/>
                    <w:right w:val="single" w:sz="4" w:space="0" w:color="auto"/>
                  </w:tcBorders>
                  <w:vAlign w:val="center"/>
                </w:tcPr>
                <w:p w14:paraId="521142EE" w14:textId="77777777" w:rsidR="00F76A63" w:rsidRDefault="00000000">
                  <w:pPr>
                    <w:adjustRightInd w:val="0"/>
                    <w:snapToGrid w:val="0"/>
                    <w:jc w:val="center"/>
                    <w:rPr>
                      <w:szCs w:val="21"/>
                    </w:rPr>
                  </w:pPr>
                  <w:r>
                    <w:rPr>
                      <w:szCs w:val="21"/>
                    </w:rPr>
                    <w:t>禁止在自然保护区核心区、缓冲区的岸线和河段范围内投资建设旅游和生产经营项目。禁止在风景名胜区核心景区的岸线和河段范围内投资建设与风景名胜区资源保护无关的项目。</w:t>
                  </w:r>
                </w:p>
              </w:tc>
              <w:tc>
                <w:tcPr>
                  <w:tcW w:w="1752" w:type="dxa"/>
                  <w:tcBorders>
                    <w:top w:val="single" w:sz="4" w:space="0" w:color="auto"/>
                    <w:left w:val="single" w:sz="4" w:space="0" w:color="auto"/>
                    <w:bottom w:val="single" w:sz="4" w:space="0" w:color="auto"/>
                    <w:right w:val="single" w:sz="4" w:space="0" w:color="auto"/>
                  </w:tcBorders>
                  <w:vAlign w:val="center"/>
                </w:tcPr>
                <w:p w14:paraId="7B417648" w14:textId="77777777" w:rsidR="00F76A63" w:rsidRDefault="00000000">
                  <w:pPr>
                    <w:adjustRightInd w:val="0"/>
                    <w:snapToGrid w:val="0"/>
                    <w:jc w:val="center"/>
                    <w:rPr>
                      <w:szCs w:val="21"/>
                    </w:rPr>
                  </w:pPr>
                  <w:r>
                    <w:rPr>
                      <w:szCs w:val="21"/>
                    </w:rPr>
                    <w:t>本项目评价范围内不涉及自然保护区、风景名胜区。</w:t>
                  </w:r>
                </w:p>
              </w:tc>
              <w:tc>
                <w:tcPr>
                  <w:tcW w:w="900" w:type="dxa"/>
                  <w:tcBorders>
                    <w:top w:val="single" w:sz="4" w:space="0" w:color="auto"/>
                    <w:left w:val="single" w:sz="4" w:space="0" w:color="auto"/>
                    <w:bottom w:val="single" w:sz="4" w:space="0" w:color="auto"/>
                    <w:right w:val="nil"/>
                  </w:tcBorders>
                  <w:vAlign w:val="center"/>
                </w:tcPr>
                <w:p w14:paraId="19638F7C" w14:textId="77777777" w:rsidR="00F76A63" w:rsidRDefault="00000000">
                  <w:pPr>
                    <w:adjustRightInd w:val="0"/>
                    <w:snapToGrid w:val="0"/>
                    <w:jc w:val="center"/>
                    <w:rPr>
                      <w:szCs w:val="21"/>
                    </w:rPr>
                  </w:pPr>
                  <w:r>
                    <w:rPr>
                      <w:szCs w:val="21"/>
                    </w:rPr>
                    <w:t>相符</w:t>
                  </w:r>
                </w:p>
              </w:tc>
            </w:tr>
            <w:tr w:rsidR="00F76A63" w14:paraId="10A248DC" w14:textId="77777777">
              <w:trPr>
                <w:trHeight w:val="340"/>
              </w:trPr>
              <w:tc>
                <w:tcPr>
                  <w:tcW w:w="602" w:type="dxa"/>
                  <w:tcBorders>
                    <w:top w:val="single" w:sz="4" w:space="0" w:color="auto"/>
                    <w:left w:val="nil"/>
                    <w:bottom w:val="single" w:sz="4" w:space="0" w:color="auto"/>
                    <w:right w:val="single" w:sz="4" w:space="0" w:color="auto"/>
                  </w:tcBorders>
                  <w:vAlign w:val="center"/>
                </w:tcPr>
                <w:p w14:paraId="3DB53547" w14:textId="77777777" w:rsidR="00F76A63" w:rsidRDefault="00000000">
                  <w:pPr>
                    <w:adjustRightInd w:val="0"/>
                    <w:snapToGrid w:val="0"/>
                    <w:jc w:val="center"/>
                    <w:rPr>
                      <w:szCs w:val="21"/>
                    </w:rPr>
                  </w:pPr>
                  <w:r>
                    <w:rPr>
                      <w:szCs w:val="21"/>
                    </w:rPr>
                    <w:t>3</w:t>
                  </w:r>
                </w:p>
              </w:tc>
              <w:tc>
                <w:tcPr>
                  <w:tcW w:w="3544" w:type="dxa"/>
                  <w:tcBorders>
                    <w:top w:val="single" w:sz="4" w:space="0" w:color="auto"/>
                    <w:left w:val="single" w:sz="4" w:space="0" w:color="auto"/>
                    <w:bottom w:val="single" w:sz="4" w:space="0" w:color="auto"/>
                    <w:right w:val="single" w:sz="4" w:space="0" w:color="auto"/>
                  </w:tcBorders>
                  <w:vAlign w:val="center"/>
                </w:tcPr>
                <w:p w14:paraId="6BC9CBF8" w14:textId="77777777" w:rsidR="00F76A63" w:rsidRDefault="00000000">
                  <w:pPr>
                    <w:adjustRightInd w:val="0"/>
                    <w:snapToGrid w:val="0"/>
                    <w:jc w:val="center"/>
                    <w:rPr>
                      <w:szCs w:val="21"/>
                    </w:rPr>
                  </w:pPr>
                  <w:r>
                    <w:rPr>
                      <w:szCs w:val="21"/>
                    </w:rPr>
                    <w:t>禁止在饮用水水源一级保护区的岸线和河段范围内新建、改建、扩建与供水设施和保护水源无关的项目，以及网箱养殖、畜</w:t>
                  </w:r>
                  <w:r>
                    <w:rPr>
                      <w:szCs w:val="21"/>
                    </w:rPr>
                    <w:lastRenderedPageBreak/>
                    <w:t>禽养殖、旅游等可能污染饮用水水体的投资建设项目。禁止在饮用水水源二级保护区的岸线和河段范围内新建、改建、扩建排放污染物的投资建设项目。</w:t>
                  </w:r>
                </w:p>
              </w:tc>
              <w:tc>
                <w:tcPr>
                  <w:tcW w:w="1752" w:type="dxa"/>
                  <w:tcBorders>
                    <w:top w:val="single" w:sz="4" w:space="0" w:color="auto"/>
                    <w:left w:val="single" w:sz="4" w:space="0" w:color="auto"/>
                    <w:bottom w:val="single" w:sz="4" w:space="0" w:color="auto"/>
                    <w:right w:val="single" w:sz="4" w:space="0" w:color="auto"/>
                  </w:tcBorders>
                  <w:vAlign w:val="center"/>
                </w:tcPr>
                <w:p w14:paraId="37A2C781" w14:textId="77777777" w:rsidR="00F76A63" w:rsidRDefault="00000000">
                  <w:pPr>
                    <w:adjustRightInd w:val="0"/>
                    <w:snapToGrid w:val="0"/>
                    <w:jc w:val="center"/>
                    <w:rPr>
                      <w:szCs w:val="21"/>
                    </w:rPr>
                  </w:pPr>
                  <w:r>
                    <w:rPr>
                      <w:szCs w:val="21"/>
                    </w:rPr>
                    <w:lastRenderedPageBreak/>
                    <w:t>本项目评价范围内不涉及饮用水水源保护区。</w:t>
                  </w:r>
                </w:p>
              </w:tc>
              <w:tc>
                <w:tcPr>
                  <w:tcW w:w="900" w:type="dxa"/>
                  <w:tcBorders>
                    <w:top w:val="single" w:sz="4" w:space="0" w:color="auto"/>
                    <w:left w:val="single" w:sz="4" w:space="0" w:color="auto"/>
                    <w:bottom w:val="single" w:sz="4" w:space="0" w:color="auto"/>
                    <w:right w:val="nil"/>
                  </w:tcBorders>
                  <w:vAlign w:val="center"/>
                </w:tcPr>
                <w:p w14:paraId="7ACC749B" w14:textId="77777777" w:rsidR="00F76A63" w:rsidRDefault="00000000">
                  <w:pPr>
                    <w:adjustRightInd w:val="0"/>
                    <w:snapToGrid w:val="0"/>
                    <w:jc w:val="center"/>
                    <w:rPr>
                      <w:szCs w:val="21"/>
                    </w:rPr>
                  </w:pPr>
                  <w:r>
                    <w:rPr>
                      <w:szCs w:val="21"/>
                    </w:rPr>
                    <w:t>相符</w:t>
                  </w:r>
                </w:p>
              </w:tc>
            </w:tr>
            <w:tr w:rsidR="00F76A63" w14:paraId="52EFCF0F" w14:textId="77777777">
              <w:trPr>
                <w:trHeight w:val="340"/>
              </w:trPr>
              <w:tc>
                <w:tcPr>
                  <w:tcW w:w="602" w:type="dxa"/>
                  <w:tcBorders>
                    <w:top w:val="single" w:sz="4" w:space="0" w:color="auto"/>
                    <w:left w:val="nil"/>
                    <w:bottom w:val="single" w:sz="4" w:space="0" w:color="auto"/>
                    <w:right w:val="single" w:sz="4" w:space="0" w:color="auto"/>
                  </w:tcBorders>
                  <w:vAlign w:val="center"/>
                </w:tcPr>
                <w:p w14:paraId="3CD1DECA" w14:textId="77777777" w:rsidR="00F76A63" w:rsidRDefault="00000000">
                  <w:pPr>
                    <w:adjustRightInd w:val="0"/>
                    <w:snapToGrid w:val="0"/>
                    <w:jc w:val="center"/>
                    <w:rPr>
                      <w:szCs w:val="21"/>
                    </w:rPr>
                  </w:pPr>
                  <w:r>
                    <w:rPr>
                      <w:szCs w:val="21"/>
                    </w:rPr>
                    <w:t>4</w:t>
                  </w:r>
                </w:p>
              </w:tc>
              <w:tc>
                <w:tcPr>
                  <w:tcW w:w="3544" w:type="dxa"/>
                  <w:tcBorders>
                    <w:top w:val="single" w:sz="4" w:space="0" w:color="auto"/>
                    <w:left w:val="single" w:sz="4" w:space="0" w:color="auto"/>
                    <w:bottom w:val="single" w:sz="4" w:space="0" w:color="auto"/>
                    <w:right w:val="single" w:sz="4" w:space="0" w:color="auto"/>
                  </w:tcBorders>
                  <w:vAlign w:val="center"/>
                </w:tcPr>
                <w:p w14:paraId="5A5CAE11" w14:textId="77777777" w:rsidR="00F76A63" w:rsidRDefault="00000000">
                  <w:pPr>
                    <w:adjustRightInd w:val="0"/>
                    <w:snapToGrid w:val="0"/>
                    <w:jc w:val="center"/>
                    <w:rPr>
                      <w:szCs w:val="21"/>
                    </w:rPr>
                  </w:pPr>
                  <w:r>
                    <w:rPr>
                      <w:szCs w:val="21"/>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752" w:type="dxa"/>
                  <w:tcBorders>
                    <w:top w:val="single" w:sz="4" w:space="0" w:color="auto"/>
                    <w:left w:val="single" w:sz="4" w:space="0" w:color="auto"/>
                    <w:bottom w:val="single" w:sz="4" w:space="0" w:color="auto"/>
                    <w:right w:val="single" w:sz="4" w:space="0" w:color="auto"/>
                  </w:tcBorders>
                  <w:vAlign w:val="center"/>
                </w:tcPr>
                <w:p w14:paraId="308EB558" w14:textId="77777777" w:rsidR="00F76A63" w:rsidRDefault="00000000">
                  <w:pPr>
                    <w:adjustRightInd w:val="0"/>
                    <w:snapToGrid w:val="0"/>
                    <w:jc w:val="center"/>
                    <w:rPr>
                      <w:szCs w:val="21"/>
                    </w:rPr>
                  </w:pPr>
                  <w:r>
                    <w:rPr>
                      <w:szCs w:val="21"/>
                    </w:rPr>
                    <w:t>本项目评价范围内不涉及水产种质资源保护区、国家湿地公园的岸线和河段。</w:t>
                  </w:r>
                </w:p>
              </w:tc>
              <w:tc>
                <w:tcPr>
                  <w:tcW w:w="900" w:type="dxa"/>
                  <w:tcBorders>
                    <w:top w:val="single" w:sz="4" w:space="0" w:color="auto"/>
                    <w:left w:val="single" w:sz="4" w:space="0" w:color="auto"/>
                    <w:bottom w:val="single" w:sz="4" w:space="0" w:color="auto"/>
                    <w:right w:val="nil"/>
                  </w:tcBorders>
                  <w:vAlign w:val="center"/>
                </w:tcPr>
                <w:p w14:paraId="6DCFAB69" w14:textId="77777777" w:rsidR="00F76A63" w:rsidRDefault="00000000">
                  <w:pPr>
                    <w:adjustRightInd w:val="0"/>
                    <w:snapToGrid w:val="0"/>
                    <w:jc w:val="center"/>
                    <w:rPr>
                      <w:szCs w:val="21"/>
                    </w:rPr>
                  </w:pPr>
                  <w:r>
                    <w:rPr>
                      <w:szCs w:val="21"/>
                    </w:rPr>
                    <w:t>相符</w:t>
                  </w:r>
                </w:p>
              </w:tc>
            </w:tr>
            <w:tr w:rsidR="00F76A63" w14:paraId="1F1B5D1D" w14:textId="77777777">
              <w:trPr>
                <w:trHeight w:val="340"/>
              </w:trPr>
              <w:tc>
                <w:tcPr>
                  <w:tcW w:w="602" w:type="dxa"/>
                  <w:tcBorders>
                    <w:top w:val="single" w:sz="4" w:space="0" w:color="auto"/>
                    <w:left w:val="nil"/>
                    <w:bottom w:val="single" w:sz="4" w:space="0" w:color="auto"/>
                    <w:right w:val="single" w:sz="4" w:space="0" w:color="auto"/>
                  </w:tcBorders>
                  <w:vAlign w:val="center"/>
                </w:tcPr>
                <w:p w14:paraId="54E74C4A" w14:textId="77777777" w:rsidR="00F76A63" w:rsidRDefault="00000000">
                  <w:pPr>
                    <w:adjustRightInd w:val="0"/>
                    <w:snapToGrid w:val="0"/>
                    <w:jc w:val="center"/>
                    <w:rPr>
                      <w:szCs w:val="21"/>
                    </w:rPr>
                  </w:pPr>
                  <w:r>
                    <w:rPr>
                      <w:szCs w:val="21"/>
                    </w:rPr>
                    <w:t>5</w:t>
                  </w:r>
                </w:p>
              </w:tc>
              <w:tc>
                <w:tcPr>
                  <w:tcW w:w="3544" w:type="dxa"/>
                  <w:tcBorders>
                    <w:top w:val="single" w:sz="4" w:space="0" w:color="auto"/>
                    <w:left w:val="single" w:sz="4" w:space="0" w:color="auto"/>
                    <w:bottom w:val="single" w:sz="4" w:space="0" w:color="auto"/>
                    <w:right w:val="single" w:sz="4" w:space="0" w:color="auto"/>
                  </w:tcBorders>
                  <w:vAlign w:val="center"/>
                </w:tcPr>
                <w:p w14:paraId="4866848E" w14:textId="77777777" w:rsidR="00F76A63" w:rsidRDefault="00000000">
                  <w:pPr>
                    <w:adjustRightInd w:val="0"/>
                    <w:snapToGrid w:val="0"/>
                    <w:jc w:val="center"/>
                    <w:rPr>
                      <w:szCs w:val="21"/>
                    </w:rPr>
                  </w:pPr>
                  <w:r>
                    <w:rPr>
                      <w:szCs w:val="21"/>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752" w:type="dxa"/>
                  <w:tcBorders>
                    <w:top w:val="single" w:sz="4" w:space="0" w:color="auto"/>
                    <w:left w:val="single" w:sz="4" w:space="0" w:color="auto"/>
                    <w:bottom w:val="single" w:sz="4" w:space="0" w:color="auto"/>
                    <w:right w:val="single" w:sz="4" w:space="0" w:color="auto"/>
                  </w:tcBorders>
                  <w:vAlign w:val="center"/>
                </w:tcPr>
                <w:p w14:paraId="1FF814FA" w14:textId="77777777" w:rsidR="00F76A63" w:rsidRDefault="00000000">
                  <w:pPr>
                    <w:adjustRightInd w:val="0"/>
                    <w:snapToGrid w:val="0"/>
                    <w:jc w:val="center"/>
                    <w:rPr>
                      <w:szCs w:val="21"/>
                    </w:rPr>
                  </w:pPr>
                  <w:r>
                    <w:rPr>
                      <w:szCs w:val="21"/>
                    </w:rPr>
                    <w:t>本项目不涉及岸线，经核实本项目选址不在《长江岸线保护和开发利用总体规划》划定的岸线保护区和保留区内，不在《全国重要江河湖泊水功能区划》划定的河段及湖泊保护区、保留区内。</w:t>
                  </w:r>
                </w:p>
              </w:tc>
              <w:tc>
                <w:tcPr>
                  <w:tcW w:w="900" w:type="dxa"/>
                  <w:tcBorders>
                    <w:top w:val="single" w:sz="4" w:space="0" w:color="auto"/>
                    <w:left w:val="single" w:sz="4" w:space="0" w:color="auto"/>
                    <w:bottom w:val="single" w:sz="4" w:space="0" w:color="auto"/>
                    <w:right w:val="nil"/>
                  </w:tcBorders>
                  <w:vAlign w:val="center"/>
                </w:tcPr>
                <w:p w14:paraId="0B49890D" w14:textId="77777777" w:rsidR="00F76A63" w:rsidRDefault="00000000">
                  <w:pPr>
                    <w:adjustRightInd w:val="0"/>
                    <w:snapToGrid w:val="0"/>
                    <w:jc w:val="center"/>
                    <w:rPr>
                      <w:szCs w:val="21"/>
                    </w:rPr>
                  </w:pPr>
                  <w:r>
                    <w:rPr>
                      <w:szCs w:val="21"/>
                    </w:rPr>
                    <w:t>相符</w:t>
                  </w:r>
                </w:p>
              </w:tc>
            </w:tr>
            <w:tr w:rsidR="00F76A63" w14:paraId="5F51CE92" w14:textId="77777777">
              <w:trPr>
                <w:trHeight w:val="340"/>
              </w:trPr>
              <w:tc>
                <w:tcPr>
                  <w:tcW w:w="602" w:type="dxa"/>
                  <w:tcBorders>
                    <w:top w:val="single" w:sz="4" w:space="0" w:color="auto"/>
                    <w:left w:val="nil"/>
                    <w:bottom w:val="single" w:sz="4" w:space="0" w:color="auto"/>
                    <w:right w:val="single" w:sz="4" w:space="0" w:color="auto"/>
                  </w:tcBorders>
                  <w:vAlign w:val="center"/>
                </w:tcPr>
                <w:p w14:paraId="77CFED82" w14:textId="77777777" w:rsidR="00F76A63" w:rsidRDefault="00000000">
                  <w:pPr>
                    <w:adjustRightInd w:val="0"/>
                    <w:snapToGrid w:val="0"/>
                    <w:jc w:val="center"/>
                    <w:rPr>
                      <w:szCs w:val="21"/>
                    </w:rPr>
                  </w:pPr>
                  <w:r>
                    <w:rPr>
                      <w:szCs w:val="21"/>
                    </w:rPr>
                    <w:t>6</w:t>
                  </w:r>
                </w:p>
              </w:tc>
              <w:tc>
                <w:tcPr>
                  <w:tcW w:w="3544" w:type="dxa"/>
                  <w:tcBorders>
                    <w:top w:val="single" w:sz="4" w:space="0" w:color="auto"/>
                    <w:left w:val="single" w:sz="4" w:space="0" w:color="auto"/>
                    <w:bottom w:val="single" w:sz="4" w:space="0" w:color="auto"/>
                    <w:right w:val="single" w:sz="4" w:space="0" w:color="auto"/>
                  </w:tcBorders>
                  <w:vAlign w:val="center"/>
                </w:tcPr>
                <w:p w14:paraId="7ED79B78" w14:textId="77777777" w:rsidR="00F76A63" w:rsidRDefault="00000000">
                  <w:pPr>
                    <w:adjustRightInd w:val="0"/>
                    <w:snapToGrid w:val="0"/>
                    <w:jc w:val="center"/>
                    <w:rPr>
                      <w:szCs w:val="21"/>
                    </w:rPr>
                  </w:pPr>
                  <w:r>
                    <w:rPr>
                      <w:szCs w:val="21"/>
                    </w:rPr>
                    <w:t>禁止未经许可在长江干支流及湖泊新设、改设或扩大排污口。</w:t>
                  </w:r>
                </w:p>
              </w:tc>
              <w:tc>
                <w:tcPr>
                  <w:tcW w:w="1752" w:type="dxa"/>
                  <w:tcBorders>
                    <w:top w:val="single" w:sz="4" w:space="0" w:color="auto"/>
                    <w:left w:val="single" w:sz="4" w:space="0" w:color="auto"/>
                    <w:bottom w:val="single" w:sz="4" w:space="0" w:color="auto"/>
                    <w:right w:val="single" w:sz="4" w:space="0" w:color="auto"/>
                  </w:tcBorders>
                  <w:vAlign w:val="center"/>
                </w:tcPr>
                <w:p w14:paraId="3074458D" w14:textId="77777777" w:rsidR="00F76A63" w:rsidRDefault="00000000">
                  <w:pPr>
                    <w:adjustRightInd w:val="0"/>
                    <w:snapToGrid w:val="0"/>
                    <w:jc w:val="center"/>
                    <w:rPr>
                      <w:szCs w:val="21"/>
                    </w:rPr>
                  </w:pPr>
                  <w:r>
                    <w:rPr>
                      <w:szCs w:val="21"/>
                    </w:rPr>
                    <w:t>本项目不设置入河排污口。</w:t>
                  </w:r>
                </w:p>
              </w:tc>
              <w:tc>
                <w:tcPr>
                  <w:tcW w:w="900" w:type="dxa"/>
                  <w:tcBorders>
                    <w:top w:val="single" w:sz="4" w:space="0" w:color="auto"/>
                    <w:left w:val="single" w:sz="4" w:space="0" w:color="auto"/>
                    <w:bottom w:val="single" w:sz="4" w:space="0" w:color="auto"/>
                    <w:right w:val="nil"/>
                  </w:tcBorders>
                  <w:vAlign w:val="center"/>
                </w:tcPr>
                <w:p w14:paraId="779D0EE8" w14:textId="77777777" w:rsidR="00F76A63" w:rsidRDefault="00000000">
                  <w:pPr>
                    <w:adjustRightInd w:val="0"/>
                    <w:snapToGrid w:val="0"/>
                    <w:jc w:val="center"/>
                    <w:rPr>
                      <w:szCs w:val="21"/>
                    </w:rPr>
                  </w:pPr>
                  <w:r>
                    <w:rPr>
                      <w:szCs w:val="21"/>
                    </w:rPr>
                    <w:t>相符</w:t>
                  </w:r>
                </w:p>
              </w:tc>
            </w:tr>
            <w:tr w:rsidR="00F76A63" w14:paraId="3D5ABBAE" w14:textId="77777777">
              <w:trPr>
                <w:trHeight w:val="340"/>
              </w:trPr>
              <w:tc>
                <w:tcPr>
                  <w:tcW w:w="602" w:type="dxa"/>
                  <w:tcBorders>
                    <w:top w:val="single" w:sz="4" w:space="0" w:color="auto"/>
                    <w:left w:val="nil"/>
                    <w:bottom w:val="single" w:sz="4" w:space="0" w:color="auto"/>
                    <w:right w:val="single" w:sz="4" w:space="0" w:color="auto"/>
                  </w:tcBorders>
                  <w:vAlign w:val="center"/>
                </w:tcPr>
                <w:p w14:paraId="606E8D48" w14:textId="77777777" w:rsidR="00F76A63" w:rsidRDefault="00000000">
                  <w:pPr>
                    <w:adjustRightInd w:val="0"/>
                    <w:snapToGrid w:val="0"/>
                    <w:jc w:val="center"/>
                    <w:rPr>
                      <w:szCs w:val="21"/>
                    </w:rPr>
                  </w:pPr>
                  <w:r>
                    <w:rPr>
                      <w:szCs w:val="21"/>
                    </w:rPr>
                    <w:t>7</w:t>
                  </w:r>
                </w:p>
              </w:tc>
              <w:tc>
                <w:tcPr>
                  <w:tcW w:w="3544" w:type="dxa"/>
                  <w:tcBorders>
                    <w:top w:val="single" w:sz="4" w:space="0" w:color="auto"/>
                    <w:left w:val="single" w:sz="4" w:space="0" w:color="auto"/>
                    <w:bottom w:val="single" w:sz="4" w:space="0" w:color="auto"/>
                    <w:right w:val="single" w:sz="4" w:space="0" w:color="auto"/>
                  </w:tcBorders>
                  <w:vAlign w:val="center"/>
                </w:tcPr>
                <w:p w14:paraId="0C2EDF9F" w14:textId="77777777" w:rsidR="00F76A63" w:rsidRDefault="00000000">
                  <w:pPr>
                    <w:adjustRightInd w:val="0"/>
                    <w:snapToGrid w:val="0"/>
                    <w:jc w:val="center"/>
                    <w:rPr>
                      <w:szCs w:val="21"/>
                    </w:rPr>
                  </w:pPr>
                  <w:r>
                    <w:rPr>
                      <w:szCs w:val="21"/>
                    </w:rPr>
                    <w:t>禁止在</w:t>
                  </w:r>
                  <w:r>
                    <w:rPr>
                      <w:szCs w:val="21"/>
                    </w:rPr>
                    <w:t>“</w:t>
                  </w:r>
                  <w:r>
                    <w:rPr>
                      <w:szCs w:val="21"/>
                    </w:rPr>
                    <w:t>一江一口两湖七河</w:t>
                  </w:r>
                  <w:r>
                    <w:rPr>
                      <w:szCs w:val="21"/>
                    </w:rPr>
                    <w:t>”</w:t>
                  </w:r>
                  <w:r>
                    <w:rPr>
                      <w:szCs w:val="21"/>
                    </w:rPr>
                    <w:t>和</w:t>
                  </w:r>
                  <w:r>
                    <w:rPr>
                      <w:szCs w:val="21"/>
                    </w:rPr>
                    <w:t>332</w:t>
                  </w:r>
                  <w:r>
                    <w:rPr>
                      <w:szCs w:val="21"/>
                    </w:rPr>
                    <w:t>个水生生物保护区开展生产性捕捞。</w:t>
                  </w:r>
                </w:p>
              </w:tc>
              <w:tc>
                <w:tcPr>
                  <w:tcW w:w="1752" w:type="dxa"/>
                  <w:tcBorders>
                    <w:top w:val="single" w:sz="4" w:space="0" w:color="auto"/>
                    <w:left w:val="single" w:sz="4" w:space="0" w:color="auto"/>
                    <w:bottom w:val="single" w:sz="4" w:space="0" w:color="auto"/>
                    <w:right w:val="single" w:sz="4" w:space="0" w:color="auto"/>
                  </w:tcBorders>
                  <w:vAlign w:val="center"/>
                </w:tcPr>
                <w:p w14:paraId="7D458FC7" w14:textId="77777777" w:rsidR="00F76A63" w:rsidRDefault="00000000">
                  <w:pPr>
                    <w:adjustRightInd w:val="0"/>
                    <w:snapToGrid w:val="0"/>
                    <w:jc w:val="center"/>
                    <w:rPr>
                      <w:szCs w:val="21"/>
                    </w:rPr>
                  </w:pPr>
                  <w:r>
                    <w:rPr>
                      <w:szCs w:val="21"/>
                    </w:rPr>
                    <w:t>本项目不涉及生产性捕捞。</w:t>
                  </w:r>
                </w:p>
              </w:tc>
              <w:tc>
                <w:tcPr>
                  <w:tcW w:w="900" w:type="dxa"/>
                  <w:tcBorders>
                    <w:top w:val="single" w:sz="4" w:space="0" w:color="auto"/>
                    <w:left w:val="single" w:sz="4" w:space="0" w:color="auto"/>
                    <w:bottom w:val="single" w:sz="4" w:space="0" w:color="auto"/>
                    <w:right w:val="nil"/>
                  </w:tcBorders>
                  <w:vAlign w:val="center"/>
                </w:tcPr>
                <w:p w14:paraId="70A9CE42" w14:textId="77777777" w:rsidR="00F76A63" w:rsidRDefault="00000000">
                  <w:pPr>
                    <w:adjustRightInd w:val="0"/>
                    <w:snapToGrid w:val="0"/>
                    <w:jc w:val="center"/>
                    <w:rPr>
                      <w:szCs w:val="21"/>
                    </w:rPr>
                  </w:pPr>
                  <w:r>
                    <w:rPr>
                      <w:szCs w:val="21"/>
                    </w:rPr>
                    <w:t>相符</w:t>
                  </w:r>
                </w:p>
              </w:tc>
            </w:tr>
            <w:tr w:rsidR="00F76A63" w14:paraId="32F62B17" w14:textId="77777777">
              <w:trPr>
                <w:trHeight w:val="340"/>
              </w:trPr>
              <w:tc>
                <w:tcPr>
                  <w:tcW w:w="602" w:type="dxa"/>
                  <w:tcBorders>
                    <w:top w:val="single" w:sz="4" w:space="0" w:color="auto"/>
                    <w:left w:val="nil"/>
                    <w:bottom w:val="single" w:sz="4" w:space="0" w:color="auto"/>
                    <w:right w:val="single" w:sz="4" w:space="0" w:color="auto"/>
                  </w:tcBorders>
                  <w:vAlign w:val="center"/>
                </w:tcPr>
                <w:p w14:paraId="5CDEC5DF" w14:textId="77777777" w:rsidR="00F76A63" w:rsidRDefault="00000000">
                  <w:pPr>
                    <w:adjustRightInd w:val="0"/>
                    <w:snapToGrid w:val="0"/>
                    <w:jc w:val="center"/>
                    <w:rPr>
                      <w:szCs w:val="21"/>
                    </w:rPr>
                  </w:pPr>
                  <w:r>
                    <w:rPr>
                      <w:szCs w:val="21"/>
                    </w:rPr>
                    <w:t>8</w:t>
                  </w:r>
                </w:p>
              </w:tc>
              <w:tc>
                <w:tcPr>
                  <w:tcW w:w="3544" w:type="dxa"/>
                  <w:tcBorders>
                    <w:top w:val="single" w:sz="4" w:space="0" w:color="auto"/>
                    <w:left w:val="single" w:sz="4" w:space="0" w:color="auto"/>
                    <w:bottom w:val="single" w:sz="4" w:space="0" w:color="auto"/>
                    <w:right w:val="single" w:sz="4" w:space="0" w:color="auto"/>
                  </w:tcBorders>
                  <w:vAlign w:val="center"/>
                </w:tcPr>
                <w:p w14:paraId="6959D6AC" w14:textId="77777777" w:rsidR="00F76A63" w:rsidRDefault="00000000">
                  <w:pPr>
                    <w:adjustRightInd w:val="0"/>
                    <w:snapToGrid w:val="0"/>
                    <w:jc w:val="center"/>
                    <w:rPr>
                      <w:szCs w:val="21"/>
                    </w:rPr>
                  </w:pPr>
                  <w:r>
                    <w:rPr>
                      <w:szCs w:val="21"/>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752" w:type="dxa"/>
                  <w:tcBorders>
                    <w:top w:val="single" w:sz="4" w:space="0" w:color="auto"/>
                    <w:left w:val="single" w:sz="4" w:space="0" w:color="auto"/>
                    <w:bottom w:val="single" w:sz="4" w:space="0" w:color="auto"/>
                    <w:right w:val="single" w:sz="4" w:space="0" w:color="auto"/>
                  </w:tcBorders>
                  <w:vAlign w:val="center"/>
                </w:tcPr>
                <w:p w14:paraId="368D7C72" w14:textId="77777777" w:rsidR="00F76A63" w:rsidRDefault="00000000">
                  <w:pPr>
                    <w:adjustRightInd w:val="0"/>
                    <w:snapToGrid w:val="0"/>
                    <w:jc w:val="center"/>
                    <w:rPr>
                      <w:szCs w:val="21"/>
                    </w:rPr>
                  </w:pPr>
                  <w:r>
                    <w:rPr>
                      <w:szCs w:val="21"/>
                    </w:rPr>
                    <w:t>本项目不属于化工项目，不涉及尾矿库、冶炼渣库和磷石膏库建设。</w:t>
                  </w:r>
                </w:p>
              </w:tc>
              <w:tc>
                <w:tcPr>
                  <w:tcW w:w="900" w:type="dxa"/>
                  <w:tcBorders>
                    <w:top w:val="single" w:sz="4" w:space="0" w:color="auto"/>
                    <w:left w:val="single" w:sz="4" w:space="0" w:color="auto"/>
                    <w:bottom w:val="single" w:sz="4" w:space="0" w:color="auto"/>
                    <w:right w:val="nil"/>
                  </w:tcBorders>
                  <w:vAlign w:val="center"/>
                </w:tcPr>
                <w:p w14:paraId="6CEBF3D5" w14:textId="77777777" w:rsidR="00F76A63" w:rsidRDefault="00000000">
                  <w:pPr>
                    <w:adjustRightInd w:val="0"/>
                    <w:snapToGrid w:val="0"/>
                    <w:jc w:val="center"/>
                    <w:rPr>
                      <w:szCs w:val="21"/>
                    </w:rPr>
                  </w:pPr>
                  <w:r>
                    <w:rPr>
                      <w:szCs w:val="21"/>
                    </w:rPr>
                    <w:t>相符</w:t>
                  </w:r>
                </w:p>
              </w:tc>
            </w:tr>
            <w:tr w:rsidR="00F76A63" w14:paraId="4D62E9AC" w14:textId="77777777">
              <w:trPr>
                <w:trHeight w:val="340"/>
              </w:trPr>
              <w:tc>
                <w:tcPr>
                  <w:tcW w:w="602" w:type="dxa"/>
                  <w:tcBorders>
                    <w:top w:val="single" w:sz="4" w:space="0" w:color="auto"/>
                    <w:left w:val="nil"/>
                    <w:bottom w:val="single" w:sz="4" w:space="0" w:color="auto"/>
                    <w:right w:val="single" w:sz="4" w:space="0" w:color="auto"/>
                  </w:tcBorders>
                  <w:vAlign w:val="center"/>
                </w:tcPr>
                <w:p w14:paraId="28DFDCCF" w14:textId="77777777" w:rsidR="00F76A63" w:rsidRDefault="00000000">
                  <w:pPr>
                    <w:adjustRightInd w:val="0"/>
                    <w:snapToGrid w:val="0"/>
                    <w:jc w:val="center"/>
                    <w:rPr>
                      <w:szCs w:val="21"/>
                    </w:rPr>
                  </w:pPr>
                  <w:r>
                    <w:rPr>
                      <w:szCs w:val="21"/>
                    </w:rPr>
                    <w:t>9</w:t>
                  </w:r>
                </w:p>
              </w:tc>
              <w:tc>
                <w:tcPr>
                  <w:tcW w:w="3544" w:type="dxa"/>
                  <w:tcBorders>
                    <w:top w:val="single" w:sz="4" w:space="0" w:color="auto"/>
                    <w:left w:val="single" w:sz="4" w:space="0" w:color="auto"/>
                    <w:bottom w:val="single" w:sz="4" w:space="0" w:color="auto"/>
                    <w:right w:val="single" w:sz="4" w:space="0" w:color="auto"/>
                  </w:tcBorders>
                  <w:vAlign w:val="center"/>
                </w:tcPr>
                <w:p w14:paraId="2F26C7AB" w14:textId="77777777" w:rsidR="00F76A63" w:rsidRDefault="00000000">
                  <w:pPr>
                    <w:adjustRightInd w:val="0"/>
                    <w:snapToGrid w:val="0"/>
                    <w:jc w:val="center"/>
                    <w:rPr>
                      <w:szCs w:val="21"/>
                    </w:rPr>
                  </w:pPr>
                  <w:r>
                    <w:rPr>
                      <w:szCs w:val="21"/>
                    </w:rPr>
                    <w:t>禁止在合规园区外新建、扩建钢铁、石化、化工、焦化、建材、有色、制浆造纸等高污染项目。</w:t>
                  </w:r>
                </w:p>
              </w:tc>
              <w:tc>
                <w:tcPr>
                  <w:tcW w:w="1752" w:type="dxa"/>
                  <w:tcBorders>
                    <w:top w:val="single" w:sz="4" w:space="0" w:color="auto"/>
                    <w:left w:val="single" w:sz="4" w:space="0" w:color="auto"/>
                    <w:bottom w:val="single" w:sz="4" w:space="0" w:color="auto"/>
                    <w:right w:val="single" w:sz="4" w:space="0" w:color="auto"/>
                  </w:tcBorders>
                  <w:vAlign w:val="center"/>
                </w:tcPr>
                <w:p w14:paraId="7DC6B61F" w14:textId="77777777" w:rsidR="00F76A63" w:rsidRDefault="00000000">
                  <w:pPr>
                    <w:adjustRightInd w:val="0"/>
                    <w:snapToGrid w:val="0"/>
                    <w:jc w:val="center"/>
                    <w:rPr>
                      <w:szCs w:val="21"/>
                    </w:rPr>
                  </w:pPr>
                  <w:r>
                    <w:rPr>
                      <w:szCs w:val="21"/>
                    </w:rPr>
                    <w:t>本项目属于</w:t>
                  </w:r>
                  <w:r>
                    <w:rPr>
                      <w:szCs w:val="21"/>
                    </w:rPr>
                    <w:t>[N7723]</w:t>
                  </w:r>
                  <w:r>
                    <w:rPr>
                      <w:szCs w:val="21"/>
                    </w:rPr>
                    <w:t>固体废物治理，不属于高污染项目。</w:t>
                  </w:r>
                </w:p>
              </w:tc>
              <w:tc>
                <w:tcPr>
                  <w:tcW w:w="900" w:type="dxa"/>
                  <w:tcBorders>
                    <w:top w:val="single" w:sz="4" w:space="0" w:color="auto"/>
                    <w:left w:val="single" w:sz="4" w:space="0" w:color="auto"/>
                    <w:bottom w:val="single" w:sz="4" w:space="0" w:color="auto"/>
                    <w:right w:val="nil"/>
                  </w:tcBorders>
                  <w:vAlign w:val="center"/>
                </w:tcPr>
                <w:p w14:paraId="4B45BCA5" w14:textId="77777777" w:rsidR="00F76A63" w:rsidRDefault="00000000">
                  <w:pPr>
                    <w:adjustRightInd w:val="0"/>
                    <w:snapToGrid w:val="0"/>
                    <w:jc w:val="center"/>
                    <w:rPr>
                      <w:szCs w:val="21"/>
                    </w:rPr>
                  </w:pPr>
                  <w:r>
                    <w:rPr>
                      <w:szCs w:val="21"/>
                    </w:rPr>
                    <w:t>相符</w:t>
                  </w:r>
                </w:p>
              </w:tc>
            </w:tr>
            <w:tr w:rsidR="00F76A63" w14:paraId="54E680CF" w14:textId="77777777">
              <w:trPr>
                <w:trHeight w:val="340"/>
              </w:trPr>
              <w:tc>
                <w:tcPr>
                  <w:tcW w:w="602" w:type="dxa"/>
                  <w:tcBorders>
                    <w:top w:val="single" w:sz="4" w:space="0" w:color="auto"/>
                    <w:left w:val="nil"/>
                    <w:bottom w:val="single" w:sz="4" w:space="0" w:color="auto"/>
                    <w:right w:val="single" w:sz="4" w:space="0" w:color="auto"/>
                  </w:tcBorders>
                  <w:vAlign w:val="center"/>
                </w:tcPr>
                <w:p w14:paraId="66AB3C41" w14:textId="77777777" w:rsidR="00F76A63" w:rsidRDefault="00000000">
                  <w:pPr>
                    <w:adjustRightInd w:val="0"/>
                    <w:snapToGrid w:val="0"/>
                    <w:jc w:val="center"/>
                    <w:rPr>
                      <w:szCs w:val="21"/>
                    </w:rPr>
                  </w:pPr>
                  <w:r>
                    <w:rPr>
                      <w:szCs w:val="21"/>
                    </w:rPr>
                    <w:t>10</w:t>
                  </w:r>
                </w:p>
              </w:tc>
              <w:tc>
                <w:tcPr>
                  <w:tcW w:w="3544" w:type="dxa"/>
                  <w:tcBorders>
                    <w:top w:val="single" w:sz="4" w:space="0" w:color="auto"/>
                    <w:left w:val="single" w:sz="4" w:space="0" w:color="auto"/>
                    <w:bottom w:val="single" w:sz="4" w:space="0" w:color="auto"/>
                    <w:right w:val="single" w:sz="4" w:space="0" w:color="auto"/>
                  </w:tcBorders>
                  <w:vAlign w:val="center"/>
                </w:tcPr>
                <w:p w14:paraId="52338279" w14:textId="77777777" w:rsidR="00F76A63" w:rsidRDefault="00000000">
                  <w:pPr>
                    <w:adjustRightInd w:val="0"/>
                    <w:snapToGrid w:val="0"/>
                    <w:jc w:val="center"/>
                    <w:rPr>
                      <w:szCs w:val="21"/>
                    </w:rPr>
                  </w:pPr>
                  <w:r>
                    <w:rPr>
                      <w:szCs w:val="21"/>
                    </w:rPr>
                    <w:t>禁止新建、扩建不符合国家石化、现代煤化工等产业布局规划的项目。</w:t>
                  </w:r>
                </w:p>
              </w:tc>
              <w:tc>
                <w:tcPr>
                  <w:tcW w:w="1752" w:type="dxa"/>
                  <w:tcBorders>
                    <w:top w:val="single" w:sz="4" w:space="0" w:color="auto"/>
                    <w:left w:val="single" w:sz="4" w:space="0" w:color="auto"/>
                    <w:bottom w:val="single" w:sz="4" w:space="0" w:color="auto"/>
                    <w:right w:val="single" w:sz="4" w:space="0" w:color="auto"/>
                  </w:tcBorders>
                  <w:vAlign w:val="center"/>
                </w:tcPr>
                <w:p w14:paraId="1D213546" w14:textId="77777777" w:rsidR="00F76A63" w:rsidRDefault="00000000">
                  <w:pPr>
                    <w:adjustRightInd w:val="0"/>
                    <w:snapToGrid w:val="0"/>
                    <w:jc w:val="center"/>
                    <w:rPr>
                      <w:szCs w:val="21"/>
                    </w:rPr>
                  </w:pPr>
                  <w:r>
                    <w:rPr>
                      <w:szCs w:val="21"/>
                    </w:rPr>
                    <w:t>本项目不属于石化、煤化工项目。</w:t>
                  </w:r>
                </w:p>
              </w:tc>
              <w:tc>
                <w:tcPr>
                  <w:tcW w:w="900" w:type="dxa"/>
                  <w:tcBorders>
                    <w:top w:val="single" w:sz="4" w:space="0" w:color="auto"/>
                    <w:left w:val="single" w:sz="4" w:space="0" w:color="auto"/>
                    <w:bottom w:val="single" w:sz="4" w:space="0" w:color="auto"/>
                    <w:right w:val="nil"/>
                  </w:tcBorders>
                  <w:vAlign w:val="center"/>
                </w:tcPr>
                <w:p w14:paraId="1E0585B0" w14:textId="77777777" w:rsidR="00F76A63" w:rsidRDefault="00000000">
                  <w:pPr>
                    <w:adjustRightInd w:val="0"/>
                    <w:snapToGrid w:val="0"/>
                    <w:jc w:val="center"/>
                    <w:rPr>
                      <w:szCs w:val="21"/>
                    </w:rPr>
                  </w:pPr>
                  <w:r>
                    <w:rPr>
                      <w:szCs w:val="21"/>
                    </w:rPr>
                    <w:t>相符</w:t>
                  </w:r>
                </w:p>
              </w:tc>
            </w:tr>
            <w:tr w:rsidR="00F76A63" w14:paraId="01D5D0AF" w14:textId="77777777">
              <w:trPr>
                <w:trHeight w:val="340"/>
              </w:trPr>
              <w:tc>
                <w:tcPr>
                  <w:tcW w:w="602" w:type="dxa"/>
                  <w:tcBorders>
                    <w:top w:val="single" w:sz="4" w:space="0" w:color="auto"/>
                    <w:left w:val="nil"/>
                    <w:bottom w:val="single" w:sz="4" w:space="0" w:color="auto"/>
                    <w:right w:val="single" w:sz="4" w:space="0" w:color="auto"/>
                  </w:tcBorders>
                  <w:vAlign w:val="center"/>
                </w:tcPr>
                <w:p w14:paraId="29E8772B" w14:textId="77777777" w:rsidR="00F76A63" w:rsidRDefault="00000000">
                  <w:pPr>
                    <w:adjustRightInd w:val="0"/>
                    <w:snapToGrid w:val="0"/>
                    <w:jc w:val="center"/>
                    <w:rPr>
                      <w:szCs w:val="21"/>
                    </w:rPr>
                  </w:pPr>
                  <w:r>
                    <w:rPr>
                      <w:szCs w:val="21"/>
                    </w:rPr>
                    <w:t>11</w:t>
                  </w:r>
                </w:p>
              </w:tc>
              <w:tc>
                <w:tcPr>
                  <w:tcW w:w="3544" w:type="dxa"/>
                  <w:tcBorders>
                    <w:top w:val="single" w:sz="4" w:space="0" w:color="auto"/>
                    <w:left w:val="single" w:sz="4" w:space="0" w:color="auto"/>
                    <w:bottom w:val="single" w:sz="4" w:space="0" w:color="auto"/>
                    <w:right w:val="single" w:sz="4" w:space="0" w:color="auto"/>
                  </w:tcBorders>
                  <w:vAlign w:val="center"/>
                </w:tcPr>
                <w:p w14:paraId="56306AA9" w14:textId="77777777" w:rsidR="00F76A63" w:rsidRDefault="00000000">
                  <w:pPr>
                    <w:adjustRightInd w:val="0"/>
                    <w:snapToGrid w:val="0"/>
                    <w:jc w:val="center"/>
                    <w:rPr>
                      <w:szCs w:val="21"/>
                    </w:rPr>
                  </w:pPr>
                  <w:r>
                    <w:rPr>
                      <w:szCs w:val="21"/>
                    </w:rPr>
                    <w:t>禁止新建、扩建法律法规和相关政策明令禁止的落后产能项目。禁止新建、扩建不符合国家产能置换要求的严重过剩产能行业的项目。禁止新建、扩建不符合要求的高耗能高排放项目。</w:t>
                  </w:r>
                </w:p>
              </w:tc>
              <w:tc>
                <w:tcPr>
                  <w:tcW w:w="1752" w:type="dxa"/>
                  <w:tcBorders>
                    <w:top w:val="single" w:sz="4" w:space="0" w:color="auto"/>
                    <w:left w:val="single" w:sz="4" w:space="0" w:color="auto"/>
                    <w:bottom w:val="single" w:sz="4" w:space="0" w:color="auto"/>
                    <w:right w:val="single" w:sz="4" w:space="0" w:color="auto"/>
                  </w:tcBorders>
                  <w:vAlign w:val="center"/>
                </w:tcPr>
                <w:p w14:paraId="1A78BE86" w14:textId="77777777" w:rsidR="00F76A63" w:rsidRDefault="00000000">
                  <w:pPr>
                    <w:adjustRightInd w:val="0"/>
                    <w:snapToGrid w:val="0"/>
                    <w:jc w:val="center"/>
                    <w:rPr>
                      <w:szCs w:val="21"/>
                    </w:rPr>
                  </w:pPr>
                  <w:r>
                    <w:rPr>
                      <w:szCs w:val="21"/>
                    </w:rPr>
                    <w:t>本项目不属于高耗能高排放项目。</w:t>
                  </w:r>
                </w:p>
              </w:tc>
              <w:tc>
                <w:tcPr>
                  <w:tcW w:w="900" w:type="dxa"/>
                  <w:tcBorders>
                    <w:top w:val="single" w:sz="4" w:space="0" w:color="auto"/>
                    <w:left w:val="single" w:sz="4" w:space="0" w:color="auto"/>
                    <w:bottom w:val="single" w:sz="4" w:space="0" w:color="auto"/>
                    <w:right w:val="nil"/>
                  </w:tcBorders>
                  <w:vAlign w:val="center"/>
                </w:tcPr>
                <w:p w14:paraId="2531C817" w14:textId="77777777" w:rsidR="00F76A63" w:rsidRDefault="00000000">
                  <w:pPr>
                    <w:adjustRightInd w:val="0"/>
                    <w:snapToGrid w:val="0"/>
                    <w:jc w:val="center"/>
                    <w:rPr>
                      <w:szCs w:val="21"/>
                    </w:rPr>
                  </w:pPr>
                  <w:r>
                    <w:rPr>
                      <w:szCs w:val="21"/>
                    </w:rPr>
                    <w:t>相符</w:t>
                  </w:r>
                </w:p>
              </w:tc>
            </w:tr>
            <w:tr w:rsidR="00F76A63" w14:paraId="05F3E97C" w14:textId="77777777">
              <w:trPr>
                <w:trHeight w:val="340"/>
              </w:trPr>
              <w:tc>
                <w:tcPr>
                  <w:tcW w:w="602" w:type="dxa"/>
                  <w:tcBorders>
                    <w:top w:val="single" w:sz="4" w:space="0" w:color="auto"/>
                    <w:left w:val="nil"/>
                    <w:bottom w:val="single" w:sz="12" w:space="0" w:color="auto"/>
                    <w:right w:val="single" w:sz="4" w:space="0" w:color="auto"/>
                  </w:tcBorders>
                  <w:vAlign w:val="center"/>
                </w:tcPr>
                <w:p w14:paraId="02B37124" w14:textId="77777777" w:rsidR="00F76A63" w:rsidRDefault="00000000">
                  <w:pPr>
                    <w:adjustRightInd w:val="0"/>
                    <w:snapToGrid w:val="0"/>
                    <w:jc w:val="center"/>
                    <w:rPr>
                      <w:szCs w:val="21"/>
                    </w:rPr>
                  </w:pPr>
                  <w:r>
                    <w:rPr>
                      <w:szCs w:val="21"/>
                    </w:rPr>
                    <w:t>12</w:t>
                  </w:r>
                </w:p>
              </w:tc>
              <w:tc>
                <w:tcPr>
                  <w:tcW w:w="3544" w:type="dxa"/>
                  <w:tcBorders>
                    <w:top w:val="single" w:sz="4" w:space="0" w:color="auto"/>
                    <w:left w:val="single" w:sz="4" w:space="0" w:color="auto"/>
                    <w:bottom w:val="single" w:sz="12" w:space="0" w:color="auto"/>
                    <w:right w:val="single" w:sz="4" w:space="0" w:color="auto"/>
                  </w:tcBorders>
                  <w:vAlign w:val="center"/>
                </w:tcPr>
                <w:p w14:paraId="390821F6" w14:textId="77777777" w:rsidR="00F76A63" w:rsidRDefault="00000000">
                  <w:pPr>
                    <w:adjustRightInd w:val="0"/>
                    <w:snapToGrid w:val="0"/>
                    <w:jc w:val="center"/>
                    <w:rPr>
                      <w:szCs w:val="21"/>
                    </w:rPr>
                  </w:pPr>
                  <w:r>
                    <w:rPr>
                      <w:szCs w:val="21"/>
                    </w:rPr>
                    <w:t>法律法规及相关政策文件有更加严格规定的从其规定。</w:t>
                  </w:r>
                </w:p>
              </w:tc>
              <w:tc>
                <w:tcPr>
                  <w:tcW w:w="1752" w:type="dxa"/>
                  <w:tcBorders>
                    <w:top w:val="single" w:sz="4" w:space="0" w:color="auto"/>
                    <w:left w:val="single" w:sz="4" w:space="0" w:color="auto"/>
                    <w:bottom w:val="single" w:sz="12" w:space="0" w:color="auto"/>
                    <w:right w:val="single" w:sz="4" w:space="0" w:color="auto"/>
                  </w:tcBorders>
                  <w:vAlign w:val="center"/>
                </w:tcPr>
                <w:p w14:paraId="080BA778" w14:textId="77777777" w:rsidR="00F76A63" w:rsidRDefault="00000000">
                  <w:pPr>
                    <w:adjustRightInd w:val="0"/>
                    <w:snapToGrid w:val="0"/>
                    <w:jc w:val="center"/>
                    <w:rPr>
                      <w:szCs w:val="21"/>
                    </w:rPr>
                  </w:pPr>
                  <w:r>
                    <w:rPr>
                      <w:szCs w:val="21"/>
                    </w:rPr>
                    <w:t>/</w:t>
                  </w:r>
                </w:p>
              </w:tc>
              <w:tc>
                <w:tcPr>
                  <w:tcW w:w="900" w:type="dxa"/>
                  <w:tcBorders>
                    <w:top w:val="single" w:sz="4" w:space="0" w:color="auto"/>
                    <w:left w:val="single" w:sz="4" w:space="0" w:color="auto"/>
                    <w:bottom w:val="single" w:sz="12" w:space="0" w:color="auto"/>
                    <w:right w:val="nil"/>
                  </w:tcBorders>
                  <w:vAlign w:val="center"/>
                </w:tcPr>
                <w:p w14:paraId="42244EE8" w14:textId="77777777" w:rsidR="00F76A63" w:rsidRDefault="00000000">
                  <w:pPr>
                    <w:adjustRightInd w:val="0"/>
                    <w:snapToGrid w:val="0"/>
                    <w:jc w:val="center"/>
                    <w:rPr>
                      <w:szCs w:val="21"/>
                    </w:rPr>
                  </w:pPr>
                  <w:r>
                    <w:rPr>
                      <w:szCs w:val="21"/>
                    </w:rPr>
                    <w:t>/</w:t>
                  </w:r>
                </w:p>
              </w:tc>
            </w:tr>
          </w:tbl>
          <w:p w14:paraId="7950ED4B" w14:textId="77777777" w:rsidR="00F76A63" w:rsidRDefault="00F76A63">
            <w:pPr>
              <w:adjustRightInd w:val="0"/>
              <w:snapToGrid w:val="0"/>
              <w:spacing w:line="500" w:lineRule="exact"/>
              <w:ind w:firstLineChars="200" w:firstLine="482"/>
              <w:jc w:val="center"/>
              <w:rPr>
                <w:b/>
                <w:bCs/>
                <w:sz w:val="24"/>
              </w:rPr>
            </w:pPr>
          </w:p>
          <w:p w14:paraId="30AC5FBE" w14:textId="77777777" w:rsidR="00F76A63" w:rsidRDefault="00F76A63">
            <w:pPr>
              <w:adjustRightInd w:val="0"/>
              <w:snapToGrid w:val="0"/>
              <w:spacing w:line="500" w:lineRule="exact"/>
              <w:ind w:firstLineChars="200" w:firstLine="482"/>
              <w:jc w:val="center"/>
              <w:rPr>
                <w:b/>
                <w:bCs/>
                <w:sz w:val="24"/>
              </w:rPr>
            </w:pPr>
          </w:p>
          <w:p w14:paraId="5FE1BB7C" w14:textId="77777777" w:rsidR="00F76A63" w:rsidRDefault="00F76A63">
            <w:pPr>
              <w:adjustRightInd w:val="0"/>
              <w:snapToGrid w:val="0"/>
              <w:spacing w:line="500" w:lineRule="exact"/>
              <w:ind w:firstLineChars="200" w:firstLine="482"/>
              <w:jc w:val="center"/>
              <w:rPr>
                <w:b/>
                <w:bCs/>
                <w:sz w:val="24"/>
              </w:rPr>
            </w:pPr>
          </w:p>
          <w:p w14:paraId="71E27E7A" w14:textId="77777777" w:rsidR="00F76A63" w:rsidRDefault="00000000">
            <w:pPr>
              <w:adjustRightInd w:val="0"/>
              <w:snapToGrid w:val="0"/>
              <w:spacing w:line="500" w:lineRule="exact"/>
              <w:ind w:firstLineChars="200" w:firstLine="482"/>
              <w:jc w:val="center"/>
              <w:rPr>
                <w:b/>
                <w:bCs/>
                <w:sz w:val="24"/>
              </w:rPr>
            </w:pPr>
            <w:r>
              <w:rPr>
                <w:b/>
                <w:bCs/>
                <w:sz w:val="24"/>
              </w:rPr>
              <w:lastRenderedPageBreak/>
              <w:t>表</w:t>
            </w:r>
            <w:r>
              <w:rPr>
                <w:b/>
                <w:bCs/>
                <w:sz w:val="24"/>
              </w:rPr>
              <w:t>1-6</w:t>
            </w:r>
            <w:r>
              <w:rPr>
                <w:b/>
                <w:bCs/>
                <w:sz w:val="24"/>
              </w:rPr>
              <w:t>与</w:t>
            </w:r>
            <w:r>
              <w:rPr>
                <w:b/>
                <w:bCs/>
                <w:sz w:val="24"/>
              </w:rPr>
              <w:t xml:space="preserve">  </w:t>
            </w:r>
            <w:r>
              <w:rPr>
                <w:b/>
                <w:bCs/>
                <w:sz w:val="24"/>
              </w:rPr>
              <w:t>《</w:t>
            </w:r>
            <w:r>
              <w:rPr>
                <w:b/>
                <w:bCs/>
                <w:sz w:val="24"/>
              </w:rPr>
              <w:t>&lt;</w:t>
            </w:r>
            <w:r>
              <w:rPr>
                <w:b/>
                <w:bCs/>
                <w:sz w:val="24"/>
              </w:rPr>
              <w:t>长江经济带发展负面清单指南（试行，</w:t>
            </w:r>
            <w:r>
              <w:rPr>
                <w:b/>
                <w:bCs/>
                <w:sz w:val="24"/>
              </w:rPr>
              <w:t>2022</w:t>
            </w:r>
            <w:r>
              <w:rPr>
                <w:b/>
                <w:bCs/>
                <w:sz w:val="24"/>
              </w:rPr>
              <w:t>年版）</w:t>
            </w:r>
            <w:r>
              <w:rPr>
                <w:b/>
                <w:bCs/>
                <w:sz w:val="24"/>
              </w:rPr>
              <w:t>&gt;</w:t>
            </w:r>
            <w:r>
              <w:rPr>
                <w:b/>
                <w:bCs/>
                <w:sz w:val="24"/>
              </w:rPr>
              <w:t>江苏省实施细则》符合性分析</w:t>
            </w:r>
          </w:p>
          <w:tbl>
            <w:tblPr>
              <w:tblW w:w="5000" w:type="pct"/>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708"/>
              <w:gridCol w:w="3979"/>
              <w:gridCol w:w="2080"/>
              <w:gridCol w:w="1046"/>
            </w:tblGrid>
            <w:tr w:rsidR="00F76A63" w14:paraId="053994AA" w14:textId="77777777">
              <w:trPr>
                <w:trHeight w:val="340"/>
              </w:trPr>
              <w:tc>
                <w:tcPr>
                  <w:tcW w:w="669" w:type="dxa"/>
                  <w:tcBorders>
                    <w:top w:val="single" w:sz="12" w:space="0" w:color="auto"/>
                    <w:left w:val="nil"/>
                    <w:bottom w:val="single" w:sz="4" w:space="0" w:color="auto"/>
                    <w:right w:val="single" w:sz="4" w:space="0" w:color="auto"/>
                  </w:tcBorders>
                  <w:vAlign w:val="center"/>
                </w:tcPr>
                <w:p w14:paraId="191B06E2" w14:textId="77777777" w:rsidR="00F76A63" w:rsidRDefault="00000000">
                  <w:pPr>
                    <w:pStyle w:val="affff8"/>
                    <w:rPr>
                      <w:rFonts w:cs="Times New Roman"/>
                      <w:b/>
                      <w:bCs/>
                      <w:szCs w:val="21"/>
                    </w:rPr>
                  </w:pPr>
                  <w:r>
                    <w:rPr>
                      <w:rFonts w:cs="Times New Roman"/>
                      <w:b/>
                      <w:bCs/>
                    </w:rPr>
                    <w:t>序号</w:t>
                  </w:r>
                </w:p>
              </w:tc>
              <w:tc>
                <w:tcPr>
                  <w:tcW w:w="3763" w:type="dxa"/>
                  <w:tcBorders>
                    <w:top w:val="single" w:sz="12" w:space="0" w:color="auto"/>
                    <w:left w:val="single" w:sz="4" w:space="0" w:color="auto"/>
                    <w:bottom w:val="single" w:sz="4" w:space="0" w:color="auto"/>
                    <w:right w:val="single" w:sz="4" w:space="0" w:color="auto"/>
                  </w:tcBorders>
                  <w:vAlign w:val="center"/>
                </w:tcPr>
                <w:p w14:paraId="3CE3C99E" w14:textId="77777777" w:rsidR="00F76A63" w:rsidRDefault="00000000">
                  <w:pPr>
                    <w:pStyle w:val="affff8"/>
                    <w:rPr>
                      <w:rFonts w:cs="Times New Roman"/>
                      <w:b/>
                      <w:bCs/>
                    </w:rPr>
                  </w:pPr>
                  <w:r>
                    <w:rPr>
                      <w:rFonts w:cs="Times New Roman"/>
                      <w:b/>
                      <w:bCs/>
                    </w:rPr>
                    <w:t>文件相关内容</w:t>
                  </w:r>
                </w:p>
              </w:tc>
              <w:tc>
                <w:tcPr>
                  <w:tcW w:w="1967" w:type="dxa"/>
                  <w:tcBorders>
                    <w:top w:val="single" w:sz="12" w:space="0" w:color="auto"/>
                    <w:left w:val="single" w:sz="4" w:space="0" w:color="auto"/>
                    <w:bottom w:val="single" w:sz="4" w:space="0" w:color="auto"/>
                    <w:right w:val="single" w:sz="4" w:space="0" w:color="auto"/>
                  </w:tcBorders>
                  <w:vAlign w:val="center"/>
                </w:tcPr>
                <w:p w14:paraId="09BA911D" w14:textId="77777777" w:rsidR="00F76A63" w:rsidRDefault="00000000">
                  <w:pPr>
                    <w:pStyle w:val="affff8"/>
                    <w:rPr>
                      <w:rFonts w:cs="Times New Roman"/>
                      <w:b/>
                      <w:bCs/>
                    </w:rPr>
                  </w:pPr>
                  <w:r>
                    <w:rPr>
                      <w:rFonts w:cs="Times New Roman"/>
                      <w:b/>
                      <w:bCs/>
                    </w:rPr>
                    <w:t>本项目建设内容</w:t>
                  </w:r>
                </w:p>
              </w:tc>
              <w:tc>
                <w:tcPr>
                  <w:tcW w:w="989" w:type="dxa"/>
                  <w:tcBorders>
                    <w:top w:val="single" w:sz="12" w:space="0" w:color="auto"/>
                    <w:left w:val="single" w:sz="4" w:space="0" w:color="auto"/>
                    <w:bottom w:val="single" w:sz="4" w:space="0" w:color="auto"/>
                    <w:right w:val="nil"/>
                  </w:tcBorders>
                  <w:vAlign w:val="center"/>
                </w:tcPr>
                <w:p w14:paraId="555DA96D" w14:textId="77777777" w:rsidR="00F76A63" w:rsidRDefault="00000000">
                  <w:pPr>
                    <w:pStyle w:val="affff8"/>
                    <w:rPr>
                      <w:rFonts w:cs="Times New Roman"/>
                      <w:b/>
                      <w:bCs/>
                    </w:rPr>
                  </w:pPr>
                  <w:r>
                    <w:rPr>
                      <w:rFonts w:cs="Times New Roman"/>
                      <w:b/>
                      <w:bCs/>
                    </w:rPr>
                    <w:t>符合性分析</w:t>
                  </w:r>
                </w:p>
              </w:tc>
            </w:tr>
            <w:tr w:rsidR="00F76A63" w14:paraId="29FF696A" w14:textId="77777777">
              <w:trPr>
                <w:trHeight w:val="340"/>
              </w:trPr>
              <w:tc>
                <w:tcPr>
                  <w:tcW w:w="669" w:type="dxa"/>
                  <w:tcBorders>
                    <w:top w:val="single" w:sz="4" w:space="0" w:color="auto"/>
                    <w:left w:val="nil"/>
                    <w:bottom w:val="single" w:sz="4" w:space="0" w:color="auto"/>
                    <w:right w:val="single" w:sz="4" w:space="0" w:color="auto"/>
                  </w:tcBorders>
                  <w:vAlign w:val="center"/>
                </w:tcPr>
                <w:p w14:paraId="0D08FDFA" w14:textId="77777777" w:rsidR="00F76A63" w:rsidRDefault="00000000">
                  <w:pPr>
                    <w:pStyle w:val="affff8"/>
                    <w:rPr>
                      <w:rFonts w:cs="Times New Roman"/>
                    </w:rPr>
                  </w:pPr>
                  <w:r>
                    <w:rPr>
                      <w:rFonts w:cs="Times New Roman"/>
                    </w:rPr>
                    <w:t>1</w:t>
                  </w:r>
                </w:p>
              </w:tc>
              <w:tc>
                <w:tcPr>
                  <w:tcW w:w="3763" w:type="dxa"/>
                  <w:tcBorders>
                    <w:top w:val="single" w:sz="4" w:space="0" w:color="auto"/>
                    <w:left w:val="single" w:sz="4" w:space="0" w:color="auto"/>
                    <w:bottom w:val="single" w:sz="4" w:space="0" w:color="auto"/>
                    <w:right w:val="single" w:sz="4" w:space="0" w:color="auto"/>
                  </w:tcBorders>
                  <w:vAlign w:val="center"/>
                </w:tcPr>
                <w:p w14:paraId="2D04067C" w14:textId="77777777" w:rsidR="00F76A63" w:rsidRDefault="00000000">
                  <w:pPr>
                    <w:pStyle w:val="affff8"/>
                    <w:rPr>
                      <w:rFonts w:cs="Times New Roman"/>
                    </w:rPr>
                  </w:pPr>
                  <w:r>
                    <w:rPr>
                      <w:rFonts w:cs="Times New Roman"/>
                    </w:rPr>
                    <w:t>禁止建设不符合国家港口布局规划和《江苏省沿江沿海港口布局规划（</w:t>
                  </w:r>
                  <w:r>
                    <w:rPr>
                      <w:rFonts w:cs="Times New Roman"/>
                    </w:rPr>
                    <w:t>2015-2030</w:t>
                  </w:r>
                  <w:r>
                    <w:rPr>
                      <w:rFonts w:cs="Times New Roman"/>
                    </w:rPr>
                    <w:t>年）》《江苏省内河港口布局规划（</w:t>
                  </w:r>
                  <w:r>
                    <w:rPr>
                      <w:rFonts w:cs="Times New Roman"/>
                    </w:rPr>
                    <w:t>2017-2035</w:t>
                  </w:r>
                  <w:r>
                    <w:rPr>
                      <w:rFonts w:cs="Times New Roman"/>
                    </w:rPr>
                    <w:t>年）》以及我省有关港口总体规划的码头项目，禁止建设未纳入《长江干线过江通道布局规划》的过长江通道项目。</w:t>
                  </w:r>
                </w:p>
              </w:tc>
              <w:tc>
                <w:tcPr>
                  <w:tcW w:w="1967" w:type="dxa"/>
                  <w:tcBorders>
                    <w:top w:val="single" w:sz="4" w:space="0" w:color="auto"/>
                    <w:left w:val="single" w:sz="4" w:space="0" w:color="auto"/>
                    <w:bottom w:val="single" w:sz="4" w:space="0" w:color="auto"/>
                    <w:right w:val="single" w:sz="4" w:space="0" w:color="auto"/>
                  </w:tcBorders>
                  <w:vAlign w:val="center"/>
                </w:tcPr>
                <w:p w14:paraId="0E799266" w14:textId="77777777" w:rsidR="00F76A63" w:rsidRDefault="00000000">
                  <w:pPr>
                    <w:pStyle w:val="affff8"/>
                    <w:rPr>
                      <w:rFonts w:cs="Times New Roman"/>
                    </w:rPr>
                  </w:pPr>
                  <w:r>
                    <w:rPr>
                      <w:rFonts w:cs="Times New Roman"/>
                    </w:rPr>
                    <w:t>本项目不属于码头、过长江通道项目。</w:t>
                  </w:r>
                </w:p>
              </w:tc>
              <w:tc>
                <w:tcPr>
                  <w:tcW w:w="989" w:type="dxa"/>
                  <w:tcBorders>
                    <w:top w:val="single" w:sz="4" w:space="0" w:color="auto"/>
                    <w:left w:val="single" w:sz="4" w:space="0" w:color="auto"/>
                    <w:bottom w:val="single" w:sz="4" w:space="0" w:color="auto"/>
                    <w:right w:val="nil"/>
                  </w:tcBorders>
                  <w:vAlign w:val="center"/>
                </w:tcPr>
                <w:p w14:paraId="68F2143D" w14:textId="77777777" w:rsidR="00F76A63" w:rsidRDefault="00000000">
                  <w:pPr>
                    <w:pStyle w:val="affff8"/>
                    <w:rPr>
                      <w:rFonts w:cs="Times New Roman"/>
                    </w:rPr>
                  </w:pPr>
                  <w:r>
                    <w:rPr>
                      <w:rFonts w:cs="Times New Roman"/>
                    </w:rPr>
                    <w:t>相符</w:t>
                  </w:r>
                </w:p>
              </w:tc>
            </w:tr>
            <w:tr w:rsidR="00F76A63" w14:paraId="514187CB" w14:textId="77777777">
              <w:trPr>
                <w:trHeight w:val="340"/>
              </w:trPr>
              <w:tc>
                <w:tcPr>
                  <w:tcW w:w="669" w:type="dxa"/>
                  <w:tcBorders>
                    <w:top w:val="single" w:sz="4" w:space="0" w:color="auto"/>
                    <w:left w:val="nil"/>
                    <w:bottom w:val="single" w:sz="4" w:space="0" w:color="auto"/>
                    <w:right w:val="single" w:sz="4" w:space="0" w:color="auto"/>
                  </w:tcBorders>
                  <w:vAlign w:val="center"/>
                </w:tcPr>
                <w:p w14:paraId="467BC7A5" w14:textId="77777777" w:rsidR="00F76A63" w:rsidRDefault="00000000">
                  <w:pPr>
                    <w:pStyle w:val="affff8"/>
                    <w:rPr>
                      <w:rFonts w:cs="Times New Roman"/>
                    </w:rPr>
                  </w:pPr>
                  <w:r>
                    <w:rPr>
                      <w:rFonts w:cs="Times New Roman"/>
                    </w:rPr>
                    <w:t>2</w:t>
                  </w:r>
                </w:p>
              </w:tc>
              <w:tc>
                <w:tcPr>
                  <w:tcW w:w="3763" w:type="dxa"/>
                  <w:tcBorders>
                    <w:top w:val="single" w:sz="4" w:space="0" w:color="auto"/>
                    <w:left w:val="single" w:sz="4" w:space="0" w:color="auto"/>
                    <w:bottom w:val="single" w:sz="4" w:space="0" w:color="auto"/>
                    <w:right w:val="single" w:sz="4" w:space="0" w:color="auto"/>
                  </w:tcBorders>
                  <w:vAlign w:val="center"/>
                </w:tcPr>
                <w:p w14:paraId="15A6F15E" w14:textId="77777777" w:rsidR="00F76A63" w:rsidRDefault="00000000">
                  <w:pPr>
                    <w:pStyle w:val="affff8"/>
                    <w:rPr>
                      <w:rFonts w:cs="Times New Roman"/>
                    </w:rPr>
                  </w:pPr>
                  <w:r>
                    <w:rPr>
                      <w:rFonts w:cs="Times New Roman"/>
                    </w:rPr>
                    <w:t>严格执行《中华人民共和国自然保护区条例》，禁止在自然保护区核心区、缓冲区的岸线和河段范围内投资建设旅游和生产经营项目。严格执行《风景名胜区条例》《江苏省风景名胜区管理条例》，禁止在国家级和省级风景名胜区核心景区的岸线和河段范围内投资建设与风景名胜区资源保护无关的项目。自然保护区、风景名胜区由省林业局会同有关方面界定并落实管控责任。</w:t>
                  </w:r>
                </w:p>
              </w:tc>
              <w:tc>
                <w:tcPr>
                  <w:tcW w:w="1967" w:type="dxa"/>
                  <w:tcBorders>
                    <w:top w:val="single" w:sz="4" w:space="0" w:color="auto"/>
                    <w:left w:val="single" w:sz="4" w:space="0" w:color="auto"/>
                    <w:bottom w:val="single" w:sz="4" w:space="0" w:color="auto"/>
                    <w:right w:val="single" w:sz="4" w:space="0" w:color="auto"/>
                  </w:tcBorders>
                  <w:vAlign w:val="center"/>
                </w:tcPr>
                <w:p w14:paraId="40865041" w14:textId="77777777" w:rsidR="00F76A63" w:rsidRDefault="00000000">
                  <w:pPr>
                    <w:pStyle w:val="affff8"/>
                    <w:rPr>
                      <w:rFonts w:cs="Times New Roman"/>
                    </w:rPr>
                  </w:pPr>
                  <w:r>
                    <w:rPr>
                      <w:rFonts w:cs="Times New Roman"/>
                    </w:rPr>
                    <w:t>本项目评价范围内不涉及自然保护区、风景名胜区。</w:t>
                  </w:r>
                </w:p>
              </w:tc>
              <w:tc>
                <w:tcPr>
                  <w:tcW w:w="989" w:type="dxa"/>
                  <w:tcBorders>
                    <w:top w:val="single" w:sz="4" w:space="0" w:color="auto"/>
                    <w:left w:val="single" w:sz="4" w:space="0" w:color="auto"/>
                    <w:bottom w:val="single" w:sz="4" w:space="0" w:color="auto"/>
                    <w:right w:val="nil"/>
                  </w:tcBorders>
                  <w:vAlign w:val="center"/>
                </w:tcPr>
                <w:p w14:paraId="7BC1B4C9" w14:textId="77777777" w:rsidR="00F76A63" w:rsidRDefault="00000000">
                  <w:pPr>
                    <w:pStyle w:val="affff8"/>
                    <w:rPr>
                      <w:rFonts w:cs="Times New Roman"/>
                    </w:rPr>
                  </w:pPr>
                  <w:r>
                    <w:rPr>
                      <w:rFonts w:cs="Times New Roman"/>
                    </w:rPr>
                    <w:t>相符</w:t>
                  </w:r>
                </w:p>
              </w:tc>
            </w:tr>
            <w:tr w:rsidR="00F76A63" w14:paraId="1D7C3E12" w14:textId="77777777">
              <w:trPr>
                <w:trHeight w:val="340"/>
              </w:trPr>
              <w:tc>
                <w:tcPr>
                  <w:tcW w:w="669" w:type="dxa"/>
                  <w:tcBorders>
                    <w:top w:val="single" w:sz="4" w:space="0" w:color="auto"/>
                    <w:left w:val="nil"/>
                    <w:bottom w:val="single" w:sz="4" w:space="0" w:color="auto"/>
                    <w:right w:val="single" w:sz="4" w:space="0" w:color="auto"/>
                  </w:tcBorders>
                  <w:vAlign w:val="center"/>
                </w:tcPr>
                <w:p w14:paraId="5A034B7D" w14:textId="77777777" w:rsidR="00F76A63" w:rsidRDefault="00000000">
                  <w:pPr>
                    <w:pStyle w:val="affff8"/>
                    <w:rPr>
                      <w:rFonts w:cs="Times New Roman"/>
                    </w:rPr>
                  </w:pPr>
                  <w:r>
                    <w:rPr>
                      <w:rFonts w:cs="Times New Roman"/>
                    </w:rPr>
                    <w:t>3</w:t>
                  </w:r>
                </w:p>
              </w:tc>
              <w:tc>
                <w:tcPr>
                  <w:tcW w:w="3763" w:type="dxa"/>
                  <w:tcBorders>
                    <w:top w:val="single" w:sz="4" w:space="0" w:color="auto"/>
                    <w:left w:val="single" w:sz="4" w:space="0" w:color="auto"/>
                    <w:bottom w:val="single" w:sz="4" w:space="0" w:color="auto"/>
                    <w:right w:val="single" w:sz="4" w:space="0" w:color="auto"/>
                  </w:tcBorders>
                  <w:vAlign w:val="center"/>
                </w:tcPr>
                <w:p w14:paraId="4B73E4F5" w14:textId="77777777" w:rsidR="00F76A63" w:rsidRDefault="00000000">
                  <w:pPr>
                    <w:pStyle w:val="affff8"/>
                    <w:rPr>
                      <w:rFonts w:cs="Times New Roman"/>
                    </w:rPr>
                  </w:pPr>
                  <w:r>
                    <w:rPr>
                      <w:rFonts w:cs="Times New Roman"/>
                    </w:rPr>
                    <w:t>严格执行《中华人民共和国水污染防治法》《江苏省人民代表大会常务委员会关于加强饮用水源地保护的决定》《江苏省水污染防治条例》，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禁止在饮用水水源准保护区的岸线和河段范围内新建、扩建对水体污染严重的投资建设项目，改建项目应当消减排污量。饮用水水源一级保护区、二级保护区、准保护区由省生态环境厅会同水利等有关方面界定并落实管控责任。</w:t>
                  </w:r>
                </w:p>
              </w:tc>
              <w:tc>
                <w:tcPr>
                  <w:tcW w:w="1967" w:type="dxa"/>
                  <w:tcBorders>
                    <w:top w:val="single" w:sz="4" w:space="0" w:color="auto"/>
                    <w:left w:val="single" w:sz="4" w:space="0" w:color="auto"/>
                    <w:bottom w:val="single" w:sz="4" w:space="0" w:color="auto"/>
                    <w:right w:val="single" w:sz="4" w:space="0" w:color="auto"/>
                  </w:tcBorders>
                  <w:vAlign w:val="center"/>
                </w:tcPr>
                <w:p w14:paraId="38237015" w14:textId="77777777" w:rsidR="00F76A63" w:rsidRDefault="00000000">
                  <w:pPr>
                    <w:pStyle w:val="affff8"/>
                    <w:rPr>
                      <w:rFonts w:cs="Times New Roman"/>
                    </w:rPr>
                  </w:pPr>
                  <w:r>
                    <w:rPr>
                      <w:rFonts w:cs="Times New Roman"/>
                    </w:rPr>
                    <w:t>本项目评价范围内不涉及饮用水水源保护区。</w:t>
                  </w:r>
                </w:p>
              </w:tc>
              <w:tc>
                <w:tcPr>
                  <w:tcW w:w="989" w:type="dxa"/>
                  <w:tcBorders>
                    <w:top w:val="single" w:sz="4" w:space="0" w:color="auto"/>
                    <w:left w:val="single" w:sz="4" w:space="0" w:color="auto"/>
                    <w:bottom w:val="single" w:sz="4" w:space="0" w:color="auto"/>
                    <w:right w:val="nil"/>
                  </w:tcBorders>
                  <w:vAlign w:val="center"/>
                </w:tcPr>
                <w:p w14:paraId="428FB0BE" w14:textId="77777777" w:rsidR="00F76A63" w:rsidRDefault="00000000">
                  <w:pPr>
                    <w:pStyle w:val="affff8"/>
                    <w:rPr>
                      <w:rFonts w:cs="Times New Roman"/>
                    </w:rPr>
                  </w:pPr>
                  <w:r>
                    <w:rPr>
                      <w:rFonts w:cs="Times New Roman"/>
                    </w:rPr>
                    <w:t>相符</w:t>
                  </w:r>
                </w:p>
              </w:tc>
            </w:tr>
            <w:tr w:rsidR="00F76A63" w14:paraId="60256D97" w14:textId="77777777">
              <w:trPr>
                <w:trHeight w:val="340"/>
              </w:trPr>
              <w:tc>
                <w:tcPr>
                  <w:tcW w:w="669" w:type="dxa"/>
                  <w:tcBorders>
                    <w:top w:val="single" w:sz="4" w:space="0" w:color="auto"/>
                    <w:left w:val="nil"/>
                    <w:bottom w:val="single" w:sz="4" w:space="0" w:color="auto"/>
                    <w:right w:val="single" w:sz="4" w:space="0" w:color="auto"/>
                  </w:tcBorders>
                  <w:vAlign w:val="center"/>
                </w:tcPr>
                <w:p w14:paraId="4265F23C" w14:textId="77777777" w:rsidR="00F76A63" w:rsidRDefault="00000000">
                  <w:pPr>
                    <w:pStyle w:val="affff8"/>
                    <w:rPr>
                      <w:rFonts w:cs="Times New Roman"/>
                    </w:rPr>
                  </w:pPr>
                  <w:r>
                    <w:rPr>
                      <w:rFonts w:cs="Times New Roman"/>
                    </w:rPr>
                    <w:t>4</w:t>
                  </w:r>
                </w:p>
              </w:tc>
              <w:tc>
                <w:tcPr>
                  <w:tcW w:w="3763" w:type="dxa"/>
                  <w:tcBorders>
                    <w:top w:val="single" w:sz="4" w:space="0" w:color="auto"/>
                    <w:left w:val="single" w:sz="4" w:space="0" w:color="auto"/>
                    <w:bottom w:val="single" w:sz="4" w:space="0" w:color="auto"/>
                    <w:right w:val="single" w:sz="4" w:space="0" w:color="auto"/>
                  </w:tcBorders>
                  <w:vAlign w:val="center"/>
                </w:tcPr>
                <w:p w14:paraId="5C0ABC64" w14:textId="77777777" w:rsidR="00F76A63" w:rsidRDefault="00000000">
                  <w:pPr>
                    <w:pStyle w:val="affff8"/>
                    <w:rPr>
                      <w:rFonts w:cs="Times New Roman"/>
                    </w:rPr>
                  </w:pPr>
                  <w:r>
                    <w:rPr>
                      <w:rFonts w:cs="Times New Roman"/>
                    </w:rPr>
                    <w:t>严格执行《水产种质资源保护区管理暂行办法》，禁止在国家级和省级水产种质资源保护区的岸线和河段范围内新建围湖造田、围海造地或围填海等投资建设项目。严格执行《中华人民共和国湿地保护法》《江苏省湿地保护条例》，禁止在国家湿地公园的岸线和河段范围内挖沙、采矿，以及任何不符合主体功能定位的投资建设项目。水产种质资源</w:t>
                  </w:r>
                  <w:r>
                    <w:rPr>
                      <w:rFonts w:cs="Times New Roman"/>
                    </w:rPr>
                    <w:lastRenderedPageBreak/>
                    <w:t>保护区、国家湿地公园分别由省农业农村厅、省林业局会同有关方面界定并落实管控责任。</w:t>
                  </w:r>
                </w:p>
              </w:tc>
              <w:tc>
                <w:tcPr>
                  <w:tcW w:w="1967" w:type="dxa"/>
                  <w:tcBorders>
                    <w:top w:val="single" w:sz="4" w:space="0" w:color="auto"/>
                    <w:left w:val="single" w:sz="4" w:space="0" w:color="auto"/>
                    <w:bottom w:val="single" w:sz="4" w:space="0" w:color="auto"/>
                    <w:right w:val="single" w:sz="4" w:space="0" w:color="auto"/>
                  </w:tcBorders>
                  <w:vAlign w:val="center"/>
                </w:tcPr>
                <w:p w14:paraId="22EA24F1" w14:textId="77777777" w:rsidR="00F76A63" w:rsidRDefault="00000000">
                  <w:pPr>
                    <w:pStyle w:val="affff8"/>
                    <w:rPr>
                      <w:rFonts w:cs="Times New Roman"/>
                    </w:rPr>
                  </w:pPr>
                  <w:r>
                    <w:rPr>
                      <w:rFonts w:cs="Times New Roman"/>
                    </w:rPr>
                    <w:lastRenderedPageBreak/>
                    <w:t>本项目评价范围内不涉及水产种质资源保护区、国家湿地公园的岸线和河段。</w:t>
                  </w:r>
                </w:p>
              </w:tc>
              <w:tc>
                <w:tcPr>
                  <w:tcW w:w="989" w:type="dxa"/>
                  <w:tcBorders>
                    <w:top w:val="single" w:sz="4" w:space="0" w:color="auto"/>
                    <w:left w:val="single" w:sz="4" w:space="0" w:color="auto"/>
                    <w:bottom w:val="single" w:sz="4" w:space="0" w:color="auto"/>
                    <w:right w:val="nil"/>
                  </w:tcBorders>
                  <w:vAlign w:val="center"/>
                </w:tcPr>
                <w:p w14:paraId="0B97F883" w14:textId="77777777" w:rsidR="00F76A63" w:rsidRDefault="00000000">
                  <w:pPr>
                    <w:pStyle w:val="affff8"/>
                    <w:rPr>
                      <w:rFonts w:cs="Times New Roman"/>
                    </w:rPr>
                  </w:pPr>
                  <w:r>
                    <w:rPr>
                      <w:rFonts w:cs="Times New Roman"/>
                    </w:rPr>
                    <w:t>相符</w:t>
                  </w:r>
                </w:p>
              </w:tc>
            </w:tr>
            <w:tr w:rsidR="00F76A63" w14:paraId="49743E16" w14:textId="77777777">
              <w:trPr>
                <w:trHeight w:val="340"/>
              </w:trPr>
              <w:tc>
                <w:tcPr>
                  <w:tcW w:w="669" w:type="dxa"/>
                  <w:tcBorders>
                    <w:top w:val="single" w:sz="4" w:space="0" w:color="auto"/>
                    <w:left w:val="nil"/>
                    <w:bottom w:val="single" w:sz="4" w:space="0" w:color="auto"/>
                    <w:right w:val="single" w:sz="4" w:space="0" w:color="auto"/>
                  </w:tcBorders>
                  <w:vAlign w:val="center"/>
                </w:tcPr>
                <w:p w14:paraId="16EA15F2" w14:textId="77777777" w:rsidR="00F76A63" w:rsidRDefault="00000000">
                  <w:pPr>
                    <w:pStyle w:val="affff8"/>
                    <w:rPr>
                      <w:rFonts w:cs="Times New Roman"/>
                    </w:rPr>
                  </w:pPr>
                  <w:r>
                    <w:rPr>
                      <w:rFonts w:cs="Times New Roman"/>
                    </w:rPr>
                    <w:t>5</w:t>
                  </w:r>
                </w:p>
              </w:tc>
              <w:tc>
                <w:tcPr>
                  <w:tcW w:w="3763" w:type="dxa"/>
                  <w:tcBorders>
                    <w:top w:val="single" w:sz="4" w:space="0" w:color="auto"/>
                    <w:left w:val="single" w:sz="4" w:space="0" w:color="auto"/>
                    <w:bottom w:val="single" w:sz="4" w:space="0" w:color="auto"/>
                    <w:right w:val="single" w:sz="4" w:space="0" w:color="auto"/>
                  </w:tcBorders>
                  <w:vAlign w:val="center"/>
                </w:tcPr>
                <w:p w14:paraId="2D58A175" w14:textId="77777777" w:rsidR="00F76A63" w:rsidRDefault="00000000">
                  <w:pPr>
                    <w:pStyle w:val="affff8"/>
                    <w:rPr>
                      <w:rFonts w:cs="Times New Roman"/>
                    </w:rPr>
                  </w:pPr>
                  <w:r>
                    <w:rPr>
                      <w:rFonts w:cs="Times New Roman"/>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长江干支流基础设施项目应按照《长江岸线保护和开发利用总体规划》和生态环境保护、岸线保护等要求，按规定开展项目前期论证并办理相关手续。禁止在《全国重要江河湖泊水功能区划》划定的河段及湖泊保护区、保留区内投资建设不利于水资源及自然生态保护的项目。</w:t>
                  </w:r>
                </w:p>
              </w:tc>
              <w:tc>
                <w:tcPr>
                  <w:tcW w:w="1967" w:type="dxa"/>
                  <w:tcBorders>
                    <w:top w:val="single" w:sz="4" w:space="0" w:color="auto"/>
                    <w:left w:val="single" w:sz="4" w:space="0" w:color="auto"/>
                    <w:bottom w:val="single" w:sz="4" w:space="0" w:color="auto"/>
                    <w:right w:val="single" w:sz="4" w:space="0" w:color="auto"/>
                  </w:tcBorders>
                  <w:vAlign w:val="center"/>
                </w:tcPr>
                <w:p w14:paraId="3C36D65A" w14:textId="77777777" w:rsidR="00F76A63" w:rsidRDefault="00000000">
                  <w:pPr>
                    <w:pStyle w:val="affff8"/>
                    <w:rPr>
                      <w:rFonts w:cs="Times New Roman"/>
                    </w:rPr>
                  </w:pPr>
                  <w:r>
                    <w:rPr>
                      <w:rFonts w:cs="Times New Roman"/>
                    </w:rPr>
                    <w:t>本项目不涉及岸线，经核实本项目选址不在《长江岸线保护和开发利用总体规划》划定的岸线保护区和保留区内，不在《全国重要江河湖泊水功能区划》划定的河段及湖泊保护区、保留区内。</w:t>
                  </w:r>
                </w:p>
              </w:tc>
              <w:tc>
                <w:tcPr>
                  <w:tcW w:w="989" w:type="dxa"/>
                  <w:tcBorders>
                    <w:top w:val="single" w:sz="4" w:space="0" w:color="auto"/>
                    <w:left w:val="single" w:sz="4" w:space="0" w:color="auto"/>
                    <w:bottom w:val="single" w:sz="4" w:space="0" w:color="auto"/>
                    <w:right w:val="nil"/>
                  </w:tcBorders>
                  <w:vAlign w:val="center"/>
                </w:tcPr>
                <w:p w14:paraId="1ECA1429" w14:textId="77777777" w:rsidR="00F76A63" w:rsidRDefault="00000000">
                  <w:pPr>
                    <w:pStyle w:val="affff8"/>
                    <w:rPr>
                      <w:rFonts w:cs="Times New Roman"/>
                    </w:rPr>
                  </w:pPr>
                  <w:r>
                    <w:rPr>
                      <w:rFonts w:cs="Times New Roman"/>
                    </w:rPr>
                    <w:t>相符</w:t>
                  </w:r>
                </w:p>
              </w:tc>
            </w:tr>
            <w:tr w:rsidR="00F76A63" w14:paraId="4E0398DA" w14:textId="77777777">
              <w:trPr>
                <w:trHeight w:val="340"/>
              </w:trPr>
              <w:tc>
                <w:tcPr>
                  <w:tcW w:w="669" w:type="dxa"/>
                  <w:tcBorders>
                    <w:top w:val="single" w:sz="4" w:space="0" w:color="auto"/>
                    <w:left w:val="nil"/>
                    <w:bottom w:val="single" w:sz="4" w:space="0" w:color="auto"/>
                    <w:right w:val="single" w:sz="4" w:space="0" w:color="auto"/>
                  </w:tcBorders>
                  <w:vAlign w:val="center"/>
                </w:tcPr>
                <w:p w14:paraId="0B7EBFFE" w14:textId="77777777" w:rsidR="00F76A63" w:rsidRDefault="00000000">
                  <w:pPr>
                    <w:pStyle w:val="affff8"/>
                    <w:rPr>
                      <w:rFonts w:cs="Times New Roman"/>
                    </w:rPr>
                  </w:pPr>
                  <w:r>
                    <w:rPr>
                      <w:rFonts w:cs="Times New Roman"/>
                    </w:rPr>
                    <w:t>6</w:t>
                  </w:r>
                </w:p>
              </w:tc>
              <w:tc>
                <w:tcPr>
                  <w:tcW w:w="3763" w:type="dxa"/>
                  <w:tcBorders>
                    <w:top w:val="single" w:sz="4" w:space="0" w:color="auto"/>
                    <w:left w:val="single" w:sz="4" w:space="0" w:color="auto"/>
                    <w:bottom w:val="single" w:sz="4" w:space="0" w:color="auto"/>
                    <w:right w:val="single" w:sz="4" w:space="0" w:color="auto"/>
                  </w:tcBorders>
                  <w:vAlign w:val="center"/>
                </w:tcPr>
                <w:p w14:paraId="18981944" w14:textId="77777777" w:rsidR="00F76A63" w:rsidRDefault="00000000">
                  <w:pPr>
                    <w:pStyle w:val="affff8"/>
                    <w:rPr>
                      <w:rFonts w:cs="Times New Roman"/>
                    </w:rPr>
                  </w:pPr>
                  <w:r>
                    <w:rPr>
                      <w:rFonts w:cs="Times New Roman"/>
                    </w:rPr>
                    <w:t>禁止未经许可在长江干支流及湖泊新设、改设或扩大排污口。</w:t>
                  </w:r>
                </w:p>
              </w:tc>
              <w:tc>
                <w:tcPr>
                  <w:tcW w:w="1967" w:type="dxa"/>
                  <w:tcBorders>
                    <w:top w:val="single" w:sz="4" w:space="0" w:color="auto"/>
                    <w:left w:val="single" w:sz="4" w:space="0" w:color="auto"/>
                    <w:bottom w:val="single" w:sz="4" w:space="0" w:color="auto"/>
                    <w:right w:val="single" w:sz="4" w:space="0" w:color="auto"/>
                  </w:tcBorders>
                  <w:vAlign w:val="center"/>
                </w:tcPr>
                <w:p w14:paraId="1E0DFCB4" w14:textId="77777777" w:rsidR="00F76A63" w:rsidRDefault="00000000">
                  <w:pPr>
                    <w:pStyle w:val="affff8"/>
                    <w:rPr>
                      <w:rFonts w:cs="Times New Roman"/>
                    </w:rPr>
                  </w:pPr>
                  <w:r>
                    <w:rPr>
                      <w:rFonts w:cs="Times New Roman"/>
                    </w:rPr>
                    <w:t>本项目不设置入河排污口。</w:t>
                  </w:r>
                </w:p>
              </w:tc>
              <w:tc>
                <w:tcPr>
                  <w:tcW w:w="989" w:type="dxa"/>
                  <w:tcBorders>
                    <w:top w:val="single" w:sz="4" w:space="0" w:color="auto"/>
                    <w:left w:val="single" w:sz="4" w:space="0" w:color="auto"/>
                    <w:bottom w:val="single" w:sz="4" w:space="0" w:color="auto"/>
                    <w:right w:val="nil"/>
                  </w:tcBorders>
                  <w:vAlign w:val="center"/>
                </w:tcPr>
                <w:p w14:paraId="19A4454F" w14:textId="77777777" w:rsidR="00F76A63" w:rsidRDefault="00000000">
                  <w:pPr>
                    <w:pStyle w:val="affff8"/>
                    <w:rPr>
                      <w:rFonts w:cs="Times New Roman"/>
                    </w:rPr>
                  </w:pPr>
                  <w:r>
                    <w:rPr>
                      <w:rFonts w:cs="Times New Roman"/>
                    </w:rPr>
                    <w:t>相符</w:t>
                  </w:r>
                </w:p>
              </w:tc>
            </w:tr>
            <w:tr w:rsidR="00F76A63" w14:paraId="3A686359" w14:textId="77777777">
              <w:trPr>
                <w:trHeight w:val="340"/>
              </w:trPr>
              <w:tc>
                <w:tcPr>
                  <w:tcW w:w="669" w:type="dxa"/>
                  <w:tcBorders>
                    <w:top w:val="single" w:sz="4" w:space="0" w:color="auto"/>
                    <w:left w:val="nil"/>
                    <w:bottom w:val="single" w:sz="4" w:space="0" w:color="auto"/>
                    <w:right w:val="single" w:sz="4" w:space="0" w:color="auto"/>
                  </w:tcBorders>
                  <w:vAlign w:val="center"/>
                </w:tcPr>
                <w:p w14:paraId="7B0BC306" w14:textId="77777777" w:rsidR="00F76A63" w:rsidRDefault="00000000">
                  <w:pPr>
                    <w:pStyle w:val="affff8"/>
                    <w:rPr>
                      <w:rFonts w:cs="Times New Roman"/>
                    </w:rPr>
                  </w:pPr>
                  <w:r>
                    <w:rPr>
                      <w:rFonts w:cs="Times New Roman"/>
                    </w:rPr>
                    <w:t>7</w:t>
                  </w:r>
                </w:p>
              </w:tc>
              <w:tc>
                <w:tcPr>
                  <w:tcW w:w="3763" w:type="dxa"/>
                  <w:tcBorders>
                    <w:top w:val="single" w:sz="4" w:space="0" w:color="auto"/>
                    <w:left w:val="single" w:sz="4" w:space="0" w:color="auto"/>
                    <w:bottom w:val="single" w:sz="4" w:space="0" w:color="auto"/>
                    <w:right w:val="single" w:sz="4" w:space="0" w:color="auto"/>
                  </w:tcBorders>
                  <w:vAlign w:val="center"/>
                </w:tcPr>
                <w:p w14:paraId="0D45C999" w14:textId="77777777" w:rsidR="00F76A63" w:rsidRDefault="00000000">
                  <w:pPr>
                    <w:pStyle w:val="affff8"/>
                    <w:rPr>
                      <w:rFonts w:cs="Times New Roman"/>
                    </w:rPr>
                  </w:pPr>
                  <w:r>
                    <w:rPr>
                      <w:rFonts w:cs="Times New Roman"/>
                    </w:rPr>
                    <w:t>禁止长江干流、长江口、</w:t>
                  </w:r>
                  <w:r>
                    <w:rPr>
                      <w:rFonts w:cs="Times New Roman"/>
                    </w:rPr>
                    <w:t>34</w:t>
                  </w:r>
                  <w:r>
                    <w:rPr>
                      <w:rFonts w:cs="Times New Roman"/>
                    </w:rPr>
                    <w:t>个列入《率先全面禁捕的长江流域水生生物保护区名录》的水生生物保护区以及省规定的其它禁渔水域开展生产性捕捞。</w:t>
                  </w:r>
                </w:p>
              </w:tc>
              <w:tc>
                <w:tcPr>
                  <w:tcW w:w="1967" w:type="dxa"/>
                  <w:tcBorders>
                    <w:top w:val="single" w:sz="4" w:space="0" w:color="auto"/>
                    <w:left w:val="single" w:sz="4" w:space="0" w:color="auto"/>
                    <w:bottom w:val="single" w:sz="4" w:space="0" w:color="auto"/>
                    <w:right w:val="single" w:sz="4" w:space="0" w:color="auto"/>
                  </w:tcBorders>
                  <w:vAlign w:val="center"/>
                </w:tcPr>
                <w:p w14:paraId="4953B558" w14:textId="77777777" w:rsidR="00F76A63" w:rsidRDefault="00000000">
                  <w:pPr>
                    <w:pStyle w:val="affff8"/>
                    <w:rPr>
                      <w:rFonts w:cs="Times New Roman"/>
                    </w:rPr>
                  </w:pPr>
                  <w:r>
                    <w:rPr>
                      <w:rFonts w:cs="Times New Roman"/>
                    </w:rPr>
                    <w:t>本项目不涉及生产性捕捞。</w:t>
                  </w:r>
                </w:p>
              </w:tc>
              <w:tc>
                <w:tcPr>
                  <w:tcW w:w="989" w:type="dxa"/>
                  <w:tcBorders>
                    <w:top w:val="single" w:sz="4" w:space="0" w:color="auto"/>
                    <w:left w:val="single" w:sz="4" w:space="0" w:color="auto"/>
                    <w:bottom w:val="single" w:sz="4" w:space="0" w:color="auto"/>
                    <w:right w:val="nil"/>
                  </w:tcBorders>
                  <w:vAlign w:val="center"/>
                </w:tcPr>
                <w:p w14:paraId="2B60C4BD" w14:textId="77777777" w:rsidR="00F76A63" w:rsidRDefault="00000000">
                  <w:pPr>
                    <w:pStyle w:val="affff8"/>
                    <w:rPr>
                      <w:rFonts w:cs="Times New Roman"/>
                    </w:rPr>
                  </w:pPr>
                  <w:r>
                    <w:rPr>
                      <w:rFonts w:cs="Times New Roman"/>
                    </w:rPr>
                    <w:t>相符</w:t>
                  </w:r>
                </w:p>
              </w:tc>
            </w:tr>
            <w:tr w:rsidR="00F76A63" w14:paraId="6D0939F2" w14:textId="77777777">
              <w:trPr>
                <w:trHeight w:val="340"/>
              </w:trPr>
              <w:tc>
                <w:tcPr>
                  <w:tcW w:w="669" w:type="dxa"/>
                  <w:tcBorders>
                    <w:top w:val="single" w:sz="4" w:space="0" w:color="auto"/>
                    <w:left w:val="nil"/>
                    <w:bottom w:val="single" w:sz="4" w:space="0" w:color="auto"/>
                    <w:right w:val="single" w:sz="4" w:space="0" w:color="auto"/>
                  </w:tcBorders>
                  <w:vAlign w:val="center"/>
                </w:tcPr>
                <w:p w14:paraId="51B81B42" w14:textId="77777777" w:rsidR="00F76A63" w:rsidRDefault="00000000">
                  <w:pPr>
                    <w:pStyle w:val="affff8"/>
                    <w:rPr>
                      <w:rFonts w:cs="Times New Roman"/>
                    </w:rPr>
                  </w:pPr>
                  <w:r>
                    <w:rPr>
                      <w:rFonts w:cs="Times New Roman"/>
                    </w:rPr>
                    <w:t>8</w:t>
                  </w:r>
                </w:p>
              </w:tc>
              <w:tc>
                <w:tcPr>
                  <w:tcW w:w="3763" w:type="dxa"/>
                  <w:tcBorders>
                    <w:top w:val="single" w:sz="4" w:space="0" w:color="auto"/>
                    <w:left w:val="single" w:sz="4" w:space="0" w:color="auto"/>
                    <w:bottom w:val="single" w:sz="4" w:space="0" w:color="auto"/>
                    <w:right w:val="single" w:sz="4" w:space="0" w:color="auto"/>
                  </w:tcBorders>
                  <w:vAlign w:val="center"/>
                </w:tcPr>
                <w:p w14:paraId="1EFA8939" w14:textId="77777777" w:rsidR="00F76A63" w:rsidRDefault="00000000">
                  <w:pPr>
                    <w:pStyle w:val="affff8"/>
                    <w:rPr>
                      <w:rFonts w:cs="Times New Roman"/>
                    </w:rPr>
                  </w:pPr>
                  <w:r>
                    <w:rPr>
                      <w:rFonts w:cs="Times New Roman"/>
                    </w:rPr>
                    <w:t>禁止在距离长江干支流岸线一公里范围内新建、扩建化工园区和化工项目。长江干支流一公里按照长江干支流岸线边界（即水利部门河道管理范围边界）向陆域纵深一公里执行。</w:t>
                  </w:r>
                </w:p>
              </w:tc>
              <w:tc>
                <w:tcPr>
                  <w:tcW w:w="1967" w:type="dxa"/>
                  <w:tcBorders>
                    <w:top w:val="single" w:sz="4" w:space="0" w:color="auto"/>
                    <w:left w:val="single" w:sz="4" w:space="0" w:color="auto"/>
                    <w:bottom w:val="single" w:sz="4" w:space="0" w:color="auto"/>
                    <w:right w:val="single" w:sz="4" w:space="0" w:color="auto"/>
                  </w:tcBorders>
                  <w:vAlign w:val="center"/>
                </w:tcPr>
                <w:p w14:paraId="0C6F05CF" w14:textId="77777777" w:rsidR="00F76A63" w:rsidRDefault="00000000">
                  <w:pPr>
                    <w:pStyle w:val="affff8"/>
                    <w:rPr>
                      <w:rFonts w:cs="Times New Roman"/>
                    </w:rPr>
                  </w:pPr>
                  <w:r>
                    <w:rPr>
                      <w:rFonts w:cs="Times New Roman"/>
                    </w:rPr>
                    <w:t>本项目位于长江干流</w:t>
                  </w:r>
                  <w:r>
                    <w:rPr>
                      <w:rFonts w:cs="Times New Roman"/>
                    </w:rPr>
                    <w:t>1</w:t>
                  </w:r>
                  <w:r>
                    <w:rPr>
                      <w:rFonts w:cs="Times New Roman"/>
                    </w:rPr>
                    <w:t>公里范围内，项目属于</w:t>
                  </w:r>
                  <w:r>
                    <w:rPr>
                      <w:rFonts w:cs="Times New Roman"/>
                    </w:rPr>
                    <w:t>[N7723]</w:t>
                  </w:r>
                  <w:r>
                    <w:rPr>
                      <w:rFonts w:cs="Times New Roman"/>
                    </w:rPr>
                    <w:t>固体废物治理，不属于指南中禁止的新建、扩建化工园区和化工项目。</w:t>
                  </w:r>
                </w:p>
              </w:tc>
              <w:tc>
                <w:tcPr>
                  <w:tcW w:w="989" w:type="dxa"/>
                  <w:tcBorders>
                    <w:top w:val="single" w:sz="4" w:space="0" w:color="auto"/>
                    <w:left w:val="single" w:sz="4" w:space="0" w:color="auto"/>
                    <w:bottom w:val="single" w:sz="4" w:space="0" w:color="auto"/>
                    <w:right w:val="nil"/>
                  </w:tcBorders>
                  <w:vAlign w:val="center"/>
                </w:tcPr>
                <w:p w14:paraId="1A3E8F39" w14:textId="77777777" w:rsidR="00F76A63" w:rsidRDefault="00000000">
                  <w:pPr>
                    <w:pStyle w:val="affff8"/>
                    <w:rPr>
                      <w:rFonts w:cs="Times New Roman"/>
                    </w:rPr>
                  </w:pPr>
                  <w:r>
                    <w:rPr>
                      <w:rFonts w:cs="Times New Roman"/>
                    </w:rPr>
                    <w:t>相符</w:t>
                  </w:r>
                </w:p>
              </w:tc>
            </w:tr>
            <w:tr w:rsidR="00F76A63" w14:paraId="05F7E5C7" w14:textId="77777777">
              <w:trPr>
                <w:trHeight w:val="340"/>
              </w:trPr>
              <w:tc>
                <w:tcPr>
                  <w:tcW w:w="669" w:type="dxa"/>
                  <w:tcBorders>
                    <w:top w:val="single" w:sz="4" w:space="0" w:color="auto"/>
                    <w:left w:val="nil"/>
                    <w:bottom w:val="single" w:sz="4" w:space="0" w:color="auto"/>
                    <w:right w:val="single" w:sz="4" w:space="0" w:color="auto"/>
                  </w:tcBorders>
                  <w:vAlign w:val="center"/>
                </w:tcPr>
                <w:p w14:paraId="1600FA9E" w14:textId="77777777" w:rsidR="00F76A63" w:rsidRDefault="00000000">
                  <w:pPr>
                    <w:pStyle w:val="affff8"/>
                    <w:rPr>
                      <w:rFonts w:cs="Times New Roman"/>
                    </w:rPr>
                  </w:pPr>
                  <w:r>
                    <w:rPr>
                      <w:rFonts w:cs="Times New Roman"/>
                    </w:rPr>
                    <w:t>9</w:t>
                  </w:r>
                </w:p>
              </w:tc>
              <w:tc>
                <w:tcPr>
                  <w:tcW w:w="3763" w:type="dxa"/>
                  <w:tcBorders>
                    <w:top w:val="single" w:sz="4" w:space="0" w:color="auto"/>
                    <w:left w:val="single" w:sz="4" w:space="0" w:color="auto"/>
                    <w:bottom w:val="single" w:sz="4" w:space="0" w:color="auto"/>
                    <w:right w:val="single" w:sz="4" w:space="0" w:color="auto"/>
                  </w:tcBorders>
                  <w:vAlign w:val="center"/>
                </w:tcPr>
                <w:p w14:paraId="3E9B430F" w14:textId="77777777" w:rsidR="00F76A63" w:rsidRDefault="00000000">
                  <w:pPr>
                    <w:pStyle w:val="affff8"/>
                    <w:rPr>
                      <w:rFonts w:cs="Times New Roman"/>
                    </w:rPr>
                  </w:pPr>
                  <w:r>
                    <w:rPr>
                      <w:rFonts w:cs="Times New Roman"/>
                    </w:rPr>
                    <w:t>禁止在长江干流岸线三公里范围内新建、改建、扩建尾矿库、冶炼渣库和磷石膏库，以提升安全、生态环境保护水平为目的的改建除外。</w:t>
                  </w:r>
                </w:p>
              </w:tc>
              <w:tc>
                <w:tcPr>
                  <w:tcW w:w="1967" w:type="dxa"/>
                  <w:tcBorders>
                    <w:top w:val="single" w:sz="4" w:space="0" w:color="auto"/>
                    <w:left w:val="single" w:sz="4" w:space="0" w:color="auto"/>
                    <w:bottom w:val="single" w:sz="4" w:space="0" w:color="auto"/>
                    <w:right w:val="single" w:sz="4" w:space="0" w:color="auto"/>
                  </w:tcBorders>
                  <w:vAlign w:val="center"/>
                </w:tcPr>
                <w:p w14:paraId="6568711C" w14:textId="77777777" w:rsidR="00F76A63" w:rsidRDefault="00000000">
                  <w:pPr>
                    <w:pStyle w:val="affff8"/>
                    <w:rPr>
                      <w:rFonts w:cs="Times New Roman"/>
                    </w:rPr>
                  </w:pPr>
                  <w:r>
                    <w:rPr>
                      <w:rFonts w:cs="Times New Roman"/>
                    </w:rPr>
                    <w:t>本项目位于长江干流</w:t>
                  </w:r>
                  <w:r>
                    <w:rPr>
                      <w:rFonts w:cs="Times New Roman"/>
                    </w:rPr>
                    <w:t>1</w:t>
                  </w:r>
                  <w:r>
                    <w:rPr>
                      <w:rFonts w:cs="Times New Roman"/>
                    </w:rPr>
                    <w:t>公里范围内，但本项目不涉及尾矿库、冶炼渣库和磷石膏库建设。</w:t>
                  </w:r>
                </w:p>
              </w:tc>
              <w:tc>
                <w:tcPr>
                  <w:tcW w:w="989" w:type="dxa"/>
                  <w:tcBorders>
                    <w:top w:val="single" w:sz="4" w:space="0" w:color="auto"/>
                    <w:left w:val="single" w:sz="4" w:space="0" w:color="auto"/>
                    <w:bottom w:val="single" w:sz="4" w:space="0" w:color="auto"/>
                    <w:right w:val="nil"/>
                  </w:tcBorders>
                  <w:vAlign w:val="center"/>
                </w:tcPr>
                <w:p w14:paraId="72C83721" w14:textId="77777777" w:rsidR="00F76A63" w:rsidRDefault="00000000">
                  <w:pPr>
                    <w:pStyle w:val="affff8"/>
                    <w:rPr>
                      <w:rFonts w:cs="Times New Roman"/>
                    </w:rPr>
                  </w:pPr>
                  <w:r>
                    <w:rPr>
                      <w:rFonts w:cs="Times New Roman"/>
                    </w:rPr>
                    <w:t>相符</w:t>
                  </w:r>
                </w:p>
              </w:tc>
            </w:tr>
            <w:tr w:rsidR="00F76A63" w14:paraId="1ED4A7A2" w14:textId="77777777">
              <w:trPr>
                <w:trHeight w:val="340"/>
              </w:trPr>
              <w:tc>
                <w:tcPr>
                  <w:tcW w:w="669" w:type="dxa"/>
                  <w:tcBorders>
                    <w:top w:val="single" w:sz="4" w:space="0" w:color="auto"/>
                    <w:left w:val="nil"/>
                    <w:bottom w:val="single" w:sz="4" w:space="0" w:color="auto"/>
                    <w:right w:val="single" w:sz="4" w:space="0" w:color="auto"/>
                  </w:tcBorders>
                  <w:vAlign w:val="center"/>
                </w:tcPr>
                <w:p w14:paraId="1236AF47" w14:textId="77777777" w:rsidR="00F76A63" w:rsidRDefault="00000000">
                  <w:pPr>
                    <w:pStyle w:val="affff8"/>
                    <w:rPr>
                      <w:rFonts w:cs="Times New Roman"/>
                    </w:rPr>
                  </w:pPr>
                  <w:r>
                    <w:rPr>
                      <w:rFonts w:cs="Times New Roman"/>
                    </w:rPr>
                    <w:t>10</w:t>
                  </w:r>
                </w:p>
              </w:tc>
              <w:tc>
                <w:tcPr>
                  <w:tcW w:w="3763" w:type="dxa"/>
                  <w:tcBorders>
                    <w:top w:val="single" w:sz="4" w:space="0" w:color="auto"/>
                    <w:left w:val="single" w:sz="4" w:space="0" w:color="auto"/>
                    <w:bottom w:val="single" w:sz="4" w:space="0" w:color="auto"/>
                    <w:right w:val="single" w:sz="4" w:space="0" w:color="auto"/>
                  </w:tcBorders>
                  <w:vAlign w:val="center"/>
                </w:tcPr>
                <w:p w14:paraId="56EF022B" w14:textId="77777777" w:rsidR="00F76A63" w:rsidRDefault="00000000">
                  <w:pPr>
                    <w:pStyle w:val="affff8"/>
                    <w:rPr>
                      <w:rFonts w:cs="Times New Roman"/>
                    </w:rPr>
                  </w:pPr>
                  <w:r>
                    <w:rPr>
                      <w:rFonts w:cs="Times New Roman"/>
                    </w:rPr>
                    <w:t>禁止在太湖流域一、二、三级保护区内开展《江苏省太湖水污染防治条例》禁止的投资建设活动。</w:t>
                  </w:r>
                </w:p>
              </w:tc>
              <w:tc>
                <w:tcPr>
                  <w:tcW w:w="1967" w:type="dxa"/>
                  <w:tcBorders>
                    <w:top w:val="single" w:sz="4" w:space="0" w:color="auto"/>
                    <w:left w:val="single" w:sz="4" w:space="0" w:color="auto"/>
                    <w:bottom w:val="single" w:sz="4" w:space="0" w:color="auto"/>
                    <w:right w:val="single" w:sz="4" w:space="0" w:color="auto"/>
                  </w:tcBorders>
                  <w:vAlign w:val="center"/>
                </w:tcPr>
                <w:p w14:paraId="2A33217C" w14:textId="77777777" w:rsidR="00F76A63" w:rsidRDefault="00000000">
                  <w:pPr>
                    <w:pStyle w:val="affff8"/>
                    <w:rPr>
                      <w:rFonts w:cs="Times New Roman"/>
                    </w:rPr>
                  </w:pPr>
                  <w:r>
                    <w:rPr>
                      <w:rFonts w:cs="Times New Roman"/>
                    </w:rPr>
                    <w:t>本项目不属于《江苏省太湖水污染防治条例》禁止的投资建设活动</w:t>
                  </w:r>
                </w:p>
              </w:tc>
              <w:tc>
                <w:tcPr>
                  <w:tcW w:w="989" w:type="dxa"/>
                  <w:tcBorders>
                    <w:top w:val="single" w:sz="4" w:space="0" w:color="auto"/>
                    <w:left w:val="single" w:sz="4" w:space="0" w:color="auto"/>
                    <w:bottom w:val="single" w:sz="4" w:space="0" w:color="auto"/>
                    <w:right w:val="nil"/>
                  </w:tcBorders>
                  <w:vAlign w:val="center"/>
                </w:tcPr>
                <w:p w14:paraId="0698612D" w14:textId="77777777" w:rsidR="00F76A63" w:rsidRDefault="00000000">
                  <w:pPr>
                    <w:pStyle w:val="affff8"/>
                    <w:rPr>
                      <w:rFonts w:cs="Times New Roman"/>
                    </w:rPr>
                  </w:pPr>
                  <w:r>
                    <w:rPr>
                      <w:rFonts w:cs="Times New Roman"/>
                    </w:rPr>
                    <w:t>相符</w:t>
                  </w:r>
                </w:p>
              </w:tc>
            </w:tr>
            <w:tr w:rsidR="00F76A63" w14:paraId="58B5AB53" w14:textId="77777777">
              <w:trPr>
                <w:trHeight w:val="340"/>
              </w:trPr>
              <w:tc>
                <w:tcPr>
                  <w:tcW w:w="669" w:type="dxa"/>
                  <w:tcBorders>
                    <w:top w:val="single" w:sz="4" w:space="0" w:color="auto"/>
                    <w:left w:val="nil"/>
                    <w:bottom w:val="single" w:sz="4" w:space="0" w:color="auto"/>
                    <w:right w:val="single" w:sz="4" w:space="0" w:color="auto"/>
                  </w:tcBorders>
                  <w:vAlign w:val="center"/>
                </w:tcPr>
                <w:p w14:paraId="5F2FB2BD" w14:textId="77777777" w:rsidR="00F76A63" w:rsidRDefault="00000000">
                  <w:pPr>
                    <w:pStyle w:val="affff8"/>
                    <w:rPr>
                      <w:rFonts w:cs="Times New Roman"/>
                    </w:rPr>
                  </w:pPr>
                  <w:r>
                    <w:rPr>
                      <w:rFonts w:cs="Times New Roman"/>
                    </w:rPr>
                    <w:t>11</w:t>
                  </w:r>
                </w:p>
              </w:tc>
              <w:tc>
                <w:tcPr>
                  <w:tcW w:w="3763" w:type="dxa"/>
                  <w:tcBorders>
                    <w:top w:val="single" w:sz="4" w:space="0" w:color="auto"/>
                    <w:left w:val="single" w:sz="4" w:space="0" w:color="auto"/>
                    <w:bottom w:val="single" w:sz="4" w:space="0" w:color="auto"/>
                    <w:right w:val="single" w:sz="4" w:space="0" w:color="auto"/>
                  </w:tcBorders>
                  <w:vAlign w:val="center"/>
                </w:tcPr>
                <w:p w14:paraId="43E8E20A" w14:textId="77777777" w:rsidR="00F76A63" w:rsidRDefault="00000000">
                  <w:pPr>
                    <w:pStyle w:val="affff8"/>
                    <w:rPr>
                      <w:rFonts w:cs="Times New Roman"/>
                    </w:rPr>
                  </w:pPr>
                  <w:r>
                    <w:rPr>
                      <w:rFonts w:cs="Times New Roman"/>
                    </w:rPr>
                    <w:t>禁止在沿江地区新建、扩建未纳入国家和省布局规划的燃煤发电项目。</w:t>
                  </w:r>
                </w:p>
              </w:tc>
              <w:tc>
                <w:tcPr>
                  <w:tcW w:w="1967" w:type="dxa"/>
                  <w:tcBorders>
                    <w:top w:val="single" w:sz="4" w:space="0" w:color="auto"/>
                    <w:left w:val="single" w:sz="4" w:space="0" w:color="auto"/>
                    <w:bottom w:val="single" w:sz="4" w:space="0" w:color="auto"/>
                    <w:right w:val="single" w:sz="4" w:space="0" w:color="auto"/>
                  </w:tcBorders>
                  <w:vAlign w:val="center"/>
                </w:tcPr>
                <w:p w14:paraId="58346A41" w14:textId="77777777" w:rsidR="00F76A63" w:rsidRDefault="00000000">
                  <w:pPr>
                    <w:pStyle w:val="affff8"/>
                    <w:rPr>
                      <w:rFonts w:cs="Times New Roman"/>
                    </w:rPr>
                  </w:pPr>
                  <w:r>
                    <w:rPr>
                      <w:rFonts w:cs="Times New Roman"/>
                    </w:rPr>
                    <w:t>本项目不属于燃煤发电项目</w:t>
                  </w:r>
                </w:p>
              </w:tc>
              <w:tc>
                <w:tcPr>
                  <w:tcW w:w="989" w:type="dxa"/>
                  <w:tcBorders>
                    <w:top w:val="single" w:sz="4" w:space="0" w:color="auto"/>
                    <w:left w:val="single" w:sz="4" w:space="0" w:color="auto"/>
                    <w:bottom w:val="single" w:sz="4" w:space="0" w:color="auto"/>
                    <w:right w:val="nil"/>
                  </w:tcBorders>
                  <w:vAlign w:val="center"/>
                </w:tcPr>
                <w:p w14:paraId="6DDD2A89" w14:textId="77777777" w:rsidR="00F76A63" w:rsidRDefault="00000000">
                  <w:pPr>
                    <w:pStyle w:val="affff8"/>
                    <w:rPr>
                      <w:rFonts w:cs="Times New Roman"/>
                    </w:rPr>
                  </w:pPr>
                  <w:r>
                    <w:rPr>
                      <w:rFonts w:cs="Times New Roman"/>
                    </w:rPr>
                    <w:t>相符</w:t>
                  </w:r>
                </w:p>
              </w:tc>
            </w:tr>
            <w:tr w:rsidR="00F76A63" w14:paraId="60199687" w14:textId="77777777">
              <w:trPr>
                <w:trHeight w:val="340"/>
              </w:trPr>
              <w:tc>
                <w:tcPr>
                  <w:tcW w:w="669" w:type="dxa"/>
                  <w:tcBorders>
                    <w:top w:val="single" w:sz="4" w:space="0" w:color="auto"/>
                    <w:left w:val="nil"/>
                    <w:bottom w:val="single" w:sz="4" w:space="0" w:color="auto"/>
                    <w:right w:val="single" w:sz="4" w:space="0" w:color="auto"/>
                  </w:tcBorders>
                  <w:vAlign w:val="center"/>
                </w:tcPr>
                <w:p w14:paraId="4C7A7C2C" w14:textId="77777777" w:rsidR="00F76A63" w:rsidRDefault="00000000">
                  <w:pPr>
                    <w:pStyle w:val="affff8"/>
                    <w:rPr>
                      <w:rFonts w:cs="Times New Roman"/>
                    </w:rPr>
                  </w:pPr>
                  <w:r>
                    <w:rPr>
                      <w:rFonts w:cs="Times New Roman"/>
                    </w:rPr>
                    <w:t>12</w:t>
                  </w:r>
                </w:p>
              </w:tc>
              <w:tc>
                <w:tcPr>
                  <w:tcW w:w="3763" w:type="dxa"/>
                  <w:tcBorders>
                    <w:top w:val="single" w:sz="4" w:space="0" w:color="auto"/>
                    <w:left w:val="single" w:sz="4" w:space="0" w:color="auto"/>
                    <w:bottom w:val="single" w:sz="4" w:space="0" w:color="auto"/>
                    <w:right w:val="single" w:sz="4" w:space="0" w:color="auto"/>
                  </w:tcBorders>
                  <w:vAlign w:val="center"/>
                </w:tcPr>
                <w:p w14:paraId="11FA88D7" w14:textId="77777777" w:rsidR="00F76A63" w:rsidRDefault="00000000">
                  <w:pPr>
                    <w:pStyle w:val="affff8"/>
                    <w:rPr>
                      <w:rFonts w:cs="Times New Roman"/>
                    </w:rPr>
                  </w:pPr>
                  <w:r>
                    <w:rPr>
                      <w:rFonts w:cs="Times New Roman"/>
                    </w:rPr>
                    <w:t>禁止在合规园区外新建、扩建钢铁、石化、化工、焦化、建材、有色、制浆造纸等高污染项目。合规园区名录按照《〈长江经济带发展负面清单指南（试行，</w:t>
                  </w:r>
                  <w:r>
                    <w:rPr>
                      <w:rFonts w:cs="Times New Roman"/>
                    </w:rPr>
                    <w:t>2022</w:t>
                  </w:r>
                  <w:r>
                    <w:rPr>
                      <w:rFonts w:cs="Times New Roman"/>
                    </w:rPr>
                    <w:t>年版）〉江苏省实施细则合规园区名录》执行。</w:t>
                  </w:r>
                </w:p>
              </w:tc>
              <w:tc>
                <w:tcPr>
                  <w:tcW w:w="1967" w:type="dxa"/>
                  <w:tcBorders>
                    <w:top w:val="single" w:sz="4" w:space="0" w:color="auto"/>
                    <w:left w:val="single" w:sz="4" w:space="0" w:color="auto"/>
                    <w:bottom w:val="single" w:sz="4" w:space="0" w:color="auto"/>
                    <w:right w:val="single" w:sz="4" w:space="0" w:color="auto"/>
                  </w:tcBorders>
                  <w:vAlign w:val="center"/>
                </w:tcPr>
                <w:p w14:paraId="53606650" w14:textId="77777777" w:rsidR="00F76A63" w:rsidRDefault="00000000">
                  <w:pPr>
                    <w:pStyle w:val="affff8"/>
                    <w:rPr>
                      <w:rFonts w:cs="Times New Roman"/>
                    </w:rPr>
                  </w:pPr>
                  <w:r>
                    <w:rPr>
                      <w:rFonts w:cs="Times New Roman"/>
                    </w:rPr>
                    <w:t>本项目位于句容下蜀高新技术产业园，本次利用项目为依托现有水泥窑协同处置污染土及污泥，属于固体废</w:t>
                  </w:r>
                  <w:r>
                    <w:rPr>
                      <w:rFonts w:cs="Times New Roman"/>
                    </w:rPr>
                    <w:lastRenderedPageBreak/>
                    <w:t>物治理项目，不属于高污染项目</w:t>
                  </w:r>
                </w:p>
              </w:tc>
              <w:tc>
                <w:tcPr>
                  <w:tcW w:w="989" w:type="dxa"/>
                  <w:tcBorders>
                    <w:top w:val="single" w:sz="4" w:space="0" w:color="auto"/>
                    <w:left w:val="single" w:sz="4" w:space="0" w:color="auto"/>
                    <w:bottom w:val="single" w:sz="4" w:space="0" w:color="auto"/>
                    <w:right w:val="nil"/>
                  </w:tcBorders>
                  <w:vAlign w:val="center"/>
                </w:tcPr>
                <w:p w14:paraId="3441EC78" w14:textId="77777777" w:rsidR="00F76A63" w:rsidRDefault="00000000">
                  <w:pPr>
                    <w:pStyle w:val="affff8"/>
                    <w:rPr>
                      <w:rFonts w:cs="Times New Roman"/>
                    </w:rPr>
                  </w:pPr>
                  <w:r>
                    <w:rPr>
                      <w:rFonts w:cs="Times New Roman"/>
                    </w:rPr>
                    <w:lastRenderedPageBreak/>
                    <w:t>相符</w:t>
                  </w:r>
                </w:p>
              </w:tc>
            </w:tr>
            <w:tr w:rsidR="00F76A63" w14:paraId="5F70E267" w14:textId="77777777">
              <w:trPr>
                <w:trHeight w:val="340"/>
              </w:trPr>
              <w:tc>
                <w:tcPr>
                  <w:tcW w:w="669" w:type="dxa"/>
                  <w:tcBorders>
                    <w:top w:val="single" w:sz="4" w:space="0" w:color="auto"/>
                    <w:left w:val="nil"/>
                    <w:bottom w:val="single" w:sz="4" w:space="0" w:color="auto"/>
                    <w:right w:val="single" w:sz="4" w:space="0" w:color="auto"/>
                  </w:tcBorders>
                  <w:vAlign w:val="center"/>
                </w:tcPr>
                <w:p w14:paraId="50B09834" w14:textId="77777777" w:rsidR="00F76A63" w:rsidRDefault="00000000">
                  <w:pPr>
                    <w:pStyle w:val="affff8"/>
                    <w:rPr>
                      <w:rFonts w:cs="Times New Roman"/>
                    </w:rPr>
                  </w:pPr>
                  <w:r>
                    <w:rPr>
                      <w:rFonts w:cs="Times New Roman"/>
                    </w:rPr>
                    <w:t>13</w:t>
                  </w:r>
                </w:p>
              </w:tc>
              <w:tc>
                <w:tcPr>
                  <w:tcW w:w="3763" w:type="dxa"/>
                  <w:tcBorders>
                    <w:top w:val="single" w:sz="4" w:space="0" w:color="auto"/>
                    <w:left w:val="single" w:sz="4" w:space="0" w:color="auto"/>
                    <w:bottom w:val="single" w:sz="4" w:space="0" w:color="auto"/>
                    <w:right w:val="single" w:sz="4" w:space="0" w:color="auto"/>
                  </w:tcBorders>
                  <w:vAlign w:val="center"/>
                </w:tcPr>
                <w:p w14:paraId="21CBD098" w14:textId="77777777" w:rsidR="00F76A63" w:rsidRDefault="00000000">
                  <w:pPr>
                    <w:pStyle w:val="affff8"/>
                    <w:rPr>
                      <w:rFonts w:cs="Times New Roman"/>
                    </w:rPr>
                  </w:pPr>
                  <w:r>
                    <w:rPr>
                      <w:rFonts w:cs="Times New Roman"/>
                    </w:rPr>
                    <w:t>禁止在取消化工定位的园区（集中区）内新建化工项目。</w:t>
                  </w:r>
                </w:p>
              </w:tc>
              <w:tc>
                <w:tcPr>
                  <w:tcW w:w="1967" w:type="dxa"/>
                  <w:tcBorders>
                    <w:top w:val="single" w:sz="4" w:space="0" w:color="auto"/>
                    <w:left w:val="single" w:sz="4" w:space="0" w:color="auto"/>
                    <w:bottom w:val="single" w:sz="4" w:space="0" w:color="auto"/>
                    <w:right w:val="single" w:sz="4" w:space="0" w:color="auto"/>
                  </w:tcBorders>
                  <w:vAlign w:val="center"/>
                </w:tcPr>
                <w:p w14:paraId="230E188F" w14:textId="77777777" w:rsidR="00F76A63" w:rsidRDefault="00000000">
                  <w:pPr>
                    <w:pStyle w:val="affff8"/>
                    <w:rPr>
                      <w:rFonts w:cs="Times New Roman"/>
                    </w:rPr>
                  </w:pPr>
                  <w:r>
                    <w:rPr>
                      <w:rFonts w:cs="Times New Roman"/>
                    </w:rPr>
                    <w:t>本项目不属于化工项目</w:t>
                  </w:r>
                </w:p>
              </w:tc>
              <w:tc>
                <w:tcPr>
                  <w:tcW w:w="989" w:type="dxa"/>
                  <w:tcBorders>
                    <w:top w:val="single" w:sz="4" w:space="0" w:color="auto"/>
                    <w:left w:val="single" w:sz="4" w:space="0" w:color="auto"/>
                    <w:bottom w:val="single" w:sz="4" w:space="0" w:color="auto"/>
                    <w:right w:val="nil"/>
                  </w:tcBorders>
                  <w:vAlign w:val="center"/>
                </w:tcPr>
                <w:p w14:paraId="6ED0E868" w14:textId="77777777" w:rsidR="00F76A63" w:rsidRDefault="00000000">
                  <w:pPr>
                    <w:pStyle w:val="affff8"/>
                    <w:rPr>
                      <w:rFonts w:cs="Times New Roman"/>
                    </w:rPr>
                  </w:pPr>
                  <w:r>
                    <w:rPr>
                      <w:rFonts w:cs="Times New Roman"/>
                    </w:rPr>
                    <w:t>相符</w:t>
                  </w:r>
                </w:p>
              </w:tc>
            </w:tr>
            <w:tr w:rsidR="00F76A63" w14:paraId="35F9A185" w14:textId="77777777">
              <w:trPr>
                <w:trHeight w:val="340"/>
              </w:trPr>
              <w:tc>
                <w:tcPr>
                  <w:tcW w:w="669" w:type="dxa"/>
                  <w:tcBorders>
                    <w:top w:val="single" w:sz="4" w:space="0" w:color="auto"/>
                    <w:left w:val="nil"/>
                    <w:bottom w:val="single" w:sz="4" w:space="0" w:color="auto"/>
                    <w:right w:val="single" w:sz="4" w:space="0" w:color="auto"/>
                  </w:tcBorders>
                  <w:vAlign w:val="center"/>
                </w:tcPr>
                <w:p w14:paraId="08AA76BE" w14:textId="77777777" w:rsidR="00F76A63" w:rsidRDefault="00000000">
                  <w:pPr>
                    <w:pStyle w:val="affff8"/>
                    <w:rPr>
                      <w:rFonts w:cs="Times New Roman"/>
                    </w:rPr>
                  </w:pPr>
                  <w:r>
                    <w:rPr>
                      <w:rFonts w:cs="Times New Roman"/>
                    </w:rPr>
                    <w:t>14</w:t>
                  </w:r>
                </w:p>
              </w:tc>
              <w:tc>
                <w:tcPr>
                  <w:tcW w:w="3763" w:type="dxa"/>
                  <w:tcBorders>
                    <w:top w:val="single" w:sz="4" w:space="0" w:color="auto"/>
                    <w:left w:val="single" w:sz="4" w:space="0" w:color="auto"/>
                    <w:bottom w:val="single" w:sz="4" w:space="0" w:color="auto"/>
                    <w:right w:val="single" w:sz="4" w:space="0" w:color="auto"/>
                  </w:tcBorders>
                  <w:vAlign w:val="center"/>
                </w:tcPr>
                <w:p w14:paraId="0E9A0B07" w14:textId="77777777" w:rsidR="00F76A63" w:rsidRDefault="00000000">
                  <w:pPr>
                    <w:pStyle w:val="affff8"/>
                    <w:rPr>
                      <w:rFonts w:cs="Times New Roman"/>
                    </w:rPr>
                  </w:pPr>
                  <w:r>
                    <w:rPr>
                      <w:rFonts w:cs="Times New Roman"/>
                    </w:rPr>
                    <w:t>禁止在化工企业周边建设不符合安全距离规定的劳动密集型的非化工项目和其他人员密集的公共设施项目。</w:t>
                  </w:r>
                </w:p>
              </w:tc>
              <w:tc>
                <w:tcPr>
                  <w:tcW w:w="1967" w:type="dxa"/>
                  <w:tcBorders>
                    <w:top w:val="single" w:sz="4" w:space="0" w:color="auto"/>
                    <w:left w:val="single" w:sz="4" w:space="0" w:color="auto"/>
                    <w:bottom w:val="single" w:sz="4" w:space="0" w:color="auto"/>
                    <w:right w:val="single" w:sz="4" w:space="0" w:color="auto"/>
                  </w:tcBorders>
                  <w:vAlign w:val="center"/>
                </w:tcPr>
                <w:p w14:paraId="46A5C144" w14:textId="77777777" w:rsidR="00F76A63" w:rsidRDefault="00000000">
                  <w:pPr>
                    <w:pStyle w:val="affff8"/>
                    <w:rPr>
                      <w:rFonts w:cs="Times New Roman"/>
                    </w:rPr>
                  </w:pPr>
                  <w:r>
                    <w:rPr>
                      <w:rFonts w:cs="Times New Roman"/>
                    </w:rPr>
                    <w:t>本项目不属于劳动密集型的非化工项目和其他人员密集的公共设施项目</w:t>
                  </w:r>
                </w:p>
              </w:tc>
              <w:tc>
                <w:tcPr>
                  <w:tcW w:w="989" w:type="dxa"/>
                  <w:tcBorders>
                    <w:top w:val="single" w:sz="4" w:space="0" w:color="auto"/>
                    <w:left w:val="single" w:sz="4" w:space="0" w:color="auto"/>
                    <w:bottom w:val="single" w:sz="4" w:space="0" w:color="auto"/>
                    <w:right w:val="nil"/>
                  </w:tcBorders>
                  <w:vAlign w:val="center"/>
                </w:tcPr>
                <w:p w14:paraId="5FF4309B" w14:textId="77777777" w:rsidR="00F76A63" w:rsidRDefault="00000000">
                  <w:pPr>
                    <w:pStyle w:val="affff8"/>
                    <w:rPr>
                      <w:rFonts w:cs="Times New Roman"/>
                    </w:rPr>
                  </w:pPr>
                  <w:r>
                    <w:rPr>
                      <w:rFonts w:cs="Times New Roman"/>
                    </w:rPr>
                    <w:t>相符</w:t>
                  </w:r>
                </w:p>
              </w:tc>
            </w:tr>
            <w:tr w:rsidR="00F76A63" w14:paraId="66D1A782" w14:textId="77777777">
              <w:trPr>
                <w:trHeight w:val="340"/>
              </w:trPr>
              <w:tc>
                <w:tcPr>
                  <w:tcW w:w="669" w:type="dxa"/>
                  <w:tcBorders>
                    <w:top w:val="single" w:sz="4" w:space="0" w:color="auto"/>
                    <w:left w:val="nil"/>
                    <w:bottom w:val="single" w:sz="4" w:space="0" w:color="auto"/>
                    <w:right w:val="single" w:sz="4" w:space="0" w:color="auto"/>
                  </w:tcBorders>
                  <w:vAlign w:val="center"/>
                </w:tcPr>
                <w:p w14:paraId="44B644C8" w14:textId="77777777" w:rsidR="00F76A63" w:rsidRDefault="00000000">
                  <w:pPr>
                    <w:pStyle w:val="affff8"/>
                    <w:rPr>
                      <w:rFonts w:cs="Times New Roman"/>
                    </w:rPr>
                  </w:pPr>
                  <w:r>
                    <w:rPr>
                      <w:rFonts w:cs="Times New Roman"/>
                    </w:rPr>
                    <w:t>15</w:t>
                  </w:r>
                </w:p>
              </w:tc>
              <w:tc>
                <w:tcPr>
                  <w:tcW w:w="3763" w:type="dxa"/>
                  <w:tcBorders>
                    <w:top w:val="single" w:sz="4" w:space="0" w:color="auto"/>
                    <w:left w:val="single" w:sz="4" w:space="0" w:color="auto"/>
                    <w:bottom w:val="single" w:sz="4" w:space="0" w:color="auto"/>
                    <w:right w:val="single" w:sz="4" w:space="0" w:color="auto"/>
                  </w:tcBorders>
                  <w:vAlign w:val="center"/>
                </w:tcPr>
                <w:p w14:paraId="1F7981DA" w14:textId="77777777" w:rsidR="00F76A63" w:rsidRDefault="00000000">
                  <w:pPr>
                    <w:pStyle w:val="affff8"/>
                    <w:rPr>
                      <w:rFonts w:cs="Times New Roman"/>
                    </w:rPr>
                  </w:pPr>
                  <w:r>
                    <w:rPr>
                      <w:rFonts w:cs="Times New Roman"/>
                    </w:rPr>
                    <w:t>禁止新建、扩建不符合国家和省产业政策的尿素、磷铵、电石、烧碱、聚氯乙烯、纯碱等行业新增产能项目。</w:t>
                  </w:r>
                </w:p>
              </w:tc>
              <w:tc>
                <w:tcPr>
                  <w:tcW w:w="1967" w:type="dxa"/>
                  <w:tcBorders>
                    <w:top w:val="single" w:sz="4" w:space="0" w:color="auto"/>
                    <w:left w:val="single" w:sz="4" w:space="0" w:color="auto"/>
                    <w:bottom w:val="single" w:sz="4" w:space="0" w:color="auto"/>
                    <w:right w:val="single" w:sz="4" w:space="0" w:color="auto"/>
                  </w:tcBorders>
                  <w:vAlign w:val="center"/>
                </w:tcPr>
                <w:p w14:paraId="13774FD4" w14:textId="77777777" w:rsidR="00F76A63" w:rsidRDefault="00000000">
                  <w:pPr>
                    <w:pStyle w:val="affff8"/>
                    <w:rPr>
                      <w:rFonts w:cs="Times New Roman"/>
                    </w:rPr>
                  </w:pPr>
                  <w:r>
                    <w:rPr>
                      <w:rFonts w:cs="Times New Roman"/>
                    </w:rPr>
                    <w:t>本项目不属于尿素、磷铵、电石、烧碱、聚氯乙烯、纯碱等行业新增产能项目</w:t>
                  </w:r>
                </w:p>
              </w:tc>
              <w:tc>
                <w:tcPr>
                  <w:tcW w:w="989" w:type="dxa"/>
                  <w:tcBorders>
                    <w:top w:val="single" w:sz="4" w:space="0" w:color="auto"/>
                    <w:left w:val="single" w:sz="4" w:space="0" w:color="auto"/>
                    <w:bottom w:val="single" w:sz="4" w:space="0" w:color="auto"/>
                    <w:right w:val="nil"/>
                  </w:tcBorders>
                  <w:vAlign w:val="center"/>
                </w:tcPr>
                <w:p w14:paraId="633E445E" w14:textId="77777777" w:rsidR="00F76A63" w:rsidRDefault="00000000">
                  <w:pPr>
                    <w:pStyle w:val="affff8"/>
                    <w:rPr>
                      <w:rFonts w:cs="Times New Roman"/>
                    </w:rPr>
                  </w:pPr>
                  <w:r>
                    <w:rPr>
                      <w:rFonts w:cs="Times New Roman"/>
                    </w:rPr>
                    <w:t>相符</w:t>
                  </w:r>
                </w:p>
              </w:tc>
            </w:tr>
            <w:tr w:rsidR="00F76A63" w14:paraId="7F9ADAD4" w14:textId="77777777">
              <w:trPr>
                <w:trHeight w:val="340"/>
              </w:trPr>
              <w:tc>
                <w:tcPr>
                  <w:tcW w:w="669" w:type="dxa"/>
                  <w:tcBorders>
                    <w:top w:val="single" w:sz="4" w:space="0" w:color="auto"/>
                    <w:left w:val="nil"/>
                    <w:bottom w:val="single" w:sz="4" w:space="0" w:color="auto"/>
                    <w:right w:val="single" w:sz="4" w:space="0" w:color="auto"/>
                  </w:tcBorders>
                  <w:vAlign w:val="center"/>
                </w:tcPr>
                <w:p w14:paraId="14140C82" w14:textId="77777777" w:rsidR="00F76A63" w:rsidRDefault="00000000">
                  <w:pPr>
                    <w:pStyle w:val="affff8"/>
                    <w:rPr>
                      <w:rFonts w:cs="Times New Roman"/>
                    </w:rPr>
                  </w:pPr>
                  <w:r>
                    <w:rPr>
                      <w:rFonts w:cs="Times New Roman"/>
                    </w:rPr>
                    <w:t>16</w:t>
                  </w:r>
                </w:p>
              </w:tc>
              <w:tc>
                <w:tcPr>
                  <w:tcW w:w="3763" w:type="dxa"/>
                  <w:tcBorders>
                    <w:top w:val="single" w:sz="4" w:space="0" w:color="auto"/>
                    <w:left w:val="single" w:sz="4" w:space="0" w:color="auto"/>
                    <w:bottom w:val="single" w:sz="4" w:space="0" w:color="auto"/>
                    <w:right w:val="single" w:sz="4" w:space="0" w:color="auto"/>
                  </w:tcBorders>
                  <w:vAlign w:val="center"/>
                </w:tcPr>
                <w:p w14:paraId="60308861" w14:textId="77777777" w:rsidR="00F76A63" w:rsidRDefault="00000000">
                  <w:pPr>
                    <w:pStyle w:val="affff8"/>
                    <w:rPr>
                      <w:rFonts w:cs="Times New Roman"/>
                    </w:rPr>
                  </w:pPr>
                  <w:r>
                    <w:rPr>
                      <w:rFonts w:cs="Times New Roman"/>
                    </w:rPr>
                    <w:t>禁止新建、改建、扩建高毒、高残留以及对环境影响大的农药原药（化学合成类）项目，禁止新建、扩建不符合国家和省产业政策的农药、医药和染料中间体化工项目。</w:t>
                  </w:r>
                </w:p>
              </w:tc>
              <w:tc>
                <w:tcPr>
                  <w:tcW w:w="1967" w:type="dxa"/>
                  <w:tcBorders>
                    <w:top w:val="single" w:sz="4" w:space="0" w:color="auto"/>
                    <w:left w:val="single" w:sz="4" w:space="0" w:color="auto"/>
                    <w:bottom w:val="single" w:sz="4" w:space="0" w:color="auto"/>
                    <w:right w:val="single" w:sz="4" w:space="0" w:color="auto"/>
                  </w:tcBorders>
                  <w:vAlign w:val="center"/>
                </w:tcPr>
                <w:p w14:paraId="40ECD112" w14:textId="77777777" w:rsidR="00F76A63" w:rsidRDefault="00000000">
                  <w:pPr>
                    <w:pStyle w:val="affff8"/>
                    <w:rPr>
                      <w:rFonts w:cs="Times New Roman"/>
                    </w:rPr>
                  </w:pPr>
                  <w:r>
                    <w:rPr>
                      <w:rFonts w:cs="Times New Roman"/>
                    </w:rPr>
                    <w:t>本项目不属于农药原药（化学合成类）项目</w:t>
                  </w:r>
                </w:p>
              </w:tc>
              <w:tc>
                <w:tcPr>
                  <w:tcW w:w="989" w:type="dxa"/>
                  <w:tcBorders>
                    <w:top w:val="single" w:sz="4" w:space="0" w:color="auto"/>
                    <w:left w:val="single" w:sz="4" w:space="0" w:color="auto"/>
                    <w:bottom w:val="single" w:sz="4" w:space="0" w:color="auto"/>
                    <w:right w:val="nil"/>
                  </w:tcBorders>
                  <w:vAlign w:val="center"/>
                </w:tcPr>
                <w:p w14:paraId="581D8597" w14:textId="77777777" w:rsidR="00F76A63" w:rsidRDefault="00000000">
                  <w:pPr>
                    <w:pStyle w:val="affff8"/>
                    <w:rPr>
                      <w:rFonts w:cs="Times New Roman"/>
                    </w:rPr>
                  </w:pPr>
                  <w:r>
                    <w:rPr>
                      <w:rFonts w:cs="Times New Roman"/>
                    </w:rPr>
                    <w:t>相符</w:t>
                  </w:r>
                </w:p>
              </w:tc>
            </w:tr>
            <w:tr w:rsidR="00F76A63" w14:paraId="613475C9" w14:textId="77777777">
              <w:trPr>
                <w:trHeight w:val="340"/>
              </w:trPr>
              <w:tc>
                <w:tcPr>
                  <w:tcW w:w="669" w:type="dxa"/>
                  <w:tcBorders>
                    <w:top w:val="single" w:sz="4" w:space="0" w:color="auto"/>
                    <w:left w:val="nil"/>
                    <w:bottom w:val="single" w:sz="4" w:space="0" w:color="auto"/>
                    <w:right w:val="single" w:sz="4" w:space="0" w:color="auto"/>
                  </w:tcBorders>
                  <w:vAlign w:val="center"/>
                </w:tcPr>
                <w:p w14:paraId="72C9E336" w14:textId="77777777" w:rsidR="00F76A63" w:rsidRDefault="00000000">
                  <w:pPr>
                    <w:pStyle w:val="affff8"/>
                    <w:rPr>
                      <w:rFonts w:cs="Times New Roman"/>
                    </w:rPr>
                  </w:pPr>
                  <w:r>
                    <w:rPr>
                      <w:rFonts w:cs="Times New Roman"/>
                    </w:rPr>
                    <w:t>17</w:t>
                  </w:r>
                </w:p>
              </w:tc>
              <w:tc>
                <w:tcPr>
                  <w:tcW w:w="3763" w:type="dxa"/>
                  <w:tcBorders>
                    <w:top w:val="single" w:sz="4" w:space="0" w:color="auto"/>
                    <w:left w:val="single" w:sz="4" w:space="0" w:color="auto"/>
                    <w:bottom w:val="single" w:sz="4" w:space="0" w:color="auto"/>
                    <w:right w:val="single" w:sz="4" w:space="0" w:color="auto"/>
                  </w:tcBorders>
                  <w:vAlign w:val="center"/>
                </w:tcPr>
                <w:p w14:paraId="461E738C" w14:textId="77777777" w:rsidR="00F76A63" w:rsidRDefault="00000000">
                  <w:pPr>
                    <w:pStyle w:val="affff8"/>
                    <w:rPr>
                      <w:rFonts w:cs="Times New Roman"/>
                    </w:rPr>
                  </w:pPr>
                  <w:r>
                    <w:rPr>
                      <w:rFonts w:cs="Times New Roman"/>
                    </w:rPr>
                    <w:t>禁止新建、扩建不符合国家石化、现代煤化工等产业布局规划的项目，禁止新建独立焦化项目。</w:t>
                  </w:r>
                </w:p>
              </w:tc>
              <w:tc>
                <w:tcPr>
                  <w:tcW w:w="1967" w:type="dxa"/>
                  <w:tcBorders>
                    <w:top w:val="single" w:sz="4" w:space="0" w:color="auto"/>
                    <w:left w:val="single" w:sz="4" w:space="0" w:color="auto"/>
                    <w:bottom w:val="single" w:sz="4" w:space="0" w:color="auto"/>
                    <w:right w:val="single" w:sz="4" w:space="0" w:color="auto"/>
                  </w:tcBorders>
                  <w:vAlign w:val="center"/>
                </w:tcPr>
                <w:p w14:paraId="19438F1D" w14:textId="77777777" w:rsidR="00F76A63" w:rsidRDefault="00000000">
                  <w:pPr>
                    <w:pStyle w:val="affff8"/>
                    <w:rPr>
                      <w:rFonts w:cs="Times New Roman"/>
                    </w:rPr>
                  </w:pPr>
                  <w:r>
                    <w:rPr>
                      <w:rFonts w:cs="Times New Roman"/>
                    </w:rPr>
                    <w:t>本项目不属于石化、煤化工、焦化项目</w:t>
                  </w:r>
                </w:p>
              </w:tc>
              <w:tc>
                <w:tcPr>
                  <w:tcW w:w="989" w:type="dxa"/>
                  <w:tcBorders>
                    <w:top w:val="single" w:sz="4" w:space="0" w:color="auto"/>
                    <w:left w:val="single" w:sz="4" w:space="0" w:color="auto"/>
                    <w:bottom w:val="single" w:sz="4" w:space="0" w:color="auto"/>
                    <w:right w:val="nil"/>
                  </w:tcBorders>
                  <w:vAlign w:val="center"/>
                </w:tcPr>
                <w:p w14:paraId="4FD6096D" w14:textId="77777777" w:rsidR="00F76A63" w:rsidRDefault="00000000">
                  <w:pPr>
                    <w:pStyle w:val="affff8"/>
                    <w:rPr>
                      <w:rFonts w:cs="Times New Roman"/>
                    </w:rPr>
                  </w:pPr>
                  <w:r>
                    <w:rPr>
                      <w:rFonts w:cs="Times New Roman"/>
                    </w:rPr>
                    <w:t>相符</w:t>
                  </w:r>
                </w:p>
              </w:tc>
            </w:tr>
            <w:tr w:rsidR="00F76A63" w14:paraId="0BBEB503" w14:textId="77777777">
              <w:trPr>
                <w:trHeight w:val="340"/>
              </w:trPr>
              <w:tc>
                <w:tcPr>
                  <w:tcW w:w="669" w:type="dxa"/>
                  <w:tcBorders>
                    <w:top w:val="single" w:sz="4" w:space="0" w:color="auto"/>
                    <w:left w:val="nil"/>
                    <w:bottom w:val="single" w:sz="4" w:space="0" w:color="auto"/>
                    <w:right w:val="single" w:sz="4" w:space="0" w:color="auto"/>
                  </w:tcBorders>
                  <w:vAlign w:val="center"/>
                </w:tcPr>
                <w:p w14:paraId="34977C08" w14:textId="77777777" w:rsidR="00F76A63" w:rsidRDefault="00000000">
                  <w:pPr>
                    <w:pStyle w:val="affff8"/>
                    <w:rPr>
                      <w:rFonts w:cs="Times New Roman"/>
                    </w:rPr>
                  </w:pPr>
                  <w:r>
                    <w:rPr>
                      <w:rFonts w:cs="Times New Roman"/>
                    </w:rPr>
                    <w:t>18</w:t>
                  </w:r>
                </w:p>
              </w:tc>
              <w:tc>
                <w:tcPr>
                  <w:tcW w:w="3763" w:type="dxa"/>
                  <w:tcBorders>
                    <w:top w:val="single" w:sz="4" w:space="0" w:color="auto"/>
                    <w:left w:val="single" w:sz="4" w:space="0" w:color="auto"/>
                    <w:bottom w:val="single" w:sz="4" w:space="0" w:color="auto"/>
                    <w:right w:val="single" w:sz="4" w:space="0" w:color="auto"/>
                  </w:tcBorders>
                  <w:vAlign w:val="center"/>
                </w:tcPr>
                <w:p w14:paraId="327E1AD8" w14:textId="77777777" w:rsidR="00F76A63" w:rsidRDefault="00000000">
                  <w:pPr>
                    <w:pStyle w:val="affff8"/>
                    <w:rPr>
                      <w:rFonts w:cs="Times New Roman"/>
                    </w:rPr>
                  </w:pPr>
                  <w:r>
                    <w:rPr>
                      <w:rFonts w:cs="Times New Roman"/>
                    </w:rPr>
                    <w:t>禁止新建、扩建国家《产业结构调整指导目录》《江苏省产业结构调整限制、淘汰和禁止目录》明确的限制类、淘汰类、禁止类项目，法律法规和相关政策明令禁止的落后产能项目，以及明令淘汰的安全生产落后工艺及装备项目。</w:t>
                  </w:r>
                </w:p>
              </w:tc>
              <w:tc>
                <w:tcPr>
                  <w:tcW w:w="1967" w:type="dxa"/>
                  <w:tcBorders>
                    <w:top w:val="single" w:sz="4" w:space="0" w:color="auto"/>
                    <w:left w:val="single" w:sz="4" w:space="0" w:color="auto"/>
                    <w:bottom w:val="single" w:sz="4" w:space="0" w:color="auto"/>
                    <w:right w:val="single" w:sz="4" w:space="0" w:color="auto"/>
                  </w:tcBorders>
                  <w:vAlign w:val="center"/>
                </w:tcPr>
                <w:p w14:paraId="2AD8A570" w14:textId="77777777" w:rsidR="00F76A63" w:rsidRDefault="00000000">
                  <w:pPr>
                    <w:pStyle w:val="affff8"/>
                    <w:rPr>
                      <w:rFonts w:cs="Times New Roman"/>
                    </w:rPr>
                  </w:pPr>
                  <w:r>
                    <w:rPr>
                      <w:rFonts w:cs="Times New Roman"/>
                    </w:rPr>
                    <w:t>本项目不属于目录明确的限制类、淘汰类、禁止类项目，不属于法律法规和相关政策明令禁止的落后产能项目</w:t>
                  </w:r>
                </w:p>
              </w:tc>
              <w:tc>
                <w:tcPr>
                  <w:tcW w:w="989" w:type="dxa"/>
                  <w:tcBorders>
                    <w:top w:val="single" w:sz="4" w:space="0" w:color="auto"/>
                    <w:left w:val="single" w:sz="4" w:space="0" w:color="auto"/>
                    <w:bottom w:val="single" w:sz="4" w:space="0" w:color="auto"/>
                    <w:right w:val="nil"/>
                  </w:tcBorders>
                  <w:vAlign w:val="center"/>
                </w:tcPr>
                <w:p w14:paraId="544F92C7" w14:textId="77777777" w:rsidR="00F76A63" w:rsidRDefault="00000000">
                  <w:pPr>
                    <w:pStyle w:val="affff8"/>
                    <w:rPr>
                      <w:rFonts w:cs="Times New Roman"/>
                    </w:rPr>
                  </w:pPr>
                  <w:r>
                    <w:rPr>
                      <w:rFonts w:cs="Times New Roman"/>
                    </w:rPr>
                    <w:t>相符</w:t>
                  </w:r>
                </w:p>
              </w:tc>
            </w:tr>
            <w:tr w:rsidR="00F76A63" w14:paraId="79CC7EC1" w14:textId="77777777">
              <w:trPr>
                <w:trHeight w:val="340"/>
              </w:trPr>
              <w:tc>
                <w:tcPr>
                  <w:tcW w:w="669" w:type="dxa"/>
                  <w:tcBorders>
                    <w:top w:val="single" w:sz="4" w:space="0" w:color="auto"/>
                    <w:left w:val="nil"/>
                    <w:bottom w:val="single" w:sz="4" w:space="0" w:color="auto"/>
                    <w:right w:val="single" w:sz="4" w:space="0" w:color="auto"/>
                  </w:tcBorders>
                  <w:vAlign w:val="center"/>
                </w:tcPr>
                <w:p w14:paraId="2E32E9F7" w14:textId="77777777" w:rsidR="00F76A63" w:rsidRDefault="00000000">
                  <w:pPr>
                    <w:pStyle w:val="affff8"/>
                    <w:rPr>
                      <w:rFonts w:cs="Times New Roman"/>
                    </w:rPr>
                  </w:pPr>
                  <w:r>
                    <w:rPr>
                      <w:rFonts w:cs="Times New Roman"/>
                    </w:rPr>
                    <w:t>19</w:t>
                  </w:r>
                </w:p>
              </w:tc>
              <w:tc>
                <w:tcPr>
                  <w:tcW w:w="3763" w:type="dxa"/>
                  <w:tcBorders>
                    <w:top w:val="single" w:sz="4" w:space="0" w:color="auto"/>
                    <w:left w:val="single" w:sz="4" w:space="0" w:color="auto"/>
                    <w:bottom w:val="single" w:sz="4" w:space="0" w:color="auto"/>
                    <w:right w:val="single" w:sz="4" w:space="0" w:color="auto"/>
                  </w:tcBorders>
                  <w:vAlign w:val="center"/>
                </w:tcPr>
                <w:p w14:paraId="72467335" w14:textId="77777777" w:rsidR="00F76A63" w:rsidRDefault="00000000">
                  <w:pPr>
                    <w:pStyle w:val="affff8"/>
                    <w:rPr>
                      <w:rFonts w:cs="Times New Roman"/>
                    </w:rPr>
                  </w:pPr>
                  <w:r>
                    <w:rPr>
                      <w:rFonts w:cs="Times New Roman"/>
                    </w:rPr>
                    <w:t>禁止新建、扩建不符合国家产能置换要求的严重过剩产能行业的项目。禁止新建、扩建不符合要求的高耗能高排放项目。</w:t>
                  </w:r>
                </w:p>
              </w:tc>
              <w:tc>
                <w:tcPr>
                  <w:tcW w:w="1967" w:type="dxa"/>
                  <w:tcBorders>
                    <w:top w:val="single" w:sz="4" w:space="0" w:color="auto"/>
                    <w:left w:val="single" w:sz="4" w:space="0" w:color="auto"/>
                    <w:bottom w:val="single" w:sz="4" w:space="0" w:color="auto"/>
                    <w:right w:val="single" w:sz="4" w:space="0" w:color="auto"/>
                  </w:tcBorders>
                  <w:vAlign w:val="center"/>
                </w:tcPr>
                <w:p w14:paraId="13BEA73A" w14:textId="77777777" w:rsidR="00F76A63" w:rsidRDefault="00000000">
                  <w:pPr>
                    <w:pStyle w:val="affff8"/>
                    <w:rPr>
                      <w:rFonts w:cs="Times New Roman"/>
                    </w:rPr>
                  </w:pPr>
                  <w:r>
                    <w:rPr>
                      <w:rFonts w:cs="Times New Roman"/>
                    </w:rPr>
                    <w:t>本次为改建项目，依托现有水泥窑协同处置污染土及污泥，属于固体废物治理项目，符合国家及地方产业政策要求。</w:t>
                  </w:r>
                </w:p>
              </w:tc>
              <w:tc>
                <w:tcPr>
                  <w:tcW w:w="989" w:type="dxa"/>
                  <w:tcBorders>
                    <w:top w:val="single" w:sz="4" w:space="0" w:color="auto"/>
                    <w:left w:val="single" w:sz="4" w:space="0" w:color="auto"/>
                    <w:bottom w:val="single" w:sz="4" w:space="0" w:color="auto"/>
                    <w:right w:val="nil"/>
                  </w:tcBorders>
                  <w:vAlign w:val="center"/>
                </w:tcPr>
                <w:p w14:paraId="14221000" w14:textId="77777777" w:rsidR="00F76A63" w:rsidRDefault="00000000">
                  <w:pPr>
                    <w:pStyle w:val="affff8"/>
                    <w:rPr>
                      <w:rFonts w:cs="Times New Roman"/>
                    </w:rPr>
                  </w:pPr>
                  <w:r>
                    <w:rPr>
                      <w:rFonts w:cs="Times New Roman"/>
                    </w:rPr>
                    <w:t>相符</w:t>
                  </w:r>
                </w:p>
              </w:tc>
            </w:tr>
            <w:tr w:rsidR="00F76A63" w14:paraId="594D1E0C" w14:textId="77777777">
              <w:trPr>
                <w:trHeight w:val="340"/>
              </w:trPr>
              <w:tc>
                <w:tcPr>
                  <w:tcW w:w="669" w:type="dxa"/>
                  <w:tcBorders>
                    <w:top w:val="single" w:sz="4" w:space="0" w:color="auto"/>
                    <w:left w:val="nil"/>
                    <w:bottom w:val="single" w:sz="12" w:space="0" w:color="auto"/>
                    <w:right w:val="single" w:sz="4" w:space="0" w:color="auto"/>
                  </w:tcBorders>
                  <w:vAlign w:val="center"/>
                </w:tcPr>
                <w:p w14:paraId="35279924" w14:textId="77777777" w:rsidR="00F76A63" w:rsidRDefault="00000000">
                  <w:pPr>
                    <w:pStyle w:val="affff8"/>
                    <w:rPr>
                      <w:rFonts w:cs="Times New Roman"/>
                    </w:rPr>
                  </w:pPr>
                  <w:r>
                    <w:rPr>
                      <w:rFonts w:cs="Times New Roman"/>
                    </w:rPr>
                    <w:t>20</w:t>
                  </w:r>
                </w:p>
              </w:tc>
              <w:tc>
                <w:tcPr>
                  <w:tcW w:w="3763" w:type="dxa"/>
                  <w:tcBorders>
                    <w:top w:val="single" w:sz="4" w:space="0" w:color="auto"/>
                    <w:left w:val="single" w:sz="4" w:space="0" w:color="auto"/>
                    <w:bottom w:val="single" w:sz="12" w:space="0" w:color="auto"/>
                    <w:right w:val="single" w:sz="4" w:space="0" w:color="auto"/>
                  </w:tcBorders>
                  <w:vAlign w:val="center"/>
                </w:tcPr>
                <w:p w14:paraId="4B2ACAA0" w14:textId="77777777" w:rsidR="00F76A63" w:rsidRDefault="00000000">
                  <w:pPr>
                    <w:pStyle w:val="affff8"/>
                    <w:rPr>
                      <w:rFonts w:cs="Times New Roman"/>
                    </w:rPr>
                  </w:pPr>
                  <w:r>
                    <w:rPr>
                      <w:rFonts w:cs="Times New Roman"/>
                    </w:rPr>
                    <w:t>法律法规及相关政策文件有更加严格规定的从其规定。</w:t>
                  </w:r>
                </w:p>
              </w:tc>
              <w:tc>
                <w:tcPr>
                  <w:tcW w:w="1967" w:type="dxa"/>
                  <w:tcBorders>
                    <w:top w:val="single" w:sz="4" w:space="0" w:color="auto"/>
                    <w:left w:val="single" w:sz="4" w:space="0" w:color="auto"/>
                    <w:bottom w:val="single" w:sz="12" w:space="0" w:color="auto"/>
                    <w:right w:val="single" w:sz="4" w:space="0" w:color="auto"/>
                  </w:tcBorders>
                  <w:vAlign w:val="center"/>
                </w:tcPr>
                <w:p w14:paraId="43AC4014" w14:textId="77777777" w:rsidR="00F76A63" w:rsidRDefault="00000000">
                  <w:pPr>
                    <w:pStyle w:val="affff8"/>
                    <w:rPr>
                      <w:rFonts w:cs="Times New Roman"/>
                    </w:rPr>
                  </w:pPr>
                  <w:r>
                    <w:rPr>
                      <w:rFonts w:cs="Times New Roman"/>
                    </w:rPr>
                    <w:t>/</w:t>
                  </w:r>
                </w:p>
              </w:tc>
              <w:tc>
                <w:tcPr>
                  <w:tcW w:w="989" w:type="dxa"/>
                  <w:tcBorders>
                    <w:top w:val="single" w:sz="4" w:space="0" w:color="auto"/>
                    <w:left w:val="single" w:sz="4" w:space="0" w:color="auto"/>
                    <w:bottom w:val="single" w:sz="12" w:space="0" w:color="auto"/>
                    <w:right w:val="nil"/>
                  </w:tcBorders>
                  <w:vAlign w:val="center"/>
                </w:tcPr>
                <w:p w14:paraId="422324F2" w14:textId="77777777" w:rsidR="00F76A63" w:rsidRDefault="00000000">
                  <w:pPr>
                    <w:pStyle w:val="affff8"/>
                    <w:rPr>
                      <w:rFonts w:cs="Times New Roman"/>
                    </w:rPr>
                  </w:pPr>
                  <w:r>
                    <w:rPr>
                      <w:rFonts w:cs="Times New Roman"/>
                    </w:rPr>
                    <w:t>/</w:t>
                  </w:r>
                </w:p>
              </w:tc>
            </w:tr>
          </w:tbl>
          <w:p w14:paraId="7E868CCB" w14:textId="77777777" w:rsidR="00F76A63" w:rsidRDefault="00000000">
            <w:pPr>
              <w:adjustRightInd w:val="0"/>
              <w:snapToGrid w:val="0"/>
              <w:spacing w:line="500" w:lineRule="exact"/>
              <w:ind w:firstLineChars="200" w:firstLine="482"/>
              <w:rPr>
                <w:b/>
                <w:bCs/>
                <w:sz w:val="24"/>
              </w:rPr>
            </w:pPr>
            <w:bookmarkStart w:id="26" w:name="OLE_LINK53"/>
            <w:bookmarkEnd w:id="25"/>
            <w:r>
              <w:rPr>
                <w:b/>
                <w:bCs/>
                <w:sz w:val="24"/>
              </w:rPr>
              <w:t>5</w:t>
            </w:r>
            <w:r>
              <w:rPr>
                <w:b/>
                <w:bCs/>
                <w:sz w:val="24"/>
              </w:rPr>
              <w:t>、与</w:t>
            </w:r>
            <w:bookmarkStart w:id="27" w:name="_Hlk200895734"/>
            <w:r>
              <w:rPr>
                <w:b/>
                <w:bCs/>
                <w:sz w:val="24"/>
              </w:rPr>
              <w:t>《江苏省</w:t>
            </w:r>
            <w:r>
              <w:rPr>
                <w:b/>
                <w:bCs/>
                <w:sz w:val="24"/>
              </w:rPr>
              <w:t>2023</w:t>
            </w:r>
            <w:r>
              <w:rPr>
                <w:b/>
                <w:bCs/>
                <w:sz w:val="24"/>
              </w:rPr>
              <w:t>年度生态环境分区管控动态更新成果公告》</w:t>
            </w:r>
            <w:bookmarkStart w:id="28" w:name="_Hlk200895703"/>
            <w:bookmarkEnd w:id="27"/>
            <w:r>
              <w:rPr>
                <w:b/>
                <w:bCs/>
                <w:sz w:val="24"/>
              </w:rPr>
              <w:t>《镇江市生态环境分区管控动态更新成果公告》</w:t>
            </w:r>
            <w:bookmarkEnd w:id="28"/>
            <w:r>
              <w:rPr>
                <w:b/>
                <w:bCs/>
                <w:sz w:val="24"/>
              </w:rPr>
              <w:t>相符性分析</w:t>
            </w:r>
          </w:p>
          <w:p w14:paraId="0AD4512B" w14:textId="77777777" w:rsidR="00F76A63" w:rsidRDefault="00000000">
            <w:pPr>
              <w:adjustRightInd w:val="0"/>
              <w:snapToGrid w:val="0"/>
              <w:spacing w:line="500" w:lineRule="exact"/>
              <w:ind w:firstLineChars="200" w:firstLine="480"/>
              <w:rPr>
                <w:sz w:val="24"/>
              </w:rPr>
            </w:pPr>
            <w:r>
              <w:rPr>
                <w:sz w:val="24"/>
              </w:rPr>
              <w:t>根据《江苏省</w:t>
            </w:r>
            <w:r>
              <w:rPr>
                <w:sz w:val="24"/>
              </w:rPr>
              <w:t>2023</w:t>
            </w:r>
            <w:r>
              <w:rPr>
                <w:sz w:val="24"/>
              </w:rPr>
              <w:t>年度生态环境分区管控动态更新成果公告》《镇江市生态环境分区管控动态更新成果公告》，本项目所在地位于镇江市句容市下蜀高新技术产业园，属于重点管控区域。重点管控单元，指除优先保护单元、一般管控单元以外的其他区域，衔接街道（乡镇）边界形成管控单元。</w:t>
            </w:r>
            <w:r>
              <w:rPr>
                <w:sz w:val="24"/>
              </w:rPr>
              <w:lastRenderedPageBreak/>
              <w:t>全省划分一般管控单元</w:t>
            </w:r>
            <w:r>
              <w:rPr>
                <w:sz w:val="24"/>
              </w:rPr>
              <w:t>1019</w:t>
            </w:r>
            <w:r>
              <w:rPr>
                <w:sz w:val="24"/>
              </w:rPr>
              <w:t>个。一般管控单元主要落实生态环境保护基本要求，加强生活污染和农业面源污染治理，推动区域环境质量持续改善。江苏省生态环境分区管控查询报告见附件</w:t>
            </w:r>
            <w:r>
              <w:rPr>
                <w:sz w:val="24"/>
              </w:rPr>
              <w:t>9</w:t>
            </w:r>
            <w:r>
              <w:rPr>
                <w:sz w:val="24"/>
              </w:rPr>
              <w:t>，相符性分析见表</w:t>
            </w:r>
            <w:r>
              <w:rPr>
                <w:sz w:val="24"/>
              </w:rPr>
              <w:t>1-7</w:t>
            </w:r>
            <w:r>
              <w:rPr>
                <w:sz w:val="24"/>
              </w:rPr>
              <w:t>及表</w:t>
            </w:r>
            <w:r>
              <w:rPr>
                <w:sz w:val="24"/>
              </w:rPr>
              <w:t>1-8</w:t>
            </w:r>
            <w:r>
              <w:rPr>
                <w:sz w:val="24"/>
              </w:rPr>
              <w:t>。</w:t>
            </w:r>
          </w:p>
          <w:p w14:paraId="0E3A9732" w14:textId="77777777" w:rsidR="00F76A63" w:rsidRDefault="00000000">
            <w:pPr>
              <w:autoSpaceDE w:val="0"/>
              <w:autoSpaceDN w:val="0"/>
              <w:adjustRightInd w:val="0"/>
              <w:snapToGrid w:val="0"/>
              <w:spacing w:line="500" w:lineRule="exact"/>
              <w:jc w:val="center"/>
              <w:rPr>
                <w:b/>
                <w:bCs/>
                <w:sz w:val="24"/>
              </w:rPr>
            </w:pPr>
            <w:r>
              <w:rPr>
                <w:b/>
                <w:bCs/>
                <w:sz w:val="24"/>
              </w:rPr>
              <w:t>表</w:t>
            </w:r>
            <w:r>
              <w:rPr>
                <w:b/>
                <w:bCs/>
                <w:sz w:val="24"/>
              </w:rPr>
              <w:t xml:space="preserve">1-7  </w:t>
            </w:r>
            <w:r>
              <w:rPr>
                <w:b/>
                <w:bCs/>
                <w:sz w:val="24"/>
              </w:rPr>
              <w:t>本项目与《江苏省生态环境分区管控动态更新成果（</w:t>
            </w:r>
            <w:r>
              <w:rPr>
                <w:b/>
                <w:bCs/>
                <w:sz w:val="24"/>
              </w:rPr>
              <w:t>2023</w:t>
            </w:r>
            <w:r>
              <w:rPr>
                <w:b/>
                <w:bCs/>
                <w:sz w:val="24"/>
              </w:rPr>
              <w:t>版）》相符性分析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left w:w="20" w:type="dxa"/>
                <w:right w:w="20" w:type="dxa"/>
              </w:tblCellMar>
              <w:tblLook w:val="04A0" w:firstRow="1" w:lastRow="0" w:firstColumn="1" w:lastColumn="0" w:noHBand="0" w:noVBand="1"/>
            </w:tblPr>
            <w:tblGrid>
              <w:gridCol w:w="581"/>
              <w:gridCol w:w="4260"/>
              <w:gridCol w:w="2127"/>
              <w:gridCol w:w="845"/>
            </w:tblGrid>
            <w:tr w:rsidR="00F76A63" w14:paraId="3949B912" w14:textId="77777777">
              <w:trPr>
                <w:trHeight w:val="23"/>
                <w:tblHeader/>
                <w:jc w:val="center"/>
              </w:trPr>
              <w:tc>
                <w:tcPr>
                  <w:tcW w:w="3098" w:type="pct"/>
                  <w:gridSpan w:val="2"/>
                  <w:vAlign w:val="center"/>
                </w:tcPr>
                <w:p w14:paraId="78C711F5" w14:textId="77777777" w:rsidR="00F76A63" w:rsidRDefault="00000000">
                  <w:pPr>
                    <w:adjustRightInd w:val="0"/>
                    <w:jc w:val="center"/>
                    <w:rPr>
                      <w:b/>
                      <w:bCs/>
                    </w:rPr>
                  </w:pPr>
                  <w:r>
                    <w:rPr>
                      <w:b/>
                      <w:bCs/>
                    </w:rPr>
                    <w:t>相关内容</w:t>
                  </w:r>
                </w:p>
              </w:tc>
              <w:tc>
                <w:tcPr>
                  <w:tcW w:w="1361" w:type="pct"/>
                  <w:vAlign w:val="center"/>
                </w:tcPr>
                <w:p w14:paraId="0808D812" w14:textId="77777777" w:rsidR="00F76A63" w:rsidRDefault="00000000">
                  <w:pPr>
                    <w:adjustRightInd w:val="0"/>
                    <w:jc w:val="center"/>
                    <w:rPr>
                      <w:b/>
                      <w:bCs/>
                    </w:rPr>
                  </w:pPr>
                  <w:r>
                    <w:rPr>
                      <w:b/>
                      <w:bCs/>
                    </w:rPr>
                    <w:t>符合性分析</w:t>
                  </w:r>
                </w:p>
              </w:tc>
              <w:tc>
                <w:tcPr>
                  <w:tcW w:w="541" w:type="pct"/>
                  <w:vAlign w:val="center"/>
                </w:tcPr>
                <w:p w14:paraId="5655EBF3" w14:textId="77777777" w:rsidR="00F76A63" w:rsidRDefault="00000000">
                  <w:pPr>
                    <w:adjustRightInd w:val="0"/>
                    <w:jc w:val="center"/>
                    <w:rPr>
                      <w:b/>
                      <w:bCs/>
                    </w:rPr>
                  </w:pPr>
                  <w:r>
                    <w:rPr>
                      <w:b/>
                      <w:bCs/>
                    </w:rPr>
                    <w:t>符合情况</w:t>
                  </w:r>
                </w:p>
              </w:tc>
            </w:tr>
            <w:tr w:rsidR="00F76A63" w14:paraId="2E0BF765" w14:textId="77777777">
              <w:trPr>
                <w:trHeight w:val="23"/>
                <w:jc w:val="center"/>
              </w:trPr>
              <w:tc>
                <w:tcPr>
                  <w:tcW w:w="5000" w:type="pct"/>
                  <w:gridSpan w:val="4"/>
                  <w:vAlign w:val="center"/>
                </w:tcPr>
                <w:p w14:paraId="5C4DC1AD" w14:textId="77777777" w:rsidR="00F76A63" w:rsidRDefault="00000000">
                  <w:pPr>
                    <w:adjustRightInd w:val="0"/>
                    <w:jc w:val="center"/>
                    <w:rPr>
                      <w:b/>
                      <w:bCs/>
                    </w:rPr>
                  </w:pPr>
                  <w:r>
                    <w:rPr>
                      <w:b/>
                      <w:bCs/>
                    </w:rPr>
                    <w:t>省域生态环境管控要求</w:t>
                  </w:r>
                </w:p>
              </w:tc>
            </w:tr>
            <w:tr w:rsidR="00F76A63" w14:paraId="7A5E8D24" w14:textId="77777777">
              <w:trPr>
                <w:trHeight w:val="23"/>
                <w:jc w:val="center"/>
              </w:trPr>
              <w:tc>
                <w:tcPr>
                  <w:tcW w:w="372" w:type="pct"/>
                  <w:vAlign w:val="center"/>
                </w:tcPr>
                <w:p w14:paraId="1C1EA699" w14:textId="77777777" w:rsidR="00F76A63" w:rsidRDefault="00000000">
                  <w:pPr>
                    <w:adjustRightInd w:val="0"/>
                    <w:jc w:val="center"/>
                  </w:pPr>
                  <w:r>
                    <w:t>空间布局约束</w:t>
                  </w:r>
                </w:p>
              </w:tc>
              <w:tc>
                <w:tcPr>
                  <w:tcW w:w="2726" w:type="pct"/>
                  <w:vAlign w:val="center"/>
                </w:tcPr>
                <w:p w14:paraId="5EEA0B4E" w14:textId="77777777" w:rsidR="00F76A63" w:rsidRDefault="00000000">
                  <w:pPr>
                    <w:adjustRightInd w:val="0"/>
                    <w:jc w:val="center"/>
                  </w:pPr>
                  <w:r>
                    <w:t xml:space="preserve">1. </w:t>
                  </w:r>
                  <w:r>
                    <w:t>按照《自然资源部</w:t>
                  </w:r>
                  <w:r>
                    <w:t xml:space="preserve"> </w:t>
                  </w:r>
                  <w:r>
                    <w:t>生态环境部</w:t>
                  </w:r>
                  <w:r>
                    <w:t xml:space="preserve"> </w:t>
                  </w:r>
                  <w:r>
                    <w:t>国家林业和草原局关于加强生态保护红线管理的通知（试行）》（自然资发</w:t>
                  </w:r>
                  <w:r>
                    <w:t>[2022]142</w:t>
                  </w:r>
                  <w:r>
                    <w:t>号）、《省政府关于印发江苏省生态空间管控区域规划的通知》（苏政发</w:t>
                  </w:r>
                  <w:r>
                    <w:t>[2020]1</w:t>
                  </w:r>
                  <w:r>
                    <w:t>号）、《关于进一步加强生态保护红线监督管理的通知》（苏自然函</w:t>
                  </w:r>
                  <w:r>
                    <w:t>[2023]880</w:t>
                  </w:r>
                  <w:r>
                    <w:t>号）、《江苏省国土空间规划（</w:t>
                  </w:r>
                  <w:r>
                    <w:t>2021—2035</w:t>
                  </w:r>
                  <w:r>
                    <w:t>年）》（国函</w:t>
                  </w:r>
                  <w:r>
                    <w:t>[2023]69</w:t>
                  </w:r>
                  <w:r>
                    <w:t>号），坚持节约优先、保护优先、自然恢复为主的方针，以改善生态环境质量为核心，以保障和维护生态功能为主线，统筹山水林田湖草一体化保护和修复，严守生态保护红线，实行最严格的生态空间管控制度，确保全省生态功能不降低、面积不减少、性质不改变，切实维护生态安全。生态保护红线不低于</w:t>
                  </w:r>
                  <w:r>
                    <w:t>1.82</w:t>
                  </w:r>
                  <w:r>
                    <w:t>万平方千米，其中海洋生态保护红线不低于</w:t>
                  </w:r>
                  <w:r>
                    <w:t>0.95</w:t>
                  </w:r>
                  <w:r>
                    <w:t>万平方千米。</w:t>
                  </w:r>
                </w:p>
                <w:p w14:paraId="53C0935D" w14:textId="77777777" w:rsidR="00F76A63" w:rsidRDefault="00000000">
                  <w:pPr>
                    <w:adjustRightInd w:val="0"/>
                    <w:jc w:val="center"/>
                  </w:pPr>
                  <w:r>
                    <w:t>2</w:t>
                  </w:r>
                  <w:r>
                    <w:t>．牢牢把握推动长江经济带发展</w:t>
                  </w:r>
                  <w:r>
                    <w:t>“</w:t>
                  </w:r>
                  <w:r>
                    <w:t>共抓大保护、不搞大开发</w:t>
                  </w:r>
                  <w:r>
                    <w:t>”</w:t>
                  </w:r>
                  <w:r>
                    <w:t>战略导向，对省域范围内需要重点保护的岸线、河段和区域实行严格管控，管住控好排放量大、耗能高、产能过剩的产业，推动长江经济带高质量发展。</w:t>
                  </w:r>
                </w:p>
                <w:p w14:paraId="1DE2436F" w14:textId="77777777" w:rsidR="00F76A63" w:rsidRDefault="00000000">
                  <w:pPr>
                    <w:adjustRightInd w:val="0"/>
                    <w:jc w:val="center"/>
                  </w:pPr>
                  <w:r>
                    <w:t>3</w:t>
                  </w:r>
                  <w:r>
                    <w:t>．大幅压减沿长江干支流两侧</w:t>
                  </w:r>
                  <w:r>
                    <w:t>1</w:t>
                  </w:r>
                  <w:r>
                    <w:t>公里范围内、环境敏感区域、城镇人口密集区、化工园区外和规模以下化工生产企业，着力破解</w:t>
                  </w:r>
                  <w:r>
                    <w:t>“</w:t>
                  </w:r>
                  <w:r>
                    <w:t>重化围江</w:t>
                  </w:r>
                  <w:r>
                    <w:t>”</w:t>
                  </w:r>
                  <w:r>
                    <w:t>突出问题，高起点同步推进沿江地区战略性转型和沿海地区战略性布局。</w:t>
                  </w:r>
                </w:p>
                <w:p w14:paraId="0C41BB57" w14:textId="77777777" w:rsidR="00F76A63" w:rsidRDefault="00000000">
                  <w:pPr>
                    <w:adjustRightInd w:val="0"/>
                    <w:jc w:val="center"/>
                  </w:pPr>
                  <w:r>
                    <w:t>4</w:t>
                  </w:r>
                  <w:r>
                    <w:t>．全省钢铁行业坚持布局调整和产能整合相结合，坚持企业搬迁与转型升级相结合，鼓励有条件的企业实施跨地区、跨所有制的兼并重组，高起点、高标准规划建设沿海精品钢基地，做精做优沿江特钢产业基地，加快推动全省钢铁行业转型升级优化布局。</w:t>
                  </w:r>
                </w:p>
                <w:p w14:paraId="50BCAD0E" w14:textId="77777777" w:rsidR="00F76A63" w:rsidRDefault="00000000">
                  <w:pPr>
                    <w:adjustRightInd w:val="0"/>
                    <w:jc w:val="center"/>
                  </w:pPr>
                  <w:r>
                    <w:t>5</w:t>
                  </w:r>
                  <w:r>
                    <w:t>．对列入国家和省规划，涉及生态保护红线和相关法定保护区的重大民生项目、重大基础设施项目（交通基础设施项目等），应优化空</w:t>
                  </w:r>
                  <w:r>
                    <w:lastRenderedPageBreak/>
                    <w:t>间布局（选线）、主动避让；确实无法避让的，应采取无害化方式（如无害化穿、跨越方式等），依法依规履行行政审批手续，强化减缓生态环境影响和生态补偿措施。</w:t>
                  </w:r>
                </w:p>
              </w:tc>
              <w:tc>
                <w:tcPr>
                  <w:tcW w:w="1361" w:type="pct"/>
                  <w:vAlign w:val="center"/>
                </w:tcPr>
                <w:p w14:paraId="7147D19E" w14:textId="77777777" w:rsidR="00F76A63" w:rsidRDefault="00000000">
                  <w:pPr>
                    <w:adjustRightInd w:val="0"/>
                    <w:jc w:val="center"/>
                  </w:pPr>
                  <w:r>
                    <w:lastRenderedPageBreak/>
                    <w:t>1.</w:t>
                  </w:r>
                  <w:r>
                    <w:t>本项目选址于下蜀高新技术产业园，不在镇江市生态空间保护区范围内，符合苏政发</w:t>
                  </w:r>
                  <w:r>
                    <w:t>[2020]1</w:t>
                  </w:r>
                  <w:r>
                    <w:t>号等文件要求。</w:t>
                  </w:r>
                </w:p>
                <w:p w14:paraId="6B418AF0" w14:textId="77777777" w:rsidR="00F76A63" w:rsidRDefault="00000000">
                  <w:pPr>
                    <w:adjustRightInd w:val="0"/>
                    <w:jc w:val="center"/>
                  </w:pPr>
                  <w:r>
                    <w:t>2.</w:t>
                  </w:r>
                  <w:r>
                    <w:t>本项目产品不属于严重过剩产能行业的项目。</w:t>
                  </w:r>
                </w:p>
                <w:p w14:paraId="4C7C12CC" w14:textId="77777777" w:rsidR="00F76A63" w:rsidRDefault="00000000">
                  <w:pPr>
                    <w:adjustRightInd w:val="0"/>
                    <w:jc w:val="center"/>
                  </w:pPr>
                  <w:r>
                    <w:t>3.</w:t>
                  </w:r>
                  <w:r>
                    <w:t>本项目在长江干支流两侧</w:t>
                  </w:r>
                  <w:r>
                    <w:t>1</w:t>
                  </w:r>
                  <w:r>
                    <w:t>公里范围内，本项目位于下蜀高新技术产业园，不属于化工项目。</w:t>
                  </w:r>
                </w:p>
                <w:p w14:paraId="4EE9EE74" w14:textId="77777777" w:rsidR="00F76A63" w:rsidRDefault="00000000">
                  <w:pPr>
                    <w:adjustRightInd w:val="0"/>
                    <w:jc w:val="center"/>
                  </w:pPr>
                  <w:r>
                    <w:t>4.</w:t>
                  </w:r>
                  <w:r>
                    <w:t>本项目不属于钢铁行业。</w:t>
                  </w:r>
                </w:p>
                <w:p w14:paraId="7F6DC9E1" w14:textId="77777777" w:rsidR="00F76A63" w:rsidRDefault="00000000">
                  <w:pPr>
                    <w:adjustRightInd w:val="0"/>
                    <w:jc w:val="center"/>
                  </w:pPr>
                  <w:r>
                    <w:t>5.</w:t>
                  </w:r>
                  <w:r>
                    <w:t>本项目位于下蜀高新技术产业园，不涉及此情形。</w:t>
                  </w:r>
                </w:p>
              </w:tc>
              <w:tc>
                <w:tcPr>
                  <w:tcW w:w="541" w:type="pct"/>
                  <w:vAlign w:val="center"/>
                </w:tcPr>
                <w:p w14:paraId="31E6B29A" w14:textId="77777777" w:rsidR="00F76A63" w:rsidRDefault="00000000">
                  <w:pPr>
                    <w:adjustRightInd w:val="0"/>
                    <w:jc w:val="center"/>
                  </w:pPr>
                  <w:r>
                    <w:t>符合</w:t>
                  </w:r>
                </w:p>
              </w:tc>
            </w:tr>
            <w:tr w:rsidR="00F76A63" w14:paraId="3C4D94F1" w14:textId="77777777">
              <w:trPr>
                <w:trHeight w:val="23"/>
                <w:jc w:val="center"/>
              </w:trPr>
              <w:tc>
                <w:tcPr>
                  <w:tcW w:w="372" w:type="pct"/>
                  <w:vAlign w:val="center"/>
                </w:tcPr>
                <w:p w14:paraId="18599E0F" w14:textId="77777777" w:rsidR="00F76A63" w:rsidRDefault="00000000">
                  <w:pPr>
                    <w:adjustRightInd w:val="0"/>
                    <w:jc w:val="center"/>
                  </w:pPr>
                  <w:r>
                    <w:t>污染物排放管控</w:t>
                  </w:r>
                </w:p>
              </w:tc>
              <w:tc>
                <w:tcPr>
                  <w:tcW w:w="2726" w:type="pct"/>
                  <w:vAlign w:val="center"/>
                </w:tcPr>
                <w:p w14:paraId="41116237" w14:textId="77777777" w:rsidR="00F76A63" w:rsidRDefault="00000000">
                  <w:pPr>
                    <w:adjustRightInd w:val="0"/>
                    <w:jc w:val="center"/>
                  </w:pPr>
                  <w:r>
                    <w:t>1.</w:t>
                  </w:r>
                  <w:r>
                    <w:t>坚持生态环境质量只能更好、不能变坏，实施污染物总量控制，以环境容量定产业、定项目、定规模，确保开发建设行为不突破生态环境承载力。</w:t>
                  </w:r>
                </w:p>
                <w:p w14:paraId="52F1BDBB" w14:textId="77777777" w:rsidR="00F76A63" w:rsidRDefault="00000000">
                  <w:pPr>
                    <w:adjustRightInd w:val="0"/>
                    <w:jc w:val="center"/>
                  </w:pPr>
                  <w:r>
                    <w:t>2.2025</w:t>
                  </w:r>
                  <w:r>
                    <w:t>年，主要污染物排放减排完成国家下达任务，单位工业增加值二氧化碳排放量下降</w:t>
                  </w:r>
                  <w:r>
                    <w:t>20%</w:t>
                  </w:r>
                  <w:r>
                    <w:t>，主要高耗能行业单位产品二氧化碳排放达到世界先进水平。实施氮氧化物（</w:t>
                  </w:r>
                  <w:r>
                    <w:t>NOx</w:t>
                  </w:r>
                  <w:r>
                    <w:t>）和</w:t>
                  </w:r>
                  <w:r>
                    <w:t>VOCs</w:t>
                  </w:r>
                  <w:r>
                    <w:t>协同减排，推进多污染物和关联区域联防联控。</w:t>
                  </w:r>
                </w:p>
              </w:tc>
              <w:tc>
                <w:tcPr>
                  <w:tcW w:w="1361" w:type="pct"/>
                  <w:vAlign w:val="center"/>
                </w:tcPr>
                <w:p w14:paraId="1F08A267" w14:textId="77777777" w:rsidR="00F76A63" w:rsidRDefault="00000000">
                  <w:pPr>
                    <w:adjustRightInd w:val="0"/>
                    <w:jc w:val="center"/>
                  </w:pPr>
                  <w:r>
                    <w:rPr>
                      <w:bCs/>
                      <w:szCs w:val="21"/>
                    </w:rPr>
                    <w:t>本项目不新增废水、固废，</w:t>
                  </w:r>
                  <w:r>
                    <w:rPr>
                      <w:szCs w:val="21"/>
                    </w:rPr>
                    <w:t>项目废气主要污染物排放总量在</w:t>
                  </w:r>
                  <w:r>
                    <w:rPr>
                      <w:rFonts w:hint="eastAsia"/>
                      <w:szCs w:val="21"/>
                    </w:rPr>
                    <w:t>厂</w:t>
                  </w:r>
                  <w:r>
                    <w:rPr>
                      <w:szCs w:val="21"/>
                    </w:rPr>
                    <w:t>内平衡，无需申请总量</w:t>
                  </w:r>
                  <w:r>
                    <w:rPr>
                      <w:bCs/>
                      <w:szCs w:val="21"/>
                    </w:rPr>
                    <w:t>，不突破现有污染物排放总量。</w:t>
                  </w:r>
                </w:p>
              </w:tc>
              <w:tc>
                <w:tcPr>
                  <w:tcW w:w="541" w:type="pct"/>
                  <w:vAlign w:val="center"/>
                </w:tcPr>
                <w:p w14:paraId="294AF960" w14:textId="77777777" w:rsidR="00F76A63" w:rsidRDefault="00000000">
                  <w:pPr>
                    <w:adjustRightInd w:val="0"/>
                    <w:jc w:val="center"/>
                  </w:pPr>
                  <w:r>
                    <w:t>符合</w:t>
                  </w:r>
                </w:p>
              </w:tc>
            </w:tr>
            <w:tr w:rsidR="00F76A63" w14:paraId="60D46189" w14:textId="77777777">
              <w:trPr>
                <w:trHeight w:val="23"/>
                <w:jc w:val="center"/>
              </w:trPr>
              <w:tc>
                <w:tcPr>
                  <w:tcW w:w="372" w:type="pct"/>
                  <w:vAlign w:val="center"/>
                </w:tcPr>
                <w:p w14:paraId="0757BCD1" w14:textId="77777777" w:rsidR="00F76A63" w:rsidRDefault="00000000">
                  <w:pPr>
                    <w:adjustRightInd w:val="0"/>
                    <w:jc w:val="center"/>
                  </w:pPr>
                  <w:r>
                    <w:t>环境风险防控</w:t>
                  </w:r>
                </w:p>
              </w:tc>
              <w:tc>
                <w:tcPr>
                  <w:tcW w:w="2726" w:type="pct"/>
                  <w:vAlign w:val="center"/>
                </w:tcPr>
                <w:p w14:paraId="4BF35A8B" w14:textId="77777777" w:rsidR="00F76A63" w:rsidRDefault="00000000">
                  <w:pPr>
                    <w:adjustRightInd w:val="0"/>
                    <w:jc w:val="center"/>
                  </w:pPr>
                  <w:r>
                    <w:t>1.</w:t>
                  </w:r>
                  <w:r>
                    <w:t>强化饮用水水源环境风险管控。县级以上城市全部建成应急水源或双源供水。</w:t>
                  </w:r>
                </w:p>
                <w:p w14:paraId="51E55E50" w14:textId="77777777" w:rsidR="00F76A63" w:rsidRDefault="00000000">
                  <w:pPr>
                    <w:adjustRightInd w:val="0"/>
                    <w:jc w:val="center"/>
                  </w:pPr>
                  <w:r>
                    <w:t>2.</w:t>
                  </w:r>
                  <w:r>
                    <w:t>强化化工行业环境风险管控。重点加强化学工业园区、涉及大宗危化品使用企业、贮存和运输危化品的港口码头、尾矿库、集中式污水处理厂、危废处理企业的环境风险防控；严厉打击危险废物非法转移、处置和倾倒行为；加强关闭搬迁化工企业及遗留地块的调查评估、风险管控、治理修复。</w:t>
                  </w:r>
                </w:p>
                <w:p w14:paraId="675FF867" w14:textId="77777777" w:rsidR="00F76A63" w:rsidRDefault="00000000">
                  <w:pPr>
                    <w:adjustRightInd w:val="0"/>
                    <w:jc w:val="center"/>
                  </w:pPr>
                  <w:r>
                    <w:t>3.</w:t>
                  </w:r>
                  <w:r>
                    <w:t>强化环境事故应急管理。深化跨部门、跨区域环境应急协调联动，分区域建立环境应急物资储备库。各级工业园区（集聚区）和企业的环境应急装备和储备物资应纳入储备体系。</w:t>
                  </w:r>
                </w:p>
                <w:p w14:paraId="67C98359" w14:textId="77777777" w:rsidR="00F76A63" w:rsidRDefault="00000000">
                  <w:pPr>
                    <w:adjustRightInd w:val="0"/>
                    <w:jc w:val="center"/>
                  </w:pPr>
                  <w:r>
                    <w:t>4.</w:t>
                  </w:r>
                  <w:r>
                    <w:t>强化环境风险防控能力建设。按照统一信息平台、统一监管力度、统一应急等级、协同应急救援的思路，在沿江发展带、沿海发展带、环太湖等地区构建区域性环境风险预警应急响应机制，实施区域突发环境风险预警联防联控。</w:t>
                  </w:r>
                </w:p>
              </w:tc>
              <w:tc>
                <w:tcPr>
                  <w:tcW w:w="1361" w:type="pct"/>
                  <w:vAlign w:val="center"/>
                </w:tcPr>
                <w:p w14:paraId="38C0D7CE" w14:textId="77777777" w:rsidR="00F76A63" w:rsidRDefault="00000000">
                  <w:pPr>
                    <w:pStyle w:val="affffd"/>
                    <w:rPr>
                      <w:rFonts w:eastAsia="宋体" w:cs="Times New Roman"/>
                    </w:rPr>
                  </w:pPr>
                  <w:r>
                    <w:rPr>
                      <w:rFonts w:eastAsia="宋体" w:cs="Times New Roman"/>
                    </w:rPr>
                    <w:t>1</w:t>
                  </w:r>
                  <w:r>
                    <w:rPr>
                      <w:rFonts w:eastAsia="宋体" w:cs="Times New Roman"/>
                    </w:rPr>
                    <w:t>、本项目依托现有水泥窑协同处置污染土及污泥，提出了合理有效的环境风险防范和应急措施。</w:t>
                  </w:r>
                </w:p>
                <w:p w14:paraId="5923D7F2" w14:textId="77777777" w:rsidR="00F76A63" w:rsidRDefault="00000000">
                  <w:pPr>
                    <w:pStyle w:val="affffd"/>
                    <w:rPr>
                      <w:rFonts w:eastAsia="宋体" w:cs="Times New Roman"/>
                    </w:rPr>
                  </w:pPr>
                  <w:r>
                    <w:rPr>
                      <w:rFonts w:eastAsia="宋体" w:cs="Times New Roman"/>
                    </w:rPr>
                    <w:t>2</w:t>
                  </w:r>
                  <w:r>
                    <w:rPr>
                      <w:rFonts w:eastAsia="宋体" w:cs="Times New Roman"/>
                    </w:rPr>
                    <w:t>、本项目建设满足环境风险防控要求的基础设施，严格落实三级环境风险防控要求。</w:t>
                  </w:r>
                </w:p>
                <w:p w14:paraId="4F203E26" w14:textId="77777777" w:rsidR="00F76A63" w:rsidRDefault="00000000">
                  <w:pPr>
                    <w:adjustRightInd w:val="0"/>
                    <w:jc w:val="center"/>
                  </w:pPr>
                  <w:r>
                    <w:rPr>
                      <w:szCs w:val="21"/>
                    </w:rPr>
                    <w:t>3</w:t>
                  </w:r>
                  <w:r>
                    <w:rPr>
                      <w:szCs w:val="21"/>
                    </w:rPr>
                    <w:t>、本项目建成后将进一步制定有效的环境风险管理制度。定期开展突发环境事件风险评估及应急预案编制备案，配备应急处置人员和必要的环境应急装备、设备、物资。定期开展培训和演练，完善应急准备措施。</w:t>
                  </w:r>
                </w:p>
              </w:tc>
              <w:tc>
                <w:tcPr>
                  <w:tcW w:w="541" w:type="pct"/>
                  <w:vAlign w:val="center"/>
                </w:tcPr>
                <w:p w14:paraId="22FD0C7A" w14:textId="77777777" w:rsidR="00F76A63" w:rsidRDefault="00000000">
                  <w:pPr>
                    <w:adjustRightInd w:val="0"/>
                    <w:jc w:val="center"/>
                  </w:pPr>
                  <w:r>
                    <w:t>符合</w:t>
                  </w:r>
                </w:p>
              </w:tc>
            </w:tr>
            <w:tr w:rsidR="00F76A63" w14:paraId="02692526" w14:textId="77777777">
              <w:trPr>
                <w:trHeight w:val="23"/>
                <w:jc w:val="center"/>
              </w:trPr>
              <w:tc>
                <w:tcPr>
                  <w:tcW w:w="372" w:type="pct"/>
                  <w:vAlign w:val="center"/>
                </w:tcPr>
                <w:p w14:paraId="4EAEADF8" w14:textId="77777777" w:rsidR="00F76A63" w:rsidRDefault="00000000">
                  <w:pPr>
                    <w:adjustRightInd w:val="0"/>
                    <w:jc w:val="center"/>
                  </w:pPr>
                  <w:r>
                    <w:t>资源开发效率要求</w:t>
                  </w:r>
                </w:p>
              </w:tc>
              <w:tc>
                <w:tcPr>
                  <w:tcW w:w="2726" w:type="pct"/>
                  <w:vAlign w:val="center"/>
                </w:tcPr>
                <w:p w14:paraId="1E54DDD6" w14:textId="77777777" w:rsidR="00F76A63" w:rsidRDefault="00000000">
                  <w:pPr>
                    <w:adjustRightInd w:val="0"/>
                    <w:jc w:val="center"/>
                  </w:pPr>
                  <w:r>
                    <w:t>1.</w:t>
                  </w:r>
                  <w:r>
                    <w:t>水资源利用总量及效率要求：到</w:t>
                  </w:r>
                  <w:r>
                    <w:t>2025</w:t>
                  </w:r>
                  <w:r>
                    <w:t>年，全省用水总量控制在</w:t>
                  </w:r>
                  <w:r>
                    <w:t>525.9</w:t>
                  </w:r>
                  <w:r>
                    <w:t>亿立方米以内，万元地区生产总值用水量、万元工业增加值用水量下降完成国家下达目标，农田灌溉水有效利用系数提高到</w:t>
                  </w:r>
                  <w:r>
                    <w:t>0.625</w:t>
                  </w:r>
                  <w:r>
                    <w:t>。</w:t>
                  </w:r>
                </w:p>
                <w:p w14:paraId="38CF0CF2" w14:textId="77777777" w:rsidR="00F76A63" w:rsidRDefault="00000000">
                  <w:pPr>
                    <w:adjustRightInd w:val="0"/>
                    <w:jc w:val="center"/>
                  </w:pPr>
                  <w:r>
                    <w:t>2.</w:t>
                  </w:r>
                  <w:r>
                    <w:t>土地资源总量要求：到</w:t>
                  </w:r>
                  <w:r>
                    <w:t>2025</w:t>
                  </w:r>
                  <w:r>
                    <w:t>年，江苏省耕地保有量不低于</w:t>
                  </w:r>
                  <w:r>
                    <w:t>5977</w:t>
                  </w:r>
                  <w:r>
                    <w:t>万亩，其中永久基本农田保护面积不低于</w:t>
                  </w:r>
                  <w:r>
                    <w:t>5344</w:t>
                  </w:r>
                  <w:r>
                    <w:t>万亩。</w:t>
                  </w:r>
                </w:p>
                <w:p w14:paraId="7A306E36" w14:textId="77777777" w:rsidR="00F76A63" w:rsidRDefault="00000000">
                  <w:pPr>
                    <w:adjustRightInd w:val="0"/>
                    <w:jc w:val="center"/>
                  </w:pPr>
                  <w:r>
                    <w:t>3.</w:t>
                  </w:r>
                  <w:r>
                    <w:t>禁燃区要求：在禁燃区内，禁止销售、燃用高污染燃料；禁止新建、扩建燃用高污染燃料的设施，已建成的，应当在城市人民政府规定的期限内改用天然气、页岩气、液化石油气、电或者其他清洁能源。</w:t>
                  </w:r>
                </w:p>
              </w:tc>
              <w:tc>
                <w:tcPr>
                  <w:tcW w:w="1361" w:type="pct"/>
                  <w:vAlign w:val="center"/>
                </w:tcPr>
                <w:p w14:paraId="2F0106B4" w14:textId="77777777" w:rsidR="00F76A63" w:rsidRDefault="00000000">
                  <w:pPr>
                    <w:adjustRightInd w:val="0"/>
                    <w:jc w:val="center"/>
                  </w:pPr>
                  <w:r>
                    <w:t>本项目不使用高污染燃料。</w:t>
                  </w:r>
                </w:p>
              </w:tc>
              <w:tc>
                <w:tcPr>
                  <w:tcW w:w="541" w:type="pct"/>
                  <w:vAlign w:val="center"/>
                </w:tcPr>
                <w:p w14:paraId="556AEF3F" w14:textId="77777777" w:rsidR="00F76A63" w:rsidRDefault="00000000">
                  <w:pPr>
                    <w:adjustRightInd w:val="0"/>
                    <w:jc w:val="center"/>
                  </w:pPr>
                  <w:r>
                    <w:t>符合</w:t>
                  </w:r>
                </w:p>
              </w:tc>
            </w:tr>
            <w:tr w:rsidR="00F76A63" w14:paraId="4A502917" w14:textId="77777777">
              <w:trPr>
                <w:trHeight w:val="23"/>
                <w:jc w:val="center"/>
              </w:trPr>
              <w:tc>
                <w:tcPr>
                  <w:tcW w:w="5000" w:type="pct"/>
                  <w:gridSpan w:val="4"/>
                  <w:vAlign w:val="center"/>
                </w:tcPr>
                <w:p w14:paraId="16C2CD71" w14:textId="77777777" w:rsidR="00F76A63" w:rsidRDefault="00000000">
                  <w:pPr>
                    <w:adjustRightInd w:val="0"/>
                    <w:jc w:val="center"/>
                    <w:rPr>
                      <w:b/>
                      <w:bCs/>
                    </w:rPr>
                  </w:pPr>
                  <w:r>
                    <w:rPr>
                      <w:b/>
                      <w:bCs/>
                    </w:rPr>
                    <w:lastRenderedPageBreak/>
                    <w:t>重点区域（流域）生态环境分区管控要求</w:t>
                  </w:r>
                  <w:r>
                    <w:rPr>
                      <w:b/>
                      <w:bCs/>
                    </w:rPr>
                    <w:t>-</w:t>
                  </w:r>
                  <w:r>
                    <w:rPr>
                      <w:b/>
                      <w:bCs/>
                    </w:rPr>
                    <w:t>长江流域</w:t>
                  </w:r>
                </w:p>
              </w:tc>
            </w:tr>
            <w:tr w:rsidR="00F76A63" w14:paraId="0A07050A" w14:textId="77777777">
              <w:trPr>
                <w:trHeight w:val="23"/>
                <w:jc w:val="center"/>
              </w:trPr>
              <w:tc>
                <w:tcPr>
                  <w:tcW w:w="372" w:type="pct"/>
                  <w:vAlign w:val="center"/>
                </w:tcPr>
                <w:p w14:paraId="00453B50" w14:textId="77777777" w:rsidR="00F76A63" w:rsidRDefault="00000000">
                  <w:pPr>
                    <w:adjustRightInd w:val="0"/>
                    <w:jc w:val="center"/>
                  </w:pPr>
                  <w:r>
                    <w:t>空间布局约束</w:t>
                  </w:r>
                </w:p>
              </w:tc>
              <w:tc>
                <w:tcPr>
                  <w:tcW w:w="2726" w:type="pct"/>
                  <w:vAlign w:val="center"/>
                </w:tcPr>
                <w:p w14:paraId="7B012B60" w14:textId="77777777" w:rsidR="00F76A63" w:rsidRDefault="00000000">
                  <w:pPr>
                    <w:adjustRightInd w:val="0"/>
                    <w:jc w:val="center"/>
                  </w:pPr>
                  <w:r>
                    <w:t>1</w:t>
                  </w:r>
                  <w:r>
                    <w:t>．始终把长江生态修复放在首位，坚持共抓大保护、不搞大开发，引导长江流域产业转型升级和布局优化调整，实现科学发展、有序发展、高质量发展。</w:t>
                  </w:r>
                </w:p>
                <w:p w14:paraId="76E9EE5F" w14:textId="77777777" w:rsidR="00F76A63" w:rsidRDefault="00000000">
                  <w:pPr>
                    <w:adjustRightInd w:val="0"/>
                    <w:jc w:val="center"/>
                  </w:pPr>
                  <w:r>
                    <w:t>2</w:t>
                  </w:r>
                  <w:r>
                    <w:t>．加强生态空间保护，禁止在国家确定的生态保护红线和永久基本农田范围内，投资建设除国家重大战略资源勘查项目、生态保护修复和地质灾害治理项目、重大基础设施项目、军事国防项目以及农民基本生产生活等必要的民生项目以外的项目。</w:t>
                  </w:r>
                </w:p>
                <w:p w14:paraId="076A9B57" w14:textId="77777777" w:rsidR="00F76A63" w:rsidRDefault="00000000">
                  <w:pPr>
                    <w:adjustRightInd w:val="0"/>
                    <w:jc w:val="center"/>
                  </w:pPr>
                  <w:r>
                    <w:t>3</w:t>
                  </w:r>
                  <w:r>
                    <w:t>．禁止在沿江地区新建或扩建化学工业园区，禁止新建或扩建以大宗进口油气资源为原料的石油加工、石油化工、基础有机无机化工、煤化工项目；禁止在长江干流和主要支流岸线</w:t>
                  </w:r>
                  <w:r>
                    <w:t>1</w:t>
                  </w:r>
                  <w:r>
                    <w:t>公里范围内新建危化品码头。</w:t>
                  </w:r>
                </w:p>
                <w:p w14:paraId="1FD61094" w14:textId="77777777" w:rsidR="00F76A63" w:rsidRDefault="00000000">
                  <w:pPr>
                    <w:adjustRightInd w:val="0"/>
                    <w:jc w:val="center"/>
                  </w:pPr>
                  <w:r>
                    <w:t>4</w:t>
                  </w:r>
                  <w:r>
                    <w:t>．强化港口布局优化，禁止建设不符合国家港口布局规划和《江苏省沿江沿海港口布局规划（</w:t>
                  </w:r>
                  <w:r>
                    <w:t>2015-2030</w:t>
                  </w:r>
                  <w:r>
                    <w:t>年）》《江苏省内河港口布局规划（</w:t>
                  </w:r>
                  <w:r>
                    <w:t>2017-2035</w:t>
                  </w:r>
                  <w:r>
                    <w:t>年）》的码头项目，禁止建设未纳入《长江干线过江通道布局规划》的过江干线通道项目。</w:t>
                  </w:r>
                </w:p>
                <w:p w14:paraId="7246CB8A" w14:textId="77777777" w:rsidR="00F76A63" w:rsidRDefault="00000000">
                  <w:pPr>
                    <w:adjustRightInd w:val="0"/>
                    <w:jc w:val="center"/>
                  </w:pPr>
                  <w:r>
                    <w:t>5</w:t>
                  </w:r>
                  <w:r>
                    <w:t>．禁止新建独立焦化项目。</w:t>
                  </w:r>
                </w:p>
              </w:tc>
              <w:tc>
                <w:tcPr>
                  <w:tcW w:w="1361" w:type="pct"/>
                  <w:vAlign w:val="center"/>
                </w:tcPr>
                <w:p w14:paraId="20FB5BCE" w14:textId="77777777" w:rsidR="00F76A63" w:rsidRDefault="00000000">
                  <w:pPr>
                    <w:adjustRightInd w:val="0"/>
                    <w:snapToGrid w:val="0"/>
                    <w:jc w:val="center"/>
                    <w:rPr>
                      <w:spacing w:val="-1"/>
                      <w:szCs w:val="21"/>
                    </w:rPr>
                  </w:pPr>
                  <w:r>
                    <w:rPr>
                      <w:szCs w:val="21"/>
                    </w:rPr>
                    <w:t>本项目不在生态保</w:t>
                  </w:r>
                  <w:r>
                    <w:rPr>
                      <w:spacing w:val="10"/>
                      <w:szCs w:val="21"/>
                    </w:rPr>
                    <w:t>护红线和永久基本农田</w:t>
                  </w:r>
                  <w:r>
                    <w:rPr>
                      <w:spacing w:val="-1"/>
                      <w:szCs w:val="21"/>
                    </w:rPr>
                    <w:t>范围内；</w:t>
                  </w:r>
                </w:p>
                <w:p w14:paraId="65FDAC40" w14:textId="77777777" w:rsidR="00F76A63" w:rsidRDefault="00000000">
                  <w:pPr>
                    <w:adjustRightInd w:val="0"/>
                    <w:snapToGrid w:val="0"/>
                    <w:jc w:val="center"/>
                    <w:rPr>
                      <w:spacing w:val="33"/>
                      <w:szCs w:val="21"/>
                    </w:rPr>
                  </w:pPr>
                  <w:r>
                    <w:rPr>
                      <w:szCs w:val="21"/>
                    </w:rPr>
                    <w:t>本项目不属于化工</w:t>
                  </w:r>
                  <w:r>
                    <w:rPr>
                      <w:spacing w:val="19"/>
                      <w:szCs w:val="21"/>
                    </w:rPr>
                    <w:t>项目，不属于石油加</w:t>
                  </w:r>
                  <w:r>
                    <w:rPr>
                      <w:spacing w:val="10"/>
                      <w:szCs w:val="21"/>
                    </w:rPr>
                    <w:t>工、石油化工、基础有</w:t>
                  </w:r>
                  <w:r>
                    <w:rPr>
                      <w:spacing w:val="33"/>
                      <w:szCs w:val="21"/>
                    </w:rPr>
                    <w:t>机无机化工煤化工项目；</w:t>
                  </w:r>
                </w:p>
                <w:p w14:paraId="4FC5F8DA" w14:textId="77777777" w:rsidR="00F76A63" w:rsidRDefault="00000000">
                  <w:pPr>
                    <w:adjustRightInd w:val="0"/>
                    <w:snapToGrid w:val="0"/>
                    <w:jc w:val="center"/>
                    <w:rPr>
                      <w:szCs w:val="21"/>
                    </w:rPr>
                  </w:pPr>
                  <w:r>
                    <w:rPr>
                      <w:szCs w:val="21"/>
                    </w:rPr>
                    <w:t>不属于危化品码头</w:t>
                  </w:r>
                  <w:r>
                    <w:rPr>
                      <w:spacing w:val="10"/>
                      <w:szCs w:val="21"/>
                    </w:rPr>
                    <w:t>项目、过江干线通道项</w:t>
                  </w:r>
                  <w:r>
                    <w:rPr>
                      <w:szCs w:val="21"/>
                    </w:rPr>
                    <w:t>目；</w:t>
                  </w:r>
                </w:p>
                <w:p w14:paraId="78E8A8B8" w14:textId="77777777" w:rsidR="00F76A63" w:rsidRDefault="00000000">
                  <w:pPr>
                    <w:adjustRightInd w:val="0"/>
                    <w:jc w:val="center"/>
                  </w:pPr>
                  <w:r>
                    <w:rPr>
                      <w:spacing w:val="-3"/>
                      <w:szCs w:val="21"/>
                    </w:rPr>
                    <w:t>不属于新建独立焦</w:t>
                  </w:r>
                  <w:r>
                    <w:rPr>
                      <w:spacing w:val="-1"/>
                      <w:szCs w:val="21"/>
                    </w:rPr>
                    <w:t>化项目。</w:t>
                  </w:r>
                </w:p>
              </w:tc>
              <w:tc>
                <w:tcPr>
                  <w:tcW w:w="541" w:type="pct"/>
                  <w:vAlign w:val="center"/>
                </w:tcPr>
                <w:p w14:paraId="109D9FC5" w14:textId="77777777" w:rsidR="00F76A63" w:rsidRDefault="00000000">
                  <w:pPr>
                    <w:adjustRightInd w:val="0"/>
                    <w:jc w:val="center"/>
                  </w:pPr>
                  <w:r>
                    <w:rPr>
                      <w:szCs w:val="21"/>
                    </w:rPr>
                    <w:t>符合</w:t>
                  </w:r>
                </w:p>
              </w:tc>
            </w:tr>
            <w:tr w:rsidR="00F76A63" w14:paraId="3ABBA7DB" w14:textId="77777777">
              <w:trPr>
                <w:trHeight w:val="23"/>
                <w:jc w:val="center"/>
              </w:trPr>
              <w:tc>
                <w:tcPr>
                  <w:tcW w:w="372" w:type="pct"/>
                  <w:vAlign w:val="center"/>
                </w:tcPr>
                <w:p w14:paraId="4A58F426" w14:textId="77777777" w:rsidR="00F76A63" w:rsidRDefault="00000000">
                  <w:pPr>
                    <w:adjustRightInd w:val="0"/>
                    <w:jc w:val="center"/>
                  </w:pPr>
                  <w:r>
                    <w:t>污染物排放管控</w:t>
                  </w:r>
                </w:p>
              </w:tc>
              <w:tc>
                <w:tcPr>
                  <w:tcW w:w="2726" w:type="pct"/>
                  <w:vAlign w:val="center"/>
                </w:tcPr>
                <w:p w14:paraId="519B3364" w14:textId="77777777" w:rsidR="00F76A63" w:rsidRDefault="00000000">
                  <w:pPr>
                    <w:adjustRightInd w:val="0"/>
                    <w:jc w:val="center"/>
                  </w:pPr>
                  <w:r>
                    <w:t>1</w:t>
                  </w:r>
                  <w:r>
                    <w:t>．根据《江苏省长江水污染防治条例》实施污染物总量控制制度。</w:t>
                  </w:r>
                </w:p>
                <w:p w14:paraId="4A0F5826" w14:textId="77777777" w:rsidR="00F76A63" w:rsidRDefault="00000000">
                  <w:pPr>
                    <w:adjustRightInd w:val="0"/>
                    <w:jc w:val="center"/>
                  </w:pPr>
                  <w:r>
                    <w:t>2</w:t>
                  </w:r>
                  <w:r>
                    <w:t>．全面加强和规范长江入河排污口管理，有效管控入河污染物排放，形成权责清晰、监控到位、管理规范的长江入河排污口监管体系，加快改善长江水环境质量。</w:t>
                  </w:r>
                </w:p>
              </w:tc>
              <w:tc>
                <w:tcPr>
                  <w:tcW w:w="1361" w:type="pct"/>
                  <w:vAlign w:val="center"/>
                </w:tcPr>
                <w:p w14:paraId="49B574F5" w14:textId="77777777" w:rsidR="00F76A63" w:rsidRDefault="00000000">
                  <w:pPr>
                    <w:adjustRightInd w:val="0"/>
                    <w:jc w:val="center"/>
                  </w:pPr>
                  <w:r>
                    <w:rPr>
                      <w:szCs w:val="21"/>
                    </w:rPr>
                    <w:t>本项目实施污染物总量控制制度；本项目不新增废水排放量。</w:t>
                  </w:r>
                </w:p>
              </w:tc>
              <w:tc>
                <w:tcPr>
                  <w:tcW w:w="541" w:type="pct"/>
                  <w:vAlign w:val="center"/>
                </w:tcPr>
                <w:p w14:paraId="5154BBF6" w14:textId="77777777" w:rsidR="00F76A63" w:rsidRDefault="00000000">
                  <w:pPr>
                    <w:adjustRightInd w:val="0"/>
                    <w:jc w:val="center"/>
                  </w:pPr>
                  <w:r>
                    <w:t>符合</w:t>
                  </w:r>
                </w:p>
              </w:tc>
            </w:tr>
            <w:tr w:rsidR="00F76A63" w14:paraId="0A3AA31C" w14:textId="77777777">
              <w:trPr>
                <w:trHeight w:val="23"/>
                <w:jc w:val="center"/>
              </w:trPr>
              <w:tc>
                <w:tcPr>
                  <w:tcW w:w="372" w:type="pct"/>
                  <w:vAlign w:val="center"/>
                </w:tcPr>
                <w:p w14:paraId="4C234E15" w14:textId="77777777" w:rsidR="00F76A63" w:rsidRDefault="00000000">
                  <w:pPr>
                    <w:adjustRightInd w:val="0"/>
                    <w:jc w:val="center"/>
                  </w:pPr>
                  <w:r>
                    <w:t>环境风险防控</w:t>
                  </w:r>
                </w:p>
              </w:tc>
              <w:tc>
                <w:tcPr>
                  <w:tcW w:w="2726" w:type="pct"/>
                  <w:vAlign w:val="center"/>
                </w:tcPr>
                <w:p w14:paraId="01774716" w14:textId="77777777" w:rsidR="00F76A63" w:rsidRDefault="00000000">
                  <w:pPr>
                    <w:adjustRightInd w:val="0"/>
                    <w:jc w:val="center"/>
                  </w:pPr>
                  <w:r>
                    <w:t>1</w:t>
                  </w:r>
                  <w:r>
                    <w:t>．防范沿江环境风险。深化沿江石化、化工、医药、纺织、印染、化纤、危化品和石油类仓储、涉重金属和危险废物处置等重点企业环境风险防控。</w:t>
                  </w:r>
                </w:p>
                <w:p w14:paraId="57EEC718" w14:textId="77777777" w:rsidR="00F76A63" w:rsidRDefault="00000000">
                  <w:pPr>
                    <w:adjustRightInd w:val="0"/>
                    <w:jc w:val="center"/>
                  </w:pPr>
                  <w:r>
                    <w:t>2</w:t>
                  </w:r>
                  <w:r>
                    <w:t>．加强饮用水水源保护。优化水源保护区划定，推动饮用水水源地规范化建设。</w:t>
                  </w:r>
                </w:p>
              </w:tc>
              <w:tc>
                <w:tcPr>
                  <w:tcW w:w="1361" w:type="pct"/>
                  <w:vAlign w:val="center"/>
                </w:tcPr>
                <w:p w14:paraId="7E58D515" w14:textId="77777777" w:rsidR="00F76A63" w:rsidRDefault="00000000">
                  <w:pPr>
                    <w:adjustRightInd w:val="0"/>
                    <w:jc w:val="center"/>
                  </w:pPr>
                  <w:r>
                    <w:rPr>
                      <w:szCs w:val="21"/>
                    </w:rPr>
                    <w:t>本项目建设单位已制定并落实各类事故风险防范措施，已编制突发环境事件应急预案并进行备案，并按要求储备应急物资。</w:t>
                  </w:r>
                </w:p>
              </w:tc>
              <w:tc>
                <w:tcPr>
                  <w:tcW w:w="541" w:type="pct"/>
                  <w:vAlign w:val="center"/>
                </w:tcPr>
                <w:p w14:paraId="30F38B7A" w14:textId="77777777" w:rsidR="00F76A63" w:rsidRDefault="00000000">
                  <w:pPr>
                    <w:adjustRightInd w:val="0"/>
                    <w:jc w:val="center"/>
                  </w:pPr>
                  <w:r>
                    <w:t>符合</w:t>
                  </w:r>
                </w:p>
              </w:tc>
            </w:tr>
            <w:tr w:rsidR="00F76A63" w14:paraId="313E0F9B" w14:textId="77777777">
              <w:trPr>
                <w:trHeight w:val="23"/>
                <w:jc w:val="center"/>
              </w:trPr>
              <w:tc>
                <w:tcPr>
                  <w:tcW w:w="372" w:type="pct"/>
                  <w:vAlign w:val="center"/>
                </w:tcPr>
                <w:p w14:paraId="06903035" w14:textId="77777777" w:rsidR="00F76A63" w:rsidRDefault="00000000">
                  <w:pPr>
                    <w:adjustRightInd w:val="0"/>
                    <w:jc w:val="center"/>
                  </w:pPr>
                  <w:r>
                    <w:t>资源利用效率要求</w:t>
                  </w:r>
                </w:p>
              </w:tc>
              <w:tc>
                <w:tcPr>
                  <w:tcW w:w="2726" w:type="pct"/>
                  <w:vAlign w:val="center"/>
                </w:tcPr>
                <w:p w14:paraId="64961C38" w14:textId="77777777" w:rsidR="00F76A63" w:rsidRDefault="00000000">
                  <w:pPr>
                    <w:adjustRightInd w:val="0"/>
                    <w:jc w:val="center"/>
                  </w:pPr>
                  <w:r>
                    <w:t>禁止在长江干支流岸线管控范围内新建、扩建化工园区和化工项目。禁止在长江干流岸线和重要支流岸线管控范围内新建、改建、扩建尾矿库，但是以提升安全、生态环境保护水平为目的的改建除外。</w:t>
                  </w:r>
                </w:p>
              </w:tc>
              <w:tc>
                <w:tcPr>
                  <w:tcW w:w="1361" w:type="pct"/>
                  <w:vAlign w:val="center"/>
                </w:tcPr>
                <w:p w14:paraId="6DC58EAC" w14:textId="77777777" w:rsidR="00F76A63" w:rsidRDefault="00000000">
                  <w:pPr>
                    <w:adjustRightInd w:val="0"/>
                    <w:jc w:val="center"/>
                  </w:pPr>
                  <w:r>
                    <w:rPr>
                      <w:szCs w:val="21"/>
                    </w:rPr>
                    <w:t>本项目不新增用地，不改变现有自然岸线。</w:t>
                  </w:r>
                </w:p>
              </w:tc>
              <w:tc>
                <w:tcPr>
                  <w:tcW w:w="541" w:type="pct"/>
                  <w:vAlign w:val="center"/>
                </w:tcPr>
                <w:p w14:paraId="4EFF3FC4" w14:textId="77777777" w:rsidR="00F76A63" w:rsidRDefault="00000000">
                  <w:pPr>
                    <w:adjustRightInd w:val="0"/>
                    <w:jc w:val="center"/>
                  </w:pPr>
                  <w:r>
                    <w:t>符合</w:t>
                  </w:r>
                </w:p>
              </w:tc>
            </w:tr>
          </w:tbl>
          <w:p w14:paraId="34E97923" w14:textId="77777777" w:rsidR="00F76A63" w:rsidRDefault="00000000">
            <w:pPr>
              <w:autoSpaceDE w:val="0"/>
              <w:autoSpaceDN w:val="0"/>
              <w:adjustRightInd w:val="0"/>
              <w:snapToGrid w:val="0"/>
              <w:spacing w:line="500" w:lineRule="exact"/>
              <w:jc w:val="center"/>
              <w:rPr>
                <w:b/>
                <w:bCs/>
                <w:sz w:val="24"/>
              </w:rPr>
            </w:pPr>
            <w:r>
              <w:rPr>
                <w:b/>
                <w:bCs/>
                <w:sz w:val="24"/>
              </w:rPr>
              <w:t>表</w:t>
            </w:r>
            <w:r>
              <w:rPr>
                <w:b/>
                <w:bCs/>
                <w:sz w:val="24"/>
              </w:rPr>
              <w:t xml:space="preserve">1-8  </w:t>
            </w:r>
            <w:r>
              <w:rPr>
                <w:b/>
                <w:bCs/>
                <w:sz w:val="24"/>
              </w:rPr>
              <w:t>与《镇江市生态环境分区管控动态更新成果公告》相符性分析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left w:w="20" w:type="dxa"/>
                <w:right w:w="20" w:type="dxa"/>
              </w:tblCellMar>
              <w:tblLook w:val="04A0" w:firstRow="1" w:lastRow="0" w:firstColumn="1" w:lastColumn="0" w:noHBand="0" w:noVBand="1"/>
            </w:tblPr>
            <w:tblGrid>
              <w:gridCol w:w="581"/>
              <w:gridCol w:w="4260"/>
              <w:gridCol w:w="2127"/>
              <w:gridCol w:w="845"/>
            </w:tblGrid>
            <w:tr w:rsidR="00F76A63" w14:paraId="78A45C75" w14:textId="77777777">
              <w:trPr>
                <w:trHeight w:val="565"/>
                <w:jc w:val="center"/>
              </w:trPr>
              <w:tc>
                <w:tcPr>
                  <w:tcW w:w="3098" w:type="pct"/>
                  <w:gridSpan w:val="2"/>
                  <w:vAlign w:val="center"/>
                </w:tcPr>
                <w:p w14:paraId="7BD906A8" w14:textId="77777777" w:rsidR="00F76A63" w:rsidRDefault="00000000">
                  <w:pPr>
                    <w:autoSpaceDE w:val="0"/>
                    <w:autoSpaceDN w:val="0"/>
                    <w:adjustRightInd w:val="0"/>
                    <w:snapToGrid w:val="0"/>
                    <w:jc w:val="center"/>
                    <w:rPr>
                      <w:b/>
                      <w:bCs/>
                      <w:szCs w:val="21"/>
                    </w:rPr>
                  </w:pPr>
                  <w:r>
                    <w:rPr>
                      <w:b/>
                      <w:bCs/>
                      <w:szCs w:val="21"/>
                    </w:rPr>
                    <w:t>相关内容</w:t>
                  </w:r>
                </w:p>
              </w:tc>
              <w:tc>
                <w:tcPr>
                  <w:tcW w:w="1361" w:type="pct"/>
                  <w:vAlign w:val="center"/>
                </w:tcPr>
                <w:p w14:paraId="4FE15E28" w14:textId="77777777" w:rsidR="00F76A63" w:rsidRDefault="00000000">
                  <w:pPr>
                    <w:autoSpaceDE w:val="0"/>
                    <w:autoSpaceDN w:val="0"/>
                    <w:adjustRightInd w:val="0"/>
                    <w:snapToGrid w:val="0"/>
                    <w:jc w:val="center"/>
                    <w:rPr>
                      <w:b/>
                      <w:bCs/>
                      <w:szCs w:val="21"/>
                    </w:rPr>
                  </w:pPr>
                  <w:r>
                    <w:rPr>
                      <w:b/>
                      <w:bCs/>
                      <w:szCs w:val="21"/>
                    </w:rPr>
                    <w:t>项目情况</w:t>
                  </w:r>
                </w:p>
              </w:tc>
              <w:tc>
                <w:tcPr>
                  <w:tcW w:w="541" w:type="pct"/>
                  <w:vAlign w:val="center"/>
                </w:tcPr>
                <w:p w14:paraId="13E5F994" w14:textId="77777777" w:rsidR="00F76A63" w:rsidRDefault="00000000">
                  <w:pPr>
                    <w:autoSpaceDE w:val="0"/>
                    <w:autoSpaceDN w:val="0"/>
                    <w:adjustRightInd w:val="0"/>
                    <w:snapToGrid w:val="0"/>
                    <w:jc w:val="center"/>
                    <w:rPr>
                      <w:b/>
                      <w:bCs/>
                      <w:szCs w:val="21"/>
                    </w:rPr>
                  </w:pPr>
                  <w:r>
                    <w:rPr>
                      <w:b/>
                      <w:bCs/>
                      <w:szCs w:val="21"/>
                    </w:rPr>
                    <w:t>相符性</w:t>
                  </w:r>
                </w:p>
              </w:tc>
            </w:tr>
            <w:tr w:rsidR="00F76A63" w14:paraId="319E5E8E" w14:textId="77777777">
              <w:trPr>
                <w:trHeight w:val="397"/>
                <w:jc w:val="center"/>
              </w:trPr>
              <w:tc>
                <w:tcPr>
                  <w:tcW w:w="5000" w:type="pct"/>
                  <w:gridSpan w:val="4"/>
                  <w:vAlign w:val="center"/>
                </w:tcPr>
                <w:p w14:paraId="547BEF76" w14:textId="77777777" w:rsidR="00F76A63" w:rsidRDefault="00000000">
                  <w:pPr>
                    <w:autoSpaceDE w:val="0"/>
                    <w:autoSpaceDN w:val="0"/>
                    <w:adjustRightInd w:val="0"/>
                    <w:snapToGrid w:val="0"/>
                    <w:jc w:val="center"/>
                    <w:rPr>
                      <w:b/>
                      <w:bCs/>
                      <w:szCs w:val="21"/>
                    </w:rPr>
                  </w:pPr>
                  <w:r>
                    <w:rPr>
                      <w:b/>
                      <w:bCs/>
                      <w:szCs w:val="21"/>
                    </w:rPr>
                    <w:t>镇江市市域生态环境重点管控要求</w:t>
                  </w:r>
                </w:p>
              </w:tc>
            </w:tr>
            <w:tr w:rsidR="00F76A63" w14:paraId="312EC591" w14:textId="77777777">
              <w:trPr>
                <w:trHeight w:val="397"/>
                <w:jc w:val="center"/>
              </w:trPr>
              <w:tc>
                <w:tcPr>
                  <w:tcW w:w="372" w:type="pct"/>
                  <w:vAlign w:val="center"/>
                </w:tcPr>
                <w:p w14:paraId="239E3B83" w14:textId="77777777" w:rsidR="00F76A63" w:rsidRDefault="00000000">
                  <w:pPr>
                    <w:autoSpaceDE w:val="0"/>
                    <w:autoSpaceDN w:val="0"/>
                    <w:adjustRightInd w:val="0"/>
                    <w:snapToGrid w:val="0"/>
                    <w:jc w:val="center"/>
                    <w:rPr>
                      <w:szCs w:val="21"/>
                    </w:rPr>
                  </w:pPr>
                  <w:r>
                    <w:rPr>
                      <w:szCs w:val="21"/>
                    </w:rPr>
                    <w:t>空间布局约束</w:t>
                  </w:r>
                </w:p>
              </w:tc>
              <w:tc>
                <w:tcPr>
                  <w:tcW w:w="2726" w:type="pct"/>
                  <w:vAlign w:val="center"/>
                </w:tcPr>
                <w:p w14:paraId="085DE6D6" w14:textId="77777777" w:rsidR="00F76A63" w:rsidRDefault="00000000">
                  <w:pPr>
                    <w:autoSpaceDE w:val="0"/>
                    <w:autoSpaceDN w:val="0"/>
                    <w:adjustRightInd w:val="0"/>
                    <w:snapToGrid w:val="0"/>
                    <w:jc w:val="center"/>
                    <w:rPr>
                      <w:szCs w:val="21"/>
                    </w:rPr>
                  </w:pPr>
                  <w:r>
                    <w:rPr>
                      <w:szCs w:val="21"/>
                    </w:rPr>
                    <w:t>（</w:t>
                  </w:r>
                  <w:r>
                    <w:rPr>
                      <w:szCs w:val="21"/>
                    </w:rPr>
                    <w:t>1</w:t>
                  </w:r>
                  <w:r>
                    <w:rPr>
                      <w:szCs w:val="21"/>
                    </w:rPr>
                    <w:t>）严格执行《江苏省</w:t>
                  </w:r>
                  <w:r>
                    <w:rPr>
                      <w:szCs w:val="21"/>
                    </w:rPr>
                    <w:t>“</w:t>
                  </w:r>
                  <w:r>
                    <w:rPr>
                      <w:szCs w:val="21"/>
                    </w:rPr>
                    <w:t>三线一单</w:t>
                  </w:r>
                  <w:r>
                    <w:rPr>
                      <w:szCs w:val="21"/>
                    </w:rPr>
                    <w:t>”</w:t>
                  </w:r>
                  <w:r>
                    <w:rPr>
                      <w:szCs w:val="21"/>
                    </w:rPr>
                    <w:t>生态环境分区管控方案》（苏政发</w:t>
                  </w:r>
                  <w:r>
                    <w:rPr>
                      <w:szCs w:val="21"/>
                    </w:rPr>
                    <w:t>[2020]49</w:t>
                  </w:r>
                  <w:r>
                    <w:rPr>
                      <w:szCs w:val="21"/>
                    </w:rPr>
                    <w:t>号）、《省政府关于印发江苏省生态空间管控区域规划的</w:t>
                  </w:r>
                  <w:r>
                    <w:rPr>
                      <w:szCs w:val="21"/>
                    </w:rPr>
                    <w:lastRenderedPageBreak/>
                    <w:t>通知》（苏政发</w:t>
                  </w:r>
                  <w:r>
                    <w:rPr>
                      <w:szCs w:val="21"/>
                    </w:rPr>
                    <w:t>[2020]</w:t>
                  </w:r>
                  <w:r>
                    <w:rPr>
                      <w:szCs w:val="21"/>
                    </w:rPr>
                    <w:t>〕</w:t>
                  </w:r>
                  <w:r>
                    <w:rPr>
                      <w:szCs w:val="21"/>
                    </w:rPr>
                    <w:t>1</w:t>
                  </w:r>
                  <w:r>
                    <w:rPr>
                      <w:szCs w:val="21"/>
                    </w:rPr>
                    <w:t>号）、《江苏省太湖水污染防治条例》《镇江市长江岸线资源保护条例》《镇江市长江岸线保护规划（</w:t>
                  </w:r>
                  <w:r>
                    <w:rPr>
                      <w:szCs w:val="21"/>
                    </w:rPr>
                    <w:t>2018-2035</w:t>
                  </w:r>
                  <w:r>
                    <w:rPr>
                      <w:szCs w:val="21"/>
                    </w:rPr>
                    <w:t>）》《镇江市金山焦山北固山南山风景名胜区保护条例》《镇江市山体保护条例》《镇江市历史文化名城保护条例》等文件相关要求。</w:t>
                  </w:r>
                </w:p>
                <w:p w14:paraId="156D55D8" w14:textId="77777777" w:rsidR="00F76A63" w:rsidRDefault="00000000">
                  <w:pPr>
                    <w:autoSpaceDE w:val="0"/>
                    <w:autoSpaceDN w:val="0"/>
                    <w:adjustRightInd w:val="0"/>
                    <w:snapToGrid w:val="0"/>
                    <w:jc w:val="center"/>
                    <w:rPr>
                      <w:szCs w:val="21"/>
                    </w:rPr>
                  </w:pPr>
                  <w:r>
                    <w:rPr>
                      <w:szCs w:val="21"/>
                    </w:rPr>
                    <w:t>（</w:t>
                  </w:r>
                  <w:r>
                    <w:rPr>
                      <w:szCs w:val="21"/>
                    </w:rPr>
                    <w:t>2</w:t>
                  </w:r>
                  <w:r>
                    <w:rPr>
                      <w:szCs w:val="21"/>
                    </w:rPr>
                    <w:t>）根据《镇江市长江岸线资源保护条例》，长江岸线资源分为保护区、保留区、控制利用区和开发利用区，实施分区保护，保护区、保留区严禁开发利用。</w:t>
                  </w:r>
                </w:p>
                <w:p w14:paraId="1E82F87E" w14:textId="77777777" w:rsidR="00F76A63" w:rsidRDefault="00000000">
                  <w:pPr>
                    <w:autoSpaceDE w:val="0"/>
                    <w:autoSpaceDN w:val="0"/>
                    <w:adjustRightInd w:val="0"/>
                    <w:snapToGrid w:val="0"/>
                    <w:jc w:val="center"/>
                    <w:rPr>
                      <w:szCs w:val="21"/>
                    </w:rPr>
                  </w:pPr>
                  <w:r>
                    <w:rPr>
                      <w:szCs w:val="21"/>
                    </w:rPr>
                    <w:t>（</w:t>
                  </w:r>
                  <w:r>
                    <w:rPr>
                      <w:szCs w:val="21"/>
                    </w:rPr>
                    <w:t>3</w:t>
                  </w:r>
                  <w:r>
                    <w:rPr>
                      <w:szCs w:val="21"/>
                    </w:rPr>
                    <w:t>）优化产业布局和结构，严格执行《产业结构调整指导目录（</w:t>
                  </w:r>
                  <w:r>
                    <w:rPr>
                      <w:szCs w:val="21"/>
                    </w:rPr>
                    <w:t>2019</w:t>
                  </w:r>
                  <w:r>
                    <w:rPr>
                      <w:szCs w:val="21"/>
                    </w:rPr>
                    <w:t>年本）》（中华人民共和国国家发展和改革委员会令第</w:t>
                  </w:r>
                  <w:r>
                    <w:rPr>
                      <w:szCs w:val="21"/>
                    </w:rPr>
                    <w:t>29</w:t>
                  </w:r>
                  <w:r>
                    <w:rPr>
                      <w:szCs w:val="21"/>
                    </w:rPr>
                    <w:t>号）中限制类、淘汰类及《镇江市产业结构调整指导目录（</w:t>
                  </w:r>
                  <w:r>
                    <w:rPr>
                      <w:szCs w:val="21"/>
                    </w:rPr>
                    <w:t>2019</w:t>
                  </w:r>
                  <w:r>
                    <w:rPr>
                      <w:szCs w:val="21"/>
                    </w:rPr>
                    <w:t>年）》（镇发改工业发</w:t>
                  </w:r>
                  <w:r>
                    <w:rPr>
                      <w:szCs w:val="21"/>
                    </w:rPr>
                    <w:t>[2019]622</w:t>
                  </w:r>
                  <w:r>
                    <w:rPr>
                      <w:szCs w:val="21"/>
                    </w:rPr>
                    <w:t>号）中限制类、淘汰类、禁止类产业要求。严格禁止《长江经济带发展负面清单指南（试行，</w:t>
                  </w:r>
                  <w:r>
                    <w:rPr>
                      <w:szCs w:val="21"/>
                    </w:rPr>
                    <w:t>2022</w:t>
                  </w:r>
                  <w:r>
                    <w:rPr>
                      <w:szCs w:val="21"/>
                    </w:rPr>
                    <w:t>年版）》、《长江经济带发展负面清单指南江苏省实施细则（试行，</w:t>
                  </w:r>
                  <w:r>
                    <w:rPr>
                      <w:szCs w:val="21"/>
                    </w:rPr>
                    <w:t>2022</w:t>
                  </w:r>
                  <w:r>
                    <w:rPr>
                      <w:szCs w:val="21"/>
                    </w:rPr>
                    <w:t>年版）》中禁止类建设项目。</w:t>
                  </w:r>
                </w:p>
                <w:p w14:paraId="2183B605" w14:textId="77777777" w:rsidR="00F76A63" w:rsidRDefault="00000000">
                  <w:pPr>
                    <w:autoSpaceDE w:val="0"/>
                    <w:autoSpaceDN w:val="0"/>
                    <w:adjustRightInd w:val="0"/>
                    <w:snapToGrid w:val="0"/>
                    <w:jc w:val="center"/>
                    <w:rPr>
                      <w:szCs w:val="21"/>
                    </w:rPr>
                  </w:pPr>
                  <w:r>
                    <w:rPr>
                      <w:szCs w:val="21"/>
                    </w:rPr>
                    <w:t>（</w:t>
                  </w:r>
                  <w:r>
                    <w:rPr>
                      <w:szCs w:val="21"/>
                    </w:rPr>
                    <w:t>4</w:t>
                  </w:r>
                  <w:r>
                    <w:rPr>
                      <w:szCs w:val="21"/>
                    </w:rPr>
                    <w:t>）根据《省政府关于公布江苏省化工园区认定复核通过名单（第一批）的通知》（苏政发</w:t>
                  </w:r>
                  <w:r>
                    <w:rPr>
                      <w:szCs w:val="21"/>
                    </w:rPr>
                    <w:t>[2023]38</w:t>
                  </w:r>
                  <w:r>
                    <w:rPr>
                      <w:szCs w:val="21"/>
                    </w:rPr>
                    <w:t>号），优化规划布局，引导园区立足产业链上下游配套，大力发展电子化学品、环保化学品等新领域精细专用化学品，积极发展新能源材料、汽车轻量化材料、光电材料、生物材料、特种工程塑料、特种橡胶等价值链高端产业，精准延链补链强链，不断提高高端化工产品占比。</w:t>
                  </w:r>
                </w:p>
                <w:p w14:paraId="54EA92CA" w14:textId="77777777" w:rsidR="00F76A63" w:rsidRDefault="00000000">
                  <w:pPr>
                    <w:autoSpaceDE w:val="0"/>
                    <w:autoSpaceDN w:val="0"/>
                    <w:adjustRightInd w:val="0"/>
                    <w:snapToGrid w:val="0"/>
                    <w:jc w:val="center"/>
                    <w:rPr>
                      <w:szCs w:val="21"/>
                    </w:rPr>
                  </w:pPr>
                  <w:r>
                    <w:rPr>
                      <w:szCs w:val="21"/>
                    </w:rPr>
                    <w:t>（</w:t>
                  </w:r>
                  <w:r>
                    <w:rPr>
                      <w:szCs w:val="21"/>
                    </w:rPr>
                    <w:t>5</w:t>
                  </w:r>
                  <w:r>
                    <w:rPr>
                      <w:szCs w:val="21"/>
                    </w:rPr>
                    <w:t>）根据《镇江市长江岸线资源保护条例》《镇江市长江岸线保护规划（</w:t>
                  </w:r>
                  <w:r>
                    <w:rPr>
                      <w:szCs w:val="21"/>
                    </w:rPr>
                    <w:t>2018-2035</w:t>
                  </w:r>
                  <w:r>
                    <w:rPr>
                      <w:szCs w:val="21"/>
                    </w:rPr>
                    <w:t>）》，优化调整沿江</w:t>
                  </w:r>
                  <w:r>
                    <w:rPr>
                      <w:szCs w:val="21"/>
                    </w:rPr>
                    <w:t>1-2</w:t>
                  </w:r>
                  <w:r>
                    <w:rPr>
                      <w:szCs w:val="21"/>
                    </w:rPr>
                    <w:t>公里范围内产业布局，持续推进传统产业转型升级，进一步提升沿江产业绿色发展水平。根据《镇江市</w:t>
                  </w:r>
                  <w:r>
                    <w:rPr>
                      <w:szCs w:val="21"/>
                    </w:rPr>
                    <w:t>“</w:t>
                  </w:r>
                  <w:r>
                    <w:rPr>
                      <w:szCs w:val="21"/>
                    </w:rPr>
                    <w:t>十四五</w:t>
                  </w:r>
                  <w:r>
                    <w:rPr>
                      <w:szCs w:val="21"/>
                    </w:rPr>
                    <w:t>”</w:t>
                  </w:r>
                  <w:r>
                    <w:rPr>
                      <w:szCs w:val="21"/>
                    </w:rPr>
                    <w:t>生态环境保护规划》（镇政办发</w:t>
                  </w:r>
                  <w:r>
                    <w:rPr>
                      <w:szCs w:val="21"/>
                    </w:rPr>
                    <w:t>[2021]86</w:t>
                  </w:r>
                  <w:r>
                    <w:rPr>
                      <w:szCs w:val="21"/>
                    </w:rPr>
                    <w:t>号），严格落实《</w:t>
                  </w:r>
                  <w:r>
                    <w:rPr>
                      <w:szCs w:val="21"/>
                    </w:rPr>
                    <w:t>&lt;</w:t>
                  </w:r>
                  <w:r>
                    <w:rPr>
                      <w:szCs w:val="21"/>
                    </w:rPr>
                    <w:t>长江经济带负面清单指南</w:t>
                  </w:r>
                  <w:r>
                    <w:rPr>
                      <w:szCs w:val="21"/>
                    </w:rPr>
                    <w:t>&gt;</w:t>
                  </w:r>
                  <w:r>
                    <w:rPr>
                      <w:szCs w:val="21"/>
                    </w:rPr>
                    <w:t>江苏省实施细则（试行）》和《镇江市长江岸线资源保护条例》，优化岸线开发利用功能和布局，严禁非法占用岸线资源。</w:t>
                  </w:r>
                </w:p>
                <w:p w14:paraId="460E3955" w14:textId="77777777" w:rsidR="00F76A63" w:rsidRDefault="00000000">
                  <w:pPr>
                    <w:autoSpaceDE w:val="0"/>
                    <w:autoSpaceDN w:val="0"/>
                    <w:adjustRightInd w:val="0"/>
                    <w:snapToGrid w:val="0"/>
                    <w:jc w:val="center"/>
                    <w:rPr>
                      <w:szCs w:val="21"/>
                    </w:rPr>
                  </w:pPr>
                  <w:r>
                    <w:rPr>
                      <w:szCs w:val="21"/>
                    </w:rPr>
                    <w:t>（</w:t>
                  </w:r>
                  <w:r>
                    <w:rPr>
                      <w:szCs w:val="21"/>
                    </w:rPr>
                    <w:t>6</w:t>
                  </w:r>
                  <w:r>
                    <w:rPr>
                      <w:szCs w:val="21"/>
                    </w:rPr>
                    <w:t>）根据《省政府关于印发大运河江苏段核心监控区国土空间管控暂行办法的通知》（苏政发</w:t>
                  </w:r>
                  <w:r>
                    <w:rPr>
                      <w:szCs w:val="21"/>
                    </w:rPr>
                    <w:t>[2021]20</w:t>
                  </w:r>
                  <w:r>
                    <w:rPr>
                      <w:szCs w:val="21"/>
                    </w:rPr>
                    <w:t>号），需严格落实核心监控区国土空间准入相关要求。</w:t>
                  </w:r>
                </w:p>
                <w:p w14:paraId="2ABA4593" w14:textId="77777777" w:rsidR="00F76A63" w:rsidRDefault="00000000">
                  <w:pPr>
                    <w:autoSpaceDE w:val="0"/>
                    <w:autoSpaceDN w:val="0"/>
                    <w:adjustRightInd w:val="0"/>
                    <w:snapToGrid w:val="0"/>
                    <w:jc w:val="center"/>
                    <w:rPr>
                      <w:szCs w:val="21"/>
                    </w:rPr>
                  </w:pPr>
                  <w:r>
                    <w:rPr>
                      <w:szCs w:val="21"/>
                    </w:rPr>
                    <w:t>（</w:t>
                  </w:r>
                  <w:r>
                    <w:rPr>
                      <w:szCs w:val="21"/>
                    </w:rPr>
                    <w:t>7</w:t>
                  </w:r>
                  <w:r>
                    <w:rPr>
                      <w:szCs w:val="21"/>
                    </w:rPr>
                    <w:t>）根据《江苏省减污降碳协同增效实施方案》（</w:t>
                  </w:r>
                  <w:r>
                    <w:rPr>
                      <w:szCs w:val="21"/>
                    </w:rPr>
                    <w:t>2023</w:t>
                  </w:r>
                  <w:r>
                    <w:rPr>
                      <w:szCs w:val="21"/>
                    </w:rPr>
                    <w:t>年</w:t>
                  </w:r>
                  <w:r>
                    <w:rPr>
                      <w:szCs w:val="21"/>
                    </w:rPr>
                    <w:t>1</w:t>
                  </w:r>
                  <w:r>
                    <w:rPr>
                      <w:szCs w:val="21"/>
                    </w:rPr>
                    <w:t>月</w:t>
                  </w:r>
                  <w:r>
                    <w:rPr>
                      <w:szCs w:val="21"/>
                    </w:rPr>
                    <w:t>9</w:t>
                  </w:r>
                  <w:r>
                    <w:rPr>
                      <w:szCs w:val="21"/>
                    </w:rPr>
                    <w:t>日），加强生态环境准入管理，严禁新增钢铁、焦化、炼油、电解铝、水泥、平板玻璃（不含光伏玻璃）等产能；严禁</w:t>
                  </w:r>
                  <w:r>
                    <w:rPr>
                      <w:szCs w:val="21"/>
                    </w:rPr>
                    <w:lastRenderedPageBreak/>
                    <w:t>新（扩）建燃煤自备电厂。</w:t>
                  </w:r>
                </w:p>
              </w:tc>
              <w:tc>
                <w:tcPr>
                  <w:tcW w:w="1361" w:type="pct"/>
                  <w:vAlign w:val="center"/>
                </w:tcPr>
                <w:p w14:paraId="470BEE1F" w14:textId="77777777" w:rsidR="00F76A63" w:rsidRDefault="00000000">
                  <w:pPr>
                    <w:autoSpaceDE w:val="0"/>
                    <w:autoSpaceDN w:val="0"/>
                    <w:adjustRightInd w:val="0"/>
                    <w:snapToGrid w:val="0"/>
                    <w:jc w:val="center"/>
                    <w:rPr>
                      <w:szCs w:val="21"/>
                    </w:rPr>
                  </w:pPr>
                  <w:r>
                    <w:rPr>
                      <w:szCs w:val="21"/>
                    </w:rPr>
                    <w:lastRenderedPageBreak/>
                    <w:t>本项目属于《产业结构调整指导目录（</w:t>
                  </w:r>
                  <w:r>
                    <w:rPr>
                      <w:szCs w:val="21"/>
                    </w:rPr>
                    <w:t>2024</w:t>
                  </w:r>
                  <w:r>
                    <w:rPr>
                      <w:szCs w:val="21"/>
                    </w:rPr>
                    <w:t>年本）》中的</w:t>
                  </w:r>
                  <w:r>
                    <w:rPr>
                      <w:szCs w:val="21"/>
                    </w:rPr>
                    <w:lastRenderedPageBreak/>
                    <w:t>允许类；符合《江苏省生态环境分区管控动态更新成果（</w:t>
                  </w:r>
                  <w:r>
                    <w:rPr>
                      <w:szCs w:val="21"/>
                    </w:rPr>
                    <w:t>2023</w:t>
                  </w:r>
                  <w:r>
                    <w:rPr>
                      <w:szCs w:val="21"/>
                    </w:rPr>
                    <w:t>版）》、《省政府关于印发江苏省生态空间管控区域规划的通知》（苏政发</w:t>
                  </w:r>
                  <w:r>
                    <w:rPr>
                      <w:szCs w:val="21"/>
                    </w:rPr>
                    <w:t>[2020]1</w:t>
                  </w:r>
                  <w:r>
                    <w:rPr>
                      <w:szCs w:val="21"/>
                    </w:rPr>
                    <w:t>号）、《长江经济带发展负面清单指南（试行，</w:t>
                  </w:r>
                  <w:r>
                    <w:rPr>
                      <w:szCs w:val="21"/>
                    </w:rPr>
                    <w:t>2022</w:t>
                  </w:r>
                  <w:r>
                    <w:rPr>
                      <w:szCs w:val="21"/>
                    </w:rPr>
                    <w:t>年版）》等相关要求。</w:t>
                  </w:r>
                </w:p>
              </w:tc>
              <w:tc>
                <w:tcPr>
                  <w:tcW w:w="541" w:type="pct"/>
                  <w:vAlign w:val="center"/>
                </w:tcPr>
                <w:p w14:paraId="2FBAED4F" w14:textId="77777777" w:rsidR="00F76A63" w:rsidRDefault="00000000">
                  <w:pPr>
                    <w:autoSpaceDE w:val="0"/>
                    <w:autoSpaceDN w:val="0"/>
                    <w:adjustRightInd w:val="0"/>
                    <w:snapToGrid w:val="0"/>
                    <w:jc w:val="center"/>
                    <w:rPr>
                      <w:szCs w:val="21"/>
                    </w:rPr>
                  </w:pPr>
                  <w:r>
                    <w:rPr>
                      <w:szCs w:val="21"/>
                    </w:rPr>
                    <w:lastRenderedPageBreak/>
                    <w:t>相符</w:t>
                  </w:r>
                </w:p>
              </w:tc>
            </w:tr>
            <w:tr w:rsidR="00F76A63" w14:paraId="0BAF7C7C" w14:textId="77777777">
              <w:trPr>
                <w:trHeight w:val="397"/>
                <w:jc w:val="center"/>
              </w:trPr>
              <w:tc>
                <w:tcPr>
                  <w:tcW w:w="372" w:type="pct"/>
                  <w:vAlign w:val="center"/>
                </w:tcPr>
                <w:p w14:paraId="6A5E2BA8" w14:textId="77777777" w:rsidR="00F76A63" w:rsidRDefault="00000000">
                  <w:pPr>
                    <w:autoSpaceDE w:val="0"/>
                    <w:autoSpaceDN w:val="0"/>
                    <w:adjustRightInd w:val="0"/>
                    <w:snapToGrid w:val="0"/>
                    <w:jc w:val="center"/>
                    <w:rPr>
                      <w:szCs w:val="21"/>
                    </w:rPr>
                  </w:pPr>
                  <w:r>
                    <w:rPr>
                      <w:szCs w:val="21"/>
                    </w:rPr>
                    <w:lastRenderedPageBreak/>
                    <w:t>污染物排放管控</w:t>
                  </w:r>
                </w:p>
              </w:tc>
              <w:tc>
                <w:tcPr>
                  <w:tcW w:w="2726" w:type="pct"/>
                  <w:vAlign w:val="center"/>
                </w:tcPr>
                <w:p w14:paraId="39BDC005" w14:textId="77777777" w:rsidR="00F76A63" w:rsidRDefault="00000000">
                  <w:pPr>
                    <w:autoSpaceDE w:val="0"/>
                    <w:autoSpaceDN w:val="0"/>
                    <w:adjustRightInd w:val="0"/>
                    <w:snapToGrid w:val="0"/>
                    <w:jc w:val="center"/>
                    <w:rPr>
                      <w:szCs w:val="21"/>
                    </w:rPr>
                  </w:pPr>
                  <w:r>
                    <w:rPr>
                      <w:szCs w:val="21"/>
                    </w:rPr>
                    <w:t>（</w:t>
                  </w:r>
                  <w:r>
                    <w:rPr>
                      <w:szCs w:val="21"/>
                    </w:rPr>
                    <w:t>1</w:t>
                  </w:r>
                  <w:r>
                    <w:rPr>
                      <w:szCs w:val="21"/>
                    </w:rPr>
                    <w:t>）根据《镇江市</w:t>
                  </w:r>
                  <w:r>
                    <w:rPr>
                      <w:szCs w:val="21"/>
                    </w:rPr>
                    <w:t>“</w:t>
                  </w:r>
                  <w:r>
                    <w:rPr>
                      <w:szCs w:val="21"/>
                    </w:rPr>
                    <w:t>十四五</w:t>
                  </w:r>
                  <w:r>
                    <w:rPr>
                      <w:szCs w:val="21"/>
                    </w:rPr>
                    <w:t>”</w:t>
                  </w:r>
                  <w:r>
                    <w:rPr>
                      <w:szCs w:val="21"/>
                    </w:rPr>
                    <w:t>生态环境保护规划》（镇政办发〔</w:t>
                  </w:r>
                  <w:r>
                    <w:rPr>
                      <w:szCs w:val="21"/>
                    </w:rPr>
                    <w:t>2021</w:t>
                  </w:r>
                  <w:r>
                    <w:rPr>
                      <w:szCs w:val="21"/>
                    </w:rPr>
                    <w:t>〕</w:t>
                  </w:r>
                  <w:r>
                    <w:rPr>
                      <w:szCs w:val="21"/>
                    </w:rPr>
                    <w:t>86</w:t>
                  </w:r>
                  <w:r>
                    <w:rPr>
                      <w:szCs w:val="21"/>
                    </w:rPr>
                    <w:t>号），优化实施碳排放总量和强度双控考核制度，到</w:t>
                  </w:r>
                  <w:r>
                    <w:rPr>
                      <w:szCs w:val="21"/>
                    </w:rPr>
                    <w:t>2025</w:t>
                  </w:r>
                  <w:r>
                    <w:rPr>
                      <w:szCs w:val="21"/>
                    </w:rPr>
                    <w:t>年，单位工业增加值二氧化碳排放量下降</w:t>
                  </w:r>
                  <w:r>
                    <w:rPr>
                      <w:szCs w:val="21"/>
                    </w:rPr>
                    <w:t>20%</w:t>
                  </w:r>
                  <w:r>
                    <w:rPr>
                      <w:szCs w:val="21"/>
                    </w:rPr>
                    <w:t>。</w:t>
                  </w:r>
                </w:p>
                <w:p w14:paraId="3F7C608D" w14:textId="77777777" w:rsidR="00F76A63" w:rsidRDefault="00000000">
                  <w:pPr>
                    <w:autoSpaceDE w:val="0"/>
                    <w:autoSpaceDN w:val="0"/>
                    <w:adjustRightInd w:val="0"/>
                    <w:snapToGrid w:val="0"/>
                    <w:jc w:val="center"/>
                    <w:rPr>
                      <w:szCs w:val="21"/>
                    </w:rPr>
                  </w:pPr>
                  <w:r>
                    <w:rPr>
                      <w:szCs w:val="21"/>
                    </w:rPr>
                    <w:t>（</w:t>
                  </w:r>
                  <w:r>
                    <w:rPr>
                      <w:szCs w:val="21"/>
                    </w:rPr>
                    <w:t>2</w:t>
                  </w:r>
                  <w:r>
                    <w:rPr>
                      <w:szCs w:val="21"/>
                    </w:rPr>
                    <w:t>）根据《镇江市</w:t>
                  </w:r>
                  <w:r>
                    <w:rPr>
                      <w:szCs w:val="21"/>
                    </w:rPr>
                    <w:t>“</w:t>
                  </w:r>
                  <w:r>
                    <w:rPr>
                      <w:szCs w:val="21"/>
                    </w:rPr>
                    <w:t>十四五</w:t>
                  </w:r>
                  <w:r>
                    <w:rPr>
                      <w:szCs w:val="21"/>
                    </w:rPr>
                    <w:t>”</w:t>
                  </w:r>
                  <w:r>
                    <w:rPr>
                      <w:szCs w:val="21"/>
                    </w:rPr>
                    <w:t>生态环境保护规划》（镇政办发</w:t>
                  </w:r>
                  <w:r>
                    <w:rPr>
                      <w:szCs w:val="21"/>
                    </w:rPr>
                    <w:t>[2021]86</w:t>
                  </w:r>
                  <w:r>
                    <w:rPr>
                      <w:szCs w:val="21"/>
                    </w:rPr>
                    <w:t>号），加强</w:t>
                  </w:r>
                  <w:r>
                    <w:rPr>
                      <w:szCs w:val="21"/>
                    </w:rPr>
                    <w:t>PM</w:t>
                  </w:r>
                  <w:r>
                    <w:rPr>
                      <w:szCs w:val="21"/>
                      <w:vertAlign w:val="subscript"/>
                    </w:rPr>
                    <w:t>2.5</w:t>
                  </w:r>
                  <w:r>
                    <w:rPr>
                      <w:szCs w:val="21"/>
                    </w:rPr>
                    <w:t>和臭氧协同控制。推动城市</w:t>
                  </w:r>
                  <w:r>
                    <w:rPr>
                      <w:szCs w:val="21"/>
                    </w:rPr>
                    <w:t>PM</w:t>
                  </w:r>
                  <w:r>
                    <w:rPr>
                      <w:szCs w:val="21"/>
                      <w:vertAlign w:val="subscript"/>
                    </w:rPr>
                    <w:t>2.5</w:t>
                  </w:r>
                  <w:r>
                    <w:rPr>
                      <w:szCs w:val="21"/>
                    </w:rPr>
                    <w:t>、</w:t>
                  </w:r>
                  <w:r>
                    <w:rPr>
                      <w:szCs w:val="21"/>
                    </w:rPr>
                    <w:t>O</w:t>
                  </w:r>
                  <w:r>
                    <w:rPr>
                      <w:szCs w:val="21"/>
                      <w:vertAlign w:val="subscript"/>
                    </w:rPr>
                    <w:t>3</w:t>
                  </w:r>
                  <w:r>
                    <w:rPr>
                      <w:szCs w:val="21"/>
                    </w:rPr>
                    <w:t>浓度</w:t>
                  </w:r>
                  <w:r>
                    <w:rPr>
                      <w:szCs w:val="21"/>
                    </w:rPr>
                    <w:t>“</w:t>
                  </w:r>
                  <w:r>
                    <w:rPr>
                      <w:szCs w:val="21"/>
                    </w:rPr>
                    <w:t>双控双减</w:t>
                  </w:r>
                  <w:r>
                    <w:rPr>
                      <w:szCs w:val="21"/>
                    </w:rPr>
                    <w:t>”</w:t>
                  </w:r>
                  <w:r>
                    <w:rPr>
                      <w:szCs w:val="21"/>
                    </w:rPr>
                    <w:t>。</w:t>
                  </w:r>
                </w:p>
                <w:p w14:paraId="2190C7CF" w14:textId="77777777" w:rsidR="00F76A63" w:rsidRDefault="00000000">
                  <w:pPr>
                    <w:autoSpaceDE w:val="0"/>
                    <w:autoSpaceDN w:val="0"/>
                    <w:adjustRightInd w:val="0"/>
                    <w:snapToGrid w:val="0"/>
                    <w:jc w:val="center"/>
                    <w:rPr>
                      <w:szCs w:val="21"/>
                    </w:rPr>
                  </w:pPr>
                  <w:r>
                    <w:rPr>
                      <w:szCs w:val="21"/>
                    </w:rPr>
                    <w:t>（</w:t>
                  </w:r>
                  <w:r>
                    <w:rPr>
                      <w:szCs w:val="21"/>
                    </w:rPr>
                    <w:t>3</w:t>
                  </w:r>
                  <w:r>
                    <w:rPr>
                      <w:szCs w:val="21"/>
                    </w:rPr>
                    <w:t>）太湖流域综合治理：根据《镇江市</w:t>
                  </w:r>
                  <w:r>
                    <w:rPr>
                      <w:szCs w:val="21"/>
                    </w:rPr>
                    <w:t>“</w:t>
                  </w:r>
                  <w:r>
                    <w:rPr>
                      <w:szCs w:val="21"/>
                    </w:rPr>
                    <w:t>十四五</w:t>
                  </w:r>
                  <w:r>
                    <w:rPr>
                      <w:szCs w:val="21"/>
                    </w:rPr>
                    <w:t>”</w:t>
                  </w:r>
                  <w:r>
                    <w:rPr>
                      <w:szCs w:val="21"/>
                    </w:rPr>
                    <w:t>生态环境保护规划》（镇政办发〔</w:t>
                  </w:r>
                  <w:r>
                    <w:rPr>
                      <w:szCs w:val="21"/>
                    </w:rPr>
                    <w:t>2021</w:t>
                  </w:r>
                  <w:r>
                    <w:rPr>
                      <w:szCs w:val="21"/>
                    </w:rPr>
                    <w:t>〕</w:t>
                  </w:r>
                  <w:r>
                    <w:rPr>
                      <w:szCs w:val="21"/>
                    </w:rPr>
                    <w:t>86</w:t>
                  </w:r>
                  <w:r>
                    <w:rPr>
                      <w:szCs w:val="21"/>
                    </w:rPr>
                    <w:t>号），重点加强工业污染和城镇生活污水处理提质增效，积极推进涉磷企业调查与监管，突出农业面源污染控源减排，实施氮、磷总量控制。</w:t>
                  </w:r>
                </w:p>
                <w:p w14:paraId="4A4E07B9" w14:textId="77777777" w:rsidR="00F76A63" w:rsidRDefault="00000000">
                  <w:pPr>
                    <w:autoSpaceDE w:val="0"/>
                    <w:autoSpaceDN w:val="0"/>
                    <w:adjustRightInd w:val="0"/>
                    <w:snapToGrid w:val="0"/>
                    <w:jc w:val="center"/>
                    <w:rPr>
                      <w:szCs w:val="21"/>
                    </w:rPr>
                  </w:pPr>
                  <w:r>
                    <w:rPr>
                      <w:szCs w:val="21"/>
                    </w:rPr>
                    <w:t>（</w:t>
                  </w:r>
                  <w:r>
                    <w:rPr>
                      <w:szCs w:val="21"/>
                    </w:rPr>
                    <w:t>4</w:t>
                  </w:r>
                  <w:r>
                    <w:rPr>
                      <w:szCs w:val="21"/>
                    </w:rPr>
                    <w:t>）长江流域生态保护治理：根据《镇江市</w:t>
                  </w:r>
                  <w:r>
                    <w:rPr>
                      <w:szCs w:val="21"/>
                    </w:rPr>
                    <w:t>“</w:t>
                  </w:r>
                  <w:r>
                    <w:rPr>
                      <w:szCs w:val="21"/>
                    </w:rPr>
                    <w:t>十四五</w:t>
                  </w:r>
                  <w:r>
                    <w:rPr>
                      <w:szCs w:val="21"/>
                    </w:rPr>
                    <w:t>”</w:t>
                  </w:r>
                  <w:r>
                    <w:rPr>
                      <w:szCs w:val="21"/>
                    </w:rPr>
                    <w:t>生态环境保护规划》（镇政办发</w:t>
                  </w:r>
                  <w:r>
                    <w:rPr>
                      <w:szCs w:val="21"/>
                    </w:rPr>
                    <w:t>[2021]86</w:t>
                  </w:r>
                  <w:r>
                    <w:rPr>
                      <w:szCs w:val="21"/>
                    </w:rPr>
                    <w:t>号），到</w:t>
                  </w:r>
                  <w:r>
                    <w:rPr>
                      <w:szCs w:val="21"/>
                    </w:rPr>
                    <w:t>2025</w:t>
                  </w:r>
                  <w:r>
                    <w:rPr>
                      <w:szCs w:val="21"/>
                    </w:rPr>
                    <w:t>年，长江干流镇江段水质保持优良，主要入江支流全部稳定达</w:t>
                  </w:r>
                  <w:r>
                    <w:rPr>
                      <w:szCs w:val="21"/>
                    </w:rPr>
                    <w:t>Ⅲ</w:t>
                  </w:r>
                  <w:r>
                    <w:rPr>
                      <w:szCs w:val="21"/>
                    </w:rPr>
                    <w:t>类及以上水质标准。</w:t>
                  </w:r>
                </w:p>
                <w:p w14:paraId="2E8B0E8A" w14:textId="77777777" w:rsidR="00F76A63" w:rsidRDefault="00000000">
                  <w:pPr>
                    <w:autoSpaceDE w:val="0"/>
                    <w:autoSpaceDN w:val="0"/>
                    <w:adjustRightInd w:val="0"/>
                    <w:snapToGrid w:val="0"/>
                    <w:jc w:val="center"/>
                    <w:rPr>
                      <w:szCs w:val="21"/>
                    </w:rPr>
                  </w:pPr>
                  <w:r>
                    <w:rPr>
                      <w:szCs w:val="21"/>
                    </w:rPr>
                    <w:t>（</w:t>
                  </w:r>
                  <w:r>
                    <w:rPr>
                      <w:szCs w:val="21"/>
                    </w:rPr>
                    <w:t>5</w:t>
                  </w:r>
                  <w:r>
                    <w:rPr>
                      <w:szCs w:val="21"/>
                    </w:rPr>
                    <w:t>）根据《镇江市</w:t>
                  </w:r>
                  <w:r>
                    <w:rPr>
                      <w:szCs w:val="21"/>
                    </w:rPr>
                    <w:t>“</w:t>
                  </w:r>
                  <w:r>
                    <w:rPr>
                      <w:szCs w:val="21"/>
                    </w:rPr>
                    <w:t>十四五</w:t>
                  </w:r>
                  <w:r>
                    <w:rPr>
                      <w:szCs w:val="21"/>
                    </w:rPr>
                    <w:t>”</w:t>
                  </w:r>
                  <w:r>
                    <w:rPr>
                      <w:szCs w:val="21"/>
                    </w:rPr>
                    <w:t>生态环境保护规划》（镇政办发</w:t>
                  </w:r>
                  <w:r>
                    <w:rPr>
                      <w:szCs w:val="21"/>
                    </w:rPr>
                    <w:t>[2021]86</w:t>
                  </w:r>
                  <w:r>
                    <w:rPr>
                      <w:szCs w:val="21"/>
                    </w:rPr>
                    <w:t>号）、《江苏省</w:t>
                  </w:r>
                  <w:r>
                    <w:rPr>
                      <w:szCs w:val="21"/>
                    </w:rPr>
                    <w:t>“</w:t>
                  </w:r>
                  <w:r>
                    <w:rPr>
                      <w:szCs w:val="21"/>
                    </w:rPr>
                    <w:t>十四五</w:t>
                  </w:r>
                  <w:r>
                    <w:rPr>
                      <w:szCs w:val="21"/>
                    </w:rPr>
                    <w:t>”</w:t>
                  </w:r>
                  <w:r>
                    <w:rPr>
                      <w:szCs w:val="21"/>
                    </w:rPr>
                    <w:t>节能减排综合实施方案》（苏政传发</w:t>
                  </w:r>
                  <w:r>
                    <w:rPr>
                      <w:szCs w:val="21"/>
                    </w:rPr>
                    <w:t>[2022]224</w:t>
                  </w:r>
                  <w:r>
                    <w:rPr>
                      <w:szCs w:val="21"/>
                    </w:rPr>
                    <w:t>号），相较于</w:t>
                  </w:r>
                  <w:r>
                    <w:rPr>
                      <w:szCs w:val="21"/>
                    </w:rPr>
                    <w:t>2020</w:t>
                  </w:r>
                  <w:r>
                    <w:rPr>
                      <w:szCs w:val="21"/>
                    </w:rPr>
                    <w:t>年，镇江市</w:t>
                  </w:r>
                  <w:r>
                    <w:rPr>
                      <w:szCs w:val="21"/>
                    </w:rPr>
                    <w:t>2025</w:t>
                  </w:r>
                  <w:r>
                    <w:rPr>
                      <w:szCs w:val="21"/>
                    </w:rPr>
                    <w:t>年重点工程氮氧化物、挥发性有机物、化学需氧量、氨氮、总氮、总磷的减排量完成省下达指标，即分别达到</w:t>
                  </w:r>
                  <w:r>
                    <w:rPr>
                      <w:szCs w:val="21"/>
                    </w:rPr>
                    <w:t>4913</w:t>
                  </w:r>
                  <w:r>
                    <w:rPr>
                      <w:szCs w:val="21"/>
                    </w:rPr>
                    <w:t>吨</w:t>
                  </w:r>
                  <w:r>
                    <w:rPr>
                      <w:szCs w:val="21"/>
                    </w:rPr>
                    <w:t>/</w:t>
                  </w:r>
                  <w:r>
                    <w:rPr>
                      <w:szCs w:val="21"/>
                    </w:rPr>
                    <w:t>年、</w:t>
                  </w:r>
                  <w:r>
                    <w:rPr>
                      <w:szCs w:val="21"/>
                    </w:rPr>
                    <w:t>3092</w:t>
                  </w:r>
                  <w:r>
                    <w:rPr>
                      <w:szCs w:val="21"/>
                    </w:rPr>
                    <w:t>吨</w:t>
                  </w:r>
                  <w:r>
                    <w:rPr>
                      <w:szCs w:val="21"/>
                    </w:rPr>
                    <w:t>/</w:t>
                  </w:r>
                  <w:r>
                    <w:rPr>
                      <w:szCs w:val="21"/>
                    </w:rPr>
                    <w:t>年、</w:t>
                  </w:r>
                  <w:r>
                    <w:rPr>
                      <w:szCs w:val="21"/>
                    </w:rPr>
                    <w:t>6800</w:t>
                  </w:r>
                  <w:r>
                    <w:rPr>
                      <w:szCs w:val="21"/>
                    </w:rPr>
                    <w:t>吨</w:t>
                  </w:r>
                  <w:r>
                    <w:rPr>
                      <w:szCs w:val="21"/>
                    </w:rPr>
                    <w:t>/</w:t>
                  </w:r>
                  <w:r>
                    <w:rPr>
                      <w:szCs w:val="21"/>
                    </w:rPr>
                    <w:t>年、</w:t>
                  </w:r>
                  <w:r>
                    <w:rPr>
                      <w:szCs w:val="21"/>
                    </w:rPr>
                    <w:t>360</w:t>
                  </w:r>
                  <w:r>
                    <w:rPr>
                      <w:szCs w:val="21"/>
                    </w:rPr>
                    <w:t>吨</w:t>
                  </w:r>
                  <w:r>
                    <w:rPr>
                      <w:szCs w:val="21"/>
                    </w:rPr>
                    <w:t>/</w:t>
                  </w:r>
                  <w:r>
                    <w:rPr>
                      <w:szCs w:val="21"/>
                    </w:rPr>
                    <w:t>年、</w:t>
                  </w:r>
                  <w:r>
                    <w:rPr>
                      <w:szCs w:val="21"/>
                    </w:rPr>
                    <w:t>804</w:t>
                  </w:r>
                  <w:r>
                    <w:rPr>
                      <w:szCs w:val="21"/>
                    </w:rPr>
                    <w:t>吨</w:t>
                  </w:r>
                  <w:r>
                    <w:rPr>
                      <w:szCs w:val="21"/>
                    </w:rPr>
                    <w:t>/</w:t>
                  </w:r>
                  <w:r>
                    <w:rPr>
                      <w:szCs w:val="21"/>
                    </w:rPr>
                    <w:t>年、</w:t>
                  </w:r>
                  <w:r>
                    <w:rPr>
                      <w:szCs w:val="21"/>
                    </w:rPr>
                    <w:t>91</w:t>
                  </w:r>
                  <w:r>
                    <w:rPr>
                      <w:szCs w:val="21"/>
                    </w:rPr>
                    <w:t>吨</w:t>
                  </w:r>
                  <w:r>
                    <w:rPr>
                      <w:szCs w:val="21"/>
                    </w:rPr>
                    <w:t>/</w:t>
                  </w:r>
                  <w:r>
                    <w:rPr>
                      <w:szCs w:val="21"/>
                    </w:rPr>
                    <w:t>年。</w:t>
                  </w:r>
                </w:p>
                <w:p w14:paraId="27B97ECE" w14:textId="77777777" w:rsidR="00F76A63" w:rsidRDefault="00000000">
                  <w:pPr>
                    <w:autoSpaceDE w:val="0"/>
                    <w:autoSpaceDN w:val="0"/>
                    <w:adjustRightInd w:val="0"/>
                    <w:snapToGrid w:val="0"/>
                    <w:jc w:val="center"/>
                    <w:rPr>
                      <w:szCs w:val="21"/>
                    </w:rPr>
                  </w:pPr>
                  <w:r>
                    <w:rPr>
                      <w:szCs w:val="21"/>
                    </w:rPr>
                    <w:t>（</w:t>
                  </w:r>
                  <w:r>
                    <w:rPr>
                      <w:szCs w:val="21"/>
                    </w:rPr>
                    <w:t>6</w:t>
                  </w:r>
                  <w:r>
                    <w:rPr>
                      <w:szCs w:val="21"/>
                    </w:rPr>
                    <w:t>）已开展规划环评的工业园区，严格落实污染物排放总量控制制度，园区污染物年度允许排放总量管控应严格执行《关于印发江苏省工业园区（集中区）污染物排放限值限量管理工作方案（试行）的通知》（苏污防攻坚指办</w:t>
                  </w:r>
                  <w:r>
                    <w:rPr>
                      <w:szCs w:val="21"/>
                    </w:rPr>
                    <w:t>[2021]56</w:t>
                  </w:r>
                  <w:r>
                    <w:rPr>
                      <w:szCs w:val="21"/>
                    </w:rPr>
                    <w:t>号）要求，按照园区主要污染物排放总量指标落实相关要求。</w:t>
                  </w:r>
                </w:p>
                <w:p w14:paraId="124260EE" w14:textId="77777777" w:rsidR="00F76A63" w:rsidRDefault="00000000">
                  <w:pPr>
                    <w:autoSpaceDE w:val="0"/>
                    <w:autoSpaceDN w:val="0"/>
                    <w:adjustRightInd w:val="0"/>
                    <w:snapToGrid w:val="0"/>
                    <w:jc w:val="center"/>
                    <w:rPr>
                      <w:szCs w:val="21"/>
                    </w:rPr>
                  </w:pPr>
                  <w:r>
                    <w:rPr>
                      <w:szCs w:val="21"/>
                    </w:rPr>
                    <w:t>（</w:t>
                  </w:r>
                  <w:r>
                    <w:rPr>
                      <w:szCs w:val="21"/>
                    </w:rPr>
                    <w:t>7</w:t>
                  </w:r>
                  <w:r>
                    <w:rPr>
                      <w:szCs w:val="21"/>
                    </w:rPr>
                    <w:t>）未开展规划环评的工业园区（集聚区），严格落实污染物排放总量控制制度，园区污染物年度允许排放总量管控应严格执行《关于印发江苏省工业园区（集中区）污染物排放限值限量管理工作方案（试行）的通知》（苏污防攻坚指办</w:t>
                  </w:r>
                  <w:r>
                    <w:rPr>
                      <w:szCs w:val="21"/>
                    </w:rPr>
                    <w:t>[2021]56</w:t>
                  </w:r>
                  <w:r>
                    <w:rPr>
                      <w:szCs w:val="21"/>
                    </w:rPr>
                    <w:t>号）要求，入园项目需取得主要污染物排放总量指标。</w:t>
                  </w:r>
                </w:p>
              </w:tc>
              <w:tc>
                <w:tcPr>
                  <w:tcW w:w="1361" w:type="pct"/>
                  <w:vAlign w:val="center"/>
                </w:tcPr>
                <w:p w14:paraId="178D57DD" w14:textId="77777777" w:rsidR="00F76A63" w:rsidRDefault="00000000">
                  <w:pPr>
                    <w:autoSpaceDE w:val="0"/>
                    <w:autoSpaceDN w:val="0"/>
                    <w:adjustRightInd w:val="0"/>
                    <w:snapToGrid w:val="0"/>
                    <w:jc w:val="center"/>
                    <w:rPr>
                      <w:szCs w:val="21"/>
                    </w:rPr>
                  </w:pPr>
                  <w:r>
                    <w:rPr>
                      <w:szCs w:val="21"/>
                    </w:rPr>
                    <w:t>本项目</w:t>
                  </w:r>
                  <w:r>
                    <w:rPr>
                      <w:rFonts w:hint="eastAsia"/>
                      <w:szCs w:val="21"/>
                    </w:rPr>
                    <w:t>不新增废水、固废</w:t>
                  </w:r>
                  <w:r>
                    <w:rPr>
                      <w:szCs w:val="21"/>
                    </w:rPr>
                    <w:t>污染物排放</w:t>
                  </w:r>
                  <w:r>
                    <w:rPr>
                      <w:rFonts w:hint="eastAsia"/>
                      <w:szCs w:val="21"/>
                    </w:rPr>
                    <w:t>，</w:t>
                  </w:r>
                  <w:r>
                    <w:rPr>
                      <w:szCs w:val="21"/>
                    </w:rPr>
                    <w:t>项目废气主要污染物排放总量在</w:t>
                  </w:r>
                  <w:r>
                    <w:rPr>
                      <w:rFonts w:hint="eastAsia"/>
                      <w:szCs w:val="21"/>
                    </w:rPr>
                    <w:t>厂</w:t>
                  </w:r>
                  <w:r>
                    <w:rPr>
                      <w:szCs w:val="21"/>
                    </w:rPr>
                    <w:t>内平衡，无需申请总量。</w:t>
                  </w:r>
                </w:p>
              </w:tc>
              <w:tc>
                <w:tcPr>
                  <w:tcW w:w="541" w:type="pct"/>
                  <w:vAlign w:val="center"/>
                </w:tcPr>
                <w:p w14:paraId="2470851D" w14:textId="77777777" w:rsidR="00F76A63" w:rsidRDefault="00000000">
                  <w:pPr>
                    <w:autoSpaceDE w:val="0"/>
                    <w:autoSpaceDN w:val="0"/>
                    <w:adjustRightInd w:val="0"/>
                    <w:snapToGrid w:val="0"/>
                    <w:jc w:val="center"/>
                    <w:rPr>
                      <w:szCs w:val="21"/>
                    </w:rPr>
                  </w:pPr>
                  <w:r>
                    <w:rPr>
                      <w:szCs w:val="21"/>
                    </w:rPr>
                    <w:t>相符</w:t>
                  </w:r>
                </w:p>
              </w:tc>
            </w:tr>
            <w:tr w:rsidR="00F76A63" w14:paraId="1482CEEE" w14:textId="77777777">
              <w:trPr>
                <w:trHeight w:val="397"/>
                <w:jc w:val="center"/>
              </w:trPr>
              <w:tc>
                <w:tcPr>
                  <w:tcW w:w="372" w:type="pct"/>
                  <w:vAlign w:val="center"/>
                </w:tcPr>
                <w:p w14:paraId="66475771" w14:textId="77777777" w:rsidR="00F76A63" w:rsidRDefault="00000000">
                  <w:pPr>
                    <w:autoSpaceDE w:val="0"/>
                    <w:autoSpaceDN w:val="0"/>
                    <w:adjustRightInd w:val="0"/>
                    <w:snapToGrid w:val="0"/>
                    <w:jc w:val="center"/>
                    <w:rPr>
                      <w:szCs w:val="21"/>
                    </w:rPr>
                  </w:pPr>
                  <w:r>
                    <w:rPr>
                      <w:szCs w:val="21"/>
                    </w:rPr>
                    <w:t>环境风险防控</w:t>
                  </w:r>
                </w:p>
              </w:tc>
              <w:tc>
                <w:tcPr>
                  <w:tcW w:w="2726" w:type="pct"/>
                  <w:vAlign w:val="center"/>
                </w:tcPr>
                <w:p w14:paraId="59F2854E" w14:textId="77777777" w:rsidR="00F76A63" w:rsidRDefault="00000000">
                  <w:pPr>
                    <w:autoSpaceDE w:val="0"/>
                    <w:autoSpaceDN w:val="0"/>
                    <w:adjustRightInd w:val="0"/>
                    <w:snapToGrid w:val="0"/>
                    <w:jc w:val="center"/>
                    <w:rPr>
                      <w:szCs w:val="21"/>
                    </w:rPr>
                  </w:pPr>
                  <w:r>
                    <w:rPr>
                      <w:szCs w:val="21"/>
                    </w:rPr>
                    <w:t>（</w:t>
                  </w:r>
                  <w:r>
                    <w:rPr>
                      <w:szCs w:val="21"/>
                    </w:rPr>
                    <w:t>1</w:t>
                  </w:r>
                  <w:r>
                    <w:rPr>
                      <w:szCs w:val="21"/>
                    </w:rPr>
                    <w:t>）严格执行《江苏省</w:t>
                  </w:r>
                  <w:r>
                    <w:rPr>
                      <w:szCs w:val="21"/>
                    </w:rPr>
                    <w:t>“</w:t>
                  </w:r>
                  <w:r>
                    <w:rPr>
                      <w:szCs w:val="21"/>
                    </w:rPr>
                    <w:t>三线一单</w:t>
                  </w:r>
                  <w:r>
                    <w:rPr>
                      <w:szCs w:val="21"/>
                    </w:rPr>
                    <w:t>”</w:t>
                  </w:r>
                  <w:r>
                    <w:rPr>
                      <w:szCs w:val="21"/>
                    </w:rPr>
                    <w:t>生态环境分区管控方案》（苏政发〔</w:t>
                  </w:r>
                  <w:r>
                    <w:rPr>
                      <w:szCs w:val="21"/>
                    </w:rPr>
                    <w:t>2020</w:t>
                  </w:r>
                  <w:r>
                    <w:rPr>
                      <w:szCs w:val="21"/>
                    </w:rPr>
                    <w:t>〕</w:t>
                  </w:r>
                  <w:r>
                    <w:rPr>
                      <w:szCs w:val="21"/>
                    </w:rPr>
                    <w:t>49</w:t>
                  </w:r>
                  <w:r>
                    <w:rPr>
                      <w:szCs w:val="21"/>
                    </w:rPr>
                    <w:t>号）附件</w:t>
                  </w:r>
                  <w:r>
                    <w:rPr>
                      <w:szCs w:val="21"/>
                    </w:rPr>
                    <w:t>3</w:t>
                  </w:r>
                  <w:r>
                    <w:rPr>
                      <w:szCs w:val="21"/>
                    </w:rPr>
                    <w:t>江苏省省域生态环境管控要求中</w:t>
                  </w:r>
                  <w:r>
                    <w:rPr>
                      <w:szCs w:val="21"/>
                    </w:rPr>
                    <w:t>“</w:t>
                  </w:r>
                  <w:r>
                    <w:rPr>
                      <w:szCs w:val="21"/>
                    </w:rPr>
                    <w:t>环境风险防控</w:t>
                  </w:r>
                  <w:r>
                    <w:rPr>
                      <w:szCs w:val="21"/>
                    </w:rPr>
                    <w:t>”</w:t>
                  </w:r>
                  <w:r>
                    <w:rPr>
                      <w:szCs w:val="21"/>
                    </w:rPr>
                    <w:t>的相关要求。</w:t>
                  </w:r>
                </w:p>
                <w:p w14:paraId="47F0F9D2" w14:textId="77777777" w:rsidR="00F76A63" w:rsidRDefault="00000000">
                  <w:pPr>
                    <w:autoSpaceDE w:val="0"/>
                    <w:autoSpaceDN w:val="0"/>
                    <w:adjustRightInd w:val="0"/>
                    <w:snapToGrid w:val="0"/>
                    <w:jc w:val="center"/>
                    <w:rPr>
                      <w:szCs w:val="21"/>
                    </w:rPr>
                  </w:pPr>
                  <w:r>
                    <w:rPr>
                      <w:szCs w:val="21"/>
                    </w:rPr>
                    <w:t>（</w:t>
                  </w:r>
                  <w:r>
                    <w:rPr>
                      <w:szCs w:val="21"/>
                    </w:rPr>
                    <w:t>2</w:t>
                  </w:r>
                  <w:r>
                    <w:rPr>
                      <w:szCs w:val="21"/>
                    </w:rPr>
                    <w:t>）严格执行《镇江市突发水污染事件应急防范体系建设总体实施方案》、《镇江市突发</w:t>
                  </w:r>
                  <w:r>
                    <w:rPr>
                      <w:szCs w:val="21"/>
                    </w:rPr>
                    <w:lastRenderedPageBreak/>
                    <w:t>事件总体应急预案》（镇政发</w:t>
                  </w:r>
                  <w:r>
                    <w:rPr>
                      <w:szCs w:val="21"/>
                    </w:rPr>
                    <w:t>[2020]34</w:t>
                  </w:r>
                  <w:r>
                    <w:rPr>
                      <w:szCs w:val="21"/>
                    </w:rPr>
                    <w:t>号）、《镇江市突发环境事件应急预案》（镇政办函</w:t>
                  </w:r>
                  <w:r>
                    <w:rPr>
                      <w:szCs w:val="21"/>
                    </w:rPr>
                    <w:t>[2020]81</w:t>
                  </w:r>
                  <w:r>
                    <w:rPr>
                      <w:szCs w:val="21"/>
                    </w:rPr>
                    <w:t>号）等文件管理要求，建立省市县上下联动、区域之间左右联动等联动应急响应体系，实行联防联控。</w:t>
                  </w:r>
                </w:p>
                <w:p w14:paraId="02ACCA21" w14:textId="77777777" w:rsidR="00F76A63" w:rsidRDefault="00000000">
                  <w:pPr>
                    <w:autoSpaceDE w:val="0"/>
                    <w:autoSpaceDN w:val="0"/>
                    <w:adjustRightInd w:val="0"/>
                    <w:snapToGrid w:val="0"/>
                    <w:jc w:val="center"/>
                    <w:rPr>
                      <w:szCs w:val="21"/>
                    </w:rPr>
                  </w:pPr>
                  <w:r>
                    <w:rPr>
                      <w:szCs w:val="21"/>
                    </w:rPr>
                    <w:t>（</w:t>
                  </w:r>
                  <w:r>
                    <w:rPr>
                      <w:szCs w:val="21"/>
                    </w:rPr>
                    <w:t>3</w:t>
                  </w:r>
                  <w:r>
                    <w:rPr>
                      <w:szCs w:val="21"/>
                    </w:rPr>
                    <w:t>）根据《关于进一步加强重点园区环境应急能力建设的通知》（苏环办</w:t>
                  </w:r>
                  <w:r>
                    <w:rPr>
                      <w:szCs w:val="21"/>
                    </w:rPr>
                    <w:t>[2023]145</w:t>
                  </w:r>
                  <w:r>
                    <w:rPr>
                      <w:szCs w:val="21"/>
                    </w:rPr>
                    <w:t>号），重点园区、化工园区应推进完成三级防控体系建设。</w:t>
                  </w:r>
                </w:p>
                <w:p w14:paraId="39D3097D" w14:textId="77777777" w:rsidR="00F76A63" w:rsidRDefault="00000000">
                  <w:pPr>
                    <w:autoSpaceDE w:val="0"/>
                    <w:autoSpaceDN w:val="0"/>
                    <w:adjustRightInd w:val="0"/>
                    <w:snapToGrid w:val="0"/>
                    <w:jc w:val="center"/>
                    <w:rPr>
                      <w:szCs w:val="21"/>
                    </w:rPr>
                  </w:pPr>
                  <w:r>
                    <w:rPr>
                      <w:szCs w:val="21"/>
                    </w:rPr>
                    <w:t>（</w:t>
                  </w:r>
                  <w:r>
                    <w:rPr>
                      <w:szCs w:val="21"/>
                    </w:rPr>
                    <w:t>4</w:t>
                  </w:r>
                  <w:r>
                    <w:rPr>
                      <w:szCs w:val="21"/>
                    </w:rPr>
                    <w:t>）根据《镇江市</w:t>
                  </w:r>
                  <w:r>
                    <w:rPr>
                      <w:szCs w:val="21"/>
                    </w:rPr>
                    <w:t>“</w:t>
                  </w:r>
                  <w:r>
                    <w:rPr>
                      <w:szCs w:val="21"/>
                    </w:rPr>
                    <w:t>十四五</w:t>
                  </w:r>
                  <w:r>
                    <w:rPr>
                      <w:szCs w:val="21"/>
                    </w:rPr>
                    <w:t>”</w:t>
                  </w:r>
                  <w:r>
                    <w:rPr>
                      <w:szCs w:val="21"/>
                    </w:rPr>
                    <w:t>生态环境保护规划》（镇政办发</w:t>
                  </w:r>
                  <w:r>
                    <w:rPr>
                      <w:szCs w:val="21"/>
                    </w:rPr>
                    <w:t>[2021]86</w:t>
                  </w:r>
                  <w:r>
                    <w:rPr>
                      <w:szCs w:val="21"/>
                    </w:rPr>
                    <w:t>号），土壤安全利用水平巩固提升，受污染耕地、污染地块得到安全利用。</w:t>
                  </w:r>
                </w:p>
                <w:p w14:paraId="701FCE69" w14:textId="77777777" w:rsidR="00F76A63" w:rsidRDefault="00000000">
                  <w:pPr>
                    <w:autoSpaceDE w:val="0"/>
                    <w:autoSpaceDN w:val="0"/>
                    <w:adjustRightInd w:val="0"/>
                    <w:snapToGrid w:val="0"/>
                    <w:jc w:val="center"/>
                    <w:rPr>
                      <w:szCs w:val="21"/>
                    </w:rPr>
                  </w:pPr>
                  <w:r>
                    <w:rPr>
                      <w:szCs w:val="21"/>
                    </w:rPr>
                    <w:t>（</w:t>
                  </w:r>
                  <w:r>
                    <w:rPr>
                      <w:szCs w:val="21"/>
                    </w:rPr>
                    <w:t>5</w:t>
                  </w:r>
                  <w:r>
                    <w:rPr>
                      <w:szCs w:val="21"/>
                    </w:rPr>
                    <w:t>）根据《镇江市</w:t>
                  </w:r>
                  <w:r>
                    <w:rPr>
                      <w:szCs w:val="21"/>
                    </w:rPr>
                    <w:t>“</w:t>
                  </w:r>
                  <w:r>
                    <w:rPr>
                      <w:szCs w:val="21"/>
                    </w:rPr>
                    <w:t>十四五</w:t>
                  </w:r>
                  <w:r>
                    <w:rPr>
                      <w:szCs w:val="21"/>
                    </w:rPr>
                    <w:t>”</w:t>
                  </w:r>
                  <w:r>
                    <w:rPr>
                      <w:szCs w:val="21"/>
                    </w:rPr>
                    <w:t>生态环境保护规划》（镇政办发</w:t>
                  </w:r>
                  <w:r>
                    <w:rPr>
                      <w:szCs w:val="21"/>
                    </w:rPr>
                    <w:t>[2021]86</w:t>
                  </w:r>
                  <w:r>
                    <w:rPr>
                      <w:szCs w:val="21"/>
                    </w:rPr>
                    <w:t>号），固体废物与化学物质环境风险防控能力明显增强，核与辐射安全监管能力持续加强，生态环境健康得到有效保障。根据《镇江市</w:t>
                  </w:r>
                  <w:r>
                    <w:rPr>
                      <w:szCs w:val="21"/>
                    </w:rPr>
                    <w:t>“</w:t>
                  </w:r>
                  <w:r>
                    <w:rPr>
                      <w:szCs w:val="21"/>
                    </w:rPr>
                    <w:t>十四五</w:t>
                  </w:r>
                  <w:r>
                    <w:rPr>
                      <w:szCs w:val="21"/>
                    </w:rPr>
                    <w:t>”</w:t>
                  </w:r>
                  <w:r>
                    <w:rPr>
                      <w:szCs w:val="21"/>
                    </w:rPr>
                    <w:t>时期</w:t>
                  </w:r>
                  <w:r>
                    <w:rPr>
                      <w:szCs w:val="21"/>
                    </w:rPr>
                    <w:t>“</w:t>
                  </w:r>
                  <w:r>
                    <w:rPr>
                      <w:szCs w:val="21"/>
                    </w:rPr>
                    <w:t>无废城市</w:t>
                  </w:r>
                  <w:r>
                    <w:rPr>
                      <w:szCs w:val="21"/>
                    </w:rPr>
                    <w:t>”</w:t>
                  </w:r>
                  <w:r>
                    <w:rPr>
                      <w:szCs w:val="21"/>
                    </w:rPr>
                    <w:t>建设实施方案》（镇政办发</w:t>
                  </w:r>
                  <w:r>
                    <w:rPr>
                      <w:szCs w:val="21"/>
                    </w:rPr>
                    <w:t>[2022]83</w:t>
                  </w:r>
                  <w:r>
                    <w:rPr>
                      <w:szCs w:val="21"/>
                    </w:rPr>
                    <w:t>号），提升风险防控能力，强化危险废物全面安全管控。</w:t>
                  </w:r>
                </w:p>
                <w:p w14:paraId="0F3E865D" w14:textId="77777777" w:rsidR="00F76A63" w:rsidRDefault="00000000">
                  <w:pPr>
                    <w:autoSpaceDE w:val="0"/>
                    <w:autoSpaceDN w:val="0"/>
                    <w:adjustRightInd w:val="0"/>
                    <w:snapToGrid w:val="0"/>
                    <w:jc w:val="center"/>
                    <w:rPr>
                      <w:szCs w:val="21"/>
                    </w:rPr>
                  </w:pPr>
                  <w:r>
                    <w:rPr>
                      <w:szCs w:val="21"/>
                    </w:rPr>
                    <w:t>（</w:t>
                  </w:r>
                  <w:r>
                    <w:rPr>
                      <w:szCs w:val="21"/>
                    </w:rPr>
                    <w:t>6</w:t>
                  </w:r>
                  <w:r>
                    <w:rPr>
                      <w:szCs w:val="21"/>
                    </w:rPr>
                    <w:t>）化工行业：根据《省政府关于公布江苏省化工园区认定复核通过名单（第一批）的通知》（苏政发</w:t>
                  </w:r>
                  <w:r>
                    <w:rPr>
                      <w:szCs w:val="21"/>
                    </w:rPr>
                    <w:t>[2023]38</w:t>
                  </w:r>
                  <w:r>
                    <w:rPr>
                      <w:szCs w:val="21"/>
                    </w:rPr>
                    <w:t>号），守牢安全底线，严格落实化工园区安全生产管理责任和企业安全生产主体责任，建立科学、系统、主动、超前和全面的事故预防体系。</w:t>
                  </w:r>
                </w:p>
                <w:p w14:paraId="6CB546C5" w14:textId="77777777" w:rsidR="00F76A63" w:rsidRDefault="00000000">
                  <w:pPr>
                    <w:autoSpaceDE w:val="0"/>
                    <w:autoSpaceDN w:val="0"/>
                    <w:adjustRightInd w:val="0"/>
                    <w:snapToGrid w:val="0"/>
                    <w:jc w:val="center"/>
                    <w:rPr>
                      <w:szCs w:val="21"/>
                    </w:rPr>
                  </w:pPr>
                  <w:r>
                    <w:rPr>
                      <w:szCs w:val="21"/>
                    </w:rPr>
                    <w:t>（</w:t>
                  </w:r>
                  <w:r>
                    <w:rPr>
                      <w:szCs w:val="21"/>
                    </w:rPr>
                    <w:t>7</w:t>
                  </w:r>
                  <w:r>
                    <w:rPr>
                      <w:szCs w:val="21"/>
                    </w:rPr>
                    <w:t>）长江流域生态保护治理：根据《镇江市</w:t>
                  </w:r>
                  <w:r>
                    <w:rPr>
                      <w:szCs w:val="21"/>
                    </w:rPr>
                    <w:t>“</w:t>
                  </w:r>
                  <w:r>
                    <w:rPr>
                      <w:szCs w:val="21"/>
                    </w:rPr>
                    <w:t>十四五</w:t>
                  </w:r>
                  <w:r>
                    <w:rPr>
                      <w:szCs w:val="21"/>
                    </w:rPr>
                    <w:t>”</w:t>
                  </w:r>
                  <w:r>
                    <w:rPr>
                      <w:szCs w:val="21"/>
                    </w:rPr>
                    <w:t>生态环境保护规划》（镇政办发</w:t>
                  </w:r>
                  <w:r>
                    <w:rPr>
                      <w:szCs w:val="21"/>
                    </w:rPr>
                    <w:t>[2021]86</w:t>
                  </w:r>
                  <w:r>
                    <w:rPr>
                      <w:szCs w:val="21"/>
                    </w:rPr>
                    <w:t>号），实施重金属和有机毒物污染管控，开展长江流域生态隐患和环境风险调查评估。</w:t>
                  </w:r>
                </w:p>
                <w:p w14:paraId="0168DB1F" w14:textId="77777777" w:rsidR="00F76A63" w:rsidRDefault="00000000">
                  <w:pPr>
                    <w:autoSpaceDE w:val="0"/>
                    <w:autoSpaceDN w:val="0"/>
                    <w:adjustRightInd w:val="0"/>
                    <w:snapToGrid w:val="0"/>
                    <w:jc w:val="center"/>
                    <w:rPr>
                      <w:szCs w:val="21"/>
                    </w:rPr>
                  </w:pPr>
                  <w:r>
                    <w:rPr>
                      <w:szCs w:val="21"/>
                    </w:rPr>
                    <w:t>（</w:t>
                  </w:r>
                  <w:r>
                    <w:rPr>
                      <w:szCs w:val="21"/>
                    </w:rPr>
                    <w:t>8</w:t>
                  </w:r>
                  <w:r>
                    <w:rPr>
                      <w:szCs w:val="21"/>
                    </w:rPr>
                    <w:t>）沿江开发建设活动：根据《镇江市长江岸线资源保护条例》、《镇江市长江岸线保护规划（</w:t>
                  </w:r>
                  <w:r>
                    <w:rPr>
                      <w:szCs w:val="21"/>
                    </w:rPr>
                    <w:t>2018-2035</w:t>
                  </w:r>
                  <w:r>
                    <w:rPr>
                      <w:szCs w:val="21"/>
                    </w:rPr>
                    <w:t>）》），不得在长江岸线资源范围内进行危害防洪安全、堤防安全和河势稳定活动。</w:t>
                  </w:r>
                </w:p>
                <w:p w14:paraId="2EAAE8F0" w14:textId="77777777" w:rsidR="00F76A63" w:rsidRDefault="00000000">
                  <w:pPr>
                    <w:autoSpaceDE w:val="0"/>
                    <w:autoSpaceDN w:val="0"/>
                    <w:adjustRightInd w:val="0"/>
                    <w:snapToGrid w:val="0"/>
                    <w:jc w:val="center"/>
                    <w:rPr>
                      <w:szCs w:val="21"/>
                    </w:rPr>
                  </w:pPr>
                  <w:r>
                    <w:rPr>
                      <w:szCs w:val="21"/>
                    </w:rPr>
                    <w:t>（</w:t>
                  </w:r>
                  <w:r>
                    <w:rPr>
                      <w:szCs w:val="21"/>
                    </w:rPr>
                    <w:t>9</w:t>
                  </w:r>
                  <w:r>
                    <w:rPr>
                      <w:szCs w:val="21"/>
                    </w:rPr>
                    <w:t>）太湖流域开发建设活动：根据《江苏省太湖水污染防治条例》，可能发生水污染事故的企业事业单位，应当制定有关水污染事故的应急方案，做好应急准备，并定期进行演练。</w:t>
                  </w:r>
                </w:p>
                <w:p w14:paraId="6DB70D43" w14:textId="77777777" w:rsidR="00F76A63" w:rsidRDefault="00000000">
                  <w:pPr>
                    <w:autoSpaceDE w:val="0"/>
                    <w:autoSpaceDN w:val="0"/>
                    <w:adjustRightInd w:val="0"/>
                    <w:snapToGrid w:val="0"/>
                    <w:jc w:val="center"/>
                    <w:rPr>
                      <w:szCs w:val="21"/>
                    </w:rPr>
                  </w:pPr>
                  <w:r>
                    <w:rPr>
                      <w:szCs w:val="21"/>
                    </w:rPr>
                    <w:t>（</w:t>
                  </w:r>
                  <w:r>
                    <w:rPr>
                      <w:szCs w:val="21"/>
                    </w:rPr>
                    <w:t>9</w:t>
                  </w:r>
                  <w:r>
                    <w:rPr>
                      <w:szCs w:val="21"/>
                    </w:rPr>
                    <w:t>）防范尾矿库环境污染风险。根据《镇江市</w:t>
                  </w:r>
                  <w:r>
                    <w:rPr>
                      <w:szCs w:val="21"/>
                    </w:rPr>
                    <w:t>“</w:t>
                  </w:r>
                  <w:r>
                    <w:rPr>
                      <w:szCs w:val="21"/>
                    </w:rPr>
                    <w:t>十四五</w:t>
                  </w:r>
                  <w:r>
                    <w:rPr>
                      <w:szCs w:val="21"/>
                    </w:rPr>
                    <w:t>”</w:t>
                  </w:r>
                  <w:r>
                    <w:rPr>
                      <w:szCs w:val="21"/>
                    </w:rPr>
                    <w:t>生态环境保护规划》（镇政办发</w:t>
                  </w:r>
                  <w:r>
                    <w:rPr>
                      <w:szCs w:val="21"/>
                    </w:rPr>
                    <w:t>[2021]86</w:t>
                  </w:r>
                  <w:r>
                    <w:rPr>
                      <w:szCs w:val="21"/>
                    </w:rPr>
                    <w:t>号），加强全市尾矿库环境风险隐患排查治理，基本形成尾矿库安全风险监测预警机制。</w:t>
                  </w:r>
                </w:p>
              </w:tc>
              <w:tc>
                <w:tcPr>
                  <w:tcW w:w="1361" w:type="pct"/>
                  <w:vAlign w:val="center"/>
                </w:tcPr>
                <w:p w14:paraId="2284B306" w14:textId="77777777" w:rsidR="00F76A63" w:rsidRDefault="00000000">
                  <w:pPr>
                    <w:autoSpaceDE w:val="0"/>
                    <w:autoSpaceDN w:val="0"/>
                    <w:adjustRightInd w:val="0"/>
                    <w:snapToGrid w:val="0"/>
                    <w:jc w:val="center"/>
                    <w:rPr>
                      <w:szCs w:val="21"/>
                    </w:rPr>
                  </w:pPr>
                  <w:r>
                    <w:rPr>
                      <w:szCs w:val="21"/>
                    </w:rPr>
                    <w:lastRenderedPageBreak/>
                    <w:t>本项目建设单位已制定并落实各类事故风险防范措施，已编制突发环境事件应急预案并进行备案，并按要求储备应急物资</w:t>
                  </w:r>
                </w:p>
              </w:tc>
              <w:tc>
                <w:tcPr>
                  <w:tcW w:w="541" w:type="pct"/>
                  <w:vAlign w:val="center"/>
                </w:tcPr>
                <w:p w14:paraId="57D4A9CC" w14:textId="77777777" w:rsidR="00F76A63" w:rsidRDefault="00000000">
                  <w:pPr>
                    <w:autoSpaceDE w:val="0"/>
                    <w:autoSpaceDN w:val="0"/>
                    <w:adjustRightInd w:val="0"/>
                    <w:snapToGrid w:val="0"/>
                    <w:jc w:val="center"/>
                    <w:rPr>
                      <w:szCs w:val="21"/>
                    </w:rPr>
                  </w:pPr>
                  <w:r>
                    <w:rPr>
                      <w:szCs w:val="21"/>
                    </w:rPr>
                    <w:t>相符</w:t>
                  </w:r>
                </w:p>
              </w:tc>
            </w:tr>
            <w:tr w:rsidR="00F76A63" w14:paraId="57BA92F3" w14:textId="77777777">
              <w:trPr>
                <w:trHeight w:val="397"/>
                <w:jc w:val="center"/>
              </w:trPr>
              <w:tc>
                <w:tcPr>
                  <w:tcW w:w="372" w:type="pct"/>
                  <w:vAlign w:val="center"/>
                </w:tcPr>
                <w:p w14:paraId="79492F70" w14:textId="77777777" w:rsidR="00F76A63" w:rsidRDefault="00000000">
                  <w:pPr>
                    <w:autoSpaceDE w:val="0"/>
                    <w:autoSpaceDN w:val="0"/>
                    <w:adjustRightInd w:val="0"/>
                    <w:snapToGrid w:val="0"/>
                    <w:jc w:val="center"/>
                    <w:rPr>
                      <w:szCs w:val="21"/>
                    </w:rPr>
                  </w:pPr>
                  <w:r>
                    <w:rPr>
                      <w:szCs w:val="21"/>
                    </w:rPr>
                    <w:t>资源利用</w:t>
                  </w:r>
                  <w:r>
                    <w:rPr>
                      <w:szCs w:val="21"/>
                    </w:rPr>
                    <w:lastRenderedPageBreak/>
                    <w:t>效率要求</w:t>
                  </w:r>
                </w:p>
              </w:tc>
              <w:tc>
                <w:tcPr>
                  <w:tcW w:w="2726" w:type="pct"/>
                  <w:vAlign w:val="center"/>
                </w:tcPr>
                <w:p w14:paraId="07ADD79F" w14:textId="77777777" w:rsidR="00F76A63" w:rsidRDefault="00000000">
                  <w:pPr>
                    <w:autoSpaceDE w:val="0"/>
                    <w:autoSpaceDN w:val="0"/>
                    <w:adjustRightInd w:val="0"/>
                    <w:snapToGrid w:val="0"/>
                    <w:jc w:val="center"/>
                    <w:rPr>
                      <w:szCs w:val="21"/>
                    </w:rPr>
                  </w:pPr>
                  <w:r>
                    <w:rPr>
                      <w:szCs w:val="21"/>
                    </w:rPr>
                    <w:lastRenderedPageBreak/>
                    <w:t>（</w:t>
                  </w:r>
                  <w:r>
                    <w:rPr>
                      <w:szCs w:val="21"/>
                    </w:rPr>
                    <w:t>1</w:t>
                  </w:r>
                  <w:r>
                    <w:rPr>
                      <w:szCs w:val="21"/>
                    </w:rPr>
                    <w:t>）根据镇江市水利局《关于印发全市可用水量指标的通知》（</w:t>
                  </w:r>
                  <w:r>
                    <w:rPr>
                      <w:szCs w:val="21"/>
                    </w:rPr>
                    <w:t>2021</w:t>
                  </w:r>
                  <w:r>
                    <w:rPr>
                      <w:szCs w:val="21"/>
                    </w:rPr>
                    <w:t>年</w:t>
                  </w:r>
                  <w:r>
                    <w:rPr>
                      <w:szCs w:val="21"/>
                    </w:rPr>
                    <w:t>10</w:t>
                  </w:r>
                  <w:r>
                    <w:rPr>
                      <w:szCs w:val="21"/>
                    </w:rPr>
                    <w:t>月</w:t>
                  </w:r>
                  <w:r>
                    <w:rPr>
                      <w:szCs w:val="21"/>
                    </w:rPr>
                    <w:t>14</w:t>
                  </w:r>
                  <w:r>
                    <w:rPr>
                      <w:szCs w:val="21"/>
                    </w:rPr>
                    <w:t>日），</w:t>
                  </w:r>
                  <w:r>
                    <w:rPr>
                      <w:szCs w:val="21"/>
                    </w:rPr>
                    <w:t>2025</w:t>
                  </w:r>
                  <w:r>
                    <w:rPr>
                      <w:szCs w:val="21"/>
                    </w:rPr>
                    <w:lastRenderedPageBreak/>
                    <w:t>年镇江市用水总量不得超过</w:t>
                  </w:r>
                  <w:r>
                    <w:rPr>
                      <w:szCs w:val="21"/>
                    </w:rPr>
                    <w:t>34.22</w:t>
                  </w:r>
                  <w:r>
                    <w:rPr>
                      <w:szCs w:val="21"/>
                    </w:rPr>
                    <w:t>亿立方米。</w:t>
                  </w:r>
                </w:p>
                <w:p w14:paraId="3335B306" w14:textId="77777777" w:rsidR="00F76A63" w:rsidRDefault="00000000">
                  <w:pPr>
                    <w:autoSpaceDE w:val="0"/>
                    <w:autoSpaceDN w:val="0"/>
                    <w:adjustRightInd w:val="0"/>
                    <w:snapToGrid w:val="0"/>
                    <w:jc w:val="center"/>
                    <w:rPr>
                      <w:szCs w:val="21"/>
                    </w:rPr>
                  </w:pPr>
                  <w:r>
                    <w:rPr>
                      <w:szCs w:val="21"/>
                    </w:rPr>
                    <w:t>（</w:t>
                  </w:r>
                  <w:r>
                    <w:rPr>
                      <w:szCs w:val="21"/>
                    </w:rPr>
                    <w:t>2</w:t>
                  </w:r>
                  <w:r>
                    <w:rPr>
                      <w:szCs w:val="21"/>
                    </w:rPr>
                    <w:t>）根据《镇江市国土空间总体规划（</w:t>
                  </w:r>
                  <w:r>
                    <w:rPr>
                      <w:szCs w:val="21"/>
                    </w:rPr>
                    <w:t>2021-2035</w:t>
                  </w:r>
                  <w:r>
                    <w:rPr>
                      <w:szCs w:val="21"/>
                    </w:rPr>
                    <w:t>年）》，</w:t>
                  </w:r>
                  <w:r>
                    <w:rPr>
                      <w:szCs w:val="21"/>
                    </w:rPr>
                    <w:t>2025</w:t>
                  </w:r>
                  <w:r>
                    <w:rPr>
                      <w:szCs w:val="21"/>
                    </w:rPr>
                    <w:t>年镇江市耕地保有量不得低于</w:t>
                  </w:r>
                  <w:r>
                    <w:rPr>
                      <w:szCs w:val="21"/>
                    </w:rPr>
                    <w:t>10.556667</w:t>
                  </w:r>
                  <w:r>
                    <w:rPr>
                      <w:szCs w:val="21"/>
                    </w:rPr>
                    <w:t>万公顷，基本农田保护面积不低于</w:t>
                  </w:r>
                  <w:r>
                    <w:rPr>
                      <w:szCs w:val="21"/>
                    </w:rPr>
                    <w:t>9.515533</w:t>
                  </w:r>
                  <w:r>
                    <w:rPr>
                      <w:szCs w:val="21"/>
                    </w:rPr>
                    <w:t>万公顷。</w:t>
                  </w:r>
                </w:p>
                <w:p w14:paraId="2E21B2DD" w14:textId="77777777" w:rsidR="00F76A63" w:rsidRDefault="00000000">
                  <w:pPr>
                    <w:autoSpaceDE w:val="0"/>
                    <w:autoSpaceDN w:val="0"/>
                    <w:adjustRightInd w:val="0"/>
                    <w:snapToGrid w:val="0"/>
                    <w:jc w:val="center"/>
                    <w:rPr>
                      <w:szCs w:val="21"/>
                    </w:rPr>
                  </w:pPr>
                  <w:r>
                    <w:rPr>
                      <w:szCs w:val="21"/>
                    </w:rPr>
                    <w:t>（</w:t>
                  </w:r>
                  <w:r>
                    <w:rPr>
                      <w:szCs w:val="21"/>
                    </w:rPr>
                    <w:t>3</w:t>
                  </w:r>
                  <w:r>
                    <w:rPr>
                      <w:szCs w:val="21"/>
                    </w:rPr>
                    <w:t>）根据《镇江市</w:t>
                  </w:r>
                  <w:r>
                    <w:rPr>
                      <w:szCs w:val="21"/>
                    </w:rPr>
                    <w:t>“</w:t>
                  </w:r>
                  <w:r>
                    <w:rPr>
                      <w:szCs w:val="21"/>
                    </w:rPr>
                    <w:t>十四五</w:t>
                  </w:r>
                  <w:r>
                    <w:rPr>
                      <w:szCs w:val="21"/>
                    </w:rPr>
                    <w:t>”</w:t>
                  </w:r>
                  <w:r>
                    <w:rPr>
                      <w:szCs w:val="21"/>
                    </w:rPr>
                    <w:t>能源发展规划》（镇政办发</w:t>
                  </w:r>
                  <w:r>
                    <w:rPr>
                      <w:szCs w:val="21"/>
                    </w:rPr>
                    <w:t>[2022]30</w:t>
                  </w:r>
                  <w:r>
                    <w:rPr>
                      <w:szCs w:val="21"/>
                    </w:rPr>
                    <w:t>号），到</w:t>
                  </w:r>
                  <w:r>
                    <w:rPr>
                      <w:szCs w:val="21"/>
                    </w:rPr>
                    <w:t>2025</w:t>
                  </w:r>
                  <w:r>
                    <w:rPr>
                      <w:szCs w:val="21"/>
                    </w:rPr>
                    <w:t>年，全市非电行业煤炭消费量控制在</w:t>
                  </w:r>
                  <w:r>
                    <w:rPr>
                      <w:szCs w:val="21"/>
                    </w:rPr>
                    <w:t>370</w:t>
                  </w:r>
                  <w:r>
                    <w:rPr>
                      <w:szCs w:val="21"/>
                    </w:rPr>
                    <w:t>万吨实物量左右；天然气消费量达到</w:t>
                  </w:r>
                  <w:r>
                    <w:rPr>
                      <w:szCs w:val="21"/>
                    </w:rPr>
                    <w:t>15</w:t>
                  </w:r>
                  <w:r>
                    <w:rPr>
                      <w:szCs w:val="21"/>
                    </w:rPr>
                    <w:t>亿立方，占能源消费总量比重达到</w:t>
                  </w:r>
                  <w:r>
                    <w:rPr>
                      <w:szCs w:val="21"/>
                    </w:rPr>
                    <w:t>11.9%</w:t>
                  </w:r>
                  <w:r>
                    <w:rPr>
                      <w:szCs w:val="21"/>
                    </w:rPr>
                    <w:t>。</w:t>
                  </w:r>
                </w:p>
                <w:p w14:paraId="5DD79F47" w14:textId="77777777" w:rsidR="00F76A63" w:rsidRDefault="00000000">
                  <w:pPr>
                    <w:autoSpaceDE w:val="0"/>
                    <w:autoSpaceDN w:val="0"/>
                    <w:adjustRightInd w:val="0"/>
                    <w:snapToGrid w:val="0"/>
                    <w:jc w:val="center"/>
                    <w:rPr>
                      <w:szCs w:val="21"/>
                    </w:rPr>
                  </w:pPr>
                  <w:r>
                    <w:rPr>
                      <w:szCs w:val="21"/>
                    </w:rPr>
                    <w:t>（</w:t>
                  </w:r>
                  <w:r>
                    <w:rPr>
                      <w:szCs w:val="21"/>
                    </w:rPr>
                    <w:t>4</w:t>
                  </w:r>
                  <w:r>
                    <w:rPr>
                      <w:szCs w:val="21"/>
                    </w:rPr>
                    <w:t>）根据《江苏省大气污染防治条例》，禁燃区禁止新建、扩建燃用高污染燃料的项目和设施，已建成的应逐步或依法限期改用天然气、电或者其他清洁能源。</w:t>
                  </w:r>
                </w:p>
                <w:p w14:paraId="34063C36" w14:textId="77777777" w:rsidR="00F76A63" w:rsidRDefault="00000000">
                  <w:pPr>
                    <w:autoSpaceDE w:val="0"/>
                    <w:autoSpaceDN w:val="0"/>
                    <w:adjustRightInd w:val="0"/>
                    <w:snapToGrid w:val="0"/>
                    <w:jc w:val="center"/>
                    <w:rPr>
                      <w:szCs w:val="21"/>
                    </w:rPr>
                  </w:pPr>
                  <w:r>
                    <w:rPr>
                      <w:szCs w:val="21"/>
                    </w:rPr>
                    <w:t>（</w:t>
                  </w:r>
                  <w:r>
                    <w:rPr>
                      <w:szCs w:val="21"/>
                    </w:rPr>
                    <w:t>5</w:t>
                  </w:r>
                  <w:r>
                    <w:rPr>
                      <w:szCs w:val="21"/>
                    </w:rPr>
                    <w:t>）根据《镇江市长江岸线保护规划（</w:t>
                  </w:r>
                  <w:r>
                    <w:rPr>
                      <w:szCs w:val="21"/>
                    </w:rPr>
                    <w:t>2018-2035</w:t>
                  </w:r>
                  <w:r>
                    <w:rPr>
                      <w:szCs w:val="21"/>
                    </w:rPr>
                    <w:t>）》，</w:t>
                  </w:r>
                  <w:r>
                    <w:rPr>
                      <w:szCs w:val="21"/>
                    </w:rPr>
                    <w:t>2025</w:t>
                  </w:r>
                  <w:r>
                    <w:rPr>
                      <w:szCs w:val="21"/>
                    </w:rPr>
                    <w:t>年自然岸线保有率保持稳定，持续提高岸线资源集约效率，长江生态环境质量进一步改善。</w:t>
                  </w:r>
                </w:p>
              </w:tc>
              <w:tc>
                <w:tcPr>
                  <w:tcW w:w="1361" w:type="pct"/>
                  <w:vAlign w:val="center"/>
                </w:tcPr>
                <w:p w14:paraId="6E40C027" w14:textId="77777777" w:rsidR="00F76A63" w:rsidRDefault="00000000">
                  <w:pPr>
                    <w:autoSpaceDE w:val="0"/>
                    <w:autoSpaceDN w:val="0"/>
                    <w:adjustRightInd w:val="0"/>
                    <w:snapToGrid w:val="0"/>
                    <w:jc w:val="center"/>
                    <w:rPr>
                      <w:szCs w:val="21"/>
                    </w:rPr>
                  </w:pPr>
                  <w:r>
                    <w:rPr>
                      <w:szCs w:val="21"/>
                    </w:rPr>
                    <w:lastRenderedPageBreak/>
                    <w:t>本项目位于</w:t>
                  </w:r>
                  <w:r>
                    <w:rPr>
                      <w:rFonts w:hint="eastAsia"/>
                      <w:szCs w:val="21"/>
                    </w:rPr>
                    <w:t>句容台泥</w:t>
                  </w:r>
                  <w:r>
                    <w:rPr>
                      <w:szCs w:val="21"/>
                    </w:rPr>
                    <w:t>公司现有厂区内，不</w:t>
                  </w:r>
                  <w:r>
                    <w:rPr>
                      <w:szCs w:val="21"/>
                    </w:rPr>
                    <w:lastRenderedPageBreak/>
                    <w:t>新增用地，使用能源为电能。</w:t>
                  </w:r>
                </w:p>
              </w:tc>
              <w:tc>
                <w:tcPr>
                  <w:tcW w:w="541" w:type="pct"/>
                  <w:vAlign w:val="center"/>
                </w:tcPr>
                <w:p w14:paraId="45187E85" w14:textId="77777777" w:rsidR="00F76A63" w:rsidRDefault="00000000">
                  <w:pPr>
                    <w:autoSpaceDE w:val="0"/>
                    <w:autoSpaceDN w:val="0"/>
                    <w:adjustRightInd w:val="0"/>
                    <w:snapToGrid w:val="0"/>
                    <w:jc w:val="center"/>
                    <w:rPr>
                      <w:szCs w:val="21"/>
                    </w:rPr>
                  </w:pPr>
                  <w:r>
                    <w:rPr>
                      <w:szCs w:val="21"/>
                    </w:rPr>
                    <w:lastRenderedPageBreak/>
                    <w:t>相符</w:t>
                  </w:r>
                </w:p>
              </w:tc>
            </w:tr>
            <w:tr w:rsidR="00F76A63" w14:paraId="5BB42B48" w14:textId="77777777">
              <w:trPr>
                <w:trHeight w:val="397"/>
                <w:jc w:val="center"/>
              </w:trPr>
              <w:tc>
                <w:tcPr>
                  <w:tcW w:w="5000" w:type="pct"/>
                  <w:gridSpan w:val="4"/>
                  <w:vAlign w:val="center"/>
                </w:tcPr>
                <w:p w14:paraId="2BA45DEE" w14:textId="77777777" w:rsidR="00F76A63" w:rsidRDefault="00000000">
                  <w:pPr>
                    <w:autoSpaceDE w:val="0"/>
                    <w:autoSpaceDN w:val="0"/>
                    <w:adjustRightInd w:val="0"/>
                    <w:snapToGrid w:val="0"/>
                    <w:jc w:val="center"/>
                    <w:rPr>
                      <w:b/>
                      <w:bCs/>
                      <w:szCs w:val="21"/>
                    </w:rPr>
                  </w:pPr>
                  <w:r>
                    <w:rPr>
                      <w:b/>
                      <w:bCs/>
                      <w:szCs w:val="21"/>
                    </w:rPr>
                    <w:t>句容下蜀高新技术产业园</w:t>
                  </w:r>
                </w:p>
              </w:tc>
            </w:tr>
            <w:tr w:rsidR="00F76A63" w14:paraId="399C967E" w14:textId="77777777">
              <w:trPr>
                <w:trHeight w:val="397"/>
                <w:jc w:val="center"/>
              </w:trPr>
              <w:tc>
                <w:tcPr>
                  <w:tcW w:w="372" w:type="pct"/>
                  <w:vAlign w:val="center"/>
                </w:tcPr>
                <w:p w14:paraId="29ED4F5C" w14:textId="77777777" w:rsidR="00F76A63" w:rsidRDefault="00000000">
                  <w:pPr>
                    <w:autoSpaceDE w:val="0"/>
                    <w:autoSpaceDN w:val="0"/>
                    <w:adjustRightInd w:val="0"/>
                    <w:snapToGrid w:val="0"/>
                    <w:jc w:val="center"/>
                    <w:rPr>
                      <w:szCs w:val="21"/>
                    </w:rPr>
                  </w:pPr>
                  <w:r>
                    <w:rPr>
                      <w:szCs w:val="21"/>
                    </w:rPr>
                    <w:t>空间布局约束</w:t>
                  </w:r>
                </w:p>
              </w:tc>
              <w:tc>
                <w:tcPr>
                  <w:tcW w:w="2726" w:type="pct"/>
                  <w:vAlign w:val="center"/>
                </w:tcPr>
                <w:p w14:paraId="100A4CF9" w14:textId="77777777" w:rsidR="00F76A63" w:rsidRDefault="00000000">
                  <w:pPr>
                    <w:autoSpaceDE w:val="0"/>
                    <w:autoSpaceDN w:val="0"/>
                    <w:adjustRightInd w:val="0"/>
                    <w:snapToGrid w:val="0"/>
                    <w:jc w:val="center"/>
                    <w:rPr>
                      <w:szCs w:val="21"/>
                    </w:rPr>
                  </w:pPr>
                  <w:r>
                    <w:rPr>
                      <w:szCs w:val="21"/>
                    </w:rPr>
                    <w:t>（</w:t>
                  </w:r>
                  <w:r>
                    <w:rPr>
                      <w:szCs w:val="21"/>
                    </w:rPr>
                    <w:t>1</w:t>
                  </w:r>
                  <w:r>
                    <w:rPr>
                      <w:szCs w:val="21"/>
                    </w:rPr>
                    <w:t>）各类开发建设活动应符合国土空间规划和环境保护相关法定规划等管理要求。</w:t>
                  </w:r>
                </w:p>
                <w:p w14:paraId="7637AA0C" w14:textId="77777777" w:rsidR="00F76A63" w:rsidRDefault="00000000">
                  <w:pPr>
                    <w:autoSpaceDE w:val="0"/>
                    <w:autoSpaceDN w:val="0"/>
                    <w:adjustRightInd w:val="0"/>
                    <w:snapToGrid w:val="0"/>
                    <w:jc w:val="center"/>
                    <w:rPr>
                      <w:szCs w:val="21"/>
                    </w:rPr>
                  </w:pPr>
                  <w:r>
                    <w:rPr>
                      <w:szCs w:val="21"/>
                    </w:rPr>
                    <w:t>（</w:t>
                  </w:r>
                  <w:r>
                    <w:rPr>
                      <w:szCs w:val="21"/>
                    </w:rPr>
                    <w:t>2</w:t>
                  </w:r>
                  <w:r>
                    <w:rPr>
                      <w:szCs w:val="21"/>
                    </w:rPr>
                    <w:t>）优化产业布局和结构，执行《镇江市产业结构调整指导目录（</w:t>
                  </w:r>
                  <w:r>
                    <w:rPr>
                      <w:szCs w:val="21"/>
                    </w:rPr>
                    <w:t>2019</w:t>
                  </w:r>
                  <w:r>
                    <w:rPr>
                      <w:szCs w:val="21"/>
                    </w:rPr>
                    <w:t>年）》中限制类、淘汰类、禁止类产业要求；执行《句容市引导不再承接产业目录（</w:t>
                  </w:r>
                  <w:r>
                    <w:rPr>
                      <w:szCs w:val="21"/>
                    </w:rPr>
                    <w:t>2019</w:t>
                  </w:r>
                  <w:r>
                    <w:rPr>
                      <w:szCs w:val="21"/>
                    </w:rPr>
                    <w:t>年版）》的行业准入要求。</w:t>
                  </w:r>
                </w:p>
                <w:p w14:paraId="50837409" w14:textId="77777777" w:rsidR="00F76A63" w:rsidRDefault="00000000">
                  <w:pPr>
                    <w:autoSpaceDE w:val="0"/>
                    <w:autoSpaceDN w:val="0"/>
                    <w:adjustRightInd w:val="0"/>
                    <w:snapToGrid w:val="0"/>
                    <w:jc w:val="center"/>
                    <w:rPr>
                      <w:szCs w:val="21"/>
                    </w:rPr>
                  </w:pPr>
                  <w:r>
                    <w:rPr>
                      <w:szCs w:val="21"/>
                    </w:rPr>
                    <w:t>（</w:t>
                  </w:r>
                  <w:r>
                    <w:rPr>
                      <w:szCs w:val="21"/>
                    </w:rPr>
                    <w:t>3</w:t>
                  </w:r>
                  <w:r>
                    <w:rPr>
                      <w:szCs w:val="21"/>
                    </w:rPr>
                    <w:t>）涉及长江岸线利用项目，符合《镇江市长江岸线资源保护条例》等相关要求。</w:t>
                  </w:r>
                </w:p>
                <w:p w14:paraId="5E0769D7" w14:textId="77777777" w:rsidR="00F76A63" w:rsidRDefault="00000000">
                  <w:pPr>
                    <w:autoSpaceDE w:val="0"/>
                    <w:autoSpaceDN w:val="0"/>
                    <w:adjustRightInd w:val="0"/>
                    <w:snapToGrid w:val="0"/>
                    <w:jc w:val="center"/>
                    <w:rPr>
                      <w:szCs w:val="21"/>
                    </w:rPr>
                  </w:pPr>
                  <w:r>
                    <w:rPr>
                      <w:szCs w:val="21"/>
                    </w:rPr>
                    <w:t>（</w:t>
                  </w:r>
                  <w:r>
                    <w:rPr>
                      <w:szCs w:val="21"/>
                    </w:rPr>
                    <w:t>4</w:t>
                  </w:r>
                  <w:r>
                    <w:rPr>
                      <w:szCs w:val="21"/>
                    </w:rPr>
                    <w:t>）位于太湖流域建设项目，符合《江苏省太湖水污染防治条例》要求的项目。</w:t>
                  </w:r>
                </w:p>
                <w:p w14:paraId="5D743E83" w14:textId="77777777" w:rsidR="00F76A63" w:rsidRDefault="00000000">
                  <w:pPr>
                    <w:autoSpaceDE w:val="0"/>
                    <w:autoSpaceDN w:val="0"/>
                    <w:adjustRightInd w:val="0"/>
                    <w:snapToGrid w:val="0"/>
                    <w:jc w:val="center"/>
                    <w:rPr>
                      <w:szCs w:val="21"/>
                    </w:rPr>
                  </w:pPr>
                  <w:r>
                    <w:rPr>
                      <w:szCs w:val="21"/>
                    </w:rPr>
                    <w:t>（</w:t>
                  </w:r>
                  <w:r>
                    <w:rPr>
                      <w:szCs w:val="21"/>
                    </w:rPr>
                    <w:t>5</w:t>
                  </w:r>
                  <w:r>
                    <w:rPr>
                      <w:szCs w:val="21"/>
                    </w:rPr>
                    <w:t>）编制规划和规划环评的产业园区执行规划和规划环评及其审查意见相关要求。</w:t>
                  </w:r>
                </w:p>
              </w:tc>
              <w:tc>
                <w:tcPr>
                  <w:tcW w:w="1361" w:type="pct"/>
                  <w:vAlign w:val="center"/>
                </w:tcPr>
                <w:p w14:paraId="4F8F0686" w14:textId="77777777" w:rsidR="00F76A63" w:rsidRDefault="00000000">
                  <w:pPr>
                    <w:autoSpaceDE w:val="0"/>
                    <w:autoSpaceDN w:val="0"/>
                    <w:adjustRightInd w:val="0"/>
                    <w:snapToGrid w:val="0"/>
                    <w:jc w:val="center"/>
                    <w:rPr>
                      <w:szCs w:val="21"/>
                    </w:rPr>
                  </w:pPr>
                  <w:r>
                    <w:rPr>
                      <w:szCs w:val="21"/>
                    </w:rPr>
                    <w:t>（</w:t>
                  </w:r>
                  <w:r>
                    <w:rPr>
                      <w:szCs w:val="21"/>
                    </w:rPr>
                    <w:t>1</w:t>
                  </w:r>
                  <w:r>
                    <w:rPr>
                      <w:szCs w:val="21"/>
                    </w:rPr>
                    <w:t>）本项目所在地为工业用地，符合国土空间规划和环境保护相关法定规划。</w:t>
                  </w:r>
                </w:p>
                <w:p w14:paraId="3CFA21D7" w14:textId="77777777" w:rsidR="00F76A63" w:rsidRDefault="00000000">
                  <w:pPr>
                    <w:autoSpaceDE w:val="0"/>
                    <w:autoSpaceDN w:val="0"/>
                    <w:adjustRightInd w:val="0"/>
                    <w:snapToGrid w:val="0"/>
                    <w:jc w:val="center"/>
                    <w:rPr>
                      <w:szCs w:val="21"/>
                    </w:rPr>
                  </w:pPr>
                  <w:r>
                    <w:rPr>
                      <w:szCs w:val="21"/>
                    </w:rPr>
                    <w:t>（</w:t>
                  </w:r>
                  <w:r>
                    <w:rPr>
                      <w:szCs w:val="21"/>
                    </w:rPr>
                    <w:t>2</w:t>
                  </w:r>
                  <w:r>
                    <w:rPr>
                      <w:szCs w:val="21"/>
                    </w:rPr>
                    <w:t>）本项目属于《产业结构调整指导目录（</w:t>
                  </w:r>
                  <w:r>
                    <w:rPr>
                      <w:szCs w:val="21"/>
                    </w:rPr>
                    <w:t>2024</w:t>
                  </w:r>
                  <w:r>
                    <w:rPr>
                      <w:szCs w:val="21"/>
                    </w:rPr>
                    <w:t>年本）》中鼓励类项目。</w:t>
                  </w:r>
                </w:p>
                <w:p w14:paraId="62F102CE" w14:textId="77777777" w:rsidR="00F76A63" w:rsidRDefault="00000000">
                  <w:pPr>
                    <w:autoSpaceDE w:val="0"/>
                    <w:autoSpaceDN w:val="0"/>
                    <w:adjustRightInd w:val="0"/>
                    <w:snapToGrid w:val="0"/>
                    <w:jc w:val="center"/>
                    <w:rPr>
                      <w:szCs w:val="21"/>
                    </w:rPr>
                  </w:pPr>
                  <w:r>
                    <w:rPr>
                      <w:szCs w:val="21"/>
                    </w:rPr>
                    <w:t>（</w:t>
                  </w:r>
                  <w:r>
                    <w:rPr>
                      <w:szCs w:val="21"/>
                    </w:rPr>
                    <w:t>3</w:t>
                  </w:r>
                  <w:r>
                    <w:rPr>
                      <w:szCs w:val="21"/>
                    </w:rPr>
                    <w:t>）本项目不涉及长江岸线利用项目。</w:t>
                  </w:r>
                </w:p>
                <w:p w14:paraId="53058089" w14:textId="77777777" w:rsidR="00F76A63" w:rsidRDefault="00000000">
                  <w:pPr>
                    <w:autoSpaceDE w:val="0"/>
                    <w:autoSpaceDN w:val="0"/>
                    <w:adjustRightInd w:val="0"/>
                    <w:snapToGrid w:val="0"/>
                    <w:jc w:val="center"/>
                    <w:rPr>
                      <w:szCs w:val="21"/>
                    </w:rPr>
                  </w:pPr>
                  <w:r>
                    <w:rPr>
                      <w:szCs w:val="21"/>
                    </w:rPr>
                    <w:t>（</w:t>
                  </w:r>
                  <w:r>
                    <w:rPr>
                      <w:szCs w:val="21"/>
                    </w:rPr>
                    <w:t>4</w:t>
                  </w:r>
                  <w:r>
                    <w:rPr>
                      <w:szCs w:val="21"/>
                    </w:rPr>
                    <w:t>）本项目地址为句容下蜀高新技术产业园，不位于太湖流域。</w:t>
                  </w:r>
                </w:p>
                <w:p w14:paraId="1520F099" w14:textId="77777777" w:rsidR="00F76A63" w:rsidRDefault="00000000">
                  <w:pPr>
                    <w:autoSpaceDE w:val="0"/>
                    <w:autoSpaceDN w:val="0"/>
                    <w:adjustRightInd w:val="0"/>
                    <w:snapToGrid w:val="0"/>
                    <w:jc w:val="center"/>
                    <w:rPr>
                      <w:szCs w:val="21"/>
                    </w:rPr>
                  </w:pPr>
                  <w:r>
                    <w:rPr>
                      <w:szCs w:val="21"/>
                    </w:rPr>
                    <w:t>（</w:t>
                  </w:r>
                  <w:r>
                    <w:rPr>
                      <w:szCs w:val="21"/>
                    </w:rPr>
                    <w:t>5</w:t>
                  </w:r>
                  <w:r>
                    <w:rPr>
                      <w:szCs w:val="21"/>
                    </w:rPr>
                    <w:t>）本项目符合规划和规划环评及其审查意见相关要求。</w:t>
                  </w:r>
                </w:p>
              </w:tc>
              <w:tc>
                <w:tcPr>
                  <w:tcW w:w="541" w:type="pct"/>
                  <w:vAlign w:val="center"/>
                </w:tcPr>
                <w:p w14:paraId="2BBAD57B" w14:textId="77777777" w:rsidR="00F76A63" w:rsidRDefault="00000000">
                  <w:pPr>
                    <w:autoSpaceDE w:val="0"/>
                    <w:autoSpaceDN w:val="0"/>
                    <w:adjustRightInd w:val="0"/>
                    <w:snapToGrid w:val="0"/>
                    <w:jc w:val="center"/>
                    <w:rPr>
                      <w:szCs w:val="21"/>
                    </w:rPr>
                  </w:pPr>
                  <w:r>
                    <w:rPr>
                      <w:szCs w:val="21"/>
                    </w:rPr>
                    <w:t>相符</w:t>
                  </w:r>
                </w:p>
              </w:tc>
            </w:tr>
            <w:tr w:rsidR="00F76A63" w14:paraId="2980EBD3" w14:textId="77777777">
              <w:trPr>
                <w:trHeight w:val="397"/>
                <w:jc w:val="center"/>
              </w:trPr>
              <w:tc>
                <w:tcPr>
                  <w:tcW w:w="372" w:type="pct"/>
                  <w:vAlign w:val="center"/>
                </w:tcPr>
                <w:p w14:paraId="47462C33" w14:textId="77777777" w:rsidR="00F76A63" w:rsidRDefault="00000000">
                  <w:pPr>
                    <w:autoSpaceDE w:val="0"/>
                    <w:autoSpaceDN w:val="0"/>
                    <w:adjustRightInd w:val="0"/>
                    <w:snapToGrid w:val="0"/>
                    <w:jc w:val="center"/>
                    <w:rPr>
                      <w:szCs w:val="21"/>
                    </w:rPr>
                  </w:pPr>
                  <w:r>
                    <w:rPr>
                      <w:szCs w:val="21"/>
                    </w:rPr>
                    <w:t>污染物排放管控</w:t>
                  </w:r>
                </w:p>
              </w:tc>
              <w:tc>
                <w:tcPr>
                  <w:tcW w:w="2726" w:type="pct"/>
                  <w:vAlign w:val="center"/>
                </w:tcPr>
                <w:p w14:paraId="6A1A84DB" w14:textId="77777777" w:rsidR="00F76A63" w:rsidRDefault="00000000">
                  <w:pPr>
                    <w:autoSpaceDE w:val="0"/>
                    <w:autoSpaceDN w:val="0"/>
                    <w:adjustRightInd w:val="0"/>
                    <w:snapToGrid w:val="0"/>
                    <w:jc w:val="center"/>
                    <w:rPr>
                      <w:szCs w:val="21"/>
                    </w:rPr>
                  </w:pPr>
                  <w:r>
                    <w:rPr>
                      <w:szCs w:val="21"/>
                    </w:rPr>
                    <w:t>严格落实污染物排放总量控制制度，按照园区主要污染物排放总量指标，落实相关要求；入园项目，需取得主要污染物排放总量指标。</w:t>
                  </w:r>
                </w:p>
              </w:tc>
              <w:tc>
                <w:tcPr>
                  <w:tcW w:w="1361" w:type="pct"/>
                  <w:vAlign w:val="center"/>
                </w:tcPr>
                <w:p w14:paraId="1667A7B8" w14:textId="77777777" w:rsidR="00F76A63" w:rsidRDefault="00000000">
                  <w:pPr>
                    <w:autoSpaceDE w:val="0"/>
                    <w:autoSpaceDN w:val="0"/>
                    <w:adjustRightInd w:val="0"/>
                    <w:snapToGrid w:val="0"/>
                    <w:jc w:val="center"/>
                    <w:rPr>
                      <w:szCs w:val="21"/>
                    </w:rPr>
                  </w:pPr>
                  <w:r>
                    <w:rPr>
                      <w:szCs w:val="21"/>
                    </w:rPr>
                    <w:t>本项目无废水排放，现有项目废水总量在接管污水厂内平衡；项目废气主要污染物排放总量在</w:t>
                  </w:r>
                  <w:r>
                    <w:rPr>
                      <w:rFonts w:hint="eastAsia"/>
                      <w:szCs w:val="21"/>
                    </w:rPr>
                    <w:t>厂</w:t>
                  </w:r>
                  <w:r>
                    <w:rPr>
                      <w:szCs w:val="21"/>
                    </w:rPr>
                    <w:t>内平衡，无需申请总量，符合管控要求。</w:t>
                  </w:r>
                </w:p>
              </w:tc>
              <w:tc>
                <w:tcPr>
                  <w:tcW w:w="541" w:type="pct"/>
                  <w:vAlign w:val="center"/>
                </w:tcPr>
                <w:p w14:paraId="2199EF60" w14:textId="77777777" w:rsidR="00F76A63" w:rsidRDefault="00000000">
                  <w:pPr>
                    <w:autoSpaceDE w:val="0"/>
                    <w:autoSpaceDN w:val="0"/>
                    <w:adjustRightInd w:val="0"/>
                    <w:snapToGrid w:val="0"/>
                    <w:jc w:val="center"/>
                    <w:rPr>
                      <w:szCs w:val="21"/>
                    </w:rPr>
                  </w:pPr>
                  <w:r>
                    <w:rPr>
                      <w:szCs w:val="21"/>
                    </w:rPr>
                    <w:t>相符</w:t>
                  </w:r>
                </w:p>
              </w:tc>
            </w:tr>
            <w:tr w:rsidR="00F76A63" w14:paraId="4871B722" w14:textId="77777777">
              <w:trPr>
                <w:trHeight w:val="397"/>
                <w:jc w:val="center"/>
              </w:trPr>
              <w:tc>
                <w:tcPr>
                  <w:tcW w:w="372" w:type="pct"/>
                  <w:vAlign w:val="center"/>
                </w:tcPr>
                <w:p w14:paraId="51E3CF19" w14:textId="77777777" w:rsidR="00F76A63" w:rsidRDefault="00000000">
                  <w:pPr>
                    <w:autoSpaceDE w:val="0"/>
                    <w:autoSpaceDN w:val="0"/>
                    <w:adjustRightInd w:val="0"/>
                    <w:snapToGrid w:val="0"/>
                    <w:jc w:val="center"/>
                    <w:rPr>
                      <w:szCs w:val="21"/>
                    </w:rPr>
                  </w:pPr>
                  <w:r>
                    <w:rPr>
                      <w:szCs w:val="21"/>
                    </w:rPr>
                    <w:t>环境风险防控</w:t>
                  </w:r>
                </w:p>
              </w:tc>
              <w:tc>
                <w:tcPr>
                  <w:tcW w:w="2726" w:type="pct"/>
                  <w:vAlign w:val="center"/>
                </w:tcPr>
                <w:p w14:paraId="2B8CDCEE" w14:textId="77777777" w:rsidR="00F76A63" w:rsidRDefault="00000000">
                  <w:pPr>
                    <w:autoSpaceDE w:val="0"/>
                    <w:autoSpaceDN w:val="0"/>
                    <w:adjustRightInd w:val="0"/>
                    <w:snapToGrid w:val="0"/>
                    <w:jc w:val="center"/>
                    <w:rPr>
                      <w:szCs w:val="21"/>
                    </w:rPr>
                  </w:pPr>
                  <w:r>
                    <w:rPr>
                      <w:szCs w:val="21"/>
                    </w:rPr>
                    <w:t>（</w:t>
                  </w:r>
                  <w:r>
                    <w:rPr>
                      <w:szCs w:val="21"/>
                    </w:rPr>
                    <w:t>1</w:t>
                  </w:r>
                  <w:r>
                    <w:rPr>
                      <w:szCs w:val="21"/>
                    </w:rPr>
                    <w:t>）加强园区环境风险防范，各级园区（集聚区）、企业按需配备环境应急装备和储备物资。</w:t>
                  </w:r>
                </w:p>
                <w:p w14:paraId="5604710C" w14:textId="77777777" w:rsidR="00F76A63" w:rsidRDefault="00000000">
                  <w:pPr>
                    <w:autoSpaceDE w:val="0"/>
                    <w:autoSpaceDN w:val="0"/>
                    <w:adjustRightInd w:val="0"/>
                    <w:snapToGrid w:val="0"/>
                    <w:jc w:val="center"/>
                    <w:rPr>
                      <w:szCs w:val="21"/>
                    </w:rPr>
                  </w:pPr>
                  <w:r>
                    <w:rPr>
                      <w:szCs w:val="21"/>
                    </w:rPr>
                    <w:t>（</w:t>
                  </w:r>
                  <w:r>
                    <w:rPr>
                      <w:szCs w:val="21"/>
                    </w:rPr>
                    <w:t>2</w:t>
                  </w:r>
                  <w:r>
                    <w:rPr>
                      <w:szCs w:val="21"/>
                    </w:rPr>
                    <w:t>）已编制应急预案的园区，按照应急预案要求，配备相应的人员、物资，定期开展演</w:t>
                  </w:r>
                  <w:r>
                    <w:rPr>
                      <w:szCs w:val="21"/>
                    </w:rPr>
                    <w:lastRenderedPageBreak/>
                    <w:t>练。</w:t>
                  </w:r>
                </w:p>
              </w:tc>
              <w:tc>
                <w:tcPr>
                  <w:tcW w:w="1361" w:type="pct"/>
                  <w:vAlign w:val="center"/>
                </w:tcPr>
                <w:p w14:paraId="0371CA5B" w14:textId="77777777" w:rsidR="00F76A63" w:rsidRDefault="00000000">
                  <w:pPr>
                    <w:autoSpaceDE w:val="0"/>
                    <w:autoSpaceDN w:val="0"/>
                    <w:adjustRightInd w:val="0"/>
                    <w:snapToGrid w:val="0"/>
                    <w:jc w:val="center"/>
                    <w:rPr>
                      <w:szCs w:val="21"/>
                    </w:rPr>
                  </w:pPr>
                  <w:r>
                    <w:rPr>
                      <w:szCs w:val="21"/>
                    </w:rPr>
                    <w:lastRenderedPageBreak/>
                    <w:t>本项目建成后，企业将更新环境风险应急预案，并按需配备环境应急装备和储备物资。</w:t>
                  </w:r>
                </w:p>
              </w:tc>
              <w:tc>
                <w:tcPr>
                  <w:tcW w:w="541" w:type="pct"/>
                  <w:vAlign w:val="center"/>
                </w:tcPr>
                <w:p w14:paraId="3F6CB53D" w14:textId="77777777" w:rsidR="00F76A63" w:rsidRDefault="00000000">
                  <w:pPr>
                    <w:autoSpaceDE w:val="0"/>
                    <w:autoSpaceDN w:val="0"/>
                    <w:adjustRightInd w:val="0"/>
                    <w:snapToGrid w:val="0"/>
                    <w:jc w:val="center"/>
                    <w:rPr>
                      <w:szCs w:val="21"/>
                    </w:rPr>
                  </w:pPr>
                  <w:r>
                    <w:rPr>
                      <w:szCs w:val="21"/>
                    </w:rPr>
                    <w:t>相符</w:t>
                  </w:r>
                </w:p>
              </w:tc>
            </w:tr>
            <w:tr w:rsidR="00F76A63" w14:paraId="1F4FFCAB" w14:textId="77777777">
              <w:trPr>
                <w:trHeight w:val="397"/>
                <w:jc w:val="center"/>
              </w:trPr>
              <w:tc>
                <w:tcPr>
                  <w:tcW w:w="372" w:type="pct"/>
                  <w:vAlign w:val="center"/>
                </w:tcPr>
                <w:p w14:paraId="4D8B6240" w14:textId="77777777" w:rsidR="00F76A63" w:rsidRDefault="00000000">
                  <w:pPr>
                    <w:autoSpaceDE w:val="0"/>
                    <w:autoSpaceDN w:val="0"/>
                    <w:adjustRightInd w:val="0"/>
                    <w:snapToGrid w:val="0"/>
                    <w:jc w:val="center"/>
                    <w:rPr>
                      <w:szCs w:val="21"/>
                    </w:rPr>
                  </w:pPr>
                  <w:r>
                    <w:rPr>
                      <w:szCs w:val="21"/>
                    </w:rPr>
                    <w:t>资源利用效率要求</w:t>
                  </w:r>
                </w:p>
              </w:tc>
              <w:tc>
                <w:tcPr>
                  <w:tcW w:w="2726" w:type="pct"/>
                  <w:vAlign w:val="center"/>
                </w:tcPr>
                <w:p w14:paraId="7745155A" w14:textId="77777777" w:rsidR="00F76A63" w:rsidRDefault="00000000">
                  <w:pPr>
                    <w:autoSpaceDE w:val="0"/>
                    <w:autoSpaceDN w:val="0"/>
                    <w:adjustRightInd w:val="0"/>
                    <w:snapToGrid w:val="0"/>
                    <w:jc w:val="center"/>
                    <w:rPr>
                      <w:szCs w:val="21"/>
                    </w:rPr>
                  </w:pPr>
                  <w:r>
                    <w:rPr>
                      <w:szCs w:val="21"/>
                    </w:rPr>
                    <w:t>（</w:t>
                  </w:r>
                  <w:r>
                    <w:rPr>
                      <w:szCs w:val="21"/>
                    </w:rPr>
                    <w:t>1</w:t>
                  </w:r>
                  <w:r>
                    <w:rPr>
                      <w:szCs w:val="21"/>
                    </w:rPr>
                    <w:t>）根据《江苏省</w:t>
                  </w:r>
                  <w:r>
                    <w:rPr>
                      <w:szCs w:val="21"/>
                    </w:rPr>
                    <w:t>“</w:t>
                  </w:r>
                  <w:r>
                    <w:rPr>
                      <w:szCs w:val="21"/>
                    </w:rPr>
                    <w:t>两减六治三提升</w:t>
                  </w:r>
                  <w:r>
                    <w:rPr>
                      <w:szCs w:val="21"/>
                    </w:rPr>
                    <w:t>”</w:t>
                  </w:r>
                  <w:r>
                    <w:rPr>
                      <w:szCs w:val="21"/>
                    </w:rPr>
                    <w:t>专项行动实施方案》（苏政办发〔</w:t>
                  </w:r>
                  <w:r>
                    <w:rPr>
                      <w:szCs w:val="21"/>
                    </w:rPr>
                    <w:t>2017</w:t>
                  </w:r>
                  <w:r>
                    <w:rPr>
                      <w:szCs w:val="21"/>
                    </w:rPr>
                    <w:t>〕</w:t>
                  </w:r>
                  <w:r>
                    <w:rPr>
                      <w:szCs w:val="21"/>
                    </w:rPr>
                    <w:t>30</w:t>
                  </w:r>
                  <w:r>
                    <w:rPr>
                      <w:szCs w:val="21"/>
                    </w:rPr>
                    <w:t>号）要求：大力推广清洁能源，禁止建设分散燃煤小锅炉，严格执行禁燃区相关要求。</w:t>
                  </w:r>
                </w:p>
                <w:p w14:paraId="30511150" w14:textId="77777777" w:rsidR="00F76A63" w:rsidRDefault="00000000">
                  <w:pPr>
                    <w:autoSpaceDE w:val="0"/>
                    <w:autoSpaceDN w:val="0"/>
                    <w:adjustRightInd w:val="0"/>
                    <w:snapToGrid w:val="0"/>
                    <w:jc w:val="center"/>
                    <w:rPr>
                      <w:szCs w:val="21"/>
                    </w:rPr>
                  </w:pPr>
                  <w:r>
                    <w:rPr>
                      <w:szCs w:val="21"/>
                    </w:rPr>
                    <w:t>（</w:t>
                  </w:r>
                  <w:r>
                    <w:rPr>
                      <w:szCs w:val="21"/>
                    </w:rPr>
                    <w:t>2</w:t>
                  </w:r>
                  <w:r>
                    <w:rPr>
                      <w:szCs w:val="21"/>
                    </w:rPr>
                    <w:t>）列入强制性清洁生产审核名录的企业按照要求开展清洁生产审核，项目的生产工艺、设备、能耗、污染物排放、资源利用等均须达到同行业先进水平。</w:t>
                  </w:r>
                </w:p>
                <w:p w14:paraId="3111E808" w14:textId="77777777" w:rsidR="00F76A63" w:rsidRDefault="00000000">
                  <w:pPr>
                    <w:autoSpaceDE w:val="0"/>
                    <w:autoSpaceDN w:val="0"/>
                    <w:adjustRightInd w:val="0"/>
                    <w:snapToGrid w:val="0"/>
                    <w:jc w:val="center"/>
                    <w:rPr>
                      <w:szCs w:val="21"/>
                    </w:rPr>
                  </w:pPr>
                  <w:r>
                    <w:rPr>
                      <w:szCs w:val="21"/>
                    </w:rPr>
                    <w:t>（</w:t>
                  </w:r>
                  <w:r>
                    <w:rPr>
                      <w:szCs w:val="21"/>
                    </w:rPr>
                    <w:t>3</w:t>
                  </w:r>
                  <w:r>
                    <w:rPr>
                      <w:szCs w:val="21"/>
                    </w:rPr>
                    <w:t>）推广废水资源化技术，提高水资源回用率。</w:t>
                  </w:r>
                </w:p>
              </w:tc>
              <w:tc>
                <w:tcPr>
                  <w:tcW w:w="1361" w:type="pct"/>
                  <w:vAlign w:val="center"/>
                </w:tcPr>
                <w:p w14:paraId="16FF36B4" w14:textId="77777777" w:rsidR="00F76A63" w:rsidRDefault="00000000">
                  <w:pPr>
                    <w:autoSpaceDE w:val="0"/>
                    <w:autoSpaceDN w:val="0"/>
                    <w:adjustRightInd w:val="0"/>
                    <w:snapToGrid w:val="0"/>
                    <w:jc w:val="center"/>
                    <w:rPr>
                      <w:szCs w:val="21"/>
                    </w:rPr>
                  </w:pPr>
                  <w:r>
                    <w:rPr>
                      <w:szCs w:val="21"/>
                    </w:rPr>
                    <w:t>（</w:t>
                  </w:r>
                  <w:r>
                    <w:rPr>
                      <w:szCs w:val="21"/>
                    </w:rPr>
                    <w:t>1</w:t>
                  </w:r>
                  <w:r>
                    <w:rPr>
                      <w:szCs w:val="21"/>
                    </w:rPr>
                    <w:t>）本项目不涉及燃煤锅炉。</w:t>
                  </w:r>
                </w:p>
                <w:p w14:paraId="57E248EB" w14:textId="77777777" w:rsidR="00F76A63" w:rsidRDefault="00000000">
                  <w:pPr>
                    <w:autoSpaceDE w:val="0"/>
                    <w:autoSpaceDN w:val="0"/>
                    <w:adjustRightInd w:val="0"/>
                    <w:snapToGrid w:val="0"/>
                    <w:jc w:val="center"/>
                    <w:rPr>
                      <w:szCs w:val="21"/>
                    </w:rPr>
                  </w:pPr>
                  <w:r>
                    <w:rPr>
                      <w:szCs w:val="21"/>
                    </w:rPr>
                    <w:t>（</w:t>
                  </w:r>
                  <w:r>
                    <w:rPr>
                      <w:szCs w:val="21"/>
                    </w:rPr>
                    <w:t>2</w:t>
                  </w:r>
                  <w:r>
                    <w:rPr>
                      <w:szCs w:val="21"/>
                    </w:rPr>
                    <w:t>）企业被列入强制性清洁生产审核名录，目前已按要求开展清洁生产审核，清洁生产水平达到国际先进。</w:t>
                  </w:r>
                </w:p>
                <w:p w14:paraId="1F143BAF" w14:textId="77777777" w:rsidR="00F76A63" w:rsidRDefault="00000000">
                  <w:pPr>
                    <w:autoSpaceDE w:val="0"/>
                    <w:autoSpaceDN w:val="0"/>
                    <w:adjustRightInd w:val="0"/>
                    <w:snapToGrid w:val="0"/>
                    <w:jc w:val="center"/>
                    <w:rPr>
                      <w:szCs w:val="21"/>
                    </w:rPr>
                  </w:pPr>
                  <w:r>
                    <w:rPr>
                      <w:szCs w:val="21"/>
                    </w:rPr>
                    <w:t>（</w:t>
                  </w:r>
                  <w:r>
                    <w:rPr>
                      <w:szCs w:val="21"/>
                    </w:rPr>
                    <w:t>3</w:t>
                  </w:r>
                  <w:r>
                    <w:rPr>
                      <w:szCs w:val="21"/>
                    </w:rPr>
                    <w:t>）项目拟采取节水节电措施，降低能耗，符合相关要求。</w:t>
                  </w:r>
                </w:p>
              </w:tc>
              <w:tc>
                <w:tcPr>
                  <w:tcW w:w="541" w:type="pct"/>
                  <w:vAlign w:val="center"/>
                </w:tcPr>
                <w:p w14:paraId="66427A05" w14:textId="77777777" w:rsidR="00F76A63" w:rsidRDefault="00000000">
                  <w:pPr>
                    <w:autoSpaceDE w:val="0"/>
                    <w:autoSpaceDN w:val="0"/>
                    <w:adjustRightInd w:val="0"/>
                    <w:snapToGrid w:val="0"/>
                    <w:jc w:val="center"/>
                    <w:rPr>
                      <w:szCs w:val="21"/>
                    </w:rPr>
                  </w:pPr>
                  <w:r>
                    <w:rPr>
                      <w:szCs w:val="21"/>
                    </w:rPr>
                    <w:t>相符</w:t>
                  </w:r>
                </w:p>
              </w:tc>
            </w:tr>
          </w:tbl>
          <w:p w14:paraId="5A9CE058" w14:textId="77777777" w:rsidR="00F76A63" w:rsidRDefault="00000000">
            <w:pPr>
              <w:autoSpaceDE w:val="0"/>
              <w:autoSpaceDN w:val="0"/>
              <w:adjustRightInd w:val="0"/>
              <w:snapToGrid w:val="0"/>
              <w:spacing w:line="500" w:lineRule="exact"/>
              <w:ind w:firstLineChars="200" w:firstLine="480"/>
              <w:rPr>
                <w:sz w:val="24"/>
              </w:rPr>
            </w:pPr>
            <w:r>
              <w:rPr>
                <w:sz w:val="24"/>
              </w:rPr>
              <w:t>综上所述，本项目的建设符合</w:t>
            </w:r>
            <w:r>
              <w:rPr>
                <w:rFonts w:hint="eastAsia"/>
                <w:sz w:val="24"/>
              </w:rPr>
              <w:t>“生</w:t>
            </w:r>
            <w:r>
              <w:rPr>
                <w:sz w:val="24"/>
              </w:rPr>
              <w:t>态环境分区管控</w:t>
            </w:r>
            <w:r>
              <w:rPr>
                <w:rFonts w:hint="eastAsia"/>
                <w:sz w:val="24"/>
              </w:rPr>
              <w:t>”</w:t>
            </w:r>
            <w:r>
              <w:rPr>
                <w:sz w:val="24"/>
              </w:rPr>
              <w:t>要求。</w:t>
            </w:r>
          </w:p>
          <w:bookmarkEnd w:id="26"/>
          <w:p w14:paraId="4F5780F6" w14:textId="77777777" w:rsidR="00F76A63" w:rsidRDefault="00000000">
            <w:pPr>
              <w:adjustRightInd w:val="0"/>
              <w:snapToGrid w:val="0"/>
              <w:spacing w:line="500" w:lineRule="exact"/>
              <w:ind w:firstLineChars="200" w:firstLine="482"/>
              <w:rPr>
                <w:b/>
                <w:bCs/>
                <w:sz w:val="24"/>
              </w:rPr>
            </w:pPr>
            <w:r>
              <w:rPr>
                <w:b/>
                <w:bCs/>
                <w:sz w:val="24"/>
              </w:rPr>
              <w:t>二、产业政策相符性分析</w:t>
            </w:r>
          </w:p>
          <w:p w14:paraId="6AFB33E8" w14:textId="77777777" w:rsidR="00F76A63" w:rsidRDefault="00000000">
            <w:pPr>
              <w:adjustRightInd w:val="0"/>
              <w:snapToGrid w:val="0"/>
              <w:spacing w:line="500" w:lineRule="exact"/>
              <w:ind w:firstLineChars="200" w:firstLine="480"/>
              <w:rPr>
                <w:sz w:val="24"/>
              </w:rPr>
            </w:pPr>
            <w:r>
              <w:rPr>
                <w:sz w:val="24"/>
              </w:rPr>
              <w:t>本项目依托现有水泥窑协同处置污染土及污泥，属于</w:t>
            </w:r>
            <w:r>
              <w:rPr>
                <w:sz w:val="24"/>
              </w:rPr>
              <w:t>[N7723]</w:t>
            </w:r>
            <w:r>
              <w:rPr>
                <w:sz w:val="24"/>
              </w:rPr>
              <w:t>固体废物治理。对照《</w:t>
            </w:r>
            <w:bookmarkStart w:id="29" w:name="OLE_LINK28"/>
            <w:r>
              <w:rPr>
                <w:sz w:val="24"/>
              </w:rPr>
              <w:t>产业结构调整指导目录（</w:t>
            </w:r>
            <w:r>
              <w:rPr>
                <w:sz w:val="24"/>
              </w:rPr>
              <w:t>2024</w:t>
            </w:r>
            <w:r>
              <w:rPr>
                <w:sz w:val="24"/>
              </w:rPr>
              <w:t>年本）</w:t>
            </w:r>
            <w:bookmarkEnd w:id="29"/>
            <w:r>
              <w:rPr>
                <w:sz w:val="24"/>
              </w:rPr>
              <w:t>》，</w:t>
            </w:r>
            <w:r>
              <w:rPr>
                <w:rFonts w:hint="eastAsia"/>
                <w:sz w:val="24"/>
              </w:rPr>
              <w:t>本</w:t>
            </w:r>
            <w:r>
              <w:rPr>
                <w:sz w:val="24"/>
              </w:rPr>
              <w:t>项目属于鼓励类中</w:t>
            </w:r>
            <w:r>
              <w:rPr>
                <w:rFonts w:hint="eastAsia"/>
                <w:sz w:val="24"/>
              </w:rPr>
              <w:t>“</w:t>
            </w:r>
            <w:r>
              <w:rPr>
                <w:sz w:val="24"/>
              </w:rPr>
              <w:t>四十二、环境保护与资源节约综合利用</w:t>
            </w:r>
            <w:r>
              <w:rPr>
                <w:rFonts w:hint="eastAsia"/>
                <w:sz w:val="24"/>
              </w:rPr>
              <w:t>中的</w:t>
            </w:r>
            <w:r>
              <w:rPr>
                <w:rFonts w:hint="eastAsia"/>
                <w:sz w:val="24"/>
              </w:rPr>
              <w:t>1</w:t>
            </w:r>
            <w:r>
              <w:rPr>
                <w:sz w:val="24"/>
              </w:rPr>
              <w:t>、大气污染物治理和碳减排</w:t>
            </w:r>
            <w:r>
              <w:rPr>
                <w:rFonts w:hint="eastAsia"/>
                <w:sz w:val="24"/>
              </w:rPr>
              <w:t>—新型干法水泥窑无害化协同处置废弃物”；对照</w:t>
            </w:r>
            <w:r>
              <w:rPr>
                <w:sz w:val="24"/>
              </w:rPr>
              <w:t>《鼓励外商投资产业目录（</w:t>
            </w:r>
            <w:r>
              <w:rPr>
                <w:sz w:val="24"/>
              </w:rPr>
              <w:t>2025</w:t>
            </w:r>
            <w:r>
              <w:rPr>
                <w:sz w:val="24"/>
              </w:rPr>
              <w:t>年版）》</w:t>
            </w:r>
            <w:r>
              <w:rPr>
                <w:rFonts w:hint="eastAsia"/>
                <w:sz w:val="24"/>
              </w:rPr>
              <w:t>，属于全国鼓励类产业中三、制造业中的</w:t>
            </w:r>
            <w:r>
              <w:rPr>
                <w:sz w:val="24"/>
              </w:rPr>
              <w:t>151</w:t>
            </w:r>
            <w:r>
              <w:rPr>
                <w:rFonts w:hint="eastAsia"/>
                <w:sz w:val="24"/>
              </w:rPr>
              <w:t>、</w:t>
            </w:r>
            <w:r>
              <w:rPr>
                <w:sz w:val="24"/>
              </w:rPr>
              <w:t>利用新型干法水泥窑、烧结墙体材料生产无害化处置固体废弃物</w:t>
            </w:r>
            <w:r>
              <w:rPr>
                <w:rFonts w:hint="eastAsia"/>
                <w:sz w:val="24"/>
              </w:rPr>
              <w:t>，符合外商投资产业政策。</w:t>
            </w:r>
            <w:r>
              <w:rPr>
                <w:sz w:val="24"/>
              </w:rPr>
              <w:t>经查，</w:t>
            </w:r>
            <w:r>
              <w:rPr>
                <w:rFonts w:hint="eastAsia"/>
                <w:sz w:val="24"/>
              </w:rPr>
              <w:t>本</w:t>
            </w:r>
            <w:r>
              <w:rPr>
                <w:sz w:val="24"/>
              </w:rPr>
              <w:t>项目不属于《自然资源要素支撑产业高质量发展指导目录（</w:t>
            </w:r>
            <w:r>
              <w:rPr>
                <w:sz w:val="24"/>
              </w:rPr>
              <w:t>2024</w:t>
            </w:r>
            <w:r>
              <w:rPr>
                <w:sz w:val="24"/>
              </w:rPr>
              <w:t>年本）》（自然资发</w:t>
            </w:r>
            <w:r>
              <w:rPr>
                <w:sz w:val="24"/>
              </w:rPr>
              <w:t>[2024]273</w:t>
            </w:r>
            <w:r>
              <w:rPr>
                <w:sz w:val="24"/>
              </w:rPr>
              <w:t>号）、《江苏省限制用地项目目录（</w:t>
            </w:r>
            <w:r>
              <w:rPr>
                <w:sz w:val="24"/>
              </w:rPr>
              <w:t>2013</w:t>
            </w:r>
            <w:r>
              <w:rPr>
                <w:sz w:val="24"/>
              </w:rPr>
              <w:t>年本）》、《江苏省禁止用地项目目录（</w:t>
            </w:r>
            <w:r>
              <w:rPr>
                <w:sz w:val="24"/>
              </w:rPr>
              <w:t>2013</w:t>
            </w:r>
            <w:r>
              <w:rPr>
                <w:sz w:val="24"/>
              </w:rPr>
              <w:t>年本）》中的禁止和限制项目。项目已经取得了句容市下蜀镇人民政府备案，项目备案证号：蜀行审备</w:t>
            </w:r>
            <w:r>
              <w:rPr>
                <w:sz w:val="24"/>
              </w:rPr>
              <w:t>[2025]70</w:t>
            </w:r>
            <w:r>
              <w:rPr>
                <w:sz w:val="24"/>
              </w:rPr>
              <w:t>号，因此，项目符合国家及地方产业政策。</w:t>
            </w:r>
          </w:p>
          <w:p w14:paraId="4203439E" w14:textId="77777777" w:rsidR="00F76A63" w:rsidRDefault="00000000">
            <w:pPr>
              <w:adjustRightInd w:val="0"/>
              <w:snapToGrid w:val="0"/>
              <w:spacing w:line="500" w:lineRule="exact"/>
              <w:ind w:firstLineChars="200" w:firstLine="482"/>
              <w:rPr>
                <w:b/>
                <w:bCs/>
                <w:sz w:val="24"/>
              </w:rPr>
            </w:pPr>
            <w:r>
              <w:rPr>
                <w:b/>
                <w:bCs/>
                <w:sz w:val="24"/>
              </w:rPr>
              <w:t>三、相关环保政策相符性分析</w:t>
            </w:r>
          </w:p>
          <w:p w14:paraId="1245D373" w14:textId="77777777" w:rsidR="00F76A63" w:rsidRDefault="00000000">
            <w:pPr>
              <w:adjustRightInd w:val="0"/>
              <w:snapToGrid w:val="0"/>
              <w:spacing w:line="500" w:lineRule="exact"/>
              <w:ind w:firstLineChars="200" w:firstLine="482"/>
              <w:rPr>
                <w:b/>
                <w:bCs/>
                <w:sz w:val="24"/>
              </w:rPr>
            </w:pPr>
            <w:r>
              <w:rPr>
                <w:b/>
                <w:bCs/>
                <w:sz w:val="24"/>
              </w:rPr>
              <w:t>1</w:t>
            </w:r>
            <w:r>
              <w:rPr>
                <w:b/>
                <w:bCs/>
                <w:sz w:val="24"/>
              </w:rPr>
              <w:t>、与《省生态环境厅关于进一步做好建设项目环评审批工作的通知》（苏环办</w:t>
            </w:r>
            <w:r>
              <w:rPr>
                <w:b/>
                <w:bCs/>
                <w:sz w:val="24"/>
              </w:rPr>
              <w:t>[2019]36</w:t>
            </w:r>
            <w:r>
              <w:rPr>
                <w:b/>
                <w:bCs/>
                <w:sz w:val="24"/>
              </w:rPr>
              <w:t>号）的相符性</w:t>
            </w:r>
          </w:p>
          <w:p w14:paraId="1BCDAE75" w14:textId="77777777" w:rsidR="00F76A63" w:rsidRDefault="00000000">
            <w:pPr>
              <w:adjustRightInd w:val="0"/>
              <w:snapToGrid w:val="0"/>
              <w:spacing w:line="500" w:lineRule="exact"/>
              <w:ind w:firstLineChars="200" w:firstLine="480"/>
              <w:rPr>
                <w:sz w:val="24"/>
              </w:rPr>
            </w:pPr>
            <w:r>
              <w:rPr>
                <w:sz w:val="24"/>
              </w:rPr>
              <w:t>本项目与《省生态环境厅关于进一步做好建设项目环评审批工作的通知》（苏环办</w:t>
            </w:r>
            <w:r>
              <w:rPr>
                <w:sz w:val="24"/>
              </w:rPr>
              <w:t>[2019]36</w:t>
            </w:r>
            <w:r>
              <w:rPr>
                <w:sz w:val="24"/>
              </w:rPr>
              <w:t>号）相关要求的相符性见表</w:t>
            </w:r>
            <w:r>
              <w:rPr>
                <w:sz w:val="24"/>
              </w:rPr>
              <w:t>1-9</w:t>
            </w:r>
            <w:r>
              <w:rPr>
                <w:sz w:val="24"/>
              </w:rPr>
              <w:t>，可见本项目的建设与苏环办</w:t>
            </w:r>
            <w:r>
              <w:rPr>
                <w:sz w:val="24"/>
              </w:rPr>
              <w:t>[2019]36</w:t>
            </w:r>
            <w:r>
              <w:rPr>
                <w:sz w:val="24"/>
              </w:rPr>
              <w:t>号文相关要求相符。</w:t>
            </w:r>
          </w:p>
          <w:p w14:paraId="3CAA8383" w14:textId="77777777" w:rsidR="00F76A63" w:rsidRDefault="00F76A63">
            <w:pPr>
              <w:adjustRightInd w:val="0"/>
              <w:snapToGrid w:val="0"/>
              <w:spacing w:line="500" w:lineRule="exact"/>
              <w:ind w:firstLineChars="200" w:firstLine="480"/>
              <w:rPr>
                <w:sz w:val="24"/>
              </w:rPr>
            </w:pPr>
          </w:p>
          <w:p w14:paraId="74841D97" w14:textId="77777777" w:rsidR="00F76A63" w:rsidRDefault="00000000">
            <w:pPr>
              <w:spacing w:line="500" w:lineRule="exact"/>
              <w:jc w:val="center"/>
              <w:rPr>
                <w:b/>
                <w:sz w:val="24"/>
              </w:rPr>
            </w:pPr>
            <w:r>
              <w:rPr>
                <w:b/>
                <w:sz w:val="24"/>
              </w:rPr>
              <w:t>表</w:t>
            </w:r>
            <w:r>
              <w:rPr>
                <w:b/>
                <w:sz w:val="24"/>
              </w:rPr>
              <w:t xml:space="preserve">1-9  </w:t>
            </w:r>
            <w:r>
              <w:rPr>
                <w:b/>
                <w:sz w:val="24"/>
              </w:rPr>
              <w:t>与苏环办</w:t>
            </w:r>
            <w:r>
              <w:rPr>
                <w:b/>
                <w:sz w:val="24"/>
              </w:rPr>
              <w:t>[2019]36</w:t>
            </w:r>
            <w:r>
              <w:rPr>
                <w:b/>
                <w:sz w:val="24"/>
              </w:rPr>
              <w:t>号文相符性分析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366"/>
              <w:gridCol w:w="2194"/>
              <w:gridCol w:w="2775"/>
              <w:gridCol w:w="1478"/>
            </w:tblGrid>
            <w:tr w:rsidR="00F76A63" w14:paraId="02356061" w14:textId="77777777">
              <w:trPr>
                <w:trHeight w:val="23"/>
                <w:jc w:val="center"/>
              </w:trPr>
              <w:tc>
                <w:tcPr>
                  <w:tcW w:w="3033" w:type="dxa"/>
                  <w:gridSpan w:val="2"/>
                  <w:vAlign w:val="center"/>
                </w:tcPr>
                <w:p w14:paraId="0B70245E" w14:textId="77777777" w:rsidR="00F76A63" w:rsidRDefault="00000000">
                  <w:pPr>
                    <w:adjustRightInd w:val="0"/>
                    <w:snapToGrid w:val="0"/>
                    <w:jc w:val="center"/>
                    <w:rPr>
                      <w:b/>
                      <w:bCs/>
                      <w:szCs w:val="21"/>
                    </w:rPr>
                  </w:pPr>
                  <w:r>
                    <w:rPr>
                      <w:b/>
                      <w:bCs/>
                      <w:szCs w:val="21"/>
                    </w:rPr>
                    <w:t>相关内容</w:t>
                  </w:r>
                </w:p>
              </w:tc>
              <w:tc>
                <w:tcPr>
                  <w:tcW w:w="2364" w:type="dxa"/>
                  <w:vAlign w:val="center"/>
                </w:tcPr>
                <w:p w14:paraId="682FDD06" w14:textId="77777777" w:rsidR="00F76A63" w:rsidRDefault="00000000">
                  <w:pPr>
                    <w:adjustRightInd w:val="0"/>
                    <w:snapToGrid w:val="0"/>
                    <w:jc w:val="center"/>
                    <w:rPr>
                      <w:b/>
                      <w:bCs/>
                      <w:szCs w:val="21"/>
                    </w:rPr>
                  </w:pPr>
                  <w:r>
                    <w:rPr>
                      <w:b/>
                      <w:bCs/>
                      <w:szCs w:val="21"/>
                    </w:rPr>
                    <w:t>本项目相关内容</w:t>
                  </w:r>
                </w:p>
              </w:tc>
              <w:tc>
                <w:tcPr>
                  <w:tcW w:w="1259" w:type="dxa"/>
                  <w:vAlign w:val="center"/>
                </w:tcPr>
                <w:p w14:paraId="0F3F15D6" w14:textId="77777777" w:rsidR="00F76A63" w:rsidRDefault="00000000">
                  <w:pPr>
                    <w:adjustRightInd w:val="0"/>
                    <w:snapToGrid w:val="0"/>
                    <w:jc w:val="center"/>
                    <w:rPr>
                      <w:b/>
                      <w:bCs/>
                      <w:szCs w:val="21"/>
                    </w:rPr>
                  </w:pPr>
                  <w:r>
                    <w:rPr>
                      <w:b/>
                      <w:bCs/>
                      <w:szCs w:val="21"/>
                    </w:rPr>
                    <w:t>符合性</w:t>
                  </w:r>
                </w:p>
              </w:tc>
            </w:tr>
            <w:tr w:rsidR="00F76A63" w14:paraId="01355095" w14:textId="77777777">
              <w:trPr>
                <w:trHeight w:val="23"/>
                <w:jc w:val="center"/>
              </w:trPr>
              <w:tc>
                <w:tcPr>
                  <w:tcW w:w="1164" w:type="dxa"/>
                  <w:vMerge w:val="restart"/>
                  <w:vAlign w:val="center"/>
                </w:tcPr>
                <w:p w14:paraId="54BF0E1A" w14:textId="77777777" w:rsidR="00F76A63" w:rsidRDefault="00000000">
                  <w:pPr>
                    <w:adjustRightInd w:val="0"/>
                    <w:snapToGrid w:val="0"/>
                    <w:jc w:val="center"/>
                    <w:rPr>
                      <w:szCs w:val="21"/>
                    </w:rPr>
                  </w:pPr>
                  <w:r>
                    <w:rPr>
                      <w:szCs w:val="21"/>
                    </w:rPr>
                    <w:t>一、有下列情形之一的，不予批准；</w:t>
                  </w:r>
                </w:p>
              </w:tc>
              <w:tc>
                <w:tcPr>
                  <w:tcW w:w="1869" w:type="dxa"/>
                  <w:vAlign w:val="center"/>
                </w:tcPr>
                <w:p w14:paraId="408CE360" w14:textId="77777777" w:rsidR="00F76A63" w:rsidRDefault="00000000">
                  <w:pPr>
                    <w:adjustRightInd w:val="0"/>
                    <w:snapToGrid w:val="0"/>
                    <w:jc w:val="center"/>
                    <w:rPr>
                      <w:szCs w:val="21"/>
                    </w:rPr>
                  </w:pPr>
                  <w:r>
                    <w:rPr>
                      <w:szCs w:val="21"/>
                    </w:rPr>
                    <w:t>建设项目类型及其选址、布局、规模等不符合环境保护法律法规和相关法定规划；</w:t>
                  </w:r>
                </w:p>
              </w:tc>
              <w:tc>
                <w:tcPr>
                  <w:tcW w:w="2364" w:type="dxa"/>
                  <w:vAlign w:val="center"/>
                </w:tcPr>
                <w:p w14:paraId="77FBA1E1" w14:textId="77777777" w:rsidR="00F76A63" w:rsidRDefault="00000000">
                  <w:pPr>
                    <w:adjustRightInd w:val="0"/>
                    <w:snapToGrid w:val="0"/>
                    <w:jc w:val="center"/>
                    <w:rPr>
                      <w:szCs w:val="21"/>
                    </w:rPr>
                  </w:pPr>
                  <w:r>
                    <w:rPr>
                      <w:szCs w:val="21"/>
                    </w:rPr>
                    <w:t>本项目位于句容下蜀高新技术产业园，所在地为工业用地，不涉及生态红线、生态空间管控区域及基本农田。</w:t>
                  </w:r>
                </w:p>
              </w:tc>
              <w:tc>
                <w:tcPr>
                  <w:tcW w:w="1259" w:type="dxa"/>
                  <w:vAlign w:val="center"/>
                </w:tcPr>
                <w:p w14:paraId="0B7E23EF" w14:textId="77777777" w:rsidR="00F76A63" w:rsidRDefault="00000000">
                  <w:pPr>
                    <w:adjustRightInd w:val="0"/>
                    <w:snapToGrid w:val="0"/>
                    <w:jc w:val="center"/>
                    <w:rPr>
                      <w:szCs w:val="21"/>
                    </w:rPr>
                  </w:pPr>
                  <w:r>
                    <w:rPr>
                      <w:szCs w:val="21"/>
                    </w:rPr>
                    <w:t>符合</w:t>
                  </w:r>
                </w:p>
              </w:tc>
            </w:tr>
            <w:tr w:rsidR="00F76A63" w14:paraId="3F6F1E0F" w14:textId="77777777">
              <w:trPr>
                <w:trHeight w:val="23"/>
                <w:jc w:val="center"/>
              </w:trPr>
              <w:tc>
                <w:tcPr>
                  <w:tcW w:w="1164" w:type="dxa"/>
                  <w:vMerge/>
                  <w:vAlign w:val="center"/>
                </w:tcPr>
                <w:p w14:paraId="756125EA" w14:textId="77777777" w:rsidR="00F76A63" w:rsidRDefault="00F76A63">
                  <w:pPr>
                    <w:adjustRightInd w:val="0"/>
                    <w:snapToGrid w:val="0"/>
                    <w:jc w:val="center"/>
                    <w:rPr>
                      <w:szCs w:val="21"/>
                    </w:rPr>
                  </w:pPr>
                </w:p>
              </w:tc>
              <w:tc>
                <w:tcPr>
                  <w:tcW w:w="1869" w:type="dxa"/>
                  <w:vAlign w:val="center"/>
                </w:tcPr>
                <w:p w14:paraId="2AF86E48" w14:textId="77777777" w:rsidR="00F76A63" w:rsidRDefault="00000000">
                  <w:pPr>
                    <w:adjustRightInd w:val="0"/>
                    <w:snapToGrid w:val="0"/>
                    <w:jc w:val="center"/>
                    <w:rPr>
                      <w:szCs w:val="21"/>
                    </w:rPr>
                  </w:pPr>
                  <w:r>
                    <w:rPr>
                      <w:szCs w:val="21"/>
                    </w:rPr>
                    <w:t>所在区域环境质量未达到国家或者地方环境质量标准，且建设项目拟采取的措施不能满足区域环境质量改善目标管理要求；</w:t>
                  </w:r>
                </w:p>
              </w:tc>
              <w:tc>
                <w:tcPr>
                  <w:tcW w:w="2364" w:type="dxa"/>
                  <w:vAlign w:val="center"/>
                </w:tcPr>
                <w:p w14:paraId="17AB914E" w14:textId="77777777" w:rsidR="00F76A63" w:rsidRDefault="00000000">
                  <w:pPr>
                    <w:adjustRightInd w:val="0"/>
                    <w:snapToGrid w:val="0"/>
                    <w:jc w:val="center"/>
                    <w:rPr>
                      <w:bCs/>
                      <w:szCs w:val="21"/>
                    </w:rPr>
                  </w:pPr>
                  <w:r>
                    <w:rPr>
                      <w:bCs/>
                      <w:szCs w:val="21"/>
                    </w:rPr>
                    <w:t>根据《</w:t>
                  </w:r>
                  <w:r>
                    <w:rPr>
                      <w:bCs/>
                      <w:szCs w:val="21"/>
                    </w:rPr>
                    <w:t>202</w:t>
                  </w:r>
                  <w:r>
                    <w:rPr>
                      <w:rFonts w:hint="eastAsia"/>
                      <w:bCs/>
                      <w:szCs w:val="21"/>
                    </w:rPr>
                    <w:t>5</w:t>
                  </w:r>
                  <w:r>
                    <w:rPr>
                      <w:bCs/>
                      <w:szCs w:val="21"/>
                    </w:rPr>
                    <w:t>年度镇江市生态环境状况公报》，对照《环境空气质量标准》（</w:t>
                  </w:r>
                  <w:r>
                    <w:rPr>
                      <w:bCs/>
                      <w:szCs w:val="21"/>
                    </w:rPr>
                    <w:t>GB3095-2026</w:t>
                  </w:r>
                  <w:r>
                    <w:rPr>
                      <w:bCs/>
                      <w:szCs w:val="21"/>
                    </w:rPr>
                    <w:t>）</w:t>
                  </w:r>
                  <w:r>
                    <w:rPr>
                      <w:rFonts w:hint="eastAsia"/>
                      <w:bCs/>
                      <w:szCs w:val="21"/>
                    </w:rPr>
                    <w:t>过渡阶段浓度限值二级标准</w:t>
                  </w:r>
                  <w:r>
                    <w:rPr>
                      <w:bCs/>
                      <w:szCs w:val="21"/>
                    </w:rPr>
                    <w:t>，臭氧、</w:t>
                  </w:r>
                  <w:r>
                    <w:rPr>
                      <w:bCs/>
                      <w:szCs w:val="21"/>
                    </w:rPr>
                    <w:t>PM</w:t>
                  </w:r>
                  <w:r>
                    <w:rPr>
                      <w:bCs/>
                      <w:szCs w:val="21"/>
                      <w:vertAlign w:val="subscript"/>
                    </w:rPr>
                    <w:t>2.5</w:t>
                  </w:r>
                  <w:r>
                    <w:rPr>
                      <w:bCs/>
                      <w:szCs w:val="21"/>
                    </w:rPr>
                    <w:t>不达标，其他各污染物均达到标准，因此项目所在区域为不达标区。</w:t>
                  </w:r>
                </w:p>
                <w:p w14:paraId="2BF22C50" w14:textId="77777777" w:rsidR="00F76A63" w:rsidRDefault="00000000">
                  <w:pPr>
                    <w:adjustRightInd w:val="0"/>
                    <w:snapToGrid w:val="0"/>
                    <w:jc w:val="center"/>
                    <w:rPr>
                      <w:szCs w:val="21"/>
                    </w:rPr>
                  </w:pPr>
                  <w:r>
                    <w:rPr>
                      <w:bCs/>
                      <w:szCs w:val="21"/>
                    </w:rPr>
                    <w:t>项目产生的废气、废水均通过处理设施处理达标后排放，满足区域环境质量改善目标管理要求。</w:t>
                  </w:r>
                </w:p>
              </w:tc>
              <w:tc>
                <w:tcPr>
                  <w:tcW w:w="1259" w:type="dxa"/>
                  <w:vAlign w:val="center"/>
                </w:tcPr>
                <w:p w14:paraId="049ABDC7" w14:textId="77777777" w:rsidR="00F76A63" w:rsidRDefault="00000000">
                  <w:pPr>
                    <w:adjustRightInd w:val="0"/>
                    <w:snapToGrid w:val="0"/>
                    <w:jc w:val="center"/>
                    <w:rPr>
                      <w:szCs w:val="21"/>
                    </w:rPr>
                  </w:pPr>
                  <w:r>
                    <w:rPr>
                      <w:szCs w:val="21"/>
                    </w:rPr>
                    <w:t>符合</w:t>
                  </w:r>
                </w:p>
              </w:tc>
            </w:tr>
            <w:tr w:rsidR="00F76A63" w14:paraId="7B74A53E" w14:textId="77777777">
              <w:trPr>
                <w:trHeight w:val="23"/>
                <w:jc w:val="center"/>
              </w:trPr>
              <w:tc>
                <w:tcPr>
                  <w:tcW w:w="1164" w:type="dxa"/>
                  <w:vMerge/>
                  <w:vAlign w:val="center"/>
                </w:tcPr>
                <w:p w14:paraId="24E10A14" w14:textId="77777777" w:rsidR="00F76A63" w:rsidRDefault="00F76A63">
                  <w:pPr>
                    <w:adjustRightInd w:val="0"/>
                    <w:snapToGrid w:val="0"/>
                    <w:jc w:val="center"/>
                    <w:rPr>
                      <w:szCs w:val="21"/>
                    </w:rPr>
                  </w:pPr>
                </w:p>
              </w:tc>
              <w:tc>
                <w:tcPr>
                  <w:tcW w:w="1869" w:type="dxa"/>
                  <w:vAlign w:val="center"/>
                </w:tcPr>
                <w:p w14:paraId="684C78EE" w14:textId="77777777" w:rsidR="00F76A63" w:rsidRDefault="00000000">
                  <w:pPr>
                    <w:adjustRightInd w:val="0"/>
                    <w:snapToGrid w:val="0"/>
                    <w:jc w:val="center"/>
                    <w:rPr>
                      <w:szCs w:val="21"/>
                    </w:rPr>
                  </w:pPr>
                  <w:r>
                    <w:rPr>
                      <w:szCs w:val="21"/>
                    </w:rPr>
                    <w:t>建设项目采取的污染防治措施无法确保污染物排放达到国家和地方排放标准，或者未采取必要措施预防和控制生态破坏；</w:t>
                  </w:r>
                </w:p>
              </w:tc>
              <w:tc>
                <w:tcPr>
                  <w:tcW w:w="2364" w:type="dxa"/>
                  <w:vAlign w:val="center"/>
                </w:tcPr>
                <w:p w14:paraId="58C8303B" w14:textId="77777777" w:rsidR="00F76A63" w:rsidRDefault="00000000">
                  <w:pPr>
                    <w:adjustRightInd w:val="0"/>
                    <w:snapToGrid w:val="0"/>
                    <w:jc w:val="center"/>
                    <w:rPr>
                      <w:szCs w:val="21"/>
                    </w:rPr>
                  </w:pPr>
                  <w:r>
                    <w:rPr>
                      <w:szCs w:val="21"/>
                    </w:rPr>
                    <w:t>本项目无废水排放；项目废气主要污染物排放总量在</w:t>
                  </w:r>
                  <w:r>
                    <w:rPr>
                      <w:rFonts w:hint="eastAsia"/>
                      <w:szCs w:val="21"/>
                    </w:rPr>
                    <w:t>厂</w:t>
                  </w:r>
                  <w:r>
                    <w:rPr>
                      <w:szCs w:val="21"/>
                    </w:rPr>
                    <w:t>内平衡，无需申请总量，全厂产生的有组织废气依托现有的废气处理设施处理后达标排放，能够满足《水泥工业大气污染物排放标准》（</w:t>
                  </w:r>
                  <w:r>
                    <w:rPr>
                      <w:szCs w:val="21"/>
                    </w:rPr>
                    <w:t>DB32/4149-2021</w:t>
                  </w:r>
                  <w:r>
                    <w:rPr>
                      <w:szCs w:val="21"/>
                    </w:rPr>
                    <w:t>）表</w:t>
                  </w:r>
                  <w:r>
                    <w:rPr>
                      <w:szCs w:val="21"/>
                    </w:rPr>
                    <w:t>1</w:t>
                  </w:r>
                  <w:r>
                    <w:rPr>
                      <w:szCs w:val="21"/>
                    </w:rPr>
                    <w:t>中</w:t>
                  </w:r>
                  <w:r>
                    <w:rPr>
                      <w:szCs w:val="21"/>
                    </w:rPr>
                    <w:t>Ⅱ</w:t>
                  </w:r>
                  <w:r>
                    <w:rPr>
                      <w:szCs w:val="21"/>
                    </w:rPr>
                    <w:t>阶段标准、《水泥窑协同处置固体废物污染控制标准》（</w:t>
                  </w:r>
                  <w:r>
                    <w:rPr>
                      <w:szCs w:val="21"/>
                    </w:rPr>
                    <w:t>GB30485-2013</w:t>
                  </w:r>
                  <w:r>
                    <w:rPr>
                      <w:szCs w:val="21"/>
                    </w:rPr>
                    <w:t>）表</w:t>
                  </w:r>
                  <w:r>
                    <w:rPr>
                      <w:szCs w:val="21"/>
                    </w:rPr>
                    <w:t>1</w:t>
                  </w:r>
                  <w:r>
                    <w:rPr>
                      <w:szCs w:val="21"/>
                    </w:rPr>
                    <w:t>中规定的大气污染物特别排放限值；无组织废气经处理后满足《大气污染物综合排放标准》（</w:t>
                  </w:r>
                  <w:r>
                    <w:rPr>
                      <w:szCs w:val="21"/>
                    </w:rPr>
                    <w:t>DB32/4041-2021</w:t>
                  </w:r>
                  <w:r>
                    <w:rPr>
                      <w:szCs w:val="21"/>
                    </w:rPr>
                    <w:t>）表</w:t>
                  </w:r>
                  <w:r>
                    <w:rPr>
                      <w:szCs w:val="21"/>
                    </w:rPr>
                    <w:t>3</w:t>
                  </w:r>
                  <w:r>
                    <w:rPr>
                      <w:szCs w:val="21"/>
                    </w:rPr>
                    <w:t>标准、《恶臭污染物排放标准》（</w:t>
                  </w:r>
                  <w:r>
                    <w:rPr>
                      <w:szCs w:val="21"/>
                    </w:rPr>
                    <w:t>GB14554-93</w:t>
                  </w:r>
                  <w:r>
                    <w:rPr>
                      <w:szCs w:val="21"/>
                    </w:rPr>
                    <w:t>）；本项目不新增固体废物产生。</w:t>
                  </w:r>
                </w:p>
              </w:tc>
              <w:tc>
                <w:tcPr>
                  <w:tcW w:w="1259" w:type="dxa"/>
                  <w:vAlign w:val="center"/>
                </w:tcPr>
                <w:p w14:paraId="12EF253F" w14:textId="77777777" w:rsidR="00F76A63" w:rsidRDefault="00000000">
                  <w:pPr>
                    <w:adjustRightInd w:val="0"/>
                    <w:snapToGrid w:val="0"/>
                    <w:jc w:val="center"/>
                    <w:rPr>
                      <w:szCs w:val="21"/>
                    </w:rPr>
                  </w:pPr>
                  <w:r>
                    <w:rPr>
                      <w:szCs w:val="21"/>
                    </w:rPr>
                    <w:t>符合</w:t>
                  </w:r>
                </w:p>
              </w:tc>
            </w:tr>
            <w:tr w:rsidR="00F76A63" w14:paraId="637890AC" w14:textId="77777777">
              <w:trPr>
                <w:trHeight w:val="23"/>
                <w:jc w:val="center"/>
              </w:trPr>
              <w:tc>
                <w:tcPr>
                  <w:tcW w:w="1164" w:type="dxa"/>
                  <w:vMerge/>
                  <w:vAlign w:val="center"/>
                </w:tcPr>
                <w:p w14:paraId="44F4470A" w14:textId="77777777" w:rsidR="00F76A63" w:rsidRDefault="00F76A63">
                  <w:pPr>
                    <w:adjustRightInd w:val="0"/>
                    <w:snapToGrid w:val="0"/>
                    <w:jc w:val="center"/>
                    <w:rPr>
                      <w:szCs w:val="21"/>
                    </w:rPr>
                  </w:pPr>
                </w:p>
              </w:tc>
              <w:tc>
                <w:tcPr>
                  <w:tcW w:w="1869" w:type="dxa"/>
                  <w:vAlign w:val="center"/>
                </w:tcPr>
                <w:p w14:paraId="6A562CDD" w14:textId="77777777" w:rsidR="00F76A63" w:rsidRDefault="00000000">
                  <w:pPr>
                    <w:adjustRightInd w:val="0"/>
                    <w:snapToGrid w:val="0"/>
                    <w:jc w:val="center"/>
                    <w:rPr>
                      <w:szCs w:val="21"/>
                    </w:rPr>
                  </w:pPr>
                  <w:r>
                    <w:rPr>
                      <w:szCs w:val="21"/>
                    </w:rPr>
                    <w:t>改建、扩建和技术改造项目，未针对项目原有环境污染和生态破坏提出有效防治措施；</w:t>
                  </w:r>
                </w:p>
              </w:tc>
              <w:tc>
                <w:tcPr>
                  <w:tcW w:w="2364" w:type="dxa"/>
                  <w:vAlign w:val="center"/>
                </w:tcPr>
                <w:p w14:paraId="0703F926" w14:textId="77777777" w:rsidR="00F76A63" w:rsidRDefault="00000000">
                  <w:pPr>
                    <w:adjustRightInd w:val="0"/>
                    <w:snapToGrid w:val="0"/>
                    <w:jc w:val="center"/>
                    <w:rPr>
                      <w:szCs w:val="21"/>
                    </w:rPr>
                  </w:pPr>
                  <w:r>
                    <w:rPr>
                      <w:szCs w:val="21"/>
                    </w:rPr>
                    <w:t>本报告对项目原有环境污染和生态破坏提出有效防治措施。</w:t>
                  </w:r>
                </w:p>
              </w:tc>
              <w:tc>
                <w:tcPr>
                  <w:tcW w:w="1259" w:type="dxa"/>
                  <w:vAlign w:val="center"/>
                </w:tcPr>
                <w:p w14:paraId="3E79D8A2" w14:textId="77777777" w:rsidR="00F76A63" w:rsidRDefault="00000000">
                  <w:pPr>
                    <w:tabs>
                      <w:tab w:val="left" w:pos="390"/>
                    </w:tabs>
                    <w:adjustRightInd w:val="0"/>
                    <w:snapToGrid w:val="0"/>
                    <w:jc w:val="center"/>
                    <w:rPr>
                      <w:szCs w:val="21"/>
                    </w:rPr>
                  </w:pPr>
                  <w:r>
                    <w:rPr>
                      <w:szCs w:val="21"/>
                    </w:rPr>
                    <w:t>符合</w:t>
                  </w:r>
                </w:p>
              </w:tc>
            </w:tr>
            <w:tr w:rsidR="00F76A63" w14:paraId="7AB355E0" w14:textId="77777777">
              <w:trPr>
                <w:trHeight w:val="23"/>
                <w:jc w:val="center"/>
              </w:trPr>
              <w:tc>
                <w:tcPr>
                  <w:tcW w:w="1164" w:type="dxa"/>
                  <w:vMerge/>
                  <w:vAlign w:val="center"/>
                </w:tcPr>
                <w:p w14:paraId="2352FDD0" w14:textId="77777777" w:rsidR="00F76A63" w:rsidRDefault="00F76A63">
                  <w:pPr>
                    <w:adjustRightInd w:val="0"/>
                    <w:snapToGrid w:val="0"/>
                    <w:jc w:val="center"/>
                    <w:rPr>
                      <w:szCs w:val="21"/>
                    </w:rPr>
                  </w:pPr>
                </w:p>
              </w:tc>
              <w:tc>
                <w:tcPr>
                  <w:tcW w:w="1869" w:type="dxa"/>
                  <w:vAlign w:val="center"/>
                </w:tcPr>
                <w:p w14:paraId="41DFDA8C" w14:textId="77777777" w:rsidR="00F76A63" w:rsidRDefault="00000000">
                  <w:pPr>
                    <w:adjustRightInd w:val="0"/>
                    <w:snapToGrid w:val="0"/>
                    <w:jc w:val="center"/>
                    <w:rPr>
                      <w:szCs w:val="21"/>
                    </w:rPr>
                  </w:pPr>
                  <w:r>
                    <w:rPr>
                      <w:szCs w:val="21"/>
                    </w:rPr>
                    <w:t>建设项目的环境影响</w:t>
                  </w:r>
                  <w:r>
                    <w:rPr>
                      <w:szCs w:val="21"/>
                    </w:rPr>
                    <w:lastRenderedPageBreak/>
                    <w:t>报告书、环境影响报告表的基础资料数据明显不实，内容存在重大缺陷、遗漏，或者环境影响评价结论不明确、不合理。</w:t>
                  </w:r>
                </w:p>
              </w:tc>
              <w:tc>
                <w:tcPr>
                  <w:tcW w:w="2364" w:type="dxa"/>
                  <w:vAlign w:val="center"/>
                </w:tcPr>
                <w:p w14:paraId="43CFF95C" w14:textId="77777777" w:rsidR="00F76A63" w:rsidRDefault="00000000">
                  <w:pPr>
                    <w:adjustRightInd w:val="0"/>
                    <w:snapToGrid w:val="0"/>
                    <w:jc w:val="center"/>
                    <w:rPr>
                      <w:szCs w:val="21"/>
                    </w:rPr>
                  </w:pPr>
                  <w:r>
                    <w:rPr>
                      <w:szCs w:val="21"/>
                    </w:rPr>
                    <w:lastRenderedPageBreak/>
                    <w:t>本项目不涉及。</w:t>
                  </w:r>
                </w:p>
              </w:tc>
              <w:tc>
                <w:tcPr>
                  <w:tcW w:w="1259" w:type="dxa"/>
                  <w:vAlign w:val="center"/>
                </w:tcPr>
                <w:p w14:paraId="1C9E29B9" w14:textId="77777777" w:rsidR="00F76A63" w:rsidRDefault="00000000">
                  <w:pPr>
                    <w:adjustRightInd w:val="0"/>
                    <w:snapToGrid w:val="0"/>
                    <w:jc w:val="center"/>
                    <w:rPr>
                      <w:szCs w:val="21"/>
                    </w:rPr>
                  </w:pPr>
                  <w:r>
                    <w:rPr>
                      <w:szCs w:val="21"/>
                    </w:rPr>
                    <w:t>符合</w:t>
                  </w:r>
                </w:p>
              </w:tc>
            </w:tr>
            <w:tr w:rsidR="00F76A63" w14:paraId="37B35804" w14:textId="77777777">
              <w:trPr>
                <w:trHeight w:val="23"/>
                <w:jc w:val="center"/>
              </w:trPr>
              <w:tc>
                <w:tcPr>
                  <w:tcW w:w="3033" w:type="dxa"/>
                  <w:gridSpan w:val="2"/>
                  <w:vAlign w:val="center"/>
                </w:tcPr>
                <w:p w14:paraId="4CF27101" w14:textId="77777777" w:rsidR="00F76A63" w:rsidRDefault="00000000">
                  <w:pPr>
                    <w:adjustRightInd w:val="0"/>
                    <w:snapToGrid w:val="0"/>
                    <w:jc w:val="center"/>
                    <w:rPr>
                      <w:szCs w:val="21"/>
                    </w:rPr>
                  </w:pPr>
                  <w:r>
                    <w:rPr>
                      <w:szCs w:val="21"/>
                    </w:rPr>
                    <w:t>二、严格控制在优先保护类耕地集中区域新建有色金属冶炼、石油加工、化工、焦化、电镀、制革等行业企业，有关环境保护主管部门依法不予审批可能造成耕地土壤污染的建设项目环境影响报告书或者报告表。</w:t>
                  </w:r>
                </w:p>
              </w:tc>
              <w:tc>
                <w:tcPr>
                  <w:tcW w:w="2364" w:type="dxa"/>
                  <w:vAlign w:val="center"/>
                </w:tcPr>
                <w:p w14:paraId="0BE60C4F" w14:textId="77777777" w:rsidR="00F76A63" w:rsidRDefault="00000000">
                  <w:pPr>
                    <w:adjustRightInd w:val="0"/>
                    <w:snapToGrid w:val="0"/>
                    <w:jc w:val="center"/>
                    <w:rPr>
                      <w:szCs w:val="21"/>
                    </w:rPr>
                  </w:pPr>
                  <w:r>
                    <w:rPr>
                      <w:szCs w:val="21"/>
                    </w:rPr>
                    <w:t>本项目不新增用地，在企业现有厂区内进行，不会造成耕地土壤污染。</w:t>
                  </w:r>
                </w:p>
              </w:tc>
              <w:tc>
                <w:tcPr>
                  <w:tcW w:w="1259" w:type="dxa"/>
                  <w:vAlign w:val="center"/>
                </w:tcPr>
                <w:p w14:paraId="1372D71E" w14:textId="77777777" w:rsidR="00F76A63" w:rsidRDefault="00000000">
                  <w:pPr>
                    <w:adjustRightInd w:val="0"/>
                    <w:snapToGrid w:val="0"/>
                    <w:jc w:val="center"/>
                    <w:rPr>
                      <w:szCs w:val="21"/>
                    </w:rPr>
                  </w:pPr>
                  <w:r>
                    <w:rPr>
                      <w:szCs w:val="21"/>
                    </w:rPr>
                    <w:t>符合</w:t>
                  </w:r>
                </w:p>
              </w:tc>
            </w:tr>
            <w:tr w:rsidR="00F76A63" w14:paraId="47127057" w14:textId="77777777">
              <w:trPr>
                <w:trHeight w:val="23"/>
                <w:jc w:val="center"/>
              </w:trPr>
              <w:tc>
                <w:tcPr>
                  <w:tcW w:w="3033" w:type="dxa"/>
                  <w:gridSpan w:val="2"/>
                  <w:vAlign w:val="center"/>
                </w:tcPr>
                <w:p w14:paraId="76445B2E" w14:textId="77777777" w:rsidR="00F76A63" w:rsidRDefault="00000000">
                  <w:pPr>
                    <w:adjustRightInd w:val="0"/>
                    <w:snapToGrid w:val="0"/>
                    <w:jc w:val="center"/>
                    <w:rPr>
                      <w:szCs w:val="21"/>
                    </w:rPr>
                  </w:pPr>
                  <w:r>
                    <w:rPr>
                      <w:szCs w:val="21"/>
                    </w:rPr>
                    <w:t>三、严格落实污染物排放总量控制制度，把主要污染物排放总量指标作为建设项目环境影响评价审批的前置条件。排放主要污染物的建设项目，在环境影响评价文件审批前，须取得主要污染物排放总量指标。</w:t>
                  </w:r>
                </w:p>
              </w:tc>
              <w:tc>
                <w:tcPr>
                  <w:tcW w:w="2364" w:type="dxa"/>
                  <w:vAlign w:val="center"/>
                </w:tcPr>
                <w:p w14:paraId="376AE9B9" w14:textId="77777777" w:rsidR="00F76A63" w:rsidRDefault="00000000">
                  <w:pPr>
                    <w:adjustRightInd w:val="0"/>
                    <w:snapToGrid w:val="0"/>
                    <w:jc w:val="center"/>
                    <w:rPr>
                      <w:szCs w:val="21"/>
                    </w:rPr>
                  </w:pPr>
                  <w:r>
                    <w:rPr>
                      <w:bCs/>
                      <w:szCs w:val="21"/>
                    </w:rPr>
                    <w:t>本项目严格执行总量要求，本项目不涉及废水排放，</w:t>
                  </w:r>
                  <w:r>
                    <w:rPr>
                      <w:szCs w:val="21"/>
                    </w:rPr>
                    <w:t>项目废气主要污染物排放总量在</w:t>
                  </w:r>
                  <w:r>
                    <w:rPr>
                      <w:rFonts w:hint="eastAsia"/>
                      <w:szCs w:val="21"/>
                    </w:rPr>
                    <w:t>厂</w:t>
                  </w:r>
                  <w:r>
                    <w:rPr>
                      <w:szCs w:val="21"/>
                    </w:rPr>
                    <w:t>内平衡，无需申请总量</w:t>
                  </w:r>
                  <w:r>
                    <w:rPr>
                      <w:bCs/>
                      <w:szCs w:val="21"/>
                    </w:rPr>
                    <w:t>。</w:t>
                  </w:r>
                </w:p>
              </w:tc>
              <w:tc>
                <w:tcPr>
                  <w:tcW w:w="1259" w:type="dxa"/>
                  <w:vAlign w:val="center"/>
                </w:tcPr>
                <w:p w14:paraId="1B953B58" w14:textId="77777777" w:rsidR="00F76A63" w:rsidRDefault="00000000">
                  <w:pPr>
                    <w:adjustRightInd w:val="0"/>
                    <w:snapToGrid w:val="0"/>
                    <w:jc w:val="center"/>
                    <w:rPr>
                      <w:szCs w:val="21"/>
                    </w:rPr>
                  </w:pPr>
                  <w:r>
                    <w:rPr>
                      <w:szCs w:val="21"/>
                    </w:rPr>
                    <w:t>符合</w:t>
                  </w:r>
                </w:p>
              </w:tc>
            </w:tr>
            <w:tr w:rsidR="00F76A63" w14:paraId="11652800" w14:textId="77777777">
              <w:trPr>
                <w:trHeight w:val="23"/>
                <w:jc w:val="center"/>
              </w:trPr>
              <w:tc>
                <w:tcPr>
                  <w:tcW w:w="3033" w:type="dxa"/>
                  <w:gridSpan w:val="2"/>
                  <w:vAlign w:val="center"/>
                </w:tcPr>
                <w:p w14:paraId="296C9D7D" w14:textId="77777777" w:rsidR="00F76A63" w:rsidRDefault="00000000">
                  <w:pPr>
                    <w:adjustRightInd w:val="0"/>
                    <w:snapToGrid w:val="0"/>
                    <w:jc w:val="center"/>
                    <w:rPr>
                      <w:szCs w:val="21"/>
                    </w:rPr>
                  </w:pPr>
                  <w:r>
                    <w:rPr>
                      <w:szCs w:val="21"/>
                    </w:rPr>
                    <w:t>四、（</w:t>
                  </w:r>
                  <w:r>
                    <w:rPr>
                      <w:szCs w:val="21"/>
                    </w:rPr>
                    <w:t>1</w:t>
                  </w:r>
                  <w:r>
                    <w:rPr>
                      <w:szCs w:val="21"/>
                    </w:rPr>
                    <w:t>）规划环评要作为规划所包含项目环评的重要依据，对于不符合规划环评结论及审查意见的项目环评，依法不予审批。（</w:t>
                  </w:r>
                  <w:r>
                    <w:rPr>
                      <w:szCs w:val="21"/>
                    </w:rPr>
                    <w:t>2</w:t>
                  </w:r>
                  <w:r>
                    <w:rPr>
                      <w:szCs w:val="21"/>
                    </w:rPr>
                    <w:t>）对于现有同类型项目环境污染或生态破坏严重、环境违法违规现象多发，致使环境容量接近或超过承载能力的地区，在现有问题整改到位前，依法暂停审批该地区同类行业的项目环评文件。（</w:t>
                  </w:r>
                  <w:r>
                    <w:rPr>
                      <w:szCs w:val="21"/>
                    </w:rPr>
                    <w:t>3</w:t>
                  </w:r>
                  <w:r>
                    <w:rPr>
                      <w:szCs w:val="21"/>
                    </w:rPr>
                    <w:t>）对环境质量现状超标的地区，项目拟采取的措施不能满足区域环境质量改善目标管理要求的，依法不予审批其环评文件。对未达到环境质量目标考核要求的地区，除民生项目与节能减排项目外，依法暂停审批该地区新增排放相应重点污染物的项目环评文件。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2364" w:type="dxa"/>
                  <w:vAlign w:val="center"/>
                </w:tcPr>
                <w:p w14:paraId="46E27CC2" w14:textId="77777777" w:rsidR="00F76A63" w:rsidRDefault="00000000">
                  <w:pPr>
                    <w:adjustRightInd w:val="0"/>
                    <w:snapToGrid w:val="0"/>
                    <w:jc w:val="center"/>
                    <w:rPr>
                      <w:bCs/>
                      <w:szCs w:val="21"/>
                    </w:rPr>
                  </w:pPr>
                  <w:r>
                    <w:rPr>
                      <w:szCs w:val="21"/>
                    </w:rPr>
                    <w:t>本项目属于</w:t>
                  </w:r>
                  <w:r>
                    <w:rPr>
                      <w:szCs w:val="21"/>
                    </w:rPr>
                    <w:t>[N7723]</w:t>
                  </w:r>
                  <w:r>
                    <w:rPr>
                      <w:szCs w:val="21"/>
                    </w:rPr>
                    <w:t>固体废物治理，</w:t>
                  </w:r>
                  <w:r>
                    <w:rPr>
                      <w:bCs/>
                      <w:szCs w:val="21"/>
                    </w:rPr>
                    <w:t>根据《</w:t>
                  </w:r>
                  <w:r>
                    <w:rPr>
                      <w:rFonts w:hint="eastAsia"/>
                      <w:bCs/>
                      <w:szCs w:val="21"/>
                    </w:rPr>
                    <w:t>2025</w:t>
                  </w:r>
                  <w:r>
                    <w:rPr>
                      <w:rFonts w:hint="eastAsia"/>
                      <w:bCs/>
                      <w:szCs w:val="21"/>
                    </w:rPr>
                    <w:t>年度镇江市生态环境状况公报</w:t>
                  </w:r>
                  <w:r>
                    <w:rPr>
                      <w:bCs/>
                      <w:szCs w:val="21"/>
                    </w:rPr>
                    <w:t>》，对照《环境空气质量标准》（</w:t>
                  </w:r>
                  <w:r>
                    <w:rPr>
                      <w:bCs/>
                      <w:szCs w:val="21"/>
                    </w:rPr>
                    <w:t>GB3095-2026</w:t>
                  </w:r>
                  <w:r>
                    <w:rPr>
                      <w:bCs/>
                      <w:szCs w:val="21"/>
                    </w:rPr>
                    <w:t>）</w:t>
                  </w:r>
                  <w:r>
                    <w:rPr>
                      <w:rFonts w:hint="eastAsia"/>
                      <w:bCs/>
                      <w:szCs w:val="21"/>
                    </w:rPr>
                    <w:t>过渡阶段浓度限值二级标准</w:t>
                  </w:r>
                  <w:r>
                    <w:rPr>
                      <w:bCs/>
                      <w:szCs w:val="21"/>
                    </w:rPr>
                    <w:t>，臭氧、</w:t>
                  </w:r>
                  <w:r>
                    <w:rPr>
                      <w:bCs/>
                      <w:szCs w:val="21"/>
                    </w:rPr>
                    <w:t>PM</w:t>
                  </w:r>
                  <w:r>
                    <w:rPr>
                      <w:bCs/>
                      <w:szCs w:val="21"/>
                      <w:vertAlign w:val="subscript"/>
                    </w:rPr>
                    <w:t>2.5</w:t>
                  </w:r>
                  <w:r>
                    <w:rPr>
                      <w:bCs/>
                      <w:szCs w:val="21"/>
                    </w:rPr>
                    <w:t>不达标，其他各污染物均达到标准，因此项目所在区域为不达标区</w:t>
                  </w:r>
                  <w:r>
                    <w:rPr>
                      <w:szCs w:val="21"/>
                    </w:rPr>
                    <w:t>，项目建成后满足区域环境质量改善目标管理要求。</w:t>
                  </w:r>
                </w:p>
              </w:tc>
              <w:tc>
                <w:tcPr>
                  <w:tcW w:w="1259" w:type="dxa"/>
                  <w:vAlign w:val="center"/>
                </w:tcPr>
                <w:p w14:paraId="79D8E8BA" w14:textId="77777777" w:rsidR="00F76A63" w:rsidRDefault="00000000">
                  <w:pPr>
                    <w:adjustRightInd w:val="0"/>
                    <w:snapToGrid w:val="0"/>
                    <w:jc w:val="center"/>
                    <w:rPr>
                      <w:szCs w:val="21"/>
                    </w:rPr>
                  </w:pPr>
                  <w:r>
                    <w:rPr>
                      <w:szCs w:val="21"/>
                    </w:rPr>
                    <w:t>符合</w:t>
                  </w:r>
                </w:p>
              </w:tc>
            </w:tr>
            <w:tr w:rsidR="00F76A63" w14:paraId="0D2B579B" w14:textId="77777777">
              <w:trPr>
                <w:trHeight w:val="23"/>
                <w:jc w:val="center"/>
              </w:trPr>
              <w:tc>
                <w:tcPr>
                  <w:tcW w:w="3033" w:type="dxa"/>
                  <w:gridSpan w:val="2"/>
                  <w:vAlign w:val="center"/>
                </w:tcPr>
                <w:p w14:paraId="70BC485C" w14:textId="77777777" w:rsidR="00F76A63" w:rsidRDefault="00000000">
                  <w:pPr>
                    <w:adjustRightInd w:val="0"/>
                    <w:snapToGrid w:val="0"/>
                    <w:jc w:val="center"/>
                    <w:rPr>
                      <w:szCs w:val="21"/>
                    </w:rPr>
                  </w:pPr>
                  <w:r>
                    <w:rPr>
                      <w:szCs w:val="21"/>
                    </w:rPr>
                    <w:t>五、严禁在长江干流及主要支流岸线</w:t>
                  </w:r>
                  <w:r>
                    <w:rPr>
                      <w:szCs w:val="21"/>
                    </w:rPr>
                    <w:t>1</w:t>
                  </w:r>
                  <w:r>
                    <w:rPr>
                      <w:szCs w:val="21"/>
                    </w:rPr>
                    <w:t>公里范围内新建布局化工园区</w:t>
                  </w:r>
                  <w:r>
                    <w:rPr>
                      <w:szCs w:val="21"/>
                    </w:rPr>
                    <w:lastRenderedPageBreak/>
                    <w:t>和化工企业。严格化工项目环评审批，提高准入门槛，新建化工项目原则上投资额不得低于</w:t>
                  </w:r>
                  <w:r>
                    <w:rPr>
                      <w:szCs w:val="21"/>
                    </w:rPr>
                    <w:t>10</w:t>
                  </w:r>
                  <w:r>
                    <w:rPr>
                      <w:szCs w:val="21"/>
                    </w:rPr>
                    <w:t>亿元，不得新建、改建、扩建三类中间体项目。</w:t>
                  </w:r>
                </w:p>
              </w:tc>
              <w:tc>
                <w:tcPr>
                  <w:tcW w:w="2364" w:type="dxa"/>
                  <w:vAlign w:val="center"/>
                </w:tcPr>
                <w:p w14:paraId="0230F2C1" w14:textId="77777777" w:rsidR="00F76A63" w:rsidRDefault="00000000">
                  <w:pPr>
                    <w:adjustRightInd w:val="0"/>
                    <w:snapToGrid w:val="0"/>
                    <w:jc w:val="center"/>
                    <w:rPr>
                      <w:szCs w:val="21"/>
                    </w:rPr>
                  </w:pPr>
                  <w:r>
                    <w:rPr>
                      <w:szCs w:val="21"/>
                    </w:rPr>
                    <w:lastRenderedPageBreak/>
                    <w:t>本项目不属于化工企业，也不属于三类中间体项目。</w:t>
                  </w:r>
                </w:p>
              </w:tc>
              <w:tc>
                <w:tcPr>
                  <w:tcW w:w="1259" w:type="dxa"/>
                  <w:vAlign w:val="center"/>
                </w:tcPr>
                <w:p w14:paraId="2ADD7702" w14:textId="77777777" w:rsidR="00F76A63" w:rsidRDefault="00000000">
                  <w:pPr>
                    <w:adjustRightInd w:val="0"/>
                    <w:snapToGrid w:val="0"/>
                    <w:jc w:val="center"/>
                    <w:rPr>
                      <w:szCs w:val="21"/>
                    </w:rPr>
                  </w:pPr>
                  <w:r>
                    <w:rPr>
                      <w:szCs w:val="21"/>
                    </w:rPr>
                    <w:t>符合</w:t>
                  </w:r>
                </w:p>
              </w:tc>
            </w:tr>
            <w:tr w:rsidR="00F76A63" w14:paraId="6A94973F" w14:textId="77777777">
              <w:trPr>
                <w:trHeight w:val="23"/>
                <w:jc w:val="center"/>
              </w:trPr>
              <w:tc>
                <w:tcPr>
                  <w:tcW w:w="3033" w:type="dxa"/>
                  <w:gridSpan w:val="2"/>
                  <w:vAlign w:val="center"/>
                </w:tcPr>
                <w:p w14:paraId="52CC918D" w14:textId="77777777" w:rsidR="00F76A63" w:rsidRDefault="00000000">
                  <w:pPr>
                    <w:adjustRightInd w:val="0"/>
                    <w:snapToGrid w:val="0"/>
                    <w:jc w:val="center"/>
                    <w:rPr>
                      <w:szCs w:val="21"/>
                    </w:rPr>
                  </w:pPr>
                  <w:r>
                    <w:rPr>
                      <w:szCs w:val="21"/>
                    </w:rPr>
                    <w:t>六、禁止新建燃煤自备电厂。在重点地区执行《江苏省化工钢铁煤电行业环境准入和排放标准》。燃煤电厂</w:t>
                  </w:r>
                  <w:r>
                    <w:rPr>
                      <w:szCs w:val="21"/>
                    </w:rPr>
                    <w:t>2019</w:t>
                  </w:r>
                  <w:r>
                    <w:rPr>
                      <w:szCs w:val="21"/>
                    </w:rPr>
                    <w:t>年底前全部实行超低排放。</w:t>
                  </w:r>
                </w:p>
              </w:tc>
              <w:tc>
                <w:tcPr>
                  <w:tcW w:w="2364" w:type="dxa"/>
                  <w:vAlign w:val="center"/>
                </w:tcPr>
                <w:p w14:paraId="0CF8A990" w14:textId="77777777" w:rsidR="00F76A63" w:rsidRDefault="00000000">
                  <w:pPr>
                    <w:adjustRightInd w:val="0"/>
                    <w:snapToGrid w:val="0"/>
                    <w:jc w:val="center"/>
                    <w:rPr>
                      <w:szCs w:val="21"/>
                    </w:rPr>
                  </w:pPr>
                  <w:r>
                    <w:rPr>
                      <w:szCs w:val="21"/>
                    </w:rPr>
                    <w:t>本项目不属于新建燃煤自备电厂。</w:t>
                  </w:r>
                </w:p>
              </w:tc>
              <w:tc>
                <w:tcPr>
                  <w:tcW w:w="1259" w:type="dxa"/>
                  <w:vAlign w:val="center"/>
                </w:tcPr>
                <w:p w14:paraId="3A8DBCE6" w14:textId="77777777" w:rsidR="00F76A63" w:rsidRDefault="00000000">
                  <w:pPr>
                    <w:adjustRightInd w:val="0"/>
                    <w:snapToGrid w:val="0"/>
                    <w:jc w:val="center"/>
                    <w:rPr>
                      <w:szCs w:val="21"/>
                    </w:rPr>
                  </w:pPr>
                  <w:r>
                    <w:rPr>
                      <w:szCs w:val="21"/>
                    </w:rPr>
                    <w:t>符合</w:t>
                  </w:r>
                </w:p>
              </w:tc>
            </w:tr>
            <w:tr w:rsidR="00F76A63" w14:paraId="269774E6" w14:textId="77777777">
              <w:trPr>
                <w:trHeight w:val="23"/>
                <w:jc w:val="center"/>
              </w:trPr>
              <w:tc>
                <w:tcPr>
                  <w:tcW w:w="3033" w:type="dxa"/>
                  <w:gridSpan w:val="2"/>
                  <w:vAlign w:val="center"/>
                </w:tcPr>
                <w:p w14:paraId="617B47F7" w14:textId="77777777" w:rsidR="00F76A63" w:rsidRDefault="00000000">
                  <w:pPr>
                    <w:adjustRightInd w:val="0"/>
                    <w:snapToGrid w:val="0"/>
                    <w:jc w:val="center"/>
                    <w:rPr>
                      <w:szCs w:val="21"/>
                    </w:rPr>
                  </w:pPr>
                  <w:r>
                    <w:rPr>
                      <w:szCs w:val="21"/>
                    </w:rPr>
                    <w:t>七、禁止</w:t>
                  </w:r>
                  <w:bookmarkStart w:id="30" w:name="OLE_LINK2"/>
                  <w:r>
                    <w:rPr>
                      <w:szCs w:val="21"/>
                    </w:rPr>
                    <w:t>建设生产和使用高</w:t>
                  </w:r>
                  <w:r>
                    <w:rPr>
                      <w:szCs w:val="21"/>
                    </w:rPr>
                    <w:t>VOCs</w:t>
                  </w:r>
                  <w:r>
                    <w:rPr>
                      <w:szCs w:val="21"/>
                    </w:rPr>
                    <w:t>含量的溶剂型涂料、油墨、胶粘剂等项目。</w:t>
                  </w:r>
                  <w:bookmarkEnd w:id="30"/>
                </w:p>
              </w:tc>
              <w:tc>
                <w:tcPr>
                  <w:tcW w:w="2364" w:type="dxa"/>
                  <w:vAlign w:val="center"/>
                </w:tcPr>
                <w:p w14:paraId="5184C724" w14:textId="77777777" w:rsidR="00F76A63" w:rsidRDefault="00000000">
                  <w:pPr>
                    <w:adjustRightInd w:val="0"/>
                    <w:snapToGrid w:val="0"/>
                    <w:jc w:val="center"/>
                    <w:rPr>
                      <w:szCs w:val="21"/>
                    </w:rPr>
                  </w:pPr>
                  <w:r>
                    <w:rPr>
                      <w:szCs w:val="21"/>
                    </w:rPr>
                    <w:t>本项目不涉及建设生产和使用高</w:t>
                  </w:r>
                  <w:r>
                    <w:rPr>
                      <w:szCs w:val="21"/>
                    </w:rPr>
                    <w:t>VOCs</w:t>
                  </w:r>
                  <w:r>
                    <w:rPr>
                      <w:szCs w:val="21"/>
                    </w:rPr>
                    <w:t>含量的溶剂型涂料、油墨、胶粘剂等。</w:t>
                  </w:r>
                </w:p>
              </w:tc>
              <w:tc>
                <w:tcPr>
                  <w:tcW w:w="1259" w:type="dxa"/>
                  <w:vAlign w:val="center"/>
                </w:tcPr>
                <w:p w14:paraId="6DD885F2" w14:textId="77777777" w:rsidR="00F76A63" w:rsidRDefault="00000000">
                  <w:pPr>
                    <w:adjustRightInd w:val="0"/>
                    <w:snapToGrid w:val="0"/>
                    <w:jc w:val="center"/>
                    <w:rPr>
                      <w:szCs w:val="21"/>
                    </w:rPr>
                  </w:pPr>
                  <w:r>
                    <w:rPr>
                      <w:szCs w:val="21"/>
                    </w:rPr>
                    <w:t>符合</w:t>
                  </w:r>
                </w:p>
              </w:tc>
            </w:tr>
            <w:tr w:rsidR="00F76A63" w14:paraId="02F6ADBB" w14:textId="77777777">
              <w:trPr>
                <w:trHeight w:val="23"/>
                <w:jc w:val="center"/>
              </w:trPr>
              <w:tc>
                <w:tcPr>
                  <w:tcW w:w="3033" w:type="dxa"/>
                  <w:gridSpan w:val="2"/>
                  <w:vAlign w:val="center"/>
                </w:tcPr>
                <w:p w14:paraId="1B6C6942" w14:textId="77777777" w:rsidR="00F76A63" w:rsidRDefault="00000000">
                  <w:pPr>
                    <w:adjustRightInd w:val="0"/>
                    <w:snapToGrid w:val="0"/>
                    <w:jc w:val="center"/>
                    <w:rPr>
                      <w:szCs w:val="21"/>
                    </w:rPr>
                  </w:pPr>
                  <w:r>
                    <w:rPr>
                      <w:szCs w:val="21"/>
                    </w:rPr>
                    <w:t>八、一律不批新的化工园区，一律不批化工园区外化工企业（除化工重点监测点和提升安全、环保、节能水平及油品质量升级、结构调整以外的改建项目），一律不批化工园区内环境基础设施不完善或长期不能稳定运行企业的新改建化工项目。新建（含搬迁）化工项目必须进入已经依法完成规划环评审查的化工园区。严禁在长江干流及主要支流岸线</w:t>
                  </w:r>
                  <w:r>
                    <w:rPr>
                      <w:szCs w:val="21"/>
                    </w:rPr>
                    <w:t>1</w:t>
                  </w:r>
                  <w:r>
                    <w:rPr>
                      <w:szCs w:val="21"/>
                    </w:rPr>
                    <w:t>公里范围内新建危化品码头。</w:t>
                  </w:r>
                </w:p>
              </w:tc>
              <w:tc>
                <w:tcPr>
                  <w:tcW w:w="2364" w:type="dxa"/>
                  <w:vAlign w:val="center"/>
                </w:tcPr>
                <w:p w14:paraId="290ECA51" w14:textId="77777777" w:rsidR="00F76A63" w:rsidRDefault="00000000">
                  <w:pPr>
                    <w:adjustRightInd w:val="0"/>
                    <w:snapToGrid w:val="0"/>
                    <w:jc w:val="center"/>
                    <w:rPr>
                      <w:szCs w:val="21"/>
                    </w:rPr>
                  </w:pPr>
                  <w:r>
                    <w:rPr>
                      <w:szCs w:val="21"/>
                    </w:rPr>
                    <w:t>本项目不涉及化工园区，不属于化工项目。</w:t>
                  </w:r>
                </w:p>
              </w:tc>
              <w:tc>
                <w:tcPr>
                  <w:tcW w:w="1259" w:type="dxa"/>
                  <w:vAlign w:val="center"/>
                </w:tcPr>
                <w:p w14:paraId="377447E3" w14:textId="77777777" w:rsidR="00F76A63" w:rsidRDefault="00000000">
                  <w:pPr>
                    <w:adjustRightInd w:val="0"/>
                    <w:snapToGrid w:val="0"/>
                    <w:jc w:val="center"/>
                    <w:rPr>
                      <w:szCs w:val="21"/>
                    </w:rPr>
                  </w:pPr>
                  <w:r>
                    <w:rPr>
                      <w:szCs w:val="21"/>
                    </w:rPr>
                    <w:t>符合</w:t>
                  </w:r>
                </w:p>
              </w:tc>
            </w:tr>
            <w:tr w:rsidR="00F76A63" w14:paraId="75170471" w14:textId="77777777">
              <w:trPr>
                <w:trHeight w:val="23"/>
                <w:jc w:val="center"/>
              </w:trPr>
              <w:tc>
                <w:tcPr>
                  <w:tcW w:w="3033" w:type="dxa"/>
                  <w:gridSpan w:val="2"/>
                  <w:vAlign w:val="center"/>
                </w:tcPr>
                <w:p w14:paraId="4C737F61" w14:textId="77777777" w:rsidR="00F76A63" w:rsidRDefault="00000000">
                  <w:pPr>
                    <w:adjustRightInd w:val="0"/>
                    <w:snapToGrid w:val="0"/>
                    <w:jc w:val="center"/>
                    <w:rPr>
                      <w:szCs w:val="21"/>
                    </w:rPr>
                  </w:pPr>
                  <w:r>
                    <w:rPr>
                      <w:szCs w:val="21"/>
                    </w:rPr>
                    <w:t>九、生态保护红线原则上按禁止开发区域的要求进行管理，严禁不符合主体功能定位的各类开发活动，严禁任意改变用途。</w:t>
                  </w:r>
                </w:p>
              </w:tc>
              <w:tc>
                <w:tcPr>
                  <w:tcW w:w="2364" w:type="dxa"/>
                  <w:vAlign w:val="center"/>
                </w:tcPr>
                <w:p w14:paraId="05EA78AC" w14:textId="77777777" w:rsidR="00F76A63" w:rsidRDefault="00000000">
                  <w:pPr>
                    <w:adjustRightInd w:val="0"/>
                    <w:snapToGrid w:val="0"/>
                    <w:jc w:val="center"/>
                    <w:rPr>
                      <w:szCs w:val="21"/>
                    </w:rPr>
                  </w:pPr>
                  <w:r>
                    <w:rPr>
                      <w:szCs w:val="21"/>
                    </w:rPr>
                    <w:t>本项目不在生态保护红线范围内。</w:t>
                  </w:r>
                </w:p>
              </w:tc>
              <w:tc>
                <w:tcPr>
                  <w:tcW w:w="1259" w:type="dxa"/>
                  <w:vAlign w:val="center"/>
                </w:tcPr>
                <w:p w14:paraId="0F240D18" w14:textId="77777777" w:rsidR="00F76A63" w:rsidRDefault="00000000">
                  <w:pPr>
                    <w:adjustRightInd w:val="0"/>
                    <w:snapToGrid w:val="0"/>
                    <w:jc w:val="center"/>
                    <w:rPr>
                      <w:szCs w:val="21"/>
                    </w:rPr>
                  </w:pPr>
                  <w:r>
                    <w:rPr>
                      <w:szCs w:val="21"/>
                    </w:rPr>
                    <w:t>符合</w:t>
                  </w:r>
                </w:p>
              </w:tc>
            </w:tr>
            <w:tr w:rsidR="00F76A63" w14:paraId="282E40D4" w14:textId="77777777">
              <w:trPr>
                <w:trHeight w:val="23"/>
                <w:jc w:val="center"/>
              </w:trPr>
              <w:tc>
                <w:tcPr>
                  <w:tcW w:w="3033" w:type="dxa"/>
                  <w:gridSpan w:val="2"/>
                  <w:vAlign w:val="center"/>
                </w:tcPr>
                <w:p w14:paraId="0F126222" w14:textId="77777777" w:rsidR="00F76A63" w:rsidRDefault="00000000">
                  <w:pPr>
                    <w:adjustRightInd w:val="0"/>
                    <w:snapToGrid w:val="0"/>
                    <w:jc w:val="center"/>
                    <w:rPr>
                      <w:szCs w:val="21"/>
                    </w:rPr>
                  </w:pPr>
                  <w:r>
                    <w:rPr>
                      <w:szCs w:val="21"/>
                    </w:rPr>
                    <w:t>十、禁止审批无法落实危险废物利用、处置途径的项目，从严审批危险废物产生量大、本地无配套利用处置能力、且需设区市统筹解决的项目。</w:t>
                  </w:r>
                </w:p>
              </w:tc>
              <w:tc>
                <w:tcPr>
                  <w:tcW w:w="2364" w:type="dxa"/>
                  <w:vAlign w:val="center"/>
                </w:tcPr>
                <w:p w14:paraId="4F4B6839" w14:textId="77777777" w:rsidR="00F76A63" w:rsidRDefault="00000000">
                  <w:pPr>
                    <w:adjustRightInd w:val="0"/>
                    <w:snapToGrid w:val="0"/>
                    <w:jc w:val="center"/>
                    <w:rPr>
                      <w:szCs w:val="21"/>
                    </w:rPr>
                  </w:pPr>
                  <w:r>
                    <w:rPr>
                      <w:szCs w:val="21"/>
                    </w:rPr>
                    <w:t>本项目不新增固废，现有项目产生的危险废物均委托有资质单位处置。</w:t>
                  </w:r>
                </w:p>
              </w:tc>
              <w:tc>
                <w:tcPr>
                  <w:tcW w:w="1259" w:type="dxa"/>
                  <w:vAlign w:val="center"/>
                </w:tcPr>
                <w:p w14:paraId="1AEA438D" w14:textId="77777777" w:rsidR="00F76A63" w:rsidRDefault="00000000">
                  <w:pPr>
                    <w:adjustRightInd w:val="0"/>
                    <w:snapToGrid w:val="0"/>
                    <w:jc w:val="center"/>
                    <w:rPr>
                      <w:szCs w:val="21"/>
                    </w:rPr>
                  </w:pPr>
                  <w:r>
                    <w:rPr>
                      <w:szCs w:val="21"/>
                    </w:rPr>
                    <w:t>符合</w:t>
                  </w:r>
                </w:p>
              </w:tc>
            </w:tr>
            <w:tr w:rsidR="00F76A63" w14:paraId="66A83EE4" w14:textId="77777777">
              <w:trPr>
                <w:trHeight w:val="23"/>
                <w:jc w:val="center"/>
              </w:trPr>
              <w:tc>
                <w:tcPr>
                  <w:tcW w:w="3033" w:type="dxa"/>
                  <w:gridSpan w:val="2"/>
                  <w:vAlign w:val="center"/>
                </w:tcPr>
                <w:p w14:paraId="1179DF3C" w14:textId="77777777" w:rsidR="00F76A63" w:rsidRDefault="00000000">
                  <w:pPr>
                    <w:adjustRightInd w:val="0"/>
                    <w:snapToGrid w:val="0"/>
                    <w:jc w:val="center"/>
                    <w:rPr>
                      <w:szCs w:val="21"/>
                    </w:rPr>
                  </w:pPr>
                  <w:r>
                    <w:rPr>
                      <w:szCs w:val="21"/>
                    </w:rPr>
                    <w:t>十一、（</w:t>
                  </w:r>
                  <w:r>
                    <w:rPr>
                      <w:szCs w:val="21"/>
                    </w:rPr>
                    <w:t>1</w:t>
                  </w:r>
                  <w:r>
                    <w:rPr>
                      <w:szCs w:val="21"/>
                    </w:rPr>
                    <w:t>）禁止建设不符合全国和省级港口布局规划以及港口总体规划的码头项目，禁止建设不符合《长江干线过江通道布局规划》的过长江通道项目。</w:t>
                  </w:r>
                </w:p>
              </w:tc>
              <w:tc>
                <w:tcPr>
                  <w:tcW w:w="2364" w:type="dxa"/>
                  <w:vAlign w:val="center"/>
                </w:tcPr>
                <w:p w14:paraId="0B75A896" w14:textId="77777777" w:rsidR="00F76A63" w:rsidRDefault="00000000">
                  <w:pPr>
                    <w:adjustRightInd w:val="0"/>
                    <w:snapToGrid w:val="0"/>
                    <w:jc w:val="center"/>
                    <w:rPr>
                      <w:szCs w:val="21"/>
                    </w:rPr>
                  </w:pPr>
                  <w:r>
                    <w:rPr>
                      <w:szCs w:val="21"/>
                    </w:rPr>
                    <w:t>本次评价内容不涉及码头项目。</w:t>
                  </w:r>
                </w:p>
              </w:tc>
              <w:tc>
                <w:tcPr>
                  <w:tcW w:w="1259" w:type="dxa"/>
                  <w:vAlign w:val="center"/>
                </w:tcPr>
                <w:p w14:paraId="3BD14747" w14:textId="77777777" w:rsidR="00F76A63" w:rsidRDefault="00000000">
                  <w:pPr>
                    <w:adjustRightInd w:val="0"/>
                    <w:snapToGrid w:val="0"/>
                    <w:jc w:val="center"/>
                    <w:rPr>
                      <w:szCs w:val="21"/>
                    </w:rPr>
                  </w:pPr>
                  <w:r>
                    <w:rPr>
                      <w:szCs w:val="21"/>
                    </w:rPr>
                    <w:t>符合</w:t>
                  </w:r>
                </w:p>
              </w:tc>
            </w:tr>
            <w:tr w:rsidR="00F76A63" w14:paraId="5C836AFC" w14:textId="77777777">
              <w:trPr>
                <w:trHeight w:val="23"/>
                <w:jc w:val="center"/>
              </w:trPr>
              <w:tc>
                <w:tcPr>
                  <w:tcW w:w="3033" w:type="dxa"/>
                  <w:gridSpan w:val="2"/>
                  <w:vAlign w:val="center"/>
                </w:tcPr>
                <w:p w14:paraId="5F819156" w14:textId="77777777" w:rsidR="00F76A63" w:rsidRDefault="00000000">
                  <w:pPr>
                    <w:adjustRightInd w:val="0"/>
                    <w:snapToGrid w:val="0"/>
                    <w:jc w:val="center"/>
                    <w:rPr>
                      <w:szCs w:val="21"/>
                    </w:rPr>
                  </w:pPr>
                  <w:r>
                    <w:rPr>
                      <w:szCs w:val="21"/>
                    </w:rPr>
                    <w:t>（</w:t>
                  </w:r>
                  <w:r>
                    <w:rPr>
                      <w:szCs w:val="21"/>
                    </w:rPr>
                    <w:t>2</w:t>
                  </w:r>
                  <w:r>
                    <w:rPr>
                      <w:szCs w:val="21"/>
                    </w:rPr>
                    <w:t>）禁止在自然保护区核心区、缓冲区的岸线和河段范围内投资建设旅游和生产经营项目。禁止在风景名胜区核心景区的岸线和河段范围内投资建设与风景名胜资源保护无关的项目。</w:t>
                  </w:r>
                </w:p>
              </w:tc>
              <w:tc>
                <w:tcPr>
                  <w:tcW w:w="2364" w:type="dxa"/>
                  <w:vAlign w:val="center"/>
                </w:tcPr>
                <w:p w14:paraId="08B16849" w14:textId="77777777" w:rsidR="00F76A63" w:rsidRDefault="00000000">
                  <w:pPr>
                    <w:adjustRightInd w:val="0"/>
                    <w:snapToGrid w:val="0"/>
                    <w:jc w:val="center"/>
                    <w:rPr>
                      <w:szCs w:val="21"/>
                    </w:rPr>
                  </w:pPr>
                  <w:r>
                    <w:rPr>
                      <w:szCs w:val="21"/>
                    </w:rPr>
                    <w:t>本项目不涉及相关区域。</w:t>
                  </w:r>
                </w:p>
              </w:tc>
              <w:tc>
                <w:tcPr>
                  <w:tcW w:w="1259" w:type="dxa"/>
                  <w:vAlign w:val="center"/>
                </w:tcPr>
                <w:p w14:paraId="18FA7C68" w14:textId="77777777" w:rsidR="00F76A63" w:rsidRDefault="00000000">
                  <w:pPr>
                    <w:adjustRightInd w:val="0"/>
                    <w:snapToGrid w:val="0"/>
                    <w:jc w:val="center"/>
                    <w:rPr>
                      <w:szCs w:val="21"/>
                    </w:rPr>
                  </w:pPr>
                  <w:r>
                    <w:rPr>
                      <w:szCs w:val="21"/>
                    </w:rPr>
                    <w:t>符合</w:t>
                  </w:r>
                </w:p>
              </w:tc>
            </w:tr>
            <w:tr w:rsidR="00F76A63" w14:paraId="7A4E7096" w14:textId="77777777">
              <w:trPr>
                <w:trHeight w:val="23"/>
                <w:jc w:val="center"/>
              </w:trPr>
              <w:tc>
                <w:tcPr>
                  <w:tcW w:w="3033" w:type="dxa"/>
                  <w:gridSpan w:val="2"/>
                  <w:vAlign w:val="center"/>
                </w:tcPr>
                <w:p w14:paraId="38AC3125" w14:textId="77777777" w:rsidR="00F76A63" w:rsidRDefault="00000000">
                  <w:pPr>
                    <w:adjustRightInd w:val="0"/>
                    <w:snapToGrid w:val="0"/>
                    <w:jc w:val="center"/>
                    <w:rPr>
                      <w:szCs w:val="21"/>
                    </w:rPr>
                  </w:pPr>
                  <w:r>
                    <w:rPr>
                      <w:szCs w:val="21"/>
                    </w:rPr>
                    <w:lastRenderedPageBreak/>
                    <w:t>（</w:t>
                  </w:r>
                  <w:r>
                    <w:rPr>
                      <w:szCs w:val="21"/>
                    </w:rPr>
                    <w:t>3</w:t>
                  </w:r>
                  <w:r>
                    <w:rPr>
                      <w:szCs w:val="21"/>
                    </w:rPr>
                    <w:t>）禁止在饮用水水源一级保护区的岸线和河段范围内新建、改建、扩建与供水设施和保护水源无关的项目，以及网箱养殖、旅游等可能污染饮用水水体的投资建设项目。禁止在饮用水水源二级保护区的岸线和河段范围内新建、改建、扩建排放污染物的投资建设项目。</w:t>
                  </w:r>
                </w:p>
              </w:tc>
              <w:tc>
                <w:tcPr>
                  <w:tcW w:w="2364" w:type="dxa"/>
                  <w:vAlign w:val="center"/>
                </w:tcPr>
                <w:p w14:paraId="40E62BFD" w14:textId="77777777" w:rsidR="00F76A63" w:rsidRDefault="00000000">
                  <w:pPr>
                    <w:adjustRightInd w:val="0"/>
                    <w:snapToGrid w:val="0"/>
                    <w:jc w:val="center"/>
                    <w:rPr>
                      <w:szCs w:val="21"/>
                    </w:rPr>
                  </w:pPr>
                  <w:r>
                    <w:rPr>
                      <w:szCs w:val="21"/>
                    </w:rPr>
                    <w:t>本项目不涉及相关区域。</w:t>
                  </w:r>
                </w:p>
              </w:tc>
              <w:tc>
                <w:tcPr>
                  <w:tcW w:w="1259" w:type="dxa"/>
                  <w:vAlign w:val="center"/>
                </w:tcPr>
                <w:p w14:paraId="593250B1" w14:textId="77777777" w:rsidR="00F76A63" w:rsidRDefault="00000000">
                  <w:pPr>
                    <w:adjustRightInd w:val="0"/>
                    <w:snapToGrid w:val="0"/>
                    <w:jc w:val="center"/>
                    <w:rPr>
                      <w:szCs w:val="21"/>
                    </w:rPr>
                  </w:pPr>
                  <w:r>
                    <w:rPr>
                      <w:szCs w:val="21"/>
                    </w:rPr>
                    <w:t>符合</w:t>
                  </w:r>
                </w:p>
              </w:tc>
            </w:tr>
            <w:tr w:rsidR="00F76A63" w14:paraId="27C1644E" w14:textId="77777777">
              <w:trPr>
                <w:trHeight w:val="23"/>
                <w:jc w:val="center"/>
              </w:trPr>
              <w:tc>
                <w:tcPr>
                  <w:tcW w:w="3033" w:type="dxa"/>
                  <w:gridSpan w:val="2"/>
                  <w:vAlign w:val="center"/>
                </w:tcPr>
                <w:p w14:paraId="2E4225FA" w14:textId="77777777" w:rsidR="00F76A63" w:rsidRDefault="00000000">
                  <w:pPr>
                    <w:adjustRightInd w:val="0"/>
                    <w:snapToGrid w:val="0"/>
                    <w:jc w:val="center"/>
                    <w:rPr>
                      <w:szCs w:val="21"/>
                    </w:rPr>
                  </w:pPr>
                  <w:r>
                    <w:rPr>
                      <w:szCs w:val="21"/>
                    </w:rPr>
                    <w:t>（</w:t>
                  </w:r>
                  <w:r>
                    <w:rPr>
                      <w:szCs w:val="21"/>
                    </w:rPr>
                    <w:t>4</w:t>
                  </w:r>
                  <w:r>
                    <w:rPr>
                      <w:szCs w:val="21"/>
                    </w:rPr>
                    <w:t>）禁止在水产种质资源保护区的岸线和河段范围内新建排污口，以及围湖造田、围海造地或围填海等投资建设项目。禁止在国家湿地公园的岸线和河段范围内挖沙、采矿，以及任何不符合主体功能定位的投资建设项目。</w:t>
                  </w:r>
                </w:p>
              </w:tc>
              <w:tc>
                <w:tcPr>
                  <w:tcW w:w="2364" w:type="dxa"/>
                  <w:vAlign w:val="center"/>
                </w:tcPr>
                <w:p w14:paraId="3AB7A87C" w14:textId="77777777" w:rsidR="00F76A63" w:rsidRDefault="00000000">
                  <w:pPr>
                    <w:adjustRightInd w:val="0"/>
                    <w:snapToGrid w:val="0"/>
                    <w:jc w:val="center"/>
                    <w:rPr>
                      <w:szCs w:val="21"/>
                    </w:rPr>
                  </w:pPr>
                  <w:r>
                    <w:rPr>
                      <w:szCs w:val="21"/>
                    </w:rPr>
                    <w:t>本项目不新建排污口，不新增围填海。不涉及国家湿地公园的岸线和河段范围内挖沙、采矿，且符合主体功能定位。</w:t>
                  </w:r>
                </w:p>
              </w:tc>
              <w:tc>
                <w:tcPr>
                  <w:tcW w:w="1259" w:type="dxa"/>
                  <w:vAlign w:val="center"/>
                </w:tcPr>
                <w:p w14:paraId="32C76D85" w14:textId="77777777" w:rsidR="00F76A63" w:rsidRDefault="00000000">
                  <w:pPr>
                    <w:adjustRightInd w:val="0"/>
                    <w:snapToGrid w:val="0"/>
                    <w:jc w:val="center"/>
                    <w:rPr>
                      <w:szCs w:val="21"/>
                    </w:rPr>
                  </w:pPr>
                  <w:r>
                    <w:rPr>
                      <w:szCs w:val="21"/>
                    </w:rPr>
                    <w:t>符合</w:t>
                  </w:r>
                </w:p>
              </w:tc>
            </w:tr>
            <w:tr w:rsidR="00F76A63" w14:paraId="72AF0DD9" w14:textId="77777777">
              <w:trPr>
                <w:trHeight w:val="23"/>
                <w:jc w:val="center"/>
              </w:trPr>
              <w:tc>
                <w:tcPr>
                  <w:tcW w:w="3033" w:type="dxa"/>
                  <w:gridSpan w:val="2"/>
                  <w:vAlign w:val="center"/>
                </w:tcPr>
                <w:p w14:paraId="4131C7C6" w14:textId="77777777" w:rsidR="00F76A63" w:rsidRDefault="00000000">
                  <w:pPr>
                    <w:adjustRightInd w:val="0"/>
                    <w:snapToGrid w:val="0"/>
                    <w:jc w:val="center"/>
                    <w:rPr>
                      <w:szCs w:val="21"/>
                    </w:rPr>
                  </w:pPr>
                  <w:r>
                    <w:rPr>
                      <w:szCs w:val="21"/>
                    </w:rPr>
                    <w:t>（</w:t>
                  </w:r>
                  <w:r>
                    <w:rPr>
                      <w:szCs w:val="21"/>
                    </w:rPr>
                    <w:t>5</w:t>
                  </w:r>
                  <w:r>
                    <w:rPr>
                      <w:szCs w:val="21"/>
                    </w:rPr>
                    <w:t>）禁止在《长江岸线保护和开发利用总体规划》划定的岸线保护区内投资建设除保障防洪安全、河势稳定、供水安全以及保护生态环境、已建重要枢纽工程以外的项目，禁止在岸线保留区内投资建设除保障防洪安全、河势稳定、供水安全、航道稳定以及保护生态环境以外的项目。禁止在《全国重要江河湖泊水功能区划》划定的河段保护区、保留区内投资建设不利于水资源及自然生态保护的项目。</w:t>
                  </w:r>
                </w:p>
              </w:tc>
              <w:tc>
                <w:tcPr>
                  <w:tcW w:w="2364" w:type="dxa"/>
                  <w:vAlign w:val="center"/>
                </w:tcPr>
                <w:p w14:paraId="2DC9BCB0" w14:textId="77777777" w:rsidR="00F76A63" w:rsidRDefault="00000000">
                  <w:pPr>
                    <w:adjustRightInd w:val="0"/>
                    <w:snapToGrid w:val="0"/>
                    <w:jc w:val="center"/>
                    <w:rPr>
                      <w:szCs w:val="21"/>
                    </w:rPr>
                  </w:pPr>
                  <w:r>
                    <w:rPr>
                      <w:szCs w:val="21"/>
                    </w:rPr>
                    <w:t>本项目不涉及相关区域。</w:t>
                  </w:r>
                </w:p>
              </w:tc>
              <w:tc>
                <w:tcPr>
                  <w:tcW w:w="1259" w:type="dxa"/>
                  <w:vAlign w:val="center"/>
                </w:tcPr>
                <w:p w14:paraId="2F5889E6" w14:textId="77777777" w:rsidR="00F76A63" w:rsidRDefault="00000000">
                  <w:pPr>
                    <w:adjustRightInd w:val="0"/>
                    <w:snapToGrid w:val="0"/>
                    <w:jc w:val="center"/>
                    <w:rPr>
                      <w:szCs w:val="21"/>
                    </w:rPr>
                  </w:pPr>
                  <w:r>
                    <w:rPr>
                      <w:szCs w:val="21"/>
                    </w:rPr>
                    <w:t>符合</w:t>
                  </w:r>
                </w:p>
              </w:tc>
            </w:tr>
            <w:tr w:rsidR="00F76A63" w14:paraId="36C85217" w14:textId="77777777">
              <w:trPr>
                <w:trHeight w:val="23"/>
                <w:jc w:val="center"/>
              </w:trPr>
              <w:tc>
                <w:tcPr>
                  <w:tcW w:w="3033" w:type="dxa"/>
                  <w:gridSpan w:val="2"/>
                  <w:vAlign w:val="center"/>
                </w:tcPr>
                <w:p w14:paraId="40B3411B" w14:textId="77777777" w:rsidR="00F76A63" w:rsidRDefault="00000000">
                  <w:pPr>
                    <w:adjustRightInd w:val="0"/>
                    <w:snapToGrid w:val="0"/>
                    <w:jc w:val="center"/>
                    <w:rPr>
                      <w:szCs w:val="21"/>
                    </w:rPr>
                  </w:pPr>
                  <w:r>
                    <w:rPr>
                      <w:szCs w:val="21"/>
                    </w:rPr>
                    <w:t>（</w:t>
                  </w:r>
                  <w:r>
                    <w:rPr>
                      <w:szCs w:val="21"/>
                    </w:rPr>
                    <w:t>6</w:t>
                  </w:r>
                  <w:r>
                    <w:rPr>
                      <w:szCs w:val="21"/>
                    </w:rPr>
                    <w:t>）禁止在生态保护红线和永久基本农田范围内投资建设除国家重大战略资源勘查项目、生态保护修复和环境治理项目、重大基础设施项目、军事国防项目以及农牧民基本生产生活等必要的民生项目以外的项目。</w:t>
                  </w:r>
                </w:p>
              </w:tc>
              <w:tc>
                <w:tcPr>
                  <w:tcW w:w="2364" w:type="dxa"/>
                  <w:vAlign w:val="center"/>
                </w:tcPr>
                <w:p w14:paraId="37D58BA4" w14:textId="77777777" w:rsidR="00F76A63" w:rsidRDefault="00000000">
                  <w:pPr>
                    <w:adjustRightInd w:val="0"/>
                    <w:snapToGrid w:val="0"/>
                    <w:jc w:val="center"/>
                    <w:rPr>
                      <w:szCs w:val="21"/>
                    </w:rPr>
                  </w:pPr>
                  <w:r>
                    <w:rPr>
                      <w:szCs w:val="21"/>
                    </w:rPr>
                    <w:t>本项目不在生态保护红线范围内。</w:t>
                  </w:r>
                </w:p>
              </w:tc>
              <w:tc>
                <w:tcPr>
                  <w:tcW w:w="1259" w:type="dxa"/>
                  <w:vAlign w:val="center"/>
                </w:tcPr>
                <w:p w14:paraId="165ADC76" w14:textId="77777777" w:rsidR="00F76A63" w:rsidRDefault="00000000">
                  <w:pPr>
                    <w:adjustRightInd w:val="0"/>
                    <w:snapToGrid w:val="0"/>
                    <w:jc w:val="center"/>
                    <w:rPr>
                      <w:szCs w:val="21"/>
                    </w:rPr>
                  </w:pPr>
                  <w:r>
                    <w:rPr>
                      <w:szCs w:val="21"/>
                    </w:rPr>
                    <w:t>符合</w:t>
                  </w:r>
                </w:p>
              </w:tc>
            </w:tr>
            <w:tr w:rsidR="00F76A63" w14:paraId="73CBBD23" w14:textId="77777777">
              <w:trPr>
                <w:trHeight w:val="23"/>
                <w:jc w:val="center"/>
              </w:trPr>
              <w:tc>
                <w:tcPr>
                  <w:tcW w:w="3033" w:type="dxa"/>
                  <w:gridSpan w:val="2"/>
                  <w:vAlign w:val="center"/>
                </w:tcPr>
                <w:p w14:paraId="3E02112D" w14:textId="77777777" w:rsidR="00F76A63" w:rsidRDefault="00000000">
                  <w:pPr>
                    <w:adjustRightInd w:val="0"/>
                    <w:snapToGrid w:val="0"/>
                    <w:jc w:val="center"/>
                    <w:rPr>
                      <w:szCs w:val="21"/>
                    </w:rPr>
                  </w:pPr>
                  <w:r>
                    <w:rPr>
                      <w:szCs w:val="21"/>
                    </w:rPr>
                    <w:t>（</w:t>
                  </w:r>
                  <w:r>
                    <w:rPr>
                      <w:szCs w:val="21"/>
                    </w:rPr>
                    <w:t>7</w:t>
                  </w:r>
                  <w:r>
                    <w:rPr>
                      <w:szCs w:val="21"/>
                    </w:rPr>
                    <w:t>）禁止在长江干支流</w:t>
                  </w:r>
                  <w:r>
                    <w:rPr>
                      <w:szCs w:val="21"/>
                    </w:rPr>
                    <w:t>1</w:t>
                  </w:r>
                  <w:r>
                    <w:rPr>
                      <w:szCs w:val="21"/>
                    </w:rPr>
                    <w:t>公里范围内新建、扩建化工园区和化工项目。禁止在合规园区外新建、扩建钢铁、石化、化工、焦化、建材、有色等高污染项目。</w:t>
                  </w:r>
                </w:p>
              </w:tc>
              <w:tc>
                <w:tcPr>
                  <w:tcW w:w="2364" w:type="dxa"/>
                  <w:vAlign w:val="center"/>
                </w:tcPr>
                <w:p w14:paraId="7059B680" w14:textId="77777777" w:rsidR="00F76A63" w:rsidRDefault="00000000">
                  <w:pPr>
                    <w:adjustRightInd w:val="0"/>
                    <w:snapToGrid w:val="0"/>
                    <w:jc w:val="center"/>
                    <w:rPr>
                      <w:szCs w:val="21"/>
                    </w:rPr>
                  </w:pPr>
                  <w:r>
                    <w:rPr>
                      <w:szCs w:val="21"/>
                    </w:rPr>
                    <w:t>本项目属于</w:t>
                  </w:r>
                  <w:r>
                    <w:rPr>
                      <w:szCs w:val="21"/>
                    </w:rPr>
                    <w:t>[N7723]</w:t>
                  </w:r>
                  <w:r>
                    <w:rPr>
                      <w:szCs w:val="21"/>
                    </w:rPr>
                    <w:t>固体废物治理，不属于高污染类项目。</w:t>
                  </w:r>
                </w:p>
              </w:tc>
              <w:tc>
                <w:tcPr>
                  <w:tcW w:w="1259" w:type="dxa"/>
                  <w:vAlign w:val="center"/>
                </w:tcPr>
                <w:p w14:paraId="3CBB2D75" w14:textId="77777777" w:rsidR="00F76A63" w:rsidRDefault="00000000">
                  <w:pPr>
                    <w:adjustRightInd w:val="0"/>
                    <w:snapToGrid w:val="0"/>
                    <w:jc w:val="center"/>
                    <w:rPr>
                      <w:szCs w:val="21"/>
                    </w:rPr>
                  </w:pPr>
                  <w:r>
                    <w:rPr>
                      <w:szCs w:val="21"/>
                    </w:rPr>
                    <w:t>符合</w:t>
                  </w:r>
                </w:p>
              </w:tc>
            </w:tr>
            <w:tr w:rsidR="00F76A63" w14:paraId="74A9AE53" w14:textId="77777777">
              <w:trPr>
                <w:trHeight w:val="23"/>
                <w:jc w:val="center"/>
              </w:trPr>
              <w:tc>
                <w:tcPr>
                  <w:tcW w:w="3033" w:type="dxa"/>
                  <w:gridSpan w:val="2"/>
                  <w:vAlign w:val="center"/>
                </w:tcPr>
                <w:p w14:paraId="6A23ED89" w14:textId="77777777" w:rsidR="00F76A63" w:rsidRDefault="00000000">
                  <w:pPr>
                    <w:adjustRightInd w:val="0"/>
                    <w:snapToGrid w:val="0"/>
                    <w:jc w:val="center"/>
                    <w:rPr>
                      <w:szCs w:val="21"/>
                    </w:rPr>
                  </w:pPr>
                  <w:r>
                    <w:rPr>
                      <w:szCs w:val="21"/>
                    </w:rPr>
                    <w:t>（</w:t>
                  </w:r>
                  <w:r>
                    <w:rPr>
                      <w:szCs w:val="21"/>
                    </w:rPr>
                    <w:t>8</w:t>
                  </w:r>
                  <w:r>
                    <w:rPr>
                      <w:szCs w:val="21"/>
                    </w:rPr>
                    <w:t>）禁止新建、扩建不符合国家石化、现代煤化工等产业布局规划的项目。</w:t>
                  </w:r>
                </w:p>
              </w:tc>
              <w:tc>
                <w:tcPr>
                  <w:tcW w:w="2364" w:type="dxa"/>
                  <w:vAlign w:val="center"/>
                </w:tcPr>
                <w:p w14:paraId="7F5C8A7D" w14:textId="77777777" w:rsidR="00F76A63" w:rsidRDefault="00000000">
                  <w:pPr>
                    <w:adjustRightInd w:val="0"/>
                    <w:snapToGrid w:val="0"/>
                    <w:jc w:val="center"/>
                    <w:rPr>
                      <w:szCs w:val="21"/>
                    </w:rPr>
                  </w:pPr>
                  <w:r>
                    <w:rPr>
                      <w:szCs w:val="21"/>
                    </w:rPr>
                    <w:t>本项目</w:t>
                  </w:r>
                  <w:bookmarkStart w:id="31" w:name="OLE_LINK33"/>
                  <w:r>
                    <w:rPr>
                      <w:szCs w:val="21"/>
                    </w:rPr>
                    <w:t>属于</w:t>
                  </w:r>
                  <w:r>
                    <w:rPr>
                      <w:szCs w:val="21"/>
                    </w:rPr>
                    <w:t>[N7723]</w:t>
                  </w:r>
                  <w:r>
                    <w:rPr>
                      <w:szCs w:val="21"/>
                    </w:rPr>
                    <w:t>固体废物治理</w:t>
                  </w:r>
                  <w:bookmarkEnd w:id="31"/>
                  <w:r>
                    <w:rPr>
                      <w:szCs w:val="21"/>
                    </w:rPr>
                    <w:t>，不属于国家石化、现代煤化工项目。</w:t>
                  </w:r>
                </w:p>
              </w:tc>
              <w:tc>
                <w:tcPr>
                  <w:tcW w:w="1259" w:type="dxa"/>
                  <w:vAlign w:val="center"/>
                </w:tcPr>
                <w:p w14:paraId="1C39E8EE" w14:textId="77777777" w:rsidR="00F76A63" w:rsidRDefault="00000000">
                  <w:pPr>
                    <w:adjustRightInd w:val="0"/>
                    <w:snapToGrid w:val="0"/>
                    <w:jc w:val="center"/>
                    <w:rPr>
                      <w:szCs w:val="21"/>
                    </w:rPr>
                  </w:pPr>
                  <w:r>
                    <w:rPr>
                      <w:szCs w:val="21"/>
                    </w:rPr>
                    <w:t>符合</w:t>
                  </w:r>
                </w:p>
              </w:tc>
            </w:tr>
            <w:tr w:rsidR="00F76A63" w14:paraId="198364E6" w14:textId="77777777">
              <w:trPr>
                <w:trHeight w:val="23"/>
                <w:jc w:val="center"/>
              </w:trPr>
              <w:tc>
                <w:tcPr>
                  <w:tcW w:w="3033" w:type="dxa"/>
                  <w:gridSpan w:val="2"/>
                  <w:vAlign w:val="center"/>
                </w:tcPr>
                <w:p w14:paraId="2C91AB60" w14:textId="77777777" w:rsidR="00F76A63" w:rsidRDefault="00000000">
                  <w:pPr>
                    <w:adjustRightInd w:val="0"/>
                    <w:snapToGrid w:val="0"/>
                    <w:jc w:val="center"/>
                    <w:rPr>
                      <w:szCs w:val="21"/>
                    </w:rPr>
                  </w:pPr>
                  <w:r>
                    <w:rPr>
                      <w:szCs w:val="21"/>
                    </w:rPr>
                    <w:t>（</w:t>
                  </w:r>
                  <w:r>
                    <w:rPr>
                      <w:szCs w:val="21"/>
                    </w:rPr>
                    <w:t>9</w:t>
                  </w:r>
                  <w:r>
                    <w:rPr>
                      <w:szCs w:val="21"/>
                    </w:rPr>
                    <w:t>）禁止新建、扩建法律法规和相关政策明令禁止的落后产能项目。</w:t>
                  </w:r>
                </w:p>
              </w:tc>
              <w:tc>
                <w:tcPr>
                  <w:tcW w:w="2364" w:type="dxa"/>
                  <w:vAlign w:val="center"/>
                </w:tcPr>
                <w:p w14:paraId="6B685A37" w14:textId="77777777" w:rsidR="00F76A63" w:rsidRDefault="00000000">
                  <w:pPr>
                    <w:adjustRightInd w:val="0"/>
                    <w:snapToGrid w:val="0"/>
                    <w:jc w:val="center"/>
                    <w:rPr>
                      <w:szCs w:val="21"/>
                    </w:rPr>
                  </w:pPr>
                  <w:r>
                    <w:rPr>
                      <w:szCs w:val="21"/>
                    </w:rPr>
                    <w:t>对照《产业结构调整指导目录（</w:t>
                  </w:r>
                  <w:r>
                    <w:rPr>
                      <w:szCs w:val="21"/>
                    </w:rPr>
                    <w:t>2024</w:t>
                  </w:r>
                  <w:r>
                    <w:rPr>
                      <w:szCs w:val="21"/>
                    </w:rPr>
                    <w:t>年本）》，本项目不属于落后产能项目。</w:t>
                  </w:r>
                </w:p>
              </w:tc>
              <w:tc>
                <w:tcPr>
                  <w:tcW w:w="1259" w:type="dxa"/>
                  <w:vAlign w:val="center"/>
                </w:tcPr>
                <w:p w14:paraId="1D59CFBE" w14:textId="77777777" w:rsidR="00F76A63" w:rsidRDefault="00000000">
                  <w:pPr>
                    <w:adjustRightInd w:val="0"/>
                    <w:snapToGrid w:val="0"/>
                    <w:jc w:val="center"/>
                    <w:rPr>
                      <w:szCs w:val="21"/>
                    </w:rPr>
                  </w:pPr>
                  <w:r>
                    <w:rPr>
                      <w:szCs w:val="21"/>
                    </w:rPr>
                    <w:t>符合</w:t>
                  </w:r>
                </w:p>
              </w:tc>
            </w:tr>
            <w:tr w:rsidR="00F76A63" w14:paraId="5D3E58C4" w14:textId="77777777">
              <w:trPr>
                <w:trHeight w:val="23"/>
                <w:jc w:val="center"/>
              </w:trPr>
              <w:tc>
                <w:tcPr>
                  <w:tcW w:w="3033" w:type="dxa"/>
                  <w:gridSpan w:val="2"/>
                  <w:vAlign w:val="center"/>
                </w:tcPr>
                <w:p w14:paraId="60C279DC" w14:textId="77777777" w:rsidR="00F76A63" w:rsidRDefault="00000000">
                  <w:pPr>
                    <w:adjustRightInd w:val="0"/>
                    <w:snapToGrid w:val="0"/>
                    <w:jc w:val="center"/>
                    <w:rPr>
                      <w:szCs w:val="21"/>
                    </w:rPr>
                  </w:pPr>
                  <w:r>
                    <w:rPr>
                      <w:szCs w:val="21"/>
                    </w:rPr>
                    <w:lastRenderedPageBreak/>
                    <w:t>（</w:t>
                  </w:r>
                  <w:r>
                    <w:rPr>
                      <w:szCs w:val="21"/>
                    </w:rPr>
                    <w:t>10</w:t>
                  </w:r>
                  <w:r>
                    <w:rPr>
                      <w:szCs w:val="21"/>
                    </w:rPr>
                    <w:t>）禁止新建、扩建不符合国家产能置换要求的严重过剩产能行业的项目。</w:t>
                  </w:r>
                </w:p>
              </w:tc>
              <w:tc>
                <w:tcPr>
                  <w:tcW w:w="2364" w:type="dxa"/>
                  <w:vAlign w:val="center"/>
                </w:tcPr>
                <w:p w14:paraId="1FC9D081" w14:textId="77777777" w:rsidR="00F76A63" w:rsidRDefault="00000000">
                  <w:pPr>
                    <w:adjustRightInd w:val="0"/>
                    <w:snapToGrid w:val="0"/>
                    <w:jc w:val="center"/>
                    <w:rPr>
                      <w:szCs w:val="21"/>
                    </w:rPr>
                  </w:pPr>
                  <w:r>
                    <w:rPr>
                      <w:szCs w:val="21"/>
                    </w:rPr>
                    <w:t>本项目不属于国家产能置换要求的严重过剩产能行业的项目。</w:t>
                  </w:r>
                </w:p>
              </w:tc>
              <w:tc>
                <w:tcPr>
                  <w:tcW w:w="1259" w:type="dxa"/>
                  <w:vAlign w:val="center"/>
                </w:tcPr>
                <w:p w14:paraId="1C50A7B4" w14:textId="77777777" w:rsidR="00F76A63" w:rsidRDefault="00000000">
                  <w:pPr>
                    <w:adjustRightInd w:val="0"/>
                    <w:snapToGrid w:val="0"/>
                    <w:jc w:val="center"/>
                    <w:rPr>
                      <w:szCs w:val="21"/>
                    </w:rPr>
                  </w:pPr>
                  <w:r>
                    <w:rPr>
                      <w:szCs w:val="21"/>
                    </w:rPr>
                    <w:t>符合</w:t>
                  </w:r>
                </w:p>
              </w:tc>
            </w:tr>
          </w:tbl>
          <w:p w14:paraId="3BE02FC5" w14:textId="77777777" w:rsidR="00F76A63" w:rsidRDefault="00000000">
            <w:pPr>
              <w:adjustRightInd w:val="0"/>
              <w:snapToGrid w:val="0"/>
              <w:spacing w:line="500" w:lineRule="exact"/>
              <w:ind w:firstLineChars="200" w:firstLine="482"/>
              <w:rPr>
                <w:b/>
                <w:bCs/>
                <w:sz w:val="24"/>
              </w:rPr>
            </w:pPr>
            <w:r>
              <w:rPr>
                <w:b/>
                <w:bCs/>
                <w:sz w:val="24"/>
              </w:rPr>
              <w:t>2</w:t>
            </w:r>
            <w:r>
              <w:rPr>
                <w:b/>
                <w:bCs/>
                <w:sz w:val="24"/>
              </w:rPr>
              <w:t>、与《水泥制造建设项目环境影响评价文件审批原则（</w:t>
            </w:r>
            <w:r>
              <w:rPr>
                <w:b/>
                <w:bCs/>
                <w:sz w:val="24"/>
              </w:rPr>
              <w:t>2024</w:t>
            </w:r>
            <w:r>
              <w:rPr>
                <w:b/>
                <w:bCs/>
                <w:sz w:val="24"/>
              </w:rPr>
              <w:t>版）》的相符性</w:t>
            </w:r>
          </w:p>
          <w:p w14:paraId="229566DE" w14:textId="77777777" w:rsidR="00F76A63" w:rsidRDefault="00000000">
            <w:pPr>
              <w:adjustRightInd w:val="0"/>
              <w:snapToGrid w:val="0"/>
              <w:spacing w:line="500" w:lineRule="exact"/>
              <w:ind w:firstLineChars="200" w:firstLine="480"/>
              <w:rPr>
                <w:sz w:val="24"/>
              </w:rPr>
            </w:pPr>
            <w:r>
              <w:rPr>
                <w:sz w:val="24"/>
              </w:rPr>
              <w:t>本项目所属行业为</w:t>
            </w:r>
            <w:r>
              <w:rPr>
                <w:sz w:val="24"/>
              </w:rPr>
              <w:t>[N7723]</w:t>
            </w:r>
            <w:r>
              <w:rPr>
                <w:sz w:val="24"/>
              </w:rPr>
              <w:t>固体废物治理，不增加水泥熟料产能。本项目与《水泥制造建设项目环境影响评价文件审批原则（</w:t>
            </w:r>
            <w:r>
              <w:rPr>
                <w:sz w:val="24"/>
              </w:rPr>
              <w:t>2024</w:t>
            </w:r>
            <w:r>
              <w:rPr>
                <w:sz w:val="24"/>
              </w:rPr>
              <w:t>版）》相关要求的相符性见表</w:t>
            </w:r>
            <w:r>
              <w:rPr>
                <w:sz w:val="24"/>
              </w:rPr>
              <w:t>1-10</w:t>
            </w:r>
            <w:r>
              <w:rPr>
                <w:sz w:val="24"/>
              </w:rPr>
              <w:t>。</w:t>
            </w:r>
          </w:p>
          <w:p w14:paraId="5898255E" w14:textId="77777777" w:rsidR="00F76A63" w:rsidRDefault="00000000">
            <w:pPr>
              <w:tabs>
                <w:tab w:val="left" w:pos="0"/>
              </w:tabs>
              <w:spacing w:line="500" w:lineRule="exact"/>
              <w:jc w:val="center"/>
              <w:rPr>
                <w:sz w:val="24"/>
              </w:rPr>
            </w:pPr>
            <w:r>
              <w:rPr>
                <w:b/>
                <w:sz w:val="24"/>
              </w:rPr>
              <w:t>表</w:t>
            </w:r>
            <w:r>
              <w:rPr>
                <w:b/>
                <w:sz w:val="24"/>
              </w:rPr>
              <w:t xml:space="preserve">1-10  </w:t>
            </w:r>
            <w:r>
              <w:rPr>
                <w:b/>
                <w:sz w:val="24"/>
              </w:rPr>
              <w:t>与《</w:t>
            </w:r>
            <w:r>
              <w:rPr>
                <w:b/>
                <w:bCs/>
                <w:sz w:val="24"/>
              </w:rPr>
              <w:t>水泥制造建设项目环境影响评价文件审批原则（</w:t>
            </w:r>
            <w:r>
              <w:rPr>
                <w:b/>
                <w:bCs/>
                <w:sz w:val="24"/>
              </w:rPr>
              <w:t>2024</w:t>
            </w:r>
            <w:r>
              <w:rPr>
                <w:b/>
                <w:bCs/>
                <w:sz w:val="24"/>
              </w:rPr>
              <w:t>版）》</w:t>
            </w:r>
            <w:r>
              <w:rPr>
                <w:b/>
                <w:sz w:val="24"/>
              </w:rPr>
              <w:t>相关要求的相符性分析</w:t>
            </w:r>
          </w:p>
          <w:tbl>
            <w:tblPr>
              <w:tblW w:w="5000" w:type="pct"/>
              <w:jc w:val="center"/>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520"/>
              <w:gridCol w:w="4010"/>
              <w:gridCol w:w="2549"/>
              <w:gridCol w:w="734"/>
            </w:tblGrid>
            <w:tr w:rsidR="00F76A63" w14:paraId="3EEEFC7D" w14:textId="77777777">
              <w:trPr>
                <w:jc w:val="center"/>
              </w:trPr>
              <w:tc>
                <w:tcPr>
                  <w:tcW w:w="492" w:type="dxa"/>
                  <w:noWrap/>
                  <w:vAlign w:val="center"/>
                </w:tcPr>
                <w:p w14:paraId="5FDE755E" w14:textId="77777777" w:rsidR="00F76A63" w:rsidRDefault="00000000">
                  <w:pPr>
                    <w:jc w:val="center"/>
                    <w:rPr>
                      <w:b/>
                      <w:bCs/>
                      <w:kern w:val="28"/>
                      <w:szCs w:val="21"/>
                    </w:rPr>
                  </w:pPr>
                  <w:r>
                    <w:rPr>
                      <w:b/>
                      <w:bCs/>
                      <w:kern w:val="28"/>
                      <w:szCs w:val="21"/>
                    </w:rPr>
                    <w:t>序号</w:t>
                  </w:r>
                </w:p>
              </w:tc>
              <w:tc>
                <w:tcPr>
                  <w:tcW w:w="3792" w:type="dxa"/>
                  <w:noWrap/>
                  <w:vAlign w:val="center"/>
                </w:tcPr>
                <w:p w14:paraId="74497867" w14:textId="77777777" w:rsidR="00F76A63" w:rsidRDefault="00000000">
                  <w:pPr>
                    <w:jc w:val="center"/>
                    <w:rPr>
                      <w:b/>
                      <w:bCs/>
                      <w:kern w:val="28"/>
                      <w:szCs w:val="21"/>
                    </w:rPr>
                  </w:pPr>
                  <w:r>
                    <w:rPr>
                      <w:b/>
                      <w:bCs/>
                      <w:kern w:val="28"/>
                      <w:szCs w:val="21"/>
                    </w:rPr>
                    <w:t>要求</w:t>
                  </w:r>
                </w:p>
              </w:tc>
              <w:tc>
                <w:tcPr>
                  <w:tcW w:w="2410" w:type="dxa"/>
                  <w:noWrap/>
                  <w:vAlign w:val="center"/>
                </w:tcPr>
                <w:p w14:paraId="419CFEC7" w14:textId="77777777" w:rsidR="00F76A63" w:rsidRDefault="00000000">
                  <w:pPr>
                    <w:jc w:val="center"/>
                    <w:rPr>
                      <w:b/>
                      <w:bCs/>
                      <w:kern w:val="28"/>
                      <w:szCs w:val="21"/>
                    </w:rPr>
                  </w:pPr>
                  <w:r>
                    <w:rPr>
                      <w:b/>
                      <w:bCs/>
                      <w:kern w:val="28"/>
                      <w:szCs w:val="21"/>
                    </w:rPr>
                    <w:t>相符性分析</w:t>
                  </w:r>
                </w:p>
              </w:tc>
              <w:tc>
                <w:tcPr>
                  <w:tcW w:w="694" w:type="dxa"/>
                  <w:noWrap/>
                  <w:vAlign w:val="center"/>
                </w:tcPr>
                <w:p w14:paraId="3EE6FFC5" w14:textId="77777777" w:rsidR="00F76A63" w:rsidRDefault="00000000">
                  <w:pPr>
                    <w:jc w:val="center"/>
                    <w:rPr>
                      <w:b/>
                      <w:bCs/>
                      <w:kern w:val="28"/>
                      <w:szCs w:val="21"/>
                    </w:rPr>
                  </w:pPr>
                  <w:r>
                    <w:rPr>
                      <w:b/>
                      <w:bCs/>
                      <w:kern w:val="28"/>
                      <w:szCs w:val="21"/>
                    </w:rPr>
                    <w:t>相符情况</w:t>
                  </w:r>
                </w:p>
              </w:tc>
            </w:tr>
            <w:tr w:rsidR="00F76A63" w14:paraId="3613CBD8" w14:textId="77777777">
              <w:trPr>
                <w:jc w:val="center"/>
              </w:trPr>
              <w:tc>
                <w:tcPr>
                  <w:tcW w:w="492" w:type="dxa"/>
                  <w:noWrap/>
                  <w:vAlign w:val="center"/>
                </w:tcPr>
                <w:p w14:paraId="71590BAB" w14:textId="77777777" w:rsidR="00F76A63" w:rsidRDefault="00000000">
                  <w:pPr>
                    <w:jc w:val="center"/>
                    <w:rPr>
                      <w:bCs/>
                      <w:kern w:val="28"/>
                      <w:szCs w:val="21"/>
                    </w:rPr>
                  </w:pPr>
                  <w:r>
                    <w:rPr>
                      <w:bCs/>
                      <w:kern w:val="28"/>
                      <w:szCs w:val="21"/>
                    </w:rPr>
                    <w:t>第一条</w:t>
                  </w:r>
                </w:p>
              </w:tc>
              <w:tc>
                <w:tcPr>
                  <w:tcW w:w="3792" w:type="dxa"/>
                  <w:noWrap/>
                  <w:vAlign w:val="center"/>
                </w:tcPr>
                <w:p w14:paraId="00218B2C" w14:textId="77777777" w:rsidR="00F76A63" w:rsidRDefault="00000000">
                  <w:pPr>
                    <w:jc w:val="center"/>
                    <w:rPr>
                      <w:bCs/>
                      <w:kern w:val="28"/>
                      <w:szCs w:val="21"/>
                    </w:rPr>
                  </w:pPr>
                  <w:r>
                    <w:rPr>
                      <w:bCs/>
                      <w:kern w:val="28"/>
                      <w:szCs w:val="21"/>
                    </w:rPr>
                    <w:t>本审批原则适用于《建设项目环境影响评价分类管理名录（</w:t>
                  </w:r>
                  <w:r>
                    <w:rPr>
                      <w:bCs/>
                      <w:kern w:val="28"/>
                      <w:szCs w:val="21"/>
                    </w:rPr>
                    <w:t>2021</w:t>
                  </w:r>
                  <w:r>
                    <w:rPr>
                      <w:bCs/>
                      <w:kern w:val="28"/>
                      <w:szCs w:val="21"/>
                    </w:rPr>
                    <w:t>年版）》中水泥、石灰和石膏制造</w:t>
                  </w:r>
                  <w:r>
                    <w:rPr>
                      <w:bCs/>
                      <w:kern w:val="28"/>
                      <w:szCs w:val="21"/>
                    </w:rPr>
                    <w:t>301</w:t>
                  </w:r>
                  <w:r>
                    <w:rPr>
                      <w:bCs/>
                      <w:kern w:val="28"/>
                      <w:szCs w:val="21"/>
                    </w:rPr>
                    <w:t>中的水泥制造（含水泥粉磨站），土砂石开采</w:t>
                  </w:r>
                  <w:r>
                    <w:rPr>
                      <w:bCs/>
                      <w:kern w:val="28"/>
                      <w:szCs w:val="21"/>
                    </w:rPr>
                    <w:t>101</w:t>
                  </w:r>
                  <w:r>
                    <w:rPr>
                      <w:bCs/>
                      <w:kern w:val="28"/>
                      <w:szCs w:val="21"/>
                    </w:rPr>
                    <w:t>（不含河道采砂项目）中的石灰石开采（与水泥熟料制造配套），以及危险废物利用及处置、一般工业固体废物（含污水处理污泥）处置及综合利用、生活垃圾（含餐厨废弃物）集中处置中的水泥窑协同处置固体废物建设项目环境影响评价文件的审批。</w:t>
                  </w:r>
                </w:p>
              </w:tc>
              <w:tc>
                <w:tcPr>
                  <w:tcW w:w="2410" w:type="dxa"/>
                  <w:noWrap/>
                  <w:vAlign w:val="center"/>
                </w:tcPr>
                <w:p w14:paraId="21E4C7C4" w14:textId="77777777" w:rsidR="00F76A63" w:rsidRDefault="00000000">
                  <w:pPr>
                    <w:jc w:val="center"/>
                    <w:rPr>
                      <w:bCs/>
                      <w:kern w:val="28"/>
                      <w:szCs w:val="21"/>
                    </w:rPr>
                  </w:pPr>
                  <w:r>
                    <w:rPr>
                      <w:bCs/>
                      <w:kern w:val="28"/>
                      <w:szCs w:val="21"/>
                    </w:rPr>
                    <w:t>本项目属于《建设项目环境影响评价分类管理名录（</w:t>
                  </w:r>
                  <w:r>
                    <w:rPr>
                      <w:bCs/>
                      <w:kern w:val="28"/>
                      <w:szCs w:val="21"/>
                    </w:rPr>
                    <w:t>2021</w:t>
                  </w:r>
                  <w:r>
                    <w:rPr>
                      <w:bCs/>
                      <w:kern w:val="28"/>
                      <w:szCs w:val="21"/>
                    </w:rPr>
                    <w:t>年版）》中一般工业固体废物（含污水处理污泥）处置及综合利用的水泥窑协同处置固体废物建设项目，适用于该审批原则。</w:t>
                  </w:r>
                </w:p>
              </w:tc>
              <w:tc>
                <w:tcPr>
                  <w:tcW w:w="694" w:type="dxa"/>
                  <w:noWrap/>
                  <w:vAlign w:val="center"/>
                </w:tcPr>
                <w:p w14:paraId="60D06732" w14:textId="77777777" w:rsidR="00F76A63" w:rsidRDefault="00000000">
                  <w:pPr>
                    <w:jc w:val="center"/>
                    <w:rPr>
                      <w:bCs/>
                      <w:kern w:val="28"/>
                      <w:szCs w:val="21"/>
                    </w:rPr>
                  </w:pPr>
                  <w:r>
                    <w:rPr>
                      <w:bCs/>
                      <w:kern w:val="28"/>
                      <w:szCs w:val="21"/>
                    </w:rPr>
                    <w:t>相符</w:t>
                  </w:r>
                </w:p>
              </w:tc>
            </w:tr>
            <w:tr w:rsidR="00F76A63" w14:paraId="59477591" w14:textId="77777777">
              <w:trPr>
                <w:trHeight w:val="1674"/>
                <w:jc w:val="center"/>
              </w:trPr>
              <w:tc>
                <w:tcPr>
                  <w:tcW w:w="492" w:type="dxa"/>
                  <w:noWrap/>
                  <w:vAlign w:val="center"/>
                </w:tcPr>
                <w:p w14:paraId="307FFFC7" w14:textId="77777777" w:rsidR="00F76A63" w:rsidRDefault="00000000">
                  <w:pPr>
                    <w:jc w:val="center"/>
                    <w:rPr>
                      <w:bCs/>
                      <w:kern w:val="28"/>
                      <w:szCs w:val="21"/>
                    </w:rPr>
                  </w:pPr>
                  <w:r>
                    <w:rPr>
                      <w:bCs/>
                      <w:kern w:val="28"/>
                      <w:szCs w:val="21"/>
                    </w:rPr>
                    <w:t>第二条</w:t>
                  </w:r>
                </w:p>
              </w:tc>
              <w:tc>
                <w:tcPr>
                  <w:tcW w:w="3792" w:type="dxa"/>
                  <w:noWrap/>
                  <w:vAlign w:val="center"/>
                </w:tcPr>
                <w:p w14:paraId="398434C2" w14:textId="77777777" w:rsidR="00F76A63" w:rsidRDefault="00000000">
                  <w:pPr>
                    <w:jc w:val="center"/>
                    <w:rPr>
                      <w:bCs/>
                      <w:kern w:val="28"/>
                      <w:szCs w:val="21"/>
                    </w:rPr>
                  </w:pPr>
                  <w:r>
                    <w:rPr>
                      <w:bCs/>
                      <w:kern w:val="28"/>
                      <w:szCs w:val="21"/>
                    </w:rPr>
                    <w:t>项目应符合生态环境保护相关法律法规、法定规划以及相关产业结构调整、区域及行业碳达峰碳中和目标、落后产能淘汰、产能置换、煤炭消费总量控制、重点污染物总量控制等政策要求。大气污染防治重点区域严禁新增水泥熟料产能。新建水泥熟料制造项目宜配套设计开采年限不低于</w:t>
                  </w:r>
                  <w:r>
                    <w:rPr>
                      <w:bCs/>
                      <w:kern w:val="28"/>
                      <w:szCs w:val="21"/>
                    </w:rPr>
                    <w:t>30</w:t>
                  </w:r>
                  <w:r>
                    <w:rPr>
                      <w:bCs/>
                      <w:kern w:val="28"/>
                      <w:szCs w:val="21"/>
                    </w:rPr>
                    <w:t>年的石灰岩资源，利用非碳酸盐原料替代石灰岩资源项目应说明替代资源的可行性、可靠性。</w:t>
                  </w:r>
                </w:p>
              </w:tc>
              <w:tc>
                <w:tcPr>
                  <w:tcW w:w="2410" w:type="dxa"/>
                  <w:noWrap/>
                  <w:vAlign w:val="center"/>
                </w:tcPr>
                <w:p w14:paraId="1FE8CA8C" w14:textId="77777777" w:rsidR="00F76A63" w:rsidRDefault="00000000">
                  <w:pPr>
                    <w:jc w:val="center"/>
                    <w:rPr>
                      <w:bCs/>
                      <w:kern w:val="28"/>
                      <w:szCs w:val="21"/>
                    </w:rPr>
                  </w:pPr>
                  <w:r>
                    <w:rPr>
                      <w:bCs/>
                      <w:kern w:val="28"/>
                      <w:szCs w:val="21"/>
                    </w:rPr>
                    <w:t>（</w:t>
                  </w:r>
                  <w:r>
                    <w:rPr>
                      <w:bCs/>
                      <w:kern w:val="28"/>
                      <w:szCs w:val="21"/>
                    </w:rPr>
                    <w:t>1</w:t>
                  </w:r>
                  <w:r>
                    <w:rPr>
                      <w:bCs/>
                      <w:kern w:val="28"/>
                      <w:szCs w:val="21"/>
                    </w:rPr>
                    <w:t>）本项目建设符合《句容下蜀高新技术产业园开发建设规划（</w:t>
                  </w:r>
                  <w:r>
                    <w:rPr>
                      <w:bCs/>
                      <w:kern w:val="28"/>
                      <w:szCs w:val="21"/>
                    </w:rPr>
                    <w:t>2021-2035</w:t>
                  </w:r>
                  <w:r>
                    <w:rPr>
                      <w:bCs/>
                      <w:kern w:val="28"/>
                      <w:szCs w:val="21"/>
                    </w:rPr>
                    <w:t>）》《江苏省</w:t>
                  </w:r>
                  <w:r>
                    <w:rPr>
                      <w:bCs/>
                      <w:kern w:val="28"/>
                      <w:szCs w:val="21"/>
                    </w:rPr>
                    <w:t>2023</w:t>
                  </w:r>
                  <w:r>
                    <w:rPr>
                      <w:bCs/>
                      <w:kern w:val="28"/>
                      <w:szCs w:val="21"/>
                    </w:rPr>
                    <w:t>年度生态环境分区管控动态更新成果》《产业结构调整指导目录（</w:t>
                  </w:r>
                  <w:r>
                    <w:rPr>
                      <w:bCs/>
                      <w:kern w:val="28"/>
                      <w:szCs w:val="21"/>
                    </w:rPr>
                    <w:t>2024</w:t>
                  </w:r>
                  <w:r>
                    <w:rPr>
                      <w:bCs/>
                      <w:kern w:val="28"/>
                      <w:szCs w:val="21"/>
                    </w:rPr>
                    <w:t>年本）中相关要求。</w:t>
                  </w:r>
                </w:p>
                <w:p w14:paraId="40AF2F0E" w14:textId="77777777" w:rsidR="00F76A63" w:rsidRDefault="00000000">
                  <w:pPr>
                    <w:jc w:val="center"/>
                    <w:rPr>
                      <w:bCs/>
                      <w:kern w:val="28"/>
                      <w:szCs w:val="21"/>
                    </w:rPr>
                  </w:pPr>
                  <w:r>
                    <w:rPr>
                      <w:bCs/>
                      <w:kern w:val="28"/>
                      <w:szCs w:val="21"/>
                    </w:rPr>
                    <w:t>（</w:t>
                  </w:r>
                  <w:r>
                    <w:rPr>
                      <w:bCs/>
                      <w:kern w:val="28"/>
                      <w:szCs w:val="21"/>
                    </w:rPr>
                    <w:t>2</w:t>
                  </w:r>
                  <w:r>
                    <w:rPr>
                      <w:bCs/>
                      <w:kern w:val="28"/>
                      <w:szCs w:val="21"/>
                    </w:rPr>
                    <w:t>）本项目为</w:t>
                  </w:r>
                  <w:r>
                    <w:rPr>
                      <w:bCs/>
                      <w:kern w:val="28"/>
                      <w:szCs w:val="21"/>
                    </w:rPr>
                    <w:t>[N7723]</w:t>
                  </w:r>
                  <w:r>
                    <w:rPr>
                      <w:bCs/>
                      <w:kern w:val="28"/>
                      <w:szCs w:val="21"/>
                    </w:rPr>
                    <w:t>固体废物治理，位于句容台泥厂区内，不新增水泥熟料产能。</w:t>
                  </w:r>
                </w:p>
              </w:tc>
              <w:tc>
                <w:tcPr>
                  <w:tcW w:w="694" w:type="dxa"/>
                  <w:noWrap/>
                  <w:vAlign w:val="center"/>
                </w:tcPr>
                <w:p w14:paraId="1BAD0FE5" w14:textId="77777777" w:rsidR="00F76A63" w:rsidRDefault="00000000">
                  <w:pPr>
                    <w:jc w:val="center"/>
                    <w:rPr>
                      <w:bCs/>
                      <w:kern w:val="28"/>
                      <w:szCs w:val="21"/>
                    </w:rPr>
                  </w:pPr>
                  <w:r>
                    <w:rPr>
                      <w:bCs/>
                      <w:kern w:val="28"/>
                      <w:szCs w:val="21"/>
                    </w:rPr>
                    <w:t>相符</w:t>
                  </w:r>
                </w:p>
              </w:tc>
            </w:tr>
            <w:tr w:rsidR="00F76A63" w14:paraId="6E9AA39E" w14:textId="77777777">
              <w:trPr>
                <w:trHeight w:val="2597"/>
                <w:jc w:val="center"/>
              </w:trPr>
              <w:tc>
                <w:tcPr>
                  <w:tcW w:w="492" w:type="dxa"/>
                  <w:noWrap/>
                  <w:vAlign w:val="center"/>
                </w:tcPr>
                <w:p w14:paraId="2576306A" w14:textId="77777777" w:rsidR="00F76A63" w:rsidRDefault="00000000">
                  <w:pPr>
                    <w:jc w:val="center"/>
                    <w:rPr>
                      <w:bCs/>
                      <w:kern w:val="28"/>
                      <w:szCs w:val="21"/>
                    </w:rPr>
                  </w:pPr>
                  <w:r>
                    <w:rPr>
                      <w:bCs/>
                      <w:kern w:val="28"/>
                      <w:szCs w:val="21"/>
                    </w:rPr>
                    <w:lastRenderedPageBreak/>
                    <w:t>第三条</w:t>
                  </w:r>
                </w:p>
              </w:tc>
              <w:tc>
                <w:tcPr>
                  <w:tcW w:w="3792" w:type="dxa"/>
                  <w:noWrap/>
                  <w:vAlign w:val="center"/>
                </w:tcPr>
                <w:p w14:paraId="422C2C32" w14:textId="77777777" w:rsidR="00F76A63" w:rsidRDefault="00000000">
                  <w:pPr>
                    <w:jc w:val="center"/>
                    <w:rPr>
                      <w:bCs/>
                      <w:kern w:val="28"/>
                      <w:szCs w:val="21"/>
                    </w:rPr>
                  </w:pPr>
                  <w:r>
                    <w:rPr>
                      <w:bCs/>
                      <w:kern w:val="28"/>
                      <w:szCs w:val="21"/>
                    </w:rPr>
                    <w:t>项目选址应符合生态环境分区管控要求，不得位于法律法规明令禁止建设的区域，应避开生态保护红线。新建、扩建水泥熟料制造项目不得位于城镇和集中居民区全年最大频率风向的上风侧。水泥窑协同处置固体废物项目选址还应符合《水泥窑协同处置固体废物污染控制标准》（</w:t>
                  </w:r>
                  <w:r>
                    <w:rPr>
                      <w:bCs/>
                      <w:kern w:val="28"/>
                      <w:szCs w:val="21"/>
                    </w:rPr>
                    <w:t>GB30485</w:t>
                  </w:r>
                  <w:r>
                    <w:rPr>
                      <w:bCs/>
                      <w:kern w:val="28"/>
                      <w:szCs w:val="21"/>
                    </w:rPr>
                    <w:t>）、《水泥窑协同处置工业废物设计规范》（</w:t>
                  </w:r>
                  <w:r>
                    <w:rPr>
                      <w:bCs/>
                      <w:kern w:val="28"/>
                      <w:szCs w:val="21"/>
                    </w:rPr>
                    <w:t>GB50634</w:t>
                  </w:r>
                  <w:r>
                    <w:rPr>
                      <w:bCs/>
                      <w:kern w:val="28"/>
                      <w:szCs w:val="21"/>
                    </w:rPr>
                    <w:t>）、《水泥窑协同处置固体废物环境保护技术规范》（</w:t>
                  </w:r>
                  <w:r>
                    <w:rPr>
                      <w:bCs/>
                      <w:kern w:val="28"/>
                      <w:szCs w:val="21"/>
                    </w:rPr>
                    <w:t>HJ662</w:t>
                  </w:r>
                  <w:r>
                    <w:rPr>
                      <w:bCs/>
                      <w:kern w:val="28"/>
                      <w:szCs w:val="21"/>
                    </w:rPr>
                    <w:t>）等要求。</w:t>
                  </w:r>
                </w:p>
              </w:tc>
              <w:tc>
                <w:tcPr>
                  <w:tcW w:w="2410" w:type="dxa"/>
                  <w:noWrap/>
                  <w:vAlign w:val="center"/>
                </w:tcPr>
                <w:p w14:paraId="33A86443" w14:textId="77777777" w:rsidR="00F76A63" w:rsidRDefault="00000000">
                  <w:pPr>
                    <w:jc w:val="center"/>
                    <w:rPr>
                      <w:bCs/>
                      <w:kern w:val="28"/>
                      <w:szCs w:val="21"/>
                    </w:rPr>
                  </w:pPr>
                  <w:r>
                    <w:rPr>
                      <w:bCs/>
                      <w:kern w:val="28"/>
                      <w:szCs w:val="21"/>
                    </w:rPr>
                    <w:t>（</w:t>
                  </w:r>
                  <w:r>
                    <w:rPr>
                      <w:bCs/>
                      <w:kern w:val="28"/>
                      <w:szCs w:val="21"/>
                    </w:rPr>
                    <w:t>1</w:t>
                  </w:r>
                  <w:r>
                    <w:rPr>
                      <w:bCs/>
                      <w:kern w:val="28"/>
                      <w:szCs w:val="21"/>
                    </w:rPr>
                    <w:t>）本项目不新增水泥熟料产能，不属于新扩建水泥熟料项目。本项目在句容台泥厂区内建设，用地为工业用地，符合《江苏省</w:t>
                  </w:r>
                  <w:r>
                    <w:rPr>
                      <w:bCs/>
                      <w:kern w:val="28"/>
                      <w:szCs w:val="21"/>
                    </w:rPr>
                    <w:t>2023</w:t>
                  </w:r>
                  <w:r>
                    <w:rPr>
                      <w:bCs/>
                      <w:kern w:val="28"/>
                      <w:szCs w:val="21"/>
                    </w:rPr>
                    <w:t>年度生态环境分区管控动态更新成果》要求，不占用国家级生态保护红线保护及省级生态空间管控区域。</w:t>
                  </w:r>
                </w:p>
                <w:p w14:paraId="5E1B3FF8" w14:textId="77777777" w:rsidR="00F76A63" w:rsidRDefault="00000000">
                  <w:pPr>
                    <w:jc w:val="center"/>
                    <w:rPr>
                      <w:bCs/>
                      <w:kern w:val="28"/>
                      <w:szCs w:val="21"/>
                    </w:rPr>
                  </w:pPr>
                  <w:r>
                    <w:rPr>
                      <w:bCs/>
                      <w:kern w:val="28"/>
                      <w:szCs w:val="21"/>
                    </w:rPr>
                    <w:t>（</w:t>
                  </w:r>
                  <w:r>
                    <w:rPr>
                      <w:bCs/>
                      <w:kern w:val="28"/>
                      <w:szCs w:val="21"/>
                    </w:rPr>
                    <w:t>2</w:t>
                  </w:r>
                  <w:r>
                    <w:rPr>
                      <w:bCs/>
                      <w:kern w:val="28"/>
                      <w:szCs w:val="21"/>
                    </w:rPr>
                    <w:t>）本项目选址符合《水泥窑协同处置固体废物污染控制标准》（</w:t>
                  </w:r>
                  <w:r>
                    <w:rPr>
                      <w:bCs/>
                      <w:kern w:val="28"/>
                      <w:szCs w:val="21"/>
                    </w:rPr>
                    <w:t>GB30485</w:t>
                  </w:r>
                  <w:r>
                    <w:rPr>
                      <w:bCs/>
                      <w:kern w:val="28"/>
                      <w:szCs w:val="21"/>
                    </w:rPr>
                    <w:t>）、《水泥窑协同处置工业废物设计规范》（</w:t>
                  </w:r>
                  <w:r>
                    <w:rPr>
                      <w:bCs/>
                      <w:kern w:val="28"/>
                      <w:szCs w:val="21"/>
                    </w:rPr>
                    <w:t>GB50634</w:t>
                  </w:r>
                  <w:r>
                    <w:rPr>
                      <w:bCs/>
                      <w:kern w:val="28"/>
                      <w:szCs w:val="21"/>
                    </w:rPr>
                    <w:t>）、《水泥窑协同处置固体废物环境保护技术规范》（</w:t>
                  </w:r>
                  <w:r>
                    <w:rPr>
                      <w:bCs/>
                      <w:kern w:val="28"/>
                      <w:szCs w:val="21"/>
                    </w:rPr>
                    <w:t>HJ662</w:t>
                  </w:r>
                  <w:r>
                    <w:rPr>
                      <w:bCs/>
                      <w:kern w:val="28"/>
                      <w:szCs w:val="21"/>
                    </w:rPr>
                    <w:t>）等要求，具体相符性分析详见后续表格。</w:t>
                  </w:r>
                </w:p>
              </w:tc>
              <w:tc>
                <w:tcPr>
                  <w:tcW w:w="694" w:type="dxa"/>
                  <w:noWrap/>
                  <w:vAlign w:val="center"/>
                </w:tcPr>
                <w:p w14:paraId="567200EF" w14:textId="77777777" w:rsidR="00F76A63" w:rsidRDefault="00000000">
                  <w:pPr>
                    <w:jc w:val="center"/>
                    <w:rPr>
                      <w:bCs/>
                      <w:kern w:val="28"/>
                      <w:szCs w:val="21"/>
                    </w:rPr>
                  </w:pPr>
                  <w:r>
                    <w:rPr>
                      <w:bCs/>
                      <w:kern w:val="28"/>
                      <w:szCs w:val="21"/>
                    </w:rPr>
                    <w:t>相符</w:t>
                  </w:r>
                </w:p>
              </w:tc>
            </w:tr>
            <w:tr w:rsidR="00F76A63" w14:paraId="6BE03B2E" w14:textId="77777777">
              <w:trPr>
                <w:jc w:val="center"/>
              </w:trPr>
              <w:tc>
                <w:tcPr>
                  <w:tcW w:w="492" w:type="dxa"/>
                  <w:noWrap/>
                  <w:vAlign w:val="center"/>
                </w:tcPr>
                <w:p w14:paraId="3D83D996" w14:textId="77777777" w:rsidR="00F76A63" w:rsidRDefault="00000000">
                  <w:pPr>
                    <w:jc w:val="center"/>
                    <w:rPr>
                      <w:bCs/>
                      <w:kern w:val="28"/>
                      <w:szCs w:val="21"/>
                    </w:rPr>
                  </w:pPr>
                  <w:r>
                    <w:rPr>
                      <w:bCs/>
                      <w:kern w:val="28"/>
                      <w:szCs w:val="21"/>
                    </w:rPr>
                    <w:t>第四条</w:t>
                  </w:r>
                </w:p>
              </w:tc>
              <w:tc>
                <w:tcPr>
                  <w:tcW w:w="3792" w:type="dxa"/>
                  <w:noWrap/>
                  <w:vAlign w:val="center"/>
                </w:tcPr>
                <w:p w14:paraId="063F2CA2" w14:textId="77777777" w:rsidR="00F76A63" w:rsidRDefault="00000000">
                  <w:pPr>
                    <w:jc w:val="center"/>
                    <w:rPr>
                      <w:bCs/>
                      <w:kern w:val="28"/>
                      <w:szCs w:val="21"/>
                    </w:rPr>
                  </w:pPr>
                  <w:r>
                    <w:rPr>
                      <w:bCs/>
                      <w:kern w:val="28"/>
                      <w:szCs w:val="21"/>
                    </w:rPr>
                    <w:t>水泥窑协同处置固体废物项目的入窑固体废物类别、规模、投加位置和投加设施等应符合《水泥窑协同处置固体废物污染控制标准》（</w:t>
                  </w:r>
                  <w:r>
                    <w:rPr>
                      <w:bCs/>
                      <w:kern w:val="28"/>
                      <w:szCs w:val="21"/>
                    </w:rPr>
                    <w:t>GB30485</w:t>
                  </w:r>
                  <w:r>
                    <w:rPr>
                      <w:bCs/>
                      <w:kern w:val="28"/>
                      <w:szCs w:val="21"/>
                    </w:rPr>
                    <w:t>）、《水泥窑协同处置固体废物环境保护技术规范》（</w:t>
                  </w:r>
                  <w:r>
                    <w:rPr>
                      <w:bCs/>
                      <w:kern w:val="28"/>
                      <w:szCs w:val="21"/>
                    </w:rPr>
                    <w:t>HJ662</w:t>
                  </w:r>
                  <w:r>
                    <w:rPr>
                      <w:bCs/>
                      <w:kern w:val="28"/>
                      <w:szCs w:val="21"/>
                    </w:rPr>
                    <w:t>）和《水泥窑协同处置危险废物经营许可证审查指南（试行）》等要求。</w:t>
                  </w:r>
                </w:p>
              </w:tc>
              <w:tc>
                <w:tcPr>
                  <w:tcW w:w="2410" w:type="dxa"/>
                  <w:noWrap/>
                  <w:vAlign w:val="center"/>
                </w:tcPr>
                <w:p w14:paraId="409FEDDC" w14:textId="77777777" w:rsidR="00F76A63" w:rsidRDefault="00000000">
                  <w:pPr>
                    <w:jc w:val="center"/>
                    <w:rPr>
                      <w:bCs/>
                      <w:kern w:val="28"/>
                      <w:szCs w:val="21"/>
                    </w:rPr>
                  </w:pPr>
                  <w:r>
                    <w:rPr>
                      <w:bCs/>
                      <w:kern w:val="28"/>
                      <w:szCs w:val="21"/>
                    </w:rPr>
                    <w:t>本项目入窑固体废物类别、规模、投加位置和投加设施等符合《水泥窑协同处置固体废物污染控制标准》（</w:t>
                  </w:r>
                  <w:r>
                    <w:rPr>
                      <w:bCs/>
                      <w:kern w:val="28"/>
                      <w:szCs w:val="21"/>
                    </w:rPr>
                    <w:t>GB30485</w:t>
                  </w:r>
                  <w:r>
                    <w:rPr>
                      <w:bCs/>
                      <w:kern w:val="28"/>
                      <w:szCs w:val="21"/>
                    </w:rPr>
                    <w:t>）、《水泥窑协同处置固体废物环境保护技术规范》（</w:t>
                  </w:r>
                  <w:r>
                    <w:rPr>
                      <w:bCs/>
                      <w:kern w:val="28"/>
                      <w:szCs w:val="21"/>
                    </w:rPr>
                    <w:t>HJ662</w:t>
                  </w:r>
                  <w:r>
                    <w:rPr>
                      <w:bCs/>
                      <w:kern w:val="28"/>
                      <w:szCs w:val="21"/>
                    </w:rPr>
                    <w:t>）等要求，具体相符性分析详见后续表格。</w:t>
                  </w:r>
                </w:p>
              </w:tc>
              <w:tc>
                <w:tcPr>
                  <w:tcW w:w="694" w:type="dxa"/>
                  <w:noWrap/>
                  <w:vAlign w:val="center"/>
                </w:tcPr>
                <w:p w14:paraId="5274F4CD" w14:textId="77777777" w:rsidR="00F76A63" w:rsidRDefault="00000000">
                  <w:pPr>
                    <w:jc w:val="center"/>
                    <w:rPr>
                      <w:bCs/>
                      <w:kern w:val="28"/>
                      <w:szCs w:val="21"/>
                    </w:rPr>
                  </w:pPr>
                  <w:r>
                    <w:rPr>
                      <w:bCs/>
                      <w:kern w:val="28"/>
                      <w:szCs w:val="21"/>
                    </w:rPr>
                    <w:t>相符</w:t>
                  </w:r>
                </w:p>
              </w:tc>
            </w:tr>
            <w:tr w:rsidR="00F76A63" w14:paraId="03744A44" w14:textId="77777777">
              <w:trPr>
                <w:trHeight w:val="256"/>
                <w:jc w:val="center"/>
              </w:trPr>
              <w:tc>
                <w:tcPr>
                  <w:tcW w:w="492" w:type="dxa"/>
                  <w:noWrap/>
                  <w:vAlign w:val="center"/>
                </w:tcPr>
                <w:p w14:paraId="144B4455" w14:textId="77777777" w:rsidR="00F76A63" w:rsidRDefault="00000000">
                  <w:pPr>
                    <w:jc w:val="center"/>
                    <w:rPr>
                      <w:bCs/>
                      <w:kern w:val="28"/>
                      <w:szCs w:val="21"/>
                    </w:rPr>
                  </w:pPr>
                  <w:r>
                    <w:rPr>
                      <w:bCs/>
                      <w:kern w:val="28"/>
                      <w:szCs w:val="21"/>
                    </w:rPr>
                    <w:t>第五条</w:t>
                  </w:r>
                </w:p>
              </w:tc>
              <w:tc>
                <w:tcPr>
                  <w:tcW w:w="3792" w:type="dxa"/>
                  <w:noWrap/>
                  <w:vAlign w:val="center"/>
                </w:tcPr>
                <w:p w14:paraId="268924A8" w14:textId="77777777" w:rsidR="00F76A63" w:rsidRDefault="00000000">
                  <w:pPr>
                    <w:jc w:val="center"/>
                    <w:rPr>
                      <w:bCs/>
                      <w:kern w:val="28"/>
                      <w:szCs w:val="21"/>
                    </w:rPr>
                  </w:pPr>
                  <w:r>
                    <w:rPr>
                      <w:bCs/>
                      <w:kern w:val="28"/>
                      <w:szCs w:val="21"/>
                    </w:rPr>
                    <w:t>新建、改建、扩建水泥熟料制造项目应采用资源利用率高、污染物产生量小的清洁生产技术、工艺和设备，单位产品的物耗、能耗、水耗、资源综合利用和污染物产生量等指标应达到清洁生产国内先进水平。水泥熟料制造项目应配置余热回收利用装置。新建水泥熟料制造项目的单位产品综合能耗应达到能效标杆水平，鼓励改建、扩建水泥熟料制造项目的单位产品综合能耗达到能效标杆水平。</w:t>
                  </w:r>
                </w:p>
              </w:tc>
              <w:tc>
                <w:tcPr>
                  <w:tcW w:w="2410" w:type="dxa"/>
                  <w:noWrap/>
                  <w:vAlign w:val="center"/>
                </w:tcPr>
                <w:p w14:paraId="76500836" w14:textId="77777777" w:rsidR="00F76A63" w:rsidRDefault="00000000">
                  <w:pPr>
                    <w:jc w:val="center"/>
                    <w:rPr>
                      <w:bCs/>
                      <w:kern w:val="28"/>
                      <w:szCs w:val="21"/>
                    </w:rPr>
                  </w:pPr>
                  <w:r>
                    <w:rPr>
                      <w:bCs/>
                      <w:kern w:val="28"/>
                      <w:szCs w:val="21"/>
                    </w:rPr>
                    <w:t>建设单位在</w:t>
                  </w:r>
                  <w:r>
                    <w:rPr>
                      <w:bCs/>
                      <w:kern w:val="28"/>
                      <w:szCs w:val="21"/>
                    </w:rPr>
                    <w:t>2023</w:t>
                  </w:r>
                  <w:r>
                    <w:rPr>
                      <w:bCs/>
                      <w:kern w:val="28"/>
                      <w:szCs w:val="21"/>
                    </w:rPr>
                    <w:t>年进行了清洁生产审核，全厂总体生产水平为清洁生产一级水平，被评定为国际清洁生产先进水平。本项目实施不会导致清洁生产水平降低。</w:t>
                  </w:r>
                </w:p>
              </w:tc>
              <w:tc>
                <w:tcPr>
                  <w:tcW w:w="694" w:type="dxa"/>
                  <w:noWrap/>
                  <w:vAlign w:val="center"/>
                </w:tcPr>
                <w:p w14:paraId="7757EEE2" w14:textId="77777777" w:rsidR="00F76A63" w:rsidRDefault="00000000">
                  <w:pPr>
                    <w:jc w:val="center"/>
                    <w:rPr>
                      <w:bCs/>
                      <w:kern w:val="28"/>
                      <w:szCs w:val="21"/>
                    </w:rPr>
                  </w:pPr>
                  <w:r>
                    <w:rPr>
                      <w:bCs/>
                      <w:kern w:val="28"/>
                      <w:szCs w:val="21"/>
                    </w:rPr>
                    <w:t>相符</w:t>
                  </w:r>
                </w:p>
              </w:tc>
            </w:tr>
            <w:tr w:rsidR="00F76A63" w14:paraId="22AB1E7C" w14:textId="77777777">
              <w:trPr>
                <w:jc w:val="center"/>
              </w:trPr>
              <w:tc>
                <w:tcPr>
                  <w:tcW w:w="492" w:type="dxa"/>
                  <w:noWrap/>
                  <w:vAlign w:val="center"/>
                </w:tcPr>
                <w:p w14:paraId="1F51D76A" w14:textId="77777777" w:rsidR="00F76A63" w:rsidRDefault="00000000">
                  <w:pPr>
                    <w:jc w:val="center"/>
                    <w:rPr>
                      <w:bCs/>
                      <w:kern w:val="28"/>
                      <w:szCs w:val="21"/>
                    </w:rPr>
                  </w:pPr>
                  <w:r>
                    <w:rPr>
                      <w:bCs/>
                      <w:kern w:val="28"/>
                      <w:szCs w:val="21"/>
                    </w:rPr>
                    <w:t>第六条</w:t>
                  </w:r>
                </w:p>
              </w:tc>
              <w:tc>
                <w:tcPr>
                  <w:tcW w:w="3792" w:type="dxa"/>
                  <w:noWrap/>
                  <w:vAlign w:val="center"/>
                </w:tcPr>
                <w:p w14:paraId="21C1C6A4" w14:textId="77777777" w:rsidR="00F76A63" w:rsidRDefault="00000000">
                  <w:pPr>
                    <w:jc w:val="center"/>
                    <w:rPr>
                      <w:bCs/>
                      <w:kern w:val="28"/>
                      <w:szCs w:val="21"/>
                    </w:rPr>
                  </w:pPr>
                  <w:r>
                    <w:rPr>
                      <w:bCs/>
                      <w:kern w:val="28"/>
                      <w:szCs w:val="21"/>
                    </w:rPr>
                    <w:t>（</w:t>
                  </w:r>
                  <w:r>
                    <w:rPr>
                      <w:bCs/>
                      <w:kern w:val="28"/>
                      <w:szCs w:val="21"/>
                    </w:rPr>
                    <w:t>1</w:t>
                  </w:r>
                  <w:r>
                    <w:rPr>
                      <w:bCs/>
                      <w:kern w:val="28"/>
                      <w:szCs w:val="21"/>
                    </w:rPr>
                    <w:t>）鼓励新建、改建、扩建水泥熟料制造项目和水泥粉磨站项目达到行业超低排放水平。对有组织、无组织废气进行控制与治理。产尘物料储存、输送应采取密闭或封闭措施；矿石破碎、原料烘干、原料均化、生料粉磨、煤粉制备、水泥粉磨、包装、散装等工序及石灰石堆棚、原煤堆</w:t>
                  </w:r>
                  <w:r>
                    <w:rPr>
                      <w:bCs/>
                      <w:kern w:val="28"/>
                      <w:szCs w:val="21"/>
                    </w:rPr>
                    <w:lastRenderedPageBreak/>
                    <w:t>棚、生料库、熟料库、水泥库等各产尘环节应配套建设相应的降尘设施；石灰石等原料优先采用铁路、水路、管状带式输送机、皮带通廊等清洁方式运输进厂；厂内运输使用新能源车辆（</w:t>
                  </w:r>
                  <w:r>
                    <w:rPr>
                      <w:bCs/>
                      <w:kern w:val="28"/>
                      <w:szCs w:val="21"/>
                    </w:rPr>
                    <w:t>2025</w:t>
                  </w:r>
                  <w:r>
                    <w:rPr>
                      <w:bCs/>
                      <w:kern w:val="28"/>
                      <w:szCs w:val="21"/>
                    </w:rPr>
                    <w:t>年底前可采用国六排放标准的车辆），厂内物料转运优先采用皮带通廊、斜槽、斗提或封闭式螺旋输送机；厂内非道路移动机械原则上采用新能源，无对应产品的满足国四及以上排放标准（</w:t>
                  </w:r>
                  <w:r>
                    <w:rPr>
                      <w:bCs/>
                      <w:kern w:val="28"/>
                      <w:szCs w:val="21"/>
                    </w:rPr>
                    <w:t>2025</w:t>
                  </w:r>
                  <w:r>
                    <w:rPr>
                      <w:bCs/>
                      <w:kern w:val="28"/>
                      <w:szCs w:val="21"/>
                    </w:rPr>
                    <w:t>年底前可采用国三排放标准非道路移动机械）。</w:t>
                  </w:r>
                </w:p>
                <w:p w14:paraId="21EE3FD8" w14:textId="77777777" w:rsidR="00F76A63" w:rsidRDefault="00000000">
                  <w:pPr>
                    <w:jc w:val="center"/>
                    <w:rPr>
                      <w:bCs/>
                      <w:kern w:val="28"/>
                      <w:szCs w:val="21"/>
                    </w:rPr>
                  </w:pPr>
                  <w:r>
                    <w:rPr>
                      <w:bCs/>
                      <w:kern w:val="28"/>
                      <w:szCs w:val="21"/>
                    </w:rPr>
                    <w:t>（</w:t>
                  </w:r>
                  <w:r>
                    <w:rPr>
                      <w:bCs/>
                      <w:kern w:val="28"/>
                      <w:szCs w:val="21"/>
                    </w:rPr>
                    <w:t>2</w:t>
                  </w:r>
                  <w:r>
                    <w:rPr>
                      <w:bCs/>
                      <w:kern w:val="28"/>
                      <w:szCs w:val="21"/>
                    </w:rPr>
                    <w:t>）水泥窑协同处置固体废物项目的固体废物贮存、预处理等设施产生的废气以及旁路放风废气应进行有效控制与治理，符合《水泥窑协同处置固体废物污染控制标准》（</w:t>
                  </w:r>
                  <w:r>
                    <w:rPr>
                      <w:bCs/>
                      <w:kern w:val="28"/>
                      <w:szCs w:val="21"/>
                    </w:rPr>
                    <w:t>GB30485</w:t>
                  </w:r>
                  <w:r>
                    <w:rPr>
                      <w:bCs/>
                      <w:kern w:val="28"/>
                      <w:szCs w:val="21"/>
                    </w:rPr>
                    <w:t>）、《水泥窑协同处置固体废物环境保护技术规范》（</w:t>
                  </w:r>
                  <w:r>
                    <w:rPr>
                      <w:bCs/>
                      <w:kern w:val="28"/>
                      <w:szCs w:val="21"/>
                    </w:rPr>
                    <w:t>HJ662</w:t>
                  </w:r>
                  <w:r>
                    <w:rPr>
                      <w:bCs/>
                      <w:kern w:val="28"/>
                      <w:szCs w:val="21"/>
                    </w:rPr>
                    <w:t>）等要求；采用导入水泥窑高温区的方式处理废气的贮存设施，还应同时配置其他气体净化装置，以备在水泥窑停窑期间使用。水泥窑协同处置固体废物项目旁路放风废气宜与窑尾烟气合并排放，无法合并排放的，应达到窑尾烟气同样的排放控制要求。</w:t>
                  </w:r>
                </w:p>
                <w:p w14:paraId="4C141922" w14:textId="77777777" w:rsidR="00F76A63" w:rsidRDefault="00000000">
                  <w:pPr>
                    <w:jc w:val="center"/>
                    <w:rPr>
                      <w:bCs/>
                      <w:kern w:val="28"/>
                      <w:szCs w:val="21"/>
                    </w:rPr>
                  </w:pPr>
                  <w:r>
                    <w:rPr>
                      <w:bCs/>
                      <w:kern w:val="28"/>
                      <w:szCs w:val="21"/>
                    </w:rPr>
                    <w:t>（</w:t>
                  </w:r>
                  <w:r>
                    <w:rPr>
                      <w:bCs/>
                      <w:kern w:val="28"/>
                      <w:szCs w:val="21"/>
                    </w:rPr>
                    <w:t>3</w:t>
                  </w:r>
                  <w:r>
                    <w:rPr>
                      <w:bCs/>
                      <w:kern w:val="28"/>
                      <w:szCs w:val="21"/>
                    </w:rPr>
                    <w:t>）石灰石开采、水泥制造项目排放的废气污染物应符合《水泥工业大气污染物排放标准》（</w:t>
                  </w:r>
                  <w:r>
                    <w:rPr>
                      <w:bCs/>
                      <w:kern w:val="28"/>
                      <w:szCs w:val="21"/>
                    </w:rPr>
                    <w:t>GB4915</w:t>
                  </w:r>
                  <w:r>
                    <w:rPr>
                      <w:bCs/>
                      <w:kern w:val="28"/>
                      <w:szCs w:val="21"/>
                    </w:rPr>
                    <w:t>）要求。水泥窑协同处置固体废物项目排放的废气污染物应符合《水泥窑协同处置固体废物污染控制标准》（</w:t>
                  </w:r>
                  <w:r>
                    <w:rPr>
                      <w:bCs/>
                      <w:kern w:val="28"/>
                      <w:szCs w:val="21"/>
                    </w:rPr>
                    <w:t>GB30485</w:t>
                  </w:r>
                  <w:r>
                    <w:rPr>
                      <w:bCs/>
                      <w:kern w:val="28"/>
                      <w:szCs w:val="21"/>
                    </w:rPr>
                    <w:t>）、《恶臭污染物排放标准》（</w:t>
                  </w:r>
                  <w:r>
                    <w:rPr>
                      <w:bCs/>
                      <w:kern w:val="28"/>
                      <w:szCs w:val="21"/>
                    </w:rPr>
                    <w:t>GB14554</w:t>
                  </w:r>
                  <w:r>
                    <w:rPr>
                      <w:bCs/>
                      <w:kern w:val="28"/>
                      <w:szCs w:val="21"/>
                    </w:rPr>
                    <w:t>）等要求。有地方污染物排放标准的，废气污染物排放还应符合地方标准要求。</w:t>
                  </w:r>
                </w:p>
                <w:p w14:paraId="3A151B1F" w14:textId="77777777" w:rsidR="00F76A63" w:rsidRDefault="00000000">
                  <w:pPr>
                    <w:jc w:val="center"/>
                    <w:rPr>
                      <w:bCs/>
                      <w:kern w:val="28"/>
                      <w:szCs w:val="21"/>
                    </w:rPr>
                  </w:pPr>
                  <w:r>
                    <w:rPr>
                      <w:bCs/>
                      <w:kern w:val="28"/>
                      <w:szCs w:val="21"/>
                    </w:rPr>
                    <w:t>（</w:t>
                  </w:r>
                  <w:r>
                    <w:rPr>
                      <w:bCs/>
                      <w:kern w:val="28"/>
                      <w:szCs w:val="21"/>
                    </w:rPr>
                    <w:t>4</w:t>
                  </w:r>
                  <w:r>
                    <w:rPr>
                      <w:bCs/>
                      <w:kern w:val="28"/>
                      <w:szCs w:val="21"/>
                    </w:rPr>
                    <w:t>）对于新建、改建、扩建水泥熟料制造项目和水泥粉磨站项目，应通过源强核算等工作，将超低排放要求以污染物排放量的形式确定下来，后续载入排污许可证。大气环境防护距离内不应有居民区、学校、医院等环境敏感目标。</w:t>
                  </w:r>
                </w:p>
              </w:tc>
              <w:tc>
                <w:tcPr>
                  <w:tcW w:w="2410" w:type="dxa"/>
                  <w:noWrap/>
                  <w:vAlign w:val="center"/>
                </w:tcPr>
                <w:p w14:paraId="56BE5212" w14:textId="77777777" w:rsidR="00F76A63" w:rsidRDefault="00000000">
                  <w:pPr>
                    <w:jc w:val="center"/>
                    <w:rPr>
                      <w:bCs/>
                      <w:kern w:val="28"/>
                      <w:szCs w:val="21"/>
                    </w:rPr>
                  </w:pPr>
                  <w:r>
                    <w:rPr>
                      <w:bCs/>
                      <w:kern w:val="28"/>
                      <w:szCs w:val="21"/>
                    </w:rPr>
                    <w:lastRenderedPageBreak/>
                    <w:t>（</w:t>
                  </w:r>
                  <w:r>
                    <w:rPr>
                      <w:bCs/>
                      <w:kern w:val="28"/>
                      <w:szCs w:val="21"/>
                    </w:rPr>
                    <w:t>1</w:t>
                  </w:r>
                  <w:r>
                    <w:rPr>
                      <w:bCs/>
                      <w:kern w:val="28"/>
                      <w:szCs w:val="21"/>
                    </w:rPr>
                    <w:t>）建设单位正对照《关于推进实施水泥行业超低排放的意见》（环大气〔</w:t>
                  </w:r>
                  <w:r>
                    <w:rPr>
                      <w:bCs/>
                      <w:kern w:val="28"/>
                      <w:szCs w:val="21"/>
                    </w:rPr>
                    <w:t>2024</w:t>
                  </w:r>
                  <w:r>
                    <w:rPr>
                      <w:bCs/>
                      <w:kern w:val="28"/>
                      <w:szCs w:val="21"/>
                    </w:rPr>
                    <w:t>〕</w:t>
                  </w:r>
                  <w:r>
                    <w:rPr>
                      <w:bCs/>
                      <w:kern w:val="28"/>
                      <w:szCs w:val="21"/>
                    </w:rPr>
                    <w:t>5</w:t>
                  </w:r>
                  <w:r>
                    <w:rPr>
                      <w:bCs/>
                      <w:kern w:val="28"/>
                      <w:szCs w:val="21"/>
                    </w:rPr>
                    <w:t>号）《江苏省水泥和焦化行业超低排放改造实施方案》（苏环办〔</w:t>
                  </w:r>
                  <w:r>
                    <w:rPr>
                      <w:bCs/>
                      <w:kern w:val="28"/>
                      <w:szCs w:val="21"/>
                    </w:rPr>
                    <w:t>2024</w:t>
                  </w:r>
                  <w:r>
                    <w:rPr>
                      <w:bCs/>
                      <w:kern w:val="28"/>
                      <w:szCs w:val="21"/>
                    </w:rPr>
                    <w:t>〕</w:t>
                  </w:r>
                  <w:r>
                    <w:rPr>
                      <w:bCs/>
                      <w:kern w:val="28"/>
                      <w:szCs w:val="21"/>
                    </w:rPr>
                    <w:t>6</w:t>
                  </w:r>
                  <w:r>
                    <w:rPr>
                      <w:bCs/>
                      <w:kern w:val="28"/>
                      <w:szCs w:val="21"/>
                    </w:rPr>
                    <w:t>号）要求开</w:t>
                  </w:r>
                  <w:r>
                    <w:rPr>
                      <w:bCs/>
                      <w:kern w:val="28"/>
                      <w:szCs w:val="21"/>
                    </w:rPr>
                    <w:lastRenderedPageBreak/>
                    <w:t>展有组织、无组织和清洁运输环节超低排放改造工作。</w:t>
                  </w:r>
                </w:p>
                <w:p w14:paraId="5E5F6643" w14:textId="77777777" w:rsidR="00F76A63" w:rsidRDefault="00000000">
                  <w:pPr>
                    <w:jc w:val="center"/>
                    <w:rPr>
                      <w:bCs/>
                      <w:kern w:val="28"/>
                      <w:szCs w:val="21"/>
                    </w:rPr>
                  </w:pPr>
                  <w:r>
                    <w:rPr>
                      <w:bCs/>
                      <w:kern w:val="28"/>
                      <w:szCs w:val="21"/>
                    </w:rPr>
                    <w:t>（</w:t>
                  </w:r>
                  <w:r>
                    <w:rPr>
                      <w:bCs/>
                      <w:kern w:val="28"/>
                      <w:szCs w:val="21"/>
                    </w:rPr>
                    <w:t>2</w:t>
                  </w:r>
                  <w:r>
                    <w:rPr>
                      <w:bCs/>
                      <w:kern w:val="28"/>
                      <w:szCs w:val="21"/>
                    </w:rPr>
                    <w:t>）本项目旁路放风废气与窑尾烟气合并排放；</w:t>
                  </w:r>
                </w:p>
                <w:p w14:paraId="0CE2FD7F" w14:textId="77777777" w:rsidR="00F76A63" w:rsidRDefault="00000000">
                  <w:pPr>
                    <w:jc w:val="center"/>
                    <w:rPr>
                      <w:bCs/>
                      <w:kern w:val="28"/>
                      <w:szCs w:val="21"/>
                    </w:rPr>
                  </w:pPr>
                  <w:r>
                    <w:rPr>
                      <w:bCs/>
                      <w:kern w:val="28"/>
                      <w:szCs w:val="21"/>
                    </w:rPr>
                    <w:t>（</w:t>
                  </w:r>
                  <w:r>
                    <w:rPr>
                      <w:bCs/>
                      <w:kern w:val="28"/>
                      <w:szCs w:val="21"/>
                    </w:rPr>
                    <w:t>3</w:t>
                  </w:r>
                  <w:r>
                    <w:rPr>
                      <w:bCs/>
                      <w:kern w:val="28"/>
                      <w:szCs w:val="21"/>
                    </w:rPr>
                    <w:t>）本项目窑尾废气符合《水泥工业大气污染物排放标准》（</w:t>
                  </w:r>
                  <w:r>
                    <w:rPr>
                      <w:bCs/>
                      <w:kern w:val="28"/>
                      <w:szCs w:val="21"/>
                    </w:rPr>
                    <w:t>DB32/4149-2021</w:t>
                  </w:r>
                  <w:r>
                    <w:rPr>
                      <w:bCs/>
                      <w:kern w:val="28"/>
                      <w:szCs w:val="21"/>
                    </w:rPr>
                    <w:t>）和《水泥窑协同处置固体废物污染控制标准》（</w:t>
                  </w:r>
                  <w:r>
                    <w:rPr>
                      <w:bCs/>
                      <w:kern w:val="28"/>
                      <w:szCs w:val="21"/>
                    </w:rPr>
                    <w:t>GB30485-2013</w:t>
                  </w:r>
                  <w:r>
                    <w:rPr>
                      <w:bCs/>
                      <w:kern w:val="28"/>
                      <w:szCs w:val="21"/>
                    </w:rPr>
                    <w:t>）要求；（</w:t>
                  </w:r>
                  <w:r>
                    <w:rPr>
                      <w:bCs/>
                      <w:kern w:val="28"/>
                      <w:szCs w:val="21"/>
                    </w:rPr>
                    <w:t>4</w:t>
                  </w:r>
                  <w:r>
                    <w:rPr>
                      <w:bCs/>
                      <w:kern w:val="28"/>
                      <w:szCs w:val="21"/>
                    </w:rPr>
                    <w:t>）目前企业正对照《关于推进实施水泥行业超低排放的意见》（环大气</w:t>
                  </w:r>
                  <w:r>
                    <w:rPr>
                      <w:bCs/>
                      <w:kern w:val="28"/>
                      <w:szCs w:val="21"/>
                    </w:rPr>
                    <w:t>[2024]5</w:t>
                  </w:r>
                  <w:r>
                    <w:rPr>
                      <w:bCs/>
                      <w:kern w:val="28"/>
                      <w:szCs w:val="21"/>
                    </w:rPr>
                    <w:t>号）《江苏省水泥和焦化行业超低排放改造实施方案》（苏环办</w:t>
                  </w:r>
                  <w:bookmarkStart w:id="32" w:name="OLE_LINK27"/>
                  <w:r>
                    <w:rPr>
                      <w:bCs/>
                      <w:kern w:val="28"/>
                      <w:szCs w:val="21"/>
                    </w:rPr>
                    <w:t>[2024]</w:t>
                  </w:r>
                  <w:bookmarkEnd w:id="32"/>
                  <w:r>
                    <w:rPr>
                      <w:bCs/>
                      <w:kern w:val="28"/>
                      <w:szCs w:val="21"/>
                    </w:rPr>
                    <w:t>6</w:t>
                  </w:r>
                  <w:r>
                    <w:rPr>
                      <w:bCs/>
                      <w:kern w:val="28"/>
                      <w:szCs w:val="21"/>
                    </w:rPr>
                    <w:t>号）要求开展有组织、无组织和清洁运输环节超低排放改造工作。</w:t>
                  </w:r>
                </w:p>
              </w:tc>
              <w:tc>
                <w:tcPr>
                  <w:tcW w:w="694" w:type="dxa"/>
                  <w:noWrap/>
                  <w:vAlign w:val="center"/>
                </w:tcPr>
                <w:p w14:paraId="7B23ACDA" w14:textId="77777777" w:rsidR="00F76A63" w:rsidRDefault="00000000">
                  <w:pPr>
                    <w:jc w:val="center"/>
                    <w:rPr>
                      <w:bCs/>
                      <w:kern w:val="28"/>
                      <w:szCs w:val="21"/>
                    </w:rPr>
                  </w:pPr>
                  <w:r>
                    <w:rPr>
                      <w:bCs/>
                      <w:kern w:val="28"/>
                      <w:szCs w:val="21"/>
                    </w:rPr>
                    <w:lastRenderedPageBreak/>
                    <w:t>相符</w:t>
                  </w:r>
                </w:p>
              </w:tc>
            </w:tr>
            <w:tr w:rsidR="00F76A63" w14:paraId="2C893C92" w14:textId="77777777">
              <w:trPr>
                <w:jc w:val="center"/>
              </w:trPr>
              <w:tc>
                <w:tcPr>
                  <w:tcW w:w="492" w:type="dxa"/>
                  <w:noWrap/>
                  <w:vAlign w:val="center"/>
                </w:tcPr>
                <w:p w14:paraId="19BD351E" w14:textId="77777777" w:rsidR="00F76A63" w:rsidRDefault="00000000">
                  <w:pPr>
                    <w:jc w:val="center"/>
                    <w:rPr>
                      <w:bCs/>
                      <w:kern w:val="28"/>
                      <w:szCs w:val="21"/>
                    </w:rPr>
                  </w:pPr>
                  <w:r>
                    <w:rPr>
                      <w:bCs/>
                      <w:kern w:val="28"/>
                      <w:szCs w:val="21"/>
                    </w:rPr>
                    <w:t>第七条</w:t>
                  </w:r>
                </w:p>
              </w:tc>
              <w:tc>
                <w:tcPr>
                  <w:tcW w:w="3792" w:type="dxa"/>
                  <w:noWrap/>
                  <w:vAlign w:val="center"/>
                </w:tcPr>
                <w:p w14:paraId="0AAB90F9" w14:textId="77777777" w:rsidR="00F76A63" w:rsidRDefault="00000000">
                  <w:pPr>
                    <w:jc w:val="center"/>
                    <w:rPr>
                      <w:bCs/>
                      <w:kern w:val="28"/>
                      <w:szCs w:val="21"/>
                    </w:rPr>
                  </w:pPr>
                  <w:r>
                    <w:rPr>
                      <w:bCs/>
                      <w:kern w:val="28"/>
                      <w:szCs w:val="21"/>
                    </w:rPr>
                    <w:t>将温室气体排放纳入水泥熟料制造项目环境影响评价，核算项目温室气体排放量，推进减污降碳协同增效，推动减碳技术创新示范应用。鼓励开展非碳酸盐原料替代，在保障水泥产品质量的前提下，提高电石渣、磷石膏、氟石膏、锰渣、赤泥、钢渣等含钙资源替代石灰石比重；提高矿渣、粉煤灰等工业废物掺加比例，降低熟料系数；鼓励使用生物质燃料、垃圾衍生</w:t>
                  </w:r>
                  <w:r>
                    <w:rPr>
                      <w:bCs/>
                      <w:kern w:val="28"/>
                      <w:szCs w:val="21"/>
                    </w:rPr>
                    <w:lastRenderedPageBreak/>
                    <w:t>燃料等替代能源；鼓励开展节能减污降碳技术改造，采用污染物和温室气体协同控制工艺技术；鼓励采用水泥窑高效预分解系统、低阻旋风预热器、高效烧成、高效篦冷机、高效节能粉磨等节能低碳技术；鼓励通过数据采集分析、窑炉优化控制等提升能源资源综合利用效率；鼓励开展碳捕集利用封存一体化等试点示范。</w:t>
                  </w:r>
                </w:p>
              </w:tc>
              <w:tc>
                <w:tcPr>
                  <w:tcW w:w="2410" w:type="dxa"/>
                  <w:noWrap/>
                  <w:vAlign w:val="center"/>
                </w:tcPr>
                <w:p w14:paraId="72E56876" w14:textId="77777777" w:rsidR="00F76A63" w:rsidRDefault="00000000">
                  <w:pPr>
                    <w:jc w:val="center"/>
                    <w:rPr>
                      <w:bCs/>
                      <w:kern w:val="28"/>
                      <w:szCs w:val="21"/>
                    </w:rPr>
                  </w:pPr>
                  <w:r>
                    <w:rPr>
                      <w:bCs/>
                      <w:kern w:val="28"/>
                      <w:szCs w:val="21"/>
                    </w:rPr>
                    <w:lastRenderedPageBreak/>
                    <w:t>本项目为水泥窑协同处置污染土及污泥，所属行业为</w:t>
                  </w:r>
                  <w:r>
                    <w:rPr>
                      <w:bCs/>
                      <w:kern w:val="28"/>
                      <w:szCs w:val="21"/>
                    </w:rPr>
                    <w:t>[N7723]</w:t>
                  </w:r>
                  <w:r>
                    <w:rPr>
                      <w:bCs/>
                      <w:kern w:val="28"/>
                      <w:szCs w:val="21"/>
                    </w:rPr>
                    <w:t>固体废物治理，符合审批原则鼓励方向。</w:t>
                  </w:r>
                </w:p>
              </w:tc>
              <w:tc>
                <w:tcPr>
                  <w:tcW w:w="694" w:type="dxa"/>
                  <w:noWrap/>
                  <w:vAlign w:val="center"/>
                </w:tcPr>
                <w:p w14:paraId="65E5660F" w14:textId="77777777" w:rsidR="00F76A63" w:rsidRDefault="00000000">
                  <w:pPr>
                    <w:jc w:val="center"/>
                    <w:rPr>
                      <w:bCs/>
                      <w:kern w:val="28"/>
                      <w:szCs w:val="21"/>
                    </w:rPr>
                  </w:pPr>
                  <w:r>
                    <w:rPr>
                      <w:bCs/>
                      <w:kern w:val="28"/>
                      <w:szCs w:val="21"/>
                    </w:rPr>
                    <w:t>相符</w:t>
                  </w:r>
                </w:p>
              </w:tc>
            </w:tr>
            <w:tr w:rsidR="00F76A63" w14:paraId="20EDE5F2" w14:textId="77777777">
              <w:trPr>
                <w:jc w:val="center"/>
              </w:trPr>
              <w:tc>
                <w:tcPr>
                  <w:tcW w:w="492" w:type="dxa"/>
                  <w:noWrap/>
                  <w:vAlign w:val="center"/>
                </w:tcPr>
                <w:p w14:paraId="27E56ED4" w14:textId="77777777" w:rsidR="00F76A63" w:rsidRDefault="00000000">
                  <w:pPr>
                    <w:jc w:val="center"/>
                    <w:rPr>
                      <w:bCs/>
                      <w:kern w:val="28"/>
                      <w:szCs w:val="21"/>
                    </w:rPr>
                  </w:pPr>
                  <w:r>
                    <w:rPr>
                      <w:bCs/>
                      <w:kern w:val="28"/>
                      <w:szCs w:val="21"/>
                    </w:rPr>
                    <w:t>第八条</w:t>
                  </w:r>
                </w:p>
              </w:tc>
              <w:tc>
                <w:tcPr>
                  <w:tcW w:w="3792" w:type="dxa"/>
                  <w:noWrap/>
                  <w:vAlign w:val="center"/>
                </w:tcPr>
                <w:p w14:paraId="27D980ED" w14:textId="77777777" w:rsidR="00F76A63" w:rsidRDefault="00000000">
                  <w:pPr>
                    <w:jc w:val="center"/>
                    <w:rPr>
                      <w:bCs/>
                      <w:kern w:val="28"/>
                      <w:szCs w:val="21"/>
                    </w:rPr>
                  </w:pPr>
                  <w:r>
                    <w:rPr>
                      <w:bCs/>
                      <w:kern w:val="28"/>
                      <w:szCs w:val="21"/>
                    </w:rPr>
                    <w:t>按照清污分流、雨污分流、分类收集、分质处理的原则，设立完善的废水分类收集、处理、回用系统，提高水循环利用率，减少废水外排量。水泥窑协同处置固体废物项目产生的渗滤液、车辆清洗废水以及其他废水等应进行收集，收集后可采用喷入水泥窑内焚烧处置、配套建设污水处理装置处理等方式进行处理处置。项目排放的废水污染物应符合《污水综合排放标准》（</w:t>
                  </w:r>
                  <w:r>
                    <w:rPr>
                      <w:bCs/>
                      <w:kern w:val="28"/>
                      <w:szCs w:val="21"/>
                    </w:rPr>
                    <w:t>GB8978</w:t>
                  </w:r>
                  <w:r>
                    <w:rPr>
                      <w:bCs/>
                      <w:kern w:val="28"/>
                      <w:szCs w:val="21"/>
                    </w:rPr>
                    <w:t>）要求；有地方污染物排放标准的，废水排放还应符合地方标准要求。</w:t>
                  </w:r>
                </w:p>
              </w:tc>
              <w:tc>
                <w:tcPr>
                  <w:tcW w:w="2410" w:type="dxa"/>
                  <w:noWrap/>
                  <w:vAlign w:val="center"/>
                </w:tcPr>
                <w:p w14:paraId="5E33C9A1" w14:textId="77777777" w:rsidR="00F76A63" w:rsidRDefault="00000000">
                  <w:pPr>
                    <w:jc w:val="center"/>
                    <w:rPr>
                      <w:bCs/>
                      <w:kern w:val="28"/>
                      <w:szCs w:val="21"/>
                    </w:rPr>
                  </w:pPr>
                  <w:r>
                    <w:rPr>
                      <w:bCs/>
                      <w:kern w:val="28"/>
                      <w:szCs w:val="21"/>
                    </w:rPr>
                    <w:t>本项目不新增生活污水，</w:t>
                  </w:r>
                  <w:r>
                    <w:rPr>
                      <w:rFonts w:hint="eastAsia"/>
                      <w:bCs/>
                      <w:kern w:val="28"/>
                      <w:szCs w:val="21"/>
                    </w:rPr>
                    <w:t>不</w:t>
                  </w:r>
                  <w:r>
                    <w:rPr>
                      <w:bCs/>
                      <w:kern w:val="28"/>
                      <w:szCs w:val="21"/>
                    </w:rPr>
                    <w:t>排放生产废水。本项目</w:t>
                  </w:r>
                  <w:r>
                    <w:rPr>
                      <w:rFonts w:hint="eastAsia"/>
                      <w:bCs/>
                      <w:kern w:val="28"/>
                      <w:szCs w:val="21"/>
                    </w:rPr>
                    <w:t>产生的废水为污泥堆放产生的渗滤液，经集水沟统一收集至原水池和生产废水一起经中水处理系统处理后回用</w:t>
                  </w:r>
                  <w:r>
                    <w:rPr>
                      <w:bCs/>
                      <w:kern w:val="28"/>
                      <w:szCs w:val="21"/>
                    </w:rPr>
                    <w:t>，现有生产废水冷却后回到循环冷却水池，回用于生产；现有生活污水经台泥厂区化粪池预处理后接管句容市下蜀污水处理有限公司集中处理，处理达标后排入老便民河。</w:t>
                  </w:r>
                </w:p>
              </w:tc>
              <w:tc>
                <w:tcPr>
                  <w:tcW w:w="694" w:type="dxa"/>
                  <w:noWrap/>
                  <w:vAlign w:val="center"/>
                </w:tcPr>
                <w:p w14:paraId="03CB14E9" w14:textId="77777777" w:rsidR="00F76A63" w:rsidRDefault="00000000">
                  <w:pPr>
                    <w:jc w:val="center"/>
                    <w:rPr>
                      <w:bCs/>
                      <w:kern w:val="28"/>
                      <w:szCs w:val="21"/>
                    </w:rPr>
                  </w:pPr>
                  <w:r>
                    <w:rPr>
                      <w:bCs/>
                      <w:kern w:val="28"/>
                      <w:szCs w:val="21"/>
                    </w:rPr>
                    <w:t>相符</w:t>
                  </w:r>
                </w:p>
              </w:tc>
            </w:tr>
            <w:tr w:rsidR="00F76A63" w14:paraId="70DABE06" w14:textId="77777777">
              <w:trPr>
                <w:trHeight w:val="823"/>
                <w:jc w:val="center"/>
              </w:trPr>
              <w:tc>
                <w:tcPr>
                  <w:tcW w:w="492" w:type="dxa"/>
                  <w:noWrap/>
                  <w:vAlign w:val="center"/>
                </w:tcPr>
                <w:p w14:paraId="619B2A56" w14:textId="77777777" w:rsidR="00F76A63" w:rsidRDefault="00000000">
                  <w:pPr>
                    <w:jc w:val="center"/>
                    <w:rPr>
                      <w:bCs/>
                      <w:kern w:val="28"/>
                      <w:szCs w:val="21"/>
                    </w:rPr>
                  </w:pPr>
                  <w:r>
                    <w:rPr>
                      <w:bCs/>
                      <w:kern w:val="28"/>
                      <w:szCs w:val="21"/>
                    </w:rPr>
                    <w:t>第九条</w:t>
                  </w:r>
                </w:p>
              </w:tc>
              <w:tc>
                <w:tcPr>
                  <w:tcW w:w="3792" w:type="dxa"/>
                  <w:noWrap/>
                  <w:vAlign w:val="center"/>
                </w:tcPr>
                <w:p w14:paraId="18B412A4" w14:textId="77777777" w:rsidR="00F76A63" w:rsidRDefault="00000000">
                  <w:pPr>
                    <w:jc w:val="center"/>
                    <w:rPr>
                      <w:bCs/>
                      <w:kern w:val="28"/>
                      <w:szCs w:val="21"/>
                    </w:rPr>
                  </w:pPr>
                  <w:r>
                    <w:rPr>
                      <w:bCs/>
                      <w:kern w:val="28"/>
                      <w:szCs w:val="21"/>
                    </w:rPr>
                    <w:t>土壤和地下水污染防治应坚持源头控制、分区防控、跟踪监测和应急响应的防控原则。项目应对涉及有毒有害物质生产、使用、贮存、运输、回收、处置、排放的装置、设备设施及场所，提出防腐蚀、防渗漏、防流失、防扬散等土壤和地下水污染防治具体措施，并根据环境保护目标的敏感程度、项目平面布局、水文地质条件采取防渗措施，提出有效的土壤、地下水监控和应急方案，避免污染土壤和地下水。对于可能受影响的地下水环境敏感目标，应提出保护措施；涉及饮用水功能的，强化地下水环境保护措施，确保饮用水安全。涉及土壤污染重点监管单位的新建、改建、扩建项目，需提出土壤污染隐患排查、土壤和地下水自行监测相关要求。</w:t>
                  </w:r>
                </w:p>
              </w:tc>
              <w:tc>
                <w:tcPr>
                  <w:tcW w:w="2410" w:type="dxa"/>
                  <w:noWrap/>
                  <w:vAlign w:val="center"/>
                </w:tcPr>
                <w:p w14:paraId="4F3BD88C" w14:textId="77777777" w:rsidR="00F76A63" w:rsidRDefault="00000000">
                  <w:pPr>
                    <w:jc w:val="center"/>
                    <w:rPr>
                      <w:bCs/>
                      <w:kern w:val="28"/>
                      <w:szCs w:val="21"/>
                    </w:rPr>
                  </w:pPr>
                  <w:r>
                    <w:rPr>
                      <w:bCs/>
                      <w:kern w:val="28"/>
                      <w:szCs w:val="21"/>
                    </w:rPr>
                    <w:t>（</w:t>
                  </w:r>
                  <w:r>
                    <w:rPr>
                      <w:bCs/>
                      <w:kern w:val="28"/>
                      <w:szCs w:val="21"/>
                    </w:rPr>
                    <w:t>1</w:t>
                  </w:r>
                  <w:r>
                    <w:rPr>
                      <w:bCs/>
                      <w:kern w:val="28"/>
                      <w:szCs w:val="21"/>
                    </w:rPr>
                    <w:t>）本项目不新增生活污水，不排放生产废水</w:t>
                  </w:r>
                  <w:r>
                    <w:rPr>
                      <w:rFonts w:hint="eastAsia"/>
                      <w:bCs/>
                      <w:kern w:val="28"/>
                      <w:szCs w:val="21"/>
                    </w:rPr>
                    <w:t>，</w:t>
                  </w:r>
                  <w:r>
                    <w:rPr>
                      <w:bCs/>
                      <w:kern w:val="28"/>
                      <w:szCs w:val="21"/>
                    </w:rPr>
                    <w:t>本项目</w:t>
                  </w:r>
                  <w:r>
                    <w:rPr>
                      <w:rFonts w:hint="eastAsia"/>
                      <w:bCs/>
                      <w:kern w:val="28"/>
                      <w:szCs w:val="21"/>
                    </w:rPr>
                    <w:t>产生的废水为污泥堆放产生的渗滤液，经集水沟统一收集至原水池和生产废水一起经中水处理系统处理后回用</w:t>
                  </w:r>
                  <w:r>
                    <w:rPr>
                      <w:bCs/>
                      <w:kern w:val="28"/>
                      <w:szCs w:val="21"/>
                    </w:rPr>
                    <w:t>；不新增固废，危险废物定期委托资质单位处置，固体废物均得到安全有效处置，生产厂区地面硬化，地面均实施防渗，正常情况下不会对项目所在地地下水环境造成影响。</w:t>
                  </w:r>
                </w:p>
                <w:p w14:paraId="45EF4AD3" w14:textId="77777777" w:rsidR="00F76A63" w:rsidRDefault="00000000">
                  <w:pPr>
                    <w:jc w:val="center"/>
                    <w:rPr>
                      <w:bCs/>
                      <w:kern w:val="28"/>
                      <w:szCs w:val="21"/>
                    </w:rPr>
                  </w:pPr>
                  <w:r>
                    <w:rPr>
                      <w:bCs/>
                      <w:kern w:val="28"/>
                      <w:szCs w:val="21"/>
                    </w:rPr>
                    <w:t>（</w:t>
                  </w:r>
                  <w:r>
                    <w:rPr>
                      <w:bCs/>
                      <w:kern w:val="28"/>
                      <w:szCs w:val="21"/>
                    </w:rPr>
                    <w:t>2</w:t>
                  </w:r>
                  <w:r>
                    <w:rPr>
                      <w:bCs/>
                      <w:kern w:val="28"/>
                      <w:szCs w:val="21"/>
                    </w:rPr>
                    <w:t>）项目不涉及有毒有害物质生产、使用、贮存、运输等，项目对可能产生土壤及地下水的设施提出了防腐蚀、防渗漏、防流失、防扬散等土壤和地下水污染防治具体措施。</w:t>
                  </w:r>
                </w:p>
                <w:p w14:paraId="081663F0" w14:textId="77777777" w:rsidR="00F76A63" w:rsidRDefault="00000000">
                  <w:pPr>
                    <w:jc w:val="center"/>
                    <w:rPr>
                      <w:bCs/>
                      <w:kern w:val="28"/>
                      <w:szCs w:val="21"/>
                    </w:rPr>
                  </w:pPr>
                  <w:r>
                    <w:rPr>
                      <w:bCs/>
                      <w:kern w:val="28"/>
                      <w:szCs w:val="21"/>
                    </w:rPr>
                    <w:t>（</w:t>
                  </w:r>
                  <w:r>
                    <w:rPr>
                      <w:bCs/>
                      <w:kern w:val="28"/>
                      <w:szCs w:val="21"/>
                    </w:rPr>
                    <w:t>3</w:t>
                  </w:r>
                  <w:r>
                    <w:rPr>
                      <w:bCs/>
                      <w:kern w:val="28"/>
                      <w:szCs w:val="21"/>
                    </w:rPr>
                    <w:t>）环境保护目标的敏感程度、项目平面布局、水文地质条件采取防渗措施，提出有效的土壤、地</w:t>
                  </w:r>
                  <w:r>
                    <w:rPr>
                      <w:bCs/>
                      <w:kern w:val="28"/>
                      <w:szCs w:val="21"/>
                    </w:rPr>
                    <w:lastRenderedPageBreak/>
                    <w:t>下水监控和应急方案，本项目废气主要污染物为颗粒物，污染物沉降对土壤影响较小。</w:t>
                  </w:r>
                </w:p>
              </w:tc>
              <w:tc>
                <w:tcPr>
                  <w:tcW w:w="694" w:type="dxa"/>
                  <w:noWrap/>
                  <w:vAlign w:val="center"/>
                </w:tcPr>
                <w:p w14:paraId="5E049526" w14:textId="77777777" w:rsidR="00F76A63" w:rsidRDefault="00000000">
                  <w:pPr>
                    <w:jc w:val="center"/>
                    <w:rPr>
                      <w:bCs/>
                      <w:kern w:val="28"/>
                      <w:szCs w:val="21"/>
                    </w:rPr>
                  </w:pPr>
                  <w:r>
                    <w:rPr>
                      <w:bCs/>
                      <w:kern w:val="28"/>
                      <w:szCs w:val="21"/>
                    </w:rPr>
                    <w:lastRenderedPageBreak/>
                    <w:t>相符</w:t>
                  </w:r>
                </w:p>
              </w:tc>
            </w:tr>
            <w:tr w:rsidR="00F76A63" w14:paraId="4F023875" w14:textId="77777777">
              <w:trPr>
                <w:jc w:val="center"/>
              </w:trPr>
              <w:tc>
                <w:tcPr>
                  <w:tcW w:w="492" w:type="dxa"/>
                  <w:noWrap/>
                  <w:vAlign w:val="center"/>
                </w:tcPr>
                <w:p w14:paraId="12B8E99D" w14:textId="77777777" w:rsidR="00F76A63" w:rsidRDefault="00000000">
                  <w:pPr>
                    <w:jc w:val="center"/>
                    <w:rPr>
                      <w:bCs/>
                      <w:kern w:val="28"/>
                      <w:szCs w:val="21"/>
                    </w:rPr>
                  </w:pPr>
                  <w:r>
                    <w:rPr>
                      <w:bCs/>
                      <w:kern w:val="28"/>
                      <w:szCs w:val="21"/>
                    </w:rPr>
                    <w:t>第十条</w:t>
                  </w:r>
                </w:p>
              </w:tc>
              <w:tc>
                <w:tcPr>
                  <w:tcW w:w="3792" w:type="dxa"/>
                  <w:noWrap/>
                  <w:vAlign w:val="center"/>
                </w:tcPr>
                <w:p w14:paraId="5AE6E235" w14:textId="77777777" w:rsidR="00F76A63" w:rsidRDefault="00000000">
                  <w:pPr>
                    <w:jc w:val="center"/>
                    <w:rPr>
                      <w:bCs/>
                      <w:kern w:val="28"/>
                      <w:szCs w:val="21"/>
                    </w:rPr>
                  </w:pPr>
                  <w:r>
                    <w:rPr>
                      <w:bCs/>
                      <w:kern w:val="28"/>
                      <w:szCs w:val="21"/>
                    </w:rPr>
                    <w:t>按照减量化、资源化、无害化的原则，妥善处理处置固体废物。对水泥生产中的废矿石、窑灰、废旧耐火砖、废包装袋、废滤袋、废催化剂等进行分类收集处理。除尘系统收集的粉尘应回收利用。危险废物和一般工业固体废物贮存和处置应符合《危险废物贮存污染控制标准》（</w:t>
                  </w:r>
                  <w:r>
                    <w:rPr>
                      <w:bCs/>
                      <w:kern w:val="28"/>
                      <w:szCs w:val="21"/>
                    </w:rPr>
                    <w:t>GB18597</w:t>
                  </w:r>
                  <w:r>
                    <w:rPr>
                      <w:rFonts w:hint="eastAsia"/>
                      <w:bCs/>
                      <w:kern w:val="28"/>
                      <w:szCs w:val="21"/>
                    </w:rPr>
                    <w:t>-2023</w:t>
                  </w:r>
                  <w:r>
                    <w:rPr>
                      <w:bCs/>
                      <w:kern w:val="28"/>
                      <w:szCs w:val="21"/>
                    </w:rPr>
                    <w:t>）、《一般工业固体废物贮存和填埋污染控制标准》（</w:t>
                  </w:r>
                  <w:r>
                    <w:rPr>
                      <w:bCs/>
                      <w:kern w:val="28"/>
                      <w:szCs w:val="21"/>
                    </w:rPr>
                    <w:t>GB18599</w:t>
                  </w:r>
                  <w:r>
                    <w:rPr>
                      <w:bCs/>
                      <w:kern w:val="28"/>
                      <w:szCs w:val="21"/>
                    </w:rPr>
                    <w:t>）等相关要求。水泥窑协同处置固体废物项目从水泥窑循环系统排出的窑灰和旁路放风系统收集的粉尘处理处置，以及水泥窑协同处置固体废物项目的固体废物贮存设施及贮存的技术要求等，还应满足《水泥窑协同处置固体废物污染控制标准》（</w:t>
                  </w:r>
                  <w:r>
                    <w:rPr>
                      <w:bCs/>
                      <w:kern w:val="28"/>
                      <w:szCs w:val="21"/>
                    </w:rPr>
                    <w:t>GB30485</w:t>
                  </w:r>
                  <w:r>
                    <w:rPr>
                      <w:bCs/>
                      <w:kern w:val="28"/>
                      <w:szCs w:val="21"/>
                    </w:rPr>
                    <w:t>）、《水泥窑协同处置固体废物环境保护技术规范》（</w:t>
                  </w:r>
                  <w:r>
                    <w:rPr>
                      <w:bCs/>
                      <w:kern w:val="28"/>
                      <w:szCs w:val="21"/>
                    </w:rPr>
                    <w:t>HJ662</w:t>
                  </w:r>
                  <w:r>
                    <w:rPr>
                      <w:bCs/>
                      <w:kern w:val="28"/>
                      <w:szCs w:val="21"/>
                    </w:rPr>
                    <w:t>）等要求</w:t>
                  </w:r>
                </w:p>
              </w:tc>
              <w:tc>
                <w:tcPr>
                  <w:tcW w:w="2410" w:type="dxa"/>
                  <w:noWrap/>
                  <w:vAlign w:val="center"/>
                </w:tcPr>
                <w:p w14:paraId="6680F19B" w14:textId="77777777" w:rsidR="00F76A63" w:rsidRDefault="00000000">
                  <w:pPr>
                    <w:jc w:val="center"/>
                    <w:rPr>
                      <w:bCs/>
                      <w:kern w:val="28"/>
                      <w:szCs w:val="21"/>
                    </w:rPr>
                  </w:pPr>
                  <w:r>
                    <w:rPr>
                      <w:bCs/>
                      <w:kern w:val="28"/>
                      <w:szCs w:val="21"/>
                    </w:rPr>
                    <w:t>本项目按照减量化、资源化、无害化的原则，妥善处理处置。其中危险废物依托现有的危废暂存库暂存，委托有资质的单位处置，危废暂存库的设置和管理严格执行《危险废物贮存污染控制标准》（</w:t>
                  </w:r>
                  <w:r>
                    <w:rPr>
                      <w:bCs/>
                      <w:kern w:val="28"/>
                      <w:szCs w:val="21"/>
                    </w:rPr>
                    <w:t>GB18597-2023</w:t>
                  </w:r>
                  <w:r>
                    <w:rPr>
                      <w:bCs/>
                      <w:kern w:val="28"/>
                      <w:szCs w:val="21"/>
                    </w:rPr>
                    <w:t>）、《江苏省固体废物全过程环境监管工作意见》（苏环办〔</w:t>
                  </w:r>
                  <w:r>
                    <w:rPr>
                      <w:bCs/>
                      <w:kern w:val="28"/>
                      <w:szCs w:val="21"/>
                    </w:rPr>
                    <w:t>2024</w:t>
                  </w:r>
                  <w:r>
                    <w:rPr>
                      <w:bCs/>
                      <w:kern w:val="28"/>
                      <w:szCs w:val="21"/>
                    </w:rPr>
                    <w:t>〕</w:t>
                  </w:r>
                  <w:r>
                    <w:rPr>
                      <w:bCs/>
                      <w:kern w:val="28"/>
                      <w:szCs w:val="21"/>
                    </w:rPr>
                    <w:t>16</w:t>
                  </w:r>
                  <w:r>
                    <w:rPr>
                      <w:bCs/>
                      <w:kern w:val="28"/>
                      <w:szCs w:val="21"/>
                    </w:rPr>
                    <w:t>号）的相关规定；现有除尘系统收集的粉尘回收利用。</w:t>
                  </w:r>
                </w:p>
              </w:tc>
              <w:tc>
                <w:tcPr>
                  <w:tcW w:w="694" w:type="dxa"/>
                  <w:noWrap/>
                  <w:vAlign w:val="center"/>
                </w:tcPr>
                <w:p w14:paraId="7BC1A5CA" w14:textId="77777777" w:rsidR="00F76A63" w:rsidRDefault="00000000">
                  <w:pPr>
                    <w:jc w:val="center"/>
                    <w:rPr>
                      <w:bCs/>
                      <w:kern w:val="28"/>
                      <w:szCs w:val="21"/>
                    </w:rPr>
                  </w:pPr>
                  <w:r>
                    <w:rPr>
                      <w:bCs/>
                      <w:kern w:val="28"/>
                      <w:szCs w:val="21"/>
                    </w:rPr>
                    <w:t>相符</w:t>
                  </w:r>
                </w:p>
              </w:tc>
            </w:tr>
            <w:tr w:rsidR="00F76A63" w14:paraId="64720E7A" w14:textId="77777777">
              <w:trPr>
                <w:jc w:val="center"/>
              </w:trPr>
              <w:tc>
                <w:tcPr>
                  <w:tcW w:w="492" w:type="dxa"/>
                  <w:noWrap/>
                  <w:vAlign w:val="center"/>
                </w:tcPr>
                <w:p w14:paraId="233CC6EF" w14:textId="77777777" w:rsidR="00F76A63" w:rsidRDefault="00000000">
                  <w:pPr>
                    <w:jc w:val="center"/>
                    <w:rPr>
                      <w:bCs/>
                      <w:kern w:val="28"/>
                      <w:szCs w:val="21"/>
                    </w:rPr>
                  </w:pPr>
                  <w:r>
                    <w:rPr>
                      <w:bCs/>
                      <w:kern w:val="28"/>
                      <w:szCs w:val="21"/>
                    </w:rPr>
                    <w:t>第十一条</w:t>
                  </w:r>
                </w:p>
              </w:tc>
              <w:tc>
                <w:tcPr>
                  <w:tcW w:w="3792" w:type="dxa"/>
                  <w:noWrap/>
                  <w:vAlign w:val="center"/>
                </w:tcPr>
                <w:p w14:paraId="6DA87DE9" w14:textId="77777777" w:rsidR="00F76A63" w:rsidRDefault="00000000">
                  <w:pPr>
                    <w:jc w:val="center"/>
                    <w:rPr>
                      <w:bCs/>
                      <w:kern w:val="28"/>
                      <w:szCs w:val="21"/>
                    </w:rPr>
                  </w:pPr>
                  <w:r>
                    <w:rPr>
                      <w:bCs/>
                      <w:kern w:val="28"/>
                      <w:szCs w:val="21"/>
                    </w:rPr>
                    <w:t>优化厂区平面布置，生料磨、煤磨、水泥磨、破碎机、风机、空压机等应优先选择低噪声设备，采取减振、隔声、消声等措施有效控制噪声污染，矿山开采应优先采用低噪声、低振动的爆破技术。加强厂区内固定设备、运输工具、货物装卸等噪声源管理，同时避免突发噪声扰民。厂界噪声应符合《工业企业厂界环境噪声排放标准》（</w:t>
                  </w:r>
                  <w:r>
                    <w:rPr>
                      <w:bCs/>
                      <w:kern w:val="28"/>
                      <w:szCs w:val="21"/>
                    </w:rPr>
                    <w:t>GB12348</w:t>
                  </w:r>
                  <w:r>
                    <w:rPr>
                      <w:bCs/>
                      <w:kern w:val="28"/>
                      <w:szCs w:val="21"/>
                    </w:rPr>
                    <w:t>）要求。位于噪声敏感建筑物集中区域的改建、扩建项目，应强化噪声污染防治措施，进一步降低环境噪声影响。</w:t>
                  </w:r>
                </w:p>
              </w:tc>
              <w:tc>
                <w:tcPr>
                  <w:tcW w:w="2410" w:type="dxa"/>
                  <w:noWrap/>
                  <w:vAlign w:val="center"/>
                </w:tcPr>
                <w:p w14:paraId="73F35199" w14:textId="77777777" w:rsidR="00F76A63" w:rsidRDefault="00000000">
                  <w:pPr>
                    <w:jc w:val="center"/>
                    <w:rPr>
                      <w:bCs/>
                      <w:kern w:val="28"/>
                      <w:szCs w:val="21"/>
                    </w:rPr>
                  </w:pPr>
                  <w:r>
                    <w:rPr>
                      <w:bCs/>
                      <w:kern w:val="28"/>
                      <w:szCs w:val="21"/>
                    </w:rPr>
                    <w:t>本项目选用低噪声的设备，采取减振、隔声等综合处理措施，降噪量约为</w:t>
                  </w:r>
                  <w:r>
                    <w:rPr>
                      <w:bCs/>
                      <w:kern w:val="28"/>
                      <w:szCs w:val="21"/>
                    </w:rPr>
                    <w:t>15~20dB</w:t>
                  </w:r>
                  <w:r>
                    <w:rPr>
                      <w:bCs/>
                      <w:kern w:val="28"/>
                      <w:szCs w:val="21"/>
                    </w:rPr>
                    <w:t>（</w:t>
                  </w:r>
                  <w:r>
                    <w:rPr>
                      <w:bCs/>
                      <w:kern w:val="28"/>
                      <w:szCs w:val="21"/>
                    </w:rPr>
                    <w:t>A</w:t>
                  </w:r>
                  <w:r>
                    <w:rPr>
                      <w:bCs/>
                      <w:kern w:val="28"/>
                      <w:szCs w:val="21"/>
                    </w:rPr>
                    <w:t>），厂界噪声应符合《工业企业厂界环境噪声排放标准》（</w:t>
                  </w:r>
                  <w:r>
                    <w:rPr>
                      <w:bCs/>
                      <w:kern w:val="28"/>
                      <w:szCs w:val="21"/>
                    </w:rPr>
                    <w:t>GB12348</w:t>
                  </w:r>
                  <w:r>
                    <w:rPr>
                      <w:bCs/>
                      <w:kern w:val="28"/>
                      <w:szCs w:val="21"/>
                    </w:rPr>
                    <w:t>）要求。</w:t>
                  </w:r>
                </w:p>
              </w:tc>
              <w:tc>
                <w:tcPr>
                  <w:tcW w:w="694" w:type="dxa"/>
                  <w:noWrap/>
                  <w:vAlign w:val="center"/>
                </w:tcPr>
                <w:p w14:paraId="588E4175" w14:textId="77777777" w:rsidR="00F76A63" w:rsidRDefault="00000000">
                  <w:pPr>
                    <w:jc w:val="center"/>
                    <w:rPr>
                      <w:bCs/>
                      <w:kern w:val="28"/>
                      <w:szCs w:val="21"/>
                    </w:rPr>
                  </w:pPr>
                  <w:r>
                    <w:rPr>
                      <w:bCs/>
                      <w:kern w:val="28"/>
                      <w:szCs w:val="21"/>
                    </w:rPr>
                    <w:t>相符</w:t>
                  </w:r>
                </w:p>
              </w:tc>
            </w:tr>
            <w:tr w:rsidR="00F76A63" w14:paraId="18EAC494" w14:textId="77777777">
              <w:trPr>
                <w:jc w:val="center"/>
              </w:trPr>
              <w:tc>
                <w:tcPr>
                  <w:tcW w:w="492" w:type="dxa"/>
                  <w:noWrap/>
                  <w:vAlign w:val="center"/>
                </w:tcPr>
                <w:p w14:paraId="06A24A85" w14:textId="77777777" w:rsidR="00F76A63" w:rsidRDefault="00000000">
                  <w:pPr>
                    <w:jc w:val="center"/>
                    <w:rPr>
                      <w:bCs/>
                      <w:kern w:val="28"/>
                      <w:szCs w:val="21"/>
                    </w:rPr>
                  </w:pPr>
                  <w:r>
                    <w:rPr>
                      <w:bCs/>
                      <w:kern w:val="28"/>
                      <w:szCs w:val="21"/>
                    </w:rPr>
                    <w:t>第十二条</w:t>
                  </w:r>
                </w:p>
              </w:tc>
              <w:tc>
                <w:tcPr>
                  <w:tcW w:w="3792" w:type="dxa"/>
                  <w:noWrap/>
                  <w:vAlign w:val="center"/>
                </w:tcPr>
                <w:p w14:paraId="1B118EE2" w14:textId="77777777" w:rsidR="00F76A63" w:rsidRDefault="00000000">
                  <w:pPr>
                    <w:jc w:val="center"/>
                    <w:rPr>
                      <w:bCs/>
                      <w:kern w:val="28"/>
                      <w:szCs w:val="21"/>
                    </w:rPr>
                  </w:pPr>
                  <w:r>
                    <w:rPr>
                      <w:bCs/>
                      <w:kern w:val="28"/>
                      <w:szCs w:val="21"/>
                    </w:rPr>
                    <w:t>按照避让、减缓、修复、补偿的次序和</w:t>
                  </w:r>
                  <w:r>
                    <w:rPr>
                      <w:bCs/>
                      <w:kern w:val="28"/>
                      <w:szCs w:val="21"/>
                    </w:rPr>
                    <w:t>“</w:t>
                  </w:r>
                  <w:r>
                    <w:rPr>
                      <w:bCs/>
                      <w:kern w:val="28"/>
                      <w:szCs w:val="21"/>
                    </w:rPr>
                    <w:t>边生产、边修复</w:t>
                  </w:r>
                  <w:r>
                    <w:rPr>
                      <w:bCs/>
                      <w:kern w:val="28"/>
                      <w:szCs w:val="21"/>
                    </w:rPr>
                    <w:t>”</w:t>
                  </w:r>
                  <w:r>
                    <w:rPr>
                      <w:bCs/>
                      <w:kern w:val="28"/>
                      <w:szCs w:val="21"/>
                    </w:rPr>
                    <w:t>的原则提出生态保护对策措施，分施工期、运行期和服务期满后制定石灰岩矿山采场、工业场地、废石场、矿区道路等生态保护方案，明确生态修复目标，控制和减缓生态影响。生态修复应坚持因地制宜原则，重建与周边生态环境相协调的植物群落，保护和恢复生物多样性，最终形成可自然维持的生态系统。矿山开采工艺、开拓运输方式等资源开发方式以及开采回采率、废石利用率等资源综合利用等要求应按照绿色矿山建设要求进行。大中型矿山开采项目应开展全生命周期生态监测</w:t>
                  </w:r>
                </w:p>
              </w:tc>
              <w:tc>
                <w:tcPr>
                  <w:tcW w:w="2410" w:type="dxa"/>
                  <w:noWrap/>
                  <w:vAlign w:val="center"/>
                </w:tcPr>
                <w:p w14:paraId="0BA34148" w14:textId="77777777" w:rsidR="00F76A63" w:rsidRDefault="00000000">
                  <w:pPr>
                    <w:jc w:val="center"/>
                    <w:rPr>
                      <w:bCs/>
                      <w:kern w:val="28"/>
                      <w:szCs w:val="21"/>
                    </w:rPr>
                  </w:pPr>
                  <w:r>
                    <w:rPr>
                      <w:bCs/>
                      <w:kern w:val="28"/>
                      <w:szCs w:val="21"/>
                    </w:rPr>
                    <w:t>本项目不涉及。</w:t>
                  </w:r>
                </w:p>
              </w:tc>
              <w:tc>
                <w:tcPr>
                  <w:tcW w:w="694" w:type="dxa"/>
                  <w:noWrap/>
                  <w:vAlign w:val="center"/>
                </w:tcPr>
                <w:p w14:paraId="110C1E15" w14:textId="77777777" w:rsidR="00F76A63" w:rsidRDefault="00000000">
                  <w:pPr>
                    <w:jc w:val="center"/>
                    <w:rPr>
                      <w:bCs/>
                      <w:kern w:val="28"/>
                      <w:szCs w:val="21"/>
                    </w:rPr>
                  </w:pPr>
                  <w:r>
                    <w:rPr>
                      <w:bCs/>
                      <w:kern w:val="28"/>
                      <w:szCs w:val="21"/>
                    </w:rPr>
                    <w:t>不涉及</w:t>
                  </w:r>
                </w:p>
              </w:tc>
            </w:tr>
            <w:tr w:rsidR="00F76A63" w14:paraId="39419576" w14:textId="77777777">
              <w:trPr>
                <w:jc w:val="center"/>
              </w:trPr>
              <w:tc>
                <w:tcPr>
                  <w:tcW w:w="492" w:type="dxa"/>
                  <w:noWrap/>
                  <w:vAlign w:val="center"/>
                </w:tcPr>
                <w:p w14:paraId="0184170B" w14:textId="77777777" w:rsidR="00F76A63" w:rsidRDefault="00000000">
                  <w:pPr>
                    <w:jc w:val="center"/>
                    <w:rPr>
                      <w:bCs/>
                      <w:kern w:val="28"/>
                      <w:szCs w:val="21"/>
                    </w:rPr>
                  </w:pPr>
                  <w:r>
                    <w:rPr>
                      <w:bCs/>
                      <w:kern w:val="28"/>
                      <w:szCs w:val="21"/>
                    </w:rPr>
                    <w:lastRenderedPageBreak/>
                    <w:t>第十三条</w:t>
                  </w:r>
                </w:p>
              </w:tc>
              <w:tc>
                <w:tcPr>
                  <w:tcW w:w="3792" w:type="dxa"/>
                  <w:noWrap/>
                  <w:vAlign w:val="center"/>
                </w:tcPr>
                <w:p w14:paraId="4374BA17" w14:textId="77777777" w:rsidR="00F76A63" w:rsidRDefault="00000000">
                  <w:pPr>
                    <w:jc w:val="center"/>
                    <w:rPr>
                      <w:bCs/>
                      <w:kern w:val="28"/>
                      <w:szCs w:val="21"/>
                    </w:rPr>
                  </w:pPr>
                  <w:r>
                    <w:rPr>
                      <w:bCs/>
                      <w:kern w:val="28"/>
                      <w:szCs w:val="21"/>
                    </w:rPr>
                    <w:t>项目应提出合理有效的环境风险防范措施和突发环境事件应急预案编制要求。水泥窑协同处置危险废物项目应对危险废物贮存、预处理等风险源进行识别、评价并提出有效的风险防范措施。</w:t>
                  </w:r>
                </w:p>
              </w:tc>
              <w:tc>
                <w:tcPr>
                  <w:tcW w:w="2410" w:type="dxa"/>
                  <w:noWrap/>
                  <w:vAlign w:val="center"/>
                </w:tcPr>
                <w:p w14:paraId="7013EDEE" w14:textId="77777777" w:rsidR="00F76A63" w:rsidRDefault="00000000">
                  <w:pPr>
                    <w:jc w:val="center"/>
                    <w:rPr>
                      <w:bCs/>
                      <w:kern w:val="28"/>
                      <w:szCs w:val="21"/>
                    </w:rPr>
                  </w:pPr>
                  <w:r>
                    <w:rPr>
                      <w:bCs/>
                      <w:kern w:val="28"/>
                      <w:szCs w:val="21"/>
                    </w:rPr>
                    <w:t>本项目已提出合理有效的环境风险防范措施和突发环境事件应急预案编制要求，详见风险专项。</w:t>
                  </w:r>
                </w:p>
              </w:tc>
              <w:tc>
                <w:tcPr>
                  <w:tcW w:w="694" w:type="dxa"/>
                  <w:noWrap/>
                  <w:vAlign w:val="center"/>
                </w:tcPr>
                <w:p w14:paraId="479BA624" w14:textId="77777777" w:rsidR="00F76A63" w:rsidRDefault="00000000">
                  <w:pPr>
                    <w:jc w:val="center"/>
                    <w:rPr>
                      <w:bCs/>
                      <w:kern w:val="28"/>
                      <w:szCs w:val="21"/>
                    </w:rPr>
                  </w:pPr>
                  <w:r>
                    <w:rPr>
                      <w:bCs/>
                      <w:kern w:val="28"/>
                      <w:szCs w:val="21"/>
                    </w:rPr>
                    <w:t>相符</w:t>
                  </w:r>
                </w:p>
              </w:tc>
            </w:tr>
            <w:tr w:rsidR="00F76A63" w14:paraId="32CBC9E6" w14:textId="77777777">
              <w:trPr>
                <w:trHeight w:val="560"/>
                <w:jc w:val="center"/>
              </w:trPr>
              <w:tc>
                <w:tcPr>
                  <w:tcW w:w="492" w:type="dxa"/>
                  <w:noWrap/>
                  <w:vAlign w:val="center"/>
                </w:tcPr>
                <w:p w14:paraId="240F964D" w14:textId="77777777" w:rsidR="00F76A63" w:rsidRDefault="00000000">
                  <w:pPr>
                    <w:jc w:val="center"/>
                    <w:rPr>
                      <w:bCs/>
                      <w:kern w:val="28"/>
                      <w:szCs w:val="21"/>
                    </w:rPr>
                  </w:pPr>
                  <w:r>
                    <w:rPr>
                      <w:bCs/>
                      <w:kern w:val="28"/>
                      <w:szCs w:val="21"/>
                    </w:rPr>
                    <w:t>第十四条</w:t>
                  </w:r>
                </w:p>
              </w:tc>
              <w:tc>
                <w:tcPr>
                  <w:tcW w:w="3792" w:type="dxa"/>
                  <w:noWrap/>
                  <w:vAlign w:val="center"/>
                </w:tcPr>
                <w:p w14:paraId="0505D7ED" w14:textId="77777777" w:rsidR="00F76A63" w:rsidRDefault="00000000">
                  <w:pPr>
                    <w:jc w:val="center"/>
                    <w:rPr>
                      <w:bCs/>
                      <w:kern w:val="28"/>
                      <w:szCs w:val="21"/>
                    </w:rPr>
                  </w:pPr>
                  <w:r>
                    <w:rPr>
                      <w:bCs/>
                      <w:kern w:val="28"/>
                      <w:szCs w:val="21"/>
                    </w:rPr>
                    <w:t>改建、扩建项目应全面梳理现有工程存在的环保问题或减排潜力，提出有效整改或改进措施。</w:t>
                  </w:r>
                </w:p>
              </w:tc>
              <w:tc>
                <w:tcPr>
                  <w:tcW w:w="2410" w:type="dxa"/>
                  <w:noWrap/>
                  <w:vAlign w:val="center"/>
                </w:tcPr>
                <w:p w14:paraId="4C394B4E" w14:textId="77777777" w:rsidR="00F76A63" w:rsidRDefault="00000000">
                  <w:pPr>
                    <w:jc w:val="center"/>
                    <w:rPr>
                      <w:bCs/>
                      <w:kern w:val="28"/>
                      <w:szCs w:val="21"/>
                    </w:rPr>
                  </w:pPr>
                  <w:r>
                    <w:rPr>
                      <w:bCs/>
                      <w:kern w:val="28"/>
                      <w:szCs w:val="21"/>
                    </w:rPr>
                    <w:t>本项目梳理现有工程存在的环保问题，并提出了有效整改措施。</w:t>
                  </w:r>
                </w:p>
              </w:tc>
              <w:tc>
                <w:tcPr>
                  <w:tcW w:w="694" w:type="dxa"/>
                  <w:noWrap/>
                  <w:vAlign w:val="center"/>
                </w:tcPr>
                <w:p w14:paraId="4D0ACF9E" w14:textId="77777777" w:rsidR="00F76A63" w:rsidRDefault="00000000">
                  <w:pPr>
                    <w:jc w:val="center"/>
                    <w:rPr>
                      <w:bCs/>
                      <w:kern w:val="28"/>
                      <w:szCs w:val="21"/>
                    </w:rPr>
                  </w:pPr>
                  <w:r>
                    <w:rPr>
                      <w:bCs/>
                      <w:kern w:val="28"/>
                      <w:szCs w:val="21"/>
                    </w:rPr>
                    <w:t>相符</w:t>
                  </w:r>
                </w:p>
              </w:tc>
            </w:tr>
            <w:tr w:rsidR="00F76A63" w14:paraId="2EAECAED" w14:textId="77777777">
              <w:trPr>
                <w:trHeight w:val="1577"/>
                <w:jc w:val="center"/>
              </w:trPr>
              <w:tc>
                <w:tcPr>
                  <w:tcW w:w="492" w:type="dxa"/>
                  <w:noWrap/>
                  <w:vAlign w:val="center"/>
                </w:tcPr>
                <w:p w14:paraId="4F0D4CCD" w14:textId="77777777" w:rsidR="00F76A63" w:rsidRDefault="00000000">
                  <w:pPr>
                    <w:jc w:val="center"/>
                    <w:rPr>
                      <w:bCs/>
                      <w:kern w:val="28"/>
                      <w:szCs w:val="21"/>
                    </w:rPr>
                  </w:pPr>
                  <w:r>
                    <w:rPr>
                      <w:bCs/>
                      <w:kern w:val="28"/>
                      <w:szCs w:val="21"/>
                    </w:rPr>
                    <w:t>第十五条</w:t>
                  </w:r>
                </w:p>
              </w:tc>
              <w:tc>
                <w:tcPr>
                  <w:tcW w:w="3792" w:type="dxa"/>
                  <w:noWrap/>
                  <w:vAlign w:val="center"/>
                </w:tcPr>
                <w:p w14:paraId="4C4842EB" w14:textId="77777777" w:rsidR="00F76A63" w:rsidRDefault="00000000">
                  <w:pPr>
                    <w:jc w:val="center"/>
                    <w:rPr>
                      <w:bCs/>
                      <w:kern w:val="28"/>
                      <w:szCs w:val="21"/>
                    </w:rPr>
                  </w:pPr>
                  <w:r>
                    <w:rPr>
                      <w:bCs/>
                      <w:kern w:val="28"/>
                      <w:szCs w:val="21"/>
                    </w:rPr>
                    <w:t>明确项目实施后的环境管理要求和环境监测计划。根据自行监测技术指南和排污许可证申请与核发技术规范要求，制定废水、废气污染物排放及厂界环境噪声监测计划并开展监测，监测位置应符合技术规范要求。涉及水、大气有毒有害污染物名录以及重点控制的土壤有毒有害物质名录中污染物排放的，还应依法依规制定周边环境监测计划。关注水泥窑协同处置固体废物项目重金属、二噁英等特征污染物的累积环境影响。</w:t>
                  </w:r>
                </w:p>
              </w:tc>
              <w:tc>
                <w:tcPr>
                  <w:tcW w:w="2410" w:type="dxa"/>
                  <w:noWrap/>
                  <w:vAlign w:val="center"/>
                </w:tcPr>
                <w:p w14:paraId="0B3C012C" w14:textId="77777777" w:rsidR="00F76A63" w:rsidRDefault="00000000">
                  <w:pPr>
                    <w:jc w:val="center"/>
                    <w:rPr>
                      <w:bCs/>
                      <w:kern w:val="28"/>
                      <w:szCs w:val="21"/>
                    </w:rPr>
                  </w:pPr>
                  <w:r>
                    <w:rPr>
                      <w:bCs/>
                      <w:kern w:val="28"/>
                      <w:szCs w:val="21"/>
                    </w:rPr>
                    <w:t>本项目已根据《排污单位自行监测技术指南</w:t>
                  </w:r>
                  <w:r>
                    <w:rPr>
                      <w:bCs/>
                      <w:kern w:val="28"/>
                      <w:szCs w:val="21"/>
                    </w:rPr>
                    <w:t xml:space="preserve"> </w:t>
                  </w:r>
                  <w:r>
                    <w:rPr>
                      <w:bCs/>
                      <w:kern w:val="28"/>
                      <w:szCs w:val="21"/>
                    </w:rPr>
                    <w:t>水泥工业》（</w:t>
                  </w:r>
                  <w:r>
                    <w:rPr>
                      <w:bCs/>
                      <w:kern w:val="28"/>
                      <w:szCs w:val="21"/>
                    </w:rPr>
                    <w:t>HJ848-2017</w:t>
                  </w:r>
                  <w:r>
                    <w:rPr>
                      <w:bCs/>
                      <w:kern w:val="28"/>
                      <w:szCs w:val="21"/>
                    </w:rPr>
                    <w:t>）要求，提出了废气污染物排放及厂界环境噪声监测计划，考虑水泥窑协同处置固体废物重金属、二噁英，已制定周边环境监测计划等。</w:t>
                  </w:r>
                </w:p>
              </w:tc>
              <w:tc>
                <w:tcPr>
                  <w:tcW w:w="694" w:type="dxa"/>
                  <w:noWrap/>
                  <w:vAlign w:val="center"/>
                </w:tcPr>
                <w:p w14:paraId="1805B99F" w14:textId="77777777" w:rsidR="00F76A63" w:rsidRDefault="00000000">
                  <w:pPr>
                    <w:jc w:val="center"/>
                    <w:rPr>
                      <w:bCs/>
                      <w:kern w:val="28"/>
                      <w:szCs w:val="21"/>
                    </w:rPr>
                  </w:pPr>
                  <w:r>
                    <w:rPr>
                      <w:bCs/>
                      <w:kern w:val="28"/>
                      <w:szCs w:val="21"/>
                    </w:rPr>
                    <w:t>相符</w:t>
                  </w:r>
                </w:p>
              </w:tc>
            </w:tr>
          </w:tbl>
          <w:p w14:paraId="02ABA87D" w14:textId="77777777" w:rsidR="00F76A63" w:rsidRDefault="00000000">
            <w:pPr>
              <w:adjustRightInd w:val="0"/>
              <w:snapToGrid w:val="0"/>
              <w:spacing w:line="500" w:lineRule="exact"/>
              <w:ind w:firstLineChars="200" w:firstLine="482"/>
              <w:rPr>
                <w:b/>
                <w:bCs/>
                <w:sz w:val="24"/>
              </w:rPr>
            </w:pPr>
            <w:r>
              <w:rPr>
                <w:b/>
                <w:bCs/>
                <w:sz w:val="24"/>
              </w:rPr>
              <w:t>3</w:t>
            </w:r>
            <w:r>
              <w:rPr>
                <w:b/>
                <w:bCs/>
                <w:sz w:val="24"/>
              </w:rPr>
              <w:t>、与《中共中央</w:t>
            </w:r>
            <w:r>
              <w:rPr>
                <w:b/>
                <w:bCs/>
                <w:sz w:val="24"/>
              </w:rPr>
              <w:t xml:space="preserve"> </w:t>
            </w:r>
            <w:r>
              <w:rPr>
                <w:b/>
                <w:bCs/>
                <w:sz w:val="24"/>
              </w:rPr>
              <w:t>国务院关于深入打好污染防治攻坚战的意见》（</w:t>
            </w:r>
            <w:r>
              <w:rPr>
                <w:b/>
                <w:bCs/>
                <w:sz w:val="24"/>
              </w:rPr>
              <w:t>2021</w:t>
            </w:r>
            <w:r>
              <w:rPr>
                <w:b/>
                <w:bCs/>
                <w:sz w:val="24"/>
              </w:rPr>
              <w:t>年</w:t>
            </w:r>
            <w:r>
              <w:rPr>
                <w:b/>
                <w:bCs/>
                <w:sz w:val="24"/>
              </w:rPr>
              <w:t>11</w:t>
            </w:r>
            <w:r>
              <w:rPr>
                <w:b/>
                <w:bCs/>
                <w:sz w:val="24"/>
              </w:rPr>
              <w:t>月</w:t>
            </w:r>
            <w:r>
              <w:rPr>
                <w:b/>
                <w:bCs/>
                <w:sz w:val="24"/>
              </w:rPr>
              <w:t>2</w:t>
            </w:r>
            <w:r>
              <w:rPr>
                <w:b/>
                <w:bCs/>
                <w:sz w:val="24"/>
              </w:rPr>
              <w:t>日）的相符性分析</w:t>
            </w:r>
          </w:p>
          <w:p w14:paraId="0E6B7457" w14:textId="77777777" w:rsidR="00F76A63" w:rsidRDefault="00000000">
            <w:pPr>
              <w:adjustRightInd w:val="0"/>
              <w:snapToGrid w:val="0"/>
              <w:spacing w:line="500" w:lineRule="exact"/>
              <w:ind w:firstLineChars="200" w:firstLine="480"/>
              <w:rPr>
                <w:sz w:val="24"/>
              </w:rPr>
            </w:pPr>
            <w:r>
              <w:rPr>
                <w:sz w:val="24"/>
              </w:rPr>
              <w:t>本项目与《中共中央</w:t>
            </w:r>
            <w:r>
              <w:rPr>
                <w:sz w:val="24"/>
              </w:rPr>
              <w:t xml:space="preserve"> </w:t>
            </w:r>
            <w:r>
              <w:rPr>
                <w:sz w:val="24"/>
              </w:rPr>
              <w:t>国务院关于深入打好污染防治攻坚战的意见》（</w:t>
            </w:r>
            <w:r>
              <w:rPr>
                <w:sz w:val="24"/>
              </w:rPr>
              <w:t>2021</w:t>
            </w:r>
            <w:r>
              <w:rPr>
                <w:sz w:val="24"/>
              </w:rPr>
              <w:t>年</w:t>
            </w:r>
            <w:r>
              <w:rPr>
                <w:sz w:val="24"/>
              </w:rPr>
              <w:t>11</w:t>
            </w:r>
            <w:r>
              <w:rPr>
                <w:sz w:val="24"/>
              </w:rPr>
              <w:t>月</w:t>
            </w:r>
            <w:r>
              <w:rPr>
                <w:sz w:val="24"/>
              </w:rPr>
              <w:t>2</w:t>
            </w:r>
            <w:r>
              <w:rPr>
                <w:sz w:val="24"/>
              </w:rPr>
              <w:t>日）相关要求相符性分析见表</w:t>
            </w:r>
            <w:r>
              <w:rPr>
                <w:sz w:val="24"/>
              </w:rPr>
              <w:t>1-1</w:t>
            </w:r>
            <w:r>
              <w:rPr>
                <w:rFonts w:hint="eastAsia"/>
                <w:sz w:val="24"/>
              </w:rPr>
              <w:t>1</w:t>
            </w:r>
            <w:r>
              <w:rPr>
                <w:sz w:val="24"/>
              </w:rPr>
              <w:t>，可见本项目与污染防治攻坚战相关要求相符。</w:t>
            </w:r>
          </w:p>
          <w:p w14:paraId="4B5AF889" w14:textId="77777777" w:rsidR="00F76A63" w:rsidRDefault="00000000">
            <w:pPr>
              <w:tabs>
                <w:tab w:val="left" w:pos="0"/>
              </w:tabs>
              <w:spacing w:line="500" w:lineRule="exact"/>
              <w:jc w:val="center"/>
              <w:rPr>
                <w:sz w:val="24"/>
              </w:rPr>
            </w:pPr>
            <w:r>
              <w:rPr>
                <w:b/>
                <w:sz w:val="24"/>
              </w:rPr>
              <w:t>表</w:t>
            </w:r>
            <w:r>
              <w:rPr>
                <w:b/>
                <w:sz w:val="24"/>
              </w:rPr>
              <w:t>1-</w:t>
            </w:r>
            <w:r>
              <w:rPr>
                <w:rFonts w:hint="eastAsia"/>
                <w:b/>
                <w:sz w:val="24"/>
              </w:rPr>
              <w:t>11</w:t>
            </w:r>
            <w:r>
              <w:rPr>
                <w:b/>
                <w:sz w:val="24"/>
              </w:rPr>
              <w:t xml:space="preserve">  </w:t>
            </w:r>
            <w:r>
              <w:rPr>
                <w:b/>
                <w:sz w:val="24"/>
              </w:rPr>
              <w:t>与《中共中央</w:t>
            </w:r>
            <w:r>
              <w:rPr>
                <w:b/>
                <w:sz w:val="24"/>
              </w:rPr>
              <w:t xml:space="preserve"> </w:t>
            </w:r>
            <w:r>
              <w:rPr>
                <w:b/>
                <w:sz w:val="24"/>
              </w:rPr>
              <w:t>国务院关于深入打好污染防治攻坚战的意见》（</w:t>
            </w:r>
            <w:r>
              <w:rPr>
                <w:b/>
                <w:sz w:val="24"/>
              </w:rPr>
              <w:t>2021</w:t>
            </w:r>
            <w:r>
              <w:rPr>
                <w:b/>
                <w:sz w:val="24"/>
              </w:rPr>
              <w:t>年</w:t>
            </w:r>
            <w:r>
              <w:rPr>
                <w:b/>
                <w:sz w:val="24"/>
              </w:rPr>
              <w:t>11</w:t>
            </w:r>
            <w:r>
              <w:rPr>
                <w:b/>
                <w:sz w:val="24"/>
              </w:rPr>
              <w:t>月</w:t>
            </w:r>
            <w:r>
              <w:rPr>
                <w:b/>
                <w:sz w:val="24"/>
              </w:rPr>
              <w:t>2</w:t>
            </w:r>
            <w:r>
              <w:rPr>
                <w:b/>
                <w:sz w:val="24"/>
              </w:rPr>
              <w:t>日）相关要求的相符性分析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top w:w="57" w:type="dxa"/>
                <w:left w:w="51" w:type="dxa"/>
                <w:bottom w:w="57" w:type="dxa"/>
                <w:right w:w="51" w:type="dxa"/>
              </w:tblCellMar>
              <w:tblLook w:val="04A0" w:firstRow="1" w:lastRow="0" w:firstColumn="1" w:lastColumn="0" w:noHBand="0" w:noVBand="1"/>
            </w:tblPr>
            <w:tblGrid>
              <w:gridCol w:w="1255"/>
              <w:gridCol w:w="3491"/>
              <w:gridCol w:w="2117"/>
              <w:gridCol w:w="950"/>
            </w:tblGrid>
            <w:tr w:rsidR="00F76A63" w14:paraId="15403F56" w14:textId="77777777">
              <w:trPr>
                <w:trHeight w:val="20"/>
                <w:tblHeader/>
                <w:jc w:val="center"/>
              </w:trPr>
              <w:tc>
                <w:tcPr>
                  <w:tcW w:w="803" w:type="pct"/>
                  <w:vAlign w:val="center"/>
                </w:tcPr>
                <w:p w14:paraId="7BFD82D2" w14:textId="77777777" w:rsidR="00F76A63" w:rsidRDefault="00000000">
                  <w:pPr>
                    <w:adjustRightInd w:val="0"/>
                    <w:snapToGrid w:val="0"/>
                    <w:jc w:val="center"/>
                    <w:rPr>
                      <w:b/>
                      <w:szCs w:val="21"/>
                    </w:rPr>
                  </w:pPr>
                  <w:r>
                    <w:rPr>
                      <w:b/>
                      <w:szCs w:val="21"/>
                    </w:rPr>
                    <w:t>政策名称</w:t>
                  </w:r>
                </w:p>
              </w:tc>
              <w:tc>
                <w:tcPr>
                  <w:tcW w:w="2234" w:type="pct"/>
                  <w:vAlign w:val="center"/>
                </w:tcPr>
                <w:p w14:paraId="4790B770" w14:textId="77777777" w:rsidR="00F76A63" w:rsidRDefault="00000000">
                  <w:pPr>
                    <w:adjustRightInd w:val="0"/>
                    <w:snapToGrid w:val="0"/>
                    <w:jc w:val="center"/>
                    <w:rPr>
                      <w:b/>
                      <w:szCs w:val="21"/>
                    </w:rPr>
                  </w:pPr>
                  <w:r>
                    <w:rPr>
                      <w:b/>
                      <w:szCs w:val="21"/>
                    </w:rPr>
                    <w:t>政策要求</w:t>
                  </w:r>
                </w:p>
              </w:tc>
              <w:tc>
                <w:tcPr>
                  <w:tcW w:w="1355" w:type="pct"/>
                  <w:vAlign w:val="center"/>
                </w:tcPr>
                <w:p w14:paraId="15DA14FD" w14:textId="77777777" w:rsidR="00F76A63" w:rsidRDefault="00000000">
                  <w:pPr>
                    <w:adjustRightInd w:val="0"/>
                    <w:snapToGrid w:val="0"/>
                    <w:jc w:val="center"/>
                    <w:rPr>
                      <w:b/>
                      <w:szCs w:val="21"/>
                    </w:rPr>
                  </w:pPr>
                  <w:r>
                    <w:rPr>
                      <w:b/>
                      <w:szCs w:val="21"/>
                    </w:rPr>
                    <w:t>本项目相关内容</w:t>
                  </w:r>
                </w:p>
              </w:tc>
              <w:tc>
                <w:tcPr>
                  <w:tcW w:w="608" w:type="pct"/>
                  <w:vAlign w:val="center"/>
                </w:tcPr>
                <w:p w14:paraId="6A63E475" w14:textId="77777777" w:rsidR="00F76A63" w:rsidRDefault="00000000">
                  <w:pPr>
                    <w:adjustRightInd w:val="0"/>
                    <w:snapToGrid w:val="0"/>
                    <w:jc w:val="center"/>
                    <w:rPr>
                      <w:b/>
                      <w:szCs w:val="21"/>
                    </w:rPr>
                  </w:pPr>
                  <w:r>
                    <w:rPr>
                      <w:b/>
                      <w:szCs w:val="21"/>
                    </w:rPr>
                    <w:t>符合情况</w:t>
                  </w:r>
                </w:p>
              </w:tc>
            </w:tr>
            <w:tr w:rsidR="00F76A63" w14:paraId="78B1E95F" w14:textId="77777777">
              <w:trPr>
                <w:trHeight w:val="20"/>
                <w:jc w:val="center"/>
              </w:trPr>
              <w:tc>
                <w:tcPr>
                  <w:tcW w:w="803" w:type="pct"/>
                  <w:vAlign w:val="center"/>
                </w:tcPr>
                <w:p w14:paraId="5CCA901F" w14:textId="77777777" w:rsidR="00F76A63" w:rsidRDefault="00000000">
                  <w:pPr>
                    <w:adjustRightInd w:val="0"/>
                    <w:snapToGrid w:val="0"/>
                    <w:jc w:val="center"/>
                    <w:rPr>
                      <w:bCs/>
                      <w:szCs w:val="21"/>
                    </w:rPr>
                  </w:pPr>
                  <w:r>
                    <w:rPr>
                      <w:bCs/>
                      <w:szCs w:val="21"/>
                    </w:rPr>
                    <w:t>《中共中央</w:t>
                  </w:r>
                  <w:r>
                    <w:rPr>
                      <w:bCs/>
                      <w:szCs w:val="21"/>
                    </w:rPr>
                    <w:t xml:space="preserve"> </w:t>
                  </w:r>
                  <w:r>
                    <w:rPr>
                      <w:bCs/>
                      <w:szCs w:val="21"/>
                    </w:rPr>
                    <w:t>国务院关于深入打好污染防治攻坚战的意见》（</w:t>
                  </w:r>
                  <w:r>
                    <w:rPr>
                      <w:bCs/>
                      <w:szCs w:val="21"/>
                    </w:rPr>
                    <w:t>2021</w:t>
                  </w:r>
                  <w:r>
                    <w:rPr>
                      <w:bCs/>
                      <w:szCs w:val="21"/>
                    </w:rPr>
                    <w:t>年</w:t>
                  </w:r>
                  <w:r>
                    <w:rPr>
                      <w:bCs/>
                      <w:szCs w:val="21"/>
                    </w:rPr>
                    <w:t>11</w:t>
                  </w:r>
                  <w:r>
                    <w:rPr>
                      <w:bCs/>
                      <w:szCs w:val="21"/>
                    </w:rPr>
                    <w:t>月</w:t>
                  </w:r>
                  <w:r>
                    <w:rPr>
                      <w:bCs/>
                      <w:szCs w:val="21"/>
                    </w:rPr>
                    <w:t>2</w:t>
                  </w:r>
                  <w:r>
                    <w:rPr>
                      <w:bCs/>
                      <w:szCs w:val="21"/>
                    </w:rPr>
                    <w:t>日）</w:t>
                  </w:r>
                </w:p>
              </w:tc>
              <w:tc>
                <w:tcPr>
                  <w:tcW w:w="2234" w:type="pct"/>
                  <w:vAlign w:val="center"/>
                </w:tcPr>
                <w:p w14:paraId="6207D2D8" w14:textId="77777777" w:rsidR="00F76A63" w:rsidRDefault="00000000">
                  <w:pPr>
                    <w:adjustRightInd w:val="0"/>
                    <w:snapToGrid w:val="0"/>
                    <w:jc w:val="center"/>
                    <w:rPr>
                      <w:szCs w:val="21"/>
                    </w:rPr>
                  </w:pPr>
                  <w:r>
                    <w:rPr>
                      <w:szCs w:val="21"/>
                    </w:rPr>
                    <w:t>坚决遏制高耗能高排放项目盲目发展。严把高耗能高排放项目准入关口，严格落实污染物排放区域削减要求，对不符合规定的项目坚决停批停建。依法依规淘汰落后产能和化解过剩产能。推动高炉－转炉长流程炼钢转型为电炉短流程炼钢。重点区域严禁新增钢铁、焦化、水泥熟料、平板玻璃、电解铝、氧化铝、煤化工产能，合理控制煤制油气产能规模，严控新增炼油产能。</w:t>
                  </w:r>
                </w:p>
                <w:p w14:paraId="6130A3A6" w14:textId="77777777" w:rsidR="00F76A63" w:rsidRDefault="00000000">
                  <w:pPr>
                    <w:adjustRightInd w:val="0"/>
                    <w:snapToGrid w:val="0"/>
                    <w:jc w:val="center"/>
                    <w:rPr>
                      <w:szCs w:val="21"/>
                    </w:rPr>
                  </w:pPr>
                  <w:r>
                    <w:rPr>
                      <w:shd w:val="clear" w:color="auto" w:fill="FFFFFF"/>
                    </w:rPr>
                    <w:t>衔接国土空间规划分区和用途管制要求，将生态保护红线、环境质量底</w:t>
                  </w:r>
                  <w:r>
                    <w:rPr>
                      <w:shd w:val="clear" w:color="auto" w:fill="FFFFFF"/>
                    </w:rPr>
                    <w:lastRenderedPageBreak/>
                    <w:t>线、资源利用上线的硬约束落实到环境管控单元，建立差别化的生态环境准入清单，加强</w:t>
                  </w:r>
                  <w:r>
                    <w:rPr>
                      <w:shd w:val="clear" w:color="auto" w:fill="FFFFFF"/>
                    </w:rPr>
                    <w:t>“</w:t>
                  </w:r>
                  <w:r>
                    <w:rPr>
                      <w:shd w:val="clear" w:color="auto" w:fill="FFFFFF"/>
                    </w:rPr>
                    <w:t>三线一单</w:t>
                  </w:r>
                  <w:r>
                    <w:rPr>
                      <w:shd w:val="clear" w:color="auto" w:fill="FFFFFF"/>
                    </w:rPr>
                    <w:t>”</w:t>
                  </w:r>
                  <w:r>
                    <w:rPr>
                      <w:shd w:val="clear" w:color="auto" w:fill="FFFFFF"/>
                    </w:rPr>
                    <w:t>成果在政策制定、环境准入、园区管理、执法监管等方面的应用。</w:t>
                  </w:r>
                </w:p>
              </w:tc>
              <w:tc>
                <w:tcPr>
                  <w:tcW w:w="1355" w:type="pct"/>
                  <w:vAlign w:val="center"/>
                </w:tcPr>
                <w:p w14:paraId="220308D3" w14:textId="77777777" w:rsidR="00F76A63" w:rsidRDefault="00000000">
                  <w:pPr>
                    <w:adjustRightInd w:val="0"/>
                    <w:snapToGrid w:val="0"/>
                    <w:jc w:val="center"/>
                    <w:rPr>
                      <w:szCs w:val="21"/>
                    </w:rPr>
                  </w:pPr>
                  <w:r>
                    <w:rPr>
                      <w:szCs w:val="21"/>
                    </w:rPr>
                    <w:lastRenderedPageBreak/>
                    <w:t>本项目属于</w:t>
                  </w:r>
                  <w:r>
                    <w:rPr>
                      <w:szCs w:val="21"/>
                    </w:rPr>
                    <w:t>[N7723]</w:t>
                  </w:r>
                  <w:r>
                    <w:rPr>
                      <w:szCs w:val="21"/>
                    </w:rPr>
                    <w:t>固体废物治理，不属于高耗能、高排放项目，符合</w:t>
                  </w:r>
                  <w:r>
                    <w:rPr>
                      <w:rFonts w:hint="eastAsia"/>
                      <w:szCs w:val="21"/>
                    </w:rPr>
                    <w:t>“</w:t>
                  </w:r>
                  <w:r>
                    <w:rPr>
                      <w:szCs w:val="21"/>
                    </w:rPr>
                    <w:t>三线一单</w:t>
                  </w:r>
                  <w:r>
                    <w:rPr>
                      <w:rFonts w:hint="eastAsia"/>
                      <w:szCs w:val="21"/>
                    </w:rPr>
                    <w:t>”</w:t>
                  </w:r>
                  <w:r>
                    <w:rPr>
                      <w:szCs w:val="21"/>
                    </w:rPr>
                    <w:t>要求。</w:t>
                  </w:r>
                </w:p>
              </w:tc>
              <w:tc>
                <w:tcPr>
                  <w:tcW w:w="608" w:type="pct"/>
                  <w:vAlign w:val="center"/>
                </w:tcPr>
                <w:p w14:paraId="6976413E" w14:textId="77777777" w:rsidR="00F76A63" w:rsidRDefault="00000000">
                  <w:pPr>
                    <w:adjustRightInd w:val="0"/>
                    <w:snapToGrid w:val="0"/>
                    <w:jc w:val="center"/>
                    <w:rPr>
                      <w:szCs w:val="21"/>
                    </w:rPr>
                  </w:pPr>
                  <w:r>
                    <w:rPr>
                      <w:szCs w:val="21"/>
                    </w:rPr>
                    <w:t>符合</w:t>
                  </w:r>
                </w:p>
              </w:tc>
            </w:tr>
          </w:tbl>
          <w:p w14:paraId="5C52D965" w14:textId="77777777" w:rsidR="00F76A63" w:rsidRDefault="00000000">
            <w:pPr>
              <w:adjustRightInd w:val="0"/>
              <w:snapToGrid w:val="0"/>
              <w:spacing w:line="500" w:lineRule="exact"/>
              <w:ind w:firstLineChars="200" w:firstLine="482"/>
              <w:rPr>
                <w:b/>
                <w:bCs/>
                <w:sz w:val="24"/>
              </w:rPr>
            </w:pPr>
            <w:r>
              <w:rPr>
                <w:rFonts w:hint="eastAsia"/>
                <w:b/>
                <w:bCs/>
                <w:sz w:val="24"/>
              </w:rPr>
              <w:t>4</w:t>
            </w:r>
            <w:r>
              <w:rPr>
                <w:b/>
                <w:bCs/>
                <w:sz w:val="24"/>
              </w:rPr>
              <w:t>、与《关于加强高耗能、高排放建设项目生态环境源头防控的指导意见》（环环评</w:t>
            </w:r>
            <w:r>
              <w:rPr>
                <w:b/>
                <w:bCs/>
                <w:sz w:val="24"/>
              </w:rPr>
              <w:t>[2021]45</w:t>
            </w:r>
            <w:r>
              <w:rPr>
                <w:b/>
                <w:bCs/>
                <w:sz w:val="24"/>
              </w:rPr>
              <w:t>号）、《江苏省</w:t>
            </w:r>
            <w:r>
              <w:rPr>
                <w:b/>
                <w:bCs/>
                <w:sz w:val="24"/>
              </w:rPr>
              <w:t>“</w:t>
            </w:r>
            <w:r>
              <w:rPr>
                <w:b/>
                <w:bCs/>
                <w:sz w:val="24"/>
              </w:rPr>
              <w:t>两高</w:t>
            </w:r>
            <w:r>
              <w:rPr>
                <w:b/>
                <w:bCs/>
                <w:sz w:val="24"/>
              </w:rPr>
              <w:t>”</w:t>
            </w:r>
            <w:r>
              <w:rPr>
                <w:b/>
                <w:bCs/>
                <w:sz w:val="24"/>
              </w:rPr>
              <w:t>项目管理目录</w:t>
            </w:r>
            <w:r>
              <w:rPr>
                <w:b/>
                <w:bCs/>
                <w:sz w:val="24"/>
              </w:rPr>
              <w:t>(2025</w:t>
            </w:r>
            <w:r>
              <w:rPr>
                <w:b/>
                <w:bCs/>
                <w:sz w:val="24"/>
              </w:rPr>
              <w:t>年版</w:t>
            </w:r>
            <w:r>
              <w:rPr>
                <w:b/>
                <w:bCs/>
                <w:sz w:val="24"/>
              </w:rPr>
              <w:t>)</w:t>
            </w:r>
            <w:r>
              <w:rPr>
                <w:b/>
                <w:bCs/>
                <w:sz w:val="24"/>
              </w:rPr>
              <w:t>》相符性分析</w:t>
            </w:r>
          </w:p>
          <w:p w14:paraId="716AE981" w14:textId="77777777" w:rsidR="00F76A63" w:rsidRDefault="00000000">
            <w:pPr>
              <w:adjustRightInd w:val="0"/>
              <w:snapToGrid w:val="0"/>
              <w:spacing w:line="500" w:lineRule="exact"/>
              <w:ind w:firstLineChars="200" w:firstLine="480"/>
              <w:rPr>
                <w:bCs/>
                <w:sz w:val="24"/>
              </w:rPr>
            </w:pPr>
            <w:r>
              <w:rPr>
                <w:bCs/>
                <w:sz w:val="24"/>
              </w:rPr>
              <w:t>据环环评</w:t>
            </w:r>
            <w:r>
              <w:rPr>
                <w:bCs/>
                <w:sz w:val="24"/>
              </w:rPr>
              <w:t>[2021]45</w:t>
            </w:r>
            <w:r>
              <w:rPr>
                <w:bCs/>
                <w:sz w:val="24"/>
              </w:rPr>
              <w:t>号文要求：</w:t>
            </w:r>
            <w:r>
              <w:rPr>
                <w:rFonts w:hint="eastAsia"/>
                <w:bCs/>
                <w:sz w:val="24"/>
              </w:rPr>
              <w:t>“</w:t>
            </w:r>
            <w:r>
              <w:rPr>
                <w:bCs/>
                <w:sz w:val="24"/>
              </w:rPr>
              <w:t>严把建设项目环境准入关。新建、改建、扩建</w:t>
            </w:r>
            <w:r>
              <w:rPr>
                <w:rFonts w:hint="eastAsia"/>
                <w:bCs/>
                <w:sz w:val="24"/>
              </w:rPr>
              <w:t>“</w:t>
            </w:r>
            <w:r>
              <w:rPr>
                <w:bCs/>
                <w:sz w:val="24"/>
              </w:rPr>
              <w:t>两高</w:t>
            </w:r>
            <w:r>
              <w:rPr>
                <w:rFonts w:hint="eastAsia"/>
                <w:bCs/>
                <w:sz w:val="24"/>
              </w:rPr>
              <w:t>”</w:t>
            </w:r>
            <w:r>
              <w:rPr>
                <w:bCs/>
                <w:sz w:val="24"/>
              </w:rPr>
              <w:t>项目须符合生态环境保护法律法规和相关法定规划，满足重点污染物排放总量控制、碳排放达峰目标、生态环境准入清单、相关规划环评和相应行业建设项目环境准入条件、环评文件审批原则要求。石化、现代煤化工项目应纳入国家产业规划。新建、扩建石化、化工、焦化、有色金属冶炼、平板玻璃项目应布设在依法合规设立并经规划环评的产业园区。各级生态环境部门和行政审批部门要严格把关，对于不符合相关法律法规的，依法不予审批</w:t>
            </w:r>
            <w:r>
              <w:rPr>
                <w:bCs/>
                <w:sz w:val="24"/>
              </w:rPr>
              <w:t>……</w:t>
            </w:r>
            <w:r>
              <w:rPr>
                <w:rFonts w:hint="eastAsia"/>
                <w:bCs/>
                <w:sz w:val="24"/>
              </w:rPr>
              <w:t>“</w:t>
            </w:r>
            <w:r>
              <w:rPr>
                <w:bCs/>
                <w:sz w:val="24"/>
              </w:rPr>
              <w:t>两高</w:t>
            </w:r>
            <w:r>
              <w:rPr>
                <w:rFonts w:hint="eastAsia"/>
                <w:bCs/>
                <w:sz w:val="24"/>
              </w:rPr>
              <w:t>”</w:t>
            </w:r>
            <w:r>
              <w:rPr>
                <w:bCs/>
                <w:sz w:val="24"/>
              </w:rPr>
              <w:t>项目暂按煤电、石化、化工、钢铁、有色金属冶炼、建材等六个行业类别统计，后续对</w:t>
            </w:r>
            <w:r>
              <w:rPr>
                <w:rFonts w:hint="eastAsia"/>
                <w:bCs/>
                <w:sz w:val="24"/>
              </w:rPr>
              <w:t>“</w:t>
            </w:r>
            <w:r>
              <w:rPr>
                <w:bCs/>
                <w:sz w:val="24"/>
              </w:rPr>
              <w:t>两高</w:t>
            </w:r>
            <w:r>
              <w:rPr>
                <w:rFonts w:hint="eastAsia"/>
                <w:bCs/>
                <w:sz w:val="24"/>
              </w:rPr>
              <w:t>”</w:t>
            </w:r>
            <w:r>
              <w:rPr>
                <w:bCs/>
                <w:sz w:val="24"/>
              </w:rPr>
              <w:t>范围国家如有明确规定的，从其规定。</w:t>
            </w:r>
            <w:r>
              <w:rPr>
                <w:rFonts w:hint="eastAsia"/>
                <w:bCs/>
                <w:sz w:val="24"/>
              </w:rPr>
              <w:t>”</w:t>
            </w:r>
          </w:p>
          <w:p w14:paraId="2D8CF6B2" w14:textId="77777777" w:rsidR="00F76A63" w:rsidRDefault="00000000">
            <w:pPr>
              <w:adjustRightInd w:val="0"/>
              <w:snapToGrid w:val="0"/>
              <w:spacing w:line="500" w:lineRule="exact"/>
              <w:ind w:firstLineChars="200" w:firstLine="480"/>
              <w:rPr>
                <w:bCs/>
                <w:sz w:val="24"/>
              </w:rPr>
            </w:pPr>
            <w:r>
              <w:rPr>
                <w:bCs/>
                <w:sz w:val="24"/>
              </w:rPr>
              <w:t>本次项目依托现有水泥窑协同处置污染土及污泥，属于</w:t>
            </w:r>
            <w:r>
              <w:rPr>
                <w:bCs/>
                <w:sz w:val="24"/>
              </w:rPr>
              <w:t>[N7723]</w:t>
            </w:r>
            <w:r>
              <w:rPr>
                <w:bCs/>
                <w:sz w:val="24"/>
              </w:rPr>
              <w:t>固体废物治理，不属于</w:t>
            </w:r>
            <w:r>
              <w:rPr>
                <w:sz w:val="24"/>
              </w:rPr>
              <w:t>《江苏省</w:t>
            </w:r>
            <w:r>
              <w:rPr>
                <w:rFonts w:hint="eastAsia"/>
                <w:bCs/>
                <w:sz w:val="24"/>
              </w:rPr>
              <w:t>“</w:t>
            </w:r>
            <w:r>
              <w:rPr>
                <w:bCs/>
                <w:sz w:val="24"/>
              </w:rPr>
              <w:t>两高</w:t>
            </w:r>
            <w:r>
              <w:rPr>
                <w:rFonts w:hint="eastAsia"/>
                <w:bCs/>
                <w:sz w:val="24"/>
              </w:rPr>
              <w:t>”</w:t>
            </w:r>
            <w:r>
              <w:rPr>
                <w:sz w:val="24"/>
              </w:rPr>
              <w:t>项目管理目录</w:t>
            </w:r>
            <w:r>
              <w:rPr>
                <w:sz w:val="24"/>
              </w:rPr>
              <w:t>(2025</w:t>
            </w:r>
            <w:r>
              <w:rPr>
                <w:sz w:val="24"/>
              </w:rPr>
              <w:t>年版</w:t>
            </w:r>
            <w:r>
              <w:rPr>
                <w:sz w:val="24"/>
              </w:rPr>
              <w:t>)</w:t>
            </w:r>
            <w:r>
              <w:rPr>
                <w:sz w:val="24"/>
              </w:rPr>
              <w:t>》</w:t>
            </w:r>
            <w:r>
              <w:rPr>
                <w:bCs/>
                <w:sz w:val="24"/>
              </w:rPr>
              <w:t>中的两高项目，因此符合项目准入条件。</w:t>
            </w:r>
          </w:p>
          <w:p w14:paraId="13E0D5D2" w14:textId="77777777" w:rsidR="00F76A63" w:rsidRDefault="00000000">
            <w:pPr>
              <w:adjustRightInd w:val="0"/>
              <w:snapToGrid w:val="0"/>
              <w:spacing w:line="500" w:lineRule="exact"/>
              <w:ind w:firstLineChars="200" w:firstLine="482"/>
              <w:rPr>
                <w:b/>
                <w:bCs/>
                <w:sz w:val="24"/>
              </w:rPr>
            </w:pPr>
            <w:r>
              <w:rPr>
                <w:rFonts w:hint="eastAsia"/>
                <w:b/>
                <w:bCs/>
                <w:sz w:val="24"/>
              </w:rPr>
              <w:t>5</w:t>
            </w:r>
            <w:r>
              <w:rPr>
                <w:b/>
                <w:bCs/>
                <w:sz w:val="24"/>
              </w:rPr>
              <w:t>、与《省发展改革委、省工业和信息化厅关于坚决遏制</w:t>
            </w:r>
            <w:r>
              <w:rPr>
                <w:b/>
                <w:bCs/>
                <w:sz w:val="24"/>
              </w:rPr>
              <w:t>“</w:t>
            </w:r>
            <w:r>
              <w:rPr>
                <w:b/>
                <w:bCs/>
                <w:sz w:val="24"/>
              </w:rPr>
              <w:t>两高</w:t>
            </w:r>
            <w:r>
              <w:rPr>
                <w:b/>
                <w:bCs/>
                <w:sz w:val="24"/>
              </w:rPr>
              <w:t>”</w:t>
            </w:r>
            <w:r>
              <w:rPr>
                <w:b/>
                <w:bCs/>
                <w:sz w:val="24"/>
              </w:rPr>
              <w:t>项目盲目发展的通知》（苏发改资环发</w:t>
            </w:r>
            <w:r>
              <w:rPr>
                <w:b/>
                <w:bCs/>
                <w:sz w:val="24"/>
              </w:rPr>
              <w:t>[2021]837</w:t>
            </w:r>
            <w:r>
              <w:rPr>
                <w:b/>
                <w:bCs/>
                <w:sz w:val="24"/>
              </w:rPr>
              <w:t>号）相符性分析</w:t>
            </w:r>
          </w:p>
          <w:p w14:paraId="337793E2" w14:textId="77777777" w:rsidR="00F76A63" w:rsidRDefault="00000000">
            <w:pPr>
              <w:adjustRightInd w:val="0"/>
              <w:snapToGrid w:val="0"/>
              <w:spacing w:line="500" w:lineRule="exact"/>
              <w:ind w:firstLineChars="200" w:firstLine="480"/>
              <w:rPr>
                <w:sz w:val="24"/>
              </w:rPr>
            </w:pPr>
            <w:r>
              <w:rPr>
                <w:sz w:val="24"/>
              </w:rPr>
              <w:t>根据苏发改资环发</w:t>
            </w:r>
            <w:r>
              <w:rPr>
                <w:sz w:val="24"/>
              </w:rPr>
              <w:t>[2021]837</w:t>
            </w:r>
            <w:r>
              <w:rPr>
                <w:sz w:val="24"/>
              </w:rPr>
              <w:t>号文要求：</w:t>
            </w:r>
            <w:r>
              <w:rPr>
                <w:rFonts w:hint="eastAsia"/>
                <w:sz w:val="24"/>
              </w:rPr>
              <w:t>“</w:t>
            </w:r>
            <w:r>
              <w:rPr>
                <w:sz w:val="24"/>
              </w:rPr>
              <w:t>（一）严格落实能耗双控要求。节能审查机关在出具节能审查意见前，需把好能效水平关，强化能耗和煤炭消费减量替代指标的落实，未落实能耗及煤炭消费替代指标、能效水平未达国内先进水平的，一律不得出具节能审查意见；</w:t>
            </w:r>
            <w:r>
              <w:rPr>
                <w:sz w:val="24"/>
              </w:rPr>
              <w:t>“</w:t>
            </w:r>
            <w:r>
              <w:rPr>
                <w:sz w:val="24"/>
              </w:rPr>
              <w:t>两高</w:t>
            </w:r>
            <w:r>
              <w:rPr>
                <w:sz w:val="24"/>
              </w:rPr>
              <w:t>”</w:t>
            </w:r>
            <w:r>
              <w:rPr>
                <w:sz w:val="24"/>
              </w:rPr>
              <w:t>项目要坚决落实能效水平和能耗减量替代要求，能效水平须达到国内领先、国际先进，能效</w:t>
            </w:r>
            <w:r>
              <w:rPr>
                <w:sz w:val="24"/>
              </w:rPr>
              <w:lastRenderedPageBreak/>
              <w:t>水平不满足要求和未落实能耗减量替代的，一律不得出具节能审查意见。（二）加强项目承诺管理。</w:t>
            </w:r>
            <w:r>
              <w:rPr>
                <w:sz w:val="24"/>
              </w:rPr>
              <w:t>“</w:t>
            </w:r>
            <w:r>
              <w:rPr>
                <w:sz w:val="24"/>
              </w:rPr>
              <w:t>两高</w:t>
            </w:r>
            <w:r>
              <w:rPr>
                <w:sz w:val="24"/>
              </w:rPr>
              <w:t>”</w:t>
            </w:r>
            <w:r>
              <w:rPr>
                <w:sz w:val="24"/>
              </w:rPr>
              <w:t>项目一律不得采用承诺制或容缺审批。</w:t>
            </w:r>
            <w:r>
              <w:rPr>
                <w:sz w:val="24"/>
              </w:rPr>
              <w:t>2020</w:t>
            </w:r>
            <w:r>
              <w:rPr>
                <w:sz w:val="24"/>
              </w:rPr>
              <w:t>年临时实施的新冠肺炎疫情防控期间固定资产投资项目节能承诺制度不再继续施行，所有项目须严格实施节能审查，个别地区因疫情管控需要，不便现场办理手续的，要做好网上办理服务，不得因此影响节能审查工作质量。（三）规范</w:t>
            </w:r>
            <w:r>
              <w:rPr>
                <w:sz w:val="24"/>
              </w:rPr>
              <w:t>“</w:t>
            </w:r>
            <w:r>
              <w:rPr>
                <w:sz w:val="24"/>
              </w:rPr>
              <w:t>两高</w:t>
            </w:r>
            <w:r>
              <w:rPr>
                <w:sz w:val="24"/>
              </w:rPr>
              <w:t>”</w:t>
            </w:r>
            <w:r>
              <w:rPr>
                <w:sz w:val="24"/>
              </w:rPr>
              <w:t>项目台账管理。</w:t>
            </w:r>
            <w:r>
              <w:rPr>
                <w:sz w:val="24"/>
              </w:rPr>
              <w:t>“</w:t>
            </w:r>
            <w:r>
              <w:rPr>
                <w:sz w:val="24"/>
              </w:rPr>
              <w:t>两高</w:t>
            </w:r>
            <w:r>
              <w:rPr>
                <w:sz w:val="24"/>
              </w:rPr>
              <w:t>”</w:t>
            </w:r>
            <w:r>
              <w:rPr>
                <w:sz w:val="24"/>
              </w:rPr>
              <w:t>项目节能审查情况要做好台账，记录项目名称、建设地点、所属行业、建设状态节能审查受理时间、审批部门、审批时间、审批文号、用能时间能效水平等基本信息，涉及产能置换的还应记录置换产能退出装备、产能等信息。各地要及时向省级节能审查机关报送相关信息。</w:t>
            </w:r>
            <w:r>
              <w:rPr>
                <w:rFonts w:hint="eastAsia"/>
                <w:sz w:val="24"/>
              </w:rPr>
              <w:t>”</w:t>
            </w:r>
          </w:p>
          <w:p w14:paraId="0D712098" w14:textId="77777777" w:rsidR="00F76A63" w:rsidRDefault="00000000">
            <w:pPr>
              <w:adjustRightInd w:val="0"/>
              <w:snapToGrid w:val="0"/>
              <w:spacing w:line="500" w:lineRule="exact"/>
              <w:ind w:firstLineChars="200" w:firstLine="480"/>
              <w:rPr>
                <w:sz w:val="24"/>
              </w:rPr>
            </w:pPr>
            <w:r>
              <w:rPr>
                <w:sz w:val="24"/>
              </w:rPr>
              <w:t>本次项目依托现有水泥窑协同处置污染土及污泥，属于</w:t>
            </w:r>
            <w:r>
              <w:rPr>
                <w:sz w:val="24"/>
              </w:rPr>
              <w:t>[N7723]</w:t>
            </w:r>
            <w:r>
              <w:rPr>
                <w:sz w:val="24"/>
              </w:rPr>
              <w:t>固体废物治理，本项目利用现有生产线，不新增用能设备，符合项目准入条件。</w:t>
            </w:r>
          </w:p>
          <w:p w14:paraId="47FC1261" w14:textId="77777777" w:rsidR="00F76A63" w:rsidRDefault="00000000">
            <w:pPr>
              <w:adjustRightInd w:val="0"/>
              <w:snapToGrid w:val="0"/>
              <w:spacing w:line="500" w:lineRule="exact"/>
              <w:ind w:firstLineChars="200" w:firstLine="482"/>
              <w:rPr>
                <w:b/>
                <w:bCs/>
                <w:sz w:val="24"/>
              </w:rPr>
            </w:pPr>
            <w:r>
              <w:rPr>
                <w:rFonts w:hint="eastAsia"/>
                <w:b/>
                <w:bCs/>
                <w:sz w:val="24"/>
              </w:rPr>
              <w:t>6</w:t>
            </w:r>
            <w:r>
              <w:rPr>
                <w:b/>
                <w:bCs/>
                <w:sz w:val="24"/>
              </w:rPr>
              <w:t>、与长江大保护相关政策的相符性分析</w:t>
            </w:r>
          </w:p>
          <w:p w14:paraId="2C59DEB1" w14:textId="77777777" w:rsidR="00F76A63" w:rsidRDefault="00000000">
            <w:pPr>
              <w:adjustRightInd w:val="0"/>
              <w:snapToGrid w:val="0"/>
              <w:spacing w:line="500" w:lineRule="exact"/>
              <w:jc w:val="center"/>
              <w:rPr>
                <w:b/>
                <w:sz w:val="24"/>
              </w:rPr>
            </w:pPr>
            <w:r>
              <w:rPr>
                <w:b/>
                <w:sz w:val="24"/>
              </w:rPr>
              <w:t>表</w:t>
            </w:r>
            <w:r>
              <w:rPr>
                <w:b/>
                <w:sz w:val="24"/>
              </w:rPr>
              <w:t>1-</w:t>
            </w:r>
            <w:r>
              <w:rPr>
                <w:rFonts w:hint="eastAsia"/>
                <w:b/>
                <w:sz w:val="24"/>
              </w:rPr>
              <w:t>12</w:t>
            </w:r>
            <w:r>
              <w:rPr>
                <w:b/>
                <w:sz w:val="24"/>
              </w:rPr>
              <w:t xml:space="preserve">  </w:t>
            </w:r>
            <w:r>
              <w:rPr>
                <w:b/>
                <w:sz w:val="24"/>
              </w:rPr>
              <w:t>本项目与长江大保护相关政策文件的符合性分析</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428"/>
              <w:gridCol w:w="1678"/>
              <w:gridCol w:w="3285"/>
              <w:gridCol w:w="1804"/>
              <w:gridCol w:w="618"/>
            </w:tblGrid>
            <w:tr w:rsidR="00F76A63" w14:paraId="5D0F518B" w14:textId="77777777">
              <w:trPr>
                <w:jc w:val="center"/>
              </w:trPr>
              <w:tc>
                <w:tcPr>
                  <w:tcW w:w="449" w:type="dxa"/>
                  <w:vAlign w:val="center"/>
                </w:tcPr>
                <w:p w14:paraId="0EC102C5" w14:textId="77777777" w:rsidR="00F76A63" w:rsidRDefault="00000000">
                  <w:pPr>
                    <w:adjustRightInd w:val="0"/>
                    <w:snapToGrid w:val="0"/>
                    <w:jc w:val="center"/>
                    <w:rPr>
                      <w:b/>
                      <w:bCs/>
                      <w:szCs w:val="21"/>
                    </w:rPr>
                  </w:pPr>
                  <w:r>
                    <w:rPr>
                      <w:b/>
                      <w:bCs/>
                      <w:szCs w:val="21"/>
                    </w:rPr>
                    <w:t>序号</w:t>
                  </w:r>
                </w:p>
              </w:tc>
              <w:tc>
                <w:tcPr>
                  <w:tcW w:w="1834" w:type="dxa"/>
                  <w:vAlign w:val="center"/>
                </w:tcPr>
                <w:p w14:paraId="1D940A92" w14:textId="77777777" w:rsidR="00F76A63" w:rsidRDefault="00000000">
                  <w:pPr>
                    <w:adjustRightInd w:val="0"/>
                    <w:snapToGrid w:val="0"/>
                    <w:jc w:val="center"/>
                    <w:rPr>
                      <w:b/>
                      <w:bCs/>
                      <w:szCs w:val="21"/>
                    </w:rPr>
                  </w:pPr>
                  <w:r>
                    <w:rPr>
                      <w:b/>
                      <w:bCs/>
                      <w:szCs w:val="21"/>
                    </w:rPr>
                    <w:t>文件名称</w:t>
                  </w:r>
                </w:p>
              </w:tc>
              <w:tc>
                <w:tcPr>
                  <w:tcW w:w="3616" w:type="dxa"/>
                  <w:vAlign w:val="center"/>
                </w:tcPr>
                <w:p w14:paraId="5366560F" w14:textId="77777777" w:rsidR="00F76A63" w:rsidRDefault="00000000">
                  <w:pPr>
                    <w:adjustRightInd w:val="0"/>
                    <w:snapToGrid w:val="0"/>
                    <w:jc w:val="center"/>
                    <w:rPr>
                      <w:b/>
                      <w:bCs/>
                      <w:szCs w:val="21"/>
                    </w:rPr>
                  </w:pPr>
                  <w:r>
                    <w:rPr>
                      <w:b/>
                      <w:bCs/>
                      <w:szCs w:val="21"/>
                    </w:rPr>
                    <w:t>主要相关内容</w:t>
                  </w:r>
                </w:p>
              </w:tc>
              <w:tc>
                <w:tcPr>
                  <w:tcW w:w="1974" w:type="dxa"/>
                  <w:vAlign w:val="center"/>
                </w:tcPr>
                <w:p w14:paraId="1800612E" w14:textId="77777777" w:rsidR="00F76A63" w:rsidRDefault="00000000">
                  <w:pPr>
                    <w:adjustRightInd w:val="0"/>
                    <w:snapToGrid w:val="0"/>
                    <w:jc w:val="center"/>
                    <w:rPr>
                      <w:b/>
                      <w:bCs/>
                      <w:szCs w:val="21"/>
                    </w:rPr>
                  </w:pPr>
                  <w:r>
                    <w:rPr>
                      <w:b/>
                      <w:bCs/>
                      <w:szCs w:val="21"/>
                    </w:rPr>
                    <w:t>相符性分析</w:t>
                  </w:r>
                </w:p>
              </w:tc>
              <w:tc>
                <w:tcPr>
                  <w:tcW w:w="659" w:type="dxa"/>
                  <w:vAlign w:val="center"/>
                </w:tcPr>
                <w:p w14:paraId="619CF27B" w14:textId="77777777" w:rsidR="00F76A63" w:rsidRDefault="00000000">
                  <w:pPr>
                    <w:adjustRightInd w:val="0"/>
                    <w:snapToGrid w:val="0"/>
                    <w:jc w:val="center"/>
                    <w:rPr>
                      <w:b/>
                      <w:bCs/>
                      <w:szCs w:val="21"/>
                    </w:rPr>
                  </w:pPr>
                  <w:r>
                    <w:rPr>
                      <w:b/>
                      <w:bCs/>
                      <w:szCs w:val="21"/>
                    </w:rPr>
                    <w:t>相符性</w:t>
                  </w:r>
                </w:p>
              </w:tc>
            </w:tr>
            <w:tr w:rsidR="00F76A63" w14:paraId="780C3AFF" w14:textId="77777777">
              <w:trPr>
                <w:jc w:val="center"/>
              </w:trPr>
              <w:tc>
                <w:tcPr>
                  <w:tcW w:w="449" w:type="dxa"/>
                  <w:vAlign w:val="center"/>
                </w:tcPr>
                <w:p w14:paraId="2FB81AD0" w14:textId="77777777" w:rsidR="00F76A63" w:rsidRDefault="00000000">
                  <w:pPr>
                    <w:adjustRightInd w:val="0"/>
                    <w:snapToGrid w:val="0"/>
                    <w:jc w:val="center"/>
                    <w:rPr>
                      <w:bCs/>
                      <w:szCs w:val="21"/>
                    </w:rPr>
                  </w:pPr>
                  <w:r>
                    <w:rPr>
                      <w:bCs/>
                      <w:szCs w:val="21"/>
                    </w:rPr>
                    <w:t>1</w:t>
                  </w:r>
                </w:p>
              </w:tc>
              <w:tc>
                <w:tcPr>
                  <w:tcW w:w="1834" w:type="dxa"/>
                  <w:vAlign w:val="center"/>
                </w:tcPr>
                <w:p w14:paraId="44E964D2" w14:textId="77777777" w:rsidR="00F76A63" w:rsidRDefault="00000000">
                  <w:pPr>
                    <w:adjustRightInd w:val="0"/>
                    <w:snapToGrid w:val="0"/>
                    <w:jc w:val="center"/>
                    <w:rPr>
                      <w:bCs/>
                      <w:szCs w:val="21"/>
                    </w:rPr>
                  </w:pPr>
                  <w:r>
                    <w:rPr>
                      <w:bCs/>
                      <w:szCs w:val="21"/>
                    </w:rPr>
                    <w:t>《江苏省长江经济带生态环境保护实施规划》（</w:t>
                  </w:r>
                  <w:r>
                    <w:rPr>
                      <w:bCs/>
                      <w:szCs w:val="21"/>
                    </w:rPr>
                    <w:t>2017</w:t>
                  </w:r>
                  <w:r>
                    <w:rPr>
                      <w:bCs/>
                      <w:szCs w:val="21"/>
                    </w:rPr>
                    <w:t>年</w:t>
                  </w:r>
                  <w:r>
                    <w:rPr>
                      <w:bCs/>
                      <w:szCs w:val="21"/>
                    </w:rPr>
                    <w:t>12</w:t>
                  </w:r>
                  <w:r>
                    <w:rPr>
                      <w:bCs/>
                      <w:szCs w:val="21"/>
                    </w:rPr>
                    <w:t>月）</w:t>
                  </w:r>
                </w:p>
              </w:tc>
              <w:tc>
                <w:tcPr>
                  <w:tcW w:w="3616" w:type="dxa"/>
                  <w:vAlign w:val="center"/>
                </w:tcPr>
                <w:p w14:paraId="48CD9C2A" w14:textId="77777777" w:rsidR="00F76A63" w:rsidRDefault="00000000">
                  <w:pPr>
                    <w:adjustRightInd w:val="0"/>
                    <w:snapToGrid w:val="0"/>
                    <w:jc w:val="center"/>
                    <w:rPr>
                      <w:bCs/>
                      <w:szCs w:val="21"/>
                    </w:rPr>
                  </w:pPr>
                  <w:r>
                    <w:rPr>
                      <w:bCs/>
                      <w:szCs w:val="21"/>
                    </w:rPr>
                    <w:t>七、严格管控环境风险</w:t>
                  </w:r>
                </w:p>
                <w:p w14:paraId="12ECC2DD" w14:textId="77777777" w:rsidR="00F76A63" w:rsidRDefault="00000000">
                  <w:pPr>
                    <w:adjustRightInd w:val="0"/>
                    <w:snapToGrid w:val="0"/>
                    <w:jc w:val="center"/>
                    <w:rPr>
                      <w:bCs/>
                      <w:szCs w:val="21"/>
                    </w:rPr>
                  </w:pPr>
                  <w:r>
                    <w:rPr>
                      <w:bCs/>
                      <w:szCs w:val="21"/>
                    </w:rPr>
                    <w:t>（一）严格环境风险源头防控</w:t>
                  </w:r>
                </w:p>
                <w:p w14:paraId="1FFC5654" w14:textId="77777777" w:rsidR="00F76A63" w:rsidRDefault="00000000">
                  <w:pPr>
                    <w:adjustRightInd w:val="0"/>
                    <w:snapToGrid w:val="0"/>
                    <w:jc w:val="center"/>
                    <w:rPr>
                      <w:bCs/>
                      <w:szCs w:val="21"/>
                    </w:rPr>
                  </w:pPr>
                  <w:r>
                    <w:rPr>
                      <w:bCs/>
                      <w:szCs w:val="21"/>
                    </w:rPr>
                    <w:t>优化沿江企业和码头布局。严格按照区域资源环境承载能力，加强分类指导，确定工业发展方向和开发强度，优化产业布局和规模，沿江地区不再新布局石化项目。严格控制沿江石油加工、化学原料和化学制品制造、医药制造、化学纤维制造、有色金属、印染、造纸等项目环境风险。</w:t>
                  </w:r>
                </w:p>
              </w:tc>
              <w:tc>
                <w:tcPr>
                  <w:tcW w:w="1974" w:type="dxa"/>
                  <w:vAlign w:val="center"/>
                </w:tcPr>
                <w:p w14:paraId="2E889747" w14:textId="77777777" w:rsidR="00F76A63" w:rsidRDefault="00000000">
                  <w:pPr>
                    <w:adjustRightInd w:val="0"/>
                    <w:snapToGrid w:val="0"/>
                    <w:jc w:val="center"/>
                    <w:rPr>
                      <w:bCs/>
                      <w:szCs w:val="21"/>
                    </w:rPr>
                  </w:pPr>
                  <w:r>
                    <w:rPr>
                      <w:bCs/>
                      <w:szCs w:val="21"/>
                    </w:rPr>
                    <w:t>句容台泥水泥有限公司厂区位于长江岸边（</w:t>
                  </w:r>
                  <w:r>
                    <w:rPr>
                      <w:bCs/>
                      <w:szCs w:val="21"/>
                    </w:rPr>
                    <w:t>1</w:t>
                  </w:r>
                  <w:r>
                    <w:rPr>
                      <w:bCs/>
                      <w:szCs w:val="21"/>
                    </w:rPr>
                    <w:t>公里范围内），为水泥生产企业，本项目为</w:t>
                  </w:r>
                  <w:r>
                    <w:rPr>
                      <w:bCs/>
                      <w:szCs w:val="21"/>
                    </w:rPr>
                    <w:t>[N7723]</w:t>
                  </w:r>
                  <w:r>
                    <w:rPr>
                      <w:bCs/>
                      <w:szCs w:val="21"/>
                    </w:rPr>
                    <w:t>固体废物治理，非石化、化工、印染、造纸等项目</w:t>
                  </w:r>
                  <w:r>
                    <w:rPr>
                      <w:rFonts w:hint="eastAsia"/>
                      <w:bCs/>
                      <w:szCs w:val="21"/>
                    </w:rPr>
                    <w:t>。</w:t>
                  </w:r>
                </w:p>
              </w:tc>
              <w:tc>
                <w:tcPr>
                  <w:tcW w:w="659" w:type="dxa"/>
                  <w:vAlign w:val="center"/>
                </w:tcPr>
                <w:p w14:paraId="49205290" w14:textId="77777777" w:rsidR="00F76A63" w:rsidRDefault="00000000">
                  <w:pPr>
                    <w:adjustRightInd w:val="0"/>
                    <w:snapToGrid w:val="0"/>
                    <w:jc w:val="center"/>
                    <w:rPr>
                      <w:bCs/>
                      <w:szCs w:val="21"/>
                    </w:rPr>
                  </w:pPr>
                  <w:r>
                    <w:rPr>
                      <w:bCs/>
                      <w:szCs w:val="21"/>
                    </w:rPr>
                    <w:t>相符</w:t>
                  </w:r>
                </w:p>
              </w:tc>
            </w:tr>
            <w:tr w:rsidR="00F76A63" w14:paraId="19741946" w14:textId="77777777">
              <w:trPr>
                <w:jc w:val="center"/>
              </w:trPr>
              <w:tc>
                <w:tcPr>
                  <w:tcW w:w="449" w:type="dxa"/>
                  <w:vAlign w:val="center"/>
                </w:tcPr>
                <w:p w14:paraId="08403CEE" w14:textId="77777777" w:rsidR="00F76A63" w:rsidRDefault="00000000">
                  <w:pPr>
                    <w:adjustRightInd w:val="0"/>
                    <w:snapToGrid w:val="0"/>
                    <w:jc w:val="center"/>
                    <w:rPr>
                      <w:bCs/>
                      <w:szCs w:val="21"/>
                    </w:rPr>
                  </w:pPr>
                  <w:r>
                    <w:rPr>
                      <w:bCs/>
                      <w:szCs w:val="21"/>
                    </w:rPr>
                    <w:t>2</w:t>
                  </w:r>
                </w:p>
              </w:tc>
              <w:tc>
                <w:tcPr>
                  <w:tcW w:w="1834" w:type="dxa"/>
                  <w:vAlign w:val="center"/>
                </w:tcPr>
                <w:p w14:paraId="236E2658" w14:textId="77777777" w:rsidR="00F76A63" w:rsidRDefault="00000000">
                  <w:pPr>
                    <w:adjustRightInd w:val="0"/>
                    <w:snapToGrid w:val="0"/>
                    <w:jc w:val="center"/>
                    <w:rPr>
                      <w:bCs/>
                      <w:szCs w:val="21"/>
                    </w:rPr>
                  </w:pPr>
                  <w:r>
                    <w:rPr>
                      <w:bCs/>
                      <w:szCs w:val="21"/>
                    </w:rPr>
                    <w:t>《全面加强生态环境保护坚决打好污染防治攻坚战的实施意见》（苏发〔</w:t>
                  </w:r>
                  <w:r>
                    <w:rPr>
                      <w:bCs/>
                      <w:szCs w:val="21"/>
                    </w:rPr>
                    <w:t>2018</w:t>
                  </w:r>
                  <w:r>
                    <w:rPr>
                      <w:bCs/>
                      <w:szCs w:val="21"/>
                    </w:rPr>
                    <w:t>〕</w:t>
                  </w:r>
                  <w:r>
                    <w:rPr>
                      <w:bCs/>
                      <w:szCs w:val="21"/>
                    </w:rPr>
                    <w:t>24</w:t>
                  </w:r>
                  <w:r>
                    <w:rPr>
                      <w:bCs/>
                      <w:szCs w:val="21"/>
                    </w:rPr>
                    <w:t>号）</w:t>
                  </w:r>
                </w:p>
              </w:tc>
              <w:tc>
                <w:tcPr>
                  <w:tcW w:w="3616" w:type="dxa"/>
                  <w:vAlign w:val="center"/>
                </w:tcPr>
                <w:p w14:paraId="53C1B411" w14:textId="77777777" w:rsidR="00F76A63" w:rsidRDefault="00000000">
                  <w:pPr>
                    <w:adjustRightInd w:val="0"/>
                    <w:snapToGrid w:val="0"/>
                    <w:jc w:val="center"/>
                    <w:rPr>
                      <w:bCs/>
                      <w:szCs w:val="21"/>
                    </w:rPr>
                  </w:pPr>
                  <w:r>
                    <w:rPr>
                      <w:bCs/>
                      <w:szCs w:val="21"/>
                    </w:rPr>
                    <w:t>五、着力打好碧水保卫战</w:t>
                  </w:r>
                </w:p>
                <w:p w14:paraId="4925CF8F" w14:textId="77777777" w:rsidR="00F76A63" w:rsidRDefault="00000000">
                  <w:pPr>
                    <w:adjustRightInd w:val="0"/>
                    <w:snapToGrid w:val="0"/>
                    <w:jc w:val="center"/>
                    <w:rPr>
                      <w:bCs/>
                      <w:szCs w:val="21"/>
                    </w:rPr>
                  </w:pPr>
                  <w:r>
                    <w:rPr>
                      <w:bCs/>
                      <w:szCs w:val="21"/>
                    </w:rPr>
                    <w:t>（三）打好长江保护修复攻坚战</w:t>
                  </w:r>
                </w:p>
                <w:p w14:paraId="4A98838E" w14:textId="77777777" w:rsidR="00F76A63" w:rsidRDefault="00000000">
                  <w:pPr>
                    <w:adjustRightInd w:val="0"/>
                    <w:snapToGrid w:val="0"/>
                    <w:jc w:val="center"/>
                    <w:rPr>
                      <w:bCs/>
                      <w:szCs w:val="21"/>
                    </w:rPr>
                  </w:pPr>
                  <w:r>
                    <w:rPr>
                      <w:bCs/>
                      <w:szCs w:val="21"/>
                    </w:rPr>
                    <w:t>严禁在长江干流及主要支流岸线</w:t>
                  </w:r>
                  <w:r>
                    <w:rPr>
                      <w:bCs/>
                      <w:szCs w:val="21"/>
                    </w:rPr>
                    <w:t>1</w:t>
                  </w:r>
                  <w:r>
                    <w:rPr>
                      <w:bCs/>
                      <w:szCs w:val="21"/>
                    </w:rPr>
                    <w:t>公里范围内新建布局化工园区和化工企业，严控危化品码头建设。</w:t>
                  </w:r>
                </w:p>
              </w:tc>
              <w:tc>
                <w:tcPr>
                  <w:tcW w:w="1974" w:type="dxa"/>
                  <w:vAlign w:val="center"/>
                </w:tcPr>
                <w:p w14:paraId="57FBB9EC" w14:textId="77777777" w:rsidR="00F76A63" w:rsidRDefault="00000000">
                  <w:pPr>
                    <w:adjustRightInd w:val="0"/>
                    <w:snapToGrid w:val="0"/>
                    <w:jc w:val="center"/>
                    <w:rPr>
                      <w:bCs/>
                      <w:szCs w:val="21"/>
                    </w:rPr>
                  </w:pPr>
                  <w:r>
                    <w:rPr>
                      <w:bCs/>
                      <w:szCs w:val="21"/>
                    </w:rPr>
                    <w:t>本项目位于长江干流</w:t>
                  </w:r>
                  <w:r>
                    <w:rPr>
                      <w:bCs/>
                      <w:szCs w:val="21"/>
                    </w:rPr>
                    <w:t>1</w:t>
                  </w:r>
                  <w:r>
                    <w:rPr>
                      <w:bCs/>
                      <w:szCs w:val="21"/>
                    </w:rPr>
                    <w:t>公里范围内，本项目为</w:t>
                  </w:r>
                  <w:r>
                    <w:rPr>
                      <w:bCs/>
                      <w:szCs w:val="21"/>
                    </w:rPr>
                    <w:t>[N7723]</w:t>
                  </w:r>
                  <w:r>
                    <w:rPr>
                      <w:bCs/>
                      <w:szCs w:val="21"/>
                    </w:rPr>
                    <w:t>固体废物治理，不属于禁止的新建化工园区和化工项目；本项目不涉及码头建设</w:t>
                  </w:r>
                  <w:r>
                    <w:rPr>
                      <w:rFonts w:hint="eastAsia"/>
                      <w:bCs/>
                      <w:szCs w:val="21"/>
                    </w:rPr>
                    <w:t>。</w:t>
                  </w:r>
                </w:p>
              </w:tc>
              <w:tc>
                <w:tcPr>
                  <w:tcW w:w="659" w:type="dxa"/>
                  <w:vAlign w:val="center"/>
                </w:tcPr>
                <w:p w14:paraId="6F187CAE" w14:textId="77777777" w:rsidR="00F76A63" w:rsidRDefault="00000000">
                  <w:pPr>
                    <w:adjustRightInd w:val="0"/>
                    <w:snapToGrid w:val="0"/>
                    <w:jc w:val="center"/>
                    <w:rPr>
                      <w:bCs/>
                      <w:szCs w:val="21"/>
                    </w:rPr>
                  </w:pPr>
                  <w:r>
                    <w:rPr>
                      <w:bCs/>
                      <w:szCs w:val="21"/>
                    </w:rPr>
                    <w:t>相符</w:t>
                  </w:r>
                </w:p>
              </w:tc>
            </w:tr>
            <w:tr w:rsidR="00F76A63" w14:paraId="2782EFD7" w14:textId="77777777">
              <w:trPr>
                <w:jc w:val="center"/>
              </w:trPr>
              <w:tc>
                <w:tcPr>
                  <w:tcW w:w="449" w:type="dxa"/>
                  <w:vMerge w:val="restart"/>
                  <w:vAlign w:val="center"/>
                </w:tcPr>
                <w:p w14:paraId="15FA41DD" w14:textId="77777777" w:rsidR="00F76A63" w:rsidRDefault="00000000">
                  <w:pPr>
                    <w:adjustRightInd w:val="0"/>
                    <w:snapToGrid w:val="0"/>
                    <w:jc w:val="center"/>
                    <w:rPr>
                      <w:bCs/>
                      <w:szCs w:val="21"/>
                    </w:rPr>
                  </w:pPr>
                  <w:r>
                    <w:rPr>
                      <w:bCs/>
                      <w:szCs w:val="21"/>
                    </w:rPr>
                    <w:lastRenderedPageBreak/>
                    <w:t>3</w:t>
                  </w:r>
                </w:p>
              </w:tc>
              <w:tc>
                <w:tcPr>
                  <w:tcW w:w="1834" w:type="dxa"/>
                  <w:vMerge w:val="restart"/>
                  <w:vAlign w:val="center"/>
                </w:tcPr>
                <w:p w14:paraId="3CBD6DF0" w14:textId="77777777" w:rsidR="00F76A63" w:rsidRDefault="00000000">
                  <w:pPr>
                    <w:adjustRightInd w:val="0"/>
                    <w:snapToGrid w:val="0"/>
                    <w:jc w:val="center"/>
                    <w:rPr>
                      <w:bCs/>
                      <w:szCs w:val="21"/>
                    </w:rPr>
                  </w:pPr>
                  <w:r>
                    <w:rPr>
                      <w:bCs/>
                      <w:szCs w:val="21"/>
                    </w:rPr>
                    <w:t>《中华人民共和国长江保护法》（</w:t>
                  </w:r>
                  <w:r>
                    <w:rPr>
                      <w:bCs/>
                      <w:szCs w:val="21"/>
                    </w:rPr>
                    <w:t>2020</w:t>
                  </w:r>
                  <w:r>
                    <w:rPr>
                      <w:bCs/>
                      <w:szCs w:val="21"/>
                    </w:rPr>
                    <w:t>年</w:t>
                  </w:r>
                  <w:r>
                    <w:rPr>
                      <w:bCs/>
                      <w:szCs w:val="21"/>
                    </w:rPr>
                    <w:t>12</w:t>
                  </w:r>
                  <w:r>
                    <w:rPr>
                      <w:bCs/>
                      <w:szCs w:val="21"/>
                    </w:rPr>
                    <w:t>月）</w:t>
                  </w:r>
                </w:p>
              </w:tc>
              <w:tc>
                <w:tcPr>
                  <w:tcW w:w="3616" w:type="dxa"/>
                  <w:vAlign w:val="center"/>
                </w:tcPr>
                <w:p w14:paraId="4A2F61EF" w14:textId="77777777" w:rsidR="00F76A63" w:rsidRDefault="00000000">
                  <w:pPr>
                    <w:adjustRightInd w:val="0"/>
                    <w:snapToGrid w:val="0"/>
                    <w:jc w:val="center"/>
                    <w:rPr>
                      <w:bCs/>
                      <w:szCs w:val="21"/>
                    </w:rPr>
                  </w:pPr>
                  <w:r>
                    <w:rPr>
                      <w:bCs/>
                      <w:szCs w:val="21"/>
                    </w:rPr>
                    <w:t>国务院生态环境主管部门会同国务院有关部门和长江流域省级人民政府建立健全长江流域突发生态环境事件应急联动工作机制，与国家突发事件应急体系相衔接，加强对长江流域船舶、港口、矿山、化工厂、尾矿库等发生的突发生态环境事件的应急管理。</w:t>
                  </w:r>
                </w:p>
              </w:tc>
              <w:tc>
                <w:tcPr>
                  <w:tcW w:w="1974" w:type="dxa"/>
                  <w:vAlign w:val="center"/>
                </w:tcPr>
                <w:p w14:paraId="16CCEE2F" w14:textId="77777777" w:rsidR="00F76A63" w:rsidRDefault="00000000">
                  <w:pPr>
                    <w:adjustRightInd w:val="0"/>
                    <w:snapToGrid w:val="0"/>
                    <w:jc w:val="center"/>
                    <w:rPr>
                      <w:bCs/>
                      <w:szCs w:val="21"/>
                    </w:rPr>
                  </w:pPr>
                  <w:r>
                    <w:rPr>
                      <w:bCs/>
                      <w:szCs w:val="21"/>
                    </w:rPr>
                    <w:t>项目建成后企业将按照规范更新突发环境事件应急预案，并备案。严格按照预案要求进行内部管理，同时与上级预案形成良好衔接。</w:t>
                  </w:r>
                </w:p>
              </w:tc>
              <w:tc>
                <w:tcPr>
                  <w:tcW w:w="659" w:type="dxa"/>
                  <w:vAlign w:val="center"/>
                </w:tcPr>
                <w:p w14:paraId="4EDA4B2D" w14:textId="77777777" w:rsidR="00F76A63" w:rsidRDefault="00000000">
                  <w:pPr>
                    <w:adjustRightInd w:val="0"/>
                    <w:snapToGrid w:val="0"/>
                    <w:jc w:val="center"/>
                    <w:rPr>
                      <w:bCs/>
                      <w:szCs w:val="21"/>
                    </w:rPr>
                  </w:pPr>
                  <w:r>
                    <w:rPr>
                      <w:bCs/>
                      <w:szCs w:val="21"/>
                    </w:rPr>
                    <w:t>相符</w:t>
                  </w:r>
                </w:p>
              </w:tc>
            </w:tr>
            <w:tr w:rsidR="00F76A63" w14:paraId="100BFEC1" w14:textId="77777777">
              <w:trPr>
                <w:jc w:val="center"/>
              </w:trPr>
              <w:tc>
                <w:tcPr>
                  <w:tcW w:w="449" w:type="dxa"/>
                  <w:vMerge/>
                  <w:vAlign w:val="center"/>
                </w:tcPr>
                <w:p w14:paraId="6537D38F" w14:textId="77777777" w:rsidR="00F76A63" w:rsidRDefault="00F76A63">
                  <w:pPr>
                    <w:adjustRightInd w:val="0"/>
                    <w:snapToGrid w:val="0"/>
                    <w:jc w:val="center"/>
                    <w:rPr>
                      <w:bCs/>
                      <w:szCs w:val="21"/>
                    </w:rPr>
                  </w:pPr>
                </w:p>
              </w:tc>
              <w:tc>
                <w:tcPr>
                  <w:tcW w:w="1834" w:type="dxa"/>
                  <w:vMerge/>
                  <w:vAlign w:val="center"/>
                </w:tcPr>
                <w:p w14:paraId="29BC0797" w14:textId="77777777" w:rsidR="00F76A63" w:rsidRDefault="00F76A63">
                  <w:pPr>
                    <w:adjustRightInd w:val="0"/>
                    <w:snapToGrid w:val="0"/>
                    <w:jc w:val="center"/>
                    <w:rPr>
                      <w:bCs/>
                      <w:szCs w:val="21"/>
                    </w:rPr>
                  </w:pPr>
                </w:p>
              </w:tc>
              <w:tc>
                <w:tcPr>
                  <w:tcW w:w="3616" w:type="dxa"/>
                  <w:vAlign w:val="center"/>
                </w:tcPr>
                <w:p w14:paraId="2D7C0240" w14:textId="77777777" w:rsidR="00F76A63" w:rsidRDefault="00000000">
                  <w:pPr>
                    <w:adjustRightInd w:val="0"/>
                    <w:snapToGrid w:val="0"/>
                    <w:jc w:val="center"/>
                    <w:rPr>
                      <w:bCs/>
                      <w:szCs w:val="21"/>
                    </w:rPr>
                  </w:pPr>
                  <w:r>
                    <w:rPr>
                      <w:bCs/>
                      <w:szCs w:val="21"/>
                    </w:rPr>
                    <w:t>国家对长江流域国土空间实施用途管制。长江流域县级以上地方人民政府自然资源主管部门依照国土空间规划，对所辖长江流域国土空间实施分区、分类用途管制。</w:t>
                  </w:r>
                </w:p>
              </w:tc>
              <w:tc>
                <w:tcPr>
                  <w:tcW w:w="1974" w:type="dxa"/>
                  <w:vAlign w:val="center"/>
                </w:tcPr>
                <w:p w14:paraId="096F154A" w14:textId="77777777" w:rsidR="00F76A63" w:rsidRDefault="00000000">
                  <w:pPr>
                    <w:adjustRightInd w:val="0"/>
                    <w:snapToGrid w:val="0"/>
                    <w:jc w:val="center"/>
                    <w:rPr>
                      <w:bCs/>
                      <w:szCs w:val="21"/>
                    </w:rPr>
                  </w:pPr>
                  <w:r>
                    <w:rPr>
                      <w:bCs/>
                      <w:szCs w:val="21"/>
                    </w:rPr>
                    <w:t>本项目满足区域用地规划要求。</w:t>
                  </w:r>
                </w:p>
              </w:tc>
              <w:tc>
                <w:tcPr>
                  <w:tcW w:w="659" w:type="dxa"/>
                  <w:vAlign w:val="center"/>
                </w:tcPr>
                <w:p w14:paraId="059068AA" w14:textId="77777777" w:rsidR="00F76A63" w:rsidRDefault="00000000">
                  <w:pPr>
                    <w:adjustRightInd w:val="0"/>
                    <w:snapToGrid w:val="0"/>
                    <w:jc w:val="center"/>
                    <w:rPr>
                      <w:bCs/>
                      <w:szCs w:val="21"/>
                    </w:rPr>
                  </w:pPr>
                  <w:r>
                    <w:rPr>
                      <w:bCs/>
                      <w:szCs w:val="21"/>
                    </w:rPr>
                    <w:t>相符</w:t>
                  </w:r>
                </w:p>
              </w:tc>
            </w:tr>
            <w:tr w:rsidR="00F76A63" w14:paraId="3BB60EB9" w14:textId="77777777">
              <w:trPr>
                <w:jc w:val="center"/>
              </w:trPr>
              <w:tc>
                <w:tcPr>
                  <w:tcW w:w="449" w:type="dxa"/>
                  <w:vMerge/>
                  <w:vAlign w:val="center"/>
                </w:tcPr>
                <w:p w14:paraId="3738E00C" w14:textId="77777777" w:rsidR="00F76A63" w:rsidRDefault="00F76A63">
                  <w:pPr>
                    <w:adjustRightInd w:val="0"/>
                    <w:snapToGrid w:val="0"/>
                    <w:jc w:val="center"/>
                    <w:rPr>
                      <w:bCs/>
                      <w:szCs w:val="21"/>
                    </w:rPr>
                  </w:pPr>
                </w:p>
              </w:tc>
              <w:tc>
                <w:tcPr>
                  <w:tcW w:w="1834" w:type="dxa"/>
                  <w:vMerge/>
                  <w:vAlign w:val="center"/>
                </w:tcPr>
                <w:p w14:paraId="1BF7ED1A" w14:textId="77777777" w:rsidR="00F76A63" w:rsidRDefault="00F76A63">
                  <w:pPr>
                    <w:adjustRightInd w:val="0"/>
                    <w:snapToGrid w:val="0"/>
                    <w:jc w:val="center"/>
                    <w:rPr>
                      <w:bCs/>
                      <w:szCs w:val="21"/>
                    </w:rPr>
                  </w:pPr>
                </w:p>
              </w:tc>
              <w:tc>
                <w:tcPr>
                  <w:tcW w:w="3616" w:type="dxa"/>
                  <w:vAlign w:val="center"/>
                </w:tcPr>
                <w:p w14:paraId="114FAF87" w14:textId="77777777" w:rsidR="00F76A63" w:rsidRDefault="00000000">
                  <w:pPr>
                    <w:adjustRightInd w:val="0"/>
                    <w:snapToGrid w:val="0"/>
                    <w:jc w:val="center"/>
                    <w:rPr>
                      <w:bCs/>
                      <w:szCs w:val="21"/>
                    </w:rPr>
                  </w:pPr>
                  <w:r>
                    <w:rPr>
                      <w:bCs/>
                      <w:szCs w:val="21"/>
                    </w:rPr>
                    <w:t>国务院自然资源主管部门负责统筹长江流域新增建设用地总量控制和计划安排。</w:t>
                  </w:r>
                </w:p>
              </w:tc>
              <w:tc>
                <w:tcPr>
                  <w:tcW w:w="1974" w:type="dxa"/>
                  <w:vAlign w:val="center"/>
                </w:tcPr>
                <w:p w14:paraId="390D808C" w14:textId="77777777" w:rsidR="00F76A63" w:rsidRDefault="00000000">
                  <w:pPr>
                    <w:adjustRightInd w:val="0"/>
                    <w:snapToGrid w:val="0"/>
                    <w:jc w:val="center"/>
                    <w:rPr>
                      <w:bCs/>
                      <w:szCs w:val="21"/>
                    </w:rPr>
                  </w:pPr>
                  <w:r>
                    <w:rPr>
                      <w:bCs/>
                      <w:szCs w:val="21"/>
                    </w:rPr>
                    <w:t>本项目所在地属于工业建设用地。</w:t>
                  </w:r>
                </w:p>
              </w:tc>
              <w:tc>
                <w:tcPr>
                  <w:tcW w:w="659" w:type="dxa"/>
                  <w:vAlign w:val="center"/>
                </w:tcPr>
                <w:p w14:paraId="56093EAB" w14:textId="77777777" w:rsidR="00F76A63" w:rsidRDefault="00000000">
                  <w:pPr>
                    <w:adjustRightInd w:val="0"/>
                    <w:snapToGrid w:val="0"/>
                    <w:jc w:val="center"/>
                    <w:rPr>
                      <w:bCs/>
                      <w:szCs w:val="21"/>
                    </w:rPr>
                  </w:pPr>
                  <w:r>
                    <w:rPr>
                      <w:bCs/>
                      <w:szCs w:val="21"/>
                    </w:rPr>
                    <w:t>相符</w:t>
                  </w:r>
                </w:p>
              </w:tc>
            </w:tr>
            <w:tr w:rsidR="00F76A63" w14:paraId="0DEB2897" w14:textId="77777777">
              <w:trPr>
                <w:jc w:val="center"/>
              </w:trPr>
              <w:tc>
                <w:tcPr>
                  <w:tcW w:w="449" w:type="dxa"/>
                  <w:vMerge/>
                  <w:vAlign w:val="center"/>
                </w:tcPr>
                <w:p w14:paraId="525F9890" w14:textId="77777777" w:rsidR="00F76A63" w:rsidRDefault="00F76A63">
                  <w:pPr>
                    <w:adjustRightInd w:val="0"/>
                    <w:snapToGrid w:val="0"/>
                    <w:jc w:val="center"/>
                    <w:rPr>
                      <w:bCs/>
                      <w:szCs w:val="21"/>
                    </w:rPr>
                  </w:pPr>
                </w:p>
              </w:tc>
              <w:tc>
                <w:tcPr>
                  <w:tcW w:w="1834" w:type="dxa"/>
                  <w:vMerge/>
                  <w:vAlign w:val="center"/>
                </w:tcPr>
                <w:p w14:paraId="386C9F7C" w14:textId="77777777" w:rsidR="00F76A63" w:rsidRDefault="00F76A63">
                  <w:pPr>
                    <w:adjustRightInd w:val="0"/>
                    <w:snapToGrid w:val="0"/>
                    <w:jc w:val="center"/>
                    <w:rPr>
                      <w:bCs/>
                      <w:szCs w:val="21"/>
                    </w:rPr>
                  </w:pPr>
                </w:p>
              </w:tc>
              <w:tc>
                <w:tcPr>
                  <w:tcW w:w="3616" w:type="dxa"/>
                  <w:vAlign w:val="center"/>
                </w:tcPr>
                <w:p w14:paraId="3A2F235A" w14:textId="77777777" w:rsidR="00F76A63" w:rsidRDefault="00000000">
                  <w:pPr>
                    <w:adjustRightInd w:val="0"/>
                    <w:snapToGrid w:val="0"/>
                    <w:jc w:val="center"/>
                    <w:rPr>
                      <w:szCs w:val="21"/>
                    </w:rPr>
                  </w:pPr>
                  <w:r>
                    <w:rPr>
                      <w:szCs w:val="21"/>
                    </w:rPr>
                    <w:t>禁止在长江干支流岸线一公里范围内新建、扩建化工园区和化工项目。</w:t>
                  </w:r>
                </w:p>
                <w:p w14:paraId="3D6BFC3A" w14:textId="77777777" w:rsidR="00F76A63" w:rsidRDefault="00000000">
                  <w:pPr>
                    <w:adjustRightInd w:val="0"/>
                    <w:snapToGrid w:val="0"/>
                    <w:jc w:val="center"/>
                    <w:rPr>
                      <w:bCs/>
                      <w:szCs w:val="21"/>
                    </w:rPr>
                  </w:pPr>
                  <w:r>
                    <w:rPr>
                      <w:bCs/>
                      <w:szCs w:val="21"/>
                    </w:rPr>
                    <w:t>禁止在长江干流岸线三公里范围内和重要支流岸线一公里范围内新建、改建、扩建尾矿库；但是以提升安全、生态环境保护水平为目的的改建除外。</w:t>
                  </w:r>
                </w:p>
              </w:tc>
              <w:tc>
                <w:tcPr>
                  <w:tcW w:w="1974" w:type="dxa"/>
                  <w:vAlign w:val="center"/>
                </w:tcPr>
                <w:p w14:paraId="72B81050" w14:textId="77777777" w:rsidR="00F76A63" w:rsidRDefault="00000000">
                  <w:pPr>
                    <w:adjustRightInd w:val="0"/>
                    <w:snapToGrid w:val="0"/>
                    <w:jc w:val="center"/>
                    <w:rPr>
                      <w:bCs/>
                      <w:szCs w:val="21"/>
                    </w:rPr>
                  </w:pPr>
                  <w:r>
                    <w:rPr>
                      <w:bCs/>
                      <w:szCs w:val="21"/>
                    </w:rPr>
                    <w:t>本项目不属于化工项目，不属于尾矿库项目。</w:t>
                  </w:r>
                </w:p>
              </w:tc>
              <w:tc>
                <w:tcPr>
                  <w:tcW w:w="659" w:type="dxa"/>
                  <w:vAlign w:val="center"/>
                </w:tcPr>
                <w:p w14:paraId="1A56C5B3" w14:textId="77777777" w:rsidR="00F76A63" w:rsidRDefault="00000000">
                  <w:pPr>
                    <w:adjustRightInd w:val="0"/>
                    <w:snapToGrid w:val="0"/>
                    <w:jc w:val="center"/>
                    <w:rPr>
                      <w:bCs/>
                      <w:szCs w:val="21"/>
                    </w:rPr>
                  </w:pPr>
                  <w:r>
                    <w:rPr>
                      <w:bCs/>
                      <w:szCs w:val="21"/>
                    </w:rPr>
                    <w:t>相符</w:t>
                  </w:r>
                </w:p>
              </w:tc>
            </w:tr>
          </w:tbl>
          <w:p w14:paraId="1180E40D" w14:textId="77777777" w:rsidR="00F76A63" w:rsidRDefault="00000000">
            <w:pPr>
              <w:adjustRightInd w:val="0"/>
              <w:snapToGrid w:val="0"/>
              <w:spacing w:line="500" w:lineRule="exact"/>
              <w:ind w:firstLineChars="200" w:firstLine="480"/>
              <w:rPr>
                <w:bCs/>
                <w:sz w:val="24"/>
              </w:rPr>
            </w:pPr>
            <w:r>
              <w:rPr>
                <w:bCs/>
                <w:sz w:val="24"/>
              </w:rPr>
              <w:t>因此本项目符合长江大保护相关政策文件。</w:t>
            </w:r>
          </w:p>
          <w:p w14:paraId="18B98D3C" w14:textId="77777777" w:rsidR="00F76A63" w:rsidRDefault="00F76A63">
            <w:pPr>
              <w:adjustRightInd w:val="0"/>
              <w:snapToGrid w:val="0"/>
              <w:spacing w:line="500" w:lineRule="exact"/>
              <w:ind w:firstLineChars="200" w:firstLine="480"/>
              <w:rPr>
                <w:bCs/>
                <w:sz w:val="24"/>
              </w:rPr>
            </w:pPr>
          </w:p>
        </w:tc>
      </w:tr>
    </w:tbl>
    <w:p w14:paraId="43973625" w14:textId="77777777" w:rsidR="00F76A63" w:rsidRDefault="00F76A63">
      <w:pPr>
        <w:widowControl/>
        <w:jc w:val="left"/>
        <w:rPr>
          <w:sz w:val="30"/>
        </w:rPr>
        <w:sectPr w:rsidR="00F76A63">
          <w:footerReference w:type="default" r:id="rId12"/>
          <w:pgSz w:w="11906" w:h="16838"/>
          <w:pgMar w:top="1701" w:right="1531" w:bottom="1701" w:left="1531" w:header="851" w:footer="1077" w:gutter="0"/>
          <w:pgNumType w:start="1"/>
          <w:cols w:space="720"/>
          <w:docGrid w:linePitch="312"/>
        </w:sectPr>
      </w:pPr>
    </w:p>
    <w:tbl>
      <w:tblPr>
        <w:tblStyle w:val="afffd"/>
        <w:tblW w:w="0" w:type="auto"/>
        <w:tblLook w:val="04A0" w:firstRow="1" w:lastRow="0" w:firstColumn="1" w:lastColumn="0" w:noHBand="0" w:noVBand="1"/>
      </w:tblPr>
      <w:tblGrid>
        <w:gridCol w:w="457"/>
        <w:gridCol w:w="12969"/>
      </w:tblGrid>
      <w:tr w:rsidR="00F76A63" w14:paraId="37F68C23" w14:textId="77777777">
        <w:trPr>
          <w:trHeight w:val="2691"/>
        </w:trPr>
        <w:tc>
          <w:tcPr>
            <w:tcW w:w="1271" w:type="dxa"/>
            <w:vAlign w:val="center"/>
          </w:tcPr>
          <w:p w14:paraId="1B050A1A" w14:textId="77777777" w:rsidR="00F76A63" w:rsidRDefault="00000000">
            <w:pPr>
              <w:widowControl/>
              <w:spacing w:line="500" w:lineRule="exact"/>
              <w:jc w:val="center"/>
              <w:rPr>
                <w:sz w:val="30"/>
              </w:rPr>
            </w:pPr>
            <w:bookmarkStart w:id="33" w:name="_Hlk206099181"/>
            <w:r>
              <w:rPr>
                <w:b/>
                <w:bCs/>
                <w:kern w:val="0"/>
                <w:sz w:val="24"/>
              </w:rPr>
              <w:lastRenderedPageBreak/>
              <w:t>其他符合性分析</w:t>
            </w:r>
          </w:p>
        </w:tc>
        <w:tc>
          <w:tcPr>
            <w:tcW w:w="12155" w:type="dxa"/>
          </w:tcPr>
          <w:p w14:paraId="2B614710" w14:textId="77777777" w:rsidR="00F76A63" w:rsidRDefault="00000000">
            <w:pPr>
              <w:adjustRightInd w:val="0"/>
              <w:snapToGrid w:val="0"/>
              <w:spacing w:line="500" w:lineRule="exact"/>
              <w:ind w:firstLineChars="200" w:firstLine="482"/>
              <w:rPr>
                <w:b/>
                <w:bCs/>
                <w:sz w:val="24"/>
              </w:rPr>
            </w:pPr>
            <w:r>
              <w:rPr>
                <w:b/>
                <w:bCs/>
                <w:sz w:val="24"/>
              </w:rPr>
              <w:t>四、与相关标准、规范符合性分析</w:t>
            </w:r>
          </w:p>
          <w:p w14:paraId="4DEFEC74" w14:textId="77777777" w:rsidR="00F76A63" w:rsidRDefault="00000000">
            <w:pPr>
              <w:widowControl/>
              <w:spacing w:line="500" w:lineRule="exact"/>
              <w:ind w:firstLineChars="200" w:firstLine="480"/>
              <w:jc w:val="left"/>
              <w:rPr>
                <w:sz w:val="24"/>
              </w:rPr>
            </w:pPr>
            <w:r>
              <w:rPr>
                <w:sz w:val="24"/>
              </w:rPr>
              <w:t>本项目与水泥行业协同处置相关行业规范对比分析情况见下表：</w:t>
            </w:r>
          </w:p>
          <w:p w14:paraId="084F0E76" w14:textId="77777777" w:rsidR="00F76A63" w:rsidRDefault="00000000">
            <w:pPr>
              <w:pStyle w:val="afffff2"/>
            </w:pPr>
            <w:r>
              <w:t>表</w:t>
            </w:r>
            <w:r>
              <w:t>1-1</w:t>
            </w:r>
            <w:r>
              <w:rPr>
                <w:rFonts w:hint="eastAsia"/>
              </w:rPr>
              <w:t>3</w:t>
            </w:r>
            <w:r>
              <w:t xml:space="preserve">  </w:t>
            </w:r>
            <w:r>
              <w:t>本项目与《</w:t>
            </w:r>
            <w:bookmarkStart w:id="34" w:name="OLE_LINK34"/>
            <w:r>
              <w:t>水泥窑协同处置工业废物设计规范</w:t>
            </w:r>
            <w:bookmarkEnd w:id="34"/>
            <w:r>
              <w:t>》（</w:t>
            </w:r>
            <w:r>
              <w:t>GB50634-2010</w:t>
            </w:r>
            <w:r>
              <w:t>）及修订条文相符性分析</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142"/>
              <w:gridCol w:w="5830"/>
              <w:gridCol w:w="5012"/>
              <w:gridCol w:w="769"/>
            </w:tblGrid>
            <w:tr w:rsidR="00F76A63" w14:paraId="2C04444F" w14:textId="77777777">
              <w:trPr>
                <w:trHeight w:val="340"/>
                <w:jc w:val="center"/>
              </w:trPr>
              <w:tc>
                <w:tcPr>
                  <w:tcW w:w="1069" w:type="dxa"/>
                  <w:tcBorders>
                    <w:top w:val="single" w:sz="12" w:space="0" w:color="auto"/>
                    <w:left w:val="nil"/>
                    <w:bottom w:val="single" w:sz="4" w:space="0" w:color="auto"/>
                    <w:right w:val="single" w:sz="4" w:space="0" w:color="auto"/>
                  </w:tcBorders>
                  <w:vAlign w:val="center"/>
                </w:tcPr>
                <w:p w14:paraId="5BEA830E" w14:textId="77777777" w:rsidR="00F76A63" w:rsidRDefault="00000000">
                  <w:pPr>
                    <w:pStyle w:val="affff8"/>
                    <w:rPr>
                      <w:rFonts w:cs="Times New Roman"/>
                      <w:b/>
                      <w:szCs w:val="21"/>
                    </w:rPr>
                  </w:pPr>
                  <w:r>
                    <w:rPr>
                      <w:rFonts w:cs="Times New Roman"/>
                      <w:b/>
                    </w:rPr>
                    <w:t>项目</w:t>
                  </w:r>
                </w:p>
              </w:tc>
              <w:tc>
                <w:tcPr>
                  <w:tcW w:w="5458" w:type="dxa"/>
                  <w:tcBorders>
                    <w:top w:val="single" w:sz="12" w:space="0" w:color="auto"/>
                    <w:left w:val="single" w:sz="4" w:space="0" w:color="auto"/>
                    <w:bottom w:val="single" w:sz="4" w:space="0" w:color="auto"/>
                    <w:right w:val="single" w:sz="4" w:space="0" w:color="auto"/>
                  </w:tcBorders>
                  <w:vAlign w:val="center"/>
                </w:tcPr>
                <w:p w14:paraId="4EB2A725" w14:textId="77777777" w:rsidR="00F76A63" w:rsidRDefault="00000000">
                  <w:pPr>
                    <w:pStyle w:val="affff8"/>
                    <w:rPr>
                      <w:rFonts w:cs="Times New Roman"/>
                      <w:b/>
                    </w:rPr>
                  </w:pPr>
                  <w:r>
                    <w:rPr>
                      <w:rFonts w:cs="Times New Roman"/>
                      <w:b/>
                    </w:rPr>
                    <w:t>GB50634-2010</w:t>
                  </w:r>
                  <w:r>
                    <w:rPr>
                      <w:rFonts w:cs="Times New Roman"/>
                      <w:b/>
                    </w:rPr>
                    <w:t>及修订条文要求</w:t>
                  </w:r>
                </w:p>
              </w:tc>
              <w:tc>
                <w:tcPr>
                  <w:tcW w:w="4692" w:type="dxa"/>
                  <w:tcBorders>
                    <w:top w:val="single" w:sz="12" w:space="0" w:color="auto"/>
                    <w:left w:val="single" w:sz="4" w:space="0" w:color="auto"/>
                    <w:bottom w:val="single" w:sz="4" w:space="0" w:color="auto"/>
                    <w:right w:val="single" w:sz="4" w:space="0" w:color="auto"/>
                  </w:tcBorders>
                  <w:vAlign w:val="center"/>
                </w:tcPr>
                <w:p w14:paraId="36C32855" w14:textId="77777777" w:rsidR="00F76A63" w:rsidRDefault="00000000">
                  <w:pPr>
                    <w:pStyle w:val="affff8"/>
                    <w:rPr>
                      <w:rFonts w:cs="Times New Roman"/>
                      <w:b/>
                    </w:rPr>
                  </w:pPr>
                  <w:r>
                    <w:rPr>
                      <w:rFonts w:cs="Times New Roman"/>
                      <w:b/>
                    </w:rPr>
                    <w:t>本项目落实情况</w:t>
                  </w:r>
                </w:p>
              </w:tc>
              <w:tc>
                <w:tcPr>
                  <w:tcW w:w="720" w:type="dxa"/>
                  <w:tcBorders>
                    <w:top w:val="single" w:sz="12" w:space="0" w:color="auto"/>
                    <w:left w:val="single" w:sz="4" w:space="0" w:color="auto"/>
                    <w:bottom w:val="single" w:sz="4" w:space="0" w:color="auto"/>
                    <w:right w:val="nil"/>
                  </w:tcBorders>
                  <w:vAlign w:val="center"/>
                </w:tcPr>
                <w:p w14:paraId="77EF2250" w14:textId="77777777" w:rsidR="00F76A63" w:rsidRDefault="00000000">
                  <w:pPr>
                    <w:pStyle w:val="affff8"/>
                    <w:rPr>
                      <w:rFonts w:cs="Times New Roman"/>
                      <w:b/>
                    </w:rPr>
                  </w:pPr>
                  <w:r>
                    <w:rPr>
                      <w:rFonts w:cs="Times New Roman"/>
                      <w:b/>
                    </w:rPr>
                    <w:t>符合性</w:t>
                  </w:r>
                </w:p>
              </w:tc>
            </w:tr>
            <w:tr w:rsidR="00F76A63" w14:paraId="3923A120" w14:textId="77777777">
              <w:trPr>
                <w:trHeight w:val="340"/>
                <w:jc w:val="center"/>
              </w:trPr>
              <w:tc>
                <w:tcPr>
                  <w:tcW w:w="1069" w:type="dxa"/>
                  <w:vMerge w:val="restart"/>
                  <w:tcBorders>
                    <w:top w:val="single" w:sz="4" w:space="0" w:color="auto"/>
                    <w:left w:val="nil"/>
                    <w:bottom w:val="single" w:sz="4" w:space="0" w:color="auto"/>
                    <w:right w:val="single" w:sz="4" w:space="0" w:color="auto"/>
                  </w:tcBorders>
                  <w:vAlign w:val="center"/>
                </w:tcPr>
                <w:p w14:paraId="3ABD5E3F" w14:textId="77777777" w:rsidR="00F76A63" w:rsidRDefault="00000000">
                  <w:pPr>
                    <w:pStyle w:val="affff8"/>
                    <w:rPr>
                      <w:rFonts w:cs="Times New Roman"/>
                    </w:rPr>
                  </w:pPr>
                  <w:r>
                    <w:rPr>
                      <w:rFonts w:cs="Times New Roman"/>
                    </w:rPr>
                    <w:t>4</w:t>
                  </w:r>
                  <w:r>
                    <w:rPr>
                      <w:rFonts w:cs="Times New Roman"/>
                    </w:rPr>
                    <w:t>、工业废物的处置规模、技术与装备要求</w:t>
                  </w:r>
                </w:p>
              </w:tc>
              <w:tc>
                <w:tcPr>
                  <w:tcW w:w="5458" w:type="dxa"/>
                  <w:tcBorders>
                    <w:top w:val="single" w:sz="4" w:space="0" w:color="auto"/>
                    <w:left w:val="single" w:sz="4" w:space="0" w:color="auto"/>
                    <w:bottom w:val="single" w:sz="4" w:space="0" w:color="auto"/>
                    <w:right w:val="single" w:sz="4" w:space="0" w:color="auto"/>
                  </w:tcBorders>
                  <w:vAlign w:val="center"/>
                </w:tcPr>
                <w:p w14:paraId="0DD55EAC" w14:textId="77777777" w:rsidR="00F76A63" w:rsidRDefault="00000000">
                  <w:pPr>
                    <w:pStyle w:val="affff8"/>
                    <w:rPr>
                      <w:rFonts w:cs="Times New Roman"/>
                    </w:rPr>
                  </w:pPr>
                  <w:r>
                    <w:rPr>
                      <w:rFonts w:cs="Times New Roman"/>
                    </w:rPr>
                    <w:t>4.1</w:t>
                  </w:r>
                  <w:r>
                    <w:rPr>
                      <w:rFonts w:cs="Times New Roman"/>
                    </w:rPr>
                    <w:t>规模划分</w:t>
                  </w:r>
                </w:p>
                <w:p w14:paraId="4D9DA069" w14:textId="77777777" w:rsidR="00F76A63" w:rsidRDefault="00000000">
                  <w:pPr>
                    <w:pStyle w:val="affff8"/>
                    <w:rPr>
                      <w:rFonts w:cs="Times New Roman"/>
                    </w:rPr>
                  </w:pPr>
                  <w:r>
                    <w:rPr>
                      <w:rFonts w:cs="Times New Roman"/>
                    </w:rPr>
                    <w:t>4.1.1</w:t>
                  </w:r>
                  <w:r>
                    <w:rPr>
                      <w:rFonts w:cs="Times New Roman"/>
                    </w:rPr>
                    <w:t>水泥窑协同处置危险废物或一般工业废物的单线设计规模，可按以下规定划分：</w:t>
                  </w:r>
                </w:p>
                <w:p w14:paraId="331FB144" w14:textId="77777777" w:rsidR="00F76A63" w:rsidRDefault="00000000">
                  <w:pPr>
                    <w:pStyle w:val="affff8"/>
                    <w:rPr>
                      <w:rFonts w:cs="Times New Roman"/>
                    </w:rPr>
                  </w:pPr>
                  <w:r>
                    <w:rPr>
                      <w:rFonts w:cs="Times New Roman"/>
                    </w:rPr>
                    <w:t>（</w:t>
                  </w:r>
                  <w:r>
                    <w:rPr>
                      <w:rFonts w:cs="Times New Roman"/>
                    </w:rPr>
                    <w:t>1</w:t>
                  </w:r>
                  <w:r>
                    <w:rPr>
                      <w:rFonts w:cs="Times New Roman"/>
                    </w:rPr>
                    <w:t>）年处置危险废物</w:t>
                  </w:r>
                  <w:r>
                    <w:rPr>
                      <w:rFonts w:cs="Times New Roman"/>
                    </w:rPr>
                    <w:t>20000t</w:t>
                  </w:r>
                  <w:r>
                    <w:rPr>
                      <w:rFonts w:cs="Times New Roman"/>
                    </w:rPr>
                    <w:t>以上，或年处置一般工业废物</w:t>
                  </w:r>
                  <w:r>
                    <w:rPr>
                      <w:rFonts w:cs="Times New Roman"/>
                    </w:rPr>
                    <w:t>80000t</w:t>
                  </w:r>
                  <w:r>
                    <w:rPr>
                      <w:rFonts w:cs="Times New Roman"/>
                    </w:rPr>
                    <w:t>以上的为大型规模。</w:t>
                  </w:r>
                </w:p>
                <w:p w14:paraId="61E03E5D" w14:textId="77777777" w:rsidR="00F76A63" w:rsidRDefault="00000000">
                  <w:pPr>
                    <w:pStyle w:val="affff8"/>
                    <w:rPr>
                      <w:rFonts w:cs="Times New Roman"/>
                    </w:rPr>
                  </w:pPr>
                  <w:r>
                    <w:rPr>
                      <w:rFonts w:cs="Times New Roman"/>
                    </w:rPr>
                    <w:t>（</w:t>
                  </w:r>
                  <w:r>
                    <w:rPr>
                      <w:rFonts w:cs="Times New Roman"/>
                    </w:rPr>
                    <w:t>2</w:t>
                  </w:r>
                  <w:r>
                    <w:rPr>
                      <w:rFonts w:cs="Times New Roman"/>
                    </w:rPr>
                    <w:t>）年处置危险废物</w:t>
                  </w:r>
                  <w:r>
                    <w:rPr>
                      <w:rFonts w:cs="Times New Roman"/>
                    </w:rPr>
                    <w:t>5000</w:t>
                  </w:r>
                  <w:r>
                    <w:rPr>
                      <w:rFonts w:cs="Times New Roman"/>
                    </w:rPr>
                    <w:t>到</w:t>
                  </w:r>
                  <w:r>
                    <w:rPr>
                      <w:rFonts w:cs="Times New Roman"/>
                    </w:rPr>
                    <w:t>20000t</w:t>
                  </w:r>
                  <w:r>
                    <w:rPr>
                      <w:rFonts w:cs="Times New Roman"/>
                    </w:rPr>
                    <w:t>，或年处置一般工业废物</w:t>
                  </w:r>
                  <w:r>
                    <w:rPr>
                      <w:rFonts w:cs="Times New Roman"/>
                    </w:rPr>
                    <w:t>20000</w:t>
                  </w:r>
                  <w:r>
                    <w:rPr>
                      <w:rFonts w:cs="Times New Roman"/>
                    </w:rPr>
                    <w:t>到</w:t>
                  </w:r>
                  <w:r>
                    <w:rPr>
                      <w:rFonts w:cs="Times New Roman"/>
                    </w:rPr>
                    <w:t>80000t</w:t>
                  </w:r>
                  <w:r>
                    <w:rPr>
                      <w:rFonts w:cs="Times New Roman"/>
                    </w:rPr>
                    <w:t>的为中型规模。</w:t>
                  </w:r>
                </w:p>
                <w:p w14:paraId="72C56C9E" w14:textId="77777777" w:rsidR="00F76A63" w:rsidRDefault="00000000">
                  <w:pPr>
                    <w:pStyle w:val="affff8"/>
                    <w:rPr>
                      <w:rFonts w:cs="Times New Roman"/>
                    </w:rPr>
                  </w:pPr>
                  <w:r>
                    <w:rPr>
                      <w:rFonts w:cs="Times New Roman"/>
                    </w:rPr>
                    <w:t>（</w:t>
                  </w:r>
                  <w:r>
                    <w:rPr>
                      <w:rFonts w:cs="Times New Roman"/>
                    </w:rPr>
                    <w:t>3</w:t>
                  </w:r>
                  <w:r>
                    <w:rPr>
                      <w:rFonts w:cs="Times New Roman"/>
                    </w:rPr>
                    <w:t>）年处置危险废物</w:t>
                  </w:r>
                  <w:r>
                    <w:rPr>
                      <w:rFonts w:cs="Times New Roman"/>
                    </w:rPr>
                    <w:t>5000t</w:t>
                  </w:r>
                  <w:r>
                    <w:rPr>
                      <w:rFonts w:cs="Times New Roman"/>
                    </w:rPr>
                    <w:t>以下，或年处置一般工业废物</w:t>
                  </w:r>
                  <w:r>
                    <w:rPr>
                      <w:rFonts w:cs="Times New Roman"/>
                    </w:rPr>
                    <w:t>20000t</w:t>
                  </w:r>
                  <w:r>
                    <w:rPr>
                      <w:rFonts w:cs="Times New Roman"/>
                    </w:rPr>
                    <w:t>以下的为小型规模。</w:t>
                  </w:r>
                </w:p>
                <w:p w14:paraId="1AE4ECC0" w14:textId="77777777" w:rsidR="00F76A63" w:rsidRDefault="00000000">
                  <w:pPr>
                    <w:pStyle w:val="affff8"/>
                    <w:rPr>
                      <w:rFonts w:cs="Times New Roman"/>
                    </w:rPr>
                  </w:pPr>
                  <w:r>
                    <w:rPr>
                      <w:rFonts w:cs="Times New Roman"/>
                    </w:rPr>
                    <w:t>4.1.2</w:t>
                  </w:r>
                  <w:r>
                    <w:rPr>
                      <w:rFonts w:cs="Times New Roman"/>
                    </w:rPr>
                    <w:t>水泥窑协同处置工业废物的设计规模，应根据环境卫生专业规划、服务区范围内的工业废物产生量现状及其预测、经济性、技术可行性和可靠性等因素确定。</w:t>
                  </w:r>
                </w:p>
              </w:tc>
              <w:tc>
                <w:tcPr>
                  <w:tcW w:w="4692" w:type="dxa"/>
                  <w:tcBorders>
                    <w:top w:val="single" w:sz="4" w:space="0" w:color="auto"/>
                    <w:left w:val="single" w:sz="4" w:space="0" w:color="auto"/>
                    <w:bottom w:val="single" w:sz="4" w:space="0" w:color="auto"/>
                    <w:right w:val="single" w:sz="4" w:space="0" w:color="auto"/>
                  </w:tcBorders>
                  <w:vAlign w:val="center"/>
                </w:tcPr>
                <w:p w14:paraId="5B5B4542" w14:textId="77777777" w:rsidR="00F76A63" w:rsidRDefault="00000000">
                  <w:pPr>
                    <w:pStyle w:val="affff8"/>
                    <w:rPr>
                      <w:rFonts w:cs="Times New Roman"/>
                    </w:rPr>
                  </w:pPr>
                  <w:r>
                    <w:rPr>
                      <w:rFonts w:cs="Times New Roman"/>
                    </w:rPr>
                    <w:t>1</w:t>
                  </w:r>
                  <w:r>
                    <w:rPr>
                      <w:rFonts w:cs="Times New Roman"/>
                    </w:rPr>
                    <w:t>、本项目</w:t>
                  </w:r>
                  <w:bookmarkStart w:id="35" w:name="_Hlk106631227"/>
                  <w:r>
                    <w:rPr>
                      <w:rFonts w:cs="Times New Roman"/>
                    </w:rPr>
                    <w:t>年处置</w:t>
                  </w:r>
                  <w:bookmarkEnd w:id="35"/>
                  <w:r>
                    <w:rPr>
                      <w:rFonts w:cs="Times New Roman"/>
                    </w:rPr>
                    <w:t>5</w:t>
                  </w:r>
                  <w:r>
                    <w:rPr>
                      <w:rFonts w:cs="Times New Roman"/>
                    </w:rPr>
                    <w:t>万吨污染土及</w:t>
                  </w:r>
                  <w:r>
                    <w:rPr>
                      <w:rFonts w:cs="Times New Roman"/>
                    </w:rPr>
                    <w:t>5</w:t>
                  </w:r>
                  <w:r>
                    <w:rPr>
                      <w:rFonts w:cs="Times New Roman"/>
                    </w:rPr>
                    <w:t>万吨污泥，属于大型规模。</w:t>
                  </w:r>
                </w:p>
                <w:p w14:paraId="577CE811" w14:textId="77777777" w:rsidR="00F76A63" w:rsidRDefault="00000000">
                  <w:pPr>
                    <w:pStyle w:val="affff8"/>
                    <w:rPr>
                      <w:rFonts w:cs="Times New Roman"/>
                    </w:rPr>
                  </w:pPr>
                  <w:r>
                    <w:rPr>
                      <w:rFonts w:cs="Times New Roman"/>
                    </w:rPr>
                    <w:t>2</w:t>
                  </w:r>
                  <w:r>
                    <w:rPr>
                      <w:rFonts w:cs="Times New Roman"/>
                    </w:rPr>
                    <w:t>、本项目设计规模根据镇江及其周边城市的一般固废产生量现状及其预测、处理经济性、技术可行性和可靠性等因素确定。</w:t>
                  </w:r>
                </w:p>
              </w:tc>
              <w:tc>
                <w:tcPr>
                  <w:tcW w:w="720" w:type="dxa"/>
                  <w:tcBorders>
                    <w:top w:val="single" w:sz="4" w:space="0" w:color="auto"/>
                    <w:left w:val="single" w:sz="4" w:space="0" w:color="auto"/>
                    <w:bottom w:val="single" w:sz="4" w:space="0" w:color="auto"/>
                    <w:right w:val="nil"/>
                  </w:tcBorders>
                  <w:vAlign w:val="center"/>
                </w:tcPr>
                <w:p w14:paraId="6DDFAE03" w14:textId="77777777" w:rsidR="00F76A63" w:rsidRDefault="00000000">
                  <w:pPr>
                    <w:pStyle w:val="affff8"/>
                    <w:rPr>
                      <w:rFonts w:cs="Times New Roman"/>
                    </w:rPr>
                  </w:pPr>
                  <w:r>
                    <w:rPr>
                      <w:rFonts w:cs="Times New Roman"/>
                    </w:rPr>
                    <w:t>符合</w:t>
                  </w:r>
                </w:p>
              </w:tc>
            </w:tr>
            <w:tr w:rsidR="00F76A63" w14:paraId="1AF4067A"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26E9222B"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58D0816B" w14:textId="77777777" w:rsidR="00F76A63" w:rsidRDefault="00000000">
                  <w:pPr>
                    <w:pStyle w:val="affff8"/>
                    <w:rPr>
                      <w:rFonts w:cs="Times New Roman"/>
                    </w:rPr>
                  </w:pPr>
                  <w:r>
                    <w:rPr>
                      <w:rFonts w:cs="Times New Roman"/>
                    </w:rPr>
                    <w:t>4.2</w:t>
                  </w:r>
                  <w:r>
                    <w:rPr>
                      <w:rFonts w:cs="Times New Roman"/>
                    </w:rPr>
                    <w:t>主要设计内容</w:t>
                  </w:r>
                </w:p>
                <w:p w14:paraId="5201CFBE" w14:textId="77777777" w:rsidR="00F76A63" w:rsidRDefault="00000000">
                  <w:pPr>
                    <w:pStyle w:val="affff8"/>
                    <w:rPr>
                      <w:rFonts w:cs="Times New Roman"/>
                    </w:rPr>
                  </w:pPr>
                  <w:r>
                    <w:rPr>
                      <w:rFonts w:cs="Times New Roman"/>
                    </w:rPr>
                    <w:t>4.2.1</w:t>
                  </w:r>
                  <w:r>
                    <w:rPr>
                      <w:rFonts w:cs="Times New Roman"/>
                    </w:rPr>
                    <w:t>水泥窑协同处置工业废物的工程建设内容应包括：进厂接收系统、分析鉴别系统、贮存与输送系统、预处理系统、焚烧系统、热能回收利用系统、烟气净化系统、自动化控制系统、在线监测系统、电气系统、压缩空气供应、供配电、给排水、污水处理、消防、通信、暖通空调、机械维修、车辆冲洗等设施。</w:t>
                  </w:r>
                </w:p>
                <w:p w14:paraId="2A8B9F1D" w14:textId="77777777" w:rsidR="00F76A63" w:rsidRDefault="00000000">
                  <w:pPr>
                    <w:pStyle w:val="affff8"/>
                    <w:rPr>
                      <w:rFonts w:cs="Times New Roman"/>
                    </w:rPr>
                  </w:pPr>
                  <w:r>
                    <w:rPr>
                      <w:rFonts w:cs="Times New Roman"/>
                    </w:rPr>
                    <w:t>4.2.2</w:t>
                  </w:r>
                  <w:r>
                    <w:rPr>
                      <w:rFonts w:cs="Times New Roman"/>
                    </w:rPr>
                    <w:t>水泥窑协同处置工业废物在建设过程中宜与水泥生产系统共用部分公用辅助设施；位于工业园区的新建、改建或扩建项目宜利用园区内现有共用设施。</w:t>
                  </w:r>
                </w:p>
              </w:tc>
              <w:tc>
                <w:tcPr>
                  <w:tcW w:w="4692" w:type="dxa"/>
                  <w:tcBorders>
                    <w:top w:val="single" w:sz="4" w:space="0" w:color="auto"/>
                    <w:left w:val="single" w:sz="4" w:space="0" w:color="auto"/>
                    <w:bottom w:val="single" w:sz="4" w:space="0" w:color="auto"/>
                    <w:right w:val="single" w:sz="4" w:space="0" w:color="auto"/>
                  </w:tcBorders>
                  <w:vAlign w:val="center"/>
                </w:tcPr>
                <w:p w14:paraId="4963F560" w14:textId="77777777" w:rsidR="00F76A63" w:rsidRDefault="00000000">
                  <w:pPr>
                    <w:pStyle w:val="affff8"/>
                    <w:rPr>
                      <w:rFonts w:cs="Times New Roman"/>
                    </w:rPr>
                  </w:pPr>
                  <w:r>
                    <w:rPr>
                      <w:rFonts w:cs="Times New Roman"/>
                    </w:rPr>
                    <w:t>1</w:t>
                  </w:r>
                  <w:r>
                    <w:rPr>
                      <w:rFonts w:cs="Times New Roman"/>
                    </w:rPr>
                    <w:t>、</w:t>
                  </w:r>
                  <w:bookmarkStart w:id="36" w:name="_Hlk106631278"/>
                  <w:r>
                    <w:rPr>
                      <w:rFonts w:cs="Times New Roman"/>
                    </w:rPr>
                    <w:t>本项目</w:t>
                  </w:r>
                  <w:bookmarkEnd w:id="36"/>
                  <w:r>
                    <w:rPr>
                      <w:rFonts w:cs="Times New Roman"/>
                    </w:rPr>
                    <w:t>涉及协同处置工业废物的工程设施全部依托现有项目。</w:t>
                  </w:r>
                </w:p>
                <w:p w14:paraId="1AC9358D" w14:textId="77777777" w:rsidR="00F76A63" w:rsidRDefault="00000000">
                  <w:pPr>
                    <w:pStyle w:val="affff8"/>
                    <w:rPr>
                      <w:rFonts w:cs="Times New Roman"/>
                    </w:rPr>
                  </w:pPr>
                  <w:r>
                    <w:rPr>
                      <w:rFonts w:cs="Times New Roman"/>
                    </w:rPr>
                    <w:t>2</w:t>
                  </w:r>
                  <w:r>
                    <w:rPr>
                      <w:rFonts w:cs="Times New Roman"/>
                    </w:rPr>
                    <w:t>、本项目依托现有水泥生产线，在建设过程中，给水、排水、供电、环保设施等公用辅助设施与水泥生产系统共用。</w:t>
                  </w:r>
                </w:p>
              </w:tc>
              <w:tc>
                <w:tcPr>
                  <w:tcW w:w="720" w:type="dxa"/>
                  <w:tcBorders>
                    <w:top w:val="single" w:sz="4" w:space="0" w:color="auto"/>
                    <w:left w:val="single" w:sz="4" w:space="0" w:color="auto"/>
                    <w:bottom w:val="single" w:sz="4" w:space="0" w:color="auto"/>
                    <w:right w:val="nil"/>
                  </w:tcBorders>
                  <w:vAlign w:val="center"/>
                </w:tcPr>
                <w:p w14:paraId="34181540" w14:textId="77777777" w:rsidR="00F76A63" w:rsidRDefault="00000000">
                  <w:pPr>
                    <w:pStyle w:val="affff8"/>
                    <w:rPr>
                      <w:rFonts w:cs="Times New Roman"/>
                    </w:rPr>
                  </w:pPr>
                  <w:r>
                    <w:rPr>
                      <w:rFonts w:cs="Times New Roman"/>
                    </w:rPr>
                    <w:t>符合</w:t>
                  </w:r>
                </w:p>
              </w:tc>
            </w:tr>
            <w:tr w:rsidR="00F76A63" w14:paraId="6FD6F9C9"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1EA94213"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5E589EE1" w14:textId="77777777" w:rsidR="00F76A63" w:rsidRDefault="00000000">
                  <w:pPr>
                    <w:pStyle w:val="affff8"/>
                    <w:rPr>
                      <w:rFonts w:cs="Times New Roman"/>
                    </w:rPr>
                  </w:pPr>
                  <w:r>
                    <w:rPr>
                      <w:rFonts w:cs="Times New Roman"/>
                    </w:rPr>
                    <w:t>4.3</w:t>
                  </w:r>
                  <w:r>
                    <w:rPr>
                      <w:rFonts w:cs="Times New Roman"/>
                    </w:rPr>
                    <w:t>技术装备要求</w:t>
                  </w:r>
                </w:p>
                <w:p w14:paraId="08D3FEA0" w14:textId="77777777" w:rsidR="00F76A63" w:rsidRDefault="00000000">
                  <w:pPr>
                    <w:pStyle w:val="affff8"/>
                    <w:rPr>
                      <w:rFonts w:cs="Times New Roman"/>
                    </w:rPr>
                  </w:pPr>
                  <w:r>
                    <w:rPr>
                      <w:rFonts w:cs="Times New Roman"/>
                    </w:rPr>
                    <w:t>4.3.1</w:t>
                  </w:r>
                  <w:r>
                    <w:rPr>
                      <w:rFonts w:cs="Times New Roman"/>
                    </w:rPr>
                    <w:t>水泥窑协同处置工业废物技术装备的确定应符合以下要求：</w:t>
                  </w:r>
                </w:p>
                <w:p w14:paraId="47DBEE48" w14:textId="77777777" w:rsidR="00F76A63" w:rsidRDefault="00000000">
                  <w:pPr>
                    <w:pStyle w:val="affff8"/>
                    <w:rPr>
                      <w:rFonts w:cs="Times New Roman"/>
                    </w:rPr>
                  </w:pPr>
                  <w:r>
                    <w:rPr>
                      <w:rFonts w:cs="Times New Roman"/>
                    </w:rPr>
                    <w:t>1</w:t>
                  </w:r>
                  <w:r>
                    <w:rPr>
                      <w:rFonts w:cs="Times New Roman"/>
                    </w:rPr>
                    <w:t>水泥窑协同处置工业废物的工艺装备和自动化控制水平应不低于依托水泥熟料生产线的水平。</w:t>
                  </w:r>
                </w:p>
                <w:p w14:paraId="5B5115CC" w14:textId="77777777" w:rsidR="00F76A63" w:rsidRDefault="00000000">
                  <w:pPr>
                    <w:pStyle w:val="affff8"/>
                    <w:rPr>
                      <w:rFonts w:cs="Times New Roman"/>
                    </w:rPr>
                  </w:pPr>
                  <w:r>
                    <w:rPr>
                      <w:rFonts w:cs="Times New Roman"/>
                    </w:rPr>
                    <w:t>2</w:t>
                  </w:r>
                  <w:r>
                    <w:rPr>
                      <w:rFonts w:cs="Times New Roman"/>
                    </w:rPr>
                    <w:t>预处理及共焚烧的工艺处置技术及装备应依据所处置工业废物的特点确定，需引进设备、部件及仪表，应进行技术经济论证后确定。</w:t>
                  </w:r>
                </w:p>
                <w:p w14:paraId="50BE248D" w14:textId="77777777" w:rsidR="00F76A63" w:rsidRDefault="00000000">
                  <w:pPr>
                    <w:pStyle w:val="affff8"/>
                    <w:rPr>
                      <w:rFonts w:cs="Times New Roman"/>
                    </w:rPr>
                  </w:pPr>
                  <w:r>
                    <w:rPr>
                      <w:rFonts w:cs="Times New Roman"/>
                    </w:rPr>
                    <w:t>3</w:t>
                  </w:r>
                  <w:r>
                    <w:rPr>
                      <w:rFonts w:cs="Times New Roman"/>
                    </w:rPr>
                    <w:t>水泥窑协同处置工业废物应保证可燃性一般工业废物在高温区投入回转窑系统。</w:t>
                  </w:r>
                </w:p>
                <w:p w14:paraId="298D0F37" w14:textId="77777777" w:rsidR="00F76A63" w:rsidRDefault="00000000">
                  <w:pPr>
                    <w:pStyle w:val="affff8"/>
                    <w:rPr>
                      <w:rFonts w:cs="Times New Roman"/>
                    </w:rPr>
                  </w:pPr>
                  <w:r>
                    <w:rPr>
                      <w:rFonts w:cs="Times New Roman"/>
                    </w:rPr>
                    <w:t>4</w:t>
                  </w:r>
                  <w:r>
                    <w:rPr>
                      <w:rFonts w:cs="Times New Roman"/>
                    </w:rPr>
                    <w:t>水分含量高的一般工业废物作为替代燃料使用时，宜设置预处理系统进行干化处置。</w:t>
                  </w:r>
                </w:p>
                <w:p w14:paraId="238D6A3A" w14:textId="77777777" w:rsidR="00F76A63" w:rsidRDefault="00000000">
                  <w:pPr>
                    <w:pStyle w:val="affff8"/>
                    <w:rPr>
                      <w:rFonts w:cs="Times New Roman"/>
                    </w:rPr>
                  </w:pPr>
                  <w:r>
                    <w:rPr>
                      <w:rFonts w:cs="Times New Roman"/>
                    </w:rPr>
                    <w:t>5</w:t>
                  </w:r>
                  <w:r>
                    <w:rPr>
                      <w:rFonts w:cs="Times New Roman"/>
                    </w:rPr>
                    <w:t>一般工业废物应根据其成分、热值等参数进行预均化处理，并应注意相互间的相容性。处置危险废物前应预先进行配伍实验。</w:t>
                  </w:r>
                </w:p>
                <w:p w14:paraId="03310439" w14:textId="77777777" w:rsidR="00F76A63" w:rsidRDefault="00000000">
                  <w:pPr>
                    <w:pStyle w:val="affff8"/>
                    <w:rPr>
                      <w:rFonts w:cs="Times New Roman"/>
                    </w:rPr>
                  </w:pPr>
                  <w:r>
                    <w:rPr>
                      <w:rFonts w:cs="Times New Roman"/>
                    </w:rPr>
                    <w:t>6</w:t>
                  </w:r>
                  <w:r>
                    <w:rPr>
                      <w:rFonts w:cs="Times New Roman"/>
                    </w:rPr>
                    <w:t>含有易挥发成分的替代原料应先经过预处理，不应直接以通常的生料喂料方式喂料。</w:t>
                  </w:r>
                </w:p>
                <w:p w14:paraId="0A7BA752" w14:textId="77777777" w:rsidR="00F76A63" w:rsidRDefault="00000000">
                  <w:pPr>
                    <w:pStyle w:val="affff8"/>
                    <w:rPr>
                      <w:rFonts w:cs="Times New Roman"/>
                    </w:rPr>
                  </w:pPr>
                  <w:r>
                    <w:rPr>
                      <w:rFonts w:cs="Times New Roman"/>
                    </w:rPr>
                    <w:t>4.3.2</w:t>
                  </w:r>
                  <w:r>
                    <w:rPr>
                      <w:rFonts w:cs="Times New Roman"/>
                    </w:rPr>
                    <w:t>可燃性一般工业废物焚烧处置，应在</w:t>
                  </w:r>
                  <w:r>
                    <w:rPr>
                      <w:rFonts w:cs="Times New Roman"/>
                    </w:rPr>
                    <w:t>850℃</w:t>
                  </w:r>
                  <w:r>
                    <w:rPr>
                      <w:rFonts w:cs="Times New Roman"/>
                    </w:rPr>
                    <w:t>以上的区域投入，同时烟气停留时间应大于</w:t>
                  </w:r>
                  <w:r>
                    <w:rPr>
                      <w:rFonts w:cs="Times New Roman"/>
                    </w:rPr>
                    <w:t>2</w:t>
                  </w:r>
                  <w:r>
                    <w:rPr>
                      <w:rFonts w:cs="Times New Roman"/>
                    </w:rPr>
                    <w:t>秒。</w:t>
                  </w:r>
                </w:p>
              </w:tc>
              <w:tc>
                <w:tcPr>
                  <w:tcW w:w="4692" w:type="dxa"/>
                  <w:tcBorders>
                    <w:top w:val="single" w:sz="4" w:space="0" w:color="auto"/>
                    <w:left w:val="single" w:sz="4" w:space="0" w:color="auto"/>
                    <w:bottom w:val="single" w:sz="4" w:space="0" w:color="auto"/>
                    <w:right w:val="single" w:sz="4" w:space="0" w:color="auto"/>
                  </w:tcBorders>
                  <w:vAlign w:val="center"/>
                </w:tcPr>
                <w:p w14:paraId="44CEB980" w14:textId="77777777" w:rsidR="00F76A63" w:rsidRDefault="00000000">
                  <w:pPr>
                    <w:pStyle w:val="affff8"/>
                    <w:rPr>
                      <w:rFonts w:cs="Times New Roman"/>
                    </w:rPr>
                  </w:pPr>
                  <w:r>
                    <w:rPr>
                      <w:rFonts w:cs="Times New Roman"/>
                    </w:rPr>
                    <w:t>本项目所处置的污染土及污泥为一般工业固废，在建设和运行过程中将一般工业废物的相关条款作为基本条件执行。</w:t>
                  </w:r>
                </w:p>
                <w:p w14:paraId="49AF43A0" w14:textId="77777777" w:rsidR="00F76A63" w:rsidRDefault="00000000">
                  <w:pPr>
                    <w:pStyle w:val="affff8"/>
                    <w:rPr>
                      <w:rFonts w:cs="Times New Roman"/>
                    </w:rPr>
                  </w:pPr>
                  <w:r>
                    <w:rPr>
                      <w:rFonts w:cs="Times New Roman"/>
                    </w:rPr>
                    <w:t>1</w:t>
                  </w:r>
                  <w:r>
                    <w:rPr>
                      <w:rFonts w:cs="Times New Roman"/>
                    </w:rPr>
                    <w:t>、本项目水泥窑处置系统依托现有，废物输送与投加系统均采用自动化设备，其工艺装备和自动化控制水平等同于依托水泥熟料生产线的水平。</w:t>
                  </w:r>
                </w:p>
                <w:p w14:paraId="63C21D66" w14:textId="77777777" w:rsidR="00F76A63" w:rsidRDefault="00000000">
                  <w:pPr>
                    <w:pStyle w:val="affff8"/>
                    <w:rPr>
                      <w:rFonts w:cs="Times New Roman"/>
                    </w:rPr>
                  </w:pPr>
                  <w:r>
                    <w:rPr>
                      <w:rFonts w:cs="Times New Roman"/>
                    </w:rPr>
                    <w:t>2</w:t>
                  </w:r>
                  <w:r>
                    <w:rPr>
                      <w:rFonts w:cs="Times New Roman"/>
                    </w:rPr>
                    <w:t>、本项目不涉及污泥及污染土的预处理；共焚烧的工艺处置技术及装备依据所处置工业废物的特点确定。</w:t>
                  </w:r>
                </w:p>
                <w:p w14:paraId="28EECED0" w14:textId="77777777" w:rsidR="00F76A63" w:rsidRDefault="00000000">
                  <w:pPr>
                    <w:pStyle w:val="affff8"/>
                    <w:rPr>
                      <w:rFonts w:cs="Times New Roman"/>
                    </w:rPr>
                  </w:pPr>
                  <w:r>
                    <w:rPr>
                      <w:rFonts w:cs="Times New Roman"/>
                    </w:rPr>
                    <w:t>3</w:t>
                  </w:r>
                  <w:r>
                    <w:rPr>
                      <w:rFonts w:cs="Times New Roman"/>
                    </w:rPr>
                    <w:t>、本项目污染土及污泥在高温区投入水泥窑。</w:t>
                  </w:r>
                </w:p>
                <w:p w14:paraId="6C80C598" w14:textId="77777777" w:rsidR="00F76A63" w:rsidRDefault="00000000">
                  <w:pPr>
                    <w:pStyle w:val="affff8"/>
                    <w:rPr>
                      <w:rFonts w:cs="Times New Roman"/>
                    </w:rPr>
                  </w:pPr>
                  <w:r>
                    <w:rPr>
                      <w:rFonts w:cs="Times New Roman"/>
                    </w:rPr>
                    <w:t>4</w:t>
                  </w:r>
                  <w:r>
                    <w:rPr>
                      <w:rFonts w:cs="Times New Roman"/>
                    </w:rPr>
                    <w:t>、本项目协同处置的污染土</w:t>
                  </w:r>
                  <w:bookmarkStart w:id="37" w:name="OLE_LINK30"/>
                  <w:r>
                    <w:rPr>
                      <w:rFonts w:cs="Times New Roman"/>
                    </w:rPr>
                    <w:t>及污泥</w:t>
                  </w:r>
                  <w:bookmarkEnd w:id="37"/>
                  <w:r>
                    <w:rPr>
                      <w:rFonts w:cs="Times New Roman"/>
                    </w:rPr>
                    <w:t>不作为替代燃料，替代原料中的湿粉煤灰及砂岩。</w:t>
                  </w:r>
                </w:p>
                <w:p w14:paraId="232955BA" w14:textId="77777777" w:rsidR="00F76A63" w:rsidRDefault="00000000">
                  <w:pPr>
                    <w:pStyle w:val="affff8"/>
                    <w:rPr>
                      <w:rFonts w:cs="Times New Roman"/>
                    </w:rPr>
                  </w:pPr>
                  <w:r>
                    <w:rPr>
                      <w:rFonts w:cs="Times New Roman"/>
                    </w:rPr>
                    <w:t>5</w:t>
                  </w:r>
                  <w:r>
                    <w:rPr>
                      <w:rFonts w:cs="Times New Roman"/>
                    </w:rPr>
                    <w:t>、本项目协同处置的固废为</w:t>
                  </w:r>
                  <w:bookmarkStart w:id="38" w:name="OLE_LINK29"/>
                  <w:r>
                    <w:rPr>
                      <w:rFonts w:cs="Times New Roman"/>
                    </w:rPr>
                    <w:t>污染土及污泥</w:t>
                  </w:r>
                  <w:bookmarkEnd w:id="38"/>
                  <w:r>
                    <w:rPr>
                      <w:rFonts w:cs="Times New Roman"/>
                    </w:rPr>
                    <w:t>，不涉及危废。</w:t>
                  </w:r>
                </w:p>
                <w:p w14:paraId="03CA7DA4" w14:textId="77777777" w:rsidR="00F76A63" w:rsidRDefault="00000000">
                  <w:pPr>
                    <w:pStyle w:val="affff8"/>
                    <w:rPr>
                      <w:rFonts w:cs="Times New Roman"/>
                    </w:rPr>
                  </w:pPr>
                  <w:r>
                    <w:rPr>
                      <w:rFonts w:cs="Times New Roman"/>
                    </w:rPr>
                    <w:t>6</w:t>
                  </w:r>
                  <w:r>
                    <w:rPr>
                      <w:rFonts w:cs="Times New Roman"/>
                    </w:rPr>
                    <w:t>、本项目涉及的污染土及污泥均为无机污染土及无机污泥，无需预处理，满足进厂标准后替代部分原料并投入水泥窑。</w:t>
                  </w:r>
                </w:p>
                <w:p w14:paraId="0A42B17B" w14:textId="77777777" w:rsidR="00F76A63" w:rsidRDefault="00000000">
                  <w:pPr>
                    <w:pStyle w:val="affff8"/>
                    <w:rPr>
                      <w:rFonts w:cs="Times New Roman"/>
                    </w:rPr>
                  </w:pPr>
                  <w:r>
                    <w:rPr>
                      <w:rFonts w:cs="Times New Roman"/>
                    </w:rPr>
                    <w:t>7</w:t>
                  </w:r>
                  <w:r>
                    <w:rPr>
                      <w:rFonts w:cs="Times New Roman"/>
                    </w:rPr>
                    <w:t>、本项目污染土及污泥投入水泥窑后该段烟气温度可达</w:t>
                  </w:r>
                  <w:r>
                    <w:rPr>
                      <w:rFonts w:cs="Times New Roman"/>
                    </w:rPr>
                    <w:t>1100℃</w:t>
                  </w:r>
                  <w:r>
                    <w:rPr>
                      <w:rFonts w:cs="Times New Roman"/>
                    </w:rPr>
                    <w:t>，烟气停留时间为</w:t>
                  </w:r>
                  <w:r>
                    <w:rPr>
                      <w:rFonts w:cs="Times New Roman"/>
                    </w:rPr>
                    <w:t>20s</w:t>
                  </w:r>
                  <w:r>
                    <w:rPr>
                      <w:rFonts w:cs="Times New Roman"/>
                    </w:rPr>
                    <w:t>。</w:t>
                  </w:r>
                </w:p>
              </w:tc>
              <w:tc>
                <w:tcPr>
                  <w:tcW w:w="720" w:type="dxa"/>
                  <w:tcBorders>
                    <w:top w:val="single" w:sz="4" w:space="0" w:color="auto"/>
                    <w:left w:val="single" w:sz="4" w:space="0" w:color="auto"/>
                    <w:bottom w:val="single" w:sz="4" w:space="0" w:color="auto"/>
                    <w:right w:val="nil"/>
                  </w:tcBorders>
                  <w:vAlign w:val="center"/>
                </w:tcPr>
                <w:p w14:paraId="3B9F784D" w14:textId="77777777" w:rsidR="00F76A63" w:rsidRDefault="00000000">
                  <w:pPr>
                    <w:pStyle w:val="affff8"/>
                    <w:rPr>
                      <w:rFonts w:cs="Times New Roman"/>
                    </w:rPr>
                  </w:pPr>
                  <w:r>
                    <w:rPr>
                      <w:rFonts w:cs="Times New Roman"/>
                    </w:rPr>
                    <w:t>符合</w:t>
                  </w:r>
                </w:p>
              </w:tc>
            </w:tr>
            <w:tr w:rsidR="00F76A63" w14:paraId="4FE89B6B" w14:textId="77777777">
              <w:trPr>
                <w:trHeight w:val="340"/>
                <w:jc w:val="center"/>
              </w:trPr>
              <w:tc>
                <w:tcPr>
                  <w:tcW w:w="1069" w:type="dxa"/>
                  <w:vMerge w:val="restart"/>
                  <w:tcBorders>
                    <w:top w:val="single" w:sz="4" w:space="0" w:color="auto"/>
                    <w:left w:val="nil"/>
                    <w:bottom w:val="single" w:sz="4" w:space="0" w:color="auto"/>
                    <w:right w:val="single" w:sz="4" w:space="0" w:color="auto"/>
                  </w:tcBorders>
                  <w:vAlign w:val="center"/>
                </w:tcPr>
                <w:p w14:paraId="25398FBA" w14:textId="77777777" w:rsidR="00F76A63" w:rsidRDefault="00000000">
                  <w:pPr>
                    <w:pStyle w:val="affff8"/>
                    <w:rPr>
                      <w:rFonts w:cs="Times New Roman"/>
                    </w:rPr>
                  </w:pPr>
                  <w:r>
                    <w:rPr>
                      <w:rFonts w:cs="Times New Roman"/>
                    </w:rPr>
                    <w:t>5</w:t>
                  </w:r>
                  <w:r>
                    <w:rPr>
                      <w:rFonts w:cs="Times New Roman"/>
                    </w:rPr>
                    <w:t>、工业废物的主要类别及品质要求</w:t>
                  </w:r>
                </w:p>
              </w:tc>
              <w:tc>
                <w:tcPr>
                  <w:tcW w:w="5458" w:type="dxa"/>
                  <w:tcBorders>
                    <w:top w:val="single" w:sz="4" w:space="0" w:color="auto"/>
                    <w:left w:val="single" w:sz="4" w:space="0" w:color="auto"/>
                    <w:bottom w:val="single" w:sz="4" w:space="0" w:color="auto"/>
                    <w:right w:val="single" w:sz="4" w:space="0" w:color="auto"/>
                  </w:tcBorders>
                  <w:vAlign w:val="center"/>
                </w:tcPr>
                <w:p w14:paraId="2C4BA837" w14:textId="77777777" w:rsidR="00F76A63" w:rsidRDefault="00000000">
                  <w:pPr>
                    <w:pStyle w:val="affff8"/>
                    <w:rPr>
                      <w:rFonts w:cs="Times New Roman"/>
                    </w:rPr>
                  </w:pPr>
                  <w:r>
                    <w:rPr>
                      <w:rFonts w:cs="Times New Roman"/>
                    </w:rPr>
                    <w:t>5.1</w:t>
                  </w:r>
                  <w:r>
                    <w:rPr>
                      <w:rFonts w:cs="Times New Roman"/>
                    </w:rPr>
                    <w:t>水泥窑协同处置工业废物的分类</w:t>
                  </w:r>
                </w:p>
                <w:p w14:paraId="6D81110E" w14:textId="77777777" w:rsidR="00F76A63" w:rsidRDefault="00000000">
                  <w:pPr>
                    <w:pStyle w:val="affff8"/>
                    <w:rPr>
                      <w:rFonts w:cs="Times New Roman"/>
                    </w:rPr>
                  </w:pPr>
                  <w:r>
                    <w:rPr>
                      <w:rFonts w:cs="Times New Roman"/>
                    </w:rPr>
                    <w:t>5.1.1</w:t>
                  </w:r>
                  <w:r>
                    <w:rPr>
                      <w:rFonts w:cs="Times New Roman"/>
                    </w:rPr>
                    <w:t>水泥窑可处置的工业废物应符合本规范附录</w:t>
                  </w:r>
                  <w:r>
                    <w:rPr>
                      <w:rFonts w:cs="Times New Roman"/>
                    </w:rPr>
                    <w:t>A</w:t>
                  </w:r>
                  <w:r>
                    <w:rPr>
                      <w:rFonts w:cs="Times New Roman"/>
                    </w:rPr>
                    <w:t>的有关规定。</w:t>
                  </w:r>
                </w:p>
                <w:p w14:paraId="0B784671" w14:textId="77777777" w:rsidR="00F76A63" w:rsidRDefault="00000000">
                  <w:pPr>
                    <w:pStyle w:val="affff8"/>
                    <w:rPr>
                      <w:rFonts w:cs="Times New Roman"/>
                    </w:rPr>
                  </w:pPr>
                  <w:r>
                    <w:rPr>
                      <w:rFonts w:cs="Times New Roman"/>
                    </w:rPr>
                    <w:t>5.1.2</w:t>
                  </w:r>
                  <w:r>
                    <w:rPr>
                      <w:rFonts w:cs="Times New Roman"/>
                    </w:rPr>
                    <w:t>作为替代原料的工业废物，</w:t>
                  </w:r>
                  <w:r>
                    <w:rPr>
                      <w:rFonts w:cs="Times New Roman"/>
                    </w:rPr>
                    <w:t>CaO</w:t>
                  </w:r>
                  <w:r>
                    <w:rPr>
                      <w:rFonts w:cs="Times New Roman"/>
                    </w:rPr>
                    <w:t>、</w:t>
                  </w:r>
                  <w:r>
                    <w:rPr>
                      <w:rFonts w:cs="Times New Roman"/>
                    </w:rPr>
                    <w:t>SiO</w:t>
                  </w:r>
                  <w:r>
                    <w:rPr>
                      <w:rFonts w:cs="Times New Roman"/>
                      <w:vertAlign w:val="subscript"/>
                    </w:rPr>
                    <w:t>2</w:t>
                  </w:r>
                  <w:r>
                    <w:rPr>
                      <w:rFonts w:cs="Times New Roman"/>
                    </w:rPr>
                    <w:t>、</w:t>
                  </w:r>
                  <w:r>
                    <w:rPr>
                      <w:rFonts w:cs="Times New Roman"/>
                    </w:rPr>
                    <w:t>Al</w:t>
                  </w:r>
                  <w:r>
                    <w:rPr>
                      <w:rFonts w:cs="Times New Roman"/>
                      <w:vertAlign w:val="subscript"/>
                    </w:rPr>
                    <w:t>2</w:t>
                  </w:r>
                  <w:r>
                    <w:rPr>
                      <w:rFonts w:cs="Times New Roman"/>
                    </w:rPr>
                    <w:t>O</w:t>
                  </w:r>
                  <w:r>
                    <w:rPr>
                      <w:rFonts w:cs="Times New Roman"/>
                      <w:vertAlign w:val="subscript"/>
                    </w:rPr>
                    <w:t>3</w:t>
                  </w:r>
                  <w:r>
                    <w:rPr>
                      <w:rFonts w:cs="Times New Roman"/>
                    </w:rPr>
                    <w:t>、</w:t>
                  </w:r>
                  <w:r>
                    <w:rPr>
                      <w:rFonts w:cs="Times New Roman"/>
                    </w:rPr>
                    <w:t>Fe</w:t>
                  </w:r>
                  <w:r>
                    <w:rPr>
                      <w:rFonts w:cs="Times New Roman"/>
                      <w:vertAlign w:val="subscript"/>
                    </w:rPr>
                    <w:t>2</w:t>
                  </w:r>
                  <w:r>
                    <w:rPr>
                      <w:rFonts w:cs="Times New Roman"/>
                    </w:rPr>
                    <w:t>O</w:t>
                  </w:r>
                  <w:r>
                    <w:rPr>
                      <w:rFonts w:cs="Times New Roman"/>
                      <w:vertAlign w:val="subscript"/>
                    </w:rPr>
                    <w:t>3</w:t>
                  </w:r>
                  <w:r>
                    <w:rPr>
                      <w:rFonts w:cs="Times New Roman"/>
                    </w:rPr>
                    <w:t>灼烧基含量总和应达到</w:t>
                  </w:r>
                  <w:r>
                    <w:rPr>
                      <w:rFonts w:cs="Times New Roman"/>
                    </w:rPr>
                    <w:t>80%</w:t>
                  </w:r>
                  <w:r>
                    <w:rPr>
                      <w:rFonts w:cs="Times New Roman"/>
                    </w:rPr>
                    <w:t>以上。</w:t>
                  </w:r>
                </w:p>
                <w:p w14:paraId="20331660" w14:textId="77777777" w:rsidR="00F76A63" w:rsidRDefault="00000000">
                  <w:pPr>
                    <w:pStyle w:val="affff8"/>
                    <w:rPr>
                      <w:rFonts w:cs="Times New Roman"/>
                    </w:rPr>
                  </w:pPr>
                  <w:r>
                    <w:rPr>
                      <w:rFonts w:cs="Times New Roman"/>
                    </w:rPr>
                    <w:t>5.1.3</w:t>
                  </w:r>
                  <w:r>
                    <w:rPr>
                      <w:rFonts w:cs="Times New Roman"/>
                    </w:rPr>
                    <w:t>作为燃料替代利用的工业废物，主要要求及判别应符合下列要求：</w:t>
                  </w:r>
                </w:p>
                <w:p w14:paraId="62EE12A0" w14:textId="77777777" w:rsidR="00F76A63" w:rsidRDefault="00000000">
                  <w:pPr>
                    <w:pStyle w:val="affff8"/>
                    <w:rPr>
                      <w:rFonts w:cs="Times New Roman"/>
                    </w:rPr>
                  </w:pPr>
                  <w:r>
                    <w:rPr>
                      <w:rFonts w:cs="Times New Roman"/>
                    </w:rPr>
                    <w:t>1</w:t>
                  </w:r>
                  <w:r>
                    <w:rPr>
                      <w:rFonts w:cs="Times New Roman"/>
                    </w:rPr>
                    <w:t>入窑实物基废物的热值应大于</w:t>
                  </w:r>
                  <w:r>
                    <w:rPr>
                      <w:rFonts w:cs="Times New Roman"/>
                    </w:rPr>
                    <w:t>11MJ/kg</w:t>
                  </w:r>
                  <w:r>
                    <w:rPr>
                      <w:rFonts w:cs="Times New Roman"/>
                    </w:rPr>
                    <w:t>。</w:t>
                  </w:r>
                </w:p>
                <w:p w14:paraId="624D7557" w14:textId="77777777" w:rsidR="00F76A63" w:rsidRDefault="00000000">
                  <w:pPr>
                    <w:pStyle w:val="affff8"/>
                    <w:rPr>
                      <w:rFonts w:cs="Times New Roman"/>
                    </w:rPr>
                  </w:pPr>
                  <w:r>
                    <w:rPr>
                      <w:rFonts w:cs="Times New Roman"/>
                    </w:rPr>
                    <w:t>2</w:t>
                  </w:r>
                  <w:r>
                    <w:rPr>
                      <w:rFonts w:cs="Times New Roman"/>
                    </w:rPr>
                    <w:t>入窑灰分含量应小于</w:t>
                  </w:r>
                  <w:r>
                    <w:rPr>
                      <w:rFonts w:cs="Times New Roman"/>
                    </w:rPr>
                    <w:t>50%</w:t>
                  </w:r>
                  <w:r>
                    <w:rPr>
                      <w:rFonts w:cs="Times New Roman"/>
                    </w:rPr>
                    <w:t>。</w:t>
                  </w:r>
                </w:p>
                <w:p w14:paraId="509B760D" w14:textId="77777777" w:rsidR="00F76A63" w:rsidRDefault="00000000">
                  <w:pPr>
                    <w:pStyle w:val="affff8"/>
                    <w:rPr>
                      <w:rFonts w:cs="Times New Roman"/>
                    </w:rPr>
                  </w:pPr>
                  <w:r>
                    <w:rPr>
                      <w:rFonts w:cs="Times New Roman"/>
                    </w:rPr>
                    <w:t>3</w:t>
                  </w:r>
                  <w:r>
                    <w:rPr>
                      <w:rFonts w:cs="Times New Roman"/>
                    </w:rPr>
                    <w:t>入窑水分含量应小于</w:t>
                  </w:r>
                  <w:r>
                    <w:rPr>
                      <w:rFonts w:cs="Times New Roman"/>
                    </w:rPr>
                    <w:t>20%</w:t>
                  </w:r>
                  <w:r>
                    <w:rPr>
                      <w:rFonts w:cs="Times New Roman"/>
                    </w:rPr>
                    <w:t>。</w:t>
                  </w:r>
                </w:p>
                <w:p w14:paraId="770CBCB1" w14:textId="77777777" w:rsidR="00F76A63" w:rsidRDefault="00000000">
                  <w:pPr>
                    <w:pStyle w:val="affff8"/>
                    <w:rPr>
                      <w:rFonts w:cs="Times New Roman"/>
                    </w:rPr>
                  </w:pPr>
                  <w:r>
                    <w:rPr>
                      <w:rFonts w:cs="Times New Roman"/>
                    </w:rPr>
                    <w:t>5.1.4</w:t>
                  </w:r>
                  <w:r>
                    <w:rPr>
                      <w:rFonts w:cs="Times New Roman"/>
                    </w:rPr>
                    <w:t>不满足</w:t>
                  </w:r>
                  <w:r>
                    <w:rPr>
                      <w:rFonts w:cs="Times New Roman"/>
                    </w:rPr>
                    <w:t>5.1.2</w:t>
                  </w:r>
                  <w:r>
                    <w:rPr>
                      <w:rFonts w:cs="Times New Roman"/>
                    </w:rPr>
                    <w:t>、</w:t>
                  </w:r>
                  <w:r>
                    <w:rPr>
                      <w:rFonts w:cs="Times New Roman"/>
                    </w:rPr>
                    <w:t>5.1.3</w:t>
                  </w:r>
                  <w:r>
                    <w:rPr>
                      <w:rFonts w:cs="Times New Roman"/>
                    </w:rPr>
                    <w:t>所列条件的工业废物均应按水泥窑无害化处置。</w:t>
                  </w:r>
                </w:p>
              </w:tc>
              <w:tc>
                <w:tcPr>
                  <w:tcW w:w="4692" w:type="dxa"/>
                  <w:tcBorders>
                    <w:top w:val="single" w:sz="4" w:space="0" w:color="auto"/>
                    <w:left w:val="single" w:sz="4" w:space="0" w:color="auto"/>
                    <w:bottom w:val="single" w:sz="4" w:space="0" w:color="auto"/>
                    <w:right w:val="single" w:sz="4" w:space="0" w:color="auto"/>
                  </w:tcBorders>
                  <w:vAlign w:val="center"/>
                </w:tcPr>
                <w:p w14:paraId="3EAFC8B0" w14:textId="77777777" w:rsidR="00F76A63" w:rsidRDefault="00000000">
                  <w:pPr>
                    <w:pStyle w:val="affff8"/>
                    <w:rPr>
                      <w:rFonts w:cs="Times New Roman"/>
                    </w:rPr>
                  </w:pPr>
                  <w:r>
                    <w:rPr>
                      <w:rFonts w:cs="Times New Roman"/>
                    </w:rPr>
                    <w:t>1</w:t>
                  </w:r>
                  <w:r>
                    <w:rPr>
                      <w:rFonts w:cs="Times New Roman"/>
                    </w:rPr>
                    <w:t>、本项目协同处置</w:t>
                  </w:r>
                  <w:r>
                    <w:rPr>
                      <w:rFonts w:cs="Times New Roman"/>
                    </w:rPr>
                    <w:t>5</w:t>
                  </w:r>
                  <w:r>
                    <w:rPr>
                      <w:rFonts w:cs="Times New Roman"/>
                    </w:rPr>
                    <w:t>万吨</w:t>
                  </w:r>
                  <w:r>
                    <w:rPr>
                      <w:rFonts w:cs="Times New Roman"/>
                    </w:rPr>
                    <w:t>/</w:t>
                  </w:r>
                  <w:r>
                    <w:rPr>
                      <w:rFonts w:cs="Times New Roman"/>
                    </w:rPr>
                    <w:t>年污染土及</w:t>
                  </w:r>
                  <w:r>
                    <w:rPr>
                      <w:rFonts w:cs="Times New Roman"/>
                    </w:rPr>
                    <w:t>5</w:t>
                  </w:r>
                  <w:r>
                    <w:rPr>
                      <w:rFonts w:cs="Times New Roman"/>
                    </w:rPr>
                    <w:t>万吨</w:t>
                  </w:r>
                  <w:r>
                    <w:rPr>
                      <w:rFonts w:cs="Times New Roman"/>
                    </w:rPr>
                    <w:t>/</w:t>
                  </w:r>
                  <w:r>
                    <w:rPr>
                      <w:rFonts w:cs="Times New Roman"/>
                    </w:rPr>
                    <w:t>年污泥，协同处置的一般固废符合附录</w:t>
                  </w:r>
                  <w:r>
                    <w:rPr>
                      <w:rFonts w:cs="Times New Roman"/>
                    </w:rPr>
                    <w:t>A</w:t>
                  </w:r>
                  <w:r>
                    <w:rPr>
                      <w:rFonts w:cs="Times New Roman"/>
                    </w:rPr>
                    <w:t>的有关规定。</w:t>
                  </w:r>
                </w:p>
                <w:p w14:paraId="78B2E179" w14:textId="77777777" w:rsidR="00F76A63" w:rsidRDefault="00000000">
                  <w:pPr>
                    <w:pStyle w:val="affff8"/>
                    <w:rPr>
                      <w:rFonts w:cs="Times New Roman"/>
                    </w:rPr>
                  </w:pPr>
                  <w:r>
                    <w:rPr>
                      <w:rFonts w:cs="Times New Roman"/>
                    </w:rPr>
                    <w:t>2</w:t>
                  </w:r>
                  <w:r>
                    <w:rPr>
                      <w:rFonts w:cs="Times New Roman"/>
                    </w:rPr>
                    <w:t>、本项目协同处置的污染土及污泥作为替代原料使用，根据其常规成分分析，</w:t>
                  </w:r>
                  <w:r>
                    <w:rPr>
                      <w:rFonts w:cs="Times New Roman"/>
                    </w:rPr>
                    <w:t>CaO</w:t>
                  </w:r>
                  <w:r>
                    <w:rPr>
                      <w:rFonts w:cs="Times New Roman"/>
                    </w:rPr>
                    <w:t>、</w:t>
                  </w:r>
                  <w:r>
                    <w:rPr>
                      <w:rFonts w:cs="Times New Roman"/>
                    </w:rPr>
                    <w:t>SiO</w:t>
                  </w:r>
                  <w:r>
                    <w:rPr>
                      <w:rFonts w:cs="Times New Roman"/>
                      <w:vertAlign w:val="subscript"/>
                    </w:rPr>
                    <w:t>2</w:t>
                  </w:r>
                  <w:r>
                    <w:rPr>
                      <w:rFonts w:cs="Times New Roman"/>
                    </w:rPr>
                    <w:t>、</w:t>
                  </w:r>
                  <w:r>
                    <w:rPr>
                      <w:rFonts w:cs="Times New Roman"/>
                    </w:rPr>
                    <w:t>Al</w:t>
                  </w:r>
                  <w:r>
                    <w:rPr>
                      <w:rFonts w:cs="Times New Roman"/>
                      <w:vertAlign w:val="subscript"/>
                    </w:rPr>
                    <w:t>2</w:t>
                  </w:r>
                  <w:r>
                    <w:rPr>
                      <w:rFonts w:cs="Times New Roman"/>
                    </w:rPr>
                    <w:t>O</w:t>
                  </w:r>
                  <w:r>
                    <w:rPr>
                      <w:rFonts w:cs="Times New Roman"/>
                      <w:vertAlign w:val="subscript"/>
                    </w:rPr>
                    <w:t>3</w:t>
                  </w:r>
                  <w:r>
                    <w:rPr>
                      <w:rFonts w:cs="Times New Roman"/>
                    </w:rPr>
                    <w:t>、</w:t>
                  </w:r>
                  <w:r>
                    <w:rPr>
                      <w:rFonts w:cs="Times New Roman"/>
                    </w:rPr>
                    <w:t>Fe</w:t>
                  </w:r>
                  <w:r>
                    <w:rPr>
                      <w:rFonts w:cs="Times New Roman"/>
                      <w:vertAlign w:val="subscript"/>
                    </w:rPr>
                    <w:t>2</w:t>
                  </w:r>
                  <w:r>
                    <w:rPr>
                      <w:rFonts w:cs="Times New Roman"/>
                    </w:rPr>
                    <w:t>O</w:t>
                  </w:r>
                  <w:r>
                    <w:rPr>
                      <w:rFonts w:cs="Times New Roman"/>
                      <w:vertAlign w:val="subscript"/>
                    </w:rPr>
                    <w:t>3</w:t>
                  </w:r>
                  <w:r>
                    <w:rPr>
                      <w:rFonts w:cs="Times New Roman"/>
                    </w:rPr>
                    <w:t>灼烧基含量总和达到</w:t>
                  </w:r>
                  <w:r>
                    <w:rPr>
                      <w:rFonts w:cs="Times New Roman"/>
                    </w:rPr>
                    <w:t>80%</w:t>
                  </w:r>
                  <w:r>
                    <w:rPr>
                      <w:rFonts w:cs="Times New Roman"/>
                    </w:rPr>
                    <w:t>以上。</w:t>
                  </w:r>
                </w:p>
                <w:p w14:paraId="0180E17C" w14:textId="77777777" w:rsidR="00F76A63" w:rsidRDefault="00000000">
                  <w:pPr>
                    <w:pStyle w:val="affff8"/>
                    <w:rPr>
                      <w:rFonts w:cs="Times New Roman"/>
                    </w:rPr>
                  </w:pPr>
                  <w:r>
                    <w:rPr>
                      <w:rFonts w:cs="Times New Roman"/>
                    </w:rPr>
                    <w:t>3</w:t>
                  </w:r>
                  <w:r>
                    <w:rPr>
                      <w:rFonts w:cs="Times New Roman"/>
                    </w:rPr>
                    <w:t>、本项目协同处置的污染土及污泥不作为替代燃料。</w:t>
                  </w:r>
                </w:p>
              </w:tc>
              <w:tc>
                <w:tcPr>
                  <w:tcW w:w="720" w:type="dxa"/>
                  <w:tcBorders>
                    <w:top w:val="single" w:sz="4" w:space="0" w:color="auto"/>
                    <w:left w:val="single" w:sz="4" w:space="0" w:color="auto"/>
                    <w:bottom w:val="single" w:sz="4" w:space="0" w:color="auto"/>
                    <w:right w:val="nil"/>
                  </w:tcBorders>
                  <w:vAlign w:val="center"/>
                </w:tcPr>
                <w:p w14:paraId="485715B5" w14:textId="77777777" w:rsidR="00F76A63" w:rsidRDefault="00000000">
                  <w:pPr>
                    <w:pStyle w:val="affff8"/>
                    <w:rPr>
                      <w:rFonts w:cs="Times New Roman"/>
                    </w:rPr>
                  </w:pPr>
                  <w:r>
                    <w:rPr>
                      <w:rFonts w:cs="Times New Roman"/>
                    </w:rPr>
                    <w:t>符合</w:t>
                  </w:r>
                </w:p>
              </w:tc>
            </w:tr>
            <w:tr w:rsidR="00F76A63" w14:paraId="00F87708"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299F34EF"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5BBE7F3A" w14:textId="77777777" w:rsidR="00F76A63" w:rsidRDefault="00000000">
                  <w:pPr>
                    <w:pStyle w:val="affff8"/>
                    <w:rPr>
                      <w:rFonts w:cs="Times New Roman"/>
                    </w:rPr>
                  </w:pPr>
                  <w:r>
                    <w:rPr>
                      <w:rFonts w:cs="Times New Roman"/>
                    </w:rPr>
                    <w:t>5.2</w:t>
                  </w:r>
                  <w:r>
                    <w:rPr>
                      <w:rFonts w:cs="Times New Roman"/>
                    </w:rPr>
                    <w:t>品质控制要求</w:t>
                  </w:r>
                </w:p>
                <w:p w14:paraId="3623BC12" w14:textId="77777777" w:rsidR="00F76A63" w:rsidRDefault="00000000">
                  <w:pPr>
                    <w:pStyle w:val="affff8"/>
                    <w:rPr>
                      <w:rFonts w:cs="Times New Roman"/>
                    </w:rPr>
                  </w:pPr>
                  <w:r>
                    <w:rPr>
                      <w:rFonts w:cs="Times New Roman"/>
                    </w:rPr>
                    <w:t>5.2.1</w:t>
                  </w:r>
                  <w:r>
                    <w:rPr>
                      <w:rFonts w:cs="Times New Roman"/>
                    </w:rPr>
                    <w:t>工业废物作为替代原料及燃料的品质，应符合水泥工厂产品方案的要求。</w:t>
                  </w:r>
                </w:p>
                <w:p w14:paraId="13F2DCE0" w14:textId="77777777" w:rsidR="00F76A63" w:rsidRDefault="00000000">
                  <w:pPr>
                    <w:pStyle w:val="affff8"/>
                    <w:rPr>
                      <w:rFonts w:cs="Times New Roman"/>
                    </w:rPr>
                  </w:pPr>
                  <w:r>
                    <w:rPr>
                      <w:rFonts w:cs="Times New Roman"/>
                    </w:rPr>
                    <w:t>5.2.2</w:t>
                  </w:r>
                  <w:r>
                    <w:rPr>
                      <w:rFonts w:cs="Times New Roman"/>
                    </w:rPr>
                    <w:t>水泥窑协同处置工业废物后，水泥熟料和水泥产品中重金属含量应符合现行国家标准《水泥工厂设计规范》</w:t>
                  </w:r>
                  <w:r>
                    <w:rPr>
                      <w:rFonts w:cs="Times New Roman" w:hint="eastAsia"/>
                    </w:rPr>
                    <w:t>（</w:t>
                  </w:r>
                  <w:r>
                    <w:rPr>
                      <w:rFonts w:cs="Times New Roman"/>
                    </w:rPr>
                    <w:t>GB50295</w:t>
                  </w:r>
                  <w:r>
                    <w:rPr>
                      <w:rFonts w:cs="Times New Roman" w:hint="eastAsia"/>
                    </w:rPr>
                    <w:t>-2006</w:t>
                  </w:r>
                  <w:r>
                    <w:rPr>
                      <w:rFonts w:cs="Times New Roman" w:hint="eastAsia"/>
                    </w:rPr>
                    <w:t>）</w:t>
                  </w:r>
                  <w:r>
                    <w:rPr>
                      <w:rFonts w:cs="Times New Roman"/>
                    </w:rPr>
                    <w:t>的有关规定。</w:t>
                  </w:r>
                </w:p>
              </w:tc>
              <w:tc>
                <w:tcPr>
                  <w:tcW w:w="4692" w:type="dxa"/>
                  <w:tcBorders>
                    <w:top w:val="single" w:sz="4" w:space="0" w:color="auto"/>
                    <w:left w:val="single" w:sz="4" w:space="0" w:color="auto"/>
                    <w:bottom w:val="single" w:sz="4" w:space="0" w:color="auto"/>
                    <w:right w:val="single" w:sz="4" w:space="0" w:color="auto"/>
                  </w:tcBorders>
                  <w:vAlign w:val="center"/>
                </w:tcPr>
                <w:p w14:paraId="67104B26" w14:textId="77777777" w:rsidR="00F76A63" w:rsidRDefault="00000000">
                  <w:pPr>
                    <w:pStyle w:val="affff8"/>
                    <w:rPr>
                      <w:rFonts w:cs="Times New Roman"/>
                    </w:rPr>
                  </w:pPr>
                  <w:r>
                    <w:rPr>
                      <w:rFonts w:cs="Times New Roman"/>
                    </w:rPr>
                    <w:t>1</w:t>
                  </w:r>
                  <w:r>
                    <w:rPr>
                      <w:rFonts w:cs="Times New Roman"/>
                    </w:rPr>
                    <w:t>、经类比分析，水泥窑协同处置污染土及污泥后，对水泥品质影响不大，生产出的水泥产品符合现行国家标准《通用硅酸盐水泥》</w:t>
                  </w:r>
                  <w:r>
                    <w:rPr>
                      <w:rFonts w:cs="Times New Roman"/>
                    </w:rPr>
                    <w:t>GB175-2023</w:t>
                  </w:r>
                  <w:r>
                    <w:rPr>
                      <w:rFonts w:cs="Times New Roman"/>
                    </w:rPr>
                    <w:t>的规定。</w:t>
                  </w:r>
                </w:p>
                <w:p w14:paraId="771FDF79" w14:textId="77777777" w:rsidR="00F76A63" w:rsidRDefault="00000000">
                  <w:pPr>
                    <w:pStyle w:val="affff8"/>
                    <w:rPr>
                      <w:rFonts w:cs="Times New Roman"/>
                    </w:rPr>
                  </w:pPr>
                  <w:r>
                    <w:rPr>
                      <w:rFonts w:cs="Times New Roman"/>
                    </w:rPr>
                    <w:t>2</w:t>
                  </w:r>
                  <w:r>
                    <w:rPr>
                      <w:rFonts w:cs="Times New Roman"/>
                    </w:rPr>
                    <w:t>、根据本项目重金属物料平衡分析，得出熟料重金属含量，熟料中重金属含量满足《水泥工厂设计规范》（</w:t>
                  </w:r>
                  <w:r>
                    <w:rPr>
                      <w:rFonts w:cs="Times New Roman"/>
                    </w:rPr>
                    <w:t>GB50295-2016</w:t>
                  </w:r>
                  <w:r>
                    <w:rPr>
                      <w:rFonts w:cs="Times New Roman"/>
                    </w:rPr>
                    <w:t>）要求，不会影响水泥品质。</w:t>
                  </w:r>
                </w:p>
              </w:tc>
              <w:tc>
                <w:tcPr>
                  <w:tcW w:w="720" w:type="dxa"/>
                  <w:tcBorders>
                    <w:top w:val="single" w:sz="4" w:space="0" w:color="auto"/>
                    <w:left w:val="single" w:sz="4" w:space="0" w:color="auto"/>
                    <w:bottom w:val="single" w:sz="4" w:space="0" w:color="auto"/>
                    <w:right w:val="nil"/>
                  </w:tcBorders>
                  <w:vAlign w:val="center"/>
                </w:tcPr>
                <w:p w14:paraId="1CCD09AA" w14:textId="77777777" w:rsidR="00F76A63" w:rsidRDefault="00000000">
                  <w:pPr>
                    <w:pStyle w:val="affff8"/>
                    <w:rPr>
                      <w:rFonts w:cs="Times New Roman"/>
                    </w:rPr>
                  </w:pPr>
                  <w:r>
                    <w:rPr>
                      <w:rFonts w:cs="Times New Roman"/>
                    </w:rPr>
                    <w:t>符合</w:t>
                  </w:r>
                </w:p>
              </w:tc>
            </w:tr>
            <w:tr w:rsidR="00F76A63" w14:paraId="70DF00C1" w14:textId="77777777">
              <w:trPr>
                <w:trHeight w:val="340"/>
                <w:jc w:val="center"/>
              </w:trPr>
              <w:tc>
                <w:tcPr>
                  <w:tcW w:w="1069" w:type="dxa"/>
                  <w:vMerge w:val="restart"/>
                  <w:tcBorders>
                    <w:top w:val="single" w:sz="4" w:space="0" w:color="auto"/>
                    <w:left w:val="nil"/>
                    <w:bottom w:val="single" w:sz="4" w:space="0" w:color="auto"/>
                    <w:right w:val="single" w:sz="4" w:space="0" w:color="auto"/>
                  </w:tcBorders>
                  <w:vAlign w:val="center"/>
                </w:tcPr>
                <w:p w14:paraId="56FB3131" w14:textId="77777777" w:rsidR="00F76A63" w:rsidRDefault="00000000">
                  <w:pPr>
                    <w:pStyle w:val="affff8"/>
                    <w:rPr>
                      <w:rFonts w:cs="Times New Roman"/>
                    </w:rPr>
                  </w:pPr>
                  <w:r>
                    <w:rPr>
                      <w:rFonts w:cs="Times New Roman"/>
                    </w:rPr>
                    <w:t>6</w:t>
                  </w:r>
                  <w:r>
                    <w:rPr>
                      <w:rFonts w:cs="Times New Roman"/>
                    </w:rPr>
                    <w:t>、总平面布置</w:t>
                  </w:r>
                </w:p>
              </w:tc>
              <w:tc>
                <w:tcPr>
                  <w:tcW w:w="5458" w:type="dxa"/>
                  <w:tcBorders>
                    <w:top w:val="single" w:sz="4" w:space="0" w:color="auto"/>
                    <w:left w:val="single" w:sz="4" w:space="0" w:color="auto"/>
                    <w:bottom w:val="single" w:sz="4" w:space="0" w:color="auto"/>
                    <w:right w:val="single" w:sz="4" w:space="0" w:color="auto"/>
                  </w:tcBorders>
                  <w:vAlign w:val="center"/>
                </w:tcPr>
                <w:p w14:paraId="7D9B02FC" w14:textId="77777777" w:rsidR="00F76A63" w:rsidRDefault="00000000">
                  <w:pPr>
                    <w:pStyle w:val="affff8"/>
                    <w:rPr>
                      <w:rFonts w:cs="Times New Roman"/>
                    </w:rPr>
                  </w:pPr>
                  <w:r>
                    <w:rPr>
                      <w:rFonts w:cs="Times New Roman"/>
                    </w:rPr>
                    <w:t>6.1</w:t>
                  </w:r>
                  <w:r>
                    <w:rPr>
                      <w:rFonts w:cs="Times New Roman"/>
                    </w:rPr>
                    <w:t>厂址的选择</w:t>
                  </w:r>
                </w:p>
                <w:p w14:paraId="3ECE6F37" w14:textId="77777777" w:rsidR="00F76A63" w:rsidRDefault="00000000">
                  <w:pPr>
                    <w:pStyle w:val="affff8"/>
                    <w:rPr>
                      <w:rFonts w:cs="Times New Roman"/>
                    </w:rPr>
                  </w:pPr>
                  <w:r>
                    <w:rPr>
                      <w:rFonts w:cs="Times New Roman"/>
                    </w:rPr>
                    <w:t>6.1.1</w:t>
                  </w:r>
                  <w:r>
                    <w:rPr>
                      <w:rFonts w:cs="Times New Roman"/>
                    </w:rPr>
                    <w:t>新建水泥窑协同处置工业废物的生产线，厂址的选择及工业废物预处理车间的布局应符合本地区工业布局和建设发展规划的要求，并应按照国家有关法律、法规及前期工作的规定进行。</w:t>
                  </w:r>
                </w:p>
                <w:p w14:paraId="108D5997" w14:textId="77777777" w:rsidR="00F76A63" w:rsidRDefault="00000000">
                  <w:pPr>
                    <w:pStyle w:val="affff8"/>
                    <w:rPr>
                      <w:rFonts w:cs="Times New Roman"/>
                    </w:rPr>
                  </w:pPr>
                  <w:r>
                    <w:rPr>
                      <w:rFonts w:cs="Times New Roman"/>
                    </w:rPr>
                    <w:t>6.1.2</w:t>
                  </w:r>
                  <w:r>
                    <w:rPr>
                      <w:rFonts w:cs="Times New Roman"/>
                    </w:rPr>
                    <w:t>现有的水泥生产线进行协同处置工业废物的技术改造工程，预处理车间的选址应根据交通运输、供电、供水、供热、工程地质、企业协作、场地现有设施、工业废物来源及储存、协同处置衔接、预处理的环境保护等条件进行技术经济比较后确定。</w:t>
                  </w:r>
                </w:p>
                <w:p w14:paraId="19B2A9B5" w14:textId="77777777" w:rsidR="00F76A63" w:rsidRDefault="00000000">
                  <w:pPr>
                    <w:pStyle w:val="affff8"/>
                    <w:rPr>
                      <w:rFonts w:cs="Times New Roman"/>
                    </w:rPr>
                  </w:pPr>
                  <w:r>
                    <w:rPr>
                      <w:rFonts w:cs="Times New Roman"/>
                    </w:rPr>
                    <w:t>6.1.3</w:t>
                  </w:r>
                  <w:r>
                    <w:rPr>
                      <w:rFonts w:cs="Times New Roman"/>
                    </w:rPr>
                    <w:t>厂址选择应符合城乡总体发展规划和环境保护专业规划，并应符合当地的大气污染防治、水资源保护和自然生态保护要求，同时应通过环境影响和环境风险评价。</w:t>
                  </w:r>
                </w:p>
                <w:p w14:paraId="762552E7" w14:textId="77777777" w:rsidR="00F76A63" w:rsidRDefault="00000000">
                  <w:pPr>
                    <w:pStyle w:val="affff8"/>
                    <w:rPr>
                      <w:rFonts w:cs="Times New Roman"/>
                    </w:rPr>
                  </w:pPr>
                  <w:r>
                    <w:rPr>
                      <w:rFonts w:cs="Times New Roman"/>
                    </w:rPr>
                    <w:t>6.1.4</w:t>
                  </w:r>
                  <w:r>
                    <w:rPr>
                      <w:rFonts w:cs="Times New Roman"/>
                    </w:rPr>
                    <w:t>厂址条件应符合下列要求：</w:t>
                  </w:r>
                </w:p>
                <w:p w14:paraId="10EA5312" w14:textId="77777777" w:rsidR="00F76A63" w:rsidRDefault="00000000">
                  <w:pPr>
                    <w:pStyle w:val="affff8"/>
                    <w:rPr>
                      <w:rFonts w:cs="Times New Roman"/>
                    </w:rPr>
                  </w:pPr>
                  <w:r>
                    <w:rPr>
                      <w:rFonts w:cs="Times New Roman"/>
                    </w:rPr>
                    <w:t>1</w:t>
                  </w:r>
                  <w:r>
                    <w:rPr>
                      <w:rFonts w:cs="Times New Roman"/>
                    </w:rPr>
                    <w:t>厂址选择应符合现行国家标准《地表水环境质量标准》</w:t>
                  </w:r>
                  <w:r>
                    <w:rPr>
                      <w:rFonts w:cs="Times New Roman" w:hint="eastAsia"/>
                    </w:rPr>
                    <w:t>（</w:t>
                  </w:r>
                  <w:r>
                    <w:rPr>
                      <w:rFonts w:cs="Times New Roman"/>
                    </w:rPr>
                    <w:t>GB3838</w:t>
                  </w:r>
                  <w:r>
                    <w:rPr>
                      <w:rFonts w:cs="Times New Roman" w:hint="eastAsia"/>
                    </w:rPr>
                    <w:t>-2002</w:t>
                  </w:r>
                  <w:r>
                    <w:rPr>
                      <w:rFonts w:cs="Times New Roman" w:hint="eastAsia"/>
                    </w:rPr>
                    <w:t>）</w:t>
                  </w:r>
                  <w:r>
                    <w:rPr>
                      <w:rFonts w:cs="Times New Roman"/>
                    </w:rPr>
                    <w:t>和《环境空气质量标准》</w:t>
                  </w:r>
                  <w:r>
                    <w:rPr>
                      <w:rFonts w:cs="Times New Roman" w:hint="eastAsia"/>
                    </w:rPr>
                    <w:t>（</w:t>
                  </w:r>
                  <w:r>
                    <w:rPr>
                      <w:rFonts w:cs="Times New Roman"/>
                    </w:rPr>
                    <w:t>GB3</w:t>
                  </w:r>
                  <w:r>
                    <w:rPr>
                      <w:rFonts w:cs="Times New Roman" w:hint="eastAsia"/>
                    </w:rPr>
                    <w:t>095-2026</w:t>
                  </w:r>
                  <w:r>
                    <w:rPr>
                      <w:rFonts w:cs="Times New Roman" w:hint="eastAsia"/>
                    </w:rPr>
                    <w:t>）</w:t>
                  </w:r>
                  <w:r>
                    <w:rPr>
                      <w:rFonts w:cs="Times New Roman"/>
                    </w:rPr>
                    <w:t>的有关规定，处置危险废物的工厂选址还应符合现行国家标准《危险废物焚烧污染控制标准》</w:t>
                  </w:r>
                  <w:r>
                    <w:rPr>
                      <w:rFonts w:cs="Times New Roman" w:hint="eastAsia"/>
                    </w:rPr>
                    <w:t>（</w:t>
                  </w:r>
                  <w:r>
                    <w:rPr>
                      <w:rFonts w:cs="Times New Roman"/>
                    </w:rPr>
                    <w:t>GB18484—2020</w:t>
                  </w:r>
                  <w:r>
                    <w:rPr>
                      <w:rFonts w:cs="Times New Roman" w:hint="eastAsia"/>
                    </w:rPr>
                    <w:t>）</w:t>
                  </w:r>
                  <w:r>
                    <w:rPr>
                      <w:rFonts w:cs="Times New Roman"/>
                    </w:rPr>
                    <w:t>中的选址要求。</w:t>
                  </w:r>
                </w:p>
                <w:p w14:paraId="0881836D" w14:textId="77777777" w:rsidR="00F76A63" w:rsidRDefault="00000000">
                  <w:pPr>
                    <w:pStyle w:val="affff8"/>
                    <w:rPr>
                      <w:rFonts w:cs="Times New Roman"/>
                    </w:rPr>
                  </w:pPr>
                  <w:r>
                    <w:rPr>
                      <w:rFonts w:cs="Times New Roman"/>
                    </w:rPr>
                    <w:t>2</w:t>
                  </w:r>
                  <w:r>
                    <w:rPr>
                      <w:rFonts w:cs="Times New Roman"/>
                    </w:rPr>
                    <w:t>厂址应具备满足工程建设要求的工程地质条件和水文地质条件，不应建在受洪水、潮水或内涝威胁的地区。当条件限制而必须建在受洪水、潮水或内涝威胁地区时，应设置抵御</w:t>
                  </w:r>
                  <w:r>
                    <w:rPr>
                      <w:rFonts w:cs="Times New Roman"/>
                    </w:rPr>
                    <w:t>100</w:t>
                  </w:r>
                  <w:r>
                    <w:rPr>
                      <w:rFonts w:cs="Times New Roman"/>
                    </w:rPr>
                    <w:t>年一遇洪水的防洪、排涝设施。</w:t>
                  </w:r>
                </w:p>
                <w:p w14:paraId="6B9BB4AD" w14:textId="77777777" w:rsidR="00F76A63" w:rsidRDefault="00000000">
                  <w:pPr>
                    <w:pStyle w:val="affff8"/>
                    <w:rPr>
                      <w:rFonts w:cs="Times New Roman"/>
                    </w:rPr>
                  </w:pPr>
                  <w:r>
                    <w:rPr>
                      <w:rFonts w:cs="Times New Roman"/>
                    </w:rPr>
                    <w:t>3</w:t>
                  </w:r>
                  <w:r>
                    <w:rPr>
                      <w:rFonts w:cs="Times New Roman"/>
                    </w:rPr>
                    <w:t>水泥窑协同处置</w:t>
                  </w:r>
                  <w:hyperlink r:id="rId13" w:tooltip="危险废物新闻专题" w:history="1">
                    <w:r w:rsidR="00F76A63">
                      <w:rPr>
                        <w:rStyle w:val="affff4"/>
                        <w:rFonts w:cs="Times New Roman"/>
                        <w:color w:val="auto"/>
                        <w:u w:val="none"/>
                      </w:rPr>
                      <w:t>危险废物</w:t>
                    </w:r>
                  </w:hyperlink>
                  <w:r>
                    <w:rPr>
                      <w:rFonts w:cs="Times New Roman"/>
                    </w:rPr>
                    <w:t>预处理车间选址时，应符合国家现行标准《危险废物贮存污染控制标准》</w:t>
                  </w:r>
                  <w:r>
                    <w:rPr>
                      <w:rFonts w:cs="Times New Roman" w:hint="eastAsia"/>
                    </w:rPr>
                    <w:t>（</w:t>
                  </w:r>
                  <w:r>
                    <w:rPr>
                      <w:rFonts w:cs="Times New Roman"/>
                    </w:rPr>
                    <w:t>GB18597</w:t>
                  </w:r>
                  <w:r>
                    <w:rPr>
                      <w:rFonts w:cs="Times New Roman" w:hint="eastAsia"/>
                    </w:rPr>
                    <w:t>-2023</w:t>
                  </w:r>
                  <w:r>
                    <w:rPr>
                      <w:rFonts w:cs="Times New Roman" w:hint="eastAsia"/>
                    </w:rPr>
                    <w:t>）</w:t>
                  </w:r>
                  <w:r>
                    <w:rPr>
                      <w:rFonts w:cs="Times New Roman"/>
                    </w:rPr>
                    <w:t>及《危险废物集中焚烧处置工程建设技术规范》</w:t>
                  </w:r>
                  <w:r>
                    <w:rPr>
                      <w:rFonts w:cs="Times New Roman" w:hint="eastAsia"/>
                    </w:rPr>
                    <w:t>（</w:t>
                  </w:r>
                  <w:r>
                    <w:rPr>
                      <w:rFonts w:cs="Times New Roman"/>
                    </w:rPr>
                    <w:t>HJ/T176</w:t>
                  </w:r>
                  <w:r>
                    <w:rPr>
                      <w:rFonts w:cs="Times New Roman" w:hint="eastAsia"/>
                    </w:rPr>
                    <w:t>-</w:t>
                  </w:r>
                  <w:r>
                    <w:rPr>
                      <w:rFonts w:cs="Times New Roman" w:hint="eastAsia"/>
                    </w:rPr>
                    <w:lastRenderedPageBreak/>
                    <w:t>2005</w:t>
                  </w:r>
                  <w:r>
                    <w:rPr>
                      <w:rFonts w:cs="Times New Roman" w:hint="eastAsia"/>
                    </w:rPr>
                    <w:t>）</w:t>
                  </w:r>
                  <w:r>
                    <w:rPr>
                      <w:rFonts w:cs="Times New Roman"/>
                    </w:rPr>
                    <w:t>中的有关规定。（应依据环境影响评价结论确定危险废物集中贮存设施、焚烧厂内危险废物与周围人群的距离，并经具有审批权的环境保护行政主管部门批准，并可作为规划控制的依据。）</w:t>
                  </w:r>
                </w:p>
                <w:p w14:paraId="4F6F4702" w14:textId="77777777" w:rsidR="00F76A63" w:rsidRDefault="00000000">
                  <w:pPr>
                    <w:pStyle w:val="affff8"/>
                    <w:rPr>
                      <w:rFonts w:cs="Times New Roman"/>
                    </w:rPr>
                  </w:pPr>
                  <w:r>
                    <w:rPr>
                      <w:rFonts w:cs="Times New Roman"/>
                    </w:rPr>
                    <w:t>4</w:t>
                  </w:r>
                  <w:r>
                    <w:rPr>
                      <w:rFonts w:cs="Times New Roman"/>
                    </w:rPr>
                    <w:t>有异味产生的预处理车间应避开环境保护敏感区，烟囱高度的设置应符合现行国家标准</w:t>
                  </w:r>
                  <w:bookmarkStart w:id="39" w:name="OLE_LINK48"/>
                  <w:r>
                    <w:rPr>
                      <w:rFonts w:cs="Times New Roman"/>
                    </w:rPr>
                    <w:t>《恶臭污染物排放标准》</w:t>
                  </w:r>
                  <w:bookmarkEnd w:id="39"/>
                  <w:r>
                    <w:rPr>
                      <w:rFonts w:cs="Times New Roman" w:hint="eastAsia"/>
                    </w:rPr>
                    <w:t>（</w:t>
                  </w:r>
                  <w:r>
                    <w:rPr>
                      <w:rFonts w:cs="Times New Roman"/>
                    </w:rPr>
                    <w:t>GB14554</w:t>
                  </w:r>
                  <w:r>
                    <w:rPr>
                      <w:rFonts w:cs="Times New Roman" w:hint="eastAsia"/>
                    </w:rPr>
                    <w:t>-1993</w:t>
                  </w:r>
                  <w:r>
                    <w:rPr>
                      <w:rFonts w:cs="Times New Roman" w:hint="eastAsia"/>
                    </w:rPr>
                    <w:t>）</w:t>
                  </w:r>
                  <w:r>
                    <w:rPr>
                      <w:rFonts w:cs="Times New Roman"/>
                    </w:rPr>
                    <w:t>中的有关规定。</w:t>
                  </w:r>
                </w:p>
                <w:p w14:paraId="7B0402CC" w14:textId="77777777" w:rsidR="00F76A63" w:rsidRDefault="00000000">
                  <w:pPr>
                    <w:pStyle w:val="affff8"/>
                    <w:rPr>
                      <w:rFonts w:cs="Times New Roman"/>
                    </w:rPr>
                  </w:pPr>
                  <w:r>
                    <w:rPr>
                      <w:rFonts w:cs="Times New Roman"/>
                    </w:rPr>
                    <w:t>5</w:t>
                  </w:r>
                  <w:r>
                    <w:rPr>
                      <w:rFonts w:cs="Times New Roman"/>
                    </w:rPr>
                    <w:t>水泥窑协同处置危险废物应保证废物预处理车间达到双路电力供应。</w:t>
                  </w:r>
                </w:p>
                <w:p w14:paraId="63EC3B9A" w14:textId="77777777" w:rsidR="00F76A63" w:rsidRDefault="00000000">
                  <w:pPr>
                    <w:pStyle w:val="affff8"/>
                    <w:rPr>
                      <w:rFonts w:cs="Times New Roman"/>
                    </w:rPr>
                  </w:pPr>
                  <w:r>
                    <w:rPr>
                      <w:rFonts w:cs="Times New Roman"/>
                    </w:rPr>
                    <w:t>6</w:t>
                  </w:r>
                  <w:r>
                    <w:rPr>
                      <w:rFonts w:cs="Times New Roman"/>
                    </w:rPr>
                    <w:t>水泥窑协同处置工业废物生产线应有供水水源和污水处理及排放系统，必要时应建立独立的污水处理及排放系统。</w:t>
                  </w:r>
                </w:p>
              </w:tc>
              <w:tc>
                <w:tcPr>
                  <w:tcW w:w="4692" w:type="dxa"/>
                  <w:tcBorders>
                    <w:top w:val="single" w:sz="4" w:space="0" w:color="auto"/>
                    <w:left w:val="single" w:sz="4" w:space="0" w:color="auto"/>
                    <w:bottom w:val="single" w:sz="4" w:space="0" w:color="auto"/>
                    <w:right w:val="single" w:sz="4" w:space="0" w:color="auto"/>
                  </w:tcBorders>
                  <w:vAlign w:val="center"/>
                </w:tcPr>
                <w:p w14:paraId="78B76792" w14:textId="77777777" w:rsidR="00F76A63" w:rsidRDefault="00000000">
                  <w:pPr>
                    <w:pStyle w:val="affff8"/>
                    <w:rPr>
                      <w:rFonts w:cs="Times New Roman"/>
                    </w:rPr>
                  </w:pPr>
                  <w:r>
                    <w:rPr>
                      <w:rFonts w:cs="Times New Roman"/>
                    </w:rPr>
                    <w:lastRenderedPageBreak/>
                    <w:t>1</w:t>
                  </w:r>
                  <w:r>
                    <w:rPr>
                      <w:rFonts w:cs="Times New Roman"/>
                    </w:rPr>
                    <w:t>、本项目位于句容台泥水泥有限公司厂区内，不新增用地，与相关规划相符，符合当地的大气污染防治、水资源保护和自然生态保护要求。</w:t>
                  </w:r>
                </w:p>
                <w:p w14:paraId="2F0D4A12" w14:textId="77777777" w:rsidR="00F76A63" w:rsidRDefault="00000000">
                  <w:pPr>
                    <w:pStyle w:val="affff8"/>
                    <w:rPr>
                      <w:rFonts w:cs="Times New Roman"/>
                    </w:rPr>
                  </w:pPr>
                  <w:r>
                    <w:rPr>
                      <w:rFonts w:cs="Times New Roman"/>
                    </w:rPr>
                    <w:t>2</w:t>
                  </w:r>
                  <w:r>
                    <w:rPr>
                      <w:rFonts w:cs="Times New Roman"/>
                    </w:rPr>
                    <w:t>、本项目依托现有水泥窑协同处置污染土及污泥，本次协同处置的污染土及污泥无需预处理，满足进厂标准后投入水泥窑。</w:t>
                  </w:r>
                </w:p>
                <w:p w14:paraId="2BDF5C19" w14:textId="77777777" w:rsidR="00F76A63" w:rsidRDefault="00000000">
                  <w:pPr>
                    <w:pStyle w:val="affff8"/>
                    <w:rPr>
                      <w:rFonts w:cs="Times New Roman"/>
                    </w:rPr>
                  </w:pPr>
                  <w:r>
                    <w:rPr>
                      <w:rFonts w:cs="Times New Roman"/>
                    </w:rPr>
                    <w:t>3</w:t>
                  </w:r>
                  <w:r>
                    <w:rPr>
                      <w:rFonts w:cs="Times New Roman"/>
                    </w:rPr>
                    <w:t>、本项目厂址选择符合城乡总体发展规划和环境保护专业规划，符合当地的大气污染防治、水资源保护和自然生态保护要求，并已通过环境影响和环境风险评价。</w:t>
                  </w:r>
                </w:p>
                <w:p w14:paraId="32DCF077" w14:textId="77777777" w:rsidR="00F76A63" w:rsidRDefault="00000000">
                  <w:pPr>
                    <w:pStyle w:val="affff8"/>
                    <w:rPr>
                      <w:rFonts w:cs="Times New Roman"/>
                    </w:rPr>
                  </w:pPr>
                  <w:r>
                    <w:rPr>
                      <w:rFonts w:cs="Times New Roman"/>
                    </w:rPr>
                    <w:t>4.1</w:t>
                  </w:r>
                  <w:r>
                    <w:rPr>
                      <w:rFonts w:cs="Times New Roman"/>
                    </w:rPr>
                    <w:t>、本项目厂址选择应符合现行国家标准《地表水环境质量标准》（</w:t>
                  </w:r>
                  <w:r>
                    <w:rPr>
                      <w:rFonts w:cs="Times New Roman"/>
                    </w:rPr>
                    <w:t>GB3838-2002</w:t>
                  </w:r>
                  <w:r>
                    <w:rPr>
                      <w:rFonts w:cs="Times New Roman"/>
                    </w:rPr>
                    <w:t>）和《环境空气质量标准》（</w:t>
                  </w:r>
                  <w:r>
                    <w:rPr>
                      <w:rFonts w:cs="Times New Roman"/>
                    </w:rPr>
                    <w:t>GB3095-2026</w:t>
                  </w:r>
                  <w:r>
                    <w:rPr>
                      <w:rFonts w:cs="Times New Roman"/>
                    </w:rPr>
                    <w:t>）的有关规定，本项目不涉及协同处置危险废物。</w:t>
                  </w:r>
                </w:p>
                <w:p w14:paraId="6101E6B6" w14:textId="77777777" w:rsidR="00F76A63" w:rsidRDefault="00000000">
                  <w:pPr>
                    <w:pStyle w:val="affff8"/>
                    <w:rPr>
                      <w:rFonts w:cs="Times New Roman"/>
                    </w:rPr>
                  </w:pPr>
                  <w:r>
                    <w:rPr>
                      <w:rFonts w:cs="Times New Roman"/>
                    </w:rPr>
                    <w:t>4.2</w:t>
                  </w:r>
                  <w:r>
                    <w:rPr>
                      <w:rFonts w:cs="Times New Roman"/>
                    </w:rPr>
                    <w:t>、根据《镇江市城市防洪规划》：镇江主城区</w:t>
                  </w:r>
                  <w:r>
                    <w:rPr>
                      <w:rFonts w:cs="Times New Roman"/>
                    </w:rPr>
                    <w:t>100</w:t>
                  </w:r>
                  <w:r>
                    <w:rPr>
                      <w:rFonts w:cs="Times New Roman"/>
                    </w:rPr>
                    <w:t>年一遇设计水位为</w:t>
                  </w:r>
                  <w:r>
                    <w:rPr>
                      <w:rFonts w:cs="Times New Roman"/>
                    </w:rPr>
                    <w:t>9.24m</w:t>
                  </w:r>
                  <w:r>
                    <w:rPr>
                      <w:rFonts w:cs="Times New Roman"/>
                    </w:rPr>
                    <w:t>（吴淞基面）。如置换成黄海基面（以国家</w:t>
                  </w:r>
                  <w:r>
                    <w:rPr>
                      <w:rFonts w:cs="Times New Roman"/>
                    </w:rPr>
                    <w:t>85</w:t>
                  </w:r>
                  <w:r>
                    <w:rPr>
                      <w:rFonts w:cs="Times New Roman"/>
                    </w:rPr>
                    <w:t>高程为基准）设计水位为</w:t>
                  </w:r>
                  <w:r>
                    <w:rPr>
                      <w:rFonts w:cs="Times New Roman"/>
                    </w:rPr>
                    <w:t>7.281m</w:t>
                  </w:r>
                  <w:r>
                    <w:rPr>
                      <w:rFonts w:cs="Times New Roman"/>
                    </w:rPr>
                    <w:t>。项目所在厂址设置抵御</w:t>
                  </w:r>
                  <w:r>
                    <w:rPr>
                      <w:rFonts w:cs="Times New Roman"/>
                    </w:rPr>
                    <w:t>100</w:t>
                  </w:r>
                  <w:r>
                    <w:rPr>
                      <w:rFonts w:cs="Times New Roman"/>
                    </w:rPr>
                    <w:t>年一遇洪水的防洪、排涝设施，见附件</w:t>
                  </w:r>
                  <w:r>
                    <w:rPr>
                      <w:rFonts w:cs="Times New Roman"/>
                    </w:rPr>
                    <w:t>17</w:t>
                  </w:r>
                  <w:r>
                    <w:rPr>
                      <w:rFonts w:cs="Times New Roman"/>
                    </w:rPr>
                    <w:t>。</w:t>
                  </w:r>
                </w:p>
                <w:p w14:paraId="20FCBA06" w14:textId="77777777" w:rsidR="00F76A63" w:rsidRDefault="00000000">
                  <w:pPr>
                    <w:pStyle w:val="affff8"/>
                    <w:rPr>
                      <w:rFonts w:cs="Times New Roman"/>
                    </w:rPr>
                  </w:pPr>
                  <w:r>
                    <w:rPr>
                      <w:rFonts w:cs="Times New Roman"/>
                    </w:rPr>
                    <w:t>4.3</w:t>
                  </w:r>
                  <w:r>
                    <w:rPr>
                      <w:rFonts w:cs="Times New Roman"/>
                    </w:rPr>
                    <w:t>、本项目不涉及协同处置危险废物。</w:t>
                  </w:r>
                </w:p>
                <w:p w14:paraId="1A792CDB" w14:textId="77777777" w:rsidR="00F76A63" w:rsidRDefault="00000000">
                  <w:pPr>
                    <w:pStyle w:val="affff8"/>
                    <w:rPr>
                      <w:rFonts w:cs="Times New Roman"/>
                    </w:rPr>
                  </w:pPr>
                  <w:r>
                    <w:rPr>
                      <w:rFonts w:cs="Times New Roman"/>
                    </w:rPr>
                    <w:t>4.4</w:t>
                  </w:r>
                  <w:r>
                    <w:rPr>
                      <w:rFonts w:cs="Times New Roman"/>
                    </w:rPr>
                    <w:t>、本项目不涉及固废预处理，无产生异味的预处理车间，本次协同处置的污染土及污泥无需预处理，满足进厂标准后投入水泥窑。</w:t>
                  </w:r>
                </w:p>
                <w:p w14:paraId="35BA9BA3" w14:textId="77777777" w:rsidR="00F76A63" w:rsidRDefault="00000000">
                  <w:pPr>
                    <w:pStyle w:val="affff8"/>
                    <w:rPr>
                      <w:rFonts w:cs="Times New Roman"/>
                    </w:rPr>
                  </w:pPr>
                  <w:r>
                    <w:rPr>
                      <w:rFonts w:cs="Times New Roman"/>
                    </w:rPr>
                    <w:t>4.5</w:t>
                  </w:r>
                  <w:r>
                    <w:rPr>
                      <w:rFonts w:cs="Times New Roman"/>
                    </w:rPr>
                    <w:t>、本项目不涉及协同处置危险废物。</w:t>
                  </w:r>
                </w:p>
                <w:p w14:paraId="52F17A08" w14:textId="77777777" w:rsidR="00F76A63" w:rsidRDefault="00000000">
                  <w:pPr>
                    <w:pStyle w:val="affff8"/>
                    <w:rPr>
                      <w:rFonts w:cs="Times New Roman"/>
                    </w:rPr>
                  </w:pPr>
                  <w:r>
                    <w:rPr>
                      <w:rFonts w:cs="Times New Roman"/>
                    </w:rPr>
                    <w:t>4.6</w:t>
                  </w:r>
                  <w:r>
                    <w:rPr>
                      <w:rFonts w:cs="Times New Roman"/>
                    </w:rPr>
                    <w:t>、本项目无废水排放</w:t>
                  </w:r>
                  <w:r>
                    <w:rPr>
                      <w:rFonts w:cs="Times New Roman" w:hint="eastAsia"/>
                    </w:rPr>
                    <w:t>，污染土贮存过程产生的少量渗滤液，经集水沟统一收集至原水池和生产废水</w:t>
                  </w:r>
                  <w:r>
                    <w:rPr>
                      <w:rFonts w:cs="Times New Roman" w:hint="eastAsia"/>
                    </w:rPr>
                    <w:lastRenderedPageBreak/>
                    <w:t>一起经中水处理系统处理，不外排，全部回用；现有生产废水冷却后回到循环冷却水池，回用于生产；现有生活污水经台泥厂区化粪池预处理后接管句容市下蜀污水处理有限公司集中处理，处理达标后排入老便民河</w:t>
                  </w:r>
                  <w:r>
                    <w:rPr>
                      <w:rFonts w:cs="Times New Roman"/>
                    </w:rPr>
                    <w:t>。</w:t>
                  </w:r>
                </w:p>
              </w:tc>
              <w:tc>
                <w:tcPr>
                  <w:tcW w:w="720" w:type="dxa"/>
                  <w:tcBorders>
                    <w:top w:val="single" w:sz="4" w:space="0" w:color="auto"/>
                    <w:left w:val="single" w:sz="4" w:space="0" w:color="auto"/>
                    <w:bottom w:val="single" w:sz="4" w:space="0" w:color="auto"/>
                    <w:right w:val="nil"/>
                  </w:tcBorders>
                  <w:vAlign w:val="center"/>
                </w:tcPr>
                <w:p w14:paraId="14E35921" w14:textId="77777777" w:rsidR="00F76A63" w:rsidRDefault="00000000">
                  <w:pPr>
                    <w:pStyle w:val="affff8"/>
                    <w:rPr>
                      <w:rFonts w:cs="Times New Roman"/>
                    </w:rPr>
                  </w:pPr>
                  <w:r>
                    <w:rPr>
                      <w:rFonts w:cs="Times New Roman"/>
                    </w:rPr>
                    <w:lastRenderedPageBreak/>
                    <w:t>符合</w:t>
                  </w:r>
                </w:p>
              </w:tc>
            </w:tr>
            <w:tr w:rsidR="00F76A63" w14:paraId="0056CF63"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362CEE0A"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74B4CE45" w14:textId="77777777" w:rsidR="00F76A63" w:rsidRDefault="00000000">
                  <w:pPr>
                    <w:pStyle w:val="affff8"/>
                    <w:rPr>
                      <w:rFonts w:cs="Times New Roman"/>
                    </w:rPr>
                  </w:pPr>
                  <w:r>
                    <w:rPr>
                      <w:rFonts w:cs="Times New Roman"/>
                    </w:rPr>
                    <w:t>6.2</w:t>
                  </w:r>
                  <w:r>
                    <w:rPr>
                      <w:rFonts w:cs="Times New Roman"/>
                    </w:rPr>
                    <w:t>厂区内的总图设计</w:t>
                  </w:r>
                </w:p>
                <w:p w14:paraId="575A28B2" w14:textId="77777777" w:rsidR="00F76A63" w:rsidRDefault="00000000">
                  <w:pPr>
                    <w:pStyle w:val="affff8"/>
                    <w:rPr>
                      <w:rFonts w:cs="Times New Roman"/>
                    </w:rPr>
                  </w:pPr>
                  <w:r>
                    <w:rPr>
                      <w:rFonts w:cs="Times New Roman"/>
                    </w:rPr>
                    <w:t>6.2.1</w:t>
                  </w:r>
                  <w:r>
                    <w:rPr>
                      <w:rFonts w:cs="Times New Roman"/>
                    </w:rPr>
                    <w:t>工业废物的预处理及共焚烧车间的总图设计，应根据依托水泥生产线的生产、运输、环境保护、职业卫生与劳动安全、职工生活，以及电力、通信、热力、给排水、污水处理、防洪和排涝等设施，经多方案综合比较后确定。</w:t>
                  </w:r>
                </w:p>
                <w:p w14:paraId="38D829C7" w14:textId="77777777" w:rsidR="00F76A63" w:rsidRDefault="00000000">
                  <w:pPr>
                    <w:pStyle w:val="affff8"/>
                    <w:rPr>
                      <w:rFonts w:cs="Times New Roman"/>
                    </w:rPr>
                  </w:pPr>
                  <w:r>
                    <w:rPr>
                      <w:rFonts w:cs="Times New Roman"/>
                    </w:rPr>
                    <w:t>6.2.2</w:t>
                  </w:r>
                  <w:r>
                    <w:rPr>
                      <w:rFonts w:cs="Times New Roman"/>
                    </w:rPr>
                    <w:t>人流和物流的出入口设置应符合城市交通的有关要求，并应实现人流和物流分离，同时应方便工业废物运输车进出。</w:t>
                  </w:r>
                </w:p>
                <w:p w14:paraId="57C78D76" w14:textId="77777777" w:rsidR="00F76A63" w:rsidRDefault="00000000">
                  <w:pPr>
                    <w:pStyle w:val="affff8"/>
                    <w:rPr>
                      <w:rFonts w:cs="Times New Roman"/>
                    </w:rPr>
                  </w:pPr>
                  <w:r>
                    <w:rPr>
                      <w:rFonts w:cs="Times New Roman"/>
                    </w:rPr>
                    <w:t>6.2.3</w:t>
                  </w:r>
                  <w:r>
                    <w:rPr>
                      <w:rFonts w:cs="Times New Roman"/>
                    </w:rPr>
                    <w:t>生产和生活服务等辅助设施应利用水泥生产线的公用设施，并可根据社会化服务原则利用当地的公用设施。</w:t>
                  </w:r>
                </w:p>
                <w:p w14:paraId="1D8ABD5D" w14:textId="77777777" w:rsidR="00F76A63" w:rsidRDefault="00000000">
                  <w:pPr>
                    <w:pStyle w:val="affff8"/>
                    <w:rPr>
                      <w:rFonts w:cs="Times New Roman"/>
                    </w:rPr>
                  </w:pPr>
                  <w:r>
                    <w:rPr>
                      <w:rFonts w:cs="Times New Roman"/>
                    </w:rPr>
                    <w:t>6.2.4</w:t>
                  </w:r>
                  <w:r>
                    <w:rPr>
                      <w:rFonts w:cs="Times New Roman"/>
                    </w:rPr>
                    <w:t>预处理车间及储存设施应设置带标识的分隔装置，危险废物物流的出入口以及接收、储存、转运和处置场所等主要设施的设置，应与水泥生产设施隔离，并应设置危险废物标识。</w:t>
                  </w:r>
                </w:p>
                <w:p w14:paraId="6E8F55ED" w14:textId="77777777" w:rsidR="00F76A63" w:rsidRDefault="00000000">
                  <w:pPr>
                    <w:pStyle w:val="affff8"/>
                    <w:rPr>
                      <w:rFonts w:cs="Times New Roman"/>
                    </w:rPr>
                  </w:pPr>
                  <w:r>
                    <w:rPr>
                      <w:rFonts w:cs="Times New Roman"/>
                    </w:rPr>
                    <w:t>6.2.5</w:t>
                  </w:r>
                  <w:r>
                    <w:rPr>
                      <w:rFonts w:cs="Times New Roman"/>
                    </w:rPr>
                    <w:t>工业废物的接收计量应采用水泥生产线的汽车衡计量；如需要单独设置汽车衡，应将汽车衡设在废物接收的入口处，且宜为直通式，并应具备通视条件。汽车衡与废物储存、接收设施的距离应大于</w:t>
                  </w:r>
                  <w:r>
                    <w:rPr>
                      <w:rFonts w:cs="Times New Roman"/>
                    </w:rPr>
                    <w:t>1</w:t>
                  </w:r>
                  <w:r>
                    <w:rPr>
                      <w:rFonts w:cs="Times New Roman"/>
                    </w:rPr>
                    <w:t>辆最长车的长度。</w:t>
                  </w:r>
                </w:p>
                <w:p w14:paraId="0BE04755" w14:textId="77777777" w:rsidR="00F76A63" w:rsidRDefault="00000000">
                  <w:pPr>
                    <w:pStyle w:val="affff8"/>
                    <w:rPr>
                      <w:rFonts w:cs="Times New Roman"/>
                    </w:rPr>
                  </w:pPr>
                  <w:r>
                    <w:rPr>
                      <w:rFonts w:cs="Times New Roman"/>
                    </w:rPr>
                    <w:t>6.2.6</w:t>
                  </w:r>
                  <w:r>
                    <w:rPr>
                      <w:rFonts w:cs="Times New Roman"/>
                    </w:rPr>
                    <w:t>废物运输车辆的洗车设施应单独设置，应根据危险废物的洗车污水用量单独设置水处理系统。</w:t>
                  </w:r>
                </w:p>
              </w:tc>
              <w:tc>
                <w:tcPr>
                  <w:tcW w:w="4692" w:type="dxa"/>
                  <w:tcBorders>
                    <w:top w:val="single" w:sz="4" w:space="0" w:color="auto"/>
                    <w:left w:val="single" w:sz="4" w:space="0" w:color="auto"/>
                    <w:bottom w:val="single" w:sz="4" w:space="0" w:color="auto"/>
                    <w:right w:val="single" w:sz="4" w:space="0" w:color="auto"/>
                  </w:tcBorders>
                  <w:vAlign w:val="center"/>
                </w:tcPr>
                <w:p w14:paraId="361D4073" w14:textId="77777777" w:rsidR="00F76A63" w:rsidRDefault="00000000">
                  <w:pPr>
                    <w:pStyle w:val="affff8"/>
                    <w:rPr>
                      <w:rFonts w:cs="Times New Roman"/>
                    </w:rPr>
                  </w:pPr>
                  <w:r>
                    <w:rPr>
                      <w:rFonts w:cs="Times New Roman"/>
                    </w:rPr>
                    <w:t>1</w:t>
                  </w:r>
                  <w:r>
                    <w:rPr>
                      <w:rFonts w:cs="Times New Roman"/>
                    </w:rPr>
                    <w:t>、本项目不涉及工业废物预处理，本项目涉及的污染土及污泥均为无机物，无需预处理，满足进厂标准后投入水泥窑。</w:t>
                  </w:r>
                </w:p>
                <w:p w14:paraId="1B3E5AF0" w14:textId="77777777" w:rsidR="00F76A63" w:rsidRDefault="00000000">
                  <w:pPr>
                    <w:pStyle w:val="affff8"/>
                    <w:rPr>
                      <w:rFonts w:cs="Times New Roman"/>
                    </w:rPr>
                  </w:pPr>
                  <w:r>
                    <w:rPr>
                      <w:rFonts w:cs="Times New Roman"/>
                    </w:rPr>
                    <w:t>2</w:t>
                  </w:r>
                  <w:r>
                    <w:rPr>
                      <w:rFonts w:cs="Times New Roman"/>
                    </w:rPr>
                    <w:t>、人流和物流的出入口设置符合城市交通的有关要求，在设计中，实现人流和物流分离。</w:t>
                  </w:r>
                </w:p>
                <w:p w14:paraId="423376E3" w14:textId="77777777" w:rsidR="00F76A63" w:rsidRDefault="00000000">
                  <w:pPr>
                    <w:pStyle w:val="affff8"/>
                    <w:rPr>
                      <w:rFonts w:cs="Times New Roman"/>
                    </w:rPr>
                  </w:pPr>
                  <w:r>
                    <w:rPr>
                      <w:rFonts w:cs="Times New Roman"/>
                    </w:rPr>
                    <w:t>3</w:t>
                  </w:r>
                  <w:r>
                    <w:rPr>
                      <w:rFonts w:cs="Times New Roman"/>
                    </w:rPr>
                    <w:t>、生产和生活服务等辅助设施利用水泥生产线的公用设施。</w:t>
                  </w:r>
                </w:p>
                <w:p w14:paraId="4B64CA2A" w14:textId="77777777" w:rsidR="00F76A63" w:rsidRDefault="00000000">
                  <w:pPr>
                    <w:pStyle w:val="affff8"/>
                    <w:rPr>
                      <w:rFonts w:cs="Times New Roman"/>
                    </w:rPr>
                  </w:pPr>
                  <w:r>
                    <w:rPr>
                      <w:rFonts w:cs="Times New Roman"/>
                    </w:rPr>
                    <w:t>4</w:t>
                  </w:r>
                  <w:r>
                    <w:rPr>
                      <w:rFonts w:cs="Times New Roman"/>
                    </w:rPr>
                    <w:t>、本项目不涉及固废的预处理，本项目涉及的污染土及污泥均为无机物，无需预处理，满足进厂标准后投入水泥窑。</w:t>
                  </w:r>
                </w:p>
                <w:p w14:paraId="74AC9614" w14:textId="77777777" w:rsidR="00F76A63" w:rsidRDefault="00000000">
                  <w:pPr>
                    <w:pStyle w:val="affff8"/>
                    <w:rPr>
                      <w:rFonts w:cs="Times New Roman"/>
                    </w:rPr>
                  </w:pPr>
                  <w:r>
                    <w:rPr>
                      <w:rFonts w:cs="Times New Roman"/>
                    </w:rPr>
                    <w:t>5</w:t>
                  </w:r>
                  <w:r>
                    <w:rPr>
                      <w:rFonts w:cs="Times New Roman"/>
                    </w:rPr>
                    <w:t>、本项目利用现有水泥生产线的汽车衡计量，用于工业废物的接收、计量，汽车衡与废物储存、接收设施的距离大于</w:t>
                  </w:r>
                  <w:r>
                    <w:rPr>
                      <w:rFonts w:cs="Times New Roman"/>
                    </w:rPr>
                    <w:t>1</w:t>
                  </w:r>
                  <w:r>
                    <w:rPr>
                      <w:rFonts w:cs="Times New Roman"/>
                    </w:rPr>
                    <w:t>辆最长车的长度。</w:t>
                  </w:r>
                </w:p>
                <w:p w14:paraId="1C0681E4" w14:textId="77777777" w:rsidR="00F76A63" w:rsidRDefault="00000000">
                  <w:pPr>
                    <w:pStyle w:val="affff8"/>
                    <w:rPr>
                      <w:rFonts w:cs="Times New Roman"/>
                    </w:rPr>
                  </w:pPr>
                  <w:r>
                    <w:rPr>
                      <w:rFonts w:cs="Times New Roman"/>
                    </w:rPr>
                    <w:t>6</w:t>
                  </w:r>
                  <w:r>
                    <w:rPr>
                      <w:rFonts w:cs="Times New Roman"/>
                    </w:rPr>
                    <w:t>、本项目设置单独洗车设施并配备水处理系统。</w:t>
                  </w:r>
                </w:p>
              </w:tc>
              <w:tc>
                <w:tcPr>
                  <w:tcW w:w="720" w:type="dxa"/>
                  <w:tcBorders>
                    <w:top w:val="single" w:sz="4" w:space="0" w:color="auto"/>
                    <w:left w:val="single" w:sz="4" w:space="0" w:color="auto"/>
                    <w:bottom w:val="single" w:sz="4" w:space="0" w:color="auto"/>
                    <w:right w:val="nil"/>
                  </w:tcBorders>
                  <w:vAlign w:val="center"/>
                </w:tcPr>
                <w:p w14:paraId="40B1CEC9" w14:textId="77777777" w:rsidR="00F76A63" w:rsidRDefault="00000000">
                  <w:pPr>
                    <w:pStyle w:val="affff8"/>
                    <w:rPr>
                      <w:rFonts w:cs="Times New Roman"/>
                    </w:rPr>
                  </w:pPr>
                  <w:r>
                    <w:rPr>
                      <w:rFonts w:cs="Times New Roman"/>
                    </w:rPr>
                    <w:t>符合</w:t>
                  </w:r>
                </w:p>
              </w:tc>
            </w:tr>
            <w:tr w:rsidR="00F76A63" w14:paraId="28D885A3"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1D5EBEB1"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56C648D8" w14:textId="77777777" w:rsidR="00F76A63" w:rsidRDefault="00000000">
                  <w:pPr>
                    <w:pStyle w:val="affff8"/>
                    <w:rPr>
                      <w:rFonts w:cs="Times New Roman"/>
                    </w:rPr>
                  </w:pPr>
                  <w:r>
                    <w:rPr>
                      <w:rFonts w:cs="Times New Roman"/>
                    </w:rPr>
                    <w:t>6.3</w:t>
                  </w:r>
                  <w:r>
                    <w:rPr>
                      <w:rFonts w:cs="Times New Roman"/>
                    </w:rPr>
                    <w:t>厂区道路设计要求</w:t>
                  </w:r>
                </w:p>
                <w:p w14:paraId="0FE565B5" w14:textId="77777777" w:rsidR="00F76A63" w:rsidRDefault="00000000">
                  <w:pPr>
                    <w:pStyle w:val="affff8"/>
                    <w:rPr>
                      <w:rFonts w:cs="Times New Roman"/>
                    </w:rPr>
                  </w:pPr>
                  <w:r>
                    <w:rPr>
                      <w:rFonts w:cs="Times New Roman"/>
                    </w:rPr>
                    <w:t>6.3.1</w:t>
                  </w:r>
                  <w:r>
                    <w:rPr>
                      <w:rFonts w:cs="Times New Roman"/>
                    </w:rPr>
                    <w:t>厂内道路应根据工厂规模、运输要求、管线布置要求等合理确定，厂区道路的设置应满足交通运输、消防及各种管线的敷设要求。</w:t>
                  </w:r>
                </w:p>
                <w:p w14:paraId="6E7B7F0F" w14:textId="77777777" w:rsidR="00F76A63" w:rsidRDefault="00000000">
                  <w:pPr>
                    <w:pStyle w:val="affff8"/>
                    <w:rPr>
                      <w:rFonts w:cs="Times New Roman"/>
                    </w:rPr>
                  </w:pPr>
                  <w:r>
                    <w:rPr>
                      <w:rFonts w:cs="Times New Roman"/>
                    </w:rPr>
                    <w:t>6.3.2</w:t>
                  </w:r>
                  <w:r>
                    <w:rPr>
                      <w:rFonts w:cs="Times New Roman"/>
                    </w:rPr>
                    <w:t>厂区主要道路的行车路面宽度不宜小于</w:t>
                  </w:r>
                  <w:r>
                    <w:rPr>
                      <w:rFonts w:cs="Times New Roman"/>
                    </w:rPr>
                    <w:t>6m</w:t>
                  </w:r>
                  <w:r>
                    <w:rPr>
                      <w:rFonts w:cs="Times New Roman"/>
                    </w:rPr>
                    <w:t>，车行道宜设环形道路。工业废物预处理车间及储存接收设施处应设消防道路，道路的宽度不应小于</w:t>
                  </w:r>
                  <w:r>
                    <w:rPr>
                      <w:rFonts w:cs="Times New Roman"/>
                    </w:rPr>
                    <w:t>4m</w:t>
                  </w:r>
                  <w:r>
                    <w:rPr>
                      <w:rFonts w:cs="Times New Roman"/>
                    </w:rPr>
                    <w:t>。路面宜采用水泥混凝土或沥青混凝土，道路的荷载等级应符合现行国家标准《厂矿道路设计规范》</w:t>
                  </w:r>
                  <w:r>
                    <w:rPr>
                      <w:rFonts w:cs="Times New Roman"/>
                    </w:rPr>
                    <w:t>GBJ22</w:t>
                  </w:r>
                  <w:r>
                    <w:rPr>
                      <w:rFonts w:cs="Times New Roman"/>
                    </w:rPr>
                    <w:t>的有关规定。</w:t>
                  </w:r>
                </w:p>
                <w:p w14:paraId="12C64608" w14:textId="77777777" w:rsidR="00F76A63" w:rsidRDefault="00000000">
                  <w:pPr>
                    <w:pStyle w:val="affff8"/>
                    <w:rPr>
                      <w:rFonts w:cs="Times New Roman"/>
                    </w:rPr>
                  </w:pPr>
                  <w:r>
                    <w:rPr>
                      <w:rFonts w:cs="Times New Roman"/>
                    </w:rPr>
                    <w:t>6.3.3</w:t>
                  </w:r>
                  <w:r>
                    <w:rPr>
                      <w:rFonts w:cs="Times New Roman"/>
                    </w:rPr>
                    <w:t>厂区内应设运输车辆的临时停车场地。临时停车场地应设置在物流出入口及工业废物接收设施附近。</w:t>
                  </w:r>
                </w:p>
                <w:p w14:paraId="5B7963D1" w14:textId="77777777" w:rsidR="00F76A63" w:rsidRDefault="00000000">
                  <w:pPr>
                    <w:pStyle w:val="affff8"/>
                    <w:rPr>
                      <w:rFonts w:cs="Times New Roman"/>
                    </w:rPr>
                  </w:pPr>
                  <w:r>
                    <w:rPr>
                      <w:rFonts w:cs="Times New Roman"/>
                    </w:rPr>
                    <w:t>6.3.4</w:t>
                  </w:r>
                  <w:r>
                    <w:rPr>
                      <w:rFonts w:cs="Times New Roman"/>
                    </w:rPr>
                    <w:t>道路转弯半径与作业场地面积应按各功能区内通行的最大规模车型确定。</w:t>
                  </w:r>
                </w:p>
              </w:tc>
              <w:tc>
                <w:tcPr>
                  <w:tcW w:w="4692" w:type="dxa"/>
                  <w:tcBorders>
                    <w:top w:val="single" w:sz="4" w:space="0" w:color="auto"/>
                    <w:left w:val="single" w:sz="4" w:space="0" w:color="auto"/>
                    <w:bottom w:val="single" w:sz="4" w:space="0" w:color="auto"/>
                    <w:right w:val="single" w:sz="4" w:space="0" w:color="auto"/>
                  </w:tcBorders>
                  <w:vAlign w:val="center"/>
                </w:tcPr>
                <w:p w14:paraId="5AF72AA2" w14:textId="77777777" w:rsidR="00F76A63" w:rsidRDefault="00000000">
                  <w:pPr>
                    <w:pStyle w:val="affff8"/>
                    <w:rPr>
                      <w:rFonts w:cs="Times New Roman"/>
                    </w:rPr>
                  </w:pPr>
                  <w:r>
                    <w:rPr>
                      <w:rFonts w:cs="Times New Roman"/>
                    </w:rPr>
                    <w:t>1</w:t>
                  </w:r>
                  <w:r>
                    <w:rPr>
                      <w:rFonts w:cs="Times New Roman"/>
                    </w:rPr>
                    <w:t>、本项目依托现有厂区及水泥窑，厂区道路的设置应满足交通运输、消防及各种管线的敷设要求。</w:t>
                  </w:r>
                </w:p>
                <w:p w14:paraId="572B5D4B" w14:textId="77777777" w:rsidR="00F76A63" w:rsidRDefault="00000000">
                  <w:pPr>
                    <w:pStyle w:val="affff8"/>
                    <w:rPr>
                      <w:rFonts w:cs="Times New Roman"/>
                    </w:rPr>
                  </w:pPr>
                  <w:r>
                    <w:rPr>
                      <w:rFonts w:cs="Times New Roman"/>
                    </w:rPr>
                    <w:t>2</w:t>
                  </w:r>
                  <w:r>
                    <w:rPr>
                      <w:rFonts w:cs="Times New Roman"/>
                    </w:rPr>
                    <w:t>、厂区主要道路的行车路面宽度不小于</w:t>
                  </w:r>
                  <w:r>
                    <w:rPr>
                      <w:rFonts w:cs="Times New Roman"/>
                    </w:rPr>
                    <w:t>6m</w:t>
                  </w:r>
                  <w:r>
                    <w:rPr>
                      <w:rFonts w:cs="Times New Roman"/>
                    </w:rPr>
                    <w:t>，车行道设环形道路。本项目涉及的污染土及污泥均为无机物，无需预处理，满足进厂标准后投入水泥窑。</w:t>
                  </w:r>
                </w:p>
                <w:p w14:paraId="35A6FB49" w14:textId="77777777" w:rsidR="00F76A63" w:rsidRDefault="00000000">
                  <w:pPr>
                    <w:pStyle w:val="affff8"/>
                    <w:rPr>
                      <w:rFonts w:cs="Times New Roman"/>
                    </w:rPr>
                  </w:pPr>
                  <w:r>
                    <w:rPr>
                      <w:rFonts w:cs="Times New Roman"/>
                    </w:rPr>
                    <w:t>3</w:t>
                  </w:r>
                  <w:r>
                    <w:rPr>
                      <w:rFonts w:cs="Times New Roman"/>
                    </w:rPr>
                    <w:t>、废物接收设施附近设运输车辆的停车场地。</w:t>
                  </w:r>
                </w:p>
                <w:p w14:paraId="6202EEB8" w14:textId="77777777" w:rsidR="00F76A63" w:rsidRDefault="00000000">
                  <w:pPr>
                    <w:pStyle w:val="affff8"/>
                    <w:rPr>
                      <w:rFonts w:cs="Times New Roman"/>
                      <w:highlight w:val="yellow"/>
                    </w:rPr>
                  </w:pPr>
                  <w:r>
                    <w:rPr>
                      <w:rFonts w:cs="Times New Roman"/>
                    </w:rPr>
                    <w:t>4</w:t>
                  </w:r>
                  <w:r>
                    <w:rPr>
                      <w:rFonts w:cs="Times New Roman"/>
                    </w:rPr>
                    <w:t>、本项目按各功能区内通行的最大规模车型确定道路转弯半径与作业场地面积。</w:t>
                  </w:r>
                </w:p>
              </w:tc>
              <w:tc>
                <w:tcPr>
                  <w:tcW w:w="720" w:type="dxa"/>
                  <w:tcBorders>
                    <w:top w:val="single" w:sz="4" w:space="0" w:color="auto"/>
                    <w:left w:val="single" w:sz="4" w:space="0" w:color="auto"/>
                    <w:bottom w:val="single" w:sz="4" w:space="0" w:color="auto"/>
                    <w:right w:val="nil"/>
                  </w:tcBorders>
                  <w:vAlign w:val="center"/>
                </w:tcPr>
                <w:p w14:paraId="258CE276" w14:textId="77777777" w:rsidR="00F76A63" w:rsidRDefault="00000000">
                  <w:pPr>
                    <w:pStyle w:val="affff8"/>
                    <w:rPr>
                      <w:rFonts w:cs="Times New Roman"/>
                    </w:rPr>
                  </w:pPr>
                  <w:r>
                    <w:rPr>
                      <w:rFonts w:cs="Times New Roman"/>
                    </w:rPr>
                    <w:t>符合</w:t>
                  </w:r>
                </w:p>
              </w:tc>
            </w:tr>
            <w:tr w:rsidR="00F76A63" w14:paraId="32D46CC0" w14:textId="77777777">
              <w:trPr>
                <w:trHeight w:val="340"/>
                <w:jc w:val="center"/>
              </w:trPr>
              <w:tc>
                <w:tcPr>
                  <w:tcW w:w="1069" w:type="dxa"/>
                  <w:vMerge w:val="restart"/>
                  <w:tcBorders>
                    <w:top w:val="single" w:sz="4" w:space="0" w:color="auto"/>
                    <w:left w:val="nil"/>
                    <w:bottom w:val="single" w:sz="4" w:space="0" w:color="auto"/>
                    <w:right w:val="single" w:sz="4" w:space="0" w:color="auto"/>
                  </w:tcBorders>
                  <w:vAlign w:val="center"/>
                </w:tcPr>
                <w:p w14:paraId="158B7D9B" w14:textId="77777777" w:rsidR="00F76A63" w:rsidRDefault="00000000">
                  <w:pPr>
                    <w:pStyle w:val="affff8"/>
                    <w:rPr>
                      <w:rFonts w:cs="Times New Roman"/>
                    </w:rPr>
                  </w:pPr>
                  <w:r>
                    <w:rPr>
                      <w:rFonts w:cs="Times New Roman"/>
                    </w:rPr>
                    <w:t>7</w:t>
                  </w:r>
                  <w:r>
                    <w:rPr>
                      <w:rFonts w:cs="Times New Roman"/>
                    </w:rPr>
                    <w:t>、工业废物的接收、运输和贮存</w:t>
                  </w:r>
                </w:p>
              </w:tc>
              <w:tc>
                <w:tcPr>
                  <w:tcW w:w="5458" w:type="dxa"/>
                  <w:tcBorders>
                    <w:top w:val="single" w:sz="4" w:space="0" w:color="auto"/>
                    <w:left w:val="single" w:sz="4" w:space="0" w:color="auto"/>
                    <w:bottom w:val="single" w:sz="4" w:space="0" w:color="auto"/>
                    <w:right w:val="single" w:sz="4" w:space="0" w:color="auto"/>
                  </w:tcBorders>
                  <w:vAlign w:val="center"/>
                </w:tcPr>
                <w:p w14:paraId="235E7069" w14:textId="77777777" w:rsidR="00F76A63" w:rsidRDefault="00000000">
                  <w:pPr>
                    <w:pStyle w:val="affff8"/>
                    <w:rPr>
                      <w:rFonts w:cs="Times New Roman"/>
                    </w:rPr>
                  </w:pPr>
                  <w:r>
                    <w:rPr>
                      <w:rFonts w:cs="Times New Roman"/>
                    </w:rPr>
                    <w:t>7.1</w:t>
                  </w:r>
                  <w:r>
                    <w:rPr>
                      <w:rFonts w:cs="Times New Roman"/>
                    </w:rPr>
                    <w:t>工业废物的接收</w:t>
                  </w:r>
                </w:p>
                <w:p w14:paraId="790B4275" w14:textId="77777777" w:rsidR="00F76A63" w:rsidRDefault="00000000">
                  <w:pPr>
                    <w:pStyle w:val="affff8"/>
                    <w:rPr>
                      <w:rFonts w:cs="Times New Roman"/>
                    </w:rPr>
                  </w:pPr>
                  <w:r>
                    <w:rPr>
                      <w:rFonts w:cs="Times New Roman"/>
                    </w:rPr>
                    <w:t>7.1.1</w:t>
                  </w:r>
                  <w:r>
                    <w:rPr>
                      <w:rFonts w:cs="Times New Roman"/>
                    </w:rPr>
                    <w:t>工业废物的接收应进行计量，计量站旁应设置抽样检查停车检查区，并宜与水泥生产线物料计量设施共用。</w:t>
                  </w:r>
                </w:p>
                <w:p w14:paraId="40018C4C" w14:textId="77777777" w:rsidR="00F76A63" w:rsidRDefault="00000000">
                  <w:pPr>
                    <w:pStyle w:val="affff8"/>
                    <w:rPr>
                      <w:rFonts w:cs="Times New Roman"/>
                    </w:rPr>
                  </w:pPr>
                  <w:r>
                    <w:rPr>
                      <w:rFonts w:cs="Times New Roman"/>
                    </w:rPr>
                    <w:t>7.1.2</w:t>
                  </w:r>
                  <w:r>
                    <w:rPr>
                      <w:rFonts w:cs="Times New Roman"/>
                    </w:rPr>
                    <w:t>单独设置工业废物计量汽车衡时，汽车衡的规格宜按运输车最大满载重量的</w:t>
                  </w:r>
                  <w:r>
                    <w:rPr>
                      <w:rFonts w:cs="Times New Roman"/>
                    </w:rPr>
                    <w:t>1.7</w:t>
                  </w:r>
                  <w:r>
                    <w:rPr>
                      <w:rFonts w:cs="Times New Roman"/>
                    </w:rPr>
                    <w:t>倍设置。</w:t>
                  </w:r>
                </w:p>
                <w:p w14:paraId="16701AF3" w14:textId="77777777" w:rsidR="00F76A63" w:rsidRDefault="00000000">
                  <w:pPr>
                    <w:pStyle w:val="affff8"/>
                    <w:rPr>
                      <w:rFonts w:cs="Times New Roman"/>
                    </w:rPr>
                  </w:pPr>
                  <w:r>
                    <w:rPr>
                      <w:rFonts w:cs="Times New Roman"/>
                    </w:rPr>
                    <w:t>7.1.3</w:t>
                  </w:r>
                  <w:r>
                    <w:rPr>
                      <w:rFonts w:cs="Times New Roman"/>
                    </w:rPr>
                    <w:t>厂区内部工业废物的卸装料作业区及转运站，宜布置在厂区内远离建筑物的一侧。</w:t>
                  </w:r>
                </w:p>
                <w:p w14:paraId="65C69FDC" w14:textId="77777777" w:rsidR="00F76A63" w:rsidRDefault="00000000">
                  <w:pPr>
                    <w:pStyle w:val="affff8"/>
                    <w:rPr>
                      <w:rFonts w:cs="Times New Roman"/>
                    </w:rPr>
                  </w:pPr>
                  <w:r>
                    <w:rPr>
                      <w:rFonts w:cs="Times New Roman"/>
                    </w:rPr>
                    <w:t>7.1.4</w:t>
                  </w:r>
                  <w:r>
                    <w:rPr>
                      <w:rFonts w:cs="Times New Roman"/>
                    </w:rPr>
                    <w:t>工业废物或可产生挥发性气体的一般工业废物的卸料空间，应采用密封的构筑物或建筑物，并应配置通风、降尘、除臭系统，同时应保持系统与车辆卸料动作联动。</w:t>
                  </w:r>
                </w:p>
                <w:p w14:paraId="0FEFB4FC" w14:textId="77777777" w:rsidR="00F76A63" w:rsidRDefault="00000000">
                  <w:pPr>
                    <w:pStyle w:val="affff8"/>
                    <w:rPr>
                      <w:rFonts w:cs="Times New Roman"/>
                    </w:rPr>
                  </w:pPr>
                  <w:r>
                    <w:rPr>
                      <w:rFonts w:cs="Times New Roman"/>
                    </w:rPr>
                    <w:t>7.1.5</w:t>
                  </w:r>
                  <w:r>
                    <w:rPr>
                      <w:rFonts w:cs="Times New Roman"/>
                    </w:rPr>
                    <w:t>工业废物进厂应设置质量检验。</w:t>
                  </w:r>
                </w:p>
                <w:p w14:paraId="79FED6E6" w14:textId="77777777" w:rsidR="00F76A63" w:rsidRDefault="00000000">
                  <w:pPr>
                    <w:pStyle w:val="affff8"/>
                    <w:rPr>
                      <w:rFonts w:cs="Times New Roman"/>
                    </w:rPr>
                  </w:pPr>
                  <w:r>
                    <w:rPr>
                      <w:rFonts w:cs="Times New Roman"/>
                    </w:rPr>
                    <w:t>7.1.6</w:t>
                  </w:r>
                  <w:r>
                    <w:rPr>
                      <w:rFonts w:cs="Times New Roman"/>
                    </w:rPr>
                    <w:t>工业废物卸料、转运作业区应设置车辆作业指示标牌和安全警示标志。</w:t>
                  </w:r>
                </w:p>
              </w:tc>
              <w:tc>
                <w:tcPr>
                  <w:tcW w:w="4692" w:type="dxa"/>
                  <w:tcBorders>
                    <w:top w:val="single" w:sz="4" w:space="0" w:color="auto"/>
                    <w:left w:val="single" w:sz="4" w:space="0" w:color="auto"/>
                    <w:bottom w:val="single" w:sz="4" w:space="0" w:color="auto"/>
                    <w:right w:val="single" w:sz="4" w:space="0" w:color="auto"/>
                  </w:tcBorders>
                  <w:vAlign w:val="center"/>
                </w:tcPr>
                <w:p w14:paraId="40872DF7" w14:textId="77777777" w:rsidR="00F76A63" w:rsidRDefault="00000000">
                  <w:pPr>
                    <w:pStyle w:val="affff8"/>
                    <w:rPr>
                      <w:rFonts w:cs="Times New Roman"/>
                    </w:rPr>
                  </w:pPr>
                  <w:r>
                    <w:rPr>
                      <w:rFonts w:cs="Times New Roman"/>
                    </w:rPr>
                    <w:t>本项目已按照要求对进厂的污染土及污泥进行接收，主要包括：</w:t>
                  </w:r>
                </w:p>
                <w:p w14:paraId="1CFB32AD" w14:textId="77777777" w:rsidR="00F76A63" w:rsidRDefault="00000000">
                  <w:pPr>
                    <w:pStyle w:val="affff8"/>
                    <w:rPr>
                      <w:rFonts w:cs="Times New Roman"/>
                    </w:rPr>
                  </w:pPr>
                  <w:r>
                    <w:rPr>
                      <w:rFonts w:cs="Times New Roman"/>
                    </w:rPr>
                    <w:t>1</w:t>
                  </w:r>
                  <w:r>
                    <w:rPr>
                      <w:rFonts w:cs="Times New Roman"/>
                    </w:rPr>
                    <w:t>、在厂区内建设进厂计量、储存等设施，在计量站旁设置抽样检查停车检查区。</w:t>
                  </w:r>
                </w:p>
                <w:p w14:paraId="6BD3D76F" w14:textId="77777777" w:rsidR="00F76A63" w:rsidRDefault="00000000">
                  <w:pPr>
                    <w:pStyle w:val="affff8"/>
                    <w:rPr>
                      <w:rFonts w:cs="Times New Roman"/>
                    </w:rPr>
                  </w:pPr>
                  <w:r>
                    <w:rPr>
                      <w:rFonts w:cs="Times New Roman"/>
                    </w:rPr>
                    <w:t>2</w:t>
                  </w:r>
                  <w:r>
                    <w:rPr>
                      <w:rFonts w:cs="Times New Roman"/>
                    </w:rPr>
                    <w:t>、建设汽车衡，用于工业废物的接收、计量，满足要求。</w:t>
                  </w:r>
                </w:p>
                <w:p w14:paraId="38FCAD31" w14:textId="77777777" w:rsidR="00F76A63" w:rsidRDefault="00000000">
                  <w:pPr>
                    <w:pStyle w:val="affff8"/>
                    <w:rPr>
                      <w:rFonts w:cs="Times New Roman"/>
                    </w:rPr>
                  </w:pPr>
                  <w:r>
                    <w:rPr>
                      <w:rFonts w:cs="Times New Roman"/>
                    </w:rPr>
                    <w:t>3</w:t>
                  </w:r>
                  <w:r>
                    <w:rPr>
                      <w:rFonts w:cs="Times New Roman"/>
                    </w:rPr>
                    <w:t>、卸、装料作业区布置在厂区内远离建筑物的一侧。</w:t>
                  </w:r>
                </w:p>
                <w:p w14:paraId="508D11FB" w14:textId="77777777" w:rsidR="00F76A63" w:rsidRDefault="00000000">
                  <w:pPr>
                    <w:pStyle w:val="affff8"/>
                    <w:rPr>
                      <w:rFonts w:cs="Times New Roman"/>
                    </w:rPr>
                  </w:pPr>
                  <w:r>
                    <w:rPr>
                      <w:rFonts w:cs="Times New Roman"/>
                    </w:rPr>
                    <w:t>4</w:t>
                  </w:r>
                  <w:r>
                    <w:rPr>
                      <w:rFonts w:cs="Times New Roman"/>
                    </w:rPr>
                    <w:t>、本次协同处置的污染土及污泥无需预处理，满足进厂标准后投入水泥窑。</w:t>
                  </w:r>
                </w:p>
                <w:p w14:paraId="4EF7BA93" w14:textId="77777777" w:rsidR="00F76A63" w:rsidRDefault="00000000">
                  <w:pPr>
                    <w:pStyle w:val="affff8"/>
                    <w:rPr>
                      <w:rFonts w:cs="Times New Roman"/>
                    </w:rPr>
                  </w:pPr>
                  <w:r>
                    <w:rPr>
                      <w:rFonts w:cs="Times New Roman"/>
                    </w:rPr>
                    <w:t>5</w:t>
                  </w:r>
                  <w:r>
                    <w:rPr>
                      <w:rFonts w:cs="Times New Roman"/>
                    </w:rPr>
                    <w:t>、入厂时对一般固废进行检查。</w:t>
                  </w:r>
                </w:p>
                <w:p w14:paraId="10BD84ED" w14:textId="77777777" w:rsidR="00F76A63" w:rsidRDefault="00000000">
                  <w:pPr>
                    <w:pStyle w:val="affff8"/>
                    <w:rPr>
                      <w:rFonts w:cs="Times New Roman"/>
                    </w:rPr>
                  </w:pPr>
                  <w:r>
                    <w:rPr>
                      <w:rFonts w:cs="Times New Roman"/>
                    </w:rPr>
                    <w:t>6</w:t>
                  </w:r>
                  <w:r>
                    <w:rPr>
                      <w:rFonts w:cs="Times New Roman"/>
                    </w:rPr>
                    <w:t>、卸料、转运作业区设置车辆作业指示标牌和安全警示标志。</w:t>
                  </w:r>
                </w:p>
              </w:tc>
              <w:tc>
                <w:tcPr>
                  <w:tcW w:w="720" w:type="dxa"/>
                  <w:tcBorders>
                    <w:top w:val="single" w:sz="4" w:space="0" w:color="auto"/>
                    <w:left w:val="single" w:sz="4" w:space="0" w:color="auto"/>
                    <w:bottom w:val="single" w:sz="4" w:space="0" w:color="auto"/>
                    <w:right w:val="nil"/>
                  </w:tcBorders>
                  <w:vAlign w:val="center"/>
                </w:tcPr>
                <w:p w14:paraId="51A144AC" w14:textId="77777777" w:rsidR="00F76A63" w:rsidRDefault="00000000">
                  <w:pPr>
                    <w:pStyle w:val="affff8"/>
                    <w:rPr>
                      <w:rFonts w:cs="Times New Roman"/>
                    </w:rPr>
                  </w:pPr>
                  <w:r>
                    <w:rPr>
                      <w:rFonts w:cs="Times New Roman"/>
                    </w:rPr>
                    <w:t>符合</w:t>
                  </w:r>
                </w:p>
              </w:tc>
            </w:tr>
            <w:tr w:rsidR="00F76A63" w14:paraId="351B78E5"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1A5CDBAB"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7763E165" w14:textId="77777777" w:rsidR="00F76A63" w:rsidRDefault="00000000">
                  <w:pPr>
                    <w:pStyle w:val="affff8"/>
                    <w:rPr>
                      <w:rFonts w:cs="Times New Roman"/>
                    </w:rPr>
                  </w:pPr>
                  <w:r>
                    <w:rPr>
                      <w:rFonts w:cs="Times New Roman"/>
                    </w:rPr>
                    <w:t>7.2</w:t>
                  </w:r>
                  <w:r>
                    <w:rPr>
                      <w:rFonts w:cs="Times New Roman"/>
                    </w:rPr>
                    <w:t>工业废物的输送</w:t>
                  </w:r>
                </w:p>
                <w:p w14:paraId="4DCADB53" w14:textId="77777777" w:rsidR="00F76A63" w:rsidRDefault="00000000">
                  <w:pPr>
                    <w:pStyle w:val="affff8"/>
                    <w:rPr>
                      <w:rFonts w:cs="Times New Roman"/>
                    </w:rPr>
                  </w:pPr>
                  <w:r>
                    <w:rPr>
                      <w:rFonts w:cs="Times New Roman"/>
                    </w:rPr>
                    <w:t>7.2.1</w:t>
                  </w:r>
                  <w:r>
                    <w:rPr>
                      <w:rFonts w:cs="Times New Roman"/>
                    </w:rPr>
                    <w:t>厂内工业废物的输送应依据工业废物的性质、输送能力、输送距离、输送高度等结合工艺布置选择输送设备。</w:t>
                  </w:r>
                </w:p>
                <w:p w14:paraId="7A4CCDE6" w14:textId="77777777" w:rsidR="00F76A63" w:rsidRDefault="00000000">
                  <w:pPr>
                    <w:pStyle w:val="affff8"/>
                    <w:rPr>
                      <w:rFonts w:cs="Times New Roman"/>
                    </w:rPr>
                  </w:pPr>
                  <w:r>
                    <w:rPr>
                      <w:rFonts w:cs="Times New Roman"/>
                    </w:rPr>
                    <w:t>7.2.2</w:t>
                  </w:r>
                  <w:r>
                    <w:rPr>
                      <w:rFonts w:cs="Times New Roman"/>
                    </w:rPr>
                    <w:t>工业废物的输送宜采用密闭方式进行，并应符合以下规定：</w:t>
                  </w:r>
                </w:p>
                <w:p w14:paraId="6F83ED15" w14:textId="77777777" w:rsidR="00F76A63" w:rsidRDefault="00000000">
                  <w:pPr>
                    <w:pStyle w:val="affff8"/>
                    <w:rPr>
                      <w:rFonts w:cs="Times New Roman"/>
                    </w:rPr>
                  </w:pPr>
                  <w:r>
                    <w:rPr>
                      <w:rFonts w:cs="Times New Roman"/>
                    </w:rPr>
                    <w:lastRenderedPageBreak/>
                    <w:t>1.</w:t>
                  </w:r>
                  <w:r>
                    <w:rPr>
                      <w:rFonts w:cs="Times New Roman"/>
                    </w:rPr>
                    <w:t>危险废物要根据其成分，用符合现行国家标准《危险废物贮存污染控制标准》</w:t>
                  </w:r>
                  <w:r>
                    <w:rPr>
                      <w:rFonts w:cs="Times New Roman" w:hint="eastAsia"/>
                    </w:rPr>
                    <w:t>（</w:t>
                  </w:r>
                  <w:r>
                    <w:rPr>
                      <w:rFonts w:cs="Times New Roman"/>
                    </w:rPr>
                    <w:t>GB18597</w:t>
                  </w:r>
                  <w:r>
                    <w:rPr>
                      <w:rFonts w:cs="Times New Roman" w:hint="eastAsia"/>
                    </w:rPr>
                    <w:t>-2023</w:t>
                  </w:r>
                  <w:r>
                    <w:rPr>
                      <w:rFonts w:cs="Times New Roman" w:hint="eastAsia"/>
                    </w:rPr>
                    <w:t>）</w:t>
                  </w:r>
                  <w:r>
                    <w:rPr>
                      <w:rFonts w:cs="Times New Roman"/>
                    </w:rPr>
                    <w:t>的专门容器分类收集输送。</w:t>
                  </w:r>
                </w:p>
                <w:p w14:paraId="332B3AA3" w14:textId="77777777" w:rsidR="00F76A63" w:rsidRDefault="00000000">
                  <w:pPr>
                    <w:pStyle w:val="affff8"/>
                    <w:rPr>
                      <w:rFonts w:cs="Times New Roman"/>
                    </w:rPr>
                  </w:pPr>
                  <w:r>
                    <w:rPr>
                      <w:rFonts w:cs="Times New Roman"/>
                    </w:rPr>
                    <w:t>2.</w:t>
                  </w:r>
                  <w:r>
                    <w:rPr>
                      <w:rFonts w:cs="Times New Roman"/>
                    </w:rPr>
                    <w:t>粉尘状的工业废物其输送转运点应设置收尘装置。</w:t>
                  </w:r>
                </w:p>
                <w:p w14:paraId="1C754A5F" w14:textId="77777777" w:rsidR="00F76A63" w:rsidRDefault="00000000">
                  <w:pPr>
                    <w:pStyle w:val="affff8"/>
                    <w:rPr>
                      <w:rFonts w:cs="Times New Roman"/>
                    </w:rPr>
                  </w:pPr>
                  <w:r>
                    <w:rPr>
                      <w:rFonts w:cs="Times New Roman"/>
                    </w:rPr>
                    <w:t>3.</w:t>
                  </w:r>
                  <w:r>
                    <w:rPr>
                      <w:rFonts w:cs="Times New Roman"/>
                    </w:rPr>
                    <w:t>有异味产生的工业废物其输送过程应设置防止异味扩散的装置。</w:t>
                  </w:r>
                </w:p>
                <w:p w14:paraId="5AB2D91B" w14:textId="77777777" w:rsidR="00F76A63" w:rsidRDefault="00000000">
                  <w:pPr>
                    <w:pStyle w:val="affff8"/>
                    <w:rPr>
                      <w:rFonts w:cs="Times New Roman"/>
                    </w:rPr>
                  </w:pPr>
                  <w:r>
                    <w:rPr>
                      <w:rFonts w:cs="Times New Roman"/>
                    </w:rPr>
                    <w:t>4.</w:t>
                  </w:r>
                  <w:r>
                    <w:rPr>
                      <w:rFonts w:cs="Times New Roman"/>
                    </w:rPr>
                    <w:t>工业废物输送过程中应采取防泄漏、防散落、防破损、防雨、防晒、防风的措施。</w:t>
                  </w:r>
                </w:p>
                <w:p w14:paraId="1A3FBC4C" w14:textId="77777777" w:rsidR="00F76A63" w:rsidRDefault="00000000">
                  <w:pPr>
                    <w:pStyle w:val="affff8"/>
                    <w:rPr>
                      <w:rFonts w:cs="Times New Roman"/>
                    </w:rPr>
                  </w:pPr>
                  <w:r>
                    <w:rPr>
                      <w:rFonts w:cs="Times New Roman"/>
                    </w:rPr>
                    <w:t>7.2.3</w:t>
                  </w:r>
                  <w:r>
                    <w:rPr>
                      <w:rFonts w:cs="Times New Roman"/>
                    </w:rPr>
                    <w:t>液态工业废物可采用管道泵送，并应符合以下规定：</w:t>
                  </w:r>
                </w:p>
                <w:p w14:paraId="1A278122" w14:textId="77777777" w:rsidR="00F76A63" w:rsidRDefault="00000000">
                  <w:pPr>
                    <w:pStyle w:val="affff8"/>
                    <w:rPr>
                      <w:rFonts w:cs="Times New Roman"/>
                    </w:rPr>
                  </w:pPr>
                  <w:r>
                    <w:rPr>
                      <w:rFonts w:cs="Times New Roman"/>
                    </w:rPr>
                    <w:t>1.</w:t>
                  </w:r>
                  <w:r>
                    <w:rPr>
                      <w:rFonts w:cs="Times New Roman"/>
                    </w:rPr>
                    <w:t>根据所输送工业废物的物理特性及所在地区的气候采取伴热管及保温处理措施。</w:t>
                  </w:r>
                </w:p>
                <w:p w14:paraId="7891C0CD" w14:textId="77777777" w:rsidR="00F76A63" w:rsidRDefault="00000000">
                  <w:pPr>
                    <w:pStyle w:val="affff8"/>
                    <w:rPr>
                      <w:rFonts w:cs="Times New Roman"/>
                    </w:rPr>
                  </w:pPr>
                  <w:r>
                    <w:rPr>
                      <w:rFonts w:cs="Times New Roman"/>
                    </w:rPr>
                    <w:t>2.</w:t>
                  </w:r>
                  <w:r>
                    <w:rPr>
                      <w:rFonts w:cs="Times New Roman"/>
                    </w:rPr>
                    <w:t>泵送管道应分段采用法兰连接，其连接段长度应按照废物的易凝结程度选择。</w:t>
                  </w:r>
                </w:p>
                <w:p w14:paraId="0A9E754F" w14:textId="77777777" w:rsidR="00F76A63" w:rsidRDefault="00000000">
                  <w:pPr>
                    <w:pStyle w:val="affff8"/>
                    <w:rPr>
                      <w:rFonts w:cs="Times New Roman"/>
                    </w:rPr>
                  </w:pPr>
                  <w:r>
                    <w:rPr>
                      <w:rFonts w:cs="Times New Roman"/>
                    </w:rPr>
                    <w:t>3.</w:t>
                  </w:r>
                  <w:r>
                    <w:rPr>
                      <w:rFonts w:cs="Times New Roman"/>
                    </w:rPr>
                    <w:t>管道泵送宜配置压缩空气伴行吹堵。</w:t>
                  </w:r>
                </w:p>
              </w:tc>
              <w:tc>
                <w:tcPr>
                  <w:tcW w:w="4692" w:type="dxa"/>
                  <w:tcBorders>
                    <w:top w:val="single" w:sz="4" w:space="0" w:color="auto"/>
                    <w:left w:val="single" w:sz="4" w:space="0" w:color="auto"/>
                    <w:bottom w:val="single" w:sz="4" w:space="0" w:color="auto"/>
                    <w:right w:val="single" w:sz="4" w:space="0" w:color="auto"/>
                  </w:tcBorders>
                  <w:vAlign w:val="center"/>
                </w:tcPr>
                <w:p w14:paraId="7C06FC7C" w14:textId="77777777" w:rsidR="00F76A63" w:rsidRDefault="00000000">
                  <w:pPr>
                    <w:pStyle w:val="affff8"/>
                    <w:rPr>
                      <w:rFonts w:cs="Times New Roman"/>
                    </w:rPr>
                  </w:pPr>
                  <w:r>
                    <w:rPr>
                      <w:rFonts w:cs="Times New Roman"/>
                    </w:rPr>
                    <w:lastRenderedPageBreak/>
                    <w:t>1</w:t>
                  </w:r>
                  <w:r>
                    <w:rPr>
                      <w:rFonts w:cs="Times New Roman"/>
                    </w:rPr>
                    <w:t>、固废输送设施依据一般固废的性质、输送能力、输送距离、输送高度等结合工艺布置选择输送设备。</w:t>
                  </w:r>
                </w:p>
                <w:p w14:paraId="3311285E" w14:textId="77777777" w:rsidR="00F76A63" w:rsidRDefault="00000000">
                  <w:pPr>
                    <w:pStyle w:val="affff8"/>
                    <w:rPr>
                      <w:rFonts w:cs="Times New Roman"/>
                    </w:rPr>
                  </w:pPr>
                  <w:r>
                    <w:rPr>
                      <w:rFonts w:cs="Times New Roman"/>
                    </w:rPr>
                    <w:t>2</w:t>
                  </w:r>
                  <w:r>
                    <w:rPr>
                      <w:rFonts w:cs="Times New Roman"/>
                    </w:rPr>
                    <w:t>、并采用密闭方式进行输送，同时</w:t>
                  </w:r>
                  <w:r>
                    <w:rPr>
                      <w:rFonts w:ascii="Cambria Math" w:hAnsi="Cambria Math" w:cs="Cambria Math"/>
                    </w:rPr>
                    <w:t>①</w:t>
                  </w:r>
                  <w:r>
                    <w:rPr>
                      <w:rFonts w:cs="Times New Roman"/>
                    </w:rPr>
                    <w:t>在卸料车间设置收尘装置；</w:t>
                  </w:r>
                  <w:r>
                    <w:rPr>
                      <w:rFonts w:ascii="Cambria Math" w:hAnsi="Cambria Math" w:cs="Cambria Math"/>
                    </w:rPr>
                    <w:t>②</w:t>
                  </w:r>
                  <w:r>
                    <w:rPr>
                      <w:rFonts w:cs="Times New Roman"/>
                    </w:rPr>
                    <w:t>对处置的一般固废进行异味气体收</w:t>
                  </w:r>
                  <w:r>
                    <w:rPr>
                      <w:rFonts w:cs="Times New Roman"/>
                    </w:rPr>
                    <w:lastRenderedPageBreak/>
                    <w:t>集处理；</w:t>
                  </w:r>
                  <w:r>
                    <w:rPr>
                      <w:rFonts w:ascii="Cambria Math" w:hAnsi="Cambria Math" w:cs="Cambria Math"/>
                    </w:rPr>
                    <w:t>③</w:t>
                  </w:r>
                  <w:r>
                    <w:rPr>
                      <w:rFonts w:cs="Times New Roman"/>
                    </w:rPr>
                    <w:t>输送过程中采取防泄漏、防散落、防破损的措施。</w:t>
                  </w:r>
                </w:p>
                <w:p w14:paraId="344679C9" w14:textId="77777777" w:rsidR="00F76A63" w:rsidRDefault="00000000">
                  <w:pPr>
                    <w:pStyle w:val="affff8"/>
                    <w:rPr>
                      <w:rFonts w:cs="Times New Roman"/>
                    </w:rPr>
                  </w:pPr>
                  <w:r>
                    <w:rPr>
                      <w:rFonts w:cs="Times New Roman"/>
                    </w:rPr>
                    <w:t>3</w:t>
                  </w:r>
                  <w:r>
                    <w:rPr>
                      <w:rFonts w:cs="Times New Roman"/>
                    </w:rPr>
                    <w:t>、协同处置的污染土及污泥不涉及液态工业废物。</w:t>
                  </w:r>
                </w:p>
              </w:tc>
              <w:tc>
                <w:tcPr>
                  <w:tcW w:w="720" w:type="dxa"/>
                  <w:tcBorders>
                    <w:top w:val="single" w:sz="4" w:space="0" w:color="auto"/>
                    <w:left w:val="single" w:sz="4" w:space="0" w:color="auto"/>
                    <w:bottom w:val="single" w:sz="4" w:space="0" w:color="auto"/>
                    <w:right w:val="nil"/>
                  </w:tcBorders>
                  <w:vAlign w:val="center"/>
                </w:tcPr>
                <w:p w14:paraId="0EBAF37B" w14:textId="77777777" w:rsidR="00F76A63" w:rsidRDefault="00000000">
                  <w:pPr>
                    <w:pStyle w:val="affff8"/>
                    <w:rPr>
                      <w:rFonts w:cs="Times New Roman"/>
                    </w:rPr>
                  </w:pPr>
                  <w:r>
                    <w:rPr>
                      <w:rFonts w:cs="Times New Roman"/>
                    </w:rPr>
                    <w:lastRenderedPageBreak/>
                    <w:t>符合</w:t>
                  </w:r>
                </w:p>
              </w:tc>
            </w:tr>
            <w:tr w:rsidR="00F76A63" w14:paraId="5751A7E4"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79F9C068"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7D57401A" w14:textId="77777777" w:rsidR="00F76A63" w:rsidRDefault="00000000">
                  <w:pPr>
                    <w:pStyle w:val="affff8"/>
                    <w:rPr>
                      <w:rFonts w:cs="Times New Roman"/>
                    </w:rPr>
                  </w:pPr>
                  <w:r>
                    <w:rPr>
                      <w:rFonts w:cs="Times New Roman"/>
                    </w:rPr>
                    <w:t>7.3</w:t>
                  </w:r>
                  <w:r>
                    <w:rPr>
                      <w:rFonts w:cs="Times New Roman"/>
                    </w:rPr>
                    <w:t>工业废物的运输车辆</w:t>
                  </w:r>
                </w:p>
                <w:p w14:paraId="17431C0F" w14:textId="77777777" w:rsidR="00F76A63" w:rsidRDefault="00000000">
                  <w:pPr>
                    <w:pStyle w:val="affff8"/>
                    <w:rPr>
                      <w:rFonts w:cs="Times New Roman"/>
                    </w:rPr>
                  </w:pPr>
                  <w:r>
                    <w:rPr>
                      <w:rFonts w:cs="Times New Roman"/>
                    </w:rPr>
                    <w:t>7.3.1</w:t>
                  </w:r>
                  <w:r>
                    <w:rPr>
                      <w:rFonts w:cs="Times New Roman"/>
                    </w:rPr>
                    <w:t>一般工业废物的运输车辆，应根据工业废物的特性选择，宜选用同一型号、规格的车辆。</w:t>
                  </w:r>
                </w:p>
                <w:p w14:paraId="0498339C" w14:textId="77777777" w:rsidR="00F76A63" w:rsidRDefault="00000000">
                  <w:pPr>
                    <w:pStyle w:val="affff8"/>
                    <w:rPr>
                      <w:rFonts w:cs="Times New Roman"/>
                    </w:rPr>
                  </w:pPr>
                  <w:r>
                    <w:rPr>
                      <w:rFonts w:cs="Times New Roman"/>
                    </w:rPr>
                    <w:t>7.3.2</w:t>
                  </w:r>
                  <w:r>
                    <w:rPr>
                      <w:rFonts w:cs="Times New Roman"/>
                    </w:rPr>
                    <w:t>运输过程中有挥发性气体逸出的工业废物，应选用密封式车辆运输。</w:t>
                  </w:r>
                </w:p>
                <w:p w14:paraId="5E009813" w14:textId="77777777" w:rsidR="00F76A63" w:rsidRDefault="00000000">
                  <w:pPr>
                    <w:pStyle w:val="affff8"/>
                    <w:rPr>
                      <w:rFonts w:cs="Times New Roman"/>
                    </w:rPr>
                  </w:pPr>
                  <w:r>
                    <w:rPr>
                      <w:rFonts w:cs="Times New Roman"/>
                    </w:rPr>
                    <w:t>7.3.3</w:t>
                  </w:r>
                  <w:r>
                    <w:rPr>
                      <w:rFonts w:cs="Times New Roman"/>
                    </w:rPr>
                    <w:t>危险废物的运输车辆，必须按危险废物特性进行分类包装运输，并应设置危险废物专用警示标志。</w:t>
                  </w:r>
                </w:p>
              </w:tc>
              <w:tc>
                <w:tcPr>
                  <w:tcW w:w="4692" w:type="dxa"/>
                  <w:tcBorders>
                    <w:top w:val="single" w:sz="4" w:space="0" w:color="auto"/>
                    <w:left w:val="single" w:sz="4" w:space="0" w:color="auto"/>
                    <w:bottom w:val="single" w:sz="4" w:space="0" w:color="auto"/>
                    <w:right w:val="single" w:sz="4" w:space="0" w:color="auto"/>
                  </w:tcBorders>
                  <w:vAlign w:val="center"/>
                </w:tcPr>
                <w:p w14:paraId="57D6F7C7" w14:textId="77777777" w:rsidR="00F76A63" w:rsidRDefault="00000000">
                  <w:pPr>
                    <w:pStyle w:val="affff8"/>
                    <w:rPr>
                      <w:rFonts w:cs="Times New Roman"/>
                    </w:rPr>
                  </w:pPr>
                  <w:r>
                    <w:rPr>
                      <w:rFonts w:cs="Times New Roman"/>
                    </w:rPr>
                    <w:t>1</w:t>
                  </w:r>
                  <w:r>
                    <w:rPr>
                      <w:rFonts w:cs="Times New Roman"/>
                    </w:rPr>
                    <w:t>、一般工业废物的运输车辆，根据工业废物的特性选择，选用同一型号、规格的车辆。</w:t>
                  </w:r>
                </w:p>
                <w:p w14:paraId="6CEC7631" w14:textId="77777777" w:rsidR="00F76A63" w:rsidRDefault="00000000">
                  <w:pPr>
                    <w:pStyle w:val="affff8"/>
                    <w:rPr>
                      <w:rFonts w:cs="Times New Roman"/>
                    </w:rPr>
                  </w:pPr>
                  <w:r>
                    <w:rPr>
                      <w:rFonts w:cs="Times New Roman"/>
                    </w:rPr>
                    <w:t>2</w:t>
                  </w:r>
                  <w:r>
                    <w:rPr>
                      <w:rFonts w:cs="Times New Roman"/>
                    </w:rPr>
                    <w:t>、运输过程中有挥发性气体逸出的工业废物，选用密封式车辆运输。</w:t>
                  </w:r>
                </w:p>
                <w:p w14:paraId="467F1B07" w14:textId="77777777" w:rsidR="00F76A63" w:rsidRDefault="00000000">
                  <w:pPr>
                    <w:pStyle w:val="affff8"/>
                    <w:rPr>
                      <w:rFonts w:cs="Times New Roman"/>
                    </w:rPr>
                  </w:pPr>
                  <w:r>
                    <w:rPr>
                      <w:rFonts w:cs="Times New Roman"/>
                    </w:rPr>
                    <w:t>3</w:t>
                  </w:r>
                  <w:r>
                    <w:rPr>
                      <w:rFonts w:cs="Times New Roman"/>
                    </w:rPr>
                    <w:t>、不涉及危险废物运输。</w:t>
                  </w:r>
                </w:p>
              </w:tc>
              <w:tc>
                <w:tcPr>
                  <w:tcW w:w="720" w:type="dxa"/>
                  <w:tcBorders>
                    <w:top w:val="single" w:sz="4" w:space="0" w:color="auto"/>
                    <w:left w:val="single" w:sz="4" w:space="0" w:color="auto"/>
                    <w:bottom w:val="single" w:sz="4" w:space="0" w:color="auto"/>
                    <w:right w:val="nil"/>
                  </w:tcBorders>
                  <w:vAlign w:val="center"/>
                </w:tcPr>
                <w:p w14:paraId="153CC4AC" w14:textId="77777777" w:rsidR="00F76A63" w:rsidRDefault="00000000">
                  <w:pPr>
                    <w:pStyle w:val="affff8"/>
                    <w:rPr>
                      <w:rFonts w:cs="Times New Roman"/>
                    </w:rPr>
                  </w:pPr>
                  <w:r>
                    <w:rPr>
                      <w:rFonts w:cs="Times New Roman"/>
                    </w:rPr>
                    <w:t>符合</w:t>
                  </w:r>
                </w:p>
              </w:tc>
            </w:tr>
            <w:tr w:rsidR="00F76A63" w14:paraId="510F5516"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72A2B283"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66A73FE0" w14:textId="77777777" w:rsidR="00F76A63" w:rsidRDefault="00000000">
                  <w:pPr>
                    <w:pStyle w:val="affff8"/>
                    <w:rPr>
                      <w:rFonts w:cs="Times New Roman"/>
                    </w:rPr>
                  </w:pPr>
                  <w:r>
                    <w:rPr>
                      <w:rFonts w:cs="Times New Roman"/>
                    </w:rPr>
                    <w:t>7.4</w:t>
                  </w:r>
                  <w:r>
                    <w:rPr>
                      <w:rFonts w:cs="Times New Roman"/>
                    </w:rPr>
                    <w:t>工业废物的贮存</w:t>
                  </w:r>
                </w:p>
                <w:p w14:paraId="394A70FB" w14:textId="77777777" w:rsidR="00F76A63" w:rsidRDefault="00000000">
                  <w:pPr>
                    <w:pStyle w:val="affff8"/>
                    <w:rPr>
                      <w:rFonts w:cs="Times New Roman"/>
                    </w:rPr>
                  </w:pPr>
                  <w:r>
                    <w:rPr>
                      <w:rFonts w:cs="Times New Roman"/>
                    </w:rPr>
                    <w:t>7.4.1</w:t>
                  </w:r>
                  <w:r>
                    <w:rPr>
                      <w:rFonts w:cs="Times New Roman"/>
                    </w:rPr>
                    <w:t>对进厂的工业废物应设置工业废物初检室，对工业废物进行物理化学分类，并依据检测结果确定贮存方式。</w:t>
                  </w:r>
                </w:p>
                <w:p w14:paraId="77DD29A4" w14:textId="77777777" w:rsidR="00F76A63" w:rsidRDefault="00000000">
                  <w:pPr>
                    <w:pStyle w:val="affff8"/>
                    <w:rPr>
                      <w:rFonts w:cs="Times New Roman"/>
                    </w:rPr>
                  </w:pPr>
                  <w:r>
                    <w:rPr>
                      <w:rFonts w:cs="Times New Roman"/>
                    </w:rPr>
                    <w:t>7.4.2</w:t>
                  </w:r>
                  <w:r>
                    <w:rPr>
                      <w:rFonts w:cs="Times New Roman"/>
                    </w:rPr>
                    <w:t>工业废物应分类存放。已经过检测和未经过检测的工业废物应分区存放；已经过检测的工业废物还应按物理、化学性质分区存放。</w:t>
                  </w:r>
                </w:p>
                <w:p w14:paraId="7A937E52" w14:textId="77777777" w:rsidR="00F76A63" w:rsidRDefault="00000000">
                  <w:pPr>
                    <w:pStyle w:val="affff8"/>
                    <w:rPr>
                      <w:rFonts w:cs="Times New Roman"/>
                    </w:rPr>
                  </w:pPr>
                  <w:r>
                    <w:rPr>
                      <w:rFonts w:cs="Times New Roman"/>
                    </w:rPr>
                    <w:t>7.4.3</w:t>
                  </w:r>
                  <w:r>
                    <w:rPr>
                      <w:rFonts w:cs="Times New Roman"/>
                    </w:rPr>
                    <w:t>危险废物应按其相容性分区存放，不相容的危险废物存放区必须有隔断。</w:t>
                  </w:r>
                </w:p>
                <w:p w14:paraId="076218D6" w14:textId="77777777" w:rsidR="00F76A63" w:rsidRDefault="00000000">
                  <w:pPr>
                    <w:pStyle w:val="affff8"/>
                    <w:rPr>
                      <w:rFonts w:cs="Times New Roman"/>
                    </w:rPr>
                  </w:pPr>
                  <w:r>
                    <w:rPr>
                      <w:rFonts w:cs="Times New Roman"/>
                    </w:rPr>
                    <w:t>7.4.4</w:t>
                  </w:r>
                  <w:r>
                    <w:rPr>
                      <w:rFonts w:cs="Times New Roman"/>
                    </w:rPr>
                    <w:t>贮存危险废物应建造专用的危险废物贮存设施，也可利用原有的构筑物改建成危险废物贮存设施。</w:t>
                  </w:r>
                </w:p>
                <w:p w14:paraId="595F85C2" w14:textId="77777777" w:rsidR="00F76A63" w:rsidRDefault="00000000">
                  <w:pPr>
                    <w:pStyle w:val="affff8"/>
                    <w:rPr>
                      <w:rFonts w:cs="Times New Roman"/>
                    </w:rPr>
                  </w:pPr>
                  <w:r>
                    <w:rPr>
                      <w:rFonts w:cs="Times New Roman"/>
                    </w:rPr>
                    <w:lastRenderedPageBreak/>
                    <w:t>7.4.5</w:t>
                  </w:r>
                  <w:r>
                    <w:rPr>
                      <w:rFonts w:cs="Times New Roman"/>
                    </w:rPr>
                    <w:t>工业废物贮存场所应设置符合现行国家标准《环境保护图形标志－固体废物贮存</w:t>
                  </w:r>
                  <w:r>
                    <w:rPr>
                      <w:rFonts w:cs="Times New Roman"/>
                    </w:rPr>
                    <w:t>(</w:t>
                  </w:r>
                  <w:r>
                    <w:rPr>
                      <w:rFonts w:cs="Times New Roman"/>
                    </w:rPr>
                    <w:t>处置</w:t>
                  </w:r>
                  <w:r>
                    <w:rPr>
                      <w:rFonts w:cs="Times New Roman"/>
                    </w:rPr>
                    <w:t>)</w:t>
                  </w:r>
                  <w:r>
                    <w:rPr>
                      <w:rFonts w:cs="Times New Roman"/>
                    </w:rPr>
                    <w:t>场》</w:t>
                  </w:r>
                  <w:r>
                    <w:rPr>
                      <w:rFonts w:cs="Times New Roman"/>
                    </w:rPr>
                    <w:t>GB15562.2</w:t>
                  </w:r>
                  <w:r>
                    <w:rPr>
                      <w:rFonts w:cs="Times New Roman"/>
                    </w:rPr>
                    <w:t>有关规定的专用标志。</w:t>
                  </w:r>
                </w:p>
                <w:p w14:paraId="409B5046" w14:textId="77777777" w:rsidR="00F76A63" w:rsidRDefault="00000000">
                  <w:pPr>
                    <w:pStyle w:val="affff8"/>
                    <w:rPr>
                      <w:rFonts w:cs="Times New Roman"/>
                    </w:rPr>
                  </w:pPr>
                  <w:r>
                    <w:rPr>
                      <w:rFonts w:cs="Times New Roman"/>
                    </w:rPr>
                    <w:t>7.4.6</w:t>
                  </w:r>
                  <w:r>
                    <w:rPr>
                      <w:rFonts w:cs="Times New Roman"/>
                    </w:rPr>
                    <w:t>一般工业废物贮存设施应满足以下要求：</w:t>
                  </w:r>
                </w:p>
                <w:p w14:paraId="21635D61" w14:textId="77777777" w:rsidR="00F76A63" w:rsidRDefault="00000000">
                  <w:pPr>
                    <w:pStyle w:val="affff8"/>
                    <w:rPr>
                      <w:rFonts w:cs="Times New Roman"/>
                    </w:rPr>
                  </w:pPr>
                  <w:r>
                    <w:rPr>
                      <w:rFonts w:cs="Times New Roman"/>
                    </w:rPr>
                    <w:t>1</w:t>
                  </w:r>
                  <w:r>
                    <w:rPr>
                      <w:rFonts w:cs="Times New Roman"/>
                    </w:rPr>
                    <w:t>应依据处置工业废物的性能特点设定贮存设施的防酸、防碱腐蚀等级，且储坑及上方构筑物应进行防酸、碱腐蚀处理。</w:t>
                  </w:r>
                </w:p>
                <w:p w14:paraId="7C0224CE" w14:textId="77777777" w:rsidR="00F76A63" w:rsidRDefault="00000000">
                  <w:pPr>
                    <w:pStyle w:val="affff8"/>
                    <w:rPr>
                      <w:rFonts w:cs="Times New Roman"/>
                    </w:rPr>
                  </w:pPr>
                  <w:r>
                    <w:rPr>
                      <w:rFonts w:cs="Times New Roman"/>
                    </w:rPr>
                    <w:t>2</w:t>
                  </w:r>
                  <w:r>
                    <w:rPr>
                      <w:rFonts w:cs="Times New Roman"/>
                    </w:rPr>
                    <w:t>工业废物贮存渗滤液应设计收集排水设施，并应对其定期进行处理、经测定符合现行国家标准《污水综合排放标准》</w:t>
                  </w:r>
                  <w:r>
                    <w:rPr>
                      <w:rFonts w:cs="Times New Roman"/>
                    </w:rPr>
                    <w:t>GB8978</w:t>
                  </w:r>
                  <w:r>
                    <w:rPr>
                      <w:rFonts w:cs="Times New Roman"/>
                    </w:rPr>
                    <w:t>的有关规定后方可排放。</w:t>
                  </w:r>
                </w:p>
                <w:p w14:paraId="794AF97B" w14:textId="77777777" w:rsidR="00F76A63" w:rsidRDefault="00000000">
                  <w:pPr>
                    <w:pStyle w:val="affff8"/>
                    <w:rPr>
                      <w:rFonts w:cs="Times New Roman"/>
                    </w:rPr>
                  </w:pPr>
                  <w:r>
                    <w:rPr>
                      <w:rFonts w:cs="Times New Roman"/>
                    </w:rPr>
                    <w:t>3</w:t>
                  </w:r>
                  <w:r>
                    <w:rPr>
                      <w:rFonts w:cs="Times New Roman"/>
                    </w:rPr>
                    <w:t>废液采用储池贮存时，如废液挥发性较强，应采用密封储池，并应设置废气吸收及尾气净化装置。</w:t>
                  </w:r>
                </w:p>
                <w:p w14:paraId="4C51CD42" w14:textId="77777777" w:rsidR="00F76A63" w:rsidRDefault="00000000">
                  <w:pPr>
                    <w:pStyle w:val="affff8"/>
                    <w:rPr>
                      <w:rFonts w:cs="Times New Roman"/>
                    </w:rPr>
                  </w:pPr>
                  <w:r>
                    <w:rPr>
                      <w:rFonts w:cs="Times New Roman"/>
                    </w:rPr>
                    <w:t>4</w:t>
                  </w:r>
                  <w:r>
                    <w:rPr>
                      <w:rFonts w:cs="Times New Roman"/>
                    </w:rPr>
                    <w:t>采用密封仓贮存工业废物时，应对进厂不同废物间设置隔栅，宜采用防粘浅底仓。如采用直筒仓，仓底应设置滑架结构，湿粘物料卸料宜采用双轴螺旋自挤压卸料方式。</w:t>
                  </w:r>
                </w:p>
                <w:p w14:paraId="793C3444" w14:textId="77777777" w:rsidR="00F76A63" w:rsidRDefault="00000000">
                  <w:pPr>
                    <w:pStyle w:val="affff8"/>
                    <w:rPr>
                      <w:rFonts w:cs="Times New Roman"/>
                    </w:rPr>
                  </w:pPr>
                  <w:r>
                    <w:rPr>
                      <w:rFonts w:cs="Times New Roman"/>
                    </w:rPr>
                    <w:t>5</w:t>
                  </w:r>
                  <w:r>
                    <w:rPr>
                      <w:rFonts w:cs="Times New Roman"/>
                    </w:rPr>
                    <w:t>密封仓应设置换气装置，换气量宜按照</w:t>
                  </w:r>
                  <w:r>
                    <w:rPr>
                      <w:rFonts w:cs="Times New Roman"/>
                    </w:rPr>
                    <w:t>1h</w:t>
                  </w:r>
                  <w:r>
                    <w:rPr>
                      <w:rFonts w:cs="Times New Roman"/>
                    </w:rPr>
                    <w:t>气体更换</w:t>
                  </w:r>
                  <w:r>
                    <w:rPr>
                      <w:rFonts w:cs="Times New Roman"/>
                    </w:rPr>
                    <w:t>3</w:t>
                  </w:r>
                  <w:r>
                    <w:rPr>
                      <w:rFonts w:cs="Times New Roman"/>
                    </w:rPr>
                    <w:t>～</w:t>
                  </w:r>
                  <w:r>
                    <w:rPr>
                      <w:rFonts w:cs="Times New Roman"/>
                    </w:rPr>
                    <w:t>5</w:t>
                  </w:r>
                  <w:r>
                    <w:rPr>
                      <w:rFonts w:cs="Times New Roman"/>
                    </w:rPr>
                    <w:t>次。贮存易燃工业废物，应配置温度传感器。</w:t>
                  </w:r>
                </w:p>
                <w:p w14:paraId="15AE05FF" w14:textId="77777777" w:rsidR="00F76A63" w:rsidRDefault="00000000">
                  <w:pPr>
                    <w:pStyle w:val="affff8"/>
                    <w:rPr>
                      <w:rFonts w:cs="Times New Roman"/>
                    </w:rPr>
                  </w:pPr>
                  <w:r>
                    <w:rPr>
                      <w:rFonts w:cs="Times New Roman"/>
                    </w:rPr>
                    <w:t>6</w:t>
                  </w:r>
                  <w:r>
                    <w:rPr>
                      <w:rFonts w:cs="Times New Roman"/>
                    </w:rPr>
                    <w:t>贮存设施应采取防震、防火、换气、空气净化等措施，并应配备应急安全设备。</w:t>
                  </w:r>
                </w:p>
                <w:p w14:paraId="5028D3B0" w14:textId="77777777" w:rsidR="00F76A63" w:rsidRDefault="00000000">
                  <w:pPr>
                    <w:pStyle w:val="affff8"/>
                    <w:rPr>
                      <w:rFonts w:cs="Times New Roman"/>
                    </w:rPr>
                  </w:pPr>
                  <w:r>
                    <w:rPr>
                      <w:rFonts w:cs="Times New Roman"/>
                    </w:rPr>
                    <w:t>7.4.8</w:t>
                  </w:r>
                  <w:r>
                    <w:rPr>
                      <w:rFonts w:cs="Times New Roman"/>
                    </w:rPr>
                    <w:t>常温常压下不水解、不挥发的固体危险废物可在贮存设施内分别堆放，其它类危险废物须装入容器内贮存。贮存容器应满足以下要求：</w:t>
                  </w:r>
                </w:p>
                <w:p w14:paraId="494DEECA" w14:textId="77777777" w:rsidR="00F76A63" w:rsidRDefault="00000000">
                  <w:pPr>
                    <w:pStyle w:val="affff8"/>
                    <w:rPr>
                      <w:rFonts w:cs="Times New Roman"/>
                    </w:rPr>
                  </w:pPr>
                  <w:r>
                    <w:rPr>
                      <w:rFonts w:cs="Times New Roman"/>
                    </w:rPr>
                    <w:t>1</w:t>
                  </w:r>
                  <w:r>
                    <w:rPr>
                      <w:rFonts w:cs="Times New Roman"/>
                    </w:rPr>
                    <w:t>贮存容器应具有耐腐蚀、耐压、不与所贮存的废物发生化学反应等特性。</w:t>
                  </w:r>
                </w:p>
                <w:p w14:paraId="4DCE8BC8" w14:textId="77777777" w:rsidR="00F76A63" w:rsidRDefault="00000000">
                  <w:pPr>
                    <w:pStyle w:val="affff8"/>
                    <w:rPr>
                      <w:rFonts w:cs="Times New Roman"/>
                    </w:rPr>
                  </w:pPr>
                  <w:r>
                    <w:rPr>
                      <w:rFonts w:cs="Times New Roman"/>
                    </w:rPr>
                    <w:t>2</w:t>
                  </w:r>
                  <w:r>
                    <w:rPr>
                      <w:rFonts w:cs="Times New Roman"/>
                    </w:rPr>
                    <w:t>贮存容器应保证完好无损并应具有危险废物专用标志。</w:t>
                  </w:r>
                </w:p>
                <w:p w14:paraId="07D54DAD" w14:textId="77777777" w:rsidR="00F76A63" w:rsidRDefault="00000000">
                  <w:pPr>
                    <w:pStyle w:val="affff8"/>
                    <w:rPr>
                      <w:rFonts w:cs="Times New Roman"/>
                    </w:rPr>
                  </w:pPr>
                  <w:r>
                    <w:rPr>
                      <w:rFonts w:cs="Times New Roman"/>
                    </w:rPr>
                    <w:t>7.4.9</w:t>
                  </w:r>
                  <w:r>
                    <w:rPr>
                      <w:rFonts w:cs="Times New Roman"/>
                    </w:rPr>
                    <w:t>危险废物的贮存设施还应符合现行国家标准《危险废物贮存污染控制标准》</w:t>
                  </w:r>
                  <w:r>
                    <w:rPr>
                      <w:rFonts w:cs="Times New Roman" w:hint="eastAsia"/>
                    </w:rPr>
                    <w:t>（</w:t>
                  </w:r>
                  <w:r>
                    <w:rPr>
                      <w:rFonts w:cs="Times New Roman"/>
                    </w:rPr>
                    <w:t>GB18597</w:t>
                  </w:r>
                  <w:r>
                    <w:rPr>
                      <w:rFonts w:cs="Times New Roman" w:hint="eastAsia"/>
                    </w:rPr>
                    <w:t>-2023</w:t>
                  </w:r>
                  <w:r>
                    <w:rPr>
                      <w:rFonts w:cs="Times New Roman" w:hint="eastAsia"/>
                    </w:rPr>
                    <w:t>）</w:t>
                  </w:r>
                  <w:r>
                    <w:rPr>
                      <w:rFonts w:cs="Times New Roman"/>
                    </w:rPr>
                    <w:t>的有关规定，且各批次危险废物的混合应预先进行配料试验。</w:t>
                  </w:r>
                </w:p>
                <w:p w14:paraId="1D11AD68" w14:textId="77777777" w:rsidR="00F76A63" w:rsidRDefault="00000000">
                  <w:pPr>
                    <w:pStyle w:val="affff8"/>
                    <w:rPr>
                      <w:rFonts w:cs="Times New Roman"/>
                    </w:rPr>
                  </w:pPr>
                  <w:r>
                    <w:rPr>
                      <w:rFonts w:cs="Times New Roman"/>
                    </w:rPr>
                    <w:t>7.4.10</w:t>
                  </w:r>
                  <w:r>
                    <w:rPr>
                      <w:rFonts w:cs="Times New Roman"/>
                    </w:rPr>
                    <w:t>各批次危险废物在混合前应预先进行配料试验。</w:t>
                  </w:r>
                </w:p>
                <w:p w14:paraId="4A36342A" w14:textId="77777777" w:rsidR="00F76A63" w:rsidRDefault="00000000">
                  <w:pPr>
                    <w:pStyle w:val="affff8"/>
                    <w:rPr>
                      <w:rFonts w:cs="Times New Roman"/>
                    </w:rPr>
                  </w:pPr>
                  <w:r>
                    <w:rPr>
                      <w:rFonts w:cs="Times New Roman"/>
                    </w:rPr>
                    <w:t>7.4.11</w:t>
                  </w:r>
                  <w:r>
                    <w:rPr>
                      <w:rFonts w:cs="Times New Roman"/>
                    </w:rPr>
                    <w:t>作为替代原料的工业废物，其贮存方式的选择应符合以下规定：</w:t>
                  </w:r>
                </w:p>
                <w:p w14:paraId="1C7C10BE" w14:textId="77777777" w:rsidR="00F76A63" w:rsidRDefault="00000000">
                  <w:pPr>
                    <w:pStyle w:val="affff8"/>
                    <w:rPr>
                      <w:rFonts w:cs="Times New Roman"/>
                    </w:rPr>
                  </w:pPr>
                  <w:r>
                    <w:rPr>
                      <w:rFonts w:cs="Times New Roman"/>
                    </w:rPr>
                    <w:t>1</w:t>
                  </w:r>
                  <w:r>
                    <w:rPr>
                      <w:rFonts w:cs="Times New Roman"/>
                    </w:rPr>
                    <w:t>块状替代原料可选用露天堆场、堆棚或联合储库贮存，粒度较大的替代原料应先进行破碎后贮存。</w:t>
                  </w:r>
                </w:p>
                <w:p w14:paraId="5E9B0890" w14:textId="77777777" w:rsidR="00F76A63" w:rsidRDefault="00000000">
                  <w:pPr>
                    <w:pStyle w:val="affff8"/>
                    <w:rPr>
                      <w:rFonts w:cs="Times New Roman"/>
                    </w:rPr>
                  </w:pPr>
                  <w:r>
                    <w:rPr>
                      <w:rFonts w:cs="Times New Roman"/>
                    </w:rPr>
                    <w:lastRenderedPageBreak/>
                    <w:t>2</w:t>
                  </w:r>
                  <w:r>
                    <w:rPr>
                      <w:rFonts w:cs="Times New Roman"/>
                    </w:rPr>
                    <w:t>湿度大于</w:t>
                  </w:r>
                  <w:r>
                    <w:rPr>
                      <w:rFonts w:cs="Times New Roman"/>
                    </w:rPr>
                    <w:t>10</w:t>
                  </w:r>
                  <w:r>
                    <w:rPr>
                      <w:rFonts w:cs="Times New Roman"/>
                    </w:rPr>
                    <w:t>％的粒状替代原料宜采用露天堆场、堆棚或联合储库贮存；湿度小于</w:t>
                  </w:r>
                  <w:r>
                    <w:rPr>
                      <w:rFonts w:cs="Times New Roman"/>
                    </w:rPr>
                    <w:t>10</w:t>
                  </w:r>
                  <w:r>
                    <w:rPr>
                      <w:rFonts w:cs="Times New Roman"/>
                    </w:rPr>
                    <w:t>％的干粒状替代原料，应采用圆库贮存。</w:t>
                  </w:r>
                </w:p>
                <w:p w14:paraId="7CA45759" w14:textId="77777777" w:rsidR="00F76A63" w:rsidRDefault="00000000">
                  <w:pPr>
                    <w:pStyle w:val="affff8"/>
                    <w:rPr>
                      <w:rFonts w:cs="Times New Roman"/>
                    </w:rPr>
                  </w:pPr>
                  <w:r>
                    <w:rPr>
                      <w:rFonts w:cs="Times New Roman"/>
                    </w:rPr>
                    <w:t>3</w:t>
                  </w:r>
                  <w:r>
                    <w:rPr>
                      <w:rFonts w:cs="Times New Roman"/>
                    </w:rPr>
                    <w:t>干粉状替代原料，应采用圆库贮存。</w:t>
                  </w:r>
                </w:p>
                <w:p w14:paraId="47B7E5C5" w14:textId="77777777" w:rsidR="00F76A63" w:rsidRDefault="00000000">
                  <w:pPr>
                    <w:pStyle w:val="affff8"/>
                    <w:rPr>
                      <w:rFonts w:cs="Times New Roman"/>
                    </w:rPr>
                  </w:pPr>
                  <w:r>
                    <w:rPr>
                      <w:rFonts w:cs="Times New Roman"/>
                    </w:rPr>
                    <w:t>4</w:t>
                  </w:r>
                  <w:r>
                    <w:rPr>
                      <w:rFonts w:cs="Times New Roman"/>
                    </w:rPr>
                    <w:t>湿粉状代替原料应采用浅底防粘连仓或带有强制推料装置的圆形筒仓储存。</w:t>
                  </w:r>
                </w:p>
                <w:p w14:paraId="74F69AE4" w14:textId="77777777" w:rsidR="00F76A63" w:rsidRDefault="00000000">
                  <w:pPr>
                    <w:pStyle w:val="affff8"/>
                    <w:rPr>
                      <w:rFonts w:cs="Times New Roman"/>
                    </w:rPr>
                  </w:pPr>
                  <w:r>
                    <w:rPr>
                      <w:rFonts w:cs="Times New Roman"/>
                    </w:rPr>
                    <w:t>7.4.12</w:t>
                  </w:r>
                  <w:r>
                    <w:rPr>
                      <w:rFonts w:cs="Times New Roman"/>
                    </w:rPr>
                    <w:t>作为替代燃料的工业废物，储存及输送应符合下列要求：</w:t>
                  </w:r>
                </w:p>
                <w:p w14:paraId="33A12559" w14:textId="77777777" w:rsidR="00F76A63" w:rsidRDefault="00000000">
                  <w:pPr>
                    <w:pStyle w:val="affff8"/>
                    <w:rPr>
                      <w:rFonts w:cs="Times New Roman"/>
                    </w:rPr>
                  </w:pPr>
                  <w:r>
                    <w:rPr>
                      <w:rFonts w:cs="Times New Roman"/>
                    </w:rPr>
                    <w:t>1</w:t>
                  </w:r>
                  <w:r>
                    <w:rPr>
                      <w:rFonts w:cs="Times New Roman"/>
                    </w:rPr>
                    <w:t>工业废液应采用储池、储罐储存，储池应设置过滤装置。</w:t>
                  </w:r>
                </w:p>
                <w:p w14:paraId="48229F5F" w14:textId="77777777" w:rsidR="00F76A63" w:rsidRDefault="00000000">
                  <w:pPr>
                    <w:pStyle w:val="affff8"/>
                    <w:rPr>
                      <w:rFonts w:cs="Times New Roman"/>
                    </w:rPr>
                  </w:pPr>
                  <w:r>
                    <w:rPr>
                      <w:rFonts w:cs="Times New Roman"/>
                    </w:rPr>
                    <w:t>2</w:t>
                  </w:r>
                  <w:r>
                    <w:rPr>
                      <w:rFonts w:cs="Times New Roman"/>
                    </w:rPr>
                    <w:t>采用管道输送时应进行流量计量。</w:t>
                  </w:r>
                </w:p>
                <w:p w14:paraId="7348E9C2" w14:textId="77777777" w:rsidR="00F76A63" w:rsidRDefault="00000000">
                  <w:pPr>
                    <w:pStyle w:val="affff8"/>
                    <w:rPr>
                      <w:rFonts w:cs="Times New Roman"/>
                    </w:rPr>
                  </w:pPr>
                  <w:r>
                    <w:rPr>
                      <w:rFonts w:cs="Times New Roman"/>
                    </w:rPr>
                    <w:t>3</w:t>
                  </w:r>
                  <w:r>
                    <w:rPr>
                      <w:rFonts w:cs="Times New Roman"/>
                    </w:rPr>
                    <w:t>颗粒或者粉末的高温值废物应采用钢仓储存，钢仓倾角应大于</w:t>
                  </w:r>
                  <w:r>
                    <w:rPr>
                      <w:rFonts w:cs="Times New Roman"/>
                    </w:rPr>
                    <w:t>65°</w:t>
                  </w:r>
                  <w:r>
                    <w:rPr>
                      <w:rFonts w:cs="Times New Roman"/>
                    </w:rPr>
                    <w:t>。</w:t>
                  </w:r>
                </w:p>
                <w:p w14:paraId="4F3CA70B" w14:textId="77777777" w:rsidR="00F76A63" w:rsidRDefault="00000000">
                  <w:pPr>
                    <w:pStyle w:val="affff8"/>
                    <w:rPr>
                      <w:rFonts w:cs="Times New Roman"/>
                    </w:rPr>
                  </w:pPr>
                  <w:r>
                    <w:rPr>
                      <w:rFonts w:cs="Times New Roman"/>
                    </w:rPr>
                    <w:t>4</w:t>
                  </w:r>
                  <w:r>
                    <w:rPr>
                      <w:rFonts w:cs="Times New Roman"/>
                    </w:rPr>
                    <w:t>成品贮存仓应依据燃料制备工作制度确定。替代燃料制备连续运行的，可按照</w:t>
                  </w:r>
                  <w:r>
                    <w:rPr>
                      <w:rFonts w:cs="Times New Roman"/>
                    </w:rPr>
                    <w:t>4</w:t>
                  </w:r>
                  <w:r>
                    <w:rPr>
                      <w:rFonts w:cs="Times New Roman"/>
                    </w:rPr>
                    <w:t>～</w:t>
                  </w:r>
                  <w:r>
                    <w:rPr>
                      <w:rFonts w:cs="Times New Roman"/>
                    </w:rPr>
                    <w:t>6</w:t>
                  </w:r>
                  <w:r>
                    <w:rPr>
                      <w:rFonts w:cs="Times New Roman"/>
                    </w:rPr>
                    <w:t>小时设定贮存仓的规格；替代燃料间歇制备的，贮存仓的规格应不小于正常间隔时间加</w:t>
                  </w:r>
                  <w:r>
                    <w:rPr>
                      <w:rFonts w:cs="Times New Roman"/>
                    </w:rPr>
                    <w:t>3</w:t>
                  </w:r>
                  <w:r>
                    <w:rPr>
                      <w:rFonts w:cs="Times New Roman"/>
                    </w:rPr>
                    <w:t>小时备用。</w:t>
                  </w:r>
                </w:p>
                <w:p w14:paraId="64E13CAB" w14:textId="77777777" w:rsidR="00F76A63" w:rsidRDefault="00000000">
                  <w:pPr>
                    <w:pStyle w:val="affff8"/>
                    <w:rPr>
                      <w:rFonts w:cs="Times New Roman"/>
                    </w:rPr>
                  </w:pPr>
                  <w:r>
                    <w:rPr>
                      <w:rFonts w:cs="Times New Roman"/>
                    </w:rPr>
                    <w:t>5</w:t>
                  </w:r>
                  <w:r>
                    <w:rPr>
                      <w:rFonts w:cs="Times New Roman"/>
                    </w:rPr>
                    <w:t>储存仓卸料口应满足储仓</w:t>
                  </w:r>
                  <w:r>
                    <w:rPr>
                      <w:rFonts w:cs="Times New Roman"/>
                    </w:rPr>
                    <w:t>100%</w:t>
                  </w:r>
                  <w:r>
                    <w:rPr>
                      <w:rFonts w:cs="Times New Roman"/>
                    </w:rPr>
                    <w:t>卸空的要求。</w:t>
                  </w:r>
                </w:p>
                <w:p w14:paraId="2FE146A3" w14:textId="77777777" w:rsidR="00F76A63" w:rsidRDefault="00000000">
                  <w:pPr>
                    <w:pStyle w:val="affff8"/>
                    <w:rPr>
                      <w:rFonts w:cs="Times New Roman"/>
                    </w:rPr>
                  </w:pPr>
                  <w:r>
                    <w:rPr>
                      <w:rFonts w:cs="Times New Roman"/>
                    </w:rPr>
                    <w:t>6</w:t>
                  </w:r>
                  <w:r>
                    <w:rPr>
                      <w:rFonts w:cs="Times New Roman"/>
                    </w:rPr>
                    <w:t>替代燃料储存仓与卸料之间应配置闸板式阀门。</w:t>
                  </w:r>
                </w:p>
                <w:p w14:paraId="705F9EDF" w14:textId="77777777" w:rsidR="00F76A63" w:rsidRDefault="00000000">
                  <w:pPr>
                    <w:pStyle w:val="affff8"/>
                    <w:rPr>
                      <w:rFonts w:cs="Times New Roman"/>
                    </w:rPr>
                  </w:pPr>
                  <w:r>
                    <w:rPr>
                      <w:rFonts w:cs="Times New Roman"/>
                    </w:rPr>
                    <w:t>7</w:t>
                  </w:r>
                  <w:r>
                    <w:rPr>
                      <w:rFonts w:cs="Times New Roman"/>
                    </w:rPr>
                    <w:t>替代燃料的储存应进行计量。</w:t>
                  </w:r>
                </w:p>
                <w:p w14:paraId="1F5ED20A" w14:textId="77777777" w:rsidR="00F76A63" w:rsidRDefault="00000000">
                  <w:pPr>
                    <w:pStyle w:val="affff8"/>
                    <w:rPr>
                      <w:rFonts w:cs="Times New Roman"/>
                    </w:rPr>
                  </w:pPr>
                  <w:r>
                    <w:rPr>
                      <w:rFonts w:cs="Times New Roman"/>
                    </w:rPr>
                    <w:t>8</w:t>
                  </w:r>
                  <w:r>
                    <w:rPr>
                      <w:rFonts w:cs="Times New Roman"/>
                    </w:rPr>
                    <w:t>自烧成系统窑头进入的替代燃料宜采用气力输送；自分解炉进入的替代燃料可根据输送距离、加入位置、分散要求等选择气力输送或机械输送。</w:t>
                  </w:r>
                </w:p>
                <w:p w14:paraId="13AC9B62" w14:textId="77777777" w:rsidR="00F76A63" w:rsidRDefault="00000000">
                  <w:pPr>
                    <w:pStyle w:val="affff8"/>
                    <w:rPr>
                      <w:rFonts w:cs="Times New Roman"/>
                    </w:rPr>
                  </w:pPr>
                  <w:r>
                    <w:rPr>
                      <w:rFonts w:cs="Times New Roman"/>
                    </w:rPr>
                    <w:t>7.4.13</w:t>
                  </w:r>
                  <w:r>
                    <w:rPr>
                      <w:rFonts w:cs="Times New Roman"/>
                    </w:rPr>
                    <w:t>工业废物的贮存周期及储量应根据工厂规模、废物来源、物料性能、运输方式、市场因素等确定，并应符合下列规定：</w:t>
                  </w:r>
                </w:p>
                <w:p w14:paraId="5FD1B898" w14:textId="77777777" w:rsidR="00F76A63" w:rsidRDefault="00000000">
                  <w:pPr>
                    <w:pStyle w:val="affff8"/>
                    <w:rPr>
                      <w:rFonts w:cs="Times New Roman"/>
                    </w:rPr>
                  </w:pPr>
                  <w:r>
                    <w:rPr>
                      <w:rFonts w:cs="Times New Roman"/>
                    </w:rPr>
                    <w:t>1</w:t>
                  </w:r>
                  <w:r>
                    <w:rPr>
                      <w:rFonts w:cs="Times New Roman"/>
                    </w:rPr>
                    <w:t>易发酵变质的工业废物应按照日产日清的原则进行处置，贮存周期应按照</w:t>
                  </w:r>
                  <w:r>
                    <w:rPr>
                      <w:rFonts w:cs="Times New Roman"/>
                    </w:rPr>
                    <w:t>1</w:t>
                  </w:r>
                  <w:r>
                    <w:rPr>
                      <w:rFonts w:cs="Times New Roman"/>
                    </w:rPr>
                    <w:t>～</w:t>
                  </w:r>
                  <w:r>
                    <w:rPr>
                      <w:rFonts w:cs="Times New Roman"/>
                    </w:rPr>
                    <w:t>1.5</w:t>
                  </w:r>
                  <w:r>
                    <w:rPr>
                      <w:rFonts w:cs="Times New Roman"/>
                    </w:rPr>
                    <w:t>天设计。</w:t>
                  </w:r>
                </w:p>
                <w:p w14:paraId="0BA38FB1" w14:textId="77777777" w:rsidR="00F76A63" w:rsidRDefault="00000000">
                  <w:pPr>
                    <w:pStyle w:val="affff8"/>
                    <w:rPr>
                      <w:rFonts w:cs="Times New Roman"/>
                    </w:rPr>
                  </w:pPr>
                  <w:r>
                    <w:rPr>
                      <w:rFonts w:cs="Times New Roman"/>
                    </w:rPr>
                    <w:t>2</w:t>
                  </w:r>
                  <w:r>
                    <w:rPr>
                      <w:rFonts w:cs="Times New Roman"/>
                    </w:rPr>
                    <w:t>一般工业废物的贮存周期储坑按</w:t>
                  </w:r>
                  <w:r>
                    <w:rPr>
                      <w:rFonts w:cs="Times New Roman"/>
                    </w:rPr>
                    <w:t>1~1.5</w:t>
                  </w:r>
                  <w:r>
                    <w:rPr>
                      <w:rFonts w:cs="Times New Roman"/>
                    </w:rPr>
                    <w:t>天设计，堆垛储存周期按照</w:t>
                  </w:r>
                  <w:r>
                    <w:rPr>
                      <w:rFonts w:cs="Times New Roman"/>
                    </w:rPr>
                    <w:t>2~3</w:t>
                  </w:r>
                  <w:r>
                    <w:rPr>
                      <w:rFonts w:cs="Times New Roman"/>
                    </w:rPr>
                    <w:t>天设计。</w:t>
                  </w:r>
                </w:p>
                <w:p w14:paraId="1CCC1F11" w14:textId="77777777" w:rsidR="00F76A63" w:rsidRDefault="00000000">
                  <w:pPr>
                    <w:pStyle w:val="affff8"/>
                    <w:rPr>
                      <w:rFonts w:cs="Times New Roman"/>
                    </w:rPr>
                  </w:pPr>
                  <w:r>
                    <w:rPr>
                      <w:rFonts w:cs="Times New Roman"/>
                    </w:rPr>
                    <w:t>3</w:t>
                  </w:r>
                  <w:r>
                    <w:rPr>
                      <w:rFonts w:cs="Times New Roman"/>
                    </w:rPr>
                    <w:t>危险废物的贮存周期储坑按照</w:t>
                  </w:r>
                  <w:r>
                    <w:rPr>
                      <w:rFonts w:cs="Times New Roman"/>
                    </w:rPr>
                    <w:t>0.5~1</w:t>
                  </w:r>
                  <w:r>
                    <w:rPr>
                      <w:rFonts w:cs="Times New Roman"/>
                    </w:rPr>
                    <w:t>天设计，堆垛储存周期按照</w:t>
                  </w:r>
                  <w:r>
                    <w:rPr>
                      <w:rFonts w:cs="Times New Roman"/>
                    </w:rPr>
                    <w:t>5~7</w:t>
                  </w:r>
                  <w:r>
                    <w:rPr>
                      <w:rFonts w:cs="Times New Roman"/>
                    </w:rPr>
                    <w:t>天设计</w:t>
                  </w:r>
                </w:p>
                <w:p w14:paraId="5DD097A1" w14:textId="77777777" w:rsidR="00F76A63" w:rsidRDefault="00000000">
                  <w:pPr>
                    <w:pStyle w:val="affff8"/>
                    <w:rPr>
                      <w:rFonts w:cs="Times New Roman"/>
                    </w:rPr>
                  </w:pPr>
                  <w:r>
                    <w:rPr>
                      <w:rFonts w:cs="Times New Roman"/>
                    </w:rPr>
                    <w:lastRenderedPageBreak/>
                    <w:t>4</w:t>
                  </w:r>
                  <w:r>
                    <w:rPr>
                      <w:rFonts w:cs="Times New Roman"/>
                    </w:rPr>
                    <w:t>采用独立库房储存的危险废物，其储存周期应按</w:t>
                  </w:r>
                  <w:r>
                    <w:rPr>
                      <w:rFonts w:cs="Times New Roman"/>
                    </w:rPr>
                    <w:t>15d~20d</w:t>
                  </w:r>
                  <w:r>
                    <w:rPr>
                      <w:rFonts w:cs="Times New Roman"/>
                    </w:rPr>
                    <w:t>设计。</w:t>
                  </w:r>
                </w:p>
                <w:p w14:paraId="2655EE21" w14:textId="77777777" w:rsidR="00F76A63" w:rsidRDefault="00000000">
                  <w:pPr>
                    <w:pStyle w:val="affff8"/>
                    <w:rPr>
                      <w:rFonts w:cs="Times New Roman"/>
                    </w:rPr>
                  </w:pPr>
                  <w:r>
                    <w:rPr>
                      <w:rFonts w:cs="Times New Roman"/>
                    </w:rPr>
                    <w:t>5</w:t>
                  </w:r>
                  <w:r>
                    <w:rPr>
                      <w:rFonts w:cs="Times New Roman"/>
                    </w:rPr>
                    <w:t>具有密封包装的无害化处置的危险废物，在厂区内的存放时间不应超过</w:t>
                  </w:r>
                  <w:r>
                    <w:rPr>
                      <w:rFonts w:cs="Times New Roman"/>
                    </w:rPr>
                    <w:t>30d</w:t>
                  </w:r>
                  <w:r>
                    <w:rPr>
                      <w:rFonts w:cs="Times New Roman"/>
                    </w:rPr>
                    <w:t>。</w:t>
                  </w:r>
                </w:p>
                <w:p w14:paraId="499D3E61" w14:textId="77777777" w:rsidR="00F76A63" w:rsidRDefault="00000000">
                  <w:pPr>
                    <w:pStyle w:val="affff8"/>
                    <w:rPr>
                      <w:rFonts w:cs="Times New Roman"/>
                    </w:rPr>
                  </w:pPr>
                  <w:r>
                    <w:rPr>
                      <w:rFonts w:cs="Times New Roman"/>
                    </w:rPr>
                    <w:t>7.4.14</w:t>
                  </w:r>
                  <w:bookmarkStart w:id="40" w:name="OLE_LINK61"/>
                  <w:r>
                    <w:rPr>
                      <w:rFonts w:cs="Times New Roman"/>
                    </w:rPr>
                    <w:t>贮存库容量的设计应满足工艺运行要求，并应满足设备大修和工业废物配伍焚烧的要求。</w:t>
                  </w:r>
                  <w:bookmarkEnd w:id="40"/>
                </w:p>
              </w:tc>
              <w:tc>
                <w:tcPr>
                  <w:tcW w:w="4692" w:type="dxa"/>
                  <w:tcBorders>
                    <w:top w:val="single" w:sz="4" w:space="0" w:color="auto"/>
                    <w:left w:val="single" w:sz="4" w:space="0" w:color="auto"/>
                    <w:bottom w:val="single" w:sz="4" w:space="0" w:color="auto"/>
                    <w:right w:val="single" w:sz="4" w:space="0" w:color="auto"/>
                  </w:tcBorders>
                  <w:vAlign w:val="center"/>
                </w:tcPr>
                <w:p w14:paraId="306EF9A3" w14:textId="77777777" w:rsidR="00F76A63" w:rsidRDefault="00000000">
                  <w:pPr>
                    <w:pStyle w:val="affff8"/>
                    <w:rPr>
                      <w:rFonts w:cs="Times New Roman"/>
                    </w:rPr>
                  </w:pPr>
                  <w:r>
                    <w:rPr>
                      <w:rFonts w:cs="Times New Roman"/>
                    </w:rPr>
                    <w:lastRenderedPageBreak/>
                    <w:t>1</w:t>
                  </w:r>
                  <w:r>
                    <w:rPr>
                      <w:rFonts w:cs="Times New Roman"/>
                    </w:rPr>
                    <w:t>、进厂污染土及污泥的初检依托现有化验室，开展固废的检测、分析。</w:t>
                  </w:r>
                </w:p>
                <w:p w14:paraId="2C6BB95C" w14:textId="77777777" w:rsidR="00F76A63" w:rsidRDefault="00000000">
                  <w:pPr>
                    <w:pStyle w:val="affff8"/>
                    <w:rPr>
                      <w:rFonts w:cs="Times New Roman"/>
                    </w:rPr>
                  </w:pPr>
                  <w:r>
                    <w:rPr>
                      <w:rFonts w:cs="Times New Roman"/>
                    </w:rPr>
                    <w:t>2</w:t>
                  </w:r>
                  <w:r>
                    <w:rPr>
                      <w:rFonts w:cs="Times New Roman"/>
                    </w:rPr>
                    <w:t>、本项目协同处置的工业废物已分类存放。已经过检测和未经过检测的工业废物分区存放；已经过检测的工业废物已按物理、化学性质分区存放。</w:t>
                  </w:r>
                </w:p>
                <w:p w14:paraId="3BB2BB6A" w14:textId="77777777" w:rsidR="00F76A63" w:rsidRDefault="00000000">
                  <w:pPr>
                    <w:pStyle w:val="affff8"/>
                    <w:rPr>
                      <w:rFonts w:cs="Times New Roman"/>
                    </w:rPr>
                  </w:pPr>
                  <w:r>
                    <w:rPr>
                      <w:rFonts w:cs="Times New Roman"/>
                    </w:rPr>
                    <w:t>3</w:t>
                  </w:r>
                  <w:r>
                    <w:rPr>
                      <w:rFonts w:cs="Times New Roman"/>
                    </w:rPr>
                    <w:t>、本项目不涉及协同处置危险废物。</w:t>
                  </w:r>
                </w:p>
                <w:p w14:paraId="52CCA5CD" w14:textId="77777777" w:rsidR="00F76A63" w:rsidRDefault="00000000">
                  <w:pPr>
                    <w:pStyle w:val="affff8"/>
                    <w:rPr>
                      <w:rFonts w:cs="Times New Roman"/>
                    </w:rPr>
                  </w:pPr>
                  <w:r>
                    <w:rPr>
                      <w:rFonts w:cs="Times New Roman"/>
                    </w:rPr>
                    <w:t>4</w:t>
                  </w:r>
                  <w:r>
                    <w:rPr>
                      <w:rFonts w:cs="Times New Roman"/>
                    </w:rPr>
                    <w:t>、本项目已按照要求建设固废的贮存场所，具体如下：</w:t>
                  </w:r>
                </w:p>
                <w:p w14:paraId="10019094" w14:textId="77777777" w:rsidR="00F76A63" w:rsidRDefault="00000000">
                  <w:pPr>
                    <w:pStyle w:val="affff8"/>
                    <w:rPr>
                      <w:rFonts w:cs="Times New Roman"/>
                    </w:rPr>
                  </w:pPr>
                  <w:r>
                    <w:rPr>
                      <w:rFonts w:ascii="Cambria Math" w:hAnsi="Cambria Math" w:cs="Cambria Math"/>
                    </w:rPr>
                    <w:t>①</w:t>
                  </w:r>
                  <w:r>
                    <w:rPr>
                      <w:rFonts w:cs="Times New Roman"/>
                    </w:rPr>
                    <w:t>贮存场所按照《环境保护图形标志－固体废物贮存</w:t>
                  </w:r>
                  <w:r>
                    <w:rPr>
                      <w:rFonts w:cs="Times New Roman"/>
                    </w:rPr>
                    <w:t>(</w:t>
                  </w:r>
                  <w:r>
                    <w:rPr>
                      <w:rFonts w:cs="Times New Roman"/>
                    </w:rPr>
                    <w:t>处置</w:t>
                  </w:r>
                  <w:r>
                    <w:rPr>
                      <w:rFonts w:cs="Times New Roman"/>
                    </w:rPr>
                    <w:t>)</w:t>
                  </w:r>
                  <w:r>
                    <w:rPr>
                      <w:rFonts w:cs="Times New Roman"/>
                    </w:rPr>
                    <w:t>场》（</w:t>
                  </w:r>
                  <w:r>
                    <w:rPr>
                      <w:rFonts w:cs="Times New Roman"/>
                    </w:rPr>
                    <w:t>GB15562.2</w:t>
                  </w:r>
                  <w:r>
                    <w:rPr>
                      <w:rFonts w:cs="Times New Roman" w:hint="eastAsia"/>
                    </w:rPr>
                    <w:t>-1995</w:t>
                  </w:r>
                  <w:r>
                    <w:rPr>
                      <w:rFonts w:cs="Times New Roman"/>
                    </w:rPr>
                    <w:t>）有关规定设置专用标志。</w:t>
                  </w:r>
                </w:p>
                <w:p w14:paraId="27142ED8" w14:textId="77777777" w:rsidR="00F76A63" w:rsidRDefault="00000000">
                  <w:pPr>
                    <w:pStyle w:val="affff8"/>
                    <w:rPr>
                      <w:rFonts w:cs="Times New Roman"/>
                    </w:rPr>
                  </w:pPr>
                  <w:r>
                    <w:rPr>
                      <w:rFonts w:ascii="Cambria Math" w:hAnsi="Cambria Math" w:cs="Cambria Math"/>
                    </w:rPr>
                    <w:lastRenderedPageBreak/>
                    <w:t>②</w:t>
                  </w:r>
                  <w:r>
                    <w:rPr>
                      <w:rFonts w:cs="Times New Roman"/>
                    </w:rPr>
                    <w:t>设定贮存设施的防酸、防碱腐蚀等级，且储坑及上方构筑物进行防酸、碱腐蚀处理。</w:t>
                  </w:r>
                </w:p>
                <w:p w14:paraId="4C55ED55" w14:textId="77777777" w:rsidR="00F76A63" w:rsidRDefault="00000000">
                  <w:pPr>
                    <w:pStyle w:val="affff8"/>
                    <w:rPr>
                      <w:rFonts w:cs="Times New Roman"/>
                    </w:rPr>
                  </w:pPr>
                  <w:r>
                    <w:rPr>
                      <w:rFonts w:ascii="Cambria Math" w:hAnsi="Cambria Math" w:cs="Cambria Math"/>
                    </w:rPr>
                    <w:t>③</w:t>
                  </w:r>
                  <w:r>
                    <w:rPr>
                      <w:rFonts w:cs="Times New Roman"/>
                    </w:rPr>
                    <w:t>一般固废由汽车卸入贮存仓库，储存期约</w:t>
                  </w:r>
                  <w:r>
                    <w:rPr>
                      <w:rFonts w:cs="Times New Roman"/>
                    </w:rPr>
                    <w:t>10</w:t>
                  </w:r>
                  <w:r>
                    <w:rPr>
                      <w:rFonts w:cs="Times New Roman"/>
                    </w:rPr>
                    <w:t>天；分别储存。</w:t>
                  </w:r>
                </w:p>
                <w:p w14:paraId="177EC00E" w14:textId="77777777" w:rsidR="00F76A63" w:rsidRDefault="00000000">
                  <w:pPr>
                    <w:pStyle w:val="affff8"/>
                    <w:rPr>
                      <w:rFonts w:cs="Times New Roman"/>
                    </w:rPr>
                  </w:pPr>
                  <w:r>
                    <w:rPr>
                      <w:rFonts w:ascii="Cambria Math" w:hAnsi="Cambria Math" w:cs="Cambria Math"/>
                    </w:rPr>
                    <w:t>④</w:t>
                  </w:r>
                  <w:r>
                    <w:rPr>
                      <w:rFonts w:cs="Times New Roman"/>
                    </w:rPr>
                    <w:t>危险废物拟建危废库，分区存放。</w:t>
                  </w:r>
                </w:p>
                <w:p w14:paraId="749A9B52" w14:textId="77777777" w:rsidR="00F76A63" w:rsidRDefault="00000000">
                  <w:pPr>
                    <w:pStyle w:val="affff8"/>
                    <w:rPr>
                      <w:rFonts w:cs="Times New Roman"/>
                    </w:rPr>
                  </w:pPr>
                  <w:r>
                    <w:rPr>
                      <w:rFonts w:ascii="Cambria Math" w:hAnsi="Cambria Math" w:cs="Cambria Math"/>
                    </w:rPr>
                    <w:t>⑤</w:t>
                  </w:r>
                  <w:r>
                    <w:rPr>
                      <w:rFonts w:cs="Times New Roman"/>
                    </w:rPr>
                    <w:t>贮存设施采取防震、防火、换气、空气净化等措施，并配备应急安全设备。</w:t>
                  </w:r>
                </w:p>
                <w:p w14:paraId="6A458881" w14:textId="77777777" w:rsidR="00F76A63" w:rsidRDefault="00000000">
                  <w:pPr>
                    <w:pStyle w:val="affff8"/>
                    <w:rPr>
                      <w:rFonts w:cs="Times New Roman"/>
                    </w:rPr>
                  </w:pPr>
                  <w:r>
                    <w:rPr>
                      <w:rFonts w:ascii="Cambria Math" w:hAnsi="Cambria Math" w:cs="Cambria Math"/>
                    </w:rPr>
                    <w:t>⑥</w:t>
                  </w:r>
                  <w:r>
                    <w:rPr>
                      <w:rFonts w:cs="Times New Roman"/>
                    </w:rPr>
                    <w:t>污泥渗滤液经渗滤液收集沟及集液坑收集</w:t>
                  </w:r>
                  <w:r>
                    <w:rPr>
                      <w:rFonts w:cs="Times New Roman" w:hint="eastAsia"/>
                    </w:rPr>
                    <w:t>至</w:t>
                  </w:r>
                  <w:r>
                    <w:rPr>
                      <w:rFonts w:hint="eastAsia"/>
                      <w:bCs/>
                      <w:kern w:val="28"/>
                      <w:szCs w:val="21"/>
                    </w:rPr>
                    <w:t>原水池和生产废水一起经中水处理系统处理后回用</w:t>
                  </w:r>
                  <w:r>
                    <w:rPr>
                      <w:rFonts w:cs="Times New Roman"/>
                    </w:rPr>
                    <w:t>，收集池按规范设置防腐防渗措施。</w:t>
                  </w:r>
                </w:p>
                <w:p w14:paraId="0892B67A" w14:textId="77777777" w:rsidR="00F76A63" w:rsidRDefault="00000000">
                  <w:pPr>
                    <w:pStyle w:val="affff8"/>
                    <w:rPr>
                      <w:rFonts w:cs="Times New Roman"/>
                    </w:rPr>
                  </w:pPr>
                  <w:r>
                    <w:rPr>
                      <w:rFonts w:ascii="Cambria Math" w:hAnsi="Cambria Math" w:cs="Cambria Math"/>
                    </w:rPr>
                    <w:t>⑦</w:t>
                  </w:r>
                  <w:bookmarkStart w:id="41" w:name="OLE_LINK63"/>
                  <w:r>
                    <w:rPr>
                      <w:rFonts w:cs="Times New Roman"/>
                    </w:rPr>
                    <w:t>本项目贮存仓库最大库容量约为</w:t>
                  </w:r>
                  <w:r>
                    <w:rPr>
                      <w:rFonts w:cs="Times New Roman"/>
                    </w:rPr>
                    <w:t>10</w:t>
                  </w:r>
                  <w:r>
                    <w:rPr>
                      <w:rFonts w:cs="Times New Roman"/>
                    </w:rPr>
                    <w:t>天贮存量，可以满足要求，并满足设备大修和工业废物配伍焚烧的要求。</w:t>
                  </w:r>
                  <w:bookmarkEnd w:id="41"/>
                </w:p>
                <w:p w14:paraId="7F6F123A" w14:textId="77777777" w:rsidR="00F76A63" w:rsidRDefault="00000000">
                  <w:pPr>
                    <w:pStyle w:val="affff8"/>
                    <w:rPr>
                      <w:rFonts w:cs="Times New Roman"/>
                    </w:rPr>
                  </w:pPr>
                  <w:r>
                    <w:rPr>
                      <w:rFonts w:cs="Times New Roman"/>
                    </w:rPr>
                    <w:t>5</w:t>
                  </w:r>
                  <w:r>
                    <w:rPr>
                      <w:rFonts w:cs="Times New Roman"/>
                    </w:rPr>
                    <w:t>、本项目不涉及废液储存，一般固废贮存过程中进厂不同废物间设置隔栅，采用密封仓贮存。</w:t>
                  </w:r>
                </w:p>
                <w:p w14:paraId="631B25D7" w14:textId="77777777" w:rsidR="00F76A63" w:rsidRDefault="00000000">
                  <w:pPr>
                    <w:pStyle w:val="affff8"/>
                    <w:rPr>
                      <w:rFonts w:cs="Times New Roman"/>
                    </w:rPr>
                  </w:pPr>
                  <w:r>
                    <w:rPr>
                      <w:rFonts w:cs="Times New Roman"/>
                    </w:rPr>
                    <w:t>6</w:t>
                  </w:r>
                  <w:r>
                    <w:rPr>
                      <w:rFonts w:cs="Times New Roman"/>
                    </w:rPr>
                    <w:t>、本项目水泥窑协同处置不涉及危险废物。</w:t>
                  </w:r>
                </w:p>
                <w:p w14:paraId="2387A32A" w14:textId="77777777" w:rsidR="00F76A63" w:rsidRDefault="00000000">
                  <w:pPr>
                    <w:pStyle w:val="affff8"/>
                    <w:rPr>
                      <w:rFonts w:cs="Times New Roman"/>
                    </w:rPr>
                  </w:pPr>
                  <w:r>
                    <w:rPr>
                      <w:rFonts w:cs="Times New Roman"/>
                    </w:rPr>
                    <w:t>7</w:t>
                  </w:r>
                  <w:r>
                    <w:rPr>
                      <w:rFonts w:cs="Times New Roman"/>
                    </w:rPr>
                    <w:t>、</w:t>
                  </w:r>
                  <w:bookmarkStart w:id="42" w:name="OLE_LINK54"/>
                  <w:r>
                    <w:rPr>
                      <w:rFonts w:cs="Times New Roman"/>
                    </w:rPr>
                    <w:t>本次协同处置的污泥及污染土作为替代原料使用，污泥贮存在待建的</w:t>
                  </w:r>
                  <w:r>
                    <w:rPr>
                      <w:rFonts w:cs="Times New Roman" w:hint="eastAsia"/>
                    </w:rPr>
                    <w:t>原料、</w:t>
                  </w:r>
                  <w:r>
                    <w:rPr>
                      <w:rFonts w:cs="Times New Roman"/>
                    </w:rPr>
                    <w:t>污染土大棚中，污染土贮存在污染土暂存库</w:t>
                  </w:r>
                  <w:r>
                    <w:rPr>
                      <w:rFonts w:cs="Times New Roman" w:hint="eastAsia"/>
                    </w:rPr>
                    <w:t>、</w:t>
                  </w:r>
                  <w:r>
                    <w:rPr>
                      <w:rFonts w:cs="Times New Roman"/>
                      <w:spacing w:val="7"/>
                      <w:szCs w:val="21"/>
                    </w:rPr>
                    <w:t>临时污染土贮存仓库</w:t>
                  </w:r>
                  <w:r>
                    <w:rPr>
                      <w:rFonts w:cs="Times New Roman" w:hint="eastAsia"/>
                      <w:spacing w:val="7"/>
                      <w:szCs w:val="21"/>
                    </w:rPr>
                    <w:t>及</w:t>
                  </w:r>
                  <w:r>
                    <w:rPr>
                      <w:rFonts w:cs="Times New Roman"/>
                      <w:spacing w:val="12"/>
                      <w:szCs w:val="21"/>
                    </w:rPr>
                    <w:t>砂岩联合堆棚</w:t>
                  </w:r>
                  <w:r>
                    <w:rPr>
                      <w:rFonts w:cs="Times New Roman"/>
                    </w:rPr>
                    <w:t>中，贮存地点满足要求。</w:t>
                  </w:r>
                </w:p>
                <w:bookmarkEnd w:id="42"/>
                <w:p w14:paraId="258B57FA" w14:textId="77777777" w:rsidR="00F76A63" w:rsidRDefault="00000000">
                  <w:pPr>
                    <w:pStyle w:val="affff8"/>
                    <w:rPr>
                      <w:rFonts w:cs="Times New Roman"/>
                    </w:rPr>
                  </w:pPr>
                  <w:r>
                    <w:rPr>
                      <w:rFonts w:cs="Times New Roman"/>
                    </w:rPr>
                    <w:t>8</w:t>
                  </w:r>
                  <w:r>
                    <w:rPr>
                      <w:rFonts w:cs="Times New Roman"/>
                    </w:rPr>
                    <w:t>、本项目不涉及替代燃料。</w:t>
                  </w:r>
                </w:p>
                <w:p w14:paraId="6DBAE3DD" w14:textId="77777777" w:rsidR="00F76A63" w:rsidRDefault="00000000">
                  <w:pPr>
                    <w:pStyle w:val="affff8"/>
                    <w:rPr>
                      <w:rFonts w:cs="Times New Roman"/>
                      <w:highlight w:val="yellow"/>
                    </w:rPr>
                  </w:pPr>
                  <w:r>
                    <w:rPr>
                      <w:rFonts w:cs="Times New Roman"/>
                    </w:rPr>
                    <w:t>9</w:t>
                  </w:r>
                  <w:r>
                    <w:rPr>
                      <w:rFonts w:cs="Times New Roman"/>
                    </w:rPr>
                    <w:t>、本项目贮存仓库最大库容量约为</w:t>
                  </w:r>
                  <w:r>
                    <w:rPr>
                      <w:rFonts w:cs="Times New Roman"/>
                    </w:rPr>
                    <w:t>10</w:t>
                  </w:r>
                  <w:r>
                    <w:rPr>
                      <w:rFonts w:cs="Times New Roman"/>
                    </w:rPr>
                    <w:t>天贮存量，可以满足要求，并满足设备大修和工业废物配伍焚烧的要求。</w:t>
                  </w:r>
                </w:p>
              </w:tc>
              <w:tc>
                <w:tcPr>
                  <w:tcW w:w="720" w:type="dxa"/>
                  <w:tcBorders>
                    <w:top w:val="single" w:sz="4" w:space="0" w:color="auto"/>
                    <w:left w:val="single" w:sz="4" w:space="0" w:color="auto"/>
                    <w:bottom w:val="single" w:sz="4" w:space="0" w:color="auto"/>
                    <w:right w:val="nil"/>
                  </w:tcBorders>
                  <w:vAlign w:val="center"/>
                </w:tcPr>
                <w:p w14:paraId="35C49184" w14:textId="77777777" w:rsidR="00F76A63" w:rsidRDefault="00000000">
                  <w:pPr>
                    <w:pStyle w:val="affff8"/>
                    <w:rPr>
                      <w:rFonts w:cs="Times New Roman"/>
                    </w:rPr>
                  </w:pPr>
                  <w:r>
                    <w:rPr>
                      <w:rFonts w:cs="Times New Roman"/>
                    </w:rPr>
                    <w:lastRenderedPageBreak/>
                    <w:t>符合</w:t>
                  </w:r>
                </w:p>
              </w:tc>
            </w:tr>
            <w:tr w:rsidR="00F76A63" w14:paraId="4E815CD0" w14:textId="77777777">
              <w:trPr>
                <w:trHeight w:val="340"/>
                <w:jc w:val="center"/>
              </w:trPr>
              <w:tc>
                <w:tcPr>
                  <w:tcW w:w="1069" w:type="dxa"/>
                  <w:vMerge w:val="restart"/>
                  <w:tcBorders>
                    <w:top w:val="single" w:sz="4" w:space="0" w:color="auto"/>
                    <w:left w:val="nil"/>
                    <w:bottom w:val="single" w:sz="4" w:space="0" w:color="auto"/>
                    <w:right w:val="single" w:sz="4" w:space="0" w:color="auto"/>
                  </w:tcBorders>
                  <w:vAlign w:val="center"/>
                </w:tcPr>
                <w:p w14:paraId="5440088E" w14:textId="77777777" w:rsidR="00F76A63" w:rsidRDefault="00000000">
                  <w:pPr>
                    <w:pStyle w:val="affff8"/>
                    <w:rPr>
                      <w:rFonts w:cs="Times New Roman"/>
                    </w:rPr>
                  </w:pPr>
                  <w:r>
                    <w:rPr>
                      <w:rFonts w:cs="Times New Roman"/>
                    </w:rPr>
                    <w:lastRenderedPageBreak/>
                    <w:t>8</w:t>
                  </w:r>
                  <w:r>
                    <w:rPr>
                      <w:rFonts w:cs="Times New Roman"/>
                    </w:rPr>
                    <w:t>、工业废物预处理系统</w:t>
                  </w:r>
                </w:p>
              </w:tc>
              <w:tc>
                <w:tcPr>
                  <w:tcW w:w="5458" w:type="dxa"/>
                  <w:tcBorders>
                    <w:top w:val="single" w:sz="4" w:space="0" w:color="auto"/>
                    <w:left w:val="single" w:sz="4" w:space="0" w:color="auto"/>
                    <w:bottom w:val="single" w:sz="4" w:space="0" w:color="auto"/>
                    <w:right w:val="single" w:sz="4" w:space="0" w:color="auto"/>
                  </w:tcBorders>
                  <w:vAlign w:val="center"/>
                </w:tcPr>
                <w:p w14:paraId="37950814" w14:textId="77777777" w:rsidR="00F76A63" w:rsidRDefault="00000000">
                  <w:pPr>
                    <w:pStyle w:val="affff8"/>
                    <w:rPr>
                      <w:rFonts w:cs="Times New Roman"/>
                    </w:rPr>
                  </w:pPr>
                  <w:r>
                    <w:rPr>
                      <w:rFonts w:cs="Times New Roman"/>
                    </w:rPr>
                    <w:t>8.1</w:t>
                  </w:r>
                  <w:r>
                    <w:rPr>
                      <w:rFonts w:cs="Times New Roman"/>
                    </w:rPr>
                    <w:t>一般规定</w:t>
                  </w:r>
                </w:p>
                <w:p w14:paraId="6B63AE98" w14:textId="77777777" w:rsidR="00F76A63" w:rsidRDefault="00000000">
                  <w:pPr>
                    <w:pStyle w:val="affff8"/>
                    <w:rPr>
                      <w:rFonts w:cs="Times New Roman"/>
                    </w:rPr>
                  </w:pPr>
                  <w:r>
                    <w:rPr>
                      <w:rFonts w:cs="Times New Roman"/>
                    </w:rPr>
                    <w:t>水泥窑协同处置工业废物预处理系统的工艺设计与设备选型应符合现行国家标准《水泥工厂设计规范》</w:t>
                  </w:r>
                  <w:r>
                    <w:rPr>
                      <w:rFonts w:cs="Times New Roman"/>
                    </w:rPr>
                    <w:t>GB50295</w:t>
                  </w:r>
                  <w:r>
                    <w:rPr>
                      <w:rFonts w:cs="Times New Roman"/>
                    </w:rPr>
                    <w:t>的有关规定。</w:t>
                  </w:r>
                </w:p>
                <w:p w14:paraId="6A2DFA6C" w14:textId="77777777" w:rsidR="00F76A63" w:rsidRDefault="00000000">
                  <w:pPr>
                    <w:pStyle w:val="affff8"/>
                    <w:rPr>
                      <w:rFonts w:cs="Times New Roman"/>
                    </w:rPr>
                  </w:pPr>
                  <w:r>
                    <w:rPr>
                      <w:rFonts w:cs="Times New Roman"/>
                    </w:rPr>
                    <w:t>8.1.1</w:t>
                  </w:r>
                  <w:r>
                    <w:rPr>
                      <w:rFonts w:cs="Times New Roman"/>
                    </w:rPr>
                    <w:t>预处理系统工艺布置应采取防止异味、粉尘的散发、溶析及渗漏等措施。</w:t>
                  </w:r>
                </w:p>
                <w:p w14:paraId="00ECEF29" w14:textId="77777777" w:rsidR="00F76A63" w:rsidRDefault="00000000">
                  <w:pPr>
                    <w:pStyle w:val="affff8"/>
                    <w:rPr>
                      <w:rFonts w:cs="Times New Roman"/>
                    </w:rPr>
                  </w:pPr>
                  <w:r>
                    <w:rPr>
                      <w:rFonts w:cs="Times New Roman"/>
                    </w:rPr>
                    <w:t>8.1.2</w:t>
                  </w:r>
                  <w:r>
                    <w:rPr>
                      <w:rFonts w:cs="Times New Roman"/>
                    </w:rPr>
                    <w:t>预处理工艺主要设备的设计年利用率应按工厂规模、工业废物处理量、主机类型、使用条件等因素确定。</w:t>
                  </w:r>
                </w:p>
              </w:tc>
              <w:tc>
                <w:tcPr>
                  <w:tcW w:w="4692" w:type="dxa"/>
                  <w:tcBorders>
                    <w:top w:val="single" w:sz="4" w:space="0" w:color="auto"/>
                    <w:left w:val="single" w:sz="4" w:space="0" w:color="auto"/>
                    <w:bottom w:val="single" w:sz="4" w:space="0" w:color="auto"/>
                    <w:right w:val="single" w:sz="4" w:space="0" w:color="auto"/>
                  </w:tcBorders>
                  <w:vAlign w:val="center"/>
                </w:tcPr>
                <w:p w14:paraId="1C9F96EB" w14:textId="77777777" w:rsidR="00F76A63" w:rsidRDefault="00000000">
                  <w:pPr>
                    <w:pStyle w:val="affff8"/>
                    <w:rPr>
                      <w:rFonts w:cs="Times New Roman"/>
                    </w:rPr>
                  </w:pPr>
                  <w:r>
                    <w:rPr>
                      <w:rFonts w:cs="Times New Roman"/>
                    </w:rPr>
                    <w:t>本项目不涉及固废预处理，进厂污染土及污泥的初检依托现有化验室，开展固废的检测、分析，后续不涉及预处理过程。</w:t>
                  </w:r>
                </w:p>
              </w:tc>
              <w:tc>
                <w:tcPr>
                  <w:tcW w:w="720" w:type="dxa"/>
                  <w:tcBorders>
                    <w:top w:val="single" w:sz="4" w:space="0" w:color="auto"/>
                    <w:left w:val="single" w:sz="4" w:space="0" w:color="auto"/>
                    <w:bottom w:val="single" w:sz="4" w:space="0" w:color="auto"/>
                    <w:right w:val="nil"/>
                  </w:tcBorders>
                  <w:vAlign w:val="center"/>
                </w:tcPr>
                <w:p w14:paraId="316D707E" w14:textId="77777777" w:rsidR="00F76A63" w:rsidRDefault="00000000">
                  <w:pPr>
                    <w:pStyle w:val="affff8"/>
                    <w:rPr>
                      <w:rFonts w:cs="Times New Roman"/>
                    </w:rPr>
                  </w:pPr>
                  <w:r>
                    <w:rPr>
                      <w:rFonts w:cs="Times New Roman"/>
                    </w:rPr>
                    <w:t>符合</w:t>
                  </w:r>
                </w:p>
              </w:tc>
            </w:tr>
            <w:tr w:rsidR="00F76A63" w14:paraId="1F4951D5"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53D2813F"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4DB542C6" w14:textId="77777777" w:rsidR="00F76A63" w:rsidRDefault="00000000">
                  <w:pPr>
                    <w:pStyle w:val="affff8"/>
                    <w:rPr>
                      <w:rFonts w:cs="Times New Roman"/>
                    </w:rPr>
                  </w:pPr>
                  <w:r>
                    <w:rPr>
                      <w:rFonts w:cs="Times New Roman"/>
                    </w:rPr>
                    <w:t>8.2</w:t>
                  </w:r>
                  <w:r>
                    <w:rPr>
                      <w:rFonts w:cs="Times New Roman"/>
                    </w:rPr>
                    <w:t>工业废物破碎、配伍系统</w:t>
                  </w:r>
                </w:p>
                <w:p w14:paraId="3DCF8D8E" w14:textId="77777777" w:rsidR="00F76A63" w:rsidRDefault="00000000">
                  <w:pPr>
                    <w:pStyle w:val="affff8"/>
                    <w:rPr>
                      <w:rFonts w:cs="Times New Roman"/>
                    </w:rPr>
                  </w:pPr>
                  <w:r>
                    <w:rPr>
                      <w:rFonts w:cs="Times New Roman"/>
                    </w:rPr>
                    <w:t>8.2.1</w:t>
                  </w:r>
                  <w:r>
                    <w:rPr>
                      <w:rFonts w:cs="Times New Roman"/>
                    </w:rPr>
                    <w:t>工业废物的破碎、配伍系统的工艺布置，应依据工业废物的来源、贮存系统的工艺布置、水泥窑接口系统工艺条件等确定。</w:t>
                  </w:r>
                </w:p>
                <w:p w14:paraId="5E766271" w14:textId="77777777" w:rsidR="00F76A63" w:rsidRDefault="00000000">
                  <w:pPr>
                    <w:pStyle w:val="affff8"/>
                    <w:rPr>
                      <w:rFonts w:cs="Times New Roman"/>
                    </w:rPr>
                  </w:pPr>
                  <w:r>
                    <w:rPr>
                      <w:rFonts w:cs="Times New Roman"/>
                    </w:rPr>
                    <w:t>8.2.2</w:t>
                  </w:r>
                  <w:r>
                    <w:rPr>
                      <w:rFonts w:cs="Times New Roman"/>
                    </w:rPr>
                    <w:t>应依据待处置工业废物的磨蚀性、来料粒度、出料粒度要求等选择破碎机的形式和破碎级数。</w:t>
                  </w:r>
                </w:p>
                <w:p w14:paraId="7EAB6B6E" w14:textId="77777777" w:rsidR="00F76A63" w:rsidRDefault="00000000">
                  <w:pPr>
                    <w:pStyle w:val="affff8"/>
                    <w:rPr>
                      <w:rFonts w:cs="Times New Roman"/>
                    </w:rPr>
                  </w:pPr>
                  <w:r>
                    <w:rPr>
                      <w:rFonts w:cs="Times New Roman"/>
                    </w:rPr>
                    <w:t>8.2.3</w:t>
                  </w:r>
                  <w:r>
                    <w:rPr>
                      <w:rFonts w:cs="Times New Roman"/>
                    </w:rPr>
                    <w:t>作为替代原料的工业废物的破碎，应选择与现有生产线共用破碎机。需单独设置破碎时，应根据物料的特性进行破碎机选型，并应选用单段破碎。</w:t>
                  </w:r>
                </w:p>
                <w:p w14:paraId="114547C3" w14:textId="77777777" w:rsidR="00F76A63" w:rsidRDefault="00000000">
                  <w:pPr>
                    <w:pStyle w:val="affff8"/>
                    <w:rPr>
                      <w:rFonts w:cs="Times New Roman"/>
                    </w:rPr>
                  </w:pPr>
                  <w:r>
                    <w:rPr>
                      <w:rFonts w:cs="Times New Roman"/>
                    </w:rPr>
                    <w:t>8.2.4</w:t>
                  </w:r>
                  <w:r>
                    <w:rPr>
                      <w:rFonts w:cs="Times New Roman"/>
                    </w:rPr>
                    <w:t>工业废物替代燃料破碎系统宜采用多级破碎。</w:t>
                  </w:r>
                </w:p>
                <w:p w14:paraId="29DEAD6D" w14:textId="77777777" w:rsidR="00F76A63" w:rsidRDefault="00000000">
                  <w:pPr>
                    <w:pStyle w:val="affff8"/>
                    <w:rPr>
                      <w:rFonts w:cs="Times New Roman"/>
                    </w:rPr>
                  </w:pPr>
                  <w:r>
                    <w:rPr>
                      <w:rFonts w:cs="Times New Roman"/>
                    </w:rPr>
                    <w:t>8.2.5</w:t>
                  </w:r>
                  <w:r>
                    <w:rPr>
                      <w:rFonts w:cs="Times New Roman"/>
                    </w:rPr>
                    <w:t>危险废物破碎机应设置防爆通道及不可破碎物排出通道。</w:t>
                  </w:r>
                </w:p>
                <w:p w14:paraId="5EB0012B" w14:textId="77777777" w:rsidR="00F76A63" w:rsidRDefault="00000000">
                  <w:pPr>
                    <w:pStyle w:val="affff8"/>
                    <w:rPr>
                      <w:rFonts w:cs="Times New Roman"/>
                    </w:rPr>
                  </w:pPr>
                  <w:r>
                    <w:rPr>
                      <w:rFonts w:cs="Times New Roman"/>
                    </w:rPr>
                    <w:t>8.2.6</w:t>
                  </w:r>
                  <w:r>
                    <w:rPr>
                      <w:rFonts w:cs="Times New Roman"/>
                    </w:rPr>
                    <w:t>应采用分选工艺去除工业废物中对水泥生产有害的组分，对富集的有害组分应采取后续处置措施。</w:t>
                  </w:r>
                </w:p>
                <w:p w14:paraId="2129AEE8" w14:textId="77777777" w:rsidR="00F76A63" w:rsidRDefault="00000000">
                  <w:pPr>
                    <w:pStyle w:val="affff8"/>
                    <w:rPr>
                      <w:rFonts w:cs="Times New Roman"/>
                    </w:rPr>
                  </w:pPr>
                  <w:r>
                    <w:rPr>
                      <w:rFonts w:cs="Times New Roman"/>
                    </w:rPr>
                    <w:t>8.2.7</w:t>
                  </w:r>
                  <w:r>
                    <w:rPr>
                      <w:rFonts w:cs="Times New Roman"/>
                    </w:rPr>
                    <w:t>工业废物的分选宜选用组合分选装置。如需采用多级装备组合，各设备的处理能力应按照工业废物分选的能力要求进行匹配。</w:t>
                  </w:r>
                </w:p>
                <w:p w14:paraId="5727BD6A" w14:textId="77777777" w:rsidR="00F76A63" w:rsidRDefault="00000000">
                  <w:pPr>
                    <w:pStyle w:val="affff8"/>
                    <w:rPr>
                      <w:rFonts w:cs="Times New Roman"/>
                    </w:rPr>
                  </w:pPr>
                  <w:r>
                    <w:rPr>
                      <w:rFonts w:cs="Times New Roman"/>
                    </w:rPr>
                    <w:t>8.2.8</w:t>
                  </w:r>
                  <w:r>
                    <w:rPr>
                      <w:rFonts w:cs="Times New Roman"/>
                    </w:rPr>
                    <w:t>处置危险废物的分选设备应设置安全防爆装置。</w:t>
                  </w:r>
                </w:p>
                <w:p w14:paraId="2A9A821F" w14:textId="77777777" w:rsidR="00F76A63" w:rsidRDefault="00000000">
                  <w:pPr>
                    <w:pStyle w:val="affff8"/>
                    <w:rPr>
                      <w:rFonts w:cs="Times New Roman"/>
                    </w:rPr>
                  </w:pPr>
                  <w:r>
                    <w:rPr>
                      <w:rFonts w:cs="Times New Roman"/>
                    </w:rPr>
                    <w:lastRenderedPageBreak/>
                    <w:t>8.2.9</w:t>
                  </w:r>
                  <w:r>
                    <w:rPr>
                      <w:rFonts w:cs="Times New Roman"/>
                    </w:rPr>
                    <w:t>采用混合搅拌配伍的工业废物，所选择的混料器若采用螺旋结构，应设置为可正、反转，并应可实现缠绕条状废物自解套。</w:t>
                  </w:r>
                </w:p>
                <w:p w14:paraId="047EA759" w14:textId="77777777" w:rsidR="00F76A63" w:rsidRDefault="00000000">
                  <w:pPr>
                    <w:pStyle w:val="affff8"/>
                    <w:rPr>
                      <w:rFonts w:cs="Times New Roman"/>
                    </w:rPr>
                  </w:pPr>
                  <w:r>
                    <w:rPr>
                      <w:rFonts w:cs="Times New Roman"/>
                    </w:rPr>
                    <w:t>8.2.10</w:t>
                  </w:r>
                  <w:r>
                    <w:rPr>
                      <w:rFonts w:cs="Times New Roman"/>
                    </w:rPr>
                    <w:t>处置危险废物的混合搅拌配伍设备，应设置温度、可燃气体成分与浓度监测，并应配置观察孔、防爆阀接口等设施。</w:t>
                  </w:r>
                </w:p>
                <w:p w14:paraId="09E6AAC5" w14:textId="77777777" w:rsidR="00F76A63" w:rsidRDefault="00000000">
                  <w:pPr>
                    <w:pStyle w:val="affff8"/>
                    <w:rPr>
                      <w:rFonts w:cs="Times New Roman"/>
                    </w:rPr>
                  </w:pPr>
                  <w:r>
                    <w:rPr>
                      <w:rFonts w:cs="Times New Roman"/>
                    </w:rPr>
                    <w:t>8.2.11</w:t>
                  </w:r>
                  <w:r>
                    <w:rPr>
                      <w:rFonts w:cs="Times New Roman"/>
                    </w:rPr>
                    <w:t>工业废物替代燃料进行水分、热值、有害组分调配时，若采用干燥、分选、输送等设备联用可满足均化要求，则不宜设置独立的混合配伍装置。</w:t>
                  </w:r>
                </w:p>
              </w:tc>
              <w:tc>
                <w:tcPr>
                  <w:tcW w:w="4692" w:type="dxa"/>
                  <w:tcBorders>
                    <w:top w:val="single" w:sz="4" w:space="0" w:color="auto"/>
                    <w:left w:val="single" w:sz="4" w:space="0" w:color="auto"/>
                    <w:bottom w:val="single" w:sz="4" w:space="0" w:color="auto"/>
                    <w:right w:val="single" w:sz="4" w:space="0" w:color="auto"/>
                  </w:tcBorders>
                  <w:vAlign w:val="center"/>
                </w:tcPr>
                <w:p w14:paraId="71320C33" w14:textId="77777777" w:rsidR="00F76A63" w:rsidRDefault="00000000">
                  <w:pPr>
                    <w:pStyle w:val="affff8"/>
                    <w:rPr>
                      <w:rFonts w:cs="Times New Roman"/>
                    </w:rPr>
                  </w:pPr>
                  <w:r>
                    <w:rPr>
                      <w:rFonts w:cs="Times New Roman"/>
                    </w:rPr>
                    <w:lastRenderedPageBreak/>
                    <w:t>1</w:t>
                  </w:r>
                  <w:r>
                    <w:rPr>
                      <w:rFonts w:cs="Times New Roman"/>
                    </w:rPr>
                    <w:t>、本项目不涉及固废预处理，污染土及污泥作为替代原料，满足入厂标准后与现有常规生料共用均化、配伍。</w:t>
                  </w:r>
                </w:p>
                <w:p w14:paraId="280AE90E" w14:textId="77777777" w:rsidR="00F76A63" w:rsidRDefault="00000000">
                  <w:pPr>
                    <w:pStyle w:val="affff8"/>
                    <w:rPr>
                      <w:rFonts w:cs="Times New Roman"/>
                    </w:rPr>
                  </w:pPr>
                  <w:r>
                    <w:rPr>
                      <w:rFonts w:cs="Times New Roman"/>
                    </w:rPr>
                    <w:t>企业现有工业废物破碎、配伍系统：</w:t>
                  </w:r>
                </w:p>
                <w:p w14:paraId="459B808C" w14:textId="77777777" w:rsidR="00F76A63" w:rsidRDefault="00000000">
                  <w:pPr>
                    <w:pStyle w:val="affff8"/>
                    <w:rPr>
                      <w:rFonts w:cs="Times New Roman"/>
                    </w:rPr>
                  </w:pPr>
                  <w:r>
                    <w:rPr>
                      <w:rFonts w:ascii="Cambria Math" w:hAnsi="Cambria Math" w:cs="Cambria Math"/>
                    </w:rPr>
                    <w:t>①</w:t>
                  </w:r>
                  <w:r>
                    <w:rPr>
                      <w:rFonts w:cs="Times New Roman"/>
                    </w:rPr>
                    <w:t>协同处置的固废破碎依据一般固废的来源、贮存系统的工艺布置、水泥窑接口系统工艺条件等确定工业废物的破碎、配伍系统的工艺布置。</w:t>
                  </w:r>
                </w:p>
                <w:p w14:paraId="799F591E" w14:textId="77777777" w:rsidR="00F76A63" w:rsidRDefault="00000000">
                  <w:pPr>
                    <w:pStyle w:val="affff8"/>
                    <w:rPr>
                      <w:rFonts w:cs="Times New Roman"/>
                    </w:rPr>
                  </w:pPr>
                  <w:r>
                    <w:rPr>
                      <w:rFonts w:ascii="Cambria Math" w:hAnsi="Cambria Math" w:cs="Cambria Math"/>
                    </w:rPr>
                    <w:t>②</w:t>
                  </w:r>
                  <w:r>
                    <w:rPr>
                      <w:rFonts w:cs="Times New Roman"/>
                    </w:rPr>
                    <w:t>依据待处置工业废物的磨蚀性、来料粒度、出料粒度要求等选择破碎机的型式和破碎级数。</w:t>
                  </w:r>
                </w:p>
                <w:p w14:paraId="712AC111" w14:textId="77777777" w:rsidR="00F76A63" w:rsidRDefault="00000000">
                  <w:pPr>
                    <w:pStyle w:val="affff8"/>
                    <w:rPr>
                      <w:rFonts w:cs="Times New Roman"/>
                    </w:rPr>
                  </w:pPr>
                  <w:r>
                    <w:rPr>
                      <w:rFonts w:ascii="Cambria Math" w:hAnsi="Cambria Math" w:cs="Cambria Math"/>
                    </w:rPr>
                    <w:t>③</w:t>
                  </w:r>
                  <w:r>
                    <w:rPr>
                      <w:rFonts w:cs="Times New Roman"/>
                    </w:rPr>
                    <w:t>作为替代燃料使用的废物为经过破碎后的固废，符合协同处置要求。</w:t>
                  </w:r>
                </w:p>
                <w:p w14:paraId="103D9C0B" w14:textId="77777777" w:rsidR="00F76A63" w:rsidRDefault="00000000">
                  <w:pPr>
                    <w:pStyle w:val="affff8"/>
                    <w:rPr>
                      <w:rFonts w:cs="Times New Roman"/>
                    </w:rPr>
                  </w:pPr>
                  <w:r>
                    <w:rPr>
                      <w:rFonts w:ascii="Cambria Math" w:hAnsi="Cambria Math" w:cs="Cambria Math"/>
                    </w:rPr>
                    <w:t>④</w:t>
                  </w:r>
                  <w:r>
                    <w:rPr>
                      <w:rFonts w:cs="Times New Roman"/>
                    </w:rPr>
                    <w:t>本项目水泥窑协同处置不涉及危险废物。</w:t>
                  </w:r>
                </w:p>
                <w:p w14:paraId="26981702" w14:textId="77777777" w:rsidR="00F76A63" w:rsidRDefault="00000000">
                  <w:pPr>
                    <w:pStyle w:val="affff8"/>
                    <w:rPr>
                      <w:rFonts w:cs="Times New Roman"/>
                    </w:rPr>
                  </w:pPr>
                  <w:r>
                    <w:rPr>
                      <w:rFonts w:ascii="Cambria Math" w:hAnsi="Cambria Math" w:cs="Cambria Math"/>
                    </w:rPr>
                    <w:t>⑤</w:t>
                  </w:r>
                  <w:r>
                    <w:rPr>
                      <w:rFonts w:cs="Times New Roman"/>
                    </w:rPr>
                    <w:t>台泥水泥进行一般固废预处理时采用分选工艺去除工业废物中对水泥生产有害的组分，对富集的有害组分应采取后续处置措施。</w:t>
                  </w:r>
                </w:p>
                <w:p w14:paraId="33B7665E" w14:textId="77777777" w:rsidR="00F76A63" w:rsidRDefault="00000000">
                  <w:pPr>
                    <w:pStyle w:val="affff8"/>
                    <w:rPr>
                      <w:rFonts w:cs="Times New Roman"/>
                    </w:rPr>
                  </w:pPr>
                  <w:r>
                    <w:rPr>
                      <w:rFonts w:ascii="Cambria Math" w:hAnsi="Cambria Math" w:cs="Cambria Math"/>
                    </w:rPr>
                    <w:t>⑥</w:t>
                  </w:r>
                  <w:r>
                    <w:rPr>
                      <w:rFonts w:cs="Times New Roman"/>
                    </w:rPr>
                    <w:t>台泥水泥进行工业废物的分选时选用组合分选装置，各设备的处理能力应按照工业废物分选的能力要求进行匹配。</w:t>
                  </w:r>
                </w:p>
                <w:p w14:paraId="1DDEF84C" w14:textId="77777777" w:rsidR="00F76A63" w:rsidRDefault="00000000">
                  <w:pPr>
                    <w:pStyle w:val="affff8"/>
                    <w:rPr>
                      <w:rFonts w:cs="Times New Roman"/>
                    </w:rPr>
                  </w:pPr>
                  <w:r>
                    <w:rPr>
                      <w:rFonts w:ascii="Cambria Math" w:hAnsi="Cambria Math" w:cs="Cambria Math"/>
                    </w:rPr>
                    <w:lastRenderedPageBreak/>
                    <w:t>⑦</w:t>
                  </w:r>
                  <w:r>
                    <w:rPr>
                      <w:rFonts w:cs="Times New Roman"/>
                    </w:rPr>
                    <w:t>替代燃料进行水分、热值、有害组分调配时，可满足均化要求，无须设置独立的混合配伍装置。</w:t>
                  </w:r>
                </w:p>
              </w:tc>
              <w:tc>
                <w:tcPr>
                  <w:tcW w:w="720" w:type="dxa"/>
                  <w:tcBorders>
                    <w:top w:val="single" w:sz="4" w:space="0" w:color="auto"/>
                    <w:left w:val="single" w:sz="4" w:space="0" w:color="auto"/>
                    <w:bottom w:val="single" w:sz="4" w:space="0" w:color="auto"/>
                    <w:right w:val="nil"/>
                  </w:tcBorders>
                  <w:vAlign w:val="center"/>
                </w:tcPr>
                <w:p w14:paraId="0DE82E6A" w14:textId="77777777" w:rsidR="00F76A63" w:rsidRDefault="00000000">
                  <w:pPr>
                    <w:pStyle w:val="affff8"/>
                    <w:rPr>
                      <w:rFonts w:cs="Times New Roman"/>
                    </w:rPr>
                  </w:pPr>
                  <w:r>
                    <w:rPr>
                      <w:rFonts w:cs="Times New Roman"/>
                    </w:rPr>
                    <w:lastRenderedPageBreak/>
                    <w:t>符合</w:t>
                  </w:r>
                </w:p>
              </w:tc>
            </w:tr>
            <w:tr w:rsidR="00F76A63" w14:paraId="47C70CDB"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5AD50A21"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39F28535" w14:textId="77777777" w:rsidR="00F76A63" w:rsidRDefault="00000000">
                  <w:pPr>
                    <w:pStyle w:val="affff8"/>
                    <w:rPr>
                      <w:rFonts w:cs="Times New Roman"/>
                    </w:rPr>
                  </w:pPr>
                  <w:r>
                    <w:rPr>
                      <w:rFonts w:cs="Times New Roman"/>
                    </w:rPr>
                    <w:t>8.3</w:t>
                  </w:r>
                  <w:r>
                    <w:rPr>
                      <w:rFonts w:cs="Times New Roman"/>
                    </w:rPr>
                    <w:t>工业废物的干化处理</w:t>
                  </w:r>
                </w:p>
                <w:p w14:paraId="27ED0757" w14:textId="77777777" w:rsidR="00F76A63" w:rsidRDefault="00000000">
                  <w:pPr>
                    <w:pStyle w:val="affff8"/>
                    <w:rPr>
                      <w:rFonts w:cs="Times New Roman"/>
                    </w:rPr>
                  </w:pPr>
                  <w:r>
                    <w:rPr>
                      <w:rFonts w:cs="Times New Roman"/>
                    </w:rPr>
                    <w:t>8.3.1</w:t>
                  </w:r>
                  <w:r>
                    <w:rPr>
                      <w:rFonts w:cs="Times New Roman"/>
                    </w:rPr>
                    <w:t>水分含量高的工业废物作为替代燃料处置，应单独设置干化系统。</w:t>
                  </w:r>
                </w:p>
                <w:p w14:paraId="4B3F5A37" w14:textId="77777777" w:rsidR="00F76A63" w:rsidRDefault="00000000">
                  <w:pPr>
                    <w:pStyle w:val="affff8"/>
                    <w:rPr>
                      <w:rFonts w:cs="Times New Roman"/>
                    </w:rPr>
                  </w:pPr>
                  <w:r>
                    <w:rPr>
                      <w:rFonts w:cs="Times New Roman"/>
                    </w:rPr>
                    <w:t>8.3.2</w:t>
                  </w:r>
                  <w:r>
                    <w:rPr>
                      <w:rFonts w:cs="Times New Roman"/>
                    </w:rPr>
                    <w:t>应依据所处置危险废物的闪燃点确定干化设备的工作温度和干燥介质的氧气浓度。</w:t>
                  </w:r>
                </w:p>
                <w:p w14:paraId="5874C001" w14:textId="77777777" w:rsidR="00F76A63" w:rsidRDefault="00000000">
                  <w:pPr>
                    <w:pStyle w:val="affff8"/>
                    <w:rPr>
                      <w:rFonts w:cs="Times New Roman"/>
                    </w:rPr>
                  </w:pPr>
                  <w:r>
                    <w:rPr>
                      <w:rFonts w:cs="Times New Roman"/>
                    </w:rPr>
                    <w:t>8.3.3</w:t>
                  </w:r>
                  <w:r>
                    <w:rPr>
                      <w:rFonts w:cs="Times New Roman"/>
                    </w:rPr>
                    <w:t>干化后工业废物的水分含量应依据替代燃料的制备及水泥窑处置的经济性确定，必须满足输送、贮存和计量的要求。</w:t>
                  </w:r>
                </w:p>
                <w:p w14:paraId="11F6BFE8" w14:textId="77777777" w:rsidR="00F76A63" w:rsidRDefault="00000000">
                  <w:pPr>
                    <w:pStyle w:val="affff8"/>
                    <w:rPr>
                      <w:rFonts w:cs="Times New Roman"/>
                    </w:rPr>
                  </w:pPr>
                  <w:r>
                    <w:rPr>
                      <w:rFonts w:cs="Times New Roman"/>
                    </w:rPr>
                    <w:t>8.3.4</w:t>
                  </w:r>
                  <w:r>
                    <w:rPr>
                      <w:rFonts w:cs="Times New Roman"/>
                    </w:rPr>
                    <w:t>干化的热源应采用烧成系统的废气，当烧成系统的废气量无法满足要求时，可从分解炉抽取部分高温烟气作为干化热源，也可单独设置燃烧装置供热。此部分的热耗应计入工业废物预处理热耗。</w:t>
                  </w:r>
                </w:p>
                <w:p w14:paraId="422CDD14" w14:textId="77777777" w:rsidR="00F76A63" w:rsidRDefault="00000000">
                  <w:pPr>
                    <w:pStyle w:val="affff8"/>
                    <w:rPr>
                      <w:rFonts w:cs="Times New Roman"/>
                    </w:rPr>
                  </w:pPr>
                  <w:r>
                    <w:rPr>
                      <w:rFonts w:cs="Times New Roman"/>
                    </w:rPr>
                    <w:t>8.3.5</w:t>
                  </w:r>
                  <w:r>
                    <w:rPr>
                      <w:rFonts w:cs="Times New Roman"/>
                    </w:rPr>
                    <w:t>干化系统的工艺流程应依据工业废物的性质、水分蒸发量，烧成系统的废热供应能力等进行选择，可采用烟气直接干燥或间接干燥。</w:t>
                  </w:r>
                </w:p>
                <w:p w14:paraId="4E2A3224" w14:textId="77777777" w:rsidR="00F76A63" w:rsidRDefault="00000000">
                  <w:pPr>
                    <w:pStyle w:val="affff8"/>
                    <w:rPr>
                      <w:rFonts w:cs="Times New Roman"/>
                    </w:rPr>
                  </w:pPr>
                  <w:r>
                    <w:rPr>
                      <w:rFonts w:cs="Times New Roman"/>
                    </w:rPr>
                    <w:t>8.3.6</w:t>
                  </w:r>
                  <w:r>
                    <w:rPr>
                      <w:rFonts w:cs="Times New Roman"/>
                    </w:rPr>
                    <w:t>干化系统的除尘应采用袋收尘器、收尘设备须设置防爆、防燃、防静电设施，收尘器出口的烟气温度应控制在高于露点温度</w:t>
                  </w:r>
                  <w:r>
                    <w:rPr>
                      <w:rFonts w:cs="Times New Roman"/>
                    </w:rPr>
                    <w:t>30℃</w:t>
                  </w:r>
                  <w:r>
                    <w:rPr>
                      <w:rFonts w:cs="Times New Roman"/>
                    </w:rPr>
                    <w:t>以上。</w:t>
                  </w:r>
                </w:p>
              </w:tc>
              <w:tc>
                <w:tcPr>
                  <w:tcW w:w="4692" w:type="dxa"/>
                  <w:tcBorders>
                    <w:top w:val="single" w:sz="4" w:space="0" w:color="auto"/>
                    <w:left w:val="single" w:sz="4" w:space="0" w:color="auto"/>
                    <w:bottom w:val="single" w:sz="4" w:space="0" w:color="auto"/>
                    <w:right w:val="single" w:sz="4" w:space="0" w:color="auto"/>
                  </w:tcBorders>
                  <w:vAlign w:val="center"/>
                </w:tcPr>
                <w:p w14:paraId="43D25BCE" w14:textId="77777777" w:rsidR="00F76A63" w:rsidRDefault="00000000">
                  <w:pPr>
                    <w:pStyle w:val="affff8"/>
                    <w:rPr>
                      <w:rFonts w:cs="Times New Roman"/>
                    </w:rPr>
                  </w:pPr>
                  <w:r>
                    <w:rPr>
                      <w:rFonts w:cs="Times New Roman"/>
                    </w:rPr>
                    <w:t>本项目水泥窑协同处置的污染土及污泥不作为替代燃料使用，不涉及工业废物的干化处理。</w:t>
                  </w:r>
                </w:p>
                <w:p w14:paraId="7818C7AC" w14:textId="77777777" w:rsidR="00F76A63" w:rsidRDefault="00000000">
                  <w:pPr>
                    <w:pStyle w:val="affff8"/>
                    <w:rPr>
                      <w:rFonts w:cs="Times New Roman"/>
                      <w:highlight w:val="yellow"/>
                    </w:rPr>
                  </w:pPr>
                  <w:r>
                    <w:rPr>
                      <w:rFonts w:cs="Times New Roman"/>
                    </w:rPr>
                    <w:t>现有项目中作为燃料替代利用的工业废物为废轮胎、废纺、废塑胶、</w:t>
                  </w:r>
                  <w:r>
                    <w:rPr>
                      <w:rFonts w:cs="Times New Roman"/>
                    </w:rPr>
                    <w:t>RDF</w:t>
                  </w:r>
                  <w:r>
                    <w:rPr>
                      <w:rFonts w:cs="Times New Roman"/>
                    </w:rPr>
                    <w:t>、生物质等一般固废，水分小于</w:t>
                  </w:r>
                  <w:r>
                    <w:rPr>
                      <w:rFonts w:cs="Times New Roman"/>
                    </w:rPr>
                    <w:t>20%</w:t>
                  </w:r>
                  <w:r>
                    <w:rPr>
                      <w:rFonts w:cs="Times New Roman"/>
                    </w:rPr>
                    <w:t>，无需单独设置干化系统。</w:t>
                  </w:r>
                </w:p>
              </w:tc>
              <w:tc>
                <w:tcPr>
                  <w:tcW w:w="720" w:type="dxa"/>
                  <w:tcBorders>
                    <w:top w:val="single" w:sz="4" w:space="0" w:color="auto"/>
                    <w:left w:val="single" w:sz="4" w:space="0" w:color="auto"/>
                    <w:bottom w:val="single" w:sz="4" w:space="0" w:color="auto"/>
                    <w:right w:val="nil"/>
                  </w:tcBorders>
                  <w:vAlign w:val="center"/>
                </w:tcPr>
                <w:p w14:paraId="69B10984" w14:textId="77777777" w:rsidR="00F76A63" w:rsidRDefault="00000000">
                  <w:pPr>
                    <w:pStyle w:val="affff8"/>
                    <w:rPr>
                      <w:rFonts w:cs="Times New Roman"/>
                    </w:rPr>
                  </w:pPr>
                  <w:r>
                    <w:rPr>
                      <w:rFonts w:cs="Times New Roman"/>
                    </w:rPr>
                    <w:t>符合</w:t>
                  </w:r>
                </w:p>
              </w:tc>
            </w:tr>
            <w:tr w:rsidR="00F76A63" w14:paraId="3104563A" w14:textId="77777777">
              <w:trPr>
                <w:trHeight w:val="340"/>
                <w:jc w:val="center"/>
              </w:trPr>
              <w:tc>
                <w:tcPr>
                  <w:tcW w:w="1069" w:type="dxa"/>
                  <w:vMerge w:val="restart"/>
                  <w:tcBorders>
                    <w:top w:val="single" w:sz="4" w:space="0" w:color="auto"/>
                    <w:left w:val="nil"/>
                    <w:bottom w:val="single" w:sz="4" w:space="0" w:color="auto"/>
                    <w:right w:val="single" w:sz="4" w:space="0" w:color="auto"/>
                  </w:tcBorders>
                  <w:vAlign w:val="center"/>
                </w:tcPr>
                <w:p w14:paraId="3A4509B9" w14:textId="77777777" w:rsidR="00F76A63" w:rsidRDefault="00000000">
                  <w:pPr>
                    <w:pStyle w:val="affff8"/>
                    <w:rPr>
                      <w:rFonts w:cs="Times New Roman"/>
                    </w:rPr>
                  </w:pPr>
                  <w:r>
                    <w:rPr>
                      <w:rFonts w:cs="Times New Roman"/>
                    </w:rPr>
                    <w:t>9</w:t>
                  </w:r>
                  <w:r>
                    <w:rPr>
                      <w:rFonts w:cs="Times New Roman"/>
                    </w:rPr>
                    <w:t>、水泥窑协同处置工业废物的接口设计</w:t>
                  </w:r>
                </w:p>
              </w:tc>
              <w:tc>
                <w:tcPr>
                  <w:tcW w:w="5458" w:type="dxa"/>
                  <w:tcBorders>
                    <w:top w:val="single" w:sz="4" w:space="0" w:color="auto"/>
                    <w:left w:val="single" w:sz="4" w:space="0" w:color="auto"/>
                    <w:bottom w:val="single" w:sz="4" w:space="0" w:color="auto"/>
                    <w:right w:val="single" w:sz="4" w:space="0" w:color="auto"/>
                  </w:tcBorders>
                  <w:vAlign w:val="center"/>
                </w:tcPr>
                <w:p w14:paraId="0592C1B9" w14:textId="77777777" w:rsidR="00F76A63" w:rsidRDefault="00000000">
                  <w:pPr>
                    <w:pStyle w:val="affff8"/>
                    <w:rPr>
                      <w:rFonts w:cs="Times New Roman"/>
                    </w:rPr>
                  </w:pPr>
                  <w:r>
                    <w:rPr>
                      <w:rFonts w:cs="Times New Roman"/>
                    </w:rPr>
                    <w:t>9.1</w:t>
                  </w:r>
                  <w:r>
                    <w:rPr>
                      <w:rFonts w:cs="Times New Roman"/>
                    </w:rPr>
                    <w:t>替代原料的接口设计</w:t>
                  </w:r>
                </w:p>
                <w:p w14:paraId="6A1E7C91" w14:textId="77777777" w:rsidR="00F76A63" w:rsidRDefault="00000000">
                  <w:pPr>
                    <w:pStyle w:val="affff8"/>
                    <w:rPr>
                      <w:rFonts w:cs="Times New Roman"/>
                    </w:rPr>
                  </w:pPr>
                  <w:r>
                    <w:rPr>
                      <w:rFonts w:cs="Times New Roman"/>
                    </w:rPr>
                    <w:t>9.1.1</w:t>
                  </w:r>
                  <w:r>
                    <w:rPr>
                      <w:rFonts w:cs="Times New Roman"/>
                    </w:rPr>
                    <w:t>工业废物替代原料贮存仓（库）的设计应符合以下规定：</w:t>
                  </w:r>
                </w:p>
                <w:p w14:paraId="2E9DC6E1" w14:textId="77777777" w:rsidR="00F76A63" w:rsidRDefault="00000000">
                  <w:pPr>
                    <w:pStyle w:val="affff8"/>
                    <w:rPr>
                      <w:rFonts w:cs="Times New Roman"/>
                    </w:rPr>
                  </w:pPr>
                  <w:r>
                    <w:rPr>
                      <w:rFonts w:cs="Times New Roman"/>
                    </w:rPr>
                    <w:t>1</w:t>
                  </w:r>
                  <w:r>
                    <w:rPr>
                      <w:rFonts w:cs="Times New Roman"/>
                    </w:rPr>
                    <w:t>、贮存仓的规格、个数应按照处置规模及替代原料的贮存期确定。</w:t>
                  </w:r>
                </w:p>
                <w:p w14:paraId="75E37768" w14:textId="77777777" w:rsidR="00F76A63" w:rsidRDefault="00000000">
                  <w:pPr>
                    <w:pStyle w:val="affff8"/>
                    <w:rPr>
                      <w:rFonts w:cs="Times New Roman"/>
                    </w:rPr>
                  </w:pPr>
                  <w:r>
                    <w:rPr>
                      <w:rFonts w:cs="Times New Roman"/>
                    </w:rPr>
                    <w:lastRenderedPageBreak/>
                    <w:t>2</w:t>
                  </w:r>
                  <w:r>
                    <w:rPr>
                      <w:rFonts w:cs="Times New Roman"/>
                    </w:rPr>
                    <w:t>、替代原料贮存仓应按照处置废物的类别单独设置。</w:t>
                  </w:r>
                </w:p>
                <w:p w14:paraId="3268D089" w14:textId="77777777" w:rsidR="00F76A63" w:rsidRDefault="00000000">
                  <w:pPr>
                    <w:pStyle w:val="affff8"/>
                    <w:rPr>
                      <w:rFonts w:cs="Times New Roman"/>
                    </w:rPr>
                  </w:pPr>
                  <w:r>
                    <w:rPr>
                      <w:rFonts w:cs="Times New Roman"/>
                    </w:rPr>
                    <w:t>3</w:t>
                  </w:r>
                  <w:r>
                    <w:rPr>
                      <w:rFonts w:cs="Times New Roman"/>
                    </w:rPr>
                    <w:t>、采用储库的，其库顶厂房的设置应依据建设单位的地区气候特点确定。</w:t>
                  </w:r>
                </w:p>
                <w:p w14:paraId="7A14E611" w14:textId="77777777" w:rsidR="00F76A63" w:rsidRDefault="00000000">
                  <w:pPr>
                    <w:pStyle w:val="affff8"/>
                    <w:rPr>
                      <w:rFonts w:cs="Times New Roman"/>
                    </w:rPr>
                  </w:pPr>
                  <w:r>
                    <w:rPr>
                      <w:rFonts w:cs="Times New Roman"/>
                    </w:rPr>
                    <w:t>4</w:t>
                  </w:r>
                  <w:r>
                    <w:rPr>
                      <w:rFonts w:cs="Times New Roman"/>
                    </w:rPr>
                    <w:t>、贮存仓的卸料口数量应满足贮存仓</w:t>
                  </w:r>
                  <w:r>
                    <w:rPr>
                      <w:rFonts w:cs="Times New Roman"/>
                    </w:rPr>
                    <w:t>100%</w:t>
                  </w:r>
                  <w:r>
                    <w:rPr>
                      <w:rFonts w:cs="Times New Roman"/>
                    </w:rPr>
                    <w:t>卸空的要求。</w:t>
                  </w:r>
                </w:p>
                <w:p w14:paraId="0ECB1343" w14:textId="77777777" w:rsidR="00F76A63" w:rsidRDefault="00000000">
                  <w:pPr>
                    <w:pStyle w:val="affff8"/>
                    <w:rPr>
                      <w:rFonts w:cs="Times New Roman"/>
                    </w:rPr>
                  </w:pPr>
                  <w:r>
                    <w:rPr>
                      <w:rFonts w:cs="Times New Roman"/>
                    </w:rPr>
                    <w:t>5</w:t>
                  </w:r>
                  <w:r>
                    <w:rPr>
                      <w:rFonts w:cs="Times New Roman"/>
                    </w:rPr>
                    <w:t>、替代原料的计量宜选用定量给料机。</w:t>
                  </w:r>
                </w:p>
                <w:p w14:paraId="1FAEB933" w14:textId="77777777" w:rsidR="00F76A63" w:rsidRDefault="00000000">
                  <w:pPr>
                    <w:pStyle w:val="affff8"/>
                    <w:rPr>
                      <w:rFonts w:cs="Times New Roman"/>
                    </w:rPr>
                  </w:pPr>
                  <w:r>
                    <w:rPr>
                      <w:rFonts w:cs="Times New Roman"/>
                    </w:rPr>
                    <w:t>6</w:t>
                  </w:r>
                  <w:r>
                    <w:rPr>
                      <w:rFonts w:cs="Times New Roman"/>
                    </w:rPr>
                    <w:t>、贮存仓与卸料设施之间应配置闸板阀门。</w:t>
                  </w:r>
                </w:p>
                <w:p w14:paraId="0D03946D" w14:textId="77777777" w:rsidR="00F76A63" w:rsidRDefault="00000000">
                  <w:pPr>
                    <w:pStyle w:val="affff8"/>
                    <w:rPr>
                      <w:rFonts w:cs="Times New Roman"/>
                    </w:rPr>
                  </w:pPr>
                  <w:r>
                    <w:rPr>
                      <w:rFonts w:cs="Times New Roman"/>
                    </w:rPr>
                    <w:t>9.1.2</w:t>
                  </w:r>
                  <w:r>
                    <w:rPr>
                      <w:rFonts w:cs="Times New Roman"/>
                    </w:rPr>
                    <w:t>工业废物替代原料储存仓（或储库）的除尘设计，应符合下列要求：</w:t>
                  </w:r>
                </w:p>
                <w:p w14:paraId="5D61C43B" w14:textId="77777777" w:rsidR="00F76A63" w:rsidRDefault="00000000">
                  <w:pPr>
                    <w:pStyle w:val="affff8"/>
                    <w:rPr>
                      <w:rFonts w:cs="Times New Roman"/>
                    </w:rPr>
                  </w:pPr>
                  <w:r>
                    <w:rPr>
                      <w:rFonts w:cs="Times New Roman"/>
                    </w:rPr>
                    <w:t>1</w:t>
                  </w:r>
                  <w:r>
                    <w:rPr>
                      <w:rFonts w:cs="Times New Roman"/>
                    </w:rPr>
                    <w:t>所有卸料扬尘点应设置收集气装置。</w:t>
                  </w:r>
                </w:p>
                <w:p w14:paraId="0AB1F2D7" w14:textId="77777777" w:rsidR="00F76A63" w:rsidRDefault="00000000">
                  <w:pPr>
                    <w:pStyle w:val="affff8"/>
                    <w:rPr>
                      <w:rFonts w:cs="Times New Roman"/>
                    </w:rPr>
                  </w:pPr>
                  <w:r>
                    <w:rPr>
                      <w:rFonts w:cs="Times New Roman"/>
                    </w:rPr>
                    <w:t>2</w:t>
                  </w:r>
                  <w:r>
                    <w:rPr>
                      <w:rFonts w:cs="Times New Roman"/>
                    </w:rPr>
                    <w:t>地沟及密封的输送走廊应配置通风设施。</w:t>
                  </w:r>
                </w:p>
              </w:tc>
              <w:tc>
                <w:tcPr>
                  <w:tcW w:w="4692" w:type="dxa"/>
                  <w:vMerge w:val="restart"/>
                  <w:tcBorders>
                    <w:top w:val="single" w:sz="4" w:space="0" w:color="auto"/>
                    <w:left w:val="single" w:sz="4" w:space="0" w:color="auto"/>
                    <w:right w:val="single" w:sz="4" w:space="0" w:color="auto"/>
                  </w:tcBorders>
                  <w:vAlign w:val="center"/>
                </w:tcPr>
                <w:p w14:paraId="67BDC8B1" w14:textId="77777777" w:rsidR="00F76A63" w:rsidRDefault="00000000">
                  <w:pPr>
                    <w:pStyle w:val="affff8"/>
                    <w:rPr>
                      <w:rFonts w:cs="Times New Roman"/>
                    </w:rPr>
                  </w:pPr>
                  <w:r>
                    <w:rPr>
                      <w:rFonts w:cs="Times New Roman"/>
                    </w:rPr>
                    <w:lastRenderedPageBreak/>
                    <w:t>1</w:t>
                  </w:r>
                  <w:r>
                    <w:rPr>
                      <w:rFonts w:cs="Times New Roman"/>
                    </w:rPr>
                    <w:t>、本项目协同处置的污染土及污泥，污染土及污泥均作为替代原料利用；</w:t>
                  </w:r>
                </w:p>
                <w:p w14:paraId="76C91D0B" w14:textId="77777777" w:rsidR="00F76A63" w:rsidRDefault="00000000">
                  <w:pPr>
                    <w:pStyle w:val="affff8"/>
                    <w:rPr>
                      <w:rFonts w:cs="Times New Roman"/>
                    </w:rPr>
                  </w:pPr>
                  <w:r>
                    <w:rPr>
                      <w:rFonts w:ascii="Cambria Math" w:hAnsi="Cambria Math" w:cs="Cambria Math"/>
                    </w:rPr>
                    <w:t>①</w:t>
                  </w:r>
                  <w:r>
                    <w:rPr>
                      <w:rFonts w:cs="Times New Roman"/>
                    </w:rPr>
                    <w:t>污染土贮存在现有</w:t>
                  </w:r>
                  <w:r>
                    <w:rPr>
                      <w:rFonts w:cs="Times New Roman" w:hint="eastAsia"/>
                    </w:rPr>
                    <w:t>污染土暂存库、临时污染土贮存仓库及砂岩联合堆棚</w:t>
                  </w:r>
                  <w:r>
                    <w:rPr>
                      <w:rFonts w:cs="Times New Roman"/>
                    </w:rPr>
                    <w:t>中；</w:t>
                  </w:r>
                </w:p>
                <w:p w14:paraId="1C6C1AAC" w14:textId="77777777" w:rsidR="00F76A63" w:rsidRDefault="00000000">
                  <w:pPr>
                    <w:pStyle w:val="affff8"/>
                    <w:rPr>
                      <w:rFonts w:cs="Times New Roman"/>
                    </w:rPr>
                  </w:pPr>
                  <w:r>
                    <w:rPr>
                      <w:rFonts w:ascii="Cambria Math" w:hAnsi="Cambria Math" w:cs="Cambria Math"/>
                    </w:rPr>
                    <w:t>②</w:t>
                  </w:r>
                  <w:r>
                    <w:rPr>
                      <w:rFonts w:cs="Times New Roman"/>
                    </w:rPr>
                    <w:t>污泥贮存在拟建的</w:t>
                  </w:r>
                  <w:r>
                    <w:rPr>
                      <w:rFonts w:cs="Times New Roman" w:hint="eastAsia"/>
                    </w:rPr>
                    <w:t>原料、</w:t>
                  </w:r>
                  <w:r>
                    <w:rPr>
                      <w:rFonts w:cs="Times New Roman"/>
                    </w:rPr>
                    <w:t>污染土堆棚中；</w:t>
                  </w:r>
                </w:p>
                <w:p w14:paraId="7A47ECB5" w14:textId="77777777" w:rsidR="00F76A63" w:rsidRDefault="00000000">
                  <w:pPr>
                    <w:pStyle w:val="affff8"/>
                    <w:rPr>
                      <w:rFonts w:cs="Times New Roman"/>
                    </w:rPr>
                  </w:pPr>
                  <w:r>
                    <w:rPr>
                      <w:rFonts w:ascii="Cambria Math" w:hAnsi="Cambria Math" w:cs="Cambria Math"/>
                    </w:rPr>
                    <w:lastRenderedPageBreak/>
                    <w:t>③</w:t>
                  </w:r>
                  <w:r>
                    <w:rPr>
                      <w:rFonts w:cs="Times New Roman"/>
                    </w:rPr>
                    <w:t>原料计量采用定量给料机；</w:t>
                  </w:r>
                </w:p>
                <w:p w14:paraId="3450CCBF" w14:textId="77777777" w:rsidR="00F76A63" w:rsidRDefault="00000000">
                  <w:pPr>
                    <w:pStyle w:val="affff8"/>
                    <w:rPr>
                      <w:rFonts w:cs="Times New Roman"/>
                    </w:rPr>
                  </w:pPr>
                  <w:r>
                    <w:rPr>
                      <w:rFonts w:ascii="Cambria Math" w:hAnsi="Cambria Math" w:cs="Cambria Math"/>
                    </w:rPr>
                    <w:t>④</w:t>
                  </w:r>
                  <w:r>
                    <w:rPr>
                      <w:rFonts w:cs="Times New Roman"/>
                    </w:rPr>
                    <w:t>所有卸料及转运扬尘点均设置废气收集及处理装置。</w:t>
                  </w:r>
                </w:p>
                <w:p w14:paraId="1ACB91EE" w14:textId="77777777" w:rsidR="00F76A63" w:rsidRDefault="00000000">
                  <w:pPr>
                    <w:pStyle w:val="affff8"/>
                    <w:rPr>
                      <w:rFonts w:cs="Times New Roman"/>
                    </w:rPr>
                  </w:pPr>
                  <w:r>
                    <w:rPr>
                      <w:rFonts w:cs="Times New Roman"/>
                    </w:rPr>
                    <w:t>2</w:t>
                  </w:r>
                  <w:r>
                    <w:rPr>
                      <w:rFonts w:cs="Times New Roman"/>
                    </w:rPr>
                    <w:t>、本项目协同处置的污染土及污泥不作为燃料替代利用。</w:t>
                  </w:r>
                </w:p>
              </w:tc>
              <w:tc>
                <w:tcPr>
                  <w:tcW w:w="720" w:type="dxa"/>
                  <w:vMerge w:val="restart"/>
                  <w:tcBorders>
                    <w:top w:val="single" w:sz="4" w:space="0" w:color="auto"/>
                    <w:left w:val="single" w:sz="4" w:space="0" w:color="auto"/>
                    <w:right w:val="nil"/>
                  </w:tcBorders>
                  <w:vAlign w:val="center"/>
                </w:tcPr>
                <w:p w14:paraId="0EAA2970" w14:textId="77777777" w:rsidR="00F76A63" w:rsidRDefault="00000000">
                  <w:pPr>
                    <w:pStyle w:val="affff8"/>
                    <w:rPr>
                      <w:rFonts w:cs="Times New Roman"/>
                    </w:rPr>
                  </w:pPr>
                  <w:r>
                    <w:rPr>
                      <w:rFonts w:cs="Times New Roman"/>
                    </w:rPr>
                    <w:lastRenderedPageBreak/>
                    <w:t>符合</w:t>
                  </w:r>
                </w:p>
              </w:tc>
            </w:tr>
            <w:tr w:rsidR="00F76A63" w14:paraId="60A3935B"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0E6CACD1"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7A2E74CF" w14:textId="77777777" w:rsidR="00F76A63" w:rsidRDefault="00000000">
                  <w:pPr>
                    <w:pStyle w:val="affff8"/>
                    <w:rPr>
                      <w:rFonts w:cs="Times New Roman"/>
                    </w:rPr>
                  </w:pPr>
                  <w:r>
                    <w:rPr>
                      <w:rFonts w:cs="Times New Roman"/>
                    </w:rPr>
                    <w:t>9.2</w:t>
                  </w:r>
                  <w:r>
                    <w:rPr>
                      <w:rFonts w:cs="Times New Roman"/>
                    </w:rPr>
                    <w:t>替代燃料的接口设计</w:t>
                  </w:r>
                </w:p>
                <w:p w14:paraId="634433D1" w14:textId="77777777" w:rsidR="00F76A63" w:rsidRDefault="00000000">
                  <w:pPr>
                    <w:pStyle w:val="affff8"/>
                    <w:rPr>
                      <w:rFonts w:cs="Times New Roman"/>
                    </w:rPr>
                  </w:pPr>
                  <w:r>
                    <w:rPr>
                      <w:rFonts w:cs="Times New Roman"/>
                    </w:rPr>
                    <w:t>9.2.1</w:t>
                  </w:r>
                  <w:r>
                    <w:rPr>
                      <w:rFonts w:cs="Times New Roman"/>
                    </w:rPr>
                    <w:t>工业废物替代燃料进入水泥窑焚烧时应符合下列要求：</w:t>
                  </w:r>
                </w:p>
                <w:p w14:paraId="4A84B443" w14:textId="77777777" w:rsidR="00F76A63" w:rsidRDefault="00000000">
                  <w:pPr>
                    <w:pStyle w:val="affff8"/>
                    <w:rPr>
                      <w:rFonts w:cs="Times New Roman"/>
                    </w:rPr>
                  </w:pPr>
                  <w:r>
                    <w:rPr>
                      <w:rFonts w:cs="Times New Roman"/>
                    </w:rPr>
                    <w:t>1</w:t>
                  </w:r>
                  <w:r>
                    <w:rPr>
                      <w:rFonts w:cs="Times New Roman"/>
                    </w:rPr>
                    <w:t>废液替代燃料应采用独立管道系统，其喷射进料口可附设在水泥烧成系统窑头燃烧器上，也可单独设置。</w:t>
                  </w:r>
                </w:p>
                <w:p w14:paraId="60045849" w14:textId="77777777" w:rsidR="00F76A63" w:rsidRDefault="00000000">
                  <w:pPr>
                    <w:pStyle w:val="affff8"/>
                    <w:rPr>
                      <w:rFonts w:cs="Times New Roman"/>
                    </w:rPr>
                  </w:pPr>
                  <w:r>
                    <w:rPr>
                      <w:rFonts w:cs="Times New Roman"/>
                    </w:rPr>
                    <w:t>2</w:t>
                  </w:r>
                  <w:r>
                    <w:rPr>
                      <w:rFonts w:cs="Times New Roman"/>
                    </w:rPr>
                    <w:t>废液喷射前应进行雾化处理，雾化粒度应根据替代燃料的燃烧速度控制要求确定。</w:t>
                  </w:r>
                </w:p>
                <w:p w14:paraId="21BBE294" w14:textId="77777777" w:rsidR="00F76A63" w:rsidRDefault="00000000">
                  <w:pPr>
                    <w:pStyle w:val="affff8"/>
                    <w:rPr>
                      <w:rFonts w:cs="Times New Roman"/>
                    </w:rPr>
                  </w:pPr>
                  <w:r>
                    <w:rPr>
                      <w:rFonts w:cs="Times New Roman"/>
                    </w:rPr>
                    <w:t>3</w:t>
                  </w:r>
                  <w:r>
                    <w:rPr>
                      <w:rFonts w:cs="Times New Roman"/>
                    </w:rPr>
                    <w:t>废液喷射入水泥回转窑后，燃烧火焰区域应与现有燃烧器火焰区域相互重叠。</w:t>
                  </w:r>
                </w:p>
                <w:p w14:paraId="3FF01D7C" w14:textId="77777777" w:rsidR="00F76A63" w:rsidRDefault="00000000">
                  <w:pPr>
                    <w:pStyle w:val="affff8"/>
                    <w:rPr>
                      <w:rFonts w:cs="Times New Roman"/>
                    </w:rPr>
                  </w:pPr>
                  <w:r>
                    <w:rPr>
                      <w:rFonts w:cs="Times New Roman"/>
                    </w:rPr>
                    <w:t>4</w:t>
                  </w:r>
                  <w:r>
                    <w:rPr>
                      <w:rFonts w:cs="Times New Roman"/>
                    </w:rPr>
                    <w:t>采用气力输送固体替代燃料进入水泥窑，喷射风速应大于</w:t>
                  </w:r>
                  <w:r>
                    <w:rPr>
                      <w:rFonts w:cs="Times New Roman"/>
                    </w:rPr>
                    <w:t>25m/s</w:t>
                  </w:r>
                  <w:r>
                    <w:rPr>
                      <w:rFonts w:cs="Times New Roman"/>
                    </w:rPr>
                    <w:t>，颗粒状废物的粒度应控制在</w:t>
                  </w:r>
                  <w:r>
                    <w:rPr>
                      <w:rFonts w:cs="Times New Roman"/>
                    </w:rPr>
                    <w:t>5mm</w:t>
                  </w:r>
                  <w:r>
                    <w:rPr>
                      <w:rFonts w:cs="Times New Roman"/>
                    </w:rPr>
                    <w:t>以下，碎片状废物的粒度应控制在</w:t>
                  </w:r>
                  <w:r>
                    <w:rPr>
                      <w:rFonts w:cs="Times New Roman"/>
                    </w:rPr>
                    <w:t>25mm</w:t>
                  </w:r>
                  <w:r>
                    <w:rPr>
                      <w:rFonts w:cs="Times New Roman"/>
                    </w:rPr>
                    <w:t>以下。</w:t>
                  </w:r>
                </w:p>
                <w:p w14:paraId="79A7F017" w14:textId="77777777" w:rsidR="00F76A63" w:rsidRDefault="00000000">
                  <w:pPr>
                    <w:pStyle w:val="affff8"/>
                    <w:rPr>
                      <w:rFonts w:cs="Times New Roman"/>
                    </w:rPr>
                  </w:pPr>
                  <w:r>
                    <w:rPr>
                      <w:rFonts w:cs="Times New Roman"/>
                    </w:rPr>
                    <w:t>5</w:t>
                  </w:r>
                  <w:r>
                    <w:rPr>
                      <w:rFonts w:cs="Times New Roman"/>
                    </w:rPr>
                    <w:t>固体替代燃料焚烧应在燃烧器主燃烧火焰中进行，废物燃烧应与煤粉燃烧喷出至开始燃烧的距离一致。</w:t>
                  </w:r>
                </w:p>
                <w:p w14:paraId="3AB29E96" w14:textId="77777777" w:rsidR="00F76A63" w:rsidRDefault="00000000">
                  <w:pPr>
                    <w:pStyle w:val="affff8"/>
                    <w:rPr>
                      <w:rFonts w:cs="Times New Roman"/>
                    </w:rPr>
                  </w:pPr>
                  <w:r>
                    <w:rPr>
                      <w:rFonts w:cs="Times New Roman"/>
                    </w:rPr>
                    <w:t>9.2.2</w:t>
                  </w:r>
                  <w:r>
                    <w:rPr>
                      <w:rFonts w:cs="Times New Roman"/>
                    </w:rPr>
                    <w:t>工业废物替代燃料进入分解焚烧炉时，应符合下列条件：</w:t>
                  </w:r>
                </w:p>
                <w:p w14:paraId="717AC09F" w14:textId="77777777" w:rsidR="00F76A63" w:rsidRDefault="00000000">
                  <w:pPr>
                    <w:pStyle w:val="affff8"/>
                    <w:rPr>
                      <w:rFonts w:cs="Times New Roman"/>
                    </w:rPr>
                  </w:pPr>
                  <w:r>
                    <w:rPr>
                      <w:rFonts w:cs="Times New Roman"/>
                    </w:rPr>
                    <w:t>1</w:t>
                  </w:r>
                  <w:r>
                    <w:rPr>
                      <w:rFonts w:cs="Times New Roman"/>
                    </w:rPr>
                    <w:t>替代燃料进入分解炉焚烧应在气流分散良好，且其在分解炉内燃烧停留时间应满足燃尽的要求。</w:t>
                  </w:r>
                </w:p>
                <w:p w14:paraId="0D3C95B1" w14:textId="77777777" w:rsidR="00F76A63" w:rsidRDefault="00000000">
                  <w:pPr>
                    <w:pStyle w:val="affff8"/>
                    <w:rPr>
                      <w:rFonts w:cs="Times New Roman"/>
                    </w:rPr>
                  </w:pPr>
                  <w:r>
                    <w:rPr>
                      <w:rFonts w:cs="Times New Roman"/>
                    </w:rPr>
                    <w:t>2</w:t>
                  </w:r>
                  <w:r>
                    <w:rPr>
                      <w:rFonts w:cs="Times New Roman"/>
                    </w:rPr>
                    <w:t>替代燃料入料口应设置锁风装置，大块的替代燃料采用间歇式进料时，应设置双道锁风。</w:t>
                  </w:r>
                </w:p>
                <w:p w14:paraId="68475993" w14:textId="77777777" w:rsidR="00F76A63" w:rsidRDefault="00000000">
                  <w:pPr>
                    <w:pStyle w:val="affff8"/>
                    <w:rPr>
                      <w:rFonts w:cs="Times New Roman"/>
                    </w:rPr>
                  </w:pPr>
                  <w:r>
                    <w:rPr>
                      <w:rFonts w:cs="Times New Roman"/>
                    </w:rPr>
                    <w:t>3</w:t>
                  </w:r>
                  <w:r>
                    <w:rPr>
                      <w:rFonts w:cs="Times New Roman"/>
                    </w:rPr>
                    <w:t>粉状及细颗粒物料可采用气动或机械输送，且替代燃料应在进入分解炉前进行计量。</w:t>
                  </w:r>
                </w:p>
                <w:p w14:paraId="14445809" w14:textId="77777777" w:rsidR="00F76A63" w:rsidRDefault="00000000">
                  <w:pPr>
                    <w:pStyle w:val="affff8"/>
                    <w:rPr>
                      <w:rFonts w:cs="Times New Roman"/>
                    </w:rPr>
                  </w:pPr>
                  <w:r>
                    <w:rPr>
                      <w:rFonts w:cs="Times New Roman"/>
                    </w:rPr>
                    <w:lastRenderedPageBreak/>
                    <w:t>4</w:t>
                  </w:r>
                  <w:r>
                    <w:rPr>
                      <w:rFonts w:cs="Times New Roman"/>
                    </w:rPr>
                    <w:t>技改工程增设的替代燃料利用系统中的储存仓、输送、计量、锁风设备，不应妨碍现有水泥生产线正常的维护、检修、巡视通道要求。</w:t>
                  </w:r>
                </w:p>
                <w:p w14:paraId="1CF21FDF" w14:textId="77777777" w:rsidR="00F76A63" w:rsidRDefault="00000000">
                  <w:pPr>
                    <w:pStyle w:val="affff8"/>
                    <w:rPr>
                      <w:rFonts w:cs="Times New Roman"/>
                    </w:rPr>
                  </w:pPr>
                  <w:r>
                    <w:rPr>
                      <w:rFonts w:cs="Times New Roman"/>
                    </w:rPr>
                    <w:t>5</w:t>
                  </w:r>
                  <w:r>
                    <w:rPr>
                      <w:rFonts w:cs="Times New Roman"/>
                    </w:rPr>
                    <w:t>粘性较强的替代燃料，应在替代燃料进入分解炉的卸料口处设置防堵塞装置。</w:t>
                  </w:r>
                </w:p>
                <w:p w14:paraId="0FBD763F" w14:textId="77777777" w:rsidR="00F76A63" w:rsidRDefault="00000000">
                  <w:pPr>
                    <w:pStyle w:val="affff8"/>
                    <w:rPr>
                      <w:rFonts w:cs="Times New Roman"/>
                    </w:rPr>
                  </w:pPr>
                  <w:r>
                    <w:rPr>
                      <w:rFonts w:cs="Times New Roman"/>
                    </w:rPr>
                    <w:t>6</w:t>
                  </w:r>
                  <w:r>
                    <w:rPr>
                      <w:rFonts w:cs="Times New Roman"/>
                    </w:rPr>
                    <w:t>分解炉的替代燃料入料口附近的耐火材料，应根据替代燃料的燃烧特点进行设计。</w:t>
                  </w:r>
                </w:p>
              </w:tc>
              <w:tc>
                <w:tcPr>
                  <w:tcW w:w="4692" w:type="dxa"/>
                  <w:vMerge/>
                  <w:tcBorders>
                    <w:left w:val="single" w:sz="4" w:space="0" w:color="auto"/>
                    <w:bottom w:val="single" w:sz="4" w:space="0" w:color="auto"/>
                    <w:right w:val="single" w:sz="4" w:space="0" w:color="auto"/>
                  </w:tcBorders>
                  <w:vAlign w:val="center"/>
                </w:tcPr>
                <w:p w14:paraId="726E0642" w14:textId="77777777" w:rsidR="00F76A63" w:rsidRDefault="00F76A63">
                  <w:pPr>
                    <w:pStyle w:val="affff8"/>
                    <w:rPr>
                      <w:rFonts w:cs="Times New Roman"/>
                      <w:highlight w:val="yellow"/>
                    </w:rPr>
                  </w:pPr>
                </w:p>
              </w:tc>
              <w:tc>
                <w:tcPr>
                  <w:tcW w:w="720" w:type="dxa"/>
                  <w:vMerge/>
                  <w:tcBorders>
                    <w:left w:val="single" w:sz="4" w:space="0" w:color="auto"/>
                    <w:bottom w:val="single" w:sz="4" w:space="0" w:color="auto"/>
                    <w:right w:val="nil"/>
                  </w:tcBorders>
                  <w:vAlign w:val="center"/>
                </w:tcPr>
                <w:p w14:paraId="01F2F4BC" w14:textId="77777777" w:rsidR="00F76A63" w:rsidRDefault="00F76A63">
                  <w:pPr>
                    <w:pStyle w:val="affff8"/>
                    <w:rPr>
                      <w:rFonts w:cs="Times New Roman"/>
                    </w:rPr>
                  </w:pPr>
                </w:p>
              </w:tc>
            </w:tr>
            <w:tr w:rsidR="00F76A63" w14:paraId="795B61CD"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7E58F9B3"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36705199" w14:textId="77777777" w:rsidR="00F76A63" w:rsidRDefault="00000000">
                  <w:pPr>
                    <w:pStyle w:val="affff8"/>
                    <w:rPr>
                      <w:rFonts w:cs="Times New Roman"/>
                    </w:rPr>
                  </w:pPr>
                  <w:r>
                    <w:rPr>
                      <w:rFonts w:cs="Times New Roman"/>
                    </w:rPr>
                    <w:t>9.3</w:t>
                  </w:r>
                  <w:r>
                    <w:rPr>
                      <w:rFonts w:cs="Times New Roman"/>
                    </w:rPr>
                    <w:t>水泥窑协同处置危险废物的接口设计</w:t>
                  </w:r>
                </w:p>
                <w:p w14:paraId="0DF720F1" w14:textId="77777777" w:rsidR="00F76A63" w:rsidRDefault="00000000">
                  <w:pPr>
                    <w:pStyle w:val="affff8"/>
                    <w:rPr>
                      <w:rFonts w:cs="Times New Roman"/>
                    </w:rPr>
                  </w:pPr>
                  <w:r>
                    <w:rPr>
                      <w:rFonts w:cs="Times New Roman"/>
                    </w:rPr>
                    <w:t>9.3.1</w:t>
                  </w:r>
                  <w:r>
                    <w:rPr>
                      <w:rFonts w:cs="Times New Roman"/>
                    </w:rPr>
                    <w:t>水泥窑协同处置危险废物的接口设计应符合以下规定：</w:t>
                  </w:r>
                </w:p>
                <w:p w14:paraId="5CB78688" w14:textId="77777777" w:rsidR="00F76A63" w:rsidRDefault="00000000">
                  <w:pPr>
                    <w:pStyle w:val="affff8"/>
                    <w:rPr>
                      <w:rFonts w:cs="Times New Roman"/>
                    </w:rPr>
                  </w:pPr>
                  <w:r>
                    <w:rPr>
                      <w:rFonts w:cs="Times New Roman"/>
                    </w:rPr>
                    <w:t>1</w:t>
                  </w:r>
                  <w:r>
                    <w:rPr>
                      <w:rFonts w:cs="Times New Roman"/>
                    </w:rPr>
                    <w:t>利用烧成系统窑头处置的危险废物，危险废物在窑内的停留时间应满足重金属固化的要求，采用压缩空气作为动力向水泥窑内投射的危险废物，应进行包装或采用已有的包装容器。</w:t>
                  </w:r>
                </w:p>
                <w:p w14:paraId="07B0E61A" w14:textId="77777777" w:rsidR="00F76A63" w:rsidRDefault="00000000">
                  <w:pPr>
                    <w:pStyle w:val="affff8"/>
                    <w:rPr>
                      <w:rFonts w:cs="Times New Roman"/>
                    </w:rPr>
                  </w:pPr>
                  <w:r>
                    <w:rPr>
                      <w:rFonts w:cs="Times New Roman"/>
                    </w:rPr>
                    <w:t>2</w:t>
                  </w:r>
                  <w:r>
                    <w:rPr>
                      <w:rFonts w:cs="Times New Roman"/>
                    </w:rPr>
                    <w:t>水泥窑尾及上升烟道耐火材料应能抗碱金属和酸的腐蚀。</w:t>
                  </w:r>
                </w:p>
                <w:p w14:paraId="28782CFE" w14:textId="77777777" w:rsidR="00F76A63" w:rsidRDefault="00000000">
                  <w:pPr>
                    <w:pStyle w:val="affff8"/>
                    <w:rPr>
                      <w:rFonts w:cs="Times New Roman"/>
                    </w:rPr>
                  </w:pPr>
                  <w:r>
                    <w:rPr>
                      <w:rFonts w:cs="Times New Roman"/>
                    </w:rPr>
                    <w:t>3</w:t>
                  </w:r>
                  <w:r>
                    <w:rPr>
                      <w:rFonts w:cs="Times New Roman"/>
                    </w:rPr>
                    <w:t>危险废物的输送、计量、锁风、分散设备应设置操作、维护检修平台。</w:t>
                  </w:r>
                </w:p>
                <w:p w14:paraId="2562D2EF" w14:textId="77777777" w:rsidR="00F76A63" w:rsidRDefault="00000000">
                  <w:pPr>
                    <w:pStyle w:val="affff8"/>
                    <w:rPr>
                      <w:rFonts w:cs="Times New Roman"/>
                    </w:rPr>
                  </w:pPr>
                  <w:r>
                    <w:rPr>
                      <w:rFonts w:cs="Times New Roman"/>
                    </w:rPr>
                    <w:t>4</w:t>
                  </w:r>
                  <w:r>
                    <w:rPr>
                      <w:rFonts w:cs="Times New Roman"/>
                    </w:rPr>
                    <w:t>利用水泥窑协同处置危险废物，窑尾宜增设空气炮的配置，增设比例以</w:t>
                  </w:r>
                  <w:r>
                    <w:rPr>
                      <w:rFonts w:cs="Times New Roman"/>
                    </w:rPr>
                    <w:t>15%~25%</w:t>
                  </w:r>
                  <w:r>
                    <w:rPr>
                      <w:rFonts w:cs="Times New Roman"/>
                    </w:rPr>
                    <w:t>为宜。</w:t>
                  </w:r>
                </w:p>
                <w:p w14:paraId="5B42D950" w14:textId="77777777" w:rsidR="00F76A63" w:rsidRDefault="00000000">
                  <w:pPr>
                    <w:pStyle w:val="affff8"/>
                    <w:rPr>
                      <w:rFonts w:cs="Times New Roman"/>
                    </w:rPr>
                  </w:pPr>
                  <w:r>
                    <w:rPr>
                      <w:rFonts w:cs="Times New Roman"/>
                    </w:rPr>
                    <w:t>5</w:t>
                  </w:r>
                  <w:r>
                    <w:rPr>
                      <w:rFonts w:cs="Times New Roman"/>
                    </w:rPr>
                    <w:t>利用现有水泥窑系统平台作为废物周转场地时，应保证人流、物流通道，且不得挤占耐火材料堆积区域，同时结构设计应计入该部分荷重。</w:t>
                  </w:r>
                </w:p>
                <w:p w14:paraId="2E97BEA3" w14:textId="77777777" w:rsidR="00F76A63" w:rsidRDefault="00000000">
                  <w:pPr>
                    <w:pStyle w:val="affff8"/>
                    <w:rPr>
                      <w:rFonts w:cs="Times New Roman"/>
                    </w:rPr>
                  </w:pPr>
                  <w:r>
                    <w:rPr>
                      <w:rFonts w:cs="Times New Roman"/>
                    </w:rPr>
                    <w:t>9.3.2</w:t>
                  </w:r>
                  <w:r>
                    <w:rPr>
                      <w:rFonts w:cs="Times New Roman"/>
                    </w:rPr>
                    <w:t>当危险废物的有害成分影响水泥烧成系统正常生产时，宜进行旁路放风处理。</w:t>
                  </w:r>
                </w:p>
              </w:tc>
              <w:tc>
                <w:tcPr>
                  <w:tcW w:w="4692" w:type="dxa"/>
                  <w:tcBorders>
                    <w:top w:val="single" w:sz="4" w:space="0" w:color="auto"/>
                    <w:left w:val="single" w:sz="4" w:space="0" w:color="auto"/>
                    <w:bottom w:val="single" w:sz="4" w:space="0" w:color="auto"/>
                    <w:right w:val="single" w:sz="4" w:space="0" w:color="auto"/>
                  </w:tcBorders>
                  <w:vAlign w:val="center"/>
                </w:tcPr>
                <w:p w14:paraId="0E792E43" w14:textId="77777777" w:rsidR="00F76A63" w:rsidRDefault="00000000">
                  <w:pPr>
                    <w:pStyle w:val="affff8"/>
                    <w:rPr>
                      <w:rFonts w:cs="Times New Roman"/>
                      <w:highlight w:val="yellow"/>
                    </w:rPr>
                  </w:pPr>
                  <w:r>
                    <w:rPr>
                      <w:rFonts w:cs="Times New Roman"/>
                    </w:rPr>
                    <w:t>1</w:t>
                  </w:r>
                  <w:r>
                    <w:rPr>
                      <w:rFonts w:cs="Times New Roman"/>
                    </w:rPr>
                    <w:t>、本项目协同处置物料不涉及危险废物。</w:t>
                  </w:r>
                </w:p>
              </w:tc>
              <w:tc>
                <w:tcPr>
                  <w:tcW w:w="720" w:type="dxa"/>
                  <w:tcBorders>
                    <w:top w:val="single" w:sz="4" w:space="0" w:color="auto"/>
                    <w:left w:val="single" w:sz="4" w:space="0" w:color="auto"/>
                    <w:bottom w:val="single" w:sz="4" w:space="0" w:color="auto"/>
                    <w:right w:val="nil"/>
                  </w:tcBorders>
                  <w:vAlign w:val="center"/>
                </w:tcPr>
                <w:p w14:paraId="59F078E9" w14:textId="77777777" w:rsidR="00F76A63" w:rsidRDefault="00000000">
                  <w:pPr>
                    <w:pStyle w:val="affff8"/>
                    <w:rPr>
                      <w:rFonts w:cs="Times New Roman"/>
                    </w:rPr>
                  </w:pPr>
                  <w:r>
                    <w:rPr>
                      <w:rFonts w:cs="Times New Roman"/>
                    </w:rPr>
                    <w:t>符合</w:t>
                  </w:r>
                </w:p>
              </w:tc>
            </w:tr>
            <w:tr w:rsidR="00F76A63" w14:paraId="6FF5BFF6" w14:textId="77777777">
              <w:trPr>
                <w:trHeight w:val="340"/>
                <w:jc w:val="center"/>
              </w:trPr>
              <w:tc>
                <w:tcPr>
                  <w:tcW w:w="1069" w:type="dxa"/>
                  <w:vMerge w:val="restart"/>
                  <w:tcBorders>
                    <w:top w:val="single" w:sz="4" w:space="0" w:color="auto"/>
                    <w:left w:val="nil"/>
                    <w:bottom w:val="single" w:sz="4" w:space="0" w:color="auto"/>
                    <w:right w:val="single" w:sz="4" w:space="0" w:color="auto"/>
                  </w:tcBorders>
                  <w:vAlign w:val="center"/>
                </w:tcPr>
                <w:p w14:paraId="41C3E989" w14:textId="77777777" w:rsidR="00F76A63" w:rsidRDefault="00000000">
                  <w:pPr>
                    <w:pStyle w:val="affff8"/>
                    <w:rPr>
                      <w:rFonts w:cs="Times New Roman"/>
                    </w:rPr>
                  </w:pPr>
                  <w:r>
                    <w:rPr>
                      <w:rFonts w:cs="Times New Roman"/>
                    </w:rPr>
                    <w:t>10</w:t>
                  </w:r>
                  <w:r>
                    <w:rPr>
                      <w:rFonts w:cs="Times New Roman"/>
                    </w:rPr>
                    <w:t>、环境保护</w:t>
                  </w:r>
                </w:p>
              </w:tc>
              <w:tc>
                <w:tcPr>
                  <w:tcW w:w="5458" w:type="dxa"/>
                  <w:tcBorders>
                    <w:top w:val="single" w:sz="4" w:space="0" w:color="auto"/>
                    <w:left w:val="single" w:sz="4" w:space="0" w:color="auto"/>
                    <w:bottom w:val="single" w:sz="4" w:space="0" w:color="auto"/>
                    <w:right w:val="single" w:sz="4" w:space="0" w:color="auto"/>
                  </w:tcBorders>
                  <w:vAlign w:val="center"/>
                </w:tcPr>
                <w:p w14:paraId="13E3148C" w14:textId="77777777" w:rsidR="00F76A63" w:rsidRDefault="00000000">
                  <w:pPr>
                    <w:pStyle w:val="affff8"/>
                    <w:rPr>
                      <w:rFonts w:cs="Times New Roman"/>
                    </w:rPr>
                  </w:pPr>
                  <w:r>
                    <w:rPr>
                      <w:rFonts w:cs="Times New Roman"/>
                    </w:rPr>
                    <w:t>10.1</w:t>
                  </w:r>
                  <w:r>
                    <w:rPr>
                      <w:rFonts w:cs="Times New Roman"/>
                    </w:rPr>
                    <w:t>一般规定</w:t>
                  </w:r>
                </w:p>
                <w:p w14:paraId="0998084B" w14:textId="77777777" w:rsidR="00F76A63" w:rsidRDefault="00000000">
                  <w:pPr>
                    <w:pStyle w:val="affff8"/>
                    <w:rPr>
                      <w:rFonts w:cs="Times New Roman"/>
                    </w:rPr>
                  </w:pPr>
                  <w:r>
                    <w:rPr>
                      <w:rFonts w:cs="Times New Roman"/>
                    </w:rPr>
                    <w:t>10.1.1</w:t>
                  </w:r>
                  <w:r>
                    <w:rPr>
                      <w:rFonts w:cs="Times New Roman"/>
                    </w:rPr>
                    <w:t>水泥窑协同处置工业废物须进行环境影响评价。</w:t>
                  </w:r>
                </w:p>
                <w:p w14:paraId="2882D906" w14:textId="77777777" w:rsidR="00F76A63" w:rsidRDefault="00000000">
                  <w:pPr>
                    <w:pStyle w:val="affff8"/>
                    <w:rPr>
                      <w:rFonts w:cs="Times New Roman"/>
                    </w:rPr>
                  </w:pPr>
                  <w:r>
                    <w:rPr>
                      <w:rFonts w:cs="Times New Roman"/>
                    </w:rPr>
                    <w:t>10.1.2</w:t>
                  </w:r>
                  <w:r>
                    <w:rPr>
                      <w:rFonts w:cs="Times New Roman"/>
                    </w:rPr>
                    <w:t>水泥窑协同处置工业废物的水泥厂，与居住区之间留有的卫生防护距离，应符合相应现行国家标准《水泥厂卫生防护距离标准》</w:t>
                  </w:r>
                  <w:r>
                    <w:rPr>
                      <w:rFonts w:cs="Times New Roman"/>
                    </w:rPr>
                    <w:t>GB18068</w:t>
                  </w:r>
                  <w:r>
                    <w:rPr>
                      <w:rFonts w:cs="Times New Roman"/>
                    </w:rPr>
                    <w:t>的有关规定。</w:t>
                  </w:r>
                </w:p>
                <w:p w14:paraId="3ECC825D" w14:textId="77777777" w:rsidR="00F76A63" w:rsidRDefault="00000000">
                  <w:pPr>
                    <w:pStyle w:val="affff8"/>
                    <w:rPr>
                      <w:rFonts w:cs="Times New Roman"/>
                    </w:rPr>
                  </w:pPr>
                  <w:r>
                    <w:rPr>
                      <w:rFonts w:cs="Times New Roman"/>
                    </w:rPr>
                    <w:t>10.1.3</w:t>
                  </w:r>
                  <w:r>
                    <w:rPr>
                      <w:rFonts w:cs="Times New Roman"/>
                    </w:rPr>
                    <w:t>水泥窑协同处置工业废物时，采取的处置方案须安全环保。产品或排放物中所含有毒有害物质浓度须符合现行国家相应产品及污染物排放标准的有关规定。</w:t>
                  </w:r>
                </w:p>
                <w:p w14:paraId="46B1F2B1" w14:textId="77777777" w:rsidR="00F76A63" w:rsidRDefault="00000000">
                  <w:pPr>
                    <w:pStyle w:val="affff8"/>
                    <w:rPr>
                      <w:rFonts w:cs="Times New Roman"/>
                    </w:rPr>
                  </w:pPr>
                  <w:r>
                    <w:rPr>
                      <w:rFonts w:cs="Times New Roman"/>
                    </w:rPr>
                    <w:lastRenderedPageBreak/>
                    <w:t>10.1.4</w:t>
                  </w:r>
                  <w:r>
                    <w:rPr>
                      <w:rFonts w:cs="Times New Roman"/>
                    </w:rPr>
                    <w:t>防治污染的环保设施必须与水泥窑协同处置工业废物主体工程同时设计、同时施工、同时投入使用。</w:t>
                  </w:r>
                </w:p>
              </w:tc>
              <w:tc>
                <w:tcPr>
                  <w:tcW w:w="4692" w:type="dxa"/>
                  <w:tcBorders>
                    <w:top w:val="single" w:sz="4" w:space="0" w:color="auto"/>
                    <w:left w:val="single" w:sz="4" w:space="0" w:color="auto"/>
                    <w:bottom w:val="single" w:sz="4" w:space="0" w:color="auto"/>
                    <w:right w:val="single" w:sz="4" w:space="0" w:color="auto"/>
                  </w:tcBorders>
                  <w:vAlign w:val="center"/>
                </w:tcPr>
                <w:p w14:paraId="33B84007" w14:textId="77777777" w:rsidR="00F76A63" w:rsidRDefault="00000000">
                  <w:pPr>
                    <w:pStyle w:val="affff8"/>
                    <w:rPr>
                      <w:rFonts w:cs="Times New Roman"/>
                    </w:rPr>
                  </w:pPr>
                  <w:r>
                    <w:rPr>
                      <w:rFonts w:cs="Times New Roman"/>
                    </w:rPr>
                    <w:lastRenderedPageBreak/>
                    <w:t>1</w:t>
                  </w:r>
                  <w:r>
                    <w:rPr>
                      <w:rFonts w:cs="Times New Roman"/>
                    </w:rPr>
                    <w:t>、本次水泥窑协同处置工业废物已进行环境影响评价。</w:t>
                  </w:r>
                </w:p>
                <w:p w14:paraId="3E7D0A36" w14:textId="77777777" w:rsidR="00F76A63" w:rsidRDefault="00000000">
                  <w:pPr>
                    <w:pStyle w:val="affff8"/>
                    <w:rPr>
                      <w:rFonts w:cs="Times New Roman"/>
                    </w:rPr>
                  </w:pPr>
                  <w:r>
                    <w:rPr>
                      <w:rFonts w:cs="Times New Roman"/>
                    </w:rPr>
                    <w:t>2</w:t>
                  </w:r>
                  <w:r>
                    <w:rPr>
                      <w:rFonts w:cs="Times New Roman"/>
                    </w:rPr>
                    <w:t>、根据《大气有害物质无组织排放卫生防护距离推导技术导则》（</w:t>
                  </w:r>
                  <w:r>
                    <w:rPr>
                      <w:rFonts w:cs="Times New Roman"/>
                    </w:rPr>
                    <w:t>GB/T39499-2020</w:t>
                  </w:r>
                  <w:r>
                    <w:rPr>
                      <w:rFonts w:cs="Times New Roman"/>
                    </w:rPr>
                    <w:t>），本项目以污染土堆棚边界外，设置</w:t>
                  </w:r>
                  <w:r>
                    <w:rPr>
                      <w:rFonts w:cs="Times New Roman"/>
                    </w:rPr>
                    <w:t>100m</w:t>
                  </w:r>
                  <w:r>
                    <w:rPr>
                      <w:rFonts w:cs="Times New Roman"/>
                    </w:rPr>
                    <w:t>卫生防护距离，现有项目报告书中提出的在生产车间外</w:t>
                  </w:r>
                  <w:r>
                    <w:rPr>
                      <w:rFonts w:cs="Times New Roman"/>
                    </w:rPr>
                    <w:t>500m</w:t>
                  </w:r>
                  <w:r>
                    <w:rPr>
                      <w:rFonts w:cs="Times New Roman"/>
                    </w:rPr>
                    <w:t>设置卫生防护距离要求，改建完成后在生产车间外</w:t>
                  </w:r>
                  <w:r>
                    <w:rPr>
                      <w:rFonts w:cs="Times New Roman"/>
                    </w:rPr>
                    <w:t>500m</w:t>
                  </w:r>
                  <w:r>
                    <w:rPr>
                      <w:rFonts w:cs="Times New Roman"/>
                    </w:rPr>
                    <w:t>设置卫生防护距离，目前该范围内无环境保护目标，今后该范</w:t>
                  </w:r>
                  <w:r>
                    <w:rPr>
                      <w:rFonts w:cs="Times New Roman"/>
                    </w:rPr>
                    <w:lastRenderedPageBreak/>
                    <w:t>围内不得规划、新建住宅、学校、医院等环境敏感目标。</w:t>
                  </w:r>
                </w:p>
                <w:p w14:paraId="5DFD7FE6" w14:textId="77777777" w:rsidR="00F76A63" w:rsidRDefault="00000000">
                  <w:pPr>
                    <w:pStyle w:val="affff8"/>
                    <w:rPr>
                      <w:rFonts w:cs="Times New Roman"/>
                    </w:rPr>
                  </w:pPr>
                  <w:r>
                    <w:rPr>
                      <w:rFonts w:cs="Times New Roman"/>
                    </w:rPr>
                    <w:t>3</w:t>
                  </w:r>
                  <w:r>
                    <w:rPr>
                      <w:rFonts w:cs="Times New Roman"/>
                    </w:rPr>
                    <w:t>、本项目处理工艺先进，设备优势明显，污染控制可行，对水泥品质无影响，采取的处置方案安全环保。产品或排放物中所含有毒有害物质浓度符合现行国家相应产品及污染物排放标准的有关规定。</w:t>
                  </w:r>
                </w:p>
                <w:p w14:paraId="612082EE" w14:textId="77777777" w:rsidR="00F76A63" w:rsidRDefault="00000000">
                  <w:pPr>
                    <w:pStyle w:val="affff8"/>
                    <w:rPr>
                      <w:rFonts w:cs="Times New Roman"/>
                      <w:highlight w:val="yellow"/>
                    </w:rPr>
                  </w:pPr>
                  <w:r>
                    <w:rPr>
                      <w:rFonts w:cs="Times New Roman"/>
                    </w:rPr>
                    <w:t>4</w:t>
                  </w:r>
                  <w:r>
                    <w:rPr>
                      <w:rFonts w:cs="Times New Roman"/>
                    </w:rPr>
                    <w:t>、防治污染的环保设施与水泥窑协同处置工业废物主体工程同时设计、同时施工、同时投入使用。</w:t>
                  </w:r>
                </w:p>
              </w:tc>
              <w:tc>
                <w:tcPr>
                  <w:tcW w:w="720" w:type="dxa"/>
                  <w:tcBorders>
                    <w:top w:val="single" w:sz="4" w:space="0" w:color="auto"/>
                    <w:left w:val="single" w:sz="4" w:space="0" w:color="auto"/>
                    <w:bottom w:val="single" w:sz="4" w:space="0" w:color="auto"/>
                    <w:right w:val="nil"/>
                  </w:tcBorders>
                  <w:vAlign w:val="center"/>
                </w:tcPr>
                <w:p w14:paraId="374BBF46" w14:textId="77777777" w:rsidR="00F76A63" w:rsidRDefault="00000000">
                  <w:pPr>
                    <w:pStyle w:val="affff8"/>
                    <w:rPr>
                      <w:rFonts w:cs="Times New Roman"/>
                    </w:rPr>
                  </w:pPr>
                  <w:r>
                    <w:rPr>
                      <w:rFonts w:cs="Times New Roman"/>
                    </w:rPr>
                    <w:lastRenderedPageBreak/>
                    <w:t>符合</w:t>
                  </w:r>
                </w:p>
              </w:tc>
            </w:tr>
            <w:tr w:rsidR="00F76A63" w14:paraId="207879CB" w14:textId="77777777">
              <w:trPr>
                <w:trHeight w:val="340"/>
                <w:jc w:val="center"/>
              </w:trPr>
              <w:tc>
                <w:tcPr>
                  <w:tcW w:w="0" w:type="auto"/>
                  <w:vMerge/>
                  <w:tcBorders>
                    <w:top w:val="single" w:sz="4" w:space="0" w:color="auto"/>
                    <w:left w:val="nil"/>
                    <w:bottom w:val="single" w:sz="4" w:space="0" w:color="auto"/>
                    <w:right w:val="single" w:sz="4" w:space="0" w:color="auto"/>
                  </w:tcBorders>
                  <w:vAlign w:val="center"/>
                </w:tcPr>
                <w:p w14:paraId="41D230E9" w14:textId="77777777" w:rsidR="00F76A63" w:rsidRDefault="00F76A63">
                  <w:pPr>
                    <w:widowControl/>
                    <w:rPr>
                      <w:spacing w:val="4"/>
                      <w:kern w:val="0"/>
                      <w:szCs w:val="21"/>
                    </w:rPr>
                  </w:pPr>
                </w:p>
              </w:tc>
              <w:tc>
                <w:tcPr>
                  <w:tcW w:w="5458" w:type="dxa"/>
                  <w:tcBorders>
                    <w:top w:val="single" w:sz="4" w:space="0" w:color="auto"/>
                    <w:left w:val="single" w:sz="4" w:space="0" w:color="auto"/>
                    <w:bottom w:val="single" w:sz="4" w:space="0" w:color="auto"/>
                    <w:right w:val="single" w:sz="4" w:space="0" w:color="auto"/>
                  </w:tcBorders>
                  <w:vAlign w:val="center"/>
                </w:tcPr>
                <w:p w14:paraId="37AB2DE4" w14:textId="77777777" w:rsidR="00F76A63" w:rsidRDefault="00000000">
                  <w:pPr>
                    <w:pStyle w:val="affff8"/>
                    <w:rPr>
                      <w:rFonts w:cs="Times New Roman"/>
                    </w:rPr>
                  </w:pPr>
                  <w:r>
                    <w:rPr>
                      <w:rFonts w:cs="Times New Roman"/>
                    </w:rPr>
                    <w:t>10.2</w:t>
                  </w:r>
                  <w:r>
                    <w:rPr>
                      <w:rFonts w:cs="Times New Roman"/>
                    </w:rPr>
                    <w:t>环境保护</w:t>
                  </w:r>
                </w:p>
                <w:p w14:paraId="3D0C561A" w14:textId="77777777" w:rsidR="00F76A63" w:rsidRDefault="00000000">
                  <w:pPr>
                    <w:pStyle w:val="affff8"/>
                    <w:rPr>
                      <w:rFonts w:cs="Times New Roman"/>
                    </w:rPr>
                  </w:pPr>
                  <w:r>
                    <w:rPr>
                      <w:rFonts w:cs="Times New Roman"/>
                    </w:rPr>
                    <w:t>10.2.1</w:t>
                  </w:r>
                  <w:r>
                    <w:rPr>
                      <w:rFonts w:cs="Times New Roman"/>
                    </w:rPr>
                    <w:t>物料的储存形式应根据处置工业废物的特性及建厂地区的气候条件确定物料的贮存型式，贮存容器和贮存场所均应符合现行国家标准《一般工业固体废物贮存、处置场污染控制标准》</w:t>
                  </w:r>
                  <w:r>
                    <w:rPr>
                      <w:rFonts w:cs="Times New Roman" w:hint="eastAsia"/>
                    </w:rPr>
                    <w:t>（</w:t>
                  </w:r>
                  <w:r>
                    <w:rPr>
                      <w:rFonts w:cs="Times New Roman"/>
                    </w:rPr>
                    <w:t>GB18599</w:t>
                  </w:r>
                  <w:r>
                    <w:rPr>
                      <w:rFonts w:cs="Times New Roman" w:hint="eastAsia"/>
                    </w:rPr>
                    <w:t>-2020</w:t>
                  </w:r>
                  <w:r>
                    <w:rPr>
                      <w:rFonts w:cs="Times New Roman" w:hint="eastAsia"/>
                    </w:rPr>
                    <w:t>）</w:t>
                  </w:r>
                  <w:r>
                    <w:rPr>
                      <w:rFonts w:cs="Times New Roman"/>
                    </w:rPr>
                    <w:t>、《危险废物贮存污染控制标准》</w:t>
                  </w:r>
                  <w:r>
                    <w:rPr>
                      <w:rFonts w:cs="Times New Roman" w:hint="eastAsia"/>
                    </w:rPr>
                    <w:t>（</w:t>
                  </w:r>
                  <w:r>
                    <w:rPr>
                      <w:rFonts w:cs="Times New Roman"/>
                    </w:rPr>
                    <w:t>GB18597</w:t>
                  </w:r>
                  <w:r>
                    <w:rPr>
                      <w:rFonts w:cs="Times New Roman" w:hint="eastAsia"/>
                    </w:rPr>
                    <w:t>-2023</w:t>
                  </w:r>
                  <w:r>
                    <w:rPr>
                      <w:rFonts w:cs="Times New Roman" w:hint="eastAsia"/>
                    </w:rPr>
                    <w:t>）</w:t>
                  </w:r>
                  <w:r>
                    <w:rPr>
                      <w:rFonts w:cs="Times New Roman"/>
                    </w:rPr>
                    <w:t>的规定。</w:t>
                  </w:r>
                </w:p>
                <w:p w14:paraId="1D4FE7DB" w14:textId="77777777" w:rsidR="00F76A63" w:rsidRDefault="00000000">
                  <w:pPr>
                    <w:pStyle w:val="affff8"/>
                    <w:rPr>
                      <w:rFonts w:cs="Times New Roman"/>
                    </w:rPr>
                  </w:pPr>
                  <w:r>
                    <w:rPr>
                      <w:rFonts w:cs="Times New Roman"/>
                    </w:rPr>
                    <w:t>10.2.2</w:t>
                  </w:r>
                  <w:r>
                    <w:rPr>
                      <w:rFonts w:cs="Times New Roman"/>
                    </w:rPr>
                    <w:t>危险废物储存设备应设置泄漏液体收集装置及气体导出口和气体净化装置，应符合现行国家标准《危险废物贮存污染控制标准》</w:t>
                  </w:r>
                  <w:r>
                    <w:rPr>
                      <w:rFonts w:cs="Times New Roman" w:hint="eastAsia"/>
                    </w:rPr>
                    <w:t>（</w:t>
                  </w:r>
                  <w:r>
                    <w:rPr>
                      <w:rFonts w:cs="Times New Roman"/>
                    </w:rPr>
                    <w:t>GB18597</w:t>
                  </w:r>
                  <w:r>
                    <w:rPr>
                      <w:rFonts w:cs="Times New Roman" w:hint="eastAsia"/>
                    </w:rPr>
                    <w:t>-2023</w:t>
                  </w:r>
                  <w:r>
                    <w:rPr>
                      <w:rFonts w:cs="Times New Roman" w:hint="eastAsia"/>
                    </w:rPr>
                    <w:t>）</w:t>
                  </w:r>
                  <w:r>
                    <w:rPr>
                      <w:rFonts w:cs="Times New Roman"/>
                    </w:rPr>
                    <w:t>的规定。</w:t>
                  </w:r>
                </w:p>
                <w:p w14:paraId="1D7E902E" w14:textId="77777777" w:rsidR="00F76A63" w:rsidRDefault="00000000">
                  <w:pPr>
                    <w:pStyle w:val="affff8"/>
                    <w:rPr>
                      <w:rFonts w:cs="Times New Roman"/>
                    </w:rPr>
                  </w:pPr>
                  <w:r>
                    <w:rPr>
                      <w:rFonts w:cs="Times New Roman"/>
                    </w:rPr>
                    <w:t>10.2.3</w:t>
                  </w:r>
                  <w:r>
                    <w:rPr>
                      <w:rFonts w:cs="Times New Roman"/>
                    </w:rPr>
                    <w:t>废物处理、输送、装卸过程均应密闭。其处置全过程均应做好防风、防雨、防晒、防渗、防漏、防冲刷浸泡、防有毒有害气体散发等的设计。</w:t>
                  </w:r>
                </w:p>
                <w:p w14:paraId="1B6E0377" w14:textId="77777777" w:rsidR="00F76A63" w:rsidRDefault="00000000">
                  <w:pPr>
                    <w:pStyle w:val="affff8"/>
                    <w:rPr>
                      <w:rFonts w:cs="Times New Roman"/>
                    </w:rPr>
                  </w:pPr>
                  <w:r>
                    <w:rPr>
                      <w:rFonts w:cs="Times New Roman"/>
                    </w:rPr>
                    <w:t>10.2.4</w:t>
                  </w:r>
                  <w:r>
                    <w:rPr>
                      <w:rFonts w:cs="Times New Roman"/>
                    </w:rPr>
                    <w:t>工业废物协同处置过程中烟气排放应符合现行国家标准《水泥工业大气污染物排放标准》</w:t>
                  </w:r>
                  <w:r>
                    <w:rPr>
                      <w:rFonts w:cs="Times New Roman"/>
                    </w:rPr>
                    <w:t>GB4915</w:t>
                  </w:r>
                  <w:r>
                    <w:rPr>
                      <w:rFonts w:cs="Times New Roman"/>
                    </w:rPr>
                    <w:t>的有关规定。</w:t>
                  </w:r>
                </w:p>
                <w:p w14:paraId="66879C08" w14:textId="77777777" w:rsidR="00F76A63" w:rsidRDefault="00000000">
                  <w:pPr>
                    <w:pStyle w:val="affff8"/>
                    <w:rPr>
                      <w:rFonts w:cs="Times New Roman"/>
                    </w:rPr>
                  </w:pPr>
                  <w:r>
                    <w:rPr>
                      <w:rFonts w:cs="Times New Roman"/>
                    </w:rPr>
                    <w:t>10.2.5</w:t>
                  </w:r>
                  <w:r>
                    <w:rPr>
                      <w:rFonts w:cs="Times New Roman"/>
                    </w:rPr>
                    <w:t>水泥窑协同处置工业废物除尘及气体净化设备应根据生产设备的能力、工业废物的特性配置高效除尘净化设备。</w:t>
                  </w:r>
                </w:p>
                <w:p w14:paraId="7B79DAC2" w14:textId="77777777" w:rsidR="00F76A63" w:rsidRDefault="00000000">
                  <w:pPr>
                    <w:pStyle w:val="affff8"/>
                    <w:rPr>
                      <w:rFonts w:cs="Times New Roman"/>
                    </w:rPr>
                  </w:pPr>
                  <w:r>
                    <w:rPr>
                      <w:rFonts w:cs="Times New Roman"/>
                    </w:rPr>
                    <w:t>10.2.6</w:t>
                  </w:r>
                  <w:r>
                    <w:rPr>
                      <w:rFonts w:cs="Times New Roman"/>
                    </w:rPr>
                    <w:t>除尘净化设备应与其对应的生产工艺设备应设置联锁运行装置。</w:t>
                  </w:r>
                </w:p>
                <w:p w14:paraId="0CCA4E59" w14:textId="77777777" w:rsidR="00F76A63" w:rsidRDefault="00000000">
                  <w:pPr>
                    <w:pStyle w:val="affff8"/>
                    <w:rPr>
                      <w:rFonts w:cs="Times New Roman"/>
                    </w:rPr>
                  </w:pPr>
                  <w:r>
                    <w:rPr>
                      <w:rFonts w:cs="Times New Roman"/>
                    </w:rPr>
                    <w:t>10.2.7</w:t>
                  </w:r>
                  <w:r>
                    <w:rPr>
                      <w:rFonts w:cs="Times New Roman"/>
                    </w:rPr>
                    <w:t>水泥窑协同处置工业废物应设置尾气在线监测设备。</w:t>
                  </w:r>
                </w:p>
                <w:p w14:paraId="482C6833" w14:textId="77777777" w:rsidR="00F76A63" w:rsidRDefault="00000000">
                  <w:pPr>
                    <w:pStyle w:val="affff8"/>
                    <w:rPr>
                      <w:rFonts w:cs="Times New Roman"/>
                    </w:rPr>
                  </w:pPr>
                  <w:r>
                    <w:rPr>
                      <w:rFonts w:cs="Times New Roman"/>
                    </w:rPr>
                    <w:t>10.2.8</w:t>
                  </w:r>
                  <w:r>
                    <w:rPr>
                      <w:rFonts w:cs="Times New Roman"/>
                    </w:rPr>
                    <w:t>破碎易形成扬尘的工业废物，其破碎设备及转运应附设收尘设备。烟气净化系统的除尘设备应选用袋式除尘器，并应根据烟气性质选择滤袋和袋笼材质。不得使用静电除尘和机械除尘装置。</w:t>
                  </w:r>
                </w:p>
                <w:p w14:paraId="6AA64B62" w14:textId="77777777" w:rsidR="00F76A63" w:rsidRDefault="00000000">
                  <w:pPr>
                    <w:pStyle w:val="affff8"/>
                    <w:rPr>
                      <w:rFonts w:cs="Times New Roman"/>
                    </w:rPr>
                  </w:pPr>
                  <w:r>
                    <w:rPr>
                      <w:rFonts w:cs="Times New Roman"/>
                    </w:rPr>
                    <w:lastRenderedPageBreak/>
                    <w:t>10.2.9</w:t>
                  </w:r>
                  <w:r>
                    <w:rPr>
                      <w:rFonts w:cs="Times New Roman"/>
                    </w:rPr>
                    <w:t>厂区内应采用雨污分流排水系统，废物运输车辆及贮存容器的冲洗废水、生产废水以及生活污水不得与雨水合流排放。</w:t>
                  </w:r>
                </w:p>
                <w:p w14:paraId="08A6ED29" w14:textId="77777777" w:rsidR="00F76A63" w:rsidRDefault="00000000">
                  <w:pPr>
                    <w:pStyle w:val="affff8"/>
                    <w:rPr>
                      <w:rFonts w:cs="Times New Roman"/>
                    </w:rPr>
                  </w:pPr>
                  <w:r>
                    <w:rPr>
                      <w:rFonts w:cs="Times New Roman"/>
                    </w:rPr>
                    <w:t>10.2.10</w:t>
                  </w:r>
                  <w:r>
                    <w:rPr>
                      <w:rFonts w:cs="Times New Roman"/>
                    </w:rPr>
                    <w:t>各类废物渗滤液、冲洗运输车辆及贮存设施的废水应按其性质分类收集处理。</w:t>
                  </w:r>
                </w:p>
                <w:p w14:paraId="06E4E95B" w14:textId="77777777" w:rsidR="00F76A63" w:rsidRDefault="00000000">
                  <w:pPr>
                    <w:pStyle w:val="affff8"/>
                    <w:rPr>
                      <w:rFonts w:cs="Times New Roman"/>
                    </w:rPr>
                  </w:pPr>
                  <w:r>
                    <w:rPr>
                      <w:rFonts w:cs="Times New Roman"/>
                    </w:rPr>
                    <w:t>10.2.11</w:t>
                  </w:r>
                  <w:r>
                    <w:rPr>
                      <w:rFonts w:cs="Times New Roman"/>
                    </w:rPr>
                    <w:t>各类废物处置、堆存区域内的排水应采取初期雨水、地坪冲洗水的收集措施，经收集池收集的废水及作业区的初期雨水必须经处理、并应符合现行国家标准《污水综合排放标准》</w:t>
                  </w:r>
                  <w:r>
                    <w:rPr>
                      <w:rFonts w:cs="Times New Roman" w:hint="eastAsia"/>
                    </w:rPr>
                    <w:t>（</w:t>
                  </w:r>
                  <w:r>
                    <w:rPr>
                      <w:rFonts w:cs="Times New Roman"/>
                    </w:rPr>
                    <w:t>GB8978</w:t>
                  </w:r>
                  <w:r>
                    <w:rPr>
                      <w:rFonts w:cs="Times New Roman" w:hint="eastAsia"/>
                    </w:rPr>
                    <w:t>-1996</w:t>
                  </w:r>
                  <w:r>
                    <w:rPr>
                      <w:rFonts w:cs="Times New Roman" w:hint="eastAsia"/>
                    </w:rPr>
                    <w:t>）</w:t>
                  </w:r>
                  <w:r>
                    <w:rPr>
                      <w:rFonts w:cs="Times New Roman"/>
                    </w:rPr>
                    <w:t>的规定后排放。</w:t>
                  </w:r>
                </w:p>
                <w:p w14:paraId="16D90906" w14:textId="77777777" w:rsidR="00F76A63" w:rsidRDefault="00000000">
                  <w:pPr>
                    <w:pStyle w:val="affff8"/>
                    <w:rPr>
                      <w:rFonts w:cs="Times New Roman"/>
                    </w:rPr>
                  </w:pPr>
                  <w:r>
                    <w:rPr>
                      <w:rFonts w:cs="Times New Roman"/>
                    </w:rPr>
                    <w:t>10.2.12</w:t>
                  </w:r>
                  <w:r>
                    <w:rPr>
                      <w:rFonts w:cs="Times New Roman"/>
                    </w:rPr>
                    <w:t>工业废物处置过程中的废水经过处理后应回用。回用水质应符合现行国家标准《城市污水再生利用城市杂用水水质》</w:t>
                  </w:r>
                  <w:r>
                    <w:rPr>
                      <w:rFonts w:cs="Times New Roman"/>
                    </w:rPr>
                    <w:t>GB/T18920</w:t>
                  </w:r>
                  <w:r>
                    <w:rPr>
                      <w:rFonts w:cs="Times New Roman"/>
                    </w:rPr>
                    <w:t>的规定。当废水需直接排入水体时，其水质应符合现行国家标准《污水综合排放标准》</w:t>
                  </w:r>
                  <w:r>
                    <w:rPr>
                      <w:rFonts w:cs="Times New Roman"/>
                    </w:rPr>
                    <w:t>GB8978</w:t>
                  </w:r>
                  <w:r>
                    <w:rPr>
                      <w:rFonts w:cs="Times New Roman"/>
                    </w:rPr>
                    <w:t>的有关规定。</w:t>
                  </w:r>
                </w:p>
                <w:p w14:paraId="1F3BF12A" w14:textId="77777777" w:rsidR="00F76A63" w:rsidRDefault="00000000">
                  <w:pPr>
                    <w:pStyle w:val="affff8"/>
                    <w:rPr>
                      <w:rFonts w:cs="Times New Roman"/>
                    </w:rPr>
                  </w:pPr>
                  <w:r>
                    <w:rPr>
                      <w:rFonts w:cs="Times New Roman"/>
                    </w:rPr>
                    <w:t>10.2.13</w:t>
                  </w:r>
                  <w:r>
                    <w:rPr>
                      <w:rFonts w:cs="Times New Roman"/>
                    </w:rPr>
                    <w:t>严禁将未经处理的废物渗滤液及污水以任何方式直接排放或随意倾倒。</w:t>
                  </w:r>
                </w:p>
                <w:p w14:paraId="599FA4C2" w14:textId="77777777" w:rsidR="00F76A63" w:rsidRDefault="00000000">
                  <w:pPr>
                    <w:pStyle w:val="affff8"/>
                    <w:rPr>
                      <w:rFonts w:cs="Times New Roman"/>
                    </w:rPr>
                  </w:pPr>
                  <w:r>
                    <w:rPr>
                      <w:rFonts w:cs="Times New Roman"/>
                    </w:rPr>
                    <w:t>10.2.14</w:t>
                  </w:r>
                  <w:bookmarkStart w:id="43" w:name="OLE_LINK64"/>
                  <w:r>
                    <w:rPr>
                      <w:rFonts w:cs="Times New Roman"/>
                    </w:rPr>
                    <w:t>工业废物处置过程中产生的恶臭污染物的控制与防治应符合现行国家标准《恶臭污染物排放标准》</w:t>
                  </w:r>
                  <w:r>
                    <w:rPr>
                      <w:rFonts w:cs="Times New Roman" w:hint="eastAsia"/>
                    </w:rPr>
                    <w:t>（</w:t>
                  </w:r>
                  <w:r>
                    <w:rPr>
                      <w:rFonts w:cs="Times New Roman"/>
                    </w:rPr>
                    <w:t>GB14554</w:t>
                  </w:r>
                  <w:r>
                    <w:rPr>
                      <w:rFonts w:cs="Times New Roman" w:hint="eastAsia"/>
                    </w:rPr>
                    <w:t>-1993</w:t>
                  </w:r>
                  <w:r>
                    <w:rPr>
                      <w:rFonts w:cs="Times New Roman" w:hint="eastAsia"/>
                    </w:rPr>
                    <w:t>）</w:t>
                  </w:r>
                  <w:r>
                    <w:rPr>
                      <w:rFonts w:cs="Times New Roman"/>
                    </w:rPr>
                    <w:t>的有关规定。</w:t>
                  </w:r>
                  <w:bookmarkEnd w:id="43"/>
                </w:p>
              </w:tc>
              <w:tc>
                <w:tcPr>
                  <w:tcW w:w="4692" w:type="dxa"/>
                  <w:tcBorders>
                    <w:top w:val="single" w:sz="4" w:space="0" w:color="auto"/>
                    <w:left w:val="single" w:sz="4" w:space="0" w:color="auto"/>
                    <w:bottom w:val="single" w:sz="4" w:space="0" w:color="auto"/>
                    <w:right w:val="single" w:sz="4" w:space="0" w:color="auto"/>
                  </w:tcBorders>
                  <w:vAlign w:val="center"/>
                </w:tcPr>
                <w:p w14:paraId="5C8091C6" w14:textId="77777777" w:rsidR="00F76A63" w:rsidRDefault="00000000">
                  <w:pPr>
                    <w:pStyle w:val="affff8"/>
                    <w:rPr>
                      <w:rFonts w:cs="Times New Roman"/>
                    </w:rPr>
                  </w:pPr>
                  <w:r>
                    <w:rPr>
                      <w:rFonts w:cs="Times New Roman"/>
                    </w:rPr>
                    <w:lastRenderedPageBreak/>
                    <w:t>1</w:t>
                  </w:r>
                  <w:r>
                    <w:rPr>
                      <w:rFonts w:cs="Times New Roman"/>
                    </w:rPr>
                    <w:t>、本项目协同处置的污染土及污泥根据处置工业废物的特性及建厂地区的气候条件确定物料的贮存型式，贮存容器和贮存场所均符合现行国家标准《一般工业固体废物贮存、处置场污染控制标准》（</w:t>
                  </w:r>
                  <w:r>
                    <w:rPr>
                      <w:rFonts w:cs="Times New Roman"/>
                    </w:rPr>
                    <w:t>GB18599</w:t>
                  </w:r>
                  <w:r>
                    <w:rPr>
                      <w:rFonts w:cs="Times New Roman" w:hint="eastAsia"/>
                    </w:rPr>
                    <w:t>-2020</w:t>
                  </w:r>
                  <w:r>
                    <w:rPr>
                      <w:rFonts w:cs="Times New Roman"/>
                    </w:rPr>
                    <w:t>）的规定。</w:t>
                  </w:r>
                </w:p>
                <w:p w14:paraId="4B6536F7" w14:textId="77777777" w:rsidR="00F76A63" w:rsidRDefault="00000000">
                  <w:pPr>
                    <w:pStyle w:val="affff8"/>
                    <w:rPr>
                      <w:rFonts w:cs="Times New Roman"/>
                    </w:rPr>
                  </w:pPr>
                  <w:r>
                    <w:rPr>
                      <w:rFonts w:cs="Times New Roman"/>
                    </w:rPr>
                    <w:t>2</w:t>
                  </w:r>
                  <w:r>
                    <w:rPr>
                      <w:rFonts w:cs="Times New Roman"/>
                    </w:rPr>
                    <w:t>、本项目不涉及危废协同处置。</w:t>
                  </w:r>
                </w:p>
                <w:p w14:paraId="04FA7A00" w14:textId="77777777" w:rsidR="00F76A63" w:rsidRDefault="00000000">
                  <w:pPr>
                    <w:pStyle w:val="affff8"/>
                    <w:rPr>
                      <w:rFonts w:cs="Times New Roman"/>
                    </w:rPr>
                  </w:pPr>
                  <w:r>
                    <w:rPr>
                      <w:rFonts w:cs="Times New Roman"/>
                    </w:rPr>
                    <w:t>3</w:t>
                  </w:r>
                  <w:r>
                    <w:rPr>
                      <w:rFonts w:cs="Times New Roman"/>
                    </w:rPr>
                    <w:t>、项目废物处理、输送、装卸过程均密闭。其处置全过程均按规范要求做好防风、防雨、防晒、防渗、防漏、防冲刷浸泡、防有毒有害气体散发等的设计。</w:t>
                  </w:r>
                </w:p>
                <w:p w14:paraId="1827046E" w14:textId="77777777" w:rsidR="00F76A63" w:rsidRDefault="00000000">
                  <w:pPr>
                    <w:pStyle w:val="affff8"/>
                    <w:rPr>
                      <w:rFonts w:cs="Times New Roman"/>
                    </w:rPr>
                  </w:pPr>
                  <w:r>
                    <w:rPr>
                      <w:rFonts w:cs="Times New Roman"/>
                    </w:rPr>
                    <w:t>4</w:t>
                  </w:r>
                  <w:r>
                    <w:rPr>
                      <w:rFonts w:cs="Times New Roman"/>
                    </w:rPr>
                    <w:t>、本项目协同处置一般固废过程中颗粒物、二氧化硫、氮氧化物、汞及其化合物和氨的排放限值执行《水泥工业大气污染物排放标准》（</w:t>
                  </w:r>
                  <w:r>
                    <w:rPr>
                      <w:rFonts w:cs="Times New Roman"/>
                    </w:rPr>
                    <w:t>DB32/4149-2021</w:t>
                  </w:r>
                  <w:r>
                    <w:rPr>
                      <w:rFonts w:cs="Times New Roman"/>
                    </w:rPr>
                    <w:t>）排放限值要求，氯化氢、氟化氢、铊、镉、铅、二噁英、</w:t>
                  </w:r>
                  <w:r>
                    <w:rPr>
                      <w:rFonts w:cs="Times New Roman"/>
                    </w:rPr>
                    <w:t>TOC</w:t>
                  </w:r>
                  <w:r>
                    <w:rPr>
                      <w:rFonts w:cs="Times New Roman"/>
                    </w:rPr>
                    <w:t>、</w:t>
                  </w:r>
                  <w:r>
                    <w:rPr>
                      <w:rFonts w:cs="Times New Roman"/>
                    </w:rPr>
                    <w:t>Tl+Cd+Pb+As</w:t>
                  </w:r>
                  <w:r>
                    <w:rPr>
                      <w:rFonts w:cs="Times New Roman"/>
                    </w:rPr>
                    <w:t>和</w:t>
                  </w:r>
                  <w:r>
                    <w:rPr>
                      <w:rFonts w:cs="Times New Roman"/>
                    </w:rPr>
                    <w:t>Be+Cr+Sn+Sb+Cu+Co+Mn+Ni+V</w:t>
                  </w:r>
                  <w:r>
                    <w:rPr>
                      <w:rFonts w:cs="Times New Roman"/>
                    </w:rPr>
                    <w:t>等满足《水泥窑协同处置固体废物污染控制标准》（</w:t>
                  </w:r>
                  <w:r>
                    <w:rPr>
                      <w:rFonts w:cs="Times New Roman"/>
                    </w:rPr>
                    <w:t>GB30485-2013</w:t>
                  </w:r>
                  <w:r>
                    <w:rPr>
                      <w:rFonts w:cs="Times New Roman"/>
                    </w:rPr>
                    <w:t>），水泥窑及窑尾余热利用系统排气筒总有机碳（</w:t>
                  </w:r>
                  <w:r>
                    <w:rPr>
                      <w:rFonts w:cs="Times New Roman"/>
                    </w:rPr>
                    <w:t>TOC</w:t>
                  </w:r>
                  <w:r>
                    <w:rPr>
                      <w:rFonts w:cs="Times New Roman"/>
                    </w:rPr>
                    <w:t>）因协同处置固体废物增加的浓度不超过</w:t>
                  </w:r>
                  <w:r>
                    <w:rPr>
                      <w:rFonts w:cs="Times New Roman"/>
                    </w:rPr>
                    <w:t>10mg/m</w:t>
                  </w:r>
                  <w:r>
                    <w:rPr>
                      <w:rFonts w:cs="Times New Roman"/>
                      <w:vertAlign w:val="superscript"/>
                    </w:rPr>
                    <w:t>3</w:t>
                  </w:r>
                  <w:r>
                    <w:rPr>
                      <w:rFonts w:cs="Times New Roman"/>
                    </w:rPr>
                    <w:t>。</w:t>
                  </w:r>
                </w:p>
                <w:p w14:paraId="2BE1ACCE" w14:textId="77777777" w:rsidR="00F76A63" w:rsidRDefault="00000000">
                  <w:pPr>
                    <w:pStyle w:val="affff8"/>
                    <w:rPr>
                      <w:rFonts w:cs="Times New Roman"/>
                    </w:rPr>
                  </w:pPr>
                  <w:r>
                    <w:rPr>
                      <w:rFonts w:cs="Times New Roman"/>
                    </w:rPr>
                    <w:t>5</w:t>
                  </w:r>
                  <w:r>
                    <w:rPr>
                      <w:rFonts w:cs="Times New Roman"/>
                    </w:rPr>
                    <w:t>、本项目烟气净化系统的除尘设备目前依托现有项目除尘器。</w:t>
                  </w:r>
                </w:p>
                <w:p w14:paraId="0BAF2132" w14:textId="77777777" w:rsidR="00F76A63" w:rsidRDefault="00000000">
                  <w:pPr>
                    <w:pStyle w:val="affff8"/>
                    <w:rPr>
                      <w:rFonts w:cs="Times New Roman"/>
                    </w:rPr>
                  </w:pPr>
                  <w:r>
                    <w:rPr>
                      <w:rFonts w:cs="Times New Roman"/>
                    </w:rPr>
                    <w:t>6</w:t>
                  </w:r>
                  <w:r>
                    <w:rPr>
                      <w:rFonts w:cs="Times New Roman"/>
                    </w:rPr>
                    <w:t>、本项目依托的除尘设备与其对应的生产工艺设备设置联锁运行装置。</w:t>
                  </w:r>
                </w:p>
                <w:p w14:paraId="58994425" w14:textId="77777777" w:rsidR="00F76A63" w:rsidRDefault="00000000">
                  <w:pPr>
                    <w:pStyle w:val="affff8"/>
                    <w:rPr>
                      <w:rFonts w:cs="Times New Roman"/>
                    </w:rPr>
                  </w:pPr>
                  <w:r>
                    <w:rPr>
                      <w:rFonts w:cs="Times New Roman"/>
                    </w:rPr>
                    <w:lastRenderedPageBreak/>
                    <w:t>7</w:t>
                  </w:r>
                  <w:r>
                    <w:rPr>
                      <w:rFonts w:cs="Times New Roman"/>
                    </w:rPr>
                    <w:t>、本项目依托尾气</w:t>
                  </w:r>
                  <w:r>
                    <w:rPr>
                      <w:rFonts w:cs="Times New Roman"/>
                    </w:rPr>
                    <w:t>SO</w:t>
                  </w:r>
                  <w:r>
                    <w:rPr>
                      <w:rFonts w:cs="Times New Roman"/>
                      <w:vertAlign w:val="subscript"/>
                    </w:rPr>
                    <w:t>2</w:t>
                  </w:r>
                  <w:r>
                    <w:rPr>
                      <w:rFonts w:cs="Times New Roman"/>
                    </w:rPr>
                    <w:t>、粉尘、</w:t>
                  </w:r>
                  <w:r>
                    <w:rPr>
                      <w:rFonts w:cs="Times New Roman"/>
                    </w:rPr>
                    <w:t>NOx</w:t>
                  </w:r>
                  <w:r>
                    <w:rPr>
                      <w:rFonts w:cs="Times New Roman"/>
                    </w:rPr>
                    <w:t>等在线监测设备。</w:t>
                  </w:r>
                </w:p>
                <w:p w14:paraId="0AD81623" w14:textId="77777777" w:rsidR="00F76A63" w:rsidRDefault="00000000">
                  <w:pPr>
                    <w:pStyle w:val="affff8"/>
                    <w:rPr>
                      <w:rFonts w:cs="Times New Roman"/>
                    </w:rPr>
                  </w:pPr>
                  <w:r>
                    <w:rPr>
                      <w:rFonts w:cs="Times New Roman"/>
                    </w:rPr>
                    <w:t>8</w:t>
                  </w:r>
                  <w:r>
                    <w:rPr>
                      <w:rFonts w:cs="Times New Roman"/>
                    </w:rPr>
                    <w:t>、本项目协同处置的污染土在破碎设备及转运附设收尘设备。烟气净化系统的除尘设备目前依托现有项目除尘器。</w:t>
                  </w:r>
                </w:p>
                <w:p w14:paraId="1ED5F643" w14:textId="77777777" w:rsidR="00F76A63" w:rsidRDefault="00000000">
                  <w:pPr>
                    <w:pStyle w:val="affff8"/>
                    <w:rPr>
                      <w:rFonts w:cs="Times New Roman"/>
                    </w:rPr>
                  </w:pPr>
                  <w:r>
                    <w:rPr>
                      <w:rFonts w:cs="Times New Roman"/>
                    </w:rPr>
                    <w:t>9</w:t>
                  </w:r>
                  <w:r>
                    <w:rPr>
                      <w:rFonts w:cs="Times New Roman"/>
                    </w:rPr>
                    <w:t>、厂区内采用雨污分流排水系统，生活污水接管句容市下蜀污水处理有限公司</w:t>
                  </w:r>
                  <w:r>
                    <w:rPr>
                      <w:rFonts w:cs="Times New Roman" w:hint="eastAsia"/>
                    </w:rPr>
                    <w:t>，初期雨水、</w:t>
                  </w:r>
                  <w:r>
                    <w:rPr>
                      <w:rFonts w:cs="Times New Roman"/>
                    </w:rPr>
                    <w:t>地坪冲洗</w:t>
                  </w:r>
                  <w:r>
                    <w:rPr>
                      <w:rFonts w:cs="Times New Roman" w:hint="eastAsia"/>
                    </w:rPr>
                    <w:t>水经收集池收集，正常情况不外排，排涝时通过泵对外排。</w:t>
                  </w:r>
                </w:p>
                <w:p w14:paraId="11552F00" w14:textId="77777777" w:rsidR="00F76A63" w:rsidRDefault="00000000">
                  <w:pPr>
                    <w:pStyle w:val="affff8"/>
                    <w:rPr>
                      <w:rFonts w:cs="Times New Roman"/>
                    </w:rPr>
                  </w:pPr>
                  <w:r>
                    <w:rPr>
                      <w:rFonts w:cs="Times New Roman"/>
                    </w:rPr>
                    <w:t>10</w:t>
                  </w:r>
                  <w:r>
                    <w:rPr>
                      <w:rFonts w:cs="Times New Roman"/>
                    </w:rPr>
                    <w:t>、本项目协同处置的污染土及污泥无需预处理，满足进厂标准后进入水泥窑。</w:t>
                  </w:r>
                </w:p>
                <w:p w14:paraId="0BF8D17E" w14:textId="77777777" w:rsidR="00F76A63" w:rsidRDefault="00000000">
                  <w:pPr>
                    <w:pStyle w:val="affff8"/>
                    <w:rPr>
                      <w:rFonts w:cs="Times New Roman"/>
                    </w:rPr>
                  </w:pPr>
                  <w:r>
                    <w:rPr>
                      <w:rFonts w:cs="Times New Roman"/>
                    </w:rPr>
                    <w:t>11</w:t>
                  </w:r>
                  <w:r>
                    <w:rPr>
                      <w:rFonts w:cs="Times New Roman"/>
                    </w:rPr>
                    <w:t>、本项目未将未经处理的废物渗滤液及污水以任何方式直接排放或随意倾倒。</w:t>
                  </w:r>
                </w:p>
                <w:p w14:paraId="638994FB" w14:textId="77777777" w:rsidR="00F76A63" w:rsidRDefault="00000000">
                  <w:pPr>
                    <w:pStyle w:val="affff8"/>
                    <w:rPr>
                      <w:rFonts w:cs="Times New Roman"/>
                    </w:rPr>
                  </w:pPr>
                  <w:r>
                    <w:rPr>
                      <w:rFonts w:cs="Times New Roman"/>
                    </w:rPr>
                    <w:t>12</w:t>
                  </w:r>
                  <w:r>
                    <w:rPr>
                      <w:rFonts w:cs="Times New Roman"/>
                    </w:rPr>
                    <w:t>、工业废物处置过程中产生的恶臭污染物的控制与防治符合现行国家标准《恶臭污染物排放标准》</w:t>
                  </w:r>
                  <w:r>
                    <w:rPr>
                      <w:rFonts w:cs="Times New Roman" w:hint="eastAsia"/>
                    </w:rPr>
                    <w:t>（</w:t>
                  </w:r>
                  <w:r>
                    <w:rPr>
                      <w:rFonts w:cs="Times New Roman"/>
                    </w:rPr>
                    <w:t>GB14554</w:t>
                  </w:r>
                  <w:r>
                    <w:rPr>
                      <w:rFonts w:cs="Times New Roman" w:hint="eastAsia"/>
                    </w:rPr>
                    <w:t>-1993</w:t>
                  </w:r>
                  <w:r>
                    <w:rPr>
                      <w:rFonts w:cs="Times New Roman" w:hint="eastAsia"/>
                    </w:rPr>
                    <w:t>）</w:t>
                  </w:r>
                  <w:r>
                    <w:rPr>
                      <w:rFonts w:cs="Times New Roman"/>
                    </w:rPr>
                    <w:t>的有关规定。</w:t>
                  </w:r>
                </w:p>
              </w:tc>
              <w:tc>
                <w:tcPr>
                  <w:tcW w:w="720" w:type="dxa"/>
                  <w:tcBorders>
                    <w:top w:val="single" w:sz="4" w:space="0" w:color="auto"/>
                    <w:left w:val="single" w:sz="4" w:space="0" w:color="auto"/>
                    <w:bottom w:val="single" w:sz="4" w:space="0" w:color="auto"/>
                    <w:right w:val="nil"/>
                  </w:tcBorders>
                  <w:vAlign w:val="center"/>
                </w:tcPr>
                <w:p w14:paraId="30254297" w14:textId="77777777" w:rsidR="00F76A63" w:rsidRDefault="00000000">
                  <w:pPr>
                    <w:pStyle w:val="affff8"/>
                    <w:rPr>
                      <w:rFonts w:cs="Times New Roman"/>
                    </w:rPr>
                  </w:pPr>
                  <w:r>
                    <w:rPr>
                      <w:rFonts w:cs="Times New Roman"/>
                    </w:rPr>
                    <w:lastRenderedPageBreak/>
                    <w:t>符合</w:t>
                  </w:r>
                </w:p>
              </w:tc>
            </w:tr>
          </w:tbl>
          <w:p w14:paraId="48E5198B" w14:textId="77777777" w:rsidR="00F76A63" w:rsidRDefault="00000000">
            <w:pPr>
              <w:widowControl/>
              <w:spacing w:line="500" w:lineRule="exact"/>
              <w:jc w:val="center"/>
              <w:rPr>
                <w:b/>
                <w:bCs/>
                <w:sz w:val="24"/>
                <w:szCs w:val="21"/>
              </w:rPr>
            </w:pPr>
            <w:r>
              <w:rPr>
                <w:b/>
                <w:bCs/>
                <w:sz w:val="24"/>
                <w:szCs w:val="21"/>
              </w:rPr>
              <w:t>表</w:t>
            </w:r>
            <w:r>
              <w:rPr>
                <w:b/>
                <w:bCs/>
                <w:sz w:val="24"/>
                <w:szCs w:val="21"/>
              </w:rPr>
              <w:t>1-1</w:t>
            </w:r>
            <w:r>
              <w:rPr>
                <w:rFonts w:hint="eastAsia"/>
                <w:b/>
                <w:bCs/>
                <w:sz w:val="24"/>
                <w:szCs w:val="21"/>
              </w:rPr>
              <w:t>4</w:t>
            </w:r>
            <w:r>
              <w:rPr>
                <w:b/>
                <w:bCs/>
                <w:sz w:val="24"/>
                <w:szCs w:val="21"/>
              </w:rPr>
              <w:t xml:space="preserve">  </w:t>
            </w:r>
            <w:r>
              <w:rPr>
                <w:b/>
                <w:bCs/>
                <w:sz w:val="24"/>
                <w:szCs w:val="21"/>
              </w:rPr>
              <w:t>本项目与《水泥窑协同处置固体废物环境保护技术规范》（</w:t>
            </w:r>
            <w:r>
              <w:rPr>
                <w:b/>
                <w:bCs/>
                <w:sz w:val="24"/>
                <w:szCs w:val="21"/>
              </w:rPr>
              <w:t>HJ 662-2013</w:t>
            </w:r>
            <w:r>
              <w:rPr>
                <w:b/>
                <w:bCs/>
                <w:sz w:val="24"/>
                <w:szCs w:val="21"/>
              </w:rPr>
              <w:t>）相符性分析</w:t>
            </w:r>
          </w:p>
          <w:tbl>
            <w:tblPr>
              <w:tblStyle w:val="TableNormal"/>
              <w:tblW w:w="5000"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23"/>
              <w:gridCol w:w="1013"/>
              <w:gridCol w:w="980"/>
              <w:gridCol w:w="2067"/>
              <w:gridCol w:w="724"/>
              <w:gridCol w:w="993"/>
              <w:gridCol w:w="634"/>
              <w:gridCol w:w="1629"/>
              <w:gridCol w:w="3302"/>
              <w:gridCol w:w="788"/>
            </w:tblGrid>
            <w:tr w:rsidR="00F76A63" w14:paraId="6066F813" w14:textId="77777777">
              <w:trPr>
                <w:trHeight w:val="349"/>
                <w:jc w:val="center"/>
              </w:trPr>
              <w:tc>
                <w:tcPr>
                  <w:tcW w:w="625" w:type="dxa"/>
                  <w:tcBorders>
                    <w:top w:val="single" w:sz="12" w:space="0" w:color="000000"/>
                    <w:left w:val="nil"/>
                    <w:bottom w:val="single" w:sz="2" w:space="0" w:color="000000"/>
                    <w:right w:val="single" w:sz="2" w:space="0" w:color="000000"/>
                  </w:tcBorders>
                  <w:vAlign w:val="center"/>
                </w:tcPr>
                <w:p w14:paraId="1811B73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4"/>
                      <w:sz w:val="21"/>
                      <w:szCs w:val="21"/>
                    </w:rPr>
                    <w:t>项目</w:t>
                  </w:r>
                </w:p>
              </w:tc>
              <w:tc>
                <w:tcPr>
                  <w:tcW w:w="8051" w:type="dxa"/>
                  <w:gridSpan w:val="7"/>
                  <w:tcBorders>
                    <w:top w:val="single" w:sz="12" w:space="0" w:color="000000"/>
                    <w:left w:val="single" w:sz="2" w:space="0" w:color="000000"/>
                    <w:bottom w:val="single" w:sz="2" w:space="0" w:color="000000"/>
                    <w:right w:val="single" w:sz="2" w:space="0" w:color="000000"/>
                  </w:tcBorders>
                  <w:vAlign w:val="center"/>
                </w:tcPr>
                <w:p w14:paraId="7AADE0D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z w:val="21"/>
                      <w:szCs w:val="21"/>
                    </w:rPr>
                    <w:t>HJ</w:t>
                  </w:r>
                  <w:r>
                    <w:rPr>
                      <w:rFonts w:ascii="Times New Roman" w:hAnsi="Times New Roman" w:cs="Times New Roman"/>
                      <w:b/>
                      <w:bCs/>
                      <w:color w:val="auto"/>
                      <w:spacing w:val="9"/>
                      <w:sz w:val="21"/>
                      <w:szCs w:val="21"/>
                    </w:rPr>
                    <w:t xml:space="preserve">662-2013 </w:t>
                  </w:r>
                  <w:r>
                    <w:rPr>
                      <w:rFonts w:ascii="Times New Roman" w:hAnsi="Times New Roman" w:cs="Times New Roman"/>
                      <w:b/>
                      <w:bCs/>
                      <w:color w:val="auto"/>
                      <w:spacing w:val="9"/>
                      <w:sz w:val="21"/>
                      <w:szCs w:val="21"/>
                    </w:rPr>
                    <w:t>文件要求</w:t>
                  </w:r>
                </w:p>
              </w:tc>
              <w:tc>
                <w:tcPr>
                  <w:tcW w:w="3306" w:type="dxa"/>
                  <w:tcBorders>
                    <w:top w:val="single" w:sz="12" w:space="0" w:color="000000"/>
                    <w:left w:val="single" w:sz="2" w:space="0" w:color="000000"/>
                    <w:bottom w:val="single" w:sz="2" w:space="0" w:color="000000"/>
                    <w:right w:val="single" w:sz="2" w:space="0" w:color="000000"/>
                  </w:tcBorders>
                  <w:vAlign w:val="center"/>
                </w:tcPr>
                <w:p w14:paraId="7B98671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9"/>
                      <w:sz w:val="21"/>
                      <w:szCs w:val="21"/>
                    </w:rPr>
                    <w:t>落实情况</w:t>
                  </w:r>
                </w:p>
              </w:tc>
              <w:tc>
                <w:tcPr>
                  <w:tcW w:w="789" w:type="dxa"/>
                  <w:tcBorders>
                    <w:top w:val="single" w:sz="12" w:space="0" w:color="000000"/>
                    <w:left w:val="single" w:sz="2" w:space="0" w:color="000000"/>
                    <w:bottom w:val="single" w:sz="2" w:space="0" w:color="000000"/>
                    <w:right w:val="nil"/>
                  </w:tcBorders>
                  <w:vAlign w:val="center"/>
                </w:tcPr>
                <w:p w14:paraId="20B87B8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7"/>
                      <w:sz w:val="21"/>
                      <w:szCs w:val="21"/>
                    </w:rPr>
                    <w:t>符合性</w:t>
                  </w:r>
                </w:p>
              </w:tc>
            </w:tr>
            <w:tr w:rsidR="00F76A63" w14:paraId="6458AE1A" w14:textId="77777777">
              <w:trPr>
                <w:trHeight w:val="548"/>
                <w:jc w:val="center"/>
              </w:trPr>
              <w:tc>
                <w:tcPr>
                  <w:tcW w:w="625" w:type="dxa"/>
                  <w:vMerge w:val="restart"/>
                  <w:tcBorders>
                    <w:top w:val="single" w:sz="2" w:space="0" w:color="000000"/>
                    <w:left w:val="nil"/>
                    <w:right w:val="single" w:sz="2" w:space="0" w:color="000000"/>
                  </w:tcBorders>
                  <w:vAlign w:val="center"/>
                </w:tcPr>
                <w:p w14:paraId="6947E68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4.</w:t>
                  </w:r>
                  <w:r>
                    <w:rPr>
                      <w:rFonts w:ascii="Times New Roman" w:hAnsi="Times New Roman" w:cs="Times New Roman"/>
                      <w:color w:val="auto"/>
                      <w:spacing w:val="7"/>
                      <w:sz w:val="21"/>
                      <w:szCs w:val="21"/>
                    </w:rPr>
                    <w:t>协</w:t>
                  </w:r>
                  <w:r>
                    <w:rPr>
                      <w:rFonts w:ascii="Times New Roman" w:hAnsi="Times New Roman" w:cs="Times New Roman"/>
                      <w:color w:val="auto"/>
                      <w:spacing w:val="-4"/>
                      <w:sz w:val="21"/>
                      <w:szCs w:val="21"/>
                    </w:rPr>
                    <w:t>同处</w:t>
                  </w:r>
                  <w:r>
                    <w:rPr>
                      <w:rFonts w:ascii="Times New Roman" w:hAnsi="Times New Roman" w:cs="Times New Roman"/>
                      <w:color w:val="auto"/>
                      <w:spacing w:val="8"/>
                      <w:sz w:val="21"/>
                      <w:szCs w:val="21"/>
                    </w:rPr>
                    <w:t>置设</w:t>
                  </w:r>
                  <w:r>
                    <w:rPr>
                      <w:rFonts w:ascii="Times New Roman" w:hAnsi="Times New Roman" w:cs="Times New Roman"/>
                      <w:color w:val="auto"/>
                      <w:spacing w:val="7"/>
                      <w:sz w:val="21"/>
                      <w:szCs w:val="21"/>
                    </w:rPr>
                    <w:t>施技</w:t>
                  </w:r>
                  <w:r>
                    <w:rPr>
                      <w:rFonts w:ascii="Times New Roman" w:hAnsi="Times New Roman" w:cs="Times New Roman"/>
                      <w:color w:val="auto"/>
                      <w:spacing w:val="6"/>
                      <w:sz w:val="21"/>
                      <w:szCs w:val="21"/>
                    </w:rPr>
                    <w:t>术要</w:t>
                  </w:r>
                  <w:r>
                    <w:rPr>
                      <w:rFonts w:ascii="Times New Roman" w:hAnsi="Times New Roman" w:cs="Times New Roman"/>
                      <w:color w:val="auto"/>
                      <w:sz w:val="21"/>
                      <w:szCs w:val="21"/>
                    </w:rPr>
                    <w:t>求</w:t>
                  </w:r>
                </w:p>
              </w:tc>
              <w:tc>
                <w:tcPr>
                  <w:tcW w:w="1014" w:type="dxa"/>
                  <w:vMerge w:val="restart"/>
                  <w:tcBorders>
                    <w:top w:val="single" w:sz="2" w:space="0" w:color="000000"/>
                    <w:left w:val="single" w:sz="2" w:space="0" w:color="000000"/>
                    <w:bottom w:val="single" w:sz="2" w:space="0" w:color="000000"/>
                    <w:right w:val="single" w:sz="2" w:space="0" w:color="000000"/>
                  </w:tcBorders>
                  <w:vAlign w:val="center"/>
                </w:tcPr>
                <w:p w14:paraId="06641CB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4.1</w:t>
                  </w:r>
                  <w:r>
                    <w:rPr>
                      <w:rFonts w:ascii="Times New Roman" w:hAnsi="Times New Roman" w:cs="Times New Roman"/>
                      <w:color w:val="auto"/>
                      <w:spacing w:val="-1"/>
                      <w:sz w:val="21"/>
                      <w:szCs w:val="21"/>
                    </w:rPr>
                    <w:t>水泥</w:t>
                  </w:r>
                  <w:r>
                    <w:rPr>
                      <w:rFonts w:ascii="Times New Roman" w:hAnsi="Times New Roman" w:cs="Times New Roman"/>
                      <w:color w:val="auto"/>
                      <w:sz w:val="21"/>
                      <w:szCs w:val="21"/>
                    </w:rPr>
                    <w:t>窑</w:t>
                  </w:r>
                </w:p>
              </w:tc>
              <w:tc>
                <w:tcPr>
                  <w:tcW w:w="981" w:type="dxa"/>
                  <w:vMerge w:val="restart"/>
                  <w:tcBorders>
                    <w:top w:val="single" w:sz="2" w:space="0" w:color="000000"/>
                    <w:left w:val="single" w:sz="2" w:space="0" w:color="000000"/>
                    <w:right w:val="single" w:sz="2" w:space="0" w:color="000000"/>
                  </w:tcBorders>
                  <w:vAlign w:val="center"/>
                </w:tcPr>
                <w:p w14:paraId="49AE777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 xml:space="preserve">4.1.1 </w:t>
                  </w:r>
                  <w:r>
                    <w:rPr>
                      <w:rFonts w:ascii="Times New Roman" w:hAnsi="Times New Roman" w:cs="Times New Roman"/>
                      <w:color w:val="auto"/>
                      <w:sz w:val="21"/>
                      <w:szCs w:val="21"/>
                    </w:rPr>
                    <w:t>满足以</w:t>
                  </w:r>
                  <w:r>
                    <w:rPr>
                      <w:rFonts w:ascii="Times New Roman" w:hAnsi="Times New Roman" w:cs="Times New Roman"/>
                      <w:color w:val="auto"/>
                      <w:spacing w:val="11"/>
                      <w:sz w:val="21"/>
                      <w:szCs w:val="21"/>
                    </w:rPr>
                    <w:t>下条件的水泥窑可用于协同处置固</w:t>
                  </w:r>
                  <w:r>
                    <w:rPr>
                      <w:rFonts w:ascii="Times New Roman" w:hAnsi="Times New Roman" w:cs="Times New Roman"/>
                      <w:color w:val="auto"/>
                      <w:spacing w:val="7"/>
                      <w:sz w:val="21"/>
                      <w:szCs w:val="21"/>
                    </w:rPr>
                    <w:t>体废物：</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52ADC8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a</w:t>
                  </w:r>
                  <w:r>
                    <w:rPr>
                      <w:rFonts w:ascii="Times New Roman" w:hAnsi="Times New Roman" w:cs="Times New Roman"/>
                      <w:color w:val="auto"/>
                      <w:spacing w:val="11"/>
                      <w:sz w:val="21"/>
                      <w:szCs w:val="21"/>
                    </w:rPr>
                    <w:t>）窑型为新型干法回转窑。</w:t>
                  </w:r>
                </w:p>
              </w:tc>
              <w:tc>
                <w:tcPr>
                  <w:tcW w:w="3306" w:type="dxa"/>
                  <w:tcBorders>
                    <w:top w:val="single" w:sz="2" w:space="0" w:color="000000"/>
                    <w:left w:val="single" w:sz="2" w:space="0" w:color="000000"/>
                    <w:bottom w:val="single" w:sz="2" w:space="0" w:color="000000"/>
                    <w:right w:val="single" w:sz="2" w:space="0" w:color="000000"/>
                  </w:tcBorders>
                  <w:vAlign w:val="center"/>
                </w:tcPr>
                <w:p w14:paraId="185B63B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本项目用于协同处置</w:t>
                  </w:r>
                  <w:r>
                    <w:rPr>
                      <w:rFonts w:ascii="Times New Roman" w:hAnsi="Times New Roman" w:cs="Times New Roman"/>
                      <w:color w:val="auto"/>
                      <w:sz w:val="21"/>
                      <w:szCs w:val="21"/>
                    </w:rPr>
                    <w:t>污染土及污泥</w:t>
                  </w:r>
                  <w:r>
                    <w:rPr>
                      <w:rFonts w:ascii="Times New Roman" w:hAnsi="Times New Roman" w:cs="Times New Roman"/>
                      <w:color w:val="auto"/>
                      <w:spacing w:val="11"/>
                      <w:sz w:val="21"/>
                      <w:szCs w:val="21"/>
                    </w:rPr>
                    <w:t>的水泥窑为新型干法回转窑。</w:t>
                  </w:r>
                </w:p>
              </w:tc>
              <w:tc>
                <w:tcPr>
                  <w:tcW w:w="789" w:type="dxa"/>
                  <w:vMerge w:val="restart"/>
                  <w:tcBorders>
                    <w:top w:val="single" w:sz="2" w:space="0" w:color="000000"/>
                    <w:left w:val="single" w:sz="2" w:space="0" w:color="000000"/>
                    <w:bottom w:val="nil"/>
                    <w:right w:val="nil"/>
                  </w:tcBorders>
                  <w:vAlign w:val="center"/>
                </w:tcPr>
                <w:p w14:paraId="050D253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61C47A18" w14:textId="77777777">
              <w:trPr>
                <w:trHeight w:val="548"/>
                <w:jc w:val="center"/>
              </w:trPr>
              <w:tc>
                <w:tcPr>
                  <w:tcW w:w="625" w:type="dxa"/>
                  <w:vMerge/>
                  <w:tcBorders>
                    <w:left w:val="nil"/>
                    <w:right w:val="single" w:sz="2" w:space="0" w:color="000000"/>
                  </w:tcBorders>
                  <w:vAlign w:val="center"/>
                </w:tcPr>
                <w:p w14:paraId="391C0B77" w14:textId="77777777" w:rsidR="00F76A63" w:rsidRDefault="00F76A63">
                  <w:pPr>
                    <w:jc w:val="center"/>
                    <w:rPr>
                      <w:szCs w:val="21"/>
                    </w:rPr>
                  </w:pPr>
                </w:p>
              </w:tc>
              <w:tc>
                <w:tcPr>
                  <w:tcW w:w="1014" w:type="dxa"/>
                  <w:vMerge/>
                  <w:tcBorders>
                    <w:top w:val="single" w:sz="12" w:space="0" w:color="000000"/>
                    <w:left w:val="single" w:sz="2" w:space="0" w:color="000000"/>
                    <w:bottom w:val="single" w:sz="2" w:space="0" w:color="000000"/>
                    <w:right w:val="single" w:sz="2" w:space="0" w:color="000000"/>
                  </w:tcBorders>
                  <w:vAlign w:val="center"/>
                </w:tcPr>
                <w:p w14:paraId="03F09CEA" w14:textId="77777777" w:rsidR="00F76A63" w:rsidRDefault="00F76A63">
                  <w:pPr>
                    <w:jc w:val="center"/>
                    <w:rPr>
                      <w:szCs w:val="21"/>
                    </w:rPr>
                  </w:pPr>
                </w:p>
              </w:tc>
              <w:tc>
                <w:tcPr>
                  <w:tcW w:w="981" w:type="dxa"/>
                  <w:vMerge/>
                  <w:tcBorders>
                    <w:left w:val="single" w:sz="2" w:space="0" w:color="000000"/>
                    <w:right w:val="single" w:sz="2" w:space="0" w:color="000000"/>
                  </w:tcBorders>
                  <w:vAlign w:val="center"/>
                </w:tcPr>
                <w:p w14:paraId="40C077D4" w14:textId="77777777" w:rsidR="00F76A63" w:rsidRDefault="00F76A63">
                  <w:pPr>
                    <w:jc w:val="center"/>
                    <w:rPr>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2C1CA0C"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b</w:t>
                  </w:r>
                  <w:r>
                    <w:rPr>
                      <w:rFonts w:ascii="Times New Roman" w:hAnsi="Times New Roman" w:cs="Times New Roman"/>
                      <w:color w:val="auto"/>
                      <w:spacing w:val="10"/>
                      <w:sz w:val="21"/>
                      <w:szCs w:val="21"/>
                    </w:rPr>
                    <w:t>）单线设计熟料生产规模不小于</w:t>
                  </w:r>
                  <w:r>
                    <w:rPr>
                      <w:rFonts w:ascii="Times New Roman" w:hAnsi="Times New Roman" w:cs="Times New Roman"/>
                      <w:color w:val="auto"/>
                      <w:spacing w:val="10"/>
                      <w:sz w:val="21"/>
                      <w:szCs w:val="21"/>
                    </w:rPr>
                    <w:t>2000</w:t>
                  </w:r>
                  <w:r>
                    <w:rPr>
                      <w:rFonts w:ascii="Times New Roman" w:hAnsi="Times New Roman" w:cs="Times New Roman"/>
                      <w:color w:val="auto"/>
                      <w:spacing w:val="10"/>
                      <w:sz w:val="21"/>
                      <w:szCs w:val="21"/>
                    </w:rPr>
                    <w:t>吨</w:t>
                  </w:r>
                  <w:r>
                    <w:rPr>
                      <w:rFonts w:ascii="Times New Roman" w:hAnsi="Times New Roman" w:cs="Times New Roman"/>
                      <w:color w:val="auto"/>
                      <w:spacing w:val="10"/>
                      <w:sz w:val="21"/>
                      <w:szCs w:val="21"/>
                    </w:rPr>
                    <w:t>/</w:t>
                  </w:r>
                  <w:r>
                    <w:rPr>
                      <w:rFonts w:ascii="Times New Roman" w:hAnsi="Times New Roman" w:cs="Times New Roman"/>
                      <w:color w:val="auto"/>
                      <w:spacing w:val="10"/>
                      <w:sz w:val="21"/>
                      <w:szCs w:val="21"/>
                    </w:rPr>
                    <w:t>日。</w:t>
                  </w:r>
                </w:p>
              </w:tc>
              <w:tc>
                <w:tcPr>
                  <w:tcW w:w="3306" w:type="dxa"/>
                  <w:tcBorders>
                    <w:top w:val="single" w:sz="2" w:space="0" w:color="000000"/>
                    <w:left w:val="single" w:sz="2" w:space="0" w:color="000000"/>
                    <w:bottom w:val="single" w:sz="2" w:space="0" w:color="000000"/>
                    <w:right w:val="single" w:sz="2" w:space="0" w:color="000000"/>
                  </w:tcBorders>
                  <w:vAlign w:val="center"/>
                </w:tcPr>
                <w:p w14:paraId="4F70F38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本项目单线设计熟料生产规模分别为</w:t>
                  </w:r>
                  <w:r>
                    <w:rPr>
                      <w:rFonts w:ascii="Times New Roman" w:hAnsi="Times New Roman" w:cs="Times New Roman"/>
                      <w:color w:val="auto"/>
                      <w:spacing w:val="5"/>
                      <w:sz w:val="21"/>
                      <w:szCs w:val="21"/>
                    </w:rPr>
                    <w:t>5000</w:t>
                  </w:r>
                  <w:r>
                    <w:rPr>
                      <w:rFonts w:ascii="Times New Roman" w:hAnsi="Times New Roman" w:cs="Times New Roman"/>
                      <w:color w:val="auto"/>
                      <w:spacing w:val="5"/>
                      <w:sz w:val="21"/>
                      <w:szCs w:val="21"/>
                    </w:rPr>
                    <w:t>吨</w:t>
                  </w:r>
                  <w:r>
                    <w:rPr>
                      <w:rFonts w:ascii="Times New Roman" w:hAnsi="Times New Roman" w:cs="Times New Roman"/>
                      <w:color w:val="auto"/>
                      <w:spacing w:val="5"/>
                      <w:sz w:val="21"/>
                      <w:szCs w:val="21"/>
                    </w:rPr>
                    <w:t>/</w:t>
                  </w:r>
                  <w:r>
                    <w:rPr>
                      <w:rFonts w:ascii="Times New Roman" w:hAnsi="Times New Roman" w:cs="Times New Roman"/>
                      <w:color w:val="auto"/>
                      <w:spacing w:val="5"/>
                      <w:sz w:val="21"/>
                      <w:szCs w:val="21"/>
                    </w:rPr>
                    <w:t>天、</w:t>
                  </w:r>
                  <w:r>
                    <w:rPr>
                      <w:rFonts w:ascii="Times New Roman" w:hAnsi="Times New Roman" w:cs="Times New Roman"/>
                      <w:color w:val="auto"/>
                      <w:spacing w:val="5"/>
                      <w:sz w:val="21"/>
                      <w:szCs w:val="21"/>
                    </w:rPr>
                    <w:t>6000</w:t>
                  </w:r>
                  <w:r>
                    <w:rPr>
                      <w:rFonts w:ascii="Times New Roman" w:hAnsi="Times New Roman" w:cs="Times New Roman"/>
                      <w:color w:val="auto"/>
                      <w:spacing w:val="5"/>
                      <w:sz w:val="21"/>
                      <w:szCs w:val="21"/>
                    </w:rPr>
                    <w:t>吨</w:t>
                  </w:r>
                  <w:r>
                    <w:rPr>
                      <w:rFonts w:ascii="Times New Roman" w:hAnsi="Times New Roman" w:cs="Times New Roman"/>
                      <w:color w:val="auto"/>
                      <w:spacing w:val="5"/>
                      <w:sz w:val="21"/>
                      <w:szCs w:val="21"/>
                    </w:rPr>
                    <w:t>/</w:t>
                  </w:r>
                  <w:r>
                    <w:rPr>
                      <w:rFonts w:ascii="Times New Roman" w:hAnsi="Times New Roman" w:cs="Times New Roman"/>
                      <w:color w:val="auto"/>
                      <w:spacing w:val="5"/>
                      <w:sz w:val="21"/>
                      <w:szCs w:val="21"/>
                    </w:rPr>
                    <w:t>天。</w:t>
                  </w:r>
                </w:p>
              </w:tc>
              <w:tc>
                <w:tcPr>
                  <w:tcW w:w="789" w:type="dxa"/>
                  <w:vMerge/>
                  <w:tcBorders>
                    <w:top w:val="single" w:sz="2" w:space="0" w:color="000000"/>
                    <w:left w:val="single" w:sz="2" w:space="0" w:color="000000"/>
                    <w:bottom w:val="nil"/>
                    <w:right w:val="nil"/>
                  </w:tcBorders>
                  <w:vAlign w:val="center"/>
                </w:tcPr>
                <w:p w14:paraId="3B3B01E5" w14:textId="77777777" w:rsidR="00F76A63" w:rsidRDefault="00F76A63">
                  <w:pPr>
                    <w:jc w:val="center"/>
                    <w:rPr>
                      <w:szCs w:val="21"/>
                    </w:rPr>
                  </w:pPr>
                </w:p>
              </w:tc>
            </w:tr>
            <w:tr w:rsidR="00F76A63" w14:paraId="47A62A5D" w14:textId="77777777">
              <w:trPr>
                <w:trHeight w:val="819"/>
                <w:jc w:val="center"/>
              </w:trPr>
              <w:tc>
                <w:tcPr>
                  <w:tcW w:w="625" w:type="dxa"/>
                  <w:vMerge/>
                  <w:tcBorders>
                    <w:left w:val="nil"/>
                    <w:right w:val="single" w:sz="2" w:space="0" w:color="000000"/>
                  </w:tcBorders>
                  <w:vAlign w:val="center"/>
                </w:tcPr>
                <w:p w14:paraId="498CC4A2" w14:textId="77777777" w:rsidR="00F76A63" w:rsidRDefault="00F76A63">
                  <w:pPr>
                    <w:jc w:val="center"/>
                    <w:rPr>
                      <w:szCs w:val="21"/>
                    </w:rPr>
                  </w:pPr>
                </w:p>
              </w:tc>
              <w:tc>
                <w:tcPr>
                  <w:tcW w:w="1014" w:type="dxa"/>
                  <w:vMerge/>
                  <w:tcBorders>
                    <w:top w:val="single" w:sz="12" w:space="0" w:color="000000"/>
                    <w:left w:val="single" w:sz="2" w:space="0" w:color="000000"/>
                    <w:bottom w:val="single" w:sz="2" w:space="0" w:color="000000"/>
                    <w:right w:val="single" w:sz="2" w:space="0" w:color="000000"/>
                  </w:tcBorders>
                  <w:vAlign w:val="center"/>
                </w:tcPr>
                <w:p w14:paraId="3860537E" w14:textId="77777777" w:rsidR="00F76A63" w:rsidRDefault="00F76A63">
                  <w:pPr>
                    <w:jc w:val="center"/>
                    <w:rPr>
                      <w:szCs w:val="21"/>
                    </w:rPr>
                  </w:pPr>
                </w:p>
              </w:tc>
              <w:tc>
                <w:tcPr>
                  <w:tcW w:w="981" w:type="dxa"/>
                  <w:vMerge/>
                  <w:tcBorders>
                    <w:left w:val="single" w:sz="2" w:space="0" w:color="000000"/>
                    <w:bottom w:val="single" w:sz="2" w:space="0" w:color="000000"/>
                    <w:right w:val="single" w:sz="2" w:space="0" w:color="000000"/>
                  </w:tcBorders>
                  <w:vAlign w:val="center"/>
                </w:tcPr>
                <w:p w14:paraId="626FDE0A" w14:textId="77777777" w:rsidR="00F76A63" w:rsidRDefault="00F76A63">
                  <w:pPr>
                    <w:jc w:val="center"/>
                    <w:rPr>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8A61A9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）对于改造利用原有设施协同处置固体废物的水泥窑，在改造之</w:t>
                  </w:r>
                  <w:r>
                    <w:rPr>
                      <w:rFonts w:ascii="Times New Roman" w:hAnsi="Times New Roman" w:cs="Times New Roman"/>
                      <w:color w:val="auto"/>
                      <w:spacing w:val="10"/>
                      <w:sz w:val="21"/>
                      <w:szCs w:val="21"/>
                    </w:rPr>
                    <w:t>前原有设施应连续两年达到</w:t>
                  </w:r>
                  <w:r>
                    <w:rPr>
                      <w:rFonts w:ascii="Times New Roman" w:hAnsi="Times New Roman" w:cs="Times New Roman"/>
                      <w:color w:val="auto"/>
                      <w:sz w:val="21"/>
                      <w:szCs w:val="21"/>
                    </w:rPr>
                    <w:t>GB</w:t>
                  </w:r>
                  <w:r>
                    <w:rPr>
                      <w:rFonts w:ascii="Times New Roman" w:hAnsi="Times New Roman" w:cs="Times New Roman"/>
                      <w:color w:val="auto"/>
                      <w:spacing w:val="10"/>
                      <w:sz w:val="21"/>
                      <w:szCs w:val="21"/>
                    </w:rPr>
                    <w:t xml:space="preserve"> 4915</w:t>
                  </w:r>
                  <w:r>
                    <w:rPr>
                      <w:rFonts w:ascii="Times New Roman" w:hAnsi="Times New Roman" w:cs="Times New Roman"/>
                      <w:color w:val="auto"/>
                      <w:spacing w:val="10"/>
                      <w:sz w:val="21"/>
                      <w:szCs w:val="21"/>
                    </w:rPr>
                    <w:t>的要求。</w:t>
                  </w:r>
                </w:p>
              </w:tc>
              <w:tc>
                <w:tcPr>
                  <w:tcW w:w="3306" w:type="dxa"/>
                  <w:tcBorders>
                    <w:top w:val="single" w:sz="2" w:space="0" w:color="000000"/>
                    <w:left w:val="single" w:sz="2" w:space="0" w:color="000000"/>
                    <w:bottom w:val="single" w:sz="2" w:space="0" w:color="000000"/>
                    <w:right w:val="single" w:sz="2" w:space="0" w:color="000000"/>
                  </w:tcBorders>
                  <w:vAlign w:val="center"/>
                </w:tcPr>
                <w:p w14:paraId="175727D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本项目利用原有设施协同处置的</w:t>
                  </w:r>
                  <w:r>
                    <w:rPr>
                      <w:rFonts w:ascii="Times New Roman" w:hAnsi="Times New Roman" w:cs="Times New Roman"/>
                      <w:color w:val="auto"/>
                      <w:spacing w:val="12"/>
                      <w:sz w:val="21"/>
                      <w:szCs w:val="21"/>
                    </w:rPr>
                    <w:t>水泥窑，在进行改造之前原有设施连</w:t>
                  </w:r>
                  <w:r>
                    <w:rPr>
                      <w:rFonts w:ascii="Times New Roman" w:hAnsi="Times New Roman" w:cs="Times New Roman"/>
                      <w:color w:val="auto"/>
                      <w:spacing w:val="7"/>
                      <w:sz w:val="21"/>
                      <w:szCs w:val="21"/>
                    </w:rPr>
                    <w:t>续两年满足</w:t>
                  </w:r>
                  <w:r>
                    <w:rPr>
                      <w:rFonts w:ascii="Times New Roman" w:hAnsi="Times New Roman" w:cs="Times New Roman"/>
                      <w:color w:val="auto"/>
                      <w:sz w:val="21"/>
                      <w:szCs w:val="21"/>
                    </w:rPr>
                    <w:t>GB</w:t>
                  </w:r>
                  <w:r>
                    <w:rPr>
                      <w:rFonts w:ascii="Times New Roman" w:hAnsi="Times New Roman" w:cs="Times New Roman"/>
                      <w:color w:val="auto"/>
                      <w:spacing w:val="18"/>
                      <w:sz w:val="21"/>
                      <w:szCs w:val="21"/>
                    </w:rPr>
                    <w:t xml:space="preserve"> </w:t>
                  </w:r>
                  <w:r>
                    <w:rPr>
                      <w:rFonts w:ascii="Times New Roman" w:hAnsi="Times New Roman" w:cs="Times New Roman"/>
                      <w:color w:val="auto"/>
                      <w:spacing w:val="7"/>
                      <w:sz w:val="21"/>
                      <w:szCs w:val="21"/>
                    </w:rPr>
                    <w:t>4915</w:t>
                  </w:r>
                  <w:r>
                    <w:rPr>
                      <w:rFonts w:ascii="Times New Roman" w:hAnsi="Times New Roman" w:cs="Times New Roman"/>
                      <w:color w:val="auto"/>
                      <w:spacing w:val="7"/>
                      <w:sz w:val="21"/>
                      <w:szCs w:val="21"/>
                    </w:rPr>
                    <w:t>的规定。</w:t>
                  </w:r>
                </w:p>
              </w:tc>
              <w:tc>
                <w:tcPr>
                  <w:tcW w:w="789" w:type="dxa"/>
                  <w:vMerge/>
                  <w:tcBorders>
                    <w:top w:val="single" w:sz="2" w:space="0" w:color="000000"/>
                    <w:left w:val="single" w:sz="2" w:space="0" w:color="000000"/>
                    <w:bottom w:val="nil"/>
                    <w:right w:val="nil"/>
                  </w:tcBorders>
                  <w:vAlign w:val="center"/>
                </w:tcPr>
                <w:p w14:paraId="059F344D" w14:textId="77777777" w:rsidR="00F76A63" w:rsidRDefault="00F76A63">
                  <w:pPr>
                    <w:jc w:val="center"/>
                    <w:rPr>
                      <w:szCs w:val="21"/>
                    </w:rPr>
                  </w:pPr>
                </w:p>
              </w:tc>
            </w:tr>
            <w:tr w:rsidR="00F76A63" w14:paraId="07ACCAB1" w14:textId="77777777">
              <w:trPr>
                <w:trHeight w:val="346"/>
                <w:jc w:val="center"/>
              </w:trPr>
              <w:tc>
                <w:tcPr>
                  <w:tcW w:w="625" w:type="dxa"/>
                  <w:vMerge/>
                  <w:tcBorders>
                    <w:left w:val="nil"/>
                    <w:right w:val="single" w:sz="2" w:space="0" w:color="000000"/>
                  </w:tcBorders>
                  <w:vAlign w:val="center"/>
                </w:tcPr>
                <w:p w14:paraId="4CB41B0F" w14:textId="77777777" w:rsidR="00F76A63" w:rsidRDefault="00F76A63">
                  <w:pPr>
                    <w:jc w:val="center"/>
                    <w:rPr>
                      <w:szCs w:val="21"/>
                    </w:rPr>
                  </w:pPr>
                </w:p>
              </w:tc>
              <w:tc>
                <w:tcPr>
                  <w:tcW w:w="1014" w:type="dxa"/>
                  <w:vMerge/>
                  <w:tcBorders>
                    <w:top w:val="single" w:sz="12" w:space="0" w:color="000000"/>
                    <w:left w:val="single" w:sz="2" w:space="0" w:color="000000"/>
                    <w:bottom w:val="single" w:sz="2" w:space="0" w:color="000000"/>
                    <w:right w:val="single" w:sz="2" w:space="0" w:color="000000"/>
                  </w:tcBorders>
                  <w:vAlign w:val="center"/>
                </w:tcPr>
                <w:p w14:paraId="347EF028" w14:textId="77777777" w:rsidR="00F76A63" w:rsidRDefault="00F76A63">
                  <w:pPr>
                    <w:jc w:val="center"/>
                    <w:rPr>
                      <w:szCs w:val="21"/>
                    </w:rPr>
                  </w:pPr>
                </w:p>
              </w:tc>
              <w:tc>
                <w:tcPr>
                  <w:tcW w:w="981" w:type="dxa"/>
                  <w:vMerge w:val="restart"/>
                  <w:tcBorders>
                    <w:top w:val="single" w:sz="2" w:space="0" w:color="000000"/>
                    <w:left w:val="single" w:sz="2" w:space="0" w:color="000000"/>
                    <w:bottom w:val="single" w:sz="2" w:space="0" w:color="000000"/>
                    <w:right w:val="single" w:sz="2" w:space="0" w:color="000000"/>
                  </w:tcBorders>
                  <w:vAlign w:val="center"/>
                </w:tcPr>
                <w:p w14:paraId="04D002F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4.1.2</w:t>
                  </w:r>
                  <w:r>
                    <w:rPr>
                      <w:rFonts w:ascii="Times New Roman" w:hAnsi="Times New Roman" w:cs="Times New Roman"/>
                      <w:color w:val="auto"/>
                      <w:spacing w:val="14"/>
                      <w:sz w:val="21"/>
                      <w:szCs w:val="21"/>
                    </w:rPr>
                    <w:t xml:space="preserve"> </w:t>
                  </w:r>
                  <w:r>
                    <w:rPr>
                      <w:rFonts w:ascii="Times New Roman" w:hAnsi="Times New Roman" w:cs="Times New Roman"/>
                      <w:color w:val="auto"/>
                      <w:spacing w:val="3"/>
                      <w:sz w:val="21"/>
                      <w:szCs w:val="21"/>
                    </w:rPr>
                    <w:t>用于协</w:t>
                  </w:r>
                  <w:r>
                    <w:rPr>
                      <w:rFonts w:ascii="Times New Roman" w:hAnsi="Times New Roman" w:cs="Times New Roman"/>
                      <w:color w:val="auto"/>
                      <w:spacing w:val="11"/>
                      <w:sz w:val="21"/>
                      <w:szCs w:val="21"/>
                    </w:rPr>
                    <w:t>同处置固体废物的水泥</w:t>
                  </w:r>
                  <w:r>
                    <w:rPr>
                      <w:rFonts w:ascii="Times New Roman" w:hAnsi="Times New Roman" w:cs="Times New Roman"/>
                      <w:color w:val="auto"/>
                      <w:spacing w:val="10"/>
                      <w:sz w:val="21"/>
                      <w:szCs w:val="21"/>
                    </w:rPr>
                    <w:t>窑应具备以</w:t>
                  </w:r>
                  <w:r>
                    <w:rPr>
                      <w:rFonts w:ascii="Times New Roman" w:hAnsi="Times New Roman" w:cs="Times New Roman"/>
                      <w:color w:val="auto"/>
                      <w:spacing w:val="5"/>
                      <w:sz w:val="21"/>
                      <w:szCs w:val="21"/>
                    </w:rPr>
                    <w:t>下功能：</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B0EFF7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a</w:t>
                  </w:r>
                  <w:r>
                    <w:rPr>
                      <w:rFonts w:ascii="Times New Roman" w:hAnsi="Times New Roman" w:cs="Times New Roman"/>
                      <w:color w:val="auto"/>
                      <w:spacing w:val="11"/>
                      <w:sz w:val="21"/>
                      <w:szCs w:val="21"/>
                    </w:rPr>
                    <w:t>）采用窑磨一体机模式。</w:t>
                  </w:r>
                </w:p>
              </w:tc>
              <w:tc>
                <w:tcPr>
                  <w:tcW w:w="3306" w:type="dxa"/>
                  <w:tcBorders>
                    <w:top w:val="single" w:sz="2" w:space="0" w:color="000000"/>
                    <w:left w:val="single" w:sz="2" w:space="0" w:color="000000"/>
                    <w:bottom w:val="single" w:sz="2" w:space="0" w:color="000000"/>
                    <w:right w:val="single" w:sz="2" w:space="0" w:color="000000"/>
                  </w:tcBorders>
                  <w:vAlign w:val="center"/>
                </w:tcPr>
                <w:p w14:paraId="496C7A5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本项目采用窑磨一体机模式。</w:t>
                  </w:r>
                </w:p>
              </w:tc>
              <w:tc>
                <w:tcPr>
                  <w:tcW w:w="789" w:type="dxa"/>
                  <w:vMerge/>
                  <w:tcBorders>
                    <w:top w:val="single" w:sz="2" w:space="0" w:color="000000"/>
                    <w:left w:val="single" w:sz="2" w:space="0" w:color="000000"/>
                    <w:bottom w:val="nil"/>
                    <w:right w:val="nil"/>
                  </w:tcBorders>
                  <w:vAlign w:val="center"/>
                </w:tcPr>
                <w:p w14:paraId="619E0EDB" w14:textId="77777777" w:rsidR="00F76A63" w:rsidRDefault="00F76A63">
                  <w:pPr>
                    <w:jc w:val="center"/>
                    <w:rPr>
                      <w:szCs w:val="21"/>
                    </w:rPr>
                  </w:pPr>
                </w:p>
              </w:tc>
            </w:tr>
            <w:tr w:rsidR="00F76A63" w14:paraId="2F62473D" w14:textId="77777777">
              <w:trPr>
                <w:trHeight w:val="1091"/>
                <w:jc w:val="center"/>
              </w:trPr>
              <w:tc>
                <w:tcPr>
                  <w:tcW w:w="625" w:type="dxa"/>
                  <w:vMerge/>
                  <w:tcBorders>
                    <w:left w:val="nil"/>
                    <w:right w:val="single" w:sz="2" w:space="0" w:color="000000"/>
                  </w:tcBorders>
                  <w:vAlign w:val="center"/>
                </w:tcPr>
                <w:p w14:paraId="0AE8A7B2" w14:textId="77777777" w:rsidR="00F76A63" w:rsidRDefault="00F76A63">
                  <w:pPr>
                    <w:jc w:val="center"/>
                    <w:rPr>
                      <w:szCs w:val="21"/>
                    </w:rPr>
                  </w:pPr>
                </w:p>
              </w:tc>
              <w:tc>
                <w:tcPr>
                  <w:tcW w:w="1014" w:type="dxa"/>
                  <w:vMerge/>
                  <w:tcBorders>
                    <w:top w:val="single" w:sz="12" w:space="0" w:color="000000"/>
                    <w:left w:val="single" w:sz="2" w:space="0" w:color="000000"/>
                    <w:bottom w:val="single" w:sz="2" w:space="0" w:color="000000"/>
                    <w:right w:val="single" w:sz="2" w:space="0" w:color="000000"/>
                  </w:tcBorders>
                  <w:vAlign w:val="center"/>
                </w:tcPr>
                <w:p w14:paraId="1A75FE68" w14:textId="77777777" w:rsidR="00F76A63" w:rsidRDefault="00F76A63">
                  <w:pPr>
                    <w:jc w:val="center"/>
                    <w:rPr>
                      <w:szCs w:val="21"/>
                    </w:rPr>
                  </w:pPr>
                </w:p>
              </w:tc>
              <w:tc>
                <w:tcPr>
                  <w:tcW w:w="981" w:type="dxa"/>
                  <w:vMerge/>
                  <w:tcBorders>
                    <w:top w:val="nil"/>
                    <w:left w:val="single" w:sz="2" w:space="0" w:color="000000"/>
                    <w:bottom w:val="single" w:sz="2" w:space="0" w:color="000000"/>
                    <w:right w:val="single" w:sz="2" w:space="0" w:color="000000"/>
                  </w:tcBorders>
                  <w:vAlign w:val="center"/>
                </w:tcPr>
                <w:p w14:paraId="3BAD8BBC" w14:textId="77777777" w:rsidR="00F76A63" w:rsidRDefault="00F76A63">
                  <w:pPr>
                    <w:jc w:val="center"/>
                    <w:rPr>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BD68EB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）配备在线监测设备，保证运行工况的稳定：包括窑头烟气温</w:t>
                  </w:r>
                  <w:r>
                    <w:rPr>
                      <w:rFonts w:ascii="Times New Roman" w:hAnsi="Times New Roman" w:cs="Times New Roman"/>
                      <w:color w:val="auto"/>
                      <w:spacing w:val="12"/>
                      <w:sz w:val="21"/>
                      <w:szCs w:val="21"/>
                    </w:rPr>
                    <w:t>度、压力；窑表面温度；窑尾烟气温度、压力、</w:t>
                  </w:r>
                  <w:r>
                    <w:rPr>
                      <w:rFonts w:ascii="Times New Roman" w:hAnsi="Times New Roman" w:cs="Times New Roman"/>
                      <w:color w:val="auto"/>
                      <w:spacing w:val="12"/>
                      <w:sz w:val="21"/>
                      <w:szCs w:val="21"/>
                    </w:rPr>
                    <w:t>O</w:t>
                  </w:r>
                  <w:r>
                    <w:rPr>
                      <w:rFonts w:ascii="Times New Roman" w:hAnsi="Times New Roman" w:cs="Times New Roman"/>
                      <w:color w:val="auto"/>
                      <w:spacing w:val="12"/>
                      <w:position w:val="-1"/>
                      <w:sz w:val="21"/>
                      <w:szCs w:val="21"/>
                      <w:vertAlign w:val="subscript"/>
                    </w:rPr>
                    <w:t>2</w:t>
                  </w:r>
                  <w:r>
                    <w:rPr>
                      <w:rFonts w:ascii="Times New Roman" w:hAnsi="Times New Roman" w:cs="Times New Roman"/>
                      <w:color w:val="auto"/>
                      <w:spacing w:val="12"/>
                      <w:sz w:val="21"/>
                      <w:szCs w:val="21"/>
                    </w:rPr>
                    <w:t>浓度；分解炉或最低一级旋风筒出口烟气温度、压力、</w:t>
                  </w:r>
                  <w:r>
                    <w:rPr>
                      <w:rFonts w:ascii="Times New Roman" w:hAnsi="Times New Roman" w:cs="Times New Roman"/>
                      <w:color w:val="auto"/>
                      <w:spacing w:val="12"/>
                      <w:sz w:val="21"/>
                      <w:szCs w:val="21"/>
                    </w:rPr>
                    <w:t>O</w:t>
                  </w:r>
                  <w:r>
                    <w:rPr>
                      <w:rFonts w:ascii="Times New Roman" w:hAnsi="Times New Roman" w:cs="Times New Roman"/>
                      <w:color w:val="auto"/>
                      <w:spacing w:val="12"/>
                      <w:position w:val="-1"/>
                      <w:sz w:val="21"/>
                      <w:szCs w:val="21"/>
                      <w:vertAlign w:val="subscript"/>
                    </w:rPr>
                    <w:t>2</w:t>
                  </w:r>
                  <w:r>
                    <w:rPr>
                      <w:rFonts w:ascii="Times New Roman" w:hAnsi="Times New Roman" w:cs="Times New Roman"/>
                      <w:color w:val="auto"/>
                      <w:spacing w:val="12"/>
                      <w:sz w:val="21"/>
                      <w:szCs w:val="21"/>
                    </w:rPr>
                    <w:t>浓度；顶级旋风筒出</w:t>
                  </w:r>
                  <w:r>
                    <w:rPr>
                      <w:rFonts w:ascii="Times New Roman" w:hAnsi="Times New Roman" w:cs="Times New Roman"/>
                      <w:color w:val="auto"/>
                      <w:spacing w:val="8"/>
                      <w:sz w:val="21"/>
                      <w:szCs w:val="21"/>
                    </w:rPr>
                    <w:t>口烟气温度、压力、</w:t>
                  </w:r>
                  <w:r>
                    <w:rPr>
                      <w:rFonts w:ascii="Times New Roman" w:hAnsi="Times New Roman" w:cs="Times New Roman"/>
                      <w:color w:val="auto"/>
                      <w:spacing w:val="8"/>
                      <w:sz w:val="21"/>
                      <w:szCs w:val="21"/>
                    </w:rPr>
                    <w:t>O</w:t>
                  </w:r>
                  <w:r>
                    <w:rPr>
                      <w:rFonts w:ascii="Times New Roman" w:hAnsi="Times New Roman" w:cs="Times New Roman"/>
                      <w:color w:val="auto"/>
                      <w:spacing w:val="8"/>
                      <w:position w:val="-1"/>
                      <w:sz w:val="21"/>
                      <w:szCs w:val="21"/>
                      <w:vertAlign w:val="subscript"/>
                    </w:rPr>
                    <w:t>2</w:t>
                  </w:r>
                  <w:r>
                    <w:rPr>
                      <w:rFonts w:ascii="Times New Roman" w:hAnsi="Times New Roman" w:cs="Times New Roman"/>
                      <w:color w:val="auto"/>
                      <w:spacing w:val="8"/>
                      <w:sz w:val="21"/>
                      <w:szCs w:val="21"/>
                    </w:rPr>
                    <w:t>、</w:t>
                  </w:r>
                  <w:r>
                    <w:rPr>
                      <w:rFonts w:ascii="Times New Roman" w:hAnsi="Times New Roman" w:cs="Times New Roman"/>
                      <w:color w:val="auto"/>
                      <w:sz w:val="21"/>
                      <w:szCs w:val="21"/>
                    </w:rPr>
                    <w:t>CO</w:t>
                  </w:r>
                  <w:r>
                    <w:rPr>
                      <w:rFonts w:ascii="Times New Roman" w:hAnsi="Times New Roman" w:cs="Times New Roman"/>
                      <w:color w:val="auto"/>
                      <w:spacing w:val="8"/>
                      <w:sz w:val="21"/>
                      <w:szCs w:val="21"/>
                    </w:rPr>
                    <w:t>浓度。</w:t>
                  </w:r>
                </w:p>
              </w:tc>
              <w:tc>
                <w:tcPr>
                  <w:tcW w:w="3306" w:type="dxa"/>
                  <w:tcBorders>
                    <w:top w:val="single" w:sz="2" w:space="0" w:color="000000"/>
                    <w:left w:val="single" w:sz="2" w:space="0" w:color="000000"/>
                    <w:bottom w:val="single" w:sz="2" w:space="0" w:color="000000"/>
                    <w:right w:val="single" w:sz="2" w:space="0" w:color="000000"/>
                  </w:tcBorders>
                  <w:vAlign w:val="center"/>
                </w:tcPr>
                <w:p w14:paraId="412E50D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本项目水泥窑配备在线监测设备，监</w:t>
                  </w:r>
                  <w:r>
                    <w:rPr>
                      <w:rFonts w:ascii="Times New Roman" w:hAnsi="Times New Roman" w:cs="Times New Roman"/>
                      <w:color w:val="auto"/>
                      <w:spacing w:val="11"/>
                      <w:sz w:val="21"/>
                      <w:szCs w:val="21"/>
                    </w:rPr>
                    <w:t>测内容满足规范要求。</w:t>
                  </w:r>
                </w:p>
              </w:tc>
              <w:tc>
                <w:tcPr>
                  <w:tcW w:w="789" w:type="dxa"/>
                  <w:vMerge/>
                  <w:tcBorders>
                    <w:top w:val="single" w:sz="2" w:space="0" w:color="000000"/>
                    <w:left w:val="single" w:sz="2" w:space="0" w:color="000000"/>
                    <w:bottom w:val="nil"/>
                    <w:right w:val="nil"/>
                  </w:tcBorders>
                  <w:vAlign w:val="center"/>
                </w:tcPr>
                <w:p w14:paraId="28DFDE5C" w14:textId="77777777" w:rsidR="00F76A63" w:rsidRDefault="00F76A63">
                  <w:pPr>
                    <w:jc w:val="center"/>
                    <w:rPr>
                      <w:szCs w:val="21"/>
                    </w:rPr>
                  </w:pPr>
                </w:p>
              </w:tc>
            </w:tr>
            <w:tr w:rsidR="00F76A63" w14:paraId="06C0F02F" w14:textId="77777777">
              <w:trPr>
                <w:trHeight w:val="1634"/>
                <w:jc w:val="center"/>
              </w:trPr>
              <w:tc>
                <w:tcPr>
                  <w:tcW w:w="625" w:type="dxa"/>
                  <w:vMerge/>
                  <w:tcBorders>
                    <w:left w:val="nil"/>
                    <w:right w:val="single" w:sz="2" w:space="0" w:color="000000"/>
                  </w:tcBorders>
                  <w:vAlign w:val="center"/>
                </w:tcPr>
                <w:p w14:paraId="6853C480" w14:textId="77777777" w:rsidR="00F76A63" w:rsidRDefault="00F76A63">
                  <w:pPr>
                    <w:jc w:val="center"/>
                    <w:rPr>
                      <w:szCs w:val="21"/>
                    </w:rPr>
                  </w:pPr>
                </w:p>
              </w:tc>
              <w:tc>
                <w:tcPr>
                  <w:tcW w:w="1014" w:type="dxa"/>
                  <w:vMerge/>
                  <w:tcBorders>
                    <w:top w:val="single" w:sz="12" w:space="0" w:color="000000"/>
                    <w:left w:val="single" w:sz="2" w:space="0" w:color="000000"/>
                    <w:bottom w:val="single" w:sz="2" w:space="0" w:color="000000"/>
                    <w:right w:val="single" w:sz="2" w:space="0" w:color="000000"/>
                  </w:tcBorders>
                  <w:vAlign w:val="center"/>
                </w:tcPr>
                <w:p w14:paraId="70A65E6E" w14:textId="77777777" w:rsidR="00F76A63" w:rsidRDefault="00F76A63">
                  <w:pPr>
                    <w:jc w:val="center"/>
                    <w:rPr>
                      <w:szCs w:val="21"/>
                    </w:rPr>
                  </w:pPr>
                </w:p>
              </w:tc>
              <w:tc>
                <w:tcPr>
                  <w:tcW w:w="981" w:type="dxa"/>
                  <w:vMerge/>
                  <w:tcBorders>
                    <w:top w:val="nil"/>
                    <w:left w:val="single" w:sz="2" w:space="0" w:color="000000"/>
                    <w:bottom w:val="single" w:sz="2" w:space="0" w:color="000000"/>
                    <w:right w:val="single" w:sz="2" w:space="0" w:color="000000"/>
                  </w:tcBorders>
                  <w:vAlign w:val="center"/>
                </w:tcPr>
                <w:p w14:paraId="39818C6F" w14:textId="77777777" w:rsidR="00F76A63" w:rsidRDefault="00F76A63">
                  <w:pPr>
                    <w:jc w:val="center"/>
                    <w:rPr>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9F55C8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）水泥窑及窑尾余热利用系统采用高效布袋除尘器作为烟气除尘</w:t>
                  </w:r>
                  <w:r>
                    <w:rPr>
                      <w:rFonts w:ascii="Times New Roman" w:hAnsi="Times New Roman" w:cs="Times New Roman"/>
                      <w:color w:val="auto"/>
                      <w:spacing w:val="14"/>
                      <w:sz w:val="21"/>
                      <w:szCs w:val="21"/>
                    </w:rPr>
                    <w:t>设施，保证排放烟气中颗粒物浓度满足《水泥窑协同处置固体废</w:t>
                  </w:r>
                  <w:r>
                    <w:rPr>
                      <w:rFonts w:ascii="Times New Roman" w:hAnsi="Times New Roman" w:cs="Times New Roman"/>
                      <w:color w:val="auto"/>
                      <w:spacing w:val="12"/>
                      <w:sz w:val="21"/>
                      <w:szCs w:val="21"/>
                    </w:rPr>
                    <w:t>物污染控制标准》的要求。水泥窑及窑尾余热利用系统排气筒配</w:t>
                  </w:r>
                  <w:r>
                    <w:rPr>
                      <w:rFonts w:ascii="Times New Roman" w:hAnsi="Times New Roman" w:cs="Times New Roman"/>
                      <w:color w:val="auto"/>
                      <w:spacing w:val="13"/>
                      <w:sz w:val="21"/>
                      <w:szCs w:val="21"/>
                    </w:rPr>
                    <w:t>备粉尘、</w:t>
                  </w:r>
                  <w:r>
                    <w:rPr>
                      <w:rFonts w:ascii="Times New Roman" w:hAnsi="Times New Roman" w:cs="Times New Roman"/>
                      <w:color w:val="auto"/>
                      <w:sz w:val="21"/>
                      <w:szCs w:val="21"/>
                    </w:rPr>
                    <w:t>NOx</w:t>
                  </w:r>
                  <w:r>
                    <w:rPr>
                      <w:rFonts w:ascii="Times New Roman" w:hAnsi="Times New Roman" w:cs="Times New Roman"/>
                      <w:color w:val="auto"/>
                      <w:spacing w:val="13"/>
                      <w:sz w:val="21"/>
                      <w:szCs w:val="21"/>
                    </w:rPr>
                    <w:t>、</w:t>
                  </w:r>
                  <w:r>
                    <w:rPr>
                      <w:rFonts w:ascii="Times New Roman" w:hAnsi="Times New Roman" w:cs="Times New Roman"/>
                      <w:color w:val="auto"/>
                      <w:sz w:val="21"/>
                      <w:szCs w:val="21"/>
                    </w:rPr>
                    <w:t>SO</w:t>
                  </w:r>
                  <w:r>
                    <w:rPr>
                      <w:rFonts w:ascii="Times New Roman" w:hAnsi="Times New Roman" w:cs="Times New Roman"/>
                      <w:color w:val="auto"/>
                      <w:spacing w:val="13"/>
                      <w:position w:val="-1"/>
                      <w:sz w:val="21"/>
                      <w:szCs w:val="21"/>
                      <w:vertAlign w:val="subscript"/>
                    </w:rPr>
                    <w:t>2</w:t>
                  </w:r>
                  <w:r>
                    <w:rPr>
                      <w:rFonts w:ascii="Times New Roman" w:hAnsi="Times New Roman" w:cs="Times New Roman"/>
                      <w:color w:val="auto"/>
                      <w:spacing w:val="13"/>
                      <w:sz w:val="21"/>
                      <w:szCs w:val="21"/>
                    </w:rPr>
                    <w:t>、</w:t>
                  </w:r>
                  <w:r>
                    <w:rPr>
                      <w:rFonts w:ascii="Times New Roman" w:hAnsi="Times New Roman" w:cs="Times New Roman"/>
                      <w:color w:val="auto"/>
                      <w:sz w:val="21"/>
                      <w:szCs w:val="21"/>
                    </w:rPr>
                    <w:t>CO</w:t>
                  </w:r>
                  <w:r>
                    <w:rPr>
                      <w:rFonts w:ascii="Times New Roman" w:hAnsi="Times New Roman" w:cs="Times New Roman"/>
                      <w:color w:val="auto"/>
                      <w:spacing w:val="13"/>
                      <w:sz w:val="21"/>
                      <w:szCs w:val="21"/>
                    </w:rPr>
                    <w:t>浓度在线监测设备，连续监测装</w:t>
                  </w:r>
                  <w:r>
                    <w:rPr>
                      <w:rFonts w:ascii="Times New Roman" w:hAnsi="Times New Roman" w:cs="Times New Roman"/>
                      <w:color w:val="auto"/>
                      <w:spacing w:val="12"/>
                      <w:sz w:val="21"/>
                      <w:szCs w:val="21"/>
                    </w:rPr>
                    <w:t>置需满</w:t>
                  </w:r>
                  <w:r>
                    <w:rPr>
                      <w:rFonts w:ascii="Times New Roman" w:hAnsi="Times New Roman" w:cs="Times New Roman"/>
                      <w:color w:val="auto"/>
                      <w:spacing w:val="14"/>
                      <w:sz w:val="21"/>
                      <w:szCs w:val="21"/>
                    </w:rPr>
                    <w:t>足</w:t>
                  </w:r>
                  <w:r>
                    <w:rPr>
                      <w:rFonts w:ascii="Times New Roman" w:hAnsi="Times New Roman" w:cs="Times New Roman"/>
                      <w:color w:val="auto"/>
                      <w:sz w:val="21"/>
                      <w:szCs w:val="21"/>
                    </w:rPr>
                    <w:t>HJ</w:t>
                  </w:r>
                  <w:r>
                    <w:rPr>
                      <w:rFonts w:ascii="Times New Roman" w:hAnsi="Times New Roman" w:cs="Times New Roman"/>
                      <w:color w:val="auto"/>
                      <w:spacing w:val="14"/>
                      <w:sz w:val="21"/>
                      <w:szCs w:val="21"/>
                    </w:rPr>
                    <w:t>/T76</w:t>
                  </w:r>
                  <w:r>
                    <w:rPr>
                      <w:rFonts w:ascii="Times New Roman" w:hAnsi="Times New Roman" w:cs="Times New Roman"/>
                      <w:color w:val="auto"/>
                      <w:spacing w:val="14"/>
                      <w:sz w:val="21"/>
                      <w:szCs w:val="21"/>
                    </w:rPr>
                    <w:t>的要求，并与当地监控中心联网，保证污染物排放达</w:t>
                  </w:r>
                  <w:r>
                    <w:rPr>
                      <w:rFonts w:ascii="Times New Roman" w:hAnsi="Times New Roman" w:cs="Times New Roman"/>
                      <w:color w:val="auto"/>
                      <w:sz w:val="21"/>
                      <w:szCs w:val="21"/>
                    </w:rPr>
                    <w:t>标。</w:t>
                  </w:r>
                </w:p>
              </w:tc>
              <w:tc>
                <w:tcPr>
                  <w:tcW w:w="3306" w:type="dxa"/>
                  <w:tcBorders>
                    <w:top w:val="single" w:sz="2" w:space="0" w:color="000000"/>
                    <w:left w:val="single" w:sz="2" w:space="0" w:color="000000"/>
                    <w:bottom w:val="single" w:sz="2" w:space="0" w:color="000000"/>
                    <w:right w:val="single" w:sz="2" w:space="0" w:color="000000"/>
                  </w:tcBorders>
                  <w:vAlign w:val="center"/>
                </w:tcPr>
                <w:p w14:paraId="14EACD6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本项目窑尾依托现有电袋（布袋）复</w:t>
                  </w:r>
                  <w:r>
                    <w:rPr>
                      <w:rFonts w:ascii="Times New Roman" w:hAnsi="Times New Roman" w:cs="Times New Roman"/>
                      <w:color w:val="auto"/>
                      <w:spacing w:val="15"/>
                      <w:sz w:val="21"/>
                      <w:szCs w:val="21"/>
                    </w:rPr>
                    <w:t>合除尘器作为烟气除尘设施。窑尾排</w:t>
                  </w:r>
                  <w:r>
                    <w:rPr>
                      <w:rFonts w:ascii="Times New Roman" w:hAnsi="Times New Roman" w:cs="Times New Roman"/>
                      <w:color w:val="auto"/>
                      <w:spacing w:val="12"/>
                      <w:sz w:val="21"/>
                      <w:szCs w:val="21"/>
                    </w:rPr>
                    <w:t>气筒配备粉尘、</w:t>
                  </w:r>
                  <w:r>
                    <w:rPr>
                      <w:rFonts w:ascii="Times New Roman" w:hAnsi="Times New Roman" w:cs="Times New Roman"/>
                      <w:color w:val="auto"/>
                      <w:sz w:val="21"/>
                      <w:szCs w:val="21"/>
                    </w:rPr>
                    <w:t>NOx</w:t>
                  </w:r>
                  <w:r>
                    <w:rPr>
                      <w:rFonts w:ascii="Times New Roman" w:hAnsi="Times New Roman" w:cs="Times New Roman"/>
                      <w:color w:val="auto"/>
                      <w:spacing w:val="12"/>
                      <w:sz w:val="21"/>
                      <w:szCs w:val="21"/>
                    </w:rPr>
                    <w:t>、</w:t>
                  </w:r>
                  <w:r>
                    <w:rPr>
                      <w:rFonts w:ascii="Times New Roman" w:hAnsi="Times New Roman" w:cs="Times New Roman"/>
                      <w:color w:val="auto"/>
                      <w:sz w:val="21"/>
                      <w:szCs w:val="21"/>
                    </w:rPr>
                    <w:t>SO</w:t>
                  </w:r>
                  <w:r>
                    <w:rPr>
                      <w:rFonts w:ascii="Times New Roman" w:hAnsi="Times New Roman" w:cs="Times New Roman"/>
                      <w:color w:val="auto"/>
                      <w:spacing w:val="12"/>
                      <w:position w:val="-1"/>
                      <w:sz w:val="21"/>
                      <w:szCs w:val="21"/>
                      <w:vertAlign w:val="subscript"/>
                    </w:rPr>
                    <w:t>2</w:t>
                  </w:r>
                  <w:r>
                    <w:rPr>
                      <w:rFonts w:ascii="Times New Roman" w:hAnsi="Times New Roman" w:cs="Times New Roman"/>
                      <w:color w:val="auto"/>
                      <w:spacing w:val="12"/>
                      <w:sz w:val="21"/>
                      <w:szCs w:val="21"/>
                    </w:rPr>
                    <w:t>浓度</w:t>
                  </w:r>
                  <w:r>
                    <w:rPr>
                      <w:rFonts w:ascii="Times New Roman" w:hAnsi="Times New Roman" w:cs="Times New Roman"/>
                      <w:color w:val="auto"/>
                      <w:spacing w:val="15"/>
                      <w:sz w:val="21"/>
                      <w:szCs w:val="21"/>
                    </w:rPr>
                    <w:t>在线监测设备，连续监测装置需满足</w:t>
                  </w:r>
                  <w:r>
                    <w:rPr>
                      <w:rFonts w:ascii="Times New Roman" w:hAnsi="Times New Roman" w:cs="Times New Roman"/>
                      <w:color w:val="auto"/>
                      <w:sz w:val="21"/>
                      <w:szCs w:val="21"/>
                    </w:rPr>
                    <w:t>HJ</w:t>
                  </w:r>
                  <w:r>
                    <w:rPr>
                      <w:rFonts w:ascii="Times New Roman" w:hAnsi="Times New Roman" w:cs="Times New Roman"/>
                      <w:color w:val="auto"/>
                      <w:spacing w:val="11"/>
                      <w:sz w:val="21"/>
                      <w:szCs w:val="21"/>
                    </w:rPr>
                    <w:t>/T76</w:t>
                  </w:r>
                  <w:r>
                    <w:rPr>
                      <w:rFonts w:ascii="Times New Roman" w:hAnsi="Times New Roman" w:cs="Times New Roman"/>
                      <w:color w:val="auto"/>
                      <w:spacing w:val="11"/>
                      <w:sz w:val="21"/>
                      <w:szCs w:val="21"/>
                    </w:rPr>
                    <w:t>的要求，并与当地环保部门联</w:t>
                  </w:r>
                  <w:r>
                    <w:rPr>
                      <w:rFonts w:ascii="Times New Roman" w:hAnsi="Times New Roman" w:cs="Times New Roman"/>
                      <w:color w:val="auto"/>
                      <w:spacing w:val="10"/>
                      <w:sz w:val="21"/>
                      <w:szCs w:val="21"/>
                    </w:rPr>
                    <w:t>网，保证污染物排放达标。</w:t>
                  </w:r>
                </w:p>
              </w:tc>
              <w:tc>
                <w:tcPr>
                  <w:tcW w:w="789" w:type="dxa"/>
                  <w:vMerge/>
                  <w:tcBorders>
                    <w:top w:val="single" w:sz="2" w:space="0" w:color="000000"/>
                    <w:left w:val="single" w:sz="2" w:space="0" w:color="000000"/>
                    <w:bottom w:val="nil"/>
                    <w:right w:val="nil"/>
                  </w:tcBorders>
                  <w:vAlign w:val="center"/>
                </w:tcPr>
                <w:p w14:paraId="0ED7C583" w14:textId="77777777" w:rsidR="00F76A63" w:rsidRDefault="00F76A63">
                  <w:pPr>
                    <w:jc w:val="center"/>
                    <w:rPr>
                      <w:szCs w:val="21"/>
                    </w:rPr>
                  </w:pPr>
                </w:p>
              </w:tc>
            </w:tr>
            <w:tr w:rsidR="00F76A63" w14:paraId="45867C6B" w14:textId="77777777">
              <w:trPr>
                <w:trHeight w:val="819"/>
                <w:jc w:val="center"/>
              </w:trPr>
              <w:tc>
                <w:tcPr>
                  <w:tcW w:w="625" w:type="dxa"/>
                  <w:vMerge/>
                  <w:tcBorders>
                    <w:left w:val="nil"/>
                    <w:right w:val="single" w:sz="2" w:space="0" w:color="000000"/>
                  </w:tcBorders>
                  <w:vAlign w:val="center"/>
                </w:tcPr>
                <w:p w14:paraId="32CAFA64" w14:textId="77777777" w:rsidR="00F76A63" w:rsidRDefault="00F76A63">
                  <w:pPr>
                    <w:jc w:val="center"/>
                    <w:rPr>
                      <w:szCs w:val="21"/>
                    </w:rPr>
                  </w:pPr>
                </w:p>
              </w:tc>
              <w:tc>
                <w:tcPr>
                  <w:tcW w:w="1014" w:type="dxa"/>
                  <w:vMerge/>
                  <w:tcBorders>
                    <w:top w:val="single" w:sz="12" w:space="0" w:color="000000"/>
                    <w:left w:val="single" w:sz="2" w:space="0" w:color="000000"/>
                    <w:bottom w:val="single" w:sz="2" w:space="0" w:color="000000"/>
                    <w:right w:val="single" w:sz="2" w:space="0" w:color="000000"/>
                  </w:tcBorders>
                  <w:vAlign w:val="center"/>
                </w:tcPr>
                <w:p w14:paraId="2FF49476" w14:textId="77777777" w:rsidR="00F76A63" w:rsidRDefault="00F76A63">
                  <w:pPr>
                    <w:jc w:val="center"/>
                    <w:rPr>
                      <w:szCs w:val="21"/>
                    </w:rPr>
                  </w:pPr>
                </w:p>
              </w:tc>
              <w:tc>
                <w:tcPr>
                  <w:tcW w:w="981" w:type="dxa"/>
                  <w:vMerge/>
                  <w:tcBorders>
                    <w:top w:val="nil"/>
                    <w:left w:val="single" w:sz="2" w:space="0" w:color="000000"/>
                    <w:bottom w:val="single" w:sz="2" w:space="0" w:color="000000"/>
                    <w:right w:val="single" w:sz="2" w:space="0" w:color="000000"/>
                  </w:tcBorders>
                  <w:vAlign w:val="center"/>
                </w:tcPr>
                <w:p w14:paraId="54F04D4E" w14:textId="77777777" w:rsidR="00F76A63" w:rsidRDefault="00F76A63">
                  <w:pPr>
                    <w:jc w:val="center"/>
                    <w:rPr>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1D28C6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d</w:t>
                  </w:r>
                  <w:r>
                    <w:rPr>
                      <w:rFonts w:ascii="Times New Roman" w:hAnsi="Times New Roman" w:cs="Times New Roman"/>
                      <w:color w:val="auto"/>
                      <w:spacing w:val="13"/>
                      <w:sz w:val="21"/>
                      <w:szCs w:val="21"/>
                    </w:rPr>
                    <w:t>）配备窑灰返窑装置，将除尘器等烟气处理装置收集的窑灰返回</w:t>
                  </w:r>
                  <w:r>
                    <w:rPr>
                      <w:rFonts w:ascii="Times New Roman" w:hAnsi="Times New Roman" w:cs="Times New Roman"/>
                      <w:color w:val="auto"/>
                      <w:spacing w:val="11"/>
                      <w:sz w:val="21"/>
                      <w:szCs w:val="21"/>
                    </w:rPr>
                    <w:t>送往生料入窑系统。</w:t>
                  </w:r>
                </w:p>
              </w:tc>
              <w:tc>
                <w:tcPr>
                  <w:tcW w:w="3306" w:type="dxa"/>
                  <w:tcBorders>
                    <w:top w:val="single" w:sz="2" w:space="0" w:color="000000"/>
                    <w:left w:val="single" w:sz="2" w:space="0" w:color="000000"/>
                    <w:bottom w:val="single" w:sz="2" w:space="0" w:color="000000"/>
                    <w:right w:val="single" w:sz="2" w:space="0" w:color="000000"/>
                  </w:tcBorders>
                  <w:vAlign w:val="center"/>
                </w:tcPr>
                <w:p w14:paraId="2560B71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本项目配备窑灰返窑装置，将全部除</w:t>
                  </w:r>
                  <w:r>
                    <w:rPr>
                      <w:rFonts w:ascii="Times New Roman" w:hAnsi="Times New Roman" w:cs="Times New Roman"/>
                      <w:color w:val="auto"/>
                      <w:spacing w:val="12"/>
                      <w:sz w:val="21"/>
                      <w:szCs w:val="21"/>
                    </w:rPr>
                    <w:t>尘器收集窑灰返回送往生料入窑系</w:t>
                  </w:r>
                  <w:r>
                    <w:rPr>
                      <w:rFonts w:ascii="Times New Roman" w:hAnsi="Times New Roman" w:cs="Times New Roman"/>
                      <w:color w:val="auto"/>
                      <w:spacing w:val="-3"/>
                      <w:sz w:val="21"/>
                      <w:szCs w:val="21"/>
                    </w:rPr>
                    <w:t>统。</w:t>
                  </w:r>
                </w:p>
              </w:tc>
              <w:tc>
                <w:tcPr>
                  <w:tcW w:w="789" w:type="dxa"/>
                  <w:vMerge/>
                  <w:tcBorders>
                    <w:top w:val="single" w:sz="2" w:space="0" w:color="000000"/>
                    <w:left w:val="single" w:sz="2" w:space="0" w:color="000000"/>
                    <w:bottom w:val="nil"/>
                    <w:right w:val="nil"/>
                  </w:tcBorders>
                  <w:vAlign w:val="center"/>
                </w:tcPr>
                <w:p w14:paraId="0A5DA4C3" w14:textId="77777777" w:rsidR="00F76A63" w:rsidRDefault="00F76A63">
                  <w:pPr>
                    <w:jc w:val="center"/>
                    <w:rPr>
                      <w:szCs w:val="21"/>
                    </w:rPr>
                  </w:pPr>
                </w:p>
              </w:tc>
            </w:tr>
            <w:tr w:rsidR="00F76A63" w14:paraId="71E852CA" w14:textId="77777777">
              <w:trPr>
                <w:trHeight w:val="819"/>
                <w:jc w:val="center"/>
              </w:trPr>
              <w:tc>
                <w:tcPr>
                  <w:tcW w:w="625" w:type="dxa"/>
                  <w:vMerge/>
                  <w:tcBorders>
                    <w:left w:val="nil"/>
                    <w:right w:val="single" w:sz="2" w:space="0" w:color="000000"/>
                  </w:tcBorders>
                  <w:vAlign w:val="center"/>
                </w:tcPr>
                <w:p w14:paraId="535FFBD2" w14:textId="77777777" w:rsidR="00F76A63" w:rsidRDefault="00F76A63">
                  <w:pPr>
                    <w:jc w:val="center"/>
                    <w:rPr>
                      <w:szCs w:val="21"/>
                    </w:rPr>
                  </w:pPr>
                </w:p>
              </w:tc>
              <w:tc>
                <w:tcPr>
                  <w:tcW w:w="1014" w:type="dxa"/>
                  <w:vMerge/>
                  <w:tcBorders>
                    <w:top w:val="single" w:sz="12" w:space="0" w:color="000000"/>
                    <w:left w:val="single" w:sz="2" w:space="0" w:color="000000"/>
                    <w:bottom w:val="single" w:sz="2" w:space="0" w:color="000000"/>
                    <w:right w:val="single" w:sz="2" w:space="0" w:color="000000"/>
                  </w:tcBorders>
                  <w:vAlign w:val="center"/>
                </w:tcPr>
                <w:p w14:paraId="244C9729" w14:textId="77777777" w:rsidR="00F76A63" w:rsidRDefault="00F76A63">
                  <w:pPr>
                    <w:jc w:val="center"/>
                    <w:rPr>
                      <w:szCs w:val="21"/>
                    </w:rPr>
                  </w:pPr>
                </w:p>
              </w:tc>
              <w:tc>
                <w:tcPr>
                  <w:tcW w:w="981" w:type="dxa"/>
                  <w:vMerge w:val="restart"/>
                  <w:tcBorders>
                    <w:top w:val="single" w:sz="2" w:space="0" w:color="000000"/>
                    <w:left w:val="single" w:sz="2" w:space="0" w:color="000000"/>
                    <w:bottom w:val="single" w:sz="2" w:space="0" w:color="000000"/>
                    <w:right w:val="single" w:sz="2" w:space="0" w:color="000000"/>
                  </w:tcBorders>
                  <w:vAlign w:val="center"/>
                </w:tcPr>
                <w:p w14:paraId="294FBAA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3"/>
                      <w:sz w:val="21"/>
                      <w:szCs w:val="21"/>
                    </w:rPr>
                    <w:t>4.1.3</w:t>
                  </w:r>
                  <w:r>
                    <w:rPr>
                      <w:rFonts w:ascii="Times New Roman" w:hAnsi="Times New Roman" w:cs="Times New Roman"/>
                      <w:color w:val="auto"/>
                      <w:spacing w:val="14"/>
                      <w:sz w:val="21"/>
                      <w:szCs w:val="21"/>
                    </w:rPr>
                    <w:t xml:space="preserve"> </w:t>
                  </w:r>
                  <w:r>
                    <w:rPr>
                      <w:rFonts w:ascii="Times New Roman" w:hAnsi="Times New Roman" w:cs="Times New Roman"/>
                      <w:color w:val="auto"/>
                      <w:spacing w:val="3"/>
                      <w:sz w:val="21"/>
                      <w:szCs w:val="21"/>
                    </w:rPr>
                    <w:t>用于协</w:t>
                  </w:r>
                  <w:r>
                    <w:rPr>
                      <w:rFonts w:ascii="Times New Roman" w:hAnsi="Times New Roman" w:cs="Times New Roman"/>
                      <w:color w:val="auto"/>
                      <w:spacing w:val="11"/>
                      <w:sz w:val="21"/>
                      <w:szCs w:val="21"/>
                    </w:rPr>
                    <w:t>同处置固体废物的水泥生产设施所在位置应该满足以下条</w:t>
                  </w:r>
                  <w:r>
                    <w:rPr>
                      <w:rFonts w:ascii="Times New Roman" w:hAnsi="Times New Roman" w:cs="Times New Roman"/>
                      <w:color w:val="auto"/>
                      <w:sz w:val="21"/>
                      <w:szCs w:val="21"/>
                    </w:rPr>
                    <w:t>件：</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2B7E8A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a</w:t>
                  </w:r>
                  <w:r>
                    <w:rPr>
                      <w:rFonts w:ascii="Times New Roman" w:hAnsi="Times New Roman" w:cs="Times New Roman"/>
                      <w:color w:val="auto"/>
                      <w:spacing w:val="12"/>
                      <w:sz w:val="21"/>
                      <w:szCs w:val="21"/>
                    </w:rPr>
                    <w:t>）符合城市总体发展规划、城市工业发展规划要求。</w:t>
                  </w:r>
                </w:p>
              </w:tc>
              <w:tc>
                <w:tcPr>
                  <w:tcW w:w="3306" w:type="dxa"/>
                  <w:tcBorders>
                    <w:top w:val="single" w:sz="2" w:space="0" w:color="000000"/>
                    <w:left w:val="single" w:sz="2" w:space="0" w:color="000000"/>
                    <w:bottom w:val="single" w:sz="2" w:space="0" w:color="000000"/>
                    <w:right w:val="single" w:sz="2" w:space="0" w:color="000000"/>
                  </w:tcBorders>
                  <w:vAlign w:val="center"/>
                </w:tcPr>
                <w:p w14:paraId="1464A4DC"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本项目建设符合</w:t>
                  </w:r>
                  <w:bookmarkStart w:id="44" w:name="OLE_LINK44"/>
                  <w:r>
                    <w:rPr>
                      <w:rFonts w:ascii="Times New Roman" w:hAnsi="Times New Roman" w:cs="Times New Roman"/>
                      <w:color w:val="auto"/>
                      <w:spacing w:val="13"/>
                      <w:sz w:val="21"/>
                      <w:szCs w:val="21"/>
                    </w:rPr>
                    <w:t>《</w:t>
                  </w:r>
                  <w:r>
                    <w:rPr>
                      <w:rFonts w:ascii="Times New Roman" w:hAnsi="Times New Roman" w:cs="Times New Roman" w:hint="eastAsia"/>
                      <w:color w:val="auto"/>
                      <w:spacing w:val="13"/>
                      <w:sz w:val="21"/>
                      <w:szCs w:val="21"/>
                    </w:rPr>
                    <w:t>镇江市国土空间总体规划（</w:t>
                  </w:r>
                  <w:r>
                    <w:rPr>
                      <w:rFonts w:ascii="Times New Roman" w:hAnsi="Times New Roman" w:cs="Times New Roman" w:hint="eastAsia"/>
                      <w:color w:val="auto"/>
                      <w:spacing w:val="13"/>
                      <w:sz w:val="21"/>
                      <w:szCs w:val="21"/>
                    </w:rPr>
                    <w:t>2021-2035</w:t>
                  </w:r>
                  <w:r>
                    <w:rPr>
                      <w:rFonts w:ascii="Times New Roman" w:hAnsi="Times New Roman" w:cs="Times New Roman" w:hint="eastAsia"/>
                      <w:color w:val="auto"/>
                      <w:spacing w:val="13"/>
                      <w:sz w:val="21"/>
                      <w:szCs w:val="21"/>
                    </w:rPr>
                    <w:t>）</w:t>
                  </w:r>
                  <w:bookmarkEnd w:id="44"/>
                  <w:r>
                    <w:rPr>
                      <w:rFonts w:ascii="Times New Roman" w:hAnsi="Times New Roman" w:cs="Times New Roman"/>
                      <w:color w:val="auto"/>
                      <w:spacing w:val="13"/>
                      <w:sz w:val="21"/>
                      <w:szCs w:val="21"/>
                    </w:rPr>
                    <w:t>》要求。</w:t>
                  </w:r>
                </w:p>
              </w:tc>
              <w:tc>
                <w:tcPr>
                  <w:tcW w:w="789" w:type="dxa"/>
                  <w:vMerge/>
                  <w:tcBorders>
                    <w:top w:val="single" w:sz="2" w:space="0" w:color="000000"/>
                    <w:left w:val="single" w:sz="2" w:space="0" w:color="000000"/>
                    <w:bottom w:val="nil"/>
                    <w:right w:val="nil"/>
                  </w:tcBorders>
                  <w:vAlign w:val="center"/>
                </w:tcPr>
                <w:p w14:paraId="74155845" w14:textId="77777777" w:rsidR="00F76A63" w:rsidRDefault="00F76A63">
                  <w:pPr>
                    <w:jc w:val="center"/>
                    <w:rPr>
                      <w:szCs w:val="21"/>
                    </w:rPr>
                  </w:pPr>
                </w:p>
              </w:tc>
            </w:tr>
            <w:tr w:rsidR="00F76A63" w14:paraId="1F06530A" w14:textId="77777777">
              <w:trPr>
                <w:trHeight w:val="819"/>
                <w:jc w:val="center"/>
              </w:trPr>
              <w:tc>
                <w:tcPr>
                  <w:tcW w:w="625" w:type="dxa"/>
                  <w:vMerge/>
                  <w:tcBorders>
                    <w:left w:val="nil"/>
                    <w:right w:val="single" w:sz="2" w:space="0" w:color="000000"/>
                  </w:tcBorders>
                  <w:vAlign w:val="center"/>
                </w:tcPr>
                <w:p w14:paraId="78BCF5CF" w14:textId="77777777" w:rsidR="00F76A63" w:rsidRDefault="00F76A63">
                  <w:pPr>
                    <w:jc w:val="center"/>
                    <w:rPr>
                      <w:szCs w:val="21"/>
                    </w:rPr>
                  </w:pPr>
                </w:p>
              </w:tc>
              <w:tc>
                <w:tcPr>
                  <w:tcW w:w="1014" w:type="dxa"/>
                  <w:vMerge/>
                  <w:tcBorders>
                    <w:top w:val="single" w:sz="12" w:space="0" w:color="000000"/>
                    <w:left w:val="single" w:sz="2" w:space="0" w:color="000000"/>
                    <w:bottom w:val="single" w:sz="2" w:space="0" w:color="000000"/>
                    <w:right w:val="single" w:sz="2" w:space="0" w:color="000000"/>
                  </w:tcBorders>
                  <w:vAlign w:val="center"/>
                </w:tcPr>
                <w:p w14:paraId="042EEBBB" w14:textId="77777777" w:rsidR="00F76A63" w:rsidRDefault="00F76A63">
                  <w:pPr>
                    <w:jc w:val="center"/>
                    <w:rPr>
                      <w:szCs w:val="21"/>
                    </w:rPr>
                  </w:pPr>
                </w:p>
              </w:tc>
              <w:tc>
                <w:tcPr>
                  <w:tcW w:w="981" w:type="dxa"/>
                  <w:vMerge/>
                  <w:tcBorders>
                    <w:top w:val="nil"/>
                    <w:left w:val="single" w:sz="2" w:space="0" w:color="000000"/>
                    <w:bottom w:val="single" w:sz="2" w:space="0" w:color="000000"/>
                    <w:right w:val="single" w:sz="2" w:space="0" w:color="000000"/>
                  </w:tcBorders>
                  <w:vAlign w:val="center"/>
                </w:tcPr>
                <w:p w14:paraId="17161D35"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66B3D8A" w14:textId="77777777" w:rsidR="00F76A63" w:rsidRDefault="00000000">
                  <w:pPr>
                    <w:pStyle w:val="TableText"/>
                    <w:jc w:val="center"/>
                    <w:rPr>
                      <w:rFonts w:ascii="Times New Roman" w:hAnsi="Times New Roman" w:cs="Times New Roman"/>
                      <w:color w:val="auto"/>
                      <w:spacing w:val="12"/>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）所在区域无洪水、潮水或内涝威胁。设施所在标高应位于重现</w:t>
                  </w:r>
                  <w:r>
                    <w:rPr>
                      <w:rFonts w:ascii="Times New Roman" w:hAnsi="Times New Roman" w:cs="Times New Roman"/>
                      <w:color w:val="auto"/>
                      <w:spacing w:val="11"/>
                      <w:sz w:val="21"/>
                      <w:szCs w:val="21"/>
                    </w:rPr>
                    <w:t>期不小于</w:t>
                  </w:r>
                  <w:r>
                    <w:rPr>
                      <w:rFonts w:ascii="Times New Roman" w:hAnsi="Times New Roman" w:cs="Times New Roman"/>
                      <w:color w:val="auto"/>
                      <w:spacing w:val="11"/>
                      <w:sz w:val="21"/>
                      <w:szCs w:val="21"/>
                    </w:rPr>
                    <w:t>100</w:t>
                  </w:r>
                  <w:r>
                    <w:rPr>
                      <w:rFonts w:ascii="Times New Roman" w:hAnsi="Times New Roman" w:cs="Times New Roman"/>
                      <w:color w:val="auto"/>
                      <w:spacing w:val="11"/>
                      <w:sz w:val="21"/>
                      <w:szCs w:val="21"/>
                    </w:rPr>
                    <w:t>年一遇的洪水位之上，并建设在现有和各类规划中的水库等人工蓄水设施的淹没区和保护区之外。</w:t>
                  </w:r>
                </w:p>
              </w:tc>
              <w:tc>
                <w:tcPr>
                  <w:tcW w:w="3306" w:type="dxa"/>
                  <w:tcBorders>
                    <w:top w:val="single" w:sz="2" w:space="0" w:color="000000"/>
                    <w:left w:val="single" w:sz="2" w:space="0" w:color="000000"/>
                    <w:bottom w:val="single" w:sz="2" w:space="0" w:color="000000"/>
                    <w:right w:val="single" w:sz="2" w:space="0" w:color="000000"/>
                  </w:tcBorders>
                  <w:vAlign w:val="center"/>
                </w:tcPr>
                <w:p w14:paraId="1B24B55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根据《镇江市城市防洪规划》：镇江</w:t>
                  </w:r>
                  <w:r>
                    <w:rPr>
                      <w:rFonts w:ascii="Times New Roman" w:hAnsi="Times New Roman" w:cs="Times New Roman"/>
                      <w:color w:val="auto"/>
                      <w:spacing w:val="7"/>
                      <w:sz w:val="21"/>
                      <w:szCs w:val="21"/>
                    </w:rPr>
                    <w:t>主城区</w:t>
                  </w:r>
                  <w:r>
                    <w:rPr>
                      <w:rFonts w:ascii="Times New Roman" w:hAnsi="Times New Roman" w:cs="Times New Roman"/>
                      <w:color w:val="auto"/>
                      <w:spacing w:val="7"/>
                      <w:sz w:val="21"/>
                      <w:szCs w:val="21"/>
                    </w:rPr>
                    <w:t>100</w:t>
                  </w:r>
                  <w:r>
                    <w:rPr>
                      <w:rFonts w:ascii="Times New Roman" w:hAnsi="Times New Roman" w:cs="Times New Roman"/>
                      <w:color w:val="auto"/>
                      <w:spacing w:val="7"/>
                      <w:sz w:val="21"/>
                      <w:szCs w:val="21"/>
                    </w:rPr>
                    <w:t>年一遇设计水位为</w:t>
                  </w:r>
                  <w:r>
                    <w:rPr>
                      <w:rFonts w:ascii="Times New Roman" w:hAnsi="Times New Roman" w:cs="Times New Roman"/>
                      <w:color w:val="auto"/>
                      <w:spacing w:val="7"/>
                      <w:sz w:val="21"/>
                      <w:szCs w:val="21"/>
                    </w:rPr>
                    <w:t>9.24m</w:t>
                  </w:r>
                  <w:r>
                    <w:rPr>
                      <w:rFonts w:ascii="Times New Roman" w:hAnsi="Times New Roman" w:cs="Times New Roman"/>
                      <w:color w:val="auto"/>
                      <w:spacing w:val="15"/>
                      <w:sz w:val="21"/>
                      <w:szCs w:val="21"/>
                    </w:rPr>
                    <w:t>（吴淞基面）。如置换成黄海基面</w:t>
                  </w:r>
                  <w:r>
                    <w:rPr>
                      <w:rFonts w:ascii="Times New Roman" w:hAnsi="Times New Roman" w:cs="Times New Roman"/>
                      <w:color w:val="auto"/>
                      <w:spacing w:val="12"/>
                      <w:sz w:val="21"/>
                      <w:szCs w:val="21"/>
                    </w:rPr>
                    <w:t>（以国家</w:t>
                  </w:r>
                  <w:r>
                    <w:rPr>
                      <w:rFonts w:ascii="Times New Roman" w:hAnsi="Times New Roman" w:cs="Times New Roman"/>
                      <w:color w:val="auto"/>
                      <w:spacing w:val="12"/>
                      <w:sz w:val="21"/>
                      <w:szCs w:val="21"/>
                    </w:rPr>
                    <w:t>85</w:t>
                  </w:r>
                  <w:r>
                    <w:rPr>
                      <w:rFonts w:ascii="Times New Roman" w:hAnsi="Times New Roman" w:cs="Times New Roman"/>
                      <w:color w:val="auto"/>
                      <w:spacing w:val="12"/>
                      <w:sz w:val="21"/>
                      <w:szCs w:val="21"/>
                    </w:rPr>
                    <w:t>高程为基准）设计水位。</w:t>
                  </w:r>
                </w:p>
              </w:tc>
              <w:tc>
                <w:tcPr>
                  <w:tcW w:w="789" w:type="dxa"/>
                  <w:vMerge/>
                  <w:tcBorders>
                    <w:top w:val="single" w:sz="2" w:space="0" w:color="000000"/>
                    <w:left w:val="single" w:sz="2" w:space="0" w:color="000000"/>
                    <w:bottom w:val="single" w:sz="2" w:space="0" w:color="000000"/>
                    <w:right w:val="nil"/>
                  </w:tcBorders>
                  <w:vAlign w:val="center"/>
                </w:tcPr>
                <w:p w14:paraId="6A4CCAA0" w14:textId="77777777" w:rsidR="00F76A63" w:rsidRDefault="00F76A63">
                  <w:pPr>
                    <w:jc w:val="center"/>
                    <w:rPr>
                      <w:szCs w:val="21"/>
                    </w:rPr>
                  </w:pPr>
                </w:p>
              </w:tc>
            </w:tr>
            <w:tr w:rsidR="00F76A63" w14:paraId="0671331B" w14:textId="77777777">
              <w:trPr>
                <w:trHeight w:val="189"/>
                <w:jc w:val="center"/>
              </w:trPr>
              <w:tc>
                <w:tcPr>
                  <w:tcW w:w="625" w:type="dxa"/>
                  <w:vMerge/>
                  <w:tcBorders>
                    <w:left w:val="nil"/>
                    <w:right w:val="single" w:sz="2" w:space="0" w:color="000000"/>
                  </w:tcBorders>
                  <w:vAlign w:val="center"/>
                </w:tcPr>
                <w:p w14:paraId="50AC6439" w14:textId="77777777" w:rsidR="00F76A63" w:rsidRDefault="00F76A63">
                  <w:pPr>
                    <w:pStyle w:val="TableText"/>
                    <w:jc w:val="center"/>
                    <w:rPr>
                      <w:rFonts w:ascii="Times New Roman" w:hAnsi="Times New Roman" w:cs="Times New Roman"/>
                      <w:color w:val="auto"/>
                      <w:spacing w:val="11"/>
                      <w:sz w:val="21"/>
                      <w:szCs w:val="21"/>
                    </w:rPr>
                  </w:pPr>
                </w:p>
              </w:tc>
              <w:tc>
                <w:tcPr>
                  <w:tcW w:w="1014" w:type="dxa"/>
                  <w:vMerge w:val="restart"/>
                  <w:tcBorders>
                    <w:top w:val="single" w:sz="2" w:space="0" w:color="000000"/>
                    <w:left w:val="single" w:sz="2" w:space="0" w:color="000000"/>
                    <w:right w:val="single" w:sz="2" w:space="0" w:color="000000"/>
                  </w:tcBorders>
                  <w:vAlign w:val="center"/>
                </w:tcPr>
                <w:p w14:paraId="008DC464" w14:textId="77777777" w:rsidR="00F76A63" w:rsidRDefault="00000000">
                  <w:pPr>
                    <w:pStyle w:val="TableText"/>
                    <w:jc w:val="center"/>
                    <w:rPr>
                      <w:rFonts w:ascii="Times New Roman" w:hAnsi="Times New Roman" w:cs="Times New Roman"/>
                      <w:color w:val="auto"/>
                      <w:spacing w:val="11"/>
                      <w:sz w:val="21"/>
                      <w:szCs w:val="21"/>
                    </w:rPr>
                  </w:pPr>
                  <w:r>
                    <w:rPr>
                      <w:rFonts w:ascii="Times New Roman" w:hAnsi="Times New Roman" w:cs="Times New Roman"/>
                      <w:color w:val="auto"/>
                      <w:spacing w:val="11"/>
                      <w:sz w:val="21"/>
                      <w:szCs w:val="21"/>
                    </w:rPr>
                    <w:t xml:space="preserve">4.2 </w:t>
                  </w:r>
                  <w:r>
                    <w:rPr>
                      <w:rFonts w:ascii="Times New Roman" w:hAnsi="Times New Roman" w:cs="Times New Roman"/>
                      <w:color w:val="auto"/>
                      <w:spacing w:val="11"/>
                      <w:sz w:val="21"/>
                      <w:szCs w:val="21"/>
                    </w:rPr>
                    <w:t>固体废物投加设施</w:t>
                  </w:r>
                </w:p>
              </w:tc>
              <w:tc>
                <w:tcPr>
                  <w:tcW w:w="981" w:type="dxa"/>
                  <w:vMerge w:val="restart"/>
                  <w:tcBorders>
                    <w:top w:val="single" w:sz="2" w:space="0" w:color="000000"/>
                    <w:left w:val="single" w:sz="2" w:space="0" w:color="000000"/>
                    <w:right w:val="single" w:sz="2" w:space="0" w:color="000000"/>
                  </w:tcBorders>
                  <w:vAlign w:val="center"/>
                </w:tcPr>
                <w:p w14:paraId="59B3D019" w14:textId="77777777" w:rsidR="00F76A63" w:rsidRDefault="00000000">
                  <w:pPr>
                    <w:pStyle w:val="TableText"/>
                    <w:jc w:val="center"/>
                    <w:rPr>
                      <w:rFonts w:ascii="Times New Roman" w:hAnsi="Times New Roman" w:cs="Times New Roman"/>
                      <w:color w:val="auto"/>
                      <w:spacing w:val="11"/>
                      <w:sz w:val="21"/>
                      <w:szCs w:val="21"/>
                    </w:rPr>
                  </w:pPr>
                  <w:r>
                    <w:rPr>
                      <w:rFonts w:ascii="Times New Roman" w:hAnsi="Times New Roman" w:cs="Times New Roman"/>
                      <w:color w:val="auto"/>
                      <w:spacing w:val="11"/>
                      <w:sz w:val="21"/>
                      <w:szCs w:val="21"/>
                    </w:rPr>
                    <w:t xml:space="preserve">4.2.1 </w:t>
                  </w:r>
                  <w:r>
                    <w:rPr>
                      <w:rFonts w:ascii="Times New Roman" w:hAnsi="Times New Roman" w:cs="Times New Roman"/>
                      <w:color w:val="auto"/>
                      <w:spacing w:val="11"/>
                      <w:sz w:val="21"/>
                      <w:szCs w:val="21"/>
                    </w:rPr>
                    <w:t>固体废物投加设施应该满足以下条件：</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2432985"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a</w:t>
                  </w:r>
                  <w:r>
                    <w:rPr>
                      <w:rFonts w:ascii="Times New Roman" w:hAnsi="Times New Roman" w:cs="Times New Roman"/>
                      <w:color w:val="auto"/>
                      <w:spacing w:val="13"/>
                      <w:sz w:val="21"/>
                      <w:szCs w:val="21"/>
                    </w:rPr>
                    <w:t>）能实现自动进料，并配置可调节投加速率的计量装置实现定量</w:t>
                  </w:r>
                  <w:r>
                    <w:rPr>
                      <w:rFonts w:ascii="Times New Roman" w:hAnsi="Times New Roman" w:cs="Times New Roman"/>
                      <w:color w:val="auto"/>
                      <w:spacing w:val="3"/>
                      <w:sz w:val="21"/>
                      <w:szCs w:val="21"/>
                    </w:rPr>
                    <w:t>投料。</w:t>
                  </w:r>
                </w:p>
              </w:tc>
              <w:tc>
                <w:tcPr>
                  <w:tcW w:w="3306" w:type="dxa"/>
                  <w:tcBorders>
                    <w:top w:val="single" w:sz="2" w:space="0" w:color="000000"/>
                    <w:left w:val="single" w:sz="2" w:space="0" w:color="000000"/>
                    <w:right w:val="single" w:sz="2" w:space="0" w:color="000000"/>
                  </w:tcBorders>
                  <w:vAlign w:val="center"/>
                </w:tcPr>
                <w:p w14:paraId="459CC1D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本项目能实现自动进料，并配置可调节投加速率的计量装置实现定</w:t>
                  </w:r>
                  <w:r>
                    <w:rPr>
                      <w:rFonts w:ascii="Times New Roman" w:hAnsi="Times New Roman" w:cs="Times New Roman"/>
                      <w:color w:val="auto"/>
                      <w:spacing w:val="7"/>
                      <w:sz w:val="21"/>
                      <w:szCs w:val="21"/>
                    </w:rPr>
                    <w:t>量投料。</w:t>
                  </w:r>
                </w:p>
              </w:tc>
              <w:tc>
                <w:tcPr>
                  <w:tcW w:w="789" w:type="dxa"/>
                  <w:vMerge w:val="restart"/>
                  <w:tcBorders>
                    <w:top w:val="single" w:sz="2" w:space="0" w:color="000000"/>
                    <w:left w:val="single" w:sz="2" w:space="0" w:color="000000"/>
                    <w:right w:val="nil"/>
                  </w:tcBorders>
                  <w:vAlign w:val="center"/>
                </w:tcPr>
                <w:p w14:paraId="29C50583" w14:textId="77777777" w:rsidR="00F76A63" w:rsidRDefault="00000000">
                  <w:pPr>
                    <w:jc w:val="center"/>
                    <w:rPr>
                      <w:szCs w:val="21"/>
                    </w:rPr>
                  </w:pPr>
                  <w:r>
                    <w:rPr>
                      <w:spacing w:val="6"/>
                      <w:szCs w:val="21"/>
                    </w:rPr>
                    <w:t>符合</w:t>
                  </w:r>
                </w:p>
              </w:tc>
            </w:tr>
            <w:tr w:rsidR="00F76A63" w14:paraId="121F146C" w14:textId="77777777">
              <w:trPr>
                <w:trHeight w:val="187"/>
                <w:jc w:val="center"/>
              </w:trPr>
              <w:tc>
                <w:tcPr>
                  <w:tcW w:w="625" w:type="dxa"/>
                  <w:vMerge/>
                  <w:tcBorders>
                    <w:left w:val="nil"/>
                    <w:right w:val="single" w:sz="2" w:space="0" w:color="000000"/>
                  </w:tcBorders>
                  <w:vAlign w:val="center"/>
                </w:tcPr>
                <w:p w14:paraId="3FC25558" w14:textId="77777777" w:rsidR="00F76A63" w:rsidRDefault="00F76A63">
                  <w:pPr>
                    <w:pStyle w:val="TableText"/>
                    <w:jc w:val="center"/>
                    <w:rPr>
                      <w:rFonts w:ascii="Times New Roman" w:hAnsi="Times New Roman" w:cs="Times New Roman"/>
                      <w:color w:val="auto"/>
                      <w:spacing w:val="11"/>
                      <w:sz w:val="21"/>
                      <w:szCs w:val="21"/>
                    </w:rPr>
                  </w:pPr>
                </w:p>
              </w:tc>
              <w:tc>
                <w:tcPr>
                  <w:tcW w:w="1014" w:type="dxa"/>
                  <w:vMerge/>
                  <w:tcBorders>
                    <w:left w:val="single" w:sz="2" w:space="0" w:color="000000"/>
                    <w:right w:val="single" w:sz="2" w:space="0" w:color="000000"/>
                  </w:tcBorders>
                  <w:vAlign w:val="center"/>
                </w:tcPr>
                <w:p w14:paraId="1D50F633" w14:textId="77777777" w:rsidR="00F76A63" w:rsidRDefault="00F76A63">
                  <w:pPr>
                    <w:pStyle w:val="TableText"/>
                    <w:jc w:val="center"/>
                    <w:rPr>
                      <w:rFonts w:ascii="Times New Roman" w:hAnsi="Times New Roman" w:cs="Times New Roman"/>
                      <w:color w:val="auto"/>
                      <w:spacing w:val="11"/>
                      <w:sz w:val="21"/>
                      <w:szCs w:val="21"/>
                    </w:rPr>
                  </w:pPr>
                </w:p>
              </w:tc>
              <w:tc>
                <w:tcPr>
                  <w:tcW w:w="981" w:type="dxa"/>
                  <w:vMerge/>
                  <w:tcBorders>
                    <w:left w:val="single" w:sz="2" w:space="0" w:color="000000"/>
                    <w:right w:val="single" w:sz="2" w:space="0" w:color="000000"/>
                  </w:tcBorders>
                  <w:vAlign w:val="center"/>
                </w:tcPr>
                <w:p w14:paraId="4601C537" w14:textId="77777777" w:rsidR="00F76A63" w:rsidRDefault="00F76A63">
                  <w:pPr>
                    <w:pStyle w:val="TableText"/>
                    <w:jc w:val="center"/>
                    <w:rPr>
                      <w:rFonts w:ascii="Times New Roman" w:hAnsi="Times New Roman" w:cs="Times New Roman"/>
                      <w:color w:val="auto"/>
                      <w:spacing w:val="11"/>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CF79BC8"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b</w:t>
                  </w:r>
                  <w:r>
                    <w:rPr>
                      <w:rFonts w:ascii="Times New Roman" w:hAnsi="Times New Roman" w:cs="Times New Roman"/>
                      <w:color w:val="auto"/>
                      <w:spacing w:val="12"/>
                      <w:sz w:val="21"/>
                      <w:szCs w:val="21"/>
                    </w:rPr>
                    <w:t>）</w:t>
                  </w:r>
                  <w:r>
                    <w:rPr>
                      <w:rFonts w:ascii="Times New Roman" w:hAnsi="Times New Roman" w:cs="Times New Roman"/>
                      <w:color w:val="auto"/>
                      <w:spacing w:val="-53"/>
                      <w:sz w:val="21"/>
                      <w:szCs w:val="21"/>
                    </w:rPr>
                    <w:t xml:space="preserve"> </w:t>
                  </w:r>
                  <w:r>
                    <w:rPr>
                      <w:rFonts w:ascii="Times New Roman" w:hAnsi="Times New Roman" w:cs="Times New Roman"/>
                      <w:color w:val="auto"/>
                      <w:spacing w:val="12"/>
                      <w:sz w:val="21"/>
                      <w:szCs w:val="21"/>
                    </w:rPr>
                    <w:t>固体废物输送装置和投加口应保持密闭，固体废物投加口应具</w:t>
                  </w:r>
                  <w:r>
                    <w:rPr>
                      <w:rFonts w:ascii="Times New Roman" w:hAnsi="Times New Roman" w:cs="Times New Roman"/>
                      <w:color w:val="auto"/>
                      <w:spacing w:val="10"/>
                      <w:sz w:val="21"/>
                      <w:szCs w:val="21"/>
                    </w:rPr>
                    <w:t>有防回火功能。</w:t>
                  </w:r>
                </w:p>
              </w:tc>
              <w:tc>
                <w:tcPr>
                  <w:tcW w:w="3306" w:type="dxa"/>
                  <w:tcBorders>
                    <w:left w:val="single" w:sz="2" w:space="0" w:color="000000"/>
                    <w:right w:val="single" w:sz="2" w:space="0" w:color="000000"/>
                  </w:tcBorders>
                  <w:vAlign w:val="center"/>
                </w:tcPr>
                <w:p w14:paraId="52202876"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本项目废物输送装置和投加口保持密</w:t>
                  </w:r>
                  <w:r>
                    <w:rPr>
                      <w:rFonts w:ascii="Times New Roman" w:hAnsi="Times New Roman" w:cs="Times New Roman"/>
                      <w:color w:val="auto"/>
                      <w:spacing w:val="10"/>
                      <w:sz w:val="21"/>
                      <w:szCs w:val="21"/>
                    </w:rPr>
                    <w:t>闭，废物投加口具有防回火功能。</w:t>
                  </w:r>
                </w:p>
              </w:tc>
              <w:tc>
                <w:tcPr>
                  <w:tcW w:w="789" w:type="dxa"/>
                  <w:vMerge/>
                  <w:tcBorders>
                    <w:left w:val="single" w:sz="2" w:space="0" w:color="000000"/>
                    <w:right w:val="nil"/>
                  </w:tcBorders>
                  <w:vAlign w:val="center"/>
                </w:tcPr>
                <w:p w14:paraId="36BD2AC8" w14:textId="77777777" w:rsidR="00F76A63" w:rsidRDefault="00F76A63">
                  <w:pPr>
                    <w:jc w:val="center"/>
                    <w:rPr>
                      <w:szCs w:val="21"/>
                    </w:rPr>
                  </w:pPr>
                </w:p>
              </w:tc>
            </w:tr>
            <w:tr w:rsidR="00F76A63" w14:paraId="39405FE7" w14:textId="77777777">
              <w:trPr>
                <w:trHeight w:val="187"/>
                <w:jc w:val="center"/>
              </w:trPr>
              <w:tc>
                <w:tcPr>
                  <w:tcW w:w="625" w:type="dxa"/>
                  <w:vMerge/>
                  <w:tcBorders>
                    <w:left w:val="nil"/>
                    <w:right w:val="single" w:sz="2" w:space="0" w:color="000000"/>
                  </w:tcBorders>
                  <w:vAlign w:val="center"/>
                </w:tcPr>
                <w:p w14:paraId="4D5F3DF0" w14:textId="77777777" w:rsidR="00F76A63" w:rsidRDefault="00F76A63">
                  <w:pPr>
                    <w:pStyle w:val="TableText"/>
                    <w:jc w:val="center"/>
                    <w:rPr>
                      <w:rFonts w:ascii="Times New Roman" w:hAnsi="Times New Roman" w:cs="Times New Roman"/>
                      <w:color w:val="auto"/>
                      <w:spacing w:val="11"/>
                      <w:sz w:val="21"/>
                      <w:szCs w:val="21"/>
                    </w:rPr>
                  </w:pPr>
                </w:p>
              </w:tc>
              <w:tc>
                <w:tcPr>
                  <w:tcW w:w="1014" w:type="dxa"/>
                  <w:vMerge/>
                  <w:tcBorders>
                    <w:left w:val="single" w:sz="2" w:space="0" w:color="000000"/>
                    <w:right w:val="single" w:sz="2" w:space="0" w:color="000000"/>
                  </w:tcBorders>
                  <w:vAlign w:val="center"/>
                </w:tcPr>
                <w:p w14:paraId="59D7FDB2" w14:textId="77777777" w:rsidR="00F76A63" w:rsidRDefault="00F76A63">
                  <w:pPr>
                    <w:pStyle w:val="TableText"/>
                    <w:jc w:val="center"/>
                    <w:rPr>
                      <w:rFonts w:ascii="Times New Roman" w:hAnsi="Times New Roman" w:cs="Times New Roman"/>
                      <w:color w:val="auto"/>
                      <w:spacing w:val="11"/>
                      <w:sz w:val="21"/>
                      <w:szCs w:val="21"/>
                    </w:rPr>
                  </w:pPr>
                </w:p>
              </w:tc>
              <w:tc>
                <w:tcPr>
                  <w:tcW w:w="981" w:type="dxa"/>
                  <w:vMerge/>
                  <w:tcBorders>
                    <w:left w:val="single" w:sz="2" w:space="0" w:color="000000"/>
                    <w:right w:val="single" w:sz="2" w:space="0" w:color="000000"/>
                  </w:tcBorders>
                  <w:vAlign w:val="center"/>
                </w:tcPr>
                <w:p w14:paraId="4E2C89E1" w14:textId="77777777" w:rsidR="00F76A63" w:rsidRDefault="00F76A63">
                  <w:pPr>
                    <w:pStyle w:val="TableText"/>
                    <w:jc w:val="center"/>
                    <w:rPr>
                      <w:rFonts w:ascii="Times New Roman" w:hAnsi="Times New Roman" w:cs="Times New Roman"/>
                      <w:color w:val="auto"/>
                      <w:spacing w:val="11"/>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DB24C04"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c</w:t>
                  </w:r>
                  <w:r>
                    <w:rPr>
                      <w:rFonts w:ascii="Times New Roman" w:hAnsi="Times New Roman" w:cs="Times New Roman"/>
                      <w:color w:val="auto"/>
                      <w:spacing w:val="12"/>
                      <w:sz w:val="21"/>
                      <w:szCs w:val="21"/>
                    </w:rPr>
                    <w:t>）保持进料通畅以防止固体废物搭桥堵塞。</w:t>
                  </w:r>
                </w:p>
              </w:tc>
              <w:tc>
                <w:tcPr>
                  <w:tcW w:w="3306" w:type="dxa"/>
                  <w:tcBorders>
                    <w:left w:val="single" w:sz="2" w:space="0" w:color="000000"/>
                    <w:right w:val="single" w:sz="2" w:space="0" w:color="000000"/>
                  </w:tcBorders>
                  <w:vAlign w:val="center"/>
                </w:tcPr>
                <w:p w14:paraId="5C1AEFAC"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2"/>
                      <w:sz w:val="21"/>
                      <w:szCs w:val="21"/>
                    </w:rPr>
                    <w:t>本项目可满足保持进料通畅要求。</w:t>
                  </w:r>
                </w:p>
              </w:tc>
              <w:tc>
                <w:tcPr>
                  <w:tcW w:w="789" w:type="dxa"/>
                  <w:vMerge/>
                  <w:tcBorders>
                    <w:left w:val="single" w:sz="2" w:space="0" w:color="000000"/>
                    <w:right w:val="nil"/>
                  </w:tcBorders>
                  <w:vAlign w:val="center"/>
                </w:tcPr>
                <w:p w14:paraId="1069787F" w14:textId="77777777" w:rsidR="00F76A63" w:rsidRDefault="00F76A63">
                  <w:pPr>
                    <w:jc w:val="center"/>
                    <w:rPr>
                      <w:szCs w:val="21"/>
                    </w:rPr>
                  </w:pPr>
                </w:p>
              </w:tc>
            </w:tr>
            <w:tr w:rsidR="00F76A63" w14:paraId="7632FAE9" w14:textId="77777777">
              <w:trPr>
                <w:trHeight w:val="187"/>
                <w:jc w:val="center"/>
              </w:trPr>
              <w:tc>
                <w:tcPr>
                  <w:tcW w:w="625" w:type="dxa"/>
                  <w:vMerge/>
                  <w:tcBorders>
                    <w:left w:val="nil"/>
                    <w:right w:val="single" w:sz="2" w:space="0" w:color="000000"/>
                  </w:tcBorders>
                  <w:vAlign w:val="center"/>
                </w:tcPr>
                <w:p w14:paraId="75ABEA7F" w14:textId="77777777" w:rsidR="00F76A63" w:rsidRDefault="00F76A63">
                  <w:pPr>
                    <w:pStyle w:val="TableText"/>
                    <w:jc w:val="center"/>
                    <w:rPr>
                      <w:rFonts w:ascii="Times New Roman" w:hAnsi="Times New Roman" w:cs="Times New Roman"/>
                      <w:color w:val="auto"/>
                      <w:spacing w:val="11"/>
                      <w:sz w:val="21"/>
                      <w:szCs w:val="21"/>
                    </w:rPr>
                  </w:pPr>
                </w:p>
              </w:tc>
              <w:tc>
                <w:tcPr>
                  <w:tcW w:w="1014" w:type="dxa"/>
                  <w:vMerge/>
                  <w:tcBorders>
                    <w:left w:val="single" w:sz="2" w:space="0" w:color="000000"/>
                    <w:right w:val="single" w:sz="2" w:space="0" w:color="000000"/>
                  </w:tcBorders>
                  <w:vAlign w:val="center"/>
                </w:tcPr>
                <w:p w14:paraId="5F4FF236" w14:textId="77777777" w:rsidR="00F76A63" w:rsidRDefault="00F76A63">
                  <w:pPr>
                    <w:pStyle w:val="TableText"/>
                    <w:jc w:val="center"/>
                    <w:rPr>
                      <w:rFonts w:ascii="Times New Roman" w:hAnsi="Times New Roman" w:cs="Times New Roman"/>
                      <w:color w:val="auto"/>
                      <w:spacing w:val="11"/>
                      <w:sz w:val="21"/>
                      <w:szCs w:val="21"/>
                    </w:rPr>
                  </w:pPr>
                </w:p>
              </w:tc>
              <w:tc>
                <w:tcPr>
                  <w:tcW w:w="981" w:type="dxa"/>
                  <w:vMerge/>
                  <w:tcBorders>
                    <w:left w:val="single" w:sz="2" w:space="0" w:color="000000"/>
                    <w:right w:val="single" w:sz="2" w:space="0" w:color="000000"/>
                  </w:tcBorders>
                  <w:vAlign w:val="center"/>
                </w:tcPr>
                <w:p w14:paraId="190BE6FF" w14:textId="77777777" w:rsidR="00F76A63" w:rsidRDefault="00F76A63">
                  <w:pPr>
                    <w:pStyle w:val="TableText"/>
                    <w:jc w:val="center"/>
                    <w:rPr>
                      <w:rFonts w:ascii="Times New Roman" w:hAnsi="Times New Roman" w:cs="Times New Roman"/>
                      <w:color w:val="auto"/>
                      <w:spacing w:val="11"/>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8A9954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d</w:t>
                  </w:r>
                  <w:r>
                    <w:rPr>
                      <w:rFonts w:ascii="Times New Roman" w:hAnsi="Times New Roman" w:cs="Times New Roman"/>
                      <w:color w:val="auto"/>
                      <w:spacing w:val="12"/>
                      <w:sz w:val="21"/>
                      <w:szCs w:val="21"/>
                    </w:rPr>
                    <w:t>）配置可实时显示固体废物投加状况的在线监视系统。</w:t>
                  </w:r>
                </w:p>
              </w:tc>
              <w:tc>
                <w:tcPr>
                  <w:tcW w:w="3306" w:type="dxa"/>
                  <w:tcBorders>
                    <w:left w:val="single" w:sz="2" w:space="0" w:color="000000"/>
                    <w:right w:val="single" w:sz="2" w:space="0" w:color="000000"/>
                  </w:tcBorders>
                  <w:vAlign w:val="center"/>
                </w:tcPr>
                <w:p w14:paraId="1CCFEFE7"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本项目配置可实时显示固体废物投加</w:t>
                  </w:r>
                  <w:r>
                    <w:rPr>
                      <w:rFonts w:ascii="Times New Roman" w:hAnsi="Times New Roman" w:cs="Times New Roman"/>
                      <w:color w:val="auto"/>
                      <w:spacing w:val="11"/>
                      <w:sz w:val="21"/>
                      <w:szCs w:val="21"/>
                    </w:rPr>
                    <w:t>状况的在线监视系统。</w:t>
                  </w:r>
                </w:p>
              </w:tc>
              <w:tc>
                <w:tcPr>
                  <w:tcW w:w="789" w:type="dxa"/>
                  <w:vMerge/>
                  <w:tcBorders>
                    <w:left w:val="single" w:sz="2" w:space="0" w:color="000000"/>
                    <w:right w:val="nil"/>
                  </w:tcBorders>
                  <w:vAlign w:val="center"/>
                </w:tcPr>
                <w:p w14:paraId="70332C2F" w14:textId="77777777" w:rsidR="00F76A63" w:rsidRDefault="00F76A63">
                  <w:pPr>
                    <w:jc w:val="center"/>
                    <w:rPr>
                      <w:szCs w:val="21"/>
                    </w:rPr>
                  </w:pPr>
                </w:p>
              </w:tc>
            </w:tr>
            <w:tr w:rsidR="00F76A63" w14:paraId="2B53FE23" w14:textId="77777777">
              <w:trPr>
                <w:trHeight w:val="187"/>
                <w:jc w:val="center"/>
              </w:trPr>
              <w:tc>
                <w:tcPr>
                  <w:tcW w:w="625" w:type="dxa"/>
                  <w:vMerge/>
                  <w:tcBorders>
                    <w:left w:val="nil"/>
                    <w:right w:val="single" w:sz="2" w:space="0" w:color="000000"/>
                  </w:tcBorders>
                  <w:vAlign w:val="center"/>
                </w:tcPr>
                <w:p w14:paraId="1CD0B5F5" w14:textId="77777777" w:rsidR="00F76A63" w:rsidRDefault="00F76A63">
                  <w:pPr>
                    <w:pStyle w:val="TableText"/>
                    <w:jc w:val="center"/>
                    <w:rPr>
                      <w:rFonts w:ascii="Times New Roman" w:hAnsi="Times New Roman" w:cs="Times New Roman"/>
                      <w:color w:val="auto"/>
                      <w:spacing w:val="11"/>
                      <w:sz w:val="21"/>
                      <w:szCs w:val="21"/>
                    </w:rPr>
                  </w:pPr>
                </w:p>
              </w:tc>
              <w:tc>
                <w:tcPr>
                  <w:tcW w:w="1014" w:type="dxa"/>
                  <w:vMerge/>
                  <w:tcBorders>
                    <w:left w:val="single" w:sz="2" w:space="0" w:color="000000"/>
                    <w:right w:val="single" w:sz="2" w:space="0" w:color="000000"/>
                  </w:tcBorders>
                  <w:vAlign w:val="center"/>
                </w:tcPr>
                <w:p w14:paraId="0DE12E7B" w14:textId="77777777" w:rsidR="00F76A63" w:rsidRDefault="00F76A63">
                  <w:pPr>
                    <w:pStyle w:val="TableText"/>
                    <w:jc w:val="center"/>
                    <w:rPr>
                      <w:rFonts w:ascii="Times New Roman" w:hAnsi="Times New Roman" w:cs="Times New Roman"/>
                      <w:color w:val="auto"/>
                      <w:spacing w:val="11"/>
                      <w:sz w:val="21"/>
                      <w:szCs w:val="21"/>
                    </w:rPr>
                  </w:pPr>
                </w:p>
              </w:tc>
              <w:tc>
                <w:tcPr>
                  <w:tcW w:w="981" w:type="dxa"/>
                  <w:vMerge/>
                  <w:tcBorders>
                    <w:left w:val="single" w:sz="2" w:space="0" w:color="000000"/>
                    <w:right w:val="single" w:sz="2" w:space="0" w:color="000000"/>
                  </w:tcBorders>
                  <w:vAlign w:val="center"/>
                </w:tcPr>
                <w:p w14:paraId="12C0DA2F" w14:textId="77777777" w:rsidR="00F76A63" w:rsidRDefault="00F76A63">
                  <w:pPr>
                    <w:pStyle w:val="TableText"/>
                    <w:jc w:val="center"/>
                    <w:rPr>
                      <w:rFonts w:ascii="Times New Roman" w:hAnsi="Times New Roman" w:cs="Times New Roman"/>
                      <w:color w:val="auto"/>
                      <w:spacing w:val="11"/>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B7F0B1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e</w:t>
                  </w:r>
                  <w:r>
                    <w:rPr>
                      <w:rFonts w:ascii="Times New Roman" w:hAnsi="Times New Roman" w:cs="Times New Roman"/>
                      <w:color w:val="auto"/>
                      <w:spacing w:val="13"/>
                      <w:sz w:val="21"/>
                      <w:szCs w:val="21"/>
                    </w:rPr>
                    <w:t>）具有自动联机停机功能，当水泥窑或烟气处理设施因故障停止运转，或者当窑内温度、压力、窑转速、烟气中氧含量等运行参数偏离设定值时，或者烟气排放超过标准设定值时，可自动停止</w:t>
                  </w:r>
                  <w:r>
                    <w:rPr>
                      <w:rFonts w:ascii="Times New Roman" w:hAnsi="Times New Roman" w:cs="Times New Roman"/>
                      <w:color w:val="auto"/>
                      <w:spacing w:val="7"/>
                      <w:sz w:val="21"/>
                      <w:szCs w:val="21"/>
                    </w:rPr>
                    <w:t>固体废物投加。</w:t>
                  </w:r>
                </w:p>
              </w:tc>
              <w:tc>
                <w:tcPr>
                  <w:tcW w:w="3306" w:type="dxa"/>
                  <w:tcBorders>
                    <w:left w:val="single" w:sz="2" w:space="0" w:color="000000"/>
                    <w:bottom w:val="single" w:sz="2" w:space="0" w:color="000000"/>
                    <w:right w:val="single" w:sz="2" w:space="0" w:color="000000"/>
                  </w:tcBorders>
                  <w:vAlign w:val="center"/>
                </w:tcPr>
                <w:p w14:paraId="23D8B51D"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本项目具有自动联机停机功能。</w:t>
                  </w:r>
                </w:p>
              </w:tc>
              <w:tc>
                <w:tcPr>
                  <w:tcW w:w="789" w:type="dxa"/>
                  <w:vMerge/>
                  <w:tcBorders>
                    <w:left w:val="single" w:sz="2" w:space="0" w:color="000000"/>
                    <w:right w:val="nil"/>
                  </w:tcBorders>
                  <w:vAlign w:val="center"/>
                </w:tcPr>
                <w:p w14:paraId="4BA8F1E0" w14:textId="77777777" w:rsidR="00F76A63" w:rsidRDefault="00F76A63">
                  <w:pPr>
                    <w:jc w:val="center"/>
                    <w:rPr>
                      <w:szCs w:val="21"/>
                    </w:rPr>
                  </w:pPr>
                </w:p>
              </w:tc>
            </w:tr>
            <w:tr w:rsidR="00F76A63" w14:paraId="424FB3A0" w14:textId="77777777">
              <w:trPr>
                <w:trHeight w:val="819"/>
                <w:jc w:val="center"/>
              </w:trPr>
              <w:tc>
                <w:tcPr>
                  <w:tcW w:w="625" w:type="dxa"/>
                  <w:vMerge/>
                  <w:tcBorders>
                    <w:left w:val="nil"/>
                    <w:right w:val="single" w:sz="2" w:space="0" w:color="000000"/>
                  </w:tcBorders>
                  <w:vAlign w:val="center"/>
                </w:tcPr>
                <w:p w14:paraId="50493D6F" w14:textId="77777777" w:rsidR="00F76A63" w:rsidRDefault="00F76A63">
                  <w:pPr>
                    <w:jc w:val="center"/>
                    <w:rPr>
                      <w:szCs w:val="21"/>
                    </w:rPr>
                  </w:pPr>
                </w:p>
              </w:tc>
              <w:tc>
                <w:tcPr>
                  <w:tcW w:w="1014" w:type="dxa"/>
                  <w:vMerge/>
                  <w:tcBorders>
                    <w:left w:val="single" w:sz="2" w:space="0" w:color="000000"/>
                    <w:right w:val="single" w:sz="2" w:space="0" w:color="000000"/>
                  </w:tcBorders>
                  <w:vAlign w:val="center"/>
                </w:tcPr>
                <w:p w14:paraId="24C6B86C" w14:textId="77777777" w:rsidR="00F76A63" w:rsidRDefault="00F76A63">
                  <w:pPr>
                    <w:jc w:val="center"/>
                    <w:rPr>
                      <w:szCs w:val="21"/>
                    </w:rPr>
                  </w:pPr>
                </w:p>
              </w:tc>
              <w:tc>
                <w:tcPr>
                  <w:tcW w:w="981" w:type="dxa"/>
                  <w:vMerge/>
                  <w:tcBorders>
                    <w:left w:val="single" w:sz="2" w:space="0" w:color="000000"/>
                    <w:bottom w:val="single" w:sz="2" w:space="0" w:color="000000"/>
                    <w:right w:val="single" w:sz="2" w:space="0" w:color="000000"/>
                  </w:tcBorders>
                  <w:vAlign w:val="center"/>
                </w:tcPr>
                <w:p w14:paraId="769DCCB1"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EC28AC1"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f</w:t>
                  </w:r>
                  <w:r>
                    <w:rPr>
                      <w:rFonts w:ascii="Times New Roman" w:hAnsi="Times New Roman" w:cs="Times New Roman"/>
                      <w:color w:val="auto"/>
                      <w:spacing w:val="12"/>
                      <w:sz w:val="21"/>
                      <w:szCs w:val="21"/>
                    </w:rPr>
                    <w:t>）处理腐蚀性废物时，投加和输送装置应采用防腐材料。</w:t>
                  </w:r>
                </w:p>
              </w:tc>
              <w:tc>
                <w:tcPr>
                  <w:tcW w:w="3306" w:type="dxa"/>
                  <w:tcBorders>
                    <w:top w:val="single" w:sz="2" w:space="0" w:color="000000"/>
                    <w:left w:val="single" w:sz="2" w:space="0" w:color="000000"/>
                    <w:bottom w:val="single" w:sz="2" w:space="0" w:color="000000"/>
                    <w:right w:val="single" w:sz="2" w:space="0" w:color="000000"/>
                  </w:tcBorders>
                  <w:vAlign w:val="center"/>
                </w:tcPr>
                <w:p w14:paraId="2851C9AF"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本项目投加和输送装置采用防腐材</w:t>
                  </w:r>
                  <w:r>
                    <w:rPr>
                      <w:rFonts w:ascii="Times New Roman" w:hAnsi="Times New Roman" w:cs="Times New Roman"/>
                      <w:color w:val="auto"/>
                      <w:sz w:val="21"/>
                      <w:szCs w:val="21"/>
                    </w:rPr>
                    <w:t>料。</w:t>
                  </w:r>
                </w:p>
              </w:tc>
              <w:tc>
                <w:tcPr>
                  <w:tcW w:w="789" w:type="dxa"/>
                  <w:vMerge/>
                  <w:tcBorders>
                    <w:left w:val="single" w:sz="2" w:space="0" w:color="000000"/>
                    <w:bottom w:val="single" w:sz="2" w:space="0" w:color="000000"/>
                    <w:right w:val="nil"/>
                  </w:tcBorders>
                  <w:vAlign w:val="center"/>
                </w:tcPr>
                <w:p w14:paraId="64B3018F" w14:textId="77777777" w:rsidR="00F76A63" w:rsidRDefault="00F76A63">
                  <w:pPr>
                    <w:jc w:val="center"/>
                    <w:rPr>
                      <w:szCs w:val="21"/>
                    </w:rPr>
                  </w:pPr>
                </w:p>
              </w:tc>
            </w:tr>
            <w:tr w:rsidR="00F76A63" w14:paraId="2B72C6C1" w14:textId="77777777">
              <w:trPr>
                <w:trHeight w:val="658"/>
                <w:jc w:val="center"/>
              </w:trPr>
              <w:tc>
                <w:tcPr>
                  <w:tcW w:w="625" w:type="dxa"/>
                  <w:vMerge/>
                  <w:tcBorders>
                    <w:left w:val="nil"/>
                    <w:right w:val="single" w:sz="2" w:space="0" w:color="000000"/>
                  </w:tcBorders>
                  <w:vAlign w:val="center"/>
                </w:tcPr>
                <w:p w14:paraId="06AAD174" w14:textId="77777777" w:rsidR="00F76A63" w:rsidRDefault="00F76A63">
                  <w:pPr>
                    <w:jc w:val="center"/>
                    <w:rPr>
                      <w:szCs w:val="21"/>
                    </w:rPr>
                  </w:pPr>
                </w:p>
              </w:tc>
              <w:tc>
                <w:tcPr>
                  <w:tcW w:w="1014" w:type="dxa"/>
                  <w:vMerge/>
                  <w:tcBorders>
                    <w:left w:val="single" w:sz="2" w:space="0" w:color="000000"/>
                    <w:right w:val="single" w:sz="2" w:space="0" w:color="000000"/>
                  </w:tcBorders>
                  <w:vAlign w:val="center"/>
                </w:tcPr>
                <w:p w14:paraId="6231F7D3" w14:textId="77777777" w:rsidR="00F76A63" w:rsidRDefault="00F76A63">
                  <w:pPr>
                    <w:jc w:val="center"/>
                    <w:rPr>
                      <w:szCs w:val="21"/>
                    </w:rPr>
                  </w:pPr>
                </w:p>
              </w:tc>
              <w:tc>
                <w:tcPr>
                  <w:tcW w:w="981" w:type="dxa"/>
                  <w:vMerge w:val="restart"/>
                  <w:tcBorders>
                    <w:top w:val="single" w:sz="2" w:space="0" w:color="000000"/>
                    <w:left w:val="single" w:sz="2" w:space="0" w:color="000000"/>
                    <w:right w:val="single" w:sz="2" w:space="0" w:color="000000"/>
                  </w:tcBorders>
                  <w:vAlign w:val="center"/>
                </w:tcPr>
                <w:p w14:paraId="31FD4BB2"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z w:val="21"/>
                      <w:szCs w:val="21"/>
                    </w:rPr>
                    <w:t xml:space="preserve">4.2.2 </w:t>
                  </w:r>
                  <w:r>
                    <w:rPr>
                      <w:rFonts w:ascii="Times New Roman" w:hAnsi="Times New Roman" w:cs="Times New Roman"/>
                      <w:color w:val="auto"/>
                      <w:sz w:val="21"/>
                      <w:szCs w:val="21"/>
                    </w:rPr>
                    <w:t>固体废物在水泥窑中投加位置</w:t>
                  </w:r>
                  <w:r>
                    <w:rPr>
                      <w:rFonts w:ascii="Times New Roman" w:hAnsi="Times New Roman" w:cs="Times New Roman"/>
                      <w:color w:val="auto"/>
                      <w:sz w:val="21"/>
                      <w:szCs w:val="21"/>
                    </w:rPr>
                    <w:t xml:space="preserve"> </w:t>
                  </w:r>
                  <w:r>
                    <w:rPr>
                      <w:rFonts w:ascii="Times New Roman" w:hAnsi="Times New Roman" w:cs="Times New Roman"/>
                      <w:color w:val="auto"/>
                      <w:sz w:val="21"/>
                      <w:szCs w:val="21"/>
                    </w:rPr>
                    <w:t>应根据废物特性从以下三处选择（参见附录</w:t>
                  </w:r>
                  <w:r>
                    <w:rPr>
                      <w:rFonts w:ascii="Times New Roman" w:hAnsi="Times New Roman" w:cs="Times New Roman"/>
                      <w:color w:val="auto"/>
                      <w:sz w:val="21"/>
                      <w:szCs w:val="21"/>
                    </w:rPr>
                    <w:t>A</w:t>
                  </w:r>
                  <w:r>
                    <w:rPr>
                      <w:rFonts w:ascii="Times New Roman" w:hAnsi="Times New Roman" w:cs="Times New Roman"/>
                      <w:color w:val="auto"/>
                      <w:sz w:val="21"/>
                      <w:szCs w:val="21"/>
                    </w:rPr>
                    <w:t>）：</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D4DB0AC"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a</w:t>
                  </w:r>
                  <w:r>
                    <w:rPr>
                      <w:rFonts w:ascii="Times New Roman" w:hAnsi="Times New Roman" w:cs="Times New Roman"/>
                      <w:color w:val="auto"/>
                      <w:spacing w:val="12"/>
                      <w:sz w:val="21"/>
                      <w:szCs w:val="21"/>
                    </w:rPr>
                    <w:t>）窑头高温段，包括主燃烧器投加点和窑门罩投加点。</w:t>
                  </w:r>
                </w:p>
              </w:tc>
              <w:tc>
                <w:tcPr>
                  <w:tcW w:w="3306" w:type="dxa"/>
                  <w:vMerge w:val="restart"/>
                  <w:tcBorders>
                    <w:top w:val="single" w:sz="2" w:space="0" w:color="000000"/>
                    <w:left w:val="single" w:sz="2" w:space="0" w:color="000000"/>
                    <w:right w:val="single" w:sz="2" w:space="0" w:color="000000"/>
                  </w:tcBorders>
                  <w:vAlign w:val="center"/>
                </w:tcPr>
                <w:p w14:paraId="087F9B7E"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本项目选择分解炉等窑尾高温段投加点投加。</w:t>
                  </w:r>
                </w:p>
              </w:tc>
              <w:tc>
                <w:tcPr>
                  <w:tcW w:w="789" w:type="dxa"/>
                  <w:vMerge w:val="restart"/>
                  <w:tcBorders>
                    <w:top w:val="single" w:sz="2" w:space="0" w:color="000000"/>
                    <w:left w:val="single" w:sz="2" w:space="0" w:color="000000"/>
                    <w:right w:val="nil"/>
                  </w:tcBorders>
                  <w:vAlign w:val="center"/>
                </w:tcPr>
                <w:p w14:paraId="227CDE8F" w14:textId="77777777" w:rsidR="00F76A63" w:rsidRDefault="00000000">
                  <w:pPr>
                    <w:jc w:val="center"/>
                    <w:rPr>
                      <w:szCs w:val="21"/>
                    </w:rPr>
                  </w:pPr>
                  <w:r>
                    <w:rPr>
                      <w:spacing w:val="6"/>
                      <w:szCs w:val="21"/>
                    </w:rPr>
                    <w:t>符合</w:t>
                  </w:r>
                </w:p>
              </w:tc>
            </w:tr>
            <w:tr w:rsidR="00F76A63" w14:paraId="5DD8180A" w14:textId="77777777">
              <w:trPr>
                <w:trHeight w:val="656"/>
                <w:jc w:val="center"/>
              </w:trPr>
              <w:tc>
                <w:tcPr>
                  <w:tcW w:w="625" w:type="dxa"/>
                  <w:vMerge/>
                  <w:tcBorders>
                    <w:left w:val="nil"/>
                    <w:right w:val="single" w:sz="2" w:space="0" w:color="000000"/>
                  </w:tcBorders>
                  <w:vAlign w:val="center"/>
                </w:tcPr>
                <w:p w14:paraId="6D3F936E" w14:textId="77777777" w:rsidR="00F76A63" w:rsidRDefault="00F76A63">
                  <w:pPr>
                    <w:jc w:val="center"/>
                    <w:rPr>
                      <w:szCs w:val="21"/>
                    </w:rPr>
                  </w:pPr>
                </w:p>
              </w:tc>
              <w:tc>
                <w:tcPr>
                  <w:tcW w:w="1014" w:type="dxa"/>
                  <w:vMerge/>
                  <w:tcBorders>
                    <w:left w:val="single" w:sz="2" w:space="0" w:color="000000"/>
                    <w:right w:val="single" w:sz="2" w:space="0" w:color="000000"/>
                  </w:tcBorders>
                  <w:vAlign w:val="center"/>
                </w:tcPr>
                <w:p w14:paraId="3B07E171" w14:textId="77777777" w:rsidR="00F76A63" w:rsidRDefault="00F76A63">
                  <w:pPr>
                    <w:jc w:val="center"/>
                    <w:rPr>
                      <w:szCs w:val="21"/>
                    </w:rPr>
                  </w:pPr>
                </w:p>
              </w:tc>
              <w:tc>
                <w:tcPr>
                  <w:tcW w:w="981" w:type="dxa"/>
                  <w:vMerge/>
                  <w:tcBorders>
                    <w:left w:val="single" w:sz="2" w:space="0" w:color="000000"/>
                    <w:right w:val="single" w:sz="2" w:space="0" w:color="000000"/>
                  </w:tcBorders>
                  <w:vAlign w:val="center"/>
                </w:tcPr>
                <w:p w14:paraId="386076E8" w14:textId="77777777" w:rsidR="00F76A63" w:rsidRDefault="00F76A63">
                  <w:pPr>
                    <w:pStyle w:val="TableText"/>
                    <w:jc w:val="center"/>
                    <w:rPr>
                      <w:rFonts w:ascii="Times New Roman" w:hAnsi="Times New Roman" w:cs="Times New Roman"/>
                      <w:color w:val="auto"/>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7BE675D"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）窑尾高温段，包括分解炉、窑尾烟室和上升烟道投加点。</w:t>
                  </w:r>
                </w:p>
              </w:tc>
              <w:tc>
                <w:tcPr>
                  <w:tcW w:w="3306" w:type="dxa"/>
                  <w:vMerge/>
                  <w:tcBorders>
                    <w:left w:val="single" w:sz="2" w:space="0" w:color="000000"/>
                    <w:right w:val="single" w:sz="2" w:space="0" w:color="000000"/>
                  </w:tcBorders>
                  <w:vAlign w:val="center"/>
                </w:tcPr>
                <w:p w14:paraId="0E9046C3"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FF75080" w14:textId="77777777" w:rsidR="00F76A63" w:rsidRDefault="00F76A63">
                  <w:pPr>
                    <w:jc w:val="center"/>
                    <w:rPr>
                      <w:szCs w:val="21"/>
                    </w:rPr>
                  </w:pPr>
                </w:p>
              </w:tc>
            </w:tr>
            <w:tr w:rsidR="00F76A63" w14:paraId="2A7411AB" w14:textId="77777777">
              <w:trPr>
                <w:trHeight w:val="656"/>
                <w:jc w:val="center"/>
              </w:trPr>
              <w:tc>
                <w:tcPr>
                  <w:tcW w:w="625" w:type="dxa"/>
                  <w:vMerge/>
                  <w:tcBorders>
                    <w:left w:val="nil"/>
                    <w:right w:val="single" w:sz="2" w:space="0" w:color="000000"/>
                  </w:tcBorders>
                  <w:vAlign w:val="center"/>
                </w:tcPr>
                <w:p w14:paraId="461F13CB" w14:textId="77777777" w:rsidR="00F76A63" w:rsidRDefault="00F76A63">
                  <w:pPr>
                    <w:jc w:val="center"/>
                    <w:rPr>
                      <w:szCs w:val="21"/>
                    </w:rPr>
                  </w:pPr>
                </w:p>
              </w:tc>
              <w:tc>
                <w:tcPr>
                  <w:tcW w:w="1014" w:type="dxa"/>
                  <w:vMerge/>
                  <w:tcBorders>
                    <w:left w:val="single" w:sz="2" w:space="0" w:color="000000"/>
                    <w:right w:val="single" w:sz="2" w:space="0" w:color="000000"/>
                  </w:tcBorders>
                  <w:vAlign w:val="center"/>
                </w:tcPr>
                <w:p w14:paraId="31473C9F" w14:textId="77777777" w:rsidR="00F76A63" w:rsidRDefault="00F76A63">
                  <w:pPr>
                    <w:jc w:val="center"/>
                    <w:rPr>
                      <w:szCs w:val="21"/>
                    </w:rPr>
                  </w:pPr>
                </w:p>
              </w:tc>
              <w:tc>
                <w:tcPr>
                  <w:tcW w:w="981" w:type="dxa"/>
                  <w:vMerge/>
                  <w:tcBorders>
                    <w:left w:val="single" w:sz="2" w:space="0" w:color="000000"/>
                    <w:bottom w:val="single" w:sz="2" w:space="0" w:color="000000"/>
                    <w:right w:val="single" w:sz="2" w:space="0" w:color="000000"/>
                  </w:tcBorders>
                  <w:vAlign w:val="center"/>
                </w:tcPr>
                <w:p w14:paraId="14ED6C7E" w14:textId="77777777" w:rsidR="00F76A63" w:rsidRDefault="00F76A63">
                  <w:pPr>
                    <w:pStyle w:val="TableText"/>
                    <w:jc w:val="center"/>
                    <w:rPr>
                      <w:rFonts w:ascii="Times New Roman" w:hAnsi="Times New Roman" w:cs="Times New Roman"/>
                      <w:color w:val="auto"/>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367D13F"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c</w:t>
                  </w:r>
                  <w:r>
                    <w:rPr>
                      <w:rFonts w:ascii="Times New Roman" w:hAnsi="Times New Roman" w:cs="Times New Roman"/>
                      <w:color w:val="auto"/>
                      <w:spacing w:val="10"/>
                      <w:sz w:val="21"/>
                      <w:szCs w:val="21"/>
                    </w:rPr>
                    <w:t>）生料配料系统（生料磨）。</w:t>
                  </w:r>
                </w:p>
              </w:tc>
              <w:tc>
                <w:tcPr>
                  <w:tcW w:w="3306" w:type="dxa"/>
                  <w:vMerge/>
                  <w:tcBorders>
                    <w:left w:val="single" w:sz="2" w:space="0" w:color="000000"/>
                    <w:bottom w:val="single" w:sz="2" w:space="0" w:color="000000"/>
                    <w:right w:val="single" w:sz="2" w:space="0" w:color="000000"/>
                  </w:tcBorders>
                  <w:vAlign w:val="center"/>
                </w:tcPr>
                <w:p w14:paraId="70D355EB"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76941845" w14:textId="77777777" w:rsidR="00F76A63" w:rsidRDefault="00F76A63">
                  <w:pPr>
                    <w:jc w:val="center"/>
                    <w:rPr>
                      <w:szCs w:val="21"/>
                    </w:rPr>
                  </w:pPr>
                </w:p>
              </w:tc>
            </w:tr>
            <w:tr w:rsidR="00F76A63" w14:paraId="34C13F39" w14:textId="77777777">
              <w:trPr>
                <w:trHeight w:val="412"/>
                <w:jc w:val="center"/>
              </w:trPr>
              <w:tc>
                <w:tcPr>
                  <w:tcW w:w="625" w:type="dxa"/>
                  <w:vMerge/>
                  <w:tcBorders>
                    <w:left w:val="nil"/>
                    <w:right w:val="single" w:sz="2" w:space="0" w:color="000000"/>
                  </w:tcBorders>
                  <w:vAlign w:val="center"/>
                </w:tcPr>
                <w:p w14:paraId="41D697AD" w14:textId="77777777" w:rsidR="00F76A63" w:rsidRDefault="00F76A63">
                  <w:pPr>
                    <w:jc w:val="center"/>
                    <w:rPr>
                      <w:szCs w:val="21"/>
                    </w:rPr>
                  </w:pPr>
                </w:p>
              </w:tc>
              <w:tc>
                <w:tcPr>
                  <w:tcW w:w="1014" w:type="dxa"/>
                  <w:vMerge/>
                  <w:tcBorders>
                    <w:left w:val="single" w:sz="2" w:space="0" w:color="000000"/>
                    <w:right w:val="single" w:sz="2" w:space="0" w:color="000000"/>
                  </w:tcBorders>
                  <w:vAlign w:val="center"/>
                </w:tcPr>
                <w:p w14:paraId="6085976B" w14:textId="77777777" w:rsidR="00F76A63" w:rsidRDefault="00F76A63">
                  <w:pPr>
                    <w:jc w:val="center"/>
                    <w:rPr>
                      <w:szCs w:val="21"/>
                    </w:rPr>
                  </w:pPr>
                </w:p>
              </w:tc>
              <w:tc>
                <w:tcPr>
                  <w:tcW w:w="981" w:type="dxa"/>
                  <w:vMerge w:val="restart"/>
                  <w:tcBorders>
                    <w:top w:val="single" w:sz="2" w:space="0" w:color="000000"/>
                    <w:left w:val="single" w:sz="2" w:space="0" w:color="000000"/>
                    <w:right w:val="single" w:sz="2" w:space="0" w:color="000000"/>
                  </w:tcBorders>
                  <w:vAlign w:val="center"/>
                </w:tcPr>
                <w:p w14:paraId="000EE055"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4.2.3 </w:t>
                  </w:r>
                  <w:r>
                    <w:rPr>
                      <w:rFonts w:ascii="Times New Roman" w:hAnsi="Times New Roman" w:cs="Times New Roman"/>
                      <w:color w:val="auto"/>
                      <w:spacing w:val="3"/>
                      <w:sz w:val="21"/>
                      <w:szCs w:val="21"/>
                    </w:rPr>
                    <w:t>不同位置的投加设施应满足以下特殊要求：</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5C0C50A"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a</w:t>
                  </w:r>
                  <w:r>
                    <w:rPr>
                      <w:rFonts w:ascii="Times New Roman" w:hAnsi="Times New Roman" w:cs="Times New Roman"/>
                      <w:color w:val="auto"/>
                      <w:spacing w:val="12"/>
                      <w:sz w:val="21"/>
                      <w:szCs w:val="21"/>
                    </w:rPr>
                    <w:t>）生料磨投加可借用常规生料投料设施。</w:t>
                  </w:r>
                </w:p>
              </w:tc>
              <w:tc>
                <w:tcPr>
                  <w:tcW w:w="3306" w:type="dxa"/>
                  <w:vMerge w:val="restart"/>
                  <w:tcBorders>
                    <w:top w:val="single" w:sz="2" w:space="0" w:color="000000"/>
                    <w:left w:val="single" w:sz="2" w:space="0" w:color="000000"/>
                    <w:right w:val="single" w:sz="2" w:space="0" w:color="000000"/>
                  </w:tcBorders>
                  <w:vAlign w:val="center"/>
                </w:tcPr>
                <w:p w14:paraId="5F53F842"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本项目窑尾投加设施配备皮带机、锁风阀等输送装置，并在窑尾分解炉的适当位置开设投料口。</w:t>
                  </w:r>
                </w:p>
              </w:tc>
              <w:tc>
                <w:tcPr>
                  <w:tcW w:w="789" w:type="dxa"/>
                  <w:vMerge w:val="restart"/>
                  <w:tcBorders>
                    <w:top w:val="single" w:sz="2" w:space="0" w:color="000000"/>
                    <w:left w:val="single" w:sz="2" w:space="0" w:color="000000"/>
                    <w:right w:val="nil"/>
                  </w:tcBorders>
                  <w:vAlign w:val="center"/>
                </w:tcPr>
                <w:p w14:paraId="3367EB79" w14:textId="77777777" w:rsidR="00F76A63" w:rsidRDefault="00000000">
                  <w:pPr>
                    <w:jc w:val="center"/>
                    <w:rPr>
                      <w:szCs w:val="21"/>
                    </w:rPr>
                  </w:pPr>
                  <w:r>
                    <w:rPr>
                      <w:spacing w:val="6"/>
                      <w:szCs w:val="21"/>
                    </w:rPr>
                    <w:t>符合</w:t>
                  </w:r>
                </w:p>
              </w:tc>
            </w:tr>
            <w:tr w:rsidR="00F76A63" w14:paraId="0AE9D7D0" w14:textId="77777777">
              <w:trPr>
                <w:trHeight w:val="412"/>
                <w:jc w:val="center"/>
              </w:trPr>
              <w:tc>
                <w:tcPr>
                  <w:tcW w:w="625" w:type="dxa"/>
                  <w:vMerge/>
                  <w:tcBorders>
                    <w:left w:val="nil"/>
                    <w:right w:val="single" w:sz="2" w:space="0" w:color="000000"/>
                  </w:tcBorders>
                  <w:vAlign w:val="center"/>
                </w:tcPr>
                <w:p w14:paraId="74A3455F" w14:textId="77777777" w:rsidR="00F76A63" w:rsidRDefault="00F76A63">
                  <w:pPr>
                    <w:jc w:val="center"/>
                    <w:rPr>
                      <w:szCs w:val="21"/>
                    </w:rPr>
                  </w:pPr>
                </w:p>
              </w:tc>
              <w:tc>
                <w:tcPr>
                  <w:tcW w:w="1014" w:type="dxa"/>
                  <w:vMerge/>
                  <w:tcBorders>
                    <w:left w:val="single" w:sz="2" w:space="0" w:color="000000"/>
                    <w:right w:val="single" w:sz="2" w:space="0" w:color="000000"/>
                  </w:tcBorders>
                  <w:vAlign w:val="center"/>
                </w:tcPr>
                <w:p w14:paraId="36A93B48" w14:textId="77777777" w:rsidR="00F76A63" w:rsidRDefault="00F76A63">
                  <w:pPr>
                    <w:jc w:val="center"/>
                    <w:rPr>
                      <w:szCs w:val="21"/>
                    </w:rPr>
                  </w:pPr>
                </w:p>
              </w:tc>
              <w:tc>
                <w:tcPr>
                  <w:tcW w:w="981" w:type="dxa"/>
                  <w:vMerge/>
                  <w:tcBorders>
                    <w:left w:val="single" w:sz="2" w:space="0" w:color="000000"/>
                    <w:right w:val="single" w:sz="2" w:space="0" w:color="000000"/>
                  </w:tcBorders>
                  <w:vAlign w:val="center"/>
                </w:tcPr>
                <w:p w14:paraId="1554170B"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604CB5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）主燃烧器投加设施应采用多通道燃烧器，并配备泵力或气力输送装置；窑门罩投加设施应配备泵力输送装置，并在窑门罩的适</w:t>
                  </w:r>
                  <w:r>
                    <w:rPr>
                      <w:rFonts w:ascii="Times New Roman" w:hAnsi="Times New Roman" w:cs="Times New Roman"/>
                      <w:color w:val="auto"/>
                      <w:spacing w:val="9"/>
                      <w:sz w:val="21"/>
                      <w:szCs w:val="21"/>
                    </w:rPr>
                    <w:t>当位置开设投料口。</w:t>
                  </w:r>
                </w:p>
              </w:tc>
              <w:tc>
                <w:tcPr>
                  <w:tcW w:w="3306" w:type="dxa"/>
                  <w:vMerge/>
                  <w:tcBorders>
                    <w:left w:val="single" w:sz="2" w:space="0" w:color="000000"/>
                    <w:right w:val="single" w:sz="2" w:space="0" w:color="000000"/>
                  </w:tcBorders>
                  <w:vAlign w:val="center"/>
                </w:tcPr>
                <w:p w14:paraId="10F91030"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DEEBD88" w14:textId="77777777" w:rsidR="00F76A63" w:rsidRDefault="00F76A63">
                  <w:pPr>
                    <w:jc w:val="center"/>
                    <w:rPr>
                      <w:szCs w:val="21"/>
                    </w:rPr>
                  </w:pPr>
                </w:p>
              </w:tc>
            </w:tr>
            <w:tr w:rsidR="00F76A63" w14:paraId="76E53669" w14:textId="77777777">
              <w:trPr>
                <w:trHeight w:val="412"/>
                <w:jc w:val="center"/>
              </w:trPr>
              <w:tc>
                <w:tcPr>
                  <w:tcW w:w="625" w:type="dxa"/>
                  <w:vMerge/>
                  <w:tcBorders>
                    <w:left w:val="nil"/>
                    <w:right w:val="single" w:sz="2" w:space="0" w:color="000000"/>
                  </w:tcBorders>
                  <w:vAlign w:val="center"/>
                </w:tcPr>
                <w:p w14:paraId="4808EC07" w14:textId="77777777" w:rsidR="00F76A63" w:rsidRDefault="00F76A63">
                  <w:pPr>
                    <w:jc w:val="center"/>
                    <w:rPr>
                      <w:szCs w:val="21"/>
                    </w:rPr>
                  </w:pPr>
                </w:p>
              </w:tc>
              <w:tc>
                <w:tcPr>
                  <w:tcW w:w="1014" w:type="dxa"/>
                  <w:vMerge/>
                  <w:tcBorders>
                    <w:left w:val="single" w:sz="2" w:space="0" w:color="000000"/>
                    <w:bottom w:val="single" w:sz="2" w:space="0" w:color="000000"/>
                    <w:right w:val="single" w:sz="2" w:space="0" w:color="000000"/>
                  </w:tcBorders>
                  <w:vAlign w:val="center"/>
                </w:tcPr>
                <w:p w14:paraId="19539B7E" w14:textId="77777777" w:rsidR="00F76A63" w:rsidRDefault="00F76A63">
                  <w:pPr>
                    <w:jc w:val="center"/>
                    <w:rPr>
                      <w:szCs w:val="21"/>
                    </w:rPr>
                  </w:pPr>
                </w:p>
              </w:tc>
              <w:tc>
                <w:tcPr>
                  <w:tcW w:w="981" w:type="dxa"/>
                  <w:vMerge/>
                  <w:tcBorders>
                    <w:left w:val="single" w:sz="2" w:space="0" w:color="000000"/>
                    <w:bottom w:val="single" w:sz="2" w:space="0" w:color="000000"/>
                    <w:right w:val="single" w:sz="2" w:space="0" w:color="000000"/>
                  </w:tcBorders>
                  <w:vAlign w:val="center"/>
                </w:tcPr>
                <w:p w14:paraId="3780E72C"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73157E0"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）窑尾投加设施应配备泵力、气力或机械传输带输送装置，并在窑尾烟室、上升烟道或分解炉的适当位置开设投料口；可对分解炉燃烧器的气固相通道进行适当改造，使之适合液态或小颗粒状</w:t>
                  </w:r>
                  <w:r>
                    <w:rPr>
                      <w:rFonts w:ascii="Times New Roman" w:hAnsi="Times New Roman" w:cs="Times New Roman"/>
                      <w:color w:val="auto"/>
                      <w:spacing w:val="11"/>
                      <w:sz w:val="21"/>
                      <w:szCs w:val="21"/>
                    </w:rPr>
                    <w:t>废物的输送和投加。</w:t>
                  </w:r>
                </w:p>
              </w:tc>
              <w:tc>
                <w:tcPr>
                  <w:tcW w:w="3306" w:type="dxa"/>
                  <w:vMerge/>
                  <w:tcBorders>
                    <w:left w:val="single" w:sz="2" w:space="0" w:color="000000"/>
                    <w:bottom w:val="single" w:sz="2" w:space="0" w:color="000000"/>
                    <w:right w:val="single" w:sz="2" w:space="0" w:color="000000"/>
                  </w:tcBorders>
                  <w:vAlign w:val="center"/>
                </w:tcPr>
                <w:p w14:paraId="6B0524DB"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3F63E8C2" w14:textId="77777777" w:rsidR="00F76A63" w:rsidRDefault="00F76A63">
                  <w:pPr>
                    <w:jc w:val="center"/>
                    <w:rPr>
                      <w:szCs w:val="21"/>
                    </w:rPr>
                  </w:pPr>
                </w:p>
              </w:tc>
            </w:tr>
            <w:tr w:rsidR="00F76A63" w14:paraId="4052B2AF" w14:textId="77777777">
              <w:trPr>
                <w:trHeight w:val="127"/>
                <w:jc w:val="center"/>
              </w:trPr>
              <w:tc>
                <w:tcPr>
                  <w:tcW w:w="625" w:type="dxa"/>
                  <w:vMerge/>
                  <w:tcBorders>
                    <w:left w:val="nil"/>
                    <w:right w:val="single" w:sz="2" w:space="0" w:color="000000"/>
                  </w:tcBorders>
                  <w:vAlign w:val="center"/>
                </w:tcPr>
                <w:p w14:paraId="5265557A"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148D0290"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4.3 </w:t>
                  </w:r>
                  <w:r>
                    <w:rPr>
                      <w:rFonts w:ascii="Times New Roman" w:hAnsi="Times New Roman" w:cs="Times New Roman"/>
                      <w:color w:val="auto"/>
                      <w:spacing w:val="3"/>
                      <w:sz w:val="21"/>
                      <w:szCs w:val="21"/>
                    </w:rPr>
                    <w:t>固体废物贮存设施</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0A80E9B"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10"/>
                      <w:sz w:val="21"/>
                      <w:szCs w:val="21"/>
                    </w:rPr>
                    <w:t>4.3.1</w:t>
                  </w:r>
                  <w:r>
                    <w:rPr>
                      <w:rFonts w:ascii="Times New Roman" w:hAnsi="Times New Roman" w:cs="Times New Roman"/>
                      <w:color w:val="auto"/>
                      <w:spacing w:val="42"/>
                      <w:sz w:val="21"/>
                      <w:szCs w:val="21"/>
                    </w:rPr>
                    <w:t xml:space="preserve"> </w:t>
                  </w:r>
                  <w:r>
                    <w:rPr>
                      <w:rFonts w:ascii="Times New Roman" w:hAnsi="Times New Roman" w:cs="Times New Roman"/>
                      <w:color w:val="auto"/>
                      <w:spacing w:val="10"/>
                      <w:sz w:val="21"/>
                      <w:szCs w:val="21"/>
                    </w:rPr>
                    <w:t>固体废物贮存设施应专门建设，</w:t>
                  </w:r>
                  <w:r>
                    <w:rPr>
                      <w:rFonts w:ascii="Times New Roman" w:hAnsi="Times New Roman" w:cs="Times New Roman"/>
                      <w:color w:val="auto"/>
                      <w:spacing w:val="-58"/>
                      <w:sz w:val="21"/>
                      <w:szCs w:val="21"/>
                    </w:rPr>
                    <w:t xml:space="preserve"> </w:t>
                  </w:r>
                  <w:r>
                    <w:rPr>
                      <w:rFonts w:ascii="Times New Roman" w:hAnsi="Times New Roman" w:cs="Times New Roman"/>
                      <w:color w:val="auto"/>
                      <w:spacing w:val="10"/>
                      <w:sz w:val="21"/>
                      <w:szCs w:val="21"/>
                    </w:rPr>
                    <w:t>以保证固体废物不与水泥生产原料、燃料和产品混合贮存。</w:t>
                  </w:r>
                </w:p>
              </w:tc>
              <w:tc>
                <w:tcPr>
                  <w:tcW w:w="3306" w:type="dxa"/>
                  <w:tcBorders>
                    <w:top w:val="single" w:sz="2" w:space="0" w:color="000000"/>
                    <w:left w:val="single" w:sz="2" w:space="0" w:color="000000"/>
                    <w:right w:val="single" w:sz="2" w:space="0" w:color="000000"/>
                  </w:tcBorders>
                  <w:vAlign w:val="center"/>
                </w:tcPr>
                <w:p w14:paraId="4A44FDF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本项目协同处置的</w:t>
                  </w:r>
                  <w:bookmarkStart w:id="45" w:name="OLE_LINK75"/>
                  <w:r>
                    <w:rPr>
                      <w:rFonts w:ascii="Times New Roman" w:hAnsi="Times New Roman" w:cs="Times New Roman" w:hint="eastAsia"/>
                      <w:color w:val="auto"/>
                      <w:spacing w:val="13"/>
                      <w:sz w:val="21"/>
                      <w:szCs w:val="21"/>
                    </w:rPr>
                    <w:t>污泥贮存在待建的原料、污染土大棚中，污染土贮存在污染土暂存库、</w:t>
                  </w:r>
                  <w:r>
                    <w:rPr>
                      <w:rFonts w:ascii="Times New Roman" w:hAnsi="Times New Roman" w:cs="Times New Roman" w:hint="eastAsia"/>
                      <w:color w:val="auto"/>
                      <w:spacing w:val="13"/>
                      <w:sz w:val="21"/>
                      <w:szCs w:val="21"/>
                    </w:rPr>
                    <w:lastRenderedPageBreak/>
                    <w:t>临时污染土贮存仓库及砂岩联合堆棚中</w:t>
                  </w:r>
                  <w:bookmarkEnd w:id="45"/>
                  <w:r>
                    <w:rPr>
                      <w:rFonts w:ascii="Times New Roman" w:hAnsi="Times New Roman" w:cs="Times New Roman"/>
                      <w:color w:val="auto"/>
                      <w:spacing w:val="2"/>
                      <w:sz w:val="21"/>
                      <w:szCs w:val="21"/>
                    </w:rPr>
                    <w:t>。</w:t>
                  </w:r>
                </w:p>
              </w:tc>
              <w:tc>
                <w:tcPr>
                  <w:tcW w:w="789" w:type="dxa"/>
                  <w:vMerge w:val="restart"/>
                  <w:tcBorders>
                    <w:top w:val="single" w:sz="2" w:space="0" w:color="000000"/>
                    <w:left w:val="single" w:sz="2" w:space="0" w:color="000000"/>
                    <w:right w:val="nil"/>
                  </w:tcBorders>
                  <w:vAlign w:val="center"/>
                </w:tcPr>
                <w:p w14:paraId="53CED1C7" w14:textId="77777777" w:rsidR="00F76A63" w:rsidRDefault="00000000">
                  <w:pPr>
                    <w:jc w:val="center"/>
                    <w:rPr>
                      <w:szCs w:val="21"/>
                    </w:rPr>
                  </w:pPr>
                  <w:r>
                    <w:rPr>
                      <w:spacing w:val="6"/>
                      <w:szCs w:val="21"/>
                    </w:rPr>
                    <w:lastRenderedPageBreak/>
                    <w:t>符合</w:t>
                  </w:r>
                </w:p>
              </w:tc>
            </w:tr>
            <w:tr w:rsidR="00F76A63" w14:paraId="299D913D" w14:textId="77777777">
              <w:trPr>
                <w:trHeight w:val="124"/>
                <w:jc w:val="center"/>
              </w:trPr>
              <w:tc>
                <w:tcPr>
                  <w:tcW w:w="625" w:type="dxa"/>
                  <w:vMerge/>
                  <w:tcBorders>
                    <w:left w:val="nil"/>
                    <w:right w:val="single" w:sz="2" w:space="0" w:color="000000"/>
                  </w:tcBorders>
                  <w:vAlign w:val="center"/>
                </w:tcPr>
                <w:p w14:paraId="3F9DB2EC"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FE5EF4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3199E68"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12"/>
                      <w:sz w:val="21"/>
                      <w:szCs w:val="21"/>
                    </w:rPr>
                    <w:t>4.3.2</w:t>
                  </w:r>
                  <w:r>
                    <w:rPr>
                      <w:rFonts w:ascii="Times New Roman" w:hAnsi="Times New Roman" w:cs="Times New Roman"/>
                      <w:color w:val="auto"/>
                      <w:spacing w:val="42"/>
                      <w:sz w:val="21"/>
                      <w:szCs w:val="21"/>
                    </w:rPr>
                    <w:t xml:space="preserve"> </w:t>
                  </w:r>
                  <w:r>
                    <w:rPr>
                      <w:rFonts w:ascii="Times New Roman" w:hAnsi="Times New Roman" w:cs="Times New Roman"/>
                      <w:color w:val="auto"/>
                      <w:spacing w:val="12"/>
                      <w:sz w:val="21"/>
                      <w:szCs w:val="21"/>
                    </w:rPr>
                    <w:t>固体废物贮存设施内应专门设置不明性质废物暂存区。不明性质废物暂存区</w:t>
                  </w:r>
                  <w:r>
                    <w:rPr>
                      <w:rFonts w:ascii="Times New Roman" w:hAnsi="Times New Roman" w:cs="Times New Roman"/>
                      <w:color w:val="auto"/>
                      <w:spacing w:val="13"/>
                      <w:sz w:val="21"/>
                      <w:szCs w:val="21"/>
                    </w:rPr>
                    <w:t>应与其他固体废物贮存区隔离，并设有专门的存取</w:t>
                  </w:r>
                  <w:r>
                    <w:rPr>
                      <w:rFonts w:ascii="Times New Roman" w:hAnsi="Times New Roman" w:cs="Times New Roman"/>
                      <w:color w:val="auto"/>
                      <w:spacing w:val="12"/>
                      <w:sz w:val="21"/>
                      <w:szCs w:val="21"/>
                    </w:rPr>
                    <w:t>通道。</w:t>
                  </w:r>
                </w:p>
              </w:tc>
              <w:tc>
                <w:tcPr>
                  <w:tcW w:w="3306" w:type="dxa"/>
                  <w:tcBorders>
                    <w:left w:val="single" w:sz="2" w:space="0" w:color="000000"/>
                    <w:right w:val="single" w:sz="2" w:space="0" w:color="000000"/>
                  </w:tcBorders>
                  <w:vAlign w:val="center"/>
                </w:tcPr>
                <w:p w14:paraId="18DEE249"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本项目不涉及不明物质。</w:t>
                  </w:r>
                </w:p>
              </w:tc>
              <w:tc>
                <w:tcPr>
                  <w:tcW w:w="789" w:type="dxa"/>
                  <w:vMerge/>
                  <w:tcBorders>
                    <w:left w:val="single" w:sz="2" w:space="0" w:color="000000"/>
                    <w:right w:val="nil"/>
                  </w:tcBorders>
                  <w:vAlign w:val="center"/>
                </w:tcPr>
                <w:p w14:paraId="399BD094" w14:textId="77777777" w:rsidR="00F76A63" w:rsidRDefault="00F76A63">
                  <w:pPr>
                    <w:jc w:val="center"/>
                    <w:rPr>
                      <w:szCs w:val="21"/>
                    </w:rPr>
                  </w:pPr>
                </w:p>
              </w:tc>
            </w:tr>
            <w:tr w:rsidR="00F76A63" w14:paraId="3107F941" w14:textId="77777777">
              <w:trPr>
                <w:trHeight w:val="124"/>
                <w:jc w:val="center"/>
              </w:trPr>
              <w:tc>
                <w:tcPr>
                  <w:tcW w:w="625" w:type="dxa"/>
                  <w:vMerge/>
                  <w:tcBorders>
                    <w:left w:val="nil"/>
                    <w:right w:val="single" w:sz="2" w:space="0" w:color="000000"/>
                  </w:tcBorders>
                  <w:vAlign w:val="center"/>
                </w:tcPr>
                <w:p w14:paraId="1CD991FA"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1C1DBDD"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51CA86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4.3.3</w:t>
                  </w:r>
                  <w:r>
                    <w:rPr>
                      <w:rFonts w:ascii="Times New Roman" w:hAnsi="Times New Roman" w:cs="Times New Roman"/>
                      <w:color w:val="auto"/>
                      <w:spacing w:val="44"/>
                      <w:sz w:val="21"/>
                      <w:szCs w:val="21"/>
                    </w:rPr>
                    <w:t xml:space="preserve"> </w:t>
                  </w:r>
                  <w:r>
                    <w:rPr>
                      <w:rFonts w:ascii="Times New Roman" w:hAnsi="Times New Roman" w:cs="Times New Roman"/>
                      <w:color w:val="auto"/>
                      <w:spacing w:val="11"/>
                      <w:sz w:val="21"/>
                      <w:szCs w:val="21"/>
                    </w:rPr>
                    <w:t>固体废物贮存设施应符合</w:t>
                  </w:r>
                  <w:r>
                    <w:rPr>
                      <w:rFonts w:ascii="Times New Roman" w:hAnsi="Times New Roman" w:cs="Times New Roman"/>
                      <w:color w:val="auto"/>
                      <w:sz w:val="21"/>
                      <w:szCs w:val="21"/>
                    </w:rPr>
                    <w:t>GB</w:t>
                  </w:r>
                  <w:r>
                    <w:rPr>
                      <w:rFonts w:ascii="Times New Roman" w:hAnsi="Times New Roman" w:cs="Times New Roman"/>
                      <w:color w:val="auto"/>
                      <w:spacing w:val="11"/>
                      <w:sz w:val="21"/>
                      <w:szCs w:val="21"/>
                    </w:rPr>
                    <w:t>50016</w:t>
                  </w:r>
                  <w:r>
                    <w:rPr>
                      <w:rFonts w:ascii="Times New Roman" w:hAnsi="Times New Roman" w:cs="Times New Roman"/>
                      <w:color w:val="auto"/>
                      <w:spacing w:val="11"/>
                      <w:sz w:val="21"/>
                      <w:szCs w:val="21"/>
                    </w:rPr>
                    <w:t>等相关消防规范的要求。与水泥窑窑</w:t>
                  </w:r>
                  <w:r>
                    <w:rPr>
                      <w:rFonts w:ascii="Times New Roman" w:hAnsi="Times New Roman" w:cs="Times New Roman"/>
                      <w:color w:val="auto"/>
                      <w:spacing w:val="14"/>
                      <w:sz w:val="21"/>
                      <w:szCs w:val="21"/>
                    </w:rPr>
                    <w:t>体、分解炉和预热器保持一定的安全距离；贮存</w:t>
                  </w:r>
                  <w:r>
                    <w:rPr>
                      <w:rFonts w:ascii="Times New Roman" w:hAnsi="Times New Roman" w:cs="Times New Roman"/>
                      <w:color w:val="auto"/>
                      <w:spacing w:val="13"/>
                      <w:sz w:val="21"/>
                      <w:szCs w:val="21"/>
                    </w:rPr>
                    <w:t>设施内应张贴严禁烟火的明显标</w:t>
                  </w:r>
                  <w:r>
                    <w:rPr>
                      <w:rFonts w:ascii="Times New Roman" w:hAnsi="Times New Roman" w:cs="Times New Roman"/>
                      <w:color w:val="auto"/>
                      <w:spacing w:val="14"/>
                      <w:sz w:val="21"/>
                      <w:szCs w:val="21"/>
                    </w:rPr>
                    <w:t>识；应根据固体废物特性、贮存和卸载区条件配</w:t>
                  </w:r>
                  <w:r>
                    <w:rPr>
                      <w:rFonts w:ascii="Times New Roman" w:hAnsi="Times New Roman" w:cs="Times New Roman"/>
                      <w:color w:val="auto"/>
                      <w:spacing w:val="13"/>
                      <w:sz w:val="21"/>
                      <w:szCs w:val="21"/>
                    </w:rPr>
                    <w:t>置相应的消防警报设备和灭火药</w:t>
                  </w:r>
                  <w:r>
                    <w:rPr>
                      <w:rFonts w:ascii="Times New Roman" w:hAnsi="Times New Roman" w:cs="Times New Roman"/>
                      <w:color w:val="auto"/>
                      <w:spacing w:val="14"/>
                      <w:sz w:val="21"/>
                      <w:szCs w:val="21"/>
                    </w:rPr>
                    <w:t>剂；贮存设施中的电子设备应接地，并装备抗静</w:t>
                  </w:r>
                  <w:r>
                    <w:rPr>
                      <w:rFonts w:ascii="Times New Roman" w:hAnsi="Times New Roman" w:cs="Times New Roman"/>
                      <w:color w:val="auto"/>
                      <w:spacing w:val="13"/>
                      <w:sz w:val="21"/>
                      <w:szCs w:val="21"/>
                    </w:rPr>
                    <w:t>电设备；应设置防爆通讯设备并</w:t>
                  </w:r>
                  <w:r>
                    <w:rPr>
                      <w:rFonts w:ascii="Times New Roman" w:hAnsi="Times New Roman" w:cs="Times New Roman"/>
                      <w:color w:val="auto"/>
                      <w:spacing w:val="10"/>
                      <w:sz w:val="21"/>
                      <w:szCs w:val="21"/>
                    </w:rPr>
                    <w:t>保持通畅完好。</w:t>
                  </w:r>
                </w:p>
              </w:tc>
              <w:tc>
                <w:tcPr>
                  <w:tcW w:w="3306" w:type="dxa"/>
                  <w:tcBorders>
                    <w:left w:val="single" w:sz="2" w:space="0" w:color="000000"/>
                    <w:right w:val="single" w:sz="2" w:space="0" w:color="000000"/>
                  </w:tcBorders>
                  <w:vAlign w:val="center"/>
                </w:tcPr>
                <w:p w14:paraId="1774EEE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一般固废贮存设施符合</w:t>
                  </w:r>
                  <w:r>
                    <w:rPr>
                      <w:rFonts w:ascii="Times New Roman" w:hAnsi="Times New Roman" w:cs="Times New Roman"/>
                      <w:color w:val="auto"/>
                      <w:spacing w:val="-30"/>
                      <w:sz w:val="21"/>
                      <w:szCs w:val="21"/>
                    </w:rPr>
                    <w:t xml:space="preserve"> </w:t>
                  </w:r>
                  <w:r>
                    <w:rPr>
                      <w:rFonts w:ascii="Times New Roman" w:hAnsi="Times New Roman" w:cs="Times New Roman"/>
                      <w:color w:val="auto"/>
                      <w:sz w:val="21"/>
                      <w:szCs w:val="21"/>
                    </w:rPr>
                    <w:t>GB</w:t>
                  </w:r>
                  <w:r>
                    <w:rPr>
                      <w:rFonts w:ascii="Times New Roman" w:hAnsi="Times New Roman" w:cs="Times New Roman"/>
                      <w:color w:val="auto"/>
                      <w:spacing w:val="12"/>
                      <w:sz w:val="21"/>
                      <w:szCs w:val="21"/>
                    </w:rPr>
                    <w:t>50016</w:t>
                  </w:r>
                  <w:r>
                    <w:rPr>
                      <w:rFonts w:ascii="Times New Roman" w:hAnsi="Times New Roman" w:cs="Times New Roman"/>
                      <w:color w:val="auto"/>
                      <w:spacing w:val="12"/>
                      <w:sz w:val="21"/>
                      <w:szCs w:val="21"/>
                    </w:rPr>
                    <w:t>等相关消防规范的要求。贮存和卸载区条件配置相应的消防警报设备和灭火药剂；贮存设施中的电子设备接</w:t>
                  </w:r>
                  <w:r>
                    <w:rPr>
                      <w:rFonts w:ascii="Times New Roman" w:hAnsi="Times New Roman" w:cs="Times New Roman"/>
                      <w:color w:val="auto"/>
                      <w:spacing w:val="13"/>
                      <w:sz w:val="21"/>
                      <w:szCs w:val="21"/>
                    </w:rPr>
                    <w:t>地，并装备抗静电设备；设置防爆通</w:t>
                  </w:r>
                  <w:r>
                    <w:rPr>
                      <w:rFonts w:ascii="Times New Roman" w:hAnsi="Times New Roman" w:cs="Times New Roman"/>
                      <w:color w:val="auto"/>
                      <w:spacing w:val="11"/>
                      <w:sz w:val="21"/>
                      <w:szCs w:val="21"/>
                    </w:rPr>
                    <w:t>讯设备并保持通畅完好。</w:t>
                  </w:r>
                </w:p>
              </w:tc>
              <w:tc>
                <w:tcPr>
                  <w:tcW w:w="789" w:type="dxa"/>
                  <w:vMerge/>
                  <w:tcBorders>
                    <w:left w:val="single" w:sz="2" w:space="0" w:color="000000"/>
                    <w:right w:val="nil"/>
                  </w:tcBorders>
                  <w:vAlign w:val="center"/>
                </w:tcPr>
                <w:p w14:paraId="7BFCEC73" w14:textId="77777777" w:rsidR="00F76A63" w:rsidRDefault="00F76A63">
                  <w:pPr>
                    <w:jc w:val="center"/>
                    <w:rPr>
                      <w:szCs w:val="21"/>
                    </w:rPr>
                  </w:pPr>
                </w:p>
              </w:tc>
            </w:tr>
            <w:tr w:rsidR="00F76A63" w14:paraId="63245C46" w14:textId="77777777">
              <w:trPr>
                <w:trHeight w:val="124"/>
                <w:jc w:val="center"/>
              </w:trPr>
              <w:tc>
                <w:tcPr>
                  <w:tcW w:w="625" w:type="dxa"/>
                  <w:vMerge/>
                  <w:tcBorders>
                    <w:left w:val="nil"/>
                    <w:right w:val="single" w:sz="2" w:space="0" w:color="000000"/>
                  </w:tcBorders>
                  <w:vAlign w:val="center"/>
                </w:tcPr>
                <w:p w14:paraId="19F207A9"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51C9816"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5037EF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4.3.4</w:t>
                  </w:r>
                  <w:r>
                    <w:rPr>
                      <w:rFonts w:ascii="Times New Roman" w:hAnsi="Times New Roman" w:cs="Times New Roman"/>
                      <w:color w:val="auto"/>
                      <w:spacing w:val="40"/>
                      <w:sz w:val="21"/>
                      <w:szCs w:val="21"/>
                    </w:rPr>
                    <w:t xml:space="preserve"> </w:t>
                  </w:r>
                  <w:r>
                    <w:rPr>
                      <w:rFonts w:ascii="Times New Roman" w:hAnsi="Times New Roman" w:cs="Times New Roman"/>
                      <w:color w:val="auto"/>
                      <w:spacing w:val="11"/>
                      <w:sz w:val="21"/>
                      <w:szCs w:val="21"/>
                    </w:rPr>
                    <w:t>危险废物贮存设施的设计、安全防护、污染防治等应满足</w:t>
                  </w:r>
                  <w:r>
                    <w:rPr>
                      <w:rFonts w:ascii="Times New Roman" w:hAnsi="Times New Roman" w:cs="Times New Roman"/>
                      <w:color w:val="auto"/>
                      <w:sz w:val="21"/>
                      <w:szCs w:val="21"/>
                    </w:rPr>
                    <w:t>GB</w:t>
                  </w:r>
                  <w:r>
                    <w:rPr>
                      <w:rFonts w:ascii="Times New Roman" w:hAnsi="Times New Roman" w:cs="Times New Roman"/>
                      <w:color w:val="auto"/>
                      <w:spacing w:val="11"/>
                      <w:sz w:val="21"/>
                      <w:szCs w:val="21"/>
                    </w:rPr>
                    <w:t>18597</w:t>
                  </w:r>
                  <w:r>
                    <w:rPr>
                      <w:rFonts w:ascii="Times New Roman" w:hAnsi="Times New Roman" w:cs="Times New Roman"/>
                      <w:color w:val="auto"/>
                      <w:spacing w:val="11"/>
                      <w:sz w:val="21"/>
                      <w:szCs w:val="21"/>
                    </w:rPr>
                    <w:t>和</w:t>
                  </w:r>
                  <w:r>
                    <w:rPr>
                      <w:rFonts w:ascii="Times New Roman" w:hAnsi="Times New Roman" w:cs="Times New Roman"/>
                      <w:color w:val="auto"/>
                      <w:sz w:val="21"/>
                      <w:szCs w:val="21"/>
                    </w:rPr>
                    <w:t>HJ</w:t>
                  </w:r>
                  <w:r>
                    <w:rPr>
                      <w:rFonts w:ascii="Times New Roman" w:hAnsi="Times New Roman" w:cs="Times New Roman"/>
                      <w:color w:val="auto"/>
                      <w:spacing w:val="13"/>
                      <w:sz w:val="21"/>
                      <w:szCs w:val="21"/>
                    </w:rPr>
                    <w:t>/T176</w:t>
                  </w:r>
                  <w:r>
                    <w:rPr>
                      <w:rFonts w:ascii="Times New Roman" w:hAnsi="Times New Roman" w:cs="Times New Roman"/>
                      <w:color w:val="auto"/>
                      <w:spacing w:val="13"/>
                      <w:sz w:val="21"/>
                      <w:szCs w:val="21"/>
                    </w:rPr>
                    <w:t>中的相关要求；危险废物贮存区</w:t>
                  </w:r>
                  <w:r>
                    <w:rPr>
                      <w:rFonts w:ascii="Times New Roman" w:hAnsi="Times New Roman" w:cs="Times New Roman"/>
                      <w:color w:val="auto"/>
                      <w:spacing w:val="12"/>
                      <w:sz w:val="21"/>
                      <w:szCs w:val="21"/>
                    </w:rPr>
                    <w:t>应标有明确的安全警告和清晰的撤离路</w:t>
                  </w:r>
                  <w:r>
                    <w:rPr>
                      <w:rFonts w:ascii="Times New Roman" w:hAnsi="Times New Roman" w:cs="Times New Roman"/>
                      <w:color w:val="auto"/>
                      <w:spacing w:val="13"/>
                      <w:sz w:val="21"/>
                      <w:szCs w:val="21"/>
                    </w:rPr>
                    <w:t>线；危险废物贮存区及附近应配备紧急人体清洗冲淋设施，并标明用途。</w:t>
                  </w:r>
                </w:p>
              </w:tc>
              <w:tc>
                <w:tcPr>
                  <w:tcW w:w="3306" w:type="dxa"/>
                  <w:tcBorders>
                    <w:left w:val="single" w:sz="2" w:space="0" w:color="000000"/>
                    <w:right w:val="single" w:sz="2" w:space="0" w:color="000000"/>
                  </w:tcBorders>
                  <w:vAlign w:val="center"/>
                </w:tcPr>
                <w:p w14:paraId="522A0CF6"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2"/>
                      <w:sz w:val="21"/>
                      <w:szCs w:val="21"/>
                    </w:rPr>
                    <w:t>本项目不涉及协同处置危险废物。</w:t>
                  </w:r>
                </w:p>
              </w:tc>
              <w:tc>
                <w:tcPr>
                  <w:tcW w:w="789" w:type="dxa"/>
                  <w:vMerge/>
                  <w:tcBorders>
                    <w:left w:val="single" w:sz="2" w:space="0" w:color="000000"/>
                    <w:right w:val="nil"/>
                  </w:tcBorders>
                  <w:vAlign w:val="center"/>
                </w:tcPr>
                <w:p w14:paraId="32402DA8" w14:textId="77777777" w:rsidR="00F76A63" w:rsidRDefault="00F76A63">
                  <w:pPr>
                    <w:jc w:val="center"/>
                    <w:rPr>
                      <w:szCs w:val="21"/>
                    </w:rPr>
                  </w:pPr>
                </w:p>
              </w:tc>
            </w:tr>
            <w:tr w:rsidR="00F76A63" w14:paraId="573C8D9C" w14:textId="77777777">
              <w:trPr>
                <w:trHeight w:val="75"/>
                <w:jc w:val="center"/>
              </w:trPr>
              <w:tc>
                <w:tcPr>
                  <w:tcW w:w="625" w:type="dxa"/>
                  <w:vMerge/>
                  <w:tcBorders>
                    <w:left w:val="nil"/>
                    <w:right w:val="single" w:sz="2" w:space="0" w:color="000000"/>
                  </w:tcBorders>
                  <w:vAlign w:val="center"/>
                </w:tcPr>
                <w:p w14:paraId="04F4C5E5"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3D589B36"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B47493A" w14:textId="77777777" w:rsidR="00F76A63" w:rsidRDefault="00000000">
                  <w:pPr>
                    <w:pStyle w:val="TableText"/>
                    <w:jc w:val="center"/>
                    <w:rPr>
                      <w:rFonts w:ascii="Times New Roman" w:hAnsi="Times New Roman" w:cs="Times New Roman"/>
                      <w:color w:val="auto"/>
                      <w:spacing w:val="12"/>
                      <w:sz w:val="21"/>
                      <w:szCs w:val="21"/>
                    </w:rPr>
                  </w:pPr>
                  <w:r>
                    <w:rPr>
                      <w:rFonts w:ascii="Times New Roman" w:hAnsi="Times New Roman" w:cs="Times New Roman"/>
                      <w:color w:val="auto"/>
                      <w:spacing w:val="12"/>
                      <w:sz w:val="21"/>
                      <w:szCs w:val="21"/>
                    </w:rPr>
                    <w:t xml:space="preserve">4.3.5 </w:t>
                  </w:r>
                  <w:r>
                    <w:rPr>
                      <w:rFonts w:ascii="Times New Roman" w:hAnsi="Times New Roman" w:cs="Times New Roman"/>
                      <w:color w:val="auto"/>
                      <w:spacing w:val="12"/>
                      <w:sz w:val="21"/>
                      <w:szCs w:val="21"/>
                    </w:rPr>
                    <w:t>生活垃圾和城市污水处理厂污泥的贮存设施应有良好的防渗性能并设置污水收集装置；贮存设施应采用封闭措施，保证其中有生活垃圾或污泥存放时处于负压状态；贮存设施内抽取的空气应导入水泥窑高温区焚烧处理，或经过其他处理措施达标后排放。</w:t>
                  </w:r>
                </w:p>
              </w:tc>
              <w:tc>
                <w:tcPr>
                  <w:tcW w:w="3306" w:type="dxa"/>
                  <w:tcBorders>
                    <w:left w:val="single" w:sz="2" w:space="0" w:color="000000"/>
                    <w:right w:val="single" w:sz="2" w:space="0" w:color="000000"/>
                  </w:tcBorders>
                  <w:vAlign w:val="center"/>
                </w:tcPr>
                <w:p w14:paraId="48D0EB0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本项目协同处置的</w:t>
                  </w:r>
                  <w:r>
                    <w:rPr>
                      <w:rFonts w:ascii="Times New Roman" w:hAnsi="Times New Roman" w:cs="Times New Roman" w:hint="eastAsia"/>
                      <w:color w:val="auto"/>
                      <w:spacing w:val="13"/>
                      <w:sz w:val="21"/>
                      <w:szCs w:val="21"/>
                    </w:rPr>
                    <w:t>污泥贮存在待建的原料、污染土大棚中，污染土贮存在污染土暂存库、临时污染土贮存仓库及砂岩联合堆棚中</w:t>
                  </w:r>
                  <w:r>
                    <w:rPr>
                      <w:rFonts w:ascii="Times New Roman" w:hAnsi="Times New Roman" w:cs="Times New Roman"/>
                      <w:color w:val="auto"/>
                      <w:spacing w:val="13"/>
                      <w:sz w:val="21"/>
                      <w:szCs w:val="21"/>
                    </w:rPr>
                    <w:t>，贮存仓库及堆棚均采用密闭设计，贮存废气负压收集，处理达标后排放。</w:t>
                  </w:r>
                </w:p>
              </w:tc>
              <w:tc>
                <w:tcPr>
                  <w:tcW w:w="789" w:type="dxa"/>
                  <w:vMerge/>
                  <w:tcBorders>
                    <w:left w:val="single" w:sz="2" w:space="0" w:color="000000"/>
                    <w:right w:val="nil"/>
                  </w:tcBorders>
                  <w:vAlign w:val="center"/>
                </w:tcPr>
                <w:p w14:paraId="11D5EEF3" w14:textId="77777777" w:rsidR="00F76A63" w:rsidRDefault="00F76A63">
                  <w:pPr>
                    <w:jc w:val="center"/>
                    <w:rPr>
                      <w:szCs w:val="21"/>
                    </w:rPr>
                  </w:pPr>
                </w:p>
              </w:tc>
            </w:tr>
            <w:tr w:rsidR="00F76A63" w14:paraId="0B69B96E" w14:textId="77777777">
              <w:trPr>
                <w:trHeight w:val="124"/>
                <w:jc w:val="center"/>
              </w:trPr>
              <w:tc>
                <w:tcPr>
                  <w:tcW w:w="625" w:type="dxa"/>
                  <w:vMerge/>
                  <w:tcBorders>
                    <w:left w:val="nil"/>
                    <w:right w:val="single" w:sz="2" w:space="0" w:color="000000"/>
                  </w:tcBorders>
                  <w:vAlign w:val="center"/>
                </w:tcPr>
                <w:p w14:paraId="49116F64"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3CEB2160"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36C35BF"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4.3.6 </w:t>
                  </w:r>
                  <w:r>
                    <w:rPr>
                      <w:rFonts w:ascii="Times New Roman" w:hAnsi="Times New Roman" w:cs="Times New Roman"/>
                      <w:color w:val="auto"/>
                      <w:spacing w:val="3"/>
                      <w:sz w:val="21"/>
                      <w:szCs w:val="21"/>
                    </w:rPr>
                    <w:t>除第</w:t>
                  </w:r>
                  <w:r>
                    <w:rPr>
                      <w:rFonts w:ascii="Times New Roman" w:hAnsi="Times New Roman" w:cs="Times New Roman"/>
                      <w:color w:val="auto"/>
                      <w:spacing w:val="3"/>
                      <w:sz w:val="21"/>
                      <w:szCs w:val="21"/>
                    </w:rPr>
                    <w:t>4.3.4</w:t>
                  </w:r>
                  <w:r>
                    <w:rPr>
                      <w:rFonts w:ascii="Times New Roman" w:hAnsi="Times New Roman" w:cs="Times New Roman"/>
                      <w:color w:val="auto"/>
                      <w:spacing w:val="3"/>
                      <w:sz w:val="21"/>
                      <w:szCs w:val="21"/>
                    </w:rPr>
                    <w:t>和</w:t>
                  </w:r>
                  <w:r>
                    <w:rPr>
                      <w:rFonts w:ascii="Times New Roman" w:hAnsi="Times New Roman" w:cs="Times New Roman"/>
                      <w:color w:val="auto"/>
                      <w:spacing w:val="3"/>
                      <w:sz w:val="21"/>
                      <w:szCs w:val="21"/>
                    </w:rPr>
                    <w:t>4.3.5</w:t>
                  </w:r>
                  <w:r>
                    <w:rPr>
                      <w:rFonts w:ascii="Times New Roman" w:hAnsi="Times New Roman" w:cs="Times New Roman"/>
                      <w:color w:val="auto"/>
                      <w:spacing w:val="3"/>
                      <w:sz w:val="21"/>
                      <w:szCs w:val="21"/>
                    </w:rPr>
                    <w:t>两条规定之外的其他固体废物贮存设施应有良好的防渗性能，以及必要的防雨、防尘功能。</w:t>
                  </w:r>
                </w:p>
              </w:tc>
              <w:tc>
                <w:tcPr>
                  <w:tcW w:w="3306" w:type="dxa"/>
                  <w:tcBorders>
                    <w:left w:val="single" w:sz="2" w:space="0" w:color="000000"/>
                    <w:bottom w:val="single" w:sz="2" w:space="0" w:color="000000"/>
                    <w:right w:val="single" w:sz="2" w:space="0" w:color="000000"/>
                  </w:tcBorders>
                  <w:vAlign w:val="center"/>
                </w:tcPr>
                <w:p w14:paraId="09569A03"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本项目一般固废设施有良好的防渗性能，以及防雨、防尘功能。</w:t>
                  </w:r>
                </w:p>
              </w:tc>
              <w:tc>
                <w:tcPr>
                  <w:tcW w:w="789" w:type="dxa"/>
                  <w:vMerge/>
                  <w:tcBorders>
                    <w:left w:val="single" w:sz="2" w:space="0" w:color="000000"/>
                    <w:bottom w:val="single" w:sz="2" w:space="0" w:color="000000"/>
                    <w:right w:val="nil"/>
                  </w:tcBorders>
                  <w:vAlign w:val="center"/>
                </w:tcPr>
                <w:p w14:paraId="5A5F0C5A" w14:textId="77777777" w:rsidR="00F76A63" w:rsidRDefault="00F76A63">
                  <w:pPr>
                    <w:jc w:val="center"/>
                    <w:rPr>
                      <w:szCs w:val="21"/>
                    </w:rPr>
                  </w:pPr>
                </w:p>
              </w:tc>
            </w:tr>
            <w:tr w:rsidR="00F76A63" w14:paraId="56232609" w14:textId="77777777">
              <w:trPr>
                <w:trHeight w:val="151"/>
                <w:jc w:val="center"/>
              </w:trPr>
              <w:tc>
                <w:tcPr>
                  <w:tcW w:w="625" w:type="dxa"/>
                  <w:vMerge/>
                  <w:tcBorders>
                    <w:left w:val="nil"/>
                    <w:right w:val="single" w:sz="2" w:space="0" w:color="000000"/>
                  </w:tcBorders>
                  <w:vAlign w:val="center"/>
                </w:tcPr>
                <w:p w14:paraId="71FB778A"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5725ED61"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4.4 </w:t>
                  </w:r>
                  <w:r>
                    <w:rPr>
                      <w:rFonts w:ascii="Times New Roman" w:hAnsi="Times New Roman" w:cs="Times New Roman"/>
                      <w:color w:val="auto"/>
                      <w:spacing w:val="3"/>
                      <w:sz w:val="21"/>
                      <w:szCs w:val="21"/>
                    </w:rPr>
                    <w:t>固体废物预处理设施</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510930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4.4.1 </w:t>
                  </w:r>
                  <w:r>
                    <w:rPr>
                      <w:rFonts w:ascii="Times New Roman" w:hAnsi="Times New Roman" w:cs="Times New Roman"/>
                      <w:color w:val="auto"/>
                      <w:spacing w:val="11"/>
                      <w:sz w:val="21"/>
                      <w:szCs w:val="21"/>
                    </w:rPr>
                    <w:t>固体废物的破碎、研磨、混合搅拌等预处理设施有较好的密闭性，并保证与</w:t>
                  </w:r>
                  <w:r>
                    <w:rPr>
                      <w:rFonts w:ascii="Times New Roman" w:hAnsi="Times New Roman" w:cs="Times New Roman"/>
                      <w:color w:val="auto"/>
                      <w:spacing w:val="14"/>
                      <w:sz w:val="21"/>
                      <w:szCs w:val="21"/>
                    </w:rPr>
                    <w:t>操作人员隔离；含挥发性和半挥发性有毒有害成分</w:t>
                  </w:r>
                  <w:r>
                    <w:rPr>
                      <w:rFonts w:ascii="Times New Roman" w:hAnsi="Times New Roman" w:cs="Times New Roman"/>
                      <w:color w:val="auto"/>
                      <w:spacing w:val="13"/>
                      <w:sz w:val="21"/>
                      <w:szCs w:val="21"/>
                    </w:rPr>
                    <w:t>的固体废物的预处理设施应布</w:t>
                  </w:r>
                  <w:r>
                    <w:rPr>
                      <w:rFonts w:ascii="Times New Roman" w:hAnsi="Times New Roman" w:cs="Times New Roman"/>
                      <w:color w:val="auto"/>
                      <w:spacing w:val="14"/>
                      <w:sz w:val="21"/>
                      <w:szCs w:val="21"/>
                    </w:rPr>
                    <w:t>置在室内车间，车间内应设置通风换气装置，排出气</w:t>
                  </w:r>
                  <w:r>
                    <w:rPr>
                      <w:rFonts w:ascii="Times New Roman" w:hAnsi="Times New Roman" w:cs="Times New Roman"/>
                      <w:color w:val="auto"/>
                      <w:spacing w:val="13"/>
                      <w:sz w:val="21"/>
                      <w:szCs w:val="21"/>
                    </w:rPr>
                    <w:t>体应通过处理后排放或倒入</w:t>
                  </w:r>
                  <w:r>
                    <w:rPr>
                      <w:rFonts w:ascii="Times New Roman" w:hAnsi="Times New Roman" w:cs="Times New Roman"/>
                      <w:color w:val="auto"/>
                      <w:spacing w:val="10"/>
                      <w:sz w:val="21"/>
                      <w:szCs w:val="21"/>
                    </w:rPr>
                    <w:t>水泥窑高温区焚烧。</w:t>
                  </w:r>
                </w:p>
              </w:tc>
              <w:tc>
                <w:tcPr>
                  <w:tcW w:w="3306" w:type="dxa"/>
                  <w:tcBorders>
                    <w:top w:val="single" w:sz="2" w:space="0" w:color="000000"/>
                    <w:left w:val="single" w:sz="2" w:space="0" w:color="000000"/>
                    <w:right w:val="single" w:sz="2" w:space="0" w:color="000000"/>
                  </w:tcBorders>
                  <w:vAlign w:val="center"/>
                </w:tcPr>
                <w:p w14:paraId="47E4755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本项目不涉及固废的预处理</w:t>
                  </w:r>
                  <w:r>
                    <w:rPr>
                      <w:rFonts w:ascii="Times New Roman" w:hAnsi="Times New Roman" w:cs="Times New Roman"/>
                      <w:color w:val="auto"/>
                      <w:spacing w:val="4"/>
                      <w:sz w:val="21"/>
                      <w:szCs w:val="21"/>
                    </w:rPr>
                    <w:t>。</w:t>
                  </w:r>
                </w:p>
              </w:tc>
              <w:tc>
                <w:tcPr>
                  <w:tcW w:w="789" w:type="dxa"/>
                  <w:vMerge w:val="restart"/>
                  <w:tcBorders>
                    <w:top w:val="single" w:sz="2" w:space="0" w:color="000000"/>
                    <w:left w:val="single" w:sz="2" w:space="0" w:color="000000"/>
                    <w:right w:val="nil"/>
                  </w:tcBorders>
                  <w:vAlign w:val="center"/>
                </w:tcPr>
                <w:p w14:paraId="22774F1F" w14:textId="77777777" w:rsidR="00F76A63" w:rsidRDefault="00000000">
                  <w:pPr>
                    <w:jc w:val="center"/>
                    <w:rPr>
                      <w:szCs w:val="21"/>
                    </w:rPr>
                  </w:pPr>
                  <w:r>
                    <w:rPr>
                      <w:spacing w:val="6"/>
                      <w:szCs w:val="21"/>
                    </w:rPr>
                    <w:t>符合</w:t>
                  </w:r>
                </w:p>
              </w:tc>
            </w:tr>
            <w:tr w:rsidR="00F76A63" w14:paraId="73B67DAD" w14:textId="77777777">
              <w:trPr>
                <w:trHeight w:val="149"/>
                <w:jc w:val="center"/>
              </w:trPr>
              <w:tc>
                <w:tcPr>
                  <w:tcW w:w="625" w:type="dxa"/>
                  <w:vMerge/>
                  <w:tcBorders>
                    <w:left w:val="nil"/>
                    <w:right w:val="single" w:sz="2" w:space="0" w:color="000000"/>
                  </w:tcBorders>
                  <w:vAlign w:val="center"/>
                </w:tcPr>
                <w:p w14:paraId="1D7715F1"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C917CE3"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471157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4.4.2</w:t>
                  </w:r>
                  <w:r>
                    <w:rPr>
                      <w:rFonts w:ascii="Times New Roman" w:hAnsi="Times New Roman" w:cs="Times New Roman"/>
                      <w:color w:val="auto"/>
                      <w:spacing w:val="42"/>
                      <w:sz w:val="21"/>
                      <w:szCs w:val="21"/>
                    </w:rPr>
                    <w:t xml:space="preserve"> </w:t>
                  </w:r>
                  <w:r>
                    <w:rPr>
                      <w:rFonts w:ascii="Times New Roman" w:hAnsi="Times New Roman" w:cs="Times New Roman"/>
                      <w:color w:val="auto"/>
                      <w:spacing w:val="12"/>
                      <w:sz w:val="21"/>
                      <w:szCs w:val="21"/>
                    </w:rPr>
                    <w:t>预处理设施所用材料需适应废物特性以确保不被腐蚀，并不与固体废物发生</w:t>
                  </w:r>
                  <w:r>
                    <w:rPr>
                      <w:rFonts w:ascii="Times New Roman" w:hAnsi="Times New Roman" w:cs="Times New Roman"/>
                      <w:color w:val="auto"/>
                      <w:spacing w:val="8"/>
                      <w:sz w:val="21"/>
                      <w:szCs w:val="21"/>
                    </w:rPr>
                    <w:t>任何反应。</w:t>
                  </w:r>
                </w:p>
              </w:tc>
              <w:tc>
                <w:tcPr>
                  <w:tcW w:w="3306" w:type="dxa"/>
                  <w:tcBorders>
                    <w:left w:val="single" w:sz="2" w:space="0" w:color="000000"/>
                    <w:right w:val="single" w:sz="2" w:space="0" w:color="000000"/>
                  </w:tcBorders>
                  <w:vAlign w:val="center"/>
                </w:tcPr>
                <w:p w14:paraId="3151399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本项目不涉及固废的预处理</w:t>
                  </w:r>
                </w:p>
              </w:tc>
              <w:tc>
                <w:tcPr>
                  <w:tcW w:w="789" w:type="dxa"/>
                  <w:vMerge/>
                  <w:tcBorders>
                    <w:left w:val="single" w:sz="2" w:space="0" w:color="000000"/>
                    <w:right w:val="nil"/>
                  </w:tcBorders>
                  <w:vAlign w:val="center"/>
                </w:tcPr>
                <w:p w14:paraId="141B3B16" w14:textId="77777777" w:rsidR="00F76A63" w:rsidRDefault="00F76A63">
                  <w:pPr>
                    <w:jc w:val="center"/>
                    <w:rPr>
                      <w:szCs w:val="21"/>
                    </w:rPr>
                  </w:pPr>
                </w:p>
              </w:tc>
            </w:tr>
            <w:tr w:rsidR="00F76A63" w14:paraId="56D288D6" w14:textId="77777777">
              <w:trPr>
                <w:trHeight w:val="149"/>
                <w:jc w:val="center"/>
              </w:trPr>
              <w:tc>
                <w:tcPr>
                  <w:tcW w:w="625" w:type="dxa"/>
                  <w:vMerge/>
                  <w:tcBorders>
                    <w:left w:val="nil"/>
                    <w:right w:val="single" w:sz="2" w:space="0" w:color="000000"/>
                  </w:tcBorders>
                  <w:vAlign w:val="center"/>
                </w:tcPr>
                <w:p w14:paraId="3B004903"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4FDD8F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9799CF9"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4.4.3</w:t>
                  </w:r>
                  <w:r>
                    <w:rPr>
                      <w:rFonts w:ascii="Times New Roman" w:hAnsi="Times New Roman" w:cs="Times New Roman"/>
                      <w:color w:val="auto"/>
                      <w:spacing w:val="26"/>
                      <w:sz w:val="21"/>
                      <w:szCs w:val="21"/>
                    </w:rPr>
                    <w:t xml:space="preserve"> </w:t>
                  </w:r>
                  <w:r>
                    <w:rPr>
                      <w:rFonts w:ascii="Times New Roman" w:hAnsi="Times New Roman" w:cs="Times New Roman"/>
                      <w:color w:val="auto"/>
                      <w:spacing w:val="12"/>
                      <w:sz w:val="21"/>
                      <w:szCs w:val="21"/>
                    </w:rPr>
                    <w:t>预处理设施应符合</w:t>
                  </w:r>
                  <w:r>
                    <w:rPr>
                      <w:rFonts w:ascii="Times New Roman" w:hAnsi="Times New Roman" w:cs="Times New Roman"/>
                      <w:color w:val="auto"/>
                      <w:spacing w:val="-31"/>
                      <w:sz w:val="21"/>
                      <w:szCs w:val="21"/>
                    </w:rPr>
                    <w:t xml:space="preserve"> </w:t>
                  </w:r>
                  <w:r>
                    <w:rPr>
                      <w:rFonts w:ascii="Times New Roman" w:hAnsi="Times New Roman" w:cs="Times New Roman"/>
                      <w:color w:val="auto"/>
                      <w:sz w:val="21"/>
                      <w:szCs w:val="21"/>
                    </w:rPr>
                    <w:t>GB</w:t>
                  </w:r>
                  <w:r>
                    <w:rPr>
                      <w:rFonts w:ascii="Times New Roman" w:hAnsi="Times New Roman" w:cs="Times New Roman"/>
                      <w:color w:val="auto"/>
                      <w:spacing w:val="12"/>
                      <w:sz w:val="21"/>
                      <w:szCs w:val="21"/>
                    </w:rPr>
                    <w:t>50016</w:t>
                  </w:r>
                  <w:r>
                    <w:rPr>
                      <w:rFonts w:ascii="Times New Roman" w:hAnsi="Times New Roman" w:cs="Times New Roman"/>
                      <w:color w:val="auto"/>
                      <w:spacing w:val="12"/>
                      <w:sz w:val="21"/>
                      <w:szCs w:val="21"/>
                    </w:rPr>
                    <w:t>等相</w:t>
                  </w:r>
                  <w:r>
                    <w:rPr>
                      <w:rFonts w:ascii="Times New Roman" w:hAnsi="Times New Roman" w:cs="Times New Roman"/>
                      <w:color w:val="auto"/>
                      <w:spacing w:val="11"/>
                      <w:sz w:val="21"/>
                      <w:szCs w:val="21"/>
                    </w:rPr>
                    <w:t>关消防规范的要求。区域内应配备防火防</w:t>
                  </w:r>
                  <w:r>
                    <w:rPr>
                      <w:rFonts w:ascii="Times New Roman" w:hAnsi="Times New Roman" w:cs="Times New Roman"/>
                      <w:color w:val="auto"/>
                      <w:spacing w:val="12"/>
                      <w:sz w:val="21"/>
                      <w:szCs w:val="21"/>
                    </w:rPr>
                    <w:t>爆装置，灭火用水储量大于</w:t>
                  </w:r>
                  <w:r>
                    <w:rPr>
                      <w:rFonts w:ascii="Times New Roman" w:hAnsi="Times New Roman" w:cs="Times New Roman"/>
                      <w:color w:val="auto"/>
                      <w:spacing w:val="12"/>
                      <w:sz w:val="21"/>
                      <w:szCs w:val="21"/>
                    </w:rPr>
                    <w:t>50</w:t>
                  </w:r>
                  <w:r>
                    <w:rPr>
                      <w:rFonts w:ascii="Times New Roman" w:hAnsi="Times New Roman" w:cs="Times New Roman"/>
                      <w:color w:val="auto"/>
                      <w:spacing w:val="13"/>
                      <w:sz w:val="21"/>
                      <w:szCs w:val="21"/>
                    </w:rPr>
                    <w:t xml:space="preserve"> m</w:t>
                  </w:r>
                  <w:r>
                    <w:rPr>
                      <w:rFonts w:ascii="Times New Roman" w:hAnsi="Times New Roman" w:cs="Times New Roman"/>
                      <w:color w:val="auto"/>
                      <w:spacing w:val="13"/>
                      <w:sz w:val="21"/>
                      <w:szCs w:val="21"/>
                      <w:vertAlign w:val="superscript"/>
                    </w:rPr>
                    <w:t>3</w:t>
                  </w:r>
                  <w:r>
                    <w:rPr>
                      <w:rFonts w:ascii="Times New Roman" w:hAnsi="Times New Roman" w:cs="Times New Roman"/>
                      <w:color w:val="auto"/>
                      <w:spacing w:val="12"/>
                      <w:sz w:val="21"/>
                      <w:szCs w:val="21"/>
                    </w:rPr>
                    <w:t>；配</w:t>
                  </w:r>
                  <w:r>
                    <w:rPr>
                      <w:rFonts w:ascii="Times New Roman" w:hAnsi="Times New Roman" w:cs="Times New Roman"/>
                      <w:color w:val="auto"/>
                      <w:spacing w:val="11"/>
                      <w:sz w:val="21"/>
                      <w:szCs w:val="21"/>
                    </w:rPr>
                    <w:t>备防爆通讯设备并保持通畅完好。对易燃性</w:t>
                  </w:r>
                  <w:r>
                    <w:rPr>
                      <w:rFonts w:ascii="Times New Roman" w:hAnsi="Times New Roman" w:cs="Times New Roman"/>
                      <w:color w:val="auto"/>
                      <w:spacing w:val="15"/>
                      <w:sz w:val="21"/>
                      <w:szCs w:val="21"/>
                    </w:rPr>
                    <w:t>固体废物进行预处理的破碎仓和混合搅拌仓，为防止发生火灾</w:t>
                  </w:r>
                  <w:r>
                    <w:rPr>
                      <w:rFonts w:ascii="Times New Roman" w:hAnsi="Times New Roman" w:cs="Times New Roman"/>
                      <w:color w:val="auto"/>
                      <w:spacing w:val="14"/>
                      <w:sz w:val="21"/>
                      <w:szCs w:val="21"/>
                    </w:rPr>
                    <w:t>爆炸等事故，应优</w:t>
                  </w:r>
                  <w:r>
                    <w:rPr>
                      <w:rFonts w:ascii="Times New Roman" w:hAnsi="Times New Roman" w:cs="Times New Roman"/>
                      <w:color w:val="auto"/>
                      <w:spacing w:val="10"/>
                      <w:sz w:val="21"/>
                      <w:szCs w:val="21"/>
                    </w:rPr>
                    <w:t>先配备氮气充入装置。</w:t>
                  </w:r>
                </w:p>
              </w:tc>
              <w:tc>
                <w:tcPr>
                  <w:tcW w:w="3306" w:type="dxa"/>
                  <w:tcBorders>
                    <w:left w:val="single" w:sz="2" w:space="0" w:color="000000"/>
                    <w:right w:val="single" w:sz="2" w:space="0" w:color="000000"/>
                  </w:tcBorders>
                  <w:vAlign w:val="center"/>
                </w:tcPr>
                <w:p w14:paraId="7987F87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本项目不涉及固废的预处理</w:t>
                  </w:r>
                </w:p>
              </w:tc>
              <w:tc>
                <w:tcPr>
                  <w:tcW w:w="789" w:type="dxa"/>
                  <w:vMerge/>
                  <w:tcBorders>
                    <w:left w:val="single" w:sz="2" w:space="0" w:color="000000"/>
                    <w:right w:val="nil"/>
                  </w:tcBorders>
                  <w:vAlign w:val="center"/>
                </w:tcPr>
                <w:p w14:paraId="7053B84E" w14:textId="77777777" w:rsidR="00F76A63" w:rsidRDefault="00F76A63">
                  <w:pPr>
                    <w:jc w:val="center"/>
                    <w:rPr>
                      <w:szCs w:val="21"/>
                    </w:rPr>
                  </w:pPr>
                </w:p>
              </w:tc>
            </w:tr>
            <w:tr w:rsidR="00F76A63" w14:paraId="51BDCFA2" w14:textId="77777777">
              <w:trPr>
                <w:trHeight w:val="149"/>
                <w:jc w:val="center"/>
              </w:trPr>
              <w:tc>
                <w:tcPr>
                  <w:tcW w:w="625" w:type="dxa"/>
                  <w:vMerge/>
                  <w:tcBorders>
                    <w:left w:val="nil"/>
                    <w:right w:val="single" w:sz="2" w:space="0" w:color="000000"/>
                  </w:tcBorders>
                  <w:vAlign w:val="center"/>
                </w:tcPr>
                <w:p w14:paraId="65D8675C"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3A022AA9"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02B6100"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4.4.4</w:t>
                  </w:r>
                  <w:r>
                    <w:rPr>
                      <w:rFonts w:ascii="Times New Roman" w:hAnsi="Times New Roman" w:cs="Times New Roman"/>
                      <w:color w:val="auto"/>
                      <w:spacing w:val="24"/>
                      <w:sz w:val="21"/>
                      <w:szCs w:val="21"/>
                    </w:rPr>
                    <w:t xml:space="preserve"> </w:t>
                  </w:r>
                  <w:r>
                    <w:rPr>
                      <w:rFonts w:ascii="Times New Roman" w:hAnsi="Times New Roman" w:cs="Times New Roman"/>
                      <w:color w:val="auto"/>
                      <w:spacing w:val="12"/>
                      <w:sz w:val="21"/>
                      <w:szCs w:val="21"/>
                    </w:rPr>
                    <w:t>危险废物预处理区域及附近应配备紧急人体清洗冲淋设施，并标明用途。</w:t>
                  </w:r>
                </w:p>
              </w:tc>
              <w:tc>
                <w:tcPr>
                  <w:tcW w:w="3306" w:type="dxa"/>
                  <w:tcBorders>
                    <w:left w:val="single" w:sz="2" w:space="0" w:color="000000"/>
                    <w:right w:val="single" w:sz="2" w:space="0" w:color="000000"/>
                  </w:tcBorders>
                  <w:vAlign w:val="center"/>
                </w:tcPr>
                <w:p w14:paraId="1B34FB0B"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2"/>
                      <w:sz w:val="21"/>
                      <w:szCs w:val="21"/>
                    </w:rPr>
                    <w:t>本项目不涉及协同处置危险废物。</w:t>
                  </w:r>
                </w:p>
              </w:tc>
              <w:tc>
                <w:tcPr>
                  <w:tcW w:w="789" w:type="dxa"/>
                  <w:vMerge/>
                  <w:tcBorders>
                    <w:left w:val="single" w:sz="2" w:space="0" w:color="000000"/>
                    <w:right w:val="nil"/>
                  </w:tcBorders>
                  <w:vAlign w:val="center"/>
                </w:tcPr>
                <w:p w14:paraId="5A8F97C2" w14:textId="77777777" w:rsidR="00F76A63" w:rsidRDefault="00F76A63">
                  <w:pPr>
                    <w:jc w:val="center"/>
                    <w:rPr>
                      <w:szCs w:val="21"/>
                    </w:rPr>
                  </w:pPr>
                </w:p>
              </w:tc>
            </w:tr>
            <w:tr w:rsidR="00F76A63" w14:paraId="4C4F8084" w14:textId="77777777">
              <w:trPr>
                <w:trHeight w:val="49"/>
                <w:jc w:val="center"/>
              </w:trPr>
              <w:tc>
                <w:tcPr>
                  <w:tcW w:w="625" w:type="dxa"/>
                  <w:vMerge/>
                  <w:tcBorders>
                    <w:left w:val="nil"/>
                    <w:right w:val="single" w:sz="2" w:space="0" w:color="000000"/>
                  </w:tcBorders>
                  <w:vAlign w:val="center"/>
                </w:tcPr>
                <w:p w14:paraId="79D351BD"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3AF3C256"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val="restart"/>
                  <w:tcBorders>
                    <w:top w:val="single" w:sz="2" w:space="0" w:color="000000"/>
                    <w:left w:val="single" w:sz="2" w:space="0" w:color="000000"/>
                    <w:right w:val="single" w:sz="2" w:space="0" w:color="000000"/>
                  </w:tcBorders>
                  <w:vAlign w:val="center"/>
                </w:tcPr>
                <w:p w14:paraId="34732EB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4.4.5</w:t>
                  </w:r>
                  <w:r>
                    <w:rPr>
                      <w:rFonts w:ascii="Times New Roman" w:hAnsi="Times New Roman" w:cs="Times New Roman"/>
                      <w:color w:val="auto"/>
                      <w:spacing w:val="30"/>
                      <w:sz w:val="21"/>
                      <w:szCs w:val="21"/>
                    </w:rPr>
                    <w:t xml:space="preserve"> </w:t>
                  </w:r>
                  <w:r>
                    <w:rPr>
                      <w:rFonts w:ascii="Times New Roman" w:hAnsi="Times New Roman" w:cs="Times New Roman"/>
                      <w:color w:val="auto"/>
                      <w:spacing w:val="6"/>
                      <w:sz w:val="21"/>
                      <w:szCs w:val="21"/>
                    </w:rPr>
                    <w:t>应根据</w:t>
                  </w:r>
                  <w:r>
                    <w:rPr>
                      <w:rFonts w:ascii="Times New Roman" w:hAnsi="Times New Roman" w:cs="Times New Roman"/>
                      <w:color w:val="auto"/>
                      <w:spacing w:val="11"/>
                      <w:sz w:val="21"/>
                      <w:szCs w:val="21"/>
                    </w:rPr>
                    <w:t>固体废物特性及入窑要求，确定预处理工艺流程和预处理</w:t>
                  </w:r>
                  <w:r>
                    <w:rPr>
                      <w:rFonts w:ascii="Times New Roman" w:hAnsi="Times New Roman" w:cs="Times New Roman"/>
                      <w:color w:val="auto"/>
                      <w:spacing w:val="3"/>
                      <w:sz w:val="21"/>
                      <w:szCs w:val="21"/>
                    </w:rPr>
                    <w:t>设施：</w:t>
                  </w: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41D300C9"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a</w:t>
                  </w:r>
                  <w:r>
                    <w:rPr>
                      <w:rFonts w:ascii="Times New Roman" w:hAnsi="Times New Roman" w:cs="Times New Roman"/>
                      <w:color w:val="auto"/>
                      <w:spacing w:val="13"/>
                      <w:sz w:val="21"/>
                      <w:szCs w:val="21"/>
                    </w:rPr>
                    <w:t>）从配料系统入窑的固态废物，其预处理设施应具有破碎和配料</w:t>
                  </w:r>
                  <w:r>
                    <w:rPr>
                      <w:rFonts w:ascii="Times New Roman" w:hAnsi="Times New Roman" w:cs="Times New Roman"/>
                      <w:color w:val="auto"/>
                      <w:spacing w:val="11"/>
                      <w:sz w:val="21"/>
                      <w:szCs w:val="21"/>
                    </w:rPr>
                    <w:t>的功能；也可根据需要配备烘干等装置。</w:t>
                  </w:r>
                </w:p>
              </w:tc>
              <w:tc>
                <w:tcPr>
                  <w:tcW w:w="3306" w:type="dxa"/>
                  <w:vMerge w:val="restart"/>
                  <w:tcBorders>
                    <w:left w:val="single" w:sz="2" w:space="0" w:color="000000"/>
                    <w:right w:val="single" w:sz="2" w:space="0" w:color="000000"/>
                  </w:tcBorders>
                  <w:vAlign w:val="center"/>
                </w:tcPr>
                <w:p w14:paraId="56D1F99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本项目不涉及固废的预处理。</w:t>
                  </w:r>
                </w:p>
              </w:tc>
              <w:tc>
                <w:tcPr>
                  <w:tcW w:w="789" w:type="dxa"/>
                  <w:vMerge/>
                  <w:tcBorders>
                    <w:left w:val="single" w:sz="2" w:space="0" w:color="000000"/>
                    <w:right w:val="nil"/>
                  </w:tcBorders>
                  <w:vAlign w:val="center"/>
                </w:tcPr>
                <w:p w14:paraId="5061A04D" w14:textId="77777777" w:rsidR="00F76A63" w:rsidRDefault="00F76A63">
                  <w:pPr>
                    <w:jc w:val="center"/>
                    <w:rPr>
                      <w:szCs w:val="21"/>
                    </w:rPr>
                  </w:pPr>
                </w:p>
              </w:tc>
            </w:tr>
            <w:tr w:rsidR="00F76A63" w14:paraId="777174D9" w14:textId="77777777">
              <w:trPr>
                <w:trHeight w:val="49"/>
                <w:jc w:val="center"/>
              </w:trPr>
              <w:tc>
                <w:tcPr>
                  <w:tcW w:w="625" w:type="dxa"/>
                  <w:vMerge/>
                  <w:tcBorders>
                    <w:left w:val="nil"/>
                    <w:right w:val="single" w:sz="2" w:space="0" w:color="000000"/>
                  </w:tcBorders>
                  <w:vAlign w:val="center"/>
                </w:tcPr>
                <w:p w14:paraId="210219ED"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8A967FF"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right w:val="single" w:sz="2" w:space="0" w:color="000000"/>
                  </w:tcBorders>
                  <w:vAlign w:val="center"/>
                </w:tcPr>
                <w:p w14:paraId="460785BE"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29A29747"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）从窑尾入窑的固态废物，其预处理设施应具有破碎和混合搅拌</w:t>
                  </w:r>
                  <w:r>
                    <w:rPr>
                      <w:rFonts w:ascii="Times New Roman" w:hAnsi="Times New Roman" w:cs="Times New Roman"/>
                      <w:color w:val="auto"/>
                      <w:spacing w:val="11"/>
                      <w:sz w:val="21"/>
                      <w:szCs w:val="21"/>
                    </w:rPr>
                    <w:t>的功能；也可根据需要配备分选和筛分等装置。</w:t>
                  </w:r>
                </w:p>
              </w:tc>
              <w:tc>
                <w:tcPr>
                  <w:tcW w:w="3306" w:type="dxa"/>
                  <w:vMerge/>
                  <w:tcBorders>
                    <w:left w:val="single" w:sz="2" w:space="0" w:color="000000"/>
                    <w:right w:val="single" w:sz="2" w:space="0" w:color="000000"/>
                  </w:tcBorders>
                  <w:vAlign w:val="center"/>
                </w:tcPr>
                <w:p w14:paraId="5D923CAF"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E2EE0C3" w14:textId="77777777" w:rsidR="00F76A63" w:rsidRDefault="00F76A63">
                  <w:pPr>
                    <w:jc w:val="center"/>
                    <w:rPr>
                      <w:szCs w:val="21"/>
                    </w:rPr>
                  </w:pPr>
                </w:p>
              </w:tc>
            </w:tr>
            <w:tr w:rsidR="00F76A63" w14:paraId="26CF215C" w14:textId="77777777">
              <w:trPr>
                <w:trHeight w:val="49"/>
                <w:jc w:val="center"/>
              </w:trPr>
              <w:tc>
                <w:tcPr>
                  <w:tcW w:w="625" w:type="dxa"/>
                  <w:vMerge/>
                  <w:tcBorders>
                    <w:left w:val="nil"/>
                    <w:right w:val="single" w:sz="2" w:space="0" w:color="000000"/>
                  </w:tcBorders>
                  <w:vAlign w:val="center"/>
                </w:tcPr>
                <w:p w14:paraId="569CAB22"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35E0C65"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right w:val="single" w:sz="2" w:space="0" w:color="000000"/>
                  </w:tcBorders>
                  <w:vAlign w:val="center"/>
                </w:tcPr>
                <w:p w14:paraId="5A0E5EC0"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7455C057"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）从窑头入窑的固态废物，其预处理设施应具有破碎、分选和精</w:t>
                  </w:r>
                  <w:r>
                    <w:rPr>
                      <w:rFonts w:ascii="Times New Roman" w:hAnsi="Times New Roman" w:cs="Times New Roman"/>
                      <w:color w:val="auto"/>
                      <w:spacing w:val="7"/>
                      <w:sz w:val="21"/>
                      <w:szCs w:val="21"/>
                    </w:rPr>
                    <w:t>筛的功能。</w:t>
                  </w:r>
                </w:p>
              </w:tc>
              <w:tc>
                <w:tcPr>
                  <w:tcW w:w="3306" w:type="dxa"/>
                  <w:tcBorders>
                    <w:left w:val="single" w:sz="2" w:space="0" w:color="000000"/>
                    <w:right w:val="single" w:sz="2" w:space="0" w:color="000000"/>
                  </w:tcBorders>
                  <w:vAlign w:val="center"/>
                </w:tcPr>
                <w:p w14:paraId="18C0CC95"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2"/>
                      <w:sz w:val="21"/>
                      <w:szCs w:val="21"/>
                    </w:rPr>
                    <w:t>本项目不涉及窑头入窑固体废物。</w:t>
                  </w:r>
                </w:p>
              </w:tc>
              <w:tc>
                <w:tcPr>
                  <w:tcW w:w="789" w:type="dxa"/>
                  <w:vMerge/>
                  <w:tcBorders>
                    <w:left w:val="single" w:sz="2" w:space="0" w:color="000000"/>
                    <w:right w:val="nil"/>
                  </w:tcBorders>
                  <w:vAlign w:val="center"/>
                </w:tcPr>
                <w:p w14:paraId="37753716" w14:textId="77777777" w:rsidR="00F76A63" w:rsidRDefault="00F76A63">
                  <w:pPr>
                    <w:jc w:val="center"/>
                    <w:rPr>
                      <w:szCs w:val="21"/>
                    </w:rPr>
                  </w:pPr>
                </w:p>
              </w:tc>
            </w:tr>
            <w:tr w:rsidR="00F76A63" w14:paraId="08FD5458" w14:textId="77777777">
              <w:trPr>
                <w:trHeight w:val="49"/>
                <w:jc w:val="center"/>
              </w:trPr>
              <w:tc>
                <w:tcPr>
                  <w:tcW w:w="625" w:type="dxa"/>
                  <w:vMerge/>
                  <w:tcBorders>
                    <w:left w:val="nil"/>
                    <w:right w:val="single" w:sz="2" w:space="0" w:color="000000"/>
                  </w:tcBorders>
                  <w:vAlign w:val="center"/>
                </w:tcPr>
                <w:p w14:paraId="733F7C25"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58A7A58"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right w:val="single" w:sz="2" w:space="0" w:color="000000"/>
                  </w:tcBorders>
                  <w:vAlign w:val="center"/>
                </w:tcPr>
                <w:p w14:paraId="0C84792F"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5129B32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d</w:t>
                  </w:r>
                  <w:r>
                    <w:rPr>
                      <w:rFonts w:ascii="Times New Roman" w:hAnsi="Times New Roman" w:cs="Times New Roman"/>
                      <w:color w:val="auto"/>
                      <w:spacing w:val="13"/>
                      <w:sz w:val="21"/>
                      <w:szCs w:val="21"/>
                    </w:rPr>
                    <w:t>）液态废物，其预处理设施应具有混合搅拌功能，若液态废物中有较大的颗粒物，可在混合搅拌系统内配加研磨装置；也可根据</w:t>
                  </w:r>
                  <w:r>
                    <w:rPr>
                      <w:rFonts w:ascii="Times New Roman" w:hAnsi="Times New Roman" w:cs="Times New Roman"/>
                      <w:color w:val="auto"/>
                      <w:spacing w:val="11"/>
                      <w:sz w:val="21"/>
                      <w:szCs w:val="21"/>
                    </w:rPr>
                    <w:t xml:space="preserve"> </w:t>
                  </w:r>
                  <w:r>
                    <w:rPr>
                      <w:rFonts w:ascii="Times New Roman" w:hAnsi="Times New Roman" w:cs="Times New Roman"/>
                      <w:color w:val="auto"/>
                      <w:spacing w:val="11"/>
                      <w:sz w:val="21"/>
                      <w:szCs w:val="21"/>
                    </w:rPr>
                    <w:t>需要配备沉淀、中和、过滤等装置。</w:t>
                  </w:r>
                </w:p>
              </w:tc>
              <w:tc>
                <w:tcPr>
                  <w:tcW w:w="3306" w:type="dxa"/>
                  <w:tcBorders>
                    <w:left w:val="single" w:sz="2" w:space="0" w:color="000000"/>
                    <w:right w:val="single" w:sz="2" w:space="0" w:color="000000"/>
                  </w:tcBorders>
                  <w:vAlign w:val="center"/>
                </w:tcPr>
                <w:p w14:paraId="47CB9A8A"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本项目不涉及协同处置液态废物。</w:t>
                  </w:r>
                </w:p>
              </w:tc>
              <w:tc>
                <w:tcPr>
                  <w:tcW w:w="789" w:type="dxa"/>
                  <w:vMerge/>
                  <w:tcBorders>
                    <w:left w:val="single" w:sz="2" w:space="0" w:color="000000"/>
                    <w:right w:val="nil"/>
                  </w:tcBorders>
                  <w:vAlign w:val="center"/>
                </w:tcPr>
                <w:p w14:paraId="68F48E20" w14:textId="77777777" w:rsidR="00F76A63" w:rsidRDefault="00F76A63">
                  <w:pPr>
                    <w:jc w:val="center"/>
                    <w:rPr>
                      <w:szCs w:val="21"/>
                    </w:rPr>
                  </w:pPr>
                </w:p>
              </w:tc>
            </w:tr>
            <w:tr w:rsidR="00F76A63" w14:paraId="35B8DA0D" w14:textId="77777777">
              <w:trPr>
                <w:trHeight w:val="49"/>
                <w:jc w:val="center"/>
              </w:trPr>
              <w:tc>
                <w:tcPr>
                  <w:tcW w:w="625" w:type="dxa"/>
                  <w:vMerge/>
                  <w:tcBorders>
                    <w:left w:val="nil"/>
                    <w:right w:val="single" w:sz="2" w:space="0" w:color="000000"/>
                  </w:tcBorders>
                  <w:vAlign w:val="center"/>
                </w:tcPr>
                <w:p w14:paraId="79996AF7"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0DA96C03"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bottom w:val="single" w:sz="2" w:space="0" w:color="000000"/>
                    <w:right w:val="single" w:sz="2" w:space="0" w:color="000000"/>
                  </w:tcBorders>
                  <w:vAlign w:val="center"/>
                </w:tcPr>
                <w:p w14:paraId="37A16052"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44F8EA3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e</w:t>
                  </w:r>
                  <w:r>
                    <w:rPr>
                      <w:rFonts w:ascii="Times New Roman" w:hAnsi="Times New Roman" w:cs="Times New Roman"/>
                      <w:color w:val="auto"/>
                      <w:spacing w:val="13"/>
                      <w:sz w:val="21"/>
                      <w:szCs w:val="21"/>
                    </w:rPr>
                    <w:t>）半固态（浆状）废物，其预处理设施应具有混</w:t>
                  </w:r>
                  <w:r>
                    <w:rPr>
                      <w:rFonts w:ascii="Times New Roman" w:hAnsi="Times New Roman" w:cs="Times New Roman"/>
                      <w:color w:val="auto"/>
                      <w:spacing w:val="12"/>
                      <w:sz w:val="21"/>
                      <w:szCs w:val="21"/>
                    </w:rPr>
                    <w:t>合搅拌的功能；</w:t>
                  </w:r>
                </w:p>
                <w:p w14:paraId="1C3E9501"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也可根据需要配备破碎、筛分、分选、高速研磨等装置。</w:t>
                  </w:r>
                </w:p>
              </w:tc>
              <w:tc>
                <w:tcPr>
                  <w:tcW w:w="3306" w:type="dxa"/>
                  <w:tcBorders>
                    <w:left w:val="single" w:sz="2" w:space="0" w:color="000000"/>
                    <w:bottom w:val="single" w:sz="2" w:space="0" w:color="000000"/>
                    <w:right w:val="single" w:sz="2" w:space="0" w:color="000000"/>
                  </w:tcBorders>
                  <w:vAlign w:val="center"/>
                </w:tcPr>
                <w:p w14:paraId="27E70A5A"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本项目不涉及协同处置半固态（浆状）废物。</w:t>
                  </w:r>
                </w:p>
              </w:tc>
              <w:tc>
                <w:tcPr>
                  <w:tcW w:w="789" w:type="dxa"/>
                  <w:vMerge/>
                  <w:tcBorders>
                    <w:left w:val="single" w:sz="2" w:space="0" w:color="000000"/>
                    <w:bottom w:val="single" w:sz="2" w:space="0" w:color="000000"/>
                    <w:right w:val="nil"/>
                  </w:tcBorders>
                  <w:vAlign w:val="center"/>
                </w:tcPr>
                <w:p w14:paraId="6584E101" w14:textId="77777777" w:rsidR="00F76A63" w:rsidRDefault="00F76A63">
                  <w:pPr>
                    <w:jc w:val="center"/>
                    <w:rPr>
                      <w:szCs w:val="21"/>
                    </w:rPr>
                  </w:pPr>
                </w:p>
              </w:tc>
            </w:tr>
            <w:tr w:rsidR="00F76A63" w14:paraId="491727AE" w14:textId="77777777">
              <w:trPr>
                <w:trHeight w:val="123"/>
                <w:jc w:val="center"/>
              </w:trPr>
              <w:tc>
                <w:tcPr>
                  <w:tcW w:w="625" w:type="dxa"/>
                  <w:vMerge/>
                  <w:tcBorders>
                    <w:left w:val="nil"/>
                    <w:right w:val="single" w:sz="2" w:space="0" w:color="000000"/>
                  </w:tcBorders>
                  <w:vAlign w:val="center"/>
                </w:tcPr>
                <w:p w14:paraId="0F91F3C6"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6D41BE9B"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4.5 </w:t>
                  </w:r>
                  <w:r>
                    <w:rPr>
                      <w:rFonts w:ascii="Times New Roman" w:hAnsi="Times New Roman" w:cs="Times New Roman"/>
                      <w:color w:val="auto"/>
                      <w:spacing w:val="3"/>
                      <w:sz w:val="21"/>
                      <w:szCs w:val="21"/>
                    </w:rPr>
                    <w:t>固体废物厂内输送设施</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E3A2BA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4.5.1</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1"/>
                      <w:sz w:val="21"/>
                      <w:szCs w:val="21"/>
                    </w:rPr>
                    <w:t>在固体废物装卸场所、贮存场所、预处理区域、投加区域等各个区域之间，</w:t>
                  </w:r>
                  <w:r>
                    <w:rPr>
                      <w:rFonts w:ascii="Times New Roman" w:hAnsi="Times New Roman" w:cs="Times New Roman"/>
                      <w:color w:val="auto"/>
                      <w:spacing w:val="13"/>
                      <w:sz w:val="21"/>
                      <w:szCs w:val="21"/>
                    </w:rPr>
                    <w:t>应根据固体废物特性和设施要求配备必要的输</w:t>
                  </w:r>
                  <w:r>
                    <w:rPr>
                      <w:rFonts w:ascii="Times New Roman" w:hAnsi="Times New Roman" w:cs="Times New Roman"/>
                      <w:color w:val="auto"/>
                      <w:spacing w:val="12"/>
                      <w:sz w:val="21"/>
                      <w:szCs w:val="21"/>
                    </w:rPr>
                    <w:t>送设备。</w:t>
                  </w:r>
                </w:p>
              </w:tc>
              <w:tc>
                <w:tcPr>
                  <w:tcW w:w="3306" w:type="dxa"/>
                  <w:tcBorders>
                    <w:top w:val="single" w:sz="2" w:space="0" w:color="000000"/>
                    <w:left w:val="single" w:sz="2" w:space="0" w:color="000000"/>
                    <w:right w:val="single" w:sz="2" w:space="0" w:color="000000"/>
                  </w:tcBorders>
                  <w:vAlign w:val="center"/>
                </w:tcPr>
                <w:p w14:paraId="68AA9749"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本项目根据要求配备必要的输送设</w:t>
                  </w:r>
                  <w:r>
                    <w:rPr>
                      <w:rFonts w:ascii="Times New Roman" w:hAnsi="Times New Roman" w:cs="Times New Roman"/>
                      <w:color w:val="auto"/>
                      <w:spacing w:val="-1"/>
                      <w:sz w:val="21"/>
                      <w:szCs w:val="21"/>
                    </w:rPr>
                    <w:t>备。</w:t>
                  </w:r>
                </w:p>
              </w:tc>
              <w:tc>
                <w:tcPr>
                  <w:tcW w:w="789" w:type="dxa"/>
                  <w:vMerge w:val="restart"/>
                  <w:tcBorders>
                    <w:top w:val="single" w:sz="2" w:space="0" w:color="000000"/>
                    <w:left w:val="single" w:sz="2" w:space="0" w:color="000000"/>
                    <w:right w:val="nil"/>
                  </w:tcBorders>
                  <w:vAlign w:val="center"/>
                </w:tcPr>
                <w:p w14:paraId="737ACCFE" w14:textId="77777777" w:rsidR="00F76A63" w:rsidRDefault="00000000">
                  <w:pPr>
                    <w:jc w:val="center"/>
                    <w:rPr>
                      <w:szCs w:val="21"/>
                    </w:rPr>
                  </w:pPr>
                  <w:r>
                    <w:rPr>
                      <w:szCs w:val="21"/>
                    </w:rPr>
                    <w:t>符合</w:t>
                  </w:r>
                </w:p>
              </w:tc>
            </w:tr>
            <w:tr w:rsidR="00F76A63" w14:paraId="79D1B92D" w14:textId="77777777">
              <w:trPr>
                <w:trHeight w:val="117"/>
                <w:jc w:val="center"/>
              </w:trPr>
              <w:tc>
                <w:tcPr>
                  <w:tcW w:w="625" w:type="dxa"/>
                  <w:vMerge/>
                  <w:tcBorders>
                    <w:left w:val="nil"/>
                    <w:right w:val="single" w:sz="2" w:space="0" w:color="000000"/>
                  </w:tcBorders>
                  <w:vAlign w:val="center"/>
                </w:tcPr>
                <w:p w14:paraId="185A1E59"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44AF188"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A20C6E5"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4.5.2</w:t>
                  </w:r>
                  <w:r>
                    <w:rPr>
                      <w:rFonts w:ascii="Times New Roman" w:hAnsi="Times New Roman" w:cs="Times New Roman"/>
                      <w:color w:val="auto"/>
                      <w:spacing w:val="39"/>
                      <w:sz w:val="21"/>
                      <w:szCs w:val="21"/>
                    </w:rPr>
                    <w:t xml:space="preserve"> </w:t>
                  </w:r>
                  <w:r>
                    <w:rPr>
                      <w:rFonts w:ascii="Times New Roman" w:hAnsi="Times New Roman" w:cs="Times New Roman"/>
                      <w:color w:val="auto"/>
                      <w:spacing w:val="12"/>
                      <w:sz w:val="21"/>
                      <w:szCs w:val="21"/>
                    </w:rPr>
                    <w:t>固体废物的物流出入口以及转运、输送</w:t>
                  </w:r>
                  <w:r>
                    <w:rPr>
                      <w:rFonts w:ascii="Times New Roman" w:hAnsi="Times New Roman" w:cs="Times New Roman"/>
                      <w:color w:val="auto"/>
                      <w:spacing w:val="11"/>
                      <w:sz w:val="21"/>
                      <w:szCs w:val="21"/>
                    </w:rPr>
                    <w:t>路线应远离办公和生活服务设施。</w:t>
                  </w:r>
                </w:p>
              </w:tc>
              <w:tc>
                <w:tcPr>
                  <w:tcW w:w="3306" w:type="dxa"/>
                  <w:tcBorders>
                    <w:left w:val="single" w:sz="2" w:space="0" w:color="000000"/>
                    <w:right w:val="single" w:sz="2" w:space="0" w:color="000000"/>
                  </w:tcBorders>
                  <w:vAlign w:val="center"/>
                </w:tcPr>
                <w:p w14:paraId="367B2CE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本项目污染土及污泥的物流出入</w:t>
                  </w:r>
                  <w:r>
                    <w:rPr>
                      <w:rFonts w:ascii="Times New Roman" w:hAnsi="Times New Roman" w:cs="Times New Roman"/>
                      <w:color w:val="auto"/>
                      <w:spacing w:val="11"/>
                      <w:sz w:val="21"/>
                      <w:szCs w:val="21"/>
                    </w:rPr>
                    <w:t>口以及转运、输送路线远离办公和生</w:t>
                  </w:r>
                  <w:r>
                    <w:rPr>
                      <w:rFonts w:ascii="Times New Roman" w:hAnsi="Times New Roman" w:cs="Times New Roman"/>
                      <w:color w:val="auto"/>
                      <w:spacing w:val="9"/>
                      <w:sz w:val="21"/>
                      <w:szCs w:val="21"/>
                    </w:rPr>
                    <w:t>活服务设施。</w:t>
                  </w:r>
                </w:p>
              </w:tc>
              <w:tc>
                <w:tcPr>
                  <w:tcW w:w="789" w:type="dxa"/>
                  <w:vMerge/>
                  <w:tcBorders>
                    <w:left w:val="single" w:sz="2" w:space="0" w:color="000000"/>
                    <w:right w:val="nil"/>
                  </w:tcBorders>
                  <w:vAlign w:val="center"/>
                </w:tcPr>
                <w:p w14:paraId="2E75D74F" w14:textId="77777777" w:rsidR="00F76A63" w:rsidRDefault="00F76A63">
                  <w:pPr>
                    <w:jc w:val="center"/>
                    <w:rPr>
                      <w:szCs w:val="21"/>
                    </w:rPr>
                  </w:pPr>
                </w:p>
              </w:tc>
            </w:tr>
            <w:tr w:rsidR="00F76A63" w14:paraId="7C734A73" w14:textId="77777777">
              <w:trPr>
                <w:trHeight w:val="117"/>
                <w:jc w:val="center"/>
              </w:trPr>
              <w:tc>
                <w:tcPr>
                  <w:tcW w:w="625" w:type="dxa"/>
                  <w:vMerge/>
                  <w:tcBorders>
                    <w:left w:val="nil"/>
                    <w:right w:val="single" w:sz="2" w:space="0" w:color="000000"/>
                  </w:tcBorders>
                  <w:vAlign w:val="center"/>
                </w:tcPr>
                <w:p w14:paraId="7DB9FE7C"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364E716"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1022391"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4.5.3</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3"/>
                      <w:sz w:val="21"/>
                      <w:szCs w:val="21"/>
                    </w:rPr>
                    <w:t>输送设备所用材料应适应固体废</w:t>
                  </w:r>
                  <w:r>
                    <w:rPr>
                      <w:rFonts w:ascii="Times New Roman" w:hAnsi="Times New Roman" w:cs="Times New Roman"/>
                      <w:color w:val="auto"/>
                      <w:spacing w:val="12"/>
                      <w:sz w:val="21"/>
                      <w:szCs w:val="21"/>
                    </w:rPr>
                    <w:t>物特性，确保不被腐蚀和不与固体废物发生</w:t>
                  </w:r>
                  <w:r>
                    <w:rPr>
                      <w:rFonts w:ascii="Times New Roman" w:hAnsi="Times New Roman" w:cs="Times New Roman"/>
                      <w:color w:val="auto"/>
                      <w:spacing w:val="8"/>
                      <w:sz w:val="21"/>
                      <w:szCs w:val="21"/>
                    </w:rPr>
                    <w:t>任何反应。</w:t>
                  </w:r>
                </w:p>
              </w:tc>
              <w:tc>
                <w:tcPr>
                  <w:tcW w:w="3306" w:type="dxa"/>
                  <w:tcBorders>
                    <w:left w:val="single" w:sz="2" w:space="0" w:color="000000"/>
                    <w:right w:val="single" w:sz="2" w:space="0" w:color="000000"/>
                  </w:tcBorders>
                  <w:vAlign w:val="center"/>
                </w:tcPr>
                <w:p w14:paraId="3A1B2CB8"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本项目输送设备根据废物特性采用防</w:t>
                  </w:r>
                  <w:r>
                    <w:rPr>
                      <w:rFonts w:ascii="Times New Roman" w:hAnsi="Times New Roman" w:cs="Times New Roman"/>
                      <w:color w:val="auto"/>
                      <w:spacing w:val="7"/>
                      <w:sz w:val="21"/>
                      <w:szCs w:val="21"/>
                    </w:rPr>
                    <w:t>腐材料。</w:t>
                  </w:r>
                </w:p>
              </w:tc>
              <w:tc>
                <w:tcPr>
                  <w:tcW w:w="789" w:type="dxa"/>
                  <w:vMerge/>
                  <w:tcBorders>
                    <w:left w:val="single" w:sz="2" w:space="0" w:color="000000"/>
                    <w:right w:val="nil"/>
                  </w:tcBorders>
                  <w:vAlign w:val="center"/>
                </w:tcPr>
                <w:p w14:paraId="3F8F6DC7" w14:textId="77777777" w:rsidR="00F76A63" w:rsidRDefault="00F76A63">
                  <w:pPr>
                    <w:jc w:val="center"/>
                    <w:rPr>
                      <w:szCs w:val="21"/>
                    </w:rPr>
                  </w:pPr>
                </w:p>
              </w:tc>
            </w:tr>
            <w:tr w:rsidR="00F76A63" w14:paraId="18DF44FF" w14:textId="77777777">
              <w:trPr>
                <w:trHeight w:val="117"/>
                <w:jc w:val="center"/>
              </w:trPr>
              <w:tc>
                <w:tcPr>
                  <w:tcW w:w="625" w:type="dxa"/>
                  <w:vMerge/>
                  <w:tcBorders>
                    <w:left w:val="nil"/>
                    <w:right w:val="single" w:sz="2" w:space="0" w:color="000000"/>
                  </w:tcBorders>
                  <w:vAlign w:val="center"/>
                </w:tcPr>
                <w:p w14:paraId="6DFC11D7"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A454CE1"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FA3439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4.5.4</w:t>
                  </w:r>
                  <w:r>
                    <w:rPr>
                      <w:rFonts w:ascii="Times New Roman" w:hAnsi="Times New Roman" w:cs="Times New Roman"/>
                      <w:color w:val="auto"/>
                      <w:spacing w:val="26"/>
                      <w:sz w:val="21"/>
                      <w:szCs w:val="21"/>
                    </w:rPr>
                    <w:t xml:space="preserve"> </w:t>
                  </w:r>
                  <w:r>
                    <w:rPr>
                      <w:rFonts w:ascii="Times New Roman" w:hAnsi="Times New Roman" w:cs="Times New Roman"/>
                      <w:color w:val="auto"/>
                      <w:spacing w:val="12"/>
                      <w:sz w:val="21"/>
                      <w:szCs w:val="21"/>
                    </w:rPr>
                    <w:t>管道输送设备应保持良好的密闭性能，防止固体废物的滴</w:t>
                  </w:r>
                  <w:r>
                    <w:rPr>
                      <w:rFonts w:ascii="Times New Roman" w:hAnsi="Times New Roman" w:cs="Times New Roman"/>
                      <w:color w:val="auto"/>
                      <w:spacing w:val="11"/>
                      <w:sz w:val="21"/>
                      <w:szCs w:val="21"/>
                    </w:rPr>
                    <w:t>漏和溢出。</w:t>
                  </w:r>
                </w:p>
              </w:tc>
              <w:tc>
                <w:tcPr>
                  <w:tcW w:w="3306" w:type="dxa"/>
                  <w:tcBorders>
                    <w:left w:val="single" w:sz="2" w:space="0" w:color="000000"/>
                    <w:right w:val="single" w:sz="2" w:space="0" w:color="000000"/>
                  </w:tcBorders>
                  <w:vAlign w:val="center"/>
                </w:tcPr>
                <w:p w14:paraId="4565727E"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本项目管道输送设备保持良好的密闭</w:t>
                  </w:r>
                  <w:r>
                    <w:rPr>
                      <w:rFonts w:ascii="Times New Roman" w:hAnsi="Times New Roman" w:cs="Times New Roman"/>
                      <w:color w:val="auto"/>
                      <w:spacing w:val="11"/>
                      <w:sz w:val="21"/>
                      <w:szCs w:val="21"/>
                    </w:rPr>
                    <w:t>性能，防止废物的滴漏和溢出。</w:t>
                  </w:r>
                </w:p>
              </w:tc>
              <w:tc>
                <w:tcPr>
                  <w:tcW w:w="789" w:type="dxa"/>
                  <w:vMerge/>
                  <w:tcBorders>
                    <w:left w:val="single" w:sz="2" w:space="0" w:color="000000"/>
                    <w:right w:val="nil"/>
                  </w:tcBorders>
                  <w:vAlign w:val="center"/>
                </w:tcPr>
                <w:p w14:paraId="5FE615CD" w14:textId="77777777" w:rsidR="00F76A63" w:rsidRDefault="00F76A63">
                  <w:pPr>
                    <w:jc w:val="center"/>
                    <w:rPr>
                      <w:szCs w:val="21"/>
                    </w:rPr>
                  </w:pPr>
                </w:p>
              </w:tc>
            </w:tr>
            <w:tr w:rsidR="00F76A63" w14:paraId="53012F82" w14:textId="77777777">
              <w:trPr>
                <w:trHeight w:val="117"/>
                <w:jc w:val="center"/>
              </w:trPr>
              <w:tc>
                <w:tcPr>
                  <w:tcW w:w="625" w:type="dxa"/>
                  <w:vMerge/>
                  <w:tcBorders>
                    <w:left w:val="nil"/>
                    <w:right w:val="single" w:sz="2" w:space="0" w:color="000000"/>
                  </w:tcBorders>
                  <w:vAlign w:val="center"/>
                </w:tcPr>
                <w:p w14:paraId="4866B737"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278F84E2"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7E9AC04"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4.5.5</w:t>
                  </w:r>
                  <w:r>
                    <w:rPr>
                      <w:rFonts w:ascii="Times New Roman" w:hAnsi="Times New Roman" w:cs="Times New Roman"/>
                      <w:color w:val="auto"/>
                      <w:spacing w:val="39"/>
                      <w:sz w:val="21"/>
                      <w:szCs w:val="21"/>
                    </w:rPr>
                    <w:t xml:space="preserve"> </w:t>
                  </w:r>
                  <w:r>
                    <w:rPr>
                      <w:rFonts w:ascii="Times New Roman" w:hAnsi="Times New Roman" w:cs="Times New Roman"/>
                      <w:color w:val="auto"/>
                      <w:spacing w:val="12"/>
                      <w:sz w:val="21"/>
                      <w:szCs w:val="21"/>
                    </w:rPr>
                    <w:t>非密闭输送设备（如传送带、抓料斗等）应采取防护措施（如加设防护</w:t>
                  </w:r>
                  <w:r>
                    <w:rPr>
                      <w:rFonts w:ascii="Times New Roman" w:hAnsi="Times New Roman" w:cs="Times New Roman"/>
                      <w:color w:val="auto"/>
                      <w:spacing w:val="7"/>
                      <w:sz w:val="21"/>
                      <w:szCs w:val="21"/>
                    </w:rPr>
                    <w:t>罩</w:t>
                  </w:r>
                  <w:r>
                    <w:rPr>
                      <w:rFonts w:ascii="Times New Roman" w:hAnsi="Times New Roman" w:cs="Times New Roman"/>
                      <w:color w:val="auto"/>
                      <w:spacing w:val="5"/>
                      <w:sz w:val="21"/>
                      <w:szCs w:val="21"/>
                    </w:rPr>
                    <w:t>）</w:t>
                  </w:r>
                  <w:r>
                    <w:rPr>
                      <w:rFonts w:ascii="Times New Roman" w:hAnsi="Times New Roman" w:cs="Times New Roman"/>
                      <w:color w:val="auto"/>
                      <w:spacing w:val="-55"/>
                      <w:sz w:val="21"/>
                      <w:szCs w:val="21"/>
                    </w:rPr>
                    <w:t xml:space="preserve"> </w:t>
                  </w:r>
                  <w:r>
                    <w:rPr>
                      <w:rFonts w:ascii="Times New Roman" w:hAnsi="Times New Roman" w:cs="Times New Roman"/>
                      <w:color w:val="auto"/>
                      <w:spacing w:val="5"/>
                      <w:sz w:val="21"/>
                      <w:szCs w:val="21"/>
                    </w:rPr>
                    <w:t>，</w:t>
                  </w:r>
                  <w:r>
                    <w:rPr>
                      <w:rFonts w:ascii="Times New Roman" w:hAnsi="Times New Roman" w:cs="Times New Roman"/>
                      <w:color w:val="auto"/>
                      <w:spacing w:val="7"/>
                      <w:sz w:val="21"/>
                      <w:szCs w:val="21"/>
                    </w:rPr>
                    <w:t>防止粉尘飘散。</w:t>
                  </w:r>
                </w:p>
              </w:tc>
              <w:tc>
                <w:tcPr>
                  <w:tcW w:w="3306" w:type="dxa"/>
                  <w:tcBorders>
                    <w:left w:val="single" w:sz="2" w:space="0" w:color="000000"/>
                    <w:right w:val="single" w:sz="2" w:space="0" w:color="000000"/>
                  </w:tcBorders>
                  <w:vAlign w:val="center"/>
                </w:tcPr>
                <w:p w14:paraId="6A78EE1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w:t>
                  </w:r>
                  <w:r>
                    <w:rPr>
                      <w:rFonts w:ascii="Times New Roman" w:hAnsi="Times New Roman" w:cs="Times New Roman" w:hint="eastAsia"/>
                      <w:color w:val="auto"/>
                      <w:spacing w:val="13"/>
                      <w:sz w:val="21"/>
                      <w:szCs w:val="21"/>
                    </w:rPr>
                    <w:t>输送设备均为密闭</w:t>
                  </w:r>
                  <w:r>
                    <w:rPr>
                      <w:rFonts w:ascii="Times New Roman" w:hAnsi="Times New Roman" w:cs="Times New Roman"/>
                      <w:color w:val="auto"/>
                      <w:spacing w:val="7"/>
                      <w:sz w:val="21"/>
                      <w:szCs w:val="21"/>
                    </w:rPr>
                    <w:t>。</w:t>
                  </w:r>
                </w:p>
              </w:tc>
              <w:tc>
                <w:tcPr>
                  <w:tcW w:w="789" w:type="dxa"/>
                  <w:vMerge/>
                  <w:tcBorders>
                    <w:left w:val="single" w:sz="2" w:space="0" w:color="000000"/>
                    <w:right w:val="nil"/>
                  </w:tcBorders>
                  <w:vAlign w:val="center"/>
                </w:tcPr>
                <w:p w14:paraId="3C52E3FD" w14:textId="77777777" w:rsidR="00F76A63" w:rsidRDefault="00F76A63">
                  <w:pPr>
                    <w:jc w:val="center"/>
                    <w:rPr>
                      <w:szCs w:val="21"/>
                    </w:rPr>
                  </w:pPr>
                </w:p>
              </w:tc>
            </w:tr>
            <w:tr w:rsidR="00F76A63" w14:paraId="31917E08" w14:textId="77777777">
              <w:trPr>
                <w:trHeight w:val="117"/>
                <w:jc w:val="center"/>
              </w:trPr>
              <w:tc>
                <w:tcPr>
                  <w:tcW w:w="625" w:type="dxa"/>
                  <w:vMerge/>
                  <w:tcBorders>
                    <w:left w:val="nil"/>
                    <w:right w:val="single" w:sz="2" w:space="0" w:color="000000"/>
                  </w:tcBorders>
                  <w:vAlign w:val="center"/>
                </w:tcPr>
                <w:p w14:paraId="6F887CD1"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2296206"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8A2630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4.5.6</w:t>
                  </w:r>
                  <w:r>
                    <w:rPr>
                      <w:rFonts w:ascii="Times New Roman" w:hAnsi="Times New Roman" w:cs="Times New Roman"/>
                      <w:color w:val="auto"/>
                      <w:spacing w:val="22"/>
                      <w:sz w:val="21"/>
                      <w:szCs w:val="21"/>
                    </w:rPr>
                    <w:t xml:space="preserve"> </w:t>
                  </w:r>
                  <w:r>
                    <w:rPr>
                      <w:rFonts w:ascii="Times New Roman" w:hAnsi="Times New Roman" w:cs="Times New Roman"/>
                      <w:color w:val="auto"/>
                      <w:spacing w:val="12"/>
                      <w:sz w:val="21"/>
                      <w:szCs w:val="21"/>
                    </w:rPr>
                    <w:t>移动式输送设备，应采取措施防止粉尘飘散</w:t>
                  </w:r>
                  <w:r>
                    <w:rPr>
                      <w:rFonts w:ascii="Times New Roman" w:hAnsi="Times New Roman" w:cs="Times New Roman"/>
                      <w:color w:val="auto"/>
                      <w:spacing w:val="11"/>
                      <w:sz w:val="21"/>
                      <w:szCs w:val="21"/>
                    </w:rPr>
                    <w:t>和固体废物遗撒。</w:t>
                  </w:r>
                </w:p>
              </w:tc>
              <w:tc>
                <w:tcPr>
                  <w:tcW w:w="3306" w:type="dxa"/>
                  <w:tcBorders>
                    <w:left w:val="single" w:sz="2" w:space="0" w:color="000000"/>
                    <w:right w:val="single" w:sz="2" w:space="0" w:color="000000"/>
                  </w:tcBorders>
                  <w:vAlign w:val="center"/>
                </w:tcPr>
                <w:p w14:paraId="38BD33F8"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hint="eastAsia"/>
                      <w:color w:val="auto"/>
                      <w:spacing w:val="10"/>
                      <w:sz w:val="21"/>
                      <w:szCs w:val="21"/>
                    </w:rPr>
                    <w:t>本项目不涉及移动</w:t>
                  </w:r>
                  <w:r>
                    <w:rPr>
                      <w:rFonts w:ascii="Times New Roman" w:hAnsi="Times New Roman" w:cs="Times New Roman"/>
                      <w:color w:val="auto"/>
                      <w:spacing w:val="12"/>
                      <w:sz w:val="21"/>
                      <w:szCs w:val="21"/>
                    </w:rPr>
                    <w:t>式输送设备</w:t>
                  </w:r>
                  <w:r>
                    <w:rPr>
                      <w:rFonts w:ascii="Times New Roman" w:hAnsi="Times New Roman" w:cs="Times New Roman" w:hint="eastAsia"/>
                      <w:color w:val="auto"/>
                      <w:spacing w:val="12"/>
                      <w:sz w:val="21"/>
                      <w:szCs w:val="21"/>
                    </w:rPr>
                    <w:t>。</w:t>
                  </w:r>
                </w:p>
              </w:tc>
              <w:tc>
                <w:tcPr>
                  <w:tcW w:w="789" w:type="dxa"/>
                  <w:vMerge/>
                  <w:tcBorders>
                    <w:left w:val="single" w:sz="2" w:space="0" w:color="000000"/>
                    <w:right w:val="nil"/>
                  </w:tcBorders>
                  <w:vAlign w:val="center"/>
                </w:tcPr>
                <w:p w14:paraId="4D7F8EAE" w14:textId="77777777" w:rsidR="00F76A63" w:rsidRDefault="00F76A63">
                  <w:pPr>
                    <w:jc w:val="center"/>
                    <w:rPr>
                      <w:szCs w:val="21"/>
                    </w:rPr>
                  </w:pPr>
                </w:p>
              </w:tc>
            </w:tr>
            <w:tr w:rsidR="00F76A63" w14:paraId="78D61A2A" w14:textId="77777777">
              <w:trPr>
                <w:trHeight w:val="117"/>
                <w:jc w:val="center"/>
              </w:trPr>
              <w:tc>
                <w:tcPr>
                  <w:tcW w:w="625" w:type="dxa"/>
                  <w:vMerge/>
                  <w:tcBorders>
                    <w:left w:val="nil"/>
                    <w:right w:val="single" w:sz="2" w:space="0" w:color="000000"/>
                  </w:tcBorders>
                  <w:vAlign w:val="center"/>
                </w:tcPr>
                <w:p w14:paraId="359CC40F"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5A1A5468"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F24F545"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4.5.7</w:t>
                  </w:r>
                  <w:r>
                    <w:rPr>
                      <w:rFonts w:ascii="Times New Roman" w:hAnsi="Times New Roman" w:cs="Times New Roman"/>
                      <w:color w:val="auto"/>
                      <w:spacing w:val="27"/>
                      <w:sz w:val="21"/>
                      <w:szCs w:val="21"/>
                    </w:rPr>
                    <w:t xml:space="preserve"> </w:t>
                  </w:r>
                  <w:r>
                    <w:rPr>
                      <w:rFonts w:ascii="Times New Roman" w:hAnsi="Times New Roman" w:cs="Times New Roman"/>
                      <w:color w:val="auto"/>
                      <w:spacing w:val="12"/>
                      <w:sz w:val="21"/>
                      <w:szCs w:val="21"/>
                    </w:rPr>
                    <w:t>厂内输送危险废物的管道、传送带应在显眼处标有</w:t>
                  </w:r>
                  <w:r>
                    <w:rPr>
                      <w:rFonts w:ascii="Times New Roman" w:hAnsi="Times New Roman" w:cs="Times New Roman"/>
                      <w:color w:val="auto"/>
                      <w:spacing w:val="11"/>
                      <w:sz w:val="21"/>
                      <w:szCs w:val="21"/>
                    </w:rPr>
                    <w:t>安全警告信息。</w:t>
                  </w:r>
                </w:p>
              </w:tc>
              <w:tc>
                <w:tcPr>
                  <w:tcW w:w="3306" w:type="dxa"/>
                  <w:tcBorders>
                    <w:left w:val="single" w:sz="2" w:space="0" w:color="000000"/>
                    <w:bottom w:val="single" w:sz="2" w:space="0" w:color="000000"/>
                    <w:right w:val="single" w:sz="2" w:space="0" w:color="000000"/>
                  </w:tcBorders>
                  <w:vAlign w:val="center"/>
                </w:tcPr>
                <w:p w14:paraId="07E22998"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2"/>
                      <w:sz w:val="21"/>
                      <w:szCs w:val="21"/>
                    </w:rPr>
                    <w:t>本项目不涉及协同处置危险废物。</w:t>
                  </w:r>
                </w:p>
              </w:tc>
              <w:tc>
                <w:tcPr>
                  <w:tcW w:w="789" w:type="dxa"/>
                  <w:vMerge/>
                  <w:tcBorders>
                    <w:left w:val="single" w:sz="2" w:space="0" w:color="000000"/>
                    <w:bottom w:val="single" w:sz="2" w:space="0" w:color="000000"/>
                    <w:right w:val="nil"/>
                  </w:tcBorders>
                  <w:vAlign w:val="center"/>
                </w:tcPr>
                <w:p w14:paraId="0A625150" w14:textId="77777777" w:rsidR="00F76A63" w:rsidRDefault="00F76A63">
                  <w:pPr>
                    <w:jc w:val="center"/>
                    <w:rPr>
                      <w:szCs w:val="21"/>
                    </w:rPr>
                  </w:pPr>
                </w:p>
              </w:tc>
            </w:tr>
            <w:tr w:rsidR="00F76A63" w14:paraId="4C430D18" w14:textId="77777777">
              <w:trPr>
                <w:trHeight w:val="207"/>
                <w:jc w:val="center"/>
              </w:trPr>
              <w:tc>
                <w:tcPr>
                  <w:tcW w:w="625" w:type="dxa"/>
                  <w:vMerge/>
                  <w:tcBorders>
                    <w:left w:val="nil"/>
                    <w:right w:val="single" w:sz="2" w:space="0" w:color="000000"/>
                  </w:tcBorders>
                  <w:vAlign w:val="center"/>
                </w:tcPr>
                <w:p w14:paraId="48B6AEA0"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23560339"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4.6 </w:t>
                  </w:r>
                  <w:r>
                    <w:rPr>
                      <w:rFonts w:ascii="Times New Roman" w:hAnsi="Times New Roman" w:cs="Times New Roman"/>
                      <w:color w:val="auto"/>
                      <w:spacing w:val="3"/>
                      <w:sz w:val="21"/>
                      <w:szCs w:val="21"/>
                    </w:rPr>
                    <w:t>分析化验室</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5C6660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 xml:space="preserve">4.6.1 </w:t>
                  </w:r>
                  <w:r>
                    <w:rPr>
                      <w:rFonts w:ascii="Times New Roman" w:hAnsi="Times New Roman" w:cs="Times New Roman"/>
                      <w:color w:val="auto"/>
                      <w:spacing w:val="13"/>
                      <w:sz w:val="21"/>
                      <w:szCs w:val="21"/>
                    </w:rPr>
                    <w:t>从事固体废物协同处置的企业，应在原有水泥生产分析化验室的基础上，增加必要的固体废物分析化验设备。</w:t>
                  </w:r>
                </w:p>
              </w:tc>
              <w:tc>
                <w:tcPr>
                  <w:tcW w:w="3306" w:type="dxa"/>
                  <w:vMerge w:val="restart"/>
                  <w:tcBorders>
                    <w:top w:val="single" w:sz="2" w:space="0" w:color="000000"/>
                    <w:left w:val="single" w:sz="2" w:space="0" w:color="000000"/>
                    <w:right w:val="single" w:sz="2" w:space="0" w:color="000000"/>
                  </w:tcBorders>
                  <w:vAlign w:val="center"/>
                </w:tcPr>
                <w:p w14:paraId="174580A7"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本项目</w:t>
                  </w:r>
                  <w:r>
                    <w:rPr>
                      <w:rFonts w:ascii="Times New Roman" w:hAnsi="Times New Roman" w:cs="Times New Roman" w:hint="eastAsia"/>
                      <w:color w:val="auto"/>
                      <w:spacing w:val="10"/>
                      <w:sz w:val="21"/>
                      <w:szCs w:val="21"/>
                    </w:rPr>
                    <w:t>依托</w:t>
                  </w:r>
                  <w:r>
                    <w:rPr>
                      <w:rFonts w:ascii="Times New Roman" w:hAnsi="Times New Roman" w:cs="Times New Roman"/>
                      <w:color w:val="auto"/>
                      <w:spacing w:val="10"/>
                      <w:sz w:val="21"/>
                      <w:szCs w:val="21"/>
                    </w:rPr>
                    <w:t>现有分析化验室，并具备以下检测能力：</w:t>
                  </w:r>
                </w:p>
                <w:p w14:paraId="6065332C" w14:textId="77777777" w:rsidR="00F76A63" w:rsidRDefault="00000000">
                  <w:pPr>
                    <w:pStyle w:val="TableText"/>
                    <w:jc w:val="center"/>
                    <w:rPr>
                      <w:rFonts w:ascii="Times New Roman" w:hAnsi="Times New Roman" w:cs="Times New Roman"/>
                      <w:color w:val="auto"/>
                      <w:spacing w:val="10"/>
                      <w:sz w:val="21"/>
                      <w:szCs w:val="21"/>
                    </w:rPr>
                  </w:pPr>
                  <w:r>
                    <w:rPr>
                      <w:rFonts w:ascii="Cambria Math" w:hAnsi="Cambria Math" w:cs="Cambria Math"/>
                      <w:color w:val="auto"/>
                      <w:spacing w:val="10"/>
                      <w:sz w:val="21"/>
                      <w:szCs w:val="21"/>
                    </w:rPr>
                    <w:t>①</w:t>
                  </w:r>
                  <w:r>
                    <w:rPr>
                      <w:rFonts w:ascii="Times New Roman" w:hAnsi="Times New Roman" w:cs="Times New Roman"/>
                      <w:color w:val="auto"/>
                      <w:spacing w:val="10"/>
                      <w:sz w:val="21"/>
                      <w:szCs w:val="21"/>
                    </w:rPr>
                    <w:t>具备《工业固体废物采样制样技术规范》（</w:t>
                  </w:r>
                  <w:r>
                    <w:rPr>
                      <w:rFonts w:ascii="Times New Roman" w:hAnsi="Times New Roman" w:cs="Times New Roman"/>
                      <w:color w:val="auto"/>
                      <w:spacing w:val="10"/>
                      <w:sz w:val="21"/>
                      <w:szCs w:val="21"/>
                    </w:rPr>
                    <w:t>HJ/T20</w:t>
                  </w:r>
                  <w:r>
                    <w:rPr>
                      <w:rFonts w:ascii="Times New Roman" w:hAnsi="Times New Roman" w:cs="Times New Roman"/>
                      <w:color w:val="auto"/>
                      <w:spacing w:val="10"/>
                      <w:sz w:val="21"/>
                      <w:szCs w:val="21"/>
                    </w:rPr>
                    <w:t>）要求的采样制样能力、工具和仪器；</w:t>
                  </w:r>
                  <w:r>
                    <w:rPr>
                      <w:rFonts w:ascii="Cambria Math" w:hAnsi="Cambria Math" w:cs="Cambria Math"/>
                      <w:color w:val="auto"/>
                      <w:spacing w:val="10"/>
                      <w:sz w:val="21"/>
                      <w:szCs w:val="21"/>
                    </w:rPr>
                    <w:t>②</w:t>
                  </w:r>
                  <w:r>
                    <w:rPr>
                      <w:rFonts w:ascii="Times New Roman" w:hAnsi="Times New Roman" w:cs="Times New Roman"/>
                      <w:color w:val="auto"/>
                      <w:spacing w:val="10"/>
                      <w:sz w:val="21"/>
                      <w:szCs w:val="21"/>
                    </w:rPr>
                    <w:t>汞（</w:t>
                  </w:r>
                  <w:r>
                    <w:rPr>
                      <w:rFonts w:ascii="Times New Roman" w:hAnsi="Times New Roman" w:cs="Times New Roman"/>
                      <w:color w:val="auto"/>
                      <w:spacing w:val="10"/>
                      <w:sz w:val="21"/>
                      <w:szCs w:val="21"/>
                    </w:rPr>
                    <w:t>Hg</w:t>
                  </w:r>
                  <w:r>
                    <w:rPr>
                      <w:rFonts w:ascii="Times New Roman" w:hAnsi="Times New Roman" w:cs="Times New Roman"/>
                      <w:color w:val="auto"/>
                      <w:spacing w:val="10"/>
                      <w:sz w:val="21"/>
                      <w:szCs w:val="21"/>
                    </w:rPr>
                    <w:t>）、镉（</w:t>
                  </w:r>
                  <w:r>
                    <w:rPr>
                      <w:rFonts w:ascii="Times New Roman" w:hAnsi="Times New Roman" w:cs="Times New Roman"/>
                      <w:color w:val="auto"/>
                      <w:spacing w:val="10"/>
                      <w:sz w:val="21"/>
                      <w:szCs w:val="21"/>
                    </w:rPr>
                    <w:t>Cd</w:t>
                  </w:r>
                  <w:r>
                    <w:rPr>
                      <w:rFonts w:ascii="Times New Roman" w:hAnsi="Times New Roman" w:cs="Times New Roman"/>
                      <w:color w:val="auto"/>
                      <w:spacing w:val="10"/>
                      <w:sz w:val="21"/>
                      <w:szCs w:val="21"/>
                    </w:rPr>
                    <w:t>）、铊（</w:t>
                  </w:r>
                  <w:r>
                    <w:rPr>
                      <w:rFonts w:ascii="Times New Roman" w:hAnsi="Times New Roman" w:cs="Times New Roman"/>
                      <w:color w:val="auto"/>
                      <w:spacing w:val="10"/>
                      <w:sz w:val="21"/>
                      <w:szCs w:val="21"/>
                    </w:rPr>
                    <w:t>Tl</w:t>
                  </w:r>
                  <w:r>
                    <w:rPr>
                      <w:rFonts w:ascii="Times New Roman" w:hAnsi="Times New Roman" w:cs="Times New Roman"/>
                      <w:color w:val="auto"/>
                      <w:spacing w:val="10"/>
                      <w:sz w:val="21"/>
                      <w:szCs w:val="21"/>
                    </w:rPr>
                    <w:t>）、砷（</w:t>
                  </w:r>
                  <w:r>
                    <w:rPr>
                      <w:rFonts w:ascii="Times New Roman" w:hAnsi="Times New Roman" w:cs="Times New Roman"/>
                      <w:color w:val="auto"/>
                      <w:spacing w:val="10"/>
                      <w:sz w:val="21"/>
                      <w:szCs w:val="21"/>
                    </w:rPr>
                    <w:t>As</w:t>
                  </w:r>
                  <w:r>
                    <w:rPr>
                      <w:rFonts w:ascii="Times New Roman" w:hAnsi="Times New Roman" w:cs="Times New Roman"/>
                      <w:color w:val="auto"/>
                      <w:spacing w:val="10"/>
                      <w:sz w:val="21"/>
                      <w:szCs w:val="21"/>
                    </w:rPr>
                    <w:t>）、镍（</w:t>
                  </w:r>
                  <w:r>
                    <w:rPr>
                      <w:rFonts w:ascii="Times New Roman" w:hAnsi="Times New Roman" w:cs="Times New Roman"/>
                      <w:color w:val="auto"/>
                      <w:spacing w:val="10"/>
                      <w:sz w:val="21"/>
                      <w:szCs w:val="21"/>
                    </w:rPr>
                    <w:t>Ni</w:t>
                  </w:r>
                  <w:r>
                    <w:rPr>
                      <w:rFonts w:ascii="Times New Roman" w:hAnsi="Times New Roman" w:cs="Times New Roman"/>
                      <w:color w:val="auto"/>
                      <w:spacing w:val="10"/>
                      <w:sz w:val="21"/>
                      <w:szCs w:val="21"/>
                    </w:rPr>
                    <w:t>）、铅（</w:t>
                  </w:r>
                  <w:r>
                    <w:rPr>
                      <w:rFonts w:ascii="Times New Roman" w:hAnsi="Times New Roman" w:cs="Times New Roman"/>
                      <w:color w:val="auto"/>
                      <w:spacing w:val="10"/>
                      <w:sz w:val="21"/>
                      <w:szCs w:val="21"/>
                    </w:rPr>
                    <w:t>Pb</w:t>
                  </w:r>
                  <w:r>
                    <w:rPr>
                      <w:rFonts w:ascii="Times New Roman" w:hAnsi="Times New Roman" w:cs="Times New Roman"/>
                      <w:color w:val="auto"/>
                      <w:spacing w:val="10"/>
                      <w:sz w:val="21"/>
                      <w:szCs w:val="21"/>
                    </w:rPr>
                    <w:t>）、铬（</w:t>
                  </w:r>
                  <w:r>
                    <w:rPr>
                      <w:rFonts w:ascii="Times New Roman" w:hAnsi="Times New Roman" w:cs="Times New Roman"/>
                      <w:color w:val="auto"/>
                      <w:spacing w:val="10"/>
                      <w:sz w:val="21"/>
                      <w:szCs w:val="21"/>
                    </w:rPr>
                    <w:t>Cr</w:t>
                  </w:r>
                  <w:r>
                    <w:rPr>
                      <w:rFonts w:ascii="Times New Roman" w:hAnsi="Times New Roman" w:cs="Times New Roman"/>
                      <w:color w:val="auto"/>
                      <w:spacing w:val="10"/>
                      <w:sz w:val="21"/>
                      <w:szCs w:val="21"/>
                    </w:rPr>
                    <w:t>）、锡（</w:t>
                  </w:r>
                  <w:r>
                    <w:rPr>
                      <w:rFonts w:ascii="Times New Roman" w:hAnsi="Times New Roman" w:cs="Times New Roman"/>
                      <w:color w:val="auto"/>
                      <w:spacing w:val="10"/>
                      <w:sz w:val="21"/>
                      <w:szCs w:val="21"/>
                    </w:rPr>
                    <w:t>Sn</w:t>
                  </w:r>
                  <w:r>
                    <w:rPr>
                      <w:rFonts w:ascii="Times New Roman" w:hAnsi="Times New Roman" w:cs="Times New Roman"/>
                      <w:color w:val="auto"/>
                      <w:spacing w:val="10"/>
                      <w:sz w:val="21"/>
                      <w:szCs w:val="21"/>
                    </w:rPr>
                    <w:t>）、锑（</w:t>
                  </w:r>
                  <w:r>
                    <w:rPr>
                      <w:rFonts w:ascii="Times New Roman" w:hAnsi="Times New Roman" w:cs="Times New Roman"/>
                      <w:color w:val="auto"/>
                      <w:spacing w:val="10"/>
                      <w:sz w:val="21"/>
                      <w:szCs w:val="21"/>
                    </w:rPr>
                    <w:t>Sb</w:t>
                  </w:r>
                  <w:r>
                    <w:rPr>
                      <w:rFonts w:ascii="Times New Roman" w:hAnsi="Times New Roman" w:cs="Times New Roman"/>
                      <w:color w:val="auto"/>
                      <w:spacing w:val="10"/>
                      <w:sz w:val="21"/>
                      <w:szCs w:val="21"/>
                    </w:rPr>
                    <w:t>）、铜（</w:t>
                  </w:r>
                  <w:r>
                    <w:rPr>
                      <w:rFonts w:ascii="Times New Roman" w:hAnsi="Times New Roman" w:cs="Times New Roman"/>
                      <w:color w:val="auto"/>
                      <w:spacing w:val="10"/>
                      <w:sz w:val="21"/>
                      <w:szCs w:val="21"/>
                    </w:rPr>
                    <w:t>Cu</w:t>
                  </w:r>
                  <w:r>
                    <w:rPr>
                      <w:rFonts w:ascii="Times New Roman" w:hAnsi="Times New Roman" w:cs="Times New Roman"/>
                      <w:color w:val="auto"/>
                      <w:spacing w:val="10"/>
                      <w:sz w:val="21"/>
                      <w:szCs w:val="21"/>
                    </w:rPr>
                    <w:t>）、锰（</w:t>
                  </w:r>
                  <w:r>
                    <w:rPr>
                      <w:rFonts w:ascii="Times New Roman" w:hAnsi="Times New Roman" w:cs="Times New Roman"/>
                      <w:color w:val="auto"/>
                      <w:spacing w:val="10"/>
                      <w:sz w:val="21"/>
                      <w:szCs w:val="21"/>
                    </w:rPr>
                    <w:t>Mn</w:t>
                  </w:r>
                  <w:r>
                    <w:rPr>
                      <w:rFonts w:ascii="Times New Roman" w:hAnsi="Times New Roman" w:cs="Times New Roman"/>
                      <w:color w:val="auto"/>
                      <w:spacing w:val="10"/>
                      <w:sz w:val="21"/>
                      <w:szCs w:val="21"/>
                    </w:rPr>
                    <w:t>）、铍（</w:t>
                  </w:r>
                  <w:r>
                    <w:rPr>
                      <w:rFonts w:ascii="Times New Roman" w:hAnsi="Times New Roman" w:cs="Times New Roman"/>
                      <w:color w:val="auto"/>
                      <w:spacing w:val="10"/>
                      <w:sz w:val="21"/>
                      <w:szCs w:val="21"/>
                    </w:rPr>
                    <w:t>Be</w:t>
                  </w:r>
                  <w:r>
                    <w:rPr>
                      <w:rFonts w:ascii="Times New Roman" w:hAnsi="Times New Roman" w:cs="Times New Roman"/>
                      <w:color w:val="auto"/>
                      <w:spacing w:val="10"/>
                      <w:sz w:val="21"/>
                      <w:szCs w:val="21"/>
                    </w:rPr>
                    <w:t>）、锌（</w:t>
                  </w:r>
                  <w:r>
                    <w:rPr>
                      <w:rFonts w:ascii="Times New Roman" w:hAnsi="Times New Roman" w:cs="Times New Roman"/>
                      <w:color w:val="auto"/>
                      <w:spacing w:val="10"/>
                      <w:sz w:val="21"/>
                      <w:szCs w:val="21"/>
                    </w:rPr>
                    <w:t>Zn</w:t>
                  </w:r>
                  <w:r>
                    <w:rPr>
                      <w:rFonts w:ascii="Times New Roman" w:hAnsi="Times New Roman" w:cs="Times New Roman"/>
                      <w:color w:val="auto"/>
                      <w:spacing w:val="10"/>
                      <w:sz w:val="21"/>
                      <w:szCs w:val="21"/>
                    </w:rPr>
                    <w:t>）、钒（</w:t>
                  </w:r>
                  <w:r>
                    <w:rPr>
                      <w:rFonts w:ascii="Times New Roman" w:hAnsi="Times New Roman" w:cs="Times New Roman"/>
                      <w:color w:val="auto"/>
                      <w:spacing w:val="10"/>
                      <w:sz w:val="21"/>
                      <w:szCs w:val="21"/>
                    </w:rPr>
                    <w:t>V</w:t>
                  </w:r>
                  <w:r>
                    <w:rPr>
                      <w:rFonts w:ascii="Times New Roman" w:hAnsi="Times New Roman" w:cs="Times New Roman"/>
                      <w:color w:val="auto"/>
                      <w:spacing w:val="10"/>
                      <w:sz w:val="21"/>
                      <w:szCs w:val="21"/>
                    </w:rPr>
                    <w:t>）、钴（</w:t>
                  </w:r>
                  <w:r>
                    <w:rPr>
                      <w:rFonts w:ascii="Times New Roman" w:hAnsi="Times New Roman" w:cs="Times New Roman"/>
                      <w:color w:val="auto"/>
                      <w:spacing w:val="10"/>
                      <w:sz w:val="21"/>
                      <w:szCs w:val="21"/>
                    </w:rPr>
                    <w:t>Co</w:t>
                  </w:r>
                  <w:r>
                    <w:rPr>
                      <w:rFonts w:ascii="Times New Roman" w:hAnsi="Times New Roman" w:cs="Times New Roman"/>
                      <w:color w:val="auto"/>
                      <w:spacing w:val="10"/>
                      <w:sz w:val="21"/>
                      <w:szCs w:val="21"/>
                    </w:rPr>
                    <w:t>）、钼（</w:t>
                  </w:r>
                  <w:r>
                    <w:rPr>
                      <w:rFonts w:ascii="Times New Roman" w:hAnsi="Times New Roman" w:cs="Times New Roman"/>
                      <w:color w:val="auto"/>
                      <w:spacing w:val="10"/>
                      <w:sz w:val="21"/>
                      <w:szCs w:val="21"/>
                    </w:rPr>
                    <w:t>Mo</w:t>
                  </w:r>
                  <w:r>
                    <w:rPr>
                      <w:rFonts w:ascii="Times New Roman" w:hAnsi="Times New Roman" w:cs="Times New Roman"/>
                      <w:color w:val="auto"/>
                      <w:spacing w:val="10"/>
                      <w:sz w:val="21"/>
                      <w:szCs w:val="21"/>
                    </w:rPr>
                    <w:t>）、氟（</w:t>
                  </w:r>
                  <w:r>
                    <w:rPr>
                      <w:rFonts w:ascii="Times New Roman" w:hAnsi="Times New Roman" w:cs="Times New Roman"/>
                      <w:color w:val="auto"/>
                      <w:spacing w:val="10"/>
                      <w:sz w:val="21"/>
                      <w:szCs w:val="21"/>
                    </w:rPr>
                    <w:t>F</w:t>
                  </w:r>
                  <w:r>
                    <w:rPr>
                      <w:rFonts w:ascii="Times New Roman" w:hAnsi="Times New Roman" w:cs="Times New Roman"/>
                      <w:color w:val="auto"/>
                      <w:spacing w:val="10"/>
                      <w:sz w:val="21"/>
                      <w:szCs w:val="21"/>
                    </w:rPr>
                    <w:t>）、氯（</w:t>
                  </w:r>
                  <w:r>
                    <w:rPr>
                      <w:rFonts w:ascii="Times New Roman" w:hAnsi="Times New Roman" w:cs="Times New Roman"/>
                      <w:color w:val="auto"/>
                      <w:spacing w:val="10"/>
                      <w:sz w:val="21"/>
                      <w:szCs w:val="21"/>
                    </w:rPr>
                    <w:t>Cl</w:t>
                  </w:r>
                  <w:r>
                    <w:rPr>
                      <w:rFonts w:ascii="Times New Roman" w:hAnsi="Times New Roman" w:cs="Times New Roman"/>
                      <w:color w:val="auto"/>
                      <w:spacing w:val="10"/>
                      <w:sz w:val="21"/>
                      <w:szCs w:val="21"/>
                    </w:rPr>
                    <w:t>）和硫（</w:t>
                  </w:r>
                  <w:r>
                    <w:rPr>
                      <w:rFonts w:ascii="Times New Roman" w:hAnsi="Times New Roman" w:cs="Times New Roman"/>
                      <w:color w:val="auto"/>
                      <w:spacing w:val="10"/>
                      <w:sz w:val="21"/>
                      <w:szCs w:val="21"/>
                    </w:rPr>
                    <w:t>S</w:t>
                  </w:r>
                  <w:r>
                    <w:rPr>
                      <w:rFonts w:ascii="Times New Roman" w:hAnsi="Times New Roman" w:cs="Times New Roman"/>
                      <w:color w:val="auto"/>
                      <w:spacing w:val="10"/>
                      <w:sz w:val="21"/>
                      <w:szCs w:val="21"/>
                    </w:rPr>
                    <w:t>）的分析；</w:t>
                  </w:r>
                  <w:r>
                    <w:rPr>
                      <w:rFonts w:ascii="Cambria Math" w:hAnsi="Cambria Math" w:cs="Cambria Math"/>
                      <w:color w:val="auto"/>
                      <w:spacing w:val="10"/>
                      <w:sz w:val="21"/>
                      <w:szCs w:val="21"/>
                    </w:rPr>
                    <w:t>③</w:t>
                  </w:r>
                  <w:r>
                    <w:rPr>
                      <w:rFonts w:ascii="Times New Roman" w:hAnsi="Times New Roman" w:cs="Times New Roman"/>
                      <w:color w:val="auto"/>
                      <w:spacing w:val="10"/>
                      <w:sz w:val="21"/>
                      <w:szCs w:val="21"/>
                    </w:rPr>
                    <w:t>相容性测试，一般需要配备粘度仪、搅拌仪、温度计、压力计、</w:t>
                  </w:r>
                  <w:r>
                    <w:rPr>
                      <w:rFonts w:ascii="Times New Roman" w:hAnsi="Times New Roman" w:cs="Times New Roman"/>
                      <w:color w:val="auto"/>
                      <w:spacing w:val="10"/>
                      <w:sz w:val="21"/>
                      <w:szCs w:val="21"/>
                    </w:rPr>
                    <w:t>pH</w:t>
                  </w:r>
                  <w:r>
                    <w:rPr>
                      <w:rFonts w:ascii="Times New Roman" w:hAnsi="Times New Roman" w:cs="Times New Roman"/>
                      <w:color w:val="auto"/>
                      <w:spacing w:val="10"/>
                      <w:sz w:val="21"/>
                      <w:szCs w:val="21"/>
                    </w:rPr>
                    <w:t>计、反应气体收集装置等；</w:t>
                  </w:r>
                  <w:r>
                    <w:rPr>
                      <w:rFonts w:ascii="Cambria Math" w:hAnsi="Cambria Math" w:cs="Cambria Math"/>
                      <w:color w:val="auto"/>
                      <w:spacing w:val="10"/>
                      <w:sz w:val="21"/>
                      <w:szCs w:val="21"/>
                    </w:rPr>
                    <w:t>④</w:t>
                  </w:r>
                  <w:r>
                    <w:rPr>
                      <w:rFonts w:ascii="Times New Roman" w:hAnsi="Times New Roman" w:cs="Times New Roman"/>
                      <w:color w:val="auto"/>
                      <w:spacing w:val="10"/>
                      <w:sz w:val="21"/>
                      <w:szCs w:val="21"/>
                    </w:rPr>
                    <w:t>满足《固体废物生产水泥污染控制标准》监测要求的水泥产品环境安全性检测。</w:t>
                  </w:r>
                </w:p>
              </w:tc>
              <w:tc>
                <w:tcPr>
                  <w:tcW w:w="789" w:type="dxa"/>
                  <w:vMerge w:val="restart"/>
                  <w:tcBorders>
                    <w:top w:val="single" w:sz="2" w:space="0" w:color="000000"/>
                    <w:left w:val="single" w:sz="2" w:space="0" w:color="000000"/>
                    <w:right w:val="nil"/>
                  </w:tcBorders>
                  <w:vAlign w:val="center"/>
                </w:tcPr>
                <w:p w14:paraId="25691B24" w14:textId="77777777" w:rsidR="00F76A63" w:rsidRDefault="00000000">
                  <w:pPr>
                    <w:jc w:val="center"/>
                    <w:rPr>
                      <w:szCs w:val="21"/>
                    </w:rPr>
                  </w:pPr>
                  <w:r>
                    <w:rPr>
                      <w:szCs w:val="21"/>
                    </w:rPr>
                    <w:t>符合</w:t>
                  </w:r>
                </w:p>
              </w:tc>
            </w:tr>
            <w:tr w:rsidR="00F76A63" w14:paraId="2EDBB8BC" w14:textId="77777777">
              <w:trPr>
                <w:trHeight w:val="40"/>
                <w:jc w:val="center"/>
              </w:trPr>
              <w:tc>
                <w:tcPr>
                  <w:tcW w:w="625" w:type="dxa"/>
                  <w:vMerge/>
                  <w:tcBorders>
                    <w:left w:val="nil"/>
                    <w:right w:val="single" w:sz="2" w:space="0" w:color="000000"/>
                  </w:tcBorders>
                  <w:vAlign w:val="center"/>
                </w:tcPr>
                <w:p w14:paraId="435A2377"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40F6C96"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val="restart"/>
                  <w:tcBorders>
                    <w:top w:val="single" w:sz="2" w:space="0" w:color="000000"/>
                    <w:left w:val="single" w:sz="2" w:space="0" w:color="000000"/>
                    <w:right w:val="single" w:sz="2" w:space="0" w:color="000000"/>
                  </w:tcBorders>
                  <w:vAlign w:val="center"/>
                </w:tcPr>
                <w:p w14:paraId="0EC5A6F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4.6.2</w:t>
                  </w:r>
                  <w:r>
                    <w:rPr>
                      <w:rFonts w:ascii="Times New Roman" w:hAnsi="Times New Roman" w:cs="Times New Roman"/>
                      <w:color w:val="auto"/>
                      <w:spacing w:val="30"/>
                      <w:sz w:val="21"/>
                      <w:szCs w:val="21"/>
                    </w:rPr>
                    <w:t xml:space="preserve"> </w:t>
                  </w:r>
                  <w:r>
                    <w:rPr>
                      <w:rFonts w:ascii="Times New Roman" w:hAnsi="Times New Roman" w:cs="Times New Roman"/>
                      <w:color w:val="auto"/>
                      <w:spacing w:val="6"/>
                      <w:sz w:val="21"/>
                      <w:szCs w:val="21"/>
                    </w:rPr>
                    <w:t>分析化</w:t>
                  </w:r>
                  <w:r>
                    <w:rPr>
                      <w:rFonts w:ascii="Times New Roman" w:hAnsi="Times New Roman" w:cs="Times New Roman"/>
                      <w:color w:val="auto"/>
                      <w:spacing w:val="11"/>
                      <w:sz w:val="21"/>
                      <w:szCs w:val="21"/>
                    </w:rPr>
                    <w:t>验室应具备</w:t>
                  </w:r>
                  <w:r>
                    <w:rPr>
                      <w:rFonts w:ascii="Times New Roman" w:hAnsi="Times New Roman" w:cs="Times New Roman"/>
                      <w:color w:val="auto"/>
                      <w:spacing w:val="6"/>
                      <w:sz w:val="21"/>
                      <w:szCs w:val="21"/>
                    </w:rPr>
                    <w:t>以下检测能</w:t>
                  </w:r>
                  <w:r>
                    <w:rPr>
                      <w:rFonts w:ascii="Times New Roman" w:hAnsi="Times New Roman" w:cs="Times New Roman"/>
                      <w:color w:val="auto"/>
                      <w:spacing w:val="-2"/>
                      <w:sz w:val="21"/>
                      <w:szCs w:val="21"/>
                    </w:rPr>
                    <w:t>力：</w:t>
                  </w: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4FA2F79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a</w:t>
                  </w:r>
                  <w:r>
                    <w:rPr>
                      <w:rFonts w:ascii="Times New Roman" w:hAnsi="Times New Roman" w:cs="Times New Roman"/>
                      <w:color w:val="auto"/>
                      <w:spacing w:val="12"/>
                      <w:sz w:val="21"/>
                      <w:szCs w:val="21"/>
                    </w:rPr>
                    <w:t>）具备《工业固体废物采样制样技术规范》（</w:t>
                  </w:r>
                  <w:r>
                    <w:rPr>
                      <w:rFonts w:ascii="Times New Roman" w:hAnsi="Times New Roman" w:cs="Times New Roman"/>
                      <w:color w:val="auto"/>
                      <w:sz w:val="21"/>
                      <w:szCs w:val="21"/>
                    </w:rPr>
                    <w:t>HJ</w:t>
                  </w:r>
                  <w:r>
                    <w:rPr>
                      <w:rFonts w:ascii="Times New Roman" w:hAnsi="Times New Roman" w:cs="Times New Roman"/>
                      <w:color w:val="auto"/>
                      <w:spacing w:val="12"/>
                      <w:sz w:val="21"/>
                      <w:szCs w:val="21"/>
                    </w:rPr>
                    <w:t>/T20</w:t>
                  </w:r>
                  <w:r>
                    <w:rPr>
                      <w:rFonts w:ascii="Times New Roman" w:hAnsi="Times New Roman" w:cs="Times New Roman"/>
                      <w:color w:val="auto"/>
                      <w:spacing w:val="12"/>
                      <w:sz w:val="21"/>
                      <w:szCs w:val="21"/>
                    </w:rPr>
                    <w:t>）要求的采</w:t>
                  </w:r>
                  <w:r>
                    <w:rPr>
                      <w:rFonts w:ascii="Times New Roman" w:hAnsi="Times New Roman" w:cs="Times New Roman"/>
                      <w:color w:val="auto"/>
                      <w:spacing w:val="11"/>
                      <w:sz w:val="21"/>
                      <w:szCs w:val="21"/>
                    </w:rPr>
                    <w:t>样制样能力、工具和仪器。</w:t>
                  </w:r>
                </w:p>
              </w:tc>
              <w:tc>
                <w:tcPr>
                  <w:tcW w:w="3306" w:type="dxa"/>
                  <w:vMerge/>
                  <w:tcBorders>
                    <w:left w:val="single" w:sz="2" w:space="0" w:color="000000"/>
                    <w:right w:val="single" w:sz="2" w:space="0" w:color="000000"/>
                  </w:tcBorders>
                  <w:vAlign w:val="center"/>
                </w:tcPr>
                <w:p w14:paraId="3A006B7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D277C63" w14:textId="77777777" w:rsidR="00F76A63" w:rsidRDefault="00F76A63">
                  <w:pPr>
                    <w:jc w:val="center"/>
                    <w:rPr>
                      <w:szCs w:val="21"/>
                    </w:rPr>
                  </w:pPr>
                </w:p>
              </w:tc>
            </w:tr>
            <w:tr w:rsidR="00F76A63" w14:paraId="606B5567" w14:textId="77777777">
              <w:trPr>
                <w:trHeight w:val="40"/>
                <w:jc w:val="center"/>
              </w:trPr>
              <w:tc>
                <w:tcPr>
                  <w:tcW w:w="625" w:type="dxa"/>
                  <w:vMerge/>
                  <w:tcBorders>
                    <w:left w:val="nil"/>
                    <w:right w:val="single" w:sz="2" w:space="0" w:color="000000"/>
                  </w:tcBorders>
                  <w:vAlign w:val="center"/>
                </w:tcPr>
                <w:p w14:paraId="3E4AC4D0"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56D2219"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right w:val="single" w:sz="2" w:space="0" w:color="000000"/>
                  </w:tcBorders>
                  <w:vAlign w:val="center"/>
                </w:tcPr>
                <w:p w14:paraId="56C1FE4F"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6B4605B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b</w:t>
                  </w:r>
                  <w:r>
                    <w:rPr>
                      <w:rFonts w:ascii="Times New Roman" w:hAnsi="Times New Roman" w:cs="Times New Roman"/>
                      <w:color w:val="auto"/>
                      <w:spacing w:val="12"/>
                      <w:sz w:val="21"/>
                      <w:szCs w:val="21"/>
                    </w:rPr>
                    <w:t>）所协同处置的固体废物、水泥生产原料中汞（</w:t>
                  </w:r>
                  <w:r>
                    <w:rPr>
                      <w:rFonts w:ascii="Times New Roman" w:hAnsi="Times New Roman" w:cs="Times New Roman"/>
                      <w:color w:val="auto"/>
                      <w:sz w:val="21"/>
                      <w:szCs w:val="21"/>
                    </w:rPr>
                    <w:t>Hg</w:t>
                  </w:r>
                  <w:r>
                    <w:rPr>
                      <w:rFonts w:ascii="Times New Roman" w:hAnsi="Times New Roman" w:cs="Times New Roman"/>
                      <w:color w:val="auto"/>
                      <w:spacing w:val="12"/>
                      <w:sz w:val="21"/>
                      <w:szCs w:val="21"/>
                    </w:rPr>
                    <w:t>）、镉</w:t>
                  </w:r>
                  <w:r>
                    <w:rPr>
                      <w:rFonts w:ascii="Times New Roman" w:hAnsi="Times New Roman" w:cs="Times New Roman"/>
                      <w:color w:val="auto"/>
                      <w:spacing w:val="6"/>
                      <w:sz w:val="21"/>
                      <w:szCs w:val="21"/>
                    </w:rPr>
                    <w:t>（</w:t>
                  </w:r>
                  <w:r>
                    <w:rPr>
                      <w:rFonts w:ascii="Times New Roman" w:hAnsi="Times New Roman" w:cs="Times New Roman"/>
                      <w:color w:val="auto"/>
                      <w:sz w:val="21"/>
                      <w:szCs w:val="21"/>
                    </w:rPr>
                    <w:t>Cd</w:t>
                  </w:r>
                  <w:r>
                    <w:rPr>
                      <w:rFonts w:ascii="Times New Roman" w:hAnsi="Times New Roman" w:cs="Times New Roman"/>
                      <w:color w:val="auto"/>
                      <w:spacing w:val="6"/>
                      <w:sz w:val="21"/>
                      <w:szCs w:val="21"/>
                    </w:rPr>
                    <w:t>）、铊（</w:t>
                  </w:r>
                  <w:r>
                    <w:rPr>
                      <w:rFonts w:ascii="Times New Roman" w:hAnsi="Times New Roman" w:cs="Times New Roman"/>
                      <w:color w:val="auto"/>
                      <w:sz w:val="21"/>
                      <w:szCs w:val="21"/>
                    </w:rPr>
                    <w:t>Tl</w:t>
                  </w:r>
                  <w:r>
                    <w:rPr>
                      <w:rFonts w:ascii="Times New Roman" w:hAnsi="Times New Roman" w:cs="Times New Roman"/>
                      <w:color w:val="auto"/>
                      <w:spacing w:val="6"/>
                      <w:sz w:val="21"/>
                      <w:szCs w:val="21"/>
                    </w:rPr>
                    <w:t>）、砷（</w:t>
                  </w:r>
                  <w:r>
                    <w:rPr>
                      <w:rFonts w:ascii="Times New Roman" w:hAnsi="Times New Roman" w:cs="Times New Roman"/>
                      <w:color w:val="auto"/>
                      <w:sz w:val="21"/>
                      <w:szCs w:val="21"/>
                    </w:rPr>
                    <w:t>As</w:t>
                  </w:r>
                  <w:r>
                    <w:rPr>
                      <w:rFonts w:ascii="Times New Roman" w:hAnsi="Times New Roman" w:cs="Times New Roman"/>
                      <w:color w:val="auto"/>
                      <w:spacing w:val="6"/>
                      <w:sz w:val="21"/>
                      <w:szCs w:val="21"/>
                    </w:rPr>
                    <w:t>）</w:t>
                  </w:r>
                  <w:r>
                    <w:rPr>
                      <w:rFonts w:ascii="Times New Roman" w:hAnsi="Times New Roman" w:cs="Times New Roman"/>
                      <w:color w:val="auto"/>
                      <w:spacing w:val="-57"/>
                      <w:sz w:val="21"/>
                      <w:szCs w:val="21"/>
                    </w:rPr>
                    <w:t xml:space="preserve"> </w:t>
                  </w:r>
                  <w:r>
                    <w:rPr>
                      <w:rFonts w:ascii="Times New Roman" w:hAnsi="Times New Roman" w:cs="Times New Roman"/>
                      <w:color w:val="auto"/>
                      <w:spacing w:val="6"/>
                      <w:sz w:val="21"/>
                      <w:szCs w:val="21"/>
                    </w:rPr>
                    <w:t>、镍（</w:t>
                  </w:r>
                  <w:r>
                    <w:rPr>
                      <w:rFonts w:ascii="Times New Roman" w:hAnsi="Times New Roman" w:cs="Times New Roman"/>
                      <w:color w:val="auto"/>
                      <w:sz w:val="21"/>
                      <w:szCs w:val="21"/>
                    </w:rPr>
                    <w:t>Ni</w:t>
                  </w:r>
                  <w:r>
                    <w:rPr>
                      <w:rFonts w:ascii="Times New Roman" w:hAnsi="Times New Roman" w:cs="Times New Roman"/>
                      <w:color w:val="auto"/>
                      <w:spacing w:val="6"/>
                      <w:sz w:val="21"/>
                      <w:szCs w:val="21"/>
                    </w:rPr>
                    <w:t>）、铅（</w:t>
                  </w:r>
                  <w:r>
                    <w:rPr>
                      <w:rFonts w:ascii="Times New Roman" w:hAnsi="Times New Roman" w:cs="Times New Roman"/>
                      <w:color w:val="auto"/>
                      <w:sz w:val="21"/>
                      <w:szCs w:val="21"/>
                    </w:rPr>
                    <w:t>Pb</w:t>
                  </w:r>
                  <w:r>
                    <w:rPr>
                      <w:rFonts w:ascii="Times New Roman" w:hAnsi="Times New Roman" w:cs="Times New Roman"/>
                      <w:color w:val="auto"/>
                      <w:spacing w:val="6"/>
                      <w:sz w:val="21"/>
                      <w:szCs w:val="21"/>
                    </w:rPr>
                    <w:t>）、铬（</w:t>
                  </w:r>
                  <w:r>
                    <w:rPr>
                      <w:rFonts w:ascii="Times New Roman" w:hAnsi="Times New Roman" w:cs="Times New Roman"/>
                      <w:color w:val="auto"/>
                      <w:sz w:val="21"/>
                      <w:szCs w:val="21"/>
                    </w:rPr>
                    <w:t>Cr</w:t>
                  </w:r>
                  <w:r>
                    <w:rPr>
                      <w:rFonts w:ascii="Times New Roman" w:hAnsi="Times New Roman" w:cs="Times New Roman"/>
                      <w:color w:val="auto"/>
                      <w:spacing w:val="6"/>
                      <w:sz w:val="21"/>
                      <w:szCs w:val="21"/>
                    </w:rPr>
                    <w:t>）、锡（</w:t>
                  </w:r>
                  <w:r>
                    <w:rPr>
                      <w:rFonts w:ascii="Times New Roman" w:hAnsi="Times New Roman" w:cs="Times New Roman"/>
                      <w:color w:val="auto"/>
                      <w:sz w:val="21"/>
                      <w:szCs w:val="21"/>
                    </w:rPr>
                    <w:t>Sn</w:t>
                  </w:r>
                  <w:r>
                    <w:rPr>
                      <w:rFonts w:ascii="Times New Roman" w:hAnsi="Times New Roman" w:cs="Times New Roman"/>
                      <w:color w:val="auto"/>
                      <w:spacing w:val="6"/>
                      <w:sz w:val="21"/>
                      <w:szCs w:val="21"/>
                    </w:rPr>
                    <w:t>）、锑（</w:t>
                  </w:r>
                  <w:r>
                    <w:rPr>
                      <w:rFonts w:ascii="Times New Roman" w:hAnsi="Times New Roman" w:cs="Times New Roman"/>
                      <w:color w:val="auto"/>
                      <w:sz w:val="21"/>
                      <w:szCs w:val="21"/>
                    </w:rPr>
                    <w:t>Sb</w:t>
                  </w:r>
                  <w:r>
                    <w:rPr>
                      <w:rFonts w:ascii="Times New Roman" w:hAnsi="Times New Roman" w:cs="Times New Roman"/>
                      <w:color w:val="auto"/>
                      <w:spacing w:val="6"/>
                      <w:sz w:val="21"/>
                      <w:szCs w:val="21"/>
                    </w:rPr>
                    <w:t>）、铜（</w:t>
                  </w:r>
                  <w:r>
                    <w:rPr>
                      <w:rFonts w:ascii="Times New Roman" w:hAnsi="Times New Roman" w:cs="Times New Roman"/>
                      <w:color w:val="auto"/>
                      <w:sz w:val="21"/>
                      <w:szCs w:val="21"/>
                    </w:rPr>
                    <w:t>Cu</w:t>
                  </w:r>
                  <w:r>
                    <w:rPr>
                      <w:rFonts w:ascii="Times New Roman" w:hAnsi="Times New Roman" w:cs="Times New Roman"/>
                      <w:color w:val="auto"/>
                      <w:spacing w:val="6"/>
                      <w:sz w:val="21"/>
                      <w:szCs w:val="21"/>
                    </w:rPr>
                    <w:t>）、锰（</w:t>
                  </w:r>
                  <w:r>
                    <w:rPr>
                      <w:rFonts w:ascii="Times New Roman" w:hAnsi="Times New Roman" w:cs="Times New Roman"/>
                      <w:color w:val="auto"/>
                      <w:sz w:val="21"/>
                      <w:szCs w:val="21"/>
                    </w:rPr>
                    <w:t>Mn</w:t>
                  </w:r>
                  <w:r>
                    <w:rPr>
                      <w:rFonts w:ascii="Times New Roman" w:hAnsi="Times New Roman" w:cs="Times New Roman"/>
                      <w:color w:val="auto"/>
                      <w:spacing w:val="6"/>
                      <w:sz w:val="21"/>
                      <w:szCs w:val="21"/>
                    </w:rPr>
                    <w:t>）、铍（</w:t>
                  </w:r>
                  <w:r>
                    <w:rPr>
                      <w:rFonts w:ascii="Times New Roman" w:hAnsi="Times New Roman" w:cs="Times New Roman"/>
                      <w:color w:val="auto"/>
                      <w:sz w:val="21"/>
                      <w:szCs w:val="21"/>
                    </w:rPr>
                    <w:t>Be</w:t>
                  </w:r>
                  <w:r>
                    <w:rPr>
                      <w:rFonts w:ascii="Times New Roman" w:hAnsi="Times New Roman" w:cs="Times New Roman"/>
                      <w:color w:val="auto"/>
                      <w:spacing w:val="6"/>
                      <w:sz w:val="21"/>
                      <w:szCs w:val="21"/>
                    </w:rPr>
                    <w:t>）、锌（</w:t>
                  </w:r>
                  <w:r>
                    <w:rPr>
                      <w:rFonts w:ascii="Times New Roman" w:hAnsi="Times New Roman" w:cs="Times New Roman"/>
                      <w:color w:val="auto"/>
                      <w:sz w:val="21"/>
                      <w:szCs w:val="21"/>
                    </w:rPr>
                    <w:t>Zn</w:t>
                  </w:r>
                  <w:r>
                    <w:rPr>
                      <w:rFonts w:ascii="Times New Roman" w:hAnsi="Times New Roman" w:cs="Times New Roman"/>
                      <w:color w:val="auto"/>
                      <w:spacing w:val="6"/>
                      <w:sz w:val="21"/>
                      <w:szCs w:val="21"/>
                    </w:rPr>
                    <w:t>）、钒（</w:t>
                  </w:r>
                  <w:r>
                    <w:rPr>
                      <w:rFonts w:ascii="Times New Roman" w:hAnsi="Times New Roman" w:cs="Times New Roman"/>
                      <w:color w:val="auto"/>
                      <w:spacing w:val="6"/>
                      <w:sz w:val="21"/>
                      <w:szCs w:val="21"/>
                    </w:rPr>
                    <w:t>V</w:t>
                  </w:r>
                  <w:r>
                    <w:rPr>
                      <w:rFonts w:ascii="Times New Roman" w:hAnsi="Times New Roman" w:cs="Times New Roman"/>
                      <w:color w:val="auto"/>
                      <w:spacing w:val="6"/>
                      <w:sz w:val="21"/>
                      <w:szCs w:val="21"/>
                    </w:rPr>
                    <w:t>）、钴（</w:t>
                  </w:r>
                  <w:r>
                    <w:rPr>
                      <w:rFonts w:ascii="Times New Roman" w:hAnsi="Times New Roman" w:cs="Times New Roman"/>
                      <w:color w:val="auto"/>
                      <w:sz w:val="21"/>
                      <w:szCs w:val="21"/>
                    </w:rPr>
                    <w:t>Co</w:t>
                  </w:r>
                  <w:r>
                    <w:rPr>
                      <w:rFonts w:ascii="Times New Roman" w:hAnsi="Times New Roman" w:cs="Times New Roman"/>
                      <w:color w:val="auto"/>
                      <w:spacing w:val="6"/>
                      <w:sz w:val="21"/>
                      <w:szCs w:val="21"/>
                    </w:rPr>
                    <w:t>）、钼（</w:t>
                  </w:r>
                  <w:r>
                    <w:rPr>
                      <w:rFonts w:ascii="Times New Roman" w:hAnsi="Times New Roman" w:cs="Times New Roman"/>
                      <w:color w:val="auto"/>
                      <w:sz w:val="21"/>
                      <w:szCs w:val="21"/>
                    </w:rPr>
                    <w:t>Mo</w:t>
                  </w:r>
                  <w:r>
                    <w:rPr>
                      <w:rFonts w:ascii="Times New Roman" w:hAnsi="Times New Roman" w:cs="Times New Roman"/>
                      <w:color w:val="auto"/>
                      <w:spacing w:val="6"/>
                      <w:sz w:val="21"/>
                      <w:szCs w:val="21"/>
                    </w:rPr>
                    <w:t>）、氟（</w:t>
                  </w:r>
                  <w:r>
                    <w:rPr>
                      <w:rFonts w:ascii="Times New Roman" w:hAnsi="Times New Roman" w:cs="Times New Roman"/>
                      <w:color w:val="auto"/>
                      <w:spacing w:val="6"/>
                      <w:sz w:val="21"/>
                      <w:szCs w:val="21"/>
                    </w:rPr>
                    <w:t>F</w:t>
                  </w:r>
                  <w:r>
                    <w:rPr>
                      <w:rFonts w:ascii="Times New Roman" w:hAnsi="Times New Roman" w:cs="Times New Roman"/>
                      <w:color w:val="auto"/>
                      <w:spacing w:val="6"/>
                      <w:sz w:val="21"/>
                      <w:szCs w:val="21"/>
                    </w:rPr>
                    <w:t>）、氯（</w:t>
                  </w:r>
                  <w:r>
                    <w:rPr>
                      <w:rFonts w:ascii="Times New Roman" w:hAnsi="Times New Roman" w:cs="Times New Roman"/>
                      <w:color w:val="auto"/>
                      <w:sz w:val="21"/>
                      <w:szCs w:val="21"/>
                    </w:rPr>
                    <w:t>Cl</w:t>
                  </w:r>
                  <w:r>
                    <w:rPr>
                      <w:rFonts w:ascii="Times New Roman" w:hAnsi="Times New Roman" w:cs="Times New Roman"/>
                      <w:color w:val="auto"/>
                      <w:spacing w:val="6"/>
                      <w:sz w:val="21"/>
                      <w:szCs w:val="21"/>
                    </w:rPr>
                    <w:t>）和硫（</w:t>
                  </w:r>
                  <w:r>
                    <w:rPr>
                      <w:rFonts w:ascii="Times New Roman" w:hAnsi="Times New Roman" w:cs="Times New Roman"/>
                      <w:color w:val="auto"/>
                      <w:spacing w:val="6"/>
                      <w:sz w:val="21"/>
                      <w:szCs w:val="21"/>
                    </w:rPr>
                    <w:t>S</w:t>
                  </w:r>
                  <w:r>
                    <w:rPr>
                      <w:rFonts w:ascii="Times New Roman" w:hAnsi="Times New Roman" w:cs="Times New Roman"/>
                      <w:color w:val="auto"/>
                      <w:spacing w:val="6"/>
                      <w:sz w:val="21"/>
                      <w:szCs w:val="21"/>
                    </w:rPr>
                    <w:t>）</w:t>
                  </w:r>
                  <w:r>
                    <w:rPr>
                      <w:rFonts w:ascii="Times New Roman" w:hAnsi="Times New Roman" w:cs="Times New Roman"/>
                      <w:color w:val="auto"/>
                      <w:spacing w:val="-57"/>
                      <w:sz w:val="21"/>
                      <w:szCs w:val="21"/>
                    </w:rPr>
                    <w:t xml:space="preserve"> </w:t>
                  </w:r>
                  <w:r>
                    <w:rPr>
                      <w:rFonts w:ascii="Times New Roman" w:hAnsi="Times New Roman" w:cs="Times New Roman"/>
                      <w:color w:val="auto"/>
                      <w:spacing w:val="6"/>
                      <w:sz w:val="21"/>
                      <w:szCs w:val="21"/>
                    </w:rPr>
                    <w:t>的分析。</w:t>
                  </w:r>
                </w:p>
              </w:tc>
              <w:tc>
                <w:tcPr>
                  <w:tcW w:w="3306" w:type="dxa"/>
                  <w:vMerge/>
                  <w:tcBorders>
                    <w:left w:val="single" w:sz="2" w:space="0" w:color="000000"/>
                    <w:right w:val="single" w:sz="2" w:space="0" w:color="000000"/>
                  </w:tcBorders>
                  <w:vAlign w:val="center"/>
                </w:tcPr>
                <w:p w14:paraId="7857638C"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B92F91B" w14:textId="77777777" w:rsidR="00F76A63" w:rsidRDefault="00F76A63">
                  <w:pPr>
                    <w:jc w:val="center"/>
                    <w:rPr>
                      <w:szCs w:val="21"/>
                    </w:rPr>
                  </w:pPr>
                </w:p>
              </w:tc>
            </w:tr>
            <w:tr w:rsidR="00F76A63" w14:paraId="466E8E7B" w14:textId="77777777">
              <w:trPr>
                <w:trHeight w:val="40"/>
                <w:jc w:val="center"/>
              </w:trPr>
              <w:tc>
                <w:tcPr>
                  <w:tcW w:w="625" w:type="dxa"/>
                  <w:vMerge/>
                  <w:tcBorders>
                    <w:left w:val="nil"/>
                    <w:right w:val="single" w:sz="2" w:space="0" w:color="000000"/>
                  </w:tcBorders>
                  <w:vAlign w:val="center"/>
                </w:tcPr>
                <w:p w14:paraId="10B82D08"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4A452DE"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right w:val="single" w:sz="2" w:space="0" w:color="000000"/>
                  </w:tcBorders>
                  <w:vAlign w:val="center"/>
                </w:tcPr>
                <w:p w14:paraId="2F0BC2A6"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71373664"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）相容性测试，一般需要配备粘度仪、搅拌仪、温度计、压力</w:t>
                  </w:r>
                  <w:r>
                    <w:rPr>
                      <w:rFonts w:ascii="Times New Roman" w:hAnsi="Times New Roman" w:cs="Times New Roman"/>
                      <w:color w:val="auto"/>
                      <w:spacing w:val="12"/>
                      <w:sz w:val="21"/>
                      <w:szCs w:val="21"/>
                    </w:rPr>
                    <w:t>计、</w:t>
                  </w:r>
                  <w:r>
                    <w:rPr>
                      <w:rFonts w:ascii="Times New Roman" w:hAnsi="Times New Roman" w:cs="Times New Roman"/>
                      <w:color w:val="auto"/>
                      <w:sz w:val="21"/>
                      <w:szCs w:val="21"/>
                    </w:rPr>
                    <w:t>pH</w:t>
                  </w:r>
                  <w:r>
                    <w:rPr>
                      <w:rFonts w:ascii="Times New Roman" w:hAnsi="Times New Roman" w:cs="Times New Roman"/>
                      <w:color w:val="auto"/>
                      <w:spacing w:val="12"/>
                      <w:sz w:val="21"/>
                      <w:szCs w:val="21"/>
                    </w:rPr>
                    <w:t>计、反应气体收集装置等。</w:t>
                  </w:r>
                </w:p>
              </w:tc>
              <w:tc>
                <w:tcPr>
                  <w:tcW w:w="3306" w:type="dxa"/>
                  <w:vMerge/>
                  <w:tcBorders>
                    <w:left w:val="single" w:sz="2" w:space="0" w:color="000000"/>
                    <w:right w:val="single" w:sz="2" w:space="0" w:color="000000"/>
                  </w:tcBorders>
                  <w:vAlign w:val="center"/>
                </w:tcPr>
                <w:p w14:paraId="6E2E7D3B"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88737A6" w14:textId="77777777" w:rsidR="00F76A63" w:rsidRDefault="00F76A63">
                  <w:pPr>
                    <w:jc w:val="center"/>
                    <w:rPr>
                      <w:szCs w:val="21"/>
                    </w:rPr>
                  </w:pPr>
                </w:p>
              </w:tc>
            </w:tr>
            <w:tr w:rsidR="00F76A63" w14:paraId="7ED8A7EF" w14:textId="77777777">
              <w:trPr>
                <w:trHeight w:val="40"/>
                <w:jc w:val="center"/>
              </w:trPr>
              <w:tc>
                <w:tcPr>
                  <w:tcW w:w="625" w:type="dxa"/>
                  <w:vMerge/>
                  <w:tcBorders>
                    <w:left w:val="nil"/>
                    <w:right w:val="single" w:sz="2" w:space="0" w:color="000000"/>
                  </w:tcBorders>
                  <w:vAlign w:val="center"/>
                </w:tcPr>
                <w:p w14:paraId="1A5CE0D9"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82AA857"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right w:val="single" w:sz="2" w:space="0" w:color="000000"/>
                  </w:tcBorders>
                  <w:vAlign w:val="center"/>
                </w:tcPr>
                <w:p w14:paraId="178904B3"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7E85FA80"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9"/>
                      <w:sz w:val="21"/>
                      <w:szCs w:val="21"/>
                    </w:rPr>
                    <w:t>d</w:t>
                  </w:r>
                  <w:r>
                    <w:rPr>
                      <w:rFonts w:ascii="Times New Roman" w:hAnsi="Times New Roman" w:cs="Times New Roman"/>
                      <w:color w:val="auto"/>
                      <w:spacing w:val="9"/>
                      <w:sz w:val="21"/>
                      <w:szCs w:val="21"/>
                    </w:rPr>
                    <w:t>）满足</w:t>
                  </w:r>
                  <w:r>
                    <w:rPr>
                      <w:rFonts w:ascii="Times New Roman" w:hAnsi="Times New Roman" w:cs="Times New Roman"/>
                      <w:color w:val="auto"/>
                      <w:sz w:val="21"/>
                      <w:szCs w:val="21"/>
                    </w:rPr>
                    <w:t>GB</w:t>
                  </w:r>
                  <w:r>
                    <w:rPr>
                      <w:rFonts w:ascii="Times New Roman" w:hAnsi="Times New Roman" w:cs="Times New Roman"/>
                      <w:color w:val="auto"/>
                      <w:spacing w:val="9"/>
                      <w:sz w:val="21"/>
                      <w:szCs w:val="21"/>
                    </w:rPr>
                    <w:t>5085.1</w:t>
                  </w:r>
                  <w:r>
                    <w:rPr>
                      <w:rFonts w:ascii="Times New Roman" w:hAnsi="Times New Roman" w:cs="Times New Roman"/>
                      <w:color w:val="auto"/>
                      <w:spacing w:val="9"/>
                      <w:sz w:val="21"/>
                      <w:szCs w:val="21"/>
                    </w:rPr>
                    <w:t>要求的腐蚀性检测；满足</w:t>
                  </w:r>
                  <w:r>
                    <w:rPr>
                      <w:rFonts w:ascii="Times New Roman" w:hAnsi="Times New Roman" w:cs="Times New Roman"/>
                      <w:color w:val="auto"/>
                      <w:sz w:val="21"/>
                      <w:szCs w:val="21"/>
                    </w:rPr>
                    <w:t>GB</w:t>
                  </w:r>
                  <w:r>
                    <w:rPr>
                      <w:rFonts w:ascii="Times New Roman" w:hAnsi="Times New Roman" w:cs="Times New Roman"/>
                      <w:color w:val="auto"/>
                      <w:spacing w:val="9"/>
                      <w:sz w:val="21"/>
                      <w:szCs w:val="21"/>
                    </w:rPr>
                    <w:t>5085.4</w:t>
                  </w:r>
                  <w:r>
                    <w:rPr>
                      <w:rFonts w:ascii="Times New Roman" w:hAnsi="Times New Roman" w:cs="Times New Roman"/>
                      <w:color w:val="auto"/>
                      <w:spacing w:val="9"/>
                      <w:sz w:val="21"/>
                      <w:szCs w:val="21"/>
                    </w:rPr>
                    <w:t>要求的易</w:t>
                  </w:r>
                  <w:r>
                    <w:rPr>
                      <w:rFonts w:ascii="Times New Roman" w:hAnsi="Times New Roman" w:cs="Times New Roman"/>
                      <w:color w:val="auto"/>
                      <w:spacing w:val="11"/>
                      <w:sz w:val="21"/>
                      <w:szCs w:val="21"/>
                    </w:rPr>
                    <w:t>燃性检测；满足</w:t>
                  </w:r>
                  <w:r>
                    <w:rPr>
                      <w:rFonts w:ascii="Times New Roman" w:hAnsi="Times New Roman" w:cs="Times New Roman"/>
                      <w:color w:val="auto"/>
                      <w:sz w:val="21"/>
                      <w:szCs w:val="21"/>
                    </w:rPr>
                    <w:t>GB</w:t>
                  </w:r>
                  <w:r>
                    <w:rPr>
                      <w:rFonts w:ascii="Times New Roman" w:hAnsi="Times New Roman" w:cs="Times New Roman"/>
                      <w:color w:val="auto"/>
                      <w:spacing w:val="11"/>
                      <w:sz w:val="21"/>
                      <w:szCs w:val="21"/>
                    </w:rPr>
                    <w:t>5085.5</w:t>
                  </w:r>
                  <w:r>
                    <w:rPr>
                      <w:rFonts w:ascii="Times New Roman" w:hAnsi="Times New Roman" w:cs="Times New Roman"/>
                      <w:color w:val="auto"/>
                      <w:spacing w:val="11"/>
                      <w:sz w:val="21"/>
                      <w:szCs w:val="21"/>
                    </w:rPr>
                    <w:t>要求的反应性</w:t>
                  </w:r>
                  <w:r>
                    <w:rPr>
                      <w:rFonts w:ascii="Times New Roman" w:hAnsi="Times New Roman" w:cs="Times New Roman"/>
                      <w:color w:val="auto"/>
                      <w:spacing w:val="10"/>
                      <w:sz w:val="21"/>
                      <w:szCs w:val="21"/>
                    </w:rPr>
                    <w:t>检测。</w:t>
                  </w:r>
                </w:p>
              </w:tc>
              <w:tc>
                <w:tcPr>
                  <w:tcW w:w="3306" w:type="dxa"/>
                  <w:vMerge/>
                  <w:tcBorders>
                    <w:left w:val="single" w:sz="2" w:space="0" w:color="000000"/>
                    <w:right w:val="single" w:sz="2" w:space="0" w:color="000000"/>
                  </w:tcBorders>
                  <w:vAlign w:val="center"/>
                </w:tcPr>
                <w:p w14:paraId="74E7F888"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2367950" w14:textId="77777777" w:rsidR="00F76A63" w:rsidRDefault="00F76A63">
                  <w:pPr>
                    <w:jc w:val="center"/>
                    <w:rPr>
                      <w:szCs w:val="21"/>
                    </w:rPr>
                  </w:pPr>
                </w:p>
              </w:tc>
            </w:tr>
            <w:tr w:rsidR="00F76A63" w14:paraId="78C97485" w14:textId="77777777">
              <w:trPr>
                <w:trHeight w:val="40"/>
                <w:jc w:val="center"/>
              </w:trPr>
              <w:tc>
                <w:tcPr>
                  <w:tcW w:w="625" w:type="dxa"/>
                  <w:vMerge/>
                  <w:tcBorders>
                    <w:left w:val="nil"/>
                    <w:right w:val="single" w:sz="2" w:space="0" w:color="000000"/>
                  </w:tcBorders>
                  <w:vAlign w:val="center"/>
                </w:tcPr>
                <w:p w14:paraId="58AF6CAB"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CE8BBCE"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right w:val="single" w:sz="2" w:space="0" w:color="000000"/>
                  </w:tcBorders>
                  <w:vAlign w:val="center"/>
                </w:tcPr>
                <w:p w14:paraId="6779A5F3"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40E04C7F"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e</w:t>
                  </w:r>
                  <w:r>
                    <w:rPr>
                      <w:rFonts w:ascii="Times New Roman" w:hAnsi="Times New Roman" w:cs="Times New Roman"/>
                      <w:color w:val="auto"/>
                      <w:spacing w:val="12"/>
                      <w:sz w:val="21"/>
                      <w:szCs w:val="21"/>
                    </w:rPr>
                    <w:t>）满足</w:t>
                  </w:r>
                  <w:r>
                    <w:rPr>
                      <w:rFonts w:ascii="Times New Roman" w:hAnsi="Times New Roman" w:cs="Times New Roman"/>
                      <w:color w:val="auto"/>
                      <w:sz w:val="21"/>
                      <w:szCs w:val="21"/>
                    </w:rPr>
                    <w:t>GB</w:t>
                  </w:r>
                  <w:r>
                    <w:rPr>
                      <w:rFonts w:ascii="Times New Roman" w:hAnsi="Times New Roman" w:cs="Times New Roman"/>
                      <w:color w:val="auto"/>
                      <w:spacing w:val="12"/>
                      <w:sz w:val="21"/>
                      <w:szCs w:val="21"/>
                    </w:rPr>
                    <w:t>4915</w:t>
                  </w:r>
                  <w:r>
                    <w:rPr>
                      <w:rFonts w:ascii="Times New Roman" w:hAnsi="Times New Roman" w:cs="Times New Roman"/>
                      <w:color w:val="auto"/>
                      <w:spacing w:val="12"/>
                      <w:sz w:val="21"/>
                      <w:szCs w:val="21"/>
                    </w:rPr>
                    <w:t>和《水泥窑协同处置固体废物污染控制标准》监</w:t>
                  </w:r>
                  <w:r>
                    <w:rPr>
                      <w:rFonts w:ascii="Times New Roman" w:hAnsi="Times New Roman" w:cs="Times New Roman"/>
                      <w:color w:val="auto"/>
                      <w:spacing w:val="11"/>
                      <w:sz w:val="21"/>
                      <w:szCs w:val="21"/>
                    </w:rPr>
                    <w:t>测要求的烟气污染物检测。</w:t>
                  </w:r>
                </w:p>
              </w:tc>
              <w:tc>
                <w:tcPr>
                  <w:tcW w:w="3306" w:type="dxa"/>
                  <w:vMerge/>
                  <w:tcBorders>
                    <w:left w:val="single" w:sz="2" w:space="0" w:color="000000"/>
                    <w:right w:val="single" w:sz="2" w:space="0" w:color="000000"/>
                  </w:tcBorders>
                  <w:vAlign w:val="center"/>
                </w:tcPr>
                <w:p w14:paraId="77E36938"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6A487550" w14:textId="77777777" w:rsidR="00F76A63" w:rsidRDefault="00F76A63">
                  <w:pPr>
                    <w:jc w:val="center"/>
                    <w:rPr>
                      <w:szCs w:val="21"/>
                    </w:rPr>
                  </w:pPr>
                </w:p>
              </w:tc>
            </w:tr>
            <w:tr w:rsidR="00F76A63" w14:paraId="5F115576" w14:textId="77777777">
              <w:trPr>
                <w:trHeight w:val="40"/>
                <w:jc w:val="center"/>
              </w:trPr>
              <w:tc>
                <w:tcPr>
                  <w:tcW w:w="625" w:type="dxa"/>
                  <w:vMerge/>
                  <w:tcBorders>
                    <w:left w:val="nil"/>
                    <w:right w:val="single" w:sz="2" w:space="0" w:color="000000"/>
                  </w:tcBorders>
                  <w:vAlign w:val="center"/>
                </w:tcPr>
                <w:p w14:paraId="6388192F"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73B1E7A"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bottom w:val="single" w:sz="2" w:space="0" w:color="000000"/>
                    <w:right w:val="single" w:sz="2" w:space="0" w:color="000000"/>
                  </w:tcBorders>
                  <w:vAlign w:val="center"/>
                </w:tcPr>
                <w:p w14:paraId="320D1892"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3B746265"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f</w:t>
                  </w:r>
                  <w:r>
                    <w:rPr>
                      <w:rFonts w:ascii="Times New Roman" w:hAnsi="Times New Roman" w:cs="Times New Roman"/>
                      <w:color w:val="auto"/>
                      <w:spacing w:val="12"/>
                      <w:sz w:val="21"/>
                      <w:szCs w:val="21"/>
                    </w:rPr>
                    <w:t>）满足《水泥窑协同处置固体废物污染控制标准》监测要求的水</w:t>
                  </w:r>
                  <w:r>
                    <w:rPr>
                      <w:rFonts w:ascii="Times New Roman" w:hAnsi="Times New Roman" w:cs="Times New Roman"/>
                      <w:color w:val="auto"/>
                      <w:spacing w:val="11"/>
                      <w:sz w:val="21"/>
                      <w:szCs w:val="21"/>
                    </w:rPr>
                    <w:t>泥产品环境安全性检测。</w:t>
                  </w:r>
                </w:p>
              </w:tc>
              <w:tc>
                <w:tcPr>
                  <w:tcW w:w="3306" w:type="dxa"/>
                  <w:vMerge/>
                  <w:tcBorders>
                    <w:left w:val="single" w:sz="2" w:space="0" w:color="000000"/>
                    <w:right w:val="single" w:sz="2" w:space="0" w:color="000000"/>
                  </w:tcBorders>
                  <w:vAlign w:val="center"/>
                </w:tcPr>
                <w:p w14:paraId="7AEF8FDC"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536EDC96" w14:textId="77777777" w:rsidR="00F76A63" w:rsidRDefault="00F76A63">
                  <w:pPr>
                    <w:jc w:val="center"/>
                    <w:rPr>
                      <w:szCs w:val="21"/>
                    </w:rPr>
                  </w:pPr>
                </w:p>
              </w:tc>
            </w:tr>
            <w:tr w:rsidR="00F76A63" w14:paraId="35CC0C1B" w14:textId="77777777">
              <w:trPr>
                <w:trHeight w:val="206"/>
                <w:jc w:val="center"/>
              </w:trPr>
              <w:tc>
                <w:tcPr>
                  <w:tcW w:w="625" w:type="dxa"/>
                  <w:vMerge/>
                  <w:tcBorders>
                    <w:left w:val="nil"/>
                    <w:right w:val="single" w:sz="2" w:space="0" w:color="000000"/>
                  </w:tcBorders>
                  <w:vAlign w:val="center"/>
                </w:tcPr>
                <w:p w14:paraId="37086A15"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8DA75C7"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FE53E7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4.6.3</w:t>
                  </w:r>
                  <w:r>
                    <w:rPr>
                      <w:rFonts w:ascii="Times New Roman" w:hAnsi="Times New Roman" w:cs="Times New Roman"/>
                      <w:color w:val="auto"/>
                      <w:spacing w:val="42"/>
                      <w:sz w:val="21"/>
                      <w:szCs w:val="21"/>
                    </w:rPr>
                    <w:t xml:space="preserve"> </w:t>
                  </w:r>
                  <w:r>
                    <w:rPr>
                      <w:rFonts w:ascii="Times New Roman" w:hAnsi="Times New Roman" w:cs="Times New Roman"/>
                      <w:color w:val="auto"/>
                      <w:spacing w:val="12"/>
                      <w:sz w:val="21"/>
                      <w:szCs w:val="21"/>
                    </w:rPr>
                    <w:t>分析化验室应设有样品保存库，用于贮存备份样品；样品保存库应可以确保</w:t>
                  </w:r>
                  <w:r>
                    <w:rPr>
                      <w:rFonts w:ascii="Times New Roman" w:hAnsi="Times New Roman" w:cs="Times New Roman"/>
                      <w:color w:val="auto"/>
                      <w:spacing w:val="13"/>
                      <w:sz w:val="21"/>
                      <w:szCs w:val="21"/>
                    </w:rPr>
                    <w:t>危险固体废物样品贮存</w:t>
                  </w:r>
                  <w:r>
                    <w:rPr>
                      <w:rFonts w:ascii="Times New Roman" w:hAnsi="Times New Roman" w:cs="Times New Roman"/>
                      <w:color w:val="auto"/>
                      <w:spacing w:val="13"/>
                      <w:sz w:val="21"/>
                      <w:szCs w:val="21"/>
                    </w:rPr>
                    <w:t>2</w:t>
                  </w:r>
                  <w:r>
                    <w:rPr>
                      <w:rFonts w:ascii="Times New Roman" w:hAnsi="Times New Roman" w:cs="Times New Roman"/>
                      <w:color w:val="auto"/>
                      <w:spacing w:val="13"/>
                      <w:sz w:val="21"/>
                      <w:szCs w:val="21"/>
                    </w:rPr>
                    <w:t>年而不使固体废物性质发生变</w:t>
                  </w:r>
                  <w:r>
                    <w:rPr>
                      <w:rFonts w:ascii="Times New Roman" w:hAnsi="Times New Roman" w:cs="Times New Roman"/>
                      <w:color w:val="auto"/>
                      <w:spacing w:val="12"/>
                      <w:sz w:val="21"/>
                      <w:szCs w:val="21"/>
                    </w:rPr>
                    <w:t>化，并满足相应的消防要</w:t>
                  </w:r>
                  <w:r>
                    <w:rPr>
                      <w:rFonts w:ascii="Times New Roman" w:hAnsi="Times New Roman" w:cs="Times New Roman"/>
                      <w:color w:val="auto"/>
                      <w:spacing w:val="-1"/>
                      <w:sz w:val="21"/>
                      <w:szCs w:val="21"/>
                    </w:rPr>
                    <w:t>求。</w:t>
                  </w:r>
                </w:p>
              </w:tc>
              <w:tc>
                <w:tcPr>
                  <w:tcW w:w="3306" w:type="dxa"/>
                  <w:tcBorders>
                    <w:left w:val="single" w:sz="2" w:space="0" w:color="000000"/>
                    <w:right w:val="single" w:sz="2" w:space="0" w:color="000000"/>
                  </w:tcBorders>
                  <w:vAlign w:val="center"/>
                </w:tcPr>
                <w:p w14:paraId="2899452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本项目分析化验室设有样品保存库，具备保存危险固体废物样品贮存能力</w:t>
                  </w:r>
                  <w:r>
                    <w:rPr>
                      <w:rFonts w:ascii="Times New Roman" w:hAnsi="Times New Roman" w:cs="Times New Roman"/>
                      <w:color w:val="auto"/>
                      <w:spacing w:val="10"/>
                      <w:sz w:val="21"/>
                      <w:szCs w:val="21"/>
                    </w:rPr>
                    <w:t>并满足相应消防要求。</w:t>
                  </w:r>
                </w:p>
              </w:tc>
              <w:tc>
                <w:tcPr>
                  <w:tcW w:w="789" w:type="dxa"/>
                  <w:vMerge/>
                  <w:tcBorders>
                    <w:left w:val="single" w:sz="2" w:space="0" w:color="000000"/>
                    <w:right w:val="nil"/>
                  </w:tcBorders>
                  <w:vAlign w:val="center"/>
                </w:tcPr>
                <w:p w14:paraId="1AFEA351" w14:textId="77777777" w:rsidR="00F76A63" w:rsidRDefault="00F76A63">
                  <w:pPr>
                    <w:jc w:val="center"/>
                    <w:rPr>
                      <w:szCs w:val="21"/>
                    </w:rPr>
                  </w:pPr>
                </w:p>
              </w:tc>
            </w:tr>
            <w:tr w:rsidR="00F76A63" w14:paraId="7E69604C" w14:textId="77777777">
              <w:trPr>
                <w:trHeight w:val="206"/>
                <w:jc w:val="center"/>
              </w:trPr>
              <w:tc>
                <w:tcPr>
                  <w:tcW w:w="625" w:type="dxa"/>
                  <w:vMerge/>
                  <w:tcBorders>
                    <w:left w:val="nil"/>
                    <w:bottom w:val="single" w:sz="2" w:space="0" w:color="000000"/>
                    <w:right w:val="single" w:sz="2" w:space="0" w:color="000000"/>
                  </w:tcBorders>
                  <w:vAlign w:val="center"/>
                </w:tcPr>
                <w:p w14:paraId="6FF92BB1"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450E14DE"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843745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9"/>
                      <w:sz w:val="21"/>
                      <w:szCs w:val="21"/>
                    </w:rPr>
                    <w:t>4.6.4</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9"/>
                      <w:sz w:val="21"/>
                      <w:szCs w:val="21"/>
                    </w:rPr>
                    <w:t>本规范第</w:t>
                  </w:r>
                  <w:r>
                    <w:rPr>
                      <w:rFonts w:ascii="Times New Roman" w:hAnsi="Times New Roman" w:cs="Times New Roman"/>
                      <w:color w:val="auto"/>
                      <w:spacing w:val="9"/>
                      <w:sz w:val="21"/>
                      <w:szCs w:val="21"/>
                    </w:rPr>
                    <w:t>4.6.2</w:t>
                  </w:r>
                  <w:r>
                    <w:rPr>
                      <w:rFonts w:ascii="Times New Roman" w:hAnsi="Times New Roman" w:cs="Times New Roman"/>
                      <w:color w:val="auto"/>
                      <w:spacing w:val="9"/>
                      <w:sz w:val="21"/>
                      <w:szCs w:val="21"/>
                    </w:rPr>
                    <w:t>条</w:t>
                  </w:r>
                  <w:r>
                    <w:rPr>
                      <w:rFonts w:ascii="Times New Roman" w:hAnsi="Times New Roman" w:cs="Times New Roman"/>
                      <w:color w:val="auto"/>
                      <w:spacing w:val="9"/>
                      <w:sz w:val="21"/>
                      <w:szCs w:val="21"/>
                    </w:rPr>
                    <w:t>a</w:t>
                  </w:r>
                  <w:r>
                    <w:rPr>
                      <w:rFonts w:ascii="Times New Roman" w:hAnsi="Times New Roman" w:cs="Times New Roman"/>
                      <w:color w:val="auto"/>
                      <w:spacing w:val="9"/>
                      <w:sz w:val="21"/>
                      <w:szCs w:val="21"/>
                    </w:rPr>
                    <w:t>）、</w:t>
                  </w:r>
                  <w:r>
                    <w:rPr>
                      <w:rFonts w:ascii="Times New Roman" w:hAnsi="Times New Roman" w:cs="Times New Roman"/>
                      <w:color w:val="auto"/>
                      <w:spacing w:val="9"/>
                      <w:sz w:val="21"/>
                      <w:szCs w:val="21"/>
                    </w:rPr>
                    <w:t>b</w:t>
                  </w:r>
                  <w:r>
                    <w:rPr>
                      <w:rFonts w:ascii="Times New Roman" w:hAnsi="Times New Roman" w:cs="Times New Roman"/>
                      <w:color w:val="auto"/>
                      <w:spacing w:val="9"/>
                      <w:sz w:val="21"/>
                      <w:szCs w:val="21"/>
                    </w:rPr>
                    <w:t>）以及</w:t>
                  </w:r>
                  <w:r>
                    <w:rPr>
                      <w:rFonts w:ascii="Times New Roman" w:hAnsi="Times New Roman" w:cs="Times New Roman"/>
                      <w:color w:val="auto"/>
                      <w:spacing w:val="9"/>
                      <w:sz w:val="21"/>
                      <w:szCs w:val="21"/>
                    </w:rPr>
                    <w:t>c</w:t>
                  </w:r>
                  <w:r>
                    <w:rPr>
                      <w:rFonts w:ascii="Times New Roman" w:hAnsi="Times New Roman" w:cs="Times New Roman"/>
                      <w:color w:val="auto"/>
                      <w:spacing w:val="9"/>
                      <w:sz w:val="21"/>
                      <w:szCs w:val="21"/>
                    </w:rPr>
                    <w:t>）款为企业必须具备的条件</w:t>
                  </w:r>
                  <w:r>
                    <w:rPr>
                      <w:rFonts w:ascii="Times New Roman" w:hAnsi="Times New Roman" w:cs="Times New Roman"/>
                      <w:color w:val="auto"/>
                      <w:spacing w:val="8"/>
                      <w:sz w:val="21"/>
                      <w:szCs w:val="21"/>
                    </w:rPr>
                    <w:t>，其他分析项</w:t>
                  </w:r>
                  <w:r>
                    <w:rPr>
                      <w:rFonts w:ascii="Times New Roman" w:hAnsi="Times New Roman" w:cs="Times New Roman"/>
                      <w:color w:val="auto"/>
                      <w:spacing w:val="12"/>
                      <w:sz w:val="21"/>
                      <w:szCs w:val="21"/>
                    </w:rPr>
                    <w:t>目如果不具备条件，可经当地环保部门许可后委托有资质的分析监测机构进行采</w:t>
                  </w:r>
                  <w:r>
                    <w:rPr>
                      <w:rFonts w:ascii="Times New Roman" w:hAnsi="Times New Roman" w:cs="Times New Roman"/>
                      <w:color w:val="auto"/>
                      <w:spacing w:val="9"/>
                      <w:sz w:val="21"/>
                      <w:szCs w:val="21"/>
                    </w:rPr>
                    <w:t>样分析监测。</w:t>
                  </w:r>
                </w:p>
              </w:tc>
              <w:tc>
                <w:tcPr>
                  <w:tcW w:w="3306" w:type="dxa"/>
                  <w:tcBorders>
                    <w:left w:val="single" w:sz="2" w:space="0" w:color="000000"/>
                    <w:bottom w:val="single" w:sz="2" w:space="0" w:color="000000"/>
                    <w:right w:val="single" w:sz="2" w:space="0" w:color="000000"/>
                  </w:tcBorders>
                  <w:vAlign w:val="center"/>
                </w:tcPr>
                <w:p w14:paraId="5ED2484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本项目其他不具备条件的分析项目经</w:t>
                  </w:r>
                  <w:r>
                    <w:rPr>
                      <w:rFonts w:ascii="Times New Roman" w:hAnsi="Times New Roman" w:cs="Times New Roman"/>
                      <w:color w:val="auto"/>
                      <w:spacing w:val="12"/>
                      <w:sz w:val="21"/>
                      <w:szCs w:val="21"/>
                    </w:rPr>
                    <w:t>当地环保部门许可后委托有资质的分</w:t>
                  </w:r>
                  <w:r>
                    <w:rPr>
                      <w:rFonts w:ascii="Times New Roman" w:hAnsi="Times New Roman" w:cs="Times New Roman"/>
                      <w:color w:val="auto"/>
                      <w:spacing w:val="11"/>
                      <w:sz w:val="21"/>
                      <w:szCs w:val="21"/>
                    </w:rPr>
                    <w:t>析监测机构进行采样分析监测。</w:t>
                  </w:r>
                </w:p>
              </w:tc>
              <w:tc>
                <w:tcPr>
                  <w:tcW w:w="789" w:type="dxa"/>
                  <w:vMerge/>
                  <w:tcBorders>
                    <w:left w:val="single" w:sz="2" w:space="0" w:color="000000"/>
                    <w:bottom w:val="single" w:sz="2" w:space="0" w:color="000000"/>
                    <w:right w:val="nil"/>
                  </w:tcBorders>
                  <w:vAlign w:val="center"/>
                </w:tcPr>
                <w:p w14:paraId="442C9BFF" w14:textId="77777777" w:rsidR="00F76A63" w:rsidRDefault="00F76A63">
                  <w:pPr>
                    <w:jc w:val="center"/>
                    <w:rPr>
                      <w:szCs w:val="21"/>
                    </w:rPr>
                  </w:pPr>
                </w:p>
              </w:tc>
            </w:tr>
            <w:tr w:rsidR="00F76A63" w14:paraId="4497943A" w14:textId="77777777">
              <w:trPr>
                <w:trHeight w:val="230"/>
                <w:jc w:val="center"/>
              </w:trPr>
              <w:tc>
                <w:tcPr>
                  <w:tcW w:w="625" w:type="dxa"/>
                  <w:vMerge w:val="restart"/>
                  <w:tcBorders>
                    <w:top w:val="single" w:sz="2" w:space="0" w:color="000000"/>
                    <w:left w:val="nil"/>
                    <w:right w:val="single" w:sz="2" w:space="0" w:color="000000"/>
                  </w:tcBorders>
                  <w:vAlign w:val="center"/>
                </w:tcPr>
                <w:p w14:paraId="2BA03B92" w14:textId="77777777" w:rsidR="00F76A63" w:rsidRDefault="00000000">
                  <w:pPr>
                    <w:jc w:val="center"/>
                    <w:rPr>
                      <w:szCs w:val="21"/>
                    </w:rPr>
                  </w:pPr>
                  <w:r>
                    <w:rPr>
                      <w:szCs w:val="21"/>
                    </w:rPr>
                    <w:t xml:space="preserve">5. </w:t>
                  </w:r>
                  <w:r>
                    <w:rPr>
                      <w:szCs w:val="21"/>
                    </w:rPr>
                    <w:t>固体废物特性要求</w:t>
                  </w:r>
                </w:p>
              </w:tc>
              <w:tc>
                <w:tcPr>
                  <w:tcW w:w="1995" w:type="dxa"/>
                  <w:gridSpan w:val="2"/>
                  <w:vMerge w:val="restart"/>
                  <w:tcBorders>
                    <w:top w:val="single" w:sz="2" w:space="0" w:color="000000"/>
                    <w:left w:val="single" w:sz="2" w:space="0" w:color="000000"/>
                    <w:right w:val="single" w:sz="2" w:space="0" w:color="000000"/>
                  </w:tcBorders>
                  <w:vAlign w:val="center"/>
                </w:tcPr>
                <w:p w14:paraId="3D1A2289"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5.1 </w:t>
                  </w:r>
                  <w:r>
                    <w:rPr>
                      <w:rFonts w:ascii="Times New Roman" w:hAnsi="Times New Roman" w:cs="Times New Roman"/>
                      <w:color w:val="auto"/>
                      <w:spacing w:val="3"/>
                      <w:sz w:val="21"/>
                      <w:szCs w:val="21"/>
                    </w:rPr>
                    <w:t>禁止进入水泥窑协同处置的废物</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EABBB1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9"/>
                      <w:sz w:val="21"/>
                      <w:szCs w:val="21"/>
                    </w:rPr>
                    <w:t>a</w:t>
                  </w:r>
                  <w:r>
                    <w:rPr>
                      <w:rFonts w:ascii="Times New Roman" w:hAnsi="Times New Roman" w:cs="Times New Roman"/>
                      <w:color w:val="auto"/>
                      <w:spacing w:val="9"/>
                      <w:sz w:val="21"/>
                      <w:szCs w:val="21"/>
                    </w:rPr>
                    <w:t>）放射性废物。</w:t>
                  </w:r>
                </w:p>
              </w:tc>
              <w:tc>
                <w:tcPr>
                  <w:tcW w:w="3306" w:type="dxa"/>
                  <w:tcBorders>
                    <w:top w:val="single" w:sz="2" w:space="0" w:color="000000"/>
                    <w:left w:val="single" w:sz="2" w:space="0" w:color="000000"/>
                    <w:right w:val="single" w:sz="2" w:space="0" w:color="000000"/>
                  </w:tcBorders>
                  <w:vAlign w:val="center"/>
                </w:tcPr>
                <w:p w14:paraId="0D350241"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本项目不涉及</w:t>
                  </w:r>
                </w:p>
              </w:tc>
              <w:tc>
                <w:tcPr>
                  <w:tcW w:w="789" w:type="dxa"/>
                  <w:vMerge w:val="restart"/>
                  <w:tcBorders>
                    <w:top w:val="single" w:sz="2" w:space="0" w:color="000000"/>
                    <w:left w:val="single" w:sz="2" w:space="0" w:color="000000"/>
                    <w:right w:val="nil"/>
                  </w:tcBorders>
                  <w:vAlign w:val="center"/>
                </w:tcPr>
                <w:p w14:paraId="45A42120" w14:textId="77777777" w:rsidR="00F76A63" w:rsidRDefault="00000000">
                  <w:pPr>
                    <w:jc w:val="center"/>
                    <w:rPr>
                      <w:szCs w:val="21"/>
                    </w:rPr>
                  </w:pPr>
                  <w:r>
                    <w:rPr>
                      <w:szCs w:val="21"/>
                    </w:rPr>
                    <w:t>符合</w:t>
                  </w:r>
                </w:p>
              </w:tc>
            </w:tr>
            <w:tr w:rsidR="00F76A63" w14:paraId="750EF884" w14:textId="77777777">
              <w:trPr>
                <w:trHeight w:val="227"/>
                <w:jc w:val="center"/>
              </w:trPr>
              <w:tc>
                <w:tcPr>
                  <w:tcW w:w="625" w:type="dxa"/>
                  <w:vMerge/>
                  <w:tcBorders>
                    <w:left w:val="nil"/>
                    <w:right w:val="single" w:sz="2" w:space="0" w:color="000000"/>
                  </w:tcBorders>
                  <w:vAlign w:val="center"/>
                </w:tcPr>
                <w:p w14:paraId="061E597A"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55B6015"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D81D96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b</w:t>
                  </w:r>
                  <w:r>
                    <w:rPr>
                      <w:rFonts w:ascii="Times New Roman" w:hAnsi="Times New Roman" w:cs="Times New Roman"/>
                      <w:color w:val="auto"/>
                      <w:spacing w:val="11"/>
                      <w:sz w:val="21"/>
                      <w:szCs w:val="21"/>
                    </w:rPr>
                    <w:t>）爆炸物及反应性废物。</w:t>
                  </w:r>
                </w:p>
              </w:tc>
              <w:tc>
                <w:tcPr>
                  <w:tcW w:w="3306" w:type="dxa"/>
                  <w:tcBorders>
                    <w:left w:val="single" w:sz="2" w:space="0" w:color="000000"/>
                    <w:right w:val="single" w:sz="2" w:space="0" w:color="000000"/>
                  </w:tcBorders>
                  <w:vAlign w:val="center"/>
                </w:tcPr>
                <w:p w14:paraId="697DFABD"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本项目不涉及</w:t>
                  </w:r>
                </w:p>
              </w:tc>
              <w:tc>
                <w:tcPr>
                  <w:tcW w:w="789" w:type="dxa"/>
                  <w:vMerge/>
                  <w:tcBorders>
                    <w:left w:val="single" w:sz="2" w:space="0" w:color="000000"/>
                    <w:right w:val="nil"/>
                  </w:tcBorders>
                  <w:vAlign w:val="center"/>
                </w:tcPr>
                <w:p w14:paraId="210918F3" w14:textId="77777777" w:rsidR="00F76A63" w:rsidRDefault="00F76A63">
                  <w:pPr>
                    <w:jc w:val="center"/>
                    <w:rPr>
                      <w:szCs w:val="21"/>
                    </w:rPr>
                  </w:pPr>
                </w:p>
              </w:tc>
            </w:tr>
            <w:tr w:rsidR="00F76A63" w14:paraId="24188E5F" w14:textId="77777777">
              <w:trPr>
                <w:trHeight w:val="227"/>
                <w:jc w:val="center"/>
              </w:trPr>
              <w:tc>
                <w:tcPr>
                  <w:tcW w:w="625" w:type="dxa"/>
                  <w:vMerge/>
                  <w:tcBorders>
                    <w:left w:val="nil"/>
                    <w:right w:val="single" w:sz="2" w:space="0" w:color="000000"/>
                  </w:tcBorders>
                  <w:vAlign w:val="center"/>
                </w:tcPr>
                <w:p w14:paraId="5A60E2C7"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1E8CBD3"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AE04E31"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c</w:t>
                  </w:r>
                  <w:r>
                    <w:rPr>
                      <w:rFonts w:ascii="Times New Roman" w:hAnsi="Times New Roman" w:cs="Times New Roman"/>
                      <w:color w:val="auto"/>
                      <w:spacing w:val="12"/>
                      <w:sz w:val="21"/>
                      <w:szCs w:val="21"/>
                    </w:rPr>
                    <w:t>）未经拆解的废电池、废家用电器和电子产品。</w:t>
                  </w:r>
                </w:p>
              </w:tc>
              <w:tc>
                <w:tcPr>
                  <w:tcW w:w="3306" w:type="dxa"/>
                  <w:tcBorders>
                    <w:left w:val="single" w:sz="2" w:space="0" w:color="000000"/>
                    <w:right w:val="single" w:sz="2" w:space="0" w:color="000000"/>
                  </w:tcBorders>
                  <w:vAlign w:val="center"/>
                </w:tcPr>
                <w:p w14:paraId="3A24A743"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本项目不涉及</w:t>
                  </w:r>
                </w:p>
              </w:tc>
              <w:tc>
                <w:tcPr>
                  <w:tcW w:w="789" w:type="dxa"/>
                  <w:vMerge/>
                  <w:tcBorders>
                    <w:left w:val="single" w:sz="2" w:space="0" w:color="000000"/>
                    <w:right w:val="nil"/>
                  </w:tcBorders>
                  <w:vAlign w:val="center"/>
                </w:tcPr>
                <w:p w14:paraId="2B3179C0" w14:textId="77777777" w:rsidR="00F76A63" w:rsidRDefault="00F76A63">
                  <w:pPr>
                    <w:jc w:val="center"/>
                    <w:rPr>
                      <w:szCs w:val="21"/>
                    </w:rPr>
                  </w:pPr>
                </w:p>
              </w:tc>
            </w:tr>
            <w:tr w:rsidR="00F76A63" w14:paraId="49ACEE2C" w14:textId="77777777">
              <w:trPr>
                <w:trHeight w:val="227"/>
                <w:jc w:val="center"/>
              </w:trPr>
              <w:tc>
                <w:tcPr>
                  <w:tcW w:w="625" w:type="dxa"/>
                  <w:vMerge/>
                  <w:tcBorders>
                    <w:left w:val="nil"/>
                    <w:right w:val="single" w:sz="2" w:space="0" w:color="000000"/>
                  </w:tcBorders>
                  <w:vAlign w:val="center"/>
                </w:tcPr>
                <w:p w14:paraId="5D1AA143"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1A95D81"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97519B8"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d</w:t>
                  </w:r>
                  <w:r>
                    <w:rPr>
                      <w:rFonts w:ascii="Times New Roman" w:hAnsi="Times New Roman" w:cs="Times New Roman"/>
                      <w:color w:val="auto"/>
                      <w:spacing w:val="12"/>
                      <w:sz w:val="21"/>
                      <w:szCs w:val="21"/>
                    </w:rPr>
                    <w:t>）含汞的温度计、血压计、荧光灯管和开关。</w:t>
                  </w:r>
                </w:p>
              </w:tc>
              <w:tc>
                <w:tcPr>
                  <w:tcW w:w="3306" w:type="dxa"/>
                  <w:tcBorders>
                    <w:left w:val="single" w:sz="2" w:space="0" w:color="000000"/>
                    <w:right w:val="single" w:sz="2" w:space="0" w:color="000000"/>
                  </w:tcBorders>
                  <w:vAlign w:val="center"/>
                </w:tcPr>
                <w:p w14:paraId="5C688B59"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本项目不涉及</w:t>
                  </w:r>
                </w:p>
              </w:tc>
              <w:tc>
                <w:tcPr>
                  <w:tcW w:w="789" w:type="dxa"/>
                  <w:vMerge/>
                  <w:tcBorders>
                    <w:left w:val="single" w:sz="2" w:space="0" w:color="000000"/>
                    <w:right w:val="nil"/>
                  </w:tcBorders>
                  <w:vAlign w:val="center"/>
                </w:tcPr>
                <w:p w14:paraId="31B6B790" w14:textId="77777777" w:rsidR="00F76A63" w:rsidRDefault="00F76A63">
                  <w:pPr>
                    <w:jc w:val="center"/>
                    <w:rPr>
                      <w:szCs w:val="21"/>
                    </w:rPr>
                  </w:pPr>
                </w:p>
              </w:tc>
            </w:tr>
            <w:tr w:rsidR="00F76A63" w14:paraId="46D6C77A" w14:textId="77777777">
              <w:trPr>
                <w:trHeight w:val="227"/>
                <w:jc w:val="center"/>
              </w:trPr>
              <w:tc>
                <w:tcPr>
                  <w:tcW w:w="625" w:type="dxa"/>
                  <w:vMerge/>
                  <w:tcBorders>
                    <w:left w:val="nil"/>
                    <w:right w:val="single" w:sz="2" w:space="0" w:color="000000"/>
                  </w:tcBorders>
                  <w:vAlign w:val="center"/>
                </w:tcPr>
                <w:p w14:paraId="0A39E62E"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A401E2B"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8D23EF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8"/>
                      <w:sz w:val="21"/>
                      <w:szCs w:val="21"/>
                    </w:rPr>
                    <w:t>e</w:t>
                  </w:r>
                  <w:r>
                    <w:rPr>
                      <w:rFonts w:ascii="Times New Roman" w:hAnsi="Times New Roman" w:cs="Times New Roman"/>
                      <w:color w:val="auto"/>
                      <w:spacing w:val="8"/>
                      <w:sz w:val="21"/>
                      <w:szCs w:val="21"/>
                    </w:rPr>
                    <w:t>）铬渣</w:t>
                  </w:r>
                </w:p>
              </w:tc>
              <w:tc>
                <w:tcPr>
                  <w:tcW w:w="3306" w:type="dxa"/>
                  <w:tcBorders>
                    <w:left w:val="single" w:sz="2" w:space="0" w:color="000000"/>
                    <w:right w:val="single" w:sz="2" w:space="0" w:color="000000"/>
                  </w:tcBorders>
                  <w:vAlign w:val="center"/>
                </w:tcPr>
                <w:p w14:paraId="74C5B642"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本项目不涉及</w:t>
                  </w:r>
                </w:p>
              </w:tc>
              <w:tc>
                <w:tcPr>
                  <w:tcW w:w="789" w:type="dxa"/>
                  <w:vMerge/>
                  <w:tcBorders>
                    <w:left w:val="single" w:sz="2" w:space="0" w:color="000000"/>
                    <w:right w:val="nil"/>
                  </w:tcBorders>
                  <w:vAlign w:val="center"/>
                </w:tcPr>
                <w:p w14:paraId="5FEDF4D7" w14:textId="77777777" w:rsidR="00F76A63" w:rsidRDefault="00F76A63">
                  <w:pPr>
                    <w:jc w:val="center"/>
                    <w:rPr>
                      <w:szCs w:val="21"/>
                    </w:rPr>
                  </w:pPr>
                </w:p>
              </w:tc>
            </w:tr>
            <w:tr w:rsidR="00F76A63" w14:paraId="6A511105" w14:textId="77777777">
              <w:trPr>
                <w:trHeight w:val="227"/>
                <w:jc w:val="center"/>
              </w:trPr>
              <w:tc>
                <w:tcPr>
                  <w:tcW w:w="625" w:type="dxa"/>
                  <w:vMerge/>
                  <w:tcBorders>
                    <w:left w:val="nil"/>
                    <w:right w:val="single" w:sz="2" w:space="0" w:color="000000"/>
                  </w:tcBorders>
                  <w:vAlign w:val="center"/>
                </w:tcPr>
                <w:p w14:paraId="38AF7853"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3EA7DC4C"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8BB28C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f</w:t>
                  </w:r>
                  <w:r>
                    <w:rPr>
                      <w:rFonts w:ascii="Times New Roman" w:hAnsi="Times New Roman" w:cs="Times New Roman"/>
                      <w:color w:val="auto"/>
                      <w:spacing w:val="11"/>
                      <w:sz w:val="21"/>
                      <w:szCs w:val="21"/>
                    </w:rPr>
                    <w:t>）未知特性和未经鉴定的废物。</w:t>
                  </w:r>
                </w:p>
              </w:tc>
              <w:tc>
                <w:tcPr>
                  <w:tcW w:w="3306" w:type="dxa"/>
                  <w:tcBorders>
                    <w:left w:val="single" w:sz="2" w:space="0" w:color="000000"/>
                    <w:bottom w:val="single" w:sz="2" w:space="0" w:color="000000"/>
                    <w:right w:val="single" w:sz="2" w:space="0" w:color="000000"/>
                  </w:tcBorders>
                  <w:vAlign w:val="center"/>
                </w:tcPr>
                <w:p w14:paraId="4F18139D"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本项目不涉及</w:t>
                  </w:r>
                </w:p>
              </w:tc>
              <w:tc>
                <w:tcPr>
                  <w:tcW w:w="789" w:type="dxa"/>
                  <w:vMerge/>
                  <w:tcBorders>
                    <w:left w:val="single" w:sz="2" w:space="0" w:color="000000"/>
                    <w:bottom w:val="single" w:sz="2" w:space="0" w:color="000000"/>
                    <w:right w:val="nil"/>
                  </w:tcBorders>
                  <w:vAlign w:val="center"/>
                </w:tcPr>
                <w:p w14:paraId="69B54626" w14:textId="77777777" w:rsidR="00F76A63" w:rsidRDefault="00F76A63">
                  <w:pPr>
                    <w:jc w:val="center"/>
                    <w:rPr>
                      <w:szCs w:val="21"/>
                    </w:rPr>
                  </w:pPr>
                </w:p>
              </w:tc>
            </w:tr>
            <w:tr w:rsidR="00F76A63" w14:paraId="0894A98E" w14:textId="77777777">
              <w:trPr>
                <w:trHeight w:val="165"/>
                <w:jc w:val="center"/>
              </w:trPr>
              <w:tc>
                <w:tcPr>
                  <w:tcW w:w="625" w:type="dxa"/>
                  <w:vMerge/>
                  <w:tcBorders>
                    <w:left w:val="nil"/>
                    <w:right w:val="single" w:sz="2" w:space="0" w:color="000000"/>
                  </w:tcBorders>
                  <w:vAlign w:val="center"/>
                </w:tcPr>
                <w:p w14:paraId="4306D844"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78A36E4F"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5.2 </w:t>
                  </w:r>
                  <w:r>
                    <w:rPr>
                      <w:rFonts w:ascii="Times New Roman" w:hAnsi="Times New Roman" w:cs="Times New Roman"/>
                      <w:color w:val="auto"/>
                      <w:spacing w:val="3"/>
                      <w:sz w:val="21"/>
                      <w:szCs w:val="21"/>
                    </w:rPr>
                    <w:t>入窑协同处置的废物特性要求</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0CBC31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5.2.1</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2"/>
                      <w:sz w:val="21"/>
                      <w:szCs w:val="21"/>
                    </w:rPr>
                    <w:t>入窑固体废物应具有稳定的化学组成和物</w:t>
                  </w:r>
                  <w:r>
                    <w:rPr>
                      <w:rFonts w:ascii="Times New Roman" w:hAnsi="Times New Roman" w:cs="Times New Roman"/>
                      <w:color w:val="auto"/>
                      <w:spacing w:val="11"/>
                      <w:sz w:val="21"/>
                      <w:szCs w:val="21"/>
                    </w:rPr>
                    <w:t>理特性，其化学组成、理化性质等</w:t>
                  </w:r>
                  <w:r>
                    <w:rPr>
                      <w:rFonts w:ascii="Times New Roman" w:hAnsi="Times New Roman" w:cs="Times New Roman"/>
                      <w:color w:val="auto"/>
                      <w:spacing w:val="12"/>
                      <w:sz w:val="21"/>
                      <w:szCs w:val="21"/>
                    </w:rPr>
                    <w:t>不应对水泥生产过程和水泥产品质量产生不利影响。</w:t>
                  </w:r>
                </w:p>
              </w:tc>
              <w:tc>
                <w:tcPr>
                  <w:tcW w:w="3306" w:type="dxa"/>
                  <w:tcBorders>
                    <w:top w:val="single" w:sz="2" w:space="0" w:color="000000"/>
                    <w:left w:val="single" w:sz="2" w:space="0" w:color="000000"/>
                    <w:right w:val="single" w:sz="2" w:space="0" w:color="000000"/>
                  </w:tcBorders>
                  <w:vAlign w:val="center"/>
                </w:tcPr>
                <w:p w14:paraId="1407FC89"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本项目入窑废物具有稳定的化学组成和物理特性，其化学组成、理化性质等不会对水泥生产过程和水泥产品质</w:t>
                  </w:r>
                  <w:r>
                    <w:rPr>
                      <w:rFonts w:ascii="Times New Roman" w:hAnsi="Times New Roman" w:cs="Times New Roman"/>
                      <w:color w:val="auto"/>
                      <w:spacing w:val="10"/>
                      <w:sz w:val="21"/>
                      <w:szCs w:val="21"/>
                    </w:rPr>
                    <w:t>量产生不利影响。</w:t>
                  </w:r>
                </w:p>
              </w:tc>
              <w:tc>
                <w:tcPr>
                  <w:tcW w:w="789" w:type="dxa"/>
                  <w:vMerge w:val="restart"/>
                  <w:tcBorders>
                    <w:top w:val="single" w:sz="2" w:space="0" w:color="000000"/>
                    <w:left w:val="single" w:sz="2" w:space="0" w:color="000000"/>
                    <w:right w:val="nil"/>
                  </w:tcBorders>
                  <w:vAlign w:val="center"/>
                </w:tcPr>
                <w:p w14:paraId="116FC992" w14:textId="77777777" w:rsidR="00F76A63" w:rsidRDefault="00000000">
                  <w:pPr>
                    <w:jc w:val="center"/>
                    <w:rPr>
                      <w:szCs w:val="21"/>
                    </w:rPr>
                  </w:pPr>
                  <w:r>
                    <w:rPr>
                      <w:szCs w:val="21"/>
                    </w:rPr>
                    <w:t>符合</w:t>
                  </w:r>
                </w:p>
              </w:tc>
            </w:tr>
            <w:tr w:rsidR="00F76A63" w14:paraId="13FDE731" w14:textId="77777777">
              <w:trPr>
                <w:trHeight w:val="165"/>
                <w:jc w:val="center"/>
              </w:trPr>
              <w:tc>
                <w:tcPr>
                  <w:tcW w:w="625" w:type="dxa"/>
                  <w:vMerge/>
                  <w:tcBorders>
                    <w:left w:val="nil"/>
                    <w:right w:val="single" w:sz="2" w:space="0" w:color="000000"/>
                  </w:tcBorders>
                  <w:vAlign w:val="center"/>
                </w:tcPr>
                <w:p w14:paraId="4A3952F3"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4300E1F"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29A669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5.2.2</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1"/>
                      <w:sz w:val="21"/>
                      <w:szCs w:val="21"/>
                    </w:rPr>
                    <w:t>入窑固体废物中如含有表</w:t>
                  </w:r>
                  <w:r>
                    <w:rPr>
                      <w:rFonts w:ascii="Times New Roman" w:hAnsi="Times New Roman" w:cs="Times New Roman"/>
                      <w:color w:val="auto"/>
                      <w:spacing w:val="11"/>
                      <w:sz w:val="21"/>
                      <w:szCs w:val="21"/>
                    </w:rPr>
                    <w:t>1</w:t>
                  </w:r>
                  <w:r>
                    <w:rPr>
                      <w:rFonts w:ascii="Times New Roman" w:hAnsi="Times New Roman" w:cs="Times New Roman"/>
                      <w:color w:val="auto"/>
                      <w:spacing w:val="11"/>
                      <w:sz w:val="21"/>
                      <w:szCs w:val="21"/>
                    </w:rPr>
                    <w:t>中所</w:t>
                  </w:r>
                  <w:r>
                    <w:rPr>
                      <w:rFonts w:ascii="Times New Roman" w:hAnsi="Times New Roman" w:cs="Times New Roman"/>
                      <w:color w:val="auto"/>
                      <w:spacing w:val="10"/>
                      <w:sz w:val="21"/>
                      <w:szCs w:val="21"/>
                    </w:rPr>
                    <w:t>列重金属成分，其含量应该满足本规范第</w:t>
                  </w:r>
                  <w:r>
                    <w:rPr>
                      <w:rFonts w:ascii="Times New Roman" w:hAnsi="Times New Roman" w:cs="Times New Roman"/>
                      <w:color w:val="auto"/>
                      <w:spacing w:val="6"/>
                      <w:sz w:val="21"/>
                      <w:szCs w:val="21"/>
                    </w:rPr>
                    <w:t>6.6.7</w:t>
                  </w:r>
                  <w:r>
                    <w:rPr>
                      <w:rFonts w:ascii="Times New Roman" w:hAnsi="Times New Roman" w:cs="Times New Roman"/>
                      <w:color w:val="auto"/>
                      <w:spacing w:val="6"/>
                      <w:sz w:val="21"/>
                      <w:szCs w:val="21"/>
                    </w:rPr>
                    <w:t>条的要求。</w:t>
                  </w:r>
                </w:p>
              </w:tc>
              <w:tc>
                <w:tcPr>
                  <w:tcW w:w="3306" w:type="dxa"/>
                  <w:tcBorders>
                    <w:left w:val="single" w:sz="2" w:space="0" w:color="000000"/>
                    <w:right w:val="single" w:sz="2" w:space="0" w:color="000000"/>
                  </w:tcBorders>
                  <w:vAlign w:val="center"/>
                </w:tcPr>
                <w:p w14:paraId="485DC86E"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本项目入窑固体废物中重金属含量满</w:t>
                  </w:r>
                  <w:r>
                    <w:rPr>
                      <w:rFonts w:ascii="Times New Roman" w:hAnsi="Times New Roman" w:cs="Times New Roman"/>
                      <w:color w:val="auto"/>
                      <w:spacing w:val="7"/>
                      <w:sz w:val="21"/>
                      <w:szCs w:val="21"/>
                    </w:rPr>
                    <w:t>足本规范第</w:t>
                  </w:r>
                  <w:r>
                    <w:rPr>
                      <w:rFonts w:ascii="Times New Roman" w:hAnsi="Times New Roman" w:cs="Times New Roman"/>
                      <w:color w:val="auto"/>
                      <w:spacing w:val="7"/>
                      <w:sz w:val="21"/>
                      <w:szCs w:val="21"/>
                    </w:rPr>
                    <w:t>6.6.7</w:t>
                  </w:r>
                  <w:r>
                    <w:rPr>
                      <w:rFonts w:ascii="Times New Roman" w:hAnsi="Times New Roman" w:cs="Times New Roman"/>
                      <w:color w:val="auto"/>
                      <w:spacing w:val="7"/>
                      <w:sz w:val="21"/>
                      <w:szCs w:val="21"/>
                    </w:rPr>
                    <w:t>条要求。</w:t>
                  </w:r>
                </w:p>
              </w:tc>
              <w:tc>
                <w:tcPr>
                  <w:tcW w:w="789" w:type="dxa"/>
                  <w:vMerge/>
                  <w:tcBorders>
                    <w:left w:val="single" w:sz="2" w:space="0" w:color="000000"/>
                    <w:right w:val="nil"/>
                  </w:tcBorders>
                  <w:vAlign w:val="center"/>
                </w:tcPr>
                <w:p w14:paraId="50DEF22F" w14:textId="77777777" w:rsidR="00F76A63" w:rsidRDefault="00F76A63">
                  <w:pPr>
                    <w:jc w:val="center"/>
                    <w:rPr>
                      <w:szCs w:val="21"/>
                    </w:rPr>
                  </w:pPr>
                </w:p>
              </w:tc>
            </w:tr>
            <w:tr w:rsidR="00F76A63" w14:paraId="158F8F25" w14:textId="77777777">
              <w:trPr>
                <w:trHeight w:val="165"/>
                <w:jc w:val="center"/>
              </w:trPr>
              <w:tc>
                <w:tcPr>
                  <w:tcW w:w="625" w:type="dxa"/>
                  <w:vMerge/>
                  <w:tcBorders>
                    <w:left w:val="nil"/>
                    <w:right w:val="single" w:sz="2" w:space="0" w:color="000000"/>
                  </w:tcBorders>
                  <w:vAlign w:val="center"/>
                </w:tcPr>
                <w:p w14:paraId="0E9B0EC8"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D92C92C"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33C97DE"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 xml:space="preserve">5.2.3 </w:t>
                  </w:r>
                  <w:r>
                    <w:rPr>
                      <w:rFonts w:ascii="Times New Roman" w:hAnsi="Times New Roman" w:cs="Times New Roman"/>
                      <w:color w:val="auto"/>
                      <w:spacing w:val="13"/>
                      <w:sz w:val="21"/>
                      <w:szCs w:val="21"/>
                    </w:rPr>
                    <w:t>入窑固体废物中氯（</w:t>
                  </w:r>
                  <w:r>
                    <w:rPr>
                      <w:rFonts w:ascii="Times New Roman" w:hAnsi="Times New Roman" w:cs="Times New Roman"/>
                      <w:color w:val="auto"/>
                      <w:sz w:val="21"/>
                      <w:szCs w:val="21"/>
                    </w:rPr>
                    <w:t>Cl</w:t>
                  </w:r>
                  <w:r>
                    <w:rPr>
                      <w:rFonts w:ascii="Times New Roman" w:hAnsi="Times New Roman" w:cs="Times New Roman"/>
                      <w:color w:val="auto"/>
                      <w:spacing w:val="13"/>
                      <w:sz w:val="21"/>
                      <w:szCs w:val="21"/>
                    </w:rPr>
                    <w:t>）和氟（</w:t>
                  </w:r>
                  <w:r>
                    <w:rPr>
                      <w:rFonts w:ascii="Times New Roman" w:hAnsi="Times New Roman" w:cs="Times New Roman"/>
                      <w:color w:val="auto"/>
                      <w:spacing w:val="13"/>
                      <w:sz w:val="21"/>
                      <w:szCs w:val="21"/>
                    </w:rPr>
                    <w:t>F</w:t>
                  </w:r>
                  <w:r>
                    <w:rPr>
                      <w:rFonts w:ascii="Times New Roman" w:hAnsi="Times New Roman" w:cs="Times New Roman"/>
                      <w:color w:val="auto"/>
                      <w:spacing w:val="13"/>
                      <w:sz w:val="21"/>
                      <w:szCs w:val="21"/>
                    </w:rPr>
                    <w:t>）元</w:t>
                  </w:r>
                  <w:r>
                    <w:rPr>
                      <w:rFonts w:ascii="Times New Roman" w:hAnsi="Times New Roman" w:cs="Times New Roman"/>
                      <w:color w:val="auto"/>
                      <w:spacing w:val="12"/>
                      <w:sz w:val="21"/>
                      <w:szCs w:val="21"/>
                    </w:rPr>
                    <w:t>素的含量不应对水泥生产和水泥产品</w:t>
                  </w:r>
                  <w:r>
                    <w:rPr>
                      <w:rFonts w:ascii="Times New Roman" w:hAnsi="Times New Roman" w:cs="Times New Roman"/>
                      <w:color w:val="auto"/>
                      <w:spacing w:val="11"/>
                      <w:sz w:val="21"/>
                      <w:szCs w:val="21"/>
                    </w:rPr>
                    <w:t>质量造成不利影响，其含量应该满足本标准</w:t>
                  </w:r>
                  <w:r>
                    <w:rPr>
                      <w:rFonts w:ascii="Times New Roman" w:hAnsi="Times New Roman" w:cs="Times New Roman"/>
                      <w:color w:val="auto"/>
                      <w:spacing w:val="-34"/>
                      <w:sz w:val="21"/>
                      <w:szCs w:val="21"/>
                    </w:rPr>
                    <w:t xml:space="preserve"> </w:t>
                  </w:r>
                  <w:r>
                    <w:rPr>
                      <w:rFonts w:ascii="Times New Roman" w:hAnsi="Times New Roman" w:cs="Times New Roman"/>
                      <w:color w:val="auto"/>
                      <w:spacing w:val="11"/>
                      <w:sz w:val="21"/>
                      <w:szCs w:val="21"/>
                    </w:rPr>
                    <w:t>6.6.8</w:t>
                  </w:r>
                  <w:r>
                    <w:rPr>
                      <w:rFonts w:ascii="Times New Roman" w:hAnsi="Times New Roman" w:cs="Times New Roman"/>
                      <w:color w:val="auto"/>
                      <w:spacing w:val="11"/>
                      <w:sz w:val="21"/>
                      <w:szCs w:val="21"/>
                    </w:rPr>
                    <w:t>条</w:t>
                  </w:r>
                  <w:r>
                    <w:rPr>
                      <w:rFonts w:ascii="Times New Roman" w:hAnsi="Times New Roman" w:cs="Times New Roman"/>
                      <w:color w:val="auto"/>
                      <w:spacing w:val="10"/>
                      <w:sz w:val="21"/>
                      <w:szCs w:val="21"/>
                    </w:rPr>
                    <w:t>的要求。</w:t>
                  </w:r>
                </w:p>
              </w:tc>
              <w:tc>
                <w:tcPr>
                  <w:tcW w:w="3306" w:type="dxa"/>
                  <w:tcBorders>
                    <w:left w:val="single" w:sz="2" w:space="0" w:color="000000"/>
                    <w:right w:val="single" w:sz="2" w:space="0" w:color="000000"/>
                  </w:tcBorders>
                  <w:vAlign w:val="center"/>
                </w:tcPr>
                <w:p w14:paraId="369AF54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经核算论证，本项目入窑固体废物中</w:t>
                  </w:r>
                  <w:r>
                    <w:rPr>
                      <w:rFonts w:ascii="Times New Roman" w:hAnsi="Times New Roman" w:cs="Times New Roman"/>
                      <w:color w:val="auto"/>
                      <w:spacing w:val="17"/>
                      <w:sz w:val="21"/>
                      <w:szCs w:val="21"/>
                    </w:rPr>
                    <w:t>氯（</w:t>
                  </w:r>
                  <w:r>
                    <w:rPr>
                      <w:rFonts w:ascii="Times New Roman" w:hAnsi="Times New Roman" w:cs="Times New Roman"/>
                      <w:color w:val="auto"/>
                      <w:sz w:val="21"/>
                      <w:szCs w:val="21"/>
                    </w:rPr>
                    <w:t>Cl</w:t>
                  </w:r>
                  <w:r>
                    <w:rPr>
                      <w:rFonts w:ascii="Times New Roman" w:hAnsi="Times New Roman" w:cs="Times New Roman"/>
                      <w:color w:val="auto"/>
                      <w:spacing w:val="17"/>
                      <w:sz w:val="21"/>
                      <w:szCs w:val="21"/>
                    </w:rPr>
                    <w:t>）和氟（</w:t>
                  </w:r>
                  <w:r>
                    <w:rPr>
                      <w:rFonts w:ascii="Times New Roman" w:hAnsi="Times New Roman" w:cs="Times New Roman"/>
                      <w:color w:val="auto"/>
                      <w:spacing w:val="17"/>
                      <w:sz w:val="21"/>
                      <w:szCs w:val="21"/>
                    </w:rPr>
                    <w:t>F</w:t>
                  </w:r>
                  <w:r>
                    <w:rPr>
                      <w:rFonts w:ascii="Times New Roman" w:hAnsi="Times New Roman" w:cs="Times New Roman"/>
                      <w:color w:val="auto"/>
                      <w:spacing w:val="17"/>
                      <w:sz w:val="21"/>
                      <w:szCs w:val="21"/>
                    </w:rPr>
                    <w:t>）元素的含量不会</w:t>
                  </w:r>
                  <w:r>
                    <w:rPr>
                      <w:rFonts w:ascii="Times New Roman" w:hAnsi="Times New Roman" w:cs="Times New Roman"/>
                      <w:color w:val="auto"/>
                      <w:spacing w:val="13"/>
                      <w:sz w:val="21"/>
                      <w:szCs w:val="21"/>
                    </w:rPr>
                    <w:t>对水泥生产和水泥产品质量造成不利</w:t>
                  </w:r>
                  <w:r>
                    <w:rPr>
                      <w:rFonts w:ascii="Times New Roman" w:hAnsi="Times New Roman" w:cs="Times New Roman"/>
                      <w:color w:val="auto"/>
                      <w:spacing w:val="12"/>
                      <w:sz w:val="21"/>
                      <w:szCs w:val="21"/>
                    </w:rPr>
                    <w:t>影响，其含量满足本标准</w:t>
                  </w:r>
                  <w:r>
                    <w:rPr>
                      <w:rFonts w:ascii="Times New Roman" w:hAnsi="Times New Roman" w:cs="Times New Roman"/>
                      <w:color w:val="auto"/>
                      <w:spacing w:val="12"/>
                      <w:sz w:val="21"/>
                      <w:szCs w:val="21"/>
                    </w:rPr>
                    <w:t>6.6.8</w:t>
                  </w:r>
                  <w:r>
                    <w:rPr>
                      <w:rFonts w:ascii="Times New Roman" w:hAnsi="Times New Roman" w:cs="Times New Roman"/>
                      <w:color w:val="auto"/>
                      <w:spacing w:val="12"/>
                      <w:sz w:val="21"/>
                      <w:szCs w:val="21"/>
                    </w:rPr>
                    <w:t>条要</w:t>
                  </w:r>
                  <w:r>
                    <w:rPr>
                      <w:rFonts w:ascii="Times New Roman" w:hAnsi="Times New Roman" w:cs="Times New Roman"/>
                      <w:color w:val="auto"/>
                      <w:spacing w:val="-1"/>
                      <w:sz w:val="21"/>
                      <w:szCs w:val="21"/>
                    </w:rPr>
                    <w:t>求。</w:t>
                  </w:r>
                </w:p>
              </w:tc>
              <w:tc>
                <w:tcPr>
                  <w:tcW w:w="789" w:type="dxa"/>
                  <w:vMerge/>
                  <w:tcBorders>
                    <w:left w:val="single" w:sz="2" w:space="0" w:color="000000"/>
                    <w:right w:val="nil"/>
                  </w:tcBorders>
                  <w:vAlign w:val="center"/>
                </w:tcPr>
                <w:p w14:paraId="71C10952" w14:textId="77777777" w:rsidR="00F76A63" w:rsidRDefault="00F76A63">
                  <w:pPr>
                    <w:jc w:val="center"/>
                    <w:rPr>
                      <w:szCs w:val="21"/>
                    </w:rPr>
                  </w:pPr>
                </w:p>
              </w:tc>
            </w:tr>
            <w:tr w:rsidR="00F76A63" w14:paraId="5B8C2244" w14:textId="77777777">
              <w:trPr>
                <w:trHeight w:val="165"/>
                <w:jc w:val="center"/>
              </w:trPr>
              <w:tc>
                <w:tcPr>
                  <w:tcW w:w="625" w:type="dxa"/>
                  <w:vMerge/>
                  <w:tcBorders>
                    <w:left w:val="nil"/>
                    <w:right w:val="single" w:sz="2" w:space="0" w:color="000000"/>
                  </w:tcBorders>
                  <w:vAlign w:val="center"/>
                </w:tcPr>
                <w:p w14:paraId="3F7337C3"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422F0BF5"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1EA80DC"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5.2.4</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0"/>
                      <w:sz w:val="21"/>
                      <w:szCs w:val="21"/>
                    </w:rPr>
                    <w:t>入窑固体废物中硫（</w:t>
                  </w:r>
                  <w:r>
                    <w:rPr>
                      <w:rFonts w:ascii="Times New Roman" w:hAnsi="Times New Roman" w:cs="Times New Roman"/>
                      <w:color w:val="auto"/>
                      <w:spacing w:val="10"/>
                      <w:sz w:val="21"/>
                      <w:szCs w:val="21"/>
                    </w:rPr>
                    <w:t>S</w:t>
                  </w:r>
                  <w:r>
                    <w:rPr>
                      <w:rFonts w:ascii="Times New Roman" w:hAnsi="Times New Roman" w:cs="Times New Roman"/>
                      <w:color w:val="auto"/>
                      <w:spacing w:val="10"/>
                      <w:sz w:val="21"/>
                      <w:szCs w:val="21"/>
                    </w:rPr>
                    <w:t>）元素含量应满足本标准</w:t>
                  </w:r>
                  <w:r>
                    <w:rPr>
                      <w:rFonts w:ascii="Times New Roman" w:hAnsi="Times New Roman" w:cs="Times New Roman"/>
                      <w:color w:val="auto"/>
                      <w:spacing w:val="-31"/>
                      <w:sz w:val="21"/>
                      <w:szCs w:val="21"/>
                    </w:rPr>
                    <w:t xml:space="preserve"> </w:t>
                  </w:r>
                  <w:r>
                    <w:rPr>
                      <w:rFonts w:ascii="Times New Roman" w:hAnsi="Times New Roman" w:cs="Times New Roman"/>
                      <w:color w:val="auto"/>
                      <w:spacing w:val="10"/>
                      <w:sz w:val="21"/>
                      <w:szCs w:val="21"/>
                    </w:rPr>
                    <w:t>6.6.9</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0"/>
                      <w:sz w:val="21"/>
                      <w:szCs w:val="21"/>
                    </w:rPr>
                    <w:t>条的要求。</w:t>
                  </w:r>
                </w:p>
              </w:tc>
              <w:tc>
                <w:tcPr>
                  <w:tcW w:w="3306" w:type="dxa"/>
                  <w:tcBorders>
                    <w:left w:val="single" w:sz="2" w:space="0" w:color="000000"/>
                    <w:right w:val="single" w:sz="2" w:space="0" w:color="000000"/>
                  </w:tcBorders>
                  <w:vAlign w:val="center"/>
                </w:tcPr>
                <w:p w14:paraId="3C5E3D02"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2"/>
                      <w:sz w:val="21"/>
                      <w:szCs w:val="21"/>
                    </w:rPr>
                    <w:t>本项目入窑固体废物中硫（</w:t>
                  </w:r>
                  <w:r>
                    <w:rPr>
                      <w:rFonts w:ascii="Times New Roman" w:hAnsi="Times New Roman" w:cs="Times New Roman"/>
                      <w:color w:val="auto"/>
                      <w:spacing w:val="12"/>
                      <w:sz w:val="21"/>
                      <w:szCs w:val="21"/>
                    </w:rPr>
                    <w:t>S</w:t>
                  </w:r>
                  <w:r>
                    <w:rPr>
                      <w:rFonts w:ascii="Times New Roman" w:hAnsi="Times New Roman" w:cs="Times New Roman"/>
                      <w:color w:val="auto"/>
                      <w:spacing w:val="12"/>
                      <w:sz w:val="21"/>
                      <w:szCs w:val="21"/>
                    </w:rPr>
                    <w:t>）元素</w:t>
                  </w:r>
                  <w:r>
                    <w:rPr>
                      <w:rFonts w:ascii="Times New Roman" w:hAnsi="Times New Roman" w:cs="Times New Roman"/>
                      <w:color w:val="auto"/>
                      <w:spacing w:val="8"/>
                      <w:sz w:val="21"/>
                      <w:szCs w:val="21"/>
                    </w:rPr>
                    <w:t>含量满足本标准</w:t>
                  </w:r>
                  <w:r>
                    <w:rPr>
                      <w:rFonts w:ascii="Times New Roman" w:hAnsi="Times New Roman" w:cs="Times New Roman"/>
                      <w:color w:val="auto"/>
                      <w:spacing w:val="8"/>
                      <w:sz w:val="21"/>
                      <w:szCs w:val="21"/>
                    </w:rPr>
                    <w:t>6.6.9</w:t>
                  </w:r>
                  <w:r>
                    <w:rPr>
                      <w:rFonts w:ascii="Times New Roman" w:hAnsi="Times New Roman" w:cs="Times New Roman"/>
                      <w:color w:val="auto"/>
                      <w:spacing w:val="8"/>
                      <w:sz w:val="21"/>
                      <w:szCs w:val="21"/>
                    </w:rPr>
                    <w:t>条要求。</w:t>
                  </w:r>
                </w:p>
              </w:tc>
              <w:tc>
                <w:tcPr>
                  <w:tcW w:w="789" w:type="dxa"/>
                  <w:vMerge/>
                  <w:tcBorders>
                    <w:left w:val="single" w:sz="2" w:space="0" w:color="000000"/>
                    <w:right w:val="nil"/>
                  </w:tcBorders>
                  <w:vAlign w:val="center"/>
                </w:tcPr>
                <w:p w14:paraId="06573B57" w14:textId="77777777" w:rsidR="00F76A63" w:rsidRDefault="00F76A63">
                  <w:pPr>
                    <w:jc w:val="center"/>
                    <w:rPr>
                      <w:szCs w:val="21"/>
                    </w:rPr>
                  </w:pPr>
                </w:p>
              </w:tc>
            </w:tr>
            <w:tr w:rsidR="00F76A63" w14:paraId="279F1210" w14:textId="77777777">
              <w:trPr>
                <w:trHeight w:val="165"/>
                <w:jc w:val="center"/>
              </w:trPr>
              <w:tc>
                <w:tcPr>
                  <w:tcW w:w="625" w:type="dxa"/>
                  <w:vMerge/>
                  <w:tcBorders>
                    <w:left w:val="nil"/>
                    <w:right w:val="single" w:sz="2" w:space="0" w:color="000000"/>
                  </w:tcBorders>
                  <w:vAlign w:val="center"/>
                </w:tcPr>
                <w:p w14:paraId="2A0B643E"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12117AB0"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39C757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5.2.5</w:t>
                  </w:r>
                  <w:r>
                    <w:rPr>
                      <w:rFonts w:ascii="Times New Roman" w:hAnsi="Times New Roman" w:cs="Times New Roman"/>
                      <w:color w:val="auto"/>
                      <w:spacing w:val="35"/>
                      <w:sz w:val="21"/>
                      <w:szCs w:val="21"/>
                    </w:rPr>
                    <w:t xml:space="preserve"> </w:t>
                  </w:r>
                  <w:r>
                    <w:rPr>
                      <w:rFonts w:ascii="Times New Roman" w:hAnsi="Times New Roman" w:cs="Times New Roman"/>
                      <w:color w:val="auto"/>
                      <w:spacing w:val="12"/>
                      <w:sz w:val="21"/>
                      <w:szCs w:val="21"/>
                    </w:rPr>
                    <w:t>具有腐蚀性的固体废物，应经过预处理降低废物腐蚀性或对设施进行防腐性改造，确保不对设施造成腐蚀后方可进行协同处置。</w:t>
                  </w:r>
                </w:p>
              </w:tc>
              <w:tc>
                <w:tcPr>
                  <w:tcW w:w="3306" w:type="dxa"/>
                  <w:tcBorders>
                    <w:left w:val="single" w:sz="2" w:space="0" w:color="000000"/>
                    <w:bottom w:val="single" w:sz="2" w:space="0" w:color="000000"/>
                    <w:right w:val="single" w:sz="2" w:space="0" w:color="000000"/>
                  </w:tcBorders>
                  <w:vAlign w:val="center"/>
                </w:tcPr>
                <w:p w14:paraId="64528981"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本项目不涉及协同处置腐蚀性的固体</w:t>
                  </w:r>
                  <w:r>
                    <w:rPr>
                      <w:rFonts w:ascii="Times New Roman" w:hAnsi="Times New Roman" w:cs="Times New Roman"/>
                      <w:color w:val="auto"/>
                      <w:spacing w:val="5"/>
                      <w:sz w:val="21"/>
                      <w:szCs w:val="21"/>
                    </w:rPr>
                    <w:t>废物。</w:t>
                  </w:r>
                </w:p>
              </w:tc>
              <w:tc>
                <w:tcPr>
                  <w:tcW w:w="789" w:type="dxa"/>
                  <w:vMerge/>
                  <w:tcBorders>
                    <w:left w:val="single" w:sz="2" w:space="0" w:color="000000"/>
                    <w:bottom w:val="single" w:sz="2" w:space="0" w:color="000000"/>
                    <w:right w:val="nil"/>
                  </w:tcBorders>
                  <w:vAlign w:val="center"/>
                </w:tcPr>
                <w:p w14:paraId="4D71F3B4" w14:textId="77777777" w:rsidR="00F76A63" w:rsidRDefault="00F76A63">
                  <w:pPr>
                    <w:jc w:val="center"/>
                    <w:rPr>
                      <w:szCs w:val="21"/>
                    </w:rPr>
                  </w:pPr>
                </w:p>
              </w:tc>
            </w:tr>
            <w:tr w:rsidR="00F76A63" w14:paraId="0C7DB72D" w14:textId="77777777">
              <w:trPr>
                <w:trHeight w:val="413"/>
                <w:jc w:val="center"/>
              </w:trPr>
              <w:tc>
                <w:tcPr>
                  <w:tcW w:w="625" w:type="dxa"/>
                  <w:vMerge/>
                  <w:tcBorders>
                    <w:left w:val="nil"/>
                    <w:right w:val="single" w:sz="2" w:space="0" w:color="000000"/>
                  </w:tcBorders>
                  <w:vAlign w:val="center"/>
                </w:tcPr>
                <w:p w14:paraId="1C84C934"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2D279E1E"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5.3 </w:t>
                  </w:r>
                  <w:r>
                    <w:rPr>
                      <w:rFonts w:ascii="Times New Roman" w:hAnsi="Times New Roman" w:cs="Times New Roman"/>
                      <w:color w:val="auto"/>
                      <w:spacing w:val="3"/>
                      <w:sz w:val="21"/>
                      <w:szCs w:val="21"/>
                    </w:rPr>
                    <w:t>替代混合材的废物特性要求</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3E9B0A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 xml:space="preserve">5.3.1 </w:t>
                  </w:r>
                  <w:r>
                    <w:rPr>
                      <w:rFonts w:ascii="Times New Roman" w:hAnsi="Times New Roman" w:cs="Times New Roman"/>
                      <w:color w:val="auto"/>
                      <w:spacing w:val="13"/>
                      <w:sz w:val="21"/>
                      <w:szCs w:val="21"/>
                    </w:rPr>
                    <w:t>作为替代混合材的固体废物应该满足国家或者行业有关标准，并且不对水泥质量产生不利影响。</w:t>
                  </w:r>
                </w:p>
              </w:tc>
              <w:tc>
                <w:tcPr>
                  <w:tcW w:w="3306" w:type="dxa"/>
                  <w:vMerge w:val="restart"/>
                  <w:tcBorders>
                    <w:top w:val="single" w:sz="2" w:space="0" w:color="000000"/>
                    <w:left w:val="single" w:sz="2" w:space="0" w:color="000000"/>
                    <w:right w:val="single" w:sz="2" w:space="0" w:color="000000"/>
                  </w:tcBorders>
                  <w:vAlign w:val="center"/>
                </w:tcPr>
                <w:p w14:paraId="172AC2A6"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本项目处置的污染土</w:t>
                  </w:r>
                  <w:bookmarkStart w:id="46" w:name="OLE_LINK45"/>
                  <w:r>
                    <w:rPr>
                      <w:rFonts w:ascii="Times New Roman" w:hAnsi="Times New Roman" w:cs="Times New Roman"/>
                      <w:color w:val="auto"/>
                      <w:spacing w:val="10"/>
                      <w:sz w:val="21"/>
                      <w:szCs w:val="21"/>
                    </w:rPr>
                    <w:t>及污泥</w:t>
                  </w:r>
                  <w:bookmarkEnd w:id="46"/>
                  <w:r>
                    <w:rPr>
                      <w:rFonts w:ascii="Times New Roman" w:hAnsi="Times New Roman" w:cs="Times New Roman"/>
                      <w:color w:val="auto"/>
                      <w:spacing w:val="10"/>
                      <w:sz w:val="21"/>
                      <w:szCs w:val="21"/>
                    </w:rPr>
                    <w:t>，不属于危险废物、有机废物类别和国家法律、法规另有规定的废物，不对水泥质量产生不利影响。</w:t>
                  </w:r>
                </w:p>
              </w:tc>
              <w:tc>
                <w:tcPr>
                  <w:tcW w:w="789" w:type="dxa"/>
                  <w:vMerge w:val="restart"/>
                  <w:tcBorders>
                    <w:top w:val="single" w:sz="2" w:space="0" w:color="000000"/>
                    <w:left w:val="single" w:sz="2" w:space="0" w:color="000000"/>
                    <w:right w:val="nil"/>
                  </w:tcBorders>
                  <w:vAlign w:val="center"/>
                </w:tcPr>
                <w:p w14:paraId="5E7A14D2" w14:textId="77777777" w:rsidR="00F76A63" w:rsidRDefault="00000000">
                  <w:pPr>
                    <w:jc w:val="center"/>
                    <w:rPr>
                      <w:szCs w:val="21"/>
                    </w:rPr>
                  </w:pPr>
                  <w:r>
                    <w:rPr>
                      <w:szCs w:val="21"/>
                    </w:rPr>
                    <w:t>符合</w:t>
                  </w:r>
                </w:p>
              </w:tc>
            </w:tr>
            <w:tr w:rsidR="00F76A63" w14:paraId="4C5EE067" w14:textId="77777777">
              <w:trPr>
                <w:trHeight w:val="135"/>
                <w:jc w:val="center"/>
              </w:trPr>
              <w:tc>
                <w:tcPr>
                  <w:tcW w:w="625" w:type="dxa"/>
                  <w:vMerge/>
                  <w:tcBorders>
                    <w:left w:val="nil"/>
                    <w:right w:val="single" w:sz="2" w:space="0" w:color="000000"/>
                  </w:tcBorders>
                  <w:vAlign w:val="center"/>
                </w:tcPr>
                <w:p w14:paraId="4DE8E8A0"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B313390"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val="restart"/>
                  <w:tcBorders>
                    <w:top w:val="single" w:sz="2" w:space="0" w:color="000000"/>
                    <w:left w:val="single" w:sz="2" w:space="0" w:color="000000"/>
                    <w:right w:val="single" w:sz="2" w:space="0" w:color="000000"/>
                  </w:tcBorders>
                  <w:vAlign w:val="center"/>
                </w:tcPr>
                <w:p w14:paraId="29941BA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5"/>
                      <w:sz w:val="21"/>
                      <w:szCs w:val="21"/>
                    </w:rPr>
                    <w:t>5.3.2</w:t>
                  </w:r>
                  <w:r>
                    <w:rPr>
                      <w:rFonts w:ascii="Times New Roman" w:hAnsi="Times New Roman" w:cs="Times New Roman"/>
                      <w:color w:val="auto"/>
                      <w:spacing w:val="31"/>
                      <w:sz w:val="21"/>
                      <w:szCs w:val="21"/>
                    </w:rPr>
                    <w:t xml:space="preserve"> </w:t>
                  </w:r>
                  <w:r>
                    <w:rPr>
                      <w:rFonts w:ascii="Times New Roman" w:hAnsi="Times New Roman" w:cs="Times New Roman"/>
                      <w:color w:val="auto"/>
                      <w:spacing w:val="5"/>
                      <w:sz w:val="21"/>
                      <w:szCs w:val="21"/>
                    </w:rPr>
                    <w:t>下列废</w:t>
                  </w:r>
                  <w:r>
                    <w:rPr>
                      <w:rFonts w:ascii="Times New Roman" w:hAnsi="Times New Roman" w:cs="Times New Roman"/>
                      <w:color w:val="auto"/>
                      <w:spacing w:val="11"/>
                      <w:sz w:val="21"/>
                      <w:szCs w:val="21"/>
                    </w:rPr>
                    <w:t>物不能作为混合材原料</w:t>
                  </w: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31F62871"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9"/>
                      <w:sz w:val="21"/>
                      <w:szCs w:val="21"/>
                    </w:rPr>
                    <w:t>a</w:t>
                  </w:r>
                  <w:r>
                    <w:rPr>
                      <w:rFonts w:ascii="Times New Roman" w:hAnsi="Times New Roman" w:cs="Times New Roman"/>
                      <w:color w:val="auto"/>
                      <w:spacing w:val="9"/>
                      <w:sz w:val="21"/>
                      <w:szCs w:val="21"/>
                    </w:rPr>
                    <w:t>）危险废物；</w:t>
                  </w:r>
                </w:p>
              </w:tc>
              <w:tc>
                <w:tcPr>
                  <w:tcW w:w="3306" w:type="dxa"/>
                  <w:vMerge/>
                  <w:tcBorders>
                    <w:left w:val="single" w:sz="2" w:space="0" w:color="000000"/>
                    <w:right w:val="single" w:sz="2" w:space="0" w:color="000000"/>
                  </w:tcBorders>
                  <w:vAlign w:val="center"/>
                </w:tcPr>
                <w:p w14:paraId="4B7A4F2B"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2E3BEF7A" w14:textId="77777777" w:rsidR="00F76A63" w:rsidRDefault="00F76A63">
                  <w:pPr>
                    <w:jc w:val="center"/>
                    <w:rPr>
                      <w:szCs w:val="21"/>
                    </w:rPr>
                  </w:pPr>
                </w:p>
              </w:tc>
            </w:tr>
            <w:tr w:rsidR="00F76A63" w14:paraId="3578A8DA" w14:textId="77777777">
              <w:trPr>
                <w:trHeight w:val="135"/>
                <w:jc w:val="center"/>
              </w:trPr>
              <w:tc>
                <w:tcPr>
                  <w:tcW w:w="625" w:type="dxa"/>
                  <w:vMerge/>
                  <w:tcBorders>
                    <w:left w:val="nil"/>
                    <w:right w:val="single" w:sz="2" w:space="0" w:color="000000"/>
                  </w:tcBorders>
                  <w:vAlign w:val="center"/>
                </w:tcPr>
                <w:p w14:paraId="6ED3BB63"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4BC8BB5A"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right w:val="single" w:sz="2" w:space="0" w:color="000000"/>
                  </w:tcBorders>
                  <w:vAlign w:val="center"/>
                </w:tcPr>
                <w:p w14:paraId="6EC8453B"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1414EAF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b</w:t>
                  </w:r>
                  <w:r>
                    <w:rPr>
                      <w:rFonts w:ascii="Times New Roman" w:hAnsi="Times New Roman" w:cs="Times New Roman"/>
                      <w:color w:val="auto"/>
                      <w:spacing w:val="10"/>
                      <w:sz w:val="21"/>
                      <w:szCs w:val="21"/>
                    </w:rPr>
                    <w:t>）有机废物；</w:t>
                  </w:r>
                </w:p>
              </w:tc>
              <w:tc>
                <w:tcPr>
                  <w:tcW w:w="3306" w:type="dxa"/>
                  <w:vMerge/>
                  <w:tcBorders>
                    <w:left w:val="single" w:sz="2" w:space="0" w:color="000000"/>
                    <w:right w:val="single" w:sz="2" w:space="0" w:color="000000"/>
                  </w:tcBorders>
                  <w:vAlign w:val="center"/>
                </w:tcPr>
                <w:p w14:paraId="0186A308"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25291E35" w14:textId="77777777" w:rsidR="00F76A63" w:rsidRDefault="00F76A63">
                  <w:pPr>
                    <w:jc w:val="center"/>
                    <w:rPr>
                      <w:szCs w:val="21"/>
                    </w:rPr>
                  </w:pPr>
                </w:p>
              </w:tc>
            </w:tr>
            <w:tr w:rsidR="00F76A63" w14:paraId="3150478E" w14:textId="77777777">
              <w:trPr>
                <w:trHeight w:val="135"/>
                <w:jc w:val="center"/>
              </w:trPr>
              <w:tc>
                <w:tcPr>
                  <w:tcW w:w="625" w:type="dxa"/>
                  <w:vMerge/>
                  <w:tcBorders>
                    <w:left w:val="nil"/>
                    <w:right w:val="single" w:sz="2" w:space="0" w:color="000000"/>
                  </w:tcBorders>
                  <w:vAlign w:val="center"/>
                </w:tcPr>
                <w:p w14:paraId="70F2911E"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24B60CDC"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bottom w:val="single" w:sz="2" w:space="0" w:color="000000"/>
                    <w:right w:val="single" w:sz="2" w:space="0" w:color="000000"/>
                  </w:tcBorders>
                  <w:vAlign w:val="center"/>
                </w:tcPr>
                <w:p w14:paraId="77180931"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7025A29F" w14:textId="77777777" w:rsidR="00F76A63" w:rsidRDefault="00000000">
                  <w:pPr>
                    <w:pStyle w:val="TableText"/>
                    <w:jc w:val="center"/>
                    <w:rPr>
                      <w:rFonts w:ascii="Times New Roman" w:hAnsi="Times New Roman" w:cs="Times New Roman"/>
                      <w:color w:val="auto"/>
                      <w:spacing w:val="13"/>
                      <w:sz w:val="21"/>
                      <w:szCs w:val="21"/>
                    </w:rPr>
                  </w:pPr>
                  <w:bookmarkStart w:id="47" w:name="OLE_LINK5"/>
                  <w:r>
                    <w:rPr>
                      <w:rFonts w:ascii="Times New Roman" w:hAnsi="Times New Roman" w:cs="Times New Roman"/>
                      <w:color w:val="auto"/>
                      <w:spacing w:val="10"/>
                      <w:sz w:val="21"/>
                      <w:szCs w:val="21"/>
                    </w:rPr>
                    <w:t>国家法律、法规另有规定的</w:t>
                  </w:r>
                  <w:bookmarkEnd w:id="47"/>
                  <w:r>
                    <w:rPr>
                      <w:rFonts w:ascii="Times New Roman" w:hAnsi="Times New Roman" w:cs="Times New Roman"/>
                      <w:color w:val="auto"/>
                      <w:spacing w:val="10"/>
                      <w:sz w:val="21"/>
                      <w:szCs w:val="21"/>
                    </w:rPr>
                    <w:t>除外。</w:t>
                  </w:r>
                </w:p>
              </w:tc>
              <w:tc>
                <w:tcPr>
                  <w:tcW w:w="3306" w:type="dxa"/>
                  <w:vMerge/>
                  <w:tcBorders>
                    <w:left w:val="single" w:sz="2" w:space="0" w:color="000000"/>
                    <w:bottom w:val="single" w:sz="2" w:space="0" w:color="000000"/>
                    <w:right w:val="single" w:sz="2" w:space="0" w:color="000000"/>
                  </w:tcBorders>
                  <w:vAlign w:val="center"/>
                </w:tcPr>
                <w:p w14:paraId="6EDC977C"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1FAC5547" w14:textId="77777777" w:rsidR="00F76A63" w:rsidRDefault="00F76A63">
                  <w:pPr>
                    <w:jc w:val="center"/>
                    <w:rPr>
                      <w:szCs w:val="21"/>
                    </w:rPr>
                  </w:pPr>
                </w:p>
              </w:tc>
            </w:tr>
            <w:tr w:rsidR="00F76A63" w14:paraId="30CD09F4" w14:textId="77777777">
              <w:trPr>
                <w:trHeight w:val="477"/>
                <w:jc w:val="center"/>
              </w:trPr>
              <w:tc>
                <w:tcPr>
                  <w:tcW w:w="625" w:type="dxa"/>
                  <w:vMerge w:val="restart"/>
                  <w:tcBorders>
                    <w:top w:val="single" w:sz="2" w:space="0" w:color="000000"/>
                    <w:left w:val="nil"/>
                    <w:right w:val="single" w:sz="2" w:space="0" w:color="000000"/>
                  </w:tcBorders>
                  <w:vAlign w:val="center"/>
                </w:tcPr>
                <w:p w14:paraId="6FD5E65A" w14:textId="77777777" w:rsidR="00F76A63" w:rsidRDefault="00000000">
                  <w:pPr>
                    <w:jc w:val="center"/>
                    <w:rPr>
                      <w:szCs w:val="21"/>
                    </w:rPr>
                  </w:pPr>
                  <w:r>
                    <w:rPr>
                      <w:szCs w:val="21"/>
                    </w:rPr>
                    <w:t>6.</w:t>
                  </w:r>
                  <w:r>
                    <w:rPr>
                      <w:szCs w:val="21"/>
                    </w:rPr>
                    <w:t>协同处置运行操作技术要求</w:t>
                  </w:r>
                </w:p>
              </w:tc>
              <w:tc>
                <w:tcPr>
                  <w:tcW w:w="1995" w:type="dxa"/>
                  <w:gridSpan w:val="2"/>
                  <w:vMerge w:val="restart"/>
                  <w:tcBorders>
                    <w:top w:val="single" w:sz="2" w:space="0" w:color="000000"/>
                    <w:left w:val="single" w:sz="2" w:space="0" w:color="000000"/>
                    <w:right w:val="single" w:sz="2" w:space="0" w:color="000000"/>
                  </w:tcBorders>
                  <w:vAlign w:val="center"/>
                </w:tcPr>
                <w:p w14:paraId="7BF30DBE"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6.1 </w:t>
                  </w:r>
                  <w:r>
                    <w:rPr>
                      <w:rFonts w:ascii="Times New Roman" w:hAnsi="Times New Roman" w:cs="Times New Roman"/>
                      <w:color w:val="auto"/>
                      <w:spacing w:val="3"/>
                      <w:sz w:val="21"/>
                      <w:szCs w:val="21"/>
                    </w:rPr>
                    <w:t>固体废物的准</w:t>
                  </w:r>
                </w:p>
                <w:p w14:paraId="36632663"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入评估</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4C4814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6.1.1</w:t>
                  </w:r>
                  <w:r>
                    <w:rPr>
                      <w:rFonts w:ascii="Times New Roman" w:hAnsi="Times New Roman" w:cs="Times New Roman"/>
                      <w:color w:val="auto"/>
                      <w:spacing w:val="26"/>
                      <w:sz w:val="21"/>
                      <w:szCs w:val="21"/>
                    </w:rPr>
                    <w:t xml:space="preserve"> </w:t>
                  </w:r>
                  <w:r>
                    <w:rPr>
                      <w:rFonts w:ascii="Times New Roman" w:hAnsi="Times New Roman" w:cs="Times New Roman"/>
                      <w:color w:val="auto"/>
                      <w:spacing w:val="11"/>
                      <w:sz w:val="21"/>
                      <w:szCs w:val="21"/>
                    </w:rPr>
                    <w:t>为保证协同处置过程不影响水泥生产过程和操作运行安全，</w:t>
                  </w:r>
                  <w:r>
                    <w:rPr>
                      <w:rFonts w:ascii="Times New Roman" w:hAnsi="Times New Roman" w:cs="Times New Roman"/>
                      <w:color w:val="auto"/>
                      <w:spacing w:val="10"/>
                      <w:sz w:val="21"/>
                      <w:szCs w:val="21"/>
                    </w:rPr>
                    <w:t>确保烟气排放达</w:t>
                  </w:r>
                  <w:r>
                    <w:rPr>
                      <w:rFonts w:ascii="Times New Roman" w:hAnsi="Times New Roman" w:cs="Times New Roman"/>
                      <w:color w:val="auto"/>
                      <w:spacing w:val="14"/>
                      <w:sz w:val="21"/>
                      <w:szCs w:val="21"/>
                    </w:rPr>
                    <w:t>标，在协同处置企业与固体废物产生企业签订</w:t>
                  </w:r>
                  <w:r>
                    <w:rPr>
                      <w:rFonts w:ascii="Times New Roman" w:hAnsi="Times New Roman" w:cs="Times New Roman"/>
                      <w:color w:val="auto"/>
                      <w:spacing w:val="13"/>
                      <w:sz w:val="21"/>
                      <w:szCs w:val="21"/>
                    </w:rPr>
                    <w:t>协同处置合同及固体废物运输到协</w:t>
                  </w:r>
                  <w:r>
                    <w:rPr>
                      <w:rFonts w:ascii="Times New Roman" w:hAnsi="Times New Roman" w:cs="Times New Roman"/>
                      <w:color w:val="auto"/>
                      <w:sz w:val="21"/>
                      <w:szCs w:val="21"/>
                    </w:rPr>
                    <w:t xml:space="preserve"> </w:t>
                  </w:r>
                  <w:r>
                    <w:rPr>
                      <w:rFonts w:ascii="Times New Roman" w:hAnsi="Times New Roman" w:cs="Times New Roman"/>
                      <w:color w:val="auto"/>
                      <w:spacing w:val="12"/>
                      <w:sz w:val="21"/>
                      <w:szCs w:val="21"/>
                    </w:rPr>
                    <w:t>同处置企业之前，应对拟协同处置的废物进行取样及特性分析。</w:t>
                  </w:r>
                </w:p>
              </w:tc>
              <w:tc>
                <w:tcPr>
                  <w:tcW w:w="3306" w:type="dxa"/>
                  <w:tcBorders>
                    <w:top w:val="single" w:sz="2" w:space="0" w:color="000000"/>
                    <w:left w:val="single" w:sz="2" w:space="0" w:color="000000"/>
                    <w:right w:val="single" w:sz="2" w:space="0" w:color="000000"/>
                  </w:tcBorders>
                  <w:vAlign w:val="center"/>
                </w:tcPr>
                <w:p w14:paraId="519F538F"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本项目对入场前每批次拟协同处置的废物均进行取样及特性分析。</w:t>
                  </w:r>
                </w:p>
              </w:tc>
              <w:tc>
                <w:tcPr>
                  <w:tcW w:w="789" w:type="dxa"/>
                  <w:vMerge w:val="restart"/>
                  <w:tcBorders>
                    <w:top w:val="single" w:sz="2" w:space="0" w:color="000000"/>
                    <w:left w:val="single" w:sz="2" w:space="0" w:color="000000"/>
                    <w:right w:val="nil"/>
                  </w:tcBorders>
                  <w:vAlign w:val="center"/>
                </w:tcPr>
                <w:p w14:paraId="68557096" w14:textId="77777777" w:rsidR="00F76A63" w:rsidRDefault="00000000">
                  <w:pPr>
                    <w:jc w:val="center"/>
                    <w:rPr>
                      <w:szCs w:val="21"/>
                    </w:rPr>
                  </w:pPr>
                  <w:r>
                    <w:rPr>
                      <w:szCs w:val="21"/>
                    </w:rPr>
                    <w:t>符合</w:t>
                  </w:r>
                </w:p>
              </w:tc>
            </w:tr>
            <w:tr w:rsidR="00F76A63" w14:paraId="5E2659F9" w14:textId="77777777">
              <w:trPr>
                <w:trHeight w:val="476"/>
                <w:jc w:val="center"/>
              </w:trPr>
              <w:tc>
                <w:tcPr>
                  <w:tcW w:w="625" w:type="dxa"/>
                  <w:vMerge/>
                  <w:tcBorders>
                    <w:left w:val="nil"/>
                    <w:right w:val="single" w:sz="2" w:space="0" w:color="000000"/>
                  </w:tcBorders>
                  <w:vAlign w:val="center"/>
                </w:tcPr>
                <w:p w14:paraId="450398DA"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360BBA6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AFB387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6.1.2</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2"/>
                      <w:sz w:val="21"/>
                      <w:szCs w:val="21"/>
                    </w:rPr>
                    <w:t>在对拟协同处置的固体废物进行取样和特性</w:t>
                  </w:r>
                  <w:r>
                    <w:rPr>
                      <w:rFonts w:ascii="Times New Roman" w:hAnsi="Times New Roman" w:cs="Times New Roman"/>
                      <w:color w:val="auto"/>
                      <w:spacing w:val="11"/>
                      <w:sz w:val="21"/>
                      <w:szCs w:val="21"/>
                    </w:rPr>
                    <w:t>分析前，应该对固体废物产生过</w:t>
                  </w:r>
                  <w:r>
                    <w:rPr>
                      <w:rFonts w:ascii="Times New Roman" w:hAnsi="Times New Roman" w:cs="Times New Roman"/>
                      <w:color w:val="auto"/>
                      <w:spacing w:val="14"/>
                      <w:sz w:val="21"/>
                      <w:szCs w:val="21"/>
                    </w:rPr>
                    <w:t>程进行调查分析，在此基础上制定取样分析方案；</w:t>
                  </w:r>
                  <w:r>
                    <w:rPr>
                      <w:rFonts w:ascii="Times New Roman" w:hAnsi="Times New Roman" w:cs="Times New Roman"/>
                      <w:color w:val="auto"/>
                      <w:spacing w:val="13"/>
                      <w:sz w:val="21"/>
                      <w:szCs w:val="21"/>
                    </w:rPr>
                    <w:t>样品采集完成后，针对本规范第</w:t>
                  </w:r>
                  <w:r>
                    <w:rPr>
                      <w:rFonts w:ascii="Times New Roman" w:hAnsi="Times New Roman" w:cs="Times New Roman"/>
                      <w:color w:val="auto"/>
                      <w:spacing w:val="13"/>
                      <w:sz w:val="21"/>
                      <w:szCs w:val="21"/>
                    </w:rPr>
                    <w:t>5</w:t>
                  </w:r>
                  <w:r>
                    <w:rPr>
                      <w:rFonts w:ascii="Times New Roman" w:hAnsi="Times New Roman" w:cs="Times New Roman"/>
                      <w:color w:val="auto"/>
                      <w:spacing w:val="13"/>
                      <w:sz w:val="21"/>
                      <w:szCs w:val="21"/>
                    </w:rPr>
                    <w:t>章要求的项目以及确保运输、贮存和协同处置全过程安全、水泥生产安</w:t>
                  </w:r>
                  <w:r>
                    <w:rPr>
                      <w:rFonts w:ascii="Times New Roman" w:hAnsi="Times New Roman" w:cs="Times New Roman"/>
                      <w:color w:val="auto"/>
                      <w:spacing w:val="12"/>
                      <w:sz w:val="21"/>
                      <w:szCs w:val="21"/>
                    </w:rPr>
                    <w:t>全、</w:t>
                  </w:r>
                  <w:r>
                    <w:rPr>
                      <w:rFonts w:ascii="Times New Roman" w:hAnsi="Times New Roman" w:cs="Times New Roman"/>
                      <w:color w:val="auto"/>
                      <w:spacing w:val="14"/>
                      <w:sz w:val="21"/>
                      <w:szCs w:val="21"/>
                    </w:rPr>
                    <w:t>烟气排放和水泥产品质量满足标准所要求的项目，</w:t>
                  </w:r>
                  <w:r>
                    <w:rPr>
                      <w:rFonts w:ascii="Times New Roman" w:hAnsi="Times New Roman" w:cs="Times New Roman"/>
                      <w:color w:val="auto"/>
                      <w:spacing w:val="13"/>
                      <w:sz w:val="21"/>
                      <w:szCs w:val="21"/>
                    </w:rPr>
                    <w:t>开展分析测试。固体废物特性经双方确认后在协同处置合同中注明。取样频率和取样</w:t>
                  </w:r>
                  <w:r>
                    <w:rPr>
                      <w:rFonts w:ascii="Times New Roman" w:hAnsi="Times New Roman" w:cs="Times New Roman"/>
                      <w:color w:val="auto"/>
                      <w:spacing w:val="12"/>
                      <w:sz w:val="21"/>
                      <w:szCs w:val="21"/>
                    </w:rPr>
                    <w:t>方法应参照</w:t>
                  </w:r>
                  <w:r>
                    <w:rPr>
                      <w:rFonts w:ascii="Times New Roman" w:hAnsi="Times New Roman" w:cs="Times New Roman"/>
                      <w:color w:val="auto"/>
                      <w:sz w:val="21"/>
                      <w:szCs w:val="21"/>
                    </w:rPr>
                    <w:t>HJ</w:t>
                  </w:r>
                  <w:r>
                    <w:rPr>
                      <w:rFonts w:ascii="Times New Roman" w:hAnsi="Times New Roman" w:cs="Times New Roman"/>
                      <w:color w:val="auto"/>
                      <w:spacing w:val="12"/>
                      <w:sz w:val="21"/>
                      <w:szCs w:val="21"/>
                    </w:rPr>
                    <w:t>/T20</w:t>
                  </w:r>
                  <w:r>
                    <w:rPr>
                      <w:rFonts w:ascii="Times New Roman" w:hAnsi="Times New Roman" w:cs="Times New Roman"/>
                      <w:color w:val="auto"/>
                      <w:spacing w:val="12"/>
                      <w:sz w:val="21"/>
                      <w:szCs w:val="21"/>
                    </w:rPr>
                    <w:t>和</w:t>
                  </w:r>
                  <w:r>
                    <w:rPr>
                      <w:rFonts w:ascii="Times New Roman" w:hAnsi="Times New Roman" w:cs="Times New Roman"/>
                      <w:color w:val="auto"/>
                      <w:sz w:val="21"/>
                      <w:szCs w:val="21"/>
                    </w:rPr>
                    <w:t>HJ</w:t>
                  </w:r>
                  <w:r>
                    <w:rPr>
                      <w:rFonts w:ascii="Times New Roman" w:hAnsi="Times New Roman" w:cs="Times New Roman"/>
                      <w:color w:val="auto"/>
                      <w:spacing w:val="9"/>
                      <w:sz w:val="21"/>
                      <w:szCs w:val="21"/>
                    </w:rPr>
                    <w:t>/T298</w:t>
                  </w:r>
                  <w:r>
                    <w:rPr>
                      <w:rFonts w:ascii="Times New Roman" w:hAnsi="Times New Roman" w:cs="Times New Roman"/>
                      <w:color w:val="auto"/>
                      <w:spacing w:val="9"/>
                      <w:sz w:val="21"/>
                      <w:szCs w:val="21"/>
                    </w:rPr>
                    <w:t>要求执行。</w:t>
                  </w:r>
                </w:p>
              </w:tc>
              <w:tc>
                <w:tcPr>
                  <w:tcW w:w="3306" w:type="dxa"/>
                  <w:vMerge w:val="restart"/>
                  <w:tcBorders>
                    <w:left w:val="single" w:sz="2" w:space="0" w:color="000000"/>
                    <w:right w:val="single" w:sz="2" w:space="0" w:color="000000"/>
                  </w:tcBorders>
                  <w:vAlign w:val="center"/>
                </w:tcPr>
                <w:p w14:paraId="12B223C5"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1</w:t>
                  </w:r>
                  <w:r>
                    <w:rPr>
                      <w:rFonts w:ascii="Times New Roman" w:hAnsi="Times New Roman" w:cs="Times New Roman"/>
                      <w:color w:val="auto"/>
                      <w:spacing w:val="10"/>
                      <w:sz w:val="21"/>
                      <w:szCs w:val="21"/>
                    </w:rPr>
                    <w:t>、进厂污染土</w:t>
                  </w:r>
                  <w:r>
                    <w:rPr>
                      <w:rFonts w:ascii="Times New Roman" w:hAnsi="Times New Roman" w:cs="Times New Roman" w:hint="eastAsia"/>
                      <w:color w:val="auto"/>
                      <w:spacing w:val="10"/>
                      <w:sz w:val="21"/>
                      <w:szCs w:val="21"/>
                    </w:rPr>
                    <w:t>及污泥</w:t>
                  </w:r>
                  <w:r>
                    <w:rPr>
                      <w:rFonts w:ascii="Times New Roman" w:hAnsi="Times New Roman" w:cs="Times New Roman"/>
                      <w:color w:val="auto"/>
                      <w:spacing w:val="10"/>
                      <w:sz w:val="21"/>
                      <w:szCs w:val="21"/>
                    </w:rPr>
                    <w:t>的初检依托现有废物化验室，用于废物的检测、分析，在取样分析之前对固体废物产生过程进行调查分析，在此基础上制定取样分析方案，样品采集完成后，针对规范要求的项目以及确保运输、贮存和协同处置全过程安全、水泥生产安全、烟气排放和水泥产品质量满足标准所要求的项目，开展分析测试。</w:t>
                  </w:r>
                </w:p>
                <w:p w14:paraId="5712FDD4"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2</w:t>
                  </w:r>
                  <w:r>
                    <w:rPr>
                      <w:rFonts w:ascii="Times New Roman" w:hAnsi="Times New Roman" w:cs="Times New Roman"/>
                      <w:color w:val="auto"/>
                      <w:spacing w:val="10"/>
                      <w:sz w:val="21"/>
                      <w:szCs w:val="21"/>
                    </w:rPr>
                    <w:t>、句容台泥公司具有协同处置该类固体废物的能力，协同处置过程中的人员健康和环境安全风险能够得到有效控制。</w:t>
                  </w:r>
                </w:p>
                <w:p w14:paraId="0EA08FE0"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3</w:t>
                  </w:r>
                  <w:r>
                    <w:rPr>
                      <w:rFonts w:ascii="Times New Roman" w:hAnsi="Times New Roman" w:cs="Times New Roman"/>
                      <w:color w:val="auto"/>
                      <w:spacing w:val="10"/>
                      <w:sz w:val="21"/>
                      <w:szCs w:val="21"/>
                    </w:rPr>
                    <w:t>、固体废物的协同处置不会对水泥的稳定生产、烟气排放、水泥产品质量产生不利影响。</w:t>
                  </w:r>
                </w:p>
                <w:p w14:paraId="40BC4065"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lastRenderedPageBreak/>
                    <w:t>4</w:t>
                  </w:r>
                  <w:r>
                    <w:rPr>
                      <w:rFonts w:ascii="Times New Roman" w:hAnsi="Times New Roman" w:cs="Times New Roman"/>
                      <w:color w:val="auto"/>
                      <w:spacing w:val="10"/>
                      <w:sz w:val="21"/>
                      <w:szCs w:val="21"/>
                    </w:rPr>
                    <w:t>、进厂污染土及污泥的初检</w:t>
                  </w:r>
                  <w:r>
                    <w:rPr>
                      <w:rFonts w:ascii="Times New Roman" w:hAnsi="Times New Roman" w:cs="Times New Roman" w:hint="eastAsia"/>
                      <w:color w:val="auto"/>
                      <w:spacing w:val="10"/>
                      <w:sz w:val="21"/>
                      <w:szCs w:val="21"/>
                    </w:rPr>
                    <w:t>后</w:t>
                  </w:r>
                  <w:r>
                    <w:rPr>
                      <w:rFonts w:ascii="Times New Roman" w:hAnsi="Times New Roman" w:cs="Times New Roman"/>
                      <w:color w:val="auto"/>
                      <w:spacing w:val="10"/>
                      <w:sz w:val="21"/>
                      <w:szCs w:val="21"/>
                    </w:rPr>
                    <w:t>不合格污染土及污泥禁止入厂。</w:t>
                  </w:r>
                </w:p>
                <w:p w14:paraId="10FF2921"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5</w:t>
                  </w:r>
                  <w:r>
                    <w:rPr>
                      <w:rFonts w:ascii="Times New Roman" w:hAnsi="Times New Roman" w:cs="Times New Roman"/>
                      <w:color w:val="auto"/>
                      <w:spacing w:val="10"/>
                      <w:sz w:val="21"/>
                      <w:szCs w:val="21"/>
                    </w:rPr>
                    <w:t>、对入厂前废物采集分析的样品，经双方确认后封装保存，用于事故和纠纷的调查。备份样品保存到停止协同处置该种固体废物之后。如果在保存期间备份样品的特性发生变化，将更换备份样品，保证备份样品特性与所协同处置废物特性一致。</w:t>
                  </w:r>
                </w:p>
              </w:tc>
              <w:tc>
                <w:tcPr>
                  <w:tcW w:w="789" w:type="dxa"/>
                  <w:vMerge/>
                  <w:tcBorders>
                    <w:left w:val="single" w:sz="2" w:space="0" w:color="000000"/>
                    <w:right w:val="nil"/>
                  </w:tcBorders>
                  <w:vAlign w:val="center"/>
                </w:tcPr>
                <w:p w14:paraId="27D98093" w14:textId="77777777" w:rsidR="00F76A63" w:rsidRDefault="00F76A63">
                  <w:pPr>
                    <w:jc w:val="center"/>
                    <w:rPr>
                      <w:szCs w:val="21"/>
                    </w:rPr>
                  </w:pPr>
                </w:p>
              </w:tc>
            </w:tr>
            <w:tr w:rsidR="00F76A63" w14:paraId="6968F232" w14:textId="77777777">
              <w:trPr>
                <w:trHeight w:val="160"/>
                <w:jc w:val="center"/>
              </w:trPr>
              <w:tc>
                <w:tcPr>
                  <w:tcW w:w="625" w:type="dxa"/>
                  <w:vMerge/>
                  <w:tcBorders>
                    <w:left w:val="nil"/>
                    <w:right w:val="single" w:sz="2" w:space="0" w:color="000000"/>
                  </w:tcBorders>
                  <w:vAlign w:val="center"/>
                </w:tcPr>
                <w:p w14:paraId="005685BE"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2558D2A"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val="restart"/>
                  <w:tcBorders>
                    <w:top w:val="single" w:sz="2" w:space="0" w:color="000000"/>
                    <w:left w:val="single" w:sz="2" w:space="0" w:color="000000"/>
                    <w:right w:val="single" w:sz="2" w:space="0" w:color="000000"/>
                  </w:tcBorders>
                  <w:vAlign w:val="center"/>
                </w:tcPr>
                <w:p w14:paraId="77152E24"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 xml:space="preserve">6.1.3 </w:t>
                  </w:r>
                  <w:r>
                    <w:rPr>
                      <w:rFonts w:ascii="Times New Roman" w:hAnsi="Times New Roman" w:cs="Times New Roman"/>
                      <w:color w:val="auto"/>
                      <w:spacing w:val="13"/>
                      <w:sz w:val="21"/>
                      <w:szCs w:val="21"/>
                    </w:rPr>
                    <w:t>在完成样品分析测试以后，根据下列标准对固体废物是否可以进厂协同处置进行判断：</w:t>
                  </w: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029817E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a</w:t>
                  </w:r>
                  <w:r>
                    <w:rPr>
                      <w:rFonts w:ascii="Times New Roman" w:hAnsi="Times New Roman" w:cs="Times New Roman"/>
                      <w:color w:val="auto"/>
                      <w:spacing w:val="13"/>
                      <w:sz w:val="21"/>
                      <w:szCs w:val="21"/>
                    </w:rPr>
                    <w:t>）该类固体废物不属于禁止进入水泥窑协同处置的废物类别，危险废物类别符合经营许可证规定的类别要求，满足国家和当地的</w:t>
                  </w:r>
                  <w:r>
                    <w:rPr>
                      <w:rFonts w:ascii="Times New Roman" w:hAnsi="Times New Roman" w:cs="Times New Roman"/>
                      <w:color w:val="auto"/>
                      <w:spacing w:val="10"/>
                      <w:sz w:val="21"/>
                      <w:szCs w:val="21"/>
                    </w:rPr>
                    <w:t>相关法律和法规；</w:t>
                  </w:r>
                </w:p>
              </w:tc>
              <w:tc>
                <w:tcPr>
                  <w:tcW w:w="3306" w:type="dxa"/>
                  <w:vMerge/>
                  <w:tcBorders>
                    <w:left w:val="single" w:sz="2" w:space="0" w:color="000000"/>
                    <w:right w:val="single" w:sz="2" w:space="0" w:color="000000"/>
                  </w:tcBorders>
                  <w:vAlign w:val="center"/>
                </w:tcPr>
                <w:p w14:paraId="1FD958C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702F80B1" w14:textId="77777777" w:rsidR="00F76A63" w:rsidRDefault="00F76A63">
                  <w:pPr>
                    <w:jc w:val="center"/>
                    <w:rPr>
                      <w:szCs w:val="21"/>
                    </w:rPr>
                  </w:pPr>
                </w:p>
              </w:tc>
            </w:tr>
            <w:tr w:rsidR="00F76A63" w14:paraId="69B92590" w14:textId="77777777">
              <w:trPr>
                <w:trHeight w:val="160"/>
                <w:jc w:val="center"/>
              </w:trPr>
              <w:tc>
                <w:tcPr>
                  <w:tcW w:w="625" w:type="dxa"/>
                  <w:vMerge/>
                  <w:tcBorders>
                    <w:left w:val="nil"/>
                    <w:right w:val="single" w:sz="2" w:space="0" w:color="000000"/>
                  </w:tcBorders>
                  <w:vAlign w:val="center"/>
                </w:tcPr>
                <w:p w14:paraId="7A205794"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45CCCCCA"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right w:val="single" w:sz="2" w:space="0" w:color="000000"/>
                  </w:tcBorders>
                  <w:vAlign w:val="center"/>
                </w:tcPr>
                <w:p w14:paraId="5CD93D52"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151247C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）协同处置企业具有协同处置该类固体废物的能力，协同处置过</w:t>
                  </w:r>
                  <w:r>
                    <w:rPr>
                      <w:rFonts w:ascii="Times New Roman" w:hAnsi="Times New Roman" w:cs="Times New Roman"/>
                      <w:color w:val="auto"/>
                      <w:spacing w:val="12"/>
                      <w:sz w:val="21"/>
                      <w:szCs w:val="21"/>
                    </w:rPr>
                    <w:t>程中的人员健康和环境安全风险能够得到有效控制；</w:t>
                  </w:r>
                </w:p>
              </w:tc>
              <w:tc>
                <w:tcPr>
                  <w:tcW w:w="3306" w:type="dxa"/>
                  <w:vMerge/>
                  <w:tcBorders>
                    <w:left w:val="single" w:sz="2" w:space="0" w:color="000000"/>
                    <w:right w:val="single" w:sz="2" w:space="0" w:color="000000"/>
                  </w:tcBorders>
                  <w:vAlign w:val="center"/>
                </w:tcPr>
                <w:p w14:paraId="7957B690"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503B164" w14:textId="77777777" w:rsidR="00F76A63" w:rsidRDefault="00F76A63">
                  <w:pPr>
                    <w:jc w:val="center"/>
                    <w:rPr>
                      <w:szCs w:val="21"/>
                    </w:rPr>
                  </w:pPr>
                </w:p>
              </w:tc>
            </w:tr>
            <w:tr w:rsidR="00F76A63" w14:paraId="0910C9D9" w14:textId="77777777">
              <w:trPr>
                <w:trHeight w:val="160"/>
                <w:jc w:val="center"/>
              </w:trPr>
              <w:tc>
                <w:tcPr>
                  <w:tcW w:w="625" w:type="dxa"/>
                  <w:vMerge/>
                  <w:tcBorders>
                    <w:left w:val="nil"/>
                    <w:right w:val="single" w:sz="2" w:space="0" w:color="000000"/>
                  </w:tcBorders>
                  <w:vAlign w:val="center"/>
                </w:tcPr>
                <w:p w14:paraId="7EE2F627"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40A2523"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bottom w:val="single" w:sz="2" w:space="0" w:color="000000"/>
                    <w:right w:val="single" w:sz="2" w:space="0" w:color="000000"/>
                  </w:tcBorders>
                  <w:vAlign w:val="center"/>
                </w:tcPr>
                <w:p w14:paraId="743F8A00"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449E1D7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）该类固体废物的协同处置不会对水泥的稳定生产</w:t>
                  </w:r>
                  <w:r>
                    <w:rPr>
                      <w:rFonts w:ascii="Times New Roman" w:hAnsi="Times New Roman" w:cs="Times New Roman"/>
                      <w:color w:val="auto"/>
                      <w:spacing w:val="12"/>
                      <w:sz w:val="21"/>
                      <w:szCs w:val="21"/>
                    </w:rPr>
                    <w:t>、烟气排放、</w:t>
                  </w:r>
                  <w:r>
                    <w:rPr>
                      <w:rFonts w:ascii="Times New Roman" w:hAnsi="Times New Roman" w:cs="Times New Roman"/>
                      <w:color w:val="auto"/>
                      <w:spacing w:val="11"/>
                      <w:sz w:val="21"/>
                      <w:szCs w:val="21"/>
                    </w:rPr>
                    <w:t>水泥产品质量产生不利影响。</w:t>
                  </w:r>
                </w:p>
              </w:tc>
              <w:tc>
                <w:tcPr>
                  <w:tcW w:w="3306" w:type="dxa"/>
                  <w:vMerge/>
                  <w:tcBorders>
                    <w:left w:val="single" w:sz="2" w:space="0" w:color="000000"/>
                    <w:right w:val="single" w:sz="2" w:space="0" w:color="000000"/>
                  </w:tcBorders>
                  <w:vAlign w:val="center"/>
                </w:tcPr>
                <w:p w14:paraId="00DDDEB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5AB5BC97" w14:textId="77777777" w:rsidR="00F76A63" w:rsidRDefault="00F76A63">
                  <w:pPr>
                    <w:jc w:val="center"/>
                    <w:rPr>
                      <w:szCs w:val="21"/>
                    </w:rPr>
                  </w:pPr>
                </w:p>
              </w:tc>
            </w:tr>
            <w:tr w:rsidR="00F76A63" w14:paraId="38E692CD" w14:textId="77777777">
              <w:trPr>
                <w:trHeight w:val="476"/>
                <w:jc w:val="center"/>
              </w:trPr>
              <w:tc>
                <w:tcPr>
                  <w:tcW w:w="625" w:type="dxa"/>
                  <w:vMerge/>
                  <w:tcBorders>
                    <w:left w:val="nil"/>
                    <w:right w:val="single" w:sz="2" w:space="0" w:color="000000"/>
                  </w:tcBorders>
                  <w:vAlign w:val="center"/>
                </w:tcPr>
                <w:p w14:paraId="641C325E"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28C52441"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E0C9ED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6.1.4</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2"/>
                      <w:sz w:val="21"/>
                      <w:szCs w:val="21"/>
                    </w:rPr>
                    <w:t>对于同一产废单位同一生产工艺产生的不同</w:t>
                  </w:r>
                  <w:r>
                    <w:rPr>
                      <w:rFonts w:ascii="Times New Roman" w:hAnsi="Times New Roman" w:cs="Times New Roman"/>
                      <w:color w:val="auto"/>
                      <w:spacing w:val="11"/>
                      <w:sz w:val="21"/>
                      <w:szCs w:val="21"/>
                    </w:rPr>
                    <w:t>批次废物，在生产工艺操作参数</w:t>
                  </w:r>
                  <w:r>
                    <w:rPr>
                      <w:rFonts w:ascii="Times New Roman" w:hAnsi="Times New Roman" w:cs="Times New Roman"/>
                      <w:color w:val="auto"/>
                      <w:spacing w:val="13"/>
                      <w:sz w:val="21"/>
                      <w:szCs w:val="21"/>
                    </w:rPr>
                    <w:t>未改变的前提下，可以仅对首批次固体废物进行采样分析，其后产生的废物采样</w:t>
                  </w:r>
                  <w:r>
                    <w:rPr>
                      <w:rFonts w:ascii="Times New Roman" w:hAnsi="Times New Roman" w:cs="Times New Roman"/>
                      <w:color w:val="auto"/>
                      <w:spacing w:val="9"/>
                      <w:sz w:val="21"/>
                      <w:szCs w:val="21"/>
                    </w:rPr>
                    <w:t>分析在</w:t>
                  </w:r>
                  <w:r>
                    <w:rPr>
                      <w:rFonts w:ascii="Times New Roman" w:hAnsi="Times New Roman" w:cs="Times New Roman"/>
                      <w:color w:val="auto"/>
                      <w:spacing w:val="9"/>
                      <w:sz w:val="21"/>
                      <w:szCs w:val="21"/>
                    </w:rPr>
                    <w:t>6.3</w:t>
                  </w:r>
                  <w:r>
                    <w:rPr>
                      <w:rFonts w:ascii="Times New Roman" w:hAnsi="Times New Roman" w:cs="Times New Roman"/>
                      <w:color w:val="auto"/>
                      <w:spacing w:val="9"/>
                      <w:sz w:val="21"/>
                      <w:szCs w:val="21"/>
                    </w:rPr>
                    <w:t>节制定处置方案时进行。</w:t>
                  </w:r>
                </w:p>
              </w:tc>
              <w:tc>
                <w:tcPr>
                  <w:tcW w:w="3306" w:type="dxa"/>
                  <w:vMerge/>
                  <w:tcBorders>
                    <w:left w:val="single" w:sz="2" w:space="0" w:color="000000"/>
                    <w:right w:val="single" w:sz="2" w:space="0" w:color="000000"/>
                  </w:tcBorders>
                  <w:vAlign w:val="center"/>
                </w:tcPr>
                <w:p w14:paraId="3537688A"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29B25152" w14:textId="77777777" w:rsidR="00F76A63" w:rsidRDefault="00F76A63">
                  <w:pPr>
                    <w:jc w:val="center"/>
                    <w:rPr>
                      <w:szCs w:val="21"/>
                    </w:rPr>
                  </w:pPr>
                </w:p>
              </w:tc>
            </w:tr>
            <w:tr w:rsidR="00F76A63" w14:paraId="58EE05B8" w14:textId="77777777">
              <w:trPr>
                <w:trHeight w:val="476"/>
                <w:jc w:val="center"/>
              </w:trPr>
              <w:tc>
                <w:tcPr>
                  <w:tcW w:w="625" w:type="dxa"/>
                  <w:vMerge/>
                  <w:tcBorders>
                    <w:left w:val="nil"/>
                    <w:right w:val="single" w:sz="2" w:space="0" w:color="000000"/>
                  </w:tcBorders>
                  <w:vAlign w:val="center"/>
                </w:tcPr>
                <w:p w14:paraId="009A9E6A"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46BBF71D"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403ECA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6.1.5</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2"/>
                      <w:sz w:val="21"/>
                      <w:szCs w:val="21"/>
                    </w:rPr>
                    <w:t>对入厂前废物采集分析的样品，经双方确认</w:t>
                  </w:r>
                  <w:r>
                    <w:rPr>
                      <w:rFonts w:ascii="Times New Roman" w:hAnsi="Times New Roman" w:cs="Times New Roman"/>
                      <w:color w:val="auto"/>
                      <w:spacing w:val="11"/>
                      <w:sz w:val="21"/>
                      <w:szCs w:val="21"/>
                    </w:rPr>
                    <w:t>后封装保存，用于事故和纠纷的</w:t>
                  </w:r>
                  <w:r>
                    <w:rPr>
                      <w:rFonts w:ascii="Times New Roman" w:hAnsi="Times New Roman" w:cs="Times New Roman"/>
                      <w:color w:val="auto"/>
                      <w:spacing w:val="14"/>
                      <w:sz w:val="21"/>
                      <w:szCs w:val="21"/>
                    </w:rPr>
                    <w:t>调查。备份样品应该保存到停止协同处置该</w:t>
                  </w:r>
                  <w:r>
                    <w:rPr>
                      <w:rFonts w:ascii="Times New Roman" w:hAnsi="Times New Roman" w:cs="Times New Roman"/>
                      <w:color w:val="auto"/>
                      <w:spacing w:val="13"/>
                      <w:sz w:val="21"/>
                      <w:szCs w:val="21"/>
                    </w:rPr>
                    <w:t>种固体废物之后。如果在保存期间备</w:t>
                  </w:r>
                  <w:r>
                    <w:rPr>
                      <w:rFonts w:ascii="Times New Roman" w:hAnsi="Times New Roman" w:cs="Times New Roman"/>
                      <w:color w:val="auto"/>
                      <w:spacing w:val="14"/>
                      <w:sz w:val="21"/>
                      <w:szCs w:val="21"/>
                    </w:rPr>
                    <w:t>份样品的特性发生变化，应更换备份样品，保证</w:t>
                  </w:r>
                  <w:r>
                    <w:rPr>
                      <w:rFonts w:ascii="Times New Roman" w:hAnsi="Times New Roman" w:cs="Times New Roman"/>
                      <w:color w:val="auto"/>
                      <w:spacing w:val="13"/>
                      <w:sz w:val="21"/>
                      <w:szCs w:val="21"/>
                    </w:rPr>
                    <w:t>备份样品特性与所协同处置废物</w:t>
                  </w:r>
                  <w:r>
                    <w:rPr>
                      <w:rFonts w:ascii="Times New Roman" w:hAnsi="Times New Roman" w:cs="Times New Roman"/>
                      <w:color w:val="auto"/>
                      <w:spacing w:val="8"/>
                      <w:sz w:val="21"/>
                      <w:szCs w:val="21"/>
                    </w:rPr>
                    <w:t>特性一致。</w:t>
                  </w:r>
                </w:p>
              </w:tc>
              <w:tc>
                <w:tcPr>
                  <w:tcW w:w="3306" w:type="dxa"/>
                  <w:vMerge/>
                  <w:tcBorders>
                    <w:left w:val="single" w:sz="2" w:space="0" w:color="000000"/>
                    <w:bottom w:val="single" w:sz="2" w:space="0" w:color="000000"/>
                    <w:right w:val="single" w:sz="2" w:space="0" w:color="000000"/>
                  </w:tcBorders>
                  <w:vAlign w:val="center"/>
                </w:tcPr>
                <w:p w14:paraId="15999A4F" w14:textId="77777777" w:rsidR="00F76A63" w:rsidRDefault="00F76A63">
                  <w:pPr>
                    <w:pStyle w:val="TableText"/>
                    <w:jc w:val="center"/>
                    <w:rPr>
                      <w:rFonts w:ascii="Times New Roman" w:hAnsi="Times New Roman" w:cs="Times New Roman"/>
                      <w:color w:val="auto"/>
                      <w:spacing w:val="10"/>
                      <w:sz w:val="21"/>
                      <w:szCs w:val="21"/>
                    </w:rPr>
                  </w:pPr>
                </w:p>
              </w:tc>
              <w:tc>
                <w:tcPr>
                  <w:tcW w:w="789" w:type="dxa"/>
                  <w:tcBorders>
                    <w:left w:val="single" w:sz="2" w:space="0" w:color="000000"/>
                    <w:bottom w:val="single" w:sz="2" w:space="0" w:color="000000"/>
                    <w:right w:val="nil"/>
                  </w:tcBorders>
                  <w:vAlign w:val="center"/>
                </w:tcPr>
                <w:p w14:paraId="40C1768E" w14:textId="77777777" w:rsidR="00F76A63" w:rsidRDefault="00000000">
                  <w:pPr>
                    <w:jc w:val="center"/>
                    <w:rPr>
                      <w:szCs w:val="21"/>
                    </w:rPr>
                  </w:pPr>
                  <w:r>
                    <w:rPr>
                      <w:szCs w:val="21"/>
                    </w:rPr>
                    <w:t>符合</w:t>
                  </w:r>
                </w:p>
              </w:tc>
            </w:tr>
            <w:tr w:rsidR="00F76A63" w14:paraId="0FC81B2A" w14:textId="77777777">
              <w:trPr>
                <w:trHeight w:val="80"/>
                <w:jc w:val="center"/>
              </w:trPr>
              <w:tc>
                <w:tcPr>
                  <w:tcW w:w="625" w:type="dxa"/>
                  <w:vMerge/>
                  <w:tcBorders>
                    <w:left w:val="nil"/>
                    <w:right w:val="single" w:sz="2" w:space="0" w:color="000000"/>
                  </w:tcBorders>
                  <w:vAlign w:val="center"/>
                </w:tcPr>
                <w:p w14:paraId="3E5E3F68" w14:textId="77777777" w:rsidR="00F76A63" w:rsidRDefault="00F76A63">
                  <w:pPr>
                    <w:jc w:val="center"/>
                    <w:rPr>
                      <w:spacing w:val="14"/>
                      <w:kern w:val="0"/>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40B35146" w14:textId="77777777" w:rsidR="00F76A63" w:rsidRDefault="00000000">
                  <w:pPr>
                    <w:pStyle w:val="TableText"/>
                    <w:jc w:val="center"/>
                    <w:rPr>
                      <w:rFonts w:ascii="Times New Roman" w:hAnsi="Times New Roman" w:cs="Times New Roman"/>
                      <w:color w:val="auto"/>
                      <w:spacing w:val="14"/>
                      <w:sz w:val="21"/>
                      <w:szCs w:val="21"/>
                    </w:rPr>
                  </w:pPr>
                  <w:r>
                    <w:rPr>
                      <w:rFonts w:ascii="Times New Roman" w:hAnsi="Times New Roman" w:cs="Times New Roman"/>
                      <w:color w:val="auto"/>
                      <w:spacing w:val="14"/>
                      <w:sz w:val="21"/>
                      <w:szCs w:val="21"/>
                    </w:rPr>
                    <w:t xml:space="preserve">6.2 </w:t>
                  </w:r>
                  <w:r>
                    <w:rPr>
                      <w:rFonts w:ascii="Times New Roman" w:hAnsi="Times New Roman" w:cs="Times New Roman"/>
                      <w:color w:val="auto"/>
                      <w:spacing w:val="14"/>
                      <w:sz w:val="21"/>
                      <w:szCs w:val="21"/>
                    </w:rPr>
                    <w:t>废物的接收与分析</w:t>
                  </w:r>
                </w:p>
              </w:tc>
              <w:tc>
                <w:tcPr>
                  <w:tcW w:w="2070" w:type="dxa"/>
                  <w:vMerge w:val="restart"/>
                  <w:tcBorders>
                    <w:top w:val="single" w:sz="2" w:space="0" w:color="000000"/>
                    <w:left w:val="single" w:sz="2" w:space="0" w:color="000000"/>
                    <w:right w:val="single" w:sz="2" w:space="0" w:color="000000"/>
                  </w:tcBorders>
                  <w:vAlign w:val="center"/>
                </w:tcPr>
                <w:p w14:paraId="3A41B1C3" w14:textId="77777777" w:rsidR="00F76A63" w:rsidRDefault="00000000">
                  <w:pPr>
                    <w:pStyle w:val="TableText"/>
                    <w:jc w:val="center"/>
                    <w:rPr>
                      <w:rFonts w:ascii="Times New Roman" w:hAnsi="Times New Roman" w:cs="Times New Roman"/>
                      <w:color w:val="auto"/>
                      <w:spacing w:val="14"/>
                      <w:sz w:val="21"/>
                      <w:szCs w:val="21"/>
                    </w:rPr>
                  </w:pPr>
                  <w:r>
                    <w:rPr>
                      <w:rFonts w:ascii="Times New Roman" w:hAnsi="Times New Roman" w:cs="Times New Roman"/>
                      <w:color w:val="auto"/>
                      <w:spacing w:val="14"/>
                      <w:sz w:val="21"/>
                      <w:szCs w:val="21"/>
                    </w:rPr>
                    <w:t xml:space="preserve">6.2.1 </w:t>
                  </w:r>
                  <w:r>
                    <w:rPr>
                      <w:rFonts w:ascii="Times New Roman" w:hAnsi="Times New Roman" w:cs="Times New Roman"/>
                      <w:color w:val="auto"/>
                      <w:spacing w:val="14"/>
                      <w:sz w:val="21"/>
                      <w:szCs w:val="21"/>
                    </w:rPr>
                    <w:t>入厂时固体废物的检查</w:t>
                  </w: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054D5CB0" w14:textId="77777777" w:rsidR="00F76A63" w:rsidRDefault="00000000">
                  <w:pPr>
                    <w:pStyle w:val="TableText"/>
                    <w:jc w:val="center"/>
                    <w:rPr>
                      <w:rFonts w:ascii="Times New Roman" w:hAnsi="Times New Roman" w:cs="Times New Roman"/>
                      <w:color w:val="auto"/>
                      <w:spacing w:val="14"/>
                      <w:sz w:val="21"/>
                      <w:szCs w:val="21"/>
                    </w:rPr>
                  </w:pPr>
                  <w:r>
                    <w:rPr>
                      <w:rFonts w:ascii="Times New Roman" w:hAnsi="Times New Roman" w:cs="Times New Roman"/>
                      <w:color w:val="auto"/>
                      <w:spacing w:val="14"/>
                      <w:sz w:val="21"/>
                      <w:szCs w:val="21"/>
                    </w:rPr>
                    <w:t>a</w:t>
                  </w:r>
                  <w:r>
                    <w:rPr>
                      <w:rFonts w:ascii="Times New Roman" w:hAnsi="Times New Roman" w:cs="Times New Roman"/>
                      <w:color w:val="auto"/>
                      <w:spacing w:val="14"/>
                      <w:sz w:val="21"/>
                      <w:szCs w:val="21"/>
                    </w:rPr>
                    <w:t>）在固体废物进入协同处置企业时，首先通过表观和气味，初步判断入厂固体废物是否与签订的合同标注的固体废物类别一致，并对固体废物进行称重，确认符合签订的合同。</w:t>
                  </w:r>
                </w:p>
              </w:tc>
              <w:tc>
                <w:tcPr>
                  <w:tcW w:w="3306" w:type="dxa"/>
                  <w:vMerge w:val="restart"/>
                  <w:tcBorders>
                    <w:top w:val="single" w:sz="2" w:space="0" w:color="000000"/>
                    <w:left w:val="single" w:sz="2" w:space="0" w:color="000000"/>
                    <w:right w:val="single" w:sz="2" w:space="0" w:color="000000"/>
                  </w:tcBorders>
                  <w:vAlign w:val="center"/>
                </w:tcPr>
                <w:p w14:paraId="03E96D0F"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1</w:t>
                  </w:r>
                  <w:r>
                    <w:rPr>
                      <w:rFonts w:ascii="Times New Roman" w:hAnsi="Times New Roman" w:cs="Times New Roman"/>
                      <w:color w:val="auto"/>
                      <w:spacing w:val="10"/>
                      <w:sz w:val="21"/>
                      <w:szCs w:val="21"/>
                    </w:rPr>
                    <w:t>、进厂的污染土及污泥的初检依托句容台泥现有废物化验室，用于废物的检测、分析。本项目按规范要求进行入厂废物的检查、接收与分析，并在此基础上制定协同处置方案。</w:t>
                  </w:r>
                </w:p>
                <w:p w14:paraId="2D0996DE"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2</w:t>
                  </w:r>
                  <w:r>
                    <w:rPr>
                      <w:rFonts w:ascii="Times New Roman" w:hAnsi="Times New Roman" w:cs="Times New Roman"/>
                      <w:color w:val="auto"/>
                      <w:spacing w:val="10"/>
                      <w:sz w:val="21"/>
                      <w:szCs w:val="21"/>
                    </w:rPr>
                    <w:t>、本项目不涉及危险废物接收处置。</w:t>
                  </w:r>
                </w:p>
                <w:p w14:paraId="63ED81E3"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3</w:t>
                  </w:r>
                  <w:r>
                    <w:rPr>
                      <w:rFonts w:ascii="Times New Roman" w:hAnsi="Times New Roman" w:cs="Times New Roman"/>
                      <w:color w:val="auto"/>
                      <w:spacing w:val="10"/>
                      <w:sz w:val="21"/>
                      <w:szCs w:val="21"/>
                    </w:rPr>
                    <w:t>、拟入厂固体废物与转移联单或所签订合同的标注的废物类别不一致，应立即与固体废物产生单位、运输单位和运输责任人联系，共同进行现场判断，如果在现有条件下可以进行协同处置，并确保在固体废物分析、贮存、运输和协同处置过程中不会对生产安全和环境保护产生不利影响，可以进入贮存库，经特性分析鉴别后按照常规程序进行协同处置。如果无法确定废物特性，将该批次废物作为不明性质废物。</w:t>
                  </w:r>
                </w:p>
                <w:p w14:paraId="299CC6FF"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lastRenderedPageBreak/>
                    <w:t>4</w:t>
                  </w:r>
                  <w:r>
                    <w:rPr>
                      <w:rFonts w:ascii="Times New Roman" w:hAnsi="Times New Roman" w:cs="Times New Roman"/>
                      <w:color w:val="auto"/>
                      <w:spacing w:val="10"/>
                      <w:sz w:val="21"/>
                      <w:szCs w:val="21"/>
                    </w:rPr>
                    <w:t>、固体废物入厂后立即进行取样分析，以判断固体废物特性是否与合同注明的固体废物特性一致。如果发现固体废物特性与合同注明的固体废物特性不一致，则退回固体废物产生单位。</w:t>
                  </w:r>
                </w:p>
                <w:p w14:paraId="7E8ADCD4"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5</w:t>
                  </w:r>
                  <w:r>
                    <w:rPr>
                      <w:rFonts w:ascii="Times New Roman" w:hAnsi="Times New Roman" w:cs="Times New Roman"/>
                      <w:color w:val="auto"/>
                      <w:spacing w:val="10"/>
                      <w:sz w:val="21"/>
                      <w:szCs w:val="21"/>
                    </w:rPr>
                    <w:t>、公司对各个产废单位的相关信息进行定期的统计分析，评估其管理的能力和固体废物的稳定性。</w:t>
                  </w:r>
                </w:p>
                <w:p w14:paraId="3046BA10"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6</w:t>
                  </w:r>
                  <w:r>
                    <w:rPr>
                      <w:rFonts w:ascii="Times New Roman" w:hAnsi="Times New Roman" w:cs="Times New Roman"/>
                      <w:color w:val="auto"/>
                      <w:spacing w:val="10"/>
                      <w:sz w:val="21"/>
                      <w:szCs w:val="21"/>
                    </w:rPr>
                    <w:t>、根据固体废物入厂后的分析检测结果，制定废物协同处置方案。固体废物协同处置方案包括废物贮存、输送和入窑协同处置技术流程、配伍和技术参数，以及安全风险和相应的安全操作提示。</w:t>
                  </w:r>
                </w:p>
                <w:p w14:paraId="245CB3D5"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7</w:t>
                  </w:r>
                  <w:r>
                    <w:rPr>
                      <w:rFonts w:ascii="Times New Roman" w:hAnsi="Times New Roman" w:cs="Times New Roman"/>
                      <w:color w:val="auto"/>
                      <w:spacing w:val="10"/>
                      <w:sz w:val="21"/>
                      <w:szCs w:val="21"/>
                    </w:rPr>
                    <w:t>、按固体废物特性进行分类，禁止将不相容的废物进行混合；固体废物及其混合物在贮存、厂内运输和入窑焚烧过程中不对所接触材料造成腐蚀破坏；入窑固体废物中有害物质的含量和投加速率满足规范相关要求，不会对水泥生产和水泥质量造成不利影响。</w:t>
                  </w:r>
                </w:p>
                <w:p w14:paraId="136BB8D1"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8</w:t>
                  </w:r>
                  <w:r>
                    <w:rPr>
                      <w:rFonts w:ascii="Times New Roman" w:hAnsi="Times New Roman" w:cs="Times New Roman"/>
                      <w:color w:val="auto"/>
                      <w:spacing w:val="10"/>
                      <w:sz w:val="21"/>
                      <w:szCs w:val="21"/>
                    </w:rPr>
                    <w:t>、固体废物入厂检查和检验结果记录备案，与固体废物协同处置方案共同入档保存。入厂检查和检验结果记录及固体废物协同</w:t>
                  </w:r>
                  <w:r>
                    <w:rPr>
                      <w:rFonts w:ascii="Times New Roman" w:hAnsi="Times New Roman" w:cs="Times New Roman"/>
                      <w:color w:val="auto"/>
                      <w:spacing w:val="10"/>
                      <w:sz w:val="21"/>
                      <w:szCs w:val="21"/>
                    </w:rPr>
                    <w:lastRenderedPageBreak/>
                    <w:t>处置方案的保存时间不低于</w:t>
                  </w:r>
                  <w:r>
                    <w:rPr>
                      <w:rFonts w:ascii="Times New Roman" w:hAnsi="Times New Roman" w:cs="Times New Roman"/>
                      <w:color w:val="auto"/>
                      <w:spacing w:val="10"/>
                      <w:sz w:val="21"/>
                      <w:szCs w:val="21"/>
                    </w:rPr>
                    <w:t>3</w:t>
                  </w:r>
                  <w:r>
                    <w:rPr>
                      <w:rFonts w:ascii="Times New Roman" w:hAnsi="Times New Roman" w:cs="Times New Roman"/>
                      <w:color w:val="auto"/>
                      <w:spacing w:val="10"/>
                      <w:sz w:val="21"/>
                      <w:szCs w:val="21"/>
                    </w:rPr>
                    <w:t>年。</w:t>
                  </w:r>
                </w:p>
              </w:tc>
              <w:tc>
                <w:tcPr>
                  <w:tcW w:w="789" w:type="dxa"/>
                  <w:vMerge w:val="restart"/>
                  <w:tcBorders>
                    <w:top w:val="single" w:sz="2" w:space="0" w:color="000000"/>
                    <w:left w:val="single" w:sz="2" w:space="0" w:color="000000"/>
                    <w:right w:val="nil"/>
                  </w:tcBorders>
                  <w:vAlign w:val="center"/>
                </w:tcPr>
                <w:p w14:paraId="269DD383" w14:textId="77777777" w:rsidR="00F76A63" w:rsidRDefault="00000000">
                  <w:pPr>
                    <w:jc w:val="center"/>
                    <w:rPr>
                      <w:szCs w:val="21"/>
                    </w:rPr>
                  </w:pPr>
                  <w:r>
                    <w:rPr>
                      <w:szCs w:val="21"/>
                    </w:rPr>
                    <w:lastRenderedPageBreak/>
                    <w:t>符合</w:t>
                  </w:r>
                </w:p>
              </w:tc>
            </w:tr>
            <w:tr w:rsidR="00F76A63" w14:paraId="47002937" w14:textId="77777777">
              <w:trPr>
                <w:trHeight w:val="120"/>
                <w:jc w:val="center"/>
              </w:trPr>
              <w:tc>
                <w:tcPr>
                  <w:tcW w:w="625" w:type="dxa"/>
                  <w:vMerge/>
                  <w:tcBorders>
                    <w:left w:val="nil"/>
                    <w:right w:val="single" w:sz="2" w:space="0" w:color="000000"/>
                  </w:tcBorders>
                  <w:vAlign w:val="center"/>
                </w:tcPr>
                <w:p w14:paraId="0AC6D42E" w14:textId="77777777" w:rsidR="00F76A63" w:rsidRDefault="00F76A63">
                  <w:pPr>
                    <w:jc w:val="center"/>
                    <w:rPr>
                      <w:spacing w:val="14"/>
                      <w:kern w:val="0"/>
                      <w:szCs w:val="21"/>
                    </w:rPr>
                  </w:pPr>
                </w:p>
              </w:tc>
              <w:tc>
                <w:tcPr>
                  <w:tcW w:w="1995" w:type="dxa"/>
                  <w:gridSpan w:val="2"/>
                  <w:vMerge/>
                  <w:tcBorders>
                    <w:left w:val="single" w:sz="2" w:space="0" w:color="000000"/>
                    <w:right w:val="single" w:sz="2" w:space="0" w:color="000000"/>
                  </w:tcBorders>
                  <w:vAlign w:val="center"/>
                </w:tcPr>
                <w:p w14:paraId="08C6ABDA" w14:textId="77777777" w:rsidR="00F76A63" w:rsidRDefault="00F76A63">
                  <w:pPr>
                    <w:pStyle w:val="TableText"/>
                    <w:jc w:val="center"/>
                    <w:rPr>
                      <w:rFonts w:ascii="Times New Roman" w:hAnsi="Times New Roman" w:cs="Times New Roman"/>
                      <w:color w:val="auto"/>
                      <w:spacing w:val="14"/>
                      <w:sz w:val="21"/>
                      <w:szCs w:val="21"/>
                    </w:rPr>
                  </w:pPr>
                </w:p>
              </w:tc>
              <w:tc>
                <w:tcPr>
                  <w:tcW w:w="2070" w:type="dxa"/>
                  <w:vMerge/>
                  <w:tcBorders>
                    <w:left w:val="single" w:sz="2" w:space="0" w:color="000000"/>
                    <w:right w:val="single" w:sz="2" w:space="0" w:color="000000"/>
                  </w:tcBorders>
                  <w:vAlign w:val="center"/>
                </w:tcPr>
                <w:p w14:paraId="48BB7414" w14:textId="77777777" w:rsidR="00F76A63" w:rsidRDefault="00F76A63">
                  <w:pPr>
                    <w:pStyle w:val="TableText"/>
                    <w:jc w:val="center"/>
                    <w:rPr>
                      <w:rFonts w:ascii="Times New Roman" w:hAnsi="Times New Roman" w:cs="Times New Roman"/>
                      <w:color w:val="auto"/>
                      <w:spacing w:val="14"/>
                      <w:sz w:val="21"/>
                      <w:szCs w:val="21"/>
                    </w:rPr>
                  </w:pPr>
                </w:p>
              </w:tc>
              <w:tc>
                <w:tcPr>
                  <w:tcW w:w="1720" w:type="dxa"/>
                  <w:gridSpan w:val="2"/>
                  <w:vMerge w:val="restart"/>
                  <w:tcBorders>
                    <w:top w:val="single" w:sz="2" w:space="0" w:color="000000"/>
                    <w:left w:val="single" w:sz="2" w:space="0" w:color="000000"/>
                    <w:right w:val="single" w:sz="2" w:space="0" w:color="000000"/>
                  </w:tcBorders>
                  <w:vAlign w:val="center"/>
                </w:tcPr>
                <w:p w14:paraId="5A6111B5" w14:textId="77777777" w:rsidR="00F76A63" w:rsidRDefault="00000000">
                  <w:pPr>
                    <w:pStyle w:val="TableText"/>
                    <w:jc w:val="center"/>
                    <w:rPr>
                      <w:rFonts w:ascii="Times New Roman" w:hAnsi="Times New Roman" w:cs="Times New Roman"/>
                      <w:color w:val="auto"/>
                      <w:spacing w:val="14"/>
                      <w:sz w:val="21"/>
                      <w:szCs w:val="21"/>
                    </w:rPr>
                  </w:pPr>
                  <w:r>
                    <w:rPr>
                      <w:rFonts w:ascii="Times New Roman" w:hAnsi="Times New Roman" w:cs="Times New Roman"/>
                      <w:color w:val="auto"/>
                      <w:spacing w:val="14"/>
                      <w:sz w:val="21"/>
                      <w:szCs w:val="21"/>
                    </w:rPr>
                    <w:t>b</w:t>
                  </w:r>
                  <w:r>
                    <w:rPr>
                      <w:rFonts w:ascii="Times New Roman" w:hAnsi="Times New Roman" w:cs="Times New Roman"/>
                      <w:color w:val="auto"/>
                      <w:spacing w:val="14"/>
                      <w:sz w:val="21"/>
                      <w:szCs w:val="21"/>
                    </w:rPr>
                    <w:t>）对于危险废物，还应进行下列各项的检查：</w:t>
                  </w:r>
                </w:p>
              </w:tc>
              <w:tc>
                <w:tcPr>
                  <w:tcW w:w="2266" w:type="dxa"/>
                  <w:gridSpan w:val="2"/>
                  <w:tcBorders>
                    <w:top w:val="single" w:sz="2" w:space="0" w:color="000000"/>
                    <w:left w:val="single" w:sz="2" w:space="0" w:color="000000"/>
                    <w:bottom w:val="single" w:sz="2" w:space="0" w:color="000000"/>
                    <w:right w:val="single" w:sz="2" w:space="0" w:color="000000"/>
                  </w:tcBorders>
                  <w:vAlign w:val="center"/>
                </w:tcPr>
                <w:p w14:paraId="58F142EA" w14:textId="77777777" w:rsidR="00F76A63" w:rsidRDefault="00000000">
                  <w:pPr>
                    <w:pStyle w:val="TableText"/>
                    <w:jc w:val="center"/>
                    <w:rPr>
                      <w:rFonts w:ascii="Times New Roman" w:hAnsi="Times New Roman" w:cs="Times New Roman"/>
                      <w:color w:val="auto"/>
                      <w:spacing w:val="14"/>
                      <w:sz w:val="21"/>
                      <w:szCs w:val="21"/>
                    </w:rPr>
                  </w:pPr>
                  <w:r>
                    <w:rPr>
                      <w:rFonts w:ascii="Times New Roman" w:hAnsi="Times New Roman" w:cs="Times New Roman"/>
                      <w:color w:val="auto"/>
                      <w:spacing w:val="14"/>
                      <w:sz w:val="21"/>
                      <w:szCs w:val="21"/>
                    </w:rPr>
                    <w:t>1</w:t>
                  </w:r>
                  <w:r>
                    <w:rPr>
                      <w:rFonts w:ascii="Times New Roman" w:hAnsi="Times New Roman" w:cs="Times New Roman"/>
                      <w:color w:val="auto"/>
                      <w:spacing w:val="14"/>
                      <w:sz w:val="21"/>
                      <w:szCs w:val="21"/>
                    </w:rPr>
                    <w:t>）检查废物标签是否符合要求，所标注内容应与《危险废物转移联单》和签订的合同一致。</w:t>
                  </w:r>
                </w:p>
              </w:tc>
              <w:tc>
                <w:tcPr>
                  <w:tcW w:w="3306" w:type="dxa"/>
                  <w:vMerge/>
                  <w:tcBorders>
                    <w:left w:val="single" w:sz="2" w:space="0" w:color="000000"/>
                    <w:right w:val="single" w:sz="2" w:space="0" w:color="000000"/>
                  </w:tcBorders>
                  <w:vAlign w:val="center"/>
                </w:tcPr>
                <w:p w14:paraId="3AA0F602"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C0A6CE3" w14:textId="77777777" w:rsidR="00F76A63" w:rsidRDefault="00F76A63">
                  <w:pPr>
                    <w:jc w:val="center"/>
                    <w:rPr>
                      <w:szCs w:val="21"/>
                    </w:rPr>
                  </w:pPr>
                </w:p>
              </w:tc>
            </w:tr>
            <w:tr w:rsidR="00F76A63" w14:paraId="32A1C13F" w14:textId="77777777">
              <w:trPr>
                <w:trHeight w:val="435"/>
                <w:jc w:val="center"/>
              </w:trPr>
              <w:tc>
                <w:tcPr>
                  <w:tcW w:w="625" w:type="dxa"/>
                  <w:vMerge/>
                  <w:tcBorders>
                    <w:left w:val="nil"/>
                    <w:right w:val="single" w:sz="2" w:space="0" w:color="000000"/>
                  </w:tcBorders>
                  <w:vAlign w:val="center"/>
                </w:tcPr>
                <w:p w14:paraId="6C39FA45" w14:textId="77777777" w:rsidR="00F76A63" w:rsidRDefault="00F76A63">
                  <w:pPr>
                    <w:jc w:val="center"/>
                    <w:rPr>
                      <w:spacing w:val="14"/>
                      <w:kern w:val="0"/>
                      <w:szCs w:val="21"/>
                    </w:rPr>
                  </w:pPr>
                </w:p>
              </w:tc>
              <w:tc>
                <w:tcPr>
                  <w:tcW w:w="1995" w:type="dxa"/>
                  <w:gridSpan w:val="2"/>
                  <w:vMerge/>
                  <w:tcBorders>
                    <w:left w:val="single" w:sz="2" w:space="0" w:color="000000"/>
                    <w:right w:val="single" w:sz="2" w:space="0" w:color="000000"/>
                  </w:tcBorders>
                  <w:vAlign w:val="center"/>
                </w:tcPr>
                <w:p w14:paraId="07431A5D" w14:textId="77777777" w:rsidR="00F76A63" w:rsidRDefault="00F76A63">
                  <w:pPr>
                    <w:pStyle w:val="TableText"/>
                    <w:jc w:val="center"/>
                    <w:rPr>
                      <w:rFonts w:ascii="Times New Roman" w:hAnsi="Times New Roman" w:cs="Times New Roman"/>
                      <w:color w:val="auto"/>
                      <w:spacing w:val="14"/>
                      <w:sz w:val="21"/>
                      <w:szCs w:val="21"/>
                    </w:rPr>
                  </w:pPr>
                </w:p>
              </w:tc>
              <w:tc>
                <w:tcPr>
                  <w:tcW w:w="2070" w:type="dxa"/>
                  <w:vMerge/>
                  <w:tcBorders>
                    <w:left w:val="single" w:sz="2" w:space="0" w:color="000000"/>
                    <w:right w:val="single" w:sz="2" w:space="0" w:color="000000"/>
                  </w:tcBorders>
                  <w:vAlign w:val="center"/>
                </w:tcPr>
                <w:p w14:paraId="3457077A" w14:textId="77777777" w:rsidR="00F76A63" w:rsidRDefault="00F76A63">
                  <w:pPr>
                    <w:pStyle w:val="TableText"/>
                    <w:jc w:val="center"/>
                    <w:rPr>
                      <w:rFonts w:ascii="Times New Roman" w:hAnsi="Times New Roman" w:cs="Times New Roman"/>
                      <w:color w:val="auto"/>
                      <w:spacing w:val="14"/>
                      <w:sz w:val="21"/>
                      <w:szCs w:val="21"/>
                    </w:rPr>
                  </w:pPr>
                </w:p>
              </w:tc>
              <w:tc>
                <w:tcPr>
                  <w:tcW w:w="1720" w:type="dxa"/>
                  <w:gridSpan w:val="2"/>
                  <w:vMerge/>
                  <w:tcBorders>
                    <w:left w:val="single" w:sz="2" w:space="0" w:color="000000"/>
                    <w:right w:val="single" w:sz="2" w:space="0" w:color="000000"/>
                  </w:tcBorders>
                  <w:vAlign w:val="center"/>
                </w:tcPr>
                <w:p w14:paraId="09C694D0" w14:textId="77777777" w:rsidR="00F76A63" w:rsidRDefault="00F76A63">
                  <w:pPr>
                    <w:pStyle w:val="TableText"/>
                    <w:jc w:val="center"/>
                    <w:rPr>
                      <w:rFonts w:ascii="Times New Roman" w:hAnsi="Times New Roman" w:cs="Times New Roman"/>
                      <w:color w:val="auto"/>
                      <w:spacing w:val="14"/>
                      <w:sz w:val="21"/>
                      <w:szCs w:val="21"/>
                    </w:rPr>
                  </w:pPr>
                </w:p>
              </w:tc>
              <w:tc>
                <w:tcPr>
                  <w:tcW w:w="2266" w:type="dxa"/>
                  <w:gridSpan w:val="2"/>
                  <w:tcBorders>
                    <w:top w:val="single" w:sz="2" w:space="0" w:color="000000"/>
                    <w:left w:val="single" w:sz="2" w:space="0" w:color="000000"/>
                    <w:bottom w:val="single" w:sz="2" w:space="0" w:color="000000"/>
                    <w:right w:val="single" w:sz="2" w:space="0" w:color="000000"/>
                  </w:tcBorders>
                  <w:vAlign w:val="center"/>
                </w:tcPr>
                <w:p w14:paraId="22479999" w14:textId="77777777" w:rsidR="00F76A63" w:rsidRDefault="00000000">
                  <w:pPr>
                    <w:pStyle w:val="TableText"/>
                    <w:jc w:val="center"/>
                    <w:rPr>
                      <w:rFonts w:ascii="Times New Roman" w:hAnsi="Times New Roman" w:cs="Times New Roman"/>
                      <w:color w:val="auto"/>
                      <w:spacing w:val="14"/>
                      <w:sz w:val="21"/>
                      <w:szCs w:val="21"/>
                    </w:rPr>
                  </w:pPr>
                  <w:r>
                    <w:rPr>
                      <w:rFonts w:ascii="Times New Roman" w:hAnsi="Times New Roman" w:cs="Times New Roman"/>
                      <w:color w:val="auto"/>
                      <w:spacing w:val="14"/>
                      <w:sz w:val="21"/>
                      <w:szCs w:val="21"/>
                    </w:rPr>
                    <w:t>2</w:t>
                  </w:r>
                  <w:r>
                    <w:rPr>
                      <w:rFonts w:ascii="Times New Roman" w:hAnsi="Times New Roman" w:cs="Times New Roman"/>
                      <w:color w:val="auto"/>
                      <w:spacing w:val="14"/>
                      <w:sz w:val="21"/>
                      <w:szCs w:val="21"/>
                    </w:rPr>
                    <w:t>）通过表观和气味初步判断的危险废物类别是否与《危险废物转移联单》一致。</w:t>
                  </w:r>
                </w:p>
              </w:tc>
              <w:tc>
                <w:tcPr>
                  <w:tcW w:w="3306" w:type="dxa"/>
                  <w:vMerge/>
                  <w:tcBorders>
                    <w:left w:val="single" w:sz="2" w:space="0" w:color="000000"/>
                    <w:right w:val="single" w:sz="2" w:space="0" w:color="000000"/>
                  </w:tcBorders>
                  <w:vAlign w:val="center"/>
                </w:tcPr>
                <w:p w14:paraId="2FDC589A"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33FD381" w14:textId="77777777" w:rsidR="00F76A63" w:rsidRDefault="00F76A63">
                  <w:pPr>
                    <w:jc w:val="center"/>
                    <w:rPr>
                      <w:szCs w:val="21"/>
                    </w:rPr>
                  </w:pPr>
                </w:p>
              </w:tc>
            </w:tr>
            <w:tr w:rsidR="00F76A63" w14:paraId="6187421A" w14:textId="77777777">
              <w:trPr>
                <w:trHeight w:val="435"/>
                <w:jc w:val="center"/>
              </w:trPr>
              <w:tc>
                <w:tcPr>
                  <w:tcW w:w="625" w:type="dxa"/>
                  <w:vMerge/>
                  <w:tcBorders>
                    <w:left w:val="nil"/>
                    <w:right w:val="single" w:sz="2" w:space="0" w:color="000000"/>
                  </w:tcBorders>
                  <w:vAlign w:val="center"/>
                </w:tcPr>
                <w:p w14:paraId="027F6F5F" w14:textId="77777777" w:rsidR="00F76A63" w:rsidRDefault="00F76A63">
                  <w:pPr>
                    <w:jc w:val="center"/>
                    <w:rPr>
                      <w:spacing w:val="14"/>
                      <w:kern w:val="0"/>
                      <w:szCs w:val="21"/>
                    </w:rPr>
                  </w:pPr>
                </w:p>
              </w:tc>
              <w:tc>
                <w:tcPr>
                  <w:tcW w:w="1995" w:type="dxa"/>
                  <w:gridSpan w:val="2"/>
                  <w:vMerge/>
                  <w:tcBorders>
                    <w:left w:val="single" w:sz="2" w:space="0" w:color="000000"/>
                    <w:right w:val="single" w:sz="2" w:space="0" w:color="000000"/>
                  </w:tcBorders>
                  <w:vAlign w:val="center"/>
                </w:tcPr>
                <w:p w14:paraId="6DE04F0C" w14:textId="77777777" w:rsidR="00F76A63" w:rsidRDefault="00F76A63">
                  <w:pPr>
                    <w:pStyle w:val="TableText"/>
                    <w:jc w:val="center"/>
                    <w:rPr>
                      <w:rFonts w:ascii="Times New Roman" w:hAnsi="Times New Roman" w:cs="Times New Roman"/>
                      <w:color w:val="auto"/>
                      <w:spacing w:val="14"/>
                      <w:sz w:val="21"/>
                      <w:szCs w:val="21"/>
                    </w:rPr>
                  </w:pPr>
                </w:p>
              </w:tc>
              <w:tc>
                <w:tcPr>
                  <w:tcW w:w="2070" w:type="dxa"/>
                  <w:vMerge/>
                  <w:tcBorders>
                    <w:left w:val="single" w:sz="2" w:space="0" w:color="000000"/>
                    <w:right w:val="single" w:sz="2" w:space="0" w:color="000000"/>
                  </w:tcBorders>
                  <w:vAlign w:val="center"/>
                </w:tcPr>
                <w:p w14:paraId="514580C3" w14:textId="77777777" w:rsidR="00F76A63" w:rsidRDefault="00F76A63">
                  <w:pPr>
                    <w:pStyle w:val="TableText"/>
                    <w:jc w:val="center"/>
                    <w:rPr>
                      <w:rFonts w:ascii="Times New Roman" w:hAnsi="Times New Roman" w:cs="Times New Roman"/>
                      <w:color w:val="auto"/>
                      <w:spacing w:val="14"/>
                      <w:sz w:val="21"/>
                      <w:szCs w:val="21"/>
                    </w:rPr>
                  </w:pPr>
                </w:p>
              </w:tc>
              <w:tc>
                <w:tcPr>
                  <w:tcW w:w="1720" w:type="dxa"/>
                  <w:gridSpan w:val="2"/>
                  <w:vMerge/>
                  <w:tcBorders>
                    <w:left w:val="single" w:sz="2" w:space="0" w:color="000000"/>
                    <w:right w:val="single" w:sz="2" w:space="0" w:color="000000"/>
                  </w:tcBorders>
                  <w:vAlign w:val="center"/>
                </w:tcPr>
                <w:p w14:paraId="72699DEA" w14:textId="77777777" w:rsidR="00F76A63" w:rsidRDefault="00F76A63">
                  <w:pPr>
                    <w:pStyle w:val="TableText"/>
                    <w:jc w:val="center"/>
                    <w:rPr>
                      <w:rFonts w:ascii="Times New Roman" w:hAnsi="Times New Roman" w:cs="Times New Roman"/>
                      <w:color w:val="auto"/>
                      <w:spacing w:val="14"/>
                      <w:sz w:val="21"/>
                      <w:szCs w:val="21"/>
                    </w:rPr>
                  </w:pPr>
                </w:p>
              </w:tc>
              <w:tc>
                <w:tcPr>
                  <w:tcW w:w="2266" w:type="dxa"/>
                  <w:gridSpan w:val="2"/>
                  <w:tcBorders>
                    <w:top w:val="single" w:sz="2" w:space="0" w:color="000000"/>
                    <w:left w:val="single" w:sz="2" w:space="0" w:color="000000"/>
                    <w:bottom w:val="single" w:sz="2" w:space="0" w:color="000000"/>
                    <w:right w:val="single" w:sz="2" w:space="0" w:color="000000"/>
                  </w:tcBorders>
                  <w:vAlign w:val="center"/>
                </w:tcPr>
                <w:p w14:paraId="58DC1B7C" w14:textId="77777777" w:rsidR="00F76A63" w:rsidRDefault="00000000">
                  <w:pPr>
                    <w:pStyle w:val="TableText"/>
                    <w:jc w:val="center"/>
                    <w:rPr>
                      <w:rFonts w:ascii="Times New Roman" w:hAnsi="Times New Roman" w:cs="Times New Roman"/>
                      <w:color w:val="auto"/>
                      <w:spacing w:val="14"/>
                      <w:sz w:val="21"/>
                      <w:szCs w:val="21"/>
                    </w:rPr>
                  </w:pPr>
                  <w:r>
                    <w:rPr>
                      <w:rFonts w:ascii="Times New Roman" w:hAnsi="Times New Roman" w:cs="Times New Roman"/>
                      <w:color w:val="auto"/>
                      <w:spacing w:val="14"/>
                      <w:sz w:val="21"/>
                      <w:szCs w:val="21"/>
                    </w:rPr>
                    <w:t>3</w:t>
                  </w:r>
                  <w:r>
                    <w:rPr>
                      <w:rFonts w:ascii="Times New Roman" w:hAnsi="Times New Roman" w:cs="Times New Roman"/>
                      <w:color w:val="auto"/>
                      <w:spacing w:val="14"/>
                      <w:sz w:val="21"/>
                      <w:szCs w:val="21"/>
                    </w:rPr>
                    <w:t>）对危险废物进行称重的重量是否与《危险废物转移联单》一致。</w:t>
                  </w:r>
                </w:p>
              </w:tc>
              <w:tc>
                <w:tcPr>
                  <w:tcW w:w="3306" w:type="dxa"/>
                  <w:vMerge/>
                  <w:tcBorders>
                    <w:left w:val="single" w:sz="2" w:space="0" w:color="000000"/>
                    <w:right w:val="single" w:sz="2" w:space="0" w:color="000000"/>
                  </w:tcBorders>
                  <w:vAlign w:val="center"/>
                </w:tcPr>
                <w:p w14:paraId="0F173918"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8F6076B" w14:textId="77777777" w:rsidR="00F76A63" w:rsidRDefault="00F76A63">
                  <w:pPr>
                    <w:jc w:val="center"/>
                    <w:rPr>
                      <w:szCs w:val="21"/>
                    </w:rPr>
                  </w:pPr>
                </w:p>
              </w:tc>
            </w:tr>
            <w:tr w:rsidR="00F76A63" w14:paraId="3BF12EE5" w14:textId="77777777">
              <w:trPr>
                <w:trHeight w:val="218"/>
                <w:jc w:val="center"/>
              </w:trPr>
              <w:tc>
                <w:tcPr>
                  <w:tcW w:w="625" w:type="dxa"/>
                  <w:vMerge/>
                  <w:tcBorders>
                    <w:left w:val="nil"/>
                    <w:right w:val="single" w:sz="2" w:space="0" w:color="000000"/>
                  </w:tcBorders>
                  <w:vAlign w:val="center"/>
                </w:tcPr>
                <w:p w14:paraId="1CFFBC0F" w14:textId="77777777" w:rsidR="00F76A63" w:rsidRDefault="00F76A63">
                  <w:pPr>
                    <w:jc w:val="center"/>
                    <w:rPr>
                      <w:spacing w:val="14"/>
                      <w:kern w:val="0"/>
                      <w:szCs w:val="21"/>
                    </w:rPr>
                  </w:pPr>
                </w:p>
              </w:tc>
              <w:tc>
                <w:tcPr>
                  <w:tcW w:w="1995" w:type="dxa"/>
                  <w:gridSpan w:val="2"/>
                  <w:vMerge/>
                  <w:tcBorders>
                    <w:left w:val="single" w:sz="2" w:space="0" w:color="000000"/>
                    <w:right w:val="single" w:sz="2" w:space="0" w:color="000000"/>
                  </w:tcBorders>
                  <w:vAlign w:val="center"/>
                </w:tcPr>
                <w:p w14:paraId="19DE5269" w14:textId="77777777" w:rsidR="00F76A63" w:rsidRDefault="00F76A63">
                  <w:pPr>
                    <w:pStyle w:val="TableText"/>
                    <w:jc w:val="center"/>
                    <w:rPr>
                      <w:rFonts w:ascii="Times New Roman" w:hAnsi="Times New Roman" w:cs="Times New Roman"/>
                      <w:color w:val="auto"/>
                      <w:spacing w:val="14"/>
                      <w:sz w:val="21"/>
                      <w:szCs w:val="21"/>
                    </w:rPr>
                  </w:pPr>
                </w:p>
              </w:tc>
              <w:tc>
                <w:tcPr>
                  <w:tcW w:w="2070" w:type="dxa"/>
                  <w:vMerge/>
                  <w:tcBorders>
                    <w:left w:val="single" w:sz="2" w:space="0" w:color="000000"/>
                    <w:right w:val="single" w:sz="2" w:space="0" w:color="000000"/>
                  </w:tcBorders>
                  <w:vAlign w:val="center"/>
                </w:tcPr>
                <w:p w14:paraId="010C3A26" w14:textId="77777777" w:rsidR="00F76A63" w:rsidRDefault="00F76A63">
                  <w:pPr>
                    <w:pStyle w:val="TableText"/>
                    <w:jc w:val="center"/>
                    <w:rPr>
                      <w:rFonts w:ascii="Times New Roman" w:hAnsi="Times New Roman" w:cs="Times New Roman"/>
                      <w:color w:val="auto"/>
                      <w:spacing w:val="14"/>
                      <w:sz w:val="21"/>
                      <w:szCs w:val="21"/>
                    </w:rPr>
                  </w:pPr>
                </w:p>
              </w:tc>
              <w:tc>
                <w:tcPr>
                  <w:tcW w:w="1720" w:type="dxa"/>
                  <w:gridSpan w:val="2"/>
                  <w:vMerge/>
                  <w:tcBorders>
                    <w:left w:val="single" w:sz="2" w:space="0" w:color="000000"/>
                    <w:right w:val="single" w:sz="2" w:space="0" w:color="000000"/>
                  </w:tcBorders>
                  <w:vAlign w:val="center"/>
                </w:tcPr>
                <w:p w14:paraId="4D1F7987" w14:textId="77777777" w:rsidR="00F76A63" w:rsidRDefault="00F76A63">
                  <w:pPr>
                    <w:pStyle w:val="TableText"/>
                    <w:jc w:val="center"/>
                    <w:rPr>
                      <w:rFonts w:ascii="Times New Roman" w:hAnsi="Times New Roman" w:cs="Times New Roman"/>
                      <w:color w:val="auto"/>
                      <w:spacing w:val="14"/>
                      <w:sz w:val="21"/>
                      <w:szCs w:val="21"/>
                    </w:rPr>
                  </w:pPr>
                </w:p>
              </w:tc>
              <w:tc>
                <w:tcPr>
                  <w:tcW w:w="2266" w:type="dxa"/>
                  <w:gridSpan w:val="2"/>
                  <w:tcBorders>
                    <w:top w:val="single" w:sz="2" w:space="0" w:color="000000"/>
                    <w:left w:val="single" w:sz="2" w:space="0" w:color="000000"/>
                    <w:bottom w:val="single" w:sz="2" w:space="0" w:color="000000"/>
                    <w:right w:val="single" w:sz="2" w:space="0" w:color="000000"/>
                  </w:tcBorders>
                  <w:vAlign w:val="center"/>
                </w:tcPr>
                <w:p w14:paraId="4B8612F3" w14:textId="77777777" w:rsidR="00F76A63" w:rsidRDefault="00000000">
                  <w:pPr>
                    <w:pStyle w:val="TableText"/>
                    <w:jc w:val="center"/>
                    <w:rPr>
                      <w:rFonts w:ascii="Times New Roman" w:hAnsi="Times New Roman" w:cs="Times New Roman"/>
                      <w:color w:val="auto"/>
                      <w:spacing w:val="14"/>
                      <w:sz w:val="21"/>
                      <w:szCs w:val="21"/>
                    </w:rPr>
                  </w:pPr>
                  <w:r>
                    <w:rPr>
                      <w:rFonts w:ascii="Times New Roman" w:hAnsi="Times New Roman" w:cs="Times New Roman"/>
                      <w:color w:val="auto"/>
                      <w:spacing w:val="14"/>
                      <w:sz w:val="21"/>
                      <w:szCs w:val="21"/>
                    </w:rPr>
                    <w:t>4</w:t>
                  </w:r>
                  <w:r>
                    <w:rPr>
                      <w:rFonts w:ascii="Times New Roman" w:hAnsi="Times New Roman" w:cs="Times New Roman"/>
                      <w:color w:val="auto"/>
                      <w:spacing w:val="14"/>
                      <w:sz w:val="21"/>
                      <w:szCs w:val="21"/>
                    </w:rPr>
                    <w:t>）检查危险废物包装是否符合要求，应无破损和泄漏现象。</w:t>
                  </w:r>
                </w:p>
              </w:tc>
              <w:tc>
                <w:tcPr>
                  <w:tcW w:w="3306" w:type="dxa"/>
                  <w:vMerge/>
                  <w:tcBorders>
                    <w:left w:val="single" w:sz="2" w:space="0" w:color="000000"/>
                    <w:right w:val="single" w:sz="2" w:space="0" w:color="000000"/>
                  </w:tcBorders>
                  <w:vAlign w:val="center"/>
                </w:tcPr>
                <w:p w14:paraId="7191D096"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1FC024F" w14:textId="77777777" w:rsidR="00F76A63" w:rsidRDefault="00F76A63">
                  <w:pPr>
                    <w:jc w:val="center"/>
                    <w:rPr>
                      <w:szCs w:val="21"/>
                    </w:rPr>
                  </w:pPr>
                </w:p>
              </w:tc>
            </w:tr>
            <w:tr w:rsidR="00F76A63" w14:paraId="7268D4CC" w14:textId="77777777">
              <w:trPr>
                <w:trHeight w:val="217"/>
                <w:jc w:val="center"/>
              </w:trPr>
              <w:tc>
                <w:tcPr>
                  <w:tcW w:w="625" w:type="dxa"/>
                  <w:vMerge/>
                  <w:tcBorders>
                    <w:left w:val="nil"/>
                    <w:right w:val="single" w:sz="2" w:space="0" w:color="000000"/>
                  </w:tcBorders>
                  <w:vAlign w:val="center"/>
                </w:tcPr>
                <w:p w14:paraId="2EA0E8C0" w14:textId="77777777" w:rsidR="00F76A63" w:rsidRDefault="00F76A63">
                  <w:pPr>
                    <w:jc w:val="center"/>
                    <w:rPr>
                      <w:spacing w:val="14"/>
                      <w:kern w:val="0"/>
                      <w:szCs w:val="21"/>
                    </w:rPr>
                  </w:pPr>
                </w:p>
              </w:tc>
              <w:tc>
                <w:tcPr>
                  <w:tcW w:w="1995" w:type="dxa"/>
                  <w:gridSpan w:val="2"/>
                  <w:vMerge/>
                  <w:tcBorders>
                    <w:left w:val="single" w:sz="2" w:space="0" w:color="000000"/>
                    <w:right w:val="single" w:sz="2" w:space="0" w:color="000000"/>
                  </w:tcBorders>
                  <w:vAlign w:val="center"/>
                </w:tcPr>
                <w:p w14:paraId="6E0DEB42" w14:textId="77777777" w:rsidR="00F76A63" w:rsidRDefault="00F76A63">
                  <w:pPr>
                    <w:pStyle w:val="TableText"/>
                    <w:jc w:val="center"/>
                    <w:rPr>
                      <w:rFonts w:ascii="Times New Roman" w:hAnsi="Times New Roman" w:cs="Times New Roman"/>
                      <w:color w:val="auto"/>
                      <w:spacing w:val="14"/>
                      <w:sz w:val="21"/>
                      <w:szCs w:val="21"/>
                    </w:rPr>
                  </w:pPr>
                </w:p>
              </w:tc>
              <w:tc>
                <w:tcPr>
                  <w:tcW w:w="2070" w:type="dxa"/>
                  <w:vMerge/>
                  <w:tcBorders>
                    <w:left w:val="single" w:sz="2" w:space="0" w:color="000000"/>
                    <w:right w:val="single" w:sz="2" w:space="0" w:color="000000"/>
                  </w:tcBorders>
                  <w:vAlign w:val="center"/>
                </w:tcPr>
                <w:p w14:paraId="27073731" w14:textId="77777777" w:rsidR="00F76A63" w:rsidRDefault="00F76A63">
                  <w:pPr>
                    <w:pStyle w:val="TableText"/>
                    <w:jc w:val="center"/>
                    <w:rPr>
                      <w:rFonts w:ascii="Times New Roman" w:hAnsi="Times New Roman" w:cs="Times New Roman"/>
                      <w:color w:val="auto"/>
                      <w:spacing w:val="14"/>
                      <w:sz w:val="21"/>
                      <w:szCs w:val="21"/>
                    </w:rPr>
                  </w:pPr>
                </w:p>
              </w:tc>
              <w:tc>
                <w:tcPr>
                  <w:tcW w:w="1720" w:type="dxa"/>
                  <w:gridSpan w:val="2"/>
                  <w:vMerge/>
                  <w:tcBorders>
                    <w:left w:val="single" w:sz="2" w:space="0" w:color="000000"/>
                    <w:bottom w:val="single" w:sz="2" w:space="0" w:color="000000"/>
                    <w:right w:val="single" w:sz="2" w:space="0" w:color="000000"/>
                  </w:tcBorders>
                  <w:vAlign w:val="center"/>
                </w:tcPr>
                <w:p w14:paraId="5ADD2226" w14:textId="77777777" w:rsidR="00F76A63" w:rsidRDefault="00F76A63">
                  <w:pPr>
                    <w:pStyle w:val="TableText"/>
                    <w:jc w:val="center"/>
                    <w:rPr>
                      <w:rFonts w:ascii="Times New Roman" w:hAnsi="Times New Roman" w:cs="Times New Roman"/>
                      <w:color w:val="auto"/>
                      <w:spacing w:val="14"/>
                      <w:sz w:val="21"/>
                      <w:szCs w:val="21"/>
                    </w:rPr>
                  </w:pPr>
                </w:p>
              </w:tc>
              <w:tc>
                <w:tcPr>
                  <w:tcW w:w="2266" w:type="dxa"/>
                  <w:gridSpan w:val="2"/>
                  <w:tcBorders>
                    <w:top w:val="single" w:sz="2" w:space="0" w:color="000000"/>
                    <w:left w:val="single" w:sz="2" w:space="0" w:color="000000"/>
                    <w:bottom w:val="single" w:sz="2" w:space="0" w:color="000000"/>
                    <w:right w:val="single" w:sz="2" w:space="0" w:color="000000"/>
                  </w:tcBorders>
                  <w:vAlign w:val="center"/>
                </w:tcPr>
                <w:p w14:paraId="7073F35A" w14:textId="77777777" w:rsidR="00F76A63" w:rsidRDefault="00000000">
                  <w:pPr>
                    <w:pStyle w:val="TableText"/>
                    <w:jc w:val="center"/>
                    <w:rPr>
                      <w:rFonts w:ascii="Times New Roman" w:hAnsi="Times New Roman" w:cs="Times New Roman"/>
                      <w:color w:val="auto"/>
                      <w:spacing w:val="14"/>
                      <w:sz w:val="21"/>
                      <w:szCs w:val="21"/>
                    </w:rPr>
                  </w:pPr>
                  <w:r>
                    <w:rPr>
                      <w:rFonts w:ascii="Times New Roman" w:hAnsi="Times New Roman" w:cs="Times New Roman"/>
                      <w:color w:val="auto"/>
                      <w:spacing w:val="14"/>
                      <w:sz w:val="21"/>
                      <w:szCs w:val="21"/>
                    </w:rPr>
                    <w:t>5</w:t>
                  </w:r>
                  <w:r>
                    <w:rPr>
                      <w:rFonts w:ascii="Times New Roman" w:hAnsi="Times New Roman" w:cs="Times New Roman"/>
                      <w:color w:val="auto"/>
                      <w:spacing w:val="14"/>
                      <w:sz w:val="21"/>
                      <w:szCs w:val="21"/>
                    </w:rPr>
                    <w:t>）必要时，进行放射性检验。在完成上述检查并确认符合各项要求时，固体废物方可进入贮存库或预处理车间。</w:t>
                  </w:r>
                </w:p>
              </w:tc>
              <w:tc>
                <w:tcPr>
                  <w:tcW w:w="3306" w:type="dxa"/>
                  <w:vMerge/>
                  <w:tcBorders>
                    <w:left w:val="single" w:sz="2" w:space="0" w:color="000000"/>
                    <w:right w:val="single" w:sz="2" w:space="0" w:color="000000"/>
                  </w:tcBorders>
                  <w:vAlign w:val="center"/>
                </w:tcPr>
                <w:p w14:paraId="2B4BC4F3"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14CF5E7E" w14:textId="77777777" w:rsidR="00F76A63" w:rsidRDefault="00F76A63">
                  <w:pPr>
                    <w:jc w:val="center"/>
                    <w:rPr>
                      <w:szCs w:val="21"/>
                    </w:rPr>
                  </w:pPr>
                </w:p>
              </w:tc>
            </w:tr>
            <w:tr w:rsidR="00F76A63" w14:paraId="71184CFA" w14:textId="77777777">
              <w:trPr>
                <w:trHeight w:val="6651"/>
                <w:jc w:val="center"/>
              </w:trPr>
              <w:tc>
                <w:tcPr>
                  <w:tcW w:w="625" w:type="dxa"/>
                  <w:vMerge/>
                  <w:tcBorders>
                    <w:left w:val="nil"/>
                    <w:right w:val="single" w:sz="2" w:space="0" w:color="000000"/>
                  </w:tcBorders>
                  <w:vAlign w:val="center"/>
                </w:tcPr>
                <w:p w14:paraId="3AB88BD3"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4D8DEEA"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bottom w:val="single" w:sz="2" w:space="0" w:color="000000"/>
                    <w:right w:val="single" w:sz="2" w:space="0" w:color="000000"/>
                  </w:tcBorders>
                  <w:vAlign w:val="center"/>
                </w:tcPr>
                <w:p w14:paraId="1EEC98DE"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75B138AA"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）按照</w:t>
                  </w:r>
                  <w:r>
                    <w:rPr>
                      <w:rFonts w:ascii="Times New Roman" w:hAnsi="Times New Roman" w:cs="Times New Roman"/>
                      <w:color w:val="auto"/>
                      <w:spacing w:val="13"/>
                      <w:sz w:val="21"/>
                      <w:szCs w:val="21"/>
                    </w:rPr>
                    <w:t>6.2.1</w:t>
                  </w:r>
                  <w:r>
                    <w:rPr>
                      <w:rFonts w:ascii="Times New Roman" w:hAnsi="Times New Roman" w:cs="Times New Roman"/>
                      <w:color w:val="auto"/>
                      <w:spacing w:val="13"/>
                      <w:sz w:val="21"/>
                      <w:szCs w:val="21"/>
                    </w:rPr>
                    <w:t>条</w:t>
                  </w:r>
                  <w:r>
                    <w:rPr>
                      <w:rFonts w:ascii="Times New Roman" w:hAnsi="Times New Roman" w:cs="Times New Roman"/>
                      <w:color w:val="auto"/>
                      <w:spacing w:val="13"/>
                      <w:sz w:val="21"/>
                      <w:szCs w:val="21"/>
                    </w:rPr>
                    <w:t>a</w:t>
                  </w: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）款的规定进行检查后，如果拟入厂固体废物与转移联单或所签订合同的标注的废物类别不一致，或者危险废物包装发生破损或泄漏，应立即与固体废物产生单位、运输</w:t>
                  </w:r>
                  <w:r>
                    <w:rPr>
                      <w:rFonts w:ascii="Times New Roman" w:hAnsi="Times New Roman" w:cs="Times New Roman"/>
                      <w:color w:val="auto"/>
                      <w:spacing w:val="13"/>
                      <w:sz w:val="21"/>
                      <w:szCs w:val="21"/>
                    </w:rPr>
                    <w:t xml:space="preserve"> </w:t>
                  </w:r>
                  <w:r>
                    <w:rPr>
                      <w:rFonts w:ascii="Times New Roman" w:hAnsi="Times New Roman" w:cs="Times New Roman"/>
                      <w:color w:val="auto"/>
                      <w:spacing w:val="13"/>
                      <w:sz w:val="21"/>
                      <w:szCs w:val="21"/>
                    </w:rPr>
                    <w:t>单位和运输责任人联系，共同进行现场判断。拟入厂危险废物与《危险废物转移联单》不一致时还应及时向当地环境保护行政主管部门报告。</w:t>
                  </w:r>
                </w:p>
                <w:p w14:paraId="2AD7BE8E"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如果在协同处置企业现有条件下可以进行协同处置，并确保在固体废物分析、贮存、运输、预处理和协同处置过程中不会对生产安全和环境保护产生不利影响，可以进入协同处置企业贮存库或者预处理车间，经特性分析鉴别后按照常规程序进行协同处置。</w:t>
                  </w:r>
                </w:p>
                <w:p w14:paraId="31B61D89"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如果无法确定废物特性，将该批次废物作为不明性质废物，按照第</w:t>
                  </w:r>
                  <w:r>
                    <w:rPr>
                      <w:rFonts w:ascii="Times New Roman" w:hAnsi="Times New Roman" w:cs="Times New Roman"/>
                      <w:color w:val="auto"/>
                      <w:spacing w:val="13"/>
                      <w:sz w:val="21"/>
                      <w:szCs w:val="21"/>
                    </w:rPr>
                    <w:t>9.3</w:t>
                  </w:r>
                  <w:r>
                    <w:rPr>
                      <w:rFonts w:ascii="Times New Roman" w:hAnsi="Times New Roman" w:cs="Times New Roman"/>
                      <w:color w:val="auto"/>
                      <w:spacing w:val="13"/>
                      <w:sz w:val="21"/>
                      <w:szCs w:val="21"/>
                    </w:rPr>
                    <w:t>节规定处理。</w:t>
                  </w:r>
                </w:p>
                <w:p w14:paraId="3297E357"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如果确定协同处置企业无法处置该批次固体废物，应立即向当地环境保护行政主管部门报告，并退回到固体废物产生单位，或送至有关主管部门指定的专业处置单位。必要时应通知当</w:t>
                  </w:r>
                  <w:r>
                    <w:rPr>
                      <w:rFonts w:ascii="Times New Roman" w:hAnsi="Times New Roman" w:cs="Times New Roman"/>
                      <w:color w:val="auto"/>
                      <w:spacing w:val="13"/>
                      <w:sz w:val="21"/>
                      <w:szCs w:val="21"/>
                    </w:rPr>
                    <w:lastRenderedPageBreak/>
                    <w:t>地安全生产行政主管部门和公安部门。</w:t>
                  </w:r>
                </w:p>
              </w:tc>
              <w:tc>
                <w:tcPr>
                  <w:tcW w:w="3306" w:type="dxa"/>
                  <w:vMerge/>
                  <w:tcBorders>
                    <w:left w:val="single" w:sz="2" w:space="0" w:color="000000"/>
                    <w:right w:val="single" w:sz="2" w:space="0" w:color="000000"/>
                  </w:tcBorders>
                  <w:vAlign w:val="center"/>
                </w:tcPr>
                <w:p w14:paraId="07F960E4"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506CDF8" w14:textId="77777777" w:rsidR="00F76A63" w:rsidRDefault="00F76A63">
                  <w:pPr>
                    <w:jc w:val="center"/>
                    <w:rPr>
                      <w:szCs w:val="21"/>
                    </w:rPr>
                  </w:pPr>
                </w:p>
              </w:tc>
            </w:tr>
            <w:tr w:rsidR="00F76A63" w14:paraId="579C6509" w14:textId="77777777">
              <w:trPr>
                <w:trHeight w:val="120"/>
                <w:jc w:val="center"/>
              </w:trPr>
              <w:tc>
                <w:tcPr>
                  <w:tcW w:w="625" w:type="dxa"/>
                  <w:vMerge/>
                  <w:tcBorders>
                    <w:left w:val="nil"/>
                    <w:right w:val="single" w:sz="2" w:space="0" w:color="000000"/>
                  </w:tcBorders>
                  <w:vAlign w:val="center"/>
                </w:tcPr>
                <w:p w14:paraId="4C4E0144"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7935DA6"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val="restart"/>
                  <w:tcBorders>
                    <w:top w:val="single" w:sz="2" w:space="0" w:color="000000"/>
                    <w:left w:val="single" w:sz="2" w:space="0" w:color="000000"/>
                    <w:right w:val="single" w:sz="2" w:space="0" w:color="000000"/>
                  </w:tcBorders>
                  <w:vAlign w:val="center"/>
                </w:tcPr>
                <w:p w14:paraId="1B7CA23E"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 xml:space="preserve">6.2.2 </w:t>
                  </w:r>
                  <w:r>
                    <w:rPr>
                      <w:rFonts w:ascii="Times New Roman" w:hAnsi="Times New Roman" w:cs="Times New Roman"/>
                      <w:color w:val="auto"/>
                      <w:spacing w:val="13"/>
                      <w:sz w:val="21"/>
                      <w:szCs w:val="21"/>
                    </w:rPr>
                    <w:t>入厂后固体废物的检验</w:t>
                  </w: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1768DE7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a</w:t>
                  </w:r>
                  <w:r>
                    <w:rPr>
                      <w:rFonts w:ascii="Times New Roman" w:hAnsi="Times New Roman" w:cs="Times New Roman"/>
                      <w:color w:val="auto"/>
                      <w:spacing w:val="10"/>
                      <w:sz w:val="21"/>
                      <w:szCs w:val="21"/>
                    </w:rPr>
                    <w:t>）</w:t>
                  </w:r>
                  <w:r>
                    <w:rPr>
                      <w:rFonts w:ascii="Times New Roman" w:hAnsi="Times New Roman" w:cs="Times New Roman"/>
                      <w:color w:val="auto"/>
                      <w:spacing w:val="-49"/>
                      <w:sz w:val="21"/>
                      <w:szCs w:val="21"/>
                    </w:rPr>
                    <w:t xml:space="preserve"> </w:t>
                  </w:r>
                  <w:r>
                    <w:rPr>
                      <w:rFonts w:ascii="Times New Roman" w:hAnsi="Times New Roman" w:cs="Times New Roman"/>
                      <w:color w:val="auto"/>
                      <w:spacing w:val="10"/>
                      <w:sz w:val="21"/>
                      <w:szCs w:val="21"/>
                    </w:rPr>
                    <w:t>固体废物入厂后应及时进行取样分析，</w:t>
                  </w:r>
                  <w:r>
                    <w:rPr>
                      <w:rFonts w:ascii="Times New Roman" w:hAnsi="Times New Roman" w:cs="Times New Roman"/>
                      <w:color w:val="auto"/>
                      <w:spacing w:val="-57"/>
                      <w:sz w:val="21"/>
                      <w:szCs w:val="21"/>
                    </w:rPr>
                    <w:t xml:space="preserve"> </w:t>
                  </w:r>
                  <w:r>
                    <w:rPr>
                      <w:rFonts w:ascii="Times New Roman" w:hAnsi="Times New Roman" w:cs="Times New Roman"/>
                      <w:color w:val="auto"/>
                      <w:spacing w:val="10"/>
                      <w:sz w:val="21"/>
                      <w:szCs w:val="21"/>
                    </w:rPr>
                    <w:t>以判断固体废物特性是</w:t>
                  </w:r>
                  <w:r>
                    <w:rPr>
                      <w:rFonts w:ascii="Times New Roman" w:hAnsi="Times New Roman" w:cs="Times New Roman"/>
                      <w:color w:val="auto"/>
                      <w:spacing w:val="13"/>
                      <w:sz w:val="21"/>
                      <w:szCs w:val="21"/>
                    </w:rPr>
                    <w:t>否与合同注明的固体废物特性一致。如果发现固体废物特性与合</w:t>
                  </w:r>
                  <w:r>
                    <w:rPr>
                      <w:rFonts w:ascii="Times New Roman" w:hAnsi="Times New Roman" w:cs="Times New Roman"/>
                      <w:color w:val="auto"/>
                      <w:spacing w:val="9"/>
                      <w:sz w:val="21"/>
                      <w:szCs w:val="21"/>
                    </w:rPr>
                    <w:t>同注明的固体废物特性不一致，应参照</w:t>
                  </w:r>
                  <w:r>
                    <w:rPr>
                      <w:rFonts w:ascii="Times New Roman" w:hAnsi="Times New Roman" w:cs="Times New Roman"/>
                      <w:color w:val="auto"/>
                      <w:spacing w:val="9"/>
                      <w:sz w:val="21"/>
                      <w:szCs w:val="21"/>
                    </w:rPr>
                    <w:t>6.2.1</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9"/>
                      <w:sz w:val="21"/>
                      <w:szCs w:val="21"/>
                    </w:rPr>
                    <w:t>条</w:t>
                  </w:r>
                  <w:r>
                    <w:rPr>
                      <w:rFonts w:ascii="Times New Roman" w:hAnsi="Times New Roman" w:cs="Times New Roman"/>
                      <w:color w:val="auto"/>
                      <w:spacing w:val="9"/>
                      <w:sz w:val="21"/>
                      <w:szCs w:val="21"/>
                    </w:rPr>
                    <w:t>c</w:t>
                  </w:r>
                  <w:r>
                    <w:rPr>
                      <w:rFonts w:ascii="Times New Roman" w:hAnsi="Times New Roman" w:cs="Times New Roman"/>
                      <w:color w:val="auto"/>
                      <w:spacing w:val="9"/>
                      <w:sz w:val="21"/>
                      <w:szCs w:val="21"/>
                    </w:rPr>
                    <w:t>）款的规定进行</w:t>
                  </w:r>
                  <w:r>
                    <w:rPr>
                      <w:rFonts w:ascii="Times New Roman" w:hAnsi="Times New Roman" w:cs="Times New Roman"/>
                      <w:color w:val="auto"/>
                      <w:spacing w:val="3"/>
                      <w:sz w:val="21"/>
                      <w:szCs w:val="21"/>
                    </w:rPr>
                    <w:t>处理。</w:t>
                  </w:r>
                </w:p>
              </w:tc>
              <w:tc>
                <w:tcPr>
                  <w:tcW w:w="3306" w:type="dxa"/>
                  <w:vMerge/>
                  <w:tcBorders>
                    <w:left w:val="single" w:sz="2" w:space="0" w:color="000000"/>
                    <w:right w:val="single" w:sz="2" w:space="0" w:color="000000"/>
                  </w:tcBorders>
                  <w:vAlign w:val="center"/>
                </w:tcPr>
                <w:p w14:paraId="2D2A7E8D"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5245B778" w14:textId="77777777" w:rsidR="00F76A63" w:rsidRDefault="00F76A63">
                  <w:pPr>
                    <w:jc w:val="center"/>
                    <w:rPr>
                      <w:szCs w:val="21"/>
                    </w:rPr>
                  </w:pPr>
                </w:p>
              </w:tc>
            </w:tr>
            <w:tr w:rsidR="00F76A63" w14:paraId="66EBC95D" w14:textId="77777777">
              <w:trPr>
                <w:trHeight w:val="120"/>
                <w:jc w:val="center"/>
              </w:trPr>
              <w:tc>
                <w:tcPr>
                  <w:tcW w:w="625" w:type="dxa"/>
                  <w:vMerge/>
                  <w:tcBorders>
                    <w:left w:val="nil"/>
                    <w:right w:val="single" w:sz="2" w:space="0" w:color="000000"/>
                  </w:tcBorders>
                  <w:vAlign w:val="center"/>
                </w:tcPr>
                <w:p w14:paraId="25DD006F"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2A6666F6" w14:textId="77777777" w:rsidR="00F76A63" w:rsidRDefault="00F76A63">
                  <w:pPr>
                    <w:pStyle w:val="TableText"/>
                    <w:jc w:val="center"/>
                    <w:rPr>
                      <w:rFonts w:ascii="Times New Roman" w:hAnsi="Times New Roman" w:cs="Times New Roman"/>
                      <w:color w:val="auto"/>
                      <w:spacing w:val="3"/>
                      <w:sz w:val="21"/>
                      <w:szCs w:val="21"/>
                    </w:rPr>
                  </w:pPr>
                </w:p>
              </w:tc>
              <w:tc>
                <w:tcPr>
                  <w:tcW w:w="2070" w:type="dxa"/>
                  <w:vMerge/>
                  <w:tcBorders>
                    <w:left w:val="single" w:sz="2" w:space="0" w:color="000000"/>
                    <w:bottom w:val="single" w:sz="2" w:space="0" w:color="000000"/>
                    <w:right w:val="single" w:sz="2" w:space="0" w:color="000000"/>
                  </w:tcBorders>
                  <w:vAlign w:val="center"/>
                </w:tcPr>
                <w:p w14:paraId="3588AD88" w14:textId="77777777" w:rsidR="00F76A63" w:rsidRDefault="00F76A63">
                  <w:pPr>
                    <w:pStyle w:val="TableText"/>
                    <w:jc w:val="center"/>
                    <w:rPr>
                      <w:rFonts w:ascii="Times New Roman" w:hAnsi="Times New Roman" w:cs="Times New Roman"/>
                      <w:color w:val="auto"/>
                      <w:spacing w:val="13"/>
                      <w:sz w:val="21"/>
                      <w:szCs w:val="21"/>
                    </w:rPr>
                  </w:pPr>
                </w:p>
              </w:tc>
              <w:tc>
                <w:tcPr>
                  <w:tcW w:w="3986" w:type="dxa"/>
                  <w:gridSpan w:val="4"/>
                  <w:tcBorders>
                    <w:top w:val="single" w:sz="2" w:space="0" w:color="000000"/>
                    <w:left w:val="single" w:sz="2" w:space="0" w:color="000000"/>
                    <w:bottom w:val="single" w:sz="2" w:space="0" w:color="000000"/>
                    <w:right w:val="single" w:sz="2" w:space="0" w:color="000000"/>
                  </w:tcBorders>
                  <w:vAlign w:val="center"/>
                </w:tcPr>
                <w:p w14:paraId="5775FCC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）协同处置企业应对各个产废单位的相关信息进行定期的统计分析，评估其管理的能力和固体废物的稳定性，并根据评估情况适</w:t>
                  </w:r>
                  <w:r>
                    <w:rPr>
                      <w:rFonts w:ascii="Times New Roman" w:hAnsi="Times New Roman" w:cs="Times New Roman"/>
                      <w:color w:val="auto"/>
                      <w:spacing w:val="8"/>
                      <w:sz w:val="21"/>
                      <w:szCs w:val="21"/>
                    </w:rPr>
                    <w:t>当减少检验频次。</w:t>
                  </w:r>
                </w:p>
              </w:tc>
              <w:tc>
                <w:tcPr>
                  <w:tcW w:w="3306" w:type="dxa"/>
                  <w:vMerge/>
                  <w:tcBorders>
                    <w:left w:val="single" w:sz="2" w:space="0" w:color="000000"/>
                    <w:right w:val="single" w:sz="2" w:space="0" w:color="000000"/>
                  </w:tcBorders>
                  <w:vAlign w:val="center"/>
                </w:tcPr>
                <w:p w14:paraId="646FCF09"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0667D90" w14:textId="77777777" w:rsidR="00F76A63" w:rsidRDefault="00F76A63">
                  <w:pPr>
                    <w:jc w:val="center"/>
                    <w:rPr>
                      <w:szCs w:val="21"/>
                    </w:rPr>
                  </w:pPr>
                </w:p>
              </w:tc>
            </w:tr>
            <w:tr w:rsidR="00F76A63" w14:paraId="788A6A1F" w14:textId="77777777">
              <w:trPr>
                <w:trHeight w:val="120"/>
                <w:jc w:val="center"/>
              </w:trPr>
              <w:tc>
                <w:tcPr>
                  <w:tcW w:w="625" w:type="dxa"/>
                  <w:vMerge/>
                  <w:tcBorders>
                    <w:left w:val="nil"/>
                    <w:right w:val="single" w:sz="2" w:space="0" w:color="000000"/>
                  </w:tcBorders>
                  <w:vAlign w:val="center"/>
                </w:tcPr>
                <w:p w14:paraId="7E98DCA2"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4955299D"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val="restart"/>
                  <w:tcBorders>
                    <w:top w:val="single" w:sz="2" w:space="0" w:color="000000"/>
                    <w:left w:val="single" w:sz="2" w:space="0" w:color="000000"/>
                    <w:right w:val="single" w:sz="2" w:space="0" w:color="000000"/>
                  </w:tcBorders>
                  <w:vAlign w:val="center"/>
                </w:tcPr>
                <w:p w14:paraId="632A4220"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 xml:space="preserve">6.2.3 </w:t>
                  </w:r>
                  <w:r>
                    <w:rPr>
                      <w:rFonts w:ascii="Times New Roman" w:hAnsi="Times New Roman" w:cs="Times New Roman"/>
                      <w:color w:val="auto"/>
                      <w:spacing w:val="13"/>
                      <w:sz w:val="21"/>
                      <w:szCs w:val="21"/>
                    </w:rPr>
                    <w:t>制定协同处置方案</w:t>
                  </w: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6737BA8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a</w:t>
                  </w:r>
                  <w:r>
                    <w:rPr>
                      <w:rFonts w:ascii="Times New Roman" w:hAnsi="Times New Roman" w:cs="Times New Roman"/>
                      <w:color w:val="auto"/>
                      <w:spacing w:val="13"/>
                      <w:sz w:val="21"/>
                      <w:szCs w:val="21"/>
                    </w:rPr>
                    <w:t>）以固体废物入厂后的分析检测结果为依据，制定废物协同处置方案。固体废物协同处置方案应包括废物贮存、输送、预处理和入窑协同处置技术流程、配伍和技术参数，以及安全风险和相应的安全操作提示。</w:t>
                  </w:r>
                </w:p>
              </w:tc>
              <w:tc>
                <w:tcPr>
                  <w:tcW w:w="3306" w:type="dxa"/>
                  <w:vMerge/>
                  <w:tcBorders>
                    <w:left w:val="single" w:sz="2" w:space="0" w:color="000000"/>
                    <w:right w:val="single" w:sz="2" w:space="0" w:color="000000"/>
                  </w:tcBorders>
                  <w:vAlign w:val="center"/>
                </w:tcPr>
                <w:p w14:paraId="5FFB1B3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F4FEED6" w14:textId="77777777" w:rsidR="00F76A63" w:rsidRDefault="00F76A63">
                  <w:pPr>
                    <w:jc w:val="center"/>
                    <w:rPr>
                      <w:szCs w:val="21"/>
                    </w:rPr>
                  </w:pPr>
                </w:p>
              </w:tc>
            </w:tr>
            <w:tr w:rsidR="00F76A63" w14:paraId="1F9A4A5D" w14:textId="77777777">
              <w:trPr>
                <w:trHeight w:val="80"/>
                <w:jc w:val="center"/>
              </w:trPr>
              <w:tc>
                <w:tcPr>
                  <w:tcW w:w="625" w:type="dxa"/>
                  <w:vMerge/>
                  <w:tcBorders>
                    <w:left w:val="nil"/>
                    <w:right w:val="single" w:sz="2" w:space="0" w:color="000000"/>
                  </w:tcBorders>
                  <w:vAlign w:val="center"/>
                </w:tcPr>
                <w:p w14:paraId="7116140E"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70C5365"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right w:val="single" w:sz="2" w:space="0" w:color="000000"/>
                  </w:tcBorders>
                  <w:vAlign w:val="center"/>
                </w:tcPr>
                <w:p w14:paraId="2EE842B4" w14:textId="77777777" w:rsidR="00F76A63" w:rsidRDefault="00F76A63">
                  <w:pPr>
                    <w:pStyle w:val="TableText"/>
                    <w:jc w:val="center"/>
                    <w:rPr>
                      <w:rFonts w:ascii="Times New Roman" w:hAnsi="Times New Roman" w:cs="Times New Roman"/>
                      <w:color w:val="auto"/>
                      <w:spacing w:val="13"/>
                      <w:sz w:val="21"/>
                      <w:szCs w:val="21"/>
                    </w:rPr>
                  </w:pPr>
                </w:p>
              </w:tc>
              <w:tc>
                <w:tcPr>
                  <w:tcW w:w="1630" w:type="dxa"/>
                  <w:gridSpan w:val="2"/>
                  <w:vMerge w:val="restart"/>
                  <w:tcBorders>
                    <w:top w:val="single" w:sz="2" w:space="0" w:color="000000"/>
                    <w:left w:val="single" w:sz="2" w:space="0" w:color="000000"/>
                    <w:right w:val="single" w:sz="2" w:space="0" w:color="000000"/>
                  </w:tcBorders>
                  <w:vAlign w:val="center"/>
                </w:tcPr>
                <w:p w14:paraId="1F53B45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）制定协同处置方案时应注意以下关键环节：</w:t>
                  </w:r>
                </w:p>
              </w:tc>
              <w:tc>
                <w:tcPr>
                  <w:tcW w:w="1631" w:type="dxa"/>
                  <w:tcBorders>
                    <w:top w:val="single" w:sz="2" w:space="0" w:color="000000"/>
                    <w:left w:val="single" w:sz="2" w:space="0" w:color="000000"/>
                    <w:bottom w:val="single" w:sz="2" w:space="0" w:color="000000"/>
                    <w:right w:val="single" w:sz="2" w:space="0" w:color="000000"/>
                  </w:tcBorders>
                  <w:vAlign w:val="center"/>
                </w:tcPr>
                <w:p w14:paraId="693ACD0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1)</w:t>
                  </w:r>
                  <w:r>
                    <w:rPr>
                      <w:rFonts w:ascii="Times New Roman" w:hAnsi="Times New Roman" w:cs="Times New Roman"/>
                      <w:color w:val="auto"/>
                      <w:spacing w:val="12"/>
                      <w:sz w:val="21"/>
                      <w:szCs w:val="21"/>
                    </w:rPr>
                    <w:t>按固体废物特性进行分类，不同固体废物在预</w:t>
                  </w:r>
                  <w:r>
                    <w:rPr>
                      <w:rFonts w:ascii="Times New Roman" w:hAnsi="Times New Roman" w:cs="Times New Roman"/>
                      <w:color w:val="auto"/>
                      <w:spacing w:val="13"/>
                      <w:sz w:val="21"/>
                      <w:szCs w:val="21"/>
                    </w:rPr>
                    <w:t>处理的混合、搅拌过程中，确保不发生导致急剧</w:t>
                  </w:r>
                  <w:r>
                    <w:rPr>
                      <w:rFonts w:ascii="Times New Roman" w:hAnsi="Times New Roman" w:cs="Times New Roman"/>
                      <w:color w:val="auto"/>
                      <w:spacing w:val="18"/>
                      <w:sz w:val="21"/>
                      <w:szCs w:val="21"/>
                    </w:rPr>
                    <w:t>增温、爆炸、燃烧的化学反应，不产生有害气</w:t>
                  </w:r>
                  <w:r>
                    <w:rPr>
                      <w:rFonts w:ascii="Times New Roman" w:hAnsi="Times New Roman" w:cs="Times New Roman"/>
                      <w:color w:val="auto"/>
                      <w:spacing w:val="12"/>
                      <w:sz w:val="21"/>
                      <w:szCs w:val="21"/>
                    </w:rPr>
                    <w:t>体，禁止将不相容的废物进行混合。</w:t>
                  </w:r>
                </w:p>
              </w:tc>
              <w:tc>
                <w:tcPr>
                  <w:tcW w:w="3306" w:type="dxa"/>
                  <w:vMerge/>
                  <w:tcBorders>
                    <w:left w:val="single" w:sz="2" w:space="0" w:color="000000"/>
                    <w:right w:val="single" w:sz="2" w:space="0" w:color="000000"/>
                  </w:tcBorders>
                  <w:vAlign w:val="center"/>
                </w:tcPr>
                <w:p w14:paraId="0FD8EB80"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FCF5270" w14:textId="77777777" w:rsidR="00F76A63" w:rsidRDefault="00F76A63">
                  <w:pPr>
                    <w:jc w:val="center"/>
                    <w:rPr>
                      <w:szCs w:val="21"/>
                    </w:rPr>
                  </w:pPr>
                </w:p>
              </w:tc>
            </w:tr>
            <w:tr w:rsidR="00F76A63" w14:paraId="45664781" w14:textId="77777777">
              <w:trPr>
                <w:trHeight w:val="80"/>
                <w:jc w:val="center"/>
              </w:trPr>
              <w:tc>
                <w:tcPr>
                  <w:tcW w:w="625" w:type="dxa"/>
                  <w:vMerge/>
                  <w:tcBorders>
                    <w:left w:val="nil"/>
                    <w:right w:val="single" w:sz="2" w:space="0" w:color="000000"/>
                  </w:tcBorders>
                  <w:vAlign w:val="center"/>
                </w:tcPr>
                <w:p w14:paraId="7D2383AF"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67FCFBA"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right w:val="single" w:sz="2" w:space="0" w:color="000000"/>
                  </w:tcBorders>
                  <w:vAlign w:val="center"/>
                </w:tcPr>
                <w:p w14:paraId="0050F5DB" w14:textId="77777777" w:rsidR="00F76A63" w:rsidRDefault="00F76A63">
                  <w:pPr>
                    <w:pStyle w:val="TableText"/>
                    <w:jc w:val="center"/>
                    <w:rPr>
                      <w:rFonts w:ascii="Times New Roman" w:hAnsi="Times New Roman" w:cs="Times New Roman"/>
                      <w:color w:val="auto"/>
                      <w:spacing w:val="13"/>
                      <w:sz w:val="21"/>
                      <w:szCs w:val="21"/>
                    </w:rPr>
                  </w:pPr>
                </w:p>
              </w:tc>
              <w:tc>
                <w:tcPr>
                  <w:tcW w:w="1630" w:type="dxa"/>
                  <w:gridSpan w:val="2"/>
                  <w:vMerge/>
                  <w:tcBorders>
                    <w:left w:val="single" w:sz="2" w:space="0" w:color="000000"/>
                    <w:right w:val="single" w:sz="2" w:space="0" w:color="000000"/>
                  </w:tcBorders>
                  <w:vAlign w:val="center"/>
                </w:tcPr>
                <w:p w14:paraId="3CF47986" w14:textId="77777777" w:rsidR="00F76A63" w:rsidRDefault="00F76A63">
                  <w:pPr>
                    <w:pStyle w:val="TableText"/>
                    <w:jc w:val="center"/>
                    <w:rPr>
                      <w:rFonts w:ascii="Times New Roman" w:hAnsi="Times New Roman" w:cs="Times New Roman"/>
                      <w:color w:val="auto"/>
                      <w:spacing w:val="13"/>
                      <w:sz w:val="21"/>
                      <w:szCs w:val="21"/>
                    </w:rPr>
                  </w:pPr>
                </w:p>
              </w:tc>
              <w:tc>
                <w:tcPr>
                  <w:tcW w:w="1631" w:type="dxa"/>
                  <w:tcBorders>
                    <w:top w:val="single" w:sz="2" w:space="0" w:color="000000"/>
                    <w:left w:val="single" w:sz="2" w:space="0" w:color="000000"/>
                    <w:bottom w:val="single" w:sz="2" w:space="0" w:color="000000"/>
                    <w:right w:val="single" w:sz="2" w:space="0" w:color="000000"/>
                  </w:tcBorders>
                  <w:vAlign w:val="center"/>
                </w:tcPr>
                <w:p w14:paraId="09E6CE8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2)</w:t>
                  </w:r>
                  <w:r>
                    <w:rPr>
                      <w:rFonts w:ascii="Times New Roman" w:hAnsi="Times New Roman" w:cs="Times New Roman"/>
                      <w:color w:val="auto"/>
                      <w:spacing w:val="13"/>
                      <w:sz w:val="21"/>
                      <w:szCs w:val="21"/>
                    </w:rPr>
                    <w:t>固体废物及其混合物在贮存、厂内运输、</w:t>
                  </w:r>
                  <w:r>
                    <w:rPr>
                      <w:rFonts w:ascii="Times New Roman" w:hAnsi="Times New Roman" w:cs="Times New Roman"/>
                      <w:color w:val="auto"/>
                      <w:spacing w:val="12"/>
                      <w:sz w:val="21"/>
                      <w:szCs w:val="21"/>
                    </w:rPr>
                    <w:t>预处</w:t>
                  </w:r>
                  <w:r>
                    <w:rPr>
                      <w:rFonts w:ascii="Times New Roman" w:hAnsi="Times New Roman" w:cs="Times New Roman"/>
                      <w:color w:val="auto"/>
                      <w:spacing w:val="13"/>
                      <w:sz w:val="21"/>
                      <w:szCs w:val="21"/>
                    </w:rPr>
                    <w:t>理和入窑焚烧过程中不对所接触材料造成腐蚀破</w:t>
                  </w:r>
                  <w:r>
                    <w:rPr>
                      <w:rFonts w:ascii="Times New Roman" w:hAnsi="Times New Roman" w:cs="Times New Roman"/>
                      <w:color w:val="auto"/>
                      <w:sz w:val="21"/>
                      <w:szCs w:val="21"/>
                    </w:rPr>
                    <w:t>坏。</w:t>
                  </w:r>
                </w:p>
              </w:tc>
              <w:tc>
                <w:tcPr>
                  <w:tcW w:w="3306" w:type="dxa"/>
                  <w:vMerge/>
                  <w:tcBorders>
                    <w:left w:val="single" w:sz="2" w:space="0" w:color="000000"/>
                    <w:right w:val="single" w:sz="2" w:space="0" w:color="000000"/>
                  </w:tcBorders>
                  <w:vAlign w:val="center"/>
                </w:tcPr>
                <w:p w14:paraId="768E6995"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50757715" w14:textId="77777777" w:rsidR="00F76A63" w:rsidRDefault="00F76A63">
                  <w:pPr>
                    <w:jc w:val="center"/>
                    <w:rPr>
                      <w:szCs w:val="21"/>
                    </w:rPr>
                  </w:pPr>
                </w:p>
              </w:tc>
            </w:tr>
            <w:tr w:rsidR="00F76A63" w14:paraId="07ED3DA0" w14:textId="77777777">
              <w:trPr>
                <w:trHeight w:val="80"/>
                <w:jc w:val="center"/>
              </w:trPr>
              <w:tc>
                <w:tcPr>
                  <w:tcW w:w="625" w:type="dxa"/>
                  <w:vMerge/>
                  <w:tcBorders>
                    <w:left w:val="nil"/>
                    <w:right w:val="single" w:sz="2" w:space="0" w:color="000000"/>
                  </w:tcBorders>
                  <w:vAlign w:val="center"/>
                </w:tcPr>
                <w:p w14:paraId="7FD208C2"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37A70612"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bottom w:val="single" w:sz="2" w:space="0" w:color="000000"/>
                    <w:right w:val="single" w:sz="2" w:space="0" w:color="000000"/>
                  </w:tcBorders>
                  <w:vAlign w:val="center"/>
                </w:tcPr>
                <w:p w14:paraId="1DA0A34D" w14:textId="77777777" w:rsidR="00F76A63" w:rsidRDefault="00F76A63">
                  <w:pPr>
                    <w:pStyle w:val="TableText"/>
                    <w:jc w:val="center"/>
                    <w:rPr>
                      <w:rFonts w:ascii="Times New Roman" w:hAnsi="Times New Roman" w:cs="Times New Roman"/>
                      <w:color w:val="auto"/>
                      <w:spacing w:val="13"/>
                      <w:sz w:val="21"/>
                      <w:szCs w:val="21"/>
                    </w:rPr>
                  </w:pPr>
                </w:p>
              </w:tc>
              <w:tc>
                <w:tcPr>
                  <w:tcW w:w="1630" w:type="dxa"/>
                  <w:gridSpan w:val="2"/>
                  <w:vMerge/>
                  <w:tcBorders>
                    <w:left w:val="single" w:sz="2" w:space="0" w:color="000000"/>
                    <w:bottom w:val="single" w:sz="2" w:space="0" w:color="000000"/>
                    <w:right w:val="single" w:sz="2" w:space="0" w:color="000000"/>
                  </w:tcBorders>
                  <w:vAlign w:val="center"/>
                </w:tcPr>
                <w:p w14:paraId="36A594BE" w14:textId="77777777" w:rsidR="00F76A63" w:rsidRDefault="00F76A63">
                  <w:pPr>
                    <w:pStyle w:val="TableText"/>
                    <w:jc w:val="center"/>
                    <w:rPr>
                      <w:rFonts w:ascii="Times New Roman" w:hAnsi="Times New Roman" w:cs="Times New Roman"/>
                      <w:color w:val="auto"/>
                      <w:spacing w:val="13"/>
                      <w:sz w:val="21"/>
                      <w:szCs w:val="21"/>
                    </w:rPr>
                  </w:pPr>
                </w:p>
              </w:tc>
              <w:tc>
                <w:tcPr>
                  <w:tcW w:w="1631" w:type="dxa"/>
                  <w:tcBorders>
                    <w:top w:val="single" w:sz="2" w:space="0" w:color="000000"/>
                    <w:left w:val="single" w:sz="2" w:space="0" w:color="000000"/>
                    <w:bottom w:val="single" w:sz="2" w:space="0" w:color="000000"/>
                    <w:right w:val="single" w:sz="2" w:space="0" w:color="000000"/>
                  </w:tcBorders>
                  <w:vAlign w:val="center"/>
                </w:tcPr>
                <w:p w14:paraId="094819B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3)</w:t>
                  </w:r>
                  <w:r>
                    <w:rPr>
                      <w:rFonts w:ascii="Times New Roman" w:hAnsi="Times New Roman" w:cs="Times New Roman"/>
                      <w:color w:val="auto"/>
                      <w:spacing w:val="12"/>
                      <w:sz w:val="21"/>
                      <w:szCs w:val="21"/>
                    </w:rPr>
                    <w:t>入窑固体废物中有害物质的含量和投加速率满</w:t>
                  </w:r>
                  <w:r>
                    <w:rPr>
                      <w:rFonts w:ascii="Times New Roman" w:hAnsi="Times New Roman" w:cs="Times New Roman"/>
                      <w:color w:val="auto"/>
                      <w:spacing w:val="13"/>
                      <w:sz w:val="21"/>
                      <w:szCs w:val="21"/>
                    </w:rPr>
                    <w:t>足本规范相关要求，防止对水泥生产和水泥质量</w:t>
                  </w:r>
                  <w:r>
                    <w:rPr>
                      <w:rFonts w:ascii="Times New Roman" w:hAnsi="Times New Roman" w:cs="Times New Roman"/>
                      <w:color w:val="auto"/>
                      <w:spacing w:val="10"/>
                      <w:sz w:val="21"/>
                      <w:szCs w:val="21"/>
                    </w:rPr>
                    <w:t>造成不利影响。</w:t>
                  </w:r>
                </w:p>
              </w:tc>
              <w:tc>
                <w:tcPr>
                  <w:tcW w:w="3306" w:type="dxa"/>
                  <w:vMerge/>
                  <w:tcBorders>
                    <w:left w:val="single" w:sz="2" w:space="0" w:color="000000"/>
                    <w:right w:val="single" w:sz="2" w:space="0" w:color="000000"/>
                  </w:tcBorders>
                  <w:vAlign w:val="center"/>
                </w:tcPr>
                <w:p w14:paraId="2E0F290B"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16A6613E" w14:textId="77777777" w:rsidR="00F76A63" w:rsidRDefault="00F76A63">
                  <w:pPr>
                    <w:jc w:val="center"/>
                    <w:rPr>
                      <w:szCs w:val="21"/>
                    </w:rPr>
                  </w:pPr>
                </w:p>
              </w:tc>
            </w:tr>
            <w:tr w:rsidR="00F76A63" w14:paraId="2CC410A7" w14:textId="77777777">
              <w:trPr>
                <w:trHeight w:val="206"/>
                <w:jc w:val="center"/>
              </w:trPr>
              <w:tc>
                <w:tcPr>
                  <w:tcW w:w="625" w:type="dxa"/>
                  <w:vMerge/>
                  <w:tcBorders>
                    <w:left w:val="nil"/>
                    <w:right w:val="single" w:sz="2" w:space="0" w:color="000000"/>
                  </w:tcBorders>
                  <w:vAlign w:val="center"/>
                </w:tcPr>
                <w:p w14:paraId="3361DC26"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4C475A0C"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85659B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 xml:space="preserve">6.2.4 </w:t>
                  </w:r>
                  <w:r>
                    <w:rPr>
                      <w:rFonts w:ascii="Times New Roman" w:hAnsi="Times New Roman" w:cs="Times New Roman"/>
                      <w:color w:val="auto"/>
                      <w:spacing w:val="13"/>
                      <w:sz w:val="21"/>
                      <w:szCs w:val="21"/>
                    </w:rPr>
                    <w:t>固体废物入厂检查和检验结果应该记录备案，与固体废物协同处置方案共同入档保存。入厂检查和检验结果记录及固体废物协同处置方案的保存时间不应低于</w:t>
                  </w:r>
                  <w:r>
                    <w:rPr>
                      <w:rFonts w:ascii="Times New Roman" w:hAnsi="Times New Roman" w:cs="Times New Roman"/>
                      <w:color w:val="auto"/>
                      <w:spacing w:val="13"/>
                      <w:sz w:val="21"/>
                      <w:szCs w:val="21"/>
                    </w:rPr>
                    <w:t>3</w:t>
                  </w:r>
                  <w:r>
                    <w:rPr>
                      <w:rFonts w:ascii="Times New Roman" w:hAnsi="Times New Roman" w:cs="Times New Roman"/>
                      <w:color w:val="auto"/>
                      <w:spacing w:val="13"/>
                      <w:sz w:val="21"/>
                      <w:szCs w:val="21"/>
                    </w:rPr>
                    <w:t>年。</w:t>
                  </w:r>
                </w:p>
              </w:tc>
              <w:tc>
                <w:tcPr>
                  <w:tcW w:w="3306" w:type="dxa"/>
                  <w:vMerge/>
                  <w:tcBorders>
                    <w:left w:val="single" w:sz="2" w:space="0" w:color="000000"/>
                    <w:bottom w:val="single" w:sz="2" w:space="0" w:color="000000"/>
                    <w:right w:val="single" w:sz="2" w:space="0" w:color="000000"/>
                  </w:tcBorders>
                  <w:vAlign w:val="center"/>
                </w:tcPr>
                <w:p w14:paraId="53BBEB9D"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6B4AB9BA" w14:textId="77777777" w:rsidR="00F76A63" w:rsidRDefault="00F76A63">
                  <w:pPr>
                    <w:jc w:val="center"/>
                    <w:rPr>
                      <w:szCs w:val="21"/>
                    </w:rPr>
                  </w:pPr>
                </w:p>
              </w:tc>
            </w:tr>
            <w:tr w:rsidR="00F76A63" w14:paraId="119ED3D3" w14:textId="77777777">
              <w:trPr>
                <w:trHeight w:val="234"/>
                <w:jc w:val="center"/>
              </w:trPr>
              <w:tc>
                <w:tcPr>
                  <w:tcW w:w="625" w:type="dxa"/>
                  <w:vMerge/>
                  <w:tcBorders>
                    <w:left w:val="nil"/>
                    <w:right w:val="single" w:sz="2" w:space="0" w:color="000000"/>
                  </w:tcBorders>
                  <w:vAlign w:val="center"/>
                </w:tcPr>
                <w:p w14:paraId="78BFA8B6"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6BB84A59"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6.3 </w:t>
                  </w:r>
                  <w:r>
                    <w:rPr>
                      <w:rFonts w:ascii="Times New Roman" w:hAnsi="Times New Roman" w:cs="Times New Roman"/>
                      <w:color w:val="auto"/>
                      <w:spacing w:val="3"/>
                      <w:sz w:val="21"/>
                      <w:szCs w:val="21"/>
                    </w:rPr>
                    <w:t>废物贮存的技术要求</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8091878"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6.3.1</w:t>
                  </w:r>
                  <w:r>
                    <w:rPr>
                      <w:rFonts w:ascii="Times New Roman" w:hAnsi="Times New Roman" w:cs="Times New Roman"/>
                      <w:color w:val="auto"/>
                      <w:spacing w:val="42"/>
                      <w:sz w:val="21"/>
                      <w:szCs w:val="21"/>
                    </w:rPr>
                    <w:t xml:space="preserve"> </w:t>
                  </w:r>
                  <w:r>
                    <w:rPr>
                      <w:rFonts w:ascii="Times New Roman" w:hAnsi="Times New Roman" w:cs="Times New Roman"/>
                      <w:color w:val="auto"/>
                      <w:spacing w:val="11"/>
                      <w:sz w:val="21"/>
                      <w:szCs w:val="21"/>
                    </w:rPr>
                    <w:t>固体废物应与水泥厂常规原料、</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1"/>
                      <w:sz w:val="21"/>
                      <w:szCs w:val="21"/>
                    </w:rPr>
                    <w:t>燃</w:t>
                  </w:r>
                  <w:r>
                    <w:rPr>
                      <w:rFonts w:ascii="Times New Roman" w:hAnsi="Times New Roman" w:cs="Times New Roman"/>
                      <w:color w:val="auto"/>
                      <w:spacing w:val="10"/>
                      <w:sz w:val="21"/>
                      <w:szCs w:val="21"/>
                    </w:rPr>
                    <w:t>料和产品分开贮存，禁止共用同一贮存</w:t>
                  </w:r>
                  <w:r>
                    <w:rPr>
                      <w:rFonts w:ascii="Times New Roman" w:hAnsi="Times New Roman" w:cs="Times New Roman"/>
                      <w:color w:val="auto"/>
                      <w:spacing w:val="3"/>
                      <w:sz w:val="21"/>
                      <w:szCs w:val="21"/>
                    </w:rPr>
                    <w:t>设施。</w:t>
                  </w:r>
                </w:p>
              </w:tc>
              <w:tc>
                <w:tcPr>
                  <w:tcW w:w="3306" w:type="dxa"/>
                  <w:vMerge w:val="restart"/>
                  <w:tcBorders>
                    <w:top w:val="single" w:sz="2" w:space="0" w:color="000000"/>
                    <w:left w:val="single" w:sz="2" w:space="0" w:color="000000"/>
                    <w:right w:val="single" w:sz="2" w:space="0" w:color="000000"/>
                  </w:tcBorders>
                  <w:vAlign w:val="center"/>
                </w:tcPr>
                <w:p w14:paraId="2FFC68DE"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1</w:t>
                  </w:r>
                  <w:r>
                    <w:rPr>
                      <w:rFonts w:ascii="Times New Roman" w:hAnsi="Times New Roman" w:cs="Times New Roman"/>
                      <w:color w:val="auto"/>
                      <w:spacing w:val="10"/>
                      <w:sz w:val="21"/>
                      <w:szCs w:val="21"/>
                    </w:rPr>
                    <w:t>、本项目协同处置的污染土及污泥设置独立的贮存库</w:t>
                  </w:r>
                  <w:r>
                    <w:rPr>
                      <w:rFonts w:ascii="Times New Roman" w:hAnsi="Times New Roman" w:cs="Times New Roman" w:hint="eastAsia"/>
                      <w:color w:val="auto"/>
                      <w:spacing w:val="10"/>
                      <w:sz w:val="21"/>
                      <w:szCs w:val="21"/>
                    </w:rPr>
                    <w:t>并</w:t>
                  </w:r>
                  <w:r>
                    <w:rPr>
                      <w:rFonts w:ascii="Times New Roman" w:hAnsi="Times New Roman" w:cs="Times New Roman"/>
                      <w:color w:val="auto"/>
                      <w:spacing w:val="10"/>
                      <w:sz w:val="21"/>
                      <w:szCs w:val="21"/>
                    </w:rPr>
                    <w:t>按规范贮存。</w:t>
                  </w:r>
                </w:p>
                <w:p w14:paraId="014FEC1C"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2</w:t>
                  </w:r>
                  <w:r>
                    <w:rPr>
                      <w:rFonts w:ascii="Times New Roman" w:hAnsi="Times New Roman" w:cs="Times New Roman"/>
                      <w:color w:val="auto"/>
                      <w:spacing w:val="10"/>
                      <w:sz w:val="21"/>
                      <w:szCs w:val="21"/>
                    </w:rPr>
                    <w:t>、本项目不接收危险废物。</w:t>
                  </w:r>
                </w:p>
              </w:tc>
              <w:tc>
                <w:tcPr>
                  <w:tcW w:w="789" w:type="dxa"/>
                  <w:vMerge w:val="restart"/>
                  <w:tcBorders>
                    <w:top w:val="single" w:sz="2" w:space="0" w:color="000000"/>
                    <w:left w:val="single" w:sz="2" w:space="0" w:color="000000"/>
                    <w:right w:val="nil"/>
                  </w:tcBorders>
                  <w:vAlign w:val="center"/>
                </w:tcPr>
                <w:p w14:paraId="7221B161" w14:textId="77777777" w:rsidR="00F76A63" w:rsidRDefault="00000000">
                  <w:pPr>
                    <w:jc w:val="center"/>
                    <w:rPr>
                      <w:szCs w:val="21"/>
                    </w:rPr>
                  </w:pPr>
                  <w:r>
                    <w:rPr>
                      <w:szCs w:val="21"/>
                    </w:rPr>
                    <w:t>符合</w:t>
                  </w:r>
                </w:p>
              </w:tc>
            </w:tr>
            <w:tr w:rsidR="00F76A63" w14:paraId="20F4C378" w14:textId="77777777">
              <w:trPr>
                <w:trHeight w:val="232"/>
                <w:jc w:val="center"/>
              </w:trPr>
              <w:tc>
                <w:tcPr>
                  <w:tcW w:w="625" w:type="dxa"/>
                  <w:vMerge/>
                  <w:tcBorders>
                    <w:left w:val="nil"/>
                    <w:right w:val="single" w:sz="2" w:space="0" w:color="000000"/>
                  </w:tcBorders>
                  <w:vAlign w:val="center"/>
                </w:tcPr>
                <w:p w14:paraId="1530EECA"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1458A83"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3DF6FE0"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6.3.2</w:t>
                  </w:r>
                  <w:r>
                    <w:rPr>
                      <w:rFonts w:ascii="Times New Roman" w:hAnsi="Times New Roman" w:cs="Times New Roman"/>
                      <w:color w:val="auto"/>
                      <w:spacing w:val="31"/>
                      <w:sz w:val="21"/>
                      <w:szCs w:val="21"/>
                    </w:rPr>
                    <w:t xml:space="preserve"> </w:t>
                  </w:r>
                  <w:r>
                    <w:rPr>
                      <w:rFonts w:ascii="Times New Roman" w:hAnsi="Times New Roman" w:cs="Times New Roman"/>
                      <w:color w:val="auto"/>
                      <w:spacing w:val="11"/>
                      <w:sz w:val="21"/>
                      <w:szCs w:val="21"/>
                    </w:rPr>
                    <w:t>在液态废物贮存区应设置足够数量的砂土等吸附物质，</w:t>
                  </w:r>
                  <w:r>
                    <w:rPr>
                      <w:rFonts w:ascii="Times New Roman" w:hAnsi="Times New Roman" w:cs="Times New Roman"/>
                      <w:color w:val="auto"/>
                      <w:spacing w:val="-57"/>
                      <w:sz w:val="21"/>
                      <w:szCs w:val="21"/>
                    </w:rPr>
                    <w:t xml:space="preserve"> </w:t>
                  </w:r>
                  <w:r>
                    <w:rPr>
                      <w:rFonts w:ascii="Times New Roman" w:hAnsi="Times New Roman" w:cs="Times New Roman"/>
                      <w:color w:val="auto"/>
                      <w:spacing w:val="11"/>
                      <w:sz w:val="21"/>
                      <w:szCs w:val="21"/>
                    </w:rPr>
                    <w:t>以用于液态废物泄漏</w:t>
                  </w:r>
                  <w:r>
                    <w:rPr>
                      <w:rFonts w:ascii="Times New Roman" w:hAnsi="Times New Roman" w:cs="Times New Roman"/>
                      <w:color w:val="auto"/>
                      <w:spacing w:val="13"/>
                      <w:sz w:val="21"/>
                      <w:szCs w:val="21"/>
                    </w:rPr>
                    <w:t>后阻止其向外溢出。吸附危险废物后的吸附物质应作为危险废物进行管理和处</w:t>
                  </w:r>
                  <w:r>
                    <w:rPr>
                      <w:rFonts w:ascii="Times New Roman" w:hAnsi="Times New Roman" w:cs="Times New Roman"/>
                      <w:color w:val="auto"/>
                      <w:spacing w:val="1"/>
                      <w:sz w:val="21"/>
                      <w:szCs w:val="21"/>
                    </w:rPr>
                    <w:t>置。</w:t>
                  </w:r>
                </w:p>
              </w:tc>
              <w:tc>
                <w:tcPr>
                  <w:tcW w:w="3306" w:type="dxa"/>
                  <w:vMerge/>
                  <w:tcBorders>
                    <w:left w:val="single" w:sz="2" w:space="0" w:color="000000"/>
                    <w:right w:val="single" w:sz="2" w:space="0" w:color="000000"/>
                  </w:tcBorders>
                  <w:vAlign w:val="center"/>
                </w:tcPr>
                <w:p w14:paraId="1DD3A544"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5B77E0B7" w14:textId="77777777" w:rsidR="00F76A63" w:rsidRDefault="00F76A63">
                  <w:pPr>
                    <w:jc w:val="center"/>
                    <w:rPr>
                      <w:szCs w:val="21"/>
                    </w:rPr>
                  </w:pPr>
                </w:p>
              </w:tc>
            </w:tr>
            <w:tr w:rsidR="00F76A63" w14:paraId="71FBE256" w14:textId="77777777">
              <w:trPr>
                <w:trHeight w:val="232"/>
                <w:jc w:val="center"/>
              </w:trPr>
              <w:tc>
                <w:tcPr>
                  <w:tcW w:w="625" w:type="dxa"/>
                  <w:vMerge/>
                  <w:tcBorders>
                    <w:left w:val="nil"/>
                    <w:right w:val="single" w:sz="2" w:space="0" w:color="000000"/>
                  </w:tcBorders>
                  <w:vAlign w:val="center"/>
                </w:tcPr>
                <w:p w14:paraId="68FB9727"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6E294B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D706A15"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6.3.3</w:t>
                  </w:r>
                  <w:r>
                    <w:rPr>
                      <w:rFonts w:ascii="Times New Roman" w:hAnsi="Times New Roman" w:cs="Times New Roman"/>
                      <w:color w:val="auto"/>
                      <w:spacing w:val="32"/>
                      <w:sz w:val="21"/>
                      <w:szCs w:val="21"/>
                    </w:rPr>
                    <w:t xml:space="preserve"> </w:t>
                  </w:r>
                  <w:r>
                    <w:rPr>
                      <w:rFonts w:ascii="Times New Roman" w:hAnsi="Times New Roman" w:cs="Times New Roman"/>
                      <w:color w:val="auto"/>
                      <w:spacing w:val="10"/>
                      <w:sz w:val="21"/>
                      <w:szCs w:val="21"/>
                    </w:rPr>
                    <w:t>危险废物贮存设施的操作运行和管理应满足</w:t>
                  </w:r>
                  <w:r>
                    <w:rPr>
                      <w:rFonts w:ascii="Times New Roman" w:hAnsi="Times New Roman" w:cs="Times New Roman"/>
                      <w:color w:val="auto"/>
                      <w:sz w:val="21"/>
                      <w:szCs w:val="21"/>
                    </w:rPr>
                    <w:t>GB</w:t>
                  </w:r>
                  <w:r>
                    <w:rPr>
                      <w:rFonts w:ascii="Times New Roman" w:hAnsi="Times New Roman" w:cs="Times New Roman"/>
                      <w:color w:val="auto"/>
                      <w:spacing w:val="10"/>
                      <w:sz w:val="21"/>
                      <w:szCs w:val="21"/>
                    </w:rPr>
                    <w:t>18597</w:t>
                  </w:r>
                  <w:r>
                    <w:rPr>
                      <w:rFonts w:ascii="Times New Roman" w:hAnsi="Times New Roman" w:cs="Times New Roman"/>
                      <w:color w:val="auto"/>
                      <w:spacing w:val="10"/>
                      <w:sz w:val="21"/>
                      <w:szCs w:val="21"/>
                    </w:rPr>
                    <w:t>和</w:t>
                  </w:r>
                  <w:r>
                    <w:rPr>
                      <w:rFonts w:ascii="Times New Roman" w:hAnsi="Times New Roman" w:cs="Times New Roman"/>
                      <w:color w:val="auto"/>
                      <w:spacing w:val="-37"/>
                      <w:sz w:val="21"/>
                      <w:szCs w:val="21"/>
                    </w:rPr>
                    <w:t xml:space="preserve"> </w:t>
                  </w:r>
                  <w:r>
                    <w:rPr>
                      <w:rFonts w:ascii="Times New Roman" w:hAnsi="Times New Roman" w:cs="Times New Roman"/>
                      <w:color w:val="auto"/>
                      <w:sz w:val="21"/>
                      <w:szCs w:val="21"/>
                    </w:rPr>
                    <w:t>HJ</w:t>
                  </w:r>
                  <w:r>
                    <w:rPr>
                      <w:rFonts w:ascii="Times New Roman" w:hAnsi="Times New Roman" w:cs="Times New Roman"/>
                      <w:color w:val="auto"/>
                      <w:spacing w:val="10"/>
                      <w:sz w:val="21"/>
                      <w:szCs w:val="21"/>
                    </w:rPr>
                    <w:t>/T176</w:t>
                  </w:r>
                  <w:r>
                    <w:rPr>
                      <w:rFonts w:ascii="Times New Roman" w:hAnsi="Times New Roman" w:cs="Times New Roman"/>
                      <w:color w:val="auto"/>
                      <w:spacing w:val="10"/>
                      <w:sz w:val="21"/>
                      <w:szCs w:val="21"/>
                    </w:rPr>
                    <w:t>中的相关</w:t>
                  </w:r>
                  <w:r>
                    <w:rPr>
                      <w:rFonts w:ascii="Times New Roman" w:hAnsi="Times New Roman" w:cs="Times New Roman"/>
                      <w:color w:val="auto"/>
                      <w:spacing w:val="4"/>
                      <w:sz w:val="21"/>
                      <w:szCs w:val="21"/>
                    </w:rPr>
                    <w:t>要求。</w:t>
                  </w:r>
                </w:p>
              </w:tc>
              <w:tc>
                <w:tcPr>
                  <w:tcW w:w="3306" w:type="dxa"/>
                  <w:vMerge/>
                  <w:tcBorders>
                    <w:left w:val="single" w:sz="2" w:space="0" w:color="000000"/>
                    <w:right w:val="single" w:sz="2" w:space="0" w:color="000000"/>
                  </w:tcBorders>
                  <w:vAlign w:val="center"/>
                </w:tcPr>
                <w:p w14:paraId="2CA2582F"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6B1DD186" w14:textId="77777777" w:rsidR="00F76A63" w:rsidRDefault="00F76A63">
                  <w:pPr>
                    <w:jc w:val="center"/>
                    <w:rPr>
                      <w:szCs w:val="21"/>
                    </w:rPr>
                  </w:pPr>
                </w:p>
              </w:tc>
            </w:tr>
            <w:tr w:rsidR="00F76A63" w14:paraId="4FAE3378" w14:textId="77777777">
              <w:trPr>
                <w:trHeight w:val="232"/>
                <w:jc w:val="center"/>
              </w:trPr>
              <w:tc>
                <w:tcPr>
                  <w:tcW w:w="625" w:type="dxa"/>
                  <w:vMerge/>
                  <w:tcBorders>
                    <w:left w:val="nil"/>
                    <w:right w:val="single" w:sz="2" w:space="0" w:color="000000"/>
                  </w:tcBorders>
                  <w:vAlign w:val="center"/>
                </w:tcPr>
                <w:p w14:paraId="6726E35E"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59ED7D2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6E7A34E"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8"/>
                      <w:sz w:val="21"/>
                      <w:szCs w:val="21"/>
                    </w:rPr>
                    <w:t>6.3.4</w:t>
                  </w:r>
                  <w:r>
                    <w:rPr>
                      <w:rFonts w:ascii="Times New Roman" w:hAnsi="Times New Roman" w:cs="Times New Roman"/>
                      <w:color w:val="auto"/>
                      <w:spacing w:val="37"/>
                      <w:sz w:val="21"/>
                      <w:szCs w:val="21"/>
                    </w:rPr>
                    <w:t xml:space="preserve"> </w:t>
                  </w:r>
                  <w:r>
                    <w:rPr>
                      <w:rFonts w:ascii="Times New Roman" w:hAnsi="Times New Roman" w:cs="Times New Roman"/>
                      <w:color w:val="auto"/>
                      <w:spacing w:val="8"/>
                      <w:sz w:val="21"/>
                      <w:szCs w:val="21"/>
                    </w:rPr>
                    <w:t>不明性质废物的暂存时间不得超过</w:t>
                  </w:r>
                  <w:r>
                    <w:rPr>
                      <w:rFonts w:ascii="Times New Roman" w:hAnsi="Times New Roman" w:cs="Times New Roman"/>
                      <w:color w:val="auto"/>
                      <w:spacing w:val="8"/>
                      <w:sz w:val="21"/>
                      <w:szCs w:val="21"/>
                    </w:rPr>
                    <w:t>1</w:t>
                  </w:r>
                  <w:r>
                    <w:rPr>
                      <w:rFonts w:ascii="Times New Roman" w:hAnsi="Times New Roman" w:cs="Times New Roman"/>
                      <w:color w:val="auto"/>
                      <w:spacing w:val="8"/>
                      <w:sz w:val="21"/>
                      <w:szCs w:val="21"/>
                    </w:rPr>
                    <w:t>周。</w:t>
                  </w:r>
                </w:p>
              </w:tc>
              <w:tc>
                <w:tcPr>
                  <w:tcW w:w="3306" w:type="dxa"/>
                  <w:vMerge/>
                  <w:tcBorders>
                    <w:left w:val="single" w:sz="2" w:space="0" w:color="000000"/>
                    <w:bottom w:val="single" w:sz="2" w:space="0" w:color="000000"/>
                    <w:right w:val="single" w:sz="2" w:space="0" w:color="000000"/>
                  </w:tcBorders>
                  <w:vAlign w:val="center"/>
                </w:tcPr>
                <w:p w14:paraId="7F70A22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1F09A290" w14:textId="77777777" w:rsidR="00F76A63" w:rsidRDefault="00F76A63">
                  <w:pPr>
                    <w:jc w:val="center"/>
                    <w:rPr>
                      <w:szCs w:val="21"/>
                    </w:rPr>
                  </w:pPr>
                </w:p>
              </w:tc>
            </w:tr>
            <w:tr w:rsidR="00F76A63" w14:paraId="1119B2D6" w14:textId="77777777">
              <w:trPr>
                <w:trHeight w:val="155"/>
                <w:jc w:val="center"/>
              </w:trPr>
              <w:tc>
                <w:tcPr>
                  <w:tcW w:w="625" w:type="dxa"/>
                  <w:vMerge/>
                  <w:tcBorders>
                    <w:left w:val="nil"/>
                    <w:right w:val="single" w:sz="2" w:space="0" w:color="000000"/>
                  </w:tcBorders>
                  <w:vAlign w:val="center"/>
                </w:tcPr>
                <w:p w14:paraId="68F97588"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451ED4AC"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6.4 </w:t>
                  </w:r>
                  <w:r>
                    <w:rPr>
                      <w:rFonts w:ascii="Times New Roman" w:hAnsi="Times New Roman" w:cs="Times New Roman"/>
                      <w:color w:val="auto"/>
                      <w:spacing w:val="3"/>
                      <w:sz w:val="21"/>
                      <w:szCs w:val="21"/>
                    </w:rPr>
                    <w:t>固体废物预处理的技术要求</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AD1A46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 xml:space="preserve">6.4.1 </w:t>
                  </w:r>
                  <w:r>
                    <w:rPr>
                      <w:rFonts w:ascii="Times New Roman" w:hAnsi="Times New Roman" w:cs="Times New Roman"/>
                      <w:color w:val="auto"/>
                      <w:spacing w:val="13"/>
                      <w:sz w:val="21"/>
                      <w:szCs w:val="21"/>
                    </w:rPr>
                    <w:t>应根据入厂固体废物的特性和入窑固体废物的要求，按照固体废物协同处置方案，对固体废物进行破碎、筛分、分选、中和、沉淀、干燥、配伍、混合、搅拌、均质等预处理。</w:t>
                  </w:r>
                </w:p>
              </w:tc>
              <w:tc>
                <w:tcPr>
                  <w:tcW w:w="3306" w:type="dxa"/>
                  <w:vMerge w:val="restart"/>
                  <w:tcBorders>
                    <w:top w:val="single" w:sz="2" w:space="0" w:color="000000"/>
                    <w:left w:val="single" w:sz="2" w:space="0" w:color="000000"/>
                    <w:right w:val="single" w:sz="2" w:space="0" w:color="000000"/>
                  </w:tcBorders>
                  <w:vAlign w:val="center"/>
                </w:tcPr>
                <w:p w14:paraId="679CB5B1" w14:textId="77777777" w:rsidR="00F76A63" w:rsidRDefault="00000000">
                  <w:pPr>
                    <w:pStyle w:val="TableText"/>
                    <w:jc w:val="center"/>
                    <w:rPr>
                      <w:rFonts w:ascii="Times New Roman" w:hAnsi="Times New Roman" w:cs="Times New Roman"/>
                      <w:color w:val="auto"/>
                      <w:spacing w:val="10"/>
                      <w:sz w:val="21"/>
                      <w:szCs w:val="18"/>
                    </w:rPr>
                  </w:pPr>
                  <w:r>
                    <w:rPr>
                      <w:rFonts w:ascii="Times New Roman" w:hAnsi="Times New Roman" w:cs="Times New Roman"/>
                      <w:color w:val="auto"/>
                      <w:spacing w:val="10"/>
                      <w:sz w:val="21"/>
                      <w:szCs w:val="18"/>
                    </w:rPr>
                    <w:t>1</w:t>
                  </w:r>
                  <w:r>
                    <w:rPr>
                      <w:rFonts w:ascii="Times New Roman" w:hAnsi="Times New Roman" w:cs="Times New Roman"/>
                      <w:color w:val="auto"/>
                      <w:spacing w:val="10"/>
                      <w:sz w:val="21"/>
                      <w:szCs w:val="18"/>
                    </w:rPr>
                    <w:t>、本项目不涉及固废的预处理。</w:t>
                  </w:r>
                </w:p>
                <w:p w14:paraId="01F342F0" w14:textId="77777777" w:rsidR="00F76A63" w:rsidRDefault="00000000">
                  <w:pPr>
                    <w:pStyle w:val="TableText"/>
                    <w:jc w:val="center"/>
                    <w:rPr>
                      <w:rFonts w:ascii="Times New Roman" w:hAnsi="Times New Roman" w:cs="Times New Roman"/>
                      <w:color w:val="auto"/>
                      <w:spacing w:val="10"/>
                      <w:szCs w:val="21"/>
                    </w:rPr>
                  </w:pPr>
                  <w:r>
                    <w:rPr>
                      <w:rFonts w:ascii="Times New Roman" w:hAnsi="Times New Roman" w:cs="Times New Roman"/>
                      <w:color w:val="auto"/>
                      <w:spacing w:val="10"/>
                      <w:sz w:val="21"/>
                      <w:szCs w:val="18"/>
                    </w:rPr>
                    <w:t>2</w:t>
                  </w:r>
                  <w:r>
                    <w:rPr>
                      <w:rFonts w:ascii="Times New Roman" w:hAnsi="Times New Roman" w:cs="Times New Roman"/>
                      <w:color w:val="auto"/>
                      <w:spacing w:val="10"/>
                      <w:sz w:val="21"/>
                      <w:szCs w:val="18"/>
                    </w:rPr>
                    <w:t>、本项目不涉及危险废物的管理与处置</w:t>
                  </w:r>
                  <w:r>
                    <w:rPr>
                      <w:rFonts w:ascii="Times New Roman" w:hAnsi="Times New Roman" w:cs="Times New Roman"/>
                      <w:color w:val="auto"/>
                      <w:spacing w:val="10"/>
                      <w:szCs w:val="21"/>
                    </w:rPr>
                    <w:t>。</w:t>
                  </w:r>
                </w:p>
              </w:tc>
              <w:tc>
                <w:tcPr>
                  <w:tcW w:w="789" w:type="dxa"/>
                  <w:vMerge w:val="restart"/>
                  <w:tcBorders>
                    <w:top w:val="single" w:sz="2" w:space="0" w:color="000000"/>
                    <w:left w:val="single" w:sz="2" w:space="0" w:color="000000"/>
                    <w:right w:val="nil"/>
                  </w:tcBorders>
                  <w:vAlign w:val="center"/>
                </w:tcPr>
                <w:p w14:paraId="6C5B996C" w14:textId="77777777" w:rsidR="00F76A63" w:rsidRDefault="00000000">
                  <w:pPr>
                    <w:jc w:val="center"/>
                    <w:rPr>
                      <w:szCs w:val="21"/>
                    </w:rPr>
                  </w:pPr>
                  <w:r>
                    <w:rPr>
                      <w:szCs w:val="21"/>
                    </w:rPr>
                    <w:t>符合</w:t>
                  </w:r>
                </w:p>
              </w:tc>
            </w:tr>
            <w:tr w:rsidR="00F76A63" w14:paraId="0A3F4D3E" w14:textId="77777777">
              <w:trPr>
                <w:trHeight w:val="80"/>
                <w:jc w:val="center"/>
              </w:trPr>
              <w:tc>
                <w:tcPr>
                  <w:tcW w:w="625" w:type="dxa"/>
                  <w:vMerge/>
                  <w:tcBorders>
                    <w:left w:val="nil"/>
                    <w:right w:val="single" w:sz="2" w:space="0" w:color="000000"/>
                  </w:tcBorders>
                  <w:vAlign w:val="center"/>
                </w:tcPr>
                <w:p w14:paraId="21EE63D5"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1789CAC"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val="restart"/>
                  <w:tcBorders>
                    <w:top w:val="single" w:sz="2" w:space="0" w:color="000000"/>
                    <w:left w:val="single" w:sz="2" w:space="0" w:color="000000"/>
                    <w:right w:val="single" w:sz="2" w:space="0" w:color="000000"/>
                  </w:tcBorders>
                  <w:vAlign w:val="center"/>
                </w:tcPr>
                <w:p w14:paraId="1B1F5877" w14:textId="77777777" w:rsidR="00F76A63" w:rsidRDefault="00000000">
                  <w:pPr>
                    <w:pStyle w:val="TableText"/>
                    <w:jc w:val="center"/>
                    <w:rPr>
                      <w:rFonts w:ascii="Times New Roman" w:hAnsi="Times New Roman" w:cs="Times New Roman"/>
                      <w:color w:val="auto"/>
                      <w:spacing w:val="7"/>
                      <w:sz w:val="21"/>
                      <w:szCs w:val="21"/>
                    </w:rPr>
                  </w:pPr>
                  <w:r>
                    <w:rPr>
                      <w:rFonts w:ascii="Times New Roman" w:hAnsi="Times New Roman" w:cs="Times New Roman"/>
                      <w:color w:val="auto"/>
                      <w:spacing w:val="7"/>
                      <w:sz w:val="21"/>
                      <w:szCs w:val="21"/>
                    </w:rPr>
                    <w:t>6.4.2</w:t>
                  </w:r>
                  <w:r>
                    <w:rPr>
                      <w:rFonts w:ascii="Times New Roman" w:hAnsi="Times New Roman" w:cs="Times New Roman"/>
                      <w:color w:val="auto"/>
                      <w:spacing w:val="32"/>
                      <w:sz w:val="21"/>
                      <w:szCs w:val="21"/>
                    </w:rPr>
                    <w:t xml:space="preserve"> </w:t>
                  </w:r>
                  <w:r>
                    <w:rPr>
                      <w:rFonts w:ascii="Times New Roman" w:hAnsi="Times New Roman" w:cs="Times New Roman"/>
                      <w:color w:val="auto"/>
                      <w:spacing w:val="7"/>
                      <w:sz w:val="21"/>
                      <w:szCs w:val="21"/>
                    </w:rPr>
                    <w:t>预处理后的固体废物应该具备以下特性：</w:t>
                  </w: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1C9188E0"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8"/>
                      <w:sz w:val="21"/>
                      <w:szCs w:val="21"/>
                    </w:rPr>
                    <w:t>a</w:t>
                  </w:r>
                  <w:r>
                    <w:rPr>
                      <w:rFonts w:ascii="Times New Roman" w:hAnsi="Times New Roman" w:cs="Times New Roman"/>
                      <w:color w:val="auto"/>
                      <w:spacing w:val="8"/>
                      <w:sz w:val="21"/>
                      <w:szCs w:val="21"/>
                    </w:rPr>
                    <w:t>）满足本规范第</w:t>
                  </w:r>
                  <w:r>
                    <w:rPr>
                      <w:rFonts w:ascii="Times New Roman" w:hAnsi="Times New Roman" w:cs="Times New Roman"/>
                      <w:color w:val="auto"/>
                      <w:spacing w:val="8"/>
                      <w:sz w:val="21"/>
                      <w:szCs w:val="21"/>
                    </w:rPr>
                    <w:t>5</w:t>
                  </w:r>
                  <w:r>
                    <w:rPr>
                      <w:rFonts w:ascii="Times New Roman" w:hAnsi="Times New Roman" w:cs="Times New Roman"/>
                      <w:color w:val="auto"/>
                      <w:spacing w:val="8"/>
                      <w:sz w:val="21"/>
                      <w:szCs w:val="21"/>
                    </w:rPr>
                    <w:t>章要求。</w:t>
                  </w:r>
                </w:p>
              </w:tc>
              <w:tc>
                <w:tcPr>
                  <w:tcW w:w="3306" w:type="dxa"/>
                  <w:vMerge/>
                  <w:tcBorders>
                    <w:left w:val="single" w:sz="2" w:space="0" w:color="000000"/>
                    <w:right w:val="single" w:sz="2" w:space="0" w:color="000000"/>
                  </w:tcBorders>
                  <w:vAlign w:val="center"/>
                </w:tcPr>
                <w:p w14:paraId="163CC355"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41E5212" w14:textId="77777777" w:rsidR="00F76A63" w:rsidRDefault="00F76A63">
                  <w:pPr>
                    <w:jc w:val="center"/>
                    <w:rPr>
                      <w:szCs w:val="21"/>
                    </w:rPr>
                  </w:pPr>
                </w:p>
              </w:tc>
            </w:tr>
            <w:tr w:rsidR="00F76A63" w14:paraId="376A6A27" w14:textId="77777777">
              <w:trPr>
                <w:trHeight w:val="80"/>
                <w:jc w:val="center"/>
              </w:trPr>
              <w:tc>
                <w:tcPr>
                  <w:tcW w:w="625" w:type="dxa"/>
                  <w:vMerge/>
                  <w:tcBorders>
                    <w:left w:val="nil"/>
                    <w:right w:val="single" w:sz="2" w:space="0" w:color="000000"/>
                  </w:tcBorders>
                  <w:vAlign w:val="center"/>
                </w:tcPr>
                <w:p w14:paraId="3982E8B0"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E25855F"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right w:val="single" w:sz="2" w:space="0" w:color="000000"/>
                  </w:tcBorders>
                  <w:vAlign w:val="center"/>
                </w:tcPr>
                <w:p w14:paraId="307A7AC2" w14:textId="77777777" w:rsidR="00F76A63" w:rsidRDefault="00F76A63">
                  <w:pPr>
                    <w:pStyle w:val="TableText"/>
                    <w:jc w:val="center"/>
                    <w:rPr>
                      <w:rFonts w:ascii="Times New Roman" w:hAnsi="Times New Roman" w:cs="Times New Roman"/>
                      <w:color w:val="auto"/>
                      <w:spacing w:val="13"/>
                      <w:sz w:val="21"/>
                      <w:szCs w:val="21"/>
                    </w:rPr>
                  </w:pP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65C43805"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）理化性质均匀，保证水泥窑运行工况的连续稳定。</w:t>
                  </w:r>
                </w:p>
              </w:tc>
              <w:tc>
                <w:tcPr>
                  <w:tcW w:w="3306" w:type="dxa"/>
                  <w:vMerge/>
                  <w:tcBorders>
                    <w:left w:val="single" w:sz="2" w:space="0" w:color="000000"/>
                    <w:right w:val="single" w:sz="2" w:space="0" w:color="000000"/>
                  </w:tcBorders>
                  <w:vAlign w:val="center"/>
                </w:tcPr>
                <w:p w14:paraId="33A605F6"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33F88A9" w14:textId="77777777" w:rsidR="00F76A63" w:rsidRDefault="00F76A63">
                  <w:pPr>
                    <w:jc w:val="center"/>
                    <w:rPr>
                      <w:szCs w:val="21"/>
                    </w:rPr>
                  </w:pPr>
                </w:p>
              </w:tc>
            </w:tr>
            <w:tr w:rsidR="00F76A63" w14:paraId="3E28D06F" w14:textId="77777777">
              <w:trPr>
                <w:trHeight w:val="80"/>
                <w:jc w:val="center"/>
              </w:trPr>
              <w:tc>
                <w:tcPr>
                  <w:tcW w:w="625" w:type="dxa"/>
                  <w:vMerge/>
                  <w:tcBorders>
                    <w:left w:val="nil"/>
                    <w:right w:val="single" w:sz="2" w:space="0" w:color="000000"/>
                  </w:tcBorders>
                  <w:vAlign w:val="center"/>
                </w:tcPr>
                <w:p w14:paraId="08771AD6"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C4D44DA"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bottom w:val="single" w:sz="2" w:space="0" w:color="000000"/>
                    <w:right w:val="single" w:sz="2" w:space="0" w:color="000000"/>
                  </w:tcBorders>
                  <w:vAlign w:val="center"/>
                </w:tcPr>
                <w:p w14:paraId="1B57597B" w14:textId="77777777" w:rsidR="00F76A63" w:rsidRDefault="00F76A63">
                  <w:pPr>
                    <w:pStyle w:val="TableText"/>
                    <w:jc w:val="center"/>
                    <w:rPr>
                      <w:rFonts w:ascii="Times New Roman" w:hAnsi="Times New Roman" w:cs="Times New Roman"/>
                      <w:color w:val="auto"/>
                      <w:spacing w:val="13"/>
                      <w:sz w:val="21"/>
                      <w:szCs w:val="21"/>
                    </w:rPr>
                  </w:pP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011087F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）满足协同处置水泥企业已有设施进行输送</w:t>
                  </w:r>
                  <w:r>
                    <w:rPr>
                      <w:rFonts w:ascii="Times New Roman" w:hAnsi="Times New Roman" w:cs="Times New Roman"/>
                      <w:color w:val="auto"/>
                      <w:spacing w:val="12"/>
                      <w:sz w:val="21"/>
                      <w:szCs w:val="21"/>
                    </w:rPr>
                    <w:t>、投加的要求。</w:t>
                  </w:r>
                </w:p>
              </w:tc>
              <w:tc>
                <w:tcPr>
                  <w:tcW w:w="3306" w:type="dxa"/>
                  <w:vMerge/>
                  <w:tcBorders>
                    <w:left w:val="single" w:sz="2" w:space="0" w:color="000000"/>
                    <w:right w:val="single" w:sz="2" w:space="0" w:color="000000"/>
                  </w:tcBorders>
                  <w:vAlign w:val="center"/>
                </w:tcPr>
                <w:p w14:paraId="723C1498"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5EF0894" w14:textId="77777777" w:rsidR="00F76A63" w:rsidRDefault="00F76A63">
                  <w:pPr>
                    <w:jc w:val="center"/>
                    <w:rPr>
                      <w:szCs w:val="21"/>
                    </w:rPr>
                  </w:pPr>
                </w:p>
              </w:tc>
            </w:tr>
            <w:tr w:rsidR="00F76A63" w14:paraId="7E51FDFF" w14:textId="77777777">
              <w:trPr>
                <w:trHeight w:val="155"/>
                <w:jc w:val="center"/>
              </w:trPr>
              <w:tc>
                <w:tcPr>
                  <w:tcW w:w="625" w:type="dxa"/>
                  <w:vMerge/>
                  <w:tcBorders>
                    <w:left w:val="nil"/>
                    <w:right w:val="single" w:sz="2" w:space="0" w:color="000000"/>
                  </w:tcBorders>
                  <w:vAlign w:val="center"/>
                </w:tcPr>
                <w:p w14:paraId="3ED114C8"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6170A0E"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CE9AD4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6.4.3</w:t>
                  </w:r>
                  <w:r>
                    <w:rPr>
                      <w:rFonts w:ascii="Times New Roman" w:hAnsi="Times New Roman" w:cs="Times New Roman"/>
                      <w:color w:val="auto"/>
                      <w:spacing w:val="24"/>
                      <w:sz w:val="21"/>
                      <w:szCs w:val="21"/>
                    </w:rPr>
                    <w:t xml:space="preserve"> </w:t>
                  </w:r>
                  <w:r>
                    <w:rPr>
                      <w:rFonts w:ascii="Times New Roman" w:hAnsi="Times New Roman" w:cs="Times New Roman"/>
                      <w:color w:val="auto"/>
                      <w:spacing w:val="11"/>
                      <w:sz w:val="21"/>
                      <w:szCs w:val="21"/>
                    </w:rPr>
                    <w:t>应采取措施，保证预处理操作区域</w:t>
                  </w:r>
                  <w:r>
                    <w:rPr>
                      <w:rFonts w:ascii="Times New Roman" w:hAnsi="Times New Roman" w:cs="Times New Roman"/>
                      <w:color w:val="auto"/>
                      <w:spacing w:val="10"/>
                      <w:sz w:val="21"/>
                      <w:szCs w:val="21"/>
                    </w:rPr>
                    <w:t>的环境质量满足</w:t>
                  </w:r>
                  <w:r>
                    <w:rPr>
                      <w:rFonts w:ascii="Times New Roman" w:hAnsi="Times New Roman" w:cs="Times New Roman"/>
                      <w:color w:val="auto"/>
                      <w:sz w:val="21"/>
                      <w:szCs w:val="21"/>
                    </w:rPr>
                    <w:t>GBZ</w:t>
                  </w:r>
                  <w:r>
                    <w:rPr>
                      <w:rFonts w:ascii="Times New Roman" w:hAnsi="Times New Roman" w:cs="Times New Roman"/>
                      <w:color w:val="auto"/>
                      <w:spacing w:val="10"/>
                      <w:sz w:val="21"/>
                      <w:szCs w:val="21"/>
                    </w:rPr>
                    <w:t>2</w:t>
                  </w:r>
                  <w:r>
                    <w:rPr>
                      <w:rFonts w:ascii="Times New Roman" w:hAnsi="Times New Roman" w:cs="Times New Roman"/>
                      <w:color w:val="auto"/>
                      <w:spacing w:val="10"/>
                      <w:sz w:val="21"/>
                      <w:szCs w:val="21"/>
                    </w:rPr>
                    <w:t>的要求。</w:t>
                  </w:r>
                </w:p>
              </w:tc>
              <w:tc>
                <w:tcPr>
                  <w:tcW w:w="3306" w:type="dxa"/>
                  <w:vMerge/>
                  <w:tcBorders>
                    <w:left w:val="single" w:sz="2" w:space="0" w:color="000000"/>
                    <w:right w:val="single" w:sz="2" w:space="0" w:color="000000"/>
                  </w:tcBorders>
                  <w:vAlign w:val="center"/>
                </w:tcPr>
                <w:p w14:paraId="5BA94FBD"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964E280" w14:textId="77777777" w:rsidR="00F76A63" w:rsidRDefault="00F76A63">
                  <w:pPr>
                    <w:jc w:val="center"/>
                    <w:rPr>
                      <w:szCs w:val="21"/>
                    </w:rPr>
                  </w:pPr>
                </w:p>
              </w:tc>
            </w:tr>
            <w:tr w:rsidR="00F76A63" w14:paraId="4142DF33" w14:textId="77777777">
              <w:trPr>
                <w:trHeight w:val="155"/>
                <w:jc w:val="center"/>
              </w:trPr>
              <w:tc>
                <w:tcPr>
                  <w:tcW w:w="625" w:type="dxa"/>
                  <w:vMerge/>
                  <w:tcBorders>
                    <w:left w:val="nil"/>
                    <w:right w:val="single" w:sz="2" w:space="0" w:color="000000"/>
                  </w:tcBorders>
                  <w:vAlign w:val="center"/>
                </w:tcPr>
                <w:p w14:paraId="2A8A1401"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E2E214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ABFCCD5"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6.4.4</w:t>
                  </w:r>
                  <w:r>
                    <w:rPr>
                      <w:rFonts w:ascii="Times New Roman" w:hAnsi="Times New Roman" w:cs="Times New Roman"/>
                      <w:color w:val="auto"/>
                      <w:spacing w:val="31"/>
                      <w:sz w:val="21"/>
                      <w:szCs w:val="21"/>
                    </w:rPr>
                    <w:t xml:space="preserve"> </w:t>
                  </w:r>
                  <w:r>
                    <w:rPr>
                      <w:rFonts w:ascii="Times New Roman" w:hAnsi="Times New Roman" w:cs="Times New Roman"/>
                      <w:color w:val="auto"/>
                      <w:spacing w:val="11"/>
                      <w:sz w:val="21"/>
                      <w:szCs w:val="21"/>
                    </w:rPr>
                    <w:t>应及时更换预处理区域内的过期消防器材和消防材料，</w:t>
                  </w:r>
                  <w:r>
                    <w:rPr>
                      <w:rFonts w:ascii="Times New Roman" w:hAnsi="Times New Roman" w:cs="Times New Roman"/>
                      <w:color w:val="auto"/>
                      <w:spacing w:val="-57"/>
                      <w:sz w:val="21"/>
                      <w:szCs w:val="21"/>
                    </w:rPr>
                    <w:t xml:space="preserve"> </w:t>
                  </w:r>
                  <w:r>
                    <w:rPr>
                      <w:rFonts w:ascii="Times New Roman" w:hAnsi="Times New Roman" w:cs="Times New Roman"/>
                      <w:color w:val="auto"/>
                      <w:spacing w:val="11"/>
                      <w:sz w:val="21"/>
                      <w:szCs w:val="21"/>
                    </w:rPr>
                    <w:t>以保证消防器材和消</w:t>
                  </w:r>
                  <w:r>
                    <w:rPr>
                      <w:rFonts w:ascii="Times New Roman" w:hAnsi="Times New Roman" w:cs="Times New Roman"/>
                      <w:color w:val="auto"/>
                      <w:spacing w:val="8"/>
                      <w:sz w:val="21"/>
                      <w:szCs w:val="21"/>
                    </w:rPr>
                    <w:t>防材料的有效性。</w:t>
                  </w:r>
                </w:p>
              </w:tc>
              <w:tc>
                <w:tcPr>
                  <w:tcW w:w="3306" w:type="dxa"/>
                  <w:vMerge/>
                  <w:tcBorders>
                    <w:left w:val="single" w:sz="2" w:space="0" w:color="000000"/>
                    <w:right w:val="single" w:sz="2" w:space="0" w:color="000000"/>
                  </w:tcBorders>
                  <w:vAlign w:val="center"/>
                </w:tcPr>
                <w:p w14:paraId="4B21BCA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684F3220" w14:textId="77777777" w:rsidR="00F76A63" w:rsidRDefault="00F76A63">
                  <w:pPr>
                    <w:jc w:val="center"/>
                    <w:rPr>
                      <w:szCs w:val="21"/>
                    </w:rPr>
                  </w:pPr>
                </w:p>
              </w:tc>
            </w:tr>
            <w:tr w:rsidR="00F76A63" w14:paraId="444F6F16" w14:textId="77777777">
              <w:trPr>
                <w:trHeight w:val="155"/>
                <w:jc w:val="center"/>
              </w:trPr>
              <w:tc>
                <w:tcPr>
                  <w:tcW w:w="625" w:type="dxa"/>
                  <w:vMerge/>
                  <w:tcBorders>
                    <w:left w:val="nil"/>
                    <w:right w:val="single" w:sz="2" w:space="0" w:color="000000"/>
                  </w:tcBorders>
                  <w:vAlign w:val="center"/>
                </w:tcPr>
                <w:p w14:paraId="3D797EBF"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9002958"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63F0B8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6.4.5</w:t>
                  </w:r>
                  <w:r>
                    <w:rPr>
                      <w:rFonts w:ascii="Times New Roman" w:hAnsi="Times New Roman" w:cs="Times New Roman"/>
                      <w:color w:val="auto"/>
                      <w:spacing w:val="31"/>
                      <w:sz w:val="21"/>
                      <w:szCs w:val="21"/>
                    </w:rPr>
                    <w:t xml:space="preserve"> </w:t>
                  </w:r>
                  <w:r>
                    <w:rPr>
                      <w:rFonts w:ascii="Times New Roman" w:hAnsi="Times New Roman" w:cs="Times New Roman"/>
                      <w:color w:val="auto"/>
                      <w:spacing w:val="11"/>
                      <w:sz w:val="21"/>
                      <w:szCs w:val="21"/>
                    </w:rPr>
                    <w:t>预处理区应设置足够数量的砂土或碎木屑，</w:t>
                  </w:r>
                  <w:r>
                    <w:rPr>
                      <w:rFonts w:ascii="Times New Roman" w:hAnsi="Times New Roman" w:cs="Times New Roman"/>
                      <w:color w:val="auto"/>
                      <w:spacing w:val="-57"/>
                      <w:sz w:val="21"/>
                      <w:szCs w:val="21"/>
                    </w:rPr>
                    <w:t xml:space="preserve"> </w:t>
                  </w:r>
                  <w:r>
                    <w:rPr>
                      <w:rFonts w:ascii="Times New Roman" w:hAnsi="Times New Roman" w:cs="Times New Roman"/>
                      <w:color w:val="auto"/>
                      <w:spacing w:val="11"/>
                      <w:sz w:val="21"/>
                      <w:szCs w:val="21"/>
                    </w:rPr>
                    <w:t>以用于液态废物泄漏后阻止其向</w:t>
                  </w:r>
                  <w:r>
                    <w:rPr>
                      <w:rFonts w:ascii="Times New Roman" w:hAnsi="Times New Roman" w:cs="Times New Roman"/>
                      <w:color w:val="auto"/>
                      <w:spacing w:val="7"/>
                      <w:sz w:val="21"/>
                      <w:szCs w:val="21"/>
                    </w:rPr>
                    <w:t>外的溢出。</w:t>
                  </w:r>
                </w:p>
              </w:tc>
              <w:tc>
                <w:tcPr>
                  <w:tcW w:w="3306" w:type="dxa"/>
                  <w:vMerge/>
                  <w:tcBorders>
                    <w:left w:val="single" w:sz="2" w:space="0" w:color="000000"/>
                    <w:right w:val="single" w:sz="2" w:space="0" w:color="000000"/>
                  </w:tcBorders>
                  <w:vAlign w:val="center"/>
                </w:tcPr>
                <w:p w14:paraId="0BA93B7E"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765C0C43" w14:textId="77777777" w:rsidR="00F76A63" w:rsidRDefault="00F76A63">
                  <w:pPr>
                    <w:jc w:val="center"/>
                    <w:rPr>
                      <w:szCs w:val="21"/>
                    </w:rPr>
                  </w:pPr>
                </w:p>
              </w:tc>
            </w:tr>
            <w:tr w:rsidR="00F76A63" w14:paraId="6B063A5F" w14:textId="77777777">
              <w:trPr>
                <w:trHeight w:val="155"/>
                <w:jc w:val="center"/>
              </w:trPr>
              <w:tc>
                <w:tcPr>
                  <w:tcW w:w="625" w:type="dxa"/>
                  <w:vMerge/>
                  <w:tcBorders>
                    <w:left w:val="nil"/>
                    <w:right w:val="single" w:sz="2" w:space="0" w:color="000000"/>
                  </w:tcBorders>
                  <w:vAlign w:val="center"/>
                </w:tcPr>
                <w:p w14:paraId="36656580"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6AF3B66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2A9F55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6.4.6</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2"/>
                      <w:sz w:val="21"/>
                      <w:szCs w:val="21"/>
                    </w:rPr>
                    <w:t>危险废物预处理产生的各种废物均应作为危险废</w:t>
                  </w:r>
                  <w:r>
                    <w:rPr>
                      <w:rFonts w:ascii="Times New Roman" w:hAnsi="Times New Roman" w:cs="Times New Roman"/>
                      <w:color w:val="auto"/>
                      <w:spacing w:val="11"/>
                      <w:sz w:val="21"/>
                      <w:szCs w:val="21"/>
                    </w:rPr>
                    <w:t>物进行管理和处置。</w:t>
                  </w:r>
                </w:p>
              </w:tc>
              <w:tc>
                <w:tcPr>
                  <w:tcW w:w="3306" w:type="dxa"/>
                  <w:vMerge/>
                  <w:tcBorders>
                    <w:left w:val="single" w:sz="2" w:space="0" w:color="000000"/>
                    <w:bottom w:val="single" w:sz="2" w:space="0" w:color="000000"/>
                    <w:right w:val="single" w:sz="2" w:space="0" w:color="000000"/>
                  </w:tcBorders>
                  <w:vAlign w:val="center"/>
                </w:tcPr>
                <w:p w14:paraId="6D352B85"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2BD37A44" w14:textId="77777777" w:rsidR="00F76A63" w:rsidRDefault="00F76A63">
                  <w:pPr>
                    <w:jc w:val="center"/>
                    <w:rPr>
                      <w:szCs w:val="21"/>
                    </w:rPr>
                  </w:pPr>
                </w:p>
              </w:tc>
            </w:tr>
            <w:tr w:rsidR="00F76A63" w14:paraId="73256A1F" w14:textId="77777777">
              <w:trPr>
                <w:trHeight w:val="372"/>
                <w:jc w:val="center"/>
              </w:trPr>
              <w:tc>
                <w:tcPr>
                  <w:tcW w:w="625" w:type="dxa"/>
                  <w:vMerge/>
                  <w:tcBorders>
                    <w:left w:val="nil"/>
                    <w:right w:val="single" w:sz="2" w:space="0" w:color="000000"/>
                  </w:tcBorders>
                  <w:vAlign w:val="center"/>
                </w:tcPr>
                <w:p w14:paraId="68FA4D23"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656E3704"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6.5 </w:t>
                  </w:r>
                  <w:r>
                    <w:rPr>
                      <w:rFonts w:ascii="Times New Roman" w:hAnsi="Times New Roman" w:cs="Times New Roman"/>
                      <w:color w:val="auto"/>
                      <w:spacing w:val="3"/>
                      <w:sz w:val="21"/>
                      <w:szCs w:val="21"/>
                    </w:rPr>
                    <w:t>固体废物厂内输送的技术要求</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0418598"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6.5.1</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2"/>
                      <w:sz w:val="21"/>
                      <w:szCs w:val="21"/>
                    </w:rPr>
                    <w:t>在进行固体废物的厂内输送时，应采取必要</w:t>
                  </w:r>
                  <w:r>
                    <w:rPr>
                      <w:rFonts w:ascii="Times New Roman" w:hAnsi="Times New Roman" w:cs="Times New Roman"/>
                      <w:color w:val="auto"/>
                      <w:spacing w:val="11"/>
                      <w:sz w:val="21"/>
                      <w:szCs w:val="21"/>
                    </w:rPr>
                    <w:t>的措施防止废物的扬尘、溢出和</w:t>
                  </w:r>
                  <w:r>
                    <w:rPr>
                      <w:rFonts w:ascii="Times New Roman" w:hAnsi="Times New Roman" w:cs="Times New Roman"/>
                      <w:color w:val="auto"/>
                      <w:spacing w:val="3"/>
                      <w:sz w:val="21"/>
                      <w:szCs w:val="21"/>
                    </w:rPr>
                    <w:t>泄漏。</w:t>
                  </w:r>
                </w:p>
              </w:tc>
              <w:tc>
                <w:tcPr>
                  <w:tcW w:w="3306" w:type="dxa"/>
                  <w:vMerge w:val="restart"/>
                  <w:tcBorders>
                    <w:top w:val="single" w:sz="2" w:space="0" w:color="000000"/>
                    <w:left w:val="single" w:sz="2" w:space="0" w:color="000000"/>
                    <w:right w:val="single" w:sz="2" w:space="0" w:color="000000"/>
                  </w:tcBorders>
                  <w:vAlign w:val="center"/>
                </w:tcPr>
                <w:p w14:paraId="7CAEFCB2"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本项目污染土及污泥均采用皮带输送机</w:t>
                  </w:r>
                  <w:r>
                    <w:rPr>
                      <w:rFonts w:ascii="Times New Roman" w:hAnsi="Times New Roman" w:cs="Times New Roman" w:hint="eastAsia"/>
                      <w:color w:val="auto"/>
                      <w:spacing w:val="10"/>
                      <w:sz w:val="21"/>
                      <w:szCs w:val="21"/>
                    </w:rPr>
                    <w:t>密闭</w:t>
                  </w:r>
                  <w:r>
                    <w:rPr>
                      <w:rFonts w:ascii="Times New Roman" w:hAnsi="Times New Roman" w:cs="Times New Roman"/>
                      <w:color w:val="auto"/>
                      <w:spacing w:val="10"/>
                      <w:sz w:val="21"/>
                      <w:szCs w:val="21"/>
                    </w:rPr>
                    <w:t>输送，满足要求。</w:t>
                  </w:r>
                </w:p>
              </w:tc>
              <w:tc>
                <w:tcPr>
                  <w:tcW w:w="789" w:type="dxa"/>
                  <w:vMerge w:val="restart"/>
                  <w:tcBorders>
                    <w:top w:val="single" w:sz="2" w:space="0" w:color="000000"/>
                    <w:left w:val="single" w:sz="2" w:space="0" w:color="000000"/>
                    <w:right w:val="nil"/>
                  </w:tcBorders>
                  <w:vAlign w:val="center"/>
                </w:tcPr>
                <w:p w14:paraId="602128C1" w14:textId="77777777" w:rsidR="00F76A63" w:rsidRDefault="00000000">
                  <w:pPr>
                    <w:jc w:val="center"/>
                    <w:rPr>
                      <w:szCs w:val="21"/>
                    </w:rPr>
                  </w:pPr>
                  <w:r>
                    <w:rPr>
                      <w:szCs w:val="21"/>
                    </w:rPr>
                    <w:t>符合</w:t>
                  </w:r>
                </w:p>
              </w:tc>
            </w:tr>
            <w:tr w:rsidR="00F76A63" w14:paraId="009A1E18" w14:textId="77777777">
              <w:trPr>
                <w:trHeight w:val="371"/>
                <w:jc w:val="center"/>
              </w:trPr>
              <w:tc>
                <w:tcPr>
                  <w:tcW w:w="625" w:type="dxa"/>
                  <w:vMerge/>
                  <w:tcBorders>
                    <w:left w:val="nil"/>
                    <w:right w:val="single" w:sz="2" w:space="0" w:color="000000"/>
                  </w:tcBorders>
                  <w:vAlign w:val="center"/>
                </w:tcPr>
                <w:p w14:paraId="7D652AAF"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2D236C7E"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305ED6C"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9"/>
                      <w:sz w:val="21"/>
                      <w:szCs w:val="21"/>
                    </w:rPr>
                    <w:t>6.5.2</w:t>
                  </w:r>
                  <w:r>
                    <w:rPr>
                      <w:rFonts w:ascii="Times New Roman" w:hAnsi="Times New Roman" w:cs="Times New Roman"/>
                      <w:color w:val="auto"/>
                      <w:spacing w:val="51"/>
                      <w:sz w:val="21"/>
                      <w:szCs w:val="21"/>
                    </w:rPr>
                    <w:t xml:space="preserve"> </w:t>
                  </w:r>
                  <w:r>
                    <w:rPr>
                      <w:rFonts w:ascii="Times New Roman" w:hAnsi="Times New Roman" w:cs="Times New Roman"/>
                      <w:color w:val="auto"/>
                      <w:spacing w:val="9"/>
                      <w:sz w:val="21"/>
                      <w:szCs w:val="21"/>
                    </w:rPr>
                    <w:t>固体废物运输车辆应定期进行清洗。</w:t>
                  </w:r>
                </w:p>
              </w:tc>
              <w:tc>
                <w:tcPr>
                  <w:tcW w:w="3306" w:type="dxa"/>
                  <w:vMerge/>
                  <w:tcBorders>
                    <w:left w:val="single" w:sz="2" w:space="0" w:color="000000"/>
                    <w:right w:val="single" w:sz="2" w:space="0" w:color="000000"/>
                  </w:tcBorders>
                  <w:vAlign w:val="center"/>
                </w:tcPr>
                <w:p w14:paraId="5572254B"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170D9F04" w14:textId="77777777" w:rsidR="00F76A63" w:rsidRDefault="00F76A63">
                  <w:pPr>
                    <w:jc w:val="center"/>
                    <w:rPr>
                      <w:szCs w:val="21"/>
                    </w:rPr>
                  </w:pPr>
                </w:p>
              </w:tc>
            </w:tr>
            <w:tr w:rsidR="00F76A63" w14:paraId="14766984" w14:textId="77777777">
              <w:trPr>
                <w:trHeight w:val="371"/>
                <w:jc w:val="center"/>
              </w:trPr>
              <w:tc>
                <w:tcPr>
                  <w:tcW w:w="625" w:type="dxa"/>
                  <w:vMerge/>
                  <w:tcBorders>
                    <w:left w:val="nil"/>
                    <w:right w:val="single" w:sz="2" w:space="0" w:color="000000"/>
                  </w:tcBorders>
                  <w:vAlign w:val="center"/>
                </w:tcPr>
                <w:p w14:paraId="338136B1"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F1BF213"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E22BD1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6.5.3</w:t>
                  </w:r>
                  <w:r>
                    <w:rPr>
                      <w:rFonts w:ascii="Times New Roman" w:hAnsi="Times New Roman" w:cs="Times New Roman"/>
                      <w:color w:val="auto"/>
                      <w:spacing w:val="21"/>
                      <w:sz w:val="21"/>
                      <w:szCs w:val="21"/>
                    </w:rPr>
                    <w:t xml:space="preserve"> </w:t>
                  </w:r>
                  <w:r>
                    <w:rPr>
                      <w:rFonts w:ascii="Times New Roman" w:hAnsi="Times New Roman" w:cs="Times New Roman"/>
                      <w:color w:val="auto"/>
                      <w:spacing w:val="12"/>
                      <w:sz w:val="21"/>
                      <w:szCs w:val="21"/>
                    </w:rPr>
                    <w:t>采用车辆在厂内运输危险废物时，应按照运输车辆的专用</w:t>
                  </w:r>
                  <w:r>
                    <w:rPr>
                      <w:rFonts w:ascii="Times New Roman" w:hAnsi="Times New Roman" w:cs="Times New Roman"/>
                      <w:color w:val="auto"/>
                      <w:spacing w:val="11"/>
                      <w:sz w:val="21"/>
                      <w:szCs w:val="21"/>
                    </w:rPr>
                    <w:t>路线行驶。</w:t>
                  </w:r>
                </w:p>
              </w:tc>
              <w:tc>
                <w:tcPr>
                  <w:tcW w:w="3306" w:type="dxa"/>
                  <w:vMerge/>
                  <w:tcBorders>
                    <w:left w:val="single" w:sz="2" w:space="0" w:color="000000"/>
                    <w:right w:val="single" w:sz="2" w:space="0" w:color="000000"/>
                  </w:tcBorders>
                  <w:vAlign w:val="center"/>
                </w:tcPr>
                <w:p w14:paraId="45BC4F01"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642FAFC1" w14:textId="77777777" w:rsidR="00F76A63" w:rsidRDefault="00F76A63">
                  <w:pPr>
                    <w:jc w:val="center"/>
                    <w:rPr>
                      <w:szCs w:val="21"/>
                    </w:rPr>
                  </w:pPr>
                </w:p>
              </w:tc>
            </w:tr>
            <w:tr w:rsidR="00F76A63" w14:paraId="3B55DA36" w14:textId="77777777">
              <w:trPr>
                <w:trHeight w:val="371"/>
                <w:jc w:val="center"/>
              </w:trPr>
              <w:tc>
                <w:tcPr>
                  <w:tcW w:w="625" w:type="dxa"/>
                  <w:vMerge/>
                  <w:tcBorders>
                    <w:left w:val="nil"/>
                    <w:right w:val="single" w:sz="2" w:space="0" w:color="000000"/>
                  </w:tcBorders>
                  <w:vAlign w:val="center"/>
                </w:tcPr>
                <w:p w14:paraId="1DBA9DBC"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1B41F24B"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BF8D52D"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6.5.4</w:t>
                  </w:r>
                  <w:r>
                    <w:rPr>
                      <w:rFonts w:ascii="Times New Roman" w:hAnsi="Times New Roman" w:cs="Times New Roman"/>
                      <w:color w:val="auto"/>
                      <w:spacing w:val="27"/>
                      <w:sz w:val="21"/>
                      <w:szCs w:val="21"/>
                    </w:rPr>
                    <w:t xml:space="preserve"> </w:t>
                  </w:r>
                  <w:r>
                    <w:rPr>
                      <w:rFonts w:ascii="Times New Roman" w:hAnsi="Times New Roman" w:cs="Times New Roman"/>
                      <w:color w:val="auto"/>
                      <w:spacing w:val="12"/>
                      <w:sz w:val="21"/>
                      <w:szCs w:val="21"/>
                    </w:rPr>
                    <w:t>厂内危险废物输送设施管理、维护产生的</w:t>
                  </w:r>
                  <w:r>
                    <w:rPr>
                      <w:rFonts w:ascii="Times New Roman" w:hAnsi="Times New Roman" w:cs="Times New Roman"/>
                      <w:color w:val="auto"/>
                      <w:spacing w:val="11"/>
                      <w:sz w:val="21"/>
                      <w:szCs w:val="21"/>
                    </w:rPr>
                    <w:t>各种废物均应作为危险废物进行</w:t>
                  </w:r>
                  <w:r>
                    <w:rPr>
                      <w:rFonts w:ascii="Times New Roman" w:hAnsi="Times New Roman" w:cs="Times New Roman"/>
                      <w:color w:val="auto"/>
                      <w:spacing w:val="8"/>
                      <w:sz w:val="21"/>
                      <w:szCs w:val="21"/>
                    </w:rPr>
                    <w:t>管理和处置。</w:t>
                  </w:r>
                </w:p>
              </w:tc>
              <w:tc>
                <w:tcPr>
                  <w:tcW w:w="3306" w:type="dxa"/>
                  <w:vMerge/>
                  <w:tcBorders>
                    <w:left w:val="single" w:sz="2" w:space="0" w:color="000000"/>
                    <w:bottom w:val="single" w:sz="2" w:space="0" w:color="000000"/>
                    <w:right w:val="single" w:sz="2" w:space="0" w:color="000000"/>
                  </w:tcBorders>
                  <w:vAlign w:val="center"/>
                </w:tcPr>
                <w:p w14:paraId="24170673"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225F4139" w14:textId="77777777" w:rsidR="00F76A63" w:rsidRDefault="00F76A63">
                  <w:pPr>
                    <w:jc w:val="center"/>
                    <w:rPr>
                      <w:szCs w:val="21"/>
                    </w:rPr>
                  </w:pPr>
                </w:p>
              </w:tc>
            </w:tr>
            <w:tr w:rsidR="00F76A63" w14:paraId="7DE2AD04" w14:textId="77777777">
              <w:trPr>
                <w:trHeight w:val="106"/>
                <w:jc w:val="center"/>
              </w:trPr>
              <w:tc>
                <w:tcPr>
                  <w:tcW w:w="625" w:type="dxa"/>
                  <w:vMerge/>
                  <w:tcBorders>
                    <w:left w:val="nil"/>
                    <w:right w:val="single" w:sz="2" w:space="0" w:color="000000"/>
                  </w:tcBorders>
                  <w:vAlign w:val="center"/>
                </w:tcPr>
                <w:p w14:paraId="67A10D6D"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288CF733"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6.6 </w:t>
                  </w:r>
                  <w:r>
                    <w:rPr>
                      <w:rFonts w:ascii="Times New Roman" w:hAnsi="Times New Roman" w:cs="Times New Roman"/>
                      <w:color w:val="auto"/>
                      <w:spacing w:val="3"/>
                      <w:sz w:val="21"/>
                      <w:szCs w:val="21"/>
                    </w:rPr>
                    <w:t>固体废物投加的技术要求</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2F428E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6.6.1</w:t>
                  </w:r>
                  <w:r>
                    <w:rPr>
                      <w:rFonts w:ascii="Times New Roman" w:hAnsi="Times New Roman" w:cs="Times New Roman"/>
                      <w:color w:val="auto"/>
                      <w:spacing w:val="24"/>
                      <w:sz w:val="21"/>
                      <w:szCs w:val="21"/>
                    </w:rPr>
                    <w:t xml:space="preserve"> </w:t>
                  </w:r>
                  <w:r>
                    <w:rPr>
                      <w:rFonts w:ascii="Times New Roman" w:hAnsi="Times New Roman" w:cs="Times New Roman"/>
                      <w:color w:val="auto"/>
                      <w:spacing w:val="12"/>
                      <w:sz w:val="21"/>
                      <w:szCs w:val="21"/>
                    </w:rPr>
                    <w:t>根据固体废物的特性和进料装置的要求和</w:t>
                  </w:r>
                  <w:r>
                    <w:rPr>
                      <w:rFonts w:ascii="Times New Roman" w:hAnsi="Times New Roman" w:cs="Times New Roman"/>
                      <w:color w:val="auto"/>
                      <w:spacing w:val="11"/>
                      <w:sz w:val="21"/>
                      <w:szCs w:val="21"/>
                    </w:rPr>
                    <w:t>投加口的工况特点，选择适当的废</w:t>
                  </w:r>
                  <w:r>
                    <w:rPr>
                      <w:rFonts w:ascii="Times New Roman" w:hAnsi="Times New Roman" w:cs="Times New Roman"/>
                      <w:color w:val="auto"/>
                      <w:spacing w:val="9"/>
                      <w:sz w:val="21"/>
                      <w:szCs w:val="21"/>
                    </w:rPr>
                    <w:t>物投加位置。</w:t>
                  </w:r>
                </w:p>
              </w:tc>
              <w:tc>
                <w:tcPr>
                  <w:tcW w:w="3306" w:type="dxa"/>
                  <w:vMerge w:val="restart"/>
                  <w:tcBorders>
                    <w:top w:val="single" w:sz="2" w:space="0" w:color="000000"/>
                    <w:left w:val="single" w:sz="2" w:space="0" w:color="000000"/>
                    <w:right w:val="single" w:sz="2" w:space="0" w:color="000000"/>
                  </w:tcBorders>
                  <w:vAlign w:val="center"/>
                </w:tcPr>
                <w:p w14:paraId="2BD13946"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1</w:t>
                  </w:r>
                  <w:r>
                    <w:rPr>
                      <w:rFonts w:ascii="Times New Roman" w:hAnsi="Times New Roman" w:cs="Times New Roman"/>
                      <w:color w:val="auto"/>
                      <w:spacing w:val="10"/>
                      <w:sz w:val="21"/>
                      <w:szCs w:val="21"/>
                    </w:rPr>
                    <w:t>、按照规范要求进行投加。</w:t>
                  </w:r>
                </w:p>
                <w:p w14:paraId="148EFDBC"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2</w:t>
                  </w:r>
                  <w:r>
                    <w:rPr>
                      <w:rFonts w:ascii="Times New Roman" w:hAnsi="Times New Roman" w:cs="Times New Roman"/>
                      <w:color w:val="auto"/>
                      <w:spacing w:val="10"/>
                      <w:sz w:val="21"/>
                      <w:szCs w:val="21"/>
                    </w:rPr>
                    <w:t>、同时保证废物投加时窑系统工况的稳定。</w:t>
                  </w:r>
                </w:p>
                <w:p w14:paraId="4CA8DDD4"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3</w:t>
                  </w:r>
                  <w:r>
                    <w:rPr>
                      <w:rFonts w:ascii="Times New Roman" w:hAnsi="Times New Roman" w:cs="Times New Roman"/>
                      <w:color w:val="auto"/>
                      <w:spacing w:val="10"/>
                      <w:sz w:val="21"/>
                      <w:szCs w:val="21"/>
                    </w:rPr>
                    <w:t>、本项目主要在窑尾投加污染土及污泥。</w:t>
                  </w:r>
                </w:p>
                <w:p w14:paraId="0552E144"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4</w:t>
                  </w:r>
                  <w:r>
                    <w:rPr>
                      <w:rFonts w:ascii="Times New Roman" w:hAnsi="Times New Roman" w:cs="Times New Roman"/>
                      <w:color w:val="auto"/>
                      <w:spacing w:val="10"/>
                      <w:sz w:val="21"/>
                      <w:szCs w:val="21"/>
                    </w:rPr>
                    <w:t>、入窑物料（包括常规原料、燃料和废物）中重金属的最大允许投加量不大于相关限值。</w:t>
                  </w:r>
                </w:p>
                <w:p w14:paraId="5798999C"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4</w:t>
                  </w:r>
                  <w:r>
                    <w:rPr>
                      <w:rFonts w:ascii="Times New Roman" w:hAnsi="Times New Roman" w:cs="Times New Roman"/>
                      <w:color w:val="auto"/>
                      <w:spacing w:val="10"/>
                      <w:sz w:val="21"/>
                      <w:szCs w:val="21"/>
                    </w:rPr>
                    <w:t>、本项目应根据水泥生产工艺特点，控制随物料入窑的氯（</w:t>
                  </w:r>
                  <w:r>
                    <w:rPr>
                      <w:rFonts w:ascii="Times New Roman" w:hAnsi="Times New Roman" w:cs="Times New Roman"/>
                      <w:color w:val="auto"/>
                      <w:spacing w:val="10"/>
                      <w:sz w:val="21"/>
                      <w:szCs w:val="21"/>
                    </w:rPr>
                    <w:t>Cl</w:t>
                  </w:r>
                  <w:r>
                    <w:rPr>
                      <w:rFonts w:ascii="Times New Roman" w:hAnsi="Times New Roman" w:cs="Times New Roman"/>
                      <w:color w:val="auto"/>
                      <w:spacing w:val="10"/>
                      <w:sz w:val="21"/>
                      <w:szCs w:val="21"/>
                    </w:rPr>
                    <w:t>）和氟（</w:t>
                  </w:r>
                  <w:r>
                    <w:rPr>
                      <w:rFonts w:ascii="Times New Roman" w:hAnsi="Times New Roman" w:cs="Times New Roman"/>
                      <w:color w:val="auto"/>
                      <w:spacing w:val="10"/>
                      <w:sz w:val="21"/>
                      <w:szCs w:val="21"/>
                    </w:rPr>
                    <w:t>F</w:t>
                  </w:r>
                  <w:r>
                    <w:rPr>
                      <w:rFonts w:ascii="Times New Roman" w:hAnsi="Times New Roman" w:cs="Times New Roman"/>
                      <w:color w:val="auto"/>
                      <w:spacing w:val="10"/>
                      <w:sz w:val="21"/>
                      <w:szCs w:val="21"/>
                    </w:rPr>
                    <w:t>）元素的投加量，其中入窑物料中氟元素含量不大于</w:t>
                  </w:r>
                  <w:r>
                    <w:rPr>
                      <w:rFonts w:ascii="Times New Roman" w:hAnsi="Times New Roman" w:cs="Times New Roman"/>
                      <w:color w:val="auto"/>
                      <w:spacing w:val="10"/>
                      <w:sz w:val="21"/>
                      <w:szCs w:val="21"/>
                    </w:rPr>
                    <w:t>0.5%</w:t>
                  </w:r>
                  <w:r>
                    <w:rPr>
                      <w:rFonts w:ascii="Times New Roman" w:hAnsi="Times New Roman" w:cs="Times New Roman"/>
                      <w:color w:val="auto"/>
                      <w:spacing w:val="10"/>
                      <w:sz w:val="21"/>
                      <w:szCs w:val="21"/>
                    </w:rPr>
                    <w:t>，氯元素含量不大于</w:t>
                  </w:r>
                  <w:r>
                    <w:rPr>
                      <w:rFonts w:ascii="Times New Roman" w:hAnsi="Times New Roman" w:cs="Times New Roman"/>
                      <w:color w:val="auto"/>
                      <w:spacing w:val="10"/>
                      <w:sz w:val="21"/>
                      <w:szCs w:val="21"/>
                    </w:rPr>
                    <w:t>0.04%</w:t>
                  </w:r>
                  <w:r>
                    <w:rPr>
                      <w:rFonts w:ascii="Times New Roman" w:hAnsi="Times New Roman" w:cs="Times New Roman"/>
                      <w:color w:val="auto"/>
                      <w:spacing w:val="10"/>
                      <w:sz w:val="21"/>
                      <w:szCs w:val="21"/>
                    </w:rPr>
                    <w:t>。以保证水泥的正常生产和熟料质量符合国家标准。</w:t>
                  </w:r>
                </w:p>
                <w:p w14:paraId="1449E073"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5</w:t>
                  </w:r>
                  <w:r>
                    <w:rPr>
                      <w:rFonts w:ascii="Times New Roman" w:hAnsi="Times New Roman" w:cs="Times New Roman"/>
                      <w:color w:val="auto"/>
                      <w:spacing w:val="10"/>
                      <w:sz w:val="21"/>
                      <w:szCs w:val="21"/>
                    </w:rPr>
                    <w:t>、本项目从窑尾高温区投加的全硫与配料系统投加的硫酸盐硫总投加量不大于</w:t>
                  </w:r>
                  <w:r>
                    <w:rPr>
                      <w:rFonts w:ascii="Times New Roman" w:hAnsi="Times New Roman" w:cs="Times New Roman"/>
                      <w:color w:val="auto"/>
                      <w:spacing w:val="10"/>
                      <w:sz w:val="21"/>
                      <w:szCs w:val="21"/>
                    </w:rPr>
                    <w:t>3000mg/kg-</w:t>
                  </w:r>
                  <w:r>
                    <w:rPr>
                      <w:rFonts w:ascii="Times New Roman" w:hAnsi="Times New Roman" w:cs="Times New Roman"/>
                      <w:color w:val="auto"/>
                      <w:spacing w:val="10"/>
                      <w:sz w:val="21"/>
                      <w:szCs w:val="21"/>
                    </w:rPr>
                    <w:t>熟料。</w:t>
                  </w:r>
                </w:p>
              </w:tc>
              <w:tc>
                <w:tcPr>
                  <w:tcW w:w="789" w:type="dxa"/>
                  <w:vMerge w:val="restart"/>
                  <w:tcBorders>
                    <w:top w:val="single" w:sz="2" w:space="0" w:color="000000"/>
                    <w:left w:val="single" w:sz="2" w:space="0" w:color="000000"/>
                    <w:right w:val="nil"/>
                  </w:tcBorders>
                  <w:vAlign w:val="center"/>
                </w:tcPr>
                <w:p w14:paraId="71344908" w14:textId="77777777" w:rsidR="00F76A63" w:rsidRDefault="00000000">
                  <w:pPr>
                    <w:jc w:val="center"/>
                    <w:rPr>
                      <w:szCs w:val="21"/>
                    </w:rPr>
                  </w:pPr>
                  <w:r>
                    <w:rPr>
                      <w:szCs w:val="21"/>
                    </w:rPr>
                    <w:t>符合</w:t>
                  </w:r>
                </w:p>
              </w:tc>
            </w:tr>
            <w:tr w:rsidR="00F76A63" w14:paraId="4D6E2236" w14:textId="77777777">
              <w:trPr>
                <w:trHeight w:val="103"/>
                <w:jc w:val="center"/>
              </w:trPr>
              <w:tc>
                <w:tcPr>
                  <w:tcW w:w="625" w:type="dxa"/>
                  <w:vMerge/>
                  <w:tcBorders>
                    <w:left w:val="nil"/>
                    <w:right w:val="single" w:sz="2" w:space="0" w:color="000000"/>
                  </w:tcBorders>
                  <w:vAlign w:val="center"/>
                </w:tcPr>
                <w:p w14:paraId="7C146F0E"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36F56EFD"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0AF9FFA"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6.6.2</w:t>
                  </w:r>
                  <w:r>
                    <w:rPr>
                      <w:rFonts w:ascii="Times New Roman" w:hAnsi="Times New Roman" w:cs="Times New Roman"/>
                      <w:color w:val="auto"/>
                      <w:spacing w:val="44"/>
                      <w:sz w:val="21"/>
                      <w:szCs w:val="21"/>
                    </w:rPr>
                    <w:t xml:space="preserve"> </w:t>
                  </w:r>
                  <w:r>
                    <w:rPr>
                      <w:rFonts w:ascii="Times New Roman" w:hAnsi="Times New Roman" w:cs="Times New Roman"/>
                      <w:color w:val="auto"/>
                      <w:spacing w:val="10"/>
                      <w:sz w:val="21"/>
                      <w:szCs w:val="21"/>
                    </w:rPr>
                    <w:t>固体废物投加时应保证窑系统工况的稳定。</w:t>
                  </w:r>
                </w:p>
              </w:tc>
              <w:tc>
                <w:tcPr>
                  <w:tcW w:w="3306" w:type="dxa"/>
                  <w:vMerge/>
                  <w:tcBorders>
                    <w:left w:val="single" w:sz="2" w:space="0" w:color="000000"/>
                    <w:right w:val="single" w:sz="2" w:space="0" w:color="000000"/>
                  </w:tcBorders>
                  <w:vAlign w:val="center"/>
                </w:tcPr>
                <w:p w14:paraId="6C98F8E8"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391DA3D" w14:textId="77777777" w:rsidR="00F76A63" w:rsidRDefault="00F76A63">
                  <w:pPr>
                    <w:jc w:val="center"/>
                    <w:rPr>
                      <w:szCs w:val="21"/>
                    </w:rPr>
                  </w:pPr>
                </w:p>
              </w:tc>
            </w:tr>
            <w:tr w:rsidR="00F76A63" w14:paraId="4611C9A0" w14:textId="77777777">
              <w:trPr>
                <w:trHeight w:val="105"/>
                <w:jc w:val="center"/>
              </w:trPr>
              <w:tc>
                <w:tcPr>
                  <w:tcW w:w="625" w:type="dxa"/>
                  <w:vMerge/>
                  <w:tcBorders>
                    <w:left w:val="nil"/>
                    <w:right w:val="single" w:sz="2" w:space="0" w:color="000000"/>
                  </w:tcBorders>
                  <w:vAlign w:val="center"/>
                </w:tcPr>
                <w:p w14:paraId="15235979"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82C20FF"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val="restart"/>
                  <w:tcBorders>
                    <w:top w:val="single" w:sz="2" w:space="0" w:color="000000"/>
                    <w:left w:val="single" w:sz="2" w:space="0" w:color="000000"/>
                    <w:right w:val="single" w:sz="2" w:space="0" w:color="000000"/>
                  </w:tcBorders>
                  <w:vAlign w:val="center"/>
                </w:tcPr>
                <w:p w14:paraId="1FFA864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 xml:space="preserve">6.6.3 </w:t>
                  </w:r>
                  <w:r>
                    <w:rPr>
                      <w:rFonts w:ascii="Times New Roman" w:hAnsi="Times New Roman" w:cs="Times New Roman"/>
                      <w:color w:val="auto"/>
                      <w:spacing w:val="13"/>
                      <w:sz w:val="21"/>
                      <w:szCs w:val="21"/>
                    </w:rPr>
                    <w:t>在主燃烧器投加的技术要求</w:t>
                  </w:r>
                </w:p>
              </w:tc>
              <w:tc>
                <w:tcPr>
                  <w:tcW w:w="1630" w:type="dxa"/>
                  <w:gridSpan w:val="2"/>
                  <w:vMerge w:val="restart"/>
                  <w:tcBorders>
                    <w:top w:val="single" w:sz="2" w:space="0" w:color="000000"/>
                    <w:left w:val="single" w:sz="2" w:space="0" w:color="000000"/>
                    <w:right w:val="single" w:sz="2" w:space="0" w:color="000000"/>
                  </w:tcBorders>
                  <w:vAlign w:val="center"/>
                </w:tcPr>
                <w:p w14:paraId="68FEB2C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a</w:t>
                  </w:r>
                  <w:r>
                    <w:rPr>
                      <w:rFonts w:ascii="Times New Roman" w:hAnsi="Times New Roman" w:cs="Times New Roman"/>
                      <w:color w:val="auto"/>
                      <w:spacing w:val="11"/>
                      <w:sz w:val="21"/>
                      <w:szCs w:val="21"/>
                    </w:rPr>
                    <w:t>）具有以下特性</w:t>
                  </w:r>
                  <w:r>
                    <w:rPr>
                      <w:rFonts w:ascii="Times New Roman" w:hAnsi="Times New Roman" w:cs="Times New Roman"/>
                      <w:color w:val="auto"/>
                      <w:spacing w:val="10"/>
                      <w:sz w:val="21"/>
                      <w:szCs w:val="21"/>
                    </w:rPr>
                    <w:t>的固体废物宜在主</w:t>
                  </w:r>
                  <w:r>
                    <w:rPr>
                      <w:rFonts w:ascii="Times New Roman" w:hAnsi="Times New Roman" w:cs="Times New Roman"/>
                      <w:color w:val="auto"/>
                      <w:spacing w:val="9"/>
                      <w:sz w:val="21"/>
                      <w:szCs w:val="21"/>
                    </w:rPr>
                    <w:t>燃烧器投加：</w:t>
                  </w:r>
                </w:p>
              </w:tc>
              <w:tc>
                <w:tcPr>
                  <w:tcW w:w="1631" w:type="dxa"/>
                  <w:tcBorders>
                    <w:top w:val="single" w:sz="2" w:space="0" w:color="000000"/>
                    <w:left w:val="single" w:sz="2" w:space="0" w:color="000000"/>
                    <w:bottom w:val="single" w:sz="2" w:space="0" w:color="000000"/>
                    <w:right w:val="single" w:sz="2" w:space="0" w:color="000000"/>
                  </w:tcBorders>
                  <w:vAlign w:val="center"/>
                </w:tcPr>
                <w:p w14:paraId="0E1E4E39"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1</w:t>
                  </w:r>
                  <w:r>
                    <w:rPr>
                      <w:rFonts w:ascii="Times New Roman" w:hAnsi="Times New Roman" w:cs="Times New Roman"/>
                      <w:color w:val="auto"/>
                      <w:spacing w:val="11"/>
                      <w:sz w:val="21"/>
                      <w:szCs w:val="21"/>
                    </w:rPr>
                    <w:t>）液态或易于气力输送的粉状废物；</w:t>
                  </w:r>
                </w:p>
              </w:tc>
              <w:tc>
                <w:tcPr>
                  <w:tcW w:w="3306" w:type="dxa"/>
                  <w:vMerge/>
                  <w:tcBorders>
                    <w:left w:val="single" w:sz="2" w:space="0" w:color="000000"/>
                    <w:right w:val="single" w:sz="2" w:space="0" w:color="000000"/>
                  </w:tcBorders>
                  <w:vAlign w:val="center"/>
                </w:tcPr>
                <w:p w14:paraId="3BAB9BD3"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185D38E" w14:textId="77777777" w:rsidR="00F76A63" w:rsidRDefault="00F76A63">
                  <w:pPr>
                    <w:jc w:val="center"/>
                    <w:rPr>
                      <w:szCs w:val="21"/>
                    </w:rPr>
                  </w:pPr>
                </w:p>
              </w:tc>
            </w:tr>
            <w:tr w:rsidR="00F76A63" w14:paraId="670925BD" w14:textId="77777777">
              <w:trPr>
                <w:trHeight w:val="105"/>
                <w:jc w:val="center"/>
              </w:trPr>
              <w:tc>
                <w:tcPr>
                  <w:tcW w:w="625" w:type="dxa"/>
                  <w:vMerge/>
                  <w:tcBorders>
                    <w:left w:val="nil"/>
                    <w:right w:val="single" w:sz="2" w:space="0" w:color="000000"/>
                  </w:tcBorders>
                  <w:vAlign w:val="center"/>
                </w:tcPr>
                <w:p w14:paraId="3370CD34"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97D01B6"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right w:val="single" w:sz="2" w:space="0" w:color="000000"/>
                  </w:tcBorders>
                  <w:vAlign w:val="center"/>
                </w:tcPr>
                <w:p w14:paraId="1BB750FA" w14:textId="77777777" w:rsidR="00F76A63" w:rsidRDefault="00F76A63">
                  <w:pPr>
                    <w:pStyle w:val="TableText"/>
                    <w:jc w:val="center"/>
                    <w:rPr>
                      <w:rFonts w:ascii="Times New Roman" w:hAnsi="Times New Roman" w:cs="Times New Roman"/>
                      <w:color w:val="auto"/>
                      <w:spacing w:val="13"/>
                      <w:sz w:val="21"/>
                      <w:szCs w:val="21"/>
                    </w:rPr>
                  </w:pPr>
                </w:p>
              </w:tc>
              <w:tc>
                <w:tcPr>
                  <w:tcW w:w="1630" w:type="dxa"/>
                  <w:gridSpan w:val="2"/>
                  <w:vMerge/>
                  <w:tcBorders>
                    <w:left w:val="single" w:sz="2" w:space="0" w:color="000000"/>
                    <w:right w:val="single" w:sz="2" w:space="0" w:color="000000"/>
                  </w:tcBorders>
                  <w:vAlign w:val="center"/>
                </w:tcPr>
                <w:p w14:paraId="62AA4097" w14:textId="77777777" w:rsidR="00F76A63" w:rsidRDefault="00F76A63">
                  <w:pPr>
                    <w:pStyle w:val="TableText"/>
                    <w:jc w:val="center"/>
                    <w:rPr>
                      <w:rFonts w:ascii="Times New Roman" w:hAnsi="Times New Roman" w:cs="Times New Roman"/>
                      <w:color w:val="auto"/>
                      <w:spacing w:val="13"/>
                      <w:sz w:val="21"/>
                      <w:szCs w:val="21"/>
                    </w:rPr>
                  </w:pPr>
                </w:p>
              </w:tc>
              <w:tc>
                <w:tcPr>
                  <w:tcW w:w="1631" w:type="dxa"/>
                  <w:tcBorders>
                    <w:top w:val="single" w:sz="2" w:space="0" w:color="000000"/>
                    <w:left w:val="single" w:sz="2" w:space="0" w:color="000000"/>
                    <w:bottom w:val="single" w:sz="2" w:space="0" w:color="000000"/>
                    <w:right w:val="single" w:sz="2" w:space="0" w:color="000000"/>
                  </w:tcBorders>
                  <w:vAlign w:val="center"/>
                </w:tcPr>
                <w:p w14:paraId="387CBC6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2</w:t>
                  </w:r>
                  <w:r>
                    <w:rPr>
                      <w:rFonts w:ascii="Times New Roman" w:hAnsi="Times New Roman" w:cs="Times New Roman"/>
                      <w:color w:val="auto"/>
                      <w:spacing w:val="13"/>
                      <w:sz w:val="21"/>
                      <w:szCs w:val="21"/>
                    </w:rPr>
                    <w:t>）含</w:t>
                  </w:r>
                  <w:r>
                    <w:rPr>
                      <w:rFonts w:ascii="Times New Roman" w:hAnsi="Times New Roman" w:cs="Times New Roman"/>
                      <w:color w:val="auto"/>
                      <w:sz w:val="21"/>
                      <w:szCs w:val="21"/>
                    </w:rPr>
                    <w:t>POPs</w:t>
                  </w:r>
                  <w:r>
                    <w:rPr>
                      <w:rFonts w:ascii="Times New Roman" w:hAnsi="Times New Roman" w:cs="Times New Roman"/>
                      <w:color w:val="auto"/>
                      <w:spacing w:val="13"/>
                      <w:sz w:val="21"/>
                      <w:szCs w:val="21"/>
                    </w:rPr>
                    <w:t>物质或高氯、高毒、难降解</w:t>
                  </w:r>
                  <w:r>
                    <w:rPr>
                      <w:rFonts w:ascii="Times New Roman" w:hAnsi="Times New Roman" w:cs="Times New Roman"/>
                      <w:color w:val="auto"/>
                      <w:spacing w:val="10"/>
                      <w:sz w:val="21"/>
                      <w:szCs w:val="21"/>
                    </w:rPr>
                    <w:t>有机物质的废物；</w:t>
                  </w:r>
                </w:p>
              </w:tc>
              <w:tc>
                <w:tcPr>
                  <w:tcW w:w="3306" w:type="dxa"/>
                  <w:vMerge/>
                  <w:tcBorders>
                    <w:left w:val="single" w:sz="2" w:space="0" w:color="000000"/>
                    <w:right w:val="single" w:sz="2" w:space="0" w:color="000000"/>
                  </w:tcBorders>
                  <w:vAlign w:val="center"/>
                </w:tcPr>
                <w:p w14:paraId="24552D5D"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72BA101D" w14:textId="77777777" w:rsidR="00F76A63" w:rsidRDefault="00F76A63">
                  <w:pPr>
                    <w:jc w:val="center"/>
                    <w:rPr>
                      <w:szCs w:val="21"/>
                    </w:rPr>
                  </w:pPr>
                </w:p>
              </w:tc>
            </w:tr>
            <w:tr w:rsidR="00F76A63" w14:paraId="7E6DA04C" w14:textId="77777777">
              <w:trPr>
                <w:trHeight w:val="105"/>
                <w:jc w:val="center"/>
              </w:trPr>
              <w:tc>
                <w:tcPr>
                  <w:tcW w:w="625" w:type="dxa"/>
                  <w:vMerge/>
                  <w:tcBorders>
                    <w:left w:val="nil"/>
                    <w:right w:val="single" w:sz="2" w:space="0" w:color="000000"/>
                  </w:tcBorders>
                  <w:vAlign w:val="center"/>
                </w:tcPr>
                <w:p w14:paraId="64F9B194"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A1E6683"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right w:val="single" w:sz="2" w:space="0" w:color="000000"/>
                  </w:tcBorders>
                  <w:vAlign w:val="center"/>
                </w:tcPr>
                <w:p w14:paraId="5B4F9112" w14:textId="77777777" w:rsidR="00F76A63" w:rsidRDefault="00F76A63">
                  <w:pPr>
                    <w:pStyle w:val="TableText"/>
                    <w:jc w:val="center"/>
                    <w:rPr>
                      <w:rFonts w:ascii="Times New Roman" w:hAnsi="Times New Roman" w:cs="Times New Roman"/>
                      <w:color w:val="auto"/>
                      <w:spacing w:val="13"/>
                      <w:sz w:val="21"/>
                      <w:szCs w:val="21"/>
                    </w:rPr>
                  </w:pPr>
                </w:p>
              </w:tc>
              <w:tc>
                <w:tcPr>
                  <w:tcW w:w="1630" w:type="dxa"/>
                  <w:gridSpan w:val="2"/>
                  <w:vMerge/>
                  <w:tcBorders>
                    <w:left w:val="single" w:sz="2" w:space="0" w:color="000000"/>
                    <w:bottom w:val="single" w:sz="2" w:space="0" w:color="000000"/>
                    <w:right w:val="single" w:sz="2" w:space="0" w:color="000000"/>
                  </w:tcBorders>
                  <w:vAlign w:val="center"/>
                </w:tcPr>
                <w:p w14:paraId="167D4572" w14:textId="77777777" w:rsidR="00F76A63" w:rsidRDefault="00F76A63">
                  <w:pPr>
                    <w:pStyle w:val="TableText"/>
                    <w:jc w:val="center"/>
                    <w:rPr>
                      <w:rFonts w:ascii="Times New Roman" w:hAnsi="Times New Roman" w:cs="Times New Roman"/>
                      <w:color w:val="auto"/>
                      <w:spacing w:val="13"/>
                      <w:sz w:val="21"/>
                      <w:szCs w:val="21"/>
                    </w:rPr>
                  </w:pPr>
                </w:p>
              </w:tc>
              <w:tc>
                <w:tcPr>
                  <w:tcW w:w="1631" w:type="dxa"/>
                  <w:tcBorders>
                    <w:top w:val="single" w:sz="2" w:space="0" w:color="000000"/>
                    <w:left w:val="single" w:sz="2" w:space="0" w:color="000000"/>
                    <w:bottom w:val="single" w:sz="2" w:space="0" w:color="000000"/>
                    <w:right w:val="single" w:sz="2" w:space="0" w:color="000000"/>
                  </w:tcBorders>
                  <w:vAlign w:val="center"/>
                </w:tcPr>
                <w:p w14:paraId="5EDDDB1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3</w:t>
                  </w:r>
                  <w:r>
                    <w:rPr>
                      <w:rFonts w:ascii="Times New Roman" w:hAnsi="Times New Roman" w:cs="Times New Roman"/>
                      <w:color w:val="auto"/>
                      <w:spacing w:val="12"/>
                      <w:sz w:val="21"/>
                      <w:szCs w:val="21"/>
                    </w:rPr>
                    <w:t>）热值高、含水率低的有机废液。</w:t>
                  </w:r>
                </w:p>
              </w:tc>
              <w:tc>
                <w:tcPr>
                  <w:tcW w:w="3306" w:type="dxa"/>
                  <w:vMerge/>
                  <w:tcBorders>
                    <w:left w:val="single" w:sz="2" w:space="0" w:color="000000"/>
                    <w:right w:val="single" w:sz="2" w:space="0" w:color="000000"/>
                  </w:tcBorders>
                  <w:vAlign w:val="center"/>
                </w:tcPr>
                <w:p w14:paraId="002ACF6F"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5649325" w14:textId="77777777" w:rsidR="00F76A63" w:rsidRDefault="00F76A63">
                  <w:pPr>
                    <w:jc w:val="center"/>
                    <w:rPr>
                      <w:szCs w:val="21"/>
                    </w:rPr>
                  </w:pPr>
                </w:p>
              </w:tc>
            </w:tr>
            <w:tr w:rsidR="00F76A63" w14:paraId="2101E743" w14:textId="77777777">
              <w:trPr>
                <w:trHeight w:val="158"/>
                <w:jc w:val="center"/>
              </w:trPr>
              <w:tc>
                <w:tcPr>
                  <w:tcW w:w="625" w:type="dxa"/>
                  <w:vMerge/>
                  <w:tcBorders>
                    <w:left w:val="nil"/>
                    <w:right w:val="single" w:sz="2" w:space="0" w:color="000000"/>
                  </w:tcBorders>
                  <w:vAlign w:val="center"/>
                </w:tcPr>
                <w:p w14:paraId="4EAB721D"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2245A8D0"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right w:val="single" w:sz="2" w:space="0" w:color="000000"/>
                  </w:tcBorders>
                  <w:vAlign w:val="center"/>
                </w:tcPr>
                <w:p w14:paraId="656A0B14" w14:textId="77777777" w:rsidR="00F76A63" w:rsidRDefault="00F76A63">
                  <w:pPr>
                    <w:pStyle w:val="TableText"/>
                    <w:jc w:val="center"/>
                    <w:rPr>
                      <w:rFonts w:ascii="Times New Roman" w:hAnsi="Times New Roman" w:cs="Times New Roman"/>
                      <w:color w:val="auto"/>
                      <w:spacing w:val="13"/>
                      <w:sz w:val="21"/>
                      <w:szCs w:val="21"/>
                    </w:rPr>
                  </w:pPr>
                </w:p>
              </w:tc>
              <w:tc>
                <w:tcPr>
                  <w:tcW w:w="1630" w:type="dxa"/>
                  <w:gridSpan w:val="2"/>
                  <w:vMerge w:val="restart"/>
                  <w:tcBorders>
                    <w:top w:val="single" w:sz="2" w:space="0" w:color="000000"/>
                    <w:left w:val="single" w:sz="2" w:space="0" w:color="000000"/>
                    <w:right w:val="single" w:sz="2" w:space="0" w:color="000000"/>
                  </w:tcBorders>
                  <w:vAlign w:val="center"/>
                </w:tcPr>
                <w:p w14:paraId="3037DE1A"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b</w:t>
                  </w:r>
                  <w:r>
                    <w:rPr>
                      <w:rFonts w:ascii="Times New Roman" w:hAnsi="Times New Roman" w:cs="Times New Roman"/>
                      <w:color w:val="auto"/>
                      <w:spacing w:val="12"/>
                      <w:sz w:val="21"/>
                      <w:szCs w:val="21"/>
                    </w:rPr>
                    <w:t>）在主燃烧器投加固体废物操作中</w:t>
                  </w:r>
                  <w:r>
                    <w:rPr>
                      <w:rFonts w:ascii="Times New Roman" w:hAnsi="Times New Roman" w:cs="Times New Roman"/>
                      <w:color w:val="auto"/>
                      <w:spacing w:val="10"/>
                      <w:sz w:val="21"/>
                      <w:szCs w:val="21"/>
                    </w:rPr>
                    <w:t>应满足以下条件：</w:t>
                  </w:r>
                </w:p>
              </w:tc>
              <w:tc>
                <w:tcPr>
                  <w:tcW w:w="1631" w:type="dxa"/>
                  <w:tcBorders>
                    <w:top w:val="single" w:sz="2" w:space="0" w:color="000000"/>
                    <w:left w:val="single" w:sz="2" w:space="0" w:color="000000"/>
                    <w:bottom w:val="single" w:sz="2" w:space="0" w:color="000000"/>
                    <w:right w:val="single" w:sz="2" w:space="0" w:color="000000"/>
                  </w:tcBorders>
                  <w:vAlign w:val="center"/>
                </w:tcPr>
                <w:p w14:paraId="6A504B2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1</w:t>
                  </w:r>
                  <w:r>
                    <w:rPr>
                      <w:rFonts w:ascii="Times New Roman" w:hAnsi="Times New Roman" w:cs="Times New Roman"/>
                      <w:color w:val="auto"/>
                      <w:spacing w:val="12"/>
                      <w:sz w:val="21"/>
                      <w:szCs w:val="21"/>
                    </w:rPr>
                    <w:t>）通过泵力输送投加的液态废物不应含</w:t>
                  </w:r>
                  <w:r>
                    <w:rPr>
                      <w:rFonts w:ascii="Times New Roman" w:hAnsi="Times New Roman" w:cs="Times New Roman"/>
                      <w:color w:val="auto"/>
                      <w:spacing w:val="9"/>
                      <w:sz w:val="21"/>
                      <w:szCs w:val="21"/>
                    </w:rPr>
                    <w:t>有沉淀物，</w:t>
                  </w:r>
                  <w:r>
                    <w:rPr>
                      <w:rFonts w:ascii="Times New Roman" w:hAnsi="Times New Roman" w:cs="Times New Roman"/>
                      <w:color w:val="auto"/>
                      <w:spacing w:val="-55"/>
                      <w:sz w:val="21"/>
                      <w:szCs w:val="21"/>
                    </w:rPr>
                    <w:t xml:space="preserve"> </w:t>
                  </w:r>
                  <w:r>
                    <w:rPr>
                      <w:rFonts w:ascii="Times New Roman" w:hAnsi="Times New Roman" w:cs="Times New Roman"/>
                      <w:color w:val="auto"/>
                      <w:spacing w:val="9"/>
                      <w:sz w:val="21"/>
                      <w:szCs w:val="21"/>
                    </w:rPr>
                    <w:t>以免堵塞燃烧器喷嘴；</w:t>
                  </w:r>
                </w:p>
              </w:tc>
              <w:tc>
                <w:tcPr>
                  <w:tcW w:w="3306" w:type="dxa"/>
                  <w:vMerge/>
                  <w:tcBorders>
                    <w:left w:val="single" w:sz="2" w:space="0" w:color="000000"/>
                    <w:right w:val="single" w:sz="2" w:space="0" w:color="000000"/>
                  </w:tcBorders>
                  <w:vAlign w:val="center"/>
                </w:tcPr>
                <w:p w14:paraId="255F4054"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52339C59" w14:textId="77777777" w:rsidR="00F76A63" w:rsidRDefault="00F76A63">
                  <w:pPr>
                    <w:jc w:val="center"/>
                    <w:rPr>
                      <w:szCs w:val="21"/>
                    </w:rPr>
                  </w:pPr>
                </w:p>
              </w:tc>
            </w:tr>
            <w:tr w:rsidR="00F76A63" w14:paraId="2F9DE4F1" w14:textId="77777777">
              <w:trPr>
                <w:trHeight w:val="157"/>
                <w:jc w:val="center"/>
              </w:trPr>
              <w:tc>
                <w:tcPr>
                  <w:tcW w:w="625" w:type="dxa"/>
                  <w:vMerge/>
                  <w:tcBorders>
                    <w:left w:val="nil"/>
                    <w:right w:val="single" w:sz="2" w:space="0" w:color="000000"/>
                  </w:tcBorders>
                  <w:vAlign w:val="center"/>
                </w:tcPr>
                <w:p w14:paraId="6111C284"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1601F3E"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bottom w:val="single" w:sz="2" w:space="0" w:color="000000"/>
                    <w:right w:val="single" w:sz="2" w:space="0" w:color="000000"/>
                  </w:tcBorders>
                  <w:vAlign w:val="center"/>
                </w:tcPr>
                <w:p w14:paraId="5F9B4678" w14:textId="77777777" w:rsidR="00F76A63" w:rsidRDefault="00F76A63">
                  <w:pPr>
                    <w:pStyle w:val="TableText"/>
                    <w:jc w:val="center"/>
                    <w:rPr>
                      <w:rFonts w:ascii="Times New Roman" w:hAnsi="Times New Roman" w:cs="Times New Roman"/>
                      <w:color w:val="auto"/>
                      <w:spacing w:val="13"/>
                      <w:sz w:val="21"/>
                      <w:szCs w:val="21"/>
                    </w:rPr>
                  </w:pPr>
                </w:p>
              </w:tc>
              <w:tc>
                <w:tcPr>
                  <w:tcW w:w="1630" w:type="dxa"/>
                  <w:gridSpan w:val="2"/>
                  <w:vMerge/>
                  <w:tcBorders>
                    <w:left w:val="single" w:sz="2" w:space="0" w:color="000000"/>
                    <w:bottom w:val="single" w:sz="2" w:space="0" w:color="000000"/>
                    <w:right w:val="single" w:sz="2" w:space="0" w:color="000000"/>
                  </w:tcBorders>
                  <w:vAlign w:val="center"/>
                </w:tcPr>
                <w:p w14:paraId="62EB453B" w14:textId="77777777" w:rsidR="00F76A63" w:rsidRDefault="00F76A63">
                  <w:pPr>
                    <w:pStyle w:val="TableText"/>
                    <w:jc w:val="center"/>
                    <w:rPr>
                      <w:rFonts w:ascii="Times New Roman" w:hAnsi="Times New Roman" w:cs="Times New Roman"/>
                      <w:color w:val="auto"/>
                      <w:spacing w:val="13"/>
                      <w:sz w:val="21"/>
                      <w:szCs w:val="21"/>
                    </w:rPr>
                  </w:pPr>
                </w:p>
              </w:tc>
              <w:tc>
                <w:tcPr>
                  <w:tcW w:w="1631" w:type="dxa"/>
                  <w:tcBorders>
                    <w:top w:val="single" w:sz="2" w:space="0" w:color="000000"/>
                    <w:left w:val="single" w:sz="2" w:space="0" w:color="000000"/>
                    <w:bottom w:val="single" w:sz="2" w:space="0" w:color="000000"/>
                    <w:right w:val="single" w:sz="2" w:space="0" w:color="000000"/>
                  </w:tcBorders>
                  <w:vAlign w:val="center"/>
                </w:tcPr>
                <w:p w14:paraId="76CBD35A"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2</w:t>
                  </w:r>
                  <w:r>
                    <w:rPr>
                      <w:rFonts w:ascii="Times New Roman" w:hAnsi="Times New Roman" w:cs="Times New Roman"/>
                      <w:color w:val="auto"/>
                      <w:spacing w:val="13"/>
                      <w:sz w:val="21"/>
                      <w:szCs w:val="21"/>
                    </w:rPr>
                    <w:t>）通过气力输送投加的粉状</w:t>
                  </w:r>
                  <w:r>
                    <w:rPr>
                      <w:rFonts w:ascii="Times New Roman" w:hAnsi="Times New Roman" w:cs="Times New Roman"/>
                      <w:color w:val="auto"/>
                      <w:spacing w:val="13"/>
                      <w:sz w:val="21"/>
                      <w:szCs w:val="21"/>
                    </w:rPr>
                    <w:lastRenderedPageBreak/>
                    <w:t>废物，从多</w:t>
                  </w:r>
                  <w:r>
                    <w:rPr>
                      <w:rFonts w:ascii="Times New Roman" w:hAnsi="Times New Roman" w:cs="Times New Roman"/>
                      <w:color w:val="auto"/>
                      <w:spacing w:val="4"/>
                      <w:sz w:val="21"/>
                      <w:szCs w:val="21"/>
                    </w:rPr>
                    <w:t xml:space="preserve"> </w:t>
                  </w:r>
                  <w:r>
                    <w:rPr>
                      <w:rFonts w:ascii="Times New Roman" w:hAnsi="Times New Roman" w:cs="Times New Roman"/>
                      <w:color w:val="auto"/>
                      <w:spacing w:val="13"/>
                      <w:sz w:val="21"/>
                      <w:szCs w:val="21"/>
                    </w:rPr>
                    <w:t>通道燃烧器的不同通道喷入窑内，若废物灰分含量高，尽可能喷入更远的距离，尽量达到固相反应带。</w:t>
                  </w:r>
                </w:p>
              </w:tc>
              <w:tc>
                <w:tcPr>
                  <w:tcW w:w="3306" w:type="dxa"/>
                  <w:vMerge/>
                  <w:tcBorders>
                    <w:left w:val="single" w:sz="2" w:space="0" w:color="000000"/>
                    <w:right w:val="single" w:sz="2" w:space="0" w:color="000000"/>
                  </w:tcBorders>
                  <w:vAlign w:val="center"/>
                </w:tcPr>
                <w:p w14:paraId="04782B9F"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112E130F" w14:textId="77777777" w:rsidR="00F76A63" w:rsidRDefault="00F76A63">
                  <w:pPr>
                    <w:jc w:val="center"/>
                    <w:rPr>
                      <w:szCs w:val="21"/>
                    </w:rPr>
                  </w:pPr>
                </w:p>
              </w:tc>
            </w:tr>
            <w:tr w:rsidR="00F76A63" w14:paraId="7DA37C8A" w14:textId="77777777">
              <w:trPr>
                <w:trHeight w:val="80"/>
                <w:jc w:val="center"/>
              </w:trPr>
              <w:tc>
                <w:tcPr>
                  <w:tcW w:w="625" w:type="dxa"/>
                  <w:vMerge/>
                  <w:tcBorders>
                    <w:left w:val="nil"/>
                    <w:right w:val="single" w:sz="2" w:space="0" w:color="000000"/>
                  </w:tcBorders>
                  <w:vAlign w:val="center"/>
                </w:tcPr>
                <w:p w14:paraId="5764B7C2"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4DEA6EE2"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val="restart"/>
                  <w:tcBorders>
                    <w:top w:val="single" w:sz="2" w:space="0" w:color="000000"/>
                    <w:left w:val="single" w:sz="2" w:space="0" w:color="000000"/>
                    <w:right w:val="single" w:sz="2" w:space="0" w:color="000000"/>
                  </w:tcBorders>
                  <w:vAlign w:val="center"/>
                </w:tcPr>
                <w:p w14:paraId="35ACB309"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8"/>
                      <w:sz w:val="21"/>
                      <w:szCs w:val="21"/>
                    </w:rPr>
                    <w:t>6.6.4</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8"/>
                      <w:sz w:val="21"/>
                      <w:szCs w:val="21"/>
                    </w:rPr>
                    <w:t>在窑门罩投</w:t>
                  </w:r>
                  <w:r>
                    <w:rPr>
                      <w:rFonts w:ascii="Times New Roman" w:hAnsi="Times New Roman" w:cs="Times New Roman"/>
                      <w:color w:val="auto"/>
                      <w:spacing w:val="11"/>
                      <w:sz w:val="21"/>
                      <w:szCs w:val="21"/>
                    </w:rPr>
                    <w:t>加的技术要求</w:t>
                  </w: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3D5D3F6E"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a</w:t>
                  </w:r>
                  <w:r>
                    <w:rPr>
                      <w:rFonts w:ascii="Times New Roman" w:hAnsi="Times New Roman" w:cs="Times New Roman"/>
                      <w:color w:val="auto"/>
                      <w:spacing w:val="13"/>
                      <w:sz w:val="21"/>
                      <w:szCs w:val="21"/>
                    </w:rPr>
                    <w:t>）窑门罩宜投加不适于在窑头主燃烧器投加的液体废物，如</w:t>
                  </w:r>
                  <w:r>
                    <w:rPr>
                      <w:rFonts w:ascii="Times New Roman" w:hAnsi="Times New Roman" w:cs="Times New Roman"/>
                      <w:color w:val="auto"/>
                      <w:spacing w:val="10"/>
                      <w:sz w:val="21"/>
                      <w:szCs w:val="21"/>
                    </w:rPr>
                    <w:t>各种低热值液态废物。</w:t>
                  </w:r>
                </w:p>
              </w:tc>
              <w:tc>
                <w:tcPr>
                  <w:tcW w:w="3306" w:type="dxa"/>
                  <w:vMerge/>
                  <w:tcBorders>
                    <w:left w:val="single" w:sz="2" w:space="0" w:color="000000"/>
                    <w:right w:val="single" w:sz="2" w:space="0" w:color="000000"/>
                  </w:tcBorders>
                  <w:vAlign w:val="center"/>
                </w:tcPr>
                <w:p w14:paraId="3D572CA9"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54593718" w14:textId="77777777" w:rsidR="00F76A63" w:rsidRDefault="00F76A63">
                  <w:pPr>
                    <w:jc w:val="center"/>
                    <w:rPr>
                      <w:szCs w:val="21"/>
                    </w:rPr>
                  </w:pPr>
                </w:p>
              </w:tc>
            </w:tr>
            <w:tr w:rsidR="00F76A63" w14:paraId="7AB2E991" w14:textId="77777777">
              <w:trPr>
                <w:trHeight w:val="80"/>
                <w:jc w:val="center"/>
              </w:trPr>
              <w:tc>
                <w:tcPr>
                  <w:tcW w:w="625" w:type="dxa"/>
                  <w:vMerge/>
                  <w:tcBorders>
                    <w:left w:val="nil"/>
                    <w:right w:val="single" w:sz="2" w:space="0" w:color="000000"/>
                  </w:tcBorders>
                  <w:vAlign w:val="center"/>
                </w:tcPr>
                <w:p w14:paraId="03EDBEC3"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2BBDF6F"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right w:val="single" w:sz="2" w:space="0" w:color="000000"/>
                  </w:tcBorders>
                  <w:vAlign w:val="center"/>
                </w:tcPr>
                <w:p w14:paraId="0C777FB1" w14:textId="77777777" w:rsidR="00F76A63" w:rsidRDefault="00F76A63">
                  <w:pPr>
                    <w:pStyle w:val="TableText"/>
                    <w:jc w:val="center"/>
                    <w:rPr>
                      <w:rFonts w:ascii="Times New Roman" w:hAnsi="Times New Roman" w:cs="Times New Roman"/>
                      <w:color w:val="auto"/>
                      <w:spacing w:val="13"/>
                      <w:sz w:val="21"/>
                      <w:szCs w:val="21"/>
                    </w:rPr>
                  </w:pP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5F6A5F0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）在窑门罩投加固态废物时应采用特殊设计的投加设施。投</w:t>
                  </w:r>
                  <w:r>
                    <w:rPr>
                      <w:rFonts w:ascii="Times New Roman" w:hAnsi="Times New Roman" w:cs="Times New Roman"/>
                      <w:color w:val="auto"/>
                      <w:spacing w:val="12"/>
                      <w:sz w:val="21"/>
                      <w:szCs w:val="21"/>
                    </w:rPr>
                    <w:t>加时应确保将固态废物投至固相反应带，确保废物反应完全。</w:t>
                  </w:r>
                </w:p>
              </w:tc>
              <w:tc>
                <w:tcPr>
                  <w:tcW w:w="3306" w:type="dxa"/>
                  <w:vMerge/>
                  <w:tcBorders>
                    <w:left w:val="single" w:sz="2" w:space="0" w:color="000000"/>
                    <w:right w:val="single" w:sz="2" w:space="0" w:color="000000"/>
                  </w:tcBorders>
                  <w:vAlign w:val="center"/>
                </w:tcPr>
                <w:p w14:paraId="0ECC4C1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E8FB8D7" w14:textId="77777777" w:rsidR="00F76A63" w:rsidRDefault="00F76A63">
                  <w:pPr>
                    <w:jc w:val="center"/>
                    <w:rPr>
                      <w:szCs w:val="21"/>
                    </w:rPr>
                  </w:pPr>
                </w:p>
              </w:tc>
            </w:tr>
            <w:tr w:rsidR="00F76A63" w14:paraId="2CECAE4B" w14:textId="77777777">
              <w:trPr>
                <w:trHeight w:val="80"/>
                <w:jc w:val="center"/>
              </w:trPr>
              <w:tc>
                <w:tcPr>
                  <w:tcW w:w="625" w:type="dxa"/>
                  <w:vMerge/>
                  <w:tcBorders>
                    <w:left w:val="nil"/>
                    <w:right w:val="single" w:sz="2" w:space="0" w:color="000000"/>
                  </w:tcBorders>
                  <w:vAlign w:val="center"/>
                </w:tcPr>
                <w:p w14:paraId="3CB75B3C"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133D480"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bottom w:val="single" w:sz="2" w:space="0" w:color="000000"/>
                    <w:right w:val="single" w:sz="2" w:space="0" w:color="000000"/>
                  </w:tcBorders>
                  <w:vAlign w:val="center"/>
                </w:tcPr>
                <w:p w14:paraId="1C6C2C30" w14:textId="77777777" w:rsidR="00F76A63" w:rsidRDefault="00F76A63">
                  <w:pPr>
                    <w:pStyle w:val="TableText"/>
                    <w:jc w:val="center"/>
                    <w:rPr>
                      <w:rFonts w:ascii="Times New Roman" w:hAnsi="Times New Roman" w:cs="Times New Roman"/>
                      <w:color w:val="auto"/>
                      <w:spacing w:val="13"/>
                      <w:sz w:val="21"/>
                      <w:szCs w:val="21"/>
                    </w:rPr>
                  </w:pP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7CE7E04F"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）在窑门罩投加的液态废物应通过泵力输送至窑门罩喷入窑</w:t>
                  </w:r>
                  <w:r>
                    <w:rPr>
                      <w:rFonts w:ascii="Times New Roman" w:hAnsi="Times New Roman" w:cs="Times New Roman"/>
                      <w:color w:val="auto"/>
                      <w:spacing w:val="-13"/>
                      <w:sz w:val="21"/>
                      <w:szCs w:val="21"/>
                    </w:rPr>
                    <w:t>内。</w:t>
                  </w:r>
                </w:p>
              </w:tc>
              <w:tc>
                <w:tcPr>
                  <w:tcW w:w="3306" w:type="dxa"/>
                  <w:vMerge/>
                  <w:tcBorders>
                    <w:left w:val="single" w:sz="2" w:space="0" w:color="000000"/>
                    <w:right w:val="single" w:sz="2" w:space="0" w:color="000000"/>
                  </w:tcBorders>
                  <w:vAlign w:val="center"/>
                </w:tcPr>
                <w:p w14:paraId="669543B6"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75397A1" w14:textId="77777777" w:rsidR="00F76A63" w:rsidRDefault="00F76A63">
                  <w:pPr>
                    <w:jc w:val="center"/>
                    <w:rPr>
                      <w:szCs w:val="21"/>
                    </w:rPr>
                  </w:pPr>
                </w:p>
              </w:tc>
            </w:tr>
            <w:tr w:rsidR="00F76A63" w14:paraId="7A4BAC5B" w14:textId="77777777">
              <w:trPr>
                <w:trHeight w:val="80"/>
                <w:jc w:val="center"/>
              </w:trPr>
              <w:tc>
                <w:tcPr>
                  <w:tcW w:w="625" w:type="dxa"/>
                  <w:vMerge/>
                  <w:tcBorders>
                    <w:left w:val="nil"/>
                    <w:right w:val="single" w:sz="2" w:space="0" w:color="000000"/>
                  </w:tcBorders>
                  <w:vAlign w:val="center"/>
                </w:tcPr>
                <w:p w14:paraId="0EE72C92"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5A58ECA"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val="restart"/>
                  <w:tcBorders>
                    <w:top w:val="single" w:sz="2" w:space="0" w:color="000000"/>
                    <w:left w:val="single" w:sz="2" w:space="0" w:color="000000"/>
                    <w:right w:val="single" w:sz="2" w:space="0" w:color="000000"/>
                  </w:tcBorders>
                  <w:vAlign w:val="center"/>
                </w:tcPr>
                <w:p w14:paraId="4B63CC99"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8"/>
                      <w:sz w:val="21"/>
                      <w:szCs w:val="21"/>
                    </w:rPr>
                    <w:t>6.6.5</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8"/>
                      <w:sz w:val="21"/>
                      <w:szCs w:val="21"/>
                    </w:rPr>
                    <w:t>在窑尾投加的技术要求</w:t>
                  </w: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4EACF50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a</w:t>
                  </w:r>
                  <w:r>
                    <w:rPr>
                      <w:rFonts w:ascii="Times New Roman" w:hAnsi="Times New Roman" w:cs="Times New Roman"/>
                      <w:color w:val="auto"/>
                      <w:spacing w:val="13"/>
                      <w:sz w:val="21"/>
                      <w:szCs w:val="21"/>
                    </w:rPr>
                    <w:t>）含</w:t>
                  </w:r>
                  <w:r>
                    <w:rPr>
                      <w:rFonts w:ascii="Times New Roman" w:hAnsi="Times New Roman" w:cs="Times New Roman"/>
                      <w:color w:val="auto"/>
                      <w:sz w:val="21"/>
                      <w:szCs w:val="21"/>
                    </w:rPr>
                    <w:t>POPs</w:t>
                  </w:r>
                  <w:r>
                    <w:rPr>
                      <w:rFonts w:ascii="Times New Roman" w:hAnsi="Times New Roman" w:cs="Times New Roman"/>
                      <w:color w:val="auto"/>
                      <w:spacing w:val="13"/>
                      <w:sz w:val="21"/>
                      <w:szCs w:val="21"/>
                    </w:rPr>
                    <w:t>物质和高氯、高毒、难降解有机物质的固体废物优先从窑头投加。若受物理特性限制需要从窑尾投加时，优先</w:t>
                  </w:r>
                  <w:r>
                    <w:rPr>
                      <w:rFonts w:ascii="Times New Roman" w:hAnsi="Times New Roman" w:cs="Times New Roman"/>
                      <w:color w:val="auto"/>
                      <w:spacing w:val="11"/>
                      <w:sz w:val="21"/>
                      <w:szCs w:val="21"/>
                    </w:rPr>
                    <w:t>选择从窑尾烟室投加点。</w:t>
                  </w:r>
                </w:p>
              </w:tc>
              <w:tc>
                <w:tcPr>
                  <w:tcW w:w="3306" w:type="dxa"/>
                  <w:vMerge/>
                  <w:tcBorders>
                    <w:left w:val="single" w:sz="2" w:space="0" w:color="000000"/>
                    <w:right w:val="single" w:sz="2" w:space="0" w:color="000000"/>
                  </w:tcBorders>
                  <w:vAlign w:val="center"/>
                </w:tcPr>
                <w:p w14:paraId="5C40F983"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3B10CFA" w14:textId="77777777" w:rsidR="00F76A63" w:rsidRDefault="00F76A63">
                  <w:pPr>
                    <w:jc w:val="center"/>
                    <w:rPr>
                      <w:szCs w:val="21"/>
                    </w:rPr>
                  </w:pPr>
                </w:p>
              </w:tc>
            </w:tr>
            <w:tr w:rsidR="00F76A63" w14:paraId="067B5065" w14:textId="77777777">
              <w:trPr>
                <w:trHeight w:val="80"/>
                <w:jc w:val="center"/>
              </w:trPr>
              <w:tc>
                <w:tcPr>
                  <w:tcW w:w="625" w:type="dxa"/>
                  <w:vMerge/>
                  <w:tcBorders>
                    <w:left w:val="nil"/>
                    <w:right w:val="single" w:sz="2" w:space="0" w:color="000000"/>
                  </w:tcBorders>
                  <w:vAlign w:val="center"/>
                </w:tcPr>
                <w:p w14:paraId="44202195"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FB53B28"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right w:val="single" w:sz="2" w:space="0" w:color="000000"/>
                  </w:tcBorders>
                  <w:vAlign w:val="center"/>
                </w:tcPr>
                <w:p w14:paraId="06AB21D6" w14:textId="77777777" w:rsidR="00F76A63" w:rsidRDefault="00F76A63">
                  <w:pPr>
                    <w:pStyle w:val="TableText"/>
                    <w:jc w:val="center"/>
                    <w:rPr>
                      <w:rFonts w:ascii="Times New Roman" w:hAnsi="Times New Roman" w:cs="Times New Roman"/>
                      <w:color w:val="auto"/>
                      <w:spacing w:val="13"/>
                      <w:sz w:val="21"/>
                      <w:szCs w:val="21"/>
                    </w:rPr>
                  </w:pP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6E3DB9F9"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b</w:t>
                  </w:r>
                  <w:r>
                    <w:rPr>
                      <w:rFonts w:ascii="Times New Roman" w:hAnsi="Times New Roman" w:cs="Times New Roman"/>
                      <w:color w:val="auto"/>
                      <w:spacing w:val="13"/>
                      <w:sz w:val="21"/>
                      <w:szCs w:val="21"/>
                    </w:rPr>
                    <w:t>）含水率高或块状废物应优先选择从窑尾烟室投入。</w:t>
                  </w:r>
                </w:p>
              </w:tc>
              <w:tc>
                <w:tcPr>
                  <w:tcW w:w="3306" w:type="dxa"/>
                  <w:vMerge/>
                  <w:tcBorders>
                    <w:left w:val="single" w:sz="2" w:space="0" w:color="000000"/>
                    <w:right w:val="single" w:sz="2" w:space="0" w:color="000000"/>
                  </w:tcBorders>
                  <w:vAlign w:val="center"/>
                </w:tcPr>
                <w:p w14:paraId="51147E3E"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1A3BE2DF" w14:textId="77777777" w:rsidR="00F76A63" w:rsidRDefault="00F76A63">
                  <w:pPr>
                    <w:jc w:val="center"/>
                    <w:rPr>
                      <w:szCs w:val="21"/>
                    </w:rPr>
                  </w:pPr>
                </w:p>
              </w:tc>
            </w:tr>
            <w:tr w:rsidR="00F76A63" w14:paraId="3482DD21" w14:textId="77777777">
              <w:trPr>
                <w:trHeight w:val="80"/>
                <w:jc w:val="center"/>
              </w:trPr>
              <w:tc>
                <w:tcPr>
                  <w:tcW w:w="625" w:type="dxa"/>
                  <w:vMerge/>
                  <w:tcBorders>
                    <w:left w:val="nil"/>
                    <w:right w:val="single" w:sz="2" w:space="0" w:color="000000"/>
                  </w:tcBorders>
                  <w:vAlign w:val="center"/>
                </w:tcPr>
                <w:p w14:paraId="43C7DBD4"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5492323" w14:textId="77777777" w:rsidR="00F76A63" w:rsidRDefault="00F76A63">
                  <w:pPr>
                    <w:pStyle w:val="TableText"/>
                    <w:jc w:val="center"/>
                    <w:rPr>
                      <w:rFonts w:ascii="Times New Roman" w:hAnsi="Times New Roman" w:cs="Times New Roman"/>
                      <w:color w:val="auto"/>
                      <w:spacing w:val="3"/>
                      <w:sz w:val="21"/>
                      <w:szCs w:val="21"/>
                    </w:rPr>
                  </w:pPr>
                </w:p>
              </w:tc>
              <w:tc>
                <w:tcPr>
                  <w:tcW w:w="2795" w:type="dxa"/>
                  <w:gridSpan w:val="2"/>
                  <w:vMerge/>
                  <w:tcBorders>
                    <w:left w:val="single" w:sz="2" w:space="0" w:color="000000"/>
                    <w:bottom w:val="single" w:sz="2" w:space="0" w:color="000000"/>
                    <w:right w:val="single" w:sz="2" w:space="0" w:color="000000"/>
                  </w:tcBorders>
                  <w:vAlign w:val="center"/>
                </w:tcPr>
                <w:p w14:paraId="41D5EEB9" w14:textId="77777777" w:rsidR="00F76A63" w:rsidRDefault="00F76A63">
                  <w:pPr>
                    <w:pStyle w:val="TableText"/>
                    <w:jc w:val="center"/>
                    <w:rPr>
                      <w:rFonts w:ascii="Times New Roman" w:hAnsi="Times New Roman" w:cs="Times New Roman"/>
                      <w:color w:val="auto"/>
                      <w:spacing w:val="13"/>
                      <w:sz w:val="21"/>
                      <w:szCs w:val="21"/>
                    </w:rPr>
                  </w:pPr>
                </w:p>
              </w:tc>
              <w:tc>
                <w:tcPr>
                  <w:tcW w:w="3261" w:type="dxa"/>
                  <w:gridSpan w:val="3"/>
                  <w:tcBorders>
                    <w:top w:val="single" w:sz="2" w:space="0" w:color="000000"/>
                    <w:left w:val="single" w:sz="2" w:space="0" w:color="000000"/>
                    <w:bottom w:val="single" w:sz="2" w:space="0" w:color="000000"/>
                    <w:right w:val="single" w:sz="2" w:space="0" w:color="000000"/>
                  </w:tcBorders>
                  <w:vAlign w:val="center"/>
                </w:tcPr>
                <w:p w14:paraId="4734167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c</w:t>
                  </w:r>
                  <w:r>
                    <w:rPr>
                      <w:rFonts w:ascii="Times New Roman" w:hAnsi="Times New Roman" w:cs="Times New Roman"/>
                      <w:color w:val="auto"/>
                      <w:spacing w:val="13"/>
                      <w:sz w:val="21"/>
                      <w:szCs w:val="21"/>
                    </w:rPr>
                    <w:t>）在窑尾投加的液态、浆状废物应通过泵力输送，粉状废物应通过密闭的机械传送装置或气力输送，大块状废物应通过机</w:t>
                  </w:r>
                  <w:r>
                    <w:rPr>
                      <w:rFonts w:ascii="Times New Roman" w:hAnsi="Times New Roman" w:cs="Times New Roman"/>
                      <w:color w:val="auto"/>
                      <w:spacing w:val="10"/>
                      <w:sz w:val="21"/>
                      <w:szCs w:val="21"/>
                    </w:rPr>
                    <w:t>械传送装置输送。</w:t>
                  </w:r>
                </w:p>
              </w:tc>
              <w:tc>
                <w:tcPr>
                  <w:tcW w:w="3306" w:type="dxa"/>
                  <w:vMerge/>
                  <w:tcBorders>
                    <w:left w:val="single" w:sz="2" w:space="0" w:color="000000"/>
                    <w:right w:val="single" w:sz="2" w:space="0" w:color="000000"/>
                  </w:tcBorders>
                  <w:vAlign w:val="center"/>
                </w:tcPr>
                <w:p w14:paraId="344E6BE2"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F8D8DBA" w14:textId="77777777" w:rsidR="00F76A63" w:rsidRDefault="00F76A63">
                  <w:pPr>
                    <w:jc w:val="center"/>
                    <w:rPr>
                      <w:szCs w:val="21"/>
                    </w:rPr>
                  </w:pPr>
                </w:p>
              </w:tc>
            </w:tr>
            <w:tr w:rsidR="00F76A63" w14:paraId="4319D8A2" w14:textId="77777777">
              <w:trPr>
                <w:trHeight w:val="103"/>
                <w:jc w:val="center"/>
              </w:trPr>
              <w:tc>
                <w:tcPr>
                  <w:tcW w:w="625" w:type="dxa"/>
                  <w:vMerge/>
                  <w:tcBorders>
                    <w:left w:val="nil"/>
                    <w:right w:val="single" w:sz="2" w:space="0" w:color="000000"/>
                  </w:tcBorders>
                  <w:vAlign w:val="center"/>
                </w:tcPr>
                <w:p w14:paraId="1B6A1C8C"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0D5ED5E"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A000611"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6.6.6</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2"/>
                      <w:sz w:val="21"/>
                      <w:szCs w:val="21"/>
                    </w:rPr>
                    <w:t>在生料磨仅能投加不含有机物和挥发半挥发性</w:t>
                  </w:r>
                  <w:r>
                    <w:rPr>
                      <w:rFonts w:ascii="Times New Roman" w:hAnsi="Times New Roman" w:cs="Times New Roman"/>
                      <w:color w:val="auto"/>
                      <w:spacing w:val="11"/>
                      <w:sz w:val="21"/>
                      <w:szCs w:val="21"/>
                    </w:rPr>
                    <w:t>重金属的固态废物。</w:t>
                  </w:r>
                </w:p>
              </w:tc>
              <w:tc>
                <w:tcPr>
                  <w:tcW w:w="3306" w:type="dxa"/>
                  <w:vMerge/>
                  <w:tcBorders>
                    <w:left w:val="single" w:sz="2" w:space="0" w:color="000000"/>
                    <w:right w:val="single" w:sz="2" w:space="0" w:color="000000"/>
                  </w:tcBorders>
                  <w:vAlign w:val="center"/>
                </w:tcPr>
                <w:p w14:paraId="2DF588A1"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F8742C8" w14:textId="77777777" w:rsidR="00F76A63" w:rsidRDefault="00F76A63">
                  <w:pPr>
                    <w:jc w:val="center"/>
                    <w:rPr>
                      <w:szCs w:val="21"/>
                    </w:rPr>
                  </w:pPr>
                </w:p>
              </w:tc>
            </w:tr>
            <w:tr w:rsidR="00F76A63" w14:paraId="049BC9AD" w14:textId="77777777">
              <w:trPr>
                <w:trHeight w:val="103"/>
                <w:jc w:val="center"/>
              </w:trPr>
              <w:tc>
                <w:tcPr>
                  <w:tcW w:w="625" w:type="dxa"/>
                  <w:vMerge/>
                  <w:tcBorders>
                    <w:left w:val="nil"/>
                    <w:right w:val="single" w:sz="2" w:space="0" w:color="000000"/>
                  </w:tcBorders>
                  <w:vAlign w:val="center"/>
                </w:tcPr>
                <w:p w14:paraId="5198A0DB"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75FE1E0"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46932E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6.6.7 </w:t>
                  </w:r>
                  <w:r>
                    <w:rPr>
                      <w:rFonts w:ascii="Times New Roman" w:hAnsi="Times New Roman" w:cs="Times New Roman"/>
                      <w:color w:val="auto"/>
                      <w:spacing w:val="11"/>
                      <w:sz w:val="21"/>
                      <w:szCs w:val="21"/>
                    </w:rPr>
                    <w:t>入窑物料（包括常规原料、燃料和固体废物）</w:t>
                  </w:r>
                  <w:r>
                    <w:rPr>
                      <w:rFonts w:ascii="Times New Roman" w:hAnsi="Times New Roman" w:cs="Times New Roman"/>
                      <w:color w:val="auto"/>
                      <w:spacing w:val="-51"/>
                      <w:sz w:val="21"/>
                      <w:szCs w:val="21"/>
                    </w:rPr>
                    <w:t xml:space="preserve"> </w:t>
                  </w:r>
                  <w:r>
                    <w:rPr>
                      <w:rFonts w:ascii="Times New Roman" w:hAnsi="Times New Roman" w:cs="Times New Roman"/>
                      <w:color w:val="auto"/>
                      <w:spacing w:val="11"/>
                      <w:sz w:val="21"/>
                      <w:szCs w:val="21"/>
                    </w:rPr>
                    <w:t>中重金属的最大允许投加量不</w:t>
                  </w:r>
                  <w:r>
                    <w:rPr>
                      <w:rFonts w:ascii="Times New Roman" w:hAnsi="Times New Roman" w:cs="Times New Roman"/>
                      <w:color w:val="auto"/>
                      <w:spacing w:val="12"/>
                      <w:sz w:val="21"/>
                      <w:szCs w:val="21"/>
                    </w:rPr>
                    <w:t>应大于表</w:t>
                  </w:r>
                  <w:r>
                    <w:rPr>
                      <w:rFonts w:ascii="Times New Roman" w:hAnsi="Times New Roman" w:cs="Times New Roman"/>
                      <w:color w:val="auto"/>
                      <w:spacing w:val="12"/>
                      <w:sz w:val="21"/>
                      <w:szCs w:val="21"/>
                    </w:rPr>
                    <w:t>1</w:t>
                  </w:r>
                  <w:r>
                    <w:rPr>
                      <w:rFonts w:ascii="Times New Roman" w:hAnsi="Times New Roman" w:cs="Times New Roman"/>
                      <w:color w:val="auto"/>
                      <w:spacing w:val="12"/>
                      <w:sz w:val="21"/>
                      <w:szCs w:val="21"/>
                    </w:rPr>
                    <w:t>所列限值，对于单位为</w:t>
                  </w:r>
                  <w:r>
                    <w:rPr>
                      <w:rFonts w:ascii="Times New Roman" w:hAnsi="Times New Roman" w:cs="Times New Roman"/>
                      <w:color w:val="auto"/>
                      <w:spacing w:val="-37"/>
                      <w:sz w:val="21"/>
                      <w:szCs w:val="21"/>
                    </w:rPr>
                    <w:t xml:space="preserve"> </w:t>
                  </w:r>
                  <w:r>
                    <w:rPr>
                      <w:rFonts w:ascii="Times New Roman" w:hAnsi="Times New Roman" w:cs="Times New Roman"/>
                      <w:color w:val="auto"/>
                      <w:sz w:val="21"/>
                      <w:szCs w:val="21"/>
                    </w:rPr>
                    <w:t>mg</w:t>
                  </w:r>
                  <w:r>
                    <w:rPr>
                      <w:rFonts w:ascii="Times New Roman" w:hAnsi="Times New Roman" w:cs="Times New Roman"/>
                      <w:color w:val="auto"/>
                      <w:spacing w:val="12"/>
                      <w:sz w:val="21"/>
                      <w:szCs w:val="21"/>
                    </w:rPr>
                    <w:t>/</w:t>
                  </w:r>
                  <w:r>
                    <w:rPr>
                      <w:rFonts w:ascii="Times New Roman" w:hAnsi="Times New Roman" w:cs="Times New Roman"/>
                      <w:color w:val="auto"/>
                      <w:sz w:val="21"/>
                      <w:szCs w:val="21"/>
                    </w:rPr>
                    <w:t>kg</w:t>
                  </w:r>
                  <w:r>
                    <w:rPr>
                      <w:rFonts w:ascii="Times New Roman" w:hAnsi="Times New Roman" w:cs="Times New Roman"/>
                      <w:color w:val="auto"/>
                      <w:spacing w:val="12"/>
                      <w:sz w:val="21"/>
                      <w:szCs w:val="21"/>
                    </w:rPr>
                    <w:t>-</w:t>
                  </w:r>
                  <w:r>
                    <w:rPr>
                      <w:rFonts w:ascii="Times New Roman" w:hAnsi="Times New Roman" w:cs="Times New Roman"/>
                      <w:color w:val="auto"/>
                      <w:sz w:val="21"/>
                      <w:szCs w:val="21"/>
                    </w:rPr>
                    <w:t>cem</w:t>
                  </w:r>
                  <w:r>
                    <w:rPr>
                      <w:rFonts w:ascii="Times New Roman" w:hAnsi="Times New Roman" w:cs="Times New Roman"/>
                      <w:color w:val="auto"/>
                      <w:spacing w:val="12"/>
                      <w:sz w:val="21"/>
                      <w:szCs w:val="21"/>
                    </w:rPr>
                    <w:t>的重金属，最大允许投加量还包括磨制水泥时由混合材带入的重金属。</w:t>
                  </w:r>
                </w:p>
              </w:tc>
              <w:tc>
                <w:tcPr>
                  <w:tcW w:w="3306" w:type="dxa"/>
                  <w:vMerge/>
                  <w:tcBorders>
                    <w:left w:val="single" w:sz="2" w:space="0" w:color="000000"/>
                    <w:right w:val="single" w:sz="2" w:space="0" w:color="000000"/>
                  </w:tcBorders>
                  <w:vAlign w:val="center"/>
                </w:tcPr>
                <w:p w14:paraId="32D3A529"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7C73E16B" w14:textId="77777777" w:rsidR="00F76A63" w:rsidRDefault="00F76A63">
                  <w:pPr>
                    <w:jc w:val="center"/>
                    <w:rPr>
                      <w:szCs w:val="21"/>
                    </w:rPr>
                  </w:pPr>
                </w:p>
              </w:tc>
            </w:tr>
            <w:tr w:rsidR="00F76A63" w14:paraId="18221A6D" w14:textId="77777777">
              <w:trPr>
                <w:trHeight w:val="103"/>
                <w:jc w:val="center"/>
              </w:trPr>
              <w:tc>
                <w:tcPr>
                  <w:tcW w:w="625" w:type="dxa"/>
                  <w:vMerge/>
                  <w:tcBorders>
                    <w:left w:val="nil"/>
                    <w:right w:val="single" w:sz="2" w:space="0" w:color="000000"/>
                  </w:tcBorders>
                  <w:vAlign w:val="center"/>
                </w:tcPr>
                <w:p w14:paraId="67949270"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49C2D36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235659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6.6.8</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3"/>
                      <w:sz w:val="21"/>
                      <w:szCs w:val="21"/>
                    </w:rPr>
                    <w:t>协同处置企业应根据水泥生产工艺特点，</w:t>
                  </w:r>
                  <w:r>
                    <w:rPr>
                      <w:rFonts w:ascii="Times New Roman" w:hAnsi="Times New Roman" w:cs="Times New Roman"/>
                      <w:color w:val="auto"/>
                      <w:spacing w:val="12"/>
                      <w:sz w:val="21"/>
                      <w:szCs w:val="21"/>
                    </w:rPr>
                    <w:t>控制随物料入窑的氯（</w:t>
                  </w:r>
                  <w:r>
                    <w:rPr>
                      <w:rFonts w:ascii="Times New Roman" w:hAnsi="Times New Roman" w:cs="Times New Roman"/>
                      <w:color w:val="auto"/>
                      <w:sz w:val="21"/>
                      <w:szCs w:val="21"/>
                    </w:rPr>
                    <w:t>Cl</w:t>
                  </w:r>
                  <w:r>
                    <w:rPr>
                      <w:rFonts w:ascii="Times New Roman" w:hAnsi="Times New Roman" w:cs="Times New Roman"/>
                      <w:color w:val="auto"/>
                      <w:spacing w:val="12"/>
                      <w:sz w:val="21"/>
                      <w:szCs w:val="21"/>
                    </w:rPr>
                    <w:t>）和氟（</w:t>
                  </w:r>
                  <w:r>
                    <w:rPr>
                      <w:rFonts w:ascii="Times New Roman" w:hAnsi="Times New Roman" w:cs="Times New Roman"/>
                      <w:color w:val="auto"/>
                      <w:spacing w:val="12"/>
                      <w:sz w:val="21"/>
                      <w:szCs w:val="21"/>
                    </w:rPr>
                    <w:t>F</w:t>
                  </w:r>
                  <w:r>
                    <w:rPr>
                      <w:rFonts w:ascii="Times New Roman" w:hAnsi="Times New Roman" w:cs="Times New Roman"/>
                      <w:color w:val="auto"/>
                      <w:spacing w:val="12"/>
                      <w:sz w:val="21"/>
                      <w:szCs w:val="21"/>
                    </w:rPr>
                    <w:t>）元素的投加量，</w:t>
                  </w:r>
                  <w:r>
                    <w:rPr>
                      <w:rFonts w:ascii="Times New Roman" w:hAnsi="Times New Roman" w:cs="Times New Roman"/>
                      <w:color w:val="auto"/>
                      <w:spacing w:val="-57"/>
                      <w:sz w:val="21"/>
                      <w:szCs w:val="21"/>
                    </w:rPr>
                    <w:t xml:space="preserve"> </w:t>
                  </w:r>
                  <w:r>
                    <w:rPr>
                      <w:rFonts w:ascii="Times New Roman" w:hAnsi="Times New Roman" w:cs="Times New Roman"/>
                      <w:color w:val="auto"/>
                      <w:spacing w:val="12"/>
                      <w:sz w:val="21"/>
                      <w:szCs w:val="21"/>
                    </w:rPr>
                    <w:t>以保证水泥的正常生产和熟料质量符合国家标准</w:t>
                  </w:r>
                  <w:r>
                    <w:rPr>
                      <w:rFonts w:ascii="Times New Roman" w:hAnsi="Times New Roman" w:cs="Times New Roman"/>
                      <w:color w:val="auto"/>
                      <w:spacing w:val="11"/>
                      <w:sz w:val="21"/>
                      <w:szCs w:val="21"/>
                    </w:rPr>
                    <w:t>。入窑物</w:t>
                  </w:r>
                  <w:r>
                    <w:rPr>
                      <w:rFonts w:ascii="Times New Roman" w:hAnsi="Times New Roman" w:cs="Times New Roman"/>
                      <w:color w:val="auto"/>
                      <w:spacing w:val="10"/>
                      <w:sz w:val="21"/>
                      <w:szCs w:val="21"/>
                    </w:rPr>
                    <w:t>料中氟元素含量不应大于</w:t>
                  </w:r>
                  <w:r>
                    <w:rPr>
                      <w:rFonts w:ascii="Times New Roman" w:hAnsi="Times New Roman" w:cs="Times New Roman"/>
                      <w:color w:val="auto"/>
                      <w:spacing w:val="10"/>
                      <w:sz w:val="21"/>
                      <w:szCs w:val="21"/>
                    </w:rPr>
                    <w:t>0.5%</w:t>
                  </w:r>
                  <w:r>
                    <w:rPr>
                      <w:rFonts w:ascii="Times New Roman" w:hAnsi="Times New Roman" w:cs="Times New Roman"/>
                      <w:color w:val="auto"/>
                      <w:spacing w:val="10"/>
                      <w:sz w:val="21"/>
                      <w:szCs w:val="21"/>
                    </w:rPr>
                    <w:t>，氯元素含</w:t>
                  </w:r>
                  <w:r>
                    <w:rPr>
                      <w:rFonts w:ascii="Times New Roman" w:hAnsi="Times New Roman" w:cs="Times New Roman"/>
                      <w:color w:val="auto"/>
                      <w:spacing w:val="9"/>
                      <w:sz w:val="21"/>
                      <w:szCs w:val="21"/>
                    </w:rPr>
                    <w:t>量不应大于</w:t>
                  </w:r>
                  <w:r>
                    <w:rPr>
                      <w:rFonts w:ascii="Times New Roman" w:hAnsi="Times New Roman" w:cs="Times New Roman"/>
                      <w:color w:val="auto"/>
                      <w:spacing w:val="9"/>
                      <w:sz w:val="21"/>
                      <w:szCs w:val="21"/>
                    </w:rPr>
                    <w:t>0.04%</w:t>
                  </w:r>
                  <w:r>
                    <w:rPr>
                      <w:rFonts w:ascii="Times New Roman" w:hAnsi="Times New Roman" w:cs="Times New Roman"/>
                      <w:color w:val="auto"/>
                      <w:spacing w:val="9"/>
                      <w:sz w:val="21"/>
                      <w:szCs w:val="21"/>
                    </w:rPr>
                    <w:t>。</w:t>
                  </w:r>
                </w:p>
              </w:tc>
              <w:tc>
                <w:tcPr>
                  <w:tcW w:w="3306" w:type="dxa"/>
                  <w:vMerge/>
                  <w:tcBorders>
                    <w:left w:val="single" w:sz="2" w:space="0" w:color="000000"/>
                    <w:right w:val="single" w:sz="2" w:space="0" w:color="000000"/>
                  </w:tcBorders>
                  <w:vAlign w:val="center"/>
                </w:tcPr>
                <w:p w14:paraId="65875B1F"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14BFAB7A" w14:textId="77777777" w:rsidR="00F76A63" w:rsidRDefault="00F76A63">
                  <w:pPr>
                    <w:jc w:val="center"/>
                    <w:rPr>
                      <w:szCs w:val="21"/>
                    </w:rPr>
                  </w:pPr>
                </w:p>
              </w:tc>
            </w:tr>
            <w:tr w:rsidR="00F76A63" w14:paraId="5181A565" w14:textId="77777777">
              <w:trPr>
                <w:trHeight w:val="103"/>
                <w:jc w:val="center"/>
              </w:trPr>
              <w:tc>
                <w:tcPr>
                  <w:tcW w:w="625" w:type="dxa"/>
                  <w:vMerge/>
                  <w:tcBorders>
                    <w:left w:val="nil"/>
                    <w:bottom w:val="single" w:sz="2" w:space="0" w:color="000000"/>
                    <w:right w:val="single" w:sz="2" w:space="0" w:color="000000"/>
                  </w:tcBorders>
                  <w:vAlign w:val="center"/>
                </w:tcPr>
                <w:p w14:paraId="6F5C766D"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49382198"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96D909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6.6.9</w:t>
                  </w:r>
                  <w:r>
                    <w:rPr>
                      <w:rFonts w:ascii="Times New Roman" w:hAnsi="Times New Roman" w:cs="Times New Roman"/>
                      <w:color w:val="auto"/>
                      <w:spacing w:val="36"/>
                      <w:sz w:val="21"/>
                      <w:szCs w:val="21"/>
                    </w:rPr>
                    <w:t xml:space="preserve"> </w:t>
                  </w:r>
                  <w:r>
                    <w:rPr>
                      <w:rFonts w:ascii="Times New Roman" w:hAnsi="Times New Roman" w:cs="Times New Roman"/>
                      <w:color w:val="auto"/>
                      <w:spacing w:val="12"/>
                      <w:sz w:val="21"/>
                      <w:szCs w:val="21"/>
                    </w:rPr>
                    <w:t>协同处置企业应控制物料中硫元素的投加量。通过配料系统投加的物料中硫</w:t>
                  </w:r>
                  <w:r>
                    <w:rPr>
                      <w:rFonts w:ascii="Times New Roman" w:hAnsi="Times New Roman" w:cs="Times New Roman"/>
                      <w:color w:val="auto"/>
                      <w:spacing w:val="13"/>
                      <w:sz w:val="21"/>
                      <w:szCs w:val="21"/>
                    </w:rPr>
                    <w:t>化物硫与有机硫总含量不应大于</w:t>
                  </w:r>
                  <w:r>
                    <w:rPr>
                      <w:rFonts w:ascii="Times New Roman" w:hAnsi="Times New Roman" w:cs="Times New Roman"/>
                      <w:color w:val="auto"/>
                      <w:spacing w:val="13"/>
                      <w:sz w:val="21"/>
                      <w:szCs w:val="21"/>
                    </w:rPr>
                    <w:t>0.014</w:t>
                  </w:r>
                  <w:r>
                    <w:rPr>
                      <w:rFonts w:ascii="Times New Roman" w:hAnsi="Times New Roman" w:cs="Times New Roman"/>
                      <w:color w:val="auto"/>
                      <w:spacing w:val="12"/>
                      <w:sz w:val="21"/>
                      <w:szCs w:val="21"/>
                    </w:rPr>
                    <w:t>%</w:t>
                  </w:r>
                  <w:r>
                    <w:rPr>
                      <w:rFonts w:ascii="Times New Roman" w:hAnsi="Times New Roman" w:cs="Times New Roman"/>
                      <w:color w:val="auto"/>
                      <w:spacing w:val="12"/>
                      <w:sz w:val="21"/>
                      <w:szCs w:val="21"/>
                    </w:rPr>
                    <w:t>；从窑头、窑尾高温区投加的全硫与配料</w:t>
                  </w:r>
                  <w:r>
                    <w:rPr>
                      <w:rFonts w:ascii="Times New Roman" w:hAnsi="Times New Roman" w:cs="Times New Roman"/>
                      <w:color w:val="auto"/>
                      <w:spacing w:val="13"/>
                      <w:sz w:val="21"/>
                      <w:szCs w:val="21"/>
                    </w:rPr>
                    <w:t>系统投加的硫酸盐硫总投加量不应大于</w:t>
                  </w:r>
                  <w:r>
                    <w:rPr>
                      <w:rFonts w:ascii="Times New Roman" w:hAnsi="Times New Roman" w:cs="Times New Roman"/>
                      <w:color w:val="auto"/>
                      <w:spacing w:val="-33"/>
                      <w:sz w:val="21"/>
                      <w:szCs w:val="21"/>
                    </w:rPr>
                    <w:t xml:space="preserve"> </w:t>
                  </w:r>
                  <w:r>
                    <w:rPr>
                      <w:rFonts w:ascii="Times New Roman" w:hAnsi="Times New Roman" w:cs="Times New Roman"/>
                      <w:color w:val="auto"/>
                      <w:spacing w:val="13"/>
                      <w:sz w:val="21"/>
                      <w:szCs w:val="21"/>
                    </w:rPr>
                    <w:t>3000</w:t>
                  </w:r>
                  <w:r>
                    <w:rPr>
                      <w:rFonts w:ascii="Times New Roman" w:hAnsi="Times New Roman" w:cs="Times New Roman"/>
                      <w:color w:val="auto"/>
                      <w:sz w:val="21"/>
                      <w:szCs w:val="21"/>
                    </w:rPr>
                    <w:t>mg</w:t>
                  </w:r>
                  <w:r>
                    <w:rPr>
                      <w:rFonts w:ascii="Times New Roman" w:hAnsi="Times New Roman" w:cs="Times New Roman"/>
                      <w:color w:val="auto"/>
                      <w:spacing w:val="13"/>
                      <w:sz w:val="21"/>
                      <w:szCs w:val="21"/>
                    </w:rPr>
                    <w:t>/</w:t>
                  </w:r>
                  <w:r>
                    <w:rPr>
                      <w:rFonts w:ascii="Times New Roman" w:hAnsi="Times New Roman" w:cs="Times New Roman"/>
                      <w:color w:val="auto"/>
                      <w:sz w:val="21"/>
                      <w:szCs w:val="21"/>
                    </w:rPr>
                    <w:t>kg</w:t>
                  </w:r>
                  <w:r>
                    <w:rPr>
                      <w:rFonts w:ascii="Times New Roman" w:hAnsi="Times New Roman" w:cs="Times New Roman"/>
                      <w:color w:val="auto"/>
                      <w:spacing w:val="13"/>
                      <w:sz w:val="21"/>
                      <w:szCs w:val="21"/>
                    </w:rPr>
                    <w:t>-</w:t>
                  </w:r>
                  <w:r>
                    <w:rPr>
                      <w:rFonts w:ascii="Times New Roman" w:hAnsi="Times New Roman" w:cs="Times New Roman"/>
                      <w:color w:val="auto"/>
                      <w:sz w:val="21"/>
                      <w:szCs w:val="21"/>
                    </w:rPr>
                    <w:t>cli</w:t>
                  </w:r>
                  <w:r>
                    <w:rPr>
                      <w:rFonts w:ascii="Times New Roman" w:hAnsi="Times New Roman" w:cs="Times New Roman"/>
                      <w:color w:val="auto"/>
                      <w:spacing w:val="13"/>
                      <w:sz w:val="21"/>
                      <w:szCs w:val="21"/>
                    </w:rPr>
                    <w:t>。</w:t>
                  </w:r>
                </w:p>
              </w:tc>
              <w:tc>
                <w:tcPr>
                  <w:tcW w:w="3306" w:type="dxa"/>
                  <w:vMerge/>
                  <w:tcBorders>
                    <w:left w:val="single" w:sz="2" w:space="0" w:color="000000"/>
                    <w:bottom w:val="single" w:sz="2" w:space="0" w:color="000000"/>
                    <w:right w:val="single" w:sz="2" w:space="0" w:color="000000"/>
                  </w:tcBorders>
                  <w:vAlign w:val="center"/>
                </w:tcPr>
                <w:p w14:paraId="4B500E66"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59454555" w14:textId="77777777" w:rsidR="00F76A63" w:rsidRDefault="00F76A63">
                  <w:pPr>
                    <w:jc w:val="center"/>
                    <w:rPr>
                      <w:szCs w:val="21"/>
                    </w:rPr>
                  </w:pPr>
                </w:p>
              </w:tc>
            </w:tr>
            <w:tr w:rsidR="00F76A63" w14:paraId="59FCC5D3" w14:textId="77777777">
              <w:trPr>
                <w:trHeight w:val="477"/>
                <w:jc w:val="center"/>
              </w:trPr>
              <w:tc>
                <w:tcPr>
                  <w:tcW w:w="625" w:type="dxa"/>
                  <w:vMerge w:val="restart"/>
                  <w:tcBorders>
                    <w:top w:val="single" w:sz="2" w:space="0" w:color="000000"/>
                    <w:left w:val="nil"/>
                    <w:right w:val="single" w:sz="2" w:space="0" w:color="000000"/>
                  </w:tcBorders>
                  <w:vAlign w:val="center"/>
                </w:tcPr>
                <w:p w14:paraId="75B2F386" w14:textId="77777777" w:rsidR="00F76A63" w:rsidRDefault="00000000">
                  <w:pPr>
                    <w:jc w:val="center"/>
                    <w:rPr>
                      <w:szCs w:val="21"/>
                    </w:rPr>
                  </w:pPr>
                  <w:r>
                    <w:rPr>
                      <w:szCs w:val="21"/>
                    </w:rPr>
                    <w:t>7.</w:t>
                  </w:r>
                  <w:r>
                    <w:rPr>
                      <w:szCs w:val="21"/>
                    </w:rPr>
                    <w:t>协同处置污染物排放控制要求</w:t>
                  </w:r>
                </w:p>
              </w:tc>
              <w:tc>
                <w:tcPr>
                  <w:tcW w:w="1995" w:type="dxa"/>
                  <w:gridSpan w:val="2"/>
                  <w:vMerge w:val="restart"/>
                  <w:tcBorders>
                    <w:top w:val="single" w:sz="2" w:space="0" w:color="000000"/>
                    <w:left w:val="single" w:sz="2" w:space="0" w:color="000000"/>
                    <w:right w:val="single" w:sz="2" w:space="0" w:color="000000"/>
                  </w:tcBorders>
                  <w:vAlign w:val="center"/>
                </w:tcPr>
                <w:p w14:paraId="6D3541BB"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7.1 </w:t>
                  </w:r>
                  <w:r>
                    <w:rPr>
                      <w:rFonts w:ascii="Times New Roman" w:hAnsi="Times New Roman" w:cs="Times New Roman"/>
                      <w:color w:val="auto"/>
                      <w:spacing w:val="3"/>
                      <w:sz w:val="21"/>
                      <w:szCs w:val="21"/>
                    </w:rPr>
                    <w:t>窑灰排放和旁路放风控制</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F278C0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7.1.1 </w:t>
                  </w:r>
                  <w:r>
                    <w:rPr>
                      <w:rFonts w:ascii="Times New Roman" w:hAnsi="Times New Roman" w:cs="Times New Roman"/>
                      <w:color w:val="auto"/>
                      <w:spacing w:val="11"/>
                      <w:sz w:val="21"/>
                      <w:szCs w:val="21"/>
                    </w:rPr>
                    <w:t>为避免外循环过程中挥发性元素（</w:t>
                  </w:r>
                  <w:r>
                    <w:rPr>
                      <w:rFonts w:ascii="Times New Roman" w:hAnsi="Times New Roman" w:cs="Times New Roman"/>
                      <w:color w:val="auto"/>
                      <w:sz w:val="21"/>
                      <w:szCs w:val="21"/>
                    </w:rPr>
                    <w:t>Hg</w:t>
                  </w:r>
                  <w:r>
                    <w:rPr>
                      <w:rFonts w:ascii="Times New Roman" w:hAnsi="Times New Roman" w:cs="Times New Roman"/>
                      <w:color w:val="auto"/>
                      <w:spacing w:val="11"/>
                      <w:sz w:val="21"/>
                      <w:szCs w:val="21"/>
                    </w:rPr>
                    <w:t>、</w:t>
                  </w:r>
                  <w:r>
                    <w:rPr>
                      <w:rFonts w:ascii="Times New Roman" w:hAnsi="Times New Roman" w:cs="Times New Roman"/>
                      <w:color w:val="auto"/>
                      <w:sz w:val="21"/>
                      <w:szCs w:val="21"/>
                    </w:rPr>
                    <w:t>Tl</w:t>
                  </w:r>
                  <w:r>
                    <w:rPr>
                      <w:rFonts w:ascii="Times New Roman" w:hAnsi="Times New Roman" w:cs="Times New Roman"/>
                      <w:color w:val="auto"/>
                      <w:spacing w:val="11"/>
                      <w:sz w:val="21"/>
                      <w:szCs w:val="21"/>
                    </w:rPr>
                    <w:t>）在窑内的过度累积，协同处置水</w:t>
                  </w:r>
                  <w:r>
                    <w:rPr>
                      <w:rFonts w:ascii="Times New Roman" w:hAnsi="Times New Roman" w:cs="Times New Roman"/>
                      <w:color w:val="auto"/>
                      <w:spacing w:val="13"/>
                      <w:sz w:val="21"/>
                      <w:szCs w:val="21"/>
                    </w:rPr>
                    <w:t>泥企业在发现排放烟气中</w:t>
                  </w:r>
                  <w:r>
                    <w:rPr>
                      <w:rFonts w:ascii="Times New Roman" w:hAnsi="Times New Roman" w:cs="Times New Roman"/>
                      <w:color w:val="auto"/>
                      <w:sz w:val="21"/>
                      <w:szCs w:val="21"/>
                    </w:rPr>
                    <w:t>Hg</w:t>
                  </w:r>
                  <w:r>
                    <w:rPr>
                      <w:rFonts w:ascii="Times New Roman" w:hAnsi="Times New Roman" w:cs="Times New Roman"/>
                      <w:color w:val="auto"/>
                      <w:spacing w:val="13"/>
                      <w:sz w:val="21"/>
                      <w:szCs w:val="21"/>
                    </w:rPr>
                    <w:t>或</w:t>
                  </w:r>
                  <w:r>
                    <w:rPr>
                      <w:rFonts w:ascii="Times New Roman" w:hAnsi="Times New Roman" w:cs="Times New Roman"/>
                      <w:color w:val="auto"/>
                      <w:sz w:val="21"/>
                      <w:szCs w:val="21"/>
                    </w:rPr>
                    <w:t>Tl</w:t>
                  </w:r>
                  <w:r>
                    <w:rPr>
                      <w:rFonts w:ascii="Times New Roman" w:hAnsi="Times New Roman" w:cs="Times New Roman"/>
                      <w:color w:val="auto"/>
                      <w:spacing w:val="13"/>
                      <w:sz w:val="21"/>
                      <w:szCs w:val="21"/>
                    </w:rPr>
                    <w:t>浓度过高时宜将除尘器收集的窑灰</w:t>
                  </w:r>
                  <w:r>
                    <w:rPr>
                      <w:rFonts w:ascii="Times New Roman" w:hAnsi="Times New Roman" w:cs="Times New Roman"/>
                      <w:color w:val="auto"/>
                      <w:spacing w:val="12"/>
                      <w:sz w:val="21"/>
                      <w:szCs w:val="21"/>
                    </w:rPr>
                    <w:t>中的一部分</w:t>
                  </w:r>
                  <w:r>
                    <w:rPr>
                      <w:rFonts w:ascii="Times New Roman" w:hAnsi="Times New Roman" w:cs="Times New Roman"/>
                      <w:color w:val="auto"/>
                      <w:spacing w:val="11"/>
                      <w:sz w:val="21"/>
                      <w:szCs w:val="21"/>
                    </w:rPr>
                    <w:t>排出水泥窑循环系统。</w:t>
                  </w:r>
                </w:p>
              </w:tc>
              <w:tc>
                <w:tcPr>
                  <w:tcW w:w="3306" w:type="dxa"/>
                  <w:vMerge w:val="restart"/>
                  <w:tcBorders>
                    <w:top w:val="single" w:sz="2" w:space="0" w:color="000000"/>
                    <w:left w:val="single" w:sz="2" w:space="0" w:color="000000"/>
                    <w:right w:val="single" w:sz="2" w:space="0" w:color="000000"/>
                  </w:tcBorders>
                  <w:vAlign w:val="center"/>
                </w:tcPr>
                <w:p w14:paraId="1B34EF4C"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现有窑尾布袋除尘器产生的除尘灰返回原料磨；旁路放风灰经旋风分离</w:t>
                  </w:r>
                  <w:r>
                    <w:rPr>
                      <w:rFonts w:ascii="Times New Roman" w:hAnsi="Times New Roman" w:cs="Times New Roman"/>
                      <w:color w:val="auto"/>
                      <w:spacing w:val="10"/>
                      <w:sz w:val="21"/>
                      <w:szCs w:val="21"/>
                    </w:rPr>
                    <w:t>+</w:t>
                  </w:r>
                  <w:r>
                    <w:rPr>
                      <w:rFonts w:ascii="Times New Roman" w:hAnsi="Times New Roman" w:cs="Times New Roman"/>
                      <w:color w:val="auto"/>
                      <w:spacing w:val="10"/>
                      <w:sz w:val="21"/>
                      <w:szCs w:val="21"/>
                    </w:rPr>
                    <w:t>布袋除尘收集的粉尘通过水洗脱盐处理后入窑焚烧。</w:t>
                  </w:r>
                </w:p>
                <w:p w14:paraId="58CCF3E6"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定期对水泥熟料样品进行化验分析，确保水泥产品中氯、碱、硫含量满足要求，水泥产品环境安全性满足相关标准要求。</w:t>
                  </w:r>
                </w:p>
              </w:tc>
              <w:tc>
                <w:tcPr>
                  <w:tcW w:w="789" w:type="dxa"/>
                  <w:vMerge w:val="restart"/>
                  <w:tcBorders>
                    <w:top w:val="single" w:sz="2" w:space="0" w:color="000000"/>
                    <w:left w:val="single" w:sz="2" w:space="0" w:color="000000"/>
                    <w:right w:val="nil"/>
                  </w:tcBorders>
                  <w:vAlign w:val="center"/>
                </w:tcPr>
                <w:p w14:paraId="49B5AEB9" w14:textId="77777777" w:rsidR="00F76A63" w:rsidRDefault="00000000">
                  <w:pPr>
                    <w:jc w:val="center"/>
                    <w:rPr>
                      <w:szCs w:val="21"/>
                    </w:rPr>
                  </w:pPr>
                  <w:r>
                    <w:rPr>
                      <w:szCs w:val="21"/>
                    </w:rPr>
                    <w:t>符合</w:t>
                  </w:r>
                </w:p>
              </w:tc>
            </w:tr>
            <w:tr w:rsidR="00F76A63" w14:paraId="2F9C23DA" w14:textId="77777777">
              <w:trPr>
                <w:trHeight w:val="476"/>
                <w:jc w:val="center"/>
              </w:trPr>
              <w:tc>
                <w:tcPr>
                  <w:tcW w:w="625" w:type="dxa"/>
                  <w:vMerge/>
                  <w:tcBorders>
                    <w:left w:val="nil"/>
                    <w:right w:val="single" w:sz="2" w:space="0" w:color="000000"/>
                  </w:tcBorders>
                  <w:vAlign w:val="center"/>
                </w:tcPr>
                <w:p w14:paraId="513E0897"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3DC79FF"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C41101D"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 xml:space="preserve">7.1.2 </w:t>
                  </w:r>
                  <w:r>
                    <w:rPr>
                      <w:rFonts w:ascii="Times New Roman" w:hAnsi="Times New Roman" w:cs="Times New Roman"/>
                      <w:color w:val="auto"/>
                      <w:spacing w:val="11"/>
                      <w:sz w:val="21"/>
                      <w:szCs w:val="21"/>
                    </w:rPr>
                    <w:t>为避免内循环过程中挥发性元素和物质（</w:t>
                  </w:r>
                  <w:r>
                    <w:rPr>
                      <w:rFonts w:ascii="Times New Roman" w:hAnsi="Times New Roman" w:cs="Times New Roman"/>
                      <w:color w:val="auto"/>
                      <w:sz w:val="21"/>
                      <w:szCs w:val="21"/>
                    </w:rPr>
                    <w:t>Pb</w:t>
                  </w:r>
                  <w:r>
                    <w:rPr>
                      <w:rFonts w:ascii="Times New Roman" w:hAnsi="Times New Roman" w:cs="Times New Roman"/>
                      <w:color w:val="auto"/>
                      <w:spacing w:val="11"/>
                      <w:sz w:val="21"/>
                      <w:szCs w:val="21"/>
                    </w:rPr>
                    <w:t>、</w:t>
                  </w:r>
                  <w:r>
                    <w:rPr>
                      <w:rFonts w:ascii="Times New Roman" w:hAnsi="Times New Roman" w:cs="Times New Roman"/>
                      <w:color w:val="auto"/>
                      <w:sz w:val="21"/>
                      <w:szCs w:val="21"/>
                    </w:rPr>
                    <w:t>Cd</w:t>
                  </w:r>
                  <w:r>
                    <w:rPr>
                      <w:rFonts w:ascii="Times New Roman" w:hAnsi="Times New Roman" w:cs="Times New Roman"/>
                      <w:color w:val="auto"/>
                      <w:spacing w:val="11"/>
                      <w:sz w:val="21"/>
                      <w:szCs w:val="21"/>
                    </w:rPr>
                    <w:t>、</w:t>
                  </w:r>
                  <w:r>
                    <w:rPr>
                      <w:rFonts w:ascii="Times New Roman" w:hAnsi="Times New Roman" w:cs="Times New Roman"/>
                      <w:color w:val="auto"/>
                      <w:sz w:val="21"/>
                      <w:szCs w:val="21"/>
                    </w:rPr>
                    <w:t>As</w:t>
                  </w:r>
                  <w:r>
                    <w:rPr>
                      <w:rFonts w:ascii="Times New Roman" w:hAnsi="Times New Roman" w:cs="Times New Roman"/>
                      <w:color w:val="auto"/>
                      <w:spacing w:val="10"/>
                      <w:sz w:val="21"/>
                      <w:szCs w:val="21"/>
                    </w:rPr>
                    <w:t>和碱金属氯化物、碱金属硫酸盐等）在窑内的过度积累，协同处置企业可定期进行预热器旁路放风。</w:t>
                  </w:r>
                </w:p>
              </w:tc>
              <w:tc>
                <w:tcPr>
                  <w:tcW w:w="3306" w:type="dxa"/>
                  <w:vMerge/>
                  <w:tcBorders>
                    <w:left w:val="single" w:sz="2" w:space="0" w:color="000000"/>
                    <w:right w:val="single" w:sz="2" w:space="0" w:color="000000"/>
                  </w:tcBorders>
                  <w:vAlign w:val="center"/>
                </w:tcPr>
                <w:p w14:paraId="771418A0"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5901A823" w14:textId="77777777" w:rsidR="00F76A63" w:rsidRDefault="00F76A63">
                  <w:pPr>
                    <w:jc w:val="center"/>
                    <w:rPr>
                      <w:szCs w:val="21"/>
                    </w:rPr>
                  </w:pPr>
                </w:p>
              </w:tc>
            </w:tr>
            <w:tr w:rsidR="00F76A63" w14:paraId="65DC9CE8" w14:textId="77777777">
              <w:trPr>
                <w:trHeight w:val="476"/>
                <w:jc w:val="center"/>
              </w:trPr>
              <w:tc>
                <w:tcPr>
                  <w:tcW w:w="625" w:type="dxa"/>
                  <w:vMerge/>
                  <w:tcBorders>
                    <w:left w:val="nil"/>
                    <w:right w:val="single" w:sz="2" w:space="0" w:color="000000"/>
                  </w:tcBorders>
                  <w:vAlign w:val="center"/>
                </w:tcPr>
                <w:p w14:paraId="14183392"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F7F258D"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BD0974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 xml:space="preserve">7.1.3 </w:t>
                  </w:r>
                  <w:r>
                    <w:rPr>
                      <w:rFonts w:ascii="Times New Roman" w:hAnsi="Times New Roman" w:cs="Times New Roman"/>
                      <w:color w:val="auto"/>
                      <w:spacing w:val="12"/>
                      <w:sz w:val="21"/>
                      <w:szCs w:val="21"/>
                    </w:rPr>
                    <w:t>未经处置的从水泥窑循环系统排出的</w:t>
                  </w:r>
                  <w:r>
                    <w:rPr>
                      <w:rFonts w:ascii="Times New Roman" w:hAnsi="Times New Roman" w:cs="Times New Roman"/>
                      <w:color w:val="auto"/>
                      <w:spacing w:val="11"/>
                      <w:sz w:val="21"/>
                      <w:szCs w:val="21"/>
                    </w:rPr>
                    <w:t>窑灰和旁路放风收集的粉尘不得再返回</w:t>
                  </w:r>
                  <w:r>
                    <w:rPr>
                      <w:rFonts w:ascii="Times New Roman" w:hAnsi="Times New Roman" w:cs="Times New Roman"/>
                      <w:color w:val="auto"/>
                      <w:spacing w:val="10"/>
                      <w:sz w:val="21"/>
                      <w:szCs w:val="21"/>
                    </w:rPr>
                    <w:t>水泥窑生产熟料。</w:t>
                  </w:r>
                </w:p>
              </w:tc>
              <w:tc>
                <w:tcPr>
                  <w:tcW w:w="3306" w:type="dxa"/>
                  <w:vMerge/>
                  <w:tcBorders>
                    <w:left w:val="single" w:sz="2" w:space="0" w:color="000000"/>
                    <w:right w:val="single" w:sz="2" w:space="0" w:color="000000"/>
                  </w:tcBorders>
                  <w:vAlign w:val="center"/>
                </w:tcPr>
                <w:p w14:paraId="1C4908DE"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8E5E05A" w14:textId="77777777" w:rsidR="00F76A63" w:rsidRDefault="00F76A63">
                  <w:pPr>
                    <w:jc w:val="center"/>
                    <w:rPr>
                      <w:szCs w:val="21"/>
                    </w:rPr>
                  </w:pPr>
                </w:p>
              </w:tc>
            </w:tr>
            <w:tr w:rsidR="00F76A63" w14:paraId="062476CE" w14:textId="77777777">
              <w:trPr>
                <w:trHeight w:val="476"/>
                <w:jc w:val="center"/>
              </w:trPr>
              <w:tc>
                <w:tcPr>
                  <w:tcW w:w="625" w:type="dxa"/>
                  <w:vMerge/>
                  <w:tcBorders>
                    <w:left w:val="nil"/>
                    <w:right w:val="single" w:sz="2" w:space="0" w:color="000000"/>
                  </w:tcBorders>
                  <w:vAlign w:val="center"/>
                </w:tcPr>
                <w:p w14:paraId="5B7C63AB"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4E088CD5"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90FAEE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 xml:space="preserve">7.1.4 </w:t>
                  </w:r>
                  <w:r>
                    <w:rPr>
                      <w:rFonts w:ascii="Times New Roman" w:hAnsi="Times New Roman" w:cs="Times New Roman"/>
                      <w:color w:val="auto"/>
                      <w:spacing w:val="12"/>
                      <w:sz w:val="21"/>
                      <w:szCs w:val="21"/>
                    </w:rPr>
                    <w:t>从水泥窑循环系统排出的窑灰和旁路放</w:t>
                  </w:r>
                  <w:r>
                    <w:rPr>
                      <w:rFonts w:ascii="Times New Roman" w:hAnsi="Times New Roman" w:cs="Times New Roman"/>
                      <w:color w:val="auto"/>
                      <w:spacing w:val="11"/>
                      <w:sz w:val="21"/>
                      <w:szCs w:val="21"/>
                    </w:rPr>
                    <w:t>风收集的粉尘若采用直接掺加入水泥</w:t>
                  </w:r>
                  <w:r>
                    <w:rPr>
                      <w:rFonts w:ascii="Times New Roman" w:hAnsi="Times New Roman" w:cs="Times New Roman"/>
                      <w:color w:val="auto"/>
                      <w:spacing w:val="13"/>
                      <w:sz w:val="21"/>
                      <w:szCs w:val="21"/>
                    </w:rPr>
                    <w:t>熟料的处置方式，应严格控制其掺加比例，确保水泥产品中的氯、碱、硫含量满</w:t>
                  </w:r>
                  <w:r>
                    <w:rPr>
                      <w:rFonts w:ascii="Times New Roman" w:hAnsi="Times New Roman" w:cs="Times New Roman"/>
                      <w:color w:val="auto"/>
                      <w:spacing w:val="12"/>
                      <w:sz w:val="21"/>
                      <w:szCs w:val="21"/>
                    </w:rPr>
                    <w:t>足要求，水泥产品环境安全性满足《水泥窑协同处置固体废物污染控制标准》</w:t>
                  </w:r>
                  <w:r>
                    <w:rPr>
                      <w:rFonts w:ascii="Times New Roman" w:hAnsi="Times New Roman" w:cs="Times New Roman"/>
                      <w:color w:val="auto"/>
                      <w:spacing w:val="-47"/>
                      <w:sz w:val="21"/>
                      <w:szCs w:val="21"/>
                    </w:rPr>
                    <w:t xml:space="preserve"> </w:t>
                  </w:r>
                  <w:r>
                    <w:rPr>
                      <w:rFonts w:ascii="Times New Roman" w:hAnsi="Times New Roman" w:cs="Times New Roman"/>
                      <w:color w:val="auto"/>
                      <w:spacing w:val="12"/>
                      <w:sz w:val="21"/>
                      <w:szCs w:val="21"/>
                    </w:rPr>
                    <w:t>的</w:t>
                  </w:r>
                  <w:r>
                    <w:rPr>
                      <w:rFonts w:ascii="Times New Roman" w:hAnsi="Times New Roman" w:cs="Times New Roman"/>
                      <w:color w:val="auto"/>
                      <w:spacing w:val="4"/>
                      <w:sz w:val="21"/>
                      <w:szCs w:val="21"/>
                    </w:rPr>
                    <w:t>要求。</w:t>
                  </w:r>
                </w:p>
              </w:tc>
              <w:tc>
                <w:tcPr>
                  <w:tcW w:w="3306" w:type="dxa"/>
                  <w:vMerge/>
                  <w:tcBorders>
                    <w:left w:val="single" w:sz="2" w:space="0" w:color="000000"/>
                    <w:bottom w:val="single" w:sz="2" w:space="0" w:color="000000"/>
                    <w:right w:val="single" w:sz="2" w:space="0" w:color="000000"/>
                  </w:tcBorders>
                  <w:vAlign w:val="center"/>
                </w:tcPr>
                <w:p w14:paraId="29B6BB5A"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623E2BD5" w14:textId="77777777" w:rsidR="00F76A63" w:rsidRDefault="00F76A63">
                  <w:pPr>
                    <w:jc w:val="center"/>
                    <w:rPr>
                      <w:szCs w:val="21"/>
                    </w:rPr>
                  </w:pPr>
                </w:p>
              </w:tc>
            </w:tr>
            <w:tr w:rsidR="00F76A63" w14:paraId="44007805" w14:textId="77777777">
              <w:trPr>
                <w:trHeight w:val="275"/>
                <w:jc w:val="center"/>
              </w:trPr>
              <w:tc>
                <w:tcPr>
                  <w:tcW w:w="625" w:type="dxa"/>
                  <w:vMerge/>
                  <w:tcBorders>
                    <w:left w:val="nil"/>
                    <w:right w:val="single" w:sz="2" w:space="0" w:color="000000"/>
                  </w:tcBorders>
                  <w:vAlign w:val="center"/>
                </w:tcPr>
                <w:p w14:paraId="3FEE69F1"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386329B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7.2</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4"/>
                      <w:sz w:val="21"/>
                      <w:szCs w:val="21"/>
                    </w:rPr>
                    <w:t>水泥</w:t>
                  </w:r>
                  <w:r>
                    <w:rPr>
                      <w:rFonts w:ascii="Times New Roman" w:hAnsi="Times New Roman" w:cs="Times New Roman"/>
                      <w:color w:val="auto"/>
                      <w:spacing w:val="10"/>
                      <w:sz w:val="21"/>
                      <w:szCs w:val="21"/>
                    </w:rPr>
                    <w:t>产品环境</w:t>
                  </w:r>
                  <w:r>
                    <w:rPr>
                      <w:rFonts w:ascii="Times New Roman" w:hAnsi="Times New Roman" w:cs="Times New Roman"/>
                      <w:color w:val="auto"/>
                      <w:spacing w:val="9"/>
                      <w:sz w:val="21"/>
                      <w:szCs w:val="21"/>
                    </w:rPr>
                    <w:t>安全性控</w:t>
                  </w:r>
                  <w:r>
                    <w:rPr>
                      <w:rFonts w:ascii="Times New Roman" w:hAnsi="Times New Roman" w:cs="Times New Roman"/>
                      <w:color w:val="auto"/>
                      <w:sz w:val="21"/>
                      <w:szCs w:val="21"/>
                    </w:rPr>
                    <w:t>制</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F44A2F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8"/>
                      <w:sz w:val="21"/>
                      <w:szCs w:val="21"/>
                    </w:rPr>
                    <w:t>7.2.1</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8"/>
                      <w:sz w:val="21"/>
                      <w:szCs w:val="21"/>
                    </w:rPr>
                    <w:t>生产的水泥产品质量应满足</w:t>
                  </w:r>
                  <w:r>
                    <w:rPr>
                      <w:rFonts w:ascii="Times New Roman" w:hAnsi="Times New Roman" w:cs="Times New Roman"/>
                      <w:color w:val="auto"/>
                      <w:spacing w:val="-33"/>
                      <w:sz w:val="21"/>
                      <w:szCs w:val="21"/>
                    </w:rPr>
                    <w:t xml:space="preserve"> </w:t>
                  </w:r>
                  <w:r>
                    <w:rPr>
                      <w:rFonts w:ascii="Times New Roman" w:hAnsi="Times New Roman" w:cs="Times New Roman"/>
                      <w:color w:val="auto"/>
                      <w:sz w:val="21"/>
                      <w:szCs w:val="21"/>
                    </w:rPr>
                    <w:t>GB</w:t>
                  </w:r>
                  <w:r>
                    <w:rPr>
                      <w:rFonts w:ascii="Times New Roman" w:hAnsi="Times New Roman" w:cs="Times New Roman"/>
                      <w:color w:val="auto"/>
                      <w:spacing w:val="8"/>
                      <w:sz w:val="21"/>
                      <w:szCs w:val="21"/>
                    </w:rPr>
                    <w:t>175</w:t>
                  </w:r>
                  <w:r>
                    <w:rPr>
                      <w:rFonts w:ascii="Times New Roman" w:hAnsi="Times New Roman" w:cs="Times New Roman"/>
                      <w:color w:val="auto"/>
                      <w:spacing w:val="8"/>
                      <w:sz w:val="21"/>
                      <w:szCs w:val="21"/>
                    </w:rPr>
                    <w:t>的要求。</w:t>
                  </w:r>
                </w:p>
              </w:tc>
              <w:tc>
                <w:tcPr>
                  <w:tcW w:w="3306" w:type="dxa"/>
                  <w:vMerge w:val="restart"/>
                  <w:tcBorders>
                    <w:top w:val="single" w:sz="2" w:space="0" w:color="000000"/>
                    <w:left w:val="single" w:sz="2" w:space="0" w:color="000000"/>
                    <w:right w:val="single" w:sz="2" w:space="0" w:color="000000"/>
                  </w:tcBorders>
                  <w:vAlign w:val="center"/>
                </w:tcPr>
                <w:p w14:paraId="172D4BEE"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根据本项目烧成处置重金属物料平衡分析，得出熟料重金属含量，熟料中重金属含量满足《水泥</w:t>
                  </w:r>
                  <w:r>
                    <w:rPr>
                      <w:rFonts w:ascii="Times New Roman" w:hAnsi="Times New Roman" w:cs="Times New Roman"/>
                      <w:color w:val="auto"/>
                      <w:spacing w:val="10"/>
                      <w:sz w:val="21"/>
                      <w:szCs w:val="21"/>
                    </w:rPr>
                    <w:lastRenderedPageBreak/>
                    <w:t>工厂设计规范》（</w:t>
                  </w:r>
                  <w:r>
                    <w:rPr>
                      <w:rFonts w:ascii="Times New Roman" w:hAnsi="Times New Roman" w:cs="Times New Roman"/>
                      <w:color w:val="auto"/>
                      <w:spacing w:val="10"/>
                      <w:sz w:val="21"/>
                      <w:szCs w:val="21"/>
                    </w:rPr>
                    <w:t>GB50295-2016</w:t>
                  </w:r>
                  <w:r>
                    <w:rPr>
                      <w:rFonts w:ascii="Times New Roman" w:hAnsi="Times New Roman" w:cs="Times New Roman"/>
                      <w:color w:val="auto"/>
                      <w:spacing w:val="10"/>
                      <w:sz w:val="21"/>
                      <w:szCs w:val="21"/>
                    </w:rPr>
                    <w:t>）要求，不会影响水泥品质。本项目水泥产品环境安全性可控。企业产品出厂之前，会对水泥进行鉴定，确保水泥产品中污染物的浸出应满足国家相关标准。</w:t>
                  </w:r>
                </w:p>
              </w:tc>
              <w:tc>
                <w:tcPr>
                  <w:tcW w:w="789" w:type="dxa"/>
                  <w:vMerge w:val="restart"/>
                  <w:tcBorders>
                    <w:top w:val="single" w:sz="2" w:space="0" w:color="000000"/>
                    <w:left w:val="single" w:sz="2" w:space="0" w:color="000000"/>
                    <w:right w:val="nil"/>
                  </w:tcBorders>
                  <w:vAlign w:val="center"/>
                </w:tcPr>
                <w:p w14:paraId="3FC6ADA5" w14:textId="77777777" w:rsidR="00F76A63" w:rsidRDefault="00000000">
                  <w:pPr>
                    <w:jc w:val="center"/>
                    <w:rPr>
                      <w:szCs w:val="21"/>
                    </w:rPr>
                  </w:pPr>
                  <w:r>
                    <w:rPr>
                      <w:szCs w:val="21"/>
                    </w:rPr>
                    <w:lastRenderedPageBreak/>
                    <w:t>符合</w:t>
                  </w:r>
                </w:p>
              </w:tc>
            </w:tr>
            <w:tr w:rsidR="00F76A63" w14:paraId="2A539EE5" w14:textId="77777777">
              <w:trPr>
                <w:trHeight w:val="275"/>
                <w:jc w:val="center"/>
              </w:trPr>
              <w:tc>
                <w:tcPr>
                  <w:tcW w:w="625" w:type="dxa"/>
                  <w:vMerge/>
                  <w:tcBorders>
                    <w:left w:val="nil"/>
                    <w:right w:val="single" w:sz="2" w:space="0" w:color="000000"/>
                  </w:tcBorders>
                  <w:vAlign w:val="center"/>
                </w:tcPr>
                <w:p w14:paraId="610932ED"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38F3A981"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6BA99E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7.2.2</w:t>
                  </w:r>
                  <w:r>
                    <w:rPr>
                      <w:rFonts w:ascii="Times New Roman" w:hAnsi="Times New Roman" w:cs="Times New Roman"/>
                      <w:color w:val="auto"/>
                      <w:spacing w:val="38"/>
                      <w:sz w:val="21"/>
                      <w:szCs w:val="21"/>
                    </w:rPr>
                    <w:t xml:space="preserve"> </w:t>
                  </w:r>
                  <w:r>
                    <w:rPr>
                      <w:rFonts w:ascii="Times New Roman" w:hAnsi="Times New Roman" w:cs="Times New Roman"/>
                      <w:color w:val="auto"/>
                      <w:spacing w:val="12"/>
                      <w:sz w:val="21"/>
                      <w:szCs w:val="21"/>
                    </w:rPr>
                    <w:t>协同处置固体废物的水泥窑生产的水泥产品中污染物的浸出应满足国家相关</w:t>
                  </w:r>
                  <w:r>
                    <w:rPr>
                      <w:rFonts w:ascii="Times New Roman" w:hAnsi="Times New Roman" w:cs="Times New Roman"/>
                      <w:color w:val="auto"/>
                      <w:spacing w:val="4"/>
                      <w:sz w:val="21"/>
                      <w:szCs w:val="21"/>
                    </w:rPr>
                    <w:t>标准。</w:t>
                  </w:r>
                </w:p>
              </w:tc>
              <w:tc>
                <w:tcPr>
                  <w:tcW w:w="3306" w:type="dxa"/>
                  <w:vMerge/>
                  <w:tcBorders>
                    <w:left w:val="single" w:sz="2" w:space="0" w:color="000000"/>
                    <w:right w:val="single" w:sz="2" w:space="0" w:color="000000"/>
                  </w:tcBorders>
                  <w:vAlign w:val="center"/>
                </w:tcPr>
                <w:p w14:paraId="6FAFC753"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57EBE34" w14:textId="77777777" w:rsidR="00F76A63" w:rsidRDefault="00F76A63">
                  <w:pPr>
                    <w:jc w:val="center"/>
                    <w:rPr>
                      <w:szCs w:val="21"/>
                    </w:rPr>
                  </w:pPr>
                </w:p>
              </w:tc>
            </w:tr>
            <w:tr w:rsidR="00F76A63" w14:paraId="0911EC0D" w14:textId="77777777">
              <w:trPr>
                <w:trHeight w:val="275"/>
                <w:jc w:val="center"/>
              </w:trPr>
              <w:tc>
                <w:tcPr>
                  <w:tcW w:w="625" w:type="dxa"/>
                  <w:vMerge/>
                  <w:tcBorders>
                    <w:left w:val="nil"/>
                    <w:right w:val="single" w:sz="2" w:space="0" w:color="000000"/>
                  </w:tcBorders>
                  <w:vAlign w:val="center"/>
                </w:tcPr>
                <w:p w14:paraId="65036E09"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4FA14DF9"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A39293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 xml:space="preserve">7.2.3 </w:t>
                  </w:r>
                  <w:r>
                    <w:rPr>
                      <w:rFonts w:ascii="Times New Roman" w:hAnsi="Times New Roman" w:cs="Times New Roman"/>
                      <w:color w:val="auto"/>
                      <w:spacing w:val="12"/>
                      <w:sz w:val="21"/>
                      <w:szCs w:val="21"/>
                    </w:rPr>
                    <w:t>协同处置固体废物的水泥窑生产的水泥产品的检测按照国家相关标准中的规</w:t>
                  </w:r>
                  <w:r>
                    <w:rPr>
                      <w:rFonts w:ascii="Times New Roman" w:hAnsi="Times New Roman" w:cs="Times New Roman"/>
                      <w:color w:val="auto"/>
                      <w:spacing w:val="5"/>
                      <w:sz w:val="21"/>
                      <w:szCs w:val="21"/>
                    </w:rPr>
                    <w:t>定执行。</w:t>
                  </w:r>
                </w:p>
              </w:tc>
              <w:tc>
                <w:tcPr>
                  <w:tcW w:w="3306" w:type="dxa"/>
                  <w:vMerge/>
                  <w:tcBorders>
                    <w:left w:val="single" w:sz="2" w:space="0" w:color="000000"/>
                    <w:bottom w:val="single" w:sz="2" w:space="0" w:color="000000"/>
                    <w:right w:val="single" w:sz="2" w:space="0" w:color="000000"/>
                  </w:tcBorders>
                  <w:vAlign w:val="center"/>
                </w:tcPr>
                <w:p w14:paraId="7DEF0210"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552F0CFB" w14:textId="77777777" w:rsidR="00F76A63" w:rsidRDefault="00F76A63">
                  <w:pPr>
                    <w:jc w:val="center"/>
                    <w:rPr>
                      <w:szCs w:val="21"/>
                    </w:rPr>
                  </w:pPr>
                </w:p>
              </w:tc>
            </w:tr>
            <w:tr w:rsidR="00F76A63" w14:paraId="0FE3ABE1" w14:textId="77777777">
              <w:trPr>
                <w:trHeight w:val="275"/>
                <w:jc w:val="center"/>
              </w:trPr>
              <w:tc>
                <w:tcPr>
                  <w:tcW w:w="625" w:type="dxa"/>
                  <w:vMerge/>
                  <w:tcBorders>
                    <w:left w:val="nil"/>
                    <w:right w:val="single" w:sz="2" w:space="0" w:color="000000"/>
                  </w:tcBorders>
                  <w:vAlign w:val="center"/>
                </w:tcPr>
                <w:p w14:paraId="0F9973A9"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0CF6D212"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4"/>
                      <w:sz w:val="21"/>
                      <w:szCs w:val="21"/>
                    </w:rPr>
                    <w:t>7.3</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4"/>
                      <w:sz w:val="21"/>
                      <w:szCs w:val="21"/>
                    </w:rPr>
                    <w:t>烟气</w:t>
                  </w:r>
                  <w:r>
                    <w:rPr>
                      <w:rFonts w:ascii="Times New Roman" w:hAnsi="Times New Roman" w:cs="Times New Roman"/>
                      <w:color w:val="auto"/>
                      <w:spacing w:val="10"/>
                      <w:sz w:val="21"/>
                      <w:szCs w:val="21"/>
                    </w:rPr>
                    <w:t>排放控制</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3E5AE70"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 xml:space="preserve">7.3.1 </w:t>
                  </w:r>
                  <w:r>
                    <w:rPr>
                      <w:rFonts w:ascii="Times New Roman" w:hAnsi="Times New Roman" w:cs="Times New Roman"/>
                      <w:color w:val="auto"/>
                      <w:spacing w:val="12"/>
                      <w:sz w:val="21"/>
                      <w:szCs w:val="21"/>
                    </w:rPr>
                    <w:t>水泥窑协同处置固体废物的排放</w:t>
                  </w:r>
                  <w:r>
                    <w:rPr>
                      <w:rFonts w:ascii="Times New Roman" w:hAnsi="Times New Roman" w:cs="Times New Roman"/>
                      <w:color w:val="auto"/>
                      <w:spacing w:val="11"/>
                      <w:sz w:val="21"/>
                      <w:szCs w:val="21"/>
                    </w:rPr>
                    <w:t>烟气应满足《水泥窑协同处置固体废物污染</w:t>
                  </w:r>
                  <w:r>
                    <w:rPr>
                      <w:rFonts w:ascii="Times New Roman" w:hAnsi="Times New Roman" w:cs="Times New Roman"/>
                      <w:color w:val="auto"/>
                      <w:spacing w:val="5"/>
                      <w:sz w:val="21"/>
                      <w:szCs w:val="21"/>
                    </w:rPr>
                    <w:t>控制标准》</w:t>
                  </w:r>
                  <w:r>
                    <w:rPr>
                      <w:rFonts w:ascii="Times New Roman" w:hAnsi="Times New Roman" w:cs="Times New Roman"/>
                      <w:color w:val="auto"/>
                      <w:spacing w:val="-47"/>
                      <w:sz w:val="21"/>
                      <w:szCs w:val="21"/>
                    </w:rPr>
                    <w:t xml:space="preserve"> </w:t>
                  </w:r>
                  <w:r>
                    <w:rPr>
                      <w:rFonts w:ascii="Times New Roman" w:hAnsi="Times New Roman" w:cs="Times New Roman"/>
                      <w:color w:val="auto"/>
                      <w:spacing w:val="5"/>
                      <w:sz w:val="21"/>
                      <w:szCs w:val="21"/>
                    </w:rPr>
                    <w:t>的要求。</w:t>
                  </w:r>
                </w:p>
              </w:tc>
              <w:tc>
                <w:tcPr>
                  <w:tcW w:w="3306" w:type="dxa"/>
                  <w:vMerge w:val="restart"/>
                  <w:tcBorders>
                    <w:top w:val="single" w:sz="2" w:space="0" w:color="000000"/>
                    <w:left w:val="single" w:sz="2" w:space="0" w:color="000000"/>
                    <w:right w:val="single" w:sz="2" w:space="0" w:color="000000"/>
                  </w:tcBorders>
                  <w:vAlign w:val="center"/>
                </w:tcPr>
                <w:p w14:paraId="4D61FDD7"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1</w:t>
                  </w:r>
                  <w:r>
                    <w:rPr>
                      <w:rFonts w:ascii="Times New Roman" w:hAnsi="Times New Roman" w:cs="Times New Roman"/>
                      <w:color w:val="auto"/>
                      <w:spacing w:val="10"/>
                      <w:sz w:val="21"/>
                      <w:szCs w:val="21"/>
                    </w:rPr>
                    <w:t>、本项目通过窑内高温碱性环境中和、</w:t>
                  </w:r>
                  <w:r>
                    <w:rPr>
                      <w:rFonts w:ascii="Times New Roman" w:hAnsi="Times New Roman" w:cs="Times New Roman"/>
                      <w:color w:val="auto"/>
                      <w:spacing w:val="10"/>
                      <w:sz w:val="21"/>
                      <w:szCs w:val="21"/>
                    </w:rPr>
                    <w:t>HSNCR+SCR</w:t>
                  </w:r>
                  <w:r>
                    <w:rPr>
                      <w:rFonts w:ascii="Times New Roman" w:hAnsi="Times New Roman" w:cs="Times New Roman"/>
                      <w:color w:val="auto"/>
                      <w:spacing w:val="10"/>
                      <w:sz w:val="21"/>
                      <w:szCs w:val="21"/>
                    </w:rPr>
                    <w:t>高效精准智能化脱硝系统、增湿塔、余热发电锅炉、静电除尘等处理后排放烟气满足《水泥窑协同处置固体废物污染控制标准》的要求。</w:t>
                  </w:r>
                </w:p>
                <w:p w14:paraId="43540463"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2</w:t>
                  </w:r>
                  <w:r>
                    <w:rPr>
                      <w:rFonts w:ascii="Times New Roman" w:hAnsi="Times New Roman" w:cs="Times New Roman"/>
                      <w:color w:val="auto"/>
                      <w:spacing w:val="10"/>
                      <w:sz w:val="21"/>
                      <w:szCs w:val="21"/>
                    </w:rPr>
                    <w:t>、按照《水泥窑协同处置固体废物污染控制标准》的要求对水泥窑排放烟气进行监测。</w:t>
                  </w:r>
                </w:p>
                <w:p w14:paraId="0939174B"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3</w:t>
                  </w:r>
                  <w:r>
                    <w:rPr>
                      <w:rFonts w:ascii="Times New Roman" w:hAnsi="Times New Roman" w:cs="Times New Roman"/>
                      <w:color w:val="auto"/>
                      <w:spacing w:val="10"/>
                      <w:sz w:val="21"/>
                      <w:szCs w:val="21"/>
                    </w:rPr>
                    <w:t>、对水泥窑及窑尾余热利用系统排气筒总有机碳（</w:t>
                  </w:r>
                  <w:r>
                    <w:rPr>
                      <w:rFonts w:ascii="Times New Roman" w:hAnsi="Times New Roman" w:cs="Times New Roman"/>
                      <w:color w:val="auto"/>
                      <w:spacing w:val="10"/>
                      <w:sz w:val="21"/>
                      <w:szCs w:val="21"/>
                    </w:rPr>
                    <w:t>TOC</w:t>
                  </w:r>
                  <w:r>
                    <w:rPr>
                      <w:rFonts w:ascii="Times New Roman" w:hAnsi="Times New Roman" w:cs="Times New Roman"/>
                      <w:color w:val="auto"/>
                      <w:spacing w:val="10"/>
                      <w:sz w:val="21"/>
                      <w:szCs w:val="21"/>
                    </w:rPr>
                    <w:t>）进行监测，在运行过程中因协同处置固体废物增加的浓度要满足《水泥窑协同处置固体废物污染控制标准》的要求。</w:t>
                  </w:r>
                </w:p>
              </w:tc>
              <w:tc>
                <w:tcPr>
                  <w:tcW w:w="789" w:type="dxa"/>
                  <w:vMerge w:val="restart"/>
                  <w:tcBorders>
                    <w:top w:val="single" w:sz="2" w:space="0" w:color="000000"/>
                    <w:left w:val="single" w:sz="2" w:space="0" w:color="000000"/>
                    <w:right w:val="nil"/>
                  </w:tcBorders>
                  <w:vAlign w:val="center"/>
                </w:tcPr>
                <w:p w14:paraId="6E3F5D1A" w14:textId="77777777" w:rsidR="00F76A63" w:rsidRDefault="00000000">
                  <w:pPr>
                    <w:jc w:val="center"/>
                    <w:rPr>
                      <w:szCs w:val="21"/>
                    </w:rPr>
                  </w:pPr>
                  <w:r>
                    <w:rPr>
                      <w:szCs w:val="21"/>
                    </w:rPr>
                    <w:t>符合</w:t>
                  </w:r>
                </w:p>
              </w:tc>
            </w:tr>
            <w:tr w:rsidR="00F76A63" w14:paraId="05732F01" w14:textId="77777777">
              <w:trPr>
                <w:trHeight w:val="275"/>
                <w:jc w:val="center"/>
              </w:trPr>
              <w:tc>
                <w:tcPr>
                  <w:tcW w:w="625" w:type="dxa"/>
                  <w:vMerge/>
                  <w:tcBorders>
                    <w:left w:val="nil"/>
                    <w:right w:val="single" w:sz="2" w:space="0" w:color="000000"/>
                  </w:tcBorders>
                  <w:vAlign w:val="center"/>
                </w:tcPr>
                <w:p w14:paraId="2C458CEA"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33BAD00"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3689120"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 xml:space="preserve">7.3.2 </w:t>
                  </w:r>
                  <w:r>
                    <w:rPr>
                      <w:rFonts w:ascii="Times New Roman" w:hAnsi="Times New Roman" w:cs="Times New Roman"/>
                      <w:color w:val="auto"/>
                      <w:spacing w:val="11"/>
                      <w:sz w:val="21"/>
                      <w:szCs w:val="21"/>
                    </w:rPr>
                    <w:t>按照《水泥窑协同处置固体废物污染控制标准》</w:t>
                  </w:r>
                  <w:r>
                    <w:rPr>
                      <w:rFonts w:ascii="Times New Roman" w:hAnsi="Times New Roman" w:cs="Times New Roman"/>
                      <w:color w:val="auto"/>
                      <w:spacing w:val="-50"/>
                      <w:sz w:val="21"/>
                      <w:szCs w:val="21"/>
                    </w:rPr>
                    <w:t xml:space="preserve"> </w:t>
                  </w:r>
                  <w:r>
                    <w:rPr>
                      <w:rFonts w:ascii="Times New Roman" w:hAnsi="Times New Roman" w:cs="Times New Roman"/>
                      <w:color w:val="auto"/>
                      <w:spacing w:val="11"/>
                      <w:sz w:val="21"/>
                      <w:szCs w:val="21"/>
                    </w:rPr>
                    <w:t>的要求对协同处置固体废物水泥窑排放烟气进行监测。</w:t>
                  </w:r>
                </w:p>
              </w:tc>
              <w:tc>
                <w:tcPr>
                  <w:tcW w:w="3306" w:type="dxa"/>
                  <w:vMerge/>
                  <w:tcBorders>
                    <w:left w:val="single" w:sz="2" w:space="0" w:color="000000"/>
                    <w:right w:val="single" w:sz="2" w:space="0" w:color="000000"/>
                  </w:tcBorders>
                  <w:vAlign w:val="center"/>
                </w:tcPr>
                <w:p w14:paraId="7D942DF9"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8B4A6E3" w14:textId="77777777" w:rsidR="00F76A63" w:rsidRDefault="00F76A63">
                  <w:pPr>
                    <w:jc w:val="center"/>
                    <w:rPr>
                      <w:szCs w:val="21"/>
                    </w:rPr>
                  </w:pPr>
                </w:p>
              </w:tc>
            </w:tr>
            <w:tr w:rsidR="00F76A63" w14:paraId="0A43330A" w14:textId="77777777">
              <w:trPr>
                <w:trHeight w:val="275"/>
                <w:jc w:val="center"/>
              </w:trPr>
              <w:tc>
                <w:tcPr>
                  <w:tcW w:w="625" w:type="dxa"/>
                  <w:vMerge/>
                  <w:tcBorders>
                    <w:left w:val="nil"/>
                    <w:right w:val="single" w:sz="2" w:space="0" w:color="000000"/>
                  </w:tcBorders>
                  <w:vAlign w:val="center"/>
                </w:tcPr>
                <w:p w14:paraId="2EDEF95A"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3B10D02E"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F0F506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 xml:space="preserve">7.3.3 </w:t>
                  </w:r>
                  <w:r>
                    <w:rPr>
                      <w:rFonts w:ascii="Times New Roman" w:hAnsi="Times New Roman" w:cs="Times New Roman"/>
                      <w:color w:val="auto"/>
                      <w:spacing w:val="12"/>
                      <w:sz w:val="21"/>
                      <w:szCs w:val="21"/>
                    </w:rPr>
                    <w:t>水泥窑及窑尾余热利用系统排气筒总有机碳（</w:t>
                  </w:r>
                  <w:r>
                    <w:rPr>
                      <w:rFonts w:ascii="Times New Roman" w:hAnsi="Times New Roman" w:cs="Times New Roman"/>
                      <w:color w:val="auto"/>
                      <w:sz w:val="21"/>
                      <w:szCs w:val="21"/>
                    </w:rPr>
                    <w:t>TOC</w:t>
                  </w:r>
                  <w:r>
                    <w:rPr>
                      <w:rFonts w:ascii="Times New Roman" w:hAnsi="Times New Roman" w:cs="Times New Roman"/>
                      <w:color w:val="auto"/>
                      <w:spacing w:val="12"/>
                      <w:sz w:val="21"/>
                      <w:szCs w:val="21"/>
                    </w:rPr>
                    <w:t>）</w:t>
                  </w:r>
                  <w:r>
                    <w:rPr>
                      <w:rFonts w:ascii="Times New Roman" w:hAnsi="Times New Roman" w:cs="Times New Roman"/>
                      <w:color w:val="auto"/>
                      <w:spacing w:val="-52"/>
                      <w:sz w:val="21"/>
                      <w:szCs w:val="21"/>
                    </w:rPr>
                    <w:t xml:space="preserve"> </w:t>
                  </w:r>
                  <w:r>
                    <w:rPr>
                      <w:rFonts w:ascii="Times New Roman" w:hAnsi="Times New Roman" w:cs="Times New Roman"/>
                      <w:color w:val="auto"/>
                      <w:spacing w:val="12"/>
                      <w:sz w:val="21"/>
                      <w:szCs w:val="21"/>
                    </w:rPr>
                    <w:t>因协同处置</w:t>
                  </w:r>
                  <w:r>
                    <w:rPr>
                      <w:rFonts w:ascii="Times New Roman" w:hAnsi="Times New Roman" w:cs="Times New Roman"/>
                      <w:color w:val="auto"/>
                      <w:spacing w:val="11"/>
                      <w:sz w:val="21"/>
                      <w:szCs w:val="21"/>
                    </w:rPr>
                    <w:t>固体废物增</w:t>
                  </w:r>
                  <w:r>
                    <w:rPr>
                      <w:rFonts w:ascii="Times New Roman" w:hAnsi="Times New Roman" w:cs="Times New Roman"/>
                      <w:color w:val="auto"/>
                      <w:spacing w:val="12"/>
                      <w:sz w:val="21"/>
                      <w:szCs w:val="21"/>
                    </w:rPr>
                    <w:t>加的浓度应满足《水泥窑协同处置固体废物污染控制标准》</w:t>
                  </w:r>
                  <w:r>
                    <w:rPr>
                      <w:rFonts w:ascii="Times New Roman" w:hAnsi="Times New Roman" w:cs="Times New Roman"/>
                      <w:color w:val="auto"/>
                      <w:spacing w:val="-52"/>
                      <w:sz w:val="21"/>
                      <w:szCs w:val="21"/>
                    </w:rPr>
                    <w:t xml:space="preserve"> </w:t>
                  </w:r>
                  <w:r>
                    <w:rPr>
                      <w:rFonts w:ascii="Times New Roman" w:hAnsi="Times New Roman" w:cs="Times New Roman"/>
                      <w:color w:val="auto"/>
                      <w:spacing w:val="12"/>
                      <w:sz w:val="21"/>
                      <w:szCs w:val="21"/>
                    </w:rPr>
                    <w:t>的要求。</w:t>
                  </w:r>
                  <w:r>
                    <w:rPr>
                      <w:rFonts w:ascii="Times New Roman" w:hAnsi="Times New Roman" w:cs="Times New Roman"/>
                      <w:color w:val="auto"/>
                      <w:sz w:val="21"/>
                      <w:szCs w:val="21"/>
                    </w:rPr>
                    <w:t>TOC</w:t>
                  </w:r>
                  <w:r>
                    <w:rPr>
                      <w:rFonts w:ascii="Times New Roman" w:hAnsi="Times New Roman" w:cs="Times New Roman"/>
                      <w:color w:val="auto"/>
                      <w:spacing w:val="12"/>
                      <w:sz w:val="21"/>
                      <w:szCs w:val="21"/>
                    </w:rPr>
                    <w:t>因协同</w:t>
                  </w:r>
                  <w:r>
                    <w:rPr>
                      <w:rFonts w:ascii="Times New Roman" w:hAnsi="Times New Roman" w:cs="Times New Roman"/>
                      <w:color w:val="auto"/>
                      <w:sz w:val="21"/>
                      <w:szCs w:val="21"/>
                    </w:rPr>
                    <w:t xml:space="preserve"> </w:t>
                  </w:r>
                  <w:r>
                    <w:rPr>
                      <w:rFonts w:ascii="Times New Roman" w:hAnsi="Times New Roman" w:cs="Times New Roman"/>
                      <w:color w:val="auto"/>
                      <w:spacing w:val="12"/>
                      <w:sz w:val="21"/>
                      <w:szCs w:val="21"/>
                    </w:rPr>
                    <w:t>处置固体废物增加的浓度的测定步骤如下：</w:t>
                  </w:r>
                </w:p>
                <w:p w14:paraId="598D25A9"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4"/>
                      <w:sz w:val="21"/>
                      <w:szCs w:val="21"/>
                    </w:rPr>
                    <w:t>（</w:t>
                  </w:r>
                  <w:r>
                    <w:rPr>
                      <w:rFonts w:ascii="Times New Roman" w:hAnsi="Times New Roman" w:cs="Times New Roman"/>
                      <w:color w:val="auto"/>
                      <w:spacing w:val="14"/>
                      <w:sz w:val="21"/>
                      <w:szCs w:val="21"/>
                    </w:rPr>
                    <w:t>1</w:t>
                  </w:r>
                  <w:r>
                    <w:rPr>
                      <w:rFonts w:ascii="Times New Roman" w:hAnsi="Times New Roman" w:cs="Times New Roman"/>
                      <w:color w:val="auto"/>
                      <w:spacing w:val="14"/>
                      <w:sz w:val="21"/>
                      <w:szCs w:val="21"/>
                    </w:rPr>
                    <w:t>）测定水泥窑未协同处置固体废物时的</w:t>
                  </w:r>
                  <w:r>
                    <w:rPr>
                      <w:rFonts w:ascii="Times New Roman" w:hAnsi="Times New Roman" w:cs="Times New Roman"/>
                      <w:color w:val="auto"/>
                      <w:sz w:val="21"/>
                      <w:szCs w:val="21"/>
                    </w:rPr>
                    <w:t>TOC</w:t>
                  </w:r>
                  <w:r>
                    <w:rPr>
                      <w:rFonts w:ascii="Times New Roman" w:hAnsi="Times New Roman" w:cs="Times New Roman"/>
                      <w:color w:val="auto"/>
                      <w:spacing w:val="14"/>
                      <w:sz w:val="21"/>
                      <w:szCs w:val="21"/>
                    </w:rPr>
                    <w:t>背景排放浓度</w:t>
                  </w:r>
                  <w:r>
                    <w:rPr>
                      <w:rFonts w:ascii="Times New Roman" w:hAnsi="Times New Roman" w:cs="Times New Roman"/>
                      <w:color w:val="auto"/>
                      <w:spacing w:val="-13"/>
                      <w:sz w:val="21"/>
                      <w:szCs w:val="21"/>
                    </w:rPr>
                    <w:t>；（</w:t>
                  </w:r>
                  <w:r>
                    <w:rPr>
                      <w:rFonts w:ascii="Times New Roman" w:hAnsi="Times New Roman" w:cs="Times New Roman"/>
                      <w:color w:val="auto"/>
                      <w:spacing w:val="14"/>
                      <w:sz w:val="21"/>
                      <w:szCs w:val="21"/>
                    </w:rPr>
                    <w:t>2</w:t>
                  </w:r>
                  <w:r>
                    <w:rPr>
                      <w:rFonts w:ascii="Times New Roman" w:hAnsi="Times New Roman" w:cs="Times New Roman"/>
                      <w:color w:val="auto"/>
                      <w:spacing w:val="14"/>
                      <w:sz w:val="21"/>
                      <w:szCs w:val="21"/>
                    </w:rPr>
                    <w:t>）测</w:t>
                  </w:r>
                  <w:r>
                    <w:rPr>
                      <w:rFonts w:ascii="Times New Roman" w:hAnsi="Times New Roman" w:cs="Times New Roman"/>
                      <w:color w:val="auto"/>
                      <w:spacing w:val="13"/>
                      <w:sz w:val="21"/>
                      <w:szCs w:val="21"/>
                    </w:rPr>
                    <w:t>定水泥</w:t>
                  </w:r>
                  <w:r>
                    <w:rPr>
                      <w:rFonts w:ascii="Times New Roman" w:hAnsi="Times New Roman" w:cs="Times New Roman"/>
                      <w:color w:val="auto"/>
                      <w:spacing w:val="14"/>
                      <w:sz w:val="21"/>
                      <w:szCs w:val="21"/>
                    </w:rPr>
                    <w:t>窑协同处置固体废物时的</w:t>
                  </w:r>
                  <w:r>
                    <w:rPr>
                      <w:rFonts w:ascii="Times New Roman" w:hAnsi="Times New Roman" w:cs="Times New Roman"/>
                      <w:color w:val="auto"/>
                      <w:sz w:val="21"/>
                      <w:szCs w:val="21"/>
                    </w:rPr>
                    <w:t>TOC</w:t>
                  </w:r>
                  <w:r>
                    <w:rPr>
                      <w:rFonts w:ascii="Times New Roman" w:hAnsi="Times New Roman" w:cs="Times New Roman"/>
                      <w:color w:val="auto"/>
                      <w:spacing w:val="14"/>
                      <w:sz w:val="21"/>
                      <w:szCs w:val="21"/>
                    </w:rPr>
                    <w:t>排放浓度</w:t>
                  </w:r>
                  <w:r>
                    <w:rPr>
                      <w:rFonts w:ascii="Times New Roman" w:hAnsi="Times New Roman" w:cs="Times New Roman"/>
                      <w:color w:val="auto"/>
                      <w:spacing w:val="-12"/>
                      <w:sz w:val="21"/>
                      <w:szCs w:val="21"/>
                    </w:rPr>
                    <w:t>；（</w:t>
                  </w:r>
                  <w:r>
                    <w:rPr>
                      <w:rFonts w:ascii="Times New Roman" w:hAnsi="Times New Roman" w:cs="Times New Roman"/>
                      <w:color w:val="auto"/>
                      <w:spacing w:val="14"/>
                      <w:sz w:val="21"/>
                      <w:szCs w:val="21"/>
                    </w:rPr>
                    <w:t>3</w:t>
                  </w:r>
                  <w:r>
                    <w:rPr>
                      <w:rFonts w:ascii="Times New Roman" w:hAnsi="Times New Roman" w:cs="Times New Roman"/>
                      <w:color w:val="auto"/>
                      <w:spacing w:val="14"/>
                      <w:sz w:val="21"/>
                      <w:szCs w:val="21"/>
                    </w:rPr>
                    <w:t>）水泥窑协同处置固体废物时的</w:t>
                  </w:r>
                  <w:r>
                    <w:rPr>
                      <w:rFonts w:ascii="Times New Roman" w:hAnsi="Times New Roman" w:cs="Times New Roman"/>
                      <w:color w:val="auto"/>
                      <w:sz w:val="21"/>
                      <w:szCs w:val="21"/>
                    </w:rPr>
                    <w:t>TOC</w:t>
                  </w:r>
                  <w:r>
                    <w:rPr>
                      <w:rFonts w:ascii="Times New Roman" w:hAnsi="Times New Roman" w:cs="Times New Roman"/>
                      <w:color w:val="auto"/>
                      <w:spacing w:val="13"/>
                      <w:sz w:val="21"/>
                      <w:szCs w:val="21"/>
                    </w:rPr>
                    <w:t>排放浓度与未协同处置固体废物时的</w:t>
                  </w:r>
                  <w:r>
                    <w:rPr>
                      <w:rFonts w:ascii="Times New Roman" w:hAnsi="Times New Roman" w:cs="Times New Roman"/>
                      <w:color w:val="auto"/>
                      <w:sz w:val="21"/>
                      <w:szCs w:val="21"/>
                    </w:rPr>
                    <w:t>TOC</w:t>
                  </w:r>
                  <w:r>
                    <w:rPr>
                      <w:rFonts w:ascii="Times New Roman" w:hAnsi="Times New Roman" w:cs="Times New Roman"/>
                      <w:color w:val="auto"/>
                      <w:spacing w:val="13"/>
                      <w:sz w:val="21"/>
                      <w:szCs w:val="21"/>
                    </w:rPr>
                    <w:t>背景排放浓度之差即为</w:t>
                  </w:r>
                  <w:r>
                    <w:rPr>
                      <w:rFonts w:ascii="Times New Roman" w:hAnsi="Times New Roman" w:cs="Times New Roman"/>
                      <w:color w:val="auto"/>
                      <w:sz w:val="21"/>
                      <w:szCs w:val="21"/>
                    </w:rPr>
                    <w:t>TOC</w:t>
                  </w:r>
                  <w:r>
                    <w:rPr>
                      <w:rFonts w:ascii="Times New Roman" w:hAnsi="Times New Roman" w:cs="Times New Roman"/>
                      <w:color w:val="auto"/>
                      <w:spacing w:val="13"/>
                      <w:sz w:val="21"/>
                      <w:szCs w:val="21"/>
                    </w:rPr>
                    <w:t>因协同处置固体废物增加的浓度。其中，当水泥生产原料来源未改变时，未协同处置</w:t>
                  </w:r>
                  <w:r>
                    <w:rPr>
                      <w:rFonts w:ascii="Times New Roman" w:hAnsi="Times New Roman" w:cs="Times New Roman"/>
                      <w:color w:val="auto"/>
                      <w:spacing w:val="12"/>
                      <w:sz w:val="21"/>
                      <w:szCs w:val="21"/>
                    </w:rPr>
                    <w:t>固体废物时的</w:t>
                  </w:r>
                  <w:r>
                    <w:rPr>
                      <w:rFonts w:ascii="Times New Roman" w:hAnsi="Times New Roman" w:cs="Times New Roman"/>
                      <w:color w:val="auto"/>
                      <w:sz w:val="21"/>
                      <w:szCs w:val="21"/>
                    </w:rPr>
                    <w:t>TOC</w:t>
                  </w:r>
                  <w:r>
                    <w:rPr>
                      <w:rFonts w:ascii="Times New Roman" w:hAnsi="Times New Roman" w:cs="Times New Roman"/>
                      <w:color w:val="auto"/>
                      <w:spacing w:val="12"/>
                      <w:sz w:val="21"/>
                      <w:szCs w:val="21"/>
                    </w:rPr>
                    <w:t>背景排放浓度可采用前次测定的数</w:t>
                  </w:r>
                  <w:r>
                    <w:rPr>
                      <w:rFonts w:ascii="Times New Roman" w:hAnsi="Times New Roman" w:cs="Times New Roman"/>
                      <w:color w:val="auto"/>
                      <w:spacing w:val="11"/>
                      <w:sz w:val="21"/>
                      <w:szCs w:val="21"/>
                    </w:rPr>
                    <w:t>值。</w:t>
                  </w:r>
                </w:p>
              </w:tc>
              <w:tc>
                <w:tcPr>
                  <w:tcW w:w="3306" w:type="dxa"/>
                  <w:vMerge/>
                  <w:tcBorders>
                    <w:left w:val="single" w:sz="2" w:space="0" w:color="000000"/>
                    <w:bottom w:val="single" w:sz="2" w:space="0" w:color="000000"/>
                    <w:right w:val="single" w:sz="2" w:space="0" w:color="000000"/>
                  </w:tcBorders>
                  <w:vAlign w:val="center"/>
                </w:tcPr>
                <w:p w14:paraId="16EAA9DA"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4382C16C" w14:textId="77777777" w:rsidR="00F76A63" w:rsidRDefault="00F76A63">
                  <w:pPr>
                    <w:jc w:val="center"/>
                    <w:rPr>
                      <w:szCs w:val="21"/>
                    </w:rPr>
                  </w:pPr>
                </w:p>
              </w:tc>
            </w:tr>
            <w:tr w:rsidR="00F76A63" w14:paraId="54360AD2" w14:textId="77777777">
              <w:trPr>
                <w:trHeight w:val="413"/>
                <w:jc w:val="center"/>
              </w:trPr>
              <w:tc>
                <w:tcPr>
                  <w:tcW w:w="625" w:type="dxa"/>
                  <w:vMerge/>
                  <w:tcBorders>
                    <w:left w:val="nil"/>
                    <w:right w:val="single" w:sz="2" w:space="0" w:color="000000"/>
                  </w:tcBorders>
                  <w:vAlign w:val="center"/>
                </w:tcPr>
                <w:p w14:paraId="4F09C233"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446C07E0"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5"/>
                      <w:sz w:val="21"/>
                      <w:szCs w:val="21"/>
                    </w:rPr>
                    <w:t>7.4</w:t>
                  </w:r>
                  <w:r>
                    <w:rPr>
                      <w:rFonts w:ascii="Times New Roman" w:hAnsi="Times New Roman" w:cs="Times New Roman"/>
                      <w:color w:val="auto"/>
                      <w:spacing w:val="20"/>
                      <w:sz w:val="21"/>
                      <w:szCs w:val="21"/>
                    </w:rPr>
                    <w:t xml:space="preserve"> </w:t>
                  </w:r>
                  <w:r>
                    <w:rPr>
                      <w:rFonts w:ascii="Times New Roman" w:hAnsi="Times New Roman" w:cs="Times New Roman"/>
                      <w:color w:val="auto"/>
                      <w:spacing w:val="5"/>
                      <w:sz w:val="21"/>
                      <w:szCs w:val="21"/>
                    </w:rPr>
                    <w:t>废水</w:t>
                  </w:r>
                  <w:r>
                    <w:rPr>
                      <w:rFonts w:ascii="Times New Roman" w:hAnsi="Times New Roman" w:cs="Times New Roman"/>
                      <w:color w:val="auto"/>
                      <w:spacing w:val="10"/>
                      <w:sz w:val="21"/>
                      <w:szCs w:val="21"/>
                    </w:rPr>
                    <w:t>排放控制</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F77050C"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7.4.1</w:t>
                  </w:r>
                  <w:r>
                    <w:rPr>
                      <w:rFonts w:ascii="Times New Roman" w:hAnsi="Times New Roman" w:cs="Times New Roman"/>
                      <w:color w:val="auto"/>
                      <w:spacing w:val="42"/>
                      <w:sz w:val="21"/>
                      <w:szCs w:val="21"/>
                    </w:rPr>
                    <w:t xml:space="preserve"> </w:t>
                  </w:r>
                  <w:r>
                    <w:rPr>
                      <w:rFonts w:ascii="Times New Roman" w:hAnsi="Times New Roman" w:cs="Times New Roman"/>
                      <w:color w:val="auto"/>
                      <w:spacing w:val="11"/>
                      <w:sz w:val="21"/>
                      <w:szCs w:val="21"/>
                    </w:rPr>
                    <w:t>固体废物贮存和预处理设施以及固体废物运输车辆清洗产生的废水应经收集后按照《水泥窑协同处置固体废物污染控制标准》</w:t>
                  </w:r>
                  <w:r>
                    <w:rPr>
                      <w:rFonts w:ascii="Times New Roman" w:hAnsi="Times New Roman" w:cs="Times New Roman"/>
                      <w:color w:val="auto"/>
                      <w:spacing w:val="-56"/>
                      <w:sz w:val="21"/>
                      <w:szCs w:val="21"/>
                    </w:rPr>
                    <w:t xml:space="preserve"> </w:t>
                  </w:r>
                  <w:r>
                    <w:rPr>
                      <w:rFonts w:ascii="Times New Roman" w:hAnsi="Times New Roman" w:cs="Times New Roman"/>
                      <w:color w:val="auto"/>
                      <w:spacing w:val="11"/>
                      <w:sz w:val="21"/>
                      <w:szCs w:val="21"/>
                    </w:rPr>
                    <w:t>的要求进行处理。</w:t>
                  </w:r>
                </w:p>
              </w:tc>
              <w:tc>
                <w:tcPr>
                  <w:tcW w:w="3306" w:type="dxa"/>
                  <w:vMerge w:val="restart"/>
                  <w:tcBorders>
                    <w:top w:val="single" w:sz="2" w:space="0" w:color="000000"/>
                    <w:left w:val="single" w:sz="2" w:space="0" w:color="000000"/>
                    <w:right w:val="single" w:sz="2" w:space="0" w:color="000000"/>
                  </w:tcBorders>
                  <w:vAlign w:val="center"/>
                </w:tcPr>
                <w:p w14:paraId="1409940C"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1"/>
                      <w:sz w:val="21"/>
                      <w:szCs w:val="21"/>
                    </w:rPr>
                    <w:t>本项目不涉及废水产生及排放。</w:t>
                  </w:r>
                </w:p>
              </w:tc>
              <w:tc>
                <w:tcPr>
                  <w:tcW w:w="789" w:type="dxa"/>
                  <w:vMerge w:val="restart"/>
                  <w:tcBorders>
                    <w:top w:val="single" w:sz="2" w:space="0" w:color="000000"/>
                    <w:left w:val="single" w:sz="2" w:space="0" w:color="000000"/>
                    <w:right w:val="nil"/>
                  </w:tcBorders>
                  <w:vAlign w:val="center"/>
                </w:tcPr>
                <w:p w14:paraId="4E815F68" w14:textId="77777777" w:rsidR="00F76A63" w:rsidRDefault="00000000">
                  <w:pPr>
                    <w:jc w:val="center"/>
                    <w:rPr>
                      <w:szCs w:val="21"/>
                    </w:rPr>
                  </w:pPr>
                  <w:r>
                    <w:rPr>
                      <w:szCs w:val="21"/>
                    </w:rPr>
                    <w:t>符合</w:t>
                  </w:r>
                </w:p>
              </w:tc>
            </w:tr>
            <w:tr w:rsidR="00F76A63" w14:paraId="46025BBD" w14:textId="77777777">
              <w:trPr>
                <w:trHeight w:val="412"/>
                <w:jc w:val="center"/>
              </w:trPr>
              <w:tc>
                <w:tcPr>
                  <w:tcW w:w="625" w:type="dxa"/>
                  <w:vMerge/>
                  <w:tcBorders>
                    <w:left w:val="nil"/>
                    <w:right w:val="single" w:sz="2" w:space="0" w:color="000000"/>
                  </w:tcBorders>
                  <w:vAlign w:val="center"/>
                </w:tcPr>
                <w:p w14:paraId="384A05A9"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0AC80967"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71D623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7.4.2</w:t>
                  </w:r>
                  <w:r>
                    <w:rPr>
                      <w:rFonts w:ascii="Times New Roman" w:hAnsi="Times New Roman" w:cs="Times New Roman"/>
                      <w:color w:val="auto"/>
                      <w:spacing w:val="38"/>
                      <w:sz w:val="21"/>
                      <w:szCs w:val="21"/>
                    </w:rPr>
                    <w:t xml:space="preserve"> </w:t>
                  </w:r>
                  <w:r>
                    <w:rPr>
                      <w:rFonts w:ascii="Times New Roman" w:hAnsi="Times New Roman" w:cs="Times New Roman"/>
                      <w:color w:val="auto"/>
                      <w:spacing w:val="12"/>
                      <w:sz w:val="21"/>
                      <w:szCs w:val="21"/>
                    </w:rPr>
                    <w:t>危险废物预处理设施和危险废物运输车辆清洗产生的废水处理污泥应作为危</w:t>
                  </w:r>
                  <w:r>
                    <w:rPr>
                      <w:rFonts w:ascii="Times New Roman" w:hAnsi="Times New Roman" w:cs="Times New Roman"/>
                      <w:color w:val="auto"/>
                      <w:spacing w:val="10"/>
                      <w:sz w:val="21"/>
                      <w:szCs w:val="21"/>
                    </w:rPr>
                    <w:t>险废物进行管理和处置。</w:t>
                  </w:r>
                </w:p>
              </w:tc>
              <w:tc>
                <w:tcPr>
                  <w:tcW w:w="3306" w:type="dxa"/>
                  <w:vMerge/>
                  <w:tcBorders>
                    <w:left w:val="single" w:sz="2" w:space="0" w:color="000000"/>
                    <w:bottom w:val="single" w:sz="2" w:space="0" w:color="000000"/>
                    <w:right w:val="single" w:sz="2" w:space="0" w:color="000000"/>
                  </w:tcBorders>
                  <w:vAlign w:val="center"/>
                </w:tcPr>
                <w:p w14:paraId="7D4D17B0"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1192C0FD" w14:textId="77777777" w:rsidR="00F76A63" w:rsidRDefault="00F76A63">
                  <w:pPr>
                    <w:jc w:val="center"/>
                    <w:rPr>
                      <w:szCs w:val="21"/>
                    </w:rPr>
                  </w:pPr>
                </w:p>
              </w:tc>
            </w:tr>
            <w:tr w:rsidR="00F76A63" w14:paraId="42951384" w14:textId="77777777">
              <w:trPr>
                <w:trHeight w:val="413"/>
                <w:jc w:val="center"/>
              </w:trPr>
              <w:tc>
                <w:tcPr>
                  <w:tcW w:w="625" w:type="dxa"/>
                  <w:vMerge/>
                  <w:tcBorders>
                    <w:left w:val="nil"/>
                    <w:right w:val="single" w:sz="2" w:space="0" w:color="000000"/>
                  </w:tcBorders>
                  <w:vAlign w:val="center"/>
                </w:tcPr>
                <w:p w14:paraId="6386337B"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2E71DD03"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4"/>
                      <w:sz w:val="21"/>
                      <w:szCs w:val="21"/>
                    </w:rPr>
                    <w:t>7.5</w:t>
                  </w:r>
                  <w:r>
                    <w:rPr>
                      <w:rFonts w:ascii="Times New Roman" w:hAnsi="Times New Roman" w:cs="Times New Roman"/>
                      <w:color w:val="auto"/>
                      <w:spacing w:val="13"/>
                      <w:sz w:val="21"/>
                      <w:szCs w:val="21"/>
                    </w:rPr>
                    <w:t xml:space="preserve"> </w:t>
                  </w:r>
                  <w:r>
                    <w:rPr>
                      <w:rFonts w:ascii="Times New Roman" w:hAnsi="Times New Roman" w:cs="Times New Roman"/>
                      <w:color w:val="auto"/>
                      <w:spacing w:val="4"/>
                      <w:sz w:val="21"/>
                      <w:szCs w:val="21"/>
                    </w:rPr>
                    <w:t>其他</w:t>
                  </w:r>
                  <w:r>
                    <w:rPr>
                      <w:rFonts w:ascii="Times New Roman" w:hAnsi="Times New Roman" w:cs="Times New Roman"/>
                      <w:color w:val="auto"/>
                      <w:spacing w:val="9"/>
                      <w:sz w:val="21"/>
                      <w:szCs w:val="21"/>
                    </w:rPr>
                    <w:t>污染物排</w:t>
                  </w:r>
                  <w:r>
                    <w:rPr>
                      <w:rFonts w:ascii="Times New Roman" w:hAnsi="Times New Roman" w:cs="Times New Roman"/>
                      <w:color w:val="auto"/>
                      <w:spacing w:val="43"/>
                      <w:sz w:val="21"/>
                      <w:szCs w:val="21"/>
                    </w:rPr>
                    <w:t>放控制</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138821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7.5.1</w:t>
                  </w:r>
                  <w:r>
                    <w:rPr>
                      <w:rFonts w:ascii="Times New Roman" w:hAnsi="Times New Roman" w:cs="Times New Roman"/>
                      <w:color w:val="auto"/>
                      <w:spacing w:val="27"/>
                      <w:sz w:val="21"/>
                      <w:szCs w:val="21"/>
                    </w:rPr>
                    <w:t xml:space="preserve"> </w:t>
                  </w:r>
                  <w:r>
                    <w:rPr>
                      <w:rFonts w:ascii="Times New Roman" w:hAnsi="Times New Roman" w:cs="Times New Roman"/>
                      <w:color w:val="auto"/>
                      <w:spacing w:val="11"/>
                      <w:sz w:val="21"/>
                      <w:szCs w:val="21"/>
                    </w:rPr>
                    <w:t>固体废物贮存、预处理等设施产生的废气应导入水泥窑高温区焚烧；或经过</w:t>
                  </w:r>
                  <w:r>
                    <w:rPr>
                      <w:rFonts w:ascii="Times New Roman" w:hAnsi="Times New Roman" w:cs="Times New Roman"/>
                      <w:color w:val="auto"/>
                      <w:spacing w:val="10"/>
                      <w:sz w:val="21"/>
                      <w:szCs w:val="21"/>
                    </w:rPr>
                    <w:t>处理达到</w:t>
                  </w:r>
                  <w:r>
                    <w:rPr>
                      <w:rFonts w:ascii="Times New Roman" w:hAnsi="Times New Roman" w:cs="Times New Roman"/>
                      <w:color w:val="auto"/>
                      <w:sz w:val="21"/>
                      <w:szCs w:val="21"/>
                    </w:rPr>
                    <w:t>GB</w:t>
                  </w:r>
                  <w:r>
                    <w:rPr>
                      <w:rFonts w:ascii="Times New Roman" w:hAnsi="Times New Roman" w:cs="Times New Roman"/>
                      <w:color w:val="auto"/>
                      <w:spacing w:val="10"/>
                      <w:sz w:val="21"/>
                      <w:szCs w:val="21"/>
                    </w:rPr>
                    <w:t>14554</w:t>
                  </w:r>
                  <w:r>
                    <w:rPr>
                      <w:rFonts w:ascii="Times New Roman" w:hAnsi="Times New Roman" w:cs="Times New Roman"/>
                      <w:color w:val="auto"/>
                      <w:spacing w:val="10"/>
                      <w:sz w:val="21"/>
                      <w:szCs w:val="21"/>
                    </w:rPr>
                    <w:t>规定的限值后排放。</w:t>
                  </w:r>
                </w:p>
              </w:tc>
              <w:tc>
                <w:tcPr>
                  <w:tcW w:w="3306" w:type="dxa"/>
                  <w:vMerge w:val="restart"/>
                  <w:tcBorders>
                    <w:top w:val="single" w:sz="2" w:space="0" w:color="000000"/>
                    <w:left w:val="single" w:sz="2" w:space="0" w:color="000000"/>
                    <w:right w:val="single" w:sz="2" w:space="0" w:color="000000"/>
                  </w:tcBorders>
                  <w:vAlign w:val="center"/>
                </w:tcPr>
                <w:p w14:paraId="4FE2DF6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本项目所有废气均能实现达标排放，</w:t>
                  </w:r>
                  <w:r>
                    <w:rPr>
                      <w:rFonts w:ascii="Times New Roman" w:hAnsi="Times New Roman" w:cs="Times New Roman"/>
                      <w:color w:val="auto"/>
                      <w:spacing w:val="10"/>
                      <w:sz w:val="21"/>
                      <w:szCs w:val="21"/>
                    </w:rPr>
                    <w:t>厂界恶臭污染物执行</w:t>
                  </w:r>
                  <w:r>
                    <w:rPr>
                      <w:rFonts w:ascii="Times New Roman" w:hAnsi="Times New Roman" w:cs="Times New Roman"/>
                      <w:color w:val="auto"/>
                      <w:sz w:val="21"/>
                      <w:szCs w:val="21"/>
                    </w:rPr>
                    <w:t xml:space="preserve">GB </w:t>
                  </w:r>
                  <w:r>
                    <w:rPr>
                      <w:rFonts w:ascii="Times New Roman" w:hAnsi="Times New Roman" w:cs="Times New Roman"/>
                      <w:color w:val="auto"/>
                      <w:spacing w:val="10"/>
                      <w:sz w:val="21"/>
                      <w:szCs w:val="21"/>
                    </w:rPr>
                    <w:t>14554</w:t>
                  </w:r>
                  <w:r>
                    <w:rPr>
                      <w:rFonts w:ascii="Times New Roman" w:hAnsi="Times New Roman" w:cs="Times New Roman" w:hint="eastAsia"/>
                      <w:color w:val="auto"/>
                      <w:spacing w:val="10"/>
                      <w:sz w:val="21"/>
                      <w:szCs w:val="21"/>
                    </w:rPr>
                    <w:t>9</w:t>
                  </w:r>
                  <w:r>
                    <w:rPr>
                      <w:rFonts w:ascii="Times New Roman" w:hAnsi="Times New Roman" w:cs="Times New Roman"/>
                      <w:color w:val="auto"/>
                      <w:spacing w:val="10"/>
                      <w:sz w:val="21"/>
                      <w:szCs w:val="21"/>
                    </w:rPr>
                    <w:t>标</w:t>
                  </w:r>
                  <w:r>
                    <w:rPr>
                      <w:rFonts w:ascii="Times New Roman" w:hAnsi="Times New Roman" w:cs="Times New Roman"/>
                      <w:color w:val="auto"/>
                      <w:spacing w:val="-1"/>
                      <w:sz w:val="21"/>
                      <w:szCs w:val="21"/>
                    </w:rPr>
                    <w:t>准。</w:t>
                  </w:r>
                </w:p>
              </w:tc>
              <w:tc>
                <w:tcPr>
                  <w:tcW w:w="789" w:type="dxa"/>
                  <w:vMerge w:val="restart"/>
                  <w:tcBorders>
                    <w:top w:val="single" w:sz="2" w:space="0" w:color="000000"/>
                    <w:left w:val="single" w:sz="2" w:space="0" w:color="000000"/>
                    <w:right w:val="nil"/>
                  </w:tcBorders>
                  <w:vAlign w:val="center"/>
                </w:tcPr>
                <w:p w14:paraId="4DA15DB7" w14:textId="77777777" w:rsidR="00F76A63" w:rsidRDefault="00000000">
                  <w:pPr>
                    <w:jc w:val="center"/>
                    <w:rPr>
                      <w:szCs w:val="21"/>
                    </w:rPr>
                  </w:pPr>
                  <w:r>
                    <w:rPr>
                      <w:szCs w:val="21"/>
                    </w:rPr>
                    <w:t>符合</w:t>
                  </w:r>
                </w:p>
              </w:tc>
            </w:tr>
            <w:tr w:rsidR="00F76A63" w14:paraId="0644801C" w14:textId="77777777">
              <w:trPr>
                <w:trHeight w:val="412"/>
                <w:jc w:val="center"/>
              </w:trPr>
              <w:tc>
                <w:tcPr>
                  <w:tcW w:w="625" w:type="dxa"/>
                  <w:vMerge/>
                  <w:tcBorders>
                    <w:left w:val="nil"/>
                    <w:right w:val="single" w:sz="2" w:space="0" w:color="000000"/>
                  </w:tcBorders>
                  <w:vAlign w:val="center"/>
                </w:tcPr>
                <w:p w14:paraId="6C1A8737"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50C24822"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85623A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 xml:space="preserve">7.5.2 </w:t>
                  </w:r>
                  <w:r>
                    <w:rPr>
                      <w:rFonts w:ascii="Times New Roman" w:hAnsi="Times New Roman" w:cs="Times New Roman"/>
                      <w:color w:val="auto"/>
                      <w:spacing w:val="12"/>
                      <w:sz w:val="21"/>
                      <w:szCs w:val="21"/>
                    </w:rPr>
                    <w:t>协同处置固体废物的水泥生产</w:t>
                  </w:r>
                  <w:r>
                    <w:rPr>
                      <w:rFonts w:ascii="Times New Roman" w:hAnsi="Times New Roman" w:cs="Times New Roman"/>
                      <w:color w:val="auto"/>
                      <w:spacing w:val="11"/>
                      <w:sz w:val="21"/>
                      <w:szCs w:val="21"/>
                    </w:rPr>
                    <w:t>企业厂界恶臭污染物限值应按照</w:t>
                  </w:r>
                  <w:r>
                    <w:rPr>
                      <w:rFonts w:ascii="Times New Roman" w:hAnsi="Times New Roman" w:cs="Times New Roman"/>
                      <w:color w:val="auto"/>
                      <w:sz w:val="21"/>
                      <w:szCs w:val="21"/>
                    </w:rPr>
                    <w:t>GB</w:t>
                  </w:r>
                  <w:r>
                    <w:rPr>
                      <w:rFonts w:ascii="Times New Roman" w:hAnsi="Times New Roman" w:cs="Times New Roman"/>
                      <w:color w:val="auto"/>
                      <w:spacing w:val="11"/>
                      <w:sz w:val="21"/>
                      <w:szCs w:val="21"/>
                    </w:rPr>
                    <w:t>14554</w:t>
                  </w:r>
                  <w:r>
                    <w:rPr>
                      <w:rFonts w:ascii="Times New Roman" w:hAnsi="Times New Roman" w:cs="Times New Roman"/>
                      <w:color w:val="auto"/>
                      <w:spacing w:val="11"/>
                      <w:sz w:val="21"/>
                      <w:szCs w:val="21"/>
                    </w:rPr>
                    <w:t>执</w:t>
                  </w:r>
                  <w:r>
                    <w:rPr>
                      <w:rFonts w:ascii="Times New Roman" w:hAnsi="Times New Roman" w:cs="Times New Roman"/>
                      <w:color w:val="auto"/>
                      <w:spacing w:val="-2"/>
                      <w:sz w:val="21"/>
                      <w:szCs w:val="21"/>
                    </w:rPr>
                    <w:t>行。</w:t>
                  </w:r>
                </w:p>
              </w:tc>
              <w:tc>
                <w:tcPr>
                  <w:tcW w:w="3306" w:type="dxa"/>
                  <w:vMerge/>
                  <w:tcBorders>
                    <w:left w:val="single" w:sz="2" w:space="0" w:color="000000"/>
                    <w:bottom w:val="single" w:sz="2" w:space="0" w:color="000000"/>
                    <w:right w:val="single" w:sz="2" w:space="0" w:color="000000"/>
                  </w:tcBorders>
                  <w:vAlign w:val="center"/>
                </w:tcPr>
                <w:p w14:paraId="2BA1CB2E"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78FC6891" w14:textId="77777777" w:rsidR="00F76A63" w:rsidRDefault="00F76A63">
                  <w:pPr>
                    <w:jc w:val="center"/>
                    <w:rPr>
                      <w:szCs w:val="21"/>
                    </w:rPr>
                  </w:pPr>
                </w:p>
              </w:tc>
            </w:tr>
            <w:tr w:rsidR="00F76A63" w14:paraId="1BA42B39" w14:textId="77777777">
              <w:trPr>
                <w:trHeight w:val="165"/>
                <w:jc w:val="center"/>
              </w:trPr>
              <w:tc>
                <w:tcPr>
                  <w:tcW w:w="625" w:type="dxa"/>
                  <w:vMerge w:val="restart"/>
                  <w:tcBorders>
                    <w:left w:val="nil"/>
                    <w:right w:val="single" w:sz="2" w:space="0" w:color="000000"/>
                  </w:tcBorders>
                  <w:vAlign w:val="center"/>
                </w:tcPr>
                <w:p w14:paraId="0CF36859" w14:textId="77777777" w:rsidR="00F76A63" w:rsidRDefault="00000000">
                  <w:pPr>
                    <w:jc w:val="center"/>
                    <w:rPr>
                      <w:szCs w:val="21"/>
                    </w:rPr>
                  </w:pPr>
                  <w:r>
                    <w:rPr>
                      <w:szCs w:val="21"/>
                    </w:rPr>
                    <w:lastRenderedPageBreak/>
                    <w:t>10.</w:t>
                  </w:r>
                  <w:r>
                    <w:rPr>
                      <w:szCs w:val="21"/>
                    </w:rPr>
                    <w:t>人员与制度要求</w:t>
                  </w:r>
                </w:p>
              </w:tc>
              <w:tc>
                <w:tcPr>
                  <w:tcW w:w="1995" w:type="dxa"/>
                  <w:gridSpan w:val="2"/>
                  <w:vMerge w:val="restart"/>
                  <w:tcBorders>
                    <w:top w:val="single" w:sz="2" w:space="0" w:color="000000"/>
                    <w:left w:val="single" w:sz="2" w:space="0" w:color="000000"/>
                    <w:right w:val="single" w:sz="2" w:space="0" w:color="000000"/>
                  </w:tcBorders>
                  <w:vAlign w:val="center"/>
                </w:tcPr>
                <w:p w14:paraId="70F6DE51"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10.1 </w:t>
                  </w:r>
                  <w:r>
                    <w:rPr>
                      <w:rFonts w:ascii="Times New Roman" w:hAnsi="Times New Roman" w:cs="Times New Roman"/>
                      <w:color w:val="auto"/>
                      <w:spacing w:val="3"/>
                      <w:sz w:val="21"/>
                      <w:szCs w:val="21"/>
                    </w:rPr>
                    <w:t>专业技术人员配置</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9BBCE46"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9"/>
                      <w:sz w:val="21"/>
                      <w:szCs w:val="21"/>
                    </w:rPr>
                    <w:t>10.1.1</w:t>
                  </w:r>
                  <w:r>
                    <w:rPr>
                      <w:rFonts w:ascii="Times New Roman" w:hAnsi="Times New Roman" w:cs="Times New Roman"/>
                      <w:color w:val="auto"/>
                      <w:spacing w:val="26"/>
                      <w:sz w:val="21"/>
                      <w:szCs w:val="21"/>
                    </w:rPr>
                    <w:t xml:space="preserve"> </w:t>
                  </w:r>
                  <w:r>
                    <w:rPr>
                      <w:rFonts w:ascii="Times New Roman" w:hAnsi="Times New Roman" w:cs="Times New Roman"/>
                      <w:color w:val="auto"/>
                      <w:spacing w:val="9"/>
                      <w:sz w:val="21"/>
                      <w:szCs w:val="21"/>
                    </w:rPr>
                    <w:t>具有</w:t>
                  </w:r>
                  <w:r>
                    <w:rPr>
                      <w:rFonts w:ascii="Times New Roman" w:hAnsi="Times New Roman" w:cs="Times New Roman"/>
                      <w:color w:val="auto"/>
                      <w:spacing w:val="9"/>
                      <w:sz w:val="21"/>
                      <w:szCs w:val="21"/>
                    </w:rPr>
                    <w:t>1</w:t>
                  </w:r>
                  <w:r>
                    <w:rPr>
                      <w:rFonts w:ascii="Times New Roman" w:hAnsi="Times New Roman" w:cs="Times New Roman"/>
                      <w:color w:val="auto"/>
                      <w:spacing w:val="9"/>
                      <w:sz w:val="21"/>
                      <w:szCs w:val="21"/>
                    </w:rPr>
                    <w:t>名以上具备水泥工艺专业高级以上职称的专业技术人员：</w:t>
                  </w:r>
                  <w:r>
                    <w:rPr>
                      <w:rFonts w:ascii="Times New Roman" w:hAnsi="Times New Roman" w:cs="Times New Roman"/>
                      <w:color w:val="auto"/>
                      <w:spacing w:val="8"/>
                      <w:sz w:val="21"/>
                      <w:szCs w:val="21"/>
                    </w:rPr>
                    <w:t>主要包括</w:t>
                  </w:r>
                  <w:r>
                    <w:rPr>
                      <w:rFonts w:ascii="Times New Roman" w:hAnsi="Times New Roman" w:cs="Times New Roman"/>
                      <w:color w:val="auto"/>
                      <w:spacing w:val="12"/>
                      <w:sz w:val="21"/>
                      <w:szCs w:val="21"/>
                    </w:rPr>
                    <w:t>水泥工艺设备选型和水泥工艺布置等专业技术人才。</w:t>
                  </w:r>
                </w:p>
              </w:tc>
              <w:tc>
                <w:tcPr>
                  <w:tcW w:w="3306" w:type="dxa"/>
                  <w:vMerge w:val="restart"/>
                  <w:tcBorders>
                    <w:top w:val="single" w:sz="2" w:space="0" w:color="000000"/>
                    <w:left w:val="single" w:sz="2" w:space="0" w:color="000000"/>
                    <w:right w:val="single" w:sz="2" w:space="0" w:color="000000"/>
                  </w:tcBorders>
                  <w:vAlign w:val="center"/>
                </w:tcPr>
                <w:p w14:paraId="44E52F38"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1</w:t>
                  </w:r>
                  <w:r>
                    <w:rPr>
                      <w:rFonts w:ascii="Times New Roman" w:hAnsi="Times New Roman" w:cs="Times New Roman"/>
                      <w:color w:val="auto"/>
                      <w:spacing w:val="10"/>
                      <w:sz w:val="21"/>
                      <w:szCs w:val="21"/>
                    </w:rPr>
                    <w:t>、本项目按照规范要求进行人员配置。</w:t>
                  </w:r>
                </w:p>
                <w:p w14:paraId="27513E61"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2</w:t>
                  </w:r>
                  <w:r>
                    <w:rPr>
                      <w:rFonts w:ascii="Times New Roman" w:hAnsi="Times New Roman" w:cs="Times New Roman"/>
                      <w:color w:val="auto"/>
                      <w:spacing w:val="10"/>
                      <w:sz w:val="21"/>
                      <w:szCs w:val="21"/>
                    </w:rPr>
                    <w:t>、不从事危险废物协同处置。</w:t>
                  </w:r>
                </w:p>
              </w:tc>
              <w:tc>
                <w:tcPr>
                  <w:tcW w:w="789" w:type="dxa"/>
                  <w:vMerge w:val="restart"/>
                  <w:tcBorders>
                    <w:top w:val="single" w:sz="2" w:space="0" w:color="000000"/>
                    <w:left w:val="single" w:sz="2" w:space="0" w:color="000000"/>
                    <w:right w:val="nil"/>
                  </w:tcBorders>
                  <w:vAlign w:val="center"/>
                </w:tcPr>
                <w:p w14:paraId="72D2CA34" w14:textId="77777777" w:rsidR="00F76A63" w:rsidRDefault="00000000">
                  <w:pPr>
                    <w:jc w:val="center"/>
                    <w:rPr>
                      <w:szCs w:val="21"/>
                    </w:rPr>
                  </w:pPr>
                  <w:r>
                    <w:rPr>
                      <w:szCs w:val="21"/>
                    </w:rPr>
                    <w:t>符合</w:t>
                  </w:r>
                </w:p>
              </w:tc>
            </w:tr>
            <w:tr w:rsidR="00F76A63" w14:paraId="5CBCB18A" w14:textId="77777777">
              <w:trPr>
                <w:trHeight w:val="165"/>
                <w:jc w:val="center"/>
              </w:trPr>
              <w:tc>
                <w:tcPr>
                  <w:tcW w:w="625" w:type="dxa"/>
                  <w:vMerge/>
                  <w:tcBorders>
                    <w:left w:val="nil"/>
                    <w:right w:val="single" w:sz="2" w:space="0" w:color="000000"/>
                  </w:tcBorders>
                  <w:vAlign w:val="center"/>
                </w:tcPr>
                <w:p w14:paraId="041AE6C7"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7141532"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87DDBC7"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10.1.2</w:t>
                  </w:r>
                  <w:r>
                    <w:rPr>
                      <w:rFonts w:ascii="Times New Roman" w:hAnsi="Times New Roman" w:cs="Times New Roman"/>
                      <w:color w:val="auto"/>
                      <w:spacing w:val="26"/>
                      <w:sz w:val="21"/>
                      <w:szCs w:val="21"/>
                    </w:rPr>
                    <w:t xml:space="preserve"> </w:t>
                  </w:r>
                  <w:r>
                    <w:rPr>
                      <w:rFonts w:ascii="Times New Roman" w:hAnsi="Times New Roman" w:cs="Times New Roman"/>
                      <w:color w:val="auto"/>
                      <w:spacing w:val="10"/>
                      <w:sz w:val="21"/>
                      <w:szCs w:val="21"/>
                    </w:rPr>
                    <w:t>具有</w:t>
                  </w:r>
                  <w:r>
                    <w:rPr>
                      <w:rFonts w:ascii="Times New Roman" w:hAnsi="Times New Roman" w:cs="Times New Roman"/>
                      <w:color w:val="auto"/>
                      <w:spacing w:val="10"/>
                      <w:sz w:val="21"/>
                      <w:szCs w:val="21"/>
                    </w:rPr>
                    <w:t>1</w:t>
                  </w:r>
                  <w:r>
                    <w:rPr>
                      <w:rFonts w:ascii="Times New Roman" w:hAnsi="Times New Roman" w:cs="Times New Roman"/>
                      <w:color w:val="auto"/>
                      <w:spacing w:val="10"/>
                      <w:sz w:val="21"/>
                      <w:szCs w:val="21"/>
                    </w:rPr>
                    <w:t>名以上具备化学与化工专业中级以上</w:t>
                  </w:r>
                  <w:r>
                    <w:rPr>
                      <w:rFonts w:ascii="Times New Roman" w:hAnsi="Times New Roman" w:cs="Times New Roman"/>
                      <w:color w:val="auto"/>
                      <w:spacing w:val="9"/>
                      <w:sz w:val="21"/>
                      <w:szCs w:val="21"/>
                    </w:rPr>
                    <w:t>职称的专业技术人员：主要包</w:t>
                  </w:r>
                  <w:r>
                    <w:rPr>
                      <w:rFonts w:ascii="Times New Roman" w:hAnsi="Times New Roman" w:cs="Times New Roman"/>
                      <w:color w:val="auto"/>
                      <w:spacing w:val="12"/>
                      <w:sz w:val="21"/>
                      <w:szCs w:val="21"/>
                    </w:rPr>
                    <w:t>括危险化学品特性和安全处理方面的专业技术人才。</w:t>
                  </w:r>
                </w:p>
              </w:tc>
              <w:tc>
                <w:tcPr>
                  <w:tcW w:w="3306" w:type="dxa"/>
                  <w:vMerge/>
                  <w:tcBorders>
                    <w:left w:val="single" w:sz="2" w:space="0" w:color="000000"/>
                    <w:right w:val="single" w:sz="2" w:space="0" w:color="000000"/>
                  </w:tcBorders>
                  <w:vAlign w:val="center"/>
                </w:tcPr>
                <w:p w14:paraId="0F655F7A"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F0C7A4D" w14:textId="77777777" w:rsidR="00F76A63" w:rsidRDefault="00F76A63">
                  <w:pPr>
                    <w:jc w:val="center"/>
                    <w:rPr>
                      <w:szCs w:val="21"/>
                    </w:rPr>
                  </w:pPr>
                </w:p>
              </w:tc>
            </w:tr>
            <w:tr w:rsidR="00F76A63" w14:paraId="5B70C092" w14:textId="77777777">
              <w:trPr>
                <w:trHeight w:val="165"/>
                <w:jc w:val="center"/>
              </w:trPr>
              <w:tc>
                <w:tcPr>
                  <w:tcW w:w="625" w:type="dxa"/>
                  <w:vMerge/>
                  <w:tcBorders>
                    <w:left w:val="nil"/>
                    <w:right w:val="single" w:sz="2" w:space="0" w:color="000000"/>
                  </w:tcBorders>
                  <w:vAlign w:val="center"/>
                </w:tcPr>
                <w:p w14:paraId="4DF3E59B"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20BC496C"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2596D1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10.1.3</w:t>
                  </w:r>
                  <w:r>
                    <w:rPr>
                      <w:rFonts w:ascii="Times New Roman" w:hAnsi="Times New Roman" w:cs="Times New Roman"/>
                      <w:color w:val="auto"/>
                      <w:spacing w:val="26"/>
                      <w:sz w:val="21"/>
                      <w:szCs w:val="21"/>
                    </w:rPr>
                    <w:t xml:space="preserve"> </w:t>
                  </w:r>
                  <w:r>
                    <w:rPr>
                      <w:rFonts w:ascii="Times New Roman" w:hAnsi="Times New Roman" w:cs="Times New Roman"/>
                      <w:color w:val="auto"/>
                      <w:spacing w:val="10"/>
                      <w:sz w:val="21"/>
                      <w:szCs w:val="21"/>
                    </w:rPr>
                    <w:t>具有</w:t>
                  </w:r>
                  <w:r>
                    <w:rPr>
                      <w:rFonts w:ascii="Times New Roman" w:hAnsi="Times New Roman" w:cs="Times New Roman"/>
                      <w:color w:val="auto"/>
                      <w:spacing w:val="10"/>
                      <w:sz w:val="21"/>
                      <w:szCs w:val="21"/>
                    </w:rPr>
                    <w:t>3</w:t>
                  </w:r>
                  <w:r>
                    <w:rPr>
                      <w:rFonts w:ascii="Times New Roman" w:hAnsi="Times New Roman" w:cs="Times New Roman"/>
                      <w:color w:val="auto"/>
                      <w:spacing w:val="10"/>
                      <w:sz w:val="21"/>
                      <w:szCs w:val="21"/>
                    </w:rPr>
                    <w:t>名以上具备环境科学与工程专业中级以上职称的专业技术人员：主</w:t>
                  </w:r>
                  <w:r>
                    <w:rPr>
                      <w:rFonts w:ascii="Times New Roman" w:hAnsi="Times New Roman" w:cs="Times New Roman"/>
                      <w:color w:val="auto"/>
                      <w:spacing w:val="14"/>
                      <w:sz w:val="21"/>
                      <w:szCs w:val="21"/>
                    </w:rPr>
                    <w:t>要包括固体废物的处理处置和管理技术、环境</w:t>
                  </w:r>
                  <w:r>
                    <w:rPr>
                      <w:rFonts w:ascii="Times New Roman" w:hAnsi="Times New Roman" w:cs="Times New Roman"/>
                      <w:color w:val="auto"/>
                      <w:spacing w:val="13"/>
                      <w:sz w:val="21"/>
                      <w:szCs w:val="21"/>
                    </w:rPr>
                    <w:t>监测和环境污染控制技术等专业技</w:t>
                  </w:r>
                  <w:r>
                    <w:rPr>
                      <w:rFonts w:ascii="Times New Roman" w:hAnsi="Times New Roman" w:cs="Times New Roman"/>
                      <w:color w:val="auto"/>
                      <w:spacing w:val="6"/>
                      <w:sz w:val="21"/>
                      <w:szCs w:val="21"/>
                    </w:rPr>
                    <w:t>术人才。</w:t>
                  </w:r>
                </w:p>
              </w:tc>
              <w:tc>
                <w:tcPr>
                  <w:tcW w:w="3306" w:type="dxa"/>
                  <w:vMerge/>
                  <w:tcBorders>
                    <w:left w:val="single" w:sz="2" w:space="0" w:color="000000"/>
                    <w:right w:val="single" w:sz="2" w:space="0" w:color="000000"/>
                  </w:tcBorders>
                  <w:vAlign w:val="center"/>
                </w:tcPr>
                <w:p w14:paraId="6BBB797A"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1230210E" w14:textId="77777777" w:rsidR="00F76A63" w:rsidRDefault="00F76A63">
                  <w:pPr>
                    <w:jc w:val="center"/>
                    <w:rPr>
                      <w:szCs w:val="21"/>
                    </w:rPr>
                  </w:pPr>
                </w:p>
              </w:tc>
            </w:tr>
            <w:tr w:rsidR="00F76A63" w14:paraId="03B1A4C7" w14:textId="77777777">
              <w:trPr>
                <w:trHeight w:val="165"/>
                <w:jc w:val="center"/>
              </w:trPr>
              <w:tc>
                <w:tcPr>
                  <w:tcW w:w="625" w:type="dxa"/>
                  <w:vMerge/>
                  <w:tcBorders>
                    <w:left w:val="nil"/>
                    <w:right w:val="single" w:sz="2" w:space="0" w:color="000000"/>
                  </w:tcBorders>
                  <w:vAlign w:val="center"/>
                </w:tcPr>
                <w:p w14:paraId="0F987A82"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7A07C0E"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2C41315"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10.1.4</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0"/>
                      <w:sz w:val="21"/>
                      <w:szCs w:val="21"/>
                    </w:rPr>
                    <w:t>从事处置危险废物的主要管理人员必须取得</w:t>
                  </w:r>
                  <w:r>
                    <w:rPr>
                      <w:rFonts w:ascii="Times New Roman" w:hAnsi="Times New Roman" w:cs="Times New Roman"/>
                      <w:color w:val="auto"/>
                      <w:spacing w:val="9"/>
                      <w:sz w:val="21"/>
                      <w:szCs w:val="21"/>
                    </w:rPr>
                    <w:t>上岗资质。</w:t>
                  </w:r>
                </w:p>
              </w:tc>
              <w:tc>
                <w:tcPr>
                  <w:tcW w:w="3306" w:type="dxa"/>
                  <w:vMerge/>
                  <w:tcBorders>
                    <w:left w:val="single" w:sz="2" w:space="0" w:color="000000"/>
                    <w:right w:val="single" w:sz="2" w:space="0" w:color="000000"/>
                  </w:tcBorders>
                  <w:vAlign w:val="center"/>
                </w:tcPr>
                <w:p w14:paraId="071CD8FC"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78BCF28B" w14:textId="77777777" w:rsidR="00F76A63" w:rsidRDefault="00F76A63">
                  <w:pPr>
                    <w:jc w:val="center"/>
                    <w:rPr>
                      <w:szCs w:val="21"/>
                    </w:rPr>
                  </w:pPr>
                </w:p>
              </w:tc>
            </w:tr>
            <w:tr w:rsidR="00F76A63" w14:paraId="1879A531" w14:textId="77777777">
              <w:trPr>
                <w:trHeight w:val="165"/>
                <w:jc w:val="center"/>
              </w:trPr>
              <w:tc>
                <w:tcPr>
                  <w:tcW w:w="625" w:type="dxa"/>
                  <w:vMerge/>
                  <w:tcBorders>
                    <w:left w:val="nil"/>
                    <w:right w:val="single" w:sz="2" w:space="0" w:color="000000"/>
                  </w:tcBorders>
                  <w:vAlign w:val="center"/>
                </w:tcPr>
                <w:p w14:paraId="510B1785"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3192301F"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04CD0D4"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10.1.5</w:t>
                  </w:r>
                  <w:r>
                    <w:rPr>
                      <w:rFonts w:ascii="Times New Roman" w:hAnsi="Times New Roman" w:cs="Times New Roman"/>
                      <w:color w:val="auto"/>
                      <w:spacing w:val="27"/>
                      <w:sz w:val="21"/>
                      <w:szCs w:val="21"/>
                    </w:rPr>
                    <w:t xml:space="preserve"> </w:t>
                  </w:r>
                  <w:r>
                    <w:rPr>
                      <w:rFonts w:ascii="Times New Roman" w:hAnsi="Times New Roman" w:cs="Times New Roman"/>
                      <w:color w:val="auto"/>
                      <w:spacing w:val="10"/>
                      <w:sz w:val="21"/>
                      <w:szCs w:val="21"/>
                    </w:rPr>
                    <w:t>从事处置危险废物的单位必须配备具有资质的专职安全管理人员。</w:t>
                  </w:r>
                </w:p>
              </w:tc>
              <w:tc>
                <w:tcPr>
                  <w:tcW w:w="3306" w:type="dxa"/>
                  <w:vMerge/>
                  <w:tcBorders>
                    <w:left w:val="single" w:sz="2" w:space="0" w:color="000000"/>
                    <w:bottom w:val="single" w:sz="2" w:space="0" w:color="000000"/>
                    <w:right w:val="single" w:sz="2" w:space="0" w:color="000000"/>
                  </w:tcBorders>
                  <w:vAlign w:val="center"/>
                </w:tcPr>
                <w:p w14:paraId="2DF43E5E"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0E095E77" w14:textId="77777777" w:rsidR="00F76A63" w:rsidRDefault="00F76A63">
                  <w:pPr>
                    <w:jc w:val="center"/>
                    <w:rPr>
                      <w:szCs w:val="21"/>
                    </w:rPr>
                  </w:pPr>
                </w:p>
              </w:tc>
            </w:tr>
            <w:tr w:rsidR="00F76A63" w14:paraId="5E65D461" w14:textId="77777777">
              <w:trPr>
                <w:trHeight w:val="413"/>
                <w:jc w:val="center"/>
              </w:trPr>
              <w:tc>
                <w:tcPr>
                  <w:tcW w:w="625" w:type="dxa"/>
                  <w:vMerge/>
                  <w:tcBorders>
                    <w:left w:val="nil"/>
                    <w:right w:val="single" w:sz="2" w:space="0" w:color="000000"/>
                  </w:tcBorders>
                  <w:vAlign w:val="center"/>
                </w:tcPr>
                <w:p w14:paraId="0DC317DB"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1076D1E0"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10.2 </w:t>
                  </w:r>
                  <w:r>
                    <w:rPr>
                      <w:rFonts w:ascii="Times New Roman" w:hAnsi="Times New Roman" w:cs="Times New Roman"/>
                      <w:color w:val="auto"/>
                      <w:spacing w:val="3"/>
                      <w:sz w:val="21"/>
                      <w:szCs w:val="21"/>
                    </w:rPr>
                    <w:t>人员培训制度</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95E436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10.2.1</w:t>
                  </w:r>
                  <w:r>
                    <w:rPr>
                      <w:rFonts w:ascii="Times New Roman" w:hAnsi="Times New Roman" w:cs="Times New Roman"/>
                      <w:color w:val="auto"/>
                      <w:spacing w:val="21"/>
                      <w:sz w:val="21"/>
                      <w:szCs w:val="21"/>
                    </w:rPr>
                    <w:t xml:space="preserve"> </w:t>
                  </w:r>
                  <w:r>
                    <w:rPr>
                      <w:rFonts w:ascii="Times New Roman" w:hAnsi="Times New Roman" w:cs="Times New Roman"/>
                      <w:color w:val="auto"/>
                      <w:spacing w:val="11"/>
                      <w:sz w:val="21"/>
                      <w:szCs w:val="21"/>
                    </w:rPr>
                    <w:t>针对水泥窑协同处置技术的特点，企业应建立相应的培训制度，并针对管</w:t>
                  </w:r>
                  <w:r>
                    <w:rPr>
                      <w:rFonts w:ascii="Times New Roman" w:hAnsi="Times New Roman" w:cs="Times New Roman"/>
                      <w:color w:val="auto"/>
                      <w:spacing w:val="12"/>
                      <w:sz w:val="21"/>
                      <w:szCs w:val="21"/>
                    </w:rPr>
                    <w:t>理人员、技术人员和操作人员分别进行专门的培训。</w:t>
                  </w:r>
                </w:p>
              </w:tc>
              <w:tc>
                <w:tcPr>
                  <w:tcW w:w="3306" w:type="dxa"/>
                  <w:vMerge w:val="restart"/>
                  <w:tcBorders>
                    <w:top w:val="single" w:sz="2" w:space="0" w:color="000000"/>
                    <w:left w:val="single" w:sz="2" w:space="0" w:color="000000"/>
                    <w:right w:val="single" w:sz="2" w:space="0" w:color="000000"/>
                  </w:tcBorders>
                  <w:vAlign w:val="center"/>
                </w:tcPr>
                <w:p w14:paraId="704BEB9A"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本项目按照规范要求制定人员培训制</w:t>
                  </w:r>
                  <w:r>
                    <w:rPr>
                      <w:rFonts w:ascii="Times New Roman" w:hAnsi="Times New Roman" w:cs="Times New Roman"/>
                      <w:color w:val="auto"/>
                      <w:sz w:val="21"/>
                      <w:szCs w:val="21"/>
                    </w:rPr>
                    <w:t>度。</w:t>
                  </w:r>
                </w:p>
              </w:tc>
              <w:tc>
                <w:tcPr>
                  <w:tcW w:w="789" w:type="dxa"/>
                  <w:vMerge w:val="restart"/>
                  <w:tcBorders>
                    <w:top w:val="single" w:sz="2" w:space="0" w:color="000000"/>
                    <w:left w:val="single" w:sz="2" w:space="0" w:color="000000"/>
                    <w:right w:val="nil"/>
                  </w:tcBorders>
                  <w:vAlign w:val="center"/>
                </w:tcPr>
                <w:p w14:paraId="2B9A6D74" w14:textId="77777777" w:rsidR="00F76A63" w:rsidRDefault="00000000">
                  <w:pPr>
                    <w:jc w:val="center"/>
                    <w:rPr>
                      <w:szCs w:val="21"/>
                    </w:rPr>
                  </w:pPr>
                  <w:r>
                    <w:rPr>
                      <w:szCs w:val="21"/>
                    </w:rPr>
                    <w:t>符合</w:t>
                  </w:r>
                </w:p>
              </w:tc>
            </w:tr>
            <w:tr w:rsidR="00F76A63" w14:paraId="7294A364" w14:textId="77777777">
              <w:trPr>
                <w:trHeight w:val="412"/>
                <w:jc w:val="center"/>
              </w:trPr>
              <w:tc>
                <w:tcPr>
                  <w:tcW w:w="625" w:type="dxa"/>
                  <w:vMerge/>
                  <w:tcBorders>
                    <w:left w:val="nil"/>
                    <w:right w:val="single" w:sz="2" w:space="0" w:color="000000"/>
                  </w:tcBorders>
                  <w:vAlign w:val="center"/>
                </w:tcPr>
                <w:p w14:paraId="039173E5"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7E17C5D2"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10CFAE1"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10.2.2</w:t>
                  </w:r>
                  <w:r>
                    <w:rPr>
                      <w:rFonts w:ascii="Times New Roman" w:hAnsi="Times New Roman" w:cs="Times New Roman"/>
                      <w:color w:val="auto"/>
                      <w:spacing w:val="23"/>
                      <w:sz w:val="21"/>
                      <w:szCs w:val="21"/>
                    </w:rPr>
                    <w:t xml:space="preserve"> </w:t>
                  </w:r>
                  <w:r>
                    <w:rPr>
                      <w:rFonts w:ascii="Times New Roman" w:hAnsi="Times New Roman" w:cs="Times New Roman"/>
                      <w:color w:val="auto"/>
                      <w:spacing w:val="11"/>
                      <w:sz w:val="21"/>
                      <w:szCs w:val="21"/>
                    </w:rPr>
                    <w:t>培训主要内容包括：</w:t>
                  </w:r>
                  <w:r>
                    <w:rPr>
                      <w:rFonts w:ascii="Times New Roman" w:hAnsi="Times New Roman" w:cs="Times New Roman"/>
                      <w:color w:val="auto"/>
                      <w:spacing w:val="-56"/>
                      <w:sz w:val="21"/>
                      <w:szCs w:val="21"/>
                    </w:rPr>
                    <w:t xml:space="preserve"> </w:t>
                  </w:r>
                  <w:r>
                    <w:rPr>
                      <w:rFonts w:ascii="Times New Roman" w:hAnsi="Times New Roman" w:cs="Times New Roman"/>
                      <w:color w:val="auto"/>
                      <w:spacing w:val="11"/>
                      <w:sz w:val="21"/>
                      <w:szCs w:val="21"/>
                    </w:rPr>
                    <w:t>固体废物管理、危险</w:t>
                  </w:r>
                  <w:r>
                    <w:rPr>
                      <w:rFonts w:ascii="Times New Roman" w:hAnsi="Times New Roman" w:cs="Times New Roman"/>
                      <w:color w:val="auto"/>
                      <w:spacing w:val="10"/>
                      <w:sz w:val="21"/>
                      <w:szCs w:val="21"/>
                    </w:rPr>
                    <w:t>化学品管理、水泥窑协同处置技</w:t>
                  </w:r>
                  <w:r>
                    <w:rPr>
                      <w:rFonts w:ascii="Times New Roman" w:hAnsi="Times New Roman" w:cs="Times New Roman"/>
                      <w:color w:val="auto"/>
                      <w:spacing w:val="12"/>
                      <w:sz w:val="21"/>
                      <w:szCs w:val="21"/>
                    </w:rPr>
                    <w:t>术、水泥生产管理技术、现场安全预防和人员防护等。</w:t>
                  </w:r>
                </w:p>
              </w:tc>
              <w:tc>
                <w:tcPr>
                  <w:tcW w:w="3306" w:type="dxa"/>
                  <w:vMerge/>
                  <w:tcBorders>
                    <w:left w:val="single" w:sz="2" w:space="0" w:color="000000"/>
                    <w:bottom w:val="single" w:sz="2" w:space="0" w:color="000000"/>
                    <w:right w:val="single" w:sz="2" w:space="0" w:color="000000"/>
                  </w:tcBorders>
                  <w:vAlign w:val="center"/>
                </w:tcPr>
                <w:p w14:paraId="1A0171AB"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44725E33" w14:textId="77777777" w:rsidR="00F76A63" w:rsidRDefault="00F76A63">
                  <w:pPr>
                    <w:jc w:val="center"/>
                    <w:rPr>
                      <w:szCs w:val="21"/>
                    </w:rPr>
                  </w:pPr>
                </w:p>
              </w:tc>
            </w:tr>
            <w:tr w:rsidR="00F76A63" w14:paraId="354C8ACA" w14:textId="77777777">
              <w:trPr>
                <w:trHeight w:val="275"/>
                <w:jc w:val="center"/>
              </w:trPr>
              <w:tc>
                <w:tcPr>
                  <w:tcW w:w="625" w:type="dxa"/>
                  <w:vMerge/>
                  <w:tcBorders>
                    <w:left w:val="nil"/>
                    <w:right w:val="single" w:sz="2" w:space="0" w:color="000000"/>
                  </w:tcBorders>
                  <w:vAlign w:val="center"/>
                </w:tcPr>
                <w:p w14:paraId="4B4D1D80"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6871A02C"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10.3 </w:t>
                  </w:r>
                  <w:r>
                    <w:rPr>
                      <w:rFonts w:ascii="Times New Roman" w:hAnsi="Times New Roman" w:cs="Times New Roman"/>
                      <w:color w:val="auto"/>
                      <w:spacing w:val="3"/>
                      <w:sz w:val="21"/>
                      <w:szCs w:val="21"/>
                    </w:rPr>
                    <w:t>安全管理制度</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A1AAEA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10.3.1</w:t>
                  </w:r>
                  <w:r>
                    <w:rPr>
                      <w:rFonts w:ascii="Times New Roman" w:hAnsi="Times New Roman" w:cs="Times New Roman"/>
                      <w:color w:val="auto"/>
                      <w:spacing w:val="24"/>
                      <w:sz w:val="21"/>
                      <w:szCs w:val="21"/>
                    </w:rPr>
                    <w:t xml:space="preserve"> </w:t>
                  </w:r>
                  <w:r>
                    <w:rPr>
                      <w:rFonts w:ascii="Times New Roman" w:hAnsi="Times New Roman" w:cs="Times New Roman"/>
                      <w:color w:val="auto"/>
                      <w:spacing w:val="11"/>
                      <w:sz w:val="21"/>
                      <w:szCs w:val="21"/>
                    </w:rPr>
                    <w:t>从事固体废物协同处置的水泥企业应遵守水泥生产相关职业健康与安全生</w:t>
                  </w:r>
                  <w:r>
                    <w:rPr>
                      <w:rFonts w:ascii="Times New Roman" w:hAnsi="Times New Roman" w:cs="Times New Roman"/>
                      <w:color w:val="auto"/>
                      <w:spacing w:val="10"/>
                      <w:sz w:val="21"/>
                      <w:szCs w:val="21"/>
                    </w:rPr>
                    <w:t>产标准和规范。</w:t>
                  </w:r>
                </w:p>
              </w:tc>
              <w:tc>
                <w:tcPr>
                  <w:tcW w:w="3306" w:type="dxa"/>
                  <w:vMerge w:val="restart"/>
                  <w:tcBorders>
                    <w:top w:val="single" w:sz="2" w:space="0" w:color="000000"/>
                    <w:left w:val="single" w:sz="2" w:space="0" w:color="000000"/>
                    <w:right w:val="single" w:sz="2" w:space="0" w:color="000000"/>
                  </w:tcBorders>
                  <w:vAlign w:val="center"/>
                </w:tcPr>
                <w:p w14:paraId="1CABCB89"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3"/>
                      <w:sz w:val="21"/>
                      <w:szCs w:val="21"/>
                    </w:rPr>
                    <w:t>本项目按照规范要求制定安全管理制</w:t>
                  </w:r>
                  <w:r>
                    <w:rPr>
                      <w:rFonts w:ascii="Times New Roman" w:hAnsi="Times New Roman" w:cs="Times New Roman"/>
                      <w:color w:val="auto"/>
                      <w:sz w:val="21"/>
                      <w:szCs w:val="21"/>
                    </w:rPr>
                    <w:t>度。</w:t>
                  </w:r>
                </w:p>
              </w:tc>
              <w:tc>
                <w:tcPr>
                  <w:tcW w:w="789" w:type="dxa"/>
                  <w:vMerge w:val="restart"/>
                  <w:tcBorders>
                    <w:top w:val="single" w:sz="2" w:space="0" w:color="000000"/>
                    <w:left w:val="single" w:sz="2" w:space="0" w:color="000000"/>
                    <w:right w:val="nil"/>
                  </w:tcBorders>
                  <w:vAlign w:val="center"/>
                </w:tcPr>
                <w:p w14:paraId="05AC1273" w14:textId="77777777" w:rsidR="00F76A63" w:rsidRDefault="00000000">
                  <w:pPr>
                    <w:jc w:val="center"/>
                    <w:rPr>
                      <w:szCs w:val="21"/>
                    </w:rPr>
                  </w:pPr>
                  <w:r>
                    <w:rPr>
                      <w:szCs w:val="21"/>
                    </w:rPr>
                    <w:t>符合</w:t>
                  </w:r>
                </w:p>
              </w:tc>
            </w:tr>
            <w:tr w:rsidR="00F76A63" w14:paraId="4E8C53BC" w14:textId="77777777">
              <w:trPr>
                <w:trHeight w:val="275"/>
                <w:jc w:val="center"/>
              </w:trPr>
              <w:tc>
                <w:tcPr>
                  <w:tcW w:w="625" w:type="dxa"/>
                  <w:vMerge/>
                  <w:tcBorders>
                    <w:left w:val="nil"/>
                    <w:right w:val="single" w:sz="2" w:space="0" w:color="000000"/>
                  </w:tcBorders>
                  <w:vAlign w:val="center"/>
                </w:tcPr>
                <w:p w14:paraId="54752606"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2D408853"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FBAB15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10.3.2</w:t>
                  </w:r>
                  <w:r>
                    <w:rPr>
                      <w:rFonts w:ascii="Times New Roman" w:hAnsi="Times New Roman" w:cs="Times New Roman"/>
                      <w:color w:val="auto"/>
                      <w:spacing w:val="24"/>
                      <w:sz w:val="21"/>
                      <w:szCs w:val="21"/>
                    </w:rPr>
                    <w:t xml:space="preserve"> </w:t>
                  </w:r>
                  <w:r>
                    <w:rPr>
                      <w:rFonts w:ascii="Times New Roman" w:hAnsi="Times New Roman" w:cs="Times New Roman"/>
                      <w:color w:val="auto"/>
                      <w:spacing w:val="12"/>
                      <w:sz w:val="21"/>
                      <w:szCs w:val="21"/>
                    </w:rPr>
                    <w:t>从事危险废物协同处置的企业应遵守危险化学品</w:t>
                  </w:r>
                  <w:r>
                    <w:rPr>
                      <w:rFonts w:ascii="Times New Roman" w:hAnsi="Times New Roman" w:cs="Times New Roman"/>
                      <w:color w:val="auto"/>
                      <w:spacing w:val="11"/>
                      <w:sz w:val="21"/>
                      <w:szCs w:val="21"/>
                    </w:rPr>
                    <w:t>的相关安全法规，包括</w:t>
                  </w:r>
                  <w:r>
                    <w:rPr>
                      <w:rFonts w:ascii="Times New Roman" w:hAnsi="Times New Roman" w:cs="Times New Roman"/>
                      <w:color w:val="auto"/>
                      <w:spacing w:val="12"/>
                      <w:sz w:val="21"/>
                      <w:szCs w:val="21"/>
                    </w:rPr>
                    <w:t>《危险化学品安全管理条例》和《废弃危险化学品污染环境防治办法》，避免危</w:t>
                  </w:r>
                  <w:r>
                    <w:rPr>
                      <w:rFonts w:ascii="Times New Roman" w:hAnsi="Times New Roman" w:cs="Times New Roman"/>
                      <w:color w:val="auto"/>
                      <w:spacing w:val="11"/>
                      <w:sz w:val="21"/>
                      <w:szCs w:val="21"/>
                    </w:rPr>
                    <w:t>险废物不当操作和管理造成的安全事故。</w:t>
                  </w:r>
                </w:p>
              </w:tc>
              <w:tc>
                <w:tcPr>
                  <w:tcW w:w="3306" w:type="dxa"/>
                  <w:vMerge/>
                  <w:tcBorders>
                    <w:left w:val="single" w:sz="2" w:space="0" w:color="000000"/>
                    <w:right w:val="single" w:sz="2" w:space="0" w:color="000000"/>
                  </w:tcBorders>
                  <w:vAlign w:val="center"/>
                </w:tcPr>
                <w:p w14:paraId="5831501C"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76DB1A49" w14:textId="77777777" w:rsidR="00F76A63" w:rsidRDefault="00F76A63">
                  <w:pPr>
                    <w:jc w:val="center"/>
                    <w:rPr>
                      <w:szCs w:val="21"/>
                    </w:rPr>
                  </w:pPr>
                </w:p>
              </w:tc>
            </w:tr>
            <w:tr w:rsidR="00F76A63" w14:paraId="44AA8079" w14:textId="77777777">
              <w:trPr>
                <w:trHeight w:val="275"/>
                <w:jc w:val="center"/>
              </w:trPr>
              <w:tc>
                <w:tcPr>
                  <w:tcW w:w="625" w:type="dxa"/>
                  <w:vMerge/>
                  <w:tcBorders>
                    <w:left w:val="nil"/>
                    <w:right w:val="single" w:sz="2" w:space="0" w:color="000000"/>
                  </w:tcBorders>
                  <w:vAlign w:val="center"/>
                </w:tcPr>
                <w:p w14:paraId="78753ED1"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44F7CADE"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12E72B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10.3.3</w:t>
                  </w:r>
                  <w:r>
                    <w:rPr>
                      <w:rFonts w:ascii="Times New Roman" w:hAnsi="Times New Roman" w:cs="Times New Roman"/>
                      <w:color w:val="auto"/>
                      <w:spacing w:val="24"/>
                      <w:sz w:val="21"/>
                      <w:szCs w:val="21"/>
                    </w:rPr>
                    <w:t xml:space="preserve"> </w:t>
                  </w:r>
                  <w:r>
                    <w:rPr>
                      <w:rFonts w:ascii="Times New Roman" w:hAnsi="Times New Roman" w:cs="Times New Roman"/>
                      <w:color w:val="auto"/>
                      <w:spacing w:val="12"/>
                      <w:sz w:val="21"/>
                      <w:szCs w:val="21"/>
                    </w:rPr>
                    <w:t>从事固体废物协同处置的企业应根据企业特点制定相</w:t>
                  </w:r>
                  <w:r>
                    <w:rPr>
                      <w:rFonts w:ascii="Times New Roman" w:hAnsi="Times New Roman" w:cs="Times New Roman"/>
                      <w:color w:val="auto"/>
                      <w:spacing w:val="11"/>
                      <w:sz w:val="21"/>
                      <w:szCs w:val="21"/>
                    </w:rPr>
                    <w:t>应的安全生产管理制</w:t>
                  </w:r>
                  <w:r>
                    <w:rPr>
                      <w:rFonts w:ascii="Times New Roman" w:hAnsi="Times New Roman" w:cs="Times New Roman"/>
                      <w:color w:val="auto"/>
                      <w:spacing w:val="14"/>
                      <w:sz w:val="21"/>
                      <w:szCs w:val="21"/>
                    </w:rPr>
                    <w:t>度，针对固体废物收集、贮存、运输、协同处置过</w:t>
                  </w:r>
                  <w:r>
                    <w:rPr>
                      <w:rFonts w:ascii="Times New Roman" w:hAnsi="Times New Roman" w:cs="Times New Roman"/>
                      <w:color w:val="auto"/>
                      <w:spacing w:val="13"/>
                      <w:sz w:val="21"/>
                      <w:szCs w:val="21"/>
                    </w:rPr>
                    <w:t>程中可能出现的安全问题，建</w:t>
                  </w:r>
                  <w:r>
                    <w:rPr>
                      <w:rFonts w:ascii="Times New Roman" w:hAnsi="Times New Roman" w:cs="Times New Roman"/>
                      <w:color w:val="auto"/>
                      <w:sz w:val="21"/>
                      <w:szCs w:val="21"/>
                    </w:rPr>
                    <w:t xml:space="preserve"> </w:t>
                  </w:r>
                  <w:r>
                    <w:rPr>
                      <w:rFonts w:ascii="Times New Roman" w:hAnsi="Times New Roman" w:cs="Times New Roman"/>
                      <w:color w:val="auto"/>
                      <w:spacing w:val="14"/>
                      <w:sz w:val="21"/>
                      <w:szCs w:val="21"/>
                    </w:rPr>
                    <w:t>立安全生产守则基本要求、消防安全管理制度、危</w:t>
                  </w:r>
                  <w:r>
                    <w:rPr>
                      <w:rFonts w:ascii="Times New Roman" w:hAnsi="Times New Roman" w:cs="Times New Roman"/>
                      <w:color w:val="auto"/>
                      <w:spacing w:val="13"/>
                      <w:sz w:val="21"/>
                      <w:szCs w:val="21"/>
                    </w:rPr>
                    <w:t>险作业管理制度、剧毒物品管理制度、事故管理制度及其他安全生产管理制度。</w:t>
                  </w:r>
                </w:p>
              </w:tc>
              <w:tc>
                <w:tcPr>
                  <w:tcW w:w="3306" w:type="dxa"/>
                  <w:vMerge/>
                  <w:tcBorders>
                    <w:left w:val="single" w:sz="2" w:space="0" w:color="000000"/>
                    <w:bottom w:val="single" w:sz="2" w:space="0" w:color="000000"/>
                    <w:right w:val="single" w:sz="2" w:space="0" w:color="000000"/>
                  </w:tcBorders>
                  <w:vAlign w:val="center"/>
                </w:tcPr>
                <w:p w14:paraId="1DF324E1"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13DA9C4A" w14:textId="77777777" w:rsidR="00F76A63" w:rsidRDefault="00F76A63">
                  <w:pPr>
                    <w:jc w:val="center"/>
                    <w:rPr>
                      <w:szCs w:val="21"/>
                    </w:rPr>
                  </w:pPr>
                </w:p>
              </w:tc>
            </w:tr>
            <w:tr w:rsidR="00F76A63" w14:paraId="16666BD3" w14:textId="77777777">
              <w:trPr>
                <w:trHeight w:val="275"/>
                <w:jc w:val="center"/>
              </w:trPr>
              <w:tc>
                <w:tcPr>
                  <w:tcW w:w="625" w:type="dxa"/>
                  <w:vMerge/>
                  <w:tcBorders>
                    <w:left w:val="nil"/>
                    <w:right w:val="single" w:sz="2" w:space="0" w:color="000000"/>
                  </w:tcBorders>
                  <w:vAlign w:val="center"/>
                </w:tcPr>
                <w:p w14:paraId="5C0F87A2"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5AD33E59"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10.4 </w:t>
                  </w:r>
                  <w:r>
                    <w:rPr>
                      <w:rFonts w:ascii="Times New Roman" w:hAnsi="Times New Roman" w:cs="Times New Roman"/>
                      <w:color w:val="auto"/>
                      <w:spacing w:val="3"/>
                      <w:sz w:val="21"/>
                      <w:szCs w:val="21"/>
                    </w:rPr>
                    <w:t>人员健康管理制度</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50BB6C4"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10.4.1</w:t>
                  </w:r>
                  <w:r>
                    <w:rPr>
                      <w:rFonts w:ascii="Times New Roman" w:hAnsi="Times New Roman" w:cs="Times New Roman"/>
                      <w:color w:val="auto"/>
                      <w:spacing w:val="24"/>
                      <w:sz w:val="21"/>
                      <w:szCs w:val="21"/>
                    </w:rPr>
                    <w:t xml:space="preserve"> </w:t>
                  </w:r>
                  <w:r>
                    <w:rPr>
                      <w:rFonts w:ascii="Times New Roman" w:hAnsi="Times New Roman" w:cs="Times New Roman"/>
                      <w:color w:val="auto"/>
                      <w:spacing w:val="11"/>
                      <w:sz w:val="21"/>
                      <w:szCs w:val="21"/>
                    </w:rPr>
                    <w:t>建立从事危险废物作业人员的劳动保护制度，遵守《危险废物集中焚烧处置工程建设技术规范》（</w:t>
                  </w:r>
                  <w:r>
                    <w:rPr>
                      <w:rFonts w:ascii="Times New Roman" w:hAnsi="Times New Roman" w:cs="Times New Roman"/>
                      <w:color w:val="auto"/>
                      <w:sz w:val="21"/>
                      <w:szCs w:val="21"/>
                    </w:rPr>
                    <w:t>HJ</w:t>
                  </w:r>
                  <w:r>
                    <w:rPr>
                      <w:rFonts w:ascii="Times New Roman" w:hAnsi="Times New Roman" w:cs="Times New Roman"/>
                      <w:color w:val="auto"/>
                      <w:spacing w:val="11"/>
                      <w:sz w:val="21"/>
                      <w:szCs w:val="21"/>
                    </w:rPr>
                    <w:t>/T176</w:t>
                  </w:r>
                  <w:r>
                    <w:rPr>
                      <w:rFonts w:ascii="Times New Roman" w:hAnsi="Times New Roman" w:cs="Times New Roman"/>
                      <w:color w:val="auto"/>
                      <w:spacing w:val="11"/>
                      <w:sz w:val="21"/>
                      <w:szCs w:val="21"/>
                    </w:rPr>
                    <w:t>）</w:t>
                  </w:r>
                  <w:r>
                    <w:rPr>
                      <w:rFonts w:ascii="Times New Roman" w:hAnsi="Times New Roman" w:cs="Times New Roman"/>
                      <w:color w:val="auto"/>
                      <w:spacing w:val="-50"/>
                      <w:sz w:val="21"/>
                      <w:szCs w:val="21"/>
                    </w:rPr>
                    <w:t xml:space="preserve"> </w:t>
                  </w:r>
                  <w:r>
                    <w:rPr>
                      <w:rFonts w:ascii="Times New Roman" w:hAnsi="Times New Roman" w:cs="Times New Roman"/>
                      <w:color w:val="auto"/>
                      <w:spacing w:val="11"/>
                      <w:sz w:val="21"/>
                      <w:szCs w:val="21"/>
                    </w:rPr>
                    <w:t>中有关劳动安全卫生和劳动保护的</w:t>
                  </w:r>
                  <w:r>
                    <w:rPr>
                      <w:rFonts w:ascii="Times New Roman" w:hAnsi="Times New Roman" w:cs="Times New Roman"/>
                      <w:color w:val="auto"/>
                      <w:spacing w:val="10"/>
                      <w:sz w:val="21"/>
                      <w:szCs w:val="21"/>
                    </w:rPr>
                    <w:t>要求。</w:t>
                  </w:r>
                </w:p>
              </w:tc>
              <w:tc>
                <w:tcPr>
                  <w:tcW w:w="3306" w:type="dxa"/>
                  <w:vMerge w:val="restart"/>
                  <w:tcBorders>
                    <w:top w:val="single" w:sz="2" w:space="0" w:color="000000"/>
                    <w:left w:val="single" w:sz="2" w:space="0" w:color="000000"/>
                    <w:right w:val="single" w:sz="2" w:space="0" w:color="000000"/>
                  </w:tcBorders>
                  <w:vAlign w:val="center"/>
                </w:tcPr>
                <w:p w14:paraId="5D6F869F"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本项目按照规范要求制定人员健康管理制度。</w:t>
                  </w:r>
                </w:p>
              </w:tc>
              <w:tc>
                <w:tcPr>
                  <w:tcW w:w="789" w:type="dxa"/>
                  <w:vMerge w:val="restart"/>
                  <w:tcBorders>
                    <w:top w:val="single" w:sz="2" w:space="0" w:color="000000"/>
                    <w:left w:val="single" w:sz="2" w:space="0" w:color="000000"/>
                    <w:right w:val="nil"/>
                  </w:tcBorders>
                  <w:vAlign w:val="center"/>
                </w:tcPr>
                <w:p w14:paraId="1A8C60B3" w14:textId="77777777" w:rsidR="00F76A63" w:rsidRDefault="00000000">
                  <w:pPr>
                    <w:jc w:val="center"/>
                    <w:rPr>
                      <w:szCs w:val="21"/>
                    </w:rPr>
                  </w:pPr>
                  <w:r>
                    <w:rPr>
                      <w:szCs w:val="21"/>
                    </w:rPr>
                    <w:t>符合</w:t>
                  </w:r>
                </w:p>
              </w:tc>
            </w:tr>
            <w:tr w:rsidR="00F76A63" w14:paraId="3EE225CF" w14:textId="77777777">
              <w:trPr>
                <w:trHeight w:val="275"/>
                <w:jc w:val="center"/>
              </w:trPr>
              <w:tc>
                <w:tcPr>
                  <w:tcW w:w="625" w:type="dxa"/>
                  <w:vMerge/>
                  <w:tcBorders>
                    <w:left w:val="nil"/>
                    <w:right w:val="single" w:sz="2" w:space="0" w:color="000000"/>
                  </w:tcBorders>
                  <w:vAlign w:val="center"/>
                </w:tcPr>
                <w:p w14:paraId="72434B5A"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AAEA366"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8BF4284"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10.4.2</w:t>
                  </w:r>
                  <w:r>
                    <w:rPr>
                      <w:rFonts w:ascii="Times New Roman" w:hAnsi="Times New Roman" w:cs="Times New Roman"/>
                      <w:color w:val="auto"/>
                      <w:spacing w:val="22"/>
                      <w:sz w:val="21"/>
                      <w:szCs w:val="21"/>
                    </w:rPr>
                    <w:t xml:space="preserve"> </w:t>
                  </w:r>
                  <w:r>
                    <w:rPr>
                      <w:rFonts w:ascii="Times New Roman" w:hAnsi="Times New Roman" w:cs="Times New Roman"/>
                      <w:color w:val="auto"/>
                      <w:spacing w:val="12"/>
                      <w:sz w:val="21"/>
                      <w:szCs w:val="21"/>
                    </w:rPr>
                    <w:t>协同处置企业应建立从业人员定期体检制度，明确从业人</w:t>
                  </w:r>
                  <w:r>
                    <w:rPr>
                      <w:rFonts w:ascii="Times New Roman" w:hAnsi="Times New Roman" w:cs="Times New Roman"/>
                      <w:color w:val="auto"/>
                      <w:spacing w:val="11"/>
                      <w:sz w:val="21"/>
                      <w:szCs w:val="21"/>
                    </w:rPr>
                    <w:t>员在上岗前、离</w:t>
                  </w:r>
                  <w:r>
                    <w:rPr>
                      <w:rFonts w:ascii="Times New Roman" w:hAnsi="Times New Roman" w:cs="Times New Roman"/>
                      <w:color w:val="auto"/>
                      <w:spacing w:val="12"/>
                      <w:sz w:val="21"/>
                      <w:szCs w:val="21"/>
                    </w:rPr>
                    <w:t>岗前和在岗过程中的体检频次和体检内容，并按期体检。</w:t>
                  </w:r>
                </w:p>
              </w:tc>
              <w:tc>
                <w:tcPr>
                  <w:tcW w:w="3306" w:type="dxa"/>
                  <w:vMerge/>
                  <w:tcBorders>
                    <w:left w:val="single" w:sz="2" w:space="0" w:color="000000"/>
                    <w:right w:val="single" w:sz="2" w:space="0" w:color="000000"/>
                  </w:tcBorders>
                  <w:vAlign w:val="center"/>
                </w:tcPr>
                <w:p w14:paraId="1C67A03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E7A24CA" w14:textId="77777777" w:rsidR="00F76A63" w:rsidRDefault="00F76A63">
                  <w:pPr>
                    <w:jc w:val="center"/>
                    <w:rPr>
                      <w:szCs w:val="21"/>
                    </w:rPr>
                  </w:pPr>
                </w:p>
              </w:tc>
            </w:tr>
            <w:tr w:rsidR="00F76A63" w14:paraId="00E9670F" w14:textId="77777777">
              <w:trPr>
                <w:trHeight w:val="275"/>
                <w:jc w:val="center"/>
              </w:trPr>
              <w:tc>
                <w:tcPr>
                  <w:tcW w:w="625" w:type="dxa"/>
                  <w:vMerge/>
                  <w:tcBorders>
                    <w:left w:val="nil"/>
                    <w:right w:val="single" w:sz="2" w:space="0" w:color="000000"/>
                  </w:tcBorders>
                  <w:vAlign w:val="center"/>
                </w:tcPr>
                <w:p w14:paraId="04D15A88"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6E8ACF32"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E3BAF6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8"/>
                      <w:sz w:val="21"/>
                      <w:szCs w:val="21"/>
                    </w:rPr>
                    <w:t>10.4.3</w:t>
                  </w:r>
                  <w:r>
                    <w:rPr>
                      <w:rFonts w:ascii="Times New Roman" w:hAnsi="Times New Roman" w:cs="Times New Roman"/>
                      <w:color w:val="auto"/>
                      <w:spacing w:val="27"/>
                      <w:sz w:val="21"/>
                      <w:szCs w:val="21"/>
                    </w:rPr>
                    <w:t xml:space="preserve"> </w:t>
                  </w:r>
                  <w:r>
                    <w:rPr>
                      <w:rFonts w:ascii="Times New Roman" w:hAnsi="Times New Roman" w:cs="Times New Roman"/>
                      <w:color w:val="auto"/>
                      <w:spacing w:val="8"/>
                      <w:sz w:val="21"/>
                      <w:szCs w:val="21"/>
                    </w:rPr>
                    <w:t>建立从业人员健康档案。</w:t>
                  </w:r>
                </w:p>
              </w:tc>
              <w:tc>
                <w:tcPr>
                  <w:tcW w:w="3306" w:type="dxa"/>
                  <w:vMerge/>
                  <w:tcBorders>
                    <w:left w:val="single" w:sz="2" w:space="0" w:color="000000"/>
                    <w:bottom w:val="single" w:sz="2" w:space="0" w:color="000000"/>
                    <w:right w:val="single" w:sz="2" w:space="0" w:color="000000"/>
                  </w:tcBorders>
                  <w:vAlign w:val="center"/>
                </w:tcPr>
                <w:p w14:paraId="32C57842"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5CA35464" w14:textId="77777777" w:rsidR="00F76A63" w:rsidRDefault="00F76A63">
                  <w:pPr>
                    <w:jc w:val="center"/>
                    <w:rPr>
                      <w:szCs w:val="21"/>
                    </w:rPr>
                  </w:pPr>
                </w:p>
              </w:tc>
            </w:tr>
            <w:tr w:rsidR="00F76A63" w14:paraId="646B6812" w14:textId="77777777">
              <w:trPr>
                <w:trHeight w:val="69"/>
                <w:jc w:val="center"/>
              </w:trPr>
              <w:tc>
                <w:tcPr>
                  <w:tcW w:w="625" w:type="dxa"/>
                  <w:vMerge/>
                  <w:tcBorders>
                    <w:left w:val="nil"/>
                    <w:right w:val="single" w:sz="2" w:space="0" w:color="000000"/>
                  </w:tcBorders>
                  <w:vAlign w:val="center"/>
                </w:tcPr>
                <w:p w14:paraId="15235F0D"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09023CD6"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10.5 </w:t>
                  </w:r>
                  <w:r>
                    <w:rPr>
                      <w:rFonts w:ascii="Times New Roman" w:hAnsi="Times New Roman" w:cs="Times New Roman"/>
                      <w:color w:val="auto"/>
                      <w:spacing w:val="3"/>
                      <w:sz w:val="21"/>
                      <w:szCs w:val="21"/>
                    </w:rPr>
                    <w:t>应急管理制度</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5E484D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10.5.1</w:t>
                  </w:r>
                  <w:r>
                    <w:rPr>
                      <w:rFonts w:ascii="Times New Roman" w:hAnsi="Times New Roman" w:cs="Times New Roman"/>
                      <w:color w:val="auto"/>
                      <w:spacing w:val="22"/>
                      <w:sz w:val="21"/>
                      <w:szCs w:val="21"/>
                    </w:rPr>
                    <w:t xml:space="preserve"> </w:t>
                  </w:r>
                  <w:r>
                    <w:rPr>
                      <w:rFonts w:ascii="Times New Roman" w:hAnsi="Times New Roman" w:cs="Times New Roman"/>
                      <w:color w:val="auto"/>
                      <w:spacing w:val="11"/>
                      <w:sz w:val="21"/>
                      <w:szCs w:val="21"/>
                    </w:rPr>
                    <w:t>协同处置企业应遵守《关于加强环境应急管理工作的意见》和《突发环境</w:t>
                  </w:r>
                  <w:r>
                    <w:rPr>
                      <w:rFonts w:ascii="Times New Roman" w:hAnsi="Times New Roman" w:cs="Times New Roman"/>
                      <w:color w:val="auto"/>
                      <w:spacing w:val="14"/>
                      <w:sz w:val="21"/>
                      <w:szCs w:val="21"/>
                    </w:rPr>
                    <w:t>事件应急预案管理办法》等相关要求，建立包括</w:t>
                  </w:r>
                  <w:r>
                    <w:rPr>
                      <w:rFonts w:ascii="Times New Roman" w:hAnsi="Times New Roman" w:cs="Times New Roman"/>
                      <w:color w:val="auto"/>
                      <w:spacing w:val="13"/>
                      <w:sz w:val="21"/>
                      <w:szCs w:val="21"/>
                    </w:rPr>
                    <w:t>安全生产事故和突发环境事件在</w:t>
                  </w:r>
                  <w:r>
                    <w:rPr>
                      <w:rFonts w:ascii="Times New Roman" w:hAnsi="Times New Roman" w:cs="Times New Roman"/>
                      <w:color w:val="auto"/>
                      <w:spacing w:val="9"/>
                      <w:sz w:val="21"/>
                      <w:szCs w:val="21"/>
                    </w:rPr>
                    <w:t>内的全面应急管理制度。</w:t>
                  </w:r>
                </w:p>
              </w:tc>
              <w:tc>
                <w:tcPr>
                  <w:tcW w:w="3306" w:type="dxa"/>
                  <w:vMerge w:val="restart"/>
                  <w:tcBorders>
                    <w:top w:val="single" w:sz="2" w:space="0" w:color="000000"/>
                    <w:left w:val="single" w:sz="2" w:space="0" w:color="000000"/>
                    <w:right w:val="single" w:sz="2" w:space="0" w:color="000000"/>
                  </w:tcBorders>
                  <w:vAlign w:val="center"/>
                </w:tcPr>
                <w:p w14:paraId="1AC8286C"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本项目按照规范要求制定事故应急管理制度。</w:t>
                  </w:r>
                </w:p>
              </w:tc>
              <w:tc>
                <w:tcPr>
                  <w:tcW w:w="789" w:type="dxa"/>
                  <w:vMerge w:val="restart"/>
                  <w:tcBorders>
                    <w:top w:val="single" w:sz="2" w:space="0" w:color="000000"/>
                    <w:left w:val="single" w:sz="2" w:space="0" w:color="000000"/>
                    <w:right w:val="nil"/>
                  </w:tcBorders>
                  <w:vAlign w:val="center"/>
                </w:tcPr>
                <w:p w14:paraId="0BC374FB" w14:textId="77777777" w:rsidR="00F76A63" w:rsidRDefault="00000000">
                  <w:pPr>
                    <w:jc w:val="center"/>
                    <w:rPr>
                      <w:szCs w:val="21"/>
                    </w:rPr>
                  </w:pPr>
                  <w:r>
                    <w:rPr>
                      <w:szCs w:val="21"/>
                    </w:rPr>
                    <w:t>符合</w:t>
                  </w:r>
                </w:p>
              </w:tc>
            </w:tr>
            <w:tr w:rsidR="00F76A63" w14:paraId="4B49A2CD" w14:textId="77777777">
              <w:trPr>
                <w:trHeight w:val="63"/>
                <w:jc w:val="center"/>
              </w:trPr>
              <w:tc>
                <w:tcPr>
                  <w:tcW w:w="625" w:type="dxa"/>
                  <w:vMerge/>
                  <w:tcBorders>
                    <w:left w:val="nil"/>
                    <w:right w:val="single" w:sz="2" w:space="0" w:color="000000"/>
                  </w:tcBorders>
                  <w:vAlign w:val="center"/>
                </w:tcPr>
                <w:p w14:paraId="07845ECC"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C356CEE"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8A0E8D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10.5.2</w:t>
                  </w:r>
                  <w:r>
                    <w:rPr>
                      <w:rFonts w:ascii="Times New Roman" w:hAnsi="Times New Roman" w:cs="Times New Roman"/>
                      <w:color w:val="auto"/>
                      <w:spacing w:val="21"/>
                      <w:sz w:val="21"/>
                      <w:szCs w:val="21"/>
                    </w:rPr>
                    <w:t xml:space="preserve"> </w:t>
                  </w:r>
                  <w:r>
                    <w:rPr>
                      <w:rFonts w:ascii="Times New Roman" w:hAnsi="Times New Roman" w:cs="Times New Roman"/>
                      <w:color w:val="auto"/>
                      <w:spacing w:val="12"/>
                      <w:sz w:val="21"/>
                      <w:szCs w:val="21"/>
                    </w:rPr>
                    <w:t>应急管理制度主要内容包括：应急管理组织体系，生产安全</w:t>
                  </w:r>
                  <w:r>
                    <w:rPr>
                      <w:rFonts w:ascii="Times New Roman" w:hAnsi="Times New Roman" w:cs="Times New Roman"/>
                      <w:color w:val="auto"/>
                      <w:spacing w:val="11"/>
                      <w:sz w:val="21"/>
                      <w:szCs w:val="21"/>
                    </w:rPr>
                    <w:t>事故应急救援</w:t>
                  </w:r>
                  <w:r>
                    <w:rPr>
                      <w:rFonts w:ascii="Times New Roman" w:hAnsi="Times New Roman" w:cs="Times New Roman"/>
                      <w:color w:val="auto"/>
                      <w:spacing w:val="14"/>
                      <w:sz w:val="21"/>
                      <w:szCs w:val="21"/>
                    </w:rPr>
                    <w:t>预案管理、突发环境事件应急预案管理、应</w:t>
                  </w:r>
                  <w:r>
                    <w:rPr>
                      <w:rFonts w:ascii="Times New Roman" w:hAnsi="Times New Roman" w:cs="Times New Roman"/>
                      <w:color w:val="auto"/>
                      <w:spacing w:val="13"/>
                      <w:sz w:val="21"/>
                      <w:szCs w:val="21"/>
                    </w:rPr>
                    <w:t>急管理培训、应急演练、应急物资保</w:t>
                  </w:r>
                  <w:r>
                    <w:rPr>
                      <w:rFonts w:ascii="Times New Roman" w:hAnsi="Times New Roman" w:cs="Times New Roman"/>
                      <w:color w:val="auto"/>
                      <w:spacing w:val="1"/>
                      <w:sz w:val="21"/>
                      <w:szCs w:val="21"/>
                    </w:rPr>
                    <w:t>障等。</w:t>
                  </w:r>
                </w:p>
              </w:tc>
              <w:tc>
                <w:tcPr>
                  <w:tcW w:w="3306" w:type="dxa"/>
                  <w:vMerge/>
                  <w:tcBorders>
                    <w:left w:val="single" w:sz="2" w:space="0" w:color="000000"/>
                    <w:right w:val="single" w:sz="2" w:space="0" w:color="000000"/>
                  </w:tcBorders>
                  <w:vAlign w:val="center"/>
                </w:tcPr>
                <w:p w14:paraId="401135AE"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6F45292D" w14:textId="77777777" w:rsidR="00F76A63" w:rsidRDefault="00F76A63">
                  <w:pPr>
                    <w:jc w:val="center"/>
                    <w:rPr>
                      <w:szCs w:val="21"/>
                    </w:rPr>
                  </w:pPr>
                </w:p>
              </w:tc>
            </w:tr>
            <w:tr w:rsidR="00F76A63" w14:paraId="28BE5261" w14:textId="77777777">
              <w:trPr>
                <w:trHeight w:val="63"/>
                <w:jc w:val="center"/>
              </w:trPr>
              <w:tc>
                <w:tcPr>
                  <w:tcW w:w="625" w:type="dxa"/>
                  <w:vMerge/>
                  <w:tcBorders>
                    <w:left w:val="nil"/>
                    <w:right w:val="single" w:sz="2" w:space="0" w:color="000000"/>
                  </w:tcBorders>
                  <w:vAlign w:val="center"/>
                </w:tcPr>
                <w:p w14:paraId="62F76B43"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48DACC8B"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CE5DD38"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10.5.3</w:t>
                  </w:r>
                  <w:r>
                    <w:rPr>
                      <w:rFonts w:ascii="Times New Roman" w:hAnsi="Times New Roman" w:cs="Times New Roman"/>
                      <w:color w:val="auto"/>
                      <w:spacing w:val="21"/>
                      <w:sz w:val="21"/>
                      <w:szCs w:val="21"/>
                    </w:rPr>
                    <w:t xml:space="preserve"> </w:t>
                  </w:r>
                  <w:r>
                    <w:rPr>
                      <w:rFonts w:ascii="Times New Roman" w:hAnsi="Times New Roman" w:cs="Times New Roman"/>
                      <w:color w:val="auto"/>
                      <w:spacing w:val="11"/>
                      <w:sz w:val="21"/>
                      <w:szCs w:val="21"/>
                    </w:rPr>
                    <w:t>应急管理组织体系包括应急管理领导小组和事故</w:t>
                  </w:r>
                  <w:r>
                    <w:rPr>
                      <w:rFonts w:ascii="Times New Roman" w:hAnsi="Times New Roman" w:cs="Times New Roman"/>
                      <w:color w:val="auto"/>
                      <w:spacing w:val="10"/>
                      <w:sz w:val="21"/>
                      <w:szCs w:val="21"/>
                    </w:rPr>
                    <w:t>应急管理办公室，</w:t>
                  </w:r>
                  <w:r>
                    <w:rPr>
                      <w:rFonts w:ascii="Times New Roman" w:hAnsi="Times New Roman" w:cs="Times New Roman"/>
                      <w:color w:val="auto"/>
                      <w:spacing w:val="-57"/>
                      <w:sz w:val="21"/>
                      <w:szCs w:val="21"/>
                    </w:rPr>
                    <w:t xml:space="preserve"> </w:t>
                  </w:r>
                  <w:r>
                    <w:rPr>
                      <w:rFonts w:ascii="Times New Roman" w:hAnsi="Times New Roman" w:cs="Times New Roman"/>
                      <w:color w:val="auto"/>
                      <w:spacing w:val="10"/>
                      <w:sz w:val="21"/>
                      <w:szCs w:val="21"/>
                    </w:rPr>
                    <w:t>以企业主要负责人为组长。</w:t>
                  </w:r>
                </w:p>
              </w:tc>
              <w:tc>
                <w:tcPr>
                  <w:tcW w:w="3306" w:type="dxa"/>
                  <w:vMerge/>
                  <w:tcBorders>
                    <w:left w:val="single" w:sz="2" w:space="0" w:color="000000"/>
                    <w:right w:val="single" w:sz="2" w:space="0" w:color="000000"/>
                  </w:tcBorders>
                  <w:vAlign w:val="center"/>
                </w:tcPr>
                <w:p w14:paraId="69647652"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E1C24D8" w14:textId="77777777" w:rsidR="00F76A63" w:rsidRDefault="00F76A63">
                  <w:pPr>
                    <w:jc w:val="center"/>
                    <w:rPr>
                      <w:szCs w:val="21"/>
                    </w:rPr>
                  </w:pPr>
                </w:p>
              </w:tc>
            </w:tr>
            <w:tr w:rsidR="00F76A63" w14:paraId="4F047879" w14:textId="77777777">
              <w:trPr>
                <w:trHeight w:val="63"/>
                <w:jc w:val="center"/>
              </w:trPr>
              <w:tc>
                <w:tcPr>
                  <w:tcW w:w="625" w:type="dxa"/>
                  <w:vMerge/>
                  <w:tcBorders>
                    <w:left w:val="nil"/>
                    <w:right w:val="single" w:sz="2" w:space="0" w:color="000000"/>
                  </w:tcBorders>
                  <w:vAlign w:val="center"/>
                </w:tcPr>
                <w:p w14:paraId="286B19E6"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2FCD4B0C"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1C4D19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10.5.4</w:t>
                  </w:r>
                  <w:r>
                    <w:rPr>
                      <w:rFonts w:ascii="Times New Roman" w:hAnsi="Times New Roman" w:cs="Times New Roman"/>
                      <w:color w:val="auto"/>
                      <w:spacing w:val="22"/>
                      <w:sz w:val="21"/>
                      <w:szCs w:val="21"/>
                    </w:rPr>
                    <w:t xml:space="preserve"> </w:t>
                  </w:r>
                  <w:r>
                    <w:rPr>
                      <w:rFonts w:ascii="Times New Roman" w:hAnsi="Times New Roman" w:cs="Times New Roman"/>
                      <w:color w:val="auto"/>
                      <w:spacing w:val="11"/>
                      <w:sz w:val="21"/>
                      <w:szCs w:val="21"/>
                    </w:rPr>
                    <w:t>应急管理领导小组负责《安全生产事故应急救</w:t>
                  </w:r>
                  <w:r>
                    <w:rPr>
                      <w:rFonts w:ascii="Times New Roman" w:hAnsi="Times New Roman" w:cs="Times New Roman"/>
                      <w:color w:val="auto"/>
                      <w:spacing w:val="10"/>
                      <w:sz w:val="21"/>
                      <w:szCs w:val="21"/>
                    </w:rPr>
                    <w:t>援预案》</w:t>
                  </w:r>
                  <w:r>
                    <w:rPr>
                      <w:rFonts w:ascii="Times New Roman" w:hAnsi="Times New Roman" w:cs="Times New Roman"/>
                      <w:color w:val="auto"/>
                      <w:spacing w:val="-57"/>
                      <w:sz w:val="21"/>
                      <w:szCs w:val="21"/>
                    </w:rPr>
                    <w:t xml:space="preserve"> </w:t>
                  </w:r>
                  <w:r>
                    <w:rPr>
                      <w:rFonts w:ascii="Times New Roman" w:hAnsi="Times New Roman" w:cs="Times New Roman"/>
                      <w:color w:val="auto"/>
                      <w:spacing w:val="10"/>
                      <w:sz w:val="21"/>
                      <w:szCs w:val="21"/>
                    </w:rPr>
                    <w:t>的编制；预案要符</w:t>
                  </w:r>
                  <w:r>
                    <w:rPr>
                      <w:rFonts w:ascii="Times New Roman" w:hAnsi="Times New Roman" w:cs="Times New Roman"/>
                      <w:color w:val="auto"/>
                      <w:spacing w:val="12"/>
                      <w:sz w:val="21"/>
                      <w:szCs w:val="21"/>
                    </w:rPr>
                    <w:t>合《生产经营单位安全生产事故应急预案编制导则》，危险废物协同处置企业的预案还应符合《危险废物经营单位编制应急预案指南》，并保持与上级部门预案的衔接；根据国家法律法规及实际演练情况，适时修订《预案》，做到科学、易</w:t>
                  </w:r>
                  <w:r>
                    <w:rPr>
                      <w:rFonts w:ascii="Times New Roman" w:hAnsi="Times New Roman" w:cs="Times New Roman"/>
                      <w:color w:val="auto"/>
                      <w:spacing w:val="5"/>
                      <w:sz w:val="21"/>
                      <w:szCs w:val="21"/>
                    </w:rPr>
                    <w:t>操作。</w:t>
                  </w:r>
                </w:p>
              </w:tc>
              <w:tc>
                <w:tcPr>
                  <w:tcW w:w="3306" w:type="dxa"/>
                  <w:vMerge/>
                  <w:tcBorders>
                    <w:left w:val="single" w:sz="2" w:space="0" w:color="000000"/>
                    <w:right w:val="single" w:sz="2" w:space="0" w:color="000000"/>
                  </w:tcBorders>
                  <w:vAlign w:val="center"/>
                </w:tcPr>
                <w:p w14:paraId="26A88916"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2A9FC991" w14:textId="77777777" w:rsidR="00F76A63" w:rsidRDefault="00F76A63">
                  <w:pPr>
                    <w:jc w:val="center"/>
                    <w:rPr>
                      <w:szCs w:val="21"/>
                    </w:rPr>
                  </w:pPr>
                </w:p>
              </w:tc>
            </w:tr>
            <w:tr w:rsidR="00F76A63" w14:paraId="791CC2E9" w14:textId="77777777">
              <w:trPr>
                <w:trHeight w:val="63"/>
                <w:jc w:val="center"/>
              </w:trPr>
              <w:tc>
                <w:tcPr>
                  <w:tcW w:w="625" w:type="dxa"/>
                  <w:vMerge/>
                  <w:tcBorders>
                    <w:left w:val="nil"/>
                    <w:right w:val="single" w:sz="2" w:space="0" w:color="000000"/>
                  </w:tcBorders>
                  <w:vAlign w:val="center"/>
                </w:tcPr>
                <w:p w14:paraId="798E87A8"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BF71FBB"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28931C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10.5.5</w:t>
                  </w:r>
                  <w:r>
                    <w:rPr>
                      <w:rFonts w:ascii="Times New Roman" w:hAnsi="Times New Roman" w:cs="Times New Roman"/>
                      <w:color w:val="auto"/>
                      <w:spacing w:val="21"/>
                      <w:sz w:val="21"/>
                      <w:szCs w:val="21"/>
                    </w:rPr>
                    <w:t xml:space="preserve"> </w:t>
                  </w:r>
                  <w:r>
                    <w:rPr>
                      <w:rFonts w:ascii="Times New Roman" w:hAnsi="Times New Roman" w:cs="Times New Roman"/>
                      <w:color w:val="auto"/>
                      <w:spacing w:val="12"/>
                      <w:sz w:val="21"/>
                      <w:szCs w:val="21"/>
                    </w:rPr>
                    <w:t>应急管理领导小组应按照《突发环境事件应急预案管理办法</w:t>
                  </w:r>
                  <w:r>
                    <w:rPr>
                      <w:rFonts w:ascii="Times New Roman" w:hAnsi="Times New Roman" w:cs="Times New Roman"/>
                      <w:color w:val="auto"/>
                      <w:spacing w:val="11"/>
                      <w:sz w:val="21"/>
                      <w:szCs w:val="21"/>
                    </w:rPr>
                    <w:t>》和相关预案</w:t>
                  </w:r>
                  <w:r>
                    <w:rPr>
                      <w:rFonts w:ascii="Times New Roman" w:hAnsi="Times New Roman" w:cs="Times New Roman"/>
                      <w:color w:val="auto"/>
                      <w:spacing w:val="12"/>
                      <w:sz w:val="21"/>
                      <w:szCs w:val="21"/>
                    </w:rPr>
                    <w:t>编制指南的要求编制《企业突发环境事件应急预案》</w:t>
                  </w:r>
                  <w:r>
                    <w:rPr>
                      <w:rFonts w:ascii="Times New Roman" w:hAnsi="Times New Roman" w:cs="Times New Roman"/>
                      <w:color w:val="auto"/>
                      <w:spacing w:val="-46"/>
                      <w:sz w:val="21"/>
                      <w:szCs w:val="21"/>
                    </w:rPr>
                    <w:t xml:space="preserve"> </w:t>
                  </w:r>
                  <w:r>
                    <w:rPr>
                      <w:rFonts w:ascii="Times New Roman" w:hAnsi="Times New Roman" w:cs="Times New Roman"/>
                      <w:color w:val="auto"/>
                      <w:spacing w:val="12"/>
                      <w:sz w:val="21"/>
                      <w:szCs w:val="21"/>
                    </w:rPr>
                    <w:t>，并向环境保护主管部门报</w:t>
                  </w:r>
                  <w:r>
                    <w:rPr>
                      <w:rFonts w:ascii="Times New Roman" w:hAnsi="Times New Roman" w:cs="Times New Roman"/>
                      <w:color w:val="auto"/>
                      <w:spacing w:val="13"/>
                      <w:sz w:val="21"/>
                      <w:szCs w:val="21"/>
                    </w:rPr>
                    <w:t>备；同时按照《突发环境事件应急预案管理办法》要求，做好预案演练、培训、</w:t>
                  </w:r>
                  <w:r>
                    <w:rPr>
                      <w:rFonts w:ascii="Times New Roman" w:hAnsi="Times New Roman" w:cs="Times New Roman"/>
                      <w:color w:val="auto"/>
                      <w:spacing w:val="9"/>
                      <w:sz w:val="21"/>
                      <w:szCs w:val="21"/>
                    </w:rPr>
                    <w:t>修订等工作。</w:t>
                  </w:r>
                </w:p>
              </w:tc>
              <w:tc>
                <w:tcPr>
                  <w:tcW w:w="3306" w:type="dxa"/>
                  <w:vMerge/>
                  <w:tcBorders>
                    <w:left w:val="single" w:sz="2" w:space="0" w:color="000000"/>
                    <w:right w:val="single" w:sz="2" w:space="0" w:color="000000"/>
                  </w:tcBorders>
                  <w:vAlign w:val="center"/>
                </w:tcPr>
                <w:p w14:paraId="6446BDCF"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8ECA258" w14:textId="77777777" w:rsidR="00F76A63" w:rsidRDefault="00F76A63">
                  <w:pPr>
                    <w:jc w:val="center"/>
                    <w:rPr>
                      <w:szCs w:val="21"/>
                    </w:rPr>
                  </w:pPr>
                </w:p>
              </w:tc>
            </w:tr>
            <w:tr w:rsidR="00F76A63" w14:paraId="3D53CB06" w14:textId="77777777">
              <w:trPr>
                <w:trHeight w:val="63"/>
                <w:jc w:val="center"/>
              </w:trPr>
              <w:tc>
                <w:tcPr>
                  <w:tcW w:w="625" w:type="dxa"/>
                  <w:vMerge/>
                  <w:tcBorders>
                    <w:left w:val="nil"/>
                    <w:right w:val="single" w:sz="2" w:space="0" w:color="000000"/>
                  </w:tcBorders>
                  <w:vAlign w:val="center"/>
                </w:tcPr>
                <w:p w14:paraId="5F6E66A5"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2964A77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579BD8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10.5.6</w:t>
                  </w:r>
                  <w:r>
                    <w:rPr>
                      <w:rFonts w:ascii="Times New Roman" w:hAnsi="Times New Roman" w:cs="Times New Roman"/>
                      <w:color w:val="auto"/>
                      <w:spacing w:val="22"/>
                      <w:sz w:val="21"/>
                      <w:szCs w:val="21"/>
                    </w:rPr>
                    <w:t xml:space="preserve"> </w:t>
                  </w:r>
                  <w:r>
                    <w:rPr>
                      <w:rFonts w:ascii="Times New Roman" w:hAnsi="Times New Roman" w:cs="Times New Roman"/>
                      <w:color w:val="auto"/>
                      <w:spacing w:val="12"/>
                      <w:sz w:val="21"/>
                      <w:szCs w:val="21"/>
                    </w:rPr>
                    <w:t>协同处置企业每年至少进行一次全员应急管理培训，培训</w:t>
                  </w:r>
                  <w:r>
                    <w:rPr>
                      <w:rFonts w:ascii="Times New Roman" w:hAnsi="Times New Roman" w:cs="Times New Roman"/>
                      <w:color w:val="auto"/>
                      <w:spacing w:val="11"/>
                      <w:sz w:val="21"/>
                      <w:szCs w:val="21"/>
                    </w:rPr>
                    <w:t>内容包括：事故</w:t>
                  </w:r>
                  <w:r>
                    <w:rPr>
                      <w:rFonts w:ascii="Times New Roman" w:hAnsi="Times New Roman" w:cs="Times New Roman"/>
                      <w:color w:val="auto"/>
                      <w:spacing w:val="14"/>
                      <w:sz w:val="21"/>
                      <w:szCs w:val="21"/>
                    </w:rPr>
                    <w:t>预防、危险辨识、事故报告、应急响应、各</w:t>
                  </w:r>
                  <w:r>
                    <w:rPr>
                      <w:rFonts w:ascii="Times New Roman" w:hAnsi="Times New Roman" w:cs="Times New Roman"/>
                      <w:color w:val="auto"/>
                      <w:spacing w:val="13"/>
                      <w:sz w:val="21"/>
                      <w:szCs w:val="21"/>
                    </w:rPr>
                    <w:t>类事故处置方案、基本救护常识、避</w:t>
                  </w:r>
                  <w:r>
                    <w:rPr>
                      <w:rFonts w:ascii="Times New Roman" w:hAnsi="Times New Roman" w:cs="Times New Roman"/>
                      <w:color w:val="auto"/>
                      <w:sz w:val="21"/>
                      <w:szCs w:val="21"/>
                    </w:rPr>
                    <w:t xml:space="preserve"> </w:t>
                  </w:r>
                  <w:r>
                    <w:rPr>
                      <w:rFonts w:ascii="Times New Roman" w:hAnsi="Times New Roman" w:cs="Times New Roman"/>
                      <w:color w:val="auto"/>
                      <w:spacing w:val="10"/>
                      <w:sz w:val="21"/>
                      <w:szCs w:val="21"/>
                    </w:rPr>
                    <w:t>灾避险、逃生自救等。</w:t>
                  </w:r>
                </w:p>
              </w:tc>
              <w:tc>
                <w:tcPr>
                  <w:tcW w:w="3306" w:type="dxa"/>
                  <w:vMerge/>
                  <w:tcBorders>
                    <w:left w:val="single" w:sz="2" w:space="0" w:color="000000"/>
                    <w:right w:val="single" w:sz="2" w:space="0" w:color="000000"/>
                  </w:tcBorders>
                  <w:vAlign w:val="center"/>
                </w:tcPr>
                <w:p w14:paraId="7A67AA98"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760873EA" w14:textId="77777777" w:rsidR="00F76A63" w:rsidRDefault="00F76A63">
                  <w:pPr>
                    <w:jc w:val="center"/>
                    <w:rPr>
                      <w:szCs w:val="21"/>
                    </w:rPr>
                  </w:pPr>
                </w:p>
              </w:tc>
            </w:tr>
            <w:tr w:rsidR="00F76A63" w14:paraId="3D287701" w14:textId="77777777">
              <w:trPr>
                <w:trHeight w:val="63"/>
                <w:jc w:val="center"/>
              </w:trPr>
              <w:tc>
                <w:tcPr>
                  <w:tcW w:w="625" w:type="dxa"/>
                  <w:vMerge/>
                  <w:tcBorders>
                    <w:left w:val="nil"/>
                    <w:right w:val="single" w:sz="2" w:space="0" w:color="000000"/>
                  </w:tcBorders>
                  <w:vAlign w:val="center"/>
                </w:tcPr>
                <w:p w14:paraId="52A07820"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12D4062"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700BEADB"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10.5.7</w:t>
                  </w:r>
                  <w:r>
                    <w:rPr>
                      <w:rFonts w:ascii="Times New Roman" w:hAnsi="Times New Roman" w:cs="Times New Roman"/>
                      <w:color w:val="auto"/>
                      <w:spacing w:val="22"/>
                      <w:sz w:val="21"/>
                      <w:szCs w:val="21"/>
                    </w:rPr>
                    <w:t xml:space="preserve"> </w:t>
                  </w:r>
                  <w:r>
                    <w:rPr>
                      <w:rFonts w:ascii="Times New Roman" w:hAnsi="Times New Roman" w:cs="Times New Roman"/>
                      <w:color w:val="auto"/>
                      <w:spacing w:val="12"/>
                      <w:sz w:val="21"/>
                      <w:szCs w:val="21"/>
                    </w:rPr>
                    <w:t>协同处置企业应根据年度应急演练计划，每年至少分别安</w:t>
                  </w:r>
                  <w:r>
                    <w:rPr>
                      <w:rFonts w:ascii="Times New Roman" w:hAnsi="Times New Roman" w:cs="Times New Roman"/>
                      <w:color w:val="auto"/>
                      <w:spacing w:val="11"/>
                      <w:sz w:val="21"/>
                      <w:szCs w:val="21"/>
                    </w:rPr>
                    <w:t>排一次桌面演练</w:t>
                  </w:r>
                  <w:r>
                    <w:rPr>
                      <w:rFonts w:ascii="Times New Roman" w:hAnsi="Times New Roman" w:cs="Times New Roman"/>
                      <w:color w:val="auto"/>
                      <w:spacing w:val="13"/>
                      <w:sz w:val="21"/>
                      <w:szCs w:val="21"/>
                    </w:rPr>
                    <w:t>和综合演练，强化职工应急意识，提高应急队伍的反应速度和实战能力。</w:t>
                  </w:r>
                </w:p>
              </w:tc>
              <w:tc>
                <w:tcPr>
                  <w:tcW w:w="3306" w:type="dxa"/>
                  <w:vMerge/>
                  <w:tcBorders>
                    <w:left w:val="single" w:sz="2" w:space="0" w:color="000000"/>
                    <w:right w:val="single" w:sz="2" w:space="0" w:color="000000"/>
                  </w:tcBorders>
                  <w:vAlign w:val="center"/>
                </w:tcPr>
                <w:p w14:paraId="143DCC1F"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21CC7EC8" w14:textId="77777777" w:rsidR="00F76A63" w:rsidRDefault="00F76A63">
                  <w:pPr>
                    <w:jc w:val="center"/>
                    <w:rPr>
                      <w:szCs w:val="21"/>
                    </w:rPr>
                  </w:pPr>
                </w:p>
              </w:tc>
            </w:tr>
            <w:tr w:rsidR="00F76A63" w14:paraId="2570979C" w14:textId="77777777">
              <w:trPr>
                <w:trHeight w:val="63"/>
                <w:jc w:val="center"/>
              </w:trPr>
              <w:tc>
                <w:tcPr>
                  <w:tcW w:w="625" w:type="dxa"/>
                  <w:vMerge/>
                  <w:tcBorders>
                    <w:left w:val="nil"/>
                    <w:right w:val="single" w:sz="2" w:space="0" w:color="000000"/>
                  </w:tcBorders>
                  <w:vAlign w:val="center"/>
                </w:tcPr>
                <w:p w14:paraId="546A2B9E"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8182677"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1886372" w14:textId="77777777" w:rsidR="00F76A63" w:rsidRDefault="00000000">
                  <w:pPr>
                    <w:pStyle w:val="TableText"/>
                    <w:jc w:val="center"/>
                    <w:rPr>
                      <w:rFonts w:ascii="Times New Roman" w:hAnsi="Times New Roman" w:cs="Times New Roman"/>
                      <w:color w:val="auto"/>
                      <w:spacing w:val="11"/>
                      <w:sz w:val="21"/>
                      <w:szCs w:val="21"/>
                    </w:rPr>
                  </w:pPr>
                  <w:r>
                    <w:rPr>
                      <w:rFonts w:ascii="Times New Roman" w:hAnsi="Times New Roman" w:cs="Times New Roman"/>
                      <w:color w:val="auto"/>
                      <w:spacing w:val="12"/>
                      <w:sz w:val="21"/>
                      <w:szCs w:val="21"/>
                    </w:rPr>
                    <w:t>10.5.8</w:t>
                  </w:r>
                  <w:r>
                    <w:rPr>
                      <w:rFonts w:ascii="Times New Roman" w:hAnsi="Times New Roman" w:cs="Times New Roman"/>
                      <w:color w:val="auto"/>
                      <w:spacing w:val="22"/>
                      <w:sz w:val="21"/>
                      <w:szCs w:val="21"/>
                    </w:rPr>
                    <w:t xml:space="preserve"> </w:t>
                  </w:r>
                  <w:r>
                    <w:rPr>
                      <w:rFonts w:ascii="Times New Roman" w:hAnsi="Times New Roman" w:cs="Times New Roman"/>
                      <w:color w:val="auto"/>
                      <w:spacing w:val="12"/>
                      <w:sz w:val="21"/>
                      <w:szCs w:val="21"/>
                    </w:rPr>
                    <w:t>协同处置企业应根据预案做好应急救援设备、器材、防护</w:t>
                  </w:r>
                  <w:r>
                    <w:rPr>
                      <w:rFonts w:ascii="Times New Roman" w:hAnsi="Times New Roman" w:cs="Times New Roman"/>
                      <w:color w:val="auto"/>
                      <w:spacing w:val="11"/>
                      <w:sz w:val="21"/>
                      <w:szCs w:val="21"/>
                    </w:rPr>
                    <w:t>用品、工具、材料、药品等保障工作；确保经费、物资供应，切实加强应急保障能力，并对应急救援设备、设施要定期进行检测、维护、更新，确保性能完好；水泥企业要对电话、对讲机、手机等通讯器材进行经常性维护或更新，确保通讯畅通。</w:t>
                  </w:r>
                </w:p>
              </w:tc>
              <w:tc>
                <w:tcPr>
                  <w:tcW w:w="3306" w:type="dxa"/>
                  <w:vMerge/>
                  <w:tcBorders>
                    <w:left w:val="single" w:sz="2" w:space="0" w:color="000000"/>
                    <w:right w:val="single" w:sz="2" w:space="0" w:color="000000"/>
                  </w:tcBorders>
                  <w:vAlign w:val="center"/>
                </w:tcPr>
                <w:p w14:paraId="085BD972"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6B19366" w14:textId="77777777" w:rsidR="00F76A63" w:rsidRDefault="00F76A63">
                  <w:pPr>
                    <w:jc w:val="center"/>
                    <w:rPr>
                      <w:szCs w:val="21"/>
                    </w:rPr>
                  </w:pPr>
                </w:p>
              </w:tc>
            </w:tr>
            <w:tr w:rsidR="00F76A63" w14:paraId="61D0D30B" w14:textId="77777777">
              <w:trPr>
                <w:trHeight w:val="63"/>
                <w:jc w:val="center"/>
              </w:trPr>
              <w:tc>
                <w:tcPr>
                  <w:tcW w:w="625" w:type="dxa"/>
                  <w:vMerge/>
                  <w:tcBorders>
                    <w:left w:val="nil"/>
                    <w:right w:val="single" w:sz="2" w:space="0" w:color="000000"/>
                  </w:tcBorders>
                  <w:vAlign w:val="center"/>
                </w:tcPr>
                <w:p w14:paraId="6B74F032"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02F94AC"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C672A2E"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0"/>
                      <w:sz w:val="21"/>
                      <w:szCs w:val="21"/>
                    </w:rPr>
                    <w:t>10.5.9</w:t>
                  </w:r>
                  <w:r>
                    <w:rPr>
                      <w:rFonts w:ascii="Times New Roman" w:hAnsi="Times New Roman" w:cs="Times New Roman"/>
                      <w:color w:val="auto"/>
                      <w:spacing w:val="42"/>
                      <w:sz w:val="21"/>
                      <w:szCs w:val="21"/>
                    </w:rPr>
                    <w:t xml:space="preserve"> </w:t>
                  </w:r>
                  <w:r>
                    <w:rPr>
                      <w:rFonts w:ascii="Times New Roman" w:hAnsi="Times New Roman" w:cs="Times New Roman"/>
                      <w:color w:val="auto"/>
                      <w:spacing w:val="10"/>
                      <w:sz w:val="21"/>
                      <w:szCs w:val="21"/>
                    </w:rPr>
                    <w:t>发生事故时，协同处置企业应立即启动应急预案，</w:t>
                  </w:r>
                  <w:r>
                    <w:rPr>
                      <w:rFonts w:ascii="Times New Roman" w:hAnsi="Times New Roman" w:cs="Times New Roman"/>
                      <w:color w:val="auto"/>
                      <w:spacing w:val="-55"/>
                      <w:sz w:val="21"/>
                      <w:szCs w:val="21"/>
                    </w:rPr>
                    <w:t xml:space="preserve"> </w:t>
                  </w:r>
                  <w:r>
                    <w:rPr>
                      <w:rFonts w:ascii="Times New Roman" w:hAnsi="Times New Roman" w:cs="Times New Roman"/>
                      <w:color w:val="auto"/>
                      <w:spacing w:val="10"/>
                      <w:sz w:val="21"/>
                      <w:szCs w:val="21"/>
                    </w:rPr>
                    <w:t>以营救遇险人员为重</w:t>
                  </w:r>
                  <w:r>
                    <w:rPr>
                      <w:rFonts w:ascii="Times New Roman" w:hAnsi="Times New Roman" w:cs="Times New Roman"/>
                      <w:color w:val="auto"/>
                      <w:spacing w:val="12"/>
                      <w:sz w:val="21"/>
                      <w:szCs w:val="21"/>
                    </w:rPr>
                    <w:t>点，开展应急救援工作；要及时组织受威胁群众疏散、转移，做好安置工作。</w:t>
                  </w:r>
                </w:p>
              </w:tc>
              <w:tc>
                <w:tcPr>
                  <w:tcW w:w="3306" w:type="dxa"/>
                  <w:vMerge/>
                  <w:tcBorders>
                    <w:left w:val="single" w:sz="2" w:space="0" w:color="000000"/>
                    <w:right w:val="single" w:sz="2" w:space="0" w:color="000000"/>
                  </w:tcBorders>
                  <w:vAlign w:val="center"/>
                </w:tcPr>
                <w:p w14:paraId="5CC9FA2E"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4B8FAC46" w14:textId="77777777" w:rsidR="00F76A63" w:rsidRDefault="00F76A63">
                  <w:pPr>
                    <w:jc w:val="center"/>
                    <w:rPr>
                      <w:szCs w:val="21"/>
                    </w:rPr>
                  </w:pPr>
                </w:p>
              </w:tc>
            </w:tr>
            <w:tr w:rsidR="00F76A63" w14:paraId="20C0E36A" w14:textId="77777777">
              <w:trPr>
                <w:trHeight w:val="63"/>
                <w:jc w:val="center"/>
              </w:trPr>
              <w:tc>
                <w:tcPr>
                  <w:tcW w:w="625" w:type="dxa"/>
                  <w:vMerge/>
                  <w:tcBorders>
                    <w:left w:val="nil"/>
                    <w:right w:val="single" w:sz="2" w:space="0" w:color="000000"/>
                  </w:tcBorders>
                  <w:vAlign w:val="center"/>
                </w:tcPr>
                <w:p w14:paraId="233D3021"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7D6C2160"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8495357"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10.5.10</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1"/>
                      <w:sz w:val="21"/>
                      <w:szCs w:val="21"/>
                    </w:rPr>
                    <w:t>协同处置企业在应对安全生产事故过程中，应采取必要措施，防止次</w:t>
                  </w:r>
                  <w:r>
                    <w:rPr>
                      <w:rFonts w:ascii="Times New Roman" w:hAnsi="Times New Roman" w:cs="Times New Roman"/>
                      <w:color w:val="auto"/>
                      <w:spacing w:val="10"/>
                      <w:sz w:val="21"/>
                      <w:szCs w:val="21"/>
                    </w:rPr>
                    <w:t>生突</w:t>
                  </w:r>
                  <w:r>
                    <w:rPr>
                      <w:rFonts w:ascii="Times New Roman" w:hAnsi="Times New Roman" w:cs="Times New Roman"/>
                      <w:color w:val="auto"/>
                      <w:spacing w:val="9"/>
                      <w:sz w:val="21"/>
                      <w:szCs w:val="21"/>
                    </w:rPr>
                    <w:t>发环境事件。</w:t>
                  </w:r>
                </w:p>
              </w:tc>
              <w:tc>
                <w:tcPr>
                  <w:tcW w:w="3306" w:type="dxa"/>
                  <w:vMerge/>
                  <w:tcBorders>
                    <w:left w:val="single" w:sz="2" w:space="0" w:color="000000"/>
                    <w:right w:val="single" w:sz="2" w:space="0" w:color="000000"/>
                  </w:tcBorders>
                  <w:vAlign w:val="center"/>
                </w:tcPr>
                <w:p w14:paraId="700F06FF"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B8C4F0A" w14:textId="77777777" w:rsidR="00F76A63" w:rsidRDefault="00F76A63">
                  <w:pPr>
                    <w:jc w:val="center"/>
                    <w:rPr>
                      <w:szCs w:val="21"/>
                    </w:rPr>
                  </w:pPr>
                </w:p>
              </w:tc>
            </w:tr>
            <w:tr w:rsidR="00F76A63" w14:paraId="27413B92" w14:textId="77777777">
              <w:trPr>
                <w:trHeight w:val="63"/>
                <w:jc w:val="center"/>
              </w:trPr>
              <w:tc>
                <w:tcPr>
                  <w:tcW w:w="625" w:type="dxa"/>
                  <w:vMerge/>
                  <w:tcBorders>
                    <w:left w:val="nil"/>
                    <w:right w:val="single" w:sz="2" w:space="0" w:color="000000"/>
                  </w:tcBorders>
                  <w:vAlign w:val="center"/>
                </w:tcPr>
                <w:p w14:paraId="22E11680"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302900CC"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301052D9"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10.5.11</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1"/>
                      <w:sz w:val="21"/>
                      <w:szCs w:val="21"/>
                    </w:rPr>
                    <w:t>协同处置企业应按规定及时向相关主管部门报告生产安全事故和突发</w:t>
                  </w:r>
                  <w:r>
                    <w:rPr>
                      <w:rFonts w:ascii="Times New Roman" w:hAnsi="Times New Roman" w:cs="Times New Roman"/>
                      <w:color w:val="auto"/>
                      <w:spacing w:val="10"/>
                      <w:sz w:val="21"/>
                      <w:szCs w:val="21"/>
                    </w:rPr>
                    <w:t>环境</w:t>
                  </w:r>
                  <w:r>
                    <w:rPr>
                      <w:rFonts w:ascii="Times New Roman" w:hAnsi="Times New Roman" w:cs="Times New Roman"/>
                      <w:color w:val="auto"/>
                      <w:spacing w:val="8"/>
                      <w:sz w:val="21"/>
                      <w:szCs w:val="21"/>
                    </w:rPr>
                    <w:t>事件信息。</w:t>
                  </w:r>
                </w:p>
              </w:tc>
              <w:tc>
                <w:tcPr>
                  <w:tcW w:w="3306" w:type="dxa"/>
                  <w:vMerge/>
                  <w:tcBorders>
                    <w:left w:val="single" w:sz="2" w:space="0" w:color="000000"/>
                    <w:right w:val="single" w:sz="2" w:space="0" w:color="000000"/>
                  </w:tcBorders>
                  <w:vAlign w:val="center"/>
                </w:tcPr>
                <w:p w14:paraId="7D472645"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2D94244C" w14:textId="77777777" w:rsidR="00F76A63" w:rsidRDefault="00F76A63">
                  <w:pPr>
                    <w:jc w:val="center"/>
                    <w:rPr>
                      <w:szCs w:val="21"/>
                    </w:rPr>
                  </w:pPr>
                </w:p>
              </w:tc>
            </w:tr>
            <w:tr w:rsidR="00F76A63" w14:paraId="24753F60" w14:textId="77777777">
              <w:trPr>
                <w:trHeight w:val="63"/>
                <w:jc w:val="center"/>
              </w:trPr>
              <w:tc>
                <w:tcPr>
                  <w:tcW w:w="625" w:type="dxa"/>
                  <w:vMerge/>
                  <w:tcBorders>
                    <w:left w:val="nil"/>
                    <w:right w:val="single" w:sz="2" w:space="0" w:color="000000"/>
                  </w:tcBorders>
                  <w:vAlign w:val="center"/>
                </w:tcPr>
                <w:p w14:paraId="0C972037"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1CBB9F18"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4D32FA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10.5.12</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1"/>
                      <w:sz w:val="21"/>
                      <w:szCs w:val="21"/>
                    </w:rPr>
                    <w:t>协同处置企业应配合环境保护主管部门对突发环境事件的调查处理和</w:t>
                  </w:r>
                  <w:r>
                    <w:rPr>
                      <w:rFonts w:ascii="Times New Roman" w:hAnsi="Times New Roman" w:cs="Times New Roman"/>
                      <w:color w:val="auto"/>
                      <w:spacing w:val="10"/>
                      <w:sz w:val="21"/>
                      <w:szCs w:val="21"/>
                    </w:rPr>
                    <w:t>环境</w:t>
                  </w:r>
                  <w:r>
                    <w:rPr>
                      <w:rFonts w:ascii="Times New Roman" w:hAnsi="Times New Roman" w:cs="Times New Roman"/>
                      <w:color w:val="auto"/>
                      <w:spacing w:val="12"/>
                      <w:sz w:val="21"/>
                      <w:szCs w:val="21"/>
                    </w:rPr>
                    <w:t>污染损害评估，及时落实整改措施。</w:t>
                  </w:r>
                </w:p>
              </w:tc>
              <w:tc>
                <w:tcPr>
                  <w:tcW w:w="3306" w:type="dxa"/>
                  <w:vMerge/>
                  <w:tcBorders>
                    <w:left w:val="single" w:sz="2" w:space="0" w:color="000000"/>
                    <w:right w:val="single" w:sz="2" w:space="0" w:color="000000"/>
                  </w:tcBorders>
                  <w:vAlign w:val="center"/>
                </w:tcPr>
                <w:p w14:paraId="14D76AD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272A7FCA" w14:textId="77777777" w:rsidR="00F76A63" w:rsidRDefault="00F76A63">
                  <w:pPr>
                    <w:jc w:val="center"/>
                    <w:rPr>
                      <w:szCs w:val="21"/>
                    </w:rPr>
                  </w:pPr>
                </w:p>
              </w:tc>
            </w:tr>
            <w:tr w:rsidR="00F76A63" w14:paraId="0FA029D1" w14:textId="77777777">
              <w:trPr>
                <w:trHeight w:val="63"/>
                <w:jc w:val="center"/>
              </w:trPr>
              <w:tc>
                <w:tcPr>
                  <w:tcW w:w="625" w:type="dxa"/>
                  <w:vMerge/>
                  <w:tcBorders>
                    <w:left w:val="nil"/>
                    <w:right w:val="single" w:sz="2" w:space="0" w:color="000000"/>
                  </w:tcBorders>
                  <w:vAlign w:val="center"/>
                </w:tcPr>
                <w:p w14:paraId="410D1B4B"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2EDCE8C9"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BDB270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10.5.13</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1"/>
                      <w:sz w:val="21"/>
                      <w:szCs w:val="21"/>
                    </w:rPr>
                    <w:t>协同处置企业应充分利用社会应急资源，与地方政府预案、上级主管</w:t>
                  </w:r>
                  <w:r>
                    <w:rPr>
                      <w:rFonts w:ascii="Times New Roman" w:hAnsi="Times New Roman" w:cs="Times New Roman"/>
                      <w:color w:val="auto"/>
                      <w:spacing w:val="10"/>
                      <w:sz w:val="21"/>
                      <w:szCs w:val="21"/>
                    </w:rPr>
                    <w:t>单位</w:t>
                  </w:r>
                  <w:r>
                    <w:rPr>
                      <w:rFonts w:ascii="Times New Roman" w:hAnsi="Times New Roman" w:cs="Times New Roman"/>
                      <w:color w:val="auto"/>
                      <w:spacing w:val="14"/>
                      <w:sz w:val="21"/>
                      <w:szCs w:val="21"/>
                    </w:rPr>
                    <w:t>及相关部门的预案和应急组织相衔接；企业应同各</w:t>
                  </w:r>
                  <w:r>
                    <w:rPr>
                      <w:rFonts w:ascii="Times New Roman" w:hAnsi="Times New Roman" w:cs="Times New Roman"/>
                      <w:color w:val="auto"/>
                      <w:spacing w:val="13"/>
                      <w:sz w:val="21"/>
                      <w:szCs w:val="21"/>
                    </w:rPr>
                    <w:t>级救援中心签订救护协议，一</w:t>
                  </w:r>
                  <w:r>
                    <w:rPr>
                      <w:rFonts w:ascii="Times New Roman" w:hAnsi="Times New Roman" w:cs="Times New Roman"/>
                      <w:color w:val="auto"/>
                      <w:spacing w:val="12"/>
                      <w:sz w:val="21"/>
                      <w:szCs w:val="21"/>
                    </w:rPr>
                    <w:t>旦发生企业不能自救的事故，请求救援中心支援。</w:t>
                  </w:r>
                </w:p>
              </w:tc>
              <w:tc>
                <w:tcPr>
                  <w:tcW w:w="3306" w:type="dxa"/>
                  <w:vMerge/>
                  <w:tcBorders>
                    <w:left w:val="single" w:sz="2" w:space="0" w:color="000000"/>
                    <w:bottom w:val="single" w:sz="2" w:space="0" w:color="000000"/>
                    <w:right w:val="single" w:sz="2" w:space="0" w:color="000000"/>
                  </w:tcBorders>
                  <w:vAlign w:val="center"/>
                </w:tcPr>
                <w:p w14:paraId="51745636"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771C3167" w14:textId="77777777" w:rsidR="00F76A63" w:rsidRDefault="00F76A63">
                  <w:pPr>
                    <w:jc w:val="center"/>
                    <w:rPr>
                      <w:szCs w:val="21"/>
                    </w:rPr>
                  </w:pPr>
                </w:p>
              </w:tc>
            </w:tr>
            <w:tr w:rsidR="00F76A63" w14:paraId="3872093C" w14:textId="77777777">
              <w:trPr>
                <w:trHeight w:val="165"/>
                <w:jc w:val="center"/>
              </w:trPr>
              <w:tc>
                <w:tcPr>
                  <w:tcW w:w="625" w:type="dxa"/>
                  <w:vMerge/>
                  <w:tcBorders>
                    <w:left w:val="nil"/>
                    <w:right w:val="single" w:sz="2" w:space="0" w:color="000000"/>
                  </w:tcBorders>
                  <w:vAlign w:val="center"/>
                </w:tcPr>
                <w:p w14:paraId="0E70F1E6"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1DFCB629"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10.6 </w:t>
                  </w:r>
                  <w:r>
                    <w:rPr>
                      <w:rFonts w:ascii="Times New Roman" w:hAnsi="Times New Roman" w:cs="Times New Roman"/>
                      <w:color w:val="auto"/>
                      <w:spacing w:val="3"/>
                      <w:sz w:val="21"/>
                      <w:szCs w:val="21"/>
                    </w:rPr>
                    <w:t>操作运行记录制度</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2E4FFD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1</w:t>
                  </w:r>
                  <w:r>
                    <w:rPr>
                      <w:rFonts w:ascii="Times New Roman" w:hAnsi="Times New Roman" w:cs="Times New Roman"/>
                      <w:color w:val="auto"/>
                      <w:spacing w:val="13"/>
                      <w:sz w:val="21"/>
                      <w:szCs w:val="21"/>
                    </w:rPr>
                    <w:t>）性能测试记录（性能测试所用水泥窑基本信息，包括窑型、规模、除尘器</w:t>
                  </w:r>
                  <w:r>
                    <w:rPr>
                      <w:rFonts w:ascii="Times New Roman" w:hAnsi="Times New Roman" w:cs="Times New Roman"/>
                      <w:color w:val="auto"/>
                      <w:spacing w:val="14"/>
                      <w:sz w:val="21"/>
                      <w:szCs w:val="21"/>
                    </w:rPr>
                    <w:t>类型等；性能测试时所选择的有机有害标识物及其投加速率、投加位置；有机有害标识物的</w:t>
                  </w:r>
                  <w:r>
                    <w:rPr>
                      <w:rFonts w:ascii="Times New Roman" w:hAnsi="Times New Roman" w:cs="Times New Roman"/>
                      <w:color w:val="auto"/>
                      <w:sz w:val="21"/>
                      <w:szCs w:val="21"/>
                    </w:rPr>
                    <w:t>DRE</w:t>
                  </w:r>
                  <w:r>
                    <w:rPr>
                      <w:rFonts w:ascii="Times New Roman" w:hAnsi="Times New Roman" w:cs="Times New Roman"/>
                      <w:color w:val="auto"/>
                      <w:spacing w:val="14"/>
                      <w:sz w:val="21"/>
                      <w:szCs w:val="21"/>
                    </w:rPr>
                    <w:t>；性能测试时烟气排放物浓度；性能测试时水泥生产工况基本信息，包括窑头、窑尾温度和氧浓度，生料磨运行记录，增湿塔、余热发电锅炉和</w:t>
                  </w:r>
                  <w:r>
                    <w:rPr>
                      <w:rFonts w:ascii="Times New Roman" w:hAnsi="Times New Roman" w:cs="Times New Roman"/>
                      <w:color w:val="auto"/>
                      <w:spacing w:val="12"/>
                      <w:sz w:val="21"/>
                      <w:szCs w:val="21"/>
                    </w:rPr>
                    <w:t>主除尘器工作状况等）。</w:t>
                  </w:r>
                </w:p>
              </w:tc>
              <w:tc>
                <w:tcPr>
                  <w:tcW w:w="3306" w:type="dxa"/>
                  <w:vMerge w:val="restart"/>
                  <w:tcBorders>
                    <w:top w:val="single" w:sz="2" w:space="0" w:color="000000"/>
                    <w:left w:val="single" w:sz="2" w:space="0" w:color="000000"/>
                    <w:right w:val="single" w:sz="2" w:space="0" w:color="000000"/>
                  </w:tcBorders>
                  <w:vAlign w:val="center"/>
                </w:tcPr>
                <w:p w14:paraId="26369BE4"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1</w:t>
                  </w:r>
                  <w:r>
                    <w:rPr>
                      <w:rFonts w:ascii="Times New Roman" w:hAnsi="Times New Roman" w:cs="Times New Roman"/>
                      <w:color w:val="auto"/>
                      <w:spacing w:val="10"/>
                      <w:sz w:val="21"/>
                      <w:szCs w:val="21"/>
                    </w:rPr>
                    <w:t>、本项目按照规范要求制定操作运行记录制度，对生产设施运行状况、设施维护和协同处置生产活动等进行记录。</w:t>
                  </w:r>
                </w:p>
                <w:p w14:paraId="18073EB1"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2</w:t>
                  </w:r>
                  <w:r>
                    <w:rPr>
                      <w:rFonts w:ascii="Times New Roman" w:hAnsi="Times New Roman" w:cs="Times New Roman"/>
                      <w:color w:val="auto"/>
                      <w:spacing w:val="10"/>
                      <w:sz w:val="21"/>
                      <w:szCs w:val="21"/>
                    </w:rPr>
                    <w:t>、固体废物的来源、重量、类别、入厂时间、运输车辆车牌号等均</w:t>
                  </w:r>
                  <w:r>
                    <w:rPr>
                      <w:rFonts w:ascii="Times New Roman" w:hAnsi="Times New Roman" w:cs="Times New Roman" w:hint="eastAsia"/>
                      <w:color w:val="auto"/>
                      <w:spacing w:val="10"/>
                      <w:sz w:val="21"/>
                      <w:szCs w:val="21"/>
                    </w:rPr>
                    <w:t>按</w:t>
                  </w:r>
                  <w:r>
                    <w:rPr>
                      <w:rFonts w:ascii="Times New Roman" w:hAnsi="Times New Roman" w:cs="Times New Roman"/>
                      <w:color w:val="auto"/>
                      <w:spacing w:val="10"/>
                      <w:sz w:val="21"/>
                      <w:szCs w:val="21"/>
                    </w:rPr>
                    <w:t>规范要求制定记录制度。</w:t>
                  </w:r>
                </w:p>
                <w:p w14:paraId="68FCD401"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3</w:t>
                  </w:r>
                  <w:r>
                    <w:rPr>
                      <w:rFonts w:ascii="Times New Roman" w:hAnsi="Times New Roman" w:cs="Times New Roman"/>
                      <w:color w:val="auto"/>
                      <w:spacing w:val="10"/>
                      <w:sz w:val="21"/>
                      <w:szCs w:val="21"/>
                    </w:rPr>
                    <w:t>、按要求进行协同处置日记录，包括每日协同处置的固体废物</w:t>
                  </w:r>
                  <w:r>
                    <w:rPr>
                      <w:rFonts w:ascii="Times New Roman" w:hAnsi="Times New Roman" w:cs="Times New Roman"/>
                      <w:color w:val="auto"/>
                      <w:spacing w:val="10"/>
                      <w:sz w:val="21"/>
                      <w:szCs w:val="21"/>
                    </w:rPr>
                    <w:lastRenderedPageBreak/>
                    <w:t>类别、数量等，协同处置设施运行工艺控制参数记录，包括有害元素投加速率、废物投加速率、投加位置等；维修情况记录和生产事故的记录；旁路放风和窑灰处置记录。</w:t>
                  </w:r>
                </w:p>
                <w:p w14:paraId="465E240C"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4</w:t>
                  </w:r>
                  <w:r>
                    <w:rPr>
                      <w:rFonts w:ascii="Times New Roman" w:hAnsi="Times New Roman" w:cs="Times New Roman"/>
                      <w:color w:val="auto"/>
                      <w:spacing w:val="10"/>
                      <w:sz w:val="21"/>
                      <w:szCs w:val="21"/>
                    </w:rPr>
                    <w:t>、定期对固体废物协同处置效果的评价，以及相关的改进措施进行记录；定期对固体废物协同处置设施运行及安全情况进行检测和评估；定期对固体废物协同处置程序和人员操作进行安全评估。</w:t>
                  </w:r>
                </w:p>
              </w:tc>
              <w:tc>
                <w:tcPr>
                  <w:tcW w:w="789" w:type="dxa"/>
                  <w:vMerge w:val="restart"/>
                  <w:tcBorders>
                    <w:top w:val="single" w:sz="2" w:space="0" w:color="000000"/>
                    <w:left w:val="single" w:sz="2" w:space="0" w:color="000000"/>
                    <w:right w:val="nil"/>
                  </w:tcBorders>
                  <w:vAlign w:val="center"/>
                </w:tcPr>
                <w:p w14:paraId="2499B99A" w14:textId="77777777" w:rsidR="00F76A63" w:rsidRDefault="00000000">
                  <w:pPr>
                    <w:jc w:val="center"/>
                    <w:rPr>
                      <w:szCs w:val="21"/>
                    </w:rPr>
                  </w:pPr>
                  <w:r>
                    <w:rPr>
                      <w:szCs w:val="21"/>
                    </w:rPr>
                    <w:lastRenderedPageBreak/>
                    <w:t>符合</w:t>
                  </w:r>
                </w:p>
              </w:tc>
            </w:tr>
            <w:tr w:rsidR="00F76A63" w14:paraId="3704C935" w14:textId="77777777">
              <w:trPr>
                <w:trHeight w:val="165"/>
                <w:jc w:val="center"/>
              </w:trPr>
              <w:tc>
                <w:tcPr>
                  <w:tcW w:w="625" w:type="dxa"/>
                  <w:vMerge/>
                  <w:tcBorders>
                    <w:left w:val="nil"/>
                    <w:right w:val="single" w:sz="2" w:space="0" w:color="000000"/>
                  </w:tcBorders>
                  <w:vAlign w:val="center"/>
                </w:tcPr>
                <w:p w14:paraId="09D916CC"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684C34F9"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4E991C62"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1"/>
                      <w:sz w:val="21"/>
                      <w:szCs w:val="21"/>
                    </w:rPr>
                    <w:t>（</w:t>
                  </w:r>
                  <w:r>
                    <w:rPr>
                      <w:rFonts w:ascii="Times New Roman" w:hAnsi="Times New Roman" w:cs="Times New Roman"/>
                      <w:color w:val="auto"/>
                      <w:spacing w:val="11"/>
                      <w:sz w:val="21"/>
                      <w:szCs w:val="21"/>
                    </w:rPr>
                    <w:t>2</w:t>
                  </w:r>
                  <w:r>
                    <w:rPr>
                      <w:rFonts w:ascii="Times New Roman" w:hAnsi="Times New Roman" w:cs="Times New Roman"/>
                      <w:color w:val="auto"/>
                      <w:spacing w:val="11"/>
                      <w:sz w:val="21"/>
                      <w:szCs w:val="21"/>
                    </w:rPr>
                    <w:t>）</w:t>
                  </w:r>
                  <w:r>
                    <w:rPr>
                      <w:rFonts w:ascii="Times New Roman" w:hAnsi="Times New Roman" w:cs="Times New Roman"/>
                      <w:color w:val="auto"/>
                      <w:spacing w:val="-54"/>
                      <w:sz w:val="21"/>
                      <w:szCs w:val="21"/>
                    </w:rPr>
                    <w:t xml:space="preserve"> </w:t>
                  </w:r>
                  <w:r>
                    <w:rPr>
                      <w:rFonts w:ascii="Times New Roman" w:hAnsi="Times New Roman" w:cs="Times New Roman"/>
                      <w:color w:val="auto"/>
                      <w:spacing w:val="11"/>
                      <w:sz w:val="21"/>
                      <w:szCs w:val="21"/>
                    </w:rPr>
                    <w:t>固体废物的来源、重量、类别、入厂时间、运输车辆车牌号等。</w:t>
                  </w:r>
                </w:p>
              </w:tc>
              <w:tc>
                <w:tcPr>
                  <w:tcW w:w="3306" w:type="dxa"/>
                  <w:vMerge/>
                  <w:tcBorders>
                    <w:left w:val="single" w:sz="2" w:space="0" w:color="000000"/>
                    <w:right w:val="single" w:sz="2" w:space="0" w:color="000000"/>
                  </w:tcBorders>
                  <w:vAlign w:val="center"/>
                </w:tcPr>
                <w:p w14:paraId="62E2B2F7"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2DF8A5FE" w14:textId="77777777" w:rsidR="00F76A63" w:rsidRDefault="00F76A63">
                  <w:pPr>
                    <w:jc w:val="center"/>
                    <w:rPr>
                      <w:szCs w:val="21"/>
                    </w:rPr>
                  </w:pPr>
                </w:p>
              </w:tc>
            </w:tr>
            <w:tr w:rsidR="00F76A63" w14:paraId="0705993E" w14:textId="77777777">
              <w:trPr>
                <w:trHeight w:val="165"/>
                <w:jc w:val="center"/>
              </w:trPr>
              <w:tc>
                <w:tcPr>
                  <w:tcW w:w="625" w:type="dxa"/>
                  <w:vMerge/>
                  <w:tcBorders>
                    <w:left w:val="nil"/>
                    <w:right w:val="single" w:sz="2" w:space="0" w:color="000000"/>
                  </w:tcBorders>
                  <w:vAlign w:val="center"/>
                </w:tcPr>
                <w:p w14:paraId="4DA7B81E"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364F23C7"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151C4AB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3</w:t>
                  </w:r>
                  <w:r>
                    <w:rPr>
                      <w:rFonts w:ascii="Times New Roman" w:hAnsi="Times New Roman" w:cs="Times New Roman"/>
                      <w:color w:val="auto"/>
                      <w:spacing w:val="13"/>
                      <w:sz w:val="21"/>
                      <w:szCs w:val="21"/>
                    </w:rPr>
                    <w:t>）协同处置日记录（每日贮存、预处理和协同处置的固体废物类别、数量等；固体废物运输车辆消毒记录；预处理和协同处置设施运行工艺控制参数记</w:t>
                  </w:r>
                  <w:r>
                    <w:rPr>
                      <w:rFonts w:ascii="Times New Roman" w:hAnsi="Times New Roman" w:cs="Times New Roman"/>
                      <w:color w:val="auto"/>
                      <w:spacing w:val="14"/>
                      <w:sz w:val="21"/>
                      <w:szCs w:val="21"/>
                    </w:rPr>
                    <w:t>录，包括有害元素投加速率、废物投加速率、</w:t>
                  </w:r>
                  <w:r>
                    <w:rPr>
                      <w:rFonts w:ascii="Times New Roman" w:hAnsi="Times New Roman" w:cs="Times New Roman"/>
                      <w:color w:val="auto"/>
                      <w:spacing w:val="13"/>
                      <w:sz w:val="21"/>
                      <w:szCs w:val="21"/>
                    </w:rPr>
                    <w:t>投加位置等；维修情况记录和生产</w:t>
                  </w:r>
                  <w:r>
                    <w:rPr>
                      <w:rFonts w:ascii="Times New Roman" w:hAnsi="Times New Roman" w:cs="Times New Roman"/>
                      <w:color w:val="auto"/>
                      <w:spacing w:val="11"/>
                      <w:sz w:val="21"/>
                      <w:szCs w:val="21"/>
                    </w:rPr>
                    <w:t>事故的记录；旁路放风和窑灰处置记录）。</w:t>
                  </w:r>
                </w:p>
              </w:tc>
              <w:tc>
                <w:tcPr>
                  <w:tcW w:w="3306" w:type="dxa"/>
                  <w:vMerge/>
                  <w:tcBorders>
                    <w:left w:val="single" w:sz="2" w:space="0" w:color="000000"/>
                    <w:right w:val="single" w:sz="2" w:space="0" w:color="000000"/>
                  </w:tcBorders>
                  <w:vAlign w:val="center"/>
                </w:tcPr>
                <w:p w14:paraId="796ACB2E"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1101A437" w14:textId="77777777" w:rsidR="00F76A63" w:rsidRDefault="00F76A63">
                  <w:pPr>
                    <w:jc w:val="center"/>
                    <w:rPr>
                      <w:szCs w:val="21"/>
                    </w:rPr>
                  </w:pPr>
                </w:p>
              </w:tc>
            </w:tr>
            <w:tr w:rsidR="00F76A63" w14:paraId="5C00D5D6" w14:textId="77777777">
              <w:trPr>
                <w:trHeight w:val="165"/>
                <w:jc w:val="center"/>
              </w:trPr>
              <w:tc>
                <w:tcPr>
                  <w:tcW w:w="625" w:type="dxa"/>
                  <w:vMerge/>
                  <w:tcBorders>
                    <w:left w:val="nil"/>
                    <w:right w:val="single" w:sz="2" w:space="0" w:color="000000"/>
                  </w:tcBorders>
                  <w:vAlign w:val="center"/>
                </w:tcPr>
                <w:p w14:paraId="7CD48908"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099E9E0"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BADF47E"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2"/>
                      <w:sz w:val="21"/>
                      <w:szCs w:val="21"/>
                    </w:rPr>
                    <w:t>（</w:t>
                  </w:r>
                  <w:r>
                    <w:rPr>
                      <w:rFonts w:ascii="Times New Roman" w:hAnsi="Times New Roman" w:cs="Times New Roman"/>
                      <w:color w:val="auto"/>
                      <w:spacing w:val="12"/>
                      <w:sz w:val="21"/>
                      <w:szCs w:val="21"/>
                    </w:rPr>
                    <w:t>4</w:t>
                  </w:r>
                  <w:r>
                    <w:rPr>
                      <w:rFonts w:ascii="Times New Roman" w:hAnsi="Times New Roman" w:cs="Times New Roman"/>
                      <w:color w:val="auto"/>
                      <w:spacing w:val="12"/>
                      <w:sz w:val="21"/>
                      <w:szCs w:val="21"/>
                    </w:rPr>
                    <w:t>）环境监测记录（烟气中污染物排放和水泥产品的污染控制监测结果）。</w:t>
                  </w:r>
                </w:p>
              </w:tc>
              <w:tc>
                <w:tcPr>
                  <w:tcW w:w="3306" w:type="dxa"/>
                  <w:vMerge/>
                  <w:tcBorders>
                    <w:left w:val="single" w:sz="2" w:space="0" w:color="000000"/>
                    <w:right w:val="single" w:sz="2" w:space="0" w:color="000000"/>
                  </w:tcBorders>
                  <w:vAlign w:val="center"/>
                </w:tcPr>
                <w:p w14:paraId="4B894F81"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6DBBE303" w14:textId="77777777" w:rsidR="00F76A63" w:rsidRDefault="00F76A63">
                  <w:pPr>
                    <w:jc w:val="center"/>
                    <w:rPr>
                      <w:szCs w:val="21"/>
                    </w:rPr>
                  </w:pPr>
                </w:p>
              </w:tc>
            </w:tr>
            <w:tr w:rsidR="00F76A63" w14:paraId="212FDF1C" w14:textId="77777777">
              <w:trPr>
                <w:trHeight w:val="165"/>
                <w:jc w:val="center"/>
              </w:trPr>
              <w:tc>
                <w:tcPr>
                  <w:tcW w:w="625" w:type="dxa"/>
                  <w:vMerge/>
                  <w:tcBorders>
                    <w:left w:val="nil"/>
                    <w:right w:val="single" w:sz="2" w:space="0" w:color="000000"/>
                  </w:tcBorders>
                  <w:vAlign w:val="center"/>
                </w:tcPr>
                <w:p w14:paraId="27185460" w14:textId="77777777" w:rsidR="00F76A63" w:rsidRDefault="00F76A63">
                  <w:pPr>
                    <w:jc w:val="center"/>
                    <w:rPr>
                      <w:szCs w:val="21"/>
                    </w:rPr>
                  </w:pPr>
                </w:p>
              </w:tc>
              <w:tc>
                <w:tcPr>
                  <w:tcW w:w="1995" w:type="dxa"/>
                  <w:gridSpan w:val="2"/>
                  <w:vMerge/>
                  <w:tcBorders>
                    <w:left w:val="single" w:sz="2" w:space="0" w:color="000000"/>
                    <w:bottom w:val="single" w:sz="2" w:space="0" w:color="000000"/>
                    <w:right w:val="single" w:sz="2" w:space="0" w:color="000000"/>
                  </w:tcBorders>
                  <w:vAlign w:val="center"/>
                </w:tcPr>
                <w:p w14:paraId="6B69B459"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138B37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5</w:t>
                  </w:r>
                  <w:r>
                    <w:rPr>
                      <w:rFonts w:ascii="Times New Roman" w:hAnsi="Times New Roman" w:cs="Times New Roman"/>
                      <w:color w:val="auto"/>
                      <w:spacing w:val="13"/>
                      <w:sz w:val="21"/>
                      <w:szCs w:val="21"/>
                    </w:rPr>
                    <w:t>）定期检测、评价及评估情况记录（定期对固体废物协同</w:t>
                  </w:r>
                  <w:r>
                    <w:rPr>
                      <w:rFonts w:ascii="Times New Roman" w:hAnsi="Times New Roman" w:cs="Times New Roman"/>
                      <w:color w:val="auto"/>
                      <w:spacing w:val="12"/>
                      <w:sz w:val="21"/>
                      <w:szCs w:val="21"/>
                    </w:rPr>
                    <w:t>处置效果的评价，</w:t>
                  </w:r>
                  <w:r>
                    <w:rPr>
                      <w:rFonts w:ascii="Times New Roman" w:hAnsi="Times New Roman" w:cs="Times New Roman"/>
                      <w:color w:val="auto"/>
                      <w:spacing w:val="13"/>
                      <w:sz w:val="21"/>
                      <w:szCs w:val="21"/>
                    </w:rPr>
                    <w:t>以及相关的改进措施记录；定期对固体废物协同处置设施运行及安全情况</w:t>
                  </w:r>
                  <w:r>
                    <w:rPr>
                      <w:rFonts w:ascii="Times New Roman" w:hAnsi="Times New Roman" w:cs="Times New Roman"/>
                      <w:color w:val="auto"/>
                      <w:spacing w:val="12"/>
                      <w:sz w:val="21"/>
                      <w:szCs w:val="21"/>
                    </w:rPr>
                    <w:t>的检测和评估记录；定期对固体废物协同处置程序和人员操作进行安全评估，</w:t>
                  </w:r>
                  <w:r>
                    <w:rPr>
                      <w:rFonts w:ascii="Times New Roman" w:hAnsi="Times New Roman" w:cs="Times New Roman"/>
                      <w:color w:val="auto"/>
                      <w:spacing w:val="-45"/>
                      <w:sz w:val="21"/>
                      <w:szCs w:val="21"/>
                    </w:rPr>
                    <w:t xml:space="preserve"> </w:t>
                  </w:r>
                  <w:r>
                    <w:rPr>
                      <w:rFonts w:ascii="Times New Roman" w:hAnsi="Times New Roman" w:cs="Times New Roman"/>
                      <w:color w:val="auto"/>
                      <w:spacing w:val="12"/>
                      <w:sz w:val="21"/>
                      <w:szCs w:val="21"/>
                    </w:rPr>
                    <w:t>以及相关</w:t>
                  </w:r>
                  <w:r>
                    <w:rPr>
                      <w:rFonts w:ascii="Times New Roman" w:hAnsi="Times New Roman" w:cs="Times New Roman"/>
                      <w:color w:val="auto"/>
                      <w:spacing w:val="7"/>
                      <w:sz w:val="21"/>
                      <w:szCs w:val="21"/>
                    </w:rPr>
                    <w:t>的改进措施记录）。</w:t>
                  </w:r>
                </w:p>
              </w:tc>
              <w:tc>
                <w:tcPr>
                  <w:tcW w:w="3306" w:type="dxa"/>
                  <w:vMerge/>
                  <w:tcBorders>
                    <w:left w:val="single" w:sz="2" w:space="0" w:color="000000"/>
                    <w:bottom w:val="single" w:sz="2" w:space="0" w:color="000000"/>
                    <w:right w:val="single" w:sz="2" w:space="0" w:color="000000"/>
                  </w:tcBorders>
                  <w:vAlign w:val="center"/>
                </w:tcPr>
                <w:p w14:paraId="074AB7AD"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2" w:space="0" w:color="000000"/>
                    <w:right w:val="nil"/>
                  </w:tcBorders>
                  <w:vAlign w:val="center"/>
                </w:tcPr>
                <w:p w14:paraId="58752596" w14:textId="77777777" w:rsidR="00F76A63" w:rsidRDefault="00F76A63">
                  <w:pPr>
                    <w:jc w:val="center"/>
                    <w:rPr>
                      <w:szCs w:val="21"/>
                    </w:rPr>
                  </w:pPr>
                </w:p>
              </w:tc>
            </w:tr>
            <w:tr w:rsidR="00F76A63" w14:paraId="7550F5EC" w14:textId="77777777">
              <w:trPr>
                <w:trHeight w:val="140"/>
                <w:jc w:val="center"/>
              </w:trPr>
              <w:tc>
                <w:tcPr>
                  <w:tcW w:w="625" w:type="dxa"/>
                  <w:vMerge/>
                  <w:tcBorders>
                    <w:left w:val="nil"/>
                    <w:right w:val="single" w:sz="2" w:space="0" w:color="000000"/>
                  </w:tcBorders>
                  <w:vAlign w:val="center"/>
                </w:tcPr>
                <w:p w14:paraId="448EF310" w14:textId="77777777" w:rsidR="00F76A63" w:rsidRDefault="00F76A63">
                  <w:pPr>
                    <w:jc w:val="center"/>
                    <w:rPr>
                      <w:szCs w:val="21"/>
                    </w:rPr>
                  </w:pPr>
                </w:p>
              </w:tc>
              <w:tc>
                <w:tcPr>
                  <w:tcW w:w="1995" w:type="dxa"/>
                  <w:gridSpan w:val="2"/>
                  <w:vMerge w:val="restart"/>
                  <w:tcBorders>
                    <w:top w:val="single" w:sz="2" w:space="0" w:color="000000"/>
                    <w:left w:val="single" w:sz="2" w:space="0" w:color="000000"/>
                    <w:right w:val="single" w:sz="2" w:space="0" w:color="000000"/>
                  </w:tcBorders>
                  <w:vAlign w:val="center"/>
                </w:tcPr>
                <w:p w14:paraId="3B0F8800"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3"/>
                      <w:sz w:val="21"/>
                      <w:szCs w:val="21"/>
                    </w:rPr>
                    <w:t xml:space="preserve">10.7 </w:t>
                  </w:r>
                  <w:r>
                    <w:rPr>
                      <w:rFonts w:ascii="Times New Roman" w:hAnsi="Times New Roman" w:cs="Times New Roman"/>
                      <w:color w:val="auto"/>
                      <w:spacing w:val="3"/>
                      <w:sz w:val="21"/>
                      <w:szCs w:val="21"/>
                    </w:rPr>
                    <w:t>环境管理制度</w:t>
                  </w: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5DE14403"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1</w:t>
                  </w:r>
                  <w:r>
                    <w:rPr>
                      <w:rFonts w:ascii="Times New Roman" w:hAnsi="Times New Roman" w:cs="Times New Roman"/>
                      <w:color w:val="auto"/>
                      <w:spacing w:val="13"/>
                      <w:sz w:val="21"/>
                      <w:szCs w:val="21"/>
                    </w:rPr>
                    <w:t>）协同处置固体废物单位应与有资质的环境监测机构签订监测合同，定期开展监测，监测结果以书面形式向环境保护主管</w:t>
                  </w:r>
                  <w:r>
                    <w:rPr>
                      <w:rFonts w:ascii="Times New Roman" w:hAnsi="Times New Roman" w:cs="Times New Roman"/>
                      <w:color w:val="auto"/>
                      <w:spacing w:val="12"/>
                      <w:sz w:val="21"/>
                      <w:szCs w:val="21"/>
                    </w:rPr>
                    <w:t>部门报告。</w:t>
                  </w:r>
                </w:p>
              </w:tc>
              <w:tc>
                <w:tcPr>
                  <w:tcW w:w="3306" w:type="dxa"/>
                  <w:vMerge w:val="restart"/>
                  <w:tcBorders>
                    <w:top w:val="single" w:sz="2" w:space="0" w:color="000000"/>
                    <w:left w:val="single" w:sz="2" w:space="0" w:color="000000"/>
                    <w:right w:val="single" w:sz="2" w:space="0" w:color="000000"/>
                  </w:tcBorders>
                  <w:vAlign w:val="center"/>
                </w:tcPr>
                <w:p w14:paraId="25FB0307"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1</w:t>
                  </w:r>
                  <w:r>
                    <w:rPr>
                      <w:rFonts w:ascii="Times New Roman" w:hAnsi="Times New Roman" w:cs="Times New Roman"/>
                      <w:color w:val="auto"/>
                      <w:spacing w:val="10"/>
                      <w:sz w:val="21"/>
                      <w:szCs w:val="21"/>
                    </w:rPr>
                    <w:t>、建设单位已与有资质的环境监测机构签订监测合同，定期开展监测，监测结果以书面形式向环境保护主管部门报告。</w:t>
                  </w:r>
                </w:p>
                <w:p w14:paraId="29AFF883" w14:textId="77777777" w:rsidR="00F76A63" w:rsidRDefault="00000000">
                  <w:pPr>
                    <w:pStyle w:val="TableText"/>
                    <w:jc w:val="center"/>
                    <w:rPr>
                      <w:rFonts w:ascii="Times New Roman" w:hAnsi="Times New Roman" w:cs="Times New Roman"/>
                      <w:color w:val="auto"/>
                      <w:spacing w:val="10"/>
                      <w:sz w:val="21"/>
                      <w:szCs w:val="21"/>
                    </w:rPr>
                  </w:pPr>
                  <w:r>
                    <w:rPr>
                      <w:rFonts w:ascii="Times New Roman" w:hAnsi="Times New Roman" w:cs="Times New Roman"/>
                      <w:color w:val="auto"/>
                      <w:spacing w:val="10"/>
                      <w:sz w:val="21"/>
                      <w:szCs w:val="21"/>
                    </w:rPr>
                    <w:t>2</w:t>
                  </w:r>
                  <w:r>
                    <w:rPr>
                      <w:rFonts w:ascii="Times New Roman" w:hAnsi="Times New Roman" w:cs="Times New Roman"/>
                      <w:color w:val="auto"/>
                      <w:spacing w:val="10"/>
                      <w:sz w:val="21"/>
                      <w:szCs w:val="21"/>
                    </w:rPr>
                    <w:t>、本项目不涉及协同处置危险废物。</w:t>
                  </w:r>
                </w:p>
              </w:tc>
              <w:tc>
                <w:tcPr>
                  <w:tcW w:w="789" w:type="dxa"/>
                  <w:vMerge w:val="restart"/>
                  <w:tcBorders>
                    <w:top w:val="single" w:sz="2" w:space="0" w:color="000000"/>
                    <w:left w:val="single" w:sz="2" w:space="0" w:color="000000"/>
                    <w:right w:val="nil"/>
                  </w:tcBorders>
                  <w:vAlign w:val="center"/>
                </w:tcPr>
                <w:p w14:paraId="5EDD92AE" w14:textId="77777777" w:rsidR="00F76A63" w:rsidRDefault="00000000">
                  <w:pPr>
                    <w:jc w:val="center"/>
                    <w:rPr>
                      <w:szCs w:val="21"/>
                    </w:rPr>
                  </w:pPr>
                  <w:r>
                    <w:rPr>
                      <w:szCs w:val="21"/>
                    </w:rPr>
                    <w:t>符合</w:t>
                  </w:r>
                </w:p>
              </w:tc>
            </w:tr>
            <w:tr w:rsidR="00F76A63" w14:paraId="6FA32D6F" w14:textId="77777777">
              <w:trPr>
                <w:trHeight w:val="137"/>
                <w:jc w:val="center"/>
              </w:trPr>
              <w:tc>
                <w:tcPr>
                  <w:tcW w:w="625" w:type="dxa"/>
                  <w:vMerge/>
                  <w:tcBorders>
                    <w:left w:val="nil"/>
                    <w:right w:val="single" w:sz="2" w:space="0" w:color="000000"/>
                  </w:tcBorders>
                  <w:vAlign w:val="center"/>
                </w:tcPr>
                <w:p w14:paraId="3DF76156"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65DEACB"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6C0563AE"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2</w:t>
                  </w:r>
                  <w:r>
                    <w:rPr>
                      <w:rFonts w:ascii="Times New Roman" w:hAnsi="Times New Roman" w:cs="Times New Roman"/>
                      <w:color w:val="auto"/>
                      <w:spacing w:val="13"/>
                      <w:sz w:val="21"/>
                      <w:szCs w:val="21"/>
                    </w:rPr>
                    <w:t>）协同处置危险废物的单位应按照《危险废物经营许可证管理办法》要求办</w:t>
                  </w:r>
                  <w:r>
                    <w:rPr>
                      <w:rFonts w:ascii="Times New Roman" w:hAnsi="Times New Roman" w:cs="Times New Roman"/>
                      <w:color w:val="auto"/>
                      <w:spacing w:val="10"/>
                      <w:sz w:val="21"/>
                      <w:szCs w:val="21"/>
                    </w:rPr>
                    <w:t>理《危险废物经营许可证》。</w:t>
                  </w:r>
                </w:p>
              </w:tc>
              <w:tc>
                <w:tcPr>
                  <w:tcW w:w="3306" w:type="dxa"/>
                  <w:vMerge/>
                  <w:tcBorders>
                    <w:left w:val="single" w:sz="2" w:space="0" w:color="000000"/>
                    <w:right w:val="single" w:sz="2" w:space="0" w:color="000000"/>
                  </w:tcBorders>
                  <w:vAlign w:val="center"/>
                </w:tcPr>
                <w:p w14:paraId="25CE06AB"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6BE29CB8" w14:textId="77777777" w:rsidR="00F76A63" w:rsidRDefault="00F76A63">
                  <w:pPr>
                    <w:jc w:val="center"/>
                    <w:rPr>
                      <w:szCs w:val="21"/>
                    </w:rPr>
                  </w:pPr>
                </w:p>
              </w:tc>
            </w:tr>
            <w:tr w:rsidR="00F76A63" w14:paraId="11CE637E" w14:textId="77777777">
              <w:trPr>
                <w:trHeight w:val="137"/>
                <w:jc w:val="center"/>
              </w:trPr>
              <w:tc>
                <w:tcPr>
                  <w:tcW w:w="625" w:type="dxa"/>
                  <w:vMerge/>
                  <w:tcBorders>
                    <w:left w:val="nil"/>
                    <w:right w:val="single" w:sz="2" w:space="0" w:color="000000"/>
                  </w:tcBorders>
                  <w:vAlign w:val="center"/>
                </w:tcPr>
                <w:p w14:paraId="6212FF6C"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0DDDB511"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D78170F"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3</w:t>
                  </w:r>
                  <w:r>
                    <w:rPr>
                      <w:rFonts w:ascii="Times New Roman" w:hAnsi="Times New Roman" w:cs="Times New Roman"/>
                      <w:color w:val="auto"/>
                      <w:spacing w:val="13"/>
                      <w:sz w:val="21"/>
                      <w:szCs w:val="21"/>
                    </w:rPr>
                    <w:t>）协同处置危险废物的单位应制定新生危险废物管理计划，并定期报环境保</w:t>
                  </w:r>
                  <w:r>
                    <w:rPr>
                      <w:rFonts w:ascii="Times New Roman" w:hAnsi="Times New Roman" w:cs="Times New Roman"/>
                      <w:color w:val="auto"/>
                      <w:spacing w:val="10"/>
                      <w:sz w:val="21"/>
                      <w:szCs w:val="21"/>
                    </w:rPr>
                    <w:t>护主管部门备案。</w:t>
                  </w:r>
                </w:p>
              </w:tc>
              <w:tc>
                <w:tcPr>
                  <w:tcW w:w="3306" w:type="dxa"/>
                  <w:vMerge/>
                  <w:tcBorders>
                    <w:left w:val="single" w:sz="2" w:space="0" w:color="000000"/>
                    <w:right w:val="single" w:sz="2" w:space="0" w:color="000000"/>
                  </w:tcBorders>
                  <w:vAlign w:val="center"/>
                </w:tcPr>
                <w:p w14:paraId="531951AC"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D5F084E" w14:textId="77777777" w:rsidR="00F76A63" w:rsidRDefault="00F76A63">
                  <w:pPr>
                    <w:jc w:val="center"/>
                    <w:rPr>
                      <w:szCs w:val="21"/>
                    </w:rPr>
                  </w:pPr>
                </w:p>
              </w:tc>
            </w:tr>
            <w:tr w:rsidR="00F76A63" w14:paraId="173EA05F" w14:textId="77777777">
              <w:trPr>
                <w:trHeight w:val="137"/>
                <w:jc w:val="center"/>
              </w:trPr>
              <w:tc>
                <w:tcPr>
                  <w:tcW w:w="625" w:type="dxa"/>
                  <w:vMerge/>
                  <w:tcBorders>
                    <w:left w:val="nil"/>
                    <w:right w:val="single" w:sz="2" w:space="0" w:color="000000"/>
                  </w:tcBorders>
                  <w:vAlign w:val="center"/>
                </w:tcPr>
                <w:p w14:paraId="35CB935E"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5DE158A2"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291236BD"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4</w:t>
                  </w:r>
                  <w:r>
                    <w:rPr>
                      <w:rFonts w:ascii="Times New Roman" w:hAnsi="Times New Roman" w:cs="Times New Roman"/>
                      <w:color w:val="auto"/>
                      <w:spacing w:val="13"/>
                      <w:sz w:val="21"/>
                      <w:szCs w:val="21"/>
                    </w:rPr>
                    <w:t>）协同处置危险废物单位的预处理、贮存、处置场所和盛装危险废物的容器</w:t>
                  </w:r>
                  <w:r>
                    <w:rPr>
                      <w:rFonts w:ascii="Times New Roman" w:hAnsi="Times New Roman" w:cs="Times New Roman"/>
                      <w:color w:val="auto"/>
                      <w:spacing w:val="12"/>
                      <w:sz w:val="21"/>
                      <w:szCs w:val="21"/>
                    </w:rPr>
                    <w:t>等须按照相关标准设立危险废物标识。</w:t>
                  </w:r>
                </w:p>
              </w:tc>
              <w:tc>
                <w:tcPr>
                  <w:tcW w:w="3306" w:type="dxa"/>
                  <w:vMerge/>
                  <w:tcBorders>
                    <w:left w:val="single" w:sz="2" w:space="0" w:color="000000"/>
                    <w:right w:val="single" w:sz="2" w:space="0" w:color="000000"/>
                  </w:tcBorders>
                  <w:vAlign w:val="center"/>
                </w:tcPr>
                <w:p w14:paraId="3ACABC1D"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0E9F7B01" w14:textId="77777777" w:rsidR="00F76A63" w:rsidRDefault="00F76A63">
                  <w:pPr>
                    <w:jc w:val="center"/>
                    <w:rPr>
                      <w:szCs w:val="21"/>
                    </w:rPr>
                  </w:pPr>
                </w:p>
              </w:tc>
            </w:tr>
            <w:tr w:rsidR="00F76A63" w14:paraId="2343C5BE" w14:textId="77777777">
              <w:trPr>
                <w:trHeight w:val="137"/>
                <w:jc w:val="center"/>
              </w:trPr>
              <w:tc>
                <w:tcPr>
                  <w:tcW w:w="625" w:type="dxa"/>
                  <w:vMerge/>
                  <w:tcBorders>
                    <w:left w:val="nil"/>
                    <w:right w:val="single" w:sz="2" w:space="0" w:color="000000"/>
                  </w:tcBorders>
                  <w:vAlign w:val="center"/>
                </w:tcPr>
                <w:p w14:paraId="589B092B" w14:textId="77777777" w:rsidR="00F76A63" w:rsidRDefault="00F76A63">
                  <w:pPr>
                    <w:jc w:val="center"/>
                    <w:rPr>
                      <w:szCs w:val="21"/>
                    </w:rPr>
                  </w:pPr>
                </w:p>
              </w:tc>
              <w:tc>
                <w:tcPr>
                  <w:tcW w:w="1995" w:type="dxa"/>
                  <w:gridSpan w:val="2"/>
                  <w:vMerge/>
                  <w:tcBorders>
                    <w:left w:val="single" w:sz="2" w:space="0" w:color="000000"/>
                    <w:right w:val="single" w:sz="2" w:space="0" w:color="000000"/>
                  </w:tcBorders>
                  <w:vAlign w:val="center"/>
                </w:tcPr>
                <w:p w14:paraId="4EBB9A5A"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2" w:space="0" w:color="000000"/>
                    <w:right w:val="single" w:sz="2" w:space="0" w:color="000000"/>
                  </w:tcBorders>
                  <w:vAlign w:val="center"/>
                </w:tcPr>
                <w:p w14:paraId="0E1D3F79"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5</w:t>
                  </w:r>
                  <w:r>
                    <w:rPr>
                      <w:rFonts w:ascii="Times New Roman" w:hAnsi="Times New Roman" w:cs="Times New Roman"/>
                      <w:color w:val="auto"/>
                      <w:spacing w:val="13"/>
                      <w:sz w:val="21"/>
                      <w:szCs w:val="21"/>
                    </w:rPr>
                    <w:t>）协同处置危险废物单位应定期以书面形式向环境保护主管部门报危险废物</w:t>
                  </w:r>
                  <w:r>
                    <w:rPr>
                      <w:rFonts w:ascii="Times New Roman" w:hAnsi="Times New Roman" w:cs="Times New Roman"/>
                      <w:color w:val="auto"/>
                      <w:spacing w:val="9"/>
                      <w:sz w:val="21"/>
                      <w:szCs w:val="21"/>
                    </w:rPr>
                    <w:t>经营情况报告。</w:t>
                  </w:r>
                </w:p>
              </w:tc>
              <w:tc>
                <w:tcPr>
                  <w:tcW w:w="3306" w:type="dxa"/>
                  <w:vMerge/>
                  <w:tcBorders>
                    <w:left w:val="single" w:sz="2" w:space="0" w:color="000000"/>
                    <w:right w:val="single" w:sz="2" w:space="0" w:color="000000"/>
                  </w:tcBorders>
                  <w:vAlign w:val="center"/>
                </w:tcPr>
                <w:p w14:paraId="1318B118"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right w:val="nil"/>
                  </w:tcBorders>
                  <w:vAlign w:val="center"/>
                </w:tcPr>
                <w:p w14:paraId="354E98AC" w14:textId="77777777" w:rsidR="00F76A63" w:rsidRDefault="00F76A63">
                  <w:pPr>
                    <w:jc w:val="center"/>
                    <w:rPr>
                      <w:szCs w:val="21"/>
                    </w:rPr>
                  </w:pPr>
                </w:p>
              </w:tc>
            </w:tr>
            <w:tr w:rsidR="00F76A63" w14:paraId="0B87C241" w14:textId="77777777">
              <w:trPr>
                <w:trHeight w:val="137"/>
                <w:jc w:val="center"/>
              </w:trPr>
              <w:tc>
                <w:tcPr>
                  <w:tcW w:w="625" w:type="dxa"/>
                  <w:vMerge/>
                  <w:tcBorders>
                    <w:left w:val="nil"/>
                    <w:bottom w:val="single" w:sz="12" w:space="0" w:color="000000"/>
                    <w:right w:val="single" w:sz="2" w:space="0" w:color="000000"/>
                  </w:tcBorders>
                  <w:vAlign w:val="center"/>
                </w:tcPr>
                <w:p w14:paraId="7A05D9E5" w14:textId="77777777" w:rsidR="00F76A63" w:rsidRDefault="00F76A63">
                  <w:pPr>
                    <w:jc w:val="center"/>
                    <w:rPr>
                      <w:szCs w:val="21"/>
                    </w:rPr>
                  </w:pPr>
                </w:p>
              </w:tc>
              <w:tc>
                <w:tcPr>
                  <w:tcW w:w="1995" w:type="dxa"/>
                  <w:gridSpan w:val="2"/>
                  <w:vMerge/>
                  <w:tcBorders>
                    <w:left w:val="single" w:sz="2" w:space="0" w:color="000000"/>
                    <w:bottom w:val="single" w:sz="12" w:space="0" w:color="000000"/>
                    <w:right w:val="single" w:sz="2" w:space="0" w:color="000000"/>
                  </w:tcBorders>
                  <w:vAlign w:val="center"/>
                </w:tcPr>
                <w:p w14:paraId="4D851828" w14:textId="77777777" w:rsidR="00F76A63" w:rsidRDefault="00F76A63">
                  <w:pPr>
                    <w:pStyle w:val="TableText"/>
                    <w:jc w:val="center"/>
                    <w:rPr>
                      <w:rFonts w:ascii="Times New Roman" w:hAnsi="Times New Roman" w:cs="Times New Roman"/>
                      <w:color w:val="auto"/>
                      <w:spacing w:val="3"/>
                      <w:sz w:val="21"/>
                      <w:szCs w:val="21"/>
                    </w:rPr>
                  </w:pPr>
                </w:p>
              </w:tc>
              <w:tc>
                <w:tcPr>
                  <w:tcW w:w="6056" w:type="dxa"/>
                  <w:gridSpan w:val="5"/>
                  <w:tcBorders>
                    <w:top w:val="single" w:sz="2" w:space="0" w:color="000000"/>
                    <w:left w:val="single" w:sz="2" w:space="0" w:color="000000"/>
                    <w:bottom w:val="single" w:sz="12" w:space="0" w:color="000000"/>
                    <w:right w:val="single" w:sz="2" w:space="0" w:color="000000"/>
                  </w:tcBorders>
                  <w:vAlign w:val="center"/>
                </w:tcPr>
                <w:p w14:paraId="05FC9B04" w14:textId="77777777" w:rsidR="00F76A63" w:rsidRDefault="00000000">
                  <w:pPr>
                    <w:pStyle w:val="TableText"/>
                    <w:jc w:val="center"/>
                    <w:rPr>
                      <w:rFonts w:ascii="Times New Roman" w:hAnsi="Times New Roman" w:cs="Times New Roman"/>
                      <w:color w:val="auto"/>
                      <w:spacing w:val="13"/>
                      <w:sz w:val="21"/>
                      <w:szCs w:val="21"/>
                    </w:rPr>
                  </w:pPr>
                  <w:r>
                    <w:rPr>
                      <w:rFonts w:ascii="Times New Roman" w:hAnsi="Times New Roman" w:cs="Times New Roman"/>
                      <w:color w:val="auto"/>
                      <w:spacing w:val="13"/>
                      <w:sz w:val="21"/>
                      <w:szCs w:val="21"/>
                    </w:rPr>
                    <w:t>（</w:t>
                  </w:r>
                  <w:r>
                    <w:rPr>
                      <w:rFonts w:ascii="Times New Roman" w:hAnsi="Times New Roman" w:cs="Times New Roman"/>
                      <w:color w:val="auto"/>
                      <w:spacing w:val="13"/>
                      <w:sz w:val="21"/>
                      <w:szCs w:val="21"/>
                    </w:rPr>
                    <w:t>6</w:t>
                  </w:r>
                  <w:r>
                    <w:rPr>
                      <w:rFonts w:ascii="Times New Roman" w:hAnsi="Times New Roman" w:cs="Times New Roman"/>
                      <w:color w:val="auto"/>
                      <w:spacing w:val="13"/>
                      <w:sz w:val="21"/>
                      <w:szCs w:val="21"/>
                    </w:rPr>
                    <w:t>）涉及含重金属危险废物处置的，要建立环境信息披露制度，每年向社会发布企业年度环境报告，公布主要重金属污染物排放和环境管理情况。</w:t>
                  </w:r>
                </w:p>
              </w:tc>
              <w:tc>
                <w:tcPr>
                  <w:tcW w:w="3306" w:type="dxa"/>
                  <w:vMerge/>
                  <w:tcBorders>
                    <w:left w:val="single" w:sz="2" w:space="0" w:color="000000"/>
                    <w:bottom w:val="single" w:sz="12" w:space="0" w:color="000000"/>
                    <w:right w:val="single" w:sz="2" w:space="0" w:color="000000"/>
                  </w:tcBorders>
                  <w:vAlign w:val="center"/>
                </w:tcPr>
                <w:p w14:paraId="46D38BD2" w14:textId="77777777" w:rsidR="00F76A63" w:rsidRDefault="00F76A63">
                  <w:pPr>
                    <w:pStyle w:val="TableText"/>
                    <w:jc w:val="center"/>
                    <w:rPr>
                      <w:rFonts w:ascii="Times New Roman" w:hAnsi="Times New Roman" w:cs="Times New Roman"/>
                      <w:color w:val="auto"/>
                      <w:spacing w:val="10"/>
                      <w:sz w:val="21"/>
                      <w:szCs w:val="21"/>
                    </w:rPr>
                  </w:pPr>
                </w:p>
              </w:tc>
              <w:tc>
                <w:tcPr>
                  <w:tcW w:w="789" w:type="dxa"/>
                  <w:vMerge/>
                  <w:tcBorders>
                    <w:left w:val="single" w:sz="2" w:space="0" w:color="000000"/>
                    <w:bottom w:val="single" w:sz="12" w:space="0" w:color="000000"/>
                    <w:right w:val="nil"/>
                  </w:tcBorders>
                  <w:vAlign w:val="center"/>
                </w:tcPr>
                <w:p w14:paraId="3CA7C6F0" w14:textId="77777777" w:rsidR="00F76A63" w:rsidRDefault="00F76A63">
                  <w:pPr>
                    <w:jc w:val="center"/>
                    <w:rPr>
                      <w:szCs w:val="21"/>
                    </w:rPr>
                  </w:pPr>
                </w:p>
              </w:tc>
            </w:tr>
          </w:tbl>
          <w:p w14:paraId="7233DBA7" w14:textId="77777777" w:rsidR="00F76A63" w:rsidRDefault="00F76A63">
            <w:pPr>
              <w:widowControl/>
              <w:spacing w:line="500" w:lineRule="exact"/>
              <w:jc w:val="center"/>
              <w:rPr>
                <w:b/>
                <w:bCs/>
                <w:sz w:val="24"/>
                <w:szCs w:val="21"/>
              </w:rPr>
            </w:pPr>
          </w:p>
          <w:p w14:paraId="4A7E7DAB" w14:textId="77777777" w:rsidR="00F76A63" w:rsidRDefault="00F76A63">
            <w:pPr>
              <w:widowControl/>
              <w:spacing w:line="500" w:lineRule="exact"/>
              <w:jc w:val="center"/>
              <w:rPr>
                <w:b/>
                <w:bCs/>
                <w:sz w:val="24"/>
                <w:szCs w:val="21"/>
              </w:rPr>
            </w:pPr>
          </w:p>
          <w:p w14:paraId="71A7E774" w14:textId="77777777" w:rsidR="00F76A63" w:rsidRDefault="00000000">
            <w:pPr>
              <w:widowControl/>
              <w:spacing w:line="500" w:lineRule="exact"/>
              <w:jc w:val="center"/>
              <w:rPr>
                <w:sz w:val="24"/>
                <w:szCs w:val="21"/>
              </w:rPr>
            </w:pPr>
            <w:r>
              <w:rPr>
                <w:b/>
                <w:bCs/>
                <w:sz w:val="24"/>
                <w:szCs w:val="21"/>
              </w:rPr>
              <w:lastRenderedPageBreak/>
              <w:t>表</w:t>
            </w:r>
            <w:r>
              <w:rPr>
                <w:b/>
                <w:bCs/>
                <w:sz w:val="24"/>
                <w:szCs w:val="21"/>
              </w:rPr>
              <w:t xml:space="preserve">1-11  </w:t>
            </w:r>
            <w:r>
              <w:rPr>
                <w:b/>
                <w:bCs/>
                <w:sz w:val="24"/>
                <w:szCs w:val="21"/>
              </w:rPr>
              <w:t>本项目与《固体废物再生利用污染防治技术导则》（</w:t>
            </w:r>
            <w:r>
              <w:rPr>
                <w:b/>
                <w:bCs/>
                <w:sz w:val="24"/>
                <w:szCs w:val="21"/>
              </w:rPr>
              <w:t>HJ 1091-2020</w:t>
            </w:r>
            <w:r>
              <w:rPr>
                <w:b/>
                <w:bCs/>
                <w:sz w:val="24"/>
                <w:szCs w:val="21"/>
              </w:rPr>
              <w:t>）相符性分析</w:t>
            </w:r>
          </w:p>
          <w:tbl>
            <w:tblPr>
              <w:tblStyle w:val="TableNormal"/>
              <w:tblW w:w="5000"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290"/>
              <w:gridCol w:w="5227"/>
              <w:gridCol w:w="5479"/>
              <w:gridCol w:w="757"/>
            </w:tblGrid>
            <w:tr w:rsidR="00F76A63" w14:paraId="183A150B" w14:textId="77777777">
              <w:trPr>
                <w:trHeight w:val="348"/>
                <w:jc w:val="center"/>
              </w:trPr>
              <w:tc>
                <w:tcPr>
                  <w:tcW w:w="1290" w:type="dxa"/>
                  <w:tcBorders>
                    <w:top w:val="single" w:sz="12" w:space="0" w:color="000000"/>
                    <w:left w:val="nil"/>
                    <w:bottom w:val="single" w:sz="2" w:space="0" w:color="000000"/>
                    <w:right w:val="single" w:sz="2" w:space="0" w:color="000000"/>
                  </w:tcBorders>
                  <w:vAlign w:val="center"/>
                </w:tcPr>
                <w:p w14:paraId="5167414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6"/>
                      <w:sz w:val="21"/>
                      <w:szCs w:val="21"/>
                    </w:rPr>
                    <w:t>序号</w:t>
                  </w:r>
                </w:p>
              </w:tc>
              <w:tc>
                <w:tcPr>
                  <w:tcW w:w="5227" w:type="dxa"/>
                  <w:tcBorders>
                    <w:top w:val="single" w:sz="12" w:space="0" w:color="000000"/>
                    <w:left w:val="single" w:sz="2" w:space="0" w:color="000000"/>
                    <w:bottom w:val="single" w:sz="2" w:space="0" w:color="000000"/>
                    <w:right w:val="single" w:sz="2" w:space="0" w:color="000000"/>
                  </w:tcBorders>
                  <w:vAlign w:val="center"/>
                </w:tcPr>
                <w:p w14:paraId="01402F9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z w:val="21"/>
                      <w:szCs w:val="21"/>
                    </w:rPr>
                    <w:t xml:space="preserve">HJ </w:t>
                  </w:r>
                  <w:r>
                    <w:rPr>
                      <w:rFonts w:ascii="Times New Roman" w:hAnsi="Times New Roman" w:cs="Times New Roman"/>
                      <w:b/>
                      <w:bCs/>
                      <w:color w:val="auto"/>
                      <w:spacing w:val="9"/>
                      <w:sz w:val="21"/>
                      <w:szCs w:val="21"/>
                    </w:rPr>
                    <w:t xml:space="preserve">1091-2020 </w:t>
                  </w:r>
                  <w:r>
                    <w:rPr>
                      <w:rFonts w:ascii="Times New Roman" w:hAnsi="Times New Roman" w:cs="Times New Roman"/>
                      <w:b/>
                      <w:bCs/>
                      <w:color w:val="auto"/>
                      <w:spacing w:val="9"/>
                      <w:sz w:val="21"/>
                      <w:szCs w:val="21"/>
                    </w:rPr>
                    <w:t>文件要求</w:t>
                  </w:r>
                </w:p>
              </w:tc>
              <w:tc>
                <w:tcPr>
                  <w:tcW w:w="5479" w:type="dxa"/>
                  <w:tcBorders>
                    <w:top w:val="single" w:sz="12" w:space="0" w:color="000000"/>
                    <w:left w:val="single" w:sz="2" w:space="0" w:color="000000"/>
                    <w:bottom w:val="single" w:sz="2" w:space="0" w:color="000000"/>
                    <w:right w:val="single" w:sz="2" w:space="0" w:color="000000"/>
                  </w:tcBorders>
                  <w:vAlign w:val="center"/>
                </w:tcPr>
                <w:p w14:paraId="166F665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9"/>
                      <w:sz w:val="21"/>
                      <w:szCs w:val="21"/>
                    </w:rPr>
                    <w:t>落实情况</w:t>
                  </w:r>
                </w:p>
              </w:tc>
              <w:tc>
                <w:tcPr>
                  <w:tcW w:w="757" w:type="dxa"/>
                  <w:tcBorders>
                    <w:top w:val="single" w:sz="12" w:space="0" w:color="000000"/>
                    <w:left w:val="single" w:sz="2" w:space="0" w:color="000000"/>
                    <w:bottom w:val="single" w:sz="2" w:space="0" w:color="000000"/>
                    <w:right w:val="nil"/>
                  </w:tcBorders>
                  <w:vAlign w:val="center"/>
                </w:tcPr>
                <w:p w14:paraId="4AB4E17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7"/>
                      <w:sz w:val="21"/>
                      <w:szCs w:val="21"/>
                    </w:rPr>
                    <w:t>符合性</w:t>
                  </w:r>
                </w:p>
              </w:tc>
            </w:tr>
            <w:tr w:rsidR="00F76A63" w14:paraId="39C23E3B" w14:textId="77777777">
              <w:trPr>
                <w:trHeight w:val="2721"/>
                <w:jc w:val="center"/>
              </w:trPr>
              <w:tc>
                <w:tcPr>
                  <w:tcW w:w="1290" w:type="dxa"/>
                  <w:vMerge w:val="restart"/>
                  <w:tcBorders>
                    <w:top w:val="nil"/>
                    <w:left w:val="nil"/>
                    <w:bottom w:val="nil"/>
                    <w:right w:val="single" w:sz="2" w:space="0" w:color="000000"/>
                  </w:tcBorders>
                  <w:vAlign w:val="center"/>
                </w:tcPr>
                <w:p w14:paraId="0746066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7"/>
                      <w:sz w:val="21"/>
                      <w:szCs w:val="21"/>
                    </w:rPr>
                    <w:t xml:space="preserve">4 </w:t>
                  </w:r>
                  <w:r>
                    <w:rPr>
                      <w:rFonts w:ascii="Times New Roman" w:hAnsi="Times New Roman" w:cs="Times New Roman"/>
                      <w:color w:val="auto"/>
                      <w:spacing w:val="7"/>
                      <w:sz w:val="21"/>
                      <w:szCs w:val="21"/>
                    </w:rPr>
                    <w:t>总体要求</w:t>
                  </w:r>
                </w:p>
              </w:tc>
              <w:tc>
                <w:tcPr>
                  <w:tcW w:w="5227" w:type="dxa"/>
                  <w:tcBorders>
                    <w:top w:val="single" w:sz="2" w:space="0" w:color="000000"/>
                    <w:left w:val="single" w:sz="2" w:space="0" w:color="000000"/>
                    <w:bottom w:val="single" w:sz="2" w:space="0" w:color="000000"/>
                    <w:right w:val="single" w:sz="2" w:space="0" w:color="000000"/>
                  </w:tcBorders>
                  <w:vAlign w:val="center"/>
                </w:tcPr>
                <w:p w14:paraId="246FD11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4.1</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1"/>
                      <w:sz w:val="21"/>
                      <w:szCs w:val="21"/>
                    </w:rPr>
                    <w:t>固体废物再生利用应遵循环境安全优先的原则，</w:t>
                  </w:r>
                  <w:r>
                    <w:rPr>
                      <w:rFonts w:ascii="Times New Roman" w:hAnsi="Times New Roman" w:cs="Times New Roman"/>
                      <w:color w:val="auto"/>
                      <w:spacing w:val="10"/>
                      <w:sz w:val="21"/>
                      <w:szCs w:val="21"/>
                    </w:rPr>
                    <w:t>保证固体</w:t>
                  </w:r>
                  <w:r>
                    <w:rPr>
                      <w:rFonts w:ascii="Times New Roman" w:hAnsi="Times New Roman" w:cs="Times New Roman"/>
                      <w:color w:val="auto"/>
                      <w:spacing w:val="12"/>
                      <w:sz w:val="21"/>
                      <w:szCs w:val="21"/>
                    </w:rPr>
                    <w:t>废物再生利用全过程的环境安全与人体健康。</w:t>
                  </w:r>
                </w:p>
              </w:tc>
              <w:tc>
                <w:tcPr>
                  <w:tcW w:w="5479" w:type="dxa"/>
                  <w:tcBorders>
                    <w:top w:val="single" w:sz="2" w:space="0" w:color="000000"/>
                    <w:left w:val="single" w:sz="2" w:space="0" w:color="000000"/>
                    <w:bottom w:val="single" w:sz="2" w:space="0" w:color="000000"/>
                    <w:right w:val="single" w:sz="2" w:space="0" w:color="000000"/>
                  </w:tcBorders>
                  <w:vAlign w:val="center"/>
                </w:tcPr>
                <w:p w14:paraId="70B44F7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本项目所处理的污染土及污泥不包括列入《国家危险废物名</w:t>
                  </w:r>
                  <w:r>
                    <w:rPr>
                      <w:rFonts w:ascii="Times New Roman" w:hAnsi="Times New Roman" w:cs="Times New Roman"/>
                      <w:color w:val="auto"/>
                      <w:spacing w:val="10"/>
                      <w:sz w:val="21"/>
                      <w:szCs w:val="21"/>
                    </w:rPr>
                    <w:t>录》（</w:t>
                  </w:r>
                  <w:r>
                    <w:rPr>
                      <w:rFonts w:ascii="Times New Roman" w:hAnsi="Times New Roman" w:cs="Times New Roman"/>
                      <w:color w:val="auto"/>
                      <w:spacing w:val="10"/>
                      <w:sz w:val="21"/>
                      <w:szCs w:val="21"/>
                    </w:rPr>
                    <w:t>2025</w:t>
                  </w:r>
                  <w:r>
                    <w:rPr>
                      <w:rFonts w:ascii="Times New Roman" w:hAnsi="Times New Roman" w:cs="Times New Roman"/>
                      <w:color w:val="auto"/>
                      <w:spacing w:val="10"/>
                      <w:sz w:val="21"/>
                      <w:szCs w:val="21"/>
                    </w:rPr>
                    <w:t>）</w:t>
                  </w:r>
                  <w:r>
                    <w:rPr>
                      <w:rFonts w:ascii="Times New Roman" w:hAnsi="Times New Roman" w:cs="Times New Roman"/>
                      <w:color w:val="auto"/>
                      <w:spacing w:val="-50"/>
                      <w:sz w:val="21"/>
                      <w:szCs w:val="21"/>
                    </w:rPr>
                    <w:t xml:space="preserve"> </w:t>
                  </w:r>
                  <w:r>
                    <w:rPr>
                      <w:rFonts w:ascii="Times New Roman" w:hAnsi="Times New Roman" w:cs="Times New Roman"/>
                      <w:color w:val="auto"/>
                      <w:spacing w:val="10"/>
                      <w:sz w:val="21"/>
                      <w:szCs w:val="21"/>
                    </w:rPr>
                    <w:t>中的各项危险废物，属于一般工业</w:t>
                  </w:r>
                  <w:r>
                    <w:rPr>
                      <w:rFonts w:ascii="Times New Roman" w:hAnsi="Times New Roman" w:cs="Times New Roman"/>
                      <w:color w:val="auto"/>
                      <w:spacing w:val="9"/>
                      <w:sz w:val="21"/>
                      <w:szCs w:val="21"/>
                    </w:rPr>
                    <w:t>固废。公司要求，</w:t>
                  </w:r>
                  <w:r>
                    <w:rPr>
                      <w:rFonts w:ascii="Times New Roman" w:hAnsi="Times New Roman" w:cs="Times New Roman"/>
                      <w:color w:val="auto"/>
                      <w:spacing w:val="13"/>
                      <w:sz w:val="21"/>
                      <w:szCs w:val="21"/>
                    </w:rPr>
                    <w:t>对不属于危险废物的污染土，应根据《中华人民共和国</w:t>
                  </w:r>
                  <w:r>
                    <w:rPr>
                      <w:rFonts w:ascii="Times New Roman" w:hAnsi="Times New Roman" w:cs="Times New Roman"/>
                      <w:color w:val="auto"/>
                      <w:spacing w:val="12"/>
                      <w:sz w:val="21"/>
                      <w:szCs w:val="21"/>
                    </w:rPr>
                    <w:t>土壤污染防治法》第四十一条规定，</w:t>
                  </w:r>
                  <w:r>
                    <w:rPr>
                      <w:rFonts w:ascii="Times New Roman" w:hAnsi="Times New Roman" w:cs="Times New Roman"/>
                      <w:color w:val="auto"/>
                      <w:spacing w:val="12"/>
                      <w:sz w:val="21"/>
                      <w:szCs w:val="21"/>
                    </w:rPr>
                    <w:t>“</w:t>
                  </w:r>
                  <w:r>
                    <w:rPr>
                      <w:rFonts w:ascii="Times New Roman" w:hAnsi="Times New Roman" w:cs="Times New Roman"/>
                      <w:color w:val="auto"/>
                      <w:spacing w:val="12"/>
                      <w:sz w:val="21"/>
                      <w:szCs w:val="21"/>
                    </w:rPr>
                    <w:t>修复施工单位转</w:t>
                  </w:r>
                  <w:r>
                    <w:rPr>
                      <w:rFonts w:ascii="Times New Roman" w:hAnsi="Times New Roman" w:cs="Times New Roman"/>
                      <w:color w:val="auto"/>
                      <w:spacing w:val="13"/>
                      <w:sz w:val="21"/>
                      <w:szCs w:val="21"/>
                    </w:rPr>
                    <w:t>运污染土壤的，应当制定转运计划，将运输时间、方式、线路和污染土壤数量、去向、最终处置措施等，提</w:t>
                  </w:r>
                  <w:r>
                    <w:rPr>
                      <w:rFonts w:ascii="Times New Roman" w:hAnsi="Times New Roman" w:cs="Times New Roman"/>
                      <w:color w:val="auto"/>
                      <w:spacing w:val="12"/>
                      <w:sz w:val="21"/>
                      <w:szCs w:val="21"/>
                    </w:rPr>
                    <w:t>前报所在地和接收地生态环境主管部门</w:t>
                  </w:r>
                  <w:r>
                    <w:rPr>
                      <w:rFonts w:ascii="Times New Roman" w:hAnsi="Times New Roman" w:cs="Times New Roman"/>
                      <w:color w:val="auto"/>
                      <w:spacing w:val="12"/>
                      <w:sz w:val="21"/>
                      <w:szCs w:val="21"/>
                    </w:rPr>
                    <w:t>”</w:t>
                  </w:r>
                  <w:r>
                    <w:rPr>
                      <w:rFonts w:ascii="Times New Roman" w:hAnsi="Times New Roman" w:cs="Times New Roman"/>
                      <w:color w:val="auto"/>
                      <w:spacing w:val="12"/>
                      <w:sz w:val="21"/>
                      <w:szCs w:val="21"/>
                    </w:rPr>
                    <w:t>并将鉴定</w:t>
                  </w:r>
                  <w:r>
                    <w:rPr>
                      <w:rFonts w:ascii="Times New Roman" w:hAnsi="Times New Roman" w:cs="Times New Roman"/>
                      <w:color w:val="auto"/>
                      <w:spacing w:val="11"/>
                      <w:sz w:val="21"/>
                      <w:szCs w:val="21"/>
                    </w:rPr>
                    <w:t>结果</w:t>
                  </w:r>
                  <w:r>
                    <w:rPr>
                      <w:rFonts w:ascii="Times New Roman" w:hAnsi="Times New Roman" w:cs="Times New Roman"/>
                      <w:color w:val="auto"/>
                      <w:spacing w:val="12"/>
                      <w:sz w:val="21"/>
                      <w:szCs w:val="21"/>
                    </w:rPr>
                    <w:t>送至当地环保部门备案同意后，可接</w:t>
                  </w:r>
                  <w:r>
                    <w:rPr>
                      <w:rFonts w:ascii="Times New Roman" w:hAnsi="Times New Roman" w:cs="Times New Roman"/>
                      <w:color w:val="auto"/>
                      <w:spacing w:val="5"/>
                      <w:sz w:val="21"/>
                      <w:szCs w:val="21"/>
                    </w:rPr>
                    <w:t>受处置。</w:t>
                  </w:r>
                </w:p>
              </w:tc>
              <w:tc>
                <w:tcPr>
                  <w:tcW w:w="757" w:type="dxa"/>
                  <w:tcBorders>
                    <w:top w:val="single" w:sz="2" w:space="0" w:color="000000"/>
                    <w:left w:val="single" w:sz="2" w:space="0" w:color="000000"/>
                    <w:bottom w:val="single" w:sz="2" w:space="0" w:color="000000"/>
                    <w:right w:val="nil"/>
                  </w:tcBorders>
                  <w:vAlign w:val="center"/>
                </w:tcPr>
                <w:p w14:paraId="505A783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53252625" w14:textId="77777777">
              <w:trPr>
                <w:trHeight w:val="819"/>
                <w:jc w:val="center"/>
              </w:trPr>
              <w:tc>
                <w:tcPr>
                  <w:tcW w:w="1290" w:type="dxa"/>
                  <w:vMerge/>
                  <w:tcBorders>
                    <w:top w:val="nil"/>
                    <w:left w:val="nil"/>
                    <w:bottom w:val="nil"/>
                    <w:right w:val="single" w:sz="2" w:space="0" w:color="000000"/>
                  </w:tcBorders>
                  <w:vAlign w:val="center"/>
                </w:tcPr>
                <w:p w14:paraId="6BDA2104"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2A31908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 xml:space="preserve">4.2 </w:t>
                  </w:r>
                  <w:r>
                    <w:rPr>
                      <w:rFonts w:ascii="Times New Roman" w:hAnsi="Times New Roman" w:cs="Times New Roman"/>
                      <w:color w:val="auto"/>
                      <w:spacing w:val="12"/>
                      <w:sz w:val="21"/>
                      <w:szCs w:val="21"/>
                    </w:rPr>
                    <w:t>进行固体废物再生利用技术选择时，应在固体废物再生利</w:t>
                  </w:r>
                  <w:r>
                    <w:rPr>
                      <w:rFonts w:ascii="Times New Roman" w:hAnsi="Times New Roman" w:cs="Times New Roman"/>
                      <w:color w:val="auto"/>
                      <w:spacing w:val="13"/>
                      <w:sz w:val="21"/>
                      <w:szCs w:val="21"/>
                    </w:rPr>
                    <w:t>用技术生命周期评价结果的基础上，结合相关法规及行业的</w:t>
                  </w:r>
                  <w:r>
                    <w:rPr>
                      <w:rFonts w:ascii="Times New Roman" w:hAnsi="Times New Roman" w:cs="Times New Roman"/>
                      <w:color w:val="auto"/>
                      <w:spacing w:val="10"/>
                      <w:sz w:val="21"/>
                      <w:szCs w:val="21"/>
                    </w:rPr>
                    <w:t>产业政策要求。</w:t>
                  </w:r>
                </w:p>
              </w:tc>
              <w:tc>
                <w:tcPr>
                  <w:tcW w:w="5479" w:type="dxa"/>
                  <w:tcBorders>
                    <w:top w:val="single" w:sz="2" w:space="0" w:color="000000"/>
                    <w:left w:val="single" w:sz="2" w:space="0" w:color="000000"/>
                    <w:bottom w:val="single" w:sz="2" w:space="0" w:color="000000"/>
                    <w:right w:val="single" w:sz="2" w:space="0" w:color="000000"/>
                  </w:tcBorders>
                  <w:vAlign w:val="center"/>
                </w:tcPr>
                <w:p w14:paraId="4A81C76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本项目建设符合《水泥窑协同处置工业废物设计规</w:t>
                  </w:r>
                  <w:r>
                    <w:rPr>
                      <w:rFonts w:ascii="Times New Roman" w:hAnsi="Times New Roman" w:cs="Times New Roman"/>
                      <w:color w:val="auto"/>
                      <w:spacing w:val="11"/>
                      <w:sz w:val="21"/>
                      <w:szCs w:val="21"/>
                    </w:rPr>
                    <w:t>范》</w:t>
                  </w:r>
                  <w:r>
                    <w:rPr>
                      <w:rFonts w:ascii="Times New Roman" w:hAnsi="Times New Roman" w:cs="Times New Roman"/>
                      <w:color w:val="auto"/>
                      <w:spacing w:val="-60"/>
                      <w:sz w:val="21"/>
                      <w:szCs w:val="21"/>
                    </w:rPr>
                    <w:t xml:space="preserve"> </w:t>
                  </w:r>
                  <w:r>
                    <w:rPr>
                      <w:rFonts w:ascii="Times New Roman" w:hAnsi="Times New Roman" w:cs="Times New Roman"/>
                      <w:color w:val="auto"/>
                      <w:spacing w:val="11"/>
                      <w:sz w:val="21"/>
                      <w:szCs w:val="21"/>
                    </w:rPr>
                    <w:t>、《水泥窑协同处置固体废物环境保护技术规范》</w:t>
                  </w:r>
                  <w:r>
                    <w:rPr>
                      <w:rFonts w:ascii="Times New Roman" w:hAnsi="Times New Roman" w:cs="Times New Roman"/>
                      <w:color w:val="auto"/>
                      <w:spacing w:val="10"/>
                      <w:sz w:val="21"/>
                      <w:szCs w:val="21"/>
                    </w:rPr>
                    <w:t>等行业规范要求。</w:t>
                  </w:r>
                </w:p>
              </w:tc>
              <w:tc>
                <w:tcPr>
                  <w:tcW w:w="757" w:type="dxa"/>
                  <w:tcBorders>
                    <w:top w:val="single" w:sz="2" w:space="0" w:color="000000"/>
                    <w:left w:val="single" w:sz="2" w:space="0" w:color="000000"/>
                    <w:bottom w:val="single" w:sz="2" w:space="0" w:color="000000"/>
                    <w:right w:val="nil"/>
                  </w:tcBorders>
                  <w:vAlign w:val="center"/>
                </w:tcPr>
                <w:p w14:paraId="6FCAD39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0AAF2CF4" w14:textId="77777777">
              <w:trPr>
                <w:trHeight w:val="1362"/>
                <w:jc w:val="center"/>
              </w:trPr>
              <w:tc>
                <w:tcPr>
                  <w:tcW w:w="1290" w:type="dxa"/>
                  <w:vMerge/>
                  <w:tcBorders>
                    <w:top w:val="nil"/>
                    <w:left w:val="nil"/>
                    <w:bottom w:val="nil"/>
                    <w:right w:val="single" w:sz="2" w:space="0" w:color="000000"/>
                  </w:tcBorders>
                  <w:vAlign w:val="center"/>
                </w:tcPr>
                <w:p w14:paraId="533539E0"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3BFA177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4.3</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2"/>
                      <w:sz w:val="21"/>
                      <w:szCs w:val="21"/>
                    </w:rPr>
                    <w:t>固体废物再生利用建设项目的选址应符合区域性</w:t>
                  </w:r>
                  <w:r>
                    <w:rPr>
                      <w:rFonts w:ascii="Times New Roman" w:hAnsi="Times New Roman" w:cs="Times New Roman"/>
                      <w:color w:val="auto"/>
                      <w:spacing w:val="11"/>
                      <w:sz w:val="21"/>
                      <w:szCs w:val="21"/>
                    </w:rPr>
                    <w:t>环境保护规划和当地的城乡总体规划。</w:t>
                  </w:r>
                </w:p>
              </w:tc>
              <w:tc>
                <w:tcPr>
                  <w:tcW w:w="5479" w:type="dxa"/>
                  <w:tcBorders>
                    <w:top w:val="single" w:sz="2" w:space="0" w:color="000000"/>
                    <w:left w:val="single" w:sz="2" w:space="0" w:color="000000"/>
                    <w:bottom w:val="single" w:sz="2" w:space="0" w:color="000000"/>
                    <w:right w:val="single" w:sz="2" w:space="0" w:color="000000"/>
                  </w:tcBorders>
                  <w:vAlign w:val="center"/>
                </w:tcPr>
                <w:p w14:paraId="04625EC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本项目依托现有的两条新型干法水泥生产线进行污染土的协同处置，项目以处理镇江地区</w:t>
                  </w:r>
                  <w:r>
                    <w:rPr>
                      <w:rFonts w:ascii="Times New Roman" w:hAnsi="Times New Roman" w:cs="Times New Roman"/>
                      <w:color w:val="auto"/>
                      <w:sz w:val="21"/>
                      <w:szCs w:val="21"/>
                    </w:rPr>
                    <w:t>污染土</w:t>
                  </w:r>
                  <w:r>
                    <w:rPr>
                      <w:rFonts w:ascii="Times New Roman" w:hAnsi="Times New Roman" w:cs="Times New Roman"/>
                      <w:color w:val="auto"/>
                      <w:spacing w:val="13"/>
                      <w:sz w:val="21"/>
                      <w:szCs w:val="21"/>
                    </w:rPr>
                    <w:t>为主，同步辐射周边城市，解决镇江市全市现状一般工业固体废物产生量及处置能力不匹配问题，符合</w:t>
                  </w:r>
                  <w:r>
                    <w:rPr>
                      <w:rFonts w:ascii="Times New Roman" w:hAnsi="Times New Roman" w:cs="Times New Roman" w:hint="eastAsia"/>
                      <w:color w:val="auto"/>
                      <w:sz w:val="21"/>
                      <w:szCs w:val="21"/>
                    </w:rPr>
                    <w:t>《镇江市国土空间总体规划（</w:t>
                  </w:r>
                  <w:r>
                    <w:rPr>
                      <w:rFonts w:ascii="Times New Roman" w:hAnsi="Times New Roman" w:cs="Times New Roman" w:hint="eastAsia"/>
                      <w:color w:val="auto"/>
                      <w:sz w:val="21"/>
                      <w:szCs w:val="21"/>
                    </w:rPr>
                    <w:t>2021-2035</w:t>
                  </w:r>
                  <w:r>
                    <w:rPr>
                      <w:rFonts w:ascii="Times New Roman" w:hAnsi="Times New Roman" w:cs="Times New Roman" w:hint="eastAsia"/>
                      <w:color w:val="auto"/>
                      <w:sz w:val="21"/>
                      <w:szCs w:val="21"/>
                    </w:rPr>
                    <w:t>）》</w:t>
                  </w:r>
                  <w:r>
                    <w:rPr>
                      <w:rFonts w:ascii="Times New Roman" w:hAnsi="Times New Roman" w:cs="Times New Roman"/>
                      <w:color w:val="auto"/>
                      <w:spacing w:val="12"/>
                      <w:sz w:val="21"/>
                      <w:szCs w:val="21"/>
                    </w:rPr>
                    <w:t>要求。</w:t>
                  </w:r>
                </w:p>
              </w:tc>
              <w:tc>
                <w:tcPr>
                  <w:tcW w:w="757" w:type="dxa"/>
                  <w:tcBorders>
                    <w:top w:val="single" w:sz="2" w:space="0" w:color="000000"/>
                    <w:left w:val="single" w:sz="2" w:space="0" w:color="000000"/>
                    <w:bottom w:val="single" w:sz="2" w:space="0" w:color="000000"/>
                    <w:right w:val="nil"/>
                  </w:tcBorders>
                  <w:vAlign w:val="center"/>
                </w:tcPr>
                <w:p w14:paraId="4CDB0DD9"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5977D28F" w14:textId="77777777">
              <w:trPr>
                <w:trHeight w:val="1363"/>
                <w:jc w:val="center"/>
              </w:trPr>
              <w:tc>
                <w:tcPr>
                  <w:tcW w:w="1290" w:type="dxa"/>
                  <w:vMerge/>
                  <w:tcBorders>
                    <w:top w:val="nil"/>
                    <w:left w:val="nil"/>
                    <w:bottom w:val="nil"/>
                    <w:right w:val="single" w:sz="2" w:space="0" w:color="000000"/>
                  </w:tcBorders>
                  <w:vAlign w:val="center"/>
                </w:tcPr>
                <w:p w14:paraId="7D5C4E6D"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593997D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4.4</w:t>
                  </w:r>
                  <w:r>
                    <w:rPr>
                      <w:rFonts w:ascii="Times New Roman" w:hAnsi="Times New Roman" w:cs="Times New Roman"/>
                      <w:color w:val="auto"/>
                      <w:spacing w:val="39"/>
                      <w:sz w:val="21"/>
                      <w:szCs w:val="21"/>
                    </w:rPr>
                    <w:t xml:space="preserve"> </w:t>
                  </w:r>
                  <w:r>
                    <w:rPr>
                      <w:rFonts w:ascii="Times New Roman" w:hAnsi="Times New Roman" w:cs="Times New Roman"/>
                      <w:color w:val="auto"/>
                      <w:spacing w:val="12"/>
                      <w:sz w:val="21"/>
                      <w:szCs w:val="21"/>
                    </w:rPr>
                    <w:t>固体废物再生利用建设项目的设计、施工、验收</w:t>
                  </w:r>
                  <w:r>
                    <w:rPr>
                      <w:rFonts w:ascii="Times New Roman" w:hAnsi="Times New Roman" w:cs="Times New Roman"/>
                      <w:color w:val="auto"/>
                      <w:spacing w:val="11"/>
                      <w:sz w:val="21"/>
                      <w:szCs w:val="21"/>
                    </w:rPr>
                    <w:t>和运行应</w:t>
                  </w:r>
                  <w:r>
                    <w:rPr>
                      <w:rFonts w:ascii="Times New Roman" w:hAnsi="Times New Roman" w:cs="Times New Roman"/>
                      <w:color w:val="auto"/>
                      <w:spacing w:val="13"/>
                      <w:sz w:val="21"/>
                      <w:szCs w:val="21"/>
                    </w:rPr>
                    <w:t>遵守国家现行的相关法规的规定，同时建立完善的环境管理制度，包括环境影响评价、环境管理计划、环境保护责</w:t>
                  </w:r>
                  <w:r>
                    <w:rPr>
                      <w:rFonts w:ascii="Times New Roman" w:hAnsi="Times New Roman" w:cs="Times New Roman"/>
                      <w:color w:val="auto"/>
                      <w:spacing w:val="12"/>
                      <w:sz w:val="21"/>
                      <w:szCs w:val="21"/>
                    </w:rPr>
                    <w:t>任、</w:t>
                  </w:r>
                  <w:r>
                    <w:rPr>
                      <w:rFonts w:ascii="Times New Roman" w:hAnsi="Times New Roman" w:cs="Times New Roman"/>
                      <w:color w:val="auto"/>
                      <w:spacing w:val="13"/>
                      <w:sz w:val="21"/>
                      <w:szCs w:val="21"/>
                    </w:rPr>
                    <w:t>排污许可、监测、信息公开、环境应急预案和环境保护档案</w:t>
                  </w:r>
                  <w:r>
                    <w:rPr>
                      <w:rFonts w:ascii="Times New Roman" w:hAnsi="Times New Roman" w:cs="Times New Roman"/>
                      <w:color w:val="auto"/>
                      <w:spacing w:val="8"/>
                      <w:sz w:val="21"/>
                      <w:szCs w:val="21"/>
                    </w:rPr>
                    <w:t>管理等制度。</w:t>
                  </w:r>
                </w:p>
              </w:tc>
              <w:tc>
                <w:tcPr>
                  <w:tcW w:w="5479" w:type="dxa"/>
                  <w:tcBorders>
                    <w:top w:val="single" w:sz="2" w:space="0" w:color="000000"/>
                    <w:left w:val="single" w:sz="2" w:space="0" w:color="000000"/>
                    <w:bottom w:val="single" w:sz="2" w:space="0" w:color="000000"/>
                    <w:right w:val="single" w:sz="2" w:space="0" w:color="000000"/>
                  </w:tcBorders>
                  <w:vAlign w:val="center"/>
                </w:tcPr>
                <w:p w14:paraId="11840BA0"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设计、施工、验收和运行均严格遵守国家现行的相关法规的规定，同时建立完善的环境管理制度，包括环境影响评价、环境管理计划、环境保护责任、排污许可、监测、信息公开、环境应急预案和环境保护档案管</w:t>
                  </w:r>
                  <w:r>
                    <w:rPr>
                      <w:rFonts w:ascii="Times New Roman" w:hAnsi="Times New Roman" w:cs="Times New Roman"/>
                      <w:color w:val="auto"/>
                      <w:spacing w:val="7"/>
                      <w:sz w:val="21"/>
                      <w:szCs w:val="21"/>
                    </w:rPr>
                    <w:t>理等制度。</w:t>
                  </w:r>
                </w:p>
              </w:tc>
              <w:tc>
                <w:tcPr>
                  <w:tcW w:w="757" w:type="dxa"/>
                  <w:tcBorders>
                    <w:top w:val="single" w:sz="2" w:space="0" w:color="000000"/>
                    <w:left w:val="single" w:sz="2" w:space="0" w:color="000000"/>
                    <w:bottom w:val="single" w:sz="2" w:space="0" w:color="000000"/>
                    <w:right w:val="nil"/>
                  </w:tcBorders>
                  <w:vAlign w:val="center"/>
                </w:tcPr>
                <w:p w14:paraId="11BEA2C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3C12AF0D" w14:textId="77777777">
              <w:trPr>
                <w:trHeight w:val="1092"/>
                <w:jc w:val="center"/>
              </w:trPr>
              <w:tc>
                <w:tcPr>
                  <w:tcW w:w="1290" w:type="dxa"/>
                  <w:vMerge/>
                  <w:tcBorders>
                    <w:top w:val="nil"/>
                    <w:left w:val="nil"/>
                    <w:bottom w:val="nil"/>
                    <w:right w:val="single" w:sz="2" w:space="0" w:color="000000"/>
                  </w:tcBorders>
                  <w:vAlign w:val="center"/>
                </w:tcPr>
                <w:p w14:paraId="64D5941C"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709FE00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 xml:space="preserve">4.5 </w:t>
                  </w:r>
                  <w:r>
                    <w:rPr>
                      <w:rFonts w:ascii="Times New Roman" w:hAnsi="Times New Roman" w:cs="Times New Roman"/>
                      <w:color w:val="auto"/>
                      <w:spacing w:val="12"/>
                      <w:sz w:val="21"/>
                      <w:szCs w:val="21"/>
                    </w:rPr>
                    <w:t>应对固体废物再生利用各技术环节的环境污染因子进行识</w:t>
                  </w:r>
                  <w:r>
                    <w:rPr>
                      <w:rFonts w:ascii="Times New Roman" w:hAnsi="Times New Roman" w:cs="Times New Roman"/>
                      <w:color w:val="auto"/>
                      <w:spacing w:val="13"/>
                      <w:sz w:val="21"/>
                      <w:szCs w:val="21"/>
                    </w:rPr>
                    <w:t>别，采取有效污染控制措施，配备污染物监测设备设施，避免污染物的无组织排放，防止发生二次污染，妥善处置产生</w:t>
                  </w:r>
                  <w:r>
                    <w:rPr>
                      <w:rFonts w:ascii="Times New Roman" w:hAnsi="Times New Roman" w:cs="Times New Roman"/>
                      <w:color w:val="auto"/>
                      <w:spacing w:val="2"/>
                      <w:sz w:val="21"/>
                      <w:szCs w:val="21"/>
                    </w:rPr>
                    <w:t>的废物。</w:t>
                  </w:r>
                </w:p>
              </w:tc>
              <w:tc>
                <w:tcPr>
                  <w:tcW w:w="5479" w:type="dxa"/>
                  <w:tcBorders>
                    <w:top w:val="single" w:sz="2" w:space="0" w:color="000000"/>
                    <w:left w:val="single" w:sz="2" w:space="0" w:color="000000"/>
                    <w:bottom w:val="single" w:sz="2" w:space="0" w:color="000000"/>
                    <w:right w:val="single" w:sz="2" w:space="0" w:color="000000"/>
                  </w:tcBorders>
                  <w:vAlign w:val="center"/>
                </w:tcPr>
                <w:p w14:paraId="4062F91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本项目依托现有烟气在线监测系统；项目产生的固体废</w:t>
                  </w:r>
                  <w:r>
                    <w:rPr>
                      <w:rFonts w:ascii="Times New Roman" w:hAnsi="Times New Roman" w:cs="Times New Roman"/>
                      <w:color w:val="auto"/>
                      <w:spacing w:val="12"/>
                      <w:sz w:val="21"/>
                      <w:szCs w:val="21"/>
                    </w:rPr>
                    <w:t>物妥善处置，不会发生二次污染。</w:t>
                  </w:r>
                </w:p>
              </w:tc>
              <w:tc>
                <w:tcPr>
                  <w:tcW w:w="757" w:type="dxa"/>
                  <w:tcBorders>
                    <w:top w:val="single" w:sz="2" w:space="0" w:color="000000"/>
                    <w:left w:val="single" w:sz="2" w:space="0" w:color="000000"/>
                    <w:bottom w:val="single" w:sz="2" w:space="0" w:color="000000"/>
                    <w:right w:val="nil"/>
                  </w:tcBorders>
                  <w:vAlign w:val="center"/>
                </w:tcPr>
                <w:p w14:paraId="2FFA9AD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25C2370C" w14:textId="77777777">
              <w:trPr>
                <w:trHeight w:val="569"/>
                <w:jc w:val="center"/>
              </w:trPr>
              <w:tc>
                <w:tcPr>
                  <w:tcW w:w="1290" w:type="dxa"/>
                  <w:vMerge/>
                  <w:tcBorders>
                    <w:top w:val="nil"/>
                    <w:left w:val="nil"/>
                    <w:bottom w:val="nil"/>
                    <w:right w:val="single" w:sz="2" w:space="0" w:color="000000"/>
                  </w:tcBorders>
                  <w:vAlign w:val="center"/>
                </w:tcPr>
                <w:p w14:paraId="33D25F1D" w14:textId="77777777" w:rsidR="00F76A63" w:rsidRDefault="00F76A63">
                  <w:pPr>
                    <w:jc w:val="center"/>
                    <w:rPr>
                      <w:szCs w:val="21"/>
                    </w:rPr>
                  </w:pPr>
                </w:p>
              </w:tc>
              <w:tc>
                <w:tcPr>
                  <w:tcW w:w="5227" w:type="dxa"/>
                  <w:tcBorders>
                    <w:top w:val="single" w:sz="2" w:space="0" w:color="000000"/>
                    <w:left w:val="single" w:sz="2" w:space="0" w:color="000000"/>
                    <w:bottom w:val="single" w:sz="12" w:space="0" w:color="000000"/>
                    <w:right w:val="single" w:sz="2" w:space="0" w:color="000000"/>
                  </w:tcBorders>
                  <w:vAlign w:val="center"/>
                </w:tcPr>
                <w:p w14:paraId="2897A9C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4.6</w:t>
                  </w:r>
                  <w:r>
                    <w:rPr>
                      <w:rFonts w:ascii="Times New Roman" w:hAnsi="Times New Roman" w:cs="Times New Roman"/>
                      <w:color w:val="auto"/>
                      <w:spacing w:val="25"/>
                      <w:sz w:val="21"/>
                      <w:szCs w:val="21"/>
                    </w:rPr>
                    <w:t xml:space="preserve"> </w:t>
                  </w:r>
                  <w:r>
                    <w:rPr>
                      <w:rFonts w:ascii="Times New Roman" w:hAnsi="Times New Roman" w:cs="Times New Roman"/>
                      <w:color w:val="auto"/>
                      <w:spacing w:val="12"/>
                      <w:sz w:val="21"/>
                      <w:szCs w:val="21"/>
                    </w:rPr>
                    <w:t>固体废物再生利用过程产生的各种污染物的排放</w:t>
                  </w:r>
                  <w:r>
                    <w:rPr>
                      <w:rFonts w:ascii="Times New Roman" w:hAnsi="Times New Roman" w:cs="Times New Roman"/>
                      <w:color w:val="auto"/>
                      <w:spacing w:val="11"/>
                      <w:sz w:val="21"/>
                      <w:szCs w:val="21"/>
                    </w:rPr>
                    <w:t>应满足国</w:t>
                  </w:r>
                  <w:r>
                    <w:rPr>
                      <w:rFonts w:ascii="Times New Roman" w:hAnsi="Times New Roman" w:cs="Times New Roman"/>
                      <w:color w:val="auto"/>
                      <w:spacing w:val="12"/>
                      <w:sz w:val="21"/>
                      <w:szCs w:val="21"/>
                    </w:rPr>
                    <w:t>家和地方的污染物排放（控制）标准与排污许可要求。</w:t>
                  </w:r>
                </w:p>
              </w:tc>
              <w:tc>
                <w:tcPr>
                  <w:tcW w:w="5479" w:type="dxa"/>
                  <w:tcBorders>
                    <w:top w:val="single" w:sz="2" w:space="0" w:color="000000"/>
                    <w:left w:val="single" w:sz="2" w:space="0" w:color="000000"/>
                    <w:bottom w:val="single" w:sz="12" w:space="0" w:color="000000"/>
                    <w:right w:val="single" w:sz="2" w:space="0" w:color="000000"/>
                  </w:tcBorders>
                  <w:vAlign w:val="center"/>
                </w:tcPr>
                <w:p w14:paraId="5D58699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本项目窑尾废气执行《水泥工业大气污染物排放标</w:t>
                  </w:r>
                  <w:r>
                    <w:rPr>
                      <w:rFonts w:ascii="Times New Roman" w:hAnsi="Times New Roman" w:cs="Times New Roman"/>
                      <w:color w:val="auto"/>
                      <w:spacing w:val="11"/>
                      <w:sz w:val="21"/>
                      <w:szCs w:val="21"/>
                    </w:rPr>
                    <w:t>准》（</w:t>
                  </w:r>
                  <w:r>
                    <w:rPr>
                      <w:rFonts w:ascii="Times New Roman" w:hAnsi="Times New Roman" w:cs="Times New Roman"/>
                      <w:color w:val="auto"/>
                      <w:sz w:val="21"/>
                      <w:szCs w:val="21"/>
                    </w:rPr>
                    <w:t>DB</w:t>
                  </w:r>
                  <w:r>
                    <w:rPr>
                      <w:rFonts w:ascii="Times New Roman" w:hAnsi="Times New Roman" w:cs="Times New Roman"/>
                      <w:color w:val="auto"/>
                      <w:spacing w:val="11"/>
                      <w:sz w:val="21"/>
                      <w:szCs w:val="21"/>
                    </w:rPr>
                    <w:t>32/4149-2021</w:t>
                  </w:r>
                  <w:r>
                    <w:rPr>
                      <w:rFonts w:ascii="Times New Roman" w:hAnsi="Times New Roman" w:cs="Times New Roman"/>
                      <w:color w:val="auto"/>
                      <w:spacing w:val="11"/>
                      <w:sz w:val="21"/>
                      <w:szCs w:val="21"/>
                    </w:rPr>
                    <w:t>）和《水泥窑协同处置固体废物污染控制标准》（</w:t>
                  </w:r>
                  <w:r>
                    <w:rPr>
                      <w:rFonts w:ascii="Times New Roman" w:hAnsi="Times New Roman" w:cs="Times New Roman"/>
                      <w:color w:val="auto"/>
                      <w:spacing w:val="11"/>
                      <w:sz w:val="21"/>
                      <w:szCs w:val="21"/>
                    </w:rPr>
                    <w:t>GB30485-2013</w:t>
                  </w:r>
                  <w:r>
                    <w:rPr>
                      <w:rFonts w:ascii="Times New Roman" w:hAnsi="Times New Roman" w:cs="Times New Roman"/>
                      <w:color w:val="auto"/>
                      <w:spacing w:val="11"/>
                      <w:sz w:val="21"/>
                      <w:szCs w:val="21"/>
                    </w:rPr>
                    <w:t>）。</w:t>
                  </w:r>
                </w:p>
              </w:tc>
              <w:tc>
                <w:tcPr>
                  <w:tcW w:w="757" w:type="dxa"/>
                  <w:tcBorders>
                    <w:top w:val="single" w:sz="2" w:space="0" w:color="000000"/>
                    <w:left w:val="single" w:sz="2" w:space="0" w:color="000000"/>
                    <w:bottom w:val="single" w:sz="12" w:space="0" w:color="000000"/>
                    <w:right w:val="nil"/>
                  </w:tcBorders>
                  <w:vAlign w:val="center"/>
                </w:tcPr>
                <w:p w14:paraId="23D7B83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649DB322" w14:textId="77777777">
              <w:trPr>
                <w:trHeight w:val="1363"/>
                <w:jc w:val="center"/>
              </w:trPr>
              <w:tc>
                <w:tcPr>
                  <w:tcW w:w="1290" w:type="dxa"/>
                  <w:vMerge/>
                  <w:tcBorders>
                    <w:top w:val="nil"/>
                    <w:left w:val="nil"/>
                    <w:bottom w:val="nil"/>
                    <w:right w:val="single" w:sz="2" w:space="0" w:color="000000"/>
                  </w:tcBorders>
                  <w:vAlign w:val="center"/>
                </w:tcPr>
                <w:p w14:paraId="26C69BE1"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2C56DC6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4.7</w:t>
                  </w:r>
                  <w:r>
                    <w:rPr>
                      <w:rFonts w:ascii="Times New Roman" w:hAnsi="Times New Roman" w:cs="Times New Roman"/>
                      <w:color w:val="auto"/>
                      <w:spacing w:val="28"/>
                      <w:sz w:val="21"/>
                      <w:szCs w:val="21"/>
                    </w:rPr>
                    <w:t xml:space="preserve"> </w:t>
                  </w:r>
                  <w:r>
                    <w:rPr>
                      <w:rFonts w:ascii="Times New Roman" w:hAnsi="Times New Roman" w:cs="Times New Roman"/>
                      <w:color w:val="auto"/>
                      <w:spacing w:val="10"/>
                      <w:sz w:val="21"/>
                      <w:szCs w:val="21"/>
                    </w:rPr>
                    <w:t>固体废物再生利用产物作为产品的，应符合</w:t>
                  </w:r>
                  <w:r>
                    <w:rPr>
                      <w:rFonts w:ascii="Times New Roman" w:hAnsi="Times New Roman" w:cs="Times New Roman"/>
                      <w:color w:val="auto"/>
                      <w:sz w:val="21"/>
                      <w:szCs w:val="21"/>
                    </w:rPr>
                    <w:t>GB</w:t>
                  </w:r>
                  <w:r>
                    <w:rPr>
                      <w:rFonts w:ascii="Times New Roman" w:hAnsi="Times New Roman" w:cs="Times New Roman"/>
                      <w:color w:val="auto"/>
                      <w:spacing w:val="10"/>
                      <w:sz w:val="21"/>
                      <w:szCs w:val="21"/>
                    </w:rPr>
                    <w:t>34330</w:t>
                  </w:r>
                  <w:r>
                    <w:rPr>
                      <w:rFonts w:ascii="Times New Roman" w:hAnsi="Times New Roman" w:cs="Times New Roman"/>
                      <w:color w:val="auto"/>
                      <w:spacing w:val="10"/>
                      <w:sz w:val="21"/>
                      <w:szCs w:val="21"/>
                    </w:rPr>
                    <w:t>中</w:t>
                  </w:r>
                  <w:r>
                    <w:rPr>
                      <w:rFonts w:ascii="Times New Roman" w:hAnsi="Times New Roman" w:cs="Times New Roman"/>
                      <w:color w:val="auto"/>
                      <w:spacing w:val="13"/>
                      <w:sz w:val="21"/>
                      <w:szCs w:val="21"/>
                    </w:rPr>
                    <w:t>要求的国家、地方制定或行业通行的产品质量标准，与国家相关污染控制标准或技术规范要求，包括该产物生产过程中排放到环境中的特征污染物含量标准和该产物中特征污染物</w:t>
                  </w:r>
                  <w:r>
                    <w:rPr>
                      <w:rFonts w:ascii="Times New Roman" w:hAnsi="Times New Roman" w:cs="Times New Roman"/>
                      <w:color w:val="auto"/>
                      <w:spacing w:val="6"/>
                      <w:sz w:val="21"/>
                      <w:szCs w:val="21"/>
                    </w:rPr>
                    <w:t>的含量标准。</w:t>
                  </w:r>
                </w:p>
              </w:tc>
              <w:tc>
                <w:tcPr>
                  <w:tcW w:w="5479" w:type="dxa"/>
                  <w:tcBorders>
                    <w:top w:val="single" w:sz="2" w:space="0" w:color="000000"/>
                    <w:left w:val="single" w:sz="2" w:space="0" w:color="000000"/>
                    <w:bottom w:val="single" w:sz="2" w:space="0" w:color="000000"/>
                    <w:right w:val="single" w:sz="2" w:space="0" w:color="000000"/>
                  </w:tcBorders>
                  <w:vAlign w:val="center"/>
                </w:tcPr>
                <w:p w14:paraId="1B5166A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本项目实施后水泥熟料产品满足</w:t>
                  </w:r>
                  <w:r>
                    <w:rPr>
                      <w:rFonts w:ascii="Times New Roman" w:hAnsi="Times New Roman" w:cs="Times New Roman"/>
                      <w:color w:val="auto"/>
                      <w:sz w:val="21"/>
                      <w:szCs w:val="21"/>
                    </w:rPr>
                    <w:t>GB</w:t>
                  </w:r>
                  <w:r>
                    <w:rPr>
                      <w:rFonts w:ascii="Times New Roman" w:hAnsi="Times New Roman" w:cs="Times New Roman"/>
                      <w:color w:val="auto"/>
                      <w:spacing w:val="12"/>
                      <w:sz w:val="21"/>
                      <w:szCs w:val="21"/>
                    </w:rPr>
                    <w:t>/T21372-</w:t>
                  </w:r>
                  <w:r>
                    <w:rPr>
                      <w:rFonts w:ascii="Times New Roman" w:hAnsi="Times New Roman" w:cs="Times New Roman"/>
                      <w:color w:val="auto"/>
                      <w:spacing w:val="9"/>
                      <w:sz w:val="21"/>
                      <w:szCs w:val="21"/>
                    </w:rPr>
                    <w:t>2008</w:t>
                  </w:r>
                  <w:r>
                    <w:rPr>
                      <w:rFonts w:ascii="Times New Roman" w:hAnsi="Times New Roman" w:cs="Times New Roman"/>
                      <w:color w:val="auto"/>
                      <w:spacing w:val="9"/>
                      <w:sz w:val="21"/>
                      <w:szCs w:val="21"/>
                    </w:rPr>
                    <w:t>要求</w:t>
                  </w:r>
                  <w:r>
                    <w:rPr>
                      <w:rFonts w:ascii="Times New Roman" w:hAnsi="Times New Roman" w:cs="Times New Roman"/>
                      <w:color w:val="auto"/>
                      <w:spacing w:val="7"/>
                      <w:sz w:val="21"/>
                      <w:szCs w:val="21"/>
                    </w:rPr>
                    <w:t>，</w:t>
                  </w:r>
                  <w:r>
                    <w:rPr>
                      <w:rFonts w:ascii="Times New Roman" w:hAnsi="Times New Roman" w:cs="Times New Roman"/>
                      <w:color w:val="auto"/>
                      <w:spacing w:val="9"/>
                      <w:sz w:val="21"/>
                      <w:szCs w:val="21"/>
                    </w:rPr>
                    <w:t>水泥熟料中重金属元素含量</w:t>
                  </w:r>
                  <w:r>
                    <w:rPr>
                      <w:rFonts w:ascii="Times New Roman" w:hAnsi="Times New Roman" w:cs="Times New Roman"/>
                      <w:color w:val="auto"/>
                      <w:spacing w:val="12"/>
                      <w:sz w:val="21"/>
                      <w:szCs w:val="21"/>
                    </w:rPr>
                    <w:t>以及水泥熟料中可浸出重金属含量值均满足《水泥窑协</w:t>
                  </w:r>
                  <w:r>
                    <w:rPr>
                      <w:rFonts w:ascii="Times New Roman" w:hAnsi="Times New Roman" w:cs="Times New Roman"/>
                      <w:color w:val="auto"/>
                      <w:spacing w:val="13"/>
                      <w:sz w:val="21"/>
                      <w:szCs w:val="21"/>
                    </w:rPr>
                    <w:t>同处置固体废物技术规范》（</w:t>
                  </w:r>
                  <w:r>
                    <w:rPr>
                      <w:rFonts w:ascii="Times New Roman" w:hAnsi="Times New Roman" w:cs="Times New Roman"/>
                      <w:color w:val="auto"/>
                      <w:sz w:val="21"/>
                      <w:szCs w:val="21"/>
                    </w:rPr>
                    <w:t>GB</w:t>
                  </w:r>
                  <w:r>
                    <w:rPr>
                      <w:rFonts w:ascii="Times New Roman" w:hAnsi="Times New Roman" w:cs="Times New Roman"/>
                      <w:color w:val="auto"/>
                      <w:spacing w:val="13"/>
                      <w:sz w:val="21"/>
                      <w:szCs w:val="21"/>
                    </w:rPr>
                    <w:t>30760-2024</w:t>
                  </w:r>
                  <w:r>
                    <w:rPr>
                      <w:rFonts w:ascii="Times New Roman" w:hAnsi="Times New Roman" w:cs="Times New Roman"/>
                      <w:color w:val="auto"/>
                      <w:spacing w:val="13"/>
                      <w:sz w:val="21"/>
                      <w:szCs w:val="21"/>
                    </w:rPr>
                    <w:t>）相应限</w:t>
                  </w:r>
                  <w:r>
                    <w:rPr>
                      <w:rFonts w:ascii="Times New Roman" w:hAnsi="Times New Roman" w:cs="Times New Roman"/>
                      <w:color w:val="auto"/>
                      <w:spacing w:val="7"/>
                      <w:sz w:val="21"/>
                      <w:szCs w:val="21"/>
                    </w:rPr>
                    <w:t>值要求。</w:t>
                  </w:r>
                </w:p>
              </w:tc>
              <w:tc>
                <w:tcPr>
                  <w:tcW w:w="757" w:type="dxa"/>
                  <w:tcBorders>
                    <w:top w:val="single" w:sz="2" w:space="0" w:color="000000"/>
                    <w:left w:val="single" w:sz="2" w:space="0" w:color="000000"/>
                    <w:bottom w:val="single" w:sz="2" w:space="0" w:color="000000"/>
                    <w:right w:val="nil"/>
                  </w:tcBorders>
                  <w:vAlign w:val="center"/>
                </w:tcPr>
                <w:p w14:paraId="1CDCFB3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494C9CD3" w14:textId="77777777">
              <w:trPr>
                <w:trHeight w:val="1091"/>
                <w:jc w:val="center"/>
              </w:trPr>
              <w:tc>
                <w:tcPr>
                  <w:tcW w:w="1290" w:type="dxa"/>
                  <w:vMerge w:val="restart"/>
                  <w:tcBorders>
                    <w:top w:val="nil"/>
                    <w:left w:val="nil"/>
                    <w:right w:val="single" w:sz="2" w:space="0" w:color="000000"/>
                  </w:tcBorders>
                  <w:vAlign w:val="center"/>
                </w:tcPr>
                <w:p w14:paraId="10EE16D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5.1</w:t>
                  </w:r>
                  <w:r>
                    <w:rPr>
                      <w:rFonts w:ascii="Times New Roman" w:hAnsi="Times New Roman" w:cs="Times New Roman"/>
                      <w:color w:val="auto"/>
                      <w:spacing w:val="8"/>
                      <w:sz w:val="21"/>
                      <w:szCs w:val="21"/>
                    </w:rPr>
                    <w:t xml:space="preserve"> </w:t>
                  </w:r>
                  <w:r>
                    <w:rPr>
                      <w:rFonts w:ascii="Times New Roman" w:hAnsi="Times New Roman" w:cs="Times New Roman"/>
                      <w:color w:val="auto"/>
                      <w:spacing w:val="1"/>
                      <w:sz w:val="21"/>
                      <w:szCs w:val="21"/>
                    </w:rPr>
                    <w:t>主要工</w:t>
                  </w:r>
                  <w:r>
                    <w:rPr>
                      <w:rFonts w:ascii="Times New Roman" w:hAnsi="Times New Roman" w:cs="Times New Roman"/>
                      <w:color w:val="auto"/>
                      <w:spacing w:val="10"/>
                      <w:sz w:val="21"/>
                      <w:szCs w:val="21"/>
                    </w:rPr>
                    <w:t>艺单元污染</w:t>
                  </w:r>
                  <w:r>
                    <w:rPr>
                      <w:rFonts w:ascii="Times New Roman" w:hAnsi="Times New Roman" w:cs="Times New Roman"/>
                      <w:color w:val="auto"/>
                      <w:spacing w:val="8"/>
                      <w:sz w:val="21"/>
                      <w:szCs w:val="21"/>
                    </w:rPr>
                    <w:t>防治技术要</w:t>
                  </w:r>
                  <w:r>
                    <w:rPr>
                      <w:rFonts w:ascii="Times New Roman" w:hAnsi="Times New Roman" w:cs="Times New Roman"/>
                      <w:color w:val="auto"/>
                      <w:sz w:val="21"/>
                      <w:szCs w:val="21"/>
                    </w:rPr>
                    <w:t>求</w:t>
                  </w:r>
                </w:p>
              </w:tc>
              <w:tc>
                <w:tcPr>
                  <w:tcW w:w="5227" w:type="dxa"/>
                  <w:tcBorders>
                    <w:top w:val="single" w:sz="2" w:space="0" w:color="000000"/>
                    <w:left w:val="single" w:sz="2" w:space="0" w:color="000000"/>
                    <w:bottom w:val="single" w:sz="2" w:space="0" w:color="000000"/>
                    <w:right w:val="single" w:sz="2" w:space="0" w:color="000000"/>
                  </w:tcBorders>
                  <w:vAlign w:val="center"/>
                </w:tcPr>
                <w:p w14:paraId="18EFEB4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 xml:space="preserve">5.1.1 </w:t>
                  </w:r>
                  <w:r>
                    <w:rPr>
                      <w:rFonts w:ascii="Times New Roman" w:hAnsi="Times New Roman" w:cs="Times New Roman"/>
                      <w:color w:val="auto"/>
                      <w:spacing w:val="10"/>
                      <w:sz w:val="21"/>
                      <w:szCs w:val="21"/>
                    </w:rPr>
                    <w:t>进行再生利用作业前，应明确固体废物的理化特性，并采取相应的安全防护措施，</w:t>
                  </w:r>
                  <w:r>
                    <w:rPr>
                      <w:rFonts w:ascii="Times New Roman" w:hAnsi="Times New Roman" w:cs="Times New Roman"/>
                      <w:color w:val="auto"/>
                      <w:spacing w:val="-45"/>
                      <w:sz w:val="21"/>
                      <w:szCs w:val="21"/>
                    </w:rPr>
                    <w:t xml:space="preserve"> </w:t>
                  </w:r>
                  <w:r>
                    <w:rPr>
                      <w:rFonts w:ascii="Times New Roman" w:hAnsi="Times New Roman" w:cs="Times New Roman"/>
                      <w:color w:val="auto"/>
                      <w:spacing w:val="10"/>
                      <w:sz w:val="21"/>
                      <w:szCs w:val="21"/>
                    </w:rPr>
                    <w:t>以防止固体废物在清洗、破碎、</w:t>
                  </w:r>
                  <w:r>
                    <w:rPr>
                      <w:rFonts w:ascii="Times New Roman" w:hAnsi="Times New Roman" w:cs="Times New Roman"/>
                      <w:color w:val="auto"/>
                      <w:spacing w:val="11"/>
                      <w:sz w:val="21"/>
                      <w:szCs w:val="21"/>
                    </w:rPr>
                    <w:t>中和反应等过程中引起有毒有害物质的释放。</w:t>
                  </w:r>
                </w:p>
              </w:tc>
              <w:tc>
                <w:tcPr>
                  <w:tcW w:w="5479" w:type="dxa"/>
                  <w:tcBorders>
                    <w:top w:val="single" w:sz="2" w:space="0" w:color="000000"/>
                    <w:left w:val="single" w:sz="2" w:space="0" w:color="000000"/>
                    <w:bottom w:val="single" w:sz="2" w:space="0" w:color="000000"/>
                    <w:right w:val="single" w:sz="2" w:space="0" w:color="000000"/>
                  </w:tcBorders>
                  <w:vAlign w:val="center"/>
                </w:tcPr>
                <w:p w14:paraId="47212E0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本项目不涉及固废的预处理</w:t>
                  </w:r>
                  <w:r>
                    <w:rPr>
                      <w:rFonts w:ascii="Times New Roman" w:hAnsi="Times New Roman" w:cs="Times New Roman"/>
                      <w:color w:val="auto"/>
                      <w:sz w:val="21"/>
                      <w:szCs w:val="21"/>
                    </w:rPr>
                    <w:t>。</w:t>
                  </w:r>
                </w:p>
              </w:tc>
              <w:tc>
                <w:tcPr>
                  <w:tcW w:w="757" w:type="dxa"/>
                  <w:tcBorders>
                    <w:top w:val="single" w:sz="2" w:space="0" w:color="000000"/>
                    <w:left w:val="single" w:sz="2" w:space="0" w:color="000000"/>
                    <w:bottom w:val="single" w:sz="2" w:space="0" w:color="000000"/>
                    <w:right w:val="nil"/>
                  </w:tcBorders>
                  <w:vAlign w:val="center"/>
                </w:tcPr>
                <w:p w14:paraId="5EF071D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392165DD" w14:textId="77777777">
              <w:trPr>
                <w:trHeight w:val="548"/>
                <w:jc w:val="center"/>
              </w:trPr>
              <w:tc>
                <w:tcPr>
                  <w:tcW w:w="1290" w:type="dxa"/>
                  <w:vMerge/>
                  <w:tcBorders>
                    <w:left w:val="nil"/>
                    <w:right w:val="single" w:sz="2" w:space="0" w:color="000000"/>
                  </w:tcBorders>
                  <w:vAlign w:val="center"/>
                </w:tcPr>
                <w:p w14:paraId="1B292252"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14166B3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5.1.2 </w:t>
                  </w:r>
                  <w:r>
                    <w:rPr>
                      <w:rFonts w:ascii="Times New Roman" w:hAnsi="Times New Roman" w:cs="Times New Roman"/>
                      <w:color w:val="auto"/>
                      <w:spacing w:val="11"/>
                      <w:sz w:val="21"/>
                      <w:szCs w:val="21"/>
                    </w:rPr>
                    <w:t>具有物理化学危险特性的固体废物，应首先进行</w:t>
                  </w:r>
                  <w:r>
                    <w:rPr>
                      <w:rFonts w:ascii="Times New Roman" w:hAnsi="Times New Roman" w:cs="Times New Roman"/>
                      <w:color w:val="auto"/>
                      <w:spacing w:val="10"/>
                      <w:sz w:val="21"/>
                      <w:szCs w:val="21"/>
                    </w:rPr>
                    <w:t>稳定化</w:t>
                  </w:r>
                  <w:r>
                    <w:rPr>
                      <w:rFonts w:ascii="Times New Roman" w:hAnsi="Times New Roman" w:cs="Times New Roman"/>
                      <w:color w:val="auto"/>
                      <w:spacing w:val="3"/>
                      <w:sz w:val="21"/>
                      <w:szCs w:val="21"/>
                    </w:rPr>
                    <w:t>处理。</w:t>
                  </w:r>
                </w:p>
              </w:tc>
              <w:tc>
                <w:tcPr>
                  <w:tcW w:w="5479" w:type="dxa"/>
                  <w:tcBorders>
                    <w:top w:val="single" w:sz="2" w:space="0" w:color="000000"/>
                    <w:left w:val="single" w:sz="2" w:space="0" w:color="000000"/>
                    <w:bottom w:val="single" w:sz="2" w:space="0" w:color="000000"/>
                    <w:right w:val="single" w:sz="2" w:space="0" w:color="000000"/>
                  </w:tcBorders>
                  <w:vAlign w:val="center"/>
                </w:tcPr>
                <w:p w14:paraId="3B1B3AF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本项目协同处置内容不涉及危险废物。</w:t>
                  </w:r>
                </w:p>
              </w:tc>
              <w:tc>
                <w:tcPr>
                  <w:tcW w:w="757" w:type="dxa"/>
                  <w:tcBorders>
                    <w:top w:val="single" w:sz="2" w:space="0" w:color="000000"/>
                    <w:left w:val="single" w:sz="2" w:space="0" w:color="000000"/>
                    <w:bottom w:val="single" w:sz="2" w:space="0" w:color="000000"/>
                    <w:right w:val="nil"/>
                  </w:tcBorders>
                  <w:vAlign w:val="center"/>
                </w:tcPr>
                <w:p w14:paraId="1EB24C2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4CE3CC69" w14:textId="77777777">
              <w:trPr>
                <w:trHeight w:val="819"/>
                <w:jc w:val="center"/>
              </w:trPr>
              <w:tc>
                <w:tcPr>
                  <w:tcW w:w="1290" w:type="dxa"/>
                  <w:vMerge/>
                  <w:tcBorders>
                    <w:left w:val="nil"/>
                    <w:right w:val="single" w:sz="2" w:space="0" w:color="000000"/>
                  </w:tcBorders>
                  <w:vAlign w:val="center"/>
                </w:tcPr>
                <w:p w14:paraId="514DB15E"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2C9A341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5.1.3 </w:t>
                  </w:r>
                  <w:r>
                    <w:rPr>
                      <w:rFonts w:ascii="Times New Roman" w:hAnsi="Times New Roman" w:cs="Times New Roman"/>
                      <w:color w:val="auto"/>
                      <w:spacing w:val="11"/>
                      <w:sz w:val="21"/>
                      <w:szCs w:val="21"/>
                    </w:rPr>
                    <w:t>应根据固体废物的特性设置必要的防扬撒、防渗漏、防</w:t>
                  </w:r>
                  <w:r>
                    <w:rPr>
                      <w:rFonts w:ascii="Times New Roman" w:hAnsi="Times New Roman" w:cs="Times New Roman"/>
                      <w:color w:val="auto"/>
                      <w:spacing w:val="13"/>
                      <w:sz w:val="21"/>
                      <w:szCs w:val="21"/>
                    </w:rPr>
                    <w:t>腐蚀设施，配备废气处理、废水处理、噪声控制等污染防治</w:t>
                  </w:r>
                  <w:r>
                    <w:rPr>
                      <w:rFonts w:ascii="Times New Roman" w:hAnsi="Times New Roman" w:cs="Times New Roman"/>
                      <w:color w:val="auto"/>
                      <w:spacing w:val="12"/>
                      <w:sz w:val="21"/>
                      <w:szCs w:val="21"/>
                    </w:rPr>
                    <w:t>设施，按要求对主要环境影响指标进行在线监测。</w:t>
                  </w:r>
                </w:p>
              </w:tc>
              <w:tc>
                <w:tcPr>
                  <w:tcW w:w="5479" w:type="dxa"/>
                  <w:tcBorders>
                    <w:top w:val="single" w:sz="2" w:space="0" w:color="000000"/>
                    <w:left w:val="single" w:sz="2" w:space="0" w:color="000000"/>
                    <w:bottom w:val="single" w:sz="2" w:space="0" w:color="000000"/>
                    <w:right w:val="single" w:sz="2" w:space="0" w:color="000000"/>
                  </w:tcBorders>
                  <w:vAlign w:val="center"/>
                </w:tcPr>
                <w:p w14:paraId="32CC76F9"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本项目依托现有废气处理设施，烟气设置有</w:t>
                  </w:r>
                  <w:r>
                    <w:rPr>
                      <w:rFonts w:ascii="Times New Roman" w:hAnsi="Times New Roman" w:cs="Times New Roman"/>
                      <w:color w:val="auto"/>
                      <w:spacing w:val="12"/>
                      <w:sz w:val="21"/>
                      <w:szCs w:val="21"/>
                    </w:rPr>
                    <w:t>二氧化硫、</w:t>
                  </w:r>
                  <w:r>
                    <w:rPr>
                      <w:rFonts w:ascii="Times New Roman" w:hAnsi="Times New Roman" w:cs="Times New Roman"/>
                      <w:color w:val="auto"/>
                      <w:spacing w:val="13"/>
                      <w:sz w:val="21"/>
                      <w:szCs w:val="21"/>
                    </w:rPr>
                    <w:t>氮氧化物、颗粒物等在线监测装置；本项目无生产废水</w:t>
                  </w:r>
                  <w:r>
                    <w:rPr>
                      <w:rFonts w:ascii="Times New Roman" w:hAnsi="Times New Roman" w:cs="Times New Roman"/>
                      <w:color w:val="auto"/>
                      <w:spacing w:val="9"/>
                      <w:sz w:val="21"/>
                      <w:szCs w:val="21"/>
                    </w:rPr>
                    <w:t>产生及排放。</w:t>
                  </w:r>
                </w:p>
              </w:tc>
              <w:tc>
                <w:tcPr>
                  <w:tcW w:w="757" w:type="dxa"/>
                  <w:tcBorders>
                    <w:top w:val="single" w:sz="2" w:space="0" w:color="000000"/>
                    <w:left w:val="single" w:sz="2" w:space="0" w:color="000000"/>
                    <w:bottom w:val="single" w:sz="2" w:space="0" w:color="000000"/>
                    <w:right w:val="nil"/>
                  </w:tcBorders>
                  <w:vAlign w:val="center"/>
                </w:tcPr>
                <w:p w14:paraId="68FCFF8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224C856A" w14:textId="77777777">
              <w:trPr>
                <w:trHeight w:val="1091"/>
                <w:jc w:val="center"/>
              </w:trPr>
              <w:tc>
                <w:tcPr>
                  <w:tcW w:w="1290" w:type="dxa"/>
                  <w:vMerge/>
                  <w:tcBorders>
                    <w:left w:val="nil"/>
                    <w:right w:val="single" w:sz="2" w:space="0" w:color="000000"/>
                  </w:tcBorders>
                  <w:vAlign w:val="center"/>
                </w:tcPr>
                <w:p w14:paraId="5A25C756"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765D1D5C"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5.1.4 </w:t>
                  </w:r>
                  <w:r>
                    <w:rPr>
                      <w:rFonts w:ascii="Times New Roman" w:hAnsi="Times New Roman" w:cs="Times New Roman"/>
                      <w:color w:val="auto"/>
                      <w:spacing w:val="11"/>
                      <w:sz w:val="21"/>
                      <w:szCs w:val="21"/>
                    </w:rPr>
                    <w:t>产生粉尘和有毒有害气体的作业区应采取除尘和</w:t>
                  </w:r>
                  <w:r>
                    <w:rPr>
                      <w:rFonts w:ascii="Times New Roman" w:hAnsi="Times New Roman" w:cs="Times New Roman"/>
                      <w:color w:val="auto"/>
                      <w:spacing w:val="10"/>
                      <w:sz w:val="21"/>
                      <w:szCs w:val="21"/>
                    </w:rPr>
                    <w:t>有毒有</w:t>
                  </w:r>
                  <w:r>
                    <w:rPr>
                      <w:rFonts w:ascii="Times New Roman" w:hAnsi="Times New Roman" w:cs="Times New Roman"/>
                      <w:color w:val="auto"/>
                      <w:spacing w:val="13"/>
                      <w:sz w:val="21"/>
                      <w:szCs w:val="21"/>
                    </w:rPr>
                    <w:t>害气体收集措施。扬尘点应设置吸尘罩和收尘设备，有毒有害气体逸散区应设置吸附（吸收）转化装置，保证作业区粉</w:t>
                  </w:r>
                  <w:r>
                    <w:rPr>
                      <w:rFonts w:ascii="Times New Roman" w:hAnsi="Times New Roman" w:cs="Times New Roman"/>
                      <w:color w:val="auto"/>
                      <w:spacing w:val="8"/>
                      <w:sz w:val="21"/>
                      <w:szCs w:val="21"/>
                    </w:rPr>
                    <w:t>尘、有害气体浓度满足</w:t>
                  </w:r>
                  <w:r>
                    <w:rPr>
                      <w:rFonts w:ascii="Times New Roman" w:hAnsi="Times New Roman" w:cs="Times New Roman"/>
                      <w:color w:val="auto"/>
                      <w:sz w:val="21"/>
                      <w:szCs w:val="21"/>
                    </w:rPr>
                    <w:t>GBZ</w:t>
                  </w:r>
                  <w:r>
                    <w:rPr>
                      <w:rFonts w:ascii="Times New Roman" w:hAnsi="Times New Roman" w:cs="Times New Roman"/>
                      <w:color w:val="auto"/>
                      <w:spacing w:val="8"/>
                      <w:sz w:val="21"/>
                      <w:szCs w:val="21"/>
                    </w:rPr>
                    <w:t>2.1</w:t>
                  </w:r>
                  <w:r>
                    <w:rPr>
                      <w:rFonts w:ascii="Times New Roman" w:hAnsi="Times New Roman" w:cs="Times New Roman"/>
                      <w:color w:val="auto"/>
                      <w:spacing w:val="8"/>
                      <w:sz w:val="21"/>
                      <w:szCs w:val="21"/>
                    </w:rPr>
                    <w:t>的要求。</w:t>
                  </w:r>
                </w:p>
              </w:tc>
              <w:tc>
                <w:tcPr>
                  <w:tcW w:w="5479" w:type="dxa"/>
                  <w:tcBorders>
                    <w:top w:val="single" w:sz="2" w:space="0" w:color="000000"/>
                    <w:left w:val="single" w:sz="2" w:space="0" w:color="000000"/>
                    <w:bottom w:val="single" w:sz="2" w:space="0" w:color="000000"/>
                    <w:right w:val="single" w:sz="2" w:space="0" w:color="000000"/>
                  </w:tcBorders>
                  <w:vAlign w:val="center"/>
                </w:tcPr>
                <w:p w14:paraId="6D3C3A9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本项目废气全部得到有效收集、均能实现稳定达标排放。</w:t>
                  </w:r>
                </w:p>
              </w:tc>
              <w:tc>
                <w:tcPr>
                  <w:tcW w:w="757" w:type="dxa"/>
                  <w:tcBorders>
                    <w:top w:val="single" w:sz="2" w:space="0" w:color="000000"/>
                    <w:left w:val="single" w:sz="2" w:space="0" w:color="000000"/>
                    <w:bottom w:val="single" w:sz="2" w:space="0" w:color="000000"/>
                    <w:right w:val="nil"/>
                  </w:tcBorders>
                  <w:vAlign w:val="center"/>
                </w:tcPr>
                <w:p w14:paraId="3A9FDF7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6B90AD51" w14:textId="77777777">
              <w:trPr>
                <w:trHeight w:val="1092"/>
                <w:jc w:val="center"/>
              </w:trPr>
              <w:tc>
                <w:tcPr>
                  <w:tcW w:w="1290" w:type="dxa"/>
                  <w:vMerge/>
                  <w:tcBorders>
                    <w:left w:val="nil"/>
                    <w:right w:val="single" w:sz="2" w:space="0" w:color="000000"/>
                  </w:tcBorders>
                  <w:vAlign w:val="center"/>
                </w:tcPr>
                <w:p w14:paraId="6CA6FB49"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5D03202C"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5.1.5 </w:t>
                  </w:r>
                  <w:r>
                    <w:rPr>
                      <w:rFonts w:ascii="Times New Roman" w:hAnsi="Times New Roman" w:cs="Times New Roman"/>
                      <w:color w:val="auto"/>
                      <w:spacing w:val="11"/>
                      <w:sz w:val="21"/>
                      <w:szCs w:val="21"/>
                    </w:rPr>
                    <w:t>应采取大气污染控制措施，大气污染物排放应满</w:t>
                  </w:r>
                  <w:r>
                    <w:rPr>
                      <w:rFonts w:ascii="Times New Roman" w:hAnsi="Times New Roman" w:cs="Times New Roman"/>
                      <w:color w:val="auto"/>
                      <w:spacing w:val="10"/>
                      <w:sz w:val="21"/>
                      <w:szCs w:val="21"/>
                    </w:rPr>
                    <w:t>足特定</w:t>
                  </w:r>
                  <w:r>
                    <w:rPr>
                      <w:rFonts w:ascii="Times New Roman" w:hAnsi="Times New Roman" w:cs="Times New Roman"/>
                      <w:color w:val="auto"/>
                      <w:spacing w:val="16"/>
                      <w:sz w:val="21"/>
                      <w:szCs w:val="21"/>
                    </w:rPr>
                    <w:t>行业排放（控制）标准的要求。没有特定行业污染排放（控</w:t>
                  </w:r>
                  <w:r>
                    <w:rPr>
                      <w:rFonts w:ascii="Times New Roman" w:hAnsi="Times New Roman" w:cs="Times New Roman"/>
                      <w:color w:val="auto"/>
                      <w:spacing w:val="10"/>
                      <w:sz w:val="21"/>
                      <w:szCs w:val="21"/>
                    </w:rPr>
                    <w:t>制）标准的，应满足</w:t>
                  </w:r>
                  <w:r>
                    <w:rPr>
                      <w:rFonts w:ascii="Times New Roman" w:hAnsi="Times New Roman" w:cs="Times New Roman"/>
                      <w:color w:val="auto"/>
                      <w:sz w:val="21"/>
                      <w:szCs w:val="21"/>
                    </w:rPr>
                    <w:t>GB</w:t>
                  </w:r>
                  <w:r>
                    <w:rPr>
                      <w:rFonts w:ascii="Times New Roman" w:hAnsi="Times New Roman" w:cs="Times New Roman"/>
                      <w:color w:val="auto"/>
                      <w:spacing w:val="10"/>
                      <w:sz w:val="21"/>
                      <w:szCs w:val="21"/>
                    </w:rPr>
                    <w:t>16297</w:t>
                  </w:r>
                  <w:r>
                    <w:rPr>
                      <w:rFonts w:ascii="Times New Roman" w:hAnsi="Times New Roman" w:cs="Times New Roman"/>
                      <w:color w:val="auto"/>
                      <w:spacing w:val="10"/>
                      <w:sz w:val="21"/>
                      <w:szCs w:val="21"/>
                    </w:rPr>
                    <w:t>的要求，特征污染物排放（控</w:t>
                  </w:r>
                  <w:r>
                    <w:rPr>
                      <w:rFonts w:ascii="Times New Roman" w:hAnsi="Times New Roman" w:cs="Times New Roman"/>
                      <w:color w:val="auto"/>
                      <w:spacing w:val="11"/>
                      <w:sz w:val="21"/>
                      <w:szCs w:val="21"/>
                    </w:rPr>
                    <w:t>制）应满足环境影响评价要求。</w:t>
                  </w:r>
                </w:p>
              </w:tc>
              <w:tc>
                <w:tcPr>
                  <w:tcW w:w="5479" w:type="dxa"/>
                  <w:tcBorders>
                    <w:top w:val="single" w:sz="2" w:space="0" w:color="000000"/>
                    <w:left w:val="single" w:sz="2" w:space="0" w:color="000000"/>
                    <w:bottom w:val="single" w:sz="2" w:space="0" w:color="000000"/>
                    <w:right w:val="single" w:sz="2" w:space="0" w:color="000000"/>
                  </w:tcBorders>
                  <w:vAlign w:val="center"/>
                </w:tcPr>
                <w:p w14:paraId="5BF60D2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本项目窑尾废气执行《水泥工业大气污染物排</w:t>
                  </w:r>
                  <w:r>
                    <w:rPr>
                      <w:rFonts w:ascii="Times New Roman" w:hAnsi="Times New Roman" w:cs="Times New Roman"/>
                      <w:color w:val="auto"/>
                      <w:spacing w:val="12"/>
                      <w:sz w:val="21"/>
                      <w:szCs w:val="21"/>
                    </w:rPr>
                    <w:t>放标准》</w:t>
                  </w:r>
                  <w:r>
                    <w:rPr>
                      <w:rFonts w:ascii="Times New Roman" w:hAnsi="Times New Roman" w:cs="Times New Roman"/>
                      <w:color w:val="auto"/>
                      <w:spacing w:val="11"/>
                      <w:sz w:val="21"/>
                      <w:szCs w:val="21"/>
                    </w:rPr>
                    <w:t>（</w:t>
                  </w:r>
                  <w:r>
                    <w:rPr>
                      <w:rFonts w:ascii="Times New Roman" w:hAnsi="Times New Roman" w:cs="Times New Roman"/>
                      <w:color w:val="auto"/>
                      <w:sz w:val="21"/>
                      <w:szCs w:val="21"/>
                    </w:rPr>
                    <w:t>DB</w:t>
                  </w:r>
                  <w:r>
                    <w:rPr>
                      <w:rFonts w:ascii="Times New Roman" w:hAnsi="Times New Roman" w:cs="Times New Roman"/>
                      <w:color w:val="auto"/>
                      <w:spacing w:val="11"/>
                      <w:sz w:val="21"/>
                      <w:szCs w:val="21"/>
                    </w:rPr>
                    <w:t>32/4149-2021</w:t>
                  </w:r>
                  <w:r>
                    <w:rPr>
                      <w:rFonts w:ascii="Times New Roman" w:hAnsi="Times New Roman" w:cs="Times New Roman"/>
                      <w:color w:val="auto"/>
                      <w:spacing w:val="11"/>
                      <w:sz w:val="21"/>
                      <w:szCs w:val="21"/>
                    </w:rPr>
                    <w:t>）和《水泥工业大气污染物排放标</w:t>
                  </w:r>
                  <w:r>
                    <w:rPr>
                      <w:rFonts w:ascii="Times New Roman" w:hAnsi="Times New Roman" w:cs="Times New Roman"/>
                      <w:color w:val="auto"/>
                      <w:spacing w:val="8"/>
                      <w:sz w:val="21"/>
                      <w:szCs w:val="21"/>
                    </w:rPr>
                    <w:t>准》（</w:t>
                  </w:r>
                  <w:r>
                    <w:rPr>
                      <w:rFonts w:ascii="Times New Roman" w:hAnsi="Times New Roman" w:cs="Times New Roman"/>
                      <w:color w:val="auto"/>
                      <w:sz w:val="21"/>
                      <w:szCs w:val="21"/>
                    </w:rPr>
                    <w:t>GB</w:t>
                  </w:r>
                  <w:r>
                    <w:rPr>
                      <w:rFonts w:ascii="Times New Roman" w:hAnsi="Times New Roman" w:cs="Times New Roman"/>
                      <w:color w:val="auto"/>
                      <w:spacing w:val="8"/>
                      <w:sz w:val="21"/>
                      <w:szCs w:val="21"/>
                    </w:rPr>
                    <w:t>4915-2013</w:t>
                  </w:r>
                  <w:r>
                    <w:rPr>
                      <w:rFonts w:ascii="Times New Roman" w:hAnsi="Times New Roman" w:cs="Times New Roman"/>
                      <w:color w:val="auto"/>
                      <w:spacing w:val="8"/>
                      <w:sz w:val="21"/>
                      <w:szCs w:val="21"/>
                    </w:rPr>
                    <w:t>）。</w:t>
                  </w:r>
                </w:p>
              </w:tc>
              <w:tc>
                <w:tcPr>
                  <w:tcW w:w="757" w:type="dxa"/>
                  <w:tcBorders>
                    <w:top w:val="single" w:sz="2" w:space="0" w:color="000000"/>
                    <w:left w:val="single" w:sz="2" w:space="0" w:color="000000"/>
                    <w:bottom w:val="single" w:sz="2" w:space="0" w:color="000000"/>
                    <w:right w:val="nil"/>
                  </w:tcBorders>
                  <w:vAlign w:val="center"/>
                </w:tcPr>
                <w:p w14:paraId="09646559"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61EC7FE3" w14:textId="77777777">
              <w:trPr>
                <w:trHeight w:val="1091"/>
                <w:jc w:val="center"/>
              </w:trPr>
              <w:tc>
                <w:tcPr>
                  <w:tcW w:w="1290" w:type="dxa"/>
                  <w:vMerge/>
                  <w:tcBorders>
                    <w:left w:val="nil"/>
                    <w:right w:val="single" w:sz="2" w:space="0" w:color="000000"/>
                  </w:tcBorders>
                  <w:vAlign w:val="center"/>
                </w:tcPr>
                <w:p w14:paraId="28560027"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0650983C"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5.1.6 </w:t>
                  </w:r>
                  <w:r>
                    <w:rPr>
                      <w:rFonts w:ascii="Times New Roman" w:hAnsi="Times New Roman" w:cs="Times New Roman"/>
                      <w:color w:val="auto"/>
                      <w:spacing w:val="11"/>
                      <w:sz w:val="21"/>
                      <w:szCs w:val="21"/>
                    </w:rPr>
                    <w:t>应采取必要的措施防止恶臭物质扩散，周界恶臭</w:t>
                  </w:r>
                  <w:r>
                    <w:rPr>
                      <w:rFonts w:ascii="Times New Roman" w:hAnsi="Times New Roman" w:cs="Times New Roman"/>
                      <w:color w:val="auto"/>
                      <w:spacing w:val="10"/>
                      <w:sz w:val="21"/>
                      <w:szCs w:val="21"/>
                    </w:rPr>
                    <w:t>污染物</w:t>
                  </w:r>
                  <w:r>
                    <w:rPr>
                      <w:rFonts w:ascii="Times New Roman" w:hAnsi="Times New Roman" w:cs="Times New Roman"/>
                      <w:color w:val="auto"/>
                      <w:spacing w:val="6"/>
                      <w:sz w:val="21"/>
                      <w:szCs w:val="21"/>
                    </w:rPr>
                    <w:t>浓度应符合</w:t>
                  </w:r>
                  <w:r>
                    <w:rPr>
                      <w:rFonts w:ascii="Times New Roman" w:hAnsi="Times New Roman" w:cs="Times New Roman"/>
                      <w:color w:val="auto"/>
                      <w:sz w:val="21"/>
                      <w:szCs w:val="21"/>
                    </w:rPr>
                    <w:t>GB</w:t>
                  </w:r>
                  <w:r>
                    <w:rPr>
                      <w:rFonts w:ascii="Times New Roman" w:hAnsi="Times New Roman" w:cs="Times New Roman"/>
                      <w:color w:val="auto"/>
                      <w:spacing w:val="6"/>
                      <w:sz w:val="21"/>
                      <w:szCs w:val="21"/>
                    </w:rPr>
                    <w:t>14554</w:t>
                  </w:r>
                  <w:r>
                    <w:rPr>
                      <w:rFonts w:ascii="Times New Roman" w:hAnsi="Times New Roman" w:cs="Times New Roman"/>
                      <w:color w:val="auto"/>
                      <w:spacing w:val="6"/>
                      <w:sz w:val="21"/>
                      <w:szCs w:val="21"/>
                    </w:rPr>
                    <w:t>的要求。</w:t>
                  </w:r>
                </w:p>
              </w:tc>
              <w:tc>
                <w:tcPr>
                  <w:tcW w:w="5479" w:type="dxa"/>
                  <w:tcBorders>
                    <w:top w:val="single" w:sz="2" w:space="0" w:color="000000"/>
                    <w:left w:val="single" w:sz="2" w:space="0" w:color="000000"/>
                    <w:bottom w:val="single" w:sz="2" w:space="0" w:color="000000"/>
                    <w:right w:val="single" w:sz="2" w:space="0" w:color="000000"/>
                  </w:tcBorders>
                  <w:vAlign w:val="center"/>
                </w:tcPr>
                <w:p w14:paraId="5CECF4E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w:t>
                  </w:r>
                  <w:r>
                    <w:rPr>
                      <w:rFonts w:ascii="Times New Roman" w:hAnsi="Times New Roman" w:cs="Times New Roman"/>
                      <w:color w:val="auto"/>
                      <w:spacing w:val="11"/>
                      <w:sz w:val="21"/>
                      <w:szCs w:val="21"/>
                    </w:rPr>
                    <w:t>贮存车间</w:t>
                  </w:r>
                  <w:r>
                    <w:rPr>
                      <w:rFonts w:ascii="Times New Roman" w:hAnsi="Times New Roman" w:cs="Times New Roman"/>
                      <w:color w:val="auto"/>
                      <w:spacing w:val="13"/>
                      <w:sz w:val="21"/>
                      <w:szCs w:val="21"/>
                    </w:rPr>
                    <w:t>整体封闭，设置负压抽风装置收集处理达标</w:t>
                  </w:r>
                  <w:r>
                    <w:rPr>
                      <w:rFonts w:ascii="Times New Roman" w:hAnsi="Times New Roman" w:cs="Times New Roman"/>
                      <w:color w:val="auto"/>
                      <w:spacing w:val="6"/>
                      <w:sz w:val="21"/>
                      <w:szCs w:val="21"/>
                    </w:rPr>
                    <w:t>后排放，</w:t>
                  </w:r>
                  <w:r>
                    <w:rPr>
                      <w:rFonts w:ascii="Times New Roman" w:hAnsi="Times New Roman" w:cs="Times New Roman"/>
                      <w:color w:val="auto"/>
                      <w:spacing w:val="11"/>
                      <w:sz w:val="21"/>
                      <w:szCs w:val="21"/>
                    </w:rPr>
                    <w:t>周界恶臭</w:t>
                  </w:r>
                  <w:r>
                    <w:rPr>
                      <w:rFonts w:ascii="Times New Roman" w:hAnsi="Times New Roman" w:cs="Times New Roman"/>
                      <w:color w:val="auto"/>
                      <w:spacing w:val="10"/>
                      <w:sz w:val="21"/>
                      <w:szCs w:val="21"/>
                    </w:rPr>
                    <w:t>污染物</w:t>
                  </w:r>
                  <w:r>
                    <w:rPr>
                      <w:rFonts w:ascii="Times New Roman" w:hAnsi="Times New Roman" w:cs="Times New Roman"/>
                      <w:color w:val="auto"/>
                      <w:spacing w:val="6"/>
                      <w:sz w:val="21"/>
                      <w:szCs w:val="21"/>
                    </w:rPr>
                    <w:t>浓度符合</w:t>
                  </w:r>
                  <w:r>
                    <w:rPr>
                      <w:rFonts w:ascii="Times New Roman" w:hAnsi="Times New Roman" w:cs="Times New Roman"/>
                      <w:color w:val="auto"/>
                      <w:sz w:val="21"/>
                      <w:szCs w:val="21"/>
                    </w:rPr>
                    <w:t>GB</w:t>
                  </w:r>
                  <w:r>
                    <w:rPr>
                      <w:rFonts w:ascii="Times New Roman" w:hAnsi="Times New Roman" w:cs="Times New Roman"/>
                      <w:color w:val="auto"/>
                      <w:spacing w:val="6"/>
                      <w:sz w:val="21"/>
                      <w:szCs w:val="21"/>
                    </w:rPr>
                    <w:t>14554</w:t>
                  </w:r>
                  <w:r>
                    <w:rPr>
                      <w:rFonts w:ascii="Times New Roman" w:hAnsi="Times New Roman" w:cs="Times New Roman"/>
                      <w:color w:val="auto"/>
                      <w:spacing w:val="6"/>
                      <w:sz w:val="21"/>
                      <w:szCs w:val="21"/>
                    </w:rPr>
                    <w:t>的要求。</w:t>
                  </w:r>
                </w:p>
              </w:tc>
              <w:tc>
                <w:tcPr>
                  <w:tcW w:w="757" w:type="dxa"/>
                  <w:tcBorders>
                    <w:top w:val="single" w:sz="2" w:space="0" w:color="000000"/>
                    <w:left w:val="single" w:sz="2" w:space="0" w:color="000000"/>
                    <w:bottom w:val="single" w:sz="2" w:space="0" w:color="000000"/>
                    <w:right w:val="nil"/>
                  </w:tcBorders>
                  <w:vAlign w:val="center"/>
                </w:tcPr>
                <w:p w14:paraId="097B800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60D99D3A" w14:textId="77777777">
              <w:trPr>
                <w:trHeight w:val="841"/>
                <w:jc w:val="center"/>
              </w:trPr>
              <w:tc>
                <w:tcPr>
                  <w:tcW w:w="1290" w:type="dxa"/>
                  <w:vMerge/>
                  <w:tcBorders>
                    <w:left w:val="nil"/>
                    <w:right w:val="single" w:sz="2" w:space="0" w:color="000000"/>
                  </w:tcBorders>
                  <w:vAlign w:val="center"/>
                </w:tcPr>
                <w:p w14:paraId="48F30965" w14:textId="77777777" w:rsidR="00F76A63" w:rsidRDefault="00F76A63">
                  <w:pPr>
                    <w:jc w:val="center"/>
                    <w:rPr>
                      <w:szCs w:val="21"/>
                    </w:rPr>
                  </w:pPr>
                </w:p>
              </w:tc>
              <w:tc>
                <w:tcPr>
                  <w:tcW w:w="5227" w:type="dxa"/>
                  <w:tcBorders>
                    <w:top w:val="single" w:sz="2" w:space="0" w:color="000000"/>
                    <w:left w:val="single" w:sz="2" w:space="0" w:color="000000"/>
                    <w:bottom w:val="single" w:sz="12" w:space="0" w:color="000000"/>
                    <w:right w:val="single" w:sz="2" w:space="0" w:color="000000"/>
                  </w:tcBorders>
                  <w:vAlign w:val="center"/>
                </w:tcPr>
                <w:p w14:paraId="2EBC510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5.1.7 </w:t>
                  </w:r>
                  <w:r>
                    <w:rPr>
                      <w:rFonts w:ascii="Times New Roman" w:hAnsi="Times New Roman" w:cs="Times New Roman"/>
                      <w:color w:val="auto"/>
                      <w:spacing w:val="11"/>
                      <w:sz w:val="21"/>
                      <w:szCs w:val="21"/>
                    </w:rPr>
                    <w:t>产生的冷凝液、浓缩液、渗滤液等废液应进行有</w:t>
                  </w:r>
                  <w:r>
                    <w:rPr>
                      <w:rFonts w:ascii="Times New Roman" w:hAnsi="Times New Roman" w:cs="Times New Roman"/>
                      <w:color w:val="auto"/>
                      <w:spacing w:val="10"/>
                      <w:sz w:val="21"/>
                      <w:szCs w:val="21"/>
                    </w:rPr>
                    <w:t>效收集</w:t>
                  </w:r>
                  <w:r>
                    <w:rPr>
                      <w:rFonts w:ascii="Times New Roman" w:hAnsi="Times New Roman" w:cs="Times New Roman"/>
                      <w:color w:val="auto"/>
                      <w:spacing w:val="13"/>
                      <w:sz w:val="21"/>
                      <w:szCs w:val="21"/>
                    </w:rPr>
                    <w:t>后集中处理。处理后产生的废水应优先考虑循环利用；排放时应满足特定行业排放（控制）标准的要求；没有特定行业污染排放（控制）标准的，应满足</w:t>
                  </w:r>
                  <w:r>
                    <w:rPr>
                      <w:rFonts w:ascii="Times New Roman" w:hAnsi="Times New Roman" w:cs="Times New Roman"/>
                      <w:color w:val="auto"/>
                      <w:spacing w:val="13"/>
                      <w:sz w:val="21"/>
                      <w:szCs w:val="21"/>
                    </w:rPr>
                    <w:t>GB8978</w:t>
                  </w:r>
                  <w:r>
                    <w:rPr>
                      <w:rFonts w:ascii="Times New Roman" w:hAnsi="Times New Roman" w:cs="Times New Roman"/>
                      <w:color w:val="auto"/>
                      <w:spacing w:val="13"/>
                      <w:sz w:val="21"/>
                      <w:szCs w:val="21"/>
                    </w:rPr>
                    <w:t>的要求，特征污染物排放（控制）应满足环境影响评价要求。</w:t>
                  </w:r>
                </w:p>
              </w:tc>
              <w:tc>
                <w:tcPr>
                  <w:tcW w:w="5479" w:type="dxa"/>
                  <w:tcBorders>
                    <w:top w:val="single" w:sz="2" w:space="0" w:color="000000"/>
                    <w:left w:val="single" w:sz="2" w:space="0" w:color="000000"/>
                    <w:bottom w:val="single" w:sz="12" w:space="0" w:color="000000"/>
                    <w:right w:val="single" w:sz="2" w:space="0" w:color="000000"/>
                  </w:tcBorders>
                  <w:vAlign w:val="center"/>
                </w:tcPr>
                <w:p w14:paraId="097DD550"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本项目无冷凝液、浓缩液产生；无生产废水</w:t>
                  </w:r>
                  <w:r>
                    <w:rPr>
                      <w:rFonts w:ascii="Times New Roman" w:hAnsi="Times New Roman" w:cs="Times New Roman"/>
                      <w:color w:val="auto"/>
                      <w:spacing w:val="7"/>
                      <w:sz w:val="21"/>
                      <w:szCs w:val="21"/>
                    </w:rPr>
                    <w:t>排放</w:t>
                  </w:r>
                  <w:r>
                    <w:rPr>
                      <w:rFonts w:ascii="Times New Roman" w:hAnsi="Times New Roman" w:cs="Times New Roman" w:hint="eastAsia"/>
                      <w:color w:val="auto"/>
                      <w:spacing w:val="7"/>
                      <w:sz w:val="21"/>
                      <w:szCs w:val="21"/>
                    </w:rPr>
                    <w:t>；本项目产生的废水为污泥堆放产生的渗滤液，经集水沟统一收集至原水池和生产废水一起经中水处理系统处理后回用</w:t>
                  </w:r>
                  <w:r>
                    <w:rPr>
                      <w:rFonts w:ascii="Times New Roman" w:hAnsi="Times New Roman" w:cs="Times New Roman"/>
                      <w:color w:val="auto"/>
                      <w:spacing w:val="7"/>
                      <w:sz w:val="21"/>
                      <w:szCs w:val="21"/>
                    </w:rPr>
                    <w:t>。</w:t>
                  </w:r>
                </w:p>
              </w:tc>
              <w:tc>
                <w:tcPr>
                  <w:tcW w:w="757" w:type="dxa"/>
                  <w:tcBorders>
                    <w:top w:val="single" w:sz="2" w:space="0" w:color="000000"/>
                    <w:left w:val="single" w:sz="2" w:space="0" w:color="000000"/>
                    <w:bottom w:val="single" w:sz="12" w:space="0" w:color="000000"/>
                    <w:right w:val="nil"/>
                  </w:tcBorders>
                  <w:vAlign w:val="center"/>
                </w:tcPr>
                <w:p w14:paraId="3B6D080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1D208B1C" w14:textId="77777777">
              <w:trPr>
                <w:trHeight w:val="816"/>
                <w:jc w:val="center"/>
              </w:trPr>
              <w:tc>
                <w:tcPr>
                  <w:tcW w:w="1290" w:type="dxa"/>
                  <w:vMerge/>
                  <w:tcBorders>
                    <w:left w:val="nil"/>
                    <w:right w:val="single" w:sz="2" w:space="0" w:color="000000"/>
                  </w:tcBorders>
                  <w:vAlign w:val="center"/>
                </w:tcPr>
                <w:p w14:paraId="1771AC1D" w14:textId="77777777" w:rsidR="00F76A63" w:rsidRDefault="00F76A63">
                  <w:pPr>
                    <w:jc w:val="center"/>
                    <w:rPr>
                      <w:szCs w:val="21"/>
                    </w:rPr>
                  </w:pPr>
                </w:p>
              </w:tc>
              <w:tc>
                <w:tcPr>
                  <w:tcW w:w="5227" w:type="dxa"/>
                  <w:tcBorders>
                    <w:top w:val="single" w:sz="2" w:space="0" w:color="000000"/>
                    <w:left w:val="single" w:sz="2" w:space="0" w:color="000000"/>
                    <w:bottom w:val="single" w:sz="2" w:space="0" w:color="000000"/>
                    <w:right w:val="single" w:sz="2" w:space="0" w:color="000000"/>
                  </w:tcBorders>
                  <w:vAlign w:val="center"/>
                </w:tcPr>
                <w:p w14:paraId="7EE4998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 xml:space="preserve">5.1.8 </w:t>
                  </w:r>
                  <w:r>
                    <w:rPr>
                      <w:rFonts w:ascii="Times New Roman" w:hAnsi="Times New Roman" w:cs="Times New Roman"/>
                      <w:color w:val="auto"/>
                      <w:spacing w:val="10"/>
                      <w:sz w:val="21"/>
                      <w:szCs w:val="21"/>
                    </w:rPr>
                    <w:t>应防止噪声污染。设备运转时厂界噪声应符合</w:t>
                  </w:r>
                  <w:r>
                    <w:rPr>
                      <w:rFonts w:ascii="Times New Roman" w:hAnsi="Times New Roman" w:cs="Times New Roman"/>
                      <w:color w:val="auto"/>
                      <w:sz w:val="21"/>
                      <w:szCs w:val="21"/>
                    </w:rPr>
                    <w:t>GB</w:t>
                  </w:r>
                  <w:r>
                    <w:rPr>
                      <w:rFonts w:ascii="Times New Roman" w:hAnsi="Times New Roman" w:cs="Times New Roman"/>
                      <w:color w:val="auto"/>
                      <w:spacing w:val="10"/>
                      <w:sz w:val="21"/>
                      <w:szCs w:val="21"/>
                    </w:rPr>
                    <w:t>12348</w:t>
                  </w:r>
                  <w:r>
                    <w:rPr>
                      <w:rFonts w:ascii="Times New Roman" w:hAnsi="Times New Roman" w:cs="Times New Roman"/>
                      <w:color w:val="auto"/>
                      <w:spacing w:val="9"/>
                      <w:sz w:val="21"/>
                      <w:szCs w:val="21"/>
                    </w:rPr>
                    <w:t>的要求，作业车间噪声应符合</w:t>
                  </w:r>
                  <w:r>
                    <w:rPr>
                      <w:rFonts w:ascii="Times New Roman" w:hAnsi="Times New Roman" w:cs="Times New Roman"/>
                      <w:color w:val="auto"/>
                      <w:sz w:val="21"/>
                      <w:szCs w:val="21"/>
                    </w:rPr>
                    <w:t>GBZ</w:t>
                  </w:r>
                  <w:r>
                    <w:rPr>
                      <w:rFonts w:ascii="Times New Roman" w:hAnsi="Times New Roman" w:cs="Times New Roman"/>
                      <w:color w:val="auto"/>
                      <w:spacing w:val="9"/>
                      <w:sz w:val="21"/>
                      <w:szCs w:val="21"/>
                    </w:rPr>
                    <w:t>2.2</w:t>
                  </w:r>
                  <w:r>
                    <w:rPr>
                      <w:rFonts w:ascii="Times New Roman" w:hAnsi="Times New Roman" w:cs="Times New Roman"/>
                      <w:color w:val="auto"/>
                      <w:spacing w:val="9"/>
                      <w:sz w:val="21"/>
                      <w:szCs w:val="21"/>
                    </w:rPr>
                    <w:t>的要求。</w:t>
                  </w:r>
                </w:p>
              </w:tc>
              <w:tc>
                <w:tcPr>
                  <w:tcW w:w="5479" w:type="dxa"/>
                  <w:tcBorders>
                    <w:top w:val="single" w:sz="2" w:space="0" w:color="000000"/>
                    <w:left w:val="single" w:sz="2" w:space="0" w:color="000000"/>
                    <w:bottom w:val="single" w:sz="2" w:space="0" w:color="000000"/>
                    <w:right w:val="single" w:sz="2" w:space="0" w:color="000000"/>
                  </w:tcBorders>
                  <w:vAlign w:val="center"/>
                </w:tcPr>
                <w:p w14:paraId="22E34E80"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本项目不新增噪声源，现有设备噪声经墙体隔音和距离衰减后，厂界噪声值能够</w:t>
                  </w:r>
                  <w:r>
                    <w:rPr>
                      <w:rFonts w:ascii="Times New Roman" w:hAnsi="Times New Roman" w:cs="Times New Roman"/>
                      <w:color w:val="auto"/>
                      <w:spacing w:val="12"/>
                      <w:sz w:val="21"/>
                      <w:szCs w:val="21"/>
                    </w:rPr>
                    <w:t>满足《工业企业厂界环境噪声排放标准》（</w:t>
                  </w:r>
                  <w:r>
                    <w:rPr>
                      <w:rFonts w:ascii="Times New Roman" w:hAnsi="Times New Roman" w:cs="Times New Roman"/>
                      <w:color w:val="auto"/>
                      <w:sz w:val="21"/>
                      <w:szCs w:val="21"/>
                    </w:rPr>
                    <w:t>GB</w:t>
                  </w:r>
                  <w:r>
                    <w:rPr>
                      <w:rFonts w:ascii="Times New Roman" w:hAnsi="Times New Roman" w:cs="Times New Roman"/>
                      <w:color w:val="auto"/>
                      <w:spacing w:val="12"/>
                      <w:sz w:val="21"/>
                      <w:szCs w:val="21"/>
                    </w:rPr>
                    <w:t>1234</w:t>
                  </w:r>
                  <w:r>
                    <w:rPr>
                      <w:rFonts w:ascii="Times New Roman" w:hAnsi="Times New Roman" w:cs="Times New Roman"/>
                      <w:color w:val="auto"/>
                      <w:spacing w:val="11"/>
                      <w:sz w:val="21"/>
                      <w:szCs w:val="21"/>
                    </w:rPr>
                    <w:t>8-</w:t>
                  </w:r>
                  <w:r>
                    <w:rPr>
                      <w:rFonts w:ascii="Times New Roman" w:hAnsi="Times New Roman" w:cs="Times New Roman"/>
                      <w:color w:val="auto"/>
                      <w:spacing w:val="7"/>
                      <w:sz w:val="21"/>
                      <w:szCs w:val="21"/>
                    </w:rPr>
                    <w:t>2008</w:t>
                  </w:r>
                  <w:r>
                    <w:rPr>
                      <w:rFonts w:ascii="Times New Roman" w:hAnsi="Times New Roman" w:cs="Times New Roman"/>
                      <w:color w:val="auto"/>
                      <w:spacing w:val="7"/>
                      <w:sz w:val="21"/>
                      <w:szCs w:val="21"/>
                    </w:rPr>
                    <w:t>）</w:t>
                  </w:r>
                  <w:r>
                    <w:rPr>
                      <w:rFonts w:ascii="Times New Roman" w:hAnsi="Times New Roman" w:cs="Times New Roman"/>
                      <w:color w:val="auto"/>
                      <w:spacing w:val="7"/>
                      <w:sz w:val="21"/>
                      <w:szCs w:val="21"/>
                    </w:rPr>
                    <w:t>3</w:t>
                  </w:r>
                  <w:r>
                    <w:rPr>
                      <w:rFonts w:ascii="Times New Roman" w:hAnsi="Times New Roman" w:cs="Times New Roman"/>
                      <w:color w:val="auto"/>
                      <w:spacing w:val="7"/>
                      <w:sz w:val="21"/>
                      <w:szCs w:val="21"/>
                    </w:rPr>
                    <w:t>类标准。</w:t>
                  </w:r>
                </w:p>
              </w:tc>
              <w:tc>
                <w:tcPr>
                  <w:tcW w:w="757" w:type="dxa"/>
                  <w:tcBorders>
                    <w:top w:val="single" w:sz="2" w:space="0" w:color="000000"/>
                    <w:left w:val="single" w:sz="2" w:space="0" w:color="000000"/>
                    <w:bottom w:val="single" w:sz="2" w:space="0" w:color="000000"/>
                    <w:right w:val="nil"/>
                  </w:tcBorders>
                  <w:vAlign w:val="center"/>
                </w:tcPr>
                <w:p w14:paraId="054758A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797BE300" w14:textId="77777777">
              <w:trPr>
                <w:trHeight w:val="1089"/>
                <w:jc w:val="center"/>
              </w:trPr>
              <w:tc>
                <w:tcPr>
                  <w:tcW w:w="1290" w:type="dxa"/>
                  <w:vMerge/>
                  <w:tcBorders>
                    <w:left w:val="nil"/>
                    <w:right w:val="single" w:sz="2" w:space="0" w:color="000000"/>
                  </w:tcBorders>
                  <w:vAlign w:val="center"/>
                </w:tcPr>
                <w:p w14:paraId="04856A7F" w14:textId="77777777" w:rsidR="00F76A63" w:rsidRDefault="00F76A63">
                  <w:pPr>
                    <w:jc w:val="center"/>
                    <w:rPr>
                      <w:szCs w:val="21"/>
                    </w:rPr>
                  </w:pPr>
                </w:p>
              </w:tc>
              <w:tc>
                <w:tcPr>
                  <w:tcW w:w="5227" w:type="dxa"/>
                  <w:tcBorders>
                    <w:top w:val="single" w:sz="2" w:space="0" w:color="000000"/>
                    <w:left w:val="single" w:sz="2" w:space="0" w:color="000000"/>
                    <w:right w:val="single" w:sz="2" w:space="0" w:color="000000"/>
                  </w:tcBorders>
                  <w:vAlign w:val="center"/>
                </w:tcPr>
                <w:p w14:paraId="0D533BE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 xml:space="preserve">5.1.9 </w:t>
                  </w:r>
                  <w:r>
                    <w:rPr>
                      <w:rFonts w:ascii="Times New Roman" w:hAnsi="Times New Roman" w:cs="Times New Roman"/>
                      <w:color w:val="auto"/>
                      <w:spacing w:val="11"/>
                      <w:sz w:val="21"/>
                      <w:szCs w:val="21"/>
                    </w:rPr>
                    <w:t>产生的污泥、底渣、废油类等固体废物应按照其</w:t>
                  </w:r>
                  <w:r>
                    <w:rPr>
                      <w:rFonts w:ascii="Times New Roman" w:hAnsi="Times New Roman" w:cs="Times New Roman"/>
                      <w:color w:val="auto"/>
                      <w:spacing w:val="10"/>
                      <w:sz w:val="21"/>
                      <w:szCs w:val="21"/>
                    </w:rPr>
                    <w:t>管理属</w:t>
                  </w:r>
                  <w:r>
                    <w:rPr>
                      <w:rFonts w:ascii="Times New Roman" w:hAnsi="Times New Roman" w:cs="Times New Roman"/>
                      <w:color w:val="auto"/>
                      <w:spacing w:val="13"/>
                      <w:sz w:val="21"/>
                      <w:szCs w:val="21"/>
                    </w:rPr>
                    <w:t>性分别处置。不能自行综合利用或处置的，应交给有相应资</w:t>
                  </w:r>
                  <w:r>
                    <w:rPr>
                      <w:rFonts w:ascii="Times New Roman" w:hAnsi="Times New Roman" w:cs="Times New Roman"/>
                      <w:color w:val="auto"/>
                      <w:spacing w:val="12"/>
                      <w:sz w:val="21"/>
                      <w:szCs w:val="21"/>
                    </w:rPr>
                    <w:t>质和处理能力的企业进行综合利用或处置。</w:t>
                  </w:r>
                </w:p>
              </w:tc>
              <w:tc>
                <w:tcPr>
                  <w:tcW w:w="5479" w:type="dxa"/>
                  <w:tcBorders>
                    <w:top w:val="single" w:sz="2" w:space="0" w:color="000000"/>
                    <w:left w:val="single" w:sz="2" w:space="0" w:color="000000"/>
                    <w:right w:val="single" w:sz="2" w:space="0" w:color="000000"/>
                  </w:tcBorders>
                  <w:vAlign w:val="center"/>
                </w:tcPr>
                <w:p w14:paraId="4D2D64A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本项目无固废产生。</w:t>
                  </w:r>
                </w:p>
              </w:tc>
              <w:tc>
                <w:tcPr>
                  <w:tcW w:w="757" w:type="dxa"/>
                  <w:tcBorders>
                    <w:top w:val="single" w:sz="2" w:space="0" w:color="000000"/>
                    <w:left w:val="single" w:sz="2" w:space="0" w:color="000000"/>
                    <w:right w:val="nil"/>
                  </w:tcBorders>
                  <w:vAlign w:val="center"/>
                </w:tcPr>
                <w:p w14:paraId="617C52A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r w:rsidR="00F76A63" w14:paraId="499D56D0" w14:textId="77777777">
              <w:trPr>
                <w:trHeight w:val="1362"/>
                <w:jc w:val="center"/>
              </w:trPr>
              <w:tc>
                <w:tcPr>
                  <w:tcW w:w="1290" w:type="dxa"/>
                  <w:vMerge/>
                  <w:tcBorders>
                    <w:left w:val="nil"/>
                    <w:right w:val="single" w:sz="2" w:space="0" w:color="000000"/>
                  </w:tcBorders>
                  <w:vAlign w:val="center"/>
                </w:tcPr>
                <w:p w14:paraId="20C06D64" w14:textId="77777777" w:rsidR="00F76A63" w:rsidRDefault="00F76A63">
                  <w:pPr>
                    <w:jc w:val="center"/>
                    <w:rPr>
                      <w:szCs w:val="21"/>
                    </w:rPr>
                  </w:pPr>
                </w:p>
              </w:tc>
              <w:tc>
                <w:tcPr>
                  <w:tcW w:w="5227" w:type="dxa"/>
                  <w:tcBorders>
                    <w:top w:val="single" w:sz="2" w:space="0" w:color="000000"/>
                    <w:left w:val="single" w:sz="2" w:space="0" w:color="000000"/>
                    <w:right w:val="single" w:sz="2" w:space="0" w:color="000000"/>
                  </w:tcBorders>
                  <w:vAlign w:val="center"/>
                </w:tcPr>
                <w:p w14:paraId="1131488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9"/>
                      <w:sz w:val="21"/>
                      <w:szCs w:val="21"/>
                    </w:rPr>
                    <w:t xml:space="preserve">5.1.10 </w:t>
                  </w:r>
                  <w:r>
                    <w:rPr>
                      <w:rFonts w:ascii="Times New Roman" w:hAnsi="Times New Roman" w:cs="Times New Roman"/>
                      <w:color w:val="auto"/>
                      <w:spacing w:val="9"/>
                      <w:sz w:val="21"/>
                      <w:szCs w:val="21"/>
                    </w:rPr>
                    <w:t>危险废物的贮存、包装、处置等应符合</w:t>
                  </w:r>
                  <w:r>
                    <w:rPr>
                      <w:rFonts w:ascii="Times New Roman" w:hAnsi="Times New Roman" w:cs="Times New Roman"/>
                      <w:color w:val="auto"/>
                      <w:sz w:val="21"/>
                      <w:szCs w:val="21"/>
                    </w:rPr>
                    <w:t>GB</w:t>
                  </w:r>
                  <w:r>
                    <w:rPr>
                      <w:rFonts w:ascii="Times New Roman" w:hAnsi="Times New Roman" w:cs="Times New Roman"/>
                      <w:color w:val="auto"/>
                      <w:spacing w:val="8"/>
                      <w:sz w:val="21"/>
                      <w:szCs w:val="21"/>
                    </w:rPr>
                    <w:t>18597</w:t>
                  </w:r>
                  <w:r>
                    <w:rPr>
                      <w:rFonts w:ascii="Times New Roman" w:hAnsi="Times New Roman" w:cs="Times New Roman"/>
                      <w:color w:val="auto"/>
                      <w:spacing w:val="8"/>
                      <w:sz w:val="21"/>
                      <w:szCs w:val="21"/>
                    </w:rPr>
                    <w:t>、</w:t>
                  </w:r>
                  <w:r>
                    <w:rPr>
                      <w:rFonts w:ascii="Times New Roman" w:hAnsi="Times New Roman" w:cs="Times New Roman"/>
                      <w:color w:val="auto"/>
                      <w:sz w:val="21"/>
                      <w:szCs w:val="21"/>
                    </w:rPr>
                    <w:t>HJ</w:t>
                  </w:r>
                  <w:r>
                    <w:rPr>
                      <w:rFonts w:ascii="Times New Roman" w:hAnsi="Times New Roman" w:cs="Times New Roman"/>
                      <w:color w:val="auto"/>
                      <w:spacing w:val="11"/>
                      <w:sz w:val="21"/>
                      <w:szCs w:val="21"/>
                    </w:rPr>
                    <w:t>2042</w:t>
                  </w:r>
                  <w:r>
                    <w:rPr>
                      <w:rFonts w:ascii="Times New Roman" w:hAnsi="Times New Roman" w:cs="Times New Roman"/>
                      <w:color w:val="auto"/>
                      <w:spacing w:val="11"/>
                      <w:sz w:val="21"/>
                      <w:szCs w:val="21"/>
                    </w:rPr>
                    <w:t>等危险废物专用标准的要求。</w:t>
                  </w:r>
                </w:p>
              </w:tc>
              <w:tc>
                <w:tcPr>
                  <w:tcW w:w="5479" w:type="dxa"/>
                  <w:tcBorders>
                    <w:top w:val="single" w:sz="2" w:space="0" w:color="000000"/>
                    <w:left w:val="single" w:sz="2" w:space="0" w:color="000000"/>
                    <w:right w:val="single" w:sz="2" w:space="0" w:color="000000"/>
                  </w:tcBorders>
                  <w:vAlign w:val="center"/>
                </w:tcPr>
                <w:p w14:paraId="2AB7590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3"/>
                      <w:sz w:val="21"/>
                      <w:szCs w:val="21"/>
                    </w:rPr>
                    <w:t>本项目不涉及危险废物的处置，产生的危险废物暂存厂</w:t>
                  </w:r>
                  <w:r>
                    <w:rPr>
                      <w:rFonts w:ascii="Times New Roman" w:hAnsi="Times New Roman" w:cs="Times New Roman"/>
                      <w:color w:val="auto"/>
                      <w:spacing w:val="12"/>
                      <w:sz w:val="21"/>
                      <w:szCs w:val="21"/>
                    </w:rPr>
                    <w:t>区危废暂存库，危废暂存库的建设满足《危险废物贮存</w:t>
                  </w:r>
                  <w:r>
                    <w:rPr>
                      <w:rFonts w:ascii="Times New Roman" w:hAnsi="Times New Roman" w:cs="Times New Roman"/>
                      <w:color w:val="auto"/>
                      <w:spacing w:val="11"/>
                      <w:sz w:val="21"/>
                      <w:szCs w:val="21"/>
                    </w:rPr>
                    <w:t>污染控制标准》（</w:t>
                  </w:r>
                  <w:r>
                    <w:rPr>
                      <w:rFonts w:ascii="Times New Roman" w:hAnsi="Times New Roman" w:cs="Times New Roman"/>
                      <w:color w:val="auto"/>
                      <w:sz w:val="21"/>
                      <w:szCs w:val="21"/>
                    </w:rPr>
                    <w:t>GB</w:t>
                  </w:r>
                  <w:r>
                    <w:rPr>
                      <w:rFonts w:ascii="Times New Roman" w:hAnsi="Times New Roman" w:cs="Times New Roman"/>
                      <w:color w:val="auto"/>
                      <w:spacing w:val="11"/>
                      <w:sz w:val="21"/>
                      <w:szCs w:val="21"/>
                    </w:rPr>
                    <w:t>18597-20</w:t>
                  </w:r>
                  <w:r>
                    <w:rPr>
                      <w:rFonts w:ascii="Times New Roman" w:hAnsi="Times New Roman" w:cs="Times New Roman" w:hint="eastAsia"/>
                      <w:color w:val="auto"/>
                      <w:spacing w:val="11"/>
                      <w:sz w:val="21"/>
                      <w:szCs w:val="21"/>
                    </w:rPr>
                    <w:t>23</w:t>
                  </w:r>
                  <w:r>
                    <w:rPr>
                      <w:rFonts w:ascii="Times New Roman" w:hAnsi="Times New Roman" w:cs="Times New Roman"/>
                      <w:color w:val="auto"/>
                      <w:spacing w:val="11"/>
                      <w:sz w:val="21"/>
                      <w:szCs w:val="21"/>
                    </w:rPr>
                    <w:t>）</w:t>
                  </w:r>
                  <w:r>
                    <w:rPr>
                      <w:rFonts w:ascii="Times New Roman" w:hAnsi="Times New Roman" w:cs="Times New Roman"/>
                      <w:color w:val="auto"/>
                      <w:spacing w:val="4"/>
                      <w:sz w:val="21"/>
                      <w:szCs w:val="21"/>
                    </w:rPr>
                    <w:t>的要求。</w:t>
                  </w:r>
                </w:p>
              </w:tc>
              <w:tc>
                <w:tcPr>
                  <w:tcW w:w="757" w:type="dxa"/>
                  <w:tcBorders>
                    <w:top w:val="single" w:sz="2" w:space="0" w:color="000000"/>
                    <w:left w:val="single" w:sz="2" w:space="0" w:color="000000"/>
                    <w:right w:val="nil"/>
                  </w:tcBorders>
                  <w:vAlign w:val="center"/>
                </w:tcPr>
                <w:p w14:paraId="56DF250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6"/>
                      <w:sz w:val="21"/>
                      <w:szCs w:val="21"/>
                    </w:rPr>
                    <w:t>符合</w:t>
                  </w:r>
                </w:p>
              </w:tc>
            </w:tr>
          </w:tbl>
          <w:p w14:paraId="34184367" w14:textId="77777777" w:rsidR="00F76A63" w:rsidRDefault="00000000">
            <w:pPr>
              <w:widowControl/>
              <w:spacing w:line="500" w:lineRule="exact"/>
              <w:jc w:val="center"/>
              <w:rPr>
                <w:sz w:val="24"/>
                <w:szCs w:val="21"/>
              </w:rPr>
            </w:pPr>
            <w:bookmarkStart w:id="48" w:name="OLE_LINK56"/>
            <w:r>
              <w:rPr>
                <w:b/>
                <w:bCs/>
                <w:sz w:val="24"/>
                <w:szCs w:val="21"/>
              </w:rPr>
              <w:t>表</w:t>
            </w:r>
            <w:r>
              <w:rPr>
                <w:b/>
                <w:bCs/>
                <w:sz w:val="24"/>
                <w:szCs w:val="21"/>
              </w:rPr>
              <w:t>1-1</w:t>
            </w:r>
            <w:r>
              <w:rPr>
                <w:rFonts w:hint="eastAsia"/>
                <w:b/>
                <w:bCs/>
                <w:sz w:val="24"/>
                <w:szCs w:val="21"/>
              </w:rPr>
              <w:t>5</w:t>
            </w:r>
            <w:r>
              <w:rPr>
                <w:b/>
                <w:bCs/>
                <w:sz w:val="24"/>
                <w:szCs w:val="21"/>
              </w:rPr>
              <w:t xml:space="preserve">  </w:t>
            </w:r>
            <w:r>
              <w:rPr>
                <w:b/>
                <w:bCs/>
                <w:sz w:val="24"/>
                <w:szCs w:val="21"/>
              </w:rPr>
              <w:t>本项目与《水泥窑协同处置污泥工程设计规范》（</w:t>
            </w:r>
            <w:r>
              <w:rPr>
                <w:b/>
                <w:bCs/>
                <w:sz w:val="24"/>
                <w:szCs w:val="21"/>
              </w:rPr>
              <w:t>GB 50757-2012</w:t>
            </w:r>
            <w:r>
              <w:rPr>
                <w:b/>
                <w:bCs/>
                <w:sz w:val="24"/>
                <w:szCs w:val="21"/>
              </w:rPr>
              <w:t>）相符性分析</w:t>
            </w:r>
          </w:p>
          <w:tbl>
            <w:tblPr>
              <w:tblW w:w="5000" w:type="pct"/>
              <w:jc w:val="center"/>
              <w:tblBorders>
                <w:top w:val="single" w:sz="12" w:space="0" w:color="auto"/>
                <w:bottom w:val="single" w:sz="12"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567"/>
              <w:gridCol w:w="8552"/>
              <w:gridCol w:w="3160"/>
              <w:gridCol w:w="474"/>
            </w:tblGrid>
            <w:tr w:rsidR="00F76A63" w14:paraId="33A1C6CA" w14:textId="77777777">
              <w:trPr>
                <w:trHeight w:val="20"/>
                <w:jc w:val="center"/>
              </w:trPr>
              <w:tc>
                <w:tcPr>
                  <w:tcW w:w="3575" w:type="pct"/>
                  <w:gridSpan w:val="2"/>
                  <w:tcBorders>
                    <w:top w:val="single" w:sz="12" w:space="0" w:color="auto"/>
                    <w:left w:val="nil"/>
                    <w:bottom w:val="single" w:sz="6" w:space="0" w:color="auto"/>
                    <w:right w:val="single" w:sz="6" w:space="0" w:color="auto"/>
                  </w:tcBorders>
                  <w:vAlign w:val="center"/>
                </w:tcPr>
                <w:p w14:paraId="21DE9818" w14:textId="77777777" w:rsidR="00F76A63" w:rsidRDefault="00000000">
                  <w:pPr>
                    <w:autoSpaceDE w:val="0"/>
                    <w:autoSpaceDN w:val="0"/>
                    <w:snapToGrid w:val="0"/>
                    <w:jc w:val="center"/>
                    <w:rPr>
                      <w:b/>
                      <w:szCs w:val="21"/>
                    </w:rPr>
                  </w:pPr>
                  <w:r>
                    <w:rPr>
                      <w:b/>
                    </w:rPr>
                    <w:t>文件相关要求</w:t>
                  </w:r>
                </w:p>
              </w:tc>
              <w:tc>
                <w:tcPr>
                  <w:tcW w:w="1239" w:type="pct"/>
                  <w:tcBorders>
                    <w:top w:val="single" w:sz="12" w:space="0" w:color="auto"/>
                    <w:left w:val="single" w:sz="6" w:space="0" w:color="auto"/>
                    <w:bottom w:val="single" w:sz="6" w:space="0" w:color="auto"/>
                    <w:right w:val="single" w:sz="6" w:space="0" w:color="auto"/>
                  </w:tcBorders>
                  <w:vAlign w:val="center"/>
                </w:tcPr>
                <w:p w14:paraId="737D83BE" w14:textId="77777777" w:rsidR="00F76A63" w:rsidRDefault="00000000">
                  <w:pPr>
                    <w:autoSpaceDE w:val="0"/>
                    <w:autoSpaceDN w:val="0"/>
                    <w:snapToGrid w:val="0"/>
                    <w:jc w:val="center"/>
                    <w:rPr>
                      <w:b/>
                    </w:rPr>
                  </w:pPr>
                  <w:r>
                    <w:rPr>
                      <w:b/>
                    </w:rPr>
                    <w:t>本项目落实情况</w:t>
                  </w:r>
                </w:p>
              </w:tc>
              <w:tc>
                <w:tcPr>
                  <w:tcW w:w="186" w:type="pct"/>
                  <w:tcBorders>
                    <w:top w:val="single" w:sz="12" w:space="0" w:color="auto"/>
                    <w:left w:val="single" w:sz="6" w:space="0" w:color="auto"/>
                    <w:bottom w:val="single" w:sz="6" w:space="0" w:color="auto"/>
                    <w:right w:val="nil"/>
                  </w:tcBorders>
                  <w:vAlign w:val="center"/>
                </w:tcPr>
                <w:p w14:paraId="3134049D" w14:textId="77777777" w:rsidR="00F76A63" w:rsidRDefault="00000000">
                  <w:pPr>
                    <w:autoSpaceDE w:val="0"/>
                    <w:autoSpaceDN w:val="0"/>
                    <w:snapToGrid w:val="0"/>
                    <w:jc w:val="center"/>
                    <w:rPr>
                      <w:b/>
                    </w:rPr>
                  </w:pPr>
                  <w:r>
                    <w:rPr>
                      <w:b/>
                    </w:rPr>
                    <w:t>相符性</w:t>
                  </w:r>
                </w:p>
              </w:tc>
            </w:tr>
            <w:tr w:rsidR="00F76A63" w14:paraId="3015E34F" w14:textId="77777777">
              <w:trPr>
                <w:trHeight w:val="20"/>
                <w:jc w:val="center"/>
              </w:trPr>
              <w:tc>
                <w:tcPr>
                  <w:tcW w:w="222" w:type="pct"/>
                  <w:vMerge w:val="restart"/>
                  <w:tcBorders>
                    <w:top w:val="single" w:sz="6" w:space="0" w:color="auto"/>
                    <w:left w:val="nil"/>
                    <w:bottom w:val="single" w:sz="6" w:space="0" w:color="auto"/>
                    <w:right w:val="single" w:sz="6" w:space="0" w:color="auto"/>
                  </w:tcBorders>
                  <w:vAlign w:val="center"/>
                </w:tcPr>
                <w:p w14:paraId="6053FF5C" w14:textId="77777777" w:rsidR="00F76A63" w:rsidRDefault="00000000">
                  <w:pPr>
                    <w:autoSpaceDE w:val="0"/>
                    <w:autoSpaceDN w:val="0"/>
                    <w:snapToGrid w:val="0"/>
                    <w:jc w:val="center"/>
                  </w:pPr>
                  <w:r>
                    <w:t>5</w:t>
                  </w:r>
                  <w:r>
                    <w:t>、污泥接</w:t>
                  </w:r>
                  <w:r>
                    <w:lastRenderedPageBreak/>
                    <w:t>收和分析鉴别</w:t>
                  </w:r>
                </w:p>
              </w:tc>
              <w:tc>
                <w:tcPr>
                  <w:tcW w:w="3353" w:type="pct"/>
                  <w:tcBorders>
                    <w:top w:val="single" w:sz="6" w:space="0" w:color="auto"/>
                    <w:left w:val="single" w:sz="6" w:space="0" w:color="auto"/>
                    <w:bottom w:val="single" w:sz="6" w:space="0" w:color="auto"/>
                    <w:right w:val="single" w:sz="6" w:space="0" w:color="auto"/>
                  </w:tcBorders>
                  <w:vAlign w:val="center"/>
                </w:tcPr>
                <w:p w14:paraId="11784D4F" w14:textId="77777777" w:rsidR="00F76A63" w:rsidRDefault="00000000">
                  <w:pPr>
                    <w:autoSpaceDE w:val="0"/>
                    <w:autoSpaceDN w:val="0"/>
                    <w:snapToGrid w:val="0"/>
                    <w:jc w:val="center"/>
                  </w:pPr>
                  <w:r>
                    <w:lastRenderedPageBreak/>
                    <w:t xml:space="preserve">5.1 </w:t>
                  </w:r>
                  <w:r>
                    <w:t>一般规定</w:t>
                  </w:r>
                </w:p>
                <w:p w14:paraId="4F3A7DDB" w14:textId="77777777" w:rsidR="00F76A63" w:rsidRDefault="00000000">
                  <w:pPr>
                    <w:autoSpaceDE w:val="0"/>
                    <w:autoSpaceDN w:val="0"/>
                    <w:snapToGrid w:val="0"/>
                    <w:jc w:val="center"/>
                  </w:pPr>
                  <w:r>
                    <w:t xml:space="preserve">5.1.1 </w:t>
                  </w:r>
                  <w:r>
                    <w:t>水泥窑宜处理性质相对稳定、量大的污泥。当每批污泥的泥质均符合国家有关规定时，才应再进行大批量混合处理。</w:t>
                  </w:r>
                </w:p>
                <w:p w14:paraId="11FB1034" w14:textId="77777777" w:rsidR="00F76A63" w:rsidRDefault="00000000">
                  <w:pPr>
                    <w:autoSpaceDE w:val="0"/>
                    <w:autoSpaceDN w:val="0"/>
                    <w:snapToGrid w:val="0"/>
                    <w:jc w:val="center"/>
                  </w:pPr>
                  <w:r>
                    <w:t xml:space="preserve">5.1.2 </w:t>
                  </w:r>
                  <w:r>
                    <w:t>污泥的接收及输送过程应采取防渗漏、防溢出、防异味散出的措施。</w:t>
                  </w:r>
                </w:p>
              </w:tc>
              <w:tc>
                <w:tcPr>
                  <w:tcW w:w="1239" w:type="pct"/>
                  <w:tcBorders>
                    <w:top w:val="single" w:sz="6" w:space="0" w:color="auto"/>
                    <w:left w:val="single" w:sz="6" w:space="0" w:color="auto"/>
                    <w:bottom w:val="single" w:sz="6" w:space="0" w:color="auto"/>
                    <w:right w:val="single" w:sz="6" w:space="0" w:color="auto"/>
                  </w:tcBorders>
                  <w:vAlign w:val="center"/>
                </w:tcPr>
                <w:p w14:paraId="67A965F7" w14:textId="77777777" w:rsidR="00F76A63" w:rsidRDefault="00000000">
                  <w:pPr>
                    <w:autoSpaceDE w:val="0"/>
                    <w:autoSpaceDN w:val="0"/>
                    <w:snapToGrid w:val="0"/>
                    <w:jc w:val="center"/>
                  </w:pPr>
                  <w:r>
                    <w:t>（</w:t>
                  </w:r>
                  <w:r>
                    <w:t>1</w:t>
                  </w:r>
                  <w:r>
                    <w:t>）本项目处置一般固废污泥性质相对稳定，处置量较大；进厂污泥均需满足国家相关规定，方可入厂处置；</w:t>
                  </w:r>
                </w:p>
                <w:p w14:paraId="68B9B515" w14:textId="77777777" w:rsidR="00F76A63" w:rsidRDefault="00000000">
                  <w:pPr>
                    <w:autoSpaceDE w:val="0"/>
                    <w:autoSpaceDN w:val="0"/>
                    <w:snapToGrid w:val="0"/>
                    <w:jc w:val="center"/>
                  </w:pPr>
                  <w:r>
                    <w:lastRenderedPageBreak/>
                    <w:t>（</w:t>
                  </w:r>
                  <w:r>
                    <w:t>2</w:t>
                  </w:r>
                  <w:r>
                    <w:t>）污泥接收运输均密闭进行。</w:t>
                  </w:r>
                </w:p>
              </w:tc>
              <w:tc>
                <w:tcPr>
                  <w:tcW w:w="186" w:type="pct"/>
                  <w:tcBorders>
                    <w:top w:val="single" w:sz="6" w:space="0" w:color="auto"/>
                    <w:left w:val="single" w:sz="6" w:space="0" w:color="auto"/>
                    <w:bottom w:val="single" w:sz="6" w:space="0" w:color="auto"/>
                    <w:right w:val="nil"/>
                  </w:tcBorders>
                  <w:vAlign w:val="center"/>
                </w:tcPr>
                <w:p w14:paraId="3764C63D" w14:textId="77777777" w:rsidR="00F76A63" w:rsidRDefault="00000000">
                  <w:pPr>
                    <w:autoSpaceDE w:val="0"/>
                    <w:autoSpaceDN w:val="0"/>
                    <w:snapToGrid w:val="0"/>
                    <w:jc w:val="center"/>
                  </w:pPr>
                  <w:r>
                    <w:lastRenderedPageBreak/>
                    <w:t>相符</w:t>
                  </w:r>
                </w:p>
              </w:tc>
            </w:tr>
            <w:tr w:rsidR="00F76A63" w14:paraId="30286015"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52BE1CAC" w14:textId="77777777" w:rsidR="00F76A63" w:rsidRDefault="00F76A63">
                  <w:pPr>
                    <w:jc w:val="center"/>
                    <w:rPr>
                      <w:szCs w:val="21"/>
                    </w:rPr>
                  </w:pPr>
                </w:p>
              </w:tc>
              <w:tc>
                <w:tcPr>
                  <w:tcW w:w="3353" w:type="pct"/>
                  <w:tcBorders>
                    <w:top w:val="single" w:sz="6" w:space="0" w:color="auto"/>
                    <w:left w:val="single" w:sz="6" w:space="0" w:color="auto"/>
                    <w:bottom w:val="single" w:sz="6" w:space="0" w:color="auto"/>
                    <w:right w:val="single" w:sz="6" w:space="0" w:color="auto"/>
                  </w:tcBorders>
                  <w:vAlign w:val="center"/>
                </w:tcPr>
                <w:p w14:paraId="625EDD8E" w14:textId="77777777" w:rsidR="00F76A63" w:rsidRDefault="00000000">
                  <w:pPr>
                    <w:autoSpaceDE w:val="0"/>
                    <w:autoSpaceDN w:val="0"/>
                    <w:snapToGrid w:val="0"/>
                    <w:jc w:val="center"/>
                  </w:pPr>
                  <w:r>
                    <w:t xml:space="preserve">5.2 </w:t>
                  </w:r>
                  <w:r>
                    <w:t>污泥运输与接收</w:t>
                  </w:r>
                </w:p>
                <w:p w14:paraId="6C668014" w14:textId="77777777" w:rsidR="00F76A63" w:rsidRDefault="00000000">
                  <w:pPr>
                    <w:autoSpaceDE w:val="0"/>
                    <w:autoSpaceDN w:val="0"/>
                    <w:snapToGrid w:val="0"/>
                    <w:jc w:val="center"/>
                  </w:pPr>
                  <w:r>
                    <w:t xml:space="preserve">5.2.1 </w:t>
                  </w:r>
                  <w:r>
                    <w:t>污泥运输应采用密闭车辆、密闭驳船等密封运输工具。</w:t>
                  </w:r>
                </w:p>
                <w:p w14:paraId="334C63E5" w14:textId="77777777" w:rsidR="00F76A63" w:rsidRDefault="00000000">
                  <w:pPr>
                    <w:autoSpaceDE w:val="0"/>
                    <w:autoSpaceDN w:val="0"/>
                    <w:snapToGrid w:val="0"/>
                    <w:jc w:val="center"/>
                  </w:pPr>
                  <w:r>
                    <w:t xml:space="preserve">5.2.2 </w:t>
                  </w:r>
                  <w:r>
                    <w:t>水泥厂应设置进厂污泥计量设施，并宜与水泥生产线物料计量设施共用。</w:t>
                  </w:r>
                </w:p>
                <w:p w14:paraId="14A11FEF" w14:textId="77777777" w:rsidR="00F76A63" w:rsidRDefault="00000000">
                  <w:pPr>
                    <w:autoSpaceDE w:val="0"/>
                    <w:autoSpaceDN w:val="0"/>
                    <w:snapToGrid w:val="0"/>
                    <w:jc w:val="center"/>
                  </w:pPr>
                  <w:r>
                    <w:t xml:space="preserve">5.2.3 </w:t>
                  </w:r>
                  <w:r>
                    <w:t>污泥接收设施应采用密封的构筑物或建筑物，并应配置与车辆卸料联动的通风除臭、车辆冲洗系统。</w:t>
                  </w:r>
                </w:p>
              </w:tc>
              <w:tc>
                <w:tcPr>
                  <w:tcW w:w="1239" w:type="pct"/>
                  <w:tcBorders>
                    <w:top w:val="single" w:sz="6" w:space="0" w:color="auto"/>
                    <w:left w:val="single" w:sz="6" w:space="0" w:color="auto"/>
                    <w:bottom w:val="single" w:sz="6" w:space="0" w:color="auto"/>
                    <w:right w:val="single" w:sz="6" w:space="0" w:color="auto"/>
                  </w:tcBorders>
                  <w:vAlign w:val="center"/>
                </w:tcPr>
                <w:p w14:paraId="0452E234" w14:textId="77777777" w:rsidR="00F76A63" w:rsidRDefault="00000000">
                  <w:pPr>
                    <w:autoSpaceDE w:val="0"/>
                    <w:autoSpaceDN w:val="0"/>
                    <w:snapToGrid w:val="0"/>
                    <w:jc w:val="center"/>
                  </w:pPr>
                  <w:r>
                    <w:t>本项目污泥的运输与接收</w:t>
                  </w:r>
                  <w:r>
                    <w:rPr>
                      <w:rFonts w:hint="eastAsia"/>
                    </w:rPr>
                    <w:t>均为密闭车辆运输，</w:t>
                  </w:r>
                  <w:r>
                    <w:t>水泥厂设置进厂污泥计量设施，污泥接收设施采用密封的构筑物或建筑物，并配置与车辆卸料联动的通风除臭、车辆冲洗系统。</w:t>
                  </w:r>
                </w:p>
              </w:tc>
              <w:tc>
                <w:tcPr>
                  <w:tcW w:w="186" w:type="pct"/>
                  <w:tcBorders>
                    <w:top w:val="single" w:sz="6" w:space="0" w:color="auto"/>
                    <w:left w:val="single" w:sz="6" w:space="0" w:color="auto"/>
                    <w:bottom w:val="single" w:sz="6" w:space="0" w:color="auto"/>
                    <w:right w:val="nil"/>
                  </w:tcBorders>
                  <w:vAlign w:val="center"/>
                </w:tcPr>
                <w:p w14:paraId="7ABC9837" w14:textId="77777777" w:rsidR="00F76A63" w:rsidRDefault="00000000">
                  <w:pPr>
                    <w:autoSpaceDE w:val="0"/>
                    <w:autoSpaceDN w:val="0"/>
                    <w:snapToGrid w:val="0"/>
                    <w:jc w:val="center"/>
                  </w:pPr>
                  <w:r>
                    <w:t>相符</w:t>
                  </w:r>
                </w:p>
              </w:tc>
            </w:tr>
            <w:tr w:rsidR="00F76A63" w14:paraId="78B8B8B6"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17FAC0E6" w14:textId="77777777" w:rsidR="00F76A63" w:rsidRDefault="00F76A63">
                  <w:pPr>
                    <w:jc w:val="center"/>
                    <w:rPr>
                      <w:szCs w:val="21"/>
                    </w:rPr>
                  </w:pPr>
                </w:p>
              </w:tc>
              <w:tc>
                <w:tcPr>
                  <w:tcW w:w="3353" w:type="pct"/>
                  <w:tcBorders>
                    <w:top w:val="single" w:sz="6" w:space="0" w:color="auto"/>
                    <w:left w:val="single" w:sz="6" w:space="0" w:color="auto"/>
                    <w:bottom w:val="single" w:sz="6" w:space="0" w:color="auto"/>
                    <w:right w:val="single" w:sz="6" w:space="0" w:color="auto"/>
                  </w:tcBorders>
                  <w:vAlign w:val="center"/>
                </w:tcPr>
                <w:p w14:paraId="09C70509" w14:textId="77777777" w:rsidR="00F76A63" w:rsidRDefault="00000000">
                  <w:pPr>
                    <w:autoSpaceDE w:val="0"/>
                    <w:autoSpaceDN w:val="0"/>
                    <w:snapToGrid w:val="0"/>
                    <w:jc w:val="center"/>
                  </w:pPr>
                  <w:r>
                    <w:t xml:space="preserve">5.3 </w:t>
                  </w:r>
                  <w:r>
                    <w:t>污泥分析鉴别</w:t>
                  </w:r>
                </w:p>
                <w:p w14:paraId="3318D6B4" w14:textId="77777777" w:rsidR="00F76A63" w:rsidRDefault="00000000">
                  <w:pPr>
                    <w:autoSpaceDE w:val="0"/>
                    <w:autoSpaceDN w:val="0"/>
                    <w:snapToGrid w:val="0"/>
                    <w:jc w:val="center"/>
                  </w:pPr>
                  <w:r>
                    <w:t xml:space="preserve">5.3.1 </w:t>
                  </w:r>
                  <w:r>
                    <w:t>水泥厂应对每批进厂污泥进行检测，并应配备对污泥特性监测和分析的仪器设备。</w:t>
                  </w:r>
                </w:p>
                <w:p w14:paraId="5AF18637" w14:textId="77777777" w:rsidR="00F76A63" w:rsidRDefault="00000000">
                  <w:pPr>
                    <w:autoSpaceDE w:val="0"/>
                    <w:autoSpaceDN w:val="0"/>
                    <w:snapToGrid w:val="0"/>
                    <w:jc w:val="center"/>
                  </w:pPr>
                  <w:r>
                    <w:t xml:space="preserve">5.3.2 </w:t>
                  </w:r>
                  <w:r>
                    <w:t>污泥分析鉴别应采取多点取样，样品应有代表性。样品质量不应小于</w:t>
                  </w:r>
                  <w:r>
                    <w:t>1kg</w:t>
                  </w:r>
                  <w:r>
                    <w:t>。</w:t>
                  </w:r>
                </w:p>
                <w:p w14:paraId="7EB6C91D" w14:textId="77777777" w:rsidR="00F76A63" w:rsidRDefault="00000000">
                  <w:pPr>
                    <w:autoSpaceDE w:val="0"/>
                    <w:autoSpaceDN w:val="0"/>
                    <w:snapToGrid w:val="0"/>
                    <w:jc w:val="center"/>
                  </w:pPr>
                  <w:r>
                    <w:t xml:space="preserve">5.3.3 </w:t>
                  </w:r>
                  <w:r>
                    <w:t>污泥特性分析鉴别宜包括下列内容：</w:t>
                  </w:r>
                </w:p>
                <w:p w14:paraId="454E5545" w14:textId="77777777" w:rsidR="00F76A63" w:rsidRDefault="00000000">
                  <w:pPr>
                    <w:autoSpaceDE w:val="0"/>
                    <w:autoSpaceDN w:val="0"/>
                    <w:snapToGrid w:val="0"/>
                    <w:jc w:val="center"/>
                  </w:pPr>
                  <w:r>
                    <w:t xml:space="preserve">1 </w:t>
                  </w:r>
                  <w:r>
                    <w:t>物理性质：含水率、容重、含砂率、黏性、粒度；</w:t>
                  </w:r>
                </w:p>
                <w:p w14:paraId="692A1C18" w14:textId="77777777" w:rsidR="00F76A63" w:rsidRDefault="00000000">
                  <w:pPr>
                    <w:autoSpaceDE w:val="0"/>
                    <w:autoSpaceDN w:val="0"/>
                    <w:snapToGrid w:val="0"/>
                    <w:jc w:val="center"/>
                  </w:pPr>
                  <w:r>
                    <w:t xml:space="preserve">2 </w:t>
                  </w:r>
                  <w:r>
                    <w:t>工业分析：固定碳、灰分、挥发分、水分、灰熔点、低位热值；</w:t>
                  </w:r>
                </w:p>
                <w:p w14:paraId="0F84B15E" w14:textId="77777777" w:rsidR="00F76A63" w:rsidRDefault="00000000">
                  <w:pPr>
                    <w:autoSpaceDE w:val="0"/>
                    <w:autoSpaceDN w:val="0"/>
                    <w:snapToGrid w:val="0"/>
                    <w:jc w:val="center"/>
                  </w:pPr>
                  <w:r>
                    <w:t xml:space="preserve">3 </w:t>
                  </w:r>
                  <w:r>
                    <w:t>化学成分分析；</w:t>
                  </w:r>
                </w:p>
                <w:p w14:paraId="70952528" w14:textId="77777777" w:rsidR="00F76A63" w:rsidRDefault="00000000">
                  <w:pPr>
                    <w:autoSpaceDE w:val="0"/>
                    <w:autoSpaceDN w:val="0"/>
                    <w:snapToGrid w:val="0"/>
                    <w:jc w:val="center"/>
                  </w:pPr>
                  <w:r>
                    <w:t xml:space="preserve">4 </w:t>
                  </w:r>
                  <w:r>
                    <w:t>有害元素：重金属、硫、氯、钾、钠、磷。</w:t>
                  </w:r>
                </w:p>
                <w:p w14:paraId="24BF70B6" w14:textId="77777777" w:rsidR="00F76A63" w:rsidRDefault="00000000">
                  <w:pPr>
                    <w:autoSpaceDE w:val="0"/>
                    <w:autoSpaceDN w:val="0"/>
                    <w:snapToGrid w:val="0"/>
                    <w:jc w:val="center"/>
                  </w:pPr>
                  <w:r>
                    <w:t xml:space="preserve">5.3.4 </w:t>
                  </w:r>
                  <w:r>
                    <w:t>污泥分析检测方法宜执行国家现行标准《城市污水处理厂污泥检验方法》</w:t>
                  </w:r>
                  <w:r>
                    <w:rPr>
                      <w:rFonts w:hint="eastAsia"/>
                    </w:rPr>
                    <w:t>（</w:t>
                  </w:r>
                  <w:r>
                    <w:t>CJ/T 221</w:t>
                  </w:r>
                  <w:r>
                    <w:rPr>
                      <w:rFonts w:hint="eastAsia"/>
                    </w:rPr>
                    <w:t>-2023</w:t>
                  </w:r>
                  <w:r>
                    <w:rPr>
                      <w:rFonts w:hint="eastAsia"/>
                    </w:rPr>
                    <w:t>）</w:t>
                  </w:r>
                  <w:r>
                    <w:t>中的有关规定。</w:t>
                  </w:r>
                </w:p>
                <w:p w14:paraId="5F53AF49" w14:textId="77777777" w:rsidR="00F76A63" w:rsidRDefault="00000000">
                  <w:pPr>
                    <w:autoSpaceDE w:val="0"/>
                    <w:autoSpaceDN w:val="0"/>
                    <w:snapToGrid w:val="0"/>
                    <w:jc w:val="center"/>
                  </w:pPr>
                  <w:r>
                    <w:t xml:space="preserve">5.3.5 </w:t>
                  </w:r>
                  <w:r>
                    <w:t>水泥窑接收污泥有害组分控制限值及检测周期宜满足表</w:t>
                  </w:r>
                  <w:r>
                    <w:t>5.3.5</w:t>
                  </w:r>
                  <w:r>
                    <w:t>的规定。</w:t>
                  </w:r>
                </w:p>
                <w:tbl>
                  <w:tblPr>
                    <w:tblStyle w:val="2f8"/>
                    <w:tblW w:w="5000" w:type="pct"/>
                    <w:jc w:val="center"/>
                    <w:tblBorders>
                      <w:top w:val="single" w:sz="12" w:space="0" w:color="auto"/>
                      <w:left w:val="none" w:sz="0" w:space="0" w:color="auto"/>
                      <w:bottom w:val="single" w:sz="12" w:space="0" w:color="auto"/>
                      <w:right w:val="none" w:sz="0" w:space="0" w:color="auto"/>
                    </w:tblBorders>
                    <w:tblCellMar>
                      <w:top w:w="57" w:type="dxa"/>
                      <w:bottom w:w="57" w:type="dxa"/>
                    </w:tblCellMar>
                    <w:tblLook w:val="04A0" w:firstRow="1" w:lastRow="0" w:firstColumn="1" w:lastColumn="0" w:noHBand="0" w:noVBand="1"/>
                  </w:tblPr>
                  <w:tblGrid>
                    <w:gridCol w:w="660"/>
                    <w:gridCol w:w="1201"/>
                    <w:gridCol w:w="2059"/>
                    <w:gridCol w:w="4416"/>
                  </w:tblGrid>
                  <w:tr w:rsidR="00F76A63" w14:paraId="6A0773B0" w14:textId="77777777">
                    <w:trPr>
                      <w:trHeight w:val="20"/>
                      <w:jc w:val="center"/>
                    </w:trPr>
                    <w:tc>
                      <w:tcPr>
                        <w:tcW w:w="737" w:type="dxa"/>
                        <w:tcBorders>
                          <w:top w:val="single" w:sz="12" w:space="0" w:color="auto"/>
                          <w:left w:val="nil"/>
                          <w:bottom w:val="single" w:sz="4" w:space="0" w:color="auto"/>
                          <w:right w:val="single" w:sz="4" w:space="0" w:color="auto"/>
                        </w:tcBorders>
                        <w:vAlign w:val="center"/>
                      </w:tcPr>
                      <w:p w14:paraId="28787410" w14:textId="77777777" w:rsidR="00F76A63" w:rsidRDefault="00000000">
                        <w:pPr>
                          <w:autoSpaceDE w:val="0"/>
                          <w:autoSpaceDN w:val="0"/>
                          <w:snapToGrid w:val="0"/>
                          <w:jc w:val="center"/>
                          <w:rPr>
                            <w:b/>
                          </w:rPr>
                        </w:pPr>
                        <w:r>
                          <w:rPr>
                            <w:rFonts w:ascii="宋体" w:hAnsi="宋体" w:cs="宋体" w:hint="eastAsia"/>
                            <w:b/>
                          </w:rPr>
                          <w:t>序号</w:t>
                        </w:r>
                      </w:p>
                    </w:tc>
                    <w:tc>
                      <w:tcPr>
                        <w:tcW w:w="1559" w:type="dxa"/>
                        <w:tcBorders>
                          <w:top w:val="single" w:sz="12" w:space="0" w:color="auto"/>
                          <w:left w:val="single" w:sz="4" w:space="0" w:color="auto"/>
                          <w:bottom w:val="single" w:sz="4" w:space="0" w:color="auto"/>
                          <w:right w:val="single" w:sz="4" w:space="0" w:color="auto"/>
                        </w:tcBorders>
                        <w:vAlign w:val="center"/>
                      </w:tcPr>
                      <w:p w14:paraId="30095CE9" w14:textId="77777777" w:rsidR="00F76A63" w:rsidRDefault="00000000">
                        <w:pPr>
                          <w:autoSpaceDE w:val="0"/>
                          <w:autoSpaceDN w:val="0"/>
                          <w:snapToGrid w:val="0"/>
                          <w:jc w:val="center"/>
                          <w:rPr>
                            <w:b/>
                          </w:rPr>
                        </w:pPr>
                        <w:r>
                          <w:rPr>
                            <w:rFonts w:ascii="宋体" w:hAnsi="宋体" w:cs="宋体" w:hint="eastAsia"/>
                            <w:b/>
                          </w:rPr>
                          <w:t>控制项目</w:t>
                        </w:r>
                      </w:p>
                    </w:tc>
                    <w:tc>
                      <w:tcPr>
                        <w:tcW w:w="2126" w:type="dxa"/>
                        <w:tcBorders>
                          <w:top w:val="single" w:sz="12" w:space="0" w:color="auto"/>
                          <w:left w:val="single" w:sz="4" w:space="0" w:color="auto"/>
                          <w:bottom w:val="single" w:sz="4" w:space="0" w:color="auto"/>
                          <w:right w:val="single" w:sz="4" w:space="0" w:color="auto"/>
                        </w:tcBorders>
                        <w:vAlign w:val="center"/>
                      </w:tcPr>
                      <w:p w14:paraId="723E1AFA" w14:textId="77777777" w:rsidR="00F76A63" w:rsidRDefault="00000000">
                        <w:pPr>
                          <w:autoSpaceDE w:val="0"/>
                          <w:autoSpaceDN w:val="0"/>
                          <w:snapToGrid w:val="0"/>
                          <w:jc w:val="center"/>
                          <w:rPr>
                            <w:b/>
                          </w:rPr>
                        </w:pPr>
                        <w:r>
                          <w:rPr>
                            <w:rFonts w:ascii="宋体" w:hAnsi="宋体" w:cs="宋体" w:hint="eastAsia"/>
                            <w:b/>
                          </w:rPr>
                          <w:t>总控限值（</w:t>
                        </w:r>
                        <w:r>
                          <w:rPr>
                            <w:b/>
                          </w:rPr>
                          <w:t>mg/kg</w:t>
                        </w:r>
                        <w:r>
                          <w:rPr>
                            <w:rFonts w:ascii="宋体" w:hAnsi="宋体" w:cs="宋体" w:hint="eastAsia"/>
                            <w:b/>
                          </w:rPr>
                          <w:t>）</w:t>
                        </w:r>
                      </w:p>
                    </w:tc>
                    <w:tc>
                      <w:tcPr>
                        <w:tcW w:w="2865" w:type="dxa"/>
                        <w:tcBorders>
                          <w:top w:val="single" w:sz="12" w:space="0" w:color="auto"/>
                          <w:left w:val="single" w:sz="4" w:space="0" w:color="auto"/>
                          <w:bottom w:val="single" w:sz="4" w:space="0" w:color="auto"/>
                          <w:right w:val="nil"/>
                        </w:tcBorders>
                        <w:vAlign w:val="center"/>
                      </w:tcPr>
                      <w:p w14:paraId="539DDBD6" w14:textId="77777777" w:rsidR="00F76A63" w:rsidRDefault="00000000">
                        <w:pPr>
                          <w:autoSpaceDE w:val="0"/>
                          <w:autoSpaceDN w:val="0"/>
                          <w:snapToGrid w:val="0"/>
                          <w:jc w:val="center"/>
                          <w:rPr>
                            <w:b/>
                          </w:rPr>
                        </w:pPr>
                        <w:r>
                          <w:rPr>
                            <w:rFonts w:ascii="宋体" w:hAnsi="宋体" w:cs="宋体" w:hint="eastAsia"/>
                            <w:b/>
                          </w:rPr>
                          <w:t>检测周期</w:t>
                        </w:r>
                      </w:p>
                    </w:tc>
                  </w:tr>
                  <w:tr w:rsidR="00F76A63" w14:paraId="25D3D18E" w14:textId="77777777">
                    <w:trPr>
                      <w:trHeight w:val="20"/>
                      <w:jc w:val="center"/>
                    </w:trPr>
                    <w:tc>
                      <w:tcPr>
                        <w:tcW w:w="737" w:type="dxa"/>
                        <w:tcBorders>
                          <w:top w:val="single" w:sz="4" w:space="0" w:color="auto"/>
                          <w:left w:val="nil"/>
                          <w:bottom w:val="single" w:sz="4" w:space="0" w:color="auto"/>
                          <w:right w:val="single" w:sz="4" w:space="0" w:color="auto"/>
                        </w:tcBorders>
                        <w:vAlign w:val="center"/>
                      </w:tcPr>
                      <w:p w14:paraId="3AEE03B3" w14:textId="77777777" w:rsidR="00F76A63" w:rsidRDefault="00000000">
                        <w:pPr>
                          <w:autoSpaceDE w:val="0"/>
                          <w:autoSpaceDN w:val="0"/>
                          <w:snapToGrid w:val="0"/>
                          <w:jc w:val="center"/>
                        </w:pPr>
                        <w:r>
                          <w:t>1</w:t>
                        </w:r>
                      </w:p>
                    </w:tc>
                    <w:tc>
                      <w:tcPr>
                        <w:tcW w:w="1559" w:type="dxa"/>
                        <w:tcBorders>
                          <w:top w:val="single" w:sz="4" w:space="0" w:color="auto"/>
                          <w:left w:val="single" w:sz="4" w:space="0" w:color="auto"/>
                          <w:bottom w:val="single" w:sz="4" w:space="0" w:color="auto"/>
                          <w:right w:val="single" w:sz="4" w:space="0" w:color="auto"/>
                        </w:tcBorders>
                        <w:vAlign w:val="center"/>
                      </w:tcPr>
                      <w:p w14:paraId="5810BEEC" w14:textId="77777777" w:rsidR="00F76A63" w:rsidRDefault="00000000">
                        <w:pPr>
                          <w:autoSpaceDE w:val="0"/>
                          <w:autoSpaceDN w:val="0"/>
                          <w:snapToGrid w:val="0"/>
                          <w:jc w:val="center"/>
                        </w:pPr>
                        <w:r>
                          <w:rPr>
                            <w:rFonts w:ascii="宋体" w:hAnsi="宋体" w:cs="宋体" w:hint="eastAsia"/>
                          </w:rPr>
                          <w:t>汞（</w:t>
                        </w:r>
                        <w:r>
                          <w:t>Hg</w:t>
                        </w:r>
                        <w:r>
                          <w:rPr>
                            <w:rFonts w:ascii="宋体" w:hAnsi="宋体" w:cs="宋体" w:hint="eastAsia"/>
                          </w:rPr>
                          <w:t>）</w:t>
                        </w:r>
                      </w:p>
                    </w:tc>
                    <w:tc>
                      <w:tcPr>
                        <w:tcW w:w="2126" w:type="dxa"/>
                        <w:tcBorders>
                          <w:top w:val="single" w:sz="4" w:space="0" w:color="auto"/>
                          <w:left w:val="single" w:sz="4" w:space="0" w:color="auto"/>
                          <w:bottom w:val="single" w:sz="4" w:space="0" w:color="auto"/>
                          <w:right w:val="single" w:sz="4" w:space="0" w:color="auto"/>
                        </w:tcBorders>
                        <w:vAlign w:val="center"/>
                      </w:tcPr>
                      <w:p w14:paraId="157935DC" w14:textId="77777777" w:rsidR="00F76A63" w:rsidRDefault="00000000">
                        <w:pPr>
                          <w:autoSpaceDE w:val="0"/>
                          <w:autoSpaceDN w:val="0"/>
                          <w:snapToGrid w:val="0"/>
                          <w:jc w:val="center"/>
                        </w:pPr>
                        <w:r>
                          <w:rPr>
                            <w:rFonts w:ascii="宋体" w:hAnsi="宋体" w:cs="宋体" w:hint="eastAsia"/>
                          </w:rPr>
                          <w:t>＜</w:t>
                        </w:r>
                        <w:r>
                          <w:t>15</w:t>
                        </w:r>
                      </w:p>
                    </w:tc>
                    <w:tc>
                      <w:tcPr>
                        <w:tcW w:w="2865" w:type="dxa"/>
                        <w:vMerge w:val="restart"/>
                        <w:tcBorders>
                          <w:top w:val="single" w:sz="4" w:space="0" w:color="auto"/>
                          <w:left w:val="single" w:sz="4" w:space="0" w:color="auto"/>
                          <w:bottom w:val="single" w:sz="4" w:space="0" w:color="auto"/>
                          <w:right w:val="nil"/>
                        </w:tcBorders>
                        <w:vAlign w:val="center"/>
                      </w:tcPr>
                      <w:p w14:paraId="6613EF65" w14:textId="77777777" w:rsidR="00F76A63" w:rsidRDefault="00000000">
                        <w:pPr>
                          <w:autoSpaceDE w:val="0"/>
                          <w:autoSpaceDN w:val="0"/>
                          <w:snapToGrid w:val="0"/>
                          <w:jc w:val="center"/>
                        </w:pPr>
                        <w:r>
                          <w:rPr>
                            <w:rFonts w:ascii="宋体" w:hAnsi="宋体" w:cs="宋体" w:hint="eastAsia"/>
                          </w:rPr>
                          <w:t>每批次进厂检测</w:t>
                        </w:r>
                        <w:r>
                          <w:t>1</w:t>
                        </w:r>
                        <w:r>
                          <w:rPr>
                            <w:rFonts w:ascii="宋体" w:hAnsi="宋体" w:cs="宋体" w:hint="eastAsia"/>
                          </w:rPr>
                          <w:t>次。若来源稳定每月检测</w:t>
                        </w:r>
                        <w:r>
                          <w:t>1</w:t>
                        </w:r>
                        <w:r>
                          <w:rPr>
                            <w:rFonts w:ascii="宋体" w:hAnsi="宋体" w:cs="宋体" w:hint="eastAsia"/>
                          </w:rPr>
                          <w:t>次</w:t>
                        </w:r>
                      </w:p>
                    </w:tc>
                  </w:tr>
                  <w:tr w:rsidR="00F76A63" w14:paraId="28140463" w14:textId="77777777">
                    <w:trPr>
                      <w:trHeight w:val="20"/>
                      <w:jc w:val="center"/>
                    </w:trPr>
                    <w:tc>
                      <w:tcPr>
                        <w:tcW w:w="737" w:type="dxa"/>
                        <w:tcBorders>
                          <w:top w:val="single" w:sz="4" w:space="0" w:color="auto"/>
                          <w:left w:val="nil"/>
                          <w:bottom w:val="single" w:sz="4" w:space="0" w:color="auto"/>
                          <w:right w:val="single" w:sz="4" w:space="0" w:color="auto"/>
                        </w:tcBorders>
                        <w:vAlign w:val="center"/>
                      </w:tcPr>
                      <w:p w14:paraId="4A1B0296" w14:textId="77777777" w:rsidR="00F76A63" w:rsidRDefault="00000000">
                        <w:pPr>
                          <w:autoSpaceDE w:val="0"/>
                          <w:autoSpaceDN w:val="0"/>
                          <w:snapToGrid w:val="0"/>
                          <w:jc w:val="center"/>
                        </w:pPr>
                        <w:r>
                          <w:t>2</w:t>
                        </w:r>
                      </w:p>
                    </w:tc>
                    <w:tc>
                      <w:tcPr>
                        <w:tcW w:w="1559" w:type="dxa"/>
                        <w:tcBorders>
                          <w:top w:val="single" w:sz="4" w:space="0" w:color="auto"/>
                          <w:left w:val="single" w:sz="4" w:space="0" w:color="auto"/>
                          <w:bottom w:val="single" w:sz="4" w:space="0" w:color="auto"/>
                          <w:right w:val="single" w:sz="4" w:space="0" w:color="auto"/>
                        </w:tcBorders>
                        <w:vAlign w:val="center"/>
                      </w:tcPr>
                      <w:p w14:paraId="093F11B5" w14:textId="77777777" w:rsidR="00F76A63" w:rsidRDefault="00000000">
                        <w:pPr>
                          <w:autoSpaceDE w:val="0"/>
                          <w:autoSpaceDN w:val="0"/>
                          <w:snapToGrid w:val="0"/>
                          <w:jc w:val="center"/>
                        </w:pPr>
                        <w:r>
                          <w:rPr>
                            <w:rFonts w:ascii="宋体" w:hAnsi="宋体" w:cs="宋体" w:hint="eastAsia"/>
                          </w:rPr>
                          <w:t>铅（</w:t>
                        </w:r>
                        <w:r>
                          <w:t>Pb</w:t>
                        </w:r>
                        <w:r>
                          <w:rPr>
                            <w:rFonts w:ascii="宋体" w:hAnsi="宋体" w:cs="宋体" w:hint="eastAsia"/>
                          </w:rPr>
                          <w:t>）</w:t>
                        </w:r>
                      </w:p>
                    </w:tc>
                    <w:tc>
                      <w:tcPr>
                        <w:tcW w:w="2126" w:type="dxa"/>
                        <w:tcBorders>
                          <w:top w:val="single" w:sz="4" w:space="0" w:color="auto"/>
                          <w:left w:val="single" w:sz="4" w:space="0" w:color="auto"/>
                          <w:bottom w:val="single" w:sz="4" w:space="0" w:color="auto"/>
                          <w:right w:val="single" w:sz="4" w:space="0" w:color="auto"/>
                        </w:tcBorders>
                        <w:vAlign w:val="center"/>
                      </w:tcPr>
                      <w:p w14:paraId="5396FEBB" w14:textId="77777777" w:rsidR="00F76A63" w:rsidRDefault="00000000">
                        <w:pPr>
                          <w:autoSpaceDE w:val="0"/>
                          <w:autoSpaceDN w:val="0"/>
                          <w:snapToGrid w:val="0"/>
                          <w:jc w:val="center"/>
                        </w:pPr>
                        <w:r>
                          <w:rPr>
                            <w:rFonts w:ascii="宋体" w:hAnsi="宋体" w:cs="宋体" w:hint="eastAsia"/>
                          </w:rPr>
                          <w:t>＜</w:t>
                        </w:r>
                        <w:r>
                          <w:t>1200</w:t>
                        </w:r>
                      </w:p>
                    </w:tc>
                    <w:tc>
                      <w:tcPr>
                        <w:tcW w:w="0" w:type="auto"/>
                        <w:vMerge/>
                        <w:tcBorders>
                          <w:top w:val="single" w:sz="4" w:space="0" w:color="auto"/>
                          <w:left w:val="single" w:sz="4" w:space="0" w:color="auto"/>
                          <w:bottom w:val="single" w:sz="4" w:space="0" w:color="auto"/>
                          <w:right w:val="nil"/>
                        </w:tcBorders>
                        <w:vAlign w:val="center"/>
                      </w:tcPr>
                      <w:p w14:paraId="62B72BB1" w14:textId="77777777" w:rsidR="00F76A63" w:rsidRDefault="00F76A63">
                        <w:pPr>
                          <w:jc w:val="center"/>
                          <w:rPr>
                            <w:szCs w:val="21"/>
                          </w:rPr>
                        </w:pPr>
                      </w:p>
                    </w:tc>
                  </w:tr>
                  <w:tr w:rsidR="00F76A63" w14:paraId="01ABE4CA" w14:textId="77777777">
                    <w:trPr>
                      <w:trHeight w:val="20"/>
                      <w:jc w:val="center"/>
                    </w:trPr>
                    <w:tc>
                      <w:tcPr>
                        <w:tcW w:w="737" w:type="dxa"/>
                        <w:tcBorders>
                          <w:top w:val="single" w:sz="4" w:space="0" w:color="auto"/>
                          <w:left w:val="nil"/>
                          <w:bottom w:val="single" w:sz="4" w:space="0" w:color="auto"/>
                          <w:right w:val="single" w:sz="4" w:space="0" w:color="auto"/>
                        </w:tcBorders>
                        <w:vAlign w:val="center"/>
                      </w:tcPr>
                      <w:p w14:paraId="22F910B3" w14:textId="77777777" w:rsidR="00F76A63" w:rsidRDefault="00000000">
                        <w:pPr>
                          <w:autoSpaceDE w:val="0"/>
                          <w:autoSpaceDN w:val="0"/>
                          <w:snapToGrid w:val="0"/>
                          <w:jc w:val="center"/>
                        </w:pPr>
                        <w:r>
                          <w:t>3</w:t>
                        </w:r>
                      </w:p>
                    </w:tc>
                    <w:tc>
                      <w:tcPr>
                        <w:tcW w:w="1559" w:type="dxa"/>
                        <w:tcBorders>
                          <w:top w:val="single" w:sz="4" w:space="0" w:color="auto"/>
                          <w:left w:val="single" w:sz="4" w:space="0" w:color="auto"/>
                          <w:bottom w:val="single" w:sz="4" w:space="0" w:color="auto"/>
                          <w:right w:val="single" w:sz="4" w:space="0" w:color="auto"/>
                        </w:tcBorders>
                        <w:vAlign w:val="center"/>
                      </w:tcPr>
                      <w:p w14:paraId="4802687C" w14:textId="77777777" w:rsidR="00F76A63" w:rsidRDefault="00000000">
                        <w:pPr>
                          <w:autoSpaceDE w:val="0"/>
                          <w:autoSpaceDN w:val="0"/>
                          <w:snapToGrid w:val="0"/>
                          <w:jc w:val="center"/>
                        </w:pPr>
                        <w:r>
                          <w:rPr>
                            <w:rFonts w:ascii="宋体" w:hAnsi="宋体" w:cs="宋体" w:hint="eastAsia"/>
                          </w:rPr>
                          <w:t>镉（</w:t>
                        </w:r>
                        <w:r>
                          <w:t>Cd</w:t>
                        </w:r>
                        <w:r>
                          <w:rPr>
                            <w:rFonts w:ascii="宋体" w:hAnsi="宋体" w:cs="宋体" w:hint="eastAsia"/>
                          </w:rPr>
                          <w:t>）</w:t>
                        </w:r>
                      </w:p>
                    </w:tc>
                    <w:tc>
                      <w:tcPr>
                        <w:tcW w:w="2126" w:type="dxa"/>
                        <w:tcBorders>
                          <w:top w:val="single" w:sz="4" w:space="0" w:color="auto"/>
                          <w:left w:val="single" w:sz="4" w:space="0" w:color="auto"/>
                          <w:bottom w:val="single" w:sz="4" w:space="0" w:color="auto"/>
                          <w:right w:val="single" w:sz="4" w:space="0" w:color="auto"/>
                        </w:tcBorders>
                        <w:vAlign w:val="center"/>
                      </w:tcPr>
                      <w:p w14:paraId="1F6F4580" w14:textId="77777777" w:rsidR="00F76A63" w:rsidRDefault="00000000">
                        <w:pPr>
                          <w:autoSpaceDE w:val="0"/>
                          <w:autoSpaceDN w:val="0"/>
                          <w:snapToGrid w:val="0"/>
                          <w:jc w:val="center"/>
                        </w:pPr>
                        <w:r>
                          <w:rPr>
                            <w:rFonts w:ascii="宋体" w:hAnsi="宋体" w:cs="宋体" w:hint="eastAsia"/>
                          </w:rPr>
                          <w:t>＜</w:t>
                        </w:r>
                        <w:r>
                          <w:t>45</w:t>
                        </w:r>
                      </w:p>
                    </w:tc>
                    <w:tc>
                      <w:tcPr>
                        <w:tcW w:w="0" w:type="auto"/>
                        <w:vMerge/>
                        <w:tcBorders>
                          <w:top w:val="single" w:sz="4" w:space="0" w:color="auto"/>
                          <w:left w:val="single" w:sz="4" w:space="0" w:color="auto"/>
                          <w:bottom w:val="single" w:sz="4" w:space="0" w:color="auto"/>
                          <w:right w:val="nil"/>
                        </w:tcBorders>
                        <w:vAlign w:val="center"/>
                      </w:tcPr>
                      <w:p w14:paraId="0AC9FAEC" w14:textId="77777777" w:rsidR="00F76A63" w:rsidRDefault="00F76A63">
                        <w:pPr>
                          <w:jc w:val="center"/>
                          <w:rPr>
                            <w:szCs w:val="21"/>
                          </w:rPr>
                        </w:pPr>
                      </w:p>
                    </w:tc>
                  </w:tr>
                  <w:tr w:rsidR="00F76A63" w14:paraId="77E16F76" w14:textId="77777777">
                    <w:trPr>
                      <w:trHeight w:val="20"/>
                      <w:jc w:val="center"/>
                    </w:trPr>
                    <w:tc>
                      <w:tcPr>
                        <w:tcW w:w="737" w:type="dxa"/>
                        <w:tcBorders>
                          <w:top w:val="single" w:sz="4" w:space="0" w:color="auto"/>
                          <w:left w:val="nil"/>
                          <w:bottom w:val="single" w:sz="4" w:space="0" w:color="auto"/>
                          <w:right w:val="single" w:sz="4" w:space="0" w:color="auto"/>
                        </w:tcBorders>
                        <w:vAlign w:val="center"/>
                      </w:tcPr>
                      <w:p w14:paraId="3A74BD93" w14:textId="77777777" w:rsidR="00F76A63" w:rsidRDefault="00000000">
                        <w:pPr>
                          <w:autoSpaceDE w:val="0"/>
                          <w:autoSpaceDN w:val="0"/>
                          <w:snapToGrid w:val="0"/>
                          <w:jc w:val="center"/>
                        </w:pPr>
                        <w:r>
                          <w:t>4</w:t>
                        </w:r>
                      </w:p>
                    </w:tc>
                    <w:tc>
                      <w:tcPr>
                        <w:tcW w:w="1559" w:type="dxa"/>
                        <w:tcBorders>
                          <w:top w:val="single" w:sz="4" w:space="0" w:color="auto"/>
                          <w:left w:val="single" w:sz="4" w:space="0" w:color="auto"/>
                          <w:bottom w:val="single" w:sz="4" w:space="0" w:color="auto"/>
                          <w:right w:val="single" w:sz="4" w:space="0" w:color="auto"/>
                        </w:tcBorders>
                        <w:vAlign w:val="center"/>
                      </w:tcPr>
                      <w:p w14:paraId="2B997FFB" w14:textId="77777777" w:rsidR="00F76A63" w:rsidRDefault="00000000">
                        <w:pPr>
                          <w:autoSpaceDE w:val="0"/>
                          <w:autoSpaceDN w:val="0"/>
                          <w:snapToGrid w:val="0"/>
                          <w:jc w:val="center"/>
                        </w:pPr>
                        <w:r>
                          <w:rPr>
                            <w:rFonts w:ascii="宋体" w:hAnsi="宋体" w:cs="宋体" w:hint="eastAsia"/>
                          </w:rPr>
                          <w:t>锌（</w:t>
                        </w:r>
                        <w:r>
                          <w:t>Zn</w:t>
                        </w:r>
                        <w:r>
                          <w:rPr>
                            <w:rFonts w:ascii="宋体" w:hAnsi="宋体" w:cs="宋体" w:hint="eastAsia"/>
                          </w:rPr>
                          <w:t>）</w:t>
                        </w:r>
                      </w:p>
                    </w:tc>
                    <w:tc>
                      <w:tcPr>
                        <w:tcW w:w="2126" w:type="dxa"/>
                        <w:tcBorders>
                          <w:top w:val="single" w:sz="4" w:space="0" w:color="auto"/>
                          <w:left w:val="single" w:sz="4" w:space="0" w:color="auto"/>
                          <w:bottom w:val="single" w:sz="4" w:space="0" w:color="auto"/>
                          <w:right w:val="single" w:sz="4" w:space="0" w:color="auto"/>
                        </w:tcBorders>
                        <w:vAlign w:val="center"/>
                      </w:tcPr>
                      <w:p w14:paraId="3ACF86EB" w14:textId="77777777" w:rsidR="00F76A63" w:rsidRDefault="00000000">
                        <w:pPr>
                          <w:autoSpaceDE w:val="0"/>
                          <w:autoSpaceDN w:val="0"/>
                          <w:snapToGrid w:val="0"/>
                          <w:jc w:val="center"/>
                        </w:pPr>
                        <w:r>
                          <w:rPr>
                            <w:rFonts w:ascii="宋体" w:hAnsi="宋体" w:cs="宋体" w:hint="eastAsia"/>
                          </w:rPr>
                          <w:t>＜</w:t>
                        </w:r>
                        <w:r>
                          <w:t>10000</w:t>
                        </w:r>
                      </w:p>
                    </w:tc>
                    <w:tc>
                      <w:tcPr>
                        <w:tcW w:w="0" w:type="auto"/>
                        <w:vMerge/>
                        <w:tcBorders>
                          <w:top w:val="single" w:sz="4" w:space="0" w:color="auto"/>
                          <w:left w:val="single" w:sz="4" w:space="0" w:color="auto"/>
                          <w:bottom w:val="single" w:sz="4" w:space="0" w:color="auto"/>
                          <w:right w:val="nil"/>
                        </w:tcBorders>
                        <w:vAlign w:val="center"/>
                      </w:tcPr>
                      <w:p w14:paraId="4677AAD4" w14:textId="77777777" w:rsidR="00F76A63" w:rsidRDefault="00F76A63">
                        <w:pPr>
                          <w:jc w:val="center"/>
                          <w:rPr>
                            <w:szCs w:val="21"/>
                          </w:rPr>
                        </w:pPr>
                      </w:p>
                    </w:tc>
                  </w:tr>
                  <w:tr w:rsidR="00F76A63" w14:paraId="752EBAB5" w14:textId="77777777">
                    <w:trPr>
                      <w:trHeight w:val="20"/>
                      <w:jc w:val="center"/>
                    </w:trPr>
                    <w:tc>
                      <w:tcPr>
                        <w:tcW w:w="737" w:type="dxa"/>
                        <w:tcBorders>
                          <w:top w:val="single" w:sz="4" w:space="0" w:color="auto"/>
                          <w:left w:val="nil"/>
                          <w:bottom w:val="single" w:sz="12" w:space="0" w:color="auto"/>
                          <w:right w:val="single" w:sz="4" w:space="0" w:color="auto"/>
                        </w:tcBorders>
                        <w:vAlign w:val="center"/>
                      </w:tcPr>
                      <w:p w14:paraId="1E7E0A04" w14:textId="77777777" w:rsidR="00F76A63" w:rsidRDefault="00000000">
                        <w:pPr>
                          <w:autoSpaceDE w:val="0"/>
                          <w:autoSpaceDN w:val="0"/>
                          <w:snapToGrid w:val="0"/>
                          <w:jc w:val="center"/>
                        </w:pPr>
                        <w:r>
                          <w:t>5</w:t>
                        </w:r>
                      </w:p>
                    </w:tc>
                    <w:tc>
                      <w:tcPr>
                        <w:tcW w:w="1559" w:type="dxa"/>
                        <w:tcBorders>
                          <w:top w:val="single" w:sz="4" w:space="0" w:color="auto"/>
                          <w:left w:val="single" w:sz="4" w:space="0" w:color="auto"/>
                          <w:bottom w:val="single" w:sz="12" w:space="0" w:color="auto"/>
                          <w:right w:val="single" w:sz="4" w:space="0" w:color="auto"/>
                        </w:tcBorders>
                        <w:vAlign w:val="center"/>
                      </w:tcPr>
                      <w:p w14:paraId="6452F093" w14:textId="77777777" w:rsidR="00F76A63" w:rsidRDefault="00000000">
                        <w:pPr>
                          <w:autoSpaceDE w:val="0"/>
                          <w:autoSpaceDN w:val="0"/>
                          <w:snapToGrid w:val="0"/>
                          <w:jc w:val="center"/>
                        </w:pPr>
                        <w:r>
                          <w:rPr>
                            <w:rFonts w:ascii="宋体" w:hAnsi="宋体" w:cs="宋体" w:hint="eastAsia"/>
                          </w:rPr>
                          <w:t>铬（</w:t>
                        </w:r>
                        <w:r>
                          <w:t>Cr</w:t>
                        </w:r>
                        <w:r>
                          <w:rPr>
                            <w:rFonts w:ascii="宋体" w:hAnsi="宋体" w:cs="宋体" w:hint="eastAsia"/>
                          </w:rPr>
                          <w:t>）</w:t>
                        </w:r>
                      </w:p>
                    </w:tc>
                    <w:tc>
                      <w:tcPr>
                        <w:tcW w:w="2126" w:type="dxa"/>
                        <w:tcBorders>
                          <w:top w:val="single" w:sz="4" w:space="0" w:color="auto"/>
                          <w:left w:val="single" w:sz="4" w:space="0" w:color="auto"/>
                          <w:bottom w:val="single" w:sz="12" w:space="0" w:color="auto"/>
                          <w:right w:val="single" w:sz="4" w:space="0" w:color="auto"/>
                        </w:tcBorders>
                        <w:vAlign w:val="center"/>
                      </w:tcPr>
                      <w:p w14:paraId="5CE42F49" w14:textId="77777777" w:rsidR="00F76A63" w:rsidRDefault="00000000">
                        <w:pPr>
                          <w:autoSpaceDE w:val="0"/>
                          <w:autoSpaceDN w:val="0"/>
                          <w:snapToGrid w:val="0"/>
                          <w:jc w:val="center"/>
                        </w:pPr>
                        <w:r>
                          <w:rPr>
                            <w:rFonts w:ascii="宋体" w:hAnsi="宋体" w:cs="宋体" w:hint="eastAsia"/>
                          </w:rPr>
                          <w:t>＜</w:t>
                        </w:r>
                        <w:r>
                          <w:t>1500</w:t>
                        </w:r>
                      </w:p>
                    </w:tc>
                    <w:tc>
                      <w:tcPr>
                        <w:tcW w:w="0" w:type="auto"/>
                        <w:vMerge/>
                        <w:tcBorders>
                          <w:top w:val="single" w:sz="4" w:space="0" w:color="auto"/>
                          <w:left w:val="single" w:sz="4" w:space="0" w:color="auto"/>
                          <w:bottom w:val="single" w:sz="4" w:space="0" w:color="auto"/>
                          <w:right w:val="nil"/>
                        </w:tcBorders>
                        <w:vAlign w:val="center"/>
                      </w:tcPr>
                      <w:p w14:paraId="38F6F556" w14:textId="77777777" w:rsidR="00F76A63" w:rsidRDefault="00F76A63">
                        <w:pPr>
                          <w:jc w:val="center"/>
                          <w:rPr>
                            <w:szCs w:val="21"/>
                          </w:rPr>
                        </w:pPr>
                      </w:p>
                    </w:tc>
                  </w:tr>
                </w:tbl>
                <w:p w14:paraId="1CBDA31F" w14:textId="77777777" w:rsidR="00F76A63" w:rsidRDefault="00F76A63">
                  <w:pPr>
                    <w:autoSpaceDE w:val="0"/>
                    <w:autoSpaceDN w:val="0"/>
                    <w:snapToGrid w:val="0"/>
                    <w:jc w:val="center"/>
                    <w:rPr>
                      <w:szCs w:val="21"/>
                    </w:rPr>
                  </w:pPr>
                </w:p>
              </w:tc>
              <w:tc>
                <w:tcPr>
                  <w:tcW w:w="1239" w:type="pct"/>
                  <w:tcBorders>
                    <w:top w:val="single" w:sz="6" w:space="0" w:color="auto"/>
                    <w:left w:val="single" w:sz="6" w:space="0" w:color="auto"/>
                    <w:bottom w:val="single" w:sz="6" w:space="0" w:color="auto"/>
                    <w:right w:val="single" w:sz="6" w:space="0" w:color="auto"/>
                  </w:tcBorders>
                  <w:vAlign w:val="center"/>
                </w:tcPr>
                <w:p w14:paraId="3227AF5C" w14:textId="77777777" w:rsidR="00F76A63" w:rsidRDefault="00000000">
                  <w:pPr>
                    <w:autoSpaceDE w:val="0"/>
                    <w:autoSpaceDN w:val="0"/>
                    <w:snapToGrid w:val="0"/>
                    <w:jc w:val="center"/>
                  </w:pPr>
                  <w:r>
                    <w:rPr>
                      <w:rFonts w:hint="eastAsia"/>
                    </w:rPr>
                    <w:t>1</w:t>
                  </w:r>
                  <w:r>
                    <w:rPr>
                      <w:rFonts w:hint="eastAsia"/>
                    </w:rPr>
                    <w:t>、</w:t>
                  </w:r>
                  <w:r>
                    <w:t>本项目</w:t>
                  </w:r>
                  <w:r>
                    <w:rPr>
                      <w:rFonts w:hint="eastAsia"/>
                    </w:rPr>
                    <w:t>污泥进厂后污泥进行检测，</w:t>
                  </w:r>
                  <w:r>
                    <w:t>配备对污泥特性监测和分析的仪器设备</w:t>
                  </w:r>
                  <w:r>
                    <w:rPr>
                      <w:rFonts w:hint="eastAsia"/>
                    </w:rPr>
                    <w:t>；</w:t>
                  </w:r>
                </w:p>
                <w:p w14:paraId="377F20C2" w14:textId="77777777" w:rsidR="00F76A63" w:rsidRDefault="00000000">
                  <w:pPr>
                    <w:autoSpaceDE w:val="0"/>
                    <w:autoSpaceDN w:val="0"/>
                    <w:snapToGrid w:val="0"/>
                    <w:jc w:val="center"/>
                  </w:pPr>
                  <w:r>
                    <w:rPr>
                      <w:rFonts w:hint="eastAsia"/>
                    </w:rPr>
                    <w:t>2</w:t>
                  </w:r>
                  <w:r>
                    <w:rPr>
                      <w:rFonts w:hint="eastAsia"/>
                    </w:rPr>
                    <w:t>、</w:t>
                  </w:r>
                  <w:r>
                    <w:t>泥分析鉴别采取多点取样，样品有代表性</w:t>
                  </w:r>
                  <w:r>
                    <w:rPr>
                      <w:rFonts w:hint="eastAsia"/>
                    </w:rPr>
                    <w:t>；</w:t>
                  </w:r>
                </w:p>
                <w:p w14:paraId="23187F21" w14:textId="77777777" w:rsidR="00F76A63" w:rsidRDefault="00000000">
                  <w:pPr>
                    <w:autoSpaceDE w:val="0"/>
                    <w:autoSpaceDN w:val="0"/>
                    <w:snapToGrid w:val="0"/>
                    <w:jc w:val="center"/>
                  </w:pPr>
                  <w:r>
                    <w:rPr>
                      <w:rFonts w:hint="eastAsia"/>
                    </w:rPr>
                    <w:t>3</w:t>
                  </w:r>
                  <w:r>
                    <w:rPr>
                      <w:rFonts w:hint="eastAsia"/>
                    </w:rPr>
                    <w:t>、污泥分析包含</w:t>
                  </w:r>
                  <w:r>
                    <w:t>固定碳、灰分、挥发分、水分、灰熔点、低位热值</w:t>
                  </w:r>
                  <w:r>
                    <w:rPr>
                      <w:rFonts w:hint="eastAsia"/>
                    </w:rPr>
                    <w:t>、</w:t>
                  </w:r>
                  <w:r>
                    <w:t>重金属、硫、氯、钾、钠、磷</w:t>
                  </w:r>
                  <w:r>
                    <w:rPr>
                      <w:rFonts w:hint="eastAsia"/>
                    </w:rPr>
                    <w:t>，检测发方法符合</w:t>
                  </w:r>
                  <w:r>
                    <w:t>国家现行标准《城市污水处理厂污泥检验方法》</w:t>
                  </w:r>
                  <w:r>
                    <w:rPr>
                      <w:rFonts w:hint="eastAsia"/>
                    </w:rPr>
                    <w:t>（</w:t>
                  </w:r>
                  <w:r>
                    <w:t>CJ/T 221</w:t>
                  </w:r>
                  <w:r>
                    <w:rPr>
                      <w:rFonts w:hint="eastAsia"/>
                    </w:rPr>
                    <w:t>-2023</w:t>
                  </w:r>
                  <w:r>
                    <w:rPr>
                      <w:rFonts w:hint="eastAsia"/>
                    </w:rPr>
                    <w:t>）</w:t>
                  </w:r>
                  <w:r>
                    <w:t>中的有关规定。</w:t>
                  </w:r>
                </w:p>
              </w:tc>
              <w:tc>
                <w:tcPr>
                  <w:tcW w:w="186" w:type="pct"/>
                  <w:tcBorders>
                    <w:top w:val="single" w:sz="6" w:space="0" w:color="auto"/>
                    <w:left w:val="single" w:sz="6" w:space="0" w:color="auto"/>
                    <w:bottom w:val="single" w:sz="6" w:space="0" w:color="auto"/>
                    <w:right w:val="nil"/>
                  </w:tcBorders>
                  <w:vAlign w:val="center"/>
                </w:tcPr>
                <w:p w14:paraId="7DD1E7DB" w14:textId="77777777" w:rsidR="00F76A63" w:rsidRDefault="00000000">
                  <w:pPr>
                    <w:autoSpaceDE w:val="0"/>
                    <w:autoSpaceDN w:val="0"/>
                    <w:snapToGrid w:val="0"/>
                    <w:jc w:val="center"/>
                  </w:pPr>
                  <w:r>
                    <w:t>相符</w:t>
                  </w:r>
                </w:p>
              </w:tc>
            </w:tr>
            <w:tr w:rsidR="00F76A63" w14:paraId="7427FEAA" w14:textId="77777777">
              <w:trPr>
                <w:trHeight w:val="20"/>
                <w:jc w:val="center"/>
              </w:trPr>
              <w:tc>
                <w:tcPr>
                  <w:tcW w:w="222" w:type="pct"/>
                  <w:vMerge w:val="restart"/>
                  <w:tcBorders>
                    <w:top w:val="single" w:sz="6" w:space="0" w:color="auto"/>
                    <w:left w:val="nil"/>
                    <w:bottom w:val="single" w:sz="6" w:space="0" w:color="auto"/>
                    <w:right w:val="single" w:sz="6" w:space="0" w:color="auto"/>
                  </w:tcBorders>
                  <w:vAlign w:val="center"/>
                </w:tcPr>
                <w:p w14:paraId="61931D92" w14:textId="77777777" w:rsidR="00F76A63" w:rsidRDefault="00000000">
                  <w:pPr>
                    <w:autoSpaceDE w:val="0"/>
                    <w:autoSpaceDN w:val="0"/>
                    <w:snapToGrid w:val="0"/>
                    <w:jc w:val="center"/>
                  </w:pPr>
                  <w:r>
                    <w:t>6</w:t>
                  </w:r>
                  <w:r>
                    <w:t>、预</w:t>
                  </w:r>
                  <w:r>
                    <w:lastRenderedPageBreak/>
                    <w:t>处理系统</w:t>
                  </w:r>
                </w:p>
              </w:tc>
              <w:tc>
                <w:tcPr>
                  <w:tcW w:w="3353" w:type="pct"/>
                  <w:tcBorders>
                    <w:top w:val="single" w:sz="6" w:space="0" w:color="auto"/>
                    <w:left w:val="single" w:sz="6" w:space="0" w:color="auto"/>
                    <w:bottom w:val="single" w:sz="6" w:space="0" w:color="auto"/>
                    <w:right w:val="single" w:sz="6" w:space="0" w:color="auto"/>
                  </w:tcBorders>
                  <w:vAlign w:val="center"/>
                </w:tcPr>
                <w:p w14:paraId="63E242D4" w14:textId="77777777" w:rsidR="00F76A63" w:rsidRDefault="00000000">
                  <w:pPr>
                    <w:autoSpaceDE w:val="0"/>
                    <w:autoSpaceDN w:val="0"/>
                    <w:snapToGrid w:val="0"/>
                    <w:jc w:val="center"/>
                  </w:pPr>
                  <w:r>
                    <w:lastRenderedPageBreak/>
                    <w:t xml:space="preserve">6.1 </w:t>
                  </w:r>
                  <w:r>
                    <w:t>一般规定</w:t>
                  </w:r>
                </w:p>
                <w:p w14:paraId="7A2AA238" w14:textId="77777777" w:rsidR="00F76A63" w:rsidRDefault="00000000">
                  <w:pPr>
                    <w:autoSpaceDE w:val="0"/>
                    <w:autoSpaceDN w:val="0"/>
                    <w:snapToGrid w:val="0"/>
                    <w:jc w:val="center"/>
                  </w:pPr>
                  <w:r>
                    <w:t xml:space="preserve">6.1.1 </w:t>
                  </w:r>
                  <w:r>
                    <w:t>污泥预处理系统应包括污泥储存、脱水、干化装置或其中一个环节的装置。</w:t>
                  </w:r>
                </w:p>
                <w:p w14:paraId="509E2B10" w14:textId="77777777" w:rsidR="00F76A63" w:rsidRDefault="00000000">
                  <w:pPr>
                    <w:autoSpaceDE w:val="0"/>
                    <w:autoSpaceDN w:val="0"/>
                    <w:snapToGrid w:val="0"/>
                    <w:jc w:val="center"/>
                  </w:pPr>
                  <w:r>
                    <w:lastRenderedPageBreak/>
                    <w:t xml:space="preserve">6.1.2 </w:t>
                  </w:r>
                  <w:r>
                    <w:t>当预处理后的污泥粒径大于</w:t>
                  </w:r>
                  <w:r>
                    <w:t xml:space="preserve"> 100mm </w:t>
                  </w:r>
                  <w:r>
                    <w:t>时，污泥预处理系统中宜设置破碎装置。</w:t>
                  </w:r>
                </w:p>
                <w:p w14:paraId="5EE6F43B" w14:textId="77777777" w:rsidR="00F76A63" w:rsidRDefault="00000000">
                  <w:pPr>
                    <w:autoSpaceDE w:val="0"/>
                    <w:autoSpaceDN w:val="0"/>
                    <w:snapToGrid w:val="0"/>
                    <w:jc w:val="center"/>
                  </w:pPr>
                  <w:r>
                    <w:t xml:space="preserve">6.1.3 </w:t>
                  </w:r>
                  <w:r>
                    <w:t>污泥预处理系统宜采用单元制配置、多模块组合的方式。</w:t>
                  </w:r>
                </w:p>
                <w:p w14:paraId="5D345918" w14:textId="77777777" w:rsidR="00F76A63" w:rsidRDefault="00000000">
                  <w:pPr>
                    <w:autoSpaceDE w:val="0"/>
                    <w:autoSpaceDN w:val="0"/>
                    <w:snapToGrid w:val="0"/>
                    <w:jc w:val="center"/>
                  </w:pPr>
                  <w:r>
                    <w:t xml:space="preserve">6.1.4 </w:t>
                  </w:r>
                  <w:r>
                    <w:t>污泥预处理系统宜采用连续运行模式，年可利用小时数应与水泥生产线同步，并应满足污泥日产日清的要求。</w:t>
                  </w:r>
                </w:p>
                <w:p w14:paraId="3C4AC982" w14:textId="77777777" w:rsidR="00F76A63" w:rsidRDefault="00000000">
                  <w:pPr>
                    <w:autoSpaceDE w:val="0"/>
                    <w:autoSpaceDN w:val="0"/>
                    <w:snapToGrid w:val="0"/>
                    <w:jc w:val="center"/>
                  </w:pPr>
                  <w:r>
                    <w:t xml:space="preserve">6.1.5 </w:t>
                  </w:r>
                  <w:r>
                    <w:t>污泥处置工程可综合考虑水泥厂生产情况、污泥泥质、污泥处理量、余热利用情况等，选择污泥干化脱水工艺或污泥直接入窑工艺。</w:t>
                  </w:r>
                </w:p>
              </w:tc>
              <w:tc>
                <w:tcPr>
                  <w:tcW w:w="1239" w:type="pct"/>
                  <w:tcBorders>
                    <w:top w:val="single" w:sz="6" w:space="0" w:color="auto"/>
                    <w:left w:val="single" w:sz="6" w:space="0" w:color="auto"/>
                    <w:bottom w:val="single" w:sz="6" w:space="0" w:color="auto"/>
                    <w:right w:val="single" w:sz="6" w:space="0" w:color="auto"/>
                  </w:tcBorders>
                  <w:vAlign w:val="center"/>
                </w:tcPr>
                <w:p w14:paraId="1C214743" w14:textId="77777777" w:rsidR="00F76A63" w:rsidRDefault="00000000">
                  <w:pPr>
                    <w:autoSpaceDE w:val="0"/>
                    <w:autoSpaceDN w:val="0"/>
                    <w:snapToGrid w:val="0"/>
                    <w:jc w:val="center"/>
                  </w:pPr>
                  <w:r>
                    <w:lastRenderedPageBreak/>
                    <w:t>本项目不涉及污泥预处理。</w:t>
                  </w:r>
                </w:p>
              </w:tc>
              <w:tc>
                <w:tcPr>
                  <w:tcW w:w="186" w:type="pct"/>
                  <w:tcBorders>
                    <w:top w:val="single" w:sz="6" w:space="0" w:color="auto"/>
                    <w:left w:val="single" w:sz="6" w:space="0" w:color="auto"/>
                    <w:bottom w:val="single" w:sz="6" w:space="0" w:color="auto"/>
                    <w:right w:val="nil"/>
                  </w:tcBorders>
                  <w:vAlign w:val="center"/>
                </w:tcPr>
                <w:p w14:paraId="43B7904F" w14:textId="77777777" w:rsidR="00F76A63" w:rsidRDefault="00000000">
                  <w:pPr>
                    <w:autoSpaceDE w:val="0"/>
                    <w:autoSpaceDN w:val="0"/>
                    <w:snapToGrid w:val="0"/>
                    <w:jc w:val="center"/>
                  </w:pPr>
                  <w:r>
                    <w:t>相符</w:t>
                  </w:r>
                </w:p>
              </w:tc>
            </w:tr>
            <w:tr w:rsidR="00F76A63" w14:paraId="1EA01478"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3D61A30A" w14:textId="77777777" w:rsidR="00F76A63" w:rsidRDefault="00F76A63">
                  <w:pPr>
                    <w:jc w:val="center"/>
                    <w:rPr>
                      <w:szCs w:val="21"/>
                    </w:rPr>
                  </w:pPr>
                </w:p>
              </w:tc>
              <w:tc>
                <w:tcPr>
                  <w:tcW w:w="3353" w:type="pct"/>
                  <w:tcBorders>
                    <w:top w:val="single" w:sz="6" w:space="0" w:color="auto"/>
                    <w:left w:val="single" w:sz="6" w:space="0" w:color="auto"/>
                    <w:bottom w:val="single" w:sz="6" w:space="0" w:color="auto"/>
                    <w:right w:val="single" w:sz="6" w:space="0" w:color="auto"/>
                  </w:tcBorders>
                  <w:vAlign w:val="center"/>
                </w:tcPr>
                <w:p w14:paraId="65B88408" w14:textId="77777777" w:rsidR="00F76A63" w:rsidRDefault="00000000">
                  <w:pPr>
                    <w:autoSpaceDE w:val="0"/>
                    <w:autoSpaceDN w:val="0"/>
                    <w:snapToGrid w:val="0"/>
                    <w:jc w:val="center"/>
                  </w:pPr>
                  <w:r>
                    <w:t xml:space="preserve">6.2 </w:t>
                  </w:r>
                  <w:r>
                    <w:t>污泥储存与输送</w:t>
                  </w:r>
                </w:p>
                <w:p w14:paraId="72AE1918" w14:textId="77777777" w:rsidR="00F76A63" w:rsidRDefault="00000000">
                  <w:pPr>
                    <w:autoSpaceDE w:val="0"/>
                    <w:autoSpaceDN w:val="0"/>
                    <w:snapToGrid w:val="0"/>
                    <w:jc w:val="center"/>
                  </w:pPr>
                  <w:r>
                    <w:t xml:space="preserve">6.2.1 </w:t>
                  </w:r>
                  <w:r>
                    <w:t>任何形式的污泥严禁露天存放。</w:t>
                  </w:r>
                </w:p>
                <w:p w14:paraId="1C05A708" w14:textId="77777777" w:rsidR="00F76A63" w:rsidRDefault="00000000">
                  <w:pPr>
                    <w:autoSpaceDE w:val="0"/>
                    <w:autoSpaceDN w:val="0"/>
                    <w:snapToGrid w:val="0"/>
                    <w:jc w:val="center"/>
                  </w:pPr>
                  <w:r>
                    <w:t xml:space="preserve">6.2.2 </w:t>
                  </w:r>
                  <w:r>
                    <w:t>污泥应采用专用密闭设施储存，不得与水泥厂原料及燃料直接混合或合并存放。污泥储存设施应加装甲烷（</w:t>
                  </w:r>
                  <w:r>
                    <w:t>CH</w:t>
                  </w:r>
                  <w:r>
                    <w:rPr>
                      <w:vertAlign w:val="subscript"/>
                    </w:rPr>
                    <w:t>4</w:t>
                  </w:r>
                  <w:r>
                    <w:t>）气体探头，并应进行强制排风。</w:t>
                  </w:r>
                </w:p>
                <w:p w14:paraId="1FE59462" w14:textId="77777777" w:rsidR="00F76A63" w:rsidRDefault="00000000">
                  <w:pPr>
                    <w:autoSpaceDE w:val="0"/>
                    <w:autoSpaceDN w:val="0"/>
                    <w:snapToGrid w:val="0"/>
                    <w:jc w:val="center"/>
                  </w:pPr>
                  <w:r>
                    <w:t xml:space="preserve">6.2.3 </w:t>
                  </w:r>
                  <w:r>
                    <w:t>污泥储存设施的有效容积宜按</w:t>
                  </w:r>
                  <w:r>
                    <w:t>1d</w:t>
                  </w:r>
                  <w:r>
                    <w:t>～</w:t>
                  </w:r>
                  <w:r>
                    <w:t>3d</w:t>
                  </w:r>
                  <w:r>
                    <w:t>的额定污泥处置量确定，并应与污泥产生企业协商水泥窑停产期间的储存预案。</w:t>
                  </w:r>
                </w:p>
                <w:p w14:paraId="457A291A" w14:textId="77777777" w:rsidR="00F76A63" w:rsidRDefault="00000000">
                  <w:pPr>
                    <w:autoSpaceDE w:val="0"/>
                    <w:autoSpaceDN w:val="0"/>
                    <w:snapToGrid w:val="0"/>
                    <w:jc w:val="center"/>
                  </w:pPr>
                  <w:r>
                    <w:t xml:space="preserve">6.2.4 </w:t>
                  </w:r>
                  <w:r>
                    <w:t>严寒及寒冷地区的污泥储存与输送应采取防冻措施。</w:t>
                  </w:r>
                </w:p>
              </w:tc>
              <w:tc>
                <w:tcPr>
                  <w:tcW w:w="1239" w:type="pct"/>
                  <w:tcBorders>
                    <w:top w:val="single" w:sz="6" w:space="0" w:color="auto"/>
                    <w:left w:val="single" w:sz="6" w:space="0" w:color="auto"/>
                    <w:bottom w:val="single" w:sz="6" w:space="0" w:color="auto"/>
                    <w:right w:val="single" w:sz="6" w:space="0" w:color="auto"/>
                  </w:tcBorders>
                  <w:vAlign w:val="center"/>
                </w:tcPr>
                <w:p w14:paraId="7A879871" w14:textId="77777777" w:rsidR="00F76A63" w:rsidRDefault="00000000">
                  <w:pPr>
                    <w:autoSpaceDE w:val="0"/>
                    <w:autoSpaceDN w:val="0"/>
                    <w:snapToGrid w:val="0"/>
                    <w:jc w:val="center"/>
                  </w:pPr>
                  <w:r>
                    <w:t>本项目</w:t>
                  </w:r>
                  <w:r>
                    <w:rPr>
                      <w:rFonts w:hint="eastAsia"/>
                    </w:rPr>
                    <w:t>污泥的储存与输送采用</w:t>
                  </w:r>
                  <w:r>
                    <w:t>专用密闭设施储存，不与水泥厂原料及燃料直接混合或合并存放。污泥储存设施加装甲烷（</w:t>
                  </w:r>
                  <w:r>
                    <w:t>CH</w:t>
                  </w:r>
                  <w:r>
                    <w:rPr>
                      <w:vertAlign w:val="subscript"/>
                    </w:rPr>
                    <w:t>4</w:t>
                  </w:r>
                  <w:r>
                    <w:t>）气体探头，并进行强制排风。</w:t>
                  </w:r>
                </w:p>
              </w:tc>
              <w:tc>
                <w:tcPr>
                  <w:tcW w:w="186" w:type="pct"/>
                  <w:tcBorders>
                    <w:top w:val="single" w:sz="6" w:space="0" w:color="auto"/>
                    <w:left w:val="single" w:sz="6" w:space="0" w:color="auto"/>
                    <w:bottom w:val="single" w:sz="6" w:space="0" w:color="auto"/>
                    <w:right w:val="nil"/>
                  </w:tcBorders>
                  <w:vAlign w:val="center"/>
                </w:tcPr>
                <w:p w14:paraId="3EF02AA0" w14:textId="77777777" w:rsidR="00F76A63" w:rsidRDefault="00000000">
                  <w:pPr>
                    <w:autoSpaceDE w:val="0"/>
                    <w:autoSpaceDN w:val="0"/>
                    <w:snapToGrid w:val="0"/>
                    <w:jc w:val="center"/>
                  </w:pPr>
                  <w:r>
                    <w:t>相符</w:t>
                  </w:r>
                </w:p>
              </w:tc>
            </w:tr>
            <w:tr w:rsidR="00F76A63" w14:paraId="77C08892"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7E3DF8FC" w14:textId="77777777" w:rsidR="00F76A63" w:rsidRDefault="00F76A63">
                  <w:pPr>
                    <w:jc w:val="center"/>
                    <w:rPr>
                      <w:szCs w:val="21"/>
                    </w:rPr>
                  </w:pPr>
                </w:p>
              </w:tc>
              <w:tc>
                <w:tcPr>
                  <w:tcW w:w="3353" w:type="pct"/>
                  <w:tcBorders>
                    <w:top w:val="single" w:sz="6" w:space="0" w:color="auto"/>
                    <w:left w:val="single" w:sz="6" w:space="0" w:color="auto"/>
                    <w:bottom w:val="single" w:sz="6" w:space="0" w:color="auto"/>
                    <w:right w:val="single" w:sz="6" w:space="0" w:color="auto"/>
                  </w:tcBorders>
                  <w:vAlign w:val="center"/>
                </w:tcPr>
                <w:p w14:paraId="2A85E0FF" w14:textId="77777777" w:rsidR="00F76A63" w:rsidRDefault="00000000">
                  <w:pPr>
                    <w:autoSpaceDE w:val="0"/>
                    <w:autoSpaceDN w:val="0"/>
                    <w:snapToGrid w:val="0"/>
                    <w:jc w:val="center"/>
                  </w:pPr>
                  <w:r>
                    <w:t xml:space="preserve">6.3 </w:t>
                  </w:r>
                  <w:r>
                    <w:t>直接入窑系统</w:t>
                  </w:r>
                </w:p>
                <w:p w14:paraId="6D155D71" w14:textId="77777777" w:rsidR="00F76A63" w:rsidRDefault="00000000">
                  <w:pPr>
                    <w:autoSpaceDE w:val="0"/>
                    <w:autoSpaceDN w:val="0"/>
                    <w:snapToGrid w:val="0"/>
                    <w:jc w:val="center"/>
                  </w:pPr>
                  <w:r>
                    <w:t xml:space="preserve">6.3.1 </w:t>
                  </w:r>
                  <w:r>
                    <w:t>采用直接入窑协同处置方式的污泥，储存应考虑污泥接收与储存共用，储存期宜大于</w:t>
                  </w:r>
                  <w:r>
                    <w:t>2d</w:t>
                  </w:r>
                  <w:r>
                    <w:t>。</w:t>
                  </w:r>
                </w:p>
                <w:p w14:paraId="67AEAAD7" w14:textId="77777777" w:rsidR="00F76A63" w:rsidRDefault="00000000">
                  <w:pPr>
                    <w:autoSpaceDE w:val="0"/>
                    <w:autoSpaceDN w:val="0"/>
                    <w:snapToGrid w:val="0"/>
                    <w:jc w:val="center"/>
                  </w:pPr>
                  <w:r>
                    <w:t xml:space="preserve">6.3.2 </w:t>
                  </w:r>
                  <w:r>
                    <w:t>输送污泥入窑的设备宜采用泵送方式，并应配置备用泵。</w:t>
                  </w:r>
                </w:p>
              </w:tc>
              <w:tc>
                <w:tcPr>
                  <w:tcW w:w="1239" w:type="pct"/>
                  <w:tcBorders>
                    <w:top w:val="single" w:sz="6" w:space="0" w:color="auto"/>
                    <w:left w:val="single" w:sz="6" w:space="0" w:color="auto"/>
                    <w:bottom w:val="single" w:sz="6" w:space="0" w:color="auto"/>
                    <w:right w:val="single" w:sz="6" w:space="0" w:color="auto"/>
                  </w:tcBorders>
                  <w:vAlign w:val="center"/>
                </w:tcPr>
                <w:p w14:paraId="32DCDE70" w14:textId="77777777" w:rsidR="00F76A63" w:rsidRDefault="00000000">
                  <w:pPr>
                    <w:autoSpaceDE w:val="0"/>
                    <w:autoSpaceDN w:val="0"/>
                    <w:snapToGrid w:val="0"/>
                    <w:jc w:val="center"/>
                  </w:pPr>
                  <w:r>
                    <w:t>污泥储存期大于</w:t>
                  </w:r>
                  <w:r>
                    <w:t>5d</w:t>
                  </w:r>
                  <w:r>
                    <w:t>，采用密闭廊道输送。</w:t>
                  </w:r>
                </w:p>
              </w:tc>
              <w:tc>
                <w:tcPr>
                  <w:tcW w:w="186" w:type="pct"/>
                  <w:tcBorders>
                    <w:top w:val="single" w:sz="6" w:space="0" w:color="auto"/>
                    <w:left w:val="single" w:sz="6" w:space="0" w:color="auto"/>
                    <w:bottom w:val="single" w:sz="6" w:space="0" w:color="auto"/>
                    <w:right w:val="nil"/>
                  </w:tcBorders>
                  <w:vAlign w:val="center"/>
                </w:tcPr>
                <w:p w14:paraId="5E4E2A7B" w14:textId="77777777" w:rsidR="00F76A63" w:rsidRDefault="00000000">
                  <w:pPr>
                    <w:autoSpaceDE w:val="0"/>
                    <w:autoSpaceDN w:val="0"/>
                    <w:snapToGrid w:val="0"/>
                    <w:jc w:val="center"/>
                  </w:pPr>
                  <w:r>
                    <w:t>相符</w:t>
                  </w:r>
                </w:p>
              </w:tc>
            </w:tr>
            <w:tr w:rsidR="00F76A63" w14:paraId="30E35479"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30444BB7" w14:textId="77777777" w:rsidR="00F76A63" w:rsidRDefault="00F76A63">
                  <w:pPr>
                    <w:jc w:val="center"/>
                    <w:rPr>
                      <w:szCs w:val="21"/>
                    </w:rPr>
                  </w:pPr>
                </w:p>
              </w:tc>
              <w:tc>
                <w:tcPr>
                  <w:tcW w:w="3353" w:type="pct"/>
                  <w:tcBorders>
                    <w:top w:val="single" w:sz="6" w:space="0" w:color="auto"/>
                    <w:left w:val="single" w:sz="6" w:space="0" w:color="auto"/>
                    <w:bottom w:val="single" w:sz="6" w:space="0" w:color="auto"/>
                    <w:right w:val="single" w:sz="6" w:space="0" w:color="auto"/>
                  </w:tcBorders>
                  <w:vAlign w:val="center"/>
                </w:tcPr>
                <w:p w14:paraId="47197CED" w14:textId="77777777" w:rsidR="00F76A63" w:rsidRDefault="00000000">
                  <w:pPr>
                    <w:autoSpaceDE w:val="0"/>
                    <w:autoSpaceDN w:val="0"/>
                    <w:snapToGrid w:val="0"/>
                    <w:jc w:val="center"/>
                  </w:pPr>
                  <w:r>
                    <w:t xml:space="preserve">6.4 </w:t>
                  </w:r>
                  <w:r>
                    <w:t>干化脱水系统</w:t>
                  </w:r>
                </w:p>
                <w:p w14:paraId="37DA7AF2" w14:textId="77777777" w:rsidR="00F76A63" w:rsidRDefault="00000000">
                  <w:pPr>
                    <w:autoSpaceDE w:val="0"/>
                    <w:autoSpaceDN w:val="0"/>
                    <w:snapToGrid w:val="0"/>
                    <w:jc w:val="center"/>
                  </w:pPr>
                  <w:r>
                    <w:t xml:space="preserve">6.4.1 </w:t>
                  </w:r>
                  <w:r>
                    <w:t>含有有机质的污泥严禁以生料或煤粉喂料方式入窑。</w:t>
                  </w:r>
                </w:p>
                <w:p w14:paraId="53AB7080" w14:textId="77777777" w:rsidR="00F76A63" w:rsidRDefault="00000000">
                  <w:pPr>
                    <w:autoSpaceDE w:val="0"/>
                    <w:autoSpaceDN w:val="0"/>
                    <w:snapToGrid w:val="0"/>
                    <w:jc w:val="center"/>
                  </w:pPr>
                  <w:r>
                    <w:t xml:space="preserve">6.4.2 </w:t>
                  </w:r>
                  <w:r>
                    <w:t>含水率为</w:t>
                  </w:r>
                  <w:r>
                    <w:t>60%</w:t>
                  </w:r>
                  <w:r>
                    <w:t>以上的污泥作为替代燃料处置时，宜单独设置干化或脱水系统。</w:t>
                  </w:r>
                </w:p>
              </w:tc>
              <w:tc>
                <w:tcPr>
                  <w:tcW w:w="1239" w:type="pct"/>
                  <w:tcBorders>
                    <w:top w:val="single" w:sz="6" w:space="0" w:color="auto"/>
                    <w:left w:val="single" w:sz="6" w:space="0" w:color="auto"/>
                    <w:bottom w:val="single" w:sz="6" w:space="0" w:color="auto"/>
                    <w:right w:val="single" w:sz="6" w:space="0" w:color="auto"/>
                  </w:tcBorders>
                  <w:vAlign w:val="center"/>
                </w:tcPr>
                <w:p w14:paraId="7307CF7D" w14:textId="77777777" w:rsidR="00F76A63" w:rsidRDefault="00000000">
                  <w:pPr>
                    <w:autoSpaceDE w:val="0"/>
                    <w:autoSpaceDN w:val="0"/>
                    <w:snapToGrid w:val="0"/>
                    <w:jc w:val="center"/>
                  </w:pPr>
                  <w:r>
                    <w:t>本项目不涉及干化脱水系统。</w:t>
                  </w:r>
                </w:p>
              </w:tc>
              <w:tc>
                <w:tcPr>
                  <w:tcW w:w="186" w:type="pct"/>
                  <w:tcBorders>
                    <w:top w:val="single" w:sz="6" w:space="0" w:color="auto"/>
                    <w:left w:val="single" w:sz="6" w:space="0" w:color="auto"/>
                    <w:bottom w:val="single" w:sz="6" w:space="0" w:color="auto"/>
                    <w:right w:val="nil"/>
                  </w:tcBorders>
                  <w:vAlign w:val="center"/>
                </w:tcPr>
                <w:p w14:paraId="0DAFEB52" w14:textId="77777777" w:rsidR="00F76A63" w:rsidRDefault="00000000">
                  <w:pPr>
                    <w:autoSpaceDE w:val="0"/>
                    <w:autoSpaceDN w:val="0"/>
                    <w:snapToGrid w:val="0"/>
                    <w:jc w:val="center"/>
                  </w:pPr>
                  <w:r>
                    <w:t>相符</w:t>
                  </w:r>
                </w:p>
              </w:tc>
            </w:tr>
            <w:tr w:rsidR="00F76A63" w14:paraId="3FB6ABED"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1C2C7BD4" w14:textId="77777777" w:rsidR="00F76A63" w:rsidRDefault="00F76A63">
                  <w:pPr>
                    <w:jc w:val="center"/>
                    <w:rPr>
                      <w:szCs w:val="21"/>
                    </w:rPr>
                  </w:pPr>
                </w:p>
              </w:tc>
              <w:tc>
                <w:tcPr>
                  <w:tcW w:w="3353" w:type="pct"/>
                  <w:tcBorders>
                    <w:top w:val="single" w:sz="6" w:space="0" w:color="auto"/>
                    <w:left w:val="single" w:sz="6" w:space="0" w:color="auto"/>
                    <w:bottom w:val="single" w:sz="6" w:space="0" w:color="auto"/>
                    <w:right w:val="single" w:sz="6" w:space="0" w:color="auto"/>
                  </w:tcBorders>
                  <w:vAlign w:val="center"/>
                </w:tcPr>
                <w:p w14:paraId="71972DA2" w14:textId="77777777" w:rsidR="00F76A63" w:rsidRDefault="00000000">
                  <w:pPr>
                    <w:autoSpaceDE w:val="0"/>
                    <w:autoSpaceDN w:val="0"/>
                    <w:snapToGrid w:val="0"/>
                    <w:jc w:val="center"/>
                  </w:pPr>
                  <w:r>
                    <w:t xml:space="preserve">6.5 </w:t>
                  </w:r>
                  <w:r>
                    <w:t>热能利用系统</w:t>
                  </w:r>
                </w:p>
                <w:p w14:paraId="4FBE93D7" w14:textId="77777777" w:rsidR="00F76A63" w:rsidRDefault="00000000">
                  <w:pPr>
                    <w:autoSpaceDE w:val="0"/>
                    <w:autoSpaceDN w:val="0"/>
                    <w:snapToGrid w:val="0"/>
                    <w:jc w:val="center"/>
                  </w:pPr>
                  <w:r>
                    <w:t xml:space="preserve">6.5.1 </w:t>
                  </w:r>
                  <w:r>
                    <w:t>污泥预处理系统宜利用水泥窑余热作为烘干热源。</w:t>
                  </w:r>
                </w:p>
                <w:p w14:paraId="5D3A7FD6" w14:textId="77777777" w:rsidR="00F76A63" w:rsidRDefault="00000000">
                  <w:pPr>
                    <w:autoSpaceDE w:val="0"/>
                    <w:autoSpaceDN w:val="0"/>
                    <w:snapToGrid w:val="0"/>
                    <w:jc w:val="center"/>
                  </w:pPr>
                  <w:r>
                    <w:t xml:space="preserve">6.5.2 </w:t>
                  </w:r>
                  <w:r>
                    <w:t>污泥预处理系统不宜采用一次能源作为主要干化热源。</w:t>
                  </w:r>
                </w:p>
                <w:p w14:paraId="284721B1" w14:textId="77777777" w:rsidR="00F76A63" w:rsidRDefault="00000000">
                  <w:pPr>
                    <w:autoSpaceDE w:val="0"/>
                    <w:autoSpaceDN w:val="0"/>
                    <w:snapToGrid w:val="0"/>
                    <w:jc w:val="center"/>
                  </w:pPr>
                  <w:r>
                    <w:t xml:space="preserve">6.5.3 </w:t>
                  </w:r>
                  <w:r>
                    <w:t>污泥预处理系统干化方式可选用直接干化或间接干化。</w:t>
                  </w:r>
                </w:p>
                <w:p w14:paraId="4BE43AD2" w14:textId="77777777" w:rsidR="00F76A63" w:rsidRDefault="00000000">
                  <w:pPr>
                    <w:autoSpaceDE w:val="0"/>
                    <w:autoSpaceDN w:val="0"/>
                    <w:snapToGrid w:val="0"/>
                    <w:jc w:val="center"/>
                  </w:pPr>
                  <w:r>
                    <w:t xml:space="preserve">6.5.4 </w:t>
                  </w:r>
                  <w:r>
                    <w:t>用于污泥直接干化的烟气含氧量宜控制在</w:t>
                  </w:r>
                  <w:r>
                    <w:t xml:space="preserve"> 8%</w:t>
                  </w:r>
                  <w:r>
                    <w:t>（体积百分数）以下，并宜利用烧成系统窑尾的废热烟气。</w:t>
                  </w:r>
                </w:p>
                <w:p w14:paraId="0DB17AFC" w14:textId="77777777" w:rsidR="00F76A63" w:rsidRDefault="00000000">
                  <w:pPr>
                    <w:autoSpaceDE w:val="0"/>
                    <w:autoSpaceDN w:val="0"/>
                    <w:snapToGrid w:val="0"/>
                    <w:jc w:val="center"/>
                  </w:pPr>
                  <w:r>
                    <w:t xml:space="preserve">6.5.5 </w:t>
                  </w:r>
                  <w:r>
                    <w:t>污泥间接干化可选用导热油、蒸汽等作为热介质。对于介质温度要求在</w:t>
                  </w:r>
                  <w:r>
                    <w:t>200℃</w:t>
                  </w:r>
                  <w:r>
                    <w:t>以上的干化系统，加热介质宜为热油。</w:t>
                  </w:r>
                </w:p>
                <w:p w14:paraId="6CC7D037" w14:textId="77777777" w:rsidR="00F76A63" w:rsidRDefault="00000000">
                  <w:pPr>
                    <w:autoSpaceDE w:val="0"/>
                    <w:autoSpaceDN w:val="0"/>
                    <w:snapToGrid w:val="0"/>
                    <w:jc w:val="center"/>
                  </w:pPr>
                  <w:r>
                    <w:t xml:space="preserve">6.5.6 </w:t>
                  </w:r>
                  <w:r>
                    <w:t>当热交换介质为热油时，热油的闪点温度必须大于运行温度。</w:t>
                  </w:r>
                </w:p>
              </w:tc>
              <w:tc>
                <w:tcPr>
                  <w:tcW w:w="1239" w:type="pct"/>
                  <w:tcBorders>
                    <w:top w:val="single" w:sz="6" w:space="0" w:color="auto"/>
                    <w:left w:val="single" w:sz="6" w:space="0" w:color="auto"/>
                    <w:bottom w:val="single" w:sz="6" w:space="0" w:color="auto"/>
                    <w:right w:val="single" w:sz="6" w:space="0" w:color="auto"/>
                  </w:tcBorders>
                  <w:vAlign w:val="center"/>
                </w:tcPr>
                <w:p w14:paraId="488BB070" w14:textId="77777777" w:rsidR="00F76A63" w:rsidRDefault="00000000">
                  <w:pPr>
                    <w:autoSpaceDE w:val="0"/>
                    <w:autoSpaceDN w:val="0"/>
                    <w:snapToGrid w:val="0"/>
                    <w:jc w:val="center"/>
                  </w:pPr>
                  <w:r>
                    <w:t>本项目不涉及污泥预处理。</w:t>
                  </w:r>
                </w:p>
              </w:tc>
              <w:tc>
                <w:tcPr>
                  <w:tcW w:w="186" w:type="pct"/>
                  <w:tcBorders>
                    <w:top w:val="single" w:sz="6" w:space="0" w:color="auto"/>
                    <w:left w:val="single" w:sz="6" w:space="0" w:color="auto"/>
                    <w:bottom w:val="single" w:sz="6" w:space="0" w:color="auto"/>
                    <w:right w:val="nil"/>
                  </w:tcBorders>
                  <w:vAlign w:val="center"/>
                </w:tcPr>
                <w:p w14:paraId="31FC863D" w14:textId="77777777" w:rsidR="00F76A63" w:rsidRDefault="00000000">
                  <w:pPr>
                    <w:autoSpaceDE w:val="0"/>
                    <w:autoSpaceDN w:val="0"/>
                    <w:snapToGrid w:val="0"/>
                    <w:jc w:val="center"/>
                  </w:pPr>
                  <w:r>
                    <w:t>相符</w:t>
                  </w:r>
                </w:p>
              </w:tc>
            </w:tr>
            <w:tr w:rsidR="00F76A63" w14:paraId="54B00AA0" w14:textId="77777777">
              <w:trPr>
                <w:trHeight w:val="20"/>
                <w:jc w:val="center"/>
              </w:trPr>
              <w:tc>
                <w:tcPr>
                  <w:tcW w:w="222" w:type="pct"/>
                  <w:vMerge w:val="restart"/>
                  <w:tcBorders>
                    <w:top w:val="single" w:sz="6" w:space="0" w:color="auto"/>
                    <w:left w:val="nil"/>
                    <w:bottom w:val="single" w:sz="6" w:space="0" w:color="auto"/>
                    <w:right w:val="single" w:sz="6" w:space="0" w:color="auto"/>
                  </w:tcBorders>
                  <w:vAlign w:val="center"/>
                </w:tcPr>
                <w:p w14:paraId="5DEE6DCD" w14:textId="77777777" w:rsidR="00F76A63" w:rsidRDefault="00000000">
                  <w:pPr>
                    <w:autoSpaceDE w:val="0"/>
                    <w:autoSpaceDN w:val="0"/>
                    <w:snapToGrid w:val="0"/>
                    <w:jc w:val="center"/>
                  </w:pPr>
                  <w:r>
                    <w:lastRenderedPageBreak/>
                    <w:t>7</w:t>
                  </w:r>
                  <w:r>
                    <w:t>、协同处置系统</w:t>
                  </w:r>
                </w:p>
              </w:tc>
              <w:tc>
                <w:tcPr>
                  <w:tcW w:w="3353" w:type="pct"/>
                  <w:tcBorders>
                    <w:top w:val="single" w:sz="6" w:space="0" w:color="auto"/>
                    <w:left w:val="single" w:sz="6" w:space="0" w:color="auto"/>
                    <w:bottom w:val="single" w:sz="6" w:space="0" w:color="auto"/>
                    <w:right w:val="single" w:sz="6" w:space="0" w:color="auto"/>
                  </w:tcBorders>
                  <w:vAlign w:val="center"/>
                </w:tcPr>
                <w:p w14:paraId="1EF72EFC" w14:textId="77777777" w:rsidR="00F76A63" w:rsidRDefault="00000000">
                  <w:pPr>
                    <w:autoSpaceDE w:val="0"/>
                    <w:autoSpaceDN w:val="0"/>
                    <w:snapToGrid w:val="0"/>
                    <w:jc w:val="center"/>
                  </w:pPr>
                  <w:r>
                    <w:t xml:space="preserve">7.1 </w:t>
                  </w:r>
                  <w:r>
                    <w:t>一般规定</w:t>
                  </w:r>
                </w:p>
                <w:p w14:paraId="0BD24767" w14:textId="77777777" w:rsidR="00F76A63" w:rsidRDefault="00000000">
                  <w:pPr>
                    <w:autoSpaceDE w:val="0"/>
                    <w:autoSpaceDN w:val="0"/>
                    <w:snapToGrid w:val="0"/>
                    <w:jc w:val="center"/>
                  </w:pPr>
                  <w:r>
                    <w:t xml:space="preserve">7.1.1 </w:t>
                  </w:r>
                  <w:r>
                    <w:t>污泥焚烧区域空间应满足污泥焚烧产生烟气在</w:t>
                  </w:r>
                  <w:r>
                    <w:t>850℃</w:t>
                  </w:r>
                  <w:r>
                    <w:t>以上高温区域停留时间不小于</w:t>
                  </w:r>
                  <w:r>
                    <w:t>2s</w:t>
                  </w:r>
                  <w:r>
                    <w:t>。</w:t>
                  </w:r>
                </w:p>
                <w:p w14:paraId="1D09E355" w14:textId="77777777" w:rsidR="00F76A63" w:rsidRDefault="00000000">
                  <w:pPr>
                    <w:autoSpaceDE w:val="0"/>
                    <w:autoSpaceDN w:val="0"/>
                    <w:snapToGrid w:val="0"/>
                    <w:jc w:val="center"/>
                  </w:pPr>
                  <w:r>
                    <w:t xml:space="preserve">7.1.2 </w:t>
                  </w:r>
                  <w:r>
                    <w:t>水泥窑协同处置污泥，设计取用的污泥低位热值应在污泥检测结果的基础上通过预测确定。</w:t>
                  </w:r>
                </w:p>
              </w:tc>
              <w:tc>
                <w:tcPr>
                  <w:tcW w:w="1239" w:type="pct"/>
                  <w:tcBorders>
                    <w:top w:val="single" w:sz="6" w:space="0" w:color="auto"/>
                    <w:left w:val="single" w:sz="6" w:space="0" w:color="auto"/>
                    <w:bottom w:val="single" w:sz="6" w:space="0" w:color="auto"/>
                    <w:right w:val="single" w:sz="6" w:space="0" w:color="auto"/>
                  </w:tcBorders>
                  <w:vAlign w:val="center"/>
                </w:tcPr>
                <w:p w14:paraId="1F62EE1A" w14:textId="77777777" w:rsidR="00F76A63" w:rsidRDefault="00000000">
                  <w:pPr>
                    <w:autoSpaceDE w:val="0"/>
                    <w:autoSpaceDN w:val="0"/>
                    <w:snapToGrid w:val="0"/>
                    <w:jc w:val="center"/>
                  </w:pPr>
                  <w:r>
                    <w:t>1</w:t>
                  </w:r>
                  <w:r>
                    <w:t>、污泥焚烧区域空间满足污泥焚烧产生烟气在</w:t>
                  </w:r>
                  <w:r>
                    <w:t>850℃</w:t>
                  </w:r>
                  <w:r>
                    <w:t>以上高温区域停留时间不小于</w:t>
                  </w:r>
                  <w:r>
                    <w:t>2s</w:t>
                  </w:r>
                  <w:r>
                    <w:t>；</w:t>
                  </w:r>
                </w:p>
                <w:p w14:paraId="31551418" w14:textId="77777777" w:rsidR="00F76A63" w:rsidRDefault="00000000">
                  <w:pPr>
                    <w:autoSpaceDE w:val="0"/>
                    <w:autoSpaceDN w:val="0"/>
                    <w:snapToGrid w:val="0"/>
                    <w:jc w:val="center"/>
                  </w:pPr>
                  <w:r>
                    <w:t>2</w:t>
                  </w:r>
                  <w:r>
                    <w:t>、水泥窑协同处置污泥，设计取用的污泥低位热值在污泥检测结果的基础上通过预测确定。</w:t>
                  </w:r>
                </w:p>
              </w:tc>
              <w:tc>
                <w:tcPr>
                  <w:tcW w:w="186" w:type="pct"/>
                  <w:tcBorders>
                    <w:top w:val="single" w:sz="6" w:space="0" w:color="auto"/>
                    <w:left w:val="single" w:sz="6" w:space="0" w:color="auto"/>
                    <w:bottom w:val="single" w:sz="6" w:space="0" w:color="auto"/>
                    <w:right w:val="nil"/>
                  </w:tcBorders>
                  <w:vAlign w:val="center"/>
                </w:tcPr>
                <w:p w14:paraId="27F09C7C" w14:textId="77777777" w:rsidR="00F76A63" w:rsidRDefault="00000000">
                  <w:pPr>
                    <w:autoSpaceDE w:val="0"/>
                    <w:autoSpaceDN w:val="0"/>
                    <w:snapToGrid w:val="0"/>
                    <w:jc w:val="center"/>
                  </w:pPr>
                  <w:r>
                    <w:t>相符</w:t>
                  </w:r>
                </w:p>
              </w:tc>
            </w:tr>
            <w:tr w:rsidR="00F76A63" w14:paraId="1A93CA2F"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00948434" w14:textId="77777777" w:rsidR="00F76A63" w:rsidRDefault="00F76A63">
                  <w:pPr>
                    <w:jc w:val="center"/>
                    <w:rPr>
                      <w:szCs w:val="21"/>
                    </w:rPr>
                  </w:pPr>
                </w:p>
              </w:tc>
              <w:tc>
                <w:tcPr>
                  <w:tcW w:w="3353" w:type="pct"/>
                  <w:tcBorders>
                    <w:top w:val="single" w:sz="6" w:space="0" w:color="auto"/>
                    <w:left w:val="single" w:sz="6" w:space="0" w:color="auto"/>
                    <w:bottom w:val="single" w:sz="6" w:space="0" w:color="auto"/>
                    <w:right w:val="single" w:sz="6" w:space="0" w:color="auto"/>
                  </w:tcBorders>
                  <w:vAlign w:val="center"/>
                </w:tcPr>
                <w:p w14:paraId="5CA07DD4" w14:textId="77777777" w:rsidR="00F76A63" w:rsidRDefault="00000000">
                  <w:pPr>
                    <w:autoSpaceDE w:val="0"/>
                    <w:autoSpaceDN w:val="0"/>
                    <w:snapToGrid w:val="0"/>
                    <w:jc w:val="center"/>
                  </w:pPr>
                  <w:r>
                    <w:t xml:space="preserve">7.2 </w:t>
                  </w:r>
                  <w:r>
                    <w:t>进料系统</w:t>
                  </w:r>
                </w:p>
                <w:p w14:paraId="14081E0A" w14:textId="77777777" w:rsidR="00F76A63" w:rsidRDefault="00000000">
                  <w:pPr>
                    <w:autoSpaceDE w:val="0"/>
                    <w:autoSpaceDN w:val="0"/>
                    <w:snapToGrid w:val="0"/>
                    <w:jc w:val="center"/>
                  </w:pPr>
                  <w:r>
                    <w:t xml:space="preserve">7.2.1 </w:t>
                  </w:r>
                  <w:r>
                    <w:t>污泥进料系统宜设置缓冲仓，缓冲仓的容量宜按</w:t>
                  </w:r>
                  <w:r>
                    <w:t>0.1d</w:t>
                  </w:r>
                  <w:r>
                    <w:t>～</w:t>
                  </w:r>
                  <w:r>
                    <w:t>0.5d</w:t>
                  </w:r>
                  <w:r>
                    <w:t>确定。</w:t>
                  </w:r>
                </w:p>
                <w:p w14:paraId="1675136B" w14:textId="77777777" w:rsidR="00F76A63" w:rsidRDefault="00000000">
                  <w:pPr>
                    <w:autoSpaceDE w:val="0"/>
                    <w:autoSpaceDN w:val="0"/>
                    <w:snapToGrid w:val="0"/>
                    <w:jc w:val="center"/>
                  </w:pPr>
                  <w:r>
                    <w:t xml:space="preserve">7.2.2 </w:t>
                  </w:r>
                  <w:r>
                    <w:t>缓冲仓锥体角度应根据进料污泥的黏性确定，不应小于</w:t>
                  </w:r>
                  <w:r>
                    <w:t>65°</w:t>
                  </w:r>
                  <w:r>
                    <w:t>缓冲仓锥体内宜设置高分子衬板。</w:t>
                  </w:r>
                </w:p>
                <w:p w14:paraId="2476A2AD" w14:textId="77777777" w:rsidR="00F76A63" w:rsidRDefault="00000000">
                  <w:pPr>
                    <w:autoSpaceDE w:val="0"/>
                    <w:autoSpaceDN w:val="0"/>
                    <w:snapToGrid w:val="0"/>
                    <w:jc w:val="center"/>
                  </w:pPr>
                  <w:r>
                    <w:t xml:space="preserve">7.2.3 </w:t>
                  </w:r>
                  <w:r>
                    <w:t>污泥缓冲仓的卸料设备应具有计量功能。</w:t>
                  </w:r>
                </w:p>
                <w:p w14:paraId="764B802A" w14:textId="77777777" w:rsidR="00F76A63" w:rsidRDefault="00000000">
                  <w:pPr>
                    <w:autoSpaceDE w:val="0"/>
                    <w:autoSpaceDN w:val="0"/>
                    <w:snapToGrid w:val="0"/>
                    <w:jc w:val="center"/>
                  </w:pPr>
                  <w:r>
                    <w:t xml:space="preserve">7.2.4 </w:t>
                  </w:r>
                  <w:r>
                    <w:t>含水率不大于</w:t>
                  </w:r>
                  <w:r>
                    <w:t>30%</w:t>
                  </w:r>
                  <w:r>
                    <w:t>的污泥可从分解炉处进料，分解炉开口位置应设置污泥打散设施。</w:t>
                  </w:r>
                </w:p>
                <w:p w14:paraId="4980C9BD" w14:textId="77777777" w:rsidR="00F76A63" w:rsidRDefault="00000000">
                  <w:pPr>
                    <w:autoSpaceDE w:val="0"/>
                    <w:autoSpaceDN w:val="0"/>
                    <w:snapToGrid w:val="0"/>
                    <w:jc w:val="center"/>
                  </w:pPr>
                  <w:r>
                    <w:t xml:space="preserve">7.2.5 </w:t>
                  </w:r>
                  <w:r>
                    <w:t>含水率为</w:t>
                  </w:r>
                  <w:r>
                    <w:t>30%</w:t>
                  </w:r>
                  <w:r>
                    <w:t>～</w:t>
                  </w:r>
                  <w:r>
                    <w:t>80%</w:t>
                  </w:r>
                  <w:r>
                    <w:t>的污泥可从窑尾烟室处进料，并应满足下列要求：</w:t>
                  </w:r>
                </w:p>
                <w:p w14:paraId="6CC82283" w14:textId="77777777" w:rsidR="00F76A63" w:rsidRDefault="00000000">
                  <w:pPr>
                    <w:autoSpaceDE w:val="0"/>
                    <w:autoSpaceDN w:val="0"/>
                    <w:snapToGrid w:val="0"/>
                    <w:jc w:val="center"/>
                  </w:pPr>
                  <w:r>
                    <w:t xml:space="preserve">1 </w:t>
                  </w:r>
                  <w:r>
                    <w:t>烟室开口处应</w:t>
                  </w:r>
                  <w:bookmarkStart w:id="49" w:name="OLE_LINK19"/>
                  <w:r>
                    <w:t>设置强制给料设备</w:t>
                  </w:r>
                  <w:bookmarkEnd w:id="49"/>
                  <w:r>
                    <w:t>；</w:t>
                  </w:r>
                </w:p>
                <w:p w14:paraId="54E0E709" w14:textId="77777777" w:rsidR="00F76A63" w:rsidRDefault="00000000">
                  <w:pPr>
                    <w:autoSpaceDE w:val="0"/>
                    <w:autoSpaceDN w:val="0"/>
                    <w:snapToGrid w:val="0"/>
                    <w:jc w:val="center"/>
                  </w:pPr>
                  <w:r>
                    <w:t xml:space="preserve">2 </w:t>
                  </w:r>
                  <w:r>
                    <w:t>污泥进入烟室后，烟室内温度下降宜控制在</w:t>
                  </w:r>
                  <w:r>
                    <w:t>100℃</w:t>
                  </w:r>
                  <w:r>
                    <w:t>以内。</w:t>
                  </w:r>
                </w:p>
              </w:tc>
              <w:tc>
                <w:tcPr>
                  <w:tcW w:w="1239" w:type="pct"/>
                  <w:tcBorders>
                    <w:top w:val="single" w:sz="6" w:space="0" w:color="auto"/>
                    <w:left w:val="single" w:sz="6" w:space="0" w:color="auto"/>
                    <w:bottom w:val="single" w:sz="6" w:space="0" w:color="auto"/>
                    <w:right w:val="single" w:sz="6" w:space="0" w:color="auto"/>
                  </w:tcBorders>
                  <w:vAlign w:val="center"/>
                </w:tcPr>
                <w:p w14:paraId="530C3064" w14:textId="77777777" w:rsidR="00F76A63" w:rsidRDefault="00000000">
                  <w:pPr>
                    <w:autoSpaceDE w:val="0"/>
                    <w:autoSpaceDN w:val="0"/>
                    <w:snapToGrid w:val="0"/>
                    <w:jc w:val="center"/>
                  </w:pPr>
                  <w:r>
                    <w:t>污泥进料系统设置缓冲仓，并配备有计量功能；本项目污泥含水率为</w:t>
                  </w:r>
                  <w:r>
                    <w:t>60%</w:t>
                  </w:r>
                  <w:r>
                    <w:t>，从窑尾分解炉处进料，已设置强制给料设备，温度在</w:t>
                  </w:r>
                  <w:r>
                    <w:t>100℃</w:t>
                  </w:r>
                  <w:r>
                    <w:t>以内。</w:t>
                  </w:r>
                </w:p>
              </w:tc>
              <w:tc>
                <w:tcPr>
                  <w:tcW w:w="186" w:type="pct"/>
                  <w:tcBorders>
                    <w:top w:val="single" w:sz="6" w:space="0" w:color="auto"/>
                    <w:left w:val="single" w:sz="6" w:space="0" w:color="auto"/>
                    <w:bottom w:val="single" w:sz="6" w:space="0" w:color="auto"/>
                    <w:right w:val="nil"/>
                  </w:tcBorders>
                  <w:vAlign w:val="center"/>
                </w:tcPr>
                <w:p w14:paraId="15A94A4B" w14:textId="77777777" w:rsidR="00F76A63" w:rsidRDefault="00000000">
                  <w:pPr>
                    <w:autoSpaceDE w:val="0"/>
                    <w:autoSpaceDN w:val="0"/>
                    <w:snapToGrid w:val="0"/>
                    <w:jc w:val="center"/>
                  </w:pPr>
                  <w:r>
                    <w:t>相符</w:t>
                  </w:r>
                </w:p>
              </w:tc>
            </w:tr>
            <w:tr w:rsidR="00F76A63" w14:paraId="2EC3EDC4" w14:textId="77777777">
              <w:trPr>
                <w:trHeight w:val="20"/>
                <w:jc w:val="center"/>
              </w:trPr>
              <w:tc>
                <w:tcPr>
                  <w:tcW w:w="222" w:type="pct"/>
                  <w:vMerge w:val="restart"/>
                  <w:tcBorders>
                    <w:top w:val="single" w:sz="6" w:space="0" w:color="auto"/>
                    <w:left w:val="nil"/>
                    <w:bottom w:val="single" w:sz="6" w:space="0" w:color="auto"/>
                    <w:right w:val="single" w:sz="6" w:space="0" w:color="auto"/>
                  </w:tcBorders>
                  <w:vAlign w:val="center"/>
                </w:tcPr>
                <w:p w14:paraId="32C023A0" w14:textId="77777777" w:rsidR="00F76A63" w:rsidRDefault="00000000">
                  <w:pPr>
                    <w:autoSpaceDE w:val="0"/>
                    <w:autoSpaceDN w:val="0"/>
                    <w:snapToGrid w:val="0"/>
                    <w:jc w:val="center"/>
                  </w:pPr>
                  <w:r>
                    <w:t>8</w:t>
                  </w:r>
                  <w:r>
                    <w:t>、烟气净化系统</w:t>
                  </w:r>
                </w:p>
              </w:tc>
              <w:tc>
                <w:tcPr>
                  <w:tcW w:w="3353" w:type="pct"/>
                  <w:tcBorders>
                    <w:top w:val="single" w:sz="6" w:space="0" w:color="auto"/>
                    <w:left w:val="single" w:sz="6" w:space="0" w:color="auto"/>
                    <w:bottom w:val="single" w:sz="6" w:space="0" w:color="auto"/>
                    <w:right w:val="single" w:sz="6" w:space="0" w:color="auto"/>
                  </w:tcBorders>
                  <w:vAlign w:val="center"/>
                </w:tcPr>
                <w:p w14:paraId="10236D98" w14:textId="77777777" w:rsidR="00F76A63" w:rsidRDefault="00000000">
                  <w:pPr>
                    <w:autoSpaceDE w:val="0"/>
                    <w:autoSpaceDN w:val="0"/>
                    <w:snapToGrid w:val="0"/>
                    <w:jc w:val="center"/>
                  </w:pPr>
                  <w:r>
                    <w:t xml:space="preserve">8.1 </w:t>
                  </w:r>
                  <w:r>
                    <w:t>一般规定</w:t>
                  </w:r>
                </w:p>
                <w:p w14:paraId="3A302A19" w14:textId="77777777" w:rsidR="00F76A63" w:rsidRDefault="00000000">
                  <w:pPr>
                    <w:autoSpaceDE w:val="0"/>
                    <w:autoSpaceDN w:val="0"/>
                    <w:snapToGrid w:val="0"/>
                    <w:jc w:val="center"/>
                  </w:pPr>
                  <w:r>
                    <w:t xml:space="preserve">8.1.1 </w:t>
                  </w:r>
                  <w:r>
                    <w:t>协同处置污泥时产生的烟气应进行净化处理，排放应满足现行国家标准《生活垃圾焚烧污染控制标准》</w:t>
                  </w:r>
                  <w:r>
                    <w:t>GB 18485</w:t>
                  </w:r>
                  <w:r>
                    <w:t>、《水泥工业大气污染物排放标准》</w:t>
                  </w:r>
                  <w:r>
                    <w:t xml:space="preserve">GB 4915 </w:t>
                  </w:r>
                  <w:r>
                    <w:t>及《大气污染物综合排放标准》</w:t>
                  </w:r>
                  <w:r>
                    <w:t>GB 16297</w:t>
                  </w:r>
                  <w:r>
                    <w:t>的有关规定。</w:t>
                  </w:r>
                </w:p>
                <w:p w14:paraId="64CBDEAA" w14:textId="77777777" w:rsidR="00F76A63" w:rsidRDefault="00000000">
                  <w:pPr>
                    <w:autoSpaceDE w:val="0"/>
                    <w:autoSpaceDN w:val="0"/>
                    <w:snapToGrid w:val="0"/>
                    <w:jc w:val="center"/>
                  </w:pPr>
                  <w:r>
                    <w:t xml:space="preserve">8.1.2 </w:t>
                  </w:r>
                  <w:r>
                    <w:t>烟气净化工艺流程的选择，应根据污泥处置工艺、污泥协同处置产生污染物的物理、化学性质的影响确定，并应兼顾组合工艺间的匹配。</w:t>
                  </w:r>
                </w:p>
              </w:tc>
              <w:tc>
                <w:tcPr>
                  <w:tcW w:w="1239" w:type="pct"/>
                  <w:tcBorders>
                    <w:top w:val="single" w:sz="6" w:space="0" w:color="auto"/>
                    <w:left w:val="single" w:sz="6" w:space="0" w:color="auto"/>
                    <w:bottom w:val="single" w:sz="6" w:space="0" w:color="auto"/>
                    <w:right w:val="single" w:sz="6" w:space="0" w:color="auto"/>
                  </w:tcBorders>
                  <w:vAlign w:val="center"/>
                </w:tcPr>
                <w:p w14:paraId="7C2A1AF0" w14:textId="77777777" w:rsidR="00F76A63" w:rsidRDefault="00000000">
                  <w:pPr>
                    <w:autoSpaceDE w:val="0"/>
                    <w:autoSpaceDN w:val="0"/>
                    <w:snapToGrid w:val="0"/>
                    <w:jc w:val="center"/>
                  </w:pPr>
                  <w:r>
                    <w:t>本项目</w:t>
                  </w:r>
                  <w:r>
                    <w:rPr>
                      <w:rFonts w:ascii="Cambria Math" w:hAnsi="Cambria Math" w:cs="Cambria Math"/>
                    </w:rPr>
                    <w:t>①</w:t>
                  </w:r>
                  <w:r>
                    <w:t>1#</w:t>
                  </w:r>
                  <w:r>
                    <w:t>窑尾废气采用</w:t>
                  </w:r>
                  <w:r>
                    <w:t>“</w:t>
                  </w:r>
                  <w:r>
                    <w:t>高温焚烧</w:t>
                  </w:r>
                  <w:r>
                    <w:t>+</w:t>
                  </w:r>
                  <w:r>
                    <w:t>碱性环境</w:t>
                  </w:r>
                  <w:r>
                    <w:t>+HSNCR+SCR+</w:t>
                  </w:r>
                  <w:r>
                    <w:t>布袋除尘器</w:t>
                  </w:r>
                  <w:r>
                    <w:t>”</w:t>
                  </w:r>
                  <w:r>
                    <w:t>方法处理后通过</w:t>
                  </w:r>
                  <w:r>
                    <w:t>85m</w:t>
                  </w:r>
                  <w:r>
                    <w:t>烟囱排放；</w:t>
                  </w:r>
                </w:p>
                <w:p w14:paraId="76585AB3" w14:textId="77777777" w:rsidR="00F76A63" w:rsidRDefault="00000000">
                  <w:pPr>
                    <w:autoSpaceDE w:val="0"/>
                    <w:autoSpaceDN w:val="0"/>
                    <w:snapToGrid w:val="0"/>
                    <w:jc w:val="center"/>
                  </w:pPr>
                  <w:r>
                    <w:rPr>
                      <w:rFonts w:ascii="Cambria Math" w:hAnsi="Cambria Math" w:cs="Cambria Math"/>
                    </w:rPr>
                    <w:t>②</w:t>
                  </w:r>
                  <w:r>
                    <w:t>2#</w:t>
                  </w:r>
                  <w:r>
                    <w:t>窑尾废气采用</w:t>
                  </w:r>
                  <w:r>
                    <w:t>“</w:t>
                  </w:r>
                  <w:r>
                    <w:t>高温焚烧</w:t>
                  </w:r>
                  <w:r>
                    <w:t>+</w:t>
                  </w:r>
                  <w:r>
                    <w:t>碱性环境</w:t>
                  </w:r>
                  <w:r>
                    <w:t>+HSNCR+SCR+</w:t>
                  </w:r>
                  <w:r>
                    <w:t>电袋复合（</w:t>
                  </w:r>
                  <w:r>
                    <w:t>1</w:t>
                  </w:r>
                  <w:r>
                    <w:t>电</w:t>
                  </w:r>
                  <w:r>
                    <w:t>3</w:t>
                  </w:r>
                  <w:r>
                    <w:t>布袋）除尘器</w:t>
                  </w:r>
                  <w:r>
                    <w:t>”</w:t>
                  </w:r>
                  <w:r>
                    <w:t>方法处理后通过</w:t>
                  </w:r>
                  <w:r>
                    <w:t>125m</w:t>
                  </w:r>
                  <w:r>
                    <w:t>烟囱排放。废气污染物排放执行江苏《水泥工业大气污染物排放标准》（</w:t>
                  </w:r>
                  <w:r>
                    <w:t>DB32/4149-2021</w:t>
                  </w:r>
                  <w:r>
                    <w:t>）和《水泥窑协同处置固体废物污染控制标准》（</w:t>
                  </w:r>
                  <w:r>
                    <w:t>GB30485-2013</w:t>
                  </w:r>
                  <w:r>
                    <w:t>）要求</w:t>
                  </w:r>
                </w:p>
              </w:tc>
              <w:tc>
                <w:tcPr>
                  <w:tcW w:w="186" w:type="pct"/>
                  <w:tcBorders>
                    <w:top w:val="single" w:sz="6" w:space="0" w:color="auto"/>
                    <w:left w:val="single" w:sz="6" w:space="0" w:color="auto"/>
                    <w:bottom w:val="single" w:sz="6" w:space="0" w:color="auto"/>
                    <w:right w:val="nil"/>
                  </w:tcBorders>
                  <w:vAlign w:val="center"/>
                </w:tcPr>
                <w:p w14:paraId="369C8C6C" w14:textId="77777777" w:rsidR="00F76A63" w:rsidRDefault="00000000">
                  <w:pPr>
                    <w:autoSpaceDE w:val="0"/>
                    <w:autoSpaceDN w:val="0"/>
                    <w:snapToGrid w:val="0"/>
                    <w:jc w:val="center"/>
                  </w:pPr>
                  <w:r>
                    <w:t>相符</w:t>
                  </w:r>
                </w:p>
              </w:tc>
            </w:tr>
            <w:tr w:rsidR="00F76A63" w14:paraId="7B12F577"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2D854C93" w14:textId="77777777" w:rsidR="00F76A63" w:rsidRDefault="00F76A63">
                  <w:pPr>
                    <w:jc w:val="center"/>
                    <w:rPr>
                      <w:szCs w:val="21"/>
                    </w:rPr>
                  </w:pPr>
                </w:p>
              </w:tc>
              <w:tc>
                <w:tcPr>
                  <w:tcW w:w="3353" w:type="pct"/>
                  <w:tcBorders>
                    <w:top w:val="single" w:sz="6" w:space="0" w:color="auto"/>
                    <w:left w:val="single" w:sz="6" w:space="0" w:color="auto"/>
                    <w:bottom w:val="single" w:sz="6" w:space="0" w:color="auto"/>
                    <w:right w:val="single" w:sz="6" w:space="0" w:color="auto"/>
                  </w:tcBorders>
                  <w:vAlign w:val="center"/>
                </w:tcPr>
                <w:p w14:paraId="6DD76B1B" w14:textId="77777777" w:rsidR="00F76A63" w:rsidRDefault="00000000">
                  <w:pPr>
                    <w:autoSpaceDE w:val="0"/>
                    <w:autoSpaceDN w:val="0"/>
                    <w:snapToGrid w:val="0"/>
                    <w:jc w:val="center"/>
                  </w:pPr>
                  <w:r>
                    <w:t xml:space="preserve">8.2 </w:t>
                  </w:r>
                  <w:r>
                    <w:t>收尘</w:t>
                  </w:r>
                </w:p>
                <w:p w14:paraId="7C34E47D" w14:textId="77777777" w:rsidR="00F76A63" w:rsidRDefault="00000000">
                  <w:pPr>
                    <w:autoSpaceDE w:val="0"/>
                    <w:autoSpaceDN w:val="0"/>
                    <w:snapToGrid w:val="0"/>
                    <w:jc w:val="center"/>
                  </w:pPr>
                  <w:r>
                    <w:t xml:space="preserve">8.2.1 </w:t>
                  </w:r>
                  <w:r>
                    <w:t>污泥直接干化工艺烟气收尘设备的选择，应符合下列规定：</w:t>
                  </w:r>
                </w:p>
                <w:p w14:paraId="142E8F04" w14:textId="77777777" w:rsidR="00F76A63" w:rsidRDefault="00000000">
                  <w:pPr>
                    <w:autoSpaceDE w:val="0"/>
                    <w:autoSpaceDN w:val="0"/>
                    <w:snapToGrid w:val="0"/>
                    <w:jc w:val="center"/>
                  </w:pPr>
                  <w:r>
                    <w:lastRenderedPageBreak/>
                    <w:t xml:space="preserve">1 </w:t>
                  </w:r>
                  <w:r>
                    <w:t>烟气收尘设备应选用袋式收尘器；</w:t>
                  </w:r>
                </w:p>
                <w:p w14:paraId="59314CD1" w14:textId="77777777" w:rsidR="00F76A63" w:rsidRDefault="00000000">
                  <w:pPr>
                    <w:autoSpaceDE w:val="0"/>
                    <w:autoSpaceDN w:val="0"/>
                    <w:snapToGrid w:val="0"/>
                    <w:jc w:val="center"/>
                  </w:pPr>
                  <w:r>
                    <w:t xml:space="preserve">2 </w:t>
                  </w:r>
                  <w:r>
                    <w:t>收尘设备应设置防爆、防燃、防静电设施。收尘器出口的烟气温度应控制在高于露点温度</w:t>
                  </w:r>
                  <w:r>
                    <w:t>30℃</w:t>
                  </w:r>
                  <w:r>
                    <w:t>以上。</w:t>
                  </w:r>
                </w:p>
                <w:p w14:paraId="535CC8E3" w14:textId="77777777" w:rsidR="00F76A63" w:rsidRDefault="00000000">
                  <w:pPr>
                    <w:autoSpaceDE w:val="0"/>
                    <w:autoSpaceDN w:val="0"/>
                    <w:snapToGrid w:val="0"/>
                    <w:jc w:val="center"/>
                  </w:pPr>
                  <w:r>
                    <w:t xml:space="preserve">8.2.2 </w:t>
                  </w:r>
                  <w:r>
                    <w:t>污泥间接干化工艺收尘设备可选用适宜的收尘设备。</w:t>
                  </w:r>
                </w:p>
              </w:tc>
              <w:tc>
                <w:tcPr>
                  <w:tcW w:w="1239" w:type="pct"/>
                  <w:tcBorders>
                    <w:top w:val="single" w:sz="6" w:space="0" w:color="auto"/>
                    <w:left w:val="single" w:sz="6" w:space="0" w:color="auto"/>
                    <w:bottom w:val="single" w:sz="6" w:space="0" w:color="auto"/>
                    <w:right w:val="single" w:sz="6" w:space="0" w:color="auto"/>
                  </w:tcBorders>
                  <w:vAlign w:val="center"/>
                </w:tcPr>
                <w:p w14:paraId="299399F0" w14:textId="77777777" w:rsidR="00F76A63" w:rsidRDefault="00000000">
                  <w:pPr>
                    <w:autoSpaceDE w:val="0"/>
                    <w:autoSpaceDN w:val="0"/>
                    <w:snapToGrid w:val="0"/>
                    <w:jc w:val="center"/>
                  </w:pPr>
                  <w:r>
                    <w:lastRenderedPageBreak/>
                    <w:t>本项目不涉及干化脱水系统。</w:t>
                  </w:r>
                </w:p>
              </w:tc>
              <w:tc>
                <w:tcPr>
                  <w:tcW w:w="186" w:type="pct"/>
                  <w:tcBorders>
                    <w:top w:val="single" w:sz="6" w:space="0" w:color="auto"/>
                    <w:left w:val="single" w:sz="6" w:space="0" w:color="auto"/>
                    <w:bottom w:val="single" w:sz="6" w:space="0" w:color="auto"/>
                    <w:right w:val="nil"/>
                  </w:tcBorders>
                  <w:vAlign w:val="center"/>
                </w:tcPr>
                <w:p w14:paraId="1E854E20" w14:textId="77777777" w:rsidR="00F76A63" w:rsidRDefault="00000000">
                  <w:pPr>
                    <w:autoSpaceDE w:val="0"/>
                    <w:autoSpaceDN w:val="0"/>
                    <w:snapToGrid w:val="0"/>
                    <w:jc w:val="center"/>
                  </w:pPr>
                  <w:r>
                    <w:t>相符</w:t>
                  </w:r>
                </w:p>
              </w:tc>
            </w:tr>
            <w:tr w:rsidR="00F76A63" w14:paraId="3B17A38A"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215FE040" w14:textId="77777777" w:rsidR="00F76A63" w:rsidRDefault="00F76A63">
                  <w:pPr>
                    <w:jc w:val="center"/>
                    <w:rPr>
                      <w:szCs w:val="21"/>
                    </w:rPr>
                  </w:pPr>
                </w:p>
              </w:tc>
              <w:tc>
                <w:tcPr>
                  <w:tcW w:w="3353" w:type="pct"/>
                  <w:tcBorders>
                    <w:top w:val="single" w:sz="6" w:space="0" w:color="auto"/>
                    <w:left w:val="single" w:sz="6" w:space="0" w:color="auto"/>
                    <w:bottom w:val="single" w:sz="12" w:space="0" w:color="auto"/>
                    <w:right w:val="single" w:sz="6" w:space="0" w:color="auto"/>
                  </w:tcBorders>
                  <w:vAlign w:val="center"/>
                </w:tcPr>
                <w:p w14:paraId="762AC134" w14:textId="77777777" w:rsidR="00F76A63" w:rsidRDefault="00000000">
                  <w:pPr>
                    <w:autoSpaceDE w:val="0"/>
                    <w:autoSpaceDN w:val="0"/>
                    <w:snapToGrid w:val="0"/>
                    <w:jc w:val="center"/>
                  </w:pPr>
                  <w:r>
                    <w:t xml:space="preserve">8.3 </w:t>
                  </w:r>
                  <w:r>
                    <w:t>恶臭气体处理</w:t>
                  </w:r>
                </w:p>
                <w:p w14:paraId="6142CC71" w14:textId="77777777" w:rsidR="00F76A63" w:rsidRDefault="00000000">
                  <w:pPr>
                    <w:autoSpaceDE w:val="0"/>
                    <w:autoSpaceDN w:val="0"/>
                    <w:snapToGrid w:val="0"/>
                    <w:jc w:val="center"/>
                  </w:pPr>
                  <w:r>
                    <w:t xml:space="preserve">8.3.1 </w:t>
                  </w:r>
                  <w:r>
                    <w:t>污泥预处理工艺应设置恶臭气体排放的净化设施。</w:t>
                  </w:r>
                </w:p>
                <w:p w14:paraId="5AAA0243" w14:textId="77777777" w:rsidR="00F76A63" w:rsidRDefault="00000000">
                  <w:pPr>
                    <w:autoSpaceDE w:val="0"/>
                    <w:autoSpaceDN w:val="0"/>
                    <w:snapToGrid w:val="0"/>
                    <w:jc w:val="center"/>
                  </w:pPr>
                  <w:r>
                    <w:t xml:space="preserve">8.3.2 </w:t>
                  </w:r>
                  <w:r>
                    <w:t>恶臭污染物排放限值，应符合现行国家标准《恶臭污染物排放标准》</w:t>
                  </w:r>
                  <w:r>
                    <w:t xml:space="preserve">GB14554 </w:t>
                  </w:r>
                  <w:r>
                    <w:t>的有关规定。</w:t>
                  </w:r>
                </w:p>
              </w:tc>
              <w:tc>
                <w:tcPr>
                  <w:tcW w:w="1239" w:type="pct"/>
                  <w:tcBorders>
                    <w:top w:val="single" w:sz="6" w:space="0" w:color="auto"/>
                    <w:left w:val="single" w:sz="6" w:space="0" w:color="auto"/>
                    <w:bottom w:val="single" w:sz="12" w:space="0" w:color="auto"/>
                    <w:right w:val="single" w:sz="6" w:space="0" w:color="auto"/>
                  </w:tcBorders>
                  <w:vAlign w:val="center"/>
                </w:tcPr>
                <w:p w14:paraId="47259DCE" w14:textId="77777777" w:rsidR="00F76A63" w:rsidRDefault="00000000">
                  <w:pPr>
                    <w:autoSpaceDE w:val="0"/>
                    <w:autoSpaceDN w:val="0"/>
                    <w:snapToGrid w:val="0"/>
                    <w:jc w:val="center"/>
                  </w:pPr>
                  <w:r>
                    <w:t>本项目不涉及污泥预处理。</w:t>
                  </w:r>
                </w:p>
              </w:tc>
              <w:tc>
                <w:tcPr>
                  <w:tcW w:w="186" w:type="pct"/>
                  <w:tcBorders>
                    <w:top w:val="single" w:sz="6" w:space="0" w:color="auto"/>
                    <w:left w:val="single" w:sz="6" w:space="0" w:color="auto"/>
                    <w:bottom w:val="single" w:sz="12" w:space="0" w:color="auto"/>
                    <w:right w:val="nil"/>
                  </w:tcBorders>
                  <w:vAlign w:val="center"/>
                </w:tcPr>
                <w:p w14:paraId="0923BD08" w14:textId="77777777" w:rsidR="00F76A63" w:rsidRDefault="00000000">
                  <w:pPr>
                    <w:autoSpaceDE w:val="0"/>
                    <w:autoSpaceDN w:val="0"/>
                    <w:snapToGrid w:val="0"/>
                    <w:jc w:val="center"/>
                  </w:pPr>
                  <w:r>
                    <w:t>相符</w:t>
                  </w:r>
                </w:p>
              </w:tc>
            </w:tr>
          </w:tbl>
          <w:p w14:paraId="14E9B17D" w14:textId="77777777" w:rsidR="00F76A63" w:rsidRDefault="00000000">
            <w:pPr>
              <w:widowControl/>
              <w:spacing w:line="500" w:lineRule="exact"/>
              <w:jc w:val="center"/>
              <w:rPr>
                <w:sz w:val="24"/>
                <w:szCs w:val="21"/>
              </w:rPr>
            </w:pPr>
            <w:bookmarkStart w:id="50" w:name="OLE_LINK57"/>
            <w:bookmarkEnd w:id="48"/>
            <w:r>
              <w:rPr>
                <w:b/>
                <w:bCs/>
                <w:sz w:val="24"/>
                <w:szCs w:val="21"/>
              </w:rPr>
              <w:t>表</w:t>
            </w:r>
            <w:r>
              <w:rPr>
                <w:b/>
                <w:bCs/>
                <w:sz w:val="24"/>
                <w:szCs w:val="21"/>
              </w:rPr>
              <w:t>1-1</w:t>
            </w:r>
            <w:r>
              <w:rPr>
                <w:rFonts w:hint="eastAsia"/>
                <w:b/>
                <w:bCs/>
                <w:sz w:val="24"/>
                <w:szCs w:val="21"/>
              </w:rPr>
              <w:t>6</w:t>
            </w:r>
            <w:r>
              <w:rPr>
                <w:b/>
                <w:bCs/>
                <w:sz w:val="24"/>
                <w:szCs w:val="21"/>
              </w:rPr>
              <w:t xml:space="preserve">  </w:t>
            </w:r>
            <w:r>
              <w:rPr>
                <w:b/>
                <w:bCs/>
                <w:sz w:val="24"/>
                <w:szCs w:val="21"/>
              </w:rPr>
              <w:t>本项目与《水泥窑协同处置固体废物技术规范》（</w:t>
            </w:r>
            <w:r>
              <w:rPr>
                <w:b/>
                <w:bCs/>
                <w:sz w:val="24"/>
                <w:szCs w:val="21"/>
              </w:rPr>
              <w:t>GB/T 30760-2024</w:t>
            </w:r>
            <w:r>
              <w:rPr>
                <w:b/>
                <w:bCs/>
                <w:sz w:val="24"/>
                <w:szCs w:val="21"/>
              </w:rPr>
              <w:t>）相符性分析</w:t>
            </w:r>
          </w:p>
          <w:tbl>
            <w:tblPr>
              <w:tblW w:w="5000" w:type="pct"/>
              <w:tblBorders>
                <w:top w:val="single" w:sz="12" w:space="0" w:color="auto"/>
                <w:bottom w:val="single" w:sz="12"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645"/>
              <w:gridCol w:w="6055"/>
              <w:gridCol w:w="5382"/>
              <w:gridCol w:w="671"/>
            </w:tblGrid>
            <w:tr w:rsidR="00F76A63" w14:paraId="4987F890" w14:textId="77777777">
              <w:trPr>
                <w:trHeight w:val="20"/>
              </w:trPr>
              <w:tc>
                <w:tcPr>
                  <w:tcW w:w="2627" w:type="pct"/>
                  <w:gridSpan w:val="2"/>
                  <w:tcBorders>
                    <w:top w:val="single" w:sz="12" w:space="0" w:color="auto"/>
                    <w:left w:val="nil"/>
                    <w:bottom w:val="single" w:sz="6" w:space="0" w:color="auto"/>
                    <w:right w:val="single" w:sz="6" w:space="0" w:color="auto"/>
                  </w:tcBorders>
                  <w:vAlign w:val="center"/>
                </w:tcPr>
                <w:p w14:paraId="644ABF68" w14:textId="77777777" w:rsidR="00F76A63" w:rsidRDefault="00000000">
                  <w:pPr>
                    <w:autoSpaceDE w:val="0"/>
                    <w:autoSpaceDN w:val="0"/>
                    <w:snapToGrid w:val="0"/>
                    <w:jc w:val="center"/>
                    <w:rPr>
                      <w:b/>
                      <w:szCs w:val="21"/>
                    </w:rPr>
                  </w:pPr>
                  <w:r>
                    <w:rPr>
                      <w:b/>
                    </w:rPr>
                    <w:t>相关要求</w:t>
                  </w:r>
                </w:p>
              </w:tc>
              <w:tc>
                <w:tcPr>
                  <w:tcW w:w="2110" w:type="pct"/>
                  <w:tcBorders>
                    <w:top w:val="single" w:sz="12" w:space="0" w:color="auto"/>
                    <w:left w:val="single" w:sz="6" w:space="0" w:color="auto"/>
                    <w:bottom w:val="single" w:sz="6" w:space="0" w:color="auto"/>
                    <w:right w:val="single" w:sz="6" w:space="0" w:color="auto"/>
                  </w:tcBorders>
                  <w:vAlign w:val="center"/>
                </w:tcPr>
                <w:p w14:paraId="229DDF0F" w14:textId="77777777" w:rsidR="00F76A63" w:rsidRDefault="00000000">
                  <w:pPr>
                    <w:autoSpaceDE w:val="0"/>
                    <w:autoSpaceDN w:val="0"/>
                    <w:snapToGrid w:val="0"/>
                    <w:jc w:val="center"/>
                    <w:rPr>
                      <w:b/>
                    </w:rPr>
                  </w:pPr>
                  <w:r>
                    <w:rPr>
                      <w:b/>
                    </w:rPr>
                    <w:t>本项目落实情况</w:t>
                  </w:r>
                </w:p>
              </w:tc>
              <w:tc>
                <w:tcPr>
                  <w:tcW w:w="263" w:type="pct"/>
                  <w:tcBorders>
                    <w:top w:val="single" w:sz="12" w:space="0" w:color="auto"/>
                    <w:left w:val="single" w:sz="6" w:space="0" w:color="auto"/>
                    <w:bottom w:val="single" w:sz="6" w:space="0" w:color="auto"/>
                    <w:right w:val="nil"/>
                  </w:tcBorders>
                  <w:vAlign w:val="center"/>
                </w:tcPr>
                <w:p w14:paraId="1D8319F8" w14:textId="77777777" w:rsidR="00F76A63" w:rsidRDefault="00000000">
                  <w:pPr>
                    <w:autoSpaceDE w:val="0"/>
                    <w:autoSpaceDN w:val="0"/>
                    <w:snapToGrid w:val="0"/>
                    <w:jc w:val="center"/>
                    <w:rPr>
                      <w:b/>
                    </w:rPr>
                  </w:pPr>
                  <w:r>
                    <w:rPr>
                      <w:b/>
                    </w:rPr>
                    <w:t>相符性</w:t>
                  </w:r>
                </w:p>
              </w:tc>
            </w:tr>
            <w:tr w:rsidR="00F76A63" w14:paraId="79A0D8EA" w14:textId="77777777">
              <w:trPr>
                <w:trHeight w:val="20"/>
              </w:trPr>
              <w:tc>
                <w:tcPr>
                  <w:tcW w:w="253" w:type="pct"/>
                  <w:vMerge w:val="restart"/>
                  <w:tcBorders>
                    <w:top w:val="single" w:sz="6" w:space="0" w:color="auto"/>
                    <w:left w:val="nil"/>
                    <w:bottom w:val="single" w:sz="6" w:space="0" w:color="auto"/>
                    <w:right w:val="single" w:sz="6" w:space="0" w:color="auto"/>
                  </w:tcBorders>
                  <w:vAlign w:val="center"/>
                </w:tcPr>
                <w:p w14:paraId="0057925E" w14:textId="77777777" w:rsidR="00F76A63" w:rsidRDefault="00000000">
                  <w:pPr>
                    <w:autoSpaceDE w:val="0"/>
                    <w:autoSpaceDN w:val="0"/>
                    <w:snapToGrid w:val="0"/>
                    <w:jc w:val="center"/>
                  </w:pPr>
                  <w:r>
                    <w:t>5</w:t>
                  </w:r>
                  <w:r>
                    <w:t>、水泥窑生产处置要求</w:t>
                  </w:r>
                </w:p>
              </w:tc>
              <w:tc>
                <w:tcPr>
                  <w:tcW w:w="2374" w:type="pct"/>
                  <w:tcBorders>
                    <w:top w:val="single" w:sz="6" w:space="0" w:color="auto"/>
                    <w:left w:val="single" w:sz="6" w:space="0" w:color="auto"/>
                    <w:bottom w:val="single" w:sz="6" w:space="0" w:color="auto"/>
                    <w:right w:val="single" w:sz="6" w:space="0" w:color="auto"/>
                  </w:tcBorders>
                  <w:vAlign w:val="center"/>
                </w:tcPr>
                <w:p w14:paraId="3A96E2C3" w14:textId="77777777" w:rsidR="00F76A63" w:rsidRDefault="00000000">
                  <w:pPr>
                    <w:autoSpaceDE w:val="0"/>
                    <w:autoSpaceDN w:val="0"/>
                    <w:snapToGrid w:val="0"/>
                    <w:jc w:val="center"/>
                  </w:pPr>
                  <w:r>
                    <w:t>5.1</w:t>
                  </w:r>
                  <w:r>
                    <w:t>水泥窑协同处置固体废物的管理要求</w:t>
                  </w:r>
                </w:p>
                <w:p w14:paraId="498618AD" w14:textId="77777777" w:rsidR="00F76A63" w:rsidRDefault="00000000">
                  <w:pPr>
                    <w:autoSpaceDE w:val="0"/>
                    <w:autoSpaceDN w:val="0"/>
                    <w:snapToGrid w:val="0"/>
                    <w:jc w:val="center"/>
                  </w:pPr>
                  <w:r>
                    <w:t>5.1.1</w:t>
                  </w:r>
                  <w:r>
                    <w:t>协同处置固体废物企业应设立处置废物的管理机构，建立健全各项管理制度，并有专职人员负责固体废物管理及环境保护有关工作。</w:t>
                  </w:r>
                </w:p>
                <w:p w14:paraId="386D71CD" w14:textId="77777777" w:rsidR="00F76A63" w:rsidRDefault="00000000">
                  <w:pPr>
                    <w:autoSpaceDE w:val="0"/>
                    <w:autoSpaceDN w:val="0"/>
                    <w:snapToGrid w:val="0"/>
                    <w:jc w:val="center"/>
                  </w:pPr>
                  <w:r>
                    <w:t>5.1.2</w:t>
                  </w:r>
                  <w:r>
                    <w:t>专业技术人员配置宜满足</w:t>
                  </w:r>
                  <w:r>
                    <w:t>HJ662</w:t>
                  </w:r>
                  <w:r>
                    <w:t>相关要求；处置危险废物的企业应配备具有资质的专职安全管理人员；所有岗位的人员均应进行水泥窑协同处置固体废物相关知识及技能的培训。</w:t>
                  </w:r>
                </w:p>
                <w:p w14:paraId="59B38DDA" w14:textId="77777777" w:rsidR="00F76A63" w:rsidRDefault="00000000">
                  <w:pPr>
                    <w:autoSpaceDE w:val="0"/>
                    <w:autoSpaceDN w:val="0"/>
                    <w:snapToGrid w:val="0"/>
                    <w:jc w:val="center"/>
                  </w:pPr>
                  <w:r>
                    <w:t xml:space="preserve">5.1.3 </w:t>
                  </w:r>
                  <w:r>
                    <w:t>协同处置水泥企业宜通过</w:t>
                  </w:r>
                  <w:r>
                    <w:t>GB/T 19001</w:t>
                  </w:r>
                  <w:r>
                    <w:t>、</w:t>
                  </w:r>
                  <w:r>
                    <w:t>GB/T 24001</w:t>
                  </w:r>
                  <w:r>
                    <w:t>、</w:t>
                  </w:r>
                  <w:r>
                    <w:t>GB/T 45001</w:t>
                  </w:r>
                  <w:r>
                    <w:t>认证。</w:t>
                  </w:r>
                </w:p>
              </w:tc>
              <w:tc>
                <w:tcPr>
                  <w:tcW w:w="2110" w:type="pct"/>
                  <w:tcBorders>
                    <w:top w:val="single" w:sz="6" w:space="0" w:color="auto"/>
                    <w:left w:val="single" w:sz="6" w:space="0" w:color="auto"/>
                    <w:bottom w:val="single" w:sz="6" w:space="0" w:color="auto"/>
                    <w:right w:val="single" w:sz="6" w:space="0" w:color="auto"/>
                  </w:tcBorders>
                  <w:vAlign w:val="center"/>
                </w:tcPr>
                <w:p w14:paraId="5855CFDE" w14:textId="77777777" w:rsidR="00F76A63" w:rsidRDefault="00000000">
                  <w:pPr>
                    <w:autoSpaceDE w:val="0"/>
                    <w:autoSpaceDN w:val="0"/>
                    <w:snapToGrid w:val="0"/>
                    <w:jc w:val="center"/>
                  </w:pPr>
                  <w:r>
                    <w:t>按要求设置管理机构，配备专职人员，建立健全各项管理制度。</w:t>
                  </w:r>
                </w:p>
              </w:tc>
              <w:tc>
                <w:tcPr>
                  <w:tcW w:w="263" w:type="pct"/>
                  <w:tcBorders>
                    <w:top w:val="single" w:sz="6" w:space="0" w:color="auto"/>
                    <w:left w:val="single" w:sz="6" w:space="0" w:color="auto"/>
                    <w:bottom w:val="single" w:sz="6" w:space="0" w:color="auto"/>
                    <w:right w:val="nil"/>
                  </w:tcBorders>
                  <w:vAlign w:val="center"/>
                </w:tcPr>
                <w:p w14:paraId="6F145229" w14:textId="77777777" w:rsidR="00F76A63" w:rsidRDefault="00000000">
                  <w:pPr>
                    <w:autoSpaceDE w:val="0"/>
                    <w:autoSpaceDN w:val="0"/>
                    <w:snapToGrid w:val="0"/>
                    <w:jc w:val="center"/>
                  </w:pPr>
                  <w:r>
                    <w:t>相符</w:t>
                  </w:r>
                </w:p>
              </w:tc>
            </w:tr>
            <w:tr w:rsidR="00F76A63" w14:paraId="23B6F284" w14:textId="77777777">
              <w:trPr>
                <w:trHeight w:val="20"/>
              </w:trPr>
              <w:tc>
                <w:tcPr>
                  <w:tcW w:w="0" w:type="auto"/>
                  <w:vMerge/>
                  <w:tcBorders>
                    <w:top w:val="single" w:sz="6" w:space="0" w:color="auto"/>
                    <w:left w:val="nil"/>
                    <w:bottom w:val="single" w:sz="6" w:space="0" w:color="auto"/>
                    <w:right w:val="single" w:sz="6" w:space="0" w:color="auto"/>
                  </w:tcBorders>
                  <w:vAlign w:val="center"/>
                </w:tcPr>
                <w:p w14:paraId="2AAE8A1C" w14:textId="77777777" w:rsidR="00F76A63" w:rsidRDefault="00F76A63">
                  <w:pPr>
                    <w:jc w:val="center"/>
                    <w:rPr>
                      <w:szCs w:val="21"/>
                    </w:rPr>
                  </w:pPr>
                </w:p>
              </w:tc>
              <w:tc>
                <w:tcPr>
                  <w:tcW w:w="2374" w:type="pct"/>
                  <w:tcBorders>
                    <w:top w:val="single" w:sz="6" w:space="0" w:color="auto"/>
                    <w:left w:val="single" w:sz="6" w:space="0" w:color="auto"/>
                    <w:bottom w:val="single" w:sz="6" w:space="0" w:color="auto"/>
                    <w:right w:val="single" w:sz="6" w:space="0" w:color="auto"/>
                  </w:tcBorders>
                  <w:vAlign w:val="center"/>
                </w:tcPr>
                <w:p w14:paraId="04F52CD1" w14:textId="77777777" w:rsidR="00F76A63" w:rsidRDefault="00000000">
                  <w:pPr>
                    <w:autoSpaceDE w:val="0"/>
                    <w:autoSpaceDN w:val="0"/>
                    <w:snapToGrid w:val="0"/>
                    <w:jc w:val="center"/>
                  </w:pPr>
                  <w:r>
                    <w:t xml:space="preserve">5.2 </w:t>
                  </w:r>
                  <w:r>
                    <w:t>水泥窑协同处置固体废物设施场地与贮存</w:t>
                  </w:r>
                </w:p>
                <w:p w14:paraId="4CC4FCD5" w14:textId="77777777" w:rsidR="00F76A63" w:rsidRDefault="00000000">
                  <w:pPr>
                    <w:autoSpaceDE w:val="0"/>
                    <w:autoSpaceDN w:val="0"/>
                    <w:snapToGrid w:val="0"/>
                    <w:jc w:val="center"/>
                  </w:pPr>
                  <w:r>
                    <w:t xml:space="preserve">5.2.1 </w:t>
                  </w:r>
                  <w:r>
                    <w:t>水泥窑协同处置固体废物设施场地应满足</w:t>
                  </w:r>
                  <w:r>
                    <w:t>GB30485</w:t>
                  </w:r>
                  <w:r>
                    <w:t>、</w:t>
                  </w:r>
                  <w:r>
                    <w:t>GB18597</w:t>
                  </w:r>
                  <w:r>
                    <w:t>、</w:t>
                  </w:r>
                  <w:r>
                    <w:t>HJ662</w:t>
                  </w:r>
                  <w:r>
                    <w:t>要求。贮存设施防火要求应满足</w:t>
                  </w:r>
                  <w:r>
                    <w:t>GB50016</w:t>
                  </w:r>
                  <w:r>
                    <w:t>的要求。贮存设施宜建设围墙或栅栏等隔离设施，并在设施边界周围设置防飞扬设施、安全防护设施及防火隔离带。</w:t>
                  </w:r>
                </w:p>
                <w:p w14:paraId="3C2445FB" w14:textId="77777777" w:rsidR="00F76A63" w:rsidRDefault="00000000">
                  <w:pPr>
                    <w:autoSpaceDE w:val="0"/>
                    <w:autoSpaceDN w:val="0"/>
                    <w:snapToGrid w:val="0"/>
                    <w:jc w:val="center"/>
                  </w:pPr>
                  <w:r>
                    <w:t>5.2.2</w:t>
                  </w:r>
                  <w:r>
                    <w:t>对于有挥发性或化工恶臭的固体废物，</w:t>
                  </w:r>
                  <w:bookmarkStart w:id="51" w:name="OLE_LINK43"/>
                  <w:r>
                    <w:t>应在密闭条件或微负压条件下贮存。固体废物的贮存设施应有必要的防渗性能。贮存设施内产生的废气和渗滤液，应根据各自的性质，按照</w:t>
                  </w:r>
                  <w:r>
                    <w:lastRenderedPageBreak/>
                    <w:t>GB30485</w:t>
                  </w:r>
                  <w:r>
                    <w:t>、</w:t>
                  </w:r>
                  <w:r>
                    <w:t>GB8978</w:t>
                  </w:r>
                  <w:r>
                    <w:t>相关要求处理和排放。</w:t>
                  </w:r>
                  <w:bookmarkEnd w:id="51"/>
                </w:p>
              </w:tc>
              <w:tc>
                <w:tcPr>
                  <w:tcW w:w="2110" w:type="pct"/>
                  <w:tcBorders>
                    <w:top w:val="single" w:sz="6" w:space="0" w:color="auto"/>
                    <w:left w:val="single" w:sz="6" w:space="0" w:color="auto"/>
                    <w:bottom w:val="single" w:sz="6" w:space="0" w:color="auto"/>
                    <w:right w:val="single" w:sz="6" w:space="0" w:color="auto"/>
                  </w:tcBorders>
                  <w:vAlign w:val="center"/>
                </w:tcPr>
                <w:p w14:paraId="569D766A" w14:textId="77777777" w:rsidR="00F76A63" w:rsidRDefault="00000000">
                  <w:pPr>
                    <w:pStyle w:val="affff8"/>
                    <w:rPr>
                      <w:rFonts w:cs="Times New Roman"/>
                    </w:rPr>
                  </w:pPr>
                  <w:r>
                    <w:rPr>
                      <w:rFonts w:cs="Times New Roman"/>
                    </w:rPr>
                    <w:lastRenderedPageBreak/>
                    <w:t>1</w:t>
                  </w:r>
                  <w:r>
                    <w:rPr>
                      <w:rFonts w:cs="Times New Roman"/>
                    </w:rPr>
                    <w:t>、本项目不涉及固废的预处理，固废贮存已按照要求建设固废的贮存场所，具体如下：</w:t>
                  </w:r>
                </w:p>
                <w:p w14:paraId="71D49E3E" w14:textId="77777777" w:rsidR="00F76A63" w:rsidRDefault="00000000">
                  <w:pPr>
                    <w:pStyle w:val="affff8"/>
                    <w:rPr>
                      <w:rFonts w:cs="Times New Roman"/>
                    </w:rPr>
                  </w:pPr>
                  <w:r>
                    <w:rPr>
                      <w:rFonts w:ascii="Cambria Math" w:hAnsi="Cambria Math" w:cs="Cambria Math"/>
                    </w:rPr>
                    <w:t>①</w:t>
                  </w:r>
                  <w:r>
                    <w:rPr>
                      <w:rFonts w:cs="Times New Roman"/>
                    </w:rPr>
                    <w:t>贮存场所按照《环境保护图形标志－固体废物贮存</w:t>
                  </w:r>
                  <w:r>
                    <w:rPr>
                      <w:rFonts w:cs="Times New Roman"/>
                    </w:rPr>
                    <w:t>(</w:t>
                  </w:r>
                  <w:r>
                    <w:rPr>
                      <w:rFonts w:cs="Times New Roman"/>
                    </w:rPr>
                    <w:t>处置</w:t>
                  </w:r>
                  <w:r>
                    <w:rPr>
                      <w:rFonts w:cs="Times New Roman"/>
                    </w:rPr>
                    <w:t>)</w:t>
                  </w:r>
                  <w:r>
                    <w:rPr>
                      <w:rFonts w:cs="Times New Roman"/>
                    </w:rPr>
                    <w:t>场》</w:t>
                  </w:r>
                  <w:r>
                    <w:rPr>
                      <w:rFonts w:cs="Times New Roman"/>
                    </w:rPr>
                    <w:t>GB15562.2</w:t>
                  </w:r>
                  <w:r>
                    <w:rPr>
                      <w:rFonts w:cs="Times New Roman"/>
                    </w:rPr>
                    <w:t>有关规定设置专用标志。</w:t>
                  </w:r>
                </w:p>
                <w:p w14:paraId="04C79348" w14:textId="77777777" w:rsidR="00F76A63" w:rsidRDefault="00000000">
                  <w:pPr>
                    <w:pStyle w:val="affff8"/>
                    <w:rPr>
                      <w:rFonts w:cs="Times New Roman"/>
                    </w:rPr>
                  </w:pPr>
                  <w:r>
                    <w:rPr>
                      <w:rFonts w:ascii="Cambria Math" w:hAnsi="Cambria Math" w:cs="Cambria Math"/>
                    </w:rPr>
                    <w:t>②</w:t>
                  </w:r>
                  <w:r>
                    <w:rPr>
                      <w:rFonts w:cs="Times New Roman"/>
                    </w:rPr>
                    <w:t>一般固废由汽车卸入贮存仓库，储存期约</w:t>
                  </w:r>
                  <w:r>
                    <w:rPr>
                      <w:rFonts w:cs="Times New Roman"/>
                    </w:rPr>
                    <w:t>10</w:t>
                  </w:r>
                  <w:r>
                    <w:rPr>
                      <w:rFonts w:cs="Times New Roman"/>
                    </w:rPr>
                    <w:t>天；分别储存。</w:t>
                  </w:r>
                </w:p>
                <w:p w14:paraId="7769F437" w14:textId="77777777" w:rsidR="00F76A63" w:rsidRDefault="00000000">
                  <w:pPr>
                    <w:pStyle w:val="affff8"/>
                    <w:rPr>
                      <w:rFonts w:cs="Times New Roman"/>
                    </w:rPr>
                  </w:pPr>
                  <w:r>
                    <w:rPr>
                      <w:rFonts w:ascii="Cambria Math" w:hAnsi="Cambria Math" w:cs="Cambria Math"/>
                    </w:rPr>
                    <w:t>③</w:t>
                  </w:r>
                  <w:r>
                    <w:rPr>
                      <w:rFonts w:cs="Times New Roman"/>
                    </w:rPr>
                    <w:t>危险废物拟建危废库，分区存放。</w:t>
                  </w:r>
                </w:p>
                <w:p w14:paraId="36CAD1A0" w14:textId="77777777" w:rsidR="00F76A63" w:rsidRDefault="00000000">
                  <w:pPr>
                    <w:pStyle w:val="affff8"/>
                    <w:rPr>
                      <w:rFonts w:cs="Times New Roman"/>
                    </w:rPr>
                  </w:pPr>
                  <w:r>
                    <w:rPr>
                      <w:rFonts w:ascii="Cambria Math" w:hAnsi="Cambria Math" w:cs="Cambria Math"/>
                    </w:rPr>
                    <w:lastRenderedPageBreak/>
                    <w:t>④</w:t>
                  </w:r>
                  <w:r>
                    <w:rPr>
                      <w:rFonts w:cs="Times New Roman"/>
                    </w:rPr>
                    <w:t>贮存设施采取防震、防火、换气、空气净化等措施，并配备应急安全设备。</w:t>
                  </w:r>
                </w:p>
                <w:p w14:paraId="1DD8B37B" w14:textId="77777777" w:rsidR="00F76A63" w:rsidRDefault="00000000">
                  <w:pPr>
                    <w:pStyle w:val="affff8"/>
                    <w:rPr>
                      <w:rFonts w:cs="Times New Roman"/>
                    </w:rPr>
                  </w:pPr>
                  <w:r>
                    <w:rPr>
                      <w:rFonts w:ascii="Cambria Math" w:hAnsi="Cambria Math" w:cs="Cambria Math"/>
                    </w:rPr>
                    <w:t>⑤</w:t>
                  </w:r>
                  <w:r>
                    <w:rPr>
                      <w:rFonts w:ascii="Cambria Math" w:hAnsi="Cambria Math" w:cs="Cambria Math"/>
                    </w:rPr>
                    <w:t>本项目</w:t>
                  </w:r>
                  <w:r>
                    <w:rPr>
                      <w:rFonts w:ascii="Cambria Math" w:hAnsi="Cambria Math" w:cs="Cambria Math" w:hint="eastAsia"/>
                    </w:rPr>
                    <w:t>产生的废水为污泥堆放产生的渗滤液，经集水沟统一收集至原水池和生产废水一起经中水处理系统处理后回用</w:t>
                  </w:r>
                  <w:r>
                    <w:rPr>
                      <w:rFonts w:cs="Times New Roman"/>
                    </w:rPr>
                    <w:t>，收集池按规范设置防腐防渗措施。</w:t>
                  </w:r>
                </w:p>
                <w:p w14:paraId="1D6A2CAF" w14:textId="77777777" w:rsidR="00F76A63" w:rsidRDefault="00000000">
                  <w:pPr>
                    <w:pStyle w:val="affff8"/>
                    <w:rPr>
                      <w:rFonts w:cs="Times New Roman"/>
                    </w:rPr>
                  </w:pPr>
                  <w:r>
                    <w:rPr>
                      <w:rFonts w:ascii="Cambria Math" w:hAnsi="Cambria Math" w:cs="Cambria Math"/>
                    </w:rPr>
                    <w:t>⑥</w:t>
                  </w:r>
                  <w:r>
                    <w:rPr>
                      <w:rFonts w:cs="Times New Roman"/>
                    </w:rPr>
                    <w:t>本项目贮存仓库最大库容量约为</w:t>
                  </w:r>
                  <w:r>
                    <w:rPr>
                      <w:rFonts w:cs="Times New Roman"/>
                    </w:rPr>
                    <w:t>10</w:t>
                  </w:r>
                  <w:r>
                    <w:rPr>
                      <w:rFonts w:cs="Times New Roman"/>
                    </w:rPr>
                    <w:t>天贮存量，可以满足要求，并满足设备大修和工业废物配伍焚烧的要求。</w:t>
                  </w:r>
                </w:p>
                <w:p w14:paraId="0D40F57E" w14:textId="77777777" w:rsidR="00F76A63" w:rsidRDefault="00000000">
                  <w:pPr>
                    <w:pStyle w:val="affff8"/>
                    <w:rPr>
                      <w:rFonts w:cs="Times New Roman"/>
                    </w:rPr>
                  </w:pPr>
                  <w:r>
                    <w:rPr>
                      <w:rFonts w:ascii="Cambria Math" w:hAnsi="Cambria Math" w:cs="Cambria Math"/>
                    </w:rPr>
                    <w:t>⑦</w:t>
                  </w:r>
                  <w:r>
                    <w:rPr>
                      <w:rFonts w:cs="Times New Roman"/>
                    </w:rPr>
                    <w:t>进厂不同废物间设置隔栅。</w:t>
                  </w:r>
                </w:p>
                <w:p w14:paraId="101693EE" w14:textId="77777777" w:rsidR="00F76A63" w:rsidRDefault="00000000">
                  <w:pPr>
                    <w:autoSpaceDE w:val="0"/>
                    <w:autoSpaceDN w:val="0"/>
                    <w:snapToGrid w:val="0"/>
                    <w:jc w:val="center"/>
                  </w:pPr>
                  <w:r>
                    <w:t>2</w:t>
                  </w:r>
                  <w:r>
                    <w:t>、本项目水泥窑协同处置不涉及危险废物。</w:t>
                  </w:r>
                </w:p>
              </w:tc>
              <w:tc>
                <w:tcPr>
                  <w:tcW w:w="263" w:type="pct"/>
                  <w:tcBorders>
                    <w:top w:val="single" w:sz="6" w:space="0" w:color="auto"/>
                    <w:left w:val="single" w:sz="6" w:space="0" w:color="auto"/>
                    <w:bottom w:val="single" w:sz="6" w:space="0" w:color="auto"/>
                    <w:right w:val="nil"/>
                  </w:tcBorders>
                  <w:vAlign w:val="center"/>
                </w:tcPr>
                <w:p w14:paraId="4D35CAEE" w14:textId="77777777" w:rsidR="00F76A63" w:rsidRDefault="00000000">
                  <w:pPr>
                    <w:autoSpaceDE w:val="0"/>
                    <w:autoSpaceDN w:val="0"/>
                    <w:snapToGrid w:val="0"/>
                    <w:jc w:val="center"/>
                  </w:pPr>
                  <w:r>
                    <w:lastRenderedPageBreak/>
                    <w:t>相符</w:t>
                  </w:r>
                </w:p>
              </w:tc>
            </w:tr>
            <w:tr w:rsidR="00F76A63" w14:paraId="27C5E6A1" w14:textId="77777777">
              <w:trPr>
                <w:trHeight w:val="20"/>
              </w:trPr>
              <w:tc>
                <w:tcPr>
                  <w:tcW w:w="0" w:type="auto"/>
                  <w:vMerge/>
                  <w:tcBorders>
                    <w:top w:val="single" w:sz="6" w:space="0" w:color="auto"/>
                    <w:left w:val="nil"/>
                    <w:bottom w:val="single" w:sz="6" w:space="0" w:color="auto"/>
                    <w:right w:val="single" w:sz="6" w:space="0" w:color="auto"/>
                  </w:tcBorders>
                  <w:vAlign w:val="center"/>
                </w:tcPr>
                <w:p w14:paraId="3C827491" w14:textId="77777777" w:rsidR="00F76A63" w:rsidRDefault="00F76A63">
                  <w:pPr>
                    <w:jc w:val="center"/>
                    <w:rPr>
                      <w:szCs w:val="21"/>
                    </w:rPr>
                  </w:pPr>
                </w:p>
              </w:tc>
              <w:tc>
                <w:tcPr>
                  <w:tcW w:w="2374" w:type="pct"/>
                  <w:tcBorders>
                    <w:top w:val="single" w:sz="6" w:space="0" w:color="auto"/>
                    <w:left w:val="single" w:sz="6" w:space="0" w:color="auto"/>
                    <w:bottom w:val="single" w:sz="6" w:space="0" w:color="auto"/>
                    <w:right w:val="single" w:sz="6" w:space="0" w:color="auto"/>
                  </w:tcBorders>
                  <w:vAlign w:val="center"/>
                </w:tcPr>
                <w:p w14:paraId="73BEA482" w14:textId="77777777" w:rsidR="00F76A63" w:rsidRDefault="00000000">
                  <w:pPr>
                    <w:autoSpaceDE w:val="0"/>
                    <w:autoSpaceDN w:val="0"/>
                    <w:snapToGrid w:val="0"/>
                    <w:jc w:val="center"/>
                  </w:pPr>
                  <w:r>
                    <w:t xml:space="preserve">5.3 </w:t>
                  </w:r>
                  <w:r>
                    <w:t>水泥窑协同处置过程中固体废物的输送</w:t>
                  </w:r>
                </w:p>
                <w:p w14:paraId="73B9F427" w14:textId="77777777" w:rsidR="00F76A63" w:rsidRDefault="00000000">
                  <w:pPr>
                    <w:autoSpaceDE w:val="0"/>
                    <w:autoSpaceDN w:val="0"/>
                    <w:snapToGrid w:val="0"/>
                    <w:jc w:val="center"/>
                  </w:pPr>
                  <w:r>
                    <w:t xml:space="preserve">5.3.1 </w:t>
                  </w:r>
                  <w:r>
                    <w:t>在生产处置厂区内可采用机械、气力、汽车等方式输送、转运固体废物，输送、转运过程中要有防扬尘、防异味发散、防泄漏等技术措施。厂区内宜有明确的机械、气力等输送装备或车辆专门通道，并设有明确醒目的标志标识；废气、废液的输送、转运管道应有明确醒目的方向、速度等标志标识。</w:t>
                  </w:r>
                </w:p>
                <w:p w14:paraId="3FD86FC8" w14:textId="77777777" w:rsidR="00F76A63" w:rsidRDefault="00000000">
                  <w:pPr>
                    <w:autoSpaceDE w:val="0"/>
                    <w:autoSpaceDN w:val="0"/>
                    <w:snapToGrid w:val="0"/>
                    <w:jc w:val="center"/>
                  </w:pPr>
                  <w:r>
                    <w:t>5.3.2</w:t>
                  </w:r>
                  <w:r>
                    <w:t>危险废物的输送、转运应满足</w:t>
                  </w:r>
                  <w:r>
                    <w:t>H2025</w:t>
                  </w:r>
                  <w:r>
                    <w:t>的要求。输送、转运管道应根据物料的安全等级设置对应的防爆技术措施。</w:t>
                  </w:r>
                </w:p>
                <w:p w14:paraId="6D452FFC" w14:textId="77777777" w:rsidR="00F76A63" w:rsidRDefault="00000000">
                  <w:pPr>
                    <w:autoSpaceDE w:val="0"/>
                    <w:autoSpaceDN w:val="0"/>
                    <w:snapToGrid w:val="0"/>
                    <w:jc w:val="center"/>
                  </w:pPr>
                  <w:r>
                    <w:t>5.3.3</w:t>
                  </w:r>
                  <w:r>
                    <w:t>有挥发性或化工恶臭的固体废物，应在密闭或负压条件下输送、转运、产生的废气应导入水泥窑中或是通过空气过滤装置后达标排放。</w:t>
                  </w:r>
                </w:p>
              </w:tc>
              <w:tc>
                <w:tcPr>
                  <w:tcW w:w="2110" w:type="pct"/>
                  <w:tcBorders>
                    <w:top w:val="single" w:sz="6" w:space="0" w:color="auto"/>
                    <w:left w:val="single" w:sz="6" w:space="0" w:color="auto"/>
                    <w:bottom w:val="single" w:sz="6" w:space="0" w:color="auto"/>
                    <w:right w:val="single" w:sz="6" w:space="0" w:color="auto"/>
                  </w:tcBorders>
                  <w:vAlign w:val="center"/>
                </w:tcPr>
                <w:p w14:paraId="124EB8B5" w14:textId="77777777" w:rsidR="00F76A63" w:rsidRDefault="00000000">
                  <w:pPr>
                    <w:pStyle w:val="affff8"/>
                    <w:rPr>
                      <w:rFonts w:cs="Times New Roman"/>
                    </w:rPr>
                  </w:pPr>
                  <w:r>
                    <w:rPr>
                      <w:rFonts w:cs="Times New Roman"/>
                    </w:rPr>
                    <w:t>1</w:t>
                  </w:r>
                  <w:r>
                    <w:rPr>
                      <w:rFonts w:cs="Times New Roman"/>
                    </w:rPr>
                    <w:t>、固废输送设施依据一般固废的性质、输送能力、输送距离、输送高度等结合工艺布置选择输送设备。</w:t>
                  </w:r>
                </w:p>
                <w:p w14:paraId="7110A96E" w14:textId="77777777" w:rsidR="00F76A63" w:rsidRDefault="00000000">
                  <w:pPr>
                    <w:pStyle w:val="affff8"/>
                    <w:rPr>
                      <w:rFonts w:cs="Times New Roman"/>
                    </w:rPr>
                  </w:pPr>
                  <w:r>
                    <w:rPr>
                      <w:rFonts w:cs="Times New Roman"/>
                    </w:rPr>
                    <w:t>2</w:t>
                  </w:r>
                  <w:r>
                    <w:rPr>
                      <w:rFonts w:cs="Times New Roman"/>
                    </w:rPr>
                    <w:t>、采用密闭方式进行输送，同时</w:t>
                  </w:r>
                  <w:r>
                    <w:rPr>
                      <w:rFonts w:ascii="Cambria Math" w:hAnsi="Cambria Math" w:cs="Cambria Math"/>
                    </w:rPr>
                    <w:t>①</w:t>
                  </w:r>
                  <w:r>
                    <w:rPr>
                      <w:rFonts w:cs="Times New Roman"/>
                    </w:rPr>
                    <w:t>在卸料车间设置收尘装置；</w:t>
                  </w:r>
                  <w:r>
                    <w:rPr>
                      <w:rFonts w:ascii="Cambria Math" w:hAnsi="Cambria Math" w:cs="Cambria Math"/>
                    </w:rPr>
                    <w:t>②</w:t>
                  </w:r>
                  <w:r>
                    <w:rPr>
                      <w:rFonts w:cs="Times New Roman"/>
                    </w:rPr>
                    <w:t>对处置的一般固废进行异味气体收集处理；</w:t>
                  </w:r>
                  <w:r>
                    <w:rPr>
                      <w:rFonts w:ascii="Cambria Math" w:hAnsi="Cambria Math" w:cs="Cambria Math"/>
                    </w:rPr>
                    <w:t>③</w:t>
                  </w:r>
                  <w:r>
                    <w:rPr>
                      <w:rFonts w:cs="Times New Roman"/>
                    </w:rPr>
                    <w:t>输送过程中采取防泄漏、防散落、防破损的措施。</w:t>
                  </w:r>
                </w:p>
                <w:p w14:paraId="2740CB36" w14:textId="77777777" w:rsidR="00F76A63" w:rsidRDefault="00000000">
                  <w:pPr>
                    <w:autoSpaceDE w:val="0"/>
                    <w:autoSpaceDN w:val="0"/>
                    <w:snapToGrid w:val="0"/>
                    <w:jc w:val="center"/>
                  </w:pPr>
                  <w:r>
                    <w:t>3</w:t>
                  </w:r>
                  <w:r>
                    <w:t>、协同处置的污染土</w:t>
                  </w:r>
                  <w:r>
                    <w:rPr>
                      <w:rFonts w:hint="eastAsia"/>
                    </w:rPr>
                    <w:t>及污泥</w:t>
                  </w:r>
                  <w:r>
                    <w:t>不涉及液态工业废物。</w:t>
                  </w:r>
                </w:p>
              </w:tc>
              <w:tc>
                <w:tcPr>
                  <w:tcW w:w="263" w:type="pct"/>
                  <w:tcBorders>
                    <w:top w:val="single" w:sz="6" w:space="0" w:color="auto"/>
                    <w:left w:val="single" w:sz="6" w:space="0" w:color="auto"/>
                    <w:bottom w:val="single" w:sz="6" w:space="0" w:color="auto"/>
                    <w:right w:val="nil"/>
                  </w:tcBorders>
                  <w:vAlign w:val="center"/>
                </w:tcPr>
                <w:p w14:paraId="7BC09FF8" w14:textId="77777777" w:rsidR="00F76A63" w:rsidRDefault="00000000">
                  <w:pPr>
                    <w:autoSpaceDE w:val="0"/>
                    <w:autoSpaceDN w:val="0"/>
                    <w:snapToGrid w:val="0"/>
                    <w:jc w:val="center"/>
                  </w:pPr>
                  <w:r>
                    <w:t>相符</w:t>
                  </w:r>
                </w:p>
              </w:tc>
            </w:tr>
            <w:tr w:rsidR="00F76A63" w14:paraId="53C91CDF" w14:textId="77777777">
              <w:trPr>
                <w:trHeight w:val="20"/>
              </w:trPr>
              <w:tc>
                <w:tcPr>
                  <w:tcW w:w="0" w:type="auto"/>
                  <w:vMerge/>
                  <w:tcBorders>
                    <w:top w:val="single" w:sz="6" w:space="0" w:color="auto"/>
                    <w:left w:val="nil"/>
                    <w:bottom w:val="single" w:sz="6" w:space="0" w:color="auto"/>
                    <w:right w:val="single" w:sz="6" w:space="0" w:color="auto"/>
                  </w:tcBorders>
                  <w:vAlign w:val="center"/>
                </w:tcPr>
                <w:p w14:paraId="6E2D79F0" w14:textId="77777777" w:rsidR="00F76A63" w:rsidRDefault="00F76A63">
                  <w:pPr>
                    <w:jc w:val="center"/>
                    <w:rPr>
                      <w:szCs w:val="21"/>
                    </w:rPr>
                  </w:pPr>
                </w:p>
              </w:tc>
              <w:tc>
                <w:tcPr>
                  <w:tcW w:w="2374" w:type="pct"/>
                  <w:tcBorders>
                    <w:top w:val="single" w:sz="6" w:space="0" w:color="auto"/>
                    <w:left w:val="single" w:sz="6" w:space="0" w:color="auto"/>
                    <w:bottom w:val="single" w:sz="6" w:space="0" w:color="auto"/>
                    <w:right w:val="single" w:sz="6" w:space="0" w:color="auto"/>
                  </w:tcBorders>
                  <w:vAlign w:val="center"/>
                </w:tcPr>
                <w:p w14:paraId="61ABE904" w14:textId="77777777" w:rsidR="00F76A63" w:rsidRDefault="00000000">
                  <w:pPr>
                    <w:autoSpaceDE w:val="0"/>
                    <w:autoSpaceDN w:val="0"/>
                    <w:snapToGrid w:val="0"/>
                    <w:jc w:val="center"/>
                  </w:pPr>
                  <w:r>
                    <w:t xml:space="preserve">5.4 </w:t>
                  </w:r>
                  <w:r>
                    <w:t>水泥窑协同处置厂区内固体废物的预处理</w:t>
                  </w:r>
                </w:p>
                <w:p w14:paraId="1B172FF9" w14:textId="77777777" w:rsidR="00F76A63" w:rsidRDefault="00000000">
                  <w:pPr>
                    <w:autoSpaceDE w:val="0"/>
                    <w:autoSpaceDN w:val="0"/>
                    <w:snapToGrid w:val="0"/>
                    <w:jc w:val="center"/>
                  </w:pPr>
                  <w:r>
                    <w:t xml:space="preserve">5.4.1 </w:t>
                  </w:r>
                  <w:r>
                    <w:t>为适应水泥窑处置的要求，可在生产处置厂区内对固体废物进行预处理，包括化学处理，如酸碱中和、氧化等；物理处理，如浮选、磁选、水洗、破碎、粉磨、烘干等；生物处理，如厌氧发酵、好氧发酵、生物分解等。</w:t>
                  </w:r>
                </w:p>
                <w:p w14:paraId="63981E0D" w14:textId="77777777" w:rsidR="00F76A63" w:rsidRDefault="00000000">
                  <w:pPr>
                    <w:autoSpaceDE w:val="0"/>
                    <w:autoSpaceDN w:val="0"/>
                    <w:snapToGrid w:val="0"/>
                    <w:jc w:val="center"/>
                  </w:pPr>
                  <w:r>
                    <w:t xml:space="preserve">5.4.2 </w:t>
                  </w:r>
                  <w:r>
                    <w:t>预处理工艺过程应有防扬尘、防异味发散，防泄漏、防噪音等技术措施；宜在密闭或负压条件下进行预处理。</w:t>
                  </w:r>
                </w:p>
                <w:p w14:paraId="5DC5B435" w14:textId="77777777" w:rsidR="00F76A63" w:rsidRDefault="00000000">
                  <w:pPr>
                    <w:autoSpaceDE w:val="0"/>
                    <w:autoSpaceDN w:val="0"/>
                    <w:snapToGrid w:val="0"/>
                    <w:jc w:val="center"/>
                  </w:pPr>
                  <w:r>
                    <w:t xml:space="preserve">5.4.3 </w:t>
                  </w:r>
                  <w:r>
                    <w:t>预处理过程产生的废气和废液，应根据各自的性质，按照</w:t>
                  </w:r>
                  <w:r>
                    <w:t>GB30485</w:t>
                  </w:r>
                  <w:r>
                    <w:t>、</w:t>
                  </w:r>
                  <w:r>
                    <w:t>GB8978</w:t>
                  </w:r>
                  <w:r>
                    <w:t>相关要求处理和排放。</w:t>
                  </w:r>
                </w:p>
              </w:tc>
              <w:tc>
                <w:tcPr>
                  <w:tcW w:w="2110" w:type="pct"/>
                  <w:tcBorders>
                    <w:top w:val="single" w:sz="6" w:space="0" w:color="auto"/>
                    <w:left w:val="single" w:sz="6" w:space="0" w:color="auto"/>
                    <w:bottom w:val="single" w:sz="6" w:space="0" w:color="auto"/>
                    <w:right w:val="single" w:sz="6" w:space="0" w:color="auto"/>
                  </w:tcBorders>
                  <w:vAlign w:val="center"/>
                </w:tcPr>
                <w:p w14:paraId="049F4D25" w14:textId="77777777" w:rsidR="00F76A63" w:rsidRDefault="00000000">
                  <w:pPr>
                    <w:pStyle w:val="affff8"/>
                    <w:rPr>
                      <w:rFonts w:cs="Times New Roman"/>
                    </w:rPr>
                  </w:pPr>
                  <w:r>
                    <w:rPr>
                      <w:rFonts w:cs="Times New Roman"/>
                    </w:rPr>
                    <w:t>本项目不涉及固废的预处理。</w:t>
                  </w:r>
                </w:p>
              </w:tc>
              <w:tc>
                <w:tcPr>
                  <w:tcW w:w="263" w:type="pct"/>
                  <w:tcBorders>
                    <w:top w:val="single" w:sz="6" w:space="0" w:color="auto"/>
                    <w:left w:val="single" w:sz="6" w:space="0" w:color="auto"/>
                    <w:bottom w:val="single" w:sz="6" w:space="0" w:color="auto"/>
                    <w:right w:val="nil"/>
                  </w:tcBorders>
                  <w:vAlign w:val="center"/>
                </w:tcPr>
                <w:p w14:paraId="6E5F2987" w14:textId="77777777" w:rsidR="00F76A63" w:rsidRDefault="00000000">
                  <w:pPr>
                    <w:autoSpaceDE w:val="0"/>
                    <w:autoSpaceDN w:val="0"/>
                    <w:snapToGrid w:val="0"/>
                    <w:jc w:val="center"/>
                  </w:pPr>
                  <w:r>
                    <w:t>相符</w:t>
                  </w:r>
                </w:p>
              </w:tc>
            </w:tr>
            <w:tr w:rsidR="00F76A63" w14:paraId="6BF3573C" w14:textId="77777777">
              <w:trPr>
                <w:trHeight w:val="20"/>
              </w:trPr>
              <w:tc>
                <w:tcPr>
                  <w:tcW w:w="0" w:type="auto"/>
                  <w:vMerge/>
                  <w:tcBorders>
                    <w:top w:val="single" w:sz="6" w:space="0" w:color="auto"/>
                    <w:left w:val="nil"/>
                    <w:bottom w:val="single" w:sz="6" w:space="0" w:color="auto"/>
                    <w:right w:val="single" w:sz="6" w:space="0" w:color="auto"/>
                  </w:tcBorders>
                  <w:vAlign w:val="center"/>
                </w:tcPr>
                <w:p w14:paraId="65658887" w14:textId="77777777" w:rsidR="00F76A63" w:rsidRDefault="00F76A63">
                  <w:pPr>
                    <w:jc w:val="center"/>
                    <w:rPr>
                      <w:szCs w:val="21"/>
                    </w:rPr>
                  </w:pPr>
                </w:p>
              </w:tc>
              <w:tc>
                <w:tcPr>
                  <w:tcW w:w="2374" w:type="pct"/>
                  <w:tcBorders>
                    <w:top w:val="single" w:sz="6" w:space="0" w:color="auto"/>
                    <w:left w:val="single" w:sz="6" w:space="0" w:color="auto"/>
                    <w:bottom w:val="single" w:sz="6" w:space="0" w:color="auto"/>
                    <w:right w:val="single" w:sz="6" w:space="0" w:color="auto"/>
                  </w:tcBorders>
                  <w:vAlign w:val="center"/>
                </w:tcPr>
                <w:p w14:paraId="03338401" w14:textId="77777777" w:rsidR="00F76A63" w:rsidRDefault="00000000">
                  <w:pPr>
                    <w:autoSpaceDE w:val="0"/>
                    <w:autoSpaceDN w:val="0"/>
                    <w:snapToGrid w:val="0"/>
                    <w:jc w:val="center"/>
                  </w:pPr>
                  <w:r>
                    <w:t xml:space="preserve">5.5 </w:t>
                  </w:r>
                  <w:r>
                    <w:t>水泥窑工艺技术装备及运行</w:t>
                  </w:r>
                </w:p>
                <w:p w14:paraId="6A5BCF7C" w14:textId="77777777" w:rsidR="00F76A63" w:rsidRDefault="00000000">
                  <w:pPr>
                    <w:autoSpaceDE w:val="0"/>
                    <w:autoSpaceDN w:val="0"/>
                    <w:snapToGrid w:val="0"/>
                    <w:jc w:val="center"/>
                  </w:pPr>
                  <w:r>
                    <w:lastRenderedPageBreak/>
                    <w:t xml:space="preserve">5.5.1 </w:t>
                  </w:r>
                  <w:r>
                    <w:t>协同处置固体废物的水泥窑应是新型干法预分解窑，应具备生产质量控制系统、生产管理信息分析系统。水泥窑在协同处置固体废物时，应保证窑炉及其他工艺设备的正常稳定运行。在水泥窑或烟气除尘设备出现不正常状况时，应自动联机停止固体废物投料。</w:t>
                  </w:r>
                </w:p>
                <w:p w14:paraId="5F33BFEF" w14:textId="77777777" w:rsidR="00F76A63" w:rsidRDefault="00000000">
                  <w:pPr>
                    <w:autoSpaceDE w:val="0"/>
                    <w:autoSpaceDN w:val="0"/>
                    <w:snapToGrid w:val="0"/>
                    <w:jc w:val="center"/>
                  </w:pPr>
                  <w:r>
                    <w:t xml:space="preserve">5.5.2 </w:t>
                  </w:r>
                  <w:r>
                    <w:t>窑炉烟气排放采用高效除尘器作为除尘设施，除尘器的同步运转率为</w:t>
                  </w:r>
                  <w:r>
                    <w:t>100%</w:t>
                  </w:r>
                  <w:r>
                    <w:t>。</w:t>
                  </w:r>
                </w:p>
                <w:p w14:paraId="5F571647" w14:textId="77777777" w:rsidR="00F76A63" w:rsidRDefault="00000000">
                  <w:pPr>
                    <w:autoSpaceDE w:val="0"/>
                    <w:autoSpaceDN w:val="0"/>
                    <w:snapToGrid w:val="0"/>
                    <w:jc w:val="center"/>
                  </w:pPr>
                  <w:r>
                    <w:t>5.5.3</w:t>
                  </w:r>
                  <w:r>
                    <w:t>水泥窑及窑尾余热利用系统窑尾排气筒应满足</w:t>
                  </w:r>
                  <w:r>
                    <w:t>HJ 76</w:t>
                  </w:r>
                  <w:r>
                    <w:t>要求，安装与当地环境保护主管部门联网的颗粒物、氮氧化物（</w:t>
                  </w:r>
                  <w:r>
                    <w:t>NOx</w:t>
                  </w:r>
                  <w:r>
                    <w:t>）、二氧化硫（</w:t>
                  </w:r>
                  <w:r>
                    <w:t>SO</w:t>
                  </w:r>
                  <w:r>
                    <w:rPr>
                      <w:vertAlign w:val="subscript"/>
                    </w:rPr>
                    <w:t>2</w:t>
                  </w:r>
                  <w:r>
                    <w:t>）等大气污染物浓度在线监测设备。</w:t>
                  </w:r>
                </w:p>
              </w:tc>
              <w:tc>
                <w:tcPr>
                  <w:tcW w:w="2110" w:type="pct"/>
                  <w:tcBorders>
                    <w:top w:val="single" w:sz="6" w:space="0" w:color="auto"/>
                    <w:left w:val="single" w:sz="6" w:space="0" w:color="auto"/>
                    <w:bottom w:val="single" w:sz="6" w:space="0" w:color="auto"/>
                    <w:right w:val="single" w:sz="6" w:space="0" w:color="auto"/>
                  </w:tcBorders>
                  <w:vAlign w:val="center"/>
                </w:tcPr>
                <w:p w14:paraId="2AFE958F" w14:textId="77777777" w:rsidR="00F76A63" w:rsidRDefault="00000000">
                  <w:pPr>
                    <w:autoSpaceDE w:val="0"/>
                    <w:autoSpaceDN w:val="0"/>
                    <w:snapToGrid w:val="0"/>
                    <w:jc w:val="center"/>
                  </w:pPr>
                  <w:r>
                    <w:lastRenderedPageBreak/>
                    <w:t>本项目依托现有水泥窑，</w:t>
                  </w:r>
                  <w:r>
                    <w:rPr>
                      <w:spacing w:val="11"/>
                      <w:szCs w:val="21"/>
                    </w:rPr>
                    <w:t>为新型干法回转窑，</w:t>
                  </w:r>
                  <w:r>
                    <w:t>具备生</w:t>
                  </w:r>
                  <w:r>
                    <w:lastRenderedPageBreak/>
                    <w:t>产质量控制系统、生产管理信息分析系统，水泥窑在协同处置固体废物时，窑炉及其他工艺设备能够正常稳定运行。在水泥窑或烟气除尘设备出现不正常状况时，自动联机停止固体废物投料；</w:t>
                  </w:r>
                  <w:r>
                    <w:rPr>
                      <w:spacing w:val="13"/>
                      <w:szCs w:val="21"/>
                    </w:rPr>
                    <w:t>本项目窑尾依托现有电袋（布袋）复</w:t>
                  </w:r>
                  <w:r>
                    <w:rPr>
                      <w:spacing w:val="15"/>
                      <w:szCs w:val="21"/>
                    </w:rPr>
                    <w:t>合除尘器作为烟气除尘设施。窑尾排</w:t>
                  </w:r>
                  <w:r>
                    <w:rPr>
                      <w:spacing w:val="12"/>
                      <w:szCs w:val="21"/>
                    </w:rPr>
                    <w:t>气筒配备粉尘、</w:t>
                  </w:r>
                  <w:r>
                    <w:rPr>
                      <w:szCs w:val="21"/>
                    </w:rPr>
                    <w:t>NOx</w:t>
                  </w:r>
                  <w:r>
                    <w:rPr>
                      <w:spacing w:val="12"/>
                      <w:szCs w:val="21"/>
                    </w:rPr>
                    <w:t>、</w:t>
                  </w:r>
                  <w:r>
                    <w:rPr>
                      <w:szCs w:val="21"/>
                    </w:rPr>
                    <w:t>SO</w:t>
                  </w:r>
                  <w:r>
                    <w:rPr>
                      <w:spacing w:val="12"/>
                      <w:position w:val="-1"/>
                      <w:szCs w:val="21"/>
                      <w:vertAlign w:val="subscript"/>
                    </w:rPr>
                    <w:t>2</w:t>
                  </w:r>
                  <w:r>
                    <w:rPr>
                      <w:spacing w:val="12"/>
                      <w:szCs w:val="21"/>
                    </w:rPr>
                    <w:t>浓度</w:t>
                  </w:r>
                  <w:r>
                    <w:rPr>
                      <w:spacing w:val="15"/>
                      <w:szCs w:val="21"/>
                    </w:rPr>
                    <w:t>在线监测设备，连续监测装置需满足</w:t>
                  </w:r>
                  <w:r>
                    <w:rPr>
                      <w:szCs w:val="21"/>
                    </w:rPr>
                    <w:t>HJ</w:t>
                  </w:r>
                  <w:r>
                    <w:rPr>
                      <w:spacing w:val="11"/>
                      <w:szCs w:val="21"/>
                    </w:rPr>
                    <w:t>/T76</w:t>
                  </w:r>
                  <w:r>
                    <w:rPr>
                      <w:spacing w:val="11"/>
                      <w:szCs w:val="21"/>
                    </w:rPr>
                    <w:t>的要求，并与当地环保部门联</w:t>
                  </w:r>
                  <w:r>
                    <w:rPr>
                      <w:spacing w:val="10"/>
                      <w:szCs w:val="21"/>
                    </w:rPr>
                    <w:t>网，保证污染物排放达标。</w:t>
                  </w:r>
                </w:p>
              </w:tc>
              <w:tc>
                <w:tcPr>
                  <w:tcW w:w="263" w:type="pct"/>
                  <w:tcBorders>
                    <w:top w:val="single" w:sz="6" w:space="0" w:color="auto"/>
                    <w:left w:val="single" w:sz="6" w:space="0" w:color="auto"/>
                    <w:bottom w:val="single" w:sz="6" w:space="0" w:color="auto"/>
                    <w:right w:val="nil"/>
                  </w:tcBorders>
                  <w:vAlign w:val="center"/>
                </w:tcPr>
                <w:p w14:paraId="03BC5AC8" w14:textId="77777777" w:rsidR="00F76A63" w:rsidRDefault="00000000">
                  <w:pPr>
                    <w:autoSpaceDE w:val="0"/>
                    <w:autoSpaceDN w:val="0"/>
                    <w:snapToGrid w:val="0"/>
                    <w:jc w:val="center"/>
                  </w:pPr>
                  <w:r>
                    <w:lastRenderedPageBreak/>
                    <w:t>相符</w:t>
                  </w:r>
                </w:p>
              </w:tc>
            </w:tr>
            <w:tr w:rsidR="00F76A63" w14:paraId="05FC9C83" w14:textId="77777777">
              <w:trPr>
                <w:trHeight w:val="20"/>
              </w:trPr>
              <w:tc>
                <w:tcPr>
                  <w:tcW w:w="0" w:type="auto"/>
                  <w:vMerge/>
                  <w:tcBorders>
                    <w:top w:val="single" w:sz="6" w:space="0" w:color="auto"/>
                    <w:left w:val="nil"/>
                    <w:bottom w:val="single" w:sz="6" w:space="0" w:color="auto"/>
                    <w:right w:val="single" w:sz="6" w:space="0" w:color="auto"/>
                  </w:tcBorders>
                  <w:vAlign w:val="center"/>
                </w:tcPr>
                <w:p w14:paraId="71669BEB" w14:textId="77777777" w:rsidR="00F76A63" w:rsidRDefault="00F76A63">
                  <w:pPr>
                    <w:jc w:val="center"/>
                    <w:rPr>
                      <w:szCs w:val="21"/>
                    </w:rPr>
                  </w:pPr>
                </w:p>
              </w:tc>
              <w:tc>
                <w:tcPr>
                  <w:tcW w:w="2374" w:type="pct"/>
                  <w:tcBorders>
                    <w:top w:val="single" w:sz="6" w:space="0" w:color="auto"/>
                    <w:left w:val="single" w:sz="6" w:space="0" w:color="auto"/>
                    <w:bottom w:val="single" w:sz="12" w:space="0" w:color="auto"/>
                    <w:right w:val="single" w:sz="6" w:space="0" w:color="auto"/>
                  </w:tcBorders>
                  <w:vAlign w:val="center"/>
                </w:tcPr>
                <w:p w14:paraId="087881C8" w14:textId="77777777" w:rsidR="00F76A63" w:rsidRDefault="00000000">
                  <w:pPr>
                    <w:autoSpaceDE w:val="0"/>
                    <w:autoSpaceDN w:val="0"/>
                    <w:snapToGrid w:val="0"/>
                    <w:jc w:val="center"/>
                  </w:pPr>
                  <w:r>
                    <w:t xml:space="preserve">5.6 </w:t>
                  </w:r>
                  <w:r>
                    <w:t>水泥窑协同处置固体废物的投料</w:t>
                  </w:r>
                </w:p>
                <w:p w14:paraId="12178F6E" w14:textId="77777777" w:rsidR="00F76A63" w:rsidRDefault="00000000">
                  <w:pPr>
                    <w:autoSpaceDE w:val="0"/>
                    <w:autoSpaceDN w:val="0"/>
                    <w:snapToGrid w:val="0"/>
                    <w:jc w:val="center"/>
                  </w:pPr>
                  <w:r>
                    <w:t xml:space="preserve">5.6.1 </w:t>
                  </w:r>
                  <w:r>
                    <w:t>水泥窑协同处置固体废物投料点可设在生料制备系统、窑尾烟室、分解炉和回转窑系统。具体要求如下：</w:t>
                  </w:r>
                </w:p>
                <w:p w14:paraId="2CE62429" w14:textId="77777777" w:rsidR="00F76A63" w:rsidRDefault="00000000">
                  <w:pPr>
                    <w:autoSpaceDE w:val="0"/>
                    <w:autoSpaceDN w:val="0"/>
                    <w:snapToGrid w:val="0"/>
                    <w:jc w:val="center"/>
                  </w:pPr>
                  <w:r>
                    <w:t>设在分解炉和回转窑系统上的投料点应保持负压操作；</w:t>
                  </w:r>
                </w:p>
                <w:p w14:paraId="14061163" w14:textId="77777777" w:rsidR="00F76A63" w:rsidRDefault="00000000">
                  <w:pPr>
                    <w:autoSpaceDE w:val="0"/>
                    <w:autoSpaceDN w:val="0"/>
                    <w:snapToGrid w:val="0"/>
                    <w:jc w:val="center"/>
                  </w:pPr>
                  <w:r>
                    <w:t>a</w:t>
                  </w:r>
                  <w:r>
                    <w:t>）含挥发性有害物质或化工恶臭的固体废物</w:t>
                  </w:r>
                  <w:r>
                    <w:t>,</w:t>
                  </w:r>
                  <w:r>
                    <w:t>不能投入生料制备系统；</w:t>
                  </w:r>
                </w:p>
                <w:p w14:paraId="47D5CA4C" w14:textId="77777777" w:rsidR="00F76A63" w:rsidRDefault="00000000">
                  <w:pPr>
                    <w:autoSpaceDE w:val="0"/>
                    <w:autoSpaceDN w:val="0"/>
                    <w:snapToGrid w:val="0"/>
                    <w:jc w:val="center"/>
                  </w:pPr>
                  <w:r>
                    <w:t>b</w:t>
                  </w:r>
                  <w:r>
                    <w:t>）含有机难降解或高毒性有机物的固体废物优先从窑头（窑头主燃烧器或窑门罩）投加；</w:t>
                  </w:r>
                </w:p>
                <w:p w14:paraId="6FBE9C73" w14:textId="77777777" w:rsidR="00F76A63" w:rsidRDefault="00000000">
                  <w:pPr>
                    <w:autoSpaceDE w:val="0"/>
                    <w:autoSpaceDN w:val="0"/>
                    <w:snapToGrid w:val="0"/>
                    <w:jc w:val="center"/>
                  </w:pPr>
                  <w:r>
                    <w:t>c</w:t>
                  </w:r>
                  <w:r>
                    <w:t>）半固态或大粒径固态废物宜优先从窑尾烟室或分解炉投加；可燃或有机质含量较高的固体废物优先从分解炉投加，投加位置宜选择在分解炉的煤粉或三次风入口附近，并在保证分解炉内氧化气氛稳定的前提下，尽可能靠近分解炉下部，以确保足够的烟气停留时间。</w:t>
                  </w:r>
                </w:p>
                <w:p w14:paraId="7E84D59E" w14:textId="77777777" w:rsidR="00F76A63" w:rsidRDefault="00000000">
                  <w:pPr>
                    <w:autoSpaceDE w:val="0"/>
                    <w:autoSpaceDN w:val="0"/>
                    <w:snapToGrid w:val="0"/>
                    <w:jc w:val="center"/>
                  </w:pPr>
                  <w:r>
                    <w:t>5.6.2</w:t>
                  </w:r>
                  <w:r>
                    <w:t>水泥窑协同处置固体废物投料应有计量和自动控制进料装置。在水泥窑达到正常工况并稳定运行至少</w:t>
                  </w:r>
                  <w:r>
                    <w:t>4h</w:t>
                  </w:r>
                  <w:r>
                    <w:t>后，可开始投加固体废物；在水泥窑计划停机前至少</w:t>
                  </w:r>
                  <w:r>
                    <w:t>4h</w:t>
                  </w:r>
                  <w:r>
                    <w:t>内不应投加固体废物。</w:t>
                  </w:r>
                </w:p>
                <w:p w14:paraId="490419B1" w14:textId="77777777" w:rsidR="00F76A63" w:rsidRDefault="00000000">
                  <w:pPr>
                    <w:autoSpaceDE w:val="0"/>
                    <w:autoSpaceDN w:val="0"/>
                    <w:snapToGrid w:val="0"/>
                    <w:jc w:val="center"/>
                  </w:pPr>
                  <w:r>
                    <w:t xml:space="preserve">5.6.3 </w:t>
                  </w:r>
                  <w:r>
                    <w:t>固体废物机械输送投加装置的卸料点应设置防风、防雨设施。采用非密闭机械输送投加装置（如传送带、提升机等）的入料端口和人工投加口应设置在线监视系统，并将监视视频实时传输至中央控制室显示屏幕。</w:t>
                  </w:r>
                </w:p>
              </w:tc>
              <w:tc>
                <w:tcPr>
                  <w:tcW w:w="2110" w:type="pct"/>
                  <w:tcBorders>
                    <w:top w:val="single" w:sz="6" w:space="0" w:color="auto"/>
                    <w:left w:val="single" w:sz="6" w:space="0" w:color="auto"/>
                    <w:bottom w:val="single" w:sz="12" w:space="0" w:color="auto"/>
                    <w:right w:val="single" w:sz="6" w:space="0" w:color="auto"/>
                  </w:tcBorders>
                  <w:vAlign w:val="center"/>
                </w:tcPr>
                <w:p w14:paraId="3D5A688D" w14:textId="77777777" w:rsidR="00F76A63" w:rsidRDefault="00000000">
                  <w:pPr>
                    <w:autoSpaceDE w:val="0"/>
                    <w:autoSpaceDN w:val="0"/>
                    <w:snapToGrid w:val="0"/>
                    <w:jc w:val="center"/>
                  </w:pPr>
                  <w:r>
                    <w:t>本项目根据固废性质，设置</w:t>
                  </w:r>
                  <w:r>
                    <w:t>1</w:t>
                  </w:r>
                  <w:r>
                    <w:t>个投料点，从生料配料系统投加，</w:t>
                  </w:r>
                  <w:r>
                    <w:rPr>
                      <w:spacing w:val="13"/>
                      <w:szCs w:val="21"/>
                    </w:rPr>
                    <w:t>本项目能实现自动进料，并配置可调节投加速率的计量装置实现定</w:t>
                  </w:r>
                  <w:r>
                    <w:rPr>
                      <w:spacing w:val="7"/>
                      <w:szCs w:val="21"/>
                    </w:rPr>
                    <w:t>量投料；</w:t>
                  </w:r>
                  <w:r>
                    <w:rPr>
                      <w:spacing w:val="13"/>
                      <w:szCs w:val="21"/>
                    </w:rPr>
                    <w:t>废物输送装置和投加口保持密</w:t>
                  </w:r>
                  <w:r>
                    <w:rPr>
                      <w:spacing w:val="10"/>
                      <w:szCs w:val="21"/>
                    </w:rPr>
                    <w:t>闭，废物投加口具有防回火功能；</w:t>
                  </w:r>
                  <w:r>
                    <w:rPr>
                      <w:spacing w:val="12"/>
                      <w:szCs w:val="21"/>
                    </w:rPr>
                    <w:t>可满足保持进料通畅要求，并</w:t>
                  </w:r>
                  <w:r>
                    <w:rPr>
                      <w:spacing w:val="13"/>
                      <w:szCs w:val="21"/>
                    </w:rPr>
                    <w:t>配置可实时显示固体废物投加</w:t>
                  </w:r>
                  <w:r>
                    <w:rPr>
                      <w:spacing w:val="11"/>
                      <w:szCs w:val="21"/>
                    </w:rPr>
                    <w:t>状况的在线监视系统。</w:t>
                  </w:r>
                </w:p>
              </w:tc>
              <w:tc>
                <w:tcPr>
                  <w:tcW w:w="263" w:type="pct"/>
                  <w:tcBorders>
                    <w:top w:val="single" w:sz="6" w:space="0" w:color="auto"/>
                    <w:left w:val="single" w:sz="6" w:space="0" w:color="auto"/>
                    <w:bottom w:val="single" w:sz="12" w:space="0" w:color="auto"/>
                    <w:right w:val="nil"/>
                  </w:tcBorders>
                  <w:vAlign w:val="center"/>
                </w:tcPr>
                <w:p w14:paraId="5069CD7A" w14:textId="77777777" w:rsidR="00F76A63" w:rsidRDefault="00000000">
                  <w:pPr>
                    <w:autoSpaceDE w:val="0"/>
                    <w:autoSpaceDN w:val="0"/>
                    <w:snapToGrid w:val="0"/>
                    <w:jc w:val="center"/>
                  </w:pPr>
                  <w:r>
                    <w:t>相符</w:t>
                  </w:r>
                </w:p>
              </w:tc>
            </w:tr>
          </w:tbl>
          <w:p w14:paraId="470D033D" w14:textId="77777777" w:rsidR="00F76A63" w:rsidRDefault="00000000">
            <w:pPr>
              <w:widowControl/>
              <w:spacing w:line="500" w:lineRule="exact"/>
              <w:jc w:val="center"/>
              <w:rPr>
                <w:sz w:val="24"/>
                <w:szCs w:val="21"/>
              </w:rPr>
            </w:pPr>
            <w:r>
              <w:rPr>
                <w:b/>
                <w:bCs/>
                <w:sz w:val="24"/>
                <w:szCs w:val="21"/>
              </w:rPr>
              <w:lastRenderedPageBreak/>
              <w:t>表</w:t>
            </w:r>
            <w:r>
              <w:rPr>
                <w:b/>
                <w:bCs/>
                <w:sz w:val="24"/>
                <w:szCs w:val="21"/>
              </w:rPr>
              <w:t>1-1</w:t>
            </w:r>
            <w:r>
              <w:rPr>
                <w:rFonts w:hint="eastAsia"/>
                <w:b/>
                <w:bCs/>
                <w:sz w:val="24"/>
                <w:szCs w:val="21"/>
              </w:rPr>
              <w:t>7</w:t>
            </w:r>
            <w:r>
              <w:rPr>
                <w:b/>
                <w:bCs/>
                <w:sz w:val="24"/>
                <w:szCs w:val="21"/>
              </w:rPr>
              <w:t xml:space="preserve">  </w:t>
            </w:r>
            <w:r>
              <w:rPr>
                <w:b/>
                <w:bCs/>
                <w:sz w:val="24"/>
                <w:szCs w:val="21"/>
              </w:rPr>
              <w:t>本项目与《水泥窑协同处置固体废物污染控制标准》（</w:t>
            </w:r>
            <w:r>
              <w:rPr>
                <w:b/>
                <w:bCs/>
                <w:sz w:val="24"/>
                <w:szCs w:val="21"/>
              </w:rPr>
              <w:t>GB 30485-2013</w:t>
            </w:r>
            <w:r>
              <w:rPr>
                <w:b/>
                <w:bCs/>
                <w:sz w:val="24"/>
                <w:szCs w:val="21"/>
              </w:rPr>
              <w:t>）相符性分析</w:t>
            </w:r>
          </w:p>
          <w:tbl>
            <w:tblPr>
              <w:tblW w:w="5000" w:type="pct"/>
              <w:jc w:val="center"/>
              <w:tblBorders>
                <w:top w:val="single" w:sz="12" w:space="0" w:color="auto"/>
                <w:bottom w:val="single" w:sz="12" w:space="0" w:color="auto"/>
                <w:insideH w:val="single" w:sz="6" w:space="0" w:color="auto"/>
                <w:insideV w:val="single" w:sz="6" w:space="0" w:color="auto"/>
              </w:tblBorders>
              <w:tblCellMar>
                <w:top w:w="57" w:type="dxa"/>
                <w:bottom w:w="57" w:type="dxa"/>
              </w:tblCellMar>
              <w:tblLook w:val="04A0" w:firstRow="1" w:lastRow="0" w:firstColumn="1" w:lastColumn="0" w:noHBand="0" w:noVBand="1"/>
            </w:tblPr>
            <w:tblGrid>
              <w:gridCol w:w="591"/>
              <w:gridCol w:w="6767"/>
              <w:gridCol w:w="4734"/>
              <w:gridCol w:w="661"/>
            </w:tblGrid>
            <w:tr w:rsidR="00F76A63" w14:paraId="6F520207" w14:textId="77777777">
              <w:trPr>
                <w:trHeight w:val="20"/>
                <w:jc w:val="center"/>
              </w:trPr>
              <w:tc>
                <w:tcPr>
                  <w:tcW w:w="232" w:type="pct"/>
                  <w:tcBorders>
                    <w:top w:val="single" w:sz="12" w:space="0" w:color="auto"/>
                    <w:left w:val="nil"/>
                    <w:bottom w:val="single" w:sz="6" w:space="0" w:color="auto"/>
                    <w:right w:val="single" w:sz="6" w:space="0" w:color="auto"/>
                  </w:tcBorders>
                  <w:vAlign w:val="center"/>
                </w:tcPr>
                <w:p w14:paraId="59421719" w14:textId="77777777" w:rsidR="00F76A63" w:rsidRDefault="00000000">
                  <w:pPr>
                    <w:autoSpaceDE w:val="0"/>
                    <w:autoSpaceDN w:val="0"/>
                    <w:snapToGrid w:val="0"/>
                    <w:jc w:val="center"/>
                    <w:rPr>
                      <w:b/>
                      <w:szCs w:val="21"/>
                    </w:rPr>
                  </w:pPr>
                  <w:r>
                    <w:rPr>
                      <w:b/>
                    </w:rPr>
                    <w:t>项目</w:t>
                  </w:r>
                </w:p>
              </w:tc>
              <w:tc>
                <w:tcPr>
                  <w:tcW w:w="2653" w:type="pct"/>
                  <w:tcBorders>
                    <w:top w:val="single" w:sz="12" w:space="0" w:color="auto"/>
                    <w:left w:val="single" w:sz="6" w:space="0" w:color="auto"/>
                    <w:bottom w:val="single" w:sz="6" w:space="0" w:color="auto"/>
                    <w:right w:val="single" w:sz="6" w:space="0" w:color="auto"/>
                  </w:tcBorders>
                  <w:vAlign w:val="center"/>
                </w:tcPr>
                <w:p w14:paraId="577CEF0D" w14:textId="77777777" w:rsidR="00F76A63" w:rsidRDefault="00000000">
                  <w:pPr>
                    <w:autoSpaceDE w:val="0"/>
                    <w:autoSpaceDN w:val="0"/>
                    <w:snapToGrid w:val="0"/>
                    <w:jc w:val="center"/>
                    <w:rPr>
                      <w:b/>
                    </w:rPr>
                  </w:pPr>
                  <w:r>
                    <w:rPr>
                      <w:b/>
                    </w:rPr>
                    <w:t>GB30485-2013</w:t>
                  </w:r>
                  <w:r>
                    <w:rPr>
                      <w:b/>
                    </w:rPr>
                    <w:t>文件要求</w:t>
                  </w:r>
                </w:p>
              </w:tc>
              <w:tc>
                <w:tcPr>
                  <w:tcW w:w="1856" w:type="pct"/>
                  <w:tcBorders>
                    <w:top w:val="single" w:sz="12" w:space="0" w:color="auto"/>
                    <w:left w:val="single" w:sz="6" w:space="0" w:color="auto"/>
                    <w:bottom w:val="single" w:sz="6" w:space="0" w:color="auto"/>
                    <w:right w:val="single" w:sz="6" w:space="0" w:color="auto"/>
                  </w:tcBorders>
                  <w:vAlign w:val="center"/>
                </w:tcPr>
                <w:p w14:paraId="6EEB9ECF" w14:textId="77777777" w:rsidR="00F76A63" w:rsidRDefault="00000000">
                  <w:pPr>
                    <w:autoSpaceDE w:val="0"/>
                    <w:autoSpaceDN w:val="0"/>
                    <w:snapToGrid w:val="0"/>
                    <w:jc w:val="center"/>
                    <w:rPr>
                      <w:b/>
                    </w:rPr>
                  </w:pPr>
                  <w:r>
                    <w:rPr>
                      <w:b/>
                    </w:rPr>
                    <w:t>本项目落实情况</w:t>
                  </w:r>
                </w:p>
              </w:tc>
              <w:tc>
                <w:tcPr>
                  <w:tcW w:w="259" w:type="pct"/>
                  <w:tcBorders>
                    <w:top w:val="single" w:sz="12" w:space="0" w:color="auto"/>
                    <w:left w:val="single" w:sz="6" w:space="0" w:color="auto"/>
                    <w:bottom w:val="single" w:sz="6" w:space="0" w:color="auto"/>
                    <w:right w:val="nil"/>
                  </w:tcBorders>
                  <w:vAlign w:val="center"/>
                </w:tcPr>
                <w:p w14:paraId="60386A47" w14:textId="77777777" w:rsidR="00F76A63" w:rsidRDefault="00000000">
                  <w:pPr>
                    <w:autoSpaceDE w:val="0"/>
                    <w:autoSpaceDN w:val="0"/>
                    <w:snapToGrid w:val="0"/>
                    <w:jc w:val="center"/>
                    <w:rPr>
                      <w:b/>
                    </w:rPr>
                  </w:pPr>
                  <w:r>
                    <w:rPr>
                      <w:b/>
                    </w:rPr>
                    <w:t>相符性</w:t>
                  </w:r>
                </w:p>
              </w:tc>
            </w:tr>
            <w:tr w:rsidR="00F76A63" w14:paraId="77A0E985" w14:textId="77777777">
              <w:trPr>
                <w:trHeight w:val="20"/>
                <w:jc w:val="center"/>
              </w:trPr>
              <w:tc>
                <w:tcPr>
                  <w:tcW w:w="232" w:type="pct"/>
                  <w:vMerge w:val="restart"/>
                  <w:tcBorders>
                    <w:top w:val="single" w:sz="6" w:space="0" w:color="auto"/>
                    <w:left w:val="nil"/>
                    <w:bottom w:val="single" w:sz="6" w:space="0" w:color="auto"/>
                    <w:right w:val="single" w:sz="6" w:space="0" w:color="auto"/>
                  </w:tcBorders>
                  <w:vAlign w:val="center"/>
                </w:tcPr>
                <w:p w14:paraId="3824B763" w14:textId="77777777" w:rsidR="00F76A63" w:rsidRDefault="00000000">
                  <w:pPr>
                    <w:autoSpaceDE w:val="0"/>
                    <w:autoSpaceDN w:val="0"/>
                    <w:snapToGrid w:val="0"/>
                    <w:jc w:val="center"/>
                  </w:pPr>
                  <w:r>
                    <w:t>4.</w:t>
                  </w:r>
                  <w:r>
                    <w:t>协同处置设施</w:t>
                  </w:r>
                </w:p>
              </w:tc>
              <w:tc>
                <w:tcPr>
                  <w:tcW w:w="2653" w:type="pct"/>
                  <w:tcBorders>
                    <w:top w:val="single" w:sz="6" w:space="0" w:color="auto"/>
                    <w:left w:val="single" w:sz="6" w:space="0" w:color="auto"/>
                    <w:bottom w:val="single" w:sz="6" w:space="0" w:color="auto"/>
                    <w:right w:val="single" w:sz="6" w:space="0" w:color="auto"/>
                  </w:tcBorders>
                  <w:vAlign w:val="center"/>
                </w:tcPr>
                <w:p w14:paraId="739C19B8" w14:textId="77777777" w:rsidR="00F76A63" w:rsidRDefault="00000000">
                  <w:pPr>
                    <w:autoSpaceDE w:val="0"/>
                    <w:autoSpaceDN w:val="0"/>
                    <w:snapToGrid w:val="0"/>
                    <w:jc w:val="center"/>
                  </w:pPr>
                  <w:r>
                    <w:t>4.1</w:t>
                  </w:r>
                  <w:r>
                    <w:t>用于协同处置固体废物的水泥窑应满足以下条件：</w:t>
                  </w:r>
                </w:p>
                <w:p w14:paraId="46938FFE" w14:textId="77777777" w:rsidR="00F76A63" w:rsidRDefault="00000000">
                  <w:pPr>
                    <w:autoSpaceDE w:val="0"/>
                    <w:autoSpaceDN w:val="0"/>
                    <w:snapToGrid w:val="0"/>
                    <w:jc w:val="center"/>
                  </w:pPr>
                  <w:r>
                    <w:t>a</w:t>
                  </w:r>
                  <w:r>
                    <w:t>）单线设计熟料生产规模不小于</w:t>
                  </w:r>
                  <w:r>
                    <w:t>2000</w:t>
                  </w:r>
                  <w:r>
                    <w:t>吨</w:t>
                  </w:r>
                  <w:r>
                    <w:t>/</w:t>
                  </w:r>
                  <w:r>
                    <w:t>天的新型干法水泥窑；</w:t>
                  </w:r>
                </w:p>
                <w:p w14:paraId="2607EFB2" w14:textId="77777777" w:rsidR="00F76A63" w:rsidRDefault="00000000">
                  <w:pPr>
                    <w:autoSpaceDE w:val="0"/>
                    <w:autoSpaceDN w:val="0"/>
                    <w:snapToGrid w:val="0"/>
                    <w:jc w:val="center"/>
                  </w:pPr>
                  <w:r>
                    <w:t>b</w:t>
                  </w:r>
                  <w:r>
                    <w:t>）采用窑磨一体机模式；</w:t>
                  </w:r>
                </w:p>
                <w:p w14:paraId="19835323" w14:textId="77777777" w:rsidR="00F76A63" w:rsidRDefault="00000000">
                  <w:pPr>
                    <w:autoSpaceDE w:val="0"/>
                    <w:autoSpaceDN w:val="0"/>
                    <w:snapToGrid w:val="0"/>
                    <w:jc w:val="center"/>
                  </w:pPr>
                  <w:r>
                    <w:t>c</w:t>
                  </w:r>
                  <w:r>
                    <w:t>）水泥窑及窑尾余热利用系统采用高效布袋除尘器作为烟气除尘设施；</w:t>
                  </w:r>
                </w:p>
                <w:p w14:paraId="5E192687" w14:textId="77777777" w:rsidR="00F76A63" w:rsidRDefault="00000000">
                  <w:pPr>
                    <w:autoSpaceDE w:val="0"/>
                    <w:autoSpaceDN w:val="0"/>
                    <w:snapToGrid w:val="0"/>
                    <w:jc w:val="center"/>
                  </w:pPr>
                  <w:r>
                    <w:t>d</w:t>
                  </w:r>
                  <w:r>
                    <w:t>）协同处置危险废物的水泥窑，按</w:t>
                  </w:r>
                  <w:r>
                    <w:t>HJ662</w:t>
                  </w:r>
                  <w:r>
                    <w:t>要求测定的焚毁去除率应不小于</w:t>
                  </w:r>
                  <w:r>
                    <w:t>99.9999%</w:t>
                  </w:r>
                  <w:r>
                    <w:t>；</w:t>
                  </w:r>
                </w:p>
                <w:p w14:paraId="05E7E775" w14:textId="77777777" w:rsidR="00F76A63" w:rsidRDefault="00000000">
                  <w:pPr>
                    <w:autoSpaceDE w:val="0"/>
                    <w:autoSpaceDN w:val="0"/>
                    <w:snapToGrid w:val="0"/>
                    <w:jc w:val="center"/>
                  </w:pPr>
                  <w:r>
                    <w:t>e</w:t>
                  </w:r>
                  <w:r>
                    <w:t>）对于改造利用原有设施协同处置固体废物的水泥窑，在进行改造之前原有设施至少连续两年满足</w:t>
                  </w:r>
                  <w:r>
                    <w:t>GB4915</w:t>
                  </w:r>
                  <w:r>
                    <w:t>的规定。</w:t>
                  </w:r>
                </w:p>
              </w:tc>
              <w:tc>
                <w:tcPr>
                  <w:tcW w:w="1856" w:type="pct"/>
                  <w:tcBorders>
                    <w:top w:val="single" w:sz="6" w:space="0" w:color="auto"/>
                    <w:left w:val="single" w:sz="6" w:space="0" w:color="auto"/>
                    <w:bottom w:val="single" w:sz="6" w:space="0" w:color="auto"/>
                    <w:right w:val="single" w:sz="6" w:space="0" w:color="auto"/>
                  </w:tcBorders>
                  <w:vAlign w:val="center"/>
                </w:tcPr>
                <w:p w14:paraId="2CA721E3" w14:textId="77777777" w:rsidR="00F76A63" w:rsidRDefault="00000000">
                  <w:pPr>
                    <w:autoSpaceDE w:val="0"/>
                    <w:autoSpaceDN w:val="0"/>
                    <w:snapToGrid w:val="0"/>
                    <w:jc w:val="center"/>
                  </w:pPr>
                  <w:r>
                    <w:rPr>
                      <w:bCs/>
                    </w:rPr>
                    <w:t>本项目依托句容台泥现有</w:t>
                  </w:r>
                  <w:r>
                    <w:rPr>
                      <w:bCs/>
                    </w:rPr>
                    <w:t>1#</w:t>
                  </w:r>
                  <w:r>
                    <w:rPr>
                      <w:bCs/>
                    </w:rPr>
                    <w:t>、</w:t>
                  </w:r>
                  <w:r>
                    <w:rPr>
                      <w:bCs/>
                    </w:rPr>
                    <w:t>2#</w:t>
                  </w:r>
                  <w:r>
                    <w:rPr>
                      <w:bCs/>
                    </w:rPr>
                    <w:t>水泥窑（</w:t>
                  </w:r>
                  <w:r>
                    <w:rPr>
                      <w:bCs/>
                    </w:rPr>
                    <w:t>1#</w:t>
                  </w:r>
                  <w:r>
                    <w:rPr>
                      <w:bCs/>
                    </w:rPr>
                    <w:t>熟料生产规模</w:t>
                  </w:r>
                  <w:r>
                    <w:rPr>
                      <w:bCs/>
                    </w:rPr>
                    <w:t>5000t/d</w:t>
                  </w:r>
                  <w:r>
                    <w:rPr>
                      <w:bCs/>
                    </w:rPr>
                    <w:t>，</w:t>
                  </w:r>
                  <w:r>
                    <w:rPr>
                      <w:bCs/>
                    </w:rPr>
                    <w:t>2#</w:t>
                  </w:r>
                  <w:r>
                    <w:rPr>
                      <w:bCs/>
                    </w:rPr>
                    <w:t>熟料生产规模</w:t>
                  </w:r>
                  <w:r>
                    <w:rPr>
                      <w:bCs/>
                    </w:rPr>
                    <w:t>6000t/d</w:t>
                  </w:r>
                  <w:r>
                    <w:rPr>
                      <w:bCs/>
                    </w:rPr>
                    <w:t>）协同处置固体，为新型干法水泥窑，采用窑磨一体化运行模式。</w:t>
                  </w:r>
                  <w:r>
                    <w:t>水泥窑及窑尾余热利用系统采用高效布袋除尘器作为烟气除尘设施。</w:t>
                  </w:r>
                </w:p>
                <w:p w14:paraId="22CBC5A7" w14:textId="77777777" w:rsidR="00F76A63" w:rsidRDefault="00000000">
                  <w:pPr>
                    <w:autoSpaceDE w:val="0"/>
                    <w:autoSpaceDN w:val="0"/>
                    <w:snapToGrid w:val="0"/>
                    <w:jc w:val="center"/>
                  </w:pPr>
                  <w:r>
                    <w:t>本项目协同处置的固体废物为一般固废，不涉及危险废物协同处置。</w:t>
                  </w:r>
                </w:p>
                <w:p w14:paraId="7E6A5661" w14:textId="77777777" w:rsidR="00F76A63" w:rsidRDefault="00000000">
                  <w:pPr>
                    <w:autoSpaceDE w:val="0"/>
                    <w:autoSpaceDN w:val="0"/>
                    <w:snapToGrid w:val="0"/>
                    <w:jc w:val="center"/>
                  </w:pPr>
                  <w:r>
                    <w:t>根据企业例行监测及在线监测数据，本项目依托协同处置固体废物的水泥窑，在进行改造之前原有设施连续两年内满足</w:t>
                  </w:r>
                  <w:r>
                    <w:t>GB4915</w:t>
                  </w:r>
                  <w:r>
                    <w:t>的规定。</w:t>
                  </w:r>
                </w:p>
              </w:tc>
              <w:tc>
                <w:tcPr>
                  <w:tcW w:w="259" w:type="pct"/>
                  <w:tcBorders>
                    <w:top w:val="single" w:sz="6" w:space="0" w:color="auto"/>
                    <w:left w:val="single" w:sz="6" w:space="0" w:color="auto"/>
                    <w:bottom w:val="single" w:sz="6" w:space="0" w:color="auto"/>
                    <w:right w:val="nil"/>
                  </w:tcBorders>
                  <w:vAlign w:val="center"/>
                </w:tcPr>
                <w:p w14:paraId="5080C8B7" w14:textId="77777777" w:rsidR="00F76A63" w:rsidRDefault="00000000">
                  <w:pPr>
                    <w:autoSpaceDE w:val="0"/>
                    <w:autoSpaceDN w:val="0"/>
                    <w:snapToGrid w:val="0"/>
                    <w:jc w:val="center"/>
                  </w:pPr>
                  <w:r>
                    <w:t>相符</w:t>
                  </w:r>
                </w:p>
              </w:tc>
            </w:tr>
            <w:tr w:rsidR="00F76A63" w14:paraId="72312A3C"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732B99BC"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6AB5BC67" w14:textId="77777777" w:rsidR="00F76A63" w:rsidRDefault="00000000">
                  <w:pPr>
                    <w:tabs>
                      <w:tab w:val="left" w:pos="750"/>
                    </w:tabs>
                    <w:autoSpaceDE w:val="0"/>
                    <w:autoSpaceDN w:val="0"/>
                    <w:snapToGrid w:val="0"/>
                    <w:jc w:val="center"/>
                  </w:pPr>
                  <w:r>
                    <w:t>4.2</w:t>
                  </w:r>
                  <w:r>
                    <w:t>用于协同处置固体废物的水泥窑所处地理位置应满足以下条件：</w:t>
                  </w:r>
                </w:p>
                <w:p w14:paraId="5909A60A" w14:textId="77777777" w:rsidR="00F76A63" w:rsidRDefault="00000000">
                  <w:pPr>
                    <w:tabs>
                      <w:tab w:val="left" w:pos="750"/>
                    </w:tabs>
                    <w:autoSpaceDE w:val="0"/>
                    <w:autoSpaceDN w:val="0"/>
                    <w:snapToGrid w:val="0"/>
                    <w:jc w:val="center"/>
                  </w:pPr>
                  <w:r>
                    <w:t>a</w:t>
                  </w:r>
                  <w:r>
                    <w:t>）符合城市总体发展规划、城市工业发展规划要求；</w:t>
                  </w:r>
                </w:p>
                <w:p w14:paraId="6233B9AD" w14:textId="77777777" w:rsidR="00F76A63" w:rsidRDefault="00000000">
                  <w:pPr>
                    <w:tabs>
                      <w:tab w:val="left" w:pos="750"/>
                    </w:tabs>
                    <w:autoSpaceDE w:val="0"/>
                    <w:autoSpaceDN w:val="0"/>
                    <w:snapToGrid w:val="0"/>
                    <w:jc w:val="center"/>
                  </w:pPr>
                  <w:r>
                    <w:t>b</w:t>
                  </w:r>
                  <w:r>
                    <w:t>）所在区域无洪水、潮水或内涝威胁。设施所在标高应位于重现期不小于</w:t>
                  </w:r>
                  <w:r>
                    <w:t>100</w:t>
                  </w:r>
                  <w:r>
                    <w:t>年一遇的洪水位之上，并建设在现有和各类规划中的水库等人工蓄水设施的淹没区和保护区之外。</w:t>
                  </w:r>
                </w:p>
              </w:tc>
              <w:tc>
                <w:tcPr>
                  <w:tcW w:w="1856" w:type="pct"/>
                  <w:tcBorders>
                    <w:top w:val="single" w:sz="6" w:space="0" w:color="auto"/>
                    <w:left w:val="single" w:sz="6" w:space="0" w:color="auto"/>
                    <w:bottom w:val="single" w:sz="6" w:space="0" w:color="auto"/>
                    <w:right w:val="single" w:sz="6" w:space="0" w:color="auto"/>
                  </w:tcBorders>
                  <w:vAlign w:val="center"/>
                </w:tcPr>
                <w:p w14:paraId="75671F33" w14:textId="77777777" w:rsidR="00F76A63" w:rsidRDefault="00000000">
                  <w:pPr>
                    <w:autoSpaceDE w:val="0"/>
                    <w:autoSpaceDN w:val="0"/>
                    <w:snapToGrid w:val="0"/>
                    <w:jc w:val="center"/>
                  </w:pPr>
                  <w:r>
                    <w:t>本项目位于句容台泥水泥现有厂区内建设，不新增用地。项目建设符合《镇江市国土空间总体规划（</w:t>
                  </w:r>
                  <w:r>
                    <w:t>2021-2035</w:t>
                  </w:r>
                  <w:r>
                    <w:t>）》</w:t>
                  </w:r>
                  <w:r>
                    <w:rPr>
                      <w:spacing w:val="13"/>
                      <w:szCs w:val="21"/>
                    </w:rPr>
                    <w:t>《句容下蜀高新技术产业园开发建设规划》等规划</w:t>
                  </w:r>
                  <w:r>
                    <w:rPr>
                      <w:kern w:val="0"/>
                    </w:rPr>
                    <w:t>要求</w:t>
                  </w:r>
                  <w:r>
                    <w:t>，根据《镇江市城市防洪规划》：镇江主城区</w:t>
                  </w:r>
                  <w:r>
                    <w:t>100</w:t>
                  </w:r>
                  <w:r>
                    <w:t>年一遇设计水位为</w:t>
                  </w:r>
                  <w:r>
                    <w:t>9.24m</w:t>
                  </w:r>
                  <w:r>
                    <w:t>（吴淞基面）。如置换成黄海基面（以国家</w:t>
                  </w:r>
                  <w:r>
                    <w:t>85</w:t>
                  </w:r>
                  <w:r>
                    <w:t>高程为基准）设计水位为</w:t>
                  </w:r>
                  <w:r>
                    <w:t>7.281m</w:t>
                  </w:r>
                  <w:r>
                    <w:t>。项目所在厂址设置抵御</w:t>
                  </w:r>
                  <w:r>
                    <w:t>100</w:t>
                  </w:r>
                  <w:r>
                    <w:t>年一遇洪水的防洪、排涝设施，见附件</w:t>
                  </w:r>
                  <w:r>
                    <w:rPr>
                      <w:rFonts w:hint="eastAsia"/>
                    </w:rPr>
                    <w:t>16</w:t>
                  </w:r>
                  <w:r>
                    <w:t>。</w:t>
                  </w:r>
                </w:p>
              </w:tc>
              <w:tc>
                <w:tcPr>
                  <w:tcW w:w="259" w:type="pct"/>
                  <w:tcBorders>
                    <w:top w:val="single" w:sz="6" w:space="0" w:color="auto"/>
                    <w:left w:val="single" w:sz="6" w:space="0" w:color="auto"/>
                    <w:bottom w:val="single" w:sz="6" w:space="0" w:color="auto"/>
                    <w:right w:val="nil"/>
                  </w:tcBorders>
                  <w:vAlign w:val="center"/>
                </w:tcPr>
                <w:p w14:paraId="1024E350" w14:textId="77777777" w:rsidR="00F76A63" w:rsidRDefault="00000000">
                  <w:pPr>
                    <w:autoSpaceDE w:val="0"/>
                    <w:autoSpaceDN w:val="0"/>
                    <w:snapToGrid w:val="0"/>
                    <w:jc w:val="center"/>
                  </w:pPr>
                  <w:r>
                    <w:t>相符</w:t>
                  </w:r>
                </w:p>
              </w:tc>
            </w:tr>
            <w:tr w:rsidR="00F76A63" w14:paraId="4CB2B09E"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632E2626"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7C7A5E70" w14:textId="77777777" w:rsidR="00F76A63" w:rsidRDefault="00000000">
                  <w:pPr>
                    <w:autoSpaceDE w:val="0"/>
                    <w:autoSpaceDN w:val="0"/>
                    <w:snapToGrid w:val="0"/>
                    <w:jc w:val="center"/>
                  </w:pPr>
                  <w:r>
                    <w:t>4.3</w:t>
                  </w:r>
                  <w:r>
                    <w:t>应有专门的固体废物贮存设施。危险废物贮存设施应满足</w:t>
                  </w:r>
                  <w:r>
                    <w:t>GB18597</w:t>
                  </w:r>
                  <w:r>
                    <w:t>和</w:t>
                  </w:r>
                  <w:r>
                    <w:t>HJ/T176</w:t>
                  </w:r>
                  <w:r>
                    <w:t>的规定。生活垃圾和城市污水处理厂污泥的贮存设施应有良好的防渗性能并设置污水收集装置；贮存设施应采用封闭措施，保证其中有生活垃圾或污泥存放时处于负压状态；贮存设施内抽取的空气应导入水泥窑高温区焚烧处理，或经过其他处理措施达标后排放。前述两款规定之外的其他固体废物的贮存设施应有良好的防渗性能，以及必要的防雨、防尘功能。</w:t>
                  </w:r>
                </w:p>
              </w:tc>
              <w:tc>
                <w:tcPr>
                  <w:tcW w:w="1856" w:type="pct"/>
                  <w:tcBorders>
                    <w:top w:val="single" w:sz="6" w:space="0" w:color="auto"/>
                    <w:left w:val="single" w:sz="6" w:space="0" w:color="auto"/>
                    <w:bottom w:val="single" w:sz="6" w:space="0" w:color="auto"/>
                    <w:right w:val="single" w:sz="6" w:space="0" w:color="auto"/>
                  </w:tcBorders>
                  <w:vAlign w:val="center"/>
                </w:tcPr>
                <w:p w14:paraId="7D85D855" w14:textId="77777777" w:rsidR="00F76A63" w:rsidRDefault="00000000">
                  <w:pPr>
                    <w:autoSpaceDE w:val="0"/>
                    <w:autoSpaceDN w:val="0"/>
                    <w:snapToGrid w:val="0"/>
                    <w:jc w:val="center"/>
                    <w:rPr>
                      <w:kern w:val="0"/>
                    </w:rPr>
                  </w:pPr>
                  <w:r>
                    <w:t>本项目</w:t>
                  </w:r>
                  <w:r>
                    <w:rPr>
                      <w:kern w:val="0"/>
                    </w:rPr>
                    <w:t>不处置生活垃圾。</w:t>
                  </w:r>
                  <w:r>
                    <w:t>常规处置仅接收处置一般工业固废，依托现有污染土暂存库</w:t>
                  </w:r>
                  <w:r>
                    <w:rPr>
                      <w:rFonts w:hint="eastAsia"/>
                    </w:rPr>
                    <w:t>临时污染土贮存仓库、砂岩联合堆棚</w:t>
                  </w:r>
                  <w:r>
                    <w:t>、新建的原料、污染土堆棚，用于污染土及污泥的贮存，</w:t>
                  </w:r>
                  <w:r>
                    <w:rPr>
                      <w:spacing w:val="13"/>
                      <w:szCs w:val="21"/>
                    </w:rPr>
                    <w:t>贮存仓库及堆棚均采用密闭设计，贮存废气负压收集，处理达标后排放，贮存</w:t>
                  </w:r>
                  <w:r>
                    <w:rPr>
                      <w:spacing w:val="10"/>
                      <w:szCs w:val="21"/>
                    </w:rPr>
                    <w:t>设施有良好的防渗性能，以及防雨、防尘功能。</w:t>
                  </w:r>
                </w:p>
              </w:tc>
              <w:tc>
                <w:tcPr>
                  <w:tcW w:w="259" w:type="pct"/>
                  <w:tcBorders>
                    <w:top w:val="single" w:sz="6" w:space="0" w:color="auto"/>
                    <w:left w:val="single" w:sz="6" w:space="0" w:color="auto"/>
                    <w:bottom w:val="single" w:sz="6" w:space="0" w:color="auto"/>
                    <w:right w:val="nil"/>
                  </w:tcBorders>
                  <w:vAlign w:val="center"/>
                </w:tcPr>
                <w:p w14:paraId="12C93994" w14:textId="77777777" w:rsidR="00F76A63" w:rsidRDefault="00000000">
                  <w:pPr>
                    <w:autoSpaceDE w:val="0"/>
                    <w:autoSpaceDN w:val="0"/>
                    <w:snapToGrid w:val="0"/>
                    <w:jc w:val="center"/>
                  </w:pPr>
                  <w:r>
                    <w:t>相符</w:t>
                  </w:r>
                </w:p>
              </w:tc>
            </w:tr>
            <w:tr w:rsidR="00F76A63" w14:paraId="5C0CFD5C"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7E2E6CAB"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560BE311" w14:textId="77777777" w:rsidR="00F76A63" w:rsidRDefault="00000000">
                  <w:pPr>
                    <w:autoSpaceDE w:val="0"/>
                    <w:autoSpaceDN w:val="0"/>
                    <w:snapToGrid w:val="0"/>
                    <w:jc w:val="center"/>
                  </w:pPr>
                  <w:r>
                    <w:t>4.4</w:t>
                  </w:r>
                  <w:r>
                    <w:t>应根据所需要协同处置的固体废物特性设置专用固体废物投加设施。固体废物投加设施应满足</w:t>
                  </w:r>
                  <w:r>
                    <w:t>HJ662</w:t>
                  </w:r>
                  <w:r>
                    <w:t>的要求。</w:t>
                  </w:r>
                </w:p>
              </w:tc>
              <w:tc>
                <w:tcPr>
                  <w:tcW w:w="1856" w:type="pct"/>
                  <w:tcBorders>
                    <w:top w:val="single" w:sz="6" w:space="0" w:color="auto"/>
                    <w:left w:val="single" w:sz="6" w:space="0" w:color="auto"/>
                    <w:bottom w:val="single" w:sz="6" w:space="0" w:color="auto"/>
                    <w:right w:val="single" w:sz="6" w:space="0" w:color="auto"/>
                  </w:tcBorders>
                  <w:vAlign w:val="center"/>
                </w:tcPr>
                <w:p w14:paraId="2112E243" w14:textId="77777777" w:rsidR="00F76A63" w:rsidRDefault="00000000">
                  <w:pPr>
                    <w:autoSpaceDE w:val="0"/>
                    <w:autoSpaceDN w:val="0"/>
                    <w:snapToGrid w:val="0"/>
                    <w:jc w:val="center"/>
                  </w:pPr>
                  <w:r>
                    <w:t>按</w:t>
                  </w:r>
                  <w:r>
                    <w:t>HJ662</w:t>
                  </w:r>
                  <w:r>
                    <w:t>要求配备了固废投加设施。</w:t>
                  </w:r>
                </w:p>
              </w:tc>
              <w:tc>
                <w:tcPr>
                  <w:tcW w:w="259" w:type="pct"/>
                  <w:tcBorders>
                    <w:top w:val="single" w:sz="6" w:space="0" w:color="auto"/>
                    <w:left w:val="single" w:sz="6" w:space="0" w:color="auto"/>
                    <w:bottom w:val="single" w:sz="6" w:space="0" w:color="auto"/>
                    <w:right w:val="nil"/>
                  </w:tcBorders>
                  <w:vAlign w:val="center"/>
                </w:tcPr>
                <w:p w14:paraId="6C7EEB12" w14:textId="77777777" w:rsidR="00F76A63" w:rsidRDefault="00000000">
                  <w:pPr>
                    <w:autoSpaceDE w:val="0"/>
                    <w:autoSpaceDN w:val="0"/>
                    <w:snapToGrid w:val="0"/>
                    <w:jc w:val="center"/>
                  </w:pPr>
                  <w:r>
                    <w:t>相符</w:t>
                  </w:r>
                </w:p>
              </w:tc>
            </w:tr>
            <w:tr w:rsidR="00F76A63" w14:paraId="72277E80"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79609AF2"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0A251EAB" w14:textId="77777777" w:rsidR="00F76A63" w:rsidRDefault="00000000">
                  <w:pPr>
                    <w:autoSpaceDE w:val="0"/>
                    <w:autoSpaceDN w:val="0"/>
                    <w:snapToGrid w:val="0"/>
                    <w:jc w:val="center"/>
                  </w:pPr>
                  <w:r>
                    <w:t>4.5</w:t>
                  </w:r>
                  <w:r>
                    <w:t>固体废物的协同处置应确保不会对水泥生产和污染控制产生不利影响。如果无法满足这一要求，应根据所需要协同处置固体废物的特性设置必要的预处理设施对其进行预处理；如果经过预处理后仍然无法满足这一要求，则不应在水泥窑中处置这类废物。</w:t>
                  </w:r>
                </w:p>
              </w:tc>
              <w:tc>
                <w:tcPr>
                  <w:tcW w:w="1856" w:type="pct"/>
                  <w:tcBorders>
                    <w:top w:val="single" w:sz="6" w:space="0" w:color="auto"/>
                    <w:left w:val="single" w:sz="6" w:space="0" w:color="auto"/>
                    <w:bottom w:val="single" w:sz="6" w:space="0" w:color="auto"/>
                    <w:right w:val="single" w:sz="6" w:space="0" w:color="auto"/>
                  </w:tcBorders>
                  <w:vAlign w:val="center"/>
                </w:tcPr>
                <w:p w14:paraId="4D163733" w14:textId="77777777" w:rsidR="00F76A63" w:rsidRDefault="00000000">
                  <w:pPr>
                    <w:autoSpaceDE w:val="0"/>
                    <w:autoSpaceDN w:val="0"/>
                    <w:snapToGrid w:val="0"/>
                    <w:jc w:val="center"/>
                    <w:rPr>
                      <w:spacing w:val="10"/>
                      <w:szCs w:val="21"/>
                    </w:rPr>
                  </w:pPr>
                  <w:r>
                    <w:t>根据协同处置固体废物特性及入窑要求，</w:t>
                  </w:r>
                  <w:r>
                    <w:rPr>
                      <w:spacing w:val="10"/>
                      <w:szCs w:val="21"/>
                    </w:rPr>
                    <w:t>本项目不涉及预处理</w:t>
                  </w:r>
                  <w:r>
                    <w:t>。</w:t>
                  </w:r>
                </w:p>
              </w:tc>
              <w:tc>
                <w:tcPr>
                  <w:tcW w:w="259" w:type="pct"/>
                  <w:tcBorders>
                    <w:top w:val="single" w:sz="6" w:space="0" w:color="auto"/>
                    <w:left w:val="single" w:sz="6" w:space="0" w:color="auto"/>
                    <w:bottom w:val="single" w:sz="6" w:space="0" w:color="auto"/>
                    <w:right w:val="nil"/>
                  </w:tcBorders>
                  <w:vAlign w:val="center"/>
                </w:tcPr>
                <w:p w14:paraId="68507864" w14:textId="77777777" w:rsidR="00F76A63" w:rsidRDefault="00000000">
                  <w:pPr>
                    <w:autoSpaceDE w:val="0"/>
                    <w:autoSpaceDN w:val="0"/>
                    <w:snapToGrid w:val="0"/>
                    <w:jc w:val="center"/>
                  </w:pPr>
                  <w:r>
                    <w:t>相符</w:t>
                  </w:r>
                </w:p>
              </w:tc>
            </w:tr>
            <w:tr w:rsidR="00F76A63" w14:paraId="549265D6" w14:textId="77777777">
              <w:trPr>
                <w:trHeight w:val="20"/>
                <w:jc w:val="center"/>
              </w:trPr>
              <w:tc>
                <w:tcPr>
                  <w:tcW w:w="232" w:type="pct"/>
                  <w:vMerge w:val="restart"/>
                  <w:tcBorders>
                    <w:top w:val="single" w:sz="6" w:space="0" w:color="auto"/>
                    <w:left w:val="nil"/>
                    <w:bottom w:val="single" w:sz="6" w:space="0" w:color="auto"/>
                    <w:right w:val="single" w:sz="6" w:space="0" w:color="auto"/>
                  </w:tcBorders>
                  <w:vAlign w:val="center"/>
                </w:tcPr>
                <w:p w14:paraId="702CDD19" w14:textId="77777777" w:rsidR="00F76A63" w:rsidRDefault="00000000">
                  <w:pPr>
                    <w:autoSpaceDE w:val="0"/>
                    <w:autoSpaceDN w:val="0"/>
                    <w:snapToGrid w:val="0"/>
                    <w:jc w:val="center"/>
                  </w:pPr>
                  <w:r>
                    <w:t>5</w:t>
                  </w:r>
                  <w:r>
                    <w:t>入窑协同处置危险废物特性</w:t>
                  </w:r>
                </w:p>
              </w:tc>
              <w:tc>
                <w:tcPr>
                  <w:tcW w:w="2653" w:type="pct"/>
                  <w:tcBorders>
                    <w:top w:val="single" w:sz="6" w:space="0" w:color="auto"/>
                    <w:left w:val="single" w:sz="6" w:space="0" w:color="auto"/>
                    <w:bottom w:val="single" w:sz="6" w:space="0" w:color="auto"/>
                    <w:right w:val="single" w:sz="6" w:space="0" w:color="auto"/>
                  </w:tcBorders>
                  <w:vAlign w:val="center"/>
                </w:tcPr>
                <w:p w14:paraId="042AF7CE" w14:textId="77777777" w:rsidR="00F76A63" w:rsidRDefault="00000000">
                  <w:pPr>
                    <w:autoSpaceDE w:val="0"/>
                    <w:autoSpaceDN w:val="0"/>
                    <w:snapToGrid w:val="0"/>
                    <w:jc w:val="center"/>
                  </w:pPr>
                  <w:r>
                    <w:t>5.1</w:t>
                  </w:r>
                  <w:r>
                    <w:t>禁止下列固体废物入窑进行协同处置：</w:t>
                  </w:r>
                </w:p>
                <w:p w14:paraId="7F7146B7" w14:textId="77777777" w:rsidR="00F76A63" w:rsidRDefault="00000000">
                  <w:pPr>
                    <w:autoSpaceDE w:val="0"/>
                    <w:autoSpaceDN w:val="0"/>
                    <w:snapToGrid w:val="0"/>
                    <w:jc w:val="center"/>
                  </w:pPr>
                  <w:r>
                    <w:t>—</w:t>
                  </w:r>
                  <w:r>
                    <w:t>放射性废物；</w:t>
                  </w:r>
                </w:p>
                <w:p w14:paraId="37B2D31E" w14:textId="77777777" w:rsidR="00F76A63" w:rsidRDefault="00000000">
                  <w:pPr>
                    <w:autoSpaceDE w:val="0"/>
                    <w:autoSpaceDN w:val="0"/>
                    <w:snapToGrid w:val="0"/>
                    <w:jc w:val="center"/>
                  </w:pPr>
                  <w:r>
                    <w:t>—</w:t>
                  </w:r>
                  <w:r>
                    <w:t>爆炸物及反应性废物；</w:t>
                  </w:r>
                </w:p>
                <w:p w14:paraId="6259EA75" w14:textId="77777777" w:rsidR="00F76A63" w:rsidRDefault="00000000">
                  <w:pPr>
                    <w:autoSpaceDE w:val="0"/>
                    <w:autoSpaceDN w:val="0"/>
                    <w:snapToGrid w:val="0"/>
                    <w:jc w:val="center"/>
                  </w:pPr>
                  <w:r>
                    <w:t>—</w:t>
                  </w:r>
                  <w:r>
                    <w:t>未经拆解的废电池、废家用电器和电子产品；</w:t>
                  </w:r>
                </w:p>
                <w:p w14:paraId="2E846C10" w14:textId="77777777" w:rsidR="00F76A63" w:rsidRDefault="00000000">
                  <w:pPr>
                    <w:autoSpaceDE w:val="0"/>
                    <w:autoSpaceDN w:val="0"/>
                    <w:snapToGrid w:val="0"/>
                    <w:jc w:val="center"/>
                  </w:pPr>
                  <w:r>
                    <w:t>—</w:t>
                  </w:r>
                  <w:r>
                    <w:t>含汞的温度计、血压计、荧光灯管和开关；</w:t>
                  </w:r>
                </w:p>
                <w:p w14:paraId="29326852" w14:textId="77777777" w:rsidR="00F76A63" w:rsidRDefault="00000000">
                  <w:pPr>
                    <w:autoSpaceDE w:val="0"/>
                    <w:autoSpaceDN w:val="0"/>
                    <w:snapToGrid w:val="0"/>
                    <w:jc w:val="center"/>
                  </w:pPr>
                  <w:r>
                    <w:t>—</w:t>
                  </w:r>
                  <w:r>
                    <w:t>铬渣；</w:t>
                  </w:r>
                </w:p>
                <w:p w14:paraId="0DD8E8B6" w14:textId="77777777" w:rsidR="00F76A63" w:rsidRDefault="00000000">
                  <w:pPr>
                    <w:autoSpaceDE w:val="0"/>
                    <w:autoSpaceDN w:val="0"/>
                    <w:snapToGrid w:val="0"/>
                    <w:jc w:val="center"/>
                  </w:pPr>
                  <w:r>
                    <w:t>—</w:t>
                  </w:r>
                  <w:r>
                    <w:t>未知特性和未经鉴定的废物。</w:t>
                  </w:r>
                </w:p>
              </w:tc>
              <w:tc>
                <w:tcPr>
                  <w:tcW w:w="1856" w:type="pct"/>
                  <w:tcBorders>
                    <w:top w:val="single" w:sz="6" w:space="0" w:color="auto"/>
                    <w:left w:val="single" w:sz="6" w:space="0" w:color="auto"/>
                    <w:bottom w:val="single" w:sz="6" w:space="0" w:color="auto"/>
                    <w:right w:val="single" w:sz="6" w:space="0" w:color="auto"/>
                  </w:tcBorders>
                  <w:vAlign w:val="center"/>
                </w:tcPr>
                <w:p w14:paraId="55643634" w14:textId="77777777" w:rsidR="00F76A63" w:rsidRDefault="00000000">
                  <w:pPr>
                    <w:autoSpaceDE w:val="0"/>
                    <w:autoSpaceDN w:val="0"/>
                    <w:snapToGrid w:val="0"/>
                    <w:jc w:val="center"/>
                  </w:pPr>
                  <w:r>
                    <w:t>本项目入窑的废物不含有标准中禁止入窑的废物。</w:t>
                  </w:r>
                </w:p>
              </w:tc>
              <w:tc>
                <w:tcPr>
                  <w:tcW w:w="259" w:type="pct"/>
                  <w:tcBorders>
                    <w:top w:val="single" w:sz="6" w:space="0" w:color="auto"/>
                    <w:left w:val="single" w:sz="6" w:space="0" w:color="auto"/>
                    <w:bottom w:val="single" w:sz="6" w:space="0" w:color="auto"/>
                    <w:right w:val="nil"/>
                  </w:tcBorders>
                  <w:vAlign w:val="center"/>
                </w:tcPr>
                <w:p w14:paraId="0080498D" w14:textId="77777777" w:rsidR="00F76A63" w:rsidRDefault="00000000">
                  <w:pPr>
                    <w:autoSpaceDE w:val="0"/>
                    <w:autoSpaceDN w:val="0"/>
                    <w:snapToGrid w:val="0"/>
                    <w:jc w:val="center"/>
                  </w:pPr>
                  <w:r>
                    <w:t>相符</w:t>
                  </w:r>
                </w:p>
              </w:tc>
            </w:tr>
            <w:tr w:rsidR="00F76A63" w14:paraId="56B79975"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0F59A4C1"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7D122F2A" w14:textId="77777777" w:rsidR="00F76A63" w:rsidRDefault="00000000">
                  <w:pPr>
                    <w:autoSpaceDE w:val="0"/>
                    <w:autoSpaceDN w:val="0"/>
                    <w:snapToGrid w:val="0"/>
                    <w:jc w:val="center"/>
                  </w:pPr>
                  <w:r>
                    <w:t>5.2</w:t>
                  </w:r>
                  <w:r>
                    <w:t>入窑固体废物应具有相对稳定的化学组成和物理特性，其重金属以及氯、氟、硫等有害元素的含量及投加量应满足</w:t>
                  </w:r>
                  <w:r>
                    <w:t>HJ662</w:t>
                  </w:r>
                  <w:r>
                    <w:t>的要求。</w:t>
                  </w:r>
                </w:p>
              </w:tc>
              <w:tc>
                <w:tcPr>
                  <w:tcW w:w="1856" w:type="pct"/>
                  <w:tcBorders>
                    <w:top w:val="single" w:sz="6" w:space="0" w:color="auto"/>
                    <w:left w:val="single" w:sz="6" w:space="0" w:color="auto"/>
                    <w:bottom w:val="single" w:sz="6" w:space="0" w:color="auto"/>
                    <w:right w:val="single" w:sz="6" w:space="0" w:color="auto"/>
                  </w:tcBorders>
                  <w:vAlign w:val="center"/>
                </w:tcPr>
                <w:p w14:paraId="3DA86128" w14:textId="77777777" w:rsidR="00F76A63" w:rsidRDefault="00000000">
                  <w:pPr>
                    <w:autoSpaceDE w:val="0"/>
                    <w:autoSpaceDN w:val="0"/>
                    <w:snapToGrid w:val="0"/>
                    <w:jc w:val="center"/>
                  </w:pPr>
                  <w:r>
                    <w:t>本项目入窑废物重金属以及氯、氟、硫等有害元素的含量及投加量满足《水泥窑协同处置固体废物环境保护技术规范》的要求。</w:t>
                  </w:r>
                </w:p>
              </w:tc>
              <w:tc>
                <w:tcPr>
                  <w:tcW w:w="259" w:type="pct"/>
                  <w:tcBorders>
                    <w:top w:val="single" w:sz="6" w:space="0" w:color="auto"/>
                    <w:left w:val="single" w:sz="6" w:space="0" w:color="auto"/>
                    <w:bottom w:val="single" w:sz="6" w:space="0" w:color="auto"/>
                    <w:right w:val="nil"/>
                  </w:tcBorders>
                  <w:vAlign w:val="center"/>
                </w:tcPr>
                <w:p w14:paraId="7FA421F4" w14:textId="77777777" w:rsidR="00F76A63" w:rsidRDefault="00000000">
                  <w:pPr>
                    <w:autoSpaceDE w:val="0"/>
                    <w:autoSpaceDN w:val="0"/>
                    <w:snapToGrid w:val="0"/>
                    <w:jc w:val="center"/>
                  </w:pPr>
                  <w:r>
                    <w:t>相符</w:t>
                  </w:r>
                </w:p>
              </w:tc>
            </w:tr>
            <w:tr w:rsidR="00F76A63" w14:paraId="15711736" w14:textId="77777777">
              <w:trPr>
                <w:trHeight w:val="20"/>
                <w:jc w:val="center"/>
              </w:trPr>
              <w:tc>
                <w:tcPr>
                  <w:tcW w:w="232" w:type="pct"/>
                  <w:vMerge w:val="restart"/>
                  <w:tcBorders>
                    <w:top w:val="single" w:sz="6" w:space="0" w:color="auto"/>
                    <w:left w:val="nil"/>
                    <w:bottom w:val="single" w:sz="6" w:space="0" w:color="auto"/>
                    <w:right w:val="single" w:sz="6" w:space="0" w:color="auto"/>
                  </w:tcBorders>
                  <w:vAlign w:val="center"/>
                </w:tcPr>
                <w:p w14:paraId="5C86F53E" w14:textId="77777777" w:rsidR="00F76A63" w:rsidRDefault="00000000">
                  <w:pPr>
                    <w:autoSpaceDE w:val="0"/>
                    <w:autoSpaceDN w:val="0"/>
                    <w:snapToGrid w:val="0"/>
                    <w:jc w:val="center"/>
                  </w:pPr>
                  <w:r>
                    <w:t>6</w:t>
                  </w:r>
                  <w:r>
                    <w:t>运行技术要求</w:t>
                  </w:r>
                </w:p>
              </w:tc>
              <w:tc>
                <w:tcPr>
                  <w:tcW w:w="2653" w:type="pct"/>
                  <w:tcBorders>
                    <w:top w:val="single" w:sz="6" w:space="0" w:color="auto"/>
                    <w:left w:val="single" w:sz="6" w:space="0" w:color="auto"/>
                    <w:bottom w:val="single" w:sz="6" w:space="0" w:color="auto"/>
                    <w:right w:val="single" w:sz="6" w:space="0" w:color="auto"/>
                  </w:tcBorders>
                  <w:vAlign w:val="center"/>
                </w:tcPr>
                <w:p w14:paraId="407B4043" w14:textId="77777777" w:rsidR="00F76A63" w:rsidRDefault="00000000">
                  <w:pPr>
                    <w:autoSpaceDE w:val="0"/>
                    <w:autoSpaceDN w:val="0"/>
                    <w:snapToGrid w:val="0"/>
                    <w:jc w:val="center"/>
                  </w:pPr>
                  <w:r>
                    <w:t>6.1</w:t>
                  </w:r>
                  <w:r>
                    <w:t>在运行过程中，应根据固体废物特性按照《水泥窑协同处置固体废物环境保护技术规范》中的要求正确选择固体废物投加点和投加方式。</w:t>
                  </w:r>
                </w:p>
              </w:tc>
              <w:tc>
                <w:tcPr>
                  <w:tcW w:w="1856" w:type="pct"/>
                  <w:tcBorders>
                    <w:top w:val="single" w:sz="6" w:space="0" w:color="auto"/>
                    <w:left w:val="single" w:sz="6" w:space="0" w:color="auto"/>
                    <w:bottom w:val="single" w:sz="6" w:space="0" w:color="auto"/>
                    <w:right w:val="single" w:sz="6" w:space="0" w:color="auto"/>
                  </w:tcBorders>
                  <w:vAlign w:val="center"/>
                </w:tcPr>
                <w:p w14:paraId="535D2407" w14:textId="77777777" w:rsidR="00F76A63" w:rsidRDefault="00000000">
                  <w:pPr>
                    <w:autoSpaceDE w:val="0"/>
                    <w:autoSpaceDN w:val="0"/>
                    <w:snapToGrid w:val="0"/>
                    <w:jc w:val="center"/>
                  </w:pPr>
                  <w:r>
                    <w:t>本项目根据固废性质，严格按照</w:t>
                  </w:r>
                  <w:r>
                    <w:t>HJ662</w:t>
                  </w:r>
                  <w:r>
                    <w:t>要求选择投加点，设置</w:t>
                  </w:r>
                  <w:r>
                    <w:t>1</w:t>
                  </w:r>
                  <w:r>
                    <w:t>个投料点，从生料配料系统投加。</w:t>
                  </w:r>
                </w:p>
              </w:tc>
              <w:tc>
                <w:tcPr>
                  <w:tcW w:w="259" w:type="pct"/>
                  <w:tcBorders>
                    <w:top w:val="single" w:sz="6" w:space="0" w:color="auto"/>
                    <w:left w:val="single" w:sz="6" w:space="0" w:color="auto"/>
                    <w:bottom w:val="single" w:sz="6" w:space="0" w:color="auto"/>
                    <w:right w:val="nil"/>
                  </w:tcBorders>
                  <w:vAlign w:val="center"/>
                </w:tcPr>
                <w:p w14:paraId="373C0AA4" w14:textId="77777777" w:rsidR="00F76A63" w:rsidRDefault="00000000">
                  <w:pPr>
                    <w:autoSpaceDE w:val="0"/>
                    <w:autoSpaceDN w:val="0"/>
                    <w:snapToGrid w:val="0"/>
                    <w:jc w:val="center"/>
                  </w:pPr>
                  <w:r>
                    <w:t>相符</w:t>
                  </w:r>
                </w:p>
              </w:tc>
            </w:tr>
            <w:tr w:rsidR="00F76A63" w14:paraId="4D9EFD55"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2E944018"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086BAB85" w14:textId="77777777" w:rsidR="00F76A63" w:rsidRDefault="00000000">
                  <w:pPr>
                    <w:autoSpaceDE w:val="0"/>
                    <w:autoSpaceDN w:val="0"/>
                    <w:snapToGrid w:val="0"/>
                    <w:jc w:val="center"/>
                  </w:pPr>
                  <w:r>
                    <w:t>6.2</w:t>
                  </w:r>
                  <w:r>
                    <w:t>固体废物的投加过程和在水泥窑中的协同处置过程应不影响水泥的正常生产。</w:t>
                  </w:r>
                </w:p>
              </w:tc>
              <w:tc>
                <w:tcPr>
                  <w:tcW w:w="1856" w:type="pct"/>
                  <w:tcBorders>
                    <w:top w:val="single" w:sz="6" w:space="0" w:color="auto"/>
                    <w:left w:val="single" w:sz="6" w:space="0" w:color="auto"/>
                    <w:bottom w:val="single" w:sz="6" w:space="0" w:color="auto"/>
                    <w:right w:val="single" w:sz="6" w:space="0" w:color="auto"/>
                  </w:tcBorders>
                  <w:vAlign w:val="center"/>
                </w:tcPr>
                <w:p w14:paraId="259FB5C8" w14:textId="77777777" w:rsidR="00F76A63" w:rsidRDefault="00000000">
                  <w:pPr>
                    <w:autoSpaceDE w:val="0"/>
                    <w:autoSpaceDN w:val="0"/>
                    <w:snapToGrid w:val="0"/>
                    <w:jc w:val="center"/>
                  </w:pPr>
                  <w:r>
                    <w:t>本项目废物投加过程和在水泥窑中的协同处置过程不影响水泥的正常生产。</w:t>
                  </w:r>
                </w:p>
              </w:tc>
              <w:tc>
                <w:tcPr>
                  <w:tcW w:w="259" w:type="pct"/>
                  <w:tcBorders>
                    <w:top w:val="single" w:sz="6" w:space="0" w:color="auto"/>
                    <w:left w:val="single" w:sz="6" w:space="0" w:color="auto"/>
                    <w:bottom w:val="single" w:sz="6" w:space="0" w:color="auto"/>
                    <w:right w:val="nil"/>
                  </w:tcBorders>
                  <w:vAlign w:val="center"/>
                </w:tcPr>
                <w:p w14:paraId="7B0D706D" w14:textId="77777777" w:rsidR="00F76A63" w:rsidRDefault="00000000">
                  <w:pPr>
                    <w:autoSpaceDE w:val="0"/>
                    <w:autoSpaceDN w:val="0"/>
                    <w:snapToGrid w:val="0"/>
                    <w:jc w:val="center"/>
                  </w:pPr>
                  <w:r>
                    <w:t>相符</w:t>
                  </w:r>
                </w:p>
              </w:tc>
            </w:tr>
            <w:tr w:rsidR="00F76A63" w14:paraId="184B061A"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676989E8"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56DC75ED" w14:textId="77777777" w:rsidR="00F76A63" w:rsidRDefault="00000000">
                  <w:pPr>
                    <w:autoSpaceDE w:val="0"/>
                    <w:autoSpaceDN w:val="0"/>
                    <w:snapToGrid w:val="0"/>
                    <w:jc w:val="center"/>
                  </w:pPr>
                  <w:r>
                    <w:t>6.3</w:t>
                  </w:r>
                  <w:r>
                    <w:t>在水泥窑达到正常生产工况并稳定运行至少</w:t>
                  </w:r>
                  <w:r>
                    <w:t>4</w:t>
                  </w:r>
                  <w:r>
                    <w:t>小时后，方可开始投加固体废物；因水泥窑维修、事故检修等原因停窑前至少</w:t>
                  </w:r>
                  <w:r>
                    <w:t>4</w:t>
                  </w:r>
                  <w:r>
                    <w:t>小时内禁止投加固体废物。</w:t>
                  </w:r>
                </w:p>
              </w:tc>
              <w:tc>
                <w:tcPr>
                  <w:tcW w:w="1856" w:type="pct"/>
                  <w:tcBorders>
                    <w:top w:val="single" w:sz="6" w:space="0" w:color="auto"/>
                    <w:left w:val="single" w:sz="6" w:space="0" w:color="auto"/>
                    <w:bottom w:val="single" w:sz="6" w:space="0" w:color="auto"/>
                    <w:right w:val="single" w:sz="6" w:space="0" w:color="auto"/>
                  </w:tcBorders>
                  <w:vAlign w:val="center"/>
                </w:tcPr>
                <w:p w14:paraId="62A4ED79" w14:textId="77777777" w:rsidR="00F76A63" w:rsidRDefault="00000000">
                  <w:pPr>
                    <w:autoSpaceDE w:val="0"/>
                    <w:autoSpaceDN w:val="0"/>
                    <w:snapToGrid w:val="0"/>
                    <w:jc w:val="center"/>
                  </w:pPr>
                  <w:r>
                    <w:t>按标准要求操作。</w:t>
                  </w:r>
                </w:p>
              </w:tc>
              <w:tc>
                <w:tcPr>
                  <w:tcW w:w="259" w:type="pct"/>
                  <w:tcBorders>
                    <w:top w:val="single" w:sz="6" w:space="0" w:color="auto"/>
                    <w:left w:val="single" w:sz="6" w:space="0" w:color="auto"/>
                    <w:bottom w:val="single" w:sz="6" w:space="0" w:color="auto"/>
                    <w:right w:val="nil"/>
                  </w:tcBorders>
                  <w:vAlign w:val="center"/>
                </w:tcPr>
                <w:p w14:paraId="6C3715C5" w14:textId="77777777" w:rsidR="00F76A63" w:rsidRDefault="00000000">
                  <w:pPr>
                    <w:autoSpaceDE w:val="0"/>
                    <w:autoSpaceDN w:val="0"/>
                    <w:snapToGrid w:val="0"/>
                    <w:jc w:val="center"/>
                  </w:pPr>
                  <w:r>
                    <w:t>相符</w:t>
                  </w:r>
                </w:p>
              </w:tc>
            </w:tr>
            <w:tr w:rsidR="00F76A63" w14:paraId="22C4698C"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1135DDB4"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5A86F617" w14:textId="77777777" w:rsidR="00F76A63" w:rsidRDefault="00000000">
                  <w:pPr>
                    <w:autoSpaceDE w:val="0"/>
                    <w:autoSpaceDN w:val="0"/>
                    <w:snapToGrid w:val="0"/>
                    <w:jc w:val="center"/>
                  </w:pPr>
                  <w:r>
                    <w:t>6.4</w:t>
                  </w:r>
                  <w:r>
                    <w:t>当水泥窑出现故障或事故造成运行工况不正常，如窑内温度明显下降、烟气中污染物浓度明显升高等情况时，必须立即停止投加固体废物，待查明原因并恢复正常运行后方可恢复投加。</w:t>
                  </w:r>
                </w:p>
              </w:tc>
              <w:tc>
                <w:tcPr>
                  <w:tcW w:w="1856" w:type="pct"/>
                  <w:tcBorders>
                    <w:top w:val="single" w:sz="6" w:space="0" w:color="auto"/>
                    <w:left w:val="single" w:sz="6" w:space="0" w:color="auto"/>
                    <w:bottom w:val="single" w:sz="6" w:space="0" w:color="auto"/>
                    <w:right w:val="single" w:sz="6" w:space="0" w:color="auto"/>
                  </w:tcBorders>
                  <w:vAlign w:val="center"/>
                </w:tcPr>
                <w:p w14:paraId="069BB6F0" w14:textId="77777777" w:rsidR="00F76A63" w:rsidRDefault="00000000">
                  <w:pPr>
                    <w:autoSpaceDE w:val="0"/>
                    <w:autoSpaceDN w:val="0"/>
                    <w:snapToGrid w:val="0"/>
                    <w:jc w:val="center"/>
                  </w:pPr>
                  <w:r>
                    <w:t>按标准要求操作。</w:t>
                  </w:r>
                </w:p>
              </w:tc>
              <w:tc>
                <w:tcPr>
                  <w:tcW w:w="259" w:type="pct"/>
                  <w:tcBorders>
                    <w:top w:val="single" w:sz="6" w:space="0" w:color="auto"/>
                    <w:left w:val="single" w:sz="6" w:space="0" w:color="auto"/>
                    <w:bottom w:val="single" w:sz="6" w:space="0" w:color="auto"/>
                    <w:right w:val="nil"/>
                  </w:tcBorders>
                  <w:vAlign w:val="center"/>
                </w:tcPr>
                <w:p w14:paraId="1EC5BBDA" w14:textId="77777777" w:rsidR="00F76A63" w:rsidRDefault="00000000">
                  <w:pPr>
                    <w:autoSpaceDE w:val="0"/>
                    <w:autoSpaceDN w:val="0"/>
                    <w:snapToGrid w:val="0"/>
                    <w:jc w:val="center"/>
                  </w:pPr>
                  <w:r>
                    <w:t>相符</w:t>
                  </w:r>
                </w:p>
              </w:tc>
            </w:tr>
            <w:tr w:rsidR="00F76A63" w14:paraId="61A3666F"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6411E10C"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1CF36440" w14:textId="77777777" w:rsidR="00F76A63" w:rsidRDefault="00000000">
                  <w:pPr>
                    <w:autoSpaceDE w:val="0"/>
                    <w:autoSpaceDN w:val="0"/>
                    <w:snapToGrid w:val="0"/>
                    <w:jc w:val="center"/>
                  </w:pPr>
                  <w:r>
                    <w:t>6.5</w:t>
                  </w:r>
                  <w:r>
                    <w:t>在协同处置固体废物时，水泥窑及窑尾余热利用系统排气筒总有机碳（</w:t>
                  </w:r>
                  <w:r>
                    <w:t>TOC</w:t>
                  </w:r>
                  <w:r>
                    <w:t>）因协同处置固体废物增加的浓度不应超过</w:t>
                  </w:r>
                  <w:r>
                    <w:t>10mg/m</w:t>
                  </w:r>
                  <w:r>
                    <w:rPr>
                      <w:vertAlign w:val="superscript"/>
                    </w:rPr>
                    <w:t>3</w:t>
                  </w:r>
                  <w:r>
                    <w:t>，</w:t>
                  </w:r>
                  <w:r>
                    <w:t>TOC</w:t>
                  </w:r>
                  <w:r>
                    <w:t>的测定步骤和方法执行</w:t>
                  </w:r>
                  <w:r>
                    <w:t>HJ662</w:t>
                  </w:r>
                  <w:r>
                    <w:t>和</w:t>
                  </w:r>
                  <w:r>
                    <w:t>HJ/T38</w:t>
                  </w:r>
                  <w:r>
                    <w:t>等国家环境保护标准。</w:t>
                  </w:r>
                </w:p>
              </w:tc>
              <w:tc>
                <w:tcPr>
                  <w:tcW w:w="1856" w:type="pct"/>
                  <w:tcBorders>
                    <w:top w:val="single" w:sz="6" w:space="0" w:color="auto"/>
                    <w:left w:val="single" w:sz="6" w:space="0" w:color="auto"/>
                    <w:bottom w:val="single" w:sz="6" w:space="0" w:color="auto"/>
                    <w:right w:val="single" w:sz="6" w:space="0" w:color="auto"/>
                  </w:tcBorders>
                  <w:vAlign w:val="center"/>
                </w:tcPr>
                <w:p w14:paraId="4059AB64" w14:textId="77777777" w:rsidR="00F76A63" w:rsidRDefault="00000000">
                  <w:pPr>
                    <w:autoSpaceDE w:val="0"/>
                    <w:autoSpaceDN w:val="0"/>
                    <w:snapToGrid w:val="0"/>
                    <w:jc w:val="center"/>
                  </w:pPr>
                  <w:r>
                    <w:t>本项目协同处置前进行水泥窑及窑尾余热利用系统排气筒</w:t>
                  </w:r>
                  <w:r>
                    <w:t>TOC</w:t>
                  </w:r>
                  <w:r>
                    <w:t>本底监测，确保协同处置废物时</w:t>
                  </w:r>
                  <w:r>
                    <w:t>TOC</w:t>
                  </w:r>
                  <w:r>
                    <w:t>增加的浓度不应超过</w:t>
                  </w:r>
                  <w:r>
                    <w:t>10mg/m</w:t>
                  </w:r>
                  <w:r>
                    <w:rPr>
                      <w:vertAlign w:val="superscript"/>
                    </w:rPr>
                    <w:t>3</w:t>
                  </w:r>
                  <w:r>
                    <w:t>。</w:t>
                  </w:r>
                </w:p>
              </w:tc>
              <w:tc>
                <w:tcPr>
                  <w:tcW w:w="259" w:type="pct"/>
                  <w:tcBorders>
                    <w:top w:val="single" w:sz="6" w:space="0" w:color="auto"/>
                    <w:left w:val="single" w:sz="6" w:space="0" w:color="auto"/>
                    <w:bottom w:val="single" w:sz="6" w:space="0" w:color="auto"/>
                    <w:right w:val="nil"/>
                  </w:tcBorders>
                  <w:vAlign w:val="center"/>
                </w:tcPr>
                <w:p w14:paraId="4B10E163" w14:textId="77777777" w:rsidR="00F76A63" w:rsidRDefault="00000000">
                  <w:pPr>
                    <w:autoSpaceDE w:val="0"/>
                    <w:autoSpaceDN w:val="0"/>
                    <w:snapToGrid w:val="0"/>
                    <w:jc w:val="center"/>
                  </w:pPr>
                  <w:r>
                    <w:t>相符</w:t>
                  </w:r>
                </w:p>
              </w:tc>
            </w:tr>
            <w:tr w:rsidR="00F76A63" w14:paraId="7D9EC0AA" w14:textId="77777777">
              <w:trPr>
                <w:trHeight w:val="20"/>
                <w:jc w:val="center"/>
              </w:trPr>
              <w:tc>
                <w:tcPr>
                  <w:tcW w:w="232" w:type="pct"/>
                  <w:vMerge w:val="restart"/>
                  <w:tcBorders>
                    <w:top w:val="single" w:sz="6" w:space="0" w:color="auto"/>
                    <w:left w:val="nil"/>
                    <w:bottom w:val="single" w:sz="6" w:space="0" w:color="auto"/>
                    <w:right w:val="single" w:sz="6" w:space="0" w:color="auto"/>
                  </w:tcBorders>
                  <w:vAlign w:val="center"/>
                </w:tcPr>
                <w:p w14:paraId="549D9780" w14:textId="77777777" w:rsidR="00F76A63" w:rsidRDefault="00000000">
                  <w:pPr>
                    <w:autoSpaceDE w:val="0"/>
                    <w:autoSpaceDN w:val="0"/>
                    <w:snapToGrid w:val="0"/>
                    <w:jc w:val="center"/>
                  </w:pPr>
                  <w:r>
                    <w:t>7.</w:t>
                  </w:r>
                  <w:r>
                    <w:t>大气污染物排放限值</w:t>
                  </w:r>
                </w:p>
              </w:tc>
              <w:tc>
                <w:tcPr>
                  <w:tcW w:w="2653" w:type="pct"/>
                  <w:tcBorders>
                    <w:top w:val="single" w:sz="6" w:space="0" w:color="auto"/>
                    <w:left w:val="single" w:sz="6" w:space="0" w:color="auto"/>
                    <w:bottom w:val="single" w:sz="6" w:space="0" w:color="auto"/>
                    <w:right w:val="single" w:sz="6" w:space="0" w:color="auto"/>
                  </w:tcBorders>
                  <w:vAlign w:val="center"/>
                </w:tcPr>
                <w:p w14:paraId="3CC9E7E9" w14:textId="77777777" w:rsidR="00F76A63" w:rsidRDefault="00000000">
                  <w:pPr>
                    <w:autoSpaceDE w:val="0"/>
                    <w:autoSpaceDN w:val="0"/>
                    <w:snapToGrid w:val="0"/>
                    <w:jc w:val="center"/>
                  </w:pPr>
                  <w:r>
                    <w:t>7.1</w:t>
                  </w:r>
                  <w:r>
                    <w:t>利用水泥窑协同处置固体废物时，水泥窑及窑尾余热利用系统排气筒大气污染物中颗粒物、二氧化硫、氮氧化物和氨的排放限值按</w:t>
                  </w:r>
                  <w:r>
                    <w:t>GB4915</w:t>
                  </w:r>
                  <w:r>
                    <w:t>中的要求执行。</w:t>
                  </w:r>
                </w:p>
              </w:tc>
              <w:tc>
                <w:tcPr>
                  <w:tcW w:w="1856" w:type="pct"/>
                  <w:tcBorders>
                    <w:top w:val="single" w:sz="6" w:space="0" w:color="auto"/>
                    <w:left w:val="single" w:sz="6" w:space="0" w:color="auto"/>
                    <w:bottom w:val="single" w:sz="6" w:space="0" w:color="auto"/>
                    <w:right w:val="single" w:sz="6" w:space="0" w:color="auto"/>
                  </w:tcBorders>
                  <w:vAlign w:val="center"/>
                </w:tcPr>
                <w:p w14:paraId="28D2AA64" w14:textId="77777777" w:rsidR="00F76A63" w:rsidRDefault="00000000">
                  <w:pPr>
                    <w:autoSpaceDE w:val="0"/>
                    <w:autoSpaceDN w:val="0"/>
                    <w:snapToGrid w:val="0"/>
                    <w:jc w:val="center"/>
                  </w:pPr>
                  <w:r>
                    <w:t>江苏已颁布水泥行业地方标准《水泥工业大气污染物排放标准》（</w:t>
                  </w:r>
                  <w:r>
                    <w:t>DB32/4149-2021</w:t>
                  </w:r>
                  <w:r>
                    <w:t>），在执行标准的优先级上优先于《水泥工业大气污染物排放标准》（</w:t>
                  </w:r>
                  <w:r>
                    <w:t>GB 4915-2013</w:t>
                  </w:r>
                  <w:r>
                    <w:t>）。项目实施后颗粒物、二氧化硫、氮氧化物的排放浓度在生产过程中同样要确保氨满足《水泥工业大气污染物排放标准》（</w:t>
                  </w:r>
                  <w:r>
                    <w:t>DB32/4149-2021</w:t>
                  </w:r>
                  <w:r>
                    <w:t>）要求。</w:t>
                  </w:r>
                </w:p>
              </w:tc>
              <w:tc>
                <w:tcPr>
                  <w:tcW w:w="259" w:type="pct"/>
                  <w:tcBorders>
                    <w:top w:val="single" w:sz="6" w:space="0" w:color="auto"/>
                    <w:left w:val="single" w:sz="6" w:space="0" w:color="auto"/>
                    <w:bottom w:val="single" w:sz="6" w:space="0" w:color="auto"/>
                    <w:right w:val="nil"/>
                  </w:tcBorders>
                  <w:vAlign w:val="center"/>
                </w:tcPr>
                <w:p w14:paraId="34DF8284" w14:textId="77777777" w:rsidR="00F76A63" w:rsidRDefault="00000000">
                  <w:pPr>
                    <w:autoSpaceDE w:val="0"/>
                    <w:autoSpaceDN w:val="0"/>
                    <w:snapToGrid w:val="0"/>
                    <w:jc w:val="center"/>
                  </w:pPr>
                  <w:r>
                    <w:t>相符</w:t>
                  </w:r>
                </w:p>
              </w:tc>
            </w:tr>
            <w:tr w:rsidR="00F76A63" w14:paraId="6135E7CE"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4E523B3C"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43B741D7" w14:textId="77777777" w:rsidR="00F76A63" w:rsidRDefault="00000000">
                  <w:pPr>
                    <w:autoSpaceDE w:val="0"/>
                    <w:autoSpaceDN w:val="0"/>
                    <w:snapToGrid w:val="0"/>
                    <w:jc w:val="center"/>
                  </w:pPr>
                  <w:r>
                    <w:t>7.2</w:t>
                  </w:r>
                  <w:r>
                    <w:t>利用水泥窑协同处置固体废物时，水泥窑及窑尾余热利用系统排气筒大气污染物中除列入本标准</w:t>
                  </w:r>
                  <w:r>
                    <w:t>7.1</w:t>
                  </w:r>
                  <w:r>
                    <w:t>条外的其他污染物执行表</w:t>
                  </w:r>
                  <w:r>
                    <w:t>1</w:t>
                  </w:r>
                  <w:r>
                    <w:t>规定的最高允许排放浓度。</w:t>
                  </w:r>
                </w:p>
              </w:tc>
              <w:tc>
                <w:tcPr>
                  <w:tcW w:w="1856" w:type="pct"/>
                  <w:tcBorders>
                    <w:top w:val="single" w:sz="6" w:space="0" w:color="auto"/>
                    <w:left w:val="single" w:sz="6" w:space="0" w:color="auto"/>
                    <w:bottom w:val="single" w:sz="6" w:space="0" w:color="auto"/>
                    <w:right w:val="single" w:sz="6" w:space="0" w:color="auto"/>
                  </w:tcBorders>
                  <w:vAlign w:val="center"/>
                </w:tcPr>
                <w:p w14:paraId="6865B529" w14:textId="77777777" w:rsidR="00F76A63" w:rsidRDefault="00000000">
                  <w:pPr>
                    <w:autoSpaceDE w:val="0"/>
                    <w:autoSpaceDN w:val="0"/>
                    <w:snapToGrid w:val="0"/>
                    <w:jc w:val="center"/>
                  </w:pPr>
                  <w:r>
                    <w:t>经分析，本项目重金属等其他污染物满足规定的最高允许排放浓度。</w:t>
                  </w:r>
                </w:p>
              </w:tc>
              <w:tc>
                <w:tcPr>
                  <w:tcW w:w="259" w:type="pct"/>
                  <w:tcBorders>
                    <w:top w:val="single" w:sz="6" w:space="0" w:color="auto"/>
                    <w:left w:val="single" w:sz="6" w:space="0" w:color="auto"/>
                    <w:bottom w:val="single" w:sz="6" w:space="0" w:color="auto"/>
                    <w:right w:val="nil"/>
                  </w:tcBorders>
                  <w:vAlign w:val="center"/>
                </w:tcPr>
                <w:p w14:paraId="20E3E0DB" w14:textId="77777777" w:rsidR="00F76A63" w:rsidRDefault="00000000">
                  <w:pPr>
                    <w:autoSpaceDE w:val="0"/>
                    <w:autoSpaceDN w:val="0"/>
                    <w:snapToGrid w:val="0"/>
                    <w:jc w:val="center"/>
                  </w:pPr>
                  <w:r>
                    <w:t>相符</w:t>
                  </w:r>
                </w:p>
              </w:tc>
            </w:tr>
            <w:tr w:rsidR="00F76A63" w14:paraId="38E8F987"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6C0AB727"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722153E4" w14:textId="77777777" w:rsidR="00F76A63" w:rsidRDefault="00000000">
                  <w:pPr>
                    <w:autoSpaceDE w:val="0"/>
                    <w:autoSpaceDN w:val="0"/>
                    <w:snapToGrid w:val="0"/>
                    <w:jc w:val="center"/>
                  </w:pPr>
                  <w:r>
                    <w:t>7.3</w:t>
                  </w:r>
                  <w:r>
                    <w:t>在本标准第</w:t>
                  </w:r>
                  <w:r>
                    <w:t>6.4</w:t>
                  </w:r>
                  <w:r>
                    <w:t>条规定的情况下，所获得的监测数据不作为执行本标准烟气排放限值的监测数据。每次故障或事故持续排放污染物时间不应超过</w:t>
                  </w:r>
                  <w:r>
                    <w:t>4</w:t>
                  </w:r>
                  <w:r>
                    <w:t>小时，每年累计不得超过</w:t>
                  </w:r>
                  <w:r>
                    <w:t>60</w:t>
                  </w:r>
                  <w:r>
                    <w:t>小时。</w:t>
                  </w:r>
                </w:p>
              </w:tc>
              <w:tc>
                <w:tcPr>
                  <w:tcW w:w="1856" w:type="pct"/>
                  <w:tcBorders>
                    <w:top w:val="single" w:sz="6" w:space="0" w:color="auto"/>
                    <w:left w:val="single" w:sz="6" w:space="0" w:color="auto"/>
                    <w:bottom w:val="single" w:sz="6" w:space="0" w:color="auto"/>
                    <w:right w:val="single" w:sz="6" w:space="0" w:color="auto"/>
                  </w:tcBorders>
                  <w:vAlign w:val="center"/>
                </w:tcPr>
                <w:p w14:paraId="039C546F" w14:textId="77777777" w:rsidR="00F76A63" w:rsidRDefault="00000000">
                  <w:pPr>
                    <w:autoSpaceDE w:val="0"/>
                    <w:autoSpaceDN w:val="0"/>
                    <w:snapToGrid w:val="0"/>
                    <w:jc w:val="center"/>
                  </w:pPr>
                  <w:r>
                    <w:t>按标准要求操作。</w:t>
                  </w:r>
                </w:p>
              </w:tc>
              <w:tc>
                <w:tcPr>
                  <w:tcW w:w="259" w:type="pct"/>
                  <w:tcBorders>
                    <w:top w:val="single" w:sz="6" w:space="0" w:color="auto"/>
                    <w:left w:val="single" w:sz="6" w:space="0" w:color="auto"/>
                    <w:bottom w:val="single" w:sz="6" w:space="0" w:color="auto"/>
                    <w:right w:val="nil"/>
                  </w:tcBorders>
                  <w:vAlign w:val="center"/>
                </w:tcPr>
                <w:p w14:paraId="1F5FCA84" w14:textId="77777777" w:rsidR="00F76A63" w:rsidRDefault="00000000">
                  <w:pPr>
                    <w:autoSpaceDE w:val="0"/>
                    <w:autoSpaceDN w:val="0"/>
                    <w:snapToGrid w:val="0"/>
                    <w:jc w:val="center"/>
                  </w:pPr>
                  <w:r>
                    <w:t>相符</w:t>
                  </w:r>
                </w:p>
              </w:tc>
            </w:tr>
            <w:tr w:rsidR="00F76A63" w14:paraId="0C1DBDC2"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5CB98622"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545BBB3D" w14:textId="77777777" w:rsidR="00F76A63" w:rsidRDefault="00000000">
                  <w:pPr>
                    <w:autoSpaceDE w:val="0"/>
                    <w:autoSpaceDN w:val="0"/>
                    <w:snapToGrid w:val="0"/>
                    <w:jc w:val="center"/>
                  </w:pPr>
                  <w:r>
                    <w:t>7.4</w:t>
                  </w:r>
                  <w:r>
                    <w:t>固体废物贮存、预处理等设施产生的废气应导入水泥窑高温区焚烧；或经过处理达到</w:t>
                  </w:r>
                  <w:r>
                    <w:t>GB14554</w:t>
                  </w:r>
                  <w:r>
                    <w:t>规定的限值后排放。技改项目危险废物贮存、预处理等设施产生的废气经过处理达到</w:t>
                  </w:r>
                  <w:r>
                    <w:t>GB14554</w:t>
                  </w:r>
                  <w:r>
                    <w:t>规定的限值后排放。</w:t>
                  </w:r>
                </w:p>
              </w:tc>
              <w:tc>
                <w:tcPr>
                  <w:tcW w:w="1856" w:type="pct"/>
                  <w:tcBorders>
                    <w:top w:val="single" w:sz="6" w:space="0" w:color="auto"/>
                    <w:left w:val="single" w:sz="6" w:space="0" w:color="auto"/>
                    <w:bottom w:val="single" w:sz="6" w:space="0" w:color="auto"/>
                    <w:right w:val="single" w:sz="6" w:space="0" w:color="auto"/>
                  </w:tcBorders>
                  <w:vAlign w:val="center"/>
                </w:tcPr>
                <w:p w14:paraId="5E2AFAC9" w14:textId="77777777" w:rsidR="00F76A63" w:rsidRDefault="00000000">
                  <w:pPr>
                    <w:autoSpaceDE w:val="0"/>
                    <w:autoSpaceDN w:val="0"/>
                    <w:snapToGrid w:val="0"/>
                    <w:jc w:val="center"/>
                  </w:pPr>
                  <w:r>
                    <w:t>本项目不涉及固体废物的预处理，固废贮存废气经水雾喷淋处理后达到</w:t>
                  </w:r>
                  <w:r>
                    <w:t>GB14554</w:t>
                  </w:r>
                  <w:r>
                    <w:t>规定的限值排放。</w:t>
                  </w:r>
                </w:p>
              </w:tc>
              <w:tc>
                <w:tcPr>
                  <w:tcW w:w="259" w:type="pct"/>
                  <w:tcBorders>
                    <w:top w:val="single" w:sz="6" w:space="0" w:color="auto"/>
                    <w:left w:val="single" w:sz="6" w:space="0" w:color="auto"/>
                    <w:bottom w:val="single" w:sz="6" w:space="0" w:color="auto"/>
                    <w:right w:val="nil"/>
                  </w:tcBorders>
                  <w:vAlign w:val="center"/>
                </w:tcPr>
                <w:p w14:paraId="31E3D2E1" w14:textId="77777777" w:rsidR="00F76A63" w:rsidRDefault="00000000">
                  <w:pPr>
                    <w:autoSpaceDE w:val="0"/>
                    <w:autoSpaceDN w:val="0"/>
                    <w:snapToGrid w:val="0"/>
                    <w:jc w:val="center"/>
                  </w:pPr>
                  <w:r>
                    <w:t>相符</w:t>
                  </w:r>
                </w:p>
              </w:tc>
            </w:tr>
            <w:tr w:rsidR="00F76A63" w14:paraId="34235226"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6C0581E8"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2A559798" w14:textId="77777777" w:rsidR="00F76A63" w:rsidRDefault="00000000">
                  <w:pPr>
                    <w:autoSpaceDE w:val="0"/>
                    <w:autoSpaceDN w:val="0"/>
                    <w:snapToGrid w:val="0"/>
                    <w:jc w:val="center"/>
                  </w:pPr>
                  <w:r>
                    <w:t>7.5</w:t>
                  </w:r>
                  <w:r>
                    <w:t>生活垃圾渗滤液、车辆清洗废水以及水泥窑协同处置固体废物过程产生的其他废水收集后可采用喷入水泥窑内焚烧处置、采用密闭运输送到城市污水处理厂处理、排入城市排水管道进入城市污水处理厂处理或者自行处理等方式。废水排放应符合国家相关水污染物排放标准要求。</w:t>
                  </w:r>
                </w:p>
              </w:tc>
              <w:tc>
                <w:tcPr>
                  <w:tcW w:w="1856" w:type="pct"/>
                  <w:tcBorders>
                    <w:top w:val="single" w:sz="6" w:space="0" w:color="auto"/>
                    <w:left w:val="single" w:sz="6" w:space="0" w:color="auto"/>
                    <w:bottom w:val="single" w:sz="6" w:space="0" w:color="auto"/>
                    <w:right w:val="single" w:sz="6" w:space="0" w:color="auto"/>
                  </w:tcBorders>
                  <w:vAlign w:val="center"/>
                </w:tcPr>
                <w:p w14:paraId="30A574DE" w14:textId="77777777" w:rsidR="00F76A63" w:rsidRDefault="00000000">
                  <w:pPr>
                    <w:autoSpaceDE w:val="0"/>
                    <w:autoSpaceDN w:val="0"/>
                    <w:snapToGrid w:val="0"/>
                    <w:jc w:val="center"/>
                  </w:pPr>
                  <w:r>
                    <w:t>本项目不新增废水</w:t>
                  </w:r>
                  <w:r>
                    <w:rPr>
                      <w:rFonts w:hint="eastAsia"/>
                    </w:rPr>
                    <w:t>排放；</w:t>
                  </w:r>
                  <w:r>
                    <w:rPr>
                      <w:bCs/>
                      <w:kern w:val="28"/>
                      <w:szCs w:val="21"/>
                    </w:rPr>
                    <w:t>本项目</w:t>
                  </w:r>
                  <w:r>
                    <w:rPr>
                      <w:rFonts w:hint="eastAsia"/>
                      <w:bCs/>
                      <w:kern w:val="28"/>
                      <w:szCs w:val="21"/>
                    </w:rPr>
                    <w:t>产生的废水为污泥堆放产生的渗滤液，经集水沟统一收集至原水池和生产废水一起经中水处理系统处理后回用</w:t>
                  </w:r>
                  <w:r>
                    <w:t>。</w:t>
                  </w:r>
                </w:p>
              </w:tc>
              <w:tc>
                <w:tcPr>
                  <w:tcW w:w="259" w:type="pct"/>
                  <w:tcBorders>
                    <w:top w:val="single" w:sz="6" w:space="0" w:color="auto"/>
                    <w:left w:val="single" w:sz="6" w:space="0" w:color="auto"/>
                    <w:bottom w:val="single" w:sz="6" w:space="0" w:color="auto"/>
                    <w:right w:val="nil"/>
                  </w:tcBorders>
                  <w:vAlign w:val="center"/>
                </w:tcPr>
                <w:p w14:paraId="56812989" w14:textId="77777777" w:rsidR="00F76A63" w:rsidRDefault="00000000">
                  <w:pPr>
                    <w:autoSpaceDE w:val="0"/>
                    <w:autoSpaceDN w:val="0"/>
                    <w:snapToGrid w:val="0"/>
                    <w:jc w:val="center"/>
                  </w:pPr>
                  <w:r>
                    <w:t>相符</w:t>
                  </w:r>
                </w:p>
              </w:tc>
            </w:tr>
            <w:tr w:rsidR="00F76A63" w14:paraId="316B2305"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4A134C6D"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6167DC85" w14:textId="77777777" w:rsidR="00F76A63" w:rsidRDefault="00000000">
                  <w:pPr>
                    <w:autoSpaceDE w:val="0"/>
                    <w:autoSpaceDN w:val="0"/>
                    <w:snapToGrid w:val="0"/>
                    <w:jc w:val="center"/>
                  </w:pPr>
                  <w:r>
                    <w:t>7.6</w:t>
                  </w:r>
                  <w:r>
                    <w:t>协同处置固体废物的水泥生产企业厂界恶臭污染物限值应按照</w:t>
                  </w:r>
                  <w:r>
                    <w:t>GB14554</w:t>
                  </w:r>
                  <w:r>
                    <w:t>执行。</w:t>
                  </w:r>
                </w:p>
              </w:tc>
              <w:tc>
                <w:tcPr>
                  <w:tcW w:w="1856" w:type="pct"/>
                  <w:tcBorders>
                    <w:top w:val="single" w:sz="6" w:space="0" w:color="auto"/>
                    <w:left w:val="single" w:sz="6" w:space="0" w:color="auto"/>
                    <w:bottom w:val="single" w:sz="6" w:space="0" w:color="auto"/>
                    <w:right w:val="single" w:sz="6" w:space="0" w:color="auto"/>
                  </w:tcBorders>
                  <w:vAlign w:val="center"/>
                </w:tcPr>
                <w:p w14:paraId="6883BBDF" w14:textId="77777777" w:rsidR="00F76A63" w:rsidRDefault="00000000">
                  <w:pPr>
                    <w:autoSpaceDE w:val="0"/>
                    <w:autoSpaceDN w:val="0"/>
                    <w:snapToGrid w:val="0"/>
                    <w:jc w:val="center"/>
                  </w:pPr>
                  <w:r>
                    <w:t>本项目厂界恶臭污染物限值应按照</w:t>
                  </w:r>
                  <w:r>
                    <w:t>GB14554</w:t>
                  </w:r>
                  <w:r>
                    <w:t>执行。</w:t>
                  </w:r>
                </w:p>
              </w:tc>
              <w:tc>
                <w:tcPr>
                  <w:tcW w:w="259" w:type="pct"/>
                  <w:tcBorders>
                    <w:top w:val="single" w:sz="6" w:space="0" w:color="auto"/>
                    <w:left w:val="single" w:sz="6" w:space="0" w:color="auto"/>
                    <w:bottom w:val="single" w:sz="6" w:space="0" w:color="auto"/>
                    <w:right w:val="nil"/>
                  </w:tcBorders>
                  <w:vAlign w:val="center"/>
                </w:tcPr>
                <w:p w14:paraId="20CB46E2" w14:textId="77777777" w:rsidR="00F76A63" w:rsidRDefault="00000000">
                  <w:pPr>
                    <w:autoSpaceDE w:val="0"/>
                    <w:autoSpaceDN w:val="0"/>
                    <w:snapToGrid w:val="0"/>
                    <w:jc w:val="center"/>
                  </w:pPr>
                  <w:r>
                    <w:t>相符</w:t>
                  </w:r>
                </w:p>
              </w:tc>
            </w:tr>
            <w:tr w:rsidR="00F76A63" w14:paraId="1D34936C"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762B4543"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750D225C" w14:textId="77777777" w:rsidR="00F76A63" w:rsidRDefault="00000000">
                  <w:pPr>
                    <w:autoSpaceDE w:val="0"/>
                    <w:autoSpaceDN w:val="0"/>
                    <w:snapToGrid w:val="0"/>
                    <w:jc w:val="center"/>
                  </w:pPr>
                  <w:r>
                    <w:t>7.7</w:t>
                  </w:r>
                  <w:r>
                    <w:t>水泥窑旁路放风排气筒大气污染物排放限值按照本标准第</w:t>
                  </w:r>
                  <w:r>
                    <w:t>7.1</w:t>
                  </w:r>
                  <w:r>
                    <w:t>和</w:t>
                  </w:r>
                  <w:r>
                    <w:t>7.2</w:t>
                  </w:r>
                  <w:r>
                    <w:t>条执行。</w:t>
                  </w:r>
                </w:p>
              </w:tc>
              <w:tc>
                <w:tcPr>
                  <w:tcW w:w="1856" w:type="pct"/>
                  <w:tcBorders>
                    <w:top w:val="single" w:sz="6" w:space="0" w:color="auto"/>
                    <w:left w:val="single" w:sz="6" w:space="0" w:color="auto"/>
                    <w:bottom w:val="single" w:sz="6" w:space="0" w:color="auto"/>
                    <w:right w:val="single" w:sz="6" w:space="0" w:color="auto"/>
                  </w:tcBorders>
                  <w:vAlign w:val="center"/>
                </w:tcPr>
                <w:p w14:paraId="13EC098D" w14:textId="77777777" w:rsidR="00F76A63" w:rsidRDefault="00000000">
                  <w:pPr>
                    <w:autoSpaceDE w:val="0"/>
                    <w:autoSpaceDN w:val="0"/>
                    <w:snapToGrid w:val="0"/>
                    <w:jc w:val="center"/>
                  </w:pPr>
                  <w:r>
                    <w:t>现有水泥窑旁路放风排气筒大气污染物排放限值按照按</w:t>
                  </w:r>
                  <w:r>
                    <w:t>7.1</w:t>
                  </w:r>
                  <w:r>
                    <w:t>和</w:t>
                  </w:r>
                  <w:r>
                    <w:t>7.2</w:t>
                  </w:r>
                  <w:r>
                    <w:t>条执行</w:t>
                  </w:r>
                </w:p>
              </w:tc>
              <w:tc>
                <w:tcPr>
                  <w:tcW w:w="259" w:type="pct"/>
                  <w:tcBorders>
                    <w:top w:val="single" w:sz="6" w:space="0" w:color="auto"/>
                    <w:left w:val="single" w:sz="6" w:space="0" w:color="auto"/>
                    <w:bottom w:val="single" w:sz="6" w:space="0" w:color="auto"/>
                    <w:right w:val="nil"/>
                  </w:tcBorders>
                  <w:vAlign w:val="center"/>
                </w:tcPr>
                <w:p w14:paraId="61372FE0" w14:textId="77777777" w:rsidR="00F76A63" w:rsidRDefault="00000000">
                  <w:pPr>
                    <w:autoSpaceDE w:val="0"/>
                    <w:autoSpaceDN w:val="0"/>
                    <w:snapToGrid w:val="0"/>
                    <w:jc w:val="center"/>
                  </w:pPr>
                  <w:r>
                    <w:t>相符</w:t>
                  </w:r>
                </w:p>
              </w:tc>
            </w:tr>
            <w:tr w:rsidR="00F76A63" w14:paraId="3D132872"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0508510F"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2B1A501E" w14:textId="77777777" w:rsidR="00F76A63" w:rsidRDefault="00000000">
                  <w:pPr>
                    <w:autoSpaceDE w:val="0"/>
                    <w:autoSpaceDN w:val="0"/>
                    <w:snapToGrid w:val="0"/>
                    <w:jc w:val="center"/>
                  </w:pPr>
                  <w:r>
                    <w:t>7.8</w:t>
                  </w:r>
                  <w:r>
                    <w:t>协同处置固体废物的水泥生产企业，除水泥窑及窑尾余热利用系统、旁路放风、固体废物贮存及预处理等设施排气筒外的其他原料、产品的加工、贮存、生产设施的排气筒大气污染物排放和无组织排放限值及周边环境质量监控按照</w:t>
                  </w:r>
                  <w:r>
                    <w:t>GB4915</w:t>
                  </w:r>
                  <w:r>
                    <w:t>执行。</w:t>
                  </w:r>
                </w:p>
              </w:tc>
              <w:tc>
                <w:tcPr>
                  <w:tcW w:w="1856" w:type="pct"/>
                  <w:tcBorders>
                    <w:top w:val="single" w:sz="6" w:space="0" w:color="auto"/>
                    <w:left w:val="single" w:sz="6" w:space="0" w:color="auto"/>
                    <w:bottom w:val="single" w:sz="6" w:space="0" w:color="auto"/>
                    <w:right w:val="single" w:sz="6" w:space="0" w:color="auto"/>
                  </w:tcBorders>
                  <w:vAlign w:val="center"/>
                </w:tcPr>
                <w:p w14:paraId="2B80540F" w14:textId="77777777" w:rsidR="00F76A63" w:rsidRDefault="00000000">
                  <w:pPr>
                    <w:autoSpaceDE w:val="0"/>
                    <w:autoSpaceDN w:val="0"/>
                    <w:snapToGrid w:val="0"/>
                    <w:jc w:val="center"/>
                  </w:pPr>
                  <w:r>
                    <w:t>江苏已颁布水泥行业地方标准《水泥工业大气污染物排放标准》（</w:t>
                  </w:r>
                  <w:r>
                    <w:t>DB32/4149-2021</w:t>
                  </w:r>
                  <w:r>
                    <w:t>），在执行标准的优先级上优先于《水泥工业大气污染物排放标准》（</w:t>
                  </w:r>
                  <w:r>
                    <w:t>GB 4915-2013</w:t>
                  </w:r>
                  <w:r>
                    <w:t>）。本项目烧成处置依托的项目已通过验收，其他原料、产品的加工、贮存、生产设施的排气筒大气污染物排放限值满足《水泥工业大气污染物排放标准》</w:t>
                  </w:r>
                  <w:r>
                    <w:t>DB32/4149-2021</w:t>
                  </w:r>
                  <w:r>
                    <w:t>。</w:t>
                  </w:r>
                </w:p>
              </w:tc>
              <w:tc>
                <w:tcPr>
                  <w:tcW w:w="259" w:type="pct"/>
                  <w:tcBorders>
                    <w:top w:val="single" w:sz="6" w:space="0" w:color="auto"/>
                    <w:left w:val="single" w:sz="6" w:space="0" w:color="auto"/>
                    <w:bottom w:val="single" w:sz="6" w:space="0" w:color="auto"/>
                    <w:right w:val="nil"/>
                  </w:tcBorders>
                  <w:vAlign w:val="center"/>
                </w:tcPr>
                <w:p w14:paraId="75259006" w14:textId="77777777" w:rsidR="00F76A63" w:rsidRDefault="00000000">
                  <w:pPr>
                    <w:autoSpaceDE w:val="0"/>
                    <w:autoSpaceDN w:val="0"/>
                    <w:snapToGrid w:val="0"/>
                    <w:jc w:val="center"/>
                  </w:pPr>
                  <w:r>
                    <w:t>相符</w:t>
                  </w:r>
                </w:p>
              </w:tc>
            </w:tr>
            <w:tr w:rsidR="00F76A63" w14:paraId="490580A7"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23037768"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57088A06" w14:textId="77777777" w:rsidR="00F76A63" w:rsidRDefault="00000000">
                  <w:pPr>
                    <w:autoSpaceDE w:val="0"/>
                    <w:autoSpaceDN w:val="0"/>
                    <w:snapToGrid w:val="0"/>
                    <w:jc w:val="center"/>
                  </w:pPr>
                  <w:r>
                    <w:t>7.9</w:t>
                  </w:r>
                  <w:r>
                    <w:t>从水泥窑循环系统排出的窑灰和旁路放风收集的粉尘如直接掺加入水泥熟料，应严格控制其掺加比例，确保满足本标准第</w:t>
                  </w:r>
                  <w:r>
                    <w:t>8</w:t>
                  </w:r>
                  <w:r>
                    <w:t>章要求。如果窑灰和旁路放风粉尘需要送至厂外进行处理处置，应按危险废物进行管理。</w:t>
                  </w:r>
                </w:p>
              </w:tc>
              <w:tc>
                <w:tcPr>
                  <w:tcW w:w="1856" w:type="pct"/>
                  <w:tcBorders>
                    <w:top w:val="single" w:sz="6" w:space="0" w:color="auto"/>
                    <w:left w:val="single" w:sz="6" w:space="0" w:color="auto"/>
                    <w:bottom w:val="single" w:sz="6" w:space="0" w:color="auto"/>
                    <w:right w:val="single" w:sz="6" w:space="0" w:color="auto"/>
                  </w:tcBorders>
                  <w:vAlign w:val="center"/>
                </w:tcPr>
                <w:p w14:paraId="7DA3FFB0" w14:textId="77777777" w:rsidR="00F76A63" w:rsidRDefault="00000000">
                  <w:pPr>
                    <w:autoSpaceDE w:val="0"/>
                    <w:autoSpaceDN w:val="0"/>
                    <w:snapToGrid w:val="0"/>
                    <w:jc w:val="center"/>
                  </w:pPr>
                  <w:r>
                    <w:t>现有窑尾布袋除尘器产生的除尘灰返回原料磨；本次旁路放风灰采取旋风分离</w:t>
                  </w:r>
                  <w:r>
                    <w:t>+</w:t>
                  </w:r>
                  <w:r>
                    <w:t>布袋除尘收集的除尘灰经脱盐处理后入窑焚烧，企业旁路灰脱盐后固废满足入窑相关要求。</w:t>
                  </w:r>
                </w:p>
              </w:tc>
              <w:tc>
                <w:tcPr>
                  <w:tcW w:w="259" w:type="pct"/>
                  <w:tcBorders>
                    <w:top w:val="single" w:sz="6" w:space="0" w:color="auto"/>
                    <w:left w:val="single" w:sz="6" w:space="0" w:color="auto"/>
                    <w:bottom w:val="single" w:sz="6" w:space="0" w:color="auto"/>
                    <w:right w:val="nil"/>
                  </w:tcBorders>
                  <w:vAlign w:val="center"/>
                </w:tcPr>
                <w:p w14:paraId="1794F847" w14:textId="77777777" w:rsidR="00F76A63" w:rsidRDefault="00000000">
                  <w:pPr>
                    <w:autoSpaceDE w:val="0"/>
                    <w:autoSpaceDN w:val="0"/>
                    <w:snapToGrid w:val="0"/>
                    <w:jc w:val="center"/>
                  </w:pPr>
                  <w:r>
                    <w:t>相符</w:t>
                  </w:r>
                </w:p>
              </w:tc>
            </w:tr>
            <w:tr w:rsidR="00F76A63" w14:paraId="25F69004" w14:textId="77777777">
              <w:trPr>
                <w:trHeight w:val="20"/>
                <w:jc w:val="center"/>
              </w:trPr>
              <w:tc>
                <w:tcPr>
                  <w:tcW w:w="232" w:type="pct"/>
                  <w:vMerge w:val="restart"/>
                  <w:tcBorders>
                    <w:top w:val="single" w:sz="6" w:space="0" w:color="auto"/>
                    <w:left w:val="nil"/>
                    <w:bottom w:val="single" w:sz="6" w:space="0" w:color="auto"/>
                    <w:right w:val="single" w:sz="6" w:space="0" w:color="auto"/>
                  </w:tcBorders>
                  <w:vAlign w:val="center"/>
                </w:tcPr>
                <w:p w14:paraId="73255DBB" w14:textId="77777777" w:rsidR="00F76A63" w:rsidRDefault="00000000">
                  <w:pPr>
                    <w:autoSpaceDE w:val="0"/>
                    <w:autoSpaceDN w:val="0"/>
                    <w:snapToGrid w:val="0"/>
                    <w:jc w:val="center"/>
                  </w:pPr>
                  <w:r>
                    <w:t>8.</w:t>
                  </w:r>
                  <w:r>
                    <w:t>水泥产品污染物</w:t>
                  </w:r>
                </w:p>
              </w:tc>
              <w:tc>
                <w:tcPr>
                  <w:tcW w:w="2653" w:type="pct"/>
                  <w:tcBorders>
                    <w:top w:val="single" w:sz="6" w:space="0" w:color="auto"/>
                    <w:left w:val="single" w:sz="6" w:space="0" w:color="auto"/>
                    <w:bottom w:val="single" w:sz="6" w:space="0" w:color="auto"/>
                    <w:right w:val="single" w:sz="6" w:space="0" w:color="auto"/>
                  </w:tcBorders>
                  <w:vAlign w:val="center"/>
                </w:tcPr>
                <w:p w14:paraId="7B89D1AE" w14:textId="77777777" w:rsidR="00F76A63" w:rsidRDefault="00000000">
                  <w:pPr>
                    <w:autoSpaceDE w:val="0"/>
                    <w:autoSpaceDN w:val="0"/>
                    <w:snapToGrid w:val="0"/>
                    <w:jc w:val="center"/>
                  </w:pPr>
                  <w:r>
                    <w:t>8.1</w:t>
                  </w:r>
                  <w:r>
                    <w:t>协同处置固体废物的水泥窑生产的水泥产品，其质量应符合国家相关标准。</w:t>
                  </w:r>
                </w:p>
              </w:tc>
              <w:tc>
                <w:tcPr>
                  <w:tcW w:w="1856" w:type="pct"/>
                  <w:tcBorders>
                    <w:top w:val="single" w:sz="6" w:space="0" w:color="auto"/>
                    <w:left w:val="single" w:sz="6" w:space="0" w:color="auto"/>
                    <w:bottom w:val="single" w:sz="6" w:space="0" w:color="auto"/>
                    <w:right w:val="single" w:sz="6" w:space="0" w:color="auto"/>
                  </w:tcBorders>
                  <w:vAlign w:val="center"/>
                </w:tcPr>
                <w:p w14:paraId="713DFF10" w14:textId="77777777" w:rsidR="00F76A63" w:rsidRDefault="00000000">
                  <w:pPr>
                    <w:autoSpaceDE w:val="0"/>
                    <w:autoSpaceDN w:val="0"/>
                    <w:snapToGrid w:val="0"/>
                    <w:jc w:val="center"/>
                  </w:pPr>
                  <w:r>
                    <w:t>本项目建设后，产品质量符合国家相关标准。</w:t>
                  </w:r>
                </w:p>
              </w:tc>
              <w:tc>
                <w:tcPr>
                  <w:tcW w:w="259" w:type="pct"/>
                  <w:tcBorders>
                    <w:top w:val="single" w:sz="6" w:space="0" w:color="auto"/>
                    <w:left w:val="single" w:sz="6" w:space="0" w:color="auto"/>
                    <w:bottom w:val="single" w:sz="6" w:space="0" w:color="auto"/>
                    <w:right w:val="nil"/>
                  </w:tcBorders>
                  <w:vAlign w:val="center"/>
                </w:tcPr>
                <w:p w14:paraId="726EF694" w14:textId="77777777" w:rsidR="00F76A63" w:rsidRDefault="00000000">
                  <w:pPr>
                    <w:autoSpaceDE w:val="0"/>
                    <w:autoSpaceDN w:val="0"/>
                    <w:snapToGrid w:val="0"/>
                    <w:jc w:val="center"/>
                  </w:pPr>
                  <w:r>
                    <w:t>相符</w:t>
                  </w:r>
                </w:p>
              </w:tc>
            </w:tr>
            <w:tr w:rsidR="00F76A63" w14:paraId="78289DE9"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7EFFB3DA"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32A3C08F" w14:textId="77777777" w:rsidR="00F76A63" w:rsidRDefault="00000000">
                  <w:pPr>
                    <w:autoSpaceDE w:val="0"/>
                    <w:autoSpaceDN w:val="0"/>
                    <w:snapToGrid w:val="0"/>
                    <w:jc w:val="center"/>
                  </w:pPr>
                  <w:r>
                    <w:t>8.2</w:t>
                  </w:r>
                  <w:r>
                    <w:t>协同处置固体废物的水泥窑生产的水泥产品中污染物的浸出，应满足相关的国家标准要求。</w:t>
                  </w:r>
                </w:p>
              </w:tc>
              <w:tc>
                <w:tcPr>
                  <w:tcW w:w="1856" w:type="pct"/>
                  <w:tcBorders>
                    <w:top w:val="single" w:sz="6" w:space="0" w:color="auto"/>
                    <w:left w:val="single" w:sz="6" w:space="0" w:color="auto"/>
                    <w:bottom w:val="single" w:sz="6" w:space="0" w:color="auto"/>
                    <w:right w:val="single" w:sz="6" w:space="0" w:color="auto"/>
                  </w:tcBorders>
                  <w:vAlign w:val="center"/>
                </w:tcPr>
                <w:p w14:paraId="4F1F0C49" w14:textId="77777777" w:rsidR="00F76A63" w:rsidRDefault="00000000">
                  <w:pPr>
                    <w:autoSpaceDE w:val="0"/>
                    <w:autoSpaceDN w:val="0"/>
                    <w:snapToGrid w:val="0"/>
                    <w:jc w:val="center"/>
                  </w:pPr>
                  <w:r>
                    <w:t>水泥窑生产的水泥产品重金属含量满足</w:t>
                  </w:r>
                  <w:r>
                    <w:t>GB50295-2008</w:t>
                  </w:r>
                  <w:r>
                    <w:t>相关要求，其浸出浓度同样满足国家相关标准。</w:t>
                  </w:r>
                </w:p>
              </w:tc>
              <w:tc>
                <w:tcPr>
                  <w:tcW w:w="259" w:type="pct"/>
                  <w:tcBorders>
                    <w:top w:val="single" w:sz="6" w:space="0" w:color="auto"/>
                    <w:left w:val="single" w:sz="6" w:space="0" w:color="auto"/>
                    <w:bottom w:val="single" w:sz="6" w:space="0" w:color="auto"/>
                    <w:right w:val="nil"/>
                  </w:tcBorders>
                  <w:vAlign w:val="center"/>
                </w:tcPr>
                <w:p w14:paraId="75271A4B" w14:textId="77777777" w:rsidR="00F76A63" w:rsidRDefault="00000000">
                  <w:pPr>
                    <w:autoSpaceDE w:val="0"/>
                    <w:autoSpaceDN w:val="0"/>
                    <w:snapToGrid w:val="0"/>
                    <w:jc w:val="center"/>
                  </w:pPr>
                  <w:r>
                    <w:t>相符</w:t>
                  </w:r>
                </w:p>
              </w:tc>
            </w:tr>
            <w:tr w:rsidR="00F76A63" w14:paraId="4B7CD5EF"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493EFEC9" w14:textId="77777777" w:rsidR="00F76A63" w:rsidRDefault="00F76A63">
                  <w:pPr>
                    <w:jc w:val="center"/>
                    <w:rPr>
                      <w:szCs w:val="21"/>
                    </w:rPr>
                  </w:pPr>
                </w:p>
              </w:tc>
              <w:tc>
                <w:tcPr>
                  <w:tcW w:w="2653" w:type="pct"/>
                  <w:tcBorders>
                    <w:top w:val="single" w:sz="6" w:space="0" w:color="auto"/>
                    <w:left w:val="single" w:sz="6" w:space="0" w:color="auto"/>
                    <w:bottom w:val="single" w:sz="6" w:space="0" w:color="auto"/>
                    <w:right w:val="single" w:sz="6" w:space="0" w:color="auto"/>
                  </w:tcBorders>
                  <w:vAlign w:val="center"/>
                </w:tcPr>
                <w:p w14:paraId="10C14AB3" w14:textId="77777777" w:rsidR="00F76A63" w:rsidRDefault="00000000">
                  <w:pPr>
                    <w:autoSpaceDE w:val="0"/>
                    <w:autoSpaceDN w:val="0"/>
                    <w:snapToGrid w:val="0"/>
                    <w:jc w:val="center"/>
                  </w:pPr>
                  <w:r>
                    <w:t>8.3</w:t>
                  </w:r>
                  <w:r>
                    <w:t>利用粉煤灰、钢渣、硫酸渣、高炉矿渣、煤矸石等一般工业固体废物作为替代原料（包括混合材料）、燃料生产的水泥产品参照本标准中第</w:t>
                  </w:r>
                  <w:r>
                    <w:t>8.2</w:t>
                  </w:r>
                  <w:r>
                    <w:t>条的规定执行。</w:t>
                  </w:r>
                </w:p>
              </w:tc>
              <w:tc>
                <w:tcPr>
                  <w:tcW w:w="1856" w:type="pct"/>
                  <w:tcBorders>
                    <w:top w:val="single" w:sz="6" w:space="0" w:color="auto"/>
                    <w:left w:val="single" w:sz="6" w:space="0" w:color="auto"/>
                    <w:bottom w:val="single" w:sz="6" w:space="0" w:color="auto"/>
                    <w:right w:val="single" w:sz="6" w:space="0" w:color="auto"/>
                  </w:tcBorders>
                  <w:vAlign w:val="center"/>
                </w:tcPr>
                <w:p w14:paraId="625B7B29" w14:textId="77777777" w:rsidR="00F76A63" w:rsidRDefault="00000000">
                  <w:pPr>
                    <w:autoSpaceDE w:val="0"/>
                    <w:autoSpaceDN w:val="0"/>
                    <w:snapToGrid w:val="0"/>
                    <w:jc w:val="center"/>
                  </w:pPr>
                  <w:r>
                    <w:t>本项目将污染土及污泥作为替代原料，水泥产品参照标准中第</w:t>
                  </w:r>
                  <w:r>
                    <w:t>8.2</w:t>
                  </w:r>
                  <w:r>
                    <w:t>条的规定执行。</w:t>
                  </w:r>
                </w:p>
              </w:tc>
              <w:tc>
                <w:tcPr>
                  <w:tcW w:w="259" w:type="pct"/>
                  <w:tcBorders>
                    <w:top w:val="single" w:sz="6" w:space="0" w:color="auto"/>
                    <w:left w:val="single" w:sz="6" w:space="0" w:color="auto"/>
                    <w:bottom w:val="single" w:sz="6" w:space="0" w:color="auto"/>
                    <w:right w:val="nil"/>
                  </w:tcBorders>
                  <w:vAlign w:val="center"/>
                </w:tcPr>
                <w:p w14:paraId="6A90AE55" w14:textId="77777777" w:rsidR="00F76A63" w:rsidRDefault="00000000">
                  <w:pPr>
                    <w:autoSpaceDE w:val="0"/>
                    <w:autoSpaceDN w:val="0"/>
                    <w:snapToGrid w:val="0"/>
                    <w:jc w:val="center"/>
                  </w:pPr>
                  <w:r>
                    <w:t>相符</w:t>
                  </w:r>
                </w:p>
              </w:tc>
            </w:tr>
            <w:tr w:rsidR="00F76A63" w14:paraId="1C3EFA90" w14:textId="77777777">
              <w:trPr>
                <w:trHeight w:val="20"/>
                <w:jc w:val="center"/>
              </w:trPr>
              <w:tc>
                <w:tcPr>
                  <w:tcW w:w="232" w:type="pct"/>
                  <w:vMerge w:val="restart"/>
                  <w:tcBorders>
                    <w:top w:val="single" w:sz="6" w:space="0" w:color="auto"/>
                    <w:left w:val="nil"/>
                    <w:bottom w:val="single" w:sz="6" w:space="0" w:color="auto"/>
                    <w:right w:val="single" w:sz="6" w:space="0" w:color="auto"/>
                  </w:tcBorders>
                  <w:vAlign w:val="center"/>
                </w:tcPr>
                <w:p w14:paraId="0F28109D" w14:textId="77777777" w:rsidR="00F76A63" w:rsidRDefault="00000000">
                  <w:pPr>
                    <w:autoSpaceDE w:val="0"/>
                    <w:autoSpaceDN w:val="0"/>
                    <w:snapToGrid w:val="0"/>
                    <w:jc w:val="center"/>
                  </w:pPr>
                  <w:r>
                    <w:t>9.</w:t>
                  </w:r>
                  <w:r>
                    <w:t>监测要求</w:t>
                  </w:r>
                </w:p>
              </w:tc>
              <w:tc>
                <w:tcPr>
                  <w:tcW w:w="2653" w:type="pct"/>
                  <w:tcBorders>
                    <w:top w:val="single" w:sz="6" w:space="0" w:color="auto"/>
                    <w:left w:val="single" w:sz="6" w:space="0" w:color="auto"/>
                    <w:bottom w:val="single" w:sz="6" w:space="0" w:color="auto"/>
                    <w:right w:val="single" w:sz="6" w:space="0" w:color="auto"/>
                  </w:tcBorders>
                  <w:vAlign w:val="center"/>
                </w:tcPr>
                <w:p w14:paraId="0F1201E6" w14:textId="77777777" w:rsidR="00F76A63" w:rsidRDefault="00000000">
                  <w:pPr>
                    <w:autoSpaceDE w:val="0"/>
                    <w:autoSpaceDN w:val="0"/>
                    <w:snapToGrid w:val="0"/>
                    <w:jc w:val="center"/>
                  </w:pPr>
                  <w:r>
                    <w:t>9.1</w:t>
                  </w:r>
                  <w:r>
                    <w:t>尾气监测</w:t>
                  </w:r>
                </w:p>
                <w:p w14:paraId="40DF8422" w14:textId="77777777" w:rsidR="00F76A63" w:rsidRDefault="00000000">
                  <w:pPr>
                    <w:autoSpaceDE w:val="0"/>
                    <w:autoSpaceDN w:val="0"/>
                    <w:snapToGrid w:val="0"/>
                    <w:jc w:val="center"/>
                  </w:pPr>
                  <w:r>
                    <w:t>9.1.1</w:t>
                  </w:r>
                  <w:r>
                    <w:t>企业应按照有关法律和《环境监测管理办法》等规定，建立企业监测制度，制定监测方案，对污染物排放状况及其对周边环境质量的影响开展自行监测，保存原始监测记录，并公布监测结果。</w:t>
                  </w:r>
                </w:p>
                <w:p w14:paraId="59DCF34D" w14:textId="77777777" w:rsidR="00F76A63" w:rsidRDefault="00000000">
                  <w:pPr>
                    <w:autoSpaceDE w:val="0"/>
                    <w:autoSpaceDN w:val="0"/>
                    <w:snapToGrid w:val="0"/>
                    <w:jc w:val="center"/>
                  </w:pPr>
                  <w:r>
                    <w:t>9.1.2</w:t>
                  </w:r>
                  <w:r>
                    <w:t>新建企业和现有企业安装污染物排放自动监控设备的要求，按有关法律和《污染源自动监控管理办法》的规定执行。</w:t>
                  </w:r>
                </w:p>
                <w:p w14:paraId="0C6EC0D8" w14:textId="77777777" w:rsidR="00F76A63" w:rsidRDefault="00000000">
                  <w:pPr>
                    <w:autoSpaceDE w:val="0"/>
                    <w:autoSpaceDN w:val="0"/>
                    <w:snapToGrid w:val="0"/>
                    <w:jc w:val="center"/>
                  </w:pPr>
                  <w:r>
                    <w:t>9.1.3</w:t>
                  </w:r>
                  <w:r>
                    <w:t>企业应按照环境监测管理规定和技术规范的要求，设计、建设、维护永久性采样口、采样测试平台和排污口标志。</w:t>
                  </w:r>
                </w:p>
                <w:p w14:paraId="0FE8D937" w14:textId="77777777" w:rsidR="00F76A63" w:rsidRDefault="00000000">
                  <w:pPr>
                    <w:autoSpaceDE w:val="0"/>
                    <w:autoSpaceDN w:val="0"/>
                    <w:snapToGrid w:val="0"/>
                    <w:jc w:val="center"/>
                  </w:pPr>
                  <w:r>
                    <w:t>9.1.4</w:t>
                  </w:r>
                  <w:r>
                    <w:t>对企业排放废气的采样，应根据监测污染物的种类，在规定的污染</w:t>
                  </w:r>
                  <w:r>
                    <w:lastRenderedPageBreak/>
                    <w:t>物排放监控位置进行。有废气处理设施的，应在该设施后监测。排气筒中大气污染物的监测采样按</w:t>
                  </w:r>
                  <w:r>
                    <w:t>GB/T16157</w:t>
                  </w:r>
                  <w:r>
                    <w:t>、</w:t>
                  </w:r>
                  <w:r>
                    <w:t>HJ/T397</w:t>
                  </w:r>
                  <w:r>
                    <w:t>或</w:t>
                  </w:r>
                  <w:r>
                    <w:t>HJ/T75</w:t>
                  </w:r>
                  <w:r>
                    <w:t>规定执行；大气污染物无组织排放的监测按</w:t>
                  </w:r>
                  <w:r>
                    <w:t>HJ/T55</w:t>
                  </w:r>
                  <w:r>
                    <w:t>规定执行。</w:t>
                  </w:r>
                </w:p>
                <w:p w14:paraId="72E1D60A" w14:textId="77777777" w:rsidR="00F76A63" w:rsidRDefault="00000000">
                  <w:pPr>
                    <w:autoSpaceDE w:val="0"/>
                    <w:autoSpaceDN w:val="0"/>
                    <w:snapToGrid w:val="0"/>
                    <w:jc w:val="center"/>
                  </w:pPr>
                  <w:r>
                    <w:t>9.1.5</w:t>
                  </w:r>
                  <w:r>
                    <w:t>企业对烟气中重金属（汞、铊、镉、铅、砷、铍、铬、锡、锑、铜、钴、锰、镍、钒及其化合物）以及总有机碳、氯化氢、氟化氢的监测，在水泥窑协同处置危险废物时，应当每季度至少开展</w:t>
                  </w:r>
                  <w:r>
                    <w:t>1</w:t>
                  </w:r>
                  <w:r>
                    <w:t>次；在水泥窑协同处置非危险废物时，应当每半年至少开展</w:t>
                  </w:r>
                  <w:r>
                    <w:t>1</w:t>
                  </w:r>
                  <w:r>
                    <w:t>次。对烟气中二噁英类的监测应当每年至少开展</w:t>
                  </w:r>
                  <w:r>
                    <w:t>1</w:t>
                  </w:r>
                  <w:r>
                    <w:t>次，其采样要求按</w:t>
                  </w:r>
                  <w:r>
                    <w:t>HJ77.2</w:t>
                  </w:r>
                  <w:r>
                    <w:t>的有关规定执行，其浓度为连续</w:t>
                  </w:r>
                  <w:r>
                    <w:t>3</w:t>
                  </w:r>
                  <w:r>
                    <w:t>次测定值的算术平均值。对其他大气污染物排放情况监测的频次、采样时间等要求，按有关环境监测管理规定和技术规范的要求执行。</w:t>
                  </w:r>
                </w:p>
                <w:p w14:paraId="5CDD2D46" w14:textId="77777777" w:rsidR="00F76A63" w:rsidRDefault="00000000">
                  <w:pPr>
                    <w:autoSpaceDE w:val="0"/>
                    <w:autoSpaceDN w:val="0"/>
                    <w:snapToGrid w:val="0"/>
                    <w:jc w:val="center"/>
                  </w:pPr>
                  <w:r>
                    <w:t>9.1.6</w:t>
                  </w:r>
                  <w:r>
                    <w:t>对大气污染物排放浓度的测定采用表</w:t>
                  </w:r>
                  <w:r>
                    <w:t>2</w:t>
                  </w:r>
                  <w:r>
                    <w:t>所列的方法标准。</w:t>
                  </w:r>
                </w:p>
              </w:tc>
              <w:tc>
                <w:tcPr>
                  <w:tcW w:w="1856" w:type="pct"/>
                  <w:tcBorders>
                    <w:top w:val="single" w:sz="6" w:space="0" w:color="auto"/>
                    <w:left w:val="single" w:sz="6" w:space="0" w:color="auto"/>
                    <w:bottom w:val="single" w:sz="6" w:space="0" w:color="auto"/>
                    <w:right w:val="single" w:sz="6" w:space="0" w:color="auto"/>
                  </w:tcBorders>
                  <w:vAlign w:val="center"/>
                </w:tcPr>
                <w:p w14:paraId="2C1EC925" w14:textId="77777777" w:rsidR="00F76A63" w:rsidRDefault="00000000">
                  <w:pPr>
                    <w:autoSpaceDE w:val="0"/>
                    <w:autoSpaceDN w:val="0"/>
                    <w:snapToGrid w:val="0"/>
                    <w:jc w:val="center"/>
                  </w:pPr>
                  <w:r>
                    <w:lastRenderedPageBreak/>
                    <w:t>建设单位按照相关规定建立企业监测制度，制定监测方案，对污染物排放状况及其对周边环境质量的影响开展自行监测，保存原始监测记录，并公布监测结果。</w:t>
                  </w:r>
                </w:p>
                <w:p w14:paraId="34176DCE" w14:textId="77777777" w:rsidR="00F76A63" w:rsidRDefault="00000000">
                  <w:pPr>
                    <w:autoSpaceDE w:val="0"/>
                    <w:autoSpaceDN w:val="0"/>
                    <w:snapToGrid w:val="0"/>
                    <w:jc w:val="center"/>
                  </w:pPr>
                  <w:r>
                    <w:t>本项目安装污染物排放自动监控设备的要求，按有关法律和《污染源自动监控管理办法》的规定执行。</w:t>
                  </w:r>
                </w:p>
                <w:p w14:paraId="01DC37C1" w14:textId="77777777" w:rsidR="00F76A63" w:rsidRDefault="00000000">
                  <w:pPr>
                    <w:autoSpaceDE w:val="0"/>
                    <w:autoSpaceDN w:val="0"/>
                    <w:snapToGrid w:val="0"/>
                    <w:jc w:val="center"/>
                  </w:pPr>
                  <w:r>
                    <w:t>建设单位按照环境监测管理规定和技术规范的要求，设计、建设、维护永久性采样口、采样测试</w:t>
                  </w:r>
                  <w:r>
                    <w:lastRenderedPageBreak/>
                    <w:t>平台和排污口标志。</w:t>
                  </w:r>
                </w:p>
                <w:p w14:paraId="78539843" w14:textId="77777777" w:rsidR="00F76A63" w:rsidRDefault="00000000">
                  <w:pPr>
                    <w:autoSpaceDE w:val="0"/>
                    <w:autoSpaceDN w:val="0"/>
                    <w:snapToGrid w:val="0"/>
                    <w:jc w:val="center"/>
                  </w:pPr>
                  <w:r>
                    <w:t>根据监测污染物的种类对企业排放废气的采样，在规定的污染物排放监控位置进行。水泥窑排气筒及窑尾余热利用系统目前已按照</w:t>
                  </w:r>
                  <w:r>
                    <w:t>GB/T16157</w:t>
                  </w:r>
                  <w:r>
                    <w:t>规定设置永久采样孔。</w:t>
                  </w:r>
                </w:p>
                <w:p w14:paraId="3A05488A" w14:textId="77777777" w:rsidR="00F76A63" w:rsidRDefault="00000000">
                  <w:pPr>
                    <w:autoSpaceDE w:val="0"/>
                    <w:autoSpaceDN w:val="0"/>
                    <w:snapToGrid w:val="0"/>
                    <w:jc w:val="center"/>
                  </w:pPr>
                  <w:r>
                    <w:t>烟气中重金属以及总有机碳、氯化氢、氟化氢的监测，本项目实施后，每半年至少开展</w:t>
                  </w:r>
                  <w:r>
                    <w:t>1</w:t>
                  </w:r>
                  <w:r>
                    <w:t>次。对烟气中二噁英类的监测应当每年至少开展</w:t>
                  </w:r>
                  <w:r>
                    <w:t>1</w:t>
                  </w:r>
                  <w:r>
                    <w:t>次，对其他大气污染物排放情况监测的频次、采样时间等要求，按有关环境监测管理规定和技术规范的要求执行。</w:t>
                  </w:r>
                </w:p>
              </w:tc>
              <w:tc>
                <w:tcPr>
                  <w:tcW w:w="259" w:type="pct"/>
                  <w:tcBorders>
                    <w:top w:val="single" w:sz="6" w:space="0" w:color="auto"/>
                    <w:left w:val="single" w:sz="6" w:space="0" w:color="auto"/>
                    <w:bottom w:val="single" w:sz="6" w:space="0" w:color="auto"/>
                    <w:right w:val="nil"/>
                  </w:tcBorders>
                  <w:vAlign w:val="center"/>
                </w:tcPr>
                <w:p w14:paraId="77BCACD2" w14:textId="77777777" w:rsidR="00F76A63" w:rsidRDefault="00000000">
                  <w:pPr>
                    <w:autoSpaceDE w:val="0"/>
                    <w:autoSpaceDN w:val="0"/>
                    <w:snapToGrid w:val="0"/>
                    <w:jc w:val="center"/>
                  </w:pPr>
                  <w:r>
                    <w:lastRenderedPageBreak/>
                    <w:t>相符</w:t>
                  </w:r>
                </w:p>
              </w:tc>
            </w:tr>
            <w:tr w:rsidR="00F76A63" w14:paraId="4582D483" w14:textId="77777777">
              <w:trPr>
                <w:trHeight w:val="20"/>
                <w:jc w:val="center"/>
              </w:trPr>
              <w:tc>
                <w:tcPr>
                  <w:tcW w:w="0" w:type="auto"/>
                  <w:vMerge/>
                  <w:tcBorders>
                    <w:top w:val="single" w:sz="6" w:space="0" w:color="auto"/>
                    <w:left w:val="nil"/>
                    <w:bottom w:val="single" w:sz="6" w:space="0" w:color="auto"/>
                    <w:right w:val="single" w:sz="6" w:space="0" w:color="auto"/>
                  </w:tcBorders>
                  <w:vAlign w:val="center"/>
                </w:tcPr>
                <w:p w14:paraId="371F2CF9" w14:textId="77777777" w:rsidR="00F76A63" w:rsidRDefault="00F76A63">
                  <w:pPr>
                    <w:jc w:val="center"/>
                    <w:rPr>
                      <w:szCs w:val="21"/>
                    </w:rPr>
                  </w:pPr>
                </w:p>
              </w:tc>
              <w:tc>
                <w:tcPr>
                  <w:tcW w:w="2653" w:type="pct"/>
                  <w:tcBorders>
                    <w:top w:val="single" w:sz="6" w:space="0" w:color="auto"/>
                    <w:left w:val="single" w:sz="6" w:space="0" w:color="auto"/>
                    <w:bottom w:val="single" w:sz="12" w:space="0" w:color="auto"/>
                    <w:right w:val="single" w:sz="6" w:space="0" w:color="auto"/>
                  </w:tcBorders>
                  <w:vAlign w:val="center"/>
                </w:tcPr>
                <w:p w14:paraId="420D0AF3" w14:textId="77777777" w:rsidR="00F76A63" w:rsidRDefault="00000000">
                  <w:pPr>
                    <w:autoSpaceDE w:val="0"/>
                    <w:autoSpaceDN w:val="0"/>
                    <w:snapToGrid w:val="0"/>
                    <w:jc w:val="center"/>
                  </w:pPr>
                  <w:r>
                    <w:t>9.2</w:t>
                  </w:r>
                  <w:r>
                    <w:t>水泥窑协同处置设施的性能测试</w:t>
                  </w:r>
                </w:p>
                <w:p w14:paraId="0969D27D" w14:textId="77777777" w:rsidR="00F76A63" w:rsidRDefault="00000000">
                  <w:pPr>
                    <w:autoSpaceDE w:val="0"/>
                    <w:autoSpaceDN w:val="0"/>
                    <w:snapToGrid w:val="0"/>
                    <w:jc w:val="center"/>
                  </w:pPr>
                  <w:r>
                    <w:t>9.2.1</w:t>
                  </w:r>
                  <w:r>
                    <w:t>水泥生产企业在首次开展危险废物协同处置之前，应按照</w:t>
                  </w:r>
                  <w:r>
                    <w:t>HJ662</w:t>
                  </w:r>
                  <w:r>
                    <w:t>中的要求对水泥窑协同处置设施进行性能测试。</w:t>
                  </w:r>
                </w:p>
                <w:p w14:paraId="3BBCC074" w14:textId="77777777" w:rsidR="00F76A63" w:rsidRDefault="00000000">
                  <w:pPr>
                    <w:autoSpaceDE w:val="0"/>
                    <w:autoSpaceDN w:val="0"/>
                    <w:snapToGrid w:val="0"/>
                    <w:jc w:val="center"/>
                  </w:pPr>
                  <w:r>
                    <w:t>9.2.2</w:t>
                  </w:r>
                  <w:r>
                    <w:t>应定期对开展协同处置危险废物的水泥窑设施进行性能测试，测试频率应不少于每五年一次。</w:t>
                  </w:r>
                </w:p>
              </w:tc>
              <w:tc>
                <w:tcPr>
                  <w:tcW w:w="1856" w:type="pct"/>
                  <w:tcBorders>
                    <w:top w:val="single" w:sz="6" w:space="0" w:color="auto"/>
                    <w:left w:val="single" w:sz="6" w:space="0" w:color="auto"/>
                    <w:bottom w:val="single" w:sz="12" w:space="0" w:color="auto"/>
                    <w:right w:val="single" w:sz="6" w:space="0" w:color="auto"/>
                  </w:tcBorders>
                  <w:vAlign w:val="center"/>
                </w:tcPr>
                <w:p w14:paraId="53300113" w14:textId="77777777" w:rsidR="00F76A63" w:rsidRDefault="00000000">
                  <w:pPr>
                    <w:autoSpaceDE w:val="0"/>
                    <w:autoSpaceDN w:val="0"/>
                    <w:snapToGrid w:val="0"/>
                    <w:jc w:val="center"/>
                  </w:pPr>
                  <w:r>
                    <w:t>本项目在生产前进行性能测试。并在运行过程中对水泥窑协同处置设施进行每</w:t>
                  </w:r>
                  <w:r>
                    <w:t>5</w:t>
                  </w:r>
                  <w:r>
                    <w:t>年进行</w:t>
                  </w:r>
                  <w:r>
                    <w:t>1</w:t>
                  </w:r>
                  <w:r>
                    <w:t>次性能测试。</w:t>
                  </w:r>
                </w:p>
              </w:tc>
              <w:tc>
                <w:tcPr>
                  <w:tcW w:w="259" w:type="pct"/>
                  <w:tcBorders>
                    <w:top w:val="single" w:sz="6" w:space="0" w:color="auto"/>
                    <w:left w:val="single" w:sz="6" w:space="0" w:color="auto"/>
                    <w:bottom w:val="single" w:sz="12" w:space="0" w:color="auto"/>
                    <w:right w:val="nil"/>
                  </w:tcBorders>
                  <w:vAlign w:val="center"/>
                </w:tcPr>
                <w:p w14:paraId="73A6150F" w14:textId="77777777" w:rsidR="00F76A63" w:rsidRDefault="00000000">
                  <w:pPr>
                    <w:autoSpaceDE w:val="0"/>
                    <w:autoSpaceDN w:val="0"/>
                    <w:snapToGrid w:val="0"/>
                    <w:jc w:val="center"/>
                  </w:pPr>
                  <w:r>
                    <w:t>相符</w:t>
                  </w:r>
                </w:p>
              </w:tc>
            </w:tr>
          </w:tbl>
          <w:p w14:paraId="471F8D5E" w14:textId="77777777" w:rsidR="00F76A63" w:rsidRDefault="00000000">
            <w:pPr>
              <w:widowControl/>
              <w:spacing w:line="500" w:lineRule="exact"/>
              <w:jc w:val="center"/>
              <w:rPr>
                <w:sz w:val="24"/>
                <w:szCs w:val="21"/>
              </w:rPr>
            </w:pPr>
            <w:r>
              <w:rPr>
                <w:b/>
                <w:bCs/>
                <w:sz w:val="24"/>
                <w:szCs w:val="21"/>
              </w:rPr>
              <w:t>表</w:t>
            </w:r>
            <w:r>
              <w:rPr>
                <w:b/>
                <w:bCs/>
                <w:sz w:val="24"/>
                <w:szCs w:val="21"/>
              </w:rPr>
              <w:t>1-</w:t>
            </w:r>
            <w:r>
              <w:rPr>
                <w:rFonts w:hint="eastAsia"/>
                <w:b/>
                <w:bCs/>
                <w:sz w:val="24"/>
                <w:szCs w:val="21"/>
              </w:rPr>
              <w:t>18</w:t>
            </w:r>
            <w:r>
              <w:rPr>
                <w:b/>
                <w:bCs/>
                <w:sz w:val="24"/>
                <w:szCs w:val="21"/>
              </w:rPr>
              <w:t xml:space="preserve">  </w:t>
            </w:r>
            <w:r>
              <w:rPr>
                <w:b/>
                <w:bCs/>
                <w:sz w:val="24"/>
                <w:szCs w:val="21"/>
              </w:rPr>
              <w:t>本项目与《水泥窑协同处置固体废物污染防治技术政策》（公告</w:t>
            </w:r>
            <w:r>
              <w:rPr>
                <w:b/>
                <w:bCs/>
                <w:sz w:val="24"/>
                <w:szCs w:val="21"/>
              </w:rPr>
              <w:t xml:space="preserve"> 2016</w:t>
            </w:r>
            <w:r>
              <w:rPr>
                <w:b/>
                <w:bCs/>
                <w:sz w:val="24"/>
                <w:szCs w:val="21"/>
              </w:rPr>
              <w:t>年</w:t>
            </w:r>
            <w:r>
              <w:rPr>
                <w:b/>
                <w:bCs/>
                <w:sz w:val="24"/>
                <w:szCs w:val="21"/>
              </w:rPr>
              <w:t xml:space="preserve"> </w:t>
            </w:r>
            <w:r>
              <w:rPr>
                <w:b/>
                <w:bCs/>
                <w:sz w:val="24"/>
                <w:szCs w:val="21"/>
              </w:rPr>
              <w:t>第</w:t>
            </w:r>
            <w:r>
              <w:rPr>
                <w:b/>
                <w:bCs/>
                <w:sz w:val="24"/>
                <w:szCs w:val="21"/>
              </w:rPr>
              <w:t>72</w:t>
            </w:r>
            <w:r>
              <w:rPr>
                <w:b/>
                <w:bCs/>
                <w:sz w:val="24"/>
                <w:szCs w:val="21"/>
              </w:rPr>
              <w:t>号）相符性分析</w:t>
            </w:r>
          </w:p>
          <w:tbl>
            <w:tblPr>
              <w:tblW w:w="5000" w:type="pct"/>
              <w:tblBorders>
                <w:top w:val="single" w:sz="12" w:space="0" w:color="auto"/>
                <w:bottom w:val="single" w:sz="12" w:space="0" w:color="auto"/>
                <w:insideH w:val="single" w:sz="2" w:space="0" w:color="auto"/>
                <w:insideV w:val="single" w:sz="2" w:space="0" w:color="auto"/>
              </w:tblBorders>
              <w:tblCellMar>
                <w:top w:w="57" w:type="dxa"/>
                <w:bottom w:w="57" w:type="dxa"/>
              </w:tblCellMar>
              <w:tblLook w:val="04A0" w:firstRow="1" w:lastRow="0" w:firstColumn="1" w:lastColumn="0" w:noHBand="0" w:noVBand="1"/>
            </w:tblPr>
            <w:tblGrid>
              <w:gridCol w:w="426"/>
              <w:gridCol w:w="5817"/>
              <w:gridCol w:w="5820"/>
              <w:gridCol w:w="690"/>
            </w:tblGrid>
            <w:tr w:rsidR="00F76A63" w14:paraId="22ED1423" w14:textId="77777777">
              <w:trPr>
                <w:trHeight w:val="20"/>
              </w:trPr>
              <w:tc>
                <w:tcPr>
                  <w:tcW w:w="2442" w:type="pct"/>
                  <w:gridSpan w:val="2"/>
                  <w:tcBorders>
                    <w:top w:val="single" w:sz="12" w:space="0" w:color="auto"/>
                    <w:left w:val="nil"/>
                    <w:bottom w:val="single" w:sz="2" w:space="0" w:color="auto"/>
                    <w:right w:val="single" w:sz="2" w:space="0" w:color="auto"/>
                  </w:tcBorders>
                  <w:vAlign w:val="center"/>
                </w:tcPr>
                <w:p w14:paraId="207F1895" w14:textId="77777777" w:rsidR="00F76A63" w:rsidRDefault="00000000">
                  <w:pPr>
                    <w:autoSpaceDE w:val="0"/>
                    <w:autoSpaceDN w:val="0"/>
                    <w:snapToGrid w:val="0"/>
                    <w:jc w:val="center"/>
                    <w:rPr>
                      <w:b/>
                      <w:szCs w:val="21"/>
                    </w:rPr>
                  </w:pPr>
                  <w:r>
                    <w:rPr>
                      <w:b/>
                    </w:rPr>
                    <w:t>相关要求</w:t>
                  </w:r>
                </w:p>
              </w:tc>
              <w:tc>
                <w:tcPr>
                  <w:tcW w:w="2284" w:type="pct"/>
                  <w:tcBorders>
                    <w:top w:val="single" w:sz="12" w:space="0" w:color="auto"/>
                    <w:left w:val="single" w:sz="2" w:space="0" w:color="auto"/>
                    <w:bottom w:val="single" w:sz="2" w:space="0" w:color="auto"/>
                    <w:right w:val="single" w:sz="2" w:space="0" w:color="auto"/>
                  </w:tcBorders>
                  <w:vAlign w:val="center"/>
                </w:tcPr>
                <w:p w14:paraId="46DEBFE7" w14:textId="77777777" w:rsidR="00F76A63" w:rsidRDefault="00000000">
                  <w:pPr>
                    <w:autoSpaceDE w:val="0"/>
                    <w:autoSpaceDN w:val="0"/>
                    <w:snapToGrid w:val="0"/>
                    <w:jc w:val="center"/>
                    <w:rPr>
                      <w:b/>
                    </w:rPr>
                  </w:pPr>
                  <w:r>
                    <w:rPr>
                      <w:b/>
                    </w:rPr>
                    <w:t>本项目落实情况</w:t>
                  </w:r>
                </w:p>
              </w:tc>
              <w:tc>
                <w:tcPr>
                  <w:tcW w:w="273" w:type="pct"/>
                  <w:tcBorders>
                    <w:top w:val="single" w:sz="12" w:space="0" w:color="auto"/>
                    <w:left w:val="single" w:sz="2" w:space="0" w:color="auto"/>
                    <w:bottom w:val="single" w:sz="2" w:space="0" w:color="auto"/>
                    <w:right w:val="nil"/>
                  </w:tcBorders>
                  <w:vAlign w:val="center"/>
                </w:tcPr>
                <w:p w14:paraId="6A74EE76" w14:textId="77777777" w:rsidR="00F76A63" w:rsidRDefault="00000000">
                  <w:pPr>
                    <w:autoSpaceDE w:val="0"/>
                    <w:autoSpaceDN w:val="0"/>
                    <w:snapToGrid w:val="0"/>
                    <w:jc w:val="center"/>
                    <w:rPr>
                      <w:b/>
                    </w:rPr>
                  </w:pPr>
                  <w:r>
                    <w:rPr>
                      <w:b/>
                    </w:rPr>
                    <w:t>相符性</w:t>
                  </w:r>
                </w:p>
              </w:tc>
            </w:tr>
            <w:tr w:rsidR="00F76A63" w14:paraId="225EB794" w14:textId="77777777">
              <w:trPr>
                <w:trHeight w:val="20"/>
              </w:trPr>
              <w:tc>
                <w:tcPr>
                  <w:tcW w:w="160" w:type="pct"/>
                  <w:vMerge w:val="restart"/>
                  <w:tcBorders>
                    <w:top w:val="single" w:sz="2" w:space="0" w:color="auto"/>
                    <w:left w:val="nil"/>
                    <w:bottom w:val="single" w:sz="2" w:space="0" w:color="auto"/>
                    <w:right w:val="single" w:sz="4" w:space="0" w:color="auto"/>
                  </w:tcBorders>
                  <w:vAlign w:val="center"/>
                </w:tcPr>
                <w:p w14:paraId="7C2A526F" w14:textId="77777777" w:rsidR="00F76A63" w:rsidRDefault="00000000">
                  <w:pPr>
                    <w:autoSpaceDE w:val="0"/>
                    <w:autoSpaceDN w:val="0"/>
                    <w:snapToGrid w:val="0"/>
                    <w:jc w:val="center"/>
                  </w:pPr>
                  <w:r>
                    <w:t>源头控制</w:t>
                  </w:r>
                </w:p>
              </w:tc>
              <w:tc>
                <w:tcPr>
                  <w:tcW w:w="2283" w:type="pct"/>
                  <w:tcBorders>
                    <w:top w:val="single" w:sz="2" w:space="0" w:color="auto"/>
                    <w:left w:val="nil"/>
                    <w:bottom w:val="single" w:sz="2" w:space="0" w:color="auto"/>
                    <w:right w:val="single" w:sz="2" w:space="0" w:color="auto"/>
                  </w:tcBorders>
                  <w:vAlign w:val="center"/>
                </w:tcPr>
                <w:p w14:paraId="7EA976B7" w14:textId="77777777" w:rsidR="00F76A63" w:rsidRDefault="00000000">
                  <w:pPr>
                    <w:autoSpaceDE w:val="0"/>
                    <w:autoSpaceDN w:val="0"/>
                    <w:snapToGrid w:val="0"/>
                    <w:jc w:val="center"/>
                  </w:pPr>
                  <w:r>
                    <w:t>（一）协同处置固体废物应利用现有新型干法水泥窑，并采用窑磨一体化运行方式。处置固体废物应采用单线设计熟料生产规模</w:t>
                  </w:r>
                  <w:r>
                    <w:t>2000</w:t>
                  </w:r>
                  <w:r>
                    <w:t>吨</w:t>
                  </w:r>
                  <w:r>
                    <w:t>/</w:t>
                  </w:r>
                  <w:r>
                    <w:t>日及以上的水泥窑。本技术政策发布之后新建、改建或扩建处置危险废物的水泥企业，应选择单线设计熟料生产规模</w:t>
                  </w:r>
                  <w:r>
                    <w:t>4000</w:t>
                  </w:r>
                  <w:r>
                    <w:t>吨</w:t>
                  </w:r>
                  <w:r>
                    <w:t>/</w:t>
                  </w:r>
                  <w:r>
                    <w:t>日及以上水泥窑；</w:t>
                  </w:r>
                  <w:r>
                    <w:rPr>
                      <w:bCs/>
                    </w:rPr>
                    <w:t>新建、改建或扩建处置其他固体废物的水泥企业，应选择单线设计熟料生产规模</w:t>
                  </w:r>
                  <w:r>
                    <w:rPr>
                      <w:bCs/>
                    </w:rPr>
                    <w:t>3000</w:t>
                  </w:r>
                  <w:r>
                    <w:rPr>
                      <w:bCs/>
                    </w:rPr>
                    <w:t>吨</w:t>
                  </w:r>
                  <w:r>
                    <w:rPr>
                      <w:bCs/>
                    </w:rPr>
                    <w:t>/</w:t>
                  </w:r>
                  <w:r>
                    <w:rPr>
                      <w:bCs/>
                    </w:rPr>
                    <w:t>日及以上水泥窑。</w:t>
                  </w:r>
                  <w:r>
                    <w:t>鼓励利用符合《水泥行业规范条件（</w:t>
                  </w:r>
                  <w:r>
                    <w:t>2015</w:t>
                  </w:r>
                  <w:r>
                    <w:t>年本）》的水泥窑协同处置固体废物，拟改造前应符合《水泥窑协同处置固体废物污染控制标准》（</w:t>
                  </w:r>
                  <w:r>
                    <w:t>GB30485-</w:t>
                  </w:r>
                  <w:r>
                    <w:lastRenderedPageBreak/>
                    <w:t>2013</w:t>
                  </w:r>
                  <w:r>
                    <w:t>）的要求。</w:t>
                  </w:r>
                </w:p>
              </w:tc>
              <w:tc>
                <w:tcPr>
                  <w:tcW w:w="2284" w:type="pct"/>
                  <w:tcBorders>
                    <w:top w:val="single" w:sz="2" w:space="0" w:color="auto"/>
                    <w:left w:val="single" w:sz="2" w:space="0" w:color="auto"/>
                    <w:bottom w:val="single" w:sz="2" w:space="0" w:color="auto"/>
                    <w:right w:val="single" w:sz="2" w:space="0" w:color="auto"/>
                  </w:tcBorders>
                  <w:vAlign w:val="center"/>
                </w:tcPr>
                <w:p w14:paraId="463C3734" w14:textId="77777777" w:rsidR="00F76A63" w:rsidRDefault="00000000">
                  <w:pPr>
                    <w:autoSpaceDE w:val="0"/>
                    <w:autoSpaceDN w:val="0"/>
                    <w:snapToGrid w:val="0"/>
                    <w:jc w:val="center"/>
                  </w:pPr>
                  <w:r>
                    <w:rPr>
                      <w:bCs/>
                    </w:rPr>
                    <w:lastRenderedPageBreak/>
                    <w:t>本项目依托句容台泥现有</w:t>
                  </w:r>
                  <w:r>
                    <w:rPr>
                      <w:bCs/>
                    </w:rPr>
                    <w:t>1#</w:t>
                  </w:r>
                  <w:r>
                    <w:rPr>
                      <w:bCs/>
                    </w:rPr>
                    <w:t>、</w:t>
                  </w:r>
                  <w:r>
                    <w:rPr>
                      <w:bCs/>
                    </w:rPr>
                    <w:t>2#</w:t>
                  </w:r>
                  <w:r>
                    <w:rPr>
                      <w:bCs/>
                    </w:rPr>
                    <w:t>水泥窑（</w:t>
                  </w:r>
                  <w:r>
                    <w:rPr>
                      <w:bCs/>
                    </w:rPr>
                    <w:t>1#</w:t>
                  </w:r>
                  <w:r>
                    <w:rPr>
                      <w:bCs/>
                    </w:rPr>
                    <w:t>熟料生产规模</w:t>
                  </w:r>
                  <w:r>
                    <w:rPr>
                      <w:bCs/>
                    </w:rPr>
                    <w:t>5000t/d</w:t>
                  </w:r>
                  <w:r>
                    <w:rPr>
                      <w:bCs/>
                    </w:rPr>
                    <w:t>，</w:t>
                  </w:r>
                  <w:r>
                    <w:rPr>
                      <w:bCs/>
                    </w:rPr>
                    <w:t>2#</w:t>
                  </w:r>
                  <w:r>
                    <w:rPr>
                      <w:bCs/>
                    </w:rPr>
                    <w:t>熟料生产规模</w:t>
                  </w:r>
                  <w:r>
                    <w:rPr>
                      <w:bCs/>
                    </w:rPr>
                    <w:t>6000t/d</w:t>
                  </w:r>
                  <w:r>
                    <w:rPr>
                      <w:bCs/>
                    </w:rPr>
                    <w:t>）协同处置固体，为新型干法水泥窑，采用窑磨一体化运行模式</w:t>
                  </w:r>
                  <w:r>
                    <w:t>，符合《水泥行业规范条件（</w:t>
                  </w:r>
                  <w:r>
                    <w:t>2015</w:t>
                  </w:r>
                  <w:r>
                    <w:t>年本）》要求，符合江苏省《水泥工业大气污染物排放标准》（</w:t>
                  </w:r>
                  <w:r>
                    <w:t>DB 32/4149-2021</w:t>
                  </w:r>
                  <w:r>
                    <w:t>）《水泥窑协同处置固体废物污染控制标准》（</w:t>
                  </w:r>
                  <w:r>
                    <w:t>GB30485-2013</w:t>
                  </w:r>
                  <w:r>
                    <w:t>）的要求。</w:t>
                  </w:r>
                </w:p>
              </w:tc>
              <w:tc>
                <w:tcPr>
                  <w:tcW w:w="273" w:type="pct"/>
                  <w:tcBorders>
                    <w:top w:val="single" w:sz="2" w:space="0" w:color="auto"/>
                    <w:left w:val="single" w:sz="2" w:space="0" w:color="auto"/>
                    <w:bottom w:val="single" w:sz="2" w:space="0" w:color="auto"/>
                    <w:right w:val="nil"/>
                  </w:tcBorders>
                  <w:vAlign w:val="center"/>
                </w:tcPr>
                <w:p w14:paraId="0F1E8EF3" w14:textId="77777777" w:rsidR="00F76A63" w:rsidRDefault="00000000">
                  <w:pPr>
                    <w:autoSpaceDE w:val="0"/>
                    <w:autoSpaceDN w:val="0"/>
                    <w:snapToGrid w:val="0"/>
                    <w:jc w:val="center"/>
                  </w:pPr>
                  <w:r>
                    <w:t>相符</w:t>
                  </w:r>
                </w:p>
              </w:tc>
            </w:tr>
            <w:tr w:rsidR="00F76A63" w14:paraId="55976EE8"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26B55E31"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16EB44D6" w14:textId="77777777" w:rsidR="00F76A63" w:rsidRDefault="00000000">
                  <w:pPr>
                    <w:autoSpaceDE w:val="0"/>
                    <w:autoSpaceDN w:val="0"/>
                    <w:snapToGrid w:val="0"/>
                    <w:jc w:val="center"/>
                  </w:pPr>
                  <w:r>
                    <w:t>（二）应根据生产工艺与技术装备，合理确定水泥窑协同处置固体废物的种类及处置规模。严禁利用水泥窑协同处置具有放射性、爆炸性和反应性废物，未经拆解的废家用电器、废电池和电子产品，含汞的温度计、血压计、荧光灯管和开关，铬渣，以及未知特性和未经过检测的不明性质废物。</w:t>
                  </w:r>
                </w:p>
              </w:tc>
              <w:tc>
                <w:tcPr>
                  <w:tcW w:w="2284" w:type="pct"/>
                  <w:tcBorders>
                    <w:top w:val="single" w:sz="2" w:space="0" w:color="auto"/>
                    <w:left w:val="single" w:sz="2" w:space="0" w:color="auto"/>
                    <w:bottom w:val="single" w:sz="2" w:space="0" w:color="auto"/>
                    <w:right w:val="single" w:sz="2" w:space="0" w:color="auto"/>
                  </w:tcBorders>
                  <w:vAlign w:val="center"/>
                </w:tcPr>
                <w:p w14:paraId="5ABC80B6" w14:textId="77777777" w:rsidR="00F76A63" w:rsidRDefault="00000000">
                  <w:pPr>
                    <w:autoSpaceDE w:val="0"/>
                    <w:autoSpaceDN w:val="0"/>
                    <w:snapToGrid w:val="0"/>
                    <w:jc w:val="center"/>
                  </w:pPr>
                  <w:r>
                    <w:t>本项目协同处置固体废物包括鉴别确认为一般工业固废的污染土及污泥，并按规定开展环境污染事故应急处置工作。不处置文件中禁止处置的废物。</w:t>
                  </w:r>
                </w:p>
              </w:tc>
              <w:tc>
                <w:tcPr>
                  <w:tcW w:w="273" w:type="pct"/>
                  <w:tcBorders>
                    <w:top w:val="single" w:sz="2" w:space="0" w:color="auto"/>
                    <w:left w:val="single" w:sz="2" w:space="0" w:color="auto"/>
                    <w:bottom w:val="single" w:sz="2" w:space="0" w:color="auto"/>
                    <w:right w:val="nil"/>
                  </w:tcBorders>
                  <w:vAlign w:val="center"/>
                </w:tcPr>
                <w:p w14:paraId="0CA29E16" w14:textId="77777777" w:rsidR="00F76A63" w:rsidRDefault="00000000">
                  <w:pPr>
                    <w:autoSpaceDE w:val="0"/>
                    <w:autoSpaceDN w:val="0"/>
                    <w:snapToGrid w:val="0"/>
                    <w:jc w:val="center"/>
                  </w:pPr>
                  <w:r>
                    <w:t>相符</w:t>
                  </w:r>
                </w:p>
              </w:tc>
            </w:tr>
            <w:tr w:rsidR="00F76A63" w14:paraId="5AEDF34F"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2D86ADF9"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22CCEE51" w14:textId="77777777" w:rsidR="00F76A63" w:rsidRDefault="00000000">
                  <w:pPr>
                    <w:autoSpaceDE w:val="0"/>
                    <w:autoSpaceDN w:val="0"/>
                    <w:snapToGrid w:val="0"/>
                    <w:jc w:val="center"/>
                  </w:pPr>
                  <w:r>
                    <w:t>（三）新建水泥窑协同处置危险废物的企业在试生产期间，应按照《水泥窑协同处置固体废物环境保护技术规范》（</w:t>
                  </w:r>
                  <w:r>
                    <w:t>HJ662-2013</w:t>
                  </w:r>
                  <w:r>
                    <w:t>）要求对水泥窑协同处置设施进行性能测试，以检验和评价水泥窑在协同处置危险废物的过程中对有机化合物的焚毁去除能力以及对污染物排放的控制效果。利用水泥窑协同处置医疗废物，必须满足《水泥窑协同处置固体废物环境保护技术规范》（</w:t>
                  </w:r>
                  <w:r>
                    <w:t>HJ662-2013</w:t>
                  </w:r>
                  <w:r>
                    <w:t>）的相关要求。</w:t>
                  </w:r>
                </w:p>
              </w:tc>
              <w:tc>
                <w:tcPr>
                  <w:tcW w:w="2284" w:type="pct"/>
                  <w:tcBorders>
                    <w:top w:val="single" w:sz="2" w:space="0" w:color="auto"/>
                    <w:left w:val="single" w:sz="2" w:space="0" w:color="auto"/>
                    <w:bottom w:val="single" w:sz="2" w:space="0" w:color="auto"/>
                    <w:right w:val="single" w:sz="2" w:space="0" w:color="auto"/>
                  </w:tcBorders>
                  <w:vAlign w:val="center"/>
                </w:tcPr>
                <w:p w14:paraId="2ADF707E" w14:textId="77777777" w:rsidR="00F76A63" w:rsidRDefault="00000000">
                  <w:pPr>
                    <w:autoSpaceDE w:val="0"/>
                    <w:autoSpaceDN w:val="0"/>
                    <w:snapToGrid w:val="0"/>
                    <w:jc w:val="center"/>
                  </w:pPr>
                  <w:r>
                    <w:t>本项目不处置医疗废物及危险废物。</w:t>
                  </w:r>
                </w:p>
              </w:tc>
              <w:tc>
                <w:tcPr>
                  <w:tcW w:w="273" w:type="pct"/>
                  <w:tcBorders>
                    <w:top w:val="single" w:sz="2" w:space="0" w:color="auto"/>
                    <w:left w:val="single" w:sz="2" w:space="0" w:color="auto"/>
                    <w:bottom w:val="single" w:sz="2" w:space="0" w:color="auto"/>
                    <w:right w:val="nil"/>
                  </w:tcBorders>
                  <w:vAlign w:val="center"/>
                </w:tcPr>
                <w:p w14:paraId="58EB6E29" w14:textId="77777777" w:rsidR="00F76A63" w:rsidRDefault="00000000">
                  <w:pPr>
                    <w:autoSpaceDE w:val="0"/>
                    <w:autoSpaceDN w:val="0"/>
                    <w:snapToGrid w:val="0"/>
                    <w:jc w:val="center"/>
                  </w:pPr>
                  <w:r>
                    <w:t>相符</w:t>
                  </w:r>
                </w:p>
              </w:tc>
            </w:tr>
            <w:tr w:rsidR="00F76A63" w14:paraId="5C22537B"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759C046C"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7D62A48F" w14:textId="77777777" w:rsidR="00F76A63" w:rsidRDefault="00000000">
                  <w:pPr>
                    <w:autoSpaceDE w:val="0"/>
                    <w:autoSpaceDN w:val="0"/>
                    <w:snapToGrid w:val="0"/>
                    <w:jc w:val="center"/>
                  </w:pPr>
                  <w:r>
                    <w:t>（四）处置应急事件废物，应选择具有同类型危险废物经营许可证的水泥窑进行协同处置。如无法满足条件时，应按照当地省级环境保护主管部门批准的应急处置方案，选择适宜的水泥窑进行协同处置。</w:t>
                  </w:r>
                </w:p>
              </w:tc>
              <w:tc>
                <w:tcPr>
                  <w:tcW w:w="2284" w:type="pct"/>
                  <w:tcBorders>
                    <w:top w:val="single" w:sz="2" w:space="0" w:color="auto"/>
                    <w:left w:val="single" w:sz="2" w:space="0" w:color="auto"/>
                    <w:bottom w:val="single" w:sz="2" w:space="0" w:color="auto"/>
                    <w:right w:val="single" w:sz="2" w:space="0" w:color="auto"/>
                  </w:tcBorders>
                  <w:vAlign w:val="center"/>
                </w:tcPr>
                <w:p w14:paraId="4C4FEF92" w14:textId="77777777" w:rsidR="00F76A63" w:rsidRDefault="00000000">
                  <w:pPr>
                    <w:autoSpaceDE w:val="0"/>
                    <w:autoSpaceDN w:val="0"/>
                    <w:snapToGrid w:val="0"/>
                    <w:jc w:val="center"/>
                  </w:pPr>
                  <w:r>
                    <w:t>本项目不涉及。</w:t>
                  </w:r>
                </w:p>
              </w:tc>
              <w:tc>
                <w:tcPr>
                  <w:tcW w:w="273" w:type="pct"/>
                  <w:tcBorders>
                    <w:top w:val="single" w:sz="2" w:space="0" w:color="auto"/>
                    <w:left w:val="single" w:sz="2" w:space="0" w:color="auto"/>
                    <w:bottom w:val="single" w:sz="2" w:space="0" w:color="auto"/>
                    <w:right w:val="nil"/>
                  </w:tcBorders>
                  <w:vAlign w:val="center"/>
                </w:tcPr>
                <w:p w14:paraId="31A683FD" w14:textId="77777777" w:rsidR="00F76A63" w:rsidRDefault="00000000">
                  <w:pPr>
                    <w:autoSpaceDE w:val="0"/>
                    <w:autoSpaceDN w:val="0"/>
                    <w:snapToGrid w:val="0"/>
                    <w:jc w:val="center"/>
                  </w:pPr>
                  <w:r>
                    <w:t>相符</w:t>
                  </w:r>
                </w:p>
              </w:tc>
            </w:tr>
            <w:tr w:rsidR="00F76A63" w14:paraId="638F9ED4" w14:textId="77777777">
              <w:trPr>
                <w:trHeight w:val="20"/>
              </w:trPr>
              <w:tc>
                <w:tcPr>
                  <w:tcW w:w="160" w:type="pct"/>
                  <w:vMerge w:val="restart"/>
                  <w:tcBorders>
                    <w:top w:val="single" w:sz="2" w:space="0" w:color="auto"/>
                    <w:left w:val="nil"/>
                    <w:bottom w:val="single" w:sz="2" w:space="0" w:color="auto"/>
                    <w:right w:val="single" w:sz="4" w:space="0" w:color="auto"/>
                  </w:tcBorders>
                  <w:vAlign w:val="center"/>
                </w:tcPr>
                <w:p w14:paraId="2BE975F8" w14:textId="77777777" w:rsidR="00F76A63" w:rsidRDefault="00000000">
                  <w:pPr>
                    <w:autoSpaceDE w:val="0"/>
                    <w:autoSpaceDN w:val="0"/>
                    <w:snapToGrid w:val="0"/>
                    <w:jc w:val="center"/>
                  </w:pPr>
                  <w:r>
                    <w:rPr>
                      <w:kern w:val="0"/>
                    </w:rPr>
                    <w:t>清洁生产</w:t>
                  </w:r>
                </w:p>
              </w:tc>
              <w:tc>
                <w:tcPr>
                  <w:tcW w:w="2283" w:type="pct"/>
                  <w:tcBorders>
                    <w:top w:val="single" w:sz="2" w:space="0" w:color="auto"/>
                    <w:left w:val="nil"/>
                    <w:bottom w:val="single" w:sz="2" w:space="0" w:color="auto"/>
                    <w:right w:val="single" w:sz="2" w:space="0" w:color="auto"/>
                  </w:tcBorders>
                  <w:vAlign w:val="center"/>
                </w:tcPr>
                <w:p w14:paraId="365F6E3B" w14:textId="77777777" w:rsidR="00F76A63" w:rsidRDefault="00000000">
                  <w:pPr>
                    <w:autoSpaceDE w:val="0"/>
                    <w:autoSpaceDN w:val="0"/>
                    <w:snapToGrid w:val="0"/>
                    <w:jc w:val="center"/>
                  </w:pPr>
                  <w:r>
                    <w:t>（一）水泥窑协同处置固体废物，其清洁生产水平应按照《水泥行业清洁生产评价指标体系》（发展改革委公告</w:t>
                  </w:r>
                  <w:r>
                    <w:t>2014</w:t>
                  </w:r>
                  <w:r>
                    <w:t>年第</w:t>
                  </w:r>
                  <w:r>
                    <w:t>3</w:t>
                  </w:r>
                  <w:r>
                    <w:t>号）的要求，定期实施清洁生产审核。</w:t>
                  </w:r>
                </w:p>
              </w:tc>
              <w:tc>
                <w:tcPr>
                  <w:tcW w:w="2284" w:type="pct"/>
                  <w:tcBorders>
                    <w:top w:val="single" w:sz="2" w:space="0" w:color="auto"/>
                    <w:left w:val="single" w:sz="2" w:space="0" w:color="auto"/>
                    <w:bottom w:val="single" w:sz="2" w:space="0" w:color="auto"/>
                    <w:right w:val="single" w:sz="2" w:space="0" w:color="auto"/>
                  </w:tcBorders>
                  <w:vAlign w:val="center"/>
                </w:tcPr>
                <w:p w14:paraId="06149DB0" w14:textId="77777777" w:rsidR="00F76A63" w:rsidRDefault="00000000">
                  <w:pPr>
                    <w:autoSpaceDE w:val="0"/>
                    <w:autoSpaceDN w:val="0"/>
                    <w:snapToGrid w:val="0"/>
                    <w:jc w:val="center"/>
                  </w:pPr>
                  <w:r>
                    <w:rPr>
                      <w:szCs w:val="21"/>
                    </w:rPr>
                    <w:t>企业</w:t>
                  </w:r>
                  <w:r>
                    <w:rPr>
                      <w:szCs w:val="21"/>
                    </w:rPr>
                    <w:t>2023</w:t>
                  </w:r>
                  <w:r>
                    <w:rPr>
                      <w:szCs w:val="21"/>
                    </w:rPr>
                    <w:t>年进行了清洁生产审核，全厂总体生产水平为清洁生产一级水平，被评定为国际清洁生产先进水平。</w:t>
                  </w:r>
                </w:p>
              </w:tc>
              <w:tc>
                <w:tcPr>
                  <w:tcW w:w="273" w:type="pct"/>
                  <w:tcBorders>
                    <w:top w:val="single" w:sz="2" w:space="0" w:color="auto"/>
                    <w:left w:val="single" w:sz="2" w:space="0" w:color="auto"/>
                    <w:bottom w:val="single" w:sz="2" w:space="0" w:color="auto"/>
                    <w:right w:val="nil"/>
                  </w:tcBorders>
                  <w:vAlign w:val="center"/>
                </w:tcPr>
                <w:p w14:paraId="5FF20AA7" w14:textId="77777777" w:rsidR="00F76A63" w:rsidRDefault="00000000">
                  <w:pPr>
                    <w:autoSpaceDE w:val="0"/>
                    <w:autoSpaceDN w:val="0"/>
                    <w:snapToGrid w:val="0"/>
                    <w:jc w:val="center"/>
                  </w:pPr>
                  <w:r>
                    <w:t>相符</w:t>
                  </w:r>
                </w:p>
              </w:tc>
            </w:tr>
            <w:tr w:rsidR="00F76A63" w14:paraId="0A6A0A12"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17CD1604"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31D2599E" w14:textId="77777777" w:rsidR="00F76A63" w:rsidRDefault="00000000">
                  <w:pPr>
                    <w:autoSpaceDE w:val="0"/>
                    <w:autoSpaceDN w:val="0"/>
                    <w:snapToGrid w:val="0"/>
                    <w:jc w:val="center"/>
                  </w:pPr>
                  <w:r>
                    <w:t>（二）水泥窑协同处置固体废物，应对进厂接收、贮存与输送、预处理和入窑处置等场所或设施采取密闭、负压或其他防漏散、防飞扬、防恶臭的有效措施。</w:t>
                  </w:r>
                </w:p>
              </w:tc>
              <w:tc>
                <w:tcPr>
                  <w:tcW w:w="2284" w:type="pct"/>
                  <w:tcBorders>
                    <w:top w:val="single" w:sz="2" w:space="0" w:color="auto"/>
                    <w:left w:val="single" w:sz="2" w:space="0" w:color="auto"/>
                    <w:bottom w:val="single" w:sz="2" w:space="0" w:color="auto"/>
                    <w:right w:val="single" w:sz="2" w:space="0" w:color="auto"/>
                  </w:tcBorders>
                  <w:vAlign w:val="center"/>
                </w:tcPr>
                <w:p w14:paraId="6DC4C4C8" w14:textId="77777777" w:rsidR="00F76A63" w:rsidRDefault="00000000">
                  <w:pPr>
                    <w:autoSpaceDE w:val="0"/>
                    <w:autoSpaceDN w:val="0"/>
                    <w:snapToGrid w:val="0"/>
                    <w:jc w:val="center"/>
                  </w:pPr>
                  <w:r>
                    <w:t>本项目入窑处置设施产生的无组织废气分别采取封闭、除尘或除臭等措施。</w:t>
                  </w:r>
                </w:p>
              </w:tc>
              <w:tc>
                <w:tcPr>
                  <w:tcW w:w="273" w:type="pct"/>
                  <w:tcBorders>
                    <w:top w:val="single" w:sz="2" w:space="0" w:color="auto"/>
                    <w:left w:val="single" w:sz="2" w:space="0" w:color="auto"/>
                    <w:bottom w:val="single" w:sz="2" w:space="0" w:color="auto"/>
                    <w:right w:val="nil"/>
                  </w:tcBorders>
                  <w:vAlign w:val="center"/>
                </w:tcPr>
                <w:p w14:paraId="30BE2A50" w14:textId="77777777" w:rsidR="00F76A63" w:rsidRDefault="00000000">
                  <w:pPr>
                    <w:autoSpaceDE w:val="0"/>
                    <w:autoSpaceDN w:val="0"/>
                    <w:snapToGrid w:val="0"/>
                    <w:jc w:val="center"/>
                  </w:pPr>
                  <w:r>
                    <w:t>相符</w:t>
                  </w:r>
                </w:p>
              </w:tc>
            </w:tr>
            <w:tr w:rsidR="00F76A63" w14:paraId="36618839"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21110133"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2467BEE5" w14:textId="77777777" w:rsidR="00F76A63" w:rsidRDefault="00000000">
                  <w:pPr>
                    <w:autoSpaceDE w:val="0"/>
                    <w:autoSpaceDN w:val="0"/>
                    <w:snapToGrid w:val="0"/>
                    <w:jc w:val="center"/>
                  </w:pPr>
                  <w:r>
                    <w:t>（三）固体废物在水泥企业应分类贮存，贮存设施应单独建设，不应与水泥生产原燃料或产品混合贮存。危险废物贮存还应满足《危险废物贮存污染控制标准》（</w:t>
                  </w:r>
                  <w:r>
                    <w:t>GB18597-20</w:t>
                  </w:r>
                  <w:r>
                    <w:rPr>
                      <w:rFonts w:hint="eastAsia"/>
                    </w:rPr>
                    <w:t>23</w:t>
                  </w:r>
                  <w:r>
                    <w:t>）和《危险废物收集贮存运输技术规范》（</w:t>
                  </w:r>
                  <w:r>
                    <w:t>HJ2025-2012</w:t>
                  </w:r>
                  <w:r>
                    <w:t>）的要求。对不明性质废物应按危险废物贮存要求设置隔离贮存的暂存区，并设置专门的存取通道。</w:t>
                  </w:r>
                </w:p>
              </w:tc>
              <w:tc>
                <w:tcPr>
                  <w:tcW w:w="2284" w:type="pct"/>
                  <w:tcBorders>
                    <w:top w:val="single" w:sz="2" w:space="0" w:color="auto"/>
                    <w:left w:val="single" w:sz="2" w:space="0" w:color="auto"/>
                    <w:bottom w:val="single" w:sz="2" w:space="0" w:color="auto"/>
                    <w:right w:val="single" w:sz="2" w:space="0" w:color="auto"/>
                  </w:tcBorders>
                  <w:vAlign w:val="center"/>
                </w:tcPr>
                <w:p w14:paraId="3B1327F7" w14:textId="77777777" w:rsidR="00F76A63" w:rsidRDefault="00000000">
                  <w:pPr>
                    <w:autoSpaceDE w:val="0"/>
                    <w:autoSpaceDN w:val="0"/>
                    <w:snapToGrid w:val="0"/>
                    <w:jc w:val="center"/>
                    <w:rPr>
                      <w:bCs/>
                    </w:rPr>
                  </w:pPr>
                  <w:r>
                    <w:t>（</w:t>
                  </w:r>
                  <w:r>
                    <w:t>1</w:t>
                  </w:r>
                  <w:r>
                    <w:t>）</w:t>
                  </w:r>
                  <w:r>
                    <w:rPr>
                      <w:bCs/>
                    </w:rPr>
                    <w:t>本项目拟处置的一般固废单独贮存，不与水泥生产原燃料或产品混合贮存。</w:t>
                  </w:r>
                </w:p>
                <w:p w14:paraId="68F10139" w14:textId="77777777" w:rsidR="00F76A63" w:rsidRDefault="00000000">
                  <w:pPr>
                    <w:autoSpaceDE w:val="0"/>
                    <w:autoSpaceDN w:val="0"/>
                    <w:snapToGrid w:val="0"/>
                    <w:jc w:val="center"/>
                  </w:pPr>
                  <w:r>
                    <w:t>（</w:t>
                  </w:r>
                  <w:r>
                    <w:t>2</w:t>
                  </w:r>
                  <w:r>
                    <w:t>）本项目不涉及危险废物的协同处置。</w:t>
                  </w:r>
                </w:p>
              </w:tc>
              <w:tc>
                <w:tcPr>
                  <w:tcW w:w="273" w:type="pct"/>
                  <w:tcBorders>
                    <w:top w:val="single" w:sz="2" w:space="0" w:color="auto"/>
                    <w:left w:val="single" w:sz="2" w:space="0" w:color="auto"/>
                    <w:bottom w:val="single" w:sz="2" w:space="0" w:color="auto"/>
                    <w:right w:val="nil"/>
                  </w:tcBorders>
                  <w:vAlign w:val="center"/>
                </w:tcPr>
                <w:p w14:paraId="00C8E764" w14:textId="77777777" w:rsidR="00F76A63" w:rsidRDefault="00000000">
                  <w:pPr>
                    <w:autoSpaceDE w:val="0"/>
                    <w:autoSpaceDN w:val="0"/>
                    <w:snapToGrid w:val="0"/>
                    <w:jc w:val="center"/>
                  </w:pPr>
                  <w:r>
                    <w:t>相符</w:t>
                  </w:r>
                </w:p>
              </w:tc>
            </w:tr>
            <w:tr w:rsidR="00F76A63" w14:paraId="3EF6ABF1"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56B3C295"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493CA532" w14:textId="77777777" w:rsidR="00F76A63" w:rsidRDefault="00000000">
                  <w:pPr>
                    <w:autoSpaceDE w:val="0"/>
                    <w:autoSpaceDN w:val="0"/>
                    <w:snapToGrid w:val="0"/>
                    <w:jc w:val="center"/>
                  </w:pPr>
                  <w:r>
                    <w:t>（四）根据协同处置固体废物特性及入窑要求，合理确定预处理工艺。鼓励污水处理厂进行污泥干化，干化后污泥宜满足直接入窑处置的要求。水泥厂内进行污泥干化时，宜单独设置污泥干化系统，干化热源宜利用水泥窑废气余热。原生生活垃圾不可直接入水泥窑，必须进行预处理后入窑。生活垃圾在预处理过程中严禁混入危险废物。</w:t>
                  </w:r>
                </w:p>
              </w:tc>
              <w:tc>
                <w:tcPr>
                  <w:tcW w:w="2284" w:type="pct"/>
                  <w:tcBorders>
                    <w:top w:val="single" w:sz="2" w:space="0" w:color="auto"/>
                    <w:left w:val="single" w:sz="2" w:space="0" w:color="auto"/>
                    <w:bottom w:val="single" w:sz="2" w:space="0" w:color="auto"/>
                    <w:right w:val="single" w:sz="2" w:space="0" w:color="auto"/>
                  </w:tcBorders>
                  <w:vAlign w:val="center"/>
                </w:tcPr>
                <w:p w14:paraId="369A4B8D" w14:textId="77777777" w:rsidR="00F76A63" w:rsidRDefault="00000000">
                  <w:pPr>
                    <w:autoSpaceDE w:val="0"/>
                    <w:autoSpaceDN w:val="0"/>
                    <w:snapToGrid w:val="0"/>
                    <w:jc w:val="center"/>
                  </w:pPr>
                  <w:r>
                    <w:t>本项目不涉及污染土及污泥预处理工艺，本项目不设置污泥干化系统，不处置生活垃圾。</w:t>
                  </w:r>
                </w:p>
              </w:tc>
              <w:tc>
                <w:tcPr>
                  <w:tcW w:w="273" w:type="pct"/>
                  <w:tcBorders>
                    <w:top w:val="single" w:sz="2" w:space="0" w:color="auto"/>
                    <w:left w:val="single" w:sz="2" w:space="0" w:color="auto"/>
                    <w:bottom w:val="single" w:sz="2" w:space="0" w:color="auto"/>
                    <w:right w:val="nil"/>
                  </w:tcBorders>
                  <w:vAlign w:val="center"/>
                </w:tcPr>
                <w:p w14:paraId="585138A3" w14:textId="77777777" w:rsidR="00F76A63" w:rsidRDefault="00000000">
                  <w:pPr>
                    <w:autoSpaceDE w:val="0"/>
                    <w:autoSpaceDN w:val="0"/>
                    <w:snapToGrid w:val="0"/>
                    <w:jc w:val="center"/>
                  </w:pPr>
                  <w:r>
                    <w:t>相符</w:t>
                  </w:r>
                </w:p>
              </w:tc>
            </w:tr>
            <w:tr w:rsidR="00F76A63" w14:paraId="2F5B0B55"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182F1784"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61A5EA0F" w14:textId="77777777" w:rsidR="00F76A63" w:rsidRDefault="00000000">
                  <w:pPr>
                    <w:autoSpaceDE w:val="0"/>
                    <w:autoSpaceDN w:val="0"/>
                    <w:snapToGrid w:val="0"/>
                    <w:jc w:val="center"/>
                  </w:pPr>
                  <w:r>
                    <w:t>（五）严格控制水泥窑协同处置入窑废物中重金属含量及投加量；水泥熟料中可浸出重金属含量限值应满足《水泥窑协同处置固体废物技术规范》（</w:t>
                  </w:r>
                  <w:r>
                    <w:t>GB/T 30760-2024</w:t>
                  </w:r>
                  <w:r>
                    <w:t>）的相关要求。水泥窑协同处置重金属类危险废物时，应提高对水泥熟料重金属浸出浓度的检测频次。严格控制入窑废物中氯元素的含量，保证水泥窑能稳定运行和水泥熟料质量，同时遏制二噁英类污染物的产生。</w:t>
                  </w:r>
                </w:p>
              </w:tc>
              <w:tc>
                <w:tcPr>
                  <w:tcW w:w="2284" w:type="pct"/>
                  <w:tcBorders>
                    <w:top w:val="single" w:sz="2" w:space="0" w:color="auto"/>
                    <w:left w:val="single" w:sz="2" w:space="0" w:color="auto"/>
                    <w:bottom w:val="single" w:sz="2" w:space="0" w:color="auto"/>
                    <w:right w:val="single" w:sz="2" w:space="0" w:color="auto"/>
                  </w:tcBorders>
                  <w:vAlign w:val="center"/>
                </w:tcPr>
                <w:p w14:paraId="351129C0" w14:textId="77777777" w:rsidR="00F76A63" w:rsidRDefault="00000000">
                  <w:pPr>
                    <w:autoSpaceDE w:val="0"/>
                    <w:autoSpaceDN w:val="0"/>
                    <w:snapToGrid w:val="0"/>
                    <w:jc w:val="center"/>
                  </w:pPr>
                  <w:r>
                    <w:t>本项目严格按照《水泥窑协同处置固体废物环境保护技术规范》（</w:t>
                  </w:r>
                  <w:r>
                    <w:t>HJ662-2013</w:t>
                  </w:r>
                  <w:r>
                    <w:t>）、《水泥窑协同处置固体废物技术规范》（</w:t>
                  </w:r>
                  <w:r>
                    <w:t>GB/T 30760-2024</w:t>
                  </w:r>
                  <w:r>
                    <w:t>）规定的入窑物料重金属最大允许投加量限值进行控制，入窑物料中氯元素含量不大于</w:t>
                  </w:r>
                  <w:r>
                    <w:t>0.04%</w:t>
                  </w:r>
                  <w:r>
                    <w:t>，遏制二噁英类污染物的产生。</w:t>
                  </w:r>
                </w:p>
                <w:p w14:paraId="6E7B7E98" w14:textId="77777777" w:rsidR="00F76A63" w:rsidRDefault="00000000">
                  <w:pPr>
                    <w:autoSpaceDE w:val="0"/>
                    <w:autoSpaceDN w:val="0"/>
                    <w:snapToGrid w:val="0"/>
                    <w:jc w:val="center"/>
                  </w:pPr>
                  <w:r>
                    <w:t>水泥熟料中可浸出重金属含量限值应满足《水泥窑协同处置固体废物技术规范》（</w:t>
                  </w:r>
                  <w:r>
                    <w:t>GB/T 30760-2024</w:t>
                  </w:r>
                  <w:r>
                    <w:t>）的相关要求。</w:t>
                  </w:r>
                </w:p>
              </w:tc>
              <w:tc>
                <w:tcPr>
                  <w:tcW w:w="273" w:type="pct"/>
                  <w:tcBorders>
                    <w:top w:val="single" w:sz="2" w:space="0" w:color="auto"/>
                    <w:left w:val="single" w:sz="2" w:space="0" w:color="auto"/>
                    <w:bottom w:val="single" w:sz="2" w:space="0" w:color="auto"/>
                    <w:right w:val="nil"/>
                  </w:tcBorders>
                  <w:vAlign w:val="center"/>
                </w:tcPr>
                <w:p w14:paraId="12B470E0" w14:textId="77777777" w:rsidR="00F76A63" w:rsidRDefault="00000000">
                  <w:pPr>
                    <w:autoSpaceDE w:val="0"/>
                    <w:autoSpaceDN w:val="0"/>
                    <w:snapToGrid w:val="0"/>
                    <w:jc w:val="center"/>
                  </w:pPr>
                  <w:r>
                    <w:t>相符</w:t>
                  </w:r>
                </w:p>
              </w:tc>
            </w:tr>
            <w:tr w:rsidR="00F76A63" w14:paraId="5C393FDF"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52CE7A12"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562DD53C" w14:textId="77777777" w:rsidR="00F76A63" w:rsidRDefault="00000000">
                  <w:pPr>
                    <w:autoSpaceDE w:val="0"/>
                    <w:autoSpaceDN w:val="0"/>
                    <w:snapToGrid w:val="0"/>
                    <w:jc w:val="center"/>
                  </w:pPr>
                  <w:r>
                    <w:t>（六）固体废物入窑投加位置及投加方式应根据水泥窑运行条件及预处理情况在满足《水泥窑协同处置固体废物环境保护技术规范》（</w:t>
                  </w:r>
                  <w:r>
                    <w:t>HJ662-2013</w:t>
                  </w:r>
                  <w:r>
                    <w:t>）要求的同时，根据固体废物的成分、热值等参数进行合理配伍，保障固体废物投加后水泥窑能稳定运行。含有机挥发性物质的废物、含恶臭废物及含氰废物不能投入生料制备系统，应从高温段投入水泥窑。</w:t>
                  </w:r>
                </w:p>
              </w:tc>
              <w:tc>
                <w:tcPr>
                  <w:tcW w:w="2284" w:type="pct"/>
                  <w:tcBorders>
                    <w:top w:val="single" w:sz="2" w:space="0" w:color="auto"/>
                    <w:left w:val="single" w:sz="2" w:space="0" w:color="auto"/>
                    <w:bottom w:val="single" w:sz="2" w:space="0" w:color="auto"/>
                    <w:right w:val="single" w:sz="2" w:space="0" w:color="auto"/>
                  </w:tcBorders>
                  <w:vAlign w:val="center"/>
                </w:tcPr>
                <w:p w14:paraId="375A50B0" w14:textId="77777777" w:rsidR="00F76A63" w:rsidRDefault="00000000">
                  <w:pPr>
                    <w:autoSpaceDE w:val="0"/>
                    <w:autoSpaceDN w:val="0"/>
                    <w:snapToGrid w:val="0"/>
                    <w:jc w:val="center"/>
                  </w:pPr>
                  <w:r>
                    <w:t>本项目按照《水泥窑协同处置固体废物环境保护技术规范》（</w:t>
                  </w:r>
                  <w:r>
                    <w:t>HJ662-2013</w:t>
                  </w:r>
                  <w:r>
                    <w:t>）要求，结合水泥窑运行条件及预处理情况确定投加位置及方式，根据固体废物的成分、热值等参数进行合理配伍，保障固体废物投加后水泥窑能稳定运行。</w:t>
                  </w:r>
                </w:p>
                <w:p w14:paraId="1ED64D60" w14:textId="77777777" w:rsidR="00F76A63" w:rsidRDefault="00000000">
                  <w:pPr>
                    <w:autoSpaceDE w:val="0"/>
                    <w:autoSpaceDN w:val="0"/>
                    <w:snapToGrid w:val="0"/>
                    <w:jc w:val="center"/>
                  </w:pPr>
                  <w:r>
                    <w:t>本项目设置</w:t>
                  </w:r>
                  <w:r>
                    <w:t>1</w:t>
                  </w:r>
                  <w:r>
                    <w:t>个投料点，从生料配料系统投加。</w:t>
                  </w:r>
                </w:p>
              </w:tc>
              <w:tc>
                <w:tcPr>
                  <w:tcW w:w="273" w:type="pct"/>
                  <w:tcBorders>
                    <w:top w:val="single" w:sz="2" w:space="0" w:color="auto"/>
                    <w:left w:val="single" w:sz="2" w:space="0" w:color="auto"/>
                    <w:bottom w:val="single" w:sz="2" w:space="0" w:color="auto"/>
                    <w:right w:val="nil"/>
                  </w:tcBorders>
                  <w:vAlign w:val="center"/>
                </w:tcPr>
                <w:p w14:paraId="1E6322C2" w14:textId="77777777" w:rsidR="00F76A63" w:rsidRDefault="00000000">
                  <w:pPr>
                    <w:autoSpaceDE w:val="0"/>
                    <w:autoSpaceDN w:val="0"/>
                    <w:snapToGrid w:val="0"/>
                    <w:jc w:val="center"/>
                  </w:pPr>
                  <w:r>
                    <w:t>相符</w:t>
                  </w:r>
                </w:p>
              </w:tc>
            </w:tr>
            <w:tr w:rsidR="00F76A63" w14:paraId="57B9100A"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1B542E39"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077DFCE1" w14:textId="77777777" w:rsidR="00F76A63" w:rsidRDefault="00000000">
                  <w:pPr>
                    <w:autoSpaceDE w:val="0"/>
                    <w:autoSpaceDN w:val="0"/>
                    <w:snapToGrid w:val="0"/>
                    <w:jc w:val="center"/>
                  </w:pPr>
                  <w:r>
                    <w:t>（七）水泥窑协同处置固体废物应按照废物特性和水泥生产要求配置相应的投加计量和自动控制进料装置。</w:t>
                  </w:r>
                </w:p>
              </w:tc>
              <w:tc>
                <w:tcPr>
                  <w:tcW w:w="2284" w:type="pct"/>
                  <w:tcBorders>
                    <w:top w:val="single" w:sz="2" w:space="0" w:color="auto"/>
                    <w:left w:val="single" w:sz="2" w:space="0" w:color="auto"/>
                    <w:bottom w:val="single" w:sz="2" w:space="0" w:color="auto"/>
                    <w:right w:val="single" w:sz="2" w:space="0" w:color="auto"/>
                  </w:tcBorders>
                  <w:vAlign w:val="center"/>
                </w:tcPr>
                <w:p w14:paraId="075AF1BF" w14:textId="77777777" w:rsidR="00F76A63" w:rsidRDefault="00000000">
                  <w:pPr>
                    <w:autoSpaceDE w:val="0"/>
                    <w:autoSpaceDN w:val="0"/>
                    <w:snapToGrid w:val="0"/>
                    <w:jc w:val="center"/>
                  </w:pPr>
                  <w:r>
                    <w:t>本项目按照废物特性分别配置投加计量和自动控制进料装置。</w:t>
                  </w:r>
                </w:p>
              </w:tc>
              <w:tc>
                <w:tcPr>
                  <w:tcW w:w="273" w:type="pct"/>
                  <w:tcBorders>
                    <w:top w:val="single" w:sz="2" w:space="0" w:color="auto"/>
                    <w:left w:val="single" w:sz="2" w:space="0" w:color="auto"/>
                    <w:bottom w:val="single" w:sz="2" w:space="0" w:color="auto"/>
                    <w:right w:val="nil"/>
                  </w:tcBorders>
                  <w:vAlign w:val="center"/>
                </w:tcPr>
                <w:p w14:paraId="46F8F418" w14:textId="77777777" w:rsidR="00F76A63" w:rsidRDefault="00000000">
                  <w:pPr>
                    <w:autoSpaceDE w:val="0"/>
                    <w:autoSpaceDN w:val="0"/>
                    <w:snapToGrid w:val="0"/>
                    <w:jc w:val="center"/>
                  </w:pPr>
                  <w:r>
                    <w:t>相符</w:t>
                  </w:r>
                </w:p>
              </w:tc>
            </w:tr>
            <w:tr w:rsidR="00F76A63" w14:paraId="6644FDC6"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71A928DF"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0191D9AB" w14:textId="77777777" w:rsidR="00F76A63" w:rsidRDefault="00000000">
                  <w:pPr>
                    <w:autoSpaceDE w:val="0"/>
                    <w:autoSpaceDN w:val="0"/>
                    <w:snapToGrid w:val="0"/>
                    <w:jc w:val="center"/>
                  </w:pPr>
                  <w:r>
                    <w:t>（八）应逐步提高协同处置固体废物的水泥窑与生料磨的同步运转率。强化生料磨停运期间二氧化硫、汞等挥发性重金属的排放控制措施，不应采用简易氨法脱硫措施（不回收脱硫副产物）。</w:t>
                  </w:r>
                </w:p>
              </w:tc>
              <w:tc>
                <w:tcPr>
                  <w:tcW w:w="2284" w:type="pct"/>
                  <w:tcBorders>
                    <w:top w:val="single" w:sz="2" w:space="0" w:color="auto"/>
                    <w:left w:val="single" w:sz="2" w:space="0" w:color="auto"/>
                    <w:bottom w:val="single" w:sz="2" w:space="0" w:color="auto"/>
                    <w:right w:val="single" w:sz="2" w:space="0" w:color="auto"/>
                  </w:tcBorders>
                  <w:vAlign w:val="center"/>
                </w:tcPr>
                <w:p w14:paraId="535822E7" w14:textId="77777777" w:rsidR="00F76A63" w:rsidRDefault="00000000">
                  <w:pPr>
                    <w:autoSpaceDE w:val="0"/>
                    <w:autoSpaceDN w:val="0"/>
                    <w:snapToGrid w:val="0"/>
                    <w:jc w:val="center"/>
                  </w:pPr>
                  <w:r>
                    <w:t>本项目采用窑磨一体化运行模式。二氧化硫主要依托碱性环境以及现有复合固硫脱硫工艺进行脱硫，不属于简易氨法脱硫措施。</w:t>
                  </w:r>
                </w:p>
              </w:tc>
              <w:tc>
                <w:tcPr>
                  <w:tcW w:w="273" w:type="pct"/>
                  <w:tcBorders>
                    <w:top w:val="single" w:sz="2" w:space="0" w:color="auto"/>
                    <w:left w:val="single" w:sz="2" w:space="0" w:color="auto"/>
                    <w:bottom w:val="single" w:sz="2" w:space="0" w:color="auto"/>
                    <w:right w:val="nil"/>
                  </w:tcBorders>
                  <w:vAlign w:val="center"/>
                </w:tcPr>
                <w:p w14:paraId="773FD115" w14:textId="77777777" w:rsidR="00F76A63" w:rsidRDefault="00000000">
                  <w:pPr>
                    <w:autoSpaceDE w:val="0"/>
                    <w:autoSpaceDN w:val="0"/>
                    <w:snapToGrid w:val="0"/>
                    <w:jc w:val="center"/>
                  </w:pPr>
                  <w:r>
                    <w:t>相符</w:t>
                  </w:r>
                </w:p>
              </w:tc>
            </w:tr>
            <w:tr w:rsidR="00F76A63" w14:paraId="4A2629DD" w14:textId="77777777">
              <w:trPr>
                <w:trHeight w:val="20"/>
              </w:trPr>
              <w:tc>
                <w:tcPr>
                  <w:tcW w:w="160" w:type="pct"/>
                  <w:vMerge w:val="restart"/>
                  <w:tcBorders>
                    <w:top w:val="single" w:sz="2" w:space="0" w:color="auto"/>
                    <w:left w:val="nil"/>
                    <w:bottom w:val="single" w:sz="2" w:space="0" w:color="auto"/>
                    <w:right w:val="single" w:sz="4" w:space="0" w:color="auto"/>
                  </w:tcBorders>
                  <w:vAlign w:val="center"/>
                </w:tcPr>
                <w:p w14:paraId="7FC88B8A" w14:textId="77777777" w:rsidR="00F76A63" w:rsidRDefault="00000000">
                  <w:pPr>
                    <w:autoSpaceDE w:val="0"/>
                    <w:autoSpaceDN w:val="0"/>
                    <w:snapToGrid w:val="0"/>
                    <w:jc w:val="center"/>
                  </w:pPr>
                  <w:r>
                    <w:rPr>
                      <w:kern w:val="0"/>
                    </w:rPr>
                    <w:t>末端治理</w:t>
                  </w:r>
                </w:p>
              </w:tc>
              <w:tc>
                <w:tcPr>
                  <w:tcW w:w="2283" w:type="pct"/>
                  <w:tcBorders>
                    <w:top w:val="single" w:sz="2" w:space="0" w:color="auto"/>
                    <w:left w:val="nil"/>
                    <w:bottom w:val="single" w:sz="2" w:space="0" w:color="auto"/>
                    <w:right w:val="single" w:sz="2" w:space="0" w:color="auto"/>
                  </w:tcBorders>
                  <w:vAlign w:val="center"/>
                </w:tcPr>
                <w:p w14:paraId="4B9E1B94" w14:textId="77777777" w:rsidR="00F76A63" w:rsidRDefault="00000000">
                  <w:pPr>
                    <w:autoSpaceDE w:val="0"/>
                    <w:autoSpaceDN w:val="0"/>
                    <w:snapToGrid w:val="0"/>
                    <w:jc w:val="center"/>
                  </w:pPr>
                  <w:r>
                    <w:t>（一）水泥窑协同处置固体废物设施，窑尾烟气除尘应采用高效袋式除尘器；</w:t>
                  </w:r>
                  <w:r>
                    <w:t>2014</w:t>
                  </w:r>
                  <w:r>
                    <w:t>年</w:t>
                  </w:r>
                  <w:r>
                    <w:t>3</w:t>
                  </w:r>
                  <w:r>
                    <w:t>月</w:t>
                  </w:r>
                  <w:r>
                    <w:t>1</w:t>
                  </w:r>
                  <w:r>
                    <w:t>日前已建成投产或环境影响评价文件已通过审批的协同处置固体废物设施，如窑尾采用电除尘器应持续提升其运行的稳定性，提高除尘效率，确保污</w:t>
                  </w:r>
                  <w:r>
                    <w:lastRenderedPageBreak/>
                    <w:t>染物连续稳定达标排放，鼓励将电除尘器改造为高效袋式除尘器。加强对协同处置固体废物水泥窑除尘器的运行与维护管理，确保除尘器与水泥窑生产</w:t>
                  </w:r>
                  <w:r>
                    <w:t>100%</w:t>
                  </w:r>
                  <w:r>
                    <w:t>同步运转。</w:t>
                  </w:r>
                </w:p>
              </w:tc>
              <w:tc>
                <w:tcPr>
                  <w:tcW w:w="2284" w:type="pct"/>
                  <w:tcBorders>
                    <w:top w:val="single" w:sz="2" w:space="0" w:color="auto"/>
                    <w:left w:val="single" w:sz="2" w:space="0" w:color="auto"/>
                    <w:bottom w:val="single" w:sz="2" w:space="0" w:color="auto"/>
                    <w:right w:val="single" w:sz="2" w:space="0" w:color="auto"/>
                  </w:tcBorders>
                  <w:vAlign w:val="center"/>
                </w:tcPr>
                <w:p w14:paraId="0B94CCB8" w14:textId="77777777" w:rsidR="00F76A63" w:rsidRDefault="00000000">
                  <w:pPr>
                    <w:autoSpaceDE w:val="0"/>
                    <w:autoSpaceDN w:val="0"/>
                    <w:snapToGrid w:val="0"/>
                    <w:jc w:val="center"/>
                  </w:pPr>
                  <w:r>
                    <w:lastRenderedPageBreak/>
                    <w:t>（</w:t>
                  </w:r>
                  <w:r>
                    <w:t>1</w:t>
                  </w:r>
                  <w:r>
                    <w:t>）本项目窑尾烟气除尘依托现有高效布袋除尘器。</w:t>
                  </w:r>
                </w:p>
                <w:p w14:paraId="667E5B0D" w14:textId="77777777" w:rsidR="00F76A63" w:rsidRDefault="00000000">
                  <w:pPr>
                    <w:autoSpaceDE w:val="0"/>
                    <w:autoSpaceDN w:val="0"/>
                    <w:snapToGrid w:val="0"/>
                    <w:jc w:val="center"/>
                  </w:pPr>
                  <w:r>
                    <w:t>（</w:t>
                  </w:r>
                  <w:r>
                    <w:t>2</w:t>
                  </w:r>
                  <w:r>
                    <w:t>）本项目运营期需加强对协同处置固体废物水泥窑除尘器的运行与维护管理，确保除尘器与水泥窑生产同步运转。</w:t>
                  </w:r>
                </w:p>
              </w:tc>
              <w:tc>
                <w:tcPr>
                  <w:tcW w:w="273" w:type="pct"/>
                  <w:tcBorders>
                    <w:top w:val="single" w:sz="2" w:space="0" w:color="auto"/>
                    <w:left w:val="single" w:sz="2" w:space="0" w:color="auto"/>
                    <w:bottom w:val="single" w:sz="2" w:space="0" w:color="auto"/>
                    <w:right w:val="nil"/>
                  </w:tcBorders>
                  <w:vAlign w:val="center"/>
                </w:tcPr>
                <w:p w14:paraId="1877E202" w14:textId="77777777" w:rsidR="00F76A63" w:rsidRDefault="00000000">
                  <w:pPr>
                    <w:autoSpaceDE w:val="0"/>
                    <w:autoSpaceDN w:val="0"/>
                    <w:snapToGrid w:val="0"/>
                    <w:jc w:val="center"/>
                  </w:pPr>
                  <w:r>
                    <w:t>相符</w:t>
                  </w:r>
                </w:p>
              </w:tc>
            </w:tr>
            <w:tr w:rsidR="00F76A63" w14:paraId="66F28C99"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3520D389"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475FF6DA" w14:textId="77777777" w:rsidR="00F76A63" w:rsidRDefault="00000000">
                  <w:pPr>
                    <w:autoSpaceDE w:val="0"/>
                    <w:autoSpaceDN w:val="0"/>
                    <w:snapToGrid w:val="0"/>
                    <w:jc w:val="center"/>
                  </w:pPr>
                  <w:r>
                    <w:t>（二）水泥窑协同处置过程中的氮氧化物、二氧化硫等污染物排放控制应执行《水泥工业污染防治技术政策》（环境保护部公告</w:t>
                  </w:r>
                  <w:r>
                    <w:t>2013</w:t>
                  </w:r>
                  <w:r>
                    <w:t>年第</w:t>
                  </w:r>
                  <w:r>
                    <w:t>31</w:t>
                  </w:r>
                  <w:r>
                    <w:t>号）的相关要求。</w:t>
                  </w:r>
                </w:p>
                <w:p w14:paraId="478DD8FE" w14:textId="77777777" w:rsidR="00F76A63" w:rsidRDefault="00000000">
                  <w:pPr>
                    <w:autoSpaceDE w:val="0"/>
                    <w:autoSpaceDN w:val="0"/>
                    <w:snapToGrid w:val="0"/>
                    <w:jc w:val="center"/>
                  </w:pPr>
                  <w:r>
                    <w:t>（十八）根据国家及地方环保要求，加强水泥窑</w:t>
                  </w:r>
                  <w:r>
                    <w:t>NOx</w:t>
                  </w:r>
                  <w:r>
                    <w:t>排放控制，在低氮燃烧技术（低氮燃烧器、分解炉分级燃烧、燃料替代等）的基础上，选择采用选择性非催化还原技术（</w:t>
                  </w:r>
                  <w:r>
                    <w:t>SNCR</w:t>
                  </w:r>
                  <w:r>
                    <w:t>）、选择性催化还原技术（</w:t>
                  </w:r>
                  <w:r>
                    <w:t>SCR</w:t>
                  </w:r>
                  <w:r>
                    <w:t>）或</w:t>
                  </w:r>
                  <w:r>
                    <w:t>SNCR-SCR</w:t>
                  </w:r>
                  <w:r>
                    <w:t>复合技术。</w:t>
                  </w:r>
                </w:p>
                <w:p w14:paraId="27CA7346" w14:textId="77777777" w:rsidR="00F76A63" w:rsidRDefault="00000000">
                  <w:pPr>
                    <w:autoSpaceDE w:val="0"/>
                    <w:autoSpaceDN w:val="0"/>
                    <w:snapToGrid w:val="0"/>
                    <w:jc w:val="center"/>
                  </w:pPr>
                  <w:r>
                    <w:t>（十九）针对</w:t>
                  </w:r>
                  <w:r>
                    <w:t>SO2</w:t>
                  </w:r>
                  <w:r>
                    <w:t>、氟化物等大气污染物排放浓度较高的水泥窑，宜采取湿法洗涤、活性炭吸附等净化措施和采取窑磨一体化运行方式，实现达标排放。</w:t>
                  </w:r>
                </w:p>
              </w:tc>
              <w:tc>
                <w:tcPr>
                  <w:tcW w:w="2284" w:type="pct"/>
                  <w:tcBorders>
                    <w:top w:val="single" w:sz="2" w:space="0" w:color="auto"/>
                    <w:left w:val="single" w:sz="2" w:space="0" w:color="auto"/>
                    <w:bottom w:val="single" w:sz="2" w:space="0" w:color="auto"/>
                    <w:right w:val="single" w:sz="2" w:space="0" w:color="auto"/>
                  </w:tcBorders>
                  <w:vAlign w:val="center"/>
                </w:tcPr>
                <w:p w14:paraId="1CB50698" w14:textId="77777777" w:rsidR="00F76A63" w:rsidRDefault="00000000">
                  <w:pPr>
                    <w:autoSpaceDE w:val="0"/>
                    <w:autoSpaceDN w:val="0"/>
                    <w:snapToGrid w:val="0"/>
                    <w:jc w:val="center"/>
                  </w:pPr>
                  <w:r>
                    <w:rPr>
                      <w:spacing w:val="10"/>
                      <w:szCs w:val="21"/>
                    </w:rPr>
                    <w:t>本项目通过窑内高温碱性环境中和、</w:t>
                  </w:r>
                  <w:r>
                    <w:rPr>
                      <w:spacing w:val="10"/>
                      <w:szCs w:val="21"/>
                    </w:rPr>
                    <w:t>HSNCR+SCR</w:t>
                  </w:r>
                  <w:r>
                    <w:rPr>
                      <w:spacing w:val="10"/>
                      <w:szCs w:val="21"/>
                    </w:rPr>
                    <w:t>高效精准智能化脱硝系统、增湿塔、余热发电锅炉、静电除尘等处理后排放烟气满足《水泥窑协同处置固体废物污染控制标准》的要求。</w:t>
                  </w:r>
                </w:p>
              </w:tc>
              <w:tc>
                <w:tcPr>
                  <w:tcW w:w="273" w:type="pct"/>
                  <w:tcBorders>
                    <w:top w:val="single" w:sz="2" w:space="0" w:color="auto"/>
                    <w:left w:val="single" w:sz="2" w:space="0" w:color="auto"/>
                    <w:bottom w:val="single" w:sz="2" w:space="0" w:color="auto"/>
                    <w:right w:val="nil"/>
                  </w:tcBorders>
                  <w:vAlign w:val="center"/>
                </w:tcPr>
                <w:p w14:paraId="67CAB79A" w14:textId="77777777" w:rsidR="00F76A63" w:rsidRDefault="00000000">
                  <w:pPr>
                    <w:autoSpaceDE w:val="0"/>
                    <w:autoSpaceDN w:val="0"/>
                    <w:snapToGrid w:val="0"/>
                    <w:jc w:val="center"/>
                  </w:pPr>
                  <w:r>
                    <w:t>相符</w:t>
                  </w:r>
                </w:p>
              </w:tc>
            </w:tr>
            <w:tr w:rsidR="00F76A63" w14:paraId="24BBF8AA"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0208BAE1"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23F5EF6E" w14:textId="77777777" w:rsidR="00F76A63" w:rsidRDefault="00000000">
                  <w:pPr>
                    <w:autoSpaceDE w:val="0"/>
                    <w:autoSpaceDN w:val="0"/>
                    <w:snapToGrid w:val="0"/>
                    <w:jc w:val="center"/>
                  </w:pPr>
                  <w:r>
                    <w:t>（三）水泥窑协同处置固体废物产生的渗滤液、车辆清洗废水及协同处置废物过程产生的其他废水，可经适当预处理后送入城市污水处理厂处理，或单独设置污水处理装置处理达标后回用，如果废水产生量小可直接喷入水泥窑内焚烧处置。严禁将未经处理的渗滤液及废水以任何形式直接排放。</w:t>
                  </w:r>
                </w:p>
              </w:tc>
              <w:tc>
                <w:tcPr>
                  <w:tcW w:w="2284" w:type="pct"/>
                  <w:tcBorders>
                    <w:top w:val="single" w:sz="2" w:space="0" w:color="auto"/>
                    <w:left w:val="single" w:sz="2" w:space="0" w:color="auto"/>
                    <w:bottom w:val="single" w:sz="2" w:space="0" w:color="auto"/>
                    <w:right w:val="single" w:sz="2" w:space="0" w:color="auto"/>
                  </w:tcBorders>
                  <w:vAlign w:val="center"/>
                </w:tcPr>
                <w:p w14:paraId="2CEF1074" w14:textId="77777777" w:rsidR="00F76A63" w:rsidRDefault="00000000">
                  <w:pPr>
                    <w:pStyle w:val="affff8"/>
                    <w:rPr>
                      <w:rFonts w:cs="Times New Roman"/>
                    </w:rPr>
                  </w:pPr>
                  <w:r>
                    <w:rPr>
                      <w:rFonts w:cs="Times New Roman"/>
                    </w:rPr>
                    <w:t>本项目不新增废水</w:t>
                  </w:r>
                  <w:r>
                    <w:rPr>
                      <w:rFonts w:cs="Times New Roman" w:hint="eastAsia"/>
                    </w:rPr>
                    <w:t>排放；</w:t>
                  </w:r>
                  <w:r>
                    <w:rPr>
                      <w:bCs/>
                      <w:kern w:val="28"/>
                      <w:szCs w:val="21"/>
                    </w:rPr>
                    <w:t>本项目</w:t>
                  </w:r>
                  <w:r>
                    <w:rPr>
                      <w:rFonts w:hint="eastAsia"/>
                      <w:bCs/>
                      <w:kern w:val="28"/>
                      <w:szCs w:val="21"/>
                    </w:rPr>
                    <w:t>产生的废水为污泥堆放产生的渗滤液，经集水沟统一收集至原水池和生产废水一起经中水处理系统处理后回用</w:t>
                  </w:r>
                  <w:r>
                    <w:rPr>
                      <w:rFonts w:cs="Times New Roman" w:hint="eastAsia"/>
                    </w:rPr>
                    <w:t>，现有生产废水冷却后回到循环冷却水池，回用于生产；现有生活污水经台泥厂区化粪池预处理后接管句容市下蜀污水处理有限公司集中处理，处理达标后排入老便民河</w:t>
                  </w:r>
                  <w:r>
                    <w:rPr>
                      <w:rFonts w:cs="Times New Roman"/>
                    </w:rPr>
                    <w:t>。</w:t>
                  </w:r>
                </w:p>
              </w:tc>
              <w:tc>
                <w:tcPr>
                  <w:tcW w:w="273" w:type="pct"/>
                  <w:tcBorders>
                    <w:top w:val="single" w:sz="2" w:space="0" w:color="auto"/>
                    <w:left w:val="single" w:sz="2" w:space="0" w:color="auto"/>
                    <w:bottom w:val="single" w:sz="2" w:space="0" w:color="auto"/>
                    <w:right w:val="nil"/>
                  </w:tcBorders>
                  <w:vAlign w:val="center"/>
                </w:tcPr>
                <w:p w14:paraId="6A56F32D" w14:textId="77777777" w:rsidR="00F76A63" w:rsidRDefault="00000000">
                  <w:pPr>
                    <w:autoSpaceDE w:val="0"/>
                    <w:autoSpaceDN w:val="0"/>
                    <w:snapToGrid w:val="0"/>
                    <w:jc w:val="center"/>
                  </w:pPr>
                  <w:r>
                    <w:t>相符</w:t>
                  </w:r>
                </w:p>
              </w:tc>
            </w:tr>
            <w:tr w:rsidR="00F76A63" w14:paraId="61A1B0A1"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5A3F5A23"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4B71DC63" w14:textId="77777777" w:rsidR="00F76A63" w:rsidRDefault="00000000">
                  <w:pPr>
                    <w:autoSpaceDE w:val="0"/>
                    <w:autoSpaceDN w:val="0"/>
                    <w:snapToGrid w:val="0"/>
                    <w:jc w:val="center"/>
                  </w:pPr>
                  <w:r>
                    <w:t>（四）水泥企业应对协同处置固体废物操作过程和环保设施运行情况进行记录，其中有条件的项目应纳入企业运行中控系统，具备即时数据查询和历史数据查询的功能。处置危险废物的数据记录应保留五年以上，处置一般固体废物的数据记录应保留一年以上。</w:t>
                  </w:r>
                </w:p>
              </w:tc>
              <w:tc>
                <w:tcPr>
                  <w:tcW w:w="2284" w:type="pct"/>
                  <w:tcBorders>
                    <w:top w:val="single" w:sz="2" w:space="0" w:color="auto"/>
                    <w:left w:val="single" w:sz="2" w:space="0" w:color="auto"/>
                    <w:bottom w:val="single" w:sz="2" w:space="0" w:color="auto"/>
                    <w:right w:val="single" w:sz="2" w:space="0" w:color="auto"/>
                  </w:tcBorders>
                  <w:vAlign w:val="center"/>
                </w:tcPr>
                <w:p w14:paraId="6A209C7A" w14:textId="77777777" w:rsidR="00F76A63" w:rsidRDefault="00000000">
                  <w:pPr>
                    <w:autoSpaceDE w:val="0"/>
                    <w:autoSpaceDN w:val="0"/>
                    <w:snapToGrid w:val="0"/>
                    <w:jc w:val="center"/>
                  </w:pPr>
                  <w:r>
                    <w:t>本项目协同处置固体废物操作过程和环保设施运行情况纳入企业运行中控系统，具备即时数据查询和历史数据查询的功能，协同处置一般固体废物的数据记录按规定保留一年以上。</w:t>
                  </w:r>
                </w:p>
              </w:tc>
              <w:tc>
                <w:tcPr>
                  <w:tcW w:w="273" w:type="pct"/>
                  <w:tcBorders>
                    <w:top w:val="single" w:sz="2" w:space="0" w:color="auto"/>
                    <w:left w:val="single" w:sz="2" w:space="0" w:color="auto"/>
                    <w:bottom w:val="single" w:sz="2" w:space="0" w:color="auto"/>
                    <w:right w:val="nil"/>
                  </w:tcBorders>
                  <w:vAlign w:val="center"/>
                </w:tcPr>
                <w:p w14:paraId="001FDE59" w14:textId="77777777" w:rsidR="00F76A63" w:rsidRDefault="00000000">
                  <w:pPr>
                    <w:autoSpaceDE w:val="0"/>
                    <w:autoSpaceDN w:val="0"/>
                    <w:snapToGrid w:val="0"/>
                    <w:jc w:val="center"/>
                  </w:pPr>
                  <w:r>
                    <w:t>相符</w:t>
                  </w:r>
                </w:p>
              </w:tc>
            </w:tr>
            <w:tr w:rsidR="00F76A63" w14:paraId="20862C02"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13020874"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500B0496" w14:textId="77777777" w:rsidR="00F76A63" w:rsidRDefault="00000000">
                  <w:pPr>
                    <w:autoSpaceDE w:val="0"/>
                    <w:autoSpaceDN w:val="0"/>
                    <w:snapToGrid w:val="0"/>
                    <w:jc w:val="center"/>
                  </w:pPr>
                  <w:r>
                    <w:t>（五）水泥企业应建立监测制度，定期开展自行监测。重点加强对窑尾废气中氯化氢、氟化氢、重金属和二噁英类污染物的监测。水泥窑排气筒必须安装大气污染物自动在线监测装置，监测数据信息应按照《国家重点监控企业污染源监督性监测及信息公开办法（试行）》的要求进行公开。</w:t>
                  </w:r>
                </w:p>
              </w:tc>
              <w:tc>
                <w:tcPr>
                  <w:tcW w:w="2284" w:type="pct"/>
                  <w:tcBorders>
                    <w:top w:val="single" w:sz="2" w:space="0" w:color="auto"/>
                    <w:left w:val="single" w:sz="2" w:space="0" w:color="auto"/>
                    <w:bottom w:val="single" w:sz="2" w:space="0" w:color="auto"/>
                    <w:right w:val="single" w:sz="2" w:space="0" w:color="auto"/>
                  </w:tcBorders>
                  <w:vAlign w:val="center"/>
                </w:tcPr>
                <w:p w14:paraId="51BBBC0B" w14:textId="77777777" w:rsidR="00F76A63" w:rsidRDefault="00000000">
                  <w:pPr>
                    <w:autoSpaceDE w:val="0"/>
                    <w:autoSpaceDN w:val="0"/>
                    <w:snapToGrid w:val="0"/>
                    <w:jc w:val="center"/>
                  </w:pPr>
                  <w:r>
                    <w:t>本项目建成后要求按照《水泥窑协同处置固体废物污染控制标准》（</w:t>
                  </w:r>
                  <w:r>
                    <w:t>GB 30485-2013</w:t>
                  </w:r>
                  <w:r>
                    <w:t>）、《排污许可证申请与核发技术规范</w:t>
                  </w:r>
                  <w:r>
                    <w:t xml:space="preserve"> </w:t>
                  </w:r>
                  <w:r>
                    <w:t>水泥工业》（</w:t>
                  </w:r>
                  <w:r>
                    <w:t>HJ847-2017</w:t>
                  </w:r>
                  <w:r>
                    <w:t>）、《排污单位自行监测技术指南</w:t>
                  </w:r>
                  <w:r>
                    <w:t xml:space="preserve"> </w:t>
                  </w:r>
                  <w:r>
                    <w:t>水泥工业》（</w:t>
                  </w:r>
                  <w:r>
                    <w:t>HJ 848-2017</w:t>
                  </w:r>
                  <w:r>
                    <w:t>）等要求定期开展自行监测。</w:t>
                  </w:r>
                </w:p>
                <w:p w14:paraId="2A29CBC3" w14:textId="77777777" w:rsidR="00F76A63" w:rsidRDefault="00000000">
                  <w:pPr>
                    <w:autoSpaceDE w:val="0"/>
                    <w:autoSpaceDN w:val="0"/>
                    <w:snapToGrid w:val="0"/>
                    <w:jc w:val="center"/>
                  </w:pPr>
                  <w:r>
                    <w:t>本项目依托现有废气处理设施，烟气设置有二氧化硫、氮氧</w:t>
                  </w:r>
                  <w:r>
                    <w:lastRenderedPageBreak/>
                    <w:t>化物、颗粒物等在线监测装置，并与当地环保部门联网，监测数据信息按照《国家重点监控企业污染源监督性监测及信息公开办法（试行）》的要求进行公开。</w:t>
                  </w:r>
                </w:p>
              </w:tc>
              <w:tc>
                <w:tcPr>
                  <w:tcW w:w="273" w:type="pct"/>
                  <w:tcBorders>
                    <w:top w:val="single" w:sz="2" w:space="0" w:color="auto"/>
                    <w:left w:val="single" w:sz="2" w:space="0" w:color="auto"/>
                    <w:bottom w:val="single" w:sz="2" w:space="0" w:color="auto"/>
                    <w:right w:val="nil"/>
                  </w:tcBorders>
                  <w:vAlign w:val="center"/>
                </w:tcPr>
                <w:p w14:paraId="207AC28C" w14:textId="77777777" w:rsidR="00F76A63" w:rsidRDefault="00000000">
                  <w:pPr>
                    <w:autoSpaceDE w:val="0"/>
                    <w:autoSpaceDN w:val="0"/>
                    <w:snapToGrid w:val="0"/>
                    <w:jc w:val="center"/>
                  </w:pPr>
                  <w:r>
                    <w:lastRenderedPageBreak/>
                    <w:t>相符</w:t>
                  </w:r>
                </w:p>
              </w:tc>
            </w:tr>
            <w:tr w:rsidR="00F76A63" w14:paraId="1B35430A"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56531693"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4C95FB0A" w14:textId="77777777" w:rsidR="00F76A63" w:rsidRDefault="00000000">
                  <w:pPr>
                    <w:autoSpaceDE w:val="0"/>
                    <w:autoSpaceDN w:val="0"/>
                    <w:snapToGrid w:val="0"/>
                    <w:jc w:val="center"/>
                  </w:pPr>
                  <w:r>
                    <w:t>（六）水泥窑旁路放风系统排出的废气不能直接排放，应与窑尾烟气混合处理或单独处理。旁路放风排气筒污染物排放限值和监测方法应执行《水泥窑协同处置固体废物污染控制标准》（</w:t>
                  </w:r>
                  <w:r>
                    <w:t>GB30485-2013</w:t>
                  </w:r>
                  <w:r>
                    <w:t>）的相关要求。对标准中未包含的特征污染物应符合环境影响评价提出的相关排放限值的要求。</w:t>
                  </w:r>
                </w:p>
              </w:tc>
              <w:tc>
                <w:tcPr>
                  <w:tcW w:w="2284" w:type="pct"/>
                  <w:tcBorders>
                    <w:top w:val="single" w:sz="2" w:space="0" w:color="auto"/>
                    <w:left w:val="single" w:sz="2" w:space="0" w:color="auto"/>
                    <w:bottom w:val="single" w:sz="2" w:space="0" w:color="auto"/>
                    <w:right w:val="single" w:sz="2" w:space="0" w:color="auto"/>
                  </w:tcBorders>
                  <w:vAlign w:val="center"/>
                </w:tcPr>
                <w:p w14:paraId="30CC8F37" w14:textId="77777777" w:rsidR="00F76A63" w:rsidRDefault="00000000">
                  <w:pPr>
                    <w:autoSpaceDE w:val="0"/>
                    <w:autoSpaceDN w:val="0"/>
                    <w:snapToGrid w:val="0"/>
                    <w:jc w:val="center"/>
                  </w:pPr>
                  <w:r>
                    <w:t>本项目水泥窑旁路放风系统排出的废气与窑尾烟气混合处理。</w:t>
                  </w:r>
                </w:p>
              </w:tc>
              <w:tc>
                <w:tcPr>
                  <w:tcW w:w="273" w:type="pct"/>
                  <w:tcBorders>
                    <w:top w:val="single" w:sz="2" w:space="0" w:color="auto"/>
                    <w:left w:val="single" w:sz="2" w:space="0" w:color="auto"/>
                    <w:bottom w:val="single" w:sz="2" w:space="0" w:color="auto"/>
                    <w:right w:val="nil"/>
                  </w:tcBorders>
                  <w:vAlign w:val="center"/>
                </w:tcPr>
                <w:p w14:paraId="329F0FFE" w14:textId="77777777" w:rsidR="00F76A63" w:rsidRDefault="00000000">
                  <w:pPr>
                    <w:autoSpaceDE w:val="0"/>
                    <w:autoSpaceDN w:val="0"/>
                    <w:snapToGrid w:val="0"/>
                    <w:jc w:val="center"/>
                  </w:pPr>
                  <w:r>
                    <w:t>相符</w:t>
                  </w:r>
                </w:p>
              </w:tc>
            </w:tr>
            <w:tr w:rsidR="00F76A63" w14:paraId="79D78168" w14:textId="77777777">
              <w:trPr>
                <w:trHeight w:val="20"/>
              </w:trPr>
              <w:tc>
                <w:tcPr>
                  <w:tcW w:w="160" w:type="pct"/>
                  <w:vMerge w:val="restart"/>
                  <w:tcBorders>
                    <w:top w:val="single" w:sz="2" w:space="0" w:color="auto"/>
                    <w:left w:val="nil"/>
                    <w:bottom w:val="single" w:sz="2" w:space="0" w:color="auto"/>
                    <w:right w:val="single" w:sz="4" w:space="0" w:color="auto"/>
                  </w:tcBorders>
                  <w:vAlign w:val="center"/>
                </w:tcPr>
                <w:p w14:paraId="6559A036" w14:textId="77777777" w:rsidR="00F76A63" w:rsidRDefault="00000000">
                  <w:pPr>
                    <w:autoSpaceDE w:val="0"/>
                    <w:autoSpaceDN w:val="0"/>
                    <w:snapToGrid w:val="0"/>
                    <w:jc w:val="center"/>
                  </w:pPr>
                  <w:r>
                    <w:rPr>
                      <w:kern w:val="0"/>
                    </w:rPr>
                    <w:t>二次污染防治</w:t>
                  </w:r>
                </w:p>
              </w:tc>
              <w:tc>
                <w:tcPr>
                  <w:tcW w:w="2283" w:type="pct"/>
                  <w:tcBorders>
                    <w:top w:val="single" w:sz="2" w:space="0" w:color="auto"/>
                    <w:left w:val="nil"/>
                    <w:bottom w:val="single" w:sz="2" w:space="0" w:color="auto"/>
                    <w:right w:val="single" w:sz="2" w:space="0" w:color="auto"/>
                  </w:tcBorders>
                  <w:vAlign w:val="center"/>
                </w:tcPr>
                <w:p w14:paraId="3A641FB1" w14:textId="77777777" w:rsidR="00F76A63" w:rsidRDefault="00000000">
                  <w:pPr>
                    <w:autoSpaceDE w:val="0"/>
                    <w:autoSpaceDN w:val="0"/>
                    <w:snapToGrid w:val="0"/>
                    <w:jc w:val="center"/>
                  </w:pPr>
                  <w:r>
                    <w:t>（一）协同处置固体废物水泥窑的窑尾除尘灰宜返回原料系统，但为避免汞等挥发性重金属在窑内过度积累而排出的窑尾除尘灰和旁路放风粉尘不应返回原料系统。如果窑灰和旁路放风粉尘需要送至厂外进行处理处置，应按危险废物进行管理。</w:t>
                  </w:r>
                </w:p>
              </w:tc>
              <w:tc>
                <w:tcPr>
                  <w:tcW w:w="2284" w:type="pct"/>
                  <w:tcBorders>
                    <w:top w:val="single" w:sz="2" w:space="0" w:color="auto"/>
                    <w:left w:val="single" w:sz="2" w:space="0" w:color="auto"/>
                    <w:bottom w:val="single" w:sz="2" w:space="0" w:color="auto"/>
                    <w:right w:val="single" w:sz="2" w:space="0" w:color="auto"/>
                  </w:tcBorders>
                  <w:vAlign w:val="center"/>
                </w:tcPr>
                <w:p w14:paraId="2E20AE9B" w14:textId="77777777" w:rsidR="00F76A63" w:rsidRDefault="00000000">
                  <w:pPr>
                    <w:autoSpaceDE w:val="0"/>
                    <w:autoSpaceDN w:val="0"/>
                    <w:snapToGrid w:val="0"/>
                    <w:jc w:val="center"/>
                  </w:pPr>
                  <w:r>
                    <w:t>窑尾布袋除尘产生的除尘灰返回原料磨，不送至厂外处理处置。为避免汞等挥发性重金属在窑内过度积累，本项目设置旁路放风，从水泥窑循环系统排出的窑灰和旁路放风收集的粉尘掺加入水泥熟料的处置方式，并严格控制其掺加比例，建设单位定期对水泥熟料样品进行化验分析，确保水泥产品中的氯、碱、硫含量满足要求，水泥产品环境安全性满足相关标准要求。</w:t>
                  </w:r>
                </w:p>
              </w:tc>
              <w:tc>
                <w:tcPr>
                  <w:tcW w:w="273" w:type="pct"/>
                  <w:tcBorders>
                    <w:top w:val="single" w:sz="2" w:space="0" w:color="auto"/>
                    <w:left w:val="single" w:sz="2" w:space="0" w:color="auto"/>
                    <w:bottom w:val="single" w:sz="2" w:space="0" w:color="auto"/>
                    <w:right w:val="nil"/>
                  </w:tcBorders>
                  <w:vAlign w:val="center"/>
                </w:tcPr>
                <w:p w14:paraId="36D739F7" w14:textId="77777777" w:rsidR="00F76A63" w:rsidRDefault="00000000">
                  <w:pPr>
                    <w:autoSpaceDE w:val="0"/>
                    <w:autoSpaceDN w:val="0"/>
                    <w:snapToGrid w:val="0"/>
                    <w:jc w:val="center"/>
                  </w:pPr>
                  <w:r>
                    <w:t>相符</w:t>
                  </w:r>
                </w:p>
              </w:tc>
            </w:tr>
            <w:tr w:rsidR="00F76A63" w14:paraId="6AA054CB"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5B8C7A53" w14:textId="77777777" w:rsidR="00F76A63" w:rsidRDefault="00F76A63">
                  <w:pPr>
                    <w:jc w:val="center"/>
                    <w:rPr>
                      <w:szCs w:val="21"/>
                    </w:rPr>
                  </w:pPr>
                </w:p>
              </w:tc>
              <w:tc>
                <w:tcPr>
                  <w:tcW w:w="2283" w:type="pct"/>
                  <w:tcBorders>
                    <w:top w:val="single" w:sz="2" w:space="0" w:color="auto"/>
                    <w:left w:val="nil"/>
                    <w:bottom w:val="single" w:sz="2" w:space="0" w:color="auto"/>
                    <w:right w:val="single" w:sz="2" w:space="0" w:color="auto"/>
                  </w:tcBorders>
                  <w:vAlign w:val="center"/>
                </w:tcPr>
                <w:p w14:paraId="373DB29F" w14:textId="77777777" w:rsidR="00F76A63" w:rsidRDefault="00000000">
                  <w:pPr>
                    <w:autoSpaceDE w:val="0"/>
                    <w:autoSpaceDN w:val="0"/>
                    <w:snapToGrid w:val="0"/>
                    <w:jc w:val="center"/>
                  </w:pPr>
                  <w:r>
                    <w:t>（二）生活垃圾和城市污水处理</w:t>
                  </w:r>
                  <w:bookmarkStart w:id="52" w:name="OLE_LINK36"/>
                  <w:r>
                    <w:t>污泥的贮存设施应有良好的防渗性能并设置污水收集装置</w:t>
                  </w:r>
                  <w:bookmarkEnd w:id="52"/>
                  <w:r>
                    <w:t>。贮存设施中有生活垃圾或污泥时应处于负压状态运行。</w:t>
                  </w:r>
                </w:p>
              </w:tc>
              <w:tc>
                <w:tcPr>
                  <w:tcW w:w="2284" w:type="pct"/>
                  <w:tcBorders>
                    <w:top w:val="single" w:sz="2" w:space="0" w:color="auto"/>
                    <w:left w:val="single" w:sz="2" w:space="0" w:color="auto"/>
                    <w:bottom w:val="single" w:sz="2" w:space="0" w:color="auto"/>
                    <w:right w:val="single" w:sz="2" w:space="0" w:color="auto"/>
                  </w:tcBorders>
                  <w:vAlign w:val="center"/>
                </w:tcPr>
                <w:p w14:paraId="54FA49E3" w14:textId="77777777" w:rsidR="00F76A63" w:rsidRDefault="00000000">
                  <w:pPr>
                    <w:autoSpaceDE w:val="0"/>
                    <w:autoSpaceDN w:val="0"/>
                    <w:snapToGrid w:val="0"/>
                    <w:jc w:val="center"/>
                  </w:pPr>
                  <w:r>
                    <w:t>本项目不处置生活垃圾，污泥拟贮存在拟建的原料、污染土堆棚中，污泥贮存设施具有良好的防渗性能，并处于负压状态运行。</w:t>
                  </w:r>
                </w:p>
              </w:tc>
              <w:tc>
                <w:tcPr>
                  <w:tcW w:w="273" w:type="pct"/>
                  <w:tcBorders>
                    <w:top w:val="single" w:sz="2" w:space="0" w:color="auto"/>
                    <w:left w:val="single" w:sz="2" w:space="0" w:color="auto"/>
                    <w:bottom w:val="single" w:sz="2" w:space="0" w:color="auto"/>
                    <w:right w:val="nil"/>
                  </w:tcBorders>
                  <w:vAlign w:val="center"/>
                </w:tcPr>
                <w:p w14:paraId="20F17849" w14:textId="77777777" w:rsidR="00F76A63" w:rsidRDefault="00000000">
                  <w:pPr>
                    <w:autoSpaceDE w:val="0"/>
                    <w:autoSpaceDN w:val="0"/>
                    <w:snapToGrid w:val="0"/>
                    <w:jc w:val="center"/>
                  </w:pPr>
                  <w:r>
                    <w:t>相符</w:t>
                  </w:r>
                </w:p>
              </w:tc>
            </w:tr>
            <w:tr w:rsidR="00F76A63" w14:paraId="624D461C" w14:textId="77777777">
              <w:trPr>
                <w:trHeight w:val="20"/>
              </w:trPr>
              <w:tc>
                <w:tcPr>
                  <w:tcW w:w="0" w:type="auto"/>
                  <w:vMerge/>
                  <w:tcBorders>
                    <w:top w:val="single" w:sz="2" w:space="0" w:color="auto"/>
                    <w:left w:val="nil"/>
                    <w:bottom w:val="single" w:sz="2" w:space="0" w:color="auto"/>
                    <w:right w:val="single" w:sz="4" w:space="0" w:color="auto"/>
                  </w:tcBorders>
                  <w:vAlign w:val="center"/>
                </w:tcPr>
                <w:p w14:paraId="23E1EC81" w14:textId="77777777" w:rsidR="00F76A63" w:rsidRDefault="00F76A63">
                  <w:pPr>
                    <w:jc w:val="center"/>
                    <w:rPr>
                      <w:szCs w:val="21"/>
                    </w:rPr>
                  </w:pPr>
                </w:p>
              </w:tc>
              <w:tc>
                <w:tcPr>
                  <w:tcW w:w="2283" w:type="pct"/>
                  <w:tcBorders>
                    <w:top w:val="single" w:sz="2" w:space="0" w:color="auto"/>
                    <w:left w:val="nil"/>
                    <w:bottom w:val="single" w:sz="12" w:space="0" w:color="auto"/>
                    <w:right w:val="single" w:sz="2" w:space="0" w:color="auto"/>
                  </w:tcBorders>
                  <w:vAlign w:val="center"/>
                </w:tcPr>
                <w:p w14:paraId="2D3AD4E6" w14:textId="77777777" w:rsidR="00F76A63" w:rsidRDefault="00000000">
                  <w:pPr>
                    <w:autoSpaceDE w:val="0"/>
                    <w:autoSpaceDN w:val="0"/>
                    <w:snapToGrid w:val="0"/>
                    <w:jc w:val="center"/>
                  </w:pPr>
                  <w:r>
                    <w:t>（三）污泥干化系统、生活垃圾贮存及预处理产生的废气应送入水泥窑高温区焚烧处理或在干化系统中安装废气除臭设施，采用生物、化学等除臭技术处理后达标排放。在水泥窑停窑期间，固体废物贮存及预处理产生的废气、污泥干化系统产生的废气须经废气治理设施处理后达标排放。</w:t>
                  </w:r>
                </w:p>
              </w:tc>
              <w:tc>
                <w:tcPr>
                  <w:tcW w:w="2284" w:type="pct"/>
                  <w:tcBorders>
                    <w:top w:val="single" w:sz="2" w:space="0" w:color="auto"/>
                    <w:left w:val="single" w:sz="2" w:space="0" w:color="auto"/>
                    <w:bottom w:val="single" w:sz="12" w:space="0" w:color="auto"/>
                    <w:right w:val="single" w:sz="2" w:space="0" w:color="auto"/>
                  </w:tcBorders>
                  <w:vAlign w:val="center"/>
                </w:tcPr>
                <w:p w14:paraId="450652B2" w14:textId="77777777" w:rsidR="00F76A63" w:rsidRDefault="00000000">
                  <w:pPr>
                    <w:autoSpaceDE w:val="0"/>
                    <w:autoSpaceDN w:val="0"/>
                    <w:snapToGrid w:val="0"/>
                    <w:jc w:val="center"/>
                  </w:pPr>
                  <w:r>
                    <w:t>本项目不涉及污泥干化系统、生活垃圾贮存及预处理。</w:t>
                  </w:r>
                </w:p>
              </w:tc>
              <w:tc>
                <w:tcPr>
                  <w:tcW w:w="273" w:type="pct"/>
                  <w:tcBorders>
                    <w:top w:val="single" w:sz="2" w:space="0" w:color="auto"/>
                    <w:left w:val="single" w:sz="2" w:space="0" w:color="auto"/>
                    <w:bottom w:val="single" w:sz="12" w:space="0" w:color="auto"/>
                    <w:right w:val="nil"/>
                  </w:tcBorders>
                  <w:vAlign w:val="center"/>
                </w:tcPr>
                <w:p w14:paraId="1E9F5A05" w14:textId="77777777" w:rsidR="00F76A63" w:rsidRDefault="00000000">
                  <w:pPr>
                    <w:autoSpaceDE w:val="0"/>
                    <w:autoSpaceDN w:val="0"/>
                    <w:snapToGrid w:val="0"/>
                    <w:jc w:val="center"/>
                  </w:pPr>
                  <w:r>
                    <w:t>相符</w:t>
                  </w:r>
                </w:p>
              </w:tc>
            </w:tr>
          </w:tbl>
          <w:bookmarkEnd w:id="50"/>
          <w:p w14:paraId="49878746" w14:textId="77777777" w:rsidR="00F76A63" w:rsidRDefault="00000000">
            <w:pPr>
              <w:pStyle w:val="afffff2"/>
            </w:pPr>
            <w:r>
              <w:t>表</w:t>
            </w:r>
            <w:r>
              <w:t>1-1</w:t>
            </w:r>
            <w:r>
              <w:rPr>
                <w:rFonts w:hint="eastAsia"/>
              </w:rPr>
              <w:t>9</w:t>
            </w:r>
            <w:r>
              <w:t xml:space="preserve">  </w:t>
            </w:r>
            <w:r>
              <w:t>本项目与《省生态环境厅关于印发</w:t>
            </w:r>
            <w:r>
              <w:t>&lt;</w:t>
            </w:r>
            <w:r>
              <w:t>江苏省固体废物全过程环境监管工作意见</w:t>
            </w:r>
            <w:r>
              <w:t>&gt;</w:t>
            </w:r>
            <w:r>
              <w:t>的通知》（苏环办〔</w:t>
            </w:r>
            <w:r>
              <w:t>2024</w:t>
            </w:r>
            <w:r>
              <w:t>〕</w:t>
            </w:r>
            <w:r>
              <w:t>16</w:t>
            </w:r>
            <w:r>
              <w:t>号）相符性分析</w:t>
            </w:r>
          </w:p>
          <w:tbl>
            <w:tblPr>
              <w:tblW w:w="5000" w:type="pct"/>
              <w:tblBorders>
                <w:top w:val="single" w:sz="12" w:space="0" w:color="auto"/>
                <w:bottom w:val="single" w:sz="12" w:space="0" w:color="auto"/>
                <w:insideH w:val="single" w:sz="6" w:space="0" w:color="auto"/>
                <w:insideV w:val="single" w:sz="6" w:space="0" w:color="auto"/>
              </w:tblBorders>
              <w:tblLook w:val="04A0" w:firstRow="1" w:lastRow="0" w:firstColumn="1" w:lastColumn="0" w:noHBand="0" w:noVBand="1"/>
            </w:tblPr>
            <w:tblGrid>
              <w:gridCol w:w="642"/>
              <w:gridCol w:w="8054"/>
              <w:gridCol w:w="3179"/>
              <w:gridCol w:w="878"/>
            </w:tblGrid>
            <w:tr w:rsidR="00F76A63" w14:paraId="09B013E1" w14:textId="77777777">
              <w:trPr>
                <w:trHeight w:val="340"/>
              </w:trPr>
              <w:tc>
                <w:tcPr>
                  <w:tcW w:w="643" w:type="dxa"/>
                  <w:tcBorders>
                    <w:top w:val="single" w:sz="12" w:space="0" w:color="auto"/>
                    <w:left w:val="nil"/>
                    <w:bottom w:val="single" w:sz="6" w:space="0" w:color="auto"/>
                    <w:right w:val="single" w:sz="6" w:space="0" w:color="auto"/>
                  </w:tcBorders>
                  <w:noWrap/>
                  <w:vAlign w:val="center"/>
                </w:tcPr>
                <w:p w14:paraId="6F5D5FDE" w14:textId="77777777" w:rsidR="00F76A63" w:rsidRDefault="00000000">
                  <w:pPr>
                    <w:pStyle w:val="001"/>
                  </w:pPr>
                  <w:bookmarkStart w:id="53" w:name="_Hlk214976749"/>
                  <w:r>
                    <w:t>项目</w:t>
                  </w:r>
                  <w:bookmarkEnd w:id="53"/>
                </w:p>
              </w:tc>
              <w:tc>
                <w:tcPr>
                  <w:tcW w:w="8066" w:type="dxa"/>
                  <w:tcBorders>
                    <w:top w:val="single" w:sz="12" w:space="0" w:color="auto"/>
                    <w:left w:val="single" w:sz="6" w:space="0" w:color="auto"/>
                    <w:bottom w:val="single" w:sz="6" w:space="0" w:color="auto"/>
                    <w:right w:val="single" w:sz="6" w:space="0" w:color="auto"/>
                  </w:tcBorders>
                  <w:noWrap/>
                  <w:vAlign w:val="center"/>
                </w:tcPr>
                <w:p w14:paraId="6C33C6E0" w14:textId="77777777" w:rsidR="00F76A63" w:rsidRDefault="00000000">
                  <w:pPr>
                    <w:pStyle w:val="001"/>
                  </w:pPr>
                  <w:r>
                    <w:t>苏环办〔</w:t>
                  </w:r>
                  <w:r>
                    <w:t>2024</w:t>
                  </w:r>
                  <w:r>
                    <w:t>〕</w:t>
                  </w:r>
                  <w:r>
                    <w:t>16</w:t>
                  </w:r>
                  <w:r>
                    <w:t>号文中要求</w:t>
                  </w:r>
                </w:p>
              </w:tc>
              <w:tc>
                <w:tcPr>
                  <w:tcW w:w="3183" w:type="dxa"/>
                  <w:tcBorders>
                    <w:top w:val="single" w:sz="12" w:space="0" w:color="auto"/>
                    <w:left w:val="single" w:sz="6" w:space="0" w:color="auto"/>
                    <w:bottom w:val="single" w:sz="6" w:space="0" w:color="auto"/>
                    <w:right w:val="single" w:sz="6" w:space="0" w:color="auto"/>
                  </w:tcBorders>
                  <w:noWrap/>
                  <w:vAlign w:val="center"/>
                </w:tcPr>
                <w:p w14:paraId="196169B3" w14:textId="77777777" w:rsidR="00F76A63" w:rsidRDefault="00000000">
                  <w:pPr>
                    <w:pStyle w:val="001"/>
                  </w:pPr>
                  <w:r>
                    <w:t>本项目落实情况</w:t>
                  </w:r>
                </w:p>
              </w:tc>
              <w:tc>
                <w:tcPr>
                  <w:tcW w:w="879" w:type="dxa"/>
                  <w:tcBorders>
                    <w:top w:val="single" w:sz="12" w:space="0" w:color="auto"/>
                    <w:left w:val="single" w:sz="6" w:space="0" w:color="auto"/>
                    <w:bottom w:val="single" w:sz="6" w:space="0" w:color="auto"/>
                    <w:right w:val="nil"/>
                  </w:tcBorders>
                  <w:noWrap/>
                  <w:vAlign w:val="center"/>
                </w:tcPr>
                <w:p w14:paraId="4920C846" w14:textId="77777777" w:rsidR="00F76A63" w:rsidRDefault="00000000">
                  <w:pPr>
                    <w:pStyle w:val="001"/>
                  </w:pPr>
                  <w:r>
                    <w:t>相符性</w:t>
                  </w:r>
                </w:p>
              </w:tc>
            </w:tr>
            <w:tr w:rsidR="00F76A63" w14:paraId="6081D327" w14:textId="77777777">
              <w:trPr>
                <w:trHeight w:val="340"/>
              </w:trPr>
              <w:tc>
                <w:tcPr>
                  <w:tcW w:w="643" w:type="dxa"/>
                  <w:vMerge w:val="restart"/>
                  <w:tcBorders>
                    <w:top w:val="single" w:sz="6" w:space="0" w:color="auto"/>
                    <w:left w:val="nil"/>
                    <w:bottom w:val="single" w:sz="6" w:space="0" w:color="auto"/>
                    <w:right w:val="single" w:sz="6" w:space="0" w:color="auto"/>
                  </w:tcBorders>
                  <w:noWrap/>
                  <w:vAlign w:val="center"/>
                </w:tcPr>
                <w:p w14:paraId="42F7482C" w14:textId="77777777" w:rsidR="00F76A63" w:rsidRDefault="00000000">
                  <w:pPr>
                    <w:pStyle w:val="000"/>
                  </w:pPr>
                  <w:r>
                    <w:t>注重</w:t>
                  </w:r>
                  <w:r>
                    <w:lastRenderedPageBreak/>
                    <w:t>源头预防</w:t>
                  </w:r>
                </w:p>
              </w:tc>
              <w:tc>
                <w:tcPr>
                  <w:tcW w:w="8066" w:type="dxa"/>
                  <w:tcBorders>
                    <w:top w:val="single" w:sz="6" w:space="0" w:color="auto"/>
                    <w:left w:val="single" w:sz="6" w:space="0" w:color="auto"/>
                    <w:bottom w:val="single" w:sz="6" w:space="0" w:color="auto"/>
                    <w:right w:val="single" w:sz="6" w:space="0" w:color="auto"/>
                  </w:tcBorders>
                  <w:noWrap/>
                  <w:vAlign w:val="center"/>
                </w:tcPr>
                <w:p w14:paraId="2398AAFC" w14:textId="77777777" w:rsidR="00F76A63" w:rsidRDefault="00000000">
                  <w:pPr>
                    <w:pStyle w:val="000"/>
                  </w:pPr>
                  <w:r>
                    <w:lastRenderedPageBreak/>
                    <w:t>2.</w:t>
                  </w:r>
                  <w:r>
                    <w:t>规范项目审批。建设项目环评要评价产生的固体废物种类、数量、来源和属性，论</w:t>
                  </w:r>
                  <w:r>
                    <w:lastRenderedPageBreak/>
                    <w:t>述贮存、转移和利用处置方式合规性、合理性，提出切实可行的污染防治对策措施。所有产物要按照以下五类属性给予明确并规范表述：目标产物（产品、副产品）鉴别属于产品（符合国家、地方或行业标准）、可定向用于特定用途按产品管理（如符合团体标准）、一般固体废物和危险废物。不得将不符合</w:t>
                  </w:r>
                  <w:r>
                    <w:t>GB34330</w:t>
                  </w:r>
                  <w:r>
                    <w:t>、</w:t>
                  </w:r>
                  <w:r>
                    <w:t>HJ1091</w:t>
                  </w:r>
                  <w:r>
                    <w:t>等标准的产物认定为</w:t>
                  </w:r>
                  <w:r>
                    <w:t>“</w:t>
                  </w:r>
                  <w:r>
                    <w:t>再生产品</w:t>
                  </w:r>
                  <w:r>
                    <w:t>”</w:t>
                  </w:r>
                  <w:r>
                    <w:t>，不得出现</w:t>
                  </w:r>
                  <w:r>
                    <w:t>“</w:t>
                  </w:r>
                  <w:r>
                    <w:t>中间产物</w:t>
                  </w:r>
                  <w:r>
                    <w:t>”“</w:t>
                  </w:r>
                  <w:r>
                    <w:t>再生产物</w:t>
                  </w:r>
                  <w:r>
                    <w:t>”</w:t>
                  </w:r>
                  <w:r>
                    <w:t>等不规范表述，严禁以</w:t>
                  </w:r>
                  <w:r>
                    <w:t>“</w:t>
                  </w:r>
                  <w:r>
                    <w:t>副产品</w:t>
                  </w:r>
                  <w:r>
                    <w:t>”</w:t>
                  </w:r>
                  <w:r>
                    <w:t>名义逃避监管。不能排除危险特性的固体废物，须在环评文件中明确具体鉴别方案，鉴别前按危险废物管理，鉴别后根据结论按一般固废或危险废物管理。</w:t>
                  </w:r>
                </w:p>
              </w:tc>
              <w:tc>
                <w:tcPr>
                  <w:tcW w:w="3183" w:type="dxa"/>
                  <w:tcBorders>
                    <w:top w:val="single" w:sz="6" w:space="0" w:color="auto"/>
                    <w:left w:val="single" w:sz="6" w:space="0" w:color="auto"/>
                    <w:bottom w:val="single" w:sz="6" w:space="0" w:color="auto"/>
                    <w:right w:val="single" w:sz="6" w:space="0" w:color="auto"/>
                  </w:tcBorders>
                  <w:noWrap/>
                  <w:vAlign w:val="center"/>
                </w:tcPr>
                <w:p w14:paraId="32E447B6" w14:textId="77777777" w:rsidR="00F76A63" w:rsidRDefault="00000000">
                  <w:pPr>
                    <w:pStyle w:val="000"/>
                  </w:pPr>
                  <w:r>
                    <w:lastRenderedPageBreak/>
                    <w:t>本项目不新增危废，现有危废均</w:t>
                  </w:r>
                  <w:r>
                    <w:lastRenderedPageBreak/>
                    <w:t>委托有资质单位处置</w:t>
                  </w:r>
                  <w:r>
                    <w:rPr>
                      <w:rFonts w:hint="eastAsia"/>
                    </w:rPr>
                    <w:t>。</w:t>
                  </w:r>
                </w:p>
              </w:tc>
              <w:tc>
                <w:tcPr>
                  <w:tcW w:w="879" w:type="dxa"/>
                  <w:tcBorders>
                    <w:top w:val="single" w:sz="6" w:space="0" w:color="auto"/>
                    <w:left w:val="single" w:sz="6" w:space="0" w:color="auto"/>
                    <w:bottom w:val="single" w:sz="6" w:space="0" w:color="auto"/>
                    <w:right w:val="nil"/>
                  </w:tcBorders>
                  <w:noWrap/>
                  <w:vAlign w:val="center"/>
                </w:tcPr>
                <w:p w14:paraId="7A9FD380" w14:textId="77777777" w:rsidR="00F76A63" w:rsidRDefault="00000000">
                  <w:pPr>
                    <w:pStyle w:val="000"/>
                  </w:pPr>
                  <w:r>
                    <w:lastRenderedPageBreak/>
                    <w:t>符合</w:t>
                  </w:r>
                </w:p>
              </w:tc>
            </w:tr>
            <w:tr w:rsidR="00F76A63" w14:paraId="6BE2F131" w14:textId="77777777">
              <w:trPr>
                <w:trHeight w:val="340"/>
              </w:trPr>
              <w:tc>
                <w:tcPr>
                  <w:tcW w:w="643" w:type="dxa"/>
                  <w:vMerge/>
                  <w:tcBorders>
                    <w:top w:val="single" w:sz="6" w:space="0" w:color="auto"/>
                    <w:left w:val="nil"/>
                    <w:bottom w:val="single" w:sz="6" w:space="0" w:color="auto"/>
                    <w:right w:val="single" w:sz="6" w:space="0" w:color="auto"/>
                  </w:tcBorders>
                  <w:vAlign w:val="center"/>
                </w:tcPr>
                <w:p w14:paraId="6F8E7088" w14:textId="77777777" w:rsidR="00F76A63" w:rsidRDefault="00F76A63">
                  <w:pPr>
                    <w:widowControl/>
                    <w:rPr>
                      <w:bCs/>
                      <w:kern w:val="28"/>
                      <w:szCs w:val="21"/>
                    </w:rPr>
                  </w:pPr>
                </w:p>
              </w:tc>
              <w:tc>
                <w:tcPr>
                  <w:tcW w:w="8066" w:type="dxa"/>
                  <w:tcBorders>
                    <w:top w:val="single" w:sz="6" w:space="0" w:color="auto"/>
                    <w:left w:val="single" w:sz="6" w:space="0" w:color="auto"/>
                    <w:bottom w:val="single" w:sz="6" w:space="0" w:color="auto"/>
                    <w:right w:val="single" w:sz="6" w:space="0" w:color="auto"/>
                  </w:tcBorders>
                  <w:noWrap/>
                  <w:vAlign w:val="center"/>
                </w:tcPr>
                <w:p w14:paraId="46800ACA" w14:textId="77777777" w:rsidR="00F76A63" w:rsidRDefault="00000000">
                  <w:pPr>
                    <w:pStyle w:val="000"/>
                  </w:pPr>
                  <w:r>
                    <w:t>3.</w:t>
                  </w:r>
                  <w:r>
                    <w:t>落实排污许可制度。企业要在排污许可管理系统中全面准确申报工业固体废物产生种类，以及贮存设施和利用处置等相关情况，并对其真实性负责。实际产生、转移、贮存和利用处置情况对照项目环评发生变动的，要根据变动情况及时采取重新报批环评、纳入环境保护竣工验收等手续，并及时变更排污许可。</w:t>
                  </w:r>
                </w:p>
              </w:tc>
              <w:tc>
                <w:tcPr>
                  <w:tcW w:w="3183" w:type="dxa"/>
                  <w:tcBorders>
                    <w:top w:val="single" w:sz="6" w:space="0" w:color="auto"/>
                    <w:left w:val="single" w:sz="6" w:space="0" w:color="auto"/>
                    <w:bottom w:val="single" w:sz="6" w:space="0" w:color="auto"/>
                    <w:right w:val="single" w:sz="6" w:space="0" w:color="auto"/>
                  </w:tcBorders>
                  <w:noWrap/>
                  <w:vAlign w:val="center"/>
                </w:tcPr>
                <w:p w14:paraId="392ACB1D" w14:textId="77777777" w:rsidR="00F76A63" w:rsidRDefault="00000000">
                  <w:pPr>
                    <w:pStyle w:val="000"/>
                  </w:pPr>
                  <w:r>
                    <w:t>在排污许可管理系统中，明确固废产生种类和贮存设施和利用处置相关情况，待本项目主体工程和环保工程建设完成后，及时重新申请排污许可证，开展环保竣工验收</w:t>
                  </w:r>
                  <w:r>
                    <w:rPr>
                      <w:rFonts w:hint="eastAsia"/>
                    </w:rPr>
                    <w:t>。</w:t>
                  </w:r>
                </w:p>
              </w:tc>
              <w:tc>
                <w:tcPr>
                  <w:tcW w:w="879" w:type="dxa"/>
                  <w:tcBorders>
                    <w:top w:val="single" w:sz="6" w:space="0" w:color="auto"/>
                    <w:left w:val="single" w:sz="6" w:space="0" w:color="auto"/>
                    <w:bottom w:val="single" w:sz="6" w:space="0" w:color="auto"/>
                    <w:right w:val="nil"/>
                  </w:tcBorders>
                  <w:noWrap/>
                  <w:vAlign w:val="center"/>
                </w:tcPr>
                <w:p w14:paraId="39BEE84F" w14:textId="77777777" w:rsidR="00F76A63" w:rsidRDefault="00000000">
                  <w:pPr>
                    <w:pStyle w:val="000"/>
                  </w:pPr>
                  <w:r>
                    <w:t>符合</w:t>
                  </w:r>
                </w:p>
              </w:tc>
            </w:tr>
            <w:tr w:rsidR="00F76A63" w14:paraId="1BEE31D3" w14:textId="77777777">
              <w:trPr>
                <w:trHeight w:val="340"/>
              </w:trPr>
              <w:tc>
                <w:tcPr>
                  <w:tcW w:w="643" w:type="dxa"/>
                  <w:vMerge w:val="restart"/>
                  <w:tcBorders>
                    <w:top w:val="single" w:sz="6" w:space="0" w:color="auto"/>
                    <w:left w:val="nil"/>
                    <w:bottom w:val="single" w:sz="6" w:space="0" w:color="auto"/>
                    <w:right w:val="single" w:sz="6" w:space="0" w:color="auto"/>
                  </w:tcBorders>
                  <w:noWrap/>
                  <w:vAlign w:val="center"/>
                </w:tcPr>
                <w:p w14:paraId="7C4BE47A" w14:textId="77777777" w:rsidR="00F76A63" w:rsidRDefault="00000000">
                  <w:pPr>
                    <w:pStyle w:val="000"/>
                  </w:pPr>
                  <w:r>
                    <w:t>严格过程控制</w:t>
                  </w:r>
                </w:p>
              </w:tc>
              <w:tc>
                <w:tcPr>
                  <w:tcW w:w="8066" w:type="dxa"/>
                  <w:tcBorders>
                    <w:top w:val="single" w:sz="6" w:space="0" w:color="auto"/>
                    <w:left w:val="single" w:sz="6" w:space="0" w:color="auto"/>
                    <w:bottom w:val="single" w:sz="6" w:space="0" w:color="auto"/>
                    <w:right w:val="single" w:sz="6" w:space="0" w:color="auto"/>
                  </w:tcBorders>
                  <w:noWrap/>
                  <w:vAlign w:val="center"/>
                </w:tcPr>
                <w:p w14:paraId="068909F2" w14:textId="77777777" w:rsidR="00F76A63" w:rsidRDefault="00000000">
                  <w:pPr>
                    <w:pStyle w:val="000"/>
                  </w:pPr>
                  <w:r>
                    <w:t>6.</w:t>
                  </w:r>
                  <w:r>
                    <w:t>规范贮存管理要求。根据《危险废物贮存污染控制标准》</w:t>
                  </w:r>
                  <w:r>
                    <w:t>GB18597-2023</w:t>
                  </w:r>
                  <w:r>
                    <w:t>），企业可根据实际情况选择采用危险废物贮存设施或贮存点两类方式进行贮存，符合相应的污染控制标准：不具备建设贮存设施条件、选用贮存点方式的，除符合国家关于贮存点控制要求外，还要执行《江苏省危险废物集中收集体系建设工作方案（试行）》（苏环办〔</w:t>
                  </w:r>
                  <w:r>
                    <w:t>2021</w:t>
                  </w:r>
                  <w:r>
                    <w:t>〕</w:t>
                  </w:r>
                  <w:r>
                    <w:t>290</w:t>
                  </w:r>
                  <w:r>
                    <w:t>号）中关于贮存周期和贮存量的要求，</w:t>
                  </w:r>
                  <w:r>
                    <w:t>I</w:t>
                  </w:r>
                  <w:r>
                    <w:t>级、</w:t>
                  </w:r>
                  <w:r>
                    <w:t>Ⅱ</w:t>
                  </w:r>
                  <w:r>
                    <w:t>级、</w:t>
                  </w:r>
                  <w:r>
                    <w:t>Ⅲ</w:t>
                  </w:r>
                  <w:r>
                    <w:t>级危险废物贮存时间分别不得超过</w:t>
                  </w:r>
                  <w:r>
                    <w:t>30</w:t>
                  </w:r>
                  <w:r>
                    <w:t>天、</w:t>
                  </w:r>
                  <w:r>
                    <w:t>60</w:t>
                  </w:r>
                  <w:r>
                    <w:t>天、</w:t>
                  </w:r>
                  <w:r>
                    <w:t>90</w:t>
                  </w:r>
                  <w:r>
                    <w:t>天，最大贮存量不得超过</w:t>
                  </w:r>
                  <w:r>
                    <w:t>1</w:t>
                  </w:r>
                  <w:r>
                    <w:t>吨。</w:t>
                  </w:r>
                </w:p>
              </w:tc>
              <w:tc>
                <w:tcPr>
                  <w:tcW w:w="3183" w:type="dxa"/>
                  <w:tcBorders>
                    <w:top w:val="single" w:sz="6" w:space="0" w:color="auto"/>
                    <w:left w:val="single" w:sz="6" w:space="0" w:color="auto"/>
                    <w:bottom w:val="single" w:sz="6" w:space="0" w:color="auto"/>
                    <w:right w:val="single" w:sz="6" w:space="0" w:color="auto"/>
                  </w:tcBorders>
                  <w:noWrap/>
                  <w:vAlign w:val="center"/>
                </w:tcPr>
                <w:p w14:paraId="524F3280" w14:textId="77777777" w:rsidR="00F76A63" w:rsidRDefault="00000000">
                  <w:pPr>
                    <w:pStyle w:val="000"/>
                  </w:pPr>
                  <w:r>
                    <w:t>本项目依托句容台泥现有危险废物暂存库，占地面积</w:t>
                  </w:r>
                  <w:r>
                    <w:t>90m</w:t>
                  </w:r>
                  <w:r>
                    <w:rPr>
                      <w:vertAlign w:val="superscript"/>
                    </w:rPr>
                    <w:t>2</w:t>
                  </w:r>
                  <w:r>
                    <w:t>，按照《危险废物贮存污染控制标准》（</w:t>
                  </w:r>
                  <w:r>
                    <w:t>GB18597-2023</w:t>
                  </w:r>
                  <w:r>
                    <w:t>）的相关规定要求进行建设，周围建设地沟、围堰，地面进行硬化防腐防渗处理，外部设置应急收集井；出口设置防溢出围堰，并由专人管理和维护。仓库内各种危废按照不同的类别和性质，分别存放于专门的容器，分类存放在各自的堆放区内。</w:t>
                  </w:r>
                </w:p>
              </w:tc>
              <w:tc>
                <w:tcPr>
                  <w:tcW w:w="879" w:type="dxa"/>
                  <w:tcBorders>
                    <w:top w:val="single" w:sz="6" w:space="0" w:color="auto"/>
                    <w:left w:val="single" w:sz="6" w:space="0" w:color="auto"/>
                    <w:bottom w:val="single" w:sz="6" w:space="0" w:color="auto"/>
                    <w:right w:val="nil"/>
                  </w:tcBorders>
                  <w:noWrap/>
                  <w:vAlign w:val="center"/>
                </w:tcPr>
                <w:p w14:paraId="43512B12" w14:textId="77777777" w:rsidR="00F76A63" w:rsidRDefault="00000000">
                  <w:pPr>
                    <w:pStyle w:val="000"/>
                  </w:pPr>
                  <w:r>
                    <w:t>符合</w:t>
                  </w:r>
                </w:p>
              </w:tc>
            </w:tr>
            <w:tr w:rsidR="00F76A63" w14:paraId="0FFDD3C3" w14:textId="77777777">
              <w:trPr>
                <w:trHeight w:val="340"/>
              </w:trPr>
              <w:tc>
                <w:tcPr>
                  <w:tcW w:w="643" w:type="dxa"/>
                  <w:vMerge/>
                  <w:tcBorders>
                    <w:top w:val="single" w:sz="6" w:space="0" w:color="auto"/>
                    <w:left w:val="nil"/>
                    <w:bottom w:val="single" w:sz="6" w:space="0" w:color="auto"/>
                    <w:right w:val="single" w:sz="6" w:space="0" w:color="auto"/>
                  </w:tcBorders>
                  <w:vAlign w:val="center"/>
                </w:tcPr>
                <w:p w14:paraId="1BFA2ECA" w14:textId="77777777" w:rsidR="00F76A63" w:rsidRDefault="00F76A63">
                  <w:pPr>
                    <w:widowControl/>
                    <w:rPr>
                      <w:bCs/>
                      <w:kern w:val="28"/>
                      <w:szCs w:val="21"/>
                    </w:rPr>
                  </w:pPr>
                </w:p>
              </w:tc>
              <w:tc>
                <w:tcPr>
                  <w:tcW w:w="8066" w:type="dxa"/>
                  <w:tcBorders>
                    <w:top w:val="single" w:sz="6" w:space="0" w:color="auto"/>
                    <w:left w:val="single" w:sz="6" w:space="0" w:color="auto"/>
                    <w:bottom w:val="single" w:sz="6" w:space="0" w:color="auto"/>
                    <w:right w:val="single" w:sz="6" w:space="0" w:color="auto"/>
                  </w:tcBorders>
                  <w:noWrap/>
                  <w:vAlign w:val="center"/>
                </w:tcPr>
                <w:p w14:paraId="67E1CBA1" w14:textId="77777777" w:rsidR="00F76A63" w:rsidRDefault="00000000">
                  <w:pPr>
                    <w:pStyle w:val="000"/>
                  </w:pPr>
                  <w:r>
                    <w:t>8.</w:t>
                  </w:r>
                  <w:r>
                    <w:t>强化转移过程管理。全面落实危险废物转移电子联单制度，实行省内全域扫描</w:t>
                  </w:r>
                  <w:r>
                    <w:t>“</w:t>
                  </w:r>
                  <w:r>
                    <w:t>二维码</w:t>
                  </w:r>
                  <w:r>
                    <w:t>”</w:t>
                  </w:r>
                  <w:r>
                    <w:t>转移。加强与危险货物道路运输电子运单数据共享，实现运输轨迹可溯可查。危险废物产生单位须依法核实经营单位主体资格和技术能力，直接签订委托合同并向经营单位提供相关危险废物产生工艺、具体成分，以及是否易燃易爆等信息，违法委托的，应当与造成环境污染和生态破坏的受托方承担连带责任：经营单位须按合同及包装物扫码签收危险废物，签收人、车辆信息等须拍照上传至系统，严禁</w:t>
                  </w:r>
                  <w:r>
                    <w:t>“</w:t>
                  </w:r>
                  <w:r>
                    <w:t>空转</w:t>
                  </w:r>
                  <w:r>
                    <w:t>”</w:t>
                  </w:r>
                  <w:r>
                    <w:t>二维码。积极推行一般工业固体废物转移电子联单制度，优先选择环境风险较大的污泥、</w:t>
                  </w:r>
                  <w:r>
                    <w:lastRenderedPageBreak/>
                    <w:t>矿渣等固体废物试行。</w:t>
                  </w:r>
                </w:p>
              </w:tc>
              <w:tc>
                <w:tcPr>
                  <w:tcW w:w="3183" w:type="dxa"/>
                  <w:tcBorders>
                    <w:top w:val="single" w:sz="6" w:space="0" w:color="auto"/>
                    <w:left w:val="single" w:sz="6" w:space="0" w:color="auto"/>
                    <w:bottom w:val="single" w:sz="6" w:space="0" w:color="auto"/>
                    <w:right w:val="single" w:sz="6" w:space="0" w:color="auto"/>
                  </w:tcBorders>
                  <w:noWrap/>
                  <w:vAlign w:val="center"/>
                </w:tcPr>
                <w:p w14:paraId="5C4DCDEE" w14:textId="77777777" w:rsidR="00F76A63" w:rsidRDefault="00000000">
                  <w:pPr>
                    <w:pStyle w:val="000"/>
                  </w:pPr>
                  <w:r>
                    <w:lastRenderedPageBreak/>
                    <w:t>本项目为水泥窑协同处置一般固废项目，产生和运输等环节由产废企业严格按照危废管理要求落实。项目执行一般工业固体废物转移电子联单制度</w:t>
                  </w:r>
                  <w:r>
                    <w:rPr>
                      <w:rFonts w:hint="eastAsia"/>
                    </w:rPr>
                    <w:t>。</w:t>
                  </w:r>
                </w:p>
              </w:tc>
              <w:tc>
                <w:tcPr>
                  <w:tcW w:w="879" w:type="dxa"/>
                  <w:tcBorders>
                    <w:top w:val="single" w:sz="6" w:space="0" w:color="auto"/>
                    <w:left w:val="single" w:sz="6" w:space="0" w:color="auto"/>
                    <w:bottom w:val="single" w:sz="6" w:space="0" w:color="auto"/>
                    <w:right w:val="nil"/>
                  </w:tcBorders>
                  <w:noWrap/>
                  <w:vAlign w:val="center"/>
                </w:tcPr>
                <w:p w14:paraId="2FE219A0" w14:textId="77777777" w:rsidR="00F76A63" w:rsidRDefault="00000000">
                  <w:pPr>
                    <w:pStyle w:val="000"/>
                  </w:pPr>
                  <w:r>
                    <w:t>符合</w:t>
                  </w:r>
                </w:p>
              </w:tc>
            </w:tr>
            <w:tr w:rsidR="00F76A63" w14:paraId="28580F27" w14:textId="77777777">
              <w:trPr>
                <w:trHeight w:val="340"/>
              </w:trPr>
              <w:tc>
                <w:tcPr>
                  <w:tcW w:w="643" w:type="dxa"/>
                  <w:vMerge/>
                  <w:tcBorders>
                    <w:top w:val="single" w:sz="6" w:space="0" w:color="auto"/>
                    <w:left w:val="nil"/>
                    <w:bottom w:val="single" w:sz="6" w:space="0" w:color="auto"/>
                    <w:right w:val="single" w:sz="6" w:space="0" w:color="auto"/>
                  </w:tcBorders>
                  <w:vAlign w:val="center"/>
                </w:tcPr>
                <w:p w14:paraId="17B1A201" w14:textId="77777777" w:rsidR="00F76A63" w:rsidRDefault="00F76A63">
                  <w:pPr>
                    <w:widowControl/>
                    <w:rPr>
                      <w:bCs/>
                      <w:kern w:val="28"/>
                      <w:szCs w:val="21"/>
                    </w:rPr>
                  </w:pPr>
                </w:p>
              </w:tc>
              <w:tc>
                <w:tcPr>
                  <w:tcW w:w="8066" w:type="dxa"/>
                  <w:tcBorders>
                    <w:top w:val="single" w:sz="6" w:space="0" w:color="auto"/>
                    <w:left w:val="single" w:sz="6" w:space="0" w:color="auto"/>
                    <w:bottom w:val="single" w:sz="6" w:space="0" w:color="auto"/>
                    <w:right w:val="single" w:sz="6" w:space="0" w:color="auto"/>
                  </w:tcBorders>
                  <w:noWrap/>
                  <w:vAlign w:val="center"/>
                </w:tcPr>
                <w:p w14:paraId="14A0C2C1" w14:textId="77777777" w:rsidR="00F76A63" w:rsidRDefault="00000000">
                  <w:pPr>
                    <w:pStyle w:val="000"/>
                  </w:pPr>
                  <w:r>
                    <w:t>9.</w:t>
                  </w:r>
                  <w:r>
                    <w:t>落实信息公开制度。危险废物环境重点监管单位要在出入口、设施内部、危险废物运输车辆通道等关键位置设置视频监控并与中控室联网，通过设立公开栏、标志牌等方式，主动公开危险废物产生和利用处置等有关信息。集中焚烧处置单位及有自建危废焚烧处置设施的单位要依法及时公开二燃室温度等工况运行指标以及污染物排放指标、浓度等有关信息，并联网至属地生态环境部门。危险废物经营单位应同步公开许可证、许可条件等全文信息。</w:t>
                  </w:r>
                </w:p>
              </w:tc>
              <w:tc>
                <w:tcPr>
                  <w:tcW w:w="3183" w:type="dxa"/>
                  <w:tcBorders>
                    <w:top w:val="single" w:sz="6" w:space="0" w:color="auto"/>
                    <w:left w:val="single" w:sz="6" w:space="0" w:color="auto"/>
                    <w:bottom w:val="single" w:sz="6" w:space="0" w:color="auto"/>
                    <w:right w:val="single" w:sz="6" w:space="0" w:color="auto"/>
                  </w:tcBorders>
                  <w:noWrap/>
                  <w:vAlign w:val="center"/>
                </w:tcPr>
                <w:p w14:paraId="765C170A" w14:textId="77777777" w:rsidR="00F76A63" w:rsidRDefault="00000000">
                  <w:pPr>
                    <w:pStyle w:val="000"/>
                  </w:pPr>
                  <w:r>
                    <w:t>项目危废落实信息公开制度</w:t>
                  </w:r>
                  <w:r>
                    <w:rPr>
                      <w:rFonts w:hint="eastAsia"/>
                    </w:rPr>
                    <w:t>。</w:t>
                  </w:r>
                </w:p>
              </w:tc>
              <w:tc>
                <w:tcPr>
                  <w:tcW w:w="879" w:type="dxa"/>
                  <w:tcBorders>
                    <w:top w:val="single" w:sz="6" w:space="0" w:color="auto"/>
                    <w:left w:val="single" w:sz="6" w:space="0" w:color="auto"/>
                    <w:bottom w:val="single" w:sz="6" w:space="0" w:color="auto"/>
                    <w:right w:val="nil"/>
                  </w:tcBorders>
                  <w:noWrap/>
                  <w:vAlign w:val="center"/>
                </w:tcPr>
                <w:p w14:paraId="45ECCBED" w14:textId="77777777" w:rsidR="00F76A63" w:rsidRDefault="00000000">
                  <w:pPr>
                    <w:pStyle w:val="000"/>
                  </w:pPr>
                  <w:r>
                    <w:t>符合</w:t>
                  </w:r>
                </w:p>
              </w:tc>
            </w:tr>
            <w:tr w:rsidR="00F76A63" w14:paraId="7DCEE867" w14:textId="77777777">
              <w:trPr>
                <w:trHeight w:val="340"/>
              </w:trPr>
              <w:tc>
                <w:tcPr>
                  <w:tcW w:w="643" w:type="dxa"/>
                  <w:vMerge w:val="restart"/>
                  <w:tcBorders>
                    <w:top w:val="single" w:sz="6" w:space="0" w:color="auto"/>
                    <w:left w:val="nil"/>
                    <w:bottom w:val="single" w:sz="6" w:space="0" w:color="auto"/>
                    <w:right w:val="single" w:sz="6" w:space="0" w:color="auto"/>
                  </w:tcBorders>
                  <w:noWrap/>
                  <w:vAlign w:val="center"/>
                </w:tcPr>
                <w:p w14:paraId="554A0CA8" w14:textId="77777777" w:rsidR="00F76A63" w:rsidRDefault="00000000">
                  <w:pPr>
                    <w:pStyle w:val="000"/>
                  </w:pPr>
                  <w:r>
                    <w:t>强化末端治理</w:t>
                  </w:r>
                </w:p>
              </w:tc>
              <w:tc>
                <w:tcPr>
                  <w:tcW w:w="8066" w:type="dxa"/>
                  <w:tcBorders>
                    <w:top w:val="single" w:sz="6" w:space="0" w:color="auto"/>
                    <w:left w:val="single" w:sz="6" w:space="0" w:color="auto"/>
                    <w:bottom w:val="single" w:sz="6" w:space="0" w:color="auto"/>
                    <w:right w:val="single" w:sz="6" w:space="0" w:color="auto"/>
                  </w:tcBorders>
                  <w:noWrap/>
                  <w:vAlign w:val="center"/>
                </w:tcPr>
                <w:p w14:paraId="14D4596F" w14:textId="77777777" w:rsidR="00F76A63" w:rsidRDefault="00000000">
                  <w:pPr>
                    <w:pStyle w:val="000"/>
                  </w:pPr>
                  <w:r>
                    <w:t>12.</w:t>
                  </w:r>
                  <w:r>
                    <w:t>推进固废就近利用处置。各地要提请属地政府，根据实际需求统筹推进本地危险废物利用处置能力建设。依托固废管理信息系统就近利用处置提醒功能，及时引导企业合理选择利用处置去向，实现危险废物市内消纳率逐步提升，防范长距离运输带来的环境风险。</w:t>
                  </w:r>
                </w:p>
              </w:tc>
              <w:tc>
                <w:tcPr>
                  <w:tcW w:w="3183" w:type="dxa"/>
                  <w:tcBorders>
                    <w:top w:val="single" w:sz="6" w:space="0" w:color="auto"/>
                    <w:left w:val="single" w:sz="6" w:space="0" w:color="auto"/>
                    <w:bottom w:val="single" w:sz="6" w:space="0" w:color="auto"/>
                    <w:right w:val="single" w:sz="6" w:space="0" w:color="auto"/>
                  </w:tcBorders>
                  <w:noWrap/>
                  <w:vAlign w:val="center"/>
                </w:tcPr>
                <w:p w14:paraId="3177A6FB" w14:textId="77777777" w:rsidR="00F76A63" w:rsidRDefault="00000000">
                  <w:pPr>
                    <w:pStyle w:val="000"/>
                  </w:pPr>
                  <w:r>
                    <w:t>建设单位将与周边有处置能力的固废处置单位签订协议</w:t>
                  </w:r>
                  <w:r>
                    <w:rPr>
                      <w:rFonts w:hint="eastAsia"/>
                    </w:rPr>
                    <w:t>。</w:t>
                  </w:r>
                </w:p>
              </w:tc>
              <w:tc>
                <w:tcPr>
                  <w:tcW w:w="879" w:type="dxa"/>
                  <w:tcBorders>
                    <w:top w:val="single" w:sz="6" w:space="0" w:color="auto"/>
                    <w:left w:val="single" w:sz="6" w:space="0" w:color="auto"/>
                    <w:bottom w:val="single" w:sz="6" w:space="0" w:color="auto"/>
                    <w:right w:val="nil"/>
                  </w:tcBorders>
                  <w:noWrap/>
                  <w:vAlign w:val="center"/>
                </w:tcPr>
                <w:p w14:paraId="564DB2BD" w14:textId="77777777" w:rsidR="00F76A63" w:rsidRDefault="00000000">
                  <w:pPr>
                    <w:pStyle w:val="000"/>
                  </w:pPr>
                  <w:r>
                    <w:t>符合</w:t>
                  </w:r>
                </w:p>
              </w:tc>
            </w:tr>
            <w:tr w:rsidR="00F76A63" w14:paraId="21235059" w14:textId="77777777">
              <w:trPr>
                <w:trHeight w:val="340"/>
              </w:trPr>
              <w:tc>
                <w:tcPr>
                  <w:tcW w:w="643" w:type="dxa"/>
                  <w:vMerge/>
                  <w:tcBorders>
                    <w:top w:val="single" w:sz="6" w:space="0" w:color="auto"/>
                    <w:left w:val="nil"/>
                    <w:bottom w:val="single" w:sz="6" w:space="0" w:color="auto"/>
                    <w:right w:val="single" w:sz="6" w:space="0" w:color="auto"/>
                  </w:tcBorders>
                  <w:vAlign w:val="center"/>
                </w:tcPr>
                <w:p w14:paraId="05B6BF44" w14:textId="77777777" w:rsidR="00F76A63" w:rsidRDefault="00F76A63">
                  <w:pPr>
                    <w:widowControl/>
                    <w:rPr>
                      <w:bCs/>
                      <w:kern w:val="28"/>
                      <w:szCs w:val="21"/>
                    </w:rPr>
                  </w:pPr>
                </w:p>
              </w:tc>
              <w:tc>
                <w:tcPr>
                  <w:tcW w:w="8066" w:type="dxa"/>
                  <w:tcBorders>
                    <w:top w:val="single" w:sz="6" w:space="0" w:color="auto"/>
                    <w:left w:val="single" w:sz="6" w:space="0" w:color="auto"/>
                    <w:bottom w:val="single" w:sz="6" w:space="0" w:color="auto"/>
                    <w:right w:val="single" w:sz="6" w:space="0" w:color="auto"/>
                  </w:tcBorders>
                  <w:noWrap/>
                  <w:vAlign w:val="center"/>
                </w:tcPr>
                <w:p w14:paraId="4ED45351" w14:textId="77777777" w:rsidR="00F76A63" w:rsidRDefault="00000000">
                  <w:pPr>
                    <w:pStyle w:val="000"/>
                  </w:pPr>
                  <w:r>
                    <w:t>13.</w:t>
                  </w:r>
                  <w:r>
                    <w:t>加强企业产物监管。危险废物利用单位的所有产物须按照本文件第</w:t>
                  </w:r>
                  <w:r>
                    <w:t>2</w:t>
                  </w:r>
                  <w:r>
                    <w:t>条明确的五类属性进行分类管理，其中按产品管理的需要对其特征污染物开展检测分析，严防污染物向下游转移。全国性行业协会或江苏省地方行业协会制定的团体标准若包括危险废物来源、利用工艺、利用产物功能性指标、有效成分含量、特征污染物含量和利用产物用途的，可作为用于工业生产替代原料的综合利用产物环境风险评价的依据，其环境风险评价要重点阐述标准落实情况。严格执行风险评价要求的利用产物可按照产品管理。</w:t>
                  </w:r>
                </w:p>
              </w:tc>
              <w:tc>
                <w:tcPr>
                  <w:tcW w:w="3183" w:type="dxa"/>
                  <w:tcBorders>
                    <w:top w:val="single" w:sz="6" w:space="0" w:color="auto"/>
                    <w:left w:val="single" w:sz="6" w:space="0" w:color="auto"/>
                    <w:bottom w:val="single" w:sz="6" w:space="0" w:color="auto"/>
                    <w:right w:val="single" w:sz="6" w:space="0" w:color="auto"/>
                  </w:tcBorders>
                  <w:noWrap/>
                  <w:vAlign w:val="center"/>
                </w:tcPr>
                <w:p w14:paraId="428D2C6F" w14:textId="77777777" w:rsidR="00F76A63" w:rsidRDefault="00000000">
                  <w:pPr>
                    <w:pStyle w:val="000"/>
                  </w:pPr>
                  <w:r>
                    <w:t>本项目不涉及。</w:t>
                  </w:r>
                </w:p>
              </w:tc>
              <w:tc>
                <w:tcPr>
                  <w:tcW w:w="879" w:type="dxa"/>
                  <w:tcBorders>
                    <w:top w:val="single" w:sz="6" w:space="0" w:color="auto"/>
                    <w:left w:val="single" w:sz="6" w:space="0" w:color="auto"/>
                    <w:bottom w:val="single" w:sz="6" w:space="0" w:color="auto"/>
                    <w:right w:val="nil"/>
                  </w:tcBorders>
                  <w:noWrap/>
                  <w:vAlign w:val="center"/>
                </w:tcPr>
                <w:p w14:paraId="3CEE6847" w14:textId="77777777" w:rsidR="00F76A63" w:rsidRDefault="00000000">
                  <w:pPr>
                    <w:pStyle w:val="000"/>
                  </w:pPr>
                  <w:r>
                    <w:t>符合</w:t>
                  </w:r>
                </w:p>
              </w:tc>
            </w:tr>
            <w:tr w:rsidR="00F76A63" w14:paraId="5961C39A" w14:textId="77777777">
              <w:trPr>
                <w:trHeight w:val="340"/>
              </w:trPr>
              <w:tc>
                <w:tcPr>
                  <w:tcW w:w="643" w:type="dxa"/>
                  <w:vMerge/>
                  <w:tcBorders>
                    <w:top w:val="single" w:sz="6" w:space="0" w:color="auto"/>
                    <w:left w:val="nil"/>
                    <w:bottom w:val="single" w:sz="6" w:space="0" w:color="auto"/>
                    <w:right w:val="single" w:sz="6" w:space="0" w:color="auto"/>
                  </w:tcBorders>
                  <w:vAlign w:val="center"/>
                </w:tcPr>
                <w:p w14:paraId="62CE3707" w14:textId="77777777" w:rsidR="00F76A63" w:rsidRDefault="00F76A63">
                  <w:pPr>
                    <w:widowControl/>
                    <w:rPr>
                      <w:bCs/>
                      <w:kern w:val="28"/>
                      <w:szCs w:val="21"/>
                    </w:rPr>
                  </w:pPr>
                </w:p>
              </w:tc>
              <w:tc>
                <w:tcPr>
                  <w:tcW w:w="8066" w:type="dxa"/>
                  <w:tcBorders>
                    <w:top w:val="single" w:sz="6" w:space="0" w:color="auto"/>
                    <w:left w:val="single" w:sz="6" w:space="0" w:color="auto"/>
                    <w:bottom w:val="single" w:sz="6" w:space="0" w:color="auto"/>
                    <w:right w:val="single" w:sz="6" w:space="0" w:color="auto"/>
                  </w:tcBorders>
                  <w:noWrap/>
                  <w:vAlign w:val="center"/>
                </w:tcPr>
                <w:p w14:paraId="1C21F970" w14:textId="77777777" w:rsidR="00F76A63" w:rsidRDefault="00000000">
                  <w:pPr>
                    <w:pStyle w:val="000"/>
                  </w:pPr>
                  <w:r>
                    <w:t>14.</w:t>
                  </w:r>
                  <w:r>
                    <w:t>开展监督性监测。</w:t>
                  </w:r>
                  <w:r>
                    <w:t>……</w:t>
                  </w:r>
                  <w:r>
                    <w:t>经营单位要严格执行国家、行业、地方污染控制标准，入场危废不符合接收标准的，视同未按照许可证规定从事危险废物经营活动。产物中特征污染物含量超出标准限值的，仍须按照危险废物进行管理，严禁作为产品出售；因超标导致污染环境、破坏生态的，依法予以立案查处。</w:t>
                  </w:r>
                </w:p>
              </w:tc>
              <w:tc>
                <w:tcPr>
                  <w:tcW w:w="3183" w:type="dxa"/>
                  <w:tcBorders>
                    <w:top w:val="single" w:sz="6" w:space="0" w:color="auto"/>
                    <w:left w:val="single" w:sz="6" w:space="0" w:color="auto"/>
                    <w:bottom w:val="single" w:sz="6" w:space="0" w:color="auto"/>
                    <w:right w:val="single" w:sz="6" w:space="0" w:color="auto"/>
                  </w:tcBorders>
                  <w:noWrap/>
                  <w:vAlign w:val="center"/>
                </w:tcPr>
                <w:p w14:paraId="5E6AF4C2" w14:textId="77777777" w:rsidR="00F76A63" w:rsidRDefault="00000000">
                  <w:pPr>
                    <w:pStyle w:val="000"/>
                  </w:pPr>
                  <w:r>
                    <w:t>本项目不涉及接收处置危废，建设单位严格按照国家、行业、地方污染控制标准对入场一般固废进行监测。</w:t>
                  </w:r>
                </w:p>
              </w:tc>
              <w:tc>
                <w:tcPr>
                  <w:tcW w:w="879" w:type="dxa"/>
                  <w:tcBorders>
                    <w:top w:val="single" w:sz="6" w:space="0" w:color="auto"/>
                    <w:left w:val="single" w:sz="6" w:space="0" w:color="auto"/>
                    <w:bottom w:val="single" w:sz="6" w:space="0" w:color="auto"/>
                    <w:right w:val="nil"/>
                  </w:tcBorders>
                  <w:noWrap/>
                  <w:vAlign w:val="center"/>
                </w:tcPr>
                <w:p w14:paraId="483CA3B9" w14:textId="77777777" w:rsidR="00F76A63" w:rsidRDefault="00000000">
                  <w:pPr>
                    <w:pStyle w:val="000"/>
                  </w:pPr>
                  <w:r>
                    <w:t>符合</w:t>
                  </w:r>
                </w:p>
              </w:tc>
            </w:tr>
            <w:tr w:rsidR="00F76A63" w14:paraId="7B12583B" w14:textId="77777777">
              <w:trPr>
                <w:trHeight w:val="1225"/>
              </w:trPr>
              <w:tc>
                <w:tcPr>
                  <w:tcW w:w="643" w:type="dxa"/>
                  <w:vMerge/>
                  <w:tcBorders>
                    <w:top w:val="single" w:sz="6" w:space="0" w:color="auto"/>
                    <w:left w:val="nil"/>
                    <w:bottom w:val="single" w:sz="6" w:space="0" w:color="auto"/>
                    <w:right w:val="single" w:sz="6" w:space="0" w:color="auto"/>
                  </w:tcBorders>
                  <w:vAlign w:val="center"/>
                </w:tcPr>
                <w:p w14:paraId="1699CB28" w14:textId="77777777" w:rsidR="00F76A63" w:rsidRDefault="00F76A63">
                  <w:pPr>
                    <w:widowControl/>
                    <w:rPr>
                      <w:bCs/>
                      <w:kern w:val="28"/>
                      <w:szCs w:val="21"/>
                    </w:rPr>
                  </w:pPr>
                </w:p>
              </w:tc>
              <w:tc>
                <w:tcPr>
                  <w:tcW w:w="8066" w:type="dxa"/>
                  <w:tcBorders>
                    <w:top w:val="single" w:sz="6" w:space="0" w:color="auto"/>
                    <w:left w:val="single" w:sz="6" w:space="0" w:color="auto"/>
                    <w:bottom w:val="single" w:sz="6" w:space="0" w:color="auto"/>
                    <w:right w:val="single" w:sz="6" w:space="0" w:color="auto"/>
                  </w:tcBorders>
                  <w:noWrap/>
                  <w:vAlign w:val="center"/>
                </w:tcPr>
                <w:p w14:paraId="251379B3" w14:textId="77777777" w:rsidR="00F76A63" w:rsidRDefault="00000000">
                  <w:pPr>
                    <w:pStyle w:val="000"/>
                  </w:pPr>
                  <w:r>
                    <w:t>15.</w:t>
                  </w:r>
                  <w:r>
                    <w:t>规范一般工业固废管理。企业需按照《一般工业固体废物管理台账制定指南（试行）》（生态环境部</w:t>
                  </w:r>
                  <w:r>
                    <w:t>2021</w:t>
                  </w:r>
                  <w:r>
                    <w:t>年第</w:t>
                  </w:r>
                  <w:r>
                    <w:t>82</w:t>
                  </w:r>
                  <w:r>
                    <w:t>号公告）要求，建立一般工业固废台账，污泥、矿渣等同时还需在固废管理信息系统申报，电子台账已有内容，不再另外制作纸质台账各地要对辖区内一般工业固废利用处置需求和能力进行摸排，建立收运处体系。一般工业固废用于矿山采坑回填和生态恢复的参照《一般工业固体废物用于矿山采坑回填和生态恢复技术规范》（</w:t>
                  </w:r>
                  <w:r>
                    <w:t>DB15/T2763-2022</w:t>
                  </w:r>
                  <w:r>
                    <w:t>）执行。</w:t>
                  </w:r>
                </w:p>
              </w:tc>
              <w:tc>
                <w:tcPr>
                  <w:tcW w:w="3183" w:type="dxa"/>
                  <w:tcBorders>
                    <w:top w:val="single" w:sz="6" w:space="0" w:color="auto"/>
                    <w:left w:val="single" w:sz="6" w:space="0" w:color="auto"/>
                    <w:bottom w:val="single" w:sz="6" w:space="0" w:color="auto"/>
                    <w:right w:val="single" w:sz="6" w:space="0" w:color="auto"/>
                  </w:tcBorders>
                  <w:noWrap/>
                  <w:vAlign w:val="center"/>
                </w:tcPr>
                <w:p w14:paraId="77309C65" w14:textId="77777777" w:rsidR="00F76A63" w:rsidRDefault="00000000">
                  <w:pPr>
                    <w:pStyle w:val="000"/>
                  </w:pPr>
                  <w:r>
                    <w:t>建设单位按照《一般工业固体废物管理台账制定指南（试行）》（生态环境部</w:t>
                  </w:r>
                  <w:r>
                    <w:t>2021</w:t>
                  </w:r>
                  <w:r>
                    <w:t>年第</w:t>
                  </w:r>
                  <w:r>
                    <w:t>82</w:t>
                  </w:r>
                  <w:r>
                    <w:t>号公告）要求，建立一般工业固废台账。</w:t>
                  </w:r>
                </w:p>
              </w:tc>
              <w:tc>
                <w:tcPr>
                  <w:tcW w:w="879" w:type="dxa"/>
                  <w:tcBorders>
                    <w:top w:val="single" w:sz="6" w:space="0" w:color="auto"/>
                    <w:left w:val="single" w:sz="6" w:space="0" w:color="auto"/>
                    <w:bottom w:val="single" w:sz="6" w:space="0" w:color="auto"/>
                    <w:right w:val="nil"/>
                  </w:tcBorders>
                  <w:noWrap/>
                  <w:vAlign w:val="center"/>
                </w:tcPr>
                <w:p w14:paraId="1EECBCC3" w14:textId="77777777" w:rsidR="00F76A63" w:rsidRDefault="00000000">
                  <w:pPr>
                    <w:pStyle w:val="000"/>
                  </w:pPr>
                  <w:r>
                    <w:t>符合</w:t>
                  </w:r>
                </w:p>
              </w:tc>
            </w:tr>
          </w:tbl>
          <w:p w14:paraId="09CFD602" w14:textId="77777777" w:rsidR="00F76A63" w:rsidRDefault="00000000">
            <w:pPr>
              <w:pStyle w:val="afffff2"/>
            </w:pPr>
            <w:r>
              <w:t>表</w:t>
            </w:r>
            <w:r>
              <w:t>1-</w:t>
            </w:r>
            <w:r>
              <w:rPr>
                <w:rFonts w:hint="eastAsia"/>
              </w:rPr>
              <w:t>20</w:t>
            </w:r>
            <w:r>
              <w:t xml:space="preserve">  </w:t>
            </w:r>
            <w:r>
              <w:t>本项目与《</w:t>
            </w:r>
            <w:r>
              <w:rPr>
                <w:rFonts w:hint="eastAsia"/>
              </w:rPr>
              <w:t>固体废物鉴别标准</w:t>
            </w:r>
            <w:r>
              <w:rPr>
                <w:rFonts w:hint="eastAsia"/>
              </w:rPr>
              <w:t xml:space="preserve"> </w:t>
            </w:r>
            <w:r>
              <w:rPr>
                <w:rFonts w:hint="eastAsia"/>
              </w:rPr>
              <w:t>通则</w:t>
            </w:r>
            <w:r>
              <w:t>》（</w:t>
            </w:r>
            <w:r>
              <w:rPr>
                <w:rFonts w:hint="eastAsia"/>
              </w:rPr>
              <w:t>GB34330-2025</w:t>
            </w:r>
            <w:r>
              <w:t>）相符性分析</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131"/>
              <w:gridCol w:w="8080"/>
              <w:gridCol w:w="2804"/>
              <w:gridCol w:w="738"/>
            </w:tblGrid>
            <w:tr w:rsidR="00F76A63" w14:paraId="1CF919F5" w14:textId="77777777">
              <w:trPr>
                <w:jc w:val="center"/>
              </w:trPr>
              <w:tc>
                <w:tcPr>
                  <w:tcW w:w="1131" w:type="dxa"/>
                  <w:vAlign w:val="center"/>
                </w:tcPr>
                <w:p w14:paraId="0551C6E6" w14:textId="77777777" w:rsidR="00F76A63" w:rsidRDefault="00000000">
                  <w:pPr>
                    <w:pStyle w:val="lqq0"/>
                    <w:rPr>
                      <w:b/>
                      <w:bCs/>
                      <w:szCs w:val="21"/>
                    </w:rPr>
                  </w:pPr>
                  <w:r>
                    <w:rPr>
                      <w:b/>
                      <w:bCs/>
                    </w:rPr>
                    <w:lastRenderedPageBreak/>
                    <w:t>项目</w:t>
                  </w:r>
                </w:p>
              </w:tc>
              <w:tc>
                <w:tcPr>
                  <w:tcW w:w="8080" w:type="dxa"/>
                  <w:vAlign w:val="center"/>
                </w:tcPr>
                <w:p w14:paraId="2D481390" w14:textId="77777777" w:rsidR="00F76A63" w:rsidRDefault="00000000">
                  <w:pPr>
                    <w:pStyle w:val="lqq0"/>
                    <w:rPr>
                      <w:b/>
                      <w:bCs/>
                    </w:rPr>
                  </w:pPr>
                  <w:r>
                    <w:rPr>
                      <w:rFonts w:ascii="宋体" w:hAnsi="宋体"/>
                      <w:b/>
                      <w:bCs/>
                    </w:rPr>
                    <w:t>相关条款</w:t>
                  </w:r>
                </w:p>
              </w:tc>
              <w:tc>
                <w:tcPr>
                  <w:tcW w:w="2804" w:type="dxa"/>
                  <w:vAlign w:val="center"/>
                </w:tcPr>
                <w:p w14:paraId="41234305" w14:textId="77777777" w:rsidR="00F76A63" w:rsidRDefault="00000000">
                  <w:pPr>
                    <w:pStyle w:val="lqq0"/>
                    <w:rPr>
                      <w:b/>
                      <w:bCs/>
                    </w:rPr>
                  </w:pPr>
                  <w:r>
                    <w:rPr>
                      <w:rFonts w:ascii="宋体" w:hAnsi="宋体"/>
                      <w:b/>
                      <w:bCs/>
                    </w:rPr>
                    <w:t>本项目情况</w:t>
                  </w:r>
                </w:p>
              </w:tc>
              <w:tc>
                <w:tcPr>
                  <w:tcW w:w="738" w:type="dxa"/>
                  <w:vAlign w:val="center"/>
                </w:tcPr>
                <w:p w14:paraId="00CEEA24" w14:textId="77777777" w:rsidR="00F76A63" w:rsidRDefault="00000000">
                  <w:pPr>
                    <w:pStyle w:val="lqq0"/>
                    <w:rPr>
                      <w:b/>
                      <w:bCs/>
                    </w:rPr>
                  </w:pPr>
                  <w:r>
                    <w:rPr>
                      <w:rFonts w:ascii="宋体" w:hAnsi="宋体"/>
                      <w:b/>
                      <w:bCs/>
                    </w:rPr>
                    <w:t>符合性</w:t>
                  </w:r>
                </w:p>
              </w:tc>
            </w:tr>
            <w:tr w:rsidR="00F76A63" w14:paraId="063C2E97" w14:textId="77777777">
              <w:trPr>
                <w:jc w:val="center"/>
              </w:trPr>
              <w:tc>
                <w:tcPr>
                  <w:tcW w:w="1131" w:type="dxa"/>
                  <w:vMerge w:val="restart"/>
                  <w:vAlign w:val="center"/>
                </w:tcPr>
                <w:p w14:paraId="1B658C4C" w14:textId="77777777" w:rsidR="00F76A63" w:rsidRDefault="00000000">
                  <w:pPr>
                    <w:pStyle w:val="lqq0"/>
                  </w:pPr>
                  <w:r>
                    <w:rPr>
                      <w:rFonts w:hint="eastAsia"/>
                    </w:rPr>
                    <w:t>丧失原有利用价值的物质的鉴别</w:t>
                  </w:r>
                </w:p>
              </w:tc>
              <w:tc>
                <w:tcPr>
                  <w:tcW w:w="8080" w:type="dxa"/>
                  <w:vAlign w:val="center"/>
                </w:tcPr>
                <w:p w14:paraId="21C3F8BF" w14:textId="77777777" w:rsidR="00F76A63" w:rsidRDefault="00000000">
                  <w:pPr>
                    <w:pStyle w:val="lqq0"/>
                  </w:pPr>
                  <w:r>
                    <w:rPr>
                      <w:rFonts w:hint="eastAsia"/>
                    </w:rPr>
                    <w:t>4.1</w:t>
                  </w:r>
                  <w:r>
                    <w:rPr>
                      <w:rFonts w:hint="eastAsia"/>
                    </w:rPr>
                    <w:t>生产、生活和其他活动中产生的下列丧失原有使用功能，且无法通过修复、加工行为恢复原始用途的物质，属于固体废物：</w:t>
                  </w:r>
                </w:p>
                <w:p w14:paraId="762A6AE6" w14:textId="77777777" w:rsidR="00F76A63" w:rsidRDefault="00000000">
                  <w:pPr>
                    <w:pStyle w:val="lqq0"/>
                  </w:pPr>
                  <w:r>
                    <w:rPr>
                      <w:rFonts w:hint="eastAsia"/>
                    </w:rPr>
                    <w:t>a)</w:t>
                  </w:r>
                  <w:r>
                    <w:rPr>
                      <w:rFonts w:hint="eastAsia"/>
                    </w:rPr>
                    <w:t>生活垃圾。</w:t>
                  </w:r>
                </w:p>
                <w:p w14:paraId="5453E1E4" w14:textId="77777777" w:rsidR="00F76A63" w:rsidRDefault="00000000">
                  <w:pPr>
                    <w:pStyle w:val="lqq0"/>
                  </w:pPr>
                  <w:r>
                    <w:rPr>
                      <w:rFonts w:hint="eastAsia"/>
                    </w:rPr>
                    <w:t>b)</w:t>
                  </w:r>
                  <w:r>
                    <w:rPr>
                      <w:rFonts w:hint="eastAsia"/>
                    </w:rPr>
                    <w:t>在销售、流通和使用过程中，因各类原因不能在市场出售、流通和使用的物质</w:t>
                  </w:r>
                  <w:r>
                    <w:rPr>
                      <w:rFonts w:hint="eastAsia"/>
                    </w:rPr>
                    <w:t>[</w:t>
                  </w:r>
                  <w:r>
                    <w:rPr>
                      <w:rFonts w:hint="eastAsia"/>
                    </w:rPr>
                    <w:t>见附录</w:t>
                  </w:r>
                  <w:r>
                    <w:rPr>
                      <w:rFonts w:hint="eastAsia"/>
                    </w:rPr>
                    <w:t>A.1a)]</w:t>
                  </w:r>
                  <w:r>
                    <w:rPr>
                      <w:rFonts w:hint="eastAsia"/>
                    </w:rPr>
                    <w:t>。</w:t>
                  </w:r>
                </w:p>
                <w:p w14:paraId="310DD274" w14:textId="77777777" w:rsidR="00F76A63" w:rsidRDefault="00000000">
                  <w:pPr>
                    <w:pStyle w:val="lqq0"/>
                  </w:pPr>
                  <w:r>
                    <w:rPr>
                      <w:rFonts w:hint="eastAsia"/>
                    </w:rPr>
                    <w:t>c)</w:t>
                  </w:r>
                  <w:r>
                    <w:rPr>
                      <w:rFonts w:hint="eastAsia"/>
                    </w:rPr>
                    <w:t>生产、生活和其他活动中使用过的一次性物品，以及其他不能按原有用途使用的非耐久性日常用品</w:t>
                  </w:r>
                  <w:r>
                    <w:rPr>
                      <w:rFonts w:hint="eastAsia"/>
                    </w:rPr>
                    <w:t>[</w:t>
                  </w:r>
                  <w:r>
                    <w:rPr>
                      <w:rFonts w:hint="eastAsia"/>
                    </w:rPr>
                    <w:t>见附录</w:t>
                  </w:r>
                  <w:r>
                    <w:rPr>
                      <w:rFonts w:hint="eastAsia"/>
                    </w:rPr>
                    <w:t>A.1b)]</w:t>
                  </w:r>
                  <w:r>
                    <w:rPr>
                      <w:rFonts w:hint="eastAsia"/>
                    </w:rPr>
                    <w:t>。</w:t>
                  </w:r>
                </w:p>
                <w:p w14:paraId="7A4F71D2" w14:textId="77777777" w:rsidR="00F76A63" w:rsidRDefault="00000000">
                  <w:pPr>
                    <w:pStyle w:val="lqq0"/>
                  </w:pPr>
                  <w:r>
                    <w:rPr>
                      <w:rFonts w:hint="eastAsia"/>
                    </w:rPr>
                    <w:t>d)</w:t>
                  </w:r>
                  <w:r>
                    <w:rPr>
                      <w:rFonts w:hint="eastAsia"/>
                    </w:rPr>
                    <w:t>生产活动使用过程中，因沾染、掺入、混杂无用或有害物质，或发生化学变化，使得其物质组成不能满足原使用者使用要求的生产物料</w:t>
                  </w:r>
                  <w:r>
                    <w:rPr>
                      <w:rFonts w:hint="eastAsia"/>
                    </w:rPr>
                    <w:t>[</w:t>
                  </w:r>
                  <w:r>
                    <w:rPr>
                      <w:rFonts w:hint="eastAsia"/>
                    </w:rPr>
                    <w:t>见附录</w:t>
                  </w:r>
                  <w:r>
                    <w:rPr>
                      <w:rFonts w:hint="eastAsia"/>
                    </w:rPr>
                    <w:t>A.1c)</w:t>
                  </w:r>
                  <w:r>
                    <w:rPr>
                      <w:rFonts w:hint="eastAsia"/>
                    </w:rPr>
                    <w:t>，</w:t>
                  </w:r>
                  <w:r>
                    <w:rPr>
                      <w:rFonts w:hint="eastAsia"/>
                    </w:rPr>
                    <w:t>4.2.1</w:t>
                  </w:r>
                  <w:r>
                    <w:rPr>
                      <w:rFonts w:hint="eastAsia"/>
                    </w:rPr>
                    <w:t>规定的情形除外</w:t>
                  </w:r>
                  <w:r>
                    <w:rPr>
                      <w:rFonts w:hint="eastAsia"/>
                    </w:rPr>
                    <w:t>]</w:t>
                  </w:r>
                  <w:r>
                    <w:rPr>
                      <w:rFonts w:hint="eastAsia"/>
                    </w:rPr>
                    <w:t>。</w:t>
                  </w:r>
                </w:p>
                <w:p w14:paraId="54CE82A5" w14:textId="77777777" w:rsidR="00F76A63" w:rsidRDefault="00000000">
                  <w:pPr>
                    <w:pStyle w:val="lqq0"/>
                  </w:pPr>
                  <w:r>
                    <w:rPr>
                      <w:rFonts w:hint="eastAsia"/>
                    </w:rPr>
                    <w:t>e)</w:t>
                  </w:r>
                  <w:r>
                    <w:rPr>
                      <w:rFonts w:hint="eastAsia"/>
                    </w:rPr>
                    <w:t>非正常生产活动中产生的损毁或残余物质</w:t>
                  </w:r>
                  <w:r>
                    <w:rPr>
                      <w:rFonts w:hint="eastAsia"/>
                    </w:rPr>
                    <w:t>[</w:t>
                  </w:r>
                  <w:r>
                    <w:rPr>
                      <w:rFonts w:hint="eastAsia"/>
                    </w:rPr>
                    <w:t>见附录</w:t>
                  </w:r>
                  <w:r>
                    <w:rPr>
                      <w:rFonts w:hint="eastAsia"/>
                    </w:rPr>
                    <w:t>A.1d)]</w:t>
                  </w:r>
                  <w:r>
                    <w:rPr>
                      <w:rFonts w:hint="eastAsia"/>
                    </w:rPr>
                    <w:t>。</w:t>
                  </w:r>
                </w:p>
                <w:p w14:paraId="1176C970" w14:textId="77777777" w:rsidR="00F76A63" w:rsidRDefault="00000000">
                  <w:pPr>
                    <w:pStyle w:val="lqq0"/>
                  </w:pPr>
                  <w:r>
                    <w:rPr>
                      <w:rFonts w:hint="eastAsia"/>
                    </w:rPr>
                    <w:t>f)</w:t>
                  </w:r>
                  <w:r>
                    <w:rPr>
                      <w:rFonts w:hint="eastAsia"/>
                    </w:rPr>
                    <w:t>生产活动中产生的因外形、粒径组成、有效物质含量不能满足原使用者使用要求，而被放弃使用的生产物料</w:t>
                  </w:r>
                  <w:r>
                    <w:rPr>
                      <w:rFonts w:hint="eastAsia"/>
                    </w:rPr>
                    <w:t>[4.2.2a)</w:t>
                  </w:r>
                  <w:r>
                    <w:rPr>
                      <w:rFonts w:hint="eastAsia"/>
                    </w:rPr>
                    <w:t>规定的情形除外</w:t>
                  </w:r>
                  <w:r>
                    <w:rPr>
                      <w:rFonts w:hint="eastAsia"/>
                    </w:rPr>
                    <w:t>]</w:t>
                  </w:r>
                  <w:r>
                    <w:rPr>
                      <w:rFonts w:hint="eastAsia"/>
                    </w:rPr>
                    <w:t>。</w:t>
                  </w:r>
                </w:p>
                <w:p w14:paraId="151A8AD5" w14:textId="77777777" w:rsidR="00F76A63" w:rsidRDefault="00000000">
                  <w:pPr>
                    <w:pStyle w:val="lqq0"/>
                  </w:pPr>
                  <w:r>
                    <w:rPr>
                      <w:rFonts w:hint="eastAsia"/>
                    </w:rPr>
                    <w:t>g)</w:t>
                  </w:r>
                  <w:r>
                    <w:rPr>
                      <w:rFonts w:hint="eastAsia"/>
                    </w:rPr>
                    <w:t>存在外观缺陷、功能减退，或使用寿命到期等原因，不能满足使用要求而被原使用者放弃的耐久性消费品</w:t>
                  </w:r>
                  <w:r>
                    <w:rPr>
                      <w:rFonts w:hint="eastAsia"/>
                    </w:rPr>
                    <w:t>[4.2.2b]</w:t>
                  </w:r>
                  <w:r>
                    <w:rPr>
                      <w:rFonts w:hint="eastAsia"/>
                    </w:rPr>
                    <w:t>、</w:t>
                  </w:r>
                  <w:r>
                    <w:rPr>
                      <w:rFonts w:hint="eastAsia"/>
                    </w:rPr>
                    <w:t>4.3</w:t>
                  </w:r>
                  <w:r>
                    <w:rPr>
                      <w:rFonts w:hint="eastAsia"/>
                    </w:rPr>
                    <w:t>规定的情形除外</w:t>
                  </w:r>
                  <w:r>
                    <w:rPr>
                      <w:rFonts w:hint="eastAsia"/>
                    </w:rPr>
                    <w:t>]</w:t>
                  </w:r>
                  <w:r>
                    <w:rPr>
                      <w:rFonts w:hint="eastAsia"/>
                    </w:rPr>
                    <w:t>。</w:t>
                  </w:r>
                </w:p>
                <w:p w14:paraId="364CC93F" w14:textId="77777777" w:rsidR="00F76A63" w:rsidRDefault="00000000">
                  <w:pPr>
                    <w:pStyle w:val="lqq0"/>
                  </w:pPr>
                  <w:r>
                    <w:rPr>
                      <w:rFonts w:hint="eastAsia"/>
                    </w:rPr>
                    <w:t>h)</w:t>
                  </w:r>
                  <w:r>
                    <w:rPr>
                      <w:rFonts w:hint="eastAsia"/>
                    </w:rPr>
                    <w:t>因其他自然灾害、不可抗力因素和人为灾难因素造成损坏的物质</w:t>
                  </w:r>
                  <w:r>
                    <w:rPr>
                      <w:rFonts w:hint="eastAsia"/>
                    </w:rPr>
                    <w:t>[4.2.2</w:t>
                  </w:r>
                  <w:r>
                    <w:rPr>
                      <w:rFonts w:hint="eastAsia"/>
                    </w:rPr>
                    <w:t>规定的情形除外</w:t>
                  </w:r>
                  <w:r>
                    <w:rPr>
                      <w:rFonts w:hint="eastAsia"/>
                    </w:rPr>
                    <w:t>)</w:t>
                  </w:r>
                  <w:r>
                    <w:rPr>
                      <w:rFonts w:hint="eastAsia"/>
                    </w:rPr>
                    <w:t>。</w:t>
                  </w:r>
                </w:p>
              </w:tc>
              <w:tc>
                <w:tcPr>
                  <w:tcW w:w="2804" w:type="dxa"/>
                  <w:vAlign w:val="center"/>
                </w:tcPr>
                <w:p w14:paraId="3AD154BF" w14:textId="77777777" w:rsidR="00F76A63" w:rsidRDefault="00000000">
                  <w:pPr>
                    <w:pStyle w:val="lqq0"/>
                  </w:pPr>
                  <w:r>
                    <w:rPr>
                      <w:rFonts w:hint="eastAsia"/>
                    </w:rPr>
                    <w:t>本项目协同处置的污染土属于因其他自然灾害、不可抗力因素和人为灾难因素造成损坏的物质，污泥属于生产活动使用过程中，因沾染、掺入、混杂无用或有害物质，或发生化学变化，使得其物质组成不能满足原使用者使用要求的生产物料，均属于固体废物。</w:t>
                  </w:r>
                </w:p>
              </w:tc>
              <w:tc>
                <w:tcPr>
                  <w:tcW w:w="738" w:type="dxa"/>
                  <w:vAlign w:val="center"/>
                </w:tcPr>
                <w:p w14:paraId="0BACFB95" w14:textId="77777777" w:rsidR="00F76A63" w:rsidRDefault="00000000">
                  <w:pPr>
                    <w:pStyle w:val="lqq0"/>
                  </w:pPr>
                  <w:r>
                    <w:rPr>
                      <w:rFonts w:ascii="宋体" w:hAnsi="宋体" w:hint="eastAsia"/>
                    </w:rPr>
                    <w:t>符合</w:t>
                  </w:r>
                </w:p>
              </w:tc>
            </w:tr>
            <w:tr w:rsidR="00F76A63" w14:paraId="6CC25167" w14:textId="77777777">
              <w:trPr>
                <w:trHeight w:val="1259"/>
                <w:jc w:val="center"/>
              </w:trPr>
              <w:tc>
                <w:tcPr>
                  <w:tcW w:w="1131" w:type="dxa"/>
                  <w:vMerge/>
                  <w:vAlign w:val="center"/>
                </w:tcPr>
                <w:p w14:paraId="4DD417D1" w14:textId="77777777" w:rsidR="00F76A63" w:rsidRDefault="00F76A63">
                  <w:pPr>
                    <w:pStyle w:val="lqq0"/>
                  </w:pPr>
                </w:p>
              </w:tc>
              <w:tc>
                <w:tcPr>
                  <w:tcW w:w="8080" w:type="dxa"/>
                  <w:vAlign w:val="center"/>
                </w:tcPr>
                <w:p w14:paraId="5CA29945" w14:textId="77777777" w:rsidR="00F76A63" w:rsidRDefault="00000000">
                  <w:pPr>
                    <w:pStyle w:val="lqq0"/>
                  </w:pPr>
                  <w:r>
                    <w:rPr>
                      <w:rFonts w:hint="eastAsia"/>
                    </w:rPr>
                    <w:t>4.2</w:t>
                  </w:r>
                  <w:r>
                    <w:rPr>
                      <w:rFonts w:hint="eastAsia"/>
                    </w:rPr>
                    <w:t>下列生产、生活和其他活动中满足使用用途要求，按原始用途使用的物质，不属于固体废物：</w:t>
                  </w:r>
                </w:p>
                <w:p w14:paraId="64DEDEEE" w14:textId="77777777" w:rsidR="00F76A63" w:rsidRDefault="00000000">
                  <w:pPr>
                    <w:pStyle w:val="lqq0"/>
                  </w:pPr>
                  <w:r>
                    <w:rPr>
                      <w:rFonts w:hint="eastAsia"/>
                    </w:rPr>
                    <w:t>4.2.1</w:t>
                  </w:r>
                  <w:r>
                    <w:rPr>
                      <w:rFonts w:hint="eastAsia"/>
                    </w:rPr>
                    <w:t>生产企业内部通过以下方式返回原生产线作为原料使用的物质：</w:t>
                  </w:r>
                </w:p>
                <w:p w14:paraId="551B3BC2" w14:textId="77777777" w:rsidR="00F76A63" w:rsidRDefault="00000000">
                  <w:pPr>
                    <w:pStyle w:val="lqq0"/>
                  </w:pPr>
                  <w:r>
                    <w:rPr>
                      <w:rFonts w:hint="eastAsia"/>
                    </w:rPr>
                    <w:t>a)</w:t>
                  </w:r>
                  <w:r>
                    <w:rPr>
                      <w:rFonts w:hint="eastAsia"/>
                    </w:rPr>
                    <w:t>不经过贮存或堆积过程，直接返回。</w:t>
                  </w:r>
                </w:p>
                <w:p w14:paraId="10D05F84" w14:textId="77777777" w:rsidR="00F76A63" w:rsidRDefault="00000000">
                  <w:pPr>
                    <w:pStyle w:val="lqq0"/>
                  </w:pPr>
                  <w:r>
                    <w:rPr>
                      <w:rFonts w:hint="eastAsia"/>
                    </w:rPr>
                    <w:t>b)</w:t>
                  </w:r>
                  <w:r>
                    <w:rPr>
                      <w:rFonts w:hint="eastAsia"/>
                    </w:rPr>
                    <w:t>在非连续化生产过程中，贮存于能够防止物料通过泄漏、扬尘、遗撒、逸散等途径造成损失的固定贮存装置中，并通过封闭管道或其他相对封闭的运输系统直接返回。</w:t>
                  </w:r>
                </w:p>
                <w:p w14:paraId="24ECFCDB" w14:textId="77777777" w:rsidR="00F76A63" w:rsidRDefault="00000000">
                  <w:pPr>
                    <w:pStyle w:val="lqq0"/>
                  </w:pPr>
                  <w:r>
                    <w:rPr>
                      <w:rFonts w:hint="eastAsia"/>
                    </w:rPr>
                    <w:t>c)</w:t>
                  </w:r>
                  <w:r>
                    <w:rPr>
                      <w:rFonts w:hint="eastAsia"/>
                    </w:rPr>
                    <w:t>进入生产工艺配套工序再生后返回。</w:t>
                  </w:r>
                </w:p>
                <w:p w14:paraId="32AD365A" w14:textId="77777777" w:rsidR="00F76A63" w:rsidRDefault="00000000">
                  <w:pPr>
                    <w:pStyle w:val="lqq0"/>
                  </w:pPr>
                  <w:r>
                    <w:rPr>
                      <w:rFonts w:hint="eastAsia"/>
                    </w:rPr>
                    <w:t>4.2.2</w:t>
                  </w:r>
                  <w:r>
                    <w:rPr>
                      <w:rFonts w:hint="eastAsia"/>
                    </w:rPr>
                    <w:t>销售、流通和使用过程中的下列物质：</w:t>
                  </w:r>
                </w:p>
                <w:p w14:paraId="3A0AD78A" w14:textId="77777777" w:rsidR="00F76A63" w:rsidRDefault="00000000">
                  <w:pPr>
                    <w:pStyle w:val="lqq0"/>
                  </w:pPr>
                  <w:r>
                    <w:rPr>
                      <w:rFonts w:hint="eastAsia"/>
                    </w:rPr>
                    <w:t>a)</w:t>
                  </w:r>
                  <w:r>
                    <w:rPr>
                      <w:rFonts w:hint="eastAsia"/>
                    </w:rPr>
                    <w:t>不需要任何修复、加工，按原始用途使用的下列生产物料：</w:t>
                  </w:r>
                </w:p>
                <w:p w14:paraId="4CFB8F7D" w14:textId="77777777" w:rsidR="00F76A63" w:rsidRDefault="00000000">
                  <w:pPr>
                    <w:pStyle w:val="lqq0"/>
                  </w:pPr>
                  <w:r>
                    <w:rPr>
                      <w:rFonts w:hint="eastAsia"/>
                    </w:rPr>
                    <w:t>1)</w:t>
                  </w:r>
                  <w:r>
                    <w:rPr>
                      <w:rFonts w:hint="eastAsia"/>
                    </w:rPr>
                    <w:t>仅因生产活动终止、暂停或计划改变等原因，所有者不再使用的但满足原始用途的原料，以及继续作为同产业链其他企业原料使用的中间物料和半成品；</w:t>
                  </w:r>
                </w:p>
                <w:p w14:paraId="69BC9DC0" w14:textId="77777777" w:rsidR="00F76A63" w:rsidRDefault="00000000">
                  <w:pPr>
                    <w:pStyle w:val="lqq0"/>
                  </w:pPr>
                  <w:r>
                    <w:rPr>
                      <w:rFonts w:hint="eastAsia"/>
                    </w:rPr>
                    <w:t>2)</w:t>
                  </w:r>
                  <w:r>
                    <w:rPr>
                      <w:rFonts w:hint="eastAsia"/>
                    </w:rPr>
                    <w:t>仅因浓度变化无法满足原使用者要求的，但可在该物质适用的其他使用用途领域继续使用的物料。</w:t>
                  </w:r>
                </w:p>
                <w:p w14:paraId="03FCCBCF" w14:textId="77777777" w:rsidR="00F76A63" w:rsidRDefault="00000000">
                  <w:pPr>
                    <w:pStyle w:val="lqq0"/>
                  </w:pPr>
                  <w:r>
                    <w:rPr>
                      <w:rFonts w:hint="eastAsia"/>
                    </w:rPr>
                    <w:lastRenderedPageBreak/>
                    <w:t>b)</w:t>
                  </w:r>
                  <w:r>
                    <w:rPr>
                      <w:rFonts w:hint="eastAsia"/>
                    </w:rPr>
                    <w:t>不需要任何修复、加工，或存在功能缺陷但已恢复其原有使用功能的耐久性消费品</w:t>
                  </w:r>
                  <w:r>
                    <w:rPr>
                      <w:rFonts w:hint="eastAsia"/>
                    </w:rPr>
                    <w:t>(</w:t>
                  </w:r>
                  <w:r>
                    <w:rPr>
                      <w:rFonts w:hint="eastAsia"/>
                    </w:rPr>
                    <w:t>包含机电产品及零部件、元器件、生产装置、总成、容器</w:t>
                  </w:r>
                  <w:r>
                    <w:rPr>
                      <w:rFonts w:hint="eastAsia"/>
                    </w:rPr>
                    <w:t>)</w:t>
                  </w:r>
                  <w:r>
                    <w:rPr>
                      <w:rFonts w:hint="eastAsia"/>
                    </w:rPr>
                    <w:t>。销售、流通过程中该类物质还应同时满足以下所有条件：</w:t>
                  </w:r>
                </w:p>
                <w:p w14:paraId="14237DBF" w14:textId="77777777" w:rsidR="00F76A63" w:rsidRDefault="00000000">
                  <w:pPr>
                    <w:pStyle w:val="lqq0"/>
                  </w:pPr>
                  <w:r>
                    <w:rPr>
                      <w:rFonts w:hint="eastAsia"/>
                    </w:rPr>
                    <w:t>1)</w:t>
                  </w:r>
                  <w:r>
                    <w:rPr>
                      <w:rFonts w:hint="eastAsia"/>
                    </w:rPr>
                    <w:t>具备完整的使用功能；</w:t>
                  </w:r>
                </w:p>
                <w:p w14:paraId="309BCF0C" w14:textId="77777777" w:rsidR="00F76A63" w:rsidRDefault="00000000">
                  <w:pPr>
                    <w:pStyle w:val="lqq0"/>
                  </w:pPr>
                  <w:r>
                    <w:rPr>
                      <w:rFonts w:hint="eastAsia"/>
                    </w:rPr>
                    <w:t>2)</w:t>
                  </w:r>
                  <w:r>
                    <w:rPr>
                      <w:rFonts w:hint="eastAsia"/>
                    </w:rPr>
                    <w:t>跨境销售、流通中，还应符合接收国家、地区对此类物品功能更新换代的要求，具有市场需求且未被淘汰；</w:t>
                  </w:r>
                </w:p>
                <w:p w14:paraId="6462BDD9" w14:textId="77777777" w:rsidR="00F76A63" w:rsidRDefault="00000000">
                  <w:pPr>
                    <w:pStyle w:val="lqq0"/>
                  </w:pPr>
                  <w:r>
                    <w:rPr>
                      <w:rFonts w:hint="eastAsia"/>
                    </w:rPr>
                    <w:t>3)</w:t>
                  </w:r>
                  <w:r>
                    <w:rPr>
                      <w:rFonts w:hint="eastAsia"/>
                    </w:rPr>
                    <w:t>满足后续使用对外观、性能和完整性的要求；</w:t>
                  </w:r>
                </w:p>
                <w:p w14:paraId="3B1A1A67" w14:textId="77777777" w:rsidR="00F76A63" w:rsidRDefault="00000000">
                  <w:pPr>
                    <w:pStyle w:val="lqq0"/>
                  </w:pPr>
                  <w:r>
                    <w:rPr>
                      <w:rFonts w:hint="eastAsia"/>
                    </w:rPr>
                    <w:t>4)</w:t>
                  </w:r>
                  <w:r>
                    <w:rPr>
                      <w:rFonts w:hint="eastAsia"/>
                    </w:rPr>
                    <w:t>成批销售的物品需根据销售要求清洁、分类、包装。</w:t>
                  </w:r>
                </w:p>
                <w:p w14:paraId="7373C2D2" w14:textId="77777777" w:rsidR="00F76A63" w:rsidRDefault="00000000">
                  <w:pPr>
                    <w:pStyle w:val="lqq0"/>
                  </w:pPr>
                  <w:r>
                    <w:rPr>
                      <w:rFonts w:hint="eastAsia"/>
                    </w:rPr>
                    <w:t>4.2.3</w:t>
                  </w:r>
                  <w:r>
                    <w:rPr>
                      <w:rFonts w:hint="eastAsia"/>
                    </w:rPr>
                    <w:t>我国境内工程施工中产生，根据后续使用要求收集整理后按其原有用途使用的下列物质：</w:t>
                  </w:r>
                </w:p>
                <w:p w14:paraId="3B05F796" w14:textId="77777777" w:rsidR="00F76A63" w:rsidRDefault="00000000">
                  <w:pPr>
                    <w:pStyle w:val="lqq0"/>
                  </w:pPr>
                  <w:r>
                    <w:t>a)</w:t>
                  </w:r>
                  <w:r>
                    <w:rPr>
                      <w:rFonts w:hint="eastAsia"/>
                    </w:rPr>
                    <w:t>在现场清理筛分后，满足后续使用要求，作为建筑材料使用的砖石、砖瓦、砂石、耐火材料。</w:t>
                  </w:r>
                </w:p>
                <w:p w14:paraId="6EF814B9" w14:textId="77777777" w:rsidR="00F76A63" w:rsidRDefault="00000000">
                  <w:pPr>
                    <w:pStyle w:val="lqq0"/>
                  </w:pPr>
                  <w:r>
                    <w:t>b)</w:t>
                  </w:r>
                  <w:r>
                    <w:rPr>
                      <w:rFonts w:hint="eastAsia"/>
                    </w:rPr>
                    <w:t>符合相关要求，替代黏土等砖、瓦生产原料使用。</w:t>
                  </w:r>
                </w:p>
                <w:p w14:paraId="3E3FF83D" w14:textId="77777777" w:rsidR="00F76A63" w:rsidRDefault="00000000">
                  <w:pPr>
                    <w:pStyle w:val="lqq0"/>
                  </w:pPr>
                  <w:r>
                    <w:t>c)</w:t>
                  </w:r>
                  <w:r>
                    <w:rPr>
                      <w:rFonts w:hint="eastAsia"/>
                    </w:rPr>
                    <w:t>替代河砂使用的水体疏浚、清淤泥沙</w:t>
                  </w:r>
                  <w:r>
                    <w:rPr>
                      <w:rFonts w:hint="eastAsia"/>
                    </w:rPr>
                    <w:t>(</w:t>
                  </w:r>
                  <w:r>
                    <w:rPr>
                      <w:rFonts w:hint="eastAsia"/>
                    </w:rPr>
                    <w:t>不包括污染土壤和底泥</w:t>
                  </w:r>
                  <w:r>
                    <w:rPr>
                      <w:rFonts w:hint="eastAsia"/>
                    </w:rPr>
                    <w:t>)</w:t>
                  </w:r>
                  <w:r>
                    <w:rPr>
                      <w:rFonts w:hint="eastAsia"/>
                    </w:rPr>
                    <w:t>。</w:t>
                  </w:r>
                </w:p>
                <w:p w14:paraId="37231FE4" w14:textId="77777777" w:rsidR="00F76A63" w:rsidRDefault="00000000">
                  <w:pPr>
                    <w:pStyle w:val="lqq0"/>
                  </w:pPr>
                  <w:r>
                    <w:t>d)</w:t>
                  </w:r>
                  <w:r>
                    <w:rPr>
                      <w:rFonts w:hint="eastAsia"/>
                    </w:rPr>
                    <w:t>现场加工后，符合再生骨料要求作为再生骨料使用的无机非金属类工程弃料。</w:t>
                  </w:r>
                </w:p>
                <w:p w14:paraId="598B3E99" w14:textId="77777777" w:rsidR="00F76A63" w:rsidRDefault="00000000">
                  <w:pPr>
                    <w:pStyle w:val="lqq0"/>
                  </w:pPr>
                  <w:r>
                    <w:t>e)</w:t>
                  </w:r>
                  <w:r>
                    <w:rPr>
                      <w:rFonts w:hint="eastAsia"/>
                    </w:rPr>
                    <w:t>符合相关法规，修复后作为土壤用途使用的污染土壤。</w:t>
                  </w:r>
                </w:p>
              </w:tc>
              <w:tc>
                <w:tcPr>
                  <w:tcW w:w="2804" w:type="dxa"/>
                  <w:vAlign w:val="center"/>
                </w:tcPr>
                <w:p w14:paraId="4DED6C71" w14:textId="77777777" w:rsidR="00F76A63" w:rsidRDefault="00000000">
                  <w:pPr>
                    <w:pStyle w:val="lqq0"/>
                  </w:pPr>
                  <w:r>
                    <w:rPr>
                      <w:rFonts w:hint="eastAsia"/>
                    </w:rPr>
                    <w:lastRenderedPageBreak/>
                    <w:t>本项目协同处置的污染土及污泥不属于以下不作为固体废物的种类。</w:t>
                  </w:r>
                </w:p>
              </w:tc>
              <w:tc>
                <w:tcPr>
                  <w:tcW w:w="738" w:type="dxa"/>
                  <w:vAlign w:val="center"/>
                </w:tcPr>
                <w:p w14:paraId="2866045E" w14:textId="77777777" w:rsidR="00F76A63" w:rsidRDefault="00000000">
                  <w:pPr>
                    <w:pStyle w:val="lqq0"/>
                    <w:rPr>
                      <w:rFonts w:ascii="宋体" w:hAnsi="宋体" w:hint="eastAsia"/>
                    </w:rPr>
                  </w:pPr>
                  <w:bookmarkStart w:id="54" w:name="OLE_LINK84"/>
                  <w:r>
                    <w:rPr>
                      <w:rFonts w:ascii="宋体" w:hAnsi="宋体" w:hint="eastAsia"/>
                    </w:rPr>
                    <w:t>符合</w:t>
                  </w:r>
                  <w:bookmarkEnd w:id="54"/>
                </w:p>
              </w:tc>
            </w:tr>
            <w:tr w:rsidR="00F76A63" w14:paraId="6FB2A637" w14:textId="77777777">
              <w:trPr>
                <w:trHeight w:val="1259"/>
                <w:jc w:val="center"/>
              </w:trPr>
              <w:tc>
                <w:tcPr>
                  <w:tcW w:w="1131" w:type="dxa"/>
                  <w:vMerge/>
                  <w:vAlign w:val="center"/>
                </w:tcPr>
                <w:p w14:paraId="75B9D2A7" w14:textId="77777777" w:rsidR="00F76A63" w:rsidRDefault="00F76A63">
                  <w:pPr>
                    <w:pStyle w:val="lqq0"/>
                  </w:pPr>
                </w:p>
              </w:tc>
              <w:tc>
                <w:tcPr>
                  <w:tcW w:w="8080" w:type="dxa"/>
                  <w:vAlign w:val="center"/>
                </w:tcPr>
                <w:p w14:paraId="74D342C8" w14:textId="77777777" w:rsidR="00F76A63" w:rsidRDefault="00000000">
                  <w:pPr>
                    <w:pStyle w:val="lqq0"/>
                  </w:pPr>
                  <w:r>
                    <w:rPr>
                      <w:rFonts w:hint="eastAsia"/>
                    </w:rPr>
                    <w:t>4.3</w:t>
                  </w:r>
                  <w:r>
                    <w:rPr>
                      <w:rFonts w:hint="eastAsia"/>
                    </w:rPr>
                    <w:t>下列拟通过修复、加工后按原始用途使用的物质，不属于固体废物：</w:t>
                  </w:r>
                </w:p>
                <w:p w14:paraId="67B5E512" w14:textId="77777777" w:rsidR="00F76A63" w:rsidRDefault="00000000">
                  <w:pPr>
                    <w:pStyle w:val="lqq0"/>
                  </w:pPr>
                  <w:r>
                    <w:rPr>
                      <w:rFonts w:hint="eastAsia"/>
                    </w:rPr>
                    <w:t>a)</w:t>
                  </w:r>
                  <w:r>
                    <w:rPr>
                      <w:rFonts w:hint="eastAsia"/>
                    </w:rPr>
                    <w:t>在我国境内产生，存在功能缺陷，拟采用清洁、整形、修补、更换零部件、添加有效成分方法修复、加工，恢复或提升原有使用功能的</w:t>
                  </w:r>
                  <w:r>
                    <w:rPr>
                      <w:rFonts w:hint="eastAsia"/>
                    </w:rPr>
                    <w:t>4.2.2b)</w:t>
                  </w:r>
                  <w:r>
                    <w:rPr>
                      <w:rFonts w:hint="eastAsia"/>
                    </w:rPr>
                    <w:t>所列耐久性消费品</w:t>
                  </w:r>
                  <w:r>
                    <w:rPr>
                      <w:rFonts w:hint="eastAsia"/>
                    </w:rPr>
                    <w:t>(</w:t>
                  </w:r>
                  <w:r>
                    <w:rPr>
                      <w:rFonts w:hint="eastAsia"/>
                    </w:rPr>
                    <w:t>包括返回原使用者使用，或出售</w:t>
                  </w:r>
                  <w:r>
                    <w:rPr>
                      <w:rFonts w:hint="eastAsia"/>
                    </w:rPr>
                    <w:t>)</w:t>
                  </w:r>
                  <w:r>
                    <w:rPr>
                      <w:rFonts w:hint="eastAsia"/>
                    </w:rPr>
                    <w:t>。</w:t>
                  </w:r>
                </w:p>
                <w:p w14:paraId="4821CB77" w14:textId="77777777" w:rsidR="00F76A63" w:rsidRDefault="00000000">
                  <w:pPr>
                    <w:pStyle w:val="lqq0"/>
                  </w:pPr>
                  <w:r>
                    <w:rPr>
                      <w:rFonts w:hint="eastAsia"/>
                    </w:rPr>
                    <w:t>b)</w:t>
                  </w:r>
                  <w:r>
                    <w:rPr>
                      <w:rFonts w:hint="eastAsia"/>
                    </w:rPr>
                    <w:t>其他满足以下任意条件，采用</w:t>
                  </w:r>
                  <w:r>
                    <w:rPr>
                      <w:rFonts w:hint="eastAsia"/>
                    </w:rPr>
                    <w:t>4.3a)</w:t>
                  </w:r>
                  <w:r>
                    <w:rPr>
                      <w:rFonts w:hint="eastAsia"/>
                    </w:rPr>
                    <w:t>所述修复和加工方法，恢复或提升原有使用功能的物品：</w:t>
                  </w:r>
                </w:p>
                <w:p w14:paraId="53876B99" w14:textId="77777777" w:rsidR="00F76A63" w:rsidRDefault="00000000">
                  <w:pPr>
                    <w:pStyle w:val="lqq0"/>
                  </w:pPr>
                  <w:r>
                    <w:rPr>
                      <w:rFonts w:hint="eastAsia"/>
                    </w:rPr>
                    <w:t>1)</w:t>
                  </w:r>
                  <w:r>
                    <w:rPr>
                      <w:rFonts w:hint="eastAsia"/>
                    </w:rPr>
                    <w:t>通过原生产企业，或厂商授权维修企业、使用方外包维修企业恢复或提升原有使用功能后，返回原使用者使用或原生产企业作为返修产品出售的物品；</w:t>
                  </w:r>
                </w:p>
                <w:p w14:paraId="0D379E7B" w14:textId="77777777" w:rsidR="00F76A63" w:rsidRDefault="00000000">
                  <w:pPr>
                    <w:pStyle w:val="lqq0"/>
                  </w:pPr>
                  <w:r>
                    <w:rPr>
                      <w:rFonts w:hint="eastAsia"/>
                    </w:rPr>
                    <w:t>2)</w:t>
                  </w:r>
                  <w:r>
                    <w:rPr>
                      <w:rFonts w:hint="eastAsia"/>
                    </w:rPr>
                    <w:t>保税维修或保税再制造业务中，符合我国相关规定，海关按待维修或保税加工货物监管的入境维修、再制造货物。</w:t>
                  </w:r>
                </w:p>
              </w:tc>
              <w:tc>
                <w:tcPr>
                  <w:tcW w:w="2804" w:type="dxa"/>
                  <w:vAlign w:val="center"/>
                </w:tcPr>
                <w:p w14:paraId="29C79C9E" w14:textId="77777777" w:rsidR="00F76A63" w:rsidRDefault="00000000">
                  <w:pPr>
                    <w:pStyle w:val="lqq0"/>
                  </w:pPr>
                  <w:r>
                    <w:rPr>
                      <w:rFonts w:hint="eastAsia"/>
                    </w:rPr>
                    <w:t>本项目协同处置的污染土及污泥不属于以下不作为固体废物的种类。</w:t>
                  </w:r>
                </w:p>
              </w:tc>
              <w:tc>
                <w:tcPr>
                  <w:tcW w:w="738" w:type="dxa"/>
                  <w:vAlign w:val="center"/>
                </w:tcPr>
                <w:p w14:paraId="69D01B42" w14:textId="77777777" w:rsidR="00F76A63" w:rsidRDefault="00000000">
                  <w:pPr>
                    <w:pStyle w:val="lqq0"/>
                    <w:rPr>
                      <w:rFonts w:ascii="宋体" w:hAnsi="宋体" w:hint="eastAsia"/>
                    </w:rPr>
                  </w:pPr>
                  <w:r>
                    <w:rPr>
                      <w:rFonts w:ascii="宋体" w:hAnsi="宋体" w:hint="eastAsia"/>
                    </w:rPr>
                    <w:t>符合</w:t>
                  </w:r>
                </w:p>
              </w:tc>
            </w:tr>
            <w:tr w:rsidR="00F76A63" w14:paraId="6F787696" w14:textId="77777777">
              <w:trPr>
                <w:trHeight w:val="1259"/>
                <w:jc w:val="center"/>
              </w:trPr>
              <w:tc>
                <w:tcPr>
                  <w:tcW w:w="1131" w:type="dxa"/>
                  <w:vAlign w:val="center"/>
                </w:tcPr>
                <w:p w14:paraId="339F73C2" w14:textId="77777777" w:rsidR="00F76A63" w:rsidRDefault="00000000">
                  <w:pPr>
                    <w:pStyle w:val="lqq0"/>
                  </w:pPr>
                  <w:r>
                    <w:rPr>
                      <w:rFonts w:hint="eastAsia"/>
                    </w:rPr>
                    <w:t>利用固体废物生产的产物以及环境治理和污染控制过程</w:t>
                  </w:r>
                  <w:r>
                    <w:rPr>
                      <w:rFonts w:hint="eastAsia"/>
                    </w:rPr>
                    <w:lastRenderedPageBreak/>
                    <w:t>中产生的物质的鉴别</w:t>
                  </w:r>
                </w:p>
              </w:tc>
              <w:tc>
                <w:tcPr>
                  <w:tcW w:w="8080" w:type="dxa"/>
                  <w:vAlign w:val="center"/>
                </w:tcPr>
                <w:p w14:paraId="0728A2FC" w14:textId="77777777" w:rsidR="00F76A63" w:rsidRDefault="00000000">
                  <w:pPr>
                    <w:pStyle w:val="lqq0"/>
                  </w:pPr>
                  <w:r>
                    <w:rPr>
                      <w:rFonts w:hint="eastAsia"/>
                    </w:rPr>
                    <w:lastRenderedPageBreak/>
                    <w:t>6.1</w:t>
                  </w:r>
                  <w:r>
                    <w:rPr>
                      <w:rFonts w:hint="eastAsia"/>
                    </w:rPr>
                    <w:t>市场上存在使用正常原料生产的同类物质，并同时满足以下条件时，不属于固体废物，否则均属于固体废物：</w:t>
                  </w:r>
                </w:p>
                <w:p w14:paraId="3D01584B" w14:textId="77777777" w:rsidR="00F76A63" w:rsidRDefault="00000000">
                  <w:pPr>
                    <w:pStyle w:val="lqq0"/>
                  </w:pPr>
                  <w:r>
                    <w:rPr>
                      <w:rFonts w:hint="eastAsia"/>
                    </w:rPr>
                    <w:t>a)</w:t>
                  </w:r>
                  <w:r>
                    <w:rPr>
                      <w:rFonts w:hint="eastAsia"/>
                    </w:rPr>
                    <w:t>物质组成</w:t>
                  </w:r>
                  <w:r>
                    <w:rPr>
                      <w:rFonts w:hint="eastAsia"/>
                    </w:rPr>
                    <w:t>(</w:t>
                  </w:r>
                  <w:r>
                    <w:rPr>
                      <w:rFonts w:hint="eastAsia"/>
                    </w:rPr>
                    <w:t>有效成分含量和杂质限量</w:t>
                  </w:r>
                  <w:r>
                    <w:rPr>
                      <w:rFonts w:hint="eastAsia"/>
                    </w:rPr>
                    <w:t>)</w:t>
                  </w:r>
                  <w:r>
                    <w:rPr>
                      <w:rFonts w:hint="eastAsia"/>
                    </w:rPr>
                    <w:t>及性能指标符合以下任一国家或行业通行的标准，并按标准规定的用途使用：</w:t>
                  </w:r>
                </w:p>
                <w:p w14:paraId="77A4F84E" w14:textId="77777777" w:rsidR="00F76A63" w:rsidRDefault="00000000">
                  <w:pPr>
                    <w:pStyle w:val="lqq0"/>
                  </w:pPr>
                  <w:r>
                    <w:rPr>
                      <w:rFonts w:hint="eastAsia"/>
                    </w:rPr>
                    <w:t>1)</w:t>
                  </w:r>
                  <w:r>
                    <w:rPr>
                      <w:rFonts w:hint="eastAsia"/>
                    </w:rPr>
                    <w:t>针对固体废物利用工艺制定的产品质量标准；</w:t>
                  </w:r>
                </w:p>
                <w:p w14:paraId="0ED6B7FC" w14:textId="77777777" w:rsidR="00F76A63" w:rsidRDefault="00000000">
                  <w:pPr>
                    <w:pStyle w:val="lqq0"/>
                  </w:pPr>
                  <w:r>
                    <w:rPr>
                      <w:rFonts w:hint="eastAsia"/>
                    </w:rPr>
                    <w:t>2)</w:t>
                  </w:r>
                  <w:r>
                    <w:rPr>
                      <w:rFonts w:hint="eastAsia"/>
                    </w:rPr>
                    <w:t>市场上使用正常原料生产的同类物质的质量标准。</w:t>
                  </w:r>
                </w:p>
                <w:p w14:paraId="5E5CE489" w14:textId="77777777" w:rsidR="00F76A63" w:rsidRDefault="00000000">
                  <w:pPr>
                    <w:pStyle w:val="lqq0"/>
                  </w:pPr>
                  <w:r>
                    <w:rPr>
                      <w:rFonts w:hint="eastAsia"/>
                    </w:rPr>
                    <w:lastRenderedPageBreak/>
                    <w:t>b)</w:t>
                  </w:r>
                  <w:r>
                    <w:rPr>
                      <w:rFonts w:hint="eastAsia"/>
                    </w:rPr>
                    <w:t>除正常物质组成之外，其他对人体健康或生态环境有害的物质，符合相关国家污染控制标准所</w:t>
                  </w:r>
                  <w:r>
                    <w:rPr>
                      <w:rFonts w:hint="eastAsia"/>
                    </w:rPr>
                    <w:t xml:space="preserve"> </w:t>
                  </w:r>
                  <w:r>
                    <w:rPr>
                      <w:rFonts w:hint="eastAsia"/>
                    </w:rPr>
                    <w:t>规定的含量限值</w:t>
                  </w:r>
                  <w:r>
                    <w:rPr>
                      <w:rFonts w:hint="eastAsia"/>
                    </w:rPr>
                    <w:t>(</w:t>
                  </w:r>
                  <w:r>
                    <w:rPr>
                      <w:rFonts w:hint="eastAsia"/>
                    </w:rPr>
                    <w:t>含量限值包含</w:t>
                  </w:r>
                  <w:r>
                    <w:rPr>
                      <w:rFonts w:hint="eastAsia"/>
                    </w:rPr>
                    <w:t>6.1a)</w:t>
                  </w:r>
                  <w:r>
                    <w:rPr>
                      <w:rFonts w:hint="eastAsia"/>
                    </w:rPr>
                    <w:t>规定的所有使用情形</w:t>
                  </w:r>
                  <w:r>
                    <w:rPr>
                      <w:rFonts w:hint="eastAsia"/>
                    </w:rPr>
                    <w:t>],</w:t>
                  </w:r>
                  <w:r>
                    <w:rPr>
                      <w:rFonts w:hint="eastAsia"/>
                    </w:rPr>
                    <w:t>或技术规范所规定的技术要求。当没有国家污染控制标准或技术规范时，与被替代物质相比，满足以下任意条件：</w:t>
                  </w:r>
                </w:p>
                <w:p w14:paraId="2CB83922" w14:textId="77777777" w:rsidR="00F76A63" w:rsidRDefault="00000000">
                  <w:pPr>
                    <w:pStyle w:val="lqq0"/>
                  </w:pPr>
                  <w:r>
                    <w:rPr>
                      <w:rFonts w:hint="eastAsia"/>
                    </w:rPr>
                    <w:t>1)</w:t>
                  </w:r>
                  <w:r>
                    <w:rPr>
                      <w:rFonts w:hint="eastAsia"/>
                    </w:rPr>
                    <w:t>产物中环境有害成分含量</w:t>
                  </w:r>
                  <w:r>
                    <w:rPr>
                      <w:rFonts w:hint="eastAsia"/>
                    </w:rPr>
                    <w:t>(6.1a)</w:t>
                  </w:r>
                  <w:r>
                    <w:rPr>
                      <w:rFonts w:hint="eastAsia"/>
                    </w:rPr>
                    <w:t>标准规定除外</w:t>
                  </w:r>
                  <w:r>
                    <w:rPr>
                      <w:rFonts w:hint="eastAsia"/>
                    </w:rPr>
                    <w:t>]</w:t>
                  </w:r>
                  <w:r>
                    <w:rPr>
                      <w:rFonts w:hint="eastAsia"/>
                    </w:rPr>
                    <w:t>不得高于被替代物质；或所含有害成分在被替代物质任何使用过程中均不足以对人体健康或生态环境造成不利的影响；</w:t>
                  </w:r>
                </w:p>
                <w:p w14:paraId="32748D44" w14:textId="77777777" w:rsidR="00F76A63" w:rsidRDefault="00000000">
                  <w:pPr>
                    <w:pStyle w:val="lqq0"/>
                  </w:pPr>
                  <w:r>
                    <w:rPr>
                      <w:rFonts w:hint="eastAsia"/>
                    </w:rPr>
                    <w:t>2)</w:t>
                  </w:r>
                  <w:r>
                    <w:rPr>
                      <w:rFonts w:hint="eastAsia"/>
                    </w:rPr>
                    <w:t>如该产物替代工业原料使用时，生产的产品所含有害成分含量符合</w:t>
                  </w:r>
                  <w:r>
                    <w:rPr>
                      <w:rFonts w:hint="eastAsia"/>
                    </w:rPr>
                    <w:t>6.1a)</w:t>
                  </w:r>
                  <w:r>
                    <w:rPr>
                      <w:rFonts w:hint="eastAsia"/>
                    </w:rPr>
                    <w:t>和</w:t>
                  </w:r>
                  <w:r>
                    <w:rPr>
                      <w:rFonts w:hint="eastAsia"/>
                    </w:rPr>
                    <w:t>6.1b)1)</w:t>
                  </w:r>
                  <w:r>
                    <w:rPr>
                      <w:rFonts w:hint="eastAsia"/>
                    </w:rPr>
                    <w:t>规定的要求，且生产过程排放到环境中的污染物应不高于污染控制标准所规定的排放要求。当特征污染物缺乏相应的排放控制限值时，污染物排放应不高于使用被替代原料的情形，或不足以对人体健康或生态环境造成不利的影响；</w:t>
                  </w:r>
                </w:p>
                <w:p w14:paraId="3C5C4138" w14:textId="77777777" w:rsidR="00F76A63" w:rsidRDefault="00000000">
                  <w:pPr>
                    <w:pStyle w:val="lqq0"/>
                  </w:pPr>
                  <w:r>
                    <w:rPr>
                      <w:rFonts w:hint="eastAsia"/>
                    </w:rPr>
                    <w:t>3)</w:t>
                  </w:r>
                  <w:r>
                    <w:rPr>
                      <w:rFonts w:hint="eastAsia"/>
                    </w:rPr>
                    <w:t>如该产物替代燃料使用时，排放到环境中的污染物应不高于该燃烧设施污染控制标准所规定的污染物排放要求。当该特征污染物缺乏相应的排放限值时，污染物排放应不高于使用被替代燃料的情形，或不足以对人体健康或生态环境造成不利的影响。</w:t>
                  </w:r>
                </w:p>
                <w:p w14:paraId="3A3EE12D" w14:textId="77777777" w:rsidR="00F76A63" w:rsidRDefault="00000000">
                  <w:pPr>
                    <w:pStyle w:val="lqq0"/>
                  </w:pPr>
                  <w:r>
                    <w:rPr>
                      <w:rFonts w:hint="eastAsia"/>
                    </w:rPr>
                    <w:t>6.2</w:t>
                  </w:r>
                  <w:r>
                    <w:rPr>
                      <w:rFonts w:hint="eastAsia"/>
                    </w:rPr>
                    <w:t>不满足第</w:t>
                  </w:r>
                  <w:r>
                    <w:rPr>
                      <w:rFonts w:hint="eastAsia"/>
                    </w:rPr>
                    <w:t>6.1</w:t>
                  </w:r>
                  <w:r>
                    <w:rPr>
                      <w:rFonts w:hint="eastAsia"/>
                    </w:rPr>
                    <w:t>规定的鉴别条件，或市场上不存在使用正常原料生产的同类物质时，均属于固体废物。</w:t>
                  </w:r>
                </w:p>
                <w:p w14:paraId="19516167" w14:textId="77777777" w:rsidR="00F76A63" w:rsidRDefault="00000000">
                  <w:pPr>
                    <w:pStyle w:val="lqq0"/>
                  </w:pPr>
                  <w:r>
                    <w:rPr>
                      <w:rFonts w:hint="eastAsia"/>
                    </w:rPr>
                    <w:t>6.</w:t>
                  </w:r>
                  <w:r>
                    <w:rPr>
                      <w:rFonts w:hint="eastAsia"/>
                    </w:rPr>
                    <w:t>以不具有实际功能价值的固体废物为原料或配料产生的混配产物，仍然属于固体废物。</w:t>
                  </w:r>
                </w:p>
              </w:tc>
              <w:tc>
                <w:tcPr>
                  <w:tcW w:w="2804" w:type="dxa"/>
                  <w:vAlign w:val="center"/>
                </w:tcPr>
                <w:p w14:paraId="62126F07" w14:textId="77777777" w:rsidR="00F76A63" w:rsidRDefault="00000000">
                  <w:pPr>
                    <w:pStyle w:val="lqq0"/>
                  </w:pPr>
                  <w:r>
                    <w:rPr>
                      <w:rFonts w:hint="eastAsia"/>
                    </w:rPr>
                    <w:lastRenderedPageBreak/>
                    <w:t>本项目利用污泥、污染土作为水泥窑替代原料，经高温煅烧后生产的成品水泥，市场存在常规原料生产的同类水泥产品；成品水泥性能及组分符合《通用硅酸盐水</w:t>
                  </w:r>
                  <w:r>
                    <w:rPr>
                      <w:rFonts w:hint="eastAsia"/>
                    </w:rPr>
                    <w:lastRenderedPageBreak/>
                    <w:t>泥》（</w:t>
                  </w:r>
                  <w:r>
                    <w:rPr>
                      <w:rFonts w:hint="eastAsia"/>
                    </w:rPr>
                    <w:t>GB175-2023</w:t>
                  </w:r>
                  <w:r>
                    <w:rPr>
                      <w:rFonts w:hint="eastAsia"/>
                    </w:rPr>
                    <w:t>）标准，详见附件</w:t>
                  </w:r>
                  <w:r>
                    <w:rPr>
                      <w:rFonts w:hint="eastAsia"/>
                    </w:rPr>
                    <w:t>26</w:t>
                  </w:r>
                  <w:r>
                    <w:rPr>
                      <w:rFonts w:hint="eastAsia"/>
                    </w:rPr>
                    <w:t>，并按建筑建材常规用途销售使用，根据企业提供出窑熟料重金属检测报告（附件</w:t>
                  </w:r>
                  <w:r>
                    <w:rPr>
                      <w:rFonts w:hint="eastAsia"/>
                    </w:rPr>
                    <w:t>27</w:t>
                  </w:r>
                  <w:r>
                    <w:rPr>
                      <w:rFonts w:hint="eastAsia"/>
                    </w:rPr>
                    <w:t>），熟料产品中砷、镉、铅、铬、铜、镍、锌、锰满足</w:t>
                  </w:r>
                  <w:r>
                    <w:t>《水泥窑协同处置固体废物技术规范》</w:t>
                  </w:r>
                  <w:r>
                    <w:rPr>
                      <w:rFonts w:hint="eastAsia"/>
                    </w:rPr>
                    <w:t>（</w:t>
                  </w:r>
                  <w:r>
                    <w:t>GB/T30760-2024</w:t>
                  </w:r>
                  <w:r>
                    <w:rPr>
                      <w:rFonts w:hint="eastAsia"/>
                    </w:rPr>
                    <w:t>），</w:t>
                  </w:r>
                  <w:r>
                    <w:t>根据企业例行监测报告，窑头及窑尾各类污染物的监测浓度均可满足《水泥工业大气污染物排放标准》（</w:t>
                  </w:r>
                  <w:r>
                    <w:t>DB 32/4149-2021</w:t>
                  </w:r>
                  <w:r>
                    <w:t>）中表</w:t>
                  </w:r>
                  <w:r>
                    <w:t>1 Ⅱ</w:t>
                  </w:r>
                  <w:r>
                    <w:t>阶段排放限值要求；窑尾烟气中汞，铊、镉、铅、砷及其化合物，铍、铬、锡、锑、铜、钴、锰、镍、钒及其化合物、二噁英排放浓度满足《水泥窑协同处置固体废物污染控制标准》（</w:t>
                  </w:r>
                  <w:r>
                    <w:t>GB30485-2013</w:t>
                  </w:r>
                  <w:r>
                    <w:t>）表</w:t>
                  </w:r>
                  <w:r>
                    <w:t>1</w:t>
                  </w:r>
                  <w:r>
                    <w:t>准，</w:t>
                  </w:r>
                  <w:r>
                    <w:rPr>
                      <w:rFonts w:hint="eastAsia"/>
                    </w:rPr>
                    <w:t>满足</w:t>
                  </w:r>
                  <w:r>
                    <w:rPr>
                      <w:rFonts w:hint="eastAsia"/>
                    </w:rPr>
                    <w:t>6.1</w:t>
                  </w:r>
                  <w:r>
                    <w:rPr>
                      <w:rFonts w:hint="eastAsia"/>
                    </w:rPr>
                    <w:t>条判定条件，不属于固体废物。</w:t>
                  </w:r>
                </w:p>
              </w:tc>
              <w:tc>
                <w:tcPr>
                  <w:tcW w:w="738" w:type="dxa"/>
                  <w:vAlign w:val="center"/>
                </w:tcPr>
                <w:p w14:paraId="783A4BBC" w14:textId="77777777" w:rsidR="00F76A63" w:rsidRDefault="00000000">
                  <w:pPr>
                    <w:pStyle w:val="lqq0"/>
                    <w:rPr>
                      <w:rFonts w:ascii="宋体" w:hAnsi="宋体" w:hint="eastAsia"/>
                    </w:rPr>
                  </w:pPr>
                  <w:r>
                    <w:rPr>
                      <w:rFonts w:ascii="宋体" w:hAnsi="宋体" w:hint="eastAsia"/>
                    </w:rPr>
                    <w:lastRenderedPageBreak/>
                    <w:t>符合</w:t>
                  </w:r>
                </w:p>
              </w:tc>
            </w:tr>
          </w:tbl>
          <w:p w14:paraId="7B6A4C1A" w14:textId="77777777" w:rsidR="00F76A63" w:rsidRDefault="00F76A63">
            <w:pPr>
              <w:widowControl/>
              <w:jc w:val="left"/>
              <w:rPr>
                <w:sz w:val="30"/>
              </w:rPr>
            </w:pPr>
          </w:p>
        </w:tc>
      </w:tr>
      <w:bookmarkEnd w:id="33"/>
    </w:tbl>
    <w:p w14:paraId="086AFCF3" w14:textId="77777777" w:rsidR="00F76A63" w:rsidRDefault="00F76A63">
      <w:pPr>
        <w:tabs>
          <w:tab w:val="left" w:pos="465"/>
        </w:tabs>
        <w:rPr>
          <w:sz w:val="30"/>
        </w:rPr>
        <w:sectPr w:rsidR="00F76A63">
          <w:pgSz w:w="16838" w:h="11906" w:orient="landscape"/>
          <w:pgMar w:top="1531" w:right="1701" w:bottom="1531" w:left="1701" w:header="851" w:footer="1077" w:gutter="0"/>
          <w:cols w:space="720"/>
          <w:docGrid w:linePitch="312"/>
        </w:sectPr>
      </w:pPr>
    </w:p>
    <w:p w14:paraId="0B76AEC7" w14:textId="77777777" w:rsidR="00F76A63" w:rsidRDefault="00000000">
      <w:pPr>
        <w:jc w:val="center"/>
        <w:outlineLvl w:val="0"/>
        <w:rPr>
          <w:b/>
          <w:bCs/>
          <w:snapToGrid w:val="0"/>
          <w:sz w:val="30"/>
          <w:szCs w:val="30"/>
        </w:rPr>
      </w:pPr>
      <w:r>
        <w:rPr>
          <w:b/>
          <w:bCs/>
          <w:snapToGrid w:val="0"/>
          <w:sz w:val="30"/>
          <w:szCs w:val="30"/>
        </w:rPr>
        <w:lastRenderedPageBreak/>
        <w:t>二、建设项目工程分析</w:t>
      </w:r>
    </w:p>
    <w:tbl>
      <w:tblPr>
        <w:tblW w:w="5239"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21"/>
        <w:gridCol w:w="421"/>
        <w:gridCol w:w="8404"/>
      </w:tblGrid>
      <w:tr w:rsidR="00F76A63" w14:paraId="5C85AF76" w14:textId="77777777">
        <w:trPr>
          <w:trHeight w:val="8549"/>
          <w:jc w:val="center"/>
        </w:trPr>
        <w:tc>
          <w:tcPr>
            <w:tcW w:w="421" w:type="dxa"/>
            <w:vAlign w:val="center"/>
          </w:tcPr>
          <w:p w14:paraId="631BBA1E" w14:textId="77777777" w:rsidR="00F76A63" w:rsidRDefault="00000000">
            <w:pPr>
              <w:adjustRightInd w:val="0"/>
              <w:snapToGrid w:val="0"/>
              <w:jc w:val="center"/>
              <w:rPr>
                <w:b/>
                <w:bCs/>
              </w:rPr>
            </w:pPr>
            <w:bookmarkStart w:id="55" w:name="_Hlk219391259"/>
            <w:bookmarkStart w:id="56" w:name="_Hlk192514780"/>
            <w:r>
              <w:rPr>
                <w:b/>
                <w:bCs/>
              </w:rPr>
              <w:t>建设内容</w:t>
            </w:r>
          </w:p>
        </w:tc>
        <w:tc>
          <w:tcPr>
            <w:tcW w:w="421" w:type="dxa"/>
            <w:vAlign w:val="center"/>
          </w:tcPr>
          <w:p w14:paraId="39C00916" w14:textId="77777777" w:rsidR="00F76A63" w:rsidRDefault="00F76A63">
            <w:pPr>
              <w:adjustRightInd w:val="0"/>
              <w:snapToGrid w:val="0"/>
              <w:jc w:val="center"/>
              <w:rPr>
                <w:b/>
                <w:bCs/>
              </w:rPr>
            </w:pPr>
          </w:p>
        </w:tc>
        <w:tc>
          <w:tcPr>
            <w:tcW w:w="8403" w:type="dxa"/>
            <w:tcBorders>
              <w:bottom w:val="single" w:sz="12" w:space="0" w:color="auto"/>
            </w:tcBorders>
          </w:tcPr>
          <w:p w14:paraId="172951F5" w14:textId="77777777" w:rsidR="00F76A63" w:rsidRDefault="00000000">
            <w:pPr>
              <w:adjustRightInd w:val="0"/>
              <w:snapToGrid w:val="0"/>
              <w:spacing w:line="500" w:lineRule="exact"/>
              <w:ind w:firstLineChars="200" w:firstLine="482"/>
              <w:jc w:val="left"/>
              <w:rPr>
                <w:b/>
                <w:sz w:val="24"/>
              </w:rPr>
            </w:pPr>
            <w:r>
              <w:rPr>
                <w:b/>
                <w:sz w:val="24"/>
              </w:rPr>
              <w:t>一、项目由来</w:t>
            </w:r>
          </w:p>
          <w:p w14:paraId="2739E9FD" w14:textId="77777777" w:rsidR="00F76A63" w:rsidRDefault="00000000">
            <w:pPr>
              <w:pStyle w:val="A-z"/>
              <w:spacing w:line="500" w:lineRule="exact"/>
              <w:ind w:firstLine="480"/>
            </w:pPr>
            <w:bookmarkStart w:id="57" w:name="_Hlk219390005"/>
            <w:r>
              <w:t>句容台泥水泥有限公司原为嘉新京阳水泥有限公司，嘉新京阳水泥有限公司成立于</w:t>
            </w:r>
            <w:r>
              <w:t>1993</w:t>
            </w:r>
            <w:r>
              <w:t>年，台泥集团于</w:t>
            </w:r>
            <w:r>
              <w:t>2008</w:t>
            </w:r>
            <w:r>
              <w:t>年与嘉新国际换股并购后纳入台泥集团，原公司更名为句容台泥水泥有限公司。现有已经建成运行的两条水泥熟料生产线，</w:t>
            </w:r>
            <w:r>
              <w:t>1#</w:t>
            </w:r>
            <w:r>
              <w:t>新型干法水泥熟料生产线年产</w:t>
            </w:r>
            <w:r>
              <w:t>150</w:t>
            </w:r>
            <w:r>
              <w:t>万吨熟料，</w:t>
            </w:r>
            <w:r>
              <w:t>2#</w:t>
            </w:r>
            <w:r>
              <w:t>水泥熟料生产线为一条日产</w:t>
            </w:r>
            <w:r>
              <w:t>6000</w:t>
            </w:r>
            <w:r>
              <w:t>吨熟料新型干法水泥生产线，年产</w:t>
            </w:r>
            <w:r>
              <w:t>186</w:t>
            </w:r>
            <w:r>
              <w:t>万吨熟料。</w:t>
            </w:r>
          </w:p>
          <w:p w14:paraId="73D25B69" w14:textId="77777777" w:rsidR="00F76A63" w:rsidRDefault="00000000">
            <w:pPr>
              <w:pStyle w:val="A-z"/>
              <w:spacing w:line="500" w:lineRule="exact"/>
              <w:ind w:firstLine="480"/>
            </w:pPr>
            <w:bookmarkStart w:id="58" w:name="_Hlk200895184"/>
            <w:r>
              <w:t>句容台泥依托现有的两条熟料生产线开展了多期水泥窑协同处置项目，具体如下：</w:t>
            </w:r>
          </w:p>
          <w:p w14:paraId="6809B671" w14:textId="77777777" w:rsidR="00F76A63" w:rsidRDefault="00000000">
            <w:pPr>
              <w:pStyle w:val="A-z"/>
              <w:ind w:firstLine="480"/>
            </w:pPr>
            <w:r>
              <w:rPr>
                <w:rFonts w:ascii="Cambria Math" w:hAnsi="Cambria Math" w:cs="Cambria Math"/>
              </w:rPr>
              <w:t>①</w:t>
            </w:r>
            <w:r>
              <w:t>2019</w:t>
            </w:r>
            <w:r>
              <w:t>年句容台泥实施</w:t>
            </w:r>
            <w:r>
              <w:rPr>
                <w:rFonts w:hint="eastAsia"/>
              </w:rPr>
              <w:t>“</w:t>
            </w:r>
            <w:r>
              <w:t>飞灰及废旧轮胎等替代燃料固废处置项目</w:t>
            </w:r>
            <w:bookmarkStart w:id="59" w:name="OLE_LINK80"/>
            <w:r>
              <w:rPr>
                <w:rFonts w:hint="eastAsia"/>
              </w:rPr>
              <w:t>”</w:t>
            </w:r>
            <w:bookmarkEnd w:id="59"/>
            <w:r>
              <w:t>，该项目依托</w:t>
            </w:r>
            <w:r>
              <w:t>2#</w:t>
            </w:r>
            <w:r>
              <w:t>水泥熟料生产线协同处置垃圾焚烧飞灰</w:t>
            </w:r>
            <w:r>
              <w:t>1.55</w:t>
            </w:r>
            <w:r>
              <w:t>万吨</w:t>
            </w:r>
            <w:r>
              <w:t>/</w:t>
            </w:r>
            <w:r>
              <w:t>年、废弃轮胎</w:t>
            </w:r>
            <w:r>
              <w:t>1</w:t>
            </w:r>
            <w:r>
              <w:t>万吨</w:t>
            </w:r>
            <w:r>
              <w:t>/</w:t>
            </w:r>
            <w:r>
              <w:t>年，于</w:t>
            </w:r>
            <w:r>
              <w:t>2019</w:t>
            </w:r>
            <w:r>
              <w:t>年</w:t>
            </w:r>
            <w:r>
              <w:t>5</w:t>
            </w:r>
            <w:r>
              <w:t>月</w:t>
            </w:r>
            <w:r>
              <w:t>27</w:t>
            </w:r>
            <w:r>
              <w:t>日取得句容市环境保护局批复（句环字</w:t>
            </w:r>
            <w:r>
              <w:t>[2019]108</w:t>
            </w:r>
            <w:r>
              <w:t>号），并于</w:t>
            </w:r>
            <w:r>
              <w:t>2021</w:t>
            </w:r>
            <w:r>
              <w:t>年</w:t>
            </w:r>
            <w:r>
              <w:t>12</w:t>
            </w:r>
            <w:r>
              <w:t>月</w:t>
            </w:r>
            <w:r>
              <w:t>8</w:t>
            </w:r>
            <w:r>
              <w:t>日完成竣工验收；</w:t>
            </w:r>
          </w:p>
          <w:p w14:paraId="57A8EB16" w14:textId="77777777" w:rsidR="00F76A63" w:rsidRDefault="00000000">
            <w:pPr>
              <w:pStyle w:val="A-z"/>
              <w:ind w:firstLine="480"/>
            </w:pPr>
            <w:r>
              <w:rPr>
                <w:rFonts w:ascii="Cambria Math" w:hAnsi="Cambria Math" w:cs="Cambria Math"/>
              </w:rPr>
              <w:t>②</w:t>
            </w:r>
            <w:r>
              <w:t>2020</w:t>
            </w:r>
            <w:r>
              <w:t>年句容台泥实施</w:t>
            </w:r>
            <w:r>
              <w:rPr>
                <w:rFonts w:hint="eastAsia"/>
              </w:rPr>
              <w:t>“</w:t>
            </w:r>
            <w:r>
              <w:t>水泥窑协同处置废轮胎项目</w:t>
            </w:r>
            <w:r>
              <w:rPr>
                <w:rFonts w:hint="eastAsia"/>
              </w:rPr>
              <w:t>”</w:t>
            </w:r>
            <w:r>
              <w:t>，该项目依托</w:t>
            </w:r>
            <w:r>
              <w:t>1#</w:t>
            </w:r>
            <w:r>
              <w:t>熟料生产线协同处置废轮胎</w:t>
            </w:r>
            <w:r>
              <w:t>5</w:t>
            </w:r>
            <w:r>
              <w:t>万吨</w:t>
            </w:r>
            <w:r>
              <w:t>/</w:t>
            </w:r>
            <w:r>
              <w:t>年，于</w:t>
            </w:r>
            <w:r>
              <w:t>2020</w:t>
            </w:r>
            <w:r>
              <w:t>年</w:t>
            </w:r>
            <w:r>
              <w:t>12</w:t>
            </w:r>
            <w:r>
              <w:t>月</w:t>
            </w:r>
            <w:r>
              <w:t>11</w:t>
            </w:r>
            <w:r>
              <w:t>日取得镇江市生态环境局批复（镇环审</w:t>
            </w:r>
            <w:r>
              <w:t>[2020]99</w:t>
            </w:r>
            <w:r>
              <w:t>号），于</w:t>
            </w:r>
            <w:r>
              <w:t>2023</w:t>
            </w:r>
            <w:r>
              <w:t>年已通过自主验收；</w:t>
            </w:r>
          </w:p>
          <w:p w14:paraId="064F8343" w14:textId="77777777" w:rsidR="00F76A63" w:rsidRDefault="00000000">
            <w:pPr>
              <w:pStyle w:val="A-z"/>
              <w:ind w:firstLine="480"/>
            </w:pPr>
            <w:r>
              <w:rPr>
                <w:rFonts w:ascii="Cambria Math" w:hAnsi="Cambria Math" w:cs="Cambria Math"/>
              </w:rPr>
              <w:t>③</w:t>
            </w:r>
            <w:r>
              <w:t>2022</w:t>
            </w:r>
            <w:r>
              <w:t>年句容台泥实施</w:t>
            </w:r>
            <w:r>
              <w:rPr>
                <w:rFonts w:hint="eastAsia"/>
              </w:rPr>
              <w:t>“</w:t>
            </w:r>
            <w:r>
              <w:t>水泥窑协同处置一般固废项目</w:t>
            </w:r>
            <w:r>
              <w:rPr>
                <w:rFonts w:hint="eastAsia"/>
              </w:rPr>
              <w:t>”</w:t>
            </w:r>
            <w:r>
              <w:t>，该项目依托现有的两条新型干法熟料生产线进行一般固体废物的协同处置，总处理规模</w:t>
            </w:r>
            <w:r>
              <w:t>34</w:t>
            </w:r>
            <w:r>
              <w:t>万吨，其中</w:t>
            </w:r>
            <w:r>
              <w:t>1#</w:t>
            </w:r>
            <w:r>
              <w:t>熟料生产线协同处置一般固废</w:t>
            </w:r>
            <w:r>
              <w:t>156000</w:t>
            </w:r>
            <w:r>
              <w:t>吨，</w:t>
            </w:r>
            <w:r>
              <w:t>2#</w:t>
            </w:r>
            <w:r>
              <w:t>熟料生产线协同处置一般固废</w:t>
            </w:r>
            <w:r>
              <w:t>184000</w:t>
            </w:r>
            <w:r>
              <w:t>吨，于</w:t>
            </w:r>
            <w:r>
              <w:t>2022</w:t>
            </w:r>
            <w:r>
              <w:t>年</w:t>
            </w:r>
            <w:r>
              <w:t>12</w:t>
            </w:r>
            <w:r>
              <w:t>月</w:t>
            </w:r>
            <w:r>
              <w:t>7</w:t>
            </w:r>
            <w:r>
              <w:t>日取得镇江市句容生态环境局批复（镇句环审</w:t>
            </w:r>
            <w:r>
              <w:t>[2022]38</w:t>
            </w:r>
            <w:r>
              <w:t>号），尚在建设中；</w:t>
            </w:r>
          </w:p>
          <w:p w14:paraId="336B53C5" w14:textId="77777777" w:rsidR="00F76A63" w:rsidRDefault="00000000">
            <w:pPr>
              <w:pStyle w:val="A-z"/>
              <w:ind w:firstLine="480"/>
            </w:pPr>
            <w:r>
              <w:rPr>
                <w:rFonts w:ascii="Cambria Math" w:hAnsi="Cambria Math" w:cs="Cambria Math"/>
              </w:rPr>
              <w:t>④</w:t>
            </w:r>
            <w:r>
              <w:t>2023</w:t>
            </w:r>
            <w:r>
              <w:t>年句容台泥实施</w:t>
            </w:r>
            <w:r>
              <w:rPr>
                <w:rFonts w:hint="eastAsia"/>
              </w:rPr>
              <w:t>“</w:t>
            </w:r>
            <w:r>
              <w:t>水泥窑协同处置</w:t>
            </w:r>
            <w:r>
              <w:t>10</w:t>
            </w:r>
            <w:r>
              <w:t>万吨</w:t>
            </w:r>
            <w:r>
              <w:t>/</w:t>
            </w:r>
            <w:r>
              <w:t>年污染土及</w:t>
            </w:r>
            <w:r>
              <w:t>10</w:t>
            </w:r>
            <w:r>
              <w:t>万吨</w:t>
            </w:r>
            <w:r>
              <w:t>/</w:t>
            </w:r>
            <w:r>
              <w:t>年一般固废项目（台泥水泥终端处置）</w:t>
            </w:r>
            <w:r>
              <w:rPr>
                <w:rFonts w:hint="eastAsia"/>
              </w:rPr>
              <w:t>”</w:t>
            </w:r>
            <w:r>
              <w:t>，该项目依托现有的两条新型干法熟料生产线进行一般固体废物和污染土的协同处置，年协同处置污染土</w:t>
            </w:r>
            <w:r>
              <w:t>10</w:t>
            </w:r>
            <w:r>
              <w:t>万吨、一般固废</w:t>
            </w:r>
            <w:r>
              <w:t>10</w:t>
            </w:r>
            <w:r>
              <w:t>万吨，于</w:t>
            </w:r>
            <w:r>
              <w:t>2023</w:t>
            </w:r>
            <w:r>
              <w:t>年</w:t>
            </w:r>
            <w:r>
              <w:t>1</w:t>
            </w:r>
            <w:r>
              <w:t>月</w:t>
            </w:r>
            <w:r>
              <w:t>10</w:t>
            </w:r>
            <w:r>
              <w:t>日取得镇江市句容生态环境局批复（镇句环审</w:t>
            </w:r>
            <w:r>
              <w:t>[2023]2</w:t>
            </w:r>
            <w:r>
              <w:t>号），于</w:t>
            </w:r>
            <w:r>
              <w:t>2026</w:t>
            </w:r>
            <w:r>
              <w:t>年</w:t>
            </w:r>
            <w:r>
              <w:t>3</w:t>
            </w:r>
            <w:r>
              <w:t>月已通过自主验收；</w:t>
            </w:r>
          </w:p>
          <w:p w14:paraId="37796969" w14:textId="77777777" w:rsidR="00F76A63" w:rsidRDefault="00000000">
            <w:pPr>
              <w:pStyle w:val="A-z"/>
              <w:spacing w:line="500" w:lineRule="exact"/>
              <w:ind w:firstLine="480"/>
            </w:pPr>
            <w:r>
              <w:rPr>
                <w:rFonts w:ascii="Cambria Math" w:hAnsi="Cambria Math" w:cs="Cambria Math"/>
              </w:rPr>
              <w:t>⑤</w:t>
            </w:r>
            <w:r>
              <w:t>2024</w:t>
            </w:r>
            <w:r>
              <w:t>年句容台泥实施</w:t>
            </w:r>
            <w:r>
              <w:rPr>
                <w:rFonts w:hint="eastAsia"/>
              </w:rPr>
              <w:t>“</w:t>
            </w:r>
            <w:r>
              <w:t>水泥窑协同处置飞灰</w:t>
            </w:r>
            <w:r>
              <w:t>3.45</w:t>
            </w:r>
            <w:r>
              <w:t>万吨</w:t>
            </w:r>
            <w:r>
              <w:t>/</w:t>
            </w:r>
            <w:r>
              <w:t>年改扩建项目</w:t>
            </w:r>
            <w:r>
              <w:rPr>
                <w:rFonts w:hint="eastAsia"/>
              </w:rPr>
              <w:t>”</w:t>
            </w:r>
            <w:r>
              <w:t>，该项目依托现有</w:t>
            </w:r>
            <w:r>
              <w:t>1#</w:t>
            </w:r>
            <w:r>
              <w:t>水泥熟料生产线协同处置飞灰</w:t>
            </w:r>
            <w:r>
              <w:t>2.5</w:t>
            </w:r>
            <w:r>
              <w:t>万吨</w:t>
            </w:r>
            <w:r>
              <w:t>/</w:t>
            </w:r>
            <w:r>
              <w:t>年、</w:t>
            </w:r>
            <w:r>
              <w:t>2#</w:t>
            </w:r>
            <w:r>
              <w:t>水泥熟料生产</w:t>
            </w:r>
            <w:r>
              <w:lastRenderedPageBreak/>
              <w:t>线协同处置飞灰</w:t>
            </w:r>
            <w:r>
              <w:t>0.95</w:t>
            </w:r>
            <w:r>
              <w:t>吨</w:t>
            </w:r>
            <w:r>
              <w:t>/</w:t>
            </w:r>
            <w:r>
              <w:t>年，于</w:t>
            </w:r>
            <w:r>
              <w:t>2024</w:t>
            </w:r>
            <w:r>
              <w:t>年</w:t>
            </w:r>
            <w:r>
              <w:t>10</w:t>
            </w:r>
            <w:r>
              <w:t>月</w:t>
            </w:r>
            <w:r>
              <w:t>11</w:t>
            </w:r>
            <w:r>
              <w:t>日取得镇江市生态环境局批复（镇环审</w:t>
            </w:r>
            <w:r>
              <w:t>[2024]64</w:t>
            </w:r>
            <w:r>
              <w:t>号），尚在建设中；</w:t>
            </w:r>
          </w:p>
          <w:p w14:paraId="47CDA781" w14:textId="77777777" w:rsidR="00F76A63" w:rsidRDefault="00000000">
            <w:pPr>
              <w:pStyle w:val="A-z"/>
              <w:spacing w:line="500" w:lineRule="exact"/>
              <w:ind w:firstLine="480"/>
            </w:pPr>
            <w:r>
              <w:rPr>
                <w:rFonts w:ascii="Cambria Math" w:hAnsi="Cambria Math" w:cs="Cambria Math"/>
              </w:rPr>
              <w:t>⑥</w:t>
            </w:r>
            <w:r>
              <w:t>2025</w:t>
            </w:r>
            <w:r>
              <w:t>年句容台泥实施</w:t>
            </w:r>
            <w:r>
              <w:rPr>
                <w:rFonts w:hint="eastAsia"/>
              </w:rPr>
              <w:t>“</w:t>
            </w:r>
            <w:r>
              <w:t>替代燃料节能减排项目（一期）</w:t>
            </w:r>
            <w:r>
              <w:rPr>
                <w:rFonts w:hint="eastAsia"/>
              </w:rPr>
              <w:t>”</w:t>
            </w:r>
            <w:r>
              <w:t>，该项目依托现有的两条新型干法熟料生产线，对现有的替代燃料的一般固废种类进行调整，减少低热值类一般固废使用，加大高热值类一般固废投加量，涉及调整的替代燃料总量为</w:t>
            </w:r>
            <w:r>
              <w:t>45</w:t>
            </w:r>
            <w:r>
              <w:t>万吨，项目建设前后全厂替代燃料固废总量保持不变，仍为</w:t>
            </w:r>
            <w:r>
              <w:t>49</w:t>
            </w:r>
            <w:r>
              <w:t>万吨</w:t>
            </w:r>
            <w:r>
              <w:t>/</w:t>
            </w:r>
            <w:r>
              <w:t>年，于</w:t>
            </w:r>
            <w:r>
              <w:t>2026</w:t>
            </w:r>
            <w:r>
              <w:t>年</w:t>
            </w:r>
            <w:r>
              <w:t>1</w:t>
            </w:r>
            <w:r>
              <w:t>月</w:t>
            </w:r>
            <w:r>
              <w:t>8</w:t>
            </w:r>
            <w:r>
              <w:t>日取得镇江市句容生态环境局批复（镇句环审</w:t>
            </w:r>
            <w:r>
              <w:t>[2026]1</w:t>
            </w:r>
            <w:r>
              <w:t>号），尚在建设中；</w:t>
            </w:r>
          </w:p>
          <w:p w14:paraId="379FC8D8" w14:textId="77777777" w:rsidR="00F76A63" w:rsidRDefault="00000000">
            <w:pPr>
              <w:pStyle w:val="A-z"/>
              <w:spacing w:line="500" w:lineRule="exact"/>
              <w:ind w:firstLine="480"/>
            </w:pPr>
            <w:r>
              <w:rPr>
                <w:rFonts w:ascii="Cambria Math" w:hAnsi="Cambria Math" w:cs="Cambria Math"/>
              </w:rPr>
              <w:t>⑦</w:t>
            </w:r>
            <w:r>
              <w:t>2025</w:t>
            </w:r>
            <w:r>
              <w:t>年句容台泥实施</w:t>
            </w:r>
            <w:r>
              <w:rPr>
                <w:rFonts w:hint="eastAsia"/>
              </w:rPr>
              <w:t>“</w:t>
            </w:r>
            <w:r>
              <w:t>一二线窑旁路放风除氯及水洗综合利用技改项目</w:t>
            </w:r>
            <w:r>
              <w:rPr>
                <w:rFonts w:hint="eastAsia"/>
              </w:rPr>
              <w:t>”</w:t>
            </w:r>
            <w:r>
              <w:t>，该项目在一、二线水泥窑各建设</w:t>
            </w:r>
            <w:r>
              <w:t>1</w:t>
            </w:r>
            <w:r>
              <w:t>套旁路放风系统，并新建</w:t>
            </w:r>
            <w:r>
              <w:t>1</w:t>
            </w:r>
            <w:r>
              <w:t>套旁路灰水洗除氯处理系统用于旁路灰综合利用，项目旁路灰水洗脱盐得到的脱氯灰作为原料替代部分石灰石，年处置量为</w:t>
            </w:r>
            <w:r>
              <w:t>23612t/a</w:t>
            </w:r>
            <w:r>
              <w:t>，</w:t>
            </w:r>
            <w:bookmarkStart w:id="60" w:name="OLE_LINK51"/>
            <w:r>
              <w:t>于</w:t>
            </w:r>
            <w:r>
              <w:t>2026</w:t>
            </w:r>
            <w:r>
              <w:t>年</w:t>
            </w:r>
            <w:r>
              <w:t>2</w:t>
            </w:r>
            <w:r>
              <w:t>月</w:t>
            </w:r>
            <w:r>
              <w:t>11</w:t>
            </w:r>
            <w:r>
              <w:t>日取得镇江市句容生态环境局批复（镇句环审</w:t>
            </w:r>
            <w:r>
              <w:t>[2026]8</w:t>
            </w:r>
            <w:r>
              <w:t>号），尚在建设中。</w:t>
            </w:r>
          </w:p>
          <w:bookmarkEnd w:id="57"/>
          <w:bookmarkEnd w:id="58"/>
          <w:bookmarkEnd w:id="60"/>
          <w:p w14:paraId="07E8DD2A" w14:textId="77777777" w:rsidR="00F76A63" w:rsidRDefault="00000000">
            <w:pPr>
              <w:pStyle w:val="TableText"/>
              <w:spacing w:line="500" w:lineRule="exact"/>
              <w:ind w:firstLineChars="200" w:firstLine="480"/>
              <w:jc w:val="both"/>
              <w:rPr>
                <w:rFonts w:ascii="Times New Roman" w:hAnsi="Times New Roman" w:cs="Times New Roman"/>
                <w:color w:val="auto"/>
                <w:spacing w:val="-3"/>
              </w:rPr>
            </w:pPr>
            <w:r>
              <w:rPr>
                <w:rFonts w:ascii="Times New Roman" w:hAnsi="Times New Roman" w:cs="Times New Roman"/>
                <w:color w:val="auto"/>
              </w:rPr>
              <w:t>水泥窑协同处置固体废物还作为重要的二氧</w:t>
            </w:r>
            <w:r>
              <w:rPr>
                <w:rFonts w:ascii="Times New Roman" w:hAnsi="Times New Roman" w:cs="Times New Roman"/>
                <w:color w:val="auto"/>
                <w:spacing w:val="-1"/>
              </w:rPr>
              <w:t>化碳减排途径，在相应减排评价</w:t>
            </w:r>
            <w:r>
              <w:rPr>
                <w:rFonts w:ascii="Times New Roman" w:hAnsi="Times New Roman" w:cs="Times New Roman"/>
                <w:color w:val="auto"/>
              </w:rPr>
              <w:t>和碳排放配额交易制度完善后，这是促进水泥企业</w:t>
            </w:r>
            <w:r>
              <w:rPr>
                <w:rFonts w:ascii="Times New Roman" w:hAnsi="Times New Roman" w:cs="Times New Roman"/>
                <w:color w:val="auto"/>
                <w:spacing w:val="-1"/>
              </w:rPr>
              <w:t>开展协同处置的重要激励机</w:t>
            </w:r>
            <w:r>
              <w:rPr>
                <w:rFonts w:ascii="Times New Roman" w:hAnsi="Times New Roman" w:cs="Times New Roman"/>
                <w:color w:val="auto"/>
                <w:spacing w:val="-2"/>
              </w:rPr>
              <w:t>制。水泥窑协同处置对固体废物资源的循环利用，水泥工业的可持续稳定发展，</w:t>
            </w:r>
            <w:r>
              <w:rPr>
                <w:rFonts w:ascii="Times New Roman" w:hAnsi="Times New Roman" w:cs="Times New Roman"/>
                <w:color w:val="auto"/>
                <w:spacing w:val="-3"/>
              </w:rPr>
              <w:t>国家环境保护有着重大意义。在未来发展中，水泥工业将担负起工业生态革命的职责，由环境污染型转变为循环经济中的环境保护型企业；有意识、有目的地利用水泥工业处理固体废物，实现资源的再利用。水泥窑协同处置固体废物将成为水泥工业发展的一大趋势。</w:t>
            </w:r>
          </w:p>
          <w:p w14:paraId="0B794DCE" w14:textId="77777777" w:rsidR="00F76A63" w:rsidRDefault="00000000">
            <w:pPr>
              <w:pStyle w:val="TableText"/>
              <w:spacing w:line="500" w:lineRule="exact"/>
              <w:ind w:firstLineChars="200" w:firstLine="460"/>
              <w:jc w:val="both"/>
              <w:rPr>
                <w:rFonts w:ascii="Times New Roman" w:hAnsi="Times New Roman" w:cs="Times New Roman"/>
                <w:color w:val="auto"/>
              </w:rPr>
            </w:pPr>
            <w:r>
              <w:rPr>
                <w:rFonts w:ascii="Times New Roman" w:hAnsi="Times New Roman" w:cs="Times New Roman"/>
                <w:color w:val="auto"/>
                <w:spacing w:val="-5"/>
              </w:rPr>
              <w:t>为</w:t>
            </w:r>
            <w:r>
              <w:rPr>
                <w:rFonts w:ascii="Times New Roman" w:hAnsi="Times New Roman" w:cs="Times New Roman"/>
                <w:color w:val="auto"/>
              </w:rPr>
              <w:t>推进镇江市</w:t>
            </w:r>
            <w:r>
              <w:rPr>
                <w:rFonts w:ascii="Times New Roman" w:hAnsi="Times New Roman" w:cs="Times New Roman" w:hint="eastAsia"/>
                <w:color w:val="auto"/>
                <w:spacing w:val="-5"/>
              </w:rPr>
              <w:t>“</w:t>
            </w:r>
            <w:r>
              <w:rPr>
                <w:rFonts w:ascii="Times New Roman" w:hAnsi="Times New Roman" w:cs="Times New Roman"/>
                <w:color w:val="auto"/>
              </w:rPr>
              <w:t>无废城市</w:t>
            </w:r>
            <w:r>
              <w:rPr>
                <w:rFonts w:ascii="Times New Roman" w:hAnsi="Times New Roman" w:cs="Times New Roman" w:hint="eastAsia"/>
                <w:color w:val="auto"/>
                <w:spacing w:val="-5"/>
              </w:rPr>
              <w:t>”</w:t>
            </w:r>
            <w:r>
              <w:rPr>
                <w:rFonts w:ascii="Times New Roman" w:hAnsi="Times New Roman" w:cs="Times New Roman"/>
                <w:color w:val="auto"/>
              </w:rPr>
              <w:t>建设，贯彻落实《水泥行业节能降碳专项行动计划》（发改环资</w:t>
            </w:r>
            <w:r>
              <w:rPr>
                <w:rFonts w:ascii="Times New Roman" w:hAnsi="Times New Roman" w:cs="Times New Roman"/>
                <w:color w:val="auto"/>
              </w:rPr>
              <w:t>[2024]733</w:t>
            </w:r>
            <w:r>
              <w:rPr>
                <w:rFonts w:ascii="Times New Roman" w:hAnsi="Times New Roman" w:cs="Times New Roman"/>
                <w:color w:val="auto"/>
              </w:rPr>
              <w:t>号），充分发挥水泥窑协同处置固废能力，并切实解决镇江市</w:t>
            </w:r>
            <w:r>
              <w:rPr>
                <w:rFonts w:ascii="Times New Roman" w:hAnsi="Times New Roman" w:cs="Times New Roman"/>
                <w:color w:val="auto"/>
                <w:spacing w:val="-1"/>
              </w:rPr>
              <w:t>及周边地区污染土壤、污泥处置能</w:t>
            </w:r>
            <w:r>
              <w:rPr>
                <w:rFonts w:ascii="Times New Roman" w:hAnsi="Times New Roman" w:cs="Times New Roman"/>
                <w:color w:val="auto"/>
              </w:rPr>
              <w:t>力不足的问题，句容台泥水泥有限公司拟利用现有的</w:t>
            </w:r>
            <w:r>
              <w:rPr>
                <w:rFonts w:ascii="Times New Roman" w:hAnsi="Times New Roman" w:cs="Times New Roman"/>
                <w:color w:val="auto"/>
                <w:spacing w:val="-1"/>
              </w:rPr>
              <w:t>两条新型干法水泥生产线进</w:t>
            </w:r>
            <w:r>
              <w:rPr>
                <w:rFonts w:ascii="Times New Roman" w:hAnsi="Times New Roman" w:cs="Times New Roman"/>
                <w:color w:val="auto"/>
              </w:rPr>
              <w:t>行新增污染土、污泥的协同处置，</w:t>
            </w:r>
            <w:r>
              <w:rPr>
                <w:rFonts w:ascii="Times New Roman" w:hAnsi="Times New Roman" w:cs="Times New Roman"/>
                <w:color w:val="auto"/>
                <w:spacing w:val="-1"/>
              </w:rPr>
              <w:t>本项目建设总规模为</w:t>
            </w:r>
            <w:r>
              <w:rPr>
                <w:rFonts w:ascii="Times New Roman" w:hAnsi="Times New Roman" w:cs="Times New Roman" w:hint="eastAsia"/>
                <w:color w:val="auto"/>
                <w:spacing w:val="-1"/>
              </w:rPr>
              <w:t>新增</w:t>
            </w:r>
            <w:r>
              <w:rPr>
                <w:rFonts w:ascii="Times New Roman" w:hAnsi="Times New Roman" w:cs="Times New Roman"/>
                <w:color w:val="auto"/>
                <w:spacing w:val="-1"/>
              </w:rPr>
              <w:t>年协同处置</w:t>
            </w:r>
            <w:r>
              <w:rPr>
                <w:rFonts w:ascii="Times New Roman" w:hAnsi="Times New Roman" w:cs="Times New Roman"/>
                <w:color w:val="auto"/>
                <w:spacing w:val="-1"/>
              </w:rPr>
              <w:t>5</w:t>
            </w:r>
            <w:r>
              <w:rPr>
                <w:rFonts w:ascii="Times New Roman" w:hAnsi="Times New Roman" w:cs="Times New Roman"/>
                <w:color w:val="auto"/>
                <w:spacing w:val="-1"/>
              </w:rPr>
              <w:t>万吨污染土</w:t>
            </w:r>
            <w:r>
              <w:rPr>
                <w:rFonts w:ascii="Times New Roman" w:hAnsi="Times New Roman" w:cs="Times New Roman"/>
                <w:color w:val="auto"/>
                <w:spacing w:val="-1"/>
              </w:rPr>
              <w:t>+5</w:t>
            </w:r>
            <w:r>
              <w:rPr>
                <w:rFonts w:ascii="Times New Roman" w:hAnsi="Times New Roman" w:cs="Times New Roman"/>
                <w:color w:val="auto"/>
                <w:spacing w:val="-1"/>
              </w:rPr>
              <w:t>万吨污泥。本项目利用污</w:t>
            </w:r>
            <w:r>
              <w:rPr>
                <w:rFonts w:ascii="Times New Roman" w:hAnsi="Times New Roman" w:cs="Times New Roman"/>
                <w:color w:val="auto"/>
                <w:spacing w:val="-1"/>
              </w:rPr>
              <w:lastRenderedPageBreak/>
              <w:t>染土、污泥为一般固废，作为生料替原料使用，替代砂岩、粉煤灰（湿），根据污泥的成分合理搭配使用。</w:t>
            </w:r>
          </w:p>
          <w:p w14:paraId="47AA9E7E"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本项目已取得句容市下蜀镇人民政府备案（项目代码：</w:t>
            </w:r>
            <w:r>
              <w:rPr>
                <w:rFonts w:ascii="Times New Roman" w:hAnsi="Times New Roman" w:cs="Times New Roman"/>
                <w:color w:val="auto"/>
                <w:spacing w:val="-1"/>
              </w:rPr>
              <w:t>2404-321154-89-02-389053</w:t>
            </w:r>
            <w:r>
              <w:rPr>
                <w:rFonts w:ascii="Times New Roman" w:hAnsi="Times New Roman" w:cs="Times New Roman"/>
                <w:color w:val="auto"/>
                <w:spacing w:val="-1"/>
              </w:rPr>
              <w:t>），项目总投资为</w:t>
            </w:r>
            <w:r>
              <w:rPr>
                <w:rFonts w:ascii="Times New Roman" w:hAnsi="Times New Roman" w:cs="Times New Roman" w:hint="eastAsia"/>
                <w:color w:val="auto"/>
                <w:spacing w:val="-1"/>
              </w:rPr>
              <w:t>3000</w:t>
            </w:r>
            <w:r>
              <w:rPr>
                <w:rFonts w:ascii="Times New Roman" w:hAnsi="Times New Roman" w:cs="Times New Roman"/>
                <w:color w:val="auto"/>
                <w:spacing w:val="-1"/>
              </w:rPr>
              <w:t>万元。</w:t>
            </w:r>
          </w:p>
          <w:p w14:paraId="778F2CA0"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根据备案证，</w:t>
            </w:r>
            <w:r>
              <w:rPr>
                <w:rFonts w:ascii="Times New Roman" w:hAnsi="Times New Roman" w:cs="Times New Roman" w:hint="eastAsia"/>
                <w:color w:val="auto"/>
                <w:spacing w:val="-1"/>
              </w:rPr>
              <w:t>替代燃料节能减排</w:t>
            </w:r>
            <w:r>
              <w:rPr>
                <w:rFonts w:ascii="Times New Roman" w:hAnsi="Times New Roman" w:cs="Times New Roman"/>
                <w:color w:val="auto"/>
                <w:spacing w:val="-1"/>
              </w:rPr>
              <w:t>项目主要建设内容如下：项目利用句容台泥水泥公司</w:t>
            </w:r>
            <w:r>
              <w:rPr>
                <w:rFonts w:ascii="Times New Roman" w:hAnsi="Times New Roman" w:cs="Times New Roman"/>
                <w:color w:val="auto"/>
                <w:spacing w:val="-1"/>
              </w:rPr>
              <w:t>1#</w:t>
            </w:r>
            <w:r>
              <w:rPr>
                <w:rFonts w:ascii="Times New Roman" w:hAnsi="Times New Roman" w:cs="Times New Roman"/>
                <w:color w:val="auto"/>
                <w:spacing w:val="-1"/>
              </w:rPr>
              <w:t>和</w:t>
            </w:r>
            <w:r>
              <w:rPr>
                <w:rFonts w:ascii="Times New Roman" w:hAnsi="Times New Roman" w:cs="Times New Roman"/>
                <w:color w:val="auto"/>
                <w:spacing w:val="-1"/>
              </w:rPr>
              <w:t>2#</w:t>
            </w:r>
            <w:r>
              <w:rPr>
                <w:rFonts w:ascii="Times New Roman" w:hAnsi="Times New Roman" w:cs="Times New Roman"/>
                <w:color w:val="auto"/>
                <w:spacing w:val="-1"/>
              </w:rPr>
              <w:t>水泥熟料生产线，处置废纺、生物质燃料、废轮胎等替代燃料</w:t>
            </w:r>
            <w:r>
              <w:rPr>
                <w:rFonts w:ascii="Times New Roman" w:hAnsi="Times New Roman" w:cs="Times New Roman"/>
                <w:color w:val="auto"/>
                <w:spacing w:val="-1"/>
              </w:rPr>
              <w:t>45</w:t>
            </w:r>
            <w:r>
              <w:rPr>
                <w:rFonts w:ascii="Times New Roman" w:hAnsi="Times New Roman" w:cs="Times New Roman"/>
                <w:color w:val="auto"/>
                <w:spacing w:val="-1"/>
              </w:rPr>
              <w:t>万吨</w:t>
            </w:r>
            <w:r>
              <w:rPr>
                <w:rFonts w:ascii="Times New Roman" w:hAnsi="Times New Roman" w:cs="Times New Roman"/>
                <w:color w:val="auto"/>
                <w:spacing w:val="-1"/>
              </w:rPr>
              <w:t>/</w:t>
            </w:r>
            <w:r>
              <w:rPr>
                <w:rFonts w:ascii="Times New Roman" w:hAnsi="Times New Roman" w:cs="Times New Roman"/>
                <w:color w:val="auto"/>
                <w:spacing w:val="-1"/>
              </w:rPr>
              <w:t>年。项目建设内容包括三个部分：</w:t>
            </w:r>
            <w:r>
              <w:rPr>
                <w:rFonts w:ascii="Times New Roman" w:hAnsi="Times New Roman" w:cs="Times New Roman"/>
                <w:color w:val="auto"/>
                <w:spacing w:val="-1"/>
              </w:rPr>
              <w:t>1</w:t>
            </w:r>
            <w:r>
              <w:rPr>
                <w:rFonts w:ascii="Times New Roman" w:hAnsi="Times New Roman" w:cs="Times New Roman"/>
                <w:color w:val="auto"/>
                <w:spacing w:val="-1"/>
              </w:rPr>
              <w:t>、对一线轮胎破碎车间轮胎破碎机系统进行改造，并增加一套破碎系统，使总破碎能力达到</w:t>
            </w:r>
            <w:r>
              <w:rPr>
                <w:rFonts w:ascii="Times New Roman" w:hAnsi="Times New Roman" w:cs="Times New Roman"/>
                <w:color w:val="auto"/>
                <w:spacing w:val="-1"/>
              </w:rPr>
              <w:t>30t/h</w:t>
            </w:r>
            <w:r>
              <w:rPr>
                <w:rFonts w:ascii="Times New Roman" w:hAnsi="Times New Roman" w:cs="Times New Roman"/>
                <w:color w:val="auto"/>
                <w:spacing w:val="-1"/>
              </w:rPr>
              <w:t>；</w:t>
            </w:r>
            <w:r>
              <w:rPr>
                <w:rFonts w:ascii="Times New Roman" w:hAnsi="Times New Roman" w:cs="Times New Roman"/>
                <w:color w:val="auto"/>
                <w:spacing w:val="-1"/>
              </w:rPr>
              <w:t>2</w:t>
            </w:r>
            <w:r>
              <w:rPr>
                <w:rFonts w:ascii="Times New Roman" w:hAnsi="Times New Roman" w:cs="Times New Roman"/>
                <w:color w:val="auto"/>
                <w:spacing w:val="-1"/>
              </w:rPr>
              <w:t>、在余热发电西侧场地建设替代燃料堆棚，堆棚占地面积约</w:t>
            </w:r>
            <w:r>
              <w:rPr>
                <w:rFonts w:ascii="Times New Roman" w:hAnsi="Times New Roman" w:cs="Times New Roman"/>
                <w:color w:val="auto"/>
                <w:spacing w:val="-1"/>
              </w:rPr>
              <w:t>1.3</w:t>
            </w:r>
            <w:r>
              <w:rPr>
                <w:rFonts w:ascii="Times New Roman" w:hAnsi="Times New Roman" w:cs="Times New Roman"/>
                <w:color w:val="auto"/>
                <w:spacing w:val="-1"/>
              </w:rPr>
              <w:t>万平方米，堆棚内布置</w:t>
            </w:r>
            <w:r>
              <w:rPr>
                <w:rFonts w:ascii="Times New Roman" w:hAnsi="Times New Roman" w:cs="Times New Roman"/>
                <w:color w:val="auto"/>
                <w:spacing w:val="-1"/>
              </w:rPr>
              <w:t>3</w:t>
            </w:r>
            <w:r>
              <w:rPr>
                <w:rFonts w:ascii="Times New Roman" w:hAnsi="Times New Roman" w:cs="Times New Roman"/>
                <w:color w:val="auto"/>
                <w:spacing w:val="-1"/>
              </w:rPr>
              <w:t>套破碎系统，总破碎能力达到</w:t>
            </w:r>
            <w:r>
              <w:rPr>
                <w:rFonts w:ascii="Times New Roman" w:hAnsi="Times New Roman" w:cs="Times New Roman"/>
                <w:color w:val="auto"/>
                <w:spacing w:val="-1"/>
              </w:rPr>
              <w:t>45t/h</w:t>
            </w:r>
            <w:r>
              <w:rPr>
                <w:rFonts w:ascii="Times New Roman" w:hAnsi="Times New Roman" w:cs="Times New Roman"/>
                <w:color w:val="auto"/>
                <w:spacing w:val="-1"/>
              </w:rPr>
              <w:t>；</w:t>
            </w:r>
            <w:r>
              <w:rPr>
                <w:rFonts w:ascii="Times New Roman" w:hAnsi="Times New Roman" w:cs="Times New Roman"/>
                <w:color w:val="auto"/>
                <w:spacing w:val="-1"/>
              </w:rPr>
              <w:t>3</w:t>
            </w:r>
            <w:r>
              <w:rPr>
                <w:rFonts w:ascii="Times New Roman" w:hAnsi="Times New Roman" w:cs="Times New Roman"/>
                <w:color w:val="auto"/>
                <w:spacing w:val="-1"/>
              </w:rPr>
              <w:t>、另在办公楼西侧场地新增原料、污染土堆棚及调配库系统，堆棚占地面积</w:t>
            </w:r>
            <w:r>
              <w:rPr>
                <w:rFonts w:ascii="Times New Roman" w:hAnsi="Times New Roman" w:cs="Times New Roman"/>
                <w:color w:val="auto"/>
                <w:spacing w:val="-1"/>
              </w:rPr>
              <w:t>2.5</w:t>
            </w:r>
            <w:r>
              <w:rPr>
                <w:rFonts w:ascii="Times New Roman" w:hAnsi="Times New Roman" w:cs="Times New Roman"/>
                <w:color w:val="auto"/>
                <w:spacing w:val="-1"/>
              </w:rPr>
              <w:t>万平方米，用于污染土等原材料储存及输送。项目利用</w:t>
            </w:r>
            <w:r>
              <w:rPr>
                <w:rFonts w:ascii="Times New Roman" w:hAnsi="Times New Roman" w:cs="Times New Roman"/>
                <w:color w:val="auto"/>
                <w:spacing w:val="-1"/>
              </w:rPr>
              <w:t>5</w:t>
            </w:r>
            <w:r>
              <w:rPr>
                <w:rFonts w:ascii="Times New Roman" w:hAnsi="Times New Roman" w:cs="Times New Roman"/>
                <w:color w:val="auto"/>
                <w:spacing w:val="-1"/>
              </w:rPr>
              <w:t>万吨</w:t>
            </w:r>
            <w:r>
              <w:rPr>
                <w:rFonts w:ascii="Times New Roman" w:hAnsi="Times New Roman" w:cs="Times New Roman"/>
                <w:color w:val="auto"/>
                <w:spacing w:val="-1"/>
              </w:rPr>
              <w:t>/</w:t>
            </w:r>
            <w:r>
              <w:rPr>
                <w:rFonts w:ascii="Times New Roman" w:hAnsi="Times New Roman" w:cs="Times New Roman"/>
                <w:color w:val="auto"/>
                <w:spacing w:val="-1"/>
              </w:rPr>
              <w:t>年污染土和</w:t>
            </w:r>
            <w:r>
              <w:rPr>
                <w:rFonts w:ascii="Times New Roman" w:hAnsi="Times New Roman" w:cs="Times New Roman"/>
                <w:color w:val="auto"/>
                <w:spacing w:val="-1"/>
              </w:rPr>
              <w:t>5</w:t>
            </w:r>
            <w:r>
              <w:rPr>
                <w:rFonts w:ascii="Times New Roman" w:hAnsi="Times New Roman" w:cs="Times New Roman"/>
                <w:color w:val="auto"/>
                <w:spacing w:val="-1"/>
              </w:rPr>
              <w:t>万吨</w:t>
            </w:r>
            <w:r>
              <w:rPr>
                <w:rFonts w:ascii="Times New Roman" w:hAnsi="Times New Roman" w:cs="Times New Roman"/>
                <w:color w:val="auto"/>
                <w:spacing w:val="-1"/>
              </w:rPr>
              <w:t>/</w:t>
            </w:r>
            <w:r>
              <w:rPr>
                <w:rFonts w:ascii="Times New Roman" w:hAnsi="Times New Roman" w:cs="Times New Roman"/>
                <w:color w:val="auto"/>
                <w:spacing w:val="-1"/>
              </w:rPr>
              <w:t>年污泥为一般固废，作为生料替代原料使用，拟使用的替代燃料不涉及危险废物，主要根据周边可替代燃料的供应情况优选，在入窑前根据替代燃料的成分进行搭配使用。</w:t>
            </w:r>
          </w:p>
          <w:p w14:paraId="4AAFE2B2"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hint="eastAsia"/>
                <w:color w:val="auto"/>
                <w:spacing w:val="-1"/>
              </w:rPr>
              <w:t>该项目分两期建设，</w:t>
            </w:r>
            <w:r>
              <w:rPr>
                <w:rFonts w:ascii="Times New Roman" w:hAnsi="Times New Roman" w:cs="Times New Roman"/>
                <w:color w:val="auto"/>
                <w:spacing w:val="-1"/>
              </w:rPr>
              <w:t>本次评价内容</w:t>
            </w:r>
            <w:r>
              <w:rPr>
                <w:rFonts w:ascii="Times New Roman" w:hAnsi="Times New Roman" w:cs="Times New Roman" w:hint="eastAsia"/>
                <w:color w:val="auto"/>
                <w:spacing w:val="-1"/>
              </w:rPr>
              <w:t>仅</w:t>
            </w:r>
            <w:r>
              <w:rPr>
                <w:rFonts w:ascii="Times New Roman" w:hAnsi="Times New Roman" w:cs="Times New Roman"/>
                <w:color w:val="auto"/>
                <w:spacing w:val="-1"/>
              </w:rPr>
              <w:t>为备案证中</w:t>
            </w:r>
            <w:r>
              <w:rPr>
                <w:rFonts w:ascii="Times New Roman" w:hAnsi="Times New Roman" w:cs="Times New Roman" w:hint="eastAsia"/>
                <w:color w:val="auto"/>
                <w:spacing w:val="-1"/>
              </w:rPr>
              <w:t>“</w:t>
            </w:r>
            <w:r>
              <w:rPr>
                <w:rFonts w:ascii="Times New Roman" w:hAnsi="Times New Roman" w:cs="Times New Roman"/>
                <w:color w:val="auto"/>
                <w:spacing w:val="-1"/>
              </w:rPr>
              <w:t>另在办公楼西侧场地新增原料、污染土堆棚，堆棚占地面积</w:t>
            </w:r>
            <w:r>
              <w:rPr>
                <w:rFonts w:ascii="Times New Roman" w:hAnsi="Times New Roman" w:cs="Times New Roman"/>
                <w:color w:val="auto"/>
                <w:spacing w:val="-1"/>
              </w:rPr>
              <w:t>2.5</w:t>
            </w:r>
            <w:r>
              <w:rPr>
                <w:rFonts w:ascii="Times New Roman" w:hAnsi="Times New Roman" w:cs="Times New Roman"/>
                <w:color w:val="auto"/>
                <w:spacing w:val="-1"/>
              </w:rPr>
              <w:t>万平方米，用于污染土等原材料储。项目利用</w:t>
            </w:r>
            <w:r>
              <w:rPr>
                <w:rFonts w:ascii="Times New Roman" w:hAnsi="Times New Roman" w:cs="Times New Roman"/>
                <w:color w:val="auto"/>
                <w:spacing w:val="-1"/>
              </w:rPr>
              <w:t>5</w:t>
            </w:r>
            <w:r>
              <w:rPr>
                <w:rFonts w:ascii="Times New Roman" w:hAnsi="Times New Roman" w:cs="Times New Roman"/>
                <w:color w:val="auto"/>
                <w:spacing w:val="-1"/>
              </w:rPr>
              <w:t>万吨</w:t>
            </w:r>
            <w:r>
              <w:rPr>
                <w:rFonts w:ascii="Times New Roman" w:hAnsi="Times New Roman" w:cs="Times New Roman"/>
                <w:color w:val="auto"/>
                <w:spacing w:val="-1"/>
              </w:rPr>
              <w:t>/</w:t>
            </w:r>
            <w:r>
              <w:rPr>
                <w:rFonts w:ascii="Times New Roman" w:hAnsi="Times New Roman" w:cs="Times New Roman"/>
                <w:color w:val="auto"/>
                <w:spacing w:val="-1"/>
              </w:rPr>
              <w:t>年污染土和</w:t>
            </w:r>
            <w:r>
              <w:rPr>
                <w:rFonts w:ascii="Times New Roman" w:hAnsi="Times New Roman" w:cs="Times New Roman"/>
                <w:color w:val="auto"/>
                <w:spacing w:val="-1"/>
              </w:rPr>
              <w:t>5</w:t>
            </w:r>
            <w:r>
              <w:rPr>
                <w:rFonts w:ascii="Times New Roman" w:hAnsi="Times New Roman" w:cs="Times New Roman"/>
                <w:color w:val="auto"/>
                <w:spacing w:val="-1"/>
              </w:rPr>
              <w:t>万吨</w:t>
            </w:r>
            <w:r>
              <w:rPr>
                <w:rFonts w:ascii="Times New Roman" w:hAnsi="Times New Roman" w:cs="Times New Roman"/>
                <w:color w:val="auto"/>
                <w:spacing w:val="-1"/>
              </w:rPr>
              <w:t>/</w:t>
            </w:r>
            <w:r>
              <w:rPr>
                <w:rFonts w:ascii="Times New Roman" w:hAnsi="Times New Roman" w:cs="Times New Roman"/>
                <w:color w:val="auto"/>
                <w:spacing w:val="-1"/>
              </w:rPr>
              <w:t>年污泥为一般固废，作为生料替代原料使用。</w:t>
            </w:r>
            <w:r>
              <w:rPr>
                <w:rFonts w:ascii="Times New Roman" w:hAnsi="Times New Roman" w:cs="Times New Roman" w:hint="eastAsia"/>
                <w:color w:val="auto"/>
                <w:spacing w:val="-1"/>
              </w:rPr>
              <w:t>”</w:t>
            </w:r>
            <w:r>
              <w:rPr>
                <w:rFonts w:ascii="Times New Roman" w:hAnsi="Times New Roman" w:cs="Times New Roman"/>
                <w:color w:val="auto"/>
                <w:spacing w:val="-1"/>
              </w:rPr>
              <w:t>，备案证中其余建设内容企业已于替代燃料节能减排项目（一期）中评价，不纳入本次评价范围。</w:t>
            </w:r>
          </w:p>
          <w:p w14:paraId="5898A825" w14:textId="77777777" w:rsidR="00F76A63" w:rsidRDefault="00000000">
            <w:pPr>
              <w:snapToGrid w:val="0"/>
              <w:spacing w:line="500" w:lineRule="exact"/>
              <w:ind w:firstLineChars="200" w:firstLine="480"/>
              <w:rPr>
                <w:sz w:val="24"/>
              </w:rPr>
            </w:pPr>
            <w:r>
              <w:rPr>
                <w:sz w:val="24"/>
              </w:rPr>
              <w:t>根据《中华人民共和国环境保护法》《中华人民共和国环境影响评价法》等文件的规定，建设项目应当在开工建设前进行环境影响评价。</w:t>
            </w:r>
            <w:r>
              <w:rPr>
                <w:bCs/>
                <w:sz w:val="24"/>
              </w:rPr>
              <w:t>对照《建设项目环境影响评价分类管理名录》（</w:t>
            </w:r>
            <w:r>
              <w:rPr>
                <w:bCs/>
                <w:sz w:val="24"/>
              </w:rPr>
              <w:t>2021</w:t>
            </w:r>
            <w:r>
              <w:rPr>
                <w:bCs/>
                <w:sz w:val="24"/>
              </w:rPr>
              <w:t>年版），本项目属于</w:t>
            </w:r>
            <w:r>
              <w:rPr>
                <w:bCs/>
                <w:sz w:val="24"/>
              </w:rPr>
              <w:t>“</w:t>
            </w:r>
            <w:r>
              <w:rPr>
                <w:bCs/>
                <w:sz w:val="24"/>
              </w:rPr>
              <w:t>四十七、生态保护和环境治理业，</w:t>
            </w:r>
            <w:r>
              <w:rPr>
                <w:bCs/>
                <w:sz w:val="24"/>
              </w:rPr>
              <w:t>103</w:t>
            </w:r>
            <w:r>
              <w:rPr>
                <w:bCs/>
                <w:sz w:val="24"/>
              </w:rPr>
              <w:t>一般工业固体废物（含污水处理污泥）、建筑施工废弃物处置及综合利用</w:t>
            </w:r>
            <w:r>
              <w:rPr>
                <w:bCs/>
                <w:sz w:val="24"/>
              </w:rPr>
              <w:t>”</w:t>
            </w:r>
            <w:r>
              <w:rPr>
                <w:bCs/>
                <w:sz w:val="24"/>
              </w:rPr>
              <w:t>中的</w:t>
            </w:r>
            <w:r>
              <w:rPr>
                <w:bCs/>
                <w:sz w:val="24"/>
              </w:rPr>
              <w:t>“</w:t>
            </w:r>
            <w:r>
              <w:rPr>
                <w:bCs/>
                <w:sz w:val="24"/>
              </w:rPr>
              <w:t>其他</w:t>
            </w:r>
            <w:r>
              <w:rPr>
                <w:bCs/>
                <w:sz w:val="24"/>
              </w:rPr>
              <w:t>”</w:t>
            </w:r>
            <w:r>
              <w:rPr>
                <w:bCs/>
                <w:sz w:val="24"/>
              </w:rPr>
              <w:t>，编制环境影响评价报告表。</w:t>
            </w:r>
            <w:r>
              <w:rPr>
                <w:sz w:val="24"/>
              </w:rPr>
              <w:t>为此建设单位委托江苏环保产业技术研究院股份公司对本项目进行环境影响评价。江苏环保产业技术研究院股份公司接受委托后，在对项目所在地进行实地踏勘，调研、收集和核</w:t>
            </w:r>
            <w:r>
              <w:rPr>
                <w:sz w:val="24"/>
              </w:rPr>
              <w:lastRenderedPageBreak/>
              <w:t>实有关资料的基础上，根据</w:t>
            </w:r>
            <w:r>
              <w:rPr>
                <w:rFonts w:hint="eastAsia"/>
                <w:sz w:val="24"/>
              </w:rPr>
              <w:t>建设项目环境影响报告表编制技术指南（污染影响类）</w:t>
            </w:r>
            <w:r>
              <w:rPr>
                <w:sz w:val="24"/>
              </w:rPr>
              <w:t>和国家、地方环保要求，编制了本环境影响评价报告表。</w:t>
            </w:r>
          </w:p>
          <w:p w14:paraId="73777957" w14:textId="77777777" w:rsidR="00F76A63" w:rsidRDefault="00000000">
            <w:pPr>
              <w:adjustRightInd w:val="0"/>
              <w:snapToGrid w:val="0"/>
              <w:spacing w:line="500" w:lineRule="exact"/>
              <w:ind w:firstLineChars="200" w:firstLine="482"/>
              <w:jc w:val="left"/>
              <w:rPr>
                <w:b/>
                <w:sz w:val="24"/>
              </w:rPr>
            </w:pPr>
            <w:bookmarkStart w:id="61" w:name="OLE_LINK89"/>
            <w:r>
              <w:rPr>
                <w:b/>
                <w:sz w:val="24"/>
              </w:rPr>
              <w:t>二、项目必要性</w:t>
            </w:r>
            <w:r>
              <w:rPr>
                <w:rFonts w:hint="eastAsia"/>
                <w:b/>
                <w:sz w:val="24"/>
              </w:rPr>
              <w:t>及规模合理性</w:t>
            </w:r>
          </w:p>
          <w:p w14:paraId="49770002" w14:textId="77777777" w:rsidR="00F76A63" w:rsidRDefault="00000000">
            <w:pPr>
              <w:snapToGrid w:val="0"/>
              <w:spacing w:line="500" w:lineRule="exact"/>
              <w:ind w:firstLineChars="200" w:firstLine="482"/>
              <w:rPr>
                <w:b/>
                <w:bCs/>
                <w:sz w:val="24"/>
              </w:rPr>
            </w:pPr>
            <w:r>
              <w:rPr>
                <w:rFonts w:hint="eastAsia"/>
                <w:b/>
                <w:bCs/>
                <w:sz w:val="24"/>
              </w:rPr>
              <w:t>1</w:t>
            </w:r>
            <w:r>
              <w:rPr>
                <w:rFonts w:hint="eastAsia"/>
                <w:b/>
                <w:bCs/>
                <w:sz w:val="24"/>
              </w:rPr>
              <w:t>、建设必要性：</w:t>
            </w:r>
          </w:p>
          <w:p w14:paraId="75481AE0" w14:textId="77777777" w:rsidR="00F76A63" w:rsidRDefault="00000000">
            <w:pPr>
              <w:snapToGrid w:val="0"/>
              <w:spacing w:line="500" w:lineRule="exact"/>
              <w:ind w:firstLineChars="200" w:firstLine="480"/>
              <w:rPr>
                <w:sz w:val="24"/>
              </w:rPr>
            </w:pPr>
            <w:r>
              <w:rPr>
                <w:sz w:val="24"/>
              </w:rPr>
              <w:t>利用水泥窑协同处置固废符合国家政策鼓励方向。</w:t>
            </w:r>
            <w:r>
              <w:rPr>
                <w:sz w:val="24"/>
              </w:rPr>
              <w:t>2024</w:t>
            </w:r>
            <w:r>
              <w:rPr>
                <w:sz w:val="24"/>
              </w:rPr>
              <w:t>年</w:t>
            </w:r>
            <w:r>
              <w:rPr>
                <w:sz w:val="24"/>
              </w:rPr>
              <w:t>6</w:t>
            </w:r>
            <w:r>
              <w:rPr>
                <w:sz w:val="24"/>
              </w:rPr>
              <w:t>月，国家发展改革委等五部委联合印发《水泥行业节能降碳专项行动计划》（发改环资</w:t>
            </w:r>
            <w:r>
              <w:rPr>
                <w:sz w:val="24"/>
              </w:rPr>
              <w:t>[2024]733</w:t>
            </w:r>
            <w:r>
              <w:rPr>
                <w:sz w:val="24"/>
              </w:rPr>
              <w:t>号），围绕能源消费绿色低碳转型、能源资源循环利用等方面部署了节能降碳重点任务。能源资源循环利用方面提出推进资源循环利用，提出</w:t>
            </w:r>
            <w:r>
              <w:rPr>
                <w:rFonts w:hint="eastAsia"/>
                <w:sz w:val="24"/>
              </w:rPr>
              <w:t>“</w:t>
            </w:r>
            <w:r>
              <w:rPr>
                <w:sz w:val="24"/>
              </w:rPr>
              <w:t>在保障产品质量前提下</w:t>
            </w:r>
            <w:r>
              <w:rPr>
                <w:sz w:val="24"/>
              </w:rPr>
              <w:t>……</w:t>
            </w:r>
            <w:r>
              <w:rPr>
                <w:sz w:val="24"/>
              </w:rPr>
              <w:t>支持利用水泥窑协同处置废弃物，鼓励以高炉废渣、电厂粉煤灰、煤矸石等废渣为主要原料的超细粉替代普通混合材。推广高固废掺量的低碳水泥生产技术，鼓励在水泥熟料生产中提高工业固废原料掺量比例</w:t>
            </w:r>
            <w:r>
              <w:rPr>
                <w:rFonts w:hint="eastAsia"/>
                <w:sz w:val="24"/>
              </w:rPr>
              <w:t>”</w:t>
            </w:r>
            <w:r>
              <w:rPr>
                <w:sz w:val="24"/>
              </w:rPr>
              <w:t>。污染土、污泥替代天然矿物原料入窑利用，固废得以减量化、资源化利用。同时依托现有熟料生产线处置，无需新建主体生产设施，降低基建能耗与碳排放，符合绿色低碳发展导向。</w:t>
            </w:r>
          </w:p>
          <w:p w14:paraId="6A3BEE85" w14:textId="77777777" w:rsidR="00F76A63" w:rsidRDefault="00000000">
            <w:pPr>
              <w:snapToGrid w:val="0"/>
              <w:spacing w:line="500" w:lineRule="exact"/>
              <w:ind w:firstLineChars="200" w:firstLine="480"/>
              <w:rPr>
                <w:sz w:val="24"/>
              </w:rPr>
            </w:pPr>
            <w:r>
              <w:rPr>
                <w:rFonts w:hint="eastAsia"/>
                <w:sz w:val="24"/>
              </w:rPr>
              <w:t>此外，</w:t>
            </w:r>
            <w:r>
              <w:rPr>
                <w:sz w:val="24"/>
              </w:rPr>
              <w:t>区域内工业污染土、市政污泥产生量持续稳定增长，合规消纳处置缺口较大。本项目依托水泥窑协同处置工艺，可实现两类固废无害化处置，规避非法堆存、随意处置带来的土壤、地下水及大气污染风险，满足地方固废规范化管控诉求。</w:t>
            </w:r>
          </w:p>
          <w:p w14:paraId="183A5AEE" w14:textId="77777777" w:rsidR="00F76A63" w:rsidRDefault="00000000">
            <w:pPr>
              <w:snapToGrid w:val="0"/>
              <w:spacing w:line="500" w:lineRule="exact"/>
              <w:ind w:firstLineChars="200" w:firstLine="482"/>
              <w:rPr>
                <w:b/>
                <w:bCs/>
                <w:sz w:val="24"/>
              </w:rPr>
            </w:pPr>
            <w:r>
              <w:rPr>
                <w:rFonts w:hint="eastAsia"/>
                <w:b/>
                <w:bCs/>
                <w:sz w:val="24"/>
              </w:rPr>
              <w:t>2</w:t>
            </w:r>
            <w:r>
              <w:rPr>
                <w:rFonts w:hint="eastAsia"/>
                <w:b/>
                <w:bCs/>
                <w:sz w:val="24"/>
              </w:rPr>
              <w:t>、规模合理性：</w:t>
            </w:r>
          </w:p>
          <w:p w14:paraId="11BF248C" w14:textId="77777777" w:rsidR="00F76A63" w:rsidRDefault="00000000">
            <w:pPr>
              <w:snapToGrid w:val="0"/>
              <w:spacing w:line="500" w:lineRule="exact"/>
              <w:ind w:firstLineChars="200" w:firstLine="480"/>
              <w:rPr>
                <w:sz w:val="24"/>
              </w:rPr>
            </w:pPr>
            <w:r>
              <w:rPr>
                <w:sz w:val="24"/>
              </w:rPr>
              <w:t>本项目设计处置污染土</w:t>
            </w:r>
            <w:r>
              <w:rPr>
                <w:sz w:val="24"/>
              </w:rPr>
              <w:t>5</w:t>
            </w:r>
            <w:r>
              <w:rPr>
                <w:sz w:val="24"/>
              </w:rPr>
              <w:t>万</w:t>
            </w:r>
            <w:r>
              <w:rPr>
                <w:sz w:val="24"/>
              </w:rPr>
              <w:t>t/a</w:t>
            </w:r>
            <w:r>
              <w:rPr>
                <w:sz w:val="24"/>
              </w:rPr>
              <w:t>、污泥</w:t>
            </w:r>
            <w:r>
              <w:rPr>
                <w:sz w:val="24"/>
              </w:rPr>
              <w:t>5</w:t>
            </w:r>
            <w:r>
              <w:rPr>
                <w:sz w:val="24"/>
              </w:rPr>
              <w:t>万</w:t>
            </w:r>
            <w:r>
              <w:rPr>
                <w:sz w:val="24"/>
              </w:rPr>
              <w:t>t/a</w:t>
            </w:r>
            <w:r>
              <w:rPr>
                <w:sz w:val="24"/>
              </w:rPr>
              <w:t>，合计处置规模</w:t>
            </w:r>
            <w:r>
              <w:rPr>
                <w:sz w:val="24"/>
              </w:rPr>
              <w:t>10</w:t>
            </w:r>
            <w:r>
              <w:rPr>
                <w:sz w:val="24"/>
              </w:rPr>
              <w:t>万</w:t>
            </w:r>
            <w:r>
              <w:rPr>
                <w:sz w:val="24"/>
              </w:rPr>
              <w:t>t/a</w:t>
            </w:r>
            <w:r>
              <w:rPr>
                <w:sz w:val="24"/>
              </w:rPr>
              <w:t>，规模设置具备充分合理性。</w:t>
            </w:r>
          </w:p>
          <w:p w14:paraId="6CE9B84B" w14:textId="77777777" w:rsidR="00F76A63" w:rsidRDefault="00000000">
            <w:pPr>
              <w:snapToGrid w:val="0"/>
              <w:spacing w:line="500" w:lineRule="exact"/>
              <w:ind w:firstLineChars="200" w:firstLine="482"/>
              <w:rPr>
                <w:sz w:val="24"/>
              </w:rPr>
            </w:pPr>
            <w:r>
              <w:rPr>
                <w:rFonts w:hint="eastAsia"/>
                <w:b/>
                <w:bCs/>
                <w:sz w:val="24"/>
              </w:rPr>
              <w:t>（</w:t>
            </w:r>
            <w:r>
              <w:rPr>
                <w:rFonts w:hint="eastAsia"/>
                <w:b/>
                <w:bCs/>
                <w:sz w:val="24"/>
              </w:rPr>
              <w:t>1</w:t>
            </w:r>
            <w:r>
              <w:rPr>
                <w:rFonts w:hint="eastAsia"/>
                <w:b/>
                <w:bCs/>
                <w:sz w:val="24"/>
              </w:rPr>
              <w:t>）</w:t>
            </w:r>
            <w:r>
              <w:rPr>
                <w:b/>
                <w:bCs/>
                <w:sz w:val="24"/>
              </w:rPr>
              <w:t>匹配生产线处置承载能力</w:t>
            </w:r>
          </w:p>
          <w:p w14:paraId="5D50003E" w14:textId="77777777" w:rsidR="00F76A63" w:rsidRDefault="00000000">
            <w:pPr>
              <w:snapToGrid w:val="0"/>
              <w:spacing w:line="500" w:lineRule="exact"/>
              <w:ind w:firstLineChars="200" w:firstLine="480"/>
              <w:rPr>
                <w:sz w:val="24"/>
              </w:rPr>
            </w:pPr>
            <w:r>
              <w:rPr>
                <w:sz w:val="24"/>
              </w:rPr>
              <w:t>现有回转窑、分解炉热容量、配料系统工况稳定，物料掺入占比低，不会扰动熟料烧制工艺与产品品质，热平衡、生产工况均可平稳维系，设施负荷处于可控范围。</w:t>
            </w:r>
          </w:p>
          <w:p w14:paraId="6126330C" w14:textId="77777777" w:rsidR="00F76A63" w:rsidRDefault="00000000">
            <w:pPr>
              <w:snapToGrid w:val="0"/>
              <w:spacing w:line="500" w:lineRule="exact"/>
              <w:ind w:firstLineChars="200" w:firstLine="482"/>
              <w:rPr>
                <w:sz w:val="24"/>
              </w:rPr>
            </w:pPr>
            <w:r>
              <w:rPr>
                <w:rFonts w:hint="eastAsia"/>
                <w:b/>
                <w:bCs/>
                <w:sz w:val="24"/>
              </w:rPr>
              <w:t>（</w:t>
            </w:r>
            <w:r>
              <w:rPr>
                <w:rFonts w:hint="eastAsia"/>
                <w:b/>
                <w:bCs/>
                <w:sz w:val="24"/>
              </w:rPr>
              <w:t>2</w:t>
            </w:r>
            <w:r>
              <w:rPr>
                <w:rFonts w:hint="eastAsia"/>
                <w:b/>
                <w:bCs/>
                <w:sz w:val="24"/>
              </w:rPr>
              <w:t>）</w:t>
            </w:r>
            <w:r>
              <w:rPr>
                <w:b/>
                <w:bCs/>
                <w:sz w:val="24"/>
              </w:rPr>
              <w:t>适配厂区贮存转运条件</w:t>
            </w:r>
          </w:p>
          <w:p w14:paraId="11813C1D" w14:textId="77777777" w:rsidR="00F76A63" w:rsidRDefault="00000000">
            <w:pPr>
              <w:snapToGrid w:val="0"/>
              <w:spacing w:line="500" w:lineRule="exact"/>
              <w:ind w:firstLineChars="200" w:firstLine="480"/>
              <w:rPr>
                <w:sz w:val="24"/>
              </w:rPr>
            </w:pPr>
            <w:r>
              <w:rPr>
                <w:sz w:val="24"/>
              </w:rPr>
              <w:lastRenderedPageBreak/>
              <w:t>新建密闭堆棚存储空间可满足物料分区堆放需求，配套输送、喷淋除臭、渗滤液收集设施齐全，能够适配既定规模物料的装卸、暂存与转运作业，仓储承载力与处置规模相互匹配。</w:t>
            </w:r>
          </w:p>
          <w:p w14:paraId="25EBD577" w14:textId="77777777" w:rsidR="00F76A63" w:rsidRDefault="00000000">
            <w:pPr>
              <w:snapToGrid w:val="0"/>
              <w:spacing w:line="500" w:lineRule="exact"/>
              <w:ind w:firstLineChars="200" w:firstLine="482"/>
              <w:rPr>
                <w:sz w:val="24"/>
              </w:rPr>
            </w:pPr>
            <w:r>
              <w:rPr>
                <w:rFonts w:hint="eastAsia"/>
                <w:b/>
                <w:bCs/>
                <w:sz w:val="24"/>
              </w:rPr>
              <w:t>（</w:t>
            </w:r>
            <w:r>
              <w:rPr>
                <w:rFonts w:hint="eastAsia"/>
                <w:b/>
                <w:bCs/>
                <w:sz w:val="24"/>
              </w:rPr>
              <w:t>3</w:t>
            </w:r>
            <w:r>
              <w:rPr>
                <w:rFonts w:hint="eastAsia"/>
                <w:b/>
                <w:bCs/>
                <w:sz w:val="24"/>
              </w:rPr>
              <w:t>）</w:t>
            </w:r>
            <w:r>
              <w:rPr>
                <w:b/>
                <w:bCs/>
                <w:sz w:val="24"/>
              </w:rPr>
              <w:t>贴合区域固废产生体量</w:t>
            </w:r>
          </w:p>
          <w:p w14:paraId="63690128" w14:textId="77777777" w:rsidR="00F76A63" w:rsidRDefault="00000000">
            <w:pPr>
              <w:snapToGrid w:val="0"/>
              <w:spacing w:line="500" w:lineRule="exact"/>
              <w:ind w:firstLineChars="200" w:firstLine="480"/>
              <w:rPr>
                <w:sz w:val="24"/>
              </w:rPr>
            </w:pPr>
            <w:r>
              <w:rPr>
                <w:sz w:val="24"/>
              </w:rPr>
              <w:t>结合属地产废单位排污及污泥产出现状，</w:t>
            </w:r>
            <w:r>
              <w:rPr>
                <w:sz w:val="24"/>
              </w:rPr>
              <w:t>10</w:t>
            </w:r>
            <w:r>
              <w:rPr>
                <w:sz w:val="24"/>
              </w:rPr>
              <w:t>万</w:t>
            </w:r>
            <w:r>
              <w:rPr>
                <w:sz w:val="24"/>
              </w:rPr>
              <w:t>t/a</w:t>
            </w:r>
            <w:r>
              <w:rPr>
                <w:sz w:val="24"/>
              </w:rPr>
              <w:t>处置规模可有效承接周边常规固废处置需求，规模设定贴合区域实际产废供需格局，无产能过剩或处置能力不足问题。</w:t>
            </w:r>
          </w:p>
          <w:p w14:paraId="4E5E4DF2" w14:textId="77777777" w:rsidR="00F76A63" w:rsidRDefault="00000000">
            <w:pPr>
              <w:snapToGrid w:val="0"/>
              <w:spacing w:line="500" w:lineRule="exact"/>
              <w:ind w:firstLineChars="200" w:firstLine="482"/>
              <w:rPr>
                <w:sz w:val="24"/>
              </w:rPr>
            </w:pPr>
            <w:r>
              <w:rPr>
                <w:rFonts w:hint="eastAsia"/>
                <w:b/>
                <w:bCs/>
                <w:sz w:val="24"/>
              </w:rPr>
              <w:t>（</w:t>
            </w:r>
            <w:r>
              <w:rPr>
                <w:rFonts w:hint="eastAsia"/>
                <w:b/>
                <w:bCs/>
                <w:sz w:val="24"/>
              </w:rPr>
              <w:t>4</w:t>
            </w:r>
            <w:r>
              <w:rPr>
                <w:rFonts w:hint="eastAsia"/>
                <w:b/>
                <w:bCs/>
                <w:sz w:val="24"/>
              </w:rPr>
              <w:t>）</w:t>
            </w:r>
            <w:r>
              <w:rPr>
                <w:b/>
                <w:bCs/>
                <w:sz w:val="24"/>
              </w:rPr>
              <w:t>污染排放可控达标</w:t>
            </w:r>
          </w:p>
          <w:p w14:paraId="12E124C5" w14:textId="77777777" w:rsidR="00F76A63" w:rsidRDefault="00000000">
            <w:pPr>
              <w:snapToGrid w:val="0"/>
              <w:spacing w:line="500" w:lineRule="exact"/>
              <w:ind w:firstLineChars="200" w:firstLine="480"/>
              <w:rPr>
                <w:sz w:val="24"/>
              </w:rPr>
            </w:pPr>
            <w:r>
              <w:rPr>
                <w:sz w:val="24"/>
              </w:rPr>
              <w:t>按设计规模运行，废气、废水、固废等各类污染物产生量均在现有环保治理设施处理能力范围内，各项污染物可稳定满足排放标准，环境影响处于可接受水平。</w:t>
            </w:r>
          </w:p>
          <w:bookmarkEnd w:id="61"/>
          <w:p w14:paraId="624C4399" w14:textId="77777777" w:rsidR="00F76A63" w:rsidRDefault="00000000">
            <w:pPr>
              <w:snapToGrid w:val="0"/>
              <w:spacing w:line="500" w:lineRule="exact"/>
              <w:ind w:firstLineChars="200" w:firstLine="482"/>
              <w:rPr>
                <w:b/>
                <w:sz w:val="24"/>
              </w:rPr>
            </w:pPr>
            <w:r>
              <w:rPr>
                <w:b/>
                <w:sz w:val="24"/>
              </w:rPr>
              <w:t>三、</w:t>
            </w:r>
            <w:r>
              <w:rPr>
                <w:b/>
                <w:bCs/>
                <w:sz w:val="24"/>
              </w:rPr>
              <w:t>建设内容</w:t>
            </w:r>
          </w:p>
          <w:p w14:paraId="22CA40F7" w14:textId="77777777" w:rsidR="00F76A63" w:rsidRDefault="00000000">
            <w:pPr>
              <w:snapToGrid w:val="0"/>
              <w:spacing w:line="500" w:lineRule="exact"/>
              <w:ind w:firstLineChars="200" w:firstLine="482"/>
              <w:rPr>
                <w:b/>
                <w:sz w:val="24"/>
              </w:rPr>
            </w:pPr>
            <w:bookmarkStart w:id="62" w:name="_Hlk219390860"/>
            <w:r>
              <w:rPr>
                <w:b/>
                <w:sz w:val="24"/>
              </w:rPr>
              <w:t>1</w:t>
            </w:r>
            <w:r>
              <w:rPr>
                <w:b/>
                <w:sz w:val="24"/>
              </w:rPr>
              <w:t>、项目概况</w:t>
            </w:r>
          </w:p>
          <w:p w14:paraId="442B0B49" w14:textId="77777777" w:rsidR="00F76A63" w:rsidRDefault="00000000">
            <w:pPr>
              <w:snapToGrid w:val="0"/>
              <w:spacing w:line="500" w:lineRule="exact"/>
              <w:ind w:firstLineChars="200" w:firstLine="476"/>
              <w:rPr>
                <w:spacing w:val="-1"/>
                <w:sz w:val="24"/>
                <w:szCs w:val="32"/>
              </w:rPr>
            </w:pPr>
            <w:bookmarkStart w:id="63" w:name="_Hlk219390624"/>
            <w:bookmarkEnd w:id="62"/>
            <w:r>
              <w:rPr>
                <w:spacing w:val="-1"/>
                <w:sz w:val="24"/>
                <w:szCs w:val="32"/>
              </w:rPr>
              <w:t>（</w:t>
            </w:r>
            <w:r>
              <w:rPr>
                <w:spacing w:val="-1"/>
                <w:sz w:val="24"/>
                <w:szCs w:val="32"/>
              </w:rPr>
              <w:t>1</w:t>
            </w:r>
            <w:r>
              <w:rPr>
                <w:spacing w:val="-1"/>
                <w:sz w:val="24"/>
                <w:szCs w:val="32"/>
              </w:rPr>
              <w:t>）项目名称：句容台泥水泥有限公司替代燃料节能减排项目（二期）；</w:t>
            </w:r>
          </w:p>
          <w:p w14:paraId="425CDB44" w14:textId="77777777" w:rsidR="00F76A63" w:rsidRDefault="00000000">
            <w:pPr>
              <w:snapToGrid w:val="0"/>
              <w:spacing w:line="500" w:lineRule="exact"/>
              <w:ind w:firstLineChars="200" w:firstLine="476"/>
              <w:rPr>
                <w:spacing w:val="-1"/>
                <w:sz w:val="24"/>
                <w:szCs w:val="32"/>
              </w:rPr>
            </w:pPr>
            <w:r>
              <w:rPr>
                <w:spacing w:val="-1"/>
                <w:sz w:val="24"/>
                <w:szCs w:val="32"/>
              </w:rPr>
              <w:t>（</w:t>
            </w:r>
            <w:r>
              <w:rPr>
                <w:spacing w:val="-1"/>
                <w:sz w:val="24"/>
                <w:szCs w:val="32"/>
              </w:rPr>
              <w:t>2</w:t>
            </w:r>
            <w:r>
              <w:rPr>
                <w:spacing w:val="-1"/>
                <w:sz w:val="24"/>
                <w:szCs w:val="32"/>
              </w:rPr>
              <w:t>）建设单位：句容台泥水泥有限公司；</w:t>
            </w:r>
          </w:p>
          <w:p w14:paraId="7F54A12E" w14:textId="77777777" w:rsidR="00F76A63" w:rsidRDefault="00000000">
            <w:pPr>
              <w:snapToGrid w:val="0"/>
              <w:spacing w:line="500" w:lineRule="exact"/>
              <w:ind w:firstLineChars="200" w:firstLine="476"/>
              <w:rPr>
                <w:spacing w:val="-1"/>
                <w:sz w:val="24"/>
                <w:szCs w:val="32"/>
              </w:rPr>
            </w:pPr>
            <w:r>
              <w:rPr>
                <w:spacing w:val="-1"/>
                <w:sz w:val="24"/>
                <w:szCs w:val="32"/>
              </w:rPr>
              <w:t>（</w:t>
            </w:r>
            <w:r>
              <w:rPr>
                <w:spacing w:val="-1"/>
                <w:sz w:val="24"/>
                <w:szCs w:val="32"/>
              </w:rPr>
              <w:t>3</w:t>
            </w:r>
            <w:r>
              <w:rPr>
                <w:spacing w:val="-1"/>
                <w:sz w:val="24"/>
                <w:szCs w:val="32"/>
              </w:rPr>
              <w:t>）建设性质：改建；</w:t>
            </w:r>
          </w:p>
          <w:p w14:paraId="6CB86DF9" w14:textId="77777777" w:rsidR="00F76A63" w:rsidRDefault="00000000">
            <w:pPr>
              <w:snapToGrid w:val="0"/>
              <w:spacing w:line="500" w:lineRule="exact"/>
              <w:ind w:firstLineChars="200" w:firstLine="476"/>
              <w:rPr>
                <w:spacing w:val="-1"/>
                <w:sz w:val="24"/>
                <w:szCs w:val="32"/>
              </w:rPr>
            </w:pPr>
            <w:r>
              <w:rPr>
                <w:spacing w:val="-1"/>
                <w:sz w:val="24"/>
                <w:szCs w:val="32"/>
              </w:rPr>
              <w:t>（</w:t>
            </w:r>
            <w:r>
              <w:rPr>
                <w:spacing w:val="-1"/>
                <w:sz w:val="24"/>
                <w:szCs w:val="32"/>
              </w:rPr>
              <w:t>4</w:t>
            </w:r>
            <w:r>
              <w:rPr>
                <w:spacing w:val="-1"/>
                <w:sz w:val="24"/>
                <w:szCs w:val="32"/>
              </w:rPr>
              <w:t>）建设地点：镇江市句容市下蜀镇句容台泥水泥有限公司厂内；</w:t>
            </w:r>
          </w:p>
          <w:p w14:paraId="7A5FEADB" w14:textId="77777777" w:rsidR="00F76A63" w:rsidRDefault="00000000">
            <w:pPr>
              <w:snapToGrid w:val="0"/>
              <w:spacing w:line="500" w:lineRule="exact"/>
              <w:ind w:firstLineChars="200" w:firstLine="476"/>
              <w:rPr>
                <w:spacing w:val="-1"/>
                <w:sz w:val="24"/>
                <w:szCs w:val="32"/>
              </w:rPr>
            </w:pPr>
            <w:r>
              <w:rPr>
                <w:spacing w:val="-1"/>
                <w:sz w:val="24"/>
                <w:szCs w:val="32"/>
              </w:rPr>
              <w:t>（</w:t>
            </w:r>
            <w:r>
              <w:rPr>
                <w:spacing w:val="-1"/>
                <w:sz w:val="24"/>
                <w:szCs w:val="32"/>
              </w:rPr>
              <w:t>5</w:t>
            </w:r>
            <w:r>
              <w:rPr>
                <w:spacing w:val="-1"/>
                <w:sz w:val="24"/>
                <w:szCs w:val="32"/>
              </w:rPr>
              <w:t>）总投资：</w:t>
            </w:r>
            <w:r>
              <w:rPr>
                <w:spacing w:val="-1"/>
                <w:sz w:val="24"/>
                <w:szCs w:val="32"/>
              </w:rPr>
              <w:t>3000</w:t>
            </w:r>
            <w:r>
              <w:rPr>
                <w:spacing w:val="-1"/>
                <w:sz w:val="24"/>
                <w:szCs w:val="32"/>
              </w:rPr>
              <w:t>万元；</w:t>
            </w:r>
          </w:p>
          <w:p w14:paraId="4CC1C812" w14:textId="77777777" w:rsidR="00F76A63" w:rsidRDefault="00000000">
            <w:pPr>
              <w:snapToGrid w:val="0"/>
              <w:spacing w:line="500" w:lineRule="exact"/>
              <w:ind w:firstLineChars="200" w:firstLine="476"/>
              <w:rPr>
                <w:spacing w:val="-1"/>
                <w:sz w:val="24"/>
                <w:szCs w:val="32"/>
              </w:rPr>
            </w:pPr>
            <w:r>
              <w:rPr>
                <w:spacing w:val="-1"/>
                <w:sz w:val="24"/>
                <w:szCs w:val="32"/>
              </w:rPr>
              <w:t>（</w:t>
            </w:r>
            <w:r>
              <w:rPr>
                <w:spacing w:val="-1"/>
                <w:sz w:val="24"/>
                <w:szCs w:val="32"/>
              </w:rPr>
              <w:t>6</w:t>
            </w:r>
            <w:r>
              <w:rPr>
                <w:spacing w:val="-1"/>
                <w:sz w:val="24"/>
                <w:szCs w:val="32"/>
              </w:rPr>
              <w:t>）建设期：</w:t>
            </w:r>
            <w:r>
              <w:rPr>
                <w:spacing w:val="-1"/>
                <w:sz w:val="24"/>
                <w:szCs w:val="32"/>
              </w:rPr>
              <w:t>4</w:t>
            </w:r>
            <w:r>
              <w:rPr>
                <w:spacing w:val="-1"/>
                <w:sz w:val="24"/>
                <w:szCs w:val="32"/>
              </w:rPr>
              <w:t>个月；</w:t>
            </w:r>
          </w:p>
          <w:p w14:paraId="412545C3" w14:textId="77777777" w:rsidR="00F76A63" w:rsidRDefault="00000000">
            <w:pPr>
              <w:snapToGrid w:val="0"/>
              <w:spacing w:line="500" w:lineRule="exact"/>
              <w:ind w:firstLineChars="200" w:firstLine="476"/>
              <w:rPr>
                <w:spacing w:val="-1"/>
                <w:sz w:val="24"/>
                <w:szCs w:val="32"/>
              </w:rPr>
            </w:pPr>
            <w:r>
              <w:rPr>
                <w:spacing w:val="-1"/>
                <w:sz w:val="24"/>
                <w:szCs w:val="32"/>
              </w:rPr>
              <w:t>（</w:t>
            </w:r>
            <w:r>
              <w:rPr>
                <w:spacing w:val="-1"/>
                <w:sz w:val="24"/>
                <w:szCs w:val="32"/>
              </w:rPr>
              <w:t>7</w:t>
            </w:r>
            <w:r>
              <w:rPr>
                <w:spacing w:val="-1"/>
                <w:sz w:val="24"/>
                <w:szCs w:val="32"/>
              </w:rPr>
              <w:t>）劳动定员：对现有工程劳动人员进行调配，不新增人员；</w:t>
            </w:r>
          </w:p>
          <w:p w14:paraId="4DF220E8" w14:textId="77777777" w:rsidR="00F76A63" w:rsidRDefault="00000000">
            <w:pPr>
              <w:snapToGrid w:val="0"/>
              <w:spacing w:line="500" w:lineRule="exact"/>
              <w:ind w:firstLineChars="200" w:firstLine="476"/>
              <w:rPr>
                <w:spacing w:val="-1"/>
                <w:sz w:val="24"/>
                <w:szCs w:val="32"/>
              </w:rPr>
            </w:pPr>
            <w:r>
              <w:rPr>
                <w:spacing w:val="-1"/>
                <w:sz w:val="24"/>
                <w:szCs w:val="32"/>
              </w:rPr>
              <w:t>（</w:t>
            </w:r>
            <w:r>
              <w:rPr>
                <w:spacing w:val="-1"/>
                <w:sz w:val="24"/>
                <w:szCs w:val="32"/>
              </w:rPr>
              <w:t>8</w:t>
            </w:r>
            <w:r>
              <w:rPr>
                <w:spacing w:val="-1"/>
                <w:sz w:val="24"/>
                <w:szCs w:val="32"/>
              </w:rPr>
              <w:t>）工作制度：年工作</w:t>
            </w:r>
            <w:r>
              <w:rPr>
                <w:spacing w:val="-1"/>
                <w:sz w:val="24"/>
                <w:szCs w:val="32"/>
              </w:rPr>
              <w:t>310</w:t>
            </w:r>
            <w:r>
              <w:rPr>
                <w:spacing w:val="-1"/>
                <w:sz w:val="24"/>
                <w:szCs w:val="32"/>
              </w:rPr>
              <w:t>天，三班制每班</w:t>
            </w:r>
            <w:r>
              <w:rPr>
                <w:spacing w:val="-1"/>
                <w:sz w:val="24"/>
                <w:szCs w:val="32"/>
              </w:rPr>
              <w:t>8</w:t>
            </w:r>
            <w:r>
              <w:rPr>
                <w:spacing w:val="-1"/>
                <w:sz w:val="24"/>
                <w:szCs w:val="32"/>
              </w:rPr>
              <w:t>小时，年工作</w:t>
            </w:r>
            <w:r>
              <w:rPr>
                <w:spacing w:val="-1"/>
                <w:sz w:val="24"/>
                <w:szCs w:val="32"/>
              </w:rPr>
              <w:t>7440h</w:t>
            </w:r>
            <w:r>
              <w:rPr>
                <w:spacing w:val="-1"/>
                <w:sz w:val="24"/>
                <w:szCs w:val="32"/>
              </w:rPr>
              <w:t>；</w:t>
            </w:r>
          </w:p>
          <w:p w14:paraId="5CE540AB" w14:textId="77777777" w:rsidR="00F76A63" w:rsidRDefault="00000000">
            <w:pPr>
              <w:snapToGrid w:val="0"/>
              <w:spacing w:line="500" w:lineRule="exact"/>
              <w:ind w:firstLineChars="200" w:firstLine="476"/>
              <w:rPr>
                <w:spacing w:val="-1"/>
              </w:rPr>
            </w:pPr>
            <w:r>
              <w:rPr>
                <w:spacing w:val="-1"/>
                <w:sz w:val="24"/>
                <w:szCs w:val="32"/>
              </w:rPr>
              <w:t>（</w:t>
            </w:r>
            <w:r>
              <w:rPr>
                <w:spacing w:val="-1"/>
                <w:sz w:val="24"/>
                <w:szCs w:val="32"/>
              </w:rPr>
              <w:t>9</w:t>
            </w:r>
            <w:r>
              <w:rPr>
                <w:spacing w:val="-1"/>
                <w:sz w:val="24"/>
                <w:szCs w:val="32"/>
              </w:rPr>
              <w:t>）建设规模：</w:t>
            </w:r>
            <w:r>
              <w:rPr>
                <w:rFonts w:ascii="Cambria Math" w:hAnsi="Cambria Math" w:cs="Cambria Math"/>
                <w:spacing w:val="-1"/>
                <w:sz w:val="24"/>
                <w:szCs w:val="32"/>
              </w:rPr>
              <w:t>①</w:t>
            </w:r>
            <w:r>
              <w:rPr>
                <w:spacing w:val="-1"/>
                <w:kern w:val="0"/>
                <w:sz w:val="24"/>
              </w:rPr>
              <w:t>另在办公楼西侧场地新增原料、污染土堆棚，堆棚占地面积</w:t>
            </w:r>
            <w:r>
              <w:rPr>
                <w:spacing w:val="-1"/>
                <w:kern w:val="0"/>
                <w:sz w:val="24"/>
              </w:rPr>
              <w:t>2.5</w:t>
            </w:r>
            <w:r>
              <w:rPr>
                <w:spacing w:val="-1"/>
                <w:kern w:val="0"/>
                <w:sz w:val="24"/>
              </w:rPr>
              <w:t>万平方米，用于污染土等原材料储存</w:t>
            </w:r>
            <w:r>
              <w:rPr>
                <w:rFonts w:ascii="Cambria Math" w:hAnsi="Cambria Math" w:cs="Cambria Math"/>
                <w:spacing w:val="-1"/>
                <w:kern w:val="0"/>
                <w:sz w:val="24"/>
              </w:rPr>
              <w:t>②</w:t>
            </w:r>
            <w:r>
              <w:rPr>
                <w:spacing w:val="-1"/>
                <w:kern w:val="0"/>
                <w:sz w:val="24"/>
              </w:rPr>
              <w:t>项目利用</w:t>
            </w:r>
            <w:r>
              <w:rPr>
                <w:spacing w:val="-1"/>
                <w:kern w:val="0"/>
                <w:sz w:val="24"/>
              </w:rPr>
              <w:t>5</w:t>
            </w:r>
            <w:r>
              <w:rPr>
                <w:spacing w:val="-1"/>
                <w:kern w:val="0"/>
                <w:sz w:val="24"/>
              </w:rPr>
              <w:t>万吨</w:t>
            </w:r>
            <w:r>
              <w:rPr>
                <w:spacing w:val="-1"/>
                <w:kern w:val="0"/>
                <w:sz w:val="24"/>
              </w:rPr>
              <w:t>/</w:t>
            </w:r>
            <w:r>
              <w:rPr>
                <w:spacing w:val="-1"/>
                <w:kern w:val="0"/>
                <w:sz w:val="24"/>
              </w:rPr>
              <w:t>年污染土和</w:t>
            </w:r>
            <w:r>
              <w:rPr>
                <w:spacing w:val="-1"/>
                <w:kern w:val="0"/>
                <w:sz w:val="24"/>
              </w:rPr>
              <w:t>5</w:t>
            </w:r>
            <w:r>
              <w:rPr>
                <w:spacing w:val="-1"/>
                <w:kern w:val="0"/>
                <w:sz w:val="24"/>
              </w:rPr>
              <w:t>万吨</w:t>
            </w:r>
            <w:r>
              <w:rPr>
                <w:spacing w:val="-1"/>
                <w:kern w:val="0"/>
                <w:sz w:val="24"/>
              </w:rPr>
              <w:t>/</w:t>
            </w:r>
            <w:r>
              <w:rPr>
                <w:spacing w:val="-1"/>
                <w:kern w:val="0"/>
                <w:sz w:val="24"/>
              </w:rPr>
              <w:t>年污泥为一般固废，作为生料替代原料中</w:t>
            </w:r>
            <w:r>
              <w:rPr>
                <w:spacing w:val="-1"/>
                <w:kern w:val="0"/>
                <w:sz w:val="24"/>
              </w:rPr>
              <w:t>5</w:t>
            </w:r>
            <w:r>
              <w:rPr>
                <w:spacing w:val="-1"/>
                <w:kern w:val="0"/>
                <w:sz w:val="24"/>
              </w:rPr>
              <w:t>万吨砂岩及</w:t>
            </w:r>
            <w:r>
              <w:rPr>
                <w:spacing w:val="-1"/>
                <w:kern w:val="0"/>
                <w:sz w:val="24"/>
              </w:rPr>
              <w:t>5</w:t>
            </w:r>
            <w:r>
              <w:rPr>
                <w:spacing w:val="-1"/>
                <w:kern w:val="0"/>
                <w:sz w:val="24"/>
              </w:rPr>
              <w:t>万吨湿粉煤灰</w:t>
            </w:r>
            <w:r>
              <w:rPr>
                <w:spacing w:val="-1"/>
              </w:rPr>
              <w:t>。</w:t>
            </w:r>
          </w:p>
          <w:p w14:paraId="61EEB889" w14:textId="77777777" w:rsidR="00F76A63" w:rsidRDefault="00000000">
            <w:pPr>
              <w:adjustRightInd w:val="0"/>
              <w:snapToGrid w:val="0"/>
              <w:spacing w:line="500" w:lineRule="exact"/>
              <w:ind w:firstLineChars="200" w:firstLine="482"/>
              <w:jc w:val="left"/>
              <w:rPr>
                <w:b/>
                <w:sz w:val="24"/>
              </w:rPr>
            </w:pPr>
            <w:bookmarkStart w:id="64" w:name="_Hlk219390809"/>
            <w:bookmarkEnd w:id="63"/>
            <w:r>
              <w:rPr>
                <w:b/>
                <w:sz w:val="24"/>
              </w:rPr>
              <w:t>2</w:t>
            </w:r>
            <w:r>
              <w:rPr>
                <w:b/>
                <w:sz w:val="24"/>
              </w:rPr>
              <w:t>、协同处置替代原料一般固废方案</w:t>
            </w:r>
          </w:p>
          <w:p w14:paraId="1E2A4680" w14:textId="77777777" w:rsidR="00F76A63" w:rsidRDefault="00000000">
            <w:pPr>
              <w:snapToGrid w:val="0"/>
              <w:spacing w:line="500" w:lineRule="exact"/>
              <w:ind w:firstLineChars="200" w:firstLine="476"/>
              <w:rPr>
                <w:spacing w:val="-1"/>
                <w:sz w:val="24"/>
                <w:szCs w:val="32"/>
              </w:rPr>
            </w:pPr>
            <w:r>
              <w:rPr>
                <w:spacing w:val="-1"/>
                <w:sz w:val="24"/>
                <w:szCs w:val="32"/>
              </w:rPr>
              <w:t>本项目在现有</w:t>
            </w:r>
            <w:r>
              <w:rPr>
                <w:spacing w:val="-1"/>
                <w:sz w:val="24"/>
                <w:szCs w:val="32"/>
              </w:rPr>
              <w:t>1#</w:t>
            </w:r>
            <w:r>
              <w:rPr>
                <w:spacing w:val="-1"/>
                <w:sz w:val="24"/>
                <w:szCs w:val="32"/>
              </w:rPr>
              <w:t>熟料生产线、</w:t>
            </w:r>
            <w:r>
              <w:rPr>
                <w:spacing w:val="-1"/>
                <w:sz w:val="24"/>
                <w:szCs w:val="32"/>
              </w:rPr>
              <w:t>2#</w:t>
            </w:r>
            <w:r>
              <w:rPr>
                <w:spacing w:val="-1"/>
                <w:sz w:val="24"/>
                <w:szCs w:val="32"/>
              </w:rPr>
              <w:t>熟料生产线基础上实施改建，利用句容台</w:t>
            </w:r>
            <w:r>
              <w:rPr>
                <w:spacing w:val="-1"/>
                <w:sz w:val="24"/>
                <w:szCs w:val="32"/>
              </w:rPr>
              <w:lastRenderedPageBreak/>
              <w:t>泥水泥公司</w:t>
            </w:r>
            <w:r>
              <w:rPr>
                <w:spacing w:val="-1"/>
                <w:sz w:val="24"/>
                <w:szCs w:val="32"/>
              </w:rPr>
              <w:t>1#</w:t>
            </w:r>
            <w:r>
              <w:rPr>
                <w:spacing w:val="-1"/>
                <w:sz w:val="24"/>
                <w:szCs w:val="32"/>
              </w:rPr>
              <w:t>和</w:t>
            </w:r>
            <w:r>
              <w:rPr>
                <w:spacing w:val="-1"/>
                <w:sz w:val="24"/>
                <w:szCs w:val="32"/>
              </w:rPr>
              <w:t>2#</w:t>
            </w:r>
            <w:r>
              <w:rPr>
                <w:spacing w:val="-1"/>
                <w:sz w:val="24"/>
                <w:szCs w:val="32"/>
              </w:rPr>
              <w:t>水泥熟料生产线，处置</w:t>
            </w:r>
            <w:r>
              <w:rPr>
                <w:spacing w:val="-1"/>
                <w:kern w:val="0"/>
                <w:sz w:val="24"/>
              </w:rPr>
              <w:t>5</w:t>
            </w:r>
            <w:r>
              <w:rPr>
                <w:spacing w:val="-1"/>
                <w:kern w:val="0"/>
                <w:sz w:val="24"/>
              </w:rPr>
              <w:t>万吨</w:t>
            </w:r>
            <w:r>
              <w:rPr>
                <w:spacing w:val="-1"/>
                <w:kern w:val="0"/>
                <w:sz w:val="24"/>
              </w:rPr>
              <w:t>/</w:t>
            </w:r>
            <w:r>
              <w:rPr>
                <w:spacing w:val="-1"/>
                <w:kern w:val="0"/>
                <w:sz w:val="24"/>
              </w:rPr>
              <w:t>年污染土和</w:t>
            </w:r>
            <w:r>
              <w:rPr>
                <w:spacing w:val="-1"/>
                <w:kern w:val="0"/>
                <w:sz w:val="24"/>
              </w:rPr>
              <w:t>5</w:t>
            </w:r>
            <w:r>
              <w:rPr>
                <w:spacing w:val="-1"/>
                <w:kern w:val="0"/>
                <w:sz w:val="24"/>
              </w:rPr>
              <w:t>万吨</w:t>
            </w:r>
            <w:r>
              <w:rPr>
                <w:spacing w:val="-1"/>
                <w:kern w:val="0"/>
                <w:sz w:val="24"/>
              </w:rPr>
              <w:t>/</w:t>
            </w:r>
            <w:r>
              <w:rPr>
                <w:spacing w:val="-1"/>
                <w:kern w:val="0"/>
                <w:sz w:val="24"/>
              </w:rPr>
              <w:t>年污泥，作为生料替代原料中</w:t>
            </w:r>
            <w:r>
              <w:rPr>
                <w:spacing w:val="-1"/>
                <w:kern w:val="0"/>
                <w:sz w:val="24"/>
              </w:rPr>
              <w:t>5</w:t>
            </w:r>
            <w:r>
              <w:rPr>
                <w:spacing w:val="-1"/>
                <w:kern w:val="0"/>
                <w:sz w:val="24"/>
              </w:rPr>
              <w:t>万吨砂岩及</w:t>
            </w:r>
            <w:r>
              <w:rPr>
                <w:spacing w:val="-1"/>
                <w:kern w:val="0"/>
                <w:sz w:val="24"/>
              </w:rPr>
              <w:t>5</w:t>
            </w:r>
            <w:r>
              <w:rPr>
                <w:spacing w:val="-1"/>
                <w:kern w:val="0"/>
                <w:sz w:val="24"/>
              </w:rPr>
              <w:t>万吨湿粉煤灰</w:t>
            </w:r>
            <w:r>
              <w:rPr>
                <w:spacing w:val="-1"/>
              </w:rPr>
              <w:t>。</w:t>
            </w:r>
            <w:r>
              <w:rPr>
                <w:spacing w:val="-1"/>
                <w:sz w:val="24"/>
                <w:szCs w:val="32"/>
              </w:rPr>
              <w:t>本次改建后，协同处置固废方案及变化如下：</w:t>
            </w:r>
          </w:p>
          <w:p w14:paraId="56DF5119" w14:textId="77777777" w:rsidR="00F76A63" w:rsidRDefault="00000000">
            <w:pPr>
              <w:snapToGrid w:val="0"/>
              <w:spacing w:line="500" w:lineRule="exact"/>
              <w:ind w:firstLineChars="200" w:firstLine="478"/>
              <w:rPr>
                <w:b/>
                <w:bCs/>
                <w:spacing w:val="-1"/>
                <w:sz w:val="24"/>
                <w:szCs w:val="32"/>
              </w:rPr>
            </w:pPr>
            <w:r>
              <w:rPr>
                <w:b/>
                <w:bCs/>
                <w:spacing w:val="-1"/>
                <w:sz w:val="24"/>
                <w:szCs w:val="32"/>
              </w:rPr>
              <w:t>（</w:t>
            </w:r>
            <w:r>
              <w:rPr>
                <w:b/>
                <w:bCs/>
                <w:spacing w:val="-1"/>
                <w:sz w:val="24"/>
                <w:szCs w:val="32"/>
              </w:rPr>
              <w:t>1</w:t>
            </w:r>
            <w:r>
              <w:rPr>
                <w:b/>
                <w:bCs/>
                <w:spacing w:val="-1"/>
                <w:sz w:val="24"/>
                <w:szCs w:val="32"/>
              </w:rPr>
              <w:t>）替代原料类固废变化情况</w:t>
            </w:r>
          </w:p>
          <w:p w14:paraId="5037198D" w14:textId="77777777" w:rsidR="00F76A63" w:rsidRDefault="00000000">
            <w:pPr>
              <w:snapToGrid w:val="0"/>
              <w:spacing w:line="500" w:lineRule="exact"/>
              <w:ind w:firstLineChars="200" w:firstLine="476"/>
              <w:rPr>
                <w:spacing w:val="-1"/>
                <w:sz w:val="24"/>
                <w:szCs w:val="32"/>
              </w:rPr>
            </w:pPr>
            <w:r>
              <w:rPr>
                <w:spacing w:val="-1"/>
                <w:sz w:val="24"/>
                <w:szCs w:val="32"/>
              </w:rPr>
              <w:t>1</w:t>
            </w:r>
            <w:r>
              <w:rPr>
                <w:spacing w:val="-1"/>
                <w:sz w:val="24"/>
                <w:szCs w:val="32"/>
              </w:rPr>
              <w:t>）新增协同处置污染土</w:t>
            </w:r>
            <w:r>
              <w:rPr>
                <w:spacing w:val="-1"/>
                <w:sz w:val="24"/>
                <w:szCs w:val="32"/>
              </w:rPr>
              <w:t>5</w:t>
            </w:r>
            <w:r>
              <w:rPr>
                <w:spacing w:val="-1"/>
                <w:sz w:val="24"/>
                <w:szCs w:val="32"/>
              </w:rPr>
              <w:t>万吨</w:t>
            </w:r>
            <w:r>
              <w:rPr>
                <w:spacing w:val="-1"/>
                <w:sz w:val="24"/>
                <w:szCs w:val="32"/>
              </w:rPr>
              <w:t>/</w:t>
            </w:r>
            <w:r>
              <w:rPr>
                <w:spacing w:val="-1"/>
                <w:sz w:val="24"/>
                <w:szCs w:val="32"/>
              </w:rPr>
              <w:t>年、污泥</w:t>
            </w:r>
            <w:r>
              <w:rPr>
                <w:spacing w:val="-1"/>
                <w:sz w:val="24"/>
                <w:szCs w:val="32"/>
              </w:rPr>
              <w:t>5</w:t>
            </w:r>
            <w:r>
              <w:rPr>
                <w:spacing w:val="-1"/>
                <w:sz w:val="24"/>
                <w:szCs w:val="32"/>
              </w:rPr>
              <w:t>万吨</w:t>
            </w:r>
            <w:r>
              <w:rPr>
                <w:spacing w:val="-1"/>
                <w:sz w:val="24"/>
                <w:szCs w:val="32"/>
              </w:rPr>
              <w:t>/</w:t>
            </w:r>
            <w:r>
              <w:rPr>
                <w:spacing w:val="-1"/>
                <w:sz w:val="24"/>
                <w:szCs w:val="32"/>
              </w:rPr>
              <w:t>年；</w:t>
            </w:r>
          </w:p>
          <w:p w14:paraId="6CDC1E85" w14:textId="77777777" w:rsidR="00F76A63" w:rsidRDefault="00000000">
            <w:pPr>
              <w:snapToGrid w:val="0"/>
              <w:spacing w:line="500" w:lineRule="exact"/>
              <w:ind w:firstLineChars="200" w:firstLine="476"/>
              <w:rPr>
                <w:spacing w:val="-1"/>
                <w:sz w:val="24"/>
                <w:szCs w:val="32"/>
              </w:rPr>
            </w:pPr>
            <w:r>
              <w:rPr>
                <w:spacing w:val="-1"/>
                <w:sz w:val="24"/>
                <w:szCs w:val="32"/>
              </w:rPr>
              <w:t>2</w:t>
            </w:r>
            <w:r>
              <w:rPr>
                <w:spacing w:val="-1"/>
                <w:sz w:val="24"/>
                <w:szCs w:val="32"/>
              </w:rPr>
              <w:t>）调整现有原料使用量。具体为：</w:t>
            </w:r>
            <w:r>
              <w:rPr>
                <w:spacing w:val="-1"/>
                <w:sz w:val="24"/>
                <w:szCs w:val="32"/>
              </w:rPr>
              <w:t>1#</w:t>
            </w:r>
            <w:r>
              <w:rPr>
                <w:spacing w:val="-1"/>
                <w:sz w:val="24"/>
                <w:szCs w:val="32"/>
              </w:rPr>
              <w:t>中</w:t>
            </w:r>
            <w:r>
              <w:rPr>
                <w:spacing w:val="-1"/>
                <w:sz w:val="24"/>
                <w:szCs w:val="32"/>
              </w:rPr>
              <w:t>2</w:t>
            </w:r>
            <w:r>
              <w:rPr>
                <w:spacing w:val="-1"/>
                <w:sz w:val="24"/>
                <w:szCs w:val="32"/>
              </w:rPr>
              <w:t>万吨</w:t>
            </w:r>
            <w:r>
              <w:rPr>
                <w:spacing w:val="-1"/>
                <w:sz w:val="24"/>
                <w:szCs w:val="32"/>
              </w:rPr>
              <w:t>/</w:t>
            </w:r>
            <w:r>
              <w:rPr>
                <w:spacing w:val="-1"/>
                <w:sz w:val="24"/>
                <w:szCs w:val="32"/>
              </w:rPr>
              <w:t>年污泥及</w:t>
            </w:r>
            <w:r>
              <w:rPr>
                <w:spacing w:val="-1"/>
                <w:sz w:val="24"/>
                <w:szCs w:val="32"/>
              </w:rPr>
              <w:t>2</w:t>
            </w:r>
            <w:r>
              <w:rPr>
                <w:spacing w:val="-1"/>
                <w:sz w:val="24"/>
                <w:szCs w:val="32"/>
              </w:rPr>
              <w:t>万吨</w:t>
            </w:r>
            <w:r>
              <w:rPr>
                <w:spacing w:val="-1"/>
                <w:sz w:val="24"/>
                <w:szCs w:val="32"/>
              </w:rPr>
              <w:t>/</w:t>
            </w:r>
            <w:r>
              <w:rPr>
                <w:spacing w:val="-1"/>
                <w:sz w:val="24"/>
                <w:szCs w:val="32"/>
              </w:rPr>
              <w:t>年污染土替代</w:t>
            </w:r>
            <w:r>
              <w:rPr>
                <w:spacing w:val="-1"/>
                <w:sz w:val="24"/>
                <w:szCs w:val="32"/>
              </w:rPr>
              <w:t>2</w:t>
            </w:r>
            <w:r>
              <w:rPr>
                <w:spacing w:val="-1"/>
                <w:sz w:val="24"/>
                <w:szCs w:val="32"/>
              </w:rPr>
              <w:t>万吨</w:t>
            </w:r>
            <w:r>
              <w:rPr>
                <w:spacing w:val="-1"/>
                <w:sz w:val="24"/>
                <w:szCs w:val="32"/>
              </w:rPr>
              <w:t>/</w:t>
            </w:r>
            <w:r>
              <w:rPr>
                <w:spacing w:val="-1"/>
                <w:sz w:val="24"/>
                <w:szCs w:val="32"/>
              </w:rPr>
              <w:t>年砂岩及</w:t>
            </w:r>
            <w:r>
              <w:rPr>
                <w:spacing w:val="-1"/>
                <w:sz w:val="24"/>
                <w:szCs w:val="32"/>
              </w:rPr>
              <w:t>2</w:t>
            </w:r>
            <w:r>
              <w:rPr>
                <w:spacing w:val="-1"/>
                <w:sz w:val="24"/>
                <w:szCs w:val="32"/>
              </w:rPr>
              <w:t>万吨</w:t>
            </w:r>
            <w:r>
              <w:rPr>
                <w:spacing w:val="-1"/>
                <w:sz w:val="24"/>
                <w:szCs w:val="32"/>
              </w:rPr>
              <w:t>/</w:t>
            </w:r>
            <w:r>
              <w:rPr>
                <w:spacing w:val="-1"/>
                <w:sz w:val="24"/>
                <w:szCs w:val="32"/>
              </w:rPr>
              <w:t>年湿粉煤灰；</w:t>
            </w:r>
            <w:r>
              <w:rPr>
                <w:spacing w:val="-1"/>
                <w:sz w:val="24"/>
                <w:szCs w:val="32"/>
              </w:rPr>
              <w:t>2#</w:t>
            </w:r>
            <w:r>
              <w:rPr>
                <w:spacing w:val="-1"/>
                <w:sz w:val="24"/>
                <w:szCs w:val="32"/>
              </w:rPr>
              <w:t>中</w:t>
            </w:r>
            <w:r>
              <w:rPr>
                <w:spacing w:val="-1"/>
                <w:sz w:val="24"/>
                <w:szCs w:val="32"/>
              </w:rPr>
              <w:t>3</w:t>
            </w:r>
            <w:r>
              <w:rPr>
                <w:spacing w:val="-1"/>
                <w:sz w:val="24"/>
                <w:szCs w:val="32"/>
              </w:rPr>
              <w:t>万吨</w:t>
            </w:r>
            <w:r>
              <w:rPr>
                <w:spacing w:val="-1"/>
                <w:sz w:val="24"/>
                <w:szCs w:val="32"/>
              </w:rPr>
              <w:t>/</w:t>
            </w:r>
            <w:r>
              <w:rPr>
                <w:spacing w:val="-1"/>
                <w:sz w:val="24"/>
                <w:szCs w:val="32"/>
              </w:rPr>
              <w:t>年污泥及</w:t>
            </w:r>
            <w:r>
              <w:rPr>
                <w:spacing w:val="-1"/>
                <w:sz w:val="24"/>
                <w:szCs w:val="32"/>
              </w:rPr>
              <w:t>3</w:t>
            </w:r>
            <w:r>
              <w:rPr>
                <w:spacing w:val="-1"/>
                <w:sz w:val="24"/>
                <w:szCs w:val="32"/>
              </w:rPr>
              <w:t>万吨</w:t>
            </w:r>
            <w:r>
              <w:rPr>
                <w:spacing w:val="-1"/>
                <w:sz w:val="24"/>
                <w:szCs w:val="32"/>
              </w:rPr>
              <w:t>/</w:t>
            </w:r>
            <w:r>
              <w:rPr>
                <w:spacing w:val="-1"/>
                <w:sz w:val="24"/>
                <w:szCs w:val="32"/>
              </w:rPr>
              <w:t>年污染土替代</w:t>
            </w:r>
            <w:r>
              <w:rPr>
                <w:spacing w:val="-1"/>
                <w:sz w:val="24"/>
                <w:szCs w:val="32"/>
              </w:rPr>
              <w:t>3</w:t>
            </w:r>
            <w:r>
              <w:rPr>
                <w:spacing w:val="-1"/>
                <w:sz w:val="24"/>
                <w:szCs w:val="32"/>
              </w:rPr>
              <w:t>万吨</w:t>
            </w:r>
            <w:r>
              <w:rPr>
                <w:spacing w:val="-1"/>
                <w:sz w:val="24"/>
                <w:szCs w:val="32"/>
              </w:rPr>
              <w:t>/</w:t>
            </w:r>
            <w:r>
              <w:rPr>
                <w:spacing w:val="-1"/>
                <w:sz w:val="24"/>
                <w:szCs w:val="32"/>
              </w:rPr>
              <w:t>年砂岩及</w:t>
            </w:r>
            <w:r>
              <w:rPr>
                <w:spacing w:val="-1"/>
                <w:sz w:val="24"/>
                <w:szCs w:val="32"/>
              </w:rPr>
              <w:t>3</w:t>
            </w:r>
            <w:r>
              <w:rPr>
                <w:spacing w:val="-1"/>
                <w:sz w:val="24"/>
                <w:szCs w:val="32"/>
              </w:rPr>
              <w:t>万吨</w:t>
            </w:r>
            <w:r>
              <w:rPr>
                <w:spacing w:val="-1"/>
                <w:sz w:val="24"/>
                <w:szCs w:val="32"/>
              </w:rPr>
              <w:t>/</w:t>
            </w:r>
            <w:r>
              <w:rPr>
                <w:spacing w:val="-1"/>
                <w:sz w:val="24"/>
                <w:szCs w:val="32"/>
              </w:rPr>
              <w:t>年湿粉煤灰。</w:t>
            </w:r>
          </w:p>
          <w:p w14:paraId="538BCE86" w14:textId="77777777" w:rsidR="00F76A63" w:rsidRDefault="00000000">
            <w:pPr>
              <w:spacing w:line="500" w:lineRule="exact"/>
              <w:jc w:val="center"/>
              <w:rPr>
                <w:b/>
                <w:sz w:val="24"/>
              </w:rPr>
            </w:pPr>
            <w:r>
              <w:rPr>
                <w:b/>
                <w:sz w:val="24"/>
              </w:rPr>
              <w:t>表</w:t>
            </w:r>
            <w:r>
              <w:rPr>
                <w:b/>
                <w:sz w:val="24"/>
              </w:rPr>
              <w:t xml:space="preserve">2-1  </w:t>
            </w:r>
            <w:r>
              <w:rPr>
                <w:b/>
                <w:sz w:val="24"/>
              </w:rPr>
              <w:t>替代原料前后一般固废协同处置方案</w:t>
            </w:r>
          </w:p>
          <w:p w14:paraId="2638E55B" w14:textId="4261FF03" w:rsidR="0097066E" w:rsidRPr="0097066E" w:rsidRDefault="0097066E">
            <w:pPr>
              <w:spacing w:line="500" w:lineRule="exact"/>
              <w:jc w:val="center"/>
              <w:rPr>
                <w:b/>
                <w:i/>
                <w:iCs/>
                <w:sz w:val="24"/>
              </w:rPr>
            </w:pPr>
            <w:bookmarkStart w:id="65" w:name="OLE_LINK7"/>
            <w:r w:rsidRPr="0097066E">
              <w:rPr>
                <w:rFonts w:hint="eastAsia"/>
                <w:b/>
                <w:i/>
                <w:iCs/>
                <w:sz w:val="24"/>
              </w:rPr>
              <w:t>（涉密已删除）</w:t>
            </w:r>
          </w:p>
          <w:bookmarkEnd w:id="65"/>
          <w:p w14:paraId="0B032705" w14:textId="77777777" w:rsidR="00F76A63" w:rsidRDefault="00000000">
            <w:pPr>
              <w:snapToGrid w:val="0"/>
              <w:spacing w:line="500" w:lineRule="exact"/>
              <w:ind w:firstLineChars="200" w:firstLine="478"/>
              <w:rPr>
                <w:b/>
                <w:bCs/>
                <w:spacing w:val="-1"/>
                <w:sz w:val="24"/>
                <w:szCs w:val="32"/>
              </w:rPr>
            </w:pPr>
            <w:r>
              <w:rPr>
                <w:b/>
                <w:bCs/>
                <w:spacing w:val="-1"/>
                <w:sz w:val="24"/>
                <w:szCs w:val="32"/>
              </w:rPr>
              <w:t>（</w:t>
            </w:r>
            <w:r>
              <w:rPr>
                <w:b/>
                <w:bCs/>
                <w:spacing w:val="-1"/>
                <w:sz w:val="24"/>
                <w:szCs w:val="32"/>
              </w:rPr>
              <w:t>2</w:t>
            </w:r>
            <w:r>
              <w:rPr>
                <w:b/>
                <w:bCs/>
                <w:spacing w:val="-1"/>
                <w:sz w:val="24"/>
                <w:szCs w:val="32"/>
              </w:rPr>
              <w:t>）替代原料类一般固废来源</w:t>
            </w:r>
          </w:p>
          <w:p w14:paraId="12FCAF74" w14:textId="77777777" w:rsidR="00F76A63" w:rsidRDefault="00000000">
            <w:pPr>
              <w:snapToGrid w:val="0"/>
              <w:spacing w:line="500" w:lineRule="exact"/>
              <w:ind w:firstLineChars="200" w:firstLine="476"/>
              <w:rPr>
                <w:spacing w:val="-1"/>
                <w:sz w:val="24"/>
                <w:szCs w:val="32"/>
              </w:rPr>
            </w:pPr>
            <w:r>
              <w:rPr>
                <w:spacing w:val="-1"/>
                <w:sz w:val="24"/>
                <w:szCs w:val="32"/>
              </w:rPr>
              <w:t>本项目替代原料一般固体废物主要来源详见表</w:t>
            </w:r>
            <w:r>
              <w:rPr>
                <w:spacing w:val="-1"/>
                <w:sz w:val="24"/>
                <w:szCs w:val="32"/>
              </w:rPr>
              <w:t>2-2</w:t>
            </w:r>
            <w:r>
              <w:rPr>
                <w:spacing w:val="-1"/>
                <w:sz w:val="24"/>
                <w:szCs w:val="32"/>
              </w:rPr>
              <w:t>。</w:t>
            </w:r>
          </w:p>
          <w:p w14:paraId="02E3B74E" w14:textId="77777777" w:rsidR="00F76A63" w:rsidRDefault="00000000">
            <w:pPr>
              <w:snapToGrid w:val="0"/>
              <w:spacing w:line="500" w:lineRule="exact"/>
              <w:jc w:val="center"/>
              <w:rPr>
                <w:b/>
                <w:bCs/>
                <w:spacing w:val="-1"/>
                <w:sz w:val="24"/>
                <w:szCs w:val="32"/>
              </w:rPr>
            </w:pPr>
            <w:r>
              <w:rPr>
                <w:b/>
                <w:bCs/>
                <w:spacing w:val="-1"/>
                <w:sz w:val="24"/>
                <w:szCs w:val="32"/>
              </w:rPr>
              <w:t>表</w:t>
            </w:r>
            <w:r>
              <w:rPr>
                <w:b/>
                <w:bCs/>
                <w:spacing w:val="-1"/>
                <w:sz w:val="24"/>
                <w:szCs w:val="32"/>
              </w:rPr>
              <w:t xml:space="preserve">2-2  </w:t>
            </w:r>
            <w:r>
              <w:rPr>
                <w:b/>
                <w:bCs/>
                <w:spacing w:val="-1"/>
                <w:sz w:val="24"/>
                <w:szCs w:val="32"/>
              </w:rPr>
              <w:t>协同处置替代原料一般固废类别</w:t>
            </w:r>
          </w:p>
          <w:p w14:paraId="6DA6ED84" w14:textId="6C4A8C40" w:rsidR="0097066E" w:rsidRPr="0097066E" w:rsidRDefault="0097066E" w:rsidP="0097066E">
            <w:pPr>
              <w:spacing w:line="500" w:lineRule="exact"/>
              <w:jc w:val="center"/>
              <w:rPr>
                <w:b/>
                <w:i/>
                <w:iCs/>
                <w:sz w:val="24"/>
              </w:rPr>
            </w:pPr>
            <w:r w:rsidRPr="0097066E">
              <w:rPr>
                <w:rFonts w:hint="eastAsia"/>
                <w:b/>
                <w:i/>
                <w:iCs/>
                <w:sz w:val="24"/>
              </w:rPr>
              <w:t>（涉密已删除）</w:t>
            </w:r>
          </w:p>
          <w:p w14:paraId="68861574" w14:textId="77777777" w:rsidR="00F76A63" w:rsidRDefault="00000000">
            <w:pPr>
              <w:adjustRightInd w:val="0"/>
              <w:snapToGrid w:val="0"/>
              <w:spacing w:line="500" w:lineRule="exact"/>
              <w:ind w:firstLineChars="200" w:firstLine="482"/>
              <w:jc w:val="left"/>
              <w:rPr>
                <w:b/>
                <w:sz w:val="24"/>
              </w:rPr>
            </w:pPr>
            <w:r>
              <w:rPr>
                <w:b/>
                <w:sz w:val="24"/>
              </w:rPr>
              <w:t>3</w:t>
            </w:r>
            <w:r>
              <w:rPr>
                <w:b/>
                <w:sz w:val="24"/>
              </w:rPr>
              <w:t>、</w:t>
            </w:r>
            <w:bookmarkStart w:id="66" w:name="_Hlk219391052"/>
            <w:r>
              <w:rPr>
                <w:b/>
                <w:sz w:val="24"/>
              </w:rPr>
              <w:t>项目主要建设内容</w:t>
            </w:r>
            <w:bookmarkEnd w:id="66"/>
          </w:p>
          <w:p w14:paraId="7AF1DF60" w14:textId="77777777" w:rsidR="00F76A63" w:rsidRDefault="00000000">
            <w:pPr>
              <w:adjustRightInd w:val="0"/>
              <w:snapToGrid w:val="0"/>
              <w:spacing w:line="500" w:lineRule="exact"/>
              <w:ind w:firstLineChars="200" w:firstLine="480"/>
              <w:jc w:val="left"/>
              <w:rPr>
                <w:bCs/>
                <w:sz w:val="24"/>
              </w:rPr>
            </w:pPr>
            <w:r>
              <w:rPr>
                <w:bCs/>
                <w:sz w:val="24"/>
              </w:rPr>
              <w:t>项目主要由主体工程、贮运工程、辅助工程、公用工程及环保工程等部分组成，具体工程内容详见表</w:t>
            </w:r>
            <w:r>
              <w:rPr>
                <w:bCs/>
                <w:sz w:val="24"/>
              </w:rPr>
              <w:t>2-3</w:t>
            </w:r>
            <w:r>
              <w:rPr>
                <w:bCs/>
                <w:sz w:val="24"/>
              </w:rPr>
              <w:t>。</w:t>
            </w:r>
          </w:p>
          <w:p w14:paraId="7E1AC60F" w14:textId="77777777" w:rsidR="0097066E" w:rsidRPr="0097066E" w:rsidRDefault="0097066E" w:rsidP="0097066E">
            <w:pPr>
              <w:spacing w:line="500" w:lineRule="exact"/>
              <w:jc w:val="center"/>
              <w:rPr>
                <w:b/>
                <w:i/>
                <w:iCs/>
                <w:sz w:val="24"/>
              </w:rPr>
            </w:pPr>
            <w:r w:rsidRPr="0097066E">
              <w:rPr>
                <w:rFonts w:hint="eastAsia"/>
                <w:b/>
                <w:i/>
                <w:iCs/>
                <w:sz w:val="24"/>
              </w:rPr>
              <w:t>（涉密已删除）</w:t>
            </w:r>
          </w:p>
          <w:bookmarkEnd w:id="64"/>
          <w:p w14:paraId="005C0780" w14:textId="77777777" w:rsidR="00F76A63" w:rsidRDefault="00000000">
            <w:pPr>
              <w:adjustRightInd w:val="0"/>
              <w:snapToGrid w:val="0"/>
              <w:spacing w:line="500" w:lineRule="exact"/>
              <w:ind w:firstLineChars="200" w:firstLine="480"/>
              <w:rPr>
                <w:bCs/>
                <w:sz w:val="24"/>
              </w:rPr>
            </w:pPr>
            <w:r>
              <w:rPr>
                <w:rFonts w:hint="eastAsia"/>
                <w:bCs/>
                <w:sz w:val="24"/>
              </w:rPr>
              <w:t>本项目依托现有水泥窑熟料系统、不新增熟料产能、不新增生产设备，仅新建原料及污染土堆棚、配套密闭输送系统，给排水、供电、供热、化验、环保设施均依托现有厂区成熟设施。</w:t>
            </w:r>
          </w:p>
          <w:p w14:paraId="6598682E" w14:textId="77777777" w:rsidR="00F76A63" w:rsidRDefault="00000000">
            <w:pPr>
              <w:adjustRightInd w:val="0"/>
              <w:snapToGrid w:val="0"/>
              <w:spacing w:line="500" w:lineRule="exact"/>
              <w:ind w:firstLineChars="200" w:firstLine="480"/>
              <w:rPr>
                <w:bCs/>
                <w:sz w:val="24"/>
              </w:rPr>
            </w:pPr>
            <w:r>
              <w:rPr>
                <w:bCs/>
                <w:sz w:val="24"/>
              </w:rPr>
              <w:t>目前厂区暂未接收污染土及污泥，</w:t>
            </w:r>
            <w:r>
              <w:rPr>
                <w:rFonts w:hint="eastAsia"/>
                <w:bCs/>
                <w:sz w:val="24"/>
              </w:rPr>
              <w:t>现有水泥窑处置的污染土为环资台泥接收贮存的污染土，</w:t>
            </w:r>
            <w:r>
              <w:rPr>
                <w:bCs/>
                <w:sz w:val="24"/>
              </w:rPr>
              <w:t>本次评价按照拟建规模及拟接收量进行核算。</w:t>
            </w:r>
            <w:r>
              <w:rPr>
                <w:rFonts w:hint="eastAsia"/>
                <w:bCs/>
                <w:sz w:val="24"/>
              </w:rPr>
              <w:t>污染土的拟接</w:t>
            </w:r>
            <w:r>
              <w:rPr>
                <w:bCs/>
                <w:sz w:val="24"/>
              </w:rPr>
              <w:t>收</w:t>
            </w:r>
            <w:r>
              <w:rPr>
                <w:rFonts w:hint="eastAsia"/>
                <w:bCs/>
                <w:sz w:val="24"/>
              </w:rPr>
              <w:t>总量</w:t>
            </w:r>
            <w:r>
              <w:rPr>
                <w:bCs/>
                <w:sz w:val="24"/>
              </w:rPr>
              <w:t>为</w:t>
            </w:r>
            <w:r>
              <w:rPr>
                <w:rFonts w:hint="eastAsia"/>
                <w:bCs/>
                <w:sz w:val="24"/>
              </w:rPr>
              <w:t>50000</w:t>
            </w:r>
            <w:r>
              <w:rPr>
                <w:bCs/>
                <w:sz w:val="24"/>
              </w:rPr>
              <w:t>t/a</w:t>
            </w:r>
            <w:r>
              <w:rPr>
                <w:bCs/>
                <w:sz w:val="24"/>
              </w:rPr>
              <w:t>，堆积密度按</w:t>
            </w:r>
            <w:r>
              <w:rPr>
                <w:bCs/>
                <w:sz w:val="24"/>
              </w:rPr>
              <w:t>1.</w:t>
            </w:r>
            <w:r>
              <w:rPr>
                <w:rFonts w:hint="eastAsia"/>
                <w:bCs/>
                <w:sz w:val="24"/>
              </w:rPr>
              <w:t>6</w:t>
            </w:r>
            <w:r>
              <w:rPr>
                <w:bCs/>
                <w:sz w:val="24"/>
              </w:rPr>
              <w:t>t/m</w:t>
            </w:r>
            <w:r>
              <w:rPr>
                <w:bCs/>
                <w:sz w:val="24"/>
                <w:vertAlign w:val="superscript"/>
              </w:rPr>
              <w:t>3</w:t>
            </w:r>
            <w:r>
              <w:rPr>
                <w:bCs/>
                <w:sz w:val="24"/>
              </w:rPr>
              <w:t>考虑，堆高按</w:t>
            </w:r>
            <w:r>
              <w:rPr>
                <w:bCs/>
                <w:sz w:val="24"/>
              </w:rPr>
              <w:t>3m</w:t>
            </w:r>
            <w:r>
              <w:rPr>
                <w:bCs/>
                <w:sz w:val="24"/>
              </w:rPr>
              <w:t>计，</w:t>
            </w:r>
            <w:r>
              <w:rPr>
                <w:rFonts w:hint="eastAsia"/>
                <w:bCs/>
                <w:sz w:val="24"/>
              </w:rPr>
              <w:t>堆放周期为</w:t>
            </w:r>
            <w:r>
              <w:rPr>
                <w:rFonts w:hint="eastAsia"/>
                <w:bCs/>
                <w:sz w:val="24"/>
              </w:rPr>
              <w:t>30</w:t>
            </w:r>
            <w:r>
              <w:rPr>
                <w:rFonts w:hint="eastAsia"/>
                <w:bCs/>
                <w:sz w:val="24"/>
              </w:rPr>
              <w:t>天，</w:t>
            </w:r>
            <w:r>
              <w:rPr>
                <w:bCs/>
                <w:sz w:val="24"/>
              </w:rPr>
              <w:t>则所需贮存面积约</w:t>
            </w:r>
            <w:r>
              <w:rPr>
                <w:rFonts w:hint="eastAsia"/>
                <w:bCs/>
                <w:sz w:val="24"/>
              </w:rPr>
              <w:t>868m</w:t>
            </w:r>
            <w:r>
              <w:rPr>
                <w:rFonts w:hint="eastAsia"/>
                <w:bCs/>
                <w:sz w:val="24"/>
                <w:vertAlign w:val="superscript"/>
              </w:rPr>
              <w:t>2</w:t>
            </w:r>
            <w:r>
              <w:rPr>
                <w:bCs/>
                <w:sz w:val="24"/>
              </w:rPr>
              <w:t>，现有</w:t>
            </w:r>
            <w:r>
              <w:rPr>
                <w:rFonts w:hint="eastAsia"/>
                <w:bCs/>
                <w:sz w:val="24"/>
              </w:rPr>
              <w:t>砂岩联合堆棚、临时污染土贮存仓库及污染土暂存库</w:t>
            </w:r>
            <w:r>
              <w:rPr>
                <w:bCs/>
                <w:sz w:val="24"/>
              </w:rPr>
              <w:t>能满足贮存面积。</w:t>
            </w:r>
            <w:r>
              <w:rPr>
                <w:rFonts w:hint="eastAsia"/>
                <w:bCs/>
                <w:sz w:val="24"/>
              </w:rPr>
              <w:t>污泥的拟接</w:t>
            </w:r>
            <w:r>
              <w:rPr>
                <w:bCs/>
                <w:sz w:val="24"/>
              </w:rPr>
              <w:t>收</w:t>
            </w:r>
            <w:r>
              <w:rPr>
                <w:rFonts w:hint="eastAsia"/>
                <w:bCs/>
                <w:sz w:val="24"/>
              </w:rPr>
              <w:t>总量</w:t>
            </w:r>
            <w:r>
              <w:rPr>
                <w:bCs/>
                <w:sz w:val="24"/>
              </w:rPr>
              <w:t>为</w:t>
            </w:r>
            <w:r>
              <w:rPr>
                <w:rFonts w:hint="eastAsia"/>
                <w:bCs/>
                <w:sz w:val="24"/>
              </w:rPr>
              <w:t>50000</w:t>
            </w:r>
            <w:r>
              <w:rPr>
                <w:bCs/>
                <w:sz w:val="24"/>
              </w:rPr>
              <w:t>t/a</w:t>
            </w:r>
            <w:r>
              <w:rPr>
                <w:bCs/>
                <w:sz w:val="24"/>
              </w:rPr>
              <w:t>，堆积密度按</w:t>
            </w:r>
            <w:r>
              <w:rPr>
                <w:rFonts w:hint="eastAsia"/>
                <w:bCs/>
                <w:sz w:val="24"/>
              </w:rPr>
              <w:t>1.0</w:t>
            </w:r>
            <w:r>
              <w:rPr>
                <w:bCs/>
                <w:sz w:val="24"/>
              </w:rPr>
              <w:t>t/m</w:t>
            </w:r>
            <w:r>
              <w:rPr>
                <w:bCs/>
                <w:sz w:val="24"/>
                <w:vertAlign w:val="superscript"/>
              </w:rPr>
              <w:t>3</w:t>
            </w:r>
            <w:r>
              <w:rPr>
                <w:bCs/>
                <w:sz w:val="24"/>
              </w:rPr>
              <w:t>考</w:t>
            </w:r>
            <w:r>
              <w:rPr>
                <w:bCs/>
                <w:sz w:val="24"/>
              </w:rPr>
              <w:lastRenderedPageBreak/>
              <w:t>虑，堆高按</w:t>
            </w:r>
            <w:r>
              <w:rPr>
                <w:rFonts w:hint="eastAsia"/>
                <w:bCs/>
                <w:sz w:val="24"/>
              </w:rPr>
              <w:t>2</w:t>
            </w:r>
            <w:r>
              <w:rPr>
                <w:bCs/>
                <w:sz w:val="24"/>
              </w:rPr>
              <w:t>m</w:t>
            </w:r>
            <w:r>
              <w:rPr>
                <w:bCs/>
                <w:sz w:val="24"/>
              </w:rPr>
              <w:t>计，</w:t>
            </w:r>
            <w:r>
              <w:rPr>
                <w:rFonts w:hint="eastAsia"/>
                <w:bCs/>
                <w:sz w:val="24"/>
              </w:rPr>
              <w:t>堆放周期为</w:t>
            </w:r>
            <w:r>
              <w:rPr>
                <w:rFonts w:hint="eastAsia"/>
                <w:bCs/>
                <w:sz w:val="24"/>
              </w:rPr>
              <w:t>30</w:t>
            </w:r>
            <w:r>
              <w:rPr>
                <w:rFonts w:hint="eastAsia"/>
                <w:bCs/>
                <w:sz w:val="24"/>
              </w:rPr>
              <w:t>天，</w:t>
            </w:r>
            <w:r>
              <w:rPr>
                <w:bCs/>
                <w:sz w:val="24"/>
              </w:rPr>
              <w:t>则所需贮存面积约</w:t>
            </w:r>
            <w:r>
              <w:rPr>
                <w:rFonts w:hint="eastAsia"/>
                <w:bCs/>
                <w:sz w:val="24"/>
              </w:rPr>
              <w:t>2083m</w:t>
            </w:r>
            <w:r>
              <w:rPr>
                <w:rFonts w:hint="eastAsia"/>
                <w:bCs/>
                <w:sz w:val="24"/>
                <w:vertAlign w:val="superscript"/>
              </w:rPr>
              <w:t>2</w:t>
            </w:r>
            <w:r>
              <w:rPr>
                <w:bCs/>
                <w:sz w:val="24"/>
              </w:rPr>
              <w:t>，新建</w:t>
            </w:r>
            <w:r>
              <w:rPr>
                <w:bCs/>
                <w:sz w:val="24"/>
              </w:rPr>
              <w:t>2.5</w:t>
            </w:r>
            <w:r>
              <w:rPr>
                <w:bCs/>
                <w:sz w:val="24"/>
              </w:rPr>
              <w:t>万</w:t>
            </w:r>
            <w:r>
              <w:rPr>
                <w:rFonts w:hint="eastAsia"/>
                <w:bCs/>
                <w:sz w:val="24"/>
              </w:rPr>
              <w:t>m</w:t>
            </w:r>
            <w:r>
              <w:rPr>
                <w:rFonts w:hint="eastAsia"/>
                <w:bCs/>
                <w:sz w:val="24"/>
                <w:vertAlign w:val="superscript"/>
              </w:rPr>
              <w:t>2</w:t>
            </w:r>
            <w:r>
              <w:rPr>
                <w:bCs/>
                <w:sz w:val="24"/>
              </w:rPr>
              <w:t>原料、污染土堆棚，贮存能力可完全满足</w:t>
            </w:r>
            <w:r>
              <w:rPr>
                <w:bCs/>
                <w:sz w:val="24"/>
              </w:rPr>
              <w:t>5</w:t>
            </w:r>
            <w:r>
              <w:rPr>
                <w:bCs/>
                <w:sz w:val="24"/>
              </w:rPr>
              <w:t>万吨</w:t>
            </w:r>
            <w:r>
              <w:rPr>
                <w:rFonts w:hint="eastAsia"/>
                <w:bCs/>
                <w:sz w:val="24"/>
              </w:rPr>
              <w:t>/</w:t>
            </w:r>
            <w:r>
              <w:rPr>
                <w:bCs/>
                <w:sz w:val="24"/>
              </w:rPr>
              <w:t>年污泥的暂存需求</w:t>
            </w:r>
            <w:r>
              <w:rPr>
                <w:rFonts w:hint="eastAsia"/>
                <w:bCs/>
                <w:sz w:val="24"/>
              </w:rPr>
              <w:t>，</w:t>
            </w:r>
            <w:r>
              <w:rPr>
                <w:bCs/>
                <w:sz w:val="24"/>
              </w:rPr>
              <w:t>物料周转顺畅、库容充足；依托现有</w:t>
            </w:r>
            <w:r>
              <w:rPr>
                <w:rFonts w:hint="eastAsia"/>
                <w:bCs/>
                <w:sz w:val="24"/>
              </w:rPr>
              <w:t>实验室、</w:t>
            </w:r>
            <w:r>
              <w:rPr>
                <w:bCs/>
                <w:sz w:val="24"/>
              </w:rPr>
              <w:t>密闭输送、计量、投料系统，</w:t>
            </w:r>
            <w:r>
              <w:rPr>
                <w:rFonts w:hint="eastAsia"/>
                <w:bCs/>
                <w:sz w:val="24"/>
              </w:rPr>
              <w:t>化验能力、</w:t>
            </w:r>
            <w:r>
              <w:rPr>
                <w:bCs/>
                <w:sz w:val="24"/>
              </w:rPr>
              <w:t>储运设施能力、输送能力、储存容量均满足本项目使用要求，贮运工程规模与处置量匹配，技术经济可行。</w:t>
            </w:r>
          </w:p>
          <w:p w14:paraId="22E18CC6" w14:textId="77777777" w:rsidR="00F76A63" w:rsidRDefault="00000000">
            <w:pPr>
              <w:adjustRightInd w:val="0"/>
              <w:snapToGrid w:val="0"/>
              <w:spacing w:line="500" w:lineRule="exact"/>
              <w:ind w:firstLineChars="200" w:firstLine="482"/>
              <w:jc w:val="left"/>
              <w:rPr>
                <w:b/>
                <w:sz w:val="24"/>
              </w:rPr>
            </w:pPr>
            <w:r>
              <w:rPr>
                <w:b/>
                <w:sz w:val="24"/>
              </w:rPr>
              <w:t>4</w:t>
            </w:r>
            <w:r>
              <w:rPr>
                <w:b/>
                <w:sz w:val="24"/>
              </w:rPr>
              <w:t>、产品方案</w:t>
            </w:r>
          </w:p>
          <w:p w14:paraId="41E2448C" w14:textId="77777777" w:rsidR="00F76A63" w:rsidRDefault="00000000">
            <w:pPr>
              <w:pStyle w:val="TableText"/>
              <w:spacing w:line="500" w:lineRule="exact"/>
              <w:ind w:firstLineChars="200" w:firstLine="460"/>
              <w:jc w:val="both"/>
              <w:rPr>
                <w:rFonts w:ascii="Times New Roman" w:hAnsi="Times New Roman" w:cs="Times New Roman"/>
                <w:color w:val="auto"/>
                <w:spacing w:val="-1"/>
              </w:rPr>
            </w:pPr>
            <w:bookmarkStart w:id="67" w:name="_Hlk219391105"/>
            <w:r>
              <w:rPr>
                <w:rFonts w:ascii="Times New Roman" w:hAnsi="Times New Roman" w:cs="Times New Roman"/>
                <w:color w:val="auto"/>
                <w:spacing w:val="-5"/>
              </w:rPr>
              <w:t>本项目依托现有一期（</w:t>
            </w:r>
            <w:r>
              <w:rPr>
                <w:rFonts w:ascii="Times New Roman" w:eastAsia="Times New Roman" w:hAnsi="Times New Roman" w:cs="Times New Roman"/>
                <w:color w:val="auto"/>
                <w:spacing w:val="-5"/>
              </w:rPr>
              <w:t>1#</w:t>
            </w:r>
            <w:r>
              <w:rPr>
                <w:rFonts w:ascii="Times New Roman" w:hAnsi="Times New Roman" w:cs="Times New Roman"/>
                <w:color w:val="auto"/>
                <w:spacing w:val="-5"/>
              </w:rPr>
              <w:t>）、二期（</w:t>
            </w:r>
            <w:r>
              <w:rPr>
                <w:rFonts w:ascii="Times New Roman" w:eastAsia="Times New Roman" w:hAnsi="Times New Roman" w:cs="Times New Roman"/>
                <w:color w:val="auto"/>
                <w:spacing w:val="-5"/>
              </w:rPr>
              <w:t>2#</w:t>
            </w:r>
            <w:r>
              <w:rPr>
                <w:rFonts w:ascii="Times New Roman" w:hAnsi="Times New Roman" w:cs="Times New Roman"/>
                <w:color w:val="auto"/>
                <w:spacing w:val="-5"/>
              </w:rPr>
              <w:t>）熟料生产线协同处置</w:t>
            </w:r>
            <w:r>
              <w:rPr>
                <w:rFonts w:ascii="Times New Roman" w:hAnsi="Times New Roman" w:cs="Times New Roman"/>
                <w:color w:val="auto"/>
                <w:spacing w:val="-5"/>
              </w:rPr>
              <w:t>5</w:t>
            </w:r>
            <w:r>
              <w:rPr>
                <w:rFonts w:ascii="Times New Roman" w:hAnsi="Times New Roman" w:cs="Times New Roman"/>
                <w:color w:val="auto"/>
                <w:spacing w:val="-5"/>
              </w:rPr>
              <w:t>万吨污染土及</w:t>
            </w:r>
            <w:r>
              <w:rPr>
                <w:rFonts w:ascii="Times New Roman" w:hAnsi="Times New Roman" w:cs="Times New Roman"/>
                <w:color w:val="auto"/>
                <w:spacing w:val="-5"/>
              </w:rPr>
              <w:t>5</w:t>
            </w:r>
            <w:r>
              <w:rPr>
                <w:rFonts w:ascii="Times New Roman" w:hAnsi="Times New Roman" w:cs="Times New Roman"/>
                <w:color w:val="auto"/>
                <w:spacing w:val="-5"/>
              </w:rPr>
              <w:t>万吨污泥，本次</w:t>
            </w:r>
            <w:r>
              <w:rPr>
                <w:rFonts w:ascii="Times New Roman" w:hAnsi="Times New Roman" w:cs="Times New Roman"/>
                <w:color w:val="auto"/>
                <w:spacing w:val="-1"/>
              </w:rPr>
              <w:t>改建项目建成后，不会对现有产品、产能、及产品质量造成影响，全厂产品方案为年产熟料</w:t>
            </w:r>
            <w:r>
              <w:rPr>
                <w:rFonts w:ascii="Times New Roman" w:hAnsi="Times New Roman" w:cs="Times New Roman"/>
                <w:color w:val="auto"/>
                <w:spacing w:val="-1"/>
              </w:rPr>
              <w:t>336</w:t>
            </w:r>
            <w:r>
              <w:rPr>
                <w:rFonts w:ascii="Times New Roman" w:hAnsi="Times New Roman" w:cs="Times New Roman"/>
                <w:color w:val="auto"/>
                <w:spacing w:val="-1"/>
              </w:rPr>
              <w:t>万吨、年产水泥</w:t>
            </w:r>
            <w:r>
              <w:rPr>
                <w:rFonts w:ascii="Times New Roman" w:hAnsi="Times New Roman" w:cs="Times New Roman"/>
                <w:color w:val="auto"/>
                <w:spacing w:val="-1"/>
              </w:rPr>
              <w:t>390</w:t>
            </w:r>
            <w:r>
              <w:rPr>
                <w:rFonts w:ascii="Times New Roman" w:hAnsi="Times New Roman" w:cs="Times New Roman"/>
                <w:color w:val="auto"/>
                <w:spacing w:val="-1"/>
              </w:rPr>
              <w:t>万吨，项目水泥熟料产品方案见表</w:t>
            </w:r>
            <w:r>
              <w:rPr>
                <w:rFonts w:ascii="Times New Roman" w:hAnsi="Times New Roman" w:cs="Times New Roman"/>
                <w:color w:val="auto"/>
                <w:spacing w:val="-1"/>
              </w:rPr>
              <w:t>2-4</w:t>
            </w:r>
            <w:r>
              <w:rPr>
                <w:rFonts w:ascii="Times New Roman" w:hAnsi="Times New Roman" w:cs="Times New Roman"/>
                <w:color w:val="auto"/>
                <w:spacing w:val="-1"/>
              </w:rPr>
              <w:t>，水泥产品方案见表</w:t>
            </w:r>
            <w:r>
              <w:rPr>
                <w:rFonts w:ascii="Times New Roman" w:hAnsi="Times New Roman" w:cs="Times New Roman"/>
                <w:color w:val="auto"/>
                <w:spacing w:val="-1"/>
              </w:rPr>
              <w:t>2-5</w:t>
            </w:r>
            <w:r>
              <w:rPr>
                <w:rFonts w:ascii="Times New Roman" w:hAnsi="Times New Roman" w:cs="Times New Roman"/>
                <w:color w:val="auto"/>
                <w:spacing w:val="-1"/>
              </w:rPr>
              <w:t>。</w:t>
            </w:r>
          </w:p>
          <w:p w14:paraId="3EF18DBE" w14:textId="77777777" w:rsidR="0097066E" w:rsidRPr="0097066E" w:rsidRDefault="0097066E" w:rsidP="0097066E">
            <w:pPr>
              <w:spacing w:line="500" w:lineRule="exact"/>
              <w:jc w:val="center"/>
              <w:rPr>
                <w:b/>
                <w:i/>
                <w:iCs/>
                <w:sz w:val="24"/>
              </w:rPr>
            </w:pPr>
            <w:r w:rsidRPr="0097066E">
              <w:rPr>
                <w:rFonts w:hint="eastAsia"/>
                <w:b/>
                <w:i/>
                <w:iCs/>
                <w:sz w:val="24"/>
              </w:rPr>
              <w:t>（涉密已删除）</w:t>
            </w:r>
          </w:p>
          <w:bookmarkEnd w:id="67"/>
          <w:p w14:paraId="316B3AEB" w14:textId="77777777" w:rsidR="00F76A63" w:rsidRDefault="00000000">
            <w:pPr>
              <w:adjustRightInd w:val="0"/>
              <w:snapToGrid w:val="0"/>
              <w:spacing w:line="500" w:lineRule="exact"/>
              <w:ind w:firstLineChars="200" w:firstLine="482"/>
              <w:jc w:val="left"/>
              <w:rPr>
                <w:b/>
                <w:bCs/>
                <w:sz w:val="24"/>
              </w:rPr>
            </w:pPr>
            <w:r>
              <w:rPr>
                <w:b/>
                <w:bCs/>
                <w:sz w:val="24"/>
              </w:rPr>
              <w:t>5</w:t>
            </w:r>
            <w:r>
              <w:rPr>
                <w:b/>
                <w:bCs/>
                <w:sz w:val="24"/>
              </w:rPr>
              <w:t>、产品质量标准</w:t>
            </w:r>
          </w:p>
          <w:p w14:paraId="79C01D10" w14:textId="77777777" w:rsidR="00F76A63" w:rsidRDefault="00000000">
            <w:pPr>
              <w:spacing w:line="500" w:lineRule="exact"/>
              <w:ind w:firstLineChars="200" w:firstLine="480"/>
              <w:rPr>
                <w:kern w:val="0"/>
                <w:sz w:val="24"/>
              </w:rPr>
            </w:pPr>
            <w:r>
              <w:rPr>
                <w:kern w:val="0"/>
                <w:sz w:val="24"/>
              </w:rPr>
              <w:t>本项目实施后水泥熟料产品应满足《硅酸盐水泥熟料》（</w:t>
            </w:r>
            <w:r>
              <w:rPr>
                <w:kern w:val="0"/>
                <w:sz w:val="24"/>
              </w:rPr>
              <w:t>GB/T 21372-2008</w:t>
            </w:r>
            <w:r>
              <w:rPr>
                <w:kern w:val="0"/>
                <w:sz w:val="24"/>
              </w:rPr>
              <w:t>）要求，具体见表</w:t>
            </w:r>
            <w:r>
              <w:rPr>
                <w:kern w:val="0"/>
                <w:sz w:val="24"/>
              </w:rPr>
              <w:t>2-6</w:t>
            </w:r>
            <w:r>
              <w:rPr>
                <w:kern w:val="0"/>
                <w:sz w:val="24"/>
              </w:rPr>
              <w:t>，水泥熟料中重金属元素含量以及水泥熟料中可浸出重金属含量值均应满足《水泥窑协同处置固体废物技术规范》（</w:t>
            </w:r>
            <w:r>
              <w:rPr>
                <w:kern w:val="0"/>
                <w:sz w:val="24"/>
              </w:rPr>
              <w:t>GB/T 30760-2024</w:t>
            </w:r>
            <w:r>
              <w:rPr>
                <w:kern w:val="0"/>
                <w:sz w:val="24"/>
              </w:rPr>
              <w:t>）相应限值要求，详见下表</w:t>
            </w:r>
            <w:r>
              <w:rPr>
                <w:kern w:val="0"/>
                <w:sz w:val="24"/>
              </w:rPr>
              <w:t>2-7</w:t>
            </w:r>
            <w:r>
              <w:rPr>
                <w:kern w:val="0"/>
                <w:sz w:val="24"/>
              </w:rPr>
              <w:t>、</w:t>
            </w:r>
            <w:r>
              <w:rPr>
                <w:kern w:val="0"/>
                <w:sz w:val="24"/>
              </w:rPr>
              <w:t>2-8</w:t>
            </w:r>
            <w:r>
              <w:rPr>
                <w:kern w:val="0"/>
                <w:sz w:val="24"/>
              </w:rPr>
              <w:t>。</w:t>
            </w:r>
          </w:p>
          <w:p w14:paraId="5A27EAE4" w14:textId="77777777" w:rsidR="00F76A63" w:rsidRDefault="00000000">
            <w:pPr>
              <w:spacing w:line="500" w:lineRule="exact"/>
              <w:jc w:val="center"/>
              <w:rPr>
                <w:kern w:val="0"/>
                <w:sz w:val="24"/>
              </w:rPr>
            </w:pPr>
            <w:r>
              <w:rPr>
                <w:b/>
                <w:bCs/>
                <w:kern w:val="0"/>
                <w:sz w:val="24"/>
              </w:rPr>
              <w:t>表</w:t>
            </w:r>
            <w:r>
              <w:rPr>
                <w:b/>
                <w:bCs/>
                <w:kern w:val="0"/>
                <w:sz w:val="24"/>
              </w:rPr>
              <w:t xml:space="preserve">2-6  </w:t>
            </w:r>
            <w:r>
              <w:rPr>
                <w:b/>
                <w:bCs/>
                <w:kern w:val="0"/>
                <w:sz w:val="24"/>
              </w:rPr>
              <w:t>硅酸盐水泥熟料的基本</w:t>
            </w:r>
            <w:bookmarkStart w:id="68" w:name="OLE_LINK41"/>
            <w:r>
              <w:rPr>
                <w:b/>
                <w:bCs/>
                <w:kern w:val="0"/>
                <w:sz w:val="24"/>
              </w:rPr>
              <w:t>化学性能</w:t>
            </w:r>
            <w:bookmarkEnd w:id="68"/>
            <w:r>
              <w:rPr>
                <w:b/>
                <w:bCs/>
                <w:kern w:val="0"/>
                <w:sz w:val="24"/>
              </w:rPr>
              <w:t>表</w:t>
            </w:r>
          </w:p>
          <w:tbl>
            <w:tblPr>
              <w:tblStyle w:val="TableNormal"/>
              <w:tblW w:w="4999" w:type="pct"/>
              <w:jc w:val="center"/>
              <w:tblInd w:w="0" w:type="dxa"/>
              <w:tblLayout w:type="fixed"/>
              <w:tblLook w:val="04A0" w:firstRow="1" w:lastRow="0" w:firstColumn="1" w:lastColumn="0" w:noHBand="0" w:noVBand="1"/>
            </w:tblPr>
            <w:tblGrid>
              <w:gridCol w:w="671"/>
              <w:gridCol w:w="718"/>
              <w:gridCol w:w="732"/>
              <w:gridCol w:w="699"/>
              <w:gridCol w:w="560"/>
              <w:gridCol w:w="2796"/>
              <w:gridCol w:w="1065"/>
              <w:gridCol w:w="945"/>
            </w:tblGrid>
            <w:tr w:rsidR="00F76A63" w14:paraId="499A722C" w14:textId="77777777">
              <w:trPr>
                <w:trHeight w:val="450"/>
                <w:jc w:val="center"/>
              </w:trPr>
              <w:tc>
                <w:tcPr>
                  <w:tcW w:w="680" w:type="dxa"/>
                  <w:tcBorders>
                    <w:top w:val="single" w:sz="12" w:space="0" w:color="auto"/>
                    <w:bottom w:val="single" w:sz="4" w:space="0" w:color="auto"/>
                    <w:right w:val="single" w:sz="4" w:space="0" w:color="auto"/>
                  </w:tcBorders>
                  <w:vAlign w:val="center"/>
                </w:tcPr>
                <w:p w14:paraId="486B253D" w14:textId="77777777" w:rsidR="00F76A63" w:rsidRDefault="00000000">
                  <w:pPr>
                    <w:pStyle w:val="TableText"/>
                    <w:jc w:val="center"/>
                    <w:rPr>
                      <w:rFonts w:ascii="Times New Roman" w:hAnsi="Times New Roman" w:cs="Times New Roman"/>
                      <w:b/>
                      <w:bCs/>
                      <w:color w:val="auto"/>
                      <w:spacing w:val="4"/>
                      <w:sz w:val="18"/>
                      <w:szCs w:val="18"/>
                    </w:rPr>
                  </w:pPr>
                  <w:r>
                    <w:rPr>
                      <w:rFonts w:ascii="Times New Roman" w:hAnsi="Times New Roman" w:cs="Times New Roman"/>
                      <w:b/>
                      <w:bCs/>
                      <w:color w:val="auto"/>
                      <w:sz w:val="18"/>
                      <w:szCs w:val="18"/>
                    </w:rPr>
                    <w:t>f-</w:t>
                  </w:r>
                  <w:r>
                    <w:rPr>
                      <w:rFonts w:ascii="Times New Roman" w:hAnsi="Times New Roman" w:cs="Times New Roman"/>
                      <w:b/>
                      <w:bCs/>
                      <w:color w:val="auto"/>
                      <w:spacing w:val="4"/>
                      <w:sz w:val="18"/>
                      <w:szCs w:val="18"/>
                    </w:rPr>
                    <w:t>CaO</w:t>
                  </w:r>
                </w:p>
                <w:p w14:paraId="51806B07" w14:textId="77777777" w:rsidR="00F76A63" w:rsidRDefault="00000000">
                  <w:pPr>
                    <w:pStyle w:val="TableText"/>
                    <w:jc w:val="center"/>
                    <w:rPr>
                      <w:rFonts w:ascii="Times New Roman" w:hAnsi="Times New Roman" w:cs="Times New Roman"/>
                      <w:b/>
                      <w:bCs/>
                      <w:color w:val="auto"/>
                      <w:sz w:val="18"/>
                      <w:szCs w:val="18"/>
                    </w:rPr>
                  </w:pPr>
                  <w:r>
                    <w:rPr>
                      <w:rFonts w:ascii="Times New Roman" w:hAnsi="Times New Roman" w:cs="Times New Roman"/>
                      <w:b/>
                      <w:bCs/>
                      <w:color w:val="auto"/>
                      <w:spacing w:val="7"/>
                      <w:sz w:val="18"/>
                      <w:szCs w:val="18"/>
                    </w:rPr>
                    <w:t>（</w:t>
                  </w:r>
                  <w:r>
                    <w:rPr>
                      <w:rFonts w:ascii="Times New Roman" w:hAnsi="Times New Roman" w:cs="Times New Roman"/>
                      <w:b/>
                      <w:bCs/>
                      <w:color w:val="auto"/>
                      <w:spacing w:val="7"/>
                      <w:sz w:val="18"/>
                      <w:szCs w:val="18"/>
                    </w:rPr>
                    <w:t>%</w:t>
                  </w:r>
                  <w:r>
                    <w:rPr>
                      <w:rFonts w:ascii="Times New Roman" w:hAnsi="Times New Roman" w:cs="Times New Roman"/>
                      <w:b/>
                      <w:bCs/>
                      <w:color w:val="auto"/>
                      <w:spacing w:val="7"/>
                      <w:sz w:val="18"/>
                      <w:szCs w:val="18"/>
                    </w:rPr>
                    <w:t>）</w:t>
                  </w:r>
                </w:p>
              </w:tc>
              <w:tc>
                <w:tcPr>
                  <w:tcW w:w="728" w:type="dxa"/>
                  <w:tcBorders>
                    <w:top w:val="single" w:sz="12" w:space="0" w:color="auto"/>
                    <w:left w:val="single" w:sz="4" w:space="0" w:color="auto"/>
                    <w:bottom w:val="single" w:sz="4" w:space="0" w:color="auto"/>
                    <w:right w:val="single" w:sz="4" w:space="0" w:color="auto"/>
                  </w:tcBorders>
                  <w:vAlign w:val="center"/>
                </w:tcPr>
                <w:p w14:paraId="4696CB87" w14:textId="77777777" w:rsidR="00F76A63" w:rsidRDefault="00000000">
                  <w:pPr>
                    <w:jc w:val="center"/>
                    <w:rPr>
                      <w:b/>
                      <w:bCs/>
                      <w:sz w:val="18"/>
                      <w:szCs w:val="18"/>
                    </w:rPr>
                  </w:pPr>
                  <w:r>
                    <w:rPr>
                      <w:b/>
                      <w:bCs/>
                      <w:spacing w:val="6"/>
                      <w:sz w:val="18"/>
                      <w:szCs w:val="18"/>
                    </w:rPr>
                    <w:t>MgO</w:t>
                  </w:r>
                </w:p>
                <w:p w14:paraId="220AC7AC" w14:textId="77777777" w:rsidR="00F76A63" w:rsidRDefault="00000000">
                  <w:pPr>
                    <w:pStyle w:val="TableText"/>
                    <w:jc w:val="center"/>
                    <w:rPr>
                      <w:rFonts w:ascii="Times New Roman" w:hAnsi="Times New Roman" w:cs="Times New Roman"/>
                      <w:b/>
                      <w:bCs/>
                      <w:color w:val="auto"/>
                      <w:sz w:val="18"/>
                      <w:szCs w:val="18"/>
                    </w:rPr>
                  </w:pPr>
                  <w:r>
                    <w:rPr>
                      <w:rFonts w:ascii="Times New Roman" w:hAnsi="Times New Roman" w:cs="Times New Roman"/>
                      <w:b/>
                      <w:bCs/>
                      <w:color w:val="auto"/>
                      <w:spacing w:val="1"/>
                      <w:sz w:val="18"/>
                      <w:szCs w:val="18"/>
                    </w:rPr>
                    <w:t>（</w:t>
                  </w:r>
                  <w:r>
                    <w:rPr>
                      <w:rFonts w:ascii="Times New Roman" w:hAnsi="Times New Roman" w:cs="Times New Roman"/>
                      <w:b/>
                      <w:bCs/>
                      <w:color w:val="auto"/>
                      <w:spacing w:val="1"/>
                      <w:sz w:val="18"/>
                      <w:szCs w:val="18"/>
                    </w:rPr>
                    <w:t>%</w:t>
                  </w:r>
                  <w:r>
                    <w:rPr>
                      <w:rFonts w:ascii="Times New Roman" w:hAnsi="Times New Roman" w:cs="Times New Roman"/>
                      <w:b/>
                      <w:bCs/>
                      <w:color w:val="auto"/>
                      <w:sz w:val="18"/>
                      <w:szCs w:val="18"/>
                    </w:rPr>
                    <w:t>）</w:t>
                  </w:r>
                </w:p>
              </w:tc>
              <w:tc>
                <w:tcPr>
                  <w:tcW w:w="742" w:type="dxa"/>
                  <w:tcBorders>
                    <w:top w:val="single" w:sz="12" w:space="0" w:color="auto"/>
                    <w:left w:val="single" w:sz="4" w:space="0" w:color="auto"/>
                    <w:bottom w:val="single" w:sz="4" w:space="0" w:color="auto"/>
                    <w:right w:val="single" w:sz="4" w:space="0" w:color="auto"/>
                  </w:tcBorders>
                  <w:vAlign w:val="center"/>
                </w:tcPr>
                <w:p w14:paraId="129ACBDB" w14:textId="77777777" w:rsidR="00F76A63" w:rsidRDefault="00000000">
                  <w:pPr>
                    <w:pStyle w:val="TableText"/>
                    <w:jc w:val="center"/>
                    <w:rPr>
                      <w:rFonts w:ascii="Times New Roman" w:hAnsi="Times New Roman" w:cs="Times New Roman"/>
                      <w:b/>
                      <w:bCs/>
                      <w:color w:val="auto"/>
                      <w:sz w:val="18"/>
                      <w:szCs w:val="18"/>
                    </w:rPr>
                  </w:pPr>
                  <w:r>
                    <w:rPr>
                      <w:rFonts w:ascii="Times New Roman" w:hAnsi="Times New Roman" w:cs="Times New Roman"/>
                      <w:b/>
                      <w:bCs/>
                      <w:color w:val="auto"/>
                      <w:spacing w:val="7"/>
                      <w:sz w:val="18"/>
                      <w:szCs w:val="18"/>
                    </w:rPr>
                    <w:t>烧失</w:t>
                  </w:r>
                  <w:r>
                    <w:rPr>
                      <w:rFonts w:ascii="Times New Roman" w:hAnsi="Times New Roman" w:cs="Times New Roman"/>
                      <w:b/>
                      <w:bCs/>
                      <w:color w:val="auto"/>
                      <w:sz w:val="18"/>
                      <w:szCs w:val="18"/>
                    </w:rPr>
                    <w:t>量</w:t>
                  </w:r>
                </w:p>
                <w:p w14:paraId="578B5724" w14:textId="77777777" w:rsidR="00F76A63" w:rsidRDefault="00000000">
                  <w:pPr>
                    <w:pStyle w:val="TableText"/>
                    <w:jc w:val="center"/>
                    <w:rPr>
                      <w:rFonts w:ascii="Times New Roman" w:hAnsi="Times New Roman" w:cs="Times New Roman"/>
                      <w:b/>
                      <w:bCs/>
                      <w:color w:val="auto"/>
                      <w:sz w:val="18"/>
                      <w:szCs w:val="18"/>
                    </w:rPr>
                  </w:pPr>
                  <w:r>
                    <w:rPr>
                      <w:rFonts w:ascii="Times New Roman" w:hAnsi="Times New Roman" w:cs="Times New Roman"/>
                      <w:b/>
                      <w:bCs/>
                      <w:color w:val="auto"/>
                      <w:spacing w:val="1"/>
                      <w:sz w:val="18"/>
                      <w:szCs w:val="18"/>
                    </w:rPr>
                    <w:t>（</w:t>
                  </w:r>
                  <w:r>
                    <w:rPr>
                      <w:rFonts w:ascii="Times New Roman" w:hAnsi="Times New Roman" w:cs="Times New Roman"/>
                      <w:b/>
                      <w:bCs/>
                      <w:color w:val="auto"/>
                      <w:spacing w:val="1"/>
                      <w:sz w:val="18"/>
                      <w:szCs w:val="18"/>
                    </w:rPr>
                    <w:t>%</w:t>
                  </w:r>
                  <w:r>
                    <w:rPr>
                      <w:rFonts w:ascii="Times New Roman" w:hAnsi="Times New Roman" w:cs="Times New Roman"/>
                      <w:b/>
                      <w:bCs/>
                      <w:color w:val="auto"/>
                      <w:spacing w:val="1"/>
                      <w:sz w:val="18"/>
                      <w:szCs w:val="18"/>
                    </w:rPr>
                    <w:t>）</w:t>
                  </w:r>
                </w:p>
              </w:tc>
              <w:tc>
                <w:tcPr>
                  <w:tcW w:w="708" w:type="dxa"/>
                  <w:tcBorders>
                    <w:top w:val="single" w:sz="12" w:space="0" w:color="auto"/>
                    <w:left w:val="single" w:sz="4" w:space="0" w:color="auto"/>
                    <w:bottom w:val="single" w:sz="4" w:space="0" w:color="auto"/>
                    <w:right w:val="single" w:sz="4" w:space="0" w:color="auto"/>
                  </w:tcBorders>
                  <w:vAlign w:val="center"/>
                </w:tcPr>
                <w:p w14:paraId="179ADDF7" w14:textId="77777777" w:rsidR="00F76A63" w:rsidRDefault="00000000">
                  <w:pPr>
                    <w:pStyle w:val="TableText"/>
                    <w:jc w:val="center"/>
                    <w:rPr>
                      <w:rFonts w:ascii="Times New Roman" w:hAnsi="Times New Roman" w:cs="Times New Roman"/>
                      <w:b/>
                      <w:bCs/>
                      <w:color w:val="auto"/>
                      <w:sz w:val="18"/>
                      <w:szCs w:val="18"/>
                    </w:rPr>
                  </w:pPr>
                  <w:r>
                    <w:rPr>
                      <w:rFonts w:ascii="Times New Roman" w:hAnsi="Times New Roman" w:cs="Times New Roman"/>
                      <w:b/>
                      <w:bCs/>
                      <w:color w:val="auto"/>
                      <w:spacing w:val="5"/>
                      <w:sz w:val="18"/>
                      <w:szCs w:val="18"/>
                    </w:rPr>
                    <w:t>不溶物</w:t>
                  </w:r>
                  <w:r>
                    <w:rPr>
                      <w:rFonts w:ascii="Times New Roman" w:hAnsi="Times New Roman" w:cs="Times New Roman"/>
                      <w:b/>
                      <w:bCs/>
                      <w:color w:val="auto"/>
                      <w:spacing w:val="1"/>
                      <w:sz w:val="18"/>
                      <w:szCs w:val="18"/>
                    </w:rPr>
                    <w:t>（</w:t>
                  </w:r>
                  <w:r>
                    <w:rPr>
                      <w:rFonts w:ascii="Times New Roman" w:hAnsi="Times New Roman" w:cs="Times New Roman"/>
                      <w:b/>
                      <w:bCs/>
                      <w:color w:val="auto"/>
                      <w:spacing w:val="1"/>
                      <w:sz w:val="18"/>
                      <w:szCs w:val="18"/>
                    </w:rPr>
                    <w:t>%</w:t>
                  </w:r>
                  <w:r>
                    <w:rPr>
                      <w:rFonts w:ascii="Times New Roman" w:hAnsi="Times New Roman" w:cs="Times New Roman"/>
                      <w:b/>
                      <w:bCs/>
                      <w:color w:val="auto"/>
                      <w:spacing w:val="1"/>
                      <w:sz w:val="18"/>
                      <w:szCs w:val="18"/>
                    </w:rPr>
                    <w:t>）</w:t>
                  </w:r>
                </w:p>
              </w:tc>
              <w:tc>
                <w:tcPr>
                  <w:tcW w:w="567" w:type="dxa"/>
                  <w:tcBorders>
                    <w:top w:val="single" w:sz="12" w:space="0" w:color="auto"/>
                    <w:left w:val="single" w:sz="4" w:space="0" w:color="auto"/>
                    <w:bottom w:val="single" w:sz="4" w:space="0" w:color="auto"/>
                    <w:right w:val="single" w:sz="4" w:space="0" w:color="auto"/>
                  </w:tcBorders>
                  <w:vAlign w:val="center"/>
                </w:tcPr>
                <w:p w14:paraId="2B421710" w14:textId="77777777" w:rsidR="00F76A63" w:rsidRDefault="00000000">
                  <w:pPr>
                    <w:pStyle w:val="TableText"/>
                    <w:tabs>
                      <w:tab w:val="left" w:pos="292"/>
                    </w:tabs>
                    <w:jc w:val="center"/>
                    <w:rPr>
                      <w:rFonts w:ascii="Times New Roman" w:hAnsi="Times New Roman" w:cs="Times New Roman"/>
                      <w:b/>
                      <w:bCs/>
                      <w:color w:val="auto"/>
                      <w:spacing w:val="10"/>
                      <w:position w:val="-1"/>
                      <w:sz w:val="18"/>
                      <w:szCs w:val="18"/>
                      <w:vertAlign w:val="subscript"/>
                    </w:rPr>
                  </w:pPr>
                  <w:r>
                    <w:rPr>
                      <w:rFonts w:ascii="Times New Roman" w:hAnsi="Times New Roman" w:cs="Times New Roman"/>
                      <w:b/>
                      <w:bCs/>
                      <w:color w:val="auto"/>
                      <w:sz w:val="18"/>
                      <w:szCs w:val="18"/>
                    </w:rPr>
                    <w:t>SO</w:t>
                  </w:r>
                  <w:r>
                    <w:rPr>
                      <w:rFonts w:ascii="Times New Roman" w:hAnsi="Times New Roman" w:cs="Times New Roman"/>
                      <w:b/>
                      <w:bCs/>
                      <w:color w:val="auto"/>
                      <w:spacing w:val="10"/>
                      <w:position w:val="-1"/>
                      <w:sz w:val="18"/>
                      <w:szCs w:val="18"/>
                      <w:vertAlign w:val="subscript"/>
                    </w:rPr>
                    <w:t>3</w:t>
                  </w:r>
                </w:p>
                <w:p w14:paraId="217B7B7C" w14:textId="77777777" w:rsidR="00F76A63" w:rsidRDefault="00000000">
                  <w:pPr>
                    <w:pStyle w:val="TableText"/>
                    <w:tabs>
                      <w:tab w:val="left" w:pos="292"/>
                    </w:tabs>
                    <w:jc w:val="center"/>
                    <w:rPr>
                      <w:rFonts w:ascii="Times New Roman" w:hAnsi="Times New Roman" w:cs="Times New Roman"/>
                      <w:b/>
                      <w:bCs/>
                      <w:color w:val="auto"/>
                      <w:sz w:val="18"/>
                      <w:szCs w:val="18"/>
                    </w:rPr>
                  </w:pPr>
                  <w:r>
                    <w:rPr>
                      <w:rFonts w:ascii="Times New Roman" w:hAnsi="Times New Roman" w:cs="Times New Roman"/>
                      <w:b/>
                      <w:bCs/>
                      <w:color w:val="auto"/>
                      <w:spacing w:val="1"/>
                      <w:sz w:val="18"/>
                      <w:szCs w:val="18"/>
                    </w:rPr>
                    <w:t>（</w:t>
                  </w:r>
                  <w:r>
                    <w:rPr>
                      <w:rFonts w:ascii="Times New Roman" w:hAnsi="Times New Roman" w:cs="Times New Roman"/>
                      <w:b/>
                      <w:bCs/>
                      <w:color w:val="auto"/>
                      <w:spacing w:val="1"/>
                      <w:sz w:val="18"/>
                      <w:szCs w:val="18"/>
                    </w:rPr>
                    <w:t>%</w:t>
                  </w:r>
                  <w:r>
                    <w:rPr>
                      <w:rFonts w:ascii="Times New Roman" w:hAnsi="Times New Roman" w:cs="Times New Roman"/>
                      <w:b/>
                      <w:bCs/>
                      <w:color w:val="auto"/>
                      <w:sz w:val="18"/>
                      <w:szCs w:val="18"/>
                    </w:rPr>
                    <w:t>)</w:t>
                  </w:r>
                </w:p>
              </w:tc>
              <w:tc>
                <w:tcPr>
                  <w:tcW w:w="2835" w:type="dxa"/>
                  <w:tcBorders>
                    <w:top w:val="single" w:sz="12" w:space="0" w:color="auto"/>
                    <w:left w:val="single" w:sz="4" w:space="0" w:color="auto"/>
                    <w:bottom w:val="single" w:sz="4" w:space="0" w:color="auto"/>
                    <w:right w:val="single" w:sz="4" w:space="0" w:color="auto"/>
                  </w:tcBorders>
                  <w:vAlign w:val="center"/>
                </w:tcPr>
                <w:p w14:paraId="193D0024" w14:textId="77777777" w:rsidR="00F76A63" w:rsidRDefault="00000000">
                  <w:pPr>
                    <w:pStyle w:val="TableText"/>
                    <w:jc w:val="center"/>
                    <w:rPr>
                      <w:rFonts w:ascii="Times New Roman" w:hAnsi="Times New Roman" w:cs="Times New Roman"/>
                      <w:b/>
                      <w:bCs/>
                      <w:color w:val="auto"/>
                      <w:spacing w:val="-19"/>
                      <w:sz w:val="18"/>
                      <w:szCs w:val="18"/>
                    </w:rPr>
                  </w:pPr>
                  <w:r>
                    <w:rPr>
                      <w:rFonts w:ascii="Times New Roman" w:hAnsi="Times New Roman" w:cs="Times New Roman"/>
                      <w:b/>
                      <w:bCs/>
                      <w:color w:val="auto"/>
                      <w:spacing w:val="20"/>
                      <w:sz w:val="18"/>
                      <w:szCs w:val="18"/>
                    </w:rPr>
                    <w:t>（</w:t>
                  </w:r>
                  <w:r>
                    <w:rPr>
                      <w:rFonts w:ascii="Times New Roman" w:hAnsi="Times New Roman" w:cs="Times New Roman"/>
                      <w:b/>
                      <w:bCs/>
                      <w:color w:val="auto"/>
                      <w:spacing w:val="20"/>
                      <w:sz w:val="18"/>
                      <w:szCs w:val="18"/>
                    </w:rPr>
                    <w:t>3</w:t>
                  </w:r>
                  <w:r>
                    <w:rPr>
                      <w:rFonts w:ascii="Times New Roman" w:hAnsi="Times New Roman" w:cs="Times New Roman"/>
                      <w:b/>
                      <w:bCs/>
                      <w:color w:val="auto"/>
                      <w:sz w:val="18"/>
                      <w:szCs w:val="18"/>
                    </w:rPr>
                    <w:t>CaO</w:t>
                  </w:r>
                  <w:r>
                    <w:rPr>
                      <w:rFonts w:ascii="Times New Roman" w:hAnsi="Times New Roman" w:cs="Times New Roman"/>
                      <w:b/>
                      <w:bCs/>
                      <w:color w:val="auto"/>
                      <w:spacing w:val="20"/>
                      <w:sz w:val="18"/>
                      <w:szCs w:val="18"/>
                    </w:rPr>
                    <w:t>·</w:t>
                  </w:r>
                  <w:r>
                    <w:rPr>
                      <w:rFonts w:ascii="Times New Roman" w:hAnsi="Times New Roman" w:cs="Times New Roman"/>
                      <w:b/>
                      <w:bCs/>
                      <w:color w:val="auto"/>
                      <w:sz w:val="18"/>
                      <w:szCs w:val="18"/>
                    </w:rPr>
                    <w:t>SiO</w:t>
                  </w:r>
                  <w:r>
                    <w:rPr>
                      <w:rFonts w:ascii="Times New Roman" w:hAnsi="Times New Roman" w:cs="Times New Roman"/>
                      <w:b/>
                      <w:bCs/>
                      <w:color w:val="auto"/>
                      <w:spacing w:val="20"/>
                      <w:position w:val="-1"/>
                      <w:sz w:val="18"/>
                      <w:szCs w:val="18"/>
                      <w:vertAlign w:val="subscript"/>
                    </w:rPr>
                    <w:t>2</w:t>
                  </w:r>
                  <w:r>
                    <w:rPr>
                      <w:rFonts w:ascii="Times New Roman" w:hAnsi="Times New Roman" w:cs="Times New Roman"/>
                      <w:b/>
                      <w:bCs/>
                      <w:color w:val="auto"/>
                      <w:spacing w:val="20"/>
                      <w:sz w:val="18"/>
                      <w:szCs w:val="18"/>
                    </w:rPr>
                    <w:t>+2</w:t>
                  </w:r>
                  <w:r>
                    <w:rPr>
                      <w:rFonts w:ascii="Times New Roman" w:hAnsi="Times New Roman" w:cs="Times New Roman"/>
                      <w:b/>
                      <w:bCs/>
                      <w:color w:val="auto"/>
                      <w:sz w:val="18"/>
                      <w:szCs w:val="18"/>
                    </w:rPr>
                    <w:t>CaO</w:t>
                  </w:r>
                  <w:r>
                    <w:rPr>
                      <w:rFonts w:ascii="Times New Roman" w:hAnsi="Times New Roman" w:cs="Times New Roman"/>
                      <w:b/>
                      <w:bCs/>
                      <w:color w:val="auto"/>
                      <w:spacing w:val="20"/>
                      <w:sz w:val="18"/>
                      <w:szCs w:val="18"/>
                    </w:rPr>
                    <w:t>·</w:t>
                  </w:r>
                  <w:r>
                    <w:rPr>
                      <w:rFonts w:ascii="Times New Roman" w:hAnsi="Times New Roman" w:cs="Times New Roman"/>
                      <w:b/>
                      <w:bCs/>
                      <w:color w:val="auto"/>
                      <w:sz w:val="18"/>
                      <w:szCs w:val="18"/>
                    </w:rPr>
                    <w:t>Si</w:t>
                  </w:r>
                  <w:r>
                    <w:rPr>
                      <w:rFonts w:ascii="Times New Roman" w:hAnsi="Times New Roman" w:cs="Times New Roman"/>
                      <w:b/>
                      <w:bCs/>
                      <w:color w:val="auto"/>
                      <w:spacing w:val="10"/>
                      <w:sz w:val="18"/>
                      <w:szCs w:val="18"/>
                    </w:rPr>
                    <w:t>O</w:t>
                  </w:r>
                  <w:r>
                    <w:rPr>
                      <w:rFonts w:ascii="Times New Roman" w:hAnsi="Times New Roman" w:cs="Times New Roman"/>
                      <w:b/>
                      <w:bCs/>
                      <w:color w:val="auto"/>
                      <w:spacing w:val="10"/>
                      <w:position w:val="-1"/>
                      <w:sz w:val="18"/>
                      <w:szCs w:val="18"/>
                      <w:vertAlign w:val="subscript"/>
                    </w:rPr>
                    <w:t>2</w:t>
                  </w:r>
                  <w:r>
                    <w:rPr>
                      <w:rFonts w:ascii="Times New Roman" w:hAnsi="Times New Roman" w:cs="Times New Roman"/>
                      <w:b/>
                      <w:bCs/>
                      <w:color w:val="auto"/>
                      <w:spacing w:val="-19"/>
                      <w:sz w:val="18"/>
                      <w:szCs w:val="18"/>
                    </w:rPr>
                    <w:t>）</w:t>
                  </w:r>
                </w:p>
                <w:p w14:paraId="543B327A" w14:textId="77777777" w:rsidR="00F76A63" w:rsidRDefault="00000000">
                  <w:pPr>
                    <w:pStyle w:val="TableText"/>
                    <w:jc w:val="center"/>
                    <w:rPr>
                      <w:rFonts w:ascii="Times New Roman" w:hAnsi="Times New Roman" w:cs="Times New Roman"/>
                      <w:b/>
                      <w:bCs/>
                      <w:color w:val="auto"/>
                      <w:sz w:val="18"/>
                      <w:szCs w:val="18"/>
                    </w:rPr>
                  </w:pPr>
                  <w:r>
                    <w:rPr>
                      <w:rFonts w:ascii="Times New Roman" w:hAnsi="Times New Roman" w:cs="Times New Roman"/>
                      <w:b/>
                      <w:bCs/>
                      <w:color w:val="auto"/>
                      <w:spacing w:val="-19"/>
                      <w:sz w:val="18"/>
                      <w:szCs w:val="18"/>
                    </w:rPr>
                    <w:t>（</w:t>
                  </w:r>
                  <w:r>
                    <w:rPr>
                      <w:rFonts w:ascii="Times New Roman" w:hAnsi="Times New Roman" w:cs="Times New Roman"/>
                      <w:b/>
                      <w:bCs/>
                      <w:color w:val="auto"/>
                      <w:spacing w:val="10"/>
                      <w:sz w:val="18"/>
                      <w:szCs w:val="18"/>
                    </w:rPr>
                    <w:t>%</w:t>
                  </w:r>
                  <w:r>
                    <w:rPr>
                      <w:rFonts w:ascii="Times New Roman" w:hAnsi="Times New Roman" w:cs="Times New Roman"/>
                      <w:b/>
                      <w:bCs/>
                      <w:color w:val="auto"/>
                      <w:spacing w:val="10"/>
                      <w:sz w:val="18"/>
                      <w:szCs w:val="18"/>
                    </w:rPr>
                    <w:t>）</w:t>
                  </w:r>
                </w:p>
              </w:tc>
              <w:tc>
                <w:tcPr>
                  <w:tcW w:w="1080" w:type="dxa"/>
                  <w:tcBorders>
                    <w:top w:val="single" w:sz="12" w:space="0" w:color="auto"/>
                    <w:left w:val="single" w:sz="4" w:space="0" w:color="auto"/>
                    <w:bottom w:val="single" w:sz="4" w:space="0" w:color="auto"/>
                    <w:right w:val="single" w:sz="4" w:space="0" w:color="auto"/>
                  </w:tcBorders>
                  <w:vAlign w:val="center"/>
                </w:tcPr>
                <w:p w14:paraId="7E0C6482" w14:textId="77777777" w:rsidR="00F76A63" w:rsidRDefault="00000000">
                  <w:pPr>
                    <w:jc w:val="center"/>
                    <w:rPr>
                      <w:b/>
                      <w:bCs/>
                      <w:spacing w:val="4"/>
                      <w:position w:val="-1"/>
                      <w:sz w:val="18"/>
                      <w:szCs w:val="18"/>
                    </w:rPr>
                  </w:pPr>
                  <w:r>
                    <w:rPr>
                      <w:b/>
                      <w:bCs/>
                      <w:spacing w:val="6"/>
                      <w:sz w:val="18"/>
                      <w:szCs w:val="18"/>
                    </w:rPr>
                    <w:t>CaO·Si</w:t>
                  </w:r>
                  <w:r>
                    <w:rPr>
                      <w:b/>
                      <w:bCs/>
                      <w:spacing w:val="4"/>
                      <w:sz w:val="18"/>
                      <w:szCs w:val="18"/>
                    </w:rPr>
                    <w:t>O</w:t>
                  </w:r>
                  <w:r>
                    <w:rPr>
                      <w:b/>
                      <w:bCs/>
                      <w:spacing w:val="4"/>
                      <w:position w:val="-1"/>
                      <w:sz w:val="18"/>
                      <w:szCs w:val="18"/>
                      <w:vertAlign w:val="subscript"/>
                    </w:rPr>
                    <w:t>2</w:t>
                  </w:r>
                </w:p>
                <w:p w14:paraId="3C78C889" w14:textId="77777777" w:rsidR="00F76A63" w:rsidRDefault="00000000">
                  <w:pPr>
                    <w:jc w:val="center"/>
                    <w:rPr>
                      <w:b/>
                      <w:bCs/>
                      <w:sz w:val="18"/>
                      <w:szCs w:val="18"/>
                    </w:rPr>
                  </w:pPr>
                  <w:r>
                    <w:rPr>
                      <w:b/>
                      <w:bCs/>
                      <w:spacing w:val="4"/>
                      <w:sz w:val="18"/>
                      <w:szCs w:val="18"/>
                    </w:rPr>
                    <w:t>质量</w:t>
                  </w:r>
                  <w:r>
                    <w:rPr>
                      <w:b/>
                      <w:bCs/>
                      <w:sz w:val="18"/>
                      <w:szCs w:val="18"/>
                    </w:rPr>
                    <w:t>比</w:t>
                  </w:r>
                </w:p>
              </w:tc>
              <w:tc>
                <w:tcPr>
                  <w:tcW w:w="958" w:type="dxa"/>
                  <w:tcBorders>
                    <w:top w:val="single" w:sz="12" w:space="0" w:color="auto"/>
                    <w:left w:val="single" w:sz="4" w:space="0" w:color="auto"/>
                    <w:bottom w:val="single" w:sz="4" w:space="0" w:color="auto"/>
                  </w:tcBorders>
                  <w:vAlign w:val="center"/>
                </w:tcPr>
                <w:p w14:paraId="00B20C9C" w14:textId="77777777" w:rsidR="00F76A63" w:rsidRDefault="00000000">
                  <w:pPr>
                    <w:pStyle w:val="TableText"/>
                    <w:jc w:val="center"/>
                    <w:rPr>
                      <w:rFonts w:ascii="Times New Roman" w:hAnsi="Times New Roman" w:cs="Times New Roman"/>
                      <w:b/>
                      <w:bCs/>
                      <w:color w:val="auto"/>
                      <w:sz w:val="18"/>
                      <w:szCs w:val="18"/>
                    </w:rPr>
                  </w:pPr>
                  <w:r>
                    <w:rPr>
                      <w:rFonts w:ascii="Times New Roman" w:hAnsi="Times New Roman" w:cs="Times New Roman"/>
                      <w:b/>
                      <w:bCs/>
                      <w:color w:val="auto"/>
                      <w:spacing w:val="9"/>
                      <w:sz w:val="18"/>
                      <w:szCs w:val="18"/>
                    </w:rPr>
                    <w:t>数据来源</w:t>
                  </w:r>
                </w:p>
              </w:tc>
            </w:tr>
            <w:tr w:rsidR="00F76A63" w14:paraId="606D68AB" w14:textId="77777777">
              <w:trPr>
                <w:trHeight w:val="64"/>
                <w:jc w:val="center"/>
              </w:trPr>
              <w:tc>
                <w:tcPr>
                  <w:tcW w:w="680" w:type="dxa"/>
                  <w:tcBorders>
                    <w:top w:val="single" w:sz="4" w:space="0" w:color="auto"/>
                    <w:bottom w:val="single" w:sz="12" w:space="0" w:color="auto"/>
                    <w:right w:val="single" w:sz="4" w:space="0" w:color="auto"/>
                  </w:tcBorders>
                  <w:vAlign w:val="center"/>
                </w:tcPr>
                <w:p w14:paraId="451ACFFC" w14:textId="77777777" w:rsidR="00F76A63" w:rsidRDefault="00000000">
                  <w:pPr>
                    <w:jc w:val="center"/>
                    <w:rPr>
                      <w:sz w:val="18"/>
                      <w:szCs w:val="18"/>
                    </w:rPr>
                  </w:pPr>
                  <w:r>
                    <w:rPr>
                      <w:spacing w:val="6"/>
                      <w:sz w:val="18"/>
                      <w:szCs w:val="18"/>
                    </w:rPr>
                    <w:t>≤1.5</w:t>
                  </w:r>
                </w:p>
              </w:tc>
              <w:tc>
                <w:tcPr>
                  <w:tcW w:w="728" w:type="dxa"/>
                  <w:tcBorders>
                    <w:top w:val="single" w:sz="4" w:space="0" w:color="auto"/>
                    <w:left w:val="single" w:sz="4" w:space="0" w:color="auto"/>
                    <w:bottom w:val="single" w:sz="12" w:space="0" w:color="auto"/>
                    <w:right w:val="single" w:sz="4" w:space="0" w:color="auto"/>
                  </w:tcBorders>
                  <w:vAlign w:val="center"/>
                </w:tcPr>
                <w:p w14:paraId="30A9DF39" w14:textId="77777777" w:rsidR="00F76A63" w:rsidRDefault="00000000">
                  <w:pPr>
                    <w:jc w:val="center"/>
                    <w:rPr>
                      <w:sz w:val="18"/>
                      <w:szCs w:val="18"/>
                    </w:rPr>
                  </w:pPr>
                  <w:r>
                    <w:rPr>
                      <w:spacing w:val="5"/>
                      <w:sz w:val="18"/>
                      <w:szCs w:val="18"/>
                    </w:rPr>
                    <w:t>≤5.0</w:t>
                  </w:r>
                </w:p>
              </w:tc>
              <w:tc>
                <w:tcPr>
                  <w:tcW w:w="742" w:type="dxa"/>
                  <w:tcBorders>
                    <w:top w:val="single" w:sz="4" w:space="0" w:color="auto"/>
                    <w:left w:val="single" w:sz="4" w:space="0" w:color="auto"/>
                    <w:bottom w:val="single" w:sz="12" w:space="0" w:color="auto"/>
                    <w:right w:val="single" w:sz="4" w:space="0" w:color="auto"/>
                  </w:tcBorders>
                  <w:vAlign w:val="center"/>
                </w:tcPr>
                <w:p w14:paraId="7FE55E07" w14:textId="77777777" w:rsidR="00F76A63" w:rsidRDefault="00000000">
                  <w:pPr>
                    <w:jc w:val="center"/>
                    <w:rPr>
                      <w:sz w:val="18"/>
                      <w:szCs w:val="18"/>
                    </w:rPr>
                  </w:pPr>
                  <w:r>
                    <w:rPr>
                      <w:spacing w:val="5"/>
                      <w:sz w:val="18"/>
                      <w:szCs w:val="18"/>
                    </w:rPr>
                    <w:t>≤1.5</w:t>
                  </w:r>
                </w:p>
              </w:tc>
              <w:tc>
                <w:tcPr>
                  <w:tcW w:w="708" w:type="dxa"/>
                  <w:tcBorders>
                    <w:top w:val="single" w:sz="4" w:space="0" w:color="auto"/>
                    <w:left w:val="single" w:sz="4" w:space="0" w:color="auto"/>
                    <w:bottom w:val="single" w:sz="12" w:space="0" w:color="auto"/>
                    <w:right w:val="single" w:sz="4" w:space="0" w:color="auto"/>
                  </w:tcBorders>
                  <w:vAlign w:val="center"/>
                </w:tcPr>
                <w:p w14:paraId="1D5527F5" w14:textId="77777777" w:rsidR="00F76A63" w:rsidRDefault="00000000">
                  <w:pPr>
                    <w:jc w:val="center"/>
                    <w:rPr>
                      <w:sz w:val="18"/>
                      <w:szCs w:val="18"/>
                    </w:rPr>
                  </w:pPr>
                  <w:r>
                    <w:rPr>
                      <w:spacing w:val="6"/>
                      <w:sz w:val="18"/>
                      <w:szCs w:val="18"/>
                    </w:rPr>
                    <w:t>≤0.75</w:t>
                  </w:r>
                </w:p>
              </w:tc>
              <w:tc>
                <w:tcPr>
                  <w:tcW w:w="567" w:type="dxa"/>
                  <w:tcBorders>
                    <w:top w:val="single" w:sz="4" w:space="0" w:color="auto"/>
                    <w:left w:val="single" w:sz="4" w:space="0" w:color="auto"/>
                    <w:bottom w:val="single" w:sz="12" w:space="0" w:color="auto"/>
                    <w:right w:val="single" w:sz="4" w:space="0" w:color="auto"/>
                  </w:tcBorders>
                  <w:vAlign w:val="center"/>
                </w:tcPr>
                <w:p w14:paraId="66EAADC1" w14:textId="77777777" w:rsidR="00F76A63" w:rsidRDefault="00000000">
                  <w:pPr>
                    <w:jc w:val="center"/>
                    <w:rPr>
                      <w:sz w:val="18"/>
                      <w:szCs w:val="18"/>
                    </w:rPr>
                  </w:pPr>
                  <w:r>
                    <w:rPr>
                      <w:spacing w:val="6"/>
                      <w:sz w:val="18"/>
                      <w:szCs w:val="18"/>
                    </w:rPr>
                    <w:t>≤1.5</w:t>
                  </w:r>
                </w:p>
              </w:tc>
              <w:tc>
                <w:tcPr>
                  <w:tcW w:w="2835" w:type="dxa"/>
                  <w:tcBorders>
                    <w:top w:val="single" w:sz="4" w:space="0" w:color="auto"/>
                    <w:left w:val="single" w:sz="4" w:space="0" w:color="auto"/>
                    <w:bottom w:val="single" w:sz="12" w:space="0" w:color="auto"/>
                    <w:right w:val="single" w:sz="4" w:space="0" w:color="auto"/>
                  </w:tcBorders>
                  <w:vAlign w:val="center"/>
                </w:tcPr>
                <w:p w14:paraId="5418B774" w14:textId="77777777" w:rsidR="00F76A63" w:rsidRDefault="00000000">
                  <w:pPr>
                    <w:jc w:val="center"/>
                    <w:rPr>
                      <w:sz w:val="18"/>
                      <w:szCs w:val="18"/>
                    </w:rPr>
                  </w:pPr>
                  <w:r>
                    <w:rPr>
                      <w:spacing w:val="5"/>
                      <w:sz w:val="18"/>
                      <w:szCs w:val="18"/>
                    </w:rPr>
                    <w:t>≥66</w:t>
                  </w:r>
                </w:p>
              </w:tc>
              <w:tc>
                <w:tcPr>
                  <w:tcW w:w="1080" w:type="dxa"/>
                  <w:tcBorders>
                    <w:top w:val="single" w:sz="4" w:space="0" w:color="auto"/>
                    <w:left w:val="single" w:sz="4" w:space="0" w:color="auto"/>
                    <w:bottom w:val="single" w:sz="12" w:space="0" w:color="auto"/>
                    <w:right w:val="single" w:sz="4" w:space="0" w:color="auto"/>
                  </w:tcBorders>
                  <w:vAlign w:val="center"/>
                </w:tcPr>
                <w:p w14:paraId="5342BE06" w14:textId="77777777" w:rsidR="00F76A63" w:rsidRDefault="00000000">
                  <w:pPr>
                    <w:jc w:val="center"/>
                    <w:rPr>
                      <w:sz w:val="18"/>
                      <w:szCs w:val="18"/>
                    </w:rPr>
                  </w:pPr>
                  <w:r>
                    <w:rPr>
                      <w:spacing w:val="5"/>
                      <w:sz w:val="18"/>
                      <w:szCs w:val="18"/>
                    </w:rPr>
                    <w:t>≥2.0</w:t>
                  </w:r>
                </w:p>
              </w:tc>
              <w:tc>
                <w:tcPr>
                  <w:tcW w:w="958" w:type="dxa"/>
                  <w:tcBorders>
                    <w:top w:val="single" w:sz="4" w:space="0" w:color="auto"/>
                    <w:left w:val="single" w:sz="4" w:space="0" w:color="auto"/>
                    <w:bottom w:val="single" w:sz="12" w:space="0" w:color="auto"/>
                  </w:tcBorders>
                  <w:vAlign w:val="center"/>
                </w:tcPr>
                <w:p w14:paraId="4280C0B3" w14:textId="77777777" w:rsidR="00F76A63" w:rsidRDefault="00000000">
                  <w:pPr>
                    <w:jc w:val="center"/>
                    <w:rPr>
                      <w:sz w:val="18"/>
                      <w:szCs w:val="18"/>
                    </w:rPr>
                  </w:pPr>
                  <w:r>
                    <w:rPr>
                      <w:sz w:val="18"/>
                      <w:szCs w:val="18"/>
                    </w:rPr>
                    <w:t>GB</w:t>
                  </w:r>
                  <w:r>
                    <w:rPr>
                      <w:spacing w:val="9"/>
                      <w:sz w:val="18"/>
                      <w:szCs w:val="18"/>
                    </w:rPr>
                    <w:t>/T2137</w:t>
                  </w:r>
                  <w:r>
                    <w:rPr>
                      <w:spacing w:val="2"/>
                      <w:sz w:val="18"/>
                      <w:szCs w:val="18"/>
                    </w:rPr>
                    <w:t xml:space="preserve"> </w:t>
                  </w:r>
                  <w:r>
                    <w:rPr>
                      <w:spacing w:val="6"/>
                      <w:sz w:val="18"/>
                      <w:szCs w:val="18"/>
                    </w:rPr>
                    <w:t>2-2008</w:t>
                  </w:r>
                </w:p>
              </w:tc>
            </w:tr>
          </w:tbl>
          <w:p w14:paraId="60555990" w14:textId="77777777" w:rsidR="00F76A63" w:rsidRDefault="00000000">
            <w:pPr>
              <w:spacing w:line="500" w:lineRule="exact"/>
              <w:ind w:firstLineChars="200" w:firstLine="470"/>
              <w:jc w:val="center"/>
              <w:rPr>
                <w:kern w:val="0"/>
                <w:sz w:val="24"/>
              </w:rPr>
            </w:pPr>
            <w:r>
              <w:rPr>
                <w:b/>
                <w:bCs/>
                <w:spacing w:val="-3"/>
                <w:sz w:val="24"/>
              </w:rPr>
              <w:t>表</w:t>
            </w:r>
            <w:r>
              <w:rPr>
                <w:b/>
                <w:bCs/>
                <w:spacing w:val="-3"/>
                <w:sz w:val="24"/>
              </w:rPr>
              <w:t xml:space="preserve">2-7  </w:t>
            </w:r>
            <w:r>
              <w:rPr>
                <w:b/>
                <w:bCs/>
                <w:spacing w:val="-3"/>
                <w:sz w:val="24"/>
              </w:rPr>
              <w:t>水泥熟料中重金属含量限值</w:t>
            </w:r>
          </w:p>
          <w:tbl>
            <w:tblPr>
              <w:tblStyle w:val="TableNormal"/>
              <w:tblW w:w="5001"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39"/>
              <w:gridCol w:w="4223"/>
              <w:gridCol w:w="2328"/>
            </w:tblGrid>
            <w:tr w:rsidR="00F76A63" w14:paraId="052223C5" w14:textId="77777777">
              <w:trPr>
                <w:trHeight w:val="44"/>
                <w:jc w:val="center"/>
              </w:trPr>
              <w:tc>
                <w:tcPr>
                  <w:tcW w:w="1659" w:type="dxa"/>
                  <w:tcBorders>
                    <w:top w:val="single" w:sz="12" w:space="0" w:color="auto"/>
                    <w:left w:val="nil"/>
                    <w:bottom w:val="single" w:sz="4" w:space="0" w:color="auto"/>
                    <w:right w:val="single" w:sz="4" w:space="0" w:color="auto"/>
                  </w:tcBorders>
                  <w:vAlign w:val="center"/>
                </w:tcPr>
                <w:p w14:paraId="4559C34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7"/>
                      <w:sz w:val="21"/>
                      <w:szCs w:val="21"/>
                    </w:rPr>
                    <w:t>重金属</w:t>
                  </w:r>
                </w:p>
              </w:tc>
              <w:tc>
                <w:tcPr>
                  <w:tcW w:w="4276" w:type="dxa"/>
                  <w:tcBorders>
                    <w:top w:val="single" w:sz="12" w:space="0" w:color="auto"/>
                    <w:left w:val="single" w:sz="4" w:space="0" w:color="auto"/>
                    <w:bottom w:val="single" w:sz="4" w:space="0" w:color="auto"/>
                    <w:right w:val="single" w:sz="4" w:space="0" w:color="auto"/>
                  </w:tcBorders>
                  <w:vAlign w:val="center"/>
                </w:tcPr>
                <w:p w14:paraId="1FA6409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9"/>
                      <w:sz w:val="21"/>
                      <w:szCs w:val="21"/>
                    </w:rPr>
                    <w:t>水泥熟料中重金属含量限值</w:t>
                  </w:r>
                  <w:r>
                    <w:rPr>
                      <w:rFonts w:ascii="Times New Roman" w:eastAsia="Times New Roman" w:hAnsi="Times New Roman" w:cs="Times New Roman"/>
                      <w:b/>
                      <w:bCs/>
                      <w:color w:val="auto"/>
                      <w:spacing w:val="9"/>
                      <w:sz w:val="21"/>
                      <w:szCs w:val="21"/>
                    </w:rPr>
                    <w:t>/</w:t>
                  </w:r>
                  <w:r>
                    <w:rPr>
                      <w:rFonts w:ascii="Times New Roman" w:hAnsi="Times New Roman" w:cs="Times New Roman"/>
                      <w:b/>
                      <w:bCs/>
                      <w:color w:val="auto"/>
                      <w:spacing w:val="9"/>
                      <w:sz w:val="21"/>
                      <w:szCs w:val="21"/>
                    </w:rPr>
                    <w:t>（</w:t>
                  </w:r>
                  <w:r>
                    <w:rPr>
                      <w:rFonts w:ascii="Times New Roman" w:hAnsi="Times New Roman" w:cs="Times New Roman"/>
                      <w:color w:val="auto"/>
                      <w:spacing w:val="-46"/>
                      <w:sz w:val="21"/>
                      <w:szCs w:val="21"/>
                    </w:rPr>
                    <w:t xml:space="preserve"> </w:t>
                  </w:r>
                  <w:r>
                    <w:rPr>
                      <w:rFonts w:ascii="Times New Roman" w:eastAsia="Times New Roman" w:hAnsi="Times New Roman" w:cs="Times New Roman"/>
                      <w:b/>
                      <w:bCs/>
                      <w:color w:val="auto"/>
                      <w:sz w:val="21"/>
                      <w:szCs w:val="21"/>
                    </w:rPr>
                    <w:t>mg</w:t>
                  </w:r>
                  <w:r>
                    <w:rPr>
                      <w:rFonts w:ascii="Times New Roman" w:eastAsia="Times New Roman" w:hAnsi="Times New Roman" w:cs="Times New Roman"/>
                      <w:b/>
                      <w:bCs/>
                      <w:color w:val="auto"/>
                      <w:spacing w:val="9"/>
                      <w:sz w:val="21"/>
                      <w:szCs w:val="21"/>
                    </w:rPr>
                    <w:t>/</w:t>
                  </w:r>
                  <w:r>
                    <w:rPr>
                      <w:rFonts w:ascii="Times New Roman" w:eastAsia="Times New Roman" w:hAnsi="Times New Roman" w:cs="Times New Roman"/>
                      <w:b/>
                      <w:bCs/>
                      <w:color w:val="auto"/>
                      <w:sz w:val="21"/>
                      <w:szCs w:val="21"/>
                    </w:rPr>
                    <w:t>kg</w:t>
                  </w:r>
                  <w:r>
                    <w:rPr>
                      <w:rFonts w:ascii="Times New Roman" w:hAnsi="Times New Roman" w:cs="Times New Roman"/>
                      <w:b/>
                      <w:bCs/>
                      <w:color w:val="auto"/>
                      <w:spacing w:val="9"/>
                      <w:sz w:val="21"/>
                      <w:szCs w:val="21"/>
                    </w:rPr>
                    <w:t>）</w:t>
                  </w:r>
                </w:p>
              </w:tc>
              <w:tc>
                <w:tcPr>
                  <w:tcW w:w="2357" w:type="dxa"/>
                  <w:tcBorders>
                    <w:top w:val="single" w:sz="12" w:space="0" w:color="auto"/>
                    <w:left w:val="single" w:sz="4" w:space="0" w:color="auto"/>
                    <w:bottom w:val="single" w:sz="4" w:space="0" w:color="auto"/>
                    <w:right w:val="nil"/>
                  </w:tcBorders>
                  <w:vAlign w:val="center"/>
                </w:tcPr>
                <w:p w14:paraId="4808654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9"/>
                      <w:sz w:val="21"/>
                      <w:szCs w:val="21"/>
                    </w:rPr>
                    <w:t>数据来源</w:t>
                  </w:r>
                </w:p>
              </w:tc>
            </w:tr>
            <w:tr w:rsidR="00F76A63" w14:paraId="26259274" w14:textId="77777777">
              <w:trPr>
                <w:trHeight w:val="64"/>
                <w:jc w:val="center"/>
              </w:trPr>
              <w:tc>
                <w:tcPr>
                  <w:tcW w:w="1659" w:type="dxa"/>
                  <w:tcBorders>
                    <w:top w:val="single" w:sz="4" w:space="0" w:color="auto"/>
                    <w:left w:val="nil"/>
                    <w:bottom w:val="single" w:sz="4" w:space="0" w:color="auto"/>
                    <w:right w:val="single" w:sz="4" w:space="0" w:color="auto"/>
                  </w:tcBorders>
                  <w:vAlign w:val="center"/>
                </w:tcPr>
                <w:p w14:paraId="09C3014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砷</w:t>
                  </w:r>
                </w:p>
              </w:tc>
              <w:tc>
                <w:tcPr>
                  <w:tcW w:w="4276" w:type="dxa"/>
                  <w:tcBorders>
                    <w:top w:val="single" w:sz="4" w:space="0" w:color="auto"/>
                    <w:left w:val="single" w:sz="4" w:space="0" w:color="auto"/>
                    <w:bottom w:val="single" w:sz="4" w:space="0" w:color="auto"/>
                    <w:right w:val="single" w:sz="4" w:space="0" w:color="auto"/>
                  </w:tcBorders>
                  <w:vAlign w:val="center"/>
                </w:tcPr>
                <w:p w14:paraId="1914C9ED" w14:textId="77777777" w:rsidR="00F76A63" w:rsidRDefault="00000000">
                  <w:pPr>
                    <w:widowControl/>
                    <w:jc w:val="center"/>
                    <w:rPr>
                      <w:rFonts w:eastAsia="Times New Roman"/>
                      <w:szCs w:val="21"/>
                    </w:rPr>
                  </w:pPr>
                  <w:r>
                    <w:rPr>
                      <w:rFonts w:eastAsia="Times New Roman"/>
                      <w:spacing w:val="4"/>
                      <w:szCs w:val="21"/>
                    </w:rPr>
                    <w:t>40</w:t>
                  </w:r>
                </w:p>
              </w:tc>
              <w:tc>
                <w:tcPr>
                  <w:tcW w:w="2357" w:type="dxa"/>
                  <w:vMerge w:val="restart"/>
                  <w:tcBorders>
                    <w:top w:val="single" w:sz="4" w:space="0" w:color="auto"/>
                    <w:left w:val="single" w:sz="4" w:space="0" w:color="auto"/>
                    <w:bottom w:val="nil"/>
                    <w:right w:val="nil"/>
                  </w:tcBorders>
                  <w:vAlign w:val="center"/>
                </w:tcPr>
                <w:p w14:paraId="4D93475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《水泥窑协同处置固体废物</w:t>
                  </w:r>
                  <w:r>
                    <w:rPr>
                      <w:rFonts w:ascii="Times New Roman" w:hAnsi="Times New Roman" w:cs="Times New Roman"/>
                      <w:color w:val="auto"/>
                      <w:spacing w:val="9"/>
                      <w:sz w:val="21"/>
                      <w:szCs w:val="21"/>
                    </w:rPr>
                    <w:t>技术规范》（</w:t>
                  </w:r>
                  <w:bookmarkStart w:id="69" w:name="OLE_LINK42"/>
                  <w:r>
                    <w:rPr>
                      <w:rFonts w:ascii="Times New Roman" w:eastAsia="Times New Roman" w:hAnsi="Times New Roman" w:cs="Times New Roman"/>
                      <w:color w:val="auto"/>
                      <w:sz w:val="21"/>
                      <w:szCs w:val="21"/>
                    </w:rPr>
                    <w:t>GB</w:t>
                  </w:r>
                  <w:r>
                    <w:rPr>
                      <w:rFonts w:ascii="Times New Roman" w:eastAsiaTheme="minorEastAsia" w:hAnsi="Times New Roman" w:cs="Times New Roman"/>
                      <w:color w:val="auto"/>
                      <w:sz w:val="21"/>
                      <w:szCs w:val="21"/>
                    </w:rPr>
                    <w:t>/T</w:t>
                  </w:r>
                  <w:bookmarkEnd w:id="69"/>
                  <w:r>
                    <w:rPr>
                      <w:rFonts w:ascii="Times New Roman" w:eastAsiaTheme="minorEastAsia" w:hAnsi="Times New Roman" w:cs="Times New Roman"/>
                      <w:color w:val="auto"/>
                      <w:sz w:val="21"/>
                      <w:szCs w:val="21"/>
                    </w:rPr>
                    <w:t xml:space="preserve"> </w:t>
                  </w:r>
                  <w:r>
                    <w:rPr>
                      <w:rFonts w:ascii="Times New Roman" w:eastAsia="Times New Roman" w:hAnsi="Times New Roman" w:cs="Times New Roman"/>
                      <w:color w:val="auto"/>
                      <w:spacing w:val="9"/>
                      <w:sz w:val="21"/>
                      <w:szCs w:val="21"/>
                    </w:rPr>
                    <w:t>30760-</w:t>
                  </w:r>
                  <w:r>
                    <w:rPr>
                      <w:rFonts w:ascii="Times New Roman" w:eastAsia="Times New Roman" w:hAnsi="Times New Roman" w:cs="Times New Roman"/>
                      <w:color w:val="auto"/>
                      <w:spacing w:val="4"/>
                      <w:sz w:val="21"/>
                      <w:szCs w:val="21"/>
                    </w:rPr>
                    <w:t>20</w:t>
                  </w:r>
                  <w:r>
                    <w:rPr>
                      <w:rFonts w:ascii="Times New Roman" w:eastAsiaTheme="minorEastAsia" w:hAnsi="Times New Roman" w:cs="Times New Roman"/>
                      <w:color w:val="auto"/>
                      <w:spacing w:val="4"/>
                      <w:sz w:val="21"/>
                      <w:szCs w:val="21"/>
                    </w:rPr>
                    <w:t>24</w:t>
                  </w:r>
                  <w:r>
                    <w:rPr>
                      <w:rFonts w:ascii="Times New Roman" w:hAnsi="Times New Roman" w:cs="Times New Roman"/>
                      <w:color w:val="auto"/>
                      <w:spacing w:val="4"/>
                      <w:sz w:val="21"/>
                      <w:szCs w:val="21"/>
                    </w:rPr>
                    <w:t>）</w:t>
                  </w:r>
                </w:p>
              </w:tc>
            </w:tr>
            <w:tr w:rsidR="00F76A63" w14:paraId="07969FA0" w14:textId="77777777">
              <w:trPr>
                <w:trHeight w:val="64"/>
                <w:jc w:val="center"/>
              </w:trPr>
              <w:tc>
                <w:tcPr>
                  <w:tcW w:w="1659" w:type="dxa"/>
                  <w:tcBorders>
                    <w:top w:val="single" w:sz="4" w:space="0" w:color="auto"/>
                    <w:left w:val="nil"/>
                    <w:bottom w:val="single" w:sz="4" w:space="0" w:color="auto"/>
                    <w:right w:val="single" w:sz="4" w:space="0" w:color="auto"/>
                  </w:tcBorders>
                  <w:vAlign w:val="center"/>
                </w:tcPr>
                <w:p w14:paraId="0A70338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铅</w:t>
                  </w:r>
                </w:p>
              </w:tc>
              <w:tc>
                <w:tcPr>
                  <w:tcW w:w="4276" w:type="dxa"/>
                  <w:tcBorders>
                    <w:top w:val="single" w:sz="4" w:space="0" w:color="auto"/>
                    <w:left w:val="single" w:sz="4" w:space="0" w:color="auto"/>
                    <w:bottom w:val="single" w:sz="4" w:space="0" w:color="auto"/>
                    <w:right w:val="single" w:sz="4" w:space="0" w:color="auto"/>
                  </w:tcBorders>
                  <w:vAlign w:val="center"/>
                </w:tcPr>
                <w:p w14:paraId="0D765FAC" w14:textId="77777777" w:rsidR="00F76A63" w:rsidRDefault="00000000">
                  <w:pPr>
                    <w:widowControl/>
                    <w:jc w:val="center"/>
                    <w:rPr>
                      <w:rFonts w:eastAsia="Times New Roman"/>
                      <w:szCs w:val="21"/>
                    </w:rPr>
                  </w:pPr>
                  <w:r>
                    <w:rPr>
                      <w:rFonts w:eastAsia="Times New Roman"/>
                      <w:spacing w:val="-2"/>
                      <w:szCs w:val="21"/>
                    </w:rPr>
                    <w:t>100</w:t>
                  </w:r>
                </w:p>
              </w:tc>
              <w:tc>
                <w:tcPr>
                  <w:tcW w:w="2357" w:type="dxa"/>
                  <w:vMerge/>
                  <w:tcBorders>
                    <w:top w:val="nil"/>
                    <w:left w:val="single" w:sz="4" w:space="0" w:color="auto"/>
                    <w:bottom w:val="nil"/>
                    <w:right w:val="nil"/>
                  </w:tcBorders>
                </w:tcPr>
                <w:p w14:paraId="11410CD9" w14:textId="77777777" w:rsidR="00F76A63" w:rsidRDefault="00F76A63">
                  <w:pPr>
                    <w:rPr>
                      <w:szCs w:val="21"/>
                    </w:rPr>
                  </w:pPr>
                </w:p>
              </w:tc>
            </w:tr>
            <w:tr w:rsidR="00F76A63" w14:paraId="6A2E34E9" w14:textId="77777777">
              <w:trPr>
                <w:trHeight w:val="64"/>
                <w:jc w:val="center"/>
              </w:trPr>
              <w:tc>
                <w:tcPr>
                  <w:tcW w:w="1659" w:type="dxa"/>
                  <w:tcBorders>
                    <w:top w:val="single" w:sz="4" w:space="0" w:color="auto"/>
                    <w:left w:val="nil"/>
                    <w:bottom w:val="single" w:sz="4" w:space="0" w:color="auto"/>
                    <w:right w:val="single" w:sz="4" w:space="0" w:color="auto"/>
                  </w:tcBorders>
                  <w:vAlign w:val="center"/>
                </w:tcPr>
                <w:p w14:paraId="387678D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2"/>
                      <w:sz w:val="21"/>
                      <w:szCs w:val="21"/>
                    </w:rPr>
                    <w:t>镉</w:t>
                  </w:r>
                </w:p>
              </w:tc>
              <w:tc>
                <w:tcPr>
                  <w:tcW w:w="4276" w:type="dxa"/>
                  <w:tcBorders>
                    <w:top w:val="single" w:sz="4" w:space="0" w:color="auto"/>
                    <w:left w:val="single" w:sz="4" w:space="0" w:color="auto"/>
                    <w:bottom w:val="single" w:sz="4" w:space="0" w:color="auto"/>
                    <w:right w:val="single" w:sz="4" w:space="0" w:color="auto"/>
                  </w:tcBorders>
                  <w:vAlign w:val="center"/>
                </w:tcPr>
                <w:p w14:paraId="3406C764" w14:textId="77777777" w:rsidR="00F76A63" w:rsidRDefault="00000000">
                  <w:pPr>
                    <w:widowControl/>
                    <w:jc w:val="center"/>
                    <w:rPr>
                      <w:rFonts w:eastAsia="Times New Roman"/>
                      <w:szCs w:val="21"/>
                    </w:rPr>
                  </w:pPr>
                  <w:r>
                    <w:rPr>
                      <w:rFonts w:eastAsia="Times New Roman"/>
                      <w:spacing w:val="-3"/>
                      <w:szCs w:val="21"/>
                    </w:rPr>
                    <w:t>1.5</w:t>
                  </w:r>
                </w:p>
              </w:tc>
              <w:tc>
                <w:tcPr>
                  <w:tcW w:w="2357" w:type="dxa"/>
                  <w:vMerge/>
                  <w:tcBorders>
                    <w:top w:val="nil"/>
                    <w:left w:val="single" w:sz="4" w:space="0" w:color="auto"/>
                    <w:bottom w:val="nil"/>
                    <w:right w:val="nil"/>
                  </w:tcBorders>
                </w:tcPr>
                <w:p w14:paraId="031C27C4" w14:textId="77777777" w:rsidR="00F76A63" w:rsidRDefault="00F76A63">
                  <w:pPr>
                    <w:rPr>
                      <w:szCs w:val="21"/>
                    </w:rPr>
                  </w:pPr>
                </w:p>
              </w:tc>
            </w:tr>
            <w:tr w:rsidR="00F76A63" w14:paraId="7E943A03" w14:textId="77777777">
              <w:trPr>
                <w:trHeight w:val="64"/>
                <w:jc w:val="center"/>
              </w:trPr>
              <w:tc>
                <w:tcPr>
                  <w:tcW w:w="1659" w:type="dxa"/>
                  <w:tcBorders>
                    <w:top w:val="single" w:sz="4" w:space="0" w:color="auto"/>
                    <w:left w:val="nil"/>
                    <w:bottom w:val="single" w:sz="4" w:space="0" w:color="auto"/>
                    <w:right w:val="single" w:sz="4" w:space="0" w:color="auto"/>
                  </w:tcBorders>
                  <w:vAlign w:val="center"/>
                </w:tcPr>
                <w:p w14:paraId="09B0BD0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铬</w:t>
                  </w:r>
                </w:p>
              </w:tc>
              <w:tc>
                <w:tcPr>
                  <w:tcW w:w="4276" w:type="dxa"/>
                  <w:tcBorders>
                    <w:top w:val="single" w:sz="4" w:space="0" w:color="auto"/>
                    <w:left w:val="single" w:sz="4" w:space="0" w:color="auto"/>
                    <w:bottom w:val="single" w:sz="4" w:space="0" w:color="auto"/>
                    <w:right w:val="single" w:sz="4" w:space="0" w:color="auto"/>
                  </w:tcBorders>
                  <w:vAlign w:val="center"/>
                </w:tcPr>
                <w:p w14:paraId="5C502249" w14:textId="77777777" w:rsidR="00F76A63" w:rsidRDefault="00000000">
                  <w:pPr>
                    <w:widowControl/>
                    <w:jc w:val="center"/>
                    <w:rPr>
                      <w:rFonts w:eastAsia="Times New Roman"/>
                      <w:szCs w:val="21"/>
                    </w:rPr>
                  </w:pPr>
                  <w:r>
                    <w:rPr>
                      <w:rFonts w:eastAsia="Times New Roman"/>
                      <w:spacing w:val="-2"/>
                      <w:szCs w:val="21"/>
                    </w:rPr>
                    <w:t>150</w:t>
                  </w:r>
                </w:p>
              </w:tc>
              <w:tc>
                <w:tcPr>
                  <w:tcW w:w="2357" w:type="dxa"/>
                  <w:vMerge/>
                  <w:tcBorders>
                    <w:top w:val="nil"/>
                    <w:left w:val="single" w:sz="4" w:space="0" w:color="auto"/>
                    <w:bottom w:val="nil"/>
                    <w:right w:val="nil"/>
                  </w:tcBorders>
                </w:tcPr>
                <w:p w14:paraId="09403093" w14:textId="77777777" w:rsidR="00F76A63" w:rsidRDefault="00F76A63">
                  <w:pPr>
                    <w:rPr>
                      <w:szCs w:val="21"/>
                    </w:rPr>
                  </w:pPr>
                </w:p>
              </w:tc>
            </w:tr>
            <w:tr w:rsidR="00F76A63" w14:paraId="3415C7EE" w14:textId="77777777">
              <w:trPr>
                <w:trHeight w:val="64"/>
                <w:jc w:val="center"/>
              </w:trPr>
              <w:tc>
                <w:tcPr>
                  <w:tcW w:w="1659" w:type="dxa"/>
                  <w:tcBorders>
                    <w:top w:val="single" w:sz="4" w:space="0" w:color="auto"/>
                    <w:left w:val="nil"/>
                    <w:bottom w:val="single" w:sz="4" w:space="0" w:color="auto"/>
                    <w:right w:val="single" w:sz="4" w:space="0" w:color="auto"/>
                  </w:tcBorders>
                  <w:vAlign w:val="center"/>
                </w:tcPr>
                <w:p w14:paraId="1782714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铜</w:t>
                  </w:r>
                </w:p>
              </w:tc>
              <w:tc>
                <w:tcPr>
                  <w:tcW w:w="4276" w:type="dxa"/>
                  <w:tcBorders>
                    <w:top w:val="single" w:sz="4" w:space="0" w:color="auto"/>
                    <w:left w:val="single" w:sz="4" w:space="0" w:color="auto"/>
                    <w:bottom w:val="single" w:sz="4" w:space="0" w:color="auto"/>
                    <w:right w:val="single" w:sz="4" w:space="0" w:color="auto"/>
                  </w:tcBorders>
                  <w:vAlign w:val="center"/>
                </w:tcPr>
                <w:p w14:paraId="0240E274" w14:textId="77777777" w:rsidR="00F76A63" w:rsidRDefault="00000000">
                  <w:pPr>
                    <w:widowControl/>
                    <w:jc w:val="center"/>
                    <w:rPr>
                      <w:rFonts w:eastAsia="Times New Roman"/>
                      <w:szCs w:val="21"/>
                    </w:rPr>
                  </w:pPr>
                  <w:r>
                    <w:rPr>
                      <w:rFonts w:eastAsia="Times New Roman"/>
                      <w:spacing w:val="-2"/>
                      <w:szCs w:val="21"/>
                    </w:rPr>
                    <w:t>100</w:t>
                  </w:r>
                </w:p>
              </w:tc>
              <w:tc>
                <w:tcPr>
                  <w:tcW w:w="2357" w:type="dxa"/>
                  <w:vMerge/>
                  <w:tcBorders>
                    <w:top w:val="nil"/>
                    <w:left w:val="single" w:sz="4" w:space="0" w:color="auto"/>
                    <w:bottom w:val="nil"/>
                    <w:right w:val="nil"/>
                  </w:tcBorders>
                </w:tcPr>
                <w:p w14:paraId="0E3C22F5" w14:textId="77777777" w:rsidR="00F76A63" w:rsidRDefault="00F76A63">
                  <w:pPr>
                    <w:rPr>
                      <w:szCs w:val="21"/>
                    </w:rPr>
                  </w:pPr>
                </w:p>
              </w:tc>
            </w:tr>
            <w:tr w:rsidR="00F76A63" w14:paraId="62721556" w14:textId="77777777">
              <w:trPr>
                <w:trHeight w:val="64"/>
                <w:jc w:val="center"/>
              </w:trPr>
              <w:tc>
                <w:tcPr>
                  <w:tcW w:w="1659" w:type="dxa"/>
                  <w:tcBorders>
                    <w:top w:val="single" w:sz="4" w:space="0" w:color="auto"/>
                    <w:left w:val="nil"/>
                    <w:bottom w:val="single" w:sz="4" w:space="0" w:color="auto"/>
                    <w:right w:val="single" w:sz="4" w:space="0" w:color="auto"/>
                  </w:tcBorders>
                  <w:vAlign w:val="center"/>
                </w:tcPr>
                <w:p w14:paraId="42A3C569"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镍</w:t>
                  </w:r>
                </w:p>
              </w:tc>
              <w:tc>
                <w:tcPr>
                  <w:tcW w:w="4276" w:type="dxa"/>
                  <w:tcBorders>
                    <w:top w:val="single" w:sz="4" w:space="0" w:color="auto"/>
                    <w:left w:val="single" w:sz="4" w:space="0" w:color="auto"/>
                    <w:bottom w:val="single" w:sz="4" w:space="0" w:color="auto"/>
                    <w:right w:val="single" w:sz="4" w:space="0" w:color="auto"/>
                  </w:tcBorders>
                  <w:vAlign w:val="center"/>
                </w:tcPr>
                <w:p w14:paraId="1FD91FB8" w14:textId="77777777" w:rsidR="00F76A63" w:rsidRDefault="00000000">
                  <w:pPr>
                    <w:widowControl/>
                    <w:jc w:val="center"/>
                    <w:rPr>
                      <w:rFonts w:eastAsia="Times New Roman"/>
                      <w:szCs w:val="21"/>
                    </w:rPr>
                  </w:pPr>
                  <w:r>
                    <w:rPr>
                      <w:rFonts w:eastAsia="Times New Roman"/>
                      <w:spacing w:val="-2"/>
                      <w:szCs w:val="21"/>
                    </w:rPr>
                    <w:t>100</w:t>
                  </w:r>
                </w:p>
              </w:tc>
              <w:tc>
                <w:tcPr>
                  <w:tcW w:w="2357" w:type="dxa"/>
                  <w:vMerge/>
                  <w:tcBorders>
                    <w:top w:val="nil"/>
                    <w:left w:val="single" w:sz="4" w:space="0" w:color="auto"/>
                    <w:bottom w:val="nil"/>
                    <w:right w:val="nil"/>
                  </w:tcBorders>
                </w:tcPr>
                <w:p w14:paraId="67A28FC3" w14:textId="77777777" w:rsidR="00F76A63" w:rsidRDefault="00F76A63">
                  <w:pPr>
                    <w:rPr>
                      <w:szCs w:val="21"/>
                    </w:rPr>
                  </w:pPr>
                </w:p>
              </w:tc>
            </w:tr>
            <w:tr w:rsidR="00F76A63" w14:paraId="25C3C7F3" w14:textId="77777777">
              <w:trPr>
                <w:trHeight w:val="64"/>
                <w:jc w:val="center"/>
              </w:trPr>
              <w:tc>
                <w:tcPr>
                  <w:tcW w:w="1659" w:type="dxa"/>
                  <w:tcBorders>
                    <w:top w:val="single" w:sz="4" w:space="0" w:color="auto"/>
                    <w:left w:val="nil"/>
                    <w:bottom w:val="single" w:sz="4" w:space="0" w:color="auto"/>
                    <w:right w:val="single" w:sz="4" w:space="0" w:color="auto"/>
                  </w:tcBorders>
                  <w:vAlign w:val="center"/>
                </w:tcPr>
                <w:p w14:paraId="4DA97AD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
                      <w:sz w:val="21"/>
                      <w:szCs w:val="21"/>
                    </w:rPr>
                    <w:t>锌</w:t>
                  </w:r>
                </w:p>
              </w:tc>
              <w:tc>
                <w:tcPr>
                  <w:tcW w:w="4276" w:type="dxa"/>
                  <w:tcBorders>
                    <w:top w:val="single" w:sz="4" w:space="0" w:color="auto"/>
                    <w:left w:val="single" w:sz="4" w:space="0" w:color="auto"/>
                    <w:bottom w:val="single" w:sz="4" w:space="0" w:color="auto"/>
                    <w:right w:val="single" w:sz="4" w:space="0" w:color="auto"/>
                  </w:tcBorders>
                  <w:vAlign w:val="center"/>
                </w:tcPr>
                <w:p w14:paraId="79DAEBA3" w14:textId="77777777" w:rsidR="00F76A63" w:rsidRDefault="00000000">
                  <w:pPr>
                    <w:widowControl/>
                    <w:jc w:val="center"/>
                    <w:rPr>
                      <w:rFonts w:eastAsia="Times New Roman"/>
                      <w:szCs w:val="21"/>
                    </w:rPr>
                  </w:pPr>
                  <w:r>
                    <w:rPr>
                      <w:rFonts w:eastAsia="Times New Roman"/>
                      <w:spacing w:val="3"/>
                      <w:szCs w:val="21"/>
                    </w:rPr>
                    <w:t>500</w:t>
                  </w:r>
                </w:p>
              </w:tc>
              <w:tc>
                <w:tcPr>
                  <w:tcW w:w="2357" w:type="dxa"/>
                  <w:vMerge/>
                  <w:tcBorders>
                    <w:top w:val="nil"/>
                    <w:left w:val="single" w:sz="4" w:space="0" w:color="auto"/>
                    <w:bottom w:val="nil"/>
                    <w:right w:val="nil"/>
                  </w:tcBorders>
                </w:tcPr>
                <w:p w14:paraId="5E8EC260" w14:textId="77777777" w:rsidR="00F76A63" w:rsidRDefault="00F76A63">
                  <w:pPr>
                    <w:rPr>
                      <w:szCs w:val="21"/>
                    </w:rPr>
                  </w:pPr>
                </w:p>
              </w:tc>
            </w:tr>
            <w:tr w:rsidR="00F76A63" w14:paraId="02819A20" w14:textId="77777777">
              <w:trPr>
                <w:trHeight w:val="64"/>
                <w:jc w:val="center"/>
              </w:trPr>
              <w:tc>
                <w:tcPr>
                  <w:tcW w:w="1659" w:type="dxa"/>
                  <w:tcBorders>
                    <w:top w:val="single" w:sz="4" w:space="0" w:color="auto"/>
                    <w:left w:val="nil"/>
                    <w:bottom w:val="single" w:sz="12" w:space="0" w:color="auto"/>
                    <w:right w:val="single" w:sz="4" w:space="0" w:color="auto"/>
                  </w:tcBorders>
                  <w:vAlign w:val="center"/>
                </w:tcPr>
                <w:p w14:paraId="62DA7E6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锰</w:t>
                  </w:r>
                </w:p>
              </w:tc>
              <w:tc>
                <w:tcPr>
                  <w:tcW w:w="4276" w:type="dxa"/>
                  <w:tcBorders>
                    <w:top w:val="single" w:sz="4" w:space="0" w:color="auto"/>
                    <w:left w:val="single" w:sz="4" w:space="0" w:color="auto"/>
                    <w:bottom w:val="single" w:sz="12" w:space="0" w:color="auto"/>
                    <w:right w:val="single" w:sz="4" w:space="0" w:color="auto"/>
                  </w:tcBorders>
                  <w:vAlign w:val="center"/>
                </w:tcPr>
                <w:p w14:paraId="73304068" w14:textId="77777777" w:rsidR="00F76A63" w:rsidRDefault="00000000">
                  <w:pPr>
                    <w:widowControl/>
                    <w:jc w:val="center"/>
                    <w:rPr>
                      <w:rFonts w:eastAsia="Times New Roman"/>
                      <w:szCs w:val="21"/>
                    </w:rPr>
                  </w:pPr>
                  <w:r>
                    <w:rPr>
                      <w:rFonts w:eastAsia="Times New Roman"/>
                      <w:spacing w:val="3"/>
                      <w:szCs w:val="21"/>
                    </w:rPr>
                    <w:t>600</w:t>
                  </w:r>
                </w:p>
              </w:tc>
              <w:tc>
                <w:tcPr>
                  <w:tcW w:w="2357" w:type="dxa"/>
                  <w:vMerge/>
                  <w:tcBorders>
                    <w:top w:val="nil"/>
                    <w:left w:val="single" w:sz="4" w:space="0" w:color="auto"/>
                    <w:bottom w:val="single" w:sz="12" w:space="0" w:color="auto"/>
                    <w:right w:val="nil"/>
                  </w:tcBorders>
                </w:tcPr>
                <w:p w14:paraId="1D23D3D0" w14:textId="77777777" w:rsidR="00F76A63" w:rsidRDefault="00F76A63">
                  <w:pPr>
                    <w:rPr>
                      <w:szCs w:val="21"/>
                    </w:rPr>
                  </w:pPr>
                </w:p>
              </w:tc>
            </w:tr>
          </w:tbl>
          <w:p w14:paraId="41025CA5" w14:textId="77777777" w:rsidR="00F76A63" w:rsidRDefault="00000000">
            <w:pPr>
              <w:spacing w:line="500" w:lineRule="exact"/>
              <w:jc w:val="center"/>
              <w:rPr>
                <w:b/>
                <w:bCs/>
                <w:spacing w:val="-2"/>
                <w:sz w:val="24"/>
                <w:szCs w:val="32"/>
              </w:rPr>
            </w:pPr>
            <w:r>
              <w:rPr>
                <w:b/>
                <w:bCs/>
                <w:spacing w:val="-2"/>
                <w:sz w:val="24"/>
                <w:szCs w:val="32"/>
              </w:rPr>
              <w:t>表</w:t>
            </w:r>
            <w:r>
              <w:rPr>
                <w:rFonts w:eastAsia="Times New Roman"/>
                <w:b/>
                <w:bCs/>
                <w:spacing w:val="-2"/>
                <w:sz w:val="24"/>
                <w:szCs w:val="32"/>
              </w:rPr>
              <w:t>2-</w:t>
            </w:r>
            <w:r>
              <w:rPr>
                <w:b/>
                <w:bCs/>
                <w:spacing w:val="-2"/>
                <w:sz w:val="24"/>
                <w:szCs w:val="32"/>
              </w:rPr>
              <w:t>8</w:t>
            </w:r>
            <w:r>
              <w:rPr>
                <w:rFonts w:eastAsia="Times New Roman"/>
                <w:b/>
                <w:bCs/>
                <w:spacing w:val="-2"/>
                <w:sz w:val="24"/>
                <w:szCs w:val="32"/>
              </w:rPr>
              <w:t xml:space="preserve">  </w:t>
            </w:r>
            <w:r>
              <w:rPr>
                <w:b/>
                <w:bCs/>
                <w:spacing w:val="-2"/>
                <w:sz w:val="24"/>
                <w:szCs w:val="32"/>
              </w:rPr>
              <w:t>水泥熟料中可浸出重金属含量限值</w:t>
            </w:r>
          </w:p>
          <w:tbl>
            <w:tblPr>
              <w:tblStyle w:val="TableNormal"/>
              <w:tblW w:w="8302" w:type="dxa"/>
              <w:jc w:val="center"/>
              <w:tblInd w:w="0" w:type="dxa"/>
              <w:tblBorders>
                <w:top w:val="single" w:sz="12" w:space="0" w:color="000000"/>
                <w:bottom w:val="single" w:sz="12" w:space="0" w:color="000000"/>
                <w:insideH w:val="single" w:sz="2" w:space="0" w:color="000000"/>
                <w:insideV w:val="single" w:sz="2" w:space="0" w:color="000000"/>
              </w:tblBorders>
              <w:tblLayout w:type="fixed"/>
              <w:tblLook w:val="04A0" w:firstRow="1" w:lastRow="0" w:firstColumn="1" w:lastColumn="0" w:noHBand="0" w:noVBand="1"/>
            </w:tblPr>
            <w:tblGrid>
              <w:gridCol w:w="1495"/>
              <w:gridCol w:w="4447"/>
              <w:gridCol w:w="2360"/>
            </w:tblGrid>
            <w:tr w:rsidR="00F76A63" w14:paraId="7BFF6BC5" w14:textId="77777777">
              <w:trPr>
                <w:trHeight w:val="44"/>
                <w:jc w:val="center"/>
              </w:trPr>
              <w:tc>
                <w:tcPr>
                  <w:tcW w:w="1495" w:type="dxa"/>
                  <w:tcBorders>
                    <w:tl2br w:val="nil"/>
                    <w:tr2bl w:val="nil"/>
                  </w:tcBorders>
                  <w:vAlign w:val="center"/>
                </w:tcPr>
                <w:p w14:paraId="12A9076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7"/>
                      <w:sz w:val="21"/>
                      <w:szCs w:val="21"/>
                    </w:rPr>
                    <w:t>重金属</w:t>
                  </w:r>
                </w:p>
              </w:tc>
              <w:tc>
                <w:tcPr>
                  <w:tcW w:w="4447" w:type="dxa"/>
                  <w:tcBorders>
                    <w:tl2br w:val="nil"/>
                    <w:tr2bl w:val="nil"/>
                  </w:tcBorders>
                  <w:vAlign w:val="center"/>
                </w:tcPr>
                <w:p w14:paraId="798EB72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11"/>
                      <w:sz w:val="21"/>
                      <w:szCs w:val="21"/>
                    </w:rPr>
                    <w:t>水泥熟料中可浸出重金属含量限值</w:t>
                  </w:r>
                  <w:r>
                    <w:rPr>
                      <w:rFonts w:ascii="Times New Roman" w:hAnsi="Times New Roman" w:cs="Times New Roman"/>
                      <w:b/>
                      <w:bCs/>
                      <w:color w:val="auto"/>
                      <w:spacing w:val="5"/>
                      <w:sz w:val="21"/>
                      <w:szCs w:val="21"/>
                    </w:rPr>
                    <w:t>（</w:t>
                  </w:r>
                  <w:r>
                    <w:rPr>
                      <w:rFonts w:ascii="Times New Roman" w:eastAsia="Times New Roman" w:hAnsi="Times New Roman" w:cs="Times New Roman"/>
                      <w:b/>
                      <w:bCs/>
                      <w:color w:val="auto"/>
                      <w:sz w:val="21"/>
                      <w:szCs w:val="21"/>
                    </w:rPr>
                    <w:t>mg</w:t>
                  </w:r>
                  <w:r>
                    <w:rPr>
                      <w:rFonts w:ascii="Times New Roman" w:eastAsia="Times New Roman" w:hAnsi="Times New Roman" w:cs="Times New Roman"/>
                      <w:b/>
                      <w:bCs/>
                      <w:color w:val="auto"/>
                      <w:spacing w:val="5"/>
                      <w:sz w:val="21"/>
                      <w:szCs w:val="21"/>
                    </w:rPr>
                    <w:t>/L</w:t>
                  </w:r>
                  <w:r>
                    <w:rPr>
                      <w:rFonts w:ascii="Times New Roman" w:hAnsi="Times New Roman" w:cs="Times New Roman"/>
                      <w:b/>
                      <w:bCs/>
                      <w:color w:val="auto"/>
                      <w:spacing w:val="5"/>
                      <w:sz w:val="21"/>
                      <w:szCs w:val="21"/>
                    </w:rPr>
                    <w:t>）</w:t>
                  </w:r>
                </w:p>
              </w:tc>
              <w:tc>
                <w:tcPr>
                  <w:tcW w:w="2360" w:type="dxa"/>
                  <w:tcBorders>
                    <w:tl2br w:val="nil"/>
                    <w:tr2bl w:val="nil"/>
                  </w:tcBorders>
                  <w:vAlign w:val="center"/>
                </w:tcPr>
                <w:p w14:paraId="7314B20C"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9"/>
                      <w:sz w:val="21"/>
                      <w:szCs w:val="21"/>
                    </w:rPr>
                    <w:t>数据来源</w:t>
                  </w:r>
                </w:p>
              </w:tc>
            </w:tr>
            <w:tr w:rsidR="00F76A63" w14:paraId="75B19F37" w14:textId="77777777">
              <w:trPr>
                <w:trHeight w:val="69"/>
                <w:jc w:val="center"/>
              </w:trPr>
              <w:tc>
                <w:tcPr>
                  <w:tcW w:w="1495" w:type="dxa"/>
                  <w:tcBorders>
                    <w:tl2br w:val="nil"/>
                    <w:tr2bl w:val="nil"/>
                  </w:tcBorders>
                  <w:vAlign w:val="center"/>
                </w:tcPr>
                <w:p w14:paraId="10D656A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lastRenderedPageBreak/>
                    <w:t>砷（</w:t>
                  </w:r>
                  <w:r>
                    <w:rPr>
                      <w:rFonts w:ascii="Times New Roman" w:eastAsia="Times New Roman" w:hAnsi="Times New Roman" w:cs="Times New Roman"/>
                      <w:color w:val="auto"/>
                      <w:sz w:val="21"/>
                      <w:szCs w:val="21"/>
                    </w:rPr>
                    <w:t>As</w:t>
                  </w:r>
                  <w:r>
                    <w:rPr>
                      <w:rFonts w:ascii="Times New Roman" w:hAnsi="Times New Roman" w:cs="Times New Roman"/>
                      <w:color w:val="auto"/>
                      <w:spacing w:val="10"/>
                      <w:sz w:val="21"/>
                      <w:szCs w:val="21"/>
                    </w:rPr>
                    <w:t>）</w:t>
                  </w:r>
                </w:p>
              </w:tc>
              <w:tc>
                <w:tcPr>
                  <w:tcW w:w="4447" w:type="dxa"/>
                  <w:tcBorders>
                    <w:tl2br w:val="nil"/>
                    <w:tr2bl w:val="nil"/>
                  </w:tcBorders>
                  <w:vAlign w:val="center"/>
                </w:tcPr>
                <w:p w14:paraId="09C843A1" w14:textId="77777777" w:rsidR="00F76A63" w:rsidRDefault="00000000">
                  <w:pPr>
                    <w:jc w:val="center"/>
                    <w:rPr>
                      <w:rFonts w:eastAsia="Times New Roman"/>
                      <w:szCs w:val="21"/>
                    </w:rPr>
                  </w:pPr>
                  <w:r>
                    <w:rPr>
                      <w:rFonts w:eastAsia="Times New Roman"/>
                      <w:szCs w:val="21"/>
                    </w:rPr>
                    <w:t>0.1</w:t>
                  </w:r>
                </w:p>
              </w:tc>
              <w:tc>
                <w:tcPr>
                  <w:tcW w:w="2360" w:type="dxa"/>
                  <w:vMerge w:val="restart"/>
                  <w:tcBorders>
                    <w:tl2br w:val="nil"/>
                    <w:tr2bl w:val="nil"/>
                  </w:tcBorders>
                  <w:vAlign w:val="center"/>
                </w:tcPr>
                <w:p w14:paraId="62D738F9"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《水泥窑协同处置固体废物</w:t>
                  </w:r>
                  <w:r>
                    <w:rPr>
                      <w:rFonts w:ascii="Times New Roman" w:hAnsi="Times New Roman" w:cs="Times New Roman"/>
                      <w:color w:val="auto"/>
                      <w:spacing w:val="9"/>
                      <w:sz w:val="21"/>
                      <w:szCs w:val="21"/>
                    </w:rPr>
                    <w:t>技术规范》（</w:t>
                  </w:r>
                  <w:r>
                    <w:rPr>
                      <w:rFonts w:ascii="Times New Roman" w:eastAsia="Times New Roman" w:hAnsi="Times New Roman" w:cs="Times New Roman"/>
                      <w:color w:val="auto"/>
                      <w:sz w:val="21"/>
                      <w:szCs w:val="21"/>
                    </w:rPr>
                    <w:t>GB</w:t>
                  </w:r>
                  <w:r>
                    <w:rPr>
                      <w:rFonts w:ascii="Times New Roman" w:eastAsiaTheme="minorEastAsia" w:hAnsi="Times New Roman" w:cs="Times New Roman"/>
                      <w:color w:val="auto"/>
                      <w:sz w:val="21"/>
                      <w:szCs w:val="21"/>
                    </w:rPr>
                    <w:t>/T</w:t>
                  </w:r>
                  <w:r>
                    <w:rPr>
                      <w:rFonts w:ascii="Times New Roman" w:eastAsia="Times New Roman" w:hAnsi="Times New Roman" w:cs="Times New Roman"/>
                      <w:color w:val="auto"/>
                      <w:sz w:val="21"/>
                      <w:szCs w:val="21"/>
                    </w:rPr>
                    <w:t xml:space="preserve"> </w:t>
                  </w:r>
                  <w:r>
                    <w:rPr>
                      <w:rFonts w:ascii="Times New Roman" w:eastAsia="Times New Roman" w:hAnsi="Times New Roman" w:cs="Times New Roman"/>
                      <w:color w:val="auto"/>
                      <w:spacing w:val="9"/>
                      <w:sz w:val="21"/>
                      <w:szCs w:val="21"/>
                    </w:rPr>
                    <w:t>30760-</w:t>
                  </w:r>
                  <w:r>
                    <w:rPr>
                      <w:rFonts w:ascii="Times New Roman" w:eastAsia="Times New Roman" w:hAnsi="Times New Roman" w:cs="Times New Roman"/>
                      <w:color w:val="auto"/>
                      <w:spacing w:val="4"/>
                      <w:sz w:val="21"/>
                      <w:szCs w:val="21"/>
                    </w:rPr>
                    <w:t>20</w:t>
                  </w:r>
                  <w:r>
                    <w:rPr>
                      <w:rFonts w:ascii="Times New Roman" w:eastAsiaTheme="minorEastAsia" w:hAnsi="Times New Roman" w:cs="Times New Roman"/>
                      <w:color w:val="auto"/>
                      <w:spacing w:val="4"/>
                      <w:sz w:val="21"/>
                      <w:szCs w:val="21"/>
                    </w:rPr>
                    <w:t>2</w:t>
                  </w:r>
                  <w:r>
                    <w:rPr>
                      <w:rFonts w:ascii="Times New Roman" w:eastAsia="Times New Roman" w:hAnsi="Times New Roman" w:cs="Times New Roman"/>
                      <w:color w:val="auto"/>
                      <w:spacing w:val="4"/>
                      <w:sz w:val="21"/>
                      <w:szCs w:val="21"/>
                    </w:rPr>
                    <w:t>4</w:t>
                  </w:r>
                  <w:r>
                    <w:rPr>
                      <w:rFonts w:ascii="Times New Roman" w:hAnsi="Times New Roman" w:cs="Times New Roman"/>
                      <w:color w:val="auto"/>
                      <w:spacing w:val="4"/>
                      <w:sz w:val="21"/>
                      <w:szCs w:val="21"/>
                    </w:rPr>
                    <w:t>）</w:t>
                  </w:r>
                </w:p>
              </w:tc>
            </w:tr>
            <w:tr w:rsidR="00F76A63" w14:paraId="2FB0FF2E" w14:textId="77777777">
              <w:trPr>
                <w:trHeight w:val="69"/>
                <w:jc w:val="center"/>
              </w:trPr>
              <w:tc>
                <w:tcPr>
                  <w:tcW w:w="1495" w:type="dxa"/>
                  <w:tcBorders>
                    <w:tl2br w:val="nil"/>
                    <w:tr2bl w:val="nil"/>
                  </w:tcBorders>
                  <w:vAlign w:val="center"/>
                </w:tcPr>
                <w:p w14:paraId="3A35FD5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铅（</w:t>
                  </w:r>
                  <w:r>
                    <w:rPr>
                      <w:rFonts w:ascii="Times New Roman" w:eastAsia="Times New Roman" w:hAnsi="Times New Roman" w:cs="Times New Roman"/>
                      <w:color w:val="auto"/>
                      <w:sz w:val="21"/>
                      <w:szCs w:val="21"/>
                    </w:rPr>
                    <w:t>Pb</w:t>
                  </w:r>
                  <w:r>
                    <w:rPr>
                      <w:rFonts w:ascii="Times New Roman" w:hAnsi="Times New Roman" w:cs="Times New Roman"/>
                      <w:color w:val="auto"/>
                      <w:spacing w:val="10"/>
                      <w:sz w:val="21"/>
                      <w:szCs w:val="21"/>
                    </w:rPr>
                    <w:t>）</w:t>
                  </w:r>
                </w:p>
              </w:tc>
              <w:tc>
                <w:tcPr>
                  <w:tcW w:w="4447" w:type="dxa"/>
                  <w:tcBorders>
                    <w:tl2br w:val="nil"/>
                    <w:tr2bl w:val="nil"/>
                  </w:tcBorders>
                  <w:vAlign w:val="center"/>
                </w:tcPr>
                <w:p w14:paraId="4445A057" w14:textId="77777777" w:rsidR="00F76A63" w:rsidRDefault="00000000">
                  <w:pPr>
                    <w:jc w:val="center"/>
                    <w:rPr>
                      <w:rFonts w:eastAsia="Times New Roman"/>
                      <w:szCs w:val="21"/>
                    </w:rPr>
                  </w:pPr>
                  <w:r>
                    <w:rPr>
                      <w:rFonts w:eastAsia="Times New Roman"/>
                      <w:spacing w:val="3"/>
                      <w:szCs w:val="21"/>
                    </w:rPr>
                    <w:t>0.3</w:t>
                  </w:r>
                </w:p>
              </w:tc>
              <w:tc>
                <w:tcPr>
                  <w:tcW w:w="2360" w:type="dxa"/>
                  <w:vMerge/>
                  <w:tcBorders>
                    <w:tl2br w:val="nil"/>
                    <w:tr2bl w:val="nil"/>
                  </w:tcBorders>
                  <w:vAlign w:val="center"/>
                </w:tcPr>
                <w:p w14:paraId="3E25155A" w14:textId="77777777" w:rsidR="00F76A63" w:rsidRDefault="00F76A63">
                  <w:pPr>
                    <w:jc w:val="center"/>
                    <w:rPr>
                      <w:szCs w:val="21"/>
                    </w:rPr>
                  </w:pPr>
                </w:p>
              </w:tc>
            </w:tr>
            <w:tr w:rsidR="00F76A63" w14:paraId="751C542E" w14:textId="77777777">
              <w:trPr>
                <w:trHeight w:val="69"/>
                <w:jc w:val="center"/>
              </w:trPr>
              <w:tc>
                <w:tcPr>
                  <w:tcW w:w="1495" w:type="dxa"/>
                  <w:tcBorders>
                    <w:tl2br w:val="nil"/>
                    <w:tr2bl w:val="nil"/>
                  </w:tcBorders>
                  <w:vAlign w:val="center"/>
                </w:tcPr>
                <w:p w14:paraId="343A4740"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镉（</w:t>
                  </w:r>
                  <w:r>
                    <w:rPr>
                      <w:rFonts w:ascii="Times New Roman" w:eastAsia="Times New Roman" w:hAnsi="Times New Roman" w:cs="Times New Roman"/>
                      <w:color w:val="auto"/>
                      <w:sz w:val="21"/>
                      <w:szCs w:val="21"/>
                    </w:rPr>
                    <w:t>Cd</w:t>
                  </w:r>
                  <w:r>
                    <w:rPr>
                      <w:rFonts w:ascii="Times New Roman" w:hAnsi="Times New Roman" w:cs="Times New Roman"/>
                      <w:color w:val="auto"/>
                      <w:spacing w:val="11"/>
                      <w:sz w:val="21"/>
                      <w:szCs w:val="21"/>
                    </w:rPr>
                    <w:t>）</w:t>
                  </w:r>
                </w:p>
              </w:tc>
              <w:tc>
                <w:tcPr>
                  <w:tcW w:w="4447" w:type="dxa"/>
                  <w:tcBorders>
                    <w:tl2br w:val="nil"/>
                    <w:tr2bl w:val="nil"/>
                  </w:tcBorders>
                  <w:vAlign w:val="center"/>
                </w:tcPr>
                <w:p w14:paraId="3ACC3D4A" w14:textId="77777777" w:rsidR="00F76A63" w:rsidRDefault="00000000">
                  <w:pPr>
                    <w:jc w:val="center"/>
                    <w:rPr>
                      <w:rFonts w:eastAsia="Times New Roman"/>
                      <w:szCs w:val="21"/>
                    </w:rPr>
                  </w:pPr>
                  <w:r>
                    <w:rPr>
                      <w:rFonts w:eastAsia="Times New Roman"/>
                      <w:spacing w:val="4"/>
                      <w:szCs w:val="21"/>
                    </w:rPr>
                    <w:t>0.03</w:t>
                  </w:r>
                </w:p>
              </w:tc>
              <w:tc>
                <w:tcPr>
                  <w:tcW w:w="2360" w:type="dxa"/>
                  <w:vMerge/>
                  <w:tcBorders>
                    <w:tl2br w:val="nil"/>
                    <w:tr2bl w:val="nil"/>
                  </w:tcBorders>
                  <w:vAlign w:val="center"/>
                </w:tcPr>
                <w:p w14:paraId="48580DF5" w14:textId="77777777" w:rsidR="00F76A63" w:rsidRDefault="00F76A63">
                  <w:pPr>
                    <w:jc w:val="center"/>
                    <w:rPr>
                      <w:szCs w:val="21"/>
                    </w:rPr>
                  </w:pPr>
                </w:p>
              </w:tc>
            </w:tr>
            <w:tr w:rsidR="00F76A63" w14:paraId="17D6991E" w14:textId="77777777">
              <w:trPr>
                <w:trHeight w:val="69"/>
                <w:jc w:val="center"/>
              </w:trPr>
              <w:tc>
                <w:tcPr>
                  <w:tcW w:w="1495" w:type="dxa"/>
                  <w:tcBorders>
                    <w:tl2br w:val="nil"/>
                    <w:tr2bl w:val="nil"/>
                  </w:tcBorders>
                  <w:vAlign w:val="center"/>
                </w:tcPr>
                <w:p w14:paraId="5AD6634B"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铬（</w:t>
                  </w:r>
                  <w:r>
                    <w:rPr>
                      <w:rFonts w:ascii="Times New Roman" w:eastAsia="Times New Roman" w:hAnsi="Times New Roman" w:cs="Times New Roman"/>
                      <w:color w:val="auto"/>
                      <w:sz w:val="21"/>
                      <w:szCs w:val="21"/>
                    </w:rPr>
                    <w:t>Cr</w:t>
                  </w:r>
                  <w:r>
                    <w:rPr>
                      <w:rFonts w:ascii="Times New Roman" w:hAnsi="Times New Roman" w:cs="Times New Roman"/>
                      <w:color w:val="auto"/>
                      <w:spacing w:val="10"/>
                      <w:sz w:val="21"/>
                      <w:szCs w:val="21"/>
                    </w:rPr>
                    <w:t>）</w:t>
                  </w:r>
                </w:p>
              </w:tc>
              <w:tc>
                <w:tcPr>
                  <w:tcW w:w="4447" w:type="dxa"/>
                  <w:tcBorders>
                    <w:tl2br w:val="nil"/>
                    <w:tr2bl w:val="nil"/>
                  </w:tcBorders>
                  <w:vAlign w:val="center"/>
                </w:tcPr>
                <w:p w14:paraId="6DAC1460" w14:textId="77777777" w:rsidR="00F76A63" w:rsidRDefault="00000000">
                  <w:pPr>
                    <w:jc w:val="center"/>
                    <w:rPr>
                      <w:rFonts w:eastAsia="Times New Roman"/>
                      <w:szCs w:val="21"/>
                    </w:rPr>
                  </w:pPr>
                  <w:r>
                    <w:rPr>
                      <w:rFonts w:eastAsia="Times New Roman"/>
                      <w:spacing w:val="3"/>
                      <w:szCs w:val="21"/>
                    </w:rPr>
                    <w:t>0.2</w:t>
                  </w:r>
                </w:p>
              </w:tc>
              <w:tc>
                <w:tcPr>
                  <w:tcW w:w="2360" w:type="dxa"/>
                  <w:vMerge/>
                  <w:tcBorders>
                    <w:tl2br w:val="nil"/>
                    <w:tr2bl w:val="nil"/>
                  </w:tcBorders>
                  <w:vAlign w:val="center"/>
                </w:tcPr>
                <w:p w14:paraId="7D96A8CC" w14:textId="77777777" w:rsidR="00F76A63" w:rsidRDefault="00F76A63">
                  <w:pPr>
                    <w:jc w:val="center"/>
                    <w:rPr>
                      <w:szCs w:val="21"/>
                    </w:rPr>
                  </w:pPr>
                </w:p>
              </w:tc>
            </w:tr>
            <w:tr w:rsidR="00F76A63" w14:paraId="79DD544E" w14:textId="77777777">
              <w:trPr>
                <w:trHeight w:val="69"/>
                <w:jc w:val="center"/>
              </w:trPr>
              <w:tc>
                <w:tcPr>
                  <w:tcW w:w="1495" w:type="dxa"/>
                  <w:tcBorders>
                    <w:tl2br w:val="nil"/>
                    <w:tr2bl w:val="nil"/>
                  </w:tcBorders>
                  <w:vAlign w:val="center"/>
                </w:tcPr>
                <w:p w14:paraId="1EBCC2E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铜（</w:t>
                  </w:r>
                  <w:r>
                    <w:rPr>
                      <w:rFonts w:ascii="Times New Roman" w:eastAsia="Times New Roman" w:hAnsi="Times New Roman" w:cs="Times New Roman"/>
                      <w:color w:val="auto"/>
                      <w:sz w:val="21"/>
                      <w:szCs w:val="21"/>
                    </w:rPr>
                    <w:t>Cu</w:t>
                  </w:r>
                  <w:r>
                    <w:rPr>
                      <w:rFonts w:ascii="Times New Roman" w:hAnsi="Times New Roman" w:cs="Times New Roman"/>
                      <w:color w:val="auto"/>
                      <w:spacing w:val="10"/>
                      <w:sz w:val="21"/>
                      <w:szCs w:val="21"/>
                    </w:rPr>
                    <w:t>）</w:t>
                  </w:r>
                </w:p>
              </w:tc>
              <w:tc>
                <w:tcPr>
                  <w:tcW w:w="4447" w:type="dxa"/>
                  <w:tcBorders>
                    <w:tl2br w:val="nil"/>
                    <w:tr2bl w:val="nil"/>
                  </w:tcBorders>
                  <w:vAlign w:val="center"/>
                </w:tcPr>
                <w:p w14:paraId="4A8D074E" w14:textId="77777777" w:rsidR="00F76A63" w:rsidRDefault="00000000">
                  <w:pPr>
                    <w:jc w:val="center"/>
                    <w:rPr>
                      <w:rFonts w:eastAsia="Times New Roman"/>
                      <w:szCs w:val="21"/>
                    </w:rPr>
                  </w:pPr>
                  <w:r>
                    <w:rPr>
                      <w:rFonts w:eastAsia="Times New Roman"/>
                      <w:spacing w:val="-3"/>
                      <w:szCs w:val="21"/>
                    </w:rPr>
                    <w:t>1.0</w:t>
                  </w:r>
                </w:p>
              </w:tc>
              <w:tc>
                <w:tcPr>
                  <w:tcW w:w="2360" w:type="dxa"/>
                  <w:vMerge/>
                  <w:tcBorders>
                    <w:tl2br w:val="nil"/>
                    <w:tr2bl w:val="nil"/>
                  </w:tcBorders>
                  <w:vAlign w:val="center"/>
                </w:tcPr>
                <w:p w14:paraId="1F5E25D0" w14:textId="77777777" w:rsidR="00F76A63" w:rsidRDefault="00F76A63">
                  <w:pPr>
                    <w:jc w:val="center"/>
                    <w:rPr>
                      <w:szCs w:val="21"/>
                    </w:rPr>
                  </w:pPr>
                </w:p>
              </w:tc>
            </w:tr>
            <w:tr w:rsidR="00F76A63" w14:paraId="078D0ACA" w14:textId="77777777">
              <w:trPr>
                <w:trHeight w:val="69"/>
                <w:jc w:val="center"/>
              </w:trPr>
              <w:tc>
                <w:tcPr>
                  <w:tcW w:w="1495" w:type="dxa"/>
                  <w:tcBorders>
                    <w:tl2br w:val="nil"/>
                    <w:tr2bl w:val="nil"/>
                  </w:tcBorders>
                  <w:vAlign w:val="center"/>
                </w:tcPr>
                <w:p w14:paraId="3AF839EF"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镍（</w:t>
                  </w:r>
                  <w:r>
                    <w:rPr>
                      <w:rFonts w:ascii="Times New Roman" w:eastAsia="Times New Roman" w:hAnsi="Times New Roman" w:cs="Times New Roman"/>
                      <w:color w:val="auto"/>
                      <w:sz w:val="21"/>
                      <w:szCs w:val="21"/>
                    </w:rPr>
                    <w:t>Ni</w:t>
                  </w:r>
                  <w:r>
                    <w:rPr>
                      <w:rFonts w:ascii="Times New Roman" w:hAnsi="Times New Roman" w:cs="Times New Roman"/>
                      <w:color w:val="auto"/>
                      <w:spacing w:val="10"/>
                      <w:sz w:val="21"/>
                      <w:szCs w:val="21"/>
                    </w:rPr>
                    <w:t>）</w:t>
                  </w:r>
                </w:p>
              </w:tc>
              <w:tc>
                <w:tcPr>
                  <w:tcW w:w="4447" w:type="dxa"/>
                  <w:tcBorders>
                    <w:tl2br w:val="nil"/>
                    <w:tr2bl w:val="nil"/>
                  </w:tcBorders>
                  <w:vAlign w:val="center"/>
                </w:tcPr>
                <w:p w14:paraId="5FD35A91" w14:textId="77777777" w:rsidR="00F76A63" w:rsidRDefault="00000000">
                  <w:pPr>
                    <w:jc w:val="center"/>
                    <w:rPr>
                      <w:rFonts w:eastAsia="Times New Roman"/>
                      <w:szCs w:val="21"/>
                    </w:rPr>
                  </w:pPr>
                  <w:r>
                    <w:rPr>
                      <w:rFonts w:eastAsia="Times New Roman"/>
                      <w:spacing w:val="3"/>
                      <w:szCs w:val="21"/>
                    </w:rPr>
                    <w:t>0.2</w:t>
                  </w:r>
                </w:p>
              </w:tc>
              <w:tc>
                <w:tcPr>
                  <w:tcW w:w="2360" w:type="dxa"/>
                  <w:vMerge/>
                  <w:tcBorders>
                    <w:tl2br w:val="nil"/>
                    <w:tr2bl w:val="nil"/>
                  </w:tcBorders>
                  <w:vAlign w:val="center"/>
                </w:tcPr>
                <w:p w14:paraId="4A465739" w14:textId="77777777" w:rsidR="00F76A63" w:rsidRDefault="00F76A63">
                  <w:pPr>
                    <w:jc w:val="center"/>
                    <w:rPr>
                      <w:szCs w:val="21"/>
                    </w:rPr>
                  </w:pPr>
                </w:p>
              </w:tc>
            </w:tr>
            <w:tr w:rsidR="00F76A63" w14:paraId="3F007558" w14:textId="77777777">
              <w:trPr>
                <w:trHeight w:val="69"/>
                <w:jc w:val="center"/>
              </w:trPr>
              <w:tc>
                <w:tcPr>
                  <w:tcW w:w="1495" w:type="dxa"/>
                  <w:tcBorders>
                    <w:tl2br w:val="nil"/>
                    <w:tr2bl w:val="nil"/>
                  </w:tcBorders>
                  <w:vAlign w:val="center"/>
                </w:tcPr>
                <w:p w14:paraId="48E39C22"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锌（</w:t>
                  </w:r>
                  <w:r>
                    <w:rPr>
                      <w:rFonts w:ascii="Times New Roman" w:eastAsia="Times New Roman" w:hAnsi="Times New Roman" w:cs="Times New Roman"/>
                      <w:color w:val="auto"/>
                      <w:sz w:val="21"/>
                      <w:szCs w:val="21"/>
                    </w:rPr>
                    <w:t>Zn</w:t>
                  </w:r>
                  <w:r>
                    <w:rPr>
                      <w:rFonts w:ascii="Times New Roman" w:hAnsi="Times New Roman" w:cs="Times New Roman"/>
                      <w:color w:val="auto"/>
                      <w:spacing w:val="10"/>
                      <w:sz w:val="21"/>
                      <w:szCs w:val="21"/>
                    </w:rPr>
                    <w:t>）</w:t>
                  </w:r>
                </w:p>
              </w:tc>
              <w:tc>
                <w:tcPr>
                  <w:tcW w:w="4447" w:type="dxa"/>
                  <w:tcBorders>
                    <w:tl2br w:val="nil"/>
                    <w:tr2bl w:val="nil"/>
                  </w:tcBorders>
                  <w:vAlign w:val="center"/>
                </w:tcPr>
                <w:p w14:paraId="5EE99965" w14:textId="77777777" w:rsidR="00F76A63" w:rsidRDefault="00000000">
                  <w:pPr>
                    <w:jc w:val="center"/>
                    <w:rPr>
                      <w:rFonts w:eastAsia="Times New Roman"/>
                      <w:szCs w:val="21"/>
                    </w:rPr>
                  </w:pPr>
                  <w:r>
                    <w:rPr>
                      <w:rFonts w:eastAsia="Times New Roman"/>
                      <w:spacing w:val="-3"/>
                      <w:szCs w:val="21"/>
                    </w:rPr>
                    <w:t>1.0</w:t>
                  </w:r>
                </w:p>
              </w:tc>
              <w:tc>
                <w:tcPr>
                  <w:tcW w:w="2360" w:type="dxa"/>
                  <w:vMerge/>
                  <w:tcBorders>
                    <w:tl2br w:val="nil"/>
                    <w:tr2bl w:val="nil"/>
                  </w:tcBorders>
                  <w:vAlign w:val="center"/>
                </w:tcPr>
                <w:p w14:paraId="42AE97C0" w14:textId="77777777" w:rsidR="00F76A63" w:rsidRDefault="00F76A63">
                  <w:pPr>
                    <w:jc w:val="center"/>
                    <w:rPr>
                      <w:szCs w:val="21"/>
                    </w:rPr>
                  </w:pPr>
                </w:p>
              </w:tc>
            </w:tr>
            <w:tr w:rsidR="00F76A63" w14:paraId="37704125" w14:textId="77777777">
              <w:trPr>
                <w:trHeight w:val="69"/>
                <w:jc w:val="center"/>
              </w:trPr>
              <w:tc>
                <w:tcPr>
                  <w:tcW w:w="1495" w:type="dxa"/>
                  <w:tcBorders>
                    <w:tl2br w:val="nil"/>
                    <w:tr2bl w:val="nil"/>
                  </w:tcBorders>
                  <w:vAlign w:val="center"/>
                </w:tcPr>
                <w:p w14:paraId="0FA28D9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锰（</w:t>
                  </w:r>
                  <w:r>
                    <w:rPr>
                      <w:rFonts w:ascii="Times New Roman" w:eastAsia="Times New Roman" w:hAnsi="Times New Roman" w:cs="Times New Roman"/>
                      <w:color w:val="auto"/>
                      <w:sz w:val="21"/>
                      <w:szCs w:val="21"/>
                    </w:rPr>
                    <w:t>Mn</w:t>
                  </w:r>
                  <w:r>
                    <w:rPr>
                      <w:rFonts w:ascii="Times New Roman" w:hAnsi="Times New Roman" w:cs="Times New Roman"/>
                      <w:color w:val="auto"/>
                      <w:spacing w:val="10"/>
                      <w:sz w:val="21"/>
                      <w:szCs w:val="21"/>
                    </w:rPr>
                    <w:t>）</w:t>
                  </w:r>
                </w:p>
              </w:tc>
              <w:tc>
                <w:tcPr>
                  <w:tcW w:w="4447" w:type="dxa"/>
                  <w:tcBorders>
                    <w:tl2br w:val="nil"/>
                    <w:tr2bl w:val="nil"/>
                  </w:tcBorders>
                  <w:vAlign w:val="center"/>
                </w:tcPr>
                <w:p w14:paraId="6A1E5415" w14:textId="77777777" w:rsidR="00F76A63" w:rsidRDefault="00000000">
                  <w:pPr>
                    <w:jc w:val="center"/>
                    <w:rPr>
                      <w:rFonts w:eastAsia="Times New Roman"/>
                      <w:szCs w:val="21"/>
                    </w:rPr>
                  </w:pPr>
                  <w:r>
                    <w:rPr>
                      <w:rFonts w:eastAsia="Times New Roman"/>
                      <w:spacing w:val="-3"/>
                      <w:szCs w:val="21"/>
                    </w:rPr>
                    <w:t>1.0</w:t>
                  </w:r>
                </w:p>
              </w:tc>
              <w:tc>
                <w:tcPr>
                  <w:tcW w:w="2360" w:type="dxa"/>
                  <w:vMerge/>
                  <w:tcBorders>
                    <w:tl2br w:val="nil"/>
                    <w:tr2bl w:val="nil"/>
                  </w:tcBorders>
                  <w:vAlign w:val="center"/>
                </w:tcPr>
                <w:p w14:paraId="288CAA5C" w14:textId="77777777" w:rsidR="00F76A63" w:rsidRDefault="00F76A63">
                  <w:pPr>
                    <w:jc w:val="center"/>
                    <w:rPr>
                      <w:szCs w:val="21"/>
                    </w:rPr>
                  </w:pPr>
                </w:p>
              </w:tc>
            </w:tr>
          </w:tbl>
          <w:p w14:paraId="68800B58" w14:textId="77777777" w:rsidR="00F76A63" w:rsidRDefault="00000000">
            <w:pPr>
              <w:adjustRightInd w:val="0"/>
              <w:snapToGrid w:val="0"/>
              <w:spacing w:line="500" w:lineRule="exact"/>
              <w:ind w:firstLineChars="200" w:firstLine="482"/>
              <w:jc w:val="left"/>
              <w:rPr>
                <w:b/>
                <w:sz w:val="24"/>
              </w:rPr>
            </w:pPr>
            <w:r>
              <w:rPr>
                <w:b/>
                <w:sz w:val="24"/>
              </w:rPr>
              <w:t>6</w:t>
            </w:r>
            <w:r>
              <w:rPr>
                <w:b/>
                <w:sz w:val="24"/>
              </w:rPr>
              <w:t>、</w:t>
            </w:r>
            <w:bookmarkStart w:id="70" w:name="OLE_LINK77"/>
            <w:r>
              <w:rPr>
                <w:b/>
                <w:sz w:val="24"/>
              </w:rPr>
              <w:t>原辅材料</w:t>
            </w:r>
            <w:bookmarkEnd w:id="70"/>
          </w:p>
          <w:p w14:paraId="1340262F" w14:textId="77777777" w:rsidR="00F76A63" w:rsidRDefault="00000000">
            <w:pPr>
              <w:pStyle w:val="TableText"/>
              <w:spacing w:line="500" w:lineRule="exact"/>
              <w:ind w:firstLineChars="200" w:firstLine="482"/>
              <w:jc w:val="both"/>
              <w:rPr>
                <w:rFonts w:ascii="Times New Roman" w:hAnsi="Times New Roman" w:cs="Times New Roman"/>
                <w:b/>
                <w:bCs/>
                <w:color w:val="auto"/>
              </w:rPr>
            </w:pPr>
            <w:bookmarkStart w:id="71" w:name="_Hlk219391310"/>
            <w:r>
              <w:rPr>
                <w:rFonts w:ascii="Times New Roman" w:hAnsi="Times New Roman" w:cs="Times New Roman"/>
                <w:b/>
                <w:bCs/>
                <w:color w:val="auto"/>
              </w:rPr>
              <w:t>（</w:t>
            </w:r>
            <w:r>
              <w:rPr>
                <w:rFonts w:ascii="Times New Roman" w:hAnsi="Times New Roman" w:cs="Times New Roman"/>
                <w:b/>
                <w:bCs/>
                <w:color w:val="auto"/>
              </w:rPr>
              <w:t>1</w:t>
            </w:r>
            <w:r>
              <w:rPr>
                <w:rFonts w:ascii="Times New Roman" w:hAnsi="Times New Roman" w:cs="Times New Roman"/>
                <w:b/>
                <w:bCs/>
                <w:color w:val="auto"/>
              </w:rPr>
              <w:t>）原辅料消耗情况</w:t>
            </w:r>
          </w:p>
          <w:p w14:paraId="1F058C2D" w14:textId="77777777" w:rsidR="00F76A63" w:rsidRDefault="00000000">
            <w:pPr>
              <w:pStyle w:val="TableText"/>
              <w:spacing w:line="500" w:lineRule="exact"/>
              <w:ind w:firstLineChars="200" w:firstLine="480"/>
              <w:jc w:val="both"/>
              <w:rPr>
                <w:rFonts w:ascii="Times New Roman" w:hAnsi="Times New Roman" w:cs="Times New Roman"/>
                <w:color w:val="auto"/>
              </w:rPr>
            </w:pPr>
            <w:bookmarkStart w:id="72" w:name="_Hlk219391229"/>
            <w:bookmarkEnd w:id="71"/>
            <w:r>
              <w:rPr>
                <w:rFonts w:ascii="Times New Roman" w:hAnsi="Times New Roman" w:cs="Times New Roman"/>
                <w:color w:val="auto"/>
              </w:rPr>
              <w:t>本项目在保持现有生产线水泥熟料不增产情况</w:t>
            </w:r>
            <w:r>
              <w:rPr>
                <w:rFonts w:ascii="Times New Roman" w:hAnsi="Times New Roman" w:cs="Times New Roman"/>
                <w:color w:val="auto"/>
                <w:spacing w:val="-1"/>
              </w:rPr>
              <w:t>下，协同处理污染土及污泥，对于</w:t>
            </w:r>
            <w:r>
              <w:rPr>
                <w:rFonts w:ascii="Times New Roman" w:hAnsi="Times New Roman" w:cs="Times New Roman"/>
                <w:color w:val="auto"/>
              </w:rPr>
              <w:t>入窑燃料的种类、热值等均不造成改变</w:t>
            </w:r>
            <w:r>
              <w:rPr>
                <w:rFonts w:ascii="Times New Roman" w:hAnsi="Times New Roman" w:cs="Times New Roman"/>
                <w:color w:val="auto"/>
                <w:spacing w:val="-1"/>
              </w:rPr>
              <w:t>，入窑后的污染土和污泥替代原料中的砂岩和湿粉煤灰</w:t>
            </w:r>
            <w:r>
              <w:rPr>
                <w:rFonts w:ascii="Times New Roman" w:hAnsi="Times New Roman" w:cs="Times New Roman"/>
                <w:color w:val="auto"/>
              </w:rPr>
              <w:t>，协同处置前后项目主要原辅材料消耗情况见表</w:t>
            </w:r>
            <w:r>
              <w:rPr>
                <w:rFonts w:ascii="Times New Roman" w:hAnsi="Times New Roman" w:cs="Times New Roman"/>
                <w:color w:val="auto"/>
              </w:rPr>
              <w:t>2-9</w:t>
            </w:r>
            <w:r>
              <w:rPr>
                <w:rFonts w:ascii="Times New Roman" w:hAnsi="Times New Roman" w:cs="Times New Roman"/>
                <w:color w:val="auto"/>
              </w:rPr>
              <w:t>。</w:t>
            </w:r>
          </w:p>
          <w:p w14:paraId="671FA178" w14:textId="77777777" w:rsidR="0097066E" w:rsidRPr="0097066E" w:rsidRDefault="0097066E" w:rsidP="0097066E">
            <w:pPr>
              <w:spacing w:line="500" w:lineRule="exact"/>
              <w:jc w:val="center"/>
              <w:rPr>
                <w:b/>
                <w:i/>
                <w:iCs/>
                <w:sz w:val="24"/>
              </w:rPr>
            </w:pPr>
            <w:r w:rsidRPr="0097066E">
              <w:rPr>
                <w:rFonts w:hint="eastAsia"/>
                <w:b/>
                <w:i/>
                <w:iCs/>
                <w:sz w:val="24"/>
              </w:rPr>
              <w:t>（涉密已删除）</w:t>
            </w:r>
          </w:p>
          <w:p w14:paraId="11E84B35" w14:textId="77777777" w:rsidR="00F76A63" w:rsidRDefault="00000000" w:rsidP="0097066E">
            <w:pPr>
              <w:spacing w:line="500" w:lineRule="exact"/>
              <w:rPr>
                <w:b/>
                <w:bCs/>
                <w:sz w:val="24"/>
              </w:rPr>
            </w:pPr>
            <w:bookmarkStart w:id="73" w:name="_Hlk219391283"/>
            <w:bookmarkEnd w:id="72"/>
            <w:r>
              <w:rPr>
                <w:b/>
                <w:bCs/>
                <w:sz w:val="24"/>
              </w:rPr>
              <w:t>（</w:t>
            </w:r>
            <w:r>
              <w:rPr>
                <w:b/>
                <w:bCs/>
                <w:sz w:val="24"/>
              </w:rPr>
              <w:t>2</w:t>
            </w:r>
            <w:r>
              <w:rPr>
                <w:b/>
                <w:bCs/>
                <w:sz w:val="24"/>
              </w:rPr>
              <w:t>）原辅料组分分析</w:t>
            </w:r>
          </w:p>
          <w:p w14:paraId="1799E5D5" w14:textId="77777777" w:rsidR="00F76A63" w:rsidRDefault="00000000">
            <w:pPr>
              <w:spacing w:line="500" w:lineRule="exact"/>
              <w:ind w:firstLineChars="200" w:firstLine="480"/>
              <w:rPr>
                <w:sz w:val="24"/>
              </w:rPr>
            </w:pPr>
            <w:r>
              <w:rPr>
                <w:sz w:val="24"/>
              </w:rPr>
              <w:t>根据建设单位提供的化验检测数据，原料替代后工程原料及替代原料常规成分分析见表</w:t>
            </w:r>
            <w:r>
              <w:rPr>
                <w:sz w:val="24"/>
              </w:rPr>
              <w:t>2-10</w:t>
            </w:r>
            <w:r>
              <w:rPr>
                <w:sz w:val="24"/>
              </w:rPr>
              <w:t>，</w:t>
            </w:r>
            <w:r>
              <w:rPr>
                <w:sz w:val="24"/>
              </w:rPr>
              <w:t>1#</w:t>
            </w:r>
            <w:r>
              <w:rPr>
                <w:sz w:val="24"/>
              </w:rPr>
              <w:t>线物料重金属成分分析见表</w:t>
            </w:r>
            <w:r>
              <w:rPr>
                <w:sz w:val="24"/>
              </w:rPr>
              <w:t>2-11</w:t>
            </w:r>
            <w:r>
              <w:rPr>
                <w:sz w:val="24"/>
              </w:rPr>
              <w:t>，</w:t>
            </w:r>
            <w:r>
              <w:rPr>
                <w:sz w:val="24"/>
              </w:rPr>
              <w:t>2#</w:t>
            </w:r>
            <w:r>
              <w:rPr>
                <w:sz w:val="24"/>
              </w:rPr>
              <w:t>线物料重金属成分分析见表</w:t>
            </w:r>
            <w:r>
              <w:rPr>
                <w:sz w:val="24"/>
              </w:rPr>
              <w:t>2-12</w:t>
            </w:r>
            <w:r>
              <w:rPr>
                <w:sz w:val="24"/>
              </w:rPr>
              <w:t>。</w:t>
            </w:r>
          </w:p>
          <w:p w14:paraId="0612CAFD" w14:textId="77777777" w:rsidR="00F76A63" w:rsidRDefault="00000000">
            <w:pPr>
              <w:spacing w:line="500" w:lineRule="exact"/>
              <w:jc w:val="center"/>
              <w:rPr>
                <w:b/>
                <w:sz w:val="24"/>
              </w:rPr>
            </w:pPr>
            <w:r>
              <w:rPr>
                <w:b/>
                <w:sz w:val="24"/>
              </w:rPr>
              <w:t>表</w:t>
            </w:r>
            <w:r>
              <w:rPr>
                <w:b/>
                <w:sz w:val="24"/>
              </w:rPr>
              <w:t xml:space="preserve">2-10  </w:t>
            </w:r>
            <w:r>
              <w:rPr>
                <w:b/>
                <w:sz w:val="24"/>
              </w:rPr>
              <w:t>本项目</w:t>
            </w:r>
            <w:bookmarkStart w:id="74" w:name="OLE_LINK24"/>
            <w:r>
              <w:rPr>
                <w:b/>
                <w:sz w:val="24"/>
              </w:rPr>
              <w:t>工程原料及替代原料常规成分</w:t>
            </w:r>
            <w:bookmarkEnd w:id="74"/>
            <w:r>
              <w:rPr>
                <w:b/>
                <w:sz w:val="24"/>
              </w:rPr>
              <w:t>分析表（单位：</w:t>
            </w:r>
            <w:r>
              <w:rPr>
                <w:b/>
                <w:sz w:val="24"/>
              </w:rPr>
              <w:t>%</w:t>
            </w:r>
            <w:r>
              <w:rPr>
                <w:b/>
                <w:sz w:val="24"/>
              </w:rPr>
              <w:t>）</w:t>
            </w:r>
          </w:p>
          <w:bookmarkEnd w:id="73"/>
          <w:p w14:paraId="7A35307B" w14:textId="77777777" w:rsidR="0097066E" w:rsidRPr="0097066E" w:rsidRDefault="0097066E" w:rsidP="0097066E">
            <w:pPr>
              <w:jc w:val="center"/>
              <w:rPr>
                <w:b/>
                <w:i/>
                <w:iCs/>
                <w:sz w:val="24"/>
              </w:rPr>
            </w:pPr>
            <w:r w:rsidRPr="0097066E">
              <w:rPr>
                <w:b/>
                <w:i/>
                <w:iCs/>
                <w:sz w:val="24"/>
              </w:rPr>
              <w:t>（涉密已删除）</w:t>
            </w:r>
          </w:p>
          <w:p w14:paraId="09C81977" w14:textId="77777777" w:rsidR="00F76A63" w:rsidRDefault="00F76A63">
            <w:pPr>
              <w:jc w:val="left"/>
              <w:rPr>
                <w:b/>
                <w:sz w:val="24"/>
              </w:rPr>
            </w:pPr>
          </w:p>
        </w:tc>
      </w:tr>
      <w:bookmarkEnd w:id="55"/>
    </w:tbl>
    <w:p w14:paraId="0FA93BC7" w14:textId="77777777" w:rsidR="00F76A63" w:rsidRDefault="00F76A63">
      <w:pPr>
        <w:sectPr w:rsidR="00F76A63">
          <w:pgSz w:w="11906" w:h="16838"/>
          <w:pgMar w:top="1701" w:right="1531" w:bottom="1701" w:left="1531" w:header="851" w:footer="851" w:gutter="0"/>
          <w:cols w:space="720"/>
          <w:docGrid w:linePitch="312"/>
        </w:sectPr>
      </w:pPr>
    </w:p>
    <w:tbl>
      <w:tblPr>
        <w:tblStyle w:val="afffd"/>
        <w:tblW w:w="0" w:type="auto"/>
        <w:jc w:val="center"/>
        <w:tblLook w:val="04A0" w:firstRow="1" w:lastRow="0" w:firstColumn="1" w:lastColumn="0" w:noHBand="0" w:noVBand="1"/>
      </w:tblPr>
      <w:tblGrid>
        <w:gridCol w:w="562"/>
        <w:gridCol w:w="12864"/>
      </w:tblGrid>
      <w:tr w:rsidR="00F76A63" w14:paraId="04329808" w14:textId="77777777">
        <w:trPr>
          <w:jc w:val="center"/>
        </w:trPr>
        <w:tc>
          <w:tcPr>
            <w:tcW w:w="562" w:type="dxa"/>
            <w:vAlign w:val="center"/>
          </w:tcPr>
          <w:p w14:paraId="6A670912" w14:textId="77777777" w:rsidR="00F76A63" w:rsidRDefault="00000000">
            <w:pPr>
              <w:jc w:val="center"/>
            </w:pPr>
            <w:r>
              <w:rPr>
                <w:b/>
                <w:bCs/>
              </w:rPr>
              <w:lastRenderedPageBreak/>
              <w:t>建设内容</w:t>
            </w:r>
          </w:p>
        </w:tc>
        <w:tc>
          <w:tcPr>
            <w:tcW w:w="12864" w:type="dxa"/>
            <w:vAlign w:val="center"/>
          </w:tcPr>
          <w:p w14:paraId="0DD3F832" w14:textId="77777777" w:rsidR="00F76A63" w:rsidRDefault="00000000">
            <w:pPr>
              <w:jc w:val="center"/>
              <w:rPr>
                <w:b/>
                <w:sz w:val="24"/>
              </w:rPr>
            </w:pPr>
            <w:bookmarkStart w:id="75" w:name="_Hlk219391415"/>
            <w:r>
              <w:rPr>
                <w:b/>
                <w:sz w:val="24"/>
              </w:rPr>
              <w:t>表</w:t>
            </w:r>
            <w:r>
              <w:rPr>
                <w:b/>
                <w:sz w:val="24"/>
              </w:rPr>
              <w:t>2-11  1#</w:t>
            </w:r>
            <w:r>
              <w:rPr>
                <w:b/>
                <w:sz w:val="24"/>
              </w:rPr>
              <w:t>线物料重金属成分分析表（单位：</w:t>
            </w:r>
            <w:r>
              <w:rPr>
                <w:b/>
                <w:sz w:val="24"/>
              </w:rPr>
              <w:t>mg/kg</w:t>
            </w:r>
            <w:r>
              <w:rPr>
                <w:b/>
                <w:sz w:val="24"/>
              </w:rPr>
              <w:t>）</w:t>
            </w:r>
          </w:p>
          <w:p w14:paraId="6E62023E" w14:textId="77777777" w:rsidR="0097066E" w:rsidRPr="0097066E" w:rsidRDefault="0097066E" w:rsidP="0097066E">
            <w:pPr>
              <w:jc w:val="center"/>
              <w:rPr>
                <w:b/>
                <w:i/>
                <w:iCs/>
                <w:sz w:val="24"/>
              </w:rPr>
            </w:pPr>
            <w:r w:rsidRPr="0097066E">
              <w:rPr>
                <w:b/>
                <w:i/>
                <w:iCs/>
                <w:sz w:val="24"/>
              </w:rPr>
              <w:t>（涉密已删除）</w:t>
            </w:r>
          </w:p>
          <w:p w14:paraId="2488A981" w14:textId="77777777" w:rsidR="00F76A63" w:rsidRDefault="00000000">
            <w:pPr>
              <w:spacing w:line="500" w:lineRule="exact"/>
              <w:ind w:firstLineChars="200" w:firstLine="482"/>
              <w:jc w:val="center"/>
              <w:rPr>
                <w:b/>
                <w:sz w:val="24"/>
              </w:rPr>
            </w:pPr>
            <w:r>
              <w:rPr>
                <w:b/>
                <w:sz w:val="24"/>
              </w:rPr>
              <w:t>表</w:t>
            </w:r>
            <w:r>
              <w:rPr>
                <w:b/>
                <w:sz w:val="24"/>
              </w:rPr>
              <w:t>2-12  2#</w:t>
            </w:r>
            <w:r>
              <w:rPr>
                <w:b/>
                <w:sz w:val="24"/>
              </w:rPr>
              <w:t>线物料重金属成分分析表（单位：</w:t>
            </w:r>
            <w:r>
              <w:rPr>
                <w:b/>
                <w:sz w:val="24"/>
              </w:rPr>
              <w:t>mg/kg</w:t>
            </w:r>
            <w:r>
              <w:rPr>
                <w:b/>
                <w:sz w:val="24"/>
              </w:rPr>
              <w:t>）</w:t>
            </w:r>
          </w:p>
          <w:bookmarkEnd w:id="75"/>
          <w:p w14:paraId="4651E984" w14:textId="77777777" w:rsidR="0097066E" w:rsidRPr="0097066E" w:rsidRDefault="0097066E" w:rsidP="0097066E">
            <w:pPr>
              <w:jc w:val="center"/>
              <w:rPr>
                <w:b/>
                <w:i/>
                <w:iCs/>
              </w:rPr>
            </w:pPr>
            <w:r w:rsidRPr="0097066E">
              <w:rPr>
                <w:b/>
                <w:i/>
                <w:iCs/>
              </w:rPr>
              <w:t>（涉密已删除）</w:t>
            </w:r>
          </w:p>
          <w:p w14:paraId="692E690F" w14:textId="77777777" w:rsidR="00F76A63" w:rsidRPr="0097066E" w:rsidRDefault="00F76A63">
            <w:pPr>
              <w:jc w:val="center"/>
            </w:pPr>
          </w:p>
          <w:p w14:paraId="34815EBC" w14:textId="77777777" w:rsidR="00F76A63" w:rsidRDefault="00F76A63">
            <w:pPr>
              <w:jc w:val="center"/>
            </w:pPr>
          </w:p>
          <w:p w14:paraId="621C168E" w14:textId="77777777" w:rsidR="00F76A63" w:rsidRDefault="00F76A63">
            <w:pPr>
              <w:jc w:val="center"/>
            </w:pPr>
          </w:p>
          <w:p w14:paraId="6A9A31A1" w14:textId="77777777" w:rsidR="00F76A63" w:rsidRDefault="00F76A63">
            <w:pPr>
              <w:jc w:val="center"/>
            </w:pPr>
          </w:p>
          <w:p w14:paraId="386EEAD8" w14:textId="77777777" w:rsidR="00F76A63" w:rsidRDefault="00F76A63">
            <w:pPr>
              <w:jc w:val="center"/>
            </w:pPr>
          </w:p>
          <w:p w14:paraId="123435E4" w14:textId="77777777" w:rsidR="00F76A63" w:rsidRDefault="00F76A63">
            <w:pPr>
              <w:jc w:val="center"/>
            </w:pPr>
          </w:p>
          <w:p w14:paraId="78042200" w14:textId="77777777" w:rsidR="00F76A63" w:rsidRDefault="00F76A63">
            <w:pPr>
              <w:jc w:val="center"/>
            </w:pPr>
          </w:p>
          <w:p w14:paraId="5199405A" w14:textId="77777777" w:rsidR="00F76A63" w:rsidRDefault="00F76A63">
            <w:pPr>
              <w:jc w:val="center"/>
            </w:pPr>
          </w:p>
          <w:p w14:paraId="7F469B54" w14:textId="77777777" w:rsidR="00F76A63" w:rsidRDefault="00F76A63">
            <w:pPr>
              <w:jc w:val="center"/>
            </w:pPr>
          </w:p>
          <w:p w14:paraId="52C1CF2A" w14:textId="77777777" w:rsidR="00F76A63" w:rsidRDefault="00F76A63">
            <w:pPr>
              <w:jc w:val="center"/>
            </w:pPr>
          </w:p>
          <w:p w14:paraId="70355C97" w14:textId="77777777" w:rsidR="00F76A63" w:rsidRDefault="00F76A63">
            <w:pPr>
              <w:jc w:val="center"/>
            </w:pPr>
          </w:p>
          <w:p w14:paraId="4A2E00FE" w14:textId="77777777" w:rsidR="00F76A63" w:rsidRDefault="00F76A63">
            <w:pPr>
              <w:jc w:val="center"/>
            </w:pPr>
          </w:p>
          <w:p w14:paraId="61E8FF17" w14:textId="77777777" w:rsidR="00F76A63" w:rsidRDefault="00F76A63">
            <w:pPr>
              <w:jc w:val="center"/>
            </w:pPr>
          </w:p>
          <w:p w14:paraId="428F07FF" w14:textId="77777777" w:rsidR="00F76A63" w:rsidRDefault="00F76A63">
            <w:pPr>
              <w:jc w:val="center"/>
            </w:pPr>
          </w:p>
        </w:tc>
      </w:tr>
    </w:tbl>
    <w:p w14:paraId="23FF2EF1" w14:textId="77777777" w:rsidR="00F76A63" w:rsidRDefault="00F76A63">
      <w:pPr>
        <w:sectPr w:rsidR="00F76A63">
          <w:pgSz w:w="16838" w:h="11906" w:orient="landscape"/>
          <w:pgMar w:top="1531" w:right="1701" w:bottom="1531" w:left="1701" w:header="851" w:footer="851" w:gutter="0"/>
          <w:cols w:space="720"/>
          <w:docGrid w:linePitch="312"/>
        </w:sectPr>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21"/>
        <w:gridCol w:w="8403"/>
      </w:tblGrid>
      <w:tr w:rsidR="00F76A63" w14:paraId="2BEF5440" w14:textId="77777777">
        <w:trPr>
          <w:trHeight w:val="8549"/>
          <w:jc w:val="center"/>
        </w:trPr>
        <w:tc>
          <w:tcPr>
            <w:tcW w:w="421" w:type="dxa"/>
            <w:vAlign w:val="center"/>
          </w:tcPr>
          <w:p w14:paraId="0FB8AAB2" w14:textId="77777777" w:rsidR="00F76A63" w:rsidRDefault="00000000">
            <w:pPr>
              <w:adjustRightInd w:val="0"/>
              <w:snapToGrid w:val="0"/>
              <w:jc w:val="center"/>
              <w:rPr>
                <w:b/>
                <w:bCs/>
              </w:rPr>
            </w:pPr>
            <w:r>
              <w:rPr>
                <w:b/>
                <w:bCs/>
              </w:rPr>
              <w:lastRenderedPageBreak/>
              <w:t>建设内容</w:t>
            </w:r>
          </w:p>
        </w:tc>
        <w:tc>
          <w:tcPr>
            <w:tcW w:w="8403" w:type="dxa"/>
            <w:tcBorders>
              <w:bottom w:val="single" w:sz="12" w:space="0" w:color="auto"/>
            </w:tcBorders>
          </w:tcPr>
          <w:p w14:paraId="3A792BA8" w14:textId="77777777" w:rsidR="00F76A63" w:rsidRDefault="00000000">
            <w:pPr>
              <w:adjustRightInd w:val="0"/>
              <w:snapToGrid w:val="0"/>
              <w:spacing w:line="500" w:lineRule="exact"/>
              <w:ind w:firstLineChars="200" w:firstLine="482"/>
              <w:jc w:val="left"/>
              <w:rPr>
                <w:b/>
                <w:sz w:val="24"/>
              </w:rPr>
            </w:pPr>
            <w:r>
              <w:rPr>
                <w:b/>
                <w:sz w:val="24"/>
              </w:rPr>
              <w:t>7</w:t>
            </w:r>
            <w:r>
              <w:rPr>
                <w:b/>
                <w:sz w:val="24"/>
              </w:rPr>
              <w:t>、设备情况</w:t>
            </w:r>
          </w:p>
          <w:p w14:paraId="558CA053" w14:textId="77777777" w:rsidR="00F76A63" w:rsidRDefault="00000000">
            <w:pPr>
              <w:pStyle w:val="TableText"/>
              <w:spacing w:line="500" w:lineRule="exact"/>
              <w:ind w:firstLineChars="200" w:firstLine="476"/>
              <w:rPr>
                <w:rFonts w:ascii="Times New Roman" w:hAnsi="Times New Roman" w:cs="Times New Roman"/>
                <w:color w:val="auto"/>
              </w:rPr>
            </w:pPr>
            <w:bookmarkStart w:id="76" w:name="_Hlk219391473"/>
            <w:r>
              <w:rPr>
                <w:rFonts w:ascii="Times New Roman" w:hAnsi="Times New Roman" w:cs="Times New Roman"/>
                <w:color w:val="auto"/>
                <w:spacing w:val="-1"/>
              </w:rPr>
              <w:t>本项目不新增设备，所有设备均依托现有，回转窑系统涉及的主要设备如下，</w:t>
            </w:r>
            <w:r>
              <w:rPr>
                <w:rFonts w:ascii="Times New Roman" w:hAnsi="Times New Roman" w:cs="Times New Roman"/>
                <w:color w:val="auto"/>
                <w:spacing w:val="-2"/>
              </w:rPr>
              <w:t>一期</w:t>
            </w:r>
            <w:r>
              <w:rPr>
                <w:rFonts w:ascii="Times New Roman" w:eastAsia="Times New Roman" w:hAnsi="Times New Roman" w:cs="Times New Roman"/>
                <w:color w:val="auto"/>
                <w:spacing w:val="-2"/>
              </w:rPr>
              <w:t>1#</w:t>
            </w:r>
            <w:r>
              <w:rPr>
                <w:rFonts w:ascii="Times New Roman" w:hAnsi="Times New Roman" w:cs="Times New Roman"/>
                <w:color w:val="auto"/>
                <w:spacing w:val="-2"/>
              </w:rPr>
              <w:t>熟料生产线主要设备情况见表</w:t>
            </w:r>
            <w:r>
              <w:rPr>
                <w:rFonts w:ascii="Times New Roman" w:hAnsi="Times New Roman" w:cs="Times New Roman"/>
                <w:color w:val="auto"/>
                <w:spacing w:val="-2"/>
              </w:rPr>
              <w:t>2-13</w:t>
            </w:r>
            <w:r>
              <w:rPr>
                <w:rFonts w:ascii="Times New Roman" w:hAnsi="Times New Roman" w:cs="Times New Roman"/>
                <w:color w:val="auto"/>
                <w:spacing w:val="-2"/>
              </w:rPr>
              <w:t>，二期</w:t>
            </w:r>
            <w:r>
              <w:rPr>
                <w:rFonts w:ascii="Times New Roman" w:eastAsiaTheme="minorEastAsia" w:hAnsi="Times New Roman" w:cs="Times New Roman"/>
                <w:color w:val="auto"/>
                <w:spacing w:val="-2"/>
              </w:rPr>
              <w:t>2</w:t>
            </w:r>
            <w:r>
              <w:rPr>
                <w:rFonts w:ascii="Times New Roman" w:eastAsia="Times New Roman" w:hAnsi="Times New Roman" w:cs="Times New Roman"/>
                <w:color w:val="auto"/>
                <w:spacing w:val="-2"/>
              </w:rPr>
              <w:t>#</w:t>
            </w:r>
            <w:r>
              <w:rPr>
                <w:rFonts w:ascii="Times New Roman" w:hAnsi="Times New Roman" w:cs="Times New Roman"/>
                <w:color w:val="auto"/>
                <w:spacing w:val="-2"/>
              </w:rPr>
              <w:t>熟料生产线主要设备情况见表</w:t>
            </w:r>
            <w:r>
              <w:rPr>
                <w:rFonts w:ascii="Times New Roman" w:hAnsi="Times New Roman" w:cs="Times New Roman"/>
                <w:color w:val="auto"/>
                <w:spacing w:val="-2"/>
              </w:rPr>
              <w:t>2-14</w:t>
            </w:r>
            <w:r>
              <w:rPr>
                <w:rFonts w:ascii="Times New Roman" w:hAnsi="Times New Roman" w:cs="Times New Roman"/>
                <w:color w:val="auto"/>
                <w:spacing w:val="-2"/>
              </w:rPr>
              <w:t>。</w:t>
            </w:r>
          </w:p>
          <w:bookmarkEnd w:id="76"/>
          <w:p w14:paraId="0EEF7742" w14:textId="77777777" w:rsidR="00F76A63" w:rsidRDefault="00000000">
            <w:pPr>
              <w:spacing w:line="500" w:lineRule="exact"/>
              <w:jc w:val="center"/>
              <w:rPr>
                <w:b/>
                <w:sz w:val="24"/>
              </w:rPr>
            </w:pPr>
            <w:r>
              <w:rPr>
                <w:b/>
                <w:sz w:val="24"/>
              </w:rPr>
              <w:t>表</w:t>
            </w:r>
            <w:r>
              <w:rPr>
                <w:b/>
                <w:sz w:val="24"/>
              </w:rPr>
              <w:t xml:space="preserve">2-13  </w:t>
            </w:r>
            <w:bookmarkStart w:id="77" w:name="_Hlk200895473"/>
            <w:r>
              <w:rPr>
                <w:b/>
                <w:sz w:val="24"/>
              </w:rPr>
              <w:t>一期</w:t>
            </w:r>
            <w:r>
              <w:rPr>
                <w:b/>
                <w:sz w:val="24"/>
              </w:rPr>
              <w:t>1#</w:t>
            </w:r>
            <w:r>
              <w:rPr>
                <w:b/>
                <w:sz w:val="24"/>
              </w:rPr>
              <w:t>熟料生产线主要设备一览表</w:t>
            </w:r>
            <w:bookmarkEnd w:id="77"/>
          </w:p>
          <w:p w14:paraId="4E58F62F" w14:textId="77777777" w:rsidR="0097066E" w:rsidRPr="0097066E" w:rsidRDefault="0097066E" w:rsidP="0097066E">
            <w:pPr>
              <w:spacing w:line="500" w:lineRule="exact"/>
              <w:jc w:val="center"/>
              <w:rPr>
                <w:b/>
                <w:i/>
                <w:iCs/>
                <w:sz w:val="24"/>
              </w:rPr>
            </w:pPr>
            <w:r w:rsidRPr="0097066E">
              <w:rPr>
                <w:b/>
                <w:i/>
                <w:iCs/>
                <w:sz w:val="24"/>
              </w:rPr>
              <w:t>（涉密已删除）</w:t>
            </w:r>
          </w:p>
          <w:p w14:paraId="68D2E0A6" w14:textId="77777777" w:rsidR="00F76A63" w:rsidRDefault="00000000">
            <w:pPr>
              <w:spacing w:line="500" w:lineRule="exact"/>
              <w:jc w:val="center"/>
              <w:rPr>
                <w:b/>
                <w:sz w:val="24"/>
              </w:rPr>
            </w:pPr>
            <w:r>
              <w:rPr>
                <w:b/>
                <w:sz w:val="24"/>
              </w:rPr>
              <w:t>表</w:t>
            </w:r>
            <w:r>
              <w:rPr>
                <w:b/>
                <w:sz w:val="24"/>
              </w:rPr>
              <w:t xml:space="preserve">2-14  </w:t>
            </w:r>
            <w:r>
              <w:rPr>
                <w:b/>
                <w:sz w:val="24"/>
              </w:rPr>
              <w:t>二期</w:t>
            </w:r>
            <w:r>
              <w:rPr>
                <w:b/>
                <w:sz w:val="24"/>
              </w:rPr>
              <w:t>2#</w:t>
            </w:r>
            <w:r>
              <w:rPr>
                <w:b/>
                <w:sz w:val="24"/>
              </w:rPr>
              <w:t>熟料生产线主要设备一览表</w:t>
            </w:r>
          </w:p>
          <w:p w14:paraId="099A833E" w14:textId="77777777" w:rsidR="0097066E" w:rsidRPr="0097066E" w:rsidRDefault="0097066E" w:rsidP="0097066E">
            <w:pPr>
              <w:spacing w:line="500" w:lineRule="exact"/>
              <w:jc w:val="center"/>
              <w:rPr>
                <w:b/>
                <w:i/>
                <w:iCs/>
                <w:sz w:val="24"/>
              </w:rPr>
            </w:pPr>
            <w:r w:rsidRPr="0097066E">
              <w:rPr>
                <w:b/>
                <w:i/>
                <w:iCs/>
                <w:sz w:val="24"/>
              </w:rPr>
              <w:t>（涉密已删除）</w:t>
            </w:r>
          </w:p>
          <w:p w14:paraId="62A715A9" w14:textId="77777777" w:rsidR="00F76A63" w:rsidRDefault="00000000">
            <w:pPr>
              <w:adjustRightInd w:val="0"/>
              <w:snapToGrid w:val="0"/>
              <w:spacing w:line="500" w:lineRule="exact"/>
              <w:ind w:firstLineChars="200" w:firstLine="482"/>
              <w:jc w:val="left"/>
              <w:rPr>
                <w:b/>
                <w:sz w:val="24"/>
              </w:rPr>
            </w:pPr>
            <w:bookmarkStart w:id="78" w:name="OLE_LINK1"/>
            <w:r>
              <w:rPr>
                <w:b/>
                <w:sz w:val="24"/>
              </w:rPr>
              <w:t>8</w:t>
            </w:r>
            <w:r>
              <w:rPr>
                <w:b/>
                <w:sz w:val="24"/>
              </w:rPr>
              <w:t>、物料平衡</w:t>
            </w:r>
          </w:p>
          <w:p w14:paraId="3EF6E935" w14:textId="77777777" w:rsidR="00F76A63" w:rsidRDefault="00000000">
            <w:pPr>
              <w:adjustRightInd w:val="0"/>
              <w:snapToGrid w:val="0"/>
              <w:spacing w:line="500" w:lineRule="exact"/>
              <w:ind w:firstLineChars="200" w:firstLine="480"/>
              <w:rPr>
                <w:bCs/>
                <w:sz w:val="24"/>
              </w:rPr>
            </w:pPr>
            <w:bookmarkStart w:id="79" w:name="OLE_LINK65"/>
            <w:r>
              <w:rPr>
                <w:bCs/>
                <w:sz w:val="24"/>
              </w:rPr>
              <w:t>本项目新增协同处置污染土</w:t>
            </w:r>
            <w:r>
              <w:rPr>
                <w:bCs/>
                <w:sz w:val="24"/>
              </w:rPr>
              <w:t>5</w:t>
            </w:r>
            <w:r>
              <w:rPr>
                <w:bCs/>
                <w:sz w:val="24"/>
              </w:rPr>
              <w:t>万</w:t>
            </w:r>
            <w:r>
              <w:rPr>
                <w:bCs/>
                <w:sz w:val="24"/>
              </w:rPr>
              <w:t>t/a</w:t>
            </w:r>
            <w:r>
              <w:rPr>
                <w:bCs/>
                <w:sz w:val="24"/>
              </w:rPr>
              <w:t>，污泥</w:t>
            </w:r>
            <w:r>
              <w:rPr>
                <w:bCs/>
                <w:sz w:val="24"/>
              </w:rPr>
              <w:t>5</w:t>
            </w:r>
            <w:r>
              <w:rPr>
                <w:bCs/>
                <w:sz w:val="24"/>
              </w:rPr>
              <w:t>万</w:t>
            </w:r>
            <w:r>
              <w:rPr>
                <w:bCs/>
                <w:sz w:val="24"/>
              </w:rPr>
              <w:t>t/a</w:t>
            </w:r>
            <w:r>
              <w:rPr>
                <w:bCs/>
                <w:sz w:val="24"/>
              </w:rPr>
              <w:t>，污染土主要用于替代生料中的砂岩、污泥替代生料中的湿粉煤灰成分，基本为</w:t>
            </w:r>
            <w:r>
              <w:rPr>
                <w:bCs/>
                <w:sz w:val="24"/>
              </w:rPr>
              <w:t>1</w:t>
            </w:r>
            <w:r>
              <w:rPr>
                <w:bCs/>
                <w:sz w:val="24"/>
              </w:rPr>
              <w:t>：</w:t>
            </w:r>
            <w:r>
              <w:rPr>
                <w:bCs/>
                <w:sz w:val="24"/>
              </w:rPr>
              <w:t>1</w:t>
            </w:r>
            <w:r>
              <w:rPr>
                <w:bCs/>
                <w:sz w:val="24"/>
              </w:rPr>
              <w:t>替代，污染土及污泥全部入窑处置，约占水泥窑入窑生料量</w:t>
            </w:r>
            <w:r>
              <w:rPr>
                <w:rFonts w:hint="eastAsia"/>
                <w:bCs/>
                <w:sz w:val="24"/>
              </w:rPr>
              <w:t>2.9</w:t>
            </w:r>
            <w:r>
              <w:rPr>
                <w:bCs/>
                <w:sz w:val="24"/>
              </w:rPr>
              <w:t>%</w:t>
            </w:r>
            <w:r>
              <w:rPr>
                <w:bCs/>
                <w:sz w:val="24"/>
              </w:rPr>
              <w:t>，不会引起水泥熟料原料大的变化。本项目协同处置后不增加水泥熟料产能，不涉及后端水泥生产线变化，整个水泥窑系统物料消耗基本维持在原有水平，本次工程分析以新增协同处置</w:t>
            </w:r>
            <w:r>
              <w:rPr>
                <w:bCs/>
                <w:sz w:val="24"/>
              </w:rPr>
              <w:t>5</w:t>
            </w:r>
            <w:r>
              <w:rPr>
                <w:bCs/>
                <w:sz w:val="24"/>
              </w:rPr>
              <w:t>万</w:t>
            </w:r>
            <w:r>
              <w:rPr>
                <w:bCs/>
                <w:sz w:val="24"/>
              </w:rPr>
              <w:t>t/a</w:t>
            </w:r>
            <w:r>
              <w:rPr>
                <w:bCs/>
                <w:sz w:val="24"/>
              </w:rPr>
              <w:t>污染土及</w:t>
            </w:r>
            <w:r>
              <w:rPr>
                <w:bCs/>
                <w:sz w:val="24"/>
              </w:rPr>
              <w:t>5</w:t>
            </w:r>
            <w:r>
              <w:rPr>
                <w:bCs/>
                <w:sz w:val="24"/>
              </w:rPr>
              <w:t>万</w:t>
            </w:r>
            <w:r>
              <w:rPr>
                <w:bCs/>
                <w:sz w:val="24"/>
              </w:rPr>
              <w:t>t/a</w:t>
            </w:r>
            <w:r>
              <w:rPr>
                <w:bCs/>
                <w:sz w:val="24"/>
              </w:rPr>
              <w:t>污泥后整个生产线涉及的物料进行重新分析，分析内容包含全厂已批已建及已批建项目，重新分析后</w:t>
            </w:r>
            <w:r>
              <w:rPr>
                <w:bCs/>
                <w:sz w:val="24"/>
              </w:rPr>
              <w:t>1#</w:t>
            </w:r>
            <w:r>
              <w:rPr>
                <w:bCs/>
                <w:sz w:val="24"/>
              </w:rPr>
              <w:t>熟料线及</w:t>
            </w:r>
            <w:r>
              <w:rPr>
                <w:bCs/>
                <w:sz w:val="24"/>
              </w:rPr>
              <w:t>2#</w:t>
            </w:r>
            <w:r>
              <w:rPr>
                <w:bCs/>
                <w:sz w:val="24"/>
              </w:rPr>
              <w:t>熟料线总物料平衡见表</w:t>
            </w:r>
            <w:r>
              <w:rPr>
                <w:bCs/>
                <w:sz w:val="24"/>
              </w:rPr>
              <w:t>2-15</w:t>
            </w:r>
            <w:r>
              <w:rPr>
                <w:bCs/>
                <w:sz w:val="24"/>
              </w:rPr>
              <w:t>及表</w:t>
            </w:r>
            <w:r>
              <w:rPr>
                <w:bCs/>
                <w:sz w:val="24"/>
              </w:rPr>
              <w:t>2-16</w:t>
            </w:r>
            <w:r>
              <w:rPr>
                <w:bCs/>
                <w:sz w:val="24"/>
              </w:rPr>
              <w:t>。</w:t>
            </w:r>
            <w:bookmarkEnd w:id="78"/>
          </w:p>
          <w:bookmarkEnd w:id="79"/>
          <w:p w14:paraId="215D76EA" w14:textId="77777777" w:rsidR="00F76A63" w:rsidRDefault="00F76A63">
            <w:pPr>
              <w:adjustRightInd w:val="0"/>
              <w:snapToGrid w:val="0"/>
              <w:spacing w:line="500" w:lineRule="exact"/>
              <w:ind w:firstLineChars="200" w:firstLine="480"/>
              <w:jc w:val="left"/>
              <w:rPr>
                <w:bCs/>
                <w:sz w:val="24"/>
              </w:rPr>
            </w:pPr>
          </w:p>
          <w:p w14:paraId="19A7AEA0" w14:textId="77777777" w:rsidR="00F76A63" w:rsidRDefault="00F76A63">
            <w:pPr>
              <w:adjustRightInd w:val="0"/>
              <w:snapToGrid w:val="0"/>
              <w:spacing w:line="500" w:lineRule="exact"/>
              <w:ind w:firstLineChars="200" w:firstLine="480"/>
              <w:jc w:val="left"/>
              <w:rPr>
                <w:bCs/>
                <w:sz w:val="24"/>
              </w:rPr>
            </w:pPr>
          </w:p>
          <w:p w14:paraId="50E2EBC4" w14:textId="77777777" w:rsidR="00F76A63" w:rsidRDefault="00F76A63">
            <w:pPr>
              <w:adjustRightInd w:val="0"/>
              <w:snapToGrid w:val="0"/>
              <w:spacing w:line="500" w:lineRule="exact"/>
              <w:ind w:firstLineChars="200" w:firstLine="480"/>
              <w:jc w:val="left"/>
              <w:rPr>
                <w:bCs/>
                <w:sz w:val="24"/>
              </w:rPr>
            </w:pPr>
          </w:p>
          <w:p w14:paraId="2C7BAE86" w14:textId="77777777" w:rsidR="00F76A63" w:rsidRDefault="00F76A63">
            <w:pPr>
              <w:adjustRightInd w:val="0"/>
              <w:snapToGrid w:val="0"/>
              <w:spacing w:line="500" w:lineRule="exact"/>
              <w:ind w:firstLineChars="200" w:firstLine="480"/>
              <w:jc w:val="left"/>
              <w:rPr>
                <w:bCs/>
                <w:sz w:val="24"/>
              </w:rPr>
            </w:pPr>
          </w:p>
          <w:p w14:paraId="1FE308DF" w14:textId="77777777" w:rsidR="00F76A63" w:rsidRDefault="00F76A63">
            <w:pPr>
              <w:adjustRightInd w:val="0"/>
              <w:snapToGrid w:val="0"/>
              <w:spacing w:line="500" w:lineRule="exact"/>
              <w:ind w:firstLineChars="200" w:firstLine="480"/>
              <w:jc w:val="left"/>
              <w:rPr>
                <w:bCs/>
                <w:sz w:val="24"/>
              </w:rPr>
            </w:pPr>
          </w:p>
          <w:p w14:paraId="63D823B5" w14:textId="77777777" w:rsidR="00F76A63" w:rsidRDefault="00F76A63">
            <w:pPr>
              <w:adjustRightInd w:val="0"/>
              <w:snapToGrid w:val="0"/>
              <w:spacing w:line="500" w:lineRule="exact"/>
              <w:ind w:firstLineChars="200" w:firstLine="480"/>
              <w:jc w:val="left"/>
              <w:rPr>
                <w:bCs/>
                <w:sz w:val="24"/>
              </w:rPr>
            </w:pPr>
          </w:p>
          <w:p w14:paraId="75DEC8A4" w14:textId="77777777" w:rsidR="00F76A63" w:rsidRDefault="00F76A63">
            <w:pPr>
              <w:adjustRightInd w:val="0"/>
              <w:snapToGrid w:val="0"/>
              <w:spacing w:line="500" w:lineRule="exact"/>
              <w:ind w:firstLineChars="200" w:firstLine="480"/>
              <w:jc w:val="left"/>
              <w:rPr>
                <w:bCs/>
                <w:sz w:val="24"/>
              </w:rPr>
            </w:pPr>
          </w:p>
          <w:p w14:paraId="7EC43F60" w14:textId="77777777" w:rsidR="00F76A63" w:rsidRDefault="00F76A63">
            <w:pPr>
              <w:adjustRightInd w:val="0"/>
              <w:snapToGrid w:val="0"/>
              <w:spacing w:line="500" w:lineRule="exact"/>
              <w:ind w:firstLineChars="200" w:firstLine="480"/>
              <w:jc w:val="left"/>
              <w:rPr>
                <w:bCs/>
                <w:sz w:val="24"/>
              </w:rPr>
            </w:pPr>
          </w:p>
          <w:p w14:paraId="5BFD9FFB" w14:textId="77777777" w:rsidR="00F76A63" w:rsidRDefault="00F76A63" w:rsidP="0097066E">
            <w:pPr>
              <w:adjustRightInd w:val="0"/>
              <w:snapToGrid w:val="0"/>
              <w:spacing w:line="500" w:lineRule="exact"/>
              <w:jc w:val="left"/>
              <w:rPr>
                <w:bCs/>
                <w:sz w:val="24"/>
              </w:rPr>
            </w:pPr>
          </w:p>
        </w:tc>
      </w:tr>
    </w:tbl>
    <w:p w14:paraId="177FDC97" w14:textId="77777777" w:rsidR="00F76A63" w:rsidRDefault="00F76A63">
      <w:pPr>
        <w:sectPr w:rsidR="00F76A63">
          <w:pgSz w:w="11906" w:h="16838"/>
          <w:pgMar w:top="1701" w:right="1531" w:bottom="1701" w:left="1531" w:header="851" w:footer="851" w:gutter="0"/>
          <w:cols w:space="720"/>
          <w:docGrid w:linePitch="312"/>
        </w:sectPr>
      </w:pPr>
    </w:p>
    <w:tbl>
      <w:tblPr>
        <w:tblStyle w:val="afffd"/>
        <w:tblW w:w="0" w:type="auto"/>
        <w:jc w:val="center"/>
        <w:tblLook w:val="04A0" w:firstRow="1" w:lastRow="0" w:firstColumn="1" w:lastColumn="0" w:noHBand="0" w:noVBand="1"/>
      </w:tblPr>
      <w:tblGrid>
        <w:gridCol w:w="562"/>
        <w:gridCol w:w="12864"/>
      </w:tblGrid>
      <w:tr w:rsidR="00F76A63" w14:paraId="361E3A19" w14:textId="77777777">
        <w:trPr>
          <w:jc w:val="center"/>
        </w:trPr>
        <w:tc>
          <w:tcPr>
            <w:tcW w:w="562" w:type="dxa"/>
            <w:vAlign w:val="center"/>
          </w:tcPr>
          <w:p w14:paraId="1F3E4F52" w14:textId="77777777" w:rsidR="00F76A63" w:rsidRDefault="00000000">
            <w:pPr>
              <w:jc w:val="center"/>
            </w:pPr>
            <w:bookmarkStart w:id="80" w:name="OLE_LINK17"/>
            <w:r>
              <w:rPr>
                <w:b/>
                <w:bCs/>
              </w:rPr>
              <w:lastRenderedPageBreak/>
              <w:t>建设内容</w:t>
            </w:r>
          </w:p>
        </w:tc>
        <w:tc>
          <w:tcPr>
            <w:tcW w:w="12864" w:type="dxa"/>
            <w:vAlign w:val="center"/>
          </w:tcPr>
          <w:p w14:paraId="3475B4B0" w14:textId="77777777" w:rsidR="00F76A63" w:rsidRDefault="00000000">
            <w:pPr>
              <w:adjustRightInd w:val="0"/>
              <w:snapToGrid w:val="0"/>
              <w:spacing w:line="500" w:lineRule="exact"/>
              <w:ind w:firstLineChars="200" w:firstLine="482"/>
              <w:jc w:val="center"/>
              <w:rPr>
                <w:b/>
                <w:bCs/>
                <w:sz w:val="24"/>
              </w:rPr>
            </w:pPr>
            <w:r>
              <w:rPr>
                <w:b/>
                <w:bCs/>
                <w:sz w:val="24"/>
              </w:rPr>
              <w:t>表</w:t>
            </w:r>
            <w:r>
              <w:rPr>
                <w:b/>
                <w:bCs/>
                <w:sz w:val="24"/>
              </w:rPr>
              <w:t>2-15  1#5000t/d</w:t>
            </w:r>
            <w:r>
              <w:rPr>
                <w:b/>
                <w:bCs/>
                <w:sz w:val="24"/>
              </w:rPr>
              <w:t>熟料线水泥窑协同处置后总物料平衡表</w:t>
            </w:r>
          </w:p>
          <w:p w14:paraId="675BB9DE" w14:textId="77777777" w:rsidR="0097066E" w:rsidRPr="0097066E" w:rsidRDefault="0097066E" w:rsidP="0097066E">
            <w:pPr>
              <w:adjustRightInd w:val="0"/>
              <w:snapToGrid w:val="0"/>
              <w:spacing w:line="500" w:lineRule="exact"/>
              <w:ind w:firstLineChars="200" w:firstLine="482"/>
              <w:jc w:val="center"/>
              <w:rPr>
                <w:b/>
                <w:i/>
                <w:iCs/>
                <w:sz w:val="24"/>
              </w:rPr>
            </w:pPr>
            <w:r w:rsidRPr="0097066E">
              <w:rPr>
                <w:b/>
                <w:i/>
                <w:iCs/>
                <w:sz w:val="24"/>
              </w:rPr>
              <w:t>（涉密已删除）</w:t>
            </w:r>
          </w:p>
          <w:p w14:paraId="789B87D1" w14:textId="77777777" w:rsidR="00F76A63" w:rsidRDefault="00000000">
            <w:pPr>
              <w:adjustRightInd w:val="0"/>
              <w:snapToGrid w:val="0"/>
              <w:spacing w:line="500" w:lineRule="exact"/>
              <w:ind w:firstLineChars="200" w:firstLine="482"/>
              <w:jc w:val="center"/>
              <w:rPr>
                <w:b/>
                <w:sz w:val="24"/>
              </w:rPr>
            </w:pPr>
            <w:r>
              <w:rPr>
                <w:b/>
                <w:bCs/>
                <w:sz w:val="24"/>
              </w:rPr>
              <w:t>表</w:t>
            </w:r>
            <w:r>
              <w:rPr>
                <w:b/>
                <w:bCs/>
                <w:sz w:val="24"/>
              </w:rPr>
              <w:t>2-16  2#6000t/d</w:t>
            </w:r>
            <w:r>
              <w:rPr>
                <w:b/>
                <w:bCs/>
                <w:sz w:val="24"/>
              </w:rPr>
              <w:t>熟料线水泥窑协同处置后总物料平衡表</w:t>
            </w:r>
          </w:p>
          <w:p w14:paraId="0CD1F88A" w14:textId="77777777" w:rsidR="0097066E" w:rsidRPr="0097066E" w:rsidRDefault="0097066E" w:rsidP="0097066E">
            <w:pPr>
              <w:jc w:val="center"/>
              <w:rPr>
                <w:b/>
                <w:i/>
                <w:iCs/>
              </w:rPr>
            </w:pPr>
            <w:bookmarkStart w:id="81" w:name="_Hlk192518098"/>
            <w:r w:rsidRPr="0097066E">
              <w:rPr>
                <w:b/>
                <w:i/>
                <w:iCs/>
              </w:rPr>
              <w:t>（涉密已删除）</w:t>
            </w:r>
          </w:p>
          <w:p w14:paraId="277E8E1F" w14:textId="77777777" w:rsidR="00F76A63" w:rsidRDefault="00F76A63">
            <w:pPr>
              <w:jc w:val="center"/>
            </w:pPr>
          </w:p>
          <w:bookmarkEnd w:id="81"/>
          <w:p w14:paraId="3D1F0A76" w14:textId="77777777" w:rsidR="00F76A63" w:rsidRDefault="00F76A63">
            <w:pPr>
              <w:jc w:val="center"/>
            </w:pPr>
          </w:p>
          <w:p w14:paraId="6AE12A7B" w14:textId="77777777" w:rsidR="00F76A63" w:rsidRDefault="00F76A63">
            <w:pPr>
              <w:jc w:val="center"/>
            </w:pPr>
          </w:p>
          <w:p w14:paraId="5B2793D0" w14:textId="77777777" w:rsidR="00F76A63" w:rsidRDefault="00F76A63">
            <w:pPr>
              <w:jc w:val="center"/>
            </w:pPr>
          </w:p>
          <w:p w14:paraId="185E7865" w14:textId="77777777" w:rsidR="00F76A63" w:rsidRDefault="00F76A63">
            <w:pPr>
              <w:jc w:val="center"/>
            </w:pPr>
          </w:p>
          <w:p w14:paraId="7B3D6865" w14:textId="77777777" w:rsidR="00F76A63" w:rsidRDefault="00F76A63">
            <w:pPr>
              <w:jc w:val="center"/>
            </w:pPr>
          </w:p>
          <w:p w14:paraId="7DDAE33F" w14:textId="77777777" w:rsidR="00F76A63" w:rsidRDefault="00F76A63">
            <w:pPr>
              <w:jc w:val="center"/>
            </w:pPr>
          </w:p>
          <w:p w14:paraId="514CF221" w14:textId="77777777" w:rsidR="00F76A63" w:rsidRDefault="00F76A63">
            <w:pPr>
              <w:jc w:val="center"/>
            </w:pPr>
          </w:p>
          <w:p w14:paraId="0FF1BAC7" w14:textId="77777777" w:rsidR="00F76A63" w:rsidRDefault="00F76A63">
            <w:pPr>
              <w:jc w:val="center"/>
            </w:pPr>
          </w:p>
          <w:p w14:paraId="47970F27" w14:textId="77777777" w:rsidR="00F76A63" w:rsidRDefault="00F76A63">
            <w:pPr>
              <w:jc w:val="center"/>
            </w:pPr>
          </w:p>
          <w:p w14:paraId="092D211D" w14:textId="77777777" w:rsidR="00F76A63" w:rsidRDefault="00F76A63">
            <w:pPr>
              <w:jc w:val="center"/>
            </w:pPr>
          </w:p>
          <w:p w14:paraId="235C1620" w14:textId="77777777" w:rsidR="00F76A63" w:rsidRDefault="00F76A63">
            <w:pPr>
              <w:jc w:val="center"/>
            </w:pPr>
          </w:p>
          <w:p w14:paraId="1EC99322" w14:textId="77777777" w:rsidR="00F76A63" w:rsidRDefault="00F76A63">
            <w:pPr>
              <w:jc w:val="center"/>
            </w:pPr>
          </w:p>
        </w:tc>
      </w:tr>
      <w:bookmarkEnd w:id="80"/>
    </w:tbl>
    <w:p w14:paraId="40A79425" w14:textId="77777777" w:rsidR="00F76A63" w:rsidRDefault="00F76A63">
      <w:pPr>
        <w:sectPr w:rsidR="00F76A63">
          <w:pgSz w:w="16838" w:h="11906" w:orient="landscape"/>
          <w:pgMar w:top="1531" w:right="1701" w:bottom="1531" w:left="1701" w:header="851" w:footer="851" w:gutter="0"/>
          <w:cols w:space="720"/>
          <w:docGrid w:linePitch="312"/>
        </w:sectPr>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222"/>
        <w:gridCol w:w="209"/>
        <w:gridCol w:w="8393"/>
      </w:tblGrid>
      <w:tr w:rsidR="00F76A63" w14:paraId="53A0BCD3" w14:textId="77777777">
        <w:trPr>
          <w:trHeight w:val="15121"/>
          <w:jc w:val="center"/>
        </w:trPr>
        <w:tc>
          <w:tcPr>
            <w:tcW w:w="222" w:type="dxa"/>
            <w:vAlign w:val="center"/>
          </w:tcPr>
          <w:p w14:paraId="77EB18B8" w14:textId="77777777" w:rsidR="00F76A63" w:rsidRDefault="00F76A63">
            <w:pPr>
              <w:adjustRightInd w:val="0"/>
              <w:snapToGrid w:val="0"/>
              <w:jc w:val="center"/>
              <w:rPr>
                <w:b/>
                <w:bCs/>
              </w:rPr>
            </w:pPr>
          </w:p>
        </w:tc>
        <w:tc>
          <w:tcPr>
            <w:tcW w:w="8602" w:type="dxa"/>
            <w:gridSpan w:val="2"/>
            <w:tcBorders>
              <w:bottom w:val="single" w:sz="12" w:space="0" w:color="auto"/>
            </w:tcBorders>
          </w:tcPr>
          <w:p w14:paraId="11203D6A" w14:textId="77777777" w:rsidR="00F76A63" w:rsidRDefault="00000000">
            <w:pPr>
              <w:adjustRightInd w:val="0"/>
              <w:snapToGrid w:val="0"/>
              <w:spacing w:line="500" w:lineRule="exact"/>
              <w:ind w:firstLineChars="200" w:firstLine="482"/>
              <w:jc w:val="left"/>
              <w:rPr>
                <w:b/>
                <w:sz w:val="24"/>
              </w:rPr>
            </w:pPr>
            <w:r>
              <w:rPr>
                <w:b/>
                <w:sz w:val="24"/>
              </w:rPr>
              <w:t>9</w:t>
            </w:r>
            <w:r>
              <w:rPr>
                <w:b/>
                <w:sz w:val="24"/>
              </w:rPr>
              <w:t>、元素平衡</w:t>
            </w:r>
          </w:p>
          <w:p w14:paraId="1CE0B4A5" w14:textId="77777777" w:rsidR="00F76A63" w:rsidRDefault="00000000">
            <w:pPr>
              <w:adjustRightInd w:val="0"/>
              <w:snapToGrid w:val="0"/>
              <w:spacing w:line="500" w:lineRule="exact"/>
              <w:ind w:firstLineChars="200" w:firstLine="482"/>
              <w:rPr>
                <w:b/>
                <w:sz w:val="24"/>
              </w:rPr>
            </w:pPr>
            <w:r>
              <w:rPr>
                <w:b/>
                <w:sz w:val="24"/>
              </w:rPr>
              <w:t>（</w:t>
            </w:r>
            <w:r>
              <w:rPr>
                <w:b/>
                <w:sz w:val="24"/>
              </w:rPr>
              <w:t>1</w:t>
            </w:r>
            <w:r>
              <w:rPr>
                <w:b/>
                <w:sz w:val="24"/>
              </w:rPr>
              <w:t>）重金属元素平衡</w:t>
            </w:r>
          </w:p>
          <w:p w14:paraId="737EED10" w14:textId="77777777" w:rsidR="00F76A63" w:rsidRDefault="00000000">
            <w:pPr>
              <w:adjustRightInd w:val="0"/>
              <w:snapToGrid w:val="0"/>
              <w:spacing w:line="500" w:lineRule="exact"/>
              <w:ind w:firstLineChars="200" w:firstLine="482"/>
              <w:rPr>
                <w:b/>
                <w:sz w:val="24"/>
              </w:rPr>
            </w:pPr>
            <w:r>
              <w:rPr>
                <w:b/>
                <w:sz w:val="24"/>
              </w:rPr>
              <w:t>1</w:t>
            </w:r>
            <w:r>
              <w:rPr>
                <w:b/>
                <w:sz w:val="24"/>
              </w:rPr>
              <w:t>）元素平衡</w:t>
            </w:r>
          </w:p>
          <w:p w14:paraId="675977D2" w14:textId="77777777" w:rsidR="00F76A63" w:rsidRDefault="00000000">
            <w:pPr>
              <w:adjustRightInd w:val="0"/>
              <w:snapToGrid w:val="0"/>
              <w:spacing w:line="500" w:lineRule="exact"/>
              <w:ind w:firstLineChars="200" w:firstLine="480"/>
              <w:rPr>
                <w:bCs/>
                <w:sz w:val="24"/>
              </w:rPr>
            </w:pPr>
            <w:r>
              <w:rPr>
                <w:bCs/>
                <w:sz w:val="24"/>
              </w:rPr>
              <w:t>根据《水泥窑协同处置固体废物污染控制标准》（</w:t>
            </w:r>
            <w:r>
              <w:rPr>
                <w:bCs/>
                <w:sz w:val="24"/>
              </w:rPr>
              <w:t>GB30485-2013</w:t>
            </w:r>
            <w:r>
              <w:rPr>
                <w:bCs/>
                <w:sz w:val="24"/>
              </w:rPr>
              <w:t>）编制说明，水泥生产所需的常规原燃料和固体废物带入窑内的重金属在窑内部分随烟气排入大气，部分进入熟料，部分在窑内不断循环。根据重金属的挥发特性，可将其分为不挥发、半挥发、易挥发和高挥发等四类。具体分类情况见下表。</w:t>
            </w:r>
          </w:p>
          <w:p w14:paraId="6E569A9D" w14:textId="77777777" w:rsidR="00F76A63" w:rsidRDefault="00000000">
            <w:pPr>
              <w:adjustRightInd w:val="0"/>
              <w:snapToGrid w:val="0"/>
              <w:spacing w:line="500" w:lineRule="exact"/>
              <w:jc w:val="center"/>
              <w:rPr>
                <w:b/>
                <w:bCs/>
                <w:sz w:val="24"/>
              </w:rPr>
            </w:pPr>
            <w:r>
              <w:rPr>
                <w:b/>
                <w:bCs/>
                <w:sz w:val="24"/>
              </w:rPr>
              <w:t>表</w:t>
            </w:r>
            <w:r>
              <w:rPr>
                <w:b/>
                <w:bCs/>
                <w:sz w:val="24"/>
              </w:rPr>
              <w:t xml:space="preserve">2-17  </w:t>
            </w:r>
            <w:r>
              <w:rPr>
                <w:b/>
                <w:bCs/>
                <w:sz w:val="24"/>
              </w:rPr>
              <w:t>各元素在水泥窑内的挥发性分级</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063"/>
              <w:gridCol w:w="3528"/>
              <w:gridCol w:w="2795"/>
            </w:tblGrid>
            <w:tr w:rsidR="00F76A63" w14:paraId="5A0A0FD7" w14:textId="77777777">
              <w:trPr>
                <w:jc w:val="center"/>
              </w:trPr>
              <w:tc>
                <w:tcPr>
                  <w:tcW w:w="2014" w:type="dxa"/>
                  <w:vAlign w:val="center"/>
                </w:tcPr>
                <w:p w14:paraId="0B766563" w14:textId="77777777" w:rsidR="00F76A63" w:rsidRDefault="00000000">
                  <w:pPr>
                    <w:adjustRightInd w:val="0"/>
                    <w:snapToGrid w:val="0"/>
                    <w:jc w:val="center"/>
                    <w:rPr>
                      <w:b/>
                      <w:szCs w:val="21"/>
                    </w:rPr>
                  </w:pPr>
                  <w:r>
                    <w:rPr>
                      <w:b/>
                      <w:szCs w:val="21"/>
                    </w:rPr>
                    <w:t>等级</w:t>
                  </w:r>
                </w:p>
              </w:tc>
              <w:tc>
                <w:tcPr>
                  <w:tcW w:w="3444" w:type="dxa"/>
                  <w:vAlign w:val="center"/>
                </w:tcPr>
                <w:p w14:paraId="581C2D41" w14:textId="77777777" w:rsidR="00F76A63" w:rsidRDefault="00000000">
                  <w:pPr>
                    <w:adjustRightInd w:val="0"/>
                    <w:snapToGrid w:val="0"/>
                    <w:jc w:val="center"/>
                    <w:rPr>
                      <w:b/>
                      <w:szCs w:val="21"/>
                    </w:rPr>
                  </w:pPr>
                  <w:r>
                    <w:rPr>
                      <w:b/>
                      <w:szCs w:val="21"/>
                    </w:rPr>
                    <w:t>元素</w:t>
                  </w:r>
                </w:p>
              </w:tc>
              <w:tc>
                <w:tcPr>
                  <w:tcW w:w="2729" w:type="dxa"/>
                  <w:vAlign w:val="center"/>
                </w:tcPr>
                <w:p w14:paraId="4C00E97C" w14:textId="77777777" w:rsidR="00F76A63" w:rsidRDefault="00000000">
                  <w:pPr>
                    <w:adjustRightInd w:val="0"/>
                    <w:snapToGrid w:val="0"/>
                    <w:jc w:val="center"/>
                    <w:rPr>
                      <w:b/>
                      <w:szCs w:val="21"/>
                    </w:rPr>
                  </w:pPr>
                  <w:r>
                    <w:rPr>
                      <w:b/>
                      <w:szCs w:val="21"/>
                    </w:rPr>
                    <w:t>冷凝温度（</w:t>
                  </w:r>
                  <w:r>
                    <w:rPr>
                      <w:b/>
                      <w:szCs w:val="21"/>
                    </w:rPr>
                    <w:t>℃</w:t>
                  </w:r>
                  <w:r>
                    <w:rPr>
                      <w:b/>
                      <w:szCs w:val="21"/>
                    </w:rPr>
                    <w:t>）</w:t>
                  </w:r>
                </w:p>
              </w:tc>
            </w:tr>
            <w:tr w:rsidR="00F76A63" w14:paraId="00817240" w14:textId="77777777">
              <w:trPr>
                <w:trHeight w:val="431"/>
                <w:jc w:val="center"/>
              </w:trPr>
              <w:tc>
                <w:tcPr>
                  <w:tcW w:w="2014" w:type="dxa"/>
                  <w:vAlign w:val="center"/>
                </w:tcPr>
                <w:p w14:paraId="4F0E841F" w14:textId="77777777" w:rsidR="00F76A63" w:rsidRDefault="00000000">
                  <w:pPr>
                    <w:adjustRightInd w:val="0"/>
                    <w:snapToGrid w:val="0"/>
                    <w:jc w:val="center"/>
                    <w:rPr>
                      <w:bCs/>
                      <w:szCs w:val="21"/>
                    </w:rPr>
                  </w:pPr>
                  <w:r>
                    <w:rPr>
                      <w:bCs/>
                      <w:szCs w:val="21"/>
                    </w:rPr>
                    <w:t>不挥发</w:t>
                  </w:r>
                </w:p>
              </w:tc>
              <w:tc>
                <w:tcPr>
                  <w:tcW w:w="3444" w:type="dxa"/>
                  <w:vAlign w:val="center"/>
                </w:tcPr>
                <w:p w14:paraId="7AEF6B01" w14:textId="77777777" w:rsidR="00F76A63" w:rsidRDefault="00000000">
                  <w:pPr>
                    <w:adjustRightInd w:val="0"/>
                    <w:snapToGrid w:val="0"/>
                    <w:jc w:val="center"/>
                    <w:rPr>
                      <w:bCs/>
                      <w:szCs w:val="21"/>
                    </w:rPr>
                  </w:pPr>
                  <w:r>
                    <w:rPr>
                      <w:bCs/>
                      <w:szCs w:val="21"/>
                    </w:rPr>
                    <w:t>Ba</w:t>
                  </w:r>
                  <w:r>
                    <w:rPr>
                      <w:bCs/>
                      <w:szCs w:val="21"/>
                    </w:rPr>
                    <w:t>，</w:t>
                  </w:r>
                  <w:r>
                    <w:rPr>
                      <w:bCs/>
                      <w:szCs w:val="21"/>
                    </w:rPr>
                    <w:t>Be</w:t>
                  </w:r>
                  <w:r>
                    <w:rPr>
                      <w:bCs/>
                      <w:szCs w:val="21"/>
                    </w:rPr>
                    <w:t>，</w:t>
                  </w:r>
                  <w:r>
                    <w:rPr>
                      <w:bCs/>
                      <w:szCs w:val="21"/>
                    </w:rPr>
                    <w:t>Cr</w:t>
                  </w:r>
                  <w:r>
                    <w:rPr>
                      <w:bCs/>
                      <w:szCs w:val="21"/>
                    </w:rPr>
                    <w:t>，</w:t>
                  </w:r>
                  <w:r>
                    <w:rPr>
                      <w:bCs/>
                      <w:szCs w:val="21"/>
                    </w:rPr>
                    <w:t>Ni</w:t>
                  </w:r>
                  <w:r>
                    <w:rPr>
                      <w:bCs/>
                      <w:szCs w:val="21"/>
                    </w:rPr>
                    <w:t>，</w:t>
                  </w:r>
                  <w:r>
                    <w:rPr>
                      <w:bCs/>
                      <w:szCs w:val="21"/>
                    </w:rPr>
                    <w:t>V</w:t>
                  </w:r>
                  <w:r>
                    <w:rPr>
                      <w:bCs/>
                      <w:szCs w:val="21"/>
                    </w:rPr>
                    <w:t>，</w:t>
                  </w:r>
                  <w:r>
                    <w:rPr>
                      <w:bCs/>
                      <w:szCs w:val="21"/>
                    </w:rPr>
                    <w:t>Al</w:t>
                  </w:r>
                  <w:r>
                    <w:rPr>
                      <w:bCs/>
                      <w:szCs w:val="21"/>
                    </w:rPr>
                    <w:t>，</w:t>
                  </w:r>
                  <w:r>
                    <w:rPr>
                      <w:bCs/>
                      <w:szCs w:val="21"/>
                    </w:rPr>
                    <w:t>Ti</w:t>
                  </w:r>
                  <w:r>
                    <w:rPr>
                      <w:bCs/>
                      <w:szCs w:val="21"/>
                    </w:rPr>
                    <w:t>，</w:t>
                  </w:r>
                  <w:r>
                    <w:rPr>
                      <w:bCs/>
                      <w:szCs w:val="21"/>
                    </w:rPr>
                    <w:t>Ca</w:t>
                  </w:r>
                  <w:r>
                    <w:rPr>
                      <w:bCs/>
                      <w:szCs w:val="21"/>
                    </w:rPr>
                    <w:t>，</w:t>
                  </w:r>
                  <w:r>
                    <w:rPr>
                      <w:bCs/>
                      <w:szCs w:val="21"/>
                    </w:rPr>
                    <w:t>Fe</w:t>
                  </w:r>
                  <w:r>
                    <w:rPr>
                      <w:bCs/>
                      <w:szCs w:val="21"/>
                    </w:rPr>
                    <w:t>，</w:t>
                  </w:r>
                  <w:r>
                    <w:rPr>
                      <w:bCs/>
                      <w:szCs w:val="21"/>
                    </w:rPr>
                    <w:t>Mn</w:t>
                  </w:r>
                  <w:r>
                    <w:rPr>
                      <w:bCs/>
                      <w:szCs w:val="21"/>
                    </w:rPr>
                    <w:t>，</w:t>
                  </w:r>
                  <w:r>
                    <w:rPr>
                      <w:bCs/>
                      <w:szCs w:val="21"/>
                    </w:rPr>
                    <w:t>Cu</w:t>
                  </w:r>
                  <w:r>
                    <w:rPr>
                      <w:bCs/>
                      <w:szCs w:val="21"/>
                    </w:rPr>
                    <w:t>，</w:t>
                  </w:r>
                  <w:r>
                    <w:rPr>
                      <w:bCs/>
                      <w:szCs w:val="21"/>
                    </w:rPr>
                    <w:t>Ag</w:t>
                  </w:r>
                </w:p>
              </w:tc>
              <w:tc>
                <w:tcPr>
                  <w:tcW w:w="2729" w:type="dxa"/>
                  <w:vAlign w:val="center"/>
                </w:tcPr>
                <w:p w14:paraId="4DE90C15" w14:textId="77777777" w:rsidR="00F76A63" w:rsidRDefault="00000000">
                  <w:pPr>
                    <w:adjustRightInd w:val="0"/>
                    <w:snapToGrid w:val="0"/>
                    <w:jc w:val="center"/>
                    <w:rPr>
                      <w:bCs/>
                      <w:szCs w:val="21"/>
                    </w:rPr>
                  </w:pPr>
                  <w:r>
                    <w:rPr>
                      <w:kern w:val="0"/>
                    </w:rPr>
                    <w:t>/</w:t>
                  </w:r>
                </w:p>
              </w:tc>
            </w:tr>
            <w:tr w:rsidR="00F76A63" w14:paraId="61762906" w14:textId="77777777">
              <w:trPr>
                <w:jc w:val="center"/>
              </w:trPr>
              <w:tc>
                <w:tcPr>
                  <w:tcW w:w="2014" w:type="dxa"/>
                  <w:vAlign w:val="center"/>
                </w:tcPr>
                <w:p w14:paraId="0108B4F4" w14:textId="77777777" w:rsidR="00F76A63" w:rsidRDefault="00000000">
                  <w:pPr>
                    <w:adjustRightInd w:val="0"/>
                    <w:snapToGrid w:val="0"/>
                    <w:jc w:val="center"/>
                    <w:rPr>
                      <w:bCs/>
                      <w:szCs w:val="21"/>
                    </w:rPr>
                  </w:pPr>
                  <w:r>
                    <w:rPr>
                      <w:bCs/>
                      <w:szCs w:val="21"/>
                    </w:rPr>
                    <w:t>半挥发</w:t>
                  </w:r>
                </w:p>
              </w:tc>
              <w:tc>
                <w:tcPr>
                  <w:tcW w:w="3444" w:type="dxa"/>
                  <w:vAlign w:val="center"/>
                </w:tcPr>
                <w:p w14:paraId="4612B4DB" w14:textId="77777777" w:rsidR="00F76A63" w:rsidRDefault="00000000">
                  <w:pPr>
                    <w:adjustRightInd w:val="0"/>
                    <w:snapToGrid w:val="0"/>
                    <w:jc w:val="center"/>
                    <w:rPr>
                      <w:bCs/>
                      <w:szCs w:val="21"/>
                    </w:rPr>
                  </w:pPr>
                  <w:r>
                    <w:rPr>
                      <w:bCs/>
                      <w:szCs w:val="21"/>
                    </w:rPr>
                    <w:t>As</w:t>
                  </w:r>
                  <w:r>
                    <w:rPr>
                      <w:bCs/>
                      <w:szCs w:val="21"/>
                    </w:rPr>
                    <w:t>，</w:t>
                  </w:r>
                  <w:r>
                    <w:rPr>
                      <w:bCs/>
                      <w:szCs w:val="21"/>
                    </w:rPr>
                    <w:t>Sb</w:t>
                  </w:r>
                  <w:r>
                    <w:rPr>
                      <w:bCs/>
                      <w:szCs w:val="21"/>
                    </w:rPr>
                    <w:t>，</w:t>
                  </w:r>
                  <w:r>
                    <w:rPr>
                      <w:bCs/>
                      <w:szCs w:val="21"/>
                    </w:rPr>
                    <w:t>Cd</w:t>
                  </w:r>
                  <w:r>
                    <w:rPr>
                      <w:bCs/>
                      <w:szCs w:val="21"/>
                    </w:rPr>
                    <w:t>，</w:t>
                  </w:r>
                  <w:r>
                    <w:rPr>
                      <w:bCs/>
                      <w:szCs w:val="21"/>
                    </w:rPr>
                    <w:t>Pb</w:t>
                  </w:r>
                  <w:r>
                    <w:rPr>
                      <w:bCs/>
                      <w:szCs w:val="21"/>
                    </w:rPr>
                    <w:t>，</w:t>
                  </w:r>
                  <w:r>
                    <w:rPr>
                      <w:bCs/>
                      <w:szCs w:val="21"/>
                    </w:rPr>
                    <w:t>Se</w:t>
                  </w:r>
                  <w:r>
                    <w:rPr>
                      <w:bCs/>
                      <w:szCs w:val="21"/>
                    </w:rPr>
                    <w:t>，</w:t>
                  </w:r>
                  <w:r>
                    <w:rPr>
                      <w:bCs/>
                      <w:szCs w:val="21"/>
                    </w:rPr>
                    <w:t>Zn</w:t>
                  </w:r>
                  <w:r>
                    <w:rPr>
                      <w:bCs/>
                      <w:szCs w:val="21"/>
                    </w:rPr>
                    <w:t>，</w:t>
                  </w:r>
                  <w:r>
                    <w:rPr>
                      <w:bCs/>
                      <w:szCs w:val="21"/>
                    </w:rPr>
                    <w:t>K</w:t>
                  </w:r>
                  <w:r>
                    <w:rPr>
                      <w:bCs/>
                      <w:szCs w:val="21"/>
                    </w:rPr>
                    <w:t>，</w:t>
                  </w:r>
                  <w:r>
                    <w:rPr>
                      <w:bCs/>
                      <w:szCs w:val="21"/>
                    </w:rPr>
                    <w:t>Na</w:t>
                  </w:r>
                </w:p>
              </w:tc>
              <w:tc>
                <w:tcPr>
                  <w:tcW w:w="2729" w:type="dxa"/>
                  <w:vAlign w:val="center"/>
                </w:tcPr>
                <w:p w14:paraId="56B10E15" w14:textId="77777777" w:rsidR="00F76A63" w:rsidRDefault="00000000">
                  <w:pPr>
                    <w:adjustRightInd w:val="0"/>
                    <w:snapToGrid w:val="0"/>
                    <w:jc w:val="center"/>
                    <w:rPr>
                      <w:bCs/>
                      <w:szCs w:val="21"/>
                    </w:rPr>
                  </w:pPr>
                  <w:r>
                    <w:rPr>
                      <w:bCs/>
                      <w:szCs w:val="21"/>
                    </w:rPr>
                    <w:t>700~900</w:t>
                  </w:r>
                </w:p>
              </w:tc>
            </w:tr>
            <w:tr w:rsidR="00F76A63" w14:paraId="215AB0FA" w14:textId="77777777">
              <w:trPr>
                <w:jc w:val="center"/>
              </w:trPr>
              <w:tc>
                <w:tcPr>
                  <w:tcW w:w="2014" w:type="dxa"/>
                  <w:vAlign w:val="center"/>
                </w:tcPr>
                <w:p w14:paraId="0D10AC84" w14:textId="77777777" w:rsidR="00F76A63" w:rsidRDefault="00000000">
                  <w:pPr>
                    <w:adjustRightInd w:val="0"/>
                    <w:snapToGrid w:val="0"/>
                    <w:jc w:val="center"/>
                    <w:rPr>
                      <w:bCs/>
                      <w:szCs w:val="21"/>
                    </w:rPr>
                  </w:pPr>
                  <w:r>
                    <w:rPr>
                      <w:bCs/>
                      <w:szCs w:val="21"/>
                    </w:rPr>
                    <w:t>易挥发</w:t>
                  </w:r>
                </w:p>
              </w:tc>
              <w:tc>
                <w:tcPr>
                  <w:tcW w:w="3444" w:type="dxa"/>
                  <w:vAlign w:val="center"/>
                </w:tcPr>
                <w:p w14:paraId="53B6F58E" w14:textId="77777777" w:rsidR="00F76A63" w:rsidRDefault="00000000">
                  <w:pPr>
                    <w:adjustRightInd w:val="0"/>
                    <w:snapToGrid w:val="0"/>
                    <w:jc w:val="center"/>
                    <w:rPr>
                      <w:bCs/>
                      <w:szCs w:val="21"/>
                    </w:rPr>
                  </w:pPr>
                  <w:r>
                    <w:rPr>
                      <w:bCs/>
                      <w:szCs w:val="21"/>
                    </w:rPr>
                    <w:t>Tl</w:t>
                  </w:r>
                </w:p>
              </w:tc>
              <w:tc>
                <w:tcPr>
                  <w:tcW w:w="2729" w:type="dxa"/>
                  <w:vAlign w:val="center"/>
                </w:tcPr>
                <w:p w14:paraId="2CF72BDE" w14:textId="77777777" w:rsidR="00F76A63" w:rsidRDefault="00000000">
                  <w:pPr>
                    <w:adjustRightInd w:val="0"/>
                    <w:snapToGrid w:val="0"/>
                    <w:jc w:val="center"/>
                    <w:rPr>
                      <w:bCs/>
                      <w:szCs w:val="21"/>
                    </w:rPr>
                  </w:pPr>
                  <w:r>
                    <w:rPr>
                      <w:bCs/>
                      <w:szCs w:val="21"/>
                    </w:rPr>
                    <w:t>450~500</w:t>
                  </w:r>
                </w:p>
              </w:tc>
            </w:tr>
            <w:tr w:rsidR="00F76A63" w14:paraId="30D9CE21" w14:textId="77777777">
              <w:trPr>
                <w:jc w:val="center"/>
              </w:trPr>
              <w:tc>
                <w:tcPr>
                  <w:tcW w:w="2014" w:type="dxa"/>
                  <w:vAlign w:val="center"/>
                </w:tcPr>
                <w:p w14:paraId="2F442BAE" w14:textId="77777777" w:rsidR="00F76A63" w:rsidRDefault="00000000">
                  <w:pPr>
                    <w:adjustRightInd w:val="0"/>
                    <w:snapToGrid w:val="0"/>
                    <w:jc w:val="center"/>
                    <w:rPr>
                      <w:bCs/>
                      <w:szCs w:val="21"/>
                    </w:rPr>
                  </w:pPr>
                  <w:r>
                    <w:rPr>
                      <w:bCs/>
                      <w:szCs w:val="21"/>
                    </w:rPr>
                    <w:t>高挥发</w:t>
                  </w:r>
                </w:p>
              </w:tc>
              <w:tc>
                <w:tcPr>
                  <w:tcW w:w="3444" w:type="dxa"/>
                  <w:vAlign w:val="center"/>
                </w:tcPr>
                <w:p w14:paraId="654C8947" w14:textId="77777777" w:rsidR="00F76A63" w:rsidRDefault="00000000">
                  <w:pPr>
                    <w:adjustRightInd w:val="0"/>
                    <w:snapToGrid w:val="0"/>
                    <w:jc w:val="center"/>
                    <w:rPr>
                      <w:bCs/>
                      <w:szCs w:val="21"/>
                    </w:rPr>
                  </w:pPr>
                  <w:r>
                    <w:rPr>
                      <w:bCs/>
                      <w:szCs w:val="21"/>
                    </w:rPr>
                    <w:t>Hg</w:t>
                  </w:r>
                </w:p>
              </w:tc>
              <w:tc>
                <w:tcPr>
                  <w:tcW w:w="2729" w:type="dxa"/>
                  <w:vAlign w:val="center"/>
                </w:tcPr>
                <w:p w14:paraId="443B452E" w14:textId="77777777" w:rsidR="00F76A63" w:rsidRDefault="00000000">
                  <w:pPr>
                    <w:adjustRightInd w:val="0"/>
                    <w:snapToGrid w:val="0"/>
                    <w:jc w:val="center"/>
                    <w:rPr>
                      <w:bCs/>
                      <w:szCs w:val="21"/>
                    </w:rPr>
                  </w:pPr>
                  <w:r>
                    <w:rPr>
                      <w:bCs/>
                      <w:szCs w:val="21"/>
                    </w:rPr>
                    <w:t>＜</w:t>
                  </w:r>
                  <w:r>
                    <w:rPr>
                      <w:bCs/>
                      <w:szCs w:val="21"/>
                    </w:rPr>
                    <w:t>250</w:t>
                  </w:r>
                </w:p>
              </w:tc>
            </w:tr>
          </w:tbl>
          <w:p w14:paraId="2EC5885A" w14:textId="77777777" w:rsidR="00F76A63" w:rsidRDefault="00000000">
            <w:pPr>
              <w:adjustRightInd w:val="0"/>
              <w:snapToGrid w:val="0"/>
              <w:spacing w:line="500" w:lineRule="exact"/>
              <w:ind w:firstLineChars="200" w:firstLine="480"/>
              <w:rPr>
                <w:bCs/>
                <w:sz w:val="24"/>
              </w:rPr>
            </w:pPr>
            <w:r>
              <w:rPr>
                <w:bCs/>
                <w:sz w:val="24"/>
              </w:rPr>
              <w:t>a.</w:t>
            </w:r>
            <w:r>
              <w:rPr>
                <w:bCs/>
                <w:sz w:val="24"/>
              </w:rPr>
              <w:t>不挥发类元素与熟料中的主要元素钙、镁、硅、铝等相似，</w:t>
            </w:r>
            <w:r>
              <w:rPr>
                <w:bCs/>
                <w:sz w:val="24"/>
              </w:rPr>
              <w:t>99.9%</w:t>
            </w:r>
            <w:r>
              <w:rPr>
                <w:bCs/>
                <w:sz w:val="24"/>
              </w:rPr>
              <w:t>以上被结合到熟料中；</w:t>
            </w:r>
          </w:p>
          <w:p w14:paraId="6B0CBFA8" w14:textId="77777777" w:rsidR="00F76A63" w:rsidRDefault="00000000">
            <w:pPr>
              <w:adjustRightInd w:val="0"/>
              <w:snapToGrid w:val="0"/>
              <w:spacing w:line="500" w:lineRule="exact"/>
              <w:ind w:firstLineChars="200" w:firstLine="480"/>
              <w:rPr>
                <w:bCs/>
                <w:sz w:val="24"/>
              </w:rPr>
            </w:pPr>
            <w:r>
              <w:rPr>
                <w:bCs/>
                <w:sz w:val="24"/>
              </w:rPr>
              <w:t>b.</w:t>
            </w:r>
            <w:r>
              <w:rPr>
                <w:bCs/>
                <w:sz w:val="24"/>
              </w:rPr>
              <w:t>半挥发类元素在水泥熟料煅烧过程中，首先形成硫酸盐和氯化物。这类化合物在</w:t>
            </w:r>
            <w:r>
              <w:rPr>
                <w:bCs/>
                <w:sz w:val="24"/>
              </w:rPr>
              <w:t>700~900℃</w:t>
            </w:r>
            <w:r>
              <w:rPr>
                <w:bCs/>
                <w:sz w:val="24"/>
              </w:rPr>
              <w:t>温度范围内冷凝，在窑内和预热器系统内形成内循环，最终几乎全部进入熟料，随烟气带出窑系统外的量很少。</w:t>
            </w:r>
          </w:p>
          <w:p w14:paraId="63217D80" w14:textId="77777777" w:rsidR="00F76A63" w:rsidRDefault="00000000">
            <w:pPr>
              <w:adjustRightInd w:val="0"/>
              <w:snapToGrid w:val="0"/>
              <w:spacing w:line="500" w:lineRule="exact"/>
              <w:ind w:firstLineChars="200" w:firstLine="480"/>
              <w:rPr>
                <w:bCs/>
                <w:sz w:val="24"/>
              </w:rPr>
            </w:pPr>
            <w:r>
              <w:rPr>
                <w:bCs/>
                <w:sz w:val="24"/>
              </w:rPr>
              <w:t>c.</w:t>
            </w:r>
            <w:r>
              <w:rPr>
                <w:bCs/>
                <w:sz w:val="24"/>
              </w:rPr>
              <w:t>物料中易挥发的元素</w:t>
            </w:r>
            <w:r>
              <w:rPr>
                <w:bCs/>
                <w:sz w:val="24"/>
              </w:rPr>
              <w:t>Tl</w:t>
            </w:r>
            <w:r>
              <w:rPr>
                <w:bCs/>
                <w:sz w:val="24"/>
              </w:rPr>
              <w:t>于</w:t>
            </w:r>
            <w:r>
              <w:rPr>
                <w:bCs/>
                <w:sz w:val="24"/>
              </w:rPr>
              <w:t>520~550℃</w:t>
            </w:r>
            <w:r>
              <w:rPr>
                <w:bCs/>
                <w:sz w:val="24"/>
              </w:rPr>
              <w:t>开始蒸发，在窑尾物理温度</w:t>
            </w:r>
            <w:r>
              <w:rPr>
                <w:bCs/>
                <w:sz w:val="24"/>
              </w:rPr>
              <w:t>850℃</w:t>
            </w:r>
            <w:r>
              <w:rPr>
                <w:bCs/>
                <w:sz w:val="24"/>
              </w:rPr>
              <w:t>的温度区内主要以气相存在，一般不被带回转窑烧成带，随熟料带出的比例小于</w:t>
            </w:r>
            <w:r>
              <w:rPr>
                <w:bCs/>
                <w:sz w:val="24"/>
              </w:rPr>
              <w:t>5%</w:t>
            </w:r>
            <w:r>
              <w:rPr>
                <w:bCs/>
                <w:sz w:val="24"/>
              </w:rPr>
              <w:t>。蒸发的</w:t>
            </w:r>
            <w:r>
              <w:rPr>
                <w:bCs/>
                <w:sz w:val="24"/>
              </w:rPr>
              <w:t>Tl</w:t>
            </w:r>
            <w:r>
              <w:rPr>
                <w:bCs/>
                <w:sz w:val="24"/>
              </w:rPr>
              <w:t>一般在</w:t>
            </w:r>
            <w:r>
              <w:rPr>
                <w:bCs/>
                <w:sz w:val="24"/>
              </w:rPr>
              <w:t>450-500℃</w:t>
            </w:r>
            <w:r>
              <w:rPr>
                <w:bCs/>
                <w:sz w:val="24"/>
              </w:rPr>
              <w:t>的温度区冷凝，</w:t>
            </w:r>
            <w:r>
              <w:rPr>
                <w:bCs/>
                <w:sz w:val="24"/>
              </w:rPr>
              <w:t>93%</w:t>
            </w:r>
            <w:r>
              <w:rPr>
                <w:bCs/>
                <w:sz w:val="24"/>
              </w:rPr>
              <w:t>～</w:t>
            </w:r>
            <w:r>
              <w:rPr>
                <w:bCs/>
                <w:sz w:val="24"/>
              </w:rPr>
              <w:t>98%</w:t>
            </w:r>
            <w:r>
              <w:rPr>
                <w:bCs/>
                <w:sz w:val="24"/>
              </w:rPr>
              <w:t>都滞留在预热器系统内，其余部分可随窑灰带回窑系统，随废气排放的减少。</w:t>
            </w:r>
          </w:p>
          <w:p w14:paraId="16D87FE1" w14:textId="77777777" w:rsidR="00F76A63" w:rsidRDefault="00000000">
            <w:pPr>
              <w:adjustRightInd w:val="0"/>
              <w:snapToGrid w:val="0"/>
              <w:spacing w:line="500" w:lineRule="exact"/>
              <w:ind w:firstLineChars="200" w:firstLine="480"/>
              <w:rPr>
                <w:bCs/>
                <w:sz w:val="24"/>
              </w:rPr>
            </w:pPr>
            <w:r>
              <w:rPr>
                <w:bCs/>
                <w:sz w:val="24"/>
              </w:rPr>
              <w:t>d.</w:t>
            </w:r>
            <w:r>
              <w:rPr>
                <w:bCs/>
                <w:sz w:val="24"/>
              </w:rPr>
              <w:t>高挥发元素</w:t>
            </w:r>
            <w:r>
              <w:rPr>
                <w:bCs/>
                <w:sz w:val="24"/>
              </w:rPr>
              <w:t>Hg</w:t>
            </w:r>
            <w:r>
              <w:rPr>
                <w:bCs/>
                <w:sz w:val="24"/>
              </w:rPr>
              <w:t>在约</w:t>
            </w:r>
            <w:r>
              <w:rPr>
                <w:bCs/>
                <w:sz w:val="24"/>
              </w:rPr>
              <w:t>100℃</w:t>
            </w:r>
            <w:r>
              <w:rPr>
                <w:bCs/>
                <w:sz w:val="24"/>
              </w:rPr>
              <w:t>温度下完全蒸发，所以不会结合在熟料中，在预热器系统内不能冷凝和分离出来，主要是凝结在窑灰上或随窑废气带走形成外循环和排放。</w:t>
            </w:r>
          </w:p>
          <w:p w14:paraId="0AAE8F31" w14:textId="77777777" w:rsidR="00F76A63" w:rsidRDefault="00000000">
            <w:pPr>
              <w:adjustRightInd w:val="0"/>
              <w:spacing w:line="500" w:lineRule="exact"/>
              <w:ind w:firstLineChars="200" w:firstLine="480"/>
              <w:rPr>
                <w:bCs/>
                <w:sz w:val="24"/>
              </w:rPr>
            </w:pPr>
            <w:r>
              <w:rPr>
                <w:bCs/>
                <w:sz w:val="24"/>
              </w:rPr>
              <w:t>汞在烟气中主要以单质汞及</w:t>
            </w:r>
            <w:r>
              <w:rPr>
                <w:bCs/>
                <w:sz w:val="24"/>
              </w:rPr>
              <w:t>HgCl</w:t>
            </w:r>
            <w:r>
              <w:rPr>
                <w:bCs/>
                <w:sz w:val="24"/>
                <w:vertAlign w:val="subscript"/>
              </w:rPr>
              <w:t>2</w:t>
            </w:r>
            <w:r>
              <w:rPr>
                <w:bCs/>
                <w:sz w:val="24"/>
              </w:rPr>
              <w:t>的形式存在，汞元素在水泥窑系统上存在生料磨袋收尘器</w:t>
            </w:r>
            <w:r>
              <w:rPr>
                <w:bCs/>
                <w:sz w:val="24"/>
              </w:rPr>
              <w:t>-</w:t>
            </w:r>
            <w:r>
              <w:rPr>
                <w:bCs/>
                <w:sz w:val="24"/>
              </w:rPr>
              <w:t>顶部预热器之间的循环关系，由于这个循环关系受到生料磨运行状况的影响，因此系统的汞排放水平是变化的。考虑</w:t>
            </w:r>
            <w:r>
              <w:rPr>
                <w:bCs/>
                <w:sz w:val="24"/>
              </w:rPr>
              <w:t>Hg</w:t>
            </w:r>
            <w:r>
              <w:rPr>
                <w:bCs/>
                <w:sz w:val="24"/>
              </w:rPr>
              <w:t>在生料</w:t>
            </w:r>
            <w:r>
              <w:rPr>
                <w:bCs/>
                <w:sz w:val="24"/>
              </w:rPr>
              <w:t>-</w:t>
            </w:r>
            <w:r>
              <w:rPr>
                <w:bCs/>
                <w:sz w:val="24"/>
              </w:rPr>
              <w:t>袋收尘器</w:t>
            </w:r>
            <w:r>
              <w:rPr>
                <w:bCs/>
                <w:sz w:val="24"/>
              </w:rPr>
              <w:t>-</w:t>
            </w:r>
            <w:r>
              <w:rPr>
                <w:bCs/>
                <w:sz w:val="24"/>
              </w:rPr>
              <w:t>顶部预</w:t>
            </w:r>
            <w:r>
              <w:rPr>
                <w:bCs/>
                <w:sz w:val="24"/>
              </w:rPr>
              <w:lastRenderedPageBreak/>
              <w:t>热器之间的循环富集，以及通过对特定工作时段窑灰的处理，如部分高</w:t>
            </w:r>
            <w:r>
              <w:rPr>
                <w:bCs/>
                <w:sz w:val="24"/>
              </w:rPr>
              <w:t>Hg</w:t>
            </w:r>
            <w:r>
              <w:rPr>
                <w:bCs/>
                <w:sz w:val="24"/>
              </w:rPr>
              <w:t>窑灰作为混合材料使用，可严格控制系统的</w:t>
            </w:r>
            <w:r>
              <w:rPr>
                <w:bCs/>
                <w:sz w:val="24"/>
              </w:rPr>
              <w:t>Hg</w:t>
            </w:r>
            <w:r>
              <w:rPr>
                <w:bCs/>
                <w:sz w:val="24"/>
              </w:rPr>
              <w:t>排放，实现重金属在水泥生产过程中的最大化固定。德国水泥工业研究所对杜塞尔多夫水泥厂</w:t>
            </w:r>
            <w:r>
              <w:rPr>
                <w:bCs/>
                <w:sz w:val="24"/>
              </w:rPr>
              <w:t>5000t/d</w:t>
            </w:r>
            <w:r>
              <w:rPr>
                <w:bCs/>
                <w:sz w:val="24"/>
              </w:rPr>
              <w:t>生产线</w:t>
            </w:r>
            <w:r>
              <w:rPr>
                <w:bCs/>
                <w:sz w:val="24"/>
              </w:rPr>
              <w:t>Hg</w:t>
            </w:r>
            <w:r>
              <w:rPr>
                <w:bCs/>
                <w:sz w:val="24"/>
              </w:rPr>
              <w:t>循环流量进行了研究，结果表明对水泥全套生产线，由于生料磨对窑尾废气的利用，导致</w:t>
            </w:r>
            <w:r>
              <w:rPr>
                <w:bCs/>
                <w:sz w:val="24"/>
              </w:rPr>
              <w:t>Hg</w:t>
            </w:r>
            <w:r>
              <w:rPr>
                <w:bCs/>
                <w:sz w:val="24"/>
              </w:rPr>
              <w:t>在不同的车间之间进行循环，客观上降低了</w:t>
            </w:r>
            <w:r>
              <w:rPr>
                <w:bCs/>
                <w:sz w:val="24"/>
              </w:rPr>
              <w:t>Hg</w:t>
            </w:r>
            <w:r>
              <w:rPr>
                <w:bCs/>
                <w:sz w:val="24"/>
              </w:rPr>
              <w:t>的排放，并形成了</w:t>
            </w:r>
            <w:r>
              <w:rPr>
                <w:bCs/>
                <w:sz w:val="24"/>
              </w:rPr>
              <w:t>Hg</w:t>
            </w:r>
            <w:r>
              <w:rPr>
                <w:bCs/>
                <w:sz w:val="24"/>
              </w:rPr>
              <w:t>的实际排放随着低温废气的利用情况的变化而波动。在该案例中，</w:t>
            </w:r>
            <w:r>
              <w:rPr>
                <w:bCs/>
                <w:sz w:val="24"/>
              </w:rPr>
              <w:t>Hg</w:t>
            </w:r>
            <w:r>
              <w:rPr>
                <w:bCs/>
                <w:sz w:val="24"/>
              </w:rPr>
              <w:t>的排放大约为</w:t>
            </w:r>
            <w:r>
              <w:rPr>
                <w:bCs/>
                <w:sz w:val="24"/>
              </w:rPr>
              <w:t>60%</w:t>
            </w:r>
            <w:r>
              <w:rPr>
                <w:bCs/>
                <w:sz w:val="24"/>
              </w:rPr>
              <w:t>～</w:t>
            </w:r>
            <w:r>
              <w:rPr>
                <w:bCs/>
                <w:sz w:val="24"/>
              </w:rPr>
              <w:t>70%</w:t>
            </w:r>
            <w:r>
              <w:rPr>
                <w:bCs/>
                <w:sz w:val="24"/>
              </w:rPr>
              <w:t>左右。但如果</w:t>
            </w:r>
            <w:r>
              <w:rPr>
                <w:bCs/>
                <w:sz w:val="24"/>
              </w:rPr>
              <w:t>Hg</w:t>
            </w:r>
            <w:r>
              <w:rPr>
                <w:bCs/>
                <w:sz w:val="24"/>
              </w:rPr>
              <w:t>的挥发率按照水泥熟料中</w:t>
            </w:r>
            <w:r>
              <w:rPr>
                <w:bCs/>
                <w:sz w:val="24"/>
              </w:rPr>
              <w:t>Hg</w:t>
            </w:r>
            <w:r>
              <w:rPr>
                <w:bCs/>
                <w:sz w:val="24"/>
              </w:rPr>
              <w:t>的固化率分析水泥窑生产线系统的</w:t>
            </w:r>
            <w:r>
              <w:rPr>
                <w:bCs/>
                <w:sz w:val="24"/>
              </w:rPr>
              <w:t>Hg</w:t>
            </w:r>
            <w:r>
              <w:rPr>
                <w:bCs/>
                <w:sz w:val="24"/>
              </w:rPr>
              <w:t>排放水平则评估结果较高。按照水泥窑烧成系统评估</w:t>
            </w:r>
            <w:r>
              <w:rPr>
                <w:bCs/>
                <w:sz w:val="24"/>
              </w:rPr>
              <w:t>Hg</w:t>
            </w:r>
            <w:r>
              <w:rPr>
                <w:bCs/>
                <w:sz w:val="24"/>
              </w:rPr>
              <w:t>的排放或者利用水泥熟料中</w:t>
            </w:r>
            <w:r>
              <w:rPr>
                <w:bCs/>
                <w:sz w:val="24"/>
              </w:rPr>
              <w:t>Hg</w:t>
            </w:r>
            <w:r>
              <w:rPr>
                <w:bCs/>
                <w:sz w:val="24"/>
              </w:rPr>
              <w:t>的含量分析</w:t>
            </w:r>
            <w:r>
              <w:rPr>
                <w:bCs/>
                <w:sz w:val="24"/>
              </w:rPr>
              <w:t>Hg</w:t>
            </w:r>
            <w:r>
              <w:rPr>
                <w:bCs/>
                <w:sz w:val="24"/>
              </w:rPr>
              <w:t>的逃逸率，</w:t>
            </w:r>
            <w:r>
              <w:rPr>
                <w:bCs/>
                <w:sz w:val="24"/>
              </w:rPr>
              <w:t>Hg</w:t>
            </w:r>
            <w:r>
              <w:rPr>
                <w:bCs/>
                <w:sz w:val="24"/>
              </w:rPr>
              <w:t>的挥发量在所有的研究案例中均达到</w:t>
            </w:r>
            <w:r>
              <w:rPr>
                <w:bCs/>
                <w:sz w:val="24"/>
              </w:rPr>
              <w:t>90%</w:t>
            </w:r>
            <w:r>
              <w:rPr>
                <w:bCs/>
                <w:sz w:val="24"/>
              </w:rPr>
              <w:t>～</w:t>
            </w:r>
            <w:r>
              <w:rPr>
                <w:bCs/>
                <w:sz w:val="24"/>
              </w:rPr>
              <w:t>95%</w:t>
            </w:r>
            <w:r>
              <w:rPr>
                <w:bCs/>
                <w:sz w:val="24"/>
              </w:rPr>
              <w:t>。</w:t>
            </w:r>
          </w:p>
          <w:p w14:paraId="65B803F8" w14:textId="77777777" w:rsidR="00F76A63" w:rsidRDefault="00000000">
            <w:pPr>
              <w:adjustRightInd w:val="0"/>
              <w:spacing w:line="500" w:lineRule="exact"/>
              <w:ind w:firstLineChars="200" w:firstLine="480"/>
              <w:rPr>
                <w:bCs/>
                <w:sz w:val="24"/>
              </w:rPr>
            </w:pPr>
            <w:r>
              <w:rPr>
                <w:bCs/>
                <w:sz w:val="24"/>
              </w:rPr>
              <w:t>根据《水泥窑协同处置固体废物污染物控制标准》（</w:t>
            </w:r>
            <w:r>
              <w:rPr>
                <w:bCs/>
                <w:sz w:val="24"/>
              </w:rPr>
              <w:t>GB30485-2013</w:t>
            </w:r>
            <w:r>
              <w:rPr>
                <w:bCs/>
                <w:sz w:val="24"/>
              </w:rPr>
              <w:t>）编制说明，开展的试烧试验测得的重金属分配系数详见表</w:t>
            </w:r>
            <w:r>
              <w:rPr>
                <w:bCs/>
                <w:sz w:val="24"/>
              </w:rPr>
              <w:t>2-18</w:t>
            </w:r>
            <w:r>
              <w:rPr>
                <w:bCs/>
                <w:sz w:val="24"/>
              </w:rPr>
              <w:t>：</w:t>
            </w:r>
          </w:p>
          <w:p w14:paraId="5F7D31A2" w14:textId="77777777" w:rsidR="00F76A63" w:rsidRDefault="00000000">
            <w:pPr>
              <w:adjustRightInd w:val="0"/>
              <w:spacing w:line="500" w:lineRule="exact"/>
              <w:jc w:val="center"/>
              <w:rPr>
                <w:b/>
                <w:bCs/>
                <w:sz w:val="24"/>
              </w:rPr>
            </w:pPr>
            <w:r>
              <w:rPr>
                <w:b/>
                <w:bCs/>
                <w:sz w:val="24"/>
              </w:rPr>
              <w:t>表</w:t>
            </w:r>
            <w:r>
              <w:rPr>
                <w:b/>
                <w:bCs/>
                <w:sz w:val="24"/>
              </w:rPr>
              <w:t xml:space="preserve">2-18  </w:t>
            </w:r>
            <w:r>
              <w:rPr>
                <w:b/>
                <w:bCs/>
                <w:sz w:val="24"/>
              </w:rPr>
              <w:t>试烧试验测得的重金属分配系数</w:t>
            </w:r>
          </w:p>
          <w:p w14:paraId="37F3E297" w14:textId="77777777" w:rsidR="0097066E" w:rsidRPr="0097066E" w:rsidRDefault="0097066E" w:rsidP="0097066E">
            <w:pPr>
              <w:adjustRightInd w:val="0"/>
              <w:spacing w:line="500" w:lineRule="exact"/>
              <w:ind w:firstLineChars="200" w:firstLine="482"/>
              <w:jc w:val="center"/>
              <w:rPr>
                <w:b/>
                <w:bCs/>
                <w:i/>
                <w:iCs/>
                <w:sz w:val="24"/>
              </w:rPr>
            </w:pPr>
            <w:bookmarkStart w:id="82" w:name="OLE_LINK78"/>
            <w:r w:rsidRPr="0097066E">
              <w:rPr>
                <w:b/>
                <w:bCs/>
                <w:i/>
                <w:iCs/>
                <w:sz w:val="24"/>
              </w:rPr>
              <w:t>（涉密已删除）</w:t>
            </w:r>
          </w:p>
          <w:p w14:paraId="0CAAEFA8" w14:textId="77777777" w:rsidR="00F76A63" w:rsidRDefault="00000000">
            <w:pPr>
              <w:adjustRightInd w:val="0"/>
              <w:spacing w:line="500" w:lineRule="exact"/>
              <w:ind w:firstLineChars="200" w:firstLine="480"/>
              <w:rPr>
                <w:bCs/>
                <w:sz w:val="24"/>
              </w:rPr>
            </w:pPr>
            <w:r>
              <w:rPr>
                <w:bCs/>
                <w:sz w:val="24"/>
              </w:rPr>
              <w:t>根据《水泥窑协同处置固体废物污染控制标准》（</w:t>
            </w:r>
            <w:r>
              <w:rPr>
                <w:bCs/>
                <w:sz w:val="24"/>
              </w:rPr>
              <w:t>GB 30485-2013</w:t>
            </w:r>
            <w:r>
              <w:rPr>
                <w:bCs/>
                <w:sz w:val="24"/>
              </w:rPr>
              <w:t>）编制说明中给出的重金属分配系数取值规定，结合</w:t>
            </w:r>
            <w:r>
              <w:rPr>
                <w:rFonts w:hint="eastAsia"/>
                <w:bCs/>
                <w:sz w:val="24"/>
              </w:rPr>
              <w:t>典型企业试烧实验、</w:t>
            </w:r>
            <w:r>
              <w:rPr>
                <w:bCs/>
                <w:sz w:val="24"/>
              </w:rPr>
              <w:t>本企业原有水泥窑生产工况、原料成分及历史运行比例，综合确定本项目水泥窑中重金属进入熟料、烟气及窑灰的分配系数</w:t>
            </w:r>
            <w:r>
              <w:rPr>
                <w:rFonts w:hint="eastAsia"/>
                <w:bCs/>
                <w:sz w:val="24"/>
              </w:rPr>
              <w:t>见表</w:t>
            </w:r>
            <w:r>
              <w:rPr>
                <w:rFonts w:hint="eastAsia"/>
                <w:bCs/>
                <w:sz w:val="24"/>
              </w:rPr>
              <w:t>2-19</w:t>
            </w:r>
            <w:r>
              <w:rPr>
                <w:bCs/>
                <w:sz w:val="24"/>
              </w:rPr>
              <w:t>。</w:t>
            </w:r>
          </w:p>
          <w:p w14:paraId="14B8C9C3" w14:textId="77777777" w:rsidR="00F76A63" w:rsidRDefault="00000000">
            <w:pPr>
              <w:adjustRightInd w:val="0"/>
              <w:spacing w:line="500" w:lineRule="exact"/>
              <w:jc w:val="center"/>
              <w:rPr>
                <w:b/>
                <w:bCs/>
                <w:sz w:val="24"/>
              </w:rPr>
            </w:pPr>
            <w:r>
              <w:rPr>
                <w:b/>
                <w:bCs/>
                <w:sz w:val="24"/>
              </w:rPr>
              <w:t>表</w:t>
            </w:r>
            <w:r>
              <w:rPr>
                <w:b/>
                <w:bCs/>
                <w:sz w:val="24"/>
              </w:rPr>
              <w:t xml:space="preserve">2-19  </w:t>
            </w:r>
            <w:r>
              <w:rPr>
                <w:b/>
                <w:bCs/>
                <w:sz w:val="24"/>
              </w:rPr>
              <w:t>本项目水泥窑中重金属在熟料、烟气及窑灰中分配系数</w:t>
            </w:r>
          </w:p>
          <w:p w14:paraId="12D0551A" w14:textId="77777777" w:rsidR="0097066E" w:rsidRPr="0097066E" w:rsidRDefault="0097066E" w:rsidP="0097066E">
            <w:pPr>
              <w:adjustRightInd w:val="0"/>
              <w:spacing w:line="500" w:lineRule="exact"/>
              <w:jc w:val="center"/>
              <w:rPr>
                <w:b/>
                <w:bCs/>
                <w:i/>
                <w:iCs/>
                <w:sz w:val="24"/>
              </w:rPr>
            </w:pPr>
            <w:r w:rsidRPr="0097066E">
              <w:rPr>
                <w:b/>
                <w:bCs/>
                <w:i/>
                <w:iCs/>
                <w:sz w:val="24"/>
              </w:rPr>
              <w:t>（涉密已删除）</w:t>
            </w:r>
          </w:p>
          <w:p w14:paraId="1DB18F79" w14:textId="77777777" w:rsidR="00F76A63" w:rsidRDefault="00000000">
            <w:pPr>
              <w:pStyle w:val="afffffff5"/>
              <w:spacing w:line="500" w:lineRule="exact"/>
              <w:ind w:firstLine="480"/>
              <w:rPr>
                <w:rFonts w:ascii="Times New Roman" w:hAnsi="Times New Roman"/>
                <w:bCs/>
                <w:sz w:val="24"/>
              </w:rPr>
            </w:pPr>
            <w:r>
              <w:rPr>
                <w:rFonts w:ascii="Times New Roman" w:hAnsi="Times New Roman"/>
                <w:bCs/>
                <w:sz w:val="24"/>
              </w:rPr>
              <w:t>经计算，本项目水泥窑协同处置后全线重金属平衡见表</w:t>
            </w:r>
            <w:r>
              <w:rPr>
                <w:rFonts w:ascii="Times New Roman" w:hAnsi="Times New Roman"/>
                <w:bCs/>
                <w:sz w:val="24"/>
              </w:rPr>
              <w:t>2-20~2-21</w:t>
            </w:r>
            <w:r>
              <w:rPr>
                <w:rFonts w:ascii="Times New Roman" w:hAnsi="Times New Roman"/>
                <w:bCs/>
                <w:sz w:val="24"/>
              </w:rPr>
              <w:t>。</w:t>
            </w:r>
          </w:p>
          <w:p w14:paraId="3FD9D22C" w14:textId="77777777" w:rsidR="00F76A63" w:rsidRDefault="00000000">
            <w:pPr>
              <w:pStyle w:val="afffffff5"/>
              <w:spacing w:line="500" w:lineRule="exact"/>
              <w:ind w:firstLineChars="0" w:firstLine="0"/>
              <w:jc w:val="center"/>
              <w:rPr>
                <w:rFonts w:ascii="Times New Roman" w:hAnsi="Times New Roman"/>
                <w:b/>
                <w:sz w:val="24"/>
              </w:rPr>
            </w:pPr>
            <w:r>
              <w:rPr>
                <w:rFonts w:ascii="Times New Roman" w:hAnsi="Times New Roman"/>
                <w:b/>
                <w:sz w:val="24"/>
              </w:rPr>
              <w:t>表</w:t>
            </w:r>
            <w:r>
              <w:rPr>
                <w:rFonts w:ascii="Times New Roman" w:hAnsi="Times New Roman"/>
                <w:b/>
                <w:sz w:val="24"/>
              </w:rPr>
              <w:t xml:space="preserve">2-20  </w:t>
            </w:r>
            <w:r>
              <w:rPr>
                <w:rFonts w:ascii="Times New Roman" w:hAnsi="Times New Roman"/>
                <w:b/>
                <w:sz w:val="24"/>
              </w:rPr>
              <w:t>本项目水泥窑协同处置后全线重金属平衡表（</w:t>
            </w:r>
            <w:r>
              <w:rPr>
                <w:rFonts w:ascii="Times New Roman" w:hAnsi="Times New Roman"/>
                <w:b/>
                <w:sz w:val="24"/>
              </w:rPr>
              <w:t>1#5000t/d</w:t>
            </w:r>
            <w:r>
              <w:rPr>
                <w:rFonts w:ascii="Times New Roman" w:hAnsi="Times New Roman"/>
                <w:b/>
                <w:sz w:val="24"/>
              </w:rPr>
              <w:t>熟料线）</w:t>
            </w:r>
          </w:p>
          <w:p w14:paraId="5AF7C351" w14:textId="77777777" w:rsidR="0097066E" w:rsidRPr="0097066E" w:rsidRDefault="0097066E" w:rsidP="0097066E">
            <w:pPr>
              <w:pStyle w:val="afffffff5"/>
              <w:ind w:firstLine="482"/>
              <w:jc w:val="center"/>
              <w:rPr>
                <w:b/>
                <w:i/>
                <w:iCs/>
                <w:sz w:val="24"/>
              </w:rPr>
            </w:pPr>
            <w:r w:rsidRPr="0097066E">
              <w:rPr>
                <w:b/>
                <w:i/>
                <w:iCs/>
                <w:sz w:val="24"/>
              </w:rPr>
              <w:t>（涉密已删除）</w:t>
            </w:r>
          </w:p>
          <w:p w14:paraId="18FEDAFA" w14:textId="77777777" w:rsidR="00F76A63" w:rsidRDefault="00000000">
            <w:pPr>
              <w:pStyle w:val="afffffff5"/>
              <w:spacing w:line="500" w:lineRule="exact"/>
              <w:ind w:firstLineChars="0" w:firstLine="0"/>
              <w:jc w:val="center"/>
              <w:rPr>
                <w:rFonts w:ascii="Times New Roman" w:hAnsi="Times New Roman"/>
                <w:b/>
                <w:sz w:val="24"/>
              </w:rPr>
            </w:pPr>
            <w:r>
              <w:rPr>
                <w:rFonts w:ascii="Times New Roman" w:hAnsi="Times New Roman"/>
                <w:b/>
                <w:sz w:val="24"/>
              </w:rPr>
              <w:t>表</w:t>
            </w:r>
            <w:r>
              <w:rPr>
                <w:rFonts w:ascii="Times New Roman" w:hAnsi="Times New Roman"/>
                <w:b/>
                <w:sz w:val="24"/>
              </w:rPr>
              <w:t xml:space="preserve">2-21  </w:t>
            </w:r>
            <w:r>
              <w:rPr>
                <w:rFonts w:ascii="Times New Roman" w:hAnsi="Times New Roman"/>
                <w:b/>
                <w:sz w:val="24"/>
              </w:rPr>
              <w:t>本项目水泥窑协同处置后全线重金属平衡表（</w:t>
            </w:r>
            <w:r>
              <w:rPr>
                <w:rFonts w:ascii="Times New Roman" w:hAnsi="Times New Roman"/>
                <w:b/>
                <w:sz w:val="24"/>
              </w:rPr>
              <w:t>2#6000t/d</w:t>
            </w:r>
            <w:r>
              <w:rPr>
                <w:rFonts w:ascii="Times New Roman" w:hAnsi="Times New Roman"/>
                <w:b/>
                <w:sz w:val="24"/>
              </w:rPr>
              <w:t>熟料线）</w:t>
            </w:r>
          </w:p>
          <w:p w14:paraId="4F954C64" w14:textId="77777777" w:rsidR="0097066E" w:rsidRPr="0097066E" w:rsidRDefault="0097066E" w:rsidP="0097066E">
            <w:pPr>
              <w:pStyle w:val="afffffff5"/>
              <w:ind w:firstLine="482"/>
              <w:jc w:val="center"/>
              <w:rPr>
                <w:b/>
                <w:i/>
                <w:iCs/>
                <w:sz w:val="24"/>
              </w:rPr>
            </w:pPr>
            <w:r w:rsidRPr="0097066E">
              <w:rPr>
                <w:b/>
                <w:i/>
                <w:iCs/>
                <w:sz w:val="24"/>
              </w:rPr>
              <w:t>（涉密已删除）</w:t>
            </w:r>
          </w:p>
          <w:bookmarkEnd w:id="82"/>
          <w:p w14:paraId="6F1E6F74" w14:textId="77777777" w:rsidR="00F76A63" w:rsidRDefault="00000000">
            <w:pPr>
              <w:pStyle w:val="afffffff5"/>
              <w:spacing w:line="500" w:lineRule="exact"/>
              <w:ind w:firstLine="482"/>
              <w:rPr>
                <w:rFonts w:ascii="Times New Roman" w:hAnsi="Times New Roman"/>
                <w:b/>
                <w:sz w:val="24"/>
              </w:rPr>
            </w:pPr>
            <w:r>
              <w:rPr>
                <w:rFonts w:ascii="Times New Roman" w:hAnsi="Times New Roman"/>
                <w:b/>
                <w:sz w:val="24"/>
              </w:rPr>
              <w:t>2</w:t>
            </w:r>
            <w:r>
              <w:rPr>
                <w:rFonts w:ascii="Times New Roman" w:hAnsi="Times New Roman"/>
                <w:b/>
                <w:sz w:val="24"/>
              </w:rPr>
              <w:t>）重金属入窑量可行性分析</w:t>
            </w:r>
          </w:p>
          <w:p w14:paraId="7DA69DBD" w14:textId="77777777" w:rsidR="00F76A63" w:rsidRDefault="00000000">
            <w:pPr>
              <w:spacing w:line="500" w:lineRule="exact"/>
              <w:ind w:firstLineChars="200" w:firstLine="480"/>
              <w:rPr>
                <w:bCs/>
                <w:sz w:val="24"/>
              </w:rPr>
            </w:pPr>
            <w:r>
              <w:rPr>
                <w:bCs/>
                <w:sz w:val="24"/>
              </w:rPr>
              <w:t>利用水泥窑协同处置固体废物的前提条件，是协同处置废物过程不应影响水</w:t>
            </w:r>
            <w:r>
              <w:rPr>
                <w:bCs/>
                <w:sz w:val="24"/>
              </w:rPr>
              <w:lastRenderedPageBreak/>
              <w:t>泥生产过程和对水泥产品质量产生不利影响。为此《水泥窑协同处置固体废物环境保护技术规范》</w:t>
            </w:r>
            <w:r>
              <w:rPr>
                <w:kern w:val="0"/>
                <w:sz w:val="24"/>
                <w:szCs w:val="28"/>
              </w:rPr>
              <w:t>（</w:t>
            </w:r>
            <w:r>
              <w:rPr>
                <w:kern w:val="0"/>
                <w:sz w:val="24"/>
                <w:szCs w:val="28"/>
              </w:rPr>
              <w:t>HJ 662-2013</w:t>
            </w:r>
            <w:r>
              <w:rPr>
                <w:kern w:val="0"/>
                <w:sz w:val="24"/>
                <w:szCs w:val="28"/>
              </w:rPr>
              <w:t>）</w:t>
            </w:r>
            <w:r>
              <w:rPr>
                <w:bCs/>
                <w:sz w:val="24"/>
              </w:rPr>
              <w:t>对入窑废物尤其是重金属的入窑量提出了相应的限值要求。</w:t>
            </w:r>
          </w:p>
          <w:p w14:paraId="7BFE4B60" w14:textId="77777777" w:rsidR="00F76A63" w:rsidRDefault="00000000">
            <w:pPr>
              <w:adjustRightInd w:val="0"/>
              <w:snapToGrid w:val="0"/>
              <w:spacing w:line="500" w:lineRule="exact"/>
              <w:ind w:firstLineChars="200" w:firstLine="480"/>
              <w:rPr>
                <w:bCs/>
                <w:sz w:val="24"/>
              </w:rPr>
            </w:pPr>
            <w:r>
              <w:rPr>
                <w:bCs/>
                <w:sz w:val="24"/>
              </w:rPr>
              <w:t>入窑物料（包括常规原料、燃料和固体废物）中重金属的最大允许投加量不应大于表</w:t>
            </w:r>
            <w:r>
              <w:rPr>
                <w:bCs/>
                <w:sz w:val="24"/>
              </w:rPr>
              <w:t>2-22</w:t>
            </w:r>
            <w:r>
              <w:rPr>
                <w:bCs/>
                <w:sz w:val="24"/>
              </w:rPr>
              <w:t>限值，对于单位为</w:t>
            </w:r>
            <w:r>
              <w:rPr>
                <w:bCs/>
                <w:sz w:val="24"/>
              </w:rPr>
              <w:t>mg/kg-cem</w:t>
            </w:r>
            <w:r>
              <w:rPr>
                <w:bCs/>
                <w:sz w:val="24"/>
              </w:rPr>
              <w:t>的重金属，最大允许投加量还包括磨制水泥时混合材带入的重金属。</w:t>
            </w:r>
          </w:p>
          <w:p w14:paraId="659E9B7B" w14:textId="77777777" w:rsidR="00F76A63" w:rsidRDefault="00000000">
            <w:pPr>
              <w:adjustRightInd w:val="0"/>
              <w:snapToGrid w:val="0"/>
              <w:spacing w:line="500" w:lineRule="exact"/>
              <w:ind w:firstLineChars="200" w:firstLine="480"/>
              <w:rPr>
                <w:bCs/>
                <w:sz w:val="24"/>
              </w:rPr>
            </w:pPr>
            <w:r>
              <w:rPr>
                <w:bCs/>
                <w:sz w:val="24"/>
              </w:rPr>
              <w:t>入窑重金属投加量与固体废物、常规燃料、常规原料中重金属含量以及重金属投加速率的关系如（</w:t>
            </w:r>
            <w:r>
              <w:rPr>
                <w:bCs/>
                <w:sz w:val="24"/>
              </w:rPr>
              <w:t>1</w:t>
            </w:r>
            <w:r>
              <w:rPr>
                <w:bCs/>
                <w:sz w:val="24"/>
              </w:rPr>
              <w:t>）、（</w:t>
            </w:r>
            <w:r>
              <w:rPr>
                <w:bCs/>
                <w:sz w:val="24"/>
              </w:rPr>
              <w:t>2</w:t>
            </w:r>
            <w:r>
              <w:rPr>
                <w:bCs/>
                <w:sz w:val="24"/>
              </w:rPr>
              <w:t>）所示。</w:t>
            </w:r>
          </w:p>
          <w:p w14:paraId="10BFB665" w14:textId="77777777" w:rsidR="00F76A63" w:rsidRDefault="00000000">
            <w:pPr>
              <w:adjustRightInd w:val="0"/>
              <w:snapToGrid w:val="0"/>
              <w:jc w:val="center"/>
              <w:rPr>
                <w:bCs/>
                <w:sz w:val="24"/>
              </w:rPr>
            </w:pPr>
            <w:r>
              <w:rPr>
                <w:noProof/>
              </w:rPr>
              <w:drawing>
                <wp:inline distT="0" distB="0" distL="0" distR="0" wp14:anchorId="28754771" wp14:editId="36428701">
                  <wp:extent cx="2397125" cy="450850"/>
                  <wp:effectExtent l="0" t="0" r="3175" b="635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4"/>
                          <a:stretch>
                            <a:fillRect/>
                          </a:stretch>
                        </pic:blipFill>
                        <pic:spPr>
                          <a:xfrm>
                            <a:off x="0" y="0"/>
                            <a:ext cx="2397125" cy="450850"/>
                          </a:xfrm>
                          <a:prstGeom prst="rect">
                            <a:avLst/>
                          </a:prstGeom>
                        </pic:spPr>
                      </pic:pic>
                    </a:graphicData>
                  </a:graphic>
                </wp:inline>
              </w:drawing>
            </w:r>
            <w:r>
              <w:rPr>
                <w:bCs/>
                <w:sz w:val="24"/>
              </w:rPr>
              <w:t>(1)</w:t>
            </w:r>
          </w:p>
          <w:p w14:paraId="25C50C12" w14:textId="77777777" w:rsidR="00F76A63" w:rsidRDefault="00000000">
            <w:pPr>
              <w:adjustRightInd w:val="0"/>
              <w:snapToGrid w:val="0"/>
              <w:jc w:val="center"/>
              <w:rPr>
                <w:bCs/>
                <w:sz w:val="24"/>
              </w:rPr>
            </w:pPr>
            <w:r>
              <w:rPr>
                <w:noProof/>
              </w:rPr>
              <w:drawing>
                <wp:inline distT="0" distB="0" distL="0" distR="0" wp14:anchorId="3141F9BF" wp14:editId="4B16D9B2">
                  <wp:extent cx="3500755" cy="286385"/>
                  <wp:effectExtent l="0" t="0" r="4445" b="0"/>
                  <wp:docPr id="20974694" name="IM 12"/>
                  <wp:cNvGraphicFramePr/>
                  <a:graphic xmlns:a="http://schemas.openxmlformats.org/drawingml/2006/main">
                    <a:graphicData uri="http://schemas.openxmlformats.org/drawingml/2006/picture">
                      <pic:pic xmlns:pic="http://schemas.openxmlformats.org/drawingml/2006/picture">
                        <pic:nvPicPr>
                          <pic:cNvPr id="20974694" name="IM 12"/>
                          <pic:cNvPicPr/>
                        </pic:nvPicPr>
                        <pic:blipFill>
                          <a:blip r:embed="rId15"/>
                          <a:stretch>
                            <a:fillRect/>
                          </a:stretch>
                        </pic:blipFill>
                        <pic:spPr>
                          <a:xfrm>
                            <a:off x="0" y="0"/>
                            <a:ext cx="3500755" cy="286385"/>
                          </a:xfrm>
                          <a:prstGeom prst="rect">
                            <a:avLst/>
                          </a:prstGeom>
                        </pic:spPr>
                      </pic:pic>
                    </a:graphicData>
                  </a:graphic>
                </wp:inline>
              </w:drawing>
            </w:r>
            <w:r>
              <w:rPr>
                <w:bCs/>
                <w:sz w:val="24"/>
              </w:rPr>
              <w:t>(2)</w:t>
            </w:r>
          </w:p>
          <w:p w14:paraId="136CDE0B" w14:textId="77777777" w:rsidR="00F76A63" w:rsidRDefault="00000000">
            <w:pPr>
              <w:adjustRightInd w:val="0"/>
              <w:snapToGrid w:val="0"/>
              <w:spacing w:line="500" w:lineRule="exact"/>
              <w:ind w:firstLineChars="200" w:firstLine="480"/>
              <w:rPr>
                <w:bCs/>
                <w:sz w:val="24"/>
              </w:rPr>
            </w:pPr>
            <w:r>
              <w:rPr>
                <w:bCs/>
                <w:sz w:val="24"/>
              </w:rPr>
              <w:t>式中：</w:t>
            </w:r>
            <w:r>
              <w:rPr>
                <w:bCs/>
                <w:sz w:val="24"/>
              </w:rPr>
              <w:t xml:space="preserve">FMhm-cli </w:t>
            </w:r>
            <w:r>
              <w:rPr>
                <w:bCs/>
                <w:sz w:val="24"/>
              </w:rPr>
              <w:t>为重金属的单位熟料投加量，即入窑重金属的投加量，不包括由混合材带入的重金属，</w:t>
            </w:r>
            <w:r>
              <w:rPr>
                <w:bCs/>
                <w:sz w:val="24"/>
              </w:rPr>
              <w:t>mg/kg-cli</w:t>
            </w:r>
            <w:r>
              <w:rPr>
                <w:bCs/>
                <w:sz w:val="24"/>
              </w:rPr>
              <w:t>；</w:t>
            </w:r>
            <w:r>
              <w:rPr>
                <w:bCs/>
                <w:sz w:val="24"/>
              </w:rPr>
              <w:t>Cw</w:t>
            </w:r>
            <w:r>
              <w:rPr>
                <w:bCs/>
                <w:sz w:val="24"/>
              </w:rPr>
              <w:t>、</w:t>
            </w:r>
            <w:r>
              <w:rPr>
                <w:bCs/>
                <w:sz w:val="24"/>
              </w:rPr>
              <w:t>Cf</w:t>
            </w:r>
            <w:r>
              <w:rPr>
                <w:bCs/>
                <w:sz w:val="24"/>
              </w:rPr>
              <w:t>、</w:t>
            </w:r>
            <w:r>
              <w:rPr>
                <w:bCs/>
                <w:sz w:val="24"/>
              </w:rPr>
              <w:t xml:space="preserve">Cr </w:t>
            </w:r>
            <w:r>
              <w:rPr>
                <w:bCs/>
                <w:sz w:val="24"/>
              </w:rPr>
              <w:t>分别为固体废物、常规燃料、常规原料中的重金属含量，</w:t>
            </w:r>
            <w:r>
              <w:rPr>
                <w:bCs/>
                <w:sz w:val="24"/>
              </w:rPr>
              <w:t>mg/kg</w:t>
            </w:r>
            <w:r>
              <w:rPr>
                <w:bCs/>
                <w:sz w:val="24"/>
              </w:rPr>
              <w:t>；</w:t>
            </w:r>
            <w:r>
              <w:rPr>
                <w:bCs/>
                <w:sz w:val="24"/>
              </w:rPr>
              <w:t>mw</w:t>
            </w:r>
            <w:r>
              <w:rPr>
                <w:bCs/>
                <w:sz w:val="24"/>
              </w:rPr>
              <w:t>、</w:t>
            </w:r>
            <w:r>
              <w:rPr>
                <w:bCs/>
                <w:sz w:val="24"/>
              </w:rPr>
              <w:t>mf</w:t>
            </w:r>
            <w:r>
              <w:rPr>
                <w:bCs/>
                <w:sz w:val="24"/>
              </w:rPr>
              <w:t>、</w:t>
            </w:r>
            <w:r>
              <w:rPr>
                <w:bCs/>
                <w:sz w:val="24"/>
              </w:rPr>
              <w:t>mr</w:t>
            </w:r>
            <w:r>
              <w:rPr>
                <w:bCs/>
                <w:sz w:val="24"/>
              </w:rPr>
              <w:t>分别为单位时间内固体废物、常规燃料、常规原料的投加量，</w:t>
            </w:r>
            <w:r>
              <w:rPr>
                <w:bCs/>
                <w:sz w:val="24"/>
              </w:rPr>
              <w:t>kg/h</w:t>
            </w:r>
            <w:r>
              <w:rPr>
                <w:bCs/>
                <w:sz w:val="24"/>
              </w:rPr>
              <w:t>；</w:t>
            </w:r>
            <w:r>
              <w:rPr>
                <w:bCs/>
                <w:sz w:val="24"/>
              </w:rPr>
              <w:t>mcli</w:t>
            </w:r>
            <w:r>
              <w:rPr>
                <w:bCs/>
                <w:sz w:val="24"/>
              </w:rPr>
              <w:t>为单位时间的熟料产量，</w:t>
            </w:r>
            <w:r>
              <w:rPr>
                <w:bCs/>
                <w:sz w:val="24"/>
              </w:rPr>
              <w:t>kg/h</w:t>
            </w:r>
            <w:r>
              <w:rPr>
                <w:bCs/>
                <w:sz w:val="24"/>
              </w:rPr>
              <w:t>；</w:t>
            </w:r>
            <w:r>
              <w:rPr>
                <w:bCs/>
                <w:sz w:val="24"/>
              </w:rPr>
              <w:t>FR hm-cli</w:t>
            </w:r>
            <w:r>
              <w:rPr>
                <w:bCs/>
                <w:sz w:val="24"/>
              </w:rPr>
              <w:t>为入窑重金属的投加速率，不包括由混合材带入的重金属，</w:t>
            </w:r>
            <w:r>
              <w:rPr>
                <w:bCs/>
                <w:sz w:val="24"/>
              </w:rPr>
              <w:t>mg/h</w:t>
            </w:r>
            <w:r>
              <w:rPr>
                <w:bCs/>
                <w:sz w:val="24"/>
              </w:rPr>
              <w:t>；</w:t>
            </w:r>
          </w:p>
          <w:p w14:paraId="528EF4C2" w14:textId="77777777" w:rsidR="00F76A63" w:rsidRDefault="00000000">
            <w:pPr>
              <w:adjustRightInd w:val="0"/>
              <w:snapToGrid w:val="0"/>
              <w:spacing w:line="500" w:lineRule="exact"/>
              <w:ind w:firstLineChars="200" w:firstLine="480"/>
              <w:rPr>
                <w:bCs/>
                <w:sz w:val="24"/>
              </w:rPr>
            </w:pPr>
            <w:r>
              <w:rPr>
                <w:bCs/>
                <w:sz w:val="24"/>
              </w:rPr>
              <w:t>对于表</w:t>
            </w:r>
            <w:r>
              <w:rPr>
                <w:bCs/>
                <w:sz w:val="24"/>
              </w:rPr>
              <w:t>2-22</w:t>
            </w:r>
            <w:r>
              <w:rPr>
                <w:bCs/>
                <w:sz w:val="24"/>
              </w:rPr>
              <w:t>中单位为</w:t>
            </w:r>
            <w:r>
              <w:rPr>
                <w:bCs/>
                <w:sz w:val="24"/>
              </w:rPr>
              <w:t>mg/kg-cem</w:t>
            </w:r>
            <w:r>
              <w:rPr>
                <w:bCs/>
                <w:sz w:val="24"/>
              </w:rPr>
              <w:t>的重金属，重金属投加量和投加速率计算如式</w:t>
            </w:r>
            <w:r>
              <w:rPr>
                <w:bCs/>
                <w:sz w:val="24"/>
              </w:rPr>
              <w:t>(3)</w:t>
            </w:r>
            <w:r>
              <w:rPr>
                <w:bCs/>
                <w:sz w:val="24"/>
              </w:rPr>
              <w:t>、</w:t>
            </w:r>
            <w:r>
              <w:rPr>
                <w:bCs/>
                <w:sz w:val="24"/>
              </w:rPr>
              <w:t>(4)</w:t>
            </w:r>
            <w:r>
              <w:rPr>
                <w:bCs/>
                <w:sz w:val="24"/>
              </w:rPr>
              <w:t>所示。</w:t>
            </w:r>
          </w:p>
          <w:p w14:paraId="5150891F" w14:textId="77777777" w:rsidR="00F76A63" w:rsidRDefault="00000000">
            <w:pPr>
              <w:adjustRightInd w:val="0"/>
              <w:snapToGrid w:val="0"/>
              <w:ind w:firstLineChars="200" w:firstLine="420"/>
              <w:jc w:val="center"/>
              <w:rPr>
                <w:bCs/>
                <w:sz w:val="24"/>
              </w:rPr>
            </w:pPr>
            <w:r>
              <w:rPr>
                <w:noProof/>
              </w:rPr>
              <w:drawing>
                <wp:inline distT="0" distB="0" distL="0" distR="0" wp14:anchorId="46AA5C2D" wp14:editId="109F1460">
                  <wp:extent cx="3310890" cy="430530"/>
                  <wp:effectExtent l="0" t="0" r="3810" b="762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6"/>
                          <a:stretch>
                            <a:fillRect/>
                          </a:stretch>
                        </pic:blipFill>
                        <pic:spPr>
                          <a:xfrm>
                            <a:off x="0" y="0"/>
                            <a:ext cx="3310890" cy="430530"/>
                          </a:xfrm>
                          <a:prstGeom prst="rect">
                            <a:avLst/>
                          </a:prstGeom>
                        </pic:spPr>
                      </pic:pic>
                    </a:graphicData>
                  </a:graphic>
                </wp:inline>
              </w:drawing>
            </w:r>
            <w:r>
              <w:rPr>
                <w:bCs/>
                <w:sz w:val="24"/>
              </w:rPr>
              <w:t>（</w:t>
            </w:r>
            <w:r>
              <w:rPr>
                <w:bCs/>
                <w:sz w:val="24"/>
              </w:rPr>
              <w:t>3</w:t>
            </w:r>
            <w:r>
              <w:rPr>
                <w:bCs/>
                <w:sz w:val="24"/>
              </w:rPr>
              <w:t>）</w:t>
            </w:r>
          </w:p>
          <w:p w14:paraId="19A95184" w14:textId="77777777" w:rsidR="00F76A63" w:rsidRDefault="00000000">
            <w:pPr>
              <w:adjustRightInd w:val="0"/>
              <w:snapToGrid w:val="0"/>
              <w:ind w:firstLineChars="200" w:firstLine="420"/>
              <w:jc w:val="center"/>
              <w:rPr>
                <w:bCs/>
                <w:sz w:val="24"/>
              </w:rPr>
            </w:pPr>
            <w:r>
              <w:rPr>
                <w:noProof/>
              </w:rPr>
              <w:drawing>
                <wp:inline distT="0" distB="0" distL="0" distR="0" wp14:anchorId="41DD5B2D" wp14:editId="63FF9EF1">
                  <wp:extent cx="5074920" cy="410210"/>
                  <wp:effectExtent l="0" t="0" r="0" b="889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7"/>
                          <a:stretch>
                            <a:fillRect/>
                          </a:stretch>
                        </pic:blipFill>
                        <pic:spPr>
                          <a:xfrm>
                            <a:off x="0" y="0"/>
                            <a:ext cx="5074920" cy="410210"/>
                          </a:xfrm>
                          <a:prstGeom prst="rect">
                            <a:avLst/>
                          </a:prstGeom>
                        </pic:spPr>
                      </pic:pic>
                    </a:graphicData>
                  </a:graphic>
                </wp:inline>
              </w:drawing>
            </w:r>
          </w:p>
          <w:p w14:paraId="0FA8F3F9" w14:textId="77777777" w:rsidR="00F76A63" w:rsidRDefault="00000000">
            <w:pPr>
              <w:adjustRightInd w:val="0"/>
              <w:snapToGrid w:val="0"/>
              <w:ind w:firstLineChars="200" w:firstLine="420"/>
              <w:jc w:val="center"/>
              <w:rPr>
                <w:b/>
                <w:sz w:val="24"/>
              </w:rPr>
            </w:pPr>
            <w:r>
              <w:rPr>
                <w:noProof/>
              </w:rPr>
              <w:drawing>
                <wp:inline distT="0" distB="0" distL="0" distR="0" wp14:anchorId="60817C55" wp14:editId="628BC196">
                  <wp:extent cx="2072640" cy="416560"/>
                  <wp:effectExtent l="0" t="0" r="3810" b="254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8"/>
                          <a:stretch>
                            <a:fillRect/>
                          </a:stretch>
                        </pic:blipFill>
                        <pic:spPr>
                          <a:xfrm>
                            <a:off x="0" y="0"/>
                            <a:ext cx="2072640" cy="416560"/>
                          </a:xfrm>
                          <a:prstGeom prst="rect">
                            <a:avLst/>
                          </a:prstGeom>
                        </pic:spPr>
                      </pic:pic>
                    </a:graphicData>
                  </a:graphic>
                </wp:inline>
              </w:drawing>
            </w:r>
            <w:r>
              <w:rPr>
                <w:bCs/>
                <w:sz w:val="24"/>
              </w:rPr>
              <w:t>（</w:t>
            </w:r>
            <w:r>
              <w:rPr>
                <w:bCs/>
                <w:sz w:val="24"/>
              </w:rPr>
              <w:t>4</w:t>
            </w:r>
            <w:r>
              <w:rPr>
                <w:bCs/>
                <w:sz w:val="24"/>
              </w:rPr>
              <w:t>）</w:t>
            </w:r>
          </w:p>
          <w:p w14:paraId="5FA441B7" w14:textId="77777777" w:rsidR="00F76A63" w:rsidRDefault="00000000">
            <w:pPr>
              <w:adjustRightInd w:val="0"/>
              <w:snapToGrid w:val="0"/>
              <w:spacing w:line="500" w:lineRule="exact"/>
              <w:ind w:firstLineChars="200" w:firstLine="480"/>
              <w:rPr>
                <w:bCs/>
                <w:sz w:val="24"/>
              </w:rPr>
            </w:pPr>
            <w:r>
              <w:rPr>
                <w:bCs/>
                <w:sz w:val="24"/>
              </w:rPr>
              <w:t>式中：</w:t>
            </w:r>
            <w:r>
              <w:rPr>
                <w:bCs/>
                <w:sz w:val="24"/>
              </w:rPr>
              <w:t xml:space="preserve">FMhm-ce </w:t>
            </w:r>
            <w:r>
              <w:rPr>
                <w:bCs/>
                <w:sz w:val="24"/>
              </w:rPr>
              <w:t>为重金属的单位水泥投加量，包括由混合材带入的重金属，</w:t>
            </w:r>
            <w:r>
              <w:rPr>
                <w:bCs/>
                <w:sz w:val="24"/>
              </w:rPr>
              <w:t>mg/kg-cem</w:t>
            </w:r>
            <w:r>
              <w:rPr>
                <w:bCs/>
                <w:sz w:val="24"/>
              </w:rPr>
              <w:t>；</w:t>
            </w:r>
          </w:p>
          <w:p w14:paraId="3B79F467" w14:textId="77777777" w:rsidR="00F76A63" w:rsidRDefault="00000000">
            <w:pPr>
              <w:adjustRightInd w:val="0"/>
              <w:snapToGrid w:val="0"/>
              <w:spacing w:line="500" w:lineRule="exact"/>
              <w:ind w:firstLineChars="200" w:firstLine="480"/>
              <w:rPr>
                <w:bCs/>
                <w:sz w:val="24"/>
              </w:rPr>
            </w:pPr>
            <w:r>
              <w:rPr>
                <w:bCs/>
                <w:sz w:val="24"/>
              </w:rPr>
              <w:t>Cw</w:t>
            </w:r>
            <w:r>
              <w:rPr>
                <w:bCs/>
                <w:sz w:val="24"/>
              </w:rPr>
              <w:t>、</w:t>
            </w:r>
            <w:r>
              <w:rPr>
                <w:bCs/>
                <w:sz w:val="24"/>
              </w:rPr>
              <w:t>Cf</w:t>
            </w:r>
            <w:r>
              <w:rPr>
                <w:bCs/>
                <w:sz w:val="24"/>
              </w:rPr>
              <w:t>、</w:t>
            </w:r>
            <w:r>
              <w:rPr>
                <w:bCs/>
                <w:sz w:val="24"/>
              </w:rPr>
              <w:t>Cr</w:t>
            </w:r>
            <w:r>
              <w:rPr>
                <w:bCs/>
                <w:sz w:val="24"/>
              </w:rPr>
              <w:t>、</w:t>
            </w:r>
            <w:r>
              <w:rPr>
                <w:bCs/>
                <w:sz w:val="24"/>
              </w:rPr>
              <w:t>C</w:t>
            </w:r>
            <w:r>
              <w:rPr>
                <w:bCs/>
                <w:sz w:val="24"/>
                <w:vertAlign w:val="subscript"/>
              </w:rPr>
              <w:t>mi</w:t>
            </w:r>
            <w:r>
              <w:rPr>
                <w:bCs/>
                <w:sz w:val="24"/>
              </w:rPr>
              <w:t>分别为固体废物、常规燃料、常规原料、混合材中的重金</w:t>
            </w:r>
            <w:r>
              <w:rPr>
                <w:bCs/>
                <w:sz w:val="24"/>
              </w:rPr>
              <w:t xml:space="preserve"> </w:t>
            </w:r>
            <w:r>
              <w:rPr>
                <w:bCs/>
                <w:sz w:val="24"/>
              </w:rPr>
              <w:t>属含量，</w:t>
            </w:r>
            <w:r>
              <w:rPr>
                <w:bCs/>
                <w:sz w:val="24"/>
              </w:rPr>
              <w:t>mg/kg</w:t>
            </w:r>
            <w:r>
              <w:rPr>
                <w:bCs/>
                <w:sz w:val="24"/>
              </w:rPr>
              <w:t>；</w:t>
            </w:r>
          </w:p>
          <w:p w14:paraId="50A1F4F9" w14:textId="77777777" w:rsidR="00F76A63" w:rsidRDefault="00000000">
            <w:pPr>
              <w:adjustRightInd w:val="0"/>
              <w:snapToGrid w:val="0"/>
              <w:spacing w:line="500" w:lineRule="exact"/>
              <w:ind w:firstLineChars="200" w:firstLine="480"/>
              <w:rPr>
                <w:bCs/>
                <w:sz w:val="24"/>
              </w:rPr>
            </w:pPr>
            <w:r>
              <w:rPr>
                <w:bCs/>
                <w:sz w:val="24"/>
              </w:rPr>
              <w:lastRenderedPageBreak/>
              <w:t>mw</w:t>
            </w:r>
            <w:r>
              <w:rPr>
                <w:bCs/>
                <w:sz w:val="24"/>
              </w:rPr>
              <w:t>、</w:t>
            </w:r>
            <w:r>
              <w:rPr>
                <w:bCs/>
                <w:sz w:val="24"/>
              </w:rPr>
              <w:t>mf</w:t>
            </w:r>
            <w:r>
              <w:rPr>
                <w:bCs/>
                <w:sz w:val="24"/>
              </w:rPr>
              <w:t>、</w:t>
            </w:r>
            <w:r>
              <w:rPr>
                <w:bCs/>
                <w:sz w:val="24"/>
              </w:rPr>
              <w:t>mr</w:t>
            </w:r>
            <w:r>
              <w:rPr>
                <w:bCs/>
                <w:sz w:val="24"/>
              </w:rPr>
              <w:t>分别为单位时间内固体废物、常规燃料、常规原料的投加量，</w:t>
            </w:r>
            <w:r>
              <w:rPr>
                <w:bCs/>
                <w:sz w:val="24"/>
              </w:rPr>
              <w:t>kg/h</w:t>
            </w:r>
            <w:r>
              <w:rPr>
                <w:bCs/>
                <w:sz w:val="24"/>
              </w:rPr>
              <w:t>；</w:t>
            </w:r>
          </w:p>
          <w:p w14:paraId="703FE153" w14:textId="77777777" w:rsidR="00F76A63" w:rsidRDefault="00000000">
            <w:pPr>
              <w:adjustRightInd w:val="0"/>
              <w:snapToGrid w:val="0"/>
              <w:spacing w:line="500" w:lineRule="exact"/>
              <w:ind w:firstLineChars="200" w:firstLine="480"/>
              <w:rPr>
                <w:bCs/>
                <w:sz w:val="24"/>
              </w:rPr>
            </w:pPr>
            <w:r>
              <w:rPr>
                <w:bCs/>
                <w:sz w:val="24"/>
              </w:rPr>
              <w:t>mcli</w:t>
            </w:r>
            <w:r>
              <w:rPr>
                <w:bCs/>
                <w:sz w:val="24"/>
              </w:rPr>
              <w:t>为单位时间的熟料产量，</w:t>
            </w:r>
            <w:r>
              <w:rPr>
                <w:bCs/>
                <w:sz w:val="24"/>
              </w:rPr>
              <w:t>kg/h</w:t>
            </w:r>
            <w:r>
              <w:rPr>
                <w:bCs/>
                <w:sz w:val="24"/>
              </w:rPr>
              <w:t>；</w:t>
            </w:r>
          </w:p>
          <w:p w14:paraId="5DB42A6E" w14:textId="77777777" w:rsidR="00F76A63" w:rsidRDefault="00000000">
            <w:pPr>
              <w:adjustRightInd w:val="0"/>
              <w:snapToGrid w:val="0"/>
              <w:spacing w:line="500" w:lineRule="exact"/>
              <w:ind w:firstLineChars="200" w:firstLine="480"/>
              <w:rPr>
                <w:bCs/>
                <w:sz w:val="24"/>
              </w:rPr>
            </w:pPr>
            <w:r>
              <w:rPr>
                <w:bCs/>
                <w:sz w:val="24"/>
              </w:rPr>
              <w:t>Rcli</w:t>
            </w:r>
            <w:r>
              <w:rPr>
                <w:bCs/>
                <w:sz w:val="24"/>
              </w:rPr>
              <w:t>和</w:t>
            </w:r>
            <w:r>
              <w:rPr>
                <w:bCs/>
                <w:sz w:val="24"/>
              </w:rPr>
              <w:t>Rmi</w:t>
            </w:r>
            <w:r>
              <w:rPr>
                <w:bCs/>
                <w:sz w:val="24"/>
              </w:rPr>
              <w:t>分别为水泥中熟料和混合材的百分比，</w:t>
            </w:r>
            <w:r>
              <w:rPr>
                <w:bCs/>
                <w:sz w:val="24"/>
              </w:rPr>
              <w:t>%</w:t>
            </w:r>
            <w:r>
              <w:rPr>
                <w:bCs/>
                <w:sz w:val="24"/>
              </w:rPr>
              <w:t>；</w:t>
            </w:r>
          </w:p>
          <w:p w14:paraId="63CCB2C6" w14:textId="77777777" w:rsidR="00F76A63" w:rsidRDefault="00000000">
            <w:pPr>
              <w:adjustRightInd w:val="0"/>
              <w:snapToGrid w:val="0"/>
              <w:spacing w:line="500" w:lineRule="exact"/>
              <w:ind w:firstLineChars="200" w:firstLine="480"/>
              <w:rPr>
                <w:bCs/>
                <w:sz w:val="24"/>
              </w:rPr>
            </w:pPr>
            <w:r>
              <w:rPr>
                <w:bCs/>
                <w:sz w:val="24"/>
              </w:rPr>
              <w:t>FRhm-ce</w:t>
            </w:r>
            <w:r>
              <w:rPr>
                <w:bCs/>
                <w:sz w:val="24"/>
              </w:rPr>
              <w:t>为重金属的投加速率，包括由混合材带入的重金属，</w:t>
            </w:r>
            <w:r>
              <w:rPr>
                <w:bCs/>
                <w:sz w:val="24"/>
              </w:rPr>
              <w:t>mg/h</w:t>
            </w:r>
            <w:r>
              <w:rPr>
                <w:bCs/>
                <w:sz w:val="24"/>
              </w:rPr>
              <w:t>；</w:t>
            </w:r>
          </w:p>
          <w:p w14:paraId="3EF33696" w14:textId="77777777" w:rsidR="00F76A63" w:rsidRDefault="00000000">
            <w:pPr>
              <w:adjustRightInd w:val="0"/>
              <w:snapToGrid w:val="0"/>
              <w:spacing w:line="500" w:lineRule="exact"/>
              <w:ind w:firstLineChars="200" w:firstLine="480"/>
              <w:rPr>
                <w:bCs/>
                <w:sz w:val="24"/>
              </w:rPr>
            </w:pPr>
            <w:r>
              <w:rPr>
                <w:bCs/>
                <w:sz w:val="24"/>
              </w:rPr>
              <w:t>FRhm-cli</w:t>
            </w:r>
            <w:r>
              <w:rPr>
                <w:bCs/>
                <w:sz w:val="24"/>
              </w:rPr>
              <w:t>为入窑重金属的投加速率，不包括由混合材带入的重金属，</w:t>
            </w:r>
            <w:r>
              <w:rPr>
                <w:bCs/>
                <w:sz w:val="24"/>
              </w:rPr>
              <w:t>mg/h</w:t>
            </w:r>
            <w:r>
              <w:rPr>
                <w:bCs/>
                <w:sz w:val="24"/>
              </w:rPr>
              <w:t>。</w:t>
            </w:r>
            <w:r>
              <w:rPr>
                <w:bCs/>
                <w:sz w:val="24"/>
              </w:rPr>
              <w:t xml:space="preserve"> </w:t>
            </w:r>
            <w:r>
              <w:rPr>
                <w:bCs/>
                <w:sz w:val="24"/>
              </w:rPr>
              <w:t>本项目建成运行后，入窑重金属投加量计算结果见下表。</w:t>
            </w:r>
          </w:p>
          <w:p w14:paraId="1381FE79" w14:textId="77777777" w:rsidR="00F76A63" w:rsidRDefault="00000000">
            <w:pPr>
              <w:adjustRightInd w:val="0"/>
              <w:snapToGrid w:val="0"/>
              <w:spacing w:line="500" w:lineRule="exact"/>
              <w:ind w:firstLineChars="200" w:firstLine="482"/>
              <w:jc w:val="center"/>
              <w:rPr>
                <w:b/>
                <w:bCs/>
                <w:sz w:val="24"/>
              </w:rPr>
            </w:pPr>
            <w:r>
              <w:rPr>
                <w:b/>
                <w:bCs/>
                <w:sz w:val="24"/>
              </w:rPr>
              <w:t>表</w:t>
            </w:r>
            <w:r>
              <w:rPr>
                <w:b/>
                <w:bCs/>
                <w:sz w:val="24"/>
              </w:rPr>
              <w:t xml:space="preserve">2-22  </w:t>
            </w:r>
            <w:r>
              <w:rPr>
                <w:b/>
                <w:bCs/>
                <w:sz w:val="24"/>
              </w:rPr>
              <w:t>本项目建成后重金属投加量限值</w:t>
            </w:r>
          </w:p>
          <w:p w14:paraId="0FBEECF6" w14:textId="77777777" w:rsidR="0097066E" w:rsidRPr="0097066E" w:rsidRDefault="0097066E" w:rsidP="0097066E">
            <w:pPr>
              <w:adjustRightInd w:val="0"/>
              <w:snapToGrid w:val="0"/>
              <w:spacing w:line="500" w:lineRule="exact"/>
              <w:ind w:firstLineChars="200" w:firstLine="482"/>
              <w:jc w:val="center"/>
              <w:rPr>
                <w:b/>
                <w:bCs/>
                <w:i/>
                <w:iCs/>
                <w:sz w:val="24"/>
              </w:rPr>
            </w:pPr>
            <w:r w:rsidRPr="0097066E">
              <w:rPr>
                <w:b/>
                <w:bCs/>
                <w:i/>
                <w:iCs/>
                <w:sz w:val="24"/>
              </w:rPr>
              <w:t>（涉密已删除）</w:t>
            </w:r>
          </w:p>
          <w:p w14:paraId="36445511" w14:textId="77777777" w:rsidR="00F76A63" w:rsidRDefault="00000000">
            <w:pPr>
              <w:adjustRightInd w:val="0"/>
              <w:snapToGrid w:val="0"/>
              <w:spacing w:line="500" w:lineRule="exact"/>
              <w:ind w:firstLineChars="200" w:firstLine="480"/>
              <w:rPr>
                <w:bCs/>
                <w:sz w:val="24"/>
              </w:rPr>
            </w:pPr>
            <w:r>
              <w:rPr>
                <w:bCs/>
                <w:sz w:val="24"/>
              </w:rPr>
              <w:t>根据计算结果，本项目建成后，重金属投加量及投加速率均小于《水泥窑协同处置固体废物环境保护技术规范》（</w:t>
            </w:r>
            <w:r>
              <w:rPr>
                <w:bCs/>
                <w:sz w:val="24"/>
              </w:rPr>
              <w:t>HJ 662-2013</w:t>
            </w:r>
            <w:r>
              <w:rPr>
                <w:bCs/>
                <w:sz w:val="24"/>
              </w:rPr>
              <w:t>）重金属最大允许投加限值。</w:t>
            </w:r>
          </w:p>
          <w:p w14:paraId="768042F7" w14:textId="77777777" w:rsidR="00F76A63" w:rsidRDefault="00000000">
            <w:pPr>
              <w:adjustRightInd w:val="0"/>
              <w:snapToGrid w:val="0"/>
              <w:spacing w:line="500" w:lineRule="exact"/>
              <w:ind w:firstLineChars="200" w:firstLine="482"/>
              <w:jc w:val="left"/>
              <w:rPr>
                <w:b/>
                <w:sz w:val="24"/>
              </w:rPr>
            </w:pPr>
            <w:r>
              <w:rPr>
                <w:rFonts w:hint="eastAsia"/>
                <w:b/>
                <w:sz w:val="24"/>
              </w:rPr>
              <w:t>3</w:t>
            </w:r>
            <w:r>
              <w:rPr>
                <w:rFonts w:hint="eastAsia"/>
                <w:b/>
                <w:sz w:val="24"/>
              </w:rPr>
              <w:t>）</w:t>
            </w:r>
            <w:r>
              <w:rPr>
                <w:b/>
                <w:sz w:val="24"/>
              </w:rPr>
              <w:t>重金属去除工艺及效率分析</w:t>
            </w:r>
          </w:p>
          <w:p w14:paraId="3195FD1C" w14:textId="77777777" w:rsidR="00F76A63" w:rsidRDefault="00000000">
            <w:pPr>
              <w:adjustRightInd w:val="0"/>
              <w:snapToGrid w:val="0"/>
              <w:spacing w:line="500" w:lineRule="exact"/>
              <w:ind w:firstLineChars="200" w:firstLine="480"/>
              <w:rPr>
                <w:bCs/>
                <w:sz w:val="24"/>
              </w:rPr>
            </w:pPr>
            <w:r>
              <w:rPr>
                <w:bCs/>
                <w:sz w:val="24"/>
              </w:rPr>
              <w:t>水泥窑协同处置对重金属的控制机制为高温固化稳定化，而非物理去除，是国家规范认可的永久无害化途径：</w:t>
            </w:r>
          </w:p>
          <w:p w14:paraId="621BECEB" w14:textId="77777777" w:rsidR="00F76A63" w:rsidRDefault="00000000">
            <w:pPr>
              <w:adjustRightInd w:val="0"/>
              <w:snapToGrid w:val="0"/>
              <w:spacing w:line="500" w:lineRule="exact"/>
              <w:ind w:left="480"/>
              <w:rPr>
                <w:bCs/>
                <w:sz w:val="24"/>
              </w:rPr>
            </w:pPr>
            <w:r>
              <w:rPr>
                <w:rFonts w:ascii="Cambria Math" w:hAnsi="Cambria Math"/>
                <w:bCs/>
                <w:sz w:val="24"/>
              </w:rPr>
              <w:t>①</w:t>
            </w:r>
            <w:r>
              <w:rPr>
                <w:bCs/>
                <w:sz w:val="24"/>
              </w:rPr>
              <w:t>固化稳定化工艺</w:t>
            </w:r>
            <w:r>
              <w:rPr>
                <w:rFonts w:hint="eastAsia"/>
                <w:bCs/>
                <w:sz w:val="24"/>
              </w:rPr>
              <w:t>分析</w:t>
            </w:r>
          </w:p>
          <w:p w14:paraId="645CD3BA" w14:textId="77777777" w:rsidR="00F76A63" w:rsidRDefault="00000000">
            <w:pPr>
              <w:adjustRightInd w:val="0"/>
              <w:snapToGrid w:val="0"/>
              <w:spacing w:line="500" w:lineRule="exact"/>
              <w:ind w:firstLineChars="200" w:firstLine="480"/>
              <w:rPr>
                <w:bCs/>
                <w:sz w:val="24"/>
              </w:rPr>
            </w:pPr>
            <w:r>
              <w:rPr>
                <w:bCs/>
                <w:sz w:val="24"/>
              </w:rPr>
              <w:t>在水泥窑高温、强碱性、氧化气氛、长停留时间条件下，重金属参与熟料矿物晶格形成，被固溶、包裹、钝化，转化为稳定矿物相，不再浸出、不再迁移。</w:t>
            </w:r>
          </w:p>
          <w:p w14:paraId="58337709" w14:textId="77777777" w:rsidR="00F76A63" w:rsidRDefault="00000000">
            <w:pPr>
              <w:adjustRightInd w:val="0"/>
              <w:snapToGrid w:val="0"/>
              <w:spacing w:line="500" w:lineRule="exact"/>
              <w:ind w:left="480"/>
              <w:rPr>
                <w:bCs/>
                <w:sz w:val="24"/>
              </w:rPr>
            </w:pPr>
            <w:r>
              <w:rPr>
                <w:rFonts w:ascii="Cambria Math" w:hAnsi="Cambria Math"/>
                <w:bCs/>
                <w:sz w:val="24"/>
              </w:rPr>
              <w:t>②</w:t>
            </w:r>
            <w:r>
              <w:rPr>
                <w:bCs/>
                <w:sz w:val="24"/>
              </w:rPr>
              <w:t>稳定化效率</w:t>
            </w:r>
            <w:r>
              <w:rPr>
                <w:rFonts w:hint="eastAsia"/>
                <w:bCs/>
                <w:sz w:val="24"/>
              </w:rPr>
              <w:t>分析</w:t>
            </w:r>
          </w:p>
          <w:p w14:paraId="496A86C2" w14:textId="77777777" w:rsidR="00F76A63" w:rsidRDefault="00000000">
            <w:pPr>
              <w:adjustRightInd w:val="0"/>
              <w:snapToGrid w:val="0"/>
              <w:spacing w:line="500" w:lineRule="exact"/>
              <w:ind w:firstLineChars="200" w:firstLine="480"/>
              <w:rPr>
                <w:bCs/>
                <w:sz w:val="24"/>
              </w:rPr>
            </w:pPr>
            <w:r>
              <w:rPr>
                <w:bCs/>
                <w:sz w:val="24"/>
              </w:rPr>
              <w:t>结合</w:t>
            </w:r>
            <w:r>
              <w:rPr>
                <w:bCs/>
                <w:sz w:val="24"/>
              </w:rPr>
              <w:t xml:space="preserve">GB30485-2013 </w:t>
            </w:r>
            <w:r>
              <w:rPr>
                <w:bCs/>
                <w:sz w:val="24"/>
              </w:rPr>
              <w:t>编制说明、典型试烧试验及本企业原有水泥窑生产工况、原料成分及历史运行比例综合确定</w:t>
            </w:r>
            <w:r>
              <w:rPr>
                <w:rFonts w:hint="eastAsia"/>
                <w:bCs/>
                <w:sz w:val="24"/>
              </w:rPr>
              <w:t>效率，</w:t>
            </w:r>
            <w:r>
              <w:rPr>
                <w:bCs/>
                <w:sz w:val="24"/>
              </w:rPr>
              <w:t>经稳定化后，重金属</w:t>
            </w:r>
            <w:r>
              <w:rPr>
                <w:rFonts w:hint="eastAsia"/>
                <w:bCs/>
                <w:sz w:val="24"/>
              </w:rPr>
              <w:t>浸出</w:t>
            </w:r>
            <w:r>
              <w:rPr>
                <w:bCs/>
                <w:sz w:val="24"/>
              </w:rPr>
              <w:t>浓度远低于标准限值，环境风险可控。</w:t>
            </w:r>
          </w:p>
          <w:p w14:paraId="16C0AF4C" w14:textId="77777777" w:rsidR="00F76A63" w:rsidRDefault="00000000">
            <w:pPr>
              <w:adjustRightInd w:val="0"/>
              <w:snapToGrid w:val="0"/>
              <w:spacing w:line="500" w:lineRule="exact"/>
              <w:ind w:firstLineChars="200" w:firstLine="480"/>
              <w:rPr>
                <w:bCs/>
                <w:sz w:val="24"/>
              </w:rPr>
            </w:pPr>
            <w:r>
              <w:rPr>
                <w:rFonts w:hint="eastAsia"/>
                <w:bCs/>
                <w:sz w:val="24"/>
              </w:rPr>
              <w:t>根据文献（王相凤等，燃煤工业锅炉、窑炉重金属控制对策分析研究，第二届重金属污染防治级风险评价研讨会），袋式除尘对各类重金属具有协同处置效率，本项目产生的含重金属烟气可依托水泥窑袋式除尘设施去除，去除率为</w:t>
            </w:r>
            <w:r>
              <w:rPr>
                <w:rFonts w:hint="eastAsia"/>
                <w:bCs/>
                <w:sz w:val="24"/>
              </w:rPr>
              <w:t>60%</w:t>
            </w:r>
            <w:r>
              <w:rPr>
                <w:rFonts w:hint="eastAsia"/>
                <w:bCs/>
                <w:sz w:val="24"/>
              </w:rPr>
              <w:t>，具体详见大气专项。</w:t>
            </w:r>
          </w:p>
          <w:p w14:paraId="7911C2E2" w14:textId="77777777" w:rsidR="00F76A63" w:rsidRDefault="00000000">
            <w:pPr>
              <w:adjustRightInd w:val="0"/>
              <w:snapToGrid w:val="0"/>
              <w:spacing w:line="500" w:lineRule="exact"/>
              <w:ind w:firstLineChars="200" w:firstLine="482"/>
              <w:jc w:val="left"/>
              <w:rPr>
                <w:b/>
                <w:sz w:val="24"/>
              </w:rPr>
            </w:pPr>
            <w:r>
              <w:rPr>
                <w:b/>
                <w:sz w:val="24"/>
              </w:rPr>
              <w:t>（</w:t>
            </w:r>
            <w:r>
              <w:rPr>
                <w:b/>
                <w:sz w:val="24"/>
              </w:rPr>
              <w:t>3</w:t>
            </w:r>
            <w:r>
              <w:rPr>
                <w:b/>
                <w:sz w:val="24"/>
              </w:rPr>
              <w:t>）硫元素平衡</w:t>
            </w:r>
          </w:p>
          <w:p w14:paraId="396E54DC" w14:textId="77777777" w:rsidR="00F76A63" w:rsidRDefault="00000000">
            <w:pPr>
              <w:adjustRightInd w:val="0"/>
              <w:snapToGrid w:val="0"/>
              <w:spacing w:line="500" w:lineRule="exact"/>
              <w:ind w:firstLineChars="200" w:firstLine="480"/>
              <w:rPr>
                <w:bCs/>
                <w:sz w:val="24"/>
              </w:rPr>
            </w:pPr>
            <w:r>
              <w:rPr>
                <w:bCs/>
                <w:sz w:val="24"/>
              </w:rPr>
              <w:lastRenderedPageBreak/>
              <w:t>窑尾排放的</w:t>
            </w:r>
            <w:r>
              <w:rPr>
                <w:bCs/>
                <w:sz w:val="24"/>
              </w:rPr>
              <w:t>SO</w:t>
            </w:r>
            <w:r>
              <w:rPr>
                <w:bCs/>
                <w:sz w:val="24"/>
                <w:vertAlign w:val="subscript"/>
              </w:rPr>
              <w:t>2</w:t>
            </w:r>
            <w:r>
              <w:rPr>
                <w:bCs/>
                <w:sz w:val="24"/>
              </w:rPr>
              <w:t>是由于煤粉在窑内燃烧及煅烧熟料时生料带入的硫产生的。由于水泥烧成过程中窑内存在大量的氧化钙和碱性氧化物，大部分产生的</w:t>
            </w:r>
            <w:r>
              <w:rPr>
                <w:bCs/>
                <w:sz w:val="24"/>
              </w:rPr>
              <w:t>SO</w:t>
            </w:r>
            <w:r>
              <w:rPr>
                <w:bCs/>
                <w:sz w:val="24"/>
                <w:vertAlign w:val="subscript"/>
              </w:rPr>
              <w:t>2</w:t>
            </w:r>
            <w:r>
              <w:rPr>
                <w:bCs/>
                <w:sz w:val="24"/>
              </w:rPr>
              <w:t>将被吸收形成硫酸钙以及亚硫酸钙等中间物质，窑外分解窑由于物料与气体接触充分，则吸硫率约</w:t>
            </w:r>
            <w:r>
              <w:rPr>
                <w:bCs/>
                <w:sz w:val="24"/>
              </w:rPr>
              <w:t>95%</w:t>
            </w:r>
            <w:r>
              <w:rPr>
                <w:bCs/>
                <w:sz w:val="24"/>
              </w:rPr>
              <w:t>～</w:t>
            </w:r>
            <w:r>
              <w:rPr>
                <w:bCs/>
                <w:sz w:val="24"/>
              </w:rPr>
              <w:t>100%</w:t>
            </w:r>
            <w:r>
              <w:rPr>
                <w:bCs/>
                <w:sz w:val="24"/>
              </w:rPr>
              <w:t>，在窑磨一体机的模式下，烟气经生料磨后再排入大气，则生料磨系统中新形成的活性表面及潮湿气氛有利于</w:t>
            </w:r>
            <w:r>
              <w:rPr>
                <w:bCs/>
                <w:sz w:val="24"/>
              </w:rPr>
              <w:t>SO</w:t>
            </w:r>
            <w:r>
              <w:rPr>
                <w:bCs/>
                <w:sz w:val="24"/>
                <w:vertAlign w:val="subscript"/>
              </w:rPr>
              <w:t>2</w:t>
            </w:r>
            <w:r>
              <w:rPr>
                <w:bCs/>
                <w:sz w:val="24"/>
              </w:rPr>
              <w:t>的吸收，因此可以大大降低</w:t>
            </w:r>
            <w:r>
              <w:rPr>
                <w:bCs/>
                <w:sz w:val="24"/>
              </w:rPr>
              <w:t>SO</w:t>
            </w:r>
            <w:r>
              <w:rPr>
                <w:bCs/>
                <w:sz w:val="24"/>
                <w:vertAlign w:val="subscript"/>
              </w:rPr>
              <w:t>2</w:t>
            </w:r>
            <w:r>
              <w:rPr>
                <w:bCs/>
                <w:sz w:val="24"/>
              </w:rPr>
              <w:t>的排放。根据实际生产，改建前固硫率及二氧化硫去除率为</w:t>
            </w:r>
            <w:r>
              <w:rPr>
                <w:bCs/>
                <w:sz w:val="24"/>
              </w:rPr>
              <w:t>97.5%</w:t>
            </w:r>
            <w:r>
              <w:rPr>
                <w:bCs/>
                <w:sz w:val="24"/>
              </w:rPr>
              <w:t>，改建后生料量不变，脱硫措施不变，故固硫率及二氧化硫去除率按不变考虑。</w:t>
            </w:r>
          </w:p>
          <w:p w14:paraId="58BA4008" w14:textId="77777777" w:rsidR="00F76A63" w:rsidRDefault="00000000">
            <w:pPr>
              <w:adjustRightInd w:val="0"/>
              <w:snapToGrid w:val="0"/>
              <w:spacing w:line="500" w:lineRule="exact"/>
              <w:ind w:firstLineChars="200" w:firstLine="482"/>
              <w:rPr>
                <w:b/>
                <w:sz w:val="24"/>
              </w:rPr>
            </w:pPr>
            <w:r>
              <w:rPr>
                <w:rFonts w:ascii="Cambria Math" w:hAnsi="Cambria Math" w:cs="Cambria Math"/>
                <w:b/>
                <w:sz w:val="24"/>
              </w:rPr>
              <w:t>①</w:t>
            </w:r>
            <w:r>
              <w:rPr>
                <w:b/>
                <w:sz w:val="24"/>
              </w:rPr>
              <w:t>元素平衡</w:t>
            </w:r>
          </w:p>
          <w:p w14:paraId="7C375103" w14:textId="77777777" w:rsidR="00F76A63" w:rsidRDefault="00000000">
            <w:pPr>
              <w:adjustRightInd w:val="0"/>
              <w:snapToGrid w:val="0"/>
              <w:spacing w:line="500" w:lineRule="exact"/>
              <w:jc w:val="center"/>
              <w:rPr>
                <w:b/>
                <w:bCs/>
                <w:sz w:val="24"/>
              </w:rPr>
            </w:pPr>
            <w:r>
              <w:rPr>
                <w:b/>
                <w:bCs/>
                <w:sz w:val="24"/>
              </w:rPr>
              <w:t>表</w:t>
            </w:r>
            <w:r>
              <w:rPr>
                <w:b/>
                <w:bCs/>
                <w:sz w:val="24"/>
              </w:rPr>
              <w:t>2-2</w:t>
            </w:r>
            <w:r>
              <w:rPr>
                <w:rFonts w:hint="eastAsia"/>
                <w:b/>
                <w:bCs/>
                <w:sz w:val="24"/>
              </w:rPr>
              <w:t>3</w:t>
            </w:r>
            <w:r>
              <w:rPr>
                <w:b/>
                <w:bCs/>
                <w:sz w:val="24"/>
              </w:rPr>
              <w:t xml:space="preserve">  1#</w:t>
            </w:r>
            <w:r>
              <w:rPr>
                <w:b/>
                <w:bCs/>
                <w:sz w:val="24"/>
              </w:rPr>
              <w:t>线硫元素平衡表（</w:t>
            </w:r>
            <w:r>
              <w:rPr>
                <w:b/>
                <w:bCs/>
                <w:sz w:val="24"/>
              </w:rPr>
              <w:t>t/a</w:t>
            </w:r>
            <w:r>
              <w:rPr>
                <w:b/>
                <w:bCs/>
                <w:sz w:val="24"/>
              </w:rPr>
              <w:t>）</w:t>
            </w:r>
          </w:p>
          <w:p w14:paraId="2BF8D3DC" w14:textId="77777777" w:rsidR="0097066E" w:rsidRPr="0097066E" w:rsidRDefault="0097066E" w:rsidP="0097066E">
            <w:pPr>
              <w:adjustRightInd w:val="0"/>
              <w:snapToGrid w:val="0"/>
              <w:spacing w:line="500" w:lineRule="exact"/>
              <w:jc w:val="center"/>
              <w:rPr>
                <w:b/>
                <w:bCs/>
                <w:i/>
                <w:iCs/>
                <w:sz w:val="24"/>
              </w:rPr>
            </w:pPr>
            <w:r w:rsidRPr="0097066E">
              <w:rPr>
                <w:b/>
                <w:bCs/>
                <w:i/>
                <w:iCs/>
                <w:sz w:val="24"/>
              </w:rPr>
              <w:t>（涉密已删除）</w:t>
            </w:r>
          </w:p>
          <w:p w14:paraId="3EE69258" w14:textId="77777777" w:rsidR="00F76A63" w:rsidRDefault="00000000">
            <w:pPr>
              <w:adjustRightInd w:val="0"/>
              <w:snapToGrid w:val="0"/>
              <w:spacing w:line="500" w:lineRule="exact"/>
              <w:jc w:val="center"/>
              <w:rPr>
                <w:b/>
                <w:bCs/>
                <w:sz w:val="24"/>
              </w:rPr>
            </w:pPr>
            <w:bookmarkStart w:id="83" w:name="OLE_LINK8"/>
            <w:r>
              <w:rPr>
                <w:b/>
                <w:bCs/>
                <w:sz w:val="24"/>
              </w:rPr>
              <w:t>表</w:t>
            </w:r>
            <w:r>
              <w:rPr>
                <w:b/>
                <w:bCs/>
                <w:sz w:val="24"/>
              </w:rPr>
              <w:t>2-2</w:t>
            </w:r>
            <w:r>
              <w:rPr>
                <w:rFonts w:hint="eastAsia"/>
                <w:b/>
                <w:bCs/>
                <w:sz w:val="24"/>
              </w:rPr>
              <w:t>4</w:t>
            </w:r>
            <w:r>
              <w:rPr>
                <w:b/>
                <w:bCs/>
                <w:sz w:val="24"/>
              </w:rPr>
              <w:t xml:space="preserve">  2#</w:t>
            </w:r>
            <w:r>
              <w:rPr>
                <w:b/>
                <w:bCs/>
                <w:sz w:val="24"/>
              </w:rPr>
              <w:t>线硫元素平衡表（</w:t>
            </w:r>
            <w:r>
              <w:rPr>
                <w:b/>
                <w:bCs/>
                <w:sz w:val="24"/>
              </w:rPr>
              <w:t>t/a</w:t>
            </w:r>
            <w:r>
              <w:rPr>
                <w:b/>
                <w:bCs/>
                <w:sz w:val="24"/>
              </w:rPr>
              <w:t>）</w:t>
            </w:r>
          </w:p>
          <w:p w14:paraId="3FE7AAEC" w14:textId="77777777" w:rsidR="0097066E" w:rsidRPr="0097066E" w:rsidRDefault="0097066E" w:rsidP="0097066E">
            <w:pPr>
              <w:adjustRightInd w:val="0"/>
              <w:snapToGrid w:val="0"/>
              <w:spacing w:line="500" w:lineRule="exact"/>
              <w:jc w:val="center"/>
              <w:rPr>
                <w:b/>
                <w:bCs/>
                <w:i/>
                <w:iCs/>
                <w:sz w:val="24"/>
              </w:rPr>
            </w:pPr>
            <w:r w:rsidRPr="0097066E">
              <w:rPr>
                <w:b/>
                <w:bCs/>
                <w:i/>
                <w:iCs/>
                <w:sz w:val="24"/>
              </w:rPr>
              <w:t>（涉密已删除）</w:t>
            </w:r>
          </w:p>
          <w:bookmarkEnd w:id="83"/>
          <w:p w14:paraId="4BDFBF5C" w14:textId="77777777" w:rsidR="00F76A63" w:rsidRDefault="00000000">
            <w:pPr>
              <w:pStyle w:val="afffffff5"/>
              <w:spacing w:line="500" w:lineRule="exact"/>
              <w:ind w:left="482" w:firstLineChars="0" w:firstLine="0"/>
              <w:jc w:val="left"/>
              <w:rPr>
                <w:rFonts w:ascii="Times New Roman" w:hAnsi="Times New Roman"/>
                <w:b/>
                <w:sz w:val="24"/>
              </w:rPr>
            </w:pPr>
            <w:r>
              <w:rPr>
                <w:rFonts w:ascii="Cambria Math" w:hAnsi="Cambria Math" w:cs="Cambria Math"/>
                <w:b/>
                <w:sz w:val="24"/>
              </w:rPr>
              <w:t>②</w:t>
            </w:r>
            <w:r>
              <w:rPr>
                <w:rFonts w:ascii="Times New Roman" w:hAnsi="Times New Roman"/>
                <w:b/>
                <w:sz w:val="24"/>
              </w:rPr>
              <w:t>硫元素投加量可行性分析</w:t>
            </w:r>
          </w:p>
          <w:p w14:paraId="61BD056F" w14:textId="77777777" w:rsidR="00F76A63" w:rsidRDefault="00000000">
            <w:pPr>
              <w:adjustRightInd w:val="0"/>
              <w:snapToGrid w:val="0"/>
              <w:spacing w:line="500" w:lineRule="exact"/>
              <w:ind w:firstLineChars="200" w:firstLine="480"/>
              <w:rPr>
                <w:bCs/>
                <w:sz w:val="24"/>
              </w:rPr>
            </w:pPr>
            <w:r>
              <w:rPr>
                <w:bCs/>
                <w:sz w:val="24"/>
              </w:rPr>
              <w:t>根据《水泥窑协同处置固体废物环境保护技术规范》（</w:t>
            </w:r>
            <w:r>
              <w:rPr>
                <w:bCs/>
                <w:sz w:val="24"/>
              </w:rPr>
              <w:t>HJ662-2013</w:t>
            </w:r>
            <w:r>
              <w:rPr>
                <w:bCs/>
                <w:sz w:val="24"/>
              </w:rPr>
              <w:t>），通过配料系统投加的物料中硫化物硫与有机硫总含量不应大于</w:t>
            </w:r>
            <w:r>
              <w:rPr>
                <w:bCs/>
                <w:sz w:val="24"/>
              </w:rPr>
              <w:t>0.014%</w:t>
            </w:r>
            <w:r>
              <w:rPr>
                <w:bCs/>
                <w:sz w:val="24"/>
              </w:rPr>
              <w:t>；从窑头、窑尾高温区投加的全硫与配料系统投加的硫酸盐硫总投加量不应大于</w:t>
            </w:r>
            <w:r>
              <w:rPr>
                <w:bCs/>
                <w:sz w:val="24"/>
              </w:rPr>
              <w:t>3000mg/kg-cli</w:t>
            </w:r>
            <w:r>
              <w:rPr>
                <w:bCs/>
                <w:sz w:val="24"/>
              </w:rPr>
              <w:t>。</w:t>
            </w:r>
          </w:p>
          <w:p w14:paraId="2B866B70" w14:textId="77777777" w:rsidR="00F76A63" w:rsidRDefault="00000000">
            <w:pPr>
              <w:adjustRightInd w:val="0"/>
              <w:snapToGrid w:val="0"/>
              <w:spacing w:line="500" w:lineRule="exact"/>
              <w:ind w:firstLineChars="200" w:firstLine="480"/>
              <w:rPr>
                <w:bCs/>
                <w:sz w:val="24"/>
              </w:rPr>
            </w:pPr>
            <w:r>
              <w:rPr>
                <w:bCs/>
                <w:sz w:val="24"/>
              </w:rPr>
              <w:t>根据《水泥窑协同处置固体废物环境保护技术规范》（</w:t>
            </w:r>
            <w:r>
              <w:rPr>
                <w:bCs/>
                <w:sz w:val="24"/>
              </w:rPr>
              <w:t>HJ662-2013</w:t>
            </w:r>
            <w:r>
              <w:rPr>
                <w:bCs/>
                <w:sz w:val="24"/>
              </w:rPr>
              <w:t>）</w:t>
            </w:r>
            <w:r>
              <w:rPr>
                <w:bCs/>
                <w:sz w:val="24"/>
              </w:rPr>
              <w:t>6.6.9</w:t>
            </w:r>
            <w:r>
              <w:rPr>
                <w:bCs/>
                <w:sz w:val="24"/>
              </w:rPr>
              <w:t>节，从配料系统投加的物料中硫化物</w:t>
            </w:r>
            <w:r>
              <w:rPr>
                <w:bCs/>
                <w:sz w:val="24"/>
              </w:rPr>
              <w:t>S</w:t>
            </w:r>
            <w:r>
              <w:rPr>
                <w:bCs/>
                <w:sz w:val="24"/>
              </w:rPr>
              <w:t>和有机</w:t>
            </w:r>
            <w:r>
              <w:rPr>
                <w:bCs/>
                <w:sz w:val="24"/>
              </w:rPr>
              <w:t>S</w:t>
            </w:r>
            <w:r>
              <w:rPr>
                <w:bCs/>
                <w:sz w:val="24"/>
              </w:rPr>
              <w:t>总含量的计算公式如下：</w:t>
            </w:r>
          </w:p>
          <w:p w14:paraId="5ED461AE" w14:textId="77777777" w:rsidR="00F76A63" w:rsidRDefault="00000000">
            <w:pPr>
              <w:adjustRightInd w:val="0"/>
              <w:snapToGrid w:val="0"/>
              <w:jc w:val="center"/>
              <w:rPr>
                <w:bCs/>
                <w:sz w:val="24"/>
              </w:rPr>
            </w:pPr>
            <w:r>
              <w:rPr>
                <w:bCs/>
                <w:noProof/>
                <w:sz w:val="24"/>
              </w:rPr>
              <w:drawing>
                <wp:inline distT="0" distB="0" distL="0" distR="0" wp14:anchorId="268E893C" wp14:editId="4533924C">
                  <wp:extent cx="1666875" cy="485775"/>
                  <wp:effectExtent l="0" t="0" r="9525" b="9525"/>
                  <wp:docPr id="1460635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3592" name="图片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666875" cy="485775"/>
                          </a:xfrm>
                          <a:prstGeom prst="rect">
                            <a:avLst/>
                          </a:prstGeom>
                          <a:noFill/>
                          <a:ln>
                            <a:noFill/>
                          </a:ln>
                        </pic:spPr>
                      </pic:pic>
                    </a:graphicData>
                  </a:graphic>
                </wp:inline>
              </w:drawing>
            </w:r>
          </w:p>
          <w:p w14:paraId="14B440AE" w14:textId="77777777" w:rsidR="00F76A63" w:rsidRDefault="00000000">
            <w:pPr>
              <w:adjustRightInd w:val="0"/>
              <w:snapToGrid w:val="0"/>
              <w:spacing w:line="500" w:lineRule="exact"/>
              <w:ind w:firstLineChars="200" w:firstLine="480"/>
              <w:rPr>
                <w:bCs/>
                <w:sz w:val="24"/>
              </w:rPr>
            </w:pPr>
            <w:r>
              <w:rPr>
                <w:bCs/>
                <w:sz w:val="24"/>
              </w:rPr>
              <w:t>式中：</w:t>
            </w:r>
            <w:r>
              <w:rPr>
                <w:bCs/>
                <w:sz w:val="24"/>
              </w:rPr>
              <w:t>C</w:t>
            </w:r>
            <w:r>
              <w:rPr>
                <w:bCs/>
                <w:sz w:val="24"/>
              </w:rPr>
              <w:t>为从配料系统投加的物料中硫化物</w:t>
            </w:r>
            <w:r>
              <w:rPr>
                <w:bCs/>
                <w:sz w:val="24"/>
              </w:rPr>
              <w:t>S</w:t>
            </w:r>
            <w:r>
              <w:rPr>
                <w:bCs/>
                <w:sz w:val="24"/>
              </w:rPr>
              <w:t>和有机</w:t>
            </w:r>
            <w:r>
              <w:rPr>
                <w:bCs/>
                <w:sz w:val="24"/>
              </w:rPr>
              <w:t>S</w:t>
            </w:r>
            <w:r>
              <w:rPr>
                <w:bCs/>
                <w:sz w:val="24"/>
              </w:rPr>
              <w:t>的含量，</w:t>
            </w:r>
            <w:r>
              <w:rPr>
                <w:bCs/>
                <w:sz w:val="24"/>
              </w:rPr>
              <w:t>%</w:t>
            </w:r>
            <w:r>
              <w:rPr>
                <w:bCs/>
                <w:sz w:val="24"/>
              </w:rPr>
              <w:t>；</w:t>
            </w:r>
          </w:p>
          <w:p w14:paraId="62221F56" w14:textId="77777777" w:rsidR="00F76A63" w:rsidRDefault="00000000">
            <w:pPr>
              <w:adjustRightInd w:val="0"/>
              <w:snapToGrid w:val="0"/>
              <w:spacing w:line="500" w:lineRule="exact"/>
              <w:ind w:firstLineChars="200" w:firstLine="480"/>
              <w:rPr>
                <w:bCs/>
                <w:sz w:val="24"/>
              </w:rPr>
            </w:pPr>
            <w:r>
              <w:rPr>
                <w:bCs/>
                <w:i/>
                <w:sz w:val="24"/>
              </w:rPr>
              <w:t>C</w:t>
            </w:r>
            <w:r>
              <w:rPr>
                <w:bCs/>
                <w:i/>
                <w:sz w:val="24"/>
                <w:vertAlign w:val="subscript"/>
              </w:rPr>
              <w:t>w</w:t>
            </w:r>
            <w:r>
              <w:rPr>
                <w:bCs/>
                <w:sz w:val="24"/>
              </w:rPr>
              <w:t>和</w:t>
            </w:r>
            <w:r>
              <w:rPr>
                <w:bCs/>
                <w:i/>
                <w:sz w:val="24"/>
              </w:rPr>
              <w:t>C</w:t>
            </w:r>
            <w:r>
              <w:rPr>
                <w:bCs/>
                <w:i/>
                <w:sz w:val="24"/>
                <w:vertAlign w:val="subscript"/>
              </w:rPr>
              <w:t>r</w:t>
            </w:r>
            <w:r>
              <w:rPr>
                <w:bCs/>
                <w:sz w:val="24"/>
              </w:rPr>
              <w:t>分别为从配料系统投加的固体废物和常规原料中硫化物</w:t>
            </w:r>
            <w:r>
              <w:rPr>
                <w:bCs/>
                <w:sz w:val="24"/>
              </w:rPr>
              <w:t>S</w:t>
            </w:r>
            <w:r>
              <w:rPr>
                <w:bCs/>
                <w:sz w:val="24"/>
              </w:rPr>
              <w:t>和有机</w:t>
            </w:r>
            <w:r>
              <w:rPr>
                <w:bCs/>
                <w:sz w:val="24"/>
              </w:rPr>
              <w:t>S</w:t>
            </w:r>
            <w:r>
              <w:rPr>
                <w:bCs/>
                <w:sz w:val="24"/>
              </w:rPr>
              <w:t>的总含量，</w:t>
            </w:r>
            <w:r>
              <w:rPr>
                <w:bCs/>
                <w:sz w:val="24"/>
              </w:rPr>
              <w:t>%</w:t>
            </w:r>
            <w:r>
              <w:rPr>
                <w:bCs/>
                <w:sz w:val="24"/>
              </w:rPr>
              <w:t>；</w:t>
            </w:r>
          </w:p>
          <w:p w14:paraId="5219150F" w14:textId="77777777" w:rsidR="00F76A63" w:rsidRDefault="00000000">
            <w:pPr>
              <w:adjustRightInd w:val="0"/>
              <w:snapToGrid w:val="0"/>
              <w:spacing w:line="500" w:lineRule="exact"/>
              <w:ind w:firstLineChars="200" w:firstLine="480"/>
              <w:rPr>
                <w:bCs/>
                <w:sz w:val="24"/>
              </w:rPr>
            </w:pPr>
            <w:r>
              <w:rPr>
                <w:bCs/>
                <w:i/>
                <w:sz w:val="24"/>
              </w:rPr>
              <w:t>m</w:t>
            </w:r>
            <w:r>
              <w:rPr>
                <w:bCs/>
                <w:i/>
                <w:sz w:val="24"/>
                <w:vertAlign w:val="subscript"/>
              </w:rPr>
              <w:t>w</w:t>
            </w:r>
            <w:r>
              <w:rPr>
                <w:bCs/>
                <w:sz w:val="24"/>
              </w:rPr>
              <w:t>和</w:t>
            </w:r>
            <w:r>
              <w:rPr>
                <w:bCs/>
                <w:i/>
                <w:sz w:val="24"/>
              </w:rPr>
              <w:t>m</w:t>
            </w:r>
            <w:r>
              <w:rPr>
                <w:bCs/>
                <w:i/>
                <w:sz w:val="24"/>
                <w:vertAlign w:val="subscript"/>
              </w:rPr>
              <w:t>r</w:t>
            </w:r>
            <w:r>
              <w:rPr>
                <w:bCs/>
                <w:sz w:val="24"/>
              </w:rPr>
              <w:t>分别为单位时间内固体废物和常规原料的投加量，</w:t>
            </w:r>
            <w:r>
              <w:rPr>
                <w:bCs/>
                <w:sz w:val="24"/>
              </w:rPr>
              <w:t>kg/h</w:t>
            </w:r>
            <w:r>
              <w:rPr>
                <w:bCs/>
                <w:sz w:val="24"/>
              </w:rPr>
              <w:t>。从窑头、窑尾高温区投加的全</w:t>
            </w:r>
            <w:r>
              <w:rPr>
                <w:bCs/>
                <w:sz w:val="24"/>
              </w:rPr>
              <w:t>S</w:t>
            </w:r>
            <w:r>
              <w:rPr>
                <w:bCs/>
                <w:sz w:val="24"/>
              </w:rPr>
              <w:t>与配料系统投加的硫酸盐</w:t>
            </w:r>
            <w:r>
              <w:rPr>
                <w:bCs/>
                <w:sz w:val="24"/>
              </w:rPr>
              <w:t>S</w:t>
            </w:r>
            <w:r>
              <w:rPr>
                <w:bCs/>
                <w:sz w:val="24"/>
              </w:rPr>
              <w:t>总投加量的计算公式如下：</w:t>
            </w:r>
          </w:p>
          <w:p w14:paraId="2749D317" w14:textId="77777777" w:rsidR="00F76A63" w:rsidRDefault="00000000">
            <w:pPr>
              <w:adjustRightInd w:val="0"/>
              <w:snapToGrid w:val="0"/>
              <w:jc w:val="center"/>
              <w:rPr>
                <w:bCs/>
                <w:sz w:val="24"/>
              </w:rPr>
            </w:pPr>
            <w:r>
              <w:rPr>
                <w:bCs/>
                <w:noProof/>
                <w:sz w:val="24"/>
              </w:rPr>
              <w:drawing>
                <wp:inline distT="0" distB="0" distL="0" distR="0" wp14:anchorId="66803CBB" wp14:editId="60A6CAF1">
                  <wp:extent cx="3438525" cy="466725"/>
                  <wp:effectExtent l="0" t="0" r="9525" b="9525"/>
                  <wp:docPr id="18274704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7046" name="图片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438525" cy="466725"/>
                          </a:xfrm>
                          <a:prstGeom prst="rect">
                            <a:avLst/>
                          </a:prstGeom>
                          <a:noFill/>
                          <a:ln>
                            <a:noFill/>
                          </a:ln>
                        </pic:spPr>
                      </pic:pic>
                    </a:graphicData>
                  </a:graphic>
                </wp:inline>
              </w:drawing>
            </w:r>
          </w:p>
          <w:p w14:paraId="5633EFBF" w14:textId="77777777" w:rsidR="00F76A63" w:rsidRDefault="00000000">
            <w:pPr>
              <w:adjustRightInd w:val="0"/>
              <w:snapToGrid w:val="0"/>
              <w:spacing w:line="500" w:lineRule="exact"/>
              <w:ind w:firstLineChars="200" w:firstLine="480"/>
              <w:rPr>
                <w:bCs/>
                <w:sz w:val="24"/>
              </w:rPr>
            </w:pPr>
            <w:r>
              <w:rPr>
                <w:bCs/>
                <w:sz w:val="24"/>
              </w:rPr>
              <w:lastRenderedPageBreak/>
              <w:t>式中：</w:t>
            </w:r>
            <w:r>
              <w:rPr>
                <w:bCs/>
                <w:i/>
                <w:sz w:val="24"/>
              </w:rPr>
              <w:t>FM</w:t>
            </w:r>
            <w:r>
              <w:rPr>
                <w:bCs/>
                <w:i/>
                <w:sz w:val="24"/>
                <w:vertAlign w:val="subscript"/>
              </w:rPr>
              <w:t>S</w:t>
            </w:r>
            <w:r>
              <w:rPr>
                <w:bCs/>
                <w:sz w:val="24"/>
              </w:rPr>
              <w:t>为从窑头、窑尾高温区投加的全硫与配料系统投加的硫酸盐</w:t>
            </w:r>
            <w:r>
              <w:rPr>
                <w:bCs/>
                <w:sz w:val="24"/>
              </w:rPr>
              <w:t>S</w:t>
            </w:r>
            <w:r>
              <w:rPr>
                <w:bCs/>
                <w:sz w:val="24"/>
              </w:rPr>
              <w:t>总投加量，</w:t>
            </w:r>
            <w:r>
              <w:rPr>
                <w:bCs/>
                <w:sz w:val="24"/>
              </w:rPr>
              <w:t>mg/kg-cli</w:t>
            </w:r>
            <w:r>
              <w:rPr>
                <w:bCs/>
                <w:sz w:val="24"/>
              </w:rPr>
              <w:t>；</w:t>
            </w:r>
          </w:p>
          <w:p w14:paraId="21815CC9" w14:textId="77777777" w:rsidR="00F76A63" w:rsidRDefault="00000000">
            <w:pPr>
              <w:adjustRightInd w:val="0"/>
              <w:snapToGrid w:val="0"/>
              <w:spacing w:line="500" w:lineRule="exact"/>
              <w:ind w:firstLineChars="200" w:firstLine="480"/>
              <w:rPr>
                <w:bCs/>
                <w:sz w:val="24"/>
              </w:rPr>
            </w:pPr>
            <w:r>
              <w:rPr>
                <w:bCs/>
                <w:i/>
                <w:sz w:val="24"/>
              </w:rPr>
              <w:t>C</w:t>
            </w:r>
            <w:r>
              <w:rPr>
                <w:bCs/>
                <w:i/>
                <w:sz w:val="24"/>
                <w:vertAlign w:val="subscript"/>
              </w:rPr>
              <w:t>w</w:t>
            </w:r>
            <w:r>
              <w:rPr>
                <w:bCs/>
                <w:sz w:val="24"/>
                <w:vertAlign w:val="subscript"/>
              </w:rPr>
              <w:t>1</w:t>
            </w:r>
            <w:r>
              <w:rPr>
                <w:bCs/>
                <w:sz w:val="24"/>
              </w:rPr>
              <w:t>和</w:t>
            </w:r>
            <w:r>
              <w:rPr>
                <w:bCs/>
                <w:i/>
                <w:sz w:val="24"/>
              </w:rPr>
              <w:t>C</w:t>
            </w:r>
            <w:r>
              <w:rPr>
                <w:bCs/>
                <w:i/>
                <w:sz w:val="24"/>
                <w:vertAlign w:val="subscript"/>
              </w:rPr>
              <w:t>f</w:t>
            </w:r>
            <w:r>
              <w:rPr>
                <w:bCs/>
                <w:sz w:val="24"/>
              </w:rPr>
              <w:t>分别为从高温区投加的固体废物和常规燃料中的全</w:t>
            </w:r>
            <w:r>
              <w:rPr>
                <w:bCs/>
                <w:sz w:val="24"/>
              </w:rPr>
              <w:t>S</w:t>
            </w:r>
            <w:r>
              <w:rPr>
                <w:bCs/>
                <w:sz w:val="24"/>
              </w:rPr>
              <w:t>含量，</w:t>
            </w:r>
            <w:r>
              <w:rPr>
                <w:bCs/>
                <w:sz w:val="24"/>
              </w:rPr>
              <w:t>%</w:t>
            </w:r>
            <w:r>
              <w:rPr>
                <w:bCs/>
                <w:sz w:val="24"/>
              </w:rPr>
              <w:t>；</w:t>
            </w:r>
          </w:p>
          <w:p w14:paraId="7AD16228" w14:textId="77777777" w:rsidR="00F76A63" w:rsidRDefault="00000000">
            <w:pPr>
              <w:adjustRightInd w:val="0"/>
              <w:snapToGrid w:val="0"/>
              <w:spacing w:line="500" w:lineRule="exact"/>
              <w:ind w:firstLineChars="200" w:firstLine="480"/>
              <w:rPr>
                <w:bCs/>
                <w:sz w:val="24"/>
              </w:rPr>
            </w:pPr>
            <w:r>
              <w:rPr>
                <w:bCs/>
                <w:i/>
                <w:sz w:val="24"/>
              </w:rPr>
              <w:t>C</w:t>
            </w:r>
            <w:r>
              <w:rPr>
                <w:bCs/>
                <w:i/>
                <w:sz w:val="24"/>
                <w:vertAlign w:val="subscript"/>
              </w:rPr>
              <w:t>w</w:t>
            </w:r>
            <w:r>
              <w:rPr>
                <w:bCs/>
                <w:sz w:val="24"/>
                <w:vertAlign w:val="subscript"/>
              </w:rPr>
              <w:t>2</w:t>
            </w:r>
            <w:r>
              <w:rPr>
                <w:bCs/>
                <w:sz w:val="24"/>
              </w:rPr>
              <w:t>和</w:t>
            </w:r>
            <w:r>
              <w:rPr>
                <w:bCs/>
                <w:i/>
                <w:sz w:val="24"/>
              </w:rPr>
              <w:t>C</w:t>
            </w:r>
            <w:r>
              <w:rPr>
                <w:bCs/>
                <w:i/>
                <w:sz w:val="24"/>
                <w:vertAlign w:val="subscript"/>
              </w:rPr>
              <w:t>r</w:t>
            </w:r>
            <w:r>
              <w:rPr>
                <w:bCs/>
                <w:sz w:val="24"/>
              </w:rPr>
              <w:t>分别为从配料系统投加的固体废物和常规原料中的硫酸盐</w:t>
            </w:r>
            <w:r>
              <w:rPr>
                <w:bCs/>
                <w:sz w:val="24"/>
              </w:rPr>
              <w:t>S</w:t>
            </w:r>
            <w:r>
              <w:rPr>
                <w:bCs/>
                <w:sz w:val="24"/>
              </w:rPr>
              <w:t>含量，</w:t>
            </w:r>
            <w:r>
              <w:rPr>
                <w:bCs/>
                <w:sz w:val="24"/>
              </w:rPr>
              <w:t>%</w:t>
            </w:r>
            <w:r>
              <w:rPr>
                <w:bCs/>
                <w:sz w:val="24"/>
              </w:rPr>
              <w:t>；</w:t>
            </w:r>
          </w:p>
          <w:p w14:paraId="4DAFA240" w14:textId="77777777" w:rsidR="00F76A63" w:rsidRDefault="00000000">
            <w:pPr>
              <w:adjustRightInd w:val="0"/>
              <w:snapToGrid w:val="0"/>
              <w:spacing w:line="500" w:lineRule="exact"/>
              <w:ind w:firstLineChars="200" w:firstLine="480"/>
              <w:rPr>
                <w:bCs/>
                <w:sz w:val="24"/>
              </w:rPr>
            </w:pPr>
            <w:r>
              <w:rPr>
                <w:bCs/>
                <w:i/>
                <w:sz w:val="24"/>
              </w:rPr>
              <w:t>m</w:t>
            </w:r>
            <w:r>
              <w:rPr>
                <w:bCs/>
                <w:i/>
                <w:sz w:val="24"/>
                <w:vertAlign w:val="subscript"/>
              </w:rPr>
              <w:t>w</w:t>
            </w:r>
            <w:r>
              <w:rPr>
                <w:bCs/>
                <w:sz w:val="24"/>
                <w:vertAlign w:val="subscript"/>
              </w:rPr>
              <w:t>1</w:t>
            </w:r>
            <w:r>
              <w:rPr>
                <w:bCs/>
                <w:sz w:val="24"/>
              </w:rPr>
              <w:t>、</w:t>
            </w:r>
            <w:r>
              <w:rPr>
                <w:bCs/>
                <w:i/>
                <w:sz w:val="24"/>
              </w:rPr>
              <w:t>m</w:t>
            </w:r>
            <w:r>
              <w:rPr>
                <w:bCs/>
                <w:i/>
                <w:sz w:val="24"/>
                <w:vertAlign w:val="subscript"/>
              </w:rPr>
              <w:t>w</w:t>
            </w:r>
            <w:r>
              <w:rPr>
                <w:bCs/>
                <w:sz w:val="24"/>
                <w:vertAlign w:val="subscript"/>
              </w:rPr>
              <w:t>2</w:t>
            </w:r>
            <w:r>
              <w:rPr>
                <w:bCs/>
                <w:sz w:val="24"/>
              </w:rPr>
              <w:t>、</w:t>
            </w:r>
            <w:r>
              <w:rPr>
                <w:bCs/>
                <w:i/>
                <w:sz w:val="24"/>
              </w:rPr>
              <w:t>m</w:t>
            </w:r>
            <w:r>
              <w:rPr>
                <w:bCs/>
                <w:i/>
                <w:sz w:val="24"/>
                <w:vertAlign w:val="subscript"/>
              </w:rPr>
              <w:t>f</w:t>
            </w:r>
            <w:r>
              <w:rPr>
                <w:bCs/>
                <w:sz w:val="24"/>
              </w:rPr>
              <w:t>和</w:t>
            </w:r>
            <w:r>
              <w:rPr>
                <w:bCs/>
                <w:i/>
                <w:sz w:val="24"/>
              </w:rPr>
              <w:t>m</w:t>
            </w:r>
            <w:r>
              <w:rPr>
                <w:bCs/>
                <w:i/>
                <w:sz w:val="24"/>
                <w:vertAlign w:val="subscript"/>
              </w:rPr>
              <w:t>r</w:t>
            </w:r>
            <w:r>
              <w:rPr>
                <w:bCs/>
                <w:sz w:val="24"/>
              </w:rPr>
              <w:t>分别为单位时间内从高温区投加的固体废物、从配料系统投加的固体废物、常规燃料和常规原料的投加量，</w:t>
            </w:r>
            <w:r>
              <w:rPr>
                <w:bCs/>
                <w:sz w:val="24"/>
              </w:rPr>
              <w:t>kg/h</w:t>
            </w:r>
            <w:r>
              <w:rPr>
                <w:bCs/>
                <w:sz w:val="24"/>
              </w:rPr>
              <w:t>。</w:t>
            </w:r>
          </w:p>
          <w:p w14:paraId="65F045B1" w14:textId="77777777" w:rsidR="00F76A63" w:rsidRDefault="00000000">
            <w:pPr>
              <w:adjustRightInd w:val="0"/>
              <w:snapToGrid w:val="0"/>
              <w:spacing w:line="500" w:lineRule="exact"/>
              <w:ind w:firstLineChars="200" w:firstLine="480"/>
              <w:rPr>
                <w:bCs/>
                <w:sz w:val="24"/>
              </w:rPr>
            </w:pPr>
            <w:r>
              <w:rPr>
                <w:bCs/>
                <w:i/>
                <w:sz w:val="24"/>
              </w:rPr>
              <w:t>m</w:t>
            </w:r>
            <w:r>
              <w:rPr>
                <w:bCs/>
                <w:i/>
                <w:sz w:val="24"/>
                <w:vertAlign w:val="subscript"/>
              </w:rPr>
              <w:t>cli</w:t>
            </w:r>
            <w:r>
              <w:rPr>
                <w:bCs/>
                <w:sz w:val="24"/>
              </w:rPr>
              <w:t>为单位时间的熟料产量，</w:t>
            </w:r>
            <w:r>
              <w:rPr>
                <w:bCs/>
                <w:sz w:val="24"/>
              </w:rPr>
              <w:t>kg/h</w:t>
            </w:r>
            <w:r>
              <w:rPr>
                <w:bCs/>
                <w:sz w:val="24"/>
              </w:rPr>
              <w:t>。</w:t>
            </w:r>
          </w:p>
          <w:p w14:paraId="4DAE8C57" w14:textId="77777777" w:rsidR="00F76A63" w:rsidRDefault="00000000">
            <w:pPr>
              <w:adjustRightInd w:val="0"/>
              <w:snapToGrid w:val="0"/>
              <w:spacing w:line="500" w:lineRule="exact"/>
              <w:jc w:val="center"/>
              <w:rPr>
                <w:b/>
                <w:bCs/>
                <w:sz w:val="24"/>
              </w:rPr>
            </w:pPr>
            <w:r>
              <w:rPr>
                <w:b/>
                <w:bCs/>
                <w:sz w:val="24"/>
              </w:rPr>
              <w:t>表</w:t>
            </w:r>
            <w:r>
              <w:rPr>
                <w:b/>
                <w:bCs/>
                <w:sz w:val="24"/>
              </w:rPr>
              <w:t>2-2</w:t>
            </w:r>
            <w:r>
              <w:rPr>
                <w:rFonts w:hint="eastAsia"/>
                <w:b/>
                <w:bCs/>
                <w:sz w:val="24"/>
              </w:rPr>
              <w:t>5</w:t>
            </w:r>
            <w:r>
              <w:rPr>
                <w:b/>
                <w:bCs/>
                <w:sz w:val="24"/>
              </w:rPr>
              <w:t xml:space="preserve">  </w:t>
            </w:r>
            <w:r>
              <w:rPr>
                <w:b/>
                <w:bCs/>
                <w:sz w:val="24"/>
              </w:rPr>
              <w:t>窑头、窑尾高温区投加的全硫与配料系统投加的硫酸盐硫总投加量</w:t>
            </w:r>
          </w:p>
          <w:p w14:paraId="06F51BD7" w14:textId="77777777" w:rsidR="0097066E" w:rsidRPr="0097066E" w:rsidRDefault="0097066E" w:rsidP="0097066E">
            <w:pPr>
              <w:adjustRightInd w:val="0"/>
              <w:snapToGrid w:val="0"/>
              <w:spacing w:line="500" w:lineRule="exact"/>
              <w:ind w:firstLineChars="200" w:firstLine="482"/>
              <w:jc w:val="center"/>
              <w:rPr>
                <w:b/>
                <w:bCs/>
                <w:i/>
                <w:iCs/>
                <w:sz w:val="24"/>
              </w:rPr>
            </w:pPr>
            <w:r w:rsidRPr="0097066E">
              <w:rPr>
                <w:b/>
                <w:bCs/>
                <w:i/>
                <w:iCs/>
                <w:sz w:val="24"/>
              </w:rPr>
              <w:t>（涉密已删除）</w:t>
            </w:r>
          </w:p>
          <w:p w14:paraId="60A4881C" w14:textId="5A59D24A" w:rsidR="00F76A63" w:rsidRDefault="00000000">
            <w:pPr>
              <w:adjustRightInd w:val="0"/>
              <w:snapToGrid w:val="0"/>
              <w:spacing w:line="500" w:lineRule="exact"/>
              <w:ind w:firstLineChars="200" w:firstLine="480"/>
              <w:rPr>
                <w:bCs/>
                <w:sz w:val="24"/>
              </w:rPr>
            </w:pPr>
            <w:r>
              <w:rPr>
                <w:bCs/>
                <w:sz w:val="24"/>
              </w:rPr>
              <w:t>根据上式计算，原料替代后全线入窑物料中硫元素含量满足</w:t>
            </w:r>
            <w:r>
              <w:rPr>
                <w:bCs/>
                <w:sz w:val="24"/>
              </w:rPr>
              <w:t>HJ662-2013</w:t>
            </w:r>
            <w:r>
              <w:rPr>
                <w:bCs/>
                <w:sz w:val="24"/>
              </w:rPr>
              <w:t>的要求。</w:t>
            </w:r>
          </w:p>
          <w:p w14:paraId="2306889E" w14:textId="77777777" w:rsidR="00F76A63" w:rsidRDefault="00000000">
            <w:pPr>
              <w:adjustRightInd w:val="0"/>
              <w:snapToGrid w:val="0"/>
              <w:spacing w:line="500" w:lineRule="exact"/>
              <w:ind w:firstLineChars="200" w:firstLine="482"/>
              <w:jc w:val="left"/>
              <w:rPr>
                <w:b/>
                <w:sz w:val="24"/>
              </w:rPr>
            </w:pPr>
            <w:r>
              <w:rPr>
                <w:b/>
                <w:sz w:val="24"/>
              </w:rPr>
              <w:t>（</w:t>
            </w:r>
            <w:r>
              <w:rPr>
                <w:b/>
                <w:sz w:val="24"/>
              </w:rPr>
              <w:t>4</w:t>
            </w:r>
            <w:r>
              <w:rPr>
                <w:b/>
                <w:sz w:val="24"/>
              </w:rPr>
              <w:t>）氯元素平衡</w:t>
            </w:r>
          </w:p>
          <w:p w14:paraId="4CB3E532" w14:textId="77777777" w:rsidR="00F76A63" w:rsidRDefault="00000000">
            <w:pPr>
              <w:adjustRightInd w:val="0"/>
              <w:snapToGrid w:val="0"/>
              <w:spacing w:line="500" w:lineRule="exact"/>
              <w:ind w:firstLineChars="200" w:firstLine="480"/>
              <w:rPr>
                <w:bCs/>
                <w:sz w:val="24"/>
              </w:rPr>
            </w:pPr>
            <w:r>
              <w:rPr>
                <w:bCs/>
                <w:sz w:val="24"/>
              </w:rPr>
              <w:t>水泥熟料烧成系统窑尾烟气中的</w:t>
            </w:r>
            <w:r>
              <w:rPr>
                <w:bCs/>
                <w:sz w:val="24"/>
              </w:rPr>
              <w:t>HCl</w:t>
            </w:r>
            <w:r>
              <w:rPr>
                <w:bCs/>
                <w:sz w:val="24"/>
              </w:rPr>
              <w:t>主要来自含氯的原燃料在烧成过程中形成的</w:t>
            </w:r>
            <w:r>
              <w:rPr>
                <w:bCs/>
                <w:sz w:val="24"/>
              </w:rPr>
              <w:t>HCl</w:t>
            </w:r>
            <w:r>
              <w:rPr>
                <w:bCs/>
                <w:sz w:val="24"/>
              </w:rPr>
              <w:t>。由于水泥窑内具有强碱性环境，</w:t>
            </w:r>
            <w:r>
              <w:rPr>
                <w:bCs/>
                <w:sz w:val="24"/>
              </w:rPr>
              <w:t>HCl</w:t>
            </w:r>
            <w:r>
              <w:rPr>
                <w:bCs/>
                <w:sz w:val="24"/>
              </w:rPr>
              <w:t>在窑内与</w:t>
            </w:r>
            <w:r>
              <w:rPr>
                <w:bCs/>
                <w:sz w:val="24"/>
              </w:rPr>
              <w:t>CaO</w:t>
            </w:r>
            <w:r>
              <w:rPr>
                <w:bCs/>
                <w:sz w:val="24"/>
              </w:rPr>
              <w:t>反应生成</w:t>
            </w:r>
            <w:r>
              <w:rPr>
                <w:bCs/>
                <w:sz w:val="24"/>
              </w:rPr>
              <w:t>CaCl</w:t>
            </w:r>
            <w:r>
              <w:rPr>
                <w:bCs/>
                <w:sz w:val="24"/>
                <w:vertAlign w:val="subscript"/>
              </w:rPr>
              <w:t>2</w:t>
            </w:r>
            <w:r>
              <w:rPr>
                <w:bCs/>
                <w:sz w:val="24"/>
              </w:rPr>
              <w:t>随熟料带出窑外，或与碱金属氧化物反应生成</w:t>
            </w:r>
            <w:r>
              <w:rPr>
                <w:bCs/>
                <w:sz w:val="24"/>
              </w:rPr>
              <w:t>NaCl</w:t>
            </w:r>
            <w:r>
              <w:rPr>
                <w:bCs/>
                <w:sz w:val="24"/>
              </w:rPr>
              <w:t>、</w:t>
            </w:r>
            <w:r>
              <w:rPr>
                <w:bCs/>
                <w:sz w:val="24"/>
              </w:rPr>
              <w:t>KCl</w:t>
            </w:r>
            <w:r>
              <w:rPr>
                <w:bCs/>
                <w:sz w:val="24"/>
              </w:rPr>
              <w:t>在窑内形成内循环而不断积蓄。在窑内，高温的气流与高温、高细度、高浓度、高吸附性、高均匀性分布的碱性物料（</w:t>
            </w:r>
            <w:r>
              <w:rPr>
                <w:bCs/>
                <w:sz w:val="24"/>
              </w:rPr>
              <w:t>CaO</w:t>
            </w:r>
            <w:r>
              <w:rPr>
                <w:bCs/>
                <w:sz w:val="24"/>
              </w:rPr>
              <w:t>、</w:t>
            </w:r>
            <w:r>
              <w:rPr>
                <w:bCs/>
                <w:sz w:val="24"/>
              </w:rPr>
              <w:t>CaCO</w:t>
            </w:r>
            <w:r>
              <w:rPr>
                <w:bCs/>
                <w:sz w:val="24"/>
                <w:vertAlign w:val="subscript"/>
              </w:rPr>
              <w:t>3</w:t>
            </w:r>
            <w:r>
              <w:rPr>
                <w:bCs/>
                <w:sz w:val="24"/>
              </w:rPr>
              <w:t>、</w:t>
            </w:r>
            <w:r>
              <w:rPr>
                <w:bCs/>
                <w:sz w:val="24"/>
              </w:rPr>
              <w:t>MgO</w:t>
            </w:r>
            <w:r>
              <w:rPr>
                <w:bCs/>
                <w:sz w:val="24"/>
              </w:rPr>
              <w:t>、</w:t>
            </w:r>
            <w:r>
              <w:rPr>
                <w:bCs/>
                <w:sz w:val="24"/>
              </w:rPr>
              <w:t>MgCO</w:t>
            </w:r>
            <w:r>
              <w:rPr>
                <w:bCs/>
                <w:sz w:val="24"/>
                <w:vertAlign w:val="subscript"/>
              </w:rPr>
              <w:t>3</w:t>
            </w:r>
            <w:r>
              <w:rPr>
                <w:bCs/>
                <w:sz w:val="24"/>
              </w:rPr>
              <w:t>、</w:t>
            </w:r>
            <w:r>
              <w:rPr>
                <w:bCs/>
                <w:sz w:val="24"/>
              </w:rPr>
              <w:t>K</w:t>
            </w:r>
            <w:r>
              <w:rPr>
                <w:bCs/>
                <w:sz w:val="24"/>
                <w:vertAlign w:val="subscript"/>
              </w:rPr>
              <w:t>2</w:t>
            </w:r>
            <w:r>
              <w:rPr>
                <w:bCs/>
                <w:sz w:val="24"/>
              </w:rPr>
              <w:t>O</w:t>
            </w:r>
            <w:r>
              <w:rPr>
                <w:bCs/>
                <w:sz w:val="24"/>
              </w:rPr>
              <w:t>、</w:t>
            </w:r>
            <w:r>
              <w:rPr>
                <w:bCs/>
                <w:sz w:val="24"/>
              </w:rPr>
              <w:t>Na</w:t>
            </w:r>
            <w:r>
              <w:rPr>
                <w:bCs/>
                <w:sz w:val="24"/>
                <w:vertAlign w:val="subscript"/>
              </w:rPr>
              <w:t>2</w:t>
            </w:r>
            <w:r>
              <w:rPr>
                <w:bCs/>
                <w:sz w:val="24"/>
              </w:rPr>
              <w:t>O</w:t>
            </w:r>
            <w:r>
              <w:rPr>
                <w:bCs/>
                <w:sz w:val="24"/>
              </w:rPr>
              <w:t>、</w:t>
            </w:r>
            <w:r>
              <w:rPr>
                <w:bCs/>
                <w:sz w:val="24"/>
              </w:rPr>
              <w:t>SiO</w:t>
            </w:r>
            <w:r>
              <w:rPr>
                <w:bCs/>
                <w:sz w:val="24"/>
                <w:vertAlign w:val="subscript"/>
              </w:rPr>
              <w:t>2</w:t>
            </w:r>
            <w:r>
              <w:rPr>
                <w:bCs/>
                <w:sz w:val="24"/>
              </w:rPr>
              <w:t>、</w:t>
            </w:r>
            <w:r>
              <w:rPr>
                <w:bCs/>
                <w:sz w:val="24"/>
              </w:rPr>
              <w:t>Al</w:t>
            </w:r>
            <w:r>
              <w:rPr>
                <w:bCs/>
                <w:sz w:val="24"/>
                <w:vertAlign w:val="subscript"/>
              </w:rPr>
              <w:t>2</w:t>
            </w:r>
            <w:r>
              <w:rPr>
                <w:bCs/>
                <w:sz w:val="24"/>
              </w:rPr>
              <w:t>O</w:t>
            </w:r>
            <w:r>
              <w:rPr>
                <w:bCs/>
                <w:sz w:val="24"/>
                <w:vertAlign w:val="subscript"/>
              </w:rPr>
              <w:t>3</w:t>
            </w:r>
            <w:r>
              <w:rPr>
                <w:bCs/>
                <w:sz w:val="24"/>
              </w:rPr>
              <w:t>、</w:t>
            </w:r>
            <w:r>
              <w:rPr>
                <w:bCs/>
                <w:sz w:val="24"/>
              </w:rPr>
              <w:t>Fe</w:t>
            </w:r>
            <w:r>
              <w:rPr>
                <w:bCs/>
                <w:sz w:val="24"/>
                <w:vertAlign w:val="subscript"/>
              </w:rPr>
              <w:t>2</w:t>
            </w:r>
            <w:r>
              <w:rPr>
                <w:bCs/>
                <w:sz w:val="24"/>
              </w:rPr>
              <w:t>O</w:t>
            </w:r>
            <w:r>
              <w:rPr>
                <w:bCs/>
                <w:sz w:val="24"/>
                <w:vertAlign w:val="subscript"/>
              </w:rPr>
              <w:t>3</w:t>
            </w:r>
            <w:r>
              <w:rPr>
                <w:bCs/>
                <w:sz w:val="24"/>
              </w:rPr>
              <w:t>等）充分接触，有利于吸收</w:t>
            </w:r>
            <w:r>
              <w:rPr>
                <w:bCs/>
                <w:sz w:val="24"/>
              </w:rPr>
              <w:t>HCl</w:t>
            </w:r>
            <w:r>
              <w:rPr>
                <w:bCs/>
                <w:sz w:val="24"/>
              </w:rPr>
              <w:t>，而后以水泥多元相钙盐</w:t>
            </w:r>
            <w:r>
              <w:rPr>
                <w:bCs/>
                <w:sz w:val="24"/>
              </w:rPr>
              <w:t>Ca</w:t>
            </w:r>
            <w:r>
              <w:rPr>
                <w:bCs/>
                <w:sz w:val="24"/>
                <w:vertAlign w:val="subscript"/>
              </w:rPr>
              <w:t>10</w:t>
            </w:r>
            <w:r>
              <w:rPr>
                <w:bCs/>
                <w:sz w:val="24"/>
              </w:rPr>
              <w:t>[(SiO</w:t>
            </w:r>
            <w:r>
              <w:rPr>
                <w:bCs/>
                <w:sz w:val="24"/>
                <w:vertAlign w:val="subscript"/>
              </w:rPr>
              <w:t>4</w:t>
            </w:r>
            <w:r>
              <w:rPr>
                <w:bCs/>
                <w:sz w:val="24"/>
              </w:rPr>
              <w:t>)</w:t>
            </w:r>
            <w:r>
              <w:rPr>
                <w:bCs/>
                <w:sz w:val="24"/>
                <w:vertAlign w:val="subscript"/>
              </w:rPr>
              <w:t>2</w:t>
            </w:r>
            <w:r>
              <w:rPr>
                <w:bCs/>
                <w:sz w:val="24"/>
              </w:rPr>
              <w:t>·</w:t>
            </w:r>
            <w:r>
              <w:rPr>
                <w:bCs/>
                <w:sz w:val="24"/>
              </w:rPr>
              <w:t>（</w:t>
            </w:r>
            <w:r>
              <w:rPr>
                <w:bCs/>
                <w:sz w:val="24"/>
              </w:rPr>
              <w:t>SO</w:t>
            </w:r>
            <w:r>
              <w:rPr>
                <w:bCs/>
                <w:sz w:val="24"/>
                <w:vertAlign w:val="subscript"/>
              </w:rPr>
              <w:t>4</w:t>
            </w:r>
            <w:r>
              <w:rPr>
                <w:bCs/>
                <w:sz w:val="24"/>
              </w:rPr>
              <w:t>）</w:t>
            </w:r>
            <w:r>
              <w:rPr>
                <w:bCs/>
                <w:sz w:val="24"/>
                <w:vertAlign w:val="subscript"/>
              </w:rPr>
              <w:t>2</w:t>
            </w:r>
            <w:r>
              <w:rPr>
                <w:bCs/>
                <w:sz w:val="24"/>
              </w:rPr>
              <w:t>]</w:t>
            </w:r>
            <w:r>
              <w:rPr>
                <w:bCs/>
                <w:sz w:val="24"/>
              </w:rPr>
              <w:t>（</w:t>
            </w:r>
            <w:r>
              <w:rPr>
                <w:bCs/>
                <w:sz w:val="24"/>
              </w:rPr>
              <w:t>OH</w:t>
            </w:r>
            <w:r>
              <w:rPr>
                <w:bCs/>
                <w:sz w:val="24"/>
                <w:vertAlign w:val="superscript"/>
              </w:rPr>
              <w:t>-</w:t>
            </w:r>
            <w:r>
              <w:rPr>
                <w:bCs/>
                <w:sz w:val="24"/>
              </w:rPr>
              <w:t>，</w:t>
            </w:r>
            <w:r>
              <w:rPr>
                <w:bCs/>
                <w:sz w:val="24"/>
              </w:rPr>
              <w:t>Cl</w:t>
            </w:r>
            <w:r>
              <w:rPr>
                <w:bCs/>
                <w:sz w:val="24"/>
                <w:vertAlign w:val="superscript"/>
              </w:rPr>
              <w:t>-</w:t>
            </w:r>
            <w:r>
              <w:rPr>
                <w:bCs/>
                <w:sz w:val="24"/>
              </w:rPr>
              <w:t>，</w:t>
            </w:r>
            <w:r>
              <w:rPr>
                <w:bCs/>
                <w:sz w:val="24"/>
              </w:rPr>
              <w:t>F</w:t>
            </w:r>
            <w:r>
              <w:rPr>
                <w:bCs/>
                <w:sz w:val="24"/>
                <w:vertAlign w:val="superscript"/>
              </w:rPr>
              <w:t>-</w:t>
            </w:r>
            <w:r>
              <w:rPr>
                <w:bCs/>
                <w:sz w:val="24"/>
              </w:rPr>
              <w:t>）或氯硅酸盐</w:t>
            </w:r>
            <w:r>
              <w:rPr>
                <w:bCs/>
                <w:sz w:val="24"/>
              </w:rPr>
              <w:t>2CaO·SiO</w:t>
            </w:r>
            <w:r>
              <w:rPr>
                <w:bCs/>
                <w:sz w:val="24"/>
                <w:vertAlign w:val="subscript"/>
              </w:rPr>
              <w:t>2</w:t>
            </w:r>
            <w:r>
              <w:rPr>
                <w:bCs/>
                <w:sz w:val="24"/>
              </w:rPr>
              <w:t>·CaCl</w:t>
            </w:r>
            <w:r>
              <w:rPr>
                <w:bCs/>
                <w:sz w:val="24"/>
                <w:vertAlign w:val="subscript"/>
              </w:rPr>
              <w:t>2</w:t>
            </w:r>
            <w:r>
              <w:rPr>
                <w:bCs/>
                <w:sz w:val="24"/>
              </w:rPr>
              <w:t>的形式进入灼烧基物料中，被可溶性矿物包裹进入熟料中，高温、高碱性的环境可以有效地抑制酸性物质的排放。根据实际生产，改建前水泥窑吸收氯离子效率为</w:t>
            </w:r>
            <w:r>
              <w:rPr>
                <w:bCs/>
                <w:sz w:val="24"/>
              </w:rPr>
              <w:t>98.8%</w:t>
            </w:r>
            <w:r>
              <w:rPr>
                <w:bCs/>
                <w:sz w:val="24"/>
              </w:rPr>
              <w:t>，改建后生料量不变，处理措施不变，故除氯效率按不变考虑。</w:t>
            </w:r>
          </w:p>
          <w:p w14:paraId="2C6C9A2A" w14:textId="77777777" w:rsidR="00F76A63" w:rsidRDefault="00000000">
            <w:pPr>
              <w:adjustRightInd w:val="0"/>
              <w:snapToGrid w:val="0"/>
              <w:spacing w:line="500" w:lineRule="exact"/>
              <w:ind w:firstLineChars="200" w:firstLine="482"/>
              <w:rPr>
                <w:b/>
                <w:sz w:val="24"/>
              </w:rPr>
            </w:pPr>
            <w:r>
              <w:rPr>
                <w:rFonts w:ascii="Cambria Math" w:hAnsi="Cambria Math" w:cs="Cambria Math"/>
                <w:b/>
                <w:sz w:val="24"/>
              </w:rPr>
              <w:t>①</w:t>
            </w:r>
            <w:r>
              <w:rPr>
                <w:b/>
                <w:sz w:val="24"/>
              </w:rPr>
              <w:t>元素平衡</w:t>
            </w:r>
          </w:p>
          <w:p w14:paraId="5D62FF6B" w14:textId="77777777" w:rsidR="00F76A63" w:rsidRDefault="00000000">
            <w:pPr>
              <w:adjustRightInd w:val="0"/>
              <w:snapToGrid w:val="0"/>
              <w:spacing w:line="500" w:lineRule="exact"/>
              <w:jc w:val="center"/>
              <w:rPr>
                <w:b/>
                <w:bCs/>
                <w:sz w:val="24"/>
              </w:rPr>
            </w:pPr>
            <w:r>
              <w:rPr>
                <w:b/>
                <w:bCs/>
                <w:sz w:val="24"/>
              </w:rPr>
              <w:t>表</w:t>
            </w:r>
            <w:r>
              <w:rPr>
                <w:b/>
                <w:bCs/>
                <w:sz w:val="24"/>
              </w:rPr>
              <w:t>2-2</w:t>
            </w:r>
            <w:r>
              <w:rPr>
                <w:rFonts w:hint="eastAsia"/>
                <w:b/>
                <w:bCs/>
                <w:sz w:val="24"/>
              </w:rPr>
              <w:t>6</w:t>
            </w:r>
            <w:r>
              <w:rPr>
                <w:b/>
                <w:bCs/>
                <w:sz w:val="24"/>
              </w:rPr>
              <w:t xml:space="preserve">  1#</w:t>
            </w:r>
            <w:r>
              <w:rPr>
                <w:b/>
                <w:bCs/>
                <w:sz w:val="24"/>
              </w:rPr>
              <w:t>线氯元素平衡表（</w:t>
            </w:r>
            <w:r>
              <w:rPr>
                <w:b/>
                <w:bCs/>
                <w:sz w:val="24"/>
              </w:rPr>
              <w:t>t/a</w:t>
            </w:r>
            <w:r>
              <w:rPr>
                <w:b/>
                <w:bCs/>
                <w:sz w:val="24"/>
              </w:rPr>
              <w:t>）</w:t>
            </w:r>
          </w:p>
          <w:p w14:paraId="1ED98B61" w14:textId="77777777" w:rsidR="0097066E" w:rsidRPr="0097066E" w:rsidRDefault="0097066E" w:rsidP="0097066E">
            <w:pPr>
              <w:adjustRightInd w:val="0"/>
              <w:snapToGrid w:val="0"/>
              <w:spacing w:line="500" w:lineRule="exact"/>
              <w:jc w:val="center"/>
              <w:rPr>
                <w:b/>
                <w:bCs/>
                <w:i/>
                <w:iCs/>
                <w:sz w:val="24"/>
              </w:rPr>
            </w:pPr>
            <w:r w:rsidRPr="0097066E">
              <w:rPr>
                <w:b/>
                <w:bCs/>
                <w:i/>
                <w:iCs/>
                <w:sz w:val="24"/>
              </w:rPr>
              <w:t>（涉密已删除）</w:t>
            </w:r>
          </w:p>
          <w:p w14:paraId="510C4FA9" w14:textId="77777777" w:rsidR="00F76A63" w:rsidRDefault="00000000">
            <w:pPr>
              <w:adjustRightInd w:val="0"/>
              <w:snapToGrid w:val="0"/>
              <w:spacing w:line="500" w:lineRule="exact"/>
              <w:jc w:val="center"/>
              <w:rPr>
                <w:b/>
                <w:bCs/>
                <w:sz w:val="24"/>
              </w:rPr>
            </w:pPr>
            <w:r>
              <w:rPr>
                <w:b/>
                <w:bCs/>
                <w:sz w:val="24"/>
              </w:rPr>
              <w:lastRenderedPageBreak/>
              <w:t>表</w:t>
            </w:r>
            <w:r>
              <w:rPr>
                <w:b/>
                <w:bCs/>
                <w:sz w:val="24"/>
              </w:rPr>
              <w:t>2-2</w:t>
            </w:r>
            <w:r>
              <w:rPr>
                <w:rFonts w:hint="eastAsia"/>
                <w:b/>
                <w:bCs/>
                <w:sz w:val="24"/>
              </w:rPr>
              <w:t>7</w:t>
            </w:r>
            <w:r>
              <w:rPr>
                <w:b/>
                <w:bCs/>
                <w:sz w:val="24"/>
              </w:rPr>
              <w:t xml:space="preserve">  2#</w:t>
            </w:r>
            <w:r>
              <w:rPr>
                <w:b/>
                <w:bCs/>
                <w:sz w:val="24"/>
              </w:rPr>
              <w:t>线氯元素平衡表（</w:t>
            </w:r>
            <w:r>
              <w:rPr>
                <w:b/>
                <w:bCs/>
                <w:sz w:val="24"/>
              </w:rPr>
              <w:t>t/a</w:t>
            </w:r>
            <w:r>
              <w:rPr>
                <w:b/>
                <w:bCs/>
                <w:sz w:val="24"/>
              </w:rPr>
              <w:t>）</w:t>
            </w:r>
          </w:p>
          <w:p w14:paraId="1C29C072" w14:textId="77777777" w:rsidR="0097066E" w:rsidRPr="0097066E" w:rsidRDefault="0097066E" w:rsidP="0097066E">
            <w:pPr>
              <w:adjustRightInd w:val="0"/>
              <w:snapToGrid w:val="0"/>
              <w:spacing w:line="500" w:lineRule="exact"/>
              <w:jc w:val="center"/>
              <w:rPr>
                <w:b/>
                <w:bCs/>
                <w:i/>
                <w:iCs/>
                <w:sz w:val="24"/>
              </w:rPr>
            </w:pPr>
            <w:r w:rsidRPr="0097066E">
              <w:rPr>
                <w:b/>
                <w:bCs/>
                <w:i/>
                <w:iCs/>
                <w:sz w:val="24"/>
              </w:rPr>
              <w:t>（涉密已删除）</w:t>
            </w:r>
          </w:p>
          <w:p w14:paraId="3F3D7018" w14:textId="77777777" w:rsidR="00F76A63" w:rsidRDefault="00000000">
            <w:pPr>
              <w:adjustRightInd w:val="0"/>
              <w:snapToGrid w:val="0"/>
              <w:spacing w:line="500" w:lineRule="exact"/>
              <w:ind w:firstLineChars="200" w:firstLine="482"/>
              <w:jc w:val="left"/>
              <w:rPr>
                <w:b/>
                <w:sz w:val="24"/>
              </w:rPr>
            </w:pPr>
            <w:r>
              <w:rPr>
                <w:b/>
                <w:sz w:val="24"/>
              </w:rPr>
              <w:t>2</w:t>
            </w:r>
            <w:r>
              <w:rPr>
                <w:b/>
                <w:sz w:val="24"/>
              </w:rPr>
              <w:t>）氯元素投加量可行性分析</w:t>
            </w:r>
          </w:p>
          <w:p w14:paraId="33021093" w14:textId="77777777" w:rsidR="00F76A63" w:rsidRDefault="00000000">
            <w:pPr>
              <w:adjustRightInd w:val="0"/>
              <w:snapToGrid w:val="0"/>
              <w:spacing w:line="500" w:lineRule="exact"/>
              <w:ind w:firstLineChars="200" w:firstLine="480"/>
              <w:rPr>
                <w:bCs/>
                <w:sz w:val="24"/>
              </w:rPr>
            </w:pPr>
            <w:r>
              <w:rPr>
                <w:bCs/>
                <w:sz w:val="24"/>
              </w:rPr>
              <w:t>为确保项目建成后烟气中</w:t>
            </w:r>
            <w:r>
              <w:rPr>
                <w:bCs/>
                <w:sz w:val="24"/>
              </w:rPr>
              <w:t>HCl</w:t>
            </w:r>
            <w:r>
              <w:rPr>
                <w:bCs/>
                <w:sz w:val="24"/>
              </w:rPr>
              <w:t>排放满足环保要求，同时物料中的氯对水泥产品性能不产生影响。环评要求项目建设单位应严格按照《水泥窑协同处置固体废物环境保护技术规范》（</w:t>
            </w:r>
            <w:r>
              <w:rPr>
                <w:bCs/>
                <w:sz w:val="24"/>
              </w:rPr>
              <w:t>HJ662-2013</w:t>
            </w:r>
            <w:r>
              <w:rPr>
                <w:bCs/>
                <w:sz w:val="24"/>
              </w:rPr>
              <w:t>）的要求，严格控制入窑物料氯投加量，即入窑物料（包括固体废物、常规燃料、常规原料）中氯元素含量不应大于</w:t>
            </w:r>
            <w:r>
              <w:rPr>
                <w:bCs/>
                <w:sz w:val="24"/>
              </w:rPr>
              <w:t>0.04%</w:t>
            </w:r>
            <w:r>
              <w:rPr>
                <w:bCs/>
                <w:sz w:val="24"/>
              </w:rPr>
              <w:t>。</w:t>
            </w:r>
          </w:p>
          <w:p w14:paraId="7142B8A8" w14:textId="77777777" w:rsidR="00F76A63" w:rsidRDefault="00000000">
            <w:pPr>
              <w:adjustRightInd w:val="0"/>
              <w:snapToGrid w:val="0"/>
              <w:ind w:firstLineChars="200" w:firstLine="480"/>
              <w:jc w:val="center"/>
              <w:rPr>
                <w:bCs/>
                <w:sz w:val="24"/>
              </w:rPr>
            </w:pPr>
            <w:r>
              <w:rPr>
                <w:bCs/>
                <w:noProof/>
                <w:sz w:val="24"/>
              </w:rPr>
              <w:drawing>
                <wp:inline distT="0" distB="0" distL="0" distR="0" wp14:anchorId="79C466CC" wp14:editId="7EA8ABD9">
                  <wp:extent cx="2305050" cy="495300"/>
                  <wp:effectExtent l="0" t="0" r="0" b="0"/>
                  <wp:docPr id="13825356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35604"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305050" cy="495300"/>
                          </a:xfrm>
                          <a:prstGeom prst="rect">
                            <a:avLst/>
                          </a:prstGeom>
                          <a:noFill/>
                          <a:ln>
                            <a:noFill/>
                          </a:ln>
                        </pic:spPr>
                      </pic:pic>
                    </a:graphicData>
                  </a:graphic>
                </wp:inline>
              </w:drawing>
            </w:r>
          </w:p>
          <w:p w14:paraId="27B2FC65" w14:textId="77777777" w:rsidR="00F76A63" w:rsidRDefault="00000000">
            <w:pPr>
              <w:adjustRightInd w:val="0"/>
              <w:snapToGrid w:val="0"/>
              <w:spacing w:line="500" w:lineRule="exact"/>
              <w:ind w:firstLineChars="200" w:firstLine="480"/>
              <w:rPr>
                <w:bCs/>
                <w:sz w:val="24"/>
              </w:rPr>
            </w:pPr>
            <w:r>
              <w:rPr>
                <w:bCs/>
                <w:sz w:val="24"/>
              </w:rPr>
              <w:t>其中：入窑物料中氯元素含量的计算如下：</w:t>
            </w:r>
          </w:p>
          <w:p w14:paraId="18896FCF" w14:textId="77777777" w:rsidR="00F76A63" w:rsidRDefault="00000000">
            <w:pPr>
              <w:adjustRightInd w:val="0"/>
              <w:snapToGrid w:val="0"/>
              <w:spacing w:line="500" w:lineRule="exact"/>
              <w:ind w:firstLineChars="200" w:firstLine="480"/>
              <w:rPr>
                <w:bCs/>
                <w:sz w:val="24"/>
              </w:rPr>
            </w:pPr>
            <w:r>
              <w:rPr>
                <w:bCs/>
                <w:sz w:val="24"/>
              </w:rPr>
              <w:t>C</w:t>
            </w:r>
            <w:r>
              <w:rPr>
                <w:bCs/>
                <w:sz w:val="24"/>
              </w:rPr>
              <w:t>为入窑物料中氯元素的含量，</w:t>
            </w:r>
            <w:r>
              <w:rPr>
                <w:bCs/>
                <w:sz w:val="24"/>
              </w:rPr>
              <w:t>%</w:t>
            </w:r>
            <w:r>
              <w:rPr>
                <w:bCs/>
                <w:sz w:val="24"/>
              </w:rPr>
              <w:t>；</w:t>
            </w:r>
          </w:p>
          <w:p w14:paraId="6B9305C1" w14:textId="77777777" w:rsidR="00F76A63" w:rsidRDefault="00000000">
            <w:pPr>
              <w:adjustRightInd w:val="0"/>
              <w:snapToGrid w:val="0"/>
              <w:spacing w:line="500" w:lineRule="exact"/>
              <w:ind w:firstLineChars="200" w:firstLine="480"/>
              <w:rPr>
                <w:bCs/>
                <w:sz w:val="24"/>
              </w:rPr>
            </w:pPr>
            <w:r>
              <w:rPr>
                <w:bCs/>
                <w:sz w:val="24"/>
              </w:rPr>
              <w:t>C</w:t>
            </w:r>
            <w:r>
              <w:rPr>
                <w:bCs/>
                <w:i/>
                <w:iCs/>
                <w:sz w:val="24"/>
                <w:vertAlign w:val="subscript"/>
              </w:rPr>
              <w:t>w</w:t>
            </w:r>
            <w:r>
              <w:rPr>
                <w:bCs/>
                <w:sz w:val="24"/>
              </w:rPr>
              <w:t>、</w:t>
            </w:r>
            <w:r>
              <w:rPr>
                <w:bCs/>
                <w:sz w:val="24"/>
              </w:rPr>
              <w:t>C</w:t>
            </w:r>
            <w:r>
              <w:rPr>
                <w:bCs/>
                <w:i/>
                <w:iCs/>
                <w:sz w:val="24"/>
                <w:vertAlign w:val="subscript"/>
              </w:rPr>
              <w:t>f</w:t>
            </w:r>
            <w:r>
              <w:rPr>
                <w:bCs/>
                <w:sz w:val="24"/>
              </w:rPr>
              <w:t>和</w:t>
            </w:r>
            <w:r>
              <w:rPr>
                <w:bCs/>
                <w:sz w:val="24"/>
              </w:rPr>
              <w:t>C</w:t>
            </w:r>
            <w:r>
              <w:rPr>
                <w:bCs/>
                <w:i/>
                <w:iCs/>
                <w:sz w:val="24"/>
                <w:vertAlign w:val="subscript"/>
              </w:rPr>
              <w:t>r</w:t>
            </w:r>
            <w:r>
              <w:rPr>
                <w:bCs/>
                <w:sz w:val="24"/>
              </w:rPr>
              <w:t>分别为固体废物、常规燃料和常规原料中的氯元素含量，</w:t>
            </w:r>
            <w:r>
              <w:rPr>
                <w:bCs/>
                <w:sz w:val="24"/>
              </w:rPr>
              <w:t>%</w:t>
            </w:r>
            <w:r>
              <w:rPr>
                <w:bCs/>
                <w:sz w:val="24"/>
              </w:rPr>
              <w:t>；</w:t>
            </w:r>
          </w:p>
          <w:p w14:paraId="0250A7BE" w14:textId="77777777" w:rsidR="00F76A63" w:rsidRDefault="00000000">
            <w:pPr>
              <w:adjustRightInd w:val="0"/>
              <w:snapToGrid w:val="0"/>
              <w:spacing w:line="500" w:lineRule="exact"/>
              <w:ind w:firstLineChars="200" w:firstLine="480"/>
              <w:rPr>
                <w:bCs/>
                <w:sz w:val="24"/>
              </w:rPr>
            </w:pPr>
            <w:r>
              <w:rPr>
                <w:bCs/>
                <w:sz w:val="24"/>
              </w:rPr>
              <w:t>m</w:t>
            </w:r>
            <w:r>
              <w:rPr>
                <w:bCs/>
                <w:i/>
                <w:iCs/>
                <w:sz w:val="24"/>
                <w:vertAlign w:val="subscript"/>
              </w:rPr>
              <w:t>w</w:t>
            </w:r>
            <w:r>
              <w:rPr>
                <w:bCs/>
                <w:sz w:val="24"/>
              </w:rPr>
              <w:t>、</w:t>
            </w:r>
            <w:r>
              <w:rPr>
                <w:bCs/>
                <w:sz w:val="24"/>
              </w:rPr>
              <w:t>m</w:t>
            </w:r>
            <w:r>
              <w:rPr>
                <w:bCs/>
                <w:i/>
                <w:iCs/>
                <w:sz w:val="24"/>
                <w:vertAlign w:val="subscript"/>
              </w:rPr>
              <w:t>f</w:t>
            </w:r>
            <w:r>
              <w:rPr>
                <w:bCs/>
                <w:sz w:val="24"/>
              </w:rPr>
              <w:t>、</w:t>
            </w:r>
            <w:r>
              <w:rPr>
                <w:bCs/>
                <w:sz w:val="24"/>
              </w:rPr>
              <w:t>m</w:t>
            </w:r>
            <w:r>
              <w:rPr>
                <w:bCs/>
                <w:i/>
                <w:iCs/>
                <w:sz w:val="24"/>
                <w:vertAlign w:val="subscript"/>
              </w:rPr>
              <w:t>r</w:t>
            </w:r>
            <w:r>
              <w:rPr>
                <w:bCs/>
                <w:sz w:val="24"/>
              </w:rPr>
              <w:t>为单位时间内固体废物、常规燃料和常规原料的投加量，</w:t>
            </w:r>
            <w:r>
              <w:rPr>
                <w:bCs/>
                <w:sz w:val="24"/>
              </w:rPr>
              <w:t>kg/h</w:t>
            </w:r>
            <w:r>
              <w:rPr>
                <w:bCs/>
                <w:sz w:val="24"/>
              </w:rPr>
              <w:t>。</w:t>
            </w:r>
          </w:p>
          <w:p w14:paraId="6B3FC36B" w14:textId="77777777" w:rsidR="00F76A63" w:rsidRDefault="00000000">
            <w:pPr>
              <w:adjustRightInd w:val="0"/>
              <w:snapToGrid w:val="0"/>
              <w:spacing w:line="500" w:lineRule="exact"/>
              <w:jc w:val="center"/>
              <w:rPr>
                <w:b/>
                <w:bCs/>
                <w:sz w:val="24"/>
              </w:rPr>
            </w:pPr>
            <w:r>
              <w:rPr>
                <w:b/>
                <w:bCs/>
                <w:sz w:val="24"/>
              </w:rPr>
              <w:t>表</w:t>
            </w:r>
            <w:r>
              <w:rPr>
                <w:b/>
                <w:bCs/>
                <w:sz w:val="24"/>
              </w:rPr>
              <w:t>2-2</w:t>
            </w:r>
            <w:r>
              <w:rPr>
                <w:rFonts w:hint="eastAsia"/>
                <w:b/>
                <w:bCs/>
                <w:sz w:val="24"/>
              </w:rPr>
              <w:t>8</w:t>
            </w:r>
            <w:r>
              <w:rPr>
                <w:b/>
                <w:bCs/>
                <w:sz w:val="24"/>
              </w:rPr>
              <w:t xml:space="preserve">  </w:t>
            </w:r>
            <w:r>
              <w:rPr>
                <w:b/>
                <w:bCs/>
                <w:sz w:val="24"/>
              </w:rPr>
              <w:t>入窑物料中</w:t>
            </w:r>
            <w:r>
              <w:rPr>
                <w:b/>
                <w:bCs/>
                <w:sz w:val="24"/>
              </w:rPr>
              <w:t>C</w:t>
            </w:r>
            <w:r>
              <w:rPr>
                <w:rFonts w:hint="eastAsia"/>
                <w:b/>
                <w:bCs/>
                <w:sz w:val="24"/>
              </w:rPr>
              <w:t>l</w:t>
            </w:r>
            <w:r>
              <w:rPr>
                <w:b/>
                <w:bCs/>
                <w:sz w:val="24"/>
              </w:rPr>
              <w:t>元素含量</w:t>
            </w:r>
          </w:p>
          <w:p w14:paraId="01C4C60C" w14:textId="77777777" w:rsidR="0097066E" w:rsidRPr="0097066E" w:rsidRDefault="0097066E" w:rsidP="0097066E">
            <w:pPr>
              <w:adjustRightInd w:val="0"/>
              <w:snapToGrid w:val="0"/>
              <w:spacing w:line="500" w:lineRule="exact"/>
              <w:jc w:val="center"/>
              <w:rPr>
                <w:b/>
                <w:bCs/>
                <w:i/>
                <w:iCs/>
                <w:sz w:val="24"/>
              </w:rPr>
            </w:pPr>
            <w:r w:rsidRPr="0097066E">
              <w:rPr>
                <w:b/>
                <w:bCs/>
                <w:i/>
                <w:iCs/>
                <w:sz w:val="24"/>
              </w:rPr>
              <w:t>（涉密已删除）</w:t>
            </w:r>
          </w:p>
          <w:p w14:paraId="4157DF21" w14:textId="77777777" w:rsidR="00F76A63" w:rsidRDefault="00000000">
            <w:pPr>
              <w:adjustRightInd w:val="0"/>
              <w:snapToGrid w:val="0"/>
              <w:spacing w:line="500" w:lineRule="exact"/>
              <w:ind w:firstLineChars="200" w:firstLine="480"/>
              <w:rPr>
                <w:bCs/>
                <w:sz w:val="24"/>
              </w:rPr>
            </w:pPr>
            <w:r>
              <w:rPr>
                <w:bCs/>
                <w:sz w:val="24"/>
              </w:rPr>
              <w:t>按照现有参数，本项目实施后，</w:t>
            </w:r>
            <w:r>
              <w:rPr>
                <w:bCs/>
                <w:sz w:val="24"/>
              </w:rPr>
              <w:t>1#</w:t>
            </w:r>
            <w:r>
              <w:rPr>
                <w:bCs/>
                <w:sz w:val="24"/>
              </w:rPr>
              <w:t>和</w:t>
            </w:r>
            <w:r>
              <w:rPr>
                <w:bCs/>
                <w:sz w:val="24"/>
              </w:rPr>
              <w:t>2#</w:t>
            </w:r>
            <w:r>
              <w:rPr>
                <w:bCs/>
                <w:sz w:val="24"/>
              </w:rPr>
              <w:t>入窑物料中氯元素含量满足《水泥窑协同处置固体废物环境保护技术规范》（</w:t>
            </w:r>
            <w:r>
              <w:rPr>
                <w:bCs/>
                <w:sz w:val="24"/>
              </w:rPr>
              <w:t>HJ662-2013</w:t>
            </w:r>
            <w:r>
              <w:rPr>
                <w:bCs/>
                <w:sz w:val="24"/>
              </w:rPr>
              <w:t>）的要求。</w:t>
            </w:r>
          </w:p>
          <w:p w14:paraId="6317DF03" w14:textId="77777777" w:rsidR="00F76A63" w:rsidRDefault="00000000">
            <w:pPr>
              <w:adjustRightInd w:val="0"/>
              <w:snapToGrid w:val="0"/>
              <w:spacing w:line="500" w:lineRule="exact"/>
              <w:ind w:firstLineChars="200" w:firstLine="482"/>
              <w:jc w:val="left"/>
              <w:rPr>
                <w:b/>
                <w:sz w:val="24"/>
              </w:rPr>
            </w:pPr>
            <w:r>
              <w:rPr>
                <w:b/>
                <w:sz w:val="24"/>
              </w:rPr>
              <w:t>（</w:t>
            </w:r>
            <w:r>
              <w:rPr>
                <w:b/>
                <w:sz w:val="24"/>
              </w:rPr>
              <w:t>5</w:t>
            </w:r>
            <w:r>
              <w:rPr>
                <w:b/>
                <w:sz w:val="24"/>
              </w:rPr>
              <w:t>）氟元素平衡</w:t>
            </w:r>
          </w:p>
          <w:p w14:paraId="25D350C1" w14:textId="77777777" w:rsidR="00F76A63" w:rsidRDefault="00000000">
            <w:pPr>
              <w:adjustRightInd w:val="0"/>
              <w:snapToGrid w:val="0"/>
              <w:spacing w:line="500" w:lineRule="exact"/>
              <w:ind w:firstLineChars="200" w:firstLine="480"/>
              <w:rPr>
                <w:bCs/>
                <w:sz w:val="24"/>
              </w:rPr>
            </w:pPr>
            <w:r>
              <w:rPr>
                <w:bCs/>
                <w:sz w:val="24"/>
              </w:rPr>
              <w:t>水泥熟料烧成系统窑尾烟气中的氟化物主要为</w:t>
            </w:r>
            <w:r>
              <w:rPr>
                <w:bCs/>
                <w:sz w:val="24"/>
              </w:rPr>
              <w:t>HF</w:t>
            </w:r>
            <w:r>
              <w:rPr>
                <w:bCs/>
                <w:sz w:val="24"/>
              </w:rPr>
              <w:t>，其主要来自原燃料以及含氟矿化剂（</w:t>
            </w:r>
            <w:r>
              <w:rPr>
                <w:bCs/>
                <w:sz w:val="24"/>
              </w:rPr>
              <w:t>CaF</w:t>
            </w:r>
            <w:r>
              <w:rPr>
                <w:bCs/>
                <w:sz w:val="24"/>
                <w:vertAlign w:val="subscript"/>
              </w:rPr>
              <w:t>2</w:t>
            </w:r>
            <w:r>
              <w:rPr>
                <w:bCs/>
                <w:sz w:val="24"/>
              </w:rPr>
              <w:t>）；此外，在水泥窑协同处置一般固废时，一般固废中一些含氟物质在焚烧过程中也将分解和反应生成</w:t>
            </w:r>
            <w:r>
              <w:rPr>
                <w:bCs/>
                <w:sz w:val="24"/>
              </w:rPr>
              <w:t>HF</w:t>
            </w:r>
            <w:r>
              <w:rPr>
                <w:bCs/>
                <w:sz w:val="24"/>
              </w:rPr>
              <w:t>。含氟原燃料在烧成过程中形成的</w:t>
            </w:r>
            <w:r>
              <w:rPr>
                <w:bCs/>
                <w:sz w:val="24"/>
              </w:rPr>
              <w:t>HF</w:t>
            </w:r>
            <w:r>
              <w:rPr>
                <w:bCs/>
                <w:sz w:val="24"/>
              </w:rPr>
              <w:t>会与</w:t>
            </w:r>
            <w:r>
              <w:rPr>
                <w:bCs/>
                <w:sz w:val="24"/>
              </w:rPr>
              <w:t>CaO</w:t>
            </w:r>
            <w:r>
              <w:rPr>
                <w:bCs/>
                <w:sz w:val="24"/>
              </w:rPr>
              <w:t>、</w:t>
            </w:r>
            <w:r>
              <w:rPr>
                <w:bCs/>
                <w:sz w:val="24"/>
              </w:rPr>
              <w:t>Al</w:t>
            </w:r>
            <w:r>
              <w:rPr>
                <w:bCs/>
                <w:sz w:val="24"/>
                <w:vertAlign w:val="subscript"/>
              </w:rPr>
              <w:t>2</w:t>
            </w:r>
            <w:r>
              <w:rPr>
                <w:bCs/>
                <w:sz w:val="24"/>
              </w:rPr>
              <w:t>O</w:t>
            </w:r>
            <w:r>
              <w:rPr>
                <w:bCs/>
                <w:sz w:val="24"/>
                <w:vertAlign w:val="subscript"/>
              </w:rPr>
              <w:t>3</w:t>
            </w:r>
            <w:r>
              <w:rPr>
                <w:bCs/>
                <w:sz w:val="24"/>
              </w:rPr>
              <w:t>，根据建设单位提供的资料并参考现有项目运行情况，氟化物形成氟铝酸钙固溶于熟料中带出窑外，</w:t>
            </w:r>
            <w:r>
              <w:rPr>
                <w:bCs/>
                <w:sz w:val="24"/>
              </w:rPr>
              <w:t>97%F</w:t>
            </w:r>
            <w:r>
              <w:rPr>
                <w:bCs/>
                <w:sz w:val="24"/>
              </w:rPr>
              <w:t>元素会随熟料带出窑外，剩余</w:t>
            </w:r>
            <w:r>
              <w:rPr>
                <w:bCs/>
                <w:sz w:val="24"/>
              </w:rPr>
              <w:t>3%F</w:t>
            </w:r>
            <w:r>
              <w:rPr>
                <w:bCs/>
                <w:sz w:val="24"/>
              </w:rPr>
              <w:t>元素以</w:t>
            </w:r>
            <w:r>
              <w:rPr>
                <w:bCs/>
                <w:sz w:val="24"/>
              </w:rPr>
              <w:t>CaF</w:t>
            </w:r>
            <w:r>
              <w:rPr>
                <w:bCs/>
                <w:sz w:val="24"/>
                <w:vertAlign w:val="subscript"/>
              </w:rPr>
              <w:t>2</w:t>
            </w:r>
            <w:r>
              <w:rPr>
                <w:bCs/>
                <w:sz w:val="24"/>
              </w:rPr>
              <w:t>的形式凝结在窑灰中在窑内进行循环，再由除尘设施回收，可以进一步减少氟化物的排放，约</w:t>
            </w:r>
            <w:r>
              <w:rPr>
                <w:bCs/>
                <w:sz w:val="24"/>
              </w:rPr>
              <w:t>1%</w:t>
            </w:r>
            <w:r>
              <w:rPr>
                <w:bCs/>
                <w:sz w:val="24"/>
              </w:rPr>
              <w:t>随尾气排放。</w:t>
            </w:r>
          </w:p>
          <w:p w14:paraId="36CDCDB6" w14:textId="77777777" w:rsidR="00F76A63" w:rsidRDefault="00000000">
            <w:pPr>
              <w:adjustRightInd w:val="0"/>
              <w:snapToGrid w:val="0"/>
              <w:spacing w:line="500" w:lineRule="exact"/>
              <w:ind w:firstLineChars="200" w:firstLine="482"/>
              <w:jc w:val="left"/>
              <w:rPr>
                <w:b/>
                <w:sz w:val="24"/>
              </w:rPr>
            </w:pPr>
            <w:r>
              <w:rPr>
                <w:rFonts w:ascii="Cambria Math" w:hAnsi="Cambria Math" w:cs="Cambria Math"/>
                <w:b/>
                <w:sz w:val="24"/>
              </w:rPr>
              <w:t>①</w:t>
            </w:r>
            <w:r>
              <w:rPr>
                <w:b/>
                <w:sz w:val="24"/>
              </w:rPr>
              <w:t>元素平衡</w:t>
            </w:r>
          </w:p>
          <w:p w14:paraId="1059918B" w14:textId="77777777" w:rsidR="00F76A63" w:rsidRDefault="00000000">
            <w:pPr>
              <w:adjustRightInd w:val="0"/>
              <w:snapToGrid w:val="0"/>
              <w:spacing w:line="500" w:lineRule="exact"/>
              <w:ind w:firstLineChars="200" w:firstLine="482"/>
              <w:jc w:val="center"/>
              <w:rPr>
                <w:b/>
                <w:bCs/>
                <w:sz w:val="24"/>
              </w:rPr>
            </w:pPr>
            <w:r>
              <w:rPr>
                <w:b/>
                <w:sz w:val="24"/>
              </w:rPr>
              <w:t>表</w:t>
            </w:r>
            <w:r>
              <w:rPr>
                <w:b/>
                <w:sz w:val="24"/>
              </w:rPr>
              <w:t>2-2</w:t>
            </w:r>
            <w:r>
              <w:rPr>
                <w:rFonts w:hint="eastAsia"/>
                <w:b/>
                <w:sz w:val="24"/>
              </w:rPr>
              <w:t>9</w:t>
            </w:r>
            <w:r>
              <w:rPr>
                <w:b/>
                <w:sz w:val="24"/>
              </w:rPr>
              <w:t xml:space="preserve">  1#</w:t>
            </w:r>
            <w:r>
              <w:rPr>
                <w:b/>
                <w:sz w:val="24"/>
              </w:rPr>
              <w:t>线氟元素平衡表</w:t>
            </w:r>
            <w:r>
              <w:rPr>
                <w:b/>
                <w:bCs/>
                <w:sz w:val="24"/>
              </w:rPr>
              <w:t>（</w:t>
            </w:r>
            <w:r>
              <w:rPr>
                <w:b/>
                <w:bCs/>
                <w:sz w:val="24"/>
              </w:rPr>
              <w:t>t/a</w:t>
            </w:r>
            <w:r>
              <w:rPr>
                <w:b/>
                <w:bCs/>
                <w:sz w:val="24"/>
              </w:rPr>
              <w:t>）</w:t>
            </w:r>
          </w:p>
          <w:p w14:paraId="66DC8C99" w14:textId="77777777" w:rsidR="0097066E" w:rsidRPr="0097066E" w:rsidRDefault="0097066E" w:rsidP="0097066E">
            <w:pPr>
              <w:adjustRightInd w:val="0"/>
              <w:snapToGrid w:val="0"/>
              <w:spacing w:line="500" w:lineRule="exact"/>
              <w:ind w:firstLineChars="200" w:firstLine="482"/>
              <w:jc w:val="center"/>
              <w:rPr>
                <w:b/>
                <w:i/>
                <w:iCs/>
                <w:sz w:val="24"/>
              </w:rPr>
            </w:pPr>
            <w:r w:rsidRPr="0097066E">
              <w:rPr>
                <w:b/>
                <w:i/>
                <w:iCs/>
                <w:sz w:val="24"/>
              </w:rPr>
              <w:lastRenderedPageBreak/>
              <w:t>（涉密已删除）</w:t>
            </w:r>
          </w:p>
          <w:p w14:paraId="4ECAB492" w14:textId="77777777" w:rsidR="00F76A63" w:rsidRDefault="00000000">
            <w:pPr>
              <w:adjustRightInd w:val="0"/>
              <w:snapToGrid w:val="0"/>
              <w:spacing w:line="500" w:lineRule="exact"/>
              <w:ind w:firstLineChars="200" w:firstLine="482"/>
              <w:jc w:val="center"/>
              <w:rPr>
                <w:b/>
                <w:bCs/>
                <w:sz w:val="24"/>
              </w:rPr>
            </w:pPr>
            <w:r>
              <w:rPr>
                <w:b/>
                <w:sz w:val="24"/>
              </w:rPr>
              <w:t>表</w:t>
            </w:r>
            <w:r>
              <w:rPr>
                <w:b/>
                <w:sz w:val="24"/>
              </w:rPr>
              <w:t>2-</w:t>
            </w:r>
            <w:r>
              <w:rPr>
                <w:rFonts w:hint="eastAsia"/>
                <w:b/>
                <w:sz w:val="24"/>
              </w:rPr>
              <w:t>30</w:t>
            </w:r>
            <w:r>
              <w:rPr>
                <w:b/>
                <w:sz w:val="24"/>
              </w:rPr>
              <w:t xml:space="preserve">  2#</w:t>
            </w:r>
            <w:r>
              <w:rPr>
                <w:b/>
                <w:sz w:val="24"/>
              </w:rPr>
              <w:t>线氟元素平衡表</w:t>
            </w:r>
            <w:r>
              <w:rPr>
                <w:b/>
                <w:bCs/>
                <w:sz w:val="24"/>
              </w:rPr>
              <w:t>（</w:t>
            </w:r>
            <w:r>
              <w:rPr>
                <w:b/>
                <w:bCs/>
                <w:sz w:val="24"/>
              </w:rPr>
              <w:t>t/a</w:t>
            </w:r>
            <w:r>
              <w:rPr>
                <w:b/>
                <w:bCs/>
                <w:sz w:val="24"/>
              </w:rPr>
              <w:t>）</w:t>
            </w:r>
          </w:p>
          <w:p w14:paraId="08A7ACB5" w14:textId="77777777" w:rsidR="0097066E" w:rsidRPr="0097066E" w:rsidRDefault="0097066E" w:rsidP="0097066E">
            <w:pPr>
              <w:adjustRightInd w:val="0"/>
              <w:snapToGrid w:val="0"/>
              <w:spacing w:line="500" w:lineRule="exact"/>
              <w:ind w:firstLineChars="200" w:firstLine="482"/>
              <w:jc w:val="center"/>
              <w:rPr>
                <w:b/>
                <w:i/>
                <w:iCs/>
                <w:sz w:val="24"/>
              </w:rPr>
            </w:pPr>
            <w:r w:rsidRPr="0097066E">
              <w:rPr>
                <w:b/>
                <w:i/>
                <w:iCs/>
                <w:sz w:val="24"/>
              </w:rPr>
              <w:t>（涉密已删除）</w:t>
            </w:r>
          </w:p>
          <w:p w14:paraId="59DFDD85" w14:textId="77777777" w:rsidR="00F76A63" w:rsidRDefault="00000000">
            <w:pPr>
              <w:adjustRightInd w:val="0"/>
              <w:snapToGrid w:val="0"/>
              <w:spacing w:line="500" w:lineRule="exact"/>
              <w:ind w:firstLineChars="200" w:firstLine="482"/>
              <w:jc w:val="left"/>
              <w:rPr>
                <w:b/>
                <w:sz w:val="24"/>
              </w:rPr>
            </w:pPr>
            <w:r>
              <w:rPr>
                <w:rFonts w:ascii="Cambria Math" w:hAnsi="Cambria Math" w:cs="Cambria Math"/>
                <w:b/>
                <w:sz w:val="24"/>
              </w:rPr>
              <w:t>②</w:t>
            </w:r>
            <w:r>
              <w:rPr>
                <w:b/>
                <w:sz w:val="24"/>
              </w:rPr>
              <w:t>氟元素投加量可行性分析</w:t>
            </w:r>
          </w:p>
          <w:p w14:paraId="7C42108D" w14:textId="77777777" w:rsidR="00F76A63" w:rsidRDefault="00000000">
            <w:pPr>
              <w:adjustRightInd w:val="0"/>
              <w:snapToGrid w:val="0"/>
              <w:spacing w:line="500" w:lineRule="exact"/>
              <w:ind w:firstLineChars="200" w:firstLine="480"/>
              <w:rPr>
                <w:bCs/>
                <w:sz w:val="24"/>
              </w:rPr>
            </w:pPr>
            <w:r>
              <w:rPr>
                <w:bCs/>
                <w:sz w:val="24"/>
              </w:rPr>
              <w:t>协同处置企业应根据水泥生产工艺特点，控制随物料入窑的氟（</w:t>
            </w:r>
            <w:r>
              <w:rPr>
                <w:bCs/>
                <w:sz w:val="24"/>
              </w:rPr>
              <w:t>F</w:t>
            </w:r>
            <w:r>
              <w:rPr>
                <w:bCs/>
                <w:sz w:val="24"/>
              </w:rPr>
              <w:t>）元素的投加量，以保证水泥的正常生产和熟料质量符合国家标准。入窑固体废物中氟（</w:t>
            </w:r>
            <w:r>
              <w:rPr>
                <w:bCs/>
                <w:sz w:val="24"/>
              </w:rPr>
              <w:t>F</w:t>
            </w:r>
            <w:r>
              <w:rPr>
                <w:bCs/>
                <w:sz w:val="24"/>
              </w:rPr>
              <w:t>）元素的含量不应对水泥生产和水泥产品质量造成不利影响，其含量应该满足如下要求：入窑物料中氟元素含量不应大于</w:t>
            </w:r>
            <w:r>
              <w:rPr>
                <w:bCs/>
                <w:sz w:val="24"/>
              </w:rPr>
              <w:t>0.5%</w:t>
            </w:r>
            <w:r>
              <w:rPr>
                <w:bCs/>
                <w:sz w:val="24"/>
              </w:rPr>
              <w:t>。</w:t>
            </w:r>
          </w:p>
          <w:p w14:paraId="0D81FE3E" w14:textId="77777777" w:rsidR="00F76A63" w:rsidRDefault="00000000">
            <w:pPr>
              <w:adjustRightInd w:val="0"/>
              <w:snapToGrid w:val="0"/>
              <w:spacing w:line="500" w:lineRule="exact"/>
              <w:ind w:firstLineChars="200" w:firstLine="480"/>
              <w:rPr>
                <w:bCs/>
                <w:sz w:val="24"/>
              </w:rPr>
            </w:pPr>
            <w:r>
              <w:rPr>
                <w:bCs/>
                <w:sz w:val="24"/>
              </w:rPr>
              <w:t>根据《水泥窑协同处置固体废物环境保护技术规范》（</w:t>
            </w:r>
            <w:r>
              <w:rPr>
                <w:bCs/>
                <w:sz w:val="24"/>
              </w:rPr>
              <w:t>HJ662-2013</w:t>
            </w:r>
            <w:r>
              <w:rPr>
                <w:bCs/>
                <w:sz w:val="24"/>
              </w:rPr>
              <w:t>），入窑物料中</w:t>
            </w:r>
            <w:r>
              <w:rPr>
                <w:bCs/>
                <w:sz w:val="24"/>
              </w:rPr>
              <w:t>F</w:t>
            </w:r>
            <w:r>
              <w:rPr>
                <w:bCs/>
                <w:sz w:val="24"/>
              </w:rPr>
              <w:t>元素含量计算公式如下：</w:t>
            </w:r>
          </w:p>
          <w:p w14:paraId="4F033E4E" w14:textId="77777777" w:rsidR="00F76A63" w:rsidRDefault="00000000">
            <w:pPr>
              <w:adjustRightInd w:val="0"/>
              <w:snapToGrid w:val="0"/>
              <w:ind w:firstLineChars="200" w:firstLine="480"/>
              <w:jc w:val="center"/>
              <w:rPr>
                <w:bCs/>
                <w:sz w:val="24"/>
              </w:rPr>
            </w:pPr>
            <w:r>
              <w:rPr>
                <w:bCs/>
                <w:noProof/>
                <w:sz w:val="24"/>
              </w:rPr>
              <w:drawing>
                <wp:inline distT="0" distB="0" distL="0" distR="0" wp14:anchorId="27D59AE5" wp14:editId="48A40ECB">
                  <wp:extent cx="2486025" cy="533400"/>
                  <wp:effectExtent l="0" t="0" r="9525" b="0"/>
                  <wp:docPr id="11297522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52296" name="图片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486025" cy="533400"/>
                          </a:xfrm>
                          <a:prstGeom prst="rect">
                            <a:avLst/>
                          </a:prstGeom>
                          <a:noFill/>
                          <a:ln>
                            <a:noFill/>
                          </a:ln>
                        </pic:spPr>
                      </pic:pic>
                    </a:graphicData>
                  </a:graphic>
                </wp:inline>
              </w:drawing>
            </w:r>
          </w:p>
          <w:p w14:paraId="4A7A0F80" w14:textId="77777777" w:rsidR="00F76A63" w:rsidRDefault="00000000">
            <w:pPr>
              <w:adjustRightInd w:val="0"/>
              <w:snapToGrid w:val="0"/>
              <w:spacing w:line="500" w:lineRule="exact"/>
              <w:ind w:firstLineChars="200" w:firstLine="480"/>
              <w:rPr>
                <w:bCs/>
                <w:sz w:val="24"/>
              </w:rPr>
            </w:pPr>
            <w:r>
              <w:rPr>
                <w:bCs/>
                <w:sz w:val="24"/>
              </w:rPr>
              <w:t>其中：</w:t>
            </w:r>
          </w:p>
          <w:p w14:paraId="47B1812F" w14:textId="77777777" w:rsidR="00F76A63" w:rsidRDefault="00000000">
            <w:pPr>
              <w:adjustRightInd w:val="0"/>
              <w:snapToGrid w:val="0"/>
              <w:spacing w:line="500" w:lineRule="exact"/>
              <w:ind w:firstLineChars="200" w:firstLine="480"/>
              <w:rPr>
                <w:bCs/>
                <w:sz w:val="24"/>
              </w:rPr>
            </w:pPr>
            <w:r>
              <w:rPr>
                <w:bCs/>
                <w:sz w:val="24"/>
              </w:rPr>
              <w:t>C</w:t>
            </w:r>
            <w:r>
              <w:rPr>
                <w:bCs/>
                <w:sz w:val="24"/>
              </w:rPr>
              <w:t>为入窑物料中</w:t>
            </w:r>
            <w:r>
              <w:rPr>
                <w:bCs/>
                <w:sz w:val="24"/>
              </w:rPr>
              <w:t>F</w:t>
            </w:r>
            <w:r>
              <w:rPr>
                <w:bCs/>
                <w:sz w:val="24"/>
              </w:rPr>
              <w:t>元素的含量，</w:t>
            </w:r>
            <w:r>
              <w:rPr>
                <w:bCs/>
                <w:sz w:val="24"/>
              </w:rPr>
              <w:t>%</w:t>
            </w:r>
            <w:r>
              <w:rPr>
                <w:bCs/>
                <w:sz w:val="24"/>
              </w:rPr>
              <w:t>；</w:t>
            </w:r>
          </w:p>
          <w:p w14:paraId="7FB5C030" w14:textId="77777777" w:rsidR="00F76A63" w:rsidRDefault="00000000">
            <w:pPr>
              <w:adjustRightInd w:val="0"/>
              <w:snapToGrid w:val="0"/>
              <w:spacing w:line="500" w:lineRule="exact"/>
              <w:ind w:firstLineChars="200" w:firstLine="480"/>
              <w:rPr>
                <w:bCs/>
                <w:sz w:val="24"/>
              </w:rPr>
            </w:pPr>
            <w:r>
              <w:rPr>
                <w:bCs/>
                <w:sz w:val="24"/>
              </w:rPr>
              <w:t>C</w:t>
            </w:r>
            <w:r>
              <w:rPr>
                <w:bCs/>
                <w:sz w:val="24"/>
                <w:vertAlign w:val="subscript"/>
              </w:rPr>
              <w:t>w</w:t>
            </w:r>
            <w:r>
              <w:rPr>
                <w:bCs/>
                <w:sz w:val="24"/>
              </w:rPr>
              <w:t>、</w:t>
            </w:r>
            <w:r>
              <w:rPr>
                <w:bCs/>
                <w:sz w:val="24"/>
              </w:rPr>
              <w:t>C</w:t>
            </w:r>
            <w:r>
              <w:rPr>
                <w:bCs/>
                <w:sz w:val="24"/>
                <w:vertAlign w:val="subscript"/>
              </w:rPr>
              <w:t>f</w:t>
            </w:r>
            <w:r>
              <w:rPr>
                <w:bCs/>
                <w:sz w:val="24"/>
              </w:rPr>
              <w:t>和</w:t>
            </w:r>
            <w:r>
              <w:rPr>
                <w:bCs/>
                <w:sz w:val="24"/>
              </w:rPr>
              <w:t>C</w:t>
            </w:r>
            <w:r>
              <w:rPr>
                <w:bCs/>
                <w:sz w:val="24"/>
                <w:vertAlign w:val="subscript"/>
              </w:rPr>
              <w:t>r</w:t>
            </w:r>
            <w:r>
              <w:rPr>
                <w:bCs/>
                <w:sz w:val="24"/>
              </w:rPr>
              <w:t>分别为固体废物、常规燃料和常规原料中的</w:t>
            </w:r>
            <w:r>
              <w:rPr>
                <w:bCs/>
                <w:sz w:val="24"/>
              </w:rPr>
              <w:t>F</w:t>
            </w:r>
            <w:r>
              <w:rPr>
                <w:bCs/>
                <w:sz w:val="24"/>
              </w:rPr>
              <w:t>元素含量，</w:t>
            </w:r>
            <w:r>
              <w:rPr>
                <w:bCs/>
                <w:sz w:val="24"/>
              </w:rPr>
              <w:t>%</w:t>
            </w:r>
            <w:r>
              <w:rPr>
                <w:bCs/>
                <w:sz w:val="24"/>
              </w:rPr>
              <w:t>；</w:t>
            </w:r>
          </w:p>
          <w:p w14:paraId="7A9AE2A7" w14:textId="77777777" w:rsidR="00F76A63" w:rsidRDefault="00000000">
            <w:pPr>
              <w:adjustRightInd w:val="0"/>
              <w:snapToGrid w:val="0"/>
              <w:spacing w:line="500" w:lineRule="exact"/>
              <w:ind w:firstLineChars="200" w:firstLine="480"/>
              <w:rPr>
                <w:bCs/>
                <w:sz w:val="24"/>
              </w:rPr>
            </w:pPr>
            <w:r>
              <w:rPr>
                <w:bCs/>
                <w:sz w:val="24"/>
              </w:rPr>
              <w:t>m</w:t>
            </w:r>
            <w:r>
              <w:rPr>
                <w:bCs/>
                <w:sz w:val="24"/>
                <w:vertAlign w:val="subscript"/>
              </w:rPr>
              <w:t>w</w:t>
            </w:r>
            <w:r>
              <w:rPr>
                <w:bCs/>
                <w:sz w:val="24"/>
              </w:rPr>
              <w:t>、</w:t>
            </w:r>
            <w:r>
              <w:rPr>
                <w:bCs/>
                <w:sz w:val="24"/>
              </w:rPr>
              <w:t>m</w:t>
            </w:r>
            <w:r>
              <w:rPr>
                <w:bCs/>
                <w:sz w:val="24"/>
                <w:vertAlign w:val="subscript"/>
              </w:rPr>
              <w:t>f</w:t>
            </w:r>
            <w:r>
              <w:rPr>
                <w:bCs/>
                <w:sz w:val="24"/>
              </w:rPr>
              <w:t>、</w:t>
            </w:r>
            <w:r>
              <w:rPr>
                <w:bCs/>
                <w:sz w:val="24"/>
              </w:rPr>
              <w:t>m</w:t>
            </w:r>
            <w:r>
              <w:rPr>
                <w:bCs/>
                <w:sz w:val="24"/>
                <w:vertAlign w:val="subscript"/>
              </w:rPr>
              <w:t>r</w:t>
            </w:r>
            <w:r>
              <w:rPr>
                <w:bCs/>
                <w:sz w:val="24"/>
              </w:rPr>
              <w:t>为单位时间内固体废物、常规燃料和常规原料的投加量，</w:t>
            </w:r>
            <w:r>
              <w:rPr>
                <w:bCs/>
                <w:sz w:val="24"/>
              </w:rPr>
              <w:t>kg/h</w:t>
            </w:r>
            <w:r>
              <w:rPr>
                <w:bCs/>
                <w:sz w:val="24"/>
              </w:rPr>
              <w:t>。</w:t>
            </w:r>
          </w:p>
          <w:p w14:paraId="22F60C31" w14:textId="77777777" w:rsidR="00F76A63" w:rsidRDefault="00000000">
            <w:pPr>
              <w:adjustRightInd w:val="0"/>
              <w:snapToGrid w:val="0"/>
              <w:spacing w:line="500" w:lineRule="exact"/>
              <w:jc w:val="center"/>
              <w:rPr>
                <w:b/>
                <w:bCs/>
                <w:sz w:val="24"/>
              </w:rPr>
            </w:pPr>
            <w:r>
              <w:rPr>
                <w:b/>
                <w:bCs/>
                <w:sz w:val="24"/>
              </w:rPr>
              <w:t>表</w:t>
            </w:r>
            <w:r>
              <w:rPr>
                <w:b/>
                <w:bCs/>
                <w:sz w:val="24"/>
              </w:rPr>
              <w:t>2-</w:t>
            </w:r>
            <w:r>
              <w:rPr>
                <w:rFonts w:hint="eastAsia"/>
                <w:b/>
                <w:bCs/>
                <w:sz w:val="24"/>
              </w:rPr>
              <w:t>31</w:t>
            </w:r>
            <w:r>
              <w:rPr>
                <w:b/>
                <w:bCs/>
                <w:sz w:val="24"/>
              </w:rPr>
              <w:t xml:space="preserve">  </w:t>
            </w:r>
            <w:r>
              <w:rPr>
                <w:b/>
                <w:bCs/>
                <w:sz w:val="24"/>
              </w:rPr>
              <w:t>入窑物料中</w:t>
            </w:r>
            <w:r>
              <w:rPr>
                <w:b/>
                <w:bCs/>
                <w:sz w:val="24"/>
              </w:rPr>
              <w:t>F</w:t>
            </w:r>
            <w:r>
              <w:rPr>
                <w:b/>
                <w:bCs/>
                <w:sz w:val="24"/>
              </w:rPr>
              <w:t>元素含量</w:t>
            </w:r>
          </w:p>
          <w:p w14:paraId="4F76A387" w14:textId="77777777" w:rsidR="0097066E" w:rsidRPr="0097066E" w:rsidRDefault="0097066E" w:rsidP="0097066E">
            <w:pPr>
              <w:adjustRightInd w:val="0"/>
              <w:snapToGrid w:val="0"/>
              <w:spacing w:line="500" w:lineRule="exact"/>
              <w:jc w:val="center"/>
              <w:rPr>
                <w:b/>
                <w:bCs/>
                <w:i/>
                <w:iCs/>
                <w:sz w:val="24"/>
              </w:rPr>
            </w:pPr>
            <w:r w:rsidRPr="0097066E">
              <w:rPr>
                <w:b/>
                <w:bCs/>
                <w:i/>
                <w:iCs/>
                <w:sz w:val="24"/>
              </w:rPr>
              <w:t>（涉密已删除）</w:t>
            </w:r>
          </w:p>
          <w:p w14:paraId="5B5B6E19" w14:textId="77777777" w:rsidR="00F76A63" w:rsidRDefault="00000000">
            <w:pPr>
              <w:adjustRightInd w:val="0"/>
              <w:snapToGrid w:val="0"/>
              <w:spacing w:line="500" w:lineRule="exact"/>
              <w:ind w:firstLineChars="200" w:firstLine="480"/>
              <w:rPr>
                <w:bCs/>
                <w:sz w:val="24"/>
              </w:rPr>
            </w:pPr>
            <w:r>
              <w:rPr>
                <w:bCs/>
                <w:sz w:val="24"/>
              </w:rPr>
              <w:t>按照现有参数，拟建项目实施后，</w:t>
            </w:r>
            <w:r>
              <w:rPr>
                <w:bCs/>
                <w:sz w:val="24"/>
              </w:rPr>
              <w:t>1#</w:t>
            </w:r>
            <w:r>
              <w:rPr>
                <w:bCs/>
                <w:sz w:val="24"/>
              </w:rPr>
              <w:t>和</w:t>
            </w:r>
            <w:r>
              <w:rPr>
                <w:bCs/>
                <w:sz w:val="24"/>
              </w:rPr>
              <w:t>2#</w:t>
            </w:r>
            <w:r>
              <w:rPr>
                <w:bCs/>
                <w:sz w:val="24"/>
              </w:rPr>
              <w:t>入窑物料中</w:t>
            </w:r>
            <w:r>
              <w:rPr>
                <w:bCs/>
                <w:sz w:val="24"/>
              </w:rPr>
              <w:t>F</w:t>
            </w:r>
            <w:r>
              <w:rPr>
                <w:bCs/>
                <w:sz w:val="24"/>
              </w:rPr>
              <w:t>元素含量满足《水泥窑协同处置固体废物环境保护技术规范》（</w:t>
            </w:r>
            <w:r>
              <w:rPr>
                <w:bCs/>
                <w:sz w:val="24"/>
              </w:rPr>
              <w:t>HJ662-2013</w:t>
            </w:r>
            <w:r>
              <w:rPr>
                <w:bCs/>
                <w:sz w:val="24"/>
              </w:rPr>
              <w:t>）的要求。</w:t>
            </w:r>
          </w:p>
          <w:p w14:paraId="5D9BA21A" w14:textId="77777777" w:rsidR="00F76A63" w:rsidRDefault="00000000">
            <w:pPr>
              <w:adjustRightInd w:val="0"/>
              <w:snapToGrid w:val="0"/>
              <w:spacing w:line="500" w:lineRule="exact"/>
              <w:ind w:firstLineChars="200" w:firstLine="482"/>
              <w:rPr>
                <w:bCs/>
                <w:sz w:val="24"/>
              </w:rPr>
            </w:pPr>
            <w:r>
              <w:rPr>
                <w:rFonts w:hint="eastAsia"/>
                <w:b/>
                <w:sz w:val="24"/>
              </w:rPr>
              <w:t>（</w:t>
            </w:r>
            <w:r>
              <w:rPr>
                <w:rFonts w:hint="eastAsia"/>
                <w:b/>
                <w:sz w:val="24"/>
              </w:rPr>
              <w:t>6</w:t>
            </w:r>
            <w:r>
              <w:rPr>
                <w:rFonts w:hint="eastAsia"/>
                <w:b/>
                <w:sz w:val="24"/>
              </w:rPr>
              <w:t>）</w:t>
            </w:r>
            <w:r>
              <w:rPr>
                <w:b/>
                <w:sz w:val="24"/>
              </w:rPr>
              <w:t>有毒有害成分分析</w:t>
            </w:r>
          </w:p>
          <w:p w14:paraId="36A6A44D" w14:textId="77777777" w:rsidR="00F76A63" w:rsidRDefault="00000000">
            <w:pPr>
              <w:adjustRightInd w:val="0"/>
              <w:snapToGrid w:val="0"/>
              <w:spacing w:line="500" w:lineRule="exact"/>
              <w:ind w:firstLineChars="200" w:firstLine="480"/>
              <w:rPr>
                <w:bCs/>
                <w:sz w:val="24"/>
              </w:rPr>
            </w:pPr>
            <w:r>
              <w:rPr>
                <w:bCs/>
                <w:sz w:val="24"/>
              </w:rPr>
              <w:t>本项目协同处置的污染土、污泥属于一般工业固废，带入的有毒有害成分主要包括：</w:t>
            </w:r>
          </w:p>
          <w:p w14:paraId="31F9E42F" w14:textId="77777777" w:rsidR="00F76A63" w:rsidRDefault="00000000">
            <w:pPr>
              <w:adjustRightInd w:val="0"/>
              <w:snapToGrid w:val="0"/>
              <w:spacing w:line="500" w:lineRule="exact"/>
              <w:ind w:firstLineChars="200" w:firstLine="480"/>
              <w:rPr>
                <w:bCs/>
                <w:sz w:val="24"/>
              </w:rPr>
            </w:pPr>
            <w:r>
              <w:rPr>
                <w:bCs/>
                <w:sz w:val="24"/>
              </w:rPr>
              <w:t>重金属类：汞（</w:t>
            </w:r>
            <w:r>
              <w:rPr>
                <w:bCs/>
                <w:sz w:val="24"/>
              </w:rPr>
              <w:t>Hg</w:t>
            </w:r>
            <w:r>
              <w:rPr>
                <w:bCs/>
                <w:sz w:val="24"/>
              </w:rPr>
              <w:t>）、镉（</w:t>
            </w:r>
            <w:r>
              <w:rPr>
                <w:bCs/>
                <w:sz w:val="24"/>
              </w:rPr>
              <w:t>Cd</w:t>
            </w:r>
            <w:r>
              <w:rPr>
                <w:bCs/>
                <w:sz w:val="24"/>
              </w:rPr>
              <w:t>）、铊（</w:t>
            </w:r>
            <w:r>
              <w:rPr>
                <w:bCs/>
                <w:sz w:val="24"/>
              </w:rPr>
              <w:t>Tl</w:t>
            </w:r>
            <w:r>
              <w:rPr>
                <w:bCs/>
                <w:sz w:val="24"/>
              </w:rPr>
              <w:t>）、铅（</w:t>
            </w:r>
            <w:r>
              <w:rPr>
                <w:bCs/>
                <w:sz w:val="24"/>
              </w:rPr>
              <w:t>Pb</w:t>
            </w:r>
            <w:r>
              <w:rPr>
                <w:bCs/>
                <w:sz w:val="24"/>
              </w:rPr>
              <w:t>）、砷（</w:t>
            </w:r>
            <w:r>
              <w:rPr>
                <w:bCs/>
                <w:sz w:val="24"/>
              </w:rPr>
              <w:t>As</w:t>
            </w:r>
            <w:r>
              <w:rPr>
                <w:bCs/>
                <w:sz w:val="24"/>
              </w:rPr>
              <w:t>）、铍（</w:t>
            </w:r>
            <w:r>
              <w:rPr>
                <w:bCs/>
                <w:sz w:val="24"/>
              </w:rPr>
              <w:t>Be</w:t>
            </w:r>
            <w:r>
              <w:rPr>
                <w:bCs/>
                <w:sz w:val="24"/>
              </w:rPr>
              <w:t>）、铬（</w:t>
            </w:r>
            <w:r>
              <w:rPr>
                <w:bCs/>
                <w:sz w:val="24"/>
              </w:rPr>
              <w:t>Cr</w:t>
            </w:r>
            <w:r>
              <w:rPr>
                <w:bCs/>
                <w:sz w:val="24"/>
              </w:rPr>
              <w:t>）、锡（</w:t>
            </w:r>
            <w:r>
              <w:rPr>
                <w:bCs/>
                <w:sz w:val="24"/>
              </w:rPr>
              <w:t>Sn</w:t>
            </w:r>
            <w:r>
              <w:rPr>
                <w:bCs/>
                <w:sz w:val="24"/>
              </w:rPr>
              <w:t>）、锑（</w:t>
            </w:r>
            <w:r>
              <w:rPr>
                <w:bCs/>
                <w:sz w:val="24"/>
              </w:rPr>
              <w:t>Sb</w:t>
            </w:r>
            <w:r>
              <w:rPr>
                <w:bCs/>
                <w:sz w:val="24"/>
              </w:rPr>
              <w:t>）、铜（</w:t>
            </w:r>
            <w:r>
              <w:rPr>
                <w:bCs/>
                <w:sz w:val="24"/>
              </w:rPr>
              <w:t>Cu</w:t>
            </w:r>
            <w:r>
              <w:rPr>
                <w:bCs/>
                <w:sz w:val="24"/>
              </w:rPr>
              <w:t>）、钴（</w:t>
            </w:r>
            <w:r>
              <w:rPr>
                <w:bCs/>
                <w:sz w:val="24"/>
              </w:rPr>
              <w:t>Co</w:t>
            </w:r>
            <w:r>
              <w:rPr>
                <w:bCs/>
                <w:sz w:val="24"/>
              </w:rPr>
              <w:t>）、锰（</w:t>
            </w:r>
            <w:r>
              <w:rPr>
                <w:bCs/>
                <w:sz w:val="24"/>
              </w:rPr>
              <w:t>Mn</w:t>
            </w:r>
            <w:r>
              <w:rPr>
                <w:bCs/>
                <w:sz w:val="24"/>
              </w:rPr>
              <w:t>）、镍（</w:t>
            </w:r>
            <w:r>
              <w:rPr>
                <w:bCs/>
                <w:sz w:val="24"/>
              </w:rPr>
              <w:t>Ni</w:t>
            </w:r>
            <w:r>
              <w:rPr>
                <w:bCs/>
                <w:sz w:val="24"/>
              </w:rPr>
              <w:t>）、钒（</w:t>
            </w:r>
            <w:r>
              <w:rPr>
                <w:bCs/>
                <w:sz w:val="24"/>
              </w:rPr>
              <w:t>V</w:t>
            </w:r>
            <w:r>
              <w:rPr>
                <w:bCs/>
                <w:sz w:val="24"/>
              </w:rPr>
              <w:t>）等；</w:t>
            </w:r>
          </w:p>
          <w:p w14:paraId="5AB39A1E" w14:textId="77777777" w:rsidR="00F76A63" w:rsidRDefault="00000000">
            <w:pPr>
              <w:adjustRightInd w:val="0"/>
              <w:snapToGrid w:val="0"/>
              <w:spacing w:line="500" w:lineRule="exact"/>
              <w:ind w:firstLineChars="200" w:firstLine="480"/>
              <w:rPr>
                <w:bCs/>
                <w:sz w:val="24"/>
              </w:rPr>
            </w:pPr>
            <w:r>
              <w:rPr>
                <w:bCs/>
                <w:sz w:val="24"/>
              </w:rPr>
              <w:t>无机有害组分：总氯（</w:t>
            </w:r>
            <w:r>
              <w:rPr>
                <w:bCs/>
                <w:sz w:val="24"/>
              </w:rPr>
              <w:t>Cl</w:t>
            </w:r>
            <w:r>
              <w:rPr>
                <w:bCs/>
                <w:sz w:val="24"/>
              </w:rPr>
              <w:t>）、总氟（</w:t>
            </w:r>
            <w:r>
              <w:rPr>
                <w:bCs/>
                <w:sz w:val="24"/>
              </w:rPr>
              <w:t>F</w:t>
            </w:r>
            <w:r>
              <w:rPr>
                <w:bCs/>
                <w:sz w:val="24"/>
              </w:rPr>
              <w:t>）、全硫（</w:t>
            </w:r>
            <w:r>
              <w:rPr>
                <w:bCs/>
                <w:sz w:val="24"/>
              </w:rPr>
              <w:t>S</w:t>
            </w:r>
            <w:r>
              <w:rPr>
                <w:bCs/>
                <w:sz w:val="24"/>
              </w:rPr>
              <w:t>）。</w:t>
            </w:r>
          </w:p>
          <w:p w14:paraId="372C4FD5" w14:textId="77777777" w:rsidR="00F76A63" w:rsidRDefault="00000000">
            <w:pPr>
              <w:adjustRightInd w:val="0"/>
              <w:snapToGrid w:val="0"/>
              <w:spacing w:line="500" w:lineRule="exact"/>
              <w:ind w:firstLineChars="200" w:firstLine="480"/>
              <w:rPr>
                <w:b/>
                <w:bCs/>
                <w:sz w:val="24"/>
              </w:rPr>
            </w:pPr>
            <w:r>
              <w:rPr>
                <w:bCs/>
                <w:sz w:val="24"/>
              </w:rPr>
              <w:lastRenderedPageBreak/>
              <w:t>上述成分均纳入入厂检测、入窑管控及元素平衡核算，严格执行</w:t>
            </w:r>
            <w:r>
              <w:rPr>
                <w:rFonts w:hint="eastAsia"/>
                <w:bCs/>
                <w:sz w:val="24"/>
              </w:rPr>
              <w:t>《水泥窑协同处置固体废物污染控制标准》（</w:t>
            </w:r>
            <w:r>
              <w:rPr>
                <w:bCs/>
                <w:sz w:val="24"/>
              </w:rPr>
              <w:t>GB30485-2013</w:t>
            </w:r>
            <w:r>
              <w:rPr>
                <w:rFonts w:hint="eastAsia"/>
                <w:bCs/>
                <w:sz w:val="24"/>
              </w:rPr>
              <w:t>）</w:t>
            </w:r>
            <w:r>
              <w:rPr>
                <w:bCs/>
                <w:sz w:val="24"/>
              </w:rPr>
              <w:t>、</w:t>
            </w:r>
            <w:r>
              <w:rPr>
                <w:rFonts w:hint="eastAsia"/>
                <w:bCs/>
                <w:sz w:val="24"/>
              </w:rPr>
              <w:t>《</w:t>
            </w:r>
            <w:r>
              <w:rPr>
                <w:bCs/>
                <w:sz w:val="24"/>
              </w:rPr>
              <w:t>水泥窑协同处置固体废物技术规范</w:t>
            </w:r>
            <w:r>
              <w:rPr>
                <w:rFonts w:hint="eastAsia"/>
                <w:bCs/>
                <w:sz w:val="24"/>
              </w:rPr>
              <w:t>》（</w:t>
            </w:r>
            <w:r>
              <w:rPr>
                <w:bCs/>
                <w:sz w:val="24"/>
              </w:rPr>
              <w:t>GB/T30760-2024</w:t>
            </w:r>
            <w:r>
              <w:rPr>
                <w:rFonts w:hint="eastAsia"/>
                <w:bCs/>
                <w:sz w:val="24"/>
              </w:rPr>
              <w:t>）</w:t>
            </w:r>
            <w:r>
              <w:rPr>
                <w:bCs/>
                <w:sz w:val="24"/>
              </w:rPr>
              <w:t>及</w:t>
            </w:r>
            <w:r>
              <w:rPr>
                <w:rFonts w:hint="eastAsia"/>
                <w:bCs/>
                <w:sz w:val="24"/>
              </w:rPr>
              <w:t>《水泥窑协同处置固体废物环境保护技术规范》（</w:t>
            </w:r>
            <w:r>
              <w:rPr>
                <w:bCs/>
                <w:sz w:val="24"/>
              </w:rPr>
              <w:t>HJ 662-2013</w:t>
            </w:r>
            <w:r>
              <w:rPr>
                <w:rFonts w:hint="eastAsia"/>
                <w:bCs/>
                <w:sz w:val="24"/>
              </w:rPr>
              <w:t>）</w:t>
            </w:r>
            <w:r>
              <w:rPr>
                <w:bCs/>
                <w:sz w:val="24"/>
              </w:rPr>
              <w:t>限值要求。</w:t>
            </w:r>
          </w:p>
          <w:p w14:paraId="39FF7D8A" w14:textId="77777777" w:rsidR="00F76A63" w:rsidRDefault="00000000">
            <w:pPr>
              <w:numPr>
                <w:ilvl w:val="0"/>
                <w:numId w:val="4"/>
              </w:numPr>
              <w:adjustRightInd w:val="0"/>
              <w:snapToGrid w:val="0"/>
              <w:spacing w:line="500" w:lineRule="exact"/>
              <w:ind w:firstLineChars="200" w:firstLine="482"/>
              <w:jc w:val="left"/>
              <w:rPr>
                <w:b/>
                <w:sz w:val="24"/>
              </w:rPr>
            </w:pPr>
            <w:r>
              <w:rPr>
                <w:b/>
                <w:sz w:val="24"/>
              </w:rPr>
              <w:t>水平衡</w:t>
            </w:r>
          </w:p>
          <w:p w14:paraId="197FE4D6" w14:textId="77777777" w:rsidR="00F76A63" w:rsidRDefault="00000000">
            <w:pPr>
              <w:adjustRightInd w:val="0"/>
              <w:snapToGrid w:val="0"/>
              <w:spacing w:line="500" w:lineRule="exact"/>
              <w:ind w:firstLineChars="200" w:firstLine="480"/>
              <w:rPr>
                <w:bCs/>
                <w:sz w:val="24"/>
              </w:rPr>
            </w:pPr>
            <w:r>
              <w:rPr>
                <w:rFonts w:hint="eastAsia"/>
                <w:bCs/>
                <w:sz w:val="24"/>
              </w:rPr>
              <w:t>本项目用水主要为高压雾化喷淋系统水雾喷淋用水，根据建设单位提供的资料，高压雾化喷淋系统预计新增用水量</w:t>
            </w:r>
            <w:r>
              <w:rPr>
                <w:rFonts w:hint="eastAsia"/>
                <w:bCs/>
                <w:sz w:val="24"/>
              </w:rPr>
              <w:t>2t/d</w:t>
            </w:r>
            <w:r>
              <w:rPr>
                <w:rFonts w:hint="eastAsia"/>
                <w:bCs/>
                <w:sz w:val="24"/>
              </w:rPr>
              <w:t>（</w:t>
            </w:r>
            <w:r>
              <w:rPr>
                <w:rFonts w:hint="eastAsia"/>
                <w:bCs/>
                <w:sz w:val="24"/>
              </w:rPr>
              <w:t>620t/a</w:t>
            </w:r>
            <w:r>
              <w:rPr>
                <w:rFonts w:hint="eastAsia"/>
                <w:bCs/>
                <w:sz w:val="24"/>
              </w:rPr>
              <w:t>），水分直接蒸发损耗。</w:t>
            </w:r>
          </w:p>
          <w:p w14:paraId="5A7AA714" w14:textId="77777777" w:rsidR="00F76A63" w:rsidRDefault="00000000">
            <w:pPr>
              <w:adjustRightInd w:val="0"/>
              <w:snapToGrid w:val="0"/>
              <w:spacing w:line="500" w:lineRule="exact"/>
              <w:ind w:firstLineChars="200" w:firstLine="480"/>
            </w:pPr>
            <w:r>
              <w:rPr>
                <w:rFonts w:hint="eastAsia"/>
                <w:bCs/>
                <w:sz w:val="24"/>
              </w:rPr>
              <w:t>项目产生的废水为污泥堆放产生的渗滤液，经集水沟统一收集至原水池和生产废水一起经中水处理系统处理后回用。</w:t>
            </w:r>
          </w:p>
          <w:p w14:paraId="2E689317" w14:textId="77777777" w:rsidR="00F76A63" w:rsidRDefault="00000000">
            <w:pPr>
              <w:pStyle w:val="29"/>
              <w:spacing w:before="0" w:after="0" w:line="500" w:lineRule="exact"/>
              <w:ind w:firstLineChars="200" w:firstLine="480"/>
              <w:rPr>
                <w:sz w:val="24"/>
                <w:szCs w:val="40"/>
              </w:rPr>
            </w:pPr>
            <w:r>
              <w:rPr>
                <w:sz w:val="24"/>
                <w:szCs w:val="40"/>
              </w:rPr>
              <w:t>本项目建设完成后全厂水平衡如下图所示：</w:t>
            </w:r>
          </w:p>
          <w:p w14:paraId="49906FD5" w14:textId="77777777" w:rsidR="0097066E" w:rsidRPr="0097066E" w:rsidRDefault="0097066E" w:rsidP="0097066E">
            <w:pPr>
              <w:jc w:val="center"/>
              <w:rPr>
                <w:b/>
                <w:i/>
                <w:iCs/>
              </w:rPr>
            </w:pPr>
            <w:r w:rsidRPr="0097066E">
              <w:rPr>
                <w:b/>
                <w:i/>
                <w:iCs/>
              </w:rPr>
              <w:t>（涉密已删除）</w:t>
            </w:r>
          </w:p>
          <w:p w14:paraId="2D93EF35" w14:textId="77777777" w:rsidR="00F76A63" w:rsidRDefault="00000000">
            <w:pPr>
              <w:pStyle w:val="29"/>
              <w:spacing w:before="0" w:after="0" w:line="500" w:lineRule="exact"/>
              <w:ind w:firstLine="0"/>
              <w:jc w:val="center"/>
              <w:rPr>
                <w:b/>
                <w:sz w:val="24"/>
              </w:rPr>
            </w:pPr>
            <w:r>
              <w:rPr>
                <w:b/>
                <w:bCs/>
                <w:sz w:val="24"/>
              </w:rPr>
              <w:t>图</w:t>
            </w:r>
            <w:r>
              <w:rPr>
                <w:b/>
                <w:bCs/>
                <w:sz w:val="24"/>
              </w:rPr>
              <w:t xml:space="preserve">2-1  </w:t>
            </w:r>
            <w:r>
              <w:rPr>
                <w:b/>
                <w:bCs/>
                <w:sz w:val="24"/>
              </w:rPr>
              <w:t>全厂</w:t>
            </w:r>
            <w:r>
              <w:rPr>
                <w:b/>
                <w:sz w:val="24"/>
              </w:rPr>
              <w:t>水平衡图（单位：</w:t>
            </w:r>
            <w:r>
              <w:rPr>
                <w:b/>
                <w:sz w:val="24"/>
              </w:rPr>
              <w:t>t/a</w:t>
            </w:r>
            <w:r>
              <w:rPr>
                <w:b/>
                <w:sz w:val="24"/>
              </w:rPr>
              <w:t>）</w:t>
            </w:r>
          </w:p>
          <w:p w14:paraId="1F4C90C2" w14:textId="77777777" w:rsidR="00F76A63" w:rsidRDefault="00F76A63">
            <w:pPr>
              <w:adjustRightInd w:val="0"/>
              <w:snapToGrid w:val="0"/>
              <w:spacing w:line="500" w:lineRule="exact"/>
              <w:ind w:firstLineChars="200" w:firstLine="482"/>
              <w:jc w:val="left"/>
              <w:rPr>
                <w:b/>
                <w:sz w:val="24"/>
              </w:rPr>
            </w:pPr>
          </w:p>
          <w:p w14:paraId="575A2769" w14:textId="77777777" w:rsidR="00F76A63" w:rsidRDefault="00F76A63">
            <w:pPr>
              <w:adjustRightInd w:val="0"/>
              <w:snapToGrid w:val="0"/>
              <w:spacing w:line="500" w:lineRule="exact"/>
              <w:ind w:firstLineChars="200" w:firstLine="482"/>
              <w:jc w:val="left"/>
              <w:rPr>
                <w:b/>
                <w:sz w:val="24"/>
              </w:rPr>
            </w:pPr>
          </w:p>
          <w:p w14:paraId="38A6C52E" w14:textId="77777777" w:rsidR="00F76A63" w:rsidRDefault="00000000">
            <w:pPr>
              <w:adjustRightInd w:val="0"/>
              <w:snapToGrid w:val="0"/>
              <w:spacing w:line="500" w:lineRule="exact"/>
              <w:ind w:firstLineChars="200" w:firstLine="482"/>
              <w:jc w:val="left"/>
              <w:rPr>
                <w:b/>
                <w:sz w:val="24"/>
              </w:rPr>
            </w:pPr>
            <w:r>
              <w:rPr>
                <w:b/>
                <w:sz w:val="24"/>
              </w:rPr>
              <w:t>11</w:t>
            </w:r>
            <w:r>
              <w:rPr>
                <w:b/>
                <w:sz w:val="24"/>
              </w:rPr>
              <w:t>、劳动定员及工作制度</w:t>
            </w:r>
          </w:p>
          <w:p w14:paraId="70E74DF9" w14:textId="77777777" w:rsidR="00F76A63" w:rsidRDefault="00000000">
            <w:pPr>
              <w:pStyle w:val="TableText"/>
              <w:spacing w:line="500" w:lineRule="exact"/>
              <w:ind w:left="108" w:right="140" w:firstLine="483"/>
              <w:rPr>
                <w:rFonts w:ascii="Times New Roman" w:hAnsi="Times New Roman" w:cs="Times New Roman"/>
                <w:color w:val="auto"/>
              </w:rPr>
            </w:pPr>
            <w:r>
              <w:rPr>
                <w:rFonts w:ascii="Times New Roman" w:hAnsi="Times New Roman" w:cs="Times New Roman"/>
                <w:color w:val="auto"/>
                <w:spacing w:val="-2"/>
              </w:rPr>
              <w:t>职工人数：公司现有职工</w:t>
            </w:r>
            <w:r>
              <w:rPr>
                <w:rFonts w:ascii="Times New Roman" w:eastAsia="Times New Roman" w:hAnsi="Times New Roman" w:cs="Times New Roman"/>
                <w:color w:val="auto"/>
                <w:spacing w:val="-2"/>
              </w:rPr>
              <w:t>602</w:t>
            </w:r>
            <w:r>
              <w:rPr>
                <w:rFonts w:ascii="Times New Roman" w:hAnsi="Times New Roman" w:cs="Times New Roman"/>
                <w:color w:val="auto"/>
                <w:spacing w:val="-2"/>
              </w:rPr>
              <w:t>人，本项目不新增人员。</w:t>
            </w:r>
            <w:r>
              <w:rPr>
                <w:rFonts w:ascii="Times New Roman" w:hAnsi="Times New Roman" w:cs="Times New Roman"/>
                <w:color w:val="auto"/>
              </w:rPr>
              <w:t>工作制度：项目全年工作</w:t>
            </w:r>
            <w:r>
              <w:rPr>
                <w:rFonts w:ascii="Times New Roman" w:eastAsia="Times New Roman" w:hAnsi="Times New Roman" w:cs="Times New Roman"/>
                <w:color w:val="auto"/>
              </w:rPr>
              <w:t>310</w:t>
            </w:r>
            <w:r>
              <w:rPr>
                <w:rFonts w:ascii="Times New Roman" w:hAnsi="Times New Roman" w:cs="Times New Roman"/>
                <w:color w:val="auto"/>
              </w:rPr>
              <w:t>天，采取三轮班制，工作时间</w:t>
            </w:r>
            <w:r>
              <w:rPr>
                <w:rFonts w:ascii="Times New Roman" w:eastAsia="Times New Roman" w:hAnsi="Times New Roman" w:cs="Times New Roman"/>
                <w:color w:val="auto"/>
              </w:rPr>
              <w:t>8</w:t>
            </w:r>
            <w:r>
              <w:rPr>
                <w:rFonts w:ascii="Times New Roman" w:hAnsi="Times New Roman" w:cs="Times New Roman"/>
                <w:color w:val="auto"/>
              </w:rPr>
              <w:t>小时，年工作</w:t>
            </w:r>
            <w:r>
              <w:rPr>
                <w:rFonts w:ascii="Times New Roman" w:eastAsia="Times New Roman" w:hAnsi="Times New Roman" w:cs="Times New Roman"/>
                <w:color w:val="auto"/>
                <w:spacing w:val="-2"/>
              </w:rPr>
              <w:t>7440h</w:t>
            </w:r>
            <w:r>
              <w:rPr>
                <w:rFonts w:ascii="Times New Roman" w:hAnsi="Times New Roman" w:cs="Times New Roman"/>
                <w:color w:val="auto"/>
                <w:spacing w:val="-2"/>
              </w:rPr>
              <w:t>。</w:t>
            </w:r>
          </w:p>
          <w:p w14:paraId="74A7489C" w14:textId="77777777" w:rsidR="00F76A63" w:rsidRDefault="00000000">
            <w:pPr>
              <w:adjustRightInd w:val="0"/>
              <w:snapToGrid w:val="0"/>
              <w:spacing w:line="500" w:lineRule="exact"/>
              <w:ind w:firstLineChars="200" w:firstLine="482"/>
              <w:jc w:val="left"/>
              <w:rPr>
                <w:b/>
                <w:sz w:val="24"/>
              </w:rPr>
            </w:pPr>
            <w:r>
              <w:rPr>
                <w:b/>
                <w:sz w:val="24"/>
              </w:rPr>
              <w:t>12</w:t>
            </w:r>
            <w:r>
              <w:rPr>
                <w:b/>
                <w:sz w:val="24"/>
              </w:rPr>
              <w:t>、厂区平面布置及周边环境概况</w:t>
            </w:r>
          </w:p>
          <w:p w14:paraId="50996BF4" w14:textId="77777777" w:rsidR="00F76A63" w:rsidRDefault="00000000">
            <w:pPr>
              <w:pStyle w:val="TableText"/>
              <w:spacing w:line="500" w:lineRule="exact"/>
              <w:ind w:firstLine="480"/>
              <w:jc w:val="both"/>
              <w:rPr>
                <w:rFonts w:ascii="Times New Roman" w:hAnsi="Times New Roman" w:cs="Times New Roman"/>
                <w:color w:val="auto"/>
                <w:spacing w:val="-3"/>
              </w:rPr>
            </w:pPr>
            <w:r>
              <w:rPr>
                <w:rFonts w:ascii="Times New Roman" w:hAnsi="Times New Roman" w:cs="Times New Roman"/>
                <w:color w:val="auto"/>
              </w:rPr>
              <w:t>本项目位于句容台泥水泥有限公司现有厂</w:t>
            </w:r>
            <w:r>
              <w:rPr>
                <w:rFonts w:ascii="Times New Roman" w:hAnsi="Times New Roman" w:cs="Times New Roman"/>
                <w:color w:val="auto"/>
                <w:spacing w:val="-1"/>
              </w:rPr>
              <w:t>区内。现有工程呈不规则形</w:t>
            </w:r>
            <w:r>
              <w:rPr>
                <w:rFonts w:ascii="Times New Roman" w:hAnsi="Times New Roman" w:cs="Times New Roman"/>
                <w:color w:val="auto"/>
              </w:rPr>
              <w:t>状，办公区位于厂区南部，布置有大面积绿化，厂区生产区位于厂区中部</w:t>
            </w:r>
            <w:r>
              <w:rPr>
                <w:rFonts w:ascii="Times New Roman" w:hAnsi="Times New Roman" w:cs="Times New Roman"/>
                <w:color w:val="auto"/>
                <w:spacing w:val="-1"/>
              </w:rPr>
              <w:t>，包</w:t>
            </w:r>
            <w:r>
              <w:rPr>
                <w:rFonts w:ascii="Times New Roman" w:hAnsi="Times New Roman" w:cs="Times New Roman"/>
                <w:color w:val="auto"/>
              </w:rPr>
              <w:t>括：从东往西依次并列布设两条熟料的新型干法水泥生</w:t>
            </w:r>
            <w:r>
              <w:rPr>
                <w:rFonts w:ascii="Times New Roman" w:hAnsi="Times New Roman" w:cs="Times New Roman"/>
                <w:color w:val="auto"/>
                <w:spacing w:val="-1"/>
              </w:rPr>
              <w:t>产线，整条生产线为南北</w:t>
            </w:r>
            <w:r>
              <w:rPr>
                <w:rFonts w:ascii="Times New Roman" w:hAnsi="Times New Roman" w:cs="Times New Roman"/>
                <w:color w:val="auto"/>
                <w:spacing w:val="-3"/>
              </w:rPr>
              <w:t>走向布置。</w:t>
            </w:r>
          </w:p>
          <w:p w14:paraId="28CF3D0B" w14:textId="77777777" w:rsidR="00F76A63" w:rsidRDefault="00000000">
            <w:pPr>
              <w:pStyle w:val="TableText"/>
              <w:spacing w:line="500" w:lineRule="exact"/>
              <w:ind w:firstLine="480"/>
              <w:jc w:val="both"/>
              <w:rPr>
                <w:rFonts w:ascii="Times New Roman" w:hAnsi="Times New Roman" w:cs="Times New Roman"/>
                <w:color w:val="auto"/>
              </w:rPr>
            </w:pPr>
            <w:r>
              <w:rPr>
                <w:rFonts w:ascii="Times New Roman" w:hAnsi="Times New Roman" w:cs="Times New Roman"/>
                <w:color w:val="auto"/>
              </w:rPr>
              <w:t>本项目依托厂内两条水泥熟料生产线，不</w:t>
            </w:r>
            <w:r>
              <w:rPr>
                <w:rFonts w:ascii="Times New Roman" w:hAnsi="Times New Roman" w:cs="Times New Roman"/>
                <w:color w:val="auto"/>
                <w:spacing w:val="-1"/>
              </w:rPr>
              <w:t>改变水泥总体生产工艺，兼顾项目与依托工程的关系，本项目不新征土地。</w:t>
            </w:r>
          </w:p>
          <w:p w14:paraId="31659AD3" w14:textId="77777777" w:rsidR="00F76A63" w:rsidRDefault="00000000">
            <w:pPr>
              <w:adjustRightInd w:val="0"/>
              <w:snapToGrid w:val="0"/>
              <w:spacing w:line="500" w:lineRule="exact"/>
              <w:ind w:firstLineChars="200" w:firstLine="480"/>
              <w:rPr>
                <w:spacing w:val="-1"/>
                <w:sz w:val="24"/>
              </w:rPr>
            </w:pPr>
            <w:r>
              <w:rPr>
                <w:sz w:val="24"/>
              </w:rPr>
              <w:t>句容台泥水泥有限公司位于江苏省镇江市句容下</w:t>
            </w:r>
            <w:r>
              <w:rPr>
                <w:spacing w:val="-1"/>
                <w:sz w:val="24"/>
              </w:rPr>
              <w:t>蜀镇，厂区北侧紧邻长江，</w:t>
            </w:r>
            <w:r>
              <w:rPr>
                <w:sz w:val="24"/>
              </w:rPr>
              <w:t>东侧、南侧邻老便民河，西侧紧邻建华建材（中国）</w:t>
            </w:r>
            <w:r>
              <w:rPr>
                <w:spacing w:val="-1"/>
                <w:sz w:val="24"/>
              </w:rPr>
              <w:t>有限公司。最近环境敏感目标为项目厂界西南侧</w:t>
            </w:r>
            <w:r>
              <w:rPr>
                <w:spacing w:val="-56"/>
                <w:sz w:val="24"/>
              </w:rPr>
              <w:t xml:space="preserve"> </w:t>
            </w:r>
            <w:r>
              <w:rPr>
                <w:spacing w:val="-1"/>
                <w:sz w:val="24"/>
              </w:rPr>
              <w:t>475</w:t>
            </w:r>
            <w:r>
              <w:rPr>
                <w:spacing w:val="-1"/>
                <w:sz w:val="24"/>
              </w:rPr>
              <w:t>米处的王圩村，项目周边环境概况详见附图</w:t>
            </w:r>
            <w:r>
              <w:rPr>
                <w:spacing w:val="-1"/>
                <w:sz w:val="24"/>
              </w:rPr>
              <w:t>3</w:t>
            </w:r>
            <w:r>
              <w:rPr>
                <w:spacing w:val="-1"/>
                <w:sz w:val="24"/>
              </w:rPr>
              <w:t>。</w:t>
            </w:r>
          </w:p>
          <w:p w14:paraId="21F1639A" w14:textId="77777777" w:rsidR="00F76A63" w:rsidRDefault="00000000">
            <w:pPr>
              <w:adjustRightInd w:val="0"/>
              <w:snapToGrid w:val="0"/>
              <w:spacing w:line="500" w:lineRule="exact"/>
              <w:ind w:firstLineChars="200" w:firstLine="482"/>
              <w:jc w:val="left"/>
              <w:rPr>
                <w:b/>
                <w:sz w:val="24"/>
              </w:rPr>
            </w:pPr>
            <w:r>
              <w:rPr>
                <w:b/>
                <w:sz w:val="24"/>
              </w:rPr>
              <w:lastRenderedPageBreak/>
              <w:t>13</w:t>
            </w:r>
            <w:r>
              <w:rPr>
                <w:b/>
                <w:sz w:val="24"/>
              </w:rPr>
              <w:t>、</w:t>
            </w:r>
            <w:r>
              <w:rPr>
                <w:rFonts w:hint="eastAsia"/>
                <w:b/>
                <w:sz w:val="24"/>
              </w:rPr>
              <w:t>本项目接收处置固废进厂及入窑准入条件</w:t>
            </w:r>
          </w:p>
          <w:p w14:paraId="4486C158" w14:textId="77777777" w:rsidR="00F76A63" w:rsidRDefault="00000000">
            <w:pPr>
              <w:adjustRightInd w:val="0"/>
              <w:snapToGrid w:val="0"/>
              <w:spacing w:line="500" w:lineRule="exact"/>
              <w:ind w:firstLineChars="200" w:firstLine="480"/>
              <w:rPr>
                <w:sz w:val="24"/>
              </w:rPr>
            </w:pPr>
            <w:r>
              <w:rPr>
                <w:sz w:val="24"/>
              </w:rPr>
              <w:t>本项目主要根据《中华人民共和国土壤污染防治法》《国家危险废物名录》（</w:t>
            </w:r>
            <w:r>
              <w:rPr>
                <w:sz w:val="24"/>
              </w:rPr>
              <w:t>2025</w:t>
            </w:r>
            <w:r>
              <w:rPr>
                <w:sz w:val="24"/>
              </w:rPr>
              <w:t>年版）、《危险废物鉴别技术规范》（</w:t>
            </w:r>
            <w:r>
              <w:rPr>
                <w:sz w:val="24"/>
              </w:rPr>
              <w:t>HJ 298-2019</w:t>
            </w:r>
            <w:r>
              <w:rPr>
                <w:sz w:val="24"/>
              </w:rPr>
              <w:t>）、《危险废物鉴别标准</w:t>
            </w:r>
            <w:r>
              <w:rPr>
                <w:sz w:val="24"/>
              </w:rPr>
              <w:t xml:space="preserve"> </w:t>
            </w:r>
            <w:r>
              <w:rPr>
                <w:sz w:val="24"/>
              </w:rPr>
              <w:t>通则》（</w:t>
            </w:r>
            <w:r>
              <w:rPr>
                <w:sz w:val="24"/>
              </w:rPr>
              <w:t>GB 5085.7-2019</w:t>
            </w:r>
            <w:r>
              <w:rPr>
                <w:sz w:val="24"/>
              </w:rPr>
              <w:t>）、《水泥窑协同处置固体废物污染防治技术政策》（环境保护部公告</w:t>
            </w:r>
            <w:r>
              <w:rPr>
                <w:sz w:val="24"/>
              </w:rPr>
              <w:t xml:space="preserve"> 2016</w:t>
            </w:r>
            <w:r>
              <w:rPr>
                <w:sz w:val="24"/>
              </w:rPr>
              <w:t>年</w:t>
            </w:r>
            <w:r>
              <w:rPr>
                <w:sz w:val="24"/>
              </w:rPr>
              <w:t xml:space="preserve"> </w:t>
            </w:r>
            <w:r>
              <w:rPr>
                <w:sz w:val="24"/>
              </w:rPr>
              <w:t>第</w:t>
            </w:r>
            <w:r>
              <w:rPr>
                <w:sz w:val="24"/>
              </w:rPr>
              <w:t>72</w:t>
            </w:r>
            <w:r>
              <w:rPr>
                <w:sz w:val="24"/>
              </w:rPr>
              <w:t>号）《水泥窑协同处置固体废物技术规范》（</w:t>
            </w:r>
            <w:r>
              <w:rPr>
                <w:sz w:val="24"/>
              </w:rPr>
              <w:t>GB/T 30760-2024</w:t>
            </w:r>
            <w:r>
              <w:rPr>
                <w:sz w:val="24"/>
              </w:rPr>
              <w:t>）、《水泥窑协同处置固体废物环境保护技术规范》（</w:t>
            </w:r>
            <w:r>
              <w:rPr>
                <w:sz w:val="24"/>
              </w:rPr>
              <w:t>HJ662-2013</w:t>
            </w:r>
            <w:r>
              <w:rPr>
                <w:sz w:val="24"/>
              </w:rPr>
              <w:t>）、《水泥窑协同处置固体废物污染控制标准》（</w:t>
            </w:r>
            <w:r>
              <w:rPr>
                <w:sz w:val="24"/>
              </w:rPr>
              <w:t>GB 30485-2013</w:t>
            </w:r>
            <w:r>
              <w:rPr>
                <w:sz w:val="24"/>
              </w:rPr>
              <w:t>）等政策、标准相关要求制定进厂准入与入窑准入双重控制条件。</w:t>
            </w:r>
          </w:p>
          <w:p w14:paraId="00B421DE" w14:textId="77777777" w:rsidR="00F76A63" w:rsidRDefault="00000000">
            <w:pPr>
              <w:adjustRightInd w:val="0"/>
              <w:snapToGrid w:val="0"/>
              <w:spacing w:line="500" w:lineRule="exact"/>
              <w:ind w:firstLineChars="200" w:firstLine="482"/>
              <w:rPr>
                <w:b/>
                <w:bCs/>
                <w:sz w:val="24"/>
              </w:rPr>
            </w:pPr>
            <w:r>
              <w:rPr>
                <w:b/>
                <w:bCs/>
                <w:sz w:val="24"/>
              </w:rPr>
              <w:t>（</w:t>
            </w:r>
            <w:r>
              <w:rPr>
                <w:b/>
                <w:bCs/>
                <w:sz w:val="24"/>
              </w:rPr>
              <w:t>1</w:t>
            </w:r>
            <w:r>
              <w:rPr>
                <w:b/>
                <w:bCs/>
                <w:sz w:val="24"/>
              </w:rPr>
              <w:t>）进厂准入条件（车辆进厂前必须满足）</w:t>
            </w:r>
          </w:p>
          <w:p w14:paraId="1983ED69" w14:textId="77777777" w:rsidR="00F76A63" w:rsidRDefault="00000000">
            <w:pPr>
              <w:adjustRightInd w:val="0"/>
              <w:snapToGrid w:val="0"/>
              <w:spacing w:line="500" w:lineRule="exact"/>
              <w:ind w:firstLineChars="200" w:firstLine="480"/>
              <w:rPr>
                <w:sz w:val="24"/>
              </w:rPr>
            </w:pPr>
            <w:r>
              <w:rPr>
                <w:sz w:val="24"/>
              </w:rPr>
              <w:t>本项目仅协同处置一般固废，不接收危险废物或危险特性不明确的工业固废。根据《危险废物鉴别标准通则》（</w:t>
            </w:r>
            <w:r>
              <w:rPr>
                <w:sz w:val="24"/>
              </w:rPr>
              <w:t>GB5085.7-2019</w:t>
            </w:r>
            <w:r>
              <w:rPr>
                <w:sz w:val="24"/>
              </w:rPr>
              <w:t>），未列入《国家危险废物名录》，但不排除具有腐蚀性、毒性、易燃性、反应性的固体废物，依据</w:t>
            </w:r>
            <w:r>
              <w:rPr>
                <w:sz w:val="24"/>
              </w:rPr>
              <w:t>GB5085.1</w:t>
            </w:r>
            <w:r>
              <w:rPr>
                <w:sz w:val="24"/>
              </w:rPr>
              <w:t>、</w:t>
            </w:r>
            <w:r>
              <w:rPr>
                <w:sz w:val="24"/>
              </w:rPr>
              <w:t>GB5085.2</w:t>
            </w:r>
            <w:r>
              <w:rPr>
                <w:sz w:val="24"/>
              </w:rPr>
              <w:t>、</w:t>
            </w:r>
            <w:r>
              <w:rPr>
                <w:sz w:val="24"/>
              </w:rPr>
              <w:t>GB5085.3</w:t>
            </w:r>
            <w:r>
              <w:rPr>
                <w:sz w:val="24"/>
              </w:rPr>
              <w:t>、</w:t>
            </w:r>
            <w:r>
              <w:rPr>
                <w:sz w:val="24"/>
              </w:rPr>
              <w:t>GB5085.4</w:t>
            </w:r>
            <w:r>
              <w:rPr>
                <w:sz w:val="24"/>
              </w:rPr>
              <w:t>、</w:t>
            </w:r>
            <w:r>
              <w:rPr>
                <w:sz w:val="24"/>
              </w:rPr>
              <w:t>GB5085.5</w:t>
            </w:r>
            <w:r>
              <w:rPr>
                <w:sz w:val="24"/>
              </w:rPr>
              <w:t>和</w:t>
            </w:r>
            <w:r>
              <w:rPr>
                <w:sz w:val="24"/>
              </w:rPr>
              <w:t>GB5085.6</w:t>
            </w:r>
            <w:r>
              <w:rPr>
                <w:sz w:val="24"/>
              </w:rPr>
              <w:t>，以及</w:t>
            </w:r>
            <w:r>
              <w:rPr>
                <w:sz w:val="24"/>
              </w:rPr>
              <w:t>HJ298</w:t>
            </w:r>
            <w:r>
              <w:rPr>
                <w:sz w:val="24"/>
              </w:rPr>
              <w:t>进行鉴别。凡具有腐蚀性、毒性、易燃性、反应性中一种或一种以上危险特性的固体废物，属于危险废物。对未列入《国家危险废物名录》且根据危险废物鉴别标准无法鉴别，但可能对人体健康或生态环境造成有害影响的固体废物，由国务院生态环境主管部门组织专家认定。</w:t>
            </w:r>
          </w:p>
          <w:p w14:paraId="75378B9E" w14:textId="77777777" w:rsidR="00F76A63" w:rsidRDefault="00000000">
            <w:pPr>
              <w:adjustRightInd w:val="0"/>
              <w:snapToGrid w:val="0"/>
              <w:spacing w:line="500" w:lineRule="exact"/>
              <w:ind w:firstLineChars="200" w:firstLine="480"/>
              <w:rPr>
                <w:sz w:val="24"/>
              </w:rPr>
            </w:pPr>
            <w:r>
              <w:rPr>
                <w:rFonts w:ascii="Cambria Math" w:hAnsi="Cambria Math"/>
                <w:sz w:val="24"/>
              </w:rPr>
              <w:t>①</w:t>
            </w:r>
            <w:r>
              <w:rPr>
                <w:sz w:val="24"/>
              </w:rPr>
              <w:t>负面清单</w:t>
            </w:r>
            <w:r>
              <w:rPr>
                <w:rFonts w:hint="eastAsia"/>
                <w:sz w:val="24"/>
              </w:rPr>
              <w:t>（禁止入厂）</w:t>
            </w:r>
          </w:p>
          <w:p w14:paraId="6EF413C2" w14:textId="77777777" w:rsidR="00F76A63" w:rsidRDefault="00000000">
            <w:pPr>
              <w:adjustRightInd w:val="0"/>
              <w:snapToGrid w:val="0"/>
              <w:spacing w:line="500" w:lineRule="exact"/>
              <w:ind w:firstLineChars="200" w:firstLine="480"/>
              <w:rPr>
                <w:sz w:val="24"/>
              </w:rPr>
            </w:pPr>
            <w:r>
              <w:rPr>
                <w:sz w:val="24"/>
              </w:rPr>
              <w:t>凡具有以下特征之一的物料，一律禁止进厂：</w:t>
            </w:r>
          </w:p>
          <w:p w14:paraId="24A6FC87" w14:textId="77777777" w:rsidR="00F76A63" w:rsidRDefault="00000000">
            <w:pPr>
              <w:adjustRightInd w:val="0"/>
              <w:snapToGrid w:val="0"/>
              <w:spacing w:line="500" w:lineRule="exact"/>
              <w:ind w:firstLineChars="200" w:firstLine="480"/>
              <w:rPr>
                <w:sz w:val="24"/>
              </w:rPr>
            </w:pPr>
            <w:r>
              <w:rPr>
                <w:sz w:val="24"/>
              </w:rPr>
              <w:t>1</w:t>
            </w:r>
            <w:r>
              <w:rPr>
                <w:sz w:val="24"/>
              </w:rPr>
              <w:t>）列入《国家危险废物名录（</w:t>
            </w:r>
            <w:r>
              <w:rPr>
                <w:sz w:val="24"/>
              </w:rPr>
              <w:t>2025</w:t>
            </w:r>
            <w:r>
              <w:rPr>
                <w:sz w:val="24"/>
              </w:rPr>
              <w:t>版）》或经鉴别具有腐蚀性、毒性、易燃性、反应性的危险废物；</w:t>
            </w:r>
          </w:p>
          <w:p w14:paraId="3532950B" w14:textId="77777777" w:rsidR="00F76A63" w:rsidRDefault="00000000">
            <w:pPr>
              <w:adjustRightInd w:val="0"/>
              <w:snapToGrid w:val="0"/>
              <w:spacing w:line="500" w:lineRule="exact"/>
              <w:ind w:firstLineChars="200" w:firstLine="480"/>
              <w:rPr>
                <w:sz w:val="24"/>
              </w:rPr>
            </w:pPr>
            <w:r>
              <w:rPr>
                <w:sz w:val="24"/>
              </w:rPr>
              <w:t>2</w:t>
            </w:r>
            <w:r>
              <w:rPr>
                <w:sz w:val="24"/>
              </w:rPr>
              <w:t>）放射性废物、爆炸性废物、反应性废物；</w:t>
            </w:r>
          </w:p>
          <w:p w14:paraId="708CA434" w14:textId="77777777" w:rsidR="00F76A63" w:rsidRDefault="00000000">
            <w:pPr>
              <w:adjustRightInd w:val="0"/>
              <w:snapToGrid w:val="0"/>
              <w:spacing w:line="500" w:lineRule="exact"/>
              <w:ind w:firstLineChars="200" w:firstLine="480"/>
              <w:rPr>
                <w:sz w:val="24"/>
              </w:rPr>
            </w:pPr>
            <w:r>
              <w:rPr>
                <w:sz w:val="24"/>
              </w:rPr>
              <w:t>3</w:t>
            </w:r>
            <w:r>
              <w:rPr>
                <w:sz w:val="24"/>
              </w:rPr>
              <w:t>）未经拆解的废家用电器、废电池、电子产品；</w:t>
            </w:r>
          </w:p>
          <w:p w14:paraId="5E845D98" w14:textId="77777777" w:rsidR="00F76A63" w:rsidRDefault="00000000">
            <w:pPr>
              <w:adjustRightInd w:val="0"/>
              <w:snapToGrid w:val="0"/>
              <w:spacing w:line="500" w:lineRule="exact"/>
              <w:ind w:firstLineChars="200" w:firstLine="480"/>
              <w:rPr>
                <w:sz w:val="24"/>
              </w:rPr>
            </w:pPr>
            <w:r>
              <w:rPr>
                <w:sz w:val="24"/>
              </w:rPr>
              <w:t>4</w:t>
            </w:r>
            <w:r>
              <w:rPr>
                <w:sz w:val="24"/>
              </w:rPr>
              <w:t>）含汞温度计、血压计、荧光灯管、开关；</w:t>
            </w:r>
          </w:p>
          <w:p w14:paraId="1707700E" w14:textId="77777777" w:rsidR="00F76A63" w:rsidRDefault="00000000">
            <w:pPr>
              <w:adjustRightInd w:val="0"/>
              <w:snapToGrid w:val="0"/>
              <w:spacing w:line="500" w:lineRule="exact"/>
              <w:ind w:firstLineChars="200" w:firstLine="480"/>
              <w:rPr>
                <w:sz w:val="24"/>
              </w:rPr>
            </w:pPr>
            <w:r>
              <w:rPr>
                <w:sz w:val="24"/>
              </w:rPr>
              <w:t>5</w:t>
            </w:r>
            <w:r>
              <w:rPr>
                <w:sz w:val="24"/>
              </w:rPr>
              <w:t>）铬渣、石棉类废物；</w:t>
            </w:r>
          </w:p>
          <w:p w14:paraId="136288C7" w14:textId="77777777" w:rsidR="00F76A63" w:rsidRDefault="00000000">
            <w:pPr>
              <w:adjustRightInd w:val="0"/>
              <w:snapToGrid w:val="0"/>
              <w:spacing w:line="500" w:lineRule="exact"/>
              <w:ind w:firstLineChars="200" w:firstLine="480"/>
              <w:rPr>
                <w:sz w:val="24"/>
              </w:rPr>
            </w:pPr>
            <w:r>
              <w:rPr>
                <w:sz w:val="24"/>
              </w:rPr>
              <w:t>6</w:t>
            </w:r>
            <w:r>
              <w:rPr>
                <w:sz w:val="24"/>
              </w:rPr>
              <w:t>）来源不明、成分不明、未经检测鉴定的未知物料；</w:t>
            </w:r>
          </w:p>
          <w:p w14:paraId="4625FCE7" w14:textId="77777777" w:rsidR="00F76A63" w:rsidRDefault="00000000">
            <w:pPr>
              <w:adjustRightInd w:val="0"/>
              <w:snapToGrid w:val="0"/>
              <w:spacing w:line="500" w:lineRule="exact"/>
              <w:ind w:firstLineChars="200" w:firstLine="480"/>
              <w:rPr>
                <w:sz w:val="24"/>
              </w:rPr>
            </w:pPr>
            <w:r>
              <w:rPr>
                <w:sz w:val="24"/>
              </w:rPr>
              <w:lastRenderedPageBreak/>
              <w:t>7</w:t>
            </w:r>
            <w:r>
              <w:rPr>
                <w:sz w:val="24"/>
              </w:rPr>
              <w:t>）掺杂建筑垃圾、废钢铁、杂物、恶臭明显的物料。</w:t>
            </w:r>
          </w:p>
          <w:p w14:paraId="3A64161D" w14:textId="77777777" w:rsidR="00F76A63" w:rsidRDefault="00000000">
            <w:pPr>
              <w:adjustRightInd w:val="0"/>
              <w:snapToGrid w:val="0"/>
              <w:spacing w:line="500" w:lineRule="exact"/>
              <w:ind w:firstLineChars="200" w:firstLine="480"/>
              <w:rPr>
                <w:sz w:val="24"/>
              </w:rPr>
            </w:pPr>
            <w:r>
              <w:rPr>
                <w:rFonts w:ascii="Cambria Math" w:hAnsi="Cambria Math"/>
                <w:sz w:val="24"/>
              </w:rPr>
              <w:t>②</w:t>
            </w:r>
            <w:r>
              <w:rPr>
                <w:sz w:val="24"/>
              </w:rPr>
              <w:t>进厂基本质量要求</w:t>
            </w:r>
          </w:p>
          <w:p w14:paraId="2CB13B77" w14:textId="77777777" w:rsidR="00F76A63" w:rsidRDefault="00000000">
            <w:pPr>
              <w:adjustRightInd w:val="0"/>
              <w:snapToGrid w:val="0"/>
              <w:spacing w:line="500" w:lineRule="exact"/>
              <w:ind w:firstLineChars="200" w:firstLine="480"/>
              <w:rPr>
                <w:sz w:val="24"/>
              </w:rPr>
            </w:pPr>
            <w:r>
              <w:rPr>
                <w:sz w:val="24"/>
              </w:rPr>
              <w:t>1</w:t>
            </w:r>
            <w:r>
              <w:rPr>
                <w:sz w:val="24"/>
              </w:rPr>
              <w:t>）仅限接收一般工业固体废物，本项目接收对象为污染土</w:t>
            </w:r>
            <w:r>
              <w:rPr>
                <w:rFonts w:hint="eastAsia"/>
                <w:sz w:val="24"/>
              </w:rPr>
              <w:t>及</w:t>
            </w:r>
            <w:r>
              <w:rPr>
                <w:sz w:val="24"/>
              </w:rPr>
              <w:t>污泥；</w:t>
            </w:r>
          </w:p>
          <w:p w14:paraId="26431169" w14:textId="77777777" w:rsidR="00F76A63" w:rsidRDefault="00000000">
            <w:pPr>
              <w:adjustRightInd w:val="0"/>
              <w:snapToGrid w:val="0"/>
              <w:spacing w:line="500" w:lineRule="exact"/>
              <w:ind w:firstLineChars="200" w:firstLine="480"/>
              <w:rPr>
                <w:sz w:val="24"/>
              </w:rPr>
            </w:pPr>
            <w:r>
              <w:rPr>
                <w:sz w:val="24"/>
              </w:rPr>
              <w:t>2</w:t>
            </w:r>
            <w:r>
              <w:rPr>
                <w:sz w:val="24"/>
              </w:rPr>
              <w:t>）物料外观正常，无明显异味、无发酵腐败、无油污、无易燃易爆杂物；</w:t>
            </w:r>
          </w:p>
          <w:p w14:paraId="75FFA010" w14:textId="77777777" w:rsidR="00F76A63" w:rsidRDefault="00000000">
            <w:pPr>
              <w:adjustRightInd w:val="0"/>
              <w:snapToGrid w:val="0"/>
              <w:spacing w:line="500" w:lineRule="exact"/>
              <w:ind w:firstLineChars="200" w:firstLine="480"/>
              <w:rPr>
                <w:sz w:val="24"/>
              </w:rPr>
            </w:pPr>
            <w:r>
              <w:rPr>
                <w:sz w:val="24"/>
              </w:rPr>
              <w:t>3</w:t>
            </w:r>
            <w:r>
              <w:rPr>
                <w:sz w:val="24"/>
              </w:rPr>
              <w:t>）污泥含水率</w:t>
            </w:r>
            <w:r>
              <w:rPr>
                <w:sz w:val="24"/>
              </w:rPr>
              <w:t>≤70%</w:t>
            </w:r>
            <w:r>
              <w:rPr>
                <w:sz w:val="24"/>
              </w:rPr>
              <w:t>，污染土含水率</w:t>
            </w:r>
            <w:r>
              <w:rPr>
                <w:sz w:val="24"/>
              </w:rPr>
              <w:t>≤30%</w:t>
            </w:r>
            <w:r>
              <w:rPr>
                <w:sz w:val="24"/>
              </w:rPr>
              <w:t>；</w:t>
            </w:r>
          </w:p>
          <w:p w14:paraId="6AAC8B7B" w14:textId="77777777" w:rsidR="00F76A63" w:rsidRDefault="00000000">
            <w:pPr>
              <w:adjustRightInd w:val="0"/>
              <w:snapToGrid w:val="0"/>
              <w:spacing w:line="500" w:lineRule="exact"/>
              <w:ind w:firstLineChars="200" w:firstLine="480"/>
              <w:rPr>
                <w:sz w:val="24"/>
              </w:rPr>
            </w:pPr>
            <w:r>
              <w:rPr>
                <w:sz w:val="24"/>
              </w:rPr>
              <w:t>4</w:t>
            </w:r>
            <w:r>
              <w:rPr>
                <w:sz w:val="24"/>
              </w:rPr>
              <w:t>）具备合法来源说明、产废单位信息、前期检测报告。</w:t>
            </w:r>
          </w:p>
          <w:p w14:paraId="786FEFAE" w14:textId="77777777" w:rsidR="00F76A63" w:rsidRDefault="00000000">
            <w:pPr>
              <w:adjustRightInd w:val="0"/>
              <w:snapToGrid w:val="0"/>
              <w:spacing w:line="500" w:lineRule="exact"/>
              <w:ind w:firstLineChars="200" w:firstLine="480"/>
              <w:rPr>
                <w:rFonts w:ascii="宋体" w:hAnsi="宋体" w:hint="eastAsia"/>
                <w:sz w:val="24"/>
              </w:rPr>
            </w:pPr>
            <w:r>
              <w:rPr>
                <w:rFonts w:ascii="宋体" w:hAnsi="宋体" w:hint="eastAsia"/>
                <w:sz w:val="24"/>
              </w:rPr>
              <w:t>③</w:t>
            </w:r>
            <w:r>
              <w:rPr>
                <w:rFonts w:ascii="宋体" w:hAnsi="宋体"/>
                <w:sz w:val="24"/>
              </w:rPr>
              <w:t>原料重金属及固</w:t>
            </w:r>
            <w:r>
              <w:rPr>
                <w:rFonts w:ascii="宋体" w:hAnsi="宋体" w:hint="eastAsia"/>
                <w:sz w:val="24"/>
              </w:rPr>
              <w:t>体</w:t>
            </w:r>
            <w:r>
              <w:rPr>
                <w:rFonts w:ascii="宋体" w:hAnsi="宋体"/>
                <w:sz w:val="24"/>
              </w:rPr>
              <w:t>含量控制要求</w:t>
            </w:r>
          </w:p>
          <w:p w14:paraId="794AEC08" w14:textId="77777777" w:rsidR="00F76A63" w:rsidRDefault="00000000">
            <w:pPr>
              <w:adjustRightInd w:val="0"/>
              <w:snapToGrid w:val="0"/>
              <w:spacing w:line="500" w:lineRule="exact"/>
              <w:ind w:firstLineChars="200" w:firstLine="480"/>
              <w:rPr>
                <w:sz w:val="24"/>
              </w:rPr>
            </w:pPr>
            <w:r>
              <w:rPr>
                <w:sz w:val="24"/>
              </w:rPr>
              <w:t>为保障水泥窑生产稳定及环境安全，对进厂原料执行以下指标控制：</w:t>
            </w:r>
          </w:p>
          <w:p w14:paraId="4A4DD8A1" w14:textId="77777777" w:rsidR="00F76A63" w:rsidRDefault="00000000">
            <w:pPr>
              <w:adjustRightInd w:val="0"/>
              <w:snapToGrid w:val="0"/>
              <w:spacing w:line="500" w:lineRule="exact"/>
              <w:ind w:firstLineChars="200" w:firstLine="480"/>
              <w:rPr>
                <w:sz w:val="24"/>
              </w:rPr>
            </w:pPr>
            <w:r>
              <w:rPr>
                <w:rFonts w:ascii="Cambria Math" w:hAnsi="Cambria Math" w:cs="Cambria Math" w:hint="eastAsia"/>
                <w:sz w:val="24"/>
              </w:rPr>
              <w:t>1</w:t>
            </w:r>
            <w:r>
              <w:rPr>
                <w:rFonts w:ascii="Cambria Math" w:hAnsi="Cambria Math" w:cs="Cambria Math" w:hint="eastAsia"/>
                <w:sz w:val="24"/>
              </w:rPr>
              <w:t>）</w:t>
            </w:r>
            <w:r>
              <w:rPr>
                <w:sz w:val="24"/>
              </w:rPr>
              <w:t>固</w:t>
            </w:r>
            <w:r>
              <w:rPr>
                <w:rFonts w:hint="eastAsia"/>
                <w:sz w:val="24"/>
              </w:rPr>
              <w:t>体含量</w:t>
            </w:r>
            <w:r>
              <w:rPr>
                <w:sz w:val="24"/>
              </w:rPr>
              <w:t>与含水率控制</w:t>
            </w:r>
          </w:p>
          <w:p w14:paraId="277C7DB8" w14:textId="77777777" w:rsidR="00F76A63" w:rsidRDefault="00000000">
            <w:pPr>
              <w:adjustRightInd w:val="0"/>
              <w:snapToGrid w:val="0"/>
              <w:spacing w:line="500" w:lineRule="exact"/>
              <w:ind w:firstLineChars="200" w:firstLine="480"/>
              <w:rPr>
                <w:sz w:val="24"/>
              </w:rPr>
            </w:pPr>
            <w:r>
              <w:rPr>
                <w:sz w:val="24"/>
              </w:rPr>
              <w:t>污泥进厂固形物含量</w:t>
            </w:r>
            <w:r>
              <w:rPr>
                <w:sz w:val="24"/>
              </w:rPr>
              <w:t>≥70%</w:t>
            </w:r>
            <w:r>
              <w:rPr>
                <w:sz w:val="24"/>
              </w:rPr>
              <w:t>（含水率</w:t>
            </w:r>
            <w:r>
              <w:rPr>
                <w:sz w:val="24"/>
              </w:rPr>
              <w:t>≤30%</w:t>
            </w:r>
            <w:r>
              <w:rPr>
                <w:sz w:val="24"/>
              </w:rPr>
              <w:t>）；</w:t>
            </w:r>
          </w:p>
          <w:p w14:paraId="6DEFBE87" w14:textId="77777777" w:rsidR="00F76A63" w:rsidRDefault="00000000">
            <w:pPr>
              <w:adjustRightInd w:val="0"/>
              <w:snapToGrid w:val="0"/>
              <w:spacing w:line="500" w:lineRule="exact"/>
              <w:ind w:firstLineChars="200" w:firstLine="480"/>
              <w:rPr>
                <w:sz w:val="24"/>
              </w:rPr>
            </w:pPr>
            <w:r>
              <w:rPr>
                <w:sz w:val="24"/>
              </w:rPr>
              <w:t>污染土进厂固形物含量</w:t>
            </w:r>
            <w:r>
              <w:rPr>
                <w:sz w:val="24"/>
              </w:rPr>
              <w:t>≥</w:t>
            </w:r>
            <w:r>
              <w:rPr>
                <w:rFonts w:hint="eastAsia"/>
                <w:sz w:val="24"/>
              </w:rPr>
              <w:t>70</w:t>
            </w:r>
            <w:r>
              <w:rPr>
                <w:sz w:val="24"/>
              </w:rPr>
              <w:t>%</w:t>
            </w:r>
            <w:r>
              <w:rPr>
                <w:sz w:val="24"/>
              </w:rPr>
              <w:t>（含水率</w:t>
            </w:r>
            <w:r>
              <w:rPr>
                <w:sz w:val="24"/>
              </w:rPr>
              <w:t>≤</w:t>
            </w:r>
            <w:r>
              <w:rPr>
                <w:rFonts w:hint="eastAsia"/>
                <w:sz w:val="24"/>
              </w:rPr>
              <w:t>30</w:t>
            </w:r>
            <w:r>
              <w:rPr>
                <w:sz w:val="24"/>
              </w:rPr>
              <w:t>%</w:t>
            </w:r>
            <w:r>
              <w:rPr>
                <w:sz w:val="24"/>
              </w:rPr>
              <w:t>）。</w:t>
            </w:r>
          </w:p>
          <w:p w14:paraId="216D3436" w14:textId="77777777" w:rsidR="00F76A63" w:rsidRDefault="00000000">
            <w:pPr>
              <w:adjustRightInd w:val="0"/>
              <w:snapToGrid w:val="0"/>
              <w:spacing w:line="500" w:lineRule="exact"/>
              <w:ind w:firstLineChars="200" w:firstLine="480"/>
              <w:rPr>
                <w:sz w:val="24"/>
              </w:rPr>
            </w:pPr>
            <w:r>
              <w:rPr>
                <w:rFonts w:hint="eastAsia"/>
                <w:sz w:val="24"/>
              </w:rPr>
              <w:t>2</w:t>
            </w:r>
            <w:r>
              <w:rPr>
                <w:rFonts w:hint="eastAsia"/>
                <w:sz w:val="24"/>
              </w:rPr>
              <w:t>）</w:t>
            </w:r>
            <w:r>
              <w:rPr>
                <w:sz w:val="24"/>
              </w:rPr>
              <w:t>重金属含量控制</w:t>
            </w:r>
          </w:p>
          <w:p w14:paraId="7578B622" w14:textId="77777777" w:rsidR="00F76A63" w:rsidRDefault="00000000">
            <w:pPr>
              <w:adjustRightInd w:val="0"/>
              <w:snapToGrid w:val="0"/>
              <w:spacing w:line="500" w:lineRule="exact"/>
              <w:ind w:firstLineChars="200" w:firstLine="480"/>
              <w:rPr>
                <w:sz w:val="24"/>
              </w:rPr>
            </w:pPr>
            <w:r>
              <w:rPr>
                <w:sz w:val="24"/>
              </w:rPr>
              <w:t>原料中汞（</w:t>
            </w:r>
            <w:r>
              <w:rPr>
                <w:sz w:val="24"/>
              </w:rPr>
              <w:t>Hg</w:t>
            </w:r>
            <w:r>
              <w:rPr>
                <w:sz w:val="24"/>
              </w:rPr>
              <w:t>）、镉（</w:t>
            </w:r>
            <w:r>
              <w:rPr>
                <w:sz w:val="24"/>
              </w:rPr>
              <w:t>Cd</w:t>
            </w:r>
            <w:r>
              <w:rPr>
                <w:sz w:val="24"/>
              </w:rPr>
              <w:t>）、铊（</w:t>
            </w:r>
            <w:r>
              <w:rPr>
                <w:sz w:val="24"/>
              </w:rPr>
              <w:t>Tl</w:t>
            </w:r>
            <w:r>
              <w:rPr>
                <w:sz w:val="24"/>
              </w:rPr>
              <w:t>）、铅（</w:t>
            </w:r>
            <w:r>
              <w:rPr>
                <w:sz w:val="24"/>
              </w:rPr>
              <w:t>Pb</w:t>
            </w:r>
            <w:r>
              <w:rPr>
                <w:sz w:val="24"/>
              </w:rPr>
              <w:t>）、砷（</w:t>
            </w:r>
            <w:r>
              <w:rPr>
                <w:sz w:val="24"/>
              </w:rPr>
              <w:t>As</w:t>
            </w:r>
            <w:r>
              <w:rPr>
                <w:sz w:val="24"/>
              </w:rPr>
              <w:t>）、铍（</w:t>
            </w:r>
            <w:r>
              <w:rPr>
                <w:sz w:val="24"/>
              </w:rPr>
              <w:t>Be</w:t>
            </w:r>
            <w:r>
              <w:rPr>
                <w:sz w:val="24"/>
              </w:rPr>
              <w:t>）、铬（</w:t>
            </w:r>
            <w:r>
              <w:rPr>
                <w:sz w:val="24"/>
              </w:rPr>
              <w:t>Cr</w:t>
            </w:r>
            <w:r>
              <w:rPr>
                <w:sz w:val="24"/>
              </w:rPr>
              <w:t>）、锡（</w:t>
            </w:r>
            <w:r>
              <w:rPr>
                <w:sz w:val="24"/>
              </w:rPr>
              <w:t>Sn</w:t>
            </w:r>
            <w:r>
              <w:rPr>
                <w:sz w:val="24"/>
              </w:rPr>
              <w:t>）、锑（</w:t>
            </w:r>
            <w:r>
              <w:rPr>
                <w:sz w:val="24"/>
              </w:rPr>
              <w:t>Sb</w:t>
            </w:r>
            <w:r>
              <w:rPr>
                <w:sz w:val="24"/>
              </w:rPr>
              <w:t>）、铜（</w:t>
            </w:r>
            <w:r>
              <w:rPr>
                <w:sz w:val="24"/>
              </w:rPr>
              <w:t>Cu</w:t>
            </w:r>
            <w:r>
              <w:rPr>
                <w:sz w:val="24"/>
              </w:rPr>
              <w:t>）、钴（</w:t>
            </w:r>
            <w:r>
              <w:rPr>
                <w:sz w:val="24"/>
              </w:rPr>
              <w:t>Co</w:t>
            </w:r>
            <w:r>
              <w:rPr>
                <w:sz w:val="24"/>
              </w:rPr>
              <w:t>）、锰（</w:t>
            </w:r>
            <w:r>
              <w:rPr>
                <w:sz w:val="24"/>
              </w:rPr>
              <w:t>Mn</w:t>
            </w:r>
            <w:r>
              <w:rPr>
                <w:sz w:val="24"/>
              </w:rPr>
              <w:t>）、镍（</w:t>
            </w:r>
            <w:r>
              <w:rPr>
                <w:sz w:val="24"/>
              </w:rPr>
              <w:t>Ni</w:t>
            </w:r>
            <w:r>
              <w:rPr>
                <w:sz w:val="24"/>
              </w:rPr>
              <w:t>）、钒（</w:t>
            </w:r>
            <w:r>
              <w:rPr>
                <w:sz w:val="24"/>
              </w:rPr>
              <w:t>V</w:t>
            </w:r>
            <w:r>
              <w:rPr>
                <w:sz w:val="24"/>
              </w:rPr>
              <w:t>）等重金属含量须符合《水泥窑协同处置固体废物环境保护技术规范》（</w:t>
            </w:r>
            <w:r>
              <w:rPr>
                <w:sz w:val="24"/>
              </w:rPr>
              <w:t>HJ 662-2013</w:t>
            </w:r>
            <w:r>
              <w:rPr>
                <w:sz w:val="24"/>
              </w:rPr>
              <w:t>）及《水泥窑协同处置固体废物技术规范》（</w:t>
            </w:r>
            <w:r>
              <w:rPr>
                <w:sz w:val="24"/>
              </w:rPr>
              <w:t>GB/T 30760-2024</w:t>
            </w:r>
            <w:r>
              <w:rPr>
                <w:sz w:val="24"/>
              </w:rPr>
              <w:t>）限值要求。</w:t>
            </w:r>
          </w:p>
          <w:p w14:paraId="32F0313C" w14:textId="77777777" w:rsidR="00F76A63" w:rsidRDefault="00000000">
            <w:pPr>
              <w:adjustRightInd w:val="0"/>
              <w:snapToGrid w:val="0"/>
              <w:spacing w:line="500" w:lineRule="exact"/>
              <w:ind w:firstLineChars="200" w:firstLine="480"/>
              <w:rPr>
                <w:sz w:val="24"/>
              </w:rPr>
            </w:pPr>
            <w:r>
              <w:rPr>
                <w:rFonts w:ascii="宋体" w:hAnsi="宋体" w:hint="eastAsia"/>
                <w:sz w:val="24"/>
              </w:rPr>
              <w:t>④</w:t>
            </w:r>
            <w:r>
              <w:rPr>
                <w:sz w:val="24"/>
              </w:rPr>
              <w:t>进厂核查程序</w:t>
            </w:r>
          </w:p>
          <w:p w14:paraId="439DA071" w14:textId="77777777" w:rsidR="00F76A63" w:rsidRDefault="00000000">
            <w:pPr>
              <w:adjustRightInd w:val="0"/>
              <w:snapToGrid w:val="0"/>
              <w:spacing w:line="500" w:lineRule="exact"/>
              <w:ind w:firstLineChars="200" w:firstLine="480"/>
              <w:rPr>
                <w:sz w:val="24"/>
              </w:rPr>
            </w:pPr>
            <w:r>
              <w:rPr>
                <w:sz w:val="24"/>
              </w:rPr>
              <w:t>1</w:t>
            </w:r>
            <w:r>
              <w:rPr>
                <w:sz w:val="24"/>
              </w:rPr>
              <w:t>）车辆进厂前核对来源、类别、重量、随车资料；</w:t>
            </w:r>
          </w:p>
          <w:p w14:paraId="1120DA22" w14:textId="77777777" w:rsidR="00F76A63" w:rsidRDefault="00000000">
            <w:pPr>
              <w:adjustRightInd w:val="0"/>
              <w:snapToGrid w:val="0"/>
              <w:spacing w:line="500" w:lineRule="exact"/>
              <w:ind w:firstLineChars="200" w:firstLine="480"/>
              <w:rPr>
                <w:sz w:val="24"/>
              </w:rPr>
            </w:pPr>
            <w:r>
              <w:rPr>
                <w:sz w:val="24"/>
              </w:rPr>
              <w:t>2</w:t>
            </w:r>
            <w:r>
              <w:rPr>
                <w:sz w:val="24"/>
              </w:rPr>
              <w:t>）现场外观检查、气味检查、异物检查；</w:t>
            </w:r>
          </w:p>
          <w:p w14:paraId="345CFDFA" w14:textId="77777777" w:rsidR="00F76A63" w:rsidRDefault="00000000">
            <w:pPr>
              <w:adjustRightInd w:val="0"/>
              <w:snapToGrid w:val="0"/>
              <w:spacing w:line="500" w:lineRule="exact"/>
              <w:ind w:firstLineChars="200" w:firstLine="480"/>
              <w:rPr>
                <w:sz w:val="24"/>
              </w:rPr>
            </w:pPr>
            <w:r>
              <w:rPr>
                <w:sz w:val="24"/>
              </w:rPr>
              <w:t>3</w:t>
            </w:r>
            <w:r>
              <w:rPr>
                <w:sz w:val="24"/>
              </w:rPr>
              <w:t>）按批次取样、留样、登记台账；</w:t>
            </w:r>
          </w:p>
          <w:p w14:paraId="6E883F6D" w14:textId="77777777" w:rsidR="00F76A63" w:rsidRDefault="00000000">
            <w:pPr>
              <w:adjustRightInd w:val="0"/>
              <w:snapToGrid w:val="0"/>
              <w:spacing w:line="500" w:lineRule="exact"/>
              <w:ind w:firstLineChars="200" w:firstLine="480"/>
              <w:rPr>
                <w:sz w:val="24"/>
              </w:rPr>
            </w:pPr>
            <w:r>
              <w:rPr>
                <w:sz w:val="24"/>
              </w:rPr>
              <w:t>4</w:t>
            </w:r>
            <w:r>
              <w:rPr>
                <w:sz w:val="24"/>
              </w:rPr>
              <w:t>）不合格禁止卸料、直接劝返。</w:t>
            </w:r>
          </w:p>
          <w:p w14:paraId="7BF6301B" w14:textId="77777777" w:rsidR="00F76A63" w:rsidRDefault="00000000">
            <w:pPr>
              <w:adjustRightInd w:val="0"/>
              <w:snapToGrid w:val="0"/>
              <w:spacing w:line="500" w:lineRule="exact"/>
              <w:ind w:firstLineChars="200" w:firstLine="480"/>
              <w:rPr>
                <w:bCs/>
                <w:sz w:val="24"/>
              </w:rPr>
            </w:pPr>
            <w:r>
              <w:rPr>
                <w:rFonts w:ascii="Cambria Math" w:hAnsi="Cambria Math" w:cs="Cambria Math"/>
                <w:bCs/>
                <w:sz w:val="24"/>
              </w:rPr>
              <w:t>⑤</w:t>
            </w:r>
            <w:r>
              <w:rPr>
                <w:bCs/>
                <w:sz w:val="24"/>
              </w:rPr>
              <w:t>进厂检测方案</w:t>
            </w:r>
          </w:p>
          <w:p w14:paraId="2EA07139" w14:textId="77777777" w:rsidR="00F76A63" w:rsidRDefault="00000000">
            <w:pPr>
              <w:adjustRightInd w:val="0"/>
              <w:snapToGrid w:val="0"/>
              <w:spacing w:line="500" w:lineRule="exact"/>
              <w:ind w:firstLineChars="200" w:firstLine="480"/>
              <w:rPr>
                <w:sz w:val="24"/>
              </w:rPr>
            </w:pPr>
            <w:r>
              <w:rPr>
                <w:sz w:val="24"/>
              </w:rPr>
              <w:t>1</w:t>
            </w:r>
            <w:r>
              <w:rPr>
                <w:sz w:val="24"/>
              </w:rPr>
              <w:t>）检测频次：每车必检含水率、</w:t>
            </w:r>
            <w:r>
              <w:rPr>
                <w:sz w:val="24"/>
              </w:rPr>
              <w:t>pH</w:t>
            </w:r>
            <w:r>
              <w:rPr>
                <w:sz w:val="24"/>
              </w:rPr>
              <w:t>、外观、杂质；每批次</w:t>
            </w:r>
            <w:r>
              <w:rPr>
                <w:sz w:val="24"/>
              </w:rPr>
              <w:t>≤500</w:t>
            </w:r>
            <w:r>
              <w:rPr>
                <w:sz w:val="24"/>
              </w:rPr>
              <w:t>吨必检重金属、氯、氟、硫。</w:t>
            </w:r>
          </w:p>
          <w:p w14:paraId="5C246375" w14:textId="77777777" w:rsidR="00F76A63" w:rsidRDefault="00000000">
            <w:pPr>
              <w:adjustRightInd w:val="0"/>
              <w:snapToGrid w:val="0"/>
              <w:spacing w:line="500" w:lineRule="exact"/>
              <w:ind w:firstLineChars="200" w:firstLine="480"/>
              <w:rPr>
                <w:sz w:val="24"/>
              </w:rPr>
            </w:pPr>
            <w:r>
              <w:rPr>
                <w:sz w:val="24"/>
              </w:rPr>
              <w:t>2</w:t>
            </w:r>
            <w:r>
              <w:rPr>
                <w:sz w:val="24"/>
              </w:rPr>
              <w:t>）取样方式：分层多点取样、混合缩分、留样</w:t>
            </w:r>
            <w:r>
              <w:rPr>
                <w:sz w:val="24"/>
              </w:rPr>
              <w:t>≥3</w:t>
            </w:r>
            <w:r>
              <w:rPr>
                <w:sz w:val="24"/>
              </w:rPr>
              <w:t>个月。</w:t>
            </w:r>
          </w:p>
          <w:p w14:paraId="7B0871D7" w14:textId="77777777" w:rsidR="00F76A63" w:rsidRDefault="00000000">
            <w:pPr>
              <w:adjustRightInd w:val="0"/>
              <w:snapToGrid w:val="0"/>
              <w:spacing w:line="500" w:lineRule="exact"/>
              <w:ind w:firstLineChars="200" w:firstLine="480"/>
              <w:rPr>
                <w:bCs/>
                <w:sz w:val="24"/>
              </w:rPr>
            </w:pPr>
            <w:r>
              <w:rPr>
                <w:sz w:val="24"/>
              </w:rPr>
              <w:lastRenderedPageBreak/>
              <w:t>3</w:t>
            </w:r>
            <w:r>
              <w:rPr>
                <w:sz w:val="24"/>
              </w:rPr>
              <w:t>）检测方法：重</w:t>
            </w:r>
            <w:r>
              <w:rPr>
                <w:bCs/>
                <w:sz w:val="24"/>
              </w:rPr>
              <w:t>量法（含水率）、</w:t>
            </w:r>
            <w:r>
              <w:rPr>
                <w:bCs/>
                <w:sz w:val="24"/>
              </w:rPr>
              <w:t>XRF</w:t>
            </w:r>
            <w:r>
              <w:rPr>
                <w:bCs/>
                <w:sz w:val="24"/>
              </w:rPr>
              <w:t>快速筛查</w:t>
            </w:r>
            <w:r>
              <w:rPr>
                <w:bCs/>
                <w:sz w:val="24"/>
              </w:rPr>
              <w:t>+ICP-MS</w:t>
            </w:r>
            <w:r>
              <w:rPr>
                <w:bCs/>
                <w:sz w:val="24"/>
              </w:rPr>
              <w:t>精准分析（重金属）、离子色谱法（氯、氟）、红外滴定法（全硫）。</w:t>
            </w:r>
          </w:p>
          <w:p w14:paraId="0E044C5B" w14:textId="77777777" w:rsidR="00F76A63" w:rsidRDefault="00000000">
            <w:pPr>
              <w:adjustRightInd w:val="0"/>
              <w:snapToGrid w:val="0"/>
              <w:spacing w:line="500" w:lineRule="exact"/>
              <w:ind w:firstLineChars="200" w:firstLine="480"/>
              <w:rPr>
                <w:bCs/>
                <w:sz w:val="24"/>
              </w:rPr>
            </w:pPr>
            <w:r>
              <w:rPr>
                <w:sz w:val="24"/>
              </w:rPr>
              <w:t>4</w:t>
            </w:r>
            <w:r>
              <w:rPr>
                <w:sz w:val="24"/>
              </w:rPr>
              <w:t>）判定规则：</w:t>
            </w:r>
            <w:r>
              <w:rPr>
                <w:bCs/>
                <w:sz w:val="24"/>
              </w:rPr>
              <w:t>任一指标不合格，禁止卸料、原路退回并登记台账。</w:t>
            </w:r>
          </w:p>
          <w:p w14:paraId="55F1ED4A" w14:textId="77777777" w:rsidR="00F76A63" w:rsidRDefault="00000000">
            <w:pPr>
              <w:adjustRightInd w:val="0"/>
              <w:snapToGrid w:val="0"/>
              <w:spacing w:line="500" w:lineRule="exact"/>
              <w:ind w:firstLineChars="200" w:firstLine="480"/>
              <w:rPr>
                <w:bCs/>
                <w:sz w:val="24"/>
              </w:rPr>
            </w:pPr>
            <w:r>
              <w:rPr>
                <w:bCs/>
                <w:sz w:val="24"/>
              </w:rPr>
              <w:t>句容台泥现有水泥熟料均属于高标号水泥，对原料中重金属、硫、氯及氟等元素投加比例管控要求较为严格。由于本项目为水泥窑协同处置，污染土的接收、贮存后会根据句容台泥入窑标准针对每批次进厂污染土进行检验分析，对不符合技术规范要求及入窑标准的污染土，一律严禁入厂，上游污染土修复单位及一般固废委托方需确保其污染土达本项目指标要求。</w:t>
            </w:r>
          </w:p>
          <w:p w14:paraId="3D290C7F" w14:textId="77777777" w:rsidR="00F76A63" w:rsidRDefault="00000000">
            <w:pPr>
              <w:adjustRightInd w:val="0"/>
              <w:snapToGrid w:val="0"/>
              <w:spacing w:line="500" w:lineRule="exact"/>
              <w:ind w:firstLineChars="200" w:firstLine="482"/>
              <w:rPr>
                <w:b/>
                <w:bCs/>
                <w:sz w:val="24"/>
              </w:rPr>
            </w:pPr>
            <w:r>
              <w:rPr>
                <w:b/>
                <w:bCs/>
                <w:sz w:val="24"/>
              </w:rPr>
              <w:t>（</w:t>
            </w:r>
            <w:r>
              <w:rPr>
                <w:rFonts w:hint="eastAsia"/>
                <w:b/>
                <w:bCs/>
                <w:sz w:val="24"/>
              </w:rPr>
              <w:t>2</w:t>
            </w:r>
            <w:r>
              <w:rPr>
                <w:b/>
                <w:bCs/>
                <w:sz w:val="24"/>
              </w:rPr>
              <w:t>）</w:t>
            </w:r>
            <w:r>
              <w:rPr>
                <w:rFonts w:hint="eastAsia"/>
                <w:b/>
                <w:bCs/>
                <w:sz w:val="24"/>
              </w:rPr>
              <w:t>入窑</w:t>
            </w:r>
            <w:r>
              <w:rPr>
                <w:b/>
                <w:bCs/>
                <w:sz w:val="24"/>
              </w:rPr>
              <w:t>准入条件</w:t>
            </w:r>
          </w:p>
          <w:p w14:paraId="6AD12B17" w14:textId="77777777" w:rsidR="00F76A63" w:rsidRDefault="00000000">
            <w:pPr>
              <w:adjustRightInd w:val="0"/>
              <w:snapToGrid w:val="0"/>
              <w:spacing w:line="500" w:lineRule="exact"/>
              <w:ind w:firstLineChars="200" w:firstLine="480"/>
              <w:jc w:val="left"/>
              <w:rPr>
                <w:sz w:val="24"/>
              </w:rPr>
            </w:pPr>
            <w:r>
              <w:rPr>
                <w:rFonts w:ascii="Cambria Math" w:hAnsi="Cambria Math"/>
                <w:sz w:val="24"/>
              </w:rPr>
              <w:t>①</w:t>
            </w:r>
            <w:r>
              <w:rPr>
                <w:sz w:val="24"/>
              </w:rPr>
              <w:t>负面清单（禁止入窑）</w:t>
            </w:r>
          </w:p>
          <w:p w14:paraId="756F1214" w14:textId="77777777" w:rsidR="00F76A63" w:rsidRDefault="00000000">
            <w:pPr>
              <w:adjustRightInd w:val="0"/>
              <w:snapToGrid w:val="0"/>
              <w:spacing w:line="500" w:lineRule="exact"/>
              <w:ind w:firstLineChars="200" w:firstLine="480"/>
              <w:rPr>
                <w:sz w:val="24"/>
              </w:rPr>
            </w:pPr>
            <w:r>
              <w:rPr>
                <w:sz w:val="24"/>
              </w:rPr>
              <w:t>1</w:t>
            </w:r>
            <w:r>
              <w:rPr>
                <w:sz w:val="24"/>
              </w:rPr>
              <w:t>）《水泥窑协同处置固体废物污染防治技术政策》要求</w:t>
            </w:r>
          </w:p>
          <w:p w14:paraId="41158BDE" w14:textId="77777777" w:rsidR="00F76A63" w:rsidRDefault="00000000">
            <w:pPr>
              <w:adjustRightInd w:val="0"/>
              <w:snapToGrid w:val="0"/>
              <w:spacing w:line="500" w:lineRule="exact"/>
              <w:ind w:firstLineChars="200" w:firstLine="480"/>
              <w:rPr>
                <w:sz w:val="24"/>
              </w:rPr>
            </w:pPr>
            <w:r>
              <w:rPr>
                <w:sz w:val="24"/>
              </w:rPr>
              <w:t>严禁利用水泥窑协同处置具有放射性、爆炸性和反应性废物，未经拆解的废家用电器、废电池和电子产品，含汞的温度计、血压计、荧光灯管和开关，铬渣，以及未知特性和未经过检测的不明性质废物。</w:t>
            </w:r>
          </w:p>
          <w:p w14:paraId="72A38E33" w14:textId="77777777" w:rsidR="00F76A63" w:rsidRDefault="00000000">
            <w:pPr>
              <w:adjustRightInd w:val="0"/>
              <w:snapToGrid w:val="0"/>
              <w:spacing w:line="500" w:lineRule="exact"/>
              <w:ind w:firstLineChars="200" w:firstLine="480"/>
              <w:rPr>
                <w:sz w:val="24"/>
              </w:rPr>
            </w:pPr>
            <w:r>
              <w:rPr>
                <w:sz w:val="24"/>
              </w:rPr>
              <w:t>2</w:t>
            </w:r>
            <w:r>
              <w:rPr>
                <w:sz w:val="24"/>
              </w:rPr>
              <w:t>）</w:t>
            </w:r>
            <w:r>
              <w:rPr>
                <w:sz w:val="24"/>
              </w:rPr>
              <w:t>HJ662-2013</w:t>
            </w:r>
            <w:r>
              <w:rPr>
                <w:sz w:val="24"/>
              </w:rPr>
              <w:t>第</w:t>
            </w:r>
            <w:r>
              <w:rPr>
                <w:sz w:val="24"/>
              </w:rPr>
              <w:t>5.1</w:t>
            </w:r>
            <w:r>
              <w:rPr>
                <w:sz w:val="24"/>
              </w:rPr>
              <w:t>节要求，禁止在水泥窑中协同处置以下废物：</w:t>
            </w:r>
          </w:p>
          <w:p w14:paraId="07933078" w14:textId="77777777" w:rsidR="00F76A63" w:rsidRDefault="00000000">
            <w:pPr>
              <w:adjustRightInd w:val="0"/>
              <w:snapToGrid w:val="0"/>
              <w:spacing w:line="500" w:lineRule="exact"/>
              <w:ind w:firstLineChars="200" w:firstLine="480"/>
              <w:rPr>
                <w:sz w:val="24"/>
              </w:rPr>
            </w:pPr>
            <w:r>
              <w:rPr>
                <w:sz w:val="24"/>
              </w:rPr>
              <w:t>a.</w:t>
            </w:r>
            <w:r>
              <w:rPr>
                <w:sz w:val="24"/>
              </w:rPr>
              <w:t>放射性废物；</w:t>
            </w:r>
          </w:p>
          <w:p w14:paraId="34B71B79" w14:textId="77777777" w:rsidR="00F76A63" w:rsidRDefault="00000000">
            <w:pPr>
              <w:adjustRightInd w:val="0"/>
              <w:snapToGrid w:val="0"/>
              <w:spacing w:line="500" w:lineRule="exact"/>
              <w:ind w:firstLineChars="200" w:firstLine="480"/>
              <w:rPr>
                <w:sz w:val="24"/>
              </w:rPr>
            </w:pPr>
            <w:r>
              <w:rPr>
                <w:sz w:val="24"/>
              </w:rPr>
              <w:t>b</w:t>
            </w:r>
            <w:bookmarkStart w:id="84" w:name="OLE_LINK46"/>
            <w:r>
              <w:rPr>
                <w:sz w:val="24"/>
              </w:rPr>
              <w:t>.</w:t>
            </w:r>
            <w:bookmarkEnd w:id="84"/>
            <w:r>
              <w:rPr>
                <w:sz w:val="24"/>
              </w:rPr>
              <w:t>爆炸物及反应性废物；</w:t>
            </w:r>
          </w:p>
          <w:p w14:paraId="6FA5CD6A" w14:textId="77777777" w:rsidR="00F76A63" w:rsidRDefault="00000000">
            <w:pPr>
              <w:adjustRightInd w:val="0"/>
              <w:snapToGrid w:val="0"/>
              <w:spacing w:line="500" w:lineRule="exact"/>
              <w:ind w:firstLineChars="200" w:firstLine="480"/>
              <w:rPr>
                <w:sz w:val="24"/>
              </w:rPr>
            </w:pPr>
            <w:r>
              <w:rPr>
                <w:sz w:val="24"/>
              </w:rPr>
              <w:t>c.</w:t>
            </w:r>
            <w:r>
              <w:rPr>
                <w:sz w:val="24"/>
              </w:rPr>
              <w:t>未经拆解的废电池、废家用电器和电子产品；</w:t>
            </w:r>
          </w:p>
          <w:p w14:paraId="46C66141" w14:textId="77777777" w:rsidR="00F76A63" w:rsidRDefault="00000000">
            <w:pPr>
              <w:adjustRightInd w:val="0"/>
              <w:snapToGrid w:val="0"/>
              <w:spacing w:line="500" w:lineRule="exact"/>
              <w:ind w:firstLineChars="200" w:firstLine="480"/>
              <w:rPr>
                <w:sz w:val="24"/>
              </w:rPr>
            </w:pPr>
            <w:r>
              <w:rPr>
                <w:sz w:val="24"/>
              </w:rPr>
              <w:t>d.</w:t>
            </w:r>
            <w:r>
              <w:rPr>
                <w:sz w:val="24"/>
              </w:rPr>
              <w:t>含汞的温度计、血压计、荧光灯管和开关；</w:t>
            </w:r>
          </w:p>
          <w:p w14:paraId="438DDD4B" w14:textId="77777777" w:rsidR="00F76A63" w:rsidRDefault="00000000">
            <w:pPr>
              <w:adjustRightInd w:val="0"/>
              <w:snapToGrid w:val="0"/>
              <w:spacing w:line="500" w:lineRule="exact"/>
              <w:ind w:firstLineChars="200" w:firstLine="480"/>
              <w:rPr>
                <w:sz w:val="24"/>
              </w:rPr>
            </w:pPr>
            <w:r>
              <w:rPr>
                <w:sz w:val="24"/>
              </w:rPr>
              <w:t>e.</w:t>
            </w:r>
            <w:r>
              <w:rPr>
                <w:sz w:val="24"/>
              </w:rPr>
              <w:t>铬渣；</w:t>
            </w:r>
          </w:p>
          <w:p w14:paraId="346F688E" w14:textId="77777777" w:rsidR="00F76A63" w:rsidRDefault="00000000">
            <w:pPr>
              <w:adjustRightInd w:val="0"/>
              <w:snapToGrid w:val="0"/>
              <w:spacing w:line="500" w:lineRule="exact"/>
              <w:ind w:firstLineChars="200" w:firstLine="480"/>
              <w:rPr>
                <w:sz w:val="24"/>
              </w:rPr>
            </w:pPr>
            <w:r>
              <w:rPr>
                <w:sz w:val="24"/>
              </w:rPr>
              <w:t>f.</w:t>
            </w:r>
            <w:r>
              <w:rPr>
                <w:sz w:val="24"/>
              </w:rPr>
              <w:t>未知特性和未经鉴定的废物。</w:t>
            </w:r>
          </w:p>
          <w:p w14:paraId="310ACF0D" w14:textId="77777777" w:rsidR="00F76A63" w:rsidRDefault="00000000">
            <w:pPr>
              <w:adjustRightInd w:val="0"/>
              <w:snapToGrid w:val="0"/>
              <w:spacing w:line="500" w:lineRule="exact"/>
              <w:ind w:firstLineChars="200" w:firstLine="480"/>
              <w:rPr>
                <w:sz w:val="24"/>
              </w:rPr>
            </w:pPr>
            <w:r>
              <w:rPr>
                <w:sz w:val="24"/>
              </w:rPr>
              <w:t>3</w:t>
            </w:r>
            <w:r>
              <w:rPr>
                <w:sz w:val="24"/>
              </w:rPr>
              <w:t>）</w:t>
            </w:r>
            <w:r>
              <w:rPr>
                <w:sz w:val="24"/>
              </w:rPr>
              <w:t>GB 30485-2013</w:t>
            </w:r>
            <w:r>
              <w:rPr>
                <w:sz w:val="24"/>
              </w:rPr>
              <w:t>第</w:t>
            </w:r>
            <w:r>
              <w:rPr>
                <w:sz w:val="24"/>
              </w:rPr>
              <w:t>5.1</w:t>
            </w:r>
            <w:r>
              <w:rPr>
                <w:sz w:val="24"/>
              </w:rPr>
              <w:t>节要求，禁止下列固体废物入窑进行协同处置：</w:t>
            </w:r>
          </w:p>
          <w:p w14:paraId="06B5F9CC" w14:textId="77777777" w:rsidR="00F76A63" w:rsidRDefault="00000000">
            <w:pPr>
              <w:adjustRightInd w:val="0"/>
              <w:snapToGrid w:val="0"/>
              <w:spacing w:line="500" w:lineRule="exact"/>
              <w:ind w:firstLineChars="200" w:firstLine="480"/>
              <w:rPr>
                <w:sz w:val="24"/>
              </w:rPr>
            </w:pPr>
            <w:r>
              <w:rPr>
                <w:sz w:val="24"/>
              </w:rPr>
              <w:t>—</w:t>
            </w:r>
            <w:r>
              <w:rPr>
                <w:sz w:val="24"/>
              </w:rPr>
              <w:t>放射性废物；</w:t>
            </w:r>
          </w:p>
          <w:p w14:paraId="0E3CB2F2" w14:textId="77777777" w:rsidR="00F76A63" w:rsidRDefault="00000000">
            <w:pPr>
              <w:adjustRightInd w:val="0"/>
              <w:snapToGrid w:val="0"/>
              <w:spacing w:line="500" w:lineRule="exact"/>
              <w:ind w:firstLineChars="200" w:firstLine="480"/>
              <w:rPr>
                <w:sz w:val="24"/>
              </w:rPr>
            </w:pPr>
            <w:r>
              <w:rPr>
                <w:sz w:val="24"/>
              </w:rPr>
              <w:t>—</w:t>
            </w:r>
            <w:r>
              <w:rPr>
                <w:sz w:val="24"/>
              </w:rPr>
              <w:t>爆炸物及反应性废物；</w:t>
            </w:r>
          </w:p>
          <w:p w14:paraId="49A9AB5B" w14:textId="77777777" w:rsidR="00F76A63" w:rsidRDefault="00000000">
            <w:pPr>
              <w:adjustRightInd w:val="0"/>
              <w:snapToGrid w:val="0"/>
              <w:spacing w:line="500" w:lineRule="exact"/>
              <w:ind w:firstLineChars="200" w:firstLine="480"/>
              <w:rPr>
                <w:sz w:val="24"/>
              </w:rPr>
            </w:pPr>
            <w:r>
              <w:rPr>
                <w:sz w:val="24"/>
              </w:rPr>
              <w:t>—</w:t>
            </w:r>
            <w:r>
              <w:rPr>
                <w:sz w:val="24"/>
              </w:rPr>
              <w:t>未经拆解的废电池、废家用电器和电子产品；</w:t>
            </w:r>
          </w:p>
          <w:p w14:paraId="0D1F99CE" w14:textId="77777777" w:rsidR="00F76A63" w:rsidRDefault="00000000">
            <w:pPr>
              <w:adjustRightInd w:val="0"/>
              <w:snapToGrid w:val="0"/>
              <w:spacing w:line="500" w:lineRule="exact"/>
              <w:ind w:firstLineChars="200" w:firstLine="480"/>
              <w:rPr>
                <w:sz w:val="24"/>
              </w:rPr>
            </w:pPr>
            <w:r>
              <w:rPr>
                <w:sz w:val="24"/>
              </w:rPr>
              <w:t>—</w:t>
            </w:r>
            <w:r>
              <w:rPr>
                <w:sz w:val="24"/>
              </w:rPr>
              <w:t>含汞的温度计、血压计、荧光灯管和开关；</w:t>
            </w:r>
          </w:p>
          <w:p w14:paraId="105C1BDA" w14:textId="77777777" w:rsidR="00F76A63" w:rsidRDefault="00000000">
            <w:pPr>
              <w:adjustRightInd w:val="0"/>
              <w:snapToGrid w:val="0"/>
              <w:spacing w:line="500" w:lineRule="exact"/>
              <w:ind w:firstLineChars="200" w:firstLine="480"/>
              <w:rPr>
                <w:sz w:val="24"/>
              </w:rPr>
            </w:pPr>
            <w:r>
              <w:rPr>
                <w:sz w:val="24"/>
              </w:rPr>
              <w:lastRenderedPageBreak/>
              <w:t>—</w:t>
            </w:r>
            <w:r>
              <w:rPr>
                <w:sz w:val="24"/>
              </w:rPr>
              <w:t>铬渣；</w:t>
            </w:r>
          </w:p>
          <w:p w14:paraId="38A52D86" w14:textId="77777777" w:rsidR="00F76A63" w:rsidRDefault="00000000">
            <w:pPr>
              <w:adjustRightInd w:val="0"/>
              <w:snapToGrid w:val="0"/>
              <w:spacing w:line="500" w:lineRule="exact"/>
              <w:ind w:firstLineChars="200" w:firstLine="480"/>
              <w:rPr>
                <w:sz w:val="24"/>
              </w:rPr>
            </w:pPr>
            <w:r>
              <w:rPr>
                <w:sz w:val="24"/>
              </w:rPr>
              <w:t>—</w:t>
            </w:r>
            <w:r>
              <w:rPr>
                <w:sz w:val="24"/>
              </w:rPr>
              <w:t>未知特性和未经鉴定的废物。</w:t>
            </w:r>
          </w:p>
          <w:p w14:paraId="33D0316A" w14:textId="77777777" w:rsidR="00F76A63" w:rsidRDefault="00000000">
            <w:pPr>
              <w:adjustRightInd w:val="0"/>
              <w:snapToGrid w:val="0"/>
              <w:spacing w:line="500" w:lineRule="exact"/>
              <w:ind w:firstLineChars="200" w:firstLine="480"/>
              <w:rPr>
                <w:sz w:val="24"/>
              </w:rPr>
            </w:pPr>
            <w:r>
              <w:rPr>
                <w:sz w:val="24"/>
              </w:rPr>
              <w:t>4</w:t>
            </w:r>
            <w:r>
              <w:rPr>
                <w:sz w:val="24"/>
              </w:rPr>
              <w:t>）</w:t>
            </w:r>
            <w:r>
              <w:rPr>
                <w:sz w:val="24"/>
              </w:rPr>
              <w:t>GB/T 30760-2024</w:t>
            </w:r>
            <w:r>
              <w:rPr>
                <w:sz w:val="24"/>
              </w:rPr>
              <w:t>第</w:t>
            </w:r>
            <w:r>
              <w:rPr>
                <w:sz w:val="24"/>
              </w:rPr>
              <w:t>4.1</w:t>
            </w:r>
            <w:r>
              <w:rPr>
                <w:sz w:val="24"/>
              </w:rPr>
              <w:t>节要求，不应协同处置的废物</w:t>
            </w:r>
          </w:p>
          <w:p w14:paraId="55049123" w14:textId="77777777" w:rsidR="00F76A63" w:rsidRDefault="00000000">
            <w:pPr>
              <w:adjustRightInd w:val="0"/>
              <w:snapToGrid w:val="0"/>
              <w:spacing w:line="500" w:lineRule="exact"/>
              <w:ind w:firstLineChars="200" w:firstLine="480"/>
              <w:rPr>
                <w:sz w:val="24"/>
              </w:rPr>
            </w:pPr>
            <w:r>
              <w:rPr>
                <w:sz w:val="24"/>
              </w:rPr>
              <w:t>a.</w:t>
            </w:r>
            <w:r>
              <w:rPr>
                <w:sz w:val="24"/>
              </w:rPr>
              <w:t>放射性废物；</w:t>
            </w:r>
          </w:p>
          <w:p w14:paraId="2B40DF8E" w14:textId="77777777" w:rsidR="00F76A63" w:rsidRDefault="00000000">
            <w:pPr>
              <w:adjustRightInd w:val="0"/>
              <w:snapToGrid w:val="0"/>
              <w:spacing w:line="500" w:lineRule="exact"/>
              <w:ind w:firstLineChars="200" w:firstLine="480"/>
              <w:rPr>
                <w:sz w:val="24"/>
              </w:rPr>
            </w:pPr>
            <w:r>
              <w:rPr>
                <w:sz w:val="24"/>
              </w:rPr>
              <w:t>b.</w:t>
            </w:r>
            <w:r>
              <w:rPr>
                <w:sz w:val="24"/>
              </w:rPr>
              <w:t>具有传染性、爆炸性及反应性废物；</w:t>
            </w:r>
          </w:p>
          <w:p w14:paraId="72CD1D61" w14:textId="77777777" w:rsidR="00F76A63" w:rsidRDefault="00000000">
            <w:pPr>
              <w:adjustRightInd w:val="0"/>
              <w:snapToGrid w:val="0"/>
              <w:spacing w:line="500" w:lineRule="exact"/>
              <w:ind w:firstLineChars="200" w:firstLine="480"/>
              <w:rPr>
                <w:sz w:val="24"/>
              </w:rPr>
            </w:pPr>
            <w:r>
              <w:rPr>
                <w:sz w:val="24"/>
              </w:rPr>
              <w:t>c.</w:t>
            </w:r>
            <w:r>
              <w:rPr>
                <w:sz w:val="24"/>
              </w:rPr>
              <w:t>未经拆解的废电池、废家用电器和电子产品；</w:t>
            </w:r>
          </w:p>
          <w:p w14:paraId="41ED076D" w14:textId="77777777" w:rsidR="00F76A63" w:rsidRDefault="00000000">
            <w:pPr>
              <w:adjustRightInd w:val="0"/>
              <w:snapToGrid w:val="0"/>
              <w:spacing w:line="500" w:lineRule="exact"/>
              <w:ind w:firstLineChars="200" w:firstLine="480"/>
              <w:rPr>
                <w:sz w:val="24"/>
              </w:rPr>
            </w:pPr>
            <w:r>
              <w:rPr>
                <w:sz w:val="24"/>
              </w:rPr>
              <w:t>d.</w:t>
            </w:r>
            <w:r>
              <w:rPr>
                <w:sz w:val="24"/>
              </w:rPr>
              <w:t>含汞的温度计、血压计、荧光灯管和开关；</w:t>
            </w:r>
          </w:p>
          <w:p w14:paraId="3D42BDBC" w14:textId="77777777" w:rsidR="00F76A63" w:rsidRDefault="00000000">
            <w:pPr>
              <w:adjustRightInd w:val="0"/>
              <w:snapToGrid w:val="0"/>
              <w:spacing w:line="500" w:lineRule="exact"/>
              <w:ind w:firstLineChars="200" w:firstLine="480"/>
              <w:rPr>
                <w:sz w:val="24"/>
              </w:rPr>
            </w:pPr>
            <w:r>
              <w:rPr>
                <w:sz w:val="24"/>
              </w:rPr>
              <w:t>e.</w:t>
            </w:r>
            <w:r>
              <w:rPr>
                <w:sz w:val="24"/>
              </w:rPr>
              <w:t>有钙焙烧工艺生产铬盐过程中产生的铬渣；</w:t>
            </w:r>
          </w:p>
          <w:p w14:paraId="4475A6AB" w14:textId="77777777" w:rsidR="00F76A63" w:rsidRDefault="00000000">
            <w:pPr>
              <w:adjustRightInd w:val="0"/>
              <w:snapToGrid w:val="0"/>
              <w:spacing w:line="500" w:lineRule="exact"/>
              <w:ind w:firstLineChars="200" w:firstLine="480"/>
              <w:rPr>
                <w:sz w:val="24"/>
              </w:rPr>
            </w:pPr>
            <w:r>
              <w:rPr>
                <w:sz w:val="24"/>
              </w:rPr>
              <w:t>f.</w:t>
            </w:r>
            <w:r>
              <w:rPr>
                <w:sz w:val="24"/>
              </w:rPr>
              <w:t>石棉类废物；</w:t>
            </w:r>
          </w:p>
          <w:p w14:paraId="7087D1FF" w14:textId="77777777" w:rsidR="00F76A63" w:rsidRDefault="00000000">
            <w:pPr>
              <w:adjustRightInd w:val="0"/>
              <w:snapToGrid w:val="0"/>
              <w:spacing w:line="500" w:lineRule="exact"/>
              <w:ind w:firstLineChars="200" w:firstLine="480"/>
              <w:rPr>
                <w:sz w:val="24"/>
              </w:rPr>
            </w:pPr>
            <w:r>
              <w:rPr>
                <w:sz w:val="24"/>
              </w:rPr>
              <w:t>g.</w:t>
            </w:r>
            <w:r>
              <w:rPr>
                <w:sz w:val="24"/>
              </w:rPr>
              <w:t>未知特性和未经鉴定的固体废物。</w:t>
            </w:r>
          </w:p>
          <w:p w14:paraId="259028B6" w14:textId="77777777" w:rsidR="00F76A63" w:rsidRDefault="00000000">
            <w:pPr>
              <w:adjustRightInd w:val="0"/>
              <w:snapToGrid w:val="0"/>
              <w:spacing w:line="500" w:lineRule="exact"/>
              <w:ind w:firstLineChars="200" w:firstLine="480"/>
              <w:rPr>
                <w:sz w:val="24"/>
              </w:rPr>
            </w:pPr>
            <w:r>
              <w:rPr>
                <w:sz w:val="24"/>
              </w:rPr>
              <w:t>5</w:t>
            </w:r>
            <w:r>
              <w:rPr>
                <w:sz w:val="24"/>
              </w:rPr>
              <w:t>）除承担突发环境事件产生的危险废物和历史遗留危险废物处置时外，其他工况对列入《国家危险废物名录》（</w:t>
            </w:r>
            <w:r>
              <w:rPr>
                <w:sz w:val="24"/>
              </w:rPr>
              <w:t>2025</w:t>
            </w:r>
            <w:r>
              <w:rPr>
                <w:sz w:val="24"/>
              </w:rPr>
              <w:t>年版）或者根据《危险废物鉴别技术规范》（</w:t>
            </w:r>
            <w:r>
              <w:rPr>
                <w:sz w:val="24"/>
              </w:rPr>
              <w:t>HJ 298-2019</w:t>
            </w:r>
            <w:r>
              <w:rPr>
                <w:sz w:val="24"/>
              </w:rPr>
              <w:t>）、《危险废物鉴别标准</w:t>
            </w:r>
            <w:r>
              <w:rPr>
                <w:sz w:val="24"/>
              </w:rPr>
              <w:t xml:space="preserve"> </w:t>
            </w:r>
            <w:r>
              <w:rPr>
                <w:sz w:val="24"/>
              </w:rPr>
              <w:t>通则》（</w:t>
            </w:r>
            <w:r>
              <w:rPr>
                <w:sz w:val="24"/>
              </w:rPr>
              <w:t>GB 5085.7-2019</w:t>
            </w:r>
            <w:r>
              <w:rPr>
                <w:sz w:val="24"/>
              </w:rPr>
              <w:t>）认定具有危险特性的废物禁止接收处置。</w:t>
            </w:r>
          </w:p>
          <w:p w14:paraId="2676985F" w14:textId="77777777" w:rsidR="00F76A63" w:rsidRDefault="00000000">
            <w:pPr>
              <w:adjustRightInd w:val="0"/>
              <w:snapToGrid w:val="0"/>
              <w:spacing w:line="500" w:lineRule="exact"/>
              <w:ind w:firstLineChars="200" w:firstLine="480"/>
              <w:rPr>
                <w:sz w:val="24"/>
              </w:rPr>
            </w:pPr>
            <w:r>
              <w:rPr>
                <w:sz w:val="24"/>
              </w:rPr>
              <w:t>本项目仅接收符合进厂准入条件的一般固废进行协同处置，对于不满足进厂准入条件的固废一律不予接收处置。</w:t>
            </w:r>
          </w:p>
          <w:p w14:paraId="2EC04E94" w14:textId="77777777" w:rsidR="00F76A63" w:rsidRDefault="00000000">
            <w:pPr>
              <w:adjustRightInd w:val="0"/>
              <w:snapToGrid w:val="0"/>
              <w:spacing w:line="500" w:lineRule="exact"/>
              <w:ind w:firstLineChars="200" w:firstLine="480"/>
              <w:jc w:val="left"/>
              <w:rPr>
                <w:sz w:val="24"/>
              </w:rPr>
            </w:pPr>
            <w:r>
              <w:rPr>
                <w:rFonts w:ascii="Cambria Math" w:hAnsi="Cambria Math"/>
                <w:sz w:val="24"/>
              </w:rPr>
              <w:t>②</w:t>
            </w:r>
            <w:r>
              <w:rPr>
                <w:sz w:val="24"/>
              </w:rPr>
              <w:t>入窑协同处置的固体废物特性要求</w:t>
            </w:r>
          </w:p>
          <w:p w14:paraId="229343FB" w14:textId="77777777" w:rsidR="00F76A63" w:rsidRDefault="00000000">
            <w:pPr>
              <w:adjustRightInd w:val="0"/>
              <w:snapToGrid w:val="0"/>
              <w:spacing w:line="500" w:lineRule="exact"/>
              <w:ind w:firstLineChars="200" w:firstLine="480"/>
              <w:rPr>
                <w:sz w:val="24"/>
              </w:rPr>
            </w:pPr>
            <w:r>
              <w:rPr>
                <w:sz w:val="24"/>
              </w:rPr>
              <w:t>1</w:t>
            </w:r>
            <w:r>
              <w:rPr>
                <w:sz w:val="24"/>
              </w:rPr>
              <w:t>）根据</w:t>
            </w:r>
            <w:r>
              <w:rPr>
                <w:sz w:val="24"/>
              </w:rPr>
              <w:t xml:space="preserve">HJ662-2013 </w:t>
            </w:r>
            <w:r>
              <w:rPr>
                <w:sz w:val="24"/>
              </w:rPr>
              <w:t>第</w:t>
            </w:r>
            <w:r>
              <w:rPr>
                <w:sz w:val="24"/>
              </w:rPr>
              <w:t>5.2</w:t>
            </w:r>
            <w:r>
              <w:rPr>
                <w:sz w:val="24"/>
              </w:rPr>
              <w:t>节，入窑协同处置固体废物特性应满足以下要求：</w:t>
            </w:r>
          </w:p>
          <w:p w14:paraId="06A3C137" w14:textId="77777777" w:rsidR="00F76A63" w:rsidRDefault="00000000">
            <w:pPr>
              <w:adjustRightInd w:val="0"/>
              <w:snapToGrid w:val="0"/>
              <w:spacing w:line="500" w:lineRule="exact"/>
              <w:ind w:firstLineChars="200" w:firstLine="480"/>
              <w:rPr>
                <w:sz w:val="24"/>
              </w:rPr>
            </w:pPr>
            <w:r>
              <w:rPr>
                <w:sz w:val="24"/>
              </w:rPr>
              <w:t>a.</w:t>
            </w:r>
            <w:r>
              <w:rPr>
                <w:sz w:val="24"/>
              </w:rPr>
              <w:t>入窑固体废物应具有稳定的化学组成和物理特性，其化学组成、理化性质等不应对水泥生产过程和水泥产品质量产生不利影响。</w:t>
            </w:r>
          </w:p>
          <w:p w14:paraId="533803F7" w14:textId="77777777" w:rsidR="00F76A63" w:rsidRDefault="00000000">
            <w:pPr>
              <w:adjustRightInd w:val="0"/>
              <w:snapToGrid w:val="0"/>
              <w:spacing w:line="500" w:lineRule="exact"/>
              <w:ind w:firstLineChars="200" w:firstLine="480"/>
              <w:rPr>
                <w:sz w:val="24"/>
              </w:rPr>
            </w:pPr>
            <w:r>
              <w:rPr>
                <w:sz w:val="24"/>
              </w:rPr>
              <w:t>b.</w:t>
            </w:r>
            <w:r>
              <w:rPr>
                <w:sz w:val="24"/>
              </w:rPr>
              <w:t>入窑固体废物中如含有</w:t>
            </w:r>
            <w:r>
              <w:rPr>
                <w:sz w:val="24"/>
              </w:rPr>
              <w:t>HJ662-2013</w:t>
            </w:r>
            <w:r>
              <w:rPr>
                <w:sz w:val="24"/>
              </w:rPr>
              <w:t>表</w:t>
            </w:r>
            <w:r>
              <w:rPr>
                <w:sz w:val="24"/>
              </w:rPr>
              <w:t>1</w:t>
            </w:r>
            <w:r>
              <w:rPr>
                <w:sz w:val="24"/>
              </w:rPr>
              <w:t>中所列重金属成分，其含量应该满足</w:t>
            </w:r>
            <w:r>
              <w:rPr>
                <w:sz w:val="24"/>
              </w:rPr>
              <w:t>HJ662-2013</w:t>
            </w:r>
            <w:r>
              <w:rPr>
                <w:sz w:val="24"/>
              </w:rPr>
              <w:t>第</w:t>
            </w:r>
            <w:r>
              <w:rPr>
                <w:sz w:val="24"/>
              </w:rPr>
              <w:t>6.6.7</w:t>
            </w:r>
            <w:r>
              <w:rPr>
                <w:sz w:val="24"/>
              </w:rPr>
              <w:t>条的要求。</w:t>
            </w:r>
          </w:p>
          <w:p w14:paraId="26FD0249" w14:textId="77777777" w:rsidR="00F76A63" w:rsidRDefault="00000000">
            <w:pPr>
              <w:adjustRightInd w:val="0"/>
              <w:snapToGrid w:val="0"/>
              <w:spacing w:line="500" w:lineRule="exact"/>
              <w:ind w:firstLineChars="200" w:firstLine="480"/>
              <w:rPr>
                <w:sz w:val="24"/>
              </w:rPr>
            </w:pPr>
            <w:r>
              <w:rPr>
                <w:sz w:val="24"/>
              </w:rPr>
              <w:t>c.</w:t>
            </w:r>
            <w:r>
              <w:rPr>
                <w:sz w:val="24"/>
              </w:rPr>
              <w:t>入窑固体废物中氯、氟元素的含量不应对水泥生产过程和水泥产品质量产生不利影响，其含量应满足</w:t>
            </w:r>
            <w:r>
              <w:rPr>
                <w:sz w:val="24"/>
              </w:rPr>
              <w:t>HJ662-2013</w:t>
            </w:r>
            <w:r>
              <w:rPr>
                <w:sz w:val="24"/>
              </w:rPr>
              <w:t>中第</w:t>
            </w:r>
            <w:r>
              <w:rPr>
                <w:sz w:val="24"/>
              </w:rPr>
              <w:t>6.6.8</w:t>
            </w:r>
            <w:r>
              <w:rPr>
                <w:sz w:val="24"/>
              </w:rPr>
              <w:t>条的要求。</w:t>
            </w:r>
          </w:p>
          <w:p w14:paraId="534D5F0B" w14:textId="77777777" w:rsidR="00F76A63" w:rsidRDefault="00000000">
            <w:pPr>
              <w:adjustRightInd w:val="0"/>
              <w:snapToGrid w:val="0"/>
              <w:spacing w:line="500" w:lineRule="exact"/>
              <w:ind w:firstLineChars="200" w:firstLine="480"/>
              <w:rPr>
                <w:sz w:val="24"/>
              </w:rPr>
            </w:pPr>
            <w:r>
              <w:rPr>
                <w:sz w:val="24"/>
              </w:rPr>
              <w:t>d.</w:t>
            </w:r>
            <w:r>
              <w:rPr>
                <w:sz w:val="24"/>
              </w:rPr>
              <w:t>入窑固体废物中硫元素的含量应满足</w:t>
            </w:r>
            <w:r>
              <w:rPr>
                <w:sz w:val="24"/>
              </w:rPr>
              <w:t>HJ662-2013</w:t>
            </w:r>
            <w:r>
              <w:rPr>
                <w:sz w:val="24"/>
              </w:rPr>
              <w:t>中第</w:t>
            </w:r>
            <w:r>
              <w:rPr>
                <w:sz w:val="24"/>
              </w:rPr>
              <w:t>6.6.9</w:t>
            </w:r>
            <w:r>
              <w:rPr>
                <w:sz w:val="24"/>
              </w:rPr>
              <w:t>条的要求。</w:t>
            </w:r>
          </w:p>
          <w:p w14:paraId="5A440F7F" w14:textId="77777777" w:rsidR="00F76A63" w:rsidRDefault="00000000">
            <w:pPr>
              <w:adjustRightInd w:val="0"/>
              <w:snapToGrid w:val="0"/>
              <w:spacing w:line="500" w:lineRule="exact"/>
              <w:ind w:firstLineChars="200" w:firstLine="480"/>
              <w:rPr>
                <w:sz w:val="24"/>
              </w:rPr>
            </w:pPr>
            <w:r>
              <w:rPr>
                <w:sz w:val="24"/>
              </w:rPr>
              <w:t>f.</w:t>
            </w:r>
            <w:r>
              <w:rPr>
                <w:sz w:val="24"/>
              </w:rPr>
              <w:t>具有腐蚀性的固体废物，应经过预处理降低废物腐蚀性或对设施进行防腐</w:t>
            </w:r>
            <w:r>
              <w:rPr>
                <w:sz w:val="24"/>
              </w:rPr>
              <w:lastRenderedPageBreak/>
              <w:t>蚀性改造，确保不对设施改造腐蚀后方可进行协同处置。本项目不处置具有腐蚀性的固体废物。</w:t>
            </w:r>
          </w:p>
          <w:p w14:paraId="00136790" w14:textId="77777777" w:rsidR="00F76A63" w:rsidRDefault="00000000">
            <w:pPr>
              <w:adjustRightInd w:val="0"/>
              <w:snapToGrid w:val="0"/>
              <w:spacing w:line="500" w:lineRule="exact"/>
              <w:ind w:firstLineChars="200" w:firstLine="480"/>
              <w:rPr>
                <w:sz w:val="24"/>
              </w:rPr>
            </w:pPr>
            <w:r>
              <w:rPr>
                <w:sz w:val="24"/>
              </w:rPr>
              <w:t>2</w:t>
            </w:r>
            <w:r>
              <w:rPr>
                <w:sz w:val="24"/>
              </w:rPr>
              <w:t>）企业内控标准</w:t>
            </w:r>
          </w:p>
          <w:p w14:paraId="0378AC6C" w14:textId="77777777" w:rsidR="00F76A63" w:rsidRDefault="00000000">
            <w:pPr>
              <w:adjustRightInd w:val="0"/>
              <w:snapToGrid w:val="0"/>
              <w:spacing w:line="500" w:lineRule="exact"/>
              <w:ind w:firstLineChars="200" w:firstLine="480"/>
              <w:rPr>
                <w:sz w:val="24"/>
              </w:rPr>
            </w:pPr>
            <w:r>
              <w:rPr>
                <w:sz w:val="24"/>
              </w:rPr>
              <w:t>a.</w:t>
            </w:r>
            <w:r>
              <w:rPr>
                <w:sz w:val="24"/>
              </w:rPr>
              <w:t>固体废物含水率应不高于</w:t>
            </w:r>
            <w:r>
              <w:rPr>
                <w:rFonts w:hint="eastAsia"/>
                <w:sz w:val="24"/>
              </w:rPr>
              <w:t>30</w:t>
            </w:r>
            <w:r>
              <w:rPr>
                <w:sz w:val="24"/>
              </w:rPr>
              <w:t>%</w:t>
            </w:r>
            <w:r>
              <w:rPr>
                <w:sz w:val="24"/>
              </w:rPr>
              <w:t>；</w:t>
            </w:r>
          </w:p>
          <w:p w14:paraId="477B6C0C" w14:textId="77777777" w:rsidR="00F76A63" w:rsidRDefault="00000000">
            <w:pPr>
              <w:adjustRightInd w:val="0"/>
              <w:snapToGrid w:val="0"/>
              <w:spacing w:line="500" w:lineRule="exact"/>
              <w:ind w:firstLineChars="200" w:firstLine="480"/>
              <w:rPr>
                <w:sz w:val="24"/>
              </w:rPr>
            </w:pPr>
            <w:r>
              <w:rPr>
                <w:sz w:val="24"/>
              </w:rPr>
              <w:t>b.</w:t>
            </w:r>
            <w:r>
              <w:rPr>
                <w:sz w:val="24"/>
              </w:rPr>
              <w:t>替代燃料类固体废物、以及冶炼废渣、炉渣等不得有异味和恶臭；</w:t>
            </w:r>
          </w:p>
          <w:p w14:paraId="64ECF46C" w14:textId="77777777" w:rsidR="00F76A63" w:rsidRDefault="00000000">
            <w:pPr>
              <w:adjustRightInd w:val="0"/>
              <w:snapToGrid w:val="0"/>
              <w:spacing w:line="500" w:lineRule="exact"/>
              <w:ind w:firstLineChars="200" w:firstLine="480"/>
              <w:rPr>
                <w:sz w:val="24"/>
              </w:rPr>
            </w:pPr>
            <w:r>
              <w:rPr>
                <w:sz w:val="24"/>
              </w:rPr>
              <w:t>c.</w:t>
            </w:r>
            <w:r>
              <w:rPr>
                <w:sz w:val="24"/>
              </w:rPr>
              <w:t>固体废物中不得掺杂废钢铁、砖瓦等建筑垃圾。</w:t>
            </w:r>
          </w:p>
          <w:p w14:paraId="7169C8B8" w14:textId="77777777" w:rsidR="00F76A63" w:rsidRDefault="00000000">
            <w:pPr>
              <w:adjustRightInd w:val="0"/>
              <w:snapToGrid w:val="0"/>
              <w:spacing w:line="500" w:lineRule="exact"/>
              <w:ind w:firstLineChars="200" w:firstLine="480"/>
              <w:rPr>
                <w:sz w:val="24"/>
              </w:rPr>
            </w:pPr>
            <w:r>
              <w:rPr>
                <w:sz w:val="24"/>
              </w:rPr>
              <w:t>此外，为确保水泥熟料中的相关成分符合产品标准，入窑协同处置的固体废物的重金属含量应当满足</w:t>
            </w:r>
            <w:r>
              <w:rPr>
                <w:sz w:val="24"/>
              </w:rPr>
              <w:t>GB/T 30760-2024</w:t>
            </w:r>
            <w:r>
              <w:rPr>
                <w:sz w:val="24"/>
              </w:rPr>
              <w:t>相关要求。</w:t>
            </w:r>
          </w:p>
          <w:p w14:paraId="024633DB" w14:textId="77777777" w:rsidR="00F76A63" w:rsidRDefault="00000000">
            <w:pPr>
              <w:adjustRightInd w:val="0"/>
              <w:snapToGrid w:val="0"/>
              <w:spacing w:line="500" w:lineRule="exact"/>
              <w:ind w:firstLineChars="200" w:firstLine="482"/>
              <w:jc w:val="left"/>
              <w:rPr>
                <w:b/>
                <w:sz w:val="24"/>
              </w:rPr>
            </w:pPr>
            <w:r>
              <w:rPr>
                <w:b/>
                <w:sz w:val="24"/>
              </w:rPr>
              <w:t>12</w:t>
            </w:r>
            <w:r>
              <w:rPr>
                <w:b/>
                <w:sz w:val="24"/>
              </w:rPr>
              <w:t>、本项目协同处置固废流程</w:t>
            </w:r>
          </w:p>
          <w:p w14:paraId="5A401985" w14:textId="77777777" w:rsidR="00F76A63" w:rsidRDefault="00000000">
            <w:pPr>
              <w:adjustRightInd w:val="0"/>
              <w:snapToGrid w:val="0"/>
              <w:spacing w:line="500" w:lineRule="exact"/>
              <w:ind w:firstLineChars="200" w:firstLine="480"/>
              <w:jc w:val="left"/>
              <w:rPr>
                <w:bCs/>
                <w:sz w:val="24"/>
              </w:rPr>
            </w:pPr>
            <w:r>
              <w:rPr>
                <w:bCs/>
                <w:sz w:val="24"/>
              </w:rPr>
              <w:t>拟处置的污染土及污泥进厂后，依托句容台泥现有化验室，开展固废的检测、分析。首先定性定量检测系统分析固体废物成分，确定符合入窑要求后予以接收，根据固废种类和成分的不同，分别送至不同的区域储存：污染土贮存在污染土暂存库，污泥贮存在拟建的污染土大棚中，本次污染土及污泥不涉及预处理，接收的污染土及污泥由汽车运至机口下料并转运贮存。具体流程见表</w:t>
            </w:r>
            <w:r>
              <w:rPr>
                <w:bCs/>
                <w:sz w:val="24"/>
              </w:rPr>
              <w:t>2-30</w:t>
            </w:r>
            <w:r>
              <w:rPr>
                <w:bCs/>
                <w:sz w:val="24"/>
              </w:rPr>
              <w:t>：</w:t>
            </w:r>
          </w:p>
          <w:p w14:paraId="681FEFAA" w14:textId="77777777" w:rsidR="00F76A63" w:rsidRDefault="00000000">
            <w:pPr>
              <w:adjustRightInd w:val="0"/>
              <w:snapToGrid w:val="0"/>
              <w:spacing w:line="500" w:lineRule="exact"/>
              <w:jc w:val="center"/>
              <w:rPr>
                <w:b/>
                <w:spacing w:val="-6"/>
                <w:sz w:val="24"/>
              </w:rPr>
            </w:pPr>
            <w:r>
              <w:rPr>
                <w:b/>
                <w:spacing w:val="-6"/>
                <w:sz w:val="24"/>
              </w:rPr>
              <w:t>表</w:t>
            </w:r>
            <w:r>
              <w:rPr>
                <w:b/>
                <w:spacing w:val="-6"/>
                <w:sz w:val="24"/>
              </w:rPr>
              <w:t>2-3</w:t>
            </w:r>
            <w:r>
              <w:rPr>
                <w:rFonts w:hint="eastAsia"/>
                <w:b/>
                <w:spacing w:val="-6"/>
                <w:sz w:val="24"/>
              </w:rPr>
              <w:t>2</w:t>
            </w:r>
            <w:r>
              <w:rPr>
                <w:b/>
                <w:spacing w:val="-6"/>
                <w:sz w:val="24"/>
              </w:rPr>
              <w:t xml:space="preserve">  </w:t>
            </w:r>
            <w:r>
              <w:rPr>
                <w:b/>
                <w:spacing w:val="-6"/>
                <w:sz w:val="24"/>
              </w:rPr>
              <w:t>进厂固废处置流程</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4192"/>
              <w:gridCol w:w="4194"/>
            </w:tblGrid>
            <w:tr w:rsidR="00F76A63" w14:paraId="589E2BE6" w14:textId="77777777">
              <w:trPr>
                <w:trHeight w:val="44"/>
                <w:jc w:val="center"/>
              </w:trPr>
              <w:tc>
                <w:tcPr>
                  <w:tcW w:w="4192" w:type="dxa"/>
                  <w:vAlign w:val="center"/>
                </w:tcPr>
                <w:p w14:paraId="2C3A3044" w14:textId="77777777" w:rsidR="00F76A63" w:rsidRDefault="00000000">
                  <w:pPr>
                    <w:adjustRightInd w:val="0"/>
                    <w:snapToGrid w:val="0"/>
                    <w:jc w:val="center"/>
                    <w:rPr>
                      <w:b/>
                      <w:szCs w:val="21"/>
                    </w:rPr>
                  </w:pPr>
                  <w:bookmarkStart w:id="85" w:name="OLE_LINK90"/>
                  <w:r>
                    <w:rPr>
                      <w:b/>
                      <w:szCs w:val="21"/>
                    </w:rPr>
                    <w:t>处置内容</w:t>
                  </w:r>
                </w:p>
              </w:tc>
              <w:tc>
                <w:tcPr>
                  <w:tcW w:w="4194" w:type="dxa"/>
                  <w:vAlign w:val="center"/>
                </w:tcPr>
                <w:p w14:paraId="4F5A5C92" w14:textId="77777777" w:rsidR="00F76A63" w:rsidRDefault="00000000">
                  <w:pPr>
                    <w:adjustRightInd w:val="0"/>
                    <w:snapToGrid w:val="0"/>
                    <w:jc w:val="center"/>
                    <w:rPr>
                      <w:b/>
                      <w:szCs w:val="21"/>
                    </w:rPr>
                  </w:pPr>
                  <w:r>
                    <w:rPr>
                      <w:b/>
                      <w:szCs w:val="21"/>
                    </w:rPr>
                    <w:t>实施管理主体</w:t>
                  </w:r>
                </w:p>
              </w:tc>
            </w:tr>
            <w:tr w:rsidR="00F76A63" w14:paraId="140FC395" w14:textId="77777777">
              <w:trPr>
                <w:jc w:val="center"/>
              </w:trPr>
              <w:tc>
                <w:tcPr>
                  <w:tcW w:w="4192" w:type="dxa"/>
                  <w:vAlign w:val="center"/>
                </w:tcPr>
                <w:p w14:paraId="4706EEBF" w14:textId="77777777" w:rsidR="00F76A63" w:rsidRDefault="00000000">
                  <w:pPr>
                    <w:adjustRightInd w:val="0"/>
                    <w:snapToGrid w:val="0"/>
                    <w:jc w:val="center"/>
                    <w:rPr>
                      <w:bCs/>
                      <w:szCs w:val="21"/>
                    </w:rPr>
                  </w:pPr>
                  <w:r>
                    <w:rPr>
                      <w:bCs/>
                      <w:szCs w:val="21"/>
                    </w:rPr>
                    <w:t>污染土及污泥运输</w:t>
                  </w:r>
                </w:p>
              </w:tc>
              <w:tc>
                <w:tcPr>
                  <w:tcW w:w="4194" w:type="dxa"/>
                </w:tcPr>
                <w:p w14:paraId="7001E735" w14:textId="77777777" w:rsidR="00F76A63" w:rsidRDefault="00000000">
                  <w:pPr>
                    <w:adjustRightInd w:val="0"/>
                    <w:snapToGrid w:val="0"/>
                    <w:jc w:val="center"/>
                    <w:rPr>
                      <w:bCs/>
                      <w:szCs w:val="21"/>
                    </w:rPr>
                  </w:pPr>
                  <w:r>
                    <w:rPr>
                      <w:bCs/>
                      <w:szCs w:val="21"/>
                    </w:rPr>
                    <w:t>句容台泥</w:t>
                  </w:r>
                </w:p>
              </w:tc>
            </w:tr>
            <w:tr w:rsidR="00F76A63" w14:paraId="76755874" w14:textId="77777777">
              <w:trPr>
                <w:jc w:val="center"/>
              </w:trPr>
              <w:tc>
                <w:tcPr>
                  <w:tcW w:w="4192" w:type="dxa"/>
                  <w:vAlign w:val="center"/>
                </w:tcPr>
                <w:p w14:paraId="3BCEF130" w14:textId="77777777" w:rsidR="00F76A63" w:rsidRDefault="00000000">
                  <w:pPr>
                    <w:adjustRightInd w:val="0"/>
                    <w:snapToGrid w:val="0"/>
                    <w:jc w:val="center"/>
                    <w:rPr>
                      <w:bCs/>
                      <w:szCs w:val="21"/>
                    </w:rPr>
                  </w:pPr>
                  <w:r>
                    <w:rPr>
                      <w:bCs/>
                      <w:szCs w:val="21"/>
                    </w:rPr>
                    <w:t>污染土及污泥初检</w:t>
                  </w:r>
                </w:p>
              </w:tc>
              <w:tc>
                <w:tcPr>
                  <w:tcW w:w="4194" w:type="dxa"/>
                </w:tcPr>
                <w:p w14:paraId="0D0791E9" w14:textId="77777777" w:rsidR="00F76A63" w:rsidRDefault="00000000">
                  <w:pPr>
                    <w:adjustRightInd w:val="0"/>
                    <w:snapToGrid w:val="0"/>
                    <w:jc w:val="center"/>
                    <w:rPr>
                      <w:bCs/>
                      <w:szCs w:val="21"/>
                    </w:rPr>
                  </w:pPr>
                  <w:r>
                    <w:rPr>
                      <w:bCs/>
                      <w:szCs w:val="21"/>
                    </w:rPr>
                    <w:t>句容台泥</w:t>
                  </w:r>
                </w:p>
              </w:tc>
            </w:tr>
            <w:tr w:rsidR="00F76A63" w14:paraId="72C4AF4C" w14:textId="77777777">
              <w:trPr>
                <w:jc w:val="center"/>
              </w:trPr>
              <w:tc>
                <w:tcPr>
                  <w:tcW w:w="4192" w:type="dxa"/>
                  <w:vAlign w:val="center"/>
                </w:tcPr>
                <w:p w14:paraId="0ECF5EEB" w14:textId="77777777" w:rsidR="00F76A63" w:rsidRDefault="00000000">
                  <w:pPr>
                    <w:adjustRightInd w:val="0"/>
                    <w:snapToGrid w:val="0"/>
                    <w:jc w:val="center"/>
                    <w:rPr>
                      <w:bCs/>
                      <w:szCs w:val="21"/>
                    </w:rPr>
                  </w:pPr>
                  <w:r>
                    <w:rPr>
                      <w:bCs/>
                      <w:szCs w:val="21"/>
                    </w:rPr>
                    <w:t>污染土及污泥贮存</w:t>
                  </w:r>
                </w:p>
              </w:tc>
              <w:tc>
                <w:tcPr>
                  <w:tcW w:w="4194" w:type="dxa"/>
                  <w:vAlign w:val="center"/>
                </w:tcPr>
                <w:p w14:paraId="44790BC0" w14:textId="77777777" w:rsidR="00F76A63" w:rsidRDefault="00000000">
                  <w:pPr>
                    <w:adjustRightInd w:val="0"/>
                    <w:snapToGrid w:val="0"/>
                    <w:jc w:val="center"/>
                    <w:rPr>
                      <w:bCs/>
                      <w:szCs w:val="21"/>
                    </w:rPr>
                  </w:pPr>
                  <w:r>
                    <w:rPr>
                      <w:bCs/>
                      <w:szCs w:val="21"/>
                    </w:rPr>
                    <w:t>句容台泥</w:t>
                  </w:r>
                </w:p>
              </w:tc>
            </w:tr>
            <w:tr w:rsidR="00F76A63" w14:paraId="59DC09B6" w14:textId="77777777">
              <w:trPr>
                <w:jc w:val="center"/>
              </w:trPr>
              <w:tc>
                <w:tcPr>
                  <w:tcW w:w="4192" w:type="dxa"/>
                  <w:vAlign w:val="center"/>
                </w:tcPr>
                <w:p w14:paraId="7E85DBAF" w14:textId="77777777" w:rsidR="00F76A63" w:rsidRDefault="00000000">
                  <w:pPr>
                    <w:adjustRightInd w:val="0"/>
                    <w:snapToGrid w:val="0"/>
                    <w:jc w:val="center"/>
                    <w:rPr>
                      <w:bCs/>
                      <w:szCs w:val="21"/>
                    </w:rPr>
                  </w:pPr>
                  <w:r>
                    <w:rPr>
                      <w:bCs/>
                      <w:szCs w:val="21"/>
                    </w:rPr>
                    <w:t>污染土及污泥投料</w:t>
                  </w:r>
                </w:p>
              </w:tc>
              <w:tc>
                <w:tcPr>
                  <w:tcW w:w="4194" w:type="dxa"/>
                  <w:vAlign w:val="center"/>
                </w:tcPr>
                <w:p w14:paraId="7049CA1F" w14:textId="77777777" w:rsidR="00F76A63" w:rsidRDefault="00000000">
                  <w:pPr>
                    <w:adjustRightInd w:val="0"/>
                    <w:snapToGrid w:val="0"/>
                    <w:jc w:val="center"/>
                    <w:rPr>
                      <w:bCs/>
                      <w:szCs w:val="21"/>
                    </w:rPr>
                  </w:pPr>
                  <w:r>
                    <w:rPr>
                      <w:bCs/>
                      <w:szCs w:val="21"/>
                    </w:rPr>
                    <w:t>句容台泥</w:t>
                  </w:r>
                </w:p>
              </w:tc>
            </w:tr>
            <w:tr w:rsidR="00F76A63" w14:paraId="099B28E7" w14:textId="77777777">
              <w:trPr>
                <w:jc w:val="center"/>
              </w:trPr>
              <w:tc>
                <w:tcPr>
                  <w:tcW w:w="4192" w:type="dxa"/>
                  <w:vAlign w:val="center"/>
                </w:tcPr>
                <w:p w14:paraId="696D6E18" w14:textId="77777777" w:rsidR="00F76A63" w:rsidRDefault="00000000">
                  <w:pPr>
                    <w:adjustRightInd w:val="0"/>
                    <w:snapToGrid w:val="0"/>
                    <w:jc w:val="center"/>
                    <w:rPr>
                      <w:bCs/>
                      <w:szCs w:val="21"/>
                    </w:rPr>
                  </w:pPr>
                  <w:r>
                    <w:rPr>
                      <w:bCs/>
                      <w:szCs w:val="21"/>
                    </w:rPr>
                    <w:t>污染土及污泥协同处置</w:t>
                  </w:r>
                </w:p>
              </w:tc>
              <w:tc>
                <w:tcPr>
                  <w:tcW w:w="4194" w:type="dxa"/>
                  <w:vAlign w:val="center"/>
                </w:tcPr>
                <w:p w14:paraId="26258CE6" w14:textId="77777777" w:rsidR="00F76A63" w:rsidRDefault="00000000">
                  <w:pPr>
                    <w:adjustRightInd w:val="0"/>
                    <w:snapToGrid w:val="0"/>
                    <w:jc w:val="center"/>
                    <w:rPr>
                      <w:bCs/>
                      <w:szCs w:val="21"/>
                    </w:rPr>
                  </w:pPr>
                  <w:r>
                    <w:rPr>
                      <w:bCs/>
                      <w:szCs w:val="21"/>
                    </w:rPr>
                    <w:t>句容台泥</w:t>
                  </w:r>
                </w:p>
              </w:tc>
            </w:tr>
            <w:tr w:rsidR="00F76A63" w14:paraId="22083A69" w14:textId="77777777">
              <w:trPr>
                <w:jc w:val="center"/>
              </w:trPr>
              <w:tc>
                <w:tcPr>
                  <w:tcW w:w="4192" w:type="dxa"/>
                  <w:vAlign w:val="center"/>
                </w:tcPr>
                <w:p w14:paraId="207CD520" w14:textId="77777777" w:rsidR="00F76A63" w:rsidRDefault="00000000">
                  <w:pPr>
                    <w:adjustRightInd w:val="0"/>
                    <w:snapToGrid w:val="0"/>
                    <w:jc w:val="center"/>
                    <w:rPr>
                      <w:bCs/>
                      <w:szCs w:val="21"/>
                    </w:rPr>
                  </w:pPr>
                  <w:r>
                    <w:rPr>
                      <w:bCs/>
                      <w:szCs w:val="21"/>
                    </w:rPr>
                    <w:t>产品出厂</w:t>
                  </w:r>
                </w:p>
              </w:tc>
              <w:tc>
                <w:tcPr>
                  <w:tcW w:w="4194" w:type="dxa"/>
                  <w:vAlign w:val="center"/>
                </w:tcPr>
                <w:p w14:paraId="7008F0BB" w14:textId="77777777" w:rsidR="00F76A63" w:rsidRDefault="00000000">
                  <w:pPr>
                    <w:adjustRightInd w:val="0"/>
                    <w:snapToGrid w:val="0"/>
                    <w:jc w:val="center"/>
                    <w:rPr>
                      <w:bCs/>
                      <w:szCs w:val="21"/>
                    </w:rPr>
                  </w:pPr>
                  <w:r>
                    <w:rPr>
                      <w:bCs/>
                      <w:szCs w:val="21"/>
                    </w:rPr>
                    <w:t>句容台泥</w:t>
                  </w:r>
                </w:p>
              </w:tc>
            </w:tr>
          </w:tbl>
          <w:bookmarkEnd w:id="85"/>
          <w:p w14:paraId="30B58704" w14:textId="77777777" w:rsidR="00F76A63" w:rsidRDefault="00000000">
            <w:pPr>
              <w:adjustRightInd w:val="0"/>
              <w:snapToGrid w:val="0"/>
              <w:spacing w:line="500" w:lineRule="exact"/>
              <w:ind w:firstLineChars="200" w:firstLine="482"/>
              <w:jc w:val="left"/>
              <w:rPr>
                <w:b/>
                <w:sz w:val="24"/>
              </w:rPr>
            </w:pPr>
            <w:r>
              <w:rPr>
                <w:b/>
                <w:sz w:val="24"/>
              </w:rPr>
              <w:t>（</w:t>
            </w:r>
            <w:r>
              <w:rPr>
                <w:b/>
                <w:sz w:val="24"/>
              </w:rPr>
              <w:t>1</w:t>
            </w:r>
            <w:r>
              <w:rPr>
                <w:b/>
                <w:sz w:val="24"/>
              </w:rPr>
              <w:t>）污染土、污泥收集运输、贮存</w:t>
            </w:r>
          </w:p>
          <w:p w14:paraId="3F09791F" w14:textId="77777777" w:rsidR="00F76A63" w:rsidRDefault="00000000">
            <w:pPr>
              <w:adjustRightInd w:val="0"/>
              <w:snapToGrid w:val="0"/>
              <w:spacing w:line="500" w:lineRule="exact"/>
              <w:ind w:firstLineChars="200" w:firstLine="480"/>
              <w:rPr>
                <w:sz w:val="24"/>
              </w:rPr>
            </w:pPr>
            <w:r>
              <w:rPr>
                <w:sz w:val="24"/>
              </w:rPr>
              <w:t>本项目协同处置的污染土</w:t>
            </w:r>
            <w:r>
              <w:rPr>
                <w:rFonts w:hint="eastAsia"/>
                <w:sz w:val="24"/>
              </w:rPr>
              <w:t>为</w:t>
            </w:r>
            <w:r>
              <w:rPr>
                <w:sz w:val="24"/>
              </w:rPr>
              <w:t>固态、松散土状，无包装；污泥</w:t>
            </w:r>
            <w:r>
              <w:rPr>
                <w:rFonts w:hint="eastAsia"/>
                <w:sz w:val="24"/>
              </w:rPr>
              <w:t>为</w:t>
            </w:r>
            <w:r>
              <w:rPr>
                <w:sz w:val="24"/>
              </w:rPr>
              <w:t>半固态、黏稠状，无包装，物料均以散装形式运输、卸料、贮存及输送，不采用袋装、桶装等包装形式。污染土及污泥运输过程为：污染土及污泥</w:t>
            </w:r>
            <w:r>
              <w:rPr>
                <w:rFonts w:hint="eastAsia"/>
                <w:sz w:val="24"/>
              </w:rPr>
              <w:t>密闭</w:t>
            </w:r>
            <w:r>
              <w:rPr>
                <w:sz w:val="24"/>
              </w:rPr>
              <w:t>车运从机口下料</w:t>
            </w:r>
            <w:r>
              <w:rPr>
                <w:sz w:val="24"/>
              </w:rPr>
              <w:t>→</w:t>
            </w:r>
            <w:r>
              <w:rPr>
                <w:sz w:val="24"/>
              </w:rPr>
              <w:t>提供密闭的皮带机输送至堆场存储</w:t>
            </w:r>
            <w:r>
              <w:rPr>
                <w:sz w:val="24"/>
              </w:rPr>
              <w:t>→</w:t>
            </w:r>
            <w:r>
              <w:rPr>
                <w:sz w:val="24"/>
              </w:rPr>
              <w:t>堆场存储的污染土及污泥通过刮料机到皮带机输送至生产线的配料站仓</w:t>
            </w:r>
            <w:r>
              <w:rPr>
                <w:sz w:val="24"/>
              </w:rPr>
              <w:t>→</w:t>
            </w:r>
            <w:r>
              <w:rPr>
                <w:sz w:val="24"/>
              </w:rPr>
              <w:t>配料仓的料通过计量称再输送至皮带机到生料磨进</w:t>
            </w:r>
            <w:r>
              <w:rPr>
                <w:sz w:val="24"/>
              </w:rPr>
              <w:lastRenderedPageBreak/>
              <w:t>行研磨，生产的生料通过除尘器收集输送到生料库存储，运输全程是通过密闭的输送带，全程密闭、不落地、不裸露</w:t>
            </w:r>
            <w:r>
              <w:rPr>
                <w:rFonts w:hint="eastAsia"/>
                <w:sz w:val="24"/>
              </w:rPr>
              <w:t>，</w:t>
            </w:r>
            <w:r>
              <w:rPr>
                <w:sz w:val="24"/>
              </w:rPr>
              <w:t>转站有收尘器，不产生无组织废气。</w:t>
            </w:r>
          </w:p>
          <w:p w14:paraId="69787DD7"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废物满足入</w:t>
            </w:r>
            <w:r>
              <w:rPr>
                <w:rFonts w:ascii="Times New Roman" w:hAnsi="Times New Roman" w:cs="Times New Roman" w:hint="eastAsia"/>
                <w:color w:val="auto"/>
                <w:spacing w:val="-1"/>
              </w:rPr>
              <w:t>厂</w:t>
            </w:r>
            <w:r>
              <w:rPr>
                <w:rFonts w:ascii="Times New Roman" w:hAnsi="Times New Roman" w:cs="Times New Roman"/>
                <w:color w:val="auto"/>
                <w:spacing w:val="-1"/>
              </w:rPr>
              <w:t>标准后进入贮存区进行贮存，污泥贮存于新建全封闭原料及污染土堆棚内，污染土</w:t>
            </w:r>
            <w:r>
              <w:rPr>
                <w:rFonts w:ascii="Times New Roman" w:hAnsi="Times New Roman" w:cs="Times New Roman" w:hint="eastAsia"/>
                <w:color w:val="auto"/>
                <w:spacing w:val="-1"/>
              </w:rPr>
              <w:t>贮存在砂岩联合堆棚、临时污染土贮存仓库及污染土暂存库中，所有</w:t>
            </w:r>
            <w:r>
              <w:rPr>
                <w:rFonts w:ascii="Times New Roman" w:hAnsi="Times New Roman" w:cs="Times New Roman"/>
                <w:color w:val="auto"/>
                <w:spacing w:val="-1"/>
              </w:rPr>
              <w:t>堆棚</w:t>
            </w:r>
            <w:r>
              <w:rPr>
                <w:rFonts w:ascii="Times New Roman" w:hAnsi="Times New Roman" w:cs="Times New Roman" w:hint="eastAsia"/>
                <w:color w:val="auto"/>
                <w:spacing w:val="-1"/>
              </w:rPr>
              <w:t>及暂存库</w:t>
            </w:r>
            <w:r>
              <w:rPr>
                <w:rFonts w:ascii="Times New Roman" w:hAnsi="Times New Roman" w:cs="Times New Roman"/>
                <w:color w:val="auto"/>
                <w:spacing w:val="-1"/>
              </w:rPr>
              <w:t>为封闭钢结构，设置防雨、防风、防晒、防渗结构</w:t>
            </w:r>
            <w:r>
              <w:rPr>
                <w:rFonts w:ascii="Times New Roman" w:hAnsi="Times New Roman" w:cs="Times New Roman" w:hint="eastAsia"/>
                <w:color w:val="auto"/>
                <w:spacing w:val="-1"/>
              </w:rPr>
              <w:t>，</w:t>
            </w:r>
            <w:r>
              <w:rPr>
                <w:rFonts w:ascii="Times New Roman" w:hAnsi="Times New Roman" w:cs="Times New Roman"/>
                <w:color w:val="auto"/>
                <w:spacing w:val="-1"/>
              </w:rPr>
              <w:t>实行分区堆放、标识管理，地面采用防渗混凝土硬化，并设置导流沟与莱茵池，对物料淋溶水、渗滤液及初期雨水进行全收集。原料及污染土堆棚内配置</w:t>
            </w:r>
            <w:r>
              <w:rPr>
                <w:rFonts w:ascii="Times New Roman" w:hAnsi="Times New Roman" w:cs="Times New Roman" w:hint="eastAsia"/>
                <w:color w:val="auto"/>
                <w:spacing w:val="-1"/>
              </w:rPr>
              <w:t>高压雾化喷淋系统</w:t>
            </w:r>
            <w:r>
              <w:rPr>
                <w:rFonts w:ascii="Times New Roman" w:hAnsi="Times New Roman" w:cs="Times New Roman"/>
                <w:color w:val="auto"/>
                <w:spacing w:val="-1"/>
              </w:rPr>
              <w:t>，控制粉尘与异味释放。物料遵循先进先出、快速周转原则，堆存时间不超过</w:t>
            </w:r>
            <w:r>
              <w:rPr>
                <w:rFonts w:ascii="Times New Roman" w:hAnsi="Times New Roman" w:cs="Times New Roman"/>
                <w:color w:val="auto"/>
                <w:spacing w:val="-1"/>
              </w:rPr>
              <w:t>72</w:t>
            </w:r>
            <w:r>
              <w:rPr>
                <w:rFonts w:ascii="Times New Roman" w:hAnsi="Times New Roman" w:cs="Times New Roman"/>
                <w:color w:val="auto"/>
                <w:spacing w:val="-1"/>
              </w:rPr>
              <w:t>小时。</w:t>
            </w:r>
          </w:p>
          <w:p w14:paraId="4E808A4E"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一般固废暂存场所设置和贮存需满足《一般工业固体废物贮存和填埋污染控制标准》（</w:t>
            </w:r>
            <w:r>
              <w:rPr>
                <w:rFonts w:ascii="Times New Roman" w:hAnsi="Times New Roman" w:cs="Times New Roman"/>
                <w:color w:val="auto"/>
                <w:spacing w:val="-1"/>
              </w:rPr>
              <w:t>GB18599-2020</w:t>
            </w:r>
            <w:r>
              <w:rPr>
                <w:rFonts w:ascii="Times New Roman" w:hAnsi="Times New Roman" w:cs="Times New Roman"/>
                <w:color w:val="auto"/>
                <w:spacing w:val="-1"/>
              </w:rPr>
              <w:t>）的要求进行建设。贮存面积在按正常贮存需要考虑的同时，还将满足应急情况对贮存面积的需求。</w:t>
            </w:r>
          </w:p>
          <w:p w14:paraId="3446AD13" w14:textId="77777777" w:rsidR="00F76A63" w:rsidRDefault="00000000">
            <w:pPr>
              <w:adjustRightInd w:val="0"/>
              <w:snapToGrid w:val="0"/>
              <w:spacing w:line="500" w:lineRule="exact"/>
              <w:ind w:firstLineChars="200" w:firstLine="482"/>
              <w:jc w:val="left"/>
              <w:rPr>
                <w:b/>
                <w:sz w:val="24"/>
              </w:rPr>
            </w:pPr>
            <w:r>
              <w:rPr>
                <w:b/>
                <w:sz w:val="24"/>
              </w:rPr>
              <w:t>（</w:t>
            </w:r>
            <w:r>
              <w:rPr>
                <w:b/>
                <w:sz w:val="24"/>
              </w:rPr>
              <w:t>2</w:t>
            </w:r>
            <w:r>
              <w:rPr>
                <w:b/>
                <w:sz w:val="24"/>
              </w:rPr>
              <w:t>）进厂</w:t>
            </w:r>
            <w:r>
              <w:rPr>
                <w:b/>
                <w:spacing w:val="-6"/>
                <w:sz w:val="24"/>
              </w:rPr>
              <w:t>固废内控标准</w:t>
            </w:r>
          </w:p>
          <w:p w14:paraId="166A8A78" w14:textId="77777777" w:rsidR="00F76A63" w:rsidRDefault="00000000">
            <w:pPr>
              <w:adjustRightInd w:val="0"/>
              <w:snapToGrid w:val="0"/>
              <w:spacing w:line="500" w:lineRule="exact"/>
              <w:ind w:firstLineChars="200" w:firstLine="480"/>
              <w:rPr>
                <w:sz w:val="24"/>
              </w:rPr>
            </w:pPr>
            <w:r>
              <w:rPr>
                <w:sz w:val="24"/>
              </w:rPr>
              <w:t>为确保水泥熟料中的相关成分符合产品标准，重金属含量满足《水泥窑协同处置固体废物环境保护技术规范》（</w:t>
            </w:r>
            <w:r>
              <w:rPr>
                <w:sz w:val="24"/>
              </w:rPr>
              <w:t>HJ662-2013</w:t>
            </w:r>
            <w:r>
              <w:rPr>
                <w:sz w:val="24"/>
              </w:rPr>
              <w:t>）《水泥窑协同处置固体废物技术规范》（</w:t>
            </w:r>
            <w:r>
              <w:rPr>
                <w:sz w:val="24"/>
              </w:rPr>
              <w:t>GB/T 30760-2024</w:t>
            </w:r>
            <w:r>
              <w:rPr>
                <w:sz w:val="24"/>
              </w:rPr>
              <w:t>）相关要求，将污染土、污泥按照生料中</w:t>
            </w:r>
            <w:r>
              <w:rPr>
                <w:sz w:val="24"/>
              </w:rPr>
              <w:t>5%</w:t>
            </w:r>
            <w:r>
              <w:rPr>
                <w:sz w:val="24"/>
              </w:rPr>
              <w:t>比例掺入，经过计算进厂固体废物的化学成分应满足下表的要求，进厂标准由句容台泥控制。</w:t>
            </w:r>
          </w:p>
          <w:p w14:paraId="104EEBE6" w14:textId="77777777" w:rsidR="00F76A63" w:rsidRDefault="00000000">
            <w:pPr>
              <w:adjustRightInd w:val="0"/>
              <w:snapToGrid w:val="0"/>
              <w:spacing w:line="500" w:lineRule="exact"/>
              <w:jc w:val="center"/>
              <w:rPr>
                <w:b/>
                <w:spacing w:val="-6"/>
                <w:sz w:val="24"/>
              </w:rPr>
            </w:pPr>
            <w:r>
              <w:rPr>
                <w:b/>
                <w:spacing w:val="-6"/>
                <w:sz w:val="24"/>
              </w:rPr>
              <w:t>表</w:t>
            </w:r>
            <w:r>
              <w:rPr>
                <w:b/>
                <w:spacing w:val="-6"/>
                <w:sz w:val="24"/>
              </w:rPr>
              <w:t>2-3</w:t>
            </w:r>
            <w:r>
              <w:rPr>
                <w:rFonts w:hint="eastAsia"/>
                <w:b/>
                <w:spacing w:val="-6"/>
                <w:sz w:val="24"/>
              </w:rPr>
              <w:t>3</w:t>
            </w:r>
            <w:r>
              <w:rPr>
                <w:b/>
                <w:spacing w:val="-6"/>
                <w:sz w:val="24"/>
              </w:rPr>
              <w:t xml:space="preserve">  </w:t>
            </w:r>
            <w:r>
              <w:rPr>
                <w:b/>
                <w:spacing w:val="-6"/>
                <w:sz w:val="24"/>
              </w:rPr>
              <w:t>进厂固废内控标准</w:t>
            </w:r>
          </w:p>
          <w:tbl>
            <w:tblPr>
              <w:tblStyle w:val="TableNormal"/>
              <w:tblW w:w="5000" w:type="pct"/>
              <w:jc w:val="center"/>
              <w:tblInd w:w="0" w:type="dxa"/>
              <w:tblBorders>
                <w:top w:val="single" w:sz="12" w:space="0" w:color="000000"/>
                <w:bottom w:val="single" w:sz="12" w:space="0" w:color="000000"/>
                <w:insideH w:val="single" w:sz="2" w:space="0" w:color="000000"/>
                <w:insideV w:val="single" w:sz="2" w:space="0" w:color="000000"/>
              </w:tblBorders>
              <w:tblLook w:val="04A0" w:firstRow="1" w:lastRow="0" w:firstColumn="1" w:lastColumn="0" w:noHBand="0" w:noVBand="1"/>
            </w:tblPr>
            <w:tblGrid>
              <w:gridCol w:w="1634"/>
              <w:gridCol w:w="2334"/>
              <w:gridCol w:w="1352"/>
              <w:gridCol w:w="1722"/>
              <w:gridCol w:w="1344"/>
            </w:tblGrid>
            <w:tr w:rsidR="00F76A63" w14:paraId="59FEFBAF" w14:textId="77777777">
              <w:trPr>
                <w:trHeight w:val="555"/>
                <w:jc w:val="center"/>
              </w:trPr>
              <w:tc>
                <w:tcPr>
                  <w:tcW w:w="1617" w:type="dxa"/>
                  <w:vAlign w:val="center"/>
                </w:tcPr>
                <w:p w14:paraId="3EBC82E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9"/>
                      <w:sz w:val="21"/>
                      <w:szCs w:val="21"/>
                    </w:rPr>
                    <w:t>化学成分</w:t>
                  </w:r>
                </w:p>
              </w:tc>
              <w:tc>
                <w:tcPr>
                  <w:tcW w:w="2309" w:type="dxa"/>
                  <w:vAlign w:val="center"/>
                </w:tcPr>
                <w:p w14:paraId="60F712DD" w14:textId="77777777" w:rsidR="00F76A63" w:rsidRDefault="00000000">
                  <w:pPr>
                    <w:pStyle w:val="TableText"/>
                    <w:jc w:val="center"/>
                    <w:rPr>
                      <w:rFonts w:ascii="Times New Roman" w:eastAsia="Times New Roman" w:hAnsi="Times New Roman" w:cs="Times New Roman"/>
                      <w:color w:val="auto"/>
                      <w:sz w:val="21"/>
                      <w:szCs w:val="21"/>
                    </w:rPr>
                  </w:pPr>
                  <w:r>
                    <w:rPr>
                      <w:rFonts w:ascii="Times New Roman" w:eastAsia="Times New Roman" w:hAnsi="Times New Roman" w:cs="Times New Roman"/>
                      <w:b/>
                      <w:bCs/>
                      <w:color w:val="auto"/>
                      <w:sz w:val="21"/>
                      <w:szCs w:val="21"/>
                    </w:rPr>
                    <w:t>GB</w:t>
                  </w:r>
                  <w:r>
                    <w:rPr>
                      <w:rFonts w:ascii="Times New Roman" w:eastAsiaTheme="minorEastAsia" w:hAnsi="Times New Roman" w:cs="Times New Roman"/>
                      <w:b/>
                      <w:bCs/>
                      <w:color w:val="auto"/>
                      <w:sz w:val="21"/>
                      <w:szCs w:val="21"/>
                    </w:rPr>
                    <w:t xml:space="preserve"> </w:t>
                  </w:r>
                  <w:r>
                    <w:rPr>
                      <w:rFonts w:ascii="Times New Roman" w:eastAsia="Times New Roman" w:hAnsi="Times New Roman" w:cs="Times New Roman"/>
                      <w:b/>
                      <w:bCs/>
                      <w:color w:val="auto"/>
                      <w:spacing w:val="9"/>
                      <w:sz w:val="21"/>
                      <w:szCs w:val="21"/>
                    </w:rPr>
                    <w:t>30760</w:t>
                  </w:r>
                  <w:r>
                    <w:rPr>
                      <w:rFonts w:ascii="Times New Roman" w:hAnsi="Times New Roman" w:cs="Times New Roman"/>
                      <w:b/>
                      <w:bCs/>
                      <w:color w:val="auto"/>
                      <w:spacing w:val="9"/>
                      <w:sz w:val="21"/>
                      <w:szCs w:val="21"/>
                    </w:rPr>
                    <w:t>表</w:t>
                  </w:r>
                  <w:r>
                    <w:rPr>
                      <w:rFonts w:ascii="Times New Roman" w:eastAsiaTheme="minorEastAsia" w:hAnsi="Times New Roman" w:cs="Times New Roman"/>
                      <w:b/>
                      <w:bCs/>
                      <w:color w:val="auto"/>
                      <w:spacing w:val="9"/>
                      <w:sz w:val="21"/>
                      <w:szCs w:val="21"/>
                    </w:rPr>
                    <w:t>1</w:t>
                  </w:r>
                  <w:r>
                    <w:rPr>
                      <w:rFonts w:ascii="Times New Roman" w:hAnsi="Times New Roman" w:cs="Times New Roman"/>
                      <w:b/>
                      <w:bCs/>
                      <w:color w:val="auto"/>
                      <w:spacing w:val="9"/>
                      <w:sz w:val="21"/>
                      <w:szCs w:val="21"/>
                    </w:rPr>
                    <w:t>参考限值</w:t>
                  </w:r>
                  <w:r>
                    <w:rPr>
                      <w:rFonts w:ascii="Times New Roman" w:eastAsia="Times New Roman" w:hAnsi="Times New Roman" w:cs="Times New Roman"/>
                      <w:b/>
                      <w:bCs/>
                      <w:color w:val="auto"/>
                      <w:spacing w:val="9"/>
                      <w:sz w:val="21"/>
                      <w:szCs w:val="21"/>
                    </w:rPr>
                    <w:t>/</w:t>
                  </w:r>
                </w:p>
                <w:p w14:paraId="019B898C"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10"/>
                      <w:sz w:val="21"/>
                      <w:szCs w:val="21"/>
                    </w:rPr>
                    <w:t>（</w:t>
                  </w:r>
                  <w:r>
                    <w:rPr>
                      <w:rFonts w:ascii="Times New Roman" w:eastAsia="Times New Roman" w:hAnsi="Times New Roman" w:cs="Times New Roman"/>
                      <w:b/>
                      <w:bCs/>
                      <w:color w:val="auto"/>
                      <w:sz w:val="21"/>
                      <w:szCs w:val="21"/>
                    </w:rPr>
                    <w:t>mg</w:t>
                  </w:r>
                  <w:r>
                    <w:rPr>
                      <w:rFonts w:ascii="Times New Roman" w:eastAsia="Times New Roman" w:hAnsi="Times New Roman" w:cs="Times New Roman"/>
                      <w:b/>
                      <w:bCs/>
                      <w:color w:val="auto"/>
                      <w:spacing w:val="10"/>
                      <w:sz w:val="21"/>
                      <w:szCs w:val="21"/>
                    </w:rPr>
                    <w:t>/</w:t>
                  </w:r>
                  <w:r>
                    <w:rPr>
                      <w:rFonts w:ascii="Times New Roman" w:eastAsia="Times New Roman" w:hAnsi="Times New Roman" w:cs="Times New Roman"/>
                      <w:b/>
                      <w:bCs/>
                      <w:color w:val="auto"/>
                      <w:sz w:val="21"/>
                      <w:szCs w:val="21"/>
                    </w:rPr>
                    <w:t>kg</w:t>
                  </w:r>
                  <w:r>
                    <w:rPr>
                      <w:rFonts w:ascii="Times New Roman" w:hAnsi="Times New Roman" w:cs="Times New Roman"/>
                      <w:b/>
                      <w:bCs/>
                      <w:color w:val="auto"/>
                      <w:spacing w:val="10"/>
                      <w:sz w:val="21"/>
                      <w:szCs w:val="21"/>
                    </w:rPr>
                    <w:t>）</w:t>
                  </w:r>
                </w:p>
              </w:tc>
              <w:tc>
                <w:tcPr>
                  <w:tcW w:w="1337" w:type="dxa"/>
                  <w:vAlign w:val="center"/>
                </w:tcPr>
                <w:p w14:paraId="46F86A7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10"/>
                      <w:sz w:val="21"/>
                      <w:szCs w:val="21"/>
                    </w:rPr>
                    <w:t>生料中固废掺</w:t>
                  </w:r>
                  <w:r>
                    <w:rPr>
                      <w:rFonts w:ascii="Times New Roman" w:hAnsi="Times New Roman" w:cs="Times New Roman"/>
                      <w:b/>
                      <w:bCs/>
                      <w:color w:val="auto"/>
                      <w:spacing w:val="6"/>
                      <w:sz w:val="21"/>
                      <w:szCs w:val="21"/>
                    </w:rPr>
                    <w:t>入量</w:t>
                  </w:r>
                </w:p>
              </w:tc>
              <w:tc>
                <w:tcPr>
                  <w:tcW w:w="1703" w:type="dxa"/>
                  <w:vAlign w:val="center"/>
                </w:tcPr>
                <w:p w14:paraId="431A4B2D" w14:textId="77777777" w:rsidR="00F76A63" w:rsidRDefault="00000000">
                  <w:pPr>
                    <w:pStyle w:val="TableText"/>
                    <w:jc w:val="center"/>
                    <w:rPr>
                      <w:rFonts w:ascii="Times New Roman" w:hAnsi="Times New Roman" w:cs="Times New Roman"/>
                      <w:b/>
                      <w:bCs/>
                      <w:color w:val="auto"/>
                      <w:spacing w:val="3"/>
                      <w:sz w:val="21"/>
                      <w:szCs w:val="21"/>
                    </w:rPr>
                  </w:pPr>
                  <w:r>
                    <w:rPr>
                      <w:rFonts w:ascii="Times New Roman" w:hAnsi="Times New Roman" w:cs="Times New Roman"/>
                      <w:b/>
                      <w:bCs/>
                      <w:color w:val="auto"/>
                      <w:spacing w:val="7"/>
                      <w:sz w:val="21"/>
                      <w:szCs w:val="21"/>
                    </w:rPr>
                    <w:t>固废中最大限</w:t>
                  </w:r>
                  <w:r>
                    <w:rPr>
                      <w:rFonts w:ascii="Times New Roman" w:hAnsi="Times New Roman" w:cs="Times New Roman"/>
                      <w:b/>
                      <w:bCs/>
                      <w:color w:val="auto"/>
                      <w:spacing w:val="3"/>
                      <w:sz w:val="21"/>
                      <w:szCs w:val="21"/>
                    </w:rPr>
                    <w:t>值</w:t>
                  </w:r>
                </w:p>
                <w:p w14:paraId="62C2D5C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3"/>
                      <w:sz w:val="21"/>
                      <w:szCs w:val="21"/>
                    </w:rPr>
                    <w:t>（</w:t>
                  </w:r>
                  <w:r>
                    <w:rPr>
                      <w:rFonts w:ascii="Times New Roman" w:hAnsi="Times New Roman" w:cs="Times New Roman"/>
                      <w:color w:val="auto"/>
                      <w:spacing w:val="-58"/>
                      <w:sz w:val="21"/>
                      <w:szCs w:val="21"/>
                    </w:rPr>
                    <w:t xml:space="preserve"> </w:t>
                  </w:r>
                  <w:r>
                    <w:rPr>
                      <w:rFonts w:ascii="Times New Roman" w:eastAsia="Times New Roman" w:hAnsi="Times New Roman" w:cs="Times New Roman"/>
                      <w:b/>
                      <w:bCs/>
                      <w:color w:val="auto"/>
                      <w:sz w:val="21"/>
                      <w:szCs w:val="21"/>
                    </w:rPr>
                    <w:t>mg</w:t>
                  </w:r>
                  <w:r>
                    <w:rPr>
                      <w:rFonts w:ascii="Times New Roman" w:eastAsia="Times New Roman" w:hAnsi="Times New Roman" w:cs="Times New Roman"/>
                      <w:b/>
                      <w:bCs/>
                      <w:color w:val="auto"/>
                      <w:spacing w:val="3"/>
                      <w:sz w:val="21"/>
                      <w:szCs w:val="21"/>
                    </w:rPr>
                    <w:t>/</w:t>
                  </w:r>
                  <w:r>
                    <w:rPr>
                      <w:rFonts w:ascii="Times New Roman" w:eastAsia="Times New Roman" w:hAnsi="Times New Roman" w:cs="Times New Roman"/>
                      <w:b/>
                      <w:bCs/>
                      <w:color w:val="auto"/>
                      <w:sz w:val="21"/>
                      <w:szCs w:val="21"/>
                    </w:rPr>
                    <w:t>kg</w:t>
                  </w:r>
                  <w:r>
                    <w:rPr>
                      <w:rFonts w:ascii="Times New Roman" w:hAnsi="Times New Roman" w:cs="Times New Roman"/>
                      <w:b/>
                      <w:bCs/>
                      <w:color w:val="auto"/>
                      <w:spacing w:val="3"/>
                      <w:sz w:val="21"/>
                      <w:szCs w:val="21"/>
                    </w:rPr>
                    <w:t>）</w:t>
                  </w:r>
                </w:p>
              </w:tc>
              <w:tc>
                <w:tcPr>
                  <w:tcW w:w="1329" w:type="dxa"/>
                  <w:vAlign w:val="center"/>
                </w:tcPr>
                <w:p w14:paraId="678F8090" w14:textId="77777777" w:rsidR="00F76A63" w:rsidRDefault="00000000">
                  <w:pPr>
                    <w:pStyle w:val="TableText"/>
                    <w:jc w:val="center"/>
                    <w:rPr>
                      <w:rFonts w:ascii="Times New Roman" w:hAnsi="Times New Roman" w:cs="Times New Roman"/>
                      <w:b/>
                      <w:bCs/>
                      <w:color w:val="auto"/>
                      <w:spacing w:val="3"/>
                      <w:sz w:val="21"/>
                      <w:szCs w:val="21"/>
                    </w:rPr>
                  </w:pPr>
                  <w:r>
                    <w:rPr>
                      <w:rFonts w:ascii="Times New Roman" w:hAnsi="Times New Roman" w:cs="Times New Roman"/>
                      <w:b/>
                      <w:bCs/>
                      <w:color w:val="auto"/>
                      <w:spacing w:val="3"/>
                      <w:sz w:val="21"/>
                      <w:szCs w:val="21"/>
                    </w:rPr>
                    <w:t>内控标准</w:t>
                  </w:r>
                </w:p>
                <w:p w14:paraId="074415A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8"/>
                      <w:sz w:val="21"/>
                      <w:szCs w:val="21"/>
                    </w:rPr>
                    <w:t>（</w:t>
                  </w:r>
                  <w:r>
                    <w:rPr>
                      <w:rFonts w:ascii="Times New Roman" w:eastAsia="Times New Roman" w:hAnsi="Times New Roman" w:cs="Times New Roman"/>
                      <w:b/>
                      <w:bCs/>
                      <w:color w:val="auto"/>
                      <w:sz w:val="21"/>
                      <w:szCs w:val="21"/>
                    </w:rPr>
                    <w:t>mg</w:t>
                  </w:r>
                  <w:r>
                    <w:rPr>
                      <w:rFonts w:ascii="Times New Roman" w:eastAsia="Times New Roman" w:hAnsi="Times New Roman" w:cs="Times New Roman"/>
                      <w:b/>
                      <w:bCs/>
                      <w:color w:val="auto"/>
                      <w:spacing w:val="8"/>
                      <w:sz w:val="21"/>
                      <w:szCs w:val="21"/>
                    </w:rPr>
                    <w:t>/</w:t>
                  </w:r>
                  <w:r>
                    <w:rPr>
                      <w:rFonts w:ascii="Times New Roman" w:eastAsia="Times New Roman" w:hAnsi="Times New Roman" w:cs="Times New Roman"/>
                      <w:b/>
                      <w:bCs/>
                      <w:color w:val="auto"/>
                      <w:sz w:val="21"/>
                      <w:szCs w:val="21"/>
                    </w:rPr>
                    <w:t>kg</w:t>
                  </w:r>
                  <w:r>
                    <w:rPr>
                      <w:rFonts w:ascii="Times New Roman" w:hAnsi="Times New Roman" w:cs="Times New Roman"/>
                      <w:b/>
                      <w:bCs/>
                      <w:color w:val="auto"/>
                      <w:spacing w:val="8"/>
                      <w:sz w:val="21"/>
                      <w:szCs w:val="21"/>
                    </w:rPr>
                    <w:t>）</w:t>
                  </w:r>
                </w:p>
              </w:tc>
            </w:tr>
            <w:tr w:rsidR="00F76A63" w14:paraId="1D528DDD" w14:textId="77777777">
              <w:trPr>
                <w:trHeight w:val="363"/>
                <w:jc w:val="center"/>
              </w:trPr>
              <w:tc>
                <w:tcPr>
                  <w:tcW w:w="1617" w:type="dxa"/>
                  <w:vAlign w:val="center"/>
                </w:tcPr>
                <w:p w14:paraId="260A50E0"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砷（</w:t>
                  </w:r>
                  <w:r>
                    <w:rPr>
                      <w:rFonts w:ascii="Times New Roman" w:eastAsia="Times New Roman" w:hAnsi="Times New Roman" w:cs="Times New Roman"/>
                      <w:color w:val="auto"/>
                      <w:sz w:val="21"/>
                      <w:szCs w:val="21"/>
                    </w:rPr>
                    <w:t>As</w:t>
                  </w:r>
                  <w:r>
                    <w:rPr>
                      <w:rFonts w:ascii="Times New Roman" w:hAnsi="Times New Roman" w:cs="Times New Roman"/>
                      <w:color w:val="auto"/>
                      <w:spacing w:val="11"/>
                      <w:sz w:val="21"/>
                      <w:szCs w:val="21"/>
                    </w:rPr>
                    <w:t>）</w:t>
                  </w:r>
                </w:p>
              </w:tc>
              <w:tc>
                <w:tcPr>
                  <w:tcW w:w="2309" w:type="dxa"/>
                  <w:vAlign w:val="center"/>
                </w:tcPr>
                <w:p w14:paraId="74CD7538" w14:textId="77777777" w:rsidR="00F76A63" w:rsidRDefault="00000000">
                  <w:pPr>
                    <w:jc w:val="center"/>
                    <w:rPr>
                      <w:rFonts w:eastAsia="Times New Roman"/>
                      <w:szCs w:val="21"/>
                    </w:rPr>
                  </w:pPr>
                  <w:r>
                    <w:rPr>
                      <w:rFonts w:eastAsia="Times New Roman"/>
                      <w:spacing w:val="2"/>
                      <w:szCs w:val="21"/>
                    </w:rPr>
                    <w:t>28</w:t>
                  </w:r>
                </w:p>
              </w:tc>
              <w:tc>
                <w:tcPr>
                  <w:tcW w:w="1337" w:type="dxa"/>
                  <w:vAlign w:val="center"/>
                </w:tcPr>
                <w:p w14:paraId="0916C901"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4A29CEF4" w14:textId="77777777" w:rsidR="00F76A63" w:rsidRDefault="00000000">
                  <w:pPr>
                    <w:jc w:val="center"/>
                    <w:rPr>
                      <w:rFonts w:eastAsia="Times New Roman"/>
                      <w:szCs w:val="21"/>
                    </w:rPr>
                  </w:pPr>
                  <w:r>
                    <w:rPr>
                      <w:rFonts w:eastAsia="Times New Roman"/>
                      <w:spacing w:val="3"/>
                      <w:szCs w:val="21"/>
                    </w:rPr>
                    <w:t>560</w:t>
                  </w:r>
                </w:p>
              </w:tc>
              <w:tc>
                <w:tcPr>
                  <w:tcW w:w="1329" w:type="dxa"/>
                  <w:vAlign w:val="center"/>
                </w:tcPr>
                <w:p w14:paraId="40F54B32" w14:textId="77777777" w:rsidR="00F76A63" w:rsidRDefault="00000000">
                  <w:pPr>
                    <w:jc w:val="center"/>
                    <w:rPr>
                      <w:rFonts w:eastAsia="Times New Roman"/>
                      <w:szCs w:val="21"/>
                    </w:rPr>
                  </w:pPr>
                  <w:r>
                    <w:rPr>
                      <w:rFonts w:eastAsia="Times New Roman"/>
                      <w:spacing w:val="7"/>
                      <w:szCs w:val="21"/>
                    </w:rPr>
                    <w:t>≤448</w:t>
                  </w:r>
                </w:p>
              </w:tc>
            </w:tr>
            <w:tr w:rsidR="00F76A63" w14:paraId="67ED6AD2" w14:textId="77777777">
              <w:trPr>
                <w:trHeight w:val="359"/>
                <w:jc w:val="center"/>
              </w:trPr>
              <w:tc>
                <w:tcPr>
                  <w:tcW w:w="1617" w:type="dxa"/>
                  <w:vAlign w:val="center"/>
                </w:tcPr>
                <w:p w14:paraId="031922D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9"/>
                      <w:sz w:val="21"/>
                      <w:szCs w:val="21"/>
                    </w:rPr>
                    <w:t>铅（</w:t>
                  </w:r>
                  <w:r>
                    <w:rPr>
                      <w:rFonts w:ascii="Times New Roman" w:eastAsia="Times New Roman" w:hAnsi="Times New Roman" w:cs="Times New Roman"/>
                      <w:color w:val="auto"/>
                      <w:sz w:val="21"/>
                      <w:szCs w:val="21"/>
                    </w:rPr>
                    <w:t>Pb</w:t>
                  </w:r>
                  <w:r>
                    <w:rPr>
                      <w:rFonts w:ascii="Times New Roman" w:hAnsi="Times New Roman" w:cs="Times New Roman"/>
                      <w:color w:val="auto"/>
                      <w:spacing w:val="9"/>
                      <w:sz w:val="21"/>
                      <w:szCs w:val="21"/>
                    </w:rPr>
                    <w:t>）</w:t>
                  </w:r>
                </w:p>
              </w:tc>
              <w:tc>
                <w:tcPr>
                  <w:tcW w:w="2309" w:type="dxa"/>
                  <w:vAlign w:val="center"/>
                </w:tcPr>
                <w:p w14:paraId="765962FF" w14:textId="77777777" w:rsidR="00F76A63" w:rsidRDefault="00000000">
                  <w:pPr>
                    <w:jc w:val="center"/>
                    <w:rPr>
                      <w:rFonts w:eastAsia="Times New Roman"/>
                      <w:szCs w:val="21"/>
                    </w:rPr>
                  </w:pPr>
                  <w:r>
                    <w:rPr>
                      <w:rFonts w:eastAsia="Times New Roman"/>
                      <w:szCs w:val="21"/>
                    </w:rPr>
                    <w:t>67</w:t>
                  </w:r>
                </w:p>
              </w:tc>
              <w:tc>
                <w:tcPr>
                  <w:tcW w:w="1337" w:type="dxa"/>
                  <w:vAlign w:val="center"/>
                </w:tcPr>
                <w:p w14:paraId="5E37BDE2"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1B7C7194" w14:textId="77777777" w:rsidR="00F76A63" w:rsidRDefault="00000000">
                  <w:pPr>
                    <w:jc w:val="center"/>
                    <w:rPr>
                      <w:rFonts w:eastAsia="Times New Roman"/>
                      <w:szCs w:val="21"/>
                    </w:rPr>
                  </w:pPr>
                  <w:r>
                    <w:rPr>
                      <w:rFonts w:eastAsia="Times New Roman"/>
                      <w:spacing w:val="1"/>
                      <w:szCs w:val="21"/>
                    </w:rPr>
                    <w:t>1340</w:t>
                  </w:r>
                </w:p>
              </w:tc>
              <w:tc>
                <w:tcPr>
                  <w:tcW w:w="1329" w:type="dxa"/>
                  <w:vAlign w:val="center"/>
                </w:tcPr>
                <w:p w14:paraId="101DF284" w14:textId="77777777" w:rsidR="00F76A63" w:rsidRDefault="00000000">
                  <w:pPr>
                    <w:jc w:val="center"/>
                    <w:rPr>
                      <w:rFonts w:eastAsia="Times New Roman"/>
                      <w:szCs w:val="21"/>
                    </w:rPr>
                  </w:pPr>
                  <w:r>
                    <w:rPr>
                      <w:rFonts w:eastAsia="Times New Roman"/>
                      <w:spacing w:val="6"/>
                      <w:szCs w:val="21"/>
                    </w:rPr>
                    <w:t>≤1072</w:t>
                  </w:r>
                </w:p>
              </w:tc>
            </w:tr>
            <w:tr w:rsidR="00F76A63" w14:paraId="2C675B1C" w14:textId="77777777">
              <w:trPr>
                <w:trHeight w:val="360"/>
                <w:jc w:val="center"/>
              </w:trPr>
              <w:tc>
                <w:tcPr>
                  <w:tcW w:w="1617" w:type="dxa"/>
                  <w:vAlign w:val="center"/>
                </w:tcPr>
                <w:p w14:paraId="1A27F55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镉（</w:t>
                  </w:r>
                  <w:r>
                    <w:rPr>
                      <w:rFonts w:ascii="Times New Roman" w:eastAsia="Times New Roman" w:hAnsi="Times New Roman" w:cs="Times New Roman"/>
                      <w:color w:val="auto"/>
                      <w:sz w:val="21"/>
                      <w:szCs w:val="21"/>
                    </w:rPr>
                    <w:t>Cd</w:t>
                  </w:r>
                  <w:r>
                    <w:rPr>
                      <w:rFonts w:ascii="Times New Roman" w:hAnsi="Times New Roman" w:cs="Times New Roman"/>
                      <w:color w:val="auto"/>
                      <w:spacing w:val="11"/>
                      <w:sz w:val="21"/>
                      <w:szCs w:val="21"/>
                    </w:rPr>
                    <w:t>）</w:t>
                  </w:r>
                </w:p>
              </w:tc>
              <w:tc>
                <w:tcPr>
                  <w:tcW w:w="2309" w:type="dxa"/>
                  <w:vAlign w:val="center"/>
                </w:tcPr>
                <w:p w14:paraId="09FB2E5F" w14:textId="77777777" w:rsidR="00F76A63" w:rsidRDefault="00000000">
                  <w:pPr>
                    <w:jc w:val="center"/>
                    <w:rPr>
                      <w:rFonts w:eastAsia="Times New Roman"/>
                      <w:szCs w:val="21"/>
                    </w:rPr>
                  </w:pPr>
                  <w:r>
                    <w:rPr>
                      <w:rFonts w:eastAsia="Times New Roman"/>
                      <w:szCs w:val="21"/>
                    </w:rPr>
                    <w:t>1</w:t>
                  </w:r>
                </w:p>
              </w:tc>
              <w:tc>
                <w:tcPr>
                  <w:tcW w:w="1337" w:type="dxa"/>
                  <w:vAlign w:val="center"/>
                </w:tcPr>
                <w:p w14:paraId="042EB55A"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0EEFF213" w14:textId="77777777" w:rsidR="00F76A63" w:rsidRDefault="00000000">
                  <w:pPr>
                    <w:jc w:val="center"/>
                    <w:rPr>
                      <w:rFonts w:eastAsia="Times New Roman"/>
                      <w:szCs w:val="21"/>
                    </w:rPr>
                  </w:pPr>
                  <w:r>
                    <w:rPr>
                      <w:rFonts w:eastAsia="Times New Roman"/>
                      <w:spacing w:val="4"/>
                      <w:szCs w:val="21"/>
                    </w:rPr>
                    <w:t>20</w:t>
                  </w:r>
                </w:p>
              </w:tc>
              <w:tc>
                <w:tcPr>
                  <w:tcW w:w="1329" w:type="dxa"/>
                  <w:vAlign w:val="center"/>
                </w:tcPr>
                <w:p w14:paraId="2626751B" w14:textId="77777777" w:rsidR="00F76A63" w:rsidRDefault="00000000">
                  <w:pPr>
                    <w:jc w:val="center"/>
                    <w:rPr>
                      <w:rFonts w:eastAsia="Times New Roman"/>
                      <w:szCs w:val="21"/>
                    </w:rPr>
                  </w:pPr>
                  <w:r>
                    <w:rPr>
                      <w:rFonts w:eastAsia="Times New Roman"/>
                      <w:spacing w:val="5"/>
                      <w:szCs w:val="21"/>
                    </w:rPr>
                    <w:t>≤16</w:t>
                  </w:r>
                </w:p>
              </w:tc>
            </w:tr>
            <w:tr w:rsidR="00F76A63" w14:paraId="171556AC" w14:textId="77777777">
              <w:trPr>
                <w:trHeight w:val="359"/>
                <w:jc w:val="center"/>
              </w:trPr>
              <w:tc>
                <w:tcPr>
                  <w:tcW w:w="1617" w:type="dxa"/>
                  <w:vAlign w:val="center"/>
                </w:tcPr>
                <w:p w14:paraId="141F13E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铬（</w:t>
                  </w:r>
                  <w:r>
                    <w:rPr>
                      <w:rFonts w:ascii="Times New Roman" w:eastAsia="Times New Roman" w:hAnsi="Times New Roman" w:cs="Times New Roman"/>
                      <w:color w:val="auto"/>
                      <w:sz w:val="21"/>
                      <w:szCs w:val="21"/>
                    </w:rPr>
                    <w:t>Cr</w:t>
                  </w:r>
                  <w:r>
                    <w:rPr>
                      <w:rFonts w:ascii="Times New Roman" w:hAnsi="Times New Roman" w:cs="Times New Roman"/>
                      <w:color w:val="auto"/>
                      <w:spacing w:val="11"/>
                      <w:sz w:val="21"/>
                      <w:szCs w:val="21"/>
                    </w:rPr>
                    <w:t>）</w:t>
                  </w:r>
                </w:p>
              </w:tc>
              <w:tc>
                <w:tcPr>
                  <w:tcW w:w="2309" w:type="dxa"/>
                  <w:vAlign w:val="center"/>
                </w:tcPr>
                <w:p w14:paraId="074B000D" w14:textId="77777777" w:rsidR="00F76A63" w:rsidRDefault="00000000">
                  <w:pPr>
                    <w:jc w:val="center"/>
                    <w:rPr>
                      <w:rFonts w:eastAsia="Times New Roman"/>
                      <w:szCs w:val="21"/>
                    </w:rPr>
                  </w:pPr>
                  <w:r>
                    <w:rPr>
                      <w:rFonts w:eastAsia="Times New Roman"/>
                      <w:szCs w:val="21"/>
                    </w:rPr>
                    <w:t>98</w:t>
                  </w:r>
                </w:p>
              </w:tc>
              <w:tc>
                <w:tcPr>
                  <w:tcW w:w="1337" w:type="dxa"/>
                  <w:vAlign w:val="center"/>
                </w:tcPr>
                <w:p w14:paraId="634DAD9D"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360A5766" w14:textId="77777777" w:rsidR="00F76A63" w:rsidRDefault="00000000">
                  <w:pPr>
                    <w:jc w:val="center"/>
                    <w:rPr>
                      <w:rFonts w:eastAsia="Times New Roman"/>
                      <w:szCs w:val="21"/>
                    </w:rPr>
                  </w:pPr>
                  <w:r>
                    <w:rPr>
                      <w:rFonts w:eastAsia="Times New Roman"/>
                      <w:spacing w:val="1"/>
                      <w:szCs w:val="21"/>
                    </w:rPr>
                    <w:t>1960</w:t>
                  </w:r>
                </w:p>
              </w:tc>
              <w:tc>
                <w:tcPr>
                  <w:tcW w:w="1329" w:type="dxa"/>
                  <w:vAlign w:val="center"/>
                </w:tcPr>
                <w:p w14:paraId="45C7A518" w14:textId="77777777" w:rsidR="00F76A63" w:rsidRDefault="00000000">
                  <w:pPr>
                    <w:jc w:val="center"/>
                    <w:rPr>
                      <w:rFonts w:eastAsia="Times New Roman"/>
                      <w:szCs w:val="21"/>
                    </w:rPr>
                  </w:pPr>
                  <w:r>
                    <w:rPr>
                      <w:rFonts w:eastAsia="Times New Roman"/>
                      <w:spacing w:val="6"/>
                      <w:szCs w:val="21"/>
                    </w:rPr>
                    <w:t>≤1568</w:t>
                  </w:r>
                </w:p>
              </w:tc>
            </w:tr>
            <w:tr w:rsidR="00F76A63" w14:paraId="4927D6A5" w14:textId="77777777">
              <w:trPr>
                <w:trHeight w:val="360"/>
                <w:jc w:val="center"/>
              </w:trPr>
              <w:tc>
                <w:tcPr>
                  <w:tcW w:w="1617" w:type="dxa"/>
                  <w:vAlign w:val="center"/>
                </w:tcPr>
                <w:p w14:paraId="28AACCD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铜（</w:t>
                  </w:r>
                  <w:r>
                    <w:rPr>
                      <w:rFonts w:ascii="Times New Roman" w:eastAsia="Times New Roman" w:hAnsi="Times New Roman" w:cs="Times New Roman"/>
                      <w:color w:val="auto"/>
                      <w:sz w:val="21"/>
                      <w:szCs w:val="21"/>
                    </w:rPr>
                    <w:t>Cu</w:t>
                  </w:r>
                  <w:r>
                    <w:rPr>
                      <w:rFonts w:ascii="Times New Roman" w:hAnsi="Times New Roman" w:cs="Times New Roman"/>
                      <w:color w:val="auto"/>
                      <w:spacing w:val="10"/>
                      <w:sz w:val="21"/>
                      <w:szCs w:val="21"/>
                    </w:rPr>
                    <w:t>）</w:t>
                  </w:r>
                </w:p>
              </w:tc>
              <w:tc>
                <w:tcPr>
                  <w:tcW w:w="2309" w:type="dxa"/>
                  <w:vAlign w:val="center"/>
                </w:tcPr>
                <w:p w14:paraId="3B8225F5" w14:textId="77777777" w:rsidR="00F76A63" w:rsidRDefault="00000000">
                  <w:pPr>
                    <w:jc w:val="center"/>
                    <w:rPr>
                      <w:rFonts w:eastAsia="Times New Roman"/>
                      <w:szCs w:val="21"/>
                    </w:rPr>
                  </w:pPr>
                  <w:r>
                    <w:rPr>
                      <w:rFonts w:eastAsia="Times New Roman"/>
                      <w:szCs w:val="21"/>
                    </w:rPr>
                    <w:t>65</w:t>
                  </w:r>
                </w:p>
              </w:tc>
              <w:tc>
                <w:tcPr>
                  <w:tcW w:w="1337" w:type="dxa"/>
                  <w:vAlign w:val="center"/>
                </w:tcPr>
                <w:p w14:paraId="0AF70285"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41286BFA" w14:textId="77777777" w:rsidR="00F76A63" w:rsidRDefault="00000000">
                  <w:pPr>
                    <w:jc w:val="center"/>
                    <w:rPr>
                      <w:rFonts w:eastAsia="Times New Roman"/>
                      <w:szCs w:val="21"/>
                    </w:rPr>
                  </w:pPr>
                  <w:r>
                    <w:rPr>
                      <w:rFonts w:eastAsia="Times New Roman"/>
                      <w:spacing w:val="1"/>
                      <w:szCs w:val="21"/>
                    </w:rPr>
                    <w:t>1300</w:t>
                  </w:r>
                </w:p>
              </w:tc>
              <w:tc>
                <w:tcPr>
                  <w:tcW w:w="1329" w:type="dxa"/>
                  <w:vAlign w:val="center"/>
                </w:tcPr>
                <w:p w14:paraId="46C3307C" w14:textId="77777777" w:rsidR="00F76A63" w:rsidRDefault="00000000">
                  <w:pPr>
                    <w:jc w:val="center"/>
                    <w:rPr>
                      <w:rFonts w:eastAsia="Times New Roman"/>
                      <w:szCs w:val="21"/>
                    </w:rPr>
                  </w:pPr>
                  <w:r>
                    <w:rPr>
                      <w:rFonts w:eastAsia="Times New Roman"/>
                      <w:spacing w:val="6"/>
                      <w:szCs w:val="21"/>
                    </w:rPr>
                    <w:t>≤1040</w:t>
                  </w:r>
                </w:p>
              </w:tc>
            </w:tr>
            <w:tr w:rsidR="00F76A63" w14:paraId="02D4AB6D" w14:textId="77777777">
              <w:trPr>
                <w:trHeight w:val="359"/>
                <w:jc w:val="center"/>
              </w:trPr>
              <w:tc>
                <w:tcPr>
                  <w:tcW w:w="1617" w:type="dxa"/>
                  <w:vAlign w:val="center"/>
                </w:tcPr>
                <w:p w14:paraId="18624A5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1"/>
                      <w:sz w:val="21"/>
                      <w:szCs w:val="21"/>
                    </w:rPr>
                    <w:t>镍（</w:t>
                  </w:r>
                  <w:r>
                    <w:rPr>
                      <w:rFonts w:ascii="Times New Roman" w:eastAsia="Times New Roman" w:hAnsi="Times New Roman" w:cs="Times New Roman"/>
                      <w:color w:val="auto"/>
                      <w:sz w:val="21"/>
                      <w:szCs w:val="21"/>
                    </w:rPr>
                    <w:t>Ni</w:t>
                  </w:r>
                  <w:r>
                    <w:rPr>
                      <w:rFonts w:ascii="Times New Roman" w:hAnsi="Times New Roman" w:cs="Times New Roman"/>
                      <w:color w:val="auto"/>
                      <w:spacing w:val="11"/>
                      <w:sz w:val="21"/>
                      <w:szCs w:val="21"/>
                    </w:rPr>
                    <w:t>）</w:t>
                  </w:r>
                </w:p>
              </w:tc>
              <w:tc>
                <w:tcPr>
                  <w:tcW w:w="2309" w:type="dxa"/>
                  <w:vAlign w:val="center"/>
                </w:tcPr>
                <w:p w14:paraId="0DCBA422" w14:textId="77777777" w:rsidR="00F76A63" w:rsidRDefault="00000000">
                  <w:pPr>
                    <w:jc w:val="center"/>
                    <w:rPr>
                      <w:rFonts w:eastAsia="Times New Roman"/>
                      <w:szCs w:val="21"/>
                    </w:rPr>
                  </w:pPr>
                  <w:r>
                    <w:rPr>
                      <w:rFonts w:eastAsia="Times New Roman"/>
                      <w:szCs w:val="21"/>
                    </w:rPr>
                    <w:t>66</w:t>
                  </w:r>
                </w:p>
              </w:tc>
              <w:tc>
                <w:tcPr>
                  <w:tcW w:w="1337" w:type="dxa"/>
                  <w:vAlign w:val="center"/>
                </w:tcPr>
                <w:p w14:paraId="586477BA"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2152106F" w14:textId="77777777" w:rsidR="00F76A63" w:rsidRDefault="00000000">
                  <w:pPr>
                    <w:jc w:val="center"/>
                    <w:rPr>
                      <w:rFonts w:eastAsia="Times New Roman"/>
                      <w:szCs w:val="21"/>
                    </w:rPr>
                  </w:pPr>
                  <w:r>
                    <w:rPr>
                      <w:rFonts w:eastAsia="Times New Roman"/>
                      <w:spacing w:val="1"/>
                      <w:szCs w:val="21"/>
                    </w:rPr>
                    <w:t>1320</w:t>
                  </w:r>
                </w:p>
              </w:tc>
              <w:tc>
                <w:tcPr>
                  <w:tcW w:w="1329" w:type="dxa"/>
                  <w:vAlign w:val="center"/>
                </w:tcPr>
                <w:p w14:paraId="644D4172" w14:textId="77777777" w:rsidR="00F76A63" w:rsidRDefault="00000000">
                  <w:pPr>
                    <w:jc w:val="center"/>
                    <w:rPr>
                      <w:rFonts w:eastAsia="Times New Roman"/>
                      <w:szCs w:val="21"/>
                    </w:rPr>
                  </w:pPr>
                  <w:r>
                    <w:rPr>
                      <w:rFonts w:eastAsia="Times New Roman"/>
                      <w:spacing w:val="6"/>
                      <w:szCs w:val="21"/>
                    </w:rPr>
                    <w:t>≤1056</w:t>
                  </w:r>
                </w:p>
              </w:tc>
            </w:tr>
            <w:tr w:rsidR="00F76A63" w14:paraId="4490B8EA" w14:textId="77777777">
              <w:trPr>
                <w:trHeight w:val="360"/>
                <w:jc w:val="center"/>
              </w:trPr>
              <w:tc>
                <w:tcPr>
                  <w:tcW w:w="1617" w:type="dxa"/>
                  <w:vAlign w:val="center"/>
                </w:tcPr>
                <w:p w14:paraId="33C1357D"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锌（</w:t>
                  </w:r>
                  <w:r>
                    <w:rPr>
                      <w:rFonts w:ascii="Times New Roman" w:eastAsia="Times New Roman" w:hAnsi="Times New Roman" w:cs="Times New Roman"/>
                      <w:color w:val="auto"/>
                      <w:sz w:val="21"/>
                      <w:szCs w:val="21"/>
                    </w:rPr>
                    <w:t>Zn</w:t>
                  </w:r>
                  <w:r>
                    <w:rPr>
                      <w:rFonts w:ascii="Times New Roman" w:hAnsi="Times New Roman" w:cs="Times New Roman"/>
                      <w:color w:val="auto"/>
                      <w:spacing w:val="10"/>
                      <w:sz w:val="21"/>
                      <w:szCs w:val="21"/>
                    </w:rPr>
                    <w:t>）</w:t>
                  </w:r>
                </w:p>
              </w:tc>
              <w:tc>
                <w:tcPr>
                  <w:tcW w:w="2309" w:type="dxa"/>
                  <w:vAlign w:val="center"/>
                </w:tcPr>
                <w:p w14:paraId="162DBB6E" w14:textId="77777777" w:rsidR="00F76A63" w:rsidRDefault="00000000">
                  <w:pPr>
                    <w:jc w:val="center"/>
                    <w:rPr>
                      <w:rFonts w:eastAsia="Times New Roman"/>
                      <w:szCs w:val="21"/>
                    </w:rPr>
                  </w:pPr>
                  <w:r>
                    <w:rPr>
                      <w:rFonts w:eastAsia="Times New Roman"/>
                      <w:spacing w:val="3"/>
                      <w:szCs w:val="21"/>
                    </w:rPr>
                    <w:t>361</w:t>
                  </w:r>
                </w:p>
              </w:tc>
              <w:tc>
                <w:tcPr>
                  <w:tcW w:w="1337" w:type="dxa"/>
                  <w:vAlign w:val="center"/>
                </w:tcPr>
                <w:p w14:paraId="737C2C38"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7DB9688F" w14:textId="77777777" w:rsidR="00F76A63" w:rsidRDefault="00000000">
                  <w:pPr>
                    <w:jc w:val="center"/>
                    <w:rPr>
                      <w:rFonts w:eastAsia="Times New Roman"/>
                      <w:szCs w:val="21"/>
                    </w:rPr>
                  </w:pPr>
                  <w:r>
                    <w:rPr>
                      <w:rFonts w:eastAsia="Times New Roman"/>
                      <w:spacing w:val="5"/>
                      <w:szCs w:val="21"/>
                    </w:rPr>
                    <w:t>7220</w:t>
                  </w:r>
                </w:p>
              </w:tc>
              <w:tc>
                <w:tcPr>
                  <w:tcW w:w="1329" w:type="dxa"/>
                  <w:vAlign w:val="center"/>
                </w:tcPr>
                <w:p w14:paraId="4CED3ED8" w14:textId="77777777" w:rsidR="00F76A63" w:rsidRDefault="00000000">
                  <w:pPr>
                    <w:jc w:val="center"/>
                    <w:rPr>
                      <w:rFonts w:eastAsia="Times New Roman"/>
                      <w:szCs w:val="21"/>
                    </w:rPr>
                  </w:pPr>
                  <w:r>
                    <w:rPr>
                      <w:rFonts w:eastAsia="Times New Roman"/>
                      <w:spacing w:val="6"/>
                      <w:szCs w:val="21"/>
                    </w:rPr>
                    <w:t>≤5776</w:t>
                  </w:r>
                </w:p>
              </w:tc>
            </w:tr>
            <w:tr w:rsidR="00F76A63" w14:paraId="3117130B" w14:textId="77777777">
              <w:trPr>
                <w:trHeight w:val="359"/>
                <w:jc w:val="center"/>
              </w:trPr>
              <w:tc>
                <w:tcPr>
                  <w:tcW w:w="1617" w:type="dxa"/>
                  <w:vAlign w:val="center"/>
                </w:tcPr>
                <w:p w14:paraId="7F12B7AE"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0"/>
                      <w:sz w:val="21"/>
                      <w:szCs w:val="21"/>
                    </w:rPr>
                    <w:t>锰（</w:t>
                  </w:r>
                  <w:r>
                    <w:rPr>
                      <w:rFonts w:ascii="Times New Roman" w:eastAsia="Times New Roman" w:hAnsi="Times New Roman" w:cs="Times New Roman"/>
                      <w:color w:val="auto"/>
                      <w:sz w:val="21"/>
                      <w:szCs w:val="21"/>
                    </w:rPr>
                    <w:t>Mn</w:t>
                  </w:r>
                  <w:r>
                    <w:rPr>
                      <w:rFonts w:ascii="Times New Roman" w:hAnsi="Times New Roman" w:cs="Times New Roman"/>
                      <w:color w:val="auto"/>
                      <w:spacing w:val="10"/>
                      <w:sz w:val="21"/>
                      <w:szCs w:val="21"/>
                    </w:rPr>
                    <w:t>）</w:t>
                  </w:r>
                </w:p>
              </w:tc>
              <w:tc>
                <w:tcPr>
                  <w:tcW w:w="2309" w:type="dxa"/>
                  <w:vAlign w:val="center"/>
                </w:tcPr>
                <w:p w14:paraId="0C1D83C7" w14:textId="77777777" w:rsidR="00F76A63" w:rsidRDefault="00000000">
                  <w:pPr>
                    <w:jc w:val="center"/>
                    <w:rPr>
                      <w:rFonts w:eastAsia="Times New Roman"/>
                      <w:szCs w:val="21"/>
                    </w:rPr>
                  </w:pPr>
                  <w:r>
                    <w:rPr>
                      <w:rFonts w:eastAsia="Times New Roman"/>
                      <w:spacing w:val="3"/>
                      <w:szCs w:val="21"/>
                    </w:rPr>
                    <w:t>384</w:t>
                  </w:r>
                </w:p>
              </w:tc>
              <w:tc>
                <w:tcPr>
                  <w:tcW w:w="1337" w:type="dxa"/>
                  <w:vAlign w:val="center"/>
                </w:tcPr>
                <w:p w14:paraId="63551C9E"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5337C37F" w14:textId="77777777" w:rsidR="00F76A63" w:rsidRDefault="00000000">
                  <w:pPr>
                    <w:jc w:val="center"/>
                    <w:rPr>
                      <w:rFonts w:eastAsia="Times New Roman"/>
                      <w:szCs w:val="21"/>
                    </w:rPr>
                  </w:pPr>
                  <w:r>
                    <w:rPr>
                      <w:rFonts w:eastAsia="Times New Roman"/>
                      <w:spacing w:val="5"/>
                      <w:szCs w:val="21"/>
                    </w:rPr>
                    <w:t>7680</w:t>
                  </w:r>
                </w:p>
              </w:tc>
              <w:tc>
                <w:tcPr>
                  <w:tcW w:w="1329" w:type="dxa"/>
                  <w:vAlign w:val="center"/>
                </w:tcPr>
                <w:p w14:paraId="1D53C0C5" w14:textId="77777777" w:rsidR="00F76A63" w:rsidRDefault="00000000">
                  <w:pPr>
                    <w:jc w:val="center"/>
                    <w:rPr>
                      <w:rFonts w:eastAsia="Times New Roman"/>
                      <w:szCs w:val="21"/>
                    </w:rPr>
                  </w:pPr>
                  <w:r>
                    <w:rPr>
                      <w:rFonts w:eastAsia="Times New Roman"/>
                      <w:spacing w:val="6"/>
                      <w:szCs w:val="21"/>
                    </w:rPr>
                    <w:t>≤6144</w:t>
                  </w:r>
                </w:p>
              </w:tc>
            </w:tr>
            <w:tr w:rsidR="00F76A63" w14:paraId="1D477FA9" w14:textId="77777777">
              <w:trPr>
                <w:trHeight w:val="360"/>
                <w:jc w:val="center"/>
              </w:trPr>
              <w:tc>
                <w:tcPr>
                  <w:tcW w:w="1617" w:type="dxa"/>
                  <w:vAlign w:val="center"/>
                </w:tcPr>
                <w:p w14:paraId="5D425FCA" w14:textId="77777777" w:rsidR="00F76A63" w:rsidRDefault="00000000">
                  <w:pPr>
                    <w:jc w:val="center"/>
                    <w:rPr>
                      <w:rFonts w:eastAsia="Times New Roman"/>
                      <w:szCs w:val="21"/>
                    </w:rPr>
                  </w:pPr>
                  <w:r>
                    <w:rPr>
                      <w:rFonts w:eastAsia="Times New Roman"/>
                      <w:szCs w:val="21"/>
                    </w:rPr>
                    <w:lastRenderedPageBreak/>
                    <w:t>Cl</w:t>
                  </w:r>
                  <w:r>
                    <w:rPr>
                      <w:rFonts w:eastAsia="Times New Roman"/>
                      <w:spacing w:val="12"/>
                      <w:position w:val="6"/>
                      <w:szCs w:val="21"/>
                    </w:rPr>
                    <w:t>-</w:t>
                  </w:r>
                </w:p>
              </w:tc>
              <w:tc>
                <w:tcPr>
                  <w:tcW w:w="2309" w:type="dxa"/>
                  <w:vAlign w:val="center"/>
                </w:tcPr>
                <w:p w14:paraId="5661BD92" w14:textId="77777777" w:rsidR="00F76A63" w:rsidRDefault="00000000">
                  <w:pPr>
                    <w:jc w:val="center"/>
                    <w:rPr>
                      <w:rFonts w:eastAsia="Times New Roman"/>
                      <w:szCs w:val="21"/>
                    </w:rPr>
                  </w:pPr>
                  <w:r>
                    <w:rPr>
                      <w:rFonts w:eastAsia="Times New Roman"/>
                      <w:spacing w:val="6"/>
                      <w:szCs w:val="21"/>
                    </w:rPr>
                    <w:t>≤0.04</w:t>
                  </w:r>
                </w:p>
              </w:tc>
              <w:tc>
                <w:tcPr>
                  <w:tcW w:w="1337" w:type="dxa"/>
                  <w:vAlign w:val="center"/>
                </w:tcPr>
                <w:p w14:paraId="7EB2672C"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1D2CFAB9" w14:textId="77777777" w:rsidR="00F76A63" w:rsidRDefault="00000000">
                  <w:pPr>
                    <w:jc w:val="center"/>
                    <w:rPr>
                      <w:rFonts w:eastAsia="Times New Roman"/>
                      <w:szCs w:val="21"/>
                    </w:rPr>
                  </w:pPr>
                  <w:r>
                    <w:rPr>
                      <w:rFonts w:eastAsia="Times New Roman"/>
                      <w:spacing w:val="2"/>
                      <w:szCs w:val="21"/>
                    </w:rPr>
                    <w:t>/</w:t>
                  </w:r>
                </w:p>
              </w:tc>
              <w:tc>
                <w:tcPr>
                  <w:tcW w:w="1329" w:type="dxa"/>
                  <w:vAlign w:val="center"/>
                </w:tcPr>
                <w:p w14:paraId="619B48DF" w14:textId="77777777" w:rsidR="00F76A63" w:rsidRDefault="00000000">
                  <w:pPr>
                    <w:jc w:val="center"/>
                    <w:rPr>
                      <w:rFonts w:eastAsia="Times New Roman"/>
                      <w:szCs w:val="21"/>
                    </w:rPr>
                  </w:pPr>
                  <w:r>
                    <w:rPr>
                      <w:rFonts w:eastAsia="Times New Roman"/>
                      <w:spacing w:val="7"/>
                      <w:szCs w:val="21"/>
                    </w:rPr>
                    <w:t>≤0.04%</w:t>
                  </w:r>
                </w:p>
              </w:tc>
            </w:tr>
            <w:tr w:rsidR="00F76A63" w14:paraId="02D8304F" w14:textId="77777777">
              <w:trPr>
                <w:trHeight w:val="360"/>
                <w:jc w:val="center"/>
              </w:trPr>
              <w:tc>
                <w:tcPr>
                  <w:tcW w:w="1617" w:type="dxa"/>
                  <w:vAlign w:val="center"/>
                </w:tcPr>
                <w:p w14:paraId="5AF93868" w14:textId="77777777" w:rsidR="00F76A63" w:rsidRDefault="00000000">
                  <w:pPr>
                    <w:jc w:val="center"/>
                    <w:rPr>
                      <w:rFonts w:eastAsia="Times New Roman"/>
                      <w:szCs w:val="21"/>
                    </w:rPr>
                  </w:pPr>
                  <w:r>
                    <w:rPr>
                      <w:rFonts w:eastAsia="Times New Roman"/>
                      <w:spacing w:val="3"/>
                      <w:szCs w:val="21"/>
                    </w:rPr>
                    <w:t>F</w:t>
                  </w:r>
                  <w:r>
                    <w:rPr>
                      <w:rFonts w:eastAsia="Times New Roman"/>
                      <w:spacing w:val="3"/>
                      <w:position w:val="6"/>
                      <w:szCs w:val="21"/>
                    </w:rPr>
                    <w:t>-</w:t>
                  </w:r>
                </w:p>
              </w:tc>
              <w:tc>
                <w:tcPr>
                  <w:tcW w:w="2309" w:type="dxa"/>
                  <w:vAlign w:val="center"/>
                </w:tcPr>
                <w:p w14:paraId="25F5C899" w14:textId="77777777" w:rsidR="00F76A63" w:rsidRDefault="00000000">
                  <w:pPr>
                    <w:jc w:val="center"/>
                    <w:rPr>
                      <w:rFonts w:eastAsia="Times New Roman"/>
                      <w:szCs w:val="21"/>
                    </w:rPr>
                  </w:pPr>
                  <w:r>
                    <w:rPr>
                      <w:rFonts w:eastAsia="Times New Roman"/>
                      <w:spacing w:val="5"/>
                      <w:szCs w:val="21"/>
                    </w:rPr>
                    <w:t>≤0.5</w:t>
                  </w:r>
                </w:p>
              </w:tc>
              <w:tc>
                <w:tcPr>
                  <w:tcW w:w="1337" w:type="dxa"/>
                  <w:vAlign w:val="center"/>
                </w:tcPr>
                <w:p w14:paraId="611D4EC0"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3C630C4B" w14:textId="77777777" w:rsidR="00F76A63" w:rsidRDefault="00000000">
                  <w:pPr>
                    <w:jc w:val="center"/>
                    <w:rPr>
                      <w:rFonts w:eastAsia="Times New Roman"/>
                      <w:szCs w:val="21"/>
                    </w:rPr>
                  </w:pPr>
                  <w:r>
                    <w:rPr>
                      <w:rFonts w:eastAsia="Times New Roman"/>
                      <w:spacing w:val="2"/>
                      <w:szCs w:val="21"/>
                    </w:rPr>
                    <w:t>/</w:t>
                  </w:r>
                </w:p>
              </w:tc>
              <w:tc>
                <w:tcPr>
                  <w:tcW w:w="1329" w:type="dxa"/>
                  <w:vAlign w:val="center"/>
                </w:tcPr>
                <w:p w14:paraId="3EDB6C58" w14:textId="77777777" w:rsidR="00F76A63" w:rsidRDefault="00000000">
                  <w:pPr>
                    <w:jc w:val="center"/>
                    <w:rPr>
                      <w:rFonts w:eastAsia="Times New Roman"/>
                      <w:szCs w:val="21"/>
                    </w:rPr>
                  </w:pPr>
                  <w:r>
                    <w:rPr>
                      <w:rFonts w:eastAsia="Times New Roman"/>
                      <w:spacing w:val="6"/>
                      <w:szCs w:val="21"/>
                    </w:rPr>
                    <w:t>≤0.5%</w:t>
                  </w:r>
                </w:p>
              </w:tc>
            </w:tr>
            <w:tr w:rsidR="00F76A63" w14:paraId="5C75CB61" w14:textId="77777777">
              <w:trPr>
                <w:trHeight w:val="564"/>
                <w:jc w:val="center"/>
              </w:trPr>
              <w:tc>
                <w:tcPr>
                  <w:tcW w:w="1617" w:type="dxa"/>
                  <w:vAlign w:val="center"/>
                </w:tcPr>
                <w:p w14:paraId="3AC1ECFD" w14:textId="77777777" w:rsidR="00F76A63" w:rsidRDefault="00000000">
                  <w:pPr>
                    <w:jc w:val="center"/>
                    <w:rPr>
                      <w:rFonts w:eastAsia="Times New Roman"/>
                      <w:szCs w:val="21"/>
                    </w:rPr>
                  </w:pPr>
                  <w:r>
                    <w:rPr>
                      <w:rFonts w:eastAsia="Times New Roman"/>
                      <w:szCs w:val="21"/>
                    </w:rPr>
                    <w:t>S</w:t>
                  </w:r>
                </w:p>
              </w:tc>
              <w:tc>
                <w:tcPr>
                  <w:tcW w:w="2309" w:type="dxa"/>
                  <w:vAlign w:val="center"/>
                </w:tcPr>
                <w:p w14:paraId="3CAD78C9" w14:textId="77777777" w:rsidR="00F76A63" w:rsidRDefault="00000000">
                  <w:pPr>
                    <w:pStyle w:val="TableText"/>
                    <w:jc w:val="center"/>
                    <w:rPr>
                      <w:rFonts w:ascii="Times New Roman" w:hAnsi="Times New Roman" w:cs="Times New Roman"/>
                      <w:color w:val="auto"/>
                      <w:sz w:val="21"/>
                      <w:szCs w:val="21"/>
                    </w:rPr>
                  </w:pPr>
                  <w:r>
                    <w:rPr>
                      <w:rFonts w:ascii="Times New Roman" w:eastAsia="Times New Roman" w:hAnsi="Times New Roman" w:cs="Times New Roman"/>
                      <w:color w:val="auto"/>
                      <w:spacing w:val="9"/>
                      <w:sz w:val="21"/>
                      <w:szCs w:val="21"/>
                    </w:rPr>
                    <w:t>≤0.014</w:t>
                  </w:r>
                  <w:r>
                    <w:rPr>
                      <w:rFonts w:ascii="Times New Roman" w:hAnsi="Times New Roman" w:cs="Times New Roman"/>
                      <w:color w:val="auto"/>
                      <w:spacing w:val="9"/>
                      <w:sz w:val="21"/>
                      <w:szCs w:val="21"/>
                    </w:rPr>
                    <w:t>配料中加入</w:t>
                  </w:r>
                </w:p>
              </w:tc>
              <w:tc>
                <w:tcPr>
                  <w:tcW w:w="1337" w:type="dxa"/>
                  <w:vAlign w:val="center"/>
                </w:tcPr>
                <w:p w14:paraId="65FF7D73"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157C9B18" w14:textId="77777777" w:rsidR="00F76A63" w:rsidRDefault="00000000">
                  <w:pPr>
                    <w:jc w:val="center"/>
                    <w:rPr>
                      <w:rFonts w:eastAsia="Times New Roman"/>
                      <w:szCs w:val="21"/>
                    </w:rPr>
                  </w:pPr>
                  <w:r>
                    <w:rPr>
                      <w:rFonts w:eastAsia="Times New Roman"/>
                      <w:spacing w:val="2"/>
                      <w:szCs w:val="21"/>
                    </w:rPr>
                    <w:t>/</w:t>
                  </w:r>
                </w:p>
              </w:tc>
              <w:tc>
                <w:tcPr>
                  <w:tcW w:w="1329" w:type="dxa"/>
                  <w:vAlign w:val="center"/>
                </w:tcPr>
                <w:p w14:paraId="685693ED" w14:textId="77777777" w:rsidR="00F76A63" w:rsidRDefault="00000000">
                  <w:pPr>
                    <w:pStyle w:val="TableText"/>
                    <w:jc w:val="center"/>
                    <w:rPr>
                      <w:rFonts w:ascii="Times New Roman" w:hAnsi="Times New Roman" w:cs="Times New Roman"/>
                      <w:color w:val="auto"/>
                      <w:sz w:val="21"/>
                      <w:szCs w:val="21"/>
                    </w:rPr>
                  </w:pPr>
                  <w:r>
                    <w:rPr>
                      <w:rFonts w:ascii="Times New Roman" w:eastAsia="Times New Roman" w:hAnsi="Times New Roman" w:cs="Times New Roman"/>
                      <w:color w:val="auto"/>
                      <w:spacing w:val="9"/>
                      <w:sz w:val="21"/>
                      <w:szCs w:val="21"/>
                    </w:rPr>
                    <w:t>≤0.014%</w:t>
                  </w:r>
                  <w:r>
                    <w:rPr>
                      <w:rFonts w:ascii="Times New Roman" w:hAnsi="Times New Roman" w:cs="Times New Roman"/>
                      <w:color w:val="auto"/>
                      <w:spacing w:val="9"/>
                      <w:sz w:val="21"/>
                      <w:szCs w:val="21"/>
                    </w:rPr>
                    <w:t>配料中</w:t>
                  </w:r>
                  <w:r>
                    <w:rPr>
                      <w:rFonts w:ascii="Times New Roman" w:hAnsi="Times New Roman" w:cs="Times New Roman"/>
                      <w:color w:val="auto"/>
                      <w:spacing w:val="7"/>
                      <w:sz w:val="21"/>
                      <w:szCs w:val="21"/>
                    </w:rPr>
                    <w:t>加入</w:t>
                  </w:r>
                </w:p>
              </w:tc>
            </w:tr>
            <w:tr w:rsidR="00F76A63" w14:paraId="4CFED0F7" w14:textId="77777777">
              <w:trPr>
                <w:trHeight w:val="392"/>
                <w:jc w:val="center"/>
              </w:trPr>
              <w:tc>
                <w:tcPr>
                  <w:tcW w:w="1617" w:type="dxa"/>
                  <w:vAlign w:val="center"/>
                </w:tcPr>
                <w:p w14:paraId="2E0831BD" w14:textId="77777777" w:rsidR="00F76A63" w:rsidRDefault="00000000">
                  <w:pPr>
                    <w:jc w:val="center"/>
                    <w:rPr>
                      <w:rFonts w:eastAsia="Times New Roman"/>
                      <w:szCs w:val="21"/>
                    </w:rPr>
                  </w:pPr>
                  <w:r>
                    <w:rPr>
                      <w:rFonts w:eastAsia="Times New Roman"/>
                      <w:spacing w:val="6"/>
                      <w:szCs w:val="21"/>
                    </w:rPr>
                    <w:t>MgO</w:t>
                  </w:r>
                </w:p>
              </w:tc>
              <w:tc>
                <w:tcPr>
                  <w:tcW w:w="2309" w:type="dxa"/>
                  <w:vAlign w:val="center"/>
                </w:tcPr>
                <w:p w14:paraId="0B68EFE9" w14:textId="77777777" w:rsidR="00F76A63" w:rsidRDefault="00000000">
                  <w:pPr>
                    <w:jc w:val="center"/>
                    <w:rPr>
                      <w:szCs w:val="21"/>
                    </w:rPr>
                  </w:pPr>
                  <w:r>
                    <w:rPr>
                      <w:szCs w:val="21"/>
                    </w:rPr>
                    <w:t>/</w:t>
                  </w:r>
                </w:p>
              </w:tc>
              <w:tc>
                <w:tcPr>
                  <w:tcW w:w="1337" w:type="dxa"/>
                  <w:vAlign w:val="center"/>
                </w:tcPr>
                <w:p w14:paraId="53C885BA" w14:textId="77777777" w:rsidR="00F76A63" w:rsidRDefault="00000000">
                  <w:pPr>
                    <w:jc w:val="center"/>
                    <w:rPr>
                      <w:rFonts w:eastAsia="Times New Roman"/>
                      <w:szCs w:val="21"/>
                    </w:rPr>
                  </w:pPr>
                  <w:r>
                    <w:rPr>
                      <w:rFonts w:eastAsia="Times New Roman"/>
                      <w:spacing w:val="5"/>
                      <w:szCs w:val="21"/>
                    </w:rPr>
                    <w:t>5.00%</w:t>
                  </w:r>
                </w:p>
              </w:tc>
              <w:tc>
                <w:tcPr>
                  <w:tcW w:w="1703" w:type="dxa"/>
                  <w:vAlign w:val="center"/>
                </w:tcPr>
                <w:p w14:paraId="4EBF005E" w14:textId="77777777" w:rsidR="00F76A63" w:rsidRDefault="00000000">
                  <w:pPr>
                    <w:jc w:val="center"/>
                    <w:rPr>
                      <w:rFonts w:eastAsia="Times New Roman"/>
                      <w:szCs w:val="21"/>
                    </w:rPr>
                  </w:pPr>
                  <w:r>
                    <w:rPr>
                      <w:rFonts w:eastAsia="Times New Roman"/>
                      <w:spacing w:val="2"/>
                      <w:szCs w:val="21"/>
                    </w:rPr>
                    <w:t>/</w:t>
                  </w:r>
                </w:p>
              </w:tc>
              <w:tc>
                <w:tcPr>
                  <w:tcW w:w="1329" w:type="dxa"/>
                  <w:vAlign w:val="center"/>
                </w:tcPr>
                <w:p w14:paraId="107E0126" w14:textId="77777777" w:rsidR="00F76A63" w:rsidRDefault="00000000">
                  <w:pPr>
                    <w:jc w:val="center"/>
                    <w:rPr>
                      <w:rFonts w:eastAsia="Times New Roman"/>
                      <w:szCs w:val="21"/>
                    </w:rPr>
                  </w:pPr>
                  <w:r>
                    <w:rPr>
                      <w:rFonts w:eastAsia="Times New Roman"/>
                      <w:spacing w:val="6"/>
                      <w:szCs w:val="21"/>
                    </w:rPr>
                    <w:t>≤3.0%</w:t>
                  </w:r>
                </w:p>
              </w:tc>
            </w:tr>
          </w:tbl>
          <w:p w14:paraId="66A37C7A" w14:textId="77777777" w:rsidR="00F76A63" w:rsidRDefault="00000000">
            <w:pPr>
              <w:pStyle w:val="TableText"/>
              <w:spacing w:line="500" w:lineRule="exact"/>
              <w:ind w:firstLine="480"/>
              <w:rPr>
                <w:rFonts w:ascii="Times New Roman" w:hAnsi="Times New Roman" w:cs="Times New Roman"/>
                <w:b/>
                <w:bCs/>
                <w:color w:val="auto"/>
              </w:rPr>
            </w:pPr>
            <w:r>
              <w:rPr>
                <w:rFonts w:ascii="Times New Roman" w:hAnsi="Times New Roman" w:cs="Times New Roman"/>
                <w:b/>
                <w:bCs/>
                <w:color w:val="auto"/>
              </w:rPr>
              <w:t>（</w:t>
            </w:r>
            <w:r>
              <w:rPr>
                <w:rFonts w:ascii="Times New Roman" w:hAnsi="Times New Roman" w:cs="Times New Roman"/>
                <w:b/>
                <w:bCs/>
                <w:color w:val="auto"/>
              </w:rPr>
              <w:t>3</w:t>
            </w:r>
            <w:r>
              <w:rPr>
                <w:rFonts w:ascii="Times New Roman" w:hAnsi="Times New Roman" w:cs="Times New Roman"/>
                <w:b/>
                <w:bCs/>
                <w:color w:val="auto"/>
              </w:rPr>
              <w:t>）</w:t>
            </w:r>
            <w:r>
              <w:rPr>
                <w:rFonts w:ascii="Times New Roman" w:hAnsi="Times New Roman" w:cs="Times New Roman" w:hint="eastAsia"/>
                <w:b/>
                <w:bCs/>
                <w:color w:val="auto"/>
              </w:rPr>
              <w:t>配伍方案</w:t>
            </w:r>
          </w:p>
          <w:p w14:paraId="28EB51FA" w14:textId="77777777" w:rsidR="00F76A63" w:rsidRDefault="00000000">
            <w:pPr>
              <w:pStyle w:val="TableText"/>
              <w:spacing w:line="500" w:lineRule="exact"/>
              <w:ind w:firstLine="480"/>
              <w:rPr>
                <w:rFonts w:ascii="Times New Roman" w:hAnsi="Times New Roman" w:cs="Times New Roman"/>
                <w:color w:val="auto"/>
              </w:rPr>
            </w:pPr>
            <w:r>
              <w:rPr>
                <w:rFonts w:ascii="Times New Roman" w:hAnsi="Times New Roman" w:cs="Times New Roman"/>
                <w:color w:val="auto"/>
              </w:rPr>
              <w:t>依据《水泥窑协同处置固体废物技术规范》（</w:t>
            </w:r>
            <w:r>
              <w:rPr>
                <w:rFonts w:ascii="Times New Roman" w:hAnsi="Times New Roman" w:cs="Times New Roman"/>
                <w:color w:val="auto"/>
              </w:rPr>
              <w:t>GB/T 30760-2024</w:t>
            </w:r>
            <w:r>
              <w:rPr>
                <w:rFonts w:ascii="Times New Roman" w:hAnsi="Times New Roman" w:cs="Times New Roman"/>
                <w:color w:val="auto"/>
              </w:rPr>
              <w:t>）要求，协同处置固体废物总掺配量不宜超过水泥熟料日产量的</w:t>
            </w:r>
            <w:r>
              <w:rPr>
                <w:rFonts w:ascii="Times New Roman" w:hAnsi="Times New Roman" w:cs="Times New Roman"/>
                <w:color w:val="auto"/>
              </w:rPr>
              <w:t>10%</w:t>
            </w:r>
            <w:r>
              <w:rPr>
                <w:rFonts w:ascii="Times New Roman" w:hAnsi="Times New Roman" w:cs="Times New Roman"/>
                <w:color w:val="auto"/>
              </w:rPr>
              <w:t>。</w:t>
            </w:r>
          </w:p>
          <w:p w14:paraId="66B4AEBF" w14:textId="77777777" w:rsidR="00F76A63" w:rsidRDefault="00000000">
            <w:pPr>
              <w:pStyle w:val="TableText"/>
              <w:spacing w:line="500" w:lineRule="exact"/>
              <w:ind w:firstLine="480"/>
              <w:jc w:val="both"/>
              <w:rPr>
                <w:rFonts w:hint="eastAsia"/>
                <w:color w:val="auto"/>
              </w:rPr>
            </w:pPr>
            <w:r>
              <w:rPr>
                <w:rFonts w:hint="eastAsia"/>
                <w:color w:val="auto"/>
              </w:rPr>
              <w:t>为了使水泥回转窑安全、稳定运行，同时提高处置量，必须对成分复杂、形态各异的固体废物进行合理配伍，使固废热值均匀，并控制固废卤素及重金属含量，保证处置系统正常运行和尾气达标排放。</w:t>
            </w:r>
          </w:p>
          <w:p w14:paraId="3CA0C7CE" w14:textId="77777777" w:rsidR="00F76A63" w:rsidRDefault="00000000">
            <w:pPr>
              <w:pStyle w:val="TableText"/>
              <w:spacing w:line="500" w:lineRule="exact"/>
              <w:ind w:firstLine="480"/>
              <w:jc w:val="both"/>
              <w:rPr>
                <w:rFonts w:hint="eastAsia"/>
                <w:color w:val="auto"/>
              </w:rPr>
            </w:pPr>
            <w:r>
              <w:rPr>
                <w:rFonts w:hint="eastAsia"/>
                <w:color w:val="auto"/>
              </w:rPr>
              <w:t>固体废物入窑处置前，以水泥生产原料化验数据为基础，依据固体废物成分、热值等参数进行搭配，搭配的过程要注意固体废物之间的相容性，避免不相 容的固体废物混合后发生反应。</w:t>
            </w:r>
          </w:p>
          <w:p w14:paraId="7F1DEB52" w14:textId="77777777" w:rsidR="00F76A63" w:rsidRDefault="00000000">
            <w:pPr>
              <w:pStyle w:val="TableText"/>
              <w:spacing w:line="500" w:lineRule="exact"/>
              <w:ind w:firstLine="480"/>
              <w:jc w:val="both"/>
              <w:rPr>
                <w:rFonts w:hint="eastAsia"/>
                <w:color w:val="auto"/>
              </w:rPr>
            </w:pPr>
            <w:r>
              <w:rPr>
                <w:rFonts w:hint="eastAsia"/>
                <w:color w:val="auto"/>
              </w:rPr>
              <w:t>规范明确规定禁止入窑的危险废物不能入窑处置，含大量低温易挥发金属的危险废物不能入窑处置。不能直接入窑处置的大尺寸固体废物，如包装桶、编织袋等，破碎后配伍入窑处置。合理的废物配伍，不仅需要选取有代表性的废物样 品进行检测、分析，而且根据废物的成分、特性、形态、包装方式等因素，确定废物贮存、预处理方式及进料配比，以确保废物无害化处理效果，提高焚烧系统运行的稳定性，延长装置使用寿命。</w:t>
            </w:r>
          </w:p>
          <w:p w14:paraId="39D99F8D" w14:textId="77777777" w:rsidR="00F76A63" w:rsidRDefault="00000000">
            <w:pPr>
              <w:pStyle w:val="TableText"/>
              <w:spacing w:line="500" w:lineRule="exact"/>
              <w:ind w:firstLine="480"/>
              <w:jc w:val="both"/>
              <w:rPr>
                <w:rFonts w:hint="eastAsia"/>
                <w:color w:val="auto"/>
              </w:rPr>
            </w:pPr>
            <w:r>
              <w:rPr>
                <w:rFonts w:hint="eastAsia"/>
                <w:color w:val="auto"/>
              </w:rPr>
              <w:t>一级配伍贯彻源头控制思想，相关人员提前与固废产生企业沟通并取样检验，做好进场固废的提前计划工作，制定进厂计划，确保入厂固废的有害成分含量不超上述规范、标准要求。经确认合格后的物料运输进场。此部分由环资台泥负责。</w:t>
            </w:r>
          </w:p>
          <w:p w14:paraId="6CCABA50" w14:textId="77777777" w:rsidR="00F76A63" w:rsidRDefault="00000000">
            <w:pPr>
              <w:pStyle w:val="TableText"/>
              <w:spacing w:line="500" w:lineRule="exact"/>
              <w:ind w:firstLine="480"/>
              <w:rPr>
                <w:rFonts w:ascii="Times New Roman" w:hAnsi="Times New Roman" w:cs="Times New Roman"/>
                <w:color w:val="auto"/>
              </w:rPr>
            </w:pPr>
            <w:r>
              <w:rPr>
                <w:rFonts w:ascii="Times New Roman" w:hAnsi="Times New Roman" w:cs="Times New Roman"/>
                <w:color w:val="auto"/>
              </w:rPr>
              <w:t>二级配伍工作在进场后进行，根据物料水分含量分类别入仓，物料实行仓内均化。并对均化后的固废进行检测，检测结果用于三级配伍、计量和调整。</w:t>
            </w:r>
          </w:p>
          <w:p w14:paraId="385A83F4" w14:textId="77777777" w:rsidR="00F76A63" w:rsidRDefault="00000000">
            <w:pPr>
              <w:pStyle w:val="TableText"/>
              <w:spacing w:line="500" w:lineRule="exact"/>
              <w:ind w:firstLineChars="200" w:firstLine="478"/>
              <w:jc w:val="both"/>
              <w:rPr>
                <w:rFonts w:ascii="Times New Roman" w:hAnsi="Times New Roman" w:cs="Times New Roman"/>
                <w:b/>
                <w:bCs/>
                <w:color w:val="auto"/>
                <w:spacing w:val="-1"/>
              </w:rPr>
            </w:pPr>
            <w:r>
              <w:rPr>
                <w:rFonts w:ascii="Times New Roman" w:hAnsi="Times New Roman" w:cs="Times New Roman"/>
                <w:b/>
                <w:bCs/>
                <w:color w:val="auto"/>
                <w:spacing w:val="-1"/>
              </w:rPr>
              <w:t>（</w:t>
            </w:r>
            <w:r>
              <w:rPr>
                <w:rFonts w:ascii="Times New Roman" w:hAnsi="Times New Roman" w:cs="Times New Roman" w:hint="eastAsia"/>
                <w:b/>
                <w:bCs/>
                <w:color w:val="auto"/>
                <w:spacing w:val="-1"/>
              </w:rPr>
              <w:t>4</w:t>
            </w:r>
            <w:r>
              <w:rPr>
                <w:rFonts w:ascii="Times New Roman" w:hAnsi="Times New Roman" w:cs="Times New Roman"/>
                <w:b/>
                <w:bCs/>
                <w:color w:val="auto"/>
                <w:spacing w:val="-1"/>
              </w:rPr>
              <w:t>）入厂废物的分析检验</w:t>
            </w:r>
          </w:p>
          <w:p w14:paraId="0384E8E8"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lastRenderedPageBreak/>
              <w:t>本项目依托企业现有化验室，主要承担进厂污染土、污泥、原料、熟料、烟气、水质等检测任务，本项目不新增化验室、不新增化验人员、不新增检测设备与实验负荷，原料、产品、污染物排放等相关检测均依托企业现有化验室完成，因此本项目不新增实验室废气、废水、废液、废渣等任何污染物产生量与排放量。</w:t>
            </w:r>
          </w:p>
          <w:p w14:paraId="1CE7C7C7"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Cambria Math" w:hAnsi="Cambria Math" w:cs="Cambria Math"/>
                <w:color w:val="auto"/>
                <w:spacing w:val="-1"/>
              </w:rPr>
              <w:t>①</w:t>
            </w:r>
            <w:r>
              <w:rPr>
                <w:rFonts w:ascii="Times New Roman" w:hAnsi="Times New Roman" w:cs="Times New Roman"/>
                <w:color w:val="auto"/>
                <w:spacing w:val="-1"/>
              </w:rPr>
              <w:t>为保证协同处置过程不影响水泥生产过程和操作安全，确保烟气排放达标，建设单位应在与一般固废产生企业签订处置合同及一般固废运输到建设单位之前，对拟处置的一般固废进行取样及特性分析。</w:t>
            </w:r>
          </w:p>
          <w:p w14:paraId="02E7D951"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Cambria Math" w:hAnsi="Cambria Math" w:cs="Cambria Math"/>
                <w:color w:val="auto"/>
                <w:spacing w:val="-1"/>
              </w:rPr>
              <w:t>②</w:t>
            </w:r>
            <w:r>
              <w:rPr>
                <w:rFonts w:ascii="Times New Roman" w:hAnsi="Times New Roman" w:cs="Times New Roman"/>
                <w:color w:val="auto"/>
                <w:spacing w:val="-1"/>
              </w:rPr>
              <w:t>建设单位应提前对产废企业一般固废产生过程进行调查分析，在此基础上制定取样分析方案；样品采集完成后，开展分析测试。一般固废特性经双方确认后在处置合同中注明。取样频率和取样方法参照</w:t>
            </w:r>
            <w:r>
              <w:rPr>
                <w:rFonts w:ascii="Times New Roman" w:hAnsi="Times New Roman" w:cs="Times New Roman"/>
                <w:color w:val="auto"/>
                <w:spacing w:val="-1"/>
              </w:rPr>
              <w:t>HJ/T20</w:t>
            </w:r>
            <w:r>
              <w:rPr>
                <w:rFonts w:ascii="Times New Roman" w:hAnsi="Times New Roman" w:cs="Times New Roman"/>
                <w:color w:val="auto"/>
                <w:spacing w:val="-1"/>
              </w:rPr>
              <w:t>要求执行。</w:t>
            </w:r>
          </w:p>
          <w:p w14:paraId="13889880"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Cambria Math" w:hAnsi="Cambria Math" w:cs="Cambria Math"/>
                <w:color w:val="auto"/>
                <w:spacing w:val="-1"/>
              </w:rPr>
              <w:t>③</w:t>
            </w:r>
            <w:r>
              <w:rPr>
                <w:rFonts w:ascii="Times New Roman" w:hAnsi="Times New Roman" w:cs="Times New Roman"/>
                <w:color w:val="auto"/>
                <w:spacing w:val="-1"/>
              </w:rPr>
              <w:t>在完成样品分析测试以后，根据下列要求对一般固废是否可以进厂协同处置进行判断。</w:t>
            </w:r>
          </w:p>
          <w:p w14:paraId="7A4F1016"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该类一般固废不属于禁止进入水泥窑协同处置的废物类别，符合规定的类别要求，满足国家和当地的相关法律法规。协同处置企业具有协同处置该类固体废物的能力，协同处置过程中的人员健康和环境安全风险能够得到有效控制。该类一般固废的协同处置不会对水泥的稳定生产、烟气排放、水泥产品治理产生不利影响。</w:t>
            </w:r>
          </w:p>
          <w:p w14:paraId="46290591"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Cambria Math" w:hAnsi="Cambria Math" w:cs="Cambria Math"/>
                <w:color w:val="auto"/>
                <w:spacing w:val="-1"/>
              </w:rPr>
              <w:t>④</w:t>
            </w:r>
            <w:r>
              <w:rPr>
                <w:rFonts w:ascii="Times New Roman" w:hAnsi="Times New Roman" w:cs="Times New Roman"/>
                <w:color w:val="auto"/>
                <w:spacing w:val="-1"/>
              </w:rPr>
              <w:t>对于同一产废单位同一生产工艺产生的不同批次一般固废，在生产工艺操作参数未改变的前提下，可以仅对首批次一般固废进行采样分析，其后产生的一般固废采样分析在制定处置方案时进行。</w:t>
            </w:r>
          </w:p>
          <w:p w14:paraId="2EC762F8"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根据《水泥窑协同处置固体废物环境保护技术规范》（</w:t>
            </w:r>
            <w:r>
              <w:rPr>
                <w:rFonts w:ascii="Times New Roman" w:hAnsi="Times New Roman" w:cs="Times New Roman"/>
                <w:color w:val="auto"/>
                <w:spacing w:val="-1"/>
              </w:rPr>
              <w:t>HJ662-2013</w:t>
            </w:r>
            <w:r>
              <w:rPr>
                <w:rFonts w:ascii="Times New Roman" w:hAnsi="Times New Roman" w:cs="Times New Roman"/>
                <w:color w:val="auto"/>
                <w:spacing w:val="-1"/>
              </w:rPr>
              <w:t>）</w:t>
            </w:r>
            <w:r>
              <w:rPr>
                <w:rFonts w:ascii="Times New Roman" w:hAnsi="Times New Roman" w:cs="Times New Roman"/>
                <w:color w:val="auto"/>
                <w:spacing w:val="-1"/>
              </w:rPr>
              <w:t>4.6</w:t>
            </w:r>
            <w:r>
              <w:rPr>
                <w:rFonts w:ascii="Times New Roman" w:hAnsi="Times New Roman" w:cs="Times New Roman"/>
                <w:color w:val="auto"/>
                <w:spacing w:val="-1"/>
              </w:rPr>
              <w:t>章节，从事固体废物协同处置的企业，应在原有水泥生产分析化验室的基础上，增加必要的固体废物分析化验设备。分析化验室应具备以下检测能力：</w:t>
            </w:r>
          </w:p>
          <w:p w14:paraId="322C8F06"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a</w:t>
            </w:r>
            <w:r>
              <w:rPr>
                <w:rFonts w:ascii="Times New Roman" w:hAnsi="Times New Roman" w:cs="Times New Roman"/>
                <w:color w:val="auto"/>
                <w:spacing w:val="-1"/>
              </w:rPr>
              <w:t>）具备</w:t>
            </w:r>
            <w:r>
              <w:rPr>
                <w:rFonts w:ascii="Times New Roman" w:hAnsi="Times New Roman" w:cs="Times New Roman"/>
                <w:color w:val="auto"/>
                <w:spacing w:val="-1"/>
              </w:rPr>
              <w:t>HJ/T20</w:t>
            </w:r>
            <w:r>
              <w:rPr>
                <w:rFonts w:ascii="Times New Roman" w:hAnsi="Times New Roman" w:cs="Times New Roman"/>
                <w:color w:val="auto"/>
                <w:spacing w:val="-1"/>
              </w:rPr>
              <w:t>要求的采样制样能力、工具和仪器。</w:t>
            </w:r>
          </w:p>
          <w:p w14:paraId="7277A53B"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b</w:t>
            </w:r>
            <w:r>
              <w:rPr>
                <w:rFonts w:ascii="Times New Roman" w:hAnsi="Times New Roman" w:cs="Times New Roman"/>
                <w:color w:val="auto"/>
                <w:spacing w:val="-1"/>
              </w:rPr>
              <w:t>）所协同处置的固体废物、水泥生产原料中汞（</w:t>
            </w:r>
            <w:r>
              <w:rPr>
                <w:rFonts w:ascii="Times New Roman" w:hAnsi="Times New Roman" w:cs="Times New Roman"/>
                <w:color w:val="auto"/>
                <w:spacing w:val="-1"/>
              </w:rPr>
              <w:t>Hg</w:t>
            </w:r>
            <w:r>
              <w:rPr>
                <w:rFonts w:ascii="Times New Roman" w:hAnsi="Times New Roman" w:cs="Times New Roman"/>
                <w:color w:val="auto"/>
                <w:spacing w:val="-1"/>
              </w:rPr>
              <w:t>）、镉（</w:t>
            </w:r>
            <w:r>
              <w:rPr>
                <w:rFonts w:ascii="Times New Roman" w:hAnsi="Times New Roman" w:cs="Times New Roman"/>
                <w:color w:val="auto"/>
                <w:spacing w:val="-1"/>
              </w:rPr>
              <w:t>Cd</w:t>
            </w:r>
            <w:r>
              <w:rPr>
                <w:rFonts w:ascii="Times New Roman" w:hAnsi="Times New Roman" w:cs="Times New Roman"/>
                <w:color w:val="auto"/>
                <w:spacing w:val="-1"/>
              </w:rPr>
              <w:t>）、铊（</w:t>
            </w:r>
            <w:r>
              <w:rPr>
                <w:rFonts w:ascii="Times New Roman" w:hAnsi="Times New Roman" w:cs="Times New Roman"/>
                <w:color w:val="auto"/>
                <w:spacing w:val="-1"/>
              </w:rPr>
              <w:t>Tl</w:t>
            </w:r>
            <w:r>
              <w:rPr>
                <w:rFonts w:ascii="Times New Roman" w:hAnsi="Times New Roman" w:cs="Times New Roman"/>
                <w:color w:val="auto"/>
                <w:spacing w:val="-1"/>
              </w:rPr>
              <w:t>）、砷（</w:t>
            </w:r>
            <w:r>
              <w:rPr>
                <w:rFonts w:ascii="Times New Roman" w:hAnsi="Times New Roman" w:cs="Times New Roman"/>
                <w:color w:val="auto"/>
                <w:spacing w:val="-1"/>
              </w:rPr>
              <w:t>As</w:t>
            </w:r>
            <w:r>
              <w:rPr>
                <w:rFonts w:ascii="Times New Roman" w:hAnsi="Times New Roman" w:cs="Times New Roman"/>
                <w:color w:val="auto"/>
                <w:spacing w:val="-1"/>
              </w:rPr>
              <w:t>）、镍（</w:t>
            </w:r>
            <w:r>
              <w:rPr>
                <w:rFonts w:ascii="Times New Roman" w:hAnsi="Times New Roman" w:cs="Times New Roman"/>
                <w:color w:val="auto"/>
                <w:spacing w:val="-1"/>
              </w:rPr>
              <w:t>Ni</w:t>
            </w:r>
            <w:r>
              <w:rPr>
                <w:rFonts w:ascii="Times New Roman" w:hAnsi="Times New Roman" w:cs="Times New Roman"/>
                <w:color w:val="auto"/>
                <w:spacing w:val="-1"/>
              </w:rPr>
              <w:t>）、铅（</w:t>
            </w:r>
            <w:r>
              <w:rPr>
                <w:rFonts w:ascii="Times New Roman" w:hAnsi="Times New Roman" w:cs="Times New Roman"/>
                <w:color w:val="auto"/>
                <w:spacing w:val="-1"/>
              </w:rPr>
              <w:t>Pb</w:t>
            </w:r>
            <w:r>
              <w:rPr>
                <w:rFonts w:ascii="Times New Roman" w:hAnsi="Times New Roman" w:cs="Times New Roman"/>
                <w:color w:val="auto"/>
                <w:spacing w:val="-1"/>
              </w:rPr>
              <w:t>）、铬（</w:t>
            </w:r>
            <w:r>
              <w:rPr>
                <w:rFonts w:ascii="Times New Roman" w:hAnsi="Times New Roman" w:cs="Times New Roman"/>
                <w:color w:val="auto"/>
                <w:spacing w:val="-1"/>
              </w:rPr>
              <w:t>Cr</w:t>
            </w:r>
            <w:r>
              <w:rPr>
                <w:rFonts w:ascii="Times New Roman" w:hAnsi="Times New Roman" w:cs="Times New Roman"/>
                <w:color w:val="auto"/>
                <w:spacing w:val="-1"/>
              </w:rPr>
              <w:t>）、锡（</w:t>
            </w:r>
            <w:r>
              <w:rPr>
                <w:rFonts w:ascii="Times New Roman" w:hAnsi="Times New Roman" w:cs="Times New Roman"/>
                <w:color w:val="auto"/>
                <w:spacing w:val="-1"/>
              </w:rPr>
              <w:t>Sn</w:t>
            </w:r>
            <w:r>
              <w:rPr>
                <w:rFonts w:ascii="Times New Roman" w:hAnsi="Times New Roman" w:cs="Times New Roman"/>
                <w:color w:val="auto"/>
                <w:spacing w:val="-1"/>
              </w:rPr>
              <w:t>）、锑（</w:t>
            </w:r>
            <w:r>
              <w:rPr>
                <w:rFonts w:ascii="Times New Roman" w:hAnsi="Times New Roman" w:cs="Times New Roman"/>
                <w:color w:val="auto"/>
                <w:spacing w:val="-1"/>
              </w:rPr>
              <w:t>Sb</w:t>
            </w:r>
            <w:r>
              <w:rPr>
                <w:rFonts w:ascii="Times New Roman" w:hAnsi="Times New Roman" w:cs="Times New Roman"/>
                <w:color w:val="auto"/>
                <w:spacing w:val="-1"/>
              </w:rPr>
              <w:t>）、铜（</w:t>
            </w:r>
            <w:r>
              <w:rPr>
                <w:rFonts w:ascii="Times New Roman" w:hAnsi="Times New Roman" w:cs="Times New Roman"/>
                <w:color w:val="auto"/>
                <w:spacing w:val="-1"/>
              </w:rPr>
              <w:t>Cu</w:t>
            </w:r>
            <w:r>
              <w:rPr>
                <w:rFonts w:ascii="Times New Roman" w:hAnsi="Times New Roman" w:cs="Times New Roman"/>
                <w:color w:val="auto"/>
                <w:spacing w:val="-1"/>
              </w:rPr>
              <w:t>）</w:t>
            </w:r>
            <w:r>
              <w:rPr>
                <w:rFonts w:ascii="Times New Roman" w:hAnsi="Times New Roman" w:cs="Times New Roman"/>
                <w:color w:val="auto"/>
                <w:spacing w:val="-1"/>
              </w:rPr>
              <w:lastRenderedPageBreak/>
              <w:t>、锰（</w:t>
            </w:r>
            <w:r>
              <w:rPr>
                <w:rFonts w:ascii="Times New Roman" w:hAnsi="Times New Roman" w:cs="Times New Roman"/>
                <w:color w:val="auto"/>
                <w:spacing w:val="-1"/>
              </w:rPr>
              <w:t>Mn</w:t>
            </w:r>
            <w:r>
              <w:rPr>
                <w:rFonts w:ascii="Times New Roman" w:hAnsi="Times New Roman" w:cs="Times New Roman"/>
                <w:color w:val="auto"/>
                <w:spacing w:val="-1"/>
              </w:rPr>
              <w:t>）、铍（</w:t>
            </w:r>
            <w:r>
              <w:rPr>
                <w:rFonts w:ascii="Times New Roman" w:hAnsi="Times New Roman" w:cs="Times New Roman"/>
                <w:color w:val="auto"/>
                <w:spacing w:val="-1"/>
              </w:rPr>
              <w:t>Be</w:t>
            </w:r>
            <w:r>
              <w:rPr>
                <w:rFonts w:ascii="Times New Roman" w:hAnsi="Times New Roman" w:cs="Times New Roman"/>
                <w:color w:val="auto"/>
                <w:spacing w:val="-1"/>
              </w:rPr>
              <w:t>）、锌（</w:t>
            </w:r>
            <w:r>
              <w:rPr>
                <w:rFonts w:ascii="Times New Roman" w:hAnsi="Times New Roman" w:cs="Times New Roman"/>
                <w:color w:val="auto"/>
                <w:spacing w:val="-1"/>
              </w:rPr>
              <w:t>Zn</w:t>
            </w:r>
            <w:r>
              <w:rPr>
                <w:rFonts w:ascii="Times New Roman" w:hAnsi="Times New Roman" w:cs="Times New Roman"/>
                <w:color w:val="auto"/>
                <w:spacing w:val="-1"/>
              </w:rPr>
              <w:t>）、钒（</w:t>
            </w:r>
            <w:r>
              <w:rPr>
                <w:rFonts w:ascii="Times New Roman" w:hAnsi="Times New Roman" w:cs="Times New Roman"/>
                <w:color w:val="auto"/>
                <w:spacing w:val="-1"/>
              </w:rPr>
              <w:t>V</w:t>
            </w:r>
            <w:r>
              <w:rPr>
                <w:rFonts w:ascii="Times New Roman" w:hAnsi="Times New Roman" w:cs="Times New Roman"/>
                <w:color w:val="auto"/>
                <w:spacing w:val="-1"/>
              </w:rPr>
              <w:t>）、钴（</w:t>
            </w:r>
            <w:r>
              <w:rPr>
                <w:rFonts w:ascii="Times New Roman" w:hAnsi="Times New Roman" w:cs="Times New Roman"/>
                <w:color w:val="auto"/>
                <w:spacing w:val="-1"/>
              </w:rPr>
              <w:t>Co</w:t>
            </w:r>
            <w:r>
              <w:rPr>
                <w:rFonts w:ascii="Times New Roman" w:hAnsi="Times New Roman" w:cs="Times New Roman"/>
                <w:color w:val="auto"/>
                <w:spacing w:val="-1"/>
              </w:rPr>
              <w:t>）、钼（</w:t>
            </w:r>
            <w:r>
              <w:rPr>
                <w:rFonts w:ascii="Times New Roman" w:hAnsi="Times New Roman" w:cs="Times New Roman"/>
                <w:color w:val="auto"/>
                <w:spacing w:val="-1"/>
              </w:rPr>
              <w:t>Mo</w:t>
            </w:r>
            <w:r>
              <w:rPr>
                <w:rFonts w:ascii="Times New Roman" w:hAnsi="Times New Roman" w:cs="Times New Roman"/>
                <w:color w:val="auto"/>
                <w:spacing w:val="-1"/>
              </w:rPr>
              <w:t>）、氟（</w:t>
            </w:r>
            <w:r>
              <w:rPr>
                <w:rFonts w:ascii="Times New Roman" w:hAnsi="Times New Roman" w:cs="Times New Roman"/>
                <w:color w:val="auto"/>
                <w:spacing w:val="-1"/>
              </w:rPr>
              <w:t>F</w:t>
            </w:r>
            <w:r>
              <w:rPr>
                <w:rFonts w:ascii="Times New Roman" w:hAnsi="Times New Roman" w:cs="Times New Roman"/>
                <w:color w:val="auto"/>
                <w:spacing w:val="-1"/>
              </w:rPr>
              <w:t>）、氯（</w:t>
            </w:r>
            <w:r>
              <w:rPr>
                <w:rFonts w:ascii="Times New Roman" w:hAnsi="Times New Roman" w:cs="Times New Roman"/>
                <w:color w:val="auto"/>
                <w:spacing w:val="-1"/>
              </w:rPr>
              <w:t>Cl</w:t>
            </w:r>
            <w:r>
              <w:rPr>
                <w:rFonts w:ascii="Times New Roman" w:hAnsi="Times New Roman" w:cs="Times New Roman"/>
                <w:color w:val="auto"/>
                <w:spacing w:val="-1"/>
              </w:rPr>
              <w:t>）和硫（</w:t>
            </w:r>
            <w:r>
              <w:rPr>
                <w:rFonts w:ascii="Times New Roman" w:hAnsi="Times New Roman" w:cs="Times New Roman"/>
                <w:color w:val="auto"/>
                <w:spacing w:val="-1"/>
              </w:rPr>
              <w:t>S</w:t>
            </w:r>
            <w:r>
              <w:rPr>
                <w:rFonts w:ascii="Times New Roman" w:hAnsi="Times New Roman" w:cs="Times New Roman"/>
                <w:color w:val="auto"/>
                <w:spacing w:val="-1"/>
              </w:rPr>
              <w:t>）的分析。</w:t>
            </w:r>
          </w:p>
          <w:p w14:paraId="730AB048"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c</w:t>
            </w:r>
            <w:r>
              <w:rPr>
                <w:rFonts w:ascii="Times New Roman" w:hAnsi="Times New Roman" w:cs="Times New Roman"/>
                <w:color w:val="auto"/>
                <w:spacing w:val="-1"/>
              </w:rPr>
              <w:t>）相容性测试，一般需要配备粘度仪、搅拌仪、温度计、压力计、</w:t>
            </w:r>
            <w:r>
              <w:rPr>
                <w:rFonts w:ascii="Times New Roman" w:hAnsi="Times New Roman" w:cs="Times New Roman"/>
                <w:color w:val="auto"/>
                <w:spacing w:val="-1"/>
              </w:rPr>
              <w:t>pH</w:t>
            </w:r>
            <w:r>
              <w:rPr>
                <w:rFonts w:ascii="Times New Roman" w:hAnsi="Times New Roman" w:cs="Times New Roman"/>
                <w:color w:val="auto"/>
                <w:spacing w:val="-1"/>
              </w:rPr>
              <w:t>计、反应气体收集装置等。</w:t>
            </w:r>
          </w:p>
          <w:p w14:paraId="7C19B110"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d</w:t>
            </w:r>
            <w:r>
              <w:rPr>
                <w:rFonts w:ascii="Times New Roman" w:hAnsi="Times New Roman" w:cs="Times New Roman"/>
                <w:color w:val="auto"/>
                <w:spacing w:val="-1"/>
              </w:rPr>
              <w:t>）满足</w:t>
            </w:r>
            <w:r>
              <w:rPr>
                <w:rFonts w:ascii="Times New Roman" w:hAnsi="Times New Roman" w:cs="Times New Roman"/>
                <w:color w:val="auto"/>
                <w:spacing w:val="-1"/>
              </w:rPr>
              <w:t>GB5085.1</w:t>
            </w:r>
            <w:r>
              <w:rPr>
                <w:rFonts w:ascii="Times New Roman" w:hAnsi="Times New Roman" w:cs="Times New Roman"/>
                <w:color w:val="auto"/>
                <w:spacing w:val="-1"/>
              </w:rPr>
              <w:t>要求的腐蚀性检测；满足</w:t>
            </w:r>
            <w:r>
              <w:rPr>
                <w:rFonts w:ascii="Times New Roman" w:hAnsi="Times New Roman" w:cs="Times New Roman"/>
                <w:color w:val="auto"/>
                <w:spacing w:val="-1"/>
              </w:rPr>
              <w:t>GB5085.4</w:t>
            </w:r>
            <w:r>
              <w:rPr>
                <w:rFonts w:ascii="Times New Roman" w:hAnsi="Times New Roman" w:cs="Times New Roman"/>
                <w:color w:val="auto"/>
                <w:spacing w:val="-1"/>
              </w:rPr>
              <w:t>要求的易燃性检测；满足</w:t>
            </w:r>
            <w:r>
              <w:rPr>
                <w:rFonts w:ascii="Times New Roman" w:hAnsi="Times New Roman" w:cs="Times New Roman"/>
                <w:color w:val="auto"/>
                <w:spacing w:val="-1"/>
              </w:rPr>
              <w:t>GB5085.5</w:t>
            </w:r>
            <w:r>
              <w:rPr>
                <w:rFonts w:ascii="Times New Roman" w:hAnsi="Times New Roman" w:cs="Times New Roman"/>
                <w:color w:val="auto"/>
                <w:spacing w:val="-1"/>
              </w:rPr>
              <w:t>要求的反应性检测。</w:t>
            </w:r>
          </w:p>
          <w:p w14:paraId="00AABD36"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e</w:t>
            </w:r>
            <w:r>
              <w:rPr>
                <w:rFonts w:ascii="Times New Roman" w:hAnsi="Times New Roman" w:cs="Times New Roman"/>
                <w:color w:val="auto"/>
                <w:spacing w:val="-1"/>
              </w:rPr>
              <w:t>）满足</w:t>
            </w:r>
            <w:r>
              <w:rPr>
                <w:rFonts w:ascii="Times New Roman" w:hAnsi="Times New Roman" w:cs="Times New Roman"/>
                <w:color w:val="auto"/>
                <w:spacing w:val="-1"/>
              </w:rPr>
              <w:t>GB4915</w:t>
            </w:r>
            <w:r>
              <w:rPr>
                <w:rFonts w:ascii="Times New Roman" w:hAnsi="Times New Roman" w:cs="Times New Roman"/>
                <w:color w:val="auto"/>
                <w:spacing w:val="-1"/>
              </w:rPr>
              <w:t>和</w:t>
            </w:r>
            <w:r>
              <w:rPr>
                <w:rFonts w:ascii="Times New Roman" w:hAnsi="Times New Roman" w:cs="Times New Roman"/>
                <w:color w:val="auto"/>
                <w:spacing w:val="-1"/>
              </w:rPr>
              <w:t>GB30485</w:t>
            </w:r>
            <w:r>
              <w:rPr>
                <w:rFonts w:ascii="Times New Roman" w:hAnsi="Times New Roman" w:cs="Times New Roman"/>
                <w:color w:val="auto"/>
                <w:spacing w:val="-1"/>
              </w:rPr>
              <w:t>监测要求的烟气污染物检测。</w:t>
            </w:r>
          </w:p>
          <w:p w14:paraId="3129609D"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f</w:t>
            </w:r>
            <w:r>
              <w:rPr>
                <w:rFonts w:ascii="Times New Roman" w:hAnsi="Times New Roman" w:cs="Times New Roman"/>
                <w:color w:val="auto"/>
                <w:spacing w:val="-1"/>
              </w:rPr>
              <w:t>）满足其他相关标准中要求的水泥产品环境安全性检测。</w:t>
            </w:r>
          </w:p>
          <w:p w14:paraId="1B6C3005"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a</w:t>
            </w:r>
            <w:r>
              <w:rPr>
                <w:rFonts w:ascii="Times New Roman" w:hAnsi="Times New Roman" w:cs="Times New Roman"/>
                <w:color w:val="auto"/>
                <w:spacing w:val="-1"/>
              </w:rPr>
              <w:t>）、</w:t>
            </w:r>
            <w:r>
              <w:rPr>
                <w:rFonts w:ascii="Times New Roman" w:hAnsi="Times New Roman" w:cs="Times New Roman"/>
                <w:color w:val="auto"/>
                <w:spacing w:val="-1"/>
              </w:rPr>
              <w:t>b</w:t>
            </w:r>
            <w:r>
              <w:rPr>
                <w:rFonts w:ascii="Times New Roman" w:hAnsi="Times New Roman" w:cs="Times New Roman"/>
                <w:color w:val="auto"/>
                <w:spacing w:val="-1"/>
              </w:rPr>
              <w:t>）以及</w:t>
            </w:r>
            <w:r>
              <w:rPr>
                <w:rFonts w:ascii="Times New Roman" w:hAnsi="Times New Roman" w:cs="Times New Roman"/>
                <w:color w:val="auto"/>
                <w:spacing w:val="-1"/>
              </w:rPr>
              <w:t>c</w:t>
            </w:r>
            <w:r>
              <w:rPr>
                <w:rFonts w:ascii="Times New Roman" w:hAnsi="Times New Roman" w:cs="Times New Roman"/>
                <w:color w:val="auto"/>
                <w:spacing w:val="-1"/>
              </w:rPr>
              <w:t>）款为企业必须具备的条件，其他分析项目如果不具备条件，可经当地环保部门许可后委托有资质的分析监测机构进行采样分析监测。分析化验室应设有样品保存库，用于贮存备份样品。</w:t>
            </w:r>
          </w:p>
          <w:p w14:paraId="207AEBA6"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本项目依托句容台泥现有分析化验室，配备了</w:t>
            </w:r>
            <w:r>
              <w:rPr>
                <w:rFonts w:ascii="Times New Roman" w:hAnsi="Times New Roman" w:cs="Times New Roman"/>
                <w:color w:val="auto"/>
                <w:spacing w:val="-1"/>
              </w:rPr>
              <w:t>X</w:t>
            </w:r>
            <w:r>
              <w:rPr>
                <w:rFonts w:ascii="Times New Roman" w:hAnsi="Times New Roman" w:cs="Times New Roman"/>
                <w:color w:val="auto"/>
                <w:spacing w:val="-1"/>
              </w:rPr>
              <w:t>射线荧光光谱仪等分析检测设备（见表</w:t>
            </w:r>
            <w:r>
              <w:rPr>
                <w:rFonts w:ascii="Times New Roman" w:hAnsi="Times New Roman" w:cs="Times New Roman"/>
                <w:color w:val="auto"/>
                <w:spacing w:val="-1"/>
              </w:rPr>
              <w:t>2-32</w:t>
            </w:r>
            <w:r>
              <w:rPr>
                <w:rFonts w:ascii="Times New Roman" w:hAnsi="Times New Roman" w:cs="Times New Roman"/>
                <w:color w:val="auto"/>
                <w:spacing w:val="-1"/>
              </w:rPr>
              <w:t>），可供本项目固废分析化验使用。本次环评要求建设单位应当配备满足《水泥窑协同处置固体废物环境保护技术规范》（</w:t>
            </w:r>
            <w:r>
              <w:rPr>
                <w:rFonts w:ascii="Times New Roman" w:hAnsi="Times New Roman" w:cs="Times New Roman"/>
                <w:color w:val="auto"/>
                <w:spacing w:val="-1"/>
              </w:rPr>
              <w:t>HJ662-2013</w:t>
            </w:r>
            <w:r>
              <w:rPr>
                <w:rFonts w:ascii="Times New Roman" w:hAnsi="Times New Roman" w:cs="Times New Roman"/>
                <w:color w:val="auto"/>
                <w:spacing w:val="-1"/>
              </w:rPr>
              <w:t>）要求的必要的固体废物分析化验设备。</w:t>
            </w:r>
          </w:p>
          <w:p w14:paraId="26AF0780" w14:textId="77777777" w:rsidR="00F76A63" w:rsidRDefault="00000000">
            <w:pPr>
              <w:pStyle w:val="TableText"/>
              <w:spacing w:line="500" w:lineRule="exact"/>
              <w:jc w:val="center"/>
              <w:rPr>
                <w:rFonts w:ascii="Times New Roman" w:hAnsi="Times New Roman" w:cs="Times New Roman"/>
                <w:b/>
                <w:color w:val="auto"/>
                <w:spacing w:val="-1"/>
              </w:rPr>
            </w:pPr>
            <w:r>
              <w:rPr>
                <w:rFonts w:ascii="Times New Roman" w:hAnsi="Times New Roman" w:cs="Times New Roman"/>
                <w:b/>
                <w:color w:val="auto"/>
                <w:spacing w:val="-1"/>
              </w:rPr>
              <w:t>表</w:t>
            </w:r>
            <w:r>
              <w:rPr>
                <w:rFonts w:ascii="Times New Roman" w:hAnsi="Times New Roman" w:cs="Times New Roman"/>
                <w:b/>
                <w:color w:val="auto"/>
                <w:spacing w:val="-1"/>
              </w:rPr>
              <w:t>2-3</w:t>
            </w:r>
            <w:r>
              <w:rPr>
                <w:rFonts w:ascii="Times New Roman" w:hAnsi="Times New Roman" w:cs="Times New Roman" w:hint="eastAsia"/>
                <w:b/>
                <w:color w:val="auto"/>
                <w:spacing w:val="-1"/>
              </w:rPr>
              <w:t>4</w:t>
            </w:r>
            <w:r>
              <w:rPr>
                <w:rFonts w:ascii="Times New Roman" w:hAnsi="Times New Roman" w:cs="Times New Roman"/>
                <w:b/>
                <w:color w:val="auto"/>
                <w:spacing w:val="-1"/>
              </w:rPr>
              <w:t xml:space="preserve">  </w:t>
            </w:r>
            <w:r>
              <w:rPr>
                <w:rFonts w:ascii="Times New Roman" w:hAnsi="Times New Roman" w:cs="Times New Roman"/>
                <w:b/>
                <w:color w:val="auto"/>
                <w:spacing w:val="-1"/>
              </w:rPr>
              <w:t>分析化验设备配备一览表</w:t>
            </w:r>
          </w:p>
          <w:tbl>
            <w:tblPr>
              <w:tblW w:w="5000" w:type="pct"/>
              <w:jc w:val="center"/>
              <w:tblBorders>
                <w:top w:val="single" w:sz="12" w:space="0" w:color="000000"/>
                <w:bottom w:val="single" w:sz="12" w:space="0" w:color="000000"/>
                <w:insideH w:val="single" w:sz="4" w:space="0" w:color="000000"/>
                <w:insideV w:val="single" w:sz="4" w:space="0" w:color="000000"/>
              </w:tblBorders>
              <w:tblLook w:val="04A0" w:firstRow="1" w:lastRow="0" w:firstColumn="1" w:lastColumn="0" w:noHBand="0" w:noVBand="1"/>
            </w:tblPr>
            <w:tblGrid>
              <w:gridCol w:w="756"/>
              <w:gridCol w:w="2159"/>
              <w:gridCol w:w="1821"/>
              <w:gridCol w:w="1528"/>
              <w:gridCol w:w="976"/>
              <w:gridCol w:w="1146"/>
            </w:tblGrid>
            <w:tr w:rsidR="00F76A63" w14:paraId="41A584FC" w14:textId="77777777">
              <w:trPr>
                <w:trHeight w:val="340"/>
                <w:jc w:val="center"/>
              </w:trPr>
              <w:tc>
                <w:tcPr>
                  <w:tcW w:w="451" w:type="pct"/>
                  <w:tcBorders>
                    <w:top w:val="single" w:sz="12" w:space="0" w:color="000000"/>
                    <w:left w:val="nil"/>
                    <w:bottom w:val="single" w:sz="4" w:space="0" w:color="000000"/>
                    <w:right w:val="single" w:sz="4" w:space="0" w:color="000000"/>
                  </w:tcBorders>
                  <w:vAlign w:val="center"/>
                </w:tcPr>
                <w:p w14:paraId="23BF8092" w14:textId="77777777" w:rsidR="00F76A63" w:rsidRDefault="00000000">
                  <w:pPr>
                    <w:pStyle w:val="TableText"/>
                    <w:jc w:val="center"/>
                    <w:rPr>
                      <w:rFonts w:ascii="Times New Roman" w:hAnsi="Times New Roman" w:cs="Times New Roman"/>
                      <w:b/>
                      <w:bCs/>
                      <w:color w:val="auto"/>
                      <w:spacing w:val="-1"/>
                      <w:sz w:val="21"/>
                      <w:szCs w:val="21"/>
                    </w:rPr>
                  </w:pPr>
                  <w:bookmarkStart w:id="86" w:name="_Hlk27321803"/>
                  <w:r>
                    <w:rPr>
                      <w:rFonts w:ascii="Times New Roman" w:hAnsi="Times New Roman" w:cs="Times New Roman"/>
                      <w:b/>
                      <w:bCs/>
                      <w:color w:val="auto"/>
                      <w:spacing w:val="-1"/>
                      <w:sz w:val="21"/>
                      <w:szCs w:val="21"/>
                    </w:rPr>
                    <w:t>序号</w:t>
                  </w:r>
                  <w:bookmarkEnd w:id="86"/>
                </w:p>
              </w:tc>
              <w:tc>
                <w:tcPr>
                  <w:tcW w:w="1287" w:type="pct"/>
                  <w:tcBorders>
                    <w:top w:val="single" w:sz="12" w:space="0" w:color="000000"/>
                    <w:left w:val="single" w:sz="4" w:space="0" w:color="000000"/>
                    <w:bottom w:val="single" w:sz="4" w:space="0" w:color="000000"/>
                    <w:right w:val="single" w:sz="4" w:space="0" w:color="000000"/>
                  </w:tcBorders>
                  <w:vAlign w:val="center"/>
                </w:tcPr>
                <w:p w14:paraId="04B432AD" w14:textId="77777777" w:rsidR="00F76A63" w:rsidRDefault="00000000">
                  <w:pPr>
                    <w:pStyle w:val="TableText"/>
                    <w:jc w:val="center"/>
                    <w:rPr>
                      <w:rFonts w:ascii="Times New Roman" w:hAnsi="Times New Roman" w:cs="Times New Roman"/>
                      <w:b/>
                      <w:bCs/>
                      <w:color w:val="auto"/>
                      <w:spacing w:val="-1"/>
                      <w:sz w:val="21"/>
                      <w:szCs w:val="21"/>
                    </w:rPr>
                  </w:pPr>
                  <w:r>
                    <w:rPr>
                      <w:rFonts w:ascii="Times New Roman" w:hAnsi="Times New Roman" w:cs="Times New Roman"/>
                      <w:b/>
                      <w:bCs/>
                      <w:color w:val="auto"/>
                      <w:spacing w:val="-1"/>
                      <w:sz w:val="21"/>
                      <w:szCs w:val="21"/>
                    </w:rPr>
                    <w:t>名称</w:t>
                  </w:r>
                </w:p>
              </w:tc>
              <w:tc>
                <w:tcPr>
                  <w:tcW w:w="1086" w:type="pct"/>
                  <w:tcBorders>
                    <w:top w:val="single" w:sz="12" w:space="0" w:color="000000"/>
                    <w:left w:val="single" w:sz="4" w:space="0" w:color="000000"/>
                    <w:bottom w:val="single" w:sz="4" w:space="0" w:color="000000"/>
                    <w:right w:val="single" w:sz="4" w:space="0" w:color="000000"/>
                  </w:tcBorders>
                  <w:vAlign w:val="center"/>
                </w:tcPr>
                <w:p w14:paraId="1008D993" w14:textId="77777777" w:rsidR="00F76A63" w:rsidRDefault="00000000">
                  <w:pPr>
                    <w:pStyle w:val="TableText"/>
                    <w:jc w:val="center"/>
                    <w:rPr>
                      <w:rFonts w:ascii="Times New Roman" w:hAnsi="Times New Roman" w:cs="Times New Roman"/>
                      <w:b/>
                      <w:bCs/>
                      <w:color w:val="auto"/>
                      <w:spacing w:val="-1"/>
                      <w:sz w:val="21"/>
                      <w:szCs w:val="21"/>
                    </w:rPr>
                  </w:pPr>
                  <w:r>
                    <w:rPr>
                      <w:rFonts w:ascii="Times New Roman" w:hAnsi="Times New Roman" w:cs="Times New Roman"/>
                      <w:b/>
                      <w:bCs/>
                      <w:color w:val="auto"/>
                      <w:spacing w:val="-1"/>
                      <w:sz w:val="21"/>
                      <w:szCs w:val="21"/>
                    </w:rPr>
                    <w:t>型号</w:t>
                  </w:r>
                </w:p>
              </w:tc>
              <w:tc>
                <w:tcPr>
                  <w:tcW w:w="911" w:type="pct"/>
                  <w:tcBorders>
                    <w:top w:val="single" w:sz="12" w:space="0" w:color="000000"/>
                    <w:left w:val="single" w:sz="4" w:space="0" w:color="000000"/>
                    <w:bottom w:val="single" w:sz="4" w:space="0" w:color="000000"/>
                    <w:right w:val="single" w:sz="4" w:space="0" w:color="000000"/>
                  </w:tcBorders>
                  <w:vAlign w:val="center"/>
                </w:tcPr>
                <w:p w14:paraId="3E8F9982" w14:textId="77777777" w:rsidR="00F76A63" w:rsidRDefault="00000000">
                  <w:pPr>
                    <w:pStyle w:val="TableText"/>
                    <w:jc w:val="center"/>
                    <w:rPr>
                      <w:rFonts w:ascii="Times New Roman" w:hAnsi="Times New Roman" w:cs="Times New Roman"/>
                      <w:b/>
                      <w:bCs/>
                      <w:color w:val="auto"/>
                      <w:spacing w:val="-1"/>
                      <w:sz w:val="21"/>
                      <w:szCs w:val="21"/>
                    </w:rPr>
                  </w:pPr>
                  <w:r>
                    <w:rPr>
                      <w:rFonts w:ascii="Times New Roman" w:hAnsi="Times New Roman" w:cs="Times New Roman"/>
                      <w:b/>
                      <w:bCs/>
                      <w:color w:val="auto"/>
                      <w:spacing w:val="-1"/>
                      <w:sz w:val="21"/>
                      <w:szCs w:val="21"/>
                    </w:rPr>
                    <w:t>单位</w:t>
                  </w:r>
                </w:p>
              </w:tc>
              <w:tc>
                <w:tcPr>
                  <w:tcW w:w="582" w:type="pct"/>
                  <w:tcBorders>
                    <w:top w:val="single" w:sz="12" w:space="0" w:color="000000"/>
                    <w:left w:val="single" w:sz="4" w:space="0" w:color="000000"/>
                    <w:bottom w:val="single" w:sz="4" w:space="0" w:color="000000"/>
                    <w:right w:val="single" w:sz="4" w:space="0" w:color="000000"/>
                  </w:tcBorders>
                  <w:vAlign w:val="center"/>
                </w:tcPr>
                <w:p w14:paraId="2600DBCB" w14:textId="77777777" w:rsidR="00F76A63" w:rsidRDefault="00000000">
                  <w:pPr>
                    <w:pStyle w:val="TableText"/>
                    <w:jc w:val="center"/>
                    <w:rPr>
                      <w:rFonts w:ascii="Times New Roman" w:hAnsi="Times New Roman" w:cs="Times New Roman"/>
                      <w:b/>
                      <w:bCs/>
                      <w:color w:val="auto"/>
                      <w:spacing w:val="-1"/>
                      <w:sz w:val="21"/>
                      <w:szCs w:val="21"/>
                    </w:rPr>
                  </w:pPr>
                  <w:r>
                    <w:rPr>
                      <w:rFonts w:ascii="Times New Roman" w:hAnsi="Times New Roman" w:cs="Times New Roman"/>
                      <w:b/>
                      <w:bCs/>
                      <w:color w:val="auto"/>
                      <w:spacing w:val="-1"/>
                      <w:sz w:val="21"/>
                      <w:szCs w:val="21"/>
                    </w:rPr>
                    <w:t>数量</w:t>
                  </w:r>
                </w:p>
              </w:tc>
              <w:tc>
                <w:tcPr>
                  <w:tcW w:w="683" w:type="pct"/>
                  <w:tcBorders>
                    <w:top w:val="single" w:sz="12" w:space="0" w:color="000000"/>
                    <w:left w:val="single" w:sz="4" w:space="0" w:color="000000"/>
                    <w:bottom w:val="single" w:sz="4" w:space="0" w:color="000000"/>
                    <w:right w:val="nil"/>
                  </w:tcBorders>
                  <w:vAlign w:val="center"/>
                </w:tcPr>
                <w:p w14:paraId="09FCC886" w14:textId="77777777" w:rsidR="00F76A63" w:rsidRDefault="00000000">
                  <w:pPr>
                    <w:pStyle w:val="TableText"/>
                    <w:jc w:val="center"/>
                    <w:rPr>
                      <w:rFonts w:ascii="Times New Roman" w:hAnsi="Times New Roman" w:cs="Times New Roman"/>
                      <w:b/>
                      <w:bCs/>
                      <w:color w:val="auto"/>
                      <w:spacing w:val="-1"/>
                      <w:sz w:val="21"/>
                      <w:szCs w:val="21"/>
                    </w:rPr>
                  </w:pPr>
                  <w:r>
                    <w:rPr>
                      <w:rFonts w:ascii="Times New Roman" w:hAnsi="Times New Roman" w:cs="Times New Roman"/>
                      <w:b/>
                      <w:bCs/>
                      <w:color w:val="auto"/>
                      <w:spacing w:val="-1"/>
                      <w:sz w:val="21"/>
                      <w:szCs w:val="21"/>
                    </w:rPr>
                    <w:t>备注</w:t>
                  </w:r>
                </w:p>
              </w:tc>
            </w:tr>
            <w:tr w:rsidR="00F76A63" w14:paraId="4924814F" w14:textId="77777777">
              <w:trPr>
                <w:trHeight w:val="340"/>
                <w:jc w:val="center"/>
              </w:trPr>
              <w:tc>
                <w:tcPr>
                  <w:tcW w:w="451" w:type="pct"/>
                  <w:tcBorders>
                    <w:top w:val="single" w:sz="4" w:space="0" w:color="000000"/>
                    <w:left w:val="nil"/>
                    <w:bottom w:val="single" w:sz="4" w:space="0" w:color="000000"/>
                    <w:right w:val="single" w:sz="4" w:space="0" w:color="000000"/>
                  </w:tcBorders>
                  <w:vAlign w:val="center"/>
                </w:tcPr>
                <w:p w14:paraId="05EB9C41"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1287" w:type="pct"/>
                  <w:tcBorders>
                    <w:top w:val="single" w:sz="4" w:space="0" w:color="000000"/>
                    <w:left w:val="single" w:sz="4" w:space="0" w:color="000000"/>
                    <w:bottom w:val="single" w:sz="4" w:space="0" w:color="000000"/>
                    <w:right w:val="single" w:sz="4" w:space="0" w:color="000000"/>
                  </w:tcBorders>
                  <w:vAlign w:val="center"/>
                </w:tcPr>
                <w:p w14:paraId="3AD621E3"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X</w:t>
                  </w:r>
                  <w:r>
                    <w:rPr>
                      <w:rFonts w:ascii="Times New Roman" w:hAnsi="Times New Roman" w:cs="Times New Roman"/>
                      <w:bCs/>
                      <w:color w:val="auto"/>
                      <w:spacing w:val="-1"/>
                      <w:sz w:val="21"/>
                      <w:szCs w:val="21"/>
                    </w:rPr>
                    <w:t>射线荧光光谱仪</w:t>
                  </w:r>
                </w:p>
              </w:tc>
              <w:tc>
                <w:tcPr>
                  <w:tcW w:w="1086" w:type="pct"/>
                  <w:tcBorders>
                    <w:top w:val="single" w:sz="4" w:space="0" w:color="000000"/>
                    <w:left w:val="single" w:sz="4" w:space="0" w:color="000000"/>
                    <w:bottom w:val="single" w:sz="4" w:space="0" w:color="000000"/>
                    <w:right w:val="single" w:sz="4" w:space="0" w:color="000000"/>
                  </w:tcBorders>
                  <w:vAlign w:val="center"/>
                </w:tcPr>
                <w:p w14:paraId="43DEC4C0"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布鲁克</w:t>
                  </w:r>
                  <w:r>
                    <w:rPr>
                      <w:rFonts w:ascii="Times New Roman" w:hAnsi="Times New Roman" w:cs="Times New Roman"/>
                      <w:bCs/>
                      <w:color w:val="auto"/>
                      <w:spacing w:val="-1"/>
                      <w:sz w:val="21"/>
                      <w:szCs w:val="21"/>
                    </w:rPr>
                    <w:t>S8TIGER3kW</w:t>
                  </w:r>
                </w:p>
              </w:tc>
              <w:tc>
                <w:tcPr>
                  <w:tcW w:w="911" w:type="pct"/>
                  <w:tcBorders>
                    <w:top w:val="single" w:sz="4" w:space="0" w:color="000000"/>
                    <w:left w:val="single" w:sz="4" w:space="0" w:color="000000"/>
                    <w:bottom w:val="single" w:sz="4" w:space="0" w:color="000000"/>
                    <w:right w:val="single" w:sz="4" w:space="0" w:color="000000"/>
                  </w:tcBorders>
                  <w:vAlign w:val="center"/>
                </w:tcPr>
                <w:p w14:paraId="542ED7EF"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台</w:t>
                  </w:r>
                </w:p>
              </w:tc>
              <w:tc>
                <w:tcPr>
                  <w:tcW w:w="582" w:type="pct"/>
                  <w:tcBorders>
                    <w:top w:val="single" w:sz="4" w:space="0" w:color="000000"/>
                    <w:left w:val="single" w:sz="4" w:space="0" w:color="000000"/>
                    <w:bottom w:val="single" w:sz="4" w:space="0" w:color="000000"/>
                    <w:right w:val="single" w:sz="4" w:space="0" w:color="000000"/>
                  </w:tcBorders>
                  <w:vAlign w:val="center"/>
                </w:tcPr>
                <w:p w14:paraId="241ED207"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683" w:type="pct"/>
                  <w:tcBorders>
                    <w:top w:val="single" w:sz="4" w:space="0" w:color="000000"/>
                    <w:left w:val="single" w:sz="4" w:space="0" w:color="000000"/>
                    <w:bottom w:val="single" w:sz="4" w:space="0" w:color="000000"/>
                    <w:right w:val="nil"/>
                  </w:tcBorders>
                  <w:vAlign w:val="center"/>
                </w:tcPr>
                <w:p w14:paraId="4D6C2717"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依托</w:t>
                  </w:r>
                </w:p>
              </w:tc>
            </w:tr>
            <w:tr w:rsidR="00F76A63" w14:paraId="4AFA9320" w14:textId="77777777">
              <w:trPr>
                <w:trHeight w:val="340"/>
                <w:jc w:val="center"/>
              </w:trPr>
              <w:tc>
                <w:tcPr>
                  <w:tcW w:w="451" w:type="pct"/>
                  <w:tcBorders>
                    <w:top w:val="single" w:sz="4" w:space="0" w:color="000000"/>
                    <w:left w:val="nil"/>
                    <w:bottom w:val="single" w:sz="4" w:space="0" w:color="000000"/>
                    <w:right w:val="single" w:sz="4" w:space="0" w:color="000000"/>
                  </w:tcBorders>
                  <w:vAlign w:val="center"/>
                </w:tcPr>
                <w:p w14:paraId="18819961"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2</w:t>
                  </w:r>
                </w:p>
              </w:tc>
              <w:tc>
                <w:tcPr>
                  <w:tcW w:w="1287" w:type="pct"/>
                  <w:tcBorders>
                    <w:top w:val="single" w:sz="4" w:space="0" w:color="000000"/>
                    <w:left w:val="single" w:sz="4" w:space="0" w:color="000000"/>
                    <w:bottom w:val="single" w:sz="4" w:space="0" w:color="000000"/>
                    <w:right w:val="single" w:sz="4" w:space="0" w:color="000000"/>
                  </w:tcBorders>
                  <w:vAlign w:val="center"/>
                </w:tcPr>
                <w:p w14:paraId="3EE5E45F"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电感耦合等离子体质谱仪</w:t>
                  </w:r>
                </w:p>
              </w:tc>
              <w:tc>
                <w:tcPr>
                  <w:tcW w:w="1086" w:type="pct"/>
                  <w:tcBorders>
                    <w:top w:val="single" w:sz="4" w:space="0" w:color="000000"/>
                    <w:left w:val="single" w:sz="4" w:space="0" w:color="000000"/>
                    <w:bottom w:val="single" w:sz="4" w:space="0" w:color="000000"/>
                    <w:right w:val="single" w:sz="4" w:space="0" w:color="000000"/>
                  </w:tcBorders>
                  <w:vAlign w:val="center"/>
                </w:tcPr>
                <w:p w14:paraId="1476EAF4"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铂金埃尔默</w:t>
                  </w:r>
                  <w:r>
                    <w:rPr>
                      <w:rFonts w:ascii="Times New Roman" w:hAnsi="Times New Roman" w:cs="Times New Roman"/>
                      <w:bCs/>
                      <w:color w:val="auto"/>
                      <w:spacing w:val="-1"/>
                      <w:sz w:val="21"/>
                      <w:szCs w:val="21"/>
                    </w:rPr>
                    <w:t>Neion1000G</w:t>
                  </w:r>
                </w:p>
              </w:tc>
              <w:tc>
                <w:tcPr>
                  <w:tcW w:w="911" w:type="pct"/>
                  <w:tcBorders>
                    <w:top w:val="single" w:sz="4" w:space="0" w:color="000000"/>
                    <w:left w:val="single" w:sz="4" w:space="0" w:color="000000"/>
                    <w:bottom w:val="single" w:sz="4" w:space="0" w:color="000000"/>
                    <w:right w:val="single" w:sz="4" w:space="0" w:color="000000"/>
                  </w:tcBorders>
                  <w:vAlign w:val="center"/>
                </w:tcPr>
                <w:p w14:paraId="31204F55"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台</w:t>
                  </w:r>
                </w:p>
              </w:tc>
              <w:tc>
                <w:tcPr>
                  <w:tcW w:w="582" w:type="pct"/>
                  <w:tcBorders>
                    <w:top w:val="single" w:sz="4" w:space="0" w:color="000000"/>
                    <w:left w:val="single" w:sz="4" w:space="0" w:color="000000"/>
                    <w:bottom w:val="single" w:sz="4" w:space="0" w:color="000000"/>
                    <w:right w:val="single" w:sz="4" w:space="0" w:color="000000"/>
                  </w:tcBorders>
                  <w:vAlign w:val="center"/>
                </w:tcPr>
                <w:p w14:paraId="3F904EAA"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683" w:type="pct"/>
                  <w:tcBorders>
                    <w:top w:val="single" w:sz="4" w:space="0" w:color="000000"/>
                    <w:left w:val="single" w:sz="4" w:space="0" w:color="000000"/>
                    <w:bottom w:val="single" w:sz="4" w:space="0" w:color="000000"/>
                    <w:right w:val="nil"/>
                  </w:tcBorders>
                  <w:vAlign w:val="center"/>
                </w:tcPr>
                <w:p w14:paraId="1E26A0FC"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依托</w:t>
                  </w:r>
                </w:p>
              </w:tc>
            </w:tr>
            <w:tr w:rsidR="00F76A63" w14:paraId="4D4821B6" w14:textId="77777777">
              <w:trPr>
                <w:trHeight w:val="340"/>
                <w:jc w:val="center"/>
              </w:trPr>
              <w:tc>
                <w:tcPr>
                  <w:tcW w:w="451" w:type="pct"/>
                  <w:tcBorders>
                    <w:top w:val="single" w:sz="4" w:space="0" w:color="000000"/>
                    <w:left w:val="nil"/>
                    <w:bottom w:val="single" w:sz="4" w:space="0" w:color="000000"/>
                    <w:right w:val="single" w:sz="4" w:space="0" w:color="000000"/>
                  </w:tcBorders>
                  <w:vAlign w:val="center"/>
                </w:tcPr>
                <w:p w14:paraId="09EB1995"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3</w:t>
                  </w:r>
                </w:p>
              </w:tc>
              <w:tc>
                <w:tcPr>
                  <w:tcW w:w="1287" w:type="pct"/>
                  <w:tcBorders>
                    <w:top w:val="single" w:sz="4" w:space="0" w:color="000000"/>
                    <w:left w:val="single" w:sz="4" w:space="0" w:color="000000"/>
                    <w:bottom w:val="single" w:sz="4" w:space="0" w:color="000000"/>
                    <w:right w:val="single" w:sz="4" w:space="0" w:color="000000"/>
                  </w:tcBorders>
                  <w:vAlign w:val="center"/>
                </w:tcPr>
                <w:p w14:paraId="1B410C46"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测汞仪</w:t>
                  </w:r>
                </w:p>
              </w:tc>
              <w:tc>
                <w:tcPr>
                  <w:tcW w:w="1086" w:type="pct"/>
                  <w:tcBorders>
                    <w:top w:val="single" w:sz="4" w:space="0" w:color="000000"/>
                    <w:left w:val="single" w:sz="4" w:space="0" w:color="000000"/>
                    <w:bottom w:val="single" w:sz="4" w:space="0" w:color="000000"/>
                    <w:right w:val="single" w:sz="4" w:space="0" w:color="000000"/>
                  </w:tcBorders>
                  <w:vAlign w:val="center"/>
                </w:tcPr>
                <w:p w14:paraId="2980942D"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莱伯泰科</w:t>
                  </w:r>
                </w:p>
                <w:p w14:paraId="44C14569"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DMA-80</w:t>
                  </w:r>
                </w:p>
              </w:tc>
              <w:tc>
                <w:tcPr>
                  <w:tcW w:w="911" w:type="pct"/>
                  <w:tcBorders>
                    <w:top w:val="single" w:sz="4" w:space="0" w:color="000000"/>
                    <w:left w:val="single" w:sz="4" w:space="0" w:color="000000"/>
                    <w:bottom w:val="single" w:sz="4" w:space="0" w:color="000000"/>
                    <w:right w:val="single" w:sz="4" w:space="0" w:color="000000"/>
                  </w:tcBorders>
                  <w:vAlign w:val="center"/>
                </w:tcPr>
                <w:p w14:paraId="4590966D"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台</w:t>
                  </w:r>
                </w:p>
              </w:tc>
              <w:tc>
                <w:tcPr>
                  <w:tcW w:w="582" w:type="pct"/>
                  <w:tcBorders>
                    <w:top w:val="single" w:sz="4" w:space="0" w:color="000000"/>
                    <w:left w:val="single" w:sz="4" w:space="0" w:color="000000"/>
                    <w:bottom w:val="single" w:sz="4" w:space="0" w:color="000000"/>
                    <w:right w:val="single" w:sz="4" w:space="0" w:color="000000"/>
                  </w:tcBorders>
                  <w:vAlign w:val="center"/>
                </w:tcPr>
                <w:p w14:paraId="56E79FCC"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683" w:type="pct"/>
                  <w:tcBorders>
                    <w:top w:val="single" w:sz="4" w:space="0" w:color="000000"/>
                    <w:left w:val="single" w:sz="4" w:space="0" w:color="000000"/>
                    <w:bottom w:val="single" w:sz="4" w:space="0" w:color="000000"/>
                    <w:right w:val="nil"/>
                  </w:tcBorders>
                  <w:vAlign w:val="center"/>
                </w:tcPr>
                <w:p w14:paraId="0EEA4AE6"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依托</w:t>
                  </w:r>
                </w:p>
              </w:tc>
            </w:tr>
            <w:tr w:rsidR="00F76A63" w14:paraId="174976A9" w14:textId="77777777">
              <w:trPr>
                <w:trHeight w:val="340"/>
                <w:jc w:val="center"/>
              </w:trPr>
              <w:tc>
                <w:tcPr>
                  <w:tcW w:w="451" w:type="pct"/>
                  <w:tcBorders>
                    <w:top w:val="single" w:sz="4" w:space="0" w:color="000000"/>
                    <w:left w:val="nil"/>
                    <w:bottom w:val="single" w:sz="4" w:space="0" w:color="000000"/>
                    <w:right w:val="single" w:sz="4" w:space="0" w:color="000000"/>
                  </w:tcBorders>
                  <w:vAlign w:val="center"/>
                </w:tcPr>
                <w:p w14:paraId="634219E2"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4</w:t>
                  </w:r>
                </w:p>
              </w:tc>
              <w:tc>
                <w:tcPr>
                  <w:tcW w:w="1287" w:type="pct"/>
                  <w:tcBorders>
                    <w:top w:val="single" w:sz="4" w:space="0" w:color="000000"/>
                    <w:left w:val="single" w:sz="4" w:space="0" w:color="000000"/>
                    <w:bottom w:val="single" w:sz="4" w:space="0" w:color="000000"/>
                    <w:right w:val="single" w:sz="4" w:space="0" w:color="000000"/>
                  </w:tcBorders>
                  <w:vAlign w:val="center"/>
                </w:tcPr>
                <w:p w14:paraId="79E7D9FA"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多通量微波消解</w:t>
                  </w:r>
                  <w:r>
                    <w:rPr>
                      <w:rFonts w:ascii="Times New Roman" w:hAnsi="Times New Roman" w:cs="Times New Roman"/>
                      <w:bCs/>
                      <w:color w:val="auto"/>
                      <w:spacing w:val="-1"/>
                      <w:sz w:val="21"/>
                      <w:szCs w:val="21"/>
                    </w:rPr>
                    <w:t>/</w:t>
                  </w:r>
                  <w:r>
                    <w:rPr>
                      <w:rFonts w:ascii="Times New Roman" w:hAnsi="Times New Roman" w:cs="Times New Roman"/>
                      <w:bCs/>
                      <w:color w:val="auto"/>
                      <w:spacing w:val="-1"/>
                      <w:sz w:val="21"/>
                      <w:szCs w:val="21"/>
                    </w:rPr>
                    <w:t>萃取系统</w:t>
                  </w:r>
                </w:p>
              </w:tc>
              <w:tc>
                <w:tcPr>
                  <w:tcW w:w="1086" w:type="pct"/>
                  <w:tcBorders>
                    <w:top w:val="single" w:sz="4" w:space="0" w:color="000000"/>
                    <w:left w:val="single" w:sz="4" w:space="0" w:color="000000"/>
                    <w:bottom w:val="single" w:sz="4" w:space="0" w:color="000000"/>
                    <w:right w:val="single" w:sz="4" w:space="0" w:color="000000"/>
                  </w:tcBorders>
                  <w:vAlign w:val="center"/>
                </w:tcPr>
                <w:p w14:paraId="4EA234B8"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上海新仪</w:t>
                  </w:r>
                </w:p>
                <w:p w14:paraId="3FCD5C12"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MDS-6G</w:t>
                  </w:r>
                </w:p>
              </w:tc>
              <w:tc>
                <w:tcPr>
                  <w:tcW w:w="911" w:type="pct"/>
                  <w:tcBorders>
                    <w:top w:val="single" w:sz="4" w:space="0" w:color="000000"/>
                    <w:left w:val="single" w:sz="4" w:space="0" w:color="000000"/>
                    <w:bottom w:val="single" w:sz="4" w:space="0" w:color="000000"/>
                    <w:right w:val="single" w:sz="4" w:space="0" w:color="000000"/>
                  </w:tcBorders>
                  <w:vAlign w:val="center"/>
                </w:tcPr>
                <w:p w14:paraId="44520797"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台</w:t>
                  </w:r>
                </w:p>
              </w:tc>
              <w:tc>
                <w:tcPr>
                  <w:tcW w:w="582" w:type="pct"/>
                  <w:tcBorders>
                    <w:top w:val="single" w:sz="4" w:space="0" w:color="000000"/>
                    <w:left w:val="single" w:sz="4" w:space="0" w:color="000000"/>
                    <w:bottom w:val="single" w:sz="4" w:space="0" w:color="000000"/>
                    <w:right w:val="single" w:sz="4" w:space="0" w:color="000000"/>
                  </w:tcBorders>
                  <w:vAlign w:val="center"/>
                </w:tcPr>
                <w:p w14:paraId="19F9F8A9"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683" w:type="pct"/>
                  <w:tcBorders>
                    <w:top w:val="single" w:sz="4" w:space="0" w:color="000000"/>
                    <w:left w:val="single" w:sz="4" w:space="0" w:color="000000"/>
                    <w:bottom w:val="single" w:sz="4" w:space="0" w:color="000000"/>
                    <w:right w:val="nil"/>
                  </w:tcBorders>
                  <w:vAlign w:val="center"/>
                </w:tcPr>
                <w:p w14:paraId="25C525D7"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依托</w:t>
                  </w:r>
                </w:p>
              </w:tc>
            </w:tr>
            <w:tr w:rsidR="00F76A63" w14:paraId="090DC494" w14:textId="77777777">
              <w:trPr>
                <w:trHeight w:val="340"/>
                <w:jc w:val="center"/>
              </w:trPr>
              <w:tc>
                <w:tcPr>
                  <w:tcW w:w="451" w:type="pct"/>
                  <w:tcBorders>
                    <w:top w:val="single" w:sz="4" w:space="0" w:color="000000"/>
                    <w:left w:val="nil"/>
                    <w:bottom w:val="single" w:sz="4" w:space="0" w:color="000000"/>
                    <w:right w:val="single" w:sz="4" w:space="0" w:color="000000"/>
                  </w:tcBorders>
                  <w:vAlign w:val="center"/>
                </w:tcPr>
                <w:p w14:paraId="7859E4CB"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5</w:t>
                  </w:r>
                </w:p>
              </w:tc>
              <w:tc>
                <w:tcPr>
                  <w:tcW w:w="1287" w:type="pct"/>
                  <w:tcBorders>
                    <w:top w:val="single" w:sz="4" w:space="0" w:color="000000"/>
                    <w:left w:val="single" w:sz="4" w:space="0" w:color="000000"/>
                    <w:bottom w:val="single" w:sz="4" w:space="0" w:color="000000"/>
                    <w:right w:val="single" w:sz="4" w:space="0" w:color="000000"/>
                  </w:tcBorders>
                  <w:vAlign w:val="center"/>
                </w:tcPr>
                <w:p w14:paraId="2BAB30D1"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赶酸仪</w:t>
                  </w:r>
                </w:p>
              </w:tc>
              <w:tc>
                <w:tcPr>
                  <w:tcW w:w="1086" w:type="pct"/>
                  <w:tcBorders>
                    <w:top w:val="single" w:sz="4" w:space="0" w:color="000000"/>
                    <w:left w:val="single" w:sz="4" w:space="0" w:color="000000"/>
                    <w:bottom w:val="single" w:sz="4" w:space="0" w:color="000000"/>
                    <w:right w:val="single" w:sz="4" w:space="0" w:color="000000"/>
                  </w:tcBorders>
                  <w:vAlign w:val="center"/>
                </w:tcPr>
                <w:p w14:paraId="617C7925"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上海新仪</w:t>
                  </w:r>
                </w:p>
                <w:p w14:paraId="7F407B9F"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ECH-2</w:t>
                  </w:r>
                </w:p>
              </w:tc>
              <w:tc>
                <w:tcPr>
                  <w:tcW w:w="911" w:type="pct"/>
                  <w:tcBorders>
                    <w:top w:val="single" w:sz="4" w:space="0" w:color="000000"/>
                    <w:left w:val="single" w:sz="4" w:space="0" w:color="000000"/>
                    <w:bottom w:val="single" w:sz="4" w:space="0" w:color="000000"/>
                    <w:right w:val="single" w:sz="4" w:space="0" w:color="000000"/>
                  </w:tcBorders>
                  <w:vAlign w:val="center"/>
                </w:tcPr>
                <w:p w14:paraId="67D37447"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台</w:t>
                  </w:r>
                </w:p>
              </w:tc>
              <w:tc>
                <w:tcPr>
                  <w:tcW w:w="582" w:type="pct"/>
                  <w:tcBorders>
                    <w:top w:val="single" w:sz="4" w:space="0" w:color="000000"/>
                    <w:left w:val="single" w:sz="4" w:space="0" w:color="000000"/>
                    <w:bottom w:val="single" w:sz="4" w:space="0" w:color="000000"/>
                    <w:right w:val="single" w:sz="4" w:space="0" w:color="000000"/>
                  </w:tcBorders>
                  <w:vAlign w:val="center"/>
                </w:tcPr>
                <w:p w14:paraId="3620A8D3"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683" w:type="pct"/>
                  <w:tcBorders>
                    <w:top w:val="single" w:sz="4" w:space="0" w:color="000000"/>
                    <w:left w:val="single" w:sz="4" w:space="0" w:color="000000"/>
                    <w:bottom w:val="single" w:sz="4" w:space="0" w:color="000000"/>
                    <w:right w:val="nil"/>
                  </w:tcBorders>
                  <w:vAlign w:val="center"/>
                </w:tcPr>
                <w:p w14:paraId="1DF9891C"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依托</w:t>
                  </w:r>
                </w:p>
              </w:tc>
            </w:tr>
            <w:tr w:rsidR="00F76A63" w14:paraId="4B49FFDA" w14:textId="77777777">
              <w:trPr>
                <w:trHeight w:val="340"/>
                <w:jc w:val="center"/>
              </w:trPr>
              <w:tc>
                <w:tcPr>
                  <w:tcW w:w="451" w:type="pct"/>
                  <w:tcBorders>
                    <w:top w:val="single" w:sz="4" w:space="0" w:color="000000"/>
                    <w:left w:val="nil"/>
                    <w:bottom w:val="single" w:sz="4" w:space="0" w:color="000000"/>
                    <w:right w:val="single" w:sz="4" w:space="0" w:color="000000"/>
                  </w:tcBorders>
                  <w:vAlign w:val="center"/>
                </w:tcPr>
                <w:p w14:paraId="703B073A"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6</w:t>
                  </w:r>
                </w:p>
              </w:tc>
              <w:tc>
                <w:tcPr>
                  <w:tcW w:w="1287" w:type="pct"/>
                  <w:tcBorders>
                    <w:top w:val="single" w:sz="4" w:space="0" w:color="000000"/>
                    <w:left w:val="single" w:sz="4" w:space="0" w:color="000000"/>
                    <w:bottom w:val="single" w:sz="4" w:space="0" w:color="000000"/>
                    <w:right w:val="single" w:sz="4" w:space="0" w:color="000000"/>
                  </w:tcBorders>
                  <w:vAlign w:val="center"/>
                </w:tcPr>
                <w:p w14:paraId="23913562"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翻转式振荡器</w:t>
                  </w:r>
                </w:p>
              </w:tc>
              <w:tc>
                <w:tcPr>
                  <w:tcW w:w="1086" w:type="pct"/>
                  <w:tcBorders>
                    <w:top w:val="single" w:sz="4" w:space="0" w:color="000000"/>
                    <w:left w:val="single" w:sz="4" w:space="0" w:color="000000"/>
                    <w:bottom w:val="single" w:sz="4" w:space="0" w:color="000000"/>
                    <w:right w:val="single" w:sz="4" w:space="0" w:color="000000"/>
                  </w:tcBorders>
                  <w:vAlign w:val="center"/>
                </w:tcPr>
                <w:p w14:paraId="14B9A714"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湖南昊德</w:t>
                  </w:r>
                </w:p>
                <w:p w14:paraId="314B5FC4"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TCLP-06</w:t>
                  </w:r>
                </w:p>
              </w:tc>
              <w:tc>
                <w:tcPr>
                  <w:tcW w:w="911" w:type="pct"/>
                  <w:tcBorders>
                    <w:top w:val="single" w:sz="4" w:space="0" w:color="000000"/>
                    <w:left w:val="single" w:sz="4" w:space="0" w:color="000000"/>
                    <w:bottom w:val="single" w:sz="4" w:space="0" w:color="000000"/>
                    <w:right w:val="single" w:sz="4" w:space="0" w:color="000000"/>
                  </w:tcBorders>
                  <w:vAlign w:val="center"/>
                </w:tcPr>
                <w:p w14:paraId="33A5B034"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台</w:t>
                  </w:r>
                </w:p>
              </w:tc>
              <w:tc>
                <w:tcPr>
                  <w:tcW w:w="582" w:type="pct"/>
                  <w:tcBorders>
                    <w:top w:val="single" w:sz="4" w:space="0" w:color="000000"/>
                    <w:left w:val="single" w:sz="4" w:space="0" w:color="000000"/>
                    <w:bottom w:val="single" w:sz="4" w:space="0" w:color="000000"/>
                    <w:right w:val="single" w:sz="4" w:space="0" w:color="000000"/>
                  </w:tcBorders>
                  <w:vAlign w:val="center"/>
                </w:tcPr>
                <w:p w14:paraId="76659819"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683" w:type="pct"/>
                  <w:tcBorders>
                    <w:top w:val="single" w:sz="4" w:space="0" w:color="000000"/>
                    <w:left w:val="single" w:sz="4" w:space="0" w:color="000000"/>
                    <w:bottom w:val="single" w:sz="4" w:space="0" w:color="000000"/>
                    <w:right w:val="nil"/>
                  </w:tcBorders>
                  <w:vAlign w:val="center"/>
                </w:tcPr>
                <w:p w14:paraId="3288F5C9"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依托</w:t>
                  </w:r>
                </w:p>
              </w:tc>
            </w:tr>
            <w:tr w:rsidR="00F76A63" w14:paraId="194C9A85" w14:textId="77777777">
              <w:trPr>
                <w:trHeight w:val="340"/>
                <w:jc w:val="center"/>
              </w:trPr>
              <w:tc>
                <w:tcPr>
                  <w:tcW w:w="451" w:type="pct"/>
                  <w:tcBorders>
                    <w:top w:val="single" w:sz="4" w:space="0" w:color="000000"/>
                    <w:left w:val="nil"/>
                    <w:bottom w:val="single" w:sz="4" w:space="0" w:color="000000"/>
                    <w:right w:val="single" w:sz="4" w:space="0" w:color="000000"/>
                  </w:tcBorders>
                  <w:vAlign w:val="center"/>
                </w:tcPr>
                <w:p w14:paraId="70E9343F"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7</w:t>
                  </w:r>
                </w:p>
              </w:tc>
              <w:tc>
                <w:tcPr>
                  <w:tcW w:w="1287" w:type="pct"/>
                  <w:tcBorders>
                    <w:top w:val="single" w:sz="4" w:space="0" w:color="000000"/>
                    <w:left w:val="single" w:sz="4" w:space="0" w:color="000000"/>
                    <w:bottom w:val="single" w:sz="4" w:space="0" w:color="000000"/>
                    <w:right w:val="single" w:sz="4" w:space="0" w:color="000000"/>
                  </w:tcBorders>
                  <w:vAlign w:val="center"/>
                </w:tcPr>
                <w:p w14:paraId="3D863DDD"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高速离心机</w:t>
                  </w:r>
                </w:p>
              </w:tc>
              <w:tc>
                <w:tcPr>
                  <w:tcW w:w="1086" w:type="pct"/>
                  <w:tcBorders>
                    <w:top w:val="single" w:sz="4" w:space="0" w:color="000000"/>
                    <w:left w:val="single" w:sz="4" w:space="0" w:color="000000"/>
                    <w:bottom w:val="single" w:sz="4" w:space="0" w:color="000000"/>
                    <w:right w:val="single" w:sz="4" w:space="0" w:color="000000"/>
                  </w:tcBorders>
                  <w:vAlign w:val="center"/>
                </w:tcPr>
                <w:p w14:paraId="62000D31"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湘仪</w:t>
                  </w:r>
                </w:p>
                <w:p w14:paraId="3706FCB3"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TG16-WS</w:t>
                  </w:r>
                </w:p>
              </w:tc>
              <w:tc>
                <w:tcPr>
                  <w:tcW w:w="911" w:type="pct"/>
                  <w:tcBorders>
                    <w:top w:val="single" w:sz="4" w:space="0" w:color="000000"/>
                    <w:left w:val="single" w:sz="4" w:space="0" w:color="000000"/>
                    <w:bottom w:val="single" w:sz="4" w:space="0" w:color="000000"/>
                    <w:right w:val="single" w:sz="4" w:space="0" w:color="000000"/>
                  </w:tcBorders>
                  <w:vAlign w:val="center"/>
                </w:tcPr>
                <w:p w14:paraId="22192816"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台</w:t>
                  </w:r>
                </w:p>
              </w:tc>
              <w:tc>
                <w:tcPr>
                  <w:tcW w:w="582" w:type="pct"/>
                  <w:tcBorders>
                    <w:top w:val="single" w:sz="4" w:space="0" w:color="000000"/>
                    <w:left w:val="single" w:sz="4" w:space="0" w:color="000000"/>
                    <w:bottom w:val="single" w:sz="4" w:space="0" w:color="000000"/>
                    <w:right w:val="single" w:sz="4" w:space="0" w:color="000000"/>
                  </w:tcBorders>
                  <w:vAlign w:val="center"/>
                </w:tcPr>
                <w:p w14:paraId="3A238B4A"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683" w:type="pct"/>
                  <w:tcBorders>
                    <w:top w:val="single" w:sz="4" w:space="0" w:color="000000"/>
                    <w:left w:val="single" w:sz="4" w:space="0" w:color="000000"/>
                    <w:bottom w:val="single" w:sz="4" w:space="0" w:color="000000"/>
                    <w:right w:val="nil"/>
                  </w:tcBorders>
                  <w:vAlign w:val="center"/>
                </w:tcPr>
                <w:p w14:paraId="00A371AD"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依托</w:t>
                  </w:r>
                </w:p>
              </w:tc>
            </w:tr>
            <w:tr w:rsidR="00F76A63" w14:paraId="25065FB6" w14:textId="77777777">
              <w:trPr>
                <w:trHeight w:val="340"/>
                <w:jc w:val="center"/>
              </w:trPr>
              <w:tc>
                <w:tcPr>
                  <w:tcW w:w="451" w:type="pct"/>
                  <w:tcBorders>
                    <w:top w:val="single" w:sz="4" w:space="0" w:color="000000"/>
                    <w:left w:val="nil"/>
                    <w:bottom w:val="single" w:sz="4" w:space="0" w:color="000000"/>
                    <w:right w:val="single" w:sz="4" w:space="0" w:color="000000"/>
                  </w:tcBorders>
                  <w:vAlign w:val="center"/>
                </w:tcPr>
                <w:p w14:paraId="2AD09B4A"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8</w:t>
                  </w:r>
                </w:p>
              </w:tc>
              <w:tc>
                <w:tcPr>
                  <w:tcW w:w="1287" w:type="pct"/>
                  <w:tcBorders>
                    <w:top w:val="single" w:sz="4" w:space="0" w:color="000000"/>
                    <w:left w:val="single" w:sz="4" w:space="0" w:color="000000"/>
                    <w:bottom w:val="single" w:sz="4" w:space="0" w:color="000000"/>
                    <w:right w:val="single" w:sz="4" w:space="0" w:color="000000"/>
                  </w:tcBorders>
                  <w:vAlign w:val="center"/>
                </w:tcPr>
                <w:p w14:paraId="1FE222FD"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氯离子测定仪</w:t>
                  </w:r>
                </w:p>
              </w:tc>
              <w:tc>
                <w:tcPr>
                  <w:tcW w:w="1086" w:type="pct"/>
                  <w:tcBorders>
                    <w:top w:val="single" w:sz="4" w:space="0" w:color="000000"/>
                    <w:left w:val="single" w:sz="4" w:space="0" w:color="000000"/>
                    <w:bottom w:val="single" w:sz="4" w:space="0" w:color="000000"/>
                    <w:right w:val="single" w:sz="4" w:space="0" w:color="000000"/>
                  </w:tcBorders>
                  <w:vAlign w:val="center"/>
                </w:tcPr>
                <w:p w14:paraId="41650F7A"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5E-S3200</w:t>
                  </w:r>
                </w:p>
              </w:tc>
              <w:tc>
                <w:tcPr>
                  <w:tcW w:w="911" w:type="pct"/>
                  <w:tcBorders>
                    <w:top w:val="single" w:sz="4" w:space="0" w:color="000000"/>
                    <w:left w:val="single" w:sz="4" w:space="0" w:color="000000"/>
                    <w:bottom w:val="single" w:sz="4" w:space="0" w:color="000000"/>
                    <w:right w:val="single" w:sz="4" w:space="0" w:color="000000"/>
                  </w:tcBorders>
                  <w:vAlign w:val="center"/>
                </w:tcPr>
                <w:p w14:paraId="5D0F890F"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台</w:t>
                  </w:r>
                </w:p>
              </w:tc>
              <w:tc>
                <w:tcPr>
                  <w:tcW w:w="582" w:type="pct"/>
                  <w:tcBorders>
                    <w:top w:val="single" w:sz="4" w:space="0" w:color="000000"/>
                    <w:left w:val="single" w:sz="4" w:space="0" w:color="000000"/>
                    <w:bottom w:val="single" w:sz="4" w:space="0" w:color="000000"/>
                    <w:right w:val="single" w:sz="4" w:space="0" w:color="000000"/>
                  </w:tcBorders>
                  <w:vAlign w:val="center"/>
                </w:tcPr>
                <w:p w14:paraId="3809DC6A"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683" w:type="pct"/>
                  <w:tcBorders>
                    <w:top w:val="single" w:sz="4" w:space="0" w:color="000000"/>
                    <w:left w:val="single" w:sz="4" w:space="0" w:color="000000"/>
                    <w:bottom w:val="single" w:sz="4" w:space="0" w:color="000000"/>
                    <w:right w:val="nil"/>
                  </w:tcBorders>
                  <w:vAlign w:val="center"/>
                </w:tcPr>
                <w:p w14:paraId="6D59B1C9"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依托</w:t>
                  </w:r>
                </w:p>
              </w:tc>
            </w:tr>
            <w:tr w:rsidR="00F76A63" w14:paraId="2841B91B" w14:textId="77777777">
              <w:trPr>
                <w:trHeight w:val="340"/>
                <w:jc w:val="center"/>
              </w:trPr>
              <w:tc>
                <w:tcPr>
                  <w:tcW w:w="451" w:type="pct"/>
                  <w:tcBorders>
                    <w:top w:val="single" w:sz="4" w:space="0" w:color="000000"/>
                    <w:left w:val="nil"/>
                    <w:bottom w:val="single" w:sz="12" w:space="0" w:color="000000"/>
                    <w:right w:val="single" w:sz="4" w:space="0" w:color="000000"/>
                  </w:tcBorders>
                  <w:vAlign w:val="center"/>
                </w:tcPr>
                <w:p w14:paraId="00928DFB"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9</w:t>
                  </w:r>
                </w:p>
              </w:tc>
              <w:tc>
                <w:tcPr>
                  <w:tcW w:w="1287" w:type="pct"/>
                  <w:tcBorders>
                    <w:top w:val="single" w:sz="4" w:space="0" w:color="000000"/>
                    <w:left w:val="single" w:sz="4" w:space="0" w:color="000000"/>
                    <w:bottom w:val="single" w:sz="12" w:space="0" w:color="000000"/>
                    <w:right w:val="single" w:sz="4" w:space="0" w:color="000000"/>
                  </w:tcBorders>
                  <w:vAlign w:val="center"/>
                </w:tcPr>
                <w:p w14:paraId="115D86E4"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自动电位滴定仪</w:t>
                  </w:r>
                </w:p>
              </w:tc>
              <w:tc>
                <w:tcPr>
                  <w:tcW w:w="1086" w:type="pct"/>
                  <w:tcBorders>
                    <w:top w:val="single" w:sz="4" w:space="0" w:color="000000"/>
                    <w:left w:val="single" w:sz="4" w:space="0" w:color="000000"/>
                    <w:bottom w:val="single" w:sz="12" w:space="0" w:color="000000"/>
                    <w:right w:val="single" w:sz="4" w:space="0" w:color="000000"/>
                  </w:tcBorders>
                  <w:vAlign w:val="center"/>
                </w:tcPr>
                <w:p w14:paraId="4C0C8EDA"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APT-1</w:t>
                  </w:r>
                </w:p>
              </w:tc>
              <w:tc>
                <w:tcPr>
                  <w:tcW w:w="911" w:type="pct"/>
                  <w:tcBorders>
                    <w:top w:val="single" w:sz="4" w:space="0" w:color="000000"/>
                    <w:left w:val="single" w:sz="4" w:space="0" w:color="000000"/>
                    <w:bottom w:val="single" w:sz="12" w:space="0" w:color="000000"/>
                    <w:right w:val="single" w:sz="4" w:space="0" w:color="000000"/>
                  </w:tcBorders>
                  <w:vAlign w:val="center"/>
                </w:tcPr>
                <w:p w14:paraId="18D1251D"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台</w:t>
                  </w:r>
                </w:p>
              </w:tc>
              <w:tc>
                <w:tcPr>
                  <w:tcW w:w="582" w:type="pct"/>
                  <w:tcBorders>
                    <w:top w:val="single" w:sz="4" w:space="0" w:color="000000"/>
                    <w:left w:val="single" w:sz="4" w:space="0" w:color="000000"/>
                    <w:bottom w:val="single" w:sz="12" w:space="0" w:color="000000"/>
                    <w:right w:val="single" w:sz="4" w:space="0" w:color="000000"/>
                  </w:tcBorders>
                  <w:vAlign w:val="center"/>
                </w:tcPr>
                <w:p w14:paraId="2A899883"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1</w:t>
                  </w:r>
                </w:p>
              </w:tc>
              <w:tc>
                <w:tcPr>
                  <w:tcW w:w="683" w:type="pct"/>
                  <w:tcBorders>
                    <w:top w:val="single" w:sz="4" w:space="0" w:color="000000"/>
                    <w:left w:val="single" w:sz="4" w:space="0" w:color="000000"/>
                    <w:bottom w:val="single" w:sz="12" w:space="0" w:color="000000"/>
                    <w:right w:val="nil"/>
                  </w:tcBorders>
                  <w:vAlign w:val="center"/>
                </w:tcPr>
                <w:p w14:paraId="7BAC9E4C" w14:textId="77777777" w:rsidR="00F76A63" w:rsidRDefault="00000000">
                  <w:pPr>
                    <w:pStyle w:val="TableText"/>
                    <w:jc w:val="center"/>
                    <w:rPr>
                      <w:rFonts w:ascii="Times New Roman" w:hAnsi="Times New Roman" w:cs="Times New Roman"/>
                      <w:bCs/>
                      <w:color w:val="auto"/>
                      <w:spacing w:val="-1"/>
                      <w:sz w:val="21"/>
                      <w:szCs w:val="21"/>
                    </w:rPr>
                  </w:pPr>
                  <w:r>
                    <w:rPr>
                      <w:rFonts w:ascii="Times New Roman" w:hAnsi="Times New Roman" w:cs="Times New Roman"/>
                      <w:bCs/>
                      <w:color w:val="auto"/>
                      <w:spacing w:val="-1"/>
                      <w:sz w:val="21"/>
                      <w:szCs w:val="21"/>
                    </w:rPr>
                    <w:t>依托</w:t>
                  </w:r>
                </w:p>
              </w:tc>
            </w:tr>
          </w:tbl>
          <w:p w14:paraId="7C66FF12"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lastRenderedPageBreak/>
              <w:t>分析室、试验室主要设置抽风罩和通风橱对实验过程中样品产生废气进行收集，样品储存室设置抽风管道，汇总后一并排放；停窑检修期间不进行分析化验。</w:t>
            </w:r>
          </w:p>
          <w:p w14:paraId="16545392" w14:textId="77777777" w:rsidR="00F76A63" w:rsidRDefault="00000000">
            <w:pPr>
              <w:pStyle w:val="TableText"/>
              <w:spacing w:line="500" w:lineRule="exact"/>
              <w:ind w:firstLineChars="200" w:firstLine="476"/>
              <w:jc w:val="both"/>
              <w:rPr>
                <w:rFonts w:ascii="Times New Roman" w:hAnsi="Times New Roman" w:cs="Times New Roman"/>
                <w:color w:val="auto"/>
                <w:spacing w:val="-1"/>
              </w:rPr>
            </w:pPr>
            <w:r>
              <w:rPr>
                <w:rFonts w:ascii="Times New Roman" w:hAnsi="Times New Roman" w:cs="Times New Roman"/>
                <w:color w:val="auto"/>
                <w:spacing w:val="-1"/>
              </w:rPr>
              <w:t>采样方法：</w:t>
            </w:r>
          </w:p>
          <w:p w14:paraId="3C16CF99"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根据固废的包装情况选择适当的采集方法。</w:t>
            </w:r>
          </w:p>
          <w:p w14:paraId="5226E5F7"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A.</w:t>
            </w:r>
            <w:r>
              <w:rPr>
                <w:rFonts w:ascii="Times New Roman" w:hAnsi="Times New Roman" w:cs="Times New Roman"/>
                <w:color w:val="auto"/>
                <w:spacing w:val="-1"/>
              </w:rPr>
              <w:t>堆积高度小于或等于</w:t>
            </w:r>
            <w:r>
              <w:rPr>
                <w:rFonts w:ascii="Times New Roman" w:hAnsi="Times New Roman" w:cs="Times New Roman"/>
                <w:color w:val="auto"/>
                <w:spacing w:val="-1"/>
              </w:rPr>
              <w:t>0.5m</w:t>
            </w:r>
            <w:r>
              <w:rPr>
                <w:rFonts w:ascii="Times New Roman" w:hAnsi="Times New Roman" w:cs="Times New Roman"/>
                <w:color w:val="auto"/>
                <w:spacing w:val="-1"/>
              </w:rPr>
              <w:t>的固废依据</w:t>
            </w:r>
            <w:r>
              <w:rPr>
                <w:rFonts w:ascii="Times New Roman" w:hAnsi="Times New Roman" w:cs="Times New Roman"/>
                <w:color w:val="auto"/>
                <w:spacing w:val="-1"/>
              </w:rPr>
              <w:t>HJ/T20</w:t>
            </w:r>
            <w:r>
              <w:rPr>
                <w:rFonts w:ascii="Times New Roman" w:hAnsi="Times New Roman" w:cs="Times New Roman"/>
                <w:color w:val="auto"/>
                <w:spacing w:val="-1"/>
              </w:rPr>
              <w:t>中的简单随机采样法，在采样单元中心位置处用采样铲采样。</w:t>
            </w:r>
          </w:p>
          <w:p w14:paraId="39511637"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B.</w:t>
            </w:r>
            <w:r>
              <w:rPr>
                <w:rFonts w:ascii="Times New Roman" w:hAnsi="Times New Roman" w:cs="Times New Roman"/>
                <w:color w:val="auto"/>
                <w:spacing w:val="-1"/>
              </w:rPr>
              <w:t>堆积高度大于</w:t>
            </w:r>
            <w:r>
              <w:rPr>
                <w:rFonts w:ascii="Times New Roman" w:hAnsi="Times New Roman" w:cs="Times New Roman"/>
                <w:color w:val="auto"/>
                <w:spacing w:val="-1"/>
              </w:rPr>
              <w:t>0.5m</w:t>
            </w:r>
            <w:r>
              <w:rPr>
                <w:rFonts w:ascii="Times New Roman" w:hAnsi="Times New Roman" w:cs="Times New Roman"/>
                <w:color w:val="auto"/>
                <w:spacing w:val="-1"/>
              </w:rPr>
              <w:t>固废依据</w:t>
            </w:r>
            <w:r>
              <w:rPr>
                <w:rFonts w:ascii="Times New Roman" w:hAnsi="Times New Roman" w:cs="Times New Roman"/>
                <w:color w:val="auto"/>
                <w:spacing w:val="-1"/>
              </w:rPr>
              <w:t>HJ/T20</w:t>
            </w:r>
            <w:r>
              <w:rPr>
                <w:rFonts w:ascii="Times New Roman" w:hAnsi="Times New Roman" w:cs="Times New Roman"/>
                <w:color w:val="auto"/>
                <w:spacing w:val="-1"/>
              </w:rPr>
              <w:t>中的分层采样法，采样层数不小于</w:t>
            </w:r>
            <w:r>
              <w:rPr>
                <w:rFonts w:ascii="Times New Roman" w:hAnsi="Times New Roman" w:cs="Times New Roman"/>
                <w:color w:val="auto"/>
                <w:spacing w:val="-1"/>
              </w:rPr>
              <w:t>2</w:t>
            </w:r>
            <w:r>
              <w:rPr>
                <w:rFonts w:ascii="Times New Roman" w:hAnsi="Times New Roman" w:cs="Times New Roman"/>
                <w:color w:val="auto"/>
                <w:spacing w:val="-1"/>
              </w:rPr>
              <w:t>层，各层样品混合作为</w:t>
            </w:r>
            <w:r>
              <w:rPr>
                <w:rFonts w:ascii="Times New Roman" w:hAnsi="Times New Roman" w:cs="Times New Roman"/>
                <w:color w:val="auto"/>
                <w:spacing w:val="-1"/>
              </w:rPr>
              <w:t>1</w:t>
            </w:r>
            <w:r>
              <w:rPr>
                <w:rFonts w:ascii="Times New Roman" w:hAnsi="Times New Roman" w:cs="Times New Roman"/>
                <w:color w:val="auto"/>
                <w:spacing w:val="-1"/>
              </w:rPr>
              <w:t>个份样，用采样探子进行采样。</w:t>
            </w:r>
          </w:p>
          <w:p w14:paraId="76CDFB84"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采样的份样量：</w:t>
            </w:r>
          </w:p>
          <w:p w14:paraId="5736F85A"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w:t>
            </w:r>
            <w:r>
              <w:rPr>
                <w:rFonts w:ascii="Times New Roman" w:hAnsi="Times New Roman" w:cs="Times New Roman"/>
                <w:color w:val="auto"/>
                <w:spacing w:val="-1"/>
              </w:rPr>
              <w:t>a</w:t>
            </w:r>
            <w:r>
              <w:rPr>
                <w:rFonts w:ascii="Times New Roman" w:hAnsi="Times New Roman" w:cs="Times New Roman"/>
                <w:color w:val="auto"/>
                <w:spacing w:val="-1"/>
              </w:rPr>
              <w:t>）满足分析操作的需要。</w:t>
            </w:r>
          </w:p>
          <w:p w14:paraId="72E28935"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w:t>
            </w:r>
            <w:r>
              <w:rPr>
                <w:rFonts w:ascii="Times New Roman" w:hAnsi="Times New Roman" w:cs="Times New Roman"/>
                <w:color w:val="auto"/>
                <w:spacing w:val="-1"/>
              </w:rPr>
              <w:t>b</w:t>
            </w:r>
            <w:r>
              <w:rPr>
                <w:rFonts w:ascii="Times New Roman" w:hAnsi="Times New Roman" w:cs="Times New Roman"/>
                <w:color w:val="auto"/>
                <w:spacing w:val="-1"/>
              </w:rPr>
              <w:t>）依据固体废物的原始颗粒最大粒径，不小于下表中规定的质量。</w:t>
            </w:r>
          </w:p>
          <w:p w14:paraId="77B6A166" w14:textId="77777777" w:rsidR="00F76A63" w:rsidRDefault="00000000">
            <w:pPr>
              <w:pStyle w:val="TableText"/>
              <w:spacing w:line="500" w:lineRule="exact"/>
              <w:jc w:val="center"/>
              <w:rPr>
                <w:rFonts w:ascii="Times New Roman" w:hAnsi="Times New Roman" w:cs="Times New Roman"/>
                <w:b/>
                <w:color w:val="auto"/>
                <w:spacing w:val="-1"/>
              </w:rPr>
            </w:pPr>
            <w:r>
              <w:rPr>
                <w:rFonts w:ascii="Times New Roman" w:hAnsi="Times New Roman" w:cs="Times New Roman"/>
                <w:b/>
                <w:color w:val="auto"/>
                <w:spacing w:val="-1"/>
              </w:rPr>
              <w:t>表</w:t>
            </w:r>
            <w:r>
              <w:rPr>
                <w:rFonts w:ascii="Times New Roman" w:hAnsi="Times New Roman" w:cs="Times New Roman"/>
                <w:b/>
                <w:color w:val="auto"/>
                <w:spacing w:val="-1"/>
              </w:rPr>
              <w:t>2-3</w:t>
            </w:r>
            <w:r>
              <w:rPr>
                <w:rFonts w:ascii="Times New Roman" w:hAnsi="Times New Roman" w:cs="Times New Roman" w:hint="eastAsia"/>
                <w:b/>
                <w:color w:val="auto"/>
                <w:spacing w:val="-1"/>
              </w:rPr>
              <w:t>5</w:t>
            </w:r>
            <w:r>
              <w:rPr>
                <w:rFonts w:ascii="Times New Roman" w:hAnsi="Times New Roman" w:cs="Times New Roman"/>
                <w:b/>
                <w:color w:val="auto"/>
                <w:spacing w:val="-1"/>
              </w:rPr>
              <w:t xml:space="preserve">  </w:t>
            </w:r>
            <w:r>
              <w:rPr>
                <w:rFonts w:ascii="Times New Roman" w:hAnsi="Times New Roman" w:cs="Times New Roman"/>
                <w:b/>
                <w:color w:val="auto"/>
                <w:spacing w:val="-1"/>
              </w:rPr>
              <w:t>不同颗粒直径的固态废物的一个份样所需采集的最小份样量</w:t>
            </w:r>
          </w:p>
          <w:tbl>
            <w:tblPr>
              <w:tblW w:w="5000" w:type="pct"/>
              <w:tblBorders>
                <w:top w:val="single" w:sz="12" w:space="0" w:color="auto"/>
                <w:bottom w:val="single" w:sz="12" w:space="0" w:color="auto"/>
                <w:insideH w:val="single" w:sz="6" w:space="0" w:color="auto"/>
                <w:insideV w:val="single" w:sz="6" w:space="0" w:color="auto"/>
              </w:tblBorders>
              <w:tblLook w:val="04A0" w:firstRow="1" w:lastRow="0" w:firstColumn="1" w:lastColumn="0" w:noHBand="0" w:noVBand="1"/>
            </w:tblPr>
            <w:tblGrid>
              <w:gridCol w:w="5548"/>
              <w:gridCol w:w="2838"/>
            </w:tblGrid>
            <w:tr w:rsidR="00F76A63" w14:paraId="0784DE90" w14:textId="77777777">
              <w:tc>
                <w:tcPr>
                  <w:tcW w:w="3308" w:type="pct"/>
                  <w:tcBorders>
                    <w:top w:val="single" w:sz="12" w:space="0" w:color="auto"/>
                    <w:left w:val="nil"/>
                    <w:bottom w:val="single" w:sz="6" w:space="0" w:color="auto"/>
                    <w:right w:val="single" w:sz="6" w:space="0" w:color="auto"/>
                  </w:tcBorders>
                  <w:vAlign w:val="center"/>
                </w:tcPr>
                <w:p w14:paraId="345ABCAB" w14:textId="77777777" w:rsidR="00F76A63" w:rsidRDefault="00000000">
                  <w:pPr>
                    <w:pStyle w:val="TableText"/>
                    <w:jc w:val="center"/>
                    <w:rPr>
                      <w:rFonts w:ascii="Times New Roman" w:hAnsi="Times New Roman" w:cs="Times New Roman"/>
                      <w:b/>
                      <w:bCs/>
                      <w:color w:val="auto"/>
                      <w:spacing w:val="-1"/>
                      <w:sz w:val="21"/>
                      <w:szCs w:val="21"/>
                    </w:rPr>
                  </w:pPr>
                  <w:r>
                    <w:rPr>
                      <w:rFonts w:ascii="Times New Roman" w:hAnsi="Times New Roman" w:cs="Times New Roman"/>
                      <w:b/>
                      <w:bCs/>
                      <w:color w:val="auto"/>
                      <w:spacing w:val="-1"/>
                      <w:sz w:val="21"/>
                      <w:szCs w:val="21"/>
                    </w:rPr>
                    <w:t>原始颗粒最大粒径（以</w:t>
                  </w:r>
                  <w:r>
                    <w:rPr>
                      <w:rFonts w:ascii="Times New Roman" w:hAnsi="Times New Roman" w:cs="Times New Roman"/>
                      <w:b/>
                      <w:bCs/>
                      <w:color w:val="auto"/>
                      <w:spacing w:val="-1"/>
                      <w:sz w:val="21"/>
                      <w:szCs w:val="21"/>
                    </w:rPr>
                    <w:t>d</w:t>
                  </w:r>
                  <w:r>
                    <w:rPr>
                      <w:rFonts w:ascii="Times New Roman" w:hAnsi="Times New Roman" w:cs="Times New Roman"/>
                      <w:b/>
                      <w:bCs/>
                      <w:color w:val="auto"/>
                      <w:spacing w:val="-1"/>
                      <w:sz w:val="21"/>
                      <w:szCs w:val="21"/>
                    </w:rPr>
                    <w:t>表示）（厘米）</w:t>
                  </w:r>
                </w:p>
              </w:tc>
              <w:tc>
                <w:tcPr>
                  <w:tcW w:w="1692" w:type="pct"/>
                  <w:tcBorders>
                    <w:top w:val="single" w:sz="12" w:space="0" w:color="auto"/>
                    <w:left w:val="single" w:sz="6" w:space="0" w:color="auto"/>
                    <w:bottom w:val="single" w:sz="6" w:space="0" w:color="auto"/>
                    <w:right w:val="nil"/>
                  </w:tcBorders>
                  <w:vAlign w:val="center"/>
                </w:tcPr>
                <w:p w14:paraId="1804B448" w14:textId="77777777" w:rsidR="00F76A63" w:rsidRDefault="00000000">
                  <w:pPr>
                    <w:pStyle w:val="TableText"/>
                    <w:jc w:val="center"/>
                    <w:rPr>
                      <w:rFonts w:ascii="Times New Roman" w:hAnsi="Times New Roman" w:cs="Times New Roman"/>
                      <w:b/>
                      <w:bCs/>
                      <w:color w:val="auto"/>
                      <w:spacing w:val="-1"/>
                      <w:sz w:val="21"/>
                      <w:szCs w:val="21"/>
                    </w:rPr>
                  </w:pPr>
                  <w:r>
                    <w:rPr>
                      <w:rFonts w:ascii="Times New Roman" w:hAnsi="Times New Roman" w:cs="Times New Roman"/>
                      <w:b/>
                      <w:bCs/>
                      <w:color w:val="auto"/>
                      <w:spacing w:val="-1"/>
                      <w:sz w:val="21"/>
                      <w:szCs w:val="21"/>
                    </w:rPr>
                    <w:t>最小份样量（克）</w:t>
                  </w:r>
                </w:p>
              </w:tc>
            </w:tr>
            <w:tr w:rsidR="00F76A63" w14:paraId="55595B73" w14:textId="77777777">
              <w:tc>
                <w:tcPr>
                  <w:tcW w:w="3308" w:type="pct"/>
                  <w:tcBorders>
                    <w:top w:val="single" w:sz="6" w:space="0" w:color="auto"/>
                    <w:left w:val="nil"/>
                    <w:bottom w:val="single" w:sz="6" w:space="0" w:color="auto"/>
                    <w:right w:val="single" w:sz="6" w:space="0" w:color="auto"/>
                  </w:tcBorders>
                  <w:vAlign w:val="center"/>
                </w:tcPr>
                <w:p w14:paraId="0F5AFAD4"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d≤0.50</w:t>
                  </w:r>
                </w:p>
              </w:tc>
              <w:tc>
                <w:tcPr>
                  <w:tcW w:w="1692" w:type="pct"/>
                  <w:tcBorders>
                    <w:top w:val="single" w:sz="6" w:space="0" w:color="auto"/>
                    <w:left w:val="single" w:sz="6" w:space="0" w:color="auto"/>
                    <w:bottom w:val="single" w:sz="6" w:space="0" w:color="auto"/>
                    <w:right w:val="nil"/>
                  </w:tcBorders>
                  <w:vAlign w:val="center"/>
                </w:tcPr>
                <w:p w14:paraId="3055598E"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500</w:t>
                  </w:r>
                </w:p>
              </w:tc>
            </w:tr>
            <w:tr w:rsidR="00F76A63" w14:paraId="79F7EABB" w14:textId="77777777">
              <w:tc>
                <w:tcPr>
                  <w:tcW w:w="3308" w:type="pct"/>
                  <w:tcBorders>
                    <w:top w:val="single" w:sz="6" w:space="0" w:color="auto"/>
                    <w:left w:val="nil"/>
                    <w:bottom w:val="single" w:sz="6" w:space="0" w:color="auto"/>
                    <w:right w:val="single" w:sz="6" w:space="0" w:color="auto"/>
                  </w:tcBorders>
                  <w:vAlign w:val="center"/>
                </w:tcPr>
                <w:p w14:paraId="601633D3"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0.50</w:t>
                  </w:r>
                  <w:r>
                    <w:rPr>
                      <w:rFonts w:ascii="Times New Roman" w:hAnsi="Times New Roman" w:cs="Times New Roman"/>
                      <w:color w:val="auto"/>
                      <w:spacing w:val="-1"/>
                      <w:sz w:val="21"/>
                      <w:szCs w:val="21"/>
                    </w:rPr>
                    <w:t>＜</w:t>
                  </w:r>
                  <w:r>
                    <w:rPr>
                      <w:rFonts w:ascii="Times New Roman" w:hAnsi="Times New Roman" w:cs="Times New Roman"/>
                      <w:color w:val="auto"/>
                      <w:spacing w:val="-1"/>
                      <w:sz w:val="21"/>
                      <w:szCs w:val="21"/>
                    </w:rPr>
                    <w:t>d≤1.0</w:t>
                  </w:r>
                </w:p>
              </w:tc>
              <w:tc>
                <w:tcPr>
                  <w:tcW w:w="1692" w:type="pct"/>
                  <w:tcBorders>
                    <w:top w:val="single" w:sz="6" w:space="0" w:color="auto"/>
                    <w:left w:val="single" w:sz="6" w:space="0" w:color="auto"/>
                    <w:bottom w:val="single" w:sz="6" w:space="0" w:color="auto"/>
                    <w:right w:val="nil"/>
                  </w:tcBorders>
                  <w:vAlign w:val="center"/>
                </w:tcPr>
                <w:p w14:paraId="4ECF18D1"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1000</w:t>
                  </w:r>
                </w:p>
              </w:tc>
            </w:tr>
            <w:tr w:rsidR="00F76A63" w14:paraId="7F3DD127" w14:textId="77777777">
              <w:tc>
                <w:tcPr>
                  <w:tcW w:w="3308" w:type="pct"/>
                  <w:tcBorders>
                    <w:top w:val="single" w:sz="6" w:space="0" w:color="auto"/>
                    <w:left w:val="nil"/>
                    <w:bottom w:val="single" w:sz="12" w:space="0" w:color="auto"/>
                    <w:right w:val="single" w:sz="6" w:space="0" w:color="auto"/>
                  </w:tcBorders>
                  <w:vAlign w:val="center"/>
                </w:tcPr>
                <w:p w14:paraId="36F4FBD9"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d</w:t>
                  </w:r>
                  <w:r>
                    <w:rPr>
                      <w:rFonts w:ascii="Times New Roman" w:hAnsi="Times New Roman" w:cs="Times New Roman"/>
                      <w:color w:val="auto"/>
                      <w:spacing w:val="-1"/>
                      <w:sz w:val="21"/>
                      <w:szCs w:val="21"/>
                    </w:rPr>
                    <w:t>＞</w:t>
                  </w:r>
                  <w:r>
                    <w:rPr>
                      <w:rFonts w:ascii="Times New Roman" w:hAnsi="Times New Roman" w:cs="Times New Roman"/>
                      <w:color w:val="auto"/>
                      <w:spacing w:val="-1"/>
                      <w:sz w:val="21"/>
                      <w:szCs w:val="21"/>
                    </w:rPr>
                    <w:t>1.0</w:t>
                  </w:r>
                </w:p>
              </w:tc>
              <w:tc>
                <w:tcPr>
                  <w:tcW w:w="1692" w:type="pct"/>
                  <w:tcBorders>
                    <w:top w:val="single" w:sz="6" w:space="0" w:color="auto"/>
                    <w:left w:val="single" w:sz="6" w:space="0" w:color="auto"/>
                    <w:bottom w:val="single" w:sz="12" w:space="0" w:color="auto"/>
                    <w:right w:val="nil"/>
                  </w:tcBorders>
                  <w:vAlign w:val="center"/>
                </w:tcPr>
                <w:p w14:paraId="6F6E8DAB"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2000</w:t>
                  </w:r>
                </w:p>
              </w:tc>
            </w:tr>
          </w:tbl>
          <w:p w14:paraId="018DC513"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采样的份样数：</w:t>
            </w:r>
          </w:p>
          <w:p w14:paraId="36CE1FC7"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以固体废物总量为依据，按照下表确定需要采集的最小份样数。</w:t>
            </w:r>
          </w:p>
          <w:p w14:paraId="1CA5DFC6" w14:textId="77777777" w:rsidR="00F76A63" w:rsidRDefault="00F76A63">
            <w:pPr>
              <w:pStyle w:val="TableText"/>
              <w:spacing w:line="500" w:lineRule="exact"/>
              <w:jc w:val="center"/>
              <w:rPr>
                <w:rFonts w:ascii="Times New Roman" w:hAnsi="Times New Roman" w:cs="Times New Roman"/>
                <w:b/>
                <w:color w:val="auto"/>
                <w:spacing w:val="-1"/>
              </w:rPr>
            </w:pPr>
          </w:p>
          <w:p w14:paraId="22868300" w14:textId="77777777" w:rsidR="00F76A63" w:rsidRDefault="00000000">
            <w:pPr>
              <w:pStyle w:val="TableText"/>
              <w:spacing w:line="500" w:lineRule="exact"/>
              <w:jc w:val="center"/>
              <w:rPr>
                <w:rFonts w:ascii="Times New Roman" w:hAnsi="Times New Roman" w:cs="Times New Roman"/>
                <w:b/>
                <w:color w:val="auto"/>
                <w:spacing w:val="-1"/>
              </w:rPr>
            </w:pPr>
            <w:r>
              <w:rPr>
                <w:rFonts w:ascii="Times New Roman" w:hAnsi="Times New Roman" w:cs="Times New Roman"/>
                <w:b/>
                <w:color w:val="auto"/>
                <w:spacing w:val="-1"/>
              </w:rPr>
              <w:t>表</w:t>
            </w:r>
            <w:r>
              <w:rPr>
                <w:rFonts w:ascii="Times New Roman" w:hAnsi="Times New Roman" w:cs="Times New Roman"/>
                <w:b/>
                <w:color w:val="auto"/>
                <w:spacing w:val="-1"/>
              </w:rPr>
              <w:t>2-3</w:t>
            </w:r>
            <w:r>
              <w:rPr>
                <w:rFonts w:ascii="Times New Roman" w:hAnsi="Times New Roman" w:cs="Times New Roman" w:hint="eastAsia"/>
                <w:b/>
                <w:color w:val="auto"/>
                <w:spacing w:val="-1"/>
              </w:rPr>
              <w:t>6</w:t>
            </w:r>
            <w:r>
              <w:rPr>
                <w:rFonts w:ascii="Times New Roman" w:hAnsi="Times New Roman" w:cs="Times New Roman"/>
                <w:b/>
                <w:color w:val="auto"/>
                <w:spacing w:val="-1"/>
              </w:rPr>
              <w:t xml:space="preserve">  </w:t>
            </w:r>
            <w:r>
              <w:rPr>
                <w:rFonts w:ascii="Times New Roman" w:hAnsi="Times New Roman" w:cs="Times New Roman"/>
                <w:b/>
                <w:color w:val="auto"/>
                <w:spacing w:val="-1"/>
              </w:rPr>
              <w:t>固体废物采集最小份样数</w:t>
            </w:r>
          </w:p>
          <w:tbl>
            <w:tblPr>
              <w:tblW w:w="5000" w:type="pct"/>
              <w:jc w:val="center"/>
              <w:tblBorders>
                <w:top w:val="single" w:sz="12" w:space="0" w:color="auto"/>
                <w:bottom w:val="single" w:sz="12" w:space="0" w:color="auto"/>
                <w:insideH w:val="single" w:sz="6" w:space="0" w:color="auto"/>
                <w:insideV w:val="single" w:sz="6" w:space="0" w:color="auto"/>
              </w:tblBorders>
              <w:tblLook w:val="04A0" w:firstRow="1" w:lastRow="0" w:firstColumn="1" w:lastColumn="0" w:noHBand="0" w:noVBand="1"/>
            </w:tblPr>
            <w:tblGrid>
              <w:gridCol w:w="5337"/>
              <w:gridCol w:w="3049"/>
            </w:tblGrid>
            <w:tr w:rsidR="00F76A63" w14:paraId="1612AFD6" w14:textId="77777777">
              <w:trPr>
                <w:trHeight w:val="376"/>
                <w:jc w:val="center"/>
              </w:trPr>
              <w:tc>
                <w:tcPr>
                  <w:tcW w:w="3182" w:type="pct"/>
                  <w:tcBorders>
                    <w:top w:val="single" w:sz="12" w:space="0" w:color="auto"/>
                    <w:left w:val="nil"/>
                    <w:bottom w:val="single" w:sz="6" w:space="0" w:color="auto"/>
                    <w:right w:val="single" w:sz="6" w:space="0" w:color="auto"/>
                  </w:tcBorders>
                  <w:vAlign w:val="center"/>
                </w:tcPr>
                <w:p w14:paraId="1D5C6933" w14:textId="77777777" w:rsidR="00F76A63" w:rsidRDefault="00000000">
                  <w:pPr>
                    <w:pStyle w:val="TableText"/>
                    <w:jc w:val="center"/>
                    <w:rPr>
                      <w:rFonts w:ascii="Times New Roman" w:hAnsi="Times New Roman" w:cs="Times New Roman"/>
                      <w:b/>
                      <w:bCs/>
                      <w:color w:val="auto"/>
                      <w:spacing w:val="-1"/>
                      <w:sz w:val="21"/>
                      <w:szCs w:val="21"/>
                    </w:rPr>
                  </w:pPr>
                  <w:r>
                    <w:rPr>
                      <w:rFonts w:ascii="Times New Roman" w:hAnsi="Times New Roman" w:cs="Times New Roman"/>
                      <w:b/>
                      <w:bCs/>
                      <w:color w:val="auto"/>
                      <w:spacing w:val="-1"/>
                      <w:sz w:val="21"/>
                      <w:szCs w:val="21"/>
                    </w:rPr>
                    <w:t>固体废物质量（以</w:t>
                  </w:r>
                  <w:r>
                    <w:rPr>
                      <w:rFonts w:ascii="Times New Roman" w:hAnsi="Times New Roman" w:cs="Times New Roman"/>
                      <w:b/>
                      <w:bCs/>
                      <w:color w:val="auto"/>
                      <w:spacing w:val="-1"/>
                      <w:sz w:val="21"/>
                      <w:szCs w:val="21"/>
                    </w:rPr>
                    <w:t>q</w:t>
                  </w:r>
                  <w:r>
                    <w:rPr>
                      <w:rFonts w:ascii="Times New Roman" w:hAnsi="Times New Roman" w:cs="Times New Roman"/>
                      <w:b/>
                      <w:bCs/>
                      <w:color w:val="auto"/>
                      <w:spacing w:val="-1"/>
                      <w:sz w:val="21"/>
                      <w:szCs w:val="21"/>
                    </w:rPr>
                    <w:t>表示）（吨）</w:t>
                  </w:r>
                </w:p>
              </w:tc>
              <w:tc>
                <w:tcPr>
                  <w:tcW w:w="1818" w:type="pct"/>
                  <w:tcBorders>
                    <w:top w:val="single" w:sz="12" w:space="0" w:color="auto"/>
                    <w:left w:val="single" w:sz="6" w:space="0" w:color="auto"/>
                    <w:bottom w:val="single" w:sz="6" w:space="0" w:color="auto"/>
                    <w:right w:val="nil"/>
                  </w:tcBorders>
                  <w:vAlign w:val="center"/>
                </w:tcPr>
                <w:p w14:paraId="7D3C86F7" w14:textId="77777777" w:rsidR="00F76A63" w:rsidRDefault="00000000">
                  <w:pPr>
                    <w:pStyle w:val="TableText"/>
                    <w:jc w:val="center"/>
                    <w:rPr>
                      <w:rFonts w:ascii="Times New Roman" w:hAnsi="Times New Roman" w:cs="Times New Roman"/>
                      <w:b/>
                      <w:bCs/>
                      <w:color w:val="auto"/>
                      <w:spacing w:val="-1"/>
                      <w:sz w:val="21"/>
                      <w:szCs w:val="21"/>
                    </w:rPr>
                  </w:pPr>
                  <w:r>
                    <w:rPr>
                      <w:rFonts w:ascii="Times New Roman" w:hAnsi="Times New Roman" w:cs="Times New Roman"/>
                      <w:b/>
                      <w:bCs/>
                      <w:color w:val="auto"/>
                      <w:spacing w:val="-1"/>
                      <w:sz w:val="21"/>
                      <w:szCs w:val="21"/>
                    </w:rPr>
                    <w:t>最小份样数（个）</w:t>
                  </w:r>
                </w:p>
              </w:tc>
            </w:tr>
            <w:tr w:rsidR="00F76A63" w14:paraId="4D78117B" w14:textId="77777777">
              <w:trPr>
                <w:trHeight w:val="345"/>
                <w:jc w:val="center"/>
              </w:trPr>
              <w:tc>
                <w:tcPr>
                  <w:tcW w:w="3182" w:type="pct"/>
                  <w:tcBorders>
                    <w:top w:val="single" w:sz="6" w:space="0" w:color="auto"/>
                    <w:left w:val="nil"/>
                    <w:bottom w:val="single" w:sz="6" w:space="0" w:color="auto"/>
                    <w:right w:val="single" w:sz="6" w:space="0" w:color="auto"/>
                  </w:tcBorders>
                  <w:vAlign w:val="center"/>
                </w:tcPr>
                <w:p w14:paraId="65F07331"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q≤5</w:t>
                  </w:r>
                </w:p>
              </w:tc>
              <w:tc>
                <w:tcPr>
                  <w:tcW w:w="1818" w:type="pct"/>
                  <w:tcBorders>
                    <w:top w:val="single" w:sz="6" w:space="0" w:color="auto"/>
                    <w:left w:val="single" w:sz="6" w:space="0" w:color="auto"/>
                    <w:bottom w:val="single" w:sz="6" w:space="0" w:color="auto"/>
                    <w:right w:val="nil"/>
                  </w:tcBorders>
                  <w:vAlign w:val="center"/>
                </w:tcPr>
                <w:p w14:paraId="547FFF75"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5</w:t>
                  </w:r>
                </w:p>
              </w:tc>
            </w:tr>
            <w:tr w:rsidR="00F76A63" w14:paraId="3B84D72B" w14:textId="77777777">
              <w:trPr>
                <w:jc w:val="center"/>
              </w:trPr>
              <w:tc>
                <w:tcPr>
                  <w:tcW w:w="3182" w:type="pct"/>
                  <w:tcBorders>
                    <w:top w:val="single" w:sz="6" w:space="0" w:color="auto"/>
                    <w:left w:val="nil"/>
                    <w:bottom w:val="single" w:sz="6" w:space="0" w:color="auto"/>
                    <w:right w:val="single" w:sz="6" w:space="0" w:color="auto"/>
                  </w:tcBorders>
                  <w:vAlign w:val="center"/>
                </w:tcPr>
                <w:p w14:paraId="12437DB1"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5</w:t>
                  </w:r>
                  <w:r>
                    <w:rPr>
                      <w:rFonts w:ascii="Times New Roman" w:hAnsi="Times New Roman" w:cs="Times New Roman"/>
                      <w:color w:val="auto"/>
                      <w:spacing w:val="-1"/>
                      <w:sz w:val="21"/>
                      <w:szCs w:val="21"/>
                    </w:rPr>
                    <w:t>＜</w:t>
                  </w:r>
                  <w:r>
                    <w:rPr>
                      <w:rFonts w:ascii="Times New Roman" w:hAnsi="Times New Roman" w:cs="Times New Roman"/>
                      <w:color w:val="auto"/>
                      <w:spacing w:val="-1"/>
                      <w:sz w:val="21"/>
                      <w:szCs w:val="21"/>
                    </w:rPr>
                    <w:t>q≤25</w:t>
                  </w:r>
                </w:p>
              </w:tc>
              <w:tc>
                <w:tcPr>
                  <w:tcW w:w="1818" w:type="pct"/>
                  <w:tcBorders>
                    <w:top w:val="single" w:sz="6" w:space="0" w:color="auto"/>
                    <w:left w:val="single" w:sz="6" w:space="0" w:color="auto"/>
                    <w:bottom w:val="single" w:sz="6" w:space="0" w:color="auto"/>
                    <w:right w:val="nil"/>
                  </w:tcBorders>
                  <w:vAlign w:val="center"/>
                </w:tcPr>
                <w:p w14:paraId="4239B941"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8</w:t>
                  </w:r>
                </w:p>
              </w:tc>
            </w:tr>
            <w:tr w:rsidR="00F76A63" w14:paraId="0ABCA6DD" w14:textId="77777777">
              <w:trPr>
                <w:jc w:val="center"/>
              </w:trPr>
              <w:tc>
                <w:tcPr>
                  <w:tcW w:w="3182" w:type="pct"/>
                  <w:tcBorders>
                    <w:top w:val="single" w:sz="6" w:space="0" w:color="auto"/>
                    <w:left w:val="nil"/>
                    <w:bottom w:val="single" w:sz="6" w:space="0" w:color="auto"/>
                    <w:right w:val="single" w:sz="6" w:space="0" w:color="auto"/>
                  </w:tcBorders>
                  <w:vAlign w:val="center"/>
                </w:tcPr>
                <w:p w14:paraId="723F5D51"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25</w:t>
                  </w:r>
                  <w:r>
                    <w:rPr>
                      <w:rFonts w:ascii="Times New Roman" w:hAnsi="Times New Roman" w:cs="Times New Roman"/>
                      <w:color w:val="auto"/>
                      <w:spacing w:val="-1"/>
                      <w:sz w:val="21"/>
                      <w:szCs w:val="21"/>
                    </w:rPr>
                    <w:t>＜</w:t>
                  </w:r>
                  <w:r>
                    <w:rPr>
                      <w:rFonts w:ascii="Times New Roman" w:hAnsi="Times New Roman" w:cs="Times New Roman"/>
                      <w:color w:val="auto"/>
                      <w:spacing w:val="-1"/>
                      <w:sz w:val="21"/>
                      <w:szCs w:val="21"/>
                    </w:rPr>
                    <w:t>q≤50</w:t>
                  </w:r>
                </w:p>
              </w:tc>
              <w:tc>
                <w:tcPr>
                  <w:tcW w:w="1818" w:type="pct"/>
                  <w:tcBorders>
                    <w:top w:val="single" w:sz="6" w:space="0" w:color="auto"/>
                    <w:left w:val="single" w:sz="6" w:space="0" w:color="auto"/>
                    <w:bottom w:val="single" w:sz="6" w:space="0" w:color="auto"/>
                    <w:right w:val="nil"/>
                  </w:tcBorders>
                  <w:vAlign w:val="center"/>
                </w:tcPr>
                <w:p w14:paraId="03EBDE52"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13</w:t>
                  </w:r>
                </w:p>
              </w:tc>
            </w:tr>
            <w:tr w:rsidR="00F76A63" w14:paraId="4AC495AA" w14:textId="77777777">
              <w:trPr>
                <w:jc w:val="center"/>
              </w:trPr>
              <w:tc>
                <w:tcPr>
                  <w:tcW w:w="3182" w:type="pct"/>
                  <w:tcBorders>
                    <w:top w:val="single" w:sz="6" w:space="0" w:color="auto"/>
                    <w:left w:val="nil"/>
                    <w:bottom w:val="single" w:sz="12" w:space="0" w:color="auto"/>
                    <w:right w:val="single" w:sz="6" w:space="0" w:color="auto"/>
                  </w:tcBorders>
                  <w:vAlign w:val="center"/>
                </w:tcPr>
                <w:p w14:paraId="025A332C"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50</w:t>
                  </w:r>
                  <w:r>
                    <w:rPr>
                      <w:rFonts w:ascii="Times New Roman" w:hAnsi="Times New Roman" w:cs="Times New Roman"/>
                      <w:color w:val="auto"/>
                      <w:spacing w:val="-1"/>
                      <w:sz w:val="21"/>
                      <w:szCs w:val="21"/>
                    </w:rPr>
                    <w:t>＜</w:t>
                  </w:r>
                  <w:r>
                    <w:rPr>
                      <w:rFonts w:ascii="Times New Roman" w:hAnsi="Times New Roman" w:cs="Times New Roman"/>
                      <w:color w:val="auto"/>
                      <w:spacing w:val="-1"/>
                      <w:sz w:val="21"/>
                      <w:szCs w:val="21"/>
                    </w:rPr>
                    <w:t>q≤90</w:t>
                  </w:r>
                </w:p>
              </w:tc>
              <w:tc>
                <w:tcPr>
                  <w:tcW w:w="1818" w:type="pct"/>
                  <w:tcBorders>
                    <w:top w:val="single" w:sz="6" w:space="0" w:color="auto"/>
                    <w:left w:val="single" w:sz="6" w:space="0" w:color="auto"/>
                    <w:bottom w:val="single" w:sz="12" w:space="0" w:color="auto"/>
                    <w:right w:val="nil"/>
                  </w:tcBorders>
                  <w:vAlign w:val="center"/>
                </w:tcPr>
                <w:p w14:paraId="5969CC04" w14:textId="77777777" w:rsidR="00F76A63" w:rsidRDefault="00000000">
                  <w:pPr>
                    <w:pStyle w:val="TableText"/>
                    <w:jc w:val="center"/>
                    <w:rPr>
                      <w:rFonts w:ascii="Times New Roman" w:hAnsi="Times New Roman" w:cs="Times New Roman"/>
                      <w:color w:val="auto"/>
                      <w:spacing w:val="-1"/>
                      <w:sz w:val="21"/>
                      <w:szCs w:val="21"/>
                    </w:rPr>
                  </w:pPr>
                  <w:r>
                    <w:rPr>
                      <w:rFonts w:ascii="Times New Roman" w:hAnsi="Times New Roman" w:cs="Times New Roman"/>
                      <w:color w:val="auto"/>
                      <w:spacing w:val="-1"/>
                      <w:sz w:val="21"/>
                      <w:szCs w:val="21"/>
                    </w:rPr>
                    <w:t>20</w:t>
                  </w:r>
                </w:p>
              </w:tc>
            </w:tr>
          </w:tbl>
          <w:p w14:paraId="72AE6DED"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以下情形可以不根据上表进行：</w:t>
            </w:r>
          </w:p>
          <w:p w14:paraId="28BC0EC4"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A.</w:t>
            </w:r>
            <w:r>
              <w:rPr>
                <w:rFonts w:ascii="Times New Roman" w:hAnsi="Times New Roman" w:cs="Times New Roman"/>
                <w:color w:val="auto"/>
                <w:spacing w:val="-1"/>
              </w:rPr>
              <w:t>贮存于容器中的固废，当容器数量少于表</w:t>
            </w:r>
            <w:r>
              <w:rPr>
                <w:rFonts w:ascii="Times New Roman" w:hAnsi="Times New Roman" w:cs="Times New Roman"/>
                <w:color w:val="auto"/>
                <w:spacing w:val="-1"/>
              </w:rPr>
              <w:t>2</w:t>
            </w:r>
            <w:r>
              <w:rPr>
                <w:rFonts w:ascii="Times New Roman" w:hAnsi="Times New Roman" w:cs="Times New Roman"/>
                <w:color w:val="auto"/>
                <w:spacing w:val="-1"/>
              </w:rPr>
              <w:t>所确定的最小份样数时，可适当减少采样份样数，每个容器采集</w:t>
            </w:r>
            <w:r>
              <w:rPr>
                <w:rFonts w:ascii="Times New Roman" w:hAnsi="Times New Roman" w:cs="Times New Roman"/>
                <w:color w:val="auto"/>
                <w:spacing w:val="-1"/>
              </w:rPr>
              <w:t>1</w:t>
            </w:r>
            <w:r>
              <w:rPr>
                <w:rFonts w:ascii="Times New Roman" w:hAnsi="Times New Roman" w:cs="Times New Roman"/>
                <w:color w:val="auto"/>
                <w:spacing w:val="-1"/>
              </w:rPr>
              <w:t>个样品。</w:t>
            </w:r>
          </w:p>
          <w:p w14:paraId="518F3DCF"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B.</w:t>
            </w:r>
            <w:r>
              <w:rPr>
                <w:rFonts w:ascii="Times New Roman" w:hAnsi="Times New Roman" w:cs="Times New Roman"/>
                <w:color w:val="auto"/>
                <w:spacing w:val="-1"/>
              </w:rPr>
              <w:t>应急固废可适当减少采样份样数，每类固废采样份样数不少于</w:t>
            </w:r>
            <w:r>
              <w:rPr>
                <w:rFonts w:ascii="Times New Roman" w:hAnsi="Times New Roman" w:cs="Times New Roman"/>
                <w:color w:val="auto"/>
                <w:spacing w:val="-1"/>
              </w:rPr>
              <w:t>5</w:t>
            </w:r>
            <w:r>
              <w:rPr>
                <w:rFonts w:ascii="Times New Roman" w:hAnsi="Times New Roman" w:cs="Times New Roman"/>
                <w:color w:val="auto"/>
                <w:spacing w:val="-1"/>
              </w:rPr>
              <w:t>个。</w:t>
            </w:r>
          </w:p>
          <w:p w14:paraId="7F430869"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lastRenderedPageBreak/>
              <w:t>C.</w:t>
            </w:r>
            <w:r>
              <w:rPr>
                <w:rFonts w:ascii="Times New Roman" w:hAnsi="Times New Roman" w:cs="Times New Roman"/>
                <w:color w:val="auto"/>
                <w:spacing w:val="-1"/>
              </w:rPr>
              <w:t>去产废单位现场采样原则上按照本管理制度要求进行采样，但遇到特殊情况可以根据实际产废工艺及现场情况调整相应的采样份样数。</w:t>
            </w:r>
          </w:p>
          <w:p w14:paraId="49A698A8"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采样工具：</w:t>
            </w:r>
          </w:p>
          <w:p w14:paraId="173B5042"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尖头钢锹、钢锤、采样探子、取样铲、自封袋。</w:t>
            </w:r>
          </w:p>
          <w:p w14:paraId="5982A4AE"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采样记录：</w:t>
            </w:r>
          </w:p>
          <w:p w14:paraId="03F4839A"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样品放入密封袋后，应随即贴上标签。标签内容包括：样品名称、样品编号、产废单位、危废类别、采样人、采样时间。同时做好相应登记。</w:t>
            </w:r>
          </w:p>
          <w:p w14:paraId="56695CFF"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spacing w:val="-1"/>
              </w:rPr>
              <w:t>化验室对采集的固废进行相关指标分析。分析结果报送相关人员审核。对不符合入厂标准的物料，按照公司相关流程进行退货处理。</w:t>
            </w:r>
          </w:p>
          <w:p w14:paraId="2321895E" w14:textId="77777777" w:rsidR="00F76A63" w:rsidRDefault="00000000">
            <w:pPr>
              <w:pStyle w:val="TableText"/>
              <w:spacing w:line="500" w:lineRule="exact"/>
              <w:ind w:firstLine="480"/>
              <w:jc w:val="both"/>
              <w:rPr>
                <w:rFonts w:ascii="Times New Roman" w:hAnsi="Times New Roman" w:cs="Times New Roman"/>
                <w:color w:val="auto"/>
                <w:spacing w:val="-1"/>
              </w:rPr>
            </w:pPr>
            <w:r>
              <w:rPr>
                <w:rFonts w:ascii="Times New Roman" w:hAnsi="Times New Roman" w:cs="Times New Roman"/>
                <w:color w:val="auto"/>
              </w:rPr>
              <w:t>符合入厂标准的污泥及污染土，</w:t>
            </w:r>
            <w:r>
              <w:rPr>
                <w:rFonts w:ascii="Times New Roman" w:hAnsi="Times New Roman" w:cs="Times New Roman"/>
                <w:color w:val="auto"/>
                <w:spacing w:val="-1"/>
              </w:rPr>
              <w:t>通过密闭皮运输至原料磨进行协同处置。</w:t>
            </w:r>
          </w:p>
          <w:p w14:paraId="589F8FBF" w14:textId="77777777" w:rsidR="00F76A63" w:rsidRDefault="00000000">
            <w:pPr>
              <w:pStyle w:val="TableText"/>
              <w:spacing w:line="500" w:lineRule="exact"/>
              <w:ind w:firstLine="480"/>
              <w:rPr>
                <w:rFonts w:ascii="Times New Roman" w:hAnsi="Times New Roman" w:cs="Times New Roman"/>
                <w:b/>
                <w:bCs/>
                <w:color w:val="auto"/>
              </w:rPr>
            </w:pPr>
            <w:r>
              <w:rPr>
                <w:rFonts w:ascii="Times New Roman" w:hAnsi="Times New Roman" w:cs="Times New Roman"/>
                <w:b/>
                <w:bCs/>
                <w:color w:val="auto"/>
              </w:rPr>
              <w:t>（</w:t>
            </w:r>
            <w:r>
              <w:rPr>
                <w:rFonts w:ascii="Times New Roman" w:hAnsi="Times New Roman" w:cs="Times New Roman" w:hint="eastAsia"/>
                <w:b/>
                <w:bCs/>
                <w:color w:val="auto"/>
              </w:rPr>
              <w:t>5</w:t>
            </w:r>
            <w:r>
              <w:rPr>
                <w:rFonts w:ascii="Times New Roman" w:hAnsi="Times New Roman" w:cs="Times New Roman"/>
                <w:b/>
                <w:bCs/>
                <w:color w:val="auto"/>
              </w:rPr>
              <w:t>）出厂管理制度</w:t>
            </w:r>
          </w:p>
          <w:p w14:paraId="7C5A7FDB" w14:textId="77777777" w:rsidR="00F76A63" w:rsidRDefault="00000000">
            <w:pPr>
              <w:pStyle w:val="TableText"/>
              <w:spacing w:line="500" w:lineRule="exact"/>
              <w:ind w:firstLine="480"/>
              <w:jc w:val="both"/>
              <w:rPr>
                <w:rFonts w:ascii="Times New Roman" w:hAnsi="Times New Roman" w:cs="Times New Roman"/>
                <w:color w:val="auto"/>
              </w:rPr>
            </w:pPr>
            <w:r>
              <w:rPr>
                <w:rFonts w:ascii="Times New Roman" w:hAnsi="Times New Roman" w:cs="Times New Roman"/>
                <w:color w:val="auto"/>
              </w:rPr>
              <w:t>句容台泥针对出厂产品建立有一套环境质量检验制度，由总经理任组长，品管部负责人负责监督产品的质量控制、贮存、运输等相关管理工作。为了防止协同处置固废对水泥的品质造成影响，按照《水泥窑协同处置固体废物技术规范》（</w:t>
            </w:r>
            <w:r>
              <w:rPr>
                <w:rFonts w:ascii="Times New Roman" w:hAnsi="Times New Roman" w:cs="Times New Roman"/>
                <w:color w:val="auto"/>
              </w:rPr>
              <w:t>GB/T 30760-2024</w:t>
            </w:r>
            <w:r>
              <w:rPr>
                <w:rFonts w:ascii="Times New Roman" w:hAnsi="Times New Roman" w:cs="Times New Roman"/>
                <w:color w:val="auto"/>
              </w:rPr>
              <w:t>）要求检验取样水泥熟料，并按《通用硅酸盐水泥》（</w:t>
            </w:r>
            <w:r>
              <w:rPr>
                <w:rFonts w:ascii="Times New Roman" w:hAnsi="Times New Roman" w:cs="Times New Roman"/>
                <w:color w:val="auto"/>
              </w:rPr>
              <w:t>GB175-2023</w:t>
            </w:r>
            <w:r>
              <w:rPr>
                <w:rFonts w:ascii="Times New Roman" w:hAnsi="Times New Roman" w:cs="Times New Roman"/>
                <w:color w:val="auto"/>
              </w:rPr>
              <w:t>）的要求对水泥产品进行取样和质量分析。</w:t>
            </w:r>
          </w:p>
          <w:p w14:paraId="36E7DCDC" w14:textId="77777777" w:rsidR="00F76A63" w:rsidRDefault="00000000">
            <w:pPr>
              <w:adjustRightInd w:val="0"/>
              <w:snapToGrid w:val="0"/>
              <w:spacing w:line="500" w:lineRule="exact"/>
              <w:ind w:firstLineChars="200" w:firstLine="458"/>
              <w:rPr>
                <w:b/>
                <w:spacing w:val="-6"/>
                <w:sz w:val="24"/>
              </w:rPr>
            </w:pPr>
            <w:r>
              <w:rPr>
                <w:b/>
                <w:spacing w:val="-6"/>
                <w:sz w:val="24"/>
              </w:rPr>
              <w:t>（</w:t>
            </w:r>
            <w:r>
              <w:rPr>
                <w:rFonts w:hint="eastAsia"/>
                <w:b/>
                <w:spacing w:val="-6"/>
                <w:sz w:val="24"/>
              </w:rPr>
              <w:t>6</w:t>
            </w:r>
            <w:r>
              <w:rPr>
                <w:b/>
                <w:spacing w:val="-6"/>
                <w:sz w:val="24"/>
              </w:rPr>
              <w:t>）项目固体废物投加位置</w:t>
            </w:r>
          </w:p>
          <w:p w14:paraId="7810B7C3" w14:textId="77777777" w:rsidR="00F76A63" w:rsidRDefault="00000000">
            <w:pPr>
              <w:adjustRightInd w:val="0"/>
              <w:snapToGrid w:val="0"/>
              <w:spacing w:line="500" w:lineRule="exact"/>
              <w:ind w:firstLineChars="200" w:firstLine="458"/>
              <w:rPr>
                <w:b/>
                <w:spacing w:val="-6"/>
                <w:sz w:val="24"/>
              </w:rPr>
            </w:pPr>
            <w:r>
              <w:rPr>
                <w:b/>
                <w:spacing w:val="-6"/>
                <w:sz w:val="24"/>
              </w:rPr>
              <w:t>1</w:t>
            </w:r>
            <w:r>
              <w:rPr>
                <w:b/>
                <w:spacing w:val="-6"/>
                <w:sz w:val="24"/>
              </w:rPr>
              <w:t>）回转窑协同处置一般固废投加位置</w:t>
            </w:r>
          </w:p>
          <w:p w14:paraId="3466BDDC" w14:textId="77777777" w:rsidR="00F76A63" w:rsidRDefault="00000000">
            <w:pPr>
              <w:adjustRightInd w:val="0"/>
              <w:snapToGrid w:val="0"/>
              <w:spacing w:line="500" w:lineRule="exact"/>
              <w:ind w:firstLineChars="200" w:firstLine="480"/>
              <w:rPr>
                <w:bCs/>
                <w:sz w:val="24"/>
              </w:rPr>
            </w:pPr>
            <w:r>
              <w:rPr>
                <w:bCs/>
                <w:sz w:val="24"/>
              </w:rPr>
              <w:t>本项目依托现有两条新型干法水泥窑熟料生产线焚烧处置。新型干法窑的煅烧过程物料和烟气流向相反。物料流向和反应过程：生料磨</w:t>
            </w:r>
            <w:r>
              <w:rPr>
                <w:bCs/>
                <w:sz w:val="24"/>
              </w:rPr>
              <w:t>→</w:t>
            </w:r>
            <w:r>
              <w:rPr>
                <w:bCs/>
                <w:sz w:val="24"/>
              </w:rPr>
              <w:t>预热器</w:t>
            </w:r>
            <w:r>
              <w:rPr>
                <w:bCs/>
                <w:sz w:val="24"/>
              </w:rPr>
              <w:t>→</w:t>
            </w:r>
            <w:r>
              <w:rPr>
                <w:bCs/>
                <w:sz w:val="24"/>
              </w:rPr>
              <w:t>分解炉</w:t>
            </w:r>
            <w:r>
              <w:rPr>
                <w:bCs/>
                <w:sz w:val="24"/>
              </w:rPr>
              <w:t>→</w:t>
            </w:r>
            <w:r>
              <w:rPr>
                <w:bCs/>
                <w:sz w:val="24"/>
              </w:rPr>
              <w:t>回转窑</w:t>
            </w:r>
            <w:r>
              <w:rPr>
                <w:bCs/>
                <w:sz w:val="24"/>
              </w:rPr>
              <w:t>→</w:t>
            </w:r>
            <w:r>
              <w:rPr>
                <w:bCs/>
                <w:sz w:val="24"/>
              </w:rPr>
              <w:t>冷却机；烟气流向：回转窑</w:t>
            </w:r>
            <w:r>
              <w:rPr>
                <w:bCs/>
                <w:sz w:val="24"/>
              </w:rPr>
              <w:t>→</w:t>
            </w:r>
            <w:r>
              <w:rPr>
                <w:bCs/>
                <w:sz w:val="24"/>
              </w:rPr>
              <w:t>分解炉</w:t>
            </w:r>
            <w:r>
              <w:rPr>
                <w:bCs/>
                <w:sz w:val="24"/>
              </w:rPr>
              <w:t>→</w:t>
            </w:r>
            <w:r>
              <w:rPr>
                <w:bCs/>
                <w:sz w:val="24"/>
              </w:rPr>
              <w:t>预热器</w:t>
            </w:r>
            <w:r>
              <w:rPr>
                <w:bCs/>
                <w:sz w:val="24"/>
              </w:rPr>
              <w:t>→</w:t>
            </w:r>
            <w:r>
              <w:rPr>
                <w:bCs/>
                <w:sz w:val="24"/>
              </w:rPr>
              <w:t>增湿塔</w:t>
            </w:r>
            <w:r>
              <w:rPr>
                <w:bCs/>
                <w:sz w:val="24"/>
              </w:rPr>
              <w:t>→</w:t>
            </w:r>
            <w:r>
              <w:rPr>
                <w:bCs/>
                <w:sz w:val="24"/>
              </w:rPr>
              <w:t>生料磨</w:t>
            </w:r>
            <w:r>
              <w:rPr>
                <w:bCs/>
                <w:sz w:val="24"/>
              </w:rPr>
              <w:t>→</w:t>
            </w:r>
            <w:r>
              <w:rPr>
                <w:bCs/>
                <w:sz w:val="24"/>
              </w:rPr>
              <w:t>除尘器</w:t>
            </w:r>
            <w:r>
              <w:rPr>
                <w:bCs/>
                <w:sz w:val="24"/>
              </w:rPr>
              <w:t>→</w:t>
            </w:r>
            <w:r>
              <w:rPr>
                <w:bCs/>
                <w:sz w:val="24"/>
              </w:rPr>
              <w:t>烟囱。</w:t>
            </w:r>
          </w:p>
          <w:p w14:paraId="648E6AE0" w14:textId="77777777" w:rsidR="00F76A63" w:rsidRDefault="00000000">
            <w:pPr>
              <w:adjustRightInd w:val="0"/>
              <w:snapToGrid w:val="0"/>
              <w:spacing w:line="500" w:lineRule="exact"/>
              <w:ind w:firstLineChars="200" w:firstLine="456"/>
              <w:rPr>
                <w:bCs/>
                <w:spacing w:val="-6"/>
                <w:sz w:val="24"/>
              </w:rPr>
            </w:pPr>
            <w:r>
              <w:rPr>
                <w:bCs/>
                <w:spacing w:val="-6"/>
                <w:sz w:val="24"/>
              </w:rPr>
              <w:t>新型干法回转窑有</w:t>
            </w:r>
            <w:r>
              <w:rPr>
                <w:bCs/>
                <w:spacing w:val="-6"/>
                <w:sz w:val="24"/>
              </w:rPr>
              <w:t>2</w:t>
            </w:r>
            <w:r>
              <w:rPr>
                <w:bCs/>
                <w:spacing w:val="-6"/>
                <w:sz w:val="24"/>
              </w:rPr>
              <w:t>个常规燃料投加点，分别位于窑头和窑尾，</w:t>
            </w:r>
            <w:r>
              <w:rPr>
                <w:bCs/>
                <w:spacing w:val="-6"/>
                <w:sz w:val="24"/>
              </w:rPr>
              <w:t>1</w:t>
            </w:r>
            <w:r>
              <w:rPr>
                <w:bCs/>
                <w:spacing w:val="-6"/>
                <w:sz w:val="24"/>
              </w:rPr>
              <w:t>个常规原料投加点，位于生料磨。</w:t>
            </w:r>
          </w:p>
          <w:p w14:paraId="46A6F7EE" w14:textId="77777777" w:rsidR="00F76A63" w:rsidRDefault="00000000">
            <w:pPr>
              <w:adjustRightInd w:val="0"/>
              <w:snapToGrid w:val="0"/>
              <w:spacing w:line="500" w:lineRule="exact"/>
              <w:ind w:firstLineChars="200" w:firstLine="456"/>
              <w:rPr>
                <w:bCs/>
                <w:spacing w:val="-6"/>
                <w:sz w:val="24"/>
              </w:rPr>
            </w:pPr>
            <w:r>
              <w:rPr>
                <w:bCs/>
                <w:spacing w:val="-6"/>
                <w:sz w:val="24"/>
              </w:rPr>
              <w:t>不影响水泥生产工艺是协同处置的原则之一，废物协同处置应尽量不对水泥窑做大的改造，选择废物投加位置时，既要考虑到该处气固相温度、停留时间等特性，也</w:t>
            </w:r>
            <w:r>
              <w:rPr>
                <w:bCs/>
                <w:spacing w:val="-6"/>
                <w:sz w:val="24"/>
              </w:rPr>
              <w:lastRenderedPageBreak/>
              <w:t>应考虑增设废物投加口的易操作性。因此，新型干法窑的废物投加位置包括以下三处投料点：</w:t>
            </w:r>
          </w:p>
          <w:p w14:paraId="0E823629" w14:textId="77777777" w:rsidR="00F76A63" w:rsidRDefault="00000000">
            <w:pPr>
              <w:adjustRightInd w:val="0"/>
              <w:snapToGrid w:val="0"/>
              <w:spacing w:line="500" w:lineRule="exact"/>
              <w:ind w:firstLineChars="200" w:firstLine="456"/>
              <w:rPr>
                <w:bCs/>
                <w:spacing w:val="-6"/>
                <w:sz w:val="24"/>
              </w:rPr>
            </w:pPr>
            <w:r>
              <w:rPr>
                <w:bCs/>
                <w:spacing w:val="-6"/>
                <w:sz w:val="24"/>
              </w:rPr>
              <w:t>A</w:t>
            </w:r>
            <w:r>
              <w:rPr>
                <w:bCs/>
                <w:spacing w:val="-6"/>
                <w:sz w:val="24"/>
              </w:rPr>
              <w:t>、窑头高温段，包括主燃烧器投加点和窑门罩投加点；</w:t>
            </w:r>
          </w:p>
          <w:p w14:paraId="34648E6C" w14:textId="77777777" w:rsidR="00F76A63" w:rsidRDefault="00000000">
            <w:pPr>
              <w:adjustRightInd w:val="0"/>
              <w:snapToGrid w:val="0"/>
              <w:spacing w:line="500" w:lineRule="exact"/>
              <w:ind w:firstLineChars="200" w:firstLine="456"/>
              <w:rPr>
                <w:bCs/>
                <w:spacing w:val="-6"/>
                <w:sz w:val="24"/>
              </w:rPr>
            </w:pPr>
            <w:r>
              <w:rPr>
                <w:bCs/>
                <w:spacing w:val="-6"/>
                <w:sz w:val="24"/>
              </w:rPr>
              <w:t>B</w:t>
            </w:r>
            <w:r>
              <w:rPr>
                <w:bCs/>
                <w:spacing w:val="-6"/>
                <w:sz w:val="24"/>
              </w:rPr>
              <w:t>、窑尾高温段，包括预分解炉、窑尾烟室和上升管道投加点；</w:t>
            </w:r>
          </w:p>
          <w:p w14:paraId="10B8A2AC" w14:textId="77777777" w:rsidR="00F76A63" w:rsidRDefault="00000000">
            <w:pPr>
              <w:adjustRightInd w:val="0"/>
              <w:snapToGrid w:val="0"/>
              <w:spacing w:line="500" w:lineRule="exact"/>
              <w:ind w:firstLineChars="200" w:firstLine="456"/>
              <w:rPr>
                <w:bCs/>
                <w:spacing w:val="-6"/>
                <w:sz w:val="24"/>
              </w:rPr>
            </w:pPr>
            <w:r>
              <w:rPr>
                <w:bCs/>
                <w:spacing w:val="-6"/>
                <w:sz w:val="24"/>
              </w:rPr>
              <w:t>C</w:t>
            </w:r>
            <w:r>
              <w:rPr>
                <w:bCs/>
                <w:spacing w:val="-6"/>
                <w:sz w:val="24"/>
              </w:rPr>
              <w:t>、生料配料系统（原料磨）。</w:t>
            </w:r>
          </w:p>
          <w:p w14:paraId="1645675F" w14:textId="77777777" w:rsidR="00F76A63" w:rsidRDefault="00000000">
            <w:pPr>
              <w:adjustRightInd w:val="0"/>
              <w:snapToGrid w:val="0"/>
              <w:spacing w:line="500" w:lineRule="exact"/>
              <w:ind w:firstLineChars="200" w:firstLine="458"/>
              <w:rPr>
                <w:b/>
                <w:spacing w:val="-6"/>
                <w:sz w:val="24"/>
              </w:rPr>
            </w:pPr>
            <w:r>
              <w:rPr>
                <w:b/>
                <w:spacing w:val="-6"/>
                <w:sz w:val="24"/>
              </w:rPr>
              <w:t>2</w:t>
            </w:r>
            <w:r>
              <w:rPr>
                <w:b/>
                <w:spacing w:val="-6"/>
                <w:sz w:val="24"/>
              </w:rPr>
              <w:t>）不同位置投加设施的特殊要求</w:t>
            </w:r>
          </w:p>
          <w:p w14:paraId="7F9B548A" w14:textId="77777777" w:rsidR="00F76A63" w:rsidRDefault="00000000">
            <w:pPr>
              <w:adjustRightInd w:val="0"/>
              <w:snapToGrid w:val="0"/>
              <w:spacing w:line="500" w:lineRule="exact"/>
              <w:ind w:firstLineChars="200" w:firstLine="456"/>
              <w:rPr>
                <w:bCs/>
                <w:spacing w:val="-6"/>
                <w:sz w:val="24"/>
              </w:rPr>
            </w:pPr>
            <w:r>
              <w:rPr>
                <w:bCs/>
                <w:spacing w:val="-6"/>
                <w:sz w:val="24"/>
              </w:rPr>
              <w:t>A</w:t>
            </w:r>
            <w:r>
              <w:rPr>
                <w:bCs/>
                <w:spacing w:val="-6"/>
                <w:sz w:val="24"/>
              </w:rPr>
              <w:t>、生料磨投加可借用常规生料投料设施。</w:t>
            </w:r>
          </w:p>
          <w:p w14:paraId="050738B5" w14:textId="77777777" w:rsidR="00F76A63" w:rsidRDefault="00000000">
            <w:pPr>
              <w:adjustRightInd w:val="0"/>
              <w:snapToGrid w:val="0"/>
              <w:spacing w:line="500" w:lineRule="exact"/>
              <w:ind w:firstLineChars="200" w:firstLine="456"/>
              <w:rPr>
                <w:bCs/>
                <w:spacing w:val="-6"/>
                <w:sz w:val="24"/>
              </w:rPr>
            </w:pPr>
            <w:r>
              <w:rPr>
                <w:bCs/>
                <w:spacing w:val="-6"/>
                <w:sz w:val="24"/>
              </w:rPr>
              <w:t>B</w:t>
            </w:r>
            <w:r>
              <w:rPr>
                <w:bCs/>
                <w:spacing w:val="-6"/>
                <w:sz w:val="24"/>
              </w:rPr>
              <w:t>、从窑头投加的废物一般为液态或粉状，因此应利用多通道燃烧器，并配备泵力或气力输送装置，从多通道燃烧器的不同通道喷入窑内。从窑门罩投加的废物一般为液态，因此应配备泵力输送装置，并在窑门罩的适当位置开设投料口。</w:t>
            </w:r>
          </w:p>
          <w:p w14:paraId="011733ED" w14:textId="77777777" w:rsidR="00F76A63" w:rsidRDefault="00000000">
            <w:pPr>
              <w:adjustRightInd w:val="0"/>
              <w:snapToGrid w:val="0"/>
              <w:spacing w:line="500" w:lineRule="exact"/>
              <w:ind w:firstLineChars="200" w:firstLine="456"/>
              <w:rPr>
                <w:bCs/>
                <w:spacing w:val="-6"/>
                <w:sz w:val="24"/>
              </w:rPr>
            </w:pPr>
            <w:r>
              <w:rPr>
                <w:bCs/>
                <w:spacing w:val="-6"/>
                <w:sz w:val="24"/>
              </w:rPr>
              <w:t>C</w:t>
            </w:r>
            <w:r>
              <w:rPr>
                <w:bCs/>
                <w:spacing w:val="-6"/>
                <w:sz w:val="24"/>
              </w:rPr>
              <w:t>、窑尾投加设施应配备泵力、气力或机械传输带输送装置，在窑尾烟室、上升烟道或分解炉的适当位置开设投料口；可对分解炉燃烧器的气固相通道进行适当改造，使之适合液态或小颗粒状废物的输送和投加。</w:t>
            </w:r>
          </w:p>
          <w:p w14:paraId="722FB91A" w14:textId="77777777" w:rsidR="00F76A63" w:rsidRDefault="00000000">
            <w:pPr>
              <w:adjustRightInd w:val="0"/>
              <w:snapToGrid w:val="0"/>
              <w:spacing w:line="500" w:lineRule="exact"/>
              <w:ind w:firstLineChars="200" w:firstLine="458"/>
              <w:rPr>
                <w:b/>
                <w:spacing w:val="-6"/>
                <w:sz w:val="24"/>
              </w:rPr>
            </w:pPr>
            <w:r>
              <w:rPr>
                <w:b/>
                <w:spacing w:val="-6"/>
                <w:sz w:val="24"/>
              </w:rPr>
              <w:t>3</w:t>
            </w:r>
            <w:r>
              <w:rPr>
                <w:b/>
                <w:spacing w:val="-6"/>
                <w:sz w:val="24"/>
              </w:rPr>
              <w:t>）不同投料点适合的气固相温度</w:t>
            </w:r>
          </w:p>
          <w:p w14:paraId="2BDD0885" w14:textId="77777777" w:rsidR="00F76A63" w:rsidRDefault="00000000">
            <w:pPr>
              <w:adjustRightInd w:val="0"/>
              <w:snapToGrid w:val="0"/>
              <w:spacing w:line="500" w:lineRule="exact"/>
              <w:ind w:firstLineChars="200" w:firstLine="456"/>
              <w:rPr>
                <w:bCs/>
                <w:spacing w:val="-6"/>
                <w:sz w:val="24"/>
              </w:rPr>
            </w:pPr>
            <w:r>
              <w:rPr>
                <w:bCs/>
                <w:spacing w:val="-6"/>
                <w:sz w:val="24"/>
              </w:rPr>
              <w:t>新型干法窑的气固相温度，其中悬浮预热器内：物料温度</w:t>
            </w:r>
            <w:r>
              <w:rPr>
                <w:bCs/>
                <w:spacing w:val="-6"/>
                <w:sz w:val="24"/>
              </w:rPr>
              <w:t>100-750℃</w:t>
            </w:r>
            <w:r>
              <w:rPr>
                <w:bCs/>
                <w:spacing w:val="-6"/>
                <w:sz w:val="24"/>
              </w:rPr>
              <w:t>，停留时间</w:t>
            </w:r>
            <w:r>
              <w:rPr>
                <w:bCs/>
                <w:spacing w:val="-6"/>
                <w:sz w:val="24"/>
              </w:rPr>
              <w:t>50s</w:t>
            </w:r>
            <w:r>
              <w:rPr>
                <w:bCs/>
                <w:spacing w:val="-6"/>
                <w:sz w:val="24"/>
              </w:rPr>
              <w:t>左右；气体温度</w:t>
            </w:r>
            <w:r>
              <w:rPr>
                <w:bCs/>
                <w:spacing w:val="-6"/>
                <w:sz w:val="24"/>
              </w:rPr>
              <w:t>350-850℃</w:t>
            </w:r>
            <w:r>
              <w:rPr>
                <w:bCs/>
                <w:spacing w:val="-6"/>
                <w:sz w:val="24"/>
              </w:rPr>
              <w:t>，停留时间</w:t>
            </w:r>
            <w:r>
              <w:rPr>
                <w:bCs/>
                <w:spacing w:val="-6"/>
                <w:sz w:val="24"/>
              </w:rPr>
              <w:t>10s</w:t>
            </w:r>
            <w:r>
              <w:rPr>
                <w:bCs/>
                <w:spacing w:val="-6"/>
                <w:sz w:val="24"/>
              </w:rPr>
              <w:t>左右。分解炉内：物料温度</w:t>
            </w:r>
            <w:r>
              <w:rPr>
                <w:bCs/>
                <w:spacing w:val="-6"/>
                <w:sz w:val="24"/>
              </w:rPr>
              <w:t>750-900℃</w:t>
            </w:r>
            <w:r>
              <w:rPr>
                <w:bCs/>
                <w:spacing w:val="-6"/>
                <w:sz w:val="24"/>
              </w:rPr>
              <w:t>，停留时间</w:t>
            </w:r>
            <w:r>
              <w:rPr>
                <w:bCs/>
                <w:spacing w:val="-6"/>
                <w:sz w:val="24"/>
              </w:rPr>
              <w:t>5s</w:t>
            </w:r>
            <w:r>
              <w:rPr>
                <w:bCs/>
                <w:spacing w:val="-6"/>
                <w:sz w:val="24"/>
              </w:rPr>
              <w:t>左右；气体温度</w:t>
            </w:r>
            <w:r>
              <w:rPr>
                <w:bCs/>
                <w:spacing w:val="-6"/>
                <w:sz w:val="24"/>
              </w:rPr>
              <w:t>850-1150℃</w:t>
            </w:r>
            <w:r>
              <w:rPr>
                <w:bCs/>
                <w:spacing w:val="-6"/>
                <w:sz w:val="24"/>
              </w:rPr>
              <w:t>，停留时间</w:t>
            </w:r>
            <w:r>
              <w:rPr>
                <w:bCs/>
                <w:spacing w:val="-6"/>
                <w:sz w:val="24"/>
              </w:rPr>
              <w:t>3s</w:t>
            </w:r>
            <w:r>
              <w:rPr>
                <w:bCs/>
                <w:spacing w:val="-6"/>
                <w:sz w:val="24"/>
              </w:rPr>
              <w:t>左右。回转窑窑内：物料温度</w:t>
            </w:r>
            <w:r>
              <w:rPr>
                <w:bCs/>
                <w:spacing w:val="-6"/>
                <w:sz w:val="24"/>
              </w:rPr>
              <w:t>900-1450℃</w:t>
            </w:r>
            <w:r>
              <w:rPr>
                <w:bCs/>
                <w:spacing w:val="-6"/>
                <w:sz w:val="24"/>
              </w:rPr>
              <w:t>，停留时间</w:t>
            </w:r>
            <w:r>
              <w:rPr>
                <w:bCs/>
                <w:spacing w:val="-6"/>
                <w:sz w:val="24"/>
              </w:rPr>
              <w:t>30min</w:t>
            </w:r>
            <w:r>
              <w:rPr>
                <w:bCs/>
                <w:spacing w:val="-6"/>
                <w:sz w:val="24"/>
              </w:rPr>
              <w:t>左右；烟气温度</w:t>
            </w:r>
            <w:r>
              <w:rPr>
                <w:bCs/>
                <w:spacing w:val="-6"/>
                <w:sz w:val="24"/>
              </w:rPr>
              <w:t>1150-2000℃</w:t>
            </w:r>
            <w:r>
              <w:rPr>
                <w:bCs/>
                <w:spacing w:val="-6"/>
                <w:sz w:val="24"/>
              </w:rPr>
              <w:t>，停留时间</w:t>
            </w:r>
            <w:r>
              <w:rPr>
                <w:bCs/>
                <w:spacing w:val="-6"/>
                <w:sz w:val="24"/>
              </w:rPr>
              <w:t>10s</w:t>
            </w:r>
            <w:r>
              <w:rPr>
                <w:bCs/>
                <w:spacing w:val="-6"/>
                <w:sz w:val="24"/>
              </w:rPr>
              <w:t>左右。</w:t>
            </w:r>
          </w:p>
          <w:p w14:paraId="599C8EE3" w14:textId="77777777" w:rsidR="00F76A63" w:rsidRDefault="00000000">
            <w:pPr>
              <w:adjustRightInd w:val="0"/>
              <w:snapToGrid w:val="0"/>
              <w:spacing w:line="500" w:lineRule="exact"/>
              <w:ind w:firstLineChars="200" w:firstLine="458"/>
              <w:rPr>
                <w:b/>
                <w:spacing w:val="-6"/>
                <w:sz w:val="24"/>
              </w:rPr>
            </w:pPr>
            <w:r>
              <w:rPr>
                <w:b/>
                <w:spacing w:val="-6"/>
                <w:sz w:val="24"/>
              </w:rPr>
              <w:t>4</w:t>
            </w:r>
            <w:r>
              <w:rPr>
                <w:b/>
                <w:spacing w:val="-6"/>
                <w:sz w:val="24"/>
              </w:rPr>
              <w:t>）本项目投料点的选取</w:t>
            </w:r>
          </w:p>
          <w:p w14:paraId="6622799F" w14:textId="77777777" w:rsidR="00F76A63" w:rsidRDefault="00000000">
            <w:pPr>
              <w:pStyle w:val="TableText"/>
              <w:spacing w:line="500" w:lineRule="exact"/>
              <w:ind w:firstLineChars="200" w:firstLine="456"/>
              <w:jc w:val="both"/>
              <w:rPr>
                <w:rFonts w:hint="eastAsia"/>
                <w:color w:val="auto"/>
              </w:rPr>
            </w:pPr>
            <w:r>
              <w:rPr>
                <w:bCs/>
                <w:color w:val="auto"/>
                <w:spacing w:val="-6"/>
              </w:rPr>
              <w:t>根据与建设单位确认，考虑进料装置的要求和投加口的工况特点、同类型水泥企业实际运行，本项目设置1个投料点，污染土及污泥经计量、皮带输送机密闭输送至原料磨旁，投入生料配料系统。</w:t>
            </w:r>
          </w:p>
        </w:tc>
      </w:tr>
      <w:bookmarkEnd w:id="56"/>
      <w:tr w:rsidR="00F76A63" w14:paraId="25A21811" w14:textId="77777777">
        <w:trPr>
          <w:trHeight w:val="4570"/>
          <w:jc w:val="center"/>
        </w:trPr>
        <w:tc>
          <w:tcPr>
            <w:tcW w:w="425" w:type="dxa"/>
            <w:gridSpan w:val="2"/>
            <w:vAlign w:val="center"/>
          </w:tcPr>
          <w:p w14:paraId="5878D25A" w14:textId="77777777" w:rsidR="00F76A63" w:rsidRDefault="00000000">
            <w:pPr>
              <w:adjustRightInd w:val="0"/>
              <w:snapToGrid w:val="0"/>
              <w:jc w:val="center"/>
              <w:rPr>
                <w:b/>
                <w:bCs/>
                <w:szCs w:val="21"/>
              </w:rPr>
            </w:pPr>
            <w:r>
              <w:rPr>
                <w:b/>
                <w:bCs/>
                <w:szCs w:val="21"/>
              </w:rPr>
              <w:lastRenderedPageBreak/>
              <w:t>工艺流程和产排污环节</w:t>
            </w:r>
          </w:p>
        </w:tc>
        <w:tc>
          <w:tcPr>
            <w:tcW w:w="8399" w:type="dxa"/>
            <w:tcBorders>
              <w:top w:val="single" w:sz="12" w:space="0" w:color="auto"/>
            </w:tcBorders>
          </w:tcPr>
          <w:p w14:paraId="2E2AAF85" w14:textId="77777777" w:rsidR="00F76A63" w:rsidRDefault="00000000">
            <w:pPr>
              <w:adjustRightInd w:val="0"/>
              <w:snapToGrid w:val="0"/>
              <w:spacing w:line="500" w:lineRule="exact"/>
              <w:ind w:firstLineChars="200" w:firstLine="458"/>
              <w:rPr>
                <w:b/>
                <w:bCs/>
                <w:spacing w:val="-6"/>
                <w:sz w:val="24"/>
              </w:rPr>
            </w:pPr>
            <w:bookmarkStart w:id="87" w:name="_Hlk66954165"/>
            <w:r>
              <w:rPr>
                <w:b/>
                <w:bCs/>
                <w:spacing w:val="-6"/>
                <w:sz w:val="24"/>
              </w:rPr>
              <w:t>（一）施工期工程分析：</w:t>
            </w:r>
          </w:p>
          <w:p w14:paraId="369C5F94" w14:textId="77777777" w:rsidR="00F76A63" w:rsidRDefault="00000000">
            <w:pPr>
              <w:adjustRightInd w:val="0"/>
              <w:snapToGrid w:val="0"/>
              <w:spacing w:line="500" w:lineRule="exact"/>
              <w:ind w:firstLineChars="200" w:firstLine="456"/>
              <w:rPr>
                <w:bCs/>
                <w:spacing w:val="-6"/>
                <w:sz w:val="24"/>
              </w:rPr>
            </w:pPr>
            <w:r>
              <w:rPr>
                <w:bCs/>
                <w:spacing w:val="-6"/>
                <w:sz w:val="24"/>
              </w:rPr>
              <w:t>项目施工期工艺流程及产污环节图见图</w:t>
            </w:r>
            <w:r>
              <w:rPr>
                <w:bCs/>
                <w:spacing w:val="-6"/>
                <w:sz w:val="24"/>
              </w:rPr>
              <w:t>2-2</w:t>
            </w:r>
            <w:r>
              <w:rPr>
                <w:bCs/>
                <w:spacing w:val="-6"/>
                <w:sz w:val="24"/>
              </w:rPr>
              <w:t>。</w:t>
            </w:r>
          </w:p>
          <w:p w14:paraId="280B7793" w14:textId="77777777" w:rsidR="00F76A63" w:rsidRDefault="00000000">
            <w:pPr>
              <w:adjustRightInd w:val="0"/>
              <w:snapToGrid w:val="0"/>
              <w:rPr>
                <w:b/>
                <w:spacing w:val="-6"/>
                <w:sz w:val="24"/>
              </w:rPr>
            </w:pPr>
            <w:r>
              <w:rPr>
                <w:b/>
                <w:noProof/>
                <w:spacing w:val="-6"/>
                <w:sz w:val="24"/>
              </w:rPr>
              <w:drawing>
                <wp:inline distT="0" distB="0" distL="0" distR="0" wp14:anchorId="5304863B" wp14:editId="6F9E621E">
                  <wp:extent cx="5150485" cy="1031875"/>
                  <wp:effectExtent l="0" t="0" r="0" b="0"/>
                  <wp:docPr id="564042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4245" name="图片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150485" cy="1031875"/>
                          </a:xfrm>
                          <a:prstGeom prst="rect">
                            <a:avLst/>
                          </a:prstGeom>
                          <a:noFill/>
                          <a:ln>
                            <a:noFill/>
                          </a:ln>
                        </pic:spPr>
                      </pic:pic>
                    </a:graphicData>
                  </a:graphic>
                </wp:inline>
              </w:drawing>
            </w:r>
          </w:p>
          <w:p w14:paraId="5AF70ED4" w14:textId="77777777" w:rsidR="00F76A63" w:rsidRDefault="00000000">
            <w:pPr>
              <w:adjustRightInd w:val="0"/>
              <w:snapToGrid w:val="0"/>
              <w:spacing w:line="500" w:lineRule="exact"/>
              <w:jc w:val="center"/>
              <w:rPr>
                <w:b/>
                <w:spacing w:val="-6"/>
                <w:sz w:val="24"/>
              </w:rPr>
            </w:pPr>
            <w:r>
              <w:rPr>
                <w:b/>
                <w:spacing w:val="-6"/>
                <w:sz w:val="24"/>
              </w:rPr>
              <w:t>图</w:t>
            </w:r>
            <w:r>
              <w:rPr>
                <w:b/>
                <w:spacing w:val="-6"/>
                <w:sz w:val="24"/>
              </w:rPr>
              <w:t xml:space="preserve">2-2  </w:t>
            </w:r>
            <w:r>
              <w:rPr>
                <w:b/>
                <w:spacing w:val="-6"/>
                <w:sz w:val="24"/>
              </w:rPr>
              <w:t>项目施工期工艺流程及产污环节图</w:t>
            </w:r>
          </w:p>
          <w:p w14:paraId="5300BF58" w14:textId="77777777" w:rsidR="00F76A63" w:rsidRDefault="00000000">
            <w:pPr>
              <w:adjustRightInd w:val="0"/>
              <w:snapToGrid w:val="0"/>
              <w:spacing w:line="500" w:lineRule="exact"/>
              <w:ind w:firstLineChars="200" w:firstLine="458"/>
              <w:rPr>
                <w:b/>
                <w:spacing w:val="-6"/>
                <w:sz w:val="24"/>
              </w:rPr>
            </w:pPr>
            <w:r>
              <w:rPr>
                <w:b/>
                <w:spacing w:val="-6"/>
                <w:sz w:val="24"/>
              </w:rPr>
              <w:t>1</w:t>
            </w:r>
            <w:r>
              <w:rPr>
                <w:b/>
                <w:spacing w:val="-6"/>
                <w:sz w:val="24"/>
              </w:rPr>
              <w:t>、施工期工艺流程简述：</w:t>
            </w:r>
          </w:p>
          <w:p w14:paraId="5EB97520" w14:textId="77777777" w:rsidR="00F76A63" w:rsidRDefault="00000000">
            <w:pPr>
              <w:adjustRightInd w:val="0"/>
              <w:snapToGrid w:val="0"/>
              <w:spacing w:line="500" w:lineRule="exact"/>
              <w:ind w:firstLineChars="200" w:firstLine="456"/>
              <w:rPr>
                <w:bCs/>
                <w:spacing w:val="-6"/>
                <w:sz w:val="24"/>
              </w:rPr>
            </w:pPr>
            <w:r>
              <w:rPr>
                <w:bCs/>
                <w:spacing w:val="-6"/>
                <w:sz w:val="24"/>
              </w:rPr>
              <w:t>本次改建项目在现有厂区建设，充分利用现有设施，新增</w:t>
            </w:r>
            <w:r>
              <w:rPr>
                <w:bCs/>
                <w:spacing w:val="-6"/>
                <w:sz w:val="24"/>
              </w:rPr>
              <w:t>1</w:t>
            </w:r>
            <w:r>
              <w:rPr>
                <w:bCs/>
                <w:spacing w:val="-6"/>
                <w:sz w:val="24"/>
              </w:rPr>
              <w:t>座原料</w:t>
            </w:r>
            <w:r>
              <w:rPr>
                <w:rFonts w:hint="eastAsia"/>
                <w:bCs/>
                <w:spacing w:val="-6"/>
                <w:sz w:val="24"/>
              </w:rPr>
              <w:t>、</w:t>
            </w:r>
            <w:r>
              <w:rPr>
                <w:bCs/>
                <w:spacing w:val="-6"/>
                <w:sz w:val="24"/>
              </w:rPr>
              <w:t>污染土堆棚。</w:t>
            </w:r>
          </w:p>
          <w:p w14:paraId="0BCF2485" w14:textId="77777777" w:rsidR="00F76A63" w:rsidRDefault="00000000">
            <w:pPr>
              <w:adjustRightInd w:val="0"/>
              <w:snapToGrid w:val="0"/>
              <w:spacing w:line="500" w:lineRule="exact"/>
              <w:ind w:firstLineChars="200" w:firstLine="456"/>
              <w:rPr>
                <w:bCs/>
                <w:spacing w:val="-6"/>
                <w:sz w:val="24"/>
              </w:rPr>
            </w:pPr>
            <w:r>
              <w:rPr>
                <w:bCs/>
                <w:spacing w:val="-6"/>
                <w:sz w:val="24"/>
              </w:rPr>
              <w:t>（</w:t>
            </w:r>
            <w:r>
              <w:rPr>
                <w:bCs/>
                <w:spacing w:val="-6"/>
                <w:sz w:val="24"/>
              </w:rPr>
              <w:t>1</w:t>
            </w:r>
            <w:r>
              <w:rPr>
                <w:bCs/>
                <w:spacing w:val="-6"/>
                <w:sz w:val="24"/>
              </w:rPr>
              <w:t>）场地平整</w:t>
            </w:r>
          </w:p>
          <w:p w14:paraId="24B8B844" w14:textId="77777777" w:rsidR="00F76A63" w:rsidRDefault="00000000">
            <w:pPr>
              <w:adjustRightInd w:val="0"/>
              <w:snapToGrid w:val="0"/>
              <w:spacing w:line="500" w:lineRule="exact"/>
              <w:ind w:firstLineChars="200" w:firstLine="456"/>
              <w:rPr>
                <w:bCs/>
                <w:spacing w:val="-6"/>
                <w:sz w:val="24"/>
              </w:rPr>
            </w:pPr>
            <w:r>
              <w:rPr>
                <w:bCs/>
                <w:spacing w:val="-6"/>
                <w:sz w:val="24"/>
              </w:rPr>
              <w:t>将地面通过挖高填低的方式改造成工程所需的平面，使场地的自然标高达到设计要求的高度，建立必要的、能够满足施工要求的供水、排水、供电、道路以及临时建筑等基础设施，包括挖方、填方等。推土机、挖掘机、装载机等运行时将产生噪声、扬尘同时排放尾气，现场施工时，会产生砂石料冲洗废水和车辆、机械设备冲洗水等施工废水。</w:t>
            </w:r>
          </w:p>
          <w:p w14:paraId="5D81DA26" w14:textId="77777777" w:rsidR="00F76A63" w:rsidRDefault="00000000">
            <w:pPr>
              <w:adjustRightInd w:val="0"/>
              <w:snapToGrid w:val="0"/>
              <w:spacing w:line="500" w:lineRule="exact"/>
              <w:ind w:firstLineChars="200" w:firstLine="456"/>
              <w:rPr>
                <w:bCs/>
                <w:spacing w:val="-6"/>
                <w:sz w:val="24"/>
              </w:rPr>
            </w:pPr>
            <w:r>
              <w:rPr>
                <w:bCs/>
                <w:spacing w:val="-6"/>
                <w:sz w:val="24"/>
              </w:rPr>
              <w:t>（</w:t>
            </w:r>
            <w:r>
              <w:rPr>
                <w:bCs/>
                <w:spacing w:val="-6"/>
                <w:sz w:val="24"/>
              </w:rPr>
              <w:t>2</w:t>
            </w:r>
            <w:r>
              <w:rPr>
                <w:bCs/>
                <w:spacing w:val="-6"/>
                <w:sz w:val="24"/>
              </w:rPr>
              <w:t>）基础工程</w:t>
            </w:r>
          </w:p>
          <w:p w14:paraId="599ACEA7" w14:textId="77777777" w:rsidR="00F76A63" w:rsidRDefault="00000000">
            <w:pPr>
              <w:adjustRightInd w:val="0"/>
              <w:snapToGrid w:val="0"/>
              <w:spacing w:line="500" w:lineRule="exact"/>
              <w:ind w:firstLineChars="200" w:firstLine="456"/>
              <w:rPr>
                <w:bCs/>
                <w:spacing w:val="-6"/>
                <w:sz w:val="24"/>
              </w:rPr>
            </w:pPr>
            <w:r>
              <w:rPr>
                <w:bCs/>
                <w:spacing w:val="-6"/>
                <w:sz w:val="24"/>
              </w:rPr>
              <w:t>包括定位放线、打桩、测桩、基槽开挖、浇筑砼垫层、回填桩基等基础施。推土机、挖掘机、装载机等运行时将产生噪声、扬尘同时排放尾气，现场施工时，会产生砂石料冲洗废水和车辆、机械设备冲洗水等施工废水。</w:t>
            </w:r>
          </w:p>
          <w:p w14:paraId="22F6B742" w14:textId="77777777" w:rsidR="00F76A63" w:rsidRDefault="00000000">
            <w:pPr>
              <w:adjustRightInd w:val="0"/>
              <w:snapToGrid w:val="0"/>
              <w:spacing w:line="500" w:lineRule="exact"/>
              <w:ind w:firstLineChars="200" w:firstLine="456"/>
              <w:rPr>
                <w:bCs/>
                <w:spacing w:val="-6"/>
                <w:sz w:val="24"/>
              </w:rPr>
            </w:pPr>
            <w:r>
              <w:rPr>
                <w:bCs/>
                <w:spacing w:val="-6"/>
                <w:sz w:val="24"/>
              </w:rPr>
              <w:t>（</w:t>
            </w:r>
            <w:r>
              <w:rPr>
                <w:bCs/>
                <w:spacing w:val="-6"/>
                <w:sz w:val="24"/>
              </w:rPr>
              <w:t>3</w:t>
            </w:r>
            <w:r>
              <w:rPr>
                <w:bCs/>
                <w:spacing w:val="-6"/>
                <w:sz w:val="24"/>
              </w:rPr>
              <w:t>）主体工程</w:t>
            </w:r>
          </w:p>
          <w:p w14:paraId="6DE1299A" w14:textId="77777777" w:rsidR="00F76A63" w:rsidRDefault="00000000">
            <w:pPr>
              <w:adjustRightInd w:val="0"/>
              <w:snapToGrid w:val="0"/>
              <w:spacing w:line="500" w:lineRule="exact"/>
              <w:ind w:firstLineChars="200" w:firstLine="456"/>
              <w:rPr>
                <w:bCs/>
                <w:spacing w:val="-6"/>
                <w:sz w:val="24"/>
              </w:rPr>
            </w:pPr>
            <w:r>
              <w:rPr>
                <w:bCs/>
                <w:spacing w:val="-6"/>
                <w:sz w:val="24"/>
              </w:rPr>
              <w:t>主体工程的主要施工内容为厂房建筑的施工，包括模板、钢筋、混凝土三个主要分项工程。主体工程在施工过程中将产生混凝土振捣棒、卷扬机等施工机械的运行噪声和尾气，在挖土、堆场和运输过程中产生大量扬尘，同时会产生施工废水和建筑垃圾等。</w:t>
            </w:r>
          </w:p>
          <w:p w14:paraId="7205F5D9" w14:textId="77777777" w:rsidR="00F76A63" w:rsidRDefault="00000000">
            <w:pPr>
              <w:adjustRightInd w:val="0"/>
              <w:snapToGrid w:val="0"/>
              <w:spacing w:line="500" w:lineRule="exact"/>
              <w:ind w:firstLineChars="200" w:firstLine="456"/>
              <w:rPr>
                <w:bCs/>
                <w:spacing w:val="-6"/>
                <w:sz w:val="24"/>
              </w:rPr>
            </w:pPr>
            <w:r>
              <w:rPr>
                <w:bCs/>
                <w:spacing w:val="-6"/>
                <w:sz w:val="24"/>
              </w:rPr>
              <w:t>（</w:t>
            </w:r>
            <w:r>
              <w:rPr>
                <w:bCs/>
                <w:spacing w:val="-6"/>
                <w:sz w:val="24"/>
              </w:rPr>
              <w:t>4</w:t>
            </w:r>
            <w:r>
              <w:rPr>
                <w:bCs/>
                <w:spacing w:val="-6"/>
                <w:sz w:val="24"/>
              </w:rPr>
              <w:t>）装饰工程</w:t>
            </w:r>
          </w:p>
          <w:p w14:paraId="69B57E3D" w14:textId="77777777" w:rsidR="00F76A63" w:rsidRDefault="00000000">
            <w:pPr>
              <w:adjustRightInd w:val="0"/>
              <w:snapToGrid w:val="0"/>
              <w:spacing w:line="500" w:lineRule="exact"/>
              <w:ind w:firstLineChars="200" w:firstLine="456"/>
              <w:rPr>
                <w:bCs/>
                <w:spacing w:val="-6"/>
                <w:sz w:val="24"/>
              </w:rPr>
            </w:pPr>
            <w:r>
              <w:rPr>
                <w:bCs/>
                <w:spacing w:val="-6"/>
                <w:sz w:val="24"/>
              </w:rPr>
              <w:t>装饰工程具体内容包括内外墙面和防腐刷漆等。会产生噪声、粉尘、油漆和喷</w:t>
            </w:r>
            <w:r>
              <w:rPr>
                <w:bCs/>
                <w:spacing w:val="-6"/>
                <w:sz w:val="24"/>
              </w:rPr>
              <w:lastRenderedPageBreak/>
              <w:t>涂产生有机废气，同时会产生一定的固体废弃物。</w:t>
            </w:r>
          </w:p>
          <w:p w14:paraId="72B8E677" w14:textId="77777777" w:rsidR="00F76A63" w:rsidRDefault="00000000">
            <w:pPr>
              <w:adjustRightInd w:val="0"/>
              <w:snapToGrid w:val="0"/>
              <w:spacing w:line="500" w:lineRule="exact"/>
              <w:ind w:firstLineChars="200" w:firstLine="458"/>
              <w:rPr>
                <w:b/>
                <w:spacing w:val="-6"/>
                <w:sz w:val="24"/>
              </w:rPr>
            </w:pPr>
            <w:r>
              <w:rPr>
                <w:b/>
                <w:spacing w:val="-6"/>
                <w:sz w:val="24"/>
              </w:rPr>
              <w:t>2</w:t>
            </w:r>
            <w:r>
              <w:rPr>
                <w:b/>
                <w:spacing w:val="-6"/>
                <w:sz w:val="24"/>
              </w:rPr>
              <w:t>、施工期主要污染工序</w:t>
            </w:r>
          </w:p>
          <w:p w14:paraId="3A6E4A2F" w14:textId="77777777" w:rsidR="00F76A63" w:rsidRDefault="00000000">
            <w:pPr>
              <w:adjustRightInd w:val="0"/>
              <w:snapToGrid w:val="0"/>
              <w:spacing w:line="500" w:lineRule="exact"/>
              <w:ind w:firstLineChars="200" w:firstLine="456"/>
              <w:rPr>
                <w:bCs/>
                <w:spacing w:val="-6"/>
                <w:sz w:val="24"/>
              </w:rPr>
            </w:pPr>
            <w:r>
              <w:rPr>
                <w:bCs/>
                <w:spacing w:val="-6"/>
                <w:sz w:val="24"/>
              </w:rPr>
              <w:t>本项目在土方开挖回填、打桩、砌筑、配套设施等过程中会产生建筑粉尘、道路扬尘、运输车辆汽车尾气、施工废水、施工期噪声和施工期生活垃圾及建筑垃圾，这些污染存在于整个施工过程中。</w:t>
            </w:r>
          </w:p>
          <w:p w14:paraId="3420B6BB" w14:textId="77777777" w:rsidR="00F76A63" w:rsidRDefault="00000000">
            <w:pPr>
              <w:adjustRightInd w:val="0"/>
              <w:snapToGrid w:val="0"/>
              <w:spacing w:line="500" w:lineRule="exact"/>
              <w:ind w:firstLineChars="200" w:firstLine="456"/>
              <w:rPr>
                <w:bCs/>
                <w:spacing w:val="-6"/>
                <w:sz w:val="24"/>
              </w:rPr>
            </w:pPr>
            <w:r>
              <w:rPr>
                <w:bCs/>
                <w:spacing w:val="-6"/>
                <w:sz w:val="24"/>
              </w:rPr>
              <w:t>（</w:t>
            </w:r>
            <w:r>
              <w:rPr>
                <w:bCs/>
                <w:spacing w:val="-6"/>
                <w:sz w:val="24"/>
              </w:rPr>
              <w:t>1</w:t>
            </w:r>
            <w:r>
              <w:rPr>
                <w:bCs/>
                <w:spacing w:val="-6"/>
                <w:sz w:val="24"/>
              </w:rPr>
              <w:t>）大气污染分析</w:t>
            </w:r>
          </w:p>
          <w:p w14:paraId="660EEC9D" w14:textId="77777777" w:rsidR="00F76A63" w:rsidRDefault="00000000">
            <w:pPr>
              <w:adjustRightInd w:val="0"/>
              <w:snapToGrid w:val="0"/>
              <w:spacing w:line="500" w:lineRule="exact"/>
              <w:ind w:firstLineChars="200" w:firstLine="456"/>
              <w:rPr>
                <w:bCs/>
                <w:spacing w:val="-6"/>
                <w:sz w:val="24"/>
              </w:rPr>
            </w:pPr>
            <w:r>
              <w:rPr>
                <w:bCs/>
                <w:spacing w:val="-6"/>
                <w:sz w:val="24"/>
              </w:rPr>
              <w:t>本项目在土方开挖回填、打桩、砌筑、配套设施等过程中会产生建筑粉尘、道路扬尘、运输车辆汽车尾气。</w:t>
            </w:r>
          </w:p>
          <w:p w14:paraId="65982437" w14:textId="77777777" w:rsidR="00F76A63" w:rsidRDefault="00000000">
            <w:pPr>
              <w:adjustRightInd w:val="0"/>
              <w:snapToGrid w:val="0"/>
              <w:spacing w:line="500" w:lineRule="exact"/>
              <w:ind w:firstLineChars="200" w:firstLine="456"/>
              <w:rPr>
                <w:bCs/>
                <w:spacing w:val="-6"/>
                <w:sz w:val="24"/>
              </w:rPr>
            </w:pPr>
            <w:r>
              <w:rPr>
                <w:bCs/>
                <w:spacing w:val="-6"/>
                <w:sz w:val="24"/>
              </w:rPr>
              <w:t>（</w:t>
            </w:r>
            <w:r>
              <w:rPr>
                <w:bCs/>
                <w:spacing w:val="-6"/>
                <w:sz w:val="24"/>
              </w:rPr>
              <w:t>2</w:t>
            </w:r>
            <w:r>
              <w:rPr>
                <w:bCs/>
                <w:spacing w:val="-6"/>
                <w:sz w:val="24"/>
              </w:rPr>
              <w:t>）水污染分析</w:t>
            </w:r>
          </w:p>
          <w:p w14:paraId="18B24260" w14:textId="77777777" w:rsidR="00F76A63" w:rsidRDefault="00000000">
            <w:pPr>
              <w:adjustRightInd w:val="0"/>
              <w:snapToGrid w:val="0"/>
              <w:spacing w:line="500" w:lineRule="exact"/>
              <w:ind w:firstLineChars="200" w:firstLine="456"/>
              <w:rPr>
                <w:bCs/>
                <w:spacing w:val="-6"/>
                <w:sz w:val="24"/>
              </w:rPr>
            </w:pPr>
            <w:r>
              <w:rPr>
                <w:bCs/>
                <w:spacing w:val="-6"/>
                <w:sz w:val="24"/>
              </w:rPr>
              <w:t>施工期废水主要为施工人员的生活污水和建筑施工废水。</w:t>
            </w:r>
          </w:p>
          <w:p w14:paraId="09A9220A" w14:textId="77777777" w:rsidR="00F76A63" w:rsidRDefault="00000000">
            <w:pPr>
              <w:adjustRightInd w:val="0"/>
              <w:snapToGrid w:val="0"/>
              <w:spacing w:line="500" w:lineRule="exact"/>
              <w:ind w:firstLineChars="200" w:firstLine="456"/>
              <w:rPr>
                <w:bCs/>
                <w:spacing w:val="-6"/>
                <w:sz w:val="24"/>
              </w:rPr>
            </w:pPr>
            <w:r>
              <w:rPr>
                <w:bCs/>
                <w:spacing w:val="-6"/>
                <w:sz w:val="24"/>
              </w:rPr>
              <w:t>1</w:t>
            </w:r>
            <w:r>
              <w:rPr>
                <w:bCs/>
                <w:spacing w:val="-6"/>
                <w:sz w:val="24"/>
              </w:rPr>
              <w:t>）生活污水</w:t>
            </w:r>
          </w:p>
          <w:p w14:paraId="388B7FD9" w14:textId="77777777" w:rsidR="00F76A63" w:rsidRDefault="00000000">
            <w:pPr>
              <w:adjustRightInd w:val="0"/>
              <w:snapToGrid w:val="0"/>
              <w:spacing w:line="500" w:lineRule="exact"/>
              <w:ind w:firstLineChars="200" w:firstLine="456"/>
              <w:rPr>
                <w:bCs/>
                <w:spacing w:val="-6"/>
                <w:sz w:val="24"/>
              </w:rPr>
            </w:pPr>
            <w:r>
              <w:rPr>
                <w:bCs/>
                <w:spacing w:val="-6"/>
                <w:sz w:val="24"/>
              </w:rPr>
              <w:t>施工期施工人员平均按</w:t>
            </w:r>
            <w:r>
              <w:rPr>
                <w:bCs/>
                <w:spacing w:val="-6"/>
                <w:sz w:val="24"/>
              </w:rPr>
              <w:t>30</w:t>
            </w:r>
            <w:r>
              <w:rPr>
                <w:bCs/>
                <w:spacing w:val="-6"/>
                <w:sz w:val="24"/>
              </w:rPr>
              <w:t>人计，施工人员生活用水量按</w:t>
            </w:r>
            <w:r>
              <w:rPr>
                <w:bCs/>
                <w:spacing w:val="-6"/>
                <w:sz w:val="24"/>
              </w:rPr>
              <w:t>50L</w:t>
            </w:r>
            <w:r>
              <w:rPr>
                <w:bCs/>
                <w:spacing w:val="-6"/>
                <w:sz w:val="24"/>
              </w:rPr>
              <w:t>人</w:t>
            </w:r>
            <w:r>
              <w:rPr>
                <w:bCs/>
                <w:spacing w:val="-6"/>
                <w:sz w:val="24"/>
              </w:rPr>
              <w:t>·</w:t>
            </w:r>
            <w:r>
              <w:rPr>
                <w:bCs/>
                <w:spacing w:val="-6"/>
                <w:sz w:val="24"/>
              </w:rPr>
              <w:t>天计，施工期以</w:t>
            </w:r>
            <w:r>
              <w:rPr>
                <w:bCs/>
                <w:spacing w:val="-6"/>
                <w:sz w:val="24"/>
              </w:rPr>
              <w:t>90</w:t>
            </w:r>
            <w:r>
              <w:rPr>
                <w:bCs/>
                <w:spacing w:val="-6"/>
                <w:sz w:val="24"/>
              </w:rPr>
              <w:t>天计，则生活用水量为</w:t>
            </w:r>
            <w:r>
              <w:rPr>
                <w:bCs/>
                <w:spacing w:val="-6"/>
                <w:sz w:val="24"/>
              </w:rPr>
              <w:t>135t</w:t>
            </w:r>
            <w:r>
              <w:rPr>
                <w:bCs/>
                <w:spacing w:val="-6"/>
                <w:sz w:val="24"/>
              </w:rPr>
              <w:t>。生活污水的排放量按用水量的</w:t>
            </w:r>
            <w:r>
              <w:rPr>
                <w:bCs/>
                <w:spacing w:val="-6"/>
                <w:sz w:val="24"/>
              </w:rPr>
              <w:t>80%</w:t>
            </w:r>
            <w:r>
              <w:rPr>
                <w:bCs/>
                <w:spacing w:val="-6"/>
                <w:sz w:val="24"/>
              </w:rPr>
              <w:t>计，则产生的生活污水量为</w:t>
            </w:r>
            <w:r>
              <w:rPr>
                <w:bCs/>
                <w:spacing w:val="-6"/>
                <w:sz w:val="24"/>
              </w:rPr>
              <w:t>108t</w:t>
            </w:r>
            <w:r>
              <w:rPr>
                <w:bCs/>
                <w:spacing w:val="-6"/>
                <w:sz w:val="24"/>
              </w:rPr>
              <w:t>。生活污水的主要污染因子有</w:t>
            </w:r>
            <w:r>
              <w:rPr>
                <w:bCs/>
                <w:spacing w:val="-6"/>
                <w:sz w:val="24"/>
              </w:rPr>
              <w:t>COD</w:t>
            </w:r>
            <w:r>
              <w:rPr>
                <w:bCs/>
                <w:spacing w:val="-6"/>
                <w:sz w:val="24"/>
              </w:rPr>
              <w:t>、</w:t>
            </w:r>
            <w:r>
              <w:rPr>
                <w:bCs/>
                <w:spacing w:val="-6"/>
                <w:sz w:val="24"/>
              </w:rPr>
              <w:t>SS</w:t>
            </w:r>
            <w:r>
              <w:rPr>
                <w:bCs/>
                <w:spacing w:val="-6"/>
                <w:sz w:val="24"/>
              </w:rPr>
              <w:t>、</w:t>
            </w:r>
            <w:r>
              <w:rPr>
                <w:bCs/>
                <w:spacing w:val="-6"/>
                <w:sz w:val="24"/>
              </w:rPr>
              <w:t>NH3-N</w:t>
            </w:r>
            <w:r>
              <w:rPr>
                <w:bCs/>
                <w:spacing w:val="-6"/>
                <w:sz w:val="24"/>
              </w:rPr>
              <w:t>、</w:t>
            </w:r>
            <w:r>
              <w:rPr>
                <w:bCs/>
                <w:spacing w:val="-6"/>
                <w:sz w:val="24"/>
              </w:rPr>
              <w:t>TP</w:t>
            </w:r>
            <w:r>
              <w:rPr>
                <w:bCs/>
                <w:spacing w:val="-6"/>
                <w:sz w:val="24"/>
              </w:rPr>
              <w:t>等。</w:t>
            </w:r>
          </w:p>
          <w:p w14:paraId="5AB473BC" w14:textId="77777777" w:rsidR="00F76A63" w:rsidRDefault="00000000">
            <w:pPr>
              <w:adjustRightInd w:val="0"/>
              <w:snapToGrid w:val="0"/>
              <w:spacing w:line="500" w:lineRule="exact"/>
              <w:ind w:firstLineChars="200" w:firstLine="456"/>
              <w:rPr>
                <w:bCs/>
                <w:spacing w:val="-6"/>
                <w:sz w:val="24"/>
              </w:rPr>
            </w:pPr>
            <w:r>
              <w:rPr>
                <w:bCs/>
                <w:spacing w:val="-6"/>
                <w:sz w:val="24"/>
              </w:rPr>
              <w:t>2</w:t>
            </w:r>
            <w:r>
              <w:rPr>
                <w:bCs/>
                <w:spacing w:val="-6"/>
                <w:sz w:val="24"/>
              </w:rPr>
              <w:t>）施工废水</w:t>
            </w:r>
          </w:p>
          <w:p w14:paraId="57C8CD36" w14:textId="77777777" w:rsidR="00F76A63" w:rsidRDefault="00000000">
            <w:pPr>
              <w:adjustRightInd w:val="0"/>
              <w:snapToGrid w:val="0"/>
              <w:spacing w:line="500" w:lineRule="exact"/>
              <w:ind w:firstLineChars="200" w:firstLine="456"/>
              <w:rPr>
                <w:bCs/>
                <w:spacing w:val="-6"/>
                <w:sz w:val="24"/>
              </w:rPr>
            </w:pPr>
            <w:r>
              <w:rPr>
                <w:bCs/>
                <w:spacing w:val="-6"/>
                <w:sz w:val="24"/>
              </w:rPr>
              <w:t>项目施工废水主要有地基挖掘时的地下水和浇筑混凝土的冲洗水。地基挖掘时的地下水量与地质情况有关，浇注混凝土的冲洗水量与天气状况有关，主要污染因子有</w:t>
            </w:r>
            <w:r>
              <w:rPr>
                <w:bCs/>
                <w:spacing w:val="-6"/>
                <w:sz w:val="24"/>
              </w:rPr>
              <w:t>SS</w:t>
            </w:r>
            <w:r>
              <w:rPr>
                <w:bCs/>
                <w:spacing w:val="-6"/>
                <w:sz w:val="24"/>
              </w:rPr>
              <w:t>，其排放量均难以估算，该污水要进行截流后集中处理，否则将会把施工区块的泥沙带到水体环境中。</w:t>
            </w:r>
          </w:p>
          <w:p w14:paraId="4D756942" w14:textId="77777777" w:rsidR="00F76A63" w:rsidRDefault="00000000">
            <w:pPr>
              <w:adjustRightInd w:val="0"/>
              <w:snapToGrid w:val="0"/>
              <w:spacing w:line="500" w:lineRule="exact"/>
              <w:ind w:firstLineChars="200" w:firstLine="456"/>
              <w:rPr>
                <w:bCs/>
                <w:spacing w:val="-6"/>
                <w:sz w:val="24"/>
              </w:rPr>
            </w:pPr>
            <w:r>
              <w:rPr>
                <w:bCs/>
                <w:spacing w:val="-6"/>
                <w:sz w:val="24"/>
              </w:rPr>
              <w:t>（</w:t>
            </w:r>
            <w:r>
              <w:rPr>
                <w:bCs/>
                <w:spacing w:val="-6"/>
                <w:sz w:val="24"/>
              </w:rPr>
              <w:t>3</w:t>
            </w:r>
            <w:r>
              <w:rPr>
                <w:bCs/>
                <w:spacing w:val="-6"/>
                <w:sz w:val="24"/>
              </w:rPr>
              <w:t>）噪声污染分析：</w:t>
            </w:r>
          </w:p>
          <w:p w14:paraId="2C53DE3F" w14:textId="77777777" w:rsidR="00F76A63" w:rsidRDefault="00000000">
            <w:pPr>
              <w:adjustRightInd w:val="0"/>
              <w:snapToGrid w:val="0"/>
              <w:spacing w:line="500" w:lineRule="exact"/>
              <w:ind w:firstLineChars="200" w:firstLine="456"/>
              <w:rPr>
                <w:bCs/>
                <w:spacing w:val="-6"/>
                <w:sz w:val="24"/>
              </w:rPr>
            </w:pPr>
            <w:r>
              <w:rPr>
                <w:bCs/>
                <w:spacing w:val="-6"/>
                <w:sz w:val="24"/>
              </w:rPr>
              <w:t>项目施工过程中，将使用大量的施工机械和运输车辆。根据施工作业性质的不同，施工全过程一般可分为以下几个阶段：</w:t>
            </w:r>
            <w:r>
              <w:rPr>
                <w:bCs/>
                <w:spacing w:val="-6"/>
                <w:sz w:val="24"/>
              </w:rPr>
              <w:t>1</w:t>
            </w:r>
            <w:r>
              <w:rPr>
                <w:bCs/>
                <w:spacing w:val="-6"/>
                <w:sz w:val="24"/>
              </w:rPr>
              <w:t>）清理场地阶段：包括拆除、清理垃圾等；</w:t>
            </w:r>
            <w:r>
              <w:rPr>
                <w:bCs/>
                <w:spacing w:val="-6"/>
                <w:sz w:val="24"/>
              </w:rPr>
              <w:t>2</w:t>
            </w:r>
            <w:r>
              <w:rPr>
                <w:bCs/>
                <w:spacing w:val="-6"/>
                <w:sz w:val="24"/>
              </w:rPr>
              <w:t>）土石方阶段：挖土石方等；</w:t>
            </w:r>
            <w:r>
              <w:rPr>
                <w:bCs/>
                <w:spacing w:val="-6"/>
                <w:sz w:val="24"/>
              </w:rPr>
              <w:t>3</w:t>
            </w:r>
            <w:r>
              <w:rPr>
                <w:bCs/>
                <w:spacing w:val="-6"/>
                <w:sz w:val="24"/>
              </w:rPr>
              <w:t>）基础工程阶段：打桩、砌筑基础等。不同的施工阶段，所产生的噪声源类型不同。从噪声源产生角度分析，大致可分为四个阶段：土石方工程阶段、基础施工阶段、结构施工阶段和装修阶段。这四个阶段所占施工时间较长，采用的施工机械较多，噪声源分布较广，不同阶段又各具独立的噪</w:t>
            </w:r>
            <w:r>
              <w:rPr>
                <w:bCs/>
                <w:spacing w:val="-6"/>
                <w:sz w:val="24"/>
              </w:rPr>
              <w:lastRenderedPageBreak/>
              <w:t>声特性。土石方工程阶段施工噪声没有明显的指向性，主要噪声源为挖掘机、推土机、装卸机和运输车辆等，噪声源强为</w:t>
            </w:r>
            <w:r>
              <w:rPr>
                <w:bCs/>
                <w:spacing w:val="-6"/>
                <w:sz w:val="24"/>
              </w:rPr>
              <w:t>78</w:t>
            </w:r>
            <w:r>
              <w:rPr>
                <w:bCs/>
                <w:spacing w:val="-6"/>
                <w:sz w:val="24"/>
              </w:rPr>
              <w:t>～</w:t>
            </w:r>
            <w:r>
              <w:rPr>
                <w:bCs/>
                <w:spacing w:val="-6"/>
                <w:sz w:val="24"/>
              </w:rPr>
              <w:t>95dB</w:t>
            </w:r>
            <w:r>
              <w:rPr>
                <w:bCs/>
                <w:spacing w:val="-6"/>
                <w:sz w:val="24"/>
              </w:rPr>
              <w:t>（</w:t>
            </w:r>
            <w:r>
              <w:rPr>
                <w:bCs/>
                <w:spacing w:val="-6"/>
                <w:sz w:val="24"/>
              </w:rPr>
              <w:t>A</w:t>
            </w:r>
            <w:r>
              <w:rPr>
                <w:bCs/>
                <w:spacing w:val="-6"/>
                <w:sz w:val="24"/>
              </w:rPr>
              <w:t>）；基础施工阶段主要噪声源为打桩机，噪声源强为</w:t>
            </w:r>
            <w:r>
              <w:rPr>
                <w:bCs/>
                <w:spacing w:val="-6"/>
                <w:sz w:val="24"/>
              </w:rPr>
              <w:t>85</w:t>
            </w:r>
            <w:r>
              <w:rPr>
                <w:bCs/>
                <w:spacing w:val="-6"/>
                <w:sz w:val="24"/>
              </w:rPr>
              <w:t>～</w:t>
            </w:r>
            <w:r>
              <w:rPr>
                <w:bCs/>
                <w:spacing w:val="-6"/>
                <w:sz w:val="24"/>
              </w:rPr>
              <w:t>110dB</w:t>
            </w:r>
            <w:r>
              <w:rPr>
                <w:bCs/>
                <w:spacing w:val="-6"/>
                <w:sz w:val="24"/>
              </w:rPr>
              <w:t>（</w:t>
            </w:r>
            <w:r>
              <w:rPr>
                <w:bCs/>
                <w:spacing w:val="-6"/>
                <w:sz w:val="24"/>
              </w:rPr>
              <w:t>A</w:t>
            </w:r>
            <w:r>
              <w:rPr>
                <w:bCs/>
                <w:spacing w:val="-6"/>
                <w:sz w:val="24"/>
              </w:rPr>
              <w:t>），属于周期脉冲性声源，具有明显的指向性。次要噪声源有风镐、吊车、平地机等，噪声源强为</w:t>
            </w:r>
            <w:r>
              <w:rPr>
                <w:bCs/>
                <w:spacing w:val="-6"/>
                <w:sz w:val="24"/>
              </w:rPr>
              <w:t>80</w:t>
            </w:r>
            <w:r>
              <w:rPr>
                <w:bCs/>
                <w:spacing w:val="-6"/>
                <w:sz w:val="24"/>
              </w:rPr>
              <w:t>～</w:t>
            </w:r>
            <w:r>
              <w:rPr>
                <w:bCs/>
                <w:spacing w:val="-6"/>
                <w:sz w:val="24"/>
              </w:rPr>
              <w:t>95dB</w:t>
            </w:r>
            <w:r>
              <w:rPr>
                <w:bCs/>
                <w:spacing w:val="-6"/>
                <w:sz w:val="24"/>
              </w:rPr>
              <w:t>（</w:t>
            </w:r>
            <w:r>
              <w:rPr>
                <w:bCs/>
                <w:spacing w:val="-6"/>
                <w:sz w:val="24"/>
              </w:rPr>
              <w:t>A</w:t>
            </w:r>
            <w:r>
              <w:rPr>
                <w:bCs/>
                <w:spacing w:val="-6"/>
                <w:sz w:val="24"/>
              </w:rPr>
              <w:t>）；结构施工阶段施工周期较长，使用的设备种类较多。主要噪声源有运输车辆、汽车吊车、塔式吊车、运输平台、施工电梯等。其中最主要的噪声源是振捣棒，源强在</w:t>
            </w:r>
            <w:r>
              <w:rPr>
                <w:bCs/>
                <w:spacing w:val="-6"/>
                <w:sz w:val="24"/>
              </w:rPr>
              <w:t>100</w:t>
            </w:r>
            <w:r>
              <w:rPr>
                <w:bCs/>
                <w:spacing w:val="-6"/>
                <w:sz w:val="24"/>
              </w:rPr>
              <w:t>～</w:t>
            </w:r>
            <w:r>
              <w:rPr>
                <w:bCs/>
                <w:spacing w:val="-6"/>
                <w:sz w:val="24"/>
              </w:rPr>
              <w:t>110dB</w:t>
            </w:r>
            <w:r>
              <w:rPr>
                <w:bCs/>
                <w:spacing w:val="-6"/>
                <w:sz w:val="24"/>
              </w:rPr>
              <w:t>（</w:t>
            </w:r>
            <w:r>
              <w:rPr>
                <w:bCs/>
                <w:spacing w:val="-6"/>
                <w:sz w:val="24"/>
              </w:rPr>
              <w:t>A</w:t>
            </w:r>
            <w:r>
              <w:rPr>
                <w:bCs/>
                <w:spacing w:val="-6"/>
                <w:sz w:val="24"/>
              </w:rPr>
              <w:t>）之间；装修阶段声源数量较少，主要有砂轮机、电钻、电锤、吊车、切割机等，噪声源强在</w:t>
            </w:r>
            <w:r>
              <w:rPr>
                <w:bCs/>
                <w:spacing w:val="-6"/>
                <w:sz w:val="24"/>
              </w:rPr>
              <w:t>90</w:t>
            </w:r>
            <w:r>
              <w:rPr>
                <w:bCs/>
                <w:spacing w:val="-6"/>
                <w:sz w:val="24"/>
              </w:rPr>
              <w:t>～</w:t>
            </w:r>
            <w:r>
              <w:rPr>
                <w:bCs/>
                <w:spacing w:val="-6"/>
                <w:sz w:val="24"/>
              </w:rPr>
              <w:t>115dB</w:t>
            </w:r>
            <w:r>
              <w:rPr>
                <w:bCs/>
                <w:spacing w:val="-6"/>
                <w:sz w:val="24"/>
              </w:rPr>
              <w:t>（</w:t>
            </w:r>
            <w:r>
              <w:rPr>
                <w:bCs/>
                <w:spacing w:val="-6"/>
                <w:sz w:val="24"/>
              </w:rPr>
              <w:t>A</w:t>
            </w:r>
            <w:r>
              <w:rPr>
                <w:bCs/>
                <w:spacing w:val="-6"/>
                <w:sz w:val="24"/>
              </w:rPr>
              <w:t>）之间。施工过程中产生的噪声强度较大，数量较多，其强度与施工机械的功率、工作状态等因素都有关。</w:t>
            </w:r>
          </w:p>
          <w:p w14:paraId="2881E57D" w14:textId="77777777" w:rsidR="00F76A63" w:rsidRDefault="00000000">
            <w:pPr>
              <w:adjustRightInd w:val="0"/>
              <w:snapToGrid w:val="0"/>
              <w:spacing w:line="500" w:lineRule="exact"/>
              <w:ind w:firstLineChars="200" w:firstLine="456"/>
              <w:rPr>
                <w:bCs/>
                <w:spacing w:val="-6"/>
                <w:sz w:val="24"/>
              </w:rPr>
            </w:pPr>
            <w:r>
              <w:rPr>
                <w:bCs/>
                <w:spacing w:val="-6"/>
                <w:sz w:val="24"/>
              </w:rPr>
              <w:t>为减少施工期噪声对区域环境的影响，施工单位将采用施工期简易声屏蔽设施，建设单位将做好施工管理，合理安排施工时间，严格执行《建筑施工噪声排放标准》（</w:t>
            </w:r>
            <w:r>
              <w:rPr>
                <w:bCs/>
                <w:spacing w:val="-6"/>
                <w:sz w:val="24"/>
              </w:rPr>
              <w:t>GB12523-20</w:t>
            </w:r>
            <w:r>
              <w:rPr>
                <w:rFonts w:hint="eastAsia"/>
                <w:bCs/>
                <w:spacing w:val="-6"/>
                <w:sz w:val="24"/>
              </w:rPr>
              <w:t>25</w:t>
            </w:r>
            <w:r>
              <w:rPr>
                <w:bCs/>
                <w:spacing w:val="-6"/>
                <w:sz w:val="24"/>
              </w:rPr>
              <w:t>）。</w:t>
            </w:r>
          </w:p>
          <w:p w14:paraId="1A4DB4A5" w14:textId="77777777" w:rsidR="00F76A63" w:rsidRDefault="00000000">
            <w:pPr>
              <w:adjustRightInd w:val="0"/>
              <w:snapToGrid w:val="0"/>
              <w:spacing w:line="500" w:lineRule="exact"/>
              <w:ind w:firstLineChars="200" w:firstLine="456"/>
              <w:rPr>
                <w:bCs/>
                <w:spacing w:val="-6"/>
                <w:sz w:val="24"/>
              </w:rPr>
            </w:pPr>
            <w:r>
              <w:rPr>
                <w:bCs/>
                <w:spacing w:val="-6"/>
                <w:sz w:val="24"/>
              </w:rPr>
              <w:t>（</w:t>
            </w:r>
            <w:r>
              <w:rPr>
                <w:bCs/>
                <w:spacing w:val="-6"/>
                <w:sz w:val="24"/>
              </w:rPr>
              <w:t>4</w:t>
            </w:r>
            <w:r>
              <w:rPr>
                <w:bCs/>
                <w:spacing w:val="-6"/>
                <w:sz w:val="24"/>
              </w:rPr>
              <w:t>）固体废弃物污染分析：</w:t>
            </w:r>
          </w:p>
          <w:p w14:paraId="3217D551" w14:textId="77777777" w:rsidR="00F76A63" w:rsidRDefault="00000000">
            <w:pPr>
              <w:adjustRightInd w:val="0"/>
              <w:snapToGrid w:val="0"/>
              <w:spacing w:line="500" w:lineRule="exact"/>
              <w:ind w:firstLineChars="200" w:firstLine="456"/>
              <w:rPr>
                <w:bCs/>
                <w:spacing w:val="-6"/>
                <w:sz w:val="24"/>
              </w:rPr>
            </w:pPr>
            <w:r>
              <w:rPr>
                <w:bCs/>
                <w:spacing w:val="-6"/>
                <w:sz w:val="24"/>
              </w:rPr>
              <w:t>施工期固废主要为建筑垃圾和生活垃圾两部分。</w:t>
            </w:r>
          </w:p>
          <w:p w14:paraId="575F40D1" w14:textId="77777777" w:rsidR="00F76A63" w:rsidRDefault="00000000">
            <w:pPr>
              <w:adjustRightInd w:val="0"/>
              <w:snapToGrid w:val="0"/>
              <w:spacing w:line="500" w:lineRule="exact"/>
              <w:ind w:firstLineChars="200" w:firstLine="456"/>
              <w:rPr>
                <w:bCs/>
                <w:spacing w:val="-6"/>
                <w:sz w:val="24"/>
              </w:rPr>
            </w:pPr>
            <w:r>
              <w:rPr>
                <w:bCs/>
                <w:spacing w:val="-6"/>
                <w:sz w:val="24"/>
              </w:rPr>
              <w:t>1</w:t>
            </w:r>
            <w:r>
              <w:rPr>
                <w:bCs/>
                <w:spacing w:val="-6"/>
                <w:sz w:val="24"/>
              </w:rPr>
              <w:t>）建筑垃圾</w:t>
            </w:r>
          </w:p>
          <w:p w14:paraId="7C467B32" w14:textId="77777777" w:rsidR="00F76A63" w:rsidRDefault="00000000">
            <w:pPr>
              <w:adjustRightInd w:val="0"/>
              <w:snapToGrid w:val="0"/>
              <w:spacing w:line="500" w:lineRule="exact"/>
              <w:ind w:firstLineChars="200" w:firstLine="456"/>
              <w:rPr>
                <w:bCs/>
                <w:spacing w:val="-6"/>
                <w:sz w:val="24"/>
              </w:rPr>
            </w:pPr>
            <w:r>
              <w:rPr>
                <w:bCs/>
                <w:spacing w:val="-6"/>
                <w:sz w:val="24"/>
              </w:rPr>
              <w:t>项目的建筑垃圾主要为施工过程中产生的废混凝土、碎砖头块等。根据建设单位提供的设计资料，本项目施工过程中产生的建筑垃圾约为</w:t>
            </w:r>
            <w:r>
              <w:rPr>
                <w:bCs/>
                <w:spacing w:val="-6"/>
                <w:sz w:val="24"/>
              </w:rPr>
              <w:t>20t</w:t>
            </w:r>
            <w:r>
              <w:rPr>
                <w:bCs/>
                <w:spacing w:val="-6"/>
                <w:sz w:val="24"/>
              </w:rPr>
              <w:t>。</w:t>
            </w:r>
          </w:p>
          <w:p w14:paraId="36F1353C" w14:textId="77777777" w:rsidR="00F76A63" w:rsidRDefault="00000000">
            <w:pPr>
              <w:adjustRightInd w:val="0"/>
              <w:snapToGrid w:val="0"/>
              <w:spacing w:line="500" w:lineRule="exact"/>
              <w:ind w:firstLineChars="200" w:firstLine="456"/>
              <w:rPr>
                <w:bCs/>
                <w:spacing w:val="-6"/>
                <w:sz w:val="24"/>
              </w:rPr>
            </w:pPr>
            <w:r>
              <w:rPr>
                <w:bCs/>
                <w:spacing w:val="-6"/>
                <w:sz w:val="24"/>
              </w:rPr>
              <w:t>一般建筑垃圾可进行回收再利用，因此，项目的建筑垃圾产生后，经过统一收集作为建材原料用于项目内的广场和道路的铺设。</w:t>
            </w:r>
          </w:p>
          <w:p w14:paraId="5E94133D" w14:textId="77777777" w:rsidR="00F76A63" w:rsidRDefault="00000000">
            <w:pPr>
              <w:adjustRightInd w:val="0"/>
              <w:snapToGrid w:val="0"/>
              <w:spacing w:line="500" w:lineRule="exact"/>
              <w:ind w:firstLineChars="200" w:firstLine="456"/>
              <w:rPr>
                <w:bCs/>
                <w:spacing w:val="-6"/>
                <w:sz w:val="24"/>
              </w:rPr>
            </w:pPr>
            <w:r>
              <w:rPr>
                <w:bCs/>
                <w:spacing w:val="-6"/>
                <w:sz w:val="24"/>
              </w:rPr>
              <w:t>2</w:t>
            </w:r>
            <w:r>
              <w:rPr>
                <w:bCs/>
                <w:spacing w:val="-6"/>
                <w:sz w:val="24"/>
              </w:rPr>
              <w:t>）生活垃圾</w:t>
            </w:r>
          </w:p>
          <w:p w14:paraId="71B30032" w14:textId="77777777" w:rsidR="00F76A63" w:rsidRDefault="00000000">
            <w:pPr>
              <w:adjustRightInd w:val="0"/>
              <w:snapToGrid w:val="0"/>
              <w:spacing w:line="500" w:lineRule="exact"/>
              <w:ind w:firstLineChars="200" w:firstLine="456"/>
              <w:rPr>
                <w:bCs/>
                <w:spacing w:val="-6"/>
                <w:sz w:val="24"/>
              </w:rPr>
            </w:pPr>
            <w:r>
              <w:rPr>
                <w:bCs/>
                <w:spacing w:val="-6"/>
                <w:sz w:val="24"/>
              </w:rPr>
              <w:t>施工人员的生活垃圾产生量按照每人每天</w:t>
            </w:r>
            <w:r>
              <w:rPr>
                <w:bCs/>
                <w:spacing w:val="-6"/>
                <w:sz w:val="24"/>
              </w:rPr>
              <w:t>0.5kg</w:t>
            </w:r>
            <w:r>
              <w:rPr>
                <w:bCs/>
                <w:spacing w:val="-6"/>
                <w:sz w:val="24"/>
              </w:rPr>
              <w:t>考虑，则产生量为</w:t>
            </w:r>
            <w:r>
              <w:rPr>
                <w:bCs/>
                <w:spacing w:val="-6"/>
                <w:sz w:val="24"/>
              </w:rPr>
              <w:t>15kg/d</w:t>
            </w:r>
            <w:r>
              <w:rPr>
                <w:bCs/>
                <w:spacing w:val="-6"/>
                <w:sz w:val="24"/>
              </w:rPr>
              <w:t>（按</w:t>
            </w:r>
            <w:r>
              <w:rPr>
                <w:bCs/>
                <w:spacing w:val="-6"/>
                <w:sz w:val="24"/>
              </w:rPr>
              <w:t>30</w:t>
            </w:r>
            <w:r>
              <w:rPr>
                <w:bCs/>
                <w:spacing w:val="-6"/>
                <w:sz w:val="24"/>
              </w:rPr>
              <w:t>人计），施工期预计为</w:t>
            </w:r>
            <w:r>
              <w:rPr>
                <w:bCs/>
                <w:spacing w:val="-6"/>
                <w:sz w:val="24"/>
              </w:rPr>
              <w:t>3</w:t>
            </w:r>
            <w:r>
              <w:rPr>
                <w:bCs/>
                <w:spacing w:val="-6"/>
                <w:sz w:val="24"/>
              </w:rPr>
              <w:t>个月，施工期共产生生活垃圾约为</w:t>
            </w:r>
            <w:r>
              <w:rPr>
                <w:bCs/>
                <w:spacing w:val="-6"/>
                <w:sz w:val="24"/>
              </w:rPr>
              <w:t>1.35t</w:t>
            </w:r>
            <w:r>
              <w:rPr>
                <w:bCs/>
                <w:spacing w:val="-6"/>
                <w:sz w:val="24"/>
              </w:rPr>
              <w:t>。生活垃圾设置堆放点，并采取分类收集、即产即清的方法外运至指定地点，由环卫部门统一处理。</w:t>
            </w:r>
          </w:p>
          <w:p w14:paraId="7B1B73B9" w14:textId="77777777" w:rsidR="00F76A63" w:rsidRDefault="00000000">
            <w:pPr>
              <w:adjustRightInd w:val="0"/>
              <w:snapToGrid w:val="0"/>
              <w:spacing w:line="500" w:lineRule="exact"/>
              <w:ind w:firstLineChars="200" w:firstLine="458"/>
              <w:rPr>
                <w:b/>
                <w:bCs/>
                <w:spacing w:val="-6"/>
                <w:sz w:val="24"/>
              </w:rPr>
            </w:pPr>
            <w:r>
              <w:rPr>
                <w:b/>
                <w:bCs/>
                <w:spacing w:val="-6"/>
                <w:sz w:val="24"/>
              </w:rPr>
              <w:t>二、运营期工程分析</w:t>
            </w:r>
          </w:p>
          <w:p w14:paraId="67338042" w14:textId="77777777" w:rsidR="00F76A63" w:rsidRDefault="00000000">
            <w:pPr>
              <w:adjustRightInd w:val="0"/>
              <w:snapToGrid w:val="0"/>
              <w:spacing w:line="500" w:lineRule="exact"/>
              <w:ind w:firstLineChars="200" w:firstLine="458"/>
              <w:rPr>
                <w:b/>
                <w:spacing w:val="-6"/>
                <w:sz w:val="24"/>
              </w:rPr>
            </w:pPr>
            <w:bookmarkStart w:id="88" w:name="_Hlk219391745"/>
            <w:r>
              <w:rPr>
                <w:b/>
                <w:spacing w:val="-6"/>
                <w:sz w:val="24"/>
              </w:rPr>
              <w:t>1</w:t>
            </w:r>
            <w:r>
              <w:rPr>
                <w:b/>
                <w:spacing w:val="-6"/>
                <w:sz w:val="24"/>
              </w:rPr>
              <w:t>、本项目工艺流程及产污：</w:t>
            </w:r>
          </w:p>
          <w:p w14:paraId="3DCC4E27" w14:textId="77777777" w:rsidR="00F76A63" w:rsidRDefault="00000000">
            <w:pPr>
              <w:adjustRightInd w:val="0"/>
              <w:snapToGrid w:val="0"/>
              <w:jc w:val="center"/>
              <w:rPr>
                <w:b/>
                <w:spacing w:val="-6"/>
                <w:sz w:val="24"/>
              </w:rPr>
            </w:pPr>
            <w:r>
              <w:rPr>
                <w:b/>
                <w:noProof/>
                <w:spacing w:val="-6"/>
                <w:sz w:val="24"/>
              </w:rPr>
              <w:lastRenderedPageBreak/>
              <w:drawing>
                <wp:inline distT="0" distB="0" distL="0" distR="0" wp14:anchorId="2A2718A7" wp14:editId="38E98CF8">
                  <wp:extent cx="3185160" cy="3305175"/>
                  <wp:effectExtent l="0" t="0" r="0" b="0"/>
                  <wp:docPr id="4058570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57094" name="图片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187512" cy="3307202"/>
                          </a:xfrm>
                          <a:prstGeom prst="rect">
                            <a:avLst/>
                          </a:prstGeom>
                          <a:noFill/>
                          <a:ln>
                            <a:noFill/>
                          </a:ln>
                        </pic:spPr>
                      </pic:pic>
                    </a:graphicData>
                  </a:graphic>
                </wp:inline>
              </w:drawing>
            </w:r>
          </w:p>
          <w:p w14:paraId="61DEF067" w14:textId="77777777" w:rsidR="00F76A63" w:rsidRDefault="00000000">
            <w:pPr>
              <w:adjustRightInd w:val="0"/>
              <w:snapToGrid w:val="0"/>
              <w:spacing w:line="500" w:lineRule="exact"/>
              <w:jc w:val="center"/>
            </w:pPr>
            <w:r>
              <w:rPr>
                <w:b/>
                <w:bCs/>
                <w:spacing w:val="-5"/>
                <w:sz w:val="24"/>
              </w:rPr>
              <w:t>图</w:t>
            </w:r>
            <w:r>
              <w:rPr>
                <w:rFonts w:eastAsia="Times New Roman"/>
                <w:b/>
                <w:bCs/>
                <w:spacing w:val="-5"/>
                <w:sz w:val="24"/>
              </w:rPr>
              <w:t>2-</w:t>
            </w:r>
            <w:r>
              <w:rPr>
                <w:rFonts w:eastAsiaTheme="minorEastAsia"/>
                <w:b/>
                <w:bCs/>
                <w:spacing w:val="-5"/>
                <w:sz w:val="24"/>
              </w:rPr>
              <w:t xml:space="preserve">3 </w:t>
            </w:r>
            <w:r>
              <w:rPr>
                <w:rFonts w:eastAsia="Times New Roman"/>
                <w:b/>
                <w:bCs/>
                <w:spacing w:val="-5"/>
                <w:sz w:val="24"/>
              </w:rPr>
              <w:t xml:space="preserve"> </w:t>
            </w:r>
            <w:r>
              <w:rPr>
                <w:b/>
                <w:bCs/>
                <w:spacing w:val="-5"/>
                <w:sz w:val="24"/>
              </w:rPr>
              <w:t>生产工艺流程图</w:t>
            </w:r>
          </w:p>
          <w:p w14:paraId="40B98F23" w14:textId="77777777" w:rsidR="00F76A63" w:rsidRDefault="00000000">
            <w:pPr>
              <w:adjustRightInd w:val="0"/>
              <w:snapToGrid w:val="0"/>
              <w:spacing w:line="500" w:lineRule="exact"/>
              <w:ind w:firstLineChars="200" w:firstLine="474"/>
              <w:rPr>
                <w:b/>
                <w:bCs/>
                <w:spacing w:val="-2"/>
                <w:sz w:val="24"/>
                <w:szCs w:val="32"/>
              </w:rPr>
            </w:pPr>
            <w:r>
              <w:rPr>
                <w:b/>
                <w:bCs/>
                <w:spacing w:val="-2"/>
                <w:sz w:val="24"/>
                <w:szCs w:val="32"/>
              </w:rPr>
              <w:t>工艺流程简述：</w:t>
            </w:r>
          </w:p>
          <w:p w14:paraId="29B504E3" w14:textId="77777777" w:rsidR="00F76A63" w:rsidRDefault="00000000">
            <w:pPr>
              <w:adjustRightInd w:val="0"/>
              <w:snapToGrid w:val="0"/>
              <w:spacing w:line="500" w:lineRule="exact"/>
              <w:ind w:firstLineChars="200" w:firstLine="480"/>
              <w:rPr>
                <w:sz w:val="24"/>
              </w:rPr>
            </w:pPr>
            <w:r>
              <w:rPr>
                <w:rFonts w:ascii="Cambria Math" w:hAnsi="Cambria Math" w:cs="Cambria Math"/>
                <w:sz w:val="24"/>
              </w:rPr>
              <w:t>①</w:t>
            </w:r>
            <w:r>
              <w:rPr>
                <w:sz w:val="24"/>
              </w:rPr>
              <w:t>入厂检查</w:t>
            </w:r>
          </w:p>
          <w:p w14:paraId="208943C5" w14:textId="77777777" w:rsidR="00F76A63" w:rsidRDefault="00000000">
            <w:pPr>
              <w:adjustRightInd w:val="0"/>
              <w:snapToGrid w:val="0"/>
              <w:spacing w:line="500" w:lineRule="exact"/>
              <w:ind w:firstLineChars="200" w:firstLine="480"/>
              <w:rPr>
                <w:sz w:val="24"/>
              </w:rPr>
            </w:pPr>
            <w:r>
              <w:rPr>
                <w:sz w:val="24"/>
              </w:rPr>
              <w:t>污染土及污泥进厂后，先对其进行初步肉眼判断，检查其外观和包装是否符合要求，固废标签所标注内容、固废类别等是否与签订合同一致，不符合则按照合同条款处理。完成上述初步检查并确认符合相关要求后，在实验室抽样进行成分分析，经检验后符合入厂要求的贮存在污染土堆棚及污染土临时储库中</w:t>
            </w:r>
            <w:r>
              <w:rPr>
                <w:rFonts w:hint="eastAsia"/>
                <w:sz w:val="24"/>
              </w:rPr>
              <w:t>，本项目新建的原料、污染土堆棚为全封闭、防渗硬化地面，地面设置导流坡度及环形集水沟，污泥贮存过程产生的少量渗滤液，经集水沟统一收集至渗滤液收集池和生产废水一起经中水处理系统处理，不外排，全部回用。</w:t>
            </w:r>
          </w:p>
          <w:p w14:paraId="4CF9A519" w14:textId="77777777" w:rsidR="00F76A63" w:rsidRDefault="00000000">
            <w:pPr>
              <w:adjustRightInd w:val="0"/>
              <w:snapToGrid w:val="0"/>
              <w:spacing w:line="500" w:lineRule="exact"/>
              <w:ind w:firstLineChars="200" w:firstLine="476"/>
              <w:rPr>
                <w:sz w:val="24"/>
              </w:rPr>
            </w:pPr>
            <w:r>
              <w:rPr>
                <w:rFonts w:ascii="Cambria Math" w:hAnsi="Cambria Math" w:cs="Cambria Math"/>
                <w:spacing w:val="-1"/>
                <w:sz w:val="24"/>
              </w:rPr>
              <w:t>②</w:t>
            </w:r>
            <w:r>
              <w:rPr>
                <w:rFonts w:ascii="Cambria Math" w:hAnsi="Cambria Math" w:cs="Cambria Math" w:hint="eastAsia"/>
                <w:spacing w:val="-1"/>
                <w:sz w:val="24"/>
              </w:rPr>
              <w:t>运输转运及计量方式</w:t>
            </w:r>
          </w:p>
          <w:p w14:paraId="203F8354" w14:textId="77777777" w:rsidR="00F76A63" w:rsidRDefault="00000000">
            <w:pPr>
              <w:adjustRightInd w:val="0"/>
              <w:snapToGrid w:val="0"/>
              <w:spacing w:line="500" w:lineRule="exact"/>
              <w:ind w:firstLineChars="200" w:firstLine="480"/>
              <w:rPr>
                <w:sz w:val="24"/>
                <w:szCs w:val="32"/>
              </w:rPr>
            </w:pPr>
            <w:r>
              <w:rPr>
                <w:rFonts w:hint="eastAsia"/>
                <w:sz w:val="24"/>
                <w:szCs w:val="32"/>
              </w:rPr>
              <w:t>运输过程</w:t>
            </w:r>
            <w:r>
              <w:rPr>
                <w:sz w:val="24"/>
                <w:szCs w:val="32"/>
              </w:rPr>
              <w:t>采用全密闭自卸式货运车辆，车厢加盖密封，防止运输途中物料洒落、粉尘飞扬及异味扩散；运输路线固定，车辆驶入全封闭微负压卸料车间完成卸料，车间设置密闭围挡、雾化抑尘装置及集气管道，负压收集逸散粉尘与恶臭气体；物料直接卸入地下密闭受料仓，全程不落地、不露天堆放。</w:t>
            </w:r>
          </w:p>
          <w:p w14:paraId="3F9DFFCA" w14:textId="77777777" w:rsidR="00F76A63" w:rsidRDefault="00000000">
            <w:pPr>
              <w:adjustRightInd w:val="0"/>
              <w:snapToGrid w:val="0"/>
              <w:spacing w:line="500" w:lineRule="exact"/>
              <w:ind w:firstLineChars="200" w:firstLine="480"/>
              <w:rPr>
                <w:sz w:val="24"/>
                <w:szCs w:val="32"/>
              </w:rPr>
            </w:pPr>
            <w:r>
              <w:rPr>
                <w:rFonts w:hint="eastAsia"/>
                <w:sz w:val="24"/>
                <w:szCs w:val="32"/>
              </w:rPr>
              <w:t>采用</w:t>
            </w:r>
            <w:r>
              <w:rPr>
                <w:sz w:val="24"/>
                <w:szCs w:val="32"/>
              </w:rPr>
              <w:t>全密闭皮带输送机</w:t>
            </w:r>
            <w:r>
              <w:rPr>
                <w:sz w:val="24"/>
                <w:szCs w:val="32"/>
              </w:rPr>
              <w:t>+</w:t>
            </w:r>
            <w:r>
              <w:rPr>
                <w:sz w:val="24"/>
                <w:szCs w:val="32"/>
              </w:rPr>
              <w:t>封闭式刮板输送机，输送廊道完全封闭；所有物料</w:t>
            </w:r>
            <w:r>
              <w:rPr>
                <w:sz w:val="24"/>
                <w:szCs w:val="32"/>
              </w:rPr>
              <w:lastRenderedPageBreak/>
              <w:t>转运、转接点位均设置密闭罩</w:t>
            </w:r>
            <w:r>
              <w:rPr>
                <w:sz w:val="24"/>
                <w:szCs w:val="32"/>
              </w:rPr>
              <w:t>+</w:t>
            </w:r>
            <w:r>
              <w:rPr>
                <w:sz w:val="24"/>
                <w:szCs w:val="32"/>
              </w:rPr>
              <w:t>布袋集尘装置。物料按品类分别输送至封闭堆棚指定分区，污染土、污泥分区存放，避免混料。</w:t>
            </w:r>
          </w:p>
          <w:p w14:paraId="2B6AACCB" w14:textId="77777777" w:rsidR="00F76A63" w:rsidRDefault="00000000">
            <w:pPr>
              <w:pStyle w:val="TableText"/>
              <w:spacing w:line="500" w:lineRule="exact"/>
              <w:ind w:firstLine="467"/>
              <w:jc w:val="both"/>
              <w:rPr>
                <w:rFonts w:hint="eastAsia"/>
                <w:color w:val="auto"/>
                <w:szCs w:val="32"/>
              </w:rPr>
            </w:pPr>
            <w:r>
              <w:rPr>
                <w:rFonts w:ascii="Times New Roman" w:hAnsi="Times New Roman" w:cs="Times New Roman"/>
                <w:color w:val="auto"/>
              </w:rPr>
              <w:t>建立进厂总量计量</w:t>
            </w:r>
            <w:r>
              <w:rPr>
                <w:rFonts w:ascii="Times New Roman" w:hAnsi="Times New Roman" w:cs="Times New Roman"/>
                <w:color w:val="auto"/>
              </w:rPr>
              <w:t>+</w:t>
            </w:r>
            <w:r>
              <w:rPr>
                <w:rFonts w:ascii="Times New Roman" w:hAnsi="Times New Roman" w:cs="Times New Roman"/>
                <w:color w:val="auto"/>
              </w:rPr>
              <w:t>在线配料计量双重管控体系，计量数据实时存档，满足监管要求</w:t>
            </w:r>
            <w:r>
              <w:rPr>
                <w:rFonts w:ascii="Times New Roman" w:hAnsi="Times New Roman" w:cs="Times New Roman" w:hint="eastAsia"/>
                <w:color w:val="auto"/>
              </w:rPr>
              <w:t>；</w:t>
            </w:r>
            <w:r>
              <w:rPr>
                <w:color w:val="auto"/>
                <w:szCs w:val="32"/>
              </w:rPr>
              <w:t>厂区入口设置全自动电子地磅，具备自动称重、车牌识别、数据自动存储功能。所有固废运输车辆逐车称重，自动记录物料种类、来源、毛重、皮重、净重、进厂时间，一车一档建立电子台账，实现进厂总量精准统计，杜绝超量接收，可溯源、可核查。配料站固废料仓出料口配置变频调速定量给料皮带秤，为连续动态计量设备，可实时监测瞬时下料量、累计投料量，自动匹配生产线负荷。系统具备自动调速、动态纠偏、超量报警、断料报警功能，可精准控制污染土、污泥掺配比例，保证投料均匀、配比稳定，杜绝瞬时大流量冲击窑况，保障生料组分、窑内热工制度持续稳定。</w:t>
            </w:r>
          </w:p>
          <w:p w14:paraId="3673BB5E" w14:textId="77777777" w:rsidR="00F76A63" w:rsidRDefault="00000000">
            <w:pPr>
              <w:pStyle w:val="TableText"/>
              <w:spacing w:line="500" w:lineRule="exact"/>
              <w:ind w:firstLineChars="200" w:firstLine="472"/>
              <w:jc w:val="both"/>
              <w:rPr>
                <w:rFonts w:ascii="Times New Roman" w:hAnsi="Times New Roman" w:cs="Times New Roman"/>
                <w:color w:val="auto"/>
              </w:rPr>
            </w:pPr>
            <w:r>
              <w:rPr>
                <w:rFonts w:ascii="Cambria Math" w:hAnsi="Cambria Math" w:cs="Cambria Math"/>
                <w:color w:val="auto"/>
                <w:spacing w:val="-2"/>
              </w:rPr>
              <w:t>③</w:t>
            </w:r>
            <w:r>
              <w:rPr>
                <w:rFonts w:ascii="Times New Roman" w:hAnsi="Times New Roman" w:cs="Times New Roman"/>
                <w:color w:val="auto"/>
                <w:spacing w:val="-2"/>
              </w:rPr>
              <w:t>原料粉磨</w:t>
            </w:r>
          </w:p>
          <w:p w14:paraId="10E7D3E7" w14:textId="77777777" w:rsidR="00F76A63" w:rsidRDefault="00000000">
            <w:pPr>
              <w:pStyle w:val="TableText"/>
              <w:spacing w:line="500" w:lineRule="exact"/>
              <w:ind w:firstLine="480"/>
              <w:jc w:val="both"/>
              <w:rPr>
                <w:rFonts w:hint="eastAsia"/>
                <w:color w:val="auto"/>
              </w:rPr>
            </w:pPr>
            <w:r>
              <w:rPr>
                <w:color w:val="auto"/>
              </w:rPr>
              <w:t>本项目采用连续、均匀、小比例、常态化配料投料工艺，严禁集中投料、批次冲击式投料。堆棚内设置桥式刮板取料机，对堆存物料进行整体均匀取料，保证物料含水率、组分均匀稳定。</w:t>
            </w:r>
          </w:p>
          <w:p w14:paraId="28B8F4B9" w14:textId="77777777" w:rsidR="00F76A63" w:rsidRDefault="00000000">
            <w:pPr>
              <w:pStyle w:val="TableText"/>
              <w:spacing w:line="500" w:lineRule="exact"/>
              <w:ind w:firstLine="480"/>
              <w:jc w:val="both"/>
              <w:rPr>
                <w:rFonts w:ascii="Times New Roman" w:hAnsi="Times New Roman" w:cs="Times New Roman"/>
                <w:color w:val="auto"/>
              </w:rPr>
            </w:pPr>
            <w:r>
              <w:rPr>
                <w:rFonts w:ascii="Times New Roman" w:hAnsi="Times New Roman" w:cs="Times New Roman"/>
                <w:color w:val="auto"/>
              </w:rPr>
              <w:t>物料在磨内经研磨﹑烘干﹑分选后，合格生料送入</w:t>
            </w:r>
            <w:r>
              <w:rPr>
                <w:rFonts w:ascii="Times New Roman" w:hAnsi="Times New Roman" w:cs="Times New Roman"/>
                <w:color w:val="auto"/>
                <w:spacing w:val="-1"/>
              </w:rPr>
              <w:t>生料均化库，原料烘干热</w:t>
            </w:r>
            <w:r>
              <w:rPr>
                <w:rFonts w:ascii="Times New Roman" w:hAnsi="Times New Roman" w:cs="Times New Roman"/>
                <w:color w:val="auto"/>
              </w:rPr>
              <w:t>源来自于高温风机引入的窑尾预热器废气，出磨废气经原</w:t>
            </w:r>
            <w:r>
              <w:rPr>
                <w:rFonts w:ascii="Times New Roman" w:hAnsi="Times New Roman" w:cs="Times New Roman"/>
                <w:color w:val="auto"/>
                <w:spacing w:val="-1"/>
              </w:rPr>
              <w:t>料磨风机，一部分作为</w:t>
            </w:r>
            <w:r>
              <w:rPr>
                <w:rFonts w:ascii="Times New Roman" w:hAnsi="Times New Roman" w:cs="Times New Roman"/>
                <w:color w:val="auto"/>
              </w:rPr>
              <w:t>循环风回磨，其余部分与来自高温风机的多余废气混合后</w:t>
            </w:r>
            <w:r>
              <w:rPr>
                <w:rFonts w:ascii="Times New Roman" w:hAnsi="Times New Roman" w:cs="Times New Roman"/>
                <w:color w:val="auto"/>
                <w:spacing w:val="-1"/>
              </w:rPr>
              <w:t>进入窑尾除尘器处理，窑尾除尘器集灰送往生料均化库。</w:t>
            </w:r>
          </w:p>
          <w:p w14:paraId="5A9132B3" w14:textId="77777777" w:rsidR="00F76A63" w:rsidRDefault="00000000">
            <w:pPr>
              <w:pStyle w:val="TableText"/>
              <w:spacing w:line="500" w:lineRule="exact"/>
              <w:ind w:firstLineChars="200" w:firstLine="476"/>
              <w:jc w:val="both"/>
              <w:rPr>
                <w:rFonts w:ascii="Times New Roman" w:hAnsi="Times New Roman" w:cs="Times New Roman"/>
                <w:color w:val="auto"/>
              </w:rPr>
            </w:pPr>
            <w:r>
              <w:rPr>
                <w:rFonts w:ascii="Cambria Math" w:hAnsi="Cambria Math" w:cs="Cambria Math"/>
                <w:color w:val="auto"/>
                <w:spacing w:val="-1"/>
              </w:rPr>
              <w:t>④</w:t>
            </w:r>
            <w:r>
              <w:rPr>
                <w:rFonts w:ascii="Times New Roman" w:hAnsi="Times New Roman" w:cs="Times New Roman"/>
                <w:color w:val="auto"/>
                <w:spacing w:val="-1"/>
              </w:rPr>
              <w:t>生料均化库及生料入窑</w:t>
            </w:r>
          </w:p>
          <w:p w14:paraId="0F52E089" w14:textId="77777777" w:rsidR="00F76A63" w:rsidRDefault="00000000">
            <w:pPr>
              <w:pStyle w:val="TableText"/>
              <w:spacing w:line="500" w:lineRule="exact"/>
              <w:ind w:firstLine="481"/>
              <w:jc w:val="both"/>
              <w:rPr>
                <w:rFonts w:ascii="Times New Roman" w:hAnsi="Times New Roman" w:cs="Times New Roman"/>
                <w:color w:val="auto"/>
              </w:rPr>
            </w:pPr>
            <w:r>
              <w:rPr>
                <w:rFonts w:ascii="Times New Roman" w:hAnsi="Times New Roman" w:cs="Times New Roman"/>
                <w:color w:val="auto"/>
              </w:rPr>
              <w:t>来自原料粉磨系统的合格生料经库顶生料分配器</w:t>
            </w:r>
            <w:r>
              <w:rPr>
                <w:rFonts w:ascii="Times New Roman" w:hAnsi="Times New Roman" w:cs="Times New Roman"/>
                <w:color w:val="auto"/>
                <w:spacing w:val="-1"/>
              </w:rPr>
              <w:t>多点进库。库底的环形区设</w:t>
            </w:r>
            <w:r>
              <w:rPr>
                <w:rFonts w:ascii="Times New Roman" w:hAnsi="Times New Roman" w:cs="Times New Roman"/>
                <w:color w:val="auto"/>
              </w:rPr>
              <w:t>有开式斜槽，由罗茨风机供气，供气系统按程序对库底环</w:t>
            </w:r>
            <w:r>
              <w:rPr>
                <w:rFonts w:ascii="Times New Roman" w:hAnsi="Times New Roman" w:cs="Times New Roman"/>
                <w:color w:val="auto"/>
                <w:spacing w:val="-1"/>
              </w:rPr>
              <w:t>形区的不同区域轮流充</w:t>
            </w:r>
            <w:r>
              <w:rPr>
                <w:rFonts w:ascii="Times New Roman" w:hAnsi="Times New Roman" w:cs="Times New Roman"/>
                <w:color w:val="auto"/>
              </w:rPr>
              <w:t>气使生料稳定从环形区卸入中心室，并在中心室充分混合</w:t>
            </w:r>
            <w:r>
              <w:rPr>
                <w:rFonts w:ascii="Times New Roman" w:hAnsi="Times New Roman" w:cs="Times New Roman"/>
                <w:color w:val="auto"/>
                <w:spacing w:val="-1"/>
              </w:rPr>
              <w:t>后，卸入入窑生料计量</w:t>
            </w:r>
            <w:r>
              <w:rPr>
                <w:rFonts w:ascii="Times New Roman" w:hAnsi="Times New Roman" w:cs="Times New Roman"/>
                <w:color w:val="auto"/>
              </w:rPr>
              <w:t>仓，经仓底流量控制计量系统计量后，由斗式提升机</w:t>
            </w:r>
            <w:r>
              <w:rPr>
                <w:rFonts w:ascii="Times New Roman" w:hAnsi="Times New Roman" w:cs="Times New Roman"/>
                <w:color w:val="auto"/>
                <w:spacing w:val="-1"/>
              </w:rPr>
              <w:t>送入窑尾预热器系统。</w:t>
            </w:r>
          </w:p>
          <w:p w14:paraId="797CA3A2" w14:textId="77777777" w:rsidR="00F76A63" w:rsidRDefault="00000000">
            <w:pPr>
              <w:pStyle w:val="TableText"/>
              <w:spacing w:line="500" w:lineRule="exact"/>
              <w:ind w:firstLine="467"/>
              <w:jc w:val="both"/>
              <w:rPr>
                <w:rFonts w:ascii="Times New Roman" w:hAnsi="Times New Roman" w:cs="Times New Roman"/>
                <w:color w:val="auto"/>
                <w:spacing w:val="-2"/>
              </w:rPr>
            </w:pPr>
            <w:r>
              <w:rPr>
                <w:rFonts w:ascii="Times New Roman" w:hAnsi="Times New Roman" w:cs="Times New Roman"/>
                <w:color w:val="auto"/>
                <w:spacing w:val="-2"/>
              </w:rPr>
              <w:lastRenderedPageBreak/>
              <w:t>生料均化及生料入窑过程中产生的废气经布袋除尘器净化处理后</w:t>
            </w:r>
            <w:r>
              <w:rPr>
                <w:rFonts w:ascii="Times New Roman" w:hAnsi="Times New Roman" w:cs="Times New Roman"/>
                <w:color w:val="auto"/>
                <w:spacing w:val="-3"/>
              </w:rPr>
              <w:t>达标排放，</w:t>
            </w:r>
            <w:r>
              <w:rPr>
                <w:rFonts w:ascii="Times New Roman" w:hAnsi="Times New Roman" w:cs="Times New Roman"/>
                <w:color w:val="auto"/>
                <w:spacing w:val="-2"/>
              </w:rPr>
              <w:t>除尘灰收集后送往生料均化库。</w:t>
            </w:r>
          </w:p>
          <w:p w14:paraId="3D9E8313" w14:textId="77777777" w:rsidR="00F76A63" w:rsidRDefault="00000000">
            <w:pPr>
              <w:pStyle w:val="TableText"/>
              <w:spacing w:line="500" w:lineRule="exact"/>
              <w:ind w:firstLine="467"/>
              <w:jc w:val="both"/>
              <w:rPr>
                <w:rFonts w:ascii="Times New Roman" w:hAnsi="Times New Roman" w:cs="Times New Roman"/>
                <w:color w:val="auto"/>
              </w:rPr>
            </w:pPr>
            <w:r>
              <w:rPr>
                <w:rFonts w:ascii="Cambria Math" w:hAnsi="Cambria Math" w:cs="Cambria Math"/>
                <w:color w:val="auto"/>
                <w:spacing w:val="-1"/>
                <w:szCs w:val="32"/>
              </w:rPr>
              <w:t>⑤</w:t>
            </w:r>
            <w:r>
              <w:rPr>
                <w:rFonts w:ascii="Times New Roman" w:hAnsi="Times New Roman" w:cs="Times New Roman"/>
                <w:color w:val="auto"/>
                <w:spacing w:val="-1"/>
                <w:szCs w:val="32"/>
              </w:rPr>
              <w:t>熟料烧成系统</w:t>
            </w:r>
          </w:p>
          <w:p w14:paraId="0517483F" w14:textId="77777777" w:rsidR="00F76A63" w:rsidRDefault="00000000">
            <w:pPr>
              <w:ind w:firstLineChars="200" w:firstLine="480"/>
              <w:rPr>
                <w:spacing w:val="-1"/>
                <w:sz w:val="24"/>
                <w:szCs w:val="32"/>
              </w:rPr>
            </w:pPr>
            <w:r>
              <w:rPr>
                <w:noProof/>
                <w:spacing w:val="-1"/>
                <w:sz w:val="24"/>
                <w:szCs w:val="32"/>
              </w:rPr>
              <w:drawing>
                <wp:inline distT="0" distB="0" distL="0" distR="0" wp14:anchorId="72D1D8D0" wp14:editId="777791C7">
                  <wp:extent cx="4214495" cy="186690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5"/>
                          <a:stretch>
                            <a:fillRect/>
                          </a:stretch>
                        </pic:blipFill>
                        <pic:spPr>
                          <a:xfrm>
                            <a:off x="0" y="0"/>
                            <a:ext cx="4214613" cy="1866952"/>
                          </a:xfrm>
                          <a:prstGeom prst="rect">
                            <a:avLst/>
                          </a:prstGeom>
                        </pic:spPr>
                      </pic:pic>
                    </a:graphicData>
                  </a:graphic>
                </wp:inline>
              </w:drawing>
            </w:r>
          </w:p>
          <w:p w14:paraId="693B5248" w14:textId="77777777" w:rsidR="00F76A63" w:rsidRDefault="00000000">
            <w:pPr>
              <w:spacing w:line="500" w:lineRule="exact"/>
              <w:jc w:val="center"/>
              <w:rPr>
                <w:b/>
                <w:bCs/>
                <w:spacing w:val="-1"/>
                <w:sz w:val="24"/>
                <w:szCs w:val="32"/>
              </w:rPr>
            </w:pPr>
            <w:r>
              <w:rPr>
                <w:b/>
                <w:bCs/>
                <w:spacing w:val="-1"/>
                <w:sz w:val="24"/>
                <w:szCs w:val="32"/>
              </w:rPr>
              <w:t>图</w:t>
            </w:r>
            <w:r>
              <w:rPr>
                <w:b/>
                <w:bCs/>
                <w:spacing w:val="-1"/>
                <w:sz w:val="24"/>
                <w:szCs w:val="32"/>
              </w:rPr>
              <w:t xml:space="preserve">2-4  </w:t>
            </w:r>
            <w:r>
              <w:rPr>
                <w:b/>
                <w:bCs/>
                <w:spacing w:val="-1"/>
                <w:sz w:val="24"/>
                <w:szCs w:val="32"/>
              </w:rPr>
              <w:t>新型干法窑的煅烧过程气固相温度分布和停留时间图</w:t>
            </w:r>
          </w:p>
          <w:p w14:paraId="23D0733E" w14:textId="77777777" w:rsidR="00F76A63" w:rsidRDefault="00000000">
            <w:pPr>
              <w:spacing w:line="500" w:lineRule="exact"/>
              <w:ind w:firstLineChars="200" w:firstLine="476"/>
              <w:rPr>
                <w:spacing w:val="-1"/>
                <w:sz w:val="24"/>
                <w:szCs w:val="32"/>
              </w:rPr>
            </w:pPr>
            <w:r>
              <w:rPr>
                <w:spacing w:val="-1"/>
                <w:sz w:val="24"/>
                <w:szCs w:val="32"/>
              </w:rPr>
              <w:t>熟料烧成系统由双系列五级旋风预热器带在线分解炉、回转窑、新型控制流篦式冷却机组成。新型干法窑的煅烧过程如图</w:t>
            </w:r>
            <w:r>
              <w:rPr>
                <w:spacing w:val="-1"/>
                <w:sz w:val="24"/>
                <w:szCs w:val="32"/>
              </w:rPr>
              <w:t>2-4</w:t>
            </w:r>
            <w:r>
              <w:rPr>
                <w:spacing w:val="-1"/>
                <w:sz w:val="24"/>
                <w:szCs w:val="32"/>
              </w:rPr>
              <w:t>所示，物料和烟气流向相反。物料流向：生料磨</w:t>
            </w:r>
            <w:r>
              <w:rPr>
                <w:spacing w:val="-1"/>
                <w:sz w:val="24"/>
                <w:szCs w:val="32"/>
              </w:rPr>
              <w:t>→</w:t>
            </w:r>
            <w:r>
              <w:rPr>
                <w:spacing w:val="-1"/>
                <w:sz w:val="24"/>
                <w:szCs w:val="32"/>
              </w:rPr>
              <w:t>预热器</w:t>
            </w:r>
            <w:r>
              <w:rPr>
                <w:spacing w:val="-1"/>
                <w:sz w:val="24"/>
                <w:szCs w:val="32"/>
              </w:rPr>
              <w:t>→</w:t>
            </w:r>
            <w:r>
              <w:rPr>
                <w:spacing w:val="-1"/>
                <w:sz w:val="24"/>
                <w:szCs w:val="32"/>
              </w:rPr>
              <w:t>分解炉</w:t>
            </w:r>
            <w:r>
              <w:rPr>
                <w:spacing w:val="-1"/>
                <w:sz w:val="24"/>
                <w:szCs w:val="32"/>
              </w:rPr>
              <w:t>→</w:t>
            </w:r>
            <w:r>
              <w:rPr>
                <w:spacing w:val="-1"/>
                <w:sz w:val="24"/>
                <w:szCs w:val="32"/>
              </w:rPr>
              <w:t>回转窑</w:t>
            </w:r>
            <w:r>
              <w:rPr>
                <w:spacing w:val="-1"/>
                <w:sz w:val="24"/>
                <w:szCs w:val="32"/>
              </w:rPr>
              <w:t>→</w:t>
            </w:r>
            <w:r>
              <w:rPr>
                <w:spacing w:val="-1"/>
                <w:sz w:val="24"/>
                <w:szCs w:val="32"/>
              </w:rPr>
              <w:t>冷却机；烟气流向：回转窑</w:t>
            </w:r>
            <w:r>
              <w:rPr>
                <w:spacing w:val="-1"/>
                <w:sz w:val="24"/>
                <w:szCs w:val="32"/>
              </w:rPr>
              <w:t>→</w:t>
            </w:r>
            <w:r>
              <w:rPr>
                <w:spacing w:val="-1"/>
                <w:sz w:val="24"/>
                <w:szCs w:val="32"/>
              </w:rPr>
              <w:t>分</w:t>
            </w:r>
            <w:r>
              <w:rPr>
                <w:spacing w:val="-1"/>
                <w:sz w:val="24"/>
                <w:szCs w:val="32"/>
              </w:rPr>
              <w:t xml:space="preserve"> </w:t>
            </w:r>
            <w:r>
              <w:rPr>
                <w:spacing w:val="-1"/>
                <w:sz w:val="24"/>
                <w:szCs w:val="32"/>
              </w:rPr>
              <w:t>解炉</w:t>
            </w:r>
            <w:r>
              <w:rPr>
                <w:spacing w:val="-1"/>
                <w:sz w:val="24"/>
                <w:szCs w:val="32"/>
              </w:rPr>
              <w:t>→</w:t>
            </w:r>
            <w:r>
              <w:rPr>
                <w:spacing w:val="-1"/>
                <w:sz w:val="24"/>
                <w:szCs w:val="32"/>
              </w:rPr>
              <w:t>预热器</w:t>
            </w:r>
            <w:r>
              <w:rPr>
                <w:spacing w:val="-1"/>
                <w:sz w:val="24"/>
                <w:szCs w:val="32"/>
              </w:rPr>
              <w:t>→</w:t>
            </w:r>
            <w:r>
              <w:rPr>
                <w:spacing w:val="-1"/>
                <w:sz w:val="24"/>
                <w:szCs w:val="32"/>
              </w:rPr>
              <w:t>增湿塔</w:t>
            </w:r>
            <w:r>
              <w:rPr>
                <w:spacing w:val="-1"/>
                <w:sz w:val="24"/>
                <w:szCs w:val="32"/>
              </w:rPr>
              <w:t>→</w:t>
            </w:r>
            <w:r>
              <w:rPr>
                <w:spacing w:val="-1"/>
                <w:sz w:val="24"/>
                <w:szCs w:val="32"/>
              </w:rPr>
              <w:t>生料磨</w:t>
            </w:r>
            <w:r>
              <w:rPr>
                <w:spacing w:val="-1"/>
                <w:sz w:val="24"/>
                <w:szCs w:val="32"/>
              </w:rPr>
              <w:t>→</w:t>
            </w:r>
            <w:r>
              <w:rPr>
                <w:spacing w:val="-1"/>
                <w:sz w:val="24"/>
                <w:szCs w:val="32"/>
              </w:rPr>
              <w:t>除尘器</w:t>
            </w:r>
            <w:r>
              <w:rPr>
                <w:spacing w:val="-1"/>
                <w:sz w:val="24"/>
                <w:szCs w:val="32"/>
              </w:rPr>
              <w:t>→</w:t>
            </w:r>
            <w:r>
              <w:rPr>
                <w:spacing w:val="-1"/>
                <w:sz w:val="24"/>
                <w:szCs w:val="32"/>
              </w:rPr>
              <w:t>烟囱。悬浮预热器内：物料温度</w:t>
            </w:r>
            <w:r>
              <w:rPr>
                <w:spacing w:val="-1"/>
                <w:sz w:val="24"/>
                <w:szCs w:val="32"/>
              </w:rPr>
              <w:t>100~750℃</w:t>
            </w:r>
            <w:r>
              <w:rPr>
                <w:spacing w:val="-1"/>
                <w:sz w:val="24"/>
                <w:szCs w:val="32"/>
              </w:rPr>
              <w:t>，停留时间</w:t>
            </w:r>
            <w:r>
              <w:rPr>
                <w:spacing w:val="-1"/>
                <w:sz w:val="24"/>
                <w:szCs w:val="32"/>
              </w:rPr>
              <w:t>50s</w:t>
            </w:r>
            <w:r>
              <w:rPr>
                <w:spacing w:val="-1"/>
                <w:sz w:val="24"/>
                <w:szCs w:val="32"/>
              </w:rPr>
              <w:t>左右；气体温度</w:t>
            </w:r>
            <w:r>
              <w:rPr>
                <w:spacing w:val="-1"/>
                <w:sz w:val="24"/>
                <w:szCs w:val="32"/>
              </w:rPr>
              <w:t>350~850℃</w:t>
            </w:r>
            <w:r>
              <w:rPr>
                <w:spacing w:val="-1"/>
                <w:sz w:val="24"/>
                <w:szCs w:val="32"/>
              </w:rPr>
              <w:t>，停留时间</w:t>
            </w:r>
            <w:r>
              <w:rPr>
                <w:spacing w:val="-1"/>
                <w:sz w:val="24"/>
                <w:szCs w:val="32"/>
              </w:rPr>
              <w:t>10s</w:t>
            </w:r>
            <w:r>
              <w:rPr>
                <w:spacing w:val="-1"/>
                <w:sz w:val="24"/>
                <w:szCs w:val="32"/>
              </w:rPr>
              <w:t>左右。分解炉内：物料温度</w:t>
            </w:r>
            <w:r>
              <w:rPr>
                <w:spacing w:val="-1"/>
                <w:sz w:val="24"/>
                <w:szCs w:val="32"/>
              </w:rPr>
              <w:t>750~900℃</w:t>
            </w:r>
            <w:r>
              <w:rPr>
                <w:spacing w:val="-1"/>
                <w:sz w:val="24"/>
                <w:szCs w:val="32"/>
              </w:rPr>
              <w:t>，停留时间</w:t>
            </w:r>
            <w:r>
              <w:rPr>
                <w:spacing w:val="-1"/>
                <w:sz w:val="24"/>
                <w:szCs w:val="32"/>
              </w:rPr>
              <w:t>5s</w:t>
            </w:r>
            <w:r>
              <w:rPr>
                <w:spacing w:val="-1"/>
                <w:sz w:val="24"/>
                <w:szCs w:val="32"/>
              </w:rPr>
              <w:t>左右；气体温度</w:t>
            </w:r>
            <w:r>
              <w:rPr>
                <w:spacing w:val="-1"/>
                <w:sz w:val="24"/>
                <w:szCs w:val="32"/>
              </w:rPr>
              <w:t>850~1150℃</w:t>
            </w:r>
            <w:r>
              <w:rPr>
                <w:spacing w:val="-1"/>
                <w:sz w:val="24"/>
                <w:szCs w:val="32"/>
              </w:rPr>
              <w:t>，停留时间</w:t>
            </w:r>
            <w:r>
              <w:rPr>
                <w:spacing w:val="-1"/>
                <w:sz w:val="24"/>
                <w:szCs w:val="32"/>
              </w:rPr>
              <w:t>5s</w:t>
            </w:r>
            <w:r>
              <w:rPr>
                <w:spacing w:val="-1"/>
                <w:sz w:val="24"/>
                <w:szCs w:val="32"/>
              </w:rPr>
              <w:t>以上。回转窑窑内：物料温度</w:t>
            </w:r>
            <w:r>
              <w:rPr>
                <w:spacing w:val="-1"/>
                <w:sz w:val="24"/>
                <w:szCs w:val="32"/>
              </w:rPr>
              <w:t>900~1450℃</w:t>
            </w:r>
            <w:r>
              <w:rPr>
                <w:spacing w:val="-1"/>
                <w:sz w:val="24"/>
                <w:szCs w:val="32"/>
              </w:rPr>
              <w:t>，停留时间</w:t>
            </w:r>
            <w:r>
              <w:rPr>
                <w:spacing w:val="-1"/>
                <w:sz w:val="24"/>
                <w:szCs w:val="32"/>
              </w:rPr>
              <w:t>30min</w:t>
            </w:r>
            <w:r>
              <w:rPr>
                <w:spacing w:val="-1"/>
                <w:sz w:val="24"/>
                <w:szCs w:val="32"/>
              </w:rPr>
              <w:t>左右；烟气温度</w:t>
            </w:r>
            <w:r>
              <w:rPr>
                <w:spacing w:val="-1"/>
                <w:sz w:val="24"/>
                <w:szCs w:val="32"/>
              </w:rPr>
              <w:t>1150~2000℃</w:t>
            </w:r>
            <w:r>
              <w:rPr>
                <w:spacing w:val="-1"/>
                <w:sz w:val="24"/>
                <w:szCs w:val="32"/>
              </w:rPr>
              <w:t>，停留时间</w:t>
            </w:r>
            <w:r>
              <w:rPr>
                <w:spacing w:val="-1"/>
                <w:sz w:val="24"/>
                <w:szCs w:val="32"/>
              </w:rPr>
              <w:t>10s</w:t>
            </w:r>
            <w:r>
              <w:rPr>
                <w:spacing w:val="-1"/>
                <w:sz w:val="24"/>
                <w:szCs w:val="32"/>
              </w:rPr>
              <w:t>左右。</w:t>
            </w:r>
          </w:p>
          <w:p w14:paraId="0EE1D842" w14:textId="77777777" w:rsidR="00F76A63" w:rsidRDefault="00000000">
            <w:pPr>
              <w:pStyle w:val="TableText"/>
              <w:spacing w:line="500" w:lineRule="exact"/>
              <w:ind w:firstLine="481"/>
              <w:jc w:val="both"/>
              <w:rPr>
                <w:rFonts w:ascii="Times New Roman" w:hAnsi="Times New Roman" w:cs="Times New Roman"/>
                <w:color w:val="auto"/>
              </w:rPr>
            </w:pPr>
            <w:r>
              <w:rPr>
                <w:rFonts w:ascii="Times New Roman" w:hAnsi="Times New Roman" w:cs="Times New Roman"/>
                <w:color w:val="auto"/>
              </w:rPr>
              <w:t>来自生料入窑系统的生料经预热、分解后入回转</w:t>
            </w:r>
            <w:r>
              <w:rPr>
                <w:rFonts w:ascii="Times New Roman" w:hAnsi="Times New Roman" w:cs="Times New Roman"/>
                <w:color w:val="auto"/>
                <w:spacing w:val="-1"/>
              </w:rPr>
              <w:t>窑煅烧，入窑物料分解率不</w:t>
            </w:r>
            <w:r>
              <w:rPr>
                <w:rFonts w:ascii="Times New Roman" w:hAnsi="Times New Roman" w:cs="Times New Roman"/>
                <w:color w:val="auto"/>
                <w:spacing w:val="-2"/>
              </w:rPr>
              <w:t>低于</w:t>
            </w:r>
            <w:r>
              <w:rPr>
                <w:rFonts w:ascii="Times New Roman" w:eastAsia="Times New Roman" w:hAnsi="Times New Roman" w:cs="Times New Roman"/>
                <w:color w:val="auto"/>
                <w:spacing w:val="-2"/>
              </w:rPr>
              <w:t>90%</w:t>
            </w:r>
            <w:r>
              <w:rPr>
                <w:rFonts w:ascii="Times New Roman" w:hAnsi="Times New Roman" w:cs="Times New Roman"/>
                <w:color w:val="auto"/>
                <w:spacing w:val="-2"/>
              </w:rPr>
              <w:t>。出窑高温熟料经高效篦式冷却机冷却和破碎后，由链斗输送机送到</w:t>
            </w:r>
            <w:r>
              <w:rPr>
                <w:rFonts w:ascii="Times New Roman" w:hAnsi="Times New Roman" w:cs="Times New Roman"/>
                <w:color w:val="auto"/>
                <w:spacing w:val="-3"/>
              </w:rPr>
              <w:t>熟料库中储存。</w:t>
            </w:r>
          </w:p>
          <w:p w14:paraId="09322170" w14:textId="77777777" w:rsidR="00F76A63" w:rsidRDefault="00000000">
            <w:pPr>
              <w:pStyle w:val="TableText"/>
              <w:spacing w:line="500" w:lineRule="exact"/>
              <w:ind w:firstLineChars="200" w:firstLine="476"/>
              <w:jc w:val="both"/>
              <w:rPr>
                <w:rFonts w:ascii="Times New Roman" w:hAnsi="Times New Roman" w:cs="Times New Roman"/>
                <w:color w:val="auto"/>
              </w:rPr>
            </w:pPr>
            <w:r>
              <w:rPr>
                <w:rFonts w:ascii="Times New Roman" w:hAnsi="Times New Roman" w:cs="Times New Roman"/>
                <w:color w:val="auto"/>
                <w:spacing w:val="-1"/>
              </w:rPr>
              <w:t>回转窑设有四通道喷煤燃烧装置，能提高燃烧效率，灵活地调节火焰形状，</w:t>
            </w:r>
            <w:r>
              <w:rPr>
                <w:rFonts w:ascii="Times New Roman" w:hAnsi="Times New Roman" w:cs="Times New Roman"/>
                <w:color w:val="auto"/>
              </w:rPr>
              <w:t>对煤的适应性强。冷却熟料后的高温空气一部分作为二次</w:t>
            </w:r>
            <w:r>
              <w:rPr>
                <w:rFonts w:ascii="Times New Roman" w:hAnsi="Times New Roman" w:cs="Times New Roman"/>
                <w:color w:val="auto"/>
                <w:spacing w:val="-1"/>
              </w:rPr>
              <w:t>风入窑、另一部分作为三次风抽往分解炉。</w:t>
            </w:r>
          </w:p>
          <w:p w14:paraId="633987C6" w14:textId="77777777" w:rsidR="00F76A63" w:rsidRDefault="00000000">
            <w:pPr>
              <w:pStyle w:val="TableText"/>
              <w:spacing w:line="500" w:lineRule="exact"/>
              <w:ind w:firstLine="482"/>
              <w:jc w:val="both"/>
              <w:rPr>
                <w:rFonts w:ascii="Times New Roman" w:hAnsi="Times New Roman" w:cs="Times New Roman"/>
                <w:color w:val="auto"/>
              </w:rPr>
            </w:pPr>
            <w:r>
              <w:rPr>
                <w:rFonts w:ascii="Times New Roman" w:hAnsi="Times New Roman" w:cs="Times New Roman"/>
                <w:color w:val="auto"/>
                <w:spacing w:val="-3"/>
              </w:rPr>
              <w:lastRenderedPageBreak/>
              <w:t>一期</w:t>
            </w:r>
            <w:r>
              <w:rPr>
                <w:rFonts w:ascii="Times New Roman" w:eastAsia="Times New Roman" w:hAnsi="Times New Roman" w:cs="Times New Roman"/>
                <w:color w:val="auto"/>
                <w:spacing w:val="-3"/>
              </w:rPr>
              <w:t>1#</w:t>
            </w:r>
            <w:r>
              <w:rPr>
                <w:rFonts w:ascii="Times New Roman" w:hAnsi="Times New Roman" w:cs="Times New Roman"/>
                <w:color w:val="auto"/>
                <w:spacing w:val="-3"/>
              </w:rPr>
              <w:t>窑头废气经电袋复合除尘器处理后由</w:t>
            </w:r>
            <w:r>
              <w:rPr>
                <w:rFonts w:ascii="Times New Roman" w:eastAsia="Times New Roman" w:hAnsi="Times New Roman" w:cs="Times New Roman"/>
                <w:color w:val="auto"/>
                <w:spacing w:val="-3"/>
              </w:rPr>
              <w:t>1</w:t>
            </w:r>
            <w:r>
              <w:rPr>
                <w:rFonts w:ascii="Times New Roman" w:hAnsi="Times New Roman" w:cs="Times New Roman"/>
                <w:color w:val="auto"/>
                <w:spacing w:val="-3"/>
              </w:rPr>
              <w:t>根</w:t>
            </w:r>
            <w:r>
              <w:rPr>
                <w:rFonts w:ascii="Times New Roman" w:eastAsia="Times New Roman" w:hAnsi="Times New Roman" w:cs="Times New Roman"/>
                <w:color w:val="auto"/>
                <w:spacing w:val="-3"/>
              </w:rPr>
              <w:t>45</w:t>
            </w:r>
            <w:r>
              <w:rPr>
                <w:rFonts w:ascii="Times New Roman" w:hAnsi="Times New Roman" w:cs="Times New Roman"/>
                <w:color w:val="auto"/>
                <w:spacing w:val="-3"/>
              </w:rPr>
              <w:t>米高烟囱排放，窑尾废</w:t>
            </w:r>
            <w:r>
              <w:rPr>
                <w:rFonts w:ascii="Times New Roman" w:hAnsi="Times New Roman" w:cs="Times New Roman"/>
                <w:color w:val="auto"/>
                <w:spacing w:val="-1"/>
              </w:rPr>
              <w:t>气采用</w:t>
            </w:r>
            <w:r>
              <w:rPr>
                <w:rFonts w:ascii="Times New Roman" w:hAnsi="Times New Roman" w:cs="Times New Roman"/>
                <w:color w:val="auto"/>
                <w:spacing w:val="-1"/>
              </w:rPr>
              <w:t>“</w:t>
            </w:r>
            <w:r>
              <w:rPr>
                <w:rFonts w:ascii="Times New Roman" w:hAnsi="Times New Roman" w:cs="Times New Roman"/>
                <w:color w:val="auto"/>
                <w:spacing w:val="-1"/>
              </w:rPr>
              <w:t>高温焚烧</w:t>
            </w:r>
            <w:r>
              <w:rPr>
                <w:rFonts w:ascii="Times New Roman" w:hAnsi="Times New Roman" w:cs="Times New Roman"/>
                <w:color w:val="auto"/>
                <w:spacing w:val="-1"/>
              </w:rPr>
              <w:t>+</w:t>
            </w:r>
            <w:r>
              <w:rPr>
                <w:rFonts w:ascii="Times New Roman" w:hAnsi="Times New Roman" w:cs="Times New Roman"/>
                <w:color w:val="auto"/>
                <w:spacing w:val="-1"/>
              </w:rPr>
              <w:t>碱性环境</w:t>
            </w:r>
            <w:r>
              <w:rPr>
                <w:rFonts w:ascii="Times New Roman" w:hAnsi="Times New Roman" w:cs="Times New Roman"/>
                <w:color w:val="auto"/>
                <w:spacing w:val="-1"/>
              </w:rPr>
              <w:t>+HSNCR+SCR+</w:t>
            </w:r>
            <w:r>
              <w:rPr>
                <w:rFonts w:ascii="Times New Roman" w:hAnsi="Times New Roman" w:cs="Times New Roman"/>
                <w:color w:val="auto"/>
                <w:spacing w:val="-1"/>
              </w:rPr>
              <w:t>布袋除尘器</w:t>
            </w:r>
            <w:r>
              <w:rPr>
                <w:rFonts w:ascii="Times New Roman" w:hAnsi="Times New Roman" w:cs="Times New Roman"/>
                <w:color w:val="auto"/>
                <w:spacing w:val="-2"/>
              </w:rPr>
              <w:t>”</w:t>
            </w:r>
            <w:r>
              <w:rPr>
                <w:rFonts w:ascii="Times New Roman" w:hAnsi="Times New Roman" w:cs="Times New Roman"/>
                <w:color w:val="auto"/>
                <w:spacing w:val="-2"/>
              </w:rPr>
              <w:t>方法</w:t>
            </w:r>
            <w:r>
              <w:rPr>
                <w:rFonts w:ascii="Times New Roman" w:hAnsi="Times New Roman" w:cs="Times New Roman"/>
                <w:color w:val="auto"/>
                <w:spacing w:val="1"/>
              </w:rPr>
              <w:t>处理后通过</w:t>
            </w:r>
            <w:r>
              <w:rPr>
                <w:rFonts w:ascii="Times New Roman" w:eastAsia="Times New Roman" w:hAnsi="Times New Roman" w:cs="Times New Roman"/>
                <w:color w:val="auto"/>
                <w:spacing w:val="1"/>
              </w:rPr>
              <w:t>85m</w:t>
            </w:r>
            <w:r>
              <w:rPr>
                <w:rFonts w:ascii="Times New Roman" w:hAnsi="Times New Roman" w:cs="Times New Roman"/>
                <w:color w:val="auto"/>
                <w:spacing w:val="1"/>
              </w:rPr>
              <w:t>烟囱排放；</w:t>
            </w:r>
          </w:p>
          <w:p w14:paraId="311A98B6" w14:textId="77777777" w:rsidR="00F76A63" w:rsidRDefault="00000000">
            <w:pPr>
              <w:pStyle w:val="TableText"/>
              <w:spacing w:line="500" w:lineRule="exact"/>
              <w:ind w:firstLineChars="200" w:firstLine="472"/>
              <w:jc w:val="both"/>
              <w:rPr>
                <w:rFonts w:ascii="Times New Roman" w:hAnsi="Times New Roman" w:cs="Times New Roman"/>
                <w:color w:val="auto"/>
                <w:spacing w:val="-4"/>
              </w:rPr>
            </w:pPr>
            <w:r>
              <w:rPr>
                <w:rFonts w:ascii="Times New Roman" w:hAnsi="Times New Roman" w:cs="Times New Roman"/>
                <w:color w:val="auto"/>
                <w:spacing w:val="-2"/>
              </w:rPr>
              <w:t>二期</w:t>
            </w:r>
            <w:r>
              <w:rPr>
                <w:rFonts w:ascii="Times New Roman" w:hAnsi="Times New Roman" w:cs="Times New Roman"/>
                <w:color w:val="auto"/>
                <w:spacing w:val="-2"/>
              </w:rPr>
              <w:t>2#</w:t>
            </w:r>
            <w:r>
              <w:rPr>
                <w:rFonts w:ascii="Times New Roman" w:hAnsi="Times New Roman" w:cs="Times New Roman"/>
                <w:color w:val="auto"/>
                <w:spacing w:val="-2"/>
              </w:rPr>
              <w:t>窑头废气经电袋复合除尘器处理后由</w:t>
            </w:r>
            <w:r>
              <w:rPr>
                <w:rFonts w:ascii="Times New Roman" w:hAnsi="Times New Roman" w:cs="Times New Roman"/>
                <w:color w:val="auto"/>
                <w:spacing w:val="-2"/>
              </w:rPr>
              <w:t>1</w:t>
            </w:r>
            <w:r>
              <w:rPr>
                <w:rFonts w:ascii="Times New Roman" w:hAnsi="Times New Roman" w:cs="Times New Roman"/>
                <w:color w:val="auto"/>
                <w:spacing w:val="-2"/>
              </w:rPr>
              <w:t>根</w:t>
            </w:r>
            <w:r>
              <w:rPr>
                <w:rFonts w:ascii="Times New Roman" w:hAnsi="Times New Roman" w:cs="Times New Roman"/>
                <w:color w:val="auto"/>
                <w:spacing w:val="-2"/>
              </w:rPr>
              <w:t>34</w:t>
            </w:r>
            <w:r>
              <w:rPr>
                <w:rFonts w:ascii="Times New Roman" w:hAnsi="Times New Roman" w:cs="Times New Roman"/>
                <w:color w:val="auto"/>
                <w:spacing w:val="-3"/>
              </w:rPr>
              <w:t>米高烟囱排放，窑尾废气采用</w:t>
            </w:r>
            <w:r>
              <w:rPr>
                <w:rFonts w:ascii="Times New Roman" w:hAnsi="Times New Roman" w:cs="Times New Roman"/>
                <w:color w:val="auto"/>
                <w:spacing w:val="-3"/>
              </w:rPr>
              <w:t>“</w:t>
            </w:r>
            <w:r>
              <w:rPr>
                <w:rFonts w:ascii="Times New Roman" w:hAnsi="Times New Roman" w:cs="Times New Roman"/>
                <w:color w:val="auto"/>
                <w:spacing w:val="-3"/>
              </w:rPr>
              <w:t>高温焚烧</w:t>
            </w:r>
            <w:r>
              <w:rPr>
                <w:rFonts w:ascii="Times New Roman" w:hAnsi="Times New Roman" w:cs="Times New Roman"/>
                <w:color w:val="auto"/>
                <w:spacing w:val="-3"/>
              </w:rPr>
              <w:t>+</w:t>
            </w:r>
            <w:r>
              <w:rPr>
                <w:rFonts w:ascii="Times New Roman" w:hAnsi="Times New Roman" w:cs="Times New Roman"/>
                <w:color w:val="auto"/>
                <w:spacing w:val="-3"/>
              </w:rPr>
              <w:t>碱性环境</w:t>
            </w:r>
            <w:r>
              <w:rPr>
                <w:rFonts w:ascii="Times New Roman" w:hAnsi="Times New Roman" w:cs="Times New Roman"/>
                <w:color w:val="auto"/>
                <w:spacing w:val="-3"/>
              </w:rPr>
              <w:t>+HSNCR+SCR+</w:t>
            </w:r>
            <w:r>
              <w:rPr>
                <w:rFonts w:ascii="Times New Roman" w:hAnsi="Times New Roman" w:cs="Times New Roman"/>
                <w:color w:val="auto"/>
                <w:spacing w:val="-3"/>
              </w:rPr>
              <w:t>电袋复合（</w:t>
            </w:r>
            <w:r>
              <w:rPr>
                <w:rFonts w:ascii="Times New Roman" w:hAnsi="Times New Roman" w:cs="Times New Roman"/>
                <w:color w:val="auto"/>
                <w:spacing w:val="-3"/>
              </w:rPr>
              <w:t>1</w:t>
            </w:r>
            <w:r>
              <w:rPr>
                <w:rFonts w:ascii="Times New Roman" w:hAnsi="Times New Roman" w:cs="Times New Roman"/>
                <w:color w:val="auto"/>
                <w:spacing w:val="-3"/>
              </w:rPr>
              <w:t>电</w:t>
            </w:r>
            <w:r>
              <w:rPr>
                <w:rFonts w:ascii="Times New Roman" w:hAnsi="Times New Roman" w:cs="Times New Roman"/>
                <w:color w:val="auto"/>
                <w:spacing w:val="-3"/>
              </w:rPr>
              <w:t>3</w:t>
            </w:r>
            <w:r>
              <w:rPr>
                <w:rFonts w:ascii="Times New Roman" w:hAnsi="Times New Roman" w:cs="Times New Roman"/>
                <w:color w:val="auto"/>
                <w:spacing w:val="-3"/>
              </w:rPr>
              <w:t>布袋）除尘器</w:t>
            </w:r>
            <w:r>
              <w:rPr>
                <w:rFonts w:ascii="Times New Roman" w:hAnsi="Times New Roman" w:cs="Times New Roman"/>
                <w:color w:val="auto"/>
                <w:spacing w:val="-3"/>
              </w:rPr>
              <w:t>”</w:t>
            </w:r>
            <w:r>
              <w:rPr>
                <w:rFonts w:ascii="Times New Roman" w:hAnsi="Times New Roman" w:cs="Times New Roman"/>
                <w:color w:val="auto"/>
                <w:spacing w:val="-4"/>
              </w:rPr>
              <w:t>方法处理后通过</w:t>
            </w:r>
            <w:r>
              <w:rPr>
                <w:rFonts w:ascii="Times New Roman" w:eastAsia="Times New Roman" w:hAnsi="Times New Roman" w:cs="Times New Roman"/>
                <w:color w:val="auto"/>
                <w:spacing w:val="-4"/>
              </w:rPr>
              <w:t>125m</w:t>
            </w:r>
            <w:r>
              <w:rPr>
                <w:rFonts w:ascii="Times New Roman" w:hAnsi="Times New Roman" w:cs="Times New Roman"/>
                <w:color w:val="auto"/>
                <w:spacing w:val="-4"/>
              </w:rPr>
              <w:t>烟囱排放。</w:t>
            </w:r>
          </w:p>
          <w:p w14:paraId="64615987" w14:textId="77777777" w:rsidR="00F76A63" w:rsidRDefault="00000000">
            <w:pPr>
              <w:pStyle w:val="TableText"/>
              <w:spacing w:line="500" w:lineRule="exact"/>
              <w:ind w:firstLineChars="200" w:firstLine="480"/>
              <w:jc w:val="both"/>
              <w:rPr>
                <w:rFonts w:ascii="Times New Roman" w:hAnsi="Times New Roman" w:cs="Times New Roman"/>
                <w:color w:val="auto"/>
              </w:rPr>
            </w:pPr>
            <w:r>
              <w:rPr>
                <w:rFonts w:ascii="Times New Roman" w:hAnsi="Times New Roman" w:cs="Times New Roman"/>
                <w:color w:val="auto"/>
              </w:rPr>
              <w:t>本项目实施后不改变现有水泥窑烧成系统的工艺条件。窑尾排放窑尾废气。另外根据建设单位提供的资料，每次检修后水泥窑升温用柴油约</w:t>
            </w:r>
            <w:r>
              <w:rPr>
                <w:rFonts w:ascii="Times New Roman" w:hAnsi="Times New Roman" w:cs="Times New Roman"/>
                <w:color w:val="auto"/>
              </w:rPr>
              <w:t>5~6</w:t>
            </w:r>
            <w:r>
              <w:rPr>
                <w:rFonts w:ascii="Times New Roman" w:hAnsi="Times New Roman" w:cs="Times New Roman"/>
                <w:color w:val="auto"/>
              </w:rPr>
              <w:t>吨，柴油存储于柴油储罐，不涉及温度不足补温使用柴油。</w:t>
            </w:r>
          </w:p>
          <w:p w14:paraId="05B480F7" w14:textId="77777777" w:rsidR="00F76A63" w:rsidRDefault="00000000">
            <w:pPr>
              <w:pStyle w:val="TableText"/>
              <w:spacing w:line="500" w:lineRule="exact"/>
              <w:ind w:firstLineChars="200" w:firstLine="476"/>
              <w:jc w:val="both"/>
              <w:rPr>
                <w:rFonts w:ascii="Times New Roman" w:hAnsi="Times New Roman" w:cs="Times New Roman"/>
                <w:color w:val="auto"/>
              </w:rPr>
            </w:pPr>
            <w:r>
              <w:rPr>
                <w:rFonts w:cs="Times New Roman" w:hint="eastAsia"/>
                <w:color w:val="auto"/>
                <w:spacing w:val="-1"/>
              </w:rPr>
              <w:t>⑥</w:t>
            </w:r>
            <w:r>
              <w:rPr>
                <w:rFonts w:ascii="Times New Roman" w:hAnsi="Times New Roman" w:cs="Times New Roman"/>
                <w:color w:val="auto"/>
                <w:spacing w:val="-1"/>
              </w:rPr>
              <w:t>熟料储存、输送：</w:t>
            </w:r>
          </w:p>
          <w:p w14:paraId="78C42CF0" w14:textId="77777777" w:rsidR="00F76A63" w:rsidRDefault="00000000">
            <w:pPr>
              <w:pStyle w:val="TableText"/>
              <w:spacing w:line="500" w:lineRule="exact"/>
              <w:ind w:firstLine="483"/>
              <w:jc w:val="both"/>
              <w:rPr>
                <w:rFonts w:ascii="Times New Roman" w:hAnsi="Times New Roman" w:cs="Times New Roman"/>
                <w:color w:val="auto"/>
              </w:rPr>
            </w:pPr>
            <w:r>
              <w:rPr>
                <w:rFonts w:ascii="Times New Roman" w:hAnsi="Times New Roman" w:cs="Times New Roman"/>
                <w:color w:val="auto"/>
                <w:spacing w:val="-1"/>
              </w:rPr>
              <w:t>熟料储存采用圆库储存。熟料储存、输送过程中产生的废气经布袋除尘器净化后由排风机排入大气，除尘灰收集后送往熟料库。</w:t>
            </w:r>
          </w:p>
          <w:p w14:paraId="18FCEFA5" w14:textId="77777777" w:rsidR="00F76A63" w:rsidRDefault="00000000">
            <w:pPr>
              <w:spacing w:line="500" w:lineRule="exact"/>
              <w:ind w:firstLineChars="200" w:firstLine="476"/>
              <w:rPr>
                <w:spacing w:val="-1"/>
                <w:sz w:val="24"/>
              </w:rPr>
            </w:pPr>
            <w:bookmarkStart w:id="89" w:name="_Hlk219391804"/>
            <w:bookmarkEnd w:id="88"/>
            <w:r>
              <w:rPr>
                <w:spacing w:val="-1"/>
                <w:sz w:val="24"/>
              </w:rPr>
              <w:t>（二）产排污环节分析：</w:t>
            </w:r>
          </w:p>
          <w:p w14:paraId="3A825B8B" w14:textId="77777777" w:rsidR="00F76A63" w:rsidRDefault="00000000">
            <w:pPr>
              <w:pStyle w:val="TableText"/>
              <w:spacing w:line="500" w:lineRule="exact"/>
              <w:jc w:val="center"/>
              <w:rPr>
                <w:rFonts w:ascii="Times New Roman" w:hAnsi="Times New Roman" w:cs="Times New Roman"/>
                <w:b/>
                <w:bCs/>
                <w:color w:val="auto"/>
              </w:rPr>
            </w:pPr>
            <w:r>
              <w:rPr>
                <w:rFonts w:ascii="Times New Roman" w:hAnsi="Times New Roman" w:cs="Times New Roman"/>
                <w:b/>
                <w:bCs/>
                <w:color w:val="auto"/>
                <w:spacing w:val="-1"/>
              </w:rPr>
              <w:t>表</w:t>
            </w:r>
            <w:r>
              <w:rPr>
                <w:rFonts w:ascii="Times New Roman" w:hAnsi="Times New Roman" w:cs="Times New Roman"/>
                <w:b/>
                <w:bCs/>
                <w:color w:val="auto"/>
                <w:spacing w:val="-1"/>
              </w:rPr>
              <w:t>2-3</w:t>
            </w:r>
            <w:r>
              <w:rPr>
                <w:rFonts w:ascii="Times New Roman" w:hAnsi="Times New Roman" w:cs="Times New Roman" w:hint="eastAsia"/>
                <w:b/>
                <w:bCs/>
                <w:color w:val="auto"/>
                <w:spacing w:val="-1"/>
              </w:rPr>
              <w:t>7</w:t>
            </w:r>
            <w:r>
              <w:rPr>
                <w:rFonts w:ascii="Times New Roman" w:hAnsi="Times New Roman" w:cs="Times New Roman"/>
                <w:b/>
                <w:bCs/>
                <w:color w:val="auto"/>
                <w:spacing w:val="-1"/>
              </w:rPr>
              <w:t xml:space="preserve">  </w:t>
            </w:r>
            <w:r>
              <w:rPr>
                <w:rFonts w:ascii="Times New Roman" w:hAnsi="Times New Roman" w:cs="Times New Roman"/>
                <w:b/>
                <w:bCs/>
                <w:color w:val="auto"/>
                <w:spacing w:val="-1"/>
              </w:rPr>
              <w:t>本项目</w:t>
            </w:r>
            <w:r>
              <w:rPr>
                <w:rFonts w:ascii="Times New Roman" w:hAnsi="Times New Roman" w:cs="Times New Roman"/>
                <w:b/>
                <w:bCs/>
                <w:color w:val="auto"/>
              </w:rPr>
              <w:t>主要产污环节及排污特征</w:t>
            </w:r>
            <w:bookmarkEnd w:id="87"/>
          </w:p>
          <w:tbl>
            <w:tblPr>
              <w:tblW w:w="5000" w:type="pct"/>
              <w:jc w:val="center"/>
              <w:tblBorders>
                <w:top w:val="single" w:sz="12" w:space="0" w:color="auto"/>
                <w:bottom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985"/>
              <w:gridCol w:w="983"/>
              <w:gridCol w:w="2285"/>
              <w:gridCol w:w="2795"/>
            </w:tblGrid>
            <w:tr w:rsidR="00F76A63" w14:paraId="7DD111AF" w14:textId="77777777">
              <w:trPr>
                <w:trHeight w:val="329"/>
                <w:jc w:val="center"/>
              </w:trPr>
              <w:tc>
                <w:tcPr>
                  <w:tcW w:w="690" w:type="pct"/>
                  <w:tcBorders>
                    <w:tl2br w:val="nil"/>
                    <w:tr2bl w:val="nil"/>
                  </w:tcBorders>
                  <w:vAlign w:val="center"/>
                </w:tcPr>
                <w:p w14:paraId="35FEABBA" w14:textId="77777777" w:rsidR="00F76A63" w:rsidRDefault="00000000">
                  <w:pPr>
                    <w:adjustRightInd w:val="0"/>
                    <w:snapToGrid w:val="0"/>
                    <w:jc w:val="center"/>
                    <w:rPr>
                      <w:b/>
                      <w:szCs w:val="21"/>
                    </w:rPr>
                  </w:pPr>
                  <w:r>
                    <w:rPr>
                      <w:b/>
                      <w:szCs w:val="21"/>
                    </w:rPr>
                    <w:t>污染源</w:t>
                  </w:r>
                </w:p>
              </w:tc>
              <w:tc>
                <w:tcPr>
                  <w:tcW w:w="602" w:type="pct"/>
                  <w:tcBorders>
                    <w:tl2br w:val="nil"/>
                    <w:tr2bl w:val="nil"/>
                  </w:tcBorders>
                  <w:vAlign w:val="center"/>
                </w:tcPr>
                <w:p w14:paraId="060EDC4F" w14:textId="77777777" w:rsidR="00F76A63" w:rsidRDefault="00000000">
                  <w:pPr>
                    <w:adjustRightInd w:val="0"/>
                    <w:snapToGrid w:val="0"/>
                    <w:jc w:val="center"/>
                    <w:rPr>
                      <w:b/>
                      <w:szCs w:val="21"/>
                    </w:rPr>
                  </w:pPr>
                  <w:r>
                    <w:rPr>
                      <w:b/>
                      <w:szCs w:val="21"/>
                    </w:rPr>
                    <w:t>污染类型</w:t>
                  </w:r>
                </w:p>
              </w:tc>
              <w:tc>
                <w:tcPr>
                  <w:tcW w:w="601" w:type="pct"/>
                  <w:tcBorders>
                    <w:tl2br w:val="nil"/>
                    <w:tr2bl w:val="nil"/>
                  </w:tcBorders>
                  <w:vAlign w:val="center"/>
                </w:tcPr>
                <w:p w14:paraId="03267F18" w14:textId="77777777" w:rsidR="00F76A63" w:rsidRDefault="00000000">
                  <w:pPr>
                    <w:adjustRightInd w:val="0"/>
                    <w:snapToGrid w:val="0"/>
                    <w:jc w:val="center"/>
                    <w:rPr>
                      <w:b/>
                      <w:szCs w:val="21"/>
                    </w:rPr>
                  </w:pPr>
                  <w:r>
                    <w:rPr>
                      <w:b/>
                      <w:szCs w:val="21"/>
                    </w:rPr>
                    <w:t>产污编号</w:t>
                  </w:r>
                </w:p>
              </w:tc>
              <w:tc>
                <w:tcPr>
                  <w:tcW w:w="1397" w:type="pct"/>
                  <w:tcBorders>
                    <w:tl2br w:val="nil"/>
                    <w:tr2bl w:val="nil"/>
                  </w:tcBorders>
                  <w:vAlign w:val="center"/>
                </w:tcPr>
                <w:p w14:paraId="76E67EA0" w14:textId="77777777" w:rsidR="00F76A63" w:rsidRDefault="00000000">
                  <w:pPr>
                    <w:adjustRightInd w:val="0"/>
                    <w:snapToGrid w:val="0"/>
                    <w:jc w:val="center"/>
                    <w:rPr>
                      <w:b/>
                      <w:szCs w:val="21"/>
                    </w:rPr>
                  </w:pPr>
                  <w:r>
                    <w:rPr>
                      <w:b/>
                      <w:szCs w:val="21"/>
                    </w:rPr>
                    <w:t>产污环节</w:t>
                  </w:r>
                </w:p>
              </w:tc>
              <w:tc>
                <w:tcPr>
                  <w:tcW w:w="1709" w:type="pct"/>
                  <w:tcBorders>
                    <w:tl2br w:val="nil"/>
                    <w:tr2bl w:val="nil"/>
                  </w:tcBorders>
                  <w:vAlign w:val="center"/>
                </w:tcPr>
                <w:p w14:paraId="0394C833" w14:textId="77777777" w:rsidR="00F76A63" w:rsidRDefault="00000000">
                  <w:pPr>
                    <w:adjustRightInd w:val="0"/>
                    <w:snapToGrid w:val="0"/>
                    <w:jc w:val="center"/>
                    <w:rPr>
                      <w:b/>
                      <w:szCs w:val="21"/>
                    </w:rPr>
                  </w:pPr>
                  <w:r>
                    <w:rPr>
                      <w:b/>
                      <w:szCs w:val="21"/>
                    </w:rPr>
                    <w:t>主要污染因子</w:t>
                  </w:r>
                </w:p>
              </w:tc>
            </w:tr>
            <w:tr w:rsidR="00F76A63" w14:paraId="1624AB8A" w14:textId="77777777">
              <w:trPr>
                <w:trHeight w:val="186"/>
                <w:jc w:val="center"/>
              </w:trPr>
              <w:tc>
                <w:tcPr>
                  <w:tcW w:w="690" w:type="pct"/>
                  <w:tcBorders>
                    <w:tl2br w:val="nil"/>
                    <w:tr2bl w:val="nil"/>
                  </w:tcBorders>
                  <w:vAlign w:val="center"/>
                </w:tcPr>
                <w:p w14:paraId="58A05983" w14:textId="77777777" w:rsidR="00F76A63" w:rsidRDefault="00000000">
                  <w:pPr>
                    <w:adjustRightInd w:val="0"/>
                    <w:snapToGrid w:val="0"/>
                    <w:jc w:val="center"/>
                    <w:rPr>
                      <w:spacing w:val="-5"/>
                      <w:szCs w:val="21"/>
                    </w:rPr>
                  </w:pPr>
                  <w:r>
                    <w:rPr>
                      <w:spacing w:val="-5"/>
                      <w:szCs w:val="21"/>
                    </w:rPr>
                    <w:t>污染土贮存</w:t>
                  </w:r>
                </w:p>
              </w:tc>
              <w:tc>
                <w:tcPr>
                  <w:tcW w:w="602" w:type="pct"/>
                  <w:tcBorders>
                    <w:tl2br w:val="nil"/>
                    <w:tr2bl w:val="nil"/>
                  </w:tcBorders>
                  <w:vAlign w:val="center"/>
                </w:tcPr>
                <w:p w14:paraId="1A96E902" w14:textId="77777777" w:rsidR="00F76A63" w:rsidRDefault="00000000">
                  <w:pPr>
                    <w:adjustRightInd w:val="0"/>
                    <w:snapToGrid w:val="0"/>
                    <w:jc w:val="center"/>
                    <w:rPr>
                      <w:szCs w:val="21"/>
                    </w:rPr>
                  </w:pPr>
                  <w:r>
                    <w:rPr>
                      <w:szCs w:val="21"/>
                    </w:rPr>
                    <w:t>废气</w:t>
                  </w:r>
                </w:p>
              </w:tc>
              <w:tc>
                <w:tcPr>
                  <w:tcW w:w="601" w:type="pct"/>
                  <w:tcBorders>
                    <w:tl2br w:val="nil"/>
                    <w:tr2bl w:val="nil"/>
                  </w:tcBorders>
                  <w:vAlign w:val="center"/>
                </w:tcPr>
                <w:p w14:paraId="2A75B33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G1</w:t>
                  </w:r>
                </w:p>
              </w:tc>
              <w:tc>
                <w:tcPr>
                  <w:tcW w:w="1397" w:type="pct"/>
                  <w:tcBorders>
                    <w:tl2br w:val="nil"/>
                    <w:tr2bl w:val="nil"/>
                  </w:tcBorders>
                  <w:vAlign w:val="center"/>
                </w:tcPr>
                <w:p w14:paraId="00691562" w14:textId="77777777" w:rsidR="00F76A63" w:rsidRDefault="00000000">
                  <w:pPr>
                    <w:pStyle w:val="TableText"/>
                    <w:jc w:val="center"/>
                    <w:rPr>
                      <w:rFonts w:ascii="Times New Roman" w:hAnsi="Times New Roman" w:cs="Times New Roman"/>
                      <w:color w:val="auto"/>
                      <w:spacing w:val="9"/>
                      <w:sz w:val="21"/>
                      <w:szCs w:val="21"/>
                    </w:rPr>
                  </w:pPr>
                  <w:r>
                    <w:rPr>
                      <w:rFonts w:ascii="Times New Roman" w:hAnsi="Times New Roman" w:cs="Times New Roman"/>
                      <w:color w:val="auto"/>
                      <w:spacing w:val="9"/>
                      <w:sz w:val="21"/>
                      <w:szCs w:val="21"/>
                    </w:rPr>
                    <w:t>污染土堆棚贮存废气</w:t>
                  </w:r>
                </w:p>
              </w:tc>
              <w:tc>
                <w:tcPr>
                  <w:tcW w:w="1709" w:type="pct"/>
                  <w:tcBorders>
                    <w:tl2br w:val="nil"/>
                    <w:tr2bl w:val="nil"/>
                  </w:tcBorders>
                  <w:vAlign w:val="center"/>
                </w:tcPr>
                <w:p w14:paraId="5A660041" w14:textId="77777777" w:rsidR="00F76A63" w:rsidRDefault="00000000">
                  <w:pPr>
                    <w:adjustRightInd w:val="0"/>
                    <w:snapToGrid w:val="0"/>
                    <w:jc w:val="center"/>
                    <w:rPr>
                      <w:spacing w:val="6"/>
                      <w:szCs w:val="21"/>
                    </w:rPr>
                  </w:pPr>
                  <w:r>
                    <w:rPr>
                      <w:spacing w:val="6"/>
                      <w:szCs w:val="21"/>
                    </w:rPr>
                    <w:t>颗粒物、氨、硫化氢</w:t>
                  </w:r>
                </w:p>
              </w:tc>
            </w:tr>
            <w:tr w:rsidR="00F76A63" w14:paraId="56236A01" w14:textId="77777777">
              <w:trPr>
                <w:trHeight w:val="186"/>
                <w:jc w:val="center"/>
              </w:trPr>
              <w:tc>
                <w:tcPr>
                  <w:tcW w:w="690" w:type="pct"/>
                  <w:vMerge w:val="restart"/>
                  <w:tcBorders>
                    <w:tl2br w:val="nil"/>
                    <w:tr2bl w:val="nil"/>
                  </w:tcBorders>
                  <w:vAlign w:val="center"/>
                </w:tcPr>
                <w:p w14:paraId="17D57A8B" w14:textId="77777777" w:rsidR="00F76A63" w:rsidRDefault="00000000">
                  <w:pPr>
                    <w:adjustRightInd w:val="0"/>
                    <w:snapToGrid w:val="0"/>
                    <w:jc w:val="center"/>
                    <w:rPr>
                      <w:szCs w:val="21"/>
                    </w:rPr>
                  </w:pPr>
                  <w:r>
                    <w:rPr>
                      <w:spacing w:val="-5"/>
                      <w:szCs w:val="21"/>
                    </w:rPr>
                    <w:t>一期（</w:t>
                  </w:r>
                  <w:r>
                    <w:rPr>
                      <w:rFonts w:eastAsia="Times New Roman"/>
                      <w:spacing w:val="-5"/>
                      <w:szCs w:val="21"/>
                    </w:rPr>
                    <w:t>1#</w:t>
                  </w:r>
                  <w:r>
                    <w:rPr>
                      <w:spacing w:val="-5"/>
                      <w:szCs w:val="21"/>
                    </w:rPr>
                    <w:t>）、二期（</w:t>
                  </w:r>
                  <w:r>
                    <w:rPr>
                      <w:rFonts w:eastAsia="Times New Roman"/>
                      <w:spacing w:val="-5"/>
                      <w:szCs w:val="21"/>
                    </w:rPr>
                    <w:t>2#</w:t>
                  </w:r>
                  <w:r>
                    <w:rPr>
                      <w:spacing w:val="-5"/>
                      <w:szCs w:val="21"/>
                    </w:rPr>
                    <w:t>）熟料生产线</w:t>
                  </w:r>
                </w:p>
              </w:tc>
              <w:tc>
                <w:tcPr>
                  <w:tcW w:w="602" w:type="pct"/>
                  <w:tcBorders>
                    <w:tl2br w:val="nil"/>
                    <w:tr2bl w:val="nil"/>
                  </w:tcBorders>
                  <w:vAlign w:val="center"/>
                </w:tcPr>
                <w:p w14:paraId="73CADCD1" w14:textId="77777777" w:rsidR="00F76A63" w:rsidRDefault="00000000">
                  <w:pPr>
                    <w:adjustRightInd w:val="0"/>
                    <w:snapToGrid w:val="0"/>
                    <w:jc w:val="center"/>
                    <w:rPr>
                      <w:szCs w:val="21"/>
                    </w:rPr>
                  </w:pPr>
                  <w:r>
                    <w:rPr>
                      <w:szCs w:val="21"/>
                    </w:rPr>
                    <w:t>废气</w:t>
                  </w:r>
                </w:p>
              </w:tc>
              <w:tc>
                <w:tcPr>
                  <w:tcW w:w="601" w:type="pct"/>
                  <w:tcBorders>
                    <w:tl2br w:val="nil"/>
                    <w:tr2bl w:val="nil"/>
                  </w:tcBorders>
                  <w:vAlign w:val="center"/>
                </w:tcPr>
                <w:p w14:paraId="4886323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G2</w:t>
                  </w:r>
                </w:p>
              </w:tc>
              <w:tc>
                <w:tcPr>
                  <w:tcW w:w="1397" w:type="pct"/>
                  <w:tcBorders>
                    <w:tl2br w:val="nil"/>
                    <w:tr2bl w:val="nil"/>
                  </w:tcBorders>
                  <w:vAlign w:val="center"/>
                </w:tcPr>
                <w:p w14:paraId="5F413E39"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9"/>
                      <w:sz w:val="21"/>
                      <w:szCs w:val="21"/>
                    </w:rPr>
                    <w:t>窑尾废气</w:t>
                  </w:r>
                </w:p>
              </w:tc>
              <w:tc>
                <w:tcPr>
                  <w:tcW w:w="1709" w:type="pct"/>
                  <w:tcBorders>
                    <w:tl2br w:val="nil"/>
                    <w:tr2bl w:val="nil"/>
                  </w:tcBorders>
                  <w:vAlign w:val="center"/>
                </w:tcPr>
                <w:p w14:paraId="64FCED2B" w14:textId="77777777" w:rsidR="00F76A63" w:rsidRDefault="00000000">
                  <w:pPr>
                    <w:adjustRightInd w:val="0"/>
                    <w:snapToGrid w:val="0"/>
                    <w:jc w:val="center"/>
                    <w:rPr>
                      <w:szCs w:val="21"/>
                    </w:rPr>
                  </w:pPr>
                  <w:r>
                    <w:rPr>
                      <w:spacing w:val="6"/>
                      <w:szCs w:val="21"/>
                    </w:rPr>
                    <w:t>烟尘、</w:t>
                  </w:r>
                  <w:r>
                    <w:rPr>
                      <w:rFonts w:eastAsia="Times New Roman"/>
                      <w:spacing w:val="20"/>
                      <w:szCs w:val="21"/>
                    </w:rPr>
                    <w:t>SO</w:t>
                  </w:r>
                  <w:r>
                    <w:rPr>
                      <w:rFonts w:eastAsia="Times New Roman"/>
                      <w:spacing w:val="20"/>
                      <w:position w:val="-1"/>
                      <w:szCs w:val="21"/>
                      <w:vertAlign w:val="subscript"/>
                    </w:rPr>
                    <w:t>2</w:t>
                  </w:r>
                  <w:r>
                    <w:rPr>
                      <w:spacing w:val="6"/>
                      <w:szCs w:val="21"/>
                    </w:rPr>
                    <w:t>、</w:t>
                  </w:r>
                  <w:r>
                    <w:rPr>
                      <w:rFonts w:eastAsia="Times New Roman"/>
                      <w:spacing w:val="8"/>
                      <w:szCs w:val="21"/>
                    </w:rPr>
                    <w:t>NOx</w:t>
                  </w:r>
                  <w:r>
                    <w:rPr>
                      <w:spacing w:val="6"/>
                      <w:szCs w:val="21"/>
                    </w:rPr>
                    <w:t>、</w:t>
                  </w:r>
                  <w:r>
                    <w:rPr>
                      <w:rFonts w:eastAsia="Times New Roman"/>
                      <w:spacing w:val="17"/>
                      <w:szCs w:val="21"/>
                    </w:rPr>
                    <w:t>HCl</w:t>
                  </w:r>
                  <w:r>
                    <w:rPr>
                      <w:spacing w:val="6"/>
                      <w:szCs w:val="21"/>
                    </w:rPr>
                    <w:t>、</w:t>
                  </w:r>
                  <w:r>
                    <w:rPr>
                      <w:rFonts w:eastAsia="Times New Roman"/>
                      <w:spacing w:val="12"/>
                      <w:w w:val="125"/>
                      <w:szCs w:val="21"/>
                    </w:rPr>
                    <w:t>HF</w:t>
                  </w:r>
                  <w:r>
                    <w:rPr>
                      <w:spacing w:val="6"/>
                      <w:szCs w:val="21"/>
                    </w:rPr>
                    <w:t>、</w:t>
                  </w:r>
                  <w:r>
                    <w:rPr>
                      <w:spacing w:val="9"/>
                      <w:szCs w:val="21"/>
                    </w:rPr>
                    <w:t>重金属</w:t>
                  </w:r>
                  <w:r>
                    <w:rPr>
                      <w:spacing w:val="6"/>
                      <w:szCs w:val="21"/>
                    </w:rPr>
                    <w:t>、</w:t>
                  </w:r>
                  <w:r>
                    <w:rPr>
                      <w:spacing w:val="9"/>
                      <w:szCs w:val="21"/>
                    </w:rPr>
                    <w:t>二噁英类</w:t>
                  </w:r>
                </w:p>
              </w:tc>
            </w:tr>
            <w:tr w:rsidR="00F76A63" w14:paraId="24382325" w14:textId="77777777">
              <w:trPr>
                <w:trHeight w:val="425"/>
                <w:jc w:val="center"/>
              </w:trPr>
              <w:tc>
                <w:tcPr>
                  <w:tcW w:w="690" w:type="pct"/>
                  <w:vMerge/>
                  <w:tcBorders>
                    <w:tl2br w:val="nil"/>
                    <w:tr2bl w:val="nil"/>
                  </w:tcBorders>
                  <w:vAlign w:val="center"/>
                </w:tcPr>
                <w:p w14:paraId="27A68AF9" w14:textId="77777777" w:rsidR="00F76A63" w:rsidRDefault="00F76A63">
                  <w:pPr>
                    <w:adjustRightInd w:val="0"/>
                    <w:snapToGrid w:val="0"/>
                    <w:jc w:val="center"/>
                    <w:rPr>
                      <w:szCs w:val="21"/>
                    </w:rPr>
                  </w:pPr>
                </w:p>
              </w:tc>
              <w:tc>
                <w:tcPr>
                  <w:tcW w:w="602" w:type="pct"/>
                  <w:tcBorders>
                    <w:tl2br w:val="nil"/>
                    <w:tr2bl w:val="nil"/>
                  </w:tcBorders>
                  <w:vAlign w:val="center"/>
                </w:tcPr>
                <w:p w14:paraId="3B2E276F" w14:textId="77777777" w:rsidR="00F76A63" w:rsidRDefault="00000000">
                  <w:pPr>
                    <w:adjustRightInd w:val="0"/>
                    <w:snapToGrid w:val="0"/>
                    <w:jc w:val="center"/>
                    <w:rPr>
                      <w:szCs w:val="21"/>
                    </w:rPr>
                  </w:pPr>
                  <w:r>
                    <w:rPr>
                      <w:szCs w:val="21"/>
                    </w:rPr>
                    <w:t>废水</w:t>
                  </w:r>
                </w:p>
              </w:tc>
              <w:tc>
                <w:tcPr>
                  <w:tcW w:w="601" w:type="pct"/>
                  <w:tcBorders>
                    <w:tl2br w:val="nil"/>
                    <w:tr2bl w:val="nil"/>
                  </w:tcBorders>
                  <w:vAlign w:val="center"/>
                </w:tcPr>
                <w:p w14:paraId="74AB90E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hint="eastAsia"/>
                      <w:color w:val="auto"/>
                      <w:sz w:val="21"/>
                      <w:szCs w:val="21"/>
                    </w:rPr>
                    <w:t>W1</w:t>
                  </w:r>
                </w:p>
              </w:tc>
              <w:tc>
                <w:tcPr>
                  <w:tcW w:w="1397" w:type="pct"/>
                  <w:tcBorders>
                    <w:tl2br w:val="nil"/>
                    <w:tr2bl w:val="nil"/>
                  </w:tcBorders>
                  <w:vAlign w:val="center"/>
                </w:tcPr>
                <w:p w14:paraId="74E30E5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hint="eastAsia"/>
                      <w:color w:val="auto"/>
                      <w:sz w:val="21"/>
                      <w:szCs w:val="21"/>
                    </w:rPr>
                    <w:t>原料、污染土堆棚渗滤液</w:t>
                  </w:r>
                </w:p>
              </w:tc>
              <w:tc>
                <w:tcPr>
                  <w:tcW w:w="1709" w:type="pct"/>
                  <w:tcBorders>
                    <w:tl2br w:val="nil"/>
                    <w:tr2bl w:val="nil"/>
                  </w:tcBorders>
                  <w:vAlign w:val="center"/>
                </w:tcPr>
                <w:p w14:paraId="45A9F56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pH</w:t>
                  </w:r>
                  <w:r>
                    <w:rPr>
                      <w:rFonts w:ascii="Times New Roman" w:hAnsi="Times New Roman" w:cs="Times New Roman"/>
                      <w:color w:val="auto"/>
                      <w:sz w:val="21"/>
                      <w:szCs w:val="21"/>
                    </w:rPr>
                    <w:t>、</w:t>
                  </w:r>
                  <w:r>
                    <w:rPr>
                      <w:rFonts w:ascii="Times New Roman" w:hAnsi="Times New Roman" w:cs="Times New Roman"/>
                      <w:color w:val="auto"/>
                      <w:sz w:val="21"/>
                      <w:szCs w:val="21"/>
                    </w:rPr>
                    <w:t>SS</w:t>
                  </w:r>
                  <w:r>
                    <w:rPr>
                      <w:rFonts w:ascii="Times New Roman" w:hAnsi="Times New Roman" w:cs="Times New Roman"/>
                      <w:color w:val="auto"/>
                      <w:sz w:val="21"/>
                      <w:szCs w:val="21"/>
                    </w:rPr>
                    <w:t>、</w:t>
                  </w:r>
                  <w:r>
                    <w:rPr>
                      <w:rFonts w:ascii="Times New Roman" w:hAnsi="Times New Roman" w:cs="Times New Roman"/>
                      <w:color w:val="auto"/>
                      <w:sz w:val="21"/>
                      <w:szCs w:val="21"/>
                    </w:rPr>
                    <w:t>COD</w:t>
                  </w:r>
                  <w:r>
                    <w:rPr>
                      <w:rFonts w:ascii="Times New Roman" w:hAnsi="Times New Roman" w:cs="Times New Roman"/>
                      <w:color w:val="auto"/>
                      <w:sz w:val="21"/>
                      <w:szCs w:val="21"/>
                    </w:rPr>
                    <w:t>、</w:t>
                  </w:r>
                  <w:r>
                    <w:rPr>
                      <w:rFonts w:ascii="Times New Roman" w:hAnsi="Times New Roman" w:cs="Times New Roman"/>
                      <w:color w:val="auto"/>
                      <w:sz w:val="21"/>
                      <w:szCs w:val="21"/>
                    </w:rPr>
                    <w:t>BOD₅</w:t>
                  </w:r>
                  <w:r>
                    <w:rPr>
                      <w:rFonts w:ascii="Times New Roman" w:hAnsi="Times New Roman" w:cs="Times New Roman"/>
                      <w:color w:val="auto"/>
                      <w:sz w:val="21"/>
                      <w:szCs w:val="21"/>
                    </w:rPr>
                    <w:t>、氨氮、总氮、总磷、</w:t>
                  </w:r>
                  <w:r>
                    <w:rPr>
                      <w:rFonts w:ascii="Times New Roman" w:hAnsi="Times New Roman" w:cs="Times New Roman" w:hint="eastAsia"/>
                      <w:color w:val="auto"/>
                      <w:sz w:val="21"/>
                      <w:szCs w:val="21"/>
                    </w:rPr>
                    <w:t>重金属</w:t>
                  </w:r>
                  <w:r>
                    <w:rPr>
                      <w:rFonts w:ascii="Times New Roman" w:hAnsi="Times New Roman" w:cs="Times New Roman"/>
                      <w:color w:val="auto"/>
                      <w:sz w:val="21"/>
                      <w:szCs w:val="21"/>
                    </w:rPr>
                    <w:t>、氯离子、氟离子、硫酸盐</w:t>
                  </w:r>
                </w:p>
              </w:tc>
            </w:tr>
            <w:tr w:rsidR="00F76A63" w14:paraId="6D7255F6" w14:textId="77777777">
              <w:trPr>
                <w:trHeight w:val="456"/>
                <w:jc w:val="center"/>
              </w:trPr>
              <w:tc>
                <w:tcPr>
                  <w:tcW w:w="690" w:type="pct"/>
                  <w:vMerge/>
                  <w:tcBorders>
                    <w:tl2br w:val="nil"/>
                    <w:tr2bl w:val="nil"/>
                  </w:tcBorders>
                  <w:vAlign w:val="center"/>
                </w:tcPr>
                <w:p w14:paraId="18A91B29" w14:textId="77777777" w:rsidR="00F76A63" w:rsidRDefault="00F76A63">
                  <w:pPr>
                    <w:adjustRightInd w:val="0"/>
                    <w:snapToGrid w:val="0"/>
                    <w:jc w:val="center"/>
                    <w:rPr>
                      <w:szCs w:val="21"/>
                    </w:rPr>
                  </w:pPr>
                </w:p>
              </w:tc>
              <w:tc>
                <w:tcPr>
                  <w:tcW w:w="602" w:type="pct"/>
                  <w:tcBorders>
                    <w:tl2br w:val="nil"/>
                    <w:tr2bl w:val="nil"/>
                  </w:tcBorders>
                  <w:vAlign w:val="center"/>
                </w:tcPr>
                <w:p w14:paraId="2A83A9C5" w14:textId="77777777" w:rsidR="00F76A63" w:rsidRDefault="00000000">
                  <w:pPr>
                    <w:adjustRightInd w:val="0"/>
                    <w:snapToGrid w:val="0"/>
                    <w:jc w:val="center"/>
                    <w:rPr>
                      <w:szCs w:val="21"/>
                    </w:rPr>
                  </w:pPr>
                  <w:r>
                    <w:rPr>
                      <w:szCs w:val="21"/>
                    </w:rPr>
                    <w:t>固废</w:t>
                  </w:r>
                </w:p>
              </w:tc>
              <w:tc>
                <w:tcPr>
                  <w:tcW w:w="3707" w:type="pct"/>
                  <w:gridSpan w:val="3"/>
                  <w:tcBorders>
                    <w:tl2br w:val="nil"/>
                    <w:tr2bl w:val="nil"/>
                  </w:tcBorders>
                  <w:vAlign w:val="center"/>
                </w:tcPr>
                <w:p w14:paraId="1814B50C"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12"/>
                      <w:sz w:val="21"/>
                      <w:szCs w:val="21"/>
                    </w:rPr>
                    <w:t>本项目不新增固体废物</w:t>
                  </w:r>
                </w:p>
              </w:tc>
            </w:tr>
            <w:bookmarkEnd w:id="89"/>
          </w:tbl>
          <w:p w14:paraId="5658BEF1" w14:textId="77777777" w:rsidR="00F76A63" w:rsidRDefault="00F76A63">
            <w:pPr>
              <w:pStyle w:val="TableText"/>
              <w:spacing w:line="500" w:lineRule="exact"/>
              <w:ind w:firstLine="482"/>
              <w:jc w:val="center"/>
              <w:rPr>
                <w:rFonts w:ascii="Times New Roman" w:hAnsi="Times New Roman" w:cs="Times New Roman"/>
                <w:b/>
                <w:bCs/>
                <w:color w:val="auto"/>
              </w:rPr>
            </w:pPr>
          </w:p>
        </w:tc>
      </w:tr>
      <w:tr w:rsidR="00F76A63" w14:paraId="6F4B1281" w14:textId="77777777">
        <w:trPr>
          <w:trHeight w:val="2819"/>
          <w:jc w:val="center"/>
        </w:trPr>
        <w:tc>
          <w:tcPr>
            <w:tcW w:w="425" w:type="dxa"/>
            <w:gridSpan w:val="2"/>
            <w:vAlign w:val="center"/>
          </w:tcPr>
          <w:p w14:paraId="568208F5" w14:textId="77777777" w:rsidR="00F76A63" w:rsidRDefault="00000000">
            <w:pPr>
              <w:adjustRightInd w:val="0"/>
              <w:snapToGrid w:val="0"/>
              <w:jc w:val="center"/>
              <w:rPr>
                <w:b/>
              </w:rPr>
            </w:pPr>
            <w:r>
              <w:rPr>
                <w:b/>
              </w:rPr>
              <w:lastRenderedPageBreak/>
              <w:t>与项目有关的原有环境污染问题</w:t>
            </w:r>
          </w:p>
        </w:tc>
        <w:tc>
          <w:tcPr>
            <w:tcW w:w="8399" w:type="dxa"/>
          </w:tcPr>
          <w:p w14:paraId="559E9577" w14:textId="77777777" w:rsidR="00F76A63" w:rsidRDefault="00000000">
            <w:pPr>
              <w:keepNext/>
              <w:keepLines/>
              <w:widowControl/>
              <w:tabs>
                <w:tab w:val="left" w:pos="2340"/>
              </w:tabs>
              <w:adjustRightInd w:val="0"/>
              <w:snapToGrid w:val="0"/>
              <w:spacing w:line="500" w:lineRule="exact"/>
              <w:ind w:firstLineChars="200" w:firstLine="482"/>
              <w:rPr>
                <w:b/>
                <w:bCs/>
                <w:kern w:val="0"/>
                <w:sz w:val="24"/>
              </w:rPr>
            </w:pPr>
            <w:r>
              <w:rPr>
                <w:b/>
                <w:bCs/>
                <w:kern w:val="0"/>
                <w:sz w:val="24"/>
              </w:rPr>
              <w:t>一、现有项目</w:t>
            </w:r>
            <w:r>
              <w:rPr>
                <w:b/>
                <w:bCs/>
                <w:sz w:val="24"/>
              </w:rPr>
              <w:t>环保手续履行情况</w:t>
            </w:r>
          </w:p>
          <w:p w14:paraId="3FD8D6BD" w14:textId="77777777" w:rsidR="00F76A63" w:rsidRDefault="00000000">
            <w:pPr>
              <w:adjustRightInd w:val="0"/>
              <w:snapToGrid w:val="0"/>
              <w:spacing w:line="500" w:lineRule="exact"/>
              <w:ind w:firstLineChars="200" w:firstLine="480"/>
              <w:rPr>
                <w:sz w:val="24"/>
              </w:rPr>
            </w:pPr>
            <w:r>
              <w:rPr>
                <w:sz w:val="24"/>
              </w:rPr>
              <w:t>句容台泥水泥有限公司原为嘉新京阳水泥有限公司，嘉新京阳水泥有限公司成立于</w:t>
            </w:r>
            <w:r>
              <w:rPr>
                <w:sz w:val="24"/>
              </w:rPr>
              <w:t>1993</w:t>
            </w:r>
            <w:r>
              <w:rPr>
                <w:sz w:val="24"/>
              </w:rPr>
              <w:t>年，台泥集团于</w:t>
            </w:r>
            <w:r>
              <w:rPr>
                <w:sz w:val="24"/>
              </w:rPr>
              <w:t>2008</w:t>
            </w:r>
            <w:r>
              <w:rPr>
                <w:sz w:val="24"/>
              </w:rPr>
              <w:t>年与嘉新国际换股并购后纳入台泥集团，原公司更名为句容台泥水泥有限公司。现有已经建成运行的两条水泥生产线，</w:t>
            </w:r>
            <w:r>
              <w:rPr>
                <w:sz w:val="24"/>
              </w:rPr>
              <w:t>1#</w:t>
            </w:r>
            <w:r>
              <w:rPr>
                <w:sz w:val="24"/>
              </w:rPr>
              <w:t>熟料生产线为一条年产</w:t>
            </w:r>
            <w:r>
              <w:rPr>
                <w:sz w:val="24"/>
              </w:rPr>
              <w:t>150</w:t>
            </w:r>
            <w:r>
              <w:rPr>
                <w:sz w:val="24"/>
              </w:rPr>
              <w:t>万吨熟料，年产</w:t>
            </w:r>
            <w:r>
              <w:rPr>
                <w:sz w:val="24"/>
              </w:rPr>
              <w:t>280</w:t>
            </w:r>
            <w:r>
              <w:rPr>
                <w:sz w:val="24"/>
              </w:rPr>
              <w:t>万吨水泥；二期（</w:t>
            </w:r>
            <w:r>
              <w:rPr>
                <w:sz w:val="24"/>
              </w:rPr>
              <w:t>2#</w:t>
            </w:r>
            <w:r>
              <w:rPr>
                <w:sz w:val="24"/>
              </w:rPr>
              <w:t>熟料生产线）为一条日产</w:t>
            </w:r>
            <w:r>
              <w:rPr>
                <w:sz w:val="24"/>
              </w:rPr>
              <w:t>6000</w:t>
            </w:r>
            <w:r>
              <w:rPr>
                <w:sz w:val="24"/>
              </w:rPr>
              <w:t>吨熟料新型干法水泥生产线，年产</w:t>
            </w:r>
            <w:r>
              <w:rPr>
                <w:sz w:val="24"/>
              </w:rPr>
              <w:t>186</w:t>
            </w:r>
            <w:r>
              <w:rPr>
                <w:sz w:val="24"/>
              </w:rPr>
              <w:t>万吨熟料，年产</w:t>
            </w:r>
            <w:r>
              <w:rPr>
                <w:sz w:val="24"/>
              </w:rPr>
              <w:t>110</w:t>
            </w:r>
            <w:r>
              <w:rPr>
                <w:sz w:val="24"/>
              </w:rPr>
              <w:t>万吨水泥。飞灰及废旧轮胎等替代燃料固废处置项目于</w:t>
            </w:r>
            <w:r>
              <w:rPr>
                <w:sz w:val="24"/>
              </w:rPr>
              <w:t>2019</w:t>
            </w:r>
            <w:r>
              <w:rPr>
                <w:sz w:val="24"/>
              </w:rPr>
              <w:t>年</w:t>
            </w:r>
            <w:r>
              <w:rPr>
                <w:sz w:val="24"/>
              </w:rPr>
              <w:t>5</w:t>
            </w:r>
            <w:r>
              <w:rPr>
                <w:sz w:val="24"/>
              </w:rPr>
              <w:t>月</w:t>
            </w:r>
            <w:r>
              <w:rPr>
                <w:sz w:val="24"/>
              </w:rPr>
              <w:t>27</w:t>
            </w:r>
            <w:r>
              <w:rPr>
                <w:sz w:val="24"/>
              </w:rPr>
              <w:t>日</w:t>
            </w:r>
            <w:r>
              <w:rPr>
                <w:sz w:val="24"/>
              </w:rPr>
              <w:lastRenderedPageBreak/>
              <w:t>取得句容市环保局批复（句环字</w:t>
            </w:r>
            <w:r>
              <w:rPr>
                <w:sz w:val="24"/>
              </w:rPr>
              <w:t>[2019]108</w:t>
            </w:r>
            <w:r>
              <w:rPr>
                <w:sz w:val="24"/>
              </w:rPr>
              <w:t>号），该项目依托二期（</w:t>
            </w:r>
            <w:r>
              <w:rPr>
                <w:sz w:val="24"/>
              </w:rPr>
              <w:t>2#</w:t>
            </w:r>
            <w:r>
              <w:rPr>
                <w:sz w:val="24"/>
              </w:rPr>
              <w:t>）日产</w:t>
            </w:r>
            <w:r>
              <w:rPr>
                <w:sz w:val="24"/>
              </w:rPr>
              <w:t>6000</w:t>
            </w:r>
            <w:r>
              <w:rPr>
                <w:sz w:val="24"/>
              </w:rPr>
              <w:t>吨熟料新型干法水泥生产线协同处置垃圾焚烧飞灰</w:t>
            </w:r>
            <w:r>
              <w:rPr>
                <w:sz w:val="24"/>
              </w:rPr>
              <w:t>1.55</w:t>
            </w:r>
            <w:r>
              <w:rPr>
                <w:sz w:val="24"/>
              </w:rPr>
              <w:t>万吨</w:t>
            </w:r>
            <w:r>
              <w:rPr>
                <w:sz w:val="24"/>
              </w:rPr>
              <w:t>/</w:t>
            </w:r>
            <w:r>
              <w:rPr>
                <w:sz w:val="24"/>
              </w:rPr>
              <w:t>年</w:t>
            </w:r>
            <w:r>
              <w:rPr>
                <w:sz w:val="24"/>
              </w:rPr>
              <w:t>(50</w:t>
            </w:r>
            <w:r>
              <w:rPr>
                <w:sz w:val="24"/>
              </w:rPr>
              <w:t>吨</w:t>
            </w:r>
            <w:r>
              <w:rPr>
                <w:sz w:val="24"/>
              </w:rPr>
              <w:t>/</w:t>
            </w:r>
            <w:r>
              <w:rPr>
                <w:sz w:val="24"/>
              </w:rPr>
              <w:t>日</w:t>
            </w:r>
            <w:r>
              <w:rPr>
                <w:sz w:val="24"/>
              </w:rPr>
              <w:t>)</w:t>
            </w:r>
            <w:r>
              <w:rPr>
                <w:sz w:val="24"/>
              </w:rPr>
              <w:t>、废弃轮胎</w:t>
            </w:r>
            <w:r>
              <w:rPr>
                <w:sz w:val="24"/>
              </w:rPr>
              <w:t>1</w:t>
            </w:r>
            <w:r>
              <w:rPr>
                <w:sz w:val="24"/>
              </w:rPr>
              <w:t>万吨</w:t>
            </w:r>
            <w:r>
              <w:rPr>
                <w:sz w:val="24"/>
              </w:rPr>
              <w:t>/</w:t>
            </w:r>
            <w:r>
              <w:rPr>
                <w:sz w:val="24"/>
              </w:rPr>
              <w:t>年，于</w:t>
            </w:r>
            <w:r>
              <w:rPr>
                <w:sz w:val="24"/>
              </w:rPr>
              <w:t>2021</w:t>
            </w:r>
            <w:r>
              <w:rPr>
                <w:sz w:val="24"/>
              </w:rPr>
              <w:t>年</w:t>
            </w:r>
            <w:r>
              <w:rPr>
                <w:sz w:val="24"/>
              </w:rPr>
              <w:t>12</w:t>
            </w:r>
            <w:r>
              <w:rPr>
                <w:sz w:val="24"/>
              </w:rPr>
              <w:t>月</w:t>
            </w:r>
            <w:r>
              <w:rPr>
                <w:sz w:val="24"/>
              </w:rPr>
              <w:t>8</w:t>
            </w:r>
            <w:r>
              <w:rPr>
                <w:sz w:val="24"/>
              </w:rPr>
              <w:t>日完成了竣工验收。</w:t>
            </w:r>
          </w:p>
          <w:p w14:paraId="7CB2E8B3" w14:textId="77777777" w:rsidR="00F76A63" w:rsidRDefault="00000000">
            <w:pPr>
              <w:adjustRightInd w:val="0"/>
              <w:snapToGrid w:val="0"/>
              <w:spacing w:line="500" w:lineRule="exact"/>
              <w:ind w:firstLineChars="200" w:firstLine="480"/>
              <w:rPr>
                <w:sz w:val="24"/>
              </w:rPr>
            </w:pPr>
            <w:r>
              <w:rPr>
                <w:sz w:val="24"/>
              </w:rPr>
              <w:t>句容台泥水泥有限公司水泥窑协同处置废轮胎项目于</w:t>
            </w:r>
            <w:r>
              <w:rPr>
                <w:sz w:val="24"/>
              </w:rPr>
              <w:t>2020</w:t>
            </w:r>
            <w:r>
              <w:rPr>
                <w:sz w:val="24"/>
              </w:rPr>
              <w:t>年</w:t>
            </w:r>
            <w:r>
              <w:rPr>
                <w:sz w:val="24"/>
              </w:rPr>
              <w:t>12</w:t>
            </w:r>
            <w:r>
              <w:rPr>
                <w:sz w:val="24"/>
              </w:rPr>
              <w:t>月</w:t>
            </w:r>
            <w:r>
              <w:rPr>
                <w:sz w:val="24"/>
              </w:rPr>
              <w:t>11</w:t>
            </w:r>
            <w:r>
              <w:rPr>
                <w:sz w:val="24"/>
              </w:rPr>
              <w:t>日取得镇江市生态环境局批复（镇环审</w:t>
            </w:r>
            <w:r>
              <w:rPr>
                <w:sz w:val="24"/>
              </w:rPr>
              <w:t>[2020]99</w:t>
            </w:r>
            <w:r>
              <w:rPr>
                <w:sz w:val="24"/>
              </w:rPr>
              <w:t>号），该项目依托一期新型干法水泥生产线协同处置废弃轮胎</w:t>
            </w:r>
            <w:r>
              <w:rPr>
                <w:sz w:val="24"/>
              </w:rPr>
              <w:t>5</w:t>
            </w:r>
            <w:r>
              <w:rPr>
                <w:sz w:val="24"/>
              </w:rPr>
              <w:t>万吨</w:t>
            </w:r>
            <w:r>
              <w:rPr>
                <w:sz w:val="24"/>
              </w:rPr>
              <w:t>/</w:t>
            </w:r>
            <w:r>
              <w:rPr>
                <w:sz w:val="24"/>
              </w:rPr>
              <w:t>年，目前该项目正在建设；句容台泥水泥有限公司水泥窑协同处置一般固废项目于</w:t>
            </w:r>
            <w:r>
              <w:rPr>
                <w:sz w:val="24"/>
              </w:rPr>
              <w:t>2022</w:t>
            </w:r>
            <w:r>
              <w:rPr>
                <w:sz w:val="24"/>
              </w:rPr>
              <w:t>年</w:t>
            </w:r>
            <w:r>
              <w:rPr>
                <w:sz w:val="24"/>
              </w:rPr>
              <w:t>12</w:t>
            </w:r>
            <w:r>
              <w:rPr>
                <w:sz w:val="24"/>
              </w:rPr>
              <w:t>月</w:t>
            </w:r>
            <w:r>
              <w:rPr>
                <w:sz w:val="24"/>
              </w:rPr>
              <w:t>7</w:t>
            </w:r>
            <w:r>
              <w:rPr>
                <w:sz w:val="24"/>
              </w:rPr>
              <w:t>日取得镇江市句容生态环境局批复（镇句环审</w:t>
            </w:r>
            <w:r>
              <w:rPr>
                <w:sz w:val="24"/>
              </w:rPr>
              <w:t>[2022]38</w:t>
            </w:r>
            <w:r>
              <w:rPr>
                <w:sz w:val="24"/>
              </w:rPr>
              <w:t>号），该项目同时依托一期和二期新型干法水泥生产线协同处置一般固废，目前该项目正在建设；句容台泥水泥有限公司水泥窑协同处置</w:t>
            </w:r>
            <w:r>
              <w:rPr>
                <w:sz w:val="24"/>
              </w:rPr>
              <w:t>10</w:t>
            </w:r>
            <w:r>
              <w:rPr>
                <w:sz w:val="24"/>
              </w:rPr>
              <w:t>万吨</w:t>
            </w:r>
            <w:r>
              <w:rPr>
                <w:sz w:val="24"/>
              </w:rPr>
              <w:t>/</w:t>
            </w:r>
            <w:r>
              <w:rPr>
                <w:sz w:val="24"/>
              </w:rPr>
              <w:t>年污染土及</w:t>
            </w:r>
            <w:r>
              <w:rPr>
                <w:sz w:val="24"/>
              </w:rPr>
              <w:t>10</w:t>
            </w:r>
            <w:r>
              <w:rPr>
                <w:sz w:val="24"/>
              </w:rPr>
              <w:t>万吨</w:t>
            </w:r>
            <w:r>
              <w:rPr>
                <w:sz w:val="24"/>
              </w:rPr>
              <w:t>/</w:t>
            </w:r>
            <w:r>
              <w:rPr>
                <w:sz w:val="24"/>
              </w:rPr>
              <w:t>年一般固废项目（台泥水泥终端处置）于</w:t>
            </w:r>
            <w:r>
              <w:rPr>
                <w:sz w:val="24"/>
              </w:rPr>
              <w:t>2023</w:t>
            </w:r>
            <w:r>
              <w:rPr>
                <w:sz w:val="24"/>
              </w:rPr>
              <w:t>年</w:t>
            </w:r>
            <w:r>
              <w:rPr>
                <w:sz w:val="24"/>
              </w:rPr>
              <w:t>1</w:t>
            </w:r>
            <w:r>
              <w:rPr>
                <w:sz w:val="24"/>
              </w:rPr>
              <w:t>月</w:t>
            </w:r>
            <w:r>
              <w:rPr>
                <w:sz w:val="24"/>
              </w:rPr>
              <w:t>10</w:t>
            </w:r>
            <w:r>
              <w:rPr>
                <w:sz w:val="24"/>
              </w:rPr>
              <w:t>日取得镇江市句容生态环境局批复（镇句环审</w:t>
            </w:r>
            <w:r>
              <w:rPr>
                <w:sz w:val="24"/>
              </w:rPr>
              <w:t>[2023]2</w:t>
            </w:r>
            <w:r>
              <w:rPr>
                <w:sz w:val="24"/>
              </w:rPr>
              <w:t>号），该项目同时依托一期和二期新型干法水泥生产线协同处置</w:t>
            </w:r>
            <w:r>
              <w:rPr>
                <w:sz w:val="24"/>
              </w:rPr>
              <w:t>10</w:t>
            </w:r>
            <w:r>
              <w:rPr>
                <w:sz w:val="24"/>
              </w:rPr>
              <w:t>万吨</w:t>
            </w:r>
            <w:r>
              <w:rPr>
                <w:sz w:val="24"/>
              </w:rPr>
              <w:t>/</w:t>
            </w:r>
            <w:r>
              <w:rPr>
                <w:sz w:val="24"/>
              </w:rPr>
              <w:t>年污染土及</w:t>
            </w:r>
            <w:r>
              <w:rPr>
                <w:sz w:val="24"/>
              </w:rPr>
              <w:t>10</w:t>
            </w:r>
            <w:r>
              <w:rPr>
                <w:sz w:val="24"/>
              </w:rPr>
              <w:t>万吨</w:t>
            </w:r>
            <w:r>
              <w:rPr>
                <w:sz w:val="24"/>
              </w:rPr>
              <w:t>/</w:t>
            </w:r>
            <w:r>
              <w:rPr>
                <w:sz w:val="24"/>
              </w:rPr>
              <w:t>年一般固废项目（台泥水泥终端处置），目前该项目正在建设。</w:t>
            </w:r>
          </w:p>
          <w:p w14:paraId="76960546" w14:textId="77777777" w:rsidR="00F76A63" w:rsidRDefault="00000000">
            <w:pPr>
              <w:adjustRightInd w:val="0"/>
              <w:snapToGrid w:val="0"/>
              <w:spacing w:line="500" w:lineRule="exact"/>
              <w:ind w:firstLineChars="200" w:firstLine="480"/>
              <w:rPr>
                <w:sz w:val="24"/>
              </w:rPr>
            </w:pPr>
            <w:r>
              <w:rPr>
                <w:sz w:val="24"/>
              </w:rPr>
              <w:t>台泥水泥磨节能技改项目对现有</w:t>
            </w:r>
            <w:r>
              <w:rPr>
                <w:sz w:val="24"/>
              </w:rPr>
              <w:t>1#</w:t>
            </w:r>
            <w:r>
              <w:rPr>
                <w:sz w:val="24"/>
              </w:rPr>
              <w:t>、</w:t>
            </w:r>
            <w:r>
              <w:rPr>
                <w:sz w:val="24"/>
              </w:rPr>
              <w:t>2#</w:t>
            </w:r>
            <w:r>
              <w:rPr>
                <w:sz w:val="24"/>
              </w:rPr>
              <w:t>水泥粉磨生产线改造，新增两台辊压机替代现有的预粉磨立磨，并对配料站及进料系统和水泥入库系统进行升级改造，从而全面提升水泥粉磨生产线的能耗及污染物控制水平，该项目于</w:t>
            </w:r>
            <w:r>
              <w:rPr>
                <w:sz w:val="24"/>
              </w:rPr>
              <w:t>2024</w:t>
            </w:r>
            <w:r>
              <w:rPr>
                <w:sz w:val="24"/>
              </w:rPr>
              <w:t>年</w:t>
            </w:r>
            <w:r>
              <w:rPr>
                <w:sz w:val="24"/>
              </w:rPr>
              <w:t>3</w:t>
            </w:r>
            <w:r>
              <w:rPr>
                <w:sz w:val="24"/>
              </w:rPr>
              <w:t>月</w:t>
            </w:r>
            <w:r>
              <w:rPr>
                <w:sz w:val="24"/>
              </w:rPr>
              <w:t>15</w:t>
            </w:r>
            <w:r>
              <w:rPr>
                <w:sz w:val="24"/>
              </w:rPr>
              <w:t>日取得镇江市生态环境局批复（镇环审</w:t>
            </w:r>
            <w:r>
              <w:rPr>
                <w:sz w:val="24"/>
              </w:rPr>
              <w:t>[2024]64</w:t>
            </w:r>
            <w:r>
              <w:rPr>
                <w:sz w:val="24"/>
              </w:rPr>
              <w:t>号），目前该项目正在建设；句容台泥水泥有限公司水泥窑协同处置飞灰</w:t>
            </w:r>
            <w:r>
              <w:rPr>
                <w:sz w:val="24"/>
              </w:rPr>
              <w:t>3.45</w:t>
            </w:r>
            <w:r>
              <w:rPr>
                <w:sz w:val="24"/>
              </w:rPr>
              <w:t>万吨</w:t>
            </w:r>
            <w:r>
              <w:rPr>
                <w:sz w:val="24"/>
              </w:rPr>
              <w:t>/</w:t>
            </w:r>
            <w:r>
              <w:rPr>
                <w:sz w:val="24"/>
              </w:rPr>
              <w:t>年改扩建项目于</w:t>
            </w:r>
            <w:r>
              <w:rPr>
                <w:sz w:val="24"/>
              </w:rPr>
              <w:t>2024</w:t>
            </w:r>
            <w:r>
              <w:rPr>
                <w:sz w:val="24"/>
              </w:rPr>
              <w:t>年</w:t>
            </w:r>
            <w:r>
              <w:rPr>
                <w:sz w:val="24"/>
              </w:rPr>
              <w:t>10</w:t>
            </w:r>
            <w:r>
              <w:rPr>
                <w:sz w:val="24"/>
              </w:rPr>
              <w:t>月</w:t>
            </w:r>
            <w:r>
              <w:rPr>
                <w:sz w:val="24"/>
              </w:rPr>
              <w:t>11</w:t>
            </w:r>
            <w:r>
              <w:rPr>
                <w:sz w:val="24"/>
              </w:rPr>
              <w:t>日取得镇江市生态环境局批复（镇环审</w:t>
            </w:r>
            <w:r>
              <w:rPr>
                <w:sz w:val="24"/>
              </w:rPr>
              <w:t>[2024]64</w:t>
            </w:r>
            <w:r>
              <w:rPr>
                <w:sz w:val="24"/>
              </w:rPr>
              <w:t>号），目前该项目正在建设。</w:t>
            </w:r>
          </w:p>
          <w:p w14:paraId="74553E25" w14:textId="77777777" w:rsidR="00F76A63" w:rsidRDefault="00000000">
            <w:pPr>
              <w:adjustRightInd w:val="0"/>
              <w:snapToGrid w:val="0"/>
              <w:spacing w:line="500" w:lineRule="exact"/>
              <w:ind w:firstLineChars="200" w:firstLine="480"/>
              <w:rPr>
                <w:sz w:val="24"/>
              </w:rPr>
            </w:pPr>
            <w:r>
              <w:rPr>
                <w:sz w:val="24"/>
              </w:rPr>
              <w:t>本项目与码头、矿山矿区工程无依托关系，其生产运营、产排污环节与本次评价内容相互独立。码头与本项目位于同一厂区、纳入同一排污许可证管理，但不属于本次依托工程及评价范围，仅作简要评述。</w:t>
            </w:r>
          </w:p>
          <w:p w14:paraId="053E0B0E" w14:textId="77777777" w:rsidR="00F76A63" w:rsidRDefault="00000000">
            <w:pPr>
              <w:adjustRightInd w:val="0"/>
              <w:snapToGrid w:val="0"/>
              <w:spacing w:line="500" w:lineRule="exact"/>
              <w:ind w:firstLineChars="200" w:firstLine="480"/>
              <w:rPr>
                <w:sz w:val="24"/>
              </w:rPr>
            </w:pPr>
            <w:r>
              <w:rPr>
                <w:sz w:val="24"/>
              </w:rPr>
              <w:t>码头工程：厂区现有</w:t>
            </w:r>
            <w:r>
              <w:rPr>
                <w:sz w:val="24"/>
              </w:rPr>
              <w:t>3</w:t>
            </w:r>
            <w:r>
              <w:rPr>
                <w:sz w:val="24"/>
              </w:rPr>
              <w:t>万吨级水泥专用码头</w:t>
            </w:r>
            <w:r>
              <w:rPr>
                <w:sz w:val="24"/>
              </w:rPr>
              <w:t>2</w:t>
            </w:r>
            <w:r>
              <w:rPr>
                <w:sz w:val="24"/>
              </w:rPr>
              <w:t>座、</w:t>
            </w:r>
            <w:r>
              <w:rPr>
                <w:sz w:val="24"/>
              </w:rPr>
              <w:t>5</w:t>
            </w:r>
            <w:r>
              <w:rPr>
                <w:sz w:val="24"/>
              </w:rPr>
              <w:t>千吨级码头</w:t>
            </w:r>
            <w:r>
              <w:rPr>
                <w:sz w:val="24"/>
              </w:rPr>
              <w:t>1</w:t>
            </w:r>
            <w:r>
              <w:rPr>
                <w:sz w:val="24"/>
              </w:rPr>
              <w:t>座，主要用于水泥成品及部分原辅料运输</w:t>
            </w:r>
            <w:r>
              <w:rPr>
                <w:rFonts w:hint="eastAsia"/>
                <w:sz w:val="24"/>
              </w:rPr>
              <w:t>。</w:t>
            </w:r>
            <w:r>
              <w:rPr>
                <w:sz w:val="24"/>
              </w:rPr>
              <w:t xml:space="preserve"> </w:t>
            </w:r>
          </w:p>
          <w:p w14:paraId="383AC412" w14:textId="77777777" w:rsidR="00F76A63" w:rsidRDefault="00000000">
            <w:pPr>
              <w:adjustRightInd w:val="0"/>
              <w:snapToGrid w:val="0"/>
              <w:spacing w:line="500" w:lineRule="exact"/>
              <w:ind w:firstLineChars="200" w:firstLine="480"/>
              <w:rPr>
                <w:sz w:val="24"/>
              </w:rPr>
            </w:pPr>
            <w:r>
              <w:rPr>
                <w:sz w:val="24"/>
              </w:rPr>
              <w:t>矿山矿区工程：矿区位于厂区外，主要为现有水泥生产线供应石灰石原料。</w:t>
            </w:r>
          </w:p>
          <w:p w14:paraId="4180B1EB" w14:textId="77777777" w:rsidR="00F76A63" w:rsidRDefault="00000000">
            <w:pPr>
              <w:adjustRightInd w:val="0"/>
              <w:snapToGrid w:val="0"/>
              <w:spacing w:line="500" w:lineRule="exact"/>
              <w:ind w:firstLineChars="200" w:firstLine="480"/>
              <w:rPr>
                <w:sz w:val="24"/>
              </w:rPr>
            </w:pPr>
            <w:r>
              <w:rPr>
                <w:sz w:val="24"/>
              </w:rPr>
              <w:lastRenderedPageBreak/>
              <w:t>企业于</w:t>
            </w:r>
            <w:r>
              <w:rPr>
                <w:sz w:val="24"/>
              </w:rPr>
              <w:t>2017</w:t>
            </w:r>
            <w:r>
              <w:rPr>
                <w:sz w:val="24"/>
              </w:rPr>
              <w:t>年</w:t>
            </w:r>
            <w:r>
              <w:rPr>
                <w:sz w:val="24"/>
              </w:rPr>
              <w:t>9</w:t>
            </w:r>
            <w:r>
              <w:rPr>
                <w:sz w:val="24"/>
              </w:rPr>
              <w:t>月</w:t>
            </w:r>
            <w:r>
              <w:rPr>
                <w:sz w:val="24"/>
              </w:rPr>
              <w:t>29</w:t>
            </w:r>
            <w:r>
              <w:rPr>
                <w:sz w:val="24"/>
              </w:rPr>
              <w:t>日首次申请排污许可证，于</w:t>
            </w:r>
            <w:r>
              <w:rPr>
                <w:sz w:val="24"/>
              </w:rPr>
              <w:t>2024</w:t>
            </w:r>
            <w:r>
              <w:rPr>
                <w:sz w:val="24"/>
              </w:rPr>
              <w:t>年</w:t>
            </w:r>
            <w:r>
              <w:rPr>
                <w:sz w:val="24"/>
              </w:rPr>
              <w:t>6</w:t>
            </w:r>
            <w:r>
              <w:rPr>
                <w:sz w:val="24"/>
              </w:rPr>
              <w:t>月</w:t>
            </w:r>
            <w:r>
              <w:rPr>
                <w:sz w:val="24"/>
              </w:rPr>
              <w:t>27</w:t>
            </w:r>
            <w:r>
              <w:rPr>
                <w:sz w:val="24"/>
              </w:rPr>
              <w:t>日变更一次。登记编号为</w:t>
            </w:r>
            <w:r>
              <w:rPr>
                <w:sz w:val="24"/>
              </w:rPr>
              <w:t>91320000608930716F001P</w:t>
            </w:r>
            <w:r>
              <w:rPr>
                <w:sz w:val="24"/>
              </w:rPr>
              <w:t>。</w:t>
            </w:r>
          </w:p>
          <w:p w14:paraId="013653E0" w14:textId="77777777" w:rsidR="00F76A63" w:rsidRDefault="00000000">
            <w:pPr>
              <w:adjustRightInd w:val="0"/>
              <w:snapToGrid w:val="0"/>
              <w:spacing w:line="500" w:lineRule="exact"/>
              <w:ind w:firstLineChars="200" w:firstLine="480"/>
              <w:rPr>
                <w:b/>
                <w:bCs/>
                <w:sz w:val="24"/>
              </w:rPr>
            </w:pPr>
            <w:r>
              <w:rPr>
                <w:sz w:val="24"/>
              </w:rPr>
              <w:t>句容台泥现有项目环评批复及建设情况见表</w:t>
            </w:r>
            <w:r>
              <w:rPr>
                <w:sz w:val="24"/>
              </w:rPr>
              <w:t>2-3</w:t>
            </w:r>
            <w:r>
              <w:rPr>
                <w:rFonts w:hint="eastAsia"/>
                <w:sz w:val="24"/>
              </w:rPr>
              <w:t>8</w:t>
            </w:r>
            <w:r>
              <w:rPr>
                <w:sz w:val="24"/>
              </w:rPr>
              <w:t>。现有项目主体工程及产品方案见表</w:t>
            </w:r>
            <w:r>
              <w:rPr>
                <w:sz w:val="24"/>
              </w:rPr>
              <w:t>2-</w:t>
            </w:r>
            <w:r>
              <w:rPr>
                <w:rFonts w:hint="eastAsia"/>
                <w:sz w:val="24"/>
              </w:rPr>
              <w:t>39</w:t>
            </w:r>
            <w:r>
              <w:rPr>
                <w:sz w:val="24"/>
              </w:rPr>
              <w:t>。</w:t>
            </w:r>
          </w:p>
          <w:p w14:paraId="1C3C6123" w14:textId="77777777" w:rsidR="00F76A63" w:rsidRDefault="00000000">
            <w:pPr>
              <w:adjustRightInd w:val="0"/>
              <w:snapToGrid w:val="0"/>
              <w:spacing w:line="500" w:lineRule="exact"/>
              <w:ind w:firstLineChars="200" w:firstLine="482"/>
              <w:jc w:val="center"/>
              <w:rPr>
                <w:b/>
                <w:bCs/>
                <w:sz w:val="24"/>
              </w:rPr>
            </w:pPr>
            <w:bookmarkStart w:id="90" w:name="OLE_LINK59"/>
            <w:r>
              <w:rPr>
                <w:b/>
                <w:bCs/>
                <w:sz w:val="24"/>
              </w:rPr>
              <w:t>表</w:t>
            </w:r>
            <w:r>
              <w:rPr>
                <w:b/>
                <w:bCs/>
                <w:sz w:val="24"/>
              </w:rPr>
              <w:t>2-3</w:t>
            </w:r>
            <w:r>
              <w:rPr>
                <w:rFonts w:hint="eastAsia"/>
                <w:b/>
                <w:bCs/>
                <w:sz w:val="24"/>
              </w:rPr>
              <w:t>8</w:t>
            </w:r>
            <w:r>
              <w:rPr>
                <w:b/>
                <w:bCs/>
                <w:sz w:val="24"/>
              </w:rPr>
              <w:t xml:space="preserve">  </w:t>
            </w:r>
            <w:r>
              <w:rPr>
                <w:b/>
                <w:bCs/>
                <w:sz w:val="24"/>
              </w:rPr>
              <w:t>现有项目批复及建设情况</w:t>
            </w:r>
          </w:p>
          <w:tbl>
            <w:tblPr>
              <w:tblW w:w="5000" w:type="pct"/>
              <w:jc w:val="center"/>
              <w:tblBorders>
                <w:top w:val="single" w:sz="12" w:space="0" w:color="auto"/>
                <w:bottom w:val="single" w:sz="12"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873"/>
              <w:gridCol w:w="2548"/>
              <w:gridCol w:w="2126"/>
              <w:gridCol w:w="1982"/>
              <w:gridCol w:w="648"/>
            </w:tblGrid>
            <w:tr w:rsidR="00F76A63" w14:paraId="3CD0557D" w14:textId="77777777">
              <w:trPr>
                <w:trHeight w:val="70"/>
                <w:tblHeader/>
                <w:jc w:val="center"/>
              </w:trPr>
              <w:tc>
                <w:tcPr>
                  <w:tcW w:w="534" w:type="pct"/>
                  <w:vAlign w:val="center"/>
                </w:tcPr>
                <w:p w14:paraId="53674E5C" w14:textId="77777777" w:rsidR="00F76A63" w:rsidRDefault="00000000">
                  <w:pPr>
                    <w:widowControl/>
                    <w:adjustRightInd w:val="0"/>
                    <w:snapToGrid w:val="0"/>
                    <w:jc w:val="center"/>
                    <w:rPr>
                      <w:b/>
                      <w:kern w:val="0"/>
                      <w:szCs w:val="21"/>
                    </w:rPr>
                  </w:pPr>
                  <w:r>
                    <w:rPr>
                      <w:b/>
                      <w:kern w:val="0"/>
                      <w:szCs w:val="21"/>
                    </w:rPr>
                    <w:t>序号</w:t>
                  </w:r>
                </w:p>
              </w:tc>
              <w:tc>
                <w:tcPr>
                  <w:tcW w:w="1558" w:type="pct"/>
                  <w:vAlign w:val="center"/>
                </w:tcPr>
                <w:p w14:paraId="3D36122D" w14:textId="77777777" w:rsidR="00F76A63" w:rsidRDefault="00000000">
                  <w:pPr>
                    <w:adjustRightInd w:val="0"/>
                    <w:snapToGrid w:val="0"/>
                    <w:jc w:val="center"/>
                    <w:rPr>
                      <w:b/>
                      <w:kern w:val="0"/>
                      <w:szCs w:val="21"/>
                    </w:rPr>
                  </w:pPr>
                  <w:r>
                    <w:rPr>
                      <w:b/>
                      <w:kern w:val="0"/>
                      <w:szCs w:val="21"/>
                    </w:rPr>
                    <w:t>项目名称</w:t>
                  </w:r>
                </w:p>
              </w:tc>
              <w:tc>
                <w:tcPr>
                  <w:tcW w:w="1300" w:type="pct"/>
                  <w:vAlign w:val="center"/>
                </w:tcPr>
                <w:p w14:paraId="5E6415F9" w14:textId="77777777" w:rsidR="00F76A63" w:rsidRDefault="00000000">
                  <w:pPr>
                    <w:widowControl/>
                    <w:adjustRightInd w:val="0"/>
                    <w:snapToGrid w:val="0"/>
                    <w:jc w:val="center"/>
                    <w:rPr>
                      <w:b/>
                      <w:kern w:val="0"/>
                      <w:szCs w:val="21"/>
                    </w:rPr>
                  </w:pPr>
                  <w:r>
                    <w:rPr>
                      <w:b/>
                      <w:kern w:val="0"/>
                      <w:szCs w:val="21"/>
                    </w:rPr>
                    <w:t>环评批复文号</w:t>
                  </w:r>
                </w:p>
              </w:tc>
              <w:tc>
                <w:tcPr>
                  <w:tcW w:w="1212" w:type="pct"/>
                  <w:vAlign w:val="center"/>
                </w:tcPr>
                <w:p w14:paraId="40ABD231" w14:textId="77777777" w:rsidR="00F76A63" w:rsidRDefault="00000000">
                  <w:pPr>
                    <w:widowControl/>
                    <w:adjustRightInd w:val="0"/>
                    <w:snapToGrid w:val="0"/>
                    <w:jc w:val="center"/>
                    <w:rPr>
                      <w:b/>
                      <w:kern w:val="0"/>
                      <w:szCs w:val="21"/>
                    </w:rPr>
                  </w:pPr>
                  <w:r>
                    <w:rPr>
                      <w:b/>
                      <w:kern w:val="0"/>
                      <w:szCs w:val="21"/>
                    </w:rPr>
                    <w:t>验收批复文号</w:t>
                  </w:r>
                </w:p>
              </w:tc>
              <w:tc>
                <w:tcPr>
                  <w:tcW w:w="396" w:type="pct"/>
                  <w:vAlign w:val="center"/>
                </w:tcPr>
                <w:p w14:paraId="1AAB6863" w14:textId="77777777" w:rsidR="00F76A63" w:rsidRDefault="00000000">
                  <w:pPr>
                    <w:widowControl/>
                    <w:adjustRightInd w:val="0"/>
                    <w:snapToGrid w:val="0"/>
                    <w:jc w:val="center"/>
                    <w:rPr>
                      <w:b/>
                      <w:kern w:val="0"/>
                      <w:szCs w:val="21"/>
                    </w:rPr>
                  </w:pPr>
                  <w:r>
                    <w:rPr>
                      <w:b/>
                      <w:kern w:val="0"/>
                      <w:szCs w:val="21"/>
                    </w:rPr>
                    <w:t>建设情况</w:t>
                  </w:r>
                </w:p>
              </w:tc>
            </w:tr>
            <w:tr w:rsidR="00F76A63" w14:paraId="306C549F" w14:textId="77777777">
              <w:trPr>
                <w:trHeight w:val="70"/>
                <w:jc w:val="center"/>
              </w:trPr>
              <w:tc>
                <w:tcPr>
                  <w:tcW w:w="534" w:type="pct"/>
                  <w:vMerge w:val="restart"/>
                  <w:vAlign w:val="center"/>
                </w:tcPr>
                <w:p w14:paraId="1F6C66BE" w14:textId="77777777" w:rsidR="00F76A63" w:rsidRDefault="00000000">
                  <w:pPr>
                    <w:widowControl/>
                    <w:adjustRightInd w:val="0"/>
                    <w:snapToGrid w:val="0"/>
                    <w:jc w:val="center"/>
                    <w:rPr>
                      <w:kern w:val="0"/>
                      <w:szCs w:val="21"/>
                    </w:rPr>
                  </w:pPr>
                  <w:r>
                    <w:rPr>
                      <w:kern w:val="0"/>
                      <w:szCs w:val="21"/>
                    </w:rPr>
                    <w:t>一期</w:t>
                  </w:r>
                  <w:r>
                    <w:rPr>
                      <w:kern w:val="0"/>
                      <w:szCs w:val="21"/>
                    </w:rPr>
                    <w:t>1#</w:t>
                  </w:r>
                  <w:r>
                    <w:rPr>
                      <w:kern w:val="0"/>
                      <w:szCs w:val="21"/>
                    </w:rPr>
                    <w:t>熟料生产线</w:t>
                  </w:r>
                </w:p>
              </w:tc>
              <w:tc>
                <w:tcPr>
                  <w:tcW w:w="1558" w:type="pct"/>
                  <w:vAlign w:val="center"/>
                </w:tcPr>
                <w:p w14:paraId="1CAE41B2" w14:textId="77777777" w:rsidR="00F76A63" w:rsidRDefault="00000000">
                  <w:pPr>
                    <w:widowControl/>
                    <w:adjustRightInd w:val="0"/>
                    <w:snapToGrid w:val="0"/>
                    <w:jc w:val="center"/>
                    <w:rPr>
                      <w:kern w:val="0"/>
                      <w:szCs w:val="21"/>
                    </w:rPr>
                  </w:pPr>
                  <w:r>
                    <w:rPr>
                      <w:kern w:val="0"/>
                      <w:szCs w:val="21"/>
                    </w:rPr>
                    <w:t>香港京阳实业有限公司年产</w:t>
                  </w:r>
                  <w:r>
                    <w:rPr>
                      <w:kern w:val="0"/>
                      <w:szCs w:val="21"/>
                    </w:rPr>
                    <w:t>150</w:t>
                  </w:r>
                  <w:r>
                    <w:rPr>
                      <w:kern w:val="0"/>
                      <w:szCs w:val="21"/>
                    </w:rPr>
                    <w:t>万吨水泥工程</w:t>
                  </w:r>
                </w:p>
              </w:tc>
              <w:tc>
                <w:tcPr>
                  <w:tcW w:w="1300" w:type="pct"/>
                  <w:vAlign w:val="center"/>
                </w:tcPr>
                <w:p w14:paraId="641B05C1" w14:textId="77777777" w:rsidR="00F76A63" w:rsidRDefault="00000000">
                  <w:pPr>
                    <w:jc w:val="center"/>
                    <w:rPr>
                      <w:bCs/>
                      <w:kern w:val="0"/>
                      <w:szCs w:val="21"/>
                    </w:rPr>
                  </w:pPr>
                  <w:r>
                    <w:rPr>
                      <w:bCs/>
                      <w:kern w:val="0"/>
                      <w:szCs w:val="21"/>
                    </w:rPr>
                    <w:t>环监</w:t>
                  </w:r>
                  <w:r>
                    <w:rPr>
                      <w:bCs/>
                      <w:kern w:val="0"/>
                      <w:szCs w:val="21"/>
                    </w:rPr>
                    <w:t>[1993]094</w:t>
                  </w:r>
                  <w:r>
                    <w:rPr>
                      <w:bCs/>
                      <w:kern w:val="0"/>
                      <w:szCs w:val="21"/>
                    </w:rPr>
                    <w:t>号</w:t>
                  </w:r>
                </w:p>
              </w:tc>
              <w:tc>
                <w:tcPr>
                  <w:tcW w:w="1212" w:type="pct"/>
                  <w:vAlign w:val="center"/>
                </w:tcPr>
                <w:p w14:paraId="7BB8B0E0" w14:textId="77777777" w:rsidR="00F76A63" w:rsidRDefault="00000000">
                  <w:pPr>
                    <w:widowControl/>
                    <w:adjustRightInd w:val="0"/>
                    <w:snapToGrid w:val="0"/>
                    <w:jc w:val="center"/>
                    <w:rPr>
                      <w:bCs/>
                      <w:kern w:val="0"/>
                      <w:szCs w:val="21"/>
                    </w:rPr>
                  </w:pPr>
                  <w:r>
                    <w:rPr>
                      <w:bCs/>
                      <w:kern w:val="0"/>
                      <w:szCs w:val="21"/>
                    </w:rPr>
                    <w:t>环监验</w:t>
                  </w:r>
                  <w:r>
                    <w:rPr>
                      <w:bCs/>
                      <w:kern w:val="0"/>
                      <w:szCs w:val="21"/>
                    </w:rPr>
                    <w:t>[2000]5</w:t>
                  </w:r>
                  <w:r>
                    <w:rPr>
                      <w:bCs/>
                      <w:kern w:val="0"/>
                      <w:szCs w:val="21"/>
                    </w:rPr>
                    <w:t>号</w:t>
                  </w:r>
                </w:p>
              </w:tc>
              <w:tc>
                <w:tcPr>
                  <w:tcW w:w="396" w:type="pct"/>
                  <w:vAlign w:val="center"/>
                </w:tcPr>
                <w:p w14:paraId="77667390" w14:textId="77777777" w:rsidR="00F76A63" w:rsidRDefault="00000000">
                  <w:pPr>
                    <w:widowControl/>
                    <w:adjustRightInd w:val="0"/>
                    <w:snapToGrid w:val="0"/>
                    <w:jc w:val="center"/>
                    <w:rPr>
                      <w:bCs/>
                      <w:kern w:val="0"/>
                      <w:szCs w:val="21"/>
                    </w:rPr>
                  </w:pPr>
                  <w:r>
                    <w:rPr>
                      <w:bCs/>
                      <w:kern w:val="0"/>
                      <w:szCs w:val="21"/>
                    </w:rPr>
                    <w:t>正常运行</w:t>
                  </w:r>
                </w:p>
              </w:tc>
            </w:tr>
            <w:tr w:rsidR="00F76A63" w14:paraId="39486CE9" w14:textId="77777777">
              <w:trPr>
                <w:trHeight w:val="70"/>
                <w:jc w:val="center"/>
              </w:trPr>
              <w:tc>
                <w:tcPr>
                  <w:tcW w:w="534" w:type="pct"/>
                  <w:vMerge/>
                  <w:vAlign w:val="center"/>
                </w:tcPr>
                <w:p w14:paraId="46F73499" w14:textId="77777777" w:rsidR="00F76A63" w:rsidRDefault="00F76A63">
                  <w:pPr>
                    <w:widowControl/>
                    <w:adjustRightInd w:val="0"/>
                    <w:snapToGrid w:val="0"/>
                    <w:jc w:val="center"/>
                    <w:rPr>
                      <w:kern w:val="0"/>
                      <w:szCs w:val="21"/>
                    </w:rPr>
                  </w:pPr>
                </w:p>
              </w:tc>
              <w:tc>
                <w:tcPr>
                  <w:tcW w:w="1558" w:type="pct"/>
                  <w:vAlign w:val="center"/>
                </w:tcPr>
                <w:p w14:paraId="14A9AD72" w14:textId="77777777" w:rsidR="00F76A63" w:rsidRDefault="00000000">
                  <w:pPr>
                    <w:widowControl/>
                    <w:adjustRightInd w:val="0"/>
                    <w:snapToGrid w:val="0"/>
                    <w:jc w:val="center"/>
                    <w:rPr>
                      <w:szCs w:val="21"/>
                    </w:rPr>
                  </w:pPr>
                  <w:r>
                    <w:rPr>
                      <w:szCs w:val="21"/>
                    </w:rPr>
                    <w:t>嘉新京阳水泥有限公司水泥磨技术改造项目</w:t>
                  </w:r>
                </w:p>
              </w:tc>
              <w:tc>
                <w:tcPr>
                  <w:tcW w:w="1300" w:type="pct"/>
                  <w:vAlign w:val="center"/>
                </w:tcPr>
                <w:p w14:paraId="4C6FBC6A" w14:textId="77777777" w:rsidR="00F76A63" w:rsidRDefault="00000000">
                  <w:pPr>
                    <w:jc w:val="center"/>
                    <w:rPr>
                      <w:szCs w:val="21"/>
                    </w:rPr>
                  </w:pPr>
                  <w:r>
                    <w:rPr>
                      <w:szCs w:val="21"/>
                    </w:rPr>
                    <w:t>镇环管</w:t>
                  </w:r>
                  <w:r>
                    <w:rPr>
                      <w:szCs w:val="21"/>
                    </w:rPr>
                    <w:t>[2005]6</w:t>
                  </w:r>
                  <w:r>
                    <w:rPr>
                      <w:szCs w:val="21"/>
                    </w:rPr>
                    <w:t>号</w:t>
                  </w:r>
                </w:p>
              </w:tc>
              <w:tc>
                <w:tcPr>
                  <w:tcW w:w="1212" w:type="pct"/>
                  <w:vAlign w:val="center"/>
                </w:tcPr>
                <w:p w14:paraId="759C0BB7" w14:textId="77777777" w:rsidR="00F76A63" w:rsidRDefault="00000000">
                  <w:pPr>
                    <w:widowControl/>
                    <w:adjustRightInd w:val="0"/>
                    <w:snapToGrid w:val="0"/>
                    <w:jc w:val="center"/>
                    <w:rPr>
                      <w:szCs w:val="21"/>
                    </w:rPr>
                  </w:pPr>
                  <w:r>
                    <w:rPr>
                      <w:szCs w:val="21"/>
                    </w:rPr>
                    <w:t>2008</w:t>
                  </w:r>
                  <w:r>
                    <w:rPr>
                      <w:szCs w:val="21"/>
                    </w:rPr>
                    <w:t>年</w:t>
                  </w:r>
                  <w:r>
                    <w:rPr>
                      <w:szCs w:val="21"/>
                    </w:rPr>
                    <w:t>9</w:t>
                  </w:r>
                  <w:r>
                    <w:rPr>
                      <w:szCs w:val="21"/>
                    </w:rPr>
                    <w:t>月</w:t>
                  </w:r>
                  <w:r>
                    <w:rPr>
                      <w:szCs w:val="21"/>
                    </w:rPr>
                    <w:t>5</w:t>
                  </w:r>
                  <w:r>
                    <w:rPr>
                      <w:szCs w:val="21"/>
                    </w:rPr>
                    <w:t>日句容市环保局出具验收意见</w:t>
                  </w:r>
                </w:p>
              </w:tc>
              <w:tc>
                <w:tcPr>
                  <w:tcW w:w="396" w:type="pct"/>
                  <w:vAlign w:val="center"/>
                </w:tcPr>
                <w:p w14:paraId="7E7A6A2E" w14:textId="77777777" w:rsidR="00F76A63" w:rsidRDefault="00000000">
                  <w:pPr>
                    <w:widowControl/>
                    <w:adjustRightInd w:val="0"/>
                    <w:snapToGrid w:val="0"/>
                    <w:jc w:val="center"/>
                    <w:rPr>
                      <w:szCs w:val="21"/>
                    </w:rPr>
                  </w:pPr>
                  <w:r>
                    <w:rPr>
                      <w:bCs/>
                      <w:kern w:val="0"/>
                      <w:szCs w:val="21"/>
                    </w:rPr>
                    <w:t>正常运行</w:t>
                  </w:r>
                </w:p>
              </w:tc>
            </w:tr>
            <w:tr w:rsidR="00F76A63" w14:paraId="45F7845C" w14:textId="77777777">
              <w:trPr>
                <w:trHeight w:val="70"/>
                <w:jc w:val="center"/>
              </w:trPr>
              <w:tc>
                <w:tcPr>
                  <w:tcW w:w="534" w:type="pct"/>
                  <w:vMerge/>
                  <w:vAlign w:val="center"/>
                </w:tcPr>
                <w:p w14:paraId="2A86E669" w14:textId="77777777" w:rsidR="00F76A63" w:rsidRDefault="00F76A63">
                  <w:pPr>
                    <w:widowControl/>
                    <w:adjustRightInd w:val="0"/>
                    <w:snapToGrid w:val="0"/>
                    <w:jc w:val="center"/>
                    <w:rPr>
                      <w:kern w:val="0"/>
                      <w:szCs w:val="21"/>
                    </w:rPr>
                  </w:pPr>
                </w:p>
              </w:tc>
              <w:tc>
                <w:tcPr>
                  <w:tcW w:w="1558" w:type="pct"/>
                  <w:vAlign w:val="center"/>
                </w:tcPr>
                <w:p w14:paraId="144213BA" w14:textId="77777777" w:rsidR="00F76A63" w:rsidRDefault="00000000">
                  <w:pPr>
                    <w:widowControl/>
                    <w:adjustRightInd w:val="0"/>
                    <w:snapToGrid w:val="0"/>
                    <w:jc w:val="center"/>
                    <w:rPr>
                      <w:szCs w:val="21"/>
                    </w:rPr>
                  </w:pPr>
                  <w:r>
                    <w:rPr>
                      <w:szCs w:val="21"/>
                    </w:rPr>
                    <w:t>句容台泥水泥有限公司一线窑头、窑尾电收尘改造成袋式收尘项目</w:t>
                  </w:r>
                </w:p>
              </w:tc>
              <w:tc>
                <w:tcPr>
                  <w:tcW w:w="1300" w:type="pct"/>
                  <w:vAlign w:val="center"/>
                </w:tcPr>
                <w:p w14:paraId="45FB8848" w14:textId="77777777" w:rsidR="00F76A63" w:rsidRDefault="00000000">
                  <w:pPr>
                    <w:jc w:val="center"/>
                    <w:rPr>
                      <w:szCs w:val="21"/>
                    </w:rPr>
                  </w:pPr>
                  <w:r>
                    <w:t>句环审</w:t>
                  </w:r>
                  <w:r>
                    <w:t>[2015]38</w:t>
                  </w:r>
                  <w:r>
                    <w:t>号</w:t>
                  </w:r>
                </w:p>
              </w:tc>
              <w:tc>
                <w:tcPr>
                  <w:tcW w:w="1212" w:type="pct"/>
                  <w:vAlign w:val="center"/>
                </w:tcPr>
                <w:p w14:paraId="5DA81775" w14:textId="77777777" w:rsidR="00F76A63" w:rsidRDefault="00000000">
                  <w:pPr>
                    <w:widowControl/>
                    <w:adjustRightInd w:val="0"/>
                    <w:snapToGrid w:val="0"/>
                    <w:jc w:val="center"/>
                    <w:rPr>
                      <w:szCs w:val="21"/>
                    </w:rPr>
                  </w:pPr>
                  <w:r>
                    <w:t>句环字</w:t>
                  </w:r>
                  <w:r>
                    <w:t>[2015]162</w:t>
                  </w:r>
                  <w:r>
                    <w:t>号</w:t>
                  </w:r>
                </w:p>
              </w:tc>
              <w:tc>
                <w:tcPr>
                  <w:tcW w:w="396" w:type="pct"/>
                  <w:vAlign w:val="center"/>
                </w:tcPr>
                <w:p w14:paraId="1498D386" w14:textId="77777777" w:rsidR="00F76A63" w:rsidRDefault="00000000">
                  <w:pPr>
                    <w:widowControl/>
                    <w:adjustRightInd w:val="0"/>
                    <w:snapToGrid w:val="0"/>
                    <w:jc w:val="center"/>
                    <w:rPr>
                      <w:szCs w:val="21"/>
                    </w:rPr>
                  </w:pPr>
                  <w:r>
                    <w:rPr>
                      <w:bCs/>
                      <w:kern w:val="0"/>
                      <w:szCs w:val="21"/>
                    </w:rPr>
                    <w:t>正常运行</w:t>
                  </w:r>
                </w:p>
              </w:tc>
            </w:tr>
            <w:tr w:rsidR="00F76A63" w14:paraId="68DDCCEC" w14:textId="77777777">
              <w:trPr>
                <w:trHeight w:val="70"/>
                <w:jc w:val="center"/>
              </w:trPr>
              <w:tc>
                <w:tcPr>
                  <w:tcW w:w="534" w:type="pct"/>
                  <w:vMerge w:val="restart"/>
                  <w:vAlign w:val="center"/>
                </w:tcPr>
                <w:p w14:paraId="439D9E9B" w14:textId="77777777" w:rsidR="00F76A63" w:rsidRDefault="00000000">
                  <w:pPr>
                    <w:widowControl/>
                    <w:adjustRightInd w:val="0"/>
                    <w:snapToGrid w:val="0"/>
                    <w:jc w:val="center"/>
                    <w:rPr>
                      <w:kern w:val="0"/>
                      <w:szCs w:val="21"/>
                    </w:rPr>
                  </w:pPr>
                  <w:r>
                    <w:rPr>
                      <w:kern w:val="0"/>
                      <w:szCs w:val="21"/>
                    </w:rPr>
                    <w:t>二期</w:t>
                  </w:r>
                  <w:r>
                    <w:rPr>
                      <w:kern w:val="0"/>
                      <w:szCs w:val="21"/>
                    </w:rPr>
                    <w:t>2#</w:t>
                  </w:r>
                  <w:r>
                    <w:rPr>
                      <w:kern w:val="0"/>
                      <w:szCs w:val="21"/>
                    </w:rPr>
                    <w:t>熟料生产线</w:t>
                  </w:r>
                </w:p>
              </w:tc>
              <w:tc>
                <w:tcPr>
                  <w:tcW w:w="1558" w:type="pct"/>
                  <w:vAlign w:val="center"/>
                </w:tcPr>
                <w:p w14:paraId="10DA6A57" w14:textId="77777777" w:rsidR="00F76A63" w:rsidRDefault="00000000">
                  <w:pPr>
                    <w:widowControl/>
                    <w:adjustRightInd w:val="0"/>
                    <w:snapToGrid w:val="0"/>
                    <w:jc w:val="center"/>
                    <w:rPr>
                      <w:szCs w:val="21"/>
                    </w:rPr>
                  </w:pPr>
                  <w:r>
                    <w:rPr>
                      <w:szCs w:val="21"/>
                    </w:rPr>
                    <w:t>句容台泥水泥有限公司二期</w:t>
                  </w:r>
                  <w:r>
                    <w:rPr>
                      <w:szCs w:val="21"/>
                    </w:rPr>
                    <w:t>6000t/d</w:t>
                  </w:r>
                  <w:r>
                    <w:rPr>
                      <w:szCs w:val="21"/>
                    </w:rPr>
                    <w:t>熟料新型干法水泥生产线项目</w:t>
                  </w:r>
                </w:p>
              </w:tc>
              <w:tc>
                <w:tcPr>
                  <w:tcW w:w="1300" w:type="pct"/>
                  <w:vAlign w:val="center"/>
                </w:tcPr>
                <w:p w14:paraId="262E50C4" w14:textId="77777777" w:rsidR="00F76A63" w:rsidRDefault="00000000">
                  <w:pPr>
                    <w:jc w:val="center"/>
                    <w:rPr>
                      <w:szCs w:val="21"/>
                    </w:rPr>
                  </w:pPr>
                  <w:r>
                    <w:t>苏环审</w:t>
                  </w:r>
                  <w:r>
                    <w:t>[2009]149</w:t>
                  </w:r>
                  <w:r>
                    <w:t>号</w:t>
                  </w:r>
                </w:p>
              </w:tc>
              <w:tc>
                <w:tcPr>
                  <w:tcW w:w="1212" w:type="pct"/>
                  <w:vAlign w:val="center"/>
                </w:tcPr>
                <w:p w14:paraId="59DD3BC7" w14:textId="77777777" w:rsidR="00F76A63" w:rsidRDefault="00000000">
                  <w:pPr>
                    <w:adjustRightInd w:val="0"/>
                    <w:snapToGrid w:val="0"/>
                    <w:jc w:val="center"/>
                  </w:pPr>
                  <w:r>
                    <w:t>二期第一阶段：苏环验</w:t>
                  </w:r>
                  <w:r>
                    <w:t>[2011]18</w:t>
                  </w:r>
                  <w:r>
                    <w:t>号</w:t>
                  </w:r>
                </w:p>
                <w:p w14:paraId="174B3390" w14:textId="77777777" w:rsidR="00F76A63" w:rsidRDefault="00000000">
                  <w:pPr>
                    <w:widowControl/>
                    <w:adjustRightInd w:val="0"/>
                    <w:snapToGrid w:val="0"/>
                    <w:jc w:val="center"/>
                    <w:rPr>
                      <w:szCs w:val="21"/>
                    </w:rPr>
                  </w:pPr>
                  <w:r>
                    <w:t>二期第二阶段：镇环验</w:t>
                  </w:r>
                  <w:r>
                    <w:t>[2017]3</w:t>
                  </w:r>
                  <w:r>
                    <w:t>号</w:t>
                  </w:r>
                </w:p>
              </w:tc>
              <w:tc>
                <w:tcPr>
                  <w:tcW w:w="396" w:type="pct"/>
                  <w:vAlign w:val="center"/>
                </w:tcPr>
                <w:p w14:paraId="3B05CEDD" w14:textId="77777777" w:rsidR="00F76A63" w:rsidRDefault="00000000">
                  <w:pPr>
                    <w:widowControl/>
                    <w:adjustRightInd w:val="0"/>
                    <w:snapToGrid w:val="0"/>
                    <w:jc w:val="center"/>
                    <w:rPr>
                      <w:szCs w:val="21"/>
                    </w:rPr>
                  </w:pPr>
                  <w:r>
                    <w:rPr>
                      <w:bCs/>
                      <w:kern w:val="0"/>
                      <w:szCs w:val="21"/>
                    </w:rPr>
                    <w:t>正常运行</w:t>
                  </w:r>
                </w:p>
              </w:tc>
            </w:tr>
            <w:tr w:rsidR="00F76A63" w14:paraId="064A26E7" w14:textId="77777777">
              <w:trPr>
                <w:trHeight w:val="70"/>
                <w:jc w:val="center"/>
              </w:trPr>
              <w:tc>
                <w:tcPr>
                  <w:tcW w:w="534" w:type="pct"/>
                  <w:vMerge/>
                  <w:vAlign w:val="center"/>
                </w:tcPr>
                <w:p w14:paraId="200B755E" w14:textId="77777777" w:rsidR="00F76A63" w:rsidRDefault="00F76A63">
                  <w:pPr>
                    <w:adjustRightInd w:val="0"/>
                    <w:snapToGrid w:val="0"/>
                    <w:jc w:val="center"/>
                    <w:rPr>
                      <w:kern w:val="0"/>
                      <w:szCs w:val="21"/>
                    </w:rPr>
                  </w:pPr>
                </w:p>
              </w:tc>
              <w:tc>
                <w:tcPr>
                  <w:tcW w:w="1558" w:type="pct"/>
                  <w:vAlign w:val="center"/>
                </w:tcPr>
                <w:p w14:paraId="72A265BF" w14:textId="77777777" w:rsidR="00F76A63" w:rsidRDefault="00000000">
                  <w:pPr>
                    <w:widowControl/>
                    <w:adjustRightInd w:val="0"/>
                    <w:snapToGrid w:val="0"/>
                    <w:jc w:val="center"/>
                    <w:rPr>
                      <w:szCs w:val="21"/>
                    </w:rPr>
                  </w:pPr>
                  <w:r>
                    <w:rPr>
                      <w:szCs w:val="21"/>
                    </w:rPr>
                    <w:t>句容台泥水泥有限公司二期</w:t>
                  </w:r>
                  <w:r>
                    <w:rPr>
                      <w:szCs w:val="21"/>
                    </w:rPr>
                    <w:t>6000t/d</w:t>
                  </w:r>
                  <w:r>
                    <w:rPr>
                      <w:szCs w:val="21"/>
                    </w:rPr>
                    <w:t>熟料新型干法水泥生产线电除尘系统技改项目（二线窑头、窑尾电收尘改造成袋式收尘项目）</w:t>
                  </w:r>
                </w:p>
              </w:tc>
              <w:tc>
                <w:tcPr>
                  <w:tcW w:w="1300" w:type="pct"/>
                  <w:vAlign w:val="center"/>
                </w:tcPr>
                <w:p w14:paraId="5B263EFB" w14:textId="77777777" w:rsidR="00F76A63" w:rsidRDefault="00000000">
                  <w:pPr>
                    <w:jc w:val="center"/>
                    <w:rPr>
                      <w:szCs w:val="21"/>
                    </w:rPr>
                  </w:pPr>
                  <w:r>
                    <w:t>句环审</w:t>
                  </w:r>
                  <w:r>
                    <w:t>[2015]74</w:t>
                  </w:r>
                  <w:r>
                    <w:t>号</w:t>
                  </w:r>
                </w:p>
              </w:tc>
              <w:tc>
                <w:tcPr>
                  <w:tcW w:w="1212" w:type="pct"/>
                  <w:vAlign w:val="center"/>
                </w:tcPr>
                <w:p w14:paraId="654B00EB" w14:textId="77777777" w:rsidR="00F76A63" w:rsidRDefault="00000000">
                  <w:pPr>
                    <w:widowControl/>
                    <w:adjustRightInd w:val="0"/>
                    <w:snapToGrid w:val="0"/>
                    <w:jc w:val="center"/>
                    <w:rPr>
                      <w:szCs w:val="21"/>
                    </w:rPr>
                  </w:pPr>
                  <w:r>
                    <w:t>句环字</w:t>
                  </w:r>
                  <w:r>
                    <w:t>[2015]227</w:t>
                  </w:r>
                  <w:r>
                    <w:t>号</w:t>
                  </w:r>
                </w:p>
              </w:tc>
              <w:tc>
                <w:tcPr>
                  <w:tcW w:w="396" w:type="pct"/>
                  <w:vAlign w:val="center"/>
                </w:tcPr>
                <w:p w14:paraId="096F1A21" w14:textId="77777777" w:rsidR="00F76A63" w:rsidRDefault="00000000">
                  <w:pPr>
                    <w:widowControl/>
                    <w:adjustRightInd w:val="0"/>
                    <w:snapToGrid w:val="0"/>
                    <w:jc w:val="center"/>
                    <w:rPr>
                      <w:szCs w:val="21"/>
                    </w:rPr>
                  </w:pPr>
                  <w:r>
                    <w:rPr>
                      <w:bCs/>
                      <w:kern w:val="0"/>
                      <w:szCs w:val="21"/>
                    </w:rPr>
                    <w:t>正常运行</w:t>
                  </w:r>
                </w:p>
              </w:tc>
            </w:tr>
            <w:tr w:rsidR="00F76A63" w14:paraId="0BA5A2B0" w14:textId="77777777">
              <w:trPr>
                <w:trHeight w:val="70"/>
                <w:jc w:val="center"/>
              </w:trPr>
              <w:tc>
                <w:tcPr>
                  <w:tcW w:w="534" w:type="pct"/>
                  <w:vMerge/>
                  <w:vAlign w:val="center"/>
                </w:tcPr>
                <w:p w14:paraId="65C32742" w14:textId="77777777" w:rsidR="00F76A63" w:rsidRDefault="00F76A63">
                  <w:pPr>
                    <w:widowControl/>
                    <w:adjustRightInd w:val="0"/>
                    <w:snapToGrid w:val="0"/>
                    <w:jc w:val="center"/>
                    <w:rPr>
                      <w:kern w:val="0"/>
                      <w:szCs w:val="21"/>
                    </w:rPr>
                  </w:pPr>
                </w:p>
              </w:tc>
              <w:tc>
                <w:tcPr>
                  <w:tcW w:w="1558" w:type="pct"/>
                  <w:vAlign w:val="center"/>
                </w:tcPr>
                <w:p w14:paraId="0AC609CA" w14:textId="77777777" w:rsidR="00F76A63" w:rsidRDefault="00000000">
                  <w:pPr>
                    <w:widowControl/>
                    <w:adjustRightInd w:val="0"/>
                    <w:snapToGrid w:val="0"/>
                    <w:jc w:val="center"/>
                    <w:rPr>
                      <w:szCs w:val="21"/>
                    </w:rPr>
                  </w:pPr>
                  <w:r>
                    <w:rPr>
                      <w:szCs w:val="21"/>
                    </w:rPr>
                    <w:t>句容台泥水泥有限公司</w:t>
                  </w:r>
                  <w:r>
                    <w:rPr>
                      <w:szCs w:val="21"/>
                    </w:rPr>
                    <w:t>2*6000t/d</w:t>
                  </w:r>
                  <w:r>
                    <w:rPr>
                      <w:szCs w:val="21"/>
                    </w:rPr>
                    <w:t>熟料水泥生产线脱硝工程项目</w:t>
                  </w:r>
                </w:p>
              </w:tc>
              <w:tc>
                <w:tcPr>
                  <w:tcW w:w="1300" w:type="pct"/>
                  <w:vAlign w:val="center"/>
                </w:tcPr>
                <w:p w14:paraId="6A7232B1" w14:textId="77777777" w:rsidR="00F76A63" w:rsidRDefault="00000000">
                  <w:pPr>
                    <w:jc w:val="center"/>
                    <w:rPr>
                      <w:szCs w:val="21"/>
                    </w:rPr>
                  </w:pPr>
                  <w:r>
                    <w:t>句环字</w:t>
                  </w:r>
                  <w:r>
                    <w:t>[2013]48</w:t>
                  </w:r>
                  <w:r>
                    <w:t>号</w:t>
                  </w:r>
                </w:p>
              </w:tc>
              <w:tc>
                <w:tcPr>
                  <w:tcW w:w="1212" w:type="pct"/>
                  <w:vAlign w:val="center"/>
                </w:tcPr>
                <w:p w14:paraId="3A0FA5DD" w14:textId="77777777" w:rsidR="00F76A63" w:rsidRDefault="00000000">
                  <w:pPr>
                    <w:widowControl/>
                    <w:adjustRightInd w:val="0"/>
                    <w:snapToGrid w:val="0"/>
                    <w:jc w:val="center"/>
                    <w:rPr>
                      <w:szCs w:val="21"/>
                    </w:rPr>
                  </w:pPr>
                  <w:r>
                    <w:t>句环字</w:t>
                  </w:r>
                  <w:r>
                    <w:t>[2013]211</w:t>
                  </w:r>
                  <w:r>
                    <w:t>号</w:t>
                  </w:r>
                </w:p>
              </w:tc>
              <w:tc>
                <w:tcPr>
                  <w:tcW w:w="396" w:type="pct"/>
                  <w:vAlign w:val="center"/>
                </w:tcPr>
                <w:p w14:paraId="055AE8E7" w14:textId="77777777" w:rsidR="00F76A63" w:rsidRDefault="00000000">
                  <w:pPr>
                    <w:widowControl/>
                    <w:adjustRightInd w:val="0"/>
                    <w:snapToGrid w:val="0"/>
                    <w:jc w:val="center"/>
                    <w:rPr>
                      <w:szCs w:val="21"/>
                    </w:rPr>
                  </w:pPr>
                  <w:r>
                    <w:rPr>
                      <w:bCs/>
                      <w:kern w:val="0"/>
                      <w:szCs w:val="21"/>
                    </w:rPr>
                    <w:t>正常运行</w:t>
                  </w:r>
                </w:p>
              </w:tc>
            </w:tr>
            <w:tr w:rsidR="00F76A63" w14:paraId="2A737677" w14:textId="77777777">
              <w:trPr>
                <w:trHeight w:val="70"/>
                <w:jc w:val="center"/>
              </w:trPr>
              <w:tc>
                <w:tcPr>
                  <w:tcW w:w="534" w:type="pct"/>
                  <w:vMerge w:val="restart"/>
                  <w:vAlign w:val="center"/>
                </w:tcPr>
                <w:p w14:paraId="6C5EF953" w14:textId="77777777" w:rsidR="00F76A63" w:rsidRDefault="00000000">
                  <w:pPr>
                    <w:adjustRightInd w:val="0"/>
                    <w:snapToGrid w:val="0"/>
                    <w:jc w:val="center"/>
                    <w:rPr>
                      <w:kern w:val="0"/>
                      <w:szCs w:val="21"/>
                    </w:rPr>
                  </w:pPr>
                  <w:r>
                    <w:rPr>
                      <w:kern w:val="0"/>
                      <w:szCs w:val="21"/>
                    </w:rPr>
                    <w:t>其他协同处置</w:t>
                  </w:r>
                </w:p>
              </w:tc>
              <w:tc>
                <w:tcPr>
                  <w:tcW w:w="1558" w:type="pct"/>
                  <w:vAlign w:val="center"/>
                </w:tcPr>
                <w:p w14:paraId="128FD89F" w14:textId="77777777" w:rsidR="00F76A63" w:rsidRDefault="00000000">
                  <w:pPr>
                    <w:widowControl/>
                    <w:adjustRightInd w:val="0"/>
                    <w:snapToGrid w:val="0"/>
                    <w:jc w:val="center"/>
                    <w:rPr>
                      <w:szCs w:val="21"/>
                    </w:rPr>
                  </w:pPr>
                  <w:bookmarkStart w:id="91" w:name="OLE_LINK76"/>
                  <w:r>
                    <w:rPr>
                      <w:szCs w:val="21"/>
                    </w:rPr>
                    <w:t>飞灰及废旧轮胎等替代燃料固废处置项目</w:t>
                  </w:r>
                  <w:bookmarkEnd w:id="91"/>
                </w:p>
              </w:tc>
              <w:tc>
                <w:tcPr>
                  <w:tcW w:w="1300" w:type="pct"/>
                  <w:vAlign w:val="center"/>
                </w:tcPr>
                <w:p w14:paraId="3375FBCB" w14:textId="77777777" w:rsidR="00F76A63" w:rsidRDefault="00000000">
                  <w:pPr>
                    <w:jc w:val="center"/>
                    <w:rPr>
                      <w:szCs w:val="21"/>
                    </w:rPr>
                  </w:pPr>
                  <w:r>
                    <w:t>句环字</w:t>
                  </w:r>
                  <w:r>
                    <w:t>[2019]108</w:t>
                  </w:r>
                  <w:r>
                    <w:t>号</w:t>
                  </w:r>
                </w:p>
              </w:tc>
              <w:tc>
                <w:tcPr>
                  <w:tcW w:w="1212" w:type="pct"/>
                  <w:vAlign w:val="center"/>
                </w:tcPr>
                <w:p w14:paraId="50495EC8" w14:textId="77777777" w:rsidR="00F76A63" w:rsidRDefault="00000000">
                  <w:pPr>
                    <w:widowControl/>
                    <w:adjustRightInd w:val="0"/>
                    <w:snapToGrid w:val="0"/>
                    <w:jc w:val="center"/>
                    <w:rPr>
                      <w:szCs w:val="21"/>
                    </w:rPr>
                  </w:pPr>
                  <w:r>
                    <w:t>2021</w:t>
                  </w:r>
                  <w:r>
                    <w:t>年</w:t>
                  </w:r>
                  <w:r>
                    <w:t>12</w:t>
                  </w:r>
                  <w:r>
                    <w:t>月</w:t>
                  </w:r>
                  <w:r>
                    <w:t>8</w:t>
                  </w:r>
                  <w:r>
                    <w:t>日完成竣工验收</w:t>
                  </w:r>
                </w:p>
              </w:tc>
              <w:tc>
                <w:tcPr>
                  <w:tcW w:w="396" w:type="pct"/>
                  <w:vAlign w:val="center"/>
                </w:tcPr>
                <w:p w14:paraId="29C5F5CD" w14:textId="77777777" w:rsidR="00F76A63" w:rsidRDefault="00000000">
                  <w:pPr>
                    <w:widowControl/>
                    <w:adjustRightInd w:val="0"/>
                    <w:snapToGrid w:val="0"/>
                    <w:jc w:val="center"/>
                    <w:rPr>
                      <w:szCs w:val="21"/>
                    </w:rPr>
                  </w:pPr>
                  <w:r>
                    <w:rPr>
                      <w:szCs w:val="21"/>
                    </w:rPr>
                    <w:t>正常运行</w:t>
                  </w:r>
                </w:p>
              </w:tc>
            </w:tr>
            <w:tr w:rsidR="00F76A63" w14:paraId="67286F97" w14:textId="77777777">
              <w:trPr>
                <w:trHeight w:val="70"/>
                <w:jc w:val="center"/>
              </w:trPr>
              <w:tc>
                <w:tcPr>
                  <w:tcW w:w="534" w:type="pct"/>
                  <w:vMerge/>
                  <w:vAlign w:val="center"/>
                </w:tcPr>
                <w:p w14:paraId="2A948787" w14:textId="77777777" w:rsidR="00F76A63" w:rsidRDefault="00F76A63">
                  <w:pPr>
                    <w:adjustRightInd w:val="0"/>
                    <w:snapToGrid w:val="0"/>
                    <w:jc w:val="center"/>
                    <w:rPr>
                      <w:kern w:val="0"/>
                      <w:szCs w:val="21"/>
                    </w:rPr>
                  </w:pPr>
                </w:p>
              </w:tc>
              <w:tc>
                <w:tcPr>
                  <w:tcW w:w="1558" w:type="pct"/>
                  <w:vAlign w:val="center"/>
                </w:tcPr>
                <w:p w14:paraId="1F2006C9" w14:textId="77777777" w:rsidR="00F76A63" w:rsidRDefault="00000000">
                  <w:pPr>
                    <w:widowControl/>
                    <w:adjustRightInd w:val="0"/>
                    <w:snapToGrid w:val="0"/>
                    <w:jc w:val="center"/>
                    <w:rPr>
                      <w:szCs w:val="21"/>
                    </w:rPr>
                  </w:pPr>
                  <w:r>
                    <w:rPr>
                      <w:szCs w:val="21"/>
                    </w:rPr>
                    <w:t>水泥窑协同处置废轮胎项目</w:t>
                  </w:r>
                </w:p>
              </w:tc>
              <w:tc>
                <w:tcPr>
                  <w:tcW w:w="1300" w:type="pct"/>
                  <w:vAlign w:val="center"/>
                </w:tcPr>
                <w:p w14:paraId="2AB0FE19" w14:textId="77777777" w:rsidR="00F76A63" w:rsidRDefault="00000000">
                  <w:pPr>
                    <w:jc w:val="center"/>
                    <w:rPr>
                      <w:szCs w:val="21"/>
                    </w:rPr>
                  </w:pPr>
                  <w:r>
                    <w:t>镇环审</w:t>
                  </w:r>
                  <w:r>
                    <w:t>[2020]99</w:t>
                  </w:r>
                  <w:r>
                    <w:t>号</w:t>
                  </w:r>
                </w:p>
              </w:tc>
              <w:tc>
                <w:tcPr>
                  <w:tcW w:w="1212" w:type="pct"/>
                  <w:vAlign w:val="center"/>
                </w:tcPr>
                <w:p w14:paraId="6310DDF2" w14:textId="77777777" w:rsidR="00F76A63" w:rsidRDefault="00000000">
                  <w:pPr>
                    <w:widowControl/>
                    <w:adjustRightInd w:val="0"/>
                    <w:snapToGrid w:val="0"/>
                    <w:jc w:val="center"/>
                    <w:rPr>
                      <w:szCs w:val="21"/>
                    </w:rPr>
                  </w:pPr>
                  <w:r>
                    <w:t>2023</w:t>
                  </w:r>
                  <w:r>
                    <w:t>年已通过自主验收</w:t>
                  </w:r>
                </w:p>
              </w:tc>
              <w:tc>
                <w:tcPr>
                  <w:tcW w:w="396" w:type="pct"/>
                  <w:vAlign w:val="center"/>
                </w:tcPr>
                <w:p w14:paraId="191F7717" w14:textId="77777777" w:rsidR="00F76A63" w:rsidRDefault="00000000">
                  <w:pPr>
                    <w:widowControl/>
                    <w:adjustRightInd w:val="0"/>
                    <w:snapToGrid w:val="0"/>
                    <w:jc w:val="center"/>
                    <w:rPr>
                      <w:szCs w:val="21"/>
                    </w:rPr>
                  </w:pPr>
                  <w:r>
                    <w:rPr>
                      <w:szCs w:val="21"/>
                    </w:rPr>
                    <w:t>已建</w:t>
                  </w:r>
                </w:p>
              </w:tc>
            </w:tr>
            <w:tr w:rsidR="00F76A63" w14:paraId="4F126B79" w14:textId="77777777">
              <w:trPr>
                <w:trHeight w:val="70"/>
                <w:jc w:val="center"/>
              </w:trPr>
              <w:tc>
                <w:tcPr>
                  <w:tcW w:w="534" w:type="pct"/>
                  <w:vMerge/>
                  <w:vAlign w:val="center"/>
                </w:tcPr>
                <w:p w14:paraId="154DE394" w14:textId="77777777" w:rsidR="00F76A63" w:rsidRDefault="00F76A63">
                  <w:pPr>
                    <w:adjustRightInd w:val="0"/>
                    <w:snapToGrid w:val="0"/>
                    <w:jc w:val="center"/>
                    <w:rPr>
                      <w:kern w:val="0"/>
                      <w:szCs w:val="21"/>
                    </w:rPr>
                  </w:pPr>
                </w:p>
              </w:tc>
              <w:tc>
                <w:tcPr>
                  <w:tcW w:w="1558" w:type="pct"/>
                  <w:vAlign w:val="center"/>
                </w:tcPr>
                <w:p w14:paraId="68205192" w14:textId="77777777" w:rsidR="00F76A63" w:rsidRDefault="00000000">
                  <w:pPr>
                    <w:widowControl/>
                    <w:adjustRightInd w:val="0"/>
                    <w:snapToGrid w:val="0"/>
                    <w:jc w:val="center"/>
                    <w:rPr>
                      <w:szCs w:val="21"/>
                    </w:rPr>
                  </w:pPr>
                  <w:r>
                    <w:rPr>
                      <w:szCs w:val="21"/>
                    </w:rPr>
                    <w:t>水泥窑协同处置一般固废项目</w:t>
                  </w:r>
                </w:p>
              </w:tc>
              <w:tc>
                <w:tcPr>
                  <w:tcW w:w="1300" w:type="pct"/>
                  <w:vAlign w:val="center"/>
                </w:tcPr>
                <w:p w14:paraId="3AE63FB5" w14:textId="77777777" w:rsidR="00F76A63" w:rsidRDefault="00000000">
                  <w:pPr>
                    <w:jc w:val="center"/>
                    <w:rPr>
                      <w:szCs w:val="21"/>
                    </w:rPr>
                  </w:pPr>
                  <w:r>
                    <w:t>镇句环审</w:t>
                  </w:r>
                  <w:r>
                    <w:t>[2022]38</w:t>
                  </w:r>
                  <w:r>
                    <w:t>号</w:t>
                  </w:r>
                </w:p>
              </w:tc>
              <w:tc>
                <w:tcPr>
                  <w:tcW w:w="1212" w:type="pct"/>
                  <w:vAlign w:val="center"/>
                </w:tcPr>
                <w:p w14:paraId="2E26CB49" w14:textId="77777777" w:rsidR="00F76A63" w:rsidRDefault="00000000">
                  <w:pPr>
                    <w:widowControl/>
                    <w:adjustRightInd w:val="0"/>
                    <w:snapToGrid w:val="0"/>
                    <w:jc w:val="center"/>
                    <w:rPr>
                      <w:szCs w:val="21"/>
                    </w:rPr>
                  </w:pPr>
                  <w:r>
                    <w:t>/</w:t>
                  </w:r>
                </w:p>
              </w:tc>
              <w:tc>
                <w:tcPr>
                  <w:tcW w:w="396" w:type="pct"/>
                  <w:vAlign w:val="center"/>
                </w:tcPr>
                <w:p w14:paraId="215182C4" w14:textId="77777777" w:rsidR="00F76A63" w:rsidRDefault="00000000">
                  <w:pPr>
                    <w:widowControl/>
                    <w:adjustRightInd w:val="0"/>
                    <w:snapToGrid w:val="0"/>
                    <w:jc w:val="center"/>
                    <w:rPr>
                      <w:szCs w:val="21"/>
                    </w:rPr>
                  </w:pPr>
                  <w:r>
                    <w:t>在建</w:t>
                  </w:r>
                </w:p>
              </w:tc>
            </w:tr>
            <w:tr w:rsidR="00F76A63" w14:paraId="5BA064CB" w14:textId="77777777">
              <w:trPr>
                <w:trHeight w:val="70"/>
                <w:jc w:val="center"/>
              </w:trPr>
              <w:tc>
                <w:tcPr>
                  <w:tcW w:w="534" w:type="pct"/>
                  <w:vMerge/>
                  <w:vAlign w:val="center"/>
                </w:tcPr>
                <w:p w14:paraId="10B1EBBC" w14:textId="77777777" w:rsidR="00F76A63" w:rsidRDefault="00F76A63">
                  <w:pPr>
                    <w:adjustRightInd w:val="0"/>
                    <w:snapToGrid w:val="0"/>
                    <w:jc w:val="center"/>
                    <w:rPr>
                      <w:kern w:val="0"/>
                      <w:szCs w:val="21"/>
                    </w:rPr>
                  </w:pPr>
                </w:p>
              </w:tc>
              <w:tc>
                <w:tcPr>
                  <w:tcW w:w="1558" w:type="pct"/>
                  <w:vAlign w:val="center"/>
                </w:tcPr>
                <w:p w14:paraId="14AD388E" w14:textId="77777777" w:rsidR="00F76A63" w:rsidRDefault="00000000">
                  <w:pPr>
                    <w:widowControl/>
                    <w:adjustRightInd w:val="0"/>
                    <w:snapToGrid w:val="0"/>
                    <w:jc w:val="center"/>
                    <w:rPr>
                      <w:szCs w:val="21"/>
                    </w:rPr>
                  </w:pPr>
                  <w:r>
                    <w:rPr>
                      <w:szCs w:val="21"/>
                    </w:rPr>
                    <w:t>水泥窑协同处置</w:t>
                  </w:r>
                  <w:r>
                    <w:rPr>
                      <w:szCs w:val="21"/>
                    </w:rPr>
                    <w:t>10</w:t>
                  </w:r>
                  <w:r>
                    <w:rPr>
                      <w:szCs w:val="21"/>
                    </w:rPr>
                    <w:t>万吨</w:t>
                  </w:r>
                  <w:r>
                    <w:rPr>
                      <w:szCs w:val="21"/>
                    </w:rPr>
                    <w:t>/</w:t>
                  </w:r>
                  <w:r>
                    <w:rPr>
                      <w:szCs w:val="21"/>
                    </w:rPr>
                    <w:t>年污染土及</w:t>
                  </w:r>
                  <w:r>
                    <w:rPr>
                      <w:szCs w:val="21"/>
                    </w:rPr>
                    <w:t>10</w:t>
                  </w:r>
                  <w:r>
                    <w:rPr>
                      <w:szCs w:val="21"/>
                    </w:rPr>
                    <w:t>万吨</w:t>
                  </w:r>
                  <w:r>
                    <w:rPr>
                      <w:szCs w:val="21"/>
                    </w:rPr>
                    <w:t>/</w:t>
                  </w:r>
                  <w:r>
                    <w:rPr>
                      <w:szCs w:val="21"/>
                    </w:rPr>
                    <w:t>年一般固废项目（台泥水泥终端处置）</w:t>
                  </w:r>
                </w:p>
              </w:tc>
              <w:tc>
                <w:tcPr>
                  <w:tcW w:w="1300" w:type="pct"/>
                  <w:vAlign w:val="center"/>
                </w:tcPr>
                <w:p w14:paraId="545F6E56" w14:textId="77777777" w:rsidR="00F76A63" w:rsidRDefault="00000000">
                  <w:pPr>
                    <w:jc w:val="center"/>
                    <w:rPr>
                      <w:szCs w:val="21"/>
                    </w:rPr>
                  </w:pPr>
                  <w:r>
                    <w:t>镇句环审</w:t>
                  </w:r>
                  <w:r>
                    <w:t>[2023]2</w:t>
                  </w:r>
                  <w:r>
                    <w:t>号</w:t>
                  </w:r>
                </w:p>
              </w:tc>
              <w:tc>
                <w:tcPr>
                  <w:tcW w:w="1212" w:type="pct"/>
                  <w:vAlign w:val="center"/>
                </w:tcPr>
                <w:p w14:paraId="6C18AF68" w14:textId="77777777" w:rsidR="00F76A63" w:rsidRDefault="00000000">
                  <w:pPr>
                    <w:widowControl/>
                    <w:adjustRightInd w:val="0"/>
                    <w:snapToGrid w:val="0"/>
                    <w:jc w:val="center"/>
                    <w:rPr>
                      <w:szCs w:val="21"/>
                    </w:rPr>
                  </w:pPr>
                  <w:r>
                    <w:t>2026</w:t>
                  </w:r>
                  <w:r>
                    <w:t>年</w:t>
                  </w:r>
                  <w:r>
                    <w:t>3</w:t>
                  </w:r>
                  <w:r>
                    <w:t>月已通过自主验收</w:t>
                  </w:r>
                </w:p>
              </w:tc>
              <w:tc>
                <w:tcPr>
                  <w:tcW w:w="396" w:type="pct"/>
                  <w:vAlign w:val="center"/>
                </w:tcPr>
                <w:p w14:paraId="0A0E24A4" w14:textId="77777777" w:rsidR="00F76A63" w:rsidRDefault="00000000">
                  <w:pPr>
                    <w:widowControl/>
                    <w:adjustRightInd w:val="0"/>
                    <w:snapToGrid w:val="0"/>
                    <w:jc w:val="center"/>
                    <w:rPr>
                      <w:szCs w:val="21"/>
                    </w:rPr>
                  </w:pPr>
                  <w:r>
                    <w:t>已建</w:t>
                  </w:r>
                </w:p>
              </w:tc>
            </w:tr>
            <w:tr w:rsidR="00F76A63" w14:paraId="5F46E0B1" w14:textId="77777777">
              <w:trPr>
                <w:trHeight w:val="70"/>
                <w:jc w:val="center"/>
              </w:trPr>
              <w:tc>
                <w:tcPr>
                  <w:tcW w:w="534" w:type="pct"/>
                  <w:vMerge/>
                  <w:vAlign w:val="center"/>
                </w:tcPr>
                <w:p w14:paraId="3347A8F2" w14:textId="77777777" w:rsidR="00F76A63" w:rsidRDefault="00F76A63">
                  <w:pPr>
                    <w:adjustRightInd w:val="0"/>
                    <w:snapToGrid w:val="0"/>
                    <w:jc w:val="center"/>
                    <w:rPr>
                      <w:kern w:val="0"/>
                      <w:szCs w:val="21"/>
                    </w:rPr>
                  </w:pPr>
                </w:p>
              </w:tc>
              <w:tc>
                <w:tcPr>
                  <w:tcW w:w="1558" w:type="pct"/>
                  <w:vAlign w:val="center"/>
                </w:tcPr>
                <w:p w14:paraId="5F2926A7" w14:textId="77777777" w:rsidR="00F76A63" w:rsidRDefault="00000000">
                  <w:pPr>
                    <w:widowControl/>
                    <w:adjustRightInd w:val="0"/>
                    <w:snapToGrid w:val="0"/>
                    <w:jc w:val="center"/>
                    <w:rPr>
                      <w:szCs w:val="21"/>
                    </w:rPr>
                  </w:pPr>
                  <w:r>
                    <w:rPr>
                      <w:szCs w:val="21"/>
                    </w:rPr>
                    <w:t>台泥水泥磨节能技改项目</w:t>
                  </w:r>
                </w:p>
              </w:tc>
              <w:tc>
                <w:tcPr>
                  <w:tcW w:w="1300" w:type="pct"/>
                  <w:vAlign w:val="center"/>
                </w:tcPr>
                <w:p w14:paraId="48BCAD3C" w14:textId="77777777" w:rsidR="00F76A63" w:rsidRDefault="00000000">
                  <w:pPr>
                    <w:jc w:val="center"/>
                    <w:rPr>
                      <w:szCs w:val="21"/>
                    </w:rPr>
                  </w:pPr>
                  <w:r>
                    <w:t>镇句环审</w:t>
                  </w:r>
                  <w:r>
                    <w:t>[2024]5</w:t>
                  </w:r>
                  <w:r>
                    <w:t>号</w:t>
                  </w:r>
                </w:p>
              </w:tc>
              <w:tc>
                <w:tcPr>
                  <w:tcW w:w="1212" w:type="pct"/>
                  <w:vAlign w:val="center"/>
                </w:tcPr>
                <w:p w14:paraId="094EA51A" w14:textId="77777777" w:rsidR="00F76A63" w:rsidRDefault="00000000">
                  <w:pPr>
                    <w:widowControl/>
                    <w:adjustRightInd w:val="0"/>
                    <w:snapToGrid w:val="0"/>
                    <w:jc w:val="center"/>
                    <w:rPr>
                      <w:szCs w:val="21"/>
                    </w:rPr>
                  </w:pPr>
                  <w:r>
                    <w:t>2025</w:t>
                  </w:r>
                  <w:r>
                    <w:t>年</w:t>
                  </w:r>
                  <w:r>
                    <w:t>7</w:t>
                  </w:r>
                  <w:r>
                    <w:t>月已通过自主验收</w:t>
                  </w:r>
                </w:p>
              </w:tc>
              <w:tc>
                <w:tcPr>
                  <w:tcW w:w="396" w:type="pct"/>
                  <w:vAlign w:val="center"/>
                </w:tcPr>
                <w:p w14:paraId="292082CE" w14:textId="77777777" w:rsidR="00F76A63" w:rsidRDefault="00000000">
                  <w:pPr>
                    <w:widowControl/>
                    <w:adjustRightInd w:val="0"/>
                    <w:snapToGrid w:val="0"/>
                    <w:jc w:val="center"/>
                    <w:rPr>
                      <w:szCs w:val="21"/>
                    </w:rPr>
                  </w:pPr>
                  <w:r>
                    <w:rPr>
                      <w:szCs w:val="21"/>
                    </w:rPr>
                    <w:t>已建</w:t>
                  </w:r>
                </w:p>
              </w:tc>
            </w:tr>
            <w:tr w:rsidR="00F76A63" w14:paraId="2B5A2612" w14:textId="77777777">
              <w:trPr>
                <w:trHeight w:val="70"/>
                <w:jc w:val="center"/>
              </w:trPr>
              <w:tc>
                <w:tcPr>
                  <w:tcW w:w="534" w:type="pct"/>
                  <w:vMerge/>
                  <w:vAlign w:val="center"/>
                </w:tcPr>
                <w:p w14:paraId="3D26C78F" w14:textId="77777777" w:rsidR="00F76A63" w:rsidRDefault="00F76A63">
                  <w:pPr>
                    <w:widowControl/>
                    <w:adjustRightInd w:val="0"/>
                    <w:snapToGrid w:val="0"/>
                    <w:jc w:val="center"/>
                    <w:rPr>
                      <w:kern w:val="0"/>
                      <w:szCs w:val="21"/>
                    </w:rPr>
                  </w:pPr>
                </w:p>
              </w:tc>
              <w:tc>
                <w:tcPr>
                  <w:tcW w:w="1558" w:type="pct"/>
                  <w:vAlign w:val="center"/>
                </w:tcPr>
                <w:p w14:paraId="13C289F3" w14:textId="77777777" w:rsidR="00F76A63" w:rsidRDefault="00000000">
                  <w:pPr>
                    <w:widowControl/>
                    <w:adjustRightInd w:val="0"/>
                    <w:snapToGrid w:val="0"/>
                    <w:jc w:val="center"/>
                    <w:rPr>
                      <w:szCs w:val="21"/>
                    </w:rPr>
                  </w:pPr>
                  <w:r>
                    <w:rPr>
                      <w:szCs w:val="21"/>
                    </w:rPr>
                    <w:t>句容台泥水泥有限公司水泥窑协同处置飞灰</w:t>
                  </w:r>
                  <w:r>
                    <w:rPr>
                      <w:szCs w:val="21"/>
                    </w:rPr>
                    <w:t>3.45</w:t>
                  </w:r>
                  <w:r>
                    <w:rPr>
                      <w:szCs w:val="21"/>
                    </w:rPr>
                    <w:t>万吨</w:t>
                  </w:r>
                  <w:r>
                    <w:rPr>
                      <w:szCs w:val="21"/>
                    </w:rPr>
                    <w:t>/</w:t>
                  </w:r>
                  <w:r>
                    <w:rPr>
                      <w:szCs w:val="21"/>
                    </w:rPr>
                    <w:t>年改扩建项目</w:t>
                  </w:r>
                </w:p>
              </w:tc>
              <w:tc>
                <w:tcPr>
                  <w:tcW w:w="1300" w:type="pct"/>
                  <w:vAlign w:val="center"/>
                </w:tcPr>
                <w:p w14:paraId="2932F051" w14:textId="77777777" w:rsidR="00F76A63" w:rsidRDefault="00000000">
                  <w:pPr>
                    <w:jc w:val="center"/>
                    <w:rPr>
                      <w:szCs w:val="21"/>
                    </w:rPr>
                  </w:pPr>
                  <w:r>
                    <w:rPr>
                      <w:szCs w:val="21"/>
                    </w:rPr>
                    <w:t>镇环审</w:t>
                  </w:r>
                  <w:r>
                    <w:t>[2024]</w:t>
                  </w:r>
                  <w:r>
                    <w:rPr>
                      <w:szCs w:val="21"/>
                    </w:rPr>
                    <w:t>64</w:t>
                  </w:r>
                  <w:r>
                    <w:rPr>
                      <w:szCs w:val="21"/>
                    </w:rPr>
                    <w:t>号</w:t>
                  </w:r>
                </w:p>
              </w:tc>
              <w:tc>
                <w:tcPr>
                  <w:tcW w:w="1212" w:type="pct"/>
                  <w:vAlign w:val="center"/>
                </w:tcPr>
                <w:p w14:paraId="223A2061" w14:textId="77777777" w:rsidR="00F76A63" w:rsidRDefault="00000000">
                  <w:pPr>
                    <w:widowControl/>
                    <w:adjustRightInd w:val="0"/>
                    <w:snapToGrid w:val="0"/>
                    <w:jc w:val="center"/>
                    <w:rPr>
                      <w:szCs w:val="21"/>
                    </w:rPr>
                  </w:pPr>
                  <w:r>
                    <w:t>/</w:t>
                  </w:r>
                </w:p>
              </w:tc>
              <w:tc>
                <w:tcPr>
                  <w:tcW w:w="396" w:type="pct"/>
                  <w:vAlign w:val="center"/>
                </w:tcPr>
                <w:p w14:paraId="2AF8F19F" w14:textId="77777777" w:rsidR="00F76A63" w:rsidRDefault="00000000">
                  <w:pPr>
                    <w:widowControl/>
                    <w:adjustRightInd w:val="0"/>
                    <w:snapToGrid w:val="0"/>
                    <w:jc w:val="center"/>
                    <w:rPr>
                      <w:szCs w:val="21"/>
                    </w:rPr>
                  </w:pPr>
                  <w:r>
                    <w:t>在建</w:t>
                  </w:r>
                </w:p>
              </w:tc>
            </w:tr>
            <w:tr w:rsidR="00F76A63" w14:paraId="250C36F7" w14:textId="77777777">
              <w:trPr>
                <w:trHeight w:val="70"/>
                <w:jc w:val="center"/>
              </w:trPr>
              <w:tc>
                <w:tcPr>
                  <w:tcW w:w="534" w:type="pct"/>
                  <w:vMerge/>
                  <w:vAlign w:val="center"/>
                </w:tcPr>
                <w:p w14:paraId="3C735B0E" w14:textId="77777777" w:rsidR="00F76A63" w:rsidRDefault="00F76A63">
                  <w:pPr>
                    <w:widowControl/>
                    <w:adjustRightInd w:val="0"/>
                    <w:snapToGrid w:val="0"/>
                    <w:jc w:val="center"/>
                    <w:rPr>
                      <w:kern w:val="0"/>
                      <w:szCs w:val="21"/>
                    </w:rPr>
                  </w:pPr>
                </w:p>
              </w:tc>
              <w:tc>
                <w:tcPr>
                  <w:tcW w:w="1558" w:type="pct"/>
                  <w:vAlign w:val="center"/>
                </w:tcPr>
                <w:p w14:paraId="3078EBBF" w14:textId="77777777" w:rsidR="00F76A63" w:rsidRDefault="00000000">
                  <w:pPr>
                    <w:widowControl/>
                    <w:adjustRightInd w:val="0"/>
                    <w:snapToGrid w:val="0"/>
                    <w:jc w:val="center"/>
                    <w:rPr>
                      <w:szCs w:val="21"/>
                    </w:rPr>
                  </w:pPr>
                  <w:r>
                    <w:rPr>
                      <w:szCs w:val="21"/>
                    </w:rPr>
                    <w:t>句容台泥水泥有限公司替代燃料节能减排项目（一期）</w:t>
                  </w:r>
                </w:p>
              </w:tc>
              <w:tc>
                <w:tcPr>
                  <w:tcW w:w="1300" w:type="pct"/>
                  <w:vAlign w:val="center"/>
                </w:tcPr>
                <w:p w14:paraId="29F8D90D" w14:textId="77777777" w:rsidR="00F76A63" w:rsidRDefault="00000000">
                  <w:pPr>
                    <w:jc w:val="center"/>
                    <w:rPr>
                      <w:szCs w:val="21"/>
                    </w:rPr>
                  </w:pPr>
                  <w:r>
                    <w:t>镇句环审</w:t>
                  </w:r>
                  <w:r>
                    <w:t>[2026]1</w:t>
                  </w:r>
                  <w:r>
                    <w:t>号</w:t>
                  </w:r>
                </w:p>
              </w:tc>
              <w:tc>
                <w:tcPr>
                  <w:tcW w:w="1212" w:type="pct"/>
                  <w:vAlign w:val="center"/>
                </w:tcPr>
                <w:p w14:paraId="4AAB9952" w14:textId="77777777" w:rsidR="00F76A63" w:rsidRDefault="00000000">
                  <w:pPr>
                    <w:widowControl/>
                    <w:adjustRightInd w:val="0"/>
                    <w:snapToGrid w:val="0"/>
                    <w:jc w:val="center"/>
                  </w:pPr>
                  <w:r>
                    <w:t>/</w:t>
                  </w:r>
                </w:p>
              </w:tc>
              <w:tc>
                <w:tcPr>
                  <w:tcW w:w="396" w:type="pct"/>
                  <w:vAlign w:val="center"/>
                </w:tcPr>
                <w:p w14:paraId="3425B136" w14:textId="77777777" w:rsidR="00F76A63" w:rsidRDefault="00000000">
                  <w:pPr>
                    <w:widowControl/>
                    <w:adjustRightInd w:val="0"/>
                    <w:snapToGrid w:val="0"/>
                    <w:jc w:val="center"/>
                  </w:pPr>
                  <w:r>
                    <w:t>在建</w:t>
                  </w:r>
                </w:p>
              </w:tc>
            </w:tr>
            <w:tr w:rsidR="00F76A63" w14:paraId="57722239" w14:textId="77777777">
              <w:trPr>
                <w:trHeight w:val="70"/>
                <w:jc w:val="center"/>
              </w:trPr>
              <w:tc>
                <w:tcPr>
                  <w:tcW w:w="534" w:type="pct"/>
                  <w:vMerge/>
                  <w:vAlign w:val="center"/>
                </w:tcPr>
                <w:p w14:paraId="60A56D1B" w14:textId="77777777" w:rsidR="00F76A63" w:rsidRDefault="00F76A63">
                  <w:pPr>
                    <w:widowControl/>
                    <w:adjustRightInd w:val="0"/>
                    <w:snapToGrid w:val="0"/>
                    <w:jc w:val="center"/>
                    <w:rPr>
                      <w:kern w:val="0"/>
                      <w:szCs w:val="21"/>
                    </w:rPr>
                  </w:pPr>
                </w:p>
              </w:tc>
              <w:tc>
                <w:tcPr>
                  <w:tcW w:w="1558" w:type="pct"/>
                  <w:vAlign w:val="center"/>
                </w:tcPr>
                <w:p w14:paraId="45579AAC" w14:textId="77777777" w:rsidR="00F76A63" w:rsidRDefault="00000000">
                  <w:pPr>
                    <w:widowControl/>
                    <w:adjustRightInd w:val="0"/>
                    <w:snapToGrid w:val="0"/>
                    <w:jc w:val="center"/>
                    <w:rPr>
                      <w:szCs w:val="21"/>
                    </w:rPr>
                  </w:pPr>
                  <w:r>
                    <w:rPr>
                      <w:szCs w:val="21"/>
                    </w:rPr>
                    <w:t>句容台泥水泥有限公司旁路放风及水洗除氯项目</w:t>
                  </w:r>
                </w:p>
              </w:tc>
              <w:tc>
                <w:tcPr>
                  <w:tcW w:w="1300" w:type="pct"/>
                  <w:vAlign w:val="center"/>
                </w:tcPr>
                <w:p w14:paraId="4CD5879C" w14:textId="77777777" w:rsidR="00F76A63" w:rsidRDefault="00000000">
                  <w:pPr>
                    <w:jc w:val="center"/>
                    <w:rPr>
                      <w:szCs w:val="21"/>
                    </w:rPr>
                  </w:pPr>
                  <w:r>
                    <w:t>镇句环审</w:t>
                  </w:r>
                  <w:r>
                    <w:t>[2026]8</w:t>
                  </w:r>
                  <w:r>
                    <w:t>号</w:t>
                  </w:r>
                </w:p>
              </w:tc>
              <w:tc>
                <w:tcPr>
                  <w:tcW w:w="1212" w:type="pct"/>
                  <w:vAlign w:val="center"/>
                </w:tcPr>
                <w:p w14:paraId="36C03E52" w14:textId="77777777" w:rsidR="00F76A63" w:rsidRDefault="00000000">
                  <w:pPr>
                    <w:widowControl/>
                    <w:adjustRightInd w:val="0"/>
                    <w:snapToGrid w:val="0"/>
                    <w:jc w:val="center"/>
                  </w:pPr>
                  <w:r>
                    <w:t>/</w:t>
                  </w:r>
                </w:p>
              </w:tc>
              <w:tc>
                <w:tcPr>
                  <w:tcW w:w="396" w:type="pct"/>
                  <w:vAlign w:val="center"/>
                </w:tcPr>
                <w:p w14:paraId="082390AE" w14:textId="77777777" w:rsidR="00F76A63" w:rsidRDefault="00000000">
                  <w:pPr>
                    <w:widowControl/>
                    <w:adjustRightInd w:val="0"/>
                    <w:snapToGrid w:val="0"/>
                    <w:jc w:val="center"/>
                  </w:pPr>
                  <w:r>
                    <w:t>在建</w:t>
                  </w:r>
                </w:p>
              </w:tc>
            </w:tr>
            <w:tr w:rsidR="00F76A63" w14:paraId="6CD40039" w14:textId="77777777">
              <w:trPr>
                <w:trHeight w:val="70"/>
                <w:jc w:val="center"/>
              </w:trPr>
              <w:tc>
                <w:tcPr>
                  <w:tcW w:w="5000" w:type="pct"/>
                  <w:gridSpan w:val="5"/>
                  <w:vAlign w:val="center"/>
                </w:tcPr>
                <w:p w14:paraId="5097DBB1" w14:textId="77777777" w:rsidR="00F76A63" w:rsidRDefault="00000000">
                  <w:pPr>
                    <w:widowControl/>
                    <w:adjustRightInd w:val="0"/>
                    <w:snapToGrid w:val="0"/>
                    <w:rPr>
                      <w:szCs w:val="21"/>
                    </w:rPr>
                  </w:pPr>
                  <w:r>
                    <w:rPr>
                      <w:szCs w:val="21"/>
                    </w:rPr>
                    <w:t>注：排污许可证编号</w:t>
                  </w:r>
                  <w:r>
                    <w:rPr>
                      <w:szCs w:val="21"/>
                    </w:rPr>
                    <w:t>91320000608930716F001P</w:t>
                  </w:r>
                </w:p>
              </w:tc>
            </w:tr>
          </w:tbl>
          <w:bookmarkEnd w:id="90"/>
          <w:p w14:paraId="1C196C44" w14:textId="77777777" w:rsidR="00F76A63" w:rsidRDefault="00000000">
            <w:pPr>
              <w:adjustRightInd w:val="0"/>
              <w:snapToGrid w:val="0"/>
              <w:spacing w:line="500" w:lineRule="exact"/>
              <w:ind w:firstLineChars="200" w:firstLine="482"/>
              <w:jc w:val="center"/>
              <w:rPr>
                <w:b/>
                <w:bCs/>
                <w:kern w:val="0"/>
                <w:sz w:val="24"/>
                <w:szCs w:val="20"/>
              </w:rPr>
            </w:pPr>
            <w:r>
              <w:rPr>
                <w:b/>
                <w:bCs/>
                <w:kern w:val="0"/>
                <w:sz w:val="24"/>
                <w:szCs w:val="20"/>
              </w:rPr>
              <w:t>表</w:t>
            </w:r>
            <w:r>
              <w:rPr>
                <w:b/>
                <w:bCs/>
                <w:kern w:val="0"/>
                <w:sz w:val="24"/>
                <w:szCs w:val="20"/>
              </w:rPr>
              <w:t>2-3</w:t>
            </w:r>
            <w:r>
              <w:rPr>
                <w:rFonts w:hint="eastAsia"/>
                <w:b/>
                <w:bCs/>
                <w:kern w:val="0"/>
                <w:sz w:val="24"/>
                <w:szCs w:val="20"/>
              </w:rPr>
              <w:t>9</w:t>
            </w:r>
            <w:r>
              <w:rPr>
                <w:b/>
                <w:bCs/>
                <w:kern w:val="0"/>
                <w:sz w:val="24"/>
                <w:szCs w:val="20"/>
              </w:rPr>
              <w:t xml:space="preserve">  </w:t>
            </w:r>
            <w:r>
              <w:rPr>
                <w:b/>
                <w:bCs/>
                <w:kern w:val="0"/>
                <w:sz w:val="24"/>
                <w:szCs w:val="20"/>
              </w:rPr>
              <w:t>现有项目</w:t>
            </w:r>
            <w:r>
              <w:rPr>
                <w:rFonts w:hint="eastAsia"/>
                <w:b/>
                <w:bCs/>
                <w:kern w:val="0"/>
                <w:sz w:val="24"/>
                <w:szCs w:val="20"/>
              </w:rPr>
              <w:t>协同处置一般固废情况</w:t>
            </w:r>
          </w:p>
          <w:tbl>
            <w:tblPr>
              <w:tblW w:w="5000" w:type="pct"/>
              <w:jc w:val="center"/>
              <w:tblBorders>
                <w:top w:val="single" w:sz="12" w:space="0" w:color="auto"/>
                <w:bottom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42"/>
              <w:gridCol w:w="1998"/>
              <w:gridCol w:w="2855"/>
              <w:gridCol w:w="2082"/>
            </w:tblGrid>
            <w:tr w:rsidR="00F76A63" w14:paraId="184374B8" w14:textId="77777777">
              <w:trPr>
                <w:trHeight w:val="22"/>
                <w:jc w:val="center"/>
              </w:trPr>
              <w:tc>
                <w:tcPr>
                  <w:tcW w:w="759" w:type="pct"/>
                  <w:vAlign w:val="center"/>
                </w:tcPr>
                <w:p w14:paraId="165B335D" w14:textId="77777777" w:rsidR="00F76A63" w:rsidRDefault="00000000">
                  <w:pPr>
                    <w:jc w:val="center"/>
                    <w:textAlignment w:val="baseline"/>
                    <w:rPr>
                      <w:b/>
                      <w:kern w:val="0"/>
                      <w:szCs w:val="21"/>
                    </w:rPr>
                  </w:pPr>
                  <w:r>
                    <w:rPr>
                      <w:b/>
                      <w:kern w:val="0"/>
                      <w:szCs w:val="21"/>
                    </w:rPr>
                    <w:t>序号</w:t>
                  </w:r>
                </w:p>
              </w:tc>
              <w:tc>
                <w:tcPr>
                  <w:tcW w:w="1221" w:type="pct"/>
                  <w:vAlign w:val="center"/>
                </w:tcPr>
                <w:p w14:paraId="43CE3547" w14:textId="77777777" w:rsidR="00F76A63" w:rsidRDefault="00000000">
                  <w:pPr>
                    <w:jc w:val="center"/>
                    <w:textAlignment w:val="baseline"/>
                    <w:rPr>
                      <w:b/>
                      <w:kern w:val="0"/>
                      <w:szCs w:val="21"/>
                    </w:rPr>
                  </w:pPr>
                  <w:r>
                    <w:rPr>
                      <w:b/>
                      <w:kern w:val="0"/>
                      <w:szCs w:val="21"/>
                    </w:rPr>
                    <w:t>产品种类</w:t>
                  </w:r>
                </w:p>
              </w:tc>
              <w:tc>
                <w:tcPr>
                  <w:tcW w:w="1746" w:type="pct"/>
                  <w:vAlign w:val="center"/>
                </w:tcPr>
                <w:p w14:paraId="58DEAB00" w14:textId="77777777" w:rsidR="00F76A63" w:rsidRDefault="00000000">
                  <w:pPr>
                    <w:jc w:val="center"/>
                    <w:textAlignment w:val="baseline"/>
                    <w:rPr>
                      <w:b/>
                      <w:kern w:val="0"/>
                      <w:szCs w:val="21"/>
                    </w:rPr>
                  </w:pPr>
                  <w:r>
                    <w:rPr>
                      <w:rFonts w:hint="eastAsia"/>
                      <w:b/>
                      <w:kern w:val="0"/>
                      <w:szCs w:val="21"/>
                    </w:rPr>
                    <w:t>来源</w:t>
                  </w:r>
                </w:p>
              </w:tc>
              <w:tc>
                <w:tcPr>
                  <w:tcW w:w="1273" w:type="pct"/>
                  <w:vAlign w:val="center"/>
                </w:tcPr>
                <w:p w14:paraId="71530067" w14:textId="77777777" w:rsidR="00F76A63" w:rsidRDefault="00000000">
                  <w:pPr>
                    <w:jc w:val="center"/>
                    <w:textAlignment w:val="baseline"/>
                    <w:rPr>
                      <w:b/>
                      <w:kern w:val="0"/>
                      <w:szCs w:val="21"/>
                    </w:rPr>
                  </w:pPr>
                  <w:r>
                    <w:rPr>
                      <w:rFonts w:hint="eastAsia"/>
                      <w:b/>
                      <w:kern w:val="0"/>
                      <w:szCs w:val="21"/>
                    </w:rPr>
                    <w:t>处置量（</w:t>
                  </w:r>
                  <w:r>
                    <w:rPr>
                      <w:rFonts w:hint="eastAsia"/>
                      <w:b/>
                      <w:kern w:val="0"/>
                      <w:szCs w:val="21"/>
                    </w:rPr>
                    <w:t>t/a</w:t>
                  </w:r>
                  <w:r>
                    <w:rPr>
                      <w:rFonts w:hint="eastAsia"/>
                      <w:b/>
                      <w:kern w:val="0"/>
                      <w:szCs w:val="21"/>
                    </w:rPr>
                    <w:t>）</w:t>
                  </w:r>
                </w:p>
              </w:tc>
            </w:tr>
            <w:tr w:rsidR="00F76A63" w14:paraId="352C7FFE" w14:textId="77777777">
              <w:trPr>
                <w:trHeight w:val="13"/>
                <w:jc w:val="center"/>
              </w:trPr>
              <w:tc>
                <w:tcPr>
                  <w:tcW w:w="759" w:type="pct"/>
                  <w:vAlign w:val="center"/>
                </w:tcPr>
                <w:p w14:paraId="6EE16FB6" w14:textId="77777777" w:rsidR="00F76A63" w:rsidRDefault="00000000">
                  <w:pPr>
                    <w:widowControl/>
                    <w:jc w:val="center"/>
                    <w:rPr>
                      <w:szCs w:val="21"/>
                    </w:rPr>
                  </w:pPr>
                  <w:r>
                    <w:rPr>
                      <w:szCs w:val="21"/>
                    </w:rPr>
                    <w:t>1</w:t>
                  </w:r>
                </w:p>
              </w:tc>
              <w:tc>
                <w:tcPr>
                  <w:tcW w:w="1221" w:type="pct"/>
                  <w:vAlign w:val="center"/>
                </w:tcPr>
                <w:p w14:paraId="59879426" w14:textId="77777777" w:rsidR="00F76A63" w:rsidRDefault="00000000">
                  <w:pPr>
                    <w:jc w:val="center"/>
                    <w:textAlignment w:val="baseline"/>
                    <w:rPr>
                      <w:kern w:val="0"/>
                      <w:szCs w:val="21"/>
                    </w:rPr>
                  </w:pPr>
                  <w:r>
                    <w:rPr>
                      <w:rFonts w:ascii="宋体" w:hAnsi="宋体" w:hint="eastAsia"/>
                      <w:kern w:val="0"/>
                    </w:rPr>
                    <w:t>脱硫石膏</w:t>
                  </w:r>
                </w:p>
              </w:tc>
              <w:tc>
                <w:tcPr>
                  <w:tcW w:w="1746" w:type="pct"/>
                  <w:vAlign w:val="center"/>
                </w:tcPr>
                <w:p w14:paraId="414B5989" w14:textId="77777777" w:rsidR="00F76A63" w:rsidRDefault="00000000">
                  <w:pPr>
                    <w:widowControl/>
                    <w:jc w:val="center"/>
                    <w:rPr>
                      <w:kern w:val="0"/>
                      <w:szCs w:val="21"/>
                    </w:rPr>
                  </w:pPr>
                  <w:r>
                    <w:rPr>
                      <w:rFonts w:ascii="宋体" w:hAnsi="宋体" w:hint="eastAsia"/>
                      <w:kern w:val="0"/>
                    </w:rPr>
                    <w:t>江苏亚胜粉煤灰有限公司</w:t>
                  </w:r>
                  <w:r>
                    <w:rPr>
                      <w:rFonts w:cs="Calibri" w:hint="eastAsia"/>
                      <w:kern w:val="0"/>
                    </w:rPr>
                    <w:t>/</w:t>
                  </w:r>
                  <w:r>
                    <w:rPr>
                      <w:rFonts w:ascii="宋体" w:hAnsi="宋体" w:hint="eastAsia"/>
                      <w:kern w:val="0"/>
                    </w:rPr>
                    <w:t>镇江市龙润建材有限公司</w:t>
                  </w:r>
                </w:p>
              </w:tc>
              <w:tc>
                <w:tcPr>
                  <w:tcW w:w="1273" w:type="pct"/>
                  <w:vAlign w:val="center"/>
                </w:tcPr>
                <w:p w14:paraId="02B6AD8C" w14:textId="77777777" w:rsidR="00F76A63" w:rsidRDefault="00000000">
                  <w:pPr>
                    <w:widowControl/>
                    <w:jc w:val="center"/>
                    <w:rPr>
                      <w:kern w:val="0"/>
                      <w:szCs w:val="21"/>
                    </w:rPr>
                  </w:pPr>
                  <w:r>
                    <w:rPr>
                      <w:kern w:val="0"/>
                    </w:rPr>
                    <w:t>77761.900</w:t>
                  </w:r>
                </w:p>
              </w:tc>
            </w:tr>
            <w:tr w:rsidR="00F76A63" w14:paraId="5ACAF90A" w14:textId="77777777">
              <w:trPr>
                <w:trHeight w:val="22"/>
                <w:jc w:val="center"/>
              </w:trPr>
              <w:tc>
                <w:tcPr>
                  <w:tcW w:w="759" w:type="pct"/>
                  <w:vAlign w:val="center"/>
                </w:tcPr>
                <w:p w14:paraId="07370C98" w14:textId="77777777" w:rsidR="00F76A63" w:rsidRDefault="00000000">
                  <w:pPr>
                    <w:widowControl/>
                    <w:jc w:val="center"/>
                    <w:rPr>
                      <w:szCs w:val="21"/>
                    </w:rPr>
                  </w:pPr>
                  <w:r>
                    <w:rPr>
                      <w:szCs w:val="21"/>
                    </w:rPr>
                    <w:t>2</w:t>
                  </w:r>
                </w:p>
              </w:tc>
              <w:tc>
                <w:tcPr>
                  <w:tcW w:w="1221" w:type="pct"/>
                  <w:vAlign w:val="center"/>
                </w:tcPr>
                <w:p w14:paraId="65EADB1D" w14:textId="77777777" w:rsidR="00F76A63" w:rsidRDefault="00000000">
                  <w:pPr>
                    <w:jc w:val="center"/>
                    <w:textAlignment w:val="baseline"/>
                    <w:rPr>
                      <w:kern w:val="0"/>
                      <w:szCs w:val="21"/>
                    </w:rPr>
                  </w:pPr>
                  <w:r>
                    <w:rPr>
                      <w:rFonts w:ascii="宋体" w:hAnsi="宋体" w:hint="eastAsia"/>
                      <w:kern w:val="0"/>
                    </w:rPr>
                    <w:t>粉煤灰</w:t>
                  </w:r>
                </w:p>
              </w:tc>
              <w:tc>
                <w:tcPr>
                  <w:tcW w:w="1746" w:type="pct"/>
                  <w:vAlign w:val="center"/>
                </w:tcPr>
                <w:p w14:paraId="7DE4D4B4" w14:textId="77777777" w:rsidR="00F76A63" w:rsidRDefault="00000000">
                  <w:pPr>
                    <w:widowControl/>
                    <w:jc w:val="center"/>
                    <w:rPr>
                      <w:kern w:val="0"/>
                      <w:szCs w:val="21"/>
                    </w:rPr>
                  </w:pPr>
                  <w:r>
                    <w:rPr>
                      <w:rFonts w:ascii="宋体" w:hAnsi="宋体" w:hint="eastAsia"/>
                      <w:kern w:val="0"/>
                    </w:rPr>
                    <w:t>镇江市龙润建材有限公司</w:t>
                  </w:r>
                  <w:r>
                    <w:rPr>
                      <w:rFonts w:cs="Calibri" w:hint="eastAsia"/>
                      <w:kern w:val="0"/>
                    </w:rPr>
                    <w:t>/</w:t>
                  </w:r>
                  <w:r>
                    <w:rPr>
                      <w:rFonts w:ascii="宋体" w:hAnsi="宋体" w:hint="eastAsia"/>
                      <w:kern w:val="0"/>
                    </w:rPr>
                    <w:t>镇江拓普机电有限公司</w:t>
                  </w:r>
                </w:p>
              </w:tc>
              <w:tc>
                <w:tcPr>
                  <w:tcW w:w="1273" w:type="pct"/>
                  <w:vAlign w:val="center"/>
                </w:tcPr>
                <w:p w14:paraId="4EC0F02E" w14:textId="77777777" w:rsidR="00F76A63" w:rsidRDefault="00000000">
                  <w:pPr>
                    <w:widowControl/>
                    <w:jc w:val="center"/>
                    <w:rPr>
                      <w:kern w:val="0"/>
                      <w:szCs w:val="21"/>
                    </w:rPr>
                  </w:pPr>
                  <w:r>
                    <w:rPr>
                      <w:kern w:val="0"/>
                    </w:rPr>
                    <w:t>198601.750</w:t>
                  </w:r>
                </w:p>
              </w:tc>
            </w:tr>
            <w:tr w:rsidR="00F76A63" w14:paraId="7B2CF070" w14:textId="77777777">
              <w:trPr>
                <w:trHeight w:val="22"/>
                <w:jc w:val="center"/>
              </w:trPr>
              <w:tc>
                <w:tcPr>
                  <w:tcW w:w="759" w:type="pct"/>
                  <w:vAlign w:val="center"/>
                </w:tcPr>
                <w:p w14:paraId="37C0D6CA" w14:textId="77777777" w:rsidR="00F76A63" w:rsidRDefault="00000000">
                  <w:pPr>
                    <w:widowControl/>
                    <w:jc w:val="center"/>
                    <w:rPr>
                      <w:szCs w:val="21"/>
                    </w:rPr>
                  </w:pPr>
                  <w:r>
                    <w:rPr>
                      <w:rFonts w:hint="eastAsia"/>
                      <w:szCs w:val="21"/>
                    </w:rPr>
                    <w:t>3</w:t>
                  </w:r>
                </w:p>
              </w:tc>
              <w:tc>
                <w:tcPr>
                  <w:tcW w:w="1221" w:type="pct"/>
                  <w:vAlign w:val="center"/>
                </w:tcPr>
                <w:p w14:paraId="7BFCDB45" w14:textId="77777777" w:rsidR="00F76A63" w:rsidRDefault="00000000">
                  <w:pPr>
                    <w:jc w:val="center"/>
                    <w:textAlignment w:val="baseline"/>
                    <w:rPr>
                      <w:kern w:val="0"/>
                      <w:szCs w:val="21"/>
                    </w:rPr>
                  </w:pPr>
                  <w:r>
                    <w:rPr>
                      <w:rFonts w:ascii="宋体" w:hAnsi="宋体" w:hint="eastAsia"/>
                    </w:rPr>
                    <w:t>粉煤灰</w:t>
                  </w:r>
                  <w:r>
                    <w:t>(</w:t>
                  </w:r>
                  <w:r>
                    <w:rPr>
                      <w:rFonts w:ascii="宋体" w:hAnsi="宋体" w:hint="eastAsia"/>
                    </w:rPr>
                    <w:t>湿</w:t>
                  </w:r>
                  <w:r>
                    <w:t>)</w:t>
                  </w:r>
                </w:p>
              </w:tc>
              <w:tc>
                <w:tcPr>
                  <w:tcW w:w="1746" w:type="pct"/>
                  <w:vAlign w:val="center"/>
                </w:tcPr>
                <w:p w14:paraId="2E74E8BE" w14:textId="77777777" w:rsidR="00F76A63" w:rsidRDefault="00000000">
                  <w:pPr>
                    <w:widowControl/>
                    <w:jc w:val="center"/>
                    <w:rPr>
                      <w:kern w:val="0"/>
                      <w:szCs w:val="21"/>
                    </w:rPr>
                  </w:pPr>
                  <w:r>
                    <w:rPr>
                      <w:rFonts w:ascii="宋体" w:hAnsi="宋体" w:hint="eastAsia"/>
                      <w:kern w:val="0"/>
                    </w:rPr>
                    <w:t>镇江市龙润建材有限公司</w:t>
                  </w:r>
                </w:p>
              </w:tc>
              <w:tc>
                <w:tcPr>
                  <w:tcW w:w="1273" w:type="pct"/>
                  <w:vAlign w:val="center"/>
                </w:tcPr>
                <w:p w14:paraId="56119278" w14:textId="77777777" w:rsidR="00F76A63" w:rsidRDefault="00000000">
                  <w:pPr>
                    <w:widowControl/>
                    <w:jc w:val="center"/>
                    <w:rPr>
                      <w:kern w:val="0"/>
                      <w:szCs w:val="21"/>
                    </w:rPr>
                  </w:pPr>
                  <w:r>
                    <w:rPr>
                      <w:kern w:val="0"/>
                    </w:rPr>
                    <w:t>101473.093</w:t>
                  </w:r>
                </w:p>
              </w:tc>
            </w:tr>
            <w:tr w:rsidR="00F76A63" w14:paraId="1C67F6BC" w14:textId="77777777">
              <w:trPr>
                <w:trHeight w:val="22"/>
                <w:jc w:val="center"/>
              </w:trPr>
              <w:tc>
                <w:tcPr>
                  <w:tcW w:w="759" w:type="pct"/>
                  <w:vAlign w:val="center"/>
                </w:tcPr>
                <w:p w14:paraId="0610F9A5" w14:textId="77777777" w:rsidR="00F76A63" w:rsidRDefault="00000000">
                  <w:pPr>
                    <w:widowControl/>
                    <w:jc w:val="center"/>
                    <w:rPr>
                      <w:szCs w:val="21"/>
                    </w:rPr>
                  </w:pPr>
                  <w:r>
                    <w:rPr>
                      <w:rFonts w:hint="eastAsia"/>
                      <w:szCs w:val="21"/>
                    </w:rPr>
                    <w:t>4</w:t>
                  </w:r>
                </w:p>
              </w:tc>
              <w:tc>
                <w:tcPr>
                  <w:tcW w:w="1221" w:type="pct"/>
                  <w:vAlign w:val="center"/>
                </w:tcPr>
                <w:p w14:paraId="5445D348" w14:textId="77777777" w:rsidR="00F76A63" w:rsidRDefault="00000000">
                  <w:pPr>
                    <w:jc w:val="center"/>
                    <w:textAlignment w:val="baseline"/>
                    <w:rPr>
                      <w:kern w:val="0"/>
                      <w:szCs w:val="21"/>
                    </w:rPr>
                  </w:pPr>
                  <w:r>
                    <w:rPr>
                      <w:rFonts w:ascii="宋体" w:hAnsi="宋体" w:hint="eastAsia"/>
                    </w:rPr>
                    <w:t>锂渣</w:t>
                  </w:r>
                </w:p>
              </w:tc>
              <w:tc>
                <w:tcPr>
                  <w:tcW w:w="1746" w:type="pct"/>
                  <w:vAlign w:val="center"/>
                </w:tcPr>
                <w:p w14:paraId="15C74EAB" w14:textId="77777777" w:rsidR="00F76A63" w:rsidRDefault="00000000">
                  <w:pPr>
                    <w:widowControl/>
                    <w:jc w:val="center"/>
                    <w:rPr>
                      <w:kern w:val="0"/>
                      <w:szCs w:val="21"/>
                    </w:rPr>
                  </w:pPr>
                  <w:r>
                    <w:rPr>
                      <w:rFonts w:ascii="宋体" w:hAnsi="宋体" w:hint="eastAsia"/>
                      <w:kern w:val="0"/>
                    </w:rPr>
                    <w:t>江苏台鑫美环境科技有限公司</w:t>
                  </w:r>
                </w:p>
              </w:tc>
              <w:tc>
                <w:tcPr>
                  <w:tcW w:w="1273" w:type="pct"/>
                  <w:vAlign w:val="center"/>
                </w:tcPr>
                <w:p w14:paraId="1A21C3F9" w14:textId="77777777" w:rsidR="00F76A63" w:rsidRDefault="00000000">
                  <w:pPr>
                    <w:widowControl/>
                    <w:jc w:val="center"/>
                    <w:rPr>
                      <w:kern w:val="0"/>
                      <w:szCs w:val="21"/>
                    </w:rPr>
                  </w:pPr>
                  <w:r>
                    <w:rPr>
                      <w:kern w:val="0"/>
                    </w:rPr>
                    <w:t>2050.430</w:t>
                  </w:r>
                </w:p>
              </w:tc>
            </w:tr>
            <w:tr w:rsidR="00F76A63" w14:paraId="57EE1EB4" w14:textId="77777777">
              <w:trPr>
                <w:trHeight w:val="22"/>
                <w:jc w:val="center"/>
              </w:trPr>
              <w:tc>
                <w:tcPr>
                  <w:tcW w:w="759" w:type="pct"/>
                  <w:vAlign w:val="center"/>
                </w:tcPr>
                <w:p w14:paraId="5B714484" w14:textId="77777777" w:rsidR="00F76A63" w:rsidRDefault="00000000">
                  <w:pPr>
                    <w:widowControl/>
                    <w:jc w:val="center"/>
                    <w:rPr>
                      <w:szCs w:val="21"/>
                    </w:rPr>
                  </w:pPr>
                  <w:r>
                    <w:rPr>
                      <w:rFonts w:hint="eastAsia"/>
                      <w:szCs w:val="21"/>
                    </w:rPr>
                    <w:t>5</w:t>
                  </w:r>
                </w:p>
              </w:tc>
              <w:tc>
                <w:tcPr>
                  <w:tcW w:w="1221" w:type="pct"/>
                  <w:vAlign w:val="center"/>
                </w:tcPr>
                <w:p w14:paraId="235E5AF7" w14:textId="77777777" w:rsidR="00F76A63" w:rsidRDefault="00000000">
                  <w:pPr>
                    <w:jc w:val="center"/>
                    <w:textAlignment w:val="baseline"/>
                    <w:rPr>
                      <w:kern w:val="0"/>
                      <w:szCs w:val="21"/>
                    </w:rPr>
                  </w:pPr>
                  <w:r>
                    <w:rPr>
                      <w:rFonts w:ascii="宋体" w:hAnsi="宋体" w:hint="eastAsia"/>
                    </w:rPr>
                    <w:t>废纺</w:t>
                  </w:r>
                </w:p>
              </w:tc>
              <w:tc>
                <w:tcPr>
                  <w:tcW w:w="1746" w:type="pct"/>
                  <w:vAlign w:val="center"/>
                </w:tcPr>
                <w:p w14:paraId="75D4757E" w14:textId="77777777" w:rsidR="00F76A63" w:rsidRDefault="00000000">
                  <w:pPr>
                    <w:widowControl/>
                    <w:jc w:val="center"/>
                    <w:rPr>
                      <w:kern w:val="0"/>
                      <w:szCs w:val="21"/>
                    </w:rPr>
                  </w:pPr>
                  <w:r>
                    <w:rPr>
                      <w:rFonts w:ascii="宋体" w:hAnsi="宋体" w:hint="eastAsia"/>
                      <w:kern w:val="0"/>
                    </w:rPr>
                    <w:t>镇江市天旺环保科技有限公司</w:t>
                  </w:r>
                  <w:r>
                    <w:rPr>
                      <w:rFonts w:cs="Calibri" w:hint="eastAsia"/>
                      <w:kern w:val="0"/>
                    </w:rPr>
                    <w:t>/</w:t>
                  </w:r>
                  <w:r>
                    <w:rPr>
                      <w:rFonts w:ascii="宋体" w:hAnsi="宋体" w:hint="eastAsia"/>
                      <w:kern w:val="0"/>
                    </w:rPr>
                    <w:t>镇江市迪鑫环保科技有限公司</w:t>
                  </w:r>
                </w:p>
              </w:tc>
              <w:tc>
                <w:tcPr>
                  <w:tcW w:w="1273" w:type="pct"/>
                  <w:vAlign w:val="center"/>
                </w:tcPr>
                <w:p w14:paraId="72AC52B7" w14:textId="77777777" w:rsidR="00F76A63" w:rsidRDefault="00000000">
                  <w:pPr>
                    <w:widowControl/>
                    <w:jc w:val="center"/>
                    <w:rPr>
                      <w:kern w:val="0"/>
                      <w:szCs w:val="21"/>
                    </w:rPr>
                  </w:pPr>
                  <w:r>
                    <w:rPr>
                      <w:kern w:val="0"/>
                    </w:rPr>
                    <w:t>121433.280</w:t>
                  </w:r>
                </w:p>
              </w:tc>
            </w:tr>
            <w:tr w:rsidR="00F76A63" w14:paraId="55CC4E53" w14:textId="77777777">
              <w:trPr>
                <w:trHeight w:val="22"/>
                <w:jc w:val="center"/>
              </w:trPr>
              <w:tc>
                <w:tcPr>
                  <w:tcW w:w="759" w:type="pct"/>
                  <w:vAlign w:val="center"/>
                </w:tcPr>
                <w:p w14:paraId="651CD2B4" w14:textId="77777777" w:rsidR="00F76A63" w:rsidRDefault="00000000">
                  <w:pPr>
                    <w:widowControl/>
                    <w:jc w:val="center"/>
                    <w:rPr>
                      <w:szCs w:val="21"/>
                    </w:rPr>
                  </w:pPr>
                  <w:r>
                    <w:rPr>
                      <w:rFonts w:hint="eastAsia"/>
                      <w:szCs w:val="21"/>
                    </w:rPr>
                    <w:t>6</w:t>
                  </w:r>
                </w:p>
              </w:tc>
              <w:tc>
                <w:tcPr>
                  <w:tcW w:w="1221" w:type="pct"/>
                  <w:vAlign w:val="center"/>
                </w:tcPr>
                <w:p w14:paraId="1DCC3223" w14:textId="77777777" w:rsidR="00F76A63" w:rsidRDefault="00000000">
                  <w:pPr>
                    <w:jc w:val="center"/>
                    <w:textAlignment w:val="baseline"/>
                    <w:rPr>
                      <w:kern w:val="0"/>
                      <w:szCs w:val="21"/>
                    </w:rPr>
                  </w:pPr>
                  <w:r>
                    <w:rPr>
                      <w:rFonts w:ascii="宋体" w:hAnsi="宋体" w:hint="eastAsia"/>
                    </w:rPr>
                    <w:t>矿渣</w:t>
                  </w:r>
                </w:p>
              </w:tc>
              <w:tc>
                <w:tcPr>
                  <w:tcW w:w="1746" w:type="pct"/>
                  <w:vAlign w:val="center"/>
                </w:tcPr>
                <w:p w14:paraId="3DAC2E06" w14:textId="77777777" w:rsidR="00F76A63" w:rsidRDefault="00000000">
                  <w:pPr>
                    <w:widowControl/>
                    <w:jc w:val="center"/>
                    <w:rPr>
                      <w:kern w:val="0"/>
                      <w:szCs w:val="21"/>
                    </w:rPr>
                  </w:pPr>
                  <w:r>
                    <w:rPr>
                      <w:rFonts w:ascii="宋体" w:hAnsi="宋体" w:hint="eastAsia"/>
                      <w:kern w:val="0"/>
                    </w:rPr>
                    <w:t>南京苏侯建设工程有限公司</w:t>
                  </w:r>
                </w:p>
              </w:tc>
              <w:tc>
                <w:tcPr>
                  <w:tcW w:w="1273" w:type="pct"/>
                  <w:vAlign w:val="center"/>
                </w:tcPr>
                <w:p w14:paraId="116E76B2" w14:textId="77777777" w:rsidR="00F76A63" w:rsidRDefault="00000000">
                  <w:pPr>
                    <w:widowControl/>
                    <w:jc w:val="center"/>
                    <w:rPr>
                      <w:kern w:val="0"/>
                      <w:szCs w:val="21"/>
                    </w:rPr>
                  </w:pPr>
                  <w:r>
                    <w:t>17654.050</w:t>
                  </w:r>
                </w:p>
              </w:tc>
            </w:tr>
            <w:tr w:rsidR="00F76A63" w14:paraId="3FD46020" w14:textId="77777777">
              <w:trPr>
                <w:trHeight w:val="22"/>
                <w:jc w:val="center"/>
              </w:trPr>
              <w:tc>
                <w:tcPr>
                  <w:tcW w:w="759" w:type="pct"/>
                  <w:vAlign w:val="center"/>
                </w:tcPr>
                <w:p w14:paraId="19E5A0D1" w14:textId="77777777" w:rsidR="00F76A63" w:rsidRDefault="00000000">
                  <w:pPr>
                    <w:widowControl/>
                    <w:jc w:val="center"/>
                    <w:rPr>
                      <w:szCs w:val="21"/>
                    </w:rPr>
                  </w:pPr>
                  <w:r>
                    <w:rPr>
                      <w:rFonts w:hint="eastAsia"/>
                      <w:szCs w:val="21"/>
                    </w:rPr>
                    <w:t>7</w:t>
                  </w:r>
                </w:p>
              </w:tc>
              <w:tc>
                <w:tcPr>
                  <w:tcW w:w="1221" w:type="pct"/>
                  <w:vAlign w:val="center"/>
                </w:tcPr>
                <w:p w14:paraId="19574386" w14:textId="77777777" w:rsidR="00F76A63" w:rsidRDefault="00000000">
                  <w:pPr>
                    <w:jc w:val="center"/>
                    <w:textAlignment w:val="baseline"/>
                  </w:pPr>
                  <w:r>
                    <w:rPr>
                      <w:rFonts w:ascii="宋体" w:hAnsi="宋体" w:hint="eastAsia"/>
                    </w:rPr>
                    <w:t>矿渣粉</w:t>
                  </w:r>
                </w:p>
              </w:tc>
              <w:tc>
                <w:tcPr>
                  <w:tcW w:w="1746" w:type="pct"/>
                  <w:vAlign w:val="center"/>
                </w:tcPr>
                <w:p w14:paraId="43C63E1A" w14:textId="77777777" w:rsidR="00F76A63" w:rsidRDefault="00000000">
                  <w:pPr>
                    <w:widowControl/>
                    <w:jc w:val="center"/>
                    <w:rPr>
                      <w:kern w:val="0"/>
                      <w:szCs w:val="21"/>
                    </w:rPr>
                  </w:pPr>
                  <w:r>
                    <w:rPr>
                      <w:rFonts w:ascii="宋体" w:hAnsi="宋体" w:hint="eastAsia"/>
                      <w:kern w:val="0"/>
                    </w:rPr>
                    <w:t>镇江市龙润建材有限公司</w:t>
                  </w:r>
                </w:p>
              </w:tc>
              <w:tc>
                <w:tcPr>
                  <w:tcW w:w="1273" w:type="pct"/>
                  <w:vAlign w:val="center"/>
                </w:tcPr>
                <w:p w14:paraId="27493DCB" w14:textId="77777777" w:rsidR="00F76A63" w:rsidRDefault="00000000">
                  <w:pPr>
                    <w:widowControl/>
                    <w:jc w:val="center"/>
                    <w:rPr>
                      <w:kern w:val="0"/>
                      <w:szCs w:val="21"/>
                    </w:rPr>
                  </w:pPr>
                  <w:r>
                    <w:t>3523.629</w:t>
                  </w:r>
                </w:p>
              </w:tc>
            </w:tr>
            <w:tr w:rsidR="00F76A63" w14:paraId="21180CEE" w14:textId="77777777">
              <w:trPr>
                <w:trHeight w:val="22"/>
                <w:jc w:val="center"/>
              </w:trPr>
              <w:tc>
                <w:tcPr>
                  <w:tcW w:w="759" w:type="pct"/>
                  <w:vAlign w:val="center"/>
                </w:tcPr>
                <w:p w14:paraId="51787B20" w14:textId="77777777" w:rsidR="00F76A63" w:rsidRDefault="00000000">
                  <w:pPr>
                    <w:widowControl/>
                    <w:jc w:val="center"/>
                    <w:rPr>
                      <w:szCs w:val="21"/>
                    </w:rPr>
                  </w:pPr>
                  <w:r>
                    <w:rPr>
                      <w:rFonts w:hint="eastAsia"/>
                      <w:szCs w:val="21"/>
                    </w:rPr>
                    <w:t>8</w:t>
                  </w:r>
                </w:p>
              </w:tc>
              <w:tc>
                <w:tcPr>
                  <w:tcW w:w="1221" w:type="pct"/>
                  <w:vAlign w:val="center"/>
                </w:tcPr>
                <w:p w14:paraId="161849C1" w14:textId="77777777" w:rsidR="00F76A63" w:rsidRDefault="00000000">
                  <w:pPr>
                    <w:jc w:val="center"/>
                    <w:textAlignment w:val="baseline"/>
                  </w:pPr>
                  <w:r>
                    <w:rPr>
                      <w:rFonts w:ascii="宋体" w:hAnsi="宋体" w:hint="eastAsia"/>
                    </w:rPr>
                    <w:t>硅质渣</w:t>
                  </w:r>
                </w:p>
              </w:tc>
              <w:tc>
                <w:tcPr>
                  <w:tcW w:w="1746" w:type="pct"/>
                  <w:vAlign w:val="center"/>
                </w:tcPr>
                <w:p w14:paraId="3CD21D65" w14:textId="77777777" w:rsidR="00F76A63" w:rsidRDefault="00000000">
                  <w:pPr>
                    <w:widowControl/>
                    <w:jc w:val="center"/>
                    <w:rPr>
                      <w:kern w:val="0"/>
                      <w:szCs w:val="21"/>
                    </w:rPr>
                  </w:pPr>
                  <w:r>
                    <w:rPr>
                      <w:rFonts w:ascii="宋体" w:hAnsi="宋体" w:hint="eastAsia"/>
                      <w:kern w:val="0"/>
                    </w:rPr>
                    <w:t>江苏台鑫美环境科技有限公司</w:t>
                  </w:r>
                </w:p>
              </w:tc>
              <w:tc>
                <w:tcPr>
                  <w:tcW w:w="1273" w:type="pct"/>
                  <w:vAlign w:val="center"/>
                </w:tcPr>
                <w:p w14:paraId="63BE92F1" w14:textId="77777777" w:rsidR="00F76A63" w:rsidRDefault="00000000">
                  <w:pPr>
                    <w:widowControl/>
                    <w:jc w:val="center"/>
                    <w:rPr>
                      <w:kern w:val="0"/>
                      <w:szCs w:val="21"/>
                    </w:rPr>
                  </w:pPr>
                  <w:r>
                    <w:t>139.231</w:t>
                  </w:r>
                </w:p>
              </w:tc>
            </w:tr>
            <w:tr w:rsidR="00F76A63" w14:paraId="0516EE2E" w14:textId="77777777">
              <w:trPr>
                <w:trHeight w:val="22"/>
                <w:jc w:val="center"/>
              </w:trPr>
              <w:tc>
                <w:tcPr>
                  <w:tcW w:w="759" w:type="pct"/>
                  <w:vAlign w:val="center"/>
                </w:tcPr>
                <w:p w14:paraId="32B4D716" w14:textId="77777777" w:rsidR="00F76A63" w:rsidRDefault="00000000">
                  <w:pPr>
                    <w:widowControl/>
                    <w:jc w:val="center"/>
                    <w:rPr>
                      <w:szCs w:val="21"/>
                    </w:rPr>
                  </w:pPr>
                  <w:r>
                    <w:rPr>
                      <w:rFonts w:hint="eastAsia"/>
                      <w:szCs w:val="21"/>
                    </w:rPr>
                    <w:t>9</w:t>
                  </w:r>
                </w:p>
              </w:tc>
              <w:tc>
                <w:tcPr>
                  <w:tcW w:w="1221" w:type="pct"/>
                  <w:vAlign w:val="center"/>
                </w:tcPr>
                <w:p w14:paraId="5EAC2B8D" w14:textId="77777777" w:rsidR="00F76A63" w:rsidRDefault="00000000">
                  <w:pPr>
                    <w:jc w:val="center"/>
                    <w:textAlignment w:val="baseline"/>
                    <w:rPr>
                      <w:rFonts w:ascii="宋体" w:hAnsi="宋体" w:hint="eastAsia"/>
                    </w:rPr>
                  </w:pPr>
                  <w:r>
                    <w:rPr>
                      <w:rFonts w:ascii="宋体" w:hAnsi="宋体" w:hint="eastAsia"/>
                    </w:rPr>
                    <w:t>污染土</w:t>
                  </w:r>
                </w:p>
              </w:tc>
              <w:tc>
                <w:tcPr>
                  <w:tcW w:w="1746" w:type="pct"/>
                  <w:vAlign w:val="center"/>
                </w:tcPr>
                <w:p w14:paraId="0E0FA1C8" w14:textId="77777777" w:rsidR="00F76A63" w:rsidRDefault="00000000">
                  <w:pPr>
                    <w:widowControl/>
                    <w:jc w:val="center"/>
                    <w:rPr>
                      <w:rFonts w:ascii="宋体" w:hAnsi="宋体" w:hint="eastAsia"/>
                      <w:kern w:val="0"/>
                    </w:rPr>
                  </w:pPr>
                  <w:r>
                    <w:rPr>
                      <w:rFonts w:ascii="宋体" w:hAnsi="宋体" w:hint="eastAsia"/>
                      <w:kern w:val="0"/>
                    </w:rPr>
                    <w:t>江苏环资台泥固废处置有限公司</w:t>
                  </w:r>
                </w:p>
              </w:tc>
              <w:tc>
                <w:tcPr>
                  <w:tcW w:w="1273" w:type="pct"/>
                  <w:vAlign w:val="center"/>
                </w:tcPr>
                <w:p w14:paraId="08BE3C2B" w14:textId="77777777" w:rsidR="00F76A63" w:rsidRDefault="00000000">
                  <w:pPr>
                    <w:widowControl/>
                    <w:jc w:val="center"/>
                  </w:pPr>
                  <w:r>
                    <w:rPr>
                      <w:rFonts w:hint="eastAsia"/>
                    </w:rPr>
                    <w:t>100000</w:t>
                  </w:r>
                </w:p>
              </w:tc>
            </w:tr>
          </w:tbl>
          <w:p w14:paraId="5BBC02CC" w14:textId="77777777" w:rsidR="00F76A63" w:rsidRDefault="00000000">
            <w:pPr>
              <w:spacing w:line="500" w:lineRule="exact"/>
              <w:jc w:val="center"/>
              <w:rPr>
                <w:b/>
                <w:bCs/>
                <w:kern w:val="0"/>
                <w:sz w:val="24"/>
              </w:rPr>
            </w:pPr>
            <w:r>
              <w:rPr>
                <w:b/>
                <w:bCs/>
                <w:kern w:val="0"/>
                <w:sz w:val="24"/>
                <w:szCs w:val="20"/>
              </w:rPr>
              <w:t>表</w:t>
            </w:r>
            <w:r>
              <w:rPr>
                <w:b/>
                <w:bCs/>
                <w:kern w:val="0"/>
                <w:sz w:val="24"/>
                <w:szCs w:val="20"/>
              </w:rPr>
              <w:t>2-</w:t>
            </w:r>
            <w:r>
              <w:rPr>
                <w:rFonts w:hint="eastAsia"/>
                <w:b/>
                <w:bCs/>
                <w:kern w:val="0"/>
                <w:sz w:val="24"/>
                <w:szCs w:val="20"/>
              </w:rPr>
              <w:t>40</w:t>
            </w:r>
            <w:r>
              <w:rPr>
                <w:b/>
                <w:bCs/>
                <w:kern w:val="0"/>
                <w:sz w:val="24"/>
                <w:szCs w:val="20"/>
              </w:rPr>
              <w:t xml:space="preserve">  </w:t>
            </w:r>
            <w:r>
              <w:rPr>
                <w:b/>
                <w:bCs/>
                <w:kern w:val="0"/>
                <w:sz w:val="24"/>
                <w:szCs w:val="20"/>
              </w:rPr>
              <w:t>现有项目主体工程及产品方案情况</w:t>
            </w:r>
            <w:r>
              <w:rPr>
                <w:b/>
                <w:bCs/>
                <w:kern w:val="0"/>
                <w:sz w:val="24"/>
              </w:rPr>
              <w:t>（万吨</w:t>
            </w:r>
            <w:r>
              <w:rPr>
                <w:b/>
                <w:bCs/>
                <w:kern w:val="0"/>
                <w:sz w:val="24"/>
              </w:rPr>
              <w:t>/</w:t>
            </w:r>
            <w:r>
              <w:rPr>
                <w:b/>
                <w:bCs/>
                <w:kern w:val="0"/>
                <w:sz w:val="24"/>
              </w:rPr>
              <w:t>年）</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035"/>
              <w:gridCol w:w="1669"/>
              <w:gridCol w:w="1814"/>
              <w:gridCol w:w="1984"/>
            </w:tblGrid>
            <w:tr w:rsidR="00F76A63" w14:paraId="3CC89DAA" w14:textId="77777777">
              <w:trPr>
                <w:jc w:val="center"/>
              </w:trPr>
              <w:tc>
                <w:tcPr>
                  <w:tcW w:w="2693" w:type="dxa"/>
                  <w:gridSpan w:val="2"/>
                  <w:tcBorders>
                    <w:top w:val="single" w:sz="12" w:space="0" w:color="auto"/>
                    <w:left w:val="nil"/>
                    <w:bottom w:val="single" w:sz="4" w:space="0" w:color="auto"/>
                    <w:right w:val="single" w:sz="4" w:space="0" w:color="auto"/>
                  </w:tcBorders>
                  <w:vAlign w:val="center"/>
                </w:tcPr>
                <w:p w14:paraId="56C42CC4" w14:textId="77777777" w:rsidR="00F76A63" w:rsidRDefault="00000000">
                  <w:pPr>
                    <w:adjustRightInd w:val="0"/>
                    <w:snapToGrid w:val="0"/>
                    <w:jc w:val="center"/>
                    <w:rPr>
                      <w:b/>
                      <w:bCs/>
                      <w:szCs w:val="21"/>
                    </w:rPr>
                  </w:pPr>
                  <w:r>
                    <w:rPr>
                      <w:b/>
                      <w:bCs/>
                    </w:rPr>
                    <w:t>产品</w:t>
                  </w:r>
                </w:p>
              </w:tc>
              <w:tc>
                <w:tcPr>
                  <w:tcW w:w="1658" w:type="dxa"/>
                  <w:tcBorders>
                    <w:top w:val="single" w:sz="12" w:space="0" w:color="auto"/>
                    <w:left w:val="single" w:sz="4" w:space="0" w:color="auto"/>
                    <w:bottom w:val="single" w:sz="4" w:space="0" w:color="auto"/>
                    <w:right w:val="single" w:sz="4" w:space="0" w:color="auto"/>
                  </w:tcBorders>
                  <w:vAlign w:val="center"/>
                </w:tcPr>
                <w:p w14:paraId="3EF6412E" w14:textId="77777777" w:rsidR="00F76A63" w:rsidRDefault="00000000">
                  <w:pPr>
                    <w:adjustRightInd w:val="0"/>
                    <w:snapToGrid w:val="0"/>
                    <w:jc w:val="center"/>
                    <w:rPr>
                      <w:b/>
                      <w:bCs/>
                    </w:rPr>
                  </w:pPr>
                  <w:r>
                    <w:rPr>
                      <w:b/>
                      <w:bCs/>
                    </w:rPr>
                    <w:t>一期</w:t>
                  </w:r>
                  <w:r>
                    <w:rPr>
                      <w:b/>
                      <w:bCs/>
                    </w:rPr>
                    <w:t>1#</w:t>
                  </w:r>
                </w:p>
              </w:tc>
              <w:tc>
                <w:tcPr>
                  <w:tcW w:w="1802" w:type="dxa"/>
                  <w:tcBorders>
                    <w:top w:val="single" w:sz="12" w:space="0" w:color="auto"/>
                    <w:left w:val="single" w:sz="4" w:space="0" w:color="auto"/>
                    <w:bottom w:val="single" w:sz="4" w:space="0" w:color="auto"/>
                    <w:right w:val="single" w:sz="4" w:space="0" w:color="auto"/>
                  </w:tcBorders>
                  <w:vAlign w:val="center"/>
                </w:tcPr>
                <w:p w14:paraId="082F63B9" w14:textId="77777777" w:rsidR="00F76A63" w:rsidRDefault="00000000">
                  <w:pPr>
                    <w:adjustRightInd w:val="0"/>
                    <w:snapToGrid w:val="0"/>
                    <w:jc w:val="center"/>
                    <w:rPr>
                      <w:b/>
                      <w:bCs/>
                    </w:rPr>
                  </w:pPr>
                  <w:r>
                    <w:rPr>
                      <w:b/>
                      <w:bCs/>
                    </w:rPr>
                    <w:t>二期</w:t>
                  </w:r>
                  <w:r>
                    <w:rPr>
                      <w:b/>
                      <w:bCs/>
                    </w:rPr>
                    <w:t>2#</w:t>
                  </w:r>
                </w:p>
              </w:tc>
              <w:tc>
                <w:tcPr>
                  <w:tcW w:w="1971" w:type="dxa"/>
                  <w:tcBorders>
                    <w:top w:val="single" w:sz="12" w:space="0" w:color="auto"/>
                    <w:left w:val="single" w:sz="4" w:space="0" w:color="auto"/>
                    <w:bottom w:val="single" w:sz="4" w:space="0" w:color="auto"/>
                    <w:right w:val="nil"/>
                  </w:tcBorders>
                  <w:vAlign w:val="center"/>
                </w:tcPr>
                <w:p w14:paraId="1D1153CD" w14:textId="77777777" w:rsidR="00F76A63" w:rsidRDefault="00000000">
                  <w:pPr>
                    <w:adjustRightInd w:val="0"/>
                    <w:snapToGrid w:val="0"/>
                    <w:jc w:val="center"/>
                    <w:rPr>
                      <w:b/>
                      <w:bCs/>
                    </w:rPr>
                  </w:pPr>
                  <w:r>
                    <w:rPr>
                      <w:b/>
                      <w:bCs/>
                    </w:rPr>
                    <w:t>全厂</w:t>
                  </w:r>
                </w:p>
              </w:tc>
            </w:tr>
            <w:tr w:rsidR="00F76A63" w14:paraId="743FD396" w14:textId="77777777">
              <w:trPr>
                <w:jc w:val="center"/>
              </w:trPr>
              <w:tc>
                <w:tcPr>
                  <w:tcW w:w="2693" w:type="dxa"/>
                  <w:gridSpan w:val="2"/>
                  <w:tcBorders>
                    <w:top w:val="single" w:sz="4" w:space="0" w:color="auto"/>
                    <w:left w:val="nil"/>
                    <w:bottom w:val="single" w:sz="4" w:space="0" w:color="auto"/>
                    <w:right w:val="single" w:sz="4" w:space="0" w:color="auto"/>
                  </w:tcBorders>
                  <w:vAlign w:val="center"/>
                </w:tcPr>
                <w:p w14:paraId="77555374" w14:textId="77777777" w:rsidR="00F76A63" w:rsidRDefault="00000000">
                  <w:pPr>
                    <w:adjustRightInd w:val="0"/>
                    <w:snapToGrid w:val="0"/>
                    <w:jc w:val="center"/>
                    <w:rPr>
                      <w:b/>
                      <w:bCs/>
                    </w:rPr>
                  </w:pPr>
                  <w:r>
                    <w:rPr>
                      <w:b/>
                      <w:bCs/>
                    </w:rPr>
                    <w:t>熟料</w:t>
                  </w:r>
                </w:p>
              </w:tc>
              <w:tc>
                <w:tcPr>
                  <w:tcW w:w="1658" w:type="dxa"/>
                  <w:tcBorders>
                    <w:top w:val="single" w:sz="4" w:space="0" w:color="auto"/>
                    <w:left w:val="single" w:sz="4" w:space="0" w:color="auto"/>
                    <w:bottom w:val="single" w:sz="4" w:space="0" w:color="auto"/>
                    <w:right w:val="single" w:sz="4" w:space="0" w:color="auto"/>
                  </w:tcBorders>
                  <w:vAlign w:val="center"/>
                </w:tcPr>
                <w:p w14:paraId="1F6F7B09" w14:textId="77777777" w:rsidR="00F76A63" w:rsidRDefault="00000000">
                  <w:pPr>
                    <w:adjustRightInd w:val="0"/>
                    <w:snapToGrid w:val="0"/>
                    <w:jc w:val="center"/>
                  </w:pPr>
                  <w:r>
                    <w:t>150</w:t>
                  </w:r>
                </w:p>
              </w:tc>
              <w:tc>
                <w:tcPr>
                  <w:tcW w:w="1802" w:type="dxa"/>
                  <w:tcBorders>
                    <w:top w:val="single" w:sz="4" w:space="0" w:color="auto"/>
                    <w:left w:val="single" w:sz="4" w:space="0" w:color="auto"/>
                    <w:bottom w:val="single" w:sz="4" w:space="0" w:color="auto"/>
                    <w:right w:val="single" w:sz="4" w:space="0" w:color="auto"/>
                  </w:tcBorders>
                  <w:vAlign w:val="center"/>
                </w:tcPr>
                <w:p w14:paraId="12CFBF58" w14:textId="77777777" w:rsidR="00F76A63" w:rsidRDefault="00000000">
                  <w:pPr>
                    <w:adjustRightInd w:val="0"/>
                    <w:snapToGrid w:val="0"/>
                    <w:jc w:val="center"/>
                  </w:pPr>
                  <w:r>
                    <w:t>186</w:t>
                  </w:r>
                </w:p>
              </w:tc>
              <w:tc>
                <w:tcPr>
                  <w:tcW w:w="1971" w:type="dxa"/>
                  <w:tcBorders>
                    <w:top w:val="single" w:sz="4" w:space="0" w:color="auto"/>
                    <w:left w:val="single" w:sz="4" w:space="0" w:color="auto"/>
                    <w:bottom w:val="single" w:sz="4" w:space="0" w:color="auto"/>
                    <w:right w:val="nil"/>
                  </w:tcBorders>
                  <w:vAlign w:val="center"/>
                </w:tcPr>
                <w:p w14:paraId="46EC59DA" w14:textId="77777777" w:rsidR="00F76A63" w:rsidRDefault="00000000">
                  <w:pPr>
                    <w:adjustRightInd w:val="0"/>
                    <w:snapToGrid w:val="0"/>
                    <w:jc w:val="center"/>
                  </w:pPr>
                  <w:r>
                    <w:t>336</w:t>
                  </w:r>
                </w:p>
              </w:tc>
            </w:tr>
            <w:tr w:rsidR="00F76A63" w14:paraId="00EB15D8" w14:textId="77777777">
              <w:trPr>
                <w:jc w:val="center"/>
              </w:trPr>
              <w:tc>
                <w:tcPr>
                  <w:tcW w:w="671" w:type="dxa"/>
                  <w:vMerge w:val="restart"/>
                  <w:tcBorders>
                    <w:top w:val="single" w:sz="4" w:space="0" w:color="auto"/>
                    <w:left w:val="nil"/>
                    <w:bottom w:val="single" w:sz="12" w:space="0" w:color="auto"/>
                    <w:right w:val="single" w:sz="4" w:space="0" w:color="auto"/>
                  </w:tcBorders>
                  <w:vAlign w:val="center"/>
                </w:tcPr>
                <w:p w14:paraId="4FA52810" w14:textId="77777777" w:rsidR="00F76A63" w:rsidRDefault="00000000">
                  <w:pPr>
                    <w:widowControl/>
                    <w:autoSpaceDE w:val="0"/>
                    <w:autoSpaceDN w:val="0"/>
                    <w:adjustRightInd w:val="0"/>
                    <w:snapToGrid w:val="0"/>
                    <w:jc w:val="center"/>
                    <w:textAlignment w:val="bottom"/>
                  </w:pPr>
                  <w:r>
                    <w:t>水泥</w:t>
                  </w:r>
                </w:p>
              </w:tc>
              <w:tc>
                <w:tcPr>
                  <w:tcW w:w="2022" w:type="dxa"/>
                  <w:tcBorders>
                    <w:top w:val="single" w:sz="4" w:space="0" w:color="auto"/>
                    <w:left w:val="single" w:sz="4" w:space="0" w:color="auto"/>
                    <w:bottom w:val="single" w:sz="4" w:space="0" w:color="auto"/>
                    <w:right w:val="single" w:sz="4" w:space="0" w:color="auto"/>
                  </w:tcBorders>
                  <w:vAlign w:val="center"/>
                </w:tcPr>
                <w:p w14:paraId="0DFED059" w14:textId="77777777" w:rsidR="00F76A63" w:rsidRDefault="00000000">
                  <w:pPr>
                    <w:autoSpaceDE w:val="0"/>
                    <w:autoSpaceDN w:val="0"/>
                    <w:adjustRightInd w:val="0"/>
                    <w:snapToGrid w:val="0"/>
                    <w:jc w:val="center"/>
                    <w:textAlignment w:val="bottom"/>
                  </w:pPr>
                  <w:r>
                    <w:t>PII52.5R</w:t>
                  </w:r>
                </w:p>
              </w:tc>
              <w:tc>
                <w:tcPr>
                  <w:tcW w:w="1658" w:type="dxa"/>
                  <w:tcBorders>
                    <w:top w:val="single" w:sz="4" w:space="0" w:color="auto"/>
                    <w:left w:val="single" w:sz="4" w:space="0" w:color="auto"/>
                    <w:bottom w:val="single" w:sz="4" w:space="0" w:color="auto"/>
                    <w:right w:val="single" w:sz="4" w:space="0" w:color="auto"/>
                  </w:tcBorders>
                  <w:vAlign w:val="center"/>
                </w:tcPr>
                <w:p w14:paraId="038B9458" w14:textId="77777777" w:rsidR="00F76A63" w:rsidRDefault="00000000">
                  <w:pPr>
                    <w:adjustRightInd w:val="0"/>
                    <w:snapToGrid w:val="0"/>
                    <w:jc w:val="center"/>
                  </w:pPr>
                  <w:r>
                    <w:t>112</w:t>
                  </w:r>
                </w:p>
              </w:tc>
              <w:tc>
                <w:tcPr>
                  <w:tcW w:w="1802" w:type="dxa"/>
                  <w:tcBorders>
                    <w:top w:val="single" w:sz="4" w:space="0" w:color="auto"/>
                    <w:left w:val="single" w:sz="4" w:space="0" w:color="auto"/>
                    <w:bottom w:val="single" w:sz="4" w:space="0" w:color="auto"/>
                    <w:right w:val="single" w:sz="4" w:space="0" w:color="auto"/>
                  </w:tcBorders>
                  <w:vAlign w:val="center"/>
                </w:tcPr>
                <w:p w14:paraId="1CC69550" w14:textId="77777777" w:rsidR="00F76A63" w:rsidRDefault="00000000">
                  <w:pPr>
                    <w:adjustRightInd w:val="0"/>
                    <w:snapToGrid w:val="0"/>
                    <w:jc w:val="center"/>
                  </w:pPr>
                  <w:r>
                    <w:t>55</w:t>
                  </w:r>
                </w:p>
              </w:tc>
              <w:tc>
                <w:tcPr>
                  <w:tcW w:w="1971" w:type="dxa"/>
                  <w:tcBorders>
                    <w:top w:val="single" w:sz="4" w:space="0" w:color="auto"/>
                    <w:left w:val="single" w:sz="4" w:space="0" w:color="auto"/>
                    <w:bottom w:val="single" w:sz="4" w:space="0" w:color="auto"/>
                    <w:right w:val="nil"/>
                  </w:tcBorders>
                  <w:vAlign w:val="center"/>
                </w:tcPr>
                <w:p w14:paraId="095AF163" w14:textId="77777777" w:rsidR="00F76A63" w:rsidRDefault="00000000">
                  <w:pPr>
                    <w:adjustRightInd w:val="0"/>
                    <w:snapToGrid w:val="0"/>
                    <w:jc w:val="center"/>
                  </w:pPr>
                  <w:r>
                    <w:t>167</w:t>
                  </w:r>
                </w:p>
              </w:tc>
            </w:tr>
            <w:tr w:rsidR="00F76A63" w14:paraId="19AEF712" w14:textId="77777777">
              <w:trPr>
                <w:jc w:val="center"/>
              </w:trPr>
              <w:tc>
                <w:tcPr>
                  <w:tcW w:w="671" w:type="dxa"/>
                  <w:vMerge/>
                  <w:tcBorders>
                    <w:top w:val="single" w:sz="4" w:space="0" w:color="auto"/>
                    <w:left w:val="nil"/>
                    <w:bottom w:val="single" w:sz="12" w:space="0" w:color="auto"/>
                    <w:right w:val="single" w:sz="4" w:space="0" w:color="auto"/>
                  </w:tcBorders>
                  <w:vAlign w:val="center"/>
                </w:tcPr>
                <w:p w14:paraId="55B1BFC2" w14:textId="77777777" w:rsidR="00F76A63" w:rsidRDefault="00F76A63">
                  <w:pPr>
                    <w:widowControl/>
                    <w:jc w:val="left"/>
                    <w:rPr>
                      <w:szCs w:val="21"/>
                    </w:rPr>
                  </w:pPr>
                </w:p>
              </w:tc>
              <w:tc>
                <w:tcPr>
                  <w:tcW w:w="2022" w:type="dxa"/>
                  <w:tcBorders>
                    <w:top w:val="single" w:sz="4" w:space="0" w:color="auto"/>
                    <w:left w:val="single" w:sz="4" w:space="0" w:color="auto"/>
                    <w:bottom w:val="single" w:sz="4" w:space="0" w:color="auto"/>
                    <w:right w:val="single" w:sz="4" w:space="0" w:color="auto"/>
                  </w:tcBorders>
                  <w:vAlign w:val="center"/>
                </w:tcPr>
                <w:p w14:paraId="1F16497A" w14:textId="77777777" w:rsidR="00F76A63" w:rsidRDefault="00000000">
                  <w:pPr>
                    <w:autoSpaceDE w:val="0"/>
                    <w:autoSpaceDN w:val="0"/>
                    <w:adjustRightInd w:val="0"/>
                    <w:snapToGrid w:val="0"/>
                    <w:jc w:val="center"/>
                    <w:textAlignment w:val="bottom"/>
                  </w:pPr>
                  <w:r>
                    <w:t>PO42.5R</w:t>
                  </w:r>
                </w:p>
              </w:tc>
              <w:tc>
                <w:tcPr>
                  <w:tcW w:w="1658" w:type="dxa"/>
                  <w:tcBorders>
                    <w:top w:val="single" w:sz="4" w:space="0" w:color="auto"/>
                    <w:left w:val="single" w:sz="4" w:space="0" w:color="auto"/>
                    <w:bottom w:val="single" w:sz="4" w:space="0" w:color="auto"/>
                    <w:right w:val="single" w:sz="4" w:space="0" w:color="auto"/>
                  </w:tcBorders>
                  <w:vAlign w:val="center"/>
                </w:tcPr>
                <w:p w14:paraId="350D7DA6" w14:textId="77777777" w:rsidR="00F76A63" w:rsidRDefault="00000000">
                  <w:pPr>
                    <w:adjustRightInd w:val="0"/>
                    <w:snapToGrid w:val="0"/>
                    <w:jc w:val="center"/>
                  </w:pPr>
                  <w:r>
                    <w:t>168</w:t>
                  </w:r>
                </w:p>
              </w:tc>
              <w:tc>
                <w:tcPr>
                  <w:tcW w:w="1802" w:type="dxa"/>
                  <w:tcBorders>
                    <w:top w:val="single" w:sz="4" w:space="0" w:color="auto"/>
                    <w:left w:val="single" w:sz="4" w:space="0" w:color="auto"/>
                    <w:bottom w:val="single" w:sz="4" w:space="0" w:color="auto"/>
                    <w:right w:val="single" w:sz="4" w:space="0" w:color="auto"/>
                  </w:tcBorders>
                  <w:vAlign w:val="center"/>
                </w:tcPr>
                <w:p w14:paraId="619A2936" w14:textId="77777777" w:rsidR="00F76A63" w:rsidRDefault="00000000">
                  <w:pPr>
                    <w:adjustRightInd w:val="0"/>
                    <w:snapToGrid w:val="0"/>
                    <w:jc w:val="center"/>
                  </w:pPr>
                  <w:r>
                    <w:t>55</w:t>
                  </w:r>
                </w:p>
              </w:tc>
              <w:tc>
                <w:tcPr>
                  <w:tcW w:w="1971" w:type="dxa"/>
                  <w:tcBorders>
                    <w:top w:val="single" w:sz="4" w:space="0" w:color="auto"/>
                    <w:left w:val="single" w:sz="4" w:space="0" w:color="auto"/>
                    <w:bottom w:val="single" w:sz="4" w:space="0" w:color="auto"/>
                    <w:right w:val="nil"/>
                  </w:tcBorders>
                  <w:vAlign w:val="center"/>
                </w:tcPr>
                <w:p w14:paraId="722BE9A3" w14:textId="77777777" w:rsidR="00F76A63" w:rsidRDefault="00000000">
                  <w:pPr>
                    <w:adjustRightInd w:val="0"/>
                    <w:snapToGrid w:val="0"/>
                    <w:jc w:val="center"/>
                  </w:pPr>
                  <w:r>
                    <w:t>223</w:t>
                  </w:r>
                </w:p>
              </w:tc>
            </w:tr>
            <w:tr w:rsidR="00F76A63" w14:paraId="56B05221" w14:textId="77777777">
              <w:trPr>
                <w:jc w:val="center"/>
              </w:trPr>
              <w:tc>
                <w:tcPr>
                  <w:tcW w:w="671" w:type="dxa"/>
                  <w:vMerge/>
                  <w:tcBorders>
                    <w:top w:val="single" w:sz="4" w:space="0" w:color="auto"/>
                    <w:left w:val="nil"/>
                    <w:bottom w:val="single" w:sz="12" w:space="0" w:color="auto"/>
                    <w:right w:val="single" w:sz="4" w:space="0" w:color="auto"/>
                  </w:tcBorders>
                  <w:vAlign w:val="center"/>
                </w:tcPr>
                <w:p w14:paraId="684933E5" w14:textId="77777777" w:rsidR="00F76A63" w:rsidRDefault="00F76A63">
                  <w:pPr>
                    <w:widowControl/>
                    <w:jc w:val="left"/>
                    <w:rPr>
                      <w:szCs w:val="21"/>
                    </w:rPr>
                  </w:pPr>
                </w:p>
              </w:tc>
              <w:tc>
                <w:tcPr>
                  <w:tcW w:w="2022" w:type="dxa"/>
                  <w:tcBorders>
                    <w:top w:val="single" w:sz="4" w:space="0" w:color="auto"/>
                    <w:left w:val="single" w:sz="4" w:space="0" w:color="auto"/>
                    <w:bottom w:val="single" w:sz="12" w:space="0" w:color="auto"/>
                    <w:right w:val="single" w:sz="4" w:space="0" w:color="auto"/>
                  </w:tcBorders>
                  <w:vAlign w:val="center"/>
                </w:tcPr>
                <w:p w14:paraId="5B58C789" w14:textId="77777777" w:rsidR="00F76A63" w:rsidRDefault="00000000">
                  <w:pPr>
                    <w:widowControl/>
                    <w:autoSpaceDE w:val="0"/>
                    <w:autoSpaceDN w:val="0"/>
                    <w:adjustRightInd w:val="0"/>
                    <w:snapToGrid w:val="0"/>
                    <w:jc w:val="center"/>
                    <w:textAlignment w:val="bottom"/>
                    <w:rPr>
                      <w:b/>
                      <w:spacing w:val="8"/>
                      <w:kern w:val="24"/>
                    </w:rPr>
                  </w:pPr>
                  <w:r>
                    <w:rPr>
                      <w:b/>
                    </w:rPr>
                    <w:t>水泥产能小计</w:t>
                  </w:r>
                </w:p>
              </w:tc>
              <w:tc>
                <w:tcPr>
                  <w:tcW w:w="1658" w:type="dxa"/>
                  <w:tcBorders>
                    <w:top w:val="single" w:sz="4" w:space="0" w:color="auto"/>
                    <w:left w:val="single" w:sz="4" w:space="0" w:color="auto"/>
                    <w:bottom w:val="single" w:sz="12" w:space="0" w:color="auto"/>
                    <w:right w:val="single" w:sz="4" w:space="0" w:color="auto"/>
                  </w:tcBorders>
                  <w:vAlign w:val="center"/>
                </w:tcPr>
                <w:p w14:paraId="77EBA975" w14:textId="77777777" w:rsidR="00F76A63" w:rsidRDefault="00000000">
                  <w:pPr>
                    <w:adjustRightInd w:val="0"/>
                    <w:snapToGrid w:val="0"/>
                    <w:jc w:val="center"/>
                    <w:rPr>
                      <w:b/>
                    </w:rPr>
                  </w:pPr>
                  <w:r>
                    <w:rPr>
                      <w:b/>
                    </w:rPr>
                    <w:t>280</w:t>
                  </w:r>
                </w:p>
              </w:tc>
              <w:tc>
                <w:tcPr>
                  <w:tcW w:w="1802" w:type="dxa"/>
                  <w:tcBorders>
                    <w:top w:val="single" w:sz="4" w:space="0" w:color="auto"/>
                    <w:left w:val="single" w:sz="4" w:space="0" w:color="auto"/>
                    <w:bottom w:val="single" w:sz="12" w:space="0" w:color="auto"/>
                    <w:right w:val="single" w:sz="4" w:space="0" w:color="auto"/>
                  </w:tcBorders>
                  <w:vAlign w:val="center"/>
                </w:tcPr>
                <w:p w14:paraId="26D0F3C7" w14:textId="77777777" w:rsidR="00F76A63" w:rsidRDefault="00000000">
                  <w:pPr>
                    <w:adjustRightInd w:val="0"/>
                    <w:snapToGrid w:val="0"/>
                    <w:jc w:val="center"/>
                    <w:rPr>
                      <w:b/>
                    </w:rPr>
                  </w:pPr>
                  <w:r>
                    <w:rPr>
                      <w:b/>
                    </w:rPr>
                    <w:t>110</w:t>
                  </w:r>
                </w:p>
              </w:tc>
              <w:tc>
                <w:tcPr>
                  <w:tcW w:w="1971" w:type="dxa"/>
                  <w:tcBorders>
                    <w:top w:val="single" w:sz="4" w:space="0" w:color="auto"/>
                    <w:left w:val="single" w:sz="4" w:space="0" w:color="auto"/>
                    <w:bottom w:val="single" w:sz="12" w:space="0" w:color="auto"/>
                    <w:right w:val="nil"/>
                  </w:tcBorders>
                  <w:vAlign w:val="center"/>
                </w:tcPr>
                <w:p w14:paraId="3924DFF3" w14:textId="77777777" w:rsidR="00F76A63" w:rsidRDefault="00000000">
                  <w:pPr>
                    <w:adjustRightInd w:val="0"/>
                    <w:snapToGrid w:val="0"/>
                    <w:jc w:val="center"/>
                    <w:rPr>
                      <w:b/>
                    </w:rPr>
                  </w:pPr>
                  <w:r>
                    <w:rPr>
                      <w:b/>
                    </w:rPr>
                    <w:t>390</w:t>
                  </w:r>
                </w:p>
              </w:tc>
            </w:tr>
          </w:tbl>
          <w:p w14:paraId="454BA88F" w14:textId="77777777" w:rsidR="00F76A63" w:rsidRDefault="00000000">
            <w:pPr>
              <w:keepNext/>
              <w:keepLines/>
              <w:widowControl/>
              <w:tabs>
                <w:tab w:val="left" w:pos="2340"/>
              </w:tabs>
              <w:adjustRightInd w:val="0"/>
              <w:snapToGrid w:val="0"/>
              <w:spacing w:line="500" w:lineRule="exact"/>
              <w:ind w:firstLineChars="200" w:firstLine="482"/>
              <w:rPr>
                <w:b/>
                <w:bCs/>
                <w:kern w:val="0"/>
                <w:sz w:val="24"/>
              </w:rPr>
            </w:pPr>
            <w:r>
              <w:rPr>
                <w:b/>
                <w:bCs/>
                <w:kern w:val="0"/>
                <w:sz w:val="24"/>
              </w:rPr>
              <w:t>二、现有项目建设情况</w:t>
            </w:r>
          </w:p>
          <w:p w14:paraId="028E575C" w14:textId="77777777" w:rsidR="00F76A63" w:rsidRDefault="00000000">
            <w:pPr>
              <w:adjustRightInd w:val="0"/>
              <w:snapToGrid w:val="0"/>
              <w:spacing w:line="500" w:lineRule="exact"/>
              <w:ind w:firstLineChars="200" w:firstLine="482"/>
              <w:rPr>
                <w:b/>
                <w:bCs/>
                <w:sz w:val="24"/>
              </w:rPr>
            </w:pPr>
            <w:r>
              <w:rPr>
                <w:b/>
                <w:bCs/>
                <w:sz w:val="24"/>
              </w:rPr>
              <w:t>1</w:t>
            </w:r>
            <w:r>
              <w:rPr>
                <w:b/>
                <w:bCs/>
                <w:sz w:val="24"/>
              </w:rPr>
              <w:t>、已建工程建设情况</w:t>
            </w:r>
          </w:p>
          <w:p w14:paraId="29BA1CFF" w14:textId="77777777" w:rsidR="00F76A63" w:rsidRDefault="00000000">
            <w:pPr>
              <w:keepNext/>
              <w:keepLines/>
              <w:widowControl/>
              <w:tabs>
                <w:tab w:val="left" w:pos="2340"/>
              </w:tabs>
              <w:adjustRightInd w:val="0"/>
              <w:snapToGrid w:val="0"/>
              <w:spacing w:line="500" w:lineRule="exact"/>
              <w:ind w:firstLineChars="200" w:firstLine="480"/>
              <w:rPr>
                <w:kern w:val="0"/>
                <w:sz w:val="24"/>
              </w:rPr>
            </w:pPr>
            <w:r>
              <w:rPr>
                <w:kern w:val="0"/>
                <w:sz w:val="24"/>
              </w:rPr>
              <w:lastRenderedPageBreak/>
              <w:t>本次评价根据现有工程实际情况进行介绍，重点对一期、二期（</w:t>
            </w:r>
            <w:r>
              <w:rPr>
                <w:kern w:val="0"/>
                <w:sz w:val="24"/>
              </w:rPr>
              <w:t>1#</w:t>
            </w:r>
            <w:r>
              <w:rPr>
                <w:kern w:val="0"/>
                <w:sz w:val="24"/>
              </w:rPr>
              <w:t>、</w:t>
            </w:r>
            <w:r>
              <w:rPr>
                <w:kern w:val="0"/>
                <w:sz w:val="24"/>
              </w:rPr>
              <w:t>2#</w:t>
            </w:r>
            <w:r>
              <w:rPr>
                <w:kern w:val="0"/>
                <w:sz w:val="24"/>
              </w:rPr>
              <w:t>）水泥生产线及配套工艺进行介绍，对码头、矿山矿区的建设内容不进行详述。</w:t>
            </w:r>
          </w:p>
          <w:p w14:paraId="63F71B6F" w14:textId="77777777" w:rsidR="00F76A63" w:rsidRDefault="00000000">
            <w:pPr>
              <w:adjustRightInd w:val="0"/>
              <w:snapToGrid w:val="0"/>
              <w:spacing w:line="500" w:lineRule="exact"/>
              <w:ind w:firstLineChars="200" w:firstLine="482"/>
              <w:rPr>
                <w:b/>
                <w:bCs/>
                <w:sz w:val="24"/>
              </w:rPr>
            </w:pPr>
            <w:r>
              <w:rPr>
                <w:b/>
                <w:bCs/>
                <w:sz w:val="24"/>
              </w:rPr>
              <w:t>（</w:t>
            </w:r>
            <w:r>
              <w:rPr>
                <w:b/>
                <w:bCs/>
                <w:sz w:val="24"/>
              </w:rPr>
              <w:t>1</w:t>
            </w:r>
            <w:r>
              <w:rPr>
                <w:b/>
                <w:bCs/>
                <w:sz w:val="24"/>
              </w:rPr>
              <w:t>）主要工程组成</w:t>
            </w:r>
          </w:p>
          <w:p w14:paraId="19E45608" w14:textId="77777777" w:rsidR="00F76A63" w:rsidRDefault="00000000">
            <w:pPr>
              <w:adjustRightInd w:val="0"/>
              <w:snapToGrid w:val="0"/>
              <w:spacing w:line="500" w:lineRule="exact"/>
              <w:jc w:val="center"/>
              <w:rPr>
                <w:b/>
                <w:bCs/>
                <w:sz w:val="24"/>
              </w:rPr>
            </w:pPr>
            <w:r>
              <w:rPr>
                <w:b/>
                <w:bCs/>
                <w:sz w:val="24"/>
              </w:rPr>
              <w:t>表</w:t>
            </w:r>
            <w:r>
              <w:rPr>
                <w:b/>
                <w:bCs/>
                <w:sz w:val="24"/>
              </w:rPr>
              <w:t>2-</w:t>
            </w:r>
            <w:r>
              <w:rPr>
                <w:rFonts w:hint="eastAsia"/>
                <w:b/>
                <w:bCs/>
                <w:sz w:val="24"/>
              </w:rPr>
              <w:t>41</w:t>
            </w:r>
            <w:r>
              <w:rPr>
                <w:b/>
                <w:bCs/>
                <w:sz w:val="24"/>
              </w:rPr>
              <w:t xml:space="preserve">  </w:t>
            </w:r>
            <w:r>
              <w:rPr>
                <w:b/>
                <w:bCs/>
                <w:sz w:val="24"/>
              </w:rPr>
              <w:t>已建工程建设情况</w:t>
            </w:r>
          </w:p>
          <w:tbl>
            <w:tblPr>
              <w:tblW w:w="4973" w:type="pct"/>
              <w:jc w:val="center"/>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066"/>
              <w:gridCol w:w="1729"/>
              <w:gridCol w:w="794"/>
              <w:gridCol w:w="3879"/>
              <w:gridCol w:w="665"/>
            </w:tblGrid>
            <w:tr w:rsidR="00F76A63" w14:paraId="3F604852" w14:textId="77777777">
              <w:trPr>
                <w:jc w:val="center"/>
              </w:trPr>
              <w:tc>
                <w:tcPr>
                  <w:tcW w:w="655" w:type="pct"/>
                  <w:vAlign w:val="center"/>
                </w:tcPr>
                <w:p w14:paraId="67C5292D" w14:textId="77777777" w:rsidR="00F76A63" w:rsidRDefault="00000000">
                  <w:pPr>
                    <w:pStyle w:val="000"/>
                    <w:rPr>
                      <w:b/>
                      <w:bCs w:val="0"/>
                    </w:rPr>
                  </w:pPr>
                  <w:r>
                    <w:rPr>
                      <w:b/>
                      <w:bCs w:val="0"/>
                    </w:rPr>
                    <w:t>工程类型</w:t>
                  </w:r>
                </w:p>
              </w:tc>
              <w:tc>
                <w:tcPr>
                  <w:tcW w:w="1063" w:type="pct"/>
                  <w:vAlign w:val="center"/>
                </w:tcPr>
                <w:p w14:paraId="11C98D00" w14:textId="77777777" w:rsidR="00F76A63" w:rsidRDefault="00000000">
                  <w:pPr>
                    <w:pStyle w:val="000"/>
                    <w:rPr>
                      <w:b/>
                      <w:bCs w:val="0"/>
                    </w:rPr>
                  </w:pPr>
                  <w:r>
                    <w:rPr>
                      <w:b/>
                      <w:bCs w:val="0"/>
                    </w:rPr>
                    <w:t>项目名称</w:t>
                  </w:r>
                </w:p>
              </w:tc>
              <w:tc>
                <w:tcPr>
                  <w:tcW w:w="2873" w:type="pct"/>
                  <w:gridSpan w:val="2"/>
                  <w:vAlign w:val="center"/>
                </w:tcPr>
                <w:p w14:paraId="7C32F0D1" w14:textId="77777777" w:rsidR="00F76A63" w:rsidRDefault="00000000">
                  <w:pPr>
                    <w:pStyle w:val="000"/>
                    <w:rPr>
                      <w:b/>
                      <w:bCs w:val="0"/>
                    </w:rPr>
                  </w:pPr>
                  <w:r>
                    <w:rPr>
                      <w:b/>
                      <w:bCs w:val="0"/>
                    </w:rPr>
                    <w:t>主要组成及建设内容</w:t>
                  </w:r>
                </w:p>
              </w:tc>
              <w:tc>
                <w:tcPr>
                  <w:tcW w:w="409" w:type="pct"/>
                  <w:vAlign w:val="center"/>
                </w:tcPr>
                <w:p w14:paraId="494D8E7E" w14:textId="77777777" w:rsidR="00F76A63" w:rsidRDefault="00000000">
                  <w:pPr>
                    <w:pStyle w:val="000"/>
                    <w:rPr>
                      <w:b/>
                      <w:bCs w:val="0"/>
                    </w:rPr>
                  </w:pPr>
                  <w:r>
                    <w:rPr>
                      <w:b/>
                      <w:bCs w:val="0"/>
                    </w:rPr>
                    <w:t>建设情况</w:t>
                  </w:r>
                </w:p>
              </w:tc>
            </w:tr>
            <w:tr w:rsidR="00F76A63" w14:paraId="77EAD0D7" w14:textId="77777777">
              <w:trPr>
                <w:jc w:val="center"/>
              </w:trPr>
              <w:tc>
                <w:tcPr>
                  <w:tcW w:w="655" w:type="pct"/>
                  <w:vMerge w:val="restart"/>
                  <w:vAlign w:val="center"/>
                </w:tcPr>
                <w:p w14:paraId="6BC355BE" w14:textId="77777777" w:rsidR="00F76A63" w:rsidRDefault="00000000">
                  <w:pPr>
                    <w:pStyle w:val="000"/>
                  </w:pPr>
                  <w:r>
                    <w:t>主体工程</w:t>
                  </w:r>
                </w:p>
              </w:tc>
              <w:tc>
                <w:tcPr>
                  <w:tcW w:w="1063" w:type="pct"/>
                  <w:vMerge w:val="restart"/>
                  <w:vAlign w:val="center"/>
                </w:tcPr>
                <w:p w14:paraId="3FBD3FB4" w14:textId="77777777" w:rsidR="00F76A63" w:rsidRDefault="00000000">
                  <w:pPr>
                    <w:pStyle w:val="000"/>
                  </w:pPr>
                  <w:r>
                    <w:t>新型干法水泥窑生产线</w:t>
                  </w:r>
                </w:p>
              </w:tc>
              <w:tc>
                <w:tcPr>
                  <w:tcW w:w="2873" w:type="pct"/>
                  <w:gridSpan w:val="2"/>
                  <w:vAlign w:val="center"/>
                </w:tcPr>
                <w:p w14:paraId="5A41A299" w14:textId="77777777" w:rsidR="00F76A63" w:rsidRDefault="00000000">
                  <w:pPr>
                    <w:pStyle w:val="000"/>
                  </w:pPr>
                  <w:r>
                    <w:t>现有一期、二期</w:t>
                  </w:r>
                  <w:r>
                    <w:t>1#</w:t>
                  </w:r>
                  <w:r>
                    <w:t>、</w:t>
                  </w:r>
                  <w:r>
                    <w:t>2#</w:t>
                  </w:r>
                  <w:r>
                    <w:t>两条已建的水泥熟料生产线，均由原料破碎、输送及预均化，原料调配和原料粉磨，煤粉制备，熟料烧成系统和熟料储存等部分组成。本次依托一期</w:t>
                  </w:r>
                  <w:r>
                    <w:t>1#</w:t>
                  </w:r>
                  <w:r>
                    <w:t>生产线和二期</w:t>
                  </w:r>
                  <w:r>
                    <w:t>2#</w:t>
                  </w:r>
                  <w:r>
                    <w:t>生产线。</w:t>
                  </w:r>
                </w:p>
              </w:tc>
              <w:tc>
                <w:tcPr>
                  <w:tcW w:w="409" w:type="pct"/>
                  <w:vAlign w:val="center"/>
                </w:tcPr>
                <w:p w14:paraId="2307A8FE" w14:textId="77777777" w:rsidR="00F76A63" w:rsidRDefault="00000000">
                  <w:pPr>
                    <w:pStyle w:val="000"/>
                  </w:pPr>
                  <w:r>
                    <w:t>已建</w:t>
                  </w:r>
                </w:p>
              </w:tc>
            </w:tr>
            <w:tr w:rsidR="00F76A63" w14:paraId="4D9DFBDF" w14:textId="77777777">
              <w:trPr>
                <w:jc w:val="center"/>
              </w:trPr>
              <w:tc>
                <w:tcPr>
                  <w:tcW w:w="655" w:type="pct"/>
                  <w:vMerge/>
                  <w:vAlign w:val="center"/>
                </w:tcPr>
                <w:p w14:paraId="065ACDA2" w14:textId="77777777" w:rsidR="00F76A63" w:rsidRDefault="00F76A63">
                  <w:pPr>
                    <w:rPr>
                      <w:bCs/>
                      <w:kern w:val="28"/>
                      <w:szCs w:val="21"/>
                    </w:rPr>
                  </w:pPr>
                </w:p>
              </w:tc>
              <w:tc>
                <w:tcPr>
                  <w:tcW w:w="1063" w:type="pct"/>
                  <w:vMerge/>
                  <w:vAlign w:val="center"/>
                </w:tcPr>
                <w:p w14:paraId="648F6756" w14:textId="77777777" w:rsidR="00F76A63" w:rsidRDefault="00F76A63">
                  <w:pPr>
                    <w:rPr>
                      <w:bCs/>
                      <w:kern w:val="28"/>
                      <w:szCs w:val="21"/>
                    </w:rPr>
                  </w:pPr>
                </w:p>
              </w:tc>
              <w:tc>
                <w:tcPr>
                  <w:tcW w:w="2873" w:type="pct"/>
                  <w:gridSpan w:val="2"/>
                  <w:vAlign w:val="center"/>
                </w:tcPr>
                <w:p w14:paraId="6C7C43E1" w14:textId="77777777" w:rsidR="00F76A63" w:rsidRDefault="00000000">
                  <w:pPr>
                    <w:pStyle w:val="000"/>
                  </w:pPr>
                  <w:r>
                    <w:t>20MW</w:t>
                  </w:r>
                  <w:r>
                    <w:t>余热发电系统</w:t>
                  </w:r>
                </w:p>
              </w:tc>
              <w:tc>
                <w:tcPr>
                  <w:tcW w:w="409" w:type="pct"/>
                  <w:vAlign w:val="center"/>
                </w:tcPr>
                <w:p w14:paraId="7644EF51" w14:textId="77777777" w:rsidR="00F76A63" w:rsidRDefault="00000000">
                  <w:pPr>
                    <w:pStyle w:val="000"/>
                  </w:pPr>
                  <w:r>
                    <w:t>已建</w:t>
                  </w:r>
                </w:p>
              </w:tc>
            </w:tr>
            <w:tr w:rsidR="00F76A63" w14:paraId="0EBCA707" w14:textId="77777777">
              <w:trPr>
                <w:jc w:val="center"/>
              </w:trPr>
              <w:tc>
                <w:tcPr>
                  <w:tcW w:w="655" w:type="pct"/>
                  <w:vMerge/>
                  <w:vAlign w:val="center"/>
                </w:tcPr>
                <w:p w14:paraId="40D4872F" w14:textId="77777777" w:rsidR="00F76A63" w:rsidRDefault="00F76A63">
                  <w:pPr>
                    <w:rPr>
                      <w:bCs/>
                      <w:kern w:val="28"/>
                      <w:szCs w:val="21"/>
                    </w:rPr>
                  </w:pPr>
                </w:p>
              </w:tc>
              <w:tc>
                <w:tcPr>
                  <w:tcW w:w="1063" w:type="pct"/>
                  <w:vAlign w:val="center"/>
                </w:tcPr>
                <w:p w14:paraId="3452E281" w14:textId="77777777" w:rsidR="00F76A63" w:rsidRDefault="00000000">
                  <w:pPr>
                    <w:pStyle w:val="000"/>
                  </w:pPr>
                  <w:r>
                    <w:t>粉磨站</w:t>
                  </w:r>
                </w:p>
              </w:tc>
              <w:tc>
                <w:tcPr>
                  <w:tcW w:w="2873" w:type="pct"/>
                  <w:gridSpan w:val="2"/>
                  <w:vAlign w:val="center"/>
                </w:tcPr>
                <w:p w14:paraId="6AC82CD4" w14:textId="77777777" w:rsidR="00F76A63" w:rsidRDefault="00000000">
                  <w:pPr>
                    <w:pStyle w:val="000"/>
                  </w:pPr>
                  <w:r>
                    <w:rPr>
                      <w:rFonts w:hint="eastAsia"/>
                    </w:rPr>
                    <w:t>现有</w:t>
                  </w:r>
                  <w:r>
                    <w:rPr>
                      <w:rFonts w:hint="eastAsia"/>
                    </w:rPr>
                    <w:t>4</w:t>
                  </w:r>
                  <w:r>
                    <w:rPr>
                      <w:rFonts w:hint="eastAsia"/>
                    </w:rPr>
                    <w:t>条水泥生产线，其中</w:t>
                  </w:r>
                  <w:r>
                    <w:rPr>
                      <w:rFonts w:hint="eastAsia"/>
                    </w:rPr>
                    <w:t>3#</w:t>
                  </w:r>
                  <w:r>
                    <w:rPr>
                      <w:rFonts w:hint="eastAsia"/>
                    </w:rPr>
                    <w:t>和</w:t>
                  </w:r>
                  <w:r>
                    <w:rPr>
                      <w:rFonts w:hint="eastAsia"/>
                    </w:rPr>
                    <w:t>4#</w:t>
                  </w:r>
                  <w:r>
                    <w:rPr>
                      <w:rFonts w:hint="eastAsia"/>
                    </w:rPr>
                    <w:t>生产线工艺为辊压机</w:t>
                  </w:r>
                  <w:r>
                    <w:rPr>
                      <w:rFonts w:hint="eastAsia"/>
                    </w:rPr>
                    <w:t>+</w:t>
                  </w:r>
                  <w:r>
                    <w:rPr>
                      <w:rFonts w:hint="eastAsia"/>
                    </w:rPr>
                    <w:t>球磨系统无变化。</w:t>
                  </w:r>
                  <w:r>
                    <w:rPr>
                      <w:rFonts w:hint="eastAsia"/>
                    </w:rPr>
                    <w:t>1#</w:t>
                  </w:r>
                  <w:r>
                    <w:rPr>
                      <w:rFonts w:hint="eastAsia"/>
                    </w:rPr>
                    <w:t>和</w:t>
                  </w:r>
                  <w:r>
                    <w:rPr>
                      <w:rFonts w:hint="eastAsia"/>
                    </w:rPr>
                    <w:t>2#</w:t>
                  </w:r>
                  <w:r>
                    <w:rPr>
                      <w:rFonts w:hint="eastAsia"/>
                    </w:rPr>
                    <w:t>水泥生产线合用</w:t>
                  </w:r>
                  <w:r>
                    <w:rPr>
                      <w:rFonts w:hint="eastAsia"/>
                    </w:rPr>
                    <w:t>1</w:t>
                  </w:r>
                  <w:r>
                    <w:rPr>
                      <w:rFonts w:hint="eastAsia"/>
                    </w:rPr>
                    <w:t>台立磨</w:t>
                  </w:r>
                  <w:r>
                    <w:rPr>
                      <w:rFonts w:hint="eastAsia"/>
                    </w:rPr>
                    <w:t>+2</w:t>
                  </w:r>
                  <w:r>
                    <w:rPr>
                      <w:rFonts w:hint="eastAsia"/>
                    </w:rPr>
                    <w:t>台各自球磨闭路系统，技改后，增加两台辊压机替代现有的立磨。</w:t>
                  </w:r>
                </w:p>
              </w:tc>
              <w:tc>
                <w:tcPr>
                  <w:tcW w:w="409" w:type="pct"/>
                  <w:vAlign w:val="center"/>
                </w:tcPr>
                <w:p w14:paraId="1C6CA32D" w14:textId="77777777" w:rsidR="00F76A63" w:rsidRDefault="00000000">
                  <w:pPr>
                    <w:pStyle w:val="000"/>
                  </w:pPr>
                  <w:r>
                    <w:t>已建</w:t>
                  </w:r>
                </w:p>
              </w:tc>
            </w:tr>
            <w:tr w:rsidR="00F76A63" w14:paraId="051C385B" w14:textId="77777777">
              <w:trPr>
                <w:jc w:val="center"/>
              </w:trPr>
              <w:tc>
                <w:tcPr>
                  <w:tcW w:w="655" w:type="pct"/>
                  <w:vMerge/>
                  <w:vAlign w:val="center"/>
                </w:tcPr>
                <w:p w14:paraId="76607B6D" w14:textId="77777777" w:rsidR="00F76A63" w:rsidRDefault="00F76A63">
                  <w:pPr>
                    <w:rPr>
                      <w:bCs/>
                      <w:kern w:val="28"/>
                      <w:szCs w:val="21"/>
                    </w:rPr>
                  </w:pPr>
                </w:p>
              </w:tc>
              <w:tc>
                <w:tcPr>
                  <w:tcW w:w="1063" w:type="pct"/>
                  <w:vAlign w:val="center"/>
                </w:tcPr>
                <w:p w14:paraId="6E6BF42A" w14:textId="77777777" w:rsidR="00F76A63" w:rsidRDefault="00000000">
                  <w:pPr>
                    <w:pStyle w:val="000"/>
                  </w:pPr>
                  <w:r>
                    <w:t>低温余热发电工程</w:t>
                  </w:r>
                </w:p>
              </w:tc>
              <w:tc>
                <w:tcPr>
                  <w:tcW w:w="2873" w:type="pct"/>
                  <w:gridSpan w:val="2"/>
                  <w:vAlign w:val="center"/>
                </w:tcPr>
                <w:p w14:paraId="3E82DAEE" w14:textId="77777777" w:rsidR="00F76A63" w:rsidRDefault="00000000">
                  <w:pPr>
                    <w:pStyle w:val="000"/>
                  </w:pPr>
                  <w:r>
                    <w:t>一期、二期</w:t>
                  </w:r>
                  <w:r>
                    <w:t>1#</w:t>
                  </w:r>
                  <w:r>
                    <w:t>、</w:t>
                  </w:r>
                  <w:r>
                    <w:t>2#</w:t>
                  </w:r>
                  <w:r>
                    <w:t>窑头及窑尾各配套设置</w:t>
                  </w:r>
                  <w:r>
                    <w:t>1</w:t>
                  </w:r>
                  <w:r>
                    <w:t>套</w:t>
                  </w:r>
                  <w:r>
                    <w:t>AQC</w:t>
                  </w:r>
                  <w:r>
                    <w:t>炉和</w:t>
                  </w:r>
                  <w:r>
                    <w:t>1</w:t>
                  </w:r>
                  <w:r>
                    <w:t>套</w:t>
                  </w:r>
                  <w:r>
                    <w:t>PH</w:t>
                  </w:r>
                  <w:r>
                    <w:t>炉，共配套</w:t>
                  </w:r>
                  <w:r>
                    <w:t>1</w:t>
                  </w:r>
                  <w:r>
                    <w:t>套</w:t>
                  </w:r>
                  <w:r>
                    <w:t>20MW</w:t>
                  </w:r>
                  <w:r>
                    <w:t>纯凝补汽式汽轮机和</w:t>
                  </w:r>
                  <w:r>
                    <w:t>25MW</w:t>
                  </w:r>
                  <w:r>
                    <w:t>发电机组，形成</w:t>
                  </w:r>
                  <w:r>
                    <w:t>20MW</w:t>
                  </w:r>
                  <w:r>
                    <w:t>的发电能力，同时配套化学水处理系统、循环冷却水系统等。</w:t>
                  </w:r>
                </w:p>
              </w:tc>
              <w:tc>
                <w:tcPr>
                  <w:tcW w:w="409" w:type="pct"/>
                  <w:vAlign w:val="center"/>
                </w:tcPr>
                <w:p w14:paraId="3D15B70D" w14:textId="77777777" w:rsidR="00F76A63" w:rsidRDefault="00000000">
                  <w:pPr>
                    <w:pStyle w:val="000"/>
                  </w:pPr>
                  <w:r>
                    <w:t>已建</w:t>
                  </w:r>
                </w:p>
              </w:tc>
            </w:tr>
            <w:tr w:rsidR="00F76A63" w14:paraId="27E3C72F" w14:textId="77777777">
              <w:trPr>
                <w:jc w:val="center"/>
              </w:trPr>
              <w:tc>
                <w:tcPr>
                  <w:tcW w:w="655" w:type="pct"/>
                  <w:vMerge/>
                  <w:vAlign w:val="center"/>
                </w:tcPr>
                <w:p w14:paraId="26AAAB3D" w14:textId="77777777" w:rsidR="00F76A63" w:rsidRDefault="00F76A63">
                  <w:pPr>
                    <w:rPr>
                      <w:bCs/>
                      <w:kern w:val="28"/>
                      <w:szCs w:val="21"/>
                    </w:rPr>
                  </w:pPr>
                </w:p>
              </w:tc>
              <w:tc>
                <w:tcPr>
                  <w:tcW w:w="1063" w:type="pct"/>
                  <w:vAlign w:val="center"/>
                </w:tcPr>
                <w:p w14:paraId="7C781521" w14:textId="77777777" w:rsidR="00F76A63" w:rsidRDefault="00000000">
                  <w:pPr>
                    <w:pStyle w:val="000"/>
                  </w:pPr>
                  <w:r>
                    <w:t>飞灰处置项目</w:t>
                  </w:r>
                </w:p>
              </w:tc>
              <w:tc>
                <w:tcPr>
                  <w:tcW w:w="2873" w:type="pct"/>
                  <w:gridSpan w:val="2"/>
                  <w:vAlign w:val="center"/>
                </w:tcPr>
                <w:p w14:paraId="25CF8841" w14:textId="77777777" w:rsidR="00F76A63" w:rsidRDefault="00000000">
                  <w:pPr>
                    <w:pStyle w:val="000"/>
                  </w:pPr>
                  <w:r>
                    <w:t>依托二期（</w:t>
                  </w:r>
                  <w:r>
                    <w:t>2#</w:t>
                  </w:r>
                  <w:r>
                    <w:t>）日产</w:t>
                  </w:r>
                  <w:r>
                    <w:t>6000</w:t>
                  </w:r>
                  <w:r>
                    <w:t>吨熟料新型干法水泥生产线协同处置垃圾焚烧飞灰</w:t>
                  </w:r>
                  <w:r>
                    <w:t>1.55</w:t>
                  </w:r>
                  <w:r>
                    <w:t>万吨</w:t>
                  </w:r>
                  <w:r>
                    <w:t>/</w:t>
                  </w:r>
                  <w:r>
                    <w:t>年（</w:t>
                  </w:r>
                  <w:r>
                    <w:t>50</w:t>
                  </w:r>
                  <w:r>
                    <w:t>吨</w:t>
                  </w:r>
                  <w:r>
                    <w:t>/</w:t>
                  </w:r>
                  <w:r>
                    <w:t>日），飞灰经飞灰预处理工段、水质净化处理工段等工段进回转窑</w:t>
                  </w:r>
                </w:p>
              </w:tc>
              <w:tc>
                <w:tcPr>
                  <w:tcW w:w="409" w:type="pct"/>
                  <w:vAlign w:val="center"/>
                </w:tcPr>
                <w:p w14:paraId="25AAE36E" w14:textId="77777777" w:rsidR="00F76A63" w:rsidRDefault="00000000">
                  <w:pPr>
                    <w:pStyle w:val="000"/>
                  </w:pPr>
                  <w:r>
                    <w:t>已建</w:t>
                  </w:r>
                </w:p>
              </w:tc>
            </w:tr>
            <w:tr w:rsidR="00F76A63" w14:paraId="200780CF" w14:textId="77777777">
              <w:trPr>
                <w:jc w:val="center"/>
              </w:trPr>
              <w:tc>
                <w:tcPr>
                  <w:tcW w:w="655" w:type="pct"/>
                  <w:vMerge/>
                  <w:vAlign w:val="center"/>
                </w:tcPr>
                <w:p w14:paraId="685D0FD8" w14:textId="77777777" w:rsidR="00F76A63" w:rsidRDefault="00F76A63">
                  <w:pPr>
                    <w:rPr>
                      <w:bCs/>
                      <w:kern w:val="28"/>
                      <w:szCs w:val="21"/>
                    </w:rPr>
                  </w:pPr>
                </w:p>
              </w:tc>
              <w:tc>
                <w:tcPr>
                  <w:tcW w:w="1063" w:type="pct"/>
                  <w:vAlign w:val="center"/>
                </w:tcPr>
                <w:p w14:paraId="5535AD08" w14:textId="77777777" w:rsidR="00F76A63" w:rsidRDefault="00000000">
                  <w:pPr>
                    <w:pStyle w:val="000"/>
                  </w:pPr>
                  <w:r>
                    <w:t>水泥窑协同处置废轮胎项目</w:t>
                  </w:r>
                </w:p>
              </w:tc>
              <w:tc>
                <w:tcPr>
                  <w:tcW w:w="2873" w:type="pct"/>
                  <w:gridSpan w:val="2"/>
                  <w:vAlign w:val="center"/>
                </w:tcPr>
                <w:p w14:paraId="073BE466" w14:textId="77777777" w:rsidR="00F76A63" w:rsidRDefault="00000000">
                  <w:pPr>
                    <w:pStyle w:val="000"/>
                  </w:pPr>
                  <w:r>
                    <w:t>依托厂区一期（</w:t>
                  </w:r>
                  <w:r>
                    <w:t>1#</w:t>
                  </w:r>
                  <w:r>
                    <w:t>）熟料新型干法水泥回转窑协同处置废旧轮胎，年协同处置废轮胎</w:t>
                  </w:r>
                  <w:r>
                    <w:t>5</w:t>
                  </w:r>
                  <w:r>
                    <w:t>万吨（不含钢丝量，处理量分为：约</w:t>
                  </w:r>
                  <w:r>
                    <w:t>1</w:t>
                  </w:r>
                  <w:r>
                    <w:t>万吨整胎进厂破碎后，入烧成系统；约</w:t>
                  </w:r>
                  <w:r>
                    <w:t>4</w:t>
                  </w:r>
                  <w:r>
                    <w:t>万吨成品碎片进厂后，入烧成系统）</w:t>
                  </w:r>
                </w:p>
              </w:tc>
              <w:tc>
                <w:tcPr>
                  <w:tcW w:w="409" w:type="pct"/>
                  <w:vAlign w:val="center"/>
                </w:tcPr>
                <w:p w14:paraId="1FB5E464" w14:textId="77777777" w:rsidR="00F76A63" w:rsidRDefault="00000000">
                  <w:pPr>
                    <w:pStyle w:val="000"/>
                  </w:pPr>
                  <w:r>
                    <w:t>已建</w:t>
                  </w:r>
                </w:p>
              </w:tc>
            </w:tr>
            <w:tr w:rsidR="00F76A63" w14:paraId="1D25CE76" w14:textId="77777777">
              <w:trPr>
                <w:jc w:val="center"/>
              </w:trPr>
              <w:tc>
                <w:tcPr>
                  <w:tcW w:w="655" w:type="pct"/>
                  <w:vMerge/>
                  <w:vAlign w:val="center"/>
                </w:tcPr>
                <w:p w14:paraId="5AE54CAE" w14:textId="77777777" w:rsidR="00F76A63" w:rsidRDefault="00F76A63">
                  <w:pPr>
                    <w:rPr>
                      <w:bCs/>
                      <w:kern w:val="28"/>
                      <w:szCs w:val="21"/>
                    </w:rPr>
                  </w:pPr>
                </w:p>
              </w:tc>
              <w:tc>
                <w:tcPr>
                  <w:tcW w:w="1063" w:type="pct"/>
                  <w:vAlign w:val="center"/>
                </w:tcPr>
                <w:p w14:paraId="29BB93FE" w14:textId="77777777" w:rsidR="00F76A63" w:rsidRDefault="00000000">
                  <w:pPr>
                    <w:pStyle w:val="000"/>
                  </w:pPr>
                  <w:r>
                    <w:rPr>
                      <w:rFonts w:hint="eastAsia"/>
                    </w:rPr>
                    <w:t>水泥窑协同处置</w:t>
                  </w:r>
                  <w:r>
                    <w:rPr>
                      <w:rFonts w:hint="eastAsia"/>
                    </w:rPr>
                    <w:t>10</w:t>
                  </w:r>
                  <w:r>
                    <w:rPr>
                      <w:rFonts w:hint="eastAsia"/>
                    </w:rPr>
                    <w:t>万吨</w:t>
                  </w:r>
                  <w:r>
                    <w:rPr>
                      <w:rFonts w:hint="eastAsia"/>
                    </w:rPr>
                    <w:t>/</w:t>
                  </w:r>
                  <w:r>
                    <w:rPr>
                      <w:rFonts w:hint="eastAsia"/>
                    </w:rPr>
                    <w:t>年污染土及</w:t>
                  </w:r>
                  <w:r>
                    <w:rPr>
                      <w:rFonts w:hint="eastAsia"/>
                    </w:rPr>
                    <w:t>10</w:t>
                  </w:r>
                  <w:r>
                    <w:rPr>
                      <w:rFonts w:hint="eastAsia"/>
                    </w:rPr>
                    <w:t>万吨</w:t>
                  </w:r>
                  <w:r>
                    <w:rPr>
                      <w:rFonts w:hint="eastAsia"/>
                    </w:rPr>
                    <w:t>/</w:t>
                  </w:r>
                  <w:r>
                    <w:rPr>
                      <w:rFonts w:hint="eastAsia"/>
                    </w:rPr>
                    <w:t>年一般固废项目（台泥水泥终端处置）</w:t>
                  </w:r>
                </w:p>
              </w:tc>
              <w:tc>
                <w:tcPr>
                  <w:tcW w:w="2873" w:type="pct"/>
                  <w:gridSpan w:val="2"/>
                  <w:vAlign w:val="center"/>
                </w:tcPr>
                <w:p w14:paraId="1C293684" w14:textId="77777777" w:rsidR="00F76A63" w:rsidRDefault="00000000">
                  <w:pPr>
                    <w:pStyle w:val="000"/>
                  </w:pPr>
                  <w:r>
                    <w:rPr>
                      <w:rFonts w:hint="eastAsia"/>
                    </w:rPr>
                    <w:t>依托厂区一期年产</w:t>
                  </w:r>
                  <w:r>
                    <w:rPr>
                      <w:rFonts w:hint="eastAsia"/>
                    </w:rPr>
                    <w:t>150</w:t>
                  </w:r>
                  <w:r>
                    <w:rPr>
                      <w:rFonts w:hint="eastAsia"/>
                    </w:rPr>
                    <w:t>万吨和二期</w:t>
                  </w:r>
                  <w:r>
                    <w:rPr>
                      <w:rFonts w:hint="eastAsia"/>
                    </w:rPr>
                    <w:t>186</w:t>
                  </w:r>
                  <w:r>
                    <w:rPr>
                      <w:rFonts w:hint="eastAsia"/>
                    </w:rPr>
                    <w:t>万吨熟料新型干法水泥回转窑协同处置</w:t>
                  </w:r>
                  <w:r>
                    <w:rPr>
                      <w:rFonts w:hint="eastAsia"/>
                    </w:rPr>
                    <w:t>10</w:t>
                  </w:r>
                  <w:r>
                    <w:rPr>
                      <w:rFonts w:hint="eastAsia"/>
                    </w:rPr>
                    <w:t>万吨</w:t>
                  </w:r>
                  <w:r>
                    <w:rPr>
                      <w:rFonts w:hint="eastAsia"/>
                    </w:rPr>
                    <w:t>/</w:t>
                  </w:r>
                  <w:r>
                    <w:rPr>
                      <w:rFonts w:hint="eastAsia"/>
                    </w:rPr>
                    <w:t>年污染土及</w:t>
                  </w:r>
                  <w:r>
                    <w:rPr>
                      <w:rFonts w:hint="eastAsia"/>
                    </w:rPr>
                    <w:t>10</w:t>
                  </w:r>
                  <w:r>
                    <w:rPr>
                      <w:rFonts w:hint="eastAsia"/>
                    </w:rPr>
                    <w:t>万吨</w:t>
                  </w:r>
                  <w:r>
                    <w:rPr>
                      <w:rFonts w:hint="eastAsia"/>
                    </w:rPr>
                    <w:t>/</w:t>
                  </w:r>
                  <w:r>
                    <w:rPr>
                      <w:rFonts w:hint="eastAsia"/>
                    </w:rPr>
                    <w:t>年一般固废项目</w:t>
                  </w:r>
                </w:p>
              </w:tc>
              <w:tc>
                <w:tcPr>
                  <w:tcW w:w="409" w:type="pct"/>
                  <w:vAlign w:val="center"/>
                </w:tcPr>
                <w:p w14:paraId="741D251D" w14:textId="77777777" w:rsidR="00F76A63" w:rsidRDefault="00000000">
                  <w:pPr>
                    <w:pStyle w:val="000"/>
                  </w:pPr>
                  <w:r>
                    <w:t>已建</w:t>
                  </w:r>
                </w:p>
              </w:tc>
            </w:tr>
            <w:tr w:rsidR="00F76A63" w14:paraId="4657DAEA" w14:textId="77777777">
              <w:trPr>
                <w:jc w:val="center"/>
              </w:trPr>
              <w:tc>
                <w:tcPr>
                  <w:tcW w:w="655" w:type="pct"/>
                  <w:vMerge w:val="restart"/>
                  <w:vAlign w:val="center"/>
                </w:tcPr>
                <w:p w14:paraId="4E6E4155" w14:textId="77777777" w:rsidR="00F76A63" w:rsidRDefault="00000000">
                  <w:pPr>
                    <w:pStyle w:val="000"/>
                  </w:pPr>
                  <w:r>
                    <w:t>公辅工程</w:t>
                  </w:r>
                </w:p>
              </w:tc>
              <w:tc>
                <w:tcPr>
                  <w:tcW w:w="1063" w:type="pct"/>
                  <w:vAlign w:val="center"/>
                </w:tcPr>
                <w:p w14:paraId="76CD4A1E" w14:textId="77777777" w:rsidR="00F76A63" w:rsidRDefault="00000000">
                  <w:pPr>
                    <w:pStyle w:val="000"/>
                  </w:pPr>
                  <w:r>
                    <w:t>供电</w:t>
                  </w:r>
                </w:p>
              </w:tc>
              <w:tc>
                <w:tcPr>
                  <w:tcW w:w="2873" w:type="pct"/>
                  <w:gridSpan w:val="2"/>
                  <w:vAlign w:val="center"/>
                </w:tcPr>
                <w:p w14:paraId="3CA164D9" w14:textId="77777777" w:rsidR="00F76A63" w:rsidRDefault="00000000">
                  <w:pPr>
                    <w:pStyle w:val="000"/>
                  </w:pPr>
                  <w:r>
                    <w:t>1.110kV</w:t>
                  </w:r>
                  <w:r>
                    <w:t>变电所一期：</w:t>
                  </w:r>
                  <w:r>
                    <w:t>1#</w:t>
                  </w:r>
                  <w:r>
                    <w:t>水泥生产线和生活用电由句容华阳变电站以</w:t>
                  </w:r>
                  <w:r>
                    <w:t>110kV</w:t>
                  </w:r>
                  <w:r>
                    <w:t>双回路供电。水泥生产区和码头共用两台，</w:t>
                  </w:r>
                  <w:r>
                    <w:t>23400kVA</w:t>
                  </w:r>
                  <w:r>
                    <w:t>，</w:t>
                  </w:r>
                  <w:r>
                    <w:t>110kV/6kV</w:t>
                  </w:r>
                  <w:r>
                    <w:t>主变压器和</w:t>
                  </w:r>
                  <w:r>
                    <w:t>25000kVA</w:t>
                  </w:r>
                  <w:r>
                    <w:t>，</w:t>
                  </w:r>
                  <w:r>
                    <w:t>110kV/6KV</w:t>
                  </w:r>
                  <w:r>
                    <w:t>主变压器；矿山另设一台</w:t>
                  </w:r>
                  <w:r>
                    <w:t>5000kVA</w:t>
                  </w:r>
                  <w:r>
                    <w:t>，</w:t>
                  </w:r>
                  <w:r>
                    <w:t>110kV/6kV</w:t>
                  </w:r>
                  <w:r>
                    <w:t>主变压器；</w:t>
                  </w:r>
                </w:p>
                <w:p w14:paraId="16A6ADBB" w14:textId="77777777" w:rsidR="00F76A63" w:rsidRDefault="00000000">
                  <w:pPr>
                    <w:pStyle w:val="000"/>
                  </w:pPr>
                  <w:r>
                    <w:t>2.110kV</w:t>
                  </w:r>
                  <w:r>
                    <w:t>变电所二期：变电所二期在一期的基础上扩建，增加一台</w:t>
                  </w:r>
                  <w:r>
                    <w:t>25000kVA</w:t>
                  </w:r>
                  <w:r>
                    <w:t>，</w:t>
                  </w:r>
                  <w:r>
                    <w:t>110kV/10kV</w:t>
                  </w:r>
                  <w:r>
                    <w:t>主变压器；</w:t>
                  </w:r>
                </w:p>
                <w:p w14:paraId="13638AB2" w14:textId="77777777" w:rsidR="00F76A63" w:rsidRDefault="00000000">
                  <w:pPr>
                    <w:pStyle w:val="000"/>
                  </w:pPr>
                  <w:r>
                    <w:t>110kV</w:t>
                  </w:r>
                  <w:r>
                    <w:t>变电所一二期已完成建设。厂区配套建设了一座两条生产线</w:t>
                  </w:r>
                  <w:r>
                    <w:t>20000kVA</w:t>
                  </w:r>
                  <w:r>
                    <w:t>低温余热发电。</w:t>
                  </w:r>
                </w:p>
                <w:p w14:paraId="6CCC8522" w14:textId="77777777" w:rsidR="00F76A63" w:rsidRDefault="00000000">
                  <w:pPr>
                    <w:pStyle w:val="000"/>
                  </w:pPr>
                  <w:r>
                    <w:lastRenderedPageBreak/>
                    <w:t>3.110KV</w:t>
                  </w:r>
                  <w:r>
                    <w:t>变电所三期：变电所三期在一二期的基础上扩建，增加一台</w:t>
                  </w:r>
                  <w:r>
                    <w:t>16000kVA</w:t>
                  </w:r>
                  <w:r>
                    <w:t>，</w:t>
                  </w:r>
                  <w:r>
                    <w:t>110kV/10kV</w:t>
                  </w:r>
                  <w:r>
                    <w:t>主变压器</w:t>
                  </w:r>
                </w:p>
              </w:tc>
              <w:tc>
                <w:tcPr>
                  <w:tcW w:w="409" w:type="pct"/>
                  <w:vAlign w:val="center"/>
                </w:tcPr>
                <w:p w14:paraId="7D1C6B93" w14:textId="77777777" w:rsidR="00F76A63" w:rsidRDefault="00000000">
                  <w:pPr>
                    <w:pStyle w:val="000"/>
                  </w:pPr>
                  <w:r>
                    <w:lastRenderedPageBreak/>
                    <w:t>已建</w:t>
                  </w:r>
                </w:p>
              </w:tc>
            </w:tr>
            <w:tr w:rsidR="00F76A63" w14:paraId="0AC05878" w14:textId="77777777">
              <w:trPr>
                <w:jc w:val="center"/>
              </w:trPr>
              <w:tc>
                <w:tcPr>
                  <w:tcW w:w="655" w:type="pct"/>
                  <w:vMerge/>
                  <w:vAlign w:val="center"/>
                </w:tcPr>
                <w:p w14:paraId="33762E3B" w14:textId="77777777" w:rsidR="00F76A63" w:rsidRDefault="00F76A63">
                  <w:pPr>
                    <w:rPr>
                      <w:bCs/>
                      <w:kern w:val="28"/>
                      <w:szCs w:val="21"/>
                    </w:rPr>
                  </w:pPr>
                </w:p>
              </w:tc>
              <w:tc>
                <w:tcPr>
                  <w:tcW w:w="1063" w:type="pct"/>
                  <w:vAlign w:val="center"/>
                </w:tcPr>
                <w:p w14:paraId="57D86480" w14:textId="77777777" w:rsidR="00F76A63" w:rsidRDefault="00000000">
                  <w:pPr>
                    <w:pStyle w:val="000"/>
                  </w:pPr>
                  <w:r>
                    <w:t>供水</w:t>
                  </w:r>
                </w:p>
              </w:tc>
              <w:tc>
                <w:tcPr>
                  <w:tcW w:w="2873" w:type="pct"/>
                  <w:gridSpan w:val="2"/>
                  <w:vAlign w:val="center"/>
                </w:tcPr>
                <w:p w14:paraId="23945EE3" w14:textId="77777777" w:rsidR="00F76A63" w:rsidRDefault="00000000">
                  <w:pPr>
                    <w:pStyle w:val="000"/>
                  </w:pPr>
                  <w:r>
                    <w:t>水泥生产区用水由厂内自备水厂供给，水源为长江水，取水口位于本项目西北向</w:t>
                  </w:r>
                  <w:r>
                    <w:t>430</w:t>
                  </w:r>
                  <w:r>
                    <w:t>米处。生产用水储存于清水池，经二级泵房加压送至各用水点。自备水厂设有四台净水器（二备二用），每台净水能力为</w:t>
                  </w:r>
                  <w:r>
                    <w:t>120m</w:t>
                  </w:r>
                  <w:r>
                    <w:rPr>
                      <w:vertAlign w:val="superscript"/>
                    </w:rPr>
                    <w:t>3</w:t>
                  </w:r>
                  <w:r>
                    <w:t>/h</w:t>
                  </w:r>
                  <w:r>
                    <w:t>。</w:t>
                  </w:r>
                  <w:r>
                    <w:t>2</w:t>
                  </w:r>
                  <w:r>
                    <w:t>座</w:t>
                  </w:r>
                  <w:r>
                    <w:t>200m</w:t>
                  </w:r>
                  <w:r>
                    <w:rPr>
                      <w:vertAlign w:val="superscript"/>
                    </w:rPr>
                    <w:t>3</w:t>
                  </w:r>
                  <w:r>
                    <w:t>冷却塔水塔。</w:t>
                  </w:r>
                </w:p>
              </w:tc>
              <w:tc>
                <w:tcPr>
                  <w:tcW w:w="409" w:type="pct"/>
                  <w:vAlign w:val="center"/>
                </w:tcPr>
                <w:p w14:paraId="0E0902E2" w14:textId="77777777" w:rsidR="00F76A63" w:rsidRDefault="00000000">
                  <w:pPr>
                    <w:pStyle w:val="000"/>
                  </w:pPr>
                  <w:r>
                    <w:t>已建</w:t>
                  </w:r>
                </w:p>
              </w:tc>
            </w:tr>
            <w:tr w:rsidR="00F76A63" w14:paraId="202F90EE" w14:textId="77777777">
              <w:trPr>
                <w:jc w:val="center"/>
              </w:trPr>
              <w:tc>
                <w:tcPr>
                  <w:tcW w:w="655" w:type="pct"/>
                  <w:vMerge/>
                  <w:vAlign w:val="center"/>
                </w:tcPr>
                <w:p w14:paraId="100EA832" w14:textId="77777777" w:rsidR="00F76A63" w:rsidRDefault="00F76A63">
                  <w:pPr>
                    <w:rPr>
                      <w:bCs/>
                      <w:kern w:val="28"/>
                      <w:szCs w:val="21"/>
                    </w:rPr>
                  </w:pPr>
                </w:p>
              </w:tc>
              <w:tc>
                <w:tcPr>
                  <w:tcW w:w="1063" w:type="pct"/>
                  <w:vAlign w:val="center"/>
                </w:tcPr>
                <w:p w14:paraId="1D574D46" w14:textId="77777777" w:rsidR="00F76A63" w:rsidRDefault="00000000">
                  <w:pPr>
                    <w:pStyle w:val="000"/>
                  </w:pPr>
                  <w:r>
                    <w:t>排水</w:t>
                  </w:r>
                </w:p>
              </w:tc>
              <w:tc>
                <w:tcPr>
                  <w:tcW w:w="2873" w:type="pct"/>
                  <w:gridSpan w:val="2"/>
                  <w:vAlign w:val="center"/>
                </w:tcPr>
                <w:p w14:paraId="393C385E" w14:textId="77777777" w:rsidR="00F76A63" w:rsidRDefault="00000000">
                  <w:pPr>
                    <w:pStyle w:val="000"/>
                  </w:pPr>
                  <w:r>
                    <w:t>厂区循环冷却水循环使用，不外排；厂区自备水厂排水用于道路喷洒、绿化；码头冲洗水收集沉淀后回用；洗灰废水经水净化单元处理后回用于飞灰水洗单元补水；生活污水接管下蜀镇工业园区市政管网。</w:t>
                  </w:r>
                </w:p>
              </w:tc>
              <w:tc>
                <w:tcPr>
                  <w:tcW w:w="409" w:type="pct"/>
                  <w:vAlign w:val="center"/>
                </w:tcPr>
                <w:p w14:paraId="564B41FE" w14:textId="77777777" w:rsidR="00F76A63" w:rsidRDefault="00000000">
                  <w:pPr>
                    <w:pStyle w:val="000"/>
                  </w:pPr>
                  <w:r>
                    <w:t>已建</w:t>
                  </w:r>
                </w:p>
              </w:tc>
            </w:tr>
            <w:tr w:rsidR="00F76A63" w14:paraId="4FA27378" w14:textId="77777777">
              <w:trPr>
                <w:jc w:val="center"/>
              </w:trPr>
              <w:tc>
                <w:tcPr>
                  <w:tcW w:w="655" w:type="pct"/>
                  <w:vMerge/>
                  <w:vAlign w:val="center"/>
                </w:tcPr>
                <w:p w14:paraId="5BD7C444" w14:textId="77777777" w:rsidR="00F76A63" w:rsidRDefault="00F76A63">
                  <w:pPr>
                    <w:rPr>
                      <w:bCs/>
                      <w:kern w:val="28"/>
                      <w:szCs w:val="21"/>
                    </w:rPr>
                  </w:pPr>
                </w:p>
              </w:tc>
              <w:tc>
                <w:tcPr>
                  <w:tcW w:w="1063" w:type="pct"/>
                  <w:vAlign w:val="center"/>
                </w:tcPr>
                <w:p w14:paraId="7F913B51" w14:textId="77777777" w:rsidR="00F76A63" w:rsidRDefault="00000000">
                  <w:pPr>
                    <w:pStyle w:val="000"/>
                  </w:pPr>
                  <w:r>
                    <w:t>消防</w:t>
                  </w:r>
                </w:p>
              </w:tc>
              <w:tc>
                <w:tcPr>
                  <w:tcW w:w="2873" w:type="pct"/>
                  <w:gridSpan w:val="2"/>
                  <w:vAlign w:val="center"/>
                </w:tcPr>
                <w:p w14:paraId="019D91BC" w14:textId="77777777" w:rsidR="00F76A63" w:rsidRDefault="00000000">
                  <w:pPr>
                    <w:pStyle w:val="000"/>
                  </w:pPr>
                  <w:r>
                    <w:t>消防水喷淋系统、水炮、水消火栓、消防箱以及固定式泡沫灭火系统。</w:t>
                  </w:r>
                </w:p>
              </w:tc>
              <w:tc>
                <w:tcPr>
                  <w:tcW w:w="409" w:type="pct"/>
                  <w:vMerge w:val="restart"/>
                  <w:vAlign w:val="center"/>
                </w:tcPr>
                <w:p w14:paraId="14EC7DCA" w14:textId="77777777" w:rsidR="00F76A63" w:rsidRDefault="00000000">
                  <w:pPr>
                    <w:pStyle w:val="000"/>
                  </w:pPr>
                  <w:r>
                    <w:t>已建</w:t>
                  </w:r>
                </w:p>
              </w:tc>
            </w:tr>
            <w:tr w:rsidR="00F76A63" w14:paraId="670CD3EE" w14:textId="77777777">
              <w:trPr>
                <w:jc w:val="center"/>
              </w:trPr>
              <w:tc>
                <w:tcPr>
                  <w:tcW w:w="655" w:type="pct"/>
                  <w:vMerge/>
                  <w:vAlign w:val="center"/>
                </w:tcPr>
                <w:p w14:paraId="263493B5" w14:textId="77777777" w:rsidR="00F76A63" w:rsidRDefault="00F76A63">
                  <w:pPr>
                    <w:rPr>
                      <w:bCs/>
                      <w:kern w:val="28"/>
                      <w:szCs w:val="21"/>
                    </w:rPr>
                  </w:pPr>
                </w:p>
              </w:tc>
              <w:tc>
                <w:tcPr>
                  <w:tcW w:w="1063" w:type="pct"/>
                  <w:vAlign w:val="center"/>
                </w:tcPr>
                <w:p w14:paraId="4A133F1A" w14:textId="77777777" w:rsidR="00F76A63" w:rsidRDefault="00000000">
                  <w:pPr>
                    <w:pStyle w:val="000"/>
                  </w:pPr>
                  <w:r>
                    <w:t>绿化</w:t>
                  </w:r>
                </w:p>
              </w:tc>
              <w:tc>
                <w:tcPr>
                  <w:tcW w:w="2873" w:type="pct"/>
                  <w:gridSpan w:val="2"/>
                  <w:vAlign w:val="center"/>
                </w:tcPr>
                <w:p w14:paraId="5F6892B3" w14:textId="77777777" w:rsidR="00F76A63" w:rsidRDefault="00000000">
                  <w:pPr>
                    <w:pStyle w:val="000"/>
                  </w:pPr>
                  <w:r>
                    <w:t>厂界占地约</w:t>
                  </w:r>
                  <w:r>
                    <w:t>903</w:t>
                  </w:r>
                  <w:r>
                    <w:t>亩（</w:t>
                  </w:r>
                  <w:r>
                    <w:t>602300</w:t>
                  </w:r>
                  <w:r>
                    <w:t>平方米），其中绿化面积</w:t>
                  </w:r>
                  <w:r>
                    <w:t>325</w:t>
                  </w:r>
                  <w:r>
                    <w:t>亩，全厂绿化率</w:t>
                  </w:r>
                  <w:r>
                    <w:t>36%</w:t>
                  </w:r>
                  <w:r>
                    <w:t>。</w:t>
                  </w:r>
                </w:p>
              </w:tc>
              <w:tc>
                <w:tcPr>
                  <w:tcW w:w="409" w:type="pct"/>
                  <w:vMerge/>
                  <w:vAlign w:val="center"/>
                </w:tcPr>
                <w:p w14:paraId="49D0B717" w14:textId="77777777" w:rsidR="00F76A63" w:rsidRDefault="00F76A63">
                  <w:pPr>
                    <w:rPr>
                      <w:bCs/>
                      <w:kern w:val="28"/>
                      <w:szCs w:val="21"/>
                    </w:rPr>
                  </w:pPr>
                </w:p>
              </w:tc>
            </w:tr>
            <w:tr w:rsidR="00F76A63" w14:paraId="3EA3F9C8" w14:textId="77777777">
              <w:trPr>
                <w:jc w:val="center"/>
              </w:trPr>
              <w:tc>
                <w:tcPr>
                  <w:tcW w:w="655" w:type="pct"/>
                  <w:vMerge/>
                  <w:vAlign w:val="center"/>
                </w:tcPr>
                <w:p w14:paraId="722B44D9" w14:textId="77777777" w:rsidR="00F76A63" w:rsidRDefault="00F76A63">
                  <w:pPr>
                    <w:rPr>
                      <w:bCs/>
                      <w:kern w:val="28"/>
                      <w:szCs w:val="21"/>
                    </w:rPr>
                  </w:pPr>
                </w:p>
              </w:tc>
              <w:tc>
                <w:tcPr>
                  <w:tcW w:w="1063" w:type="pct"/>
                  <w:vAlign w:val="center"/>
                </w:tcPr>
                <w:p w14:paraId="00FD2E8C" w14:textId="77777777" w:rsidR="00F76A63" w:rsidRDefault="00000000">
                  <w:pPr>
                    <w:pStyle w:val="000"/>
                  </w:pPr>
                  <w:r>
                    <w:t>办公生活</w:t>
                  </w:r>
                </w:p>
              </w:tc>
              <w:tc>
                <w:tcPr>
                  <w:tcW w:w="2873" w:type="pct"/>
                  <w:gridSpan w:val="2"/>
                  <w:vAlign w:val="center"/>
                </w:tcPr>
                <w:p w14:paraId="0BEF7220" w14:textId="77777777" w:rsidR="00F76A63" w:rsidRDefault="00000000">
                  <w:pPr>
                    <w:pStyle w:val="000"/>
                  </w:pPr>
                  <w:r>
                    <w:t>综合办公楼、职工宿舍、食堂位于生产区西侧。</w:t>
                  </w:r>
                </w:p>
              </w:tc>
              <w:tc>
                <w:tcPr>
                  <w:tcW w:w="409" w:type="pct"/>
                  <w:vMerge/>
                  <w:vAlign w:val="center"/>
                </w:tcPr>
                <w:p w14:paraId="7BF9F11E" w14:textId="77777777" w:rsidR="00F76A63" w:rsidRDefault="00F76A63">
                  <w:pPr>
                    <w:rPr>
                      <w:bCs/>
                      <w:kern w:val="28"/>
                      <w:szCs w:val="21"/>
                    </w:rPr>
                  </w:pPr>
                </w:p>
              </w:tc>
            </w:tr>
            <w:tr w:rsidR="00F76A63" w14:paraId="0C109D82" w14:textId="77777777">
              <w:trPr>
                <w:jc w:val="center"/>
              </w:trPr>
              <w:tc>
                <w:tcPr>
                  <w:tcW w:w="655" w:type="pct"/>
                  <w:vMerge/>
                  <w:vAlign w:val="center"/>
                </w:tcPr>
                <w:p w14:paraId="33B242DA" w14:textId="77777777" w:rsidR="00F76A63" w:rsidRDefault="00F76A63">
                  <w:pPr>
                    <w:rPr>
                      <w:bCs/>
                      <w:kern w:val="28"/>
                      <w:szCs w:val="21"/>
                    </w:rPr>
                  </w:pPr>
                </w:p>
              </w:tc>
              <w:tc>
                <w:tcPr>
                  <w:tcW w:w="1063" w:type="pct"/>
                  <w:vAlign w:val="center"/>
                </w:tcPr>
                <w:p w14:paraId="58BB6CD3" w14:textId="77777777" w:rsidR="00F76A63" w:rsidRDefault="00000000">
                  <w:pPr>
                    <w:pStyle w:val="000"/>
                  </w:pPr>
                  <w:r>
                    <w:rPr>
                      <w:spacing w:val="11"/>
                    </w:rPr>
                    <w:t>分析化验室</w:t>
                  </w:r>
                </w:p>
              </w:tc>
              <w:tc>
                <w:tcPr>
                  <w:tcW w:w="2873" w:type="pct"/>
                  <w:gridSpan w:val="2"/>
                  <w:vAlign w:val="center"/>
                </w:tcPr>
                <w:p w14:paraId="294ACD5F" w14:textId="77777777" w:rsidR="00F76A63" w:rsidRDefault="00000000">
                  <w:pPr>
                    <w:pStyle w:val="000"/>
                  </w:pPr>
                  <w:r>
                    <w:rPr>
                      <w:spacing w:val="12"/>
                    </w:rPr>
                    <w:t>对污染土及熟料</w:t>
                  </w:r>
                  <w:r>
                    <w:rPr>
                      <w:rFonts w:hint="eastAsia"/>
                      <w:spacing w:val="12"/>
                    </w:rPr>
                    <w:t>等</w:t>
                  </w:r>
                  <w:r>
                    <w:rPr>
                      <w:spacing w:val="12"/>
                    </w:rPr>
                    <w:t>进行常规分析，</w:t>
                  </w:r>
                  <w:r>
                    <w:rPr>
                      <w:spacing w:val="11"/>
                    </w:rPr>
                    <w:t>同时根据规范配置相关危废分析化验设备。</w:t>
                  </w:r>
                </w:p>
              </w:tc>
              <w:tc>
                <w:tcPr>
                  <w:tcW w:w="409" w:type="pct"/>
                  <w:vMerge/>
                  <w:vAlign w:val="center"/>
                </w:tcPr>
                <w:p w14:paraId="35B56C83" w14:textId="77777777" w:rsidR="00F76A63" w:rsidRDefault="00F76A63">
                  <w:pPr>
                    <w:rPr>
                      <w:bCs/>
                      <w:kern w:val="28"/>
                      <w:szCs w:val="21"/>
                    </w:rPr>
                  </w:pPr>
                </w:p>
              </w:tc>
            </w:tr>
            <w:tr w:rsidR="00F76A63" w14:paraId="7E5E8A19" w14:textId="77777777">
              <w:trPr>
                <w:jc w:val="center"/>
              </w:trPr>
              <w:tc>
                <w:tcPr>
                  <w:tcW w:w="655" w:type="pct"/>
                  <w:vMerge/>
                  <w:vAlign w:val="center"/>
                </w:tcPr>
                <w:p w14:paraId="74773560" w14:textId="77777777" w:rsidR="00F76A63" w:rsidRDefault="00F76A63">
                  <w:pPr>
                    <w:rPr>
                      <w:bCs/>
                      <w:kern w:val="28"/>
                      <w:szCs w:val="21"/>
                    </w:rPr>
                  </w:pPr>
                </w:p>
              </w:tc>
              <w:tc>
                <w:tcPr>
                  <w:tcW w:w="1063" w:type="pct"/>
                  <w:vAlign w:val="center"/>
                </w:tcPr>
                <w:p w14:paraId="1C47AA13" w14:textId="77777777" w:rsidR="00F76A63" w:rsidRDefault="00000000">
                  <w:pPr>
                    <w:pStyle w:val="000"/>
                    <w:rPr>
                      <w:spacing w:val="11"/>
                    </w:rPr>
                  </w:pPr>
                  <w:r>
                    <w:t>自动控制系统</w:t>
                  </w:r>
                </w:p>
              </w:tc>
              <w:tc>
                <w:tcPr>
                  <w:tcW w:w="2873" w:type="pct"/>
                  <w:gridSpan w:val="2"/>
                  <w:vAlign w:val="center"/>
                </w:tcPr>
                <w:p w14:paraId="04545AAC" w14:textId="77777777" w:rsidR="00F76A63" w:rsidRDefault="00000000">
                  <w:pPr>
                    <w:pStyle w:val="000"/>
                    <w:rPr>
                      <w:spacing w:val="12"/>
                    </w:rPr>
                  </w:pPr>
                  <w:r>
                    <w:t>用</w:t>
                  </w:r>
                  <w:r>
                    <w:t>PLC</w:t>
                  </w:r>
                  <w:r>
                    <w:t>和专业智能化程控仪表对水泥窑协同处置系统反应过程进行全程监控，紧急情况下自动停止进料。</w:t>
                  </w:r>
                </w:p>
              </w:tc>
              <w:tc>
                <w:tcPr>
                  <w:tcW w:w="409" w:type="pct"/>
                  <w:vMerge/>
                  <w:vAlign w:val="center"/>
                </w:tcPr>
                <w:p w14:paraId="33271BB4" w14:textId="77777777" w:rsidR="00F76A63" w:rsidRDefault="00F76A63">
                  <w:pPr>
                    <w:rPr>
                      <w:bCs/>
                      <w:kern w:val="28"/>
                      <w:szCs w:val="21"/>
                    </w:rPr>
                  </w:pPr>
                </w:p>
              </w:tc>
            </w:tr>
            <w:tr w:rsidR="00F76A63" w14:paraId="089551C1" w14:textId="77777777">
              <w:trPr>
                <w:jc w:val="center"/>
              </w:trPr>
              <w:tc>
                <w:tcPr>
                  <w:tcW w:w="655" w:type="pct"/>
                  <w:vMerge w:val="restart"/>
                  <w:vAlign w:val="center"/>
                </w:tcPr>
                <w:p w14:paraId="0BE4ECC0" w14:textId="77777777" w:rsidR="00F76A63" w:rsidRDefault="00000000">
                  <w:pPr>
                    <w:pStyle w:val="000"/>
                  </w:pPr>
                  <w:r>
                    <w:t>环保工程</w:t>
                  </w:r>
                </w:p>
              </w:tc>
              <w:tc>
                <w:tcPr>
                  <w:tcW w:w="1063" w:type="pct"/>
                  <w:vAlign w:val="center"/>
                </w:tcPr>
                <w:p w14:paraId="685B4B67" w14:textId="77777777" w:rsidR="00F76A63" w:rsidRDefault="00000000">
                  <w:pPr>
                    <w:pStyle w:val="000"/>
                  </w:pPr>
                  <w:r>
                    <w:t>废水</w:t>
                  </w:r>
                </w:p>
              </w:tc>
              <w:tc>
                <w:tcPr>
                  <w:tcW w:w="2873" w:type="pct"/>
                  <w:gridSpan w:val="2"/>
                  <w:vAlign w:val="center"/>
                </w:tcPr>
                <w:p w14:paraId="11689D77" w14:textId="77777777" w:rsidR="00F76A63" w:rsidRDefault="00000000">
                  <w:pPr>
                    <w:pStyle w:val="000"/>
                  </w:pPr>
                  <w:r>
                    <w:t>采用</w:t>
                  </w:r>
                  <w:r>
                    <w:rPr>
                      <w:rFonts w:hint="eastAsia"/>
                    </w:rPr>
                    <w:t>“</w:t>
                  </w:r>
                  <w:r>
                    <w:t>脱钙</w:t>
                  </w:r>
                  <w:r>
                    <w:t>+</w:t>
                  </w:r>
                  <w:r>
                    <w:t>过滤</w:t>
                  </w:r>
                  <w:r>
                    <w:t>+</w:t>
                  </w:r>
                  <w:r>
                    <w:t>中和</w:t>
                  </w:r>
                  <w:r>
                    <w:t>+MVR</w:t>
                  </w:r>
                  <w:r>
                    <w:t>蒸发结晶</w:t>
                  </w:r>
                  <w:r>
                    <w:rPr>
                      <w:rFonts w:hint="eastAsia"/>
                    </w:rPr>
                    <w:t>”</w:t>
                  </w:r>
                  <w:r>
                    <w:t>的工艺处理洗灰废水，</w:t>
                  </w:r>
                  <w:r>
                    <w:t>MVR</w:t>
                  </w:r>
                  <w:r>
                    <w:t>蒸发结晶系统冷凝水全部回用飞灰水洗单元补水，生活污水接管下蜀镇工业园区市政管网。</w:t>
                  </w:r>
                </w:p>
              </w:tc>
              <w:tc>
                <w:tcPr>
                  <w:tcW w:w="409" w:type="pct"/>
                  <w:vAlign w:val="center"/>
                </w:tcPr>
                <w:p w14:paraId="756D990C" w14:textId="77777777" w:rsidR="00F76A63" w:rsidRDefault="00000000">
                  <w:pPr>
                    <w:pStyle w:val="000"/>
                  </w:pPr>
                  <w:r>
                    <w:t>已建</w:t>
                  </w:r>
                </w:p>
              </w:tc>
            </w:tr>
            <w:tr w:rsidR="00F76A63" w14:paraId="5F642EB7" w14:textId="77777777">
              <w:trPr>
                <w:jc w:val="center"/>
              </w:trPr>
              <w:tc>
                <w:tcPr>
                  <w:tcW w:w="655" w:type="pct"/>
                  <w:vMerge/>
                  <w:vAlign w:val="center"/>
                </w:tcPr>
                <w:p w14:paraId="636E1E45" w14:textId="77777777" w:rsidR="00F76A63" w:rsidRDefault="00F76A63">
                  <w:pPr>
                    <w:rPr>
                      <w:bCs/>
                      <w:kern w:val="28"/>
                      <w:szCs w:val="21"/>
                    </w:rPr>
                  </w:pPr>
                </w:p>
              </w:tc>
              <w:tc>
                <w:tcPr>
                  <w:tcW w:w="1063" w:type="pct"/>
                  <w:vMerge w:val="restart"/>
                  <w:vAlign w:val="center"/>
                </w:tcPr>
                <w:p w14:paraId="128C3002" w14:textId="77777777" w:rsidR="00F76A63" w:rsidRDefault="00000000">
                  <w:pPr>
                    <w:pStyle w:val="000"/>
                  </w:pPr>
                  <w:r>
                    <w:t>废气</w:t>
                  </w:r>
                </w:p>
              </w:tc>
              <w:tc>
                <w:tcPr>
                  <w:tcW w:w="488" w:type="pct"/>
                  <w:vAlign w:val="center"/>
                </w:tcPr>
                <w:p w14:paraId="271A88A1" w14:textId="77777777" w:rsidR="00F76A63" w:rsidRDefault="00000000">
                  <w:pPr>
                    <w:pStyle w:val="000"/>
                  </w:pPr>
                  <w:r>
                    <w:t>一期</w:t>
                  </w:r>
                  <w:r>
                    <w:t>1#</w:t>
                  </w:r>
                  <w:r>
                    <w:t>窑尾</w:t>
                  </w:r>
                </w:p>
              </w:tc>
              <w:tc>
                <w:tcPr>
                  <w:tcW w:w="2385" w:type="pct"/>
                  <w:vAlign w:val="center"/>
                </w:tcPr>
                <w:p w14:paraId="3FF86267" w14:textId="77777777" w:rsidR="00F76A63" w:rsidRDefault="00000000">
                  <w:pPr>
                    <w:pStyle w:val="000"/>
                  </w:pPr>
                  <w:r>
                    <w:t>1#</w:t>
                  </w:r>
                  <w:r>
                    <w:t>窑尾废气采用</w:t>
                  </w:r>
                  <w:r>
                    <w:t>“</w:t>
                  </w:r>
                  <w:r>
                    <w:t>高温焚烧</w:t>
                  </w:r>
                  <w:r>
                    <w:t>+</w:t>
                  </w:r>
                  <w:r>
                    <w:t>碱性环境</w:t>
                  </w:r>
                  <w:r>
                    <w:t>+</w:t>
                  </w:r>
                  <w:r>
                    <w:rPr>
                      <w:rFonts w:hint="eastAsia"/>
                    </w:rPr>
                    <w:t>H</w:t>
                  </w:r>
                  <w:r>
                    <w:t>SNCR+SCR+</w:t>
                  </w:r>
                  <w:r>
                    <w:t>正常工况窑磨一体化，非正常工况干法脱硫</w:t>
                  </w:r>
                  <w:r>
                    <w:t>+</w:t>
                  </w:r>
                  <w:r>
                    <w:t>布袋除尘器</w:t>
                  </w:r>
                  <w:r>
                    <w:t>”</w:t>
                  </w:r>
                  <w:r>
                    <w:t>方法处理后通过</w:t>
                  </w:r>
                  <w:r>
                    <w:t>85m</w:t>
                  </w:r>
                  <w:r>
                    <w:t>排气筒排放</w:t>
                  </w:r>
                </w:p>
              </w:tc>
              <w:tc>
                <w:tcPr>
                  <w:tcW w:w="409" w:type="pct"/>
                  <w:vAlign w:val="center"/>
                </w:tcPr>
                <w:p w14:paraId="36E3E20F" w14:textId="77777777" w:rsidR="00F76A63" w:rsidRDefault="00000000">
                  <w:pPr>
                    <w:pStyle w:val="000"/>
                  </w:pPr>
                  <w:r>
                    <w:t>已建</w:t>
                  </w:r>
                </w:p>
              </w:tc>
            </w:tr>
            <w:tr w:rsidR="00F76A63" w14:paraId="2FCE20CB" w14:textId="77777777">
              <w:trPr>
                <w:jc w:val="center"/>
              </w:trPr>
              <w:tc>
                <w:tcPr>
                  <w:tcW w:w="655" w:type="pct"/>
                  <w:vMerge/>
                  <w:vAlign w:val="center"/>
                </w:tcPr>
                <w:p w14:paraId="21611772" w14:textId="77777777" w:rsidR="00F76A63" w:rsidRDefault="00F76A63">
                  <w:pPr>
                    <w:rPr>
                      <w:bCs/>
                      <w:kern w:val="28"/>
                      <w:szCs w:val="21"/>
                    </w:rPr>
                  </w:pPr>
                </w:p>
              </w:tc>
              <w:tc>
                <w:tcPr>
                  <w:tcW w:w="1063" w:type="pct"/>
                  <w:vMerge/>
                  <w:vAlign w:val="center"/>
                </w:tcPr>
                <w:p w14:paraId="24CD38A6" w14:textId="77777777" w:rsidR="00F76A63" w:rsidRDefault="00F76A63">
                  <w:pPr>
                    <w:rPr>
                      <w:bCs/>
                      <w:kern w:val="28"/>
                      <w:szCs w:val="21"/>
                    </w:rPr>
                  </w:pPr>
                </w:p>
              </w:tc>
              <w:tc>
                <w:tcPr>
                  <w:tcW w:w="488" w:type="pct"/>
                  <w:vAlign w:val="center"/>
                </w:tcPr>
                <w:p w14:paraId="7002EFAD" w14:textId="77777777" w:rsidR="00F76A63" w:rsidRDefault="00000000">
                  <w:pPr>
                    <w:pStyle w:val="000"/>
                  </w:pPr>
                  <w:r>
                    <w:t>一期</w:t>
                  </w:r>
                  <w:r>
                    <w:t>1#</w:t>
                  </w:r>
                  <w:r>
                    <w:t>窑头及其它产尘点</w:t>
                  </w:r>
                  <w:r>
                    <w:t>*</w:t>
                  </w:r>
                </w:p>
              </w:tc>
              <w:tc>
                <w:tcPr>
                  <w:tcW w:w="2385" w:type="pct"/>
                  <w:vAlign w:val="center"/>
                </w:tcPr>
                <w:p w14:paraId="3BB1A29B" w14:textId="77777777" w:rsidR="00F76A63" w:rsidRDefault="00000000">
                  <w:pPr>
                    <w:pStyle w:val="000"/>
                  </w:pPr>
                  <w:r>
                    <w:t>窑头配置布袋除尘器，废气处理后经</w:t>
                  </w:r>
                  <w:r>
                    <w:t>45m</w:t>
                  </w:r>
                  <w:r>
                    <w:t>高排气筒排放，其它产尘点共设置了</w:t>
                  </w:r>
                  <w:r>
                    <w:t>61</w:t>
                  </w:r>
                  <w:r>
                    <w:t>台袋式收尘器</w:t>
                  </w:r>
                </w:p>
              </w:tc>
              <w:tc>
                <w:tcPr>
                  <w:tcW w:w="409" w:type="pct"/>
                  <w:vAlign w:val="center"/>
                </w:tcPr>
                <w:p w14:paraId="28B7D75F" w14:textId="77777777" w:rsidR="00F76A63" w:rsidRDefault="00000000">
                  <w:pPr>
                    <w:pStyle w:val="000"/>
                  </w:pPr>
                  <w:r>
                    <w:t>已建</w:t>
                  </w:r>
                </w:p>
              </w:tc>
            </w:tr>
            <w:tr w:rsidR="00F76A63" w14:paraId="682D81CA" w14:textId="77777777">
              <w:trPr>
                <w:jc w:val="center"/>
              </w:trPr>
              <w:tc>
                <w:tcPr>
                  <w:tcW w:w="655" w:type="pct"/>
                  <w:vMerge/>
                  <w:vAlign w:val="center"/>
                </w:tcPr>
                <w:p w14:paraId="11CCD7F4" w14:textId="77777777" w:rsidR="00F76A63" w:rsidRDefault="00F76A63">
                  <w:pPr>
                    <w:rPr>
                      <w:bCs/>
                      <w:kern w:val="28"/>
                      <w:szCs w:val="21"/>
                    </w:rPr>
                  </w:pPr>
                </w:p>
              </w:tc>
              <w:tc>
                <w:tcPr>
                  <w:tcW w:w="1063" w:type="pct"/>
                  <w:vMerge/>
                  <w:vAlign w:val="center"/>
                </w:tcPr>
                <w:p w14:paraId="7A8554B3" w14:textId="77777777" w:rsidR="00F76A63" w:rsidRDefault="00F76A63">
                  <w:pPr>
                    <w:rPr>
                      <w:bCs/>
                      <w:kern w:val="28"/>
                      <w:szCs w:val="21"/>
                    </w:rPr>
                  </w:pPr>
                </w:p>
              </w:tc>
              <w:tc>
                <w:tcPr>
                  <w:tcW w:w="488" w:type="pct"/>
                  <w:vAlign w:val="center"/>
                </w:tcPr>
                <w:p w14:paraId="680F458B" w14:textId="77777777" w:rsidR="00F76A63" w:rsidRDefault="00000000">
                  <w:pPr>
                    <w:pStyle w:val="000"/>
                  </w:pPr>
                  <w:r>
                    <w:t>二期</w:t>
                  </w:r>
                  <w:r>
                    <w:t>2#</w:t>
                  </w:r>
                  <w:r>
                    <w:t>窑尾</w:t>
                  </w:r>
                </w:p>
              </w:tc>
              <w:tc>
                <w:tcPr>
                  <w:tcW w:w="2385" w:type="pct"/>
                  <w:vAlign w:val="center"/>
                </w:tcPr>
                <w:p w14:paraId="2CEBE2B4" w14:textId="77777777" w:rsidR="00F76A63" w:rsidRDefault="00000000">
                  <w:pPr>
                    <w:pStyle w:val="000"/>
                  </w:pPr>
                  <w:r>
                    <w:t>2#</w:t>
                  </w:r>
                  <w:r>
                    <w:t>窑尾废气采用</w:t>
                  </w:r>
                  <w:r>
                    <w:t>“</w:t>
                  </w:r>
                  <w:r>
                    <w:t>高温焚烧</w:t>
                  </w:r>
                  <w:r>
                    <w:t>+</w:t>
                  </w:r>
                  <w:r>
                    <w:t>碱性环境</w:t>
                  </w:r>
                  <w:r>
                    <w:t>+</w:t>
                  </w:r>
                  <w:r>
                    <w:rPr>
                      <w:rFonts w:hint="eastAsia"/>
                    </w:rPr>
                    <w:t>H</w:t>
                  </w:r>
                  <w:r>
                    <w:t>SNCR+SCR+</w:t>
                  </w:r>
                  <w:bookmarkStart w:id="92" w:name="_Hlk203045852"/>
                  <w:r>
                    <w:t>正常工况窑磨一体化，非正常工况干法脱硫</w:t>
                  </w:r>
                  <w:bookmarkEnd w:id="92"/>
                  <w:r>
                    <w:t>+</w:t>
                  </w:r>
                  <w:r>
                    <w:t>电袋复合（</w:t>
                  </w:r>
                  <w:r>
                    <w:t>1</w:t>
                  </w:r>
                  <w:r>
                    <w:t>电</w:t>
                  </w:r>
                  <w:r>
                    <w:t>3</w:t>
                  </w:r>
                  <w:r>
                    <w:t>布袋）除尘器</w:t>
                  </w:r>
                  <w:r>
                    <w:t>”</w:t>
                  </w:r>
                  <w:r>
                    <w:t>方法处理后通过</w:t>
                  </w:r>
                  <w:r>
                    <w:t>125m</w:t>
                  </w:r>
                  <w:r>
                    <w:t>排气筒排放。</w:t>
                  </w:r>
                </w:p>
              </w:tc>
              <w:tc>
                <w:tcPr>
                  <w:tcW w:w="409" w:type="pct"/>
                  <w:vAlign w:val="center"/>
                </w:tcPr>
                <w:p w14:paraId="7064DADF" w14:textId="77777777" w:rsidR="00F76A63" w:rsidRDefault="00000000">
                  <w:pPr>
                    <w:pStyle w:val="000"/>
                  </w:pPr>
                  <w:r>
                    <w:t>已建</w:t>
                  </w:r>
                </w:p>
              </w:tc>
            </w:tr>
            <w:tr w:rsidR="00F76A63" w14:paraId="0E607217" w14:textId="77777777">
              <w:trPr>
                <w:jc w:val="center"/>
              </w:trPr>
              <w:tc>
                <w:tcPr>
                  <w:tcW w:w="655" w:type="pct"/>
                  <w:vMerge/>
                  <w:vAlign w:val="center"/>
                </w:tcPr>
                <w:p w14:paraId="34D90810" w14:textId="77777777" w:rsidR="00F76A63" w:rsidRDefault="00F76A63">
                  <w:pPr>
                    <w:rPr>
                      <w:bCs/>
                      <w:kern w:val="28"/>
                      <w:szCs w:val="21"/>
                    </w:rPr>
                  </w:pPr>
                </w:p>
              </w:tc>
              <w:tc>
                <w:tcPr>
                  <w:tcW w:w="1063" w:type="pct"/>
                  <w:vMerge/>
                  <w:vAlign w:val="center"/>
                </w:tcPr>
                <w:p w14:paraId="051713F3" w14:textId="77777777" w:rsidR="00F76A63" w:rsidRDefault="00F76A63">
                  <w:pPr>
                    <w:rPr>
                      <w:bCs/>
                      <w:kern w:val="28"/>
                      <w:szCs w:val="21"/>
                    </w:rPr>
                  </w:pPr>
                </w:p>
              </w:tc>
              <w:tc>
                <w:tcPr>
                  <w:tcW w:w="488" w:type="pct"/>
                  <w:vAlign w:val="center"/>
                </w:tcPr>
                <w:p w14:paraId="6165055A" w14:textId="77777777" w:rsidR="00F76A63" w:rsidRDefault="00000000">
                  <w:pPr>
                    <w:pStyle w:val="000"/>
                  </w:pPr>
                  <w:r>
                    <w:t>二期</w:t>
                  </w:r>
                  <w:r>
                    <w:t>2#</w:t>
                  </w:r>
                  <w:r>
                    <w:t>窑头及其它产尘点</w:t>
                  </w:r>
                  <w:r>
                    <w:t>*</w:t>
                  </w:r>
                </w:p>
              </w:tc>
              <w:tc>
                <w:tcPr>
                  <w:tcW w:w="2385" w:type="pct"/>
                  <w:vAlign w:val="center"/>
                </w:tcPr>
                <w:p w14:paraId="7B8B30BF" w14:textId="77777777" w:rsidR="00F76A63" w:rsidRDefault="00000000">
                  <w:pPr>
                    <w:pStyle w:val="000"/>
                  </w:pPr>
                  <w:r>
                    <w:t>窑头配置</w:t>
                  </w:r>
                  <w:r>
                    <w:t>1</w:t>
                  </w:r>
                  <w:r>
                    <w:t>个静电收集仓</w:t>
                  </w:r>
                  <w:r>
                    <w:t>+3</w:t>
                  </w:r>
                  <w:r>
                    <w:t>个布袋收集仓的电袋复合除尘器，窑头废气处理后经</w:t>
                  </w:r>
                  <w:r>
                    <w:t>40m</w:t>
                  </w:r>
                  <w:r>
                    <w:t>高排气筒排放。</w:t>
                  </w:r>
                </w:p>
                <w:p w14:paraId="25DA1489" w14:textId="77777777" w:rsidR="00F76A63" w:rsidRDefault="00000000">
                  <w:pPr>
                    <w:pStyle w:val="000"/>
                  </w:pPr>
                  <w:r>
                    <w:t>其它产尘点共设置了</w:t>
                  </w:r>
                  <w:r>
                    <w:t>52</w:t>
                  </w:r>
                  <w:r>
                    <w:t>台袋式收尘器，并依托一期</w:t>
                  </w:r>
                  <w:r>
                    <w:t>1#4</w:t>
                  </w:r>
                  <w:r>
                    <w:t>台袋式除尘器。</w:t>
                  </w:r>
                </w:p>
              </w:tc>
              <w:tc>
                <w:tcPr>
                  <w:tcW w:w="409" w:type="pct"/>
                  <w:vAlign w:val="center"/>
                </w:tcPr>
                <w:p w14:paraId="3A529D11" w14:textId="77777777" w:rsidR="00F76A63" w:rsidRDefault="00000000">
                  <w:pPr>
                    <w:pStyle w:val="000"/>
                  </w:pPr>
                  <w:r>
                    <w:t>已建</w:t>
                  </w:r>
                </w:p>
              </w:tc>
            </w:tr>
            <w:tr w:rsidR="00F76A63" w14:paraId="0F4262E0" w14:textId="77777777">
              <w:trPr>
                <w:jc w:val="center"/>
              </w:trPr>
              <w:tc>
                <w:tcPr>
                  <w:tcW w:w="655" w:type="pct"/>
                  <w:vMerge/>
                  <w:vAlign w:val="center"/>
                </w:tcPr>
                <w:p w14:paraId="250598D3" w14:textId="77777777" w:rsidR="00F76A63" w:rsidRDefault="00F76A63">
                  <w:pPr>
                    <w:rPr>
                      <w:bCs/>
                      <w:kern w:val="28"/>
                      <w:szCs w:val="21"/>
                    </w:rPr>
                  </w:pPr>
                </w:p>
              </w:tc>
              <w:tc>
                <w:tcPr>
                  <w:tcW w:w="1063" w:type="pct"/>
                  <w:vAlign w:val="center"/>
                </w:tcPr>
                <w:p w14:paraId="62C4A088" w14:textId="77777777" w:rsidR="00F76A63" w:rsidRDefault="00000000">
                  <w:pPr>
                    <w:pStyle w:val="000"/>
                  </w:pPr>
                  <w:r>
                    <w:t>噪声</w:t>
                  </w:r>
                </w:p>
              </w:tc>
              <w:tc>
                <w:tcPr>
                  <w:tcW w:w="2873" w:type="pct"/>
                  <w:gridSpan w:val="2"/>
                  <w:vAlign w:val="center"/>
                </w:tcPr>
                <w:p w14:paraId="2C4F5EFE" w14:textId="77777777" w:rsidR="00F76A63" w:rsidRDefault="00000000">
                  <w:pPr>
                    <w:pStyle w:val="000"/>
                  </w:pPr>
                  <w:r>
                    <w:t>各类磨机、空压机和各类风机等，采取隔音、隔振、吸声、消声等措施降噪。</w:t>
                  </w:r>
                </w:p>
              </w:tc>
              <w:tc>
                <w:tcPr>
                  <w:tcW w:w="409" w:type="pct"/>
                  <w:vAlign w:val="center"/>
                </w:tcPr>
                <w:p w14:paraId="7BFC0B17" w14:textId="77777777" w:rsidR="00F76A63" w:rsidRDefault="00000000">
                  <w:pPr>
                    <w:pStyle w:val="000"/>
                  </w:pPr>
                  <w:r>
                    <w:t>已建</w:t>
                  </w:r>
                </w:p>
              </w:tc>
            </w:tr>
            <w:tr w:rsidR="00F76A63" w14:paraId="4C3789CA" w14:textId="77777777">
              <w:trPr>
                <w:jc w:val="center"/>
              </w:trPr>
              <w:tc>
                <w:tcPr>
                  <w:tcW w:w="655" w:type="pct"/>
                  <w:vMerge/>
                  <w:vAlign w:val="center"/>
                </w:tcPr>
                <w:p w14:paraId="00D7E60C" w14:textId="77777777" w:rsidR="00F76A63" w:rsidRDefault="00F76A63">
                  <w:pPr>
                    <w:rPr>
                      <w:bCs/>
                      <w:kern w:val="28"/>
                      <w:szCs w:val="21"/>
                    </w:rPr>
                  </w:pPr>
                </w:p>
              </w:tc>
              <w:tc>
                <w:tcPr>
                  <w:tcW w:w="1063" w:type="pct"/>
                  <w:vAlign w:val="center"/>
                </w:tcPr>
                <w:p w14:paraId="75A11673" w14:textId="77777777" w:rsidR="00F76A63" w:rsidRDefault="00000000">
                  <w:pPr>
                    <w:pStyle w:val="000"/>
                  </w:pPr>
                  <w:r>
                    <w:t>固废</w:t>
                  </w:r>
                </w:p>
              </w:tc>
              <w:tc>
                <w:tcPr>
                  <w:tcW w:w="2873" w:type="pct"/>
                  <w:gridSpan w:val="2"/>
                  <w:vAlign w:val="center"/>
                </w:tcPr>
                <w:p w14:paraId="3FE72D8B" w14:textId="77777777" w:rsidR="00F76A63" w:rsidRDefault="00000000">
                  <w:pPr>
                    <w:pStyle w:val="000"/>
                  </w:pPr>
                  <w:r>
                    <w:t>废耐火砖原厂家回收，废油委托镇江风华废弃物处</w:t>
                  </w:r>
                  <w:r>
                    <w:lastRenderedPageBreak/>
                    <w:t>置有限公司处置；</w:t>
                  </w:r>
                </w:p>
                <w:p w14:paraId="22CB04F1" w14:textId="77777777" w:rsidR="00F76A63" w:rsidRDefault="00000000">
                  <w:pPr>
                    <w:pStyle w:val="000"/>
                  </w:pPr>
                  <w:r>
                    <w:t>废皮带、废铁等，采用外售等方式得到合理处置；</w:t>
                  </w:r>
                </w:p>
                <w:p w14:paraId="6189440D" w14:textId="77777777" w:rsidR="00F76A63" w:rsidRDefault="00000000">
                  <w:pPr>
                    <w:pStyle w:val="000"/>
                  </w:pPr>
                  <w:r>
                    <w:t>生活垃圾产生量约为</w:t>
                  </w:r>
                  <w:r>
                    <w:t>46.5t/a</w:t>
                  </w:r>
                  <w:r>
                    <w:t>，由厂内收集后委托下蜀镇环境卫生管理处处置。</w:t>
                  </w:r>
                </w:p>
              </w:tc>
              <w:tc>
                <w:tcPr>
                  <w:tcW w:w="409" w:type="pct"/>
                  <w:vAlign w:val="center"/>
                </w:tcPr>
                <w:p w14:paraId="6A0490E5" w14:textId="77777777" w:rsidR="00F76A63" w:rsidRDefault="00000000">
                  <w:pPr>
                    <w:pStyle w:val="000"/>
                  </w:pPr>
                  <w:r>
                    <w:lastRenderedPageBreak/>
                    <w:t>/</w:t>
                  </w:r>
                </w:p>
              </w:tc>
            </w:tr>
            <w:tr w:rsidR="00F76A63" w14:paraId="093717EE" w14:textId="77777777">
              <w:trPr>
                <w:jc w:val="center"/>
              </w:trPr>
              <w:tc>
                <w:tcPr>
                  <w:tcW w:w="655" w:type="pct"/>
                  <w:vMerge/>
                  <w:vAlign w:val="center"/>
                </w:tcPr>
                <w:p w14:paraId="09ADFA1B" w14:textId="77777777" w:rsidR="00F76A63" w:rsidRDefault="00F76A63">
                  <w:pPr>
                    <w:rPr>
                      <w:bCs/>
                      <w:kern w:val="28"/>
                      <w:szCs w:val="21"/>
                    </w:rPr>
                  </w:pPr>
                </w:p>
              </w:tc>
              <w:tc>
                <w:tcPr>
                  <w:tcW w:w="1063" w:type="pct"/>
                  <w:vAlign w:val="center"/>
                </w:tcPr>
                <w:p w14:paraId="72608A9D" w14:textId="77777777" w:rsidR="00F76A63" w:rsidRDefault="00000000">
                  <w:pPr>
                    <w:pStyle w:val="000"/>
                  </w:pPr>
                  <w:r>
                    <w:t>事故应急池</w:t>
                  </w:r>
                </w:p>
              </w:tc>
              <w:tc>
                <w:tcPr>
                  <w:tcW w:w="2873" w:type="pct"/>
                  <w:gridSpan w:val="2"/>
                  <w:vAlign w:val="center"/>
                </w:tcPr>
                <w:p w14:paraId="7CB29AB3" w14:textId="77777777" w:rsidR="00F76A63" w:rsidRDefault="00000000">
                  <w:pPr>
                    <w:pStyle w:val="000"/>
                  </w:pPr>
                  <w:r>
                    <w:t>现有事故应急池总有效容积为</w:t>
                  </w:r>
                  <w:r>
                    <w:t>2700m</w:t>
                  </w:r>
                  <w:r>
                    <w:rPr>
                      <w:vertAlign w:val="superscript"/>
                    </w:rPr>
                    <w:t>3</w:t>
                  </w:r>
                  <w:r>
                    <w:rPr>
                      <w:spacing w:val="12"/>
                    </w:rPr>
                    <w:t>。</w:t>
                  </w:r>
                </w:p>
              </w:tc>
              <w:tc>
                <w:tcPr>
                  <w:tcW w:w="409" w:type="pct"/>
                  <w:vMerge w:val="restart"/>
                  <w:vAlign w:val="center"/>
                </w:tcPr>
                <w:p w14:paraId="6AE5B3FE" w14:textId="77777777" w:rsidR="00F76A63" w:rsidRDefault="00000000">
                  <w:pPr>
                    <w:pStyle w:val="000"/>
                  </w:pPr>
                  <w:r>
                    <w:rPr>
                      <w:rFonts w:hint="eastAsia"/>
                    </w:rPr>
                    <w:t>已建</w:t>
                  </w:r>
                </w:p>
              </w:tc>
            </w:tr>
            <w:tr w:rsidR="00F76A63" w14:paraId="028CB1C3" w14:textId="77777777">
              <w:trPr>
                <w:jc w:val="center"/>
              </w:trPr>
              <w:tc>
                <w:tcPr>
                  <w:tcW w:w="655" w:type="pct"/>
                  <w:vMerge/>
                  <w:vAlign w:val="center"/>
                </w:tcPr>
                <w:p w14:paraId="219DB44B" w14:textId="77777777" w:rsidR="00F76A63" w:rsidRDefault="00F76A63">
                  <w:pPr>
                    <w:rPr>
                      <w:bCs/>
                      <w:kern w:val="28"/>
                      <w:szCs w:val="21"/>
                    </w:rPr>
                  </w:pPr>
                </w:p>
              </w:tc>
              <w:tc>
                <w:tcPr>
                  <w:tcW w:w="1063" w:type="pct"/>
                  <w:vAlign w:val="center"/>
                </w:tcPr>
                <w:p w14:paraId="3A1A68E1" w14:textId="77777777" w:rsidR="00F76A63" w:rsidRDefault="00000000">
                  <w:pPr>
                    <w:pStyle w:val="000"/>
                  </w:pPr>
                  <w:r>
                    <w:t>在线监测系统</w:t>
                  </w:r>
                </w:p>
              </w:tc>
              <w:tc>
                <w:tcPr>
                  <w:tcW w:w="2873" w:type="pct"/>
                  <w:gridSpan w:val="2"/>
                  <w:vAlign w:val="center"/>
                </w:tcPr>
                <w:p w14:paraId="22364C18" w14:textId="77777777" w:rsidR="00F76A63" w:rsidRDefault="00000000">
                  <w:pPr>
                    <w:pStyle w:val="000"/>
                  </w:pPr>
                  <w:r>
                    <w:t>在线监测系统，监测指标包括：窑头烟气温度、压力；窑尾烟气温度、压力，</w:t>
                  </w:r>
                  <w:r>
                    <w:t>O</w:t>
                  </w:r>
                  <w:r>
                    <w:rPr>
                      <w:vertAlign w:val="subscript"/>
                    </w:rPr>
                    <w:t>2</w:t>
                  </w:r>
                  <w:r>
                    <w:t>、</w:t>
                  </w:r>
                  <w:r>
                    <w:t>SO</w:t>
                  </w:r>
                  <w:r>
                    <w:rPr>
                      <w:vertAlign w:val="subscript"/>
                    </w:rPr>
                    <w:t>2</w:t>
                  </w:r>
                  <w:r>
                    <w:t>、</w:t>
                  </w:r>
                  <w:r>
                    <w:t>NOx</w:t>
                  </w:r>
                  <w:r>
                    <w:t>及颗粒物浓度。</w:t>
                  </w:r>
                </w:p>
              </w:tc>
              <w:tc>
                <w:tcPr>
                  <w:tcW w:w="409" w:type="pct"/>
                  <w:vMerge/>
                  <w:vAlign w:val="center"/>
                </w:tcPr>
                <w:p w14:paraId="1811EBB8" w14:textId="77777777" w:rsidR="00F76A63" w:rsidRDefault="00F76A63">
                  <w:pPr>
                    <w:pStyle w:val="000"/>
                  </w:pPr>
                </w:p>
              </w:tc>
            </w:tr>
            <w:tr w:rsidR="00F76A63" w14:paraId="637598D2" w14:textId="77777777">
              <w:trPr>
                <w:jc w:val="center"/>
              </w:trPr>
              <w:tc>
                <w:tcPr>
                  <w:tcW w:w="655" w:type="pct"/>
                  <w:vMerge w:val="restart"/>
                  <w:vAlign w:val="center"/>
                </w:tcPr>
                <w:p w14:paraId="6A8C36FE" w14:textId="77777777" w:rsidR="00F76A63" w:rsidRDefault="00000000">
                  <w:pPr>
                    <w:pStyle w:val="000"/>
                  </w:pPr>
                  <w:r>
                    <w:t>储存工程</w:t>
                  </w:r>
                </w:p>
              </w:tc>
              <w:tc>
                <w:tcPr>
                  <w:tcW w:w="1063" w:type="pct"/>
                  <w:vAlign w:val="center"/>
                </w:tcPr>
                <w:p w14:paraId="20268E1D" w14:textId="77777777" w:rsidR="00F76A63" w:rsidRDefault="00000000">
                  <w:pPr>
                    <w:pStyle w:val="000"/>
                  </w:pPr>
                  <w:r>
                    <w:t>生料库</w:t>
                  </w:r>
                </w:p>
              </w:tc>
              <w:tc>
                <w:tcPr>
                  <w:tcW w:w="2873" w:type="pct"/>
                  <w:gridSpan w:val="2"/>
                  <w:vAlign w:val="center"/>
                </w:tcPr>
                <w:p w14:paraId="02269EDE" w14:textId="77777777" w:rsidR="00F76A63" w:rsidRDefault="00000000">
                  <w:pPr>
                    <w:pStyle w:val="000"/>
                  </w:pPr>
                  <w:r>
                    <w:t>1#</w:t>
                  </w:r>
                  <w:r>
                    <w:t>窑：</w:t>
                  </w:r>
                  <w:r>
                    <w:t>2</w:t>
                  </w:r>
                  <w:r>
                    <w:t>座，储量</w:t>
                  </w:r>
                  <w:r>
                    <w:t>12500t</w:t>
                  </w:r>
                  <w:r>
                    <w:t>；</w:t>
                  </w:r>
                  <w:r>
                    <w:t>2#</w:t>
                  </w:r>
                  <w:r>
                    <w:t>窑：</w:t>
                  </w:r>
                  <w:r>
                    <w:t>1</w:t>
                  </w:r>
                  <w:r>
                    <w:t>座储量</w:t>
                  </w:r>
                  <w:r>
                    <w:t>20000t</w:t>
                  </w:r>
                </w:p>
              </w:tc>
              <w:tc>
                <w:tcPr>
                  <w:tcW w:w="409" w:type="pct"/>
                  <w:vMerge w:val="restart"/>
                  <w:vAlign w:val="center"/>
                </w:tcPr>
                <w:p w14:paraId="1EA96432" w14:textId="77777777" w:rsidR="00F76A63" w:rsidRDefault="00000000">
                  <w:pPr>
                    <w:pStyle w:val="000"/>
                  </w:pPr>
                  <w:r>
                    <w:t>已建</w:t>
                  </w:r>
                </w:p>
              </w:tc>
            </w:tr>
            <w:tr w:rsidR="00F76A63" w14:paraId="11EA4C51" w14:textId="77777777">
              <w:trPr>
                <w:jc w:val="center"/>
              </w:trPr>
              <w:tc>
                <w:tcPr>
                  <w:tcW w:w="655" w:type="pct"/>
                  <w:vMerge/>
                  <w:vAlign w:val="center"/>
                </w:tcPr>
                <w:p w14:paraId="3174AC26" w14:textId="77777777" w:rsidR="00F76A63" w:rsidRDefault="00F76A63">
                  <w:pPr>
                    <w:rPr>
                      <w:bCs/>
                      <w:kern w:val="28"/>
                      <w:szCs w:val="21"/>
                    </w:rPr>
                  </w:pPr>
                </w:p>
              </w:tc>
              <w:tc>
                <w:tcPr>
                  <w:tcW w:w="1063" w:type="pct"/>
                  <w:vAlign w:val="center"/>
                </w:tcPr>
                <w:p w14:paraId="63FCEAF2" w14:textId="77777777" w:rsidR="00F76A63" w:rsidRDefault="00000000">
                  <w:pPr>
                    <w:pStyle w:val="000"/>
                  </w:pPr>
                  <w:r>
                    <w:t>煤堆场</w:t>
                  </w:r>
                </w:p>
              </w:tc>
              <w:tc>
                <w:tcPr>
                  <w:tcW w:w="2873" w:type="pct"/>
                  <w:gridSpan w:val="2"/>
                  <w:vAlign w:val="center"/>
                </w:tcPr>
                <w:p w14:paraId="78CE2824" w14:textId="77777777" w:rsidR="00F76A63" w:rsidRDefault="00000000">
                  <w:pPr>
                    <w:pStyle w:val="000"/>
                  </w:pPr>
                  <w:r>
                    <w:t>煤预均化堆场（料）：</w:t>
                  </w:r>
                  <w:r>
                    <w:t>1-19×280m</w:t>
                  </w:r>
                  <w:r>
                    <w:t>；煤预均化堆场：</w:t>
                  </w:r>
                  <w:r>
                    <w:t>1-24×280m</w:t>
                  </w:r>
                  <w:r>
                    <w:t>；堆棚：</w:t>
                  </w:r>
                  <w:r>
                    <w:t>2-30×190m</w:t>
                  </w:r>
                </w:p>
              </w:tc>
              <w:tc>
                <w:tcPr>
                  <w:tcW w:w="409" w:type="pct"/>
                  <w:vMerge/>
                  <w:vAlign w:val="center"/>
                </w:tcPr>
                <w:p w14:paraId="17E6F24E" w14:textId="77777777" w:rsidR="00F76A63" w:rsidRDefault="00F76A63">
                  <w:pPr>
                    <w:rPr>
                      <w:bCs/>
                      <w:kern w:val="28"/>
                      <w:szCs w:val="21"/>
                    </w:rPr>
                  </w:pPr>
                </w:p>
              </w:tc>
            </w:tr>
            <w:tr w:rsidR="00F76A63" w14:paraId="0FCD8471" w14:textId="77777777">
              <w:trPr>
                <w:jc w:val="center"/>
              </w:trPr>
              <w:tc>
                <w:tcPr>
                  <w:tcW w:w="655" w:type="pct"/>
                  <w:vMerge/>
                  <w:vAlign w:val="center"/>
                </w:tcPr>
                <w:p w14:paraId="647E78D2" w14:textId="77777777" w:rsidR="00F76A63" w:rsidRDefault="00F76A63">
                  <w:pPr>
                    <w:rPr>
                      <w:bCs/>
                      <w:kern w:val="28"/>
                      <w:szCs w:val="21"/>
                    </w:rPr>
                  </w:pPr>
                </w:p>
              </w:tc>
              <w:tc>
                <w:tcPr>
                  <w:tcW w:w="1063" w:type="pct"/>
                  <w:vAlign w:val="center"/>
                </w:tcPr>
                <w:p w14:paraId="62EDEF5F" w14:textId="77777777" w:rsidR="00F76A63" w:rsidRDefault="00000000">
                  <w:pPr>
                    <w:pStyle w:val="000"/>
                  </w:pPr>
                  <w:r>
                    <w:t>石灰石预均化堆场</w:t>
                  </w:r>
                </w:p>
              </w:tc>
              <w:tc>
                <w:tcPr>
                  <w:tcW w:w="2873" w:type="pct"/>
                  <w:gridSpan w:val="2"/>
                  <w:vAlign w:val="center"/>
                </w:tcPr>
                <w:p w14:paraId="5D04FC9B" w14:textId="77777777" w:rsidR="00F76A63" w:rsidRDefault="00000000">
                  <w:pPr>
                    <w:pStyle w:val="000"/>
                  </w:pPr>
                  <w:r>
                    <w:t>1-240×43m</w:t>
                  </w:r>
                  <w:r>
                    <w:rPr>
                      <w:rFonts w:hint="eastAsia"/>
                    </w:rPr>
                    <w:t>，</w:t>
                  </w:r>
                  <w:r>
                    <w:t>1-240×33m</w:t>
                  </w:r>
                </w:p>
              </w:tc>
              <w:tc>
                <w:tcPr>
                  <w:tcW w:w="409" w:type="pct"/>
                  <w:vMerge/>
                  <w:vAlign w:val="center"/>
                </w:tcPr>
                <w:p w14:paraId="235BB222" w14:textId="77777777" w:rsidR="00F76A63" w:rsidRDefault="00F76A63">
                  <w:pPr>
                    <w:rPr>
                      <w:bCs/>
                      <w:kern w:val="28"/>
                      <w:szCs w:val="21"/>
                    </w:rPr>
                  </w:pPr>
                </w:p>
              </w:tc>
            </w:tr>
            <w:tr w:rsidR="00F76A63" w14:paraId="711990E5" w14:textId="77777777">
              <w:trPr>
                <w:jc w:val="center"/>
              </w:trPr>
              <w:tc>
                <w:tcPr>
                  <w:tcW w:w="655" w:type="pct"/>
                  <w:vMerge/>
                  <w:vAlign w:val="center"/>
                </w:tcPr>
                <w:p w14:paraId="5A5E9E78" w14:textId="77777777" w:rsidR="00F76A63" w:rsidRDefault="00F76A63">
                  <w:pPr>
                    <w:rPr>
                      <w:bCs/>
                      <w:kern w:val="28"/>
                      <w:szCs w:val="21"/>
                    </w:rPr>
                  </w:pPr>
                </w:p>
              </w:tc>
              <w:tc>
                <w:tcPr>
                  <w:tcW w:w="1063" w:type="pct"/>
                  <w:vAlign w:val="center"/>
                </w:tcPr>
                <w:p w14:paraId="7AF23D01" w14:textId="77777777" w:rsidR="00F76A63" w:rsidRDefault="00000000">
                  <w:pPr>
                    <w:pStyle w:val="000"/>
                  </w:pPr>
                  <w:r>
                    <w:rPr>
                      <w:spacing w:val="12"/>
                    </w:rPr>
                    <w:t>砂岩联合堆棚</w:t>
                  </w:r>
                </w:p>
              </w:tc>
              <w:tc>
                <w:tcPr>
                  <w:tcW w:w="2873" w:type="pct"/>
                  <w:gridSpan w:val="2"/>
                  <w:vAlign w:val="center"/>
                </w:tcPr>
                <w:p w14:paraId="3A1B4048" w14:textId="77777777" w:rsidR="00F76A63" w:rsidRDefault="00000000">
                  <w:pPr>
                    <w:pStyle w:val="000"/>
                  </w:pPr>
                  <w:r>
                    <w:rPr>
                      <w:rFonts w:eastAsia="Times New Roman"/>
                      <w:spacing w:val="7"/>
                    </w:rPr>
                    <w:t>1F/20m</w:t>
                  </w:r>
                  <w:r>
                    <w:rPr>
                      <w:spacing w:val="7"/>
                    </w:rPr>
                    <w:t>，总占地面积约</w:t>
                  </w:r>
                  <w:r>
                    <w:rPr>
                      <w:rFonts w:eastAsia="Times New Roman"/>
                      <w:spacing w:val="7"/>
                    </w:rPr>
                    <w:t>4374</w:t>
                  </w:r>
                  <w:r>
                    <w:rPr>
                      <w:rFonts w:eastAsiaTheme="minorEastAsia"/>
                      <w:spacing w:val="7"/>
                    </w:rPr>
                    <w:t>m</w:t>
                  </w:r>
                  <w:r>
                    <w:rPr>
                      <w:rFonts w:eastAsiaTheme="minorEastAsia"/>
                      <w:spacing w:val="7"/>
                      <w:vertAlign w:val="superscript"/>
                    </w:rPr>
                    <w:t>2</w:t>
                  </w:r>
                </w:p>
              </w:tc>
              <w:tc>
                <w:tcPr>
                  <w:tcW w:w="409" w:type="pct"/>
                  <w:vMerge/>
                  <w:vAlign w:val="center"/>
                </w:tcPr>
                <w:p w14:paraId="427DD9CE" w14:textId="77777777" w:rsidR="00F76A63" w:rsidRDefault="00F76A63">
                  <w:pPr>
                    <w:rPr>
                      <w:bCs/>
                      <w:kern w:val="28"/>
                      <w:szCs w:val="21"/>
                    </w:rPr>
                  </w:pPr>
                </w:p>
              </w:tc>
            </w:tr>
            <w:tr w:rsidR="00F76A63" w14:paraId="2965213D" w14:textId="77777777">
              <w:trPr>
                <w:jc w:val="center"/>
              </w:trPr>
              <w:tc>
                <w:tcPr>
                  <w:tcW w:w="655" w:type="pct"/>
                  <w:vMerge/>
                  <w:vAlign w:val="center"/>
                </w:tcPr>
                <w:p w14:paraId="7CD891F5" w14:textId="77777777" w:rsidR="00F76A63" w:rsidRDefault="00F76A63">
                  <w:pPr>
                    <w:rPr>
                      <w:bCs/>
                      <w:kern w:val="28"/>
                      <w:szCs w:val="21"/>
                    </w:rPr>
                  </w:pPr>
                </w:p>
              </w:tc>
              <w:tc>
                <w:tcPr>
                  <w:tcW w:w="1063" w:type="pct"/>
                  <w:vAlign w:val="center"/>
                </w:tcPr>
                <w:p w14:paraId="1B644C15" w14:textId="77777777" w:rsidR="00F76A63" w:rsidRDefault="00000000">
                  <w:pPr>
                    <w:pStyle w:val="000"/>
                  </w:pPr>
                  <w:r>
                    <w:t>石膏大棚</w:t>
                  </w:r>
                </w:p>
              </w:tc>
              <w:tc>
                <w:tcPr>
                  <w:tcW w:w="2873" w:type="pct"/>
                  <w:gridSpan w:val="2"/>
                  <w:vAlign w:val="center"/>
                </w:tcPr>
                <w:p w14:paraId="71C780A4" w14:textId="77777777" w:rsidR="00F76A63" w:rsidRDefault="00000000">
                  <w:pPr>
                    <w:pStyle w:val="000"/>
                  </w:pPr>
                  <w:r>
                    <w:t>石灰石仓：</w:t>
                  </w:r>
                  <w:r>
                    <w:t>1-37.5×40m</w:t>
                  </w:r>
                  <w:r>
                    <w:t>；火山灰仓：</w:t>
                  </w:r>
                  <w:r>
                    <w:t>1-37.5×40m</w:t>
                  </w:r>
                  <w:r>
                    <w:t>；脱硫石膏仓：</w:t>
                  </w:r>
                  <w:r>
                    <w:t>1-52.5×40m</w:t>
                  </w:r>
                </w:p>
              </w:tc>
              <w:tc>
                <w:tcPr>
                  <w:tcW w:w="409" w:type="pct"/>
                  <w:vMerge/>
                  <w:vAlign w:val="center"/>
                </w:tcPr>
                <w:p w14:paraId="0D9F0A91" w14:textId="77777777" w:rsidR="00F76A63" w:rsidRDefault="00F76A63">
                  <w:pPr>
                    <w:rPr>
                      <w:bCs/>
                      <w:kern w:val="28"/>
                      <w:szCs w:val="21"/>
                    </w:rPr>
                  </w:pPr>
                </w:p>
              </w:tc>
            </w:tr>
            <w:tr w:rsidR="00F76A63" w14:paraId="445E23C7" w14:textId="77777777">
              <w:trPr>
                <w:jc w:val="center"/>
              </w:trPr>
              <w:tc>
                <w:tcPr>
                  <w:tcW w:w="655" w:type="pct"/>
                  <w:vMerge/>
                  <w:vAlign w:val="center"/>
                </w:tcPr>
                <w:p w14:paraId="27B8DC5B" w14:textId="77777777" w:rsidR="00F76A63" w:rsidRDefault="00F76A63">
                  <w:pPr>
                    <w:rPr>
                      <w:bCs/>
                      <w:kern w:val="28"/>
                      <w:szCs w:val="21"/>
                    </w:rPr>
                  </w:pPr>
                </w:p>
              </w:tc>
              <w:tc>
                <w:tcPr>
                  <w:tcW w:w="1063" w:type="pct"/>
                  <w:vAlign w:val="center"/>
                </w:tcPr>
                <w:p w14:paraId="79EA5590" w14:textId="77777777" w:rsidR="00F76A63" w:rsidRDefault="00000000">
                  <w:pPr>
                    <w:pStyle w:val="000"/>
                  </w:pPr>
                  <w:r>
                    <w:t>联合储库</w:t>
                  </w:r>
                </w:p>
              </w:tc>
              <w:tc>
                <w:tcPr>
                  <w:tcW w:w="2873" w:type="pct"/>
                  <w:gridSpan w:val="2"/>
                  <w:vAlign w:val="center"/>
                </w:tcPr>
                <w:p w14:paraId="2DE17298" w14:textId="77777777" w:rsidR="00F76A63" w:rsidRDefault="00000000">
                  <w:pPr>
                    <w:pStyle w:val="000"/>
                  </w:pPr>
                  <w:r>
                    <w:t>1-24×28m</w:t>
                  </w:r>
                  <w:r>
                    <w:t>，存放湿粉煤灰；</w:t>
                  </w:r>
                  <w:r>
                    <w:t>1-44×28m</w:t>
                  </w:r>
                  <w:r>
                    <w:t>，存放铁尾渣、铜矿渣</w:t>
                  </w:r>
                </w:p>
              </w:tc>
              <w:tc>
                <w:tcPr>
                  <w:tcW w:w="409" w:type="pct"/>
                  <w:vMerge/>
                  <w:vAlign w:val="center"/>
                </w:tcPr>
                <w:p w14:paraId="3CF5FFAB" w14:textId="77777777" w:rsidR="00F76A63" w:rsidRDefault="00F76A63">
                  <w:pPr>
                    <w:rPr>
                      <w:bCs/>
                      <w:kern w:val="28"/>
                      <w:szCs w:val="21"/>
                    </w:rPr>
                  </w:pPr>
                </w:p>
              </w:tc>
            </w:tr>
            <w:tr w:rsidR="00F76A63" w14:paraId="274F353C" w14:textId="77777777">
              <w:trPr>
                <w:jc w:val="center"/>
              </w:trPr>
              <w:tc>
                <w:tcPr>
                  <w:tcW w:w="655" w:type="pct"/>
                  <w:vMerge/>
                  <w:vAlign w:val="center"/>
                </w:tcPr>
                <w:p w14:paraId="6A8F6F45" w14:textId="77777777" w:rsidR="00F76A63" w:rsidRDefault="00F76A63">
                  <w:pPr>
                    <w:rPr>
                      <w:bCs/>
                      <w:kern w:val="28"/>
                      <w:szCs w:val="21"/>
                    </w:rPr>
                  </w:pPr>
                </w:p>
              </w:tc>
              <w:tc>
                <w:tcPr>
                  <w:tcW w:w="1063" w:type="pct"/>
                  <w:vAlign w:val="center"/>
                </w:tcPr>
                <w:p w14:paraId="1BAC8C13" w14:textId="77777777" w:rsidR="00F76A63" w:rsidRDefault="00000000">
                  <w:pPr>
                    <w:pStyle w:val="000"/>
                  </w:pPr>
                  <w:r>
                    <w:t>铁粉仓</w:t>
                  </w:r>
                </w:p>
              </w:tc>
              <w:tc>
                <w:tcPr>
                  <w:tcW w:w="2873" w:type="pct"/>
                  <w:gridSpan w:val="2"/>
                  <w:vAlign w:val="center"/>
                </w:tcPr>
                <w:p w14:paraId="45867EDB" w14:textId="77777777" w:rsidR="00F76A63" w:rsidRDefault="00000000">
                  <w:pPr>
                    <w:pStyle w:val="000"/>
                  </w:pPr>
                  <w:r>
                    <w:t>1-105×15m</w:t>
                  </w:r>
                </w:p>
              </w:tc>
              <w:tc>
                <w:tcPr>
                  <w:tcW w:w="409" w:type="pct"/>
                  <w:vMerge/>
                  <w:vAlign w:val="center"/>
                </w:tcPr>
                <w:p w14:paraId="53BD7C1D" w14:textId="77777777" w:rsidR="00F76A63" w:rsidRDefault="00F76A63">
                  <w:pPr>
                    <w:rPr>
                      <w:bCs/>
                      <w:kern w:val="28"/>
                      <w:szCs w:val="21"/>
                    </w:rPr>
                  </w:pPr>
                </w:p>
              </w:tc>
            </w:tr>
            <w:tr w:rsidR="00F76A63" w14:paraId="380B514B" w14:textId="77777777">
              <w:trPr>
                <w:jc w:val="center"/>
              </w:trPr>
              <w:tc>
                <w:tcPr>
                  <w:tcW w:w="655" w:type="pct"/>
                  <w:vMerge/>
                  <w:vAlign w:val="center"/>
                </w:tcPr>
                <w:p w14:paraId="24BA0A54" w14:textId="77777777" w:rsidR="00F76A63" w:rsidRDefault="00F76A63">
                  <w:pPr>
                    <w:rPr>
                      <w:bCs/>
                      <w:kern w:val="28"/>
                      <w:szCs w:val="21"/>
                    </w:rPr>
                  </w:pPr>
                </w:p>
              </w:tc>
              <w:tc>
                <w:tcPr>
                  <w:tcW w:w="1063" w:type="pct"/>
                  <w:vAlign w:val="center"/>
                </w:tcPr>
                <w:p w14:paraId="102AEF97" w14:textId="77777777" w:rsidR="00F76A63" w:rsidRDefault="00000000">
                  <w:pPr>
                    <w:pStyle w:val="000"/>
                  </w:pPr>
                  <w:r>
                    <w:rPr>
                      <w:spacing w:val="7"/>
                    </w:rPr>
                    <w:t>临时污染土贮存仓库</w:t>
                  </w:r>
                </w:p>
              </w:tc>
              <w:tc>
                <w:tcPr>
                  <w:tcW w:w="2873" w:type="pct"/>
                  <w:gridSpan w:val="2"/>
                  <w:vAlign w:val="center"/>
                </w:tcPr>
                <w:p w14:paraId="5A363ABD" w14:textId="77777777" w:rsidR="00F76A63" w:rsidRDefault="00000000">
                  <w:pPr>
                    <w:pStyle w:val="000"/>
                  </w:pPr>
                  <w:r>
                    <w:rPr>
                      <w:spacing w:val="7"/>
                    </w:rPr>
                    <w:t>1</w:t>
                  </w:r>
                  <w:r>
                    <w:rPr>
                      <w:spacing w:val="7"/>
                    </w:rPr>
                    <w:t>座，占地面积</w:t>
                  </w:r>
                  <w:r>
                    <w:rPr>
                      <w:spacing w:val="7"/>
                    </w:rPr>
                    <w:t>1800m</w:t>
                  </w:r>
                  <w:r>
                    <w:rPr>
                      <w:spacing w:val="7"/>
                      <w:vertAlign w:val="superscript"/>
                    </w:rPr>
                    <w:t>2</w:t>
                  </w:r>
                </w:p>
              </w:tc>
              <w:tc>
                <w:tcPr>
                  <w:tcW w:w="409" w:type="pct"/>
                  <w:vMerge/>
                  <w:vAlign w:val="center"/>
                </w:tcPr>
                <w:p w14:paraId="6D78380E" w14:textId="77777777" w:rsidR="00F76A63" w:rsidRDefault="00F76A63">
                  <w:pPr>
                    <w:rPr>
                      <w:bCs/>
                      <w:kern w:val="28"/>
                      <w:szCs w:val="21"/>
                    </w:rPr>
                  </w:pPr>
                </w:p>
              </w:tc>
            </w:tr>
            <w:tr w:rsidR="00F76A63" w14:paraId="2EE09577" w14:textId="77777777">
              <w:trPr>
                <w:jc w:val="center"/>
              </w:trPr>
              <w:tc>
                <w:tcPr>
                  <w:tcW w:w="655" w:type="pct"/>
                  <w:vMerge/>
                  <w:vAlign w:val="center"/>
                </w:tcPr>
                <w:p w14:paraId="253A8CC7" w14:textId="77777777" w:rsidR="00F76A63" w:rsidRDefault="00F76A63">
                  <w:pPr>
                    <w:rPr>
                      <w:bCs/>
                      <w:kern w:val="28"/>
                      <w:szCs w:val="21"/>
                    </w:rPr>
                  </w:pPr>
                </w:p>
              </w:tc>
              <w:tc>
                <w:tcPr>
                  <w:tcW w:w="1063" w:type="pct"/>
                  <w:vAlign w:val="center"/>
                </w:tcPr>
                <w:p w14:paraId="523782A9" w14:textId="77777777" w:rsidR="00F76A63" w:rsidRDefault="00000000">
                  <w:pPr>
                    <w:pStyle w:val="000"/>
                    <w:rPr>
                      <w:spacing w:val="7"/>
                    </w:rPr>
                  </w:pPr>
                  <w:r>
                    <w:rPr>
                      <w:spacing w:val="11"/>
                    </w:rPr>
                    <w:t>污染土暂存库</w:t>
                  </w:r>
                </w:p>
              </w:tc>
              <w:tc>
                <w:tcPr>
                  <w:tcW w:w="2873" w:type="pct"/>
                  <w:gridSpan w:val="2"/>
                  <w:vAlign w:val="center"/>
                </w:tcPr>
                <w:p w14:paraId="369C7B77" w14:textId="77777777" w:rsidR="00F76A63" w:rsidRDefault="00000000">
                  <w:pPr>
                    <w:pStyle w:val="000"/>
                    <w:rPr>
                      <w:spacing w:val="7"/>
                    </w:rPr>
                  </w:pPr>
                  <w:r>
                    <w:rPr>
                      <w:rFonts w:eastAsia="Times New Roman"/>
                      <w:spacing w:val="7"/>
                    </w:rPr>
                    <w:t>1</w:t>
                  </w:r>
                  <w:r>
                    <w:rPr>
                      <w:spacing w:val="7"/>
                    </w:rPr>
                    <w:t>座，</w:t>
                  </w:r>
                  <w:r>
                    <w:rPr>
                      <w:rFonts w:eastAsia="Times New Roman"/>
                      <w:spacing w:val="7"/>
                    </w:rPr>
                    <w:t>1F/12m</w:t>
                  </w:r>
                  <w:r>
                    <w:rPr>
                      <w:spacing w:val="7"/>
                    </w:rPr>
                    <w:t>，总占地面积约</w:t>
                  </w:r>
                  <w:r>
                    <w:rPr>
                      <w:rFonts w:eastAsia="Times New Roman"/>
                      <w:spacing w:val="7"/>
                    </w:rPr>
                    <w:t>697.5m</w:t>
                  </w:r>
                  <w:r>
                    <w:rPr>
                      <w:rFonts w:eastAsia="Times New Roman"/>
                      <w:spacing w:val="7"/>
                      <w:vertAlign w:val="superscript"/>
                    </w:rPr>
                    <w:t>2</w:t>
                  </w:r>
                </w:p>
              </w:tc>
              <w:tc>
                <w:tcPr>
                  <w:tcW w:w="409" w:type="pct"/>
                  <w:vMerge/>
                  <w:vAlign w:val="center"/>
                </w:tcPr>
                <w:p w14:paraId="2C39578D" w14:textId="77777777" w:rsidR="00F76A63" w:rsidRDefault="00F76A63">
                  <w:pPr>
                    <w:rPr>
                      <w:bCs/>
                      <w:kern w:val="28"/>
                      <w:szCs w:val="21"/>
                    </w:rPr>
                  </w:pPr>
                </w:p>
              </w:tc>
            </w:tr>
            <w:tr w:rsidR="00F76A63" w14:paraId="6B6EF474" w14:textId="77777777">
              <w:trPr>
                <w:jc w:val="center"/>
              </w:trPr>
              <w:tc>
                <w:tcPr>
                  <w:tcW w:w="655" w:type="pct"/>
                  <w:vMerge/>
                  <w:vAlign w:val="center"/>
                </w:tcPr>
                <w:p w14:paraId="78D2B684" w14:textId="77777777" w:rsidR="00F76A63" w:rsidRDefault="00F76A63">
                  <w:pPr>
                    <w:rPr>
                      <w:bCs/>
                      <w:kern w:val="28"/>
                      <w:szCs w:val="21"/>
                    </w:rPr>
                  </w:pPr>
                </w:p>
              </w:tc>
              <w:tc>
                <w:tcPr>
                  <w:tcW w:w="1063" w:type="pct"/>
                  <w:vAlign w:val="center"/>
                </w:tcPr>
                <w:p w14:paraId="46B0E050" w14:textId="77777777" w:rsidR="00F76A63" w:rsidRDefault="00000000">
                  <w:pPr>
                    <w:pStyle w:val="000"/>
                  </w:pPr>
                  <w:r>
                    <w:t>粉煤灰库</w:t>
                  </w:r>
                </w:p>
              </w:tc>
              <w:tc>
                <w:tcPr>
                  <w:tcW w:w="2873" w:type="pct"/>
                  <w:gridSpan w:val="2"/>
                  <w:vAlign w:val="center"/>
                </w:tcPr>
                <w:p w14:paraId="0A9A285E" w14:textId="77777777" w:rsidR="00F76A63" w:rsidRDefault="00000000">
                  <w:pPr>
                    <w:pStyle w:val="000"/>
                  </w:pPr>
                  <w:r>
                    <w:t>1</w:t>
                  </w:r>
                  <w:r>
                    <w:t>座</w:t>
                  </w:r>
                  <w:r>
                    <w:t>×3600t</w:t>
                  </w:r>
                  <w:r>
                    <w:t>，</w:t>
                  </w:r>
                  <w:r>
                    <w:t>1</w:t>
                  </w:r>
                  <w:r>
                    <w:t>座</w:t>
                  </w:r>
                  <w:r>
                    <w:t>×4000t</w:t>
                  </w:r>
                </w:p>
              </w:tc>
              <w:tc>
                <w:tcPr>
                  <w:tcW w:w="409" w:type="pct"/>
                  <w:vMerge/>
                  <w:vAlign w:val="center"/>
                </w:tcPr>
                <w:p w14:paraId="570B66AE" w14:textId="77777777" w:rsidR="00F76A63" w:rsidRDefault="00F76A63">
                  <w:pPr>
                    <w:rPr>
                      <w:bCs/>
                      <w:kern w:val="28"/>
                      <w:szCs w:val="21"/>
                    </w:rPr>
                  </w:pPr>
                </w:p>
              </w:tc>
            </w:tr>
            <w:tr w:rsidR="00F76A63" w14:paraId="66BF8CAD" w14:textId="77777777">
              <w:trPr>
                <w:jc w:val="center"/>
              </w:trPr>
              <w:tc>
                <w:tcPr>
                  <w:tcW w:w="655" w:type="pct"/>
                  <w:vMerge/>
                  <w:vAlign w:val="center"/>
                </w:tcPr>
                <w:p w14:paraId="1AA4FEC7" w14:textId="77777777" w:rsidR="00F76A63" w:rsidRDefault="00F76A63">
                  <w:pPr>
                    <w:rPr>
                      <w:bCs/>
                      <w:kern w:val="28"/>
                      <w:szCs w:val="21"/>
                    </w:rPr>
                  </w:pPr>
                </w:p>
              </w:tc>
              <w:tc>
                <w:tcPr>
                  <w:tcW w:w="1063" w:type="pct"/>
                  <w:vAlign w:val="center"/>
                </w:tcPr>
                <w:p w14:paraId="46CEDCDA" w14:textId="77777777" w:rsidR="00F76A63" w:rsidRDefault="00000000">
                  <w:pPr>
                    <w:pStyle w:val="000"/>
                  </w:pPr>
                  <w:r>
                    <w:t>水泥库</w:t>
                  </w:r>
                </w:p>
              </w:tc>
              <w:tc>
                <w:tcPr>
                  <w:tcW w:w="2873" w:type="pct"/>
                  <w:gridSpan w:val="2"/>
                  <w:vAlign w:val="center"/>
                </w:tcPr>
                <w:p w14:paraId="08FB78C1" w14:textId="77777777" w:rsidR="00F76A63" w:rsidRDefault="00000000">
                  <w:pPr>
                    <w:pStyle w:val="000"/>
                  </w:pPr>
                  <w:r>
                    <w:t>4</w:t>
                  </w:r>
                  <w:r>
                    <w:t>座</w:t>
                  </w:r>
                  <w:r>
                    <w:t>×12000t</w:t>
                  </w:r>
                  <w:r>
                    <w:t>，</w:t>
                  </w:r>
                  <w:r>
                    <w:t>2</w:t>
                  </w:r>
                  <w:r>
                    <w:t>座</w:t>
                  </w:r>
                  <w:r>
                    <w:t>×17000t</w:t>
                  </w:r>
                  <w:r>
                    <w:t>，</w:t>
                  </w:r>
                  <w:r>
                    <w:t>4</w:t>
                  </w:r>
                  <w:r>
                    <w:t>座</w:t>
                  </w:r>
                  <w:r>
                    <w:t>×15000t</w:t>
                  </w:r>
                </w:p>
              </w:tc>
              <w:tc>
                <w:tcPr>
                  <w:tcW w:w="409" w:type="pct"/>
                  <w:vMerge/>
                  <w:vAlign w:val="center"/>
                </w:tcPr>
                <w:p w14:paraId="32544A9F" w14:textId="77777777" w:rsidR="00F76A63" w:rsidRDefault="00F76A63">
                  <w:pPr>
                    <w:rPr>
                      <w:bCs/>
                      <w:kern w:val="28"/>
                      <w:szCs w:val="21"/>
                    </w:rPr>
                  </w:pPr>
                </w:p>
              </w:tc>
            </w:tr>
            <w:tr w:rsidR="00F76A63" w14:paraId="5740CD39" w14:textId="77777777">
              <w:trPr>
                <w:jc w:val="center"/>
              </w:trPr>
              <w:tc>
                <w:tcPr>
                  <w:tcW w:w="655" w:type="pct"/>
                  <w:vMerge/>
                  <w:vAlign w:val="center"/>
                </w:tcPr>
                <w:p w14:paraId="5D84BDA9" w14:textId="77777777" w:rsidR="00F76A63" w:rsidRDefault="00F76A63">
                  <w:pPr>
                    <w:rPr>
                      <w:bCs/>
                      <w:kern w:val="28"/>
                      <w:szCs w:val="21"/>
                    </w:rPr>
                  </w:pPr>
                </w:p>
              </w:tc>
              <w:tc>
                <w:tcPr>
                  <w:tcW w:w="1063" w:type="pct"/>
                  <w:vAlign w:val="center"/>
                </w:tcPr>
                <w:p w14:paraId="486CDD0D" w14:textId="77777777" w:rsidR="00F76A63" w:rsidRDefault="00000000">
                  <w:pPr>
                    <w:pStyle w:val="000"/>
                  </w:pPr>
                  <w:r>
                    <w:t>石灰石堆场</w:t>
                  </w:r>
                </w:p>
              </w:tc>
              <w:tc>
                <w:tcPr>
                  <w:tcW w:w="2873" w:type="pct"/>
                  <w:gridSpan w:val="2"/>
                  <w:vAlign w:val="center"/>
                </w:tcPr>
                <w:p w14:paraId="136921B4" w14:textId="77777777" w:rsidR="00F76A63" w:rsidRDefault="00000000">
                  <w:pPr>
                    <w:pStyle w:val="000"/>
                  </w:pPr>
                  <w:r>
                    <w:t>1#</w:t>
                  </w:r>
                  <w:r>
                    <w:t>窑：</w:t>
                  </w:r>
                  <w:r>
                    <w:t>2</w:t>
                  </w:r>
                  <w:r>
                    <w:t>座</w:t>
                  </w:r>
                  <w:r>
                    <w:t>×40000t</w:t>
                  </w:r>
                  <w:r>
                    <w:t>；</w:t>
                  </w:r>
                  <w:r>
                    <w:t>2#</w:t>
                  </w:r>
                  <w:r>
                    <w:t>窑：</w:t>
                  </w:r>
                  <w:r>
                    <w:t>2</w:t>
                  </w:r>
                  <w:r>
                    <w:t>座</w:t>
                  </w:r>
                  <w:r>
                    <w:t>×30000t</w:t>
                  </w:r>
                </w:p>
              </w:tc>
              <w:tc>
                <w:tcPr>
                  <w:tcW w:w="409" w:type="pct"/>
                  <w:vMerge/>
                  <w:vAlign w:val="center"/>
                </w:tcPr>
                <w:p w14:paraId="433EB209" w14:textId="77777777" w:rsidR="00F76A63" w:rsidRDefault="00F76A63">
                  <w:pPr>
                    <w:rPr>
                      <w:bCs/>
                      <w:kern w:val="28"/>
                      <w:szCs w:val="21"/>
                    </w:rPr>
                  </w:pPr>
                </w:p>
              </w:tc>
            </w:tr>
            <w:tr w:rsidR="00F76A63" w14:paraId="256B1986" w14:textId="77777777">
              <w:trPr>
                <w:jc w:val="center"/>
              </w:trPr>
              <w:tc>
                <w:tcPr>
                  <w:tcW w:w="655" w:type="pct"/>
                  <w:vMerge/>
                  <w:vAlign w:val="center"/>
                </w:tcPr>
                <w:p w14:paraId="6C0DE842" w14:textId="77777777" w:rsidR="00F76A63" w:rsidRDefault="00F76A63">
                  <w:pPr>
                    <w:rPr>
                      <w:bCs/>
                      <w:kern w:val="28"/>
                      <w:szCs w:val="21"/>
                    </w:rPr>
                  </w:pPr>
                </w:p>
              </w:tc>
              <w:tc>
                <w:tcPr>
                  <w:tcW w:w="1063" w:type="pct"/>
                  <w:vAlign w:val="center"/>
                </w:tcPr>
                <w:p w14:paraId="6C942309" w14:textId="77777777" w:rsidR="00F76A63" w:rsidRDefault="00000000">
                  <w:pPr>
                    <w:pStyle w:val="000"/>
                  </w:pPr>
                  <w:r>
                    <w:t>熟料主库</w:t>
                  </w:r>
                </w:p>
              </w:tc>
              <w:tc>
                <w:tcPr>
                  <w:tcW w:w="2873" w:type="pct"/>
                  <w:gridSpan w:val="2"/>
                  <w:vAlign w:val="center"/>
                </w:tcPr>
                <w:p w14:paraId="0A11023D" w14:textId="77777777" w:rsidR="00F76A63" w:rsidRDefault="00000000">
                  <w:pPr>
                    <w:pStyle w:val="000"/>
                  </w:pPr>
                  <w:r>
                    <w:t>1#</w:t>
                  </w:r>
                  <w:r>
                    <w:t>窑：</w:t>
                  </w:r>
                  <w:r>
                    <w:t>1</w:t>
                  </w:r>
                  <w:r>
                    <w:t>座储量</w:t>
                  </w:r>
                  <w:r>
                    <w:t>40000t</w:t>
                  </w:r>
                  <w:r>
                    <w:t>；</w:t>
                  </w:r>
                  <w:r>
                    <w:t>2#</w:t>
                  </w:r>
                  <w:r>
                    <w:t>窑：</w:t>
                  </w:r>
                  <w:r>
                    <w:t>1</w:t>
                  </w:r>
                  <w:r>
                    <w:t>座储量</w:t>
                  </w:r>
                  <w:r>
                    <w:t>100000t</w:t>
                  </w:r>
                </w:p>
              </w:tc>
              <w:tc>
                <w:tcPr>
                  <w:tcW w:w="409" w:type="pct"/>
                  <w:vMerge/>
                  <w:vAlign w:val="center"/>
                </w:tcPr>
                <w:p w14:paraId="498F9C47" w14:textId="77777777" w:rsidR="00F76A63" w:rsidRDefault="00F76A63">
                  <w:pPr>
                    <w:rPr>
                      <w:bCs/>
                      <w:kern w:val="28"/>
                      <w:szCs w:val="21"/>
                    </w:rPr>
                  </w:pPr>
                </w:p>
              </w:tc>
            </w:tr>
            <w:tr w:rsidR="00F76A63" w14:paraId="5461270B" w14:textId="77777777">
              <w:trPr>
                <w:jc w:val="center"/>
              </w:trPr>
              <w:tc>
                <w:tcPr>
                  <w:tcW w:w="655" w:type="pct"/>
                  <w:vMerge/>
                  <w:vAlign w:val="center"/>
                </w:tcPr>
                <w:p w14:paraId="18BEF955" w14:textId="77777777" w:rsidR="00F76A63" w:rsidRDefault="00F76A63">
                  <w:pPr>
                    <w:rPr>
                      <w:bCs/>
                      <w:kern w:val="28"/>
                      <w:szCs w:val="21"/>
                    </w:rPr>
                  </w:pPr>
                </w:p>
              </w:tc>
              <w:tc>
                <w:tcPr>
                  <w:tcW w:w="1063" w:type="pct"/>
                  <w:vAlign w:val="center"/>
                </w:tcPr>
                <w:p w14:paraId="716FE893" w14:textId="77777777" w:rsidR="00F76A63" w:rsidRDefault="00000000">
                  <w:pPr>
                    <w:pStyle w:val="000"/>
                  </w:pPr>
                  <w:r>
                    <w:t>熟料调配库</w:t>
                  </w:r>
                </w:p>
              </w:tc>
              <w:tc>
                <w:tcPr>
                  <w:tcW w:w="2873" w:type="pct"/>
                  <w:gridSpan w:val="2"/>
                  <w:vAlign w:val="center"/>
                </w:tcPr>
                <w:p w14:paraId="6D3A402B" w14:textId="77777777" w:rsidR="00F76A63" w:rsidRDefault="00000000">
                  <w:pPr>
                    <w:pStyle w:val="000"/>
                  </w:pPr>
                  <w:r>
                    <w:t>2#</w:t>
                  </w:r>
                  <w:r>
                    <w:t>窑：</w:t>
                  </w:r>
                  <w:r>
                    <w:t>1</w:t>
                  </w:r>
                  <w:r>
                    <w:t>座储量</w:t>
                  </w:r>
                  <w:r>
                    <w:t>10000t</w:t>
                  </w:r>
                </w:p>
              </w:tc>
              <w:tc>
                <w:tcPr>
                  <w:tcW w:w="409" w:type="pct"/>
                  <w:vMerge/>
                  <w:vAlign w:val="center"/>
                </w:tcPr>
                <w:p w14:paraId="6EBC99B2" w14:textId="77777777" w:rsidR="00F76A63" w:rsidRDefault="00F76A63">
                  <w:pPr>
                    <w:rPr>
                      <w:bCs/>
                      <w:kern w:val="28"/>
                      <w:szCs w:val="21"/>
                    </w:rPr>
                  </w:pPr>
                </w:p>
              </w:tc>
            </w:tr>
            <w:tr w:rsidR="00F76A63" w14:paraId="52483E8A" w14:textId="77777777">
              <w:trPr>
                <w:jc w:val="center"/>
              </w:trPr>
              <w:tc>
                <w:tcPr>
                  <w:tcW w:w="655" w:type="pct"/>
                  <w:vMerge/>
                  <w:vAlign w:val="center"/>
                </w:tcPr>
                <w:p w14:paraId="2E23A1B2" w14:textId="77777777" w:rsidR="00F76A63" w:rsidRDefault="00F76A63">
                  <w:pPr>
                    <w:rPr>
                      <w:bCs/>
                      <w:kern w:val="28"/>
                      <w:szCs w:val="21"/>
                    </w:rPr>
                  </w:pPr>
                </w:p>
              </w:tc>
              <w:tc>
                <w:tcPr>
                  <w:tcW w:w="1063" w:type="pct"/>
                  <w:vAlign w:val="center"/>
                </w:tcPr>
                <w:p w14:paraId="27FEF532" w14:textId="77777777" w:rsidR="00F76A63" w:rsidRDefault="00000000">
                  <w:pPr>
                    <w:pStyle w:val="000"/>
                  </w:pPr>
                  <w:r>
                    <w:t>飞灰仓库</w:t>
                  </w:r>
                </w:p>
              </w:tc>
              <w:tc>
                <w:tcPr>
                  <w:tcW w:w="2873" w:type="pct"/>
                  <w:gridSpan w:val="2"/>
                  <w:vAlign w:val="center"/>
                </w:tcPr>
                <w:p w14:paraId="7B11363C" w14:textId="77777777" w:rsidR="00F76A63" w:rsidRDefault="00000000">
                  <w:pPr>
                    <w:pStyle w:val="000"/>
                  </w:pPr>
                  <w:r>
                    <w:t>2</w:t>
                  </w:r>
                  <w:r>
                    <w:t>座</w:t>
                  </w:r>
                  <w:r>
                    <w:t>1000m</w:t>
                  </w:r>
                  <w:r>
                    <w:rPr>
                      <w:vertAlign w:val="superscript"/>
                    </w:rPr>
                    <w:t>3</w:t>
                  </w:r>
                </w:p>
              </w:tc>
              <w:tc>
                <w:tcPr>
                  <w:tcW w:w="409" w:type="pct"/>
                  <w:vMerge/>
                  <w:vAlign w:val="center"/>
                </w:tcPr>
                <w:p w14:paraId="5E5A890A" w14:textId="77777777" w:rsidR="00F76A63" w:rsidRDefault="00F76A63">
                  <w:pPr>
                    <w:rPr>
                      <w:bCs/>
                      <w:kern w:val="28"/>
                      <w:szCs w:val="21"/>
                    </w:rPr>
                  </w:pPr>
                </w:p>
              </w:tc>
            </w:tr>
            <w:tr w:rsidR="00F76A63" w14:paraId="7AB6E2FA" w14:textId="77777777">
              <w:trPr>
                <w:jc w:val="center"/>
              </w:trPr>
              <w:tc>
                <w:tcPr>
                  <w:tcW w:w="655" w:type="pct"/>
                  <w:vMerge/>
                  <w:vAlign w:val="center"/>
                </w:tcPr>
                <w:p w14:paraId="38942247" w14:textId="77777777" w:rsidR="00F76A63" w:rsidRDefault="00F76A63">
                  <w:pPr>
                    <w:rPr>
                      <w:bCs/>
                      <w:kern w:val="28"/>
                      <w:szCs w:val="21"/>
                    </w:rPr>
                  </w:pPr>
                </w:p>
              </w:tc>
              <w:tc>
                <w:tcPr>
                  <w:tcW w:w="1063" w:type="pct"/>
                  <w:vAlign w:val="center"/>
                </w:tcPr>
                <w:p w14:paraId="25F3D815" w14:textId="77777777" w:rsidR="00F76A63" w:rsidRDefault="00000000">
                  <w:pPr>
                    <w:pStyle w:val="000"/>
                  </w:pPr>
                  <w:r>
                    <w:t>氨水储罐</w:t>
                  </w:r>
                </w:p>
              </w:tc>
              <w:tc>
                <w:tcPr>
                  <w:tcW w:w="2873" w:type="pct"/>
                  <w:gridSpan w:val="2"/>
                  <w:vAlign w:val="center"/>
                </w:tcPr>
                <w:p w14:paraId="16B572C0" w14:textId="77777777" w:rsidR="00F76A63" w:rsidRDefault="00000000">
                  <w:pPr>
                    <w:pStyle w:val="000"/>
                  </w:pPr>
                  <w:r>
                    <w:t>1</w:t>
                  </w:r>
                  <w:r>
                    <w:t>个</w:t>
                  </w:r>
                  <w:r>
                    <w:t>60m</w:t>
                  </w:r>
                  <w:r>
                    <w:rPr>
                      <w:vertAlign w:val="superscript"/>
                    </w:rPr>
                    <w:t>3</w:t>
                  </w:r>
                  <w:r>
                    <w:t>；</w:t>
                  </w:r>
                  <w:r>
                    <w:t>2</w:t>
                  </w:r>
                  <w:r>
                    <w:t>个</w:t>
                  </w:r>
                  <w:r>
                    <w:t>52m</w:t>
                  </w:r>
                  <w:r>
                    <w:rPr>
                      <w:vertAlign w:val="superscript"/>
                    </w:rPr>
                    <w:t>3</w:t>
                  </w:r>
                </w:p>
              </w:tc>
              <w:tc>
                <w:tcPr>
                  <w:tcW w:w="409" w:type="pct"/>
                  <w:vMerge/>
                  <w:vAlign w:val="center"/>
                </w:tcPr>
                <w:p w14:paraId="49FFF06A" w14:textId="77777777" w:rsidR="00F76A63" w:rsidRDefault="00F76A63">
                  <w:pPr>
                    <w:rPr>
                      <w:bCs/>
                      <w:kern w:val="28"/>
                      <w:szCs w:val="21"/>
                    </w:rPr>
                  </w:pPr>
                </w:p>
              </w:tc>
            </w:tr>
            <w:tr w:rsidR="00F76A63" w14:paraId="3521C44D" w14:textId="77777777">
              <w:trPr>
                <w:jc w:val="center"/>
              </w:trPr>
              <w:tc>
                <w:tcPr>
                  <w:tcW w:w="655" w:type="pct"/>
                  <w:vMerge/>
                  <w:vAlign w:val="center"/>
                </w:tcPr>
                <w:p w14:paraId="552E942B" w14:textId="77777777" w:rsidR="00F76A63" w:rsidRDefault="00F76A63">
                  <w:pPr>
                    <w:rPr>
                      <w:bCs/>
                      <w:kern w:val="28"/>
                      <w:szCs w:val="21"/>
                    </w:rPr>
                  </w:pPr>
                </w:p>
              </w:tc>
              <w:tc>
                <w:tcPr>
                  <w:tcW w:w="1063" w:type="pct"/>
                  <w:vAlign w:val="center"/>
                </w:tcPr>
                <w:p w14:paraId="76F71F7E" w14:textId="77777777" w:rsidR="00F76A63" w:rsidRDefault="00000000">
                  <w:pPr>
                    <w:pStyle w:val="000"/>
                  </w:pPr>
                  <w:r>
                    <w:t>柴油储罐</w:t>
                  </w:r>
                </w:p>
              </w:tc>
              <w:tc>
                <w:tcPr>
                  <w:tcW w:w="2873" w:type="pct"/>
                  <w:gridSpan w:val="2"/>
                  <w:vAlign w:val="center"/>
                </w:tcPr>
                <w:p w14:paraId="018017DE" w14:textId="77777777" w:rsidR="00F76A63" w:rsidRDefault="00000000">
                  <w:pPr>
                    <w:pStyle w:val="000"/>
                  </w:pPr>
                  <w:r>
                    <w:t>2</w:t>
                  </w:r>
                  <w:r>
                    <w:t>个</w:t>
                  </w:r>
                  <w:r>
                    <w:t>30m</w:t>
                  </w:r>
                  <w:r>
                    <w:rPr>
                      <w:vertAlign w:val="superscript"/>
                    </w:rPr>
                    <w:t>3</w:t>
                  </w:r>
                </w:p>
              </w:tc>
              <w:tc>
                <w:tcPr>
                  <w:tcW w:w="409" w:type="pct"/>
                  <w:vMerge/>
                  <w:vAlign w:val="center"/>
                </w:tcPr>
                <w:p w14:paraId="2A205320" w14:textId="77777777" w:rsidR="00F76A63" w:rsidRDefault="00F76A63">
                  <w:pPr>
                    <w:rPr>
                      <w:bCs/>
                      <w:kern w:val="28"/>
                      <w:szCs w:val="21"/>
                    </w:rPr>
                  </w:pPr>
                </w:p>
              </w:tc>
            </w:tr>
            <w:tr w:rsidR="00F76A63" w14:paraId="6CBC5E53" w14:textId="77777777">
              <w:trPr>
                <w:jc w:val="center"/>
              </w:trPr>
              <w:tc>
                <w:tcPr>
                  <w:tcW w:w="655" w:type="pct"/>
                  <w:vMerge/>
                  <w:vAlign w:val="center"/>
                </w:tcPr>
                <w:p w14:paraId="6B747C7F" w14:textId="77777777" w:rsidR="00F76A63" w:rsidRDefault="00F76A63">
                  <w:pPr>
                    <w:rPr>
                      <w:bCs/>
                      <w:kern w:val="28"/>
                      <w:szCs w:val="21"/>
                    </w:rPr>
                  </w:pPr>
                </w:p>
              </w:tc>
              <w:tc>
                <w:tcPr>
                  <w:tcW w:w="1063" w:type="pct"/>
                  <w:vAlign w:val="center"/>
                </w:tcPr>
                <w:p w14:paraId="6ED9175F" w14:textId="77777777" w:rsidR="00F76A63" w:rsidRDefault="00000000">
                  <w:pPr>
                    <w:pStyle w:val="000"/>
                  </w:pPr>
                  <w:r>
                    <w:t>盐酸储罐</w:t>
                  </w:r>
                </w:p>
              </w:tc>
              <w:tc>
                <w:tcPr>
                  <w:tcW w:w="2873" w:type="pct"/>
                  <w:gridSpan w:val="2"/>
                  <w:vAlign w:val="center"/>
                </w:tcPr>
                <w:p w14:paraId="19628A14" w14:textId="77777777" w:rsidR="00F76A63" w:rsidRDefault="00000000">
                  <w:pPr>
                    <w:pStyle w:val="000"/>
                  </w:pPr>
                  <w:r>
                    <w:t>1</w:t>
                  </w:r>
                  <w:r>
                    <w:t>个</w:t>
                  </w:r>
                  <w:r>
                    <w:t>20m</w:t>
                  </w:r>
                  <w:r>
                    <w:rPr>
                      <w:vertAlign w:val="superscript"/>
                    </w:rPr>
                    <w:t>3</w:t>
                  </w:r>
                </w:p>
              </w:tc>
              <w:tc>
                <w:tcPr>
                  <w:tcW w:w="409" w:type="pct"/>
                  <w:vMerge/>
                  <w:vAlign w:val="center"/>
                </w:tcPr>
                <w:p w14:paraId="7457F0C3" w14:textId="77777777" w:rsidR="00F76A63" w:rsidRDefault="00F76A63">
                  <w:pPr>
                    <w:rPr>
                      <w:bCs/>
                      <w:kern w:val="28"/>
                      <w:szCs w:val="21"/>
                    </w:rPr>
                  </w:pPr>
                </w:p>
              </w:tc>
            </w:tr>
            <w:tr w:rsidR="00F76A63" w14:paraId="279438C6" w14:textId="77777777">
              <w:trPr>
                <w:jc w:val="center"/>
              </w:trPr>
              <w:tc>
                <w:tcPr>
                  <w:tcW w:w="655" w:type="pct"/>
                  <w:vMerge/>
                  <w:vAlign w:val="center"/>
                </w:tcPr>
                <w:p w14:paraId="117B8F2A" w14:textId="77777777" w:rsidR="00F76A63" w:rsidRDefault="00F76A63">
                  <w:pPr>
                    <w:rPr>
                      <w:bCs/>
                      <w:kern w:val="28"/>
                      <w:szCs w:val="21"/>
                    </w:rPr>
                  </w:pPr>
                </w:p>
              </w:tc>
              <w:tc>
                <w:tcPr>
                  <w:tcW w:w="1063" w:type="pct"/>
                  <w:vAlign w:val="center"/>
                </w:tcPr>
                <w:p w14:paraId="4C2FFF38" w14:textId="77777777" w:rsidR="00F76A63" w:rsidRDefault="00000000">
                  <w:pPr>
                    <w:pStyle w:val="000"/>
                  </w:pPr>
                  <w:r>
                    <w:t>硫酸储罐</w:t>
                  </w:r>
                </w:p>
              </w:tc>
              <w:tc>
                <w:tcPr>
                  <w:tcW w:w="2873" w:type="pct"/>
                  <w:gridSpan w:val="2"/>
                  <w:vAlign w:val="center"/>
                </w:tcPr>
                <w:p w14:paraId="685EF3B0" w14:textId="77777777" w:rsidR="00F76A63" w:rsidRDefault="00000000">
                  <w:pPr>
                    <w:pStyle w:val="000"/>
                  </w:pPr>
                  <w:r>
                    <w:t>1</w:t>
                  </w:r>
                  <w:r>
                    <w:t>个</w:t>
                  </w:r>
                  <w:r>
                    <w:t>10m</w:t>
                  </w:r>
                  <w:r>
                    <w:rPr>
                      <w:vertAlign w:val="superscript"/>
                    </w:rPr>
                    <w:t>3</w:t>
                  </w:r>
                </w:p>
              </w:tc>
              <w:tc>
                <w:tcPr>
                  <w:tcW w:w="409" w:type="pct"/>
                  <w:vMerge/>
                  <w:vAlign w:val="center"/>
                </w:tcPr>
                <w:p w14:paraId="1DB799CE" w14:textId="77777777" w:rsidR="00F76A63" w:rsidRDefault="00F76A63">
                  <w:pPr>
                    <w:rPr>
                      <w:bCs/>
                      <w:kern w:val="28"/>
                      <w:szCs w:val="21"/>
                    </w:rPr>
                  </w:pPr>
                </w:p>
              </w:tc>
            </w:tr>
            <w:tr w:rsidR="00F76A63" w14:paraId="1862D30E" w14:textId="77777777">
              <w:trPr>
                <w:jc w:val="center"/>
              </w:trPr>
              <w:tc>
                <w:tcPr>
                  <w:tcW w:w="655" w:type="pct"/>
                  <w:vMerge w:val="restart"/>
                  <w:vAlign w:val="center"/>
                </w:tcPr>
                <w:p w14:paraId="7C52BB99" w14:textId="77777777" w:rsidR="00F76A63" w:rsidRDefault="00000000">
                  <w:pPr>
                    <w:pStyle w:val="000"/>
                  </w:pPr>
                  <w:r>
                    <w:t>运输</w:t>
                  </w:r>
                </w:p>
              </w:tc>
              <w:tc>
                <w:tcPr>
                  <w:tcW w:w="1063" w:type="pct"/>
                  <w:vAlign w:val="center"/>
                </w:tcPr>
                <w:p w14:paraId="0CF3DB37" w14:textId="77777777" w:rsidR="00F76A63" w:rsidRDefault="00000000">
                  <w:pPr>
                    <w:pStyle w:val="000"/>
                  </w:pPr>
                  <w:r>
                    <w:t>码头</w:t>
                  </w:r>
                </w:p>
              </w:tc>
              <w:tc>
                <w:tcPr>
                  <w:tcW w:w="2873" w:type="pct"/>
                  <w:gridSpan w:val="2"/>
                  <w:vAlign w:val="center"/>
                </w:tcPr>
                <w:p w14:paraId="022D7F90" w14:textId="77777777" w:rsidR="00F76A63" w:rsidRDefault="00000000">
                  <w:pPr>
                    <w:pStyle w:val="000"/>
                  </w:pPr>
                  <w:r>
                    <w:t>3</w:t>
                  </w:r>
                  <w:r>
                    <w:t>万吨级水泥专用码头</w:t>
                  </w:r>
                  <w:r>
                    <w:t>2</w:t>
                  </w:r>
                  <w:r>
                    <w:t>座、</w:t>
                  </w:r>
                  <w:r>
                    <w:t>5</w:t>
                  </w:r>
                  <w:r>
                    <w:t>千吨级码头</w:t>
                  </w:r>
                  <w:r>
                    <w:t>1</w:t>
                  </w:r>
                  <w:r>
                    <w:t>座</w:t>
                  </w:r>
                </w:p>
              </w:tc>
              <w:tc>
                <w:tcPr>
                  <w:tcW w:w="409" w:type="pct"/>
                  <w:vMerge w:val="restart"/>
                  <w:vAlign w:val="center"/>
                </w:tcPr>
                <w:p w14:paraId="26835BBB" w14:textId="77777777" w:rsidR="00F76A63" w:rsidRDefault="00000000">
                  <w:pPr>
                    <w:pStyle w:val="000"/>
                  </w:pPr>
                  <w:r>
                    <w:t>已建</w:t>
                  </w:r>
                </w:p>
              </w:tc>
            </w:tr>
            <w:tr w:rsidR="00F76A63" w14:paraId="77F5FD34" w14:textId="77777777">
              <w:trPr>
                <w:jc w:val="center"/>
              </w:trPr>
              <w:tc>
                <w:tcPr>
                  <w:tcW w:w="655" w:type="pct"/>
                  <w:vMerge/>
                  <w:vAlign w:val="center"/>
                </w:tcPr>
                <w:p w14:paraId="22477A75" w14:textId="77777777" w:rsidR="00F76A63" w:rsidRDefault="00F76A63">
                  <w:pPr>
                    <w:rPr>
                      <w:bCs/>
                      <w:kern w:val="28"/>
                      <w:szCs w:val="21"/>
                    </w:rPr>
                  </w:pPr>
                </w:p>
              </w:tc>
              <w:tc>
                <w:tcPr>
                  <w:tcW w:w="1063" w:type="pct"/>
                  <w:vAlign w:val="center"/>
                </w:tcPr>
                <w:p w14:paraId="2B31A117" w14:textId="77777777" w:rsidR="00F76A63" w:rsidRDefault="00000000">
                  <w:pPr>
                    <w:pStyle w:val="000"/>
                  </w:pPr>
                  <w:r>
                    <w:t>石灰石矿运输皮带廊</w:t>
                  </w:r>
                </w:p>
              </w:tc>
              <w:tc>
                <w:tcPr>
                  <w:tcW w:w="2873" w:type="pct"/>
                  <w:gridSpan w:val="2"/>
                  <w:vAlign w:val="center"/>
                </w:tcPr>
                <w:p w14:paraId="29FDA6E1" w14:textId="77777777" w:rsidR="00F76A63" w:rsidRDefault="00000000">
                  <w:pPr>
                    <w:pStyle w:val="000"/>
                  </w:pPr>
                  <w:r>
                    <w:t>一条从矿区至生产区的石灰石矿运输皮带廊道，总长约</w:t>
                  </w:r>
                  <w:r>
                    <w:t>17km</w:t>
                  </w:r>
                </w:p>
              </w:tc>
              <w:tc>
                <w:tcPr>
                  <w:tcW w:w="409" w:type="pct"/>
                  <w:vMerge/>
                  <w:vAlign w:val="center"/>
                </w:tcPr>
                <w:p w14:paraId="02F7D012" w14:textId="77777777" w:rsidR="00F76A63" w:rsidRDefault="00F76A63">
                  <w:pPr>
                    <w:rPr>
                      <w:bCs/>
                      <w:kern w:val="28"/>
                      <w:szCs w:val="21"/>
                    </w:rPr>
                  </w:pPr>
                </w:p>
              </w:tc>
            </w:tr>
            <w:tr w:rsidR="00F76A63" w14:paraId="659D3C2D" w14:textId="77777777">
              <w:trPr>
                <w:jc w:val="center"/>
              </w:trPr>
              <w:tc>
                <w:tcPr>
                  <w:tcW w:w="655" w:type="pct"/>
                  <w:vMerge/>
                  <w:vAlign w:val="center"/>
                </w:tcPr>
                <w:p w14:paraId="32FFBCB7" w14:textId="77777777" w:rsidR="00F76A63" w:rsidRDefault="00F76A63">
                  <w:pPr>
                    <w:rPr>
                      <w:bCs/>
                      <w:kern w:val="28"/>
                      <w:szCs w:val="21"/>
                    </w:rPr>
                  </w:pPr>
                </w:p>
              </w:tc>
              <w:tc>
                <w:tcPr>
                  <w:tcW w:w="1063" w:type="pct"/>
                  <w:vAlign w:val="center"/>
                </w:tcPr>
                <w:p w14:paraId="17F77699" w14:textId="77777777" w:rsidR="00F76A63" w:rsidRDefault="00000000">
                  <w:pPr>
                    <w:pStyle w:val="000"/>
                  </w:pPr>
                  <w:r>
                    <w:rPr>
                      <w:spacing w:val="11"/>
                    </w:rPr>
                    <w:t>固废输送投料系统</w:t>
                  </w:r>
                </w:p>
              </w:tc>
              <w:tc>
                <w:tcPr>
                  <w:tcW w:w="2873" w:type="pct"/>
                  <w:gridSpan w:val="2"/>
                  <w:vAlign w:val="center"/>
                </w:tcPr>
                <w:p w14:paraId="0B8D9551" w14:textId="77777777" w:rsidR="00F76A63" w:rsidRDefault="00000000">
                  <w:pPr>
                    <w:pStyle w:val="000"/>
                  </w:pPr>
                  <w:r>
                    <w:rPr>
                      <w:spacing w:val="11"/>
                      <w:kern w:val="0"/>
                    </w:rPr>
                    <w:t>输送能力为</w:t>
                  </w:r>
                  <w:r>
                    <w:rPr>
                      <w:spacing w:val="11"/>
                      <w:kern w:val="0"/>
                    </w:rPr>
                    <w:t>30t/h</w:t>
                  </w:r>
                </w:p>
              </w:tc>
              <w:tc>
                <w:tcPr>
                  <w:tcW w:w="409" w:type="pct"/>
                  <w:vMerge/>
                  <w:vAlign w:val="center"/>
                </w:tcPr>
                <w:p w14:paraId="51A5EDB6" w14:textId="77777777" w:rsidR="00F76A63" w:rsidRDefault="00F76A63">
                  <w:pPr>
                    <w:rPr>
                      <w:bCs/>
                      <w:kern w:val="28"/>
                      <w:szCs w:val="21"/>
                    </w:rPr>
                  </w:pPr>
                </w:p>
              </w:tc>
            </w:tr>
          </w:tbl>
          <w:p w14:paraId="5C1A7B1D" w14:textId="77777777" w:rsidR="00F76A63" w:rsidRDefault="00000000">
            <w:pPr>
              <w:adjustRightInd w:val="0"/>
              <w:snapToGrid w:val="0"/>
              <w:rPr>
                <w:b/>
                <w:bCs/>
                <w:sz w:val="18"/>
                <w:szCs w:val="18"/>
              </w:rPr>
            </w:pPr>
            <w:r>
              <w:rPr>
                <w:b/>
                <w:bCs/>
                <w:sz w:val="18"/>
                <w:szCs w:val="18"/>
              </w:rPr>
              <w:t>注</w:t>
            </w:r>
            <w:r>
              <w:rPr>
                <w:b/>
                <w:bCs/>
                <w:sz w:val="18"/>
                <w:szCs w:val="18"/>
              </w:rPr>
              <w:t>*</w:t>
            </w:r>
            <w:r>
              <w:rPr>
                <w:b/>
                <w:bCs/>
                <w:sz w:val="18"/>
                <w:szCs w:val="18"/>
              </w:rPr>
              <w:t>：煤磨、储库、水泥发散系统、各输送转站点、熟料库、水泥库等。</w:t>
            </w:r>
          </w:p>
          <w:p w14:paraId="7EF1EF88" w14:textId="77777777" w:rsidR="00F76A63" w:rsidRDefault="00000000">
            <w:pPr>
              <w:adjustRightInd w:val="0"/>
              <w:snapToGrid w:val="0"/>
              <w:spacing w:line="500" w:lineRule="exact"/>
              <w:ind w:firstLineChars="200" w:firstLine="482"/>
              <w:rPr>
                <w:b/>
                <w:bCs/>
                <w:sz w:val="24"/>
              </w:rPr>
            </w:pPr>
            <w:r>
              <w:rPr>
                <w:b/>
                <w:bCs/>
                <w:sz w:val="24"/>
              </w:rPr>
              <w:t>（</w:t>
            </w:r>
            <w:r>
              <w:rPr>
                <w:b/>
                <w:bCs/>
                <w:sz w:val="24"/>
              </w:rPr>
              <w:t>3</w:t>
            </w:r>
            <w:r>
              <w:rPr>
                <w:b/>
                <w:bCs/>
                <w:sz w:val="24"/>
              </w:rPr>
              <w:t>）已建工程工艺流程及产污环节</w:t>
            </w:r>
          </w:p>
          <w:p w14:paraId="227F391B" w14:textId="77777777" w:rsidR="00F76A63" w:rsidRDefault="00000000">
            <w:pPr>
              <w:adjustRightInd w:val="0"/>
              <w:snapToGrid w:val="0"/>
              <w:spacing w:line="500" w:lineRule="exact"/>
              <w:ind w:firstLineChars="200" w:firstLine="482"/>
              <w:rPr>
                <w:b/>
                <w:bCs/>
                <w:sz w:val="24"/>
              </w:rPr>
            </w:pPr>
            <w:r>
              <w:rPr>
                <w:b/>
                <w:bCs/>
                <w:sz w:val="24"/>
              </w:rPr>
              <w:t>1</w:t>
            </w:r>
            <w:r>
              <w:rPr>
                <w:b/>
                <w:bCs/>
                <w:sz w:val="24"/>
              </w:rPr>
              <w:t>）新型干法熟料生产线</w:t>
            </w:r>
          </w:p>
          <w:p w14:paraId="05BE8EAA" w14:textId="77777777" w:rsidR="00F76A63" w:rsidRDefault="00000000">
            <w:pPr>
              <w:keepNext/>
              <w:keepLines/>
              <w:widowControl/>
              <w:tabs>
                <w:tab w:val="left" w:pos="2340"/>
              </w:tabs>
              <w:adjustRightInd w:val="0"/>
              <w:snapToGrid w:val="0"/>
              <w:spacing w:line="500" w:lineRule="exact"/>
              <w:ind w:firstLineChars="200" w:firstLine="480"/>
              <w:rPr>
                <w:kern w:val="0"/>
                <w:sz w:val="24"/>
              </w:rPr>
            </w:pPr>
            <w:r>
              <w:rPr>
                <w:kern w:val="0"/>
                <w:sz w:val="24"/>
              </w:rPr>
              <w:lastRenderedPageBreak/>
              <w:t>一期</w:t>
            </w:r>
            <w:r>
              <w:rPr>
                <w:kern w:val="0"/>
                <w:sz w:val="24"/>
              </w:rPr>
              <w:t>1#</w:t>
            </w:r>
            <w:r>
              <w:rPr>
                <w:kern w:val="0"/>
                <w:sz w:val="24"/>
              </w:rPr>
              <w:t>和二期</w:t>
            </w:r>
            <w:r>
              <w:rPr>
                <w:kern w:val="0"/>
                <w:sz w:val="24"/>
              </w:rPr>
              <w:t>2#</w:t>
            </w:r>
            <w:r>
              <w:rPr>
                <w:kern w:val="0"/>
                <w:sz w:val="24"/>
              </w:rPr>
              <w:t>生产线采用新型干法预分解生产工艺，主要生产工段包括：石灰石破碎及输送、石灰石预均化、砂岩及粘土均化和输送、粉煤灰及铁粉配料和输送、原料配料、原料粉磨、生料均化及窑尾喂料、熟料烧成及熟料外运、熟料储存及输送、原煤预均化、煤粉制备及计量输送、混合材及石膏破碎和输送、粉煤灰储存及输送、水泥粉磨及输送、水泥储存及散装、粉煤灰输送等。</w:t>
            </w:r>
          </w:p>
          <w:p w14:paraId="7A73B8AA" w14:textId="77777777" w:rsidR="00F76A63" w:rsidRDefault="00000000">
            <w:pPr>
              <w:keepNext/>
              <w:keepLines/>
              <w:widowControl/>
              <w:tabs>
                <w:tab w:val="left" w:pos="2340"/>
              </w:tabs>
              <w:adjustRightInd w:val="0"/>
              <w:snapToGrid w:val="0"/>
              <w:jc w:val="center"/>
              <w:rPr>
                <w:b/>
                <w:bCs/>
                <w:kern w:val="0"/>
                <w:sz w:val="24"/>
              </w:rPr>
            </w:pPr>
            <w:r>
              <w:rPr>
                <w:noProof/>
              </w:rPr>
              <w:drawing>
                <wp:inline distT="0" distB="0" distL="0" distR="0" wp14:anchorId="412086FD" wp14:editId="17E76FF4">
                  <wp:extent cx="5150485" cy="3884295"/>
                  <wp:effectExtent l="0" t="0" r="0" b="0"/>
                  <wp:docPr id="20145918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91805" name="图片 1"/>
                          <pic:cNvPicPr>
                            <a:picLocks noChangeAspect="1"/>
                          </pic:cNvPicPr>
                        </pic:nvPicPr>
                        <pic:blipFill>
                          <a:blip r:embed="rId26"/>
                          <a:srcRect/>
                          <a:stretch>
                            <a:fillRect/>
                          </a:stretch>
                        </pic:blipFill>
                        <pic:spPr>
                          <a:xfrm>
                            <a:off x="0" y="0"/>
                            <a:ext cx="5150485" cy="3884295"/>
                          </a:xfrm>
                          <a:prstGeom prst="rect">
                            <a:avLst/>
                          </a:prstGeom>
                          <a:ln>
                            <a:noFill/>
                          </a:ln>
                        </pic:spPr>
                      </pic:pic>
                    </a:graphicData>
                  </a:graphic>
                </wp:inline>
              </w:drawing>
            </w:r>
          </w:p>
          <w:p w14:paraId="448058B4" w14:textId="77777777" w:rsidR="00F76A63" w:rsidRDefault="00000000">
            <w:pPr>
              <w:adjustRightInd w:val="0"/>
              <w:snapToGrid w:val="0"/>
              <w:spacing w:line="500" w:lineRule="exact"/>
              <w:ind w:firstLineChars="200" w:firstLine="482"/>
              <w:jc w:val="center"/>
              <w:rPr>
                <w:b/>
                <w:sz w:val="24"/>
              </w:rPr>
            </w:pPr>
            <w:bookmarkStart w:id="93" w:name="OLE_LINK4"/>
            <w:r>
              <w:rPr>
                <w:b/>
                <w:sz w:val="24"/>
              </w:rPr>
              <w:t>图</w:t>
            </w:r>
            <w:r>
              <w:rPr>
                <w:b/>
                <w:sz w:val="24"/>
              </w:rPr>
              <w:t xml:space="preserve">2-5  </w:t>
            </w:r>
            <w:r>
              <w:rPr>
                <w:b/>
                <w:sz w:val="24"/>
              </w:rPr>
              <w:t>新型干法熟料生产线工艺流程及产污环节示意图</w:t>
            </w:r>
          </w:p>
          <w:p w14:paraId="0AD7D07A" w14:textId="77777777" w:rsidR="00F76A63" w:rsidRDefault="00000000">
            <w:pPr>
              <w:adjustRightInd w:val="0"/>
              <w:snapToGrid w:val="0"/>
              <w:spacing w:line="500" w:lineRule="exact"/>
              <w:ind w:firstLineChars="200" w:firstLine="482"/>
              <w:rPr>
                <w:b/>
                <w:bCs/>
                <w:sz w:val="24"/>
              </w:rPr>
            </w:pPr>
            <w:r>
              <w:rPr>
                <w:b/>
                <w:bCs/>
                <w:sz w:val="24"/>
              </w:rPr>
              <w:t>2</w:t>
            </w:r>
            <w:r>
              <w:rPr>
                <w:b/>
                <w:bCs/>
                <w:sz w:val="24"/>
              </w:rPr>
              <w:t>）余热发电工程工艺流程</w:t>
            </w:r>
          </w:p>
          <w:bookmarkEnd w:id="93"/>
          <w:p w14:paraId="14659F0E" w14:textId="77777777" w:rsidR="00F76A63" w:rsidRDefault="00000000">
            <w:pPr>
              <w:adjustRightInd w:val="0"/>
              <w:snapToGrid w:val="0"/>
              <w:spacing w:line="500" w:lineRule="exact"/>
              <w:ind w:firstLineChars="200" w:firstLine="480"/>
              <w:rPr>
                <w:sz w:val="24"/>
              </w:rPr>
            </w:pPr>
            <w:r>
              <w:rPr>
                <w:sz w:val="24"/>
              </w:rPr>
              <w:t>一期、二期</w:t>
            </w:r>
            <w:r>
              <w:rPr>
                <w:sz w:val="24"/>
              </w:rPr>
              <w:t>1#</w:t>
            </w:r>
            <w:r>
              <w:rPr>
                <w:sz w:val="24"/>
              </w:rPr>
              <w:t>、</w:t>
            </w:r>
            <w:r>
              <w:rPr>
                <w:sz w:val="24"/>
              </w:rPr>
              <w:t>2#</w:t>
            </w:r>
            <w:r>
              <w:rPr>
                <w:sz w:val="24"/>
              </w:rPr>
              <w:t>水泥生产线窑头及窑尾各配套设置</w:t>
            </w:r>
            <w:r>
              <w:rPr>
                <w:sz w:val="24"/>
              </w:rPr>
              <w:t>1</w:t>
            </w:r>
            <w:r>
              <w:rPr>
                <w:sz w:val="24"/>
              </w:rPr>
              <w:t>套</w:t>
            </w:r>
            <w:r>
              <w:rPr>
                <w:sz w:val="24"/>
              </w:rPr>
              <w:t>AQC</w:t>
            </w:r>
            <w:r>
              <w:rPr>
                <w:sz w:val="24"/>
              </w:rPr>
              <w:t>炉和</w:t>
            </w:r>
            <w:r>
              <w:rPr>
                <w:sz w:val="24"/>
              </w:rPr>
              <w:t>1</w:t>
            </w:r>
            <w:r>
              <w:rPr>
                <w:sz w:val="24"/>
              </w:rPr>
              <w:t>套</w:t>
            </w:r>
            <w:r>
              <w:rPr>
                <w:sz w:val="24"/>
              </w:rPr>
              <w:t>SP</w:t>
            </w:r>
            <w:r>
              <w:rPr>
                <w:sz w:val="24"/>
              </w:rPr>
              <w:t>炉，同时共配套</w:t>
            </w:r>
            <w:r>
              <w:rPr>
                <w:sz w:val="24"/>
              </w:rPr>
              <w:t>1</w:t>
            </w:r>
            <w:r>
              <w:rPr>
                <w:sz w:val="24"/>
              </w:rPr>
              <w:t>套</w:t>
            </w:r>
            <w:r>
              <w:rPr>
                <w:sz w:val="24"/>
              </w:rPr>
              <w:t>20MW</w:t>
            </w:r>
            <w:r>
              <w:rPr>
                <w:sz w:val="24"/>
              </w:rPr>
              <w:t>纯凝补汽式汽轮机和</w:t>
            </w:r>
            <w:r>
              <w:rPr>
                <w:sz w:val="24"/>
              </w:rPr>
              <w:t>20MW</w:t>
            </w:r>
            <w:r>
              <w:rPr>
                <w:sz w:val="24"/>
              </w:rPr>
              <w:t>发电机组，形成</w:t>
            </w:r>
            <w:r>
              <w:rPr>
                <w:sz w:val="24"/>
              </w:rPr>
              <w:t>10820MW</w:t>
            </w:r>
            <w:r>
              <w:rPr>
                <w:sz w:val="24"/>
              </w:rPr>
              <w:t>的发电能力。余热发电工艺是一个能量转化的过程。给水通过</w:t>
            </w:r>
            <w:r>
              <w:rPr>
                <w:sz w:val="24"/>
              </w:rPr>
              <w:t>PH</w:t>
            </w:r>
            <w:r>
              <w:rPr>
                <w:sz w:val="24"/>
              </w:rPr>
              <w:t>余热锅炉和</w:t>
            </w:r>
            <w:r>
              <w:rPr>
                <w:sz w:val="24"/>
              </w:rPr>
              <w:t>AQC</w:t>
            </w:r>
            <w:r>
              <w:rPr>
                <w:sz w:val="24"/>
              </w:rPr>
              <w:t>余热锅炉，将水泥熟料生产线排放的低温余热的热能进行回收，使其转化为蒸汽，再通过蒸汽管道导入蒸汽轮机，在汽轮机中热能转化为动能，使汽轮机转子高速旋转，驱动发电机转动，从而转化为最终的产品</w:t>
            </w:r>
            <w:r>
              <w:rPr>
                <w:sz w:val="24"/>
              </w:rPr>
              <w:t>——</w:t>
            </w:r>
            <w:r>
              <w:rPr>
                <w:sz w:val="24"/>
              </w:rPr>
              <w:t>电能，</w:t>
            </w:r>
            <w:r>
              <w:rPr>
                <w:sz w:val="24"/>
              </w:rPr>
              <w:lastRenderedPageBreak/>
              <w:t>主要生产工艺流程如图</w:t>
            </w:r>
            <w:r>
              <w:rPr>
                <w:sz w:val="24"/>
              </w:rPr>
              <w:t>2-6</w:t>
            </w:r>
            <w:r>
              <w:rPr>
                <w:sz w:val="24"/>
              </w:rPr>
              <w:t>。</w:t>
            </w:r>
          </w:p>
          <w:p w14:paraId="1993A18C" w14:textId="77777777" w:rsidR="00F76A63" w:rsidRDefault="00000000">
            <w:pPr>
              <w:adjustRightInd w:val="0"/>
              <w:snapToGrid w:val="0"/>
              <w:spacing w:line="500" w:lineRule="exact"/>
              <w:ind w:firstLineChars="200" w:firstLine="480"/>
              <w:rPr>
                <w:sz w:val="24"/>
              </w:rPr>
            </w:pPr>
            <w:r>
              <w:rPr>
                <w:sz w:val="24"/>
              </w:rPr>
              <w:t>本系统余热发电采用四炉一机的布置方式，分别在两条水泥生产线窑头篦冷机旁就近露天布置</w:t>
            </w:r>
            <w:r>
              <w:rPr>
                <w:sz w:val="24"/>
              </w:rPr>
              <w:t>AQC</w:t>
            </w:r>
            <w:r>
              <w:rPr>
                <w:sz w:val="24"/>
              </w:rPr>
              <w:t>余热锅炉各一台，锅炉主蒸汽压力</w:t>
            </w:r>
            <w:r>
              <w:rPr>
                <w:sz w:val="24"/>
              </w:rPr>
              <w:t>0.6MPa</w:t>
            </w:r>
            <w:r>
              <w:rPr>
                <w:sz w:val="24"/>
              </w:rPr>
              <w:t>，温度</w:t>
            </w:r>
            <w:r>
              <w:rPr>
                <w:sz w:val="24"/>
              </w:rPr>
              <w:t>290℃</w:t>
            </w:r>
            <w:r>
              <w:rPr>
                <w:sz w:val="24"/>
              </w:rPr>
              <w:t>；在窑尾预热器旁就近露天布置</w:t>
            </w:r>
            <w:r>
              <w:rPr>
                <w:sz w:val="24"/>
              </w:rPr>
              <w:t>PH</w:t>
            </w:r>
            <w:r>
              <w:rPr>
                <w:sz w:val="24"/>
              </w:rPr>
              <w:t>余热锅炉各一台，锅炉主蒸汽压力</w:t>
            </w:r>
            <w:r>
              <w:rPr>
                <w:sz w:val="24"/>
              </w:rPr>
              <w:t>0.6MPa</w:t>
            </w:r>
            <w:r>
              <w:rPr>
                <w:sz w:val="24"/>
              </w:rPr>
              <w:t>，温度</w:t>
            </w:r>
            <w:r>
              <w:rPr>
                <w:sz w:val="24"/>
              </w:rPr>
              <w:t>300~335℃</w:t>
            </w:r>
            <w:r>
              <w:rPr>
                <w:sz w:val="24"/>
              </w:rPr>
              <w:t>，汽轮发电机额定出力</w:t>
            </w:r>
            <w:r>
              <w:rPr>
                <w:sz w:val="24"/>
              </w:rPr>
              <w:t>20MW</w:t>
            </w:r>
            <w:r>
              <w:rPr>
                <w:sz w:val="24"/>
              </w:rPr>
              <w:t>。</w:t>
            </w:r>
          </w:p>
          <w:p w14:paraId="4FA939F2" w14:textId="77777777" w:rsidR="00F76A63" w:rsidRDefault="00000000">
            <w:pPr>
              <w:adjustRightInd w:val="0"/>
              <w:snapToGrid w:val="0"/>
              <w:rPr>
                <w:sz w:val="24"/>
              </w:rPr>
            </w:pPr>
            <w:r>
              <w:rPr>
                <w:noProof/>
                <w:sz w:val="28"/>
                <w:szCs w:val="28"/>
              </w:rPr>
              <w:drawing>
                <wp:inline distT="0" distB="0" distL="0" distR="0" wp14:anchorId="24BEA787" wp14:editId="412DAF40">
                  <wp:extent cx="5210175" cy="2842895"/>
                  <wp:effectExtent l="0" t="0" r="0" b="0"/>
                  <wp:docPr id="90875565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55652" name="图片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234558" cy="2856430"/>
                          </a:xfrm>
                          <a:prstGeom prst="rect">
                            <a:avLst/>
                          </a:prstGeom>
                          <a:noFill/>
                          <a:ln>
                            <a:noFill/>
                          </a:ln>
                        </pic:spPr>
                      </pic:pic>
                    </a:graphicData>
                  </a:graphic>
                </wp:inline>
              </w:drawing>
            </w:r>
          </w:p>
          <w:p w14:paraId="2A20DAB2" w14:textId="77777777" w:rsidR="00F76A63" w:rsidRDefault="00000000">
            <w:pPr>
              <w:adjustRightInd w:val="0"/>
              <w:snapToGrid w:val="0"/>
              <w:spacing w:line="500" w:lineRule="exact"/>
              <w:ind w:firstLineChars="200" w:firstLine="482"/>
              <w:jc w:val="center"/>
              <w:rPr>
                <w:sz w:val="24"/>
              </w:rPr>
            </w:pPr>
            <w:r>
              <w:rPr>
                <w:b/>
                <w:sz w:val="24"/>
              </w:rPr>
              <w:t>图</w:t>
            </w:r>
            <w:r>
              <w:rPr>
                <w:b/>
                <w:sz w:val="24"/>
              </w:rPr>
              <w:t xml:space="preserve">2-6  </w:t>
            </w:r>
            <w:r>
              <w:rPr>
                <w:b/>
                <w:sz w:val="24"/>
              </w:rPr>
              <w:t>余热发电工程工艺流程图</w:t>
            </w:r>
          </w:p>
          <w:p w14:paraId="4972BA14" w14:textId="77777777" w:rsidR="00F76A63" w:rsidRDefault="00000000">
            <w:pPr>
              <w:adjustRightInd w:val="0"/>
              <w:snapToGrid w:val="0"/>
              <w:spacing w:line="500" w:lineRule="exact"/>
              <w:ind w:firstLineChars="200" w:firstLine="482"/>
              <w:rPr>
                <w:b/>
                <w:bCs/>
                <w:sz w:val="24"/>
              </w:rPr>
            </w:pPr>
            <w:r>
              <w:rPr>
                <w:b/>
                <w:bCs/>
                <w:sz w:val="24"/>
              </w:rPr>
              <w:t>3</w:t>
            </w:r>
            <w:r>
              <w:rPr>
                <w:b/>
                <w:bCs/>
                <w:sz w:val="24"/>
              </w:rPr>
              <w:t>）</w:t>
            </w:r>
            <w:r>
              <w:rPr>
                <w:rFonts w:hint="eastAsia"/>
                <w:b/>
                <w:bCs/>
                <w:sz w:val="24"/>
              </w:rPr>
              <w:t>台泥水泥磨生产工艺流程</w:t>
            </w:r>
          </w:p>
          <w:p w14:paraId="51595BD2" w14:textId="77777777" w:rsidR="00F76A63" w:rsidRDefault="00000000">
            <w:pPr>
              <w:adjustRightInd w:val="0"/>
              <w:snapToGrid w:val="0"/>
              <w:spacing w:line="500" w:lineRule="exact"/>
              <w:ind w:firstLineChars="200" w:firstLine="480"/>
              <w:rPr>
                <w:sz w:val="24"/>
              </w:rPr>
            </w:pPr>
            <w:r>
              <w:rPr>
                <w:sz w:val="24"/>
              </w:rPr>
              <w:t>具体工艺流程图见</w:t>
            </w:r>
            <w:r>
              <w:rPr>
                <w:sz w:val="24"/>
              </w:rPr>
              <w:t>2-7</w:t>
            </w:r>
            <w:r>
              <w:rPr>
                <w:sz w:val="24"/>
              </w:rPr>
              <w:t>。</w:t>
            </w:r>
          </w:p>
          <w:p w14:paraId="6C2456DC" w14:textId="77777777" w:rsidR="00F76A63" w:rsidRDefault="00000000">
            <w:pPr>
              <w:adjustRightInd w:val="0"/>
              <w:snapToGrid w:val="0"/>
              <w:jc w:val="center"/>
              <w:rPr>
                <w:sz w:val="24"/>
              </w:rPr>
            </w:pPr>
            <w:r>
              <w:rPr>
                <w:noProof/>
                <w:sz w:val="24"/>
              </w:rPr>
              <w:lastRenderedPageBreak/>
              <w:drawing>
                <wp:inline distT="0" distB="0" distL="0" distR="0" wp14:anchorId="10A8EF7D" wp14:editId="3BF83B98">
                  <wp:extent cx="4610100" cy="4476750"/>
                  <wp:effectExtent l="0" t="0" r="0" b="0"/>
                  <wp:docPr id="13793758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75844"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610100" cy="4476750"/>
                          </a:xfrm>
                          <a:prstGeom prst="rect">
                            <a:avLst/>
                          </a:prstGeom>
                          <a:noFill/>
                          <a:ln>
                            <a:noFill/>
                          </a:ln>
                        </pic:spPr>
                      </pic:pic>
                    </a:graphicData>
                  </a:graphic>
                </wp:inline>
              </w:drawing>
            </w:r>
          </w:p>
          <w:p w14:paraId="49253261" w14:textId="77777777" w:rsidR="00F76A63" w:rsidRDefault="00000000">
            <w:pPr>
              <w:adjustRightInd w:val="0"/>
              <w:snapToGrid w:val="0"/>
              <w:spacing w:line="500" w:lineRule="exact"/>
              <w:ind w:firstLineChars="200" w:firstLine="482"/>
              <w:jc w:val="center"/>
              <w:rPr>
                <w:sz w:val="24"/>
              </w:rPr>
            </w:pPr>
            <w:r>
              <w:rPr>
                <w:b/>
                <w:sz w:val="24"/>
              </w:rPr>
              <w:t>图</w:t>
            </w:r>
            <w:r>
              <w:rPr>
                <w:b/>
                <w:sz w:val="24"/>
              </w:rPr>
              <w:t xml:space="preserve">2-7  </w:t>
            </w:r>
            <w:r>
              <w:rPr>
                <w:b/>
                <w:sz w:val="24"/>
              </w:rPr>
              <w:t>水泥粉磨生产工艺流程图</w:t>
            </w:r>
          </w:p>
          <w:p w14:paraId="330A81D7" w14:textId="77777777" w:rsidR="00F76A63" w:rsidRDefault="00000000">
            <w:pPr>
              <w:spacing w:line="500" w:lineRule="exact"/>
              <w:ind w:firstLineChars="200" w:firstLine="482"/>
              <w:rPr>
                <w:b/>
                <w:bCs/>
                <w:sz w:val="24"/>
              </w:rPr>
            </w:pPr>
            <w:r>
              <w:rPr>
                <w:b/>
                <w:bCs/>
                <w:sz w:val="24"/>
              </w:rPr>
              <w:t>4</w:t>
            </w:r>
            <w:r>
              <w:rPr>
                <w:b/>
                <w:bCs/>
                <w:sz w:val="24"/>
              </w:rPr>
              <w:t>）飞灰处理工艺流程</w:t>
            </w:r>
          </w:p>
          <w:p w14:paraId="3523DD56" w14:textId="77777777" w:rsidR="00F76A63" w:rsidRDefault="00000000">
            <w:pPr>
              <w:spacing w:line="500" w:lineRule="exact"/>
              <w:ind w:firstLineChars="200" w:firstLine="480"/>
              <w:rPr>
                <w:sz w:val="24"/>
              </w:rPr>
            </w:pPr>
            <w:r>
              <w:rPr>
                <w:sz w:val="24"/>
              </w:rPr>
              <w:t>飞灰处置系统包括预处理和水质净化工艺，其中飞灰预处理包括储运、洗脱、混合烘干、入窑煅烧工艺；水质净化工段包括水质净化、蒸发制盐工艺。</w:t>
            </w:r>
          </w:p>
          <w:p w14:paraId="3BEF09FA" w14:textId="77777777" w:rsidR="00F76A63" w:rsidRDefault="00000000">
            <w:pPr>
              <w:spacing w:line="500" w:lineRule="exact"/>
              <w:ind w:firstLineChars="200" w:firstLine="480"/>
              <w:rPr>
                <w:sz w:val="24"/>
              </w:rPr>
            </w:pPr>
            <w:r>
              <w:rPr>
                <w:sz w:val="24"/>
              </w:rPr>
              <w:t>a.</w:t>
            </w:r>
            <w:r>
              <w:rPr>
                <w:sz w:val="24"/>
              </w:rPr>
              <w:t>飞灰预处理</w:t>
            </w:r>
          </w:p>
          <w:p w14:paraId="5C5E9E93" w14:textId="77777777" w:rsidR="00F76A63" w:rsidRDefault="00000000">
            <w:pPr>
              <w:spacing w:line="500" w:lineRule="exact"/>
              <w:ind w:firstLineChars="200" w:firstLine="480"/>
              <w:rPr>
                <w:sz w:val="24"/>
              </w:rPr>
            </w:pPr>
            <w:r>
              <w:rPr>
                <w:sz w:val="24"/>
              </w:rPr>
              <w:t>飞灰预处理主要工艺流程及产污环节见图</w:t>
            </w:r>
            <w:r>
              <w:rPr>
                <w:sz w:val="24"/>
              </w:rPr>
              <w:t>2-8</w:t>
            </w:r>
            <w:r>
              <w:rPr>
                <w:sz w:val="24"/>
              </w:rPr>
              <w:t>。</w:t>
            </w:r>
          </w:p>
          <w:p w14:paraId="34F656AD" w14:textId="77777777" w:rsidR="00F76A63" w:rsidRDefault="00000000">
            <w:pPr>
              <w:ind w:firstLineChars="200" w:firstLine="480"/>
              <w:rPr>
                <w:bCs/>
                <w:sz w:val="24"/>
              </w:rPr>
            </w:pPr>
            <w:bookmarkStart w:id="94" w:name="_Hlk86845124"/>
            <w:bookmarkEnd w:id="94"/>
            <w:r>
              <w:rPr>
                <w:bCs/>
                <w:noProof/>
                <w:sz w:val="24"/>
              </w:rPr>
              <w:lastRenderedPageBreak/>
              <w:drawing>
                <wp:inline distT="0" distB="0" distL="0" distR="0" wp14:anchorId="3D12FE00" wp14:editId="1CA7204B">
                  <wp:extent cx="4210050" cy="6384925"/>
                  <wp:effectExtent l="0" t="0" r="0" b="0"/>
                  <wp:docPr id="930374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747" name="图片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210584" cy="6386053"/>
                          </a:xfrm>
                          <a:prstGeom prst="rect">
                            <a:avLst/>
                          </a:prstGeom>
                          <a:noFill/>
                          <a:ln>
                            <a:noFill/>
                          </a:ln>
                        </pic:spPr>
                      </pic:pic>
                    </a:graphicData>
                  </a:graphic>
                </wp:inline>
              </w:drawing>
            </w:r>
          </w:p>
          <w:p w14:paraId="69680C8D" w14:textId="77777777" w:rsidR="00F76A63" w:rsidRDefault="00000000">
            <w:pPr>
              <w:spacing w:line="500" w:lineRule="exact"/>
              <w:jc w:val="center"/>
              <w:rPr>
                <w:b/>
                <w:sz w:val="24"/>
              </w:rPr>
            </w:pPr>
            <w:r>
              <w:rPr>
                <w:b/>
                <w:sz w:val="24"/>
              </w:rPr>
              <w:t>图</w:t>
            </w:r>
            <w:r>
              <w:rPr>
                <w:b/>
                <w:sz w:val="24"/>
              </w:rPr>
              <w:t>2-</w:t>
            </w:r>
            <w:bookmarkStart w:id="95" w:name="_Hlk86845301"/>
            <w:r>
              <w:rPr>
                <w:b/>
                <w:sz w:val="24"/>
              </w:rPr>
              <w:t xml:space="preserve">8  </w:t>
            </w:r>
            <w:r>
              <w:rPr>
                <w:b/>
                <w:sz w:val="24"/>
              </w:rPr>
              <w:t>飞灰处理主要工艺流程图</w:t>
            </w:r>
            <w:bookmarkEnd w:id="95"/>
          </w:p>
          <w:p w14:paraId="57B67807" w14:textId="77777777" w:rsidR="00F76A63" w:rsidRDefault="00000000">
            <w:pPr>
              <w:spacing w:line="500" w:lineRule="exact"/>
              <w:ind w:firstLineChars="200" w:firstLine="480"/>
              <w:rPr>
                <w:sz w:val="24"/>
              </w:rPr>
            </w:pPr>
            <w:r>
              <w:rPr>
                <w:sz w:val="24"/>
              </w:rPr>
              <w:t>b.</w:t>
            </w:r>
            <w:r>
              <w:rPr>
                <w:sz w:val="24"/>
              </w:rPr>
              <w:t>水质净化处理工段</w:t>
            </w:r>
          </w:p>
          <w:p w14:paraId="0E279996" w14:textId="77777777" w:rsidR="00F76A63" w:rsidRDefault="00000000">
            <w:pPr>
              <w:spacing w:line="500" w:lineRule="exact"/>
              <w:ind w:firstLineChars="200" w:firstLine="480"/>
              <w:rPr>
                <w:sz w:val="24"/>
              </w:rPr>
            </w:pPr>
            <w:r>
              <w:rPr>
                <w:sz w:val="24"/>
              </w:rPr>
              <w:t>分离后的洗脱液进入水质净化系统，采用</w:t>
            </w:r>
            <w:r>
              <w:rPr>
                <w:sz w:val="24"/>
              </w:rPr>
              <w:t>“</w:t>
            </w:r>
            <w:r>
              <w:rPr>
                <w:sz w:val="24"/>
              </w:rPr>
              <w:t>脱钙</w:t>
            </w:r>
            <w:r>
              <w:rPr>
                <w:sz w:val="24"/>
              </w:rPr>
              <w:t>+</w:t>
            </w:r>
            <w:r>
              <w:rPr>
                <w:sz w:val="24"/>
              </w:rPr>
              <w:t>过滤</w:t>
            </w:r>
            <w:r>
              <w:rPr>
                <w:sz w:val="24"/>
              </w:rPr>
              <w:t>+</w:t>
            </w:r>
            <w:r>
              <w:rPr>
                <w:sz w:val="24"/>
              </w:rPr>
              <w:t>中和</w:t>
            </w:r>
            <w:r>
              <w:rPr>
                <w:sz w:val="24"/>
              </w:rPr>
              <w:t>+MVR</w:t>
            </w:r>
            <w:r>
              <w:rPr>
                <w:sz w:val="24"/>
              </w:rPr>
              <w:t>蒸发结晶</w:t>
            </w:r>
            <w:r>
              <w:rPr>
                <w:sz w:val="24"/>
              </w:rPr>
              <w:t>”</w:t>
            </w:r>
            <w:r>
              <w:rPr>
                <w:sz w:val="24"/>
              </w:rPr>
              <w:t>的工艺处理洗脱液。洗脱液主要成分为</w:t>
            </w:r>
            <w:r>
              <w:rPr>
                <w:sz w:val="24"/>
              </w:rPr>
              <w:t>NaCl</w:t>
            </w:r>
            <w:r>
              <w:rPr>
                <w:sz w:val="24"/>
              </w:rPr>
              <w:t>、</w:t>
            </w:r>
            <w:r>
              <w:rPr>
                <w:sz w:val="24"/>
              </w:rPr>
              <w:t>KCl</w:t>
            </w:r>
            <w:r>
              <w:rPr>
                <w:sz w:val="24"/>
              </w:rPr>
              <w:t>，另外还包括少量</w:t>
            </w:r>
            <w:r>
              <w:rPr>
                <w:sz w:val="24"/>
              </w:rPr>
              <w:t>Ca</w:t>
            </w:r>
            <w:r>
              <w:rPr>
                <w:sz w:val="24"/>
                <w:vertAlign w:val="superscript"/>
              </w:rPr>
              <w:t>2+</w:t>
            </w:r>
            <w:r>
              <w:rPr>
                <w:sz w:val="24"/>
              </w:rPr>
              <w:t>。水洗结晶盐开展了风险评估，作为产品管理。在生产中，台泥公司严格按照《危险废物综合利用与处置技术规范通则》（</w:t>
            </w:r>
            <w:r>
              <w:rPr>
                <w:sz w:val="24"/>
              </w:rPr>
              <w:t>DB32/T4370-2022</w:t>
            </w:r>
            <w:r>
              <w:rPr>
                <w:sz w:val="24"/>
              </w:rPr>
              <w:t>）中</w:t>
            </w:r>
            <w:r>
              <w:rPr>
                <w:sz w:val="24"/>
              </w:rPr>
              <w:t>8</w:t>
            </w:r>
            <w:r>
              <w:rPr>
                <w:sz w:val="24"/>
              </w:rPr>
              <w:t>综合利用章节</w:t>
            </w:r>
            <w:r>
              <w:rPr>
                <w:sz w:val="24"/>
              </w:rPr>
              <w:lastRenderedPageBreak/>
              <w:t>的要求开展相关工作，保证结晶盐综合利用全过程环境风险可控，制定并执行档案制度，执行检测制度，定期采样检测。</w:t>
            </w:r>
          </w:p>
          <w:p w14:paraId="203BB855" w14:textId="77777777" w:rsidR="00F76A63" w:rsidRDefault="00000000">
            <w:pPr>
              <w:jc w:val="center"/>
              <w:rPr>
                <w:bCs/>
                <w:sz w:val="24"/>
              </w:rPr>
            </w:pPr>
            <w:r>
              <w:rPr>
                <w:bCs/>
                <w:noProof/>
                <w:sz w:val="24"/>
              </w:rPr>
              <w:drawing>
                <wp:inline distT="0" distB="0" distL="0" distR="0" wp14:anchorId="528E8C00" wp14:editId="419DC307">
                  <wp:extent cx="5150485" cy="2205990"/>
                  <wp:effectExtent l="0" t="0" r="0" b="3810"/>
                  <wp:docPr id="85219411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94110" name="图片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150485" cy="2205990"/>
                          </a:xfrm>
                          <a:prstGeom prst="rect">
                            <a:avLst/>
                          </a:prstGeom>
                          <a:noFill/>
                          <a:ln>
                            <a:noFill/>
                          </a:ln>
                        </pic:spPr>
                      </pic:pic>
                    </a:graphicData>
                  </a:graphic>
                </wp:inline>
              </w:drawing>
            </w:r>
          </w:p>
          <w:p w14:paraId="2E1B4822" w14:textId="77777777" w:rsidR="00F76A63" w:rsidRDefault="00000000">
            <w:pPr>
              <w:spacing w:line="500" w:lineRule="exact"/>
              <w:jc w:val="center"/>
              <w:rPr>
                <w:b/>
                <w:sz w:val="24"/>
              </w:rPr>
            </w:pPr>
            <w:r>
              <w:rPr>
                <w:b/>
                <w:sz w:val="24"/>
              </w:rPr>
              <w:t>图</w:t>
            </w:r>
            <w:r>
              <w:rPr>
                <w:b/>
                <w:sz w:val="24"/>
              </w:rPr>
              <w:t xml:space="preserve">2-9  </w:t>
            </w:r>
            <w:r>
              <w:rPr>
                <w:b/>
                <w:sz w:val="24"/>
              </w:rPr>
              <w:t>水质净化单元工艺流程图</w:t>
            </w:r>
          </w:p>
          <w:p w14:paraId="67AAFD1E" w14:textId="77777777" w:rsidR="00F76A63" w:rsidRDefault="00000000">
            <w:pPr>
              <w:spacing w:line="500" w:lineRule="exact"/>
              <w:ind w:firstLineChars="200" w:firstLine="482"/>
              <w:rPr>
                <w:b/>
                <w:bCs/>
                <w:sz w:val="24"/>
              </w:rPr>
            </w:pPr>
            <w:r>
              <w:rPr>
                <w:b/>
                <w:bCs/>
                <w:sz w:val="24"/>
              </w:rPr>
              <w:t>5</w:t>
            </w:r>
            <w:r>
              <w:rPr>
                <w:rFonts w:hint="eastAsia"/>
                <w:b/>
                <w:bCs/>
                <w:sz w:val="24"/>
              </w:rPr>
              <w:t>．</w:t>
            </w:r>
            <w:r>
              <w:rPr>
                <w:b/>
                <w:bCs/>
                <w:sz w:val="24"/>
              </w:rPr>
              <w:t>废轮胎</w:t>
            </w:r>
            <w:r>
              <w:rPr>
                <w:rFonts w:hint="eastAsia"/>
                <w:b/>
                <w:bCs/>
                <w:sz w:val="24"/>
              </w:rPr>
              <w:t>预处理</w:t>
            </w:r>
            <w:r>
              <w:rPr>
                <w:b/>
                <w:bCs/>
                <w:sz w:val="24"/>
              </w:rPr>
              <w:t>工艺流程</w:t>
            </w:r>
          </w:p>
          <w:p w14:paraId="25BD4DA7" w14:textId="77777777" w:rsidR="00F76A63" w:rsidRDefault="00000000">
            <w:pPr>
              <w:spacing w:line="500" w:lineRule="exact"/>
              <w:ind w:firstLineChars="200" w:firstLine="480"/>
              <w:rPr>
                <w:sz w:val="24"/>
              </w:rPr>
            </w:pPr>
            <w:r>
              <w:rPr>
                <w:sz w:val="24"/>
              </w:rPr>
              <w:t>废轮胎在厂内</w:t>
            </w:r>
            <w:r>
              <w:rPr>
                <w:rFonts w:hint="eastAsia"/>
                <w:sz w:val="24"/>
              </w:rPr>
              <w:t>处置</w:t>
            </w:r>
            <w:r>
              <w:rPr>
                <w:sz w:val="24"/>
              </w:rPr>
              <w:t>环节流程图见图</w:t>
            </w:r>
            <w:r>
              <w:rPr>
                <w:sz w:val="24"/>
              </w:rPr>
              <w:t>2-10</w:t>
            </w:r>
            <w:r>
              <w:rPr>
                <w:sz w:val="24"/>
              </w:rPr>
              <w:t>。</w:t>
            </w:r>
          </w:p>
          <w:p w14:paraId="6A58CCC4" w14:textId="77777777" w:rsidR="00F76A63" w:rsidRDefault="00000000">
            <w:pPr>
              <w:ind w:firstLineChars="200" w:firstLine="482"/>
              <w:rPr>
                <w:b/>
                <w:bCs/>
                <w:sz w:val="24"/>
              </w:rPr>
            </w:pPr>
            <w:r>
              <w:rPr>
                <w:b/>
                <w:bCs/>
                <w:noProof/>
                <w:sz w:val="24"/>
              </w:rPr>
              <w:drawing>
                <wp:inline distT="0" distB="0" distL="0" distR="0" wp14:anchorId="5C4FB404" wp14:editId="78B9DA70">
                  <wp:extent cx="4457700" cy="4048125"/>
                  <wp:effectExtent l="0" t="0" r="0" b="0"/>
                  <wp:docPr id="139052407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24073" name="图片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457700" cy="4048125"/>
                          </a:xfrm>
                          <a:prstGeom prst="rect">
                            <a:avLst/>
                          </a:prstGeom>
                          <a:noFill/>
                          <a:ln>
                            <a:noFill/>
                          </a:ln>
                        </pic:spPr>
                      </pic:pic>
                    </a:graphicData>
                  </a:graphic>
                </wp:inline>
              </w:drawing>
            </w:r>
            <w:bookmarkStart w:id="96" w:name="_Hlk86845355"/>
            <w:bookmarkEnd w:id="96"/>
          </w:p>
          <w:p w14:paraId="6BB477E2" w14:textId="77777777" w:rsidR="00F76A63" w:rsidRDefault="00000000">
            <w:pPr>
              <w:spacing w:line="500" w:lineRule="exact"/>
              <w:jc w:val="center"/>
              <w:rPr>
                <w:b/>
                <w:sz w:val="24"/>
              </w:rPr>
            </w:pPr>
            <w:r>
              <w:rPr>
                <w:b/>
                <w:sz w:val="24"/>
              </w:rPr>
              <w:t>图</w:t>
            </w:r>
            <w:r>
              <w:rPr>
                <w:b/>
                <w:sz w:val="24"/>
              </w:rPr>
              <w:t xml:space="preserve">2-10  </w:t>
            </w:r>
            <w:r>
              <w:rPr>
                <w:rFonts w:hint="eastAsia"/>
                <w:b/>
                <w:sz w:val="24"/>
              </w:rPr>
              <w:t>废轮胎厂内处置</w:t>
            </w:r>
            <w:r>
              <w:rPr>
                <w:b/>
                <w:sz w:val="24"/>
              </w:rPr>
              <w:t>流程图</w:t>
            </w:r>
          </w:p>
          <w:p w14:paraId="0567FC89" w14:textId="77777777" w:rsidR="00F76A63" w:rsidRDefault="00000000">
            <w:pPr>
              <w:spacing w:line="500" w:lineRule="exact"/>
              <w:ind w:firstLineChars="200" w:firstLine="480"/>
              <w:rPr>
                <w:sz w:val="24"/>
              </w:rPr>
            </w:pPr>
            <w:r>
              <w:rPr>
                <w:sz w:val="24"/>
              </w:rPr>
              <w:t>废弃轮胎收集进场后，经自卸车或铲车辅助卸料至废弃轮胎堆棚暂存。根</w:t>
            </w:r>
            <w:r>
              <w:rPr>
                <w:sz w:val="24"/>
              </w:rPr>
              <w:lastRenderedPageBreak/>
              <w:t>据进厂轮胎外观直径确定是否需要抽丝作业，轮胎直径</w:t>
            </w:r>
            <w:r>
              <w:rPr>
                <w:sz w:val="24"/>
              </w:rPr>
              <w:t>≤1000mm</w:t>
            </w:r>
            <w:r>
              <w:rPr>
                <w:sz w:val="24"/>
              </w:rPr>
              <w:t>破碎作业时，经铲车将轮胎喂入料斗内；轮胎直径</w:t>
            </w:r>
            <w:r>
              <w:rPr>
                <w:sz w:val="24"/>
              </w:rPr>
              <w:t>≥1000mm</w:t>
            </w:r>
            <w:r>
              <w:rPr>
                <w:sz w:val="24"/>
              </w:rPr>
              <w:t>在入破碎机之前进行抽丝作业，经过抽丝后的轮胎再入破碎机进行破碎。经皮带输送机输送至破碎机进行破碎，废弃轮胎经过破碎后形成粒径</w:t>
            </w:r>
            <w:r>
              <w:rPr>
                <w:sz w:val="24"/>
              </w:rPr>
              <w:t>≤50mm</w:t>
            </w:r>
            <w:r>
              <w:rPr>
                <w:sz w:val="24"/>
              </w:rPr>
              <w:t>的轮胎碎片，而后经皮带输送机输送，并在皮带机尾端进行一次磁选，分离出轮胎内金属，磁选后输送至碎片暂存区储存。</w:t>
            </w:r>
          </w:p>
          <w:p w14:paraId="014FC8BF" w14:textId="77777777" w:rsidR="00F76A63" w:rsidRDefault="00000000">
            <w:pPr>
              <w:spacing w:line="500" w:lineRule="exact"/>
              <w:ind w:firstLineChars="200" w:firstLine="482"/>
              <w:rPr>
                <w:b/>
                <w:bCs/>
                <w:sz w:val="24"/>
              </w:rPr>
            </w:pPr>
            <w:r>
              <w:rPr>
                <w:b/>
                <w:bCs/>
                <w:kern w:val="0"/>
                <w:sz w:val="24"/>
              </w:rPr>
              <w:t>（</w:t>
            </w:r>
            <w:r>
              <w:rPr>
                <w:b/>
                <w:bCs/>
                <w:kern w:val="0"/>
                <w:sz w:val="24"/>
              </w:rPr>
              <w:t>4</w:t>
            </w:r>
            <w:r>
              <w:rPr>
                <w:b/>
                <w:bCs/>
                <w:kern w:val="0"/>
                <w:sz w:val="24"/>
              </w:rPr>
              <w:t>）已建项目污染源分析</w:t>
            </w:r>
          </w:p>
          <w:p w14:paraId="6CD50AF8" w14:textId="77777777" w:rsidR="00F76A63" w:rsidRDefault="00000000">
            <w:pPr>
              <w:spacing w:line="500" w:lineRule="exact"/>
              <w:ind w:firstLineChars="200" w:firstLine="480"/>
              <w:rPr>
                <w:bCs/>
                <w:sz w:val="24"/>
              </w:rPr>
            </w:pPr>
            <w:r>
              <w:rPr>
                <w:bCs/>
                <w:sz w:val="24"/>
              </w:rPr>
              <w:t>根据已建项目环评以及竣工环保验收监测报告对其污染治理措施达标可行性进行回顾，本节重点分析项目依托的一期</w:t>
            </w:r>
            <w:r>
              <w:rPr>
                <w:bCs/>
                <w:sz w:val="24"/>
              </w:rPr>
              <w:t>1#150</w:t>
            </w:r>
            <w:r>
              <w:rPr>
                <w:bCs/>
                <w:sz w:val="24"/>
              </w:rPr>
              <w:t>万吨</w:t>
            </w:r>
            <w:r>
              <w:rPr>
                <w:bCs/>
                <w:sz w:val="24"/>
              </w:rPr>
              <w:t>/</w:t>
            </w:r>
            <w:r>
              <w:rPr>
                <w:bCs/>
                <w:sz w:val="24"/>
              </w:rPr>
              <w:t>年熟料和</w:t>
            </w:r>
            <w:r>
              <w:rPr>
                <w:bCs/>
                <w:sz w:val="24"/>
              </w:rPr>
              <w:t>2#6000t/d</w:t>
            </w:r>
            <w:r>
              <w:rPr>
                <w:bCs/>
                <w:sz w:val="24"/>
              </w:rPr>
              <w:t>熟料的新型干法水泥生产线的污染物产排放和治理措施情况。经分析，各类污染防治措施均正常运行，能够做到达标排放。</w:t>
            </w:r>
          </w:p>
          <w:p w14:paraId="4412C627" w14:textId="77777777" w:rsidR="00F76A63" w:rsidRDefault="00000000">
            <w:pPr>
              <w:spacing w:line="500" w:lineRule="exact"/>
              <w:ind w:firstLineChars="200" w:firstLine="482"/>
              <w:rPr>
                <w:b/>
                <w:bCs/>
                <w:sz w:val="24"/>
              </w:rPr>
            </w:pPr>
            <w:r>
              <w:rPr>
                <w:b/>
                <w:bCs/>
                <w:sz w:val="24"/>
              </w:rPr>
              <w:t>1</w:t>
            </w:r>
            <w:r>
              <w:rPr>
                <w:b/>
                <w:bCs/>
                <w:sz w:val="24"/>
              </w:rPr>
              <w:t>）废气产生与治理情况</w:t>
            </w:r>
          </w:p>
          <w:p w14:paraId="1F48A781" w14:textId="77777777" w:rsidR="00F76A63" w:rsidRDefault="00000000">
            <w:pPr>
              <w:adjustRightInd w:val="0"/>
              <w:snapToGrid w:val="0"/>
              <w:spacing w:line="500" w:lineRule="exact"/>
              <w:ind w:firstLineChars="200" w:firstLine="480"/>
              <w:rPr>
                <w:sz w:val="24"/>
              </w:rPr>
            </w:pPr>
            <w:r>
              <w:rPr>
                <w:sz w:val="24"/>
              </w:rPr>
              <w:t>现有项目生产过程中产生的废气主要为：现有项目烟（粉）尘主要为原料配料、混合材制备、生料磨、煤粉磨、熟料烧成、水泥粉磨、包装等工序产生的粉尘，其他污染物主要为窑尾排放的颗粒物、</w:t>
            </w:r>
            <w:r>
              <w:rPr>
                <w:sz w:val="24"/>
              </w:rPr>
              <w:t>SO</w:t>
            </w:r>
            <w:r>
              <w:rPr>
                <w:sz w:val="24"/>
                <w:vertAlign w:val="subscript"/>
              </w:rPr>
              <w:t>2</w:t>
            </w:r>
            <w:r>
              <w:rPr>
                <w:sz w:val="24"/>
              </w:rPr>
              <w:t>、</w:t>
            </w:r>
            <w:r>
              <w:rPr>
                <w:sz w:val="24"/>
              </w:rPr>
              <w:t>NOx</w:t>
            </w:r>
            <w:r>
              <w:rPr>
                <w:sz w:val="24"/>
              </w:rPr>
              <w:t>等。</w:t>
            </w:r>
          </w:p>
          <w:p w14:paraId="414EB177" w14:textId="77777777" w:rsidR="00F76A63" w:rsidRDefault="00000000">
            <w:pPr>
              <w:spacing w:line="500" w:lineRule="exact"/>
              <w:ind w:firstLineChars="200" w:firstLine="480"/>
              <w:rPr>
                <w:bCs/>
                <w:sz w:val="24"/>
              </w:rPr>
            </w:pPr>
            <w:r>
              <w:rPr>
                <w:bCs/>
                <w:sz w:val="24"/>
              </w:rPr>
              <w:t>一期</w:t>
            </w:r>
            <w:r>
              <w:rPr>
                <w:bCs/>
                <w:sz w:val="24"/>
              </w:rPr>
              <w:t>1#</w:t>
            </w:r>
            <w:r>
              <w:rPr>
                <w:bCs/>
                <w:sz w:val="24"/>
              </w:rPr>
              <w:t>生产线共含有组织排尘点</w:t>
            </w:r>
            <w:r>
              <w:rPr>
                <w:bCs/>
                <w:sz w:val="24"/>
              </w:rPr>
              <w:t>63</w:t>
            </w:r>
            <w:r>
              <w:rPr>
                <w:bCs/>
                <w:sz w:val="24"/>
              </w:rPr>
              <w:t>个，水泥熟料生产线产生的废气通过</w:t>
            </w:r>
            <w:r>
              <w:rPr>
                <w:bCs/>
                <w:sz w:val="24"/>
              </w:rPr>
              <w:t>63</w:t>
            </w:r>
            <w:r>
              <w:rPr>
                <w:bCs/>
                <w:sz w:val="24"/>
              </w:rPr>
              <w:t>台（套）收尘器，分别经过</w:t>
            </w:r>
            <w:r>
              <w:rPr>
                <w:bCs/>
                <w:sz w:val="24"/>
              </w:rPr>
              <w:t>63</w:t>
            </w:r>
            <w:r>
              <w:rPr>
                <w:bCs/>
                <w:sz w:val="24"/>
              </w:rPr>
              <w:t>根排气筒排放。一期</w:t>
            </w:r>
            <w:r>
              <w:rPr>
                <w:bCs/>
                <w:sz w:val="24"/>
              </w:rPr>
              <w:t>1#</w:t>
            </w:r>
            <w:r>
              <w:rPr>
                <w:bCs/>
                <w:sz w:val="24"/>
              </w:rPr>
              <w:t>生产线窑尾废气主要为颗粒物、</w:t>
            </w:r>
            <w:r>
              <w:rPr>
                <w:bCs/>
                <w:sz w:val="24"/>
              </w:rPr>
              <w:t>SO</w:t>
            </w:r>
            <w:r>
              <w:rPr>
                <w:bCs/>
                <w:sz w:val="24"/>
                <w:vertAlign w:val="subscript"/>
              </w:rPr>
              <w:t>2</w:t>
            </w:r>
            <w:r>
              <w:rPr>
                <w:bCs/>
                <w:sz w:val="24"/>
              </w:rPr>
              <w:t>、</w:t>
            </w:r>
            <w:r>
              <w:rPr>
                <w:bCs/>
                <w:sz w:val="24"/>
              </w:rPr>
              <w:t>NOx</w:t>
            </w:r>
            <w:r>
              <w:rPr>
                <w:bCs/>
                <w:sz w:val="24"/>
              </w:rPr>
              <w:t>等，采用</w:t>
            </w:r>
            <w:r>
              <w:rPr>
                <w:bCs/>
                <w:sz w:val="24"/>
              </w:rPr>
              <w:t>“</w:t>
            </w:r>
            <w:r>
              <w:rPr>
                <w:bCs/>
                <w:sz w:val="24"/>
              </w:rPr>
              <w:t>高温焚烧</w:t>
            </w:r>
            <w:r>
              <w:rPr>
                <w:bCs/>
                <w:sz w:val="24"/>
              </w:rPr>
              <w:t>+</w:t>
            </w:r>
            <w:r>
              <w:rPr>
                <w:bCs/>
                <w:sz w:val="24"/>
              </w:rPr>
              <w:t>碱性环境</w:t>
            </w:r>
            <w:r>
              <w:rPr>
                <w:bCs/>
                <w:sz w:val="24"/>
              </w:rPr>
              <w:t>+SCR +SNCR+</w:t>
            </w:r>
            <w:r>
              <w:rPr>
                <w:bCs/>
                <w:sz w:val="24"/>
              </w:rPr>
              <w:t>正常工况窑磨一体化，非正常工况干法脱硫</w:t>
            </w:r>
            <w:r>
              <w:rPr>
                <w:bCs/>
                <w:sz w:val="24"/>
              </w:rPr>
              <w:t>+</w:t>
            </w:r>
            <w:r>
              <w:rPr>
                <w:bCs/>
                <w:sz w:val="24"/>
              </w:rPr>
              <w:t>布袋除尘器</w:t>
            </w:r>
            <w:r>
              <w:rPr>
                <w:bCs/>
                <w:sz w:val="24"/>
              </w:rPr>
              <w:t>”</w:t>
            </w:r>
            <w:r>
              <w:rPr>
                <w:bCs/>
                <w:sz w:val="24"/>
              </w:rPr>
              <w:t>方法处理后通过</w:t>
            </w:r>
            <w:r>
              <w:rPr>
                <w:bCs/>
                <w:sz w:val="24"/>
              </w:rPr>
              <w:t>85m</w:t>
            </w:r>
            <w:r>
              <w:rPr>
                <w:bCs/>
                <w:sz w:val="24"/>
              </w:rPr>
              <w:t>排气筒排放；窑头烧成废气主要为颗粒物，经布袋除尘处理后由</w:t>
            </w:r>
            <w:r>
              <w:rPr>
                <w:bCs/>
                <w:sz w:val="24"/>
              </w:rPr>
              <w:t>1</w:t>
            </w:r>
            <w:r>
              <w:rPr>
                <w:bCs/>
                <w:sz w:val="24"/>
              </w:rPr>
              <w:t>根</w:t>
            </w:r>
            <w:r>
              <w:rPr>
                <w:bCs/>
                <w:sz w:val="24"/>
              </w:rPr>
              <w:t>45</w:t>
            </w:r>
            <w:r>
              <w:rPr>
                <w:bCs/>
                <w:sz w:val="24"/>
              </w:rPr>
              <w:t>米高排气筒排放。</w:t>
            </w:r>
          </w:p>
          <w:p w14:paraId="02FB0584" w14:textId="77777777" w:rsidR="00F76A63" w:rsidRDefault="00000000">
            <w:pPr>
              <w:spacing w:line="500" w:lineRule="exact"/>
              <w:ind w:firstLineChars="200" w:firstLine="480"/>
              <w:rPr>
                <w:bCs/>
                <w:sz w:val="24"/>
              </w:rPr>
            </w:pPr>
            <w:r>
              <w:rPr>
                <w:bCs/>
                <w:sz w:val="24"/>
              </w:rPr>
              <w:t>二期</w:t>
            </w:r>
            <w:r>
              <w:rPr>
                <w:bCs/>
                <w:sz w:val="24"/>
              </w:rPr>
              <w:t>2#</w:t>
            </w:r>
            <w:r>
              <w:rPr>
                <w:bCs/>
                <w:sz w:val="24"/>
              </w:rPr>
              <w:t>生产线项目产生的废气通过</w:t>
            </w:r>
            <w:r>
              <w:rPr>
                <w:bCs/>
                <w:sz w:val="24"/>
              </w:rPr>
              <w:t>52</w:t>
            </w:r>
            <w:r>
              <w:rPr>
                <w:bCs/>
                <w:sz w:val="24"/>
              </w:rPr>
              <w:t>台袋式除尘器和</w:t>
            </w:r>
            <w:r>
              <w:rPr>
                <w:bCs/>
                <w:sz w:val="24"/>
              </w:rPr>
              <w:t>2</w:t>
            </w:r>
            <w:r>
              <w:rPr>
                <w:bCs/>
                <w:sz w:val="24"/>
              </w:rPr>
              <w:t>台电袋复合除尘器，分别经过</w:t>
            </w:r>
            <w:r>
              <w:rPr>
                <w:bCs/>
                <w:sz w:val="24"/>
              </w:rPr>
              <w:t>54</w:t>
            </w:r>
            <w:r>
              <w:rPr>
                <w:bCs/>
                <w:sz w:val="24"/>
              </w:rPr>
              <w:t>根排气筒排放。二期</w:t>
            </w:r>
            <w:r>
              <w:rPr>
                <w:bCs/>
                <w:sz w:val="24"/>
              </w:rPr>
              <w:t>2#</w:t>
            </w:r>
            <w:r>
              <w:rPr>
                <w:bCs/>
                <w:sz w:val="24"/>
              </w:rPr>
              <w:t>生产线窑尾废气主要为颗粒物、</w:t>
            </w:r>
            <w:r>
              <w:rPr>
                <w:bCs/>
                <w:sz w:val="24"/>
              </w:rPr>
              <w:t>SO</w:t>
            </w:r>
            <w:r>
              <w:rPr>
                <w:bCs/>
                <w:sz w:val="24"/>
                <w:vertAlign w:val="subscript"/>
              </w:rPr>
              <w:t>2</w:t>
            </w:r>
            <w:r>
              <w:rPr>
                <w:bCs/>
                <w:sz w:val="24"/>
              </w:rPr>
              <w:t>、</w:t>
            </w:r>
            <w:r>
              <w:rPr>
                <w:bCs/>
                <w:sz w:val="24"/>
              </w:rPr>
              <w:t>NOx</w:t>
            </w:r>
            <w:r>
              <w:rPr>
                <w:bCs/>
                <w:sz w:val="24"/>
              </w:rPr>
              <w:t>等，采用</w:t>
            </w:r>
            <w:r>
              <w:rPr>
                <w:bCs/>
                <w:sz w:val="24"/>
              </w:rPr>
              <w:t>“</w:t>
            </w:r>
            <w:r>
              <w:rPr>
                <w:bCs/>
                <w:sz w:val="24"/>
              </w:rPr>
              <w:t>高温焚烧</w:t>
            </w:r>
            <w:r>
              <w:rPr>
                <w:bCs/>
                <w:sz w:val="24"/>
              </w:rPr>
              <w:t>+</w:t>
            </w:r>
            <w:r>
              <w:rPr>
                <w:bCs/>
                <w:sz w:val="24"/>
              </w:rPr>
              <w:t>碱性环境</w:t>
            </w:r>
            <w:r>
              <w:rPr>
                <w:bCs/>
                <w:sz w:val="24"/>
              </w:rPr>
              <w:t>SCR+SNCR+</w:t>
            </w:r>
            <w:r>
              <w:rPr>
                <w:bCs/>
                <w:sz w:val="24"/>
              </w:rPr>
              <w:t>正常工况窑磨一体化，非正常工况干法脱硫</w:t>
            </w:r>
            <w:r>
              <w:rPr>
                <w:bCs/>
                <w:sz w:val="24"/>
              </w:rPr>
              <w:t>+</w:t>
            </w:r>
            <w:r>
              <w:rPr>
                <w:bCs/>
                <w:sz w:val="24"/>
              </w:rPr>
              <w:t>电袋复合（</w:t>
            </w:r>
            <w:r>
              <w:rPr>
                <w:bCs/>
                <w:sz w:val="24"/>
              </w:rPr>
              <w:t>1</w:t>
            </w:r>
            <w:r>
              <w:rPr>
                <w:bCs/>
                <w:sz w:val="24"/>
              </w:rPr>
              <w:t>电</w:t>
            </w:r>
            <w:r>
              <w:rPr>
                <w:bCs/>
                <w:sz w:val="24"/>
              </w:rPr>
              <w:t>3</w:t>
            </w:r>
            <w:r>
              <w:rPr>
                <w:bCs/>
                <w:sz w:val="24"/>
              </w:rPr>
              <w:t>布袋）除尘器</w:t>
            </w:r>
            <w:r>
              <w:rPr>
                <w:bCs/>
                <w:sz w:val="24"/>
              </w:rPr>
              <w:t>”</w:t>
            </w:r>
            <w:r>
              <w:rPr>
                <w:bCs/>
                <w:sz w:val="24"/>
              </w:rPr>
              <w:t>方法处理后通过</w:t>
            </w:r>
            <w:r>
              <w:rPr>
                <w:bCs/>
                <w:sz w:val="24"/>
              </w:rPr>
              <w:t>125m</w:t>
            </w:r>
            <w:r>
              <w:rPr>
                <w:bCs/>
                <w:sz w:val="24"/>
              </w:rPr>
              <w:t>排气筒排放；窑头烧成废气主要为颗粒物，经</w:t>
            </w:r>
            <w:r>
              <w:rPr>
                <w:bCs/>
                <w:sz w:val="24"/>
              </w:rPr>
              <w:t>1</w:t>
            </w:r>
            <w:r>
              <w:rPr>
                <w:bCs/>
                <w:sz w:val="24"/>
              </w:rPr>
              <w:t>个静电收集仓</w:t>
            </w:r>
            <w:r>
              <w:rPr>
                <w:bCs/>
                <w:sz w:val="24"/>
              </w:rPr>
              <w:t>+3</w:t>
            </w:r>
            <w:r>
              <w:rPr>
                <w:bCs/>
                <w:sz w:val="24"/>
              </w:rPr>
              <w:t>个布袋收集仓电袋复合</w:t>
            </w:r>
            <w:r>
              <w:rPr>
                <w:bCs/>
                <w:sz w:val="24"/>
              </w:rPr>
              <w:lastRenderedPageBreak/>
              <w:t>除尘器处理后由</w:t>
            </w:r>
            <w:r>
              <w:rPr>
                <w:bCs/>
                <w:sz w:val="24"/>
              </w:rPr>
              <w:t>1</w:t>
            </w:r>
            <w:r>
              <w:rPr>
                <w:bCs/>
                <w:sz w:val="24"/>
              </w:rPr>
              <w:t>根</w:t>
            </w:r>
            <w:r>
              <w:rPr>
                <w:bCs/>
                <w:sz w:val="24"/>
              </w:rPr>
              <w:t>34</w:t>
            </w:r>
            <w:r>
              <w:rPr>
                <w:bCs/>
                <w:sz w:val="24"/>
              </w:rPr>
              <w:t>米高排气筒排放。</w:t>
            </w:r>
          </w:p>
          <w:p w14:paraId="730F3FEA" w14:textId="77777777" w:rsidR="00F76A63" w:rsidRDefault="00000000">
            <w:pPr>
              <w:spacing w:line="500" w:lineRule="exact"/>
              <w:ind w:firstLineChars="200" w:firstLine="480"/>
              <w:rPr>
                <w:bCs/>
                <w:sz w:val="24"/>
              </w:rPr>
            </w:pPr>
            <w:r>
              <w:rPr>
                <w:bCs/>
                <w:sz w:val="24"/>
              </w:rPr>
              <w:t>无组织排放产生于原料、燃料的装卸和堆放时的扬尘，排放点主要为物料堆场、厂区道路（物料运输）、物料转运点等。其中，生料配料、生料均化库顶和库底、熟料库顶以及各转运点等粉尘无组织排放源均设置除尘装置，将大部分无组织排放纳入除尘系统，使之成为有组织排放；各物料堆棚，定时洒水降尘；对入厂原料运输车辆，所有物料用篷布覆盖，减少物料的飞扬和撒落；定时对进厂道路洒水降尘，采取了上述措施，减少了无组织排放。</w:t>
            </w:r>
          </w:p>
          <w:p w14:paraId="2B13DF3C" w14:textId="77777777" w:rsidR="00F76A63" w:rsidRDefault="00000000">
            <w:pPr>
              <w:spacing w:line="500" w:lineRule="exact"/>
              <w:ind w:firstLineChars="200" w:firstLine="480"/>
              <w:rPr>
                <w:bCs/>
                <w:sz w:val="24"/>
              </w:rPr>
            </w:pPr>
            <w:r>
              <w:rPr>
                <w:rFonts w:hint="eastAsia"/>
                <w:bCs/>
                <w:sz w:val="24"/>
              </w:rPr>
              <w:t>1</w:t>
            </w:r>
            <w:r>
              <w:rPr>
                <w:rFonts w:hint="eastAsia"/>
                <w:bCs/>
                <w:sz w:val="24"/>
              </w:rPr>
              <w:t>、</w:t>
            </w:r>
            <w:r>
              <w:rPr>
                <w:bCs/>
                <w:sz w:val="24"/>
              </w:rPr>
              <w:t>有组织废气</w:t>
            </w:r>
          </w:p>
          <w:p w14:paraId="3467C881" w14:textId="77777777" w:rsidR="00F76A63" w:rsidRDefault="00000000">
            <w:pPr>
              <w:spacing w:line="500" w:lineRule="exact"/>
              <w:ind w:firstLineChars="200" w:firstLine="480"/>
              <w:rPr>
                <w:bCs/>
                <w:sz w:val="24"/>
              </w:rPr>
            </w:pPr>
            <w:r>
              <w:rPr>
                <w:rFonts w:ascii="Cambria Math" w:hAnsi="Cambria Math" w:cs="Cambria Math"/>
                <w:bCs/>
                <w:sz w:val="24"/>
              </w:rPr>
              <w:t>①</w:t>
            </w:r>
            <w:r>
              <w:rPr>
                <w:bCs/>
                <w:sz w:val="24"/>
              </w:rPr>
              <w:t>现有项目废气治理设施情况见表</w:t>
            </w:r>
            <w:r>
              <w:rPr>
                <w:bCs/>
                <w:sz w:val="24"/>
              </w:rPr>
              <w:t>2-42</w:t>
            </w:r>
            <w:r>
              <w:rPr>
                <w:bCs/>
                <w:sz w:val="24"/>
              </w:rPr>
              <w:t>。</w:t>
            </w:r>
          </w:p>
          <w:p w14:paraId="0C83D030" w14:textId="77777777" w:rsidR="00F76A63" w:rsidRDefault="00000000">
            <w:pPr>
              <w:spacing w:line="500" w:lineRule="exact"/>
              <w:jc w:val="center"/>
              <w:rPr>
                <w:b/>
                <w:bCs/>
                <w:sz w:val="24"/>
              </w:rPr>
            </w:pPr>
            <w:r>
              <w:rPr>
                <w:b/>
                <w:bCs/>
                <w:sz w:val="24"/>
              </w:rPr>
              <w:t>表</w:t>
            </w:r>
            <w:r>
              <w:rPr>
                <w:b/>
                <w:bCs/>
                <w:sz w:val="24"/>
              </w:rPr>
              <w:t xml:space="preserve">2-42  </w:t>
            </w:r>
            <w:r>
              <w:rPr>
                <w:b/>
                <w:bCs/>
                <w:sz w:val="24"/>
              </w:rPr>
              <w:t>主要废气治理设施</w:t>
            </w:r>
          </w:p>
          <w:tbl>
            <w:tblPr>
              <w:tblW w:w="5000" w:type="pct"/>
              <w:jc w:val="center"/>
              <w:tblBorders>
                <w:top w:val="single" w:sz="12" w:space="0" w:color="auto"/>
                <w:bottom w:val="single" w:sz="12" w:space="0" w:color="auto"/>
                <w:insideH w:val="single" w:sz="6" w:space="0" w:color="auto"/>
                <w:insideV w:val="single" w:sz="6" w:space="0" w:color="auto"/>
              </w:tblBorders>
              <w:tblLook w:val="04A0" w:firstRow="1" w:lastRow="0" w:firstColumn="1" w:lastColumn="0" w:noHBand="0" w:noVBand="1"/>
            </w:tblPr>
            <w:tblGrid>
              <w:gridCol w:w="826"/>
              <w:gridCol w:w="1276"/>
              <w:gridCol w:w="1763"/>
              <w:gridCol w:w="1559"/>
              <w:gridCol w:w="1043"/>
              <w:gridCol w:w="937"/>
              <w:gridCol w:w="773"/>
            </w:tblGrid>
            <w:tr w:rsidR="00F76A63" w14:paraId="331E9338" w14:textId="77777777">
              <w:trPr>
                <w:trHeight w:val="611"/>
                <w:jc w:val="center"/>
              </w:trPr>
              <w:tc>
                <w:tcPr>
                  <w:tcW w:w="510" w:type="pct"/>
                  <w:tcBorders>
                    <w:top w:val="single" w:sz="12" w:space="0" w:color="auto"/>
                    <w:left w:val="nil"/>
                    <w:bottom w:val="single" w:sz="6" w:space="0" w:color="auto"/>
                    <w:right w:val="single" w:sz="6" w:space="0" w:color="auto"/>
                  </w:tcBorders>
                  <w:vAlign w:val="center"/>
                </w:tcPr>
                <w:p w14:paraId="37D67451" w14:textId="77777777" w:rsidR="00F76A63" w:rsidRDefault="00000000">
                  <w:pPr>
                    <w:jc w:val="center"/>
                    <w:rPr>
                      <w:b/>
                      <w:sz w:val="18"/>
                      <w:szCs w:val="18"/>
                    </w:rPr>
                  </w:pPr>
                  <w:r>
                    <w:rPr>
                      <w:b/>
                      <w:sz w:val="18"/>
                      <w:szCs w:val="18"/>
                    </w:rPr>
                    <w:t>排放口编号</w:t>
                  </w:r>
                </w:p>
              </w:tc>
              <w:tc>
                <w:tcPr>
                  <w:tcW w:w="785" w:type="pct"/>
                  <w:tcBorders>
                    <w:top w:val="single" w:sz="12" w:space="0" w:color="auto"/>
                    <w:left w:val="single" w:sz="6" w:space="0" w:color="auto"/>
                    <w:bottom w:val="single" w:sz="6" w:space="0" w:color="auto"/>
                    <w:right w:val="single" w:sz="6" w:space="0" w:color="auto"/>
                  </w:tcBorders>
                  <w:vAlign w:val="center"/>
                </w:tcPr>
                <w:p w14:paraId="393907B7" w14:textId="77777777" w:rsidR="00F76A63" w:rsidRDefault="00000000">
                  <w:pPr>
                    <w:jc w:val="center"/>
                    <w:rPr>
                      <w:b/>
                      <w:sz w:val="18"/>
                      <w:szCs w:val="18"/>
                    </w:rPr>
                  </w:pPr>
                  <w:r>
                    <w:rPr>
                      <w:b/>
                      <w:sz w:val="18"/>
                      <w:szCs w:val="18"/>
                    </w:rPr>
                    <w:t>排放口名称</w:t>
                  </w:r>
                </w:p>
              </w:tc>
              <w:tc>
                <w:tcPr>
                  <w:tcW w:w="1083" w:type="pct"/>
                  <w:tcBorders>
                    <w:top w:val="single" w:sz="12" w:space="0" w:color="auto"/>
                    <w:left w:val="single" w:sz="6" w:space="0" w:color="auto"/>
                    <w:bottom w:val="single" w:sz="6" w:space="0" w:color="auto"/>
                    <w:right w:val="single" w:sz="6" w:space="0" w:color="auto"/>
                  </w:tcBorders>
                  <w:vAlign w:val="center"/>
                </w:tcPr>
                <w:p w14:paraId="5BE9CB79" w14:textId="77777777" w:rsidR="00F76A63" w:rsidRDefault="00000000">
                  <w:pPr>
                    <w:jc w:val="center"/>
                    <w:rPr>
                      <w:b/>
                      <w:sz w:val="18"/>
                      <w:szCs w:val="18"/>
                    </w:rPr>
                  </w:pPr>
                  <w:r>
                    <w:rPr>
                      <w:b/>
                      <w:sz w:val="18"/>
                      <w:szCs w:val="18"/>
                    </w:rPr>
                    <w:t>污染物种类</w:t>
                  </w:r>
                </w:p>
              </w:tc>
              <w:tc>
                <w:tcPr>
                  <w:tcW w:w="958" w:type="pct"/>
                  <w:tcBorders>
                    <w:top w:val="single" w:sz="12" w:space="0" w:color="auto"/>
                    <w:left w:val="single" w:sz="6" w:space="0" w:color="auto"/>
                    <w:bottom w:val="single" w:sz="6" w:space="0" w:color="auto"/>
                    <w:right w:val="single" w:sz="6" w:space="0" w:color="auto"/>
                  </w:tcBorders>
                  <w:vAlign w:val="center"/>
                </w:tcPr>
                <w:p w14:paraId="332FD28D" w14:textId="77777777" w:rsidR="00F76A63" w:rsidRDefault="00000000">
                  <w:pPr>
                    <w:jc w:val="center"/>
                    <w:rPr>
                      <w:b/>
                      <w:sz w:val="18"/>
                      <w:szCs w:val="18"/>
                    </w:rPr>
                  </w:pPr>
                  <w:r>
                    <w:rPr>
                      <w:b/>
                      <w:sz w:val="18"/>
                      <w:szCs w:val="18"/>
                    </w:rPr>
                    <w:t>污染治理设施</w:t>
                  </w:r>
                </w:p>
              </w:tc>
              <w:tc>
                <w:tcPr>
                  <w:tcW w:w="642" w:type="pct"/>
                  <w:tcBorders>
                    <w:top w:val="single" w:sz="12" w:space="0" w:color="auto"/>
                    <w:left w:val="single" w:sz="6" w:space="0" w:color="auto"/>
                    <w:bottom w:val="single" w:sz="6" w:space="0" w:color="auto"/>
                    <w:right w:val="single" w:sz="6" w:space="0" w:color="auto"/>
                  </w:tcBorders>
                  <w:vAlign w:val="center"/>
                </w:tcPr>
                <w:p w14:paraId="4CAD2CC9" w14:textId="77777777" w:rsidR="00F76A63" w:rsidRDefault="00000000">
                  <w:pPr>
                    <w:jc w:val="center"/>
                    <w:rPr>
                      <w:b/>
                      <w:sz w:val="18"/>
                      <w:szCs w:val="18"/>
                    </w:rPr>
                  </w:pPr>
                  <w:r>
                    <w:rPr>
                      <w:b/>
                      <w:sz w:val="18"/>
                      <w:szCs w:val="18"/>
                    </w:rPr>
                    <w:t>排气筒高度（</w:t>
                  </w:r>
                  <w:r>
                    <w:rPr>
                      <w:b/>
                      <w:sz w:val="18"/>
                      <w:szCs w:val="18"/>
                    </w:rPr>
                    <w:t>m</w:t>
                  </w:r>
                  <w:r>
                    <w:rPr>
                      <w:b/>
                      <w:sz w:val="18"/>
                      <w:szCs w:val="18"/>
                    </w:rPr>
                    <w:t>）</w:t>
                  </w:r>
                </w:p>
              </w:tc>
              <w:tc>
                <w:tcPr>
                  <w:tcW w:w="577" w:type="pct"/>
                  <w:tcBorders>
                    <w:top w:val="single" w:sz="12" w:space="0" w:color="auto"/>
                    <w:left w:val="single" w:sz="6" w:space="0" w:color="auto"/>
                    <w:bottom w:val="single" w:sz="6" w:space="0" w:color="auto"/>
                    <w:right w:val="single" w:sz="6" w:space="0" w:color="auto"/>
                  </w:tcBorders>
                  <w:vAlign w:val="center"/>
                </w:tcPr>
                <w:p w14:paraId="2A9BF263" w14:textId="77777777" w:rsidR="00F76A63" w:rsidRDefault="00000000">
                  <w:pPr>
                    <w:jc w:val="center"/>
                    <w:rPr>
                      <w:b/>
                      <w:sz w:val="18"/>
                      <w:szCs w:val="18"/>
                    </w:rPr>
                  </w:pPr>
                  <w:r>
                    <w:rPr>
                      <w:b/>
                      <w:sz w:val="18"/>
                      <w:szCs w:val="18"/>
                    </w:rPr>
                    <w:t>排气筒内径（</w:t>
                  </w:r>
                  <w:r>
                    <w:rPr>
                      <w:b/>
                      <w:sz w:val="18"/>
                      <w:szCs w:val="18"/>
                    </w:rPr>
                    <w:t>m</w:t>
                  </w:r>
                  <w:r>
                    <w:rPr>
                      <w:b/>
                      <w:sz w:val="18"/>
                      <w:szCs w:val="18"/>
                    </w:rPr>
                    <w:t>）</w:t>
                  </w:r>
                </w:p>
              </w:tc>
              <w:tc>
                <w:tcPr>
                  <w:tcW w:w="445" w:type="pct"/>
                  <w:tcBorders>
                    <w:top w:val="single" w:sz="12" w:space="0" w:color="auto"/>
                    <w:left w:val="single" w:sz="6" w:space="0" w:color="auto"/>
                    <w:bottom w:val="single" w:sz="6" w:space="0" w:color="auto"/>
                    <w:right w:val="nil"/>
                  </w:tcBorders>
                  <w:vAlign w:val="center"/>
                </w:tcPr>
                <w:p w14:paraId="3BAE91DD" w14:textId="77777777" w:rsidR="00F76A63" w:rsidRDefault="00000000">
                  <w:pPr>
                    <w:jc w:val="center"/>
                    <w:rPr>
                      <w:b/>
                      <w:sz w:val="18"/>
                      <w:szCs w:val="18"/>
                    </w:rPr>
                  </w:pPr>
                  <w:r>
                    <w:rPr>
                      <w:b/>
                      <w:sz w:val="18"/>
                      <w:szCs w:val="18"/>
                    </w:rPr>
                    <w:t>排气温度（</w:t>
                  </w:r>
                  <w:r>
                    <w:rPr>
                      <w:b/>
                      <w:sz w:val="18"/>
                      <w:szCs w:val="18"/>
                    </w:rPr>
                    <w:t>℃</w:t>
                  </w:r>
                  <w:r>
                    <w:rPr>
                      <w:b/>
                      <w:sz w:val="18"/>
                      <w:szCs w:val="18"/>
                    </w:rPr>
                    <w:t>）</w:t>
                  </w:r>
                </w:p>
              </w:tc>
            </w:tr>
            <w:tr w:rsidR="00F76A63" w14:paraId="7FACCB1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7028D35" w14:textId="77777777" w:rsidR="00F76A63" w:rsidRDefault="00000000">
                  <w:pPr>
                    <w:jc w:val="center"/>
                    <w:rPr>
                      <w:bCs/>
                      <w:sz w:val="18"/>
                      <w:szCs w:val="18"/>
                    </w:rPr>
                  </w:pPr>
                  <w:r>
                    <w:rPr>
                      <w:bCs/>
                      <w:sz w:val="18"/>
                      <w:szCs w:val="18"/>
                    </w:rPr>
                    <w:t>DA001</w:t>
                  </w:r>
                </w:p>
              </w:tc>
              <w:tc>
                <w:tcPr>
                  <w:tcW w:w="785" w:type="pct"/>
                  <w:tcBorders>
                    <w:top w:val="single" w:sz="6" w:space="0" w:color="auto"/>
                    <w:left w:val="single" w:sz="6" w:space="0" w:color="auto"/>
                    <w:bottom w:val="single" w:sz="6" w:space="0" w:color="auto"/>
                    <w:right w:val="single" w:sz="6" w:space="0" w:color="auto"/>
                  </w:tcBorders>
                  <w:vAlign w:val="center"/>
                </w:tcPr>
                <w:p w14:paraId="77EFF721" w14:textId="77777777" w:rsidR="00F76A63" w:rsidRDefault="00000000">
                  <w:pPr>
                    <w:jc w:val="center"/>
                    <w:rPr>
                      <w:bCs/>
                      <w:sz w:val="18"/>
                      <w:szCs w:val="18"/>
                    </w:rPr>
                  </w:pPr>
                  <w:r>
                    <w:rPr>
                      <w:bCs/>
                      <w:sz w:val="18"/>
                      <w:szCs w:val="18"/>
                    </w:rPr>
                    <w:t>3#</w:t>
                  </w:r>
                  <w:r>
                    <w:rPr>
                      <w:bCs/>
                      <w:sz w:val="18"/>
                      <w:szCs w:val="18"/>
                    </w:rPr>
                    <w:t>水泥磨</w:t>
                  </w:r>
                </w:p>
              </w:tc>
              <w:tc>
                <w:tcPr>
                  <w:tcW w:w="1083" w:type="pct"/>
                  <w:tcBorders>
                    <w:top w:val="single" w:sz="6" w:space="0" w:color="auto"/>
                    <w:left w:val="single" w:sz="6" w:space="0" w:color="auto"/>
                    <w:bottom w:val="single" w:sz="6" w:space="0" w:color="auto"/>
                    <w:right w:val="single" w:sz="6" w:space="0" w:color="auto"/>
                  </w:tcBorders>
                  <w:vAlign w:val="center"/>
                </w:tcPr>
                <w:p w14:paraId="4BE894C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49FECB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648BCDC" w14:textId="77777777" w:rsidR="00F76A63" w:rsidRDefault="00000000">
                  <w:pPr>
                    <w:jc w:val="center"/>
                    <w:rPr>
                      <w:bCs/>
                      <w:sz w:val="18"/>
                      <w:szCs w:val="18"/>
                    </w:rPr>
                  </w:pPr>
                  <w:r>
                    <w:rPr>
                      <w:bCs/>
                      <w:sz w:val="18"/>
                      <w:szCs w:val="18"/>
                    </w:rPr>
                    <w:t>50.8</w:t>
                  </w:r>
                </w:p>
              </w:tc>
              <w:tc>
                <w:tcPr>
                  <w:tcW w:w="577" w:type="pct"/>
                  <w:tcBorders>
                    <w:top w:val="single" w:sz="6" w:space="0" w:color="auto"/>
                    <w:left w:val="single" w:sz="6" w:space="0" w:color="auto"/>
                    <w:bottom w:val="single" w:sz="6" w:space="0" w:color="auto"/>
                    <w:right w:val="single" w:sz="6" w:space="0" w:color="auto"/>
                  </w:tcBorders>
                  <w:vAlign w:val="center"/>
                </w:tcPr>
                <w:p w14:paraId="5F822D58" w14:textId="77777777" w:rsidR="00F76A63" w:rsidRDefault="00000000">
                  <w:pPr>
                    <w:jc w:val="center"/>
                    <w:rPr>
                      <w:bCs/>
                      <w:sz w:val="18"/>
                      <w:szCs w:val="18"/>
                    </w:rPr>
                  </w:pPr>
                  <w:r>
                    <w:rPr>
                      <w:bCs/>
                      <w:sz w:val="18"/>
                      <w:szCs w:val="18"/>
                    </w:rPr>
                    <w:t>2.43</w:t>
                  </w:r>
                </w:p>
              </w:tc>
              <w:tc>
                <w:tcPr>
                  <w:tcW w:w="445" w:type="pct"/>
                  <w:tcBorders>
                    <w:top w:val="single" w:sz="6" w:space="0" w:color="auto"/>
                    <w:left w:val="single" w:sz="6" w:space="0" w:color="auto"/>
                    <w:bottom w:val="single" w:sz="6" w:space="0" w:color="auto"/>
                    <w:right w:val="nil"/>
                  </w:tcBorders>
                  <w:vAlign w:val="center"/>
                </w:tcPr>
                <w:p w14:paraId="201278B0" w14:textId="77777777" w:rsidR="00F76A63" w:rsidRDefault="00000000">
                  <w:pPr>
                    <w:jc w:val="center"/>
                    <w:rPr>
                      <w:bCs/>
                      <w:sz w:val="18"/>
                      <w:szCs w:val="18"/>
                    </w:rPr>
                  </w:pPr>
                  <w:r>
                    <w:rPr>
                      <w:bCs/>
                      <w:sz w:val="18"/>
                      <w:szCs w:val="18"/>
                    </w:rPr>
                    <w:t>110</w:t>
                  </w:r>
                </w:p>
              </w:tc>
            </w:tr>
            <w:tr w:rsidR="00F76A63" w14:paraId="180486AC"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2F8BC7A" w14:textId="77777777" w:rsidR="00F76A63" w:rsidRDefault="00000000">
                  <w:pPr>
                    <w:jc w:val="center"/>
                    <w:rPr>
                      <w:bCs/>
                      <w:sz w:val="18"/>
                      <w:szCs w:val="18"/>
                    </w:rPr>
                  </w:pPr>
                  <w:r>
                    <w:rPr>
                      <w:bCs/>
                      <w:sz w:val="18"/>
                      <w:szCs w:val="18"/>
                    </w:rPr>
                    <w:t>DA002</w:t>
                  </w:r>
                </w:p>
              </w:tc>
              <w:tc>
                <w:tcPr>
                  <w:tcW w:w="785" w:type="pct"/>
                  <w:tcBorders>
                    <w:top w:val="single" w:sz="6" w:space="0" w:color="auto"/>
                    <w:left w:val="single" w:sz="6" w:space="0" w:color="auto"/>
                    <w:bottom w:val="single" w:sz="6" w:space="0" w:color="auto"/>
                    <w:right w:val="single" w:sz="6" w:space="0" w:color="auto"/>
                  </w:tcBorders>
                  <w:vAlign w:val="center"/>
                </w:tcPr>
                <w:p w14:paraId="3B635CED" w14:textId="77777777" w:rsidR="00F76A63" w:rsidRDefault="00000000">
                  <w:pPr>
                    <w:jc w:val="center"/>
                    <w:rPr>
                      <w:bCs/>
                      <w:sz w:val="18"/>
                      <w:szCs w:val="18"/>
                    </w:rPr>
                  </w:pPr>
                  <w:r>
                    <w:rPr>
                      <w:bCs/>
                      <w:sz w:val="18"/>
                      <w:szCs w:val="18"/>
                    </w:rPr>
                    <w:t>1#</w:t>
                  </w:r>
                  <w:r>
                    <w:rPr>
                      <w:bCs/>
                      <w:sz w:val="18"/>
                      <w:szCs w:val="18"/>
                    </w:rPr>
                    <w:t>水泥磨</w:t>
                  </w:r>
                </w:p>
              </w:tc>
              <w:tc>
                <w:tcPr>
                  <w:tcW w:w="1083" w:type="pct"/>
                  <w:tcBorders>
                    <w:top w:val="single" w:sz="6" w:space="0" w:color="auto"/>
                    <w:left w:val="single" w:sz="6" w:space="0" w:color="auto"/>
                    <w:bottom w:val="single" w:sz="6" w:space="0" w:color="auto"/>
                    <w:right w:val="single" w:sz="6" w:space="0" w:color="auto"/>
                  </w:tcBorders>
                  <w:vAlign w:val="center"/>
                </w:tcPr>
                <w:p w14:paraId="6DF0CA4F"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98E2D3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E695BD6"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5AF51E2C" w14:textId="77777777" w:rsidR="00F76A63" w:rsidRDefault="00000000">
                  <w:pPr>
                    <w:jc w:val="center"/>
                    <w:rPr>
                      <w:bCs/>
                      <w:sz w:val="18"/>
                      <w:szCs w:val="18"/>
                    </w:rPr>
                  </w:pPr>
                  <w:r>
                    <w:rPr>
                      <w:bCs/>
                      <w:sz w:val="18"/>
                      <w:szCs w:val="18"/>
                    </w:rPr>
                    <w:t>3.2</w:t>
                  </w:r>
                </w:p>
              </w:tc>
              <w:tc>
                <w:tcPr>
                  <w:tcW w:w="445" w:type="pct"/>
                  <w:tcBorders>
                    <w:top w:val="single" w:sz="6" w:space="0" w:color="auto"/>
                    <w:left w:val="single" w:sz="6" w:space="0" w:color="auto"/>
                    <w:bottom w:val="single" w:sz="6" w:space="0" w:color="auto"/>
                    <w:right w:val="nil"/>
                  </w:tcBorders>
                  <w:vAlign w:val="center"/>
                </w:tcPr>
                <w:p w14:paraId="08935A86" w14:textId="77777777" w:rsidR="00F76A63" w:rsidRDefault="00000000">
                  <w:pPr>
                    <w:jc w:val="center"/>
                    <w:rPr>
                      <w:bCs/>
                      <w:sz w:val="18"/>
                      <w:szCs w:val="18"/>
                    </w:rPr>
                  </w:pPr>
                  <w:r>
                    <w:rPr>
                      <w:bCs/>
                      <w:sz w:val="18"/>
                      <w:szCs w:val="18"/>
                    </w:rPr>
                    <w:t>110</w:t>
                  </w:r>
                </w:p>
              </w:tc>
            </w:tr>
            <w:tr w:rsidR="00F76A63" w14:paraId="571CCB0E"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0AF2C9C" w14:textId="77777777" w:rsidR="00F76A63" w:rsidRDefault="00000000">
                  <w:pPr>
                    <w:jc w:val="center"/>
                    <w:rPr>
                      <w:bCs/>
                      <w:sz w:val="18"/>
                      <w:szCs w:val="18"/>
                    </w:rPr>
                  </w:pPr>
                  <w:r>
                    <w:rPr>
                      <w:bCs/>
                      <w:sz w:val="18"/>
                      <w:szCs w:val="18"/>
                    </w:rPr>
                    <w:t>DA003</w:t>
                  </w:r>
                </w:p>
              </w:tc>
              <w:tc>
                <w:tcPr>
                  <w:tcW w:w="785" w:type="pct"/>
                  <w:tcBorders>
                    <w:top w:val="single" w:sz="6" w:space="0" w:color="auto"/>
                    <w:left w:val="single" w:sz="6" w:space="0" w:color="auto"/>
                    <w:bottom w:val="single" w:sz="6" w:space="0" w:color="auto"/>
                    <w:right w:val="single" w:sz="6" w:space="0" w:color="auto"/>
                  </w:tcBorders>
                  <w:vAlign w:val="center"/>
                </w:tcPr>
                <w:p w14:paraId="5B4F1205" w14:textId="77777777" w:rsidR="00F76A63" w:rsidRDefault="00000000">
                  <w:pPr>
                    <w:jc w:val="center"/>
                    <w:rPr>
                      <w:bCs/>
                      <w:sz w:val="18"/>
                      <w:szCs w:val="18"/>
                    </w:rPr>
                  </w:pPr>
                  <w:r>
                    <w:rPr>
                      <w:bCs/>
                      <w:sz w:val="18"/>
                      <w:szCs w:val="18"/>
                    </w:rPr>
                    <w:t>2#</w:t>
                  </w:r>
                  <w:r>
                    <w:rPr>
                      <w:bCs/>
                      <w:sz w:val="18"/>
                      <w:szCs w:val="18"/>
                    </w:rPr>
                    <w:t>水泥磨</w:t>
                  </w:r>
                </w:p>
              </w:tc>
              <w:tc>
                <w:tcPr>
                  <w:tcW w:w="1083" w:type="pct"/>
                  <w:tcBorders>
                    <w:top w:val="single" w:sz="6" w:space="0" w:color="auto"/>
                    <w:left w:val="single" w:sz="6" w:space="0" w:color="auto"/>
                    <w:bottom w:val="single" w:sz="6" w:space="0" w:color="auto"/>
                    <w:right w:val="single" w:sz="6" w:space="0" w:color="auto"/>
                  </w:tcBorders>
                  <w:vAlign w:val="center"/>
                </w:tcPr>
                <w:p w14:paraId="0373304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50EAB7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ED3DDA0"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30EA195E" w14:textId="77777777" w:rsidR="00F76A63" w:rsidRDefault="00000000">
                  <w:pPr>
                    <w:jc w:val="center"/>
                    <w:rPr>
                      <w:bCs/>
                      <w:sz w:val="18"/>
                      <w:szCs w:val="18"/>
                    </w:rPr>
                  </w:pPr>
                  <w:r>
                    <w:rPr>
                      <w:bCs/>
                      <w:sz w:val="18"/>
                      <w:szCs w:val="18"/>
                    </w:rPr>
                    <w:t>3.2</w:t>
                  </w:r>
                </w:p>
              </w:tc>
              <w:tc>
                <w:tcPr>
                  <w:tcW w:w="445" w:type="pct"/>
                  <w:tcBorders>
                    <w:top w:val="single" w:sz="6" w:space="0" w:color="auto"/>
                    <w:left w:val="single" w:sz="6" w:space="0" w:color="auto"/>
                    <w:bottom w:val="single" w:sz="6" w:space="0" w:color="auto"/>
                    <w:right w:val="nil"/>
                  </w:tcBorders>
                  <w:vAlign w:val="center"/>
                </w:tcPr>
                <w:p w14:paraId="1FDC079D" w14:textId="77777777" w:rsidR="00F76A63" w:rsidRDefault="00000000">
                  <w:pPr>
                    <w:jc w:val="center"/>
                    <w:rPr>
                      <w:bCs/>
                      <w:sz w:val="18"/>
                      <w:szCs w:val="18"/>
                    </w:rPr>
                  </w:pPr>
                  <w:r>
                    <w:rPr>
                      <w:bCs/>
                      <w:sz w:val="18"/>
                      <w:szCs w:val="18"/>
                    </w:rPr>
                    <w:t>110</w:t>
                  </w:r>
                </w:p>
              </w:tc>
            </w:tr>
            <w:tr w:rsidR="00F76A63" w14:paraId="102EF0D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6A6BAB2" w14:textId="77777777" w:rsidR="00F76A63" w:rsidRDefault="00000000">
                  <w:pPr>
                    <w:jc w:val="center"/>
                    <w:rPr>
                      <w:bCs/>
                      <w:sz w:val="18"/>
                      <w:szCs w:val="18"/>
                    </w:rPr>
                  </w:pPr>
                  <w:r>
                    <w:rPr>
                      <w:bCs/>
                      <w:sz w:val="18"/>
                      <w:szCs w:val="18"/>
                    </w:rPr>
                    <w:t>DA004</w:t>
                  </w:r>
                </w:p>
              </w:tc>
              <w:tc>
                <w:tcPr>
                  <w:tcW w:w="785" w:type="pct"/>
                  <w:tcBorders>
                    <w:top w:val="single" w:sz="6" w:space="0" w:color="auto"/>
                    <w:left w:val="single" w:sz="6" w:space="0" w:color="auto"/>
                    <w:bottom w:val="single" w:sz="6" w:space="0" w:color="auto"/>
                    <w:right w:val="single" w:sz="6" w:space="0" w:color="auto"/>
                  </w:tcBorders>
                  <w:vAlign w:val="center"/>
                </w:tcPr>
                <w:p w14:paraId="4554F3A3" w14:textId="77777777" w:rsidR="00F76A63" w:rsidRDefault="00000000">
                  <w:pPr>
                    <w:jc w:val="center"/>
                    <w:rPr>
                      <w:bCs/>
                      <w:sz w:val="18"/>
                      <w:szCs w:val="18"/>
                    </w:rPr>
                  </w:pPr>
                  <w:r>
                    <w:rPr>
                      <w:bCs/>
                      <w:sz w:val="18"/>
                      <w:szCs w:val="18"/>
                    </w:rPr>
                    <w:t>4#</w:t>
                  </w:r>
                  <w:r>
                    <w:rPr>
                      <w:bCs/>
                      <w:sz w:val="18"/>
                      <w:szCs w:val="18"/>
                    </w:rPr>
                    <w:t>水泥磨</w:t>
                  </w:r>
                </w:p>
              </w:tc>
              <w:tc>
                <w:tcPr>
                  <w:tcW w:w="1083" w:type="pct"/>
                  <w:tcBorders>
                    <w:top w:val="single" w:sz="6" w:space="0" w:color="auto"/>
                    <w:left w:val="single" w:sz="6" w:space="0" w:color="auto"/>
                    <w:bottom w:val="single" w:sz="6" w:space="0" w:color="auto"/>
                    <w:right w:val="single" w:sz="6" w:space="0" w:color="auto"/>
                  </w:tcBorders>
                  <w:vAlign w:val="center"/>
                </w:tcPr>
                <w:p w14:paraId="67139E2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6A784F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3A45A5D" w14:textId="77777777" w:rsidR="00F76A63" w:rsidRDefault="00000000">
                  <w:pPr>
                    <w:jc w:val="center"/>
                    <w:rPr>
                      <w:bCs/>
                      <w:sz w:val="18"/>
                      <w:szCs w:val="18"/>
                    </w:rPr>
                  </w:pPr>
                  <w:r>
                    <w:rPr>
                      <w:bCs/>
                      <w:sz w:val="18"/>
                      <w:szCs w:val="18"/>
                    </w:rPr>
                    <w:t>36</w:t>
                  </w:r>
                </w:p>
              </w:tc>
              <w:tc>
                <w:tcPr>
                  <w:tcW w:w="577" w:type="pct"/>
                  <w:tcBorders>
                    <w:top w:val="single" w:sz="6" w:space="0" w:color="auto"/>
                    <w:left w:val="single" w:sz="6" w:space="0" w:color="auto"/>
                    <w:bottom w:val="single" w:sz="6" w:space="0" w:color="auto"/>
                    <w:right w:val="single" w:sz="6" w:space="0" w:color="auto"/>
                  </w:tcBorders>
                  <w:vAlign w:val="center"/>
                </w:tcPr>
                <w:p w14:paraId="232B4D78" w14:textId="77777777" w:rsidR="00F76A63" w:rsidRDefault="00000000">
                  <w:pPr>
                    <w:jc w:val="center"/>
                    <w:rPr>
                      <w:bCs/>
                      <w:sz w:val="18"/>
                      <w:szCs w:val="18"/>
                    </w:rPr>
                  </w:pPr>
                  <w:r>
                    <w:rPr>
                      <w:bCs/>
                      <w:sz w:val="18"/>
                      <w:szCs w:val="18"/>
                    </w:rPr>
                    <w:t>2.4</w:t>
                  </w:r>
                </w:p>
              </w:tc>
              <w:tc>
                <w:tcPr>
                  <w:tcW w:w="445" w:type="pct"/>
                  <w:tcBorders>
                    <w:top w:val="single" w:sz="6" w:space="0" w:color="auto"/>
                    <w:left w:val="single" w:sz="6" w:space="0" w:color="auto"/>
                    <w:bottom w:val="single" w:sz="6" w:space="0" w:color="auto"/>
                    <w:right w:val="nil"/>
                  </w:tcBorders>
                  <w:vAlign w:val="center"/>
                </w:tcPr>
                <w:p w14:paraId="4F47CA76" w14:textId="77777777" w:rsidR="00F76A63" w:rsidRDefault="00000000">
                  <w:pPr>
                    <w:jc w:val="center"/>
                    <w:rPr>
                      <w:bCs/>
                      <w:sz w:val="18"/>
                      <w:szCs w:val="18"/>
                    </w:rPr>
                  </w:pPr>
                  <w:r>
                    <w:rPr>
                      <w:bCs/>
                      <w:sz w:val="18"/>
                      <w:szCs w:val="18"/>
                    </w:rPr>
                    <w:t>86</w:t>
                  </w:r>
                </w:p>
              </w:tc>
            </w:tr>
            <w:tr w:rsidR="00F76A63" w14:paraId="39F0607A" w14:textId="77777777">
              <w:trPr>
                <w:trHeight w:val="442"/>
                <w:jc w:val="center"/>
              </w:trPr>
              <w:tc>
                <w:tcPr>
                  <w:tcW w:w="510" w:type="pct"/>
                  <w:tcBorders>
                    <w:top w:val="single" w:sz="6" w:space="0" w:color="auto"/>
                    <w:left w:val="nil"/>
                    <w:bottom w:val="single" w:sz="6" w:space="0" w:color="auto"/>
                    <w:right w:val="single" w:sz="6" w:space="0" w:color="auto"/>
                  </w:tcBorders>
                  <w:vAlign w:val="center"/>
                </w:tcPr>
                <w:p w14:paraId="73DAA8D1" w14:textId="77777777" w:rsidR="00F76A63" w:rsidRDefault="00000000">
                  <w:pPr>
                    <w:jc w:val="center"/>
                    <w:rPr>
                      <w:bCs/>
                      <w:sz w:val="18"/>
                      <w:szCs w:val="18"/>
                    </w:rPr>
                  </w:pPr>
                  <w:r>
                    <w:rPr>
                      <w:bCs/>
                      <w:sz w:val="18"/>
                      <w:szCs w:val="18"/>
                    </w:rPr>
                    <w:t>DA005</w:t>
                  </w:r>
                </w:p>
              </w:tc>
              <w:tc>
                <w:tcPr>
                  <w:tcW w:w="785" w:type="pct"/>
                  <w:tcBorders>
                    <w:top w:val="single" w:sz="6" w:space="0" w:color="auto"/>
                    <w:left w:val="single" w:sz="6" w:space="0" w:color="auto"/>
                    <w:bottom w:val="single" w:sz="6" w:space="0" w:color="auto"/>
                    <w:right w:val="single" w:sz="6" w:space="0" w:color="auto"/>
                  </w:tcBorders>
                  <w:vAlign w:val="center"/>
                </w:tcPr>
                <w:p w14:paraId="268B6106" w14:textId="77777777" w:rsidR="00F76A63" w:rsidRDefault="00000000">
                  <w:pPr>
                    <w:jc w:val="center"/>
                    <w:rPr>
                      <w:bCs/>
                      <w:sz w:val="18"/>
                      <w:szCs w:val="18"/>
                    </w:rPr>
                  </w:pPr>
                  <w:r>
                    <w:rPr>
                      <w:bCs/>
                      <w:sz w:val="18"/>
                      <w:szCs w:val="18"/>
                    </w:rPr>
                    <w:t>1#</w:t>
                  </w:r>
                  <w:r>
                    <w:rPr>
                      <w:bCs/>
                      <w:sz w:val="18"/>
                      <w:szCs w:val="18"/>
                    </w:rPr>
                    <w:t>预热器喂料斗提</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4C15E9D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FB89B9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83602CA" w14:textId="77777777" w:rsidR="00F76A63" w:rsidRDefault="00000000">
                  <w:pPr>
                    <w:jc w:val="center"/>
                    <w:rPr>
                      <w:bCs/>
                      <w:sz w:val="18"/>
                      <w:szCs w:val="18"/>
                    </w:rPr>
                  </w:pPr>
                  <w:r>
                    <w:rPr>
                      <w:bCs/>
                      <w:sz w:val="18"/>
                      <w:szCs w:val="18"/>
                    </w:rPr>
                    <w:t>95</w:t>
                  </w:r>
                </w:p>
              </w:tc>
              <w:tc>
                <w:tcPr>
                  <w:tcW w:w="577" w:type="pct"/>
                  <w:tcBorders>
                    <w:top w:val="single" w:sz="6" w:space="0" w:color="auto"/>
                    <w:left w:val="single" w:sz="6" w:space="0" w:color="auto"/>
                    <w:bottom w:val="single" w:sz="6" w:space="0" w:color="auto"/>
                    <w:right w:val="single" w:sz="6" w:space="0" w:color="auto"/>
                  </w:tcBorders>
                  <w:vAlign w:val="center"/>
                </w:tcPr>
                <w:p w14:paraId="7B15E0DC"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11606431" w14:textId="77777777" w:rsidR="00F76A63" w:rsidRDefault="00000000">
                  <w:pPr>
                    <w:jc w:val="center"/>
                    <w:rPr>
                      <w:bCs/>
                      <w:sz w:val="18"/>
                      <w:szCs w:val="18"/>
                    </w:rPr>
                  </w:pPr>
                  <w:r>
                    <w:rPr>
                      <w:bCs/>
                      <w:sz w:val="18"/>
                      <w:szCs w:val="18"/>
                    </w:rPr>
                    <w:t>常温</w:t>
                  </w:r>
                </w:p>
              </w:tc>
            </w:tr>
            <w:tr w:rsidR="00F76A63" w14:paraId="6D17F4D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5B1F665" w14:textId="77777777" w:rsidR="00F76A63" w:rsidRDefault="00000000">
                  <w:pPr>
                    <w:jc w:val="center"/>
                    <w:rPr>
                      <w:bCs/>
                      <w:sz w:val="18"/>
                      <w:szCs w:val="18"/>
                    </w:rPr>
                  </w:pPr>
                  <w:r>
                    <w:rPr>
                      <w:bCs/>
                      <w:sz w:val="18"/>
                      <w:szCs w:val="18"/>
                    </w:rPr>
                    <w:t>DA006</w:t>
                  </w:r>
                </w:p>
              </w:tc>
              <w:tc>
                <w:tcPr>
                  <w:tcW w:w="785" w:type="pct"/>
                  <w:tcBorders>
                    <w:top w:val="single" w:sz="6" w:space="0" w:color="auto"/>
                    <w:left w:val="single" w:sz="6" w:space="0" w:color="auto"/>
                    <w:bottom w:val="single" w:sz="6" w:space="0" w:color="auto"/>
                    <w:right w:val="single" w:sz="6" w:space="0" w:color="auto"/>
                  </w:tcBorders>
                  <w:vAlign w:val="center"/>
                </w:tcPr>
                <w:p w14:paraId="274664DF" w14:textId="77777777" w:rsidR="00F76A63" w:rsidRDefault="00000000">
                  <w:pPr>
                    <w:jc w:val="center"/>
                    <w:rPr>
                      <w:bCs/>
                      <w:sz w:val="18"/>
                      <w:szCs w:val="18"/>
                    </w:rPr>
                  </w:pPr>
                  <w:r>
                    <w:rPr>
                      <w:bCs/>
                      <w:sz w:val="18"/>
                      <w:szCs w:val="18"/>
                    </w:rPr>
                    <w:t>1#</w:t>
                  </w:r>
                  <w:r>
                    <w:rPr>
                      <w:bCs/>
                      <w:sz w:val="18"/>
                      <w:szCs w:val="18"/>
                    </w:rPr>
                    <w:t>预热器喂料斗提</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5298933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2551E9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6827C3D" w14:textId="77777777" w:rsidR="00F76A63" w:rsidRDefault="00000000">
                  <w:pPr>
                    <w:jc w:val="center"/>
                    <w:rPr>
                      <w:bCs/>
                      <w:sz w:val="18"/>
                      <w:szCs w:val="18"/>
                    </w:rPr>
                  </w:pPr>
                  <w:r>
                    <w:rPr>
                      <w:bCs/>
                      <w:sz w:val="18"/>
                      <w:szCs w:val="18"/>
                    </w:rPr>
                    <w:t>95</w:t>
                  </w:r>
                </w:p>
              </w:tc>
              <w:tc>
                <w:tcPr>
                  <w:tcW w:w="577" w:type="pct"/>
                  <w:tcBorders>
                    <w:top w:val="single" w:sz="6" w:space="0" w:color="auto"/>
                    <w:left w:val="single" w:sz="6" w:space="0" w:color="auto"/>
                    <w:bottom w:val="single" w:sz="6" w:space="0" w:color="auto"/>
                    <w:right w:val="single" w:sz="6" w:space="0" w:color="auto"/>
                  </w:tcBorders>
                  <w:vAlign w:val="center"/>
                </w:tcPr>
                <w:p w14:paraId="66E508A6"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7B89B5FF" w14:textId="77777777" w:rsidR="00F76A63" w:rsidRDefault="00000000">
                  <w:pPr>
                    <w:jc w:val="center"/>
                    <w:rPr>
                      <w:bCs/>
                      <w:sz w:val="18"/>
                      <w:szCs w:val="18"/>
                    </w:rPr>
                  </w:pPr>
                  <w:r>
                    <w:rPr>
                      <w:bCs/>
                      <w:sz w:val="18"/>
                      <w:szCs w:val="18"/>
                    </w:rPr>
                    <w:t>常温</w:t>
                  </w:r>
                </w:p>
              </w:tc>
            </w:tr>
            <w:tr w:rsidR="00F76A63" w14:paraId="70E6E01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B18CA06" w14:textId="77777777" w:rsidR="00F76A63" w:rsidRDefault="00000000">
                  <w:pPr>
                    <w:jc w:val="center"/>
                    <w:rPr>
                      <w:bCs/>
                      <w:sz w:val="18"/>
                      <w:szCs w:val="18"/>
                    </w:rPr>
                  </w:pPr>
                  <w:r>
                    <w:rPr>
                      <w:bCs/>
                      <w:sz w:val="18"/>
                      <w:szCs w:val="18"/>
                    </w:rPr>
                    <w:t>DA007</w:t>
                  </w:r>
                </w:p>
              </w:tc>
              <w:tc>
                <w:tcPr>
                  <w:tcW w:w="785" w:type="pct"/>
                  <w:tcBorders>
                    <w:top w:val="single" w:sz="6" w:space="0" w:color="auto"/>
                    <w:left w:val="single" w:sz="6" w:space="0" w:color="auto"/>
                    <w:bottom w:val="single" w:sz="6" w:space="0" w:color="auto"/>
                    <w:right w:val="single" w:sz="6" w:space="0" w:color="auto"/>
                  </w:tcBorders>
                  <w:vAlign w:val="center"/>
                </w:tcPr>
                <w:p w14:paraId="110B3401" w14:textId="77777777" w:rsidR="00F76A63" w:rsidRDefault="00000000">
                  <w:pPr>
                    <w:jc w:val="center"/>
                    <w:rPr>
                      <w:bCs/>
                      <w:sz w:val="18"/>
                      <w:szCs w:val="18"/>
                    </w:rPr>
                  </w:pPr>
                  <w:r>
                    <w:rPr>
                      <w:bCs/>
                      <w:sz w:val="18"/>
                      <w:szCs w:val="18"/>
                    </w:rPr>
                    <w:t>1#</w:t>
                  </w:r>
                  <w:r>
                    <w:rPr>
                      <w:bCs/>
                      <w:sz w:val="18"/>
                      <w:szCs w:val="18"/>
                    </w:rPr>
                    <w:t>熟料生产窑头</w:t>
                  </w:r>
                </w:p>
              </w:tc>
              <w:tc>
                <w:tcPr>
                  <w:tcW w:w="1083" w:type="pct"/>
                  <w:tcBorders>
                    <w:top w:val="single" w:sz="6" w:space="0" w:color="auto"/>
                    <w:left w:val="single" w:sz="6" w:space="0" w:color="auto"/>
                    <w:bottom w:val="single" w:sz="6" w:space="0" w:color="auto"/>
                    <w:right w:val="single" w:sz="6" w:space="0" w:color="auto"/>
                  </w:tcBorders>
                  <w:vAlign w:val="center"/>
                </w:tcPr>
                <w:p w14:paraId="75D6CC7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C6E398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BA2FE70"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7707E035" w14:textId="77777777" w:rsidR="00F76A63" w:rsidRDefault="00000000">
                  <w:pPr>
                    <w:jc w:val="center"/>
                    <w:rPr>
                      <w:bCs/>
                      <w:sz w:val="18"/>
                      <w:szCs w:val="18"/>
                    </w:rPr>
                  </w:pPr>
                  <w:r>
                    <w:rPr>
                      <w:bCs/>
                      <w:sz w:val="18"/>
                      <w:szCs w:val="18"/>
                    </w:rPr>
                    <w:t>4.09</w:t>
                  </w:r>
                </w:p>
              </w:tc>
              <w:tc>
                <w:tcPr>
                  <w:tcW w:w="445" w:type="pct"/>
                  <w:tcBorders>
                    <w:top w:val="single" w:sz="6" w:space="0" w:color="auto"/>
                    <w:left w:val="single" w:sz="6" w:space="0" w:color="auto"/>
                    <w:bottom w:val="single" w:sz="6" w:space="0" w:color="auto"/>
                    <w:right w:val="nil"/>
                  </w:tcBorders>
                  <w:vAlign w:val="center"/>
                </w:tcPr>
                <w:p w14:paraId="04314313" w14:textId="77777777" w:rsidR="00F76A63" w:rsidRDefault="00000000">
                  <w:pPr>
                    <w:jc w:val="center"/>
                    <w:rPr>
                      <w:bCs/>
                      <w:sz w:val="18"/>
                      <w:szCs w:val="18"/>
                    </w:rPr>
                  </w:pPr>
                  <w:r>
                    <w:rPr>
                      <w:bCs/>
                      <w:sz w:val="18"/>
                      <w:szCs w:val="18"/>
                    </w:rPr>
                    <w:t>100</w:t>
                  </w:r>
                </w:p>
              </w:tc>
            </w:tr>
            <w:tr w:rsidR="00F76A63" w14:paraId="51049DA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42F5799" w14:textId="77777777" w:rsidR="00F76A63" w:rsidRDefault="00000000">
                  <w:pPr>
                    <w:jc w:val="center"/>
                    <w:rPr>
                      <w:bCs/>
                      <w:sz w:val="18"/>
                      <w:szCs w:val="18"/>
                    </w:rPr>
                  </w:pPr>
                  <w:r>
                    <w:rPr>
                      <w:bCs/>
                      <w:sz w:val="18"/>
                      <w:szCs w:val="18"/>
                    </w:rPr>
                    <w:t>DA008</w:t>
                  </w:r>
                </w:p>
              </w:tc>
              <w:tc>
                <w:tcPr>
                  <w:tcW w:w="785" w:type="pct"/>
                  <w:tcBorders>
                    <w:top w:val="single" w:sz="6" w:space="0" w:color="auto"/>
                    <w:left w:val="single" w:sz="6" w:space="0" w:color="auto"/>
                    <w:bottom w:val="single" w:sz="6" w:space="0" w:color="auto"/>
                    <w:right w:val="single" w:sz="6" w:space="0" w:color="auto"/>
                  </w:tcBorders>
                  <w:vAlign w:val="center"/>
                </w:tcPr>
                <w:p w14:paraId="07407E00" w14:textId="77777777" w:rsidR="00F76A63" w:rsidRDefault="00000000">
                  <w:pPr>
                    <w:jc w:val="center"/>
                    <w:rPr>
                      <w:bCs/>
                      <w:sz w:val="18"/>
                      <w:szCs w:val="18"/>
                    </w:rPr>
                  </w:pPr>
                  <w:r>
                    <w:rPr>
                      <w:bCs/>
                      <w:sz w:val="18"/>
                      <w:szCs w:val="18"/>
                    </w:rPr>
                    <w:t>1#</w:t>
                  </w:r>
                  <w:r>
                    <w:rPr>
                      <w:bCs/>
                      <w:sz w:val="18"/>
                      <w:szCs w:val="18"/>
                    </w:rPr>
                    <w:t>熟料库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502E6B5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FD7C77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40AD254"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1E33B4AA" w14:textId="77777777" w:rsidR="00F76A63" w:rsidRDefault="00000000">
                  <w:pPr>
                    <w:jc w:val="center"/>
                    <w:rPr>
                      <w:bCs/>
                      <w:sz w:val="18"/>
                      <w:szCs w:val="18"/>
                    </w:rPr>
                  </w:pPr>
                  <w:r>
                    <w:rPr>
                      <w:bCs/>
                      <w:sz w:val="18"/>
                      <w:szCs w:val="18"/>
                    </w:rPr>
                    <w:t>0.6</w:t>
                  </w:r>
                </w:p>
              </w:tc>
              <w:tc>
                <w:tcPr>
                  <w:tcW w:w="445" w:type="pct"/>
                  <w:tcBorders>
                    <w:top w:val="single" w:sz="6" w:space="0" w:color="auto"/>
                    <w:left w:val="single" w:sz="6" w:space="0" w:color="auto"/>
                    <w:bottom w:val="single" w:sz="6" w:space="0" w:color="auto"/>
                    <w:right w:val="nil"/>
                  </w:tcBorders>
                  <w:vAlign w:val="center"/>
                </w:tcPr>
                <w:p w14:paraId="40A6908F" w14:textId="77777777" w:rsidR="00F76A63" w:rsidRDefault="00000000">
                  <w:pPr>
                    <w:jc w:val="center"/>
                    <w:rPr>
                      <w:bCs/>
                      <w:sz w:val="18"/>
                      <w:szCs w:val="18"/>
                    </w:rPr>
                  </w:pPr>
                  <w:r>
                    <w:rPr>
                      <w:bCs/>
                      <w:sz w:val="18"/>
                      <w:szCs w:val="18"/>
                    </w:rPr>
                    <w:t>60</w:t>
                  </w:r>
                </w:p>
              </w:tc>
            </w:tr>
            <w:tr w:rsidR="00F76A63" w14:paraId="6988AEB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92027F8" w14:textId="77777777" w:rsidR="00F76A63" w:rsidRDefault="00000000">
                  <w:pPr>
                    <w:jc w:val="center"/>
                    <w:rPr>
                      <w:bCs/>
                      <w:sz w:val="18"/>
                      <w:szCs w:val="18"/>
                    </w:rPr>
                  </w:pPr>
                  <w:r>
                    <w:rPr>
                      <w:bCs/>
                      <w:sz w:val="18"/>
                      <w:szCs w:val="18"/>
                    </w:rPr>
                    <w:t>DA009</w:t>
                  </w:r>
                </w:p>
              </w:tc>
              <w:tc>
                <w:tcPr>
                  <w:tcW w:w="785" w:type="pct"/>
                  <w:tcBorders>
                    <w:top w:val="single" w:sz="6" w:space="0" w:color="auto"/>
                    <w:left w:val="single" w:sz="6" w:space="0" w:color="auto"/>
                    <w:bottom w:val="single" w:sz="6" w:space="0" w:color="auto"/>
                    <w:right w:val="single" w:sz="6" w:space="0" w:color="auto"/>
                  </w:tcBorders>
                  <w:vAlign w:val="center"/>
                </w:tcPr>
                <w:p w14:paraId="21AA1FF3" w14:textId="77777777" w:rsidR="00F76A63" w:rsidRDefault="00000000">
                  <w:pPr>
                    <w:jc w:val="center"/>
                    <w:rPr>
                      <w:bCs/>
                      <w:sz w:val="18"/>
                      <w:szCs w:val="18"/>
                    </w:rPr>
                  </w:pPr>
                  <w:r>
                    <w:rPr>
                      <w:bCs/>
                      <w:sz w:val="18"/>
                      <w:szCs w:val="18"/>
                    </w:rPr>
                    <w:t>石膏破碎机排口</w:t>
                  </w:r>
                </w:p>
              </w:tc>
              <w:tc>
                <w:tcPr>
                  <w:tcW w:w="1083" w:type="pct"/>
                  <w:tcBorders>
                    <w:top w:val="single" w:sz="6" w:space="0" w:color="auto"/>
                    <w:left w:val="single" w:sz="6" w:space="0" w:color="auto"/>
                    <w:bottom w:val="single" w:sz="6" w:space="0" w:color="auto"/>
                    <w:right w:val="single" w:sz="6" w:space="0" w:color="auto"/>
                  </w:tcBorders>
                  <w:vAlign w:val="center"/>
                </w:tcPr>
                <w:p w14:paraId="1698725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1681F6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28935B7"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24DE8706"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07EEA6FB" w14:textId="77777777" w:rsidR="00F76A63" w:rsidRDefault="00000000">
                  <w:pPr>
                    <w:jc w:val="center"/>
                    <w:rPr>
                      <w:bCs/>
                      <w:sz w:val="18"/>
                      <w:szCs w:val="18"/>
                    </w:rPr>
                  </w:pPr>
                  <w:r>
                    <w:rPr>
                      <w:bCs/>
                      <w:sz w:val="18"/>
                      <w:szCs w:val="18"/>
                    </w:rPr>
                    <w:t>常温</w:t>
                  </w:r>
                </w:p>
              </w:tc>
            </w:tr>
            <w:tr w:rsidR="00F76A63" w14:paraId="1D7FEC2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BA2AF64" w14:textId="77777777" w:rsidR="00F76A63" w:rsidRDefault="00000000">
                  <w:pPr>
                    <w:jc w:val="center"/>
                    <w:rPr>
                      <w:bCs/>
                      <w:sz w:val="18"/>
                      <w:szCs w:val="18"/>
                    </w:rPr>
                  </w:pPr>
                  <w:r>
                    <w:rPr>
                      <w:bCs/>
                      <w:sz w:val="18"/>
                      <w:szCs w:val="18"/>
                    </w:rPr>
                    <w:t>DA010</w:t>
                  </w:r>
                </w:p>
              </w:tc>
              <w:tc>
                <w:tcPr>
                  <w:tcW w:w="785" w:type="pct"/>
                  <w:tcBorders>
                    <w:top w:val="single" w:sz="6" w:space="0" w:color="auto"/>
                    <w:left w:val="single" w:sz="6" w:space="0" w:color="auto"/>
                    <w:bottom w:val="single" w:sz="6" w:space="0" w:color="auto"/>
                    <w:right w:val="single" w:sz="6" w:space="0" w:color="auto"/>
                  </w:tcBorders>
                  <w:vAlign w:val="center"/>
                </w:tcPr>
                <w:p w14:paraId="6B2F692A" w14:textId="77777777" w:rsidR="00F76A63" w:rsidRDefault="00000000">
                  <w:pPr>
                    <w:jc w:val="center"/>
                    <w:rPr>
                      <w:bCs/>
                      <w:sz w:val="18"/>
                      <w:szCs w:val="18"/>
                    </w:rPr>
                  </w:pPr>
                  <w:r>
                    <w:rPr>
                      <w:bCs/>
                      <w:sz w:val="18"/>
                      <w:szCs w:val="18"/>
                    </w:rPr>
                    <w:t>1#</w:t>
                  </w:r>
                  <w:r>
                    <w:rPr>
                      <w:bCs/>
                      <w:sz w:val="18"/>
                      <w:szCs w:val="18"/>
                    </w:rPr>
                    <w:t>煤磨</w:t>
                  </w:r>
                </w:p>
              </w:tc>
              <w:tc>
                <w:tcPr>
                  <w:tcW w:w="1083" w:type="pct"/>
                  <w:tcBorders>
                    <w:top w:val="single" w:sz="6" w:space="0" w:color="auto"/>
                    <w:left w:val="single" w:sz="6" w:space="0" w:color="auto"/>
                    <w:bottom w:val="single" w:sz="6" w:space="0" w:color="auto"/>
                    <w:right w:val="single" w:sz="6" w:space="0" w:color="auto"/>
                  </w:tcBorders>
                  <w:vAlign w:val="center"/>
                </w:tcPr>
                <w:p w14:paraId="14E2684C"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CC7DEC9"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ABAA12F"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54C64B95" w14:textId="77777777" w:rsidR="00F76A63" w:rsidRDefault="00000000">
                  <w:pPr>
                    <w:jc w:val="center"/>
                    <w:rPr>
                      <w:bCs/>
                      <w:sz w:val="18"/>
                      <w:szCs w:val="18"/>
                    </w:rPr>
                  </w:pPr>
                  <w:r>
                    <w:rPr>
                      <w:bCs/>
                      <w:sz w:val="18"/>
                      <w:szCs w:val="18"/>
                    </w:rPr>
                    <w:t>1.51</w:t>
                  </w:r>
                </w:p>
              </w:tc>
              <w:tc>
                <w:tcPr>
                  <w:tcW w:w="445" w:type="pct"/>
                  <w:tcBorders>
                    <w:top w:val="single" w:sz="6" w:space="0" w:color="auto"/>
                    <w:left w:val="single" w:sz="6" w:space="0" w:color="auto"/>
                    <w:bottom w:val="single" w:sz="6" w:space="0" w:color="auto"/>
                    <w:right w:val="nil"/>
                  </w:tcBorders>
                  <w:vAlign w:val="center"/>
                </w:tcPr>
                <w:p w14:paraId="564E8638" w14:textId="77777777" w:rsidR="00F76A63" w:rsidRDefault="00000000">
                  <w:pPr>
                    <w:jc w:val="center"/>
                    <w:rPr>
                      <w:bCs/>
                      <w:sz w:val="18"/>
                      <w:szCs w:val="18"/>
                    </w:rPr>
                  </w:pPr>
                  <w:r>
                    <w:rPr>
                      <w:bCs/>
                      <w:sz w:val="18"/>
                      <w:szCs w:val="18"/>
                    </w:rPr>
                    <w:t>90</w:t>
                  </w:r>
                </w:p>
              </w:tc>
            </w:tr>
            <w:tr w:rsidR="00F76A63" w14:paraId="381CF5FC"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F9498BF" w14:textId="77777777" w:rsidR="00F76A63" w:rsidRDefault="00000000">
                  <w:pPr>
                    <w:jc w:val="center"/>
                    <w:rPr>
                      <w:bCs/>
                      <w:sz w:val="18"/>
                      <w:szCs w:val="18"/>
                    </w:rPr>
                  </w:pPr>
                  <w:r>
                    <w:rPr>
                      <w:bCs/>
                      <w:sz w:val="18"/>
                      <w:szCs w:val="18"/>
                    </w:rPr>
                    <w:t>DA011</w:t>
                  </w:r>
                </w:p>
              </w:tc>
              <w:tc>
                <w:tcPr>
                  <w:tcW w:w="785" w:type="pct"/>
                  <w:tcBorders>
                    <w:top w:val="single" w:sz="6" w:space="0" w:color="auto"/>
                    <w:left w:val="single" w:sz="6" w:space="0" w:color="auto"/>
                    <w:bottom w:val="single" w:sz="6" w:space="0" w:color="auto"/>
                    <w:right w:val="single" w:sz="6" w:space="0" w:color="auto"/>
                  </w:tcBorders>
                  <w:vAlign w:val="center"/>
                </w:tcPr>
                <w:p w14:paraId="12B4B0C7" w14:textId="77777777" w:rsidR="00F76A63" w:rsidRDefault="00000000">
                  <w:pPr>
                    <w:jc w:val="center"/>
                    <w:rPr>
                      <w:bCs/>
                      <w:sz w:val="18"/>
                      <w:szCs w:val="18"/>
                    </w:rPr>
                  </w:pPr>
                  <w:r>
                    <w:rPr>
                      <w:bCs/>
                      <w:sz w:val="18"/>
                      <w:szCs w:val="18"/>
                    </w:rPr>
                    <w:t>2#</w:t>
                  </w:r>
                  <w:r>
                    <w:rPr>
                      <w:bCs/>
                      <w:sz w:val="18"/>
                      <w:szCs w:val="18"/>
                    </w:rPr>
                    <w:t>原料输送</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38EE908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32B0A12"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52E2085"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5A248D6"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5DD10E43" w14:textId="77777777" w:rsidR="00F76A63" w:rsidRDefault="00000000">
                  <w:pPr>
                    <w:jc w:val="center"/>
                    <w:rPr>
                      <w:bCs/>
                      <w:sz w:val="18"/>
                      <w:szCs w:val="18"/>
                    </w:rPr>
                  </w:pPr>
                  <w:r>
                    <w:rPr>
                      <w:bCs/>
                      <w:sz w:val="18"/>
                      <w:szCs w:val="18"/>
                    </w:rPr>
                    <w:t>常温</w:t>
                  </w:r>
                </w:p>
              </w:tc>
            </w:tr>
            <w:tr w:rsidR="00F76A63" w14:paraId="6309868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A158FA0" w14:textId="77777777" w:rsidR="00F76A63" w:rsidRDefault="00000000">
                  <w:pPr>
                    <w:jc w:val="center"/>
                    <w:rPr>
                      <w:bCs/>
                      <w:sz w:val="18"/>
                      <w:szCs w:val="18"/>
                    </w:rPr>
                  </w:pPr>
                  <w:r>
                    <w:rPr>
                      <w:bCs/>
                      <w:sz w:val="18"/>
                      <w:szCs w:val="18"/>
                    </w:rPr>
                    <w:t>DA012</w:t>
                  </w:r>
                </w:p>
              </w:tc>
              <w:tc>
                <w:tcPr>
                  <w:tcW w:w="785" w:type="pct"/>
                  <w:tcBorders>
                    <w:top w:val="single" w:sz="6" w:space="0" w:color="auto"/>
                    <w:left w:val="single" w:sz="6" w:space="0" w:color="auto"/>
                    <w:bottom w:val="single" w:sz="6" w:space="0" w:color="auto"/>
                    <w:right w:val="single" w:sz="6" w:space="0" w:color="auto"/>
                  </w:tcBorders>
                  <w:vAlign w:val="center"/>
                </w:tcPr>
                <w:p w14:paraId="3833C71D" w14:textId="77777777" w:rsidR="00F76A63" w:rsidRDefault="00000000">
                  <w:pPr>
                    <w:jc w:val="center"/>
                    <w:rPr>
                      <w:bCs/>
                      <w:sz w:val="18"/>
                      <w:szCs w:val="18"/>
                    </w:rPr>
                  </w:pPr>
                  <w:r>
                    <w:rPr>
                      <w:bCs/>
                      <w:sz w:val="18"/>
                      <w:szCs w:val="18"/>
                    </w:rPr>
                    <w:t>2#</w:t>
                  </w:r>
                  <w:r>
                    <w:rPr>
                      <w:bCs/>
                      <w:sz w:val="18"/>
                      <w:szCs w:val="18"/>
                    </w:rPr>
                    <w:t>原料输送</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356A832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235F397"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ACEB6D4"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6748CE16"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6F17118F" w14:textId="77777777" w:rsidR="00F76A63" w:rsidRDefault="00000000">
                  <w:pPr>
                    <w:jc w:val="center"/>
                    <w:rPr>
                      <w:bCs/>
                      <w:sz w:val="18"/>
                      <w:szCs w:val="18"/>
                    </w:rPr>
                  </w:pPr>
                  <w:r>
                    <w:rPr>
                      <w:bCs/>
                      <w:sz w:val="18"/>
                      <w:szCs w:val="18"/>
                    </w:rPr>
                    <w:t>常温</w:t>
                  </w:r>
                </w:p>
              </w:tc>
            </w:tr>
            <w:tr w:rsidR="00F76A63" w14:paraId="67278BC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F7B7C67" w14:textId="77777777" w:rsidR="00F76A63" w:rsidRDefault="00000000">
                  <w:pPr>
                    <w:jc w:val="center"/>
                    <w:rPr>
                      <w:bCs/>
                      <w:sz w:val="18"/>
                      <w:szCs w:val="18"/>
                    </w:rPr>
                  </w:pPr>
                  <w:r>
                    <w:rPr>
                      <w:bCs/>
                      <w:sz w:val="18"/>
                      <w:szCs w:val="18"/>
                    </w:rPr>
                    <w:t>DA013</w:t>
                  </w:r>
                </w:p>
              </w:tc>
              <w:tc>
                <w:tcPr>
                  <w:tcW w:w="785" w:type="pct"/>
                  <w:tcBorders>
                    <w:top w:val="single" w:sz="6" w:space="0" w:color="auto"/>
                    <w:left w:val="single" w:sz="6" w:space="0" w:color="auto"/>
                    <w:bottom w:val="single" w:sz="6" w:space="0" w:color="auto"/>
                    <w:right w:val="single" w:sz="6" w:space="0" w:color="auto"/>
                  </w:tcBorders>
                  <w:vAlign w:val="center"/>
                </w:tcPr>
                <w:p w14:paraId="3F606990" w14:textId="77777777" w:rsidR="00F76A63" w:rsidRDefault="00000000">
                  <w:pPr>
                    <w:jc w:val="center"/>
                    <w:rPr>
                      <w:bCs/>
                      <w:sz w:val="18"/>
                      <w:szCs w:val="18"/>
                    </w:rPr>
                  </w:pPr>
                  <w:r>
                    <w:rPr>
                      <w:bCs/>
                      <w:sz w:val="18"/>
                      <w:szCs w:val="18"/>
                    </w:rPr>
                    <w:t>2#</w:t>
                  </w:r>
                  <w:r>
                    <w:rPr>
                      <w:bCs/>
                      <w:sz w:val="18"/>
                      <w:szCs w:val="18"/>
                    </w:rPr>
                    <w:t>原料输送</w:t>
                  </w:r>
                  <w:r>
                    <w:rPr>
                      <w:bCs/>
                      <w:sz w:val="18"/>
                      <w:szCs w:val="18"/>
                    </w:rPr>
                    <w:t>5</w:t>
                  </w:r>
                </w:p>
              </w:tc>
              <w:tc>
                <w:tcPr>
                  <w:tcW w:w="1083" w:type="pct"/>
                  <w:tcBorders>
                    <w:top w:val="single" w:sz="6" w:space="0" w:color="auto"/>
                    <w:left w:val="single" w:sz="6" w:space="0" w:color="auto"/>
                    <w:bottom w:val="single" w:sz="6" w:space="0" w:color="auto"/>
                    <w:right w:val="single" w:sz="6" w:space="0" w:color="auto"/>
                  </w:tcBorders>
                  <w:vAlign w:val="center"/>
                </w:tcPr>
                <w:p w14:paraId="70BE93C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A370FC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D6630C6"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469D4BA"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0B12B146" w14:textId="77777777" w:rsidR="00F76A63" w:rsidRDefault="00000000">
                  <w:pPr>
                    <w:jc w:val="center"/>
                    <w:rPr>
                      <w:bCs/>
                      <w:sz w:val="18"/>
                      <w:szCs w:val="18"/>
                    </w:rPr>
                  </w:pPr>
                  <w:r>
                    <w:rPr>
                      <w:bCs/>
                      <w:sz w:val="18"/>
                      <w:szCs w:val="18"/>
                    </w:rPr>
                    <w:t>常温</w:t>
                  </w:r>
                </w:p>
              </w:tc>
            </w:tr>
            <w:tr w:rsidR="00F76A63" w14:paraId="17F9B3A3" w14:textId="77777777">
              <w:trPr>
                <w:trHeight w:val="1820"/>
                <w:jc w:val="center"/>
              </w:trPr>
              <w:tc>
                <w:tcPr>
                  <w:tcW w:w="510" w:type="pct"/>
                  <w:tcBorders>
                    <w:top w:val="single" w:sz="6" w:space="0" w:color="auto"/>
                    <w:left w:val="nil"/>
                    <w:bottom w:val="single" w:sz="6" w:space="0" w:color="auto"/>
                    <w:right w:val="single" w:sz="6" w:space="0" w:color="auto"/>
                  </w:tcBorders>
                  <w:vAlign w:val="center"/>
                </w:tcPr>
                <w:p w14:paraId="7329C706" w14:textId="77777777" w:rsidR="00F76A63" w:rsidRDefault="00000000">
                  <w:pPr>
                    <w:jc w:val="center"/>
                    <w:rPr>
                      <w:bCs/>
                      <w:sz w:val="18"/>
                      <w:szCs w:val="18"/>
                    </w:rPr>
                  </w:pPr>
                  <w:r>
                    <w:rPr>
                      <w:bCs/>
                      <w:sz w:val="18"/>
                      <w:szCs w:val="18"/>
                    </w:rPr>
                    <w:t>DA014</w:t>
                  </w:r>
                </w:p>
              </w:tc>
              <w:tc>
                <w:tcPr>
                  <w:tcW w:w="785" w:type="pct"/>
                  <w:tcBorders>
                    <w:top w:val="single" w:sz="6" w:space="0" w:color="auto"/>
                    <w:left w:val="single" w:sz="6" w:space="0" w:color="auto"/>
                    <w:bottom w:val="single" w:sz="6" w:space="0" w:color="auto"/>
                    <w:right w:val="single" w:sz="6" w:space="0" w:color="auto"/>
                  </w:tcBorders>
                  <w:vAlign w:val="center"/>
                </w:tcPr>
                <w:p w14:paraId="24C535CE" w14:textId="77777777" w:rsidR="00F76A63" w:rsidRDefault="00000000">
                  <w:pPr>
                    <w:jc w:val="center"/>
                    <w:rPr>
                      <w:bCs/>
                      <w:sz w:val="18"/>
                      <w:szCs w:val="18"/>
                    </w:rPr>
                  </w:pPr>
                  <w:r>
                    <w:rPr>
                      <w:bCs/>
                      <w:sz w:val="18"/>
                      <w:szCs w:val="18"/>
                    </w:rPr>
                    <w:t>二线窑尾排气筒</w:t>
                  </w:r>
                </w:p>
              </w:tc>
              <w:tc>
                <w:tcPr>
                  <w:tcW w:w="1083" w:type="pct"/>
                  <w:tcBorders>
                    <w:top w:val="single" w:sz="6" w:space="0" w:color="auto"/>
                    <w:left w:val="single" w:sz="6" w:space="0" w:color="auto"/>
                    <w:bottom w:val="single" w:sz="6" w:space="0" w:color="auto"/>
                    <w:right w:val="single" w:sz="6" w:space="0" w:color="auto"/>
                  </w:tcBorders>
                  <w:vAlign w:val="center"/>
                </w:tcPr>
                <w:p w14:paraId="3CADE6CB" w14:textId="77777777" w:rsidR="00F76A63" w:rsidRDefault="00000000">
                  <w:pPr>
                    <w:jc w:val="center"/>
                    <w:rPr>
                      <w:bCs/>
                      <w:sz w:val="18"/>
                      <w:szCs w:val="18"/>
                    </w:rPr>
                  </w:pPr>
                  <w:r>
                    <w:rPr>
                      <w:bCs/>
                      <w:sz w:val="18"/>
                      <w:szCs w:val="18"/>
                    </w:rPr>
                    <w:t>颗粒物，氮氧化物，二噁英类，氟化氢，氯化氢，汞及其化合物，二氧化硫，铍、铬、锡、锑、铜、钴、锰、镍、钒及其化合物，铊、镉、铅、砷及其化合物，氨（氨气），总有机碳</w:t>
                  </w:r>
                </w:p>
              </w:tc>
              <w:tc>
                <w:tcPr>
                  <w:tcW w:w="958" w:type="pct"/>
                  <w:tcBorders>
                    <w:top w:val="single" w:sz="6" w:space="0" w:color="auto"/>
                    <w:left w:val="single" w:sz="6" w:space="0" w:color="auto"/>
                    <w:bottom w:val="single" w:sz="6" w:space="0" w:color="auto"/>
                    <w:right w:val="single" w:sz="6" w:space="0" w:color="auto"/>
                  </w:tcBorders>
                  <w:vAlign w:val="center"/>
                </w:tcPr>
                <w:p w14:paraId="767BD41B" w14:textId="77777777" w:rsidR="00F76A63" w:rsidRDefault="00000000">
                  <w:pPr>
                    <w:jc w:val="center"/>
                    <w:rPr>
                      <w:bCs/>
                      <w:sz w:val="18"/>
                      <w:szCs w:val="18"/>
                    </w:rPr>
                  </w:pPr>
                  <w:r>
                    <w:rPr>
                      <w:bCs/>
                      <w:sz w:val="18"/>
                      <w:szCs w:val="18"/>
                    </w:rPr>
                    <w:t>高温焚烧</w:t>
                  </w:r>
                  <w:r>
                    <w:rPr>
                      <w:bCs/>
                      <w:sz w:val="18"/>
                      <w:szCs w:val="18"/>
                    </w:rPr>
                    <w:t>+</w:t>
                  </w:r>
                  <w:r>
                    <w:rPr>
                      <w:bCs/>
                      <w:sz w:val="18"/>
                      <w:szCs w:val="18"/>
                    </w:rPr>
                    <w:t>碱性环境</w:t>
                  </w:r>
                  <w:r>
                    <w:rPr>
                      <w:bCs/>
                      <w:sz w:val="18"/>
                      <w:szCs w:val="18"/>
                    </w:rPr>
                    <w:t>+SNCR+SCR+</w:t>
                  </w:r>
                  <w:r>
                    <w:rPr>
                      <w:bCs/>
                      <w:sz w:val="18"/>
                      <w:szCs w:val="18"/>
                    </w:rPr>
                    <w:t>正常工况窑磨一体化，非正常工况干法脱硫</w:t>
                  </w:r>
                  <w:r>
                    <w:rPr>
                      <w:bCs/>
                      <w:sz w:val="18"/>
                      <w:szCs w:val="18"/>
                    </w:rPr>
                    <w:t>+</w:t>
                  </w:r>
                  <w:r>
                    <w:rPr>
                      <w:bCs/>
                      <w:sz w:val="18"/>
                      <w:szCs w:val="18"/>
                    </w:rPr>
                    <w:t>电袋复合（</w:t>
                  </w:r>
                  <w:r>
                    <w:rPr>
                      <w:bCs/>
                      <w:sz w:val="18"/>
                      <w:szCs w:val="18"/>
                    </w:rPr>
                    <w:t>1</w:t>
                  </w:r>
                  <w:r>
                    <w:rPr>
                      <w:bCs/>
                      <w:sz w:val="18"/>
                      <w:szCs w:val="18"/>
                    </w:rPr>
                    <w:t>电</w:t>
                  </w:r>
                  <w:r>
                    <w:rPr>
                      <w:bCs/>
                      <w:sz w:val="18"/>
                      <w:szCs w:val="18"/>
                    </w:rPr>
                    <w:t>3</w:t>
                  </w:r>
                  <w:r>
                    <w:rPr>
                      <w:bCs/>
                      <w:sz w:val="18"/>
                      <w:szCs w:val="18"/>
                    </w:rPr>
                    <w:t>布袋）除尘器</w:t>
                  </w:r>
                </w:p>
              </w:tc>
              <w:tc>
                <w:tcPr>
                  <w:tcW w:w="642" w:type="pct"/>
                  <w:tcBorders>
                    <w:top w:val="single" w:sz="6" w:space="0" w:color="auto"/>
                    <w:left w:val="single" w:sz="6" w:space="0" w:color="auto"/>
                    <w:bottom w:val="single" w:sz="6" w:space="0" w:color="auto"/>
                    <w:right w:val="single" w:sz="6" w:space="0" w:color="auto"/>
                  </w:tcBorders>
                  <w:vAlign w:val="center"/>
                </w:tcPr>
                <w:p w14:paraId="07851243" w14:textId="77777777" w:rsidR="00F76A63" w:rsidRDefault="00000000">
                  <w:pPr>
                    <w:jc w:val="center"/>
                    <w:rPr>
                      <w:bCs/>
                      <w:sz w:val="18"/>
                      <w:szCs w:val="18"/>
                    </w:rPr>
                  </w:pPr>
                  <w:r>
                    <w:rPr>
                      <w:bCs/>
                      <w:sz w:val="18"/>
                      <w:szCs w:val="18"/>
                    </w:rPr>
                    <w:t>128</w:t>
                  </w:r>
                </w:p>
              </w:tc>
              <w:tc>
                <w:tcPr>
                  <w:tcW w:w="577" w:type="pct"/>
                  <w:tcBorders>
                    <w:top w:val="single" w:sz="6" w:space="0" w:color="auto"/>
                    <w:left w:val="single" w:sz="6" w:space="0" w:color="auto"/>
                    <w:bottom w:val="single" w:sz="6" w:space="0" w:color="auto"/>
                    <w:right w:val="single" w:sz="6" w:space="0" w:color="auto"/>
                  </w:tcBorders>
                  <w:vAlign w:val="center"/>
                </w:tcPr>
                <w:p w14:paraId="171A50F6" w14:textId="77777777" w:rsidR="00F76A63" w:rsidRDefault="00000000">
                  <w:pPr>
                    <w:jc w:val="center"/>
                    <w:rPr>
                      <w:bCs/>
                      <w:sz w:val="18"/>
                      <w:szCs w:val="18"/>
                    </w:rPr>
                  </w:pPr>
                  <w:r>
                    <w:rPr>
                      <w:bCs/>
                      <w:sz w:val="18"/>
                      <w:szCs w:val="18"/>
                    </w:rPr>
                    <w:t>4</w:t>
                  </w:r>
                </w:p>
              </w:tc>
              <w:tc>
                <w:tcPr>
                  <w:tcW w:w="445" w:type="pct"/>
                  <w:tcBorders>
                    <w:top w:val="single" w:sz="6" w:space="0" w:color="auto"/>
                    <w:left w:val="single" w:sz="6" w:space="0" w:color="auto"/>
                    <w:bottom w:val="single" w:sz="6" w:space="0" w:color="auto"/>
                    <w:right w:val="nil"/>
                  </w:tcBorders>
                  <w:vAlign w:val="center"/>
                </w:tcPr>
                <w:p w14:paraId="67A09ED1" w14:textId="77777777" w:rsidR="00F76A63" w:rsidRDefault="00000000">
                  <w:pPr>
                    <w:jc w:val="center"/>
                    <w:rPr>
                      <w:bCs/>
                      <w:sz w:val="18"/>
                      <w:szCs w:val="18"/>
                    </w:rPr>
                  </w:pPr>
                  <w:r>
                    <w:rPr>
                      <w:bCs/>
                      <w:sz w:val="18"/>
                      <w:szCs w:val="18"/>
                    </w:rPr>
                    <w:t>90</w:t>
                  </w:r>
                </w:p>
              </w:tc>
            </w:tr>
            <w:tr w:rsidR="00F76A63" w14:paraId="0572F48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16D236B" w14:textId="77777777" w:rsidR="00F76A63" w:rsidRDefault="00000000">
                  <w:pPr>
                    <w:jc w:val="center"/>
                    <w:rPr>
                      <w:bCs/>
                      <w:sz w:val="18"/>
                      <w:szCs w:val="18"/>
                    </w:rPr>
                  </w:pPr>
                  <w:r>
                    <w:rPr>
                      <w:bCs/>
                      <w:sz w:val="18"/>
                      <w:szCs w:val="18"/>
                    </w:rPr>
                    <w:t>DA015</w:t>
                  </w:r>
                </w:p>
              </w:tc>
              <w:tc>
                <w:tcPr>
                  <w:tcW w:w="785" w:type="pct"/>
                  <w:tcBorders>
                    <w:top w:val="single" w:sz="6" w:space="0" w:color="auto"/>
                    <w:left w:val="single" w:sz="6" w:space="0" w:color="auto"/>
                    <w:bottom w:val="single" w:sz="6" w:space="0" w:color="auto"/>
                    <w:right w:val="single" w:sz="6" w:space="0" w:color="auto"/>
                  </w:tcBorders>
                  <w:vAlign w:val="center"/>
                </w:tcPr>
                <w:p w14:paraId="32F4AA58" w14:textId="77777777" w:rsidR="00F76A63" w:rsidRDefault="00000000">
                  <w:pPr>
                    <w:jc w:val="center"/>
                    <w:rPr>
                      <w:bCs/>
                      <w:sz w:val="18"/>
                      <w:szCs w:val="18"/>
                    </w:rPr>
                  </w:pPr>
                  <w:r>
                    <w:rPr>
                      <w:bCs/>
                      <w:sz w:val="18"/>
                      <w:szCs w:val="18"/>
                    </w:rPr>
                    <w:t>2#</w:t>
                  </w:r>
                  <w:r>
                    <w:rPr>
                      <w:bCs/>
                      <w:sz w:val="18"/>
                      <w:szCs w:val="18"/>
                    </w:rPr>
                    <w:t>原料输送</w:t>
                  </w:r>
                  <w:r>
                    <w:rPr>
                      <w:bCs/>
                      <w:sz w:val="18"/>
                      <w:szCs w:val="18"/>
                    </w:rPr>
                    <w:t>6</w:t>
                  </w:r>
                </w:p>
              </w:tc>
              <w:tc>
                <w:tcPr>
                  <w:tcW w:w="1083" w:type="pct"/>
                  <w:tcBorders>
                    <w:top w:val="single" w:sz="6" w:space="0" w:color="auto"/>
                    <w:left w:val="single" w:sz="6" w:space="0" w:color="auto"/>
                    <w:bottom w:val="single" w:sz="6" w:space="0" w:color="auto"/>
                    <w:right w:val="single" w:sz="6" w:space="0" w:color="auto"/>
                  </w:tcBorders>
                  <w:vAlign w:val="center"/>
                </w:tcPr>
                <w:p w14:paraId="6F37D01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B366E8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239F93F"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051BAA13" w14:textId="77777777" w:rsidR="00F76A63" w:rsidRDefault="00000000">
                  <w:pPr>
                    <w:jc w:val="center"/>
                    <w:rPr>
                      <w:bCs/>
                      <w:sz w:val="18"/>
                      <w:szCs w:val="18"/>
                    </w:rPr>
                  </w:pPr>
                  <w:r>
                    <w:rPr>
                      <w:bCs/>
                      <w:sz w:val="18"/>
                      <w:szCs w:val="18"/>
                    </w:rPr>
                    <w:t>0.6</w:t>
                  </w:r>
                </w:p>
              </w:tc>
              <w:tc>
                <w:tcPr>
                  <w:tcW w:w="445" w:type="pct"/>
                  <w:tcBorders>
                    <w:top w:val="single" w:sz="6" w:space="0" w:color="auto"/>
                    <w:left w:val="single" w:sz="6" w:space="0" w:color="auto"/>
                    <w:bottom w:val="single" w:sz="6" w:space="0" w:color="auto"/>
                    <w:right w:val="nil"/>
                  </w:tcBorders>
                  <w:vAlign w:val="center"/>
                </w:tcPr>
                <w:p w14:paraId="1158599F" w14:textId="77777777" w:rsidR="00F76A63" w:rsidRDefault="00000000">
                  <w:pPr>
                    <w:jc w:val="center"/>
                    <w:rPr>
                      <w:bCs/>
                      <w:sz w:val="18"/>
                      <w:szCs w:val="18"/>
                    </w:rPr>
                  </w:pPr>
                  <w:r>
                    <w:rPr>
                      <w:bCs/>
                      <w:sz w:val="18"/>
                      <w:szCs w:val="18"/>
                    </w:rPr>
                    <w:t>60</w:t>
                  </w:r>
                </w:p>
              </w:tc>
            </w:tr>
            <w:tr w:rsidR="00F76A63" w14:paraId="60BCEB5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61ADBF5" w14:textId="77777777" w:rsidR="00F76A63" w:rsidRDefault="00000000">
                  <w:pPr>
                    <w:jc w:val="center"/>
                    <w:rPr>
                      <w:bCs/>
                      <w:sz w:val="18"/>
                      <w:szCs w:val="18"/>
                    </w:rPr>
                  </w:pPr>
                  <w:r>
                    <w:rPr>
                      <w:bCs/>
                      <w:sz w:val="18"/>
                      <w:szCs w:val="18"/>
                    </w:rPr>
                    <w:lastRenderedPageBreak/>
                    <w:t>DA016</w:t>
                  </w:r>
                </w:p>
              </w:tc>
              <w:tc>
                <w:tcPr>
                  <w:tcW w:w="785" w:type="pct"/>
                  <w:tcBorders>
                    <w:top w:val="single" w:sz="6" w:space="0" w:color="auto"/>
                    <w:left w:val="single" w:sz="6" w:space="0" w:color="auto"/>
                    <w:bottom w:val="single" w:sz="6" w:space="0" w:color="auto"/>
                    <w:right w:val="single" w:sz="6" w:space="0" w:color="auto"/>
                  </w:tcBorders>
                  <w:vAlign w:val="center"/>
                </w:tcPr>
                <w:p w14:paraId="6F751517" w14:textId="77777777" w:rsidR="00F76A63" w:rsidRDefault="00000000">
                  <w:pPr>
                    <w:jc w:val="center"/>
                    <w:rPr>
                      <w:bCs/>
                      <w:sz w:val="18"/>
                      <w:szCs w:val="18"/>
                    </w:rPr>
                  </w:pPr>
                  <w:r>
                    <w:rPr>
                      <w:bCs/>
                      <w:sz w:val="18"/>
                      <w:szCs w:val="18"/>
                    </w:rPr>
                    <w:t>2#</w:t>
                  </w:r>
                  <w:r>
                    <w:rPr>
                      <w:bCs/>
                      <w:sz w:val="18"/>
                      <w:szCs w:val="18"/>
                    </w:rPr>
                    <w:t>生料库</w:t>
                  </w:r>
                </w:p>
              </w:tc>
              <w:tc>
                <w:tcPr>
                  <w:tcW w:w="1083" w:type="pct"/>
                  <w:tcBorders>
                    <w:top w:val="single" w:sz="6" w:space="0" w:color="auto"/>
                    <w:left w:val="single" w:sz="6" w:space="0" w:color="auto"/>
                    <w:bottom w:val="single" w:sz="6" w:space="0" w:color="auto"/>
                    <w:right w:val="single" w:sz="6" w:space="0" w:color="auto"/>
                  </w:tcBorders>
                  <w:vAlign w:val="center"/>
                </w:tcPr>
                <w:p w14:paraId="79B6F5B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AFCAA4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A1CF59A"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5406FB5F" w14:textId="77777777" w:rsidR="00F76A63" w:rsidRDefault="00000000">
                  <w:pPr>
                    <w:jc w:val="center"/>
                    <w:rPr>
                      <w:bCs/>
                      <w:sz w:val="18"/>
                      <w:szCs w:val="18"/>
                    </w:rPr>
                  </w:pPr>
                  <w:r>
                    <w:rPr>
                      <w:bCs/>
                      <w:sz w:val="18"/>
                      <w:szCs w:val="18"/>
                    </w:rPr>
                    <w:t>0.6</w:t>
                  </w:r>
                </w:p>
              </w:tc>
              <w:tc>
                <w:tcPr>
                  <w:tcW w:w="445" w:type="pct"/>
                  <w:tcBorders>
                    <w:top w:val="single" w:sz="6" w:space="0" w:color="auto"/>
                    <w:left w:val="single" w:sz="6" w:space="0" w:color="auto"/>
                    <w:bottom w:val="single" w:sz="6" w:space="0" w:color="auto"/>
                    <w:right w:val="nil"/>
                  </w:tcBorders>
                  <w:vAlign w:val="center"/>
                </w:tcPr>
                <w:p w14:paraId="2AE650F7" w14:textId="77777777" w:rsidR="00F76A63" w:rsidRDefault="00000000">
                  <w:pPr>
                    <w:jc w:val="center"/>
                    <w:rPr>
                      <w:bCs/>
                      <w:sz w:val="18"/>
                      <w:szCs w:val="18"/>
                    </w:rPr>
                  </w:pPr>
                  <w:r>
                    <w:rPr>
                      <w:bCs/>
                      <w:sz w:val="18"/>
                      <w:szCs w:val="18"/>
                    </w:rPr>
                    <w:t>60</w:t>
                  </w:r>
                </w:p>
              </w:tc>
            </w:tr>
            <w:tr w:rsidR="00F76A63" w14:paraId="28E2965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A9C8F97" w14:textId="77777777" w:rsidR="00F76A63" w:rsidRDefault="00000000">
                  <w:pPr>
                    <w:jc w:val="center"/>
                    <w:rPr>
                      <w:bCs/>
                      <w:sz w:val="18"/>
                      <w:szCs w:val="18"/>
                    </w:rPr>
                  </w:pPr>
                  <w:r>
                    <w:rPr>
                      <w:bCs/>
                      <w:sz w:val="18"/>
                      <w:szCs w:val="18"/>
                    </w:rPr>
                    <w:t>DA017</w:t>
                  </w:r>
                </w:p>
              </w:tc>
              <w:tc>
                <w:tcPr>
                  <w:tcW w:w="785" w:type="pct"/>
                  <w:tcBorders>
                    <w:top w:val="single" w:sz="6" w:space="0" w:color="auto"/>
                    <w:left w:val="single" w:sz="6" w:space="0" w:color="auto"/>
                    <w:bottom w:val="single" w:sz="6" w:space="0" w:color="auto"/>
                    <w:right w:val="single" w:sz="6" w:space="0" w:color="auto"/>
                  </w:tcBorders>
                  <w:vAlign w:val="center"/>
                </w:tcPr>
                <w:p w14:paraId="733D75C9" w14:textId="77777777" w:rsidR="00F76A63" w:rsidRDefault="00000000">
                  <w:pPr>
                    <w:jc w:val="center"/>
                    <w:rPr>
                      <w:bCs/>
                      <w:sz w:val="18"/>
                      <w:szCs w:val="18"/>
                    </w:rPr>
                  </w:pPr>
                  <w:r>
                    <w:rPr>
                      <w:bCs/>
                      <w:sz w:val="18"/>
                      <w:szCs w:val="18"/>
                    </w:rPr>
                    <w:t>2#</w:t>
                  </w:r>
                  <w:r>
                    <w:rPr>
                      <w:bCs/>
                      <w:sz w:val="18"/>
                      <w:szCs w:val="18"/>
                    </w:rPr>
                    <w:t>熟料生产窑头</w:t>
                  </w:r>
                </w:p>
              </w:tc>
              <w:tc>
                <w:tcPr>
                  <w:tcW w:w="1083" w:type="pct"/>
                  <w:tcBorders>
                    <w:top w:val="single" w:sz="6" w:space="0" w:color="auto"/>
                    <w:left w:val="single" w:sz="6" w:space="0" w:color="auto"/>
                    <w:bottom w:val="single" w:sz="6" w:space="0" w:color="auto"/>
                    <w:right w:val="single" w:sz="6" w:space="0" w:color="auto"/>
                  </w:tcBorders>
                  <w:vAlign w:val="center"/>
                </w:tcPr>
                <w:p w14:paraId="17DC895F"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28EC3FA" w14:textId="77777777" w:rsidR="00F76A63" w:rsidRDefault="00000000">
                  <w:pPr>
                    <w:jc w:val="center"/>
                    <w:rPr>
                      <w:bCs/>
                      <w:sz w:val="18"/>
                      <w:szCs w:val="18"/>
                    </w:rPr>
                  </w:pPr>
                  <w:r>
                    <w:rPr>
                      <w:bCs/>
                      <w:sz w:val="18"/>
                      <w:szCs w:val="18"/>
                    </w:rPr>
                    <w:t>电袋复合除尘</w:t>
                  </w:r>
                </w:p>
              </w:tc>
              <w:tc>
                <w:tcPr>
                  <w:tcW w:w="642" w:type="pct"/>
                  <w:tcBorders>
                    <w:top w:val="single" w:sz="6" w:space="0" w:color="auto"/>
                    <w:left w:val="single" w:sz="6" w:space="0" w:color="auto"/>
                    <w:bottom w:val="single" w:sz="6" w:space="0" w:color="auto"/>
                    <w:right w:val="single" w:sz="6" w:space="0" w:color="auto"/>
                  </w:tcBorders>
                  <w:vAlign w:val="center"/>
                </w:tcPr>
                <w:p w14:paraId="3A0105B8" w14:textId="77777777" w:rsidR="00F76A63" w:rsidRDefault="00000000">
                  <w:pPr>
                    <w:jc w:val="center"/>
                    <w:rPr>
                      <w:bCs/>
                      <w:sz w:val="18"/>
                      <w:szCs w:val="18"/>
                    </w:rPr>
                  </w:pPr>
                  <w:r>
                    <w:rPr>
                      <w:bCs/>
                      <w:sz w:val="18"/>
                      <w:szCs w:val="18"/>
                    </w:rPr>
                    <w:t>40</w:t>
                  </w:r>
                </w:p>
              </w:tc>
              <w:tc>
                <w:tcPr>
                  <w:tcW w:w="577" w:type="pct"/>
                  <w:tcBorders>
                    <w:top w:val="single" w:sz="6" w:space="0" w:color="auto"/>
                    <w:left w:val="single" w:sz="6" w:space="0" w:color="auto"/>
                    <w:bottom w:val="single" w:sz="6" w:space="0" w:color="auto"/>
                    <w:right w:val="single" w:sz="6" w:space="0" w:color="auto"/>
                  </w:tcBorders>
                  <w:vAlign w:val="center"/>
                </w:tcPr>
                <w:p w14:paraId="54452AA7" w14:textId="77777777" w:rsidR="00F76A63" w:rsidRDefault="00000000">
                  <w:pPr>
                    <w:jc w:val="center"/>
                    <w:rPr>
                      <w:bCs/>
                      <w:sz w:val="18"/>
                      <w:szCs w:val="18"/>
                    </w:rPr>
                  </w:pPr>
                  <w:r>
                    <w:rPr>
                      <w:bCs/>
                      <w:sz w:val="18"/>
                      <w:szCs w:val="18"/>
                    </w:rPr>
                    <w:t>3.75</w:t>
                  </w:r>
                </w:p>
              </w:tc>
              <w:tc>
                <w:tcPr>
                  <w:tcW w:w="445" w:type="pct"/>
                  <w:tcBorders>
                    <w:top w:val="single" w:sz="6" w:space="0" w:color="auto"/>
                    <w:left w:val="single" w:sz="6" w:space="0" w:color="auto"/>
                    <w:bottom w:val="single" w:sz="6" w:space="0" w:color="auto"/>
                    <w:right w:val="nil"/>
                  </w:tcBorders>
                  <w:vAlign w:val="center"/>
                </w:tcPr>
                <w:p w14:paraId="7C822C18" w14:textId="77777777" w:rsidR="00F76A63" w:rsidRDefault="00000000">
                  <w:pPr>
                    <w:jc w:val="center"/>
                    <w:rPr>
                      <w:bCs/>
                      <w:sz w:val="18"/>
                      <w:szCs w:val="18"/>
                    </w:rPr>
                  </w:pPr>
                  <w:r>
                    <w:rPr>
                      <w:bCs/>
                      <w:sz w:val="18"/>
                      <w:szCs w:val="18"/>
                    </w:rPr>
                    <w:t>100</w:t>
                  </w:r>
                </w:p>
              </w:tc>
            </w:tr>
            <w:tr w:rsidR="00F76A63" w14:paraId="1141F4D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7AE911A" w14:textId="77777777" w:rsidR="00F76A63" w:rsidRDefault="00000000">
                  <w:pPr>
                    <w:jc w:val="center"/>
                    <w:rPr>
                      <w:bCs/>
                      <w:sz w:val="18"/>
                      <w:szCs w:val="18"/>
                    </w:rPr>
                  </w:pPr>
                  <w:r>
                    <w:rPr>
                      <w:bCs/>
                      <w:sz w:val="18"/>
                      <w:szCs w:val="18"/>
                    </w:rPr>
                    <w:t>DA018</w:t>
                  </w:r>
                </w:p>
              </w:tc>
              <w:tc>
                <w:tcPr>
                  <w:tcW w:w="785" w:type="pct"/>
                  <w:tcBorders>
                    <w:top w:val="single" w:sz="6" w:space="0" w:color="auto"/>
                    <w:left w:val="single" w:sz="6" w:space="0" w:color="auto"/>
                    <w:bottom w:val="single" w:sz="6" w:space="0" w:color="auto"/>
                    <w:right w:val="single" w:sz="6" w:space="0" w:color="auto"/>
                  </w:tcBorders>
                  <w:vAlign w:val="center"/>
                </w:tcPr>
                <w:p w14:paraId="1F0151D6" w14:textId="77777777" w:rsidR="00F76A63" w:rsidRDefault="00000000">
                  <w:pPr>
                    <w:jc w:val="center"/>
                    <w:rPr>
                      <w:bCs/>
                      <w:sz w:val="18"/>
                      <w:szCs w:val="18"/>
                    </w:rPr>
                  </w:pPr>
                  <w:r>
                    <w:rPr>
                      <w:bCs/>
                      <w:sz w:val="18"/>
                      <w:szCs w:val="18"/>
                    </w:rPr>
                    <w:t>2#</w:t>
                  </w:r>
                  <w:r>
                    <w:rPr>
                      <w:bCs/>
                      <w:sz w:val="18"/>
                      <w:szCs w:val="18"/>
                    </w:rPr>
                    <w:t>熟料库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10AD4BD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34373C9"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DBDC973" w14:textId="77777777" w:rsidR="00F76A63" w:rsidRDefault="00000000">
                  <w:pPr>
                    <w:jc w:val="center"/>
                    <w:rPr>
                      <w:bCs/>
                      <w:sz w:val="18"/>
                      <w:szCs w:val="18"/>
                    </w:rPr>
                  </w:pPr>
                  <w:r>
                    <w:rPr>
                      <w:bCs/>
                      <w:sz w:val="18"/>
                      <w:szCs w:val="18"/>
                    </w:rPr>
                    <w:t>40</w:t>
                  </w:r>
                </w:p>
              </w:tc>
              <w:tc>
                <w:tcPr>
                  <w:tcW w:w="577" w:type="pct"/>
                  <w:tcBorders>
                    <w:top w:val="single" w:sz="6" w:space="0" w:color="auto"/>
                    <w:left w:val="single" w:sz="6" w:space="0" w:color="auto"/>
                    <w:bottom w:val="single" w:sz="6" w:space="0" w:color="auto"/>
                    <w:right w:val="single" w:sz="6" w:space="0" w:color="auto"/>
                  </w:tcBorders>
                  <w:vAlign w:val="center"/>
                </w:tcPr>
                <w:p w14:paraId="64E61C0A" w14:textId="77777777" w:rsidR="00F76A63" w:rsidRDefault="00000000">
                  <w:pPr>
                    <w:jc w:val="center"/>
                    <w:rPr>
                      <w:bCs/>
                      <w:sz w:val="18"/>
                      <w:szCs w:val="18"/>
                    </w:rPr>
                  </w:pPr>
                  <w:r>
                    <w:rPr>
                      <w:bCs/>
                      <w:sz w:val="18"/>
                      <w:szCs w:val="18"/>
                    </w:rPr>
                    <w:t>0.9</w:t>
                  </w:r>
                </w:p>
              </w:tc>
              <w:tc>
                <w:tcPr>
                  <w:tcW w:w="445" w:type="pct"/>
                  <w:tcBorders>
                    <w:top w:val="single" w:sz="6" w:space="0" w:color="auto"/>
                    <w:left w:val="single" w:sz="6" w:space="0" w:color="auto"/>
                    <w:bottom w:val="single" w:sz="6" w:space="0" w:color="auto"/>
                    <w:right w:val="nil"/>
                  </w:tcBorders>
                  <w:vAlign w:val="center"/>
                </w:tcPr>
                <w:p w14:paraId="6ACE8E9C" w14:textId="77777777" w:rsidR="00F76A63" w:rsidRDefault="00000000">
                  <w:pPr>
                    <w:jc w:val="center"/>
                    <w:rPr>
                      <w:bCs/>
                      <w:sz w:val="18"/>
                      <w:szCs w:val="18"/>
                    </w:rPr>
                  </w:pPr>
                  <w:r>
                    <w:rPr>
                      <w:bCs/>
                      <w:sz w:val="18"/>
                      <w:szCs w:val="18"/>
                    </w:rPr>
                    <w:t>60</w:t>
                  </w:r>
                </w:p>
              </w:tc>
            </w:tr>
            <w:tr w:rsidR="00F76A63" w14:paraId="52E7CAC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A5B248A" w14:textId="77777777" w:rsidR="00F76A63" w:rsidRDefault="00000000">
                  <w:pPr>
                    <w:jc w:val="center"/>
                    <w:rPr>
                      <w:bCs/>
                      <w:sz w:val="18"/>
                      <w:szCs w:val="18"/>
                    </w:rPr>
                  </w:pPr>
                  <w:r>
                    <w:rPr>
                      <w:bCs/>
                      <w:sz w:val="18"/>
                      <w:szCs w:val="18"/>
                    </w:rPr>
                    <w:t>DA019</w:t>
                  </w:r>
                </w:p>
              </w:tc>
              <w:tc>
                <w:tcPr>
                  <w:tcW w:w="785" w:type="pct"/>
                  <w:tcBorders>
                    <w:top w:val="single" w:sz="6" w:space="0" w:color="auto"/>
                    <w:left w:val="single" w:sz="6" w:space="0" w:color="auto"/>
                    <w:bottom w:val="single" w:sz="6" w:space="0" w:color="auto"/>
                    <w:right w:val="single" w:sz="6" w:space="0" w:color="auto"/>
                  </w:tcBorders>
                  <w:vAlign w:val="center"/>
                </w:tcPr>
                <w:p w14:paraId="059597B4" w14:textId="77777777" w:rsidR="00F76A63" w:rsidRDefault="00000000">
                  <w:pPr>
                    <w:jc w:val="center"/>
                    <w:rPr>
                      <w:bCs/>
                      <w:sz w:val="18"/>
                      <w:szCs w:val="18"/>
                    </w:rPr>
                  </w:pPr>
                  <w:r>
                    <w:rPr>
                      <w:bCs/>
                      <w:sz w:val="18"/>
                      <w:szCs w:val="18"/>
                    </w:rPr>
                    <w:t>2#</w:t>
                  </w:r>
                  <w:r>
                    <w:rPr>
                      <w:bCs/>
                      <w:sz w:val="18"/>
                      <w:szCs w:val="18"/>
                    </w:rPr>
                    <w:t>煤磨</w:t>
                  </w:r>
                </w:p>
              </w:tc>
              <w:tc>
                <w:tcPr>
                  <w:tcW w:w="1083" w:type="pct"/>
                  <w:tcBorders>
                    <w:top w:val="single" w:sz="6" w:space="0" w:color="auto"/>
                    <w:left w:val="single" w:sz="6" w:space="0" w:color="auto"/>
                    <w:bottom w:val="single" w:sz="6" w:space="0" w:color="auto"/>
                    <w:right w:val="single" w:sz="6" w:space="0" w:color="auto"/>
                  </w:tcBorders>
                  <w:vAlign w:val="center"/>
                </w:tcPr>
                <w:p w14:paraId="56E9988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A8C449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230F3E8"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3B09DFF3" w14:textId="77777777" w:rsidR="00F76A63" w:rsidRDefault="00000000">
                  <w:pPr>
                    <w:jc w:val="center"/>
                    <w:rPr>
                      <w:bCs/>
                      <w:sz w:val="18"/>
                      <w:szCs w:val="18"/>
                    </w:rPr>
                  </w:pPr>
                  <w:r>
                    <w:rPr>
                      <w:bCs/>
                      <w:sz w:val="18"/>
                      <w:szCs w:val="18"/>
                    </w:rPr>
                    <w:t>1.42</w:t>
                  </w:r>
                </w:p>
              </w:tc>
              <w:tc>
                <w:tcPr>
                  <w:tcW w:w="445" w:type="pct"/>
                  <w:tcBorders>
                    <w:top w:val="single" w:sz="6" w:space="0" w:color="auto"/>
                    <w:left w:val="single" w:sz="6" w:space="0" w:color="auto"/>
                    <w:bottom w:val="single" w:sz="6" w:space="0" w:color="auto"/>
                    <w:right w:val="nil"/>
                  </w:tcBorders>
                  <w:vAlign w:val="center"/>
                </w:tcPr>
                <w:p w14:paraId="04E150DC" w14:textId="77777777" w:rsidR="00F76A63" w:rsidRDefault="00000000">
                  <w:pPr>
                    <w:jc w:val="center"/>
                    <w:rPr>
                      <w:bCs/>
                      <w:sz w:val="18"/>
                      <w:szCs w:val="18"/>
                    </w:rPr>
                  </w:pPr>
                  <w:r>
                    <w:rPr>
                      <w:bCs/>
                      <w:sz w:val="18"/>
                      <w:szCs w:val="18"/>
                    </w:rPr>
                    <w:t>80</w:t>
                  </w:r>
                </w:p>
              </w:tc>
            </w:tr>
            <w:tr w:rsidR="00F76A63" w14:paraId="1ABFB42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15A4F38" w14:textId="77777777" w:rsidR="00F76A63" w:rsidRDefault="00000000">
                  <w:pPr>
                    <w:jc w:val="center"/>
                    <w:rPr>
                      <w:bCs/>
                      <w:sz w:val="18"/>
                      <w:szCs w:val="18"/>
                    </w:rPr>
                  </w:pPr>
                  <w:r>
                    <w:rPr>
                      <w:bCs/>
                      <w:sz w:val="18"/>
                      <w:szCs w:val="18"/>
                    </w:rPr>
                    <w:t>DA020</w:t>
                  </w:r>
                </w:p>
              </w:tc>
              <w:tc>
                <w:tcPr>
                  <w:tcW w:w="785" w:type="pct"/>
                  <w:tcBorders>
                    <w:top w:val="single" w:sz="6" w:space="0" w:color="auto"/>
                    <w:left w:val="single" w:sz="6" w:space="0" w:color="auto"/>
                    <w:bottom w:val="single" w:sz="6" w:space="0" w:color="auto"/>
                    <w:right w:val="single" w:sz="6" w:space="0" w:color="auto"/>
                  </w:tcBorders>
                  <w:vAlign w:val="center"/>
                </w:tcPr>
                <w:p w14:paraId="209DC98C" w14:textId="77777777" w:rsidR="00F76A63" w:rsidRDefault="00000000">
                  <w:pPr>
                    <w:jc w:val="center"/>
                    <w:rPr>
                      <w:bCs/>
                      <w:sz w:val="18"/>
                      <w:szCs w:val="18"/>
                    </w:rPr>
                  </w:pPr>
                  <w:r>
                    <w:rPr>
                      <w:bCs/>
                      <w:sz w:val="18"/>
                      <w:szCs w:val="18"/>
                    </w:rPr>
                    <w:t>1#</w:t>
                  </w:r>
                  <w:r>
                    <w:rPr>
                      <w:bCs/>
                      <w:sz w:val="18"/>
                      <w:szCs w:val="18"/>
                    </w:rPr>
                    <w:t>矿山破碎机</w:t>
                  </w:r>
                </w:p>
              </w:tc>
              <w:tc>
                <w:tcPr>
                  <w:tcW w:w="1083" w:type="pct"/>
                  <w:tcBorders>
                    <w:top w:val="single" w:sz="6" w:space="0" w:color="auto"/>
                    <w:left w:val="single" w:sz="6" w:space="0" w:color="auto"/>
                    <w:bottom w:val="single" w:sz="6" w:space="0" w:color="auto"/>
                    <w:right w:val="single" w:sz="6" w:space="0" w:color="auto"/>
                  </w:tcBorders>
                  <w:vAlign w:val="center"/>
                </w:tcPr>
                <w:p w14:paraId="6049CE28"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A76CD9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ABAEE42"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405314DF"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4E548002" w14:textId="77777777" w:rsidR="00F76A63" w:rsidRDefault="00000000">
                  <w:pPr>
                    <w:jc w:val="center"/>
                    <w:rPr>
                      <w:bCs/>
                      <w:sz w:val="18"/>
                      <w:szCs w:val="18"/>
                    </w:rPr>
                  </w:pPr>
                  <w:r>
                    <w:rPr>
                      <w:bCs/>
                      <w:sz w:val="18"/>
                      <w:szCs w:val="18"/>
                    </w:rPr>
                    <w:t>常温</w:t>
                  </w:r>
                </w:p>
              </w:tc>
            </w:tr>
            <w:tr w:rsidR="00F76A63" w14:paraId="6AD67413"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76E22F1" w14:textId="77777777" w:rsidR="00F76A63" w:rsidRDefault="00000000">
                  <w:pPr>
                    <w:jc w:val="center"/>
                    <w:rPr>
                      <w:bCs/>
                      <w:sz w:val="18"/>
                      <w:szCs w:val="18"/>
                    </w:rPr>
                  </w:pPr>
                  <w:r>
                    <w:rPr>
                      <w:bCs/>
                      <w:sz w:val="18"/>
                      <w:szCs w:val="18"/>
                    </w:rPr>
                    <w:t>DA021</w:t>
                  </w:r>
                </w:p>
              </w:tc>
              <w:tc>
                <w:tcPr>
                  <w:tcW w:w="785" w:type="pct"/>
                  <w:tcBorders>
                    <w:top w:val="single" w:sz="6" w:space="0" w:color="auto"/>
                    <w:left w:val="single" w:sz="6" w:space="0" w:color="auto"/>
                    <w:bottom w:val="single" w:sz="6" w:space="0" w:color="auto"/>
                    <w:right w:val="single" w:sz="6" w:space="0" w:color="auto"/>
                  </w:tcBorders>
                  <w:vAlign w:val="center"/>
                </w:tcPr>
                <w:p w14:paraId="673F3FEE" w14:textId="77777777" w:rsidR="00F76A63" w:rsidRDefault="00000000">
                  <w:pPr>
                    <w:jc w:val="center"/>
                    <w:rPr>
                      <w:bCs/>
                      <w:sz w:val="18"/>
                      <w:szCs w:val="18"/>
                    </w:rPr>
                  </w:pPr>
                  <w:r>
                    <w:rPr>
                      <w:bCs/>
                      <w:sz w:val="18"/>
                      <w:szCs w:val="18"/>
                    </w:rPr>
                    <w:t>矿区输送皮带</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0084792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527E7D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6F6F350"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1AE103FB"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45626556" w14:textId="77777777" w:rsidR="00F76A63" w:rsidRDefault="00000000">
                  <w:pPr>
                    <w:jc w:val="center"/>
                    <w:rPr>
                      <w:bCs/>
                      <w:sz w:val="18"/>
                      <w:szCs w:val="18"/>
                    </w:rPr>
                  </w:pPr>
                  <w:r>
                    <w:rPr>
                      <w:bCs/>
                      <w:sz w:val="18"/>
                      <w:szCs w:val="18"/>
                    </w:rPr>
                    <w:t>常温</w:t>
                  </w:r>
                </w:p>
              </w:tc>
            </w:tr>
            <w:tr w:rsidR="00F76A63" w14:paraId="6F4607C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02FE2F4" w14:textId="77777777" w:rsidR="00F76A63" w:rsidRDefault="00000000">
                  <w:pPr>
                    <w:jc w:val="center"/>
                    <w:rPr>
                      <w:bCs/>
                      <w:sz w:val="18"/>
                      <w:szCs w:val="18"/>
                    </w:rPr>
                  </w:pPr>
                  <w:r>
                    <w:rPr>
                      <w:bCs/>
                      <w:sz w:val="18"/>
                      <w:szCs w:val="18"/>
                    </w:rPr>
                    <w:t>DA022</w:t>
                  </w:r>
                </w:p>
              </w:tc>
              <w:tc>
                <w:tcPr>
                  <w:tcW w:w="785" w:type="pct"/>
                  <w:tcBorders>
                    <w:top w:val="single" w:sz="6" w:space="0" w:color="auto"/>
                    <w:left w:val="single" w:sz="6" w:space="0" w:color="auto"/>
                    <w:bottom w:val="single" w:sz="6" w:space="0" w:color="auto"/>
                    <w:right w:val="single" w:sz="6" w:space="0" w:color="auto"/>
                  </w:tcBorders>
                  <w:vAlign w:val="center"/>
                </w:tcPr>
                <w:p w14:paraId="082293C5" w14:textId="77777777" w:rsidR="00F76A63" w:rsidRDefault="00000000">
                  <w:pPr>
                    <w:jc w:val="center"/>
                    <w:rPr>
                      <w:bCs/>
                      <w:sz w:val="18"/>
                      <w:szCs w:val="18"/>
                    </w:rPr>
                  </w:pPr>
                  <w:r>
                    <w:rPr>
                      <w:bCs/>
                      <w:sz w:val="18"/>
                      <w:szCs w:val="18"/>
                    </w:rPr>
                    <w:t>黏土破碎机排口</w:t>
                  </w:r>
                </w:p>
              </w:tc>
              <w:tc>
                <w:tcPr>
                  <w:tcW w:w="1083" w:type="pct"/>
                  <w:tcBorders>
                    <w:top w:val="single" w:sz="6" w:space="0" w:color="auto"/>
                    <w:left w:val="single" w:sz="6" w:space="0" w:color="auto"/>
                    <w:bottom w:val="single" w:sz="6" w:space="0" w:color="auto"/>
                    <w:right w:val="single" w:sz="6" w:space="0" w:color="auto"/>
                  </w:tcBorders>
                  <w:vAlign w:val="center"/>
                </w:tcPr>
                <w:p w14:paraId="318B99F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39EC22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C8AD35F"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44DB9364"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36B23FCA" w14:textId="77777777" w:rsidR="00F76A63" w:rsidRDefault="00000000">
                  <w:pPr>
                    <w:jc w:val="center"/>
                    <w:rPr>
                      <w:bCs/>
                      <w:sz w:val="18"/>
                      <w:szCs w:val="18"/>
                    </w:rPr>
                  </w:pPr>
                  <w:r>
                    <w:rPr>
                      <w:bCs/>
                      <w:sz w:val="18"/>
                      <w:szCs w:val="18"/>
                    </w:rPr>
                    <w:t>常温</w:t>
                  </w:r>
                </w:p>
              </w:tc>
            </w:tr>
            <w:tr w:rsidR="00F76A63" w14:paraId="7B03F23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CA4CCCE" w14:textId="77777777" w:rsidR="00F76A63" w:rsidRDefault="00000000">
                  <w:pPr>
                    <w:jc w:val="center"/>
                    <w:rPr>
                      <w:bCs/>
                      <w:sz w:val="18"/>
                      <w:szCs w:val="18"/>
                    </w:rPr>
                  </w:pPr>
                  <w:r>
                    <w:rPr>
                      <w:bCs/>
                      <w:sz w:val="18"/>
                      <w:szCs w:val="18"/>
                    </w:rPr>
                    <w:t>DA023</w:t>
                  </w:r>
                </w:p>
              </w:tc>
              <w:tc>
                <w:tcPr>
                  <w:tcW w:w="785" w:type="pct"/>
                  <w:tcBorders>
                    <w:top w:val="single" w:sz="6" w:space="0" w:color="auto"/>
                    <w:left w:val="single" w:sz="6" w:space="0" w:color="auto"/>
                    <w:bottom w:val="single" w:sz="6" w:space="0" w:color="auto"/>
                    <w:right w:val="single" w:sz="6" w:space="0" w:color="auto"/>
                  </w:tcBorders>
                  <w:vAlign w:val="center"/>
                </w:tcPr>
                <w:p w14:paraId="0951FC8A" w14:textId="77777777" w:rsidR="00F76A63" w:rsidRDefault="00000000">
                  <w:pPr>
                    <w:jc w:val="center"/>
                    <w:rPr>
                      <w:bCs/>
                      <w:sz w:val="18"/>
                      <w:szCs w:val="18"/>
                    </w:rPr>
                  </w:pPr>
                  <w:r>
                    <w:rPr>
                      <w:bCs/>
                      <w:sz w:val="18"/>
                      <w:szCs w:val="18"/>
                    </w:rPr>
                    <w:t>1#</w:t>
                  </w:r>
                  <w:r>
                    <w:rPr>
                      <w:bCs/>
                      <w:sz w:val="18"/>
                      <w:szCs w:val="18"/>
                    </w:rPr>
                    <w:t>熟料生产配料仓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2951FDC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9822F69"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261A0BE"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16606B73"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0C06C6C4" w14:textId="77777777" w:rsidR="00F76A63" w:rsidRDefault="00000000">
                  <w:pPr>
                    <w:jc w:val="center"/>
                    <w:rPr>
                      <w:bCs/>
                      <w:sz w:val="18"/>
                      <w:szCs w:val="18"/>
                    </w:rPr>
                  </w:pPr>
                  <w:r>
                    <w:rPr>
                      <w:bCs/>
                      <w:sz w:val="18"/>
                      <w:szCs w:val="18"/>
                    </w:rPr>
                    <w:t>常温</w:t>
                  </w:r>
                </w:p>
              </w:tc>
            </w:tr>
            <w:tr w:rsidR="00F76A63" w14:paraId="17AB830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1701DD7" w14:textId="77777777" w:rsidR="00F76A63" w:rsidRDefault="00000000">
                  <w:pPr>
                    <w:jc w:val="center"/>
                    <w:rPr>
                      <w:bCs/>
                      <w:sz w:val="18"/>
                      <w:szCs w:val="18"/>
                    </w:rPr>
                  </w:pPr>
                  <w:r>
                    <w:rPr>
                      <w:bCs/>
                      <w:sz w:val="18"/>
                      <w:szCs w:val="18"/>
                    </w:rPr>
                    <w:t>DA024</w:t>
                  </w:r>
                </w:p>
              </w:tc>
              <w:tc>
                <w:tcPr>
                  <w:tcW w:w="785" w:type="pct"/>
                  <w:tcBorders>
                    <w:top w:val="single" w:sz="6" w:space="0" w:color="auto"/>
                    <w:left w:val="single" w:sz="6" w:space="0" w:color="auto"/>
                    <w:bottom w:val="single" w:sz="6" w:space="0" w:color="auto"/>
                    <w:right w:val="single" w:sz="6" w:space="0" w:color="auto"/>
                  </w:tcBorders>
                  <w:vAlign w:val="center"/>
                </w:tcPr>
                <w:p w14:paraId="2535B6AB" w14:textId="77777777" w:rsidR="00F76A63" w:rsidRDefault="00000000">
                  <w:pPr>
                    <w:jc w:val="center"/>
                    <w:rPr>
                      <w:bCs/>
                      <w:sz w:val="18"/>
                      <w:szCs w:val="18"/>
                    </w:rPr>
                  </w:pPr>
                  <w:r>
                    <w:rPr>
                      <w:bCs/>
                      <w:sz w:val="18"/>
                      <w:szCs w:val="18"/>
                    </w:rPr>
                    <w:t>1#</w:t>
                  </w:r>
                  <w:r>
                    <w:rPr>
                      <w:bCs/>
                      <w:sz w:val="18"/>
                      <w:szCs w:val="18"/>
                    </w:rPr>
                    <w:t>熟料生产配料仓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18AD97B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6A2EA6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3083D5A"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2E2672CC"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140ED26E" w14:textId="77777777" w:rsidR="00F76A63" w:rsidRDefault="00000000">
                  <w:pPr>
                    <w:jc w:val="center"/>
                    <w:rPr>
                      <w:bCs/>
                      <w:sz w:val="18"/>
                      <w:szCs w:val="18"/>
                    </w:rPr>
                  </w:pPr>
                  <w:r>
                    <w:rPr>
                      <w:bCs/>
                      <w:sz w:val="18"/>
                      <w:szCs w:val="18"/>
                    </w:rPr>
                    <w:t>常温</w:t>
                  </w:r>
                </w:p>
              </w:tc>
            </w:tr>
            <w:tr w:rsidR="00F76A63" w14:paraId="75BB89F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9CE7ECF" w14:textId="77777777" w:rsidR="00F76A63" w:rsidRDefault="00000000">
                  <w:pPr>
                    <w:jc w:val="center"/>
                    <w:rPr>
                      <w:bCs/>
                      <w:sz w:val="18"/>
                      <w:szCs w:val="18"/>
                    </w:rPr>
                  </w:pPr>
                  <w:r>
                    <w:rPr>
                      <w:bCs/>
                      <w:sz w:val="18"/>
                      <w:szCs w:val="18"/>
                    </w:rPr>
                    <w:t>DA025</w:t>
                  </w:r>
                </w:p>
              </w:tc>
              <w:tc>
                <w:tcPr>
                  <w:tcW w:w="785" w:type="pct"/>
                  <w:tcBorders>
                    <w:top w:val="single" w:sz="6" w:space="0" w:color="auto"/>
                    <w:left w:val="single" w:sz="6" w:space="0" w:color="auto"/>
                    <w:bottom w:val="single" w:sz="6" w:space="0" w:color="auto"/>
                    <w:right w:val="single" w:sz="6" w:space="0" w:color="auto"/>
                  </w:tcBorders>
                  <w:vAlign w:val="center"/>
                </w:tcPr>
                <w:p w14:paraId="71E387D0" w14:textId="77777777" w:rsidR="00F76A63" w:rsidRDefault="00000000">
                  <w:pPr>
                    <w:jc w:val="center"/>
                    <w:rPr>
                      <w:bCs/>
                      <w:sz w:val="18"/>
                      <w:szCs w:val="18"/>
                    </w:rPr>
                  </w:pPr>
                  <w:r>
                    <w:rPr>
                      <w:bCs/>
                      <w:sz w:val="18"/>
                      <w:szCs w:val="18"/>
                    </w:rPr>
                    <w:t>1#</w:t>
                  </w:r>
                  <w:r>
                    <w:rPr>
                      <w:bCs/>
                      <w:sz w:val="18"/>
                      <w:szCs w:val="18"/>
                    </w:rPr>
                    <w:t>输送系统</w:t>
                  </w:r>
                  <w:r>
                    <w:rPr>
                      <w:bCs/>
                      <w:sz w:val="18"/>
                      <w:szCs w:val="18"/>
                    </w:rPr>
                    <w:t>5</w:t>
                  </w:r>
                </w:p>
              </w:tc>
              <w:tc>
                <w:tcPr>
                  <w:tcW w:w="1083" w:type="pct"/>
                  <w:tcBorders>
                    <w:top w:val="single" w:sz="6" w:space="0" w:color="auto"/>
                    <w:left w:val="single" w:sz="6" w:space="0" w:color="auto"/>
                    <w:bottom w:val="single" w:sz="6" w:space="0" w:color="auto"/>
                    <w:right w:val="single" w:sz="6" w:space="0" w:color="auto"/>
                  </w:tcBorders>
                  <w:vAlign w:val="center"/>
                </w:tcPr>
                <w:p w14:paraId="40DE34BE"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79A325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18B15B7"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2FCCF7F4"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655129C0" w14:textId="77777777" w:rsidR="00F76A63" w:rsidRDefault="00000000">
                  <w:pPr>
                    <w:jc w:val="center"/>
                    <w:rPr>
                      <w:bCs/>
                      <w:sz w:val="18"/>
                      <w:szCs w:val="18"/>
                    </w:rPr>
                  </w:pPr>
                  <w:r>
                    <w:rPr>
                      <w:bCs/>
                      <w:sz w:val="18"/>
                      <w:szCs w:val="18"/>
                    </w:rPr>
                    <w:t>常温</w:t>
                  </w:r>
                </w:p>
              </w:tc>
            </w:tr>
            <w:tr w:rsidR="00F76A63" w14:paraId="54346B3C"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6A95D37" w14:textId="77777777" w:rsidR="00F76A63" w:rsidRDefault="00000000">
                  <w:pPr>
                    <w:jc w:val="center"/>
                    <w:rPr>
                      <w:bCs/>
                      <w:sz w:val="18"/>
                      <w:szCs w:val="18"/>
                    </w:rPr>
                  </w:pPr>
                  <w:r>
                    <w:rPr>
                      <w:bCs/>
                      <w:sz w:val="18"/>
                      <w:szCs w:val="18"/>
                    </w:rPr>
                    <w:t>DA026</w:t>
                  </w:r>
                </w:p>
              </w:tc>
              <w:tc>
                <w:tcPr>
                  <w:tcW w:w="785" w:type="pct"/>
                  <w:tcBorders>
                    <w:top w:val="single" w:sz="6" w:space="0" w:color="auto"/>
                    <w:left w:val="single" w:sz="6" w:space="0" w:color="auto"/>
                    <w:bottom w:val="single" w:sz="6" w:space="0" w:color="auto"/>
                    <w:right w:val="single" w:sz="6" w:space="0" w:color="auto"/>
                  </w:tcBorders>
                  <w:vAlign w:val="center"/>
                </w:tcPr>
                <w:p w14:paraId="1A69EAB6" w14:textId="77777777" w:rsidR="00F76A63" w:rsidRDefault="00000000">
                  <w:pPr>
                    <w:jc w:val="center"/>
                    <w:rPr>
                      <w:bCs/>
                      <w:sz w:val="18"/>
                      <w:szCs w:val="18"/>
                    </w:rPr>
                  </w:pPr>
                  <w:r>
                    <w:rPr>
                      <w:bCs/>
                      <w:sz w:val="18"/>
                      <w:szCs w:val="18"/>
                    </w:rPr>
                    <w:t>1#</w:t>
                  </w:r>
                  <w:r>
                    <w:rPr>
                      <w:bCs/>
                      <w:sz w:val="18"/>
                      <w:szCs w:val="18"/>
                    </w:rPr>
                    <w:t>生料库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6C5E18E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0EDB552"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A520A8A" w14:textId="77777777" w:rsidR="00F76A63" w:rsidRDefault="00000000">
                  <w:pPr>
                    <w:jc w:val="center"/>
                    <w:rPr>
                      <w:bCs/>
                      <w:sz w:val="18"/>
                      <w:szCs w:val="18"/>
                    </w:rPr>
                  </w:pPr>
                  <w:r>
                    <w:rPr>
                      <w:bCs/>
                      <w:sz w:val="18"/>
                      <w:szCs w:val="18"/>
                    </w:rPr>
                    <w:t>50</w:t>
                  </w:r>
                </w:p>
              </w:tc>
              <w:tc>
                <w:tcPr>
                  <w:tcW w:w="577" w:type="pct"/>
                  <w:tcBorders>
                    <w:top w:val="single" w:sz="6" w:space="0" w:color="auto"/>
                    <w:left w:val="single" w:sz="6" w:space="0" w:color="auto"/>
                    <w:bottom w:val="single" w:sz="6" w:space="0" w:color="auto"/>
                    <w:right w:val="single" w:sz="6" w:space="0" w:color="auto"/>
                  </w:tcBorders>
                  <w:vAlign w:val="center"/>
                </w:tcPr>
                <w:p w14:paraId="686B44CB" w14:textId="77777777" w:rsidR="00F76A63" w:rsidRDefault="00000000">
                  <w:pPr>
                    <w:jc w:val="center"/>
                    <w:rPr>
                      <w:bCs/>
                      <w:sz w:val="18"/>
                      <w:szCs w:val="18"/>
                    </w:rPr>
                  </w:pPr>
                  <w:r>
                    <w:rPr>
                      <w:bCs/>
                      <w:sz w:val="18"/>
                      <w:szCs w:val="18"/>
                    </w:rPr>
                    <w:t>0.6</w:t>
                  </w:r>
                </w:p>
              </w:tc>
              <w:tc>
                <w:tcPr>
                  <w:tcW w:w="445" w:type="pct"/>
                  <w:tcBorders>
                    <w:top w:val="single" w:sz="6" w:space="0" w:color="auto"/>
                    <w:left w:val="single" w:sz="6" w:space="0" w:color="auto"/>
                    <w:bottom w:val="single" w:sz="6" w:space="0" w:color="auto"/>
                    <w:right w:val="nil"/>
                  </w:tcBorders>
                  <w:vAlign w:val="center"/>
                </w:tcPr>
                <w:p w14:paraId="763B18D4" w14:textId="77777777" w:rsidR="00F76A63" w:rsidRDefault="00000000">
                  <w:pPr>
                    <w:jc w:val="center"/>
                    <w:rPr>
                      <w:bCs/>
                      <w:sz w:val="18"/>
                      <w:szCs w:val="18"/>
                    </w:rPr>
                  </w:pPr>
                  <w:r>
                    <w:rPr>
                      <w:bCs/>
                      <w:sz w:val="18"/>
                      <w:szCs w:val="18"/>
                    </w:rPr>
                    <w:t>60</w:t>
                  </w:r>
                </w:p>
              </w:tc>
            </w:tr>
            <w:tr w:rsidR="00F76A63" w14:paraId="01F187E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A02BE20" w14:textId="77777777" w:rsidR="00F76A63" w:rsidRDefault="00000000">
                  <w:pPr>
                    <w:jc w:val="center"/>
                    <w:rPr>
                      <w:bCs/>
                      <w:sz w:val="18"/>
                      <w:szCs w:val="18"/>
                    </w:rPr>
                  </w:pPr>
                  <w:r>
                    <w:rPr>
                      <w:bCs/>
                      <w:sz w:val="18"/>
                      <w:szCs w:val="18"/>
                    </w:rPr>
                    <w:t>DA027</w:t>
                  </w:r>
                </w:p>
              </w:tc>
              <w:tc>
                <w:tcPr>
                  <w:tcW w:w="785" w:type="pct"/>
                  <w:tcBorders>
                    <w:top w:val="single" w:sz="6" w:space="0" w:color="auto"/>
                    <w:left w:val="single" w:sz="6" w:space="0" w:color="auto"/>
                    <w:bottom w:val="single" w:sz="6" w:space="0" w:color="auto"/>
                    <w:right w:val="single" w:sz="6" w:space="0" w:color="auto"/>
                  </w:tcBorders>
                  <w:vAlign w:val="center"/>
                </w:tcPr>
                <w:p w14:paraId="5644CFF4" w14:textId="77777777" w:rsidR="00F76A63" w:rsidRDefault="00000000">
                  <w:pPr>
                    <w:jc w:val="center"/>
                    <w:rPr>
                      <w:bCs/>
                      <w:sz w:val="18"/>
                      <w:szCs w:val="18"/>
                    </w:rPr>
                  </w:pPr>
                  <w:r>
                    <w:rPr>
                      <w:bCs/>
                      <w:sz w:val="18"/>
                      <w:szCs w:val="18"/>
                    </w:rPr>
                    <w:t>10#</w:t>
                  </w:r>
                  <w:r>
                    <w:rPr>
                      <w:bCs/>
                      <w:sz w:val="18"/>
                      <w:szCs w:val="18"/>
                    </w:rPr>
                    <w:t>水泥库</w:t>
                  </w:r>
                </w:p>
              </w:tc>
              <w:tc>
                <w:tcPr>
                  <w:tcW w:w="1083" w:type="pct"/>
                  <w:tcBorders>
                    <w:top w:val="single" w:sz="6" w:space="0" w:color="auto"/>
                    <w:left w:val="single" w:sz="6" w:space="0" w:color="auto"/>
                    <w:bottom w:val="single" w:sz="6" w:space="0" w:color="auto"/>
                    <w:right w:val="single" w:sz="6" w:space="0" w:color="auto"/>
                  </w:tcBorders>
                  <w:vAlign w:val="center"/>
                </w:tcPr>
                <w:p w14:paraId="28EAA71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D1838C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547F374" w14:textId="77777777" w:rsidR="00F76A63" w:rsidRDefault="00000000">
                  <w:pPr>
                    <w:jc w:val="center"/>
                    <w:rPr>
                      <w:bCs/>
                      <w:sz w:val="18"/>
                      <w:szCs w:val="18"/>
                    </w:rPr>
                  </w:pPr>
                  <w:r>
                    <w:rPr>
                      <w:bCs/>
                      <w:sz w:val="18"/>
                      <w:szCs w:val="18"/>
                    </w:rPr>
                    <w:t>50</w:t>
                  </w:r>
                </w:p>
              </w:tc>
              <w:tc>
                <w:tcPr>
                  <w:tcW w:w="577" w:type="pct"/>
                  <w:tcBorders>
                    <w:top w:val="single" w:sz="6" w:space="0" w:color="auto"/>
                    <w:left w:val="single" w:sz="6" w:space="0" w:color="auto"/>
                    <w:bottom w:val="single" w:sz="6" w:space="0" w:color="auto"/>
                    <w:right w:val="single" w:sz="6" w:space="0" w:color="auto"/>
                  </w:tcBorders>
                  <w:vAlign w:val="center"/>
                </w:tcPr>
                <w:p w14:paraId="245380F5"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32870C59" w14:textId="77777777" w:rsidR="00F76A63" w:rsidRDefault="00000000">
                  <w:pPr>
                    <w:jc w:val="center"/>
                    <w:rPr>
                      <w:bCs/>
                      <w:sz w:val="18"/>
                      <w:szCs w:val="18"/>
                    </w:rPr>
                  </w:pPr>
                  <w:r>
                    <w:rPr>
                      <w:bCs/>
                      <w:sz w:val="18"/>
                      <w:szCs w:val="18"/>
                    </w:rPr>
                    <w:t>80</w:t>
                  </w:r>
                </w:p>
              </w:tc>
            </w:tr>
            <w:tr w:rsidR="00F76A63" w14:paraId="6DC46E1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9F76D08" w14:textId="77777777" w:rsidR="00F76A63" w:rsidRDefault="00000000">
                  <w:pPr>
                    <w:jc w:val="center"/>
                    <w:rPr>
                      <w:bCs/>
                      <w:sz w:val="18"/>
                      <w:szCs w:val="18"/>
                    </w:rPr>
                  </w:pPr>
                  <w:r>
                    <w:rPr>
                      <w:bCs/>
                      <w:sz w:val="18"/>
                      <w:szCs w:val="18"/>
                    </w:rPr>
                    <w:t>DA028</w:t>
                  </w:r>
                </w:p>
              </w:tc>
              <w:tc>
                <w:tcPr>
                  <w:tcW w:w="785" w:type="pct"/>
                  <w:tcBorders>
                    <w:top w:val="single" w:sz="6" w:space="0" w:color="auto"/>
                    <w:left w:val="single" w:sz="6" w:space="0" w:color="auto"/>
                    <w:bottom w:val="single" w:sz="6" w:space="0" w:color="auto"/>
                    <w:right w:val="single" w:sz="6" w:space="0" w:color="auto"/>
                  </w:tcBorders>
                  <w:vAlign w:val="center"/>
                </w:tcPr>
                <w:p w14:paraId="141E83A9" w14:textId="77777777" w:rsidR="00F76A63" w:rsidRDefault="00000000">
                  <w:pPr>
                    <w:jc w:val="center"/>
                    <w:rPr>
                      <w:bCs/>
                      <w:sz w:val="18"/>
                      <w:szCs w:val="18"/>
                    </w:rPr>
                  </w:pPr>
                  <w:r>
                    <w:rPr>
                      <w:bCs/>
                      <w:sz w:val="18"/>
                      <w:szCs w:val="18"/>
                    </w:rPr>
                    <w:t>1#</w:t>
                  </w:r>
                  <w:r>
                    <w:rPr>
                      <w:bCs/>
                      <w:sz w:val="18"/>
                      <w:szCs w:val="18"/>
                    </w:rPr>
                    <w:t>物料输送</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71AD93E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B0FF6E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E7F2095"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0E11BDDD"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59AD7092" w14:textId="77777777" w:rsidR="00F76A63" w:rsidRDefault="00000000">
                  <w:pPr>
                    <w:jc w:val="center"/>
                    <w:rPr>
                      <w:bCs/>
                      <w:sz w:val="18"/>
                      <w:szCs w:val="18"/>
                    </w:rPr>
                  </w:pPr>
                  <w:r>
                    <w:rPr>
                      <w:bCs/>
                      <w:sz w:val="18"/>
                      <w:szCs w:val="18"/>
                    </w:rPr>
                    <w:t>60</w:t>
                  </w:r>
                </w:p>
              </w:tc>
            </w:tr>
            <w:tr w:rsidR="00F76A63" w14:paraId="2AA82D6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3C0A5DA" w14:textId="77777777" w:rsidR="00F76A63" w:rsidRDefault="00000000">
                  <w:pPr>
                    <w:jc w:val="center"/>
                    <w:rPr>
                      <w:bCs/>
                      <w:sz w:val="18"/>
                      <w:szCs w:val="18"/>
                    </w:rPr>
                  </w:pPr>
                  <w:r>
                    <w:rPr>
                      <w:bCs/>
                      <w:sz w:val="18"/>
                      <w:szCs w:val="18"/>
                    </w:rPr>
                    <w:t>DA029</w:t>
                  </w:r>
                </w:p>
              </w:tc>
              <w:tc>
                <w:tcPr>
                  <w:tcW w:w="785" w:type="pct"/>
                  <w:tcBorders>
                    <w:top w:val="single" w:sz="6" w:space="0" w:color="auto"/>
                    <w:left w:val="single" w:sz="6" w:space="0" w:color="auto"/>
                    <w:bottom w:val="single" w:sz="6" w:space="0" w:color="auto"/>
                    <w:right w:val="single" w:sz="6" w:space="0" w:color="auto"/>
                  </w:tcBorders>
                  <w:vAlign w:val="center"/>
                </w:tcPr>
                <w:p w14:paraId="30A75DE9" w14:textId="77777777" w:rsidR="00F76A63" w:rsidRDefault="00000000">
                  <w:pPr>
                    <w:jc w:val="center"/>
                    <w:rPr>
                      <w:bCs/>
                      <w:sz w:val="18"/>
                      <w:szCs w:val="18"/>
                    </w:rPr>
                  </w:pPr>
                  <w:r>
                    <w:rPr>
                      <w:bCs/>
                      <w:sz w:val="18"/>
                      <w:szCs w:val="18"/>
                    </w:rPr>
                    <w:t>1#</w:t>
                  </w:r>
                  <w:r>
                    <w:rPr>
                      <w:bCs/>
                      <w:sz w:val="18"/>
                      <w:szCs w:val="18"/>
                    </w:rPr>
                    <w:t>喂料输送</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1FCA729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49AAE2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D17B07D"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00DA663C" w14:textId="77777777" w:rsidR="00F76A63" w:rsidRDefault="00000000">
                  <w:pPr>
                    <w:jc w:val="center"/>
                    <w:rPr>
                      <w:bCs/>
                      <w:sz w:val="18"/>
                      <w:szCs w:val="18"/>
                    </w:rPr>
                  </w:pPr>
                  <w:r>
                    <w:rPr>
                      <w:bCs/>
                      <w:sz w:val="18"/>
                      <w:szCs w:val="18"/>
                    </w:rPr>
                    <w:t>0.25</w:t>
                  </w:r>
                </w:p>
              </w:tc>
              <w:tc>
                <w:tcPr>
                  <w:tcW w:w="445" w:type="pct"/>
                  <w:tcBorders>
                    <w:top w:val="single" w:sz="6" w:space="0" w:color="auto"/>
                    <w:left w:val="single" w:sz="6" w:space="0" w:color="auto"/>
                    <w:bottom w:val="single" w:sz="6" w:space="0" w:color="auto"/>
                    <w:right w:val="nil"/>
                  </w:tcBorders>
                  <w:vAlign w:val="center"/>
                </w:tcPr>
                <w:p w14:paraId="5590AF76" w14:textId="77777777" w:rsidR="00F76A63" w:rsidRDefault="00000000">
                  <w:pPr>
                    <w:jc w:val="center"/>
                    <w:rPr>
                      <w:bCs/>
                      <w:sz w:val="18"/>
                      <w:szCs w:val="18"/>
                    </w:rPr>
                  </w:pPr>
                  <w:r>
                    <w:rPr>
                      <w:bCs/>
                      <w:sz w:val="18"/>
                      <w:szCs w:val="18"/>
                    </w:rPr>
                    <w:t>60</w:t>
                  </w:r>
                </w:p>
              </w:tc>
            </w:tr>
            <w:tr w:rsidR="00F76A63" w14:paraId="665A84A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0E22D5F" w14:textId="77777777" w:rsidR="00F76A63" w:rsidRDefault="00000000">
                  <w:pPr>
                    <w:jc w:val="center"/>
                    <w:rPr>
                      <w:bCs/>
                      <w:sz w:val="18"/>
                      <w:szCs w:val="18"/>
                    </w:rPr>
                  </w:pPr>
                  <w:r>
                    <w:rPr>
                      <w:bCs/>
                      <w:sz w:val="18"/>
                      <w:szCs w:val="18"/>
                    </w:rPr>
                    <w:t>DA030</w:t>
                  </w:r>
                </w:p>
              </w:tc>
              <w:tc>
                <w:tcPr>
                  <w:tcW w:w="785" w:type="pct"/>
                  <w:tcBorders>
                    <w:top w:val="single" w:sz="6" w:space="0" w:color="auto"/>
                    <w:left w:val="single" w:sz="6" w:space="0" w:color="auto"/>
                    <w:bottom w:val="single" w:sz="6" w:space="0" w:color="auto"/>
                    <w:right w:val="single" w:sz="6" w:space="0" w:color="auto"/>
                  </w:tcBorders>
                  <w:vAlign w:val="center"/>
                </w:tcPr>
                <w:p w14:paraId="4FF35965" w14:textId="77777777" w:rsidR="00F76A63" w:rsidRDefault="00000000">
                  <w:pPr>
                    <w:jc w:val="center"/>
                    <w:rPr>
                      <w:bCs/>
                      <w:sz w:val="18"/>
                      <w:szCs w:val="18"/>
                    </w:rPr>
                  </w:pPr>
                  <w:r>
                    <w:rPr>
                      <w:bCs/>
                      <w:sz w:val="18"/>
                      <w:szCs w:val="18"/>
                    </w:rPr>
                    <w:t>1#</w:t>
                  </w:r>
                  <w:r>
                    <w:rPr>
                      <w:bCs/>
                      <w:sz w:val="18"/>
                      <w:szCs w:val="18"/>
                    </w:rPr>
                    <w:t>散装机</w:t>
                  </w:r>
                </w:p>
              </w:tc>
              <w:tc>
                <w:tcPr>
                  <w:tcW w:w="1083" w:type="pct"/>
                  <w:tcBorders>
                    <w:top w:val="single" w:sz="6" w:space="0" w:color="auto"/>
                    <w:left w:val="single" w:sz="6" w:space="0" w:color="auto"/>
                    <w:bottom w:val="single" w:sz="6" w:space="0" w:color="auto"/>
                    <w:right w:val="single" w:sz="6" w:space="0" w:color="auto"/>
                  </w:tcBorders>
                  <w:vAlign w:val="center"/>
                </w:tcPr>
                <w:p w14:paraId="45B9674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4BB3A92"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DC2ECF2"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4A08EE22"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53A46F9C" w14:textId="77777777" w:rsidR="00F76A63" w:rsidRDefault="00000000">
                  <w:pPr>
                    <w:jc w:val="center"/>
                    <w:rPr>
                      <w:bCs/>
                      <w:sz w:val="18"/>
                      <w:szCs w:val="18"/>
                    </w:rPr>
                  </w:pPr>
                  <w:r>
                    <w:rPr>
                      <w:bCs/>
                      <w:sz w:val="18"/>
                      <w:szCs w:val="18"/>
                    </w:rPr>
                    <w:t>40</w:t>
                  </w:r>
                </w:p>
              </w:tc>
            </w:tr>
            <w:tr w:rsidR="00F76A63" w14:paraId="091D5FD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9A07B86" w14:textId="77777777" w:rsidR="00F76A63" w:rsidRDefault="00000000">
                  <w:pPr>
                    <w:jc w:val="center"/>
                    <w:rPr>
                      <w:bCs/>
                      <w:sz w:val="18"/>
                      <w:szCs w:val="18"/>
                    </w:rPr>
                  </w:pPr>
                  <w:r>
                    <w:rPr>
                      <w:bCs/>
                      <w:sz w:val="18"/>
                      <w:szCs w:val="18"/>
                    </w:rPr>
                    <w:t>DA031</w:t>
                  </w:r>
                </w:p>
              </w:tc>
              <w:tc>
                <w:tcPr>
                  <w:tcW w:w="785" w:type="pct"/>
                  <w:tcBorders>
                    <w:top w:val="single" w:sz="6" w:space="0" w:color="auto"/>
                    <w:left w:val="single" w:sz="6" w:space="0" w:color="auto"/>
                    <w:bottom w:val="single" w:sz="6" w:space="0" w:color="auto"/>
                    <w:right w:val="single" w:sz="6" w:space="0" w:color="auto"/>
                  </w:tcBorders>
                  <w:vAlign w:val="center"/>
                </w:tcPr>
                <w:p w14:paraId="5CAF90A1" w14:textId="77777777" w:rsidR="00F76A63" w:rsidRDefault="00000000">
                  <w:pPr>
                    <w:jc w:val="center"/>
                    <w:rPr>
                      <w:bCs/>
                      <w:sz w:val="18"/>
                      <w:szCs w:val="18"/>
                    </w:rPr>
                  </w:pPr>
                  <w:r>
                    <w:rPr>
                      <w:bCs/>
                      <w:sz w:val="18"/>
                      <w:szCs w:val="18"/>
                    </w:rPr>
                    <w:t>2#</w:t>
                  </w:r>
                  <w:r>
                    <w:rPr>
                      <w:bCs/>
                      <w:sz w:val="18"/>
                      <w:szCs w:val="18"/>
                    </w:rPr>
                    <w:t>散装机</w:t>
                  </w:r>
                  <w:r>
                    <w:rPr>
                      <w:bCs/>
                      <w:sz w:val="18"/>
                      <w:szCs w:val="18"/>
                    </w:rPr>
                    <w:t>6</w:t>
                  </w:r>
                </w:p>
              </w:tc>
              <w:tc>
                <w:tcPr>
                  <w:tcW w:w="1083" w:type="pct"/>
                  <w:tcBorders>
                    <w:top w:val="single" w:sz="6" w:space="0" w:color="auto"/>
                    <w:left w:val="single" w:sz="6" w:space="0" w:color="auto"/>
                    <w:bottom w:val="single" w:sz="6" w:space="0" w:color="auto"/>
                    <w:right w:val="single" w:sz="6" w:space="0" w:color="auto"/>
                  </w:tcBorders>
                  <w:vAlign w:val="center"/>
                </w:tcPr>
                <w:p w14:paraId="564C5F3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AEE461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2045453" w14:textId="77777777" w:rsidR="00F76A63" w:rsidRDefault="00000000">
                  <w:pPr>
                    <w:jc w:val="center"/>
                    <w:rPr>
                      <w:bCs/>
                      <w:sz w:val="18"/>
                      <w:szCs w:val="18"/>
                    </w:rPr>
                  </w:pPr>
                  <w:r>
                    <w:rPr>
                      <w:bCs/>
                      <w:sz w:val="18"/>
                      <w:szCs w:val="18"/>
                    </w:rPr>
                    <w:t>22</w:t>
                  </w:r>
                </w:p>
              </w:tc>
              <w:tc>
                <w:tcPr>
                  <w:tcW w:w="577" w:type="pct"/>
                  <w:tcBorders>
                    <w:top w:val="single" w:sz="6" w:space="0" w:color="auto"/>
                    <w:left w:val="single" w:sz="6" w:space="0" w:color="auto"/>
                    <w:bottom w:val="single" w:sz="6" w:space="0" w:color="auto"/>
                    <w:right w:val="single" w:sz="6" w:space="0" w:color="auto"/>
                  </w:tcBorders>
                  <w:vAlign w:val="center"/>
                </w:tcPr>
                <w:p w14:paraId="6B23B7CF"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544F813A" w14:textId="77777777" w:rsidR="00F76A63" w:rsidRDefault="00000000">
                  <w:pPr>
                    <w:jc w:val="center"/>
                    <w:rPr>
                      <w:bCs/>
                      <w:sz w:val="18"/>
                      <w:szCs w:val="18"/>
                    </w:rPr>
                  </w:pPr>
                  <w:r>
                    <w:rPr>
                      <w:bCs/>
                      <w:sz w:val="18"/>
                      <w:szCs w:val="18"/>
                    </w:rPr>
                    <w:t>40</w:t>
                  </w:r>
                </w:p>
              </w:tc>
            </w:tr>
            <w:tr w:rsidR="00F76A63" w14:paraId="0905C3CC"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6F1B549" w14:textId="77777777" w:rsidR="00F76A63" w:rsidRDefault="00000000">
                  <w:pPr>
                    <w:jc w:val="center"/>
                    <w:rPr>
                      <w:bCs/>
                      <w:sz w:val="18"/>
                      <w:szCs w:val="18"/>
                    </w:rPr>
                  </w:pPr>
                  <w:r>
                    <w:rPr>
                      <w:bCs/>
                      <w:sz w:val="18"/>
                      <w:szCs w:val="18"/>
                    </w:rPr>
                    <w:t>DA032</w:t>
                  </w:r>
                </w:p>
              </w:tc>
              <w:tc>
                <w:tcPr>
                  <w:tcW w:w="785" w:type="pct"/>
                  <w:tcBorders>
                    <w:top w:val="single" w:sz="6" w:space="0" w:color="auto"/>
                    <w:left w:val="single" w:sz="6" w:space="0" w:color="auto"/>
                    <w:bottom w:val="single" w:sz="6" w:space="0" w:color="auto"/>
                    <w:right w:val="single" w:sz="6" w:space="0" w:color="auto"/>
                  </w:tcBorders>
                  <w:vAlign w:val="center"/>
                </w:tcPr>
                <w:p w14:paraId="41C47BA0" w14:textId="77777777" w:rsidR="00F76A63" w:rsidRDefault="00000000">
                  <w:pPr>
                    <w:jc w:val="center"/>
                    <w:rPr>
                      <w:bCs/>
                      <w:sz w:val="18"/>
                      <w:szCs w:val="18"/>
                    </w:rPr>
                  </w:pPr>
                  <w:r>
                    <w:rPr>
                      <w:bCs/>
                      <w:sz w:val="18"/>
                      <w:szCs w:val="18"/>
                    </w:rPr>
                    <w:t>1#</w:t>
                  </w:r>
                  <w:r>
                    <w:rPr>
                      <w:bCs/>
                      <w:sz w:val="18"/>
                      <w:szCs w:val="18"/>
                    </w:rPr>
                    <w:t>包装机</w:t>
                  </w:r>
                </w:p>
              </w:tc>
              <w:tc>
                <w:tcPr>
                  <w:tcW w:w="1083" w:type="pct"/>
                  <w:tcBorders>
                    <w:top w:val="single" w:sz="6" w:space="0" w:color="auto"/>
                    <w:left w:val="single" w:sz="6" w:space="0" w:color="auto"/>
                    <w:bottom w:val="single" w:sz="6" w:space="0" w:color="auto"/>
                    <w:right w:val="single" w:sz="6" w:space="0" w:color="auto"/>
                  </w:tcBorders>
                  <w:vAlign w:val="center"/>
                </w:tcPr>
                <w:p w14:paraId="29C77541"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3EA071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41E09D1"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2F6B6D52" w14:textId="77777777" w:rsidR="00F76A63" w:rsidRDefault="00000000">
                  <w:pPr>
                    <w:jc w:val="center"/>
                    <w:rPr>
                      <w:bCs/>
                      <w:sz w:val="18"/>
                      <w:szCs w:val="18"/>
                    </w:rPr>
                  </w:pPr>
                  <w:r>
                    <w:rPr>
                      <w:bCs/>
                      <w:sz w:val="18"/>
                      <w:szCs w:val="18"/>
                    </w:rPr>
                    <w:t>0.9</w:t>
                  </w:r>
                </w:p>
              </w:tc>
              <w:tc>
                <w:tcPr>
                  <w:tcW w:w="445" w:type="pct"/>
                  <w:tcBorders>
                    <w:top w:val="single" w:sz="6" w:space="0" w:color="auto"/>
                    <w:left w:val="single" w:sz="6" w:space="0" w:color="auto"/>
                    <w:bottom w:val="single" w:sz="6" w:space="0" w:color="auto"/>
                    <w:right w:val="nil"/>
                  </w:tcBorders>
                  <w:vAlign w:val="center"/>
                </w:tcPr>
                <w:p w14:paraId="474DA6D3" w14:textId="77777777" w:rsidR="00F76A63" w:rsidRDefault="00000000">
                  <w:pPr>
                    <w:jc w:val="center"/>
                    <w:rPr>
                      <w:bCs/>
                      <w:sz w:val="18"/>
                      <w:szCs w:val="18"/>
                    </w:rPr>
                  </w:pPr>
                  <w:r>
                    <w:rPr>
                      <w:bCs/>
                      <w:sz w:val="18"/>
                      <w:szCs w:val="18"/>
                    </w:rPr>
                    <w:t>40</w:t>
                  </w:r>
                </w:p>
              </w:tc>
            </w:tr>
            <w:tr w:rsidR="00F76A63" w14:paraId="50E498F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D35261A" w14:textId="77777777" w:rsidR="00F76A63" w:rsidRDefault="00000000">
                  <w:pPr>
                    <w:jc w:val="center"/>
                    <w:rPr>
                      <w:bCs/>
                      <w:sz w:val="18"/>
                      <w:szCs w:val="18"/>
                    </w:rPr>
                  </w:pPr>
                  <w:r>
                    <w:rPr>
                      <w:bCs/>
                      <w:sz w:val="18"/>
                      <w:szCs w:val="18"/>
                    </w:rPr>
                    <w:t>DA033</w:t>
                  </w:r>
                </w:p>
              </w:tc>
              <w:tc>
                <w:tcPr>
                  <w:tcW w:w="785" w:type="pct"/>
                  <w:tcBorders>
                    <w:top w:val="single" w:sz="6" w:space="0" w:color="auto"/>
                    <w:left w:val="single" w:sz="6" w:space="0" w:color="auto"/>
                    <w:bottom w:val="single" w:sz="6" w:space="0" w:color="auto"/>
                    <w:right w:val="single" w:sz="6" w:space="0" w:color="auto"/>
                  </w:tcBorders>
                  <w:vAlign w:val="center"/>
                </w:tcPr>
                <w:p w14:paraId="3B0387BE" w14:textId="77777777" w:rsidR="00F76A63" w:rsidRDefault="00000000">
                  <w:pPr>
                    <w:jc w:val="center"/>
                    <w:rPr>
                      <w:bCs/>
                      <w:sz w:val="18"/>
                      <w:szCs w:val="18"/>
                    </w:rPr>
                  </w:pPr>
                  <w:r>
                    <w:rPr>
                      <w:bCs/>
                      <w:sz w:val="18"/>
                      <w:szCs w:val="18"/>
                    </w:rPr>
                    <w:t>2#</w:t>
                  </w:r>
                  <w:r>
                    <w:rPr>
                      <w:bCs/>
                      <w:sz w:val="18"/>
                      <w:szCs w:val="18"/>
                    </w:rPr>
                    <w:t>包装机</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117B44C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109C44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EBBD706"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7734C4FD" w14:textId="77777777" w:rsidR="00F76A63" w:rsidRDefault="00000000">
                  <w:pPr>
                    <w:jc w:val="center"/>
                    <w:rPr>
                      <w:bCs/>
                      <w:sz w:val="18"/>
                      <w:szCs w:val="18"/>
                    </w:rPr>
                  </w:pPr>
                  <w:r>
                    <w:rPr>
                      <w:bCs/>
                      <w:sz w:val="18"/>
                      <w:szCs w:val="18"/>
                    </w:rPr>
                    <w:t>0.6</w:t>
                  </w:r>
                </w:p>
              </w:tc>
              <w:tc>
                <w:tcPr>
                  <w:tcW w:w="445" w:type="pct"/>
                  <w:tcBorders>
                    <w:top w:val="single" w:sz="6" w:space="0" w:color="auto"/>
                    <w:left w:val="single" w:sz="6" w:space="0" w:color="auto"/>
                    <w:bottom w:val="single" w:sz="6" w:space="0" w:color="auto"/>
                    <w:right w:val="nil"/>
                  </w:tcBorders>
                  <w:vAlign w:val="center"/>
                </w:tcPr>
                <w:p w14:paraId="3E760683" w14:textId="77777777" w:rsidR="00F76A63" w:rsidRDefault="00000000">
                  <w:pPr>
                    <w:jc w:val="center"/>
                    <w:rPr>
                      <w:bCs/>
                      <w:sz w:val="18"/>
                      <w:szCs w:val="18"/>
                    </w:rPr>
                  </w:pPr>
                  <w:r>
                    <w:rPr>
                      <w:bCs/>
                      <w:sz w:val="18"/>
                      <w:szCs w:val="18"/>
                    </w:rPr>
                    <w:t>40</w:t>
                  </w:r>
                </w:p>
              </w:tc>
            </w:tr>
            <w:tr w:rsidR="00F76A63" w14:paraId="5540A13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CCC4F15" w14:textId="77777777" w:rsidR="00F76A63" w:rsidRDefault="00000000">
                  <w:pPr>
                    <w:jc w:val="center"/>
                    <w:rPr>
                      <w:bCs/>
                      <w:sz w:val="18"/>
                      <w:szCs w:val="18"/>
                    </w:rPr>
                  </w:pPr>
                  <w:r>
                    <w:rPr>
                      <w:bCs/>
                      <w:sz w:val="18"/>
                      <w:szCs w:val="18"/>
                    </w:rPr>
                    <w:t>DA034</w:t>
                  </w:r>
                </w:p>
              </w:tc>
              <w:tc>
                <w:tcPr>
                  <w:tcW w:w="785" w:type="pct"/>
                  <w:tcBorders>
                    <w:top w:val="single" w:sz="6" w:space="0" w:color="auto"/>
                    <w:left w:val="single" w:sz="6" w:space="0" w:color="auto"/>
                    <w:bottom w:val="single" w:sz="6" w:space="0" w:color="auto"/>
                    <w:right w:val="single" w:sz="6" w:space="0" w:color="auto"/>
                  </w:tcBorders>
                  <w:vAlign w:val="center"/>
                </w:tcPr>
                <w:p w14:paraId="7502CA4B" w14:textId="77777777" w:rsidR="00F76A63" w:rsidRDefault="00000000">
                  <w:pPr>
                    <w:jc w:val="center"/>
                    <w:rPr>
                      <w:bCs/>
                      <w:sz w:val="18"/>
                      <w:szCs w:val="18"/>
                    </w:rPr>
                  </w:pPr>
                  <w:r>
                    <w:rPr>
                      <w:bCs/>
                      <w:sz w:val="18"/>
                      <w:szCs w:val="18"/>
                    </w:rPr>
                    <w:t>1#</w:t>
                  </w:r>
                  <w:r>
                    <w:rPr>
                      <w:bCs/>
                      <w:sz w:val="18"/>
                      <w:szCs w:val="18"/>
                    </w:rPr>
                    <w:t>装船机</w:t>
                  </w:r>
                </w:p>
              </w:tc>
              <w:tc>
                <w:tcPr>
                  <w:tcW w:w="1083" w:type="pct"/>
                  <w:tcBorders>
                    <w:top w:val="single" w:sz="6" w:space="0" w:color="auto"/>
                    <w:left w:val="single" w:sz="6" w:space="0" w:color="auto"/>
                    <w:bottom w:val="single" w:sz="6" w:space="0" w:color="auto"/>
                    <w:right w:val="single" w:sz="6" w:space="0" w:color="auto"/>
                  </w:tcBorders>
                  <w:vAlign w:val="center"/>
                </w:tcPr>
                <w:p w14:paraId="07178E38"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DB7AE4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AA5622F"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35B48C1A" w14:textId="77777777" w:rsidR="00F76A63" w:rsidRDefault="00000000">
                  <w:pPr>
                    <w:jc w:val="center"/>
                    <w:rPr>
                      <w:bCs/>
                      <w:sz w:val="18"/>
                      <w:szCs w:val="18"/>
                    </w:rPr>
                  </w:pPr>
                  <w:r>
                    <w:rPr>
                      <w:bCs/>
                      <w:sz w:val="18"/>
                      <w:szCs w:val="18"/>
                    </w:rPr>
                    <w:t>0.8</w:t>
                  </w:r>
                </w:p>
              </w:tc>
              <w:tc>
                <w:tcPr>
                  <w:tcW w:w="445" w:type="pct"/>
                  <w:tcBorders>
                    <w:top w:val="single" w:sz="6" w:space="0" w:color="auto"/>
                    <w:left w:val="single" w:sz="6" w:space="0" w:color="auto"/>
                    <w:bottom w:val="single" w:sz="6" w:space="0" w:color="auto"/>
                    <w:right w:val="nil"/>
                  </w:tcBorders>
                  <w:vAlign w:val="center"/>
                </w:tcPr>
                <w:p w14:paraId="6A6F91FE" w14:textId="77777777" w:rsidR="00F76A63" w:rsidRDefault="00000000">
                  <w:pPr>
                    <w:jc w:val="center"/>
                    <w:rPr>
                      <w:bCs/>
                      <w:sz w:val="18"/>
                      <w:szCs w:val="18"/>
                    </w:rPr>
                  </w:pPr>
                  <w:r>
                    <w:rPr>
                      <w:bCs/>
                      <w:sz w:val="18"/>
                      <w:szCs w:val="18"/>
                    </w:rPr>
                    <w:t>40</w:t>
                  </w:r>
                </w:p>
              </w:tc>
            </w:tr>
            <w:tr w:rsidR="00F76A63" w14:paraId="76E02BAE"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B7613C0" w14:textId="77777777" w:rsidR="00F76A63" w:rsidRDefault="00000000">
                  <w:pPr>
                    <w:jc w:val="center"/>
                    <w:rPr>
                      <w:bCs/>
                      <w:sz w:val="18"/>
                      <w:szCs w:val="18"/>
                    </w:rPr>
                  </w:pPr>
                  <w:r>
                    <w:rPr>
                      <w:bCs/>
                      <w:sz w:val="18"/>
                      <w:szCs w:val="18"/>
                    </w:rPr>
                    <w:t>DA035</w:t>
                  </w:r>
                </w:p>
              </w:tc>
              <w:tc>
                <w:tcPr>
                  <w:tcW w:w="785" w:type="pct"/>
                  <w:tcBorders>
                    <w:top w:val="single" w:sz="6" w:space="0" w:color="auto"/>
                    <w:left w:val="single" w:sz="6" w:space="0" w:color="auto"/>
                    <w:bottom w:val="single" w:sz="6" w:space="0" w:color="auto"/>
                    <w:right w:val="single" w:sz="6" w:space="0" w:color="auto"/>
                  </w:tcBorders>
                  <w:vAlign w:val="center"/>
                </w:tcPr>
                <w:p w14:paraId="6BE072E1" w14:textId="77777777" w:rsidR="00F76A63" w:rsidRDefault="00000000">
                  <w:pPr>
                    <w:jc w:val="center"/>
                    <w:rPr>
                      <w:bCs/>
                      <w:sz w:val="18"/>
                      <w:szCs w:val="18"/>
                    </w:rPr>
                  </w:pPr>
                  <w:r>
                    <w:rPr>
                      <w:bCs/>
                      <w:sz w:val="18"/>
                      <w:szCs w:val="18"/>
                    </w:rPr>
                    <w:t>1#</w:t>
                  </w:r>
                  <w:r>
                    <w:rPr>
                      <w:bCs/>
                      <w:sz w:val="18"/>
                      <w:szCs w:val="18"/>
                    </w:rPr>
                    <w:t>水泥库顶</w:t>
                  </w:r>
                </w:p>
              </w:tc>
              <w:tc>
                <w:tcPr>
                  <w:tcW w:w="1083" w:type="pct"/>
                  <w:tcBorders>
                    <w:top w:val="single" w:sz="6" w:space="0" w:color="auto"/>
                    <w:left w:val="single" w:sz="6" w:space="0" w:color="auto"/>
                    <w:bottom w:val="single" w:sz="6" w:space="0" w:color="auto"/>
                    <w:right w:val="single" w:sz="6" w:space="0" w:color="auto"/>
                  </w:tcBorders>
                  <w:vAlign w:val="center"/>
                </w:tcPr>
                <w:p w14:paraId="1CA4228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FCDEB4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9C74F17"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6E3218D1" w14:textId="77777777" w:rsidR="00F76A63" w:rsidRDefault="00000000">
                  <w:pPr>
                    <w:jc w:val="center"/>
                    <w:rPr>
                      <w:bCs/>
                      <w:sz w:val="18"/>
                      <w:szCs w:val="18"/>
                    </w:rPr>
                  </w:pPr>
                  <w:r>
                    <w:rPr>
                      <w:bCs/>
                      <w:sz w:val="18"/>
                      <w:szCs w:val="18"/>
                    </w:rPr>
                    <w:t>0.7</w:t>
                  </w:r>
                </w:p>
              </w:tc>
              <w:tc>
                <w:tcPr>
                  <w:tcW w:w="445" w:type="pct"/>
                  <w:tcBorders>
                    <w:top w:val="single" w:sz="6" w:space="0" w:color="auto"/>
                    <w:left w:val="single" w:sz="6" w:space="0" w:color="auto"/>
                    <w:bottom w:val="single" w:sz="6" w:space="0" w:color="auto"/>
                    <w:right w:val="nil"/>
                  </w:tcBorders>
                  <w:vAlign w:val="center"/>
                </w:tcPr>
                <w:p w14:paraId="12EF06AF" w14:textId="77777777" w:rsidR="00F76A63" w:rsidRDefault="00000000">
                  <w:pPr>
                    <w:jc w:val="center"/>
                    <w:rPr>
                      <w:bCs/>
                      <w:sz w:val="18"/>
                      <w:szCs w:val="18"/>
                    </w:rPr>
                  </w:pPr>
                  <w:r>
                    <w:rPr>
                      <w:bCs/>
                      <w:sz w:val="18"/>
                      <w:szCs w:val="18"/>
                    </w:rPr>
                    <w:t>75</w:t>
                  </w:r>
                </w:p>
              </w:tc>
            </w:tr>
            <w:tr w:rsidR="00F76A63" w14:paraId="4AF84FF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0F8B6B0" w14:textId="77777777" w:rsidR="00F76A63" w:rsidRDefault="00000000">
                  <w:pPr>
                    <w:jc w:val="center"/>
                    <w:rPr>
                      <w:bCs/>
                      <w:sz w:val="18"/>
                      <w:szCs w:val="18"/>
                    </w:rPr>
                  </w:pPr>
                  <w:r>
                    <w:rPr>
                      <w:bCs/>
                      <w:sz w:val="18"/>
                      <w:szCs w:val="18"/>
                    </w:rPr>
                    <w:t>DA036</w:t>
                  </w:r>
                </w:p>
              </w:tc>
              <w:tc>
                <w:tcPr>
                  <w:tcW w:w="785" w:type="pct"/>
                  <w:tcBorders>
                    <w:top w:val="single" w:sz="6" w:space="0" w:color="auto"/>
                    <w:left w:val="single" w:sz="6" w:space="0" w:color="auto"/>
                    <w:bottom w:val="single" w:sz="6" w:space="0" w:color="auto"/>
                    <w:right w:val="single" w:sz="6" w:space="0" w:color="auto"/>
                  </w:tcBorders>
                  <w:vAlign w:val="center"/>
                </w:tcPr>
                <w:p w14:paraId="308536CF" w14:textId="77777777" w:rsidR="00F76A63" w:rsidRDefault="00000000">
                  <w:pPr>
                    <w:jc w:val="center"/>
                    <w:rPr>
                      <w:bCs/>
                      <w:sz w:val="18"/>
                      <w:szCs w:val="18"/>
                    </w:rPr>
                  </w:pPr>
                  <w:r>
                    <w:rPr>
                      <w:bCs/>
                      <w:sz w:val="18"/>
                      <w:szCs w:val="18"/>
                    </w:rPr>
                    <w:t>2#</w:t>
                  </w:r>
                  <w:r>
                    <w:rPr>
                      <w:bCs/>
                      <w:sz w:val="18"/>
                      <w:szCs w:val="18"/>
                    </w:rPr>
                    <w:t>水泥库顶</w:t>
                  </w:r>
                </w:p>
              </w:tc>
              <w:tc>
                <w:tcPr>
                  <w:tcW w:w="1083" w:type="pct"/>
                  <w:tcBorders>
                    <w:top w:val="single" w:sz="6" w:space="0" w:color="auto"/>
                    <w:left w:val="single" w:sz="6" w:space="0" w:color="auto"/>
                    <w:bottom w:val="single" w:sz="6" w:space="0" w:color="auto"/>
                    <w:right w:val="single" w:sz="6" w:space="0" w:color="auto"/>
                  </w:tcBorders>
                  <w:vAlign w:val="center"/>
                </w:tcPr>
                <w:p w14:paraId="019477DF"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7C7633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7369145"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036FEA46" w14:textId="77777777" w:rsidR="00F76A63" w:rsidRDefault="00000000">
                  <w:pPr>
                    <w:jc w:val="center"/>
                    <w:rPr>
                      <w:bCs/>
                      <w:sz w:val="18"/>
                      <w:szCs w:val="18"/>
                    </w:rPr>
                  </w:pPr>
                  <w:r>
                    <w:rPr>
                      <w:bCs/>
                      <w:sz w:val="18"/>
                      <w:szCs w:val="18"/>
                    </w:rPr>
                    <w:t>0.7</w:t>
                  </w:r>
                </w:p>
              </w:tc>
              <w:tc>
                <w:tcPr>
                  <w:tcW w:w="445" w:type="pct"/>
                  <w:tcBorders>
                    <w:top w:val="single" w:sz="6" w:space="0" w:color="auto"/>
                    <w:left w:val="single" w:sz="6" w:space="0" w:color="auto"/>
                    <w:bottom w:val="single" w:sz="6" w:space="0" w:color="auto"/>
                    <w:right w:val="nil"/>
                  </w:tcBorders>
                  <w:vAlign w:val="center"/>
                </w:tcPr>
                <w:p w14:paraId="777B299C" w14:textId="77777777" w:rsidR="00F76A63" w:rsidRDefault="00000000">
                  <w:pPr>
                    <w:jc w:val="center"/>
                    <w:rPr>
                      <w:bCs/>
                      <w:sz w:val="18"/>
                      <w:szCs w:val="18"/>
                    </w:rPr>
                  </w:pPr>
                  <w:r>
                    <w:rPr>
                      <w:bCs/>
                      <w:sz w:val="18"/>
                      <w:szCs w:val="18"/>
                    </w:rPr>
                    <w:t>75</w:t>
                  </w:r>
                </w:p>
              </w:tc>
            </w:tr>
            <w:tr w:rsidR="00F76A63" w14:paraId="69203EE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32182BD" w14:textId="77777777" w:rsidR="00F76A63" w:rsidRDefault="00000000">
                  <w:pPr>
                    <w:jc w:val="center"/>
                    <w:rPr>
                      <w:bCs/>
                      <w:sz w:val="18"/>
                      <w:szCs w:val="18"/>
                    </w:rPr>
                  </w:pPr>
                  <w:r>
                    <w:rPr>
                      <w:bCs/>
                      <w:sz w:val="18"/>
                      <w:szCs w:val="18"/>
                    </w:rPr>
                    <w:t>DA037</w:t>
                  </w:r>
                </w:p>
              </w:tc>
              <w:tc>
                <w:tcPr>
                  <w:tcW w:w="785" w:type="pct"/>
                  <w:tcBorders>
                    <w:top w:val="single" w:sz="6" w:space="0" w:color="auto"/>
                    <w:left w:val="single" w:sz="6" w:space="0" w:color="auto"/>
                    <w:bottom w:val="single" w:sz="6" w:space="0" w:color="auto"/>
                    <w:right w:val="single" w:sz="6" w:space="0" w:color="auto"/>
                  </w:tcBorders>
                  <w:vAlign w:val="center"/>
                </w:tcPr>
                <w:p w14:paraId="27A160BB" w14:textId="77777777" w:rsidR="00F76A63" w:rsidRDefault="00000000">
                  <w:pPr>
                    <w:jc w:val="center"/>
                    <w:rPr>
                      <w:bCs/>
                      <w:sz w:val="18"/>
                      <w:szCs w:val="18"/>
                    </w:rPr>
                  </w:pPr>
                  <w:r>
                    <w:rPr>
                      <w:bCs/>
                      <w:sz w:val="18"/>
                      <w:szCs w:val="18"/>
                    </w:rPr>
                    <w:t>2#</w:t>
                  </w:r>
                  <w:r>
                    <w:rPr>
                      <w:bCs/>
                      <w:sz w:val="18"/>
                      <w:szCs w:val="18"/>
                    </w:rPr>
                    <w:t>粉煤灰库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7508B821"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A8CADC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1F41C7D" w14:textId="77777777" w:rsidR="00F76A63" w:rsidRDefault="00000000">
                  <w:pPr>
                    <w:jc w:val="center"/>
                    <w:rPr>
                      <w:bCs/>
                      <w:sz w:val="18"/>
                      <w:szCs w:val="18"/>
                    </w:rPr>
                  </w:pPr>
                  <w:r>
                    <w:rPr>
                      <w:bCs/>
                      <w:sz w:val="18"/>
                      <w:szCs w:val="18"/>
                    </w:rPr>
                    <w:t>30</w:t>
                  </w:r>
                </w:p>
              </w:tc>
              <w:tc>
                <w:tcPr>
                  <w:tcW w:w="577" w:type="pct"/>
                  <w:tcBorders>
                    <w:top w:val="single" w:sz="6" w:space="0" w:color="auto"/>
                    <w:left w:val="single" w:sz="6" w:space="0" w:color="auto"/>
                    <w:bottom w:val="single" w:sz="6" w:space="0" w:color="auto"/>
                    <w:right w:val="single" w:sz="6" w:space="0" w:color="auto"/>
                  </w:tcBorders>
                  <w:vAlign w:val="center"/>
                </w:tcPr>
                <w:p w14:paraId="7CF5B5C8"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794BB9B5" w14:textId="77777777" w:rsidR="00F76A63" w:rsidRDefault="00000000">
                  <w:pPr>
                    <w:jc w:val="center"/>
                    <w:rPr>
                      <w:bCs/>
                      <w:sz w:val="18"/>
                      <w:szCs w:val="18"/>
                    </w:rPr>
                  </w:pPr>
                  <w:r>
                    <w:rPr>
                      <w:bCs/>
                      <w:sz w:val="18"/>
                      <w:szCs w:val="18"/>
                    </w:rPr>
                    <w:t>常温</w:t>
                  </w:r>
                </w:p>
              </w:tc>
            </w:tr>
            <w:tr w:rsidR="00F76A63" w14:paraId="45E218C3"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51AF2C7" w14:textId="77777777" w:rsidR="00F76A63" w:rsidRDefault="00000000">
                  <w:pPr>
                    <w:jc w:val="center"/>
                    <w:rPr>
                      <w:bCs/>
                      <w:sz w:val="18"/>
                      <w:szCs w:val="18"/>
                    </w:rPr>
                  </w:pPr>
                  <w:r>
                    <w:rPr>
                      <w:bCs/>
                      <w:sz w:val="18"/>
                      <w:szCs w:val="18"/>
                    </w:rPr>
                    <w:t>DA038</w:t>
                  </w:r>
                </w:p>
              </w:tc>
              <w:tc>
                <w:tcPr>
                  <w:tcW w:w="785" w:type="pct"/>
                  <w:tcBorders>
                    <w:top w:val="single" w:sz="6" w:space="0" w:color="auto"/>
                    <w:left w:val="single" w:sz="6" w:space="0" w:color="auto"/>
                    <w:bottom w:val="single" w:sz="6" w:space="0" w:color="auto"/>
                    <w:right w:val="single" w:sz="6" w:space="0" w:color="auto"/>
                  </w:tcBorders>
                  <w:vAlign w:val="center"/>
                </w:tcPr>
                <w:p w14:paraId="45E06641" w14:textId="77777777" w:rsidR="00F76A63" w:rsidRDefault="00000000">
                  <w:pPr>
                    <w:jc w:val="center"/>
                    <w:rPr>
                      <w:bCs/>
                      <w:sz w:val="18"/>
                      <w:szCs w:val="18"/>
                    </w:rPr>
                  </w:pPr>
                  <w:r>
                    <w:rPr>
                      <w:bCs/>
                      <w:sz w:val="18"/>
                      <w:szCs w:val="18"/>
                    </w:rPr>
                    <w:t>3#</w:t>
                  </w:r>
                  <w:r>
                    <w:rPr>
                      <w:bCs/>
                      <w:sz w:val="18"/>
                      <w:szCs w:val="18"/>
                    </w:rPr>
                    <w:t>水泥库顶</w:t>
                  </w:r>
                </w:p>
              </w:tc>
              <w:tc>
                <w:tcPr>
                  <w:tcW w:w="1083" w:type="pct"/>
                  <w:tcBorders>
                    <w:top w:val="single" w:sz="6" w:space="0" w:color="auto"/>
                    <w:left w:val="single" w:sz="6" w:space="0" w:color="auto"/>
                    <w:bottom w:val="single" w:sz="6" w:space="0" w:color="auto"/>
                    <w:right w:val="single" w:sz="6" w:space="0" w:color="auto"/>
                  </w:tcBorders>
                  <w:vAlign w:val="center"/>
                </w:tcPr>
                <w:p w14:paraId="4CBF9AA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D9D376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36488B2"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02DCF9BF" w14:textId="77777777" w:rsidR="00F76A63" w:rsidRDefault="00000000">
                  <w:pPr>
                    <w:jc w:val="center"/>
                    <w:rPr>
                      <w:bCs/>
                      <w:sz w:val="18"/>
                      <w:szCs w:val="18"/>
                    </w:rPr>
                  </w:pPr>
                  <w:r>
                    <w:rPr>
                      <w:bCs/>
                      <w:sz w:val="18"/>
                      <w:szCs w:val="18"/>
                    </w:rPr>
                    <w:t>0.7</w:t>
                  </w:r>
                </w:p>
              </w:tc>
              <w:tc>
                <w:tcPr>
                  <w:tcW w:w="445" w:type="pct"/>
                  <w:tcBorders>
                    <w:top w:val="single" w:sz="6" w:space="0" w:color="auto"/>
                    <w:left w:val="single" w:sz="6" w:space="0" w:color="auto"/>
                    <w:bottom w:val="single" w:sz="6" w:space="0" w:color="auto"/>
                    <w:right w:val="nil"/>
                  </w:tcBorders>
                  <w:vAlign w:val="center"/>
                </w:tcPr>
                <w:p w14:paraId="7265C922" w14:textId="77777777" w:rsidR="00F76A63" w:rsidRDefault="00000000">
                  <w:pPr>
                    <w:jc w:val="center"/>
                    <w:rPr>
                      <w:bCs/>
                      <w:sz w:val="18"/>
                      <w:szCs w:val="18"/>
                    </w:rPr>
                  </w:pPr>
                  <w:r>
                    <w:rPr>
                      <w:bCs/>
                      <w:sz w:val="18"/>
                      <w:szCs w:val="18"/>
                    </w:rPr>
                    <w:t>75</w:t>
                  </w:r>
                </w:p>
              </w:tc>
            </w:tr>
            <w:tr w:rsidR="00F76A63" w14:paraId="0F201710"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DDCC18A" w14:textId="77777777" w:rsidR="00F76A63" w:rsidRDefault="00000000">
                  <w:pPr>
                    <w:jc w:val="center"/>
                    <w:rPr>
                      <w:bCs/>
                      <w:sz w:val="18"/>
                      <w:szCs w:val="18"/>
                    </w:rPr>
                  </w:pPr>
                  <w:r>
                    <w:rPr>
                      <w:bCs/>
                      <w:sz w:val="18"/>
                      <w:szCs w:val="18"/>
                    </w:rPr>
                    <w:t>DA039</w:t>
                  </w:r>
                </w:p>
              </w:tc>
              <w:tc>
                <w:tcPr>
                  <w:tcW w:w="785" w:type="pct"/>
                  <w:tcBorders>
                    <w:top w:val="single" w:sz="6" w:space="0" w:color="auto"/>
                    <w:left w:val="single" w:sz="6" w:space="0" w:color="auto"/>
                    <w:bottom w:val="single" w:sz="6" w:space="0" w:color="auto"/>
                    <w:right w:val="single" w:sz="6" w:space="0" w:color="auto"/>
                  </w:tcBorders>
                  <w:vAlign w:val="center"/>
                </w:tcPr>
                <w:p w14:paraId="68F996A9" w14:textId="77777777" w:rsidR="00F76A63" w:rsidRDefault="00000000">
                  <w:pPr>
                    <w:jc w:val="center"/>
                    <w:rPr>
                      <w:bCs/>
                      <w:sz w:val="18"/>
                      <w:szCs w:val="18"/>
                    </w:rPr>
                  </w:pPr>
                  <w:r>
                    <w:rPr>
                      <w:bCs/>
                      <w:sz w:val="18"/>
                      <w:szCs w:val="18"/>
                    </w:rPr>
                    <w:t>2#</w:t>
                  </w:r>
                  <w:r>
                    <w:rPr>
                      <w:bCs/>
                      <w:sz w:val="18"/>
                      <w:szCs w:val="18"/>
                    </w:rPr>
                    <w:t>输送系统</w:t>
                  </w:r>
                  <w:r>
                    <w:rPr>
                      <w:bCs/>
                      <w:sz w:val="18"/>
                      <w:szCs w:val="18"/>
                    </w:rPr>
                    <w:t>6</w:t>
                  </w:r>
                </w:p>
              </w:tc>
              <w:tc>
                <w:tcPr>
                  <w:tcW w:w="1083" w:type="pct"/>
                  <w:tcBorders>
                    <w:top w:val="single" w:sz="6" w:space="0" w:color="auto"/>
                    <w:left w:val="single" w:sz="6" w:space="0" w:color="auto"/>
                    <w:bottom w:val="single" w:sz="6" w:space="0" w:color="auto"/>
                    <w:right w:val="single" w:sz="6" w:space="0" w:color="auto"/>
                  </w:tcBorders>
                  <w:vAlign w:val="center"/>
                </w:tcPr>
                <w:p w14:paraId="4A15AED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CE0E84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B3B25BD"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47237D81"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3792A065" w14:textId="77777777" w:rsidR="00F76A63" w:rsidRDefault="00000000">
                  <w:pPr>
                    <w:jc w:val="center"/>
                    <w:rPr>
                      <w:bCs/>
                      <w:sz w:val="18"/>
                      <w:szCs w:val="18"/>
                    </w:rPr>
                  </w:pPr>
                  <w:r>
                    <w:rPr>
                      <w:bCs/>
                      <w:sz w:val="18"/>
                      <w:szCs w:val="18"/>
                    </w:rPr>
                    <w:t>60</w:t>
                  </w:r>
                </w:p>
              </w:tc>
            </w:tr>
            <w:tr w:rsidR="00F76A63" w14:paraId="7A19EEB6"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D218884" w14:textId="77777777" w:rsidR="00F76A63" w:rsidRDefault="00000000">
                  <w:pPr>
                    <w:jc w:val="center"/>
                    <w:rPr>
                      <w:bCs/>
                      <w:sz w:val="18"/>
                      <w:szCs w:val="18"/>
                    </w:rPr>
                  </w:pPr>
                  <w:r>
                    <w:rPr>
                      <w:bCs/>
                      <w:sz w:val="18"/>
                      <w:szCs w:val="18"/>
                    </w:rPr>
                    <w:t>DA040</w:t>
                  </w:r>
                </w:p>
              </w:tc>
              <w:tc>
                <w:tcPr>
                  <w:tcW w:w="785" w:type="pct"/>
                  <w:tcBorders>
                    <w:top w:val="single" w:sz="6" w:space="0" w:color="auto"/>
                    <w:left w:val="single" w:sz="6" w:space="0" w:color="auto"/>
                    <w:bottom w:val="single" w:sz="6" w:space="0" w:color="auto"/>
                    <w:right w:val="single" w:sz="6" w:space="0" w:color="auto"/>
                  </w:tcBorders>
                  <w:vAlign w:val="center"/>
                </w:tcPr>
                <w:p w14:paraId="6A7F29A2" w14:textId="77777777" w:rsidR="00F76A63" w:rsidRDefault="00000000">
                  <w:pPr>
                    <w:jc w:val="center"/>
                    <w:rPr>
                      <w:bCs/>
                      <w:sz w:val="18"/>
                      <w:szCs w:val="18"/>
                    </w:rPr>
                  </w:pPr>
                  <w:r>
                    <w:rPr>
                      <w:bCs/>
                      <w:sz w:val="18"/>
                      <w:szCs w:val="18"/>
                    </w:rPr>
                    <w:t>2#</w:t>
                  </w:r>
                  <w:r>
                    <w:rPr>
                      <w:bCs/>
                      <w:sz w:val="18"/>
                      <w:szCs w:val="18"/>
                    </w:rPr>
                    <w:t>输送系统</w:t>
                  </w:r>
                  <w:r>
                    <w:rPr>
                      <w:bCs/>
                      <w:sz w:val="18"/>
                      <w:szCs w:val="18"/>
                    </w:rPr>
                    <w:t>7</w:t>
                  </w:r>
                </w:p>
              </w:tc>
              <w:tc>
                <w:tcPr>
                  <w:tcW w:w="1083" w:type="pct"/>
                  <w:tcBorders>
                    <w:top w:val="single" w:sz="6" w:space="0" w:color="auto"/>
                    <w:left w:val="single" w:sz="6" w:space="0" w:color="auto"/>
                    <w:bottom w:val="single" w:sz="6" w:space="0" w:color="auto"/>
                    <w:right w:val="single" w:sz="6" w:space="0" w:color="auto"/>
                  </w:tcBorders>
                  <w:vAlign w:val="center"/>
                </w:tcPr>
                <w:p w14:paraId="2B6D2B7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628E7C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A512ABE"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56E18640"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24E82D2D" w14:textId="77777777" w:rsidR="00F76A63" w:rsidRDefault="00000000">
                  <w:pPr>
                    <w:jc w:val="center"/>
                    <w:rPr>
                      <w:bCs/>
                      <w:sz w:val="18"/>
                      <w:szCs w:val="18"/>
                    </w:rPr>
                  </w:pPr>
                  <w:r>
                    <w:rPr>
                      <w:bCs/>
                      <w:sz w:val="18"/>
                      <w:szCs w:val="18"/>
                    </w:rPr>
                    <w:t>60</w:t>
                  </w:r>
                </w:p>
              </w:tc>
            </w:tr>
            <w:tr w:rsidR="00F76A63" w14:paraId="1CA7147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FE7B460" w14:textId="77777777" w:rsidR="00F76A63" w:rsidRDefault="00000000">
                  <w:pPr>
                    <w:jc w:val="center"/>
                    <w:rPr>
                      <w:bCs/>
                      <w:sz w:val="18"/>
                      <w:szCs w:val="18"/>
                    </w:rPr>
                  </w:pPr>
                  <w:r>
                    <w:rPr>
                      <w:bCs/>
                      <w:sz w:val="18"/>
                      <w:szCs w:val="18"/>
                    </w:rPr>
                    <w:t>DA041</w:t>
                  </w:r>
                </w:p>
              </w:tc>
              <w:tc>
                <w:tcPr>
                  <w:tcW w:w="785" w:type="pct"/>
                  <w:tcBorders>
                    <w:top w:val="single" w:sz="6" w:space="0" w:color="auto"/>
                    <w:left w:val="single" w:sz="6" w:space="0" w:color="auto"/>
                    <w:bottom w:val="single" w:sz="6" w:space="0" w:color="auto"/>
                    <w:right w:val="single" w:sz="6" w:space="0" w:color="auto"/>
                  </w:tcBorders>
                  <w:vAlign w:val="center"/>
                </w:tcPr>
                <w:p w14:paraId="06FFB540" w14:textId="77777777" w:rsidR="00F76A63" w:rsidRDefault="00000000">
                  <w:pPr>
                    <w:jc w:val="center"/>
                    <w:rPr>
                      <w:bCs/>
                      <w:sz w:val="18"/>
                      <w:szCs w:val="18"/>
                    </w:rPr>
                  </w:pPr>
                  <w:r>
                    <w:rPr>
                      <w:bCs/>
                      <w:sz w:val="18"/>
                      <w:szCs w:val="18"/>
                    </w:rPr>
                    <w:t>4#</w:t>
                  </w:r>
                  <w:r>
                    <w:rPr>
                      <w:bCs/>
                      <w:sz w:val="18"/>
                      <w:szCs w:val="18"/>
                    </w:rPr>
                    <w:t>水泥库顶</w:t>
                  </w:r>
                </w:p>
              </w:tc>
              <w:tc>
                <w:tcPr>
                  <w:tcW w:w="1083" w:type="pct"/>
                  <w:tcBorders>
                    <w:top w:val="single" w:sz="6" w:space="0" w:color="auto"/>
                    <w:left w:val="single" w:sz="6" w:space="0" w:color="auto"/>
                    <w:bottom w:val="single" w:sz="6" w:space="0" w:color="auto"/>
                    <w:right w:val="single" w:sz="6" w:space="0" w:color="auto"/>
                  </w:tcBorders>
                  <w:vAlign w:val="center"/>
                </w:tcPr>
                <w:p w14:paraId="1AD8FAB8"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1172D9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13D2EBC"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6336A834" w14:textId="77777777" w:rsidR="00F76A63" w:rsidRDefault="00000000">
                  <w:pPr>
                    <w:jc w:val="center"/>
                    <w:rPr>
                      <w:bCs/>
                      <w:sz w:val="18"/>
                      <w:szCs w:val="18"/>
                    </w:rPr>
                  </w:pPr>
                  <w:r>
                    <w:rPr>
                      <w:bCs/>
                      <w:sz w:val="18"/>
                      <w:szCs w:val="18"/>
                    </w:rPr>
                    <w:t>0.7</w:t>
                  </w:r>
                </w:p>
              </w:tc>
              <w:tc>
                <w:tcPr>
                  <w:tcW w:w="445" w:type="pct"/>
                  <w:tcBorders>
                    <w:top w:val="single" w:sz="6" w:space="0" w:color="auto"/>
                    <w:left w:val="single" w:sz="6" w:space="0" w:color="auto"/>
                    <w:bottom w:val="single" w:sz="6" w:space="0" w:color="auto"/>
                    <w:right w:val="nil"/>
                  </w:tcBorders>
                  <w:vAlign w:val="center"/>
                </w:tcPr>
                <w:p w14:paraId="42DFBECA" w14:textId="77777777" w:rsidR="00F76A63" w:rsidRDefault="00000000">
                  <w:pPr>
                    <w:jc w:val="center"/>
                    <w:rPr>
                      <w:bCs/>
                      <w:sz w:val="18"/>
                      <w:szCs w:val="18"/>
                    </w:rPr>
                  </w:pPr>
                  <w:r>
                    <w:rPr>
                      <w:bCs/>
                      <w:sz w:val="18"/>
                      <w:szCs w:val="18"/>
                    </w:rPr>
                    <w:t>75</w:t>
                  </w:r>
                </w:p>
              </w:tc>
            </w:tr>
            <w:tr w:rsidR="00F76A63" w14:paraId="046582C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0C7EA59" w14:textId="77777777" w:rsidR="00F76A63" w:rsidRDefault="00000000">
                  <w:pPr>
                    <w:jc w:val="center"/>
                    <w:rPr>
                      <w:bCs/>
                      <w:sz w:val="18"/>
                      <w:szCs w:val="18"/>
                    </w:rPr>
                  </w:pPr>
                  <w:r>
                    <w:rPr>
                      <w:bCs/>
                      <w:sz w:val="18"/>
                      <w:szCs w:val="18"/>
                    </w:rPr>
                    <w:t>DA042</w:t>
                  </w:r>
                </w:p>
              </w:tc>
              <w:tc>
                <w:tcPr>
                  <w:tcW w:w="785" w:type="pct"/>
                  <w:tcBorders>
                    <w:top w:val="single" w:sz="6" w:space="0" w:color="auto"/>
                    <w:left w:val="single" w:sz="6" w:space="0" w:color="auto"/>
                    <w:bottom w:val="single" w:sz="6" w:space="0" w:color="auto"/>
                    <w:right w:val="single" w:sz="6" w:space="0" w:color="auto"/>
                  </w:tcBorders>
                  <w:vAlign w:val="center"/>
                </w:tcPr>
                <w:p w14:paraId="2076341F" w14:textId="77777777" w:rsidR="00F76A63" w:rsidRDefault="00000000">
                  <w:pPr>
                    <w:jc w:val="center"/>
                    <w:rPr>
                      <w:bCs/>
                      <w:sz w:val="18"/>
                      <w:szCs w:val="18"/>
                    </w:rPr>
                  </w:pPr>
                  <w:r>
                    <w:rPr>
                      <w:bCs/>
                      <w:sz w:val="18"/>
                      <w:szCs w:val="18"/>
                    </w:rPr>
                    <w:t>1#</w:t>
                  </w:r>
                  <w:r>
                    <w:rPr>
                      <w:bCs/>
                      <w:sz w:val="18"/>
                      <w:szCs w:val="18"/>
                    </w:rPr>
                    <w:t>粉煤灰库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71BA504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3A72E9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FB2BBCF" w14:textId="77777777" w:rsidR="00F76A63" w:rsidRDefault="00000000">
                  <w:pPr>
                    <w:jc w:val="center"/>
                    <w:rPr>
                      <w:bCs/>
                      <w:sz w:val="18"/>
                      <w:szCs w:val="18"/>
                    </w:rPr>
                  </w:pPr>
                  <w:r>
                    <w:rPr>
                      <w:bCs/>
                      <w:sz w:val="18"/>
                      <w:szCs w:val="18"/>
                    </w:rPr>
                    <w:t>30</w:t>
                  </w:r>
                </w:p>
              </w:tc>
              <w:tc>
                <w:tcPr>
                  <w:tcW w:w="577" w:type="pct"/>
                  <w:tcBorders>
                    <w:top w:val="single" w:sz="6" w:space="0" w:color="auto"/>
                    <w:left w:val="single" w:sz="6" w:space="0" w:color="auto"/>
                    <w:bottom w:val="single" w:sz="6" w:space="0" w:color="auto"/>
                    <w:right w:val="single" w:sz="6" w:space="0" w:color="auto"/>
                  </w:tcBorders>
                  <w:vAlign w:val="center"/>
                </w:tcPr>
                <w:p w14:paraId="56DBB815"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631ED32" w14:textId="77777777" w:rsidR="00F76A63" w:rsidRDefault="00000000">
                  <w:pPr>
                    <w:jc w:val="center"/>
                    <w:rPr>
                      <w:bCs/>
                      <w:sz w:val="18"/>
                      <w:szCs w:val="18"/>
                    </w:rPr>
                  </w:pPr>
                  <w:r>
                    <w:rPr>
                      <w:bCs/>
                      <w:sz w:val="18"/>
                      <w:szCs w:val="18"/>
                    </w:rPr>
                    <w:t>常温</w:t>
                  </w:r>
                </w:p>
              </w:tc>
            </w:tr>
            <w:tr w:rsidR="00F76A63" w14:paraId="3F896C3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5564663" w14:textId="77777777" w:rsidR="00F76A63" w:rsidRDefault="00000000">
                  <w:pPr>
                    <w:jc w:val="center"/>
                    <w:rPr>
                      <w:bCs/>
                      <w:sz w:val="18"/>
                      <w:szCs w:val="18"/>
                    </w:rPr>
                  </w:pPr>
                  <w:r>
                    <w:rPr>
                      <w:bCs/>
                      <w:sz w:val="18"/>
                      <w:szCs w:val="18"/>
                    </w:rPr>
                    <w:t>DA043</w:t>
                  </w:r>
                </w:p>
              </w:tc>
              <w:tc>
                <w:tcPr>
                  <w:tcW w:w="785" w:type="pct"/>
                  <w:tcBorders>
                    <w:top w:val="single" w:sz="6" w:space="0" w:color="auto"/>
                    <w:left w:val="single" w:sz="6" w:space="0" w:color="auto"/>
                    <w:bottom w:val="single" w:sz="6" w:space="0" w:color="auto"/>
                    <w:right w:val="single" w:sz="6" w:space="0" w:color="auto"/>
                  </w:tcBorders>
                  <w:vAlign w:val="center"/>
                </w:tcPr>
                <w:p w14:paraId="19D70BC0" w14:textId="77777777" w:rsidR="00F76A63" w:rsidRDefault="00000000">
                  <w:pPr>
                    <w:jc w:val="center"/>
                    <w:rPr>
                      <w:bCs/>
                      <w:sz w:val="18"/>
                      <w:szCs w:val="18"/>
                    </w:rPr>
                  </w:pPr>
                  <w:r>
                    <w:rPr>
                      <w:bCs/>
                      <w:sz w:val="18"/>
                      <w:szCs w:val="18"/>
                    </w:rPr>
                    <w:t>5#</w:t>
                  </w:r>
                  <w:r>
                    <w:rPr>
                      <w:bCs/>
                      <w:sz w:val="18"/>
                      <w:szCs w:val="18"/>
                    </w:rPr>
                    <w:t>水泥库顶</w:t>
                  </w:r>
                </w:p>
              </w:tc>
              <w:tc>
                <w:tcPr>
                  <w:tcW w:w="1083" w:type="pct"/>
                  <w:tcBorders>
                    <w:top w:val="single" w:sz="6" w:space="0" w:color="auto"/>
                    <w:left w:val="single" w:sz="6" w:space="0" w:color="auto"/>
                    <w:bottom w:val="single" w:sz="6" w:space="0" w:color="auto"/>
                    <w:right w:val="single" w:sz="6" w:space="0" w:color="auto"/>
                  </w:tcBorders>
                  <w:vAlign w:val="center"/>
                </w:tcPr>
                <w:p w14:paraId="69EA78AC"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32459F7"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49C3FC3" w14:textId="77777777" w:rsidR="00F76A63" w:rsidRDefault="00000000">
                  <w:pPr>
                    <w:jc w:val="center"/>
                    <w:rPr>
                      <w:bCs/>
                      <w:sz w:val="18"/>
                      <w:szCs w:val="18"/>
                    </w:rPr>
                  </w:pPr>
                  <w:r>
                    <w:rPr>
                      <w:bCs/>
                      <w:sz w:val="18"/>
                      <w:szCs w:val="18"/>
                    </w:rPr>
                    <w:t>50</w:t>
                  </w:r>
                </w:p>
              </w:tc>
              <w:tc>
                <w:tcPr>
                  <w:tcW w:w="577" w:type="pct"/>
                  <w:tcBorders>
                    <w:top w:val="single" w:sz="6" w:space="0" w:color="auto"/>
                    <w:left w:val="single" w:sz="6" w:space="0" w:color="auto"/>
                    <w:bottom w:val="single" w:sz="6" w:space="0" w:color="auto"/>
                    <w:right w:val="single" w:sz="6" w:space="0" w:color="auto"/>
                  </w:tcBorders>
                  <w:vAlign w:val="center"/>
                </w:tcPr>
                <w:p w14:paraId="7946C5F2"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2B24D844" w14:textId="77777777" w:rsidR="00F76A63" w:rsidRDefault="00000000">
                  <w:pPr>
                    <w:jc w:val="center"/>
                    <w:rPr>
                      <w:bCs/>
                      <w:sz w:val="18"/>
                      <w:szCs w:val="18"/>
                    </w:rPr>
                  </w:pPr>
                  <w:r>
                    <w:rPr>
                      <w:bCs/>
                      <w:sz w:val="18"/>
                      <w:szCs w:val="18"/>
                    </w:rPr>
                    <w:t>80</w:t>
                  </w:r>
                </w:p>
              </w:tc>
            </w:tr>
            <w:tr w:rsidR="00F76A63" w14:paraId="521C54D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60946B6" w14:textId="77777777" w:rsidR="00F76A63" w:rsidRDefault="00000000">
                  <w:pPr>
                    <w:jc w:val="center"/>
                    <w:rPr>
                      <w:bCs/>
                      <w:sz w:val="18"/>
                      <w:szCs w:val="18"/>
                    </w:rPr>
                  </w:pPr>
                  <w:r>
                    <w:rPr>
                      <w:bCs/>
                      <w:sz w:val="18"/>
                      <w:szCs w:val="18"/>
                    </w:rPr>
                    <w:t>DA044</w:t>
                  </w:r>
                </w:p>
              </w:tc>
              <w:tc>
                <w:tcPr>
                  <w:tcW w:w="785" w:type="pct"/>
                  <w:tcBorders>
                    <w:top w:val="single" w:sz="6" w:space="0" w:color="auto"/>
                    <w:left w:val="single" w:sz="6" w:space="0" w:color="auto"/>
                    <w:bottom w:val="single" w:sz="6" w:space="0" w:color="auto"/>
                    <w:right w:val="single" w:sz="6" w:space="0" w:color="auto"/>
                  </w:tcBorders>
                  <w:vAlign w:val="center"/>
                </w:tcPr>
                <w:p w14:paraId="7CEA6797" w14:textId="77777777" w:rsidR="00F76A63" w:rsidRDefault="00000000">
                  <w:pPr>
                    <w:jc w:val="center"/>
                    <w:rPr>
                      <w:bCs/>
                      <w:sz w:val="18"/>
                      <w:szCs w:val="18"/>
                    </w:rPr>
                  </w:pPr>
                  <w:r>
                    <w:rPr>
                      <w:bCs/>
                      <w:sz w:val="18"/>
                      <w:szCs w:val="18"/>
                    </w:rPr>
                    <w:t>6#</w:t>
                  </w:r>
                  <w:r>
                    <w:rPr>
                      <w:bCs/>
                      <w:sz w:val="18"/>
                      <w:szCs w:val="18"/>
                    </w:rPr>
                    <w:t>水泥库顶</w:t>
                  </w:r>
                </w:p>
              </w:tc>
              <w:tc>
                <w:tcPr>
                  <w:tcW w:w="1083" w:type="pct"/>
                  <w:tcBorders>
                    <w:top w:val="single" w:sz="6" w:space="0" w:color="auto"/>
                    <w:left w:val="single" w:sz="6" w:space="0" w:color="auto"/>
                    <w:bottom w:val="single" w:sz="6" w:space="0" w:color="auto"/>
                    <w:right w:val="single" w:sz="6" w:space="0" w:color="auto"/>
                  </w:tcBorders>
                  <w:vAlign w:val="center"/>
                </w:tcPr>
                <w:p w14:paraId="479503E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AC31B5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9FDC14F" w14:textId="77777777" w:rsidR="00F76A63" w:rsidRDefault="00000000">
                  <w:pPr>
                    <w:jc w:val="center"/>
                    <w:rPr>
                      <w:bCs/>
                      <w:sz w:val="18"/>
                      <w:szCs w:val="18"/>
                    </w:rPr>
                  </w:pPr>
                  <w:r>
                    <w:rPr>
                      <w:bCs/>
                      <w:sz w:val="18"/>
                      <w:szCs w:val="18"/>
                    </w:rPr>
                    <w:t>50</w:t>
                  </w:r>
                </w:p>
              </w:tc>
              <w:tc>
                <w:tcPr>
                  <w:tcW w:w="577" w:type="pct"/>
                  <w:tcBorders>
                    <w:top w:val="single" w:sz="6" w:space="0" w:color="auto"/>
                    <w:left w:val="single" w:sz="6" w:space="0" w:color="auto"/>
                    <w:bottom w:val="single" w:sz="6" w:space="0" w:color="auto"/>
                    <w:right w:val="single" w:sz="6" w:space="0" w:color="auto"/>
                  </w:tcBorders>
                  <w:vAlign w:val="center"/>
                </w:tcPr>
                <w:p w14:paraId="46EDDD93"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2E5A1D21" w14:textId="77777777" w:rsidR="00F76A63" w:rsidRDefault="00000000">
                  <w:pPr>
                    <w:jc w:val="center"/>
                    <w:rPr>
                      <w:bCs/>
                      <w:sz w:val="18"/>
                      <w:szCs w:val="18"/>
                    </w:rPr>
                  </w:pPr>
                  <w:r>
                    <w:rPr>
                      <w:bCs/>
                      <w:sz w:val="18"/>
                      <w:szCs w:val="18"/>
                    </w:rPr>
                    <w:t>80</w:t>
                  </w:r>
                </w:p>
              </w:tc>
            </w:tr>
            <w:tr w:rsidR="00F76A63" w14:paraId="14B5B7D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3EF1AB1" w14:textId="77777777" w:rsidR="00F76A63" w:rsidRDefault="00000000">
                  <w:pPr>
                    <w:jc w:val="center"/>
                    <w:rPr>
                      <w:bCs/>
                      <w:sz w:val="18"/>
                      <w:szCs w:val="18"/>
                    </w:rPr>
                  </w:pPr>
                  <w:r>
                    <w:rPr>
                      <w:bCs/>
                      <w:sz w:val="18"/>
                      <w:szCs w:val="18"/>
                    </w:rPr>
                    <w:t>DA045</w:t>
                  </w:r>
                </w:p>
              </w:tc>
              <w:tc>
                <w:tcPr>
                  <w:tcW w:w="785" w:type="pct"/>
                  <w:tcBorders>
                    <w:top w:val="single" w:sz="6" w:space="0" w:color="auto"/>
                    <w:left w:val="single" w:sz="6" w:space="0" w:color="auto"/>
                    <w:bottom w:val="single" w:sz="6" w:space="0" w:color="auto"/>
                    <w:right w:val="single" w:sz="6" w:space="0" w:color="auto"/>
                  </w:tcBorders>
                  <w:vAlign w:val="center"/>
                </w:tcPr>
                <w:p w14:paraId="26DFAB54" w14:textId="77777777" w:rsidR="00F76A63" w:rsidRDefault="00000000">
                  <w:pPr>
                    <w:jc w:val="center"/>
                    <w:rPr>
                      <w:bCs/>
                      <w:sz w:val="18"/>
                      <w:szCs w:val="18"/>
                    </w:rPr>
                  </w:pPr>
                  <w:r>
                    <w:rPr>
                      <w:bCs/>
                      <w:sz w:val="18"/>
                      <w:szCs w:val="18"/>
                    </w:rPr>
                    <w:t>7#</w:t>
                  </w:r>
                  <w:r>
                    <w:rPr>
                      <w:bCs/>
                      <w:sz w:val="18"/>
                      <w:szCs w:val="18"/>
                    </w:rPr>
                    <w:t>水泥库</w:t>
                  </w:r>
                </w:p>
              </w:tc>
              <w:tc>
                <w:tcPr>
                  <w:tcW w:w="1083" w:type="pct"/>
                  <w:tcBorders>
                    <w:top w:val="single" w:sz="6" w:space="0" w:color="auto"/>
                    <w:left w:val="single" w:sz="6" w:space="0" w:color="auto"/>
                    <w:bottom w:val="single" w:sz="6" w:space="0" w:color="auto"/>
                    <w:right w:val="single" w:sz="6" w:space="0" w:color="auto"/>
                  </w:tcBorders>
                  <w:vAlign w:val="center"/>
                </w:tcPr>
                <w:p w14:paraId="6DBC83B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416DBC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BFA2D59" w14:textId="77777777" w:rsidR="00F76A63" w:rsidRDefault="00000000">
                  <w:pPr>
                    <w:jc w:val="center"/>
                    <w:rPr>
                      <w:bCs/>
                      <w:sz w:val="18"/>
                      <w:szCs w:val="18"/>
                    </w:rPr>
                  </w:pPr>
                  <w:r>
                    <w:rPr>
                      <w:bCs/>
                      <w:sz w:val="18"/>
                      <w:szCs w:val="18"/>
                    </w:rPr>
                    <w:t>50</w:t>
                  </w:r>
                </w:p>
              </w:tc>
              <w:tc>
                <w:tcPr>
                  <w:tcW w:w="577" w:type="pct"/>
                  <w:tcBorders>
                    <w:top w:val="single" w:sz="6" w:space="0" w:color="auto"/>
                    <w:left w:val="single" w:sz="6" w:space="0" w:color="auto"/>
                    <w:bottom w:val="single" w:sz="6" w:space="0" w:color="auto"/>
                    <w:right w:val="single" w:sz="6" w:space="0" w:color="auto"/>
                  </w:tcBorders>
                  <w:vAlign w:val="center"/>
                </w:tcPr>
                <w:p w14:paraId="37AA70E5"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20B9D88F" w14:textId="77777777" w:rsidR="00F76A63" w:rsidRDefault="00000000">
                  <w:pPr>
                    <w:jc w:val="center"/>
                    <w:rPr>
                      <w:bCs/>
                      <w:sz w:val="18"/>
                      <w:szCs w:val="18"/>
                    </w:rPr>
                  </w:pPr>
                  <w:r>
                    <w:rPr>
                      <w:bCs/>
                      <w:sz w:val="18"/>
                      <w:szCs w:val="18"/>
                    </w:rPr>
                    <w:t>80</w:t>
                  </w:r>
                </w:p>
              </w:tc>
            </w:tr>
            <w:tr w:rsidR="00F76A63" w14:paraId="5AEDABE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A5AC7C4" w14:textId="77777777" w:rsidR="00F76A63" w:rsidRDefault="00000000">
                  <w:pPr>
                    <w:jc w:val="center"/>
                    <w:rPr>
                      <w:bCs/>
                      <w:sz w:val="18"/>
                      <w:szCs w:val="18"/>
                    </w:rPr>
                  </w:pPr>
                  <w:r>
                    <w:rPr>
                      <w:bCs/>
                      <w:sz w:val="18"/>
                      <w:szCs w:val="18"/>
                    </w:rPr>
                    <w:t>DA046</w:t>
                  </w:r>
                </w:p>
              </w:tc>
              <w:tc>
                <w:tcPr>
                  <w:tcW w:w="785" w:type="pct"/>
                  <w:tcBorders>
                    <w:top w:val="single" w:sz="6" w:space="0" w:color="auto"/>
                    <w:left w:val="single" w:sz="6" w:space="0" w:color="auto"/>
                    <w:bottom w:val="single" w:sz="6" w:space="0" w:color="auto"/>
                    <w:right w:val="single" w:sz="6" w:space="0" w:color="auto"/>
                  </w:tcBorders>
                  <w:vAlign w:val="center"/>
                </w:tcPr>
                <w:p w14:paraId="27AE6C11" w14:textId="77777777" w:rsidR="00F76A63" w:rsidRDefault="00000000">
                  <w:pPr>
                    <w:jc w:val="center"/>
                    <w:rPr>
                      <w:bCs/>
                      <w:sz w:val="18"/>
                      <w:szCs w:val="18"/>
                    </w:rPr>
                  </w:pPr>
                  <w:r>
                    <w:rPr>
                      <w:bCs/>
                      <w:sz w:val="18"/>
                      <w:szCs w:val="18"/>
                    </w:rPr>
                    <w:t>8#</w:t>
                  </w:r>
                  <w:r>
                    <w:rPr>
                      <w:bCs/>
                      <w:sz w:val="18"/>
                      <w:szCs w:val="18"/>
                    </w:rPr>
                    <w:t>水泥库</w:t>
                  </w:r>
                </w:p>
              </w:tc>
              <w:tc>
                <w:tcPr>
                  <w:tcW w:w="1083" w:type="pct"/>
                  <w:tcBorders>
                    <w:top w:val="single" w:sz="6" w:space="0" w:color="auto"/>
                    <w:left w:val="single" w:sz="6" w:space="0" w:color="auto"/>
                    <w:bottom w:val="single" w:sz="6" w:space="0" w:color="auto"/>
                    <w:right w:val="single" w:sz="6" w:space="0" w:color="auto"/>
                  </w:tcBorders>
                  <w:vAlign w:val="center"/>
                </w:tcPr>
                <w:p w14:paraId="6974950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886FB8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D6B26EE" w14:textId="77777777" w:rsidR="00F76A63" w:rsidRDefault="00000000">
                  <w:pPr>
                    <w:jc w:val="center"/>
                    <w:rPr>
                      <w:bCs/>
                      <w:sz w:val="18"/>
                      <w:szCs w:val="18"/>
                    </w:rPr>
                  </w:pPr>
                  <w:r>
                    <w:rPr>
                      <w:bCs/>
                      <w:sz w:val="18"/>
                      <w:szCs w:val="18"/>
                    </w:rPr>
                    <w:t>50</w:t>
                  </w:r>
                </w:p>
              </w:tc>
              <w:tc>
                <w:tcPr>
                  <w:tcW w:w="577" w:type="pct"/>
                  <w:tcBorders>
                    <w:top w:val="single" w:sz="6" w:space="0" w:color="auto"/>
                    <w:left w:val="single" w:sz="6" w:space="0" w:color="auto"/>
                    <w:bottom w:val="single" w:sz="6" w:space="0" w:color="auto"/>
                    <w:right w:val="single" w:sz="6" w:space="0" w:color="auto"/>
                  </w:tcBorders>
                  <w:vAlign w:val="center"/>
                </w:tcPr>
                <w:p w14:paraId="02C1529B"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4D8AA520" w14:textId="77777777" w:rsidR="00F76A63" w:rsidRDefault="00000000">
                  <w:pPr>
                    <w:jc w:val="center"/>
                    <w:rPr>
                      <w:bCs/>
                      <w:sz w:val="18"/>
                      <w:szCs w:val="18"/>
                    </w:rPr>
                  </w:pPr>
                  <w:r>
                    <w:rPr>
                      <w:bCs/>
                      <w:sz w:val="18"/>
                      <w:szCs w:val="18"/>
                    </w:rPr>
                    <w:t>80</w:t>
                  </w:r>
                </w:p>
              </w:tc>
            </w:tr>
            <w:tr w:rsidR="00F76A63" w14:paraId="233EBC5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AE856EA" w14:textId="77777777" w:rsidR="00F76A63" w:rsidRDefault="00000000">
                  <w:pPr>
                    <w:jc w:val="center"/>
                    <w:rPr>
                      <w:bCs/>
                      <w:sz w:val="18"/>
                      <w:szCs w:val="18"/>
                    </w:rPr>
                  </w:pPr>
                  <w:r>
                    <w:rPr>
                      <w:bCs/>
                      <w:sz w:val="18"/>
                      <w:szCs w:val="18"/>
                    </w:rPr>
                    <w:t>DA047</w:t>
                  </w:r>
                </w:p>
              </w:tc>
              <w:tc>
                <w:tcPr>
                  <w:tcW w:w="785" w:type="pct"/>
                  <w:tcBorders>
                    <w:top w:val="single" w:sz="6" w:space="0" w:color="auto"/>
                    <w:left w:val="single" w:sz="6" w:space="0" w:color="auto"/>
                    <w:bottom w:val="single" w:sz="6" w:space="0" w:color="auto"/>
                    <w:right w:val="single" w:sz="6" w:space="0" w:color="auto"/>
                  </w:tcBorders>
                  <w:vAlign w:val="center"/>
                </w:tcPr>
                <w:p w14:paraId="6E5B5055" w14:textId="77777777" w:rsidR="00F76A63" w:rsidRDefault="00000000">
                  <w:pPr>
                    <w:jc w:val="center"/>
                    <w:rPr>
                      <w:bCs/>
                      <w:sz w:val="18"/>
                      <w:szCs w:val="18"/>
                    </w:rPr>
                  </w:pPr>
                  <w:r>
                    <w:rPr>
                      <w:bCs/>
                      <w:sz w:val="18"/>
                      <w:szCs w:val="18"/>
                    </w:rPr>
                    <w:t>9#</w:t>
                  </w:r>
                  <w:r>
                    <w:rPr>
                      <w:bCs/>
                      <w:sz w:val="18"/>
                      <w:szCs w:val="18"/>
                    </w:rPr>
                    <w:t>水泥库</w:t>
                  </w:r>
                </w:p>
              </w:tc>
              <w:tc>
                <w:tcPr>
                  <w:tcW w:w="1083" w:type="pct"/>
                  <w:tcBorders>
                    <w:top w:val="single" w:sz="6" w:space="0" w:color="auto"/>
                    <w:left w:val="single" w:sz="6" w:space="0" w:color="auto"/>
                    <w:bottom w:val="single" w:sz="6" w:space="0" w:color="auto"/>
                    <w:right w:val="single" w:sz="6" w:space="0" w:color="auto"/>
                  </w:tcBorders>
                  <w:vAlign w:val="center"/>
                </w:tcPr>
                <w:p w14:paraId="4025BA8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270907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3625E59" w14:textId="77777777" w:rsidR="00F76A63" w:rsidRDefault="00000000">
                  <w:pPr>
                    <w:jc w:val="center"/>
                    <w:rPr>
                      <w:bCs/>
                      <w:sz w:val="18"/>
                      <w:szCs w:val="18"/>
                    </w:rPr>
                  </w:pPr>
                  <w:r>
                    <w:rPr>
                      <w:bCs/>
                      <w:sz w:val="18"/>
                      <w:szCs w:val="18"/>
                    </w:rPr>
                    <w:t>50</w:t>
                  </w:r>
                </w:p>
              </w:tc>
              <w:tc>
                <w:tcPr>
                  <w:tcW w:w="577" w:type="pct"/>
                  <w:tcBorders>
                    <w:top w:val="single" w:sz="6" w:space="0" w:color="auto"/>
                    <w:left w:val="single" w:sz="6" w:space="0" w:color="auto"/>
                    <w:bottom w:val="single" w:sz="6" w:space="0" w:color="auto"/>
                    <w:right w:val="single" w:sz="6" w:space="0" w:color="auto"/>
                  </w:tcBorders>
                  <w:vAlign w:val="center"/>
                </w:tcPr>
                <w:p w14:paraId="5FCA5C9E"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714FF389" w14:textId="77777777" w:rsidR="00F76A63" w:rsidRDefault="00000000">
                  <w:pPr>
                    <w:jc w:val="center"/>
                    <w:rPr>
                      <w:bCs/>
                      <w:sz w:val="18"/>
                      <w:szCs w:val="18"/>
                    </w:rPr>
                  </w:pPr>
                  <w:r>
                    <w:rPr>
                      <w:bCs/>
                      <w:sz w:val="18"/>
                      <w:szCs w:val="18"/>
                    </w:rPr>
                    <w:t>80</w:t>
                  </w:r>
                </w:p>
              </w:tc>
            </w:tr>
            <w:tr w:rsidR="00F76A63" w14:paraId="54F2D9A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8CB387B" w14:textId="77777777" w:rsidR="00F76A63" w:rsidRDefault="00000000">
                  <w:pPr>
                    <w:jc w:val="center"/>
                    <w:rPr>
                      <w:bCs/>
                      <w:sz w:val="18"/>
                      <w:szCs w:val="18"/>
                    </w:rPr>
                  </w:pPr>
                  <w:r>
                    <w:rPr>
                      <w:bCs/>
                      <w:sz w:val="18"/>
                      <w:szCs w:val="18"/>
                    </w:rPr>
                    <w:t>DA048</w:t>
                  </w:r>
                </w:p>
              </w:tc>
              <w:tc>
                <w:tcPr>
                  <w:tcW w:w="785" w:type="pct"/>
                  <w:tcBorders>
                    <w:top w:val="single" w:sz="6" w:space="0" w:color="auto"/>
                    <w:left w:val="single" w:sz="6" w:space="0" w:color="auto"/>
                    <w:bottom w:val="single" w:sz="6" w:space="0" w:color="auto"/>
                    <w:right w:val="single" w:sz="6" w:space="0" w:color="auto"/>
                  </w:tcBorders>
                  <w:vAlign w:val="center"/>
                </w:tcPr>
                <w:p w14:paraId="6742A458" w14:textId="77777777" w:rsidR="00F76A63" w:rsidRDefault="00000000">
                  <w:pPr>
                    <w:jc w:val="center"/>
                    <w:rPr>
                      <w:bCs/>
                      <w:sz w:val="18"/>
                      <w:szCs w:val="18"/>
                    </w:rPr>
                  </w:pPr>
                  <w:r>
                    <w:rPr>
                      <w:bCs/>
                      <w:sz w:val="18"/>
                      <w:szCs w:val="18"/>
                    </w:rPr>
                    <w:t>2#</w:t>
                  </w:r>
                  <w:r>
                    <w:rPr>
                      <w:bCs/>
                      <w:sz w:val="18"/>
                      <w:szCs w:val="18"/>
                    </w:rPr>
                    <w:t>矿山破碎机</w:t>
                  </w:r>
                </w:p>
              </w:tc>
              <w:tc>
                <w:tcPr>
                  <w:tcW w:w="1083" w:type="pct"/>
                  <w:tcBorders>
                    <w:top w:val="single" w:sz="6" w:space="0" w:color="auto"/>
                    <w:left w:val="single" w:sz="6" w:space="0" w:color="auto"/>
                    <w:bottom w:val="single" w:sz="6" w:space="0" w:color="auto"/>
                    <w:right w:val="single" w:sz="6" w:space="0" w:color="auto"/>
                  </w:tcBorders>
                  <w:vAlign w:val="center"/>
                </w:tcPr>
                <w:p w14:paraId="02A79FC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3A89C8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6890890"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721A44EA" w14:textId="77777777" w:rsidR="00F76A63" w:rsidRDefault="00000000">
                  <w:pPr>
                    <w:jc w:val="center"/>
                    <w:rPr>
                      <w:bCs/>
                      <w:sz w:val="18"/>
                      <w:szCs w:val="18"/>
                    </w:rPr>
                  </w:pPr>
                  <w:r>
                    <w:rPr>
                      <w:bCs/>
                      <w:sz w:val="18"/>
                      <w:szCs w:val="18"/>
                    </w:rPr>
                    <w:t>1</w:t>
                  </w:r>
                </w:p>
              </w:tc>
              <w:tc>
                <w:tcPr>
                  <w:tcW w:w="445" w:type="pct"/>
                  <w:tcBorders>
                    <w:top w:val="single" w:sz="6" w:space="0" w:color="auto"/>
                    <w:left w:val="single" w:sz="6" w:space="0" w:color="auto"/>
                    <w:bottom w:val="single" w:sz="6" w:space="0" w:color="auto"/>
                    <w:right w:val="nil"/>
                  </w:tcBorders>
                  <w:vAlign w:val="center"/>
                </w:tcPr>
                <w:p w14:paraId="74D2C595" w14:textId="77777777" w:rsidR="00F76A63" w:rsidRDefault="00000000">
                  <w:pPr>
                    <w:jc w:val="center"/>
                    <w:rPr>
                      <w:bCs/>
                      <w:sz w:val="18"/>
                      <w:szCs w:val="18"/>
                    </w:rPr>
                  </w:pPr>
                  <w:r>
                    <w:rPr>
                      <w:bCs/>
                      <w:sz w:val="18"/>
                      <w:szCs w:val="18"/>
                    </w:rPr>
                    <w:t>常温</w:t>
                  </w:r>
                </w:p>
              </w:tc>
            </w:tr>
            <w:tr w:rsidR="00F76A63" w14:paraId="4AEE32B6"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39453CE" w14:textId="77777777" w:rsidR="00F76A63" w:rsidRDefault="00000000">
                  <w:pPr>
                    <w:jc w:val="center"/>
                    <w:rPr>
                      <w:bCs/>
                      <w:sz w:val="18"/>
                      <w:szCs w:val="18"/>
                    </w:rPr>
                  </w:pPr>
                  <w:r>
                    <w:rPr>
                      <w:bCs/>
                      <w:sz w:val="18"/>
                      <w:szCs w:val="18"/>
                    </w:rPr>
                    <w:t>DA049</w:t>
                  </w:r>
                </w:p>
              </w:tc>
              <w:tc>
                <w:tcPr>
                  <w:tcW w:w="785" w:type="pct"/>
                  <w:tcBorders>
                    <w:top w:val="single" w:sz="6" w:space="0" w:color="auto"/>
                    <w:left w:val="single" w:sz="6" w:space="0" w:color="auto"/>
                    <w:bottom w:val="single" w:sz="6" w:space="0" w:color="auto"/>
                    <w:right w:val="single" w:sz="6" w:space="0" w:color="auto"/>
                  </w:tcBorders>
                  <w:vAlign w:val="center"/>
                </w:tcPr>
                <w:p w14:paraId="6C5FB689" w14:textId="77777777" w:rsidR="00F76A63" w:rsidRDefault="00000000">
                  <w:pPr>
                    <w:jc w:val="center"/>
                    <w:rPr>
                      <w:bCs/>
                      <w:sz w:val="18"/>
                      <w:szCs w:val="18"/>
                    </w:rPr>
                  </w:pPr>
                  <w:r>
                    <w:rPr>
                      <w:bCs/>
                      <w:sz w:val="18"/>
                      <w:szCs w:val="18"/>
                    </w:rPr>
                    <w:t>2#</w:t>
                  </w:r>
                  <w:r>
                    <w:rPr>
                      <w:bCs/>
                      <w:sz w:val="18"/>
                      <w:szCs w:val="18"/>
                    </w:rPr>
                    <w:t>装船机</w:t>
                  </w:r>
                </w:p>
              </w:tc>
              <w:tc>
                <w:tcPr>
                  <w:tcW w:w="1083" w:type="pct"/>
                  <w:tcBorders>
                    <w:top w:val="single" w:sz="6" w:space="0" w:color="auto"/>
                    <w:left w:val="single" w:sz="6" w:space="0" w:color="auto"/>
                    <w:bottom w:val="single" w:sz="6" w:space="0" w:color="auto"/>
                    <w:right w:val="single" w:sz="6" w:space="0" w:color="auto"/>
                  </w:tcBorders>
                  <w:vAlign w:val="center"/>
                </w:tcPr>
                <w:p w14:paraId="2EEAA88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B4FCEC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FBDA288"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6911123F"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4EF5E8BB" w14:textId="77777777" w:rsidR="00F76A63" w:rsidRDefault="00000000">
                  <w:pPr>
                    <w:jc w:val="center"/>
                    <w:rPr>
                      <w:bCs/>
                      <w:sz w:val="18"/>
                      <w:szCs w:val="18"/>
                    </w:rPr>
                  </w:pPr>
                  <w:r>
                    <w:rPr>
                      <w:bCs/>
                      <w:sz w:val="18"/>
                      <w:szCs w:val="18"/>
                    </w:rPr>
                    <w:t>常温</w:t>
                  </w:r>
                </w:p>
              </w:tc>
            </w:tr>
            <w:tr w:rsidR="00F76A63" w14:paraId="3F73952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F1C55B9" w14:textId="77777777" w:rsidR="00F76A63" w:rsidRDefault="00000000">
                  <w:pPr>
                    <w:jc w:val="center"/>
                    <w:rPr>
                      <w:bCs/>
                      <w:sz w:val="18"/>
                      <w:szCs w:val="18"/>
                    </w:rPr>
                  </w:pPr>
                  <w:r>
                    <w:rPr>
                      <w:bCs/>
                      <w:sz w:val="18"/>
                      <w:szCs w:val="18"/>
                    </w:rPr>
                    <w:t>DA053</w:t>
                  </w:r>
                </w:p>
              </w:tc>
              <w:tc>
                <w:tcPr>
                  <w:tcW w:w="785" w:type="pct"/>
                  <w:tcBorders>
                    <w:top w:val="single" w:sz="6" w:space="0" w:color="auto"/>
                    <w:left w:val="single" w:sz="6" w:space="0" w:color="auto"/>
                    <w:bottom w:val="single" w:sz="6" w:space="0" w:color="auto"/>
                    <w:right w:val="single" w:sz="6" w:space="0" w:color="auto"/>
                  </w:tcBorders>
                  <w:vAlign w:val="center"/>
                </w:tcPr>
                <w:p w14:paraId="6D11595F" w14:textId="77777777" w:rsidR="00F76A63" w:rsidRDefault="00000000">
                  <w:pPr>
                    <w:jc w:val="center"/>
                    <w:rPr>
                      <w:bCs/>
                      <w:sz w:val="18"/>
                      <w:szCs w:val="18"/>
                    </w:rPr>
                  </w:pPr>
                  <w:r>
                    <w:rPr>
                      <w:bCs/>
                      <w:sz w:val="18"/>
                      <w:szCs w:val="18"/>
                    </w:rPr>
                    <w:t>3</w:t>
                  </w:r>
                  <w:r>
                    <w:rPr>
                      <w:bCs/>
                      <w:sz w:val="18"/>
                      <w:szCs w:val="18"/>
                    </w:rPr>
                    <w:t>号磨中间仓</w:t>
                  </w:r>
                </w:p>
              </w:tc>
              <w:tc>
                <w:tcPr>
                  <w:tcW w:w="1083" w:type="pct"/>
                  <w:tcBorders>
                    <w:top w:val="single" w:sz="6" w:space="0" w:color="auto"/>
                    <w:left w:val="single" w:sz="6" w:space="0" w:color="auto"/>
                    <w:bottom w:val="single" w:sz="6" w:space="0" w:color="auto"/>
                    <w:right w:val="single" w:sz="6" w:space="0" w:color="auto"/>
                  </w:tcBorders>
                  <w:vAlign w:val="center"/>
                </w:tcPr>
                <w:p w14:paraId="4D9E701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23E455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9F81764" w14:textId="77777777" w:rsidR="00F76A63" w:rsidRDefault="00000000">
                  <w:pPr>
                    <w:jc w:val="center"/>
                    <w:rPr>
                      <w:bCs/>
                      <w:sz w:val="18"/>
                      <w:szCs w:val="18"/>
                    </w:rPr>
                  </w:pPr>
                  <w:r>
                    <w:rPr>
                      <w:bCs/>
                      <w:sz w:val="18"/>
                      <w:szCs w:val="18"/>
                    </w:rPr>
                    <w:t>26</w:t>
                  </w:r>
                </w:p>
              </w:tc>
              <w:tc>
                <w:tcPr>
                  <w:tcW w:w="577" w:type="pct"/>
                  <w:tcBorders>
                    <w:top w:val="single" w:sz="6" w:space="0" w:color="auto"/>
                    <w:left w:val="single" w:sz="6" w:space="0" w:color="auto"/>
                    <w:bottom w:val="single" w:sz="6" w:space="0" w:color="auto"/>
                    <w:right w:val="single" w:sz="6" w:space="0" w:color="auto"/>
                  </w:tcBorders>
                  <w:vAlign w:val="center"/>
                </w:tcPr>
                <w:p w14:paraId="7DA634E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C48C9D3" w14:textId="77777777" w:rsidR="00F76A63" w:rsidRDefault="00000000">
                  <w:pPr>
                    <w:jc w:val="center"/>
                    <w:rPr>
                      <w:bCs/>
                      <w:sz w:val="18"/>
                      <w:szCs w:val="18"/>
                    </w:rPr>
                  </w:pPr>
                  <w:r>
                    <w:rPr>
                      <w:bCs/>
                      <w:sz w:val="18"/>
                      <w:szCs w:val="18"/>
                    </w:rPr>
                    <w:t>常温</w:t>
                  </w:r>
                </w:p>
              </w:tc>
            </w:tr>
            <w:tr w:rsidR="00F76A63" w14:paraId="081855B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02E73A7" w14:textId="77777777" w:rsidR="00F76A63" w:rsidRDefault="00000000">
                  <w:pPr>
                    <w:jc w:val="center"/>
                    <w:rPr>
                      <w:bCs/>
                      <w:sz w:val="18"/>
                      <w:szCs w:val="18"/>
                    </w:rPr>
                  </w:pPr>
                  <w:r>
                    <w:rPr>
                      <w:bCs/>
                      <w:sz w:val="18"/>
                      <w:szCs w:val="18"/>
                    </w:rPr>
                    <w:t>DA054</w:t>
                  </w:r>
                </w:p>
              </w:tc>
              <w:tc>
                <w:tcPr>
                  <w:tcW w:w="785" w:type="pct"/>
                  <w:tcBorders>
                    <w:top w:val="single" w:sz="6" w:space="0" w:color="auto"/>
                    <w:left w:val="single" w:sz="6" w:space="0" w:color="auto"/>
                    <w:bottom w:val="single" w:sz="6" w:space="0" w:color="auto"/>
                    <w:right w:val="single" w:sz="6" w:space="0" w:color="auto"/>
                  </w:tcBorders>
                  <w:vAlign w:val="center"/>
                </w:tcPr>
                <w:p w14:paraId="2117B020" w14:textId="77777777" w:rsidR="00F76A63" w:rsidRDefault="00000000">
                  <w:pPr>
                    <w:jc w:val="center"/>
                    <w:rPr>
                      <w:bCs/>
                      <w:sz w:val="18"/>
                      <w:szCs w:val="18"/>
                    </w:rPr>
                  </w:pPr>
                  <w:r>
                    <w:rPr>
                      <w:bCs/>
                      <w:sz w:val="18"/>
                      <w:szCs w:val="18"/>
                    </w:rPr>
                    <w:t>1</w:t>
                  </w:r>
                  <w:r>
                    <w:rPr>
                      <w:bCs/>
                      <w:sz w:val="18"/>
                      <w:szCs w:val="18"/>
                    </w:rPr>
                    <w:t>号、</w:t>
                  </w:r>
                  <w:r>
                    <w:rPr>
                      <w:bCs/>
                      <w:sz w:val="18"/>
                      <w:szCs w:val="18"/>
                    </w:rPr>
                    <w:t>2</w:t>
                  </w:r>
                  <w:r>
                    <w:rPr>
                      <w:bCs/>
                      <w:sz w:val="18"/>
                      <w:szCs w:val="18"/>
                    </w:rPr>
                    <w:t>号磨中间仓</w:t>
                  </w:r>
                </w:p>
              </w:tc>
              <w:tc>
                <w:tcPr>
                  <w:tcW w:w="1083" w:type="pct"/>
                  <w:tcBorders>
                    <w:top w:val="single" w:sz="6" w:space="0" w:color="auto"/>
                    <w:left w:val="single" w:sz="6" w:space="0" w:color="auto"/>
                    <w:bottom w:val="single" w:sz="6" w:space="0" w:color="auto"/>
                    <w:right w:val="single" w:sz="6" w:space="0" w:color="auto"/>
                  </w:tcBorders>
                  <w:vAlign w:val="center"/>
                </w:tcPr>
                <w:p w14:paraId="24CC890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5B19D5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9EF1876" w14:textId="77777777" w:rsidR="00F76A63" w:rsidRDefault="00000000">
                  <w:pPr>
                    <w:jc w:val="center"/>
                    <w:rPr>
                      <w:bCs/>
                      <w:sz w:val="18"/>
                      <w:szCs w:val="18"/>
                    </w:rPr>
                  </w:pPr>
                  <w:r>
                    <w:rPr>
                      <w:bCs/>
                      <w:sz w:val="18"/>
                      <w:szCs w:val="18"/>
                    </w:rPr>
                    <w:t>22</w:t>
                  </w:r>
                </w:p>
              </w:tc>
              <w:tc>
                <w:tcPr>
                  <w:tcW w:w="577" w:type="pct"/>
                  <w:tcBorders>
                    <w:top w:val="single" w:sz="6" w:space="0" w:color="auto"/>
                    <w:left w:val="single" w:sz="6" w:space="0" w:color="auto"/>
                    <w:bottom w:val="single" w:sz="6" w:space="0" w:color="auto"/>
                    <w:right w:val="single" w:sz="6" w:space="0" w:color="auto"/>
                  </w:tcBorders>
                  <w:vAlign w:val="center"/>
                </w:tcPr>
                <w:p w14:paraId="048A1D45"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1918E99" w14:textId="77777777" w:rsidR="00F76A63" w:rsidRDefault="00000000">
                  <w:pPr>
                    <w:jc w:val="center"/>
                    <w:rPr>
                      <w:bCs/>
                      <w:sz w:val="18"/>
                      <w:szCs w:val="18"/>
                    </w:rPr>
                  </w:pPr>
                  <w:r>
                    <w:rPr>
                      <w:bCs/>
                      <w:sz w:val="18"/>
                      <w:szCs w:val="18"/>
                    </w:rPr>
                    <w:t>常温</w:t>
                  </w:r>
                </w:p>
              </w:tc>
            </w:tr>
            <w:tr w:rsidR="00F76A63" w14:paraId="555C302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89CB73B" w14:textId="77777777" w:rsidR="00F76A63" w:rsidRDefault="00000000">
                  <w:pPr>
                    <w:jc w:val="center"/>
                    <w:rPr>
                      <w:bCs/>
                      <w:sz w:val="18"/>
                      <w:szCs w:val="18"/>
                    </w:rPr>
                  </w:pPr>
                  <w:r>
                    <w:rPr>
                      <w:bCs/>
                      <w:sz w:val="18"/>
                      <w:szCs w:val="18"/>
                    </w:rPr>
                    <w:t>DA055</w:t>
                  </w:r>
                </w:p>
              </w:tc>
              <w:tc>
                <w:tcPr>
                  <w:tcW w:w="785" w:type="pct"/>
                  <w:tcBorders>
                    <w:top w:val="single" w:sz="6" w:space="0" w:color="auto"/>
                    <w:left w:val="single" w:sz="6" w:space="0" w:color="auto"/>
                    <w:bottom w:val="single" w:sz="6" w:space="0" w:color="auto"/>
                    <w:right w:val="single" w:sz="6" w:space="0" w:color="auto"/>
                  </w:tcBorders>
                  <w:vAlign w:val="center"/>
                </w:tcPr>
                <w:p w14:paraId="1F2E07EF" w14:textId="77777777" w:rsidR="00F76A63" w:rsidRDefault="00000000">
                  <w:pPr>
                    <w:jc w:val="center"/>
                    <w:rPr>
                      <w:bCs/>
                      <w:sz w:val="18"/>
                      <w:szCs w:val="18"/>
                    </w:rPr>
                  </w:pPr>
                  <w:r>
                    <w:rPr>
                      <w:bCs/>
                      <w:sz w:val="18"/>
                      <w:szCs w:val="18"/>
                    </w:rPr>
                    <w:t>4</w:t>
                  </w:r>
                  <w:r>
                    <w:rPr>
                      <w:bCs/>
                      <w:sz w:val="18"/>
                      <w:szCs w:val="18"/>
                    </w:rPr>
                    <w:t>号磨磨排</w:t>
                  </w:r>
                </w:p>
              </w:tc>
              <w:tc>
                <w:tcPr>
                  <w:tcW w:w="1083" w:type="pct"/>
                  <w:tcBorders>
                    <w:top w:val="single" w:sz="6" w:space="0" w:color="auto"/>
                    <w:left w:val="single" w:sz="6" w:space="0" w:color="auto"/>
                    <w:bottom w:val="single" w:sz="6" w:space="0" w:color="auto"/>
                    <w:right w:val="single" w:sz="6" w:space="0" w:color="auto"/>
                  </w:tcBorders>
                  <w:vAlign w:val="center"/>
                </w:tcPr>
                <w:p w14:paraId="43F329D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29860D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AC8D6A1" w14:textId="77777777" w:rsidR="00F76A63" w:rsidRDefault="00000000">
                  <w:pPr>
                    <w:jc w:val="center"/>
                    <w:rPr>
                      <w:bCs/>
                      <w:sz w:val="18"/>
                      <w:szCs w:val="18"/>
                    </w:rPr>
                  </w:pPr>
                  <w:r>
                    <w:rPr>
                      <w:bCs/>
                      <w:sz w:val="18"/>
                      <w:szCs w:val="18"/>
                    </w:rPr>
                    <w:t>28</w:t>
                  </w:r>
                </w:p>
              </w:tc>
              <w:tc>
                <w:tcPr>
                  <w:tcW w:w="577" w:type="pct"/>
                  <w:tcBorders>
                    <w:top w:val="single" w:sz="6" w:space="0" w:color="auto"/>
                    <w:left w:val="single" w:sz="6" w:space="0" w:color="auto"/>
                    <w:bottom w:val="single" w:sz="6" w:space="0" w:color="auto"/>
                    <w:right w:val="single" w:sz="6" w:space="0" w:color="auto"/>
                  </w:tcBorders>
                  <w:vAlign w:val="center"/>
                </w:tcPr>
                <w:p w14:paraId="55DE97E2" w14:textId="77777777" w:rsidR="00F76A63" w:rsidRDefault="00000000">
                  <w:pPr>
                    <w:jc w:val="center"/>
                    <w:rPr>
                      <w:bCs/>
                      <w:sz w:val="18"/>
                      <w:szCs w:val="18"/>
                    </w:rPr>
                  </w:pPr>
                  <w:r>
                    <w:rPr>
                      <w:bCs/>
                      <w:sz w:val="18"/>
                      <w:szCs w:val="18"/>
                    </w:rPr>
                    <w:t>1.2</w:t>
                  </w:r>
                </w:p>
              </w:tc>
              <w:tc>
                <w:tcPr>
                  <w:tcW w:w="445" w:type="pct"/>
                  <w:tcBorders>
                    <w:top w:val="single" w:sz="6" w:space="0" w:color="auto"/>
                    <w:left w:val="single" w:sz="6" w:space="0" w:color="auto"/>
                    <w:bottom w:val="single" w:sz="6" w:space="0" w:color="auto"/>
                    <w:right w:val="nil"/>
                  </w:tcBorders>
                  <w:vAlign w:val="center"/>
                </w:tcPr>
                <w:p w14:paraId="5775982F" w14:textId="77777777" w:rsidR="00F76A63" w:rsidRDefault="00000000">
                  <w:pPr>
                    <w:jc w:val="center"/>
                    <w:rPr>
                      <w:bCs/>
                      <w:sz w:val="18"/>
                      <w:szCs w:val="18"/>
                    </w:rPr>
                  </w:pPr>
                  <w:r>
                    <w:rPr>
                      <w:bCs/>
                      <w:sz w:val="18"/>
                      <w:szCs w:val="18"/>
                    </w:rPr>
                    <w:t>70</w:t>
                  </w:r>
                </w:p>
              </w:tc>
            </w:tr>
            <w:tr w:rsidR="00F76A63" w14:paraId="2DFB15A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CB0CD71" w14:textId="77777777" w:rsidR="00F76A63" w:rsidRDefault="00000000">
                  <w:pPr>
                    <w:jc w:val="center"/>
                    <w:rPr>
                      <w:bCs/>
                      <w:sz w:val="18"/>
                      <w:szCs w:val="18"/>
                    </w:rPr>
                  </w:pPr>
                  <w:r>
                    <w:rPr>
                      <w:bCs/>
                      <w:sz w:val="18"/>
                      <w:szCs w:val="18"/>
                    </w:rPr>
                    <w:t>DA056</w:t>
                  </w:r>
                </w:p>
              </w:tc>
              <w:tc>
                <w:tcPr>
                  <w:tcW w:w="785" w:type="pct"/>
                  <w:tcBorders>
                    <w:top w:val="single" w:sz="6" w:space="0" w:color="auto"/>
                    <w:left w:val="single" w:sz="6" w:space="0" w:color="auto"/>
                    <w:bottom w:val="single" w:sz="6" w:space="0" w:color="auto"/>
                    <w:right w:val="single" w:sz="6" w:space="0" w:color="auto"/>
                  </w:tcBorders>
                  <w:vAlign w:val="center"/>
                </w:tcPr>
                <w:p w14:paraId="35C65080" w14:textId="77777777" w:rsidR="00F76A63" w:rsidRDefault="00000000">
                  <w:pPr>
                    <w:jc w:val="center"/>
                    <w:rPr>
                      <w:bCs/>
                      <w:sz w:val="18"/>
                      <w:szCs w:val="18"/>
                    </w:rPr>
                  </w:pPr>
                  <w:r>
                    <w:rPr>
                      <w:bCs/>
                      <w:sz w:val="18"/>
                      <w:szCs w:val="18"/>
                    </w:rPr>
                    <w:t>1#</w:t>
                  </w:r>
                  <w:r>
                    <w:rPr>
                      <w:bCs/>
                      <w:sz w:val="18"/>
                      <w:szCs w:val="18"/>
                    </w:rPr>
                    <w:t>熟料库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140B204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9E2459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893BC98"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66B6E2CA"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1275BD8" w14:textId="77777777" w:rsidR="00F76A63" w:rsidRDefault="00000000">
                  <w:pPr>
                    <w:jc w:val="center"/>
                    <w:rPr>
                      <w:bCs/>
                      <w:sz w:val="18"/>
                      <w:szCs w:val="18"/>
                    </w:rPr>
                  </w:pPr>
                  <w:r>
                    <w:rPr>
                      <w:bCs/>
                      <w:sz w:val="18"/>
                      <w:szCs w:val="18"/>
                    </w:rPr>
                    <w:t>100</w:t>
                  </w:r>
                </w:p>
              </w:tc>
            </w:tr>
            <w:tr w:rsidR="00F76A63" w14:paraId="2022E0E4" w14:textId="77777777">
              <w:trPr>
                <w:trHeight w:val="1820"/>
                <w:jc w:val="center"/>
              </w:trPr>
              <w:tc>
                <w:tcPr>
                  <w:tcW w:w="510" w:type="pct"/>
                  <w:tcBorders>
                    <w:top w:val="single" w:sz="6" w:space="0" w:color="auto"/>
                    <w:left w:val="nil"/>
                    <w:bottom w:val="single" w:sz="6" w:space="0" w:color="auto"/>
                    <w:right w:val="single" w:sz="6" w:space="0" w:color="auto"/>
                  </w:tcBorders>
                  <w:vAlign w:val="center"/>
                </w:tcPr>
                <w:p w14:paraId="1479A91E" w14:textId="77777777" w:rsidR="00F76A63" w:rsidRDefault="00000000">
                  <w:pPr>
                    <w:jc w:val="center"/>
                    <w:rPr>
                      <w:bCs/>
                      <w:sz w:val="18"/>
                      <w:szCs w:val="18"/>
                    </w:rPr>
                  </w:pPr>
                  <w:r>
                    <w:rPr>
                      <w:bCs/>
                      <w:sz w:val="18"/>
                      <w:szCs w:val="18"/>
                    </w:rPr>
                    <w:lastRenderedPageBreak/>
                    <w:t>DA057</w:t>
                  </w:r>
                </w:p>
              </w:tc>
              <w:tc>
                <w:tcPr>
                  <w:tcW w:w="785" w:type="pct"/>
                  <w:tcBorders>
                    <w:top w:val="single" w:sz="6" w:space="0" w:color="auto"/>
                    <w:left w:val="single" w:sz="6" w:space="0" w:color="auto"/>
                    <w:bottom w:val="single" w:sz="6" w:space="0" w:color="auto"/>
                    <w:right w:val="single" w:sz="6" w:space="0" w:color="auto"/>
                  </w:tcBorders>
                  <w:vAlign w:val="center"/>
                </w:tcPr>
                <w:p w14:paraId="1A599F65" w14:textId="77777777" w:rsidR="00F76A63" w:rsidRDefault="00000000">
                  <w:pPr>
                    <w:jc w:val="center"/>
                    <w:rPr>
                      <w:bCs/>
                      <w:sz w:val="18"/>
                      <w:szCs w:val="18"/>
                    </w:rPr>
                  </w:pPr>
                  <w:r>
                    <w:rPr>
                      <w:bCs/>
                      <w:sz w:val="18"/>
                      <w:szCs w:val="18"/>
                    </w:rPr>
                    <w:t>1#</w:t>
                  </w:r>
                  <w:r>
                    <w:rPr>
                      <w:bCs/>
                      <w:sz w:val="18"/>
                      <w:szCs w:val="18"/>
                    </w:rPr>
                    <w:t>熟料窑尾</w:t>
                  </w:r>
                </w:p>
              </w:tc>
              <w:tc>
                <w:tcPr>
                  <w:tcW w:w="1083" w:type="pct"/>
                  <w:tcBorders>
                    <w:top w:val="single" w:sz="6" w:space="0" w:color="auto"/>
                    <w:left w:val="single" w:sz="6" w:space="0" w:color="auto"/>
                    <w:bottom w:val="single" w:sz="6" w:space="0" w:color="auto"/>
                    <w:right w:val="single" w:sz="6" w:space="0" w:color="auto"/>
                  </w:tcBorders>
                  <w:vAlign w:val="center"/>
                </w:tcPr>
                <w:p w14:paraId="7B44A1B5" w14:textId="77777777" w:rsidR="00F76A63" w:rsidRDefault="00000000">
                  <w:pPr>
                    <w:jc w:val="center"/>
                    <w:rPr>
                      <w:bCs/>
                      <w:sz w:val="18"/>
                      <w:szCs w:val="18"/>
                    </w:rPr>
                  </w:pPr>
                  <w:r>
                    <w:rPr>
                      <w:bCs/>
                      <w:sz w:val="18"/>
                      <w:szCs w:val="18"/>
                    </w:rPr>
                    <w:t>颗粒物，氯化氢，氮氧化物，总有机碳，铍、铬、锡、锑、铜、钴、锰、镍、钒及其化合物，铊、镉、铅、砷及其化合物，氨（氨气），二噁英类，二氧化硫，氟化氢，汞及其化合物</w:t>
                  </w:r>
                </w:p>
              </w:tc>
              <w:tc>
                <w:tcPr>
                  <w:tcW w:w="958" w:type="pct"/>
                  <w:tcBorders>
                    <w:top w:val="single" w:sz="6" w:space="0" w:color="auto"/>
                    <w:left w:val="single" w:sz="6" w:space="0" w:color="auto"/>
                    <w:bottom w:val="single" w:sz="6" w:space="0" w:color="auto"/>
                    <w:right w:val="single" w:sz="6" w:space="0" w:color="auto"/>
                  </w:tcBorders>
                  <w:vAlign w:val="center"/>
                </w:tcPr>
                <w:p w14:paraId="12FC898E" w14:textId="77777777" w:rsidR="00F76A63" w:rsidRDefault="00000000">
                  <w:pPr>
                    <w:jc w:val="center"/>
                    <w:rPr>
                      <w:bCs/>
                      <w:sz w:val="18"/>
                      <w:szCs w:val="18"/>
                    </w:rPr>
                  </w:pPr>
                  <w:r>
                    <w:rPr>
                      <w:bCs/>
                      <w:sz w:val="18"/>
                      <w:szCs w:val="18"/>
                    </w:rPr>
                    <w:t>高温焚烧</w:t>
                  </w:r>
                  <w:r>
                    <w:rPr>
                      <w:bCs/>
                      <w:sz w:val="18"/>
                      <w:szCs w:val="18"/>
                    </w:rPr>
                    <w:t>+</w:t>
                  </w:r>
                  <w:r>
                    <w:rPr>
                      <w:bCs/>
                      <w:sz w:val="18"/>
                      <w:szCs w:val="18"/>
                    </w:rPr>
                    <w:t>碱性环境</w:t>
                  </w:r>
                  <w:r>
                    <w:rPr>
                      <w:bCs/>
                      <w:sz w:val="18"/>
                      <w:szCs w:val="18"/>
                    </w:rPr>
                    <w:t>+SNCR+SCR+</w:t>
                  </w:r>
                  <w:r>
                    <w:rPr>
                      <w:bCs/>
                      <w:sz w:val="18"/>
                      <w:szCs w:val="18"/>
                    </w:rPr>
                    <w:t>正常工况窑磨一体化，非正常工况干法脱硫</w:t>
                  </w:r>
                  <w:r>
                    <w:rPr>
                      <w:bCs/>
                      <w:sz w:val="18"/>
                      <w:szCs w:val="18"/>
                    </w:rPr>
                    <w:t>+</w:t>
                  </w:r>
                  <w:r>
                    <w:rPr>
                      <w:bCs/>
                      <w:sz w:val="18"/>
                      <w:szCs w:val="18"/>
                    </w:rPr>
                    <w:t>布袋除尘器</w:t>
                  </w:r>
                </w:p>
              </w:tc>
              <w:tc>
                <w:tcPr>
                  <w:tcW w:w="642" w:type="pct"/>
                  <w:tcBorders>
                    <w:top w:val="single" w:sz="6" w:space="0" w:color="auto"/>
                    <w:left w:val="single" w:sz="6" w:space="0" w:color="auto"/>
                    <w:bottom w:val="single" w:sz="6" w:space="0" w:color="auto"/>
                    <w:right w:val="single" w:sz="6" w:space="0" w:color="auto"/>
                  </w:tcBorders>
                  <w:vAlign w:val="center"/>
                </w:tcPr>
                <w:p w14:paraId="7D35B62B" w14:textId="77777777" w:rsidR="00F76A63" w:rsidRDefault="00000000">
                  <w:pPr>
                    <w:jc w:val="center"/>
                    <w:rPr>
                      <w:bCs/>
                      <w:sz w:val="18"/>
                      <w:szCs w:val="18"/>
                    </w:rPr>
                  </w:pPr>
                  <w:r>
                    <w:rPr>
                      <w:bCs/>
                      <w:sz w:val="18"/>
                      <w:szCs w:val="18"/>
                    </w:rPr>
                    <w:t>85</w:t>
                  </w:r>
                </w:p>
              </w:tc>
              <w:tc>
                <w:tcPr>
                  <w:tcW w:w="577" w:type="pct"/>
                  <w:tcBorders>
                    <w:top w:val="single" w:sz="6" w:space="0" w:color="auto"/>
                    <w:left w:val="single" w:sz="6" w:space="0" w:color="auto"/>
                    <w:bottom w:val="single" w:sz="6" w:space="0" w:color="auto"/>
                    <w:right w:val="single" w:sz="6" w:space="0" w:color="auto"/>
                  </w:tcBorders>
                  <w:vAlign w:val="center"/>
                </w:tcPr>
                <w:p w14:paraId="109A888F" w14:textId="77777777" w:rsidR="00F76A63" w:rsidRDefault="00000000">
                  <w:pPr>
                    <w:jc w:val="center"/>
                    <w:rPr>
                      <w:bCs/>
                      <w:sz w:val="18"/>
                      <w:szCs w:val="18"/>
                    </w:rPr>
                  </w:pPr>
                  <w:r>
                    <w:rPr>
                      <w:bCs/>
                      <w:sz w:val="18"/>
                      <w:szCs w:val="18"/>
                    </w:rPr>
                    <w:t>4.86</w:t>
                  </w:r>
                </w:p>
              </w:tc>
              <w:tc>
                <w:tcPr>
                  <w:tcW w:w="445" w:type="pct"/>
                  <w:tcBorders>
                    <w:top w:val="single" w:sz="6" w:space="0" w:color="auto"/>
                    <w:left w:val="single" w:sz="6" w:space="0" w:color="auto"/>
                    <w:bottom w:val="single" w:sz="6" w:space="0" w:color="auto"/>
                    <w:right w:val="nil"/>
                  </w:tcBorders>
                  <w:vAlign w:val="center"/>
                </w:tcPr>
                <w:p w14:paraId="13759006" w14:textId="77777777" w:rsidR="00F76A63" w:rsidRDefault="00000000">
                  <w:pPr>
                    <w:jc w:val="center"/>
                    <w:rPr>
                      <w:bCs/>
                      <w:sz w:val="18"/>
                      <w:szCs w:val="18"/>
                    </w:rPr>
                  </w:pPr>
                  <w:r>
                    <w:rPr>
                      <w:bCs/>
                      <w:sz w:val="18"/>
                      <w:szCs w:val="18"/>
                    </w:rPr>
                    <w:t>90</w:t>
                  </w:r>
                </w:p>
              </w:tc>
            </w:tr>
            <w:tr w:rsidR="00F76A63" w14:paraId="0A1870B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51A52D5" w14:textId="77777777" w:rsidR="00F76A63" w:rsidRDefault="00000000">
                  <w:pPr>
                    <w:jc w:val="center"/>
                    <w:rPr>
                      <w:bCs/>
                      <w:sz w:val="18"/>
                      <w:szCs w:val="18"/>
                    </w:rPr>
                  </w:pPr>
                  <w:r>
                    <w:rPr>
                      <w:bCs/>
                      <w:sz w:val="18"/>
                      <w:szCs w:val="18"/>
                    </w:rPr>
                    <w:t>DA058</w:t>
                  </w:r>
                </w:p>
              </w:tc>
              <w:tc>
                <w:tcPr>
                  <w:tcW w:w="785" w:type="pct"/>
                  <w:tcBorders>
                    <w:top w:val="single" w:sz="6" w:space="0" w:color="auto"/>
                    <w:left w:val="single" w:sz="6" w:space="0" w:color="auto"/>
                    <w:bottom w:val="single" w:sz="6" w:space="0" w:color="auto"/>
                    <w:right w:val="single" w:sz="6" w:space="0" w:color="auto"/>
                  </w:tcBorders>
                  <w:vAlign w:val="center"/>
                </w:tcPr>
                <w:p w14:paraId="0DE8A493" w14:textId="77777777" w:rsidR="00F76A63" w:rsidRDefault="00000000">
                  <w:pPr>
                    <w:jc w:val="center"/>
                    <w:rPr>
                      <w:bCs/>
                      <w:sz w:val="18"/>
                      <w:szCs w:val="18"/>
                    </w:rPr>
                  </w:pPr>
                  <w:r>
                    <w:rPr>
                      <w:bCs/>
                      <w:sz w:val="18"/>
                      <w:szCs w:val="18"/>
                    </w:rPr>
                    <w:t>生态抑尘料斗</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30FE642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A553AA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2B9117C"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30E08795"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0BE282F" w14:textId="77777777" w:rsidR="00F76A63" w:rsidRDefault="00000000">
                  <w:pPr>
                    <w:jc w:val="center"/>
                    <w:rPr>
                      <w:bCs/>
                      <w:sz w:val="18"/>
                      <w:szCs w:val="18"/>
                    </w:rPr>
                  </w:pPr>
                  <w:r>
                    <w:rPr>
                      <w:bCs/>
                      <w:sz w:val="18"/>
                      <w:szCs w:val="18"/>
                    </w:rPr>
                    <w:t>常温</w:t>
                  </w:r>
                </w:p>
              </w:tc>
            </w:tr>
            <w:tr w:rsidR="00F76A63" w14:paraId="21D0AA7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6A9B815" w14:textId="77777777" w:rsidR="00F76A63" w:rsidRDefault="00000000">
                  <w:pPr>
                    <w:jc w:val="center"/>
                    <w:rPr>
                      <w:bCs/>
                      <w:sz w:val="18"/>
                      <w:szCs w:val="18"/>
                    </w:rPr>
                  </w:pPr>
                  <w:r>
                    <w:rPr>
                      <w:bCs/>
                      <w:sz w:val="18"/>
                      <w:szCs w:val="18"/>
                    </w:rPr>
                    <w:t>DA059</w:t>
                  </w:r>
                </w:p>
              </w:tc>
              <w:tc>
                <w:tcPr>
                  <w:tcW w:w="785" w:type="pct"/>
                  <w:tcBorders>
                    <w:top w:val="single" w:sz="6" w:space="0" w:color="auto"/>
                    <w:left w:val="single" w:sz="6" w:space="0" w:color="auto"/>
                    <w:bottom w:val="single" w:sz="6" w:space="0" w:color="auto"/>
                    <w:right w:val="single" w:sz="6" w:space="0" w:color="auto"/>
                  </w:tcBorders>
                  <w:vAlign w:val="center"/>
                </w:tcPr>
                <w:p w14:paraId="1807EB07" w14:textId="77777777" w:rsidR="00F76A63" w:rsidRDefault="00000000">
                  <w:pPr>
                    <w:jc w:val="center"/>
                    <w:rPr>
                      <w:bCs/>
                      <w:sz w:val="18"/>
                      <w:szCs w:val="18"/>
                    </w:rPr>
                  </w:pPr>
                  <w:r>
                    <w:rPr>
                      <w:bCs/>
                      <w:sz w:val="18"/>
                      <w:szCs w:val="18"/>
                    </w:rPr>
                    <w:t>生态抑尘料斗</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02D0268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662478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35FF5DF"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136829F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E1EE1FF" w14:textId="77777777" w:rsidR="00F76A63" w:rsidRDefault="00000000">
                  <w:pPr>
                    <w:jc w:val="center"/>
                    <w:rPr>
                      <w:bCs/>
                      <w:sz w:val="18"/>
                      <w:szCs w:val="18"/>
                    </w:rPr>
                  </w:pPr>
                  <w:r>
                    <w:rPr>
                      <w:bCs/>
                      <w:sz w:val="18"/>
                      <w:szCs w:val="18"/>
                    </w:rPr>
                    <w:t>常温</w:t>
                  </w:r>
                </w:p>
              </w:tc>
            </w:tr>
            <w:tr w:rsidR="00F76A63" w14:paraId="272032D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D292F63" w14:textId="77777777" w:rsidR="00F76A63" w:rsidRDefault="00000000">
                  <w:pPr>
                    <w:jc w:val="center"/>
                    <w:rPr>
                      <w:bCs/>
                      <w:sz w:val="18"/>
                      <w:szCs w:val="18"/>
                    </w:rPr>
                  </w:pPr>
                  <w:r>
                    <w:rPr>
                      <w:bCs/>
                      <w:sz w:val="18"/>
                      <w:szCs w:val="18"/>
                    </w:rPr>
                    <w:t>DA060</w:t>
                  </w:r>
                </w:p>
              </w:tc>
              <w:tc>
                <w:tcPr>
                  <w:tcW w:w="785" w:type="pct"/>
                  <w:tcBorders>
                    <w:top w:val="single" w:sz="6" w:space="0" w:color="auto"/>
                    <w:left w:val="single" w:sz="6" w:space="0" w:color="auto"/>
                    <w:bottom w:val="single" w:sz="6" w:space="0" w:color="auto"/>
                    <w:right w:val="single" w:sz="6" w:space="0" w:color="auto"/>
                  </w:tcBorders>
                  <w:vAlign w:val="center"/>
                </w:tcPr>
                <w:p w14:paraId="100BC8BA" w14:textId="77777777" w:rsidR="00F76A63" w:rsidRDefault="00000000">
                  <w:pPr>
                    <w:jc w:val="center"/>
                    <w:rPr>
                      <w:bCs/>
                      <w:sz w:val="18"/>
                      <w:szCs w:val="18"/>
                    </w:rPr>
                  </w:pPr>
                  <w:r>
                    <w:rPr>
                      <w:bCs/>
                      <w:sz w:val="18"/>
                      <w:szCs w:val="18"/>
                    </w:rPr>
                    <w:t>2#</w:t>
                  </w:r>
                  <w:r>
                    <w:rPr>
                      <w:bCs/>
                      <w:sz w:val="18"/>
                      <w:szCs w:val="18"/>
                    </w:rPr>
                    <w:t>熟料检斤库</w:t>
                  </w:r>
                </w:p>
              </w:tc>
              <w:tc>
                <w:tcPr>
                  <w:tcW w:w="1083" w:type="pct"/>
                  <w:tcBorders>
                    <w:top w:val="single" w:sz="6" w:space="0" w:color="auto"/>
                    <w:left w:val="single" w:sz="6" w:space="0" w:color="auto"/>
                    <w:bottom w:val="single" w:sz="6" w:space="0" w:color="auto"/>
                    <w:right w:val="single" w:sz="6" w:space="0" w:color="auto"/>
                  </w:tcBorders>
                  <w:vAlign w:val="center"/>
                </w:tcPr>
                <w:p w14:paraId="2F20404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34F43F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2EFB9A5" w14:textId="77777777" w:rsidR="00F76A63" w:rsidRDefault="00000000">
                  <w:pPr>
                    <w:jc w:val="center"/>
                    <w:rPr>
                      <w:bCs/>
                      <w:sz w:val="18"/>
                      <w:szCs w:val="18"/>
                    </w:rPr>
                  </w:pPr>
                  <w:r>
                    <w:rPr>
                      <w:bCs/>
                      <w:sz w:val="18"/>
                      <w:szCs w:val="18"/>
                    </w:rPr>
                    <w:t>22</w:t>
                  </w:r>
                </w:p>
              </w:tc>
              <w:tc>
                <w:tcPr>
                  <w:tcW w:w="577" w:type="pct"/>
                  <w:tcBorders>
                    <w:top w:val="single" w:sz="6" w:space="0" w:color="auto"/>
                    <w:left w:val="single" w:sz="6" w:space="0" w:color="auto"/>
                    <w:bottom w:val="single" w:sz="6" w:space="0" w:color="auto"/>
                    <w:right w:val="single" w:sz="6" w:space="0" w:color="auto"/>
                  </w:tcBorders>
                  <w:vAlign w:val="center"/>
                </w:tcPr>
                <w:p w14:paraId="11B1B10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8E15253" w14:textId="77777777" w:rsidR="00F76A63" w:rsidRDefault="00000000">
                  <w:pPr>
                    <w:jc w:val="center"/>
                    <w:rPr>
                      <w:bCs/>
                      <w:sz w:val="18"/>
                      <w:szCs w:val="18"/>
                    </w:rPr>
                  </w:pPr>
                  <w:r>
                    <w:rPr>
                      <w:bCs/>
                      <w:sz w:val="18"/>
                      <w:szCs w:val="18"/>
                    </w:rPr>
                    <w:t>常温</w:t>
                  </w:r>
                </w:p>
              </w:tc>
            </w:tr>
            <w:tr w:rsidR="00F76A63" w14:paraId="61724FC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94C13AA" w14:textId="77777777" w:rsidR="00F76A63" w:rsidRDefault="00000000">
                  <w:pPr>
                    <w:jc w:val="center"/>
                    <w:rPr>
                      <w:bCs/>
                      <w:sz w:val="18"/>
                      <w:szCs w:val="18"/>
                    </w:rPr>
                  </w:pPr>
                  <w:r>
                    <w:rPr>
                      <w:bCs/>
                      <w:sz w:val="18"/>
                      <w:szCs w:val="18"/>
                    </w:rPr>
                    <w:t>DA061</w:t>
                  </w:r>
                </w:p>
              </w:tc>
              <w:tc>
                <w:tcPr>
                  <w:tcW w:w="785" w:type="pct"/>
                  <w:tcBorders>
                    <w:top w:val="single" w:sz="6" w:space="0" w:color="auto"/>
                    <w:left w:val="single" w:sz="6" w:space="0" w:color="auto"/>
                    <w:bottom w:val="single" w:sz="6" w:space="0" w:color="auto"/>
                    <w:right w:val="single" w:sz="6" w:space="0" w:color="auto"/>
                  </w:tcBorders>
                  <w:vAlign w:val="center"/>
                </w:tcPr>
                <w:p w14:paraId="169B3042" w14:textId="77777777" w:rsidR="00F76A63" w:rsidRDefault="00000000">
                  <w:pPr>
                    <w:jc w:val="center"/>
                    <w:rPr>
                      <w:bCs/>
                      <w:sz w:val="18"/>
                      <w:szCs w:val="18"/>
                    </w:rPr>
                  </w:pPr>
                  <w:r>
                    <w:rPr>
                      <w:bCs/>
                      <w:sz w:val="18"/>
                      <w:szCs w:val="18"/>
                    </w:rPr>
                    <w:t>2#</w:t>
                  </w:r>
                  <w:r>
                    <w:rPr>
                      <w:bCs/>
                      <w:sz w:val="18"/>
                      <w:szCs w:val="18"/>
                    </w:rPr>
                    <w:t>熟料调配库</w:t>
                  </w:r>
                </w:p>
              </w:tc>
              <w:tc>
                <w:tcPr>
                  <w:tcW w:w="1083" w:type="pct"/>
                  <w:tcBorders>
                    <w:top w:val="single" w:sz="6" w:space="0" w:color="auto"/>
                    <w:left w:val="single" w:sz="6" w:space="0" w:color="auto"/>
                    <w:bottom w:val="single" w:sz="6" w:space="0" w:color="auto"/>
                    <w:right w:val="single" w:sz="6" w:space="0" w:color="auto"/>
                  </w:tcBorders>
                  <w:vAlign w:val="center"/>
                </w:tcPr>
                <w:p w14:paraId="5A97231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32A6F17"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DF4AC9B" w14:textId="77777777" w:rsidR="00F76A63" w:rsidRDefault="00000000">
                  <w:pPr>
                    <w:jc w:val="center"/>
                    <w:rPr>
                      <w:bCs/>
                      <w:sz w:val="18"/>
                      <w:szCs w:val="18"/>
                    </w:rPr>
                  </w:pPr>
                  <w:r>
                    <w:rPr>
                      <w:bCs/>
                      <w:sz w:val="18"/>
                      <w:szCs w:val="18"/>
                    </w:rPr>
                    <w:t>42</w:t>
                  </w:r>
                </w:p>
              </w:tc>
              <w:tc>
                <w:tcPr>
                  <w:tcW w:w="577" w:type="pct"/>
                  <w:tcBorders>
                    <w:top w:val="single" w:sz="6" w:space="0" w:color="auto"/>
                    <w:left w:val="single" w:sz="6" w:space="0" w:color="auto"/>
                    <w:bottom w:val="single" w:sz="6" w:space="0" w:color="auto"/>
                    <w:right w:val="single" w:sz="6" w:space="0" w:color="auto"/>
                  </w:tcBorders>
                  <w:vAlign w:val="center"/>
                </w:tcPr>
                <w:p w14:paraId="6E8E9BD5"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FFD3F4D" w14:textId="77777777" w:rsidR="00F76A63" w:rsidRDefault="00000000">
                  <w:pPr>
                    <w:jc w:val="center"/>
                    <w:rPr>
                      <w:bCs/>
                      <w:sz w:val="18"/>
                      <w:szCs w:val="18"/>
                    </w:rPr>
                  </w:pPr>
                  <w:r>
                    <w:rPr>
                      <w:bCs/>
                      <w:sz w:val="18"/>
                      <w:szCs w:val="18"/>
                    </w:rPr>
                    <w:t>常温</w:t>
                  </w:r>
                </w:p>
              </w:tc>
            </w:tr>
            <w:tr w:rsidR="00F76A63" w14:paraId="3860B7B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96C5BC9" w14:textId="77777777" w:rsidR="00F76A63" w:rsidRDefault="00000000">
                  <w:pPr>
                    <w:jc w:val="center"/>
                    <w:rPr>
                      <w:bCs/>
                      <w:sz w:val="18"/>
                      <w:szCs w:val="18"/>
                    </w:rPr>
                  </w:pPr>
                  <w:r>
                    <w:rPr>
                      <w:bCs/>
                      <w:sz w:val="18"/>
                      <w:szCs w:val="18"/>
                    </w:rPr>
                    <w:t>DA062</w:t>
                  </w:r>
                </w:p>
              </w:tc>
              <w:tc>
                <w:tcPr>
                  <w:tcW w:w="785" w:type="pct"/>
                  <w:tcBorders>
                    <w:top w:val="single" w:sz="6" w:space="0" w:color="auto"/>
                    <w:left w:val="single" w:sz="6" w:space="0" w:color="auto"/>
                    <w:bottom w:val="single" w:sz="6" w:space="0" w:color="auto"/>
                    <w:right w:val="single" w:sz="6" w:space="0" w:color="auto"/>
                  </w:tcBorders>
                  <w:vAlign w:val="center"/>
                </w:tcPr>
                <w:p w14:paraId="4D0A38F0" w14:textId="77777777" w:rsidR="00F76A63" w:rsidRDefault="00000000">
                  <w:pPr>
                    <w:jc w:val="center"/>
                    <w:rPr>
                      <w:bCs/>
                      <w:sz w:val="18"/>
                      <w:szCs w:val="18"/>
                    </w:rPr>
                  </w:pPr>
                  <w:r>
                    <w:rPr>
                      <w:bCs/>
                      <w:sz w:val="18"/>
                      <w:szCs w:val="18"/>
                    </w:rPr>
                    <w:t>1#</w:t>
                  </w:r>
                  <w:r>
                    <w:rPr>
                      <w:bCs/>
                      <w:sz w:val="18"/>
                      <w:szCs w:val="18"/>
                    </w:rPr>
                    <w:t>熟料次库</w:t>
                  </w:r>
                </w:p>
              </w:tc>
              <w:tc>
                <w:tcPr>
                  <w:tcW w:w="1083" w:type="pct"/>
                  <w:tcBorders>
                    <w:top w:val="single" w:sz="6" w:space="0" w:color="auto"/>
                    <w:left w:val="single" w:sz="6" w:space="0" w:color="auto"/>
                    <w:bottom w:val="single" w:sz="6" w:space="0" w:color="auto"/>
                    <w:right w:val="single" w:sz="6" w:space="0" w:color="auto"/>
                  </w:tcBorders>
                  <w:vAlign w:val="center"/>
                </w:tcPr>
                <w:p w14:paraId="1C37200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9D4D2B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4A54B7E"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144DE868"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0BD9AA23" w14:textId="77777777" w:rsidR="00F76A63" w:rsidRDefault="00000000">
                  <w:pPr>
                    <w:jc w:val="center"/>
                    <w:rPr>
                      <w:bCs/>
                      <w:sz w:val="18"/>
                      <w:szCs w:val="18"/>
                    </w:rPr>
                  </w:pPr>
                  <w:r>
                    <w:rPr>
                      <w:bCs/>
                      <w:sz w:val="18"/>
                      <w:szCs w:val="18"/>
                    </w:rPr>
                    <w:t>85</w:t>
                  </w:r>
                </w:p>
              </w:tc>
            </w:tr>
            <w:tr w:rsidR="00F76A63" w14:paraId="764309A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174A764" w14:textId="77777777" w:rsidR="00F76A63" w:rsidRDefault="00000000">
                  <w:pPr>
                    <w:jc w:val="center"/>
                    <w:rPr>
                      <w:bCs/>
                      <w:sz w:val="18"/>
                      <w:szCs w:val="18"/>
                    </w:rPr>
                  </w:pPr>
                  <w:r>
                    <w:rPr>
                      <w:bCs/>
                      <w:sz w:val="18"/>
                      <w:szCs w:val="18"/>
                    </w:rPr>
                    <w:t>DA063</w:t>
                  </w:r>
                </w:p>
              </w:tc>
              <w:tc>
                <w:tcPr>
                  <w:tcW w:w="785" w:type="pct"/>
                  <w:tcBorders>
                    <w:top w:val="single" w:sz="6" w:space="0" w:color="auto"/>
                    <w:left w:val="single" w:sz="6" w:space="0" w:color="auto"/>
                    <w:bottom w:val="single" w:sz="6" w:space="0" w:color="auto"/>
                    <w:right w:val="single" w:sz="6" w:space="0" w:color="auto"/>
                  </w:tcBorders>
                  <w:vAlign w:val="center"/>
                </w:tcPr>
                <w:p w14:paraId="2346A536" w14:textId="77777777" w:rsidR="00F76A63" w:rsidRDefault="00000000">
                  <w:pPr>
                    <w:jc w:val="center"/>
                    <w:rPr>
                      <w:bCs/>
                      <w:sz w:val="18"/>
                      <w:szCs w:val="18"/>
                    </w:rPr>
                  </w:pPr>
                  <w:r>
                    <w:rPr>
                      <w:bCs/>
                      <w:sz w:val="18"/>
                      <w:szCs w:val="18"/>
                    </w:rPr>
                    <w:t>1#</w:t>
                  </w:r>
                  <w:r>
                    <w:rPr>
                      <w:bCs/>
                      <w:sz w:val="18"/>
                      <w:szCs w:val="18"/>
                    </w:rPr>
                    <w:t>熟料生产配料仓</w:t>
                  </w:r>
                  <w:r>
                    <w:rPr>
                      <w:bCs/>
                      <w:sz w:val="18"/>
                      <w:szCs w:val="18"/>
                    </w:rPr>
                    <w:t>3</w:t>
                  </w:r>
                </w:p>
              </w:tc>
              <w:tc>
                <w:tcPr>
                  <w:tcW w:w="1083" w:type="pct"/>
                  <w:tcBorders>
                    <w:top w:val="single" w:sz="6" w:space="0" w:color="auto"/>
                    <w:left w:val="single" w:sz="6" w:space="0" w:color="auto"/>
                    <w:bottom w:val="single" w:sz="6" w:space="0" w:color="auto"/>
                    <w:right w:val="single" w:sz="6" w:space="0" w:color="auto"/>
                  </w:tcBorders>
                  <w:vAlign w:val="center"/>
                </w:tcPr>
                <w:p w14:paraId="683CC21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DEEAC0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84B0AF8" w14:textId="77777777" w:rsidR="00F76A63" w:rsidRDefault="00000000">
                  <w:pPr>
                    <w:jc w:val="center"/>
                    <w:rPr>
                      <w:bCs/>
                      <w:sz w:val="18"/>
                      <w:szCs w:val="18"/>
                    </w:rPr>
                  </w:pPr>
                  <w:r>
                    <w:rPr>
                      <w:bCs/>
                      <w:sz w:val="18"/>
                      <w:szCs w:val="18"/>
                    </w:rPr>
                    <w:t>30</w:t>
                  </w:r>
                </w:p>
              </w:tc>
              <w:tc>
                <w:tcPr>
                  <w:tcW w:w="577" w:type="pct"/>
                  <w:tcBorders>
                    <w:top w:val="single" w:sz="6" w:space="0" w:color="auto"/>
                    <w:left w:val="single" w:sz="6" w:space="0" w:color="auto"/>
                    <w:bottom w:val="single" w:sz="6" w:space="0" w:color="auto"/>
                    <w:right w:val="single" w:sz="6" w:space="0" w:color="auto"/>
                  </w:tcBorders>
                  <w:vAlign w:val="center"/>
                </w:tcPr>
                <w:p w14:paraId="01F0B85F"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ADDB3AF" w14:textId="77777777" w:rsidR="00F76A63" w:rsidRDefault="00000000">
                  <w:pPr>
                    <w:jc w:val="center"/>
                    <w:rPr>
                      <w:bCs/>
                      <w:sz w:val="18"/>
                      <w:szCs w:val="18"/>
                    </w:rPr>
                  </w:pPr>
                  <w:r>
                    <w:rPr>
                      <w:bCs/>
                      <w:sz w:val="18"/>
                      <w:szCs w:val="18"/>
                    </w:rPr>
                    <w:t>常温</w:t>
                  </w:r>
                </w:p>
              </w:tc>
            </w:tr>
            <w:tr w:rsidR="00F76A63" w14:paraId="37702040"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4D55A25" w14:textId="77777777" w:rsidR="00F76A63" w:rsidRDefault="00000000">
                  <w:pPr>
                    <w:jc w:val="center"/>
                    <w:rPr>
                      <w:bCs/>
                      <w:sz w:val="18"/>
                      <w:szCs w:val="18"/>
                    </w:rPr>
                  </w:pPr>
                  <w:r>
                    <w:rPr>
                      <w:bCs/>
                      <w:sz w:val="18"/>
                      <w:szCs w:val="18"/>
                    </w:rPr>
                    <w:t>DA064</w:t>
                  </w:r>
                </w:p>
              </w:tc>
              <w:tc>
                <w:tcPr>
                  <w:tcW w:w="785" w:type="pct"/>
                  <w:tcBorders>
                    <w:top w:val="single" w:sz="6" w:space="0" w:color="auto"/>
                    <w:left w:val="single" w:sz="6" w:space="0" w:color="auto"/>
                    <w:bottom w:val="single" w:sz="6" w:space="0" w:color="auto"/>
                    <w:right w:val="single" w:sz="6" w:space="0" w:color="auto"/>
                  </w:tcBorders>
                  <w:vAlign w:val="center"/>
                </w:tcPr>
                <w:p w14:paraId="07F000F5" w14:textId="77777777" w:rsidR="00F76A63" w:rsidRDefault="00000000">
                  <w:pPr>
                    <w:jc w:val="center"/>
                    <w:rPr>
                      <w:bCs/>
                      <w:sz w:val="18"/>
                      <w:szCs w:val="18"/>
                    </w:rPr>
                  </w:pPr>
                  <w:r>
                    <w:rPr>
                      <w:bCs/>
                      <w:sz w:val="18"/>
                      <w:szCs w:val="18"/>
                    </w:rPr>
                    <w:t>生态抑尘料斗</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1D615D5F"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B47B8F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9909395"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4A7A9485"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BA0808A" w14:textId="77777777" w:rsidR="00F76A63" w:rsidRDefault="00000000">
                  <w:pPr>
                    <w:jc w:val="center"/>
                    <w:rPr>
                      <w:bCs/>
                      <w:sz w:val="18"/>
                      <w:szCs w:val="18"/>
                    </w:rPr>
                  </w:pPr>
                  <w:r>
                    <w:rPr>
                      <w:bCs/>
                      <w:sz w:val="18"/>
                      <w:szCs w:val="18"/>
                    </w:rPr>
                    <w:t>常温</w:t>
                  </w:r>
                </w:p>
              </w:tc>
            </w:tr>
            <w:tr w:rsidR="00F76A63" w14:paraId="145DB68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392033A" w14:textId="77777777" w:rsidR="00F76A63" w:rsidRDefault="00000000">
                  <w:pPr>
                    <w:jc w:val="center"/>
                    <w:rPr>
                      <w:bCs/>
                      <w:sz w:val="18"/>
                      <w:szCs w:val="18"/>
                    </w:rPr>
                  </w:pPr>
                  <w:r>
                    <w:rPr>
                      <w:bCs/>
                      <w:sz w:val="18"/>
                      <w:szCs w:val="18"/>
                    </w:rPr>
                    <w:t>DA065</w:t>
                  </w:r>
                </w:p>
              </w:tc>
              <w:tc>
                <w:tcPr>
                  <w:tcW w:w="785" w:type="pct"/>
                  <w:tcBorders>
                    <w:top w:val="single" w:sz="6" w:space="0" w:color="auto"/>
                    <w:left w:val="single" w:sz="6" w:space="0" w:color="auto"/>
                    <w:bottom w:val="single" w:sz="6" w:space="0" w:color="auto"/>
                    <w:right w:val="single" w:sz="6" w:space="0" w:color="auto"/>
                  </w:tcBorders>
                  <w:vAlign w:val="center"/>
                </w:tcPr>
                <w:p w14:paraId="7392A8F3" w14:textId="77777777" w:rsidR="00F76A63" w:rsidRDefault="00000000">
                  <w:pPr>
                    <w:jc w:val="center"/>
                    <w:rPr>
                      <w:bCs/>
                      <w:sz w:val="18"/>
                      <w:szCs w:val="18"/>
                    </w:rPr>
                  </w:pPr>
                  <w:r>
                    <w:rPr>
                      <w:bCs/>
                      <w:sz w:val="18"/>
                      <w:szCs w:val="18"/>
                    </w:rPr>
                    <w:t>生态抑尘料斗</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5C686D2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D30938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B98E036"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72DE519A"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5ED86EB" w14:textId="77777777" w:rsidR="00F76A63" w:rsidRDefault="00000000">
                  <w:pPr>
                    <w:jc w:val="center"/>
                    <w:rPr>
                      <w:bCs/>
                      <w:sz w:val="18"/>
                      <w:szCs w:val="18"/>
                    </w:rPr>
                  </w:pPr>
                  <w:r>
                    <w:rPr>
                      <w:bCs/>
                      <w:sz w:val="18"/>
                      <w:szCs w:val="18"/>
                    </w:rPr>
                    <w:t>常温</w:t>
                  </w:r>
                </w:p>
              </w:tc>
            </w:tr>
            <w:tr w:rsidR="00F76A63" w14:paraId="500654C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A2FDB4A" w14:textId="77777777" w:rsidR="00F76A63" w:rsidRDefault="00000000">
                  <w:pPr>
                    <w:jc w:val="center"/>
                    <w:rPr>
                      <w:bCs/>
                      <w:sz w:val="18"/>
                      <w:szCs w:val="18"/>
                    </w:rPr>
                  </w:pPr>
                  <w:r>
                    <w:rPr>
                      <w:bCs/>
                      <w:sz w:val="18"/>
                      <w:szCs w:val="18"/>
                    </w:rPr>
                    <w:t>DA066</w:t>
                  </w:r>
                </w:p>
              </w:tc>
              <w:tc>
                <w:tcPr>
                  <w:tcW w:w="785" w:type="pct"/>
                  <w:tcBorders>
                    <w:top w:val="single" w:sz="6" w:space="0" w:color="auto"/>
                    <w:left w:val="single" w:sz="6" w:space="0" w:color="auto"/>
                    <w:bottom w:val="single" w:sz="6" w:space="0" w:color="auto"/>
                    <w:right w:val="single" w:sz="6" w:space="0" w:color="auto"/>
                  </w:tcBorders>
                  <w:vAlign w:val="center"/>
                </w:tcPr>
                <w:p w14:paraId="48FC90F5" w14:textId="77777777" w:rsidR="00F76A63" w:rsidRDefault="00000000">
                  <w:pPr>
                    <w:jc w:val="center"/>
                    <w:rPr>
                      <w:bCs/>
                      <w:sz w:val="18"/>
                      <w:szCs w:val="18"/>
                    </w:rPr>
                  </w:pPr>
                  <w:r>
                    <w:rPr>
                      <w:bCs/>
                      <w:sz w:val="18"/>
                      <w:szCs w:val="18"/>
                    </w:rPr>
                    <w:t>1#</w:t>
                  </w:r>
                  <w:r>
                    <w:rPr>
                      <w:bCs/>
                      <w:sz w:val="18"/>
                      <w:szCs w:val="18"/>
                    </w:rPr>
                    <w:t>输送系统</w:t>
                  </w:r>
                  <w:r>
                    <w:rPr>
                      <w:bCs/>
                      <w:sz w:val="18"/>
                      <w:szCs w:val="18"/>
                    </w:rPr>
                    <w:t>4-4</w:t>
                  </w:r>
                </w:p>
              </w:tc>
              <w:tc>
                <w:tcPr>
                  <w:tcW w:w="1083" w:type="pct"/>
                  <w:tcBorders>
                    <w:top w:val="single" w:sz="6" w:space="0" w:color="auto"/>
                    <w:left w:val="single" w:sz="6" w:space="0" w:color="auto"/>
                    <w:bottom w:val="single" w:sz="6" w:space="0" w:color="auto"/>
                    <w:right w:val="single" w:sz="6" w:space="0" w:color="auto"/>
                  </w:tcBorders>
                  <w:vAlign w:val="center"/>
                </w:tcPr>
                <w:p w14:paraId="1C51D02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9AA8CF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EEF50D9"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6DFD829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1882BD5" w14:textId="77777777" w:rsidR="00F76A63" w:rsidRDefault="00000000">
                  <w:pPr>
                    <w:jc w:val="center"/>
                    <w:rPr>
                      <w:bCs/>
                      <w:sz w:val="18"/>
                      <w:szCs w:val="18"/>
                    </w:rPr>
                  </w:pPr>
                  <w:r>
                    <w:rPr>
                      <w:bCs/>
                      <w:sz w:val="18"/>
                      <w:szCs w:val="18"/>
                    </w:rPr>
                    <w:t>常温</w:t>
                  </w:r>
                </w:p>
              </w:tc>
            </w:tr>
            <w:tr w:rsidR="00F76A63" w14:paraId="2EA2717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DEF64A9" w14:textId="77777777" w:rsidR="00F76A63" w:rsidRDefault="00000000">
                  <w:pPr>
                    <w:jc w:val="center"/>
                    <w:rPr>
                      <w:bCs/>
                      <w:sz w:val="18"/>
                      <w:szCs w:val="18"/>
                    </w:rPr>
                  </w:pPr>
                  <w:r>
                    <w:rPr>
                      <w:bCs/>
                      <w:sz w:val="18"/>
                      <w:szCs w:val="18"/>
                    </w:rPr>
                    <w:t>DA067</w:t>
                  </w:r>
                </w:p>
              </w:tc>
              <w:tc>
                <w:tcPr>
                  <w:tcW w:w="785" w:type="pct"/>
                  <w:tcBorders>
                    <w:top w:val="single" w:sz="6" w:space="0" w:color="auto"/>
                    <w:left w:val="single" w:sz="6" w:space="0" w:color="auto"/>
                    <w:bottom w:val="single" w:sz="6" w:space="0" w:color="auto"/>
                    <w:right w:val="single" w:sz="6" w:space="0" w:color="auto"/>
                  </w:tcBorders>
                  <w:vAlign w:val="center"/>
                </w:tcPr>
                <w:p w14:paraId="03F55F5F" w14:textId="77777777" w:rsidR="00F76A63" w:rsidRDefault="00000000">
                  <w:pPr>
                    <w:jc w:val="center"/>
                    <w:rPr>
                      <w:bCs/>
                      <w:sz w:val="18"/>
                      <w:szCs w:val="18"/>
                    </w:rPr>
                  </w:pPr>
                  <w:r>
                    <w:rPr>
                      <w:bCs/>
                      <w:sz w:val="18"/>
                      <w:szCs w:val="18"/>
                    </w:rPr>
                    <w:t>1#</w:t>
                  </w:r>
                  <w:r>
                    <w:rPr>
                      <w:bCs/>
                      <w:sz w:val="18"/>
                      <w:szCs w:val="18"/>
                    </w:rPr>
                    <w:t>输送系统</w:t>
                  </w:r>
                  <w:r>
                    <w:rPr>
                      <w:bCs/>
                      <w:sz w:val="18"/>
                      <w:szCs w:val="18"/>
                    </w:rPr>
                    <w:t>4-3</w:t>
                  </w:r>
                </w:p>
              </w:tc>
              <w:tc>
                <w:tcPr>
                  <w:tcW w:w="1083" w:type="pct"/>
                  <w:tcBorders>
                    <w:top w:val="single" w:sz="6" w:space="0" w:color="auto"/>
                    <w:left w:val="single" w:sz="6" w:space="0" w:color="auto"/>
                    <w:bottom w:val="single" w:sz="6" w:space="0" w:color="auto"/>
                    <w:right w:val="single" w:sz="6" w:space="0" w:color="auto"/>
                  </w:tcBorders>
                  <w:vAlign w:val="center"/>
                </w:tcPr>
                <w:p w14:paraId="775866EC"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5715A6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8A60633"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544891C4"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7F0CF1BA" w14:textId="77777777" w:rsidR="00F76A63" w:rsidRDefault="00000000">
                  <w:pPr>
                    <w:jc w:val="center"/>
                    <w:rPr>
                      <w:bCs/>
                      <w:sz w:val="18"/>
                      <w:szCs w:val="18"/>
                    </w:rPr>
                  </w:pPr>
                  <w:r>
                    <w:rPr>
                      <w:bCs/>
                      <w:sz w:val="18"/>
                      <w:szCs w:val="18"/>
                    </w:rPr>
                    <w:t>常温</w:t>
                  </w:r>
                </w:p>
              </w:tc>
            </w:tr>
            <w:tr w:rsidR="00F76A63" w14:paraId="2DCA240F" w14:textId="77777777">
              <w:trPr>
                <w:trHeight w:val="520"/>
                <w:jc w:val="center"/>
              </w:trPr>
              <w:tc>
                <w:tcPr>
                  <w:tcW w:w="510" w:type="pct"/>
                  <w:tcBorders>
                    <w:top w:val="single" w:sz="6" w:space="0" w:color="auto"/>
                    <w:left w:val="nil"/>
                    <w:bottom w:val="single" w:sz="6" w:space="0" w:color="auto"/>
                    <w:right w:val="single" w:sz="6" w:space="0" w:color="auto"/>
                  </w:tcBorders>
                  <w:vAlign w:val="center"/>
                </w:tcPr>
                <w:p w14:paraId="28E8D19B" w14:textId="77777777" w:rsidR="00F76A63" w:rsidRDefault="00000000">
                  <w:pPr>
                    <w:jc w:val="center"/>
                    <w:rPr>
                      <w:bCs/>
                      <w:sz w:val="18"/>
                      <w:szCs w:val="18"/>
                    </w:rPr>
                  </w:pPr>
                  <w:r>
                    <w:rPr>
                      <w:bCs/>
                      <w:sz w:val="18"/>
                      <w:szCs w:val="18"/>
                    </w:rPr>
                    <w:t>DA068</w:t>
                  </w:r>
                </w:p>
              </w:tc>
              <w:tc>
                <w:tcPr>
                  <w:tcW w:w="785" w:type="pct"/>
                  <w:tcBorders>
                    <w:top w:val="single" w:sz="6" w:space="0" w:color="auto"/>
                    <w:left w:val="single" w:sz="6" w:space="0" w:color="auto"/>
                    <w:bottom w:val="single" w:sz="6" w:space="0" w:color="auto"/>
                    <w:right w:val="single" w:sz="6" w:space="0" w:color="auto"/>
                  </w:tcBorders>
                  <w:vAlign w:val="center"/>
                </w:tcPr>
                <w:p w14:paraId="06BDF131" w14:textId="77777777" w:rsidR="00F76A63" w:rsidRDefault="00000000">
                  <w:pPr>
                    <w:jc w:val="center"/>
                    <w:rPr>
                      <w:bCs/>
                      <w:sz w:val="18"/>
                      <w:szCs w:val="18"/>
                    </w:rPr>
                  </w:pPr>
                  <w:r>
                    <w:rPr>
                      <w:bCs/>
                      <w:sz w:val="18"/>
                      <w:szCs w:val="18"/>
                    </w:rPr>
                    <w:t>飞灰料仓排气筒</w:t>
                  </w:r>
                </w:p>
              </w:tc>
              <w:tc>
                <w:tcPr>
                  <w:tcW w:w="1083" w:type="pct"/>
                  <w:tcBorders>
                    <w:top w:val="single" w:sz="6" w:space="0" w:color="auto"/>
                    <w:left w:val="single" w:sz="6" w:space="0" w:color="auto"/>
                    <w:bottom w:val="single" w:sz="6" w:space="0" w:color="auto"/>
                    <w:right w:val="single" w:sz="6" w:space="0" w:color="auto"/>
                  </w:tcBorders>
                  <w:vAlign w:val="center"/>
                </w:tcPr>
                <w:p w14:paraId="3FDA9C06" w14:textId="77777777" w:rsidR="00F76A63" w:rsidRDefault="00000000">
                  <w:pPr>
                    <w:jc w:val="center"/>
                    <w:rPr>
                      <w:bCs/>
                      <w:sz w:val="18"/>
                      <w:szCs w:val="18"/>
                    </w:rPr>
                  </w:pPr>
                  <w:r>
                    <w:rPr>
                      <w:bCs/>
                      <w:sz w:val="18"/>
                      <w:szCs w:val="18"/>
                    </w:rPr>
                    <w:t>非甲烷总烃，硫化氢，氨（氨气），颗粒物，臭气浓度</w:t>
                  </w:r>
                </w:p>
              </w:tc>
              <w:tc>
                <w:tcPr>
                  <w:tcW w:w="958" w:type="pct"/>
                  <w:tcBorders>
                    <w:top w:val="single" w:sz="6" w:space="0" w:color="auto"/>
                    <w:left w:val="single" w:sz="6" w:space="0" w:color="auto"/>
                    <w:bottom w:val="single" w:sz="6" w:space="0" w:color="auto"/>
                    <w:right w:val="single" w:sz="6" w:space="0" w:color="auto"/>
                  </w:tcBorders>
                  <w:vAlign w:val="center"/>
                </w:tcPr>
                <w:p w14:paraId="40A0670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49C3627" w14:textId="77777777" w:rsidR="00F76A63" w:rsidRDefault="00000000">
                  <w:pPr>
                    <w:jc w:val="center"/>
                    <w:rPr>
                      <w:bCs/>
                      <w:sz w:val="18"/>
                      <w:szCs w:val="18"/>
                    </w:rPr>
                  </w:pPr>
                  <w:r>
                    <w:rPr>
                      <w:bCs/>
                      <w:sz w:val="18"/>
                      <w:szCs w:val="18"/>
                    </w:rPr>
                    <w:t>28</w:t>
                  </w:r>
                </w:p>
              </w:tc>
              <w:tc>
                <w:tcPr>
                  <w:tcW w:w="577" w:type="pct"/>
                  <w:tcBorders>
                    <w:top w:val="single" w:sz="6" w:space="0" w:color="auto"/>
                    <w:left w:val="single" w:sz="6" w:space="0" w:color="auto"/>
                    <w:bottom w:val="single" w:sz="6" w:space="0" w:color="auto"/>
                    <w:right w:val="single" w:sz="6" w:space="0" w:color="auto"/>
                  </w:tcBorders>
                  <w:vAlign w:val="center"/>
                </w:tcPr>
                <w:p w14:paraId="57D65720" w14:textId="77777777" w:rsidR="00F76A63" w:rsidRDefault="00000000">
                  <w:pPr>
                    <w:jc w:val="center"/>
                    <w:rPr>
                      <w:bCs/>
                      <w:sz w:val="18"/>
                      <w:szCs w:val="18"/>
                    </w:rPr>
                  </w:pPr>
                  <w:r>
                    <w:rPr>
                      <w:bCs/>
                      <w:sz w:val="18"/>
                      <w:szCs w:val="18"/>
                    </w:rPr>
                    <w:t>0.6</w:t>
                  </w:r>
                </w:p>
              </w:tc>
              <w:tc>
                <w:tcPr>
                  <w:tcW w:w="445" w:type="pct"/>
                  <w:tcBorders>
                    <w:top w:val="single" w:sz="6" w:space="0" w:color="auto"/>
                    <w:left w:val="single" w:sz="6" w:space="0" w:color="auto"/>
                    <w:bottom w:val="single" w:sz="6" w:space="0" w:color="auto"/>
                    <w:right w:val="nil"/>
                  </w:tcBorders>
                  <w:vAlign w:val="center"/>
                </w:tcPr>
                <w:p w14:paraId="54D9421D" w14:textId="77777777" w:rsidR="00F76A63" w:rsidRDefault="00000000">
                  <w:pPr>
                    <w:jc w:val="center"/>
                    <w:rPr>
                      <w:bCs/>
                      <w:sz w:val="18"/>
                      <w:szCs w:val="18"/>
                    </w:rPr>
                  </w:pPr>
                  <w:r>
                    <w:rPr>
                      <w:bCs/>
                      <w:sz w:val="18"/>
                      <w:szCs w:val="18"/>
                    </w:rPr>
                    <w:t>25</w:t>
                  </w:r>
                </w:p>
              </w:tc>
            </w:tr>
            <w:tr w:rsidR="00F76A63" w14:paraId="4CBA093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ED61EE7" w14:textId="77777777" w:rsidR="00F76A63" w:rsidRDefault="00000000">
                  <w:pPr>
                    <w:jc w:val="center"/>
                    <w:rPr>
                      <w:bCs/>
                      <w:sz w:val="18"/>
                      <w:szCs w:val="18"/>
                    </w:rPr>
                  </w:pPr>
                  <w:r>
                    <w:rPr>
                      <w:bCs/>
                      <w:sz w:val="18"/>
                      <w:szCs w:val="18"/>
                    </w:rPr>
                    <w:t>DA069</w:t>
                  </w:r>
                </w:p>
              </w:tc>
              <w:tc>
                <w:tcPr>
                  <w:tcW w:w="785" w:type="pct"/>
                  <w:tcBorders>
                    <w:top w:val="single" w:sz="6" w:space="0" w:color="auto"/>
                    <w:left w:val="single" w:sz="6" w:space="0" w:color="auto"/>
                    <w:bottom w:val="single" w:sz="6" w:space="0" w:color="auto"/>
                    <w:right w:val="single" w:sz="6" w:space="0" w:color="auto"/>
                  </w:tcBorders>
                  <w:vAlign w:val="center"/>
                </w:tcPr>
                <w:p w14:paraId="376C5A63" w14:textId="77777777" w:rsidR="00F76A63" w:rsidRDefault="00000000">
                  <w:pPr>
                    <w:jc w:val="center"/>
                    <w:rPr>
                      <w:bCs/>
                      <w:sz w:val="18"/>
                      <w:szCs w:val="18"/>
                    </w:rPr>
                  </w:pPr>
                  <w:r>
                    <w:rPr>
                      <w:bCs/>
                      <w:sz w:val="18"/>
                      <w:szCs w:val="18"/>
                    </w:rPr>
                    <w:t>入库输送</w:t>
                  </w:r>
                </w:p>
              </w:tc>
              <w:tc>
                <w:tcPr>
                  <w:tcW w:w="1083" w:type="pct"/>
                  <w:tcBorders>
                    <w:top w:val="single" w:sz="6" w:space="0" w:color="auto"/>
                    <w:left w:val="single" w:sz="6" w:space="0" w:color="auto"/>
                    <w:bottom w:val="single" w:sz="6" w:space="0" w:color="auto"/>
                    <w:right w:val="single" w:sz="6" w:space="0" w:color="auto"/>
                  </w:tcBorders>
                  <w:vAlign w:val="center"/>
                </w:tcPr>
                <w:p w14:paraId="52D452F8"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67FC71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F068743"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18800C7B"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36B76D2" w14:textId="77777777" w:rsidR="00F76A63" w:rsidRDefault="00000000">
                  <w:pPr>
                    <w:jc w:val="center"/>
                    <w:rPr>
                      <w:bCs/>
                      <w:sz w:val="18"/>
                      <w:szCs w:val="18"/>
                    </w:rPr>
                  </w:pPr>
                  <w:r>
                    <w:rPr>
                      <w:bCs/>
                      <w:sz w:val="18"/>
                      <w:szCs w:val="18"/>
                    </w:rPr>
                    <w:t>85</w:t>
                  </w:r>
                </w:p>
              </w:tc>
            </w:tr>
            <w:tr w:rsidR="00F76A63" w14:paraId="1DE7BFD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80156C8" w14:textId="77777777" w:rsidR="00F76A63" w:rsidRDefault="00000000">
                  <w:pPr>
                    <w:jc w:val="center"/>
                    <w:rPr>
                      <w:bCs/>
                      <w:sz w:val="18"/>
                      <w:szCs w:val="18"/>
                    </w:rPr>
                  </w:pPr>
                  <w:r>
                    <w:rPr>
                      <w:bCs/>
                      <w:sz w:val="18"/>
                      <w:szCs w:val="18"/>
                    </w:rPr>
                    <w:t>DA070</w:t>
                  </w:r>
                </w:p>
              </w:tc>
              <w:tc>
                <w:tcPr>
                  <w:tcW w:w="785" w:type="pct"/>
                  <w:tcBorders>
                    <w:top w:val="single" w:sz="6" w:space="0" w:color="auto"/>
                    <w:left w:val="single" w:sz="6" w:space="0" w:color="auto"/>
                    <w:bottom w:val="single" w:sz="6" w:space="0" w:color="auto"/>
                    <w:right w:val="single" w:sz="6" w:space="0" w:color="auto"/>
                  </w:tcBorders>
                  <w:vAlign w:val="center"/>
                </w:tcPr>
                <w:p w14:paraId="066B0689" w14:textId="77777777" w:rsidR="00F76A63" w:rsidRDefault="00000000">
                  <w:pPr>
                    <w:jc w:val="center"/>
                    <w:rPr>
                      <w:bCs/>
                      <w:sz w:val="18"/>
                      <w:szCs w:val="18"/>
                    </w:rPr>
                  </w:pPr>
                  <w:r>
                    <w:rPr>
                      <w:bCs/>
                      <w:sz w:val="18"/>
                      <w:szCs w:val="18"/>
                    </w:rPr>
                    <w:t>2#</w:t>
                  </w:r>
                  <w:r>
                    <w:rPr>
                      <w:bCs/>
                      <w:sz w:val="18"/>
                      <w:szCs w:val="18"/>
                    </w:rPr>
                    <w:t>原料输送</w:t>
                  </w:r>
                  <w:r>
                    <w:rPr>
                      <w:bCs/>
                      <w:sz w:val="18"/>
                      <w:szCs w:val="18"/>
                    </w:rPr>
                    <w:t>4</w:t>
                  </w:r>
                </w:p>
              </w:tc>
              <w:tc>
                <w:tcPr>
                  <w:tcW w:w="1083" w:type="pct"/>
                  <w:tcBorders>
                    <w:top w:val="single" w:sz="6" w:space="0" w:color="auto"/>
                    <w:left w:val="single" w:sz="6" w:space="0" w:color="auto"/>
                    <w:bottom w:val="single" w:sz="6" w:space="0" w:color="auto"/>
                    <w:right w:val="single" w:sz="6" w:space="0" w:color="auto"/>
                  </w:tcBorders>
                  <w:vAlign w:val="center"/>
                </w:tcPr>
                <w:p w14:paraId="52E65B0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A3E402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12F1B1C"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372FFB4E"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46C8BC2C" w14:textId="77777777" w:rsidR="00F76A63" w:rsidRDefault="00000000">
                  <w:pPr>
                    <w:jc w:val="center"/>
                    <w:rPr>
                      <w:bCs/>
                      <w:sz w:val="18"/>
                      <w:szCs w:val="18"/>
                    </w:rPr>
                  </w:pPr>
                  <w:r>
                    <w:rPr>
                      <w:bCs/>
                      <w:sz w:val="18"/>
                      <w:szCs w:val="18"/>
                    </w:rPr>
                    <w:t>常温</w:t>
                  </w:r>
                </w:p>
              </w:tc>
            </w:tr>
            <w:tr w:rsidR="00F76A63" w14:paraId="621A6AA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EB7B5D5" w14:textId="77777777" w:rsidR="00F76A63" w:rsidRDefault="00000000">
                  <w:pPr>
                    <w:jc w:val="center"/>
                    <w:rPr>
                      <w:bCs/>
                      <w:sz w:val="18"/>
                      <w:szCs w:val="18"/>
                    </w:rPr>
                  </w:pPr>
                  <w:r>
                    <w:rPr>
                      <w:bCs/>
                      <w:sz w:val="18"/>
                      <w:szCs w:val="18"/>
                    </w:rPr>
                    <w:t>DA071</w:t>
                  </w:r>
                </w:p>
              </w:tc>
              <w:tc>
                <w:tcPr>
                  <w:tcW w:w="785" w:type="pct"/>
                  <w:tcBorders>
                    <w:top w:val="single" w:sz="6" w:space="0" w:color="auto"/>
                    <w:left w:val="single" w:sz="6" w:space="0" w:color="auto"/>
                    <w:bottom w:val="single" w:sz="6" w:space="0" w:color="auto"/>
                    <w:right w:val="single" w:sz="6" w:space="0" w:color="auto"/>
                  </w:tcBorders>
                  <w:vAlign w:val="center"/>
                </w:tcPr>
                <w:p w14:paraId="48C78997" w14:textId="77777777" w:rsidR="00F76A63" w:rsidRDefault="00000000">
                  <w:pPr>
                    <w:jc w:val="center"/>
                    <w:rPr>
                      <w:bCs/>
                      <w:sz w:val="18"/>
                      <w:szCs w:val="18"/>
                    </w:rPr>
                  </w:pPr>
                  <w:r>
                    <w:rPr>
                      <w:bCs/>
                      <w:sz w:val="18"/>
                      <w:szCs w:val="18"/>
                    </w:rPr>
                    <w:t>2#</w:t>
                  </w:r>
                  <w:r>
                    <w:rPr>
                      <w:bCs/>
                      <w:sz w:val="18"/>
                      <w:szCs w:val="18"/>
                    </w:rPr>
                    <w:t>原料输送</w:t>
                  </w:r>
                  <w:r>
                    <w:rPr>
                      <w:bCs/>
                      <w:sz w:val="18"/>
                      <w:szCs w:val="18"/>
                    </w:rPr>
                    <w:t>3</w:t>
                  </w:r>
                </w:p>
              </w:tc>
              <w:tc>
                <w:tcPr>
                  <w:tcW w:w="1083" w:type="pct"/>
                  <w:tcBorders>
                    <w:top w:val="single" w:sz="6" w:space="0" w:color="auto"/>
                    <w:left w:val="single" w:sz="6" w:space="0" w:color="auto"/>
                    <w:bottom w:val="single" w:sz="6" w:space="0" w:color="auto"/>
                    <w:right w:val="single" w:sz="6" w:space="0" w:color="auto"/>
                  </w:tcBorders>
                  <w:vAlign w:val="center"/>
                </w:tcPr>
                <w:p w14:paraId="29F63E3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6BCE3E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780B3D1"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1F7F4606"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70AE19A3" w14:textId="77777777" w:rsidR="00F76A63" w:rsidRDefault="00000000">
                  <w:pPr>
                    <w:jc w:val="center"/>
                    <w:rPr>
                      <w:bCs/>
                      <w:sz w:val="18"/>
                      <w:szCs w:val="18"/>
                    </w:rPr>
                  </w:pPr>
                  <w:r>
                    <w:rPr>
                      <w:bCs/>
                      <w:sz w:val="18"/>
                      <w:szCs w:val="18"/>
                    </w:rPr>
                    <w:t>常温</w:t>
                  </w:r>
                </w:p>
              </w:tc>
            </w:tr>
            <w:tr w:rsidR="00F76A63" w14:paraId="360ADDB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A7ADDB1" w14:textId="77777777" w:rsidR="00F76A63" w:rsidRDefault="00000000">
                  <w:pPr>
                    <w:jc w:val="center"/>
                    <w:rPr>
                      <w:bCs/>
                      <w:sz w:val="18"/>
                      <w:szCs w:val="18"/>
                    </w:rPr>
                  </w:pPr>
                  <w:r>
                    <w:rPr>
                      <w:bCs/>
                      <w:sz w:val="18"/>
                      <w:szCs w:val="18"/>
                    </w:rPr>
                    <w:t>DA072</w:t>
                  </w:r>
                </w:p>
              </w:tc>
              <w:tc>
                <w:tcPr>
                  <w:tcW w:w="785" w:type="pct"/>
                  <w:tcBorders>
                    <w:top w:val="single" w:sz="6" w:space="0" w:color="auto"/>
                    <w:left w:val="single" w:sz="6" w:space="0" w:color="auto"/>
                    <w:bottom w:val="single" w:sz="6" w:space="0" w:color="auto"/>
                    <w:right w:val="single" w:sz="6" w:space="0" w:color="auto"/>
                  </w:tcBorders>
                  <w:vAlign w:val="center"/>
                </w:tcPr>
                <w:p w14:paraId="46979249" w14:textId="77777777" w:rsidR="00F76A63" w:rsidRDefault="00000000">
                  <w:pPr>
                    <w:jc w:val="center"/>
                    <w:rPr>
                      <w:bCs/>
                      <w:sz w:val="18"/>
                      <w:szCs w:val="18"/>
                    </w:rPr>
                  </w:pPr>
                  <w:r>
                    <w:rPr>
                      <w:bCs/>
                      <w:sz w:val="18"/>
                      <w:szCs w:val="18"/>
                    </w:rPr>
                    <w:t>2#</w:t>
                  </w:r>
                  <w:r>
                    <w:rPr>
                      <w:bCs/>
                      <w:sz w:val="18"/>
                      <w:szCs w:val="18"/>
                    </w:rPr>
                    <w:t>原料输送</w:t>
                  </w:r>
                  <w:r>
                    <w:rPr>
                      <w:bCs/>
                      <w:sz w:val="18"/>
                      <w:szCs w:val="18"/>
                    </w:rPr>
                    <w:t>7</w:t>
                  </w:r>
                </w:p>
              </w:tc>
              <w:tc>
                <w:tcPr>
                  <w:tcW w:w="1083" w:type="pct"/>
                  <w:tcBorders>
                    <w:top w:val="single" w:sz="6" w:space="0" w:color="auto"/>
                    <w:left w:val="single" w:sz="6" w:space="0" w:color="auto"/>
                    <w:bottom w:val="single" w:sz="6" w:space="0" w:color="auto"/>
                    <w:right w:val="single" w:sz="6" w:space="0" w:color="auto"/>
                  </w:tcBorders>
                  <w:vAlign w:val="center"/>
                </w:tcPr>
                <w:p w14:paraId="3FD3E33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EBFC57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E081B75"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7812498B"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709C44DE" w14:textId="77777777" w:rsidR="00F76A63" w:rsidRDefault="00000000">
                  <w:pPr>
                    <w:jc w:val="center"/>
                    <w:rPr>
                      <w:bCs/>
                      <w:sz w:val="18"/>
                      <w:szCs w:val="18"/>
                    </w:rPr>
                  </w:pPr>
                  <w:r>
                    <w:rPr>
                      <w:bCs/>
                      <w:sz w:val="18"/>
                      <w:szCs w:val="18"/>
                    </w:rPr>
                    <w:t>常温</w:t>
                  </w:r>
                </w:p>
              </w:tc>
            </w:tr>
            <w:tr w:rsidR="00F76A63" w14:paraId="6E65EFA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9E903C2" w14:textId="77777777" w:rsidR="00F76A63" w:rsidRDefault="00000000">
                  <w:pPr>
                    <w:jc w:val="center"/>
                    <w:rPr>
                      <w:bCs/>
                      <w:sz w:val="18"/>
                      <w:szCs w:val="18"/>
                    </w:rPr>
                  </w:pPr>
                  <w:r>
                    <w:rPr>
                      <w:bCs/>
                      <w:sz w:val="18"/>
                      <w:szCs w:val="18"/>
                    </w:rPr>
                    <w:t>DA073</w:t>
                  </w:r>
                </w:p>
              </w:tc>
              <w:tc>
                <w:tcPr>
                  <w:tcW w:w="785" w:type="pct"/>
                  <w:tcBorders>
                    <w:top w:val="single" w:sz="6" w:space="0" w:color="auto"/>
                    <w:left w:val="single" w:sz="6" w:space="0" w:color="auto"/>
                    <w:bottom w:val="single" w:sz="6" w:space="0" w:color="auto"/>
                    <w:right w:val="single" w:sz="6" w:space="0" w:color="auto"/>
                  </w:tcBorders>
                  <w:vAlign w:val="center"/>
                </w:tcPr>
                <w:p w14:paraId="5B42057D" w14:textId="77777777" w:rsidR="00F76A63" w:rsidRDefault="00000000">
                  <w:pPr>
                    <w:jc w:val="center"/>
                    <w:rPr>
                      <w:bCs/>
                      <w:sz w:val="18"/>
                      <w:szCs w:val="18"/>
                    </w:rPr>
                  </w:pPr>
                  <w:r>
                    <w:rPr>
                      <w:bCs/>
                      <w:sz w:val="18"/>
                      <w:szCs w:val="18"/>
                    </w:rPr>
                    <w:t>2#</w:t>
                  </w:r>
                  <w:r>
                    <w:rPr>
                      <w:bCs/>
                      <w:sz w:val="18"/>
                      <w:szCs w:val="18"/>
                    </w:rPr>
                    <w:t>熟料库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0ED9685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584F34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876AA11"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1B670088"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98C1747" w14:textId="77777777" w:rsidR="00F76A63" w:rsidRDefault="00000000">
                  <w:pPr>
                    <w:jc w:val="center"/>
                    <w:rPr>
                      <w:bCs/>
                      <w:sz w:val="18"/>
                      <w:szCs w:val="18"/>
                    </w:rPr>
                  </w:pPr>
                  <w:r>
                    <w:rPr>
                      <w:bCs/>
                      <w:sz w:val="18"/>
                      <w:szCs w:val="18"/>
                    </w:rPr>
                    <w:t>常温</w:t>
                  </w:r>
                </w:p>
              </w:tc>
            </w:tr>
            <w:tr w:rsidR="00F76A63" w14:paraId="6BAF066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7A708D2" w14:textId="77777777" w:rsidR="00F76A63" w:rsidRDefault="00000000">
                  <w:pPr>
                    <w:jc w:val="center"/>
                    <w:rPr>
                      <w:bCs/>
                      <w:sz w:val="18"/>
                      <w:szCs w:val="18"/>
                    </w:rPr>
                  </w:pPr>
                  <w:r>
                    <w:rPr>
                      <w:bCs/>
                      <w:sz w:val="18"/>
                      <w:szCs w:val="18"/>
                    </w:rPr>
                    <w:t>DA074</w:t>
                  </w:r>
                </w:p>
              </w:tc>
              <w:tc>
                <w:tcPr>
                  <w:tcW w:w="785" w:type="pct"/>
                  <w:tcBorders>
                    <w:top w:val="single" w:sz="6" w:space="0" w:color="auto"/>
                    <w:left w:val="single" w:sz="6" w:space="0" w:color="auto"/>
                    <w:bottom w:val="single" w:sz="6" w:space="0" w:color="auto"/>
                    <w:right w:val="single" w:sz="6" w:space="0" w:color="auto"/>
                  </w:tcBorders>
                  <w:vAlign w:val="center"/>
                </w:tcPr>
                <w:p w14:paraId="3E0A3A94" w14:textId="77777777" w:rsidR="00F76A63" w:rsidRDefault="00000000">
                  <w:pPr>
                    <w:jc w:val="center"/>
                    <w:rPr>
                      <w:bCs/>
                      <w:sz w:val="18"/>
                      <w:szCs w:val="18"/>
                    </w:rPr>
                  </w:pPr>
                  <w:r>
                    <w:rPr>
                      <w:bCs/>
                      <w:sz w:val="18"/>
                      <w:szCs w:val="18"/>
                    </w:rPr>
                    <w:t>矿区输送皮带</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297614E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20C092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2C70777" w14:textId="77777777" w:rsidR="00F76A63" w:rsidRDefault="00000000">
                  <w:pPr>
                    <w:jc w:val="center"/>
                    <w:rPr>
                      <w:bCs/>
                      <w:sz w:val="18"/>
                      <w:szCs w:val="18"/>
                    </w:rPr>
                  </w:pPr>
                  <w:r>
                    <w:rPr>
                      <w:bCs/>
                      <w:sz w:val="18"/>
                      <w:szCs w:val="18"/>
                    </w:rPr>
                    <w:t>16</w:t>
                  </w:r>
                </w:p>
              </w:tc>
              <w:tc>
                <w:tcPr>
                  <w:tcW w:w="577" w:type="pct"/>
                  <w:tcBorders>
                    <w:top w:val="single" w:sz="6" w:space="0" w:color="auto"/>
                    <w:left w:val="single" w:sz="6" w:space="0" w:color="auto"/>
                    <w:bottom w:val="single" w:sz="6" w:space="0" w:color="auto"/>
                    <w:right w:val="single" w:sz="6" w:space="0" w:color="auto"/>
                  </w:tcBorders>
                  <w:vAlign w:val="center"/>
                </w:tcPr>
                <w:p w14:paraId="787616DA"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55792FE" w14:textId="77777777" w:rsidR="00F76A63" w:rsidRDefault="00000000">
                  <w:pPr>
                    <w:jc w:val="center"/>
                    <w:rPr>
                      <w:bCs/>
                      <w:sz w:val="18"/>
                      <w:szCs w:val="18"/>
                    </w:rPr>
                  </w:pPr>
                  <w:r>
                    <w:rPr>
                      <w:bCs/>
                      <w:sz w:val="18"/>
                      <w:szCs w:val="18"/>
                    </w:rPr>
                    <w:t>常温</w:t>
                  </w:r>
                </w:p>
              </w:tc>
            </w:tr>
            <w:tr w:rsidR="00F76A63" w14:paraId="54D449A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4952EA7" w14:textId="77777777" w:rsidR="00F76A63" w:rsidRDefault="00000000">
                  <w:pPr>
                    <w:jc w:val="center"/>
                    <w:rPr>
                      <w:bCs/>
                      <w:sz w:val="18"/>
                      <w:szCs w:val="18"/>
                    </w:rPr>
                  </w:pPr>
                  <w:r>
                    <w:rPr>
                      <w:bCs/>
                      <w:sz w:val="18"/>
                      <w:szCs w:val="18"/>
                    </w:rPr>
                    <w:t>DA075</w:t>
                  </w:r>
                </w:p>
              </w:tc>
              <w:tc>
                <w:tcPr>
                  <w:tcW w:w="785" w:type="pct"/>
                  <w:tcBorders>
                    <w:top w:val="single" w:sz="6" w:space="0" w:color="auto"/>
                    <w:left w:val="single" w:sz="6" w:space="0" w:color="auto"/>
                    <w:bottom w:val="single" w:sz="6" w:space="0" w:color="auto"/>
                    <w:right w:val="single" w:sz="6" w:space="0" w:color="auto"/>
                  </w:tcBorders>
                  <w:vAlign w:val="center"/>
                </w:tcPr>
                <w:p w14:paraId="5A2B8E1D" w14:textId="77777777" w:rsidR="00F76A63" w:rsidRDefault="00000000">
                  <w:pPr>
                    <w:jc w:val="center"/>
                    <w:rPr>
                      <w:bCs/>
                      <w:sz w:val="18"/>
                      <w:szCs w:val="18"/>
                    </w:rPr>
                  </w:pPr>
                  <w:r>
                    <w:rPr>
                      <w:bCs/>
                      <w:sz w:val="18"/>
                      <w:szCs w:val="18"/>
                    </w:rPr>
                    <w:t>矿区输送皮带</w:t>
                  </w:r>
                  <w:r>
                    <w:rPr>
                      <w:bCs/>
                      <w:sz w:val="18"/>
                      <w:szCs w:val="18"/>
                    </w:rPr>
                    <w:t>3</w:t>
                  </w:r>
                </w:p>
              </w:tc>
              <w:tc>
                <w:tcPr>
                  <w:tcW w:w="1083" w:type="pct"/>
                  <w:tcBorders>
                    <w:top w:val="single" w:sz="6" w:space="0" w:color="auto"/>
                    <w:left w:val="single" w:sz="6" w:space="0" w:color="auto"/>
                    <w:bottom w:val="single" w:sz="6" w:space="0" w:color="auto"/>
                    <w:right w:val="single" w:sz="6" w:space="0" w:color="auto"/>
                  </w:tcBorders>
                  <w:vAlign w:val="center"/>
                </w:tcPr>
                <w:p w14:paraId="53F7D96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65B5F3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A5FA56E"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25A4381"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7BDC7DD5" w14:textId="77777777" w:rsidR="00F76A63" w:rsidRDefault="00000000">
                  <w:pPr>
                    <w:jc w:val="center"/>
                    <w:rPr>
                      <w:bCs/>
                      <w:sz w:val="18"/>
                      <w:szCs w:val="18"/>
                    </w:rPr>
                  </w:pPr>
                  <w:r>
                    <w:rPr>
                      <w:bCs/>
                      <w:sz w:val="18"/>
                      <w:szCs w:val="18"/>
                    </w:rPr>
                    <w:t>常温</w:t>
                  </w:r>
                </w:p>
              </w:tc>
            </w:tr>
            <w:tr w:rsidR="00F76A63" w14:paraId="47D34C9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F19FCC1" w14:textId="77777777" w:rsidR="00F76A63" w:rsidRDefault="00000000">
                  <w:pPr>
                    <w:jc w:val="center"/>
                    <w:rPr>
                      <w:bCs/>
                      <w:sz w:val="18"/>
                      <w:szCs w:val="18"/>
                    </w:rPr>
                  </w:pPr>
                  <w:r>
                    <w:rPr>
                      <w:bCs/>
                      <w:sz w:val="18"/>
                      <w:szCs w:val="18"/>
                    </w:rPr>
                    <w:t>DA076</w:t>
                  </w:r>
                </w:p>
              </w:tc>
              <w:tc>
                <w:tcPr>
                  <w:tcW w:w="785" w:type="pct"/>
                  <w:tcBorders>
                    <w:top w:val="single" w:sz="6" w:space="0" w:color="auto"/>
                    <w:left w:val="single" w:sz="6" w:space="0" w:color="auto"/>
                    <w:bottom w:val="single" w:sz="6" w:space="0" w:color="auto"/>
                    <w:right w:val="single" w:sz="6" w:space="0" w:color="auto"/>
                  </w:tcBorders>
                  <w:vAlign w:val="center"/>
                </w:tcPr>
                <w:p w14:paraId="530272B2" w14:textId="77777777" w:rsidR="00F76A63" w:rsidRDefault="00000000">
                  <w:pPr>
                    <w:jc w:val="center"/>
                    <w:rPr>
                      <w:bCs/>
                      <w:sz w:val="18"/>
                      <w:szCs w:val="18"/>
                    </w:rPr>
                  </w:pPr>
                  <w:r>
                    <w:rPr>
                      <w:bCs/>
                      <w:sz w:val="18"/>
                      <w:szCs w:val="18"/>
                    </w:rPr>
                    <w:t>矿区输送皮带</w:t>
                  </w:r>
                  <w:r>
                    <w:rPr>
                      <w:bCs/>
                      <w:sz w:val="18"/>
                      <w:szCs w:val="18"/>
                    </w:rPr>
                    <w:t>4</w:t>
                  </w:r>
                </w:p>
              </w:tc>
              <w:tc>
                <w:tcPr>
                  <w:tcW w:w="1083" w:type="pct"/>
                  <w:tcBorders>
                    <w:top w:val="single" w:sz="6" w:space="0" w:color="auto"/>
                    <w:left w:val="single" w:sz="6" w:space="0" w:color="auto"/>
                    <w:bottom w:val="single" w:sz="6" w:space="0" w:color="auto"/>
                    <w:right w:val="single" w:sz="6" w:space="0" w:color="auto"/>
                  </w:tcBorders>
                  <w:vAlign w:val="center"/>
                </w:tcPr>
                <w:p w14:paraId="1FF6F6C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066CBA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2A05DF9" w14:textId="77777777" w:rsidR="00F76A63" w:rsidRDefault="00000000">
                  <w:pPr>
                    <w:jc w:val="center"/>
                    <w:rPr>
                      <w:bCs/>
                      <w:sz w:val="18"/>
                      <w:szCs w:val="18"/>
                    </w:rPr>
                  </w:pPr>
                  <w:r>
                    <w:rPr>
                      <w:bCs/>
                      <w:sz w:val="18"/>
                      <w:szCs w:val="18"/>
                    </w:rPr>
                    <w:t>16</w:t>
                  </w:r>
                </w:p>
              </w:tc>
              <w:tc>
                <w:tcPr>
                  <w:tcW w:w="577" w:type="pct"/>
                  <w:tcBorders>
                    <w:top w:val="single" w:sz="6" w:space="0" w:color="auto"/>
                    <w:left w:val="single" w:sz="6" w:space="0" w:color="auto"/>
                    <w:bottom w:val="single" w:sz="6" w:space="0" w:color="auto"/>
                    <w:right w:val="single" w:sz="6" w:space="0" w:color="auto"/>
                  </w:tcBorders>
                  <w:vAlign w:val="center"/>
                </w:tcPr>
                <w:p w14:paraId="3D420727"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29193A03" w14:textId="77777777" w:rsidR="00F76A63" w:rsidRDefault="00000000">
                  <w:pPr>
                    <w:jc w:val="center"/>
                    <w:rPr>
                      <w:bCs/>
                      <w:sz w:val="18"/>
                      <w:szCs w:val="18"/>
                    </w:rPr>
                  </w:pPr>
                  <w:r>
                    <w:rPr>
                      <w:bCs/>
                      <w:sz w:val="18"/>
                      <w:szCs w:val="18"/>
                    </w:rPr>
                    <w:t>常温</w:t>
                  </w:r>
                </w:p>
              </w:tc>
            </w:tr>
            <w:tr w:rsidR="00F76A63" w14:paraId="73E85BA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02D61D2" w14:textId="77777777" w:rsidR="00F76A63" w:rsidRDefault="00000000">
                  <w:pPr>
                    <w:jc w:val="center"/>
                    <w:rPr>
                      <w:bCs/>
                      <w:sz w:val="18"/>
                      <w:szCs w:val="18"/>
                    </w:rPr>
                  </w:pPr>
                  <w:r>
                    <w:rPr>
                      <w:bCs/>
                      <w:sz w:val="18"/>
                      <w:szCs w:val="18"/>
                    </w:rPr>
                    <w:t>DA077</w:t>
                  </w:r>
                </w:p>
              </w:tc>
              <w:tc>
                <w:tcPr>
                  <w:tcW w:w="785" w:type="pct"/>
                  <w:tcBorders>
                    <w:top w:val="single" w:sz="6" w:space="0" w:color="auto"/>
                    <w:left w:val="single" w:sz="6" w:space="0" w:color="auto"/>
                    <w:bottom w:val="single" w:sz="6" w:space="0" w:color="auto"/>
                    <w:right w:val="single" w:sz="6" w:space="0" w:color="auto"/>
                  </w:tcBorders>
                  <w:vAlign w:val="center"/>
                </w:tcPr>
                <w:p w14:paraId="380E7488" w14:textId="77777777" w:rsidR="00F76A63" w:rsidRDefault="00000000">
                  <w:pPr>
                    <w:jc w:val="center"/>
                    <w:rPr>
                      <w:bCs/>
                      <w:sz w:val="18"/>
                      <w:szCs w:val="18"/>
                    </w:rPr>
                  </w:pPr>
                  <w:r>
                    <w:rPr>
                      <w:bCs/>
                      <w:sz w:val="18"/>
                      <w:szCs w:val="18"/>
                    </w:rPr>
                    <w:t>矿区输送皮带</w:t>
                  </w:r>
                  <w:r>
                    <w:rPr>
                      <w:bCs/>
                      <w:sz w:val="18"/>
                      <w:szCs w:val="18"/>
                    </w:rPr>
                    <w:t>5</w:t>
                  </w:r>
                </w:p>
              </w:tc>
              <w:tc>
                <w:tcPr>
                  <w:tcW w:w="1083" w:type="pct"/>
                  <w:tcBorders>
                    <w:top w:val="single" w:sz="6" w:space="0" w:color="auto"/>
                    <w:left w:val="single" w:sz="6" w:space="0" w:color="auto"/>
                    <w:bottom w:val="single" w:sz="6" w:space="0" w:color="auto"/>
                    <w:right w:val="single" w:sz="6" w:space="0" w:color="auto"/>
                  </w:tcBorders>
                  <w:vAlign w:val="center"/>
                </w:tcPr>
                <w:p w14:paraId="1D99449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BE8739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FA79743" w14:textId="77777777" w:rsidR="00F76A63" w:rsidRDefault="00000000">
                  <w:pPr>
                    <w:jc w:val="center"/>
                    <w:rPr>
                      <w:bCs/>
                      <w:sz w:val="18"/>
                      <w:szCs w:val="18"/>
                    </w:rPr>
                  </w:pPr>
                  <w:r>
                    <w:rPr>
                      <w:bCs/>
                      <w:sz w:val="18"/>
                      <w:szCs w:val="18"/>
                    </w:rPr>
                    <w:t>8</w:t>
                  </w:r>
                </w:p>
              </w:tc>
              <w:tc>
                <w:tcPr>
                  <w:tcW w:w="577" w:type="pct"/>
                  <w:tcBorders>
                    <w:top w:val="single" w:sz="6" w:space="0" w:color="auto"/>
                    <w:left w:val="single" w:sz="6" w:space="0" w:color="auto"/>
                    <w:bottom w:val="single" w:sz="6" w:space="0" w:color="auto"/>
                    <w:right w:val="single" w:sz="6" w:space="0" w:color="auto"/>
                  </w:tcBorders>
                  <w:vAlign w:val="center"/>
                </w:tcPr>
                <w:p w14:paraId="1B62C7A6"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3791EAC5" w14:textId="77777777" w:rsidR="00F76A63" w:rsidRDefault="00000000">
                  <w:pPr>
                    <w:jc w:val="center"/>
                    <w:rPr>
                      <w:bCs/>
                      <w:sz w:val="18"/>
                      <w:szCs w:val="18"/>
                    </w:rPr>
                  </w:pPr>
                  <w:r>
                    <w:rPr>
                      <w:bCs/>
                      <w:sz w:val="18"/>
                      <w:szCs w:val="18"/>
                    </w:rPr>
                    <w:t>常温</w:t>
                  </w:r>
                </w:p>
              </w:tc>
            </w:tr>
            <w:tr w:rsidR="00F76A63" w14:paraId="01AB688E"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4104E6A" w14:textId="77777777" w:rsidR="00F76A63" w:rsidRDefault="00000000">
                  <w:pPr>
                    <w:jc w:val="center"/>
                    <w:rPr>
                      <w:bCs/>
                      <w:sz w:val="18"/>
                      <w:szCs w:val="18"/>
                    </w:rPr>
                  </w:pPr>
                  <w:r>
                    <w:rPr>
                      <w:bCs/>
                      <w:sz w:val="18"/>
                      <w:szCs w:val="18"/>
                    </w:rPr>
                    <w:t>DA078</w:t>
                  </w:r>
                </w:p>
              </w:tc>
              <w:tc>
                <w:tcPr>
                  <w:tcW w:w="785" w:type="pct"/>
                  <w:tcBorders>
                    <w:top w:val="single" w:sz="6" w:space="0" w:color="auto"/>
                    <w:left w:val="single" w:sz="6" w:space="0" w:color="auto"/>
                    <w:bottom w:val="single" w:sz="6" w:space="0" w:color="auto"/>
                    <w:right w:val="single" w:sz="6" w:space="0" w:color="auto"/>
                  </w:tcBorders>
                  <w:vAlign w:val="center"/>
                </w:tcPr>
                <w:p w14:paraId="709CF605" w14:textId="77777777" w:rsidR="00F76A63" w:rsidRDefault="00000000">
                  <w:pPr>
                    <w:jc w:val="center"/>
                    <w:rPr>
                      <w:bCs/>
                      <w:sz w:val="18"/>
                      <w:szCs w:val="18"/>
                    </w:rPr>
                  </w:pPr>
                  <w:r>
                    <w:rPr>
                      <w:bCs/>
                      <w:sz w:val="18"/>
                      <w:szCs w:val="18"/>
                    </w:rPr>
                    <w:t>矿区输送皮带</w:t>
                  </w:r>
                  <w:r>
                    <w:rPr>
                      <w:bCs/>
                      <w:sz w:val="18"/>
                      <w:szCs w:val="18"/>
                    </w:rPr>
                    <w:t>6</w:t>
                  </w:r>
                </w:p>
              </w:tc>
              <w:tc>
                <w:tcPr>
                  <w:tcW w:w="1083" w:type="pct"/>
                  <w:tcBorders>
                    <w:top w:val="single" w:sz="6" w:space="0" w:color="auto"/>
                    <w:left w:val="single" w:sz="6" w:space="0" w:color="auto"/>
                    <w:bottom w:val="single" w:sz="6" w:space="0" w:color="auto"/>
                    <w:right w:val="single" w:sz="6" w:space="0" w:color="auto"/>
                  </w:tcBorders>
                  <w:vAlign w:val="center"/>
                </w:tcPr>
                <w:p w14:paraId="509722E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1224F1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C40B2B2"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491416E1"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22BE82C4" w14:textId="77777777" w:rsidR="00F76A63" w:rsidRDefault="00000000">
                  <w:pPr>
                    <w:jc w:val="center"/>
                    <w:rPr>
                      <w:bCs/>
                      <w:sz w:val="18"/>
                      <w:szCs w:val="18"/>
                    </w:rPr>
                  </w:pPr>
                  <w:r>
                    <w:rPr>
                      <w:bCs/>
                      <w:sz w:val="18"/>
                      <w:szCs w:val="18"/>
                    </w:rPr>
                    <w:t>常温</w:t>
                  </w:r>
                </w:p>
              </w:tc>
            </w:tr>
            <w:tr w:rsidR="00F76A63" w14:paraId="7E3AAE2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7D6D0C6" w14:textId="77777777" w:rsidR="00F76A63" w:rsidRDefault="00000000">
                  <w:pPr>
                    <w:jc w:val="center"/>
                    <w:rPr>
                      <w:bCs/>
                      <w:sz w:val="18"/>
                      <w:szCs w:val="18"/>
                    </w:rPr>
                  </w:pPr>
                  <w:r>
                    <w:rPr>
                      <w:bCs/>
                      <w:sz w:val="18"/>
                      <w:szCs w:val="18"/>
                    </w:rPr>
                    <w:t>DA079</w:t>
                  </w:r>
                </w:p>
              </w:tc>
              <w:tc>
                <w:tcPr>
                  <w:tcW w:w="785" w:type="pct"/>
                  <w:tcBorders>
                    <w:top w:val="single" w:sz="6" w:space="0" w:color="auto"/>
                    <w:left w:val="single" w:sz="6" w:space="0" w:color="auto"/>
                    <w:bottom w:val="single" w:sz="6" w:space="0" w:color="auto"/>
                    <w:right w:val="single" w:sz="6" w:space="0" w:color="auto"/>
                  </w:tcBorders>
                  <w:vAlign w:val="center"/>
                </w:tcPr>
                <w:p w14:paraId="771416D1" w14:textId="77777777" w:rsidR="00F76A63" w:rsidRDefault="00000000">
                  <w:pPr>
                    <w:jc w:val="center"/>
                    <w:rPr>
                      <w:bCs/>
                      <w:sz w:val="18"/>
                      <w:szCs w:val="18"/>
                    </w:rPr>
                  </w:pPr>
                  <w:r>
                    <w:rPr>
                      <w:bCs/>
                      <w:sz w:val="18"/>
                      <w:szCs w:val="18"/>
                    </w:rPr>
                    <w:t>1#</w:t>
                  </w:r>
                  <w:r>
                    <w:rPr>
                      <w:bCs/>
                      <w:sz w:val="18"/>
                      <w:szCs w:val="18"/>
                    </w:rPr>
                    <w:t>输送系统</w:t>
                  </w:r>
                  <w:r>
                    <w:rPr>
                      <w:bCs/>
                      <w:sz w:val="18"/>
                      <w:szCs w:val="18"/>
                    </w:rPr>
                    <w:t>5-1</w:t>
                  </w:r>
                </w:p>
              </w:tc>
              <w:tc>
                <w:tcPr>
                  <w:tcW w:w="1083" w:type="pct"/>
                  <w:tcBorders>
                    <w:top w:val="single" w:sz="6" w:space="0" w:color="auto"/>
                    <w:left w:val="single" w:sz="6" w:space="0" w:color="auto"/>
                    <w:bottom w:val="single" w:sz="6" w:space="0" w:color="auto"/>
                    <w:right w:val="single" w:sz="6" w:space="0" w:color="auto"/>
                  </w:tcBorders>
                  <w:vAlign w:val="center"/>
                </w:tcPr>
                <w:p w14:paraId="58BC4D6E"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AF3586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492CF97" w14:textId="77777777" w:rsidR="00F76A63" w:rsidRDefault="00000000">
                  <w:pPr>
                    <w:jc w:val="center"/>
                    <w:rPr>
                      <w:bCs/>
                      <w:sz w:val="18"/>
                      <w:szCs w:val="18"/>
                    </w:rPr>
                  </w:pPr>
                  <w:r>
                    <w:rPr>
                      <w:bCs/>
                      <w:sz w:val="18"/>
                      <w:szCs w:val="18"/>
                    </w:rPr>
                    <w:t>48</w:t>
                  </w:r>
                </w:p>
              </w:tc>
              <w:tc>
                <w:tcPr>
                  <w:tcW w:w="577" w:type="pct"/>
                  <w:tcBorders>
                    <w:top w:val="single" w:sz="6" w:space="0" w:color="auto"/>
                    <w:left w:val="single" w:sz="6" w:space="0" w:color="auto"/>
                    <w:bottom w:val="single" w:sz="6" w:space="0" w:color="auto"/>
                    <w:right w:val="single" w:sz="6" w:space="0" w:color="auto"/>
                  </w:tcBorders>
                  <w:vAlign w:val="center"/>
                </w:tcPr>
                <w:p w14:paraId="3F32B6D6"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179D07A3" w14:textId="77777777" w:rsidR="00F76A63" w:rsidRDefault="00000000">
                  <w:pPr>
                    <w:jc w:val="center"/>
                    <w:rPr>
                      <w:bCs/>
                      <w:sz w:val="18"/>
                      <w:szCs w:val="18"/>
                    </w:rPr>
                  </w:pPr>
                  <w:r>
                    <w:rPr>
                      <w:bCs/>
                      <w:sz w:val="18"/>
                      <w:szCs w:val="18"/>
                    </w:rPr>
                    <w:t>常温</w:t>
                  </w:r>
                </w:p>
              </w:tc>
            </w:tr>
            <w:tr w:rsidR="00F76A63" w14:paraId="1065763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C3852B5" w14:textId="77777777" w:rsidR="00F76A63" w:rsidRDefault="00000000">
                  <w:pPr>
                    <w:jc w:val="center"/>
                    <w:rPr>
                      <w:bCs/>
                      <w:sz w:val="18"/>
                      <w:szCs w:val="18"/>
                    </w:rPr>
                  </w:pPr>
                  <w:r>
                    <w:rPr>
                      <w:bCs/>
                      <w:sz w:val="18"/>
                      <w:szCs w:val="18"/>
                    </w:rPr>
                    <w:t>DA080</w:t>
                  </w:r>
                </w:p>
              </w:tc>
              <w:tc>
                <w:tcPr>
                  <w:tcW w:w="785" w:type="pct"/>
                  <w:tcBorders>
                    <w:top w:val="single" w:sz="6" w:space="0" w:color="auto"/>
                    <w:left w:val="single" w:sz="6" w:space="0" w:color="auto"/>
                    <w:bottom w:val="single" w:sz="6" w:space="0" w:color="auto"/>
                    <w:right w:val="single" w:sz="6" w:space="0" w:color="auto"/>
                  </w:tcBorders>
                  <w:vAlign w:val="center"/>
                </w:tcPr>
                <w:p w14:paraId="07C9AE51" w14:textId="77777777" w:rsidR="00F76A63" w:rsidRDefault="00000000">
                  <w:pPr>
                    <w:jc w:val="center"/>
                    <w:rPr>
                      <w:bCs/>
                      <w:sz w:val="18"/>
                      <w:szCs w:val="18"/>
                    </w:rPr>
                  </w:pPr>
                  <w:r>
                    <w:rPr>
                      <w:bCs/>
                      <w:sz w:val="18"/>
                      <w:szCs w:val="18"/>
                    </w:rPr>
                    <w:t>1#</w:t>
                  </w:r>
                  <w:r>
                    <w:rPr>
                      <w:bCs/>
                      <w:sz w:val="18"/>
                      <w:szCs w:val="18"/>
                    </w:rPr>
                    <w:t>生料库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5F31149E"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8F0DE4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B8BD3FC" w14:textId="77777777" w:rsidR="00F76A63" w:rsidRDefault="00000000">
                  <w:pPr>
                    <w:jc w:val="center"/>
                    <w:rPr>
                      <w:bCs/>
                      <w:sz w:val="18"/>
                      <w:szCs w:val="18"/>
                    </w:rPr>
                  </w:pPr>
                  <w:r>
                    <w:rPr>
                      <w:bCs/>
                      <w:sz w:val="18"/>
                      <w:szCs w:val="18"/>
                    </w:rPr>
                    <w:t>50</w:t>
                  </w:r>
                </w:p>
              </w:tc>
              <w:tc>
                <w:tcPr>
                  <w:tcW w:w="577" w:type="pct"/>
                  <w:tcBorders>
                    <w:top w:val="single" w:sz="6" w:space="0" w:color="auto"/>
                    <w:left w:val="single" w:sz="6" w:space="0" w:color="auto"/>
                    <w:bottom w:val="single" w:sz="6" w:space="0" w:color="auto"/>
                    <w:right w:val="single" w:sz="6" w:space="0" w:color="auto"/>
                  </w:tcBorders>
                  <w:vAlign w:val="center"/>
                </w:tcPr>
                <w:p w14:paraId="4E5038FF"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76A76F4B" w14:textId="77777777" w:rsidR="00F76A63" w:rsidRDefault="00000000">
                  <w:pPr>
                    <w:jc w:val="center"/>
                    <w:rPr>
                      <w:bCs/>
                      <w:sz w:val="18"/>
                      <w:szCs w:val="18"/>
                    </w:rPr>
                  </w:pPr>
                  <w:r>
                    <w:rPr>
                      <w:bCs/>
                      <w:sz w:val="18"/>
                      <w:szCs w:val="18"/>
                    </w:rPr>
                    <w:t>常温</w:t>
                  </w:r>
                </w:p>
              </w:tc>
            </w:tr>
            <w:tr w:rsidR="00F76A63" w14:paraId="1774FBCE"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F754ACA" w14:textId="77777777" w:rsidR="00F76A63" w:rsidRDefault="00000000">
                  <w:pPr>
                    <w:jc w:val="center"/>
                    <w:rPr>
                      <w:bCs/>
                      <w:sz w:val="18"/>
                      <w:szCs w:val="18"/>
                    </w:rPr>
                  </w:pPr>
                  <w:r>
                    <w:rPr>
                      <w:bCs/>
                      <w:sz w:val="18"/>
                      <w:szCs w:val="18"/>
                    </w:rPr>
                    <w:t>DA081</w:t>
                  </w:r>
                </w:p>
              </w:tc>
              <w:tc>
                <w:tcPr>
                  <w:tcW w:w="785" w:type="pct"/>
                  <w:tcBorders>
                    <w:top w:val="single" w:sz="6" w:space="0" w:color="auto"/>
                    <w:left w:val="single" w:sz="6" w:space="0" w:color="auto"/>
                    <w:bottom w:val="single" w:sz="6" w:space="0" w:color="auto"/>
                    <w:right w:val="single" w:sz="6" w:space="0" w:color="auto"/>
                  </w:tcBorders>
                  <w:vAlign w:val="center"/>
                </w:tcPr>
                <w:p w14:paraId="71C2F84D" w14:textId="77777777" w:rsidR="00F76A63" w:rsidRDefault="00000000">
                  <w:pPr>
                    <w:jc w:val="center"/>
                    <w:rPr>
                      <w:bCs/>
                      <w:sz w:val="18"/>
                      <w:szCs w:val="18"/>
                    </w:rPr>
                  </w:pPr>
                  <w:r>
                    <w:rPr>
                      <w:bCs/>
                      <w:sz w:val="18"/>
                      <w:szCs w:val="18"/>
                    </w:rPr>
                    <w:t>1#</w:t>
                  </w:r>
                  <w:r>
                    <w:rPr>
                      <w:bCs/>
                      <w:sz w:val="18"/>
                      <w:szCs w:val="18"/>
                    </w:rPr>
                    <w:t>装船机悬臂</w:t>
                  </w:r>
                </w:p>
              </w:tc>
              <w:tc>
                <w:tcPr>
                  <w:tcW w:w="1083" w:type="pct"/>
                  <w:tcBorders>
                    <w:top w:val="single" w:sz="6" w:space="0" w:color="auto"/>
                    <w:left w:val="single" w:sz="6" w:space="0" w:color="auto"/>
                    <w:bottom w:val="single" w:sz="6" w:space="0" w:color="auto"/>
                    <w:right w:val="single" w:sz="6" w:space="0" w:color="auto"/>
                  </w:tcBorders>
                  <w:vAlign w:val="center"/>
                </w:tcPr>
                <w:p w14:paraId="5FBCA8C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3A35EB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D756175" w14:textId="77777777" w:rsidR="00F76A63" w:rsidRDefault="00000000">
                  <w:pPr>
                    <w:jc w:val="center"/>
                    <w:rPr>
                      <w:bCs/>
                      <w:sz w:val="18"/>
                      <w:szCs w:val="18"/>
                    </w:rPr>
                  </w:pPr>
                  <w:r>
                    <w:rPr>
                      <w:bCs/>
                      <w:sz w:val="18"/>
                      <w:szCs w:val="18"/>
                    </w:rPr>
                    <w:t>16</w:t>
                  </w:r>
                </w:p>
              </w:tc>
              <w:tc>
                <w:tcPr>
                  <w:tcW w:w="577" w:type="pct"/>
                  <w:tcBorders>
                    <w:top w:val="single" w:sz="6" w:space="0" w:color="auto"/>
                    <w:left w:val="single" w:sz="6" w:space="0" w:color="auto"/>
                    <w:bottom w:val="single" w:sz="6" w:space="0" w:color="auto"/>
                    <w:right w:val="single" w:sz="6" w:space="0" w:color="auto"/>
                  </w:tcBorders>
                  <w:vAlign w:val="center"/>
                </w:tcPr>
                <w:p w14:paraId="6B288A36"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D4B291D" w14:textId="77777777" w:rsidR="00F76A63" w:rsidRDefault="00000000">
                  <w:pPr>
                    <w:jc w:val="center"/>
                    <w:rPr>
                      <w:bCs/>
                      <w:sz w:val="18"/>
                      <w:szCs w:val="18"/>
                    </w:rPr>
                  </w:pPr>
                  <w:r>
                    <w:rPr>
                      <w:bCs/>
                      <w:sz w:val="18"/>
                      <w:szCs w:val="18"/>
                    </w:rPr>
                    <w:t>常温</w:t>
                  </w:r>
                </w:p>
              </w:tc>
            </w:tr>
            <w:tr w:rsidR="00F76A63" w14:paraId="04443C7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DECBF23" w14:textId="77777777" w:rsidR="00F76A63" w:rsidRDefault="00000000">
                  <w:pPr>
                    <w:jc w:val="center"/>
                    <w:rPr>
                      <w:bCs/>
                      <w:sz w:val="18"/>
                      <w:szCs w:val="18"/>
                    </w:rPr>
                  </w:pPr>
                  <w:r>
                    <w:rPr>
                      <w:bCs/>
                      <w:sz w:val="18"/>
                      <w:szCs w:val="18"/>
                    </w:rPr>
                    <w:t>DA082</w:t>
                  </w:r>
                </w:p>
              </w:tc>
              <w:tc>
                <w:tcPr>
                  <w:tcW w:w="785" w:type="pct"/>
                  <w:tcBorders>
                    <w:top w:val="single" w:sz="6" w:space="0" w:color="auto"/>
                    <w:left w:val="single" w:sz="6" w:space="0" w:color="auto"/>
                    <w:bottom w:val="single" w:sz="6" w:space="0" w:color="auto"/>
                    <w:right w:val="single" w:sz="6" w:space="0" w:color="auto"/>
                  </w:tcBorders>
                  <w:vAlign w:val="center"/>
                </w:tcPr>
                <w:p w14:paraId="7E6D8F7B" w14:textId="77777777" w:rsidR="00F76A63" w:rsidRDefault="00000000">
                  <w:pPr>
                    <w:jc w:val="center"/>
                    <w:rPr>
                      <w:bCs/>
                      <w:sz w:val="18"/>
                      <w:szCs w:val="18"/>
                    </w:rPr>
                  </w:pPr>
                  <w:r>
                    <w:rPr>
                      <w:bCs/>
                      <w:sz w:val="18"/>
                      <w:szCs w:val="18"/>
                    </w:rPr>
                    <w:t>1#</w:t>
                  </w:r>
                  <w:r>
                    <w:rPr>
                      <w:bCs/>
                      <w:sz w:val="18"/>
                      <w:szCs w:val="18"/>
                    </w:rPr>
                    <w:t>水泥库底</w:t>
                  </w:r>
                </w:p>
              </w:tc>
              <w:tc>
                <w:tcPr>
                  <w:tcW w:w="1083" w:type="pct"/>
                  <w:tcBorders>
                    <w:top w:val="single" w:sz="6" w:space="0" w:color="auto"/>
                    <w:left w:val="single" w:sz="6" w:space="0" w:color="auto"/>
                    <w:bottom w:val="single" w:sz="6" w:space="0" w:color="auto"/>
                    <w:right w:val="single" w:sz="6" w:space="0" w:color="auto"/>
                  </w:tcBorders>
                  <w:vAlign w:val="center"/>
                </w:tcPr>
                <w:p w14:paraId="4C2665EE"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8214C3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0763512" w14:textId="77777777" w:rsidR="00F76A63" w:rsidRDefault="00000000">
                  <w:pPr>
                    <w:jc w:val="center"/>
                    <w:rPr>
                      <w:bCs/>
                      <w:sz w:val="18"/>
                      <w:szCs w:val="18"/>
                    </w:rPr>
                  </w:pPr>
                  <w:r>
                    <w:rPr>
                      <w:bCs/>
                      <w:sz w:val="18"/>
                      <w:szCs w:val="18"/>
                    </w:rPr>
                    <w:t>5.6</w:t>
                  </w:r>
                </w:p>
              </w:tc>
              <w:tc>
                <w:tcPr>
                  <w:tcW w:w="577" w:type="pct"/>
                  <w:tcBorders>
                    <w:top w:val="single" w:sz="6" w:space="0" w:color="auto"/>
                    <w:left w:val="single" w:sz="6" w:space="0" w:color="auto"/>
                    <w:bottom w:val="single" w:sz="6" w:space="0" w:color="auto"/>
                    <w:right w:val="single" w:sz="6" w:space="0" w:color="auto"/>
                  </w:tcBorders>
                  <w:vAlign w:val="center"/>
                </w:tcPr>
                <w:p w14:paraId="41DED1E0"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C264C27" w14:textId="77777777" w:rsidR="00F76A63" w:rsidRDefault="00000000">
                  <w:pPr>
                    <w:jc w:val="center"/>
                    <w:rPr>
                      <w:bCs/>
                      <w:sz w:val="18"/>
                      <w:szCs w:val="18"/>
                    </w:rPr>
                  </w:pPr>
                  <w:r>
                    <w:rPr>
                      <w:bCs/>
                      <w:sz w:val="18"/>
                      <w:szCs w:val="18"/>
                    </w:rPr>
                    <w:t>常温</w:t>
                  </w:r>
                </w:p>
              </w:tc>
            </w:tr>
            <w:tr w:rsidR="00F76A63" w14:paraId="569976F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8D0D2A9" w14:textId="77777777" w:rsidR="00F76A63" w:rsidRDefault="00000000">
                  <w:pPr>
                    <w:jc w:val="center"/>
                    <w:rPr>
                      <w:bCs/>
                      <w:sz w:val="18"/>
                      <w:szCs w:val="18"/>
                    </w:rPr>
                  </w:pPr>
                  <w:r>
                    <w:rPr>
                      <w:bCs/>
                      <w:sz w:val="18"/>
                      <w:szCs w:val="18"/>
                    </w:rPr>
                    <w:lastRenderedPageBreak/>
                    <w:t>DA083</w:t>
                  </w:r>
                </w:p>
              </w:tc>
              <w:tc>
                <w:tcPr>
                  <w:tcW w:w="785" w:type="pct"/>
                  <w:tcBorders>
                    <w:top w:val="single" w:sz="6" w:space="0" w:color="auto"/>
                    <w:left w:val="single" w:sz="6" w:space="0" w:color="auto"/>
                    <w:bottom w:val="single" w:sz="6" w:space="0" w:color="auto"/>
                    <w:right w:val="single" w:sz="6" w:space="0" w:color="auto"/>
                  </w:tcBorders>
                  <w:vAlign w:val="center"/>
                </w:tcPr>
                <w:p w14:paraId="0E2E7C08" w14:textId="77777777" w:rsidR="00F76A63" w:rsidRDefault="00000000">
                  <w:pPr>
                    <w:jc w:val="center"/>
                    <w:rPr>
                      <w:bCs/>
                      <w:sz w:val="18"/>
                      <w:szCs w:val="18"/>
                    </w:rPr>
                  </w:pPr>
                  <w:r>
                    <w:rPr>
                      <w:bCs/>
                      <w:sz w:val="18"/>
                      <w:szCs w:val="18"/>
                    </w:rPr>
                    <w:t>2#</w:t>
                  </w:r>
                  <w:r>
                    <w:rPr>
                      <w:bCs/>
                      <w:sz w:val="18"/>
                      <w:szCs w:val="18"/>
                    </w:rPr>
                    <w:t>水泥库底</w:t>
                  </w:r>
                </w:p>
              </w:tc>
              <w:tc>
                <w:tcPr>
                  <w:tcW w:w="1083" w:type="pct"/>
                  <w:tcBorders>
                    <w:top w:val="single" w:sz="6" w:space="0" w:color="auto"/>
                    <w:left w:val="single" w:sz="6" w:space="0" w:color="auto"/>
                    <w:bottom w:val="single" w:sz="6" w:space="0" w:color="auto"/>
                    <w:right w:val="single" w:sz="6" w:space="0" w:color="auto"/>
                  </w:tcBorders>
                  <w:vAlign w:val="center"/>
                </w:tcPr>
                <w:p w14:paraId="2859023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9B5EFF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3C47CC0" w14:textId="77777777" w:rsidR="00F76A63" w:rsidRDefault="00000000">
                  <w:pPr>
                    <w:jc w:val="center"/>
                    <w:rPr>
                      <w:bCs/>
                      <w:sz w:val="18"/>
                      <w:szCs w:val="18"/>
                    </w:rPr>
                  </w:pPr>
                  <w:r>
                    <w:rPr>
                      <w:bCs/>
                      <w:sz w:val="18"/>
                      <w:szCs w:val="18"/>
                    </w:rPr>
                    <w:t>5.6</w:t>
                  </w:r>
                </w:p>
              </w:tc>
              <w:tc>
                <w:tcPr>
                  <w:tcW w:w="577" w:type="pct"/>
                  <w:tcBorders>
                    <w:top w:val="single" w:sz="6" w:space="0" w:color="auto"/>
                    <w:left w:val="single" w:sz="6" w:space="0" w:color="auto"/>
                    <w:bottom w:val="single" w:sz="6" w:space="0" w:color="auto"/>
                    <w:right w:val="single" w:sz="6" w:space="0" w:color="auto"/>
                  </w:tcBorders>
                  <w:vAlign w:val="center"/>
                </w:tcPr>
                <w:p w14:paraId="33F2A24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7E49218F" w14:textId="77777777" w:rsidR="00F76A63" w:rsidRDefault="00000000">
                  <w:pPr>
                    <w:jc w:val="center"/>
                    <w:rPr>
                      <w:bCs/>
                      <w:sz w:val="18"/>
                      <w:szCs w:val="18"/>
                    </w:rPr>
                  </w:pPr>
                  <w:r>
                    <w:rPr>
                      <w:bCs/>
                      <w:sz w:val="18"/>
                      <w:szCs w:val="18"/>
                    </w:rPr>
                    <w:t>常温</w:t>
                  </w:r>
                </w:p>
              </w:tc>
            </w:tr>
            <w:tr w:rsidR="00F76A63" w14:paraId="2B7D315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876B47B" w14:textId="77777777" w:rsidR="00F76A63" w:rsidRDefault="00000000">
                  <w:pPr>
                    <w:jc w:val="center"/>
                    <w:rPr>
                      <w:bCs/>
                      <w:sz w:val="18"/>
                      <w:szCs w:val="18"/>
                    </w:rPr>
                  </w:pPr>
                  <w:r>
                    <w:rPr>
                      <w:bCs/>
                      <w:sz w:val="18"/>
                      <w:szCs w:val="18"/>
                    </w:rPr>
                    <w:t>DA084</w:t>
                  </w:r>
                </w:p>
              </w:tc>
              <w:tc>
                <w:tcPr>
                  <w:tcW w:w="785" w:type="pct"/>
                  <w:tcBorders>
                    <w:top w:val="single" w:sz="6" w:space="0" w:color="auto"/>
                    <w:left w:val="single" w:sz="6" w:space="0" w:color="auto"/>
                    <w:bottom w:val="single" w:sz="6" w:space="0" w:color="auto"/>
                    <w:right w:val="single" w:sz="6" w:space="0" w:color="auto"/>
                  </w:tcBorders>
                  <w:vAlign w:val="center"/>
                </w:tcPr>
                <w:p w14:paraId="5CF6B417" w14:textId="77777777" w:rsidR="00F76A63" w:rsidRDefault="00000000">
                  <w:pPr>
                    <w:jc w:val="center"/>
                    <w:rPr>
                      <w:bCs/>
                      <w:sz w:val="18"/>
                      <w:szCs w:val="18"/>
                    </w:rPr>
                  </w:pPr>
                  <w:r>
                    <w:rPr>
                      <w:bCs/>
                      <w:sz w:val="18"/>
                      <w:szCs w:val="18"/>
                    </w:rPr>
                    <w:t>2#</w:t>
                  </w:r>
                  <w:r>
                    <w:rPr>
                      <w:bCs/>
                      <w:sz w:val="18"/>
                      <w:szCs w:val="18"/>
                    </w:rPr>
                    <w:t>粉煤灰库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7F67B54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8A2B70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554EED9"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465BCA1B" w14:textId="77777777" w:rsidR="00F76A63" w:rsidRDefault="00000000">
                  <w:pPr>
                    <w:jc w:val="center"/>
                    <w:rPr>
                      <w:bCs/>
                      <w:sz w:val="18"/>
                      <w:szCs w:val="18"/>
                    </w:rPr>
                  </w:pPr>
                  <w:r>
                    <w:rPr>
                      <w:bCs/>
                      <w:sz w:val="18"/>
                      <w:szCs w:val="18"/>
                    </w:rPr>
                    <w:t>0.35</w:t>
                  </w:r>
                </w:p>
              </w:tc>
              <w:tc>
                <w:tcPr>
                  <w:tcW w:w="445" w:type="pct"/>
                  <w:tcBorders>
                    <w:top w:val="single" w:sz="6" w:space="0" w:color="auto"/>
                    <w:left w:val="single" w:sz="6" w:space="0" w:color="auto"/>
                    <w:bottom w:val="single" w:sz="6" w:space="0" w:color="auto"/>
                    <w:right w:val="nil"/>
                  </w:tcBorders>
                  <w:vAlign w:val="center"/>
                </w:tcPr>
                <w:p w14:paraId="4A654E64" w14:textId="77777777" w:rsidR="00F76A63" w:rsidRDefault="00000000">
                  <w:pPr>
                    <w:jc w:val="center"/>
                    <w:rPr>
                      <w:bCs/>
                      <w:sz w:val="18"/>
                      <w:szCs w:val="18"/>
                    </w:rPr>
                  </w:pPr>
                  <w:r>
                    <w:rPr>
                      <w:bCs/>
                      <w:sz w:val="18"/>
                      <w:szCs w:val="18"/>
                    </w:rPr>
                    <w:t>常温</w:t>
                  </w:r>
                </w:p>
              </w:tc>
            </w:tr>
            <w:tr w:rsidR="00F76A63" w14:paraId="16D1495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CDA965E" w14:textId="77777777" w:rsidR="00F76A63" w:rsidRDefault="00000000">
                  <w:pPr>
                    <w:jc w:val="center"/>
                    <w:rPr>
                      <w:bCs/>
                      <w:sz w:val="18"/>
                      <w:szCs w:val="18"/>
                    </w:rPr>
                  </w:pPr>
                  <w:r>
                    <w:rPr>
                      <w:bCs/>
                      <w:sz w:val="18"/>
                      <w:szCs w:val="18"/>
                    </w:rPr>
                    <w:t>DA085</w:t>
                  </w:r>
                </w:p>
              </w:tc>
              <w:tc>
                <w:tcPr>
                  <w:tcW w:w="785" w:type="pct"/>
                  <w:tcBorders>
                    <w:top w:val="single" w:sz="6" w:space="0" w:color="auto"/>
                    <w:left w:val="single" w:sz="6" w:space="0" w:color="auto"/>
                    <w:bottom w:val="single" w:sz="6" w:space="0" w:color="auto"/>
                    <w:right w:val="single" w:sz="6" w:space="0" w:color="auto"/>
                  </w:tcBorders>
                  <w:vAlign w:val="center"/>
                </w:tcPr>
                <w:p w14:paraId="68C78417" w14:textId="77777777" w:rsidR="00F76A63" w:rsidRDefault="00000000">
                  <w:pPr>
                    <w:jc w:val="center"/>
                    <w:rPr>
                      <w:bCs/>
                      <w:sz w:val="18"/>
                      <w:szCs w:val="18"/>
                    </w:rPr>
                  </w:pPr>
                  <w:r>
                    <w:rPr>
                      <w:bCs/>
                      <w:sz w:val="18"/>
                      <w:szCs w:val="18"/>
                    </w:rPr>
                    <w:t>3#</w:t>
                  </w:r>
                  <w:r>
                    <w:rPr>
                      <w:bCs/>
                      <w:sz w:val="18"/>
                      <w:szCs w:val="18"/>
                    </w:rPr>
                    <w:t>水泥库底</w:t>
                  </w:r>
                </w:p>
              </w:tc>
              <w:tc>
                <w:tcPr>
                  <w:tcW w:w="1083" w:type="pct"/>
                  <w:tcBorders>
                    <w:top w:val="single" w:sz="6" w:space="0" w:color="auto"/>
                    <w:left w:val="single" w:sz="6" w:space="0" w:color="auto"/>
                    <w:bottom w:val="single" w:sz="6" w:space="0" w:color="auto"/>
                    <w:right w:val="single" w:sz="6" w:space="0" w:color="auto"/>
                  </w:tcBorders>
                  <w:vAlign w:val="center"/>
                </w:tcPr>
                <w:p w14:paraId="49234E9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A8A770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D044923" w14:textId="77777777" w:rsidR="00F76A63" w:rsidRDefault="00000000">
                  <w:pPr>
                    <w:jc w:val="center"/>
                    <w:rPr>
                      <w:bCs/>
                      <w:sz w:val="18"/>
                      <w:szCs w:val="18"/>
                    </w:rPr>
                  </w:pPr>
                  <w:r>
                    <w:rPr>
                      <w:bCs/>
                      <w:sz w:val="18"/>
                      <w:szCs w:val="18"/>
                    </w:rPr>
                    <w:t>5.6</w:t>
                  </w:r>
                </w:p>
              </w:tc>
              <w:tc>
                <w:tcPr>
                  <w:tcW w:w="577" w:type="pct"/>
                  <w:tcBorders>
                    <w:top w:val="single" w:sz="6" w:space="0" w:color="auto"/>
                    <w:left w:val="single" w:sz="6" w:space="0" w:color="auto"/>
                    <w:bottom w:val="single" w:sz="6" w:space="0" w:color="auto"/>
                    <w:right w:val="single" w:sz="6" w:space="0" w:color="auto"/>
                  </w:tcBorders>
                  <w:vAlign w:val="center"/>
                </w:tcPr>
                <w:p w14:paraId="0876B383"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CD15C5D" w14:textId="77777777" w:rsidR="00F76A63" w:rsidRDefault="00000000">
                  <w:pPr>
                    <w:jc w:val="center"/>
                    <w:rPr>
                      <w:bCs/>
                      <w:sz w:val="18"/>
                      <w:szCs w:val="18"/>
                    </w:rPr>
                  </w:pPr>
                  <w:r>
                    <w:rPr>
                      <w:bCs/>
                      <w:sz w:val="18"/>
                      <w:szCs w:val="18"/>
                    </w:rPr>
                    <w:t>常温</w:t>
                  </w:r>
                </w:p>
              </w:tc>
            </w:tr>
            <w:tr w:rsidR="00F76A63" w14:paraId="58EC92E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5F70AC8" w14:textId="77777777" w:rsidR="00F76A63" w:rsidRDefault="00000000">
                  <w:pPr>
                    <w:jc w:val="center"/>
                    <w:rPr>
                      <w:bCs/>
                      <w:sz w:val="18"/>
                      <w:szCs w:val="18"/>
                    </w:rPr>
                  </w:pPr>
                  <w:r>
                    <w:rPr>
                      <w:bCs/>
                      <w:sz w:val="18"/>
                      <w:szCs w:val="18"/>
                    </w:rPr>
                    <w:t>DA086</w:t>
                  </w:r>
                </w:p>
              </w:tc>
              <w:tc>
                <w:tcPr>
                  <w:tcW w:w="785" w:type="pct"/>
                  <w:tcBorders>
                    <w:top w:val="single" w:sz="6" w:space="0" w:color="auto"/>
                    <w:left w:val="single" w:sz="6" w:space="0" w:color="auto"/>
                    <w:bottom w:val="single" w:sz="6" w:space="0" w:color="auto"/>
                    <w:right w:val="single" w:sz="6" w:space="0" w:color="auto"/>
                  </w:tcBorders>
                  <w:vAlign w:val="center"/>
                </w:tcPr>
                <w:p w14:paraId="216590BF" w14:textId="77777777" w:rsidR="00F76A63" w:rsidRDefault="00000000">
                  <w:pPr>
                    <w:jc w:val="center"/>
                    <w:rPr>
                      <w:bCs/>
                      <w:sz w:val="18"/>
                      <w:szCs w:val="18"/>
                    </w:rPr>
                  </w:pPr>
                  <w:r>
                    <w:rPr>
                      <w:bCs/>
                      <w:sz w:val="18"/>
                      <w:szCs w:val="18"/>
                    </w:rPr>
                    <w:t>4#</w:t>
                  </w:r>
                  <w:r>
                    <w:rPr>
                      <w:bCs/>
                      <w:sz w:val="18"/>
                      <w:szCs w:val="18"/>
                    </w:rPr>
                    <w:t>水泥库底</w:t>
                  </w:r>
                </w:p>
              </w:tc>
              <w:tc>
                <w:tcPr>
                  <w:tcW w:w="1083" w:type="pct"/>
                  <w:tcBorders>
                    <w:top w:val="single" w:sz="6" w:space="0" w:color="auto"/>
                    <w:left w:val="single" w:sz="6" w:space="0" w:color="auto"/>
                    <w:bottom w:val="single" w:sz="6" w:space="0" w:color="auto"/>
                    <w:right w:val="single" w:sz="6" w:space="0" w:color="auto"/>
                  </w:tcBorders>
                  <w:vAlign w:val="center"/>
                </w:tcPr>
                <w:p w14:paraId="506EAD0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0F1B85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43AD687" w14:textId="77777777" w:rsidR="00F76A63" w:rsidRDefault="00000000">
                  <w:pPr>
                    <w:jc w:val="center"/>
                    <w:rPr>
                      <w:bCs/>
                      <w:sz w:val="18"/>
                      <w:szCs w:val="18"/>
                    </w:rPr>
                  </w:pPr>
                  <w:r>
                    <w:rPr>
                      <w:bCs/>
                      <w:sz w:val="18"/>
                      <w:szCs w:val="18"/>
                    </w:rPr>
                    <w:t>5.6</w:t>
                  </w:r>
                </w:p>
              </w:tc>
              <w:tc>
                <w:tcPr>
                  <w:tcW w:w="577" w:type="pct"/>
                  <w:tcBorders>
                    <w:top w:val="single" w:sz="6" w:space="0" w:color="auto"/>
                    <w:left w:val="single" w:sz="6" w:space="0" w:color="auto"/>
                    <w:bottom w:val="single" w:sz="6" w:space="0" w:color="auto"/>
                    <w:right w:val="single" w:sz="6" w:space="0" w:color="auto"/>
                  </w:tcBorders>
                  <w:vAlign w:val="center"/>
                </w:tcPr>
                <w:p w14:paraId="3044AD7E"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5C09A4E" w14:textId="77777777" w:rsidR="00F76A63" w:rsidRDefault="00000000">
                  <w:pPr>
                    <w:jc w:val="center"/>
                    <w:rPr>
                      <w:bCs/>
                      <w:sz w:val="18"/>
                      <w:szCs w:val="18"/>
                    </w:rPr>
                  </w:pPr>
                  <w:r>
                    <w:rPr>
                      <w:bCs/>
                      <w:sz w:val="18"/>
                      <w:szCs w:val="18"/>
                    </w:rPr>
                    <w:t>常温</w:t>
                  </w:r>
                </w:p>
              </w:tc>
            </w:tr>
            <w:tr w:rsidR="00F76A63" w14:paraId="5823D17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6CB94D6" w14:textId="77777777" w:rsidR="00F76A63" w:rsidRDefault="00000000">
                  <w:pPr>
                    <w:jc w:val="center"/>
                    <w:rPr>
                      <w:bCs/>
                      <w:sz w:val="18"/>
                      <w:szCs w:val="18"/>
                    </w:rPr>
                  </w:pPr>
                  <w:r>
                    <w:rPr>
                      <w:bCs/>
                      <w:sz w:val="18"/>
                      <w:szCs w:val="18"/>
                    </w:rPr>
                    <w:t>DA087</w:t>
                  </w:r>
                </w:p>
              </w:tc>
              <w:tc>
                <w:tcPr>
                  <w:tcW w:w="785" w:type="pct"/>
                  <w:tcBorders>
                    <w:top w:val="single" w:sz="6" w:space="0" w:color="auto"/>
                    <w:left w:val="single" w:sz="6" w:space="0" w:color="auto"/>
                    <w:bottom w:val="single" w:sz="6" w:space="0" w:color="auto"/>
                    <w:right w:val="single" w:sz="6" w:space="0" w:color="auto"/>
                  </w:tcBorders>
                  <w:vAlign w:val="center"/>
                </w:tcPr>
                <w:p w14:paraId="4B199A14" w14:textId="77777777" w:rsidR="00F76A63" w:rsidRDefault="00000000">
                  <w:pPr>
                    <w:jc w:val="center"/>
                    <w:rPr>
                      <w:bCs/>
                      <w:sz w:val="18"/>
                      <w:szCs w:val="18"/>
                    </w:rPr>
                  </w:pPr>
                  <w:r>
                    <w:rPr>
                      <w:bCs/>
                      <w:sz w:val="18"/>
                      <w:szCs w:val="18"/>
                    </w:rPr>
                    <w:t>600T</w:t>
                  </w:r>
                  <w:r>
                    <w:rPr>
                      <w:bCs/>
                      <w:sz w:val="18"/>
                      <w:szCs w:val="18"/>
                    </w:rPr>
                    <w:t>仓</w:t>
                  </w:r>
                </w:p>
              </w:tc>
              <w:tc>
                <w:tcPr>
                  <w:tcW w:w="1083" w:type="pct"/>
                  <w:tcBorders>
                    <w:top w:val="single" w:sz="6" w:space="0" w:color="auto"/>
                    <w:left w:val="single" w:sz="6" w:space="0" w:color="auto"/>
                    <w:bottom w:val="single" w:sz="6" w:space="0" w:color="auto"/>
                    <w:right w:val="single" w:sz="6" w:space="0" w:color="auto"/>
                  </w:tcBorders>
                  <w:vAlign w:val="center"/>
                </w:tcPr>
                <w:p w14:paraId="3038BDE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BDAB33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01B2751" w14:textId="77777777" w:rsidR="00F76A63" w:rsidRDefault="00000000">
                  <w:pPr>
                    <w:jc w:val="center"/>
                    <w:rPr>
                      <w:bCs/>
                      <w:sz w:val="18"/>
                      <w:szCs w:val="18"/>
                    </w:rPr>
                  </w:pPr>
                  <w:r>
                    <w:rPr>
                      <w:bCs/>
                      <w:sz w:val="18"/>
                      <w:szCs w:val="18"/>
                    </w:rPr>
                    <w:t>22</w:t>
                  </w:r>
                </w:p>
              </w:tc>
              <w:tc>
                <w:tcPr>
                  <w:tcW w:w="577" w:type="pct"/>
                  <w:tcBorders>
                    <w:top w:val="single" w:sz="6" w:space="0" w:color="auto"/>
                    <w:left w:val="single" w:sz="6" w:space="0" w:color="auto"/>
                    <w:bottom w:val="single" w:sz="6" w:space="0" w:color="auto"/>
                    <w:right w:val="single" w:sz="6" w:space="0" w:color="auto"/>
                  </w:tcBorders>
                  <w:vAlign w:val="center"/>
                </w:tcPr>
                <w:p w14:paraId="0CC02772"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2B5EBCC" w14:textId="77777777" w:rsidR="00F76A63" w:rsidRDefault="00000000">
                  <w:pPr>
                    <w:jc w:val="center"/>
                    <w:rPr>
                      <w:bCs/>
                      <w:sz w:val="18"/>
                      <w:szCs w:val="18"/>
                    </w:rPr>
                  </w:pPr>
                  <w:r>
                    <w:rPr>
                      <w:bCs/>
                      <w:sz w:val="18"/>
                      <w:szCs w:val="18"/>
                    </w:rPr>
                    <w:t>常温</w:t>
                  </w:r>
                </w:p>
              </w:tc>
            </w:tr>
            <w:tr w:rsidR="00F76A63" w14:paraId="52D787A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127B2B2" w14:textId="77777777" w:rsidR="00F76A63" w:rsidRDefault="00000000">
                  <w:pPr>
                    <w:jc w:val="center"/>
                    <w:rPr>
                      <w:bCs/>
                      <w:sz w:val="18"/>
                      <w:szCs w:val="18"/>
                    </w:rPr>
                  </w:pPr>
                  <w:r>
                    <w:rPr>
                      <w:bCs/>
                      <w:sz w:val="18"/>
                      <w:szCs w:val="18"/>
                    </w:rPr>
                    <w:t>DA088</w:t>
                  </w:r>
                </w:p>
              </w:tc>
              <w:tc>
                <w:tcPr>
                  <w:tcW w:w="785" w:type="pct"/>
                  <w:tcBorders>
                    <w:top w:val="single" w:sz="6" w:space="0" w:color="auto"/>
                    <w:left w:val="single" w:sz="6" w:space="0" w:color="auto"/>
                    <w:bottom w:val="single" w:sz="6" w:space="0" w:color="auto"/>
                    <w:right w:val="single" w:sz="6" w:space="0" w:color="auto"/>
                  </w:tcBorders>
                  <w:vAlign w:val="center"/>
                </w:tcPr>
                <w:p w14:paraId="1AFF4928" w14:textId="77777777" w:rsidR="00F76A63" w:rsidRDefault="00000000">
                  <w:pPr>
                    <w:jc w:val="center"/>
                    <w:rPr>
                      <w:bCs/>
                      <w:sz w:val="18"/>
                      <w:szCs w:val="18"/>
                    </w:rPr>
                  </w:pPr>
                  <w:r>
                    <w:rPr>
                      <w:bCs/>
                      <w:sz w:val="18"/>
                      <w:szCs w:val="18"/>
                    </w:rPr>
                    <w:t>1#</w:t>
                  </w:r>
                  <w:r>
                    <w:rPr>
                      <w:bCs/>
                      <w:sz w:val="18"/>
                      <w:szCs w:val="18"/>
                    </w:rPr>
                    <w:t>粉煤灰库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4EA64BF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CBDF53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E7408D4"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4483976A" w14:textId="77777777" w:rsidR="00F76A63" w:rsidRDefault="00000000">
                  <w:pPr>
                    <w:jc w:val="center"/>
                    <w:rPr>
                      <w:bCs/>
                      <w:sz w:val="18"/>
                      <w:szCs w:val="18"/>
                    </w:rPr>
                  </w:pPr>
                  <w:r>
                    <w:rPr>
                      <w:bCs/>
                      <w:sz w:val="18"/>
                      <w:szCs w:val="18"/>
                    </w:rPr>
                    <w:t>0.35</w:t>
                  </w:r>
                </w:p>
              </w:tc>
              <w:tc>
                <w:tcPr>
                  <w:tcW w:w="445" w:type="pct"/>
                  <w:tcBorders>
                    <w:top w:val="single" w:sz="6" w:space="0" w:color="auto"/>
                    <w:left w:val="single" w:sz="6" w:space="0" w:color="auto"/>
                    <w:bottom w:val="single" w:sz="6" w:space="0" w:color="auto"/>
                    <w:right w:val="nil"/>
                  </w:tcBorders>
                  <w:vAlign w:val="center"/>
                </w:tcPr>
                <w:p w14:paraId="075494A7" w14:textId="77777777" w:rsidR="00F76A63" w:rsidRDefault="00000000">
                  <w:pPr>
                    <w:jc w:val="center"/>
                    <w:rPr>
                      <w:bCs/>
                      <w:sz w:val="18"/>
                      <w:szCs w:val="18"/>
                    </w:rPr>
                  </w:pPr>
                  <w:r>
                    <w:rPr>
                      <w:bCs/>
                      <w:sz w:val="18"/>
                      <w:szCs w:val="18"/>
                    </w:rPr>
                    <w:t>常温</w:t>
                  </w:r>
                </w:p>
              </w:tc>
            </w:tr>
            <w:tr w:rsidR="00F76A63" w14:paraId="45F3521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17C32B1" w14:textId="77777777" w:rsidR="00F76A63" w:rsidRDefault="00000000">
                  <w:pPr>
                    <w:jc w:val="center"/>
                    <w:rPr>
                      <w:bCs/>
                      <w:sz w:val="18"/>
                      <w:szCs w:val="18"/>
                    </w:rPr>
                  </w:pPr>
                  <w:r>
                    <w:rPr>
                      <w:bCs/>
                      <w:sz w:val="18"/>
                      <w:szCs w:val="18"/>
                    </w:rPr>
                    <w:t>DA089</w:t>
                  </w:r>
                </w:p>
              </w:tc>
              <w:tc>
                <w:tcPr>
                  <w:tcW w:w="785" w:type="pct"/>
                  <w:tcBorders>
                    <w:top w:val="single" w:sz="6" w:space="0" w:color="auto"/>
                    <w:left w:val="single" w:sz="6" w:space="0" w:color="auto"/>
                    <w:bottom w:val="single" w:sz="6" w:space="0" w:color="auto"/>
                    <w:right w:val="single" w:sz="6" w:space="0" w:color="auto"/>
                  </w:tcBorders>
                  <w:vAlign w:val="center"/>
                </w:tcPr>
                <w:p w14:paraId="04B1710B" w14:textId="77777777" w:rsidR="00F76A63" w:rsidRDefault="00000000">
                  <w:pPr>
                    <w:jc w:val="center"/>
                    <w:rPr>
                      <w:bCs/>
                      <w:sz w:val="18"/>
                      <w:szCs w:val="18"/>
                    </w:rPr>
                  </w:pPr>
                  <w:r>
                    <w:rPr>
                      <w:bCs/>
                      <w:sz w:val="18"/>
                      <w:szCs w:val="18"/>
                    </w:rPr>
                    <w:t>5#</w:t>
                  </w:r>
                  <w:r>
                    <w:rPr>
                      <w:bCs/>
                      <w:sz w:val="18"/>
                      <w:szCs w:val="18"/>
                    </w:rPr>
                    <w:t>水泥库内</w:t>
                  </w:r>
                </w:p>
              </w:tc>
              <w:tc>
                <w:tcPr>
                  <w:tcW w:w="1083" w:type="pct"/>
                  <w:tcBorders>
                    <w:top w:val="single" w:sz="6" w:space="0" w:color="auto"/>
                    <w:left w:val="single" w:sz="6" w:space="0" w:color="auto"/>
                    <w:bottom w:val="single" w:sz="6" w:space="0" w:color="auto"/>
                    <w:right w:val="single" w:sz="6" w:space="0" w:color="auto"/>
                  </w:tcBorders>
                  <w:vAlign w:val="center"/>
                </w:tcPr>
                <w:p w14:paraId="264A641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EEE05C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C601A60" w14:textId="77777777" w:rsidR="00F76A63" w:rsidRDefault="00000000">
                  <w:pPr>
                    <w:jc w:val="center"/>
                    <w:rPr>
                      <w:bCs/>
                      <w:sz w:val="18"/>
                      <w:szCs w:val="18"/>
                    </w:rPr>
                  </w:pPr>
                  <w:r>
                    <w:rPr>
                      <w:bCs/>
                      <w:sz w:val="18"/>
                      <w:szCs w:val="18"/>
                    </w:rPr>
                    <w:t>4</w:t>
                  </w:r>
                </w:p>
              </w:tc>
              <w:tc>
                <w:tcPr>
                  <w:tcW w:w="577" w:type="pct"/>
                  <w:tcBorders>
                    <w:top w:val="single" w:sz="6" w:space="0" w:color="auto"/>
                    <w:left w:val="single" w:sz="6" w:space="0" w:color="auto"/>
                    <w:bottom w:val="single" w:sz="6" w:space="0" w:color="auto"/>
                    <w:right w:val="single" w:sz="6" w:space="0" w:color="auto"/>
                  </w:tcBorders>
                  <w:vAlign w:val="center"/>
                </w:tcPr>
                <w:p w14:paraId="6DE0BD7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1D1BAAC" w14:textId="77777777" w:rsidR="00F76A63" w:rsidRDefault="00000000">
                  <w:pPr>
                    <w:jc w:val="center"/>
                    <w:rPr>
                      <w:bCs/>
                      <w:sz w:val="18"/>
                      <w:szCs w:val="18"/>
                    </w:rPr>
                  </w:pPr>
                  <w:r>
                    <w:rPr>
                      <w:bCs/>
                      <w:sz w:val="18"/>
                      <w:szCs w:val="18"/>
                    </w:rPr>
                    <w:t>常温</w:t>
                  </w:r>
                </w:p>
              </w:tc>
            </w:tr>
            <w:tr w:rsidR="00F76A63" w14:paraId="042B0CE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2A134FE" w14:textId="77777777" w:rsidR="00F76A63" w:rsidRDefault="00000000">
                  <w:pPr>
                    <w:jc w:val="center"/>
                    <w:rPr>
                      <w:bCs/>
                      <w:sz w:val="18"/>
                      <w:szCs w:val="18"/>
                    </w:rPr>
                  </w:pPr>
                  <w:r>
                    <w:rPr>
                      <w:bCs/>
                      <w:sz w:val="18"/>
                      <w:szCs w:val="18"/>
                    </w:rPr>
                    <w:t>DA090</w:t>
                  </w:r>
                </w:p>
              </w:tc>
              <w:tc>
                <w:tcPr>
                  <w:tcW w:w="785" w:type="pct"/>
                  <w:tcBorders>
                    <w:top w:val="single" w:sz="6" w:space="0" w:color="auto"/>
                    <w:left w:val="single" w:sz="6" w:space="0" w:color="auto"/>
                    <w:bottom w:val="single" w:sz="6" w:space="0" w:color="auto"/>
                    <w:right w:val="single" w:sz="6" w:space="0" w:color="auto"/>
                  </w:tcBorders>
                  <w:vAlign w:val="center"/>
                </w:tcPr>
                <w:p w14:paraId="1D7AB8AF" w14:textId="77777777" w:rsidR="00F76A63" w:rsidRDefault="00000000">
                  <w:pPr>
                    <w:jc w:val="center"/>
                    <w:rPr>
                      <w:bCs/>
                      <w:sz w:val="18"/>
                      <w:szCs w:val="18"/>
                    </w:rPr>
                  </w:pPr>
                  <w:r>
                    <w:rPr>
                      <w:bCs/>
                      <w:sz w:val="18"/>
                      <w:szCs w:val="18"/>
                    </w:rPr>
                    <w:t>6#</w:t>
                  </w:r>
                  <w:r>
                    <w:rPr>
                      <w:bCs/>
                      <w:sz w:val="18"/>
                      <w:szCs w:val="18"/>
                    </w:rPr>
                    <w:t>水泥库内</w:t>
                  </w:r>
                </w:p>
              </w:tc>
              <w:tc>
                <w:tcPr>
                  <w:tcW w:w="1083" w:type="pct"/>
                  <w:tcBorders>
                    <w:top w:val="single" w:sz="6" w:space="0" w:color="auto"/>
                    <w:left w:val="single" w:sz="6" w:space="0" w:color="auto"/>
                    <w:bottom w:val="single" w:sz="6" w:space="0" w:color="auto"/>
                    <w:right w:val="single" w:sz="6" w:space="0" w:color="auto"/>
                  </w:tcBorders>
                  <w:vAlign w:val="center"/>
                </w:tcPr>
                <w:p w14:paraId="080BE53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B647DE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93F502C" w14:textId="77777777" w:rsidR="00F76A63" w:rsidRDefault="00000000">
                  <w:pPr>
                    <w:jc w:val="center"/>
                    <w:rPr>
                      <w:bCs/>
                      <w:sz w:val="18"/>
                      <w:szCs w:val="18"/>
                    </w:rPr>
                  </w:pPr>
                  <w:r>
                    <w:rPr>
                      <w:bCs/>
                      <w:sz w:val="18"/>
                      <w:szCs w:val="18"/>
                    </w:rPr>
                    <w:t>4</w:t>
                  </w:r>
                </w:p>
              </w:tc>
              <w:tc>
                <w:tcPr>
                  <w:tcW w:w="577" w:type="pct"/>
                  <w:tcBorders>
                    <w:top w:val="single" w:sz="6" w:space="0" w:color="auto"/>
                    <w:left w:val="single" w:sz="6" w:space="0" w:color="auto"/>
                    <w:bottom w:val="single" w:sz="6" w:space="0" w:color="auto"/>
                    <w:right w:val="single" w:sz="6" w:space="0" w:color="auto"/>
                  </w:tcBorders>
                  <w:vAlign w:val="center"/>
                </w:tcPr>
                <w:p w14:paraId="3CF3A3D7"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9E1529C" w14:textId="77777777" w:rsidR="00F76A63" w:rsidRDefault="00000000">
                  <w:pPr>
                    <w:jc w:val="center"/>
                    <w:rPr>
                      <w:bCs/>
                      <w:sz w:val="18"/>
                      <w:szCs w:val="18"/>
                    </w:rPr>
                  </w:pPr>
                  <w:r>
                    <w:rPr>
                      <w:bCs/>
                      <w:sz w:val="18"/>
                      <w:szCs w:val="18"/>
                    </w:rPr>
                    <w:t>常温</w:t>
                  </w:r>
                </w:p>
              </w:tc>
            </w:tr>
            <w:tr w:rsidR="00F76A63" w14:paraId="10E8397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29AD8C8" w14:textId="77777777" w:rsidR="00F76A63" w:rsidRDefault="00000000">
                  <w:pPr>
                    <w:jc w:val="center"/>
                    <w:rPr>
                      <w:bCs/>
                      <w:sz w:val="18"/>
                      <w:szCs w:val="18"/>
                    </w:rPr>
                  </w:pPr>
                  <w:r>
                    <w:rPr>
                      <w:bCs/>
                      <w:sz w:val="18"/>
                      <w:szCs w:val="18"/>
                    </w:rPr>
                    <w:t>DA091</w:t>
                  </w:r>
                </w:p>
              </w:tc>
              <w:tc>
                <w:tcPr>
                  <w:tcW w:w="785" w:type="pct"/>
                  <w:tcBorders>
                    <w:top w:val="single" w:sz="6" w:space="0" w:color="auto"/>
                    <w:left w:val="single" w:sz="6" w:space="0" w:color="auto"/>
                    <w:bottom w:val="single" w:sz="6" w:space="0" w:color="auto"/>
                    <w:right w:val="single" w:sz="6" w:space="0" w:color="auto"/>
                  </w:tcBorders>
                  <w:vAlign w:val="center"/>
                </w:tcPr>
                <w:p w14:paraId="097B227D" w14:textId="77777777" w:rsidR="00F76A63" w:rsidRDefault="00000000">
                  <w:pPr>
                    <w:jc w:val="center"/>
                    <w:rPr>
                      <w:bCs/>
                      <w:sz w:val="18"/>
                      <w:szCs w:val="18"/>
                    </w:rPr>
                  </w:pPr>
                  <w:r>
                    <w:rPr>
                      <w:bCs/>
                      <w:sz w:val="18"/>
                      <w:szCs w:val="18"/>
                    </w:rPr>
                    <w:t>1#</w:t>
                  </w:r>
                  <w:r>
                    <w:rPr>
                      <w:bCs/>
                      <w:sz w:val="18"/>
                      <w:szCs w:val="18"/>
                    </w:rPr>
                    <w:t>物料输送</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53E6C0DF"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68202F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4B8B816" w14:textId="77777777" w:rsidR="00F76A63" w:rsidRDefault="00000000">
                  <w:pPr>
                    <w:jc w:val="center"/>
                    <w:rPr>
                      <w:bCs/>
                      <w:sz w:val="18"/>
                      <w:szCs w:val="18"/>
                    </w:rPr>
                  </w:pPr>
                  <w:r>
                    <w:rPr>
                      <w:bCs/>
                      <w:sz w:val="18"/>
                      <w:szCs w:val="18"/>
                    </w:rPr>
                    <w:t>16</w:t>
                  </w:r>
                </w:p>
              </w:tc>
              <w:tc>
                <w:tcPr>
                  <w:tcW w:w="577" w:type="pct"/>
                  <w:tcBorders>
                    <w:top w:val="single" w:sz="6" w:space="0" w:color="auto"/>
                    <w:left w:val="single" w:sz="6" w:space="0" w:color="auto"/>
                    <w:bottom w:val="single" w:sz="6" w:space="0" w:color="auto"/>
                    <w:right w:val="single" w:sz="6" w:space="0" w:color="auto"/>
                  </w:tcBorders>
                  <w:vAlign w:val="center"/>
                </w:tcPr>
                <w:p w14:paraId="4D7B1595"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05F7DD0F" w14:textId="77777777" w:rsidR="00F76A63" w:rsidRDefault="00000000">
                  <w:pPr>
                    <w:jc w:val="center"/>
                    <w:rPr>
                      <w:bCs/>
                      <w:sz w:val="18"/>
                      <w:szCs w:val="18"/>
                    </w:rPr>
                  </w:pPr>
                  <w:r>
                    <w:rPr>
                      <w:bCs/>
                      <w:sz w:val="18"/>
                      <w:szCs w:val="18"/>
                    </w:rPr>
                    <w:t>70</w:t>
                  </w:r>
                </w:p>
              </w:tc>
            </w:tr>
            <w:tr w:rsidR="00F76A63" w14:paraId="6713CD2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7F0E90A" w14:textId="77777777" w:rsidR="00F76A63" w:rsidRDefault="00000000">
                  <w:pPr>
                    <w:jc w:val="center"/>
                    <w:rPr>
                      <w:bCs/>
                      <w:sz w:val="18"/>
                      <w:szCs w:val="18"/>
                    </w:rPr>
                  </w:pPr>
                  <w:r>
                    <w:rPr>
                      <w:bCs/>
                      <w:sz w:val="18"/>
                      <w:szCs w:val="18"/>
                    </w:rPr>
                    <w:t>DA092</w:t>
                  </w:r>
                </w:p>
              </w:tc>
              <w:tc>
                <w:tcPr>
                  <w:tcW w:w="785" w:type="pct"/>
                  <w:tcBorders>
                    <w:top w:val="single" w:sz="6" w:space="0" w:color="auto"/>
                    <w:left w:val="single" w:sz="6" w:space="0" w:color="auto"/>
                    <w:bottom w:val="single" w:sz="6" w:space="0" w:color="auto"/>
                    <w:right w:val="single" w:sz="6" w:space="0" w:color="auto"/>
                  </w:tcBorders>
                  <w:vAlign w:val="center"/>
                </w:tcPr>
                <w:p w14:paraId="3028EC91" w14:textId="77777777" w:rsidR="00F76A63" w:rsidRDefault="00000000">
                  <w:pPr>
                    <w:jc w:val="center"/>
                    <w:rPr>
                      <w:bCs/>
                      <w:sz w:val="18"/>
                      <w:szCs w:val="18"/>
                    </w:rPr>
                  </w:pPr>
                  <w:r>
                    <w:rPr>
                      <w:bCs/>
                      <w:sz w:val="18"/>
                      <w:szCs w:val="18"/>
                    </w:rPr>
                    <w:t>1#</w:t>
                  </w:r>
                  <w:r>
                    <w:rPr>
                      <w:bCs/>
                      <w:sz w:val="18"/>
                      <w:szCs w:val="18"/>
                    </w:rPr>
                    <w:t>喂料输送</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2D08388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F6DD30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344DB81"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23A5AD4C"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25F5F063" w14:textId="77777777" w:rsidR="00F76A63" w:rsidRDefault="00000000">
                  <w:pPr>
                    <w:jc w:val="center"/>
                    <w:rPr>
                      <w:bCs/>
                      <w:sz w:val="18"/>
                      <w:szCs w:val="18"/>
                    </w:rPr>
                  </w:pPr>
                  <w:r>
                    <w:rPr>
                      <w:bCs/>
                      <w:sz w:val="18"/>
                      <w:szCs w:val="18"/>
                    </w:rPr>
                    <w:t>50</w:t>
                  </w:r>
                </w:p>
              </w:tc>
            </w:tr>
            <w:tr w:rsidR="00F76A63" w14:paraId="14A2D153"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DB1F3B5" w14:textId="77777777" w:rsidR="00F76A63" w:rsidRDefault="00000000">
                  <w:pPr>
                    <w:jc w:val="center"/>
                    <w:rPr>
                      <w:bCs/>
                      <w:sz w:val="18"/>
                      <w:szCs w:val="18"/>
                    </w:rPr>
                  </w:pPr>
                  <w:r>
                    <w:rPr>
                      <w:bCs/>
                      <w:sz w:val="18"/>
                      <w:szCs w:val="18"/>
                    </w:rPr>
                    <w:t>DA093</w:t>
                  </w:r>
                </w:p>
              </w:tc>
              <w:tc>
                <w:tcPr>
                  <w:tcW w:w="785" w:type="pct"/>
                  <w:tcBorders>
                    <w:top w:val="single" w:sz="6" w:space="0" w:color="auto"/>
                    <w:left w:val="single" w:sz="6" w:space="0" w:color="auto"/>
                    <w:bottom w:val="single" w:sz="6" w:space="0" w:color="auto"/>
                    <w:right w:val="single" w:sz="6" w:space="0" w:color="auto"/>
                  </w:tcBorders>
                  <w:vAlign w:val="center"/>
                </w:tcPr>
                <w:p w14:paraId="2EDF5CD8" w14:textId="77777777" w:rsidR="00F76A63" w:rsidRDefault="00000000">
                  <w:pPr>
                    <w:jc w:val="center"/>
                    <w:rPr>
                      <w:bCs/>
                      <w:sz w:val="18"/>
                      <w:szCs w:val="18"/>
                    </w:rPr>
                  </w:pPr>
                  <w:r>
                    <w:rPr>
                      <w:bCs/>
                      <w:sz w:val="18"/>
                      <w:szCs w:val="18"/>
                    </w:rPr>
                    <w:t>1#</w:t>
                  </w:r>
                  <w:r>
                    <w:rPr>
                      <w:bCs/>
                      <w:sz w:val="18"/>
                      <w:szCs w:val="18"/>
                    </w:rPr>
                    <w:t>水泥输送</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49F9882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4E86D0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3AA5B03" w14:textId="77777777" w:rsidR="00F76A63" w:rsidRDefault="00000000">
                  <w:pPr>
                    <w:jc w:val="center"/>
                    <w:rPr>
                      <w:bCs/>
                      <w:sz w:val="18"/>
                      <w:szCs w:val="18"/>
                    </w:rPr>
                  </w:pPr>
                  <w:r>
                    <w:rPr>
                      <w:bCs/>
                      <w:sz w:val="18"/>
                      <w:szCs w:val="18"/>
                    </w:rPr>
                    <w:t>16</w:t>
                  </w:r>
                </w:p>
              </w:tc>
              <w:tc>
                <w:tcPr>
                  <w:tcW w:w="577" w:type="pct"/>
                  <w:tcBorders>
                    <w:top w:val="single" w:sz="6" w:space="0" w:color="auto"/>
                    <w:left w:val="single" w:sz="6" w:space="0" w:color="auto"/>
                    <w:bottom w:val="single" w:sz="6" w:space="0" w:color="auto"/>
                    <w:right w:val="single" w:sz="6" w:space="0" w:color="auto"/>
                  </w:tcBorders>
                  <w:vAlign w:val="center"/>
                </w:tcPr>
                <w:p w14:paraId="19725CE8"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5362E973" w14:textId="77777777" w:rsidR="00F76A63" w:rsidRDefault="00000000">
                  <w:pPr>
                    <w:jc w:val="center"/>
                    <w:rPr>
                      <w:bCs/>
                      <w:sz w:val="18"/>
                      <w:szCs w:val="18"/>
                    </w:rPr>
                  </w:pPr>
                  <w:r>
                    <w:rPr>
                      <w:bCs/>
                      <w:sz w:val="18"/>
                      <w:szCs w:val="18"/>
                    </w:rPr>
                    <w:t>常温</w:t>
                  </w:r>
                </w:p>
              </w:tc>
            </w:tr>
            <w:tr w:rsidR="00F76A63" w14:paraId="15520F0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54509E2" w14:textId="77777777" w:rsidR="00F76A63" w:rsidRDefault="00000000">
                  <w:pPr>
                    <w:jc w:val="center"/>
                    <w:rPr>
                      <w:bCs/>
                      <w:sz w:val="18"/>
                      <w:szCs w:val="18"/>
                    </w:rPr>
                  </w:pPr>
                  <w:r>
                    <w:rPr>
                      <w:bCs/>
                      <w:sz w:val="18"/>
                      <w:szCs w:val="18"/>
                    </w:rPr>
                    <w:t>DA094</w:t>
                  </w:r>
                </w:p>
              </w:tc>
              <w:tc>
                <w:tcPr>
                  <w:tcW w:w="785" w:type="pct"/>
                  <w:tcBorders>
                    <w:top w:val="single" w:sz="6" w:space="0" w:color="auto"/>
                    <w:left w:val="single" w:sz="6" w:space="0" w:color="auto"/>
                    <w:bottom w:val="single" w:sz="6" w:space="0" w:color="auto"/>
                    <w:right w:val="single" w:sz="6" w:space="0" w:color="auto"/>
                  </w:tcBorders>
                  <w:vAlign w:val="center"/>
                </w:tcPr>
                <w:p w14:paraId="04990DCE" w14:textId="77777777" w:rsidR="00F76A63" w:rsidRDefault="00000000">
                  <w:pPr>
                    <w:jc w:val="center"/>
                    <w:rPr>
                      <w:bCs/>
                      <w:sz w:val="18"/>
                      <w:szCs w:val="18"/>
                    </w:rPr>
                  </w:pPr>
                  <w:r>
                    <w:rPr>
                      <w:bCs/>
                      <w:sz w:val="18"/>
                      <w:szCs w:val="18"/>
                    </w:rPr>
                    <w:t>水泥输送</w:t>
                  </w:r>
                </w:p>
              </w:tc>
              <w:tc>
                <w:tcPr>
                  <w:tcW w:w="1083" w:type="pct"/>
                  <w:tcBorders>
                    <w:top w:val="single" w:sz="6" w:space="0" w:color="auto"/>
                    <w:left w:val="single" w:sz="6" w:space="0" w:color="auto"/>
                    <w:bottom w:val="single" w:sz="6" w:space="0" w:color="auto"/>
                    <w:right w:val="single" w:sz="6" w:space="0" w:color="auto"/>
                  </w:tcBorders>
                  <w:vAlign w:val="center"/>
                </w:tcPr>
                <w:p w14:paraId="7EB33E1F"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D63247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F7BF215"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7102D037"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13FABDDA" w14:textId="77777777" w:rsidR="00F76A63" w:rsidRDefault="00000000">
                  <w:pPr>
                    <w:jc w:val="center"/>
                    <w:rPr>
                      <w:bCs/>
                      <w:sz w:val="18"/>
                      <w:szCs w:val="18"/>
                    </w:rPr>
                  </w:pPr>
                  <w:r>
                    <w:rPr>
                      <w:bCs/>
                      <w:sz w:val="18"/>
                      <w:szCs w:val="18"/>
                    </w:rPr>
                    <w:t>50</w:t>
                  </w:r>
                </w:p>
              </w:tc>
            </w:tr>
            <w:tr w:rsidR="00F76A63" w14:paraId="5E4DF88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816D67C" w14:textId="77777777" w:rsidR="00F76A63" w:rsidRDefault="00000000">
                  <w:pPr>
                    <w:jc w:val="center"/>
                    <w:rPr>
                      <w:bCs/>
                      <w:sz w:val="18"/>
                      <w:szCs w:val="18"/>
                    </w:rPr>
                  </w:pPr>
                  <w:r>
                    <w:rPr>
                      <w:bCs/>
                      <w:sz w:val="18"/>
                      <w:szCs w:val="18"/>
                    </w:rPr>
                    <w:t>DA095</w:t>
                  </w:r>
                </w:p>
              </w:tc>
              <w:tc>
                <w:tcPr>
                  <w:tcW w:w="785" w:type="pct"/>
                  <w:tcBorders>
                    <w:top w:val="single" w:sz="6" w:space="0" w:color="auto"/>
                    <w:left w:val="single" w:sz="6" w:space="0" w:color="auto"/>
                    <w:bottom w:val="single" w:sz="6" w:space="0" w:color="auto"/>
                    <w:right w:val="single" w:sz="6" w:space="0" w:color="auto"/>
                  </w:tcBorders>
                  <w:vAlign w:val="center"/>
                </w:tcPr>
                <w:p w14:paraId="6F2F1834" w14:textId="77777777" w:rsidR="00F76A63" w:rsidRDefault="00000000">
                  <w:pPr>
                    <w:jc w:val="center"/>
                    <w:rPr>
                      <w:bCs/>
                      <w:sz w:val="18"/>
                      <w:szCs w:val="18"/>
                    </w:rPr>
                  </w:pPr>
                  <w:r>
                    <w:rPr>
                      <w:bCs/>
                      <w:sz w:val="18"/>
                      <w:szCs w:val="18"/>
                    </w:rPr>
                    <w:t>1#</w:t>
                  </w:r>
                  <w:r>
                    <w:rPr>
                      <w:bCs/>
                      <w:sz w:val="18"/>
                      <w:szCs w:val="18"/>
                    </w:rPr>
                    <w:t>水泥输送</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7CC075D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E75386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202BBE2" w14:textId="77777777" w:rsidR="00F76A63" w:rsidRDefault="00000000">
                  <w:pPr>
                    <w:jc w:val="center"/>
                    <w:rPr>
                      <w:bCs/>
                      <w:sz w:val="18"/>
                      <w:szCs w:val="18"/>
                    </w:rPr>
                  </w:pPr>
                  <w:r>
                    <w:rPr>
                      <w:bCs/>
                      <w:sz w:val="18"/>
                      <w:szCs w:val="18"/>
                    </w:rPr>
                    <w:t>16</w:t>
                  </w:r>
                </w:p>
              </w:tc>
              <w:tc>
                <w:tcPr>
                  <w:tcW w:w="577" w:type="pct"/>
                  <w:tcBorders>
                    <w:top w:val="single" w:sz="6" w:space="0" w:color="auto"/>
                    <w:left w:val="single" w:sz="6" w:space="0" w:color="auto"/>
                    <w:bottom w:val="single" w:sz="6" w:space="0" w:color="auto"/>
                    <w:right w:val="single" w:sz="6" w:space="0" w:color="auto"/>
                  </w:tcBorders>
                  <w:vAlign w:val="center"/>
                </w:tcPr>
                <w:p w14:paraId="6DEECAE7"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7CEAFF38" w14:textId="77777777" w:rsidR="00F76A63" w:rsidRDefault="00000000">
                  <w:pPr>
                    <w:jc w:val="center"/>
                    <w:rPr>
                      <w:bCs/>
                      <w:sz w:val="18"/>
                      <w:szCs w:val="18"/>
                    </w:rPr>
                  </w:pPr>
                  <w:r>
                    <w:rPr>
                      <w:bCs/>
                      <w:sz w:val="18"/>
                      <w:szCs w:val="18"/>
                    </w:rPr>
                    <w:t>常温</w:t>
                  </w:r>
                </w:p>
              </w:tc>
            </w:tr>
            <w:tr w:rsidR="00F76A63" w14:paraId="7A704EA3"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0457178" w14:textId="77777777" w:rsidR="00F76A63" w:rsidRDefault="00000000">
                  <w:pPr>
                    <w:jc w:val="center"/>
                    <w:rPr>
                      <w:bCs/>
                      <w:sz w:val="18"/>
                      <w:szCs w:val="18"/>
                    </w:rPr>
                  </w:pPr>
                  <w:r>
                    <w:rPr>
                      <w:bCs/>
                      <w:sz w:val="18"/>
                      <w:szCs w:val="18"/>
                    </w:rPr>
                    <w:t>DA096</w:t>
                  </w:r>
                </w:p>
              </w:tc>
              <w:tc>
                <w:tcPr>
                  <w:tcW w:w="785" w:type="pct"/>
                  <w:tcBorders>
                    <w:top w:val="single" w:sz="6" w:space="0" w:color="auto"/>
                    <w:left w:val="single" w:sz="6" w:space="0" w:color="auto"/>
                    <w:bottom w:val="single" w:sz="6" w:space="0" w:color="auto"/>
                    <w:right w:val="single" w:sz="6" w:space="0" w:color="auto"/>
                  </w:tcBorders>
                  <w:vAlign w:val="center"/>
                </w:tcPr>
                <w:p w14:paraId="331EFB89" w14:textId="77777777" w:rsidR="00F76A63" w:rsidRDefault="00000000">
                  <w:pPr>
                    <w:jc w:val="center"/>
                    <w:rPr>
                      <w:bCs/>
                      <w:sz w:val="18"/>
                      <w:szCs w:val="18"/>
                    </w:rPr>
                  </w:pPr>
                  <w:r>
                    <w:rPr>
                      <w:bCs/>
                      <w:sz w:val="18"/>
                      <w:szCs w:val="18"/>
                    </w:rPr>
                    <w:t>装车机（</w:t>
                  </w:r>
                  <w:r>
                    <w:rPr>
                      <w:bCs/>
                      <w:sz w:val="18"/>
                      <w:szCs w:val="18"/>
                    </w:rPr>
                    <w:t>SD1</w:t>
                  </w:r>
                  <w:r>
                    <w:rPr>
                      <w:bCs/>
                      <w:sz w:val="18"/>
                      <w:szCs w:val="18"/>
                    </w:rPr>
                    <w:t>）</w:t>
                  </w:r>
                </w:p>
              </w:tc>
              <w:tc>
                <w:tcPr>
                  <w:tcW w:w="1083" w:type="pct"/>
                  <w:tcBorders>
                    <w:top w:val="single" w:sz="6" w:space="0" w:color="auto"/>
                    <w:left w:val="single" w:sz="6" w:space="0" w:color="auto"/>
                    <w:bottom w:val="single" w:sz="6" w:space="0" w:color="auto"/>
                    <w:right w:val="single" w:sz="6" w:space="0" w:color="auto"/>
                  </w:tcBorders>
                  <w:vAlign w:val="center"/>
                </w:tcPr>
                <w:p w14:paraId="46A482D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03B9A2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9952779" w14:textId="77777777" w:rsidR="00F76A63" w:rsidRDefault="00000000">
                  <w:pPr>
                    <w:jc w:val="center"/>
                    <w:rPr>
                      <w:bCs/>
                      <w:sz w:val="18"/>
                      <w:szCs w:val="18"/>
                    </w:rPr>
                  </w:pPr>
                  <w:r>
                    <w:rPr>
                      <w:bCs/>
                      <w:sz w:val="18"/>
                      <w:szCs w:val="18"/>
                    </w:rPr>
                    <w:t>15.5</w:t>
                  </w:r>
                </w:p>
              </w:tc>
              <w:tc>
                <w:tcPr>
                  <w:tcW w:w="577" w:type="pct"/>
                  <w:tcBorders>
                    <w:top w:val="single" w:sz="6" w:space="0" w:color="auto"/>
                    <w:left w:val="single" w:sz="6" w:space="0" w:color="auto"/>
                    <w:bottom w:val="single" w:sz="6" w:space="0" w:color="auto"/>
                    <w:right w:val="single" w:sz="6" w:space="0" w:color="auto"/>
                  </w:tcBorders>
                  <w:vAlign w:val="center"/>
                </w:tcPr>
                <w:p w14:paraId="6A184956"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40C2562A" w14:textId="77777777" w:rsidR="00F76A63" w:rsidRDefault="00000000">
                  <w:pPr>
                    <w:jc w:val="center"/>
                    <w:rPr>
                      <w:bCs/>
                      <w:sz w:val="18"/>
                      <w:szCs w:val="18"/>
                    </w:rPr>
                  </w:pPr>
                  <w:r>
                    <w:rPr>
                      <w:bCs/>
                      <w:sz w:val="18"/>
                      <w:szCs w:val="18"/>
                    </w:rPr>
                    <w:t>常温</w:t>
                  </w:r>
                </w:p>
              </w:tc>
            </w:tr>
            <w:tr w:rsidR="00F76A63" w14:paraId="1997B44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185CB0F" w14:textId="77777777" w:rsidR="00F76A63" w:rsidRDefault="00000000">
                  <w:pPr>
                    <w:jc w:val="center"/>
                    <w:rPr>
                      <w:bCs/>
                      <w:sz w:val="18"/>
                      <w:szCs w:val="18"/>
                    </w:rPr>
                  </w:pPr>
                  <w:r>
                    <w:rPr>
                      <w:bCs/>
                      <w:sz w:val="18"/>
                      <w:szCs w:val="18"/>
                    </w:rPr>
                    <w:t>DA097</w:t>
                  </w:r>
                </w:p>
              </w:tc>
              <w:tc>
                <w:tcPr>
                  <w:tcW w:w="785" w:type="pct"/>
                  <w:tcBorders>
                    <w:top w:val="single" w:sz="6" w:space="0" w:color="auto"/>
                    <w:left w:val="single" w:sz="6" w:space="0" w:color="auto"/>
                    <w:bottom w:val="single" w:sz="6" w:space="0" w:color="auto"/>
                    <w:right w:val="single" w:sz="6" w:space="0" w:color="auto"/>
                  </w:tcBorders>
                  <w:vAlign w:val="center"/>
                </w:tcPr>
                <w:p w14:paraId="44CBE46D" w14:textId="77777777" w:rsidR="00F76A63" w:rsidRDefault="00000000">
                  <w:pPr>
                    <w:jc w:val="center"/>
                    <w:rPr>
                      <w:bCs/>
                      <w:sz w:val="18"/>
                      <w:szCs w:val="18"/>
                    </w:rPr>
                  </w:pPr>
                  <w:r>
                    <w:rPr>
                      <w:bCs/>
                      <w:sz w:val="18"/>
                      <w:szCs w:val="18"/>
                    </w:rPr>
                    <w:t>1#</w:t>
                  </w:r>
                  <w:r>
                    <w:rPr>
                      <w:bCs/>
                      <w:sz w:val="18"/>
                      <w:szCs w:val="18"/>
                    </w:rPr>
                    <w:t>水泥出库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5D070B9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255034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26B05E5" w14:textId="77777777" w:rsidR="00F76A63" w:rsidRDefault="00000000">
                  <w:pPr>
                    <w:jc w:val="center"/>
                    <w:rPr>
                      <w:bCs/>
                      <w:sz w:val="18"/>
                      <w:szCs w:val="18"/>
                    </w:rPr>
                  </w:pPr>
                  <w:r>
                    <w:rPr>
                      <w:bCs/>
                      <w:sz w:val="18"/>
                      <w:szCs w:val="18"/>
                    </w:rPr>
                    <w:t>7</w:t>
                  </w:r>
                </w:p>
              </w:tc>
              <w:tc>
                <w:tcPr>
                  <w:tcW w:w="577" w:type="pct"/>
                  <w:tcBorders>
                    <w:top w:val="single" w:sz="6" w:space="0" w:color="auto"/>
                    <w:left w:val="single" w:sz="6" w:space="0" w:color="auto"/>
                    <w:bottom w:val="single" w:sz="6" w:space="0" w:color="auto"/>
                    <w:right w:val="single" w:sz="6" w:space="0" w:color="auto"/>
                  </w:tcBorders>
                  <w:vAlign w:val="center"/>
                </w:tcPr>
                <w:p w14:paraId="1ECDF30B"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5DF1A018" w14:textId="77777777" w:rsidR="00F76A63" w:rsidRDefault="00000000">
                  <w:pPr>
                    <w:jc w:val="center"/>
                    <w:rPr>
                      <w:bCs/>
                      <w:sz w:val="18"/>
                      <w:szCs w:val="18"/>
                    </w:rPr>
                  </w:pPr>
                  <w:r>
                    <w:rPr>
                      <w:bCs/>
                      <w:sz w:val="18"/>
                      <w:szCs w:val="18"/>
                    </w:rPr>
                    <w:t>常温</w:t>
                  </w:r>
                </w:p>
              </w:tc>
            </w:tr>
            <w:tr w:rsidR="00F76A63" w14:paraId="4A6FCC4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BEBCF6C" w14:textId="77777777" w:rsidR="00F76A63" w:rsidRDefault="00000000">
                  <w:pPr>
                    <w:jc w:val="center"/>
                    <w:rPr>
                      <w:bCs/>
                      <w:sz w:val="18"/>
                      <w:szCs w:val="18"/>
                    </w:rPr>
                  </w:pPr>
                  <w:r>
                    <w:rPr>
                      <w:bCs/>
                      <w:sz w:val="18"/>
                      <w:szCs w:val="18"/>
                    </w:rPr>
                    <w:t>DA098</w:t>
                  </w:r>
                </w:p>
              </w:tc>
              <w:tc>
                <w:tcPr>
                  <w:tcW w:w="785" w:type="pct"/>
                  <w:tcBorders>
                    <w:top w:val="single" w:sz="6" w:space="0" w:color="auto"/>
                    <w:left w:val="single" w:sz="6" w:space="0" w:color="auto"/>
                    <w:bottom w:val="single" w:sz="6" w:space="0" w:color="auto"/>
                    <w:right w:val="single" w:sz="6" w:space="0" w:color="auto"/>
                  </w:tcBorders>
                  <w:vAlign w:val="center"/>
                </w:tcPr>
                <w:p w14:paraId="508154F3" w14:textId="77777777" w:rsidR="00F76A63" w:rsidRDefault="00000000">
                  <w:pPr>
                    <w:jc w:val="center"/>
                    <w:rPr>
                      <w:bCs/>
                      <w:sz w:val="18"/>
                      <w:szCs w:val="18"/>
                    </w:rPr>
                  </w:pPr>
                  <w:r>
                    <w:rPr>
                      <w:bCs/>
                      <w:sz w:val="18"/>
                      <w:szCs w:val="18"/>
                    </w:rPr>
                    <w:t>1#</w:t>
                  </w:r>
                  <w:r>
                    <w:rPr>
                      <w:bCs/>
                      <w:sz w:val="18"/>
                      <w:szCs w:val="18"/>
                    </w:rPr>
                    <w:t>水泥出库</w:t>
                  </w:r>
                  <w:r>
                    <w:rPr>
                      <w:bCs/>
                      <w:sz w:val="18"/>
                      <w:szCs w:val="18"/>
                    </w:rPr>
                    <w:t>3</w:t>
                  </w:r>
                </w:p>
              </w:tc>
              <w:tc>
                <w:tcPr>
                  <w:tcW w:w="1083" w:type="pct"/>
                  <w:tcBorders>
                    <w:top w:val="single" w:sz="6" w:space="0" w:color="auto"/>
                    <w:left w:val="single" w:sz="6" w:space="0" w:color="auto"/>
                    <w:bottom w:val="single" w:sz="6" w:space="0" w:color="auto"/>
                    <w:right w:val="single" w:sz="6" w:space="0" w:color="auto"/>
                  </w:tcBorders>
                  <w:vAlign w:val="center"/>
                </w:tcPr>
                <w:p w14:paraId="0CA4CBB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927F25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C89AD2D" w14:textId="77777777" w:rsidR="00F76A63" w:rsidRDefault="00000000">
                  <w:pPr>
                    <w:jc w:val="center"/>
                    <w:rPr>
                      <w:bCs/>
                      <w:sz w:val="18"/>
                      <w:szCs w:val="18"/>
                    </w:rPr>
                  </w:pPr>
                  <w:r>
                    <w:rPr>
                      <w:bCs/>
                      <w:sz w:val="18"/>
                      <w:szCs w:val="18"/>
                    </w:rPr>
                    <w:t>5</w:t>
                  </w:r>
                </w:p>
              </w:tc>
              <w:tc>
                <w:tcPr>
                  <w:tcW w:w="577" w:type="pct"/>
                  <w:tcBorders>
                    <w:top w:val="single" w:sz="6" w:space="0" w:color="auto"/>
                    <w:left w:val="single" w:sz="6" w:space="0" w:color="auto"/>
                    <w:bottom w:val="single" w:sz="6" w:space="0" w:color="auto"/>
                    <w:right w:val="single" w:sz="6" w:space="0" w:color="auto"/>
                  </w:tcBorders>
                  <w:vAlign w:val="center"/>
                </w:tcPr>
                <w:p w14:paraId="48C59DEB"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604822E6" w14:textId="77777777" w:rsidR="00F76A63" w:rsidRDefault="00000000">
                  <w:pPr>
                    <w:jc w:val="center"/>
                    <w:rPr>
                      <w:bCs/>
                      <w:sz w:val="18"/>
                      <w:szCs w:val="18"/>
                    </w:rPr>
                  </w:pPr>
                  <w:r>
                    <w:rPr>
                      <w:bCs/>
                      <w:sz w:val="18"/>
                      <w:szCs w:val="18"/>
                    </w:rPr>
                    <w:t>常温</w:t>
                  </w:r>
                </w:p>
              </w:tc>
            </w:tr>
            <w:tr w:rsidR="00F76A63" w14:paraId="0F4DD83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DFCFA97" w14:textId="77777777" w:rsidR="00F76A63" w:rsidRDefault="00000000">
                  <w:pPr>
                    <w:jc w:val="center"/>
                    <w:rPr>
                      <w:bCs/>
                      <w:sz w:val="18"/>
                      <w:szCs w:val="18"/>
                    </w:rPr>
                  </w:pPr>
                  <w:r>
                    <w:rPr>
                      <w:bCs/>
                      <w:sz w:val="18"/>
                      <w:szCs w:val="18"/>
                    </w:rPr>
                    <w:t>DA099</w:t>
                  </w:r>
                </w:p>
              </w:tc>
              <w:tc>
                <w:tcPr>
                  <w:tcW w:w="785" w:type="pct"/>
                  <w:tcBorders>
                    <w:top w:val="single" w:sz="6" w:space="0" w:color="auto"/>
                    <w:left w:val="single" w:sz="6" w:space="0" w:color="auto"/>
                    <w:bottom w:val="single" w:sz="6" w:space="0" w:color="auto"/>
                    <w:right w:val="single" w:sz="6" w:space="0" w:color="auto"/>
                  </w:tcBorders>
                  <w:vAlign w:val="center"/>
                </w:tcPr>
                <w:p w14:paraId="2D26462D" w14:textId="77777777" w:rsidR="00F76A63" w:rsidRDefault="00000000">
                  <w:pPr>
                    <w:jc w:val="center"/>
                    <w:rPr>
                      <w:bCs/>
                      <w:sz w:val="18"/>
                      <w:szCs w:val="18"/>
                    </w:rPr>
                  </w:pPr>
                  <w:r>
                    <w:rPr>
                      <w:bCs/>
                      <w:sz w:val="18"/>
                      <w:szCs w:val="18"/>
                    </w:rPr>
                    <w:t>1#</w:t>
                  </w:r>
                  <w:r>
                    <w:rPr>
                      <w:bCs/>
                      <w:sz w:val="18"/>
                      <w:szCs w:val="18"/>
                    </w:rPr>
                    <w:t>水泥出库</w:t>
                  </w:r>
                  <w:r>
                    <w:rPr>
                      <w:bCs/>
                      <w:sz w:val="18"/>
                      <w:szCs w:val="18"/>
                    </w:rPr>
                    <w:t>5</w:t>
                  </w:r>
                </w:p>
              </w:tc>
              <w:tc>
                <w:tcPr>
                  <w:tcW w:w="1083" w:type="pct"/>
                  <w:tcBorders>
                    <w:top w:val="single" w:sz="6" w:space="0" w:color="auto"/>
                    <w:left w:val="single" w:sz="6" w:space="0" w:color="auto"/>
                    <w:bottom w:val="single" w:sz="6" w:space="0" w:color="auto"/>
                    <w:right w:val="single" w:sz="6" w:space="0" w:color="auto"/>
                  </w:tcBorders>
                  <w:vAlign w:val="center"/>
                </w:tcPr>
                <w:p w14:paraId="305F059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866322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39E8970" w14:textId="77777777" w:rsidR="00F76A63" w:rsidRDefault="00000000">
                  <w:pPr>
                    <w:jc w:val="center"/>
                    <w:rPr>
                      <w:bCs/>
                      <w:sz w:val="18"/>
                      <w:szCs w:val="18"/>
                    </w:rPr>
                  </w:pPr>
                  <w:r>
                    <w:rPr>
                      <w:bCs/>
                      <w:sz w:val="18"/>
                      <w:szCs w:val="18"/>
                    </w:rPr>
                    <w:t>32</w:t>
                  </w:r>
                </w:p>
              </w:tc>
              <w:tc>
                <w:tcPr>
                  <w:tcW w:w="577" w:type="pct"/>
                  <w:tcBorders>
                    <w:top w:val="single" w:sz="6" w:space="0" w:color="auto"/>
                    <w:left w:val="single" w:sz="6" w:space="0" w:color="auto"/>
                    <w:bottom w:val="single" w:sz="6" w:space="0" w:color="auto"/>
                    <w:right w:val="single" w:sz="6" w:space="0" w:color="auto"/>
                  </w:tcBorders>
                  <w:vAlign w:val="center"/>
                </w:tcPr>
                <w:p w14:paraId="440B58EA"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25EF0F0" w14:textId="77777777" w:rsidR="00F76A63" w:rsidRDefault="00000000">
                  <w:pPr>
                    <w:jc w:val="center"/>
                    <w:rPr>
                      <w:bCs/>
                      <w:sz w:val="18"/>
                      <w:szCs w:val="18"/>
                    </w:rPr>
                  </w:pPr>
                  <w:r>
                    <w:rPr>
                      <w:bCs/>
                      <w:sz w:val="18"/>
                      <w:szCs w:val="18"/>
                    </w:rPr>
                    <w:t>常温</w:t>
                  </w:r>
                </w:p>
              </w:tc>
            </w:tr>
            <w:tr w:rsidR="00F76A63" w14:paraId="4F83896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86BA1B3" w14:textId="77777777" w:rsidR="00F76A63" w:rsidRDefault="00000000">
                  <w:pPr>
                    <w:jc w:val="center"/>
                    <w:rPr>
                      <w:bCs/>
                      <w:sz w:val="18"/>
                      <w:szCs w:val="18"/>
                    </w:rPr>
                  </w:pPr>
                  <w:r>
                    <w:rPr>
                      <w:bCs/>
                      <w:sz w:val="18"/>
                      <w:szCs w:val="18"/>
                    </w:rPr>
                    <w:t>DA100</w:t>
                  </w:r>
                </w:p>
              </w:tc>
              <w:tc>
                <w:tcPr>
                  <w:tcW w:w="785" w:type="pct"/>
                  <w:tcBorders>
                    <w:top w:val="single" w:sz="6" w:space="0" w:color="auto"/>
                    <w:left w:val="single" w:sz="6" w:space="0" w:color="auto"/>
                    <w:bottom w:val="single" w:sz="6" w:space="0" w:color="auto"/>
                    <w:right w:val="single" w:sz="6" w:space="0" w:color="auto"/>
                  </w:tcBorders>
                  <w:vAlign w:val="center"/>
                </w:tcPr>
                <w:p w14:paraId="14272EF7" w14:textId="77777777" w:rsidR="00F76A63" w:rsidRDefault="00000000">
                  <w:pPr>
                    <w:jc w:val="center"/>
                    <w:rPr>
                      <w:bCs/>
                      <w:sz w:val="18"/>
                      <w:szCs w:val="18"/>
                    </w:rPr>
                  </w:pPr>
                  <w:r>
                    <w:rPr>
                      <w:bCs/>
                      <w:sz w:val="18"/>
                      <w:szCs w:val="18"/>
                    </w:rPr>
                    <w:t>1#</w:t>
                  </w:r>
                  <w:r>
                    <w:rPr>
                      <w:bCs/>
                      <w:sz w:val="18"/>
                      <w:szCs w:val="18"/>
                    </w:rPr>
                    <w:t>水泥出库</w:t>
                  </w:r>
                  <w:r>
                    <w:rPr>
                      <w:bCs/>
                      <w:sz w:val="18"/>
                      <w:szCs w:val="18"/>
                    </w:rPr>
                    <w:t>6</w:t>
                  </w:r>
                </w:p>
              </w:tc>
              <w:tc>
                <w:tcPr>
                  <w:tcW w:w="1083" w:type="pct"/>
                  <w:tcBorders>
                    <w:top w:val="single" w:sz="6" w:space="0" w:color="auto"/>
                    <w:left w:val="single" w:sz="6" w:space="0" w:color="auto"/>
                    <w:bottom w:val="single" w:sz="6" w:space="0" w:color="auto"/>
                    <w:right w:val="single" w:sz="6" w:space="0" w:color="auto"/>
                  </w:tcBorders>
                  <w:vAlign w:val="center"/>
                </w:tcPr>
                <w:p w14:paraId="3E41728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FD372B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DE5CABA" w14:textId="77777777" w:rsidR="00F76A63" w:rsidRDefault="00000000">
                  <w:pPr>
                    <w:jc w:val="center"/>
                    <w:rPr>
                      <w:bCs/>
                      <w:sz w:val="18"/>
                      <w:szCs w:val="18"/>
                    </w:rPr>
                  </w:pPr>
                  <w:r>
                    <w:rPr>
                      <w:bCs/>
                      <w:sz w:val="18"/>
                      <w:szCs w:val="18"/>
                    </w:rPr>
                    <w:t>30</w:t>
                  </w:r>
                </w:p>
              </w:tc>
              <w:tc>
                <w:tcPr>
                  <w:tcW w:w="577" w:type="pct"/>
                  <w:tcBorders>
                    <w:top w:val="single" w:sz="6" w:space="0" w:color="auto"/>
                    <w:left w:val="single" w:sz="6" w:space="0" w:color="auto"/>
                    <w:bottom w:val="single" w:sz="6" w:space="0" w:color="auto"/>
                    <w:right w:val="single" w:sz="6" w:space="0" w:color="auto"/>
                  </w:tcBorders>
                  <w:vAlign w:val="center"/>
                </w:tcPr>
                <w:p w14:paraId="139F040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66A852A" w14:textId="77777777" w:rsidR="00F76A63" w:rsidRDefault="00000000">
                  <w:pPr>
                    <w:jc w:val="center"/>
                    <w:rPr>
                      <w:bCs/>
                      <w:sz w:val="18"/>
                      <w:szCs w:val="18"/>
                    </w:rPr>
                  </w:pPr>
                  <w:r>
                    <w:rPr>
                      <w:bCs/>
                      <w:sz w:val="18"/>
                      <w:szCs w:val="18"/>
                    </w:rPr>
                    <w:t>常温</w:t>
                  </w:r>
                </w:p>
              </w:tc>
            </w:tr>
            <w:tr w:rsidR="00F76A63" w14:paraId="01FA0A3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43C0D64" w14:textId="77777777" w:rsidR="00F76A63" w:rsidRDefault="00000000">
                  <w:pPr>
                    <w:jc w:val="center"/>
                    <w:rPr>
                      <w:bCs/>
                      <w:sz w:val="18"/>
                      <w:szCs w:val="18"/>
                    </w:rPr>
                  </w:pPr>
                  <w:r>
                    <w:rPr>
                      <w:bCs/>
                      <w:sz w:val="18"/>
                      <w:szCs w:val="18"/>
                    </w:rPr>
                    <w:t>DA101</w:t>
                  </w:r>
                </w:p>
              </w:tc>
              <w:tc>
                <w:tcPr>
                  <w:tcW w:w="785" w:type="pct"/>
                  <w:tcBorders>
                    <w:top w:val="single" w:sz="6" w:space="0" w:color="auto"/>
                    <w:left w:val="single" w:sz="6" w:space="0" w:color="auto"/>
                    <w:bottom w:val="single" w:sz="6" w:space="0" w:color="auto"/>
                    <w:right w:val="single" w:sz="6" w:space="0" w:color="auto"/>
                  </w:tcBorders>
                  <w:vAlign w:val="center"/>
                </w:tcPr>
                <w:p w14:paraId="0EDA734C" w14:textId="77777777" w:rsidR="00F76A63" w:rsidRDefault="00000000">
                  <w:pPr>
                    <w:jc w:val="center"/>
                    <w:rPr>
                      <w:bCs/>
                      <w:sz w:val="18"/>
                      <w:szCs w:val="18"/>
                    </w:rPr>
                  </w:pPr>
                  <w:r>
                    <w:rPr>
                      <w:bCs/>
                      <w:sz w:val="18"/>
                      <w:szCs w:val="18"/>
                    </w:rPr>
                    <w:t>1#</w:t>
                  </w:r>
                  <w:r>
                    <w:rPr>
                      <w:bCs/>
                      <w:sz w:val="18"/>
                      <w:szCs w:val="18"/>
                    </w:rPr>
                    <w:t>水泥出库</w:t>
                  </w:r>
                  <w:r>
                    <w:rPr>
                      <w:bCs/>
                      <w:sz w:val="18"/>
                      <w:szCs w:val="18"/>
                    </w:rPr>
                    <w:t>7</w:t>
                  </w:r>
                </w:p>
              </w:tc>
              <w:tc>
                <w:tcPr>
                  <w:tcW w:w="1083" w:type="pct"/>
                  <w:tcBorders>
                    <w:top w:val="single" w:sz="6" w:space="0" w:color="auto"/>
                    <w:left w:val="single" w:sz="6" w:space="0" w:color="auto"/>
                    <w:bottom w:val="single" w:sz="6" w:space="0" w:color="auto"/>
                    <w:right w:val="single" w:sz="6" w:space="0" w:color="auto"/>
                  </w:tcBorders>
                  <w:vAlign w:val="center"/>
                </w:tcPr>
                <w:p w14:paraId="6D85E66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4E4D54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9D81417" w14:textId="77777777" w:rsidR="00F76A63" w:rsidRDefault="00000000">
                  <w:pPr>
                    <w:jc w:val="center"/>
                    <w:rPr>
                      <w:bCs/>
                      <w:sz w:val="18"/>
                      <w:szCs w:val="18"/>
                    </w:rPr>
                  </w:pPr>
                  <w:r>
                    <w:rPr>
                      <w:bCs/>
                      <w:sz w:val="18"/>
                      <w:szCs w:val="18"/>
                    </w:rPr>
                    <w:t>28</w:t>
                  </w:r>
                </w:p>
              </w:tc>
              <w:tc>
                <w:tcPr>
                  <w:tcW w:w="577" w:type="pct"/>
                  <w:tcBorders>
                    <w:top w:val="single" w:sz="6" w:space="0" w:color="auto"/>
                    <w:left w:val="single" w:sz="6" w:space="0" w:color="auto"/>
                    <w:bottom w:val="single" w:sz="6" w:space="0" w:color="auto"/>
                    <w:right w:val="single" w:sz="6" w:space="0" w:color="auto"/>
                  </w:tcBorders>
                  <w:vAlign w:val="center"/>
                </w:tcPr>
                <w:p w14:paraId="1187686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2BD4483" w14:textId="77777777" w:rsidR="00F76A63" w:rsidRDefault="00000000">
                  <w:pPr>
                    <w:jc w:val="center"/>
                    <w:rPr>
                      <w:bCs/>
                      <w:sz w:val="18"/>
                      <w:szCs w:val="18"/>
                    </w:rPr>
                  </w:pPr>
                  <w:r>
                    <w:rPr>
                      <w:bCs/>
                      <w:sz w:val="18"/>
                      <w:szCs w:val="18"/>
                    </w:rPr>
                    <w:t>常温</w:t>
                  </w:r>
                </w:p>
              </w:tc>
            </w:tr>
            <w:tr w:rsidR="00F76A63" w14:paraId="640B927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065C0E8" w14:textId="77777777" w:rsidR="00F76A63" w:rsidRDefault="00000000">
                  <w:pPr>
                    <w:jc w:val="center"/>
                    <w:rPr>
                      <w:bCs/>
                      <w:sz w:val="18"/>
                      <w:szCs w:val="18"/>
                    </w:rPr>
                  </w:pPr>
                  <w:r>
                    <w:rPr>
                      <w:bCs/>
                      <w:sz w:val="18"/>
                      <w:szCs w:val="18"/>
                    </w:rPr>
                    <w:t>DA102</w:t>
                  </w:r>
                </w:p>
              </w:tc>
              <w:tc>
                <w:tcPr>
                  <w:tcW w:w="785" w:type="pct"/>
                  <w:tcBorders>
                    <w:top w:val="single" w:sz="6" w:space="0" w:color="auto"/>
                    <w:left w:val="single" w:sz="6" w:space="0" w:color="auto"/>
                    <w:bottom w:val="single" w:sz="6" w:space="0" w:color="auto"/>
                    <w:right w:val="single" w:sz="6" w:space="0" w:color="auto"/>
                  </w:tcBorders>
                  <w:vAlign w:val="center"/>
                </w:tcPr>
                <w:p w14:paraId="0AA66C96" w14:textId="77777777" w:rsidR="00F76A63" w:rsidRDefault="00000000">
                  <w:pPr>
                    <w:jc w:val="center"/>
                    <w:rPr>
                      <w:bCs/>
                      <w:sz w:val="18"/>
                      <w:szCs w:val="18"/>
                    </w:rPr>
                  </w:pPr>
                  <w:r>
                    <w:rPr>
                      <w:bCs/>
                      <w:sz w:val="18"/>
                      <w:szCs w:val="18"/>
                    </w:rPr>
                    <w:t>57N11</w:t>
                  </w:r>
                  <w:r>
                    <w:rPr>
                      <w:bCs/>
                      <w:sz w:val="18"/>
                      <w:szCs w:val="18"/>
                    </w:rPr>
                    <w:t>熟料输送</w:t>
                  </w:r>
                </w:p>
              </w:tc>
              <w:tc>
                <w:tcPr>
                  <w:tcW w:w="1083" w:type="pct"/>
                  <w:tcBorders>
                    <w:top w:val="single" w:sz="6" w:space="0" w:color="auto"/>
                    <w:left w:val="single" w:sz="6" w:space="0" w:color="auto"/>
                    <w:bottom w:val="single" w:sz="6" w:space="0" w:color="auto"/>
                    <w:right w:val="single" w:sz="6" w:space="0" w:color="auto"/>
                  </w:tcBorders>
                  <w:vAlign w:val="center"/>
                </w:tcPr>
                <w:p w14:paraId="2DA07B0E"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09D8349"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5C227AA" w14:textId="77777777" w:rsidR="00F76A63" w:rsidRDefault="00000000">
                  <w:pPr>
                    <w:jc w:val="center"/>
                    <w:rPr>
                      <w:bCs/>
                      <w:sz w:val="18"/>
                      <w:szCs w:val="18"/>
                    </w:rPr>
                  </w:pPr>
                  <w:r>
                    <w:rPr>
                      <w:bCs/>
                      <w:sz w:val="18"/>
                      <w:szCs w:val="18"/>
                    </w:rPr>
                    <w:t>28</w:t>
                  </w:r>
                </w:p>
              </w:tc>
              <w:tc>
                <w:tcPr>
                  <w:tcW w:w="577" w:type="pct"/>
                  <w:tcBorders>
                    <w:top w:val="single" w:sz="6" w:space="0" w:color="auto"/>
                    <w:left w:val="single" w:sz="6" w:space="0" w:color="auto"/>
                    <w:bottom w:val="single" w:sz="6" w:space="0" w:color="auto"/>
                    <w:right w:val="single" w:sz="6" w:space="0" w:color="auto"/>
                  </w:tcBorders>
                  <w:vAlign w:val="center"/>
                </w:tcPr>
                <w:p w14:paraId="74787BAC"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D2D75C3" w14:textId="77777777" w:rsidR="00F76A63" w:rsidRDefault="00000000">
                  <w:pPr>
                    <w:jc w:val="center"/>
                    <w:rPr>
                      <w:bCs/>
                      <w:sz w:val="18"/>
                      <w:szCs w:val="18"/>
                    </w:rPr>
                  </w:pPr>
                  <w:r>
                    <w:rPr>
                      <w:bCs/>
                      <w:sz w:val="18"/>
                      <w:szCs w:val="18"/>
                    </w:rPr>
                    <w:t>常温</w:t>
                  </w:r>
                </w:p>
              </w:tc>
            </w:tr>
            <w:tr w:rsidR="00F76A63" w14:paraId="20D5964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AFF4DF4" w14:textId="77777777" w:rsidR="00F76A63" w:rsidRDefault="00000000">
                  <w:pPr>
                    <w:jc w:val="center"/>
                    <w:rPr>
                      <w:bCs/>
                      <w:sz w:val="18"/>
                      <w:szCs w:val="18"/>
                    </w:rPr>
                  </w:pPr>
                  <w:r>
                    <w:rPr>
                      <w:bCs/>
                      <w:sz w:val="18"/>
                      <w:szCs w:val="18"/>
                    </w:rPr>
                    <w:t>DA103</w:t>
                  </w:r>
                </w:p>
              </w:tc>
              <w:tc>
                <w:tcPr>
                  <w:tcW w:w="785" w:type="pct"/>
                  <w:tcBorders>
                    <w:top w:val="single" w:sz="6" w:space="0" w:color="auto"/>
                    <w:left w:val="single" w:sz="6" w:space="0" w:color="auto"/>
                    <w:bottom w:val="single" w:sz="6" w:space="0" w:color="auto"/>
                    <w:right w:val="single" w:sz="6" w:space="0" w:color="auto"/>
                  </w:tcBorders>
                  <w:vAlign w:val="center"/>
                </w:tcPr>
                <w:p w14:paraId="1F5E583E" w14:textId="77777777" w:rsidR="00F76A63" w:rsidRDefault="00000000">
                  <w:pPr>
                    <w:jc w:val="center"/>
                    <w:rPr>
                      <w:bCs/>
                      <w:sz w:val="18"/>
                      <w:szCs w:val="18"/>
                    </w:rPr>
                  </w:pPr>
                  <w:r>
                    <w:rPr>
                      <w:bCs/>
                      <w:sz w:val="18"/>
                      <w:szCs w:val="18"/>
                    </w:rPr>
                    <w:t>1#</w:t>
                  </w:r>
                  <w:r>
                    <w:rPr>
                      <w:bCs/>
                      <w:sz w:val="18"/>
                      <w:szCs w:val="18"/>
                    </w:rPr>
                    <w:t>水泥出库</w:t>
                  </w:r>
                  <w:r>
                    <w:rPr>
                      <w:bCs/>
                      <w:sz w:val="18"/>
                      <w:szCs w:val="18"/>
                    </w:rPr>
                    <w:t>9</w:t>
                  </w:r>
                </w:p>
              </w:tc>
              <w:tc>
                <w:tcPr>
                  <w:tcW w:w="1083" w:type="pct"/>
                  <w:tcBorders>
                    <w:top w:val="single" w:sz="6" w:space="0" w:color="auto"/>
                    <w:left w:val="single" w:sz="6" w:space="0" w:color="auto"/>
                    <w:bottom w:val="single" w:sz="6" w:space="0" w:color="auto"/>
                    <w:right w:val="single" w:sz="6" w:space="0" w:color="auto"/>
                  </w:tcBorders>
                  <w:vAlign w:val="center"/>
                </w:tcPr>
                <w:p w14:paraId="016C0AC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8E56BD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4674698"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090BDD46"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27346A0F" w14:textId="77777777" w:rsidR="00F76A63" w:rsidRDefault="00000000">
                  <w:pPr>
                    <w:jc w:val="center"/>
                    <w:rPr>
                      <w:bCs/>
                      <w:sz w:val="18"/>
                      <w:szCs w:val="18"/>
                    </w:rPr>
                  </w:pPr>
                  <w:r>
                    <w:rPr>
                      <w:bCs/>
                      <w:sz w:val="18"/>
                      <w:szCs w:val="18"/>
                    </w:rPr>
                    <w:t>常温</w:t>
                  </w:r>
                </w:p>
              </w:tc>
            </w:tr>
            <w:tr w:rsidR="00F76A63" w14:paraId="12334DD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CF41028" w14:textId="77777777" w:rsidR="00F76A63" w:rsidRDefault="00000000">
                  <w:pPr>
                    <w:jc w:val="center"/>
                    <w:rPr>
                      <w:bCs/>
                      <w:sz w:val="18"/>
                      <w:szCs w:val="18"/>
                    </w:rPr>
                  </w:pPr>
                  <w:r>
                    <w:rPr>
                      <w:bCs/>
                      <w:sz w:val="18"/>
                      <w:szCs w:val="18"/>
                    </w:rPr>
                    <w:t>DA104</w:t>
                  </w:r>
                </w:p>
              </w:tc>
              <w:tc>
                <w:tcPr>
                  <w:tcW w:w="785" w:type="pct"/>
                  <w:tcBorders>
                    <w:top w:val="single" w:sz="6" w:space="0" w:color="auto"/>
                    <w:left w:val="single" w:sz="6" w:space="0" w:color="auto"/>
                    <w:bottom w:val="single" w:sz="6" w:space="0" w:color="auto"/>
                    <w:right w:val="single" w:sz="6" w:space="0" w:color="auto"/>
                  </w:tcBorders>
                  <w:vAlign w:val="center"/>
                </w:tcPr>
                <w:p w14:paraId="7A1C9A3E" w14:textId="77777777" w:rsidR="00F76A63" w:rsidRDefault="00000000">
                  <w:pPr>
                    <w:jc w:val="center"/>
                    <w:rPr>
                      <w:bCs/>
                      <w:sz w:val="18"/>
                      <w:szCs w:val="18"/>
                    </w:rPr>
                  </w:pPr>
                  <w:r>
                    <w:rPr>
                      <w:bCs/>
                      <w:sz w:val="18"/>
                      <w:szCs w:val="18"/>
                    </w:rPr>
                    <w:t>1#</w:t>
                  </w:r>
                  <w:r>
                    <w:rPr>
                      <w:bCs/>
                      <w:sz w:val="18"/>
                      <w:szCs w:val="18"/>
                    </w:rPr>
                    <w:t>水泥出库</w:t>
                  </w:r>
                  <w:r>
                    <w:rPr>
                      <w:bCs/>
                      <w:sz w:val="18"/>
                      <w:szCs w:val="18"/>
                    </w:rPr>
                    <w:t>11</w:t>
                  </w:r>
                </w:p>
              </w:tc>
              <w:tc>
                <w:tcPr>
                  <w:tcW w:w="1083" w:type="pct"/>
                  <w:tcBorders>
                    <w:top w:val="single" w:sz="6" w:space="0" w:color="auto"/>
                    <w:left w:val="single" w:sz="6" w:space="0" w:color="auto"/>
                    <w:bottom w:val="single" w:sz="6" w:space="0" w:color="auto"/>
                    <w:right w:val="single" w:sz="6" w:space="0" w:color="auto"/>
                  </w:tcBorders>
                  <w:vAlign w:val="center"/>
                </w:tcPr>
                <w:p w14:paraId="36563E9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5AC5A0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005E42E" w14:textId="77777777" w:rsidR="00F76A63" w:rsidRDefault="00000000">
                  <w:pPr>
                    <w:jc w:val="center"/>
                    <w:rPr>
                      <w:bCs/>
                      <w:sz w:val="18"/>
                      <w:szCs w:val="18"/>
                    </w:rPr>
                  </w:pPr>
                  <w:r>
                    <w:rPr>
                      <w:bCs/>
                      <w:sz w:val="18"/>
                      <w:szCs w:val="18"/>
                    </w:rPr>
                    <w:t>19</w:t>
                  </w:r>
                </w:p>
              </w:tc>
              <w:tc>
                <w:tcPr>
                  <w:tcW w:w="577" w:type="pct"/>
                  <w:tcBorders>
                    <w:top w:val="single" w:sz="6" w:space="0" w:color="auto"/>
                    <w:left w:val="single" w:sz="6" w:space="0" w:color="auto"/>
                    <w:bottom w:val="single" w:sz="6" w:space="0" w:color="auto"/>
                    <w:right w:val="single" w:sz="6" w:space="0" w:color="auto"/>
                  </w:tcBorders>
                  <w:vAlign w:val="center"/>
                </w:tcPr>
                <w:p w14:paraId="5D0F904D"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391FC0C6" w14:textId="77777777" w:rsidR="00F76A63" w:rsidRDefault="00000000">
                  <w:pPr>
                    <w:jc w:val="center"/>
                    <w:rPr>
                      <w:bCs/>
                      <w:sz w:val="18"/>
                      <w:szCs w:val="18"/>
                    </w:rPr>
                  </w:pPr>
                  <w:r>
                    <w:rPr>
                      <w:bCs/>
                      <w:sz w:val="18"/>
                      <w:szCs w:val="18"/>
                    </w:rPr>
                    <w:t>常温</w:t>
                  </w:r>
                </w:p>
              </w:tc>
            </w:tr>
            <w:tr w:rsidR="00F76A63" w14:paraId="6362A34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53EDA45" w14:textId="77777777" w:rsidR="00F76A63" w:rsidRDefault="00000000">
                  <w:pPr>
                    <w:jc w:val="center"/>
                    <w:rPr>
                      <w:bCs/>
                      <w:sz w:val="18"/>
                      <w:szCs w:val="18"/>
                    </w:rPr>
                  </w:pPr>
                  <w:r>
                    <w:rPr>
                      <w:bCs/>
                      <w:sz w:val="18"/>
                      <w:szCs w:val="18"/>
                    </w:rPr>
                    <w:t>DA105</w:t>
                  </w:r>
                </w:p>
              </w:tc>
              <w:tc>
                <w:tcPr>
                  <w:tcW w:w="785" w:type="pct"/>
                  <w:tcBorders>
                    <w:top w:val="single" w:sz="6" w:space="0" w:color="auto"/>
                    <w:left w:val="single" w:sz="6" w:space="0" w:color="auto"/>
                    <w:bottom w:val="single" w:sz="6" w:space="0" w:color="auto"/>
                    <w:right w:val="single" w:sz="6" w:space="0" w:color="auto"/>
                  </w:tcBorders>
                  <w:vAlign w:val="center"/>
                </w:tcPr>
                <w:p w14:paraId="674871BD" w14:textId="77777777" w:rsidR="00F76A63" w:rsidRDefault="00000000">
                  <w:pPr>
                    <w:jc w:val="center"/>
                    <w:rPr>
                      <w:bCs/>
                      <w:sz w:val="18"/>
                      <w:szCs w:val="18"/>
                    </w:rPr>
                  </w:pPr>
                  <w:r>
                    <w:rPr>
                      <w:bCs/>
                      <w:sz w:val="18"/>
                      <w:szCs w:val="18"/>
                    </w:rPr>
                    <w:t>1#</w:t>
                  </w:r>
                  <w:r>
                    <w:rPr>
                      <w:bCs/>
                      <w:sz w:val="18"/>
                      <w:szCs w:val="18"/>
                    </w:rPr>
                    <w:t>水泥出库</w:t>
                  </w:r>
                  <w:r>
                    <w:rPr>
                      <w:bCs/>
                      <w:sz w:val="18"/>
                      <w:szCs w:val="18"/>
                    </w:rPr>
                    <w:t>12</w:t>
                  </w:r>
                </w:p>
              </w:tc>
              <w:tc>
                <w:tcPr>
                  <w:tcW w:w="1083" w:type="pct"/>
                  <w:tcBorders>
                    <w:top w:val="single" w:sz="6" w:space="0" w:color="auto"/>
                    <w:left w:val="single" w:sz="6" w:space="0" w:color="auto"/>
                    <w:bottom w:val="single" w:sz="6" w:space="0" w:color="auto"/>
                    <w:right w:val="single" w:sz="6" w:space="0" w:color="auto"/>
                  </w:tcBorders>
                  <w:vAlign w:val="center"/>
                </w:tcPr>
                <w:p w14:paraId="61405658"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C3D636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A1A7247" w14:textId="77777777" w:rsidR="00F76A63" w:rsidRDefault="00000000">
                  <w:pPr>
                    <w:jc w:val="center"/>
                    <w:rPr>
                      <w:bCs/>
                      <w:sz w:val="18"/>
                      <w:szCs w:val="18"/>
                    </w:rPr>
                  </w:pPr>
                  <w:r>
                    <w:rPr>
                      <w:bCs/>
                      <w:sz w:val="18"/>
                      <w:szCs w:val="18"/>
                    </w:rPr>
                    <w:t>21</w:t>
                  </w:r>
                </w:p>
              </w:tc>
              <w:tc>
                <w:tcPr>
                  <w:tcW w:w="577" w:type="pct"/>
                  <w:tcBorders>
                    <w:top w:val="single" w:sz="6" w:space="0" w:color="auto"/>
                    <w:left w:val="single" w:sz="6" w:space="0" w:color="auto"/>
                    <w:bottom w:val="single" w:sz="6" w:space="0" w:color="auto"/>
                    <w:right w:val="single" w:sz="6" w:space="0" w:color="auto"/>
                  </w:tcBorders>
                  <w:vAlign w:val="center"/>
                </w:tcPr>
                <w:p w14:paraId="439EF951"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44CF6501" w14:textId="77777777" w:rsidR="00F76A63" w:rsidRDefault="00000000">
                  <w:pPr>
                    <w:jc w:val="center"/>
                    <w:rPr>
                      <w:bCs/>
                      <w:sz w:val="18"/>
                      <w:szCs w:val="18"/>
                    </w:rPr>
                  </w:pPr>
                  <w:r>
                    <w:rPr>
                      <w:bCs/>
                      <w:sz w:val="18"/>
                      <w:szCs w:val="18"/>
                    </w:rPr>
                    <w:t>常温</w:t>
                  </w:r>
                </w:p>
              </w:tc>
            </w:tr>
            <w:tr w:rsidR="00F76A63" w14:paraId="6B816FE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A1E419E" w14:textId="77777777" w:rsidR="00F76A63" w:rsidRDefault="00000000">
                  <w:pPr>
                    <w:jc w:val="center"/>
                    <w:rPr>
                      <w:bCs/>
                      <w:sz w:val="18"/>
                      <w:szCs w:val="18"/>
                    </w:rPr>
                  </w:pPr>
                  <w:r>
                    <w:rPr>
                      <w:bCs/>
                      <w:sz w:val="18"/>
                      <w:szCs w:val="18"/>
                    </w:rPr>
                    <w:t>DA106</w:t>
                  </w:r>
                </w:p>
              </w:tc>
              <w:tc>
                <w:tcPr>
                  <w:tcW w:w="785" w:type="pct"/>
                  <w:tcBorders>
                    <w:top w:val="single" w:sz="6" w:space="0" w:color="auto"/>
                    <w:left w:val="single" w:sz="6" w:space="0" w:color="auto"/>
                    <w:bottom w:val="single" w:sz="6" w:space="0" w:color="auto"/>
                    <w:right w:val="single" w:sz="6" w:space="0" w:color="auto"/>
                  </w:tcBorders>
                  <w:vAlign w:val="center"/>
                </w:tcPr>
                <w:p w14:paraId="55C8230A" w14:textId="77777777" w:rsidR="00F76A63" w:rsidRDefault="00000000">
                  <w:pPr>
                    <w:jc w:val="center"/>
                    <w:rPr>
                      <w:bCs/>
                      <w:sz w:val="18"/>
                      <w:szCs w:val="18"/>
                    </w:rPr>
                  </w:pPr>
                  <w:r>
                    <w:rPr>
                      <w:bCs/>
                      <w:sz w:val="18"/>
                      <w:szCs w:val="18"/>
                    </w:rPr>
                    <w:t>1#</w:t>
                  </w:r>
                  <w:r>
                    <w:rPr>
                      <w:bCs/>
                      <w:sz w:val="18"/>
                      <w:szCs w:val="18"/>
                    </w:rPr>
                    <w:t>水泥出库</w:t>
                  </w:r>
                  <w:r>
                    <w:rPr>
                      <w:bCs/>
                      <w:sz w:val="18"/>
                      <w:szCs w:val="18"/>
                    </w:rPr>
                    <w:t>10</w:t>
                  </w:r>
                </w:p>
              </w:tc>
              <w:tc>
                <w:tcPr>
                  <w:tcW w:w="1083" w:type="pct"/>
                  <w:tcBorders>
                    <w:top w:val="single" w:sz="6" w:space="0" w:color="auto"/>
                    <w:left w:val="single" w:sz="6" w:space="0" w:color="auto"/>
                    <w:bottom w:val="single" w:sz="6" w:space="0" w:color="auto"/>
                    <w:right w:val="single" w:sz="6" w:space="0" w:color="auto"/>
                  </w:tcBorders>
                  <w:vAlign w:val="center"/>
                </w:tcPr>
                <w:p w14:paraId="79F50BE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8D66B8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4E7959F" w14:textId="77777777" w:rsidR="00F76A63" w:rsidRDefault="00000000">
                  <w:pPr>
                    <w:jc w:val="center"/>
                    <w:rPr>
                      <w:bCs/>
                      <w:sz w:val="18"/>
                      <w:szCs w:val="18"/>
                    </w:rPr>
                  </w:pPr>
                  <w:r>
                    <w:rPr>
                      <w:bCs/>
                      <w:sz w:val="18"/>
                      <w:szCs w:val="18"/>
                    </w:rPr>
                    <w:t>19</w:t>
                  </w:r>
                </w:p>
              </w:tc>
              <w:tc>
                <w:tcPr>
                  <w:tcW w:w="577" w:type="pct"/>
                  <w:tcBorders>
                    <w:top w:val="single" w:sz="6" w:space="0" w:color="auto"/>
                    <w:left w:val="single" w:sz="6" w:space="0" w:color="auto"/>
                    <w:bottom w:val="single" w:sz="6" w:space="0" w:color="auto"/>
                    <w:right w:val="single" w:sz="6" w:space="0" w:color="auto"/>
                  </w:tcBorders>
                  <w:vAlign w:val="center"/>
                </w:tcPr>
                <w:p w14:paraId="2363D978"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489A88DD" w14:textId="77777777" w:rsidR="00F76A63" w:rsidRDefault="00000000">
                  <w:pPr>
                    <w:jc w:val="center"/>
                    <w:rPr>
                      <w:bCs/>
                      <w:sz w:val="18"/>
                      <w:szCs w:val="18"/>
                    </w:rPr>
                  </w:pPr>
                  <w:r>
                    <w:rPr>
                      <w:bCs/>
                      <w:sz w:val="18"/>
                      <w:szCs w:val="18"/>
                    </w:rPr>
                    <w:t>常温</w:t>
                  </w:r>
                </w:p>
              </w:tc>
            </w:tr>
            <w:tr w:rsidR="00F76A63" w14:paraId="7FDC1A23"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FB00202" w14:textId="77777777" w:rsidR="00F76A63" w:rsidRDefault="00000000">
                  <w:pPr>
                    <w:jc w:val="center"/>
                    <w:rPr>
                      <w:bCs/>
                      <w:sz w:val="18"/>
                      <w:szCs w:val="18"/>
                    </w:rPr>
                  </w:pPr>
                  <w:r>
                    <w:rPr>
                      <w:bCs/>
                      <w:sz w:val="18"/>
                      <w:szCs w:val="18"/>
                    </w:rPr>
                    <w:t>DA107</w:t>
                  </w:r>
                </w:p>
              </w:tc>
              <w:tc>
                <w:tcPr>
                  <w:tcW w:w="785" w:type="pct"/>
                  <w:tcBorders>
                    <w:top w:val="single" w:sz="6" w:space="0" w:color="auto"/>
                    <w:left w:val="single" w:sz="6" w:space="0" w:color="auto"/>
                    <w:bottom w:val="single" w:sz="6" w:space="0" w:color="auto"/>
                    <w:right w:val="single" w:sz="6" w:space="0" w:color="auto"/>
                  </w:tcBorders>
                  <w:vAlign w:val="center"/>
                </w:tcPr>
                <w:p w14:paraId="7E49ED00" w14:textId="77777777" w:rsidR="00F76A63" w:rsidRDefault="00000000">
                  <w:pPr>
                    <w:jc w:val="center"/>
                    <w:rPr>
                      <w:bCs/>
                      <w:sz w:val="18"/>
                      <w:szCs w:val="18"/>
                    </w:rPr>
                  </w:pPr>
                  <w:r>
                    <w:rPr>
                      <w:bCs/>
                      <w:sz w:val="18"/>
                      <w:szCs w:val="18"/>
                    </w:rPr>
                    <w:t>1#</w:t>
                  </w:r>
                  <w:r>
                    <w:rPr>
                      <w:bCs/>
                      <w:sz w:val="18"/>
                      <w:szCs w:val="18"/>
                    </w:rPr>
                    <w:t>熟料输送系统</w:t>
                  </w:r>
                </w:p>
              </w:tc>
              <w:tc>
                <w:tcPr>
                  <w:tcW w:w="1083" w:type="pct"/>
                  <w:tcBorders>
                    <w:top w:val="single" w:sz="6" w:space="0" w:color="auto"/>
                    <w:left w:val="single" w:sz="6" w:space="0" w:color="auto"/>
                    <w:bottom w:val="single" w:sz="6" w:space="0" w:color="auto"/>
                    <w:right w:val="single" w:sz="6" w:space="0" w:color="auto"/>
                  </w:tcBorders>
                  <w:vAlign w:val="center"/>
                </w:tcPr>
                <w:p w14:paraId="751616E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B789592"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C0EE82B" w14:textId="77777777" w:rsidR="00F76A63" w:rsidRDefault="00000000">
                  <w:pPr>
                    <w:jc w:val="center"/>
                    <w:rPr>
                      <w:bCs/>
                      <w:sz w:val="18"/>
                      <w:szCs w:val="18"/>
                    </w:rPr>
                  </w:pPr>
                  <w:r>
                    <w:rPr>
                      <w:bCs/>
                      <w:sz w:val="18"/>
                      <w:szCs w:val="18"/>
                    </w:rPr>
                    <w:t>21</w:t>
                  </w:r>
                </w:p>
              </w:tc>
              <w:tc>
                <w:tcPr>
                  <w:tcW w:w="577" w:type="pct"/>
                  <w:tcBorders>
                    <w:top w:val="single" w:sz="6" w:space="0" w:color="auto"/>
                    <w:left w:val="single" w:sz="6" w:space="0" w:color="auto"/>
                    <w:bottom w:val="single" w:sz="6" w:space="0" w:color="auto"/>
                    <w:right w:val="single" w:sz="6" w:space="0" w:color="auto"/>
                  </w:tcBorders>
                  <w:vAlign w:val="center"/>
                </w:tcPr>
                <w:p w14:paraId="32ED8347"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5CD20379" w14:textId="77777777" w:rsidR="00F76A63" w:rsidRDefault="00000000">
                  <w:pPr>
                    <w:jc w:val="center"/>
                    <w:rPr>
                      <w:bCs/>
                      <w:sz w:val="18"/>
                      <w:szCs w:val="18"/>
                    </w:rPr>
                  </w:pPr>
                  <w:r>
                    <w:rPr>
                      <w:bCs/>
                      <w:sz w:val="18"/>
                      <w:szCs w:val="18"/>
                    </w:rPr>
                    <w:t>常温</w:t>
                  </w:r>
                </w:p>
              </w:tc>
            </w:tr>
            <w:tr w:rsidR="00F76A63" w14:paraId="0199316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9E3A11C" w14:textId="77777777" w:rsidR="00F76A63" w:rsidRDefault="00000000">
                  <w:pPr>
                    <w:jc w:val="center"/>
                    <w:rPr>
                      <w:bCs/>
                      <w:sz w:val="18"/>
                      <w:szCs w:val="18"/>
                    </w:rPr>
                  </w:pPr>
                  <w:r>
                    <w:rPr>
                      <w:bCs/>
                      <w:sz w:val="18"/>
                      <w:szCs w:val="18"/>
                    </w:rPr>
                    <w:t>DA108</w:t>
                  </w:r>
                </w:p>
              </w:tc>
              <w:tc>
                <w:tcPr>
                  <w:tcW w:w="785" w:type="pct"/>
                  <w:tcBorders>
                    <w:top w:val="single" w:sz="6" w:space="0" w:color="auto"/>
                    <w:left w:val="single" w:sz="6" w:space="0" w:color="auto"/>
                    <w:bottom w:val="single" w:sz="6" w:space="0" w:color="auto"/>
                    <w:right w:val="single" w:sz="6" w:space="0" w:color="auto"/>
                  </w:tcBorders>
                  <w:vAlign w:val="center"/>
                </w:tcPr>
                <w:p w14:paraId="6CA87454" w14:textId="77777777" w:rsidR="00F76A63" w:rsidRDefault="00000000">
                  <w:pPr>
                    <w:jc w:val="center"/>
                    <w:rPr>
                      <w:bCs/>
                      <w:sz w:val="18"/>
                      <w:szCs w:val="18"/>
                    </w:rPr>
                  </w:pPr>
                  <w:r>
                    <w:rPr>
                      <w:bCs/>
                      <w:sz w:val="18"/>
                      <w:szCs w:val="18"/>
                    </w:rPr>
                    <w:t>2#</w:t>
                  </w:r>
                  <w:r>
                    <w:rPr>
                      <w:bCs/>
                      <w:sz w:val="18"/>
                      <w:szCs w:val="18"/>
                    </w:rPr>
                    <w:t>水泥出库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1583AD7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7A22D8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3BA8870" w14:textId="77777777" w:rsidR="00F76A63" w:rsidRDefault="00000000">
                  <w:pPr>
                    <w:jc w:val="center"/>
                    <w:rPr>
                      <w:bCs/>
                      <w:sz w:val="18"/>
                      <w:szCs w:val="18"/>
                    </w:rPr>
                  </w:pPr>
                  <w:r>
                    <w:rPr>
                      <w:bCs/>
                      <w:sz w:val="18"/>
                      <w:szCs w:val="18"/>
                    </w:rPr>
                    <w:t>48</w:t>
                  </w:r>
                </w:p>
              </w:tc>
              <w:tc>
                <w:tcPr>
                  <w:tcW w:w="577" w:type="pct"/>
                  <w:tcBorders>
                    <w:top w:val="single" w:sz="6" w:space="0" w:color="auto"/>
                    <w:left w:val="single" w:sz="6" w:space="0" w:color="auto"/>
                    <w:bottom w:val="single" w:sz="6" w:space="0" w:color="auto"/>
                    <w:right w:val="single" w:sz="6" w:space="0" w:color="auto"/>
                  </w:tcBorders>
                  <w:vAlign w:val="center"/>
                </w:tcPr>
                <w:p w14:paraId="4611013C" w14:textId="77777777" w:rsidR="00F76A63" w:rsidRDefault="00000000">
                  <w:pPr>
                    <w:jc w:val="center"/>
                    <w:rPr>
                      <w:bCs/>
                      <w:sz w:val="18"/>
                      <w:szCs w:val="18"/>
                    </w:rPr>
                  </w:pPr>
                  <w:r>
                    <w:rPr>
                      <w:bCs/>
                      <w:sz w:val="18"/>
                      <w:szCs w:val="18"/>
                    </w:rPr>
                    <w:t>0.40</w:t>
                  </w:r>
                </w:p>
              </w:tc>
              <w:tc>
                <w:tcPr>
                  <w:tcW w:w="445" w:type="pct"/>
                  <w:tcBorders>
                    <w:top w:val="single" w:sz="6" w:space="0" w:color="auto"/>
                    <w:left w:val="single" w:sz="6" w:space="0" w:color="auto"/>
                    <w:bottom w:val="single" w:sz="6" w:space="0" w:color="auto"/>
                    <w:right w:val="nil"/>
                  </w:tcBorders>
                  <w:vAlign w:val="center"/>
                </w:tcPr>
                <w:p w14:paraId="15693EC1" w14:textId="77777777" w:rsidR="00F76A63" w:rsidRDefault="00000000">
                  <w:pPr>
                    <w:jc w:val="center"/>
                    <w:rPr>
                      <w:bCs/>
                      <w:sz w:val="18"/>
                      <w:szCs w:val="18"/>
                    </w:rPr>
                  </w:pPr>
                  <w:r>
                    <w:rPr>
                      <w:bCs/>
                      <w:sz w:val="18"/>
                      <w:szCs w:val="18"/>
                    </w:rPr>
                    <w:t>常温</w:t>
                  </w:r>
                </w:p>
              </w:tc>
            </w:tr>
            <w:tr w:rsidR="00F76A63" w14:paraId="60D226F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D0A0F17" w14:textId="77777777" w:rsidR="00F76A63" w:rsidRDefault="00000000">
                  <w:pPr>
                    <w:jc w:val="center"/>
                    <w:rPr>
                      <w:bCs/>
                      <w:sz w:val="18"/>
                      <w:szCs w:val="18"/>
                    </w:rPr>
                  </w:pPr>
                  <w:r>
                    <w:rPr>
                      <w:bCs/>
                      <w:sz w:val="18"/>
                      <w:szCs w:val="18"/>
                    </w:rPr>
                    <w:t>DA109</w:t>
                  </w:r>
                </w:p>
              </w:tc>
              <w:tc>
                <w:tcPr>
                  <w:tcW w:w="785" w:type="pct"/>
                  <w:tcBorders>
                    <w:top w:val="single" w:sz="6" w:space="0" w:color="auto"/>
                    <w:left w:val="single" w:sz="6" w:space="0" w:color="auto"/>
                    <w:bottom w:val="single" w:sz="6" w:space="0" w:color="auto"/>
                    <w:right w:val="single" w:sz="6" w:space="0" w:color="auto"/>
                  </w:tcBorders>
                  <w:vAlign w:val="center"/>
                </w:tcPr>
                <w:p w14:paraId="35F1E629" w14:textId="77777777" w:rsidR="00F76A63" w:rsidRDefault="00000000">
                  <w:pPr>
                    <w:jc w:val="center"/>
                    <w:rPr>
                      <w:bCs/>
                      <w:sz w:val="18"/>
                      <w:szCs w:val="18"/>
                    </w:rPr>
                  </w:pPr>
                  <w:r>
                    <w:rPr>
                      <w:bCs/>
                      <w:sz w:val="18"/>
                      <w:szCs w:val="18"/>
                    </w:rPr>
                    <w:t>2#</w:t>
                  </w:r>
                  <w:r>
                    <w:rPr>
                      <w:bCs/>
                      <w:sz w:val="18"/>
                      <w:szCs w:val="18"/>
                    </w:rPr>
                    <w:t>水泥出库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1C177B3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BDE383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7200E12" w14:textId="77777777" w:rsidR="00F76A63" w:rsidRDefault="00000000">
                  <w:pPr>
                    <w:jc w:val="center"/>
                    <w:rPr>
                      <w:bCs/>
                      <w:sz w:val="18"/>
                      <w:szCs w:val="18"/>
                    </w:rPr>
                  </w:pPr>
                  <w:r>
                    <w:rPr>
                      <w:bCs/>
                      <w:sz w:val="18"/>
                      <w:szCs w:val="18"/>
                    </w:rPr>
                    <w:t>48</w:t>
                  </w:r>
                </w:p>
              </w:tc>
              <w:tc>
                <w:tcPr>
                  <w:tcW w:w="577" w:type="pct"/>
                  <w:tcBorders>
                    <w:top w:val="single" w:sz="6" w:space="0" w:color="auto"/>
                    <w:left w:val="single" w:sz="6" w:space="0" w:color="auto"/>
                    <w:bottom w:val="single" w:sz="6" w:space="0" w:color="auto"/>
                    <w:right w:val="single" w:sz="6" w:space="0" w:color="auto"/>
                  </w:tcBorders>
                  <w:vAlign w:val="center"/>
                </w:tcPr>
                <w:p w14:paraId="13C88BD4"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FA8FBD7" w14:textId="77777777" w:rsidR="00F76A63" w:rsidRDefault="00000000">
                  <w:pPr>
                    <w:jc w:val="center"/>
                    <w:rPr>
                      <w:bCs/>
                      <w:sz w:val="18"/>
                      <w:szCs w:val="18"/>
                    </w:rPr>
                  </w:pPr>
                  <w:r>
                    <w:rPr>
                      <w:bCs/>
                      <w:sz w:val="18"/>
                      <w:szCs w:val="18"/>
                    </w:rPr>
                    <w:t>常温</w:t>
                  </w:r>
                </w:p>
              </w:tc>
            </w:tr>
            <w:tr w:rsidR="00F76A63" w14:paraId="2614D696"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92CE275" w14:textId="77777777" w:rsidR="00F76A63" w:rsidRDefault="00000000">
                  <w:pPr>
                    <w:jc w:val="center"/>
                    <w:rPr>
                      <w:bCs/>
                      <w:sz w:val="18"/>
                      <w:szCs w:val="18"/>
                    </w:rPr>
                  </w:pPr>
                  <w:r>
                    <w:rPr>
                      <w:bCs/>
                      <w:sz w:val="18"/>
                      <w:szCs w:val="18"/>
                    </w:rPr>
                    <w:t>DA110</w:t>
                  </w:r>
                </w:p>
              </w:tc>
              <w:tc>
                <w:tcPr>
                  <w:tcW w:w="785" w:type="pct"/>
                  <w:tcBorders>
                    <w:top w:val="single" w:sz="6" w:space="0" w:color="auto"/>
                    <w:left w:val="single" w:sz="6" w:space="0" w:color="auto"/>
                    <w:bottom w:val="single" w:sz="6" w:space="0" w:color="auto"/>
                    <w:right w:val="single" w:sz="6" w:space="0" w:color="auto"/>
                  </w:tcBorders>
                  <w:vAlign w:val="center"/>
                </w:tcPr>
                <w:p w14:paraId="49F8ACD2" w14:textId="77777777" w:rsidR="00F76A63" w:rsidRDefault="00000000">
                  <w:pPr>
                    <w:jc w:val="center"/>
                    <w:rPr>
                      <w:bCs/>
                      <w:sz w:val="18"/>
                      <w:szCs w:val="18"/>
                    </w:rPr>
                  </w:pPr>
                  <w:r>
                    <w:rPr>
                      <w:bCs/>
                      <w:sz w:val="18"/>
                      <w:szCs w:val="18"/>
                    </w:rPr>
                    <w:t>2#</w:t>
                  </w:r>
                  <w:r>
                    <w:rPr>
                      <w:bCs/>
                      <w:sz w:val="18"/>
                      <w:szCs w:val="18"/>
                    </w:rPr>
                    <w:t>水泥出库</w:t>
                  </w:r>
                  <w:r>
                    <w:rPr>
                      <w:bCs/>
                      <w:sz w:val="18"/>
                      <w:szCs w:val="18"/>
                    </w:rPr>
                    <w:t>3</w:t>
                  </w:r>
                </w:p>
              </w:tc>
              <w:tc>
                <w:tcPr>
                  <w:tcW w:w="1083" w:type="pct"/>
                  <w:tcBorders>
                    <w:top w:val="single" w:sz="6" w:space="0" w:color="auto"/>
                    <w:left w:val="single" w:sz="6" w:space="0" w:color="auto"/>
                    <w:bottom w:val="single" w:sz="6" w:space="0" w:color="auto"/>
                    <w:right w:val="single" w:sz="6" w:space="0" w:color="auto"/>
                  </w:tcBorders>
                  <w:vAlign w:val="center"/>
                </w:tcPr>
                <w:p w14:paraId="640ADA1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F5E84F9"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81FF04A" w14:textId="77777777" w:rsidR="00F76A63" w:rsidRDefault="00000000">
                  <w:pPr>
                    <w:jc w:val="center"/>
                    <w:rPr>
                      <w:bCs/>
                      <w:sz w:val="18"/>
                      <w:szCs w:val="18"/>
                    </w:rPr>
                  </w:pPr>
                  <w:r>
                    <w:rPr>
                      <w:bCs/>
                      <w:sz w:val="18"/>
                      <w:szCs w:val="18"/>
                    </w:rPr>
                    <w:t>48</w:t>
                  </w:r>
                </w:p>
              </w:tc>
              <w:tc>
                <w:tcPr>
                  <w:tcW w:w="577" w:type="pct"/>
                  <w:tcBorders>
                    <w:top w:val="single" w:sz="6" w:space="0" w:color="auto"/>
                    <w:left w:val="single" w:sz="6" w:space="0" w:color="auto"/>
                    <w:bottom w:val="single" w:sz="6" w:space="0" w:color="auto"/>
                    <w:right w:val="single" w:sz="6" w:space="0" w:color="auto"/>
                  </w:tcBorders>
                  <w:vAlign w:val="center"/>
                </w:tcPr>
                <w:p w14:paraId="3C522AB0"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73C79AE" w14:textId="77777777" w:rsidR="00F76A63" w:rsidRDefault="00000000">
                  <w:pPr>
                    <w:jc w:val="center"/>
                    <w:rPr>
                      <w:bCs/>
                      <w:sz w:val="18"/>
                      <w:szCs w:val="18"/>
                    </w:rPr>
                  </w:pPr>
                  <w:r>
                    <w:rPr>
                      <w:bCs/>
                      <w:sz w:val="18"/>
                      <w:szCs w:val="18"/>
                    </w:rPr>
                    <w:t>常温</w:t>
                  </w:r>
                </w:p>
              </w:tc>
            </w:tr>
            <w:tr w:rsidR="00F76A63" w14:paraId="19E78F8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879122F" w14:textId="77777777" w:rsidR="00F76A63" w:rsidRDefault="00000000">
                  <w:pPr>
                    <w:jc w:val="center"/>
                    <w:rPr>
                      <w:bCs/>
                      <w:sz w:val="18"/>
                      <w:szCs w:val="18"/>
                    </w:rPr>
                  </w:pPr>
                  <w:r>
                    <w:rPr>
                      <w:bCs/>
                      <w:sz w:val="18"/>
                      <w:szCs w:val="18"/>
                    </w:rPr>
                    <w:t>DA111</w:t>
                  </w:r>
                </w:p>
              </w:tc>
              <w:tc>
                <w:tcPr>
                  <w:tcW w:w="785" w:type="pct"/>
                  <w:tcBorders>
                    <w:top w:val="single" w:sz="6" w:space="0" w:color="auto"/>
                    <w:left w:val="single" w:sz="6" w:space="0" w:color="auto"/>
                    <w:bottom w:val="single" w:sz="6" w:space="0" w:color="auto"/>
                    <w:right w:val="single" w:sz="6" w:space="0" w:color="auto"/>
                  </w:tcBorders>
                  <w:vAlign w:val="center"/>
                </w:tcPr>
                <w:p w14:paraId="27BB58D0" w14:textId="77777777" w:rsidR="00F76A63" w:rsidRDefault="00000000">
                  <w:pPr>
                    <w:jc w:val="center"/>
                    <w:rPr>
                      <w:bCs/>
                      <w:sz w:val="18"/>
                      <w:szCs w:val="18"/>
                    </w:rPr>
                  </w:pPr>
                  <w:r>
                    <w:rPr>
                      <w:bCs/>
                      <w:sz w:val="18"/>
                      <w:szCs w:val="18"/>
                    </w:rPr>
                    <w:t>2#</w:t>
                  </w:r>
                  <w:r>
                    <w:rPr>
                      <w:bCs/>
                      <w:sz w:val="18"/>
                      <w:szCs w:val="18"/>
                    </w:rPr>
                    <w:t>水泥出库</w:t>
                  </w:r>
                  <w:r>
                    <w:rPr>
                      <w:bCs/>
                      <w:sz w:val="18"/>
                      <w:szCs w:val="18"/>
                    </w:rPr>
                    <w:t>4</w:t>
                  </w:r>
                </w:p>
              </w:tc>
              <w:tc>
                <w:tcPr>
                  <w:tcW w:w="1083" w:type="pct"/>
                  <w:tcBorders>
                    <w:top w:val="single" w:sz="6" w:space="0" w:color="auto"/>
                    <w:left w:val="single" w:sz="6" w:space="0" w:color="auto"/>
                    <w:bottom w:val="single" w:sz="6" w:space="0" w:color="auto"/>
                    <w:right w:val="single" w:sz="6" w:space="0" w:color="auto"/>
                  </w:tcBorders>
                  <w:vAlign w:val="center"/>
                </w:tcPr>
                <w:p w14:paraId="594ADED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8535ED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16ACA5B" w14:textId="77777777" w:rsidR="00F76A63" w:rsidRDefault="00000000">
                  <w:pPr>
                    <w:jc w:val="center"/>
                    <w:rPr>
                      <w:bCs/>
                      <w:sz w:val="18"/>
                      <w:szCs w:val="18"/>
                    </w:rPr>
                  </w:pPr>
                  <w:r>
                    <w:rPr>
                      <w:bCs/>
                      <w:sz w:val="18"/>
                      <w:szCs w:val="18"/>
                    </w:rPr>
                    <w:t>48</w:t>
                  </w:r>
                </w:p>
              </w:tc>
              <w:tc>
                <w:tcPr>
                  <w:tcW w:w="577" w:type="pct"/>
                  <w:tcBorders>
                    <w:top w:val="single" w:sz="6" w:space="0" w:color="auto"/>
                    <w:left w:val="single" w:sz="6" w:space="0" w:color="auto"/>
                    <w:bottom w:val="single" w:sz="6" w:space="0" w:color="auto"/>
                    <w:right w:val="single" w:sz="6" w:space="0" w:color="auto"/>
                  </w:tcBorders>
                  <w:vAlign w:val="center"/>
                </w:tcPr>
                <w:p w14:paraId="18E1D3E3"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2A8A623D" w14:textId="77777777" w:rsidR="00F76A63" w:rsidRDefault="00000000">
                  <w:pPr>
                    <w:jc w:val="center"/>
                    <w:rPr>
                      <w:bCs/>
                      <w:sz w:val="18"/>
                      <w:szCs w:val="18"/>
                    </w:rPr>
                  </w:pPr>
                  <w:r>
                    <w:rPr>
                      <w:bCs/>
                      <w:sz w:val="18"/>
                      <w:szCs w:val="18"/>
                    </w:rPr>
                    <w:t>常温</w:t>
                  </w:r>
                </w:p>
              </w:tc>
            </w:tr>
            <w:tr w:rsidR="00F76A63" w14:paraId="37EFED46"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37A3849" w14:textId="77777777" w:rsidR="00F76A63" w:rsidRDefault="00000000">
                  <w:pPr>
                    <w:jc w:val="center"/>
                    <w:rPr>
                      <w:bCs/>
                      <w:sz w:val="18"/>
                      <w:szCs w:val="18"/>
                    </w:rPr>
                  </w:pPr>
                  <w:r>
                    <w:rPr>
                      <w:bCs/>
                      <w:sz w:val="18"/>
                      <w:szCs w:val="18"/>
                    </w:rPr>
                    <w:t>DA112</w:t>
                  </w:r>
                </w:p>
              </w:tc>
              <w:tc>
                <w:tcPr>
                  <w:tcW w:w="785" w:type="pct"/>
                  <w:tcBorders>
                    <w:top w:val="single" w:sz="6" w:space="0" w:color="auto"/>
                    <w:left w:val="single" w:sz="6" w:space="0" w:color="auto"/>
                    <w:bottom w:val="single" w:sz="6" w:space="0" w:color="auto"/>
                    <w:right w:val="single" w:sz="6" w:space="0" w:color="auto"/>
                  </w:tcBorders>
                  <w:vAlign w:val="center"/>
                </w:tcPr>
                <w:p w14:paraId="62CE273A" w14:textId="77777777" w:rsidR="00F76A63" w:rsidRDefault="00000000">
                  <w:pPr>
                    <w:jc w:val="center"/>
                    <w:rPr>
                      <w:bCs/>
                      <w:sz w:val="18"/>
                      <w:szCs w:val="18"/>
                    </w:rPr>
                  </w:pPr>
                  <w:r>
                    <w:rPr>
                      <w:bCs/>
                      <w:sz w:val="18"/>
                      <w:szCs w:val="18"/>
                    </w:rPr>
                    <w:t>2#</w:t>
                  </w:r>
                  <w:r>
                    <w:rPr>
                      <w:bCs/>
                      <w:sz w:val="18"/>
                      <w:szCs w:val="18"/>
                    </w:rPr>
                    <w:t>水泥输送</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19C3CCB1"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790560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7402494" w14:textId="77777777" w:rsidR="00F76A63" w:rsidRDefault="00000000">
                  <w:pPr>
                    <w:jc w:val="center"/>
                    <w:rPr>
                      <w:bCs/>
                      <w:sz w:val="18"/>
                      <w:szCs w:val="18"/>
                    </w:rPr>
                  </w:pPr>
                  <w:r>
                    <w:rPr>
                      <w:bCs/>
                      <w:sz w:val="18"/>
                      <w:szCs w:val="18"/>
                    </w:rPr>
                    <w:t>23</w:t>
                  </w:r>
                </w:p>
              </w:tc>
              <w:tc>
                <w:tcPr>
                  <w:tcW w:w="577" w:type="pct"/>
                  <w:tcBorders>
                    <w:top w:val="single" w:sz="6" w:space="0" w:color="auto"/>
                    <w:left w:val="single" w:sz="6" w:space="0" w:color="auto"/>
                    <w:bottom w:val="single" w:sz="6" w:space="0" w:color="auto"/>
                    <w:right w:val="single" w:sz="6" w:space="0" w:color="auto"/>
                  </w:tcBorders>
                  <w:vAlign w:val="center"/>
                </w:tcPr>
                <w:p w14:paraId="02C80ECC"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FEC5118" w14:textId="77777777" w:rsidR="00F76A63" w:rsidRDefault="00000000">
                  <w:pPr>
                    <w:jc w:val="center"/>
                    <w:rPr>
                      <w:bCs/>
                      <w:sz w:val="18"/>
                      <w:szCs w:val="18"/>
                    </w:rPr>
                  </w:pPr>
                  <w:r>
                    <w:rPr>
                      <w:bCs/>
                      <w:sz w:val="18"/>
                      <w:szCs w:val="18"/>
                    </w:rPr>
                    <w:t>常温</w:t>
                  </w:r>
                </w:p>
              </w:tc>
            </w:tr>
            <w:tr w:rsidR="00F76A63" w14:paraId="7872A9E6"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A6E61F6" w14:textId="77777777" w:rsidR="00F76A63" w:rsidRDefault="00000000">
                  <w:pPr>
                    <w:jc w:val="center"/>
                    <w:rPr>
                      <w:bCs/>
                      <w:sz w:val="18"/>
                      <w:szCs w:val="18"/>
                    </w:rPr>
                  </w:pPr>
                  <w:r>
                    <w:rPr>
                      <w:bCs/>
                      <w:sz w:val="18"/>
                      <w:szCs w:val="18"/>
                    </w:rPr>
                    <w:t>DA113</w:t>
                  </w:r>
                </w:p>
              </w:tc>
              <w:tc>
                <w:tcPr>
                  <w:tcW w:w="785" w:type="pct"/>
                  <w:tcBorders>
                    <w:top w:val="single" w:sz="6" w:space="0" w:color="auto"/>
                    <w:left w:val="single" w:sz="6" w:space="0" w:color="auto"/>
                    <w:bottom w:val="single" w:sz="6" w:space="0" w:color="auto"/>
                    <w:right w:val="single" w:sz="6" w:space="0" w:color="auto"/>
                  </w:tcBorders>
                  <w:vAlign w:val="center"/>
                </w:tcPr>
                <w:p w14:paraId="47B0D170" w14:textId="77777777" w:rsidR="00F76A63" w:rsidRDefault="00000000">
                  <w:pPr>
                    <w:jc w:val="center"/>
                    <w:rPr>
                      <w:bCs/>
                      <w:sz w:val="18"/>
                      <w:szCs w:val="18"/>
                    </w:rPr>
                  </w:pPr>
                  <w:r>
                    <w:rPr>
                      <w:bCs/>
                      <w:sz w:val="18"/>
                      <w:szCs w:val="18"/>
                    </w:rPr>
                    <w:t>2#</w:t>
                  </w:r>
                  <w:r>
                    <w:rPr>
                      <w:bCs/>
                      <w:sz w:val="18"/>
                      <w:szCs w:val="18"/>
                    </w:rPr>
                    <w:t>水泥输送</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655FA2EE"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0FA7E39"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4C90A8D" w14:textId="77777777" w:rsidR="00F76A63" w:rsidRDefault="00000000">
                  <w:pPr>
                    <w:jc w:val="center"/>
                    <w:rPr>
                      <w:bCs/>
                      <w:sz w:val="18"/>
                      <w:szCs w:val="18"/>
                    </w:rPr>
                  </w:pPr>
                  <w:r>
                    <w:rPr>
                      <w:bCs/>
                      <w:sz w:val="18"/>
                      <w:szCs w:val="18"/>
                    </w:rPr>
                    <w:t>42</w:t>
                  </w:r>
                </w:p>
              </w:tc>
              <w:tc>
                <w:tcPr>
                  <w:tcW w:w="577" w:type="pct"/>
                  <w:tcBorders>
                    <w:top w:val="single" w:sz="6" w:space="0" w:color="auto"/>
                    <w:left w:val="single" w:sz="6" w:space="0" w:color="auto"/>
                    <w:bottom w:val="single" w:sz="6" w:space="0" w:color="auto"/>
                    <w:right w:val="single" w:sz="6" w:space="0" w:color="auto"/>
                  </w:tcBorders>
                  <w:vAlign w:val="center"/>
                </w:tcPr>
                <w:p w14:paraId="6FA6A5C0"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731B17B" w14:textId="77777777" w:rsidR="00F76A63" w:rsidRDefault="00000000">
                  <w:pPr>
                    <w:jc w:val="center"/>
                    <w:rPr>
                      <w:bCs/>
                      <w:sz w:val="18"/>
                      <w:szCs w:val="18"/>
                    </w:rPr>
                  </w:pPr>
                  <w:r>
                    <w:rPr>
                      <w:bCs/>
                      <w:sz w:val="18"/>
                      <w:szCs w:val="18"/>
                    </w:rPr>
                    <w:t>常温</w:t>
                  </w:r>
                </w:p>
              </w:tc>
            </w:tr>
            <w:tr w:rsidR="00F76A63" w14:paraId="6AB7870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1ECE42C" w14:textId="77777777" w:rsidR="00F76A63" w:rsidRDefault="00000000">
                  <w:pPr>
                    <w:jc w:val="center"/>
                    <w:rPr>
                      <w:bCs/>
                      <w:sz w:val="18"/>
                      <w:szCs w:val="18"/>
                    </w:rPr>
                  </w:pPr>
                  <w:r>
                    <w:rPr>
                      <w:bCs/>
                      <w:sz w:val="18"/>
                      <w:szCs w:val="18"/>
                    </w:rPr>
                    <w:t>DA114</w:t>
                  </w:r>
                </w:p>
              </w:tc>
              <w:tc>
                <w:tcPr>
                  <w:tcW w:w="785" w:type="pct"/>
                  <w:tcBorders>
                    <w:top w:val="single" w:sz="6" w:space="0" w:color="auto"/>
                    <w:left w:val="single" w:sz="6" w:space="0" w:color="auto"/>
                    <w:bottom w:val="single" w:sz="6" w:space="0" w:color="auto"/>
                    <w:right w:val="single" w:sz="6" w:space="0" w:color="auto"/>
                  </w:tcBorders>
                  <w:vAlign w:val="center"/>
                </w:tcPr>
                <w:p w14:paraId="57FA637E" w14:textId="77777777" w:rsidR="00F76A63" w:rsidRDefault="00000000">
                  <w:pPr>
                    <w:jc w:val="center"/>
                    <w:rPr>
                      <w:bCs/>
                      <w:sz w:val="18"/>
                      <w:szCs w:val="18"/>
                    </w:rPr>
                  </w:pPr>
                  <w:r>
                    <w:rPr>
                      <w:bCs/>
                      <w:sz w:val="18"/>
                      <w:szCs w:val="18"/>
                    </w:rPr>
                    <w:t>振动筛</w:t>
                  </w:r>
                </w:p>
              </w:tc>
              <w:tc>
                <w:tcPr>
                  <w:tcW w:w="1083" w:type="pct"/>
                  <w:tcBorders>
                    <w:top w:val="single" w:sz="6" w:space="0" w:color="auto"/>
                    <w:left w:val="single" w:sz="6" w:space="0" w:color="auto"/>
                    <w:bottom w:val="single" w:sz="6" w:space="0" w:color="auto"/>
                    <w:right w:val="single" w:sz="6" w:space="0" w:color="auto"/>
                  </w:tcBorders>
                  <w:vAlign w:val="center"/>
                </w:tcPr>
                <w:p w14:paraId="3BC7CE1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B3AF33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F928105"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526C5B15"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21EF0C4C" w14:textId="77777777" w:rsidR="00F76A63" w:rsidRDefault="00000000">
                  <w:pPr>
                    <w:jc w:val="center"/>
                    <w:rPr>
                      <w:bCs/>
                      <w:sz w:val="18"/>
                      <w:szCs w:val="18"/>
                    </w:rPr>
                  </w:pPr>
                  <w:r>
                    <w:rPr>
                      <w:bCs/>
                      <w:sz w:val="18"/>
                      <w:szCs w:val="18"/>
                    </w:rPr>
                    <w:t>常温</w:t>
                  </w:r>
                </w:p>
              </w:tc>
            </w:tr>
            <w:tr w:rsidR="00F76A63" w14:paraId="3B82DDE0"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DC38244" w14:textId="77777777" w:rsidR="00F76A63" w:rsidRDefault="00000000">
                  <w:pPr>
                    <w:jc w:val="center"/>
                    <w:rPr>
                      <w:bCs/>
                      <w:sz w:val="18"/>
                      <w:szCs w:val="18"/>
                    </w:rPr>
                  </w:pPr>
                  <w:r>
                    <w:rPr>
                      <w:bCs/>
                      <w:sz w:val="18"/>
                      <w:szCs w:val="18"/>
                    </w:rPr>
                    <w:t>DA115</w:t>
                  </w:r>
                </w:p>
              </w:tc>
              <w:tc>
                <w:tcPr>
                  <w:tcW w:w="785" w:type="pct"/>
                  <w:tcBorders>
                    <w:top w:val="single" w:sz="6" w:space="0" w:color="auto"/>
                    <w:left w:val="single" w:sz="6" w:space="0" w:color="auto"/>
                    <w:bottom w:val="single" w:sz="6" w:space="0" w:color="auto"/>
                    <w:right w:val="single" w:sz="6" w:space="0" w:color="auto"/>
                  </w:tcBorders>
                  <w:vAlign w:val="center"/>
                </w:tcPr>
                <w:p w14:paraId="70692E10" w14:textId="77777777" w:rsidR="00F76A63" w:rsidRDefault="00000000">
                  <w:pPr>
                    <w:jc w:val="center"/>
                    <w:rPr>
                      <w:bCs/>
                      <w:sz w:val="18"/>
                      <w:szCs w:val="18"/>
                    </w:rPr>
                  </w:pPr>
                  <w:r>
                    <w:rPr>
                      <w:bCs/>
                      <w:sz w:val="18"/>
                      <w:szCs w:val="18"/>
                    </w:rPr>
                    <w:t>1#</w:t>
                  </w:r>
                  <w:r>
                    <w:rPr>
                      <w:bCs/>
                      <w:sz w:val="18"/>
                      <w:szCs w:val="18"/>
                    </w:rPr>
                    <w:t>转运废气</w:t>
                  </w:r>
                </w:p>
              </w:tc>
              <w:tc>
                <w:tcPr>
                  <w:tcW w:w="1083" w:type="pct"/>
                  <w:tcBorders>
                    <w:top w:val="single" w:sz="6" w:space="0" w:color="auto"/>
                    <w:left w:val="single" w:sz="6" w:space="0" w:color="auto"/>
                    <w:bottom w:val="single" w:sz="6" w:space="0" w:color="auto"/>
                    <w:right w:val="single" w:sz="6" w:space="0" w:color="auto"/>
                  </w:tcBorders>
                  <w:vAlign w:val="center"/>
                </w:tcPr>
                <w:p w14:paraId="0E1900F8"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046E5F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AF0ED39"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37C9A269"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4D6875FA" w14:textId="77777777" w:rsidR="00F76A63" w:rsidRDefault="00000000">
                  <w:pPr>
                    <w:jc w:val="center"/>
                    <w:rPr>
                      <w:bCs/>
                      <w:sz w:val="18"/>
                      <w:szCs w:val="18"/>
                    </w:rPr>
                  </w:pPr>
                  <w:r>
                    <w:rPr>
                      <w:bCs/>
                      <w:sz w:val="18"/>
                      <w:szCs w:val="18"/>
                    </w:rPr>
                    <w:t>常温</w:t>
                  </w:r>
                </w:p>
              </w:tc>
            </w:tr>
            <w:tr w:rsidR="00F76A63" w14:paraId="0864F2A6"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6869CFD" w14:textId="77777777" w:rsidR="00F76A63" w:rsidRDefault="00000000">
                  <w:pPr>
                    <w:jc w:val="center"/>
                    <w:rPr>
                      <w:bCs/>
                      <w:sz w:val="18"/>
                      <w:szCs w:val="18"/>
                    </w:rPr>
                  </w:pPr>
                  <w:r>
                    <w:rPr>
                      <w:bCs/>
                      <w:sz w:val="18"/>
                      <w:szCs w:val="18"/>
                    </w:rPr>
                    <w:t>DA116</w:t>
                  </w:r>
                </w:p>
              </w:tc>
              <w:tc>
                <w:tcPr>
                  <w:tcW w:w="785" w:type="pct"/>
                  <w:tcBorders>
                    <w:top w:val="single" w:sz="6" w:space="0" w:color="auto"/>
                    <w:left w:val="single" w:sz="6" w:space="0" w:color="auto"/>
                    <w:bottom w:val="single" w:sz="6" w:space="0" w:color="auto"/>
                    <w:right w:val="single" w:sz="6" w:space="0" w:color="auto"/>
                  </w:tcBorders>
                  <w:vAlign w:val="center"/>
                </w:tcPr>
                <w:p w14:paraId="15415BBF" w14:textId="77777777" w:rsidR="00F76A63" w:rsidRDefault="00000000">
                  <w:pPr>
                    <w:jc w:val="center"/>
                    <w:rPr>
                      <w:bCs/>
                      <w:sz w:val="18"/>
                      <w:szCs w:val="18"/>
                    </w:rPr>
                  </w:pPr>
                  <w:r>
                    <w:rPr>
                      <w:bCs/>
                      <w:sz w:val="18"/>
                      <w:szCs w:val="18"/>
                    </w:rPr>
                    <w:t>2#</w:t>
                  </w:r>
                  <w:r>
                    <w:rPr>
                      <w:bCs/>
                      <w:sz w:val="18"/>
                      <w:szCs w:val="18"/>
                    </w:rPr>
                    <w:t>转运废气</w:t>
                  </w:r>
                </w:p>
              </w:tc>
              <w:tc>
                <w:tcPr>
                  <w:tcW w:w="1083" w:type="pct"/>
                  <w:tcBorders>
                    <w:top w:val="single" w:sz="6" w:space="0" w:color="auto"/>
                    <w:left w:val="single" w:sz="6" w:space="0" w:color="auto"/>
                    <w:bottom w:val="single" w:sz="6" w:space="0" w:color="auto"/>
                    <w:right w:val="single" w:sz="6" w:space="0" w:color="auto"/>
                  </w:tcBorders>
                  <w:vAlign w:val="center"/>
                </w:tcPr>
                <w:p w14:paraId="07696CF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28599D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A6AC437"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3CF62B00"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4ADC819B" w14:textId="77777777" w:rsidR="00F76A63" w:rsidRDefault="00000000">
                  <w:pPr>
                    <w:jc w:val="center"/>
                    <w:rPr>
                      <w:bCs/>
                      <w:sz w:val="18"/>
                      <w:szCs w:val="18"/>
                    </w:rPr>
                  </w:pPr>
                  <w:r>
                    <w:rPr>
                      <w:bCs/>
                      <w:sz w:val="18"/>
                      <w:szCs w:val="18"/>
                    </w:rPr>
                    <w:t>常温</w:t>
                  </w:r>
                </w:p>
              </w:tc>
            </w:tr>
            <w:tr w:rsidR="00F76A63" w14:paraId="3879512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3BD8DE4" w14:textId="77777777" w:rsidR="00F76A63" w:rsidRDefault="00000000">
                  <w:pPr>
                    <w:jc w:val="center"/>
                    <w:rPr>
                      <w:bCs/>
                      <w:sz w:val="18"/>
                      <w:szCs w:val="18"/>
                    </w:rPr>
                  </w:pPr>
                  <w:r>
                    <w:rPr>
                      <w:bCs/>
                      <w:sz w:val="18"/>
                      <w:szCs w:val="18"/>
                    </w:rPr>
                    <w:t>DA117</w:t>
                  </w:r>
                </w:p>
              </w:tc>
              <w:tc>
                <w:tcPr>
                  <w:tcW w:w="785" w:type="pct"/>
                  <w:tcBorders>
                    <w:top w:val="single" w:sz="6" w:space="0" w:color="auto"/>
                    <w:left w:val="single" w:sz="6" w:space="0" w:color="auto"/>
                    <w:bottom w:val="single" w:sz="6" w:space="0" w:color="auto"/>
                    <w:right w:val="single" w:sz="6" w:space="0" w:color="auto"/>
                  </w:tcBorders>
                  <w:vAlign w:val="center"/>
                </w:tcPr>
                <w:p w14:paraId="39F93786" w14:textId="77777777" w:rsidR="00F76A63" w:rsidRDefault="00000000">
                  <w:pPr>
                    <w:jc w:val="center"/>
                    <w:rPr>
                      <w:bCs/>
                      <w:sz w:val="18"/>
                      <w:szCs w:val="18"/>
                    </w:rPr>
                  </w:pPr>
                  <w:r>
                    <w:rPr>
                      <w:bCs/>
                      <w:sz w:val="18"/>
                      <w:szCs w:val="18"/>
                    </w:rPr>
                    <w:t>原料输送</w:t>
                  </w:r>
                </w:p>
              </w:tc>
              <w:tc>
                <w:tcPr>
                  <w:tcW w:w="1083" w:type="pct"/>
                  <w:tcBorders>
                    <w:top w:val="single" w:sz="6" w:space="0" w:color="auto"/>
                    <w:left w:val="single" w:sz="6" w:space="0" w:color="auto"/>
                    <w:bottom w:val="single" w:sz="6" w:space="0" w:color="auto"/>
                    <w:right w:val="single" w:sz="6" w:space="0" w:color="auto"/>
                  </w:tcBorders>
                  <w:vAlign w:val="center"/>
                </w:tcPr>
                <w:p w14:paraId="28D3E56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4144C19"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9B8574F"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2FFA780C"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36DC3210" w14:textId="77777777" w:rsidR="00F76A63" w:rsidRDefault="00000000">
                  <w:pPr>
                    <w:jc w:val="center"/>
                    <w:rPr>
                      <w:bCs/>
                      <w:sz w:val="18"/>
                      <w:szCs w:val="18"/>
                    </w:rPr>
                  </w:pPr>
                  <w:r>
                    <w:rPr>
                      <w:bCs/>
                      <w:sz w:val="18"/>
                      <w:szCs w:val="18"/>
                    </w:rPr>
                    <w:t>常温</w:t>
                  </w:r>
                </w:p>
              </w:tc>
            </w:tr>
            <w:tr w:rsidR="00F76A63" w14:paraId="38F09690"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12B07A2" w14:textId="77777777" w:rsidR="00F76A63" w:rsidRDefault="00000000">
                  <w:pPr>
                    <w:jc w:val="center"/>
                    <w:rPr>
                      <w:bCs/>
                      <w:sz w:val="18"/>
                      <w:szCs w:val="18"/>
                    </w:rPr>
                  </w:pPr>
                  <w:r>
                    <w:rPr>
                      <w:bCs/>
                      <w:sz w:val="18"/>
                      <w:szCs w:val="18"/>
                    </w:rPr>
                    <w:t>DA118</w:t>
                  </w:r>
                </w:p>
              </w:tc>
              <w:tc>
                <w:tcPr>
                  <w:tcW w:w="785" w:type="pct"/>
                  <w:tcBorders>
                    <w:top w:val="single" w:sz="6" w:space="0" w:color="auto"/>
                    <w:left w:val="single" w:sz="6" w:space="0" w:color="auto"/>
                    <w:bottom w:val="single" w:sz="6" w:space="0" w:color="auto"/>
                    <w:right w:val="single" w:sz="6" w:space="0" w:color="auto"/>
                  </w:tcBorders>
                  <w:vAlign w:val="center"/>
                </w:tcPr>
                <w:p w14:paraId="0AD089C0" w14:textId="77777777" w:rsidR="00F76A63" w:rsidRDefault="00000000">
                  <w:pPr>
                    <w:jc w:val="center"/>
                    <w:rPr>
                      <w:bCs/>
                      <w:sz w:val="18"/>
                      <w:szCs w:val="18"/>
                    </w:rPr>
                  </w:pPr>
                  <w:r>
                    <w:rPr>
                      <w:bCs/>
                      <w:sz w:val="18"/>
                      <w:szCs w:val="18"/>
                    </w:rPr>
                    <w:t>1#</w:t>
                  </w:r>
                  <w:r>
                    <w:rPr>
                      <w:bCs/>
                      <w:sz w:val="18"/>
                      <w:szCs w:val="18"/>
                    </w:rPr>
                    <w:t>水泥出库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7D41518E"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DE2A76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B3BF235"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15C7970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24FA7F41" w14:textId="77777777" w:rsidR="00F76A63" w:rsidRDefault="00000000">
                  <w:pPr>
                    <w:jc w:val="center"/>
                    <w:rPr>
                      <w:bCs/>
                      <w:sz w:val="18"/>
                      <w:szCs w:val="18"/>
                    </w:rPr>
                  </w:pPr>
                  <w:r>
                    <w:rPr>
                      <w:bCs/>
                      <w:sz w:val="18"/>
                      <w:szCs w:val="18"/>
                    </w:rPr>
                    <w:t>常温</w:t>
                  </w:r>
                </w:p>
              </w:tc>
            </w:tr>
            <w:tr w:rsidR="00F76A63" w14:paraId="0AF75FC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0CCE3C4" w14:textId="77777777" w:rsidR="00F76A63" w:rsidRDefault="00000000">
                  <w:pPr>
                    <w:jc w:val="center"/>
                    <w:rPr>
                      <w:bCs/>
                      <w:sz w:val="18"/>
                      <w:szCs w:val="18"/>
                    </w:rPr>
                  </w:pPr>
                  <w:r>
                    <w:rPr>
                      <w:bCs/>
                      <w:sz w:val="18"/>
                      <w:szCs w:val="18"/>
                    </w:rPr>
                    <w:t>DA119</w:t>
                  </w:r>
                </w:p>
              </w:tc>
              <w:tc>
                <w:tcPr>
                  <w:tcW w:w="785" w:type="pct"/>
                  <w:tcBorders>
                    <w:top w:val="single" w:sz="6" w:space="0" w:color="auto"/>
                    <w:left w:val="single" w:sz="6" w:space="0" w:color="auto"/>
                    <w:bottom w:val="single" w:sz="6" w:space="0" w:color="auto"/>
                    <w:right w:val="single" w:sz="6" w:space="0" w:color="auto"/>
                  </w:tcBorders>
                  <w:vAlign w:val="center"/>
                </w:tcPr>
                <w:p w14:paraId="4F4A7453" w14:textId="77777777" w:rsidR="00F76A63" w:rsidRDefault="00000000">
                  <w:pPr>
                    <w:jc w:val="center"/>
                    <w:rPr>
                      <w:bCs/>
                      <w:sz w:val="18"/>
                      <w:szCs w:val="18"/>
                    </w:rPr>
                  </w:pPr>
                  <w:r>
                    <w:rPr>
                      <w:bCs/>
                      <w:sz w:val="18"/>
                      <w:szCs w:val="18"/>
                    </w:rPr>
                    <w:t>1#</w:t>
                  </w:r>
                  <w:r>
                    <w:rPr>
                      <w:bCs/>
                      <w:sz w:val="18"/>
                      <w:szCs w:val="18"/>
                    </w:rPr>
                    <w:t>预热器中间仓</w:t>
                  </w:r>
                </w:p>
              </w:tc>
              <w:tc>
                <w:tcPr>
                  <w:tcW w:w="1083" w:type="pct"/>
                  <w:tcBorders>
                    <w:top w:val="single" w:sz="6" w:space="0" w:color="auto"/>
                    <w:left w:val="single" w:sz="6" w:space="0" w:color="auto"/>
                    <w:bottom w:val="single" w:sz="6" w:space="0" w:color="auto"/>
                    <w:right w:val="single" w:sz="6" w:space="0" w:color="auto"/>
                  </w:tcBorders>
                  <w:vAlign w:val="center"/>
                </w:tcPr>
                <w:p w14:paraId="765D6EB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96E451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65E5E80" w14:textId="77777777" w:rsidR="00F76A63" w:rsidRDefault="00000000">
                  <w:pPr>
                    <w:jc w:val="center"/>
                    <w:rPr>
                      <w:bCs/>
                      <w:sz w:val="18"/>
                      <w:szCs w:val="18"/>
                    </w:rPr>
                  </w:pPr>
                  <w:r>
                    <w:rPr>
                      <w:bCs/>
                      <w:sz w:val="18"/>
                      <w:szCs w:val="18"/>
                    </w:rPr>
                    <w:t>45</w:t>
                  </w:r>
                </w:p>
              </w:tc>
              <w:tc>
                <w:tcPr>
                  <w:tcW w:w="577" w:type="pct"/>
                  <w:tcBorders>
                    <w:top w:val="single" w:sz="6" w:space="0" w:color="auto"/>
                    <w:left w:val="single" w:sz="6" w:space="0" w:color="auto"/>
                    <w:bottom w:val="single" w:sz="6" w:space="0" w:color="auto"/>
                    <w:right w:val="single" w:sz="6" w:space="0" w:color="auto"/>
                  </w:tcBorders>
                  <w:vAlign w:val="center"/>
                </w:tcPr>
                <w:p w14:paraId="3D5C1CCE"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1C9EF8B" w14:textId="77777777" w:rsidR="00F76A63" w:rsidRDefault="00000000">
                  <w:pPr>
                    <w:jc w:val="center"/>
                    <w:rPr>
                      <w:bCs/>
                      <w:sz w:val="18"/>
                      <w:szCs w:val="18"/>
                    </w:rPr>
                  </w:pPr>
                  <w:r>
                    <w:rPr>
                      <w:bCs/>
                      <w:sz w:val="18"/>
                      <w:szCs w:val="18"/>
                    </w:rPr>
                    <w:t>常温</w:t>
                  </w:r>
                </w:p>
              </w:tc>
            </w:tr>
            <w:tr w:rsidR="00F76A63" w14:paraId="43B459D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F21CBDA" w14:textId="77777777" w:rsidR="00F76A63" w:rsidRDefault="00000000">
                  <w:pPr>
                    <w:jc w:val="center"/>
                    <w:rPr>
                      <w:bCs/>
                      <w:sz w:val="18"/>
                      <w:szCs w:val="18"/>
                    </w:rPr>
                  </w:pPr>
                  <w:r>
                    <w:rPr>
                      <w:bCs/>
                      <w:sz w:val="18"/>
                      <w:szCs w:val="18"/>
                    </w:rPr>
                    <w:t>DA120</w:t>
                  </w:r>
                </w:p>
              </w:tc>
              <w:tc>
                <w:tcPr>
                  <w:tcW w:w="785" w:type="pct"/>
                  <w:tcBorders>
                    <w:top w:val="single" w:sz="6" w:space="0" w:color="auto"/>
                    <w:left w:val="single" w:sz="6" w:space="0" w:color="auto"/>
                    <w:bottom w:val="single" w:sz="6" w:space="0" w:color="auto"/>
                    <w:right w:val="single" w:sz="6" w:space="0" w:color="auto"/>
                  </w:tcBorders>
                  <w:vAlign w:val="center"/>
                </w:tcPr>
                <w:p w14:paraId="5E964861" w14:textId="77777777" w:rsidR="00F76A63" w:rsidRDefault="00000000">
                  <w:pPr>
                    <w:jc w:val="center"/>
                    <w:rPr>
                      <w:bCs/>
                      <w:sz w:val="18"/>
                      <w:szCs w:val="18"/>
                    </w:rPr>
                  </w:pPr>
                  <w:r>
                    <w:rPr>
                      <w:bCs/>
                      <w:sz w:val="18"/>
                      <w:szCs w:val="18"/>
                    </w:rPr>
                    <w:t>1#</w:t>
                  </w:r>
                  <w:r>
                    <w:rPr>
                      <w:bCs/>
                      <w:sz w:val="18"/>
                      <w:szCs w:val="18"/>
                    </w:rPr>
                    <w:t>水泥出库</w:t>
                  </w:r>
                  <w:r>
                    <w:rPr>
                      <w:bCs/>
                      <w:sz w:val="18"/>
                      <w:szCs w:val="18"/>
                    </w:rPr>
                    <w:t>4</w:t>
                  </w:r>
                </w:p>
              </w:tc>
              <w:tc>
                <w:tcPr>
                  <w:tcW w:w="1083" w:type="pct"/>
                  <w:tcBorders>
                    <w:top w:val="single" w:sz="6" w:space="0" w:color="auto"/>
                    <w:left w:val="single" w:sz="6" w:space="0" w:color="auto"/>
                    <w:bottom w:val="single" w:sz="6" w:space="0" w:color="auto"/>
                    <w:right w:val="single" w:sz="6" w:space="0" w:color="auto"/>
                  </w:tcBorders>
                  <w:vAlign w:val="center"/>
                </w:tcPr>
                <w:p w14:paraId="46639771"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5B59A99"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2F8C389"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C72449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6BE75A7" w14:textId="77777777" w:rsidR="00F76A63" w:rsidRDefault="00000000">
                  <w:pPr>
                    <w:jc w:val="center"/>
                    <w:rPr>
                      <w:bCs/>
                      <w:sz w:val="18"/>
                      <w:szCs w:val="18"/>
                    </w:rPr>
                  </w:pPr>
                  <w:r>
                    <w:rPr>
                      <w:bCs/>
                      <w:sz w:val="18"/>
                      <w:szCs w:val="18"/>
                    </w:rPr>
                    <w:t>常温</w:t>
                  </w:r>
                </w:p>
              </w:tc>
            </w:tr>
            <w:tr w:rsidR="00F76A63" w14:paraId="5A9CE49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8E85716" w14:textId="77777777" w:rsidR="00F76A63" w:rsidRDefault="00000000">
                  <w:pPr>
                    <w:jc w:val="center"/>
                    <w:rPr>
                      <w:bCs/>
                      <w:sz w:val="18"/>
                      <w:szCs w:val="18"/>
                    </w:rPr>
                  </w:pPr>
                  <w:r>
                    <w:rPr>
                      <w:bCs/>
                      <w:sz w:val="18"/>
                      <w:szCs w:val="18"/>
                    </w:rPr>
                    <w:t>DA121</w:t>
                  </w:r>
                </w:p>
              </w:tc>
              <w:tc>
                <w:tcPr>
                  <w:tcW w:w="785" w:type="pct"/>
                  <w:tcBorders>
                    <w:top w:val="single" w:sz="6" w:space="0" w:color="auto"/>
                    <w:left w:val="single" w:sz="6" w:space="0" w:color="auto"/>
                    <w:bottom w:val="single" w:sz="6" w:space="0" w:color="auto"/>
                    <w:right w:val="single" w:sz="6" w:space="0" w:color="auto"/>
                  </w:tcBorders>
                  <w:vAlign w:val="center"/>
                </w:tcPr>
                <w:p w14:paraId="0461E51A" w14:textId="77777777" w:rsidR="00F76A63" w:rsidRDefault="00000000">
                  <w:pPr>
                    <w:jc w:val="center"/>
                    <w:rPr>
                      <w:bCs/>
                      <w:sz w:val="18"/>
                      <w:szCs w:val="18"/>
                    </w:rPr>
                  </w:pPr>
                  <w:r>
                    <w:rPr>
                      <w:bCs/>
                      <w:sz w:val="18"/>
                      <w:szCs w:val="18"/>
                    </w:rPr>
                    <w:t>辊压机</w:t>
                  </w:r>
                </w:p>
              </w:tc>
              <w:tc>
                <w:tcPr>
                  <w:tcW w:w="1083" w:type="pct"/>
                  <w:tcBorders>
                    <w:top w:val="single" w:sz="6" w:space="0" w:color="auto"/>
                    <w:left w:val="single" w:sz="6" w:space="0" w:color="auto"/>
                    <w:bottom w:val="single" w:sz="6" w:space="0" w:color="auto"/>
                    <w:right w:val="single" w:sz="6" w:space="0" w:color="auto"/>
                  </w:tcBorders>
                  <w:vAlign w:val="center"/>
                </w:tcPr>
                <w:p w14:paraId="3A9EBE88"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700481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0D973CA" w14:textId="77777777" w:rsidR="00F76A63" w:rsidRDefault="00000000">
                  <w:pPr>
                    <w:jc w:val="center"/>
                    <w:rPr>
                      <w:bCs/>
                      <w:sz w:val="18"/>
                      <w:szCs w:val="18"/>
                    </w:rPr>
                  </w:pPr>
                  <w:r>
                    <w:rPr>
                      <w:bCs/>
                      <w:sz w:val="18"/>
                      <w:szCs w:val="18"/>
                    </w:rPr>
                    <w:t>28</w:t>
                  </w:r>
                </w:p>
              </w:tc>
              <w:tc>
                <w:tcPr>
                  <w:tcW w:w="577" w:type="pct"/>
                  <w:tcBorders>
                    <w:top w:val="single" w:sz="6" w:space="0" w:color="auto"/>
                    <w:left w:val="single" w:sz="6" w:space="0" w:color="auto"/>
                    <w:bottom w:val="single" w:sz="6" w:space="0" w:color="auto"/>
                    <w:right w:val="single" w:sz="6" w:space="0" w:color="auto"/>
                  </w:tcBorders>
                  <w:vAlign w:val="center"/>
                </w:tcPr>
                <w:p w14:paraId="113BEE78" w14:textId="77777777" w:rsidR="00F76A63" w:rsidRDefault="00000000">
                  <w:pPr>
                    <w:jc w:val="center"/>
                    <w:rPr>
                      <w:bCs/>
                      <w:sz w:val="18"/>
                      <w:szCs w:val="18"/>
                    </w:rPr>
                  </w:pPr>
                  <w:r>
                    <w:rPr>
                      <w:bCs/>
                      <w:sz w:val="18"/>
                      <w:szCs w:val="18"/>
                    </w:rPr>
                    <w:t>1.2</w:t>
                  </w:r>
                </w:p>
              </w:tc>
              <w:tc>
                <w:tcPr>
                  <w:tcW w:w="445" w:type="pct"/>
                  <w:tcBorders>
                    <w:top w:val="single" w:sz="6" w:space="0" w:color="auto"/>
                    <w:left w:val="single" w:sz="6" w:space="0" w:color="auto"/>
                    <w:bottom w:val="single" w:sz="6" w:space="0" w:color="auto"/>
                    <w:right w:val="nil"/>
                  </w:tcBorders>
                  <w:vAlign w:val="center"/>
                </w:tcPr>
                <w:p w14:paraId="43381C27" w14:textId="77777777" w:rsidR="00F76A63" w:rsidRDefault="00000000">
                  <w:pPr>
                    <w:jc w:val="center"/>
                    <w:rPr>
                      <w:bCs/>
                      <w:sz w:val="18"/>
                      <w:szCs w:val="18"/>
                    </w:rPr>
                  </w:pPr>
                  <w:r>
                    <w:rPr>
                      <w:bCs/>
                      <w:sz w:val="18"/>
                      <w:szCs w:val="18"/>
                    </w:rPr>
                    <w:t>50</w:t>
                  </w:r>
                </w:p>
              </w:tc>
            </w:tr>
            <w:tr w:rsidR="00F76A63" w14:paraId="6F31E5A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FFAB904" w14:textId="77777777" w:rsidR="00F76A63" w:rsidRDefault="00000000">
                  <w:pPr>
                    <w:jc w:val="center"/>
                    <w:rPr>
                      <w:bCs/>
                      <w:sz w:val="18"/>
                      <w:szCs w:val="18"/>
                    </w:rPr>
                  </w:pPr>
                  <w:r>
                    <w:rPr>
                      <w:bCs/>
                      <w:sz w:val="18"/>
                      <w:szCs w:val="18"/>
                    </w:rPr>
                    <w:t>DA122</w:t>
                  </w:r>
                </w:p>
              </w:tc>
              <w:tc>
                <w:tcPr>
                  <w:tcW w:w="785" w:type="pct"/>
                  <w:tcBorders>
                    <w:top w:val="single" w:sz="6" w:space="0" w:color="auto"/>
                    <w:left w:val="single" w:sz="6" w:space="0" w:color="auto"/>
                    <w:bottom w:val="single" w:sz="6" w:space="0" w:color="auto"/>
                    <w:right w:val="single" w:sz="6" w:space="0" w:color="auto"/>
                  </w:tcBorders>
                  <w:vAlign w:val="center"/>
                </w:tcPr>
                <w:p w14:paraId="6098BCD2" w14:textId="77777777" w:rsidR="00F76A63" w:rsidRDefault="00000000">
                  <w:pPr>
                    <w:jc w:val="center"/>
                    <w:rPr>
                      <w:bCs/>
                      <w:sz w:val="18"/>
                      <w:szCs w:val="18"/>
                    </w:rPr>
                  </w:pPr>
                  <w:r>
                    <w:rPr>
                      <w:bCs/>
                      <w:sz w:val="18"/>
                      <w:szCs w:val="18"/>
                    </w:rPr>
                    <w:t>2#</w:t>
                  </w:r>
                  <w:r>
                    <w:rPr>
                      <w:bCs/>
                      <w:sz w:val="18"/>
                      <w:szCs w:val="18"/>
                    </w:rPr>
                    <w:t>熟料输送</w:t>
                  </w:r>
                  <w:r>
                    <w:rPr>
                      <w:bCs/>
                      <w:sz w:val="18"/>
                      <w:szCs w:val="18"/>
                    </w:rPr>
                    <w:t>7</w:t>
                  </w:r>
                </w:p>
              </w:tc>
              <w:tc>
                <w:tcPr>
                  <w:tcW w:w="1083" w:type="pct"/>
                  <w:tcBorders>
                    <w:top w:val="single" w:sz="6" w:space="0" w:color="auto"/>
                    <w:left w:val="single" w:sz="6" w:space="0" w:color="auto"/>
                    <w:bottom w:val="single" w:sz="6" w:space="0" w:color="auto"/>
                    <w:right w:val="single" w:sz="6" w:space="0" w:color="auto"/>
                  </w:tcBorders>
                  <w:vAlign w:val="center"/>
                </w:tcPr>
                <w:p w14:paraId="5E90B37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04264C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E21F4A0" w14:textId="77777777" w:rsidR="00F76A63" w:rsidRDefault="00000000">
                  <w:pPr>
                    <w:jc w:val="center"/>
                    <w:rPr>
                      <w:bCs/>
                      <w:sz w:val="18"/>
                      <w:szCs w:val="18"/>
                    </w:rPr>
                  </w:pPr>
                  <w:r>
                    <w:rPr>
                      <w:bCs/>
                      <w:sz w:val="18"/>
                      <w:szCs w:val="18"/>
                    </w:rPr>
                    <w:t>22</w:t>
                  </w:r>
                </w:p>
              </w:tc>
              <w:tc>
                <w:tcPr>
                  <w:tcW w:w="577" w:type="pct"/>
                  <w:tcBorders>
                    <w:top w:val="single" w:sz="6" w:space="0" w:color="auto"/>
                    <w:left w:val="single" w:sz="6" w:space="0" w:color="auto"/>
                    <w:bottom w:val="single" w:sz="6" w:space="0" w:color="auto"/>
                    <w:right w:val="single" w:sz="6" w:space="0" w:color="auto"/>
                  </w:tcBorders>
                  <w:vAlign w:val="center"/>
                </w:tcPr>
                <w:p w14:paraId="37B2642F"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1BA328B" w14:textId="77777777" w:rsidR="00F76A63" w:rsidRDefault="00000000">
                  <w:pPr>
                    <w:jc w:val="center"/>
                    <w:rPr>
                      <w:bCs/>
                      <w:sz w:val="18"/>
                      <w:szCs w:val="18"/>
                    </w:rPr>
                  </w:pPr>
                  <w:r>
                    <w:rPr>
                      <w:bCs/>
                      <w:sz w:val="18"/>
                      <w:szCs w:val="18"/>
                    </w:rPr>
                    <w:t>常温</w:t>
                  </w:r>
                </w:p>
              </w:tc>
            </w:tr>
            <w:tr w:rsidR="00F76A63" w14:paraId="7B6A2A8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844D5E4" w14:textId="77777777" w:rsidR="00F76A63" w:rsidRDefault="00000000">
                  <w:pPr>
                    <w:jc w:val="center"/>
                    <w:rPr>
                      <w:bCs/>
                      <w:sz w:val="18"/>
                      <w:szCs w:val="18"/>
                    </w:rPr>
                  </w:pPr>
                  <w:r>
                    <w:rPr>
                      <w:bCs/>
                      <w:sz w:val="18"/>
                      <w:szCs w:val="18"/>
                    </w:rPr>
                    <w:t>DA123</w:t>
                  </w:r>
                </w:p>
              </w:tc>
              <w:tc>
                <w:tcPr>
                  <w:tcW w:w="785" w:type="pct"/>
                  <w:tcBorders>
                    <w:top w:val="single" w:sz="6" w:space="0" w:color="auto"/>
                    <w:left w:val="single" w:sz="6" w:space="0" w:color="auto"/>
                    <w:bottom w:val="single" w:sz="6" w:space="0" w:color="auto"/>
                    <w:right w:val="single" w:sz="6" w:space="0" w:color="auto"/>
                  </w:tcBorders>
                  <w:vAlign w:val="center"/>
                </w:tcPr>
                <w:p w14:paraId="33CE86F0" w14:textId="77777777" w:rsidR="00F76A63" w:rsidRDefault="00000000">
                  <w:pPr>
                    <w:jc w:val="center"/>
                    <w:rPr>
                      <w:bCs/>
                      <w:sz w:val="18"/>
                      <w:szCs w:val="18"/>
                    </w:rPr>
                  </w:pPr>
                  <w:r>
                    <w:rPr>
                      <w:bCs/>
                      <w:sz w:val="18"/>
                      <w:szCs w:val="18"/>
                    </w:rPr>
                    <w:t>2#</w:t>
                  </w:r>
                  <w:r>
                    <w:rPr>
                      <w:bCs/>
                      <w:sz w:val="18"/>
                      <w:szCs w:val="18"/>
                    </w:rPr>
                    <w:t>熟料输送</w:t>
                  </w:r>
                  <w:r>
                    <w:rPr>
                      <w:bCs/>
                      <w:sz w:val="18"/>
                      <w:szCs w:val="18"/>
                    </w:rPr>
                    <w:t>6</w:t>
                  </w:r>
                </w:p>
              </w:tc>
              <w:tc>
                <w:tcPr>
                  <w:tcW w:w="1083" w:type="pct"/>
                  <w:tcBorders>
                    <w:top w:val="single" w:sz="6" w:space="0" w:color="auto"/>
                    <w:left w:val="single" w:sz="6" w:space="0" w:color="auto"/>
                    <w:bottom w:val="single" w:sz="6" w:space="0" w:color="auto"/>
                    <w:right w:val="single" w:sz="6" w:space="0" w:color="auto"/>
                  </w:tcBorders>
                  <w:vAlign w:val="center"/>
                </w:tcPr>
                <w:p w14:paraId="151B696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7A64697"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0EEE9F8" w14:textId="77777777" w:rsidR="00F76A63" w:rsidRDefault="00000000">
                  <w:pPr>
                    <w:jc w:val="center"/>
                    <w:rPr>
                      <w:bCs/>
                      <w:sz w:val="18"/>
                      <w:szCs w:val="18"/>
                    </w:rPr>
                  </w:pPr>
                  <w:r>
                    <w:rPr>
                      <w:bCs/>
                      <w:sz w:val="18"/>
                      <w:szCs w:val="18"/>
                    </w:rPr>
                    <w:t>22</w:t>
                  </w:r>
                </w:p>
              </w:tc>
              <w:tc>
                <w:tcPr>
                  <w:tcW w:w="577" w:type="pct"/>
                  <w:tcBorders>
                    <w:top w:val="single" w:sz="6" w:space="0" w:color="auto"/>
                    <w:left w:val="single" w:sz="6" w:space="0" w:color="auto"/>
                    <w:bottom w:val="single" w:sz="6" w:space="0" w:color="auto"/>
                    <w:right w:val="single" w:sz="6" w:space="0" w:color="auto"/>
                  </w:tcBorders>
                  <w:vAlign w:val="center"/>
                </w:tcPr>
                <w:p w14:paraId="0892A424"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7CAFB2C5" w14:textId="77777777" w:rsidR="00F76A63" w:rsidRDefault="00000000">
                  <w:pPr>
                    <w:jc w:val="center"/>
                    <w:rPr>
                      <w:bCs/>
                      <w:sz w:val="18"/>
                      <w:szCs w:val="18"/>
                    </w:rPr>
                  </w:pPr>
                  <w:r>
                    <w:rPr>
                      <w:bCs/>
                      <w:sz w:val="18"/>
                      <w:szCs w:val="18"/>
                    </w:rPr>
                    <w:t>常温</w:t>
                  </w:r>
                </w:p>
              </w:tc>
            </w:tr>
            <w:tr w:rsidR="00F76A63" w14:paraId="375B9E8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2EE335E" w14:textId="77777777" w:rsidR="00F76A63" w:rsidRDefault="00000000">
                  <w:pPr>
                    <w:jc w:val="center"/>
                    <w:rPr>
                      <w:bCs/>
                      <w:sz w:val="18"/>
                      <w:szCs w:val="18"/>
                    </w:rPr>
                  </w:pPr>
                  <w:r>
                    <w:rPr>
                      <w:bCs/>
                      <w:sz w:val="18"/>
                      <w:szCs w:val="18"/>
                    </w:rPr>
                    <w:lastRenderedPageBreak/>
                    <w:t>DA124</w:t>
                  </w:r>
                </w:p>
              </w:tc>
              <w:tc>
                <w:tcPr>
                  <w:tcW w:w="785" w:type="pct"/>
                  <w:tcBorders>
                    <w:top w:val="single" w:sz="6" w:space="0" w:color="auto"/>
                    <w:left w:val="single" w:sz="6" w:space="0" w:color="auto"/>
                    <w:bottom w:val="single" w:sz="6" w:space="0" w:color="auto"/>
                    <w:right w:val="single" w:sz="6" w:space="0" w:color="auto"/>
                  </w:tcBorders>
                  <w:vAlign w:val="center"/>
                </w:tcPr>
                <w:p w14:paraId="77356B25" w14:textId="77777777" w:rsidR="00F76A63" w:rsidRDefault="00000000">
                  <w:pPr>
                    <w:jc w:val="center"/>
                    <w:rPr>
                      <w:bCs/>
                      <w:sz w:val="18"/>
                      <w:szCs w:val="18"/>
                    </w:rPr>
                  </w:pPr>
                  <w:r>
                    <w:rPr>
                      <w:bCs/>
                      <w:sz w:val="18"/>
                      <w:szCs w:val="18"/>
                    </w:rPr>
                    <w:t>物流输送</w:t>
                  </w:r>
                  <w:r>
                    <w:rPr>
                      <w:bCs/>
                      <w:sz w:val="18"/>
                      <w:szCs w:val="18"/>
                    </w:rPr>
                    <w:t>7</w:t>
                  </w:r>
                </w:p>
              </w:tc>
              <w:tc>
                <w:tcPr>
                  <w:tcW w:w="1083" w:type="pct"/>
                  <w:tcBorders>
                    <w:top w:val="single" w:sz="6" w:space="0" w:color="auto"/>
                    <w:left w:val="single" w:sz="6" w:space="0" w:color="auto"/>
                    <w:bottom w:val="single" w:sz="6" w:space="0" w:color="auto"/>
                    <w:right w:val="single" w:sz="6" w:space="0" w:color="auto"/>
                  </w:tcBorders>
                  <w:vAlign w:val="center"/>
                </w:tcPr>
                <w:p w14:paraId="575C6E0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FF567C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49BB681"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74B551F2"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B159E02" w14:textId="77777777" w:rsidR="00F76A63" w:rsidRDefault="00000000">
                  <w:pPr>
                    <w:jc w:val="center"/>
                    <w:rPr>
                      <w:bCs/>
                      <w:sz w:val="18"/>
                      <w:szCs w:val="18"/>
                    </w:rPr>
                  </w:pPr>
                  <w:r>
                    <w:rPr>
                      <w:bCs/>
                      <w:sz w:val="18"/>
                      <w:szCs w:val="18"/>
                    </w:rPr>
                    <w:t>常温</w:t>
                  </w:r>
                </w:p>
              </w:tc>
            </w:tr>
            <w:tr w:rsidR="00F76A63" w14:paraId="13697764" w14:textId="77777777">
              <w:trPr>
                <w:trHeight w:val="520"/>
                <w:jc w:val="center"/>
              </w:trPr>
              <w:tc>
                <w:tcPr>
                  <w:tcW w:w="510" w:type="pct"/>
                  <w:tcBorders>
                    <w:top w:val="single" w:sz="6" w:space="0" w:color="auto"/>
                    <w:left w:val="nil"/>
                    <w:bottom w:val="single" w:sz="6" w:space="0" w:color="auto"/>
                    <w:right w:val="single" w:sz="6" w:space="0" w:color="auto"/>
                  </w:tcBorders>
                  <w:vAlign w:val="center"/>
                </w:tcPr>
                <w:p w14:paraId="50DE4962" w14:textId="77777777" w:rsidR="00F76A63" w:rsidRDefault="00000000">
                  <w:pPr>
                    <w:jc w:val="center"/>
                    <w:rPr>
                      <w:bCs/>
                      <w:sz w:val="18"/>
                      <w:szCs w:val="18"/>
                    </w:rPr>
                  </w:pPr>
                  <w:r>
                    <w:rPr>
                      <w:bCs/>
                      <w:sz w:val="18"/>
                      <w:szCs w:val="18"/>
                    </w:rPr>
                    <w:t>DA125</w:t>
                  </w:r>
                </w:p>
              </w:tc>
              <w:tc>
                <w:tcPr>
                  <w:tcW w:w="785" w:type="pct"/>
                  <w:tcBorders>
                    <w:top w:val="single" w:sz="6" w:space="0" w:color="auto"/>
                    <w:left w:val="single" w:sz="6" w:space="0" w:color="auto"/>
                    <w:bottom w:val="single" w:sz="6" w:space="0" w:color="auto"/>
                    <w:right w:val="single" w:sz="6" w:space="0" w:color="auto"/>
                  </w:tcBorders>
                  <w:vAlign w:val="center"/>
                </w:tcPr>
                <w:p w14:paraId="7AB21D59" w14:textId="77777777" w:rsidR="00F76A63" w:rsidRDefault="00000000">
                  <w:pPr>
                    <w:jc w:val="center"/>
                    <w:rPr>
                      <w:bCs/>
                      <w:sz w:val="18"/>
                      <w:szCs w:val="18"/>
                    </w:rPr>
                  </w:pPr>
                  <w:r>
                    <w:rPr>
                      <w:bCs/>
                      <w:sz w:val="18"/>
                      <w:szCs w:val="18"/>
                    </w:rPr>
                    <w:t>轮胎破碎</w:t>
                  </w:r>
                </w:p>
              </w:tc>
              <w:tc>
                <w:tcPr>
                  <w:tcW w:w="1083" w:type="pct"/>
                  <w:tcBorders>
                    <w:top w:val="single" w:sz="6" w:space="0" w:color="auto"/>
                    <w:left w:val="single" w:sz="6" w:space="0" w:color="auto"/>
                    <w:bottom w:val="single" w:sz="6" w:space="0" w:color="auto"/>
                    <w:right w:val="single" w:sz="6" w:space="0" w:color="auto"/>
                  </w:tcBorders>
                  <w:vAlign w:val="center"/>
                </w:tcPr>
                <w:p w14:paraId="1E1CDCFD" w14:textId="77777777" w:rsidR="00F76A63" w:rsidRDefault="00000000">
                  <w:pPr>
                    <w:jc w:val="center"/>
                    <w:rPr>
                      <w:bCs/>
                      <w:sz w:val="18"/>
                      <w:szCs w:val="18"/>
                    </w:rPr>
                  </w:pPr>
                  <w:r>
                    <w:rPr>
                      <w:bCs/>
                      <w:sz w:val="18"/>
                      <w:szCs w:val="18"/>
                    </w:rPr>
                    <w:t>颗粒物，硫化氢，臭气浓度，氨（氨气）</w:t>
                  </w:r>
                </w:p>
              </w:tc>
              <w:tc>
                <w:tcPr>
                  <w:tcW w:w="958" w:type="pct"/>
                  <w:tcBorders>
                    <w:top w:val="single" w:sz="6" w:space="0" w:color="auto"/>
                    <w:left w:val="single" w:sz="6" w:space="0" w:color="auto"/>
                    <w:bottom w:val="single" w:sz="6" w:space="0" w:color="auto"/>
                    <w:right w:val="single" w:sz="6" w:space="0" w:color="auto"/>
                  </w:tcBorders>
                  <w:vAlign w:val="center"/>
                </w:tcPr>
                <w:p w14:paraId="5456A0E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A680408"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36F6446"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0366A235" w14:textId="77777777" w:rsidR="00F76A63" w:rsidRDefault="00000000">
                  <w:pPr>
                    <w:jc w:val="center"/>
                    <w:rPr>
                      <w:bCs/>
                      <w:sz w:val="18"/>
                      <w:szCs w:val="18"/>
                    </w:rPr>
                  </w:pPr>
                  <w:r>
                    <w:rPr>
                      <w:bCs/>
                      <w:sz w:val="18"/>
                      <w:szCs w:val="18"/>
                    </w:rPr>
                    <w:t>常温</w:t>
                  </w:r>
                </w:p>
              </w:tc>
            </w:tr>
            <w:tr w:rsidR="00F76A63" w14:paraId="1405F69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015EA47" w14:textId="77777777" w:rsidR="00F76A63" w:rsidRDefault="00000000">
                  <w:pPr>
                    <w:jc w:val="center"/>
                    <w:rPr>
                      <w:bCs/>
                      <w:sz w:val="18"/>
                      <w:szCs w:val="18"/>
                    </w:rPr>
                  </w:pPr>
                  <w:r>
                    <w:rPr>
                      <w:bCs/>
                      <w:sz w:val="18"/>
                      <w:szCs w:val="18"/>
                    </w:rPr>
                    <w:t>DA126</w:t>
                  </w:r>
                </w:p>
              </w:tc>
              <w:tc>
                <w:tcPr>
                  <w:tcW w:w="785" w:type="pct"/>
                  <w:tcBorders>
                    <w:top w:val="single" w:sz="6" w:space="0" w:color="auto"/>
                    <w:left w:val="single" w:sz="6" w:space="0" w:color="auto"/>
                    <w:bottom w:val="single" w:sz="6" w:space="0" w:color="auto"/>
                    <w:right w:val="single" w:sz="6" w:space="0" w:color="auto"/>
                  </w:tcBorders>
                  <w:vAlign w:val="center"/>
                </w:tcPr>
                <w:p w14:paraId="73C99369" w14:textId="77777777" w:rsidR="00F76A63" w:rsidRDefault="00000000">
                  <w:pPr>
                    <w:jc w:val="center"/>
                    <w:rPr>
                      <w:bCs/>
                      <w:sz w:val="18"/>
                      <w:szCs w:val="18"/>
                    </w:rPr>
                  </w:pPr>
                  <w:r>
                    <w:rPr>
                      <w:bCs/>
                      <w:sz w:val="18"/>
                      <w:szCs w:val="18"/>
                    </w:rPr>
                    <w:t>原料输送</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1729196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EBF905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611BF09" w14:textId="77777777" w:rsidR="00F76A63" w:rsidRDefault="00000000">
                  <w:pPr>
                    <w:jc w:val="center"/>
                    <w:rPr>
                      <w:bCs/>
                      <w:sz w:val="18"/>
                      <w:szCs w:val="18"/>
                    </w:rPr>
                  </w:pPr>
                  <w:r>
                    <w:rPr>
                      <w:bCs/>
                      <w:sz w:val="18"/>
                      <w:szCs w:val="18"/>
                    </w:rPr>
                    <w:t>22</w:t>
                  </w:r>
                </w:p>
              </w:tc>
              <w:tc>
                <w:tcPr>
                  <w:tcW w:w="577" w:type="pct"/>
                  <w:tcBorders>
                    <w:top w:val="single" w:sz="6" w:space="0" w:color="auto"/>
                    <w:left w:val="single" w:sz="6" w:space="0" w:color="auto"/>
                    <w:bottom w:val="single" w:sz="6" w:space="0" w:color="auto"/>
                    <w:right w:val="single" w:sz="6" w:space="0" w:color="auto"/>
                  </w:tcBorders>
                  <w:vAlign w:val="center"/>
                </w:tcPr>
                <w:p w14:paraId="61DA9D26" w14:textId="77777777" w:rsidR="00F76A63" w:rsidRDefault="00000000">
                  <w:pPr>
                    <w:jc w:val="center"/>
                    <w:rPr>
                      <w:bCs/>
                      <w:sz w:val="18"/>
                      <w:szCs w:val="18"/>
                    </w:rPr>
                  </w:pPr>
                  <w:r>
                    <w:rPr>
                      <w:bCs/>
                      <w:sz w:val="18"/>
                      <w:szCs w:val="18"/>
                    </w:rPr>
                    <w:t>0.6</w:t>
                  </w:r>
                </w:p>
              </w:tc>
              <w:tc>
                <w:tcPr>
                  <w:tcW w:w="445" w:type="pct"/>
                  <w:tcBorders>
                    <w:top w:val="single" w:sz="6" w:space="0" w:color="auto"/>
                    <w:left w:val="single" w:sz="6" w:space="0" w:color="auto"/>
                    <w:bottom w:val="single" w:sz="6" w:space="0" w:color="auto"/>
                    <w:right w:val="nil"/>
                  </w:tcBorders>
                  <w:vAlign w:val="center"/>
                </w:tcPr>
                <w:p w14:paraId="1ACBB5B1" w14:textId="77777777" w:rsidR="00F76A63" w:rsidRDefault="00000000">
                  <w:pPr>
                    <w:jc w:val="center"/>
                    <w:rPr>
                      <w:bCs/>
                      <w:sz w:val="18"/>
                      <w:szCs w:val="18"/>
                    </w:rPr>
                  </w:pPr>
                  <w:r>
                    <w:rPr>
                      <w:bCs/>
                      <w:sz w:val="18"/>
                      <w:szCs w:val="18"/>
                    </w:rPr>
                    <w:t>常温</w:t>
                  </w:r>
                </w:p>
              </w:tc>
            </w:tr>
            <w:tr w:rsidR="00F76A63" w14:paraId="0544FED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3D17D35" w14:textId="77777777" w:rsidR="00F76A63" w:rsidRDefault="00000000">
                  <w:pPr>
                    <w:jc w:val="center"/>
                    <w:rPr>
                      <w:bCs/>
                      <w:sz w:val="18"/>
                      <w:szCs w:val="18"/>
                    </w:rPr>
                  </w:pPr>
                  <w:r>
                    <w:rPr>
                      <w:bCs/>
                      <w:sz w:val="18"/>
                      <w:szCs w:val="18"/>
                    </w:rPr>
                    <w:t>DA127</w:t>
                  </w:r>
                </w:p>
              </w:tc>
              <w:tc>
                <w:tcPr>
                  <w:tcW w:w="785" w:type="pct"/>
                  <w:tcBorders>
                    <w:top w:val="single" w:sz="6" w:space="0" w:color="auto"/>
                    <w:left w:val="single" w:sz="6" w:space="0" w:color="auto"/>
                    <w:bottom w:val="single" w:sz="6" w:space="0" w:color="auto"/>
                    <w:right w:val="single" w:sz="6" w:space="0" w:color="auto"/>
                  </w:tcBorders>
                  <w:vAlign w:val="center"/>
                </w:tcPr>
                <w:p w14:paraId="56BD343E" w14:textId="77777777" w:rsidR="00F76A63" w:rsidRDefault="00000000">
                  <w:pPr>
                    <w:jc w:val="center"/>
                    <w:rPr>
                      <w:bCs/>
                      <w:sz w:val="18"/>
                      <w:szCs w:val="18"/>
                    </w:rPr>
                  </w:pPr>
                  <w:r>
                    <w:rPr>
                      <w:bCs/>
                      <w:sz w:val="18"/>
                      <w:szCs w:val="18"/>
                    </w:rPr>
                    <w:t>原料输送</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338A0E2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24CFF8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EF2A079"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6D032D07" w14:textId="77777777" w:rsidR="00F76A63" w:rsidRDefault="00000000">
                  <w:pPr>
                    <w:jc w:val="center"/>
                    <w:rPr>
                      <w:bCs/>
                      <w:sz w:val="18"/>
                      <w:szCs w:val="18"/>
                    </w:rPr>
                  </w:pPr>
                  <w:r>
                    <w:rPr>
                      <w:bCs/>
                      <w:sz w:val="18"/>
                      <w:szCs w:val="18"/>
                    </w:rPr>
                    <w:t>0.6</w:t>
                  </w:r>
                </w:p>
              </w:tc>
              <w:tc>
                <w:tcPr>
                  <w:tcW w:w="445" w:type="pct"/>
                  <w:tcBorders>
                    <w:top w:val="single" w:sz="6" w:space="0" w:color="auto"/>
                    <w:left w:val="single" w:sz="6" w:space="0" w:color="auto"/>
                    <w:bottom w:val="single" w:sz="6" w:space="0" w:color="auto"/>
                    <w:right w:val="nil"/>
                  </w:tcBorders>
                  <w:vAlign w:val="center"/>
                </w:tcPr>
                <w:p w14:paraId="2DE3551D" w14:textId="77777777" w:rsidR="00F76A63" w:rsidRDefault="00000000">
                  <w:pPr>
                    <w:jc w:val="center"/>
                    <w:rPr>
                      <w:bCs/>
                      <w:sz w:val="18"/>
                      <w:szCs w:val="18"/>
                    </w:rPr>
                  </w:pPr>
                  <w:r>
                    <w:rPr>
                      <w:bCs/>
                      <w:sz w:val="18"/>
                      <w:szCs w:val="18"/>
                    </w:rPr>
                    <w:t>50</w:t>
                  </w:r>
                </w:p>
              </w:tc>
            </w:tr>
            <w:tr w:rsidR="00F76A63" w14:paraId="4FC6FF3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2F17EFB" w14:textId="77777777" w:rsidR="00F76A63" w:rsidRDefault="00000000">
                  <w:pPr>
                    <w:jc w:val="center"/>
                    <w:rPr>
                      <w:bCs/>
                      <w:sz w:val="18"/>
                      <w:szCs w:val="18"/>
                    </w:rPr>
                  </w:pPr>
                  <w:r>
                    <w:rPr>
                      <w:bCs/>
                      <w:sz w:val="18"/>
                      <w:szCs w:val="18"/>
                    </w:rPr>
                    <w:t>DA128</w:t>
                  </w:r>
                </w:p>
              </w:tc>
              <w:tc>
                <w:tcPr>
                  <w:tcW w:w="785" w:type="pct"/>
                  <w:tcBorders>
                    <w:top w:val="single" w:sz="6" w:space="0" w:color="auto"/>
                    <w:left w:val="single" w:sz="6" w:space="0" w:color="auto"/>
                    <w:bottom w:val="single" w:sz="6" w:space="0" w:color="auto"/>
                    <w:right w:val="single" w:sz="6" w:space="0" w:color="auto"/>
                  </w:tcBorders>
                  <w:vAlign w:val="center"/>
                </w:tcPr>
                <w:p w14:paraId="45A14D35" w14:textId="77777777" w:rsidR="00F76A63" w:rsidRDefault="00000000">
                  <w:pPr>
                    <w:jc w:val="center"/>
                    <w:rPr>
                      <w:bCs/>
                      <w:sz w:val="18"/>
                      <w:szCs w:val="18"/>
                    </w:rPr>
                  </w:pPr>
                  <w:r>
                    <w:rPr>
                      <w:bCs/>
                      <w:sz w:val="18"/>
                      <w:szCs w:val="18"/>
                    </w:rPr>
                    <w:t>2#</w:t>
                  </w:r>
                  <w:r>
                    <w:rPr>
                      <w:bCs/>
                      <w:sz w:val="18"/>
                      <w:szCs w:val="18"/>
                    </w:rPr>
                    <w:t>入库输送</w:t>
                  </w:r>
                </w:p>
              </w:tc>
              <w:tc>
                <w:tcPr>
                  <w:tcW w:w="1083" w:type="pct"/>
                  <w:tcBorders>
                    <w:top w:val="single" w:sz="6" w:space="0" w:color="auto"/>
                    <w:left w:val="single" w:sz="6" w:space="0" w:color="auto"/>
                    <w:bottom w:val="single" w:sz="6" w:space="0" w:color="auto"/>
                    <w:right w:val="single" w:sz="6" w:space="0" w:color="auto"/>
                  </w:tcBorders>
                  <w:vAlign w:val="center"/>
                </w:tcPr>
                <w:p w14:paraId="581BC4E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C5E3CF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655C885" w14:textId="77777777" w:rsidR="00F76A63" w:rsidRDefault="00000000">
                  <w:pPr>
                    <w:jc w:val="center"/>
                    <w:rPr>
                      <w:bCs/>
                      <w:sz w:val="18"/>
                      <w:szCs w:val="18"/>
                    </w:rPr>
                  </w:pPr>
                  <w:r>
                    <w:rPr>
                      <w:bCs/>
                      <w:sz w:val="18"/>
                      <w:szCs w:val="18"/>
                    </w:rPr>
                    <w:t>23</w:t>
                  </w:r>
                </w:p>
              </w:tc>
              <w:tc>
                <w:tcPr>
                  <w:tcW w:w="577" w:type="pct"/>
                  <w:tcBorders>
                    <w:top w:val="single" w:sz="6" w:space="0" w:color="auto"/>
                    <w:left w:val="single" w:sz="6" w:space="0" w:color="auto"/>
                    <w:bottom w:val="single" w:sz="6" w:space="0" w:color="auto"/>
                    <w:right w:val="single" w:sz="6" w:space="0" w:color="auto"/>
                  </w:tcBorders>
                  <w:vAlign w:val="center"/>
                </w:tcPr>
                <w:p w14:paraId="23FA424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2CE4F5A" w14:textId="77777777" w:rsidR="00F76A63" w:rsidRDefault="00000000">
                  <w:pPr>
                    <w:jc w:val="center"/>
                    <w:rPr>
                      <w:bCs/>
                      <w:sz w:val="18"/>
                      <w:szCs w:val="18"/>
                    </w:rPr>
                  </w:pPr>
                  <w:r>
                    <w:rPr>
                      <w:bCs/>
                      <w:sz w:val="18"/>
                      <w:szCs w:val="18"/>
                    </w:rPr>
                    <w:t>常温</w:t>
                  </w:r>
                </w:p>
              </w:tc>
            </w:tr>
            <w:tr w:rsidR="00F76A63" w14:paraId="4FD07BA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038F04A" w14:textId="77777777" w:rsidR="00F76A63" w:rsidRDefault="00000000">
                  <w:pPr>
                    <w:jc w:val="center"/>
                    <w:rPr>
                      <w:bCs/>
                      <w:sz w:val="18"/>
                      <w:szCs w:val="18"/>
                    </w:rPr>
                  </w:pPr>
                  <w:r>
                    <w:rPr>
                      <w:bCs/>
                      <w:sz w:val="18"/>
                      <w:szCs w:val="18"/>
                    </w:rPr>
                    <w:t>DA129</w:t>
                  </w:r>
                </w:p>
              </w:tc>
              <w:tc>
                <w:tcPr>
                  <w:tcW w:w="785" w:type="pct"/>
                  <w:tcBorders>
                    <w:top w:val="single" w:sz="6" w:space="0" w:color="auto"/>
                    <w:left w:val="single" w:sz="6" w:space="0" w:color="auto"/>
                    <w:bottom w:val="single" w:sz="6" w:space="0" w:color="auto"/>
                    <w:right w:val="single" w:sz="6" w:space="0" w:color="auto"/>
                  </w:tcBorders>
                  <w:vAlign w:val="center"/>
                </w:tcPr>
                <w:p w14:paraId="43671987" w14:textId="77777777" w:rsidR="00F76A63" w:rsidRDefault="00000000">
                  <w:pPr>
                    <w:jc w:val="center"/>
                    <w:rPr>
                      <w:bCs/>
                      <w:sz w:val="18"/>
                      <w:szCs w:val="18"/>
                    </w:rPr>
                  </w:pPr>
                  <w:r>
                    <w:rPr>
                      <w:bCs/>
                      <w:sz w:val="18"/>
                      <w:szCs w:val="18"/>
                    </w:rPr>
                    <w:t>1#</w:t>
                  </w:r>
                  <w:r>
                    <w:rPr>
                      <w:bCs/>
                      <w:sz w:val="18"/>
                      <w:szCs w:val="18"/>
                    </w:rPr>
                    <w:t>石灰石仓</w:t>
                  </w:r>
                </w:p>
              </w:tc>
              <w:tc>
                <w:tcPr>
                  <w:tcW w:w="1083" w:type="pct"/>
                  <w:tcBorders>
                    <w:top w:val="single" w:sz="6" w:space="0" w:color="auto"/>
                    <w:left w:val="single" w:sz="6" w:space="0" w:color="auto"/>
                    <w:bottom w:val="single" w:sz="6" w:space="0" w:color="auto"/>
                    <w:right w:val="single" w:sz="6" w:space="0" w:color="auto"/>
                  </w:tcBorders>
                  <w:vAlign w:val="center"/>
                </w:tcPr>
                <w:p w14:paraId="654B374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1951DA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09E53C0" w14:textId="77777777" w:rsidR="00F76A63" w:rsidRDefault="00000000">
                  <w:pPr>
                    <w:jc w:val="center"/>
                    <w:rPr>
                      <w:bCs/>
                      <w:sz w:val="18"/>
                      <w:szCs w:val="18"/>
                    </w:rPr>
                  </w:pPr>
                  <w:r>
                    <w:rPr>
                      <w:bCs/>
                      <w:sz w:val="18"/>
                      <w:szCs w:val="18"/>
                    </w:rPr>
                    <w:t>50</w:t>
                  </w:r>
                </w:p>
              </w:tc>
              <w:tc>
                <w:tcPr>
                  <w:tcW w:w="577" w:type="pct"/>
                  <w:tcBorders>
                    <w:top w:val="single" w:sz="6" w:space="0" w:color="auto"/>
                    <w:left w:val="single" w:sz="6" w:space="0" w:color="auto"/>
                    <w:bottom w:val="single" w:sz="6" w:space="0" w:color="auto"/>
                    <w:right w:val="single" w:sz="6" w:space="0" w:color="auto"/>
                  </w:tcBorders>
                  <w:vAlign w:val="center"/>
                </w:tcPr>
                <w:p w14:paraId="74FFB14E" w14:textId="77777777" w:rsidR="00F76A63" w:rsidRDefault="00000000">
                  <w:pPr>
                    <w:jc w:val="center"/>
                    <w:rPr>
                      <w:bCs/>
                      <w:sz w:val="18"/>
                      <w:szCs w:val="18"/>
                    </w:rPr>
                  </w:pPr>
                  <w:r>
                    <w:rPr>
                      <w:bCs/>
                      <w:sz w:val="18"/>
                      <w:szCs w:val="18"/>
                    </w:rPr>
                    <w:t>0.35</w:t>
                  </w:r>
                </w:p>
              </w:tc>
              <w:tc>
                <w:tcPr>
                  <w:tcW w:w="445" w:type="pct"/>
                  <w:tcBorders>
                    <w:top w:val="single" w:sz="6" w:space="0" w:color="auto"/>
                    <w:left w:val="single" w:sz="6" w:space="0" w:color="auto"/>
                    <w:bottom w:val="single" w:sz="6" w:space="0" w:color="auto"/>
                    <w:right w:val="nil"/>
                  </w:tcBorders>
                  <w:vAlign w:val="center"/>
                </w:tcPr>
                <w:p w14:paraId="10420542" w14:textId="77777777" w:rsidR="00F76A63" w:rsidRDefault="00000000">
                  <w:pPr>
                    <w:jc w:val="center"/>
                    <w:rPr>
                      <w:bCs/>
                      <w:sz w:val="18"/>
                      <w:szCs w:val="18"/>
                    </w:rPr>
                  </w:pPr>
                  <w:r>
                    <w:rPr>
                      <w:bCs/>
                      <w:sz w:val="18"/>
                      <w:szCs w:val="18"/>
                    </w:rPr>
                    <w:t>70</w:t>
                  </w:r>
                </w:p>
              </w:tc>
            </w:tr>
            <w:tr w:rsidR="00F76A63" w14:paraId="0E04F56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C23DAB5" w14:textId="77777777" w:rsidR="00F76A63" w:rsidRDefault="00000000">
                  <w:pPr>
                    <w:jc w:val="center"/>
                    <w:rPr>
                      <w:bCs/>
                      <w:sz w:val="18"/>
                      <w:szCs w:val="18"/>
                    </w:rPr>
                  </w:pPr>
                  <w:r>
                    <w:rPr>
                      <w:bCs/>
                      <w:sz w:val="18"/>
                      <w:szCs w:val="18"/>
                    </w:rPr>
                    <w:t>DA130</w:t>
                  </w:r>
                </w:p>
              </w:tc>
              <w:tc>
                <w:tcPr>
                  <w:tcW w:w="785" w:type="pct"/>
                  <w:tcBorders>
                    <w:top w:val="single" w:sz="6" w:space="0" w:color="auto"/>
                    <w:left w:val="single" w:sz="6" w:space="0" w:color="auto"/>
                    <w:bottom w:val="single" w:sz="6" w:space="0" w:color="auto"/>
                    <w:right w:val="single" w:sz="6" w:space="0" w:color="auto"/>
                  </w:tcBorders>
                  <w:vAlign w:val="center"/>
                </w:tcPr>
                <w:p w14:paraId="568A17F6" w14:textId="77777777" w:rsidR="00F76A63" w:rsidRDefault="00000000">
                  <w:pPr>
                    <w:jc w:val="center"/>
                    <w:rPr>
                      <w:bCs/>
                      <w:sz w:val="18"/>
                      <w:szCs w:val="18"/>
                    </w:rPr>
                  </w:pPr>
                  <w:r>
                    <w:rPr>
                      <w:bCs/>
                      <w:sz w:val="18"/>
                      <w:szCs w:val="18"/>
                    </w:rPr>
                    <w:t>1#</w:t>
                  </w:r>
                  <w:r>
                    <w:rPr>
                      <w:bCs/>
                      <w:sz w:val="18"/>
                      <w:szCs w:val="18"/>
                    </w:rPr>
                    <w:t>熟料仓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0AC619C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CD79FD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71CC072" w14:textId="77777777" w:rsidR="00F76A63" w:rsidRDefault="00000000">
                  <w:pPr>
                    <w:jc w:val="center"/>
                    <w:rPr>
                      <w:bCs/>
                      <w:sz w:val="18"/>
                      <w:szCs w:val="18"/>
                    </w:rPr>
                  </w:pPr>
                  <w:r>
                    <w:rPr>
                      <w:bCs/>
                      <w:sz w:val="18"/>
                      <w:szCs w:val="18"/>
                    </w:rPr>
                    <w:t>28</w:t>
                  </w:r>
                </w:p>
              </w:tc>
              <w:tc>
                <w:tcPr>
                  <w:tcW w:w="577" w:type="pct"/>
                  <w:tcBorders>
                    <w:top w:val="single" w:sz="6" w:space="0" w:color="auto"/>
                    <w:left w:val="single" w:sz="6" w:space="0" w:color="auto"/>
                    <w:bottom w:val="single" w:sz="6" w:space="0" w:color="auto"/>
                    <w:right w:val="single" w:sz="6" w:space="0" w:color="auto"/>
                  </w:tcBorders>
                  <w:vAlign w:val="center"/>
                </w:tcPr>
                <w:p w14:paraId="150FA344"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3F736FB" w14:textId="77777777" w:rsidR="00F76A63" w:rsidRDefault="00000000">
                  <w:pPr>
                    <w:jc w:val="center"/>
                    <w:rPr>
                      <w:bCs/>
                      <w:sz w:val="18"/>
                      <w:szCs w:val="18"/>
                    </w:rPr>
                  </w:pPr>
                  <w:r>
                    <w:rPr>
                      <w:bCs/>
                      <w:sz w:val="18"/>
                      <w:szCs w:val="18"/>
                    </w:rPr>
                    <w:t>45</w:t>
                  </w:r>
                </w:p>
              </w:tc>
            </w:tr>
            <w:tr w:rsidR="00F76A63" w14:paraId="3153817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F474F6D" w14:textId="77777777" w:rsidR="00F76A63" w:rsidRDefault="00000000">
                  <w:pPr>
                    <w:jc w:val="center"/>
                    <w:rPr>
                      <w:bCs/>
                      <w:sz w:val="18"/>
                      <w:szCs w:val="18"/>
                    </w:rPr>
                  </w:pPr>
                  <w:r>
                    <w:rPr>
                      <w:bCs/>
                      <w:sz w:val="18"/>
                      <w:szCs w:val="18"/>
                    </w:rPr>
                    <w:t>DA131</w:t>
                  </w:r>
                </w:p>
              </w:tc>
              <w:tc>
                <w:tcPr>
                  <w:tcW w:w="785" w:type="pct"/>
                  <w:tcBorders>
                    <w:top w:val="single" w:sz="6" w:space="0" w:color="auto"/>
                    <w:left w:val="single" w:sz="6" w:space="0" w:color="auto"/>
                    <w:bottom w:val="single" w:sz="6" w:space="0" w:color="auto"/>
                    <w:right w:val="single" w:sz="6" w:space="0" w:color="auto"/>
                  </w:tcBorders>
                  <w:vAlign w:val="center"/>
                </w:tcPr>
                <w:p w14:paraId="1DBEEEBA" w14:textId="77777777" w:rsidR="00F76A63" w:rsidRDefault="00000000">
                  <w:pPr>
                    <w:jc w:val="center"/>
                    <w:rPr>
                      <w:bCs/>
                      <w:sz w:val="18"/>
                      <w:szCs w:val="18"/>
                    </w:rPr>
                  </w:pPr>
                  <w:r>
                    <w:rPr>
                      <w:bCs/>
                      <w:sz w:val="18"/>
                      <w:szCs w:val="18"/>
                    </w:rPr>
                    <w:t>1#</w:t>
                  </w:r>
                  <w:r>
                    <w:rPr>
                      <w:bCs/>
                      <w:sz w:val="18"/>
                      <w:szCs w:val="18"/>
                    </w:rPr>
                    <w:t>熟料仓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40D91F3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48FBCC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948F2EE" w14:textId="77777777" w:rsidR="00F76A63" w:rsidRDefault="00000000">
                  <w:pPr>
                    <w:jc w:val="center"/>
                    <w:rPr>
                      <w:bCs/>
                      <w:sz w:val="18"/>
                      <w:szCs w:val="18"/>
                    </w:rPr>
                  </w:pPr>
                  <w:r>
                    <w:rPr>
                      <w:bCs/>
                      <w:sz w:val="18"/>
                      <w:szCs w:val="18"/>
                    </w:rPr>
                    <w:t>16</w:t>
                  </w:r>
                </w:p>
              </w:tc>
              <w:tc>
                <w:tcPr>
                  <w:tcW w:w="577" w:type="pct"/>
                  <w:tcBorders>
                    <w:top w:val="single" w:sz="6" w:space="0" w:color="auto"/>
                    <w:left w:val="single" w:sz="6" w:space="0" w:color="auto"/>
                    <w:bottom w:val="single" w:sz="6" w:space="0" w:color="auto"/>
                    <w:right w:val="single" w:sz="6" w:space="0" w:color="auto"/>
                  </w:tcBorders>
                  <w:vAlign w:val="center"/>
                </w:tcPr>
                <w:p w14:paraId="7E9C84DA" w14:textId="77777777" w:rsidR="00F76A63" w:rsidRDefault="00000000">
                  <w:pPr>
                    <w:jc w:val="center"/>
                    <w:rPr>
                      <w:bCs/>
                      <w:sz w:val="18"/>
                      <w:szCs w:val="18"/>
                    </w:rPr>
                  </w:pPr>
                  <w:r>
                    <w:rPr>
                      <w:bCs/>
                      <w:sz w:val="18"/>
                      <w:szCs w:val="18"/>
                    </w:rPr>
                    <w:t>0.35</w:t>
                  </w:r>
                </w:p>
              </w:tc>
              <w:tc>
                <w:tcPr>
                  <w:tcW w:w="445" w:type="pct"/>
                  <w:tcBorders>
                    <w:top w:val="single" w:sz="6" w:space="0" w:color="auto"/>
                    <w:left w:val="single" w:sz="6" w:space="0" w:color="auto"/>
                    <w:bottom w:val="single" w:sz="6" w:space="0" w:color="auto"/>
                    <w:right w:val="nil"/>
                  </w:tcBorders>
                  <w:vAlign w:val="center"/>
                </w:tcPr>
                <w:p w14:paraId="55A18AB7" w14:textId="77777777" w:rsidR="00F76A63" w:rsidRDefault="00000000">
                  <w:pPr>
                    <w:jc w:val="center"/>
                    <w:rPr>
                      <w:bCs/>
                      <w:sz w:val="18"/>
                      <w:szCs w:val="18"/>
                    </w:rPr>
                  </w:pPr>
                  <w:r>
                    <w:rPr>
                      <w:bCs/>
                      <w:sz w:val="18"/>
                      <w:szCs w:val="18"/>
                    </w:rPr>
                    <w:t>常温</w:t>
                  </w:r>
                </w:p>
              </w:tc>
            </w:tr>
            <w:tr w:rsidR="00F76A63" w14:paraId="48602EB6"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B9BB801" w14:textId="77777777" w:rsidR="00F76A63" w:rsidRDefault="00000000">
                  <w:pPr>
                    <w:jc w:val="center"/>
                    <w:rPr>
                      <w:bCs/>
                      <w:sz w:val="18"/>
                      <w:szCs w:val="18"/>
                    </w:rPr>
                  </w:pPr>
                  <w:r>
                    <w:rPr>
                      <w:bCs/>
                      <w:sz w:val="18"/>
                      <w:szCs w:val="18"/>
                    </w:rPr>
                    <w:t>DA132</w:t>
                  </w:r>
                </w:p>
              </w:tc>
              <w:tc>
                <w:tcPr>
                  <w:tcW w:w="785" w:type="pct"/>
                  <w:tcBorders>
                    <w:top w:val="single" w:sz="6" w:space="0" w:color="auto"/>
                    <w:left w:val="single" w:sz="6" w:space="0" w:color="auto"/>
                    <w:bottom w:val="single" w:sz="6" w:space="0" w:color="auto"/>
                    <w:right w:val="single" w:sz="6" w:space="0" w:color="auto"/>
                  </w:tcBorders>
                  <w:vAlign w:val="center"/>
                </w:tcPr>
                <w:p w14:paraId="4FEEFA85" w14:textId="77777777" w:rsidR="00F76A63" w:rsidRDefault="00000000">
                  <w:pPr>
                    <w:jc w:val="center"/>
                    <w:rPr>
                      <w:bCs/>
                      <w:sz w:val="18"/>
                      <w:szCs w:val="18"/>
                    </w:rPr>
                  </w:pPr>
                  <w:r>
                    <w:rPr>
                      <w:bCs/>
                      <w:sz w:val="18"/>
                      <w:szCs w:val="18"/>
                    </w:rPr>
                    <w:t>1#</w:t>
                  </w:r>
                  <w:r>
                    <w:rPr>
                      <w:bCs/>
                      <w:sz w:val="18"/>
                      <w:szCs w:val="18"/>
                    </w:rPr>
                    <w:t>盘运机</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1E0D996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AC3038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669FB5F" w14:textId="77777777" w:rsidR="00F76A63" w:rsidRDefault="00000000">
                  <w:pPr>
                    <w:jc w:val="center"/>
                    <w:rPr>
                      <w:bCs/>
                      <w:sz w:val="18"/>
                      <w:szCs w:val="18"/>
                    </w:rPr>
                  </w:pPr>
                  <w:r>
                    <w:rPr>
                      <w:bCs/>
                      <w:sz w:val="18"/>
                      <w:szCs w:val="18"/>
                    </w:rPr>
                    <w:t>18</w:t>
                  </w:r>
                </w:p>
              </w:tc>
              <w:tc>
                <w:tcPr>
                  <w:tcW w:w="577" w:type="pct"/>
                  <w:tcBorders>
                    <w:top w:val="single" w:sz="6" w:space="0" w:color="auto"/>
                    <w:left w:val="single" w:sz="6" w:space="0" w:color="auto"/>
                    <w:bottom w:val="single" w:sz="6" w:space="0" w:color="auto"/>
                    <w:right w:val="single" w:sz="6" w:space="0" w:color="auto"/>
                  </w:tcBorders>
                  <w:vAlign w:val="center"/>
                </w:tcPr>
                <w:p w14:paraId="5ADD5C5A"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792CD7D0" w14:textId="77777777" w:rsidR="00F76A63" w:rsidRDefault="00000000">
                  <w:pPr>
                    <w:jc w:val="center"/>
                    <w:rPr>
                      <w:bCs/>
                      <w:sz w:val="18"/>
                      <w:szCs w:val="18"/>
                    </w:rPr>
                  </w:pPr>
                  <w:r>
                    <w:rPr>
                      <w:bCs/>
                      <w:sz w:val="18"/>
                      <w:szCs w:val="18"/>
                    </w:rPr>
                    <w:t>50</w:t>
                  </w:r>
                </w:p>
              </w:tc>
            </w:tr>
            <w:tr w:rsidR="00F76A63" w14:paraId="0E13DA70"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CECE88A" w14:textId="77777777" w:rsidR="00F76A63" w:rsidRDefault="00000000">
                  <w:pPr>
                    <w:jc w:val="center"/>
                    <w:rPr>
                      <w:bCs/>
                      <w:sz w:val="18"/>
                      <w:szCs w:val="18"/>
                    </w:rPr>
                  </w:pPr>
                  <w:r>
                    <w:rPr>
                      <w:bCs/>
                      <w:sz w:val="18"/>
                      <w:szCs w:val="18"/>
                    </w:rPr>
                    <w:t>DA133</w:t>
                  </w:r>
                </w:p>
              </w:tc>
              <w:tc>
                <w:tcPr>
                  <w:tcW w:w="785" w:type="pct"/>
                  <w:tcBorders>
                    <w:top w:val="single" w:sz="6" w:space="0" w:color="auto"/>
                    <w:left w:val="single" w:sz="6" w:space="0" w:color="auto"/>
                    <w:bottom w:val="single" w:sz="6" w:space="0" w:color="auto"/>
                    <w:right w:val="single" w:sz="6" w:space="0" w:color="auto"/>
                  </w:tcBorders>
                  <w:vAlign w:val="center"/>
                </w:tcPr>
                <w:p w14:paraId="17A1C99B" w14:textId="77777777" w:rsidR="00F76A63" w:rsidRDefault="00000000">
                  <w:pPr>
                    <w:jc w:val="center"/>
                    <w:rPr>
                      <w:bCs/>
                      <w:sz w:val="18"/>
                      <w:szCs w:val="18"/>
                    </w:rPr>
                  </w:pPr>
                  <w:r>
                    <w:rPr>
                      <w:bCs/>
                      <w:sz w:val="18"/>
                      <w:szCs w:val="18"/>
                    </w:rPr>
                    <w:t>1#</w:t>
                  </w:r>
                  <w:r>
                    <w:rPr>
                      <w:bCs/>
                      <w:sz w:val="18"/>
                      <w:szCs w:val="18"/>
                    </w:rPr>
                    <w:t>盘运机</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34C0001F"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4D183A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4B5323B" w14:textId="77777777" w:rsidR="00F76A63" w:rsidRDefault="00000000">
                  <w:pPr>
                    <w:jc w:val="center"/>
                    <w:rPr>
                      <w:bCs/>
                      <w:sz w:val="18"/>
                      <w:szCs w:val="18"/>
                    </w:rPr>
                  </w:pPr>
                  <w:r>
                    <w:rPr>
                      <w:bCs/>
                      <w:sz w:val="18"/>
                      <w:szCs w:val="18"/>
                    </w:rPr>
                    <w:t>46</w:t>
                  </w:r>
                </w:p>
              </w:tc>
              <w:tc>
                <w:tcPr>
                  <w:tcW w:w="577" w:type="pct"/>
                  <w:tcBorders>
                    <w:top w:val="single" w:sz="6" w:space="0" w:color="auto"/>
                    <w:left w:val="single" w:sz="6" w:space="0" w:color="auto"/>
                    <w:bottom w:val="single" w:sz="6" w:space="0" w:color="auto"/>
                    <w:right w:val="single" w:sz="6" w:space="0" w:color="auto"/>
                  </w:tcBorders>
                  <w:vAlign w:val="center"/>
                </w:tcPr>
                <w:p w14:paraId="2654C59F"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D2E237B" w14:textId="77777777" w:rsidR="00F76A63" w:rsidRDefault="00000000">
                  <w:pPr>
                    <w:jc w:val="center"/>
                    <w:rPr>
                      <w:bCs/>
                      <w:sz w:val="18"/>
                      <w:szCs w:val="18"/>
                    </w:rPr>
                  </w:pPr>
                  <w:r>
                    <w:rPr>
                      <w:bCs/>
                      <w:sz w:val="18"/>
                      <w:szCs w:val="18"/>
                    </w:rPr>
                    <w:t>常温</w:t>
                  </w:r>
                </w:p>
              </w:tc>
            </w:tr>
            <w:tr w:rsidR="00F76A63" w14:paraId="1C2D31C6"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AAFA95F" w14:textId="77777777" w:rsidR="00F76A63" w:rsidRDefault="00000000">
                  <w:pPr>
                    <w:jc w:val="center"/>
                    <w:rPr>
                      <w:bCs/>
                      <w:sz w:val="18"/>
                      <w:szCs w:val="18"/>
                    </w:rPr>
                  </w:pPr>
                  <w:r>
                    <w:rPr>
                      <w:bCs/>
                      <w:sz w:val="18"/>
                      <w:szCs w:val="18"/>
                    </w:rPr>
                    <w:t>DA134</w:t>
                  </w:r>
                </w:p>
              </w:tc>
              <w:tc>
                <w:tcPr>
                  <w:tcW w:w="785" w:type="pct"/>
                  <w:tcBorders>
                    <w:top w:val="single" w:sz="6" w:space="0" w:color="auto"/>
                    <w:left w:val="single" w:sz="6" w:space="0" w:color="auto"/>
                    <w:bottom w:val="single" w:sz="6" w:space="0" w:color="auto"/>
                    <w:right w:val="single" w:sz="6" w:space="0" w:color="auto"/>
                  </w:tcBorders>
                  <w:vAlign w:val="center"/>
                </w:tcPr>
                <w:p w14:paraId="30015B35" w14:textId="77777777" w:rsidR="00F76A63" w:rsidRDefault="00000000">
                  <w:pPr>
                    <w:jc w:val="center"/>
                    <w:rPr>
                      <w:bCs/>
                      <w:sz w:val="18"/>
                      <w:szCs w:val="18"/>
                    </w:rPr>
                  </w:pPr>
                  <w:r>
                    <w:rPr>
                      <w:bCs/>
                      <w:sz w:val="18"/>
                      <w:szCs w:val="18"/>
                    </w:rPr>
                    <w:t>2#</w:t>
                  </w:r>
                  <w:r>
                    <w:rPr>
                      <w:bCs/>
                      <w:sz w:val="18"/>
                      <w:szCs w:val="18"/>
                    </w:rPr>
                    <w:t>配料站</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3F14D4D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D366572"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ADE8D5F" w14:textId="77777777" w:rsidR="00F76A63" w:rsidRDefault="00000000">
                  <w:pPr>
                    <w:jc w:val="center"/>
                    <w:rPr>
                      <w:bCs/>
                      <w:sz w:val="18"/>
                      <w:szCs w:val="18"/>
                    </w:rPr>
                  </w:pPr>
                  <w:r>
                    <w:rPr>
                      <w:bCs/>
                      <w:sz w:val="18"/>
                      <w:szCs w:val="18"/>
                    </w:rPr>
                    <w:t>26</w:t>
                  </w:r>
                </w:p>
              </w:tc>
              <w:tc>
                <w:tcPr>
                  <w:tcW w:w="577" w:type="pct"/>
                  <w:tcBorders>
                    <w:top w:val="single" w:sz="6" w:space="0" w:color="auto"/>
                    <w:left w:val="single" w:sz="6" w:space="0" w:color="auto"/>
                    <w:bottom w:val="single" w:sz="6" w:space="0" w:color="auto"/>
                    <w:right w:val="single" w:sz="6" w:space="0" w:color="auto"/>
                  </w:tcBorders>
                  <w:vAlign w:val="center"/>
                </w:tcPr>
                <w:p w14:paraId="56E24FE0"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31F2076" w14:textId="77777777" w:rsidR="00F76A63" w:rsidRDefault="00000000">
                  <w:pPr>
                    <w:jc w:val="center"/>
                    <w:rPr>
                      <w:bCs/>
                      <w:sz w:val="18"/>
                      <w:szCs w:val="18"/>
                    </w:rPr>
                  </w:pPr>
                  <w:r>
                    <w:rPr>
                      <w:bCs/>
                      <w:sz w:val="18"/>
                      <w:szCs w:val="18"/>
                    </w:rPr>
                    <w:t>常温</w:t>
                  </w:r>
                </w:p>
              </w:tc>
            </w:tr>
            <w:tr w:rsidR="00F76A63" w14:paraId="56A5738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CDB49C8" w14:textId="77777777" w:rsidR="00F76A63" w:rsidRDefault="00000000">
                  <w:pPr>
                    <w:jc w:val="center"/>
                    <w:rPr>
                      <w:bCs/>
                      <w:sz w:val="18"/>
                      <w:szCs w:val="18"/>
                    </w:rPr>
                  </w:pPr>
                  <w:r>
                    <w:rPr>
                      <w:bCs/>
                      <w:sz w:val="18"/>
                      <w:szCs w:val="18"/>
                    </w:rPr>
                    <w:t>DA135</w:t>
                  </w:r>
                </w:p>
              </w:tc>
              <w:tc>
                <w:tcPr>
                  <w:tcW w:w="785" w:type="pct"/>
                  <w:tcBorders>
                    <w:top w:val="single" w:sz="6" w:space="0" w:color="auto"/>
                    <w:left w:val="single" w:sz="6" w:space="0" w:color="auto"/>
                    <w:bottom w:val="single" w:sz="6" w:space="0" w:color="auto"/>
                    <w:right w:val="single" w:sz="6" w:space="0" w:color="auto"/>
                  </w:tcBorders>
                  <w:vAlign w:val="center"/>
                </w:tcPr>
                <w:p w14:paraId="53AA30C2" w14:textId="77777777" w:rsidR="00F76A63" w:rsidRDefault="00000000">
                  <w:pPr>
                    <w:jc w:val="center"/>
                    <w:rPr>
                      <w:bCs/>
                      <w:sz w:val="18"/>
                      <w:szCs w:val="18"/>
                    </w:rPr>
                  </w:pPr>
                  <w:r>
                    <w:rPr>
                      <w:bCs/>
                      <w:sz w:val="18"/>
                      <w:szCs w:val="18"/>
                    </w:rPr>
                    <w:t>2#</w:t>
                  </w:r>
                  <w:r>
                    <w:rPr>
                      <w:bCs/>
                      <w:sz w:val="18"/>
                      <w:szCs w:val="18"/>
                    </w:rPr>
                    <w:t>配料站</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431D57AC"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7B9291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56B303F" w14:textId="77777777" w:rsidR="00F76A63" w:rsidRDefault="00000000">
                  <w:pPr>
                    <w:jc w:val="center"/>
                    <w:rPr>
                      <w:bCs/>
                      <w:sz w:val="18"/>
                      <w:szCs w:val="18"/>
                    </w:rPr>
                  </w:pPr>
                  <w:r>
                    <w:rPr>
                      <w:bCs/>
                      <w:sz w:val="18"/>
                      <w:szCs w:val="18"/>
                    </w:rPr>
                    <w:t>26</w:t>
                  </w:r>
                </w:p>
              </w:tc>
              <w:tc>
                <w:tcPr>
                  <w:tcW w:w="577" w:type="pct"/>
                  <w:tcBorders>
                    <w:top w:val="single" w:sz="6" w:space="0" w:color="auto"/>
                    <w:left w:val="single" w:sz="6" w:space="0" w:color="auto"/>
                    <w:bottom w:val="single" w:sz="6" w:space="0" w:color="auto"/>
                    <w:right w:val="single" w:sz="6" w:space="0" w:color="auto"/>
                  </w:tcBorders>
                  <w:vAlign w:val="center"/>
                </w:tcPr>
                <w:p w14:paraId="2C26E49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B1D1B19" w14:textId="77777777" w:rsidR="00F76A63" w:rsidRDefault="00000000">
                  <w:pPr>
                    <w:jc w:val="center"/>
                    <w:rPr>
                      <w:bCs/>
                      <w:sz w:val="18"/>
                      <w:szCs w:val="18"/>
                    </w:rPr>
                  </w:pPr>
                  <w:r>
                    <w:rPr>
                      <w:bCs/>
                      <w:sz w:val="18"/>
                      <w:szCs w:val="18"/>
                    </w:rPr>
                    <w:t>常温</w:t>
                  </w:r>
                </w:p>
              </w:tc>
            </w:tr>
            <w:tr w:rsidR="00F76A63" w14:paraId="07307C1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44E2683" w14:textId="77777777" w:rsidR="00F76A63" w:rsidRDefault="00000000">
                  <w:pPr>
                    <w:jc w:val="center"/>
                    <w:rPr>
                      <w:bCs/>
                      <w:sz w:val="18"/>
                      <w:szCs w:val="18"/>
                    </w:rPr>
                  </w:pPr>
                  <w:r>
                    <w:rPr>
                      <w:bCs/>
                      <w:sz w:val="18"/>
                      <w:szCs w:val="18"/>
                    </w:rPr>
                    <w:t>DA136</w:t>
                  </w:r>
                </w:p>
              </w:tc>
              <w:tc>
                <w:tcPr>
                  <w:tcW w:w="785" w:type="pct"/>
                  <w:tcBorders>
                    <w:top w:val="single" w:sz="6" w:space="0" w:color="auto"/>
                    <w:left w:val="single" w:sz="6" w:space="0" w:color="auto"/>
                    <w:bottom w:val="single" w:sz="6" w:space="0" w:color="auto"/>
                    <w:right w:val="single" w:sz="6" w:space="0" w:color="auto"/>
                  </w:tcBorders>
                  <w:vAlign w:val="center"/>
                </w:tcPr>
                <w:p w14:paraId="65283DF7" w14:textId="77777777" w:rsidR="00F76A63" w:rsidRDefault="00000000">
                  <w:pPr>
                    <w:jc w:val="center"/>
                    <w:rPr>
                      <w:bCs/>
                      <w:sz w:val="18"/>
                      <w:szCs w:val="18"/>
                    </w:rPr>
                  </w:pPr>
                  <w:r>
                    <w:rPr>
                      <w:bCs/>
                      <w:sz w:val="18"/>
                      <w:szCs w:val="18"/>
                    </w:rPr>
                    <w:t>2#</w:t>
                  </w:r>
                  <w:r>
                    <w:rPr>
                      <w:bCs/>
                      <w:sz w:val="18"/>
                      <w:szCs w:val="18"/>
                    </w:rPr>
                    <w:t>水泥出库</w:t>
                  </w:r>
                  <w:r>
                    <w:rPr>
                      <w:bCs/>
                      <w:sz w:val="18"/>
                      <w:szCs w:val="18"/>
                    </w:rPr>
                    <w:t>5</w:t>
                  </w:r>
                </w:p>
              </w:tc>
              <w:tc>
                <w:tcPr>
                  <w:tcW w:w="1083" w:type="pct"/>
                  <w:tcBorders>
                    <w:top w:val="single" w:sz="6" w:space="0" w:color="auto"/>
                    <w:left w:val="single" w:sz="6" w:space="0" w:color="auto"/>
                    <w:bottom w:val="single" w:sz="6" w:space="0" w:color="auto"/>
                    <w:right w:val="single" w:sz="6" w:space="0" w:color="auto"/>
                  </w:tcBorders>
                  <w:vAlign w:val="center"/>
                </w:tcPr>
                <w:p w14:paraId="53DE066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7A920F9"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E62ABB9"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2A62CC0C"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2B3ABB4E" w14:textId="77777777" w:rsidR="00F76A63" w:rsidRDefault="00000000">
                  <w:pPr>
                    <w:jc w:val="center"/>
                    <w:rPr>
                      <w:bCs/>
                      <w:sz w:val="18"/>
                      <w:szCs w:val="18"/>
                    </w:rPr>
                  </w:pPr>
                  <w:r>
                    <w:rPr>
                      <w:bCs/>
                      <w:sz w:val="18"/>
                      <w:szCs w:val="18"/>
                    </w:rPr>
                    <w:t>常温</w:t>
                  </w:r>
                </w:p>
              </w:tc>
            </w:tr>
            <w:tr w:rsidR="00F76A63" w14:paraId="11DA3D9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A159FF9" w14:textId="77777777" w:rsidR="00F76A63" w:rsidRDefault="00000000">
                  <w:pPr>
                    <w:jc w:val="center"/>
                    <w:rPr>
                      <w:bCs/>
                      <w:sz w:val="18"/>
                      <w:szCs w:val="18"/>
                    </w:rPr>
                  </w:pPr>
                  <w:r>
                    <w:rPr>
                      <w:bCs/>
                      <w:sz w:val="18"/>
                      <w:szCs w:val="18"/>
                    </w:rPr>
                    <w:t>DA137</w:t>
                  </w:r>
                </w:p>
              </w:tc>
              <w:tc>
                <w:tcPr>
                  <w:tcW w:w="785" w:type="pct"/>
                  <w:tcBorders>
                    <w:top w:val="single" w:sz="6" w:space="0" w:color="auto"/>
                    <w:left w:val="single" w:sz="6" w:space="0" w:color="auto"/>
                    <w:bottom w:val="single" w:sz="6" w:space="0" w:color="auto"/>
                    <w:right w:val="single" w:sz="6" w:space="0" w:color="auto"/>
                  </w:tcBorders>
                  <w:vAlign w:val="center"/>
                </w:tcPr>
                <w:p w14:paraId="5AA70BF1" w14:textId="77777777" w:rsidR="00F76A63" w:rsidRDefault="00000000">
                  <w:pPr>
                    <w:jc w:val="center"/>
                    <w:rPr>
                      <w:bCs/>
                      <w:sz w:val="18"/>
                      <w:szCs w:val="18"/>
                    </w:rPr>
                  </w:pPr>
                  <w:r>
                    <w:rPr>
                      <w:bCs/>
                      <w:sz w:val="18"/>
                      <w:szCs w:val="18"/>
                    </w:rPr>
                    <w:t>2#</w:t>
                  </w:r>
                  <w:r>
                    <w:rPr>
                      <w:bCs/>
                      <w:sz w:val="18"/>
                      <w:szCs w:val="18"/>
                    </w:rPr>
                    <w:t>水泥出库</w:t>
                  </w:r>
                  <w:r>
                    <w:rPr>
                      <w:bCs/>
                      <w:sz w:val="18"/>
                      <w:szCs w:val="18"/>
                    </w:rPr>
                    <w:t>6</w:t>
                  </w:r>
                </w:p>
              </w:tc>
              <w:tc>
                <w:tcPr>
                  <w:tcW w:w="1083" w:type="pct"/>
                  <w:tcBorders>
                    <w:top w:val="single" w:sz="6" w:space="0" w:color="auto"/>
                    <w:left w:val="single" w:sz="6" w:space="0" w:color="auto"/>
                    <w:bottom w:val="single" w:sz="6" w:space="0" w:color="auto"/>
                    <w:right w:val="single" w:sz="6" w:space="0" w:color="auto"/>
                  </w:tcBorders>
                  <w:vAlign w:val="center"/>
                </w:tcPr>
                <w:p w14:paraId="5581F96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64926D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F636103"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528DB3B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2135390C" w14:textId="77777777" w:rsidR="00F76A63" w:rsidRDefault="00000000">
                  <w:pPr>
                    <w:jc w:val="center"/>
                    <w:rPr>
                      <w:bCs/>
                      <w:sz w:val="18"/>
                      <w:szCs w:val="18"/>
                    </w:rPr>
                  </w:pPr>
                  <w:r>
                    <w:rPr>
                      <w:bCs/>
                      <w:sz w:val="18"/>
                      <w:szCs w:val="18"/>
                    </w:rPr>
                    <w:t>常温</w:t>
                  </w:r>
                </w:p>
              </w:tc>
            </w:tr>
            <w:tr w:rsidR="00F76A63" w14:paraId="4722F28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C7A1848" w14:textId="77777777" w:rsidR="00F76A63" w:rsidRDefault="00000000">
                  <w:pPr>
                    <w:jc w:val="center"/>
                    <w:rPr>
                      <w:bCs/>
                      <w:sz w:val="18"/>
                      <w:szCs w:val="18"/>
                    </w:rPr>
                  </w:pPr>
                  <w:r>
                    <w:rPr>
                      <w:bCs/>
                      <w:sz w:val="18"/>
                      <w:szCs w:val="18"/>
                    </w:rPr>
                    <w:t>DA138</w:t>
                  </w:r>
                </w:p>
              </w:tc>
              <w:tc>
                <w:tcPr>
                  <w:tcW w:w="785" w:type="pct"/>
                  <w:tcBorders>
                    <w:top w:val="single" w:sz="6" w:space="0" w:color="auto"/>
                    <w:left w:val="single" w:sz="6" w:space="0" w:color="auto"/>
                    <w:bottom w:val="single" w:sz="6" w:space="0" w:color="auto"/>
                    <w:right w:val="single" w:sz="6" w:space="0" w:color="auto"/>
                  </w:tcBorders>
                  <w:vAlign w:val="center"/>
                </w:tcPr>
                <w:p w14:paraId="73026C1A" w14:textId="77777777" w:rsidR="00F76A63" w:rsidRDefault="00000000">
                  <w:pPr>
                    <w:jc w:val="center"/>
                    <w:rPr>
                      <w:bCs/>
                      <w:sz w:val="18"/>
                      <w:szCs w:val="18"/>
                    </w:rPr>
                  </w:pPr>
                  <w:r>
                    <w:rPr>
                      <w:bCs/>
                      <w:sz w:val="18"/>
                      <w:szCs w:val="18"/>
                    </w:rPr>
                    <w:t>2#</w:t>
                  </w:r>
                  <w:r>
                    <w:rPr>
                      <w:bCs/>
                      <w:sz w:val="18"/>
                      <w:szCs w:val="18"/>
                    </w:rPr>
                    <w:t>水泥出库</w:t>
                  </w:r>
                  <w:r>
                    <w:rPr>
                      <w:bCs/>
                      <w:sz w:val="18"/>
                      <w:szCs w:val="18"/>
                    </w:rPr>
                    <w:t>7</w:t>
                  </w:r>
                </w:p>
              </w:tc>
              <w:tc>
                <w:tcPr>
                  <w:tcW w:w="1083" w:type="pct"/>
                  <w:tcBorders>
                    <w:top w:val="single" w:sz="6" w:space="0" w:color="auto"/>
                    <w:left w:val="single" w:sz="6" w:space="0" w:color="auto"/>
                    <w:bottom w:val="single" w:sz="6" w:space="0" w:color="auto"/>
                    <w:right w:val="single" w:sz="6" w:space="0" w:color="auto"/>
                  </w:tcBorders>
                  <w:vAlign w:val="center"/>
                </w:tcPr>
                <w:p w14:paraId="3EFA1BA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C03B96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5EC4ED4" w14:textId="77777777" w:rsidR="00F76A63" w:rsidRDefault="00000000">
                  <w:pPr>
                    <w:jc w:val="center"/>
                    <w:rPr>
                      <w:bCs/>
                      <w:sz w:val="18"/>
                      <w:szCs w:val="18"/>
                    </w:rPr>
                  </w:pPr>
                  <w:r>
                    <w:rPr>
                      <w:bCs/>
                      <w:sz w:val="18"/>
                      <w:szCs w:val="18"/>
                    </w:rPr>
                    <w:t>23</w:t>
                  </w:r>
                </w:p>
              </w:tc>
              <w:tc>
                <w:tcPr>
                  <w:tcW w:w="577" w:type="pct"/>
                  <w:tcBorders>
                    <w:top w:val="single" w:sz="6" w:space="0" w:color="auto"/>
                    <w:left w:val="single" w:sz="6" w:space="0" w:color="auto"/>
                    <w:bottom w:val="single" w:sz="6" w:space="0" w:color="auto"/>
                    <w:right w:val="single" w:sz="6" w:space="0" w:color="auto"/>
                  </w:tcBorders>
                  <w:vAlign w:val="center"/>
                </w:tcPr>
                <w:p w14:paraId="6598ED82"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6DC93E8" w14:textId="77777777" w:rsidR="00F76A63" w:rsidRDefault="00000000">
                  <w:pPr>
                    <w:jc w:val="center"/>
                    <w:rPr>
                      <w:bCs/>
                      <w:sz w:val="18"/>
                      <w:szCs w:val="18"/>
                    </w:rPr>
                  </w:pPr>
                  <w:r>
                    <w:rPr>
                      <w:bCs/>
                      <w:sz w:val="18"/>
                      <w:szCs w:val="18"/>
                    </w:rPr>
                    <w:t>常温</w:t>
                  </w:r>
                </w:p>
              </w:tc>
            </w:tr>
            <w:tr w:rsidR="00F76A63" w14:paraId="02B85AD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2BF6802" w14:textId="77777777" w:rsidR="00F76A63" w:rsidRDefault="00000000">
                  <w:pPr>
                    <w:jc w:val="center"/>
                    <w:rPr>
                      <w:bCs/>
                      <w:sz w:val="18"/>
                      <w:szCs w:val="18"/>
                    </w:rPr>
                  </w:pPr>
                  <w:r>
                    <w:rPr>
                      <w:bCs/>
                      <w:sz w:val="18"/>
                      <w:szCs w:val="18"/>
                    </w:rPr>
                    <w:t>DA139</w:t>
                  </w:r>
                </w:p>
              </w:tc>
              <w:tc>
                <w:tcPr>
                  <w:tcW w:w="785" w:type="pct"/>
                  <w:tcBorders>
                    <w:top w:val="single" w:sz="6" w:space="0" w:color="auto"/>
                    <w:left w:val="single" w:sz="6" w:space="0" w:color="auto"/>
                    <w:bottom w:val="single" w:sz="6" w:space="0" w:color="auto"/>
                    <w:right w:val="single" w:sz="6" w:space="0" w:color="auto"/>
                  </w:tcBorders>
                  <w:vAlign w:val="center"/>
                </w:tcPr>
                <w:p w14:paraId="2405E055" w14:textId="77777777" w:rsidR="00F76A63" w:rsidRDefault="00000000">
                  <w:pPr>
                    <w:jc w:val="center"/>
                    <w:rPr>
                      <w:bCs/>
                      <w:sz w:val="18"/>
                      <w:szCs w:val="18"/>
                    </w:rPr>
                  </w:pPr>
                  <w:r>
                    <w:rPr>
                      <w:bCs/>
                      <w:sz w:val="18"/>
                      <w:szCs w:val="18"/>
                    </w:rPr>
                    <w:t>2#</w:t>
                  </w:r>
                  <w:r>
                    <w:rPr>
                      <w:bCs/>
                      <w:sz w:val="18"/>
                      <w:szCs w:val="18"/>
                    </w:rPr>
                    <w:t>水泥出库</w:t>
                  </w:r>
                  <w:r>
                    <w:rPr>
                      <w:bCs/>
                      <w:sz w:val="18"/>
                      <w:szCs w:val="18"/>
                    </w:rPr>
                    <w:t>8</w:t>
                  </w:r>
                </w:p>
              </w:tc>
              <w:tc>
                <w:tcPr>
                  <w:tcW w:w="1083" w:type="pct"/>
                  <w:tcBorders>
                    <w:top w:val="single" w:sz="6" w:space="0" w:color="auto"/>
                    <w:left w:val="single" w:sz="6" w:space="0" w:color="auto"/>
                    <w:bottom w:val="single" w:sz="6" w:space="0" w:color="auto"/>
                    <w:right w:val="single" w:sz="6" w:space="0" w:color="auto"/>
                  </w:tcBorders>
                  <w:vAlign w:val="center"/>
                </w:tcPr>
                <w:p w14:paraId="107BDAEC"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A8A527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78BA5E9" w14:textId="77777777" w:rsidR="00F76A63" w:rsidRDefault="00000000">
                  <w:pPr>
                    <w:jc w:val="center"/>
                    <w:rPr>
                      <w:bCs/>
                      <w:sz w:val="18"/>
                      <w:szCs w:val="18"/>
                    </w:rPr>
                  </w:pPr>
                  <w:r>
                    <w:rPr>
                      <w:bCs/>
                      <w:sz w:val="18"/>
                      <w:szCs w:val="18"/>
                    </w:rPr>
                    <w:t>23</w:t>
                  </w:r>
                </w:p>
              </w:tc>
              <w:tc>
                <w:tcPr>
                  <w:tcW w:w="577" w:type="pct"/>
                  <w:tcBorders>
                    <w:top w:val="single" w:sz="6" w:space="0" w:color="auto"/>
                    <w:left w:val="single" w:sz="6" w:space="0" w:color="auto"/>
                    <w:bottom w:val="single" w:sz="6" w:space="0" w:color="auto"/>
                    <w:right w:val="single" w:sz="6" w:space="0" w:color="auto"/>
                  </w:tcBorders>
                  <w:vAlign w:val="center"/>
                </w:tcPr>
                <w:p w14:paraId="3368921E"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DBA64C3" w14:textId="77777777" w:rsidR="00F76A63" w:rsidRDefault="00000000">
                  <w:pPr>
                    <w:jc w:val="center"/>
                    <w:rPr>
                      <w:bCs/>
                      <w:sz w:val="18"/>
                      <w:szCs w:val="18"/>
                    </w:rPr>
                  </w:pPr>
                  <w:r>
                    <w:rPr>
                      <w:bCs/>
                      <w:sz w:val="18"/>
                      <w:szCs w:val="18"/>
                    </w:rPr>
                    <w:t>常温</w:t>
                  </w:r>
                </w:p>
              </w:tc>
            </w:tr>
            <w:tr w:rsidR="00F76A63" w14:paraId="36B6F9F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581C750" w14:textId="77777777" w:rsidR="00F76A63" w:rsidRDefault="00000000">
                  <w:pPr>
                    <w:jc w:val="center"/>
                    <w:rPr>
                      <w:bCs/>
                      <w:sz w:val="18"/>
                      <w:szCs w:val="18"/>
                    </w:rPr>
                  </w:pPr>
                  <w:r>
                    <w:rPr>
                      <w:bCs/>
                      <w:sz w:val="18"/>
                      <w:szCs w:val="18"/>
                    </w:rPr>
                    <w:t>DA140</w:t>
                  </w:r>
                </w:p>
              </w:tc>
              <w:tc>
                <w:tcPr>
                  <w:tcW w:w="785" w:type="pct"/>
                  <w:tcBorders>
                    <w:top w:val="single" w:sz="6" w:space="0" w:color="auto"/>
                    <w:left w:val="single" w:sz="6" w:space="0" w:color="auto"/>
                    <w:bottom w:val="single" w:sz="6" w:space="0" w:color="auto"/>
                    <w:right w:val="single" w:sz="6" w:space="0" w:color="auto"/>
                  </w:tcBorders>
                  <w:vAlign w:val="center"/>
                </w:tcPr>
                <w:p w14:paraId="0EC846C6" w14:textId="77777777" w:rsidR="00F76A63" w:rsidRDefault="00000000">
                  <w:pPr>
                    <w:jc w:val="center"/>
                    <w:rPr>
                      <w:bCs/>
                      <w:sz w:val="18"/>
                      <w:szCs w:val="18"/>
                    </w:rPr>
                  </w:pPr>
                  <w:r>
                    <w:rPr>
                      <w:bCs/>
                      <w:sz w:val="18"/>
                      <w:szCs w:val="18"/>
                    </w:rPr>
                    <w:t>2#</w:t>
                  </w:r>
                  <w:r>
                    <w:rPr>
                      <w:bCs/>
                      <w:sz w:val="18"/>
                      <w:szCs w:val="18"/>
                    </w:rPr>
                    <w:t>熟料输送</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344FC3F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31DB0B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5127D4E"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415E0528"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EF8B7FB" w14:textId="77777777" w:rsidR="00F76A63" w:rsidRDefault="00000000">
                  <w:pPr>
                    <w:jc w:val="center"/>
                    <w:rPr>
                      <w:bCs/>
                      <w:sz w:val="18"/>
                      <w:szCs w:val="18"/>
                    </w:rPr>
                  </w:pPr>
                  <w:r>
                    <w:rPr>
                      <w:bCs/>
                      <w:sz w:val="18"/>
                      <w:szCs w:val="18"/>
                    </w:rPr>
                    <w:t>常温</w:t>
                  </w:r>
                </w:p>
              </w:tc>
            </w:tr>
            <w:tr w:rsidR="00F76A63" w14:paraId="196DEAD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4A05425" w14:textId="77777777" w:rsidR="00F76A63" w:rsidRDefault="00000000">
                  <w:pPr>
                    <w:jc w:val="center"/>
                    <w:rPr>
                      <w:bCs/>
                      <w:sz w:val="18"/>
                      <w:szCs w:val="18"/>
                    </w:rPr>
                  </w:pPr>
                  <w:r>
                    <w:rPr>
                      <w:bCs/>
                      <w:sz w:val="18"/>
                      <w:szCs w:val="18"/>
                    </w:rPr>
                    <w:t>DA141</w:t>
                  </w:r>
                </w:p>
              </w:tc>
              <w:tc>
                <w:tcPr>
                  <w:tcW w:w="785" w:type="pct"/>
                  <w:tcBorders>
                    <w:top w:val="single" w:sz="6" w:space="0" w:color="auto"/>
                    <w:left w:val="single" w:sz="6" w:space="0" w:color="auto"/>
                    <w:bottom w:val="single" w:sz="6" w:space="0" w:color="auto"/>
                    <w:right w:val="single" w:sz="6" w:space="0" w:color="auto"/>
                  </w:tcBorders>
                  <w:vAlign w:val="center"/>
                </w:tcPr>
                <w:p w14:paraId="35C8D9FF" w14:textId="77777777" w:rsidR="00F76A63" w:rsidRDefault="00000000">
                  <w:pPr>
                    <w:jc w:val="center"/>
                    <w:rPr>
                      <w:bCs/>
                      <w:sz w:val="18"/>
                      <w:szCs w:val="18"/>
                    </w:rPr>
                  </w:pPr>
                  <w:r>
                    <w:rPr>
                      <w:bCs/>
                      <w:sz w:val="18"/>
                      <w:szCs w:val="18"/>
                    </w:rPr>
                    <w:t>2#</w:t>
                  </w:r>
                  <w:r>
                    <w:rPr>
                      <w:bCs/>
                      <w:sz w:val="18"/>
                      <w:szCs w:val="18"/>
                    </w:rPr>
                    <w:t>熟料输送</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755FDB3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9697CB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EE220B7"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40DFB27"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768C582" w14:textId="77777777" w:rsidR="00F76A63" w:rsidRDefault="00000000">
                  <w:pPr>
                    <w:jc w:val="center"/>
                    <w:rPr>
                      <w:bCs/>
                      <w:sz w:val="18"/>
                      <w:szCs w:val="18"/>
                    </w:rPr>
                  </w:pPr>
                  <w:r>
                    <w:rPr>
                      <w:bCs/>
                      <w:sz w:val="18"/>
                      <w:szCs w:val="18"/>
                    </w:rPr>
                    <w:t>常温</w:t>
                  </w:r>
                </w:p>
              </w:tc>
            </w:tr>
            <w:tr w:rsidR="00F76A63" w14:paraId="4BB5906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8D7E393" w14:textId="77777777" w:rsidR="00F76A63" w:rsidRDefault="00000000">
                  <w:pPr>
                    <w:jc w:val="center"/>
                    <w:rPr>
                      <w:bCs/>
                      <w:sz w:val="18"/>
                      <w:szCs w:val="18"/>
                    </w:rPr>
                  </w:pPr>
                  <w:r>
                    <w:rPr>
                      <w:bCs/>
                      <w:sz w:val="18"/>
                      <w:szCs w:val="18"/>
                    </w:rPr>
                    <w:t>DA142</w:t>
                  </w:r>
                </w:p>
              </w:tc>
              <w:tc>
                <w:tcPr>
                  <w:tcW w:w="785" w:type="pct"/>
                  <w:tcBorders>
                    <w:top w:val="single" w:sz="6" w:space="0" w:color="auto"/>
                    <w:left w:val="single" w:sz="6" w:space="0" w:color="auto"/>
                    <w:bottom w:val="single" w:sz="6" w:space="0" w:color="auto"/>
                    <w:right w:val="single" w:sz="6" w:space="0" w:color="auto"/>
                  </w:tcBorders>
                  <w:vAlign w:val="center"/>
                </w:tcPr>
                <w:p w14:paraId="7D423638" w14:textId="77777777" w:rsidR="00F76A63" w:rsidRDefault="00000000">
                  <w:pPr>
                    <w:jc w:val="center"/>
                    <w:rPr>
                      <w:bCs/>
                      <w:sz w:val="18"/>
                      <w:szCs w:val="18"/>
                    </w:rPr>
                  </w:pPr>
                  <w:r>
                    <w:rPr>
                      <w:bCs/>
                      <w:sz w:val="18"/>
                      <w:szCs w:val="18"/>
                    </w:rPr>
                    <w:t>2#</w:t>
                  </w:r>
                  <w:r>
                    <w:rPr>
                      <w:bCs/>
                      <w:sz w:val="18"/>
                      <w:szCs w:val="18"/>
                    </w:rPr>
                    <w:t>熟料输送</w:t>
                  </w:r>
                  <w:r>
                    <w:rPr>
                      <w:bCs/>
                      <w:sz w:val="18"/>
                      <w:szCs w:val="18"/>
                    </w:rPr>
                    <w:t>3</w:t>
                  </w:r>
                </w:p>
              </w:tc>
              <w:tc>
                <w:tcPr>
                  <w:tcW w:w="1083" w:type="pct"/>
                  <w:tcBorders>
                    <w:top w:val="single" w:sz="6" w:space="0" w:color="auto"/>
                    <w:left w:val="single" w:sz="6" w:space="0" w:color="auto"/>
                    <w:bottom w:val="single" w:sz="6" w:space="0" w:color="auto"/>
                    <w:right w:val="single" w:sz="6" w:space="0" w:color="auto"/>
                  </w:tcBorders>
                  <w:vAlign w:val="center"/>
                </w:tcPr>
                <w:p w14:paraId="70270EE8"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573D132"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72D28D4"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4A8439A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DA4F0C5" w14:textId="77777777" w:rsidR="00F76A63" w:rsidRDefault="00000000">
                  <w:pPr>
                    <w:jc w:val="center"/>
                    <w:rPr>
                      <w:bCs/>
                      <w:sz w:val="18"/>
                      <w:szCs w:val="18"/>
                    </w:rPr>
                  </w:pPr>
                  <w:r>
                    <w:rPr>
                      <w:bCs/>
                      <w:sz w:val="18"/>
                      <w:szCs w:val="18"/>
                    </w:rPr>
                    <w:t>常温</w:t>
                  </w:r>
                </w:p>
              </w:tc>
            </w:tr>
            <w:tr w:rsidR="00F76A63" w14:paraId="72BA379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F70B8C6" w14:textId="77777777" w:rsidR="00F76A63" w:rsidRDefault="00000000">
                  <w:pPr>
                    <w:jc w:val="center"/>
                    <w:rPr>
                      <w:bCs/>
                      <w:sz w:val="18"/>
                      <w:szCs w:val="18"/>
                    </w:rPr>
                  </w:pPr>
                  <w:r>
                    <w:rPr>
                      <w:bCs/>
                      <w:sz w:val="18"/>
                      <w:szCs w:val="18"/>
                    </w:rPr>
                    <w:t>DA143</w:t>
                  </w:r>
                </w:p>
              </w:tc>
              <w:tc>
                <w:tcPr>
                  <w:tcW w:w="785" w:type="pct"/>
                  <w:tcBorders>
                    <w:top w:val="single" w:sz="6" w:space="0" w:color="auto"/>
                    <w:left w:val="single" w:sz="6" w:space="0" w:color="auto"/>
                    <w:bottom w:val="single" w:sz="6" w:space="0" w:color="auto"/>
                    <w:right w:val="single" w:sz="6" w:space="0" w:color="auto"/>
                  </w:tcBorders>
                  <w:vAlign w:val="center"/>
                </w:tcPr>
                <w:p w14:paraId="726D4E1B" w14:textId="77777777" w:rsidR="00F76A63" w:rsidRDefault="00000000">
                  <w:pPr>
                    <w:jc w:val="center"/>
                    <w:rPr>
                      <w:bCs/>
                      <w:sz w:val="18"/>
                      <w:szCs w:val="18"/>
                    </w:rPr>
                  </w:pPr>
                  <w:r>
                    <w:rPr>
                      <w:bCs/>
                      <w:sz w:val="18"/>
                      <w:szCs w:val="18"/>
                    </w:rPr>
                    <w:t>2#</w:t>
                  </w:r>
                  <w:r>
                    <w:rPr>
                      <w:bCs/>
                      <w:sz w:val="18"/>
                      <w:szCs w:val="18"/>
                    </w:rPr>
                    <w:t>熟料输送</w:t>
                  </w:r>
                  <w:r>
                    <w:rPr>
                      <w:bCs/>
                      <w:sz w:val="18"/>
                      <w:szCs w:val="18"/>
                    </w:rPr>
                    <w:t>4</w:t>
                  </w:r>
                </w:p>
              </w:tc>
              <w:tc>
                <w:tcPr>
                  <w:tcW w:w="1083" w:type="pct"/>
                  <w:tcBorders>
                    <w:top w:val="single" w:sz="6" w:space="0" w:color="auto"/>
                    <w:left w:val="single" w:sz="6" w:space="0" w:color="auto"/>
                    <w:bottom w:val="single" w:sz="6" w:space="0" w:color="auto"/>
                    <w:right w:val="single" w:sz="6" w:space="0" w:color="auto"/>
                  </w:tcBorders>
                  <w:vAlign w:val="center"/>
                </w:tcPr>
                <w:p w14:paraId="665A5B4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36C2A7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7A65DF0"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46EB54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62E2124" w14:textId="77777777" w:rsidR="00F76A63" w:rsidRDefault="00000000">
                  <w:pPr>
                    <w:jc w:val="center"/>
                    <w:rPr>
                      <w:bCs/>
                      <w:sz w:val="18"/>
                      <w:szCs w:val="18"/>
                    </w:rPr>
                  </w:pPr>
                  <w:r>
                    <w:rPr>
                      <w:bCs/>
                      <w:sz w:val="18"/>
                      <w:szCs w:val="18"/>
                    </w:rPr>
                    <w:t>常温</w:t>
                  </w:r>
                </w:p>
              </w:tc>
            </w:tr>
            <w:tr w:rsidR="00F76A63" w14:paraId="44C5EDD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CF2BF8B" w14:textId="77777777" w:rsidR="00F76A63" w:rsidRDefault="00000000">
                  <w:pPr>
                    <w:jc w:val="center"/>
                    <w:rPr>
                      <w:bCs/>
                      <w:sz w:val="18"/>
                      <w:szCs w:val="18"/>
                    </w:rPr>
                  </w:pPr>
                  <w:r>
                    <w:rPr>
                      <w:bCs/>
                      <w:sz w:val="18"/>
                      <w:szCs w:val="18"/>
                    </w:rPr>
                    <w:t>DA144</w:t>
                  </w:r>
                </w:p>
              </w:tc>
              <w:tc>
                <w:tcPr>
                  <w:tcW w:w="785" w:type="pct"/>
                  <w:tcBorders>
                    <w:top w:val="single" w:sz="6" w:space="0" w:color="auto"/>
                    <w:left w:val="single" w:sz="6" w:space="0" w:color="auto"/>
                    <w:bottom w:val="single" w:sz="6" w:space="0" w:color="auto"/>
                    <w:right w:val="single" w:sz="6" w:space="0" w:color="auto"/>
                  </w:tcBorders>
                  <w:vAlign w:val="center"/>
                </w:tcPr>
                <w:p w14:paraId="37AB19BA" w14:textId="77777777" w:rsidR="00F76A63" w:rsidRDefault="00000000">
                  <w:pPr>
                    <w:jc w:val="center"/>
                    <w:rPr>
                      <w:bCs/>
                      <w:sz w:val="18"/>
                      <w:szCs w:val="18"/>
                    </w:rPr>
                  </w:pPr>
                  <w:r>
                    <w:rPr>
                      <w:bCs/>
                      <w:sz w:val="18"/>
                      <w:szCs w:val="18"/>
                    </w:rPr>
                    <w:t>2#</w:t>
                  </w:r>
                  <w:r>
                    <w:rPr>
                      <w:bCs/>
                      <w:sz w:val="18"/>
                      <w:szCs w:val="18"/>
                    </w:rPr>
                    <w:t>熟料输送</w:t>
                  </w:r>
                  <w:r>
                    <w:rPr>
                      <w:bCs/>
                      <w:sz w:val="18"/>
                      <w:szCs w:val="18"/>
                    </w:rPr>
                    <w:t>5</w:t>
                  </w:r>
                </w:p>
              </w:tc>
              <w:tc>
                <w:tcPr>
                  <w:tcW w:w="1083" w:type="pct"/>
                  <w:tcBorders>
                    <w:top w:val="single" w:sz="6" w:space="0" w:color="auto"/>
                    <w:left w:val="single" w:sz="6" w:space="0" w:color="auto"/>
                    <w:bottom w:val="single" w:sz="6" w:space="0" w:color="auto"/>
                    <w:right w:val="single" w:sz="6" w:space="0" w:color="auto"/>
                  </w:tcBorders>
                  <w:vAlign w:val="center"/>
                </w:tcPr>
                <w:p w14:paraId="3A06D381"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32ECDB0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39B42E1"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36619971"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9484683" w14:textId="77777777" w:rsidR="00F76A63" w:rsidRDefault="00000000">
                  <w:pPr>
                    <w:jc w:val="center"/>
                    <w:rPr>
                      <w:bCs/>
                      <w:sz w:val="18"/>
                      <w:szCs w:val="18"/>
                    </w:rPr>
                  </w:pPr>
                  <w:r>
                    <w:rPr>
                      <w:bCs/>
                      <w:sz w:val="18"/>
                      <w:szCs w:val="18"/>
                    </w:rPr>
                    <w:t>常温</w:t>
                  </w:r>
                </w:p>
              </w:tc>
            </w:tr>
            <w:tr w:rsidR="00F76A63" w14:paraId="421E58C0"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8428B00" w14:textId="77777777" w:rsidR="00F76A63" w:rsidRDefault="00000000">
                  <w:pPr>
                    <w:jc w:val="center"/>
                    <w:rPr>
                      <w:bCs/>
                      <w:sz w:val="18"/>
                      <w:szCs w:val="18"/>
                    </w:rPr>
                  </w:pPr>
                  <w:r>
                    <w:rPr>
                      <w:bCs/>
                      <w:sz w:val="18"/>
                      <w:szCs w:val="18"/>
                    </w:rPr>
                    <w:t>DA145</w:t>
                  </w:r>
                </w:p>
              </w:tc>
              <w:tc>
                <w:tcPr>
                  <w:tcW w:w="785" w:type="pct"/>
                  <w:tcBorders>
                    <w:top w:val="single" w:sz="6" w:space="0" w:color="auto"/>
                    <w:left w:val="single" w:sz="6" w:space="0" w:color="auto"/>
                    <w:bottom w:val="single" w:sz="6" w:space="0" w:color="auto"/>
                    <w:right w:val="single" w:sz="6" w:space="0" w:color="auto"/>
                  </w:tcBorders>
                  <w:vAlign w:val="center"/>
                </w:tcPr>
                <w:p w14:paraId="2BDB71CB" w14:textId="77777777" w:rsidR="00F76A63" w:rsidRDefault="00000000">
                  <w:pPr>
                    <w:jc w:val="center"/>
                    <w:rPr>
                      <w:bCs/>
                      <w:sz w:val="18"/>
                      <w:szCs w:val="18"/>
                    </w:rPr>
                  </w:pPr>
                  <w:r>
                    <w:rPr>
                      <w:bCs/>
                      <w:sz w:val="18"/>
                      <w:szCs w:val="18"/>
                    </w:rPr>
                    <w:t>2#</w:t>
                  </w:r>
                  <w:r>
                    <w:rPr>
                      <w:bCs/>
                      <w:sz w:val="18"/>
                      <w:szCs w:val="18"/>
                    </w:rPr>
                    <w:t>散装机</w:t>
                  </w:r>
                  <w:r>
                    <w:rPr>
                      <w:bCs/>
                      <w:sz w:val="18"/>
                      <w:szCs w:val="18"/>
                    </w:rPr>
                    <w:t>1</w:t>
                  </w:r>
                  <w:r>
                    <w:rPr>
                      <w:bCs/>
                      <w:sz w:val="18"/>
                      <w:szCs w:val="18"/>
                    </w:rPr>
                    <w:t>、</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1CA936B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2A4C64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6574353"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7CBE7D1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2D21FE5" w14:textId="77777777" w:rsidR="00F76A63" w:rsidRDefault="00000000">
                  <w:pPr>
                    <w:jc w:val="center"/>
                    <w:rPr>
                      <w:bCs/>
                      <w:sz w:val="18"/>
                      <w:szCs w:val="18"/>
                    </w:rPr>
                  </w:pPr>
                  <w:r>
                    <w:rPr>
                      <w:bCs/>
                      <w:sz w:val="18"/>
                      <w:szCs w:val="18"/>
                    </w:rPr>
                    <w:t>常温</w:t>
                  </w:r>
                </w:p>
              </w:tc>
            </w:tr>
            <w:tr w:rsidR="00F76A63" w14:paraId="61C0A8BE"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13F9F4F" w14:textId="77777777" w:rsidR="00F76A63" w:rsidRDefault="00000000">
                  <w:pPr>
                    <w:jc w:val="center"/>
                    <w:rPr>
                      <w:bCs/>
                      <w:sz w:val="18"/>
                      <w:szCs w:val="18"/>
                    </w:rPr>
                  </w:pPr>
                  <w:r>
                    <w:rPr>
                      <w:bCs/>
                      <w:sz w:val="18"/>
                      <w:szCs w:val="18"/>
                    </w:rPr>
                    <w:t>DA146</w:t>
                  </w:r>
                </w:p>
              </w:tc>
              <w:tc>
                <w:tcPr>
                  <w:tcW w:w="785" w:type="pct"/>
                  <w:tcBorders>
                    <w:top w:val="single" w:sz="6" w:space="0" w:color="auto"/>
                    <w:left w:val="single" w:sz="6" w:space="0" w:color="auto"/>
                    <w:bottom w:val="single" w:sz="6" w:space="0" w:color="auto"/>
                    <w:right w:val="single" w:sz="6" w:space="0" w:color="auto"/>
                  </w:tcBorders>
                  <w:vAlign w:val="center"/>
                </w:tcPr>
                <w:p w14:paraId="20CF6035" w14:textId="77777777" w:rsidR="00F76A63" w:rsidRDefault="00000000">
                  <w:pPr>
                    <w:jc w:val="center"/>
                    <w:rPr>
                      <w:bCs/>
                      <w:sz w:val="18"/>
                      <w:szCs w:val="18"/>
                    </w:rPr>
                  </w:pPr>
                  <w:r>
                    <w:rPr>
                      <w:bCs/>
                      <w:sz w:val="18"/>
                      <w:szCs w:val="18"/>
                    </w:rPr>
                    <w:t>2#</w:t>
                  </w:r>
                  <w:r>
                    <w:rPr>
                      <w:bCs/>
                      <w:sz w:val="18"/>
                      <w:szCs w:val="18"/>
                    </w:rPr>
                    <w:t>散装机</w:t>
                  </w:r>
                  <w:r>
                    <w:rPr>
                      <w:bCs/>
                      <w:sz w:val="18"/>
                      <w:szCs w:val="18"/>
                    </w:rPr>
                    <w:t>3</w:t>
                  </w:r>
                </w:p>
              </w:tc>
              <w:tc>
                <w:tcPr>
                  <w:tcW w:w="1083" w:type="pct"/>
                  <w:tcBorders>
                    <w:top w:val="single" w:sz="6" w:space="0" w:color="auto"/>
                    <w:left w:val="single" w:sz="6" w:space="0" w:color="auto"/>
                    <w:bottom w:val="single" w:sz="6" w:space="0" w:color="auto"/>
                    <w:right w:val="single" w:sz="6" w:space="0" w:color="auto"/>
                  </w:tcBorders>
                  <w:vAlign w:val="center"/>
                </w:tcPr>
                <w:p w14:paraId="4EAAA82C"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4026E7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C5378FB"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59551B29" w14:textId="77777777" w:rsidR="00F76A63" w:rsidRDefault="00000000">
                  <w:pPr>
                    <w:jc w:val="center"/>
                    <w:rPr>
                      <w:bCs/>
                      <w:sz w:val="18"/>
                      <w:szCs w:val="18"/>
                    </w:rPr>
                  </w:pPr>
                  <w:r>
                    <w:rPr>
                      <w:bCs/>
                      <w:sz w:val="18"/>
                      <w:szCs w:val="18"/>
                    </w:rPr>
                    <w:t>0.3</w:t>
                  </w:r>
                </w:p>
              </w:tc>
              <w:tc>
                <w:tcPr>
                  <w:tcW w:w="445" w:type="pct"/>
                  <w:tcBorders>
                    <w:top w:val="single" w:sz="6" w:space="0" w:color="auto"/>
                    <w:left w:val="single" w:sz="6" w:space="0" w:color="auto"/>
                    <w:bottom w:val="single" w:sz="6" w:space="0" w:color="auto"/>
                    <w:right w:val="nil"/>
                  </w:tcBorders>
                  <w:vAlign w:val="center"/>
                </w:tcPr>
                <w:p w14:paraId="30FFD5FA" w14:textId="77777777" w:rsidR="00F76A63" w:rsidRDefault="00000000">
                  <w:pPr>
                    <w:jc w:val="center"/>
                    <w:rPr>
                      <w:bCs/>
                      <w:sz w:val="18"/>
                      <w:szCs w:val="18"/>
                    </w:rPr>
                  </w:pPr>
                  <w:r>
                    <w:rPr>
                      <w:bCs/>
                      <w:sz w:val="18"/>
                      <w:szCs w:val="18"/>
                    </w:rPr>
                    <w:t>常温</w:t>
                  </w:r>
                </w:p>
              </w:tc>
            </w:tr>
            <w:tr w:rsidR="00F76A63" w14:paraId="6C541D4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7166175" w14:textId="77777777" w:rsidR="00F76A63" w:rsidRDefault="00000000">
                  <w:pPr>
                    <w:jc w:val="center"/>
                    <w:rPr>
                      <w:bCs/>
                      <w:sz w:val="18"/>
                      <w:szCs w:val="18"/>
                    </w:rPr>
                  </w:pPr>
                  <w:r>
                    <w:rPr>
                      <w:bCs/>
                      <w:sz w:val="18"/>
                      <w:szCs w:val="18"/>
                    </w:rPr>
                    <w:t>DA147</w:t>
                  </w:r>
                </w:p>
              </w:tc>
              <w:tc>
                <w:tcPr>
                  <w:tcW w:w="785" w:type="pct"/>
                  <w:tcBorders>
                    <w:top w:val="single" w:sz="6" w:space="0" w:color="auto"/>
                    <w:left w:val="single" w:sz="6" w:space="0" w:color="auto"/>
                    <w:bottom w:val="single" w:sz="6" w:space="0" w:color="auto"/>
                    <w:right w:val="single" w:sz="6" w:space="0" w:color="auto"/>
                  </w:tcBorders>
                  <w:vAlign w:val="center"/>
                </w:tcPr>
                <w:p w14:paraId="70A59693" w14:textId="77777777" w:rsidR="00F76A63" w:rsidRDefault="00000000">
                  <w:pPr>
                    <w:jc w:val="center"/>
                    <w:rPr>
                      <w:bCs/>
                      <w:sz w:val="18"/>
                      <w:szCs w:val="18"/>
                    </w:rPr>
                  </w:pPr>
                  <w:r>
                    <w:rPr>
                      <w:bCs/>
                      <w:sz w:val="18"/>
                      <w:szCs w:val="18"/>
                    </w:rPr>
                    <w:t>2#</w:t>
                  </w:r>
                  <w:r>
                    <w:rPr>
                      <w:bCs/>
                      <w:sz w:val="18"/>
                      <w:szCs w:val="18"/>
                    </w:rPr>
                    <w:t>散装机</w:t>
                  </w:r>
                  <w:r>
                    <w:rPr>
                      <w:bCs/>
                      <w:sz w:val="18"/>
                      <w:szCs w:val="18"/>
                    </w:rPr>
                    <w:t>4</w:t>
                  </w:r>
                </w:p>
              </w:tc>
              <w:tc>
                <w:tcPr>
                  <w:tcW w:w="1083" w:type="pct"/>
                  <w:tcBorders>
                    <w:top w:val="single" w:sz="6" w:space="0" w:color="auto"/>
                    <w:left w:val="single" w:sz="6" w:space="0" w:color="auto"/>
                    <w:bottom w:val="single" w:sz="6" w:space="0" w:color="auto"/>
                    <w:right w:val="single" w:sz="6" w:space="0" w:color="auto"/>
                  </w:tcBorders>
                  <w:vAlign w:val="center"/>
                </w:tcPr>
                <w:p w14:paraId="1B8E73C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2FC3BD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1905077"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786BC942"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5A14D59F" w14:textId="77777777" w:rsidR="00F76A63" w:rsidRDefault="00000000">
                  <w:pPr>
                    <w:jc w:val="center"/>
                    <w:rPr>
                      <w:bCs/>
                      <w:sz w:val="18"/>
                      <w:szCs w:val="18"/>
                    </w:rPr>
                  </w:pPr>
                  <w:r>
                    <w:rPr>
                      <w:bCs/>
                      <w:sz w:val="18"/>
                      <w:szCs w:val="18"/>
                    </w:rPr>
                    <w:t>常温</w:t>
                  </w:r>
                </w:p>
              </w:tc>
            </w:tr>
            <w:tr w:rsidR="00F76A63" w14:paraId="1A7396DE"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1F46244" w14:textId="77777777" w:rsidR="00F76A63" w:rsidRDefault="00000000">
                  <w:pPr>
                    <w:jc w:val="center"/>
                    <w:rPr>
                      <w:bCs/>
                      <w:sz w:val="18"/>
                      <w:szCs w:val="18"/>
                    </w:rPr>
                  </w:pPr>
                  <w:r>
                    <w:rPr>
                      <w:bCs/>
                      <w:sz w:val="18"/>
                      <w:szCs w:val="18"/>
                    </w:rPr>
                    <w:t>DA148</w:t>
                  </w:r>
                </w:p>
              </w:tc>
              <w:tc>
                <w:tcPr>
                  <w:tcW w:w="785" w:type="pct"/>
                  <w:tcBorders>
                    <w:top w:val="single" w:sz="6" w:space="0" w:color="auto"/>
                    <w:left w:val="single" w:sz="6" w:space="0" w:color="auto"/>
                    <w:bottom w:val="single" w:sz="6" w:space="0" w:color="auto"/>
                    <w:right w:val="single" w:sz="6" w:space="0" w:color="auto"/>
                  </w:tcBorders>
                  <w:vAlign w:val="center"/>
                </w:tcPr>
                <w:p w14:paraId="476AC882" w14:textId="77777777" w:rsidR="00F76A63" w:rsidRDefault="00000000">
                  <w:pPr>
                    <w:jc w:val="center"/>
                    <w:rPr>
                      <w:bCs/>
                      <w:sz w:val="18"/>
                      <w:szCs w:val="18"/>
                    </w:rPr>
                  </w:pPr>
                  <w:r>
                    <w:rPr>
                      <w:bCs/>
                      <w:sz w:val="18"/>
                      <w:szCs w:val="18"/>
                    </w:rPr>
                    <w:t>2#</w:t>
                  </w:r>
                  <w:r>
                    <w:rPr>
                      <w:bCs/>
                      <w:sz w:val="18"/>
                      <w:szCs w:val="18"/>
                    </w:rPr>
                    <w:t>散装机</w:t>
                  </w:r>
                  <w:r>
                    <w:rPr>
                      <w:bCs/>
                      <w:sz w:val="18"/>
                      <w:szCs w:val="18"/>
                    </w:rPr>
                    <w:t>5</w:t>
                  </w:r>
                </w:p>
              </w:tc>
              <w:tc>
                <w:tcPr>
                  <w:tcW w:w="1083" w:type="pct"/>
                  <w:tcBorders>
                    <w:top w:val="single" w:sz="6" w:space="0" w:color="auto"/>
                    <w:left w:val="single" w:sz="6" w:space="0" w:color="auto"/>
                    <w:bottom w:val="single" w:sz="6" w:space="0" w:color="auto"/>
                    <w:right w:val="single" w:sz="6" w:space="0" w:color="auto"/>
                  </w:tcBorders>
                  <w:vAlign w:val="center"/>
                </w:tcPr>
                <w:p w14:paraId="669AFC2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2C8C86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BBCD588"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2658B280"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33C4A826" w14:textId="77777777" w:rsidR="00F76A63" w:rsidRDefault="00000000">
                  <w:pPr>
                    <w:jc w:val="center"/>
                    <w:rPr>
                      <w:bCs/>
                      <w:sz w:val="18"/>
                      <w:szCs w:val="18"/>
                    </w:rPr>
                  </w:pPr>
                  <w:r>
                    <w:rPr>
                      <w:bCs/>
                      <w:sz w:val="18"/>
                      <w:szCs w:val="18"/>
                    </w:rPr>
                    <w:t>常温</w:t>
                  </w:r>
                </w:p>
              </w:tc>
            </w:tr>
            <w:tr w:rsidR="00F76A63" w14:paraId="7C45707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F6F8D0D" w14:textId="77777777" w:rsidR="00F76A63" w:rsidRDefault="00000000">
                  <w:pPr>
                    <w:jc w:val="center"/>
                    <w:rPr>
                      <w:bCs/>
                      <w:sz w:val="18"/>
                      <w:szCs w:val="18"/>
                    </w:rPr>
                  </w:pPr>
                  <w:r>
                    <w:rPr>
                      <w:bCs/>
                      <w:sz w:val="18"/>
                      <w:szCs w:val="18"/>
                    </w:rPr>
                    <w:t>DA149</w:t>
                  </w:r>
                </w:p>
              </w:tc>
              <w:tc>
                <w:tcPr>
                  <w:tcW w:w="785" w:type="pct"/>
                  <w:tcBorders>
                    <w:top w:val="single" w:sz="6" w:space="0" w:color="auto"/>
                    <w:left w:val="single" w:sz="6" w:space="0" w:color="auto"/>
                    <w:bottom w:val="single" w:sz="6" w:space="0" w:color="auto"/>
                    <w:right w:val="single" w:sz="6" w:space="0" w:color="auto"/>
                  </w:tcBorders>
                  <w:vAlign w:val="center"/>
                </w:tcPr>
                <w:p w14:paraId="558313B9" w14:textId="77777777" w:rsidR="00F76A63" w:rsidRDefault="00000000">
                  <w:pPr>
                    <w:jc w:val="center"/>
                    <w:rPr>
                      <w:bCs/>
                      <w:sz w:val="18"/>
                      <w:szCs w:val="18"/>
                    </w:rPr>
                  </w:pPr>
                  <w:r>
                    <w:rPr>
                      <w:bCs/>
                      <w:sz w:val="18"/>
                      <w:szCs w:val="18"/>
                    </w:rPr>
                    <w:t>2#</w:t>
                  </w:r>
                  <w:r>
                    <w:rPr>
                      <w:bCs/>
                      <w:sz w:val="18"/>
                      <w:szCs w:val="18"/>
                    </w:rPr>
                    <w:t>包装机</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20987E8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53B6846"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31C0DBD"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0647CA01" w14:textId="77777777" w:rsidR="00F76A63" w:rsidRDefault="00000000">
                  <w:pPr>
                    <w:jc w:val="center"/>
                    <w:rPr>
                      <w:bCs/>
                      <w:sz w:val="18"/>
                      <w:szCs w:val="18"/>
                    </w:rPr>
                  </w:pPr>
                  <w:r>
                    <w:rPr>
                      <w:bCs/>
                      <w:sz w:val="18"/>
                      <w:szCs w:val="18"/>
                    </w:rPr>
                    <w:t>0.5</w:t>
                  </w:r>
                </w:p>
              </w:tc>
              <w:tc>
                <w:tcPr>
                  <w:tcW w:w="445" w:type="pct"/>
                  <w:tcBorders>
                    <w:top w:val="single" w:sz="6" w:space="0" w:color="auto"/>
                    <w:left w:val="single" w:sz="6" w:space="0" w:color="auto"/>
                    <w:bottom w:val="single" w:sz="6" w:space="0" w:color="auto"/>
                    <w:right w:val="nil"/>
                  </w:tcBorders>
                  <w:vAlign w:val="center"/>
                </w:tcPr>
                <w:p w14:paraId="0B1D40A3" w14:textId="77777777" w:rsidR="00F76A63" w:rsidRDefault="00000000">
                  <w:pPr>
                    <w:jc w:val="center"/>
                    <w:rPr>
                      <w:bCs/>
                      <w:sz w:val="18"/>
                      <w:szCs w:val="18"/>
                    </w:rPr>
                  </w:pPr>
                  <w:r>
                    <w:rPr>
                      <w:bCs/>
                      <w:sz w:val="18"/>
                      <w:szCs w:val="18"/>
                    </w:rPr>
                    <w:t>常温</w:t>
                  </w:r>
                </w:p>
              </w:tc>
            </w:tr>
            <w:tr w:rsidR="00F76A63" w14:paraId="3B71133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EF9BCB0" w14:textId="77777777" w:rsidR="00F76A63" w:rsidRDefault="00000000">
                  <w:pPr>
                    <w:jc w:val="center"/>
                    <w:rPr>
                      <w:bCs/>
                      <w:sz w:val="18"/>
                      <w:szCs w:val="18"/>
                    </w:rPr>
                  </w:pPr>
                  <w:r>
                    <w:rPr>
                      <w:bCs/>
                      <w:sz w:val="18"/>
                      <w:szCs w:val="18"/>
                    </w:rPr>
                    <w:t>DA150</w:t>
                  </w:r>
                </w:p>
              </w:tc>
              <w:tc>
                <w:tcPr>
                  <w:tcW w:w="785" w:type="pct"/>
                  <w:tcBorders>
                    <w:top w:val="single" w:sz="6" w:space="0" w:color="auto"/>
                    <w:left w:val="single" w:sz="6" w:space="0" w:color="auto"/>
                    <w:bottom w:val="single" w:sz="6" w:space="0" w:color="auto"/>
                    <w:right w:val="single" w:sz="6" w:space="0" w:color="auto"/>
                  </w:tcBorders>
                  <w:vAlign w:val="center"/>
                </w:tcPr>
                <w:p w14:paraId="1DC86BDB" w14:textId="77777777" w:rsidR="00F76A63" w:rsidRDefault="00000000">
                  <w:pPr>
                    <w:jc w:val="center"/>
                    <w:rPr>
                      <w:bCs/>
                      <w:sz w:val="18"/>
                      <w:szCs w:val="18"/>
                    </w:rPr>
                  </w:pPr>
                  <w:r>
                    <w:rPr>
                      <w:bCs/>
                      <w:sz w:val="18"/>
                      <w:szCs w:val="18"/>
                    </w:rPr>
                    <w:t>物流输送</w:t>
                  </w:r>
                  <w:r>
                    <w:rPr>
                      <w:bCs/>
                      <w:sz w:val="18"/>
                      <w:szCs w:val="18"/>
                    </w:rPr>
                    <w:t>9</w:t>
                  </w:r>
                </w:p>
              </w:tc>
              <w:tc>
                <w:tcPr>
                  <w:tcW w:w="1083" w:type="pct"/>
                  <w:tcBorders>
                    <w:top w:val="single" w:sz="6" w:space="0" w:color="auto"/>
                    <w:left w:val="single" w:sz="6" w:space="0" w:color="auto"/>
                    <w:bottom w:val="single" w:sz="6" w:space="0" w:color="auto"/>
                    <w:right w:val="single" w:sz="6" w:space="0" w:color="auto"/>
                  </w:tcBorders>
                  <w:vAlign w:val="center"/>
                </w:tcPr>
                <w:p w14:paraId="2CDE61B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A5762F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57BEA55" w14:textId="77777777" w:rsidR="00F76A63" w:rsidRDefault="00000000">
                  <w:pPr>
                    <w:jc w:val="center"/>
                    <w:rPr>
                      <w:bCs/>
                      <w:sz w:val="18"/>
                      <w:szCs w:val="18"/>
                    </w:rPr>
                  </w:pPr>
                  <w:r>
                    <w:rPr>
                      <w:bCs/>
                      <w:sz w:val="18"/>
                      <w:szCs w:val="18"/>
                    </w:rPr>
                    <w:t>16</w:t>
                  </w:r>
                </w:p>
              </w:tc>
              <w:tc>
                <w:tcPr>
                  <w:tcW w:w="577" w:type="pct"/>
                  <w:tcBorders>
                    <w:top w:val="single" w:sz="6" w:space="0" w:color="auto"/>
                    <w:left w:val="single" w:sz="6" w:space="0" w:color="auto"/>
                    <w:bottom w:val="single" w:sz="6" w:space="0" w:color="auto"/>
                    <w:right w:val="single" w:sz="6" w:space="0" w:color="auto"/>
                  </w:tcBorders>
                  <w:vAlign w:val="center"/>
                </w:tcPr>
                <w:p w14:paraId="6DD9817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C49849B" w14:textId="77777777" w:rsidR="00F76A63" w:rsidRDefault="00000000">
                  <w:pPr>
                    <w:jc w:val="center"/>
                    <w:rPr>
                      <w:bCs/>
                      <w:sz w:val="18"/>
                      <w:szCs w:val="18"/>
                    </w:rPr>
                  </w:pPr>
                  <w:r>
                    <w:rPr>
                      <w:bCs/>
                      <w:sz w:val="18"/>
                      <w:szCs w:val="18"/>
                    </w:rPr>
                    <w:t>常温</w:t>
                  </w:r>
                </w:p>
              </w:tc>
            </w:tr>
            <w:tr w:rsidR="00F76A63" w14:paraId="7C52116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BFBD855" w14:textId="77777777" w:rsidR="00F76A63" w:rsidRDefault="00000000">
                  <w:pPr>
                    <w:jc w:val="center"/>
                    <w:rPr>
                      <w:bCs/>
                      <w:sz w:val="18"/>
                      <w:szCs w:val="18"/>
                    </w:rPr>
                  </w:pPr>
                  <w:r>
                    <w:rPr>
                      <w:bCs/>
                      <w:sz w:val="18"/>
                      <w:szCs w:val="18"/>
                    </w:rPr>
                    <w:t>DA151</w:t>
                  </w:r>
                </w:p>
              </w:tc>
              <w:tc>
                <w:tcPr>
                  <w:tcW w:w="785" w:type="pct"/>
                  <w:tcBorders>
                    <w:top w:val="single" w:sz="6" w:space="0" w:color="auto"/>
                    <w:left w:val="single" w:sz="6" w:space="0" w:color="auto"/>
                    <w:bottom w:val="single" w:sz="6" w:space="0" w:color="auto"/>
                    <w:right w:val="single" w:sz="6" w:space="0" w:color="auto"/>
                  </w:tcBorders>
                  <w:vAlign w:val="center"/>
                </w:tcPr>
                <w:p w14:paraId="07A73888" w14:textId="77777777" w:rsidR="00F76A63" w:rsidRDefault="00000000">
                  <w:pPr>
                    <w:jc w:val="center"/>
                    <w:rPr>
                      <w:bCs/>
                      <w:sz w:val="18"/>
                      <w:szCs w:val="18"/>
                    </w:rPr>
                  </w:pPr>
                  <w:r>
                    <w:rPr>
                      <w:bCs/>
                      <w:sz w:val="18"/>
                      <w:szCs w:val="18"/>
                    </w:rPr>
                    <w:t>物流输送</w:t>
                  </w:r>
                  <w:r>
                    <w:rPr>
                      <w:bCs/>
                      <w:sz w:val="18"/>
                      <w:szCs w:val="18"/>
                    </w:rPr>
                    <w:t>8</w:t>
                  </w:r>
                </w:p>
              </w:tc>
              <w:tc>
                <w:tcPr>
                  <w:tcW w:w="1083" w:type="pct"/>
                  <w:tcBorders>
                    <w:top w:val="single" w:sz="6" w:space="0" w:color="auto"/>
                    <w:left w:val="single" w:sz="6" w:space="0" w:color="auto"/>
                    <w:bottom w:val="single" w:sz="6" w:space="0" w:color="auto"/>
                    <w:right w:val="single" w:sz="6" w:space="0" w:color="auto"/>
                  </w:tcBorders>
                  <w:vAlign w:val="center"/>
                </w:tcPr>
                <w:p w14:paraId="3530726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EA2A23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035803A"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7F851B04"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06A6283" w14:textId="77777777" w:rsidR="00F76A63" w:rsidRDefault="00000000">
                  <w:pPr>
                    <w:jc w:val="center"/>
                    <w:rPr>
                      <w:bCs/>
                      <w:sz w:val="18"/>
                      <w:szCs w:val="18"/>
                    </w:rPr>
                  </w:pPr>
                  <w:r>
                    <w:rPr>
                      <w:bCs/>
                      <w:sz w:val="18"/>
                      <w:szCs w:val="18"/>
                    </w:rPr>
                    <w:t>常温</w:t>
                  </w:r>
                </w:p>
              </w:tc>
            </w:tr>
            <w:tr w:rsidR="00F76A63" w14:paraId="2CF8839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371B59D" w14:textId="77777777" w:rsidR="00F76A63" w:rsidRDefault="00000000">
                  <w:pPr>
                    <w:jc w:val="center"/>
                    <w:rPr>
                      <w:bCs/>
                      <w:sz w:val="18"/>
                      <w:szCs w:val="18"/>
                    </w:rPr>
                  </w:pPr>
                  <w:r>
                    <w:rPr>
                      <w:bCs/>
                      <w:sz w:val="18"/>
                      <w:szCs w:val="18"/>
                    </w:rPr>
                    <w:t>DA152</w:t>
                  </w:r>
                </w:p>
              </w:tc>
              <w:tc>
                <w:tcPr>
                  <w:tcW w:w="785" w:type="pct"/>
                  <w:tcBorders>
                    <w:top w:val="single" w:sz="6" w:space="0" w:color="auto"/>
                    <w:left w:val="single" w:sz="6" w:space="0" w:color="auto"/>
                    <w:bottom w:val="single" w:sz="6" w:space="0" w:color="auto"/>
                    <w:right w:val="single" w:sz="6" w:space="0" w:color="auto"/>
                  </w:tcBorders>
                  <w:vAlign w:val="center"/>
                </w:tcPr>
                <w:p w14:paraId="6C514025" w14:textId="77777777" w:rsidR="00F76A63" w:rsidRDefault="00000000">
                  <w:pPr>
                    <w:jc w:val="center"/>
                    <w:rPr>
                      <w:bCs/>
                      <w:sz w:val="18"/>
                      <w:szCs w:val="18"/>
                    </w:rPr>
                  </w:pPr>
                  <w:r>
                    <w:rPr>
                      <w:bCs/>
                      <w:sz w:val="18"/>
                      <w:szCs w:val="18"/>
                    </w:rPr>
                    <w:t>物流输送</w:t>
                  </w:r>
                  <w:r>
                    <w:rPr>
                      <w:bCs/>
                      <w:sz w:val="18"/>
                      <w:szCs w:val="18"/>
                    </w:rPr>
                    <w:t>19</w:t>
                  </w:r>
                </w:p>
              </w:tc>
              <w:tc>
                <w:tcPr>
                  <w:tcW w:w="1083" w:type="pct"/>
                  <w:tcBorders>
                    <w:top w:val="single" w:sz="6" w:space="0" w:color="auto"/>
                    <w:left w:val="single" w:sz="6" w:space="0" w:color="auto"/>
                    <w:bottom w:val="single" w:sz="6" w:space="0" w:color="auto"/>
                    <w:right w:val="single" w:sz="6" w:space="0" w:color="auto"/>
                  </w:tcBorders>
                  <w:vAlign w:val="center"/>
                </w:tcPr>
                <w:p w14:paraId="0416ABE1"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4CC8185"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491C0A7"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4698B1E4"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AED4EE4" w14:textId="77777777" w:rsidR="00F76A63" w:rsidRDefault="00000000">
                  <w:pPr>
                    <w:jc w:val="center"/>
                    <w:rPr>
                      <w:bCs/>
                      <w:sz w:val="18"/>
                      <w:szCs w:val="18"/>
                    </w:rPr>
                  </w:pPr>
                  <w:r>
                    <w:rPr>
                      <w:bCs/>
                      <w:sz w:val="18"/>
                      <w:szCs w:val="18"/>
                    </w:rPr>
                    <w:t>常温</w:t>
                  </w:r>
                </w:p>
              </w:tc>
            </w:tr>
            <w:tr w:rsidR="00F76A63" w14:paraId="44F97CE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4DC9D41" w14:textId="77777777" w:rsidR="00F76A63" w:rsidRDefault="00000000">
                  <w:pPr>
                    <w:jc w:val="center"/>
                    <w:rPr>
                      <w:bCs/>
                      <w:sz w:val="18"/>
                      <w:szCs w:val="18"/>
                    </w:rPr>
                  </w:pPr>
                  <w:r>
                    <w:rPr>
                      <w:bCs/>
                      <w:sz w:val="18"/>
                      <w:szCs w:val="18"/>
                    </w:rPr>
                    <w:t>DA153</w:t>
                  </w:r>
                </w:p>
              </w:tc>
              <w:tc>
                <w:tcPr>
                  <w:tcW w:w="785" w:type="pct"/>
                  <w:tcBorders>
                    <w:top w:val="single" w:sz="6" w:space="0" w:color="auto"/>
                    <w:left w:val="single" w:sz="6" w:space="0" w:color="auto"/>
                    <w:bottom w:val="single" w:sz="6" w:space="0" w:color="auto"/>
                    <w:right w:val="single" w:sz="6" w:space="0" w:color="auto"/>
                  </w:tcBorders>
                  <w:vAlign w:val="center"/>
                </w:tcPr>
                <w:p w14:paraId="2E89B44F" w14:textId="77777777" w:rsidR="00F76A63" w:rsidRDefault="00000000">
                  <w:pPr>
                    <w:jc w:val="center"/>
                    <w:rPr>
                      <w:bCs/>
                      <w:sz w:val="18"/>
                      <w:szCs w:val="18"/>
                    </w:rPr>
                  </w:pPr>
                  <w:r>
                    <w:rPr>
                      <w:bCs/>
                      <w:sz w:val="18"/>
                      <w:szCs w:val="18"/>
                    </w:rPr>
                    <w:t>物流输送</w:t>
                  </w:r>
                  <w:r>
                    <w:rPr>
                      <w:bCs/>
                      <w:sz w:val="18"/>
                      <w:szCs w:val="18"/>
                    </w:rPr>
                    <w:t>20</w:t>
                  </w:r>
                </w:p>
              </w:tc>
              <w:tc>
                <w:tcPr>
                  <w:tcW w:w="1083" w:type="pct"/>
                  <w:tcBorders>
                    <w:top w:val="single" w:sz="6" w:space="0" w:color="auto"/>
                    <w:left w:val="single" w:sz="6" w:space="0" w:color="auto"/>
                    <w:bottom w:val="single" w:sz="6" w:space="0" w:color="auto"/>
                    <w:right w:val="single" w:sz="6" w:space="0" w:color="auto"/>
                  </w:tcBorders>
                  <w:vAlign w:val="center"/>
                </w:tcPr>
                <w:p w14:paraId="73D7118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CC8C8F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DD303BF" w14:textId="77777777" w:rsidR="00F76A63" w:rsidRDefault="00000000">
                  <w:pPr>
                    <w:jc w:val="center"/>
                    <w:rPr>
                      <w:bCs/>
                      <w:sz w:val="18"/>
                      <w:szCs w:val="18"/>
                    </w:rPr>
                  </w:pPr>
                  <w:r>
                    <w:rPr>
                      <w:bCs/>
                      <w:sz w:val="18"/>
                      <w:szCs w:val="18"/>
                    </w:rPr>
                    <w:t>22</w:t>
                  </w:r>
                </w:p>
              </w:tc>
              <w:tc>
                <w:tcPr>
                  <w:tcW w:w="577" w:type="pct"/>
                  <w:tcBorders>
                    <w:top w:val="single" w:sz="6" w:space="0" w:color="auto"/>
                    <w:left w:val="single" w:sz="6" w:space="0" w:color="auto"/>
                    <w:bottom w:val="single" w:sz="6" w:space="0" w:color="auto"/>
                    <w:right w:val="single" w:sz="6" w:space="0" w:color="auto"/>
                  </w:tcBorders>
                  <w:vAlign w:val="center"/>
                </w:tcPr>
                <w:p w14:paraId="0343A9EE"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5DAC662" w14:textId="77777777" w:rsidR="00F76A63" w:rsidRDefault="00000000">
                  <w:pPr>
                    <w:jc w:val="center"/>
                    <w:rPr>
                      <w:bCs/>
                      <w:sz w:val="18"/>
                      <w:szCs w:val="18"/>
                    </w:rPr>
                  </w:pPr>
                  <w:r>
                    <w:rPr>
                      <w:bCs/>
                      <w:sz w:val="18"/>
                      <w:szCs w:val="18"/>
                    </w:rPr>
                    <w:t>常温</w:t>
                  </w:r>
                </w:p>
              </w:tc>
            </w:tr>
            <w:tr w:rsidR="00F76A63" w14:paraId="35BA1D8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239E949" w14:textId="77777777" w:rsidR="00F76A63" w:rsidRDefault="00000000">
                  <w:pPr>
                    <w:jc w:val="center"/>
                    <w:rPr>
                      <w:bCs/>
                      <w:sz w:val="18"/>
                      <w:szCs w:val="18"/>
                    </w:rPr>
                  </w:pPr>
                  <w:r>
                    <w:rPr>
                      <w:bCs/>
                      <w:sz w:val="18"/>
                      <w:szCs w:val="18"/>
                    </w:rPr>
                    <w:t>DA154</w:t>
                  </w:r>
                </w:p>
              </w:tc>
              <w:tc>
                <w:tcPr>
                  <w:tcW w:w="785" w:type="pct"/>
                  <w:tcBorders>
                    <w:top w:val="single" w:sz="6" w:space="0" w:color="auto"/>
                    <w:left w:val="single" w:sz="6" w:space="0" w:color="auto"/>
                    <w:bottom w:val="single" w:sz="6" w:space="0" w:color="auto"/>
                    <w:right w:val="single" w:sz="6" w:space="0" w:color="auto"/>
                  </w:tcBorders>
                  <w:vAlign w:val="center"/>
                </w:tcPr>
                <w:p w14:paraId="72B76BE9" w14:textId="77777777" w:rsidR="00F76A63" w:rsidRDefault="00000000">
                  <w:pPr>
                    <w:jc w:val="center"/>
                    <w:rPr>
                      <w:bCs/>
                      <w:sz w:val="18"/>
                      <w:szCs w:val="18"/>
                    </w:rPr>
                  </w:pPr>
                  <w:r>
                    <w:rPr>
                      <w:bCs/>
                      <w:sz w:val="18"/>
                      <w:szCs w:val="18"/>
                    </w:rPr>
                    <w:t>物流输送</w:t>
                  </w:r>
                  <w:r>
                    <w:rPr>
                      <w:bCs/>
                      <w:sz w:val="18"/>
                      <w:szCs w:val="18"/>
                    </w:rPr>
                    <w:t>16</w:t>
                  </w:r>
                </w:p>
              </w:tc>
              <w:tc>
                <w:tcPr>
                  <w:tcW w:w="1083" w:type="pct"/>
                  <w:tcBorders>
                    <w:top w:val="single" w:sz="6" w:space="0" w:color="auto"/>
                    <w:left w:val="single" w:sz="6" w:space="0" w:color="auto"/>
                    <w:bottom w:val="single" w:sz="6" w:space="0" w:color="auto"/>
                    <w:right w:val="single" w:sz="6" w:space="0" w:color="auto"/>
                  </w:tcBorders>
                  <w:vAlign w:val="center"/>
                </w:tcPr>
                <w:p w14:paraId="01B3B40C"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60EE12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3DFDF12"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1E7DA0D7"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4900FC7" w14:textId="77777777" w:rsidR="00F76A63" w:rsidRDefault="00000000">
                  <w:pPr>
                    <w:jc w:val="center"/>
                    <w:rPr>
                      <w:bCs/>
                      <w:sz w:val="18"/>
                      <w:szCs w:val="18"/>
                    </w:rPr>
                  </w:pPr>
                  <w:r>
                    <w:rPr>
                      <w:bCs/>
                      <w:sz w:val="18"/>
                      <w:szCs w:val="18"/>
                    </w:rPr>
                    <w:t>常温</w:t>
                  </w:r>
                </w:p>
              </w:tc>
            </w:tr>
            <w:tr w:rsidR="00F76A63" w14:paraId="21D698F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00CCFBD" w14:textId="77777777" w:rsidR="00F76A63" w:rsidRDefault="00000000">
                  <w:pPr>
                    <w:jc w:val="center"/>
                    <w:rPr>
                      <w:bCs/>
                      <w:sz w:val="18"/>
                      <w:szCs w:val="18"/>
                    </w:rPr>
                  </w:pPr>
                  <w:r>
                    <w:rPr>
                      <w:bCs/>
                      <w:sz w:val="18"/>
                      <w:szCs w:val="18"/>
                    </w:rPr>
                    <w:t>DA155</w:t>
                  </w:r>
                </w:p>
              </w:tc>
              <w:tc>
                <w:tcPr>
                  <w:tcW w:w="785" w:type="pct"/>
                  <w:tcBorders>
                    <w:top w:val="single" w:sz="6" w:space="0" w:color="auto"/>
                    <w:left w:val="single" w:sz="6" w:space="0" w:color="auto"/>
                    <w:bottom w:val="single" w:sz="6" w:space="0" w:color="auto"/>
                    <w:right w:val="single" w:sz="6" w:space="0" w:color="auto"/>
                  </w:tcBorders>
                  <w:vAlign w:val="center"/>
                </w:tcPr>
                <w:p w14:paraId="468A68DD" w14:textId="77777777" w:rsidR="00F76A63" w:rsidRDefault="00000000">
                  <w:pPr>
                    <w:jc w:val="center"/>
                    <w:rPr>
                      <w:bCs/>
                      <w:sz w:val="18"/>
                      <w:szCs w:val="18"/>
                    </w:rPr>
                  </w:pPr>
                  <w:r>
                    <w:rPr>
                      <w:bCs/>
                      <w:sz w:val="18"/>
                      <w:szCs w:val="18"/>
                    </w:rPr>
                    <w:t>物流输送</w:t>
                  </w:r>
                  <w:r>
                    <w:rPr>
                      <w:bCs/>
                      <w:sz w:val="18"/>
                      <w:szCs w:val="18"/>
                    </w:rPr>
                    <w:t>17</w:t>
                  </w:r>
                </w:p>
              </w:tc>
              <w:tc>
                <w:tcPr>
                  <w:tcW w:w="1083" w:type="pct"/>
                  <w:tcBorders>
                    <w:top w:val="single" w:sz="6" w:space="0" w:color="auto"/>
                    <w:left w:val="single" w:sz="6" w:space="0" w:color="auto"/>
                    <w:bottom w:val="single" w:sz="6" w:space="0" w:color="auto"/>
                    <w:right w:val="single" w:sz="6" w:space="0" w:color="auto"/>
                  </w:tcBorders>
                  <w:vAlign w:val="center"/>
                </w:tcPr>
                <w:p w14:paraId="46E5D30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9DCBCB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4404273"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5041EF66"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C89E9AF" w14:textId="77777777" w:rsidR="00F76A63" w:rsidRDefault="00000000">
                  <w:pPr>
                    <w:jc w:val="center"/>
                    <w:rPr>
                      <w:bCs/>
                      <w:sz w:val="18"/>
                      <w:szCs w:val="18"/>
                    </w:rPr>
                  </w:pPr>
                  <w:r>
                    <w:rPr>
                      <w:bCs/>
                      <w:sz w:val="18"/>
                      <w:szCs w:val="18"/>
                    </w:rPr>
                    <w:t>常温</w:t>
                  </w:r>
                </w:p>
              </w:tc>
            </w:tr>
            <w:tr w:rsidR="00F76A63" w14:paraId="38ABFFC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0B6427F" w14:textId="77777777" w:rsidR="00F76A63" w:rsidRDefault="00000000">
                  <w:pPr>
                    <w:jc w:val="center"/>
                    <w:rPr>
                      <w:bCs/>
                      <w:sz w:val="18"/>
                      <w:szCs w:val="18"/>
                    </w:rPr>
                  </w:pPr>
                  <w:r>
                    <w:rPr>
                      <w:bCs/>
                      <w:sz w:val="18"/>
                      <w:szCs w:val="18"/>
                    </w:rPr>
                    <w:t>DA156</w:t>
                  </w:r>
                </w:p>
              </w:tc>
              <w:tc>
                <w:tcPr>
                  <w:tcW w:w="785" w:type="pct"/>
                  <w:tcBorders>
                    <w:top w:val="single" w:sz="6" w:space="0" w:color="auto"/>
                    <w:left w:val="single" w:sz="6" w:space="0" w:color="auto"/>
                    <w:bottom w:val="single" w:sz="6" w:space="0" w:color="auto"/>
                    <w:right w:val="single" w:sz="6" w:space="0" w:color="auto"/>
                  </w:tcBorders>
                  <w:vAlign w:val="center"/>
                </w:tcPr>
                <w:p w14:paraId="2B21E006" w14:textId="77777777" w:rsidR="00F76A63" w:rsidRDefault="00000000">
                  <w:pPr>
                    <w:jc w:val="center"/>
                    <w:rPr>
                      <w:bCs/>
                      <w:sz w:val="18"/>
                      <w:szCs w:val="18"/>
                    </w:rPr>
                  </w:pPr>
                  <w:r>
                    <w:rPr>
                      <w:bCs/>
                      <w:sz w:val="18"/>
                      <w:szCs w:val="18"/>
                    </w:rPr>
                    <w:t>物流输送</w:t>
                  </w:r>
                  <w:r>
                    <w:rPr>
                      <w:bCs/>
                      <w:sz w:val="18"/>
                      <w:szCs w:val="18"/>
                    </w:rPr>
                    <w:t>18</w:t>
                  </w:r>
                </w:p>
              </w:tc>
              <w:tc>
                <w:tcPr>
                  <w:tcW w:w="1083" w:type="pct"/>
                  <w:tcBorders>
                    <w:top w:val="single" w:sz="6" w:space="0" w:color="auto"/>
                    <w:left w:val="single" w:sz="6" w:space="0" w:color="auto"/>
                    <w:bottom w:val="single" w:sz="6" w:space="0" w:color="auto"/>
                    <w:right w:val="single" w:sz="6" w:space="0" w:color="auto"/>
                  </w:tcBorders>
                  <w:vAlign w:val="center"/>
                </w:tcPr>
                <w:p w14:paraId="4D9C108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7322C4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AD8C26E"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48A7E9E0"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CC41023" w14:textId="77777777" w:rsidR="00F76A63" w:rsidRDefault="00000000">
                  <w:pPr>
                    <w:jc w:val="center"/>
                    <w:rPr>
                      <w:bCs/>
                      <w:sz w:val="18"/>
                      <w:szCs w:val="18"/>
                    </w:rPr>
                  </w:pPr>
                  <w:r>
                    <w:rPr>
                      <w:bCs/>
                      <w:sz w:val="18"/>
                      <w:szCs w:val="18"/>
                    </w:rPr>
                    <w:t>常温</w:t>
                  </w:r>
                </w:p>
              </w:tc>
            </w:tr>
            <w:tr w:rsidR="00F76A63" w14:paraId="5D611140"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980793E" w14:textId="77777777" w:rsidR="00F76A63" w:rsidRDefault="00000000">
                  <w:pPr>
                    <w:jc w:val="center"/>
                    <w:rPr>
                      <w:bCs/>
                      <w:sz w:val="18"/>
                      <w:szCs w:val="18"/>
                    </w:rPr>
                  </w:pPr>
                  <w:r>
                    <w:rPr>
                      <w:bCs/>
                      <w:sz w:val="18"/>
                      <w:szCs w:val="18"/>
                    </w:rPr>
                    <w:t>DA157</w:t>
                  </w:r>
                </w:p>
              </w:tc>
              <w:tc>
                <w:tcPr>
                  <w:tcW w:w="785" w:type="pct"/>
                  <w:tcBorders>
                    <w:top w:val="single" w:sz="6" w:space="0" w:color="auto"/>
                    <w:left w:val="single" w:sz="6" w:space="0" w:color="auto"/>
                    <w:bottom w:val="single" w:sz="6" w:space="0" w:color="auto"/>
                    <w:right w:val="single" w:sz="6" w:space="0" w:color="auto"/>
                  </w:tcBorders>
                  <w:vAlign w:val="center"/>
                </w:tcPr>
                <w:p w14:paraId="10B81458" w14:textId="77777777" w:rsidR="00F76A63" w:rsidRDefault="00000000">
                  <w:pPr>
                    <w:jc w:val="center"/>
                    <w:rPr>
                      <w:bCs/>
                      <w:sz w:val="18"/>
                      <w:szCs w:val="18"/>
                    </w:rPr>
                  </w:pPr>
                  <w:r>
                    <w:rPr>
                      <w:bCs/>
                      <w:sz w:val="18"/>
                      <w:szCs w:val="18"/>
                    </w:rPr>
                    <w:t>物流输送</w:t>
                  </w:r>
                  <w:r>
                    <w:rPr>
                      <w:bCs/>
                      <w:sz w:val="18"/>
                      <w:szCs w:val="18"/>
                    </w:rPr>
                    <w:t>10</w:t>
                  </w:r>
                </w:p>
              </w:tc>
              <w:tc>
                <w:tcPr>
                  <w:tcW w:w="1083" w:type="pct"/>
                  <w:tcBorders>
                    <w:top w:val="single" w:sz="6" w:space="0" w:color="auto"/>
                    <w:left w:val="single" w:sz="6" w:space="0" w:color="auto"/>
                    <w:bottom w:val="single" w:sz="6" w:space="0" w:color="auto"/>
                    <w:right w:val="single" w:sz="6" w:space="0" w:color="auto"/>
                  </w:tcBorders>
                  <w:vAlign w:val="center"/>
                </w:tcPr>
                <w:p w14:paraId="00F13F2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20F693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44464D5"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EDD1C5E"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73960595" w14:textId="77777777" w:rsidR="00F76A63" w:rsidRDefault="00000000">
                  <w:pPr>
                    <w:jc w:val="center"/>
                    <w:rPr>
                      <w:bCs/>
                      <w:sz w:val="18"/>
                      <w:szCs w:val="18"/>
                    </w:rPr>
                  </w:pPr>
                  <w:r>
                    <w:rPr>
                      <w:bCs/>
                      <w:sz w:val="18"/>
                      <w:szCs w:val="18"/>
                    </w:rPr>
                    <w:t>常温</w:t>
                  </w:r>
                </w:p>
              </w:tc>
            </w:tr>
            <w:tr w:rsidR="00F76A63" w14:paraId="466C6F2B"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FDFA248" w14:textId="77777777" w:rsidR="00F76A63" w:rsidRDefault="00000000">
                  <w:pPr>
                    <w:jc w:val="center"/>
                    <w:rPr>
                      <w:bCs/>
                      <w:sz w:val="18"/>
                      <w:szCs w:val="18"/>
                    </w:rPr>
                  </w:pPr>
                  <w:r>
                    <w:rPr>
                      <w:bCs/>
                      <w:sz w:val="18"/>
                      <w:szCs w:val="18"/>
                    </w:rPr>
                    <w:t>DA158</w:t>
                  </w:r>
                </w:p>
              </w:tc>
              <w:tc>
                <w:tcPr>
                  <w:tcW w:w="785" w:type="pct"/>
                  <w:tcBorders>
                    <w:top w:val="single" w:sz="6" w:space="0" w:color="auto"/>
                    <w:left w:val="single" w:sz="6" w:space="0" w:color="auto"/>
                    <w:bottom w:val="single" w:sz="6" w:space="0" w:color="auto"/>
                    <w:right w:val="single" w:sz="6" w:space="0" w:color="auto"/>
                  </w:tcBorders>
                  <w:vAlign w:val="center"/>
                </w:tcPr>
                <w:p w14:paraId="7161A2C8" w14:textId="77777777" w:rsidR="00F76A63" w:rsidRDefault="00000000">
                  <w:pPr>
                    <w:jc w:val="center"/>
                    <w:rPr>
                      <w:bCs/>
                      <w:sz w:val="18"/>
                      <w:szCs w:val="18"/>
                    </w:rPr>
                  </w:pPr>
                  <w:r>
                    <w:rPr>
                      <w:bCs/>
                      <w:sz w:val="18"/>
                      <w:szCs w:val="18"/>
                    </w:rPr>
                    <w:t>物流输送</w:t>
                  </w:r>
                  <w:r>
                    <w:rPr>
                      <w:bCs/>
                      <w:sz w:val="18"/>
                      <w:szCs w:val="18"/>
                    </w:rPr>
                    <w:t>11</w:t>
                  </w:r>
                </w:p>
              </w:tc>
              <w:tc>
                <w:tcPr>
                  <w:tcW w:w="1083" w:type="pct"/>
                  <w:tcBorders>
                    <w:top w:val="single" w:sz="6" w:space="0" w:color="auto"/>
                    <w:left w:val="single" w:sz="6" w:space="0" w:color="auto"/>
                    <w:bottom w:val="single" w:sz="6" w:space="0" w:color="auto"/>
                    <w:right w:val="single" w:sz="6" w:space="0" w:color="auto"/>
                  </w:tcBorders>
                  <w:vAlign w:val="center"/>
                </w:tcPr>
                <w:p w14:paraId="49AED1F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2B9953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49E70CB"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3D59E15B"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C273015" w14:textId="77777777" w:rsidR="00F76A63" w:rsidRDefault="00000000">
                  <w:pPr>
                    <w:jc w:val="center"/>
                    <w:rPr>
                      <w:bCs/>
                      <w:sz w:val="18"/>
                      <w:szCs w:val="18"/>
                    </w:rPr>
                  </w:pPr>
                  <w:r>
                    <w:rPr>
                      <w:bCs/>
                      <w:sz w:val="18"/>
                      <w:szCs w:val="18"/>
                    </w:rPr>
                    <w:t>常温</w:t>
                  </w:r>
                </w:p>
              </w:tc>
            </w:tr>
            <w:tr w:rsidR="00F76A63" w14:paraId="1D8E87B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8F1A0C8" w14:textId="77777777" w:rsidR="00F76A63" w:rsidRDefault="00000000">
                  <w:pPr>
                    <w:jc w:val="center"/>
                    <w:rPr>
                      <w:bCs/>
                      <w:sz w:val="18"/>
                      <w:szCs w:val="18"/>
                    </w:rPr>
                  </w:pPr>
                  <w:r>
                    <w:rPr>
                      <w:bCs/>
                      <w:sz w:val="18"/>
                      <w:szCs w:val="18"/>
                    </w:rPr>
                    <w:t>DA159</w:t>
                  </w:r>
                </w:p>
              </w:tc>
              <w:tc>
                <w:tcPr>
                  <w:tcW w:w="785" w:type="pct"/>
                  <w:tcBorders>
                    <w:top w:val="single" w:sz="6" w:space="0" w:color="auto"/>
                    <w:left w:val="single" w:sz="6" w:space="0" w:color="auto"/>
                    <w:bottom w:val="single" w:sz="6" w:space="0" w:color="auto"/>
                    <w:right w:val="single" w:sz="6" w:space="0" w:color="auto"/>
                  </w:tcBorders>
                  <w:vAlign w:val="center"/>
                </w:tcPr>
                <w:p w14:paraId="78B20287" w14:textId="77777777" w:rsidR="00F76A63" w:rsidRDefault="00000000">
                  <w:pPr>
                    <w:jc w:val="center"/>
                    <w:rPr>
                      <w:bCs/>
                      <w:sz w:val="18"/>
                      <w:szCs w:val="18"/>
                    </w:rPr>
                  </w:pPr>
                  <w:r>
                    <w:rPr>
                      <w:bCs/>
                      <w:sz w:val="18"/>
                      <w:szCs w:val="18"/>
                    </w:rPr>
                    <w:t>物流输送</w:t>
                  </w:r>
                  <w:r>
                    <w:rPr>
                      <w:bCs/>
                      <w:sz w:val="18"/>
                      <w:szCs w:val="18"/>
                    </w:rPr>
                    <w:t>12</w:t>
                  </w:r>
                </w:p>
              </w:tc>
              <w:tc>
                <w:tcPr>
                  <w:tcW w:w="1083" w:type="pct"/>
                  <w:tcBorders>
                    <w:top w:val="single" w:sz="6" w:space="0" w:color="auto"/>
                    <w:left w:val="single" w:sz="6" w:space="0" w:color="auto"/>
                    <w:bottom w:val="single" w:sz="6" w:space="0" w:color="auto"/>
                    <w:right w:val="single" w:sz="6" w:space="0" w:color="auto"/>
                  </w:tcBorders>
                  <w:vAlign w:val="center"/>
                </w:tcPr>
                <w:p w14:paraId="6017E82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0313A32"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B923B79"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44006A5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EFCA68E" w14:textId="77777777" w:rsidR="00F76A63" w:rsidRDefault="00000000">
                  <w:pPr>
                    <w:jc w:val="center"/>
                    <w:rPr>
                      <w:bCs/>
                      <w:sz w:val="18"/>
                      <w:szCs w:val="18"/>
                    </w:rPr>
                  </w:pPr>
                  <w:r>
                    <w:rPr>
                      <w:bCs/>
                      <w:sz w:val="18"/>
                      <w:szCs w:val="18"/>
                    </w:rPr>
                    <w:t>常温</w:t>
                  </w:r>
                </w:p>
              </w:tc>
            </w:tr>
            <w:tr w:rsidR="00F76A63" w14:paraId="4080E96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FF8D05D" w14:textId="77777777" w:rsidR="00F76A63" w:rsidRDefault="00000000">
                  <w:pPr>
                    <w:jc w:val="center"/>
                    <w:rPr>
                      <w:bCs/>
                      <w:sz w:val="18"/>
                      <w:szCs w:val="18"/>
                    </w:rPr>
                  </w:pPr>
                  <w:r>
                    <w:rPr>
                      <w:bCs/>
                      <w:sz w:val="18"/>
                      <w:szCs w:val="18"/>
                    </w:rPr>
                    <w:t>DA160</w:t>
                  </w:r>
                </w:p>
              </w:tc>
              <w:tc>
                <w:tcPr>
                  <w:tcW w:w="785" w:type="pct"/>
                  <w:tcBorders>
                    <w:top w:val="single" w:sz="6" w:space="0" w:color="auto"/>
                    <w:left w:val="single" w:sz="6" w:space="0" w:color="auto"/>
                    <w:bottom w:val="single" w:sz="6" w:space="0" w:color="auto"/>
                    <w:right w:val="single" w:sz="6" w:space="0" w:color="auto"/>
                  </w:tcBorders>
                  <w:vAlign w:val="center"/>
                </w:tcPr>
                <w:p w14:paraId="075E8709" w14:textId="77777777" w:rsidR="00F76A63" w:rsidRDefault="00000000">
                  <w:pPr>
                    <w:jc w:val="center"/>
                    <w:rPr>
                      <w:bCs/>
                      <w:sz w:val="18"/>
                      <w:szCs w:val="18"/>
                    </w:rPr>
                  </w:pPr>
                  <w:r>
                    <w:rPr>
                      <w:bCs/>
                      <w:sz w:val="18"/>
                      <w:szCs w:val="18"/>
                    </w:rPr>
                    <w:t>物流输送</w:t>
                  </w:r>
                  <w:r>
                    <w:rPr>
                      <w:bCs/>
                      <w:sz w:val="18"/>
                      <w:szCs w:val="18"/>
                    </w:rPr>
                    <w:t>13</w:t>
                  </w:r>
                </w:p>
              </w:tc>
              <w:tc>
                <w:tcPr>
                  <w:tcW w:w="1083" w:type="pct"/>
                  <w:tcBorders>
                    <w:top w:val="single" w:sz="6" w:space="0" w:color="auto"/>
                    <w:left w:val="single" w:sz="6" w:space="0" w:color="auto"/>
                    <w:bottom w:val="single" w:sz="6" w:space="0" w:color="auto"/>
                    <w:right w:val="single" w:sz="6" w:space="0" w:color="auto"/>
                  </w:tcBorders>
                  <w:vAlign w:val="center"/>
                </w:tcPr>
                <w:p w14:paraId="506F128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025951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CD6407E"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5274FC23"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CF9A6CD" w14:textId="77777777" w:rsidR="00F76A63" w:rsidRDefault="00000000">
                  <w:pPr>
                    <w:jc w:val="center"/>
                    <w:rPr>
                      <w:bCs/>
                      <w:sz w:val="18"/>
                      <w:szCs w:val="18"/>
                    </w:rPr>
                  </w:pPr>
                  <w:r>
                    <w:rPr>
                      <w:bCs/>
                      <w:sz w:val="18"/>
                      <w:szCs w:val="18"/>
                    </w:rPr>
                    <w:t>常温</w:t>
                  </w:r>
                </w:p>
              </w:tc>
            </w:tr>
            <w:tr w:rsidR="00F76A63" w14:paraId="5A5A5E2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C85FF16" w14:textId="77777777" w:rsidR="00F76A63" w:rsidRDefault="00000000">
                  <w:pPr>
                    <w:jc w:val="center"/>
                    <w:rPr>
                      <w:bCs/>
                      <w:sz w:val="18"/>
                      <w:szCs w:val="18"/>
                    </w:rPr>
                  </w:pPr>
                  <w:r>
                    <w:rPr>
                      <w:bCs/>
                      <w:sz w:val="18"/>
                      <w:szCs w:val="18"/>
                    </w:rPr>
                    <w:t>DA161</w:t>
                  </w:r>
                </w:p>
              </w:tc>
              <w:tc>
                <w:tcPr>
                  <w:tcW w:w="785" w:type="pct"/>
                  <w:tcBorders>
                    <w:top w:val="single" w:sz="6" w:space="0" w:color="auto"/>
                    <w:left w:val="single" w:sz="6" w:space="0" w:color="auto"/>
                    <w:bottom w:val="single" w:sz="6" w:space="0" w:color="auto"/>
                    <w:right w:val="single" w:sz="6" w:space="0" w:color="auto"/>
                  </w:tcBorders>
                  <w:vAlign w:val="center"/>
                </w:tcPr>
                <w:p w14:paraId="2B97C875" w14:textId="77777777" w:rsidR="00F76A63" w:rsidRDefault="00000000">
                  <w:pPr>
                    <w:jc w:val="center"/>
                    <w:rPr>
                      <w:bCs/>
                      <w:sz w:val="18"/>
                      <w:szCs w:val="18"/>
                    </w:rPr>
                  </w:pPr>
                  <w:r>
                    <w:rPr>
                      <w:bCs/>
                      <w:sz w:val="18"/>
                      <w:szCs w:val="18"/>
                    </w:rPr>
                    <w:t>物流输送</w:t>
                  </w:r>
                  <w:r>
                    <w:rPr>
                      <w:bCs/>
                      <w:sz w:val="18"/>
                      <w:szCs w:val="18"/>
                    </w:rPr>
                    <w:t>14</w:t>
                  </w:r>
                </w:p>
              </w:tc>
              <w:tc>
                <w:tcPr>
                  <w:tcW w:w="1083" w:type="pct"/>
                  <w:tcBorders>
                    <w:top w:val="single" w:sz="6" w:space="0" w:color="auto"/>
                    <w:left w:val="single" w:sz="6" w:space="0" w:color="auto"/>
                    <w:bottom w:val="single" w:sz="6" w:space="0" w:color="auto"/>
                    <w:right w:val="single" w:sz="6" w:space="0" w:color="auto"/>
                  </w:tcBorders>
                  <w:vAlign w:val="center"/>
                </w:tcPr>
                <w:p w14:paraId="78F205B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7D16BA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81BFEBF"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508C2D3"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C26DF88" w14:textId="77777777" w:rsidR="00F76A63" w:rsidRDefault="00000000">
                  <w:pPr>
                    <w:jc w:val="center"/>
                    <w:rPr>
                      <w:bCs/>
                      <w:sz w:val="18"/>
                      <w:szCs w:val="18"/>
                    </w:rPr>
                  </w:pPr>
                  <w:r>
                    <w:rPr>
                      <w:bCs/>
                      <w:sz w:val="18"/>
                      <w:szCs w:val="18"/>
                    </w:rPr>
                    <w:t>常温</w:t>
                  </w:r>
                </w:p>
              </w:tc>
            </w:tr>
            <w:tr w:rsidR="00F76A63" w14:paraId="34CE77EC"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7DB5177" w14:textId="77777777" w:rsidR="00F76A63" w:rsidRDefault="00000000">
                  <w:pPr>
                    <w:jc w:val="center"/>
                    <w:rPr>
                      <w:bCs/>
                      <w:sz w:val="18"/>
                      <w:szCs w:val="18"/>
                    </w:rPr>
                  </w:pPr>
                  <w:r>
                    <w:rPr>
                      <w:bCs/>
                      <w:sz w:val="18"/>
                      <w:szCs w:val="18"/>
                    </w:rPr>
                    <w:t>DA162</w:t>
                  </w:r>
                </w:p>
              </w:tc>
              <w:tc>
                <w:tcPr>
                  <w:tcW w:w="785" w:type="pct"/>
                  <w:tcBorders>
                    <w:top w:val="single" w:sz="6" w:space="0" w:color="auto"/>
                    <w:left w:val="single" w:sz="6" w:space="0" w:color="auto"/>
                    <w:bottom w:val="single" w:sz="6" w:space="0" w:color="auto"/>
                    <w:right w:val="single" w:sz="6" w:space="0" w:color="auto"/>
                  </w:tcBorders>
                  <w:vAlign w:val="center"/>
                </w:tcPr>
                <w:p w14:paraId="13D124C4" w14:textId="77777777" w:rsidR="00F76A63" w:rsidRDefault="00000000">
                  <w:pPr>
                    <w:jc w:val="center"/>
                    <w:rPr>
                      <w:bCs/>
                      <w:sz w:val="18"/>
                      <w:szCs w:val="18"/>
                    </w:rPr>
                  </w:pPr>
                  <w:r>
                    <w:rPr>
                      <w:bCs/>
                      <w:sz w:val="18"/>
                      <w:szCs w:val="18"/>
                    </w:rPr>
                    <w:t>物流输送</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597C213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A12DC5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09B2F7A" w14:textId="77777777" w:rsidR="00F76A63" w:rsidRDefault="00000000">
                  <w:pPr>
                    <w:jc w:val="center"/>
                    <w:rPr>
                      <w:bCs/>
                      <w:sz w:val="18"/>
                      <w:szCs w:val="18"/>
                    </w:rPr>
                  </w:pPr>
                  <w:r>
                    <w:rPr>
                      <w:bCs/>
                      <w:sz w:val="18"/>
                      <w:szCs w:val="18"/>
                    </w:rPr>
                    <w:t>18</w:t>
                  </w:r>
                </w:p>
              </w:tc>
              <w:tc>
                <w:tcPr>
                  <w:tcW w:w="577" w:type="pct"/>
                  <w:tcBorders>
                    <w:top w:val="single" w:sz="6" w:space="0" w:color="auto"/>
                    <w:left w:val="single" w:sz="6" w:space="0" w:color="auto"/>
                    <w:bottom w:val="single" w:sz="6" w:space="0" w:color="auto"/>
                    <w:right w:val="single" w:sz="6" w:space="0" w:color="auto"/>
                  </w:tcBorders>
                  <w:vAlign w:val="center"/>
                </w:tcPr>
                <w:p w14:paraId="2C790E33"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B227AD1" w14:textId="77777777" w:rsidR="00F76A63" w:rsidRDefault="00000000">
                  <w:pPr>
                    <w:jc w:val="center"/>
                    <w:rPr>
                      <w:bCs/>
                      <w:sz w:val="18"/>
                      <w:szCs w:val="18"/>
                    </w:rPr>
                  </w:pPr>
                  <w:r>
                    <w:rPr>
                      <w:bCs/>
                      <w:sz w:val="18"/>
                      <w:szCs w:val="18"/>
                    </w:rPr>
                    <w:t>常温</w:t>
                  </w:r>
                </w:p>
              </w:tc>
            </w:tr>
            <w:tr w:rsidR="00F76A63" w14:paraId="2F41925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FDB63F6" w14:textId="77777777" w:rsidR="00F76A63" w:rsidRDefault="00000000">
                  <w:pPr>
                    <w:jc w:val="center"/>
                    <w:rPr>
                      <w:bCs/>
                      <w:sz w:val="18"/>
                      <w:szCs w:val="18"/>
                    </w:rPr>
                  </w:pPr>
                  <w:r>
                    <w:rPr>
                      <w:bCs/>
                      <w:sz w:val="18"/>
                      <w:szCs w:val="18"/>
                    </w:rPr>
                    <w:t>DA163</w:t>
                  </w:r>
                </w:p>
              </w:tc>
              <w:tc>
                <w:tcPr>
                  <w:tcW w:w="785" w:type="pct"/>
                  <w:tcBorders>
                    <w:top w:val="single" w:sz="6" w:space="0" w:color="auto"/>
                    <w:left w:val="single" w:sz="6" w:space="0" w:color="auto"/>
                    <w:bottom w:val="single" w:sz="6" w:space="0" w:color="auto"/>
                    <w:right w:val="single" w:sz="6" w:space="0" w:color="auto"/>
                  </w:tcBorders>
                  <w:vAlign w:val="center"/>
                </w:tcPr>
                <w:p w14:paraId="4E96BC4B" w14:textId="77777777" w:rsidR="00F76A63" w:rsidRDefault="00000000">
                  <w:pPr>
                    <w:jc w:val="center"/>
                    <w:rPr>
                      <w:bCs/>
                      <w:sz w:val="18"/>
                      <w:szCs w:val="18"/>
                    </w:rPr>
                  </w:pPr>
                  <w:r>
                    <w:rPr>
                      <w:bCs/>
                      <w:sz w:val="18"/>
                      <w:szCs w:val="18"/>
                    </w:rPr>
                    <w:t>物流输送</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07C260B1"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70418C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3385AA6" w14:textId="77777777" w:rsidR="00F76A63" w:rsidRDefault="00000000">
                  <w:pPr>
                    <w:jc w:val="center"/>
                    <w:rPr>
                      <w:bCs/>
                      <w:sz w:val="18"/>
                      <w:szCs w:val="18"/>
                    </w:rPr>
                  </w:pPr>
                  <w:r>
                    <w:rPr>
                      <w:bCs/>
                      <w:sz w:val="18"/>
                      <w:szCs w:val="18"/>
                    </w:rPr>
                    <w:t>17</w:t>
                  </w:r>
                </w:p>
              </w:tc>
              <w:tc>
                <w:tcPr>
                  <w:tcW w:w="577" w:type="pct"/>
                  <w:tcBorders>
                    <w:top w:val="single" w:sz="6" w:space="0" w:color="auto"/>
                    <w:left w:val="single" w:sz="6" w:space="0" w:color="auto"/>
                    <w:bottom w:val="single" w:sz="6" w:space="0" w:color="auto"/>
                    <w:right w:val="single" w:sz="6" w:space="0" w:color="auto"/>
                  </w:tcBorders>
                  <w:vAlign w:val="center"/>
                </w:tcPr>
                <w:p w14:paraId="23FA548B"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58A21DA" w14:textId="77777777" w:rsidR="00F76A63" w:rsidRDefault="00000000">
                  <w:pPr>
                    <w:jc w:val="center"/>
                    <w:rPr>
                      <w:bCs/>
                      <w:sz w:val="18"/>
                      <w:szCs w:val="18"/>
                    </w:rPr>
                  </w:pPr>
                  <w:r>
                    <w:rPr>
                      <w:bCs/>
                      <w:sz w:val="18"/>
                      <w:szCs w:val="18"/>
                    </w:rPr>
                    <w:t>常温</w:t>
                  </w:r>
                </w:p>
              </w:tc>
            </w:tr>
            <w:tr w:rsidR="00F76A63" w14:paraId="6D528B8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19908C1" w14:textId="77777777" w:rsidR="00F76A63" w:rsidRDefault="00000000">
                  <w:pPr>
                    <w:jc w:val="center"/>
                    <w:rPr>
                      <w:bCs/>
                      <w:sz w:val="18"/>
                      <w:szCs w:val="18"/>
                    </w:rPr>
                  </w:pPr>
                  <w:r>
                    <w:rPr>
                      <w:bCs/>
                      <w:sz w:val="18"/>
                      <w:szCs w:val="18"/>
                    </w:rPr>
                    <w:t>DA164</w:t>
                  </w:r>
                </w:p>
              </w:tc>
              <w:tc>
                <w:tcPr>
                  <w:tcW w:w="785" w:type="pct"/>
                  <w:tcBorders>
                    <w:top w:val="single" w:sz="6" w:space="0" w:color="auto"/>
                    <w:left w:val="single" w:sz="6" w:space="0" w:color="auto"/>
                    <w:bottom w:val="single" w:sz="6" w:space="0" w:color="auto"/>
                    <w:right w:val="single" w:sz="6" w:space="0" w:color="auto"/>
                  </w:tcBorders>
                  <w:vAlign w:val="center"/>
                </w:tcPr>
                <w:p w14:paraId="66F1771A" w14:textId="77777777" w:rsidR="00F76A63" w:rsidRDefault="00000000">
                  <w:pPr>
                    <w:jc w:val="center"/>
                    <w:rPr>
                      <w:bCs/>
                      <w:sz w:val="18"/>
                      <w:szCs w:val="18"/>
                    </w:rPr>
                  </w:pPr>
                  <w:r>
                    <w:rPr>
                      <w:bCs/>
                      <w:sz w:val="18"/>
                      <w:szCs w:val="18"/>
                    </w:rPr>
                    <w:t>物流输送</w:t>
                  </w:r>
                  <w:r>
                    <w:rPr>
                      <w:bCs/>
                      <w:sz w:val="18"/>
                      <w:szCs w:val="18"/>
                    </w:rPr>
                    <w:t>3</w:t>
                  </w:r>
                </w:p>
              </w:tc>
              <w:tc>
                <w:tcPr>
                  <w:tcW w:w="1083" w:type="pct"/>
                  <w:tcBorders>
                    <w:top w:val="single" w:sz="6" w:space="0" w:color="auto"/>
                    <w:left w:val="single" w:sz="6" w:space="0" w:color="auto"/>
                    <w:bottom w:val="single" w:sz="6" w:space="0" w:color="auto"/>
                    <w:right w:val="single" w:sz="6" w:space="0" w:color="auto"/>
                  </w:tcBorders>
                  <w:vAlign w:val="center"/>
                </w:tcPr>
                <w:p w14:paraId="587319FB"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2B888F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C6AB928" w14:textId="77777777" w:rsidR="00F76A63" w:rsidRDefault="00000000">
                  <w:pPr>
                    <w:jc w:val="center"/>
                    <w:rPr>
                      <w:bCs/>
                      <w:sz w:val="18"/>
                      <w:szCs w:val="18"/>
                    </w:rPr>
                  </w:pPr>
                  <w:r>
                    <w:rPr>
                      <w:bCs/>
                      <w:sz w:val="18"/>
                      <w:szCs w:val="18"/>
                    </w:rPr>
                    <w:t>18</w:t>
                  </w:r>
                </w:p>
              </w:tc>
              <w:tc>
                <w:tcPr>
                  <w:tcW w:w="577" w:type="pct"/>
                  <w:tcBorders>
                    <w:top w:val="single" w:sz="6" w:space="0" w:color="auto"/>
                    <w:left w:val="single" w:sz="6" w:space="0" w:color="auto"/>
                    <w:bottom w:val="single" w:sz="6" w:space="0" w:color="auto"/>
                    <w:right w:val="single" w:sz="6" w:space="0" w:color="auto"/>
                  </w:tcBorders>
                  <w:vAlign w:val="center"/>
                </w:tcPr>
                <w:p w14:paraId="754DF611"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AE5CF67" w14:textId="77777777" w:rsidR="00F76A63" w:rsidRDefault="00000000">
                  <w:pPr>
                    <w:jc w:val="center"/>
                    <w:rPr>
                      <w:bCs/>
                      <w:sz w:val="18"/>
                      <w:szCs w:val="18"/>
                    </w:rPr>
                  </w:pPr>
                  <w:r>
                    <w:rPr>
                      <w:bCs/>
                      <w:sz w:val="18"/>
                      <w:szCs w:val="18"/>
                    </w:rPr>
                    <w:t>常温</w:t>
                  </w:r>
                </w:p>
              </w:tc>
            </w:tr>
            <w:tr w:rsidR="00F76A63" w14:paraId="6626E7B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2C02745" w14:textId="77777777" w:rsidR="00F76A63" w:rsidRDefault="00000000">
                  <w:pPr>
                    <w:jc w:val="center"/>
                    <w:rPr>
                      <w:bCs/>
                      <w:sz w:val="18"/>
                      <w:szCs w:val="18"/>
                    </w:rPr>
                  </w:pPr>
                  <w:r>
                    <w:rPr>
                      <w:bCs/>
                      <w:sz w:val="18"/>
                      <w:szCs w:val="18"/>
                    </w:rPr>
                    <w:t>DA165</w:t>
                  </w:r>
                </w:p>
              </w:tc>
              <w:tc>
                <w:tcPr>
                  <w:tcW w:w="785" w:type="pct"/>
                  <w:tcBorders>
                    <w:top w:val="single" w:sz="6" w:space="0" w:color="auto"/>
                    <w:left w:val="single" w:sz="6" w:space="0" w:color="auto"/>
                    <w:bottom w:val="single" w:sz="6" w:space="0" w:color="auto"/>
                    <w:right w:val="single" w:sz="6" w:space="0" w:color="auto"/>
                  </w:tcBorders>
                  <w:vAlign w:val="center"/>
                </w:tcPr>
                <w:p w14:paraId="70AF3889" w14:textId="77777777" w:rsidR="00F76A63" w:rsidRDefault="00000000">
                  <w:pPr>
                    <w:jc w:val="center"/>
                    <w:rPr>
                      <w:bCs/>
                      <w:sz w:val="18"/>
                      <w:szCs w:val="18"/>
                    </w:rPr>
                  </w:pPr>
                  <w:r>
                    <w:rPr>
                      <w:bCs/>
                      <w:sz w:val="18"/>
                      <w:szCs w:val="18"/>
                    </w:rPr>
                    <w:t>物流输送</w:t>
                  </w:r>
                  <w:r>
                    <w:rPr>
                      <w:bCs/>
                      <w:sz w:val="18"/>
                      <w:szCs w:val="18"/>
                    </w:rPr>
                    <w:t>4</w:t>
                  </w:r>
                </w:p>
              </w:tc>
              <w:tc>
                <w:tcPr>
                  <w:tcW w:w="1083" w:type="pct"/>
                  <w:tcBorders>
                    <w:top w:val="single" w:sz="6" w:space="0" w:color="auto"/>
                    <w:left w:val="single" w:sz="6" w:space="0" w:color="auto"/>
                    <w:bottom w:val="single" w:sz="6" w:space="0" w:color="auto"/>
                    <w:right w:val="single" w:sz="6" w:space="0" w:color="auto"/>
                  </w:tcBorders>
                  <w:vAlign w:val="center"/>
                </w:tcPr>
                <w:p w14:paraId="0D18E20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EA2C1C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4F1272C" w14:textId="77777777" w:rsidR="00F76A63" w:rsidRDefault="00000000">
                  <w:pPr>
                    <w:jc w:val="center"/>
                    <w:rPr>
                      <w:bCs/>
                      <w:sz w:val="18"/>
                      <w:szCs w:val="18"/>
                    </w:rPr>
                  </w:pPr>
                  <w:r>
                    <w:rPr>
                      <w:bCs/>
                      <w:sz w:val="18"/>
                      <w:szCs w:val="18"/>
                    </w:rPr>
                    <w:t>20</w:t>
                  </w:r>
                </w:p>
              </w:tc>
              <w:tc>
                <w:tcPr>
                  <w:tcW w:w="577" w:type="pct"/>
                  <w:tcBorders>
                    <w:top w:val="single" w:sz="6" w:space="0" w:color="auto"/>
                    <w:left w:val="single" w:sz="6" w:space="0" w:color="auto"/>
                    <w:bottom w:val="single" w:sz="6" w:space="0" w:color="auto"/>
                    <w:right w:val="single" w:sz="6" w:space="0" w:color="auto"/>
                  </w:tcBorders>
                  <w:vAlign w:val="center"/>
                </w:tcPr>
                <w:p w14:paraId="02786CB9"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0EFAF5A" w14:textId="77777777" w:rsidR="00F76A63" w:rsidRDefault="00000000">
                  <w:pPr>
                    <w:jc w:val="center"/>
                    <w:rPr>
                      <w:bCs/>
                      <w:sz w:val="18"/>
                      <w:szCs w:val="18"/>
                    </w:rPr>
                  </w:pPr>
                  <w:r>
                    <w:rPr>
                      <w:bCs/>
                      <w:sz w:val="18"/>
                      <w:szCs w:val="18"/>
                    </w:rPr>
                    <w:t>常温</w:t>
                  </w:r>
                </w:p>
              </w:tc>
            </w:tr>
            <w:tr w:rsidR="00F76A63" w14:paraId="04470FD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D95188B" w14:textId="77777777" w:rsidR="00F76A63" w:rsidRDefault="00000000">
                  <w:pPr>
                    <w:jc w:val="center"/>
                    <w:rPr>
                      <w:bCs/>
                      <w:sz w:val="18"/>
                      <w:szCs w:val="18"/>
                    </w:rPr>
                  </w:pPr>
                  <w:r>
                    <w:rPr>
                      <w:bCs/>
                      <w:sz w:val="18"/>
                      <w:szCs w:val="18"/>
                    </w:rPr>
                    <w:t>DA166</w:t>
                  </w:r>
                </w:p>
              </w:tc>
              <w:tc>
                <w:tcPr>
                  <w:tcW w:w="785" w:type="pct"/>
                  <w:tcBorders>
                    <w:top w:val="single" w:sz="6" w:space="0" w:color="auto"/>
                    <w:left w:val="single" w:sz="6" w:space="0" w:color="auto"/>
                    <w:bottom w:val="single" w:sz="6" w:space="0" w:color="auto"/>
                    <w:right w:val="single" w:sz="6" w:space="0" w:color="auto"/>
                  </w:tcBorders>
                  <w:vAlign w:val="center"/>
                </w:tcPr>
                <w:p w14:paraId="5BDB995C" w14:textId="77777777" w:rsidR="00F76A63" w:rsidRDefault="00000000">
                  <w:pPr>
                    <w:jc w:val="center"/>
                    <w:rPr>
                      <w:bCs/>
                      <w:sz w:val="18"/>
                      <w:szCs w:val="18"/>
                    </w:rPr>
                  </w:pPr>
                  <w:r>
                    <w:rPr>
                      <w:bCs/>
                      <w:sz w:val="18"/>
                      <w:szCs w:val="18"/>
                    </w:rPr>
                    <w:t>物流输送</w:t>
                  </w:r>
                  <w:r>
                    <w:rPr>
                      <w:bCs/>
                      <w:sz w:val="18"/>
                      <w:szCs w:val="18"/>
                    </w:rPr>
                    <w:t>6</w:t>
                  </w:r>
                </w:p>
              </w:tc>
              <w:tc>
                <w:tcPr>
                  <w:tcW w:w="1083" w:type="pct"/>
                  <w:tcBorders>
                    <w:top w:val="single" w:sz="6" w:space="0" w:color="auto"/>
                    <w:left w:val="single" w:sz="6" w:space="0" w:color="auto"/>
                    <w:bottom w:val="single" w:sz="6" w:space="0" w:color="auto"/>
                    <w:right w:val="single" w:sz="6" w:space="0" w:color="auto"/>
                  </w:tcBorders>
                  <w:vAlign w:val="center"/>
                </w:tcPr>
                <w:p w14:paraId="12974AD9"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11F13F0"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04CC55D" w14:textId="77777777" w:rsidR="00F76A63" w:rsidRDefault="00000000">
                  <w:pPr>
                    <w:jc w:val="center"/>
                    <w:rPr>
                      <w:bCs/>
                      <w:sz w:val="18"/>
                      <w:szCs w:val="18"/>
                    </w:rPr>
                  </w:pPr>
                  <w:r>
                    <w:rPr>
                      <w:bCs/>
                      <w:sz w:val="18"/>
                      <w:szCs w:val="18"/>
                    </w:rPr>
                    <w:t>32</w:t>
                  </w:r>
                </w:p>
              </w:tc>
              <w:tc>
                <w:tcPr>
                  <w:tcW w:w="577" w:type="pct"/>
                  <w:tcBorders>
                    <w:top w:val="single" w:sz="6" w:space="0" w:color="auto"/>
                    <w:left w:val="single" w:sz="6" w:space="0" w:color="auto"/>
                    <w:bottom w:val="single" w:sz="6" w:space="0" w:color="auto"/>
                    <w:right w:val="single" w:sz="6" w:space="0" w:color="auto"/>
                  </w:tcBorders>
                  <w:vAlign w:val="center"/>
                </w:tcPr>
                <w:p w14:paraId="0C3C5F33"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31CD5E9" w14:textId="77777777" w:rsidR="00F76A63" w:rsidRDefault="00000000">
                  <w:pPr>
                    <w:jc w:val="center"/>
                    <w:rPr>
                      <w:bCs/>
                      <w:sz w:val="18"/>
                      <w:szCs w:val="18"/>
                    </w:rPr>
                  </w:pPr>
                  <w:r>
                    <w:rPr>
                      <w:bCs/>
                      <w:sz w:val="18"/>
                      <w:szCs w:val="18"/>
                    </w:rPr>
                    <w:t>常温</w:t>
                  </w:r>
                </w:p>
              </w:tc>
            </w:tr>
            <w:tr w:rsidR="00F76A63" w14:paraId="470FE0D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5371D19" w14:textId="77777777" w:rsidR="00F76A63" w:rsidRDefault="00000000">
                  <w:pPr>
                    <w:jc w:val="center"/>
                    <w:rPr>
                      <w:bCs/>
                      <w:sz w:val="18"/>
                      <w:szCs w:val="18"/>
                    </w:rPr>
                  </w:pPr>
                  <w:r>
                    <w:rPr>
                      <w:bCs/>
                      <w:sz w:val="18"/>
                      <w:szCs w:val="18"/>
                    </w:rPr>
                    <w:lastRenderedPageBreak/>
                    <w:t>DA167</w:t>
                  </w:r>
                </w:p>
              </w:tc>
              <w:tc>
                <w:tcPr>
                  <w:tcW w:w="785" w:type="pct"/>
                  <w:tcBorders>
                    <w:top w:val="single" w:sz="6" w:space="0" w:color="auto"/>
                    <w:left w:val="single" w:sz="6" w:space="0" w:color="auto"/>
                    <w:bottom w:val="single" w:sz="6" w:space="0" w:color="auto"/>
                    <w:right w:val="single" w:sz="6" w:space="0" w:color="auto"/>
                  </w:tcBorders>
                  <w:vAlign w:val="center"/>
                </w:tcPr>
                <w:p w14:paraId="1E6413D4" w14:textId="77777777" w:rsidR="00F76A63" w:rsidRDefault="00000000">
                  <w:pPr>
                    <w:jc w:val="center"/>
                    <w:rPr>
                      <w:bCs/>
                      <w:sz w:val="18"/>
                      <w:szCs w:val="18"/>
                    </w:rPr>
                  </w:pPr>
                  <w:r>
                    <w:rPr>
                      <w:bCs/>
                      <w:sz w:val="18"/>
                      <w:szCs w:val="18"/>
                    </w:rPr>
                    <w:t>物流输送</w:t>
                  </w:r>
                  <w:r>
                    <w:rPr>
                      <w:bCs/>
                      <w:sz w:val="18"/>
                      <w:szCs w:val="18"/>
                    </w:rPr>
                    <w:t>15</w:t>
                  </w:r>
                </w:p>
              </w:tc>
              <w:tc>
                <w:tcPr>
                  <w:tcW w:w="1083" w:type="pct"/>
                  <w:tcBorders>
                    <w:top w:val="single" w:sz="6" w:space="0" w:color="auto"/>
                    <w:left w:val="single" w:sz="6" w:space="0" w:color="auto"/>
                    <w:bottom w:val="single" w:sz="6" w:space="0" w:color="auto"/>
                    <w:right w:val="single" w:sz="6" w:space="0" w:color="auto"/>
                  </w:tcBorders>
                  <w:vAlign w:val="center"/>
                </w:tcPr>
                <w:p w14:paraId="005968C0"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114367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F7AA24C" w14:textId="77777777" w:rsidR="00F76A63" w:rsidRDefault="00000000">
                  <w:pPr>
                    <w:jc w:val="center"/>
                    <w:rPr>
                      <w:bCs/>
                      <w:sz w:val="18"/>
                      <w:szCs w:val="18"/>
                    </w:rPr>
                  </w:pPr>
                  <w:r>
                    <w:rPr>
                      <w:bCs/>
                      <w:sz w:val="18"/>
                      <w:szCs w:val="18"/>
                    </w:rPr>
                    <w:t>35</w:t>
                  </w:r>
                </w:p>
              </w:tc>
              <w:tc>
                <w:tcPr>
                  <w:tcW w:w="577" w:type="pct"/>
                  <w:tcBorders>
                    <w:top w:val="single" w:sz="6" w:space="0" w:color="auto"/>
                    <w:left w:val="single" w:sz="6" w:space="0" w:color="auto"/>
                    <w:bottom w:val="single" w:sz="6" w:space="0" w:color="auto"/>
                    <w:right w:val="single" w:sz="6" w:space="0" w:color="auto"/>
                  </w:tcBorders>
                  <w:vAlign w:val="center"/>
                </w:tcPr>
                <w:p w14:paraId="1EB1487A"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236455E" w14:textId="77777777" w:rsidR="00F76A63" w:rsidRDefault="00000000">
                  <w:pPr>
                    <w:jc w:val="center"/>
                    <w:rPr>
                      <w:bCs/>
                      <w:sz w:val="18"/>
                      <w:szCs w:val="18"/>
                    </w:rPr>
                  </w:pPr>
                  <w:r>
                    <w:rPr>
                      <w:bCs/>
                      <w:sz w:val="18"/>
                      <w:szCs w:val="18"/>
                    </w:rPr>
                    <w:t>常温</w:t>
                  </w:r>
                </w:p>
              </w:tc>
            </w:tr>
            <w:tr w:rsidR="00F76A63" w14:paraId="4738C45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7319310" w14:textId="77777777" w:rsidR="00F76A63" w:rsidRDefault="00000000">
                  <w:pPr>
                    <w:jc w:val="center"/>
                    <w:rPr>
                      <w:bCs/>
                      <w:sz w:val="18"/>
                      <w:szCs w:val="18"/>
                    </w:rPr>
                  </w:pPr>
                  <w:r>
                    <w:rPr>
                      <w:bCs/>
                      <w:sz w:val="18"/>
                      <w:szCs w:val="18"/>
                    </w:rPr>
                    <w:t>DA168</w:t>
                  </w:r>
                </w:p>
              </w:tc>
              <w:tc>
                <w:tcPr>
                  <w:tcW w:w="785" w:type="pct"/>
                  <w:tcBorders>
                    <w:top w:val="single" w:sz="6" w:space="0" w:color="auto"/>
                    <w:left w:val="single" w:sz="6" w:space="0" w:color="auto"/>
                    <w:bottom w:val="single" w:sz="6" w:space="0" w:color="auto"/>
                    <w:right w:val="single" w:sz="6" w:space="0" w:color="auto"/>
                  </w:tcBorders>
                  <w:vAlign w:val="center"/>
                </w:tcPr>
                <w:p w14:paraId="53E3A96C" w14:textId="77777777" w:rsidR="00F76A63" w:rsidRDefault="00000000">
                  <w:pPr>
                    <w:jc w:val="center"/>
                    <w:rPr>
                      <w:bCs/>
                      <w:sz w:val="18"/>
                      <w:szCs w:val="18"/>
                    </w:rPr>
                  </w:pPr>
                  <w:r>
                    <w:rPr>
                      <w:bCs/>
                      <w:sz w:val="18"/>
                      <w:szCs w:val="18"/>
                    </w:rPr>
                    <w:t>物流输送</w:t>
                  </w:r>
                  <w:r>
                    <w:rPr>
                      <w:bCs/>
                      <w:sz w:val="18"/>
                      <w:szCs w:val="18"/>
                    </w:rPr>
                    <w:t>21</w:t>
                  </w:r>
                </w:p>
              </w:tc>
              <w:tc>
                <w:tcPr>
                  <w:tcW w:w="1083" w:type="pct"/>
                  <w:tcBorders>
                    <w:top w:val="single" w:sz="6" w:space="0" w:color="auto"/>
                    <w:left w:val="single" w:sz="6" w:space="0" w:color="auto"/>
                    <w:bottom w:val="single" w:sz="6" w:space="0" w:color="auto"/>
                    <w:right w:val="single" w:sz="6" w:space="0" w:color="auto"/>
                  </w:tcBorders>
                  <w:vAlign w:val="center"/>
                </w:tcPr>
                <w:p w14:paraId="5FE7818E"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F61FEF3"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D7E8C5C"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6" w:space="0" w:color="auto"/>
                    <w:right w:val="single" w:sz="6" w:space="0" w:color="auto"/>
                  </w:tcBorders>
                  <w:vAlign w:val="center"/>
                </w:tcPr>
                <w:p w14:paraId="7ADBAEB0"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8C98D26" w14:textId="77777777" w:rsidR="00F76A63" w:rsidRDefault="00000000">
                  <w:pPr>
                    <w:jc w:val="center"/>
                    <w:rPr>
                      <w:bCs/>
                      <w:sz w:val="18"/>
                      <w:szCs w:val="18"/>
                    </w:rPr>
                  </w:pPr>
                  <w:r>
                    <w:rPr>
                      <w:bCs/>
                      <w:sz w:val="18"/>
                      <w:szCs w:val="18"/>
                    </w:rPr>
                    <w:t>常温</w:t>
                  </w:r>
                </w:p>
              </w:tc>
            </w:tr>
            <w:tr w:rsidR="00F76A63" w14:paraId="1593110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7D14021" w14:textId="77777777" w:rsidR="00F76A63" w:rsidRDefault="00000000">
                  <w:pPr>
                    <w:jc w:val="center"/>
                    <w:rPr>
                      <w:bCs/>
                      <w:sz w:val="18"/>
                      <w:szCs w:val="18"/>
                    </w:rPr>
                  </w:pPr>
                  <w:r>
                    <w:rPr>
                      <w:bCs/>
                      <w:sz w:val="18"/>
                      <w:szCs w:val="18"/>
                    </w:rPr>
                    <w:t>DA169</w:t>
                  </w:r>
                </w:p>
              </w:tc>
              <w:tc>
                <w:tcPr>
                  <w:tcW w:w="785" w:type="pct"/>
                  <w:tcBorders>
                    <w:top w:val="single" w:sz="6" w:space="0" w:color="auto"/>
                    <w:left w:val="single" w:sz="6" w:space="0" w:color="auto"/>
                    <w:bottom w:val="single" w:sz="6" w:space="0" w:color="auto"/>
                    <w:right w:val="single" w:sz="6" w:space="0" w:color="auto"/>
                  </w:tcBorders>
                  <w:vAlign w:val="center"/>
                </w:tcPr>
                <w:p w14:paraId="61961BDC" w14:textId="77777777" w:rsidR="00F76A63" w:rsidRDefault="00000000">
                  <w:pPr>
                    <w:jc w:val="center"/>
                    <w:rPr>
                      <w:bCs/>
                      <w:sz w:val="18"/>
                      <w:szCs w:val="18"/>
                    </w:rPr>
                  </w:pPr>
                  <w:r>
                    <w:rPr>
                      <w:bCs/>
                      <w:sz w:val="18"/>
                      <w:szCs w:val="18"/>
                    </w:rPr>
                    <w:t>物流输送</w:t>
                  </w:r>
                  <w:r>
                    <w:rPr>
                      <w:bCs/>
                      <w:sz w:val="18"/>
                      <w:szCs w:val="18"/>
                    </w:rPr>
                    <w:t>22</w:t>
                  </w:r>
                </w:p>
              </w:tc>
              <w:tc>
                <w:tcPr>
                  <w:tcW w:w="1083" w:type="pct"/>
                  <w:tcBorders>
                    <w:top w:val="single" w:sz="6" w:space="0" w:color="auto"/>
                    <w:left w:val="single" w:sz="6" w:space="0" w:color="auto"/>
                    <w:bottom w:val="single" w:sz="6" w:space="0" w:color="auto"/>
                    <w:right w:val="single" w:sz="6" w:space="0" w:color="auto"/>
                  </w:tcBorders>
                  <w:vAlign w:val="center"/>
                </w:tcPr>
                <w:p w14:paraId="56B7BA03"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167DEE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8E02221" w14:textId="77777777" w:rsidR="00F76A63" w:rsidRDefault="00000000">
                  <w:pPr>
                    <w:jc w:val="center"/>
                    <w:rPr>
                      <w:bCs/>
                      <w:sz w:val="18"/>
                      <w:szCs w:val="18"/>
                    </w:rPr>
                  </w:pPr>
                  <w:r>
                    <w:rPr>
                      <w:bCs/>
                      <w:sz w:val="18"/>
                      <w:szCs w:val="18"/>
                    </w:rPr>
                    <w:t>23</w:t>
                  </w:r>
                </w:p>
              </w:tc>
              <w:tc>
                <w:tcPr>
                  <w:tcW w:w="577" w:type="pct"/>
                  <w:tcBorders>
                    <w:top w:val="single" w:sz="6" w:space="0" w:color="auto"/>
                    <w:left w:val="single" w:sz="6" w:space="0" w:color="auto"/>
                    <w:bottom w:val="single" w:sz="6" w:space="0" w:color="auto"/>
                    <w:right w:val="single" w:sz="6" w:space="0" w:color="auto"/>
                  </w:tcBorders>
                  <w:vAlign w:val="center"/>
                </w:tcPr>
                <w:p w14:paraId="798A4BB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9888640" w14:textId="77777777" w:rsidR="00F76A63" w:rsidRDefault="00000000">
                  <w:pPr>
                    <w:jc w:val="center"/>
                    <w:rPr>
                      <w:bCs/>
                      <w:sz w:val="18"/>
                      <w:szCs w:val="18"/>
                    </w:rPr>
                  </w:pPr>
                  <w:r>
                    <w:rPr>
                      <w:bCs/>
                      <w:sz w:val="18"/>
                      <w:szCs w:val="18"/>
                    </w:rPr>
                    <w:t>常温</w:t>
                  </w:r>
                </w:p>
              </w:tc>
            </w:tr>
            <w:tr w:rsidR="00F76A63" w14:paraId="58DF481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46001F57" w14:textId="77777777" w:rsidR="00F76A63" w:rsidRDefault="00000000">
                  <w:pPr>
                    <w:jc w:val="center"/>
                    <w:rPr>
                      <w:bCs/>
                      <w:sz w:val="18"/>
                      <w:szCs w:val="18"/>
                    </w:rPr>
                  </w:pPr>
                  <w:r>
                    <w:rPr>
                      <w:bCs/>
                      <w:sz w:val="18"/>
                      <w:szCs w:val="18"/>
                    </w:rPr>
                    <w:t>DA170</w:t>
                  </w:r>
                </w:p>
              </w:tc>
              <w:tc>
                <w:tcPr>
                  <w:tcW w:w="785" w:type="pct"/>
                  <w:tcBorders>
                    <w:top w:val="single" w:sz="6" w:space="0" w:color="auto"/>
                    <w:left w:val="single" w:sz="6" w:space="0" w:color="auto"/>
                    <w:bottom w:val="single" w:sz="6" w:space="0" w:color="auto"/>
                    <w:right w:val="single" w:sz="6" w:space="0" w:color="auto"/>
                  </w:tcBorders>
                  <w:vAlign w:val="center"/>
                </w:tcPr>
                <w:p w14:paraId="0DBF2D7E" w14:textId="77777777" w:rsidR="00F76A63" w:rsidRDefault="00000000">
                  <w:pPr>
                    <w:jc w:val="center"/>
                    <w:rPr>
                      <w:bCs/>
                      <w:sz w:val="18"/>
                      <w:szCs w:val="18"/>
                    </w:rPr>
                  </w:pPr>
                  <w:r>
                    <w:rPr>
                      <w:bCs/>
                      <w:sz w:val="18"/>
                      <w:szCs w:val="18"/>
                    </w:rPr>
                    <w:t>物流输送</w:t>
                  </w:r>
                  <w:r>
                    <w:rPr>
                      <w:bCs/>
                      <w:sz w:val="18"/>
                      <w:szCs w:val="18"/>
                    </w:rPr>
                    <w:t>23</w:t>
                  </w:r>
                </w:p>
              </w:tc>
              <w:tc>
                <w:tcPr>
                  <w:tcW w:w="1083" w:type="pct"/>
                  <w:tcBorders>
                    <w:top w:val="single" w:sz="6" w:space="0" w:color="auto"/>
                    <w:left w:val="single" w:sz="6" w:space="0" w:color="auto"/>
                    <w:bottom w:val="single" w:sz="6" w:space="0" w:color="auto"/>
                    <w:right w:val="single" w:sz="6" w:space="0" w:color="auto"/>
                  </w:tcBorders>
                  <w:vAlign w:val="center"/>
                </w:tcPr>
                <w:p w14:paraId="7A40E8E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734C81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2EED7EF7" w14:textId="77777777" w:rsidR="00F76A63" w:rsidRDefault="00000000">
                  <w:pPr>
                    <w:jc w:val="center"/>
                    <w:rPr>
                      <w:bCs/>
                      <w:sz w:val="18"/>
                      <w:szCs w:val="18"/>
                    </w:rPr>
                  </w:pPr>
                  <w:r>
                    <w:rPr>
                      <w:bCs/>
                      <w:sz w:val="18"/>
                      <w:szCs w:val="18"/>
                    </w:rPr>
                    <w:t>18</w:t>
                  </w:r>
                </w:p>
              </w:tc>
              <w:tc>
                <w:tcPr>
                  <w:tcW w:w="577" w:type="pct"/>
                  <w:tcBorders>
                    <w:top w:val="single" w:sz="6" w:space="0" w:color="auto"/>
                    <w:left w:val="single" w:sz="6" w:space="0" w:color="auto"/>
                    <w:bottom w:val="single" w:sz="6" w:space="0" w:color="auto"/>
                    <w:right w:val="single" w:sz="6" w:space="0" w:color="auto"/>
                  </w:tcBorders>
                  <w:vAlign w:val="center"/>
                </w:tcPr>
                <w:p w14:paraId="682C8453"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EDD3FA5" w14:textId="77777777" w:rsidR="00F76A63" w:rsidRDefault="00000000">
                  <w:pPr>
                    <w:jc w:val="center"/>
                    <w:rPr>
                      <w:bCs/>
                      <w:sz w:val="18"/>
                      <w:szCs w:val="18"/>
                    </w:rPr>
                  </w:pPr>
                  <w:r>
                    <w:rPr>
                      <w:bCs/>
                      <w:sz w:val="18"/>
                      <w:szCs w:val="18"/>
                    </w:rPr>
                    <w:t>常温</w:t>
                  </w:r>
                </w:p>
              </w:tc>
            </w:tr>
            <w:tr w:rsidR="00F76A63" w14:paraId="06886634"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8DDD8E7" w14:textId="77777777" w:rsidR="00F76A63" w:rsidRDefault="00000000">
                  <w:pPr>
                    <w:jc w:val="center"/>
                    <w:rPr>
                      <w:bCs/>
                      <w:sz w:val="18"/>
                      <w:szCs w:val="18"/>
                    </w:rPr>
                  </w:pPr>
                  <w:r>
                    <w:rPr>
                      <w:bCs/>
                      <w:sz w:val="18"/>
                      <w:szCs w:val="18"/>
                    </w:rPr>
                    <w:t>DA171</w:t>
                  </w:r>
                </w:p>
              </w:tc>
              <w:tc>
                <w:tcPr>
                  <w:tcW w:w="785" w:type="pct"/>
                  <w:tcBorders>
                    <w:top w:val="single" w:sz="6" w:space="0" w:color="auto"/>
                    <w:left w:val="single" w:sz="6" w:space="0" w:color="auto"/>
                    <w:bottom w:val="single" w:sz="6" w:space="0" w:color="auto"/>
                    <w:right w:val="single" w:sz="6" w:space="0" w:color="auto"/>
                  </w:tcBorders>
                  <w:vAlign w:val="center"/>
                </w:tcPr>
                <w:p w14:paraId="41D6C606" w14:textId="77777777" w:rsidR="00F76A63" w:rsidRDefault="00000000">
                  <w:pPr>
                    <w:jc w:val="center"/>
                    <w:rPr>
                      <w:bCs/>
                      <w:sz w:val="18"/>
                      <w:szCs w:val="18"/>
                    </w:rPr>
                  </w:pPr>
                  <w:r>
                    <w:rPr>
                      <w:bCs/>
                      <w:sz w:val="18"/>
                      <w:szCs w:val="18"/>
                    </w:rPr>
                    <w:t>物流输送</w:t>
                  </w:r>
                  <w:r>
                    <w:rPr>
                      <w:bCs/>
                      <w:sz w:val="18"/>
                      <w:szCs w:val="18"/>
                    </w:rPr>
                    <w:t>24</w:t>
                  </w:r>
                </w:p>
              </w:tc>
              <w:tc>
                <w:tcPr>
                  <w:tcW w:w="1083" w:type="pct"/>
                  <w:tcBorders>
                    <w:top w:val="single" w:sz="6" w:space="0" w:color="auto"/>
                    <w:left w:val="single" w:sz="6" w:space="0" w:color="auto"/>
                    <w:bottom w:val="single" w:sz="6" w:space="0" w:color="auto"/>
                    <w:right w:val="single" w:sz="6" w:space="0" w:color="auto"/>
                  </w:tcBorders>
                  <w:vAlign w:val="center"/>
                </w:tcPr>
                <w:p w14:paraId="67779F2E"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322A11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28AF974"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7890819F"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AC9B097" w14:textId="77777777" w:rsidR="00F76A63" w:rsidRDefault="00000000">
                  <w:pPr>
                    <w:jc w:val="center"/>
                    <w:rPr>
                      <w:bCs/>
                      <w:sz w:val="18"/>
                      <w:szCs w:val="18"/>
                    </w:rPr>
                  </w:pPr>
                  <w:r>
                    <w:rPr>
                      <w:bCs/>
                      <w:sz w:val="18"/>
                      <w:szCs w:val="18"/>
                    </w:rPr>
                    <w:t>常温</w:t>
                  </w:r>
                </w:p>
              </w:tc>
            </w:tr>
            <w:tr w:rsidR="00F76A63" w14:paraId="13F83281"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9C58819" w14:textId="77777777" w:rsidR="00F76A63" w:rsidRDefault="00000000">
                  <w:pPr>
                    <w:jc w:val="center"/>
                    <w:rPr>
                      <w:bCs/>
                      <w:sz w:val="18"/>
                      <w:szCs w:val="18"/>
                    </w:rPr>
                  </w:pPr>
                  <w:r>
                    <w:rPr>
                      <w:bCs/>
                      <w:sz w:val="18"/>
                      <w:szCs w:val="18"/>
                    </w:rPr>
                    <w:t>DA172</w:t>
                  </w:r>
                </w:p>
              </w:tc>
              <w:tc>
                <w:tcPr>
                  <w:tcW w:w="785" w:type="pct"/>
                  <w:tcBorders>
                    <w:top w:val="single" w:sz="6" w:space="0" w:color="auto"/>
                    <w:left w:val="single" w:sz="6" w:space="0" w:color="auto"/>
                    <w:bottom w:val="single" w:sz="6" w:space="0" w:color="auto"/>
                    <w:right w:val="single" w:sz="6" w:space="0" w:color="auto"/>
                  </w:tcBorders>
                  <w:vAlign w:val="center"/>
                </w:tcPr>
                <w:p w14:paraId="6A02EB31" w14:textId="77777777" w:rsidR="00F76A63" w:rsidRDefault="00000000">
                  <w:pPr>
                    <w:jc w:val="center"/>
                    <w:rPr>
                      <w:bCs/>
                      <w:sz w:val="18"/>
                      <w:szCs w:val="18"/>
                    </w:rPr>
                  </w:pPr>
                  <w:r>
                    <w:rPr>
                      <w:bCs/>
                      <w:sz w:val="18"/>
                      <w:szCs w:val="18"/>
                    </w:rPr>
                    <w:t>物流输送</w:t>
                  </w:r>
                  <w:r>
                    <w:rPr>
                      <w:bCs/>
                      <w:sz w:val="18"/>
                      <w:szCs w:val="18"/>
                    </w:rPr>
                    <w:t>25</w:t>
                  </w:r>
                </w:p>
              </w:tc>
              <w:tc>
                <w:tcPr>
                  <w:tcW w:w="1083" w:type="pct"/>
                  <w:tcBorders>
                    <w:top w:val="single" w:sz="6" w:space="0" w:color="auto"/>
                    <w:left w:val="single" w:sz="6" w:space="0" w:color="auto"/>
                    <w:bottom w:val="single" w:sz="6" w:space="0" w:color="auto"/>
                    <w:right w:val="single" w:sz="6" w:space="0" w:color="auto"/>
                  </w:tcBorders>
                  <w:vAlign w:val="center"/>
                </w:tcPr>
                <w:p w14:paraId="0D0594E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A2E8DE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705C568"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13730A5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F61549F" w14:textId="77777777" w:rsidR="00F76A63" w:rsidRDefault="00000000">
                  <w:pPr>
                    <w:jc w:val="center"/>
                    <w:rPr>
                      <w:bCs/>
                      <w:sz w:val="18"/>
                      <w:szCs w:val="18"/>
                    </w:rPr>
                  </w:pPr>
                  <w:r>
                    <w:rPr>
                      <w:bCs/>
                      <w:sz w:val="18"/>
                      <w:szCs w:val="18"/>
                    </w:rPr>
                    <w:t>常温</w:t>
                  </w:r>
                </w:p>
              </w:tc>
            </w:tr>
            <w:tr w:rsidR="00F76A63" w14:paraId="6FE0ABD9"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3B63111" w14:textId="77777777" w:rsidR="00F76A63" w:rsidRDefault="00000000">
                  <w:pPr>
                    <w:jc w:val="center"/>
                    <w:rPr>
                      <w:bCs/>
                      <w:sz w:val="18"/>
                      <w:szCs w:val="18"/>
                    </w:rPr>
                  </w:pPr>
                  <w:r>
                    <w:rPr>
                      <w:bCs/>
                      <w:sz w:val="18"/>
                      <w:szCs w:val="18"/>
                    </w:rPr>
                    <w:t>DA173</w:t>
                  </w:r>
                </w:p>
              </w:tc>
              <w:tc>
                <w:tcPr>
                  <w:tcW w:w="785" w:type="pct"/>
                  <w:tcBorders>
                    <w:top w:val="single" w:sz="6" w:space="0" w:color="auto"/>
                    <w:left w:val="single" w:sz="6" w:space="0" w:color="auto"/>
                    <w:bottom w:val="single" w:sz="6" w:space="0" w:color="auto"/>
                    <w:right w:val="single" w:sz="6" w:space="0" w:color="auto"/>
                  </w:tcBorders>
                  <w:vAlign w:val="center"/>
                </w:tcPr>
                <w:p w14:paraId="6F852779" w14:textId="77777777" w:rsidR="00F76A63" w:rsidRDefault="00000000">
                  <w:pPr>
                    <w:jc w:val="center"/>
                    <w:rPr>
                      <w:bCs/>
                      <w:sz w:val="18"/>
                      <w:szCs w:val="18"/>
                    </w:rPr>
                  </w:pPr>
                  <w:r>
                    <w:rPr>
                      <w:bCs/>
                      <w:sz w:val="18"/>
                      <w:szCs w:val="18"/>
                    </w:rPr>
                    <w:t>物流输送</w:t>
                  </w:r>
                  <w:r>
                    <w:rPr>
                      <w:bCs/>
                      <w:sz w:val="18"/>
                      <w:szCs w:val="18"/>
                    </w:rPr>
                    <w:t>26</w:t>
                  </w:r>
                </w:p>
              </w:tc>
              <w:tc>
                <w:tcPr>
                  <w:tcW w:w="1083" w:type="pct"/>
                  <w:tcBorders>
                    <w:top w:val="single" w:sz="6" w:space="0" w:color="auto"/>
                    <w:left w:val="single" w:sz="6" w:space="0" w:color="auto"/>
                    <w:bottom w:val="single" w:sz="6" w:space="0" w:color="auto"/>
                    <w:right w:val="single" w:sz="6" w:space="0" w:color="auto"/>
                  </w:tcBorders>
                  <w:vAlign w:val="center"/>
                </w:tcPr>
                <w:p w14:paraId="6248460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9B3DBD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4061B74"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09580224"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056E01E" w14:textId="77777777" w:rsidR="00F76A63" w:rsidRDefault="00000000">
                  <w:pPr>
                    <w:jc w:val="center"/>
                    <w:rPr>
                      <w:bCs/>
                      <w:sz w:val="18"/>
                      <w:szCs w:val="18"/>
                    </w:rPr>
                  </w:pPr>
                  <w:r>
                    <w:rPr>
                      <w:bCs/>
                      <w:sz w:val="18"/>
                      <w:szCs w:val="18"/>
                    </w:rPr>
                    <w:t>常温</w:t>
                  </w:r>
                </w:p>
              </w:tc>
            </w:tr>
            <w:tr w:rsidR="00F76A63" w14:paraId="0C45407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92D9294" w14:textId="77777777" w:rsidR="00F76A63" w:rsidRDefault="00000000">
                  <w:pPr>
                    <w:jc w:val="center"/>
                    <w:rPr>
                      <w:bCs/>
                      <w:sz w:val="18"/>
                      <w:szCs w:val="18"/>
                    </w:rPr>
                  </w:pPr>
                  <w:r>
                    <w:rPr>
                      <w:bCs/>
                      <w:sz w:val="18"/>
                      <w:szCs w:val="18"/>
                    </w:rPr>
                    <w:t>DA174</w:t>
                  </w:r>
                </w:p>
              </w:tc>
              <w:tc>
                <w:tcPr>
                  <w:tcW w:w="785" w:type="pct"/>
                  <w:tcBorders>
                    <w:top w:val="single" w:sz="6" w:space="0" w:color="auto"/>
                    <w:left w:val="single" w:sz="6" w:space="0" w:color="auto"/>
                    <w:bottom w:val="single" w:sz="6" w:space="0" w:color="auto"/>
                    <w:right w:val="single" w:sz="6" w:space="0" w:color="auto"/>
                  </w:tcBorders>
                  <w:vAlign w:val="center"/>
                </w:tcPr>
                <w:p w14:paraId="045CFD3A" w14:textId="77777777" w:rsidR="00F76A63" w:rsidRDefault="00000000">
                  <w:pPr>
                    <w:jc w:val="center"/>
                    <w:rPr>
                      <w:bCs/>
                      <w:sz w:val="18"/>
                      <w:szCs w:val="18"/>
                    </w:rPr>
                  </w:pPr>
                  <w:r>
                    <w:rPr>
                      <w:bCs/>
                      <w:sz w:val="18"/>
                      <w:szCs w:val="18"/>
                    </w:rPr>
                    <w:t>物流输送</w:t>
                  </w:r>
                  <w:r>
                    <w:rPr>
                      <w:bCs/>
                      <w:sz w:val="18"/>
                      <w:szCs w:val="18"/>
                    </w:rPr>
                    <w:t>27</w:t>
                  </w:r>
                </w:p>
              </w:tc>
              <w:tc>
                <w:tcPr>
                  <w:tcW w:w="1083" w:type="pct"/>
                  <w:tcBorders>
                    <w:top w:val="single" w:sz="6" w:space="0" w:color="auto"/>
                    <w:left w:val="single" w:sz="6" w:space="0" w:color="auto"/>
                    <w:bottom w:val="single" w:sz="6" w:space="0" w:color="auto"/>
                    <w:right w:val="single" w:sz="6" w:space="0" w:color="auto"/>
                  </w:tcBorders>
                  <w:vAlign w:val="center"/>
                </w:tcPr>
                <w:p w14:paraId="7E6B5C2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7BB4C4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76B748C"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06316D2"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146F48B7" w14:textId="77777777" w:rsidR="00F76A63" w:rsidRDefault="00000000">
                  <w:pPr>
                    <w:jc w:val="center"/>
                    <w:rPr>
                      <w:bCs/>
                      <w:sz w:val="18"/>
                      <w:szCs w:val="18"/>
                    </w:rPr>
                  </w:pPr>
                  <w:r>
                    <w:rPr>
                      <w:bCs/>
                      <w:sz w:val="18"/>
                      <w:szCs w:val="18"/>
                    </w:rPr>
                    <w:t>常温</w:t>
                  </w:r>
                </w:p>
              </w:tc>
            </w:tr>
            <w:tr w:rsidR="00F76A63" w14:paraId="4539D99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7C6E09B" w14:textId="77777777" w:rsidR="00F76A63" w:rsidRDefault="00000000">
                  <w:pPr>
                    <w:jc w:val="center"/>
                    <w:rPr>
                      <w:bCs/>
                      <w:sz w:val="18"/>
                      <w:szCs w:val="18"/>
                    </w:rPr>
                  </w:pPr>
                  <w:r>
                    <w:rPr>
                      <w:bCs/>
                      <w:sz w:val="18"/>
                      <w:szCs w:val="18"/>
                    </w:rPr>
                    <w:t>DA175</w:t>
                  </w:r>
                </w:p>
              </w:tc>
              <w:tc>
                <w:tcPr>
                  <w:tcW w:w="785" w:type="pct"/>
                  <w:tcBorders>
                    <w:top w:val="single" w:sz="6" w:space="0" w:color="auto"/>
                    <w:left w:val="single" w:sz="6" w:space="0" w:color="auto"/>
                    <w:bottom w:val="single" w:sz="6" w:space="0" w:color="auto"/>
                    <w:right w:val="single" w:sz="6" w:space="0" w:color="auto"/>
                  </w:tcBorders>
                  <w:vAlign w:val="center"/>
                </w:tcPr>
                <w:p w14:paraId="03A3902D" w14:textId="77777777" w:rsidR="00F76A63" w:rsidRDefault="00000000">
                  <w:pPr>
                    <w:jc w:val="center"/>
                    <w:rPr>
                      <w:bCs/>
                      <w:sz w:val="18"/>
                      <w:szCs w:val="18"/>
                    </w:rPr>
                  </w:pPr>
                  <w:r>
                    <w:rPr>
                      <w:bCs/>
                      <w:sz w:val="18"/>
                      <w:szCs w:val="18"/>
                    </w:rPr>
                    <w:t>物流输送</w:t>
                  </w:r>
                  <w:r>
                    <w:rPr>
                      <w:bCs/>
                      <w:sz w:val="18"/>
                      <w:szCs w:val="18"/>
                    </w:rPr>
                    <w:t>28</w:t>
                  </w:r>
                </w:p>
              </w:tc>
              <w:tc>
                <w:tcPr>
                  <w:tcW w:w="1083" w:type="pct"/>
                  <w:tcBorders>
                    <w:top w:val="single" w:sz="6" w:space="0" w:color="auto"/>
                    <w:left w:val="single" w:sz="6" w:space="0" w:color="auto"/>
                    <w:bottom w:val="single" w:sz="6" w:space="0" w:color="auto"/>
                    <w:right w:val="single" w:sz="6" w:space="0" w:color="auto"/>
                  </w:tcBorders>
                  <w:vAlign w:val="center"/>
                </w:tcPr>
                <w:p w14:paraId="34DEB71C"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F237FD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FEB5C2D" w14:textId="77777777" w:rsidR="00F76A63" w:rsidRDefault="00000000">
                  <w:pPr>
                    <w:jc w:val="center"/>
                    <w:rPr>
                      <w:bCs/>
                      <w:sz w:val="18"/>
                      <w:szCs w:val="18"/>
                    </w:rPr>
                  </w:pPr>
                  <w:r>
                    <w:rPr>
                      <w:bCs/>
                      <w:sz w:val="18"/>
                      <w:szCs w:val="18"/>
                    </w:rPr>
                    <w:t>18</w:t>
                  </w:r>
                </w:p>
              </w:tc>
              <w:tc>
                <w:tcPr>
                  <w:tcW w:w="577" w:type="pct"/>
                  <w:tcBorders>
                    <w:top w:val="single" w:sz="6" w:space="0" w:color="auto"/>
                    <w:left w:val="single" w:sz="6" w:space="0" w:color="auto"/>
                    <w:bottom w:val="single" w:sz="6" w:space="0" w:color="auto"/>
                    <w:right w:val="single" w:sz="6" w:space="0" w:color="auto"/>
                  </w:tcBorders>
                  <w:vAlign w:val="center"/>
                </w:tcPr>
                <w:p w14:paraId="333C0FBA" w14:textId="77777777" w:rsidR="00F76A63" w:rsidRDefault="00000000">
                  <w:pPr>
                    <w:jc w:val="center"/>
                    <w:rPr>
                      <w:bCs/>
                      <w:sz w:val="18"/>
                      <w:szCs w:val="18"/>
                    </w:rPr>
                  </w:pPr>
                  <w:r>
                    <w:rPr>
                      <w:bCs/>
                      <w:sz w:val="18"/>
                      <w:szCs w:val="18"/>
                    </w:rPr>
                    <w:t>0.45</w:t>
                  </w:r>
                </w:p>
              </w:tc>
              <w:tc>
                <w:tcPr>
                  <w:tcW w:w="445" w:type="pct"/>
                  <w:tcBorders>
                    <w:top w:val="single" w:sz="6" w:space="0" w:color="auto"/>
                    <w:left w:val="single" w:sz="6" w:space="0" w:color="auto"/>
                    <w:bottom w:val="single" w:sz="6" w:space="0" w:color="auto"/>
                    <w:right w:val="nil"/>
                  </w:tcBorders>
                  <w:vAlign w:val="center"/>
                </w:tcPr>
                <w:p w14:paraId="22342345" w14:textId="77777777" w:rsidR="00F76A63" w:rsidRDefault="00000000">
                  <w:pPr>
                    <w:jc w:val="center"/>
                    <w:rPr>
                      <w:bCs/>
                      <w:sz w:val="18"/>
                      <w:szCs w:val="18"/>
                    </w:rPr>
                  </w:pPr>
                  <w:r>
                    <w:rPr>
                      <w:bCs/>
                      <w:sz w:val="18"/>
                      <w:szCs w:val="18"/>
                    </w:rPr>
                    <w:t>常温</w:t>
                  </w:r>
                </w:p>
              </w:tc>
            </w:tr>
            <w:tr w:rsidR="00F76A63" w14:paraId="5D7FA9B0"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75D79A7" w14:textId="77777777" w:rsidR="00F76A63" w:rsidRDefault="00000000">
                  <w:pPr>
                    <w:jc w:val="center"/>
                    <w:rPr>
                      <w:bCs/>
                      <w:sz w:val="18"/>
                      <w:szCs w:val="18"/>
                    </w:rPr>
                  </w:pPr>
                  <w:r>
                    <w:rPr>
                      <w:bCs/>
                      <w:sz w:val="18"/>
                      <w:szCs w:val="18"/>
                    </w:rPr>
                    <w:t>DA176</w:t>
                  </w:r>
                </w:p>
              </w:tc>
              <w:tc>
                <w:tcPr>
                  <w:tcW w:w="785" w:type="pct"/>
                  <w:tcBorders>
                    <w:top w:val="single" w:sz="6" w:space="0" w:color="auto"/>
                    <w:left w:val="single" w:sz="6" w:space="0" w:color="auto"/>
                    <w:bottom w:val="single" w:sz="6" w:space="0" w:color="auto"/>
                    <w:right w:val="single" w:sz="6" w:space="0" w:color="auto"/>
                  </w:tcBorders>
                  <w:vAlign w:val="center"/>
                </w:tcPr>
                <w:p w14:paraId="3810E8EA" w14:textId="77777777" w:rsidR="00F76A63" w:rsidRDefault="00000000">
                  <w:pPr>
                    <w:jc w:val="center"/>
                    <w:rPr>
                      <w:bCs/>
                      <w:sz w:val="18"/>
                      <w:szCs w:val="18"/>
                    </w:rPr>
                  </w:pPr>
                  <w:r>
                    <w:rPr>
                      <w:bCs/>
                      <w:sz w:val="18"/>
                      <w:szCs w:val="18"/>
                    </w:rPr>
                    <w:t>砂岩破碎排气筒</w:t>
                  </w:r>
                </w:p>
              </w:tc>
              <w:tc>
                <w:tcPr>
                  <w:tcW w:w="1083" w:type="pct"/>
                  <w:tcBorders>
                    <w:top w:val="single" w:sz="6" w:space="0" w:color="auto"/>
                    <w:left w:val="single" w:sz="6" w:space="0" w:color="auto"/>
                    <w:bottom w:val="single" w:sz="6" w:space="0" w:color="auto"/>
                    <w:right w:val="single" w:sz="6" w:space="0" w:color="auto"/>
                  </w:tcBorders>
                  <w:vAlign w:val="center"/>
                </w:tcPr>
                <w:p w14:paraId="7BC42C6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2FE84BA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DAA1BA7"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01F3D068"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18EC747" w14:textId="77777777" w:rsidR="00F76A63" w:rsidRDefault="00000000">
                  <w:pPr>
                    <w:jc w:val="center"/>
                    <w:rPr>
                      <w:bCs/>
                      <w:sz w:val="18"/>
                      <w:szCs w:val="18"/>
                    </w:rPr>
                  </w:pPr>
                  <w:r>
                    <w:rPr>
                      <w:bCs/>
                      <w:sz w:val="18"/>
                      <w:szCs w:val="18"/>
                    </w:rPr>
                    <w:t>常温</w:t>
                  </w:r>
                </w:p>
              </w:tc>
            </w:tr>
            <w:tr w:rsidR="00F76A63" w14:paraId="5DC490B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059DACF0" w14:textId="77777777" w:rsidR="00F76A63" w:rsidRDefault="00000000">
                  <w:pPr>
                    <w:jc w:val="center"/>
                    <w:rPr>
                      <w:bCs/>
                      <w:sz w:val="18"/>
                      <w:szCs w:val="18"/>
                    </w:rPr>
                  </w:pPr>
                  <w:r>
                    <w:rPr>
                      <w:bCs/>
                      <w:sz w:val="18"/>
                      <w:szCs w:val="18"/>
                    </w:rPr>
                    <w:t>DA177</w:t>
                  </w:r>
                </w:p>
              </w:tc>
              <w:tc>
                <w:tcPr>
                  <w:tcW w:w="785" w:type="pct"/>
                  <w:tcBorders>
                    <w:top w:val="single" w:sz="6" w:space="0" w:color="auto"/>
                    <w:left w:val="single" w:sz="6" w:space="0" w:color="auto"/>
                    <w:bottom w:val="single" w:sz="6" w:space="0" w:color="auto"/>
                    <w:right w:val="single" w:sz="6" w:space="0" w:color="auto"/>
                  </w:tcBorders>
                  <w:vAlign w:val="center"/>
                </w:tcPr>
                <w:p w14:paraId="0D00180E" w14:textId="77777777" w:rsidR="00F76A63" w:rsidRDefault="00000000">
                  <w:pPr>
                    <w:jc w:val="center"/>
                    <w:rPr>
                      <w:bCs/>
                      <w:sz w:val="18"/>
                      <w:szCs w:val="18"/>
                    </w:rPr>
                  </w:pPr>
                  <w:r>
                    <w:rPr>
                      <w:bCs/>
                      <w:sz w:val="18"/>
                      <w:szCs w:val="18"/>
                    </w:rPr>
                    <w:t>#2</w:t>
                  </w:r>
                  <w:r>
                    <w:rPr>
                      <w:bCs/>
                      <w:sz w:val="18"/>
                      <w:szCs w:val="18"/>
                    </w:rPr>
                    <w:t>物料输送</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57A792A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2B1C1A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085FB562"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5ABE3888"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E8BA1A2" w14:textId="77777777" w:rsidR="00F76A63" w:rsidRDefault="00000000">
                  <w:pPr>
                    <w:jc w:val="center"/>
                    <w:rPr>
                      <w:bCs/>
                      <w:sz w:val="18"/>
                      <w:szCs w:val="18"/>
                    </w:rPr>
                  </w:pPr>
                  <w:r>
                    <w:rPr>
                      <w:bCs/>
                      <w:sz w:val="18"/>
                      <w:szCs w:val="18"/>
                    </w:rPr>
                    <w:t>常温</w:t>
                  </w:r>
                </w:p>
              </w:tc>
            </w:tr>
            <w:tr w:rsidR="00F76A63" w14:paraId="04C7679C"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8F11758" w14:textId="77777777" w:rsidR="00F76A63" w:rsidRDefault="00000000">
                  <w:pPr>
                    <w:jc w:val="center"/>
                    <w:rPr>
                      <w:bCs/>
                      <w:sz w:val="18"/>
                      <w:szCs w:val="18"/>
                    </w:rPr>
                  </w:pPr>
                  <w:r>
                    <w:rPr>
                      <w:bCs/>
                      <w:sz w:val="18"/>
                      <w:szCs w:val="18"/>
                    </w:rPr>
                    <w:t>DA178</w:t>
                  </w:r>
                </w:p>
              </w:tc>
              <w:tc>
                <w:tcPr>
                  <w:tcW w:w="785" w:type="pct"/>
                  <w:tcBorders>
                    <w:top w:val="single" w:sz="6" w:space="0" w:color="auto"/>
                    <w:left w:val="single" w:sz="6" w:space="0" w:color="auto"/>
                    <w:bottom w:val="single" w:sz="6" w:space="0" w:color="auto"/>
                    <w:right w:val="single" w:sz="6" w:space="0" w:color="auto"/>
                  </w:tcBorders>
                  <w:vAlign w:val="center"/>
                </w:tcPr>
                <w:p w14:paraId="34197AC3" w14:textId="77777777" w:rsidR="00F76A63" w:rsidRDefault="00000000">
                  <w:pPr>
                    <w:jc w:val="center"/>
                    <w:rPr>
                      <w:bCs/>
                      <w:sz w:val="18"/>
                      <w:szCs w:val="18"/>
                    </w:rPr>
                  </w:pPr>
                  <w:r>
                    <w:rPr>
                      <w:bCs/>
                      <w:sz w:val="18"/>
                      <w:szCs w:val="18"/>
                    </w:rPr>
                    <w:t>#2</w:t>
                  </w:r>
                  <w:r>
                    <w:rPr>
                      <w:bCs/>
                      <w:sz w:val="18"/>
                      <w:szCs w:val="18"/>
                    </w:rPr>
                    <w:t>物料输送</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508764F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539B85D"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262B70E"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601563E2"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2FA5C01A" w14:textId="77777777" w:rsidR="00F76A63" w:rsidRDefault="00000000">
                  <w:pPr>
                    <w:jc w:val="center"/>
                    <w:rPr>
                      <w:bCs/>
                      <w:sz w:val="18"/>
                      <w:szCs w:val="18"/>
                    </w:rPr>
                  </w:pPr>
                  <w:r>
                    <w:rPr>
                      <w:bCs/>
                      <w:sz w:val="18"/>
                      <w:szCs w:val="18"/>
                    </w:rPr>
                    <w:t>常温</w:t>
                  </w:r>
                </w:p>
              </w:tc>
            </w:tr>
            <w:tr w:rsidR="00F76A63" w14:paraId="13757C6D"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70DE8E0E" w14:textId="77777777" w:rsidR="00F76A63" w:rsidRDefault="00000000">
                  <w:pPr>
                    <w:jc w:val="center"/>
                    <w:rPr>
                      <w:bCs/>
                      <w:sz w:val="18"/>
                      <w:szCs w:val="18"/>
                    </w:rPr>
                  </w:pPr>
                  <w:r>
                    <w:rPr>
                      <w:bCs/>
                      <w:sz w:val="18"/>
                      <w:szCs w:val="18"/>
                    </w:rPr>
                    <w:t>DA179</w:t>
                  </w:r>
                </w:p>
              </w:tc>
              <w:tc>
                <w:tcPr>
                  <w:tcW w:w="785" w:type="pct"/>
                  <w:tcBorders>
                    <w:top w:val="single" w:sz="6" w:space="0" w:color="auto"/>
                    <w:left w:val="single" w:sz="6" w:space="0" w:color="auto"/>
                    <w:bottom w:val="single" w:sz="6" w:space="0" w:color="auto"/>
                    <w:right w:val="single" w:sz="6" w:space="0" w:color="auto"/>
                  </w:tcBorders>
                  <w:vAlign w:val="center"/>
                </w:tcPr>
                <w:p w14:paraId="24FCACBE" w14:textId="77777777" w:rsidR="00F76A63" w:rsidRDefault="00000000">
                  <w:pPr>
                    <w:jc w:val="center"/>
                    <w:rPr>
                      <w:bCs/>
                      <w:sz w:val="18"/>
                      <w:szCs w:val="18"/>
                    </w:rPr>
                  </w:pPr>
                  <w:r>
                    <w:rPr>
                      <w:bCs/>
                      <w:sz w:val="18"/>
                      <w:szCs w:val="18"/>
                    </w:rPr>
                    <w:t>#3</w:t>
                  </w:r>
                  <w:r>
                    <w:rPr>
                      <w:bCs/>
                      <w:sz w:val="18"/>
                      <w:szCs w:val="18"/>
                    </w:rPr>
                    <w:t>配料站</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0C7BC008"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2829F91"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8303B0A"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1D55E5C6"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35CA012" w14:textId="77777777" w:rsidR="00F76A63" w:rsidRDefault="00000000">
                  <w:pPr>
                    <w:jc w:val="center"/>
                    <w:rPr>
                      <w:bCs/>
                      <w:sz w:val="18"/>
                      <w:szCs w:val="18"/>
                    </w:rPr>
                  </w:pPr>
                  <w:r>
                    <w:rPr>
                      <w:bCs/>
                      <w:sz w:val="18"/>
                      <w:szCs w:val="18"/>
                    </w:rPr>
                    <w:t>常温</w:t>
                  </w:r>
                </w:p>
              </w:tc>
            </w:tr>
            <w:tr w:rsidR="00F76A63" w14:paraId="38F886D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D3329AE" w14:textId="77777777" w:rsidR="00F76A63" w:rsidRDefault="00000000">
                  <w:pPr>
                    <w:jc w:val="center"/>
                    <w:rPr>
                      <w:bCs/>
                      <w:sz w:val="18"/>
                      <w:szCs w:val="18"/>
                    </w:rPr>
                  </w:pPr>
                  <w:r>
                    <w:rPr>
                      <w:bCs/>
                      <w:sz w:val="18"/>
                      <w:szCs w:val="18"/>
                    </w:rPr>
                    <w:t>DA180</w:t>
                  </w:r>
                </w:p>
              </w:tc>
              <w:tc>
                <w:tcPr>
                  <w:tcW w:w="785" w:type="pct"/>
                  <w:tcBorders>
                    <w:top w:val="single" w:sz="6" w:space="0" w:color="auto"/>
                    <w:left w:val="single" w:sz="6" w:space="0" w:color="auto"/>
                    <w:bottom w:val="single" w:sz="6" w:space="0" w:color="auto"/>
                    <w:right w:val="single" w:sz="6" w:space="0" w:color="auto"/>
                  </w:tcBorders>
                  <w:vAlign w:val="center"/>
                </w:tcPr>
                <w:p w14:paraId="4ED2C802" w14:textId="77777777" w:rsidR="00F76A63" w:rsidRDefault="00000000">
                  <w:pPr>
                    <w:jc w:val="center"/>
                    <w:rPr>
                      <w:bCs/>
                      <w:sz w:val="18"/>
                      <w:szCs w:val="18"/>
                    </w:rPr>
                  </w:pPr>
                  <w:r>
                    <w:rPr>
                      <w:bCs/>
                      <w:sz w:val="18"/>
                      <w:szCs w:val="18"/>
                    </w:rPr>
                    <w:t>#3</w:t>
                  </w:r>
                  <w:r>
                    <w:rPr>
                      <w:bCs/>
                      <w:sz w:val="18"/>
                      <w:szCs w:val="18"/>
                    </w:rPr>
                    <w:t>配料站</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074FDFB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E46A4BC"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172A82B0"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54E44AD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518F193" w14:textId="77777777" w:rsidR="00F76A63" w:rsidRDefault="00000000">
                  <w:pPr>
                    <w:jc w:val="center"/>
                    <w:rPr>
                      <w:bCs/>
                      <w:sz w:val="18"/>
                      <w:szCs w:val="18"/>
                    </w:rPr>
                  </w:pPr>
                  <w:r>
                    <w:rPr>
                      <w:bCs/>
                      <w:sz w:val="18"/>
                      <w:szCs w:val="18"/>
                    </w:rPr>
                    <w:t>常温</w:t>
                  </w:r>
                </w:p>
              </w:tc>
            </w:tr>
            <w:tr w:rsidR="00F76A63" w14:paraId="6BE3B70C"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158E7C7" w14:textId="77777777" w:rsidR="00F76A63" w:rsidRDefault="00000000">
                  <w:pPr>
                    <w:jc w:val="center"/>
                    <w:rPr>
                      <w:bCs/>
                      <w:sz w:val="18"/>
                      <w:szCs w:val="18"/>
                    </w:rPr>
                  </w:pPr>
                  <w:r>
                    <w:rPr>
                      <w:bCs/>
                      <w:sz w:val="18"/>
                      <w:szCs w:val="18"/>
                    </w:rPr>
                    <w:t>DA181</w:t>
                  </w:r>
                </w:p>
              </w:tc>
              <w:tc>
                <w:tcPr>
                  <w:tcW w:w="785" w:type="pct"/>
                  <w:tcBorders>
                    <w:top w:val="single" w:sz="6" w:space="0" w:color="auto"/>
                    <w:left w:val="single" w:sz="6" w:space="0" w:color="auto"/>
                    <w:bottom w:val="single" w:sz="6" w:space="0" w:color="auto"/>
                    <w:right w:val="single" w:sz="6" w:space="0" w:color="auto"/>
                  </w:tcBorders>
                  <w:vAlign w:val="center"/>
                </w:tcPr>
                <w:p w14:paraId="3AC08DB1" w14:textId="77777777" w:rsidR="00F76A63" w:rsidRDefault="00000000">
                  <w:pPr>
                    <w:jc w:val="center"/>
                    <w:rPr>
                      <w:bCs/>
                      <w:sz w:val="18"/>
                      <w:szCs w:val="18"/>
                    </w:rPr>
                  </w:pPr>
                  <w:r>
                    <w:rPr>
                      <w:bCs/>
                      <w:sz w:val="18"/>
                      <w:szCs w:val="18"/>
                    </w:rPr>
                    <w:t>1#</w:t>
                  </w:r>
                  <w:r>
                    <w:rPr>
                      <w:bCs/>
                      <w:sz w:val="18"/>
                      <w:szCs w:val="18"/>
                    </w:rPr>
                    <w:t>辊压</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0808955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4C553258"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B7945B6"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76745EF6"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696BE958" w14:textId="77777777" w:rsidR="00F76A63" w:rsidRDefault="00000000">
                  <w:pPr>
                    <w:jc w:val="center"/>
                    <w:rPr>
                      <w:bCs/>
                      <w:sz w:val="18"/>
                      <w:szCs w:val="18"/>
                    </w:rPr>
                  </w:pPr>
                  <w:r>
                    <w:rPr>
                      <w:bCs/>
                      <w:sz w:val="18"/>
                      <w:szCs w:val="18"/>
                    </w:rPr>
                    <w:t>常温</w:t>
                  </w:r>
                </w:p>
              </w:tc>
            </w:tr>
            <w:tr w:rsidR="00F76A63" w14:paraId="3FE0A8F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9F23EA6" w14:textId="77777777" w:rsidR="00F76A63" w:rsidRDefault="00000000">
                  <w:pPr>
                    <w:jc w:val="center"/>
                    <w:rPr>
                      <w:bCs/>
                      <w:sz w:val="18"/>
                      <w:szCs w:val="18"/>
                    </w:rPr>
                  </w:pPr>
                  <w:r>
                    <w:rPr>
                      <w:bCs/>
                      <w:sz w:val="18"/>
                      <w:szCs w:val="18"/>
                    </w:rPr>
                    <w:t>DA182</w:t>
                  </w:r>
                </w:p>
              </w:tc>
              <w:tc>
                <w:tcPr>
                  <w:tcW w:w="785" w:type="pct"/>
                  <w:tcBorders>
                    <w:top w:val="single" w:sz="6" w:space="0" w:color="auto"/>
                    <w:left w:val="single" w:sz="6" w:space="0" w:color="auto"/>
                    <w:bottom w:val="single" w:sz="6" w:space="0" w:color="auto"/>
                    <w:right w:val="single" w:sz="6" w:space="0" w:color="auto"/>
                  </w:tcBorders>
                  <w:vAlign w:val="center"/>
                </w:tcPr>
                <w:p w14:paraId="7D5A205F" w14:textId="77777777" w:rsidR="00F76A63" w:rsidRDefault="00000000">
                  <w:pPr>
                    <w:jc w:val="center"/>
                    <w:rPr>
                      <w:bCs/>
                      <w:sz w:val="18"/>
                      <w:szCs w:val="18"/>
                    </w:rPr>
                  </w:pPr>
                  <w:r>
                    <w:rPr>
                      <w:bCs/>
                      <w:sz w:val="18"/>
                      <w:szCs w:val="18"/>
                    </w:rPr>
                    <w:t>1#</w:t>
                  </w:r>
                  <w:r>
                    <w:rPr>
                      <w:bCs/>
                      <w:sz w:val="18"/>
                      <w:szCs w:val="18"/>
                    </w:rPr>
                    <w:t>辊压</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0598D3F4"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307D96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F2D4E17"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3819AF3C"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C645368" w14:textId="77777777" w:rsidR="00F76A63" w:rsidRDefault="00000000">
                  <w:pPr>
                    <w:jc w:val="center"/>
                    <w:rPr>
                      <w:bCs/>
                      <w:sz w:val="18"/>
                      <w:szCs w:val="18"/>
                    </w:rPr>
                  </w:pPr>
                  <w:r>
                    <w:rPr>
                      <w:bCs/>
                      <w:sz w:val="18"/>
                      <w:szCs w:val="18"/>
                    </w:rPr>
                    <w:t>常温</w:t>
                  </w:r>
                </w:p>
              </w:tc>
            </w:tr>
            <w:tr w:rsidR="00F76A63" w14:paraId="089452A2"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8BF63C0" w14:textId="77777777" w:rsidR="00F76A63" w:rsidRDefault="00000000">
                  <w:pPr>
                    <w:jc w:val="center"/>
                    <w:rPr>
                      <w:bCs/>
                      <w:sz w:val="18"/>
                      <w:szCs w:val="18"/>
                    </w:rPr>
                  </w:pPr>
                  <w:r>
                    <w:rPr>
                      <w:bCs/>
                      <w:sz w:val="18"/>
                      <w:szCs w:val="18"/>
                    </w:rPr>
                    <w:t>DA183</w:t>
                  </w:r>
                </w:p>
              </w:tc>
              <w:tc>
                <w:tcPr>
                  <w:tcW w:w="785" w:type="pct"/>
                  <w:tcBorders>
                    <w:top w:val="single" w:sz="6" w:space="0" w:color="auto"/>
                    <w:left w:val="single" w:sz="6" w:space="0" w:color="auto"/>
                    <w:bottom w:val="single" w:sz="6" w:space="0" w:color="auto"/>
                    <w:right w:val="single" w:sz="6" w:space="0" w:color="auto"/>
                  </w:tcBorders>
                  <w:vAlign w:val="center"/>
                </w:tcPr>
                <w:p w14:paraId="516289ED" w14:textId="77777777" w:rsidR="00F76A63" w:rsidRDefault="00000000">
                  <w:pPr>
                    <w:jc w:val="center"/>
                    <w:rPr>
                      <w:bCs/>
                      <w:sz w:val="18"/>
                      <w:szCs w:val="18"/>
                    </w:rPr>
                  </w:pPr>
                  <w:r>
                    <w:rPr>
                      <w:bCs/>
                      <w:sz w:val="18"/>
                      <w:szCs w:val="18"/>
                    </w:rPr>
                    <w:t>1#</w:t>
                  </w:r>
                  <w:r>
                    <w:rPr>
                      <w:bCs/>
                      <w:sz w:val="18"/>
                      <w:szCs w:val="18"/>
                    </w:rPr>
                    <w:t>辊压运输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4C52266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6975CE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7D43247"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299D39E"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25817C3" w14:textId="77777777" w:rsidR="00F76A63" w:rsidRDefault="00000000">
                  <w:pPr>
                    <w:jc w:val="center"/>
                    <w:rPr>
                      <w:bCs/>
                      <w:sz w:val="18"/>
                      <w:szCs w:val="18"/>
                    </w:rPr>
                  </w:pPr>
                  <w:r>
                    <w:rPr>
                      <w:bCs/>
                      <w:sz w:val="18"/>
                      <w:szCs w:val="18"/>
                    </w:rPr>
                    <w:t>常温</w:t>
                  </w:r>
                </w:p>
              </w:tc>
            </w:tr>
            <w:tr w:rsidR="00F76A63" w14:paraId="37C8E005"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D32CC92" w14:textId="77777777" w:rsidR="00F76A63" w:rsidRDefault="00000000">
                  <w:pPr>
                    <w:jc w:val="center"/>
                    <w:rPr>
                      <w:bCs/>
                      <w:sz w:val="18"/>
                      <w:szCs w:val="18"/>
                    </w:rPr>
                  </w:pPr>
                  <w:r>
                    <w:rPr>
                      <w:bCs/>
                      <w:sz w:val="18"/>
                      <w:szCs w:val="18"/>
                    </w:rPr>
                    <w:t>DA184</w:t>
                  </w:r>
                </w:p>
              </w:tc>
              <w:tc>
                <w:tcPr>
                  <w:tcW w:w="785" w:type="pct"/>
                  <w:tcBorders>
                    <w:top w:val="single" w:sz="6" w:space="0" w:color="auto"/>
                    <w:left w:val="single" w:sz="6" w:space="0" w:color="auto"/>
                    <w:bottom w:val="single" w:sz="6" w:space="0" w:color="auto"/>
                    <w:right w:val="single" w:sz="6" w:space="0" w:color="auto"/>
                  </w:tcBorders>
                  <w:vAlign w:val="center"/>
                </w:tcPr>
                <w:p w14:paraId="60DEE4F4" w14:textId="77777777" w:rsidR="00F76A63" w:rsidRDefault="00000000">
                  <w:pPr>
                    <w:jc w:val="center"/>
                    <w:rPr>
                      <w:bCs/>
                      <w:sz w:val="18"/>
                      <w:szCs w:val="18"/>
                    </w:rPr>
                  </w:pPr>
                  <w:r>
                    <w:rPr>
                      <w:bCs/>
                      <w:sz w:val="18"/>
                      <w:szCs w:val="18"/>
                    </w:rPr>
                    <w:t>1#</w:t>
                  </w:r>
                  <w:r>
                    <w:rPr>
                      <w:bCs/>
                      <w:sz w:val="18"/>
                      <w:szCs w:val="18"/>
                    </w:rPr>
                    <w:t>辊压运输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62025315"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E3A42C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C212A61"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4F63B3C3"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EF428AA" w14:textId="77777777" w:rsidR="00F76A63" w:rsidRDefault="00000000">
                  <w:pPr>
                    <w:jc w:val="center"/>
                    <w:rPr>
                      <w:bCs/>
                      <w:sz w:val="18"/>
                      <w:szCs w:val="18"/>
                    </w:rPr>
                  </w:pPr>
                  <w:r>
                    <w:rPr>
                      <w:bCs/>
                      <w:sz w:val="18"/>
                      <w:szCs w:val="18"/>
                    </w:rPr>
                    <w:t>常温</w:t>
                  </w:r>
                </w:p>
              </w:tc>
            </w:tr>
            <w:tr w:rsidR="00F76A63" w14:paraId="793FEDB7"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046E6A0" w14:textId="77777777" w:rsidR="00F76A63" w:rsidRDefault="00000000">
                  <w:pPr>
                    <w:jc w:val="center"/>
                    <w:rPr>
                      <w:bCs/>
                      <w:sz w:val="18"/>
                      <w:szCs w:val="18"/>
                    </w:rPr>
                  </w:pPr>
                  <w:r>
                    <w:rPr>
                      <w:bCs/>
                      <w:sz w:val="18"/>
                      <w:szCs w:val="18"/>
                    </w:rPr>
                    <w:t>DA185</w:t>
                  </w:r>
                </w:p>
              </w:tc>
              <w:tc>
                <w:tcPr>
                  <w:tcW w:w="785" w:type="pct"/>
                  <w:tcBorders>
                    <w:top w:val="single" w:sz="6" w:space="0" w:color="auto"/>
                    <w:left w:val="single" w:sz="6" w:space="0" w:color="auto"/>
                    <w:bottom w:val="single" w:sz="6" w:space="0" w:color="auto"/>
                    <w:right w:val="single" w:sz="6" w:space="0" w:color="auto"/>
                  </w:tcBorders>
                  <w:vAlign w:val="center"/>
                </w:tcPr>
                <w:p w14:paraId="2B0A548E" w14:textId="77777777" w:rsidR="00F76A63" w:rsidRDefault="00000000">
                  <w:pPr>
                    <w:jc w:val="center"/>
                    <w:rPr>
                      <w:bCs/>
                      <w:sz w:val="18"/>
                      <w:szCs w:val="18"/>
                    </w:rPr>
                  </w:pPr>
                  <w:r>
                    <w:rPr>
                      <w:bCs/>
                      <w:sz w:val="18"/>
                      <w:szCs w:val="18"/>
                    </w:rPr>
                    <w:t>2#</w:t>
                  </w:r>
                  <w:r>
                    <w:rPr>
                      <w:bCs/>
                      <w:sz w:val="18"/>
                      <w:szCs w:val="18"/>
                    </w:rPr>
                    <w:t>辊压</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465A898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1A5BC862"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4E230921"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3122134D"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034B426C" w14:textId="77777777" w:rsidR="00F76A63" w:rsidRDefault="00000000">
                  <w:pPr>
                    <w:jc w:val="center"/>
                    <w:rPr>
                      <w:bCs/>
                      <w:sz w:val="18"/>
                      <w:szCs w:val="18"/>
                    </w:rPr>
                  </w:pPr>
                  <w:r>
                    <w:rPr>
                      <w:bCs/>
                      <w:sz w:val="18"/>
                      <w:szCs w:val="18"/>
                    </w:rPr>
                    <w:t>常温</w:t>
                  </w:r>
                </w:p>
              </w:tc>
            </w:tr>
            <w:tr w:rsidR="00F76A63" w14:paraId="7C891080"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248F8670" w14:textId="77777777" w:rsidR="00F76A63" w:rsidRDefault="00000000">
                  <w:pPr>
                    <w:jc w:val="center"/>
                    <w:rPr>
                      <w:bCs/>
                      <w:sz w:val="18"/>
                      <w:szCs w:val="18"/>
                    </w:rPr>
                  </w:pPr>
                  <w:r>
                    <w:rPr>
                      <w:bCs/>
                      <w:sz w:val="18"/>
                      <w:szCs w:val="18"/>
                    </w:rPr>
                    <w:t>DA186</w:t>
                  </w:r>
                </w:p>
              </w:tc>
              <w:tc>
                <w:tcPr>
                  <w:tcW w:w="785" w:type="pct"/>
                  <w:tcBorders>
                    <w:top w:val="single" w:sz="6" w:space="0" w:color="auto"/>
                    <w:left w:val="single" w:sz="6" w:space="0" w:color="auto"/>
                    <w:bottom w:val="single" w:sz="6" w:space="0" w:color="auto"/>
                    <w:right w:val="single" w:sz="6" w:space="0" w:color="auto"/>
                  </w:tcBorders>
                  <w:vAlign w:val="center"/>
                </w:tcPr>
                <w:p w14:paraId="312531F5" w14:textId="77777777" w:rsidR="00F76A63" w:rsidRDefault="00000000">
                  <w:pPr>
                    <w:jc w:val="center"/>
                    <w:rPr>
                      <w:bCs/>
                      <w:sz w:val="18"/>
                      <w:szCs w:val="18"/>
                    </w:rPr>
                  </w:pPr>
                  <w:r>
                    <w:rPr>
                      <w:bCs/>
                      <w:sz w:val="18"/>
                      <w:szCs w:val="18"/>
                    </w:rPr>
                    <w:t>2#</w:t>
                  </w:r>
                  <w:r>
                    <w:rPr>
                      <w:bCs/>
                      <w:sz w:val="18"/>
                      <w:szCs w:val="18"/>
                    </w:rPr>
                    <w:t>辊压</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7AFA517A"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7014AE7A"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64767395"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2F3CFF4F"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21B4DEB" w14:textId="77777777" w:rsidR="00F76A63" w:rsidRDefault="00000000">
                  <w:pPr>
                    <w:jc w:val="center"/>
                    <w:rPr>
                      <w:bCs/>
                      <w:sz w:val="18"/>
                      <w:szCs w:val="18"/>
                    </w:rPr>
                  </w:pPr>
                  <w:r>
                    <w:rPr>
                      <w:bCs/>
                      <w:sz w:val="18"/>
                      <w:szCs w:val="18"/>
                    </w:rPr>
                    <w:t>常温</w:t>
                  </w:r>
                </w:p>
              </w:tc>
            </w:tr>
            <w:tr w:rsidR="00F76A63" w14:paraId="6C42A7DC"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314B006D" w14:textId="77777777" w:rsidR="00F76A63" w:rsidRDefault="00000000">
                  <w:pPr>
                    <w:jc w:val="center"/>
                    <w:rPr>
                      <w:bCs/>
                      <w:sz w:val="18"/>
                      <w:szCs w:val="18"/>
                    </w:rPr>
                  </w:pPr>
                  <w:r>
                    <w:rPr>
                      <w:bCs/>
                      <w:sz w:val="18"/>
                      <w:szCs w:val="18"/>
                    </w:rPr>
                    <w:t>DA187</w:t>
                  </w:r>
                </w:p>
              </w:tc>
              <w:tc>
                <w:tcPr>
                  <w:tcW w:w="785" w:type="pct"/>
                  <w:tcBorders>
                    <w:top w:val="single" w:sz="6" w:space="0" w:color="auto"/>
                    <w:left w:val="single" w:sz="6" w:space="0" w:color="auto"/>
                    <w:bottom w:val="single" w:sz="6" w:space="0" w:color="auto"/>
                    <w:right w:val="single" w:sz="6" w:space="0" w:color="auto"/>
                  </w:tcBorders>
                  <w:vAlign w:val="center"/>
                </w:tcPr>
                <w:p w14:paraId="255C2E3D" w14:textId="77777777" w:rsidR="00F76A63" w:rsidRDefault="00000000">
                  <w:pPr>
                    <w:jc w:val="center"/>
                    <w:rPr>
                      <w:bCs/>
                      <w:sz w:val="18"/>
                      <w:szCs w:val="18"/>
                    </w:rPr>
                  </w:pPr>
                  <w:r>
                    <w:rPr>
                      <w:bCs/>
                      <w:sz w:val="18"/>
                      <w:szCs w:val="18"/>
                    </w:rPr>
                    <w:t>2#</w:t>
                  </w:r>
                  <w:r>
                    <w:rPr>
                      <w:bCs/>
                      <w:sz w:val="18"/>
                      <w:szCs w:val="18"/>
                    </w:rPr>
                    <w:t>辊压运输</w:t>
                  </w:r>
                  <w:r>
                    <w:rPr>
                      <w:bCs/>
                      <w:sz w:val="18"/>
                      <w:szCs w:val="18"/>
                    </w:rPr>
                    <w:t>1</w:t>
                  </w:r>
                </w:p>
              </w:tc>
              <w:tc>
                <w:tcPr>
                  <w:tcW w:w="1083" w:type="pct"/>
                  <w:tcBorders>
                    <w:top w:val="single" w:sz="6" w:space="0" w:color="auto"/>
                    <w:left w:val="single" w:sz="6" w:space="0" w:color="auto"/>
                    <w:bottom w:val="single" w:sz="6" w:space="0" w:color="auto"/>
                    <w:right w:val="single" w:sz="6" w:space="0" w:color="auto"/>
                  </w:tcBorders>
                  <w:vAlign w:val="center"/>
                </w:tcPr>
                <w:p w14:paraId="5C66AF6D"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A64DD8F"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A94A58B"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739FA33B"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E45F130" w14:textId="77777777" w:rsidR="00F76A63" w:rsidRDefault="00000000">
                  <w:pPr>
                    <w:jc w:val="center"/>
                    <w:rPr>
                      <w:bCs/>
                      <w:sz w:val="18"/>
                      <w:szCs w:val="18"/>
                    </w:rPr>
                  </w:pPr>
                  <w:r>
                    <w:rPr>
                      <w:bCs/>
                      <w:sz w:val="18"/>
                      <w:szCs w:val="18"/>
                    </w:rPr>
                    <w:t>常温</w:t>
                  </w:r>
                </w:p>
              </w:tc>
            </w:tr>
            <w:tr w:rsidR="00F76A63" w14:paraId="0307F78A"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542E9290" w14:textId="77777777" w:rsidR="00F76A63" w:rsidRDefault="00000000">
                  <w:pPr>
                    <w:jc w:val="center"/>
                    <w:rPr>
                      <w:bCs/>
                      <w:sz w:val="18"/>
                      <w:szCs w:val="18"/>
                    </w:rPr>
                  </w:pPr>
                  <w:r>
                    <w:rPr>
                      <w:bCs/>
                      <w:sz w:val="18"/>
                      <w:szCs w:val="18"/>
                    </w:rPr>
                    <w:t>DA188</w:t>
                  </w:r>
                </w:p>
              </w:tc>
              <w:tc>
                <w:tcPr>
                  <w:tcW w:w="785" w:type="pct"/>
                  <w:tcBorders>
                    <w:top w:val="single" w:sz="6" w:space="0" w:color="auto"/>
                    <w:left w:val="single" w:sz="6" w:space="0" w:color="auto"/>
                    <w:bottom w:val="single" w:sz="6" w:space="0" w:color="auto"/>
                    <w:right w:val="single" w:sz="6" w:space="0" w:color="auto"/>
                  </w:tcBorders>
                  <w:vAlign w:val="center"/>
                </w:tcPr>
                <w:p w14:paraId="19B99108" w14:textId="77777777" w:rsidR="00F76A63" w:rsidRDefault="00000000">
                  <w:pPr>
                    <w:jc w:val="center"/>
                    <w:rPr>
                      <w:bCs/>
                      <w:sz w:val="18"/>
                      <w:szCs w:val="18"/>
                    </w:rPr>
                  </w:pPr>
                  <w:r>
                    <w:rPr>
                      <w:bCs/>
                      <w:sz w:val="18"/>
                      <w:szCs w:val="18"/>
                    </w:rPr>
                    <w:t>2#</w:t>
                  </w:r>
                  <w:r>
                    <w:rPr>
                      <w:bCs/>
                      <w:sz w:val="18"/>
                      <w:szCs w:val="18"/>
                    </w:rPr>
                    <w:t>辊压运输</w:t>
                  </w:r>
                  <w:r>
                    <w:rPr>
                      <w:bCs/>
                      <w:sz w:val="18"/>
                      <w:szCs w:val="18"/>
                    </w:rPr>
                    <w:t>2</w:t>
                  </w:r>
                </w:p>
              </w:tc>
              <w:tc>
                <w:tcPr>
                  <w:tcW w:w="1083" w:type="pct"/>
                  <w:tcBorders>
                    <w:top w:val="single" w:sz="6" w:space="0" w:color="auto"/>
                    <w:left w:val="single" w:sz="6" w:space="0" w:color="auto"/>
                    <w:bottom w:val="single" w:sz="6" w:space="0" w:color="auto"/>
                    <w:right w:val="single" w:sz="6" w:space="0" w:color="auto"/>
                  </w:tcBorders>
                  <w:vAlign w:val="center"/>
                </w:tcPr>
                <w:p w14:paraId="7EFD96E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61930232"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5FC80FC1"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191145EB"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46B403F0" w14:textId="77777777" w:rsidR="00F76A63" w:rsidRDefault="00000000">
                  <w:pPr>
                    <w:jc w:val="center"/>
                    <w:rPr>
                      <w:bCs/>
                      <w:sz w:val="18"/>
                      <w:szCs w:val="18"/>
                    </w:rPr>
                  </w:pPr>
                  <w:r>
                    <w:rPr>
                      <w:bCs/>
                      <w:sz w:val="18"/>
                      <w:szCs w:val="18"/>
                    </w:rPr>
                    <w:t>常温</w:t>
                  </w:r>
                </w:p>
              </w:tc>
            </w:tr>
            <w:tr w:rsidR="00F76A63" w14:paraId="183A53FF"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63B02B71" w14:textId="77777777" w:rsidR="00F76A63" w:rsidRDefault="00000000">
                  <w:pPr>
                    <w:jc w:val="center"/>
                    <w:rPr>
                      <w:bCs/>
                      <w:sz w:val="18"/>
                      <w:szCs w:val="18"/>
                    </w:rPr>
                  </w:pPr>
                  <w:r>
                    <w:rPr>
                      <w:bCs/>
                      <w:sz w:val="18"/>
                      <w:szCs w:val="18"/>
                    </w:rPr>
                    <w:t>DA189</w:t>
                  </w:r>
                </w:p>
              </w:tc>
              <w:tc>
                <w:tcPr>
                  <w:tcW w:w="785" w:type="pct"/>
                  <w:tcBorders>
                    <w:top w:val="single" w:sz="6" w:space="0" w:color="auto"/>
                    <w:left w:val="single" w:sz="6" w:space="0" w:color="auto"/>
                    <w:bottom w:val="single" w:sz="6" w:space="0" w:color="auto"/>
                    <w:right w:val="single" w:sz="6" w:space="0" w:color="auto"/>
                  </w:tcBorders>
                  <w:vAlign w:val="center"/>
                </w:tcPr>
                <w:p w14:paraId="787F84BD" w14:textId="77777777" w:rsidR="00F76A63" w:rsidRDefault="00000000">
                  <w:pPr>
                    <w:jc w:val="center"/>
                    <w:rPr>
                      <w:bCs/>
                      <w:sz w:val="18"/>
                      <w:szCs w:val="18"/>
                    </w:rPr>
                  </w:pPr>
                  <w:r>
                    <w:rPr>
                      <w:bCs/>
                      <w:sz w:val="18"/>
                      <w:szCs w:val="18"/>
                    </w:rPr>
                    <w:t>1#</w:t>
                  </w:r>
                  <w:r>
                    <w:rPr>
                      <w:bCs/>
                      <w:sz w:val="18"/>
                      <w:szCs w:val="18"/>
                    </w:rPr>
                    <w:t>水泥磨选粉</w:t>
                  </w:r>
                </w:p>
              </w:tc>
              <w:tc>
                <w:tcPr>
                  <w:tcW w:w="1083" w:type="pct"/>
                  <w:tcBorders>
                    <w:top w:val="single" w:sz="6" w:space="0" w:color="auto"/>
                    <w:left w:val="single" w:sz="6" w:space="0" w:color="auto"/>
                    <w:bottom w:val="single" w:sz="6" w:space="0" w:color="auto"/>
                    <w:right w:val="single" w:sz="6" w:space="0" w:color="auto"/>
                  </w:tcBorders>
                  <w:vAlign w:val="center"/>
                </w:tcPr>
                <w:p w14:paraId="4F142CB6"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54042B3E"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3EFBBD4B"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5A99C2EE"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57D818C0" w14:textId="77777777" w:rsidR="00F76A63" w:rsidRDefault="00000000">
                  <w:pPr>
                    <w:jc w:val="center"/>
                    <w:rPr>
                      <w:bCs/>
                      <w:sz w:val="18"/>
                      <w:szCs w:val="18"/>
                    </w:rPr>
                  </w:pPr>
                  <w:r>
                    <w:rPr>
                      <w:bCs/>
                      <w:sz w:val="18"/>
                      <w:szCs w:val="18"/>
                    </w:rPr>
                    <w:t>常温</w:t>
                  </w:r>
                </w:p>
              </w:tc>
            </w:tr>
            <w:tr w:rsidR="00F76A63" w14:paraId="0FBA0BF8" w14:textId="77777777">
              <w:trPr>
                <w:trHeight w:val="280"/>
                <w:jc w:val="center"/>
              </w:trPr>
              <w:tc>
                <w:tcPr>
                  <w:tcW w:w="510" w:type="pct"/>
                  <w:tcBorders>
                    <w:top w:val="single" w:sz="6" w:space="0" w:color="auto"/>
                    <w:left w:val="nil"/>
                    <w:bottom w:val="single" w:sz="6" w:space="0" w:color="auto"/>
                    <w:right w:val="single" w:sz="6" w:space="0" w:color="auto"/>
                  </w:tcBorders>
                  <w:vAlign w:val="center"/>
                </w:tcPr>
                <w:p w14:paraId="10B513BD" w14:textId="77777777" w:rsidR="00F76A63" w:rsidRDefault="00000000">
                  <w:pPr>
                    <w:jc w:val="center"/>
                    <w:rPr>
                      <w:bCs/>
                      <w:sz w:val="18"/>
                      <w:szCs w:val="18"/>
                    </w:rPr>
                  </w:pPr>
                  <w:r>
                    <w:rPr>
                      <w:bCs/>
                      <w:sz w:val="18"/>
                      <w:szCs w:val="18"/>
                    </w:rPr>
                    <w:t>DA190</w:t>
                  </w:r>
                </w:p>
              </w:tc>
              <w:tc>
                <w:tcPr>
                  <w:tcW w:w="785" w:type="pct"/>
                  <w:tcBorders>
                    <w:top w:val="single" w:sz="6" w:space="0" w:color="auto"/>
                    <w:left w:val="single" w:sz="6" w:space="0" w:color="auto"/>
                    <w:bottom w:val="single" w:sz="6" w:space="0" w:color="auto"/>
                    <w:right w:val="single" w:sz="6" w:space="0" w:color="auto"/>
                  </w:tcBorders>
                  <w:vAlign w:val="center"/>
                </w:tcPr>
                <w:p w14:paraId="0DC2F2AF" w14:textId="77777777" w:rsidR="00F76A63" w:rsidRDefault="00000000">
                  <w:pPr>
                    <w:jc w:val="center"/>
                    <w:rPr>
                      <w:bCs/>
                      <w:sz w:val="18"/>
                      <w:szCs w:val="18"/>
                    </w:rPr>
                  </w:pPr>
                  <w:r>
                    <w:rPr>
                      <w:bCs/>
                      <w:sz w:val="18"/>
                      <w:szCs w:val="18"/>
                    </w:rPr>
                    <w:t>2#</w:t>
                  </w:r>
                  <w:r>
                    <w:rPr>
                      <w:bCs/>
                      <w:sz w:val="18"/>
                      <w:szCs w:val="18"/>
                    </w:rPr>
                    <w:t>水泥磨选粉</w:t>
                  </w:r>
                </w:p>
              </w:tc>
              <w:tc>
                <w:tcPr>
                  <w:tcW w:w="1083" w:type="pct"/>
                  <w:tcBorders>
                    <w:top w:val="single" w:sz="6" w:space="0" w:color="auto"/>
                    <w:left w:val="single" w:sz="6" w:space="0" w:color="auto"/>
                    <w:bottom w:val="single" w:sz="6" w:space="0" w:color="auto"/>
                    <w:right w:val="single" w:sz="6" w:space="0" w:color="auto"/>
                  </w:tcBorders>
                  <w:vAlign w:val="center"/>
                </w:tcPr>
                <w:p w14:paraId="0AE4DFD2"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6" w:space="0" w:color="auto"/>
                    <w:right w:val="single" w:sz="6" w:space="0" w:color="auto"/>
                  </w:tcBorders>
                  <w:vAlign w:val="center"/>
                </w:tcPr>
                <w:p w14:paraId="096B3044"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6" w:space="0" w:color="auto"/>
                    <w:right w:val="single" w:sz="6" w:space="0" w:color="auto"/>
                  </w:tcBorders>
                  <w:vAlign w:val="center"/>
                </w:tcPr>
                <w:p w14:paraId="70276449" w14:textId="77777777" w:rsidR="00F76A63" w:rsidRDefault="00000000">
                  <w:pPr>
                    <w:jc w:val="center"/>
                    <w:rPr>
                      <w:bCs/>
                      <w:sz w:val="18"/>
                      <w:szCs w:val="18"/>
                    </w:rPr>
                  </w:pPr>
                  <w:r>
                    <w:rPr>
                      <w:bCs/>
                      <w:sz w:val="18"/>
                      <w:szCs w:val="18"/>
                    </w:rPr>
                    <w:t>15</w:t>
                  </w:r>
                </w:p>
              </w:tc>
              <w:tc>
                <w:tcPr>
                  <w:tcW w:w="577" w:type="pct"/>
                  <w:tcBorders>
                    <w:top w:val="single" w:sz="6" w:space="0" w:color="auto"/>
                    <w:left w:val="single" w:sz="6" w:space="0" w:color="auto"/>
                    <w:bottom w:val="single" w:sz="6" w:space="0" w:color="auto"/>
                    <w:right w:val="single" w:sz="6" w:space="0" w:color="auto"/>
                  </w:tcBorders>
                  <w:vAlign w:val="center"/>
                </w:tcPr>
                <w:p w14:paraId="323F3E94"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6" w:space="0" w:color="auto"/>
                    <w:right w:val="nil"/>
                  </w:tcBorders>
                  <w:vAlign w:val="center"/>
                </w:tcPr>
                <w:p w14:paraId="3F50898F" w14:textId="77777777" w:rsidR="00F76A63" w:rsidRDefault="00000000">
                  <w:pPr>
                    <w:jc w:val="center"/>
                    <w:rPr>
                      <w:bCs/>
                      <w:sz w:val="18"/>
                      <w:szCs w:val="18"/>
                    </w:rPr>
                  </w:pPr>
                  <w:r>
                    <w:rPr>
                      <w:bCs/>
                      <w:sz w:val="18"/>
                      <w:szCs w:val="18"/>
                    </w:rPr>
                    <w:t>常温</w:t>
                  </w:r>
                </w:p>
              </w:tc>
            </w:tr>
            <w:tr w:rsidR="00F76A63" w14:paraId="28264F64" w14:textId="77777777">
              <w:trPr>
                <w:trHeight w:val="280"/>
                <w:jc w:val="center"/>
              </w:trPr>
              <w:tc>
                <w:tcPr>
                  <w:tcW w:w="510" w:type="pct"/>
                  <w:tcBorders>
                    <w:top w:val="single" w:sz="6" w:space="0" w:color="auto"/>
                    <w:left w:val="nil"/>
                    <w:bottom w:val="single" w:sz="12" w:space="0" w:color="auto"/>
                    <w:right w:val="single" w:sz="6" w:space="0" w:color="auto"/>
                  </w:tcBorders>
                  <w:vAlign w:val="center"/>
                </w:tcPr>
                <w:p w14:paraId="6F69D47A" w14:textId="77777777" w:rsidR="00F76A63" w:rsidRDefault="00000000">
                  <w:pPr>
                    <w:jc w:val="center"/>
                    <w:rPr>
                      <w:bCs/>
                      <w:sz w:val="18"/>
                      <w:szCs w:val="18"/>
                    </w:rPr>
                  </w:pPr>
                  <w:r>
                    <w:rPr>
                      <w:bCs/>
                      <w:sz w:val="18"/>
                      <w:szCs w:val="18"/>
                    </w:rPr>
                    <w:t>DA191</w:t>
                  </w:r>
                </w:p>
              </w:tc>
              <w:tc>
                <w:tcPr>
                  <w:tcW w:w="785" w:type="pct"/>
                  <w:tcBorders>
                    <w:top w:val="single" w:sz="6" w:space="0" w:color="auto"/>
                    <w:left w:val="single" w:sz="6" w:space="0" w:color="auto"/>
                    <w:bottom w:val="single" w:sz="12" w:space="0" w:color="auto"/>
                    <w:right w:val="single" w:sz="6" w:space="0" w:color="auto"/>
                  </w:tcBorders>
                  <w:vAlign w:val="center"/>
                </w:tcPr>
                <w:p w14:paraId="4A092CAE" w14:textId="77777777" w:rsidR="00F76A63" w:rsidRDefault="00000000">
                  <w:pPr>
                    <w:jc w:val="center"/>
                    <w:rPr>
                      <w:bCs/>
                      <w:sz w:val="18"/>
                      <w:szCs w:val="18"/>
                    </w:rPr>
                  </w:pPr>
                  <w:r>
                    <w:rPr>
                      <w:bCs/>
                      <w:sz w:val="18"/>
                      <w:szCs w:val="18"/>
                    </w:rPr>
                    <w:t>1#</w:t>
                  </w:r>
                  <w:r>
                    <w:rPr>
                      <w:bCs/>
                      <w:sz w:val="18"/>
                      <w:szCs w:val="18"/>
                    </w:rPr>
                    <w:t>熟料库转运</w:t>
                  </w:r>
                </w:p>
              </w:tc>
              <w:tc>
                <w:tcPr>
                  <w:tcW w:w="1083" w:type="pct"/>
                  <w:tcBorders>
                    <w:top w:val="single" w:sz="6" w:space="0" w:color="auto"/>
                    <w:left w:val="single" w:sz="6" w:space="0" w:color="auto"/>
                    <w:bottom w:val="single" w:sz="12" w:space="0" w:color="auto"/>
                    <w:right w:val="single" w:sz="6" w:space="0" w:color="auto"/>
                  </w:tcBorders>
                  <w:vAlign w:val="center"/>
                </w:tcPr>
                <w:p w14:paraId="5D03D977" w14:textId="77777777" w:rsidR="00F76A63" w:rsidRDefault="00000000">
                  <w:pPr>
                    <w:jc w:val="center"/>
                    <w:rPr>
                      <w:bCs/>
                      <w:sz w:val="18"/>
                      <w:szCs w:val="18"/>
                    </w:rPr>
                  </w:pPr>
                  <w:r>
                    <w:rPr>
                      <w:bCs/>
                      <w:sz w:val="18"/>
                      <w:szCs w:val="18"/>
                    </w:rPr>
                    <w:t>颗粒物</w:t>
                  </w:r>
                </w:p>
              </w:tc>
              <w:tc>
                <w:tcPr>
                  <w:tcW w:w="958" w:type="pct"/>
                  <w:tcBorders>
                    <w:top w:val="single" w:sz="6" w:space="0" w:color="auto"/>
                    <w:left w:val="single" w:sz="6" w:space="0" w:color="auto"/>
                    <w:bottom w:val="single" w:sz="12" w:space="0" w:color="auto"/>
                    <w:right w:val="single" w:sz="6" w:space="0" w:color="auto"/>
                  </w:tcBorders>
                  <w:vAlign w:val="center"/>
                </w:tcPr>
                <w:p w14:paraId="77BA844B" w14:textId="77777777" w:rsidR="00F76A63" w:rsidRDefault="00000000">
                  <w:pPr>
                    <w:jc w:val="center"/>
                    <w:rPr>
                      <w:bCs/>
                      <w:sz w:val="18"/>
                      <w:szCs w:val="18"/>
                    </w:rPr>
                  </w:pPr>
                  <w:r>
                    <w:rPr>
                      <w:bCs/>
                      <w:sz w:val="18"/>
                      <w:szCs w:val="18"/>
                    </w:rPr>
                    <w:t>袋式除尘器</w:t>
                  </w:r>
                </w:p>
              </w:tc>
              <w:tc>
                <w:tcPr>
                  <w:tcW w:w="642" w:type="pct"/>
                  <w:tcBorders>
                    <w:top w:val="single" w:sz="6" w:space="0" w:color="auto"/>
                    <w:left w:val="single" w:sz="6" w:space="0" w:color="auto"/>
                    <w:bottom w:val="single" w:sz="12" w:space="0" w:color="auto"/>
                    <w:right w:val="single" w:sz="6" w:space="0" w:color="auto"/>
                  </w:tcBorders>
                  <w:vAlign w:val="center"/>
                </w:tcPr>
                <w:p w14:paraId="497217D3" w14:textId="77777777" w:rsidR="00F76A63" w:rsidRDefault="00000000">
                  <w:pPr>
                    <w:jc w:val="center"/>
                    <w:rPr>
                      <w:bCs/>
                      <w:sz w:val="18"/>
                      <w:szCs w:val="18"/>
                    </w:rPr>
                  </w:pPr>
                  <w:r>
                    <w:rPr>
                      <w:bCs/>
                      <w:sz w:val="18"/>
                      <w:szCs w:val="18"/>
                    </w:rPr>
                    <w:t>25</w:t>
                  </w:r>
                </w:p>
              </w:tc>
              <w:tc>
                <w:tcPr>
                  <w:tcW w:w="577" w:type="pct"/>
                  <w:tcBorders>
                    <w:top w:val="single" w:sz="6" w:space="0" w:color="auto"/>
                    <w:left w:val="single" w:sz="6" w:space="0" w:color="auto"/>
                    <w:bottom w:val="single" w:sz="12" w:space="0" w:color="auto"/>
                    <w:right w:val="single" w:sz="6" w:space="0" w:color="auto"/>
                  </w:tcBorders>
                  <w:vAlign w:val="center"/>
                </w:tcPr>
                <w:p w14:paraId="3908C6C1" w14:textId="77777777" w:rsidR="00F76A63" w:rsidRDefault="00000000">
                  <w:pPr>
                    <w:jc w:val="center"/>
                    <w:rPr>
                      <w:bCs/>
                      <w:sz w:val="18"/>
                      <w:szCs w:val="18"/>
                    </w:rPr>
                  </w:pPr>
                  <w:r>
                    <w:rPr>
                      <w:bCs/>
                      <w:sz w:val="18"/>
                      <w:szCs w:val="18"/>
                    </w:rPr>
                    <w:t>0.4</w:t>
                  </w:r>
                </w:p>
              </w:tc>
              <w:tc>
                <w:tcPr>
                  <w:tcW w:w="445" w:type="pct"/>
                  <w:tcBorders>
                    <w:top w:val="single" w:sz="6" w:space="0" w:color="auto"/>
                    <w:left w:val="single" w:sz="6" w:space="0" w:color="auto"/>
                    <w:bottom w:val="single" w:sz="12" w:space="0" w:color="auto"/>
                    <w:right w:val="nil"/>
                  </w:tcBorders>
                  <w:vAlign w:val="center"/>
                </w:tcPr>
                <w:p w14:paraId="20BDB06F" w14:textId="77777777" w:rsidR="00F76A63" w:rsidRDefault="00000000">
                  <w:pPr>
                    <w:jc w:val="center"/>
                    <w:rPr>
                      <w:bCs/>
                      <w:sz w:val="18"/>
                      <w:szCs w:val="18"/>
                    </w:rPr>
                  </w:pPr>
                  <w:r>
                    <w:rPr>
                      <w:bCs/>
                      <w:sz w:val="18"/>
                      <w:szCs w:val="18"/>
                    </w:rPr>
                    <w:t>常温</w:t>
                  </w:r>
                </w:p>
              </w:tc>
            </w:tr>
          </w:tbl>
          <w:p w14:paraId="60C08A97" w14:textId="77777777" w:rsidR="00F76A63" w:rsidRDefault="00000000">
            <w:pPr>
              <w:spacing w:line="500" w:lineRule="exact"/>
              <w:ind w:firstLineChars="200" w:firstLine="480"/>
              <w:rPr>
                <w:bCs/>
                <w:sz w:val="24"/>
              </w:rPr>
            </w:pPr>
            <w:r>
              <w:rPr>
                <w:rFonts w:ascii="Cambria Math" w:hAnsi="Cambria Math" w:cs="Cambria Math"/>
                <w:bCs/>
                <w:sz w:val="24"/>
              </w:rPr>
              <w:t>②</w:t>
            </w:r>
            <w:r>
              <w:rPr>
                <w:bCs/>
                <w:sz w:val="24"/>
              </w:rPr>
              <w:t>现有废气监测情况</w:t>
            </w:r>
          </w:p>
          <w:p w14:paraId="5591A5D6" w14:textId="77777777" w:rsidR="00F76A63" w:rsidRDefault="00000000">
            <w:pPr>
              <w:spacing w:line="500" w:lineRule="exact"/>
              <w:ind w:firstLineChars="200" w:firstLine="480"/>
              <w:rPr>
                <w:sz w:val="24"/>
              </w:rPr>
            </w:pPr>
            <w:r>
              <w:rPr>
                <w:sz w:val="24"/>
              </w:rPr>
              <w:t>为反映窑头及窑尾废气污染物长期排放情况，本次收集了依托工程一期年产</w:t>
            </w:r>
            <w:r>
              <w:rPr>
                <w:sz w:val="24"/>
              </w:rPr>
              <w:t>150</w:t>
            </w:r>
            <w:r>
              <w:rPr>
                <w:sz w:val="24"/>
              </w:rPr>
              <w:t>万吨和二期日产</w:t>
            </w:r>
            <w:r>
              <w:rPr>
                <w:sz w:val="24"/>
              </w:rPr>
              <w:t>6000</w:t>
            </w:r>
            <w:r>
              <w:rPr>
                <w:sz w:val="24"/>
              </w:rPr>
              <w:t>吨熟料新型干法水泥生产线大气污染物排放在线监测系统</w:t>
            </w:r>
            <w:r>
              <w:rPr>
                <w:sz w:val="24"/>
              </w:rPr>
              <w:t>202</w:t>
            </w:r>
            <w:r>
              <w:rPr>
                <w:rFonts w:hint="eastAsia"/>
                <w:sz w:val="24"/>
              </w:rPr>
              <w:t>4</w:t>
            </w:r>
            <w:r>
              <w:rPr>
                <w:sz w:val="24"/>
              </w:rPr>
              <w:t>年</w:t>
            </w:r>
            <w:r>
              <w:rPr>
                <w:rFonts w:hint="eastAsia"/>
                <w:sz w:val="24"/>
              </w:rPr>
              <w:t>1</w:t>
            </w:r>
            <w:r>
              <w:rPr>
                <w:sz w:val="24"/>
              </w:rPr>
              <w:t>月至</w:t>
            </w:r>
            <w:r>
              <w:rPr>
                <w:sz w:val="24"/>
              </w:rPr>
              <w:t>202</w:t>
            </w:r>
            <w:r>
              <w:rPr>
                <w:rFonts w:hint="eastAsia"/>
                <w:sz w:val="24"/>
              </w:rPr>
              <w:t>6</w:t>
            </w:r>
            <w:r>
              <w:rPr>
                <w:sz w:val="24"/>
              </w:rPr>
              <w:t>年</w:t>
            </w:r>
            <w:r>
              <w:rPr>
                <w:rFonts w:hint="eastAsia"/>
                <w:sz w:val="24"/>
              </w:rPr>
              <w:t>3</w:t>
            </w:r>
            <w:r>
              <w:rPr>
                <w:sz w:val="24"/>
              </w:rPr>
              <w:t>月窑头及窑尾的在线监测数据，在线监测统计结果见表</w:t>
            </w:r>
            <w:r>
              <w:rPr>
                <w:sz w:val="24"/>
              </w:rPr>
              <w:t>2-43~2-46</w:t>
            </w:r>
            <w:r>
              <w:rPr>
                <w:sz w:val="24"/>
              </w:rPr>
              <w:t>。</w:t>
            </w:r>
          </w:p>
          <w:p w14:paraId="4F93DA8F" w14:textId="77777777" w:rsidR="00F76A63" w:rsidRDefault="00000000">
            <w:pPr>
              <w:adjustRightInd w:val="0"/>
              <w:snapToGrid w:val="0"/>
              <w:spacing w:line="500" w:lineRule="exact"/>
              <w:jc w:val="center"/>
              <w:rPr>
                <w:b/>
                <w:sz w:val="24"/>
              </w:rPr>
            </w:pPr>
            <w:r>
              <w:rPr>
                <w:rFonts w:hint="eastAsia"/>
                <w:b/>
                <w:sz w:val="24"/>
              </w:rPr>
              <w:t>表</w:t>
            </w:r>
            <w:r>
              <w:rPr>
                <w:b/>
                <w:sz w:val="24"/>
              </w:rPr>
              <w:t>2-43  1#</w:t>
            </w:r>
            <w:r>
              <w:rPr>
                <w:b/>
                <w:sz w:val="24"/>
              </w:rPr>
              <w:t>窑尾在线监测各月数据情况表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691"/>
              <w:gridCol w:w="946"/>
              <w:gridCol w:w="1600"/>
              <w:gridCol w:w="893"/>
              <w:gridCol w:w="975"/>
              <w:gridCol w:w="1092"/>
              <w:gridCol w:w="1156"/>
              <w:gridCol w:w="824"/>
            </w:tblGrid>
            <w:tr w:rsidR="00F76A63" w14:paraId="75F37F7A" w14:textId="77777777">
              <w:trPr>
                <w:trHeight w:val="340"/>
                <w:jc w:val="center"/>
              </w:trPr>
              <w:tc>
                <w:tcPr>
                  <w:tcW w:w="422" w:type="pct"/>
                  <w:vMerge w:val="restart"/>
                  <w:tcBorders>
                    <w:top w:val="single" w:sz="12" w:space="0" w:color="auto"/>
                    <w:left w:val="nil"/>
                    <w:bottom w:val="single" w:sz="4" w:space="0" w:color="auto"/>
                    <w:right w:val="single" w:sz="4" w:space="0" w:color="auto"/>
                  </w:tcBorders>
                  <w:vAlign w:val="center"/>
                </w:tcPr>
                <w:p w14:paraId="7634754A" w14:textId="77777777" w:rsidR="00F76A63" w:rsidRDefault="00000000">
                  <w:pPr>
                    <w:adjustRightInd w:val="0"/>
                    <w:snapToGrid w:val="0"/>
                    <w:jc w:val="center"/>
                    <w:rPr>
                      <w:b/>
                      <w:sz w:val="18"/>
                      <w:szCs w:val="18"/>
                    </w:rPr>
                  </w:pPr>
                  <w:r>
                    <w:rPr>
                      <w:b/>
                      <w:sz w:val="18"/>
                      <w:szCs w:val="18"/>
                    </w:rPr>
                    <w:t>监测类型</w:t>
                  </w:r>
                </w:p>
              </w:tc>
              <w:tc>
                <w:tcPr>
                  <w:tcW w:w="578" w:type="pct"/>
                  <w:vMerge w:val="restart"/>
                  <w:tcBorders>
                    <w:top w:val="single" w:sz="12" w:space="0" w:color="auto"/>
                    <w:left w:val="single" w:sz="4" w:space="0" w:color="auto"/>
                    <w:bottom w:val="single" w:sz="4" w:space="0" w:color="auto"/>
                    <w:right w:val="single" w:sz="4" w:space="0" w:color="auto"/>
                  </w:tcBorders>
                  <w:vAlign w:val="center"/>
                </w:tcPr>
                <w:p w14:paraId="558493D0" w14:textId="77777777" w:rsidR="00F76A63" w:rsidRDefault="00000000">
                  <w:pPr>
                    <w:adjustRightInd w:val="0"/>
                    <w:snapToGrid w:val="0"/>
                    <w:jc w:val="center"/>
                    <w:rPr>
                      <w:b/>
                      <w:sz w:val="18"/>
                      <w:szCs w:val="18"/>
                    </w:rPr>
                  </w:pPr>
                  <w:r>
                    <w:rPr>
                      <w:b/>
                      <w:sz w:val="18"/>
                      <w:szCs w:val="18"/>
                    </w:rPr>
                    <w:t>时间</w:t>
                  </w:r>
                </w:p>
              </w:tc>
              <w:tc>
                <w:tcPr>
                  <w:tcW w:w="978" w:type="pct"/>
                  <w:vMerge w:val="restart"/>
                  <w:tcBorders>
                    <w:top w:val="single" w:sz="12" w:space="0" w:color="auto"/>
                    <w:left w:val="single" w:sz="4" w:space="0" w:color="auto"/>
                    <w:bottom w:val="single" w:sz="4" w:space="0" w:color="auto"/>
                    <w:right w:val="single" w:sz="4" w:space="0" w:color="auto"/>
                  </w:tcBorders>
                  <w:vAlign w:val="center"/>
                </w:tcPr>
                <w:p w14:paraId="5A277D2F" w14:textId="77777777" w:rsidR="00F76A63" w:rsidRDefault="00000000">
                  <w:pPr>
                    <w:adjustRightInd w:val="0"/>
                    <w:snapToGrid w:val="0"/>
                    <w:jc w:val="center"/>
                    <w:rPr>
                      <w:b/>
                      <w:sz w:val="18"/>
                      <w:szCs w:val="18"/>
                    </w:rPr>
                  </w:pPr>
                  <w:r>
                    <w:rPr>
                      <w:b/>
                      <w:sz w:val="18"/>
                      <w:szCs w:val="18"/>
                    </w:rPr>
                    <w:t>烟气流量</w:t>
                  </w:r>
                </w:p>
                <w:p w14:paraId="37FA601F" w14:textId="77777777" w:rsidR="00F76A63" w:rsidRDefault="00000000">
                  <w:pPr>
                    <w:pStyle w:val="afc"/>
                    <w:spacing w:after="0"/>
                    <w:jc w:val="center"/>
                    <w:rPr>
                      <w:b/>
                      <w:bCs/>
                      <w:sz w:val="18"/>
                      <w:szCs w:val="18"/>
                    </w:rPr>
                  </w:pPr>
                  <w:r>
                    <w:rPr>
                      <w:b/>
                      <w:bCs/>
                      <w:sz w:val="18"/>
                      <w:szCs w:val="18"/>
                    </w:rPr>
                    <w:t>（</w:t>
                  </w:r>
                  <w:r>
                    <w:rPr>
                      <w:b/>
                      <w:bCs/>
                      <w:sz w:val="18"/>
                      <w:szCs w:val="18"/>
                    </w:rPr>
                    <w:t>m</w:t>
                  </w:r>
                  <w:r>
                    <w:rPr>
                      <w:b/>
                      <w:bCs/>
                      <w:sz w:val="18"/>
                      <w:szCs w:val="18"/>
                      <w:vertAlign w:val="superscript"/>
                    </w:rPr>
                    <w:t>3</w:t>
                  </w:r>
                  <w:r>
                    <w:rPr>
                      <w:b/>
                      <w:bCs/>
                      <w:sz w:val="18"/>
                      <w:szCs w:val="18"/>
                    </w:rPr>
                    <w:t>/h</w:t>
                  </w:r>
                  <w:r>
                    <w:rPr>
                      <w:b/>
                      <w:bCs/>
                      <w:sz w:val="18"/>
                      <w:szCs w:val="18"/>
                    </w:rPr>
                    <w:t>）</w:t>
                  </w:r>
                </w:p>
              </w:tc>
              <w:tc>
                <w:tcPr>
                  <w:tcW w:w="546" w:type="pct"/>
                  <w:vMerge w:val="restart"/>
                  <w:tcBorders>
                    <w:top w:val="single" w:sz="12" w:space="0" w:color="auto"/>
                    <w:left w:val="single" w:sz="4" w:space="0" w:color="auto"/>
                    <w:bottom w:val="single" w:sz="4" w:space="0" w:color="auto"/>
                    <w:right w:val="single" w:sz="4" w:space="0" w:color="auto"/>
                  </w:tcBorders>
                  <w:vAlign w:val="center"/>
                </w:tcPr>
                <w:p w14:paraId="1B465C42" w14:textId="77777777" w:rsidR="00F76A63" w:rsidRDefault="00000000">
                  <w:pPr>
                    <w:adjustRightInd w:val="0"/>
                    <w:snapToGrid w:val="0"/>
                    <w:jc w:val="center"/>
                    <w:rPr>
                      <w:b/>
                      <w:sz w:val="18"/>
                      <w:szCs w:val="18"/>
                    </w:rPr>
                  </w:pPr>
                  <w:r>
                    <w:rPr>
                      <w:b/>
                      <w:sz w:val="18"/>
                      <w:szCs w:val="18"/>
                    </w:rPr>
                    <w:t>/</w:t>
                  </w:r>
                </w:p>
              </w:tc>
              <w:tc>
                <w:tcPr>
                  <w:tcW w:w="1971" w:type="pct"/>
                  <w:gridSpan w:val="3"/>
                  <w:tcBorders>
                    <w:top w:val="single" w:sz="12" w:space="0" w:color="auto"/>
                    <w:left w:val="single" w:sz="4" w:space="0" w:color="auto"/>
                    <w:bottom w:val="single" w:sz="4" w:space="0" w:color="auto"/>
                    <w:right w:val="single" w:sz="4" w:space="0" w:color="auto"/>
                  </w:tcBorders>
                  <w:vAlign w:val="center"/>
                </w:tcPr>
                <w:p w14:paraId="754DFF07" w14:textId="77777777" w:rsidR="00F76A63" w:rsidRDefault="00000000">
                  <w:pPr>
                    <w:adjustRightInd w:val="0"/>
                    <w:snapToGrid w:val="0"/>
                    <w:jc w:val="center"/>
                    <w:rPr>
                      <w:b/>
                      <w:sz w:val="18"/>
                      <w:szCs w:val="18"/>
                    </w:rPr>
                  </w:pPr>
                  <w:r>
                    <w:rPr>
                      <w:b/>
                      <w:sz w:val="18"/>
                      <w:szCs w:val="18"/>
                    </w:rPr>
                    <w:t>日平均浓度（</w:t>
                  </w:r>
                  <w:r>
                    <w:rPr>
                      <w:b/>
                      <w:sz w:val="18"/>
                      <w:szCs w:val="18"/>
                    </w:rPr>
                    <w:t>mg/m</w:t>
                  </w:r>
                  <w:r>
                    <w:rPr>
                      <w:b/>
                      <w:sz w:val="18"/>
                      <w:szCs w:val="18"/>
                      <w:vertAlign w:val="superscript"/>
                    </w:rPr>
                    <w:t>3</w:t>
                  </w:r>
                  <w:r>
                    <w:rPr>
                      <w:b/>
                      <w:sz w:val="18"/>
                      <w:szCs w:val="18"/>
                    </w:rPr>
                    <w:t>）</w:t>
                  </w:r>
                </w:p>
              </w:tc>
              <w:tc>
                <w:tcPr>
                  <w:tcW w:w="504" w:type="pct"/>
                  <w:vMerge w:val="restart"/>
                  <w:tcBorders>
                    <w:top w:val="single" w:sz="12" w:space="0" w:color="auto"/>
                    <w:left w:val="single" w:sz="4" w:space="0" w:color="auto"/>
                    <w:bottom w:val="single" w:sz="4" w:space="0" w:color="auto"/>
                    <w:right w:val="nil"/>
                  </w:tcBorders>
                  <w:vAlign w:val="center"/>
                </w:tcPr>
                <w:p w14:paraId="4C3DB271" w14:textId="77777777" w:rsidR="00F76A63" w:rsidRDefault="00000000">
                  <w:pPr>
                    <w:adjustRightInd w:val="0"/>
                    <w:snapToGrid w:val="0"/>
                    <w:jc w:val="center"/>
                    <w:rPr>
                      <w:b/>
                      <w:sz w:val="18"/>
                      <w:szCs w:val="18"/>
                    </w:rPr>
                  </w:pPr>
                  <w:r>
                    <w:rPr>
                      <w:b/>
                      <w:sz w:val="18"/>
                      <w:szCs w:val="18"/>
                    </w:rPr>
                    <w:t>备注</w:t>
                  </w:r>
                </w:p>
              </w:tc>
            </w:tr>
            <w:tr w:rsidR="00F76A63" w14:paraId="4F5E57CB" w14:textId="77777777">
              <w:trPr>
                <w:trHeight w:val="44"/>
                <w:jc w:val="center"/>
              </w:trPr>
              <w:tc>
                <w:tcPr>
                  <w:tcW w:w="422" w:type="pct"/>
                  <w:vMerge/>
                  <w:tcBorders>
                    <w:top w:val="single" w:sz="12" w:space="0" w:color="auto"/>
                    <w:left w:val="nil"/>
                    <w:bottom w:val="single" w:sz="4" w:space="0" w:color="auto"/>
                    <w:right w:val="single" w:sz="4" w:space="0" w:color="auto"/>
                  </w:tcBorders>
                  <w:vAlign w:val="center"/>
                </w:tcPr>
                <w:p w14:paraId="196E50C7" w14:textId="77777777" w:rsidR="00F76A63" w:rsidRDefault="00F76A63">
                  <w:pPr>
                    <w:adjustRightInd w:val="0"/>
                    <w:snapToGrid w:val="0"/>
                    <w:jc w:val="center"/>
                    <w:rPr>
                      <w:b/>
                      <w:sz w:val="18"/>
                      <w:szCs w:val="18"/>
                    </w:rPr>
                  </w:pPr>
                </w:p>
              </w:tc>
              <w:tc>
                <w:tcPr>
                  <w:tcW w:w="578" w:type="pct"/>
                  <w:vMerge/>
                  <w:tcBorders>
                    <w:top w:val="single" w:sz="12" w:space="0" w:color="auto"/>
                    <w:left w:val="single" w:sz="4" w:space="0" w:color="auto"/>
                    <w:bottom w:val="single" w:sz="4" w:space="0" w:color="auto"/>
                    <w:right w:val="single" w:sz="4" w:space="0" w:color="auto"/>
                  </w:tcBorders>
                  <w:vAlign w:val="center"/>
                </w:tcPr>
                <w:p w14:paraId="381D93AC" w14:textId="77777777" w:rsidR="00F76A63" w:rsidRDefault="00F76A63">
                  <w:pPr>
                    <w:adjustRightInd w:val="0"/>
                    <w:snapToGrid w:val="0"/>
                    <w:jc w:val="center"/>
                    <w:rPr>
                      <w:b/>
                      <w:sz w:val="18"/>
                      <w:szCs w:val="18"/>
                    </w:rPr>
                  </w:pPr>
                </w:p>
              </w:tc>
              <w:tc>
                <w:tcPr>
                  <w:tcW w:w="978" w:type="pct"/>
                  <w:vMerge/>
                  <w:tcBorders>
                    <w:top w:val="single" w:sz="12" w:space="0" w:color="auto"/>
                    <w:left w:val="single" w:sz="4" w:space="0" w:color="auto"/>
                    <w:bottom w:val="single" w:sz="4" w:space="0" w:color="auto"/>
                    <w:right w:val="single" w:sz="4" w:space="0" w:color="auto"/>
                  </w:tcBorders>
                  <w:vAlign w:val="center"/>
                </w:tcPr>
                <w:p w14:paraId="61B6FBDC" w14:textId="77777777" w:rsidR="00F76A63" w:rsidRDefault="00F76A63">
                  <w:pPr>
                    <w:adjustRightInd w:val="0"/>
                    <w:snapToGrid w:val="0"/>
                    <w:jc w:val="center"/>
                    <w:rPr>
                      <w:b/>
                      <w:sz w:val="18"/>
                      <w:szCs w:val="18"/>
                    </w:rPr>
                  </w:pPr>
                </w:p>
              </w:tc>
              <w:tc>
                <w:tcPr>
                  <w:tcW w:w="546" w:type="pct"/>
                  <w:vMerge/>
                  <w:tcBorders>
                    <w:top w:val="single" w:sz="12" w:space="0" w:color="auto"/>
                    <w:left w:val="single" w:sz="4" w:space="0" w:color="auto"/>
                    <w:bottom w:val="single" w:sz="4" w:space="0" w:color="auto"/>
                    <w:right w:val="single" w:sz="4" w:space="0" w:color="auto"/>
                  </w:tcBorders>
                  <w:vAlign w:val="center"/>
                </w:tcPr>
                <w:p w14:paraId="43E9009C" w14:textId="77777777" w:rsidR="00F76A63" w:rsidRDefault="00F76A63">
                  <w:pPr>
                    <w:adjustRightInd w:val="0"/>
                    <w:snapToGrid w:val="0"/>
                    <w:jc w:val="center"/>
                    <w:rPr>
                      <w:b/>
                      <w:sz w:val="18"/>
                      <w:szCs w:val="18"/>
                    </w:rPr>
                  </w:pPr>
                </w:p>
              </w:tc>
              <w:tc>
                <w:tcPr>
                  <w:tcW w:w="596" w:type="pct"/>
                  <w:tcBorders>
                    <w:top w:val="single" w:sz="4" w:space="0" w:color="auto"/>
                    <w:left w:val="single" w:sz="4" w:space="0" w:color="auto"/>
                    <w:bottom w:val="single" w:sz="4" w:space="0" w:color="auto"/>
                    <w:right w:val="single" w:sz="4" w:space="0" w:color="auto"/>
                  </w:tcBorders>
                  <w:vAlign w:val="center"/>
                </w:tcPr>
                <w:p w14:paraId="5CC94AC5" w14:textId="77777777" w:rsidR="00F76A63" w:rsidRDefault="00000000">
                  <w:pPr>
                    <w:adjustRightInd w:val="0"/>
                    <w:snapToGrid w:val="0"/>
                    <w:jc w:val="center"/>
                    <w:rPr>
                      <w:b/>
                      <w:sz w:val="18"/>
                      <w:szCs w:val="18"/>
                    </w:rPr>
                  </w:pPr>
                  <w:r>
                    <w:rPr>
                      <w:b/>
                      <w:sz w:val="18"/>
                      <w:szCs w:val="18"/>
                    </w:rPr>
                    <w:t>颗粒物</w:t>
                  </w:r>
                </w:p>
              </w:tc>
              <w:tc>
                <w:tcPr>
                  <w:tcW w:w="668" w:type="pct"/>
                  <w:tcBorders>
                    <w:top w:val="single" w:sz="4" w:space="0" w:color="auto"/>
                    <w:left w:val="single" w:sz="4" w:space="0" w:color="auto"/>
                    <w:bottom w:val="single" w:sz="4" w:space="0" w:color="auto"/>
                    <w:right w:val="single" w:sz="4" w:space="0" w:color="auto"/>
                  </w:tcBorders>
                  <w:vAlign w:val="center"/>
                </w:tcPr>
                <w:p w14:paraId="31464933" w14:textId="77777777" w:rsidR="00F76A63" w:rsidRDefault="00000000">
                  <w:pPr>
                    <w:adjustRightInd w:val="0"/>
                    <w:snapToGrid w:val="0"/>
                    <w:jc w:val="center"/>
                    <w:rPr>
                      <w:b/>
                      <w:sz w:val="18"/>
                      <w:szCs w:val="18"/>
                    </w:rPr>
                  </w:pPr>
                  <w:r>
                    <w:rPr>
                      <w:b/>
                      <w:sz w:val="18"/>
                      <w:szCs w:val="18"/>
                    </w:rPr>
                    <w:t>SO</w:t>
                  </w:r>
                  <w:r>
                    <w:rPr>
                      <w:b/>
                      <w:sz w:val="18"/>
                      <w:szCs w:val="18"/>
                      <w:vertAlign w:val="subscript"/>
                    </w:rPr>
                    <w:t>2</w:t>
                  </w:r>
                </w:p>
              </w:tc>
              <w:tc>
                <w:tcPr>
                  <w:tcW w:w="707" w:type="pct"/>
                  <w:tcBorders>
                    <w:top w:val="single" w:sz="4" w:space="0" w:color="auto"/>
                    <w:left w:val="single" w:sz="4" w:space="0" w:color="auto"/>
                    <w:bottom w:val="single" w:sz="4" w:space="0" w:color="auto"/>
                    <w:right w:val="single" w:sz="4" w:space="0" w:color="auto"/>
                  </w:tcBorders>
                  <w:vAlign w:val="center"/>
                </w:tcPr>
                <w:p w14:paraId="7072F700" w14:textId="77777777" w:rsidR="00F76A63" w:rsidRDefault="00000000">
                  <w:pPr>
                    <w:adjustRightInd w:val="0"/>
                    <w:snapToGrid w:val="0"/>
                    <w:jc w:val="center"/>
                    <w:rPr>
                      <w:b/>
                      <w:sz w:val="18"/>
                      <w:szCs w:val="18"/>
                    </w:rPr>
                  </w:pPr>
                  <w:r>
                    <w:rPr>
                      <w:b/>
                      <w:sz w:val="18"/>
                      <w:szCs w:val="18"/>
                    </w:rPr>
                    <w:t>NO</w:t>
                  </w:r>
                  <w:r>
                    <w:rPr>
                      <w:b/>
                      <w:sz w:val="18"/>
                      <w:szCs w:val="18"/>
                      <w:vertAlign w:val="subscript"/>
                    </w:rPr>
                    <w:t>X</w:t>
                  </w:r>
                </w:p>
              </w:tc>
              <w:tc>
                <w:tcPr>
                  <w:tcW w:w="504" w:type="pct"/>
                  <w:vMerge/>
                  <w:tcBorders>
                    <w:top w:val="single" w:sz="12" w:space="0" w:color="auto"/>
                    <w:left w:val="single" w:sz="4" w:space="0" w:color="auto"/>
                    <w:bottom w:val="single" w:sz="4" w:space="0" w:color="auto"/>
                    <w:right w:val="nil"/>
                  </w:tcBorders>
                  <w:vAlign w:val="center"/>
                </w:tcPr>
                <w:p w14:paraId="057AB42A" w14:textId="77777777" w:rsidR="00F76A63" w:rsidRDefault="00F76A63">
                  <w:pPr>
                    <w:adjustRightInd w:val="0"/>
                    <w:snapToGrid w:val="0"/>
                    <w:jc w:val="center"/>
                    <w:rPr>
                      <w:b/>
                      <w:sz w:val="18"/>
                      <w:szCs w:val="18"/>
                    </w:rPr>
                  </w:pPr>
                </w:p>
              </w:tc>
            </w:tr>
            <w:tr w:rsidR="00F76A63" w14:paraId="39304C29" w14:textId="77777777">
              <w:trPr>
                <w:trHeight w:val="340"/>
                <w:jc w:val="center"/>
              </w:trPr>
              <w:tc>
                <w:tcPr>
                  <w:tcW w:w="422" w:type="pct"/>
                  <w:vMerge w:val="restart"/>
                  <w:tcBorders>
                    <w:top w:val="single" w:sz="4" w:space="0" w:color="auto"/>
                    <w:left w:val="nil"/>
                    <w:right w:val="single" w:sz="4" w:space="0" w:color="auto"/>
                  </w:tcBorders>
                  <w:vAlign w:val="center"/>
                </w:tcPr>
                <w:p w14:paraId="715AEAD9" w14:textId="77777777" w:rsidR="00F76A63" w:rsidRDefault="00000000">
                  <w:pPr>
                    <w:adjustRightInd w:val="0"/>
                    <w:snapToGrid w:val="0"/>
                    <w:jc w:val="center"/>
                    <w:rPr>
                      <w:sz w:val="18"/>
                      <w:szCs w:val="18"/>
                    </w:rPr>
                  </w:pPr>
                  <w:r>
                    <w:rPr>
                      <w:sz w:val="18"/>
                      <w:szCs w:val="18"/>
                    </w:rPr>
                    <w:t>窑尾烟气污染物在</w:t>
                  </w:r>
                  <w:r>
                    <w:rPr>
                      <w:sz w:val="18"/>
                      <w:szCs w:val="18"/>
                    </w:rPr>
                    <w:lastRenderedPageBreak/>
                    <w:t>线监测</w:t>
                  </w:r>
                </w:p>
              </w:tc>
              <w:tc>
                <w:tcPr>
                  <w:tcW w:w="578" w:type="pct"/>
                  <w:vMerge w:val="restart"/>
                  <w:tcBorders>
                    <w:top w:val="single" w:sz="4" w:space="0" w:color="auto"/>
                    <w:left w:val="single" w:sz="4" w:space="0" w:color="auto"/>
                    <w:right w:val="single" w:sz="4" w:space="0" w:color="auto"/>
                  </w:tcBorders>
                  <w:vAlign w:val="center"/>
                </w:tcPr>
                <w:p w14:paraId="47F07A72" w14:textId="77777777" w:rsidR="00F76A63" w:rsidRDefault="00000000">
                  <w:pPr>
                    <w:adjustRightInd w:val="0"/>
                    <w:snapToGrid w:val="0"/>
                    <w:jc w:val="center"/>
                    <w:rPr>
                      <w:sz w:val="18"/>
                      <w:szCs w:val="18"/>
                    </w:rPr>
                  </w:pPr>
                  <w:r>
                    <w:rPr>
                      <w:rFonts w:hint="eastAsia"/>
                      <w:sz w:val="18"/>
                      <w:szCs w:val="18"/>
                    </w:rPr>
                    <w:lastRenderedPageBreak/>
                    <w:t>202401</w:t>
                  </w:r>
                </w:p>
              </w:tc>
              <w:tc>
                <w:tcPr>
                  <w:tcW w:w="978" w:type="pct"/>
                  <w:vMerge w:val="restart"/>
                  <w:tcBorders>
                    <w:top w:val="single" w:sz="4" w:space="0" w:color="auto"/>
                    <w:left w:val="single" w:sz="4" w:space="0" w:color="auto"/>
                    <w:right w:val="single" w:sz="4" w:space="0" w:color="auto"/>
                  </w:tcBorders>
                  <w:vAlign w:val="center"/>
                </w:tcPr>
                <w:p w14:paraId="6F964BBE" w14:textId="77777777" w:rsidR="00F76A63" w:rsidRDefault="00000000">
                  <w:pPr>
                    <w:widowControl/>
                    <w:jc w:val="center"/>
                    <w:rPr>
                      <w:kern w:val="0"/>
                      <w:sz w:val="18"/>
                      <w:szCs w:val="18"/>
                    </w:rPr>
                  </w:pPr>
                  <w:r>
                    <w:rPr>
                      <w:sz w:val="18"/>
                      <w:szCs w:val="18"/>
                    </w:rPr>
                    <w:t>494002.02</w:t>
                  </w:r>
                </w:p>
              </w:tc>
              <w:tc>
                <w:tcPr>
                  <w:tcW w:w="546" w:type="pct"/>
                  <w:tcBorders>
                    <w:top w:val="single" w:sz="4" w:space="0" w:color="auto"/>
                    <w:left w:val="single" w:sz="4" w:space="0" w:color="auto"/>
                    <w:bottom w:val="single" w:sz="4" w:space="0" w:color="auto"/>
                    <w:right w:val="single" w:sz="4" w:space="0" w:color="auto"/>
                  </w:tcBorders>
                  <w:vAlign w:val="center"/>
                </w:tcPr>
                <w:p w14:paraId="73E49A2D"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3FBAEC1" w14:textId="77777777" w:rsidR="00F76A63" w:rsidRDefault="00000000">
                  <w:pPr>
                    <w:adjustRightInd w:val="0"/>
                    <w:snapToGrid w:val="0"/>
                    <w:jc w:val="center"/>
                    <w:rPr>
                      <w:sz w:val="18"/>
                      <w:szCs w:val="18"/>
                    </w:rPr>
                  </w:pPr>
                  <w:r>
                    <w:rPr>
                      <w:rFonts w:hint="eastAsia"/>
                      <w:sz w:val="18"/>
                      <w:szCs w:val="18"/>
                    </w:rPr>
                    <w:t>1.17</w:t>
                  </w:r>
                </w:p>
              </w:tc>
              <w:tc>
                <w:tcPr>
                  <w:tcW w:w="668" w:type="pct"/>
                  <w:tcBorders>
                    <w:top w:val="single" w:sz="4" w:space="0" w:color="auto"/>
                    <w:left w:val="single" w:sz="4" w:space="0" w:color="auto"/>
                    <w:bottom w:val="single" w:sz="4" w:space="0" w:color="auto"/>
                    <w:right w:val="single" w:sz="4" w:space="0" w:color="auto"/>
                  </w:tcBorders>
                  <w:vAlign w:val="center"/>
                </w:tcPr>
                <w:p w14:paraId="096BE614" w14:textId="77777777" w:rsidR="00F76A63" w:rsidRDefault="00000000">
                  <w:pPr>
                    <w:adjustRightInd w:val="0"/>
                    <w:snapToGrid w:val="0"/>
                    <w:jc w:val="center"/>
                    <w:rPr>
                      <w:sz w:val="18"/>
                      <w:szCs w:val="18"/>
                    </w:rPr>
                  </w:pPr>
                  <w:r>
                    <w:rPr>
                      <w:rFonts w:hint="eastAsia"/>
                      <w:sz w:val="18"/>
                      <w:szCs w:val="18"/>
                    </w:rPr>
                    <w:t>3.87</w:t>
                  </w:r>
                </w:p>
              </w:tc>
              <w:tc>
                <w:tcPr>
                  <w:tcW w:w="707" w:type="pct"/>
                  <w:tcBorders>
                    <w:top w:val="single" w:sz="4" w:space="0" w:color="auto"/>
                    <w:left w:val="single" w:sz="4" w:space="0" w:color="auto"/>
                    <w:bottom w:val="single" w:sz="4" w:space="0" w:color="auto"/>
                    <w:right w:val="single" w:sz="4" w:space="0" w:color="auto"/>
                  </w:tcBorders>
                  <w:vAlign w:val="center"/>
                </w:tcPr>
                <w:p w14:paraId="0B663714" w14:textId="77777777" w:rsidR="00F76A63" w:rsidRDefault="00000000">
                  <w:pPr>
                    <w:adjustRightInd w:val="0"/>
                    <w:snapToGrid w:val="0"/>
                    <w:jc w:val="center"/>
                    <w:rPr>
                      <w:sz w:val="18"/>
                      <w:szCs w:val="18"/>
                    </w:rPr>
                  </w:pPr>
                  <w:r>
                    <w:rPr>
                      <w:rFonts w:hint="eastAsia"/>
                      <w:sz w:val="18"/>
                      <w:szCs w:val="18"/>
                    </w:rPr>
                    <w:t>32.81</w:t>
                  </w:r>
                </w:p>
              </w:tc>
              <w:tc>
                <w:tcPr>
                  <w:tcW w:w="504" w:type="pct"/>
                  <w:vMerge w:val="restart"/>
                  <w:tcBorders>
                    <w:top w:val="single" w:sz="4" w:space="0" w:color="auto"/>
                    <w:left w:val="single" w:sz="4" w:space="0" w:color="auto"/>
                    <w:right w:val="nil"/>
                  </w:tcBorders>
                  <w:vAlign w:val="center"/>
                </w:tcPr>
                <w:p w14:paraId="6B5BBB60" w14:textId="77777777" w:rsidR="00F76A63" w:rsidRDefault="00000000">
                  <w:pPr>
                    <w:adjustRightInd w:val="0"/>
                    <w:snapToGrid w:val="0"/>
                    <w:jc w:val="center"/>
                    <w:rPr>
                      <w:sz w:val="18"/>
                      <w:szCs w:val="18"/>
                    </w:rPr>
                  </w:pPr>
                  <w:r>
                    <w:rPr>
                      <w:sz w:val="18"/>
                      <w:szCs w:val="18"/>
                    </w:rPr>
                    <w:t>/</w:t>
                  </w:r>
                </w:p>
              </w:tc>
            </w:tr>
            <w:tr w:rsidR="00F76A63" w14:paraId="375C752B" w14:textId="77777777">
              <w:trPr>
                <w:trHeight w:val="340"/>
                <w:jc w:val="center"/>
              </w:trPr>
              <w:tc>
                <w:tcPr>
                  <w:tcW w:w="422" w:type="pct"/>
                  <w:vMerge/>
                  <w:tcBorders>
                    <w:left w:val="nil"/>
                    <w:right w:val="single" w:sz="4" w:space="0" w:color="auto"/>
                  </w:tcBorders>
                  <w:vAlign w:val="center"/>
                </w:tcPr>
                <w:p w14:paraId="0CE68528"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028F1538"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62DB5F9"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2AAE6E0"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516812EA" w14:textId="77777777" w:rsidR="00F76A63" w:rsidRDefault="00000000">
                  <w:pPr>
                    <w:adjustRightInd w:val="0"/>
                    <w:snapToGrid w:val="0"/>
                    <w:jc w:val="center"/>
                    <w:rPr>
                      <w:sz w:val="18"/>
                      <w:szCs w:val="18"/>
                    </w:rPr>
                  </w:pPr>
                  <w:r>
                    <w:rPr>
                      <w:rFonts w:hint="eastAsia"/>
                      <w:sz w:val="18"/>
                      <w:szCs w:val="18"/>
                    </w:rPr>
                    <w:t>3.96</w:t>
                  </w:r>
                </w:p>
              </w:tc>
              <w:tc>
                <w:tcPr>
                  <w:tcW w:w="668" w:type="pct"/>
                  <w:tcBorders>
                    <w:top w:val="single" w:sz="4" w:space="0" w:color="auto"/>
                    <w:left w:val="single" w:sz="4" w:space="0" w:color="auto"/>
                    <w:bottom w:val="single" w:sz="4" w:space="0" w:color="auto"/>
                    <w:right w:val="single" w:sz="4" w:space="0" w:color="auto"/>
                  </w:tcBorders>
                  <w:vAlign w:val="center"/>
                </w:tcPr>
                <w:p w14:paraId="20AA784C" w14:textId="77777777" w:rsidR="00F76A63" w:rsidRDefault="00000000">
                  <w:pPr>
                    <w:adjustRightInd w:val="0"/>
                    <w:snapToGrid w:val="0"/>
                    <w:jc w:val="center"/>
                    <w:rPr>
                      <w:sz w:val="18"/>
                      <w:szCs w:val="18"/>
                    </w:rPr>
                  </w:pPr>
                  <w:r>
                    <w:rPr>
                      <w:rFonts w:hint="eastAsia"/>
                      <w:sz w:val="18"/>
                      <w:szCs w:val="18"/>
                    </w:rPr>
                    <w:t>30.88</w:t>
                  </w:r>
                </w:p>
              </w:tc>
              <w:tc>
                <w:tcPr>
                  <w:tcW w:w="707" w:type="pct"/>
                  <w:tcBorders>
                    <w:top w:val="single" w:sz="4" w:space="0" w:color="auto"/>
                    <w:left w:val="single" w:sz="4" w:space="0" w:color="auto"/>
                    <w:bottom w:val="single" w:sz="4" w:space="0" w:color="auto"/>
                    <w:right w:val="single" w:sz="4" w:space="0" w:color="auto"/>
                  </w:tcBorders>
                  <w:vAlign w:val="center"/>
                </w:tcPr>
                <w:p w14:paraId="46D5B48E" w14:textId="77777777" w:rsidR="00F76A63" w:rsidRDefault="00000000">
                  <w:pPr>
                    <w:adjustRightInd w:val="0"/>
                    <w:snapToGrid w:val="0"/>
                    <w:jc w:val="center"/>
                    <w:rPr>
                      <w:sz w:val="18"/>
                      <w:szCs w:val="18"/>
                    </w:rPr>
                  </w:pPr>
                  <w:r>
                    <w:rPr>
                      <w:rFonts w:hint="eastAsia"/>
                      <w:sz w:val="18"/>
                      <w:szCs w:val="18"/>
                    </w:rPr>
                    <w:t>49.46</w:t>
                  </w:r>
                </w:p>
              </w:tc>
              <w:tc>
                <w:tcPr>
                  <w:tcW w:w="504" w:type="pct"/>
                  <w:vMerge/>
                  <w:tcBorders>
                    <w:left w:val="single" w:sz="4" w:space="0" w:color="auto"/>
                    <w:right w:val="nil"/>
                  </w:tcBorders>
                  <w:vAlign w:val="center"/>
                </w:tcPr>
                <w:p w14:paraId="0F7C873A" w14:textId="77777777" w:rsidR="00F76A63" w:rsidRDefault="00F76A63">
                  <w:pPr>
                    <w:adjustRightInd w:val="0"/>
                    <w:snapToGrid w:val="0"/>
                    <w:jc w:val="center"/>
                    <w:rPr>
                      <w:sz w:val="18"/>
                      <w:szCs w:val="18"/>
                    </w:rPr>
                  </w:pPr>
                </w:p>
              </w:tc>
            </w:tr>
            <w:tr w:rsidR="00F76A63" w14:paraId="39E4D3B1" w14:textId="77777777">
              <w:trPr>
                <w:trHeight w:val="340"/>
                <w:jc w:val="center"/>
              </w:trPr>
              <w:tc>
                <w:tcPr>
                  <w:tcW w:w="422" w:type="pct"/>
                  <w:vMerge/>
                  <w:tcBorders>
                    <w:left w:val="nil"/>
                    <w:right w:val="single" w:sz="4" w:space="0" w:color="auto"/>
                  </w:tcBorders>
                  <w:vAlign w:val="center"/>
                </w:tcPr>
                <w:p w14:paraId="7107B5D4"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4FD78398"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19E0488B"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C4BCCAB"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2F7A39A" w14:textId="77777777" w:rsidR="00F76A63" w:rsidRDefault="00000000">
                  <w:pPr>
                    <w:adjustRightInd w:val="0"/>
                    <w:snapToGrid w:val="0"/>
                    <w:jc w:val="center"/>
                    <w:rPr>
                      <w:sz w:val="18"/>
                      <w:szCs w:val="18"/>
                    </w:rPr>
                  </w:pPr>
                  <w:r>
                    <w:rPr>
                      <w:rFonts w:hint="eastAsia"/>
                      <w:sz w:val="18"/>
                      <w:szCs w:val="18"/>
                    </w:rPr>
                    <w:t>0.05</w:t>
                  </w:r>
                </w:p>
              </w:tc>
              <w:tc>
                <w:tcPr>
                  <w:tcW w:w="668" w:type="pct"/>
                  <w:tcBorders>
                    <w:top w:val="single" w:sz="4" w:space="0" w:color="auto"/>
                    <w:left w:val="single" w:sz="4" w:space="0" w:color="auto"/>
                    <w:bottom w:val="single" w:sz="4" w:space="0" w:color="auto"/>
                    <w:right w:val="single" w:sz="4" w:space="0" w:color="auto"/>
                  </w:tcBorders>
                  <w:vAlign w:val="center"/>
                </w:tcPr>
                <w:p w14:paraId="414BF881" w14:textId="77777777" w:rsidR="00F76A63" w:rsidRDefault="00000000">
                  <w:pPr>
                    <w:adjustRightInd w:val="0"/>
                    <w:snapToGrid w:val="0"/>
                    <w:jc w:val="center"/>
                    <w:rPr>
                      <w:sz w:val="18"/>
                      <w:szCs w:val="18"/>
                    </w:rPr>
                  </w:pPr>
                  <w:r>
                    <w:rPr>
                      <w:rFonts w:hint="eastAsia"/>
                      <w:sz w:val="18"/>
                      <w:szCs w:val="18"/>
                    </w:rPr>
                    <w:t>0.75</w:t>
                  </w:r>
                </w:p>
              </w:tc>
              <w:tc>
                <w:tcPr>
                  <w:tcW w:w="707" w:type="pct"/>
                  <w:tcBorders>
                    <w:top w:val="single" w:sz="4" w:space="0" w:color="auto"/>
                    <w:left w:val="single" w:sz="4" w:space="0" w:color="auto"/>
                    <w:bottom w:val="single" w:sz="4" w:space="0" w:color="auto"/>
                    <w:right w:val="single" w:sz="4" w:space="0" w:color="auto"/>
                  </w:tcBorders>
                  <w:vAlign w:val="center"/>
                </w:tcPr>
                <w:p w14:paraId="1A893120" w14:textId="77777777" w:rsidR="00F76A63" w:rsidRDefault="00000000">
                  <w:pPr>
                    <w:adjustRightInd w:val="0"/>
                    <w:snapToGrid w:val="0"/>
                    <w:jc w:val="center"/>
                    <w:rPr>
                      <w:sz w:val="18"/>
                      <w:szCs w:val="18"/>
                    </w:rPr>
                  </w:pPr>
                  <w:r>
                    <w:rPr>
                      <w:rFonts w:hint="eastAsia"/>
                      <w:sz w:val="18"/>
                      <w:szCs w:val="18"/>
                    </w:rPr>
                    <w:t>13.82</w:t>
                  </w:r>
                </w:p>
              </w:tc>
              <w:tc>
                <w:tcPr>
                  <w:tcW w:w="504" w:type="pct"/>
                  <w:vMerge/>
                  <w:tcBorders>
                    <w:left w:val="single" w:sz="4" w:space="0" w:color="auto"/>
                    <w:bottom w:val="single" w:sz="4" w:space="0" w:color="auto"/>
                    <w:right w:val="nil"/>
                  </w:tcBorders>
                  <w:vAlign w:val="center"/>
                </w:tcPr>
                <w:p w14:paraId="1C2E5E50" w14:textId="77777777" w:rsidR="00F76A63" w:rsidRDefault="00F76A63">
                  <w:pPr>
                    <w:adjustRightInd w:val="0"/>
                    <w:snapToGrid w:val="0"/>
                    <w:jc w:val="center"/>
                    <w:rPr>
                      <w:sz w:val="18"/>
                      <w:szCs w:val="18"/>
                    </w:rPr>
                  </w:pPr>
                </w:p>
              </w:tc>
            </w:tr>
            <w:tr w:rsidR="00F76A63" w14:paraId="7841BA45" w14:textId="77777777">
              <w:trPr>
                <w:trHeight w:val="340"/>
                <w:jc w:val="center"/>
              </w:trPr>
              <w:tc>
                <w:tcPr>
                  <w:tcW w:w="422" w:type="pct"/>
                  <w:vMerge/>
                  <w:tcBorders>
                    <w:left w:val="nil"/>
                    <w:right w:val="single" w:sz="4" w:space="0" w:color="auto"/>
                  </w:tcBorders>
                  <w:vAlign w:val="center"/>
                </w:tcPr>
                <w:p w14:paraId="1A9A02B9"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21672962" w14:textId="77777777" w:rsidR="00F76A63" w:rsidRDefault="00000000">
                  <w:pPr>
                    <w:adjustRightInd w:val="0"/>
                    <w:snapToGrid w:val="0"/>
                    <w:jc w:val="center"/>
                    <w:rPr>
                      <w:sz w:val="18"/>
                      <w:szCs w:val="18"/>
                    </w:rPr>
                  </w:pPr>
                  <w:r>
                    <w:rPr>
                      <w:rFonts w:hint="eastAsia"/>
                      <w:sz w:val="18"/>
                      <w:szCs w:val="18"/>
                    </w:rPr>
                    <w:t>202402</w:t>
                  </w:r>
                </w:p>
              </w:tc>
              <w:tc>
                <w:tcPr>
                  <w:tcW w:w="978" w:type="pct"/>
                  <w:vMerge w:val="restart"/>
                  <w:tcBorders>
                    <w:top w:val="single" w:sz="4" w:space="0" w:color="auto"/>
                    <w:left w:val="single" w:sz="4" w:space="0" w:color="auto"/>
                    <w:right w:val="single" w:sz="4" w:space="0" w:color="auto"/>
                  </w:tcBorders>
                  <w:vAlign w:val="center"/>
                </w:tcPr>
                <w:p w14:paraId="0DAB5498" w14:textId="77777777" w:rsidR="00F76A63" w:rsidRDefault="00000000">
                  <w:pPr>
                    <w:widowControl/>
                    <w:jc w:val="center"/>
                    <w:rPr>
                      <w:kern w:val="0"/>
                      <w:sz w:val="18"/>
                      <w:szCs w:val="18"/>
                    </w:rPr>
                  </w:pPr>
                  <w:r>
                    <w:rPr>
                      <w:sz w:val="18"/>
                      <w:szCs w:val="18"/>
                    </w:rPr>
                    <w:t>499238.04</w:t>
                  </w:r>
                </w:p>
              </w:tc>
              <w:tc>
                <w:tcPr>
                  <w:tcW w:w="546" w:type="pct"/>
                  <w:tcBorders>
                    <w:top w:val="single" w:sz="4" w:space="0" w:color="auto"/>
                    <w:left w:val="single" w:sz="4" w:space="0" w:color="auto"/>
                    <w:bottom w:val="single" w:sz="4" w:space="0" w:color="auto"/>
                    <w:right w:val="single" w:sz="4" w:space="0" w:color="auto"/>
                  </w:tcBorders>
                  <w:vAlign w:val="center"/>
                </w:tcPr>
                <w:p w14:paraId="00D90358"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061FC52" w14:textId="77777777" w:rsidR="00F76A63" w:rsidRDefault="00000000">
                  <w:pPr>
                    <w:adjustRightInd w:val="0"/>
                    <w:snapToGrid w:val="0"/>
                    <w:jc w:val="center"/>
                    <w:rPr>
                      <w:sz w:val="18"/>
                      <w:szCs w:val="18"/>
                    </w:rPr>
                  </w:pPr>
                  <w:r>
                    <w:rPr>
                      <w:sz w:val="18"/>
                      <w:szCs w:val="18"/>
                    </w:rPr>
                    <w:t>1.26</w:t>
                  </w:r>
                </w:p>
              </w:tc>
              <w:tc>
                <w:tcPr>
                  <w:tcW w:w="668" w:type="pct"/>
                  <w:tcBorders>
                    <w:top w:val="single" w:sz="4" w:space="0" w:color="auto"/>
                    <w:left w:val="single" w:sz="4" w:space="0" w:color="auto"/>
                    <w:bottom w:val="single" w:sz="4" w:space="0" w:color="auto"/>
                    <w:right w:val="single" w:sz="4" w:space="0" w:color="auto"/>
                  </w:tcBorders>
                  <w:vAlign w:val="center"/>
                </w:tcPr>
                <w:p w14:paraId="6A1995DA" w14:textId="77777777" w:rsidR="00F76A63" w:rsidRDefault="00000000">
                  <w:pPr>
                    <w:adjustRightInd w:val="0"/>
                    <w:snapToGrid w:val="0"/>
                    <w:jc w:val="center"/>
                    <w:rPr>
                      <w:sz w:val="18"/>
                      <w:szCs w:val="18"/>
                    </w:rPr>
                  </w:pPr>
                  <w:r>
                    <w:rPr>
                      <w:rFonts w:hint="eastAsia"/>
                      <w:sz w:val="18"/>
                      <w:szCs w:val="18"/>
                    </w:rPr>
                    <w:t>5.63</w:t>
                  </w:r>
                </w:p>
              </w:tc>
              <w:tc>
                <w:tcPr>
                  <w:tcW w:w="707" w:type="pct"/>
                  <w:tcBorders>
                    <w:top w:val="single" w:sz="4" w:space="0" w:color="auto"/>
                    <w:left w:val="single" w:sz="4" w:space="0" w:color="auto"/>
                    <w:bottom w:val="single" w:sz="4" w:space="0" w:color="auto"/>
                    <w:right w:val="single" w:sz="4" w:space="0" w:color="auto"/>
                  </w:tcBorders>
                  <w:vAlign w:val="center"/>
                </w:tcPr>
                <w:p w14:paraId="7296BD26" w14:textId="77777777" w:rsidR="00F76A63" w:rsidRDefault="00000000">
                  <w:pPr>
                    <w:adjustRightInd w:val="0"/>
                    <w:snapToGrid w:val="0"/>
                    <w:jc w:val="center"/>
                    <w:rPr>
                      <w:sz w:val="18"/>
                      <w:szCs w:val="18"/>
                    </w:rPr>
                  </w:pPr>
                  <w:r>
                    <w:rPr>
                      <w:rFonts w:hint="eastAsia"/>
                      <w:sz w:val="18"/>
                      <w:szCs w:val="18"/>
                    </w:rPr>
                    <w:t>33.53</w:t>
                  </w:r>
                </w:p>
              </w:tc>
              <w:tc>
                <w:tcPr>
                  <w:tcW w:w="504" w:type="pct"/>
                  <w:vMerge w:val="restart"/>
                  <w:tcBorders>
                    <w:top w:val="single" w:sz="4" w:space="0" w:color="auto"/>
                    <w:left w:val="single" w:sz="4" w:space="0" w:color="auto"/>
                    <w:right w:val="nil"/>
                  </w:tcBorders>
                  <w:vAlign w:val="center"/>
                </w:tcPr>
                <w:p w14:paraId="1BE34102" w14:textId="77777777" w:rsidR="00F76A63" w:rsidRDefault="00000000">
                  <w:pPr>
                    <w:adjustRightInd w:val="0"/>
                    <w:snapToGrid w:val="0"/>
                    <w:jc w:val="center"/>
                    <w:rPr>
                      <w:sz w:val="18"/>
                      <w:szCs w:val="18"/>
                    </w:rPr>
                  </w:pPr>
                  <w:r>
                    <w:rPr>
                      <w:sz w:val="18"/>
                      <w:szCs w:val="18"/>
                    </w:rPr>
                    <w:t>/</w:t>
                  </w:r>
                </w:p>
              </w:tc>
            </w:tr>
            <w:tr w:rsidR="00F76A63" w14:paraId="0D9FF09D" w14:textId="77777777">
              <w:trPr>
                <w:trHeight w:val="340"/>
                <w:jc w:val="center"/>
              </w:trPr>
              <w:tc>
                <w:tcPr>
                  <w:tcW w:w="422" w:type="pct"/>
                  <w:vMerge/>
                  <w:tcBorders>
                    <w:left w:val="nil"/>
                    <w:right w:val="single" w:sz="4" w:space="0" w:color="auto"/>
                  </w:tcBorders>
                  <w:vAlign w:val="center"/>
                </w:tcPr>
                <w:p w14:paraId="0C93F363"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2ECDC6E"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73D13C07"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CF8D11A"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307AB653" w14:textId="77777777" w:rsidR="00F76A63" w:rsidRDefault="00000000">
                  <w:pPr>
                    <w:adjustRightInd w:val="0"/>
                    <w:snapToGrid w:val="0"/>
                    <w:jc w:val="center"/>
                    <w:rPr>
                      <w:sz w:val="18"/>
                      <w:szCs w:val="18"/>
                    </w:rPr>
                  </w:pPr>
                  <w:r>
                    <w:rPr>
                      <w:rFonts w:eastAsia="Arial Unicode MS"/>
                      <w:sz w:val="18"/>
                      <w:szCs w:val="18"/>
                    </w:rPr>
                    <w:t>2.034</w:t>
                  </w:r>
                </w:p>
              </w:tc>
              <w:tc>
                <w:tcPr>
                  <w:tcW w:w="668" w:type="pct"/>
                  <w:tcBorders>
                    <w:top w:val="single" w:sz="4" w:space="0" w:color="auto"/>
                    <w:left w:val="single" w:sz="4" w:space="0" w:color="auto"/>
                    <w:bottom w:val="single" w:sz="4" w:space="0" w:color="auto"/>
                    <w:right w:val="single" w:sz="4" w:space="0" w:color="auto"/>
                  </w:tcBorders>
                  <w:vAlign w:val="center"/>
                </w:tcPr>
                <w:p w14:paraId="6EB16CDC" w14:textId="77777777" w:rsidR="00F76A63" w:rsidRDefault="00000000">
                  <w:pPr>
                    <w:adjustRightInd w:val="0"/>
                    <w:snapToGrid w:val="0"/>
                    <w:jc w:val="center"/>
                    <w:rPr>
                      <w:sz w:val="18"/>
                      <w:szCs w:val="18"/>
                    </w:rPr>
                  </w:pPr>
                  <w:r>
                    <w:rPr>
                      <w:rFonts w:hint="eastAsia"/>
                      <w:sz w:val="18"/>
                      <w:szCs w:val="18"/>
                    </w:rPr>
                    <w:t>30.194</w:t>
                  </w:r>
                </w:p>
              </w:tc>
              <w:tc>
                <w:tcPr>
                  <w:tcW w:w="707" w:type="pct"/>
                  <w:tcBorders>
                    <w:top w:val="single" w:sz="4" w:space="0" w:color="auto"/>
                    <w:left w:val="single" w:sz="4" w:space="0" w:color="auto"/>
                    <w:bottom w:val="single" w:sz="4" w:space="0" w:color="auto"/>
                    <w:right w:val="single" w:sz="4" w:space="0" w:color="auto"/>
                  </w:tcBorders>
                  <w:vAlign w:val="center"/>
                </w:tcPr>
                <w:p w14:paraId="27AA248A" w14:textId="77777777" w:rsidR="00F76A63" w:rsidRDefault="00000000">
                  <w:pPr>
                    <w:adjustRightInd w:val="0"/>
                    <w:snapToGrid w:val="0"/>
                    <w:jc w:val="center"/>
                    <w:rPr>
                      <w:sz w:val="18"/>
                      <w:szCs w:val="18"/>
                    </w:rPr>
                  </w:pPr>
                  <w:r>
                    <w:rPr>
                      <w:rFonts w:hint="eastAsia"/>
                      <w:sz w:val="18"/>
                      <w:szCs w:val="18"/>
                    </w:rPr>
                    <w:t>49.988</w:t>
                  </w:r>
                </w:p>
              </w:tc>
              <w:tc>
                <w:tcPr>
                  <w:tcW w:w="504" w:type="pct"/>
                  <w:vMerge/>
                  <w:tcBorders>
                    <w:left w:val="single" w:sz="4" w:space="0" w:color="auto"/>
                    <w:right w:val="nil"/>
                  </w:tcBorders>
                  <w:vAlign w:val="center"/>
                </w:tcPr>
                <w:p w14:paraId="45489C46" w14:textId="77777777" w:rsidR="00F76A63" w:rsidRDefault="00F76A63">
                  <w:pPr>
                    <w:adjustRightInd w:val="0"/>
                    <w:snapToGrid w:val="0"/>
                    <w:jc w:val="center"/>
                    <w:rPr>
                      <w:sz w:val="18"/>
                      <w:szCs w:val="18"/>
                    </w:rPr>
                  </w:pPr>
                </w:p>
              </w:tc>
            </w:tr>
            <w:tr w:rsidR="00F76A63" w14:paraId="6B20E2DC" w14:textId="77777777">
              <w:trPr>
                <w:trHeight w:val="340"/>
                <w:jc w:val="center"/>
              </w:trPr>
              <w:tc>
                <w:tcPr>
                  <w:tcW w:w="422" w:type="pct"/>
                  <w:vMerge/>
                  <w:tcBorders>
                    <w:left w:val="nil"/>
                    <w:right w:val="single" w:sz="4" w:space="0" w:color="auto"/>
                  </w:tcBorders>
                  <w:vAlign w:val="center"/>
                </w:tcPr>
                <w:p w14:paraId="4BDE7FF1"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31DF1047"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55803175"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1F64227"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4F54942E" w14:textId="77777777" w:rsidR="00F76A63" w:rsidRDefault="00000000">
                  <w:pPr>
                    <w:adjustRightInd w:val="0"/>
                    <w:snapToGrid w:val="0"/>
                    <w:jc w:val="center"/>
                    <w:rPr>
                      <w:sz w:val="18"/>
                      <w:szCs w:val="18"/>
                    </w:rPr>
                  </w:pPr>
                  <w:r>
                    <w:rPr>
                      <w:rFonts w:hint="eastAsia"/>
                      <w:sz w:val="18"/>
                      <w:szCs w:val="18"/>
                    </w:rPr>
                    <w:t>0.064</w:t>
                  </w:r>
                </w:p>
              </w:tc>
              <w:tc>
                <w:tcPr>
                  <w:tcW w:w="668" w:type="pct"/>
                  <w:tcBorders>
                    <w:top w:val="single" w:sz="4" w:space="0" w:color="auto"/>
                    <w:left w:val="single" w:sz="4" w:space="0" w:color="auto"/>
                    <w:bottom w:val="single" w:sz="4" w:space="0" w:color="auto"/>
                    <w:right w:val="single" w:sz="4" w:space="0" w:color="auto"/>
                  </w:tcBorders>
                  <w:vAlign w:val="center"/>
                </w:tcPr>
                <w:p w14:paraId="7AC58385" w14:textId="77777777" w:rsidR="00F76A63" w:rsidRDefault="00000000">
                  <w:pPr>
                    <w:adjustRightInd w:val="0"/>
                    <w:snapToGrid w:val="0"/>
                    <w:jc w:val="center"/>
                    <w:rPr>
                      <w:sz w:val="18"/>
                      <w:szCs w:val="18"/>
                    </w:rPr>
                  </w:pPr>
                  <w:r>
                    <w:rPr>
                      <w:rFonts w:hint="eastAsia"/>
                      <w:sz w:val="18"/>
                      <w:szCs w:val="18"/>
                    </w:rPr>
                    <w:t>0.751</w:t>
                  </w:r>
                </w:p>
              </w:tc>
              <w:tc>
                <w:tcPr>
                  <w:tcW w:w="707" w:type="pct"/>
                  <w:tcBorders>
                    <w:top w:val="single" w:sz="4" w:space="0" w:color="auto"/>
                    <w:left w:val="single" w:sz="4" w:space="0" w:color="auto"/>
                    <w:bottom w:val="single" w:sz="4" w:space="0" w:color="auto"/>
                    <w:right w:val="single" w:sz="4" w:space="0" w:color="auto"/>
                  </w:tcBorders>
                  <w:vAlign w:val="center"/>
                </w:tcPr>
                <w:p w14:paraId="06538B38" w14:textId="77777777" w:rsidR="00F76A63" w:rsidRDefault="00000000">
                  <w:pPr>
                    <w:adjustRightInd w:val="0"/>
                    <w:snapToGrid w:val="0"/>
                    <w:jc w:val="center"/>
                    <w:rPr>
                      <w:sz w:val="18"/>
                      <w:szCs w:val="18"/>
                    </w:rPr>
                  </w:pPr>
                  <w:r>
                    <w:rPr>
                      <w:rFonts w:hint="eastAsia"/>
                      <w:sz w:val="18"/>
                      <w:szCs w:val="18"/>
                    </w:rPr>
                    <w:t>10.454</w:t>
                  </w:r>
                </w:p>
              </w:tc>
              <w:tc>
                <w:tcPr>
                  <w:tcW w:w="504" w:type="pct"/>
                  <w:vMerge/>
                  <w:tcBorders>
                    <w:left w:val="single" w:sz="4" w:space="0" w:color="auto"/>
                    <w:bottom w:val="single" w:sz="4" w:space="0" w:color="auto"/>
                    <w:right w:val="nil"/>
                  </w:tcBorders>
                  <w:vAlign w:val="center"/>
                </w:tcPr>
                <w:p w14:paraId="4E10873C" w14:textId="77777777" w:rsidR="00F76A63" w:rsidRDefault="00F76A63">
                  <w:pPr>
                    <w:adjustRightInd w:val="0"/>
                    <w:snapToGrid w:val="0"/>
                    <w:jc w:val="center"/>
                    <w:rPr>
                      <w:sz w:val="18"/>
                      <w:szCs w:val="18"/>
                    </w:rPr>
                  </w:pPr>
                </w:p>
              </w:tc>
            </w:tr>
            <w:tr w:rsidR="00F76A63" w14:paraId="2AEB2261" w14:textId="77777777">
              <w:trPr>
                <w:trHeight w:val="340"/>
                <w:jc w:val="center"/>
              </w:trPr>
              <w:tc>
                <w:tcPr>
                  <w:tcW w:w="422" w:type="pct"/>
                  <w:vMerge/>
                  <w:tcBorders>
                    <w:left w:val="nil"/>
                    <w:right w:val="single" w:sz="4" w:space="0" w:color="auto"/>
                  </w:tcBorders>
                  <w:vAlign w:val="center"/>
                </w:tcPr>
                <w:p w14:paraId="67ABF87F"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4B69139A" w14:textId="77777777" w:rsidR="00F76A63" w:rsidRDefault="00000000">
                  <w:pPr>
                    <w:adjustRightInd w:val="0"/>
                    <w:snapToGrid w:val="0"/>
                    <w:jc w:val="center"/>
                    <w:rPr>
                      <w:sz w:val="18"/>
                      <w:szCs w:val="18"/>
                    </w:rPr>
                  </w:pPr>
                  <w:r>
                    <w:rPr>
                      <w:rFonts w:hint="eastAsia"/>
                      <w:sz w:val="18"/>
                      <w:szCs w:val="18"/>
                    </w:rPr>
                    <w:t>202403</w:t>
                  </w:r>
                </w:p>
              </w:tc>
              <w:tc>
                <w:tcPr>
                  <w:tcW w:w="978" w:type="pct"/>
                  <w:vMerge w:val="restart"/>
                  <w:tcBorders>
                    <w:top w:val="single" w:sz="4" w:space="0" w:color="auto"/>
                    <w:left w:val="single" w:sz="4" w:space="0" w:color="auto"/>
                    <w:right w:val="single" w:sz="4" w:space="0" w:color="auto"/>
                  </w:tcBorders>
                  <w:vAlign w:val="center"/>
                </w:tcPr>
                <w:p w14:paraId="1921D144" w14:textId="77777777" w:rsidR="00F76A63" w:rsidRDefault="00000000">
                  <w:pPr>
                    <w:widowControl/>
                    <w:jc w:val="center"/>
                    <w:rPr>
                      <w:kern w:val="0"/>
                      <w:sz w:val="18"/>
                      <w:szCs w:val="18"/>
                    </w:rPr>
                  </w:pPr>
                  <w:r>
                    <w:rPr>
                      <w:sz w:val="18"/>
                      <w:szCs w:val="18"/>
                    </w:rPr>
                    <w:t>493170.99</w:t>
                  </w:r>
                </w:p>
              </w:tc>
              <w:tc>
                <w:tcPr>
                  <w:tcW w:w="546" w:type="pct"/>
                  <w:tcBorders>
                    <w:top w:val="single" w:sz="4" w:space="0" w:color="auto"/>
                    <w:left w:val="single" w:sz="4" w:space="0" w:color="auto"/>
                    <w:bottom w:val="single" w:sz="4" w:space="0" w:color="auto"/>
                    <w:right w:val="single" w:sz="4" w:space="0" w:color="auto"/>
                  </w:tcBorders>
                  <w:vAlign w:val="center"/>
                </w:tcPr>
                <w:p w14:paraId="4165DAC5"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7B8692D3" w14:textId="77777777" w:rsidR="00F76A63" w:rsidRDefault="00000000">
                  <w:pPr>
                    <w:adjustRightInd w:val="0"/>
                    <w:snapToGrid w:val="0"/>
                    <w:jc w:val="center"/>
                    <w:rPr>
                      <w:sz w:val="18"/>
                      <w:szCs w:val="18"/>
                    </w:rPr>
                  </w:pPr>
                  <w:r>
                    <w:rPr>
                      <w:rFonts w:hint="eastAsia"/>
                      <w:sz w:val="18"/>
                      <w:szCs w:val="18"/>
                    </w:rPr>
                    <w:t>2.46</w:t>
                  </w:r>
                </w:p>
              </w:tc>
              <w:tc>
                <w:tcPr>
                  <w:tcW w:w="668" w:type="pct"/>
                  <w:tcBorders>
                    <w:top w:val="single" w:sz="4" w:space="0" w:color="auto"/>
                    <w:left w:val="single" w:sz="4" w:space="0" w:color="auto"/>
                    <w:bottom w:val="single" w:sz="4" w:space="0" w:color="auto"/>
                    <w:right w:val="single" w:sz="4" w:space="0" w:color="auto"/>
                  </w:tcBorders>
                  <w:vAlign w:val="center"/>
                </w:tcPr>
                <w:p w14:paraId="74BBB1FE" w14:textId="77777777" w:rsidR="00F76A63" w:rsidRDefault="00000000">
                  <w:pPr>
                    <w:adjustRightInd w:val="0"/>
                    <w:snapToGrid w:val="0"/>
                    <w:jc w:val="center"/>
                    <w:rPr>
                      <w:sz w:val="18"/>
                      <w:szCs w:val="18"/>
                    </w:rPr>
                  </w:pPr>
                  <w:r>
                    <w:rPr>
                      <w:rFonts w:hint="eastAsia"/>
                      <w:sz w:val="18"/>
                      <w:szCs w:val="18"/>
                    </w:rPr>
                    <w:t>5.70</w:t>
                  </w:r>
                </w:p>
              </w:tc>
              <w:tc>
                <w:tcPr>
                  <w:tcW w:w="707" w:type="pct"/>
                  <w:tcBorders>
                    <w:top w:val="single" w:sz="4" w:space="0" w:color="auto"/>
                    <w:left w:val="single" w:sz="4" w:space="0" w:color="auto"/>
                    <w:bottom w:val="single" w:sz="4" w:space="0" w:color="auto"/>
                    <w:right w:val="single" w:sz="4" w:space="0" w:color="auto"/>
                  </w:tcBorders>
                  <w:vAlign w:val="center"/>
                </w:tcPr>
                <w:p w14:paraId="5FA85B87" w14:textId="77777777" w:rsidR="00F76A63" w:rsidRDefault="00000000">
                  <w:pPr>
                    <w:adjustRightInd w:val="0"/>
                    <w:snapToGrid w:val="0"/>
                    <w:jc w:val="center"/>
                    <w:rPr>
                      <w:sz w:val="18"/>
                      <w:szCs w:val="18"/>
                    </w:rPr>
                  </w:pPr>
                  <w:r>
                    <w:rPr>
                      <w:rFonts w:hint="eastAsia"/>
                      <w:sz w:val="18"/>
                      <w:szCs w:val="18"/>
                    </w:rPr>
                    <w:t>29.22</w:t>
                  </w:r>
                </w:p>
              </w:tc>
              <w:tc>
                <w:tcPr>
                  <w:tcW w:w="504" w:type="pct"/>
                  <w:vMerge w:val="restart"/>
                  <w:tcBorders>
                    <w:top w:val="single" w:sz="4" w:space="0" w:color="auto"/>
                    <w:left w:val="single" w:sz="4" w:space="0" w:color="auto"/>
                    <w:right w:val="nil"/>
                  </w:tcBorders>
                  <w:vAlign w:val="center"/>
                </w:tcPr>
                <w:p w14:paraId="58CC266E" w14:textId="77777777" w:rsidR="00F76A63" w:rsidRDefault="00000000">
                  <w:pPr>
                    <w:adjustRightInd w:val="0"/>
                    <w:snapToGrid w:val="0"/>
                    <w:jc w:val="center"/>
                    <w:rPr>
                      <w:sz w:val="18"/>
                      <w:szCs w:val="18"/>
                    </w:rPr>
                  </w:pPr>
                  <w:r>
                    <w:rPr>
                      <w:sz w:val="18"/>
                      <w:szCs w:val="18"/>
                    </w:rPr>
                    <w:t>/</w:t>
                  </w:r>
                </w:p>
              </w:tc>
            </w:tr>
            <w:tr w:rsidR="00F76A63" w14:paraId="1F6F5ABE" w14:textId="77777777">
              <w:trPr>
                <w:trHeight w:val="340"/>
                <w:jc w:val="center"/>
              </w:trPr>
              <w:tc>
                <w:tcPr>
                  <w:tcW w:w="422" w:type="pct"/>
                  <w:vMerge/>
                  <w:tcBorders>
                    <w:left w:val="nil"/>
                    <w:right w:val="single" w:sz="4" w:space="0" w:color="auto"/>
                  </w:tcBorders>
                  <w:vAlign w:val="center"/>
                </w:tcPr>
                <w:p w14:paraId="1992A39B"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99B25E9"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00A22C0"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FE4080C"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4A15AE91" w14:textId="77777777" w:rsidR="00F76A63" w:rsidRDefault="00000000">
                  <w:pPr>
                    <w:adjustRightInd w:val="0"/>
                    <w:snapToGrid w:val="0"/>
                    <w:jc w:val="center"/>
                    <w:rPr>
                      <w:sz w:val="18"/>
                      <w:szCs w:val="18"/>
                    </w:rPr>
                  </w:pPr>
                  <w:r>
                    <w:rPr>
                      <w:rFonts w:hint="eastAsia"/>
                      <w:sz w:val="18"/>
                      <w:szCs w:val="18"/>
                    </w:rPr>
                    <w:t>3.92</w:t>
                  </w:r>
                </w:p>
              </w:tc>
              <w:tc>
                <w:tcPr>
                  <w:tcW w:w="668" w:type="pct"/>
                  <w:tcBorders>
                    <w:top w:val="single" w:sz="4" w:space="0" w:color="auto"/>
                    <w:left w:val="single" w:sz="4" w:space="0" w:color="auto"/>
                    <w:bottom w:val="single" w:sz="4" w:space="0" w:color="auto"/>
                    <w:right w:val="single" w:sz="4" w:space="0" w:color="auto"/>
                  </w:tcBorders>
                  <w:vAlign w:val="center"/>
                </w:tcPr>
                <w:p w14:paraId="3CD6D455" w14:textId="77777777" w:rsidR="00F76A63" w:rsidRDefault="00000000">
                  <w:pPr>
                    <w:adjustRightInd w:val="0"/>
                    <w:snapToGrid w:val="0"/>
                    <w:jc w:val="center"/>
                    <w:rPr>
                      <w:sz w:val="18"/>
                      <w:szCs w:val="18"/>
                    </w:rPr>
                  </w:pPr>
                  <w:r>
                    <w:rPr>
                      <w:rFonts w:hint="eastAsia"/>
                      <w:sz w:val="18"/>
                      <w:szCs w:val="18"/>
                    </w:rPr>
                    <w:t>34.66</w:t>
                  </w:r>
                </w:p>
              </w:tc>
              <w:tc>
                <w:tcPr>
                  <w:tcW w:w="707" w:type="pct"/>
                  <w:tcBorders>
                    <w:top w:val="single" w:sz="4" w:space="0" w:color="auto"/>
                    <w:left w:val="single" w:sz="4" w:space="0" w:color="auto"/>
                    <w:bottom w:val="single" w:sz="4" w:space="0" w:color="auto"/>
                    <w:right w:val="single" w:sz="4" w:space="0" w:color="auto"/>
                  </w:tcBorders>
                  <w:vAlign w:val="center"/>
                </w:tcPr>
                <w:p w14:paraId="189C8AB0" w14:textId="77777777" w:rsidR="00F76A63" w:rsidRDefault="00000000">
                  <w:pPr>
                    <w:adjustRightInd w:val="0"/>
                    <w:snapToGrid w:val="0"/>
                    <w:jc w:val="center"/>
                    <w:rPr>
                      <w:sz w:val="18"/>
                      <w:szCs w:val="18"/>
                    </w:rPr>
                  </w:pPr>
                  <w:r>
                    <w:rPr>
                      <w:rFonts w:hint="eastAsia"/>
                      <w:sz w:val="18"/>
                      <w:szCs w:val="18"/>
                    </w:rPr>
                    <w:t>49.99</w:t>
                  </w:r>
                </w:p>
              </w:tc>
              <w:tc>
                <w:tcPr>
                  <w:tcW w:w="504" w:type="pct"/>
                  <w:vMerge/>
                  <w:tcBorders>
                    <w:left w:val="single" w:sz="4" w:space="0" w:color="auto"/>
                    <w:right w:val="nil"/>
                  </w:tcBorders>
                  <w:vAlign w:val="center"/>
                </w:tcPr>
                <w:p w14:paraId="48813231" w14:textId="77777777" w:rsidR="00F76A63" w:rsidRDefault="00F76A63">
                  <w:pPr>
                    <w:adjustRightInd w:val="0"/>
                    <w:snapToGrid w:val="0"/>
                    <w:jc w:val="center"/>
                    <w:rPr>
                      <w:sz w:val="18"/>
                      <w:szCs w:val="18"/>
                    </w:rPr>
                  </w:pPr>
                </w:p>
              </w:tc>
            </w:tr>
            <w:tr w:rsidR="00F76A63" w14:paraId="2D3E7E75" w14:textId="77777777">
              <w:trPr>
                <w:trHeight w:val="340"/>
                <w:jc w:val="center"/>
              </w:trPr>
              <w:tc>
                <w:tcPr>
                  <w:tcW w:w="422" w:type="pct"/>
                  <w:vMerge/>
                  <w:tcBorders>
                    <w:left w:val="nil"/>
                    <w:right w:val="single" w:sz="4" w:space="0" w:color="auto"/>
                  </w:tcBorders>
                  <w:vAlign w:val="center"/>
                </w:tcPr>
                <w:p w14:paraId="0DF8F5CE"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22FA9DF4"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038A6360"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F130328"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476D18F5" w14:textId="77777777" w:rsidR="00F76A63" w:rsidRDefault="00000000">
                  <w:pPr>
                    <w:adjustRightInd w:val="0"/>
                    <w:snapToGrid w:val="0"/>
                    <w:jc w:val="center"/>
                    <w:rPr>
                      <w:sz w:val="18"/>
                      <w:szCs w:val="18"/>
                    </w:rPr>
                  </w:pPr>
                  <w:r>
                    <w:rPr>
                      <w:rFonts w:hint="eastAsia"/>
                      <w:sz w:val="18"/>
                      <w:szCs w:val="18"/>
                    </w:rPr>
                    <w:t>1.30</w:t>
                  </w:r>
                </w:p>
              </w:tc>
              <w:tc>
                <w:tcPr>
                  <w:tcW w:w="668" w:type="pct"/>
                  <w:tcBorders>
                    <w:top w:val="single" w:sz="4" w:space="0" w:color="auto"/>
                    <w:left w:val="single" w:sz="4" w:space="0" w:color="auto"/>
                    <w:bottom w:val="single" w:sz="4" w:space="0" w:color="auto"/>
                    <w:right w:val="single" w:sz="4" w:space="0" w:color="auto"/>
                  </w:tcBorders>
                  <w:vAlign w:val="center"/>
                </w:tcPr>
                <w:p w14:paraId="3F63398F" w14:textId="77777777" w:rsidR="00F76A63" w:rsidRDefault="00000000">
                  <w:pPr>
                    <w:adjustRightInd w:val="0"/>
                    <w:snapToGrid w:val="0"/>
                    <w:jc w:val="center"/>
                    <w:rPr>
                      <w:sz w:val="18"/>
                      <w:szCs w:val="18"/>
                    </w:rPr>
                  </w:pPr>
                  <w:r>
                    <w:rPr>
                      <w:rFonts w:hint="eastAsia"/>
                      <w:sz w:val="18"/>
                      <w:szCs w:val="18"/>
                    </w:rPr>
                    <w:t>0.74</w:t>
                  </w:r>
                </w:p>
              </w:tc>
              <w:tc>
                <w:tcPr>
                  <w:tcW w:w="707" w:type="pct"/>
                  <w:tcBorders>
                    <w:top w:val="single" w:sz="4" w:space="0" w:color="auto"/>
                    <w:left w:val="single" w:sz="4" w:space="0" w:color="auto"/>
                    <w:bottom w:val="single" w:sz="4" w:space="0" w:color="auto"/>
                    <w:right w:val="single" w:sz="4" w:space="0" w:color="auto"/>
                  </w:tcBorders>
                  <w:vAlign w:val="center"/>
                </w:tcPr>
                <w:p w14:paraId="5CA3F286" w14:textId="77777777" w:rsidR="00F76A63" w:rsidRDefault="00000000">
                  <w:pPr>
                    <w:adjustRightInd w:val="0"/>
                    <w:snapToGrid w:val="0"/>
                    <w:jc w:val="center"/>
                    <w:rPr>
                      <w:sz w:val="18"/>
                      <w:szCs w:val="18"/>
                    </w:rPr>
                  </w:pPr>
                  <w:r>
                    <w:rPr>
                      <w:rFonts w:hint="eastAsia"/>
                      <w:sz w:val="18"/>
                      <w:szCs w:val="18"/>
                    </w:rPr>
                    <w:t>6.26</w:t>
                  </w:r>
                </w:p>
              </w:tc>
              <w:tc>
                <w:tcPr>
                  <w:tcW w:w="504" w:type="pct"/>
                  <w:vMerge/>
                  <w:tcBorders>
                    <w:left w:val="single" w:sz="4" w:space="0" w:color="auto"/>
                    <w:bottom w:val="single" w:sz="4" w:space="0" w:color="auto"/>
                    <w:right w:val="nil"/>
                  </w:tcBorders>
                  <w:vAlign w:val="center"/>
                </w:tcPr>
                <w:p w14:paraId="189BD4C6" w14:textId="77777777" w:rsidR="00F76A63" w:rsidRDefault="00F76A63">
                  <w:pPr>
                    <w:adjustRightInd w:val="0"/>
                    <w:snapToGrid w:val="0"/>
                    <w:jc w:val="center"/>
                    <w:rPr>
                      <w:sz w:val="18"/>
                      <w:szCs w:val="18"/>
                    </w:rPr>
                  </w:pPr>
                </w:p>
              </w:tc>
            </w:tr>
            <w:tr w:rsidR="00F76A63" w14:paraId="5D05F614" w14:textId="77777777">
              <w:trPr>
                <w:trHeight w:val="340"/>
                <w:jc w:val="center"/>
              </w:trPr>
              <w:tc>
                <w:tcPr>
                  <w:tcW w:w="422" w:type="pct"/>
                  <w:vMerge/>
                  <w:tcBorders>
                    <w:left w:val="nil"/>
                    <w:right w:val="single" w:sz="4" w:space="0" w:color="auto"/>
                  </w:tcBorders>
                  <w:vAlign w:val="center"/>
                </w:tcPr>
                <w:p w14:paraId="51860FC4"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1F17B410" w14:textId="77777777" w:rsidR="00F76A63" w:rsidRDefault="00000000">
                  <w:pPr>
                    <w:adjustRightInd w:val="0"/>
                    <w:snapToGrid w:val="0"/>
                    <w:jc w:val="center"/>
                    <w:rPr>
                      <w:sz w:val="18"/>
                      <w:szCs w:val="18"/>
                    </w:rPr>
                  </w:pPr>
                  <w:r>
                    <w:rPr>
                      <w:rFonts w:hint="eastAsia"/>
                      <w:sz w:val="18"/>
                      <w:szCs w:val="18"/>
                    </w:rPr>
                    <w:t>202404</w:t>
                  </w:r>
                </w:p>
              </w:tc>
              <w:tc>
                <w:tcPr>
                  <w:tcW w:w="978" w:type="pct"/>
                  <w:vMerge w:val="restart"/>
                  <w:tcBorders>
                    <w:top w:val="single" w:sz="4" w:space="0" w:color="auto"/>
                    <w:left w:val="single" w:sz="4" w:space="0" w:color="auto"/>
                    <w:right w:val="single" w:sz="4" w:space="0" w:color="auto"/>
                  </w:tcBorders>
                  <w:vAlign w:val="center"/>
                </w:tcPr>
                <w:p w14:paraId="6B6385D4" w14:textId="77777777" w:rsidR="00F76A63" w:rsidRDefault="00000000">
                  <w:pPr>
                    <w:widowControl/>
                    <w:jc w:val="center"/>
                    <w:rPr>
                      <w:kern w:val="0"/>
                      <w:sz w:val="18"/>
                      <w:szCs w:val="18"/>
                    </w:rPr>
                  </w:pPr>
                  <w:r>
                    <w:rPr>
                      <w:sz w:val="18"/>
                      <w:szCs w:val="18"/>
                    </w:rPr>
                    <w:t>500336.87</w:t>
                  </w:r>
                </w:p>
              </w:tc>
              <w:tc>
                <w:tcPr>
                  <w:tcW w:w="546" w:type="pct"/>
                  <w:tcBorders>
                    <w:top w:val="single" w:sz="4" w:space="0" w:color="auto"/>
                    <w:left w:val="single" w:sz="4" w:space="0" w:color="auto"/>
                    <w:bottom w:val="single" w:sz="4" w:space="0" w:color="auto"/>
                    <w:right w:val="single" w:sz="4" w:space="0" w:color="auto"/>
                  </w:tcBorders>
                  <w:vAlign w:val="center"/>
                </w:tcPr>
                <w:p w14:paraId="641202CF"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202B583" w14:textId="77777777" w:rsidR="00F76A63" w:rsidRDefault="00000000">
                  <w:pPr>
                    <w:adjustRightInd w:val="0"/>
                    <w:snapToGrid w:val="0"/>
                    <w:jc w:val="center"/>
                    <w:rPr>
                      <w:sz w:val="18"/>
                      <w:szCs w:val="18"/>
                    </w:rPr>
                  </w:pPr>
                  <w:r>
                    <w:rPr>
                      <w:rFonts w:hint="eastAsia"/>
                      <w:sz w:val="18"/>
                      <w:szCs w:val="18"/>
                    </w:rPr>
                    <w:t>1.91</w:t>
                  </w:r>
                </w:p>
              </w:tc>
              <w:tc>
                <w:tcPr>
                  <w:tcW w:w="668" w:type="pct"/>
                  <w:tcBorders>
                    <w:top w:val="single" w:sz="4" w:space="0" w:color="auto"/>
                    <w:left w:val="single" w:sz="4" w:space="0" w:color="auto"/>
                    <w:bottom w:val="single" w:sz="4" w:space="0" w:color="auto"/>
                    <w:right w:val="single" w:sz="4" w:space="0" w:color="auto"/>
                  </w:tcBorders>
                  <w:vAlign w:val="center"/>
                </w:tcPr>
                <w:p w14:paraId="5CFA3529" w14:textId="77777777" w:rsidR="00F76A63" w:rsidRDefault="00000000">
                  <w:pPr>
                    <w:adjustRightInd w:val="0"/>
                    <w:snapToGrid w:val="0"/>
                    <w:jc w:val="center"/>
                    <w:rPr>
                      <w:sz w:val="18"/>
                      <w:szCs w:val="18"/>
                    </w:rPr>
                  </w:pPr>
                  <w:r>
                    <w:rPr>
                      <w:rFonts w:hint="eastAsia"/>
                      <w:sz w:val="18"/>
                      <w:szCs w:val="18"/>
                    </w:rPr>
                    <w:t>3.44</w:t>
                  </w:r>
                </w:p>
              </w:tc>
              <w:tc>
                <w:tcPr>
                  <w:tcW w:w="707" w:type="pct"/>
                  <w:tcBorders>
                    <w:top w:val="single" w:sz="4" w:space="0" w:color="auto"/>
                    <w:left w:val="single" w:sz="4" w:space="0" w:color="auto"/>
                    <w:bottom w:val="single" w:sz="4" w:space="0" w:color="auto"/>
                    <w:right w:val="single" w:sz="4" w:space="0" w:color="auto"/>
                  </w:tcBorders>
                  <w:vAlign w:val="center"/>
                </w:tcPr>
                <w:p w14:paraId="05D6462E" w14:textId="77777777" w:rsidR="00F76A63" w:rsidRDefault="00000000">
                  <w:pPr>
                    <w:adjustRightInd w:val="0"/>
                    <w:snapToGrid w:val="0"/>
                    <w:jc w:val="center"/>
                    <w:rPr>
                      <w:sz w:val="18"/>
                      <w:szCs w:val="18"/>
                    </w:rPr>
                  </w:pPr>
                  <w:r>
                    <w:rPr>
                      <w:rFonts w:hint="eastAsia"/>
                      <w:sz w:val="18"/>
                      <w:szCs w:val="18"/>
                    </w:rPr>
                    <w:t>27.32</w:t>
                  </w:r>
                </w:p>
              </w:tc>
              <w:tc>
                <w:tcPr>
                  <w:tcW w:w="504" w:type="pct"/>
                  <w:vMerge w:val="restart"/>
                  <w:tcBorders>
                    <w:top w:val="single" w:sz="4" w:space="0" w:color="auto"/>
                    <w:left w:val="single" w:sz="4" w:space="0" w:color="auto"/>
                    <w:right w:val="nil"/>
                  </w:tcBorders>
                  <w:vAlign w:val="center"/>
                </w:tcPr>
                <w:p w14:paraId="084F15DA" w14:textId="77777777" w:rsidR="00F76A63" w:rsidRDefault="00000000">
                  <w:pPr>
                    <w:adjustRightInd w:val="0"/>
                    <w:snapToGrid w:val="0"/>
                    <w:jc w:val="center"/>
                    <w:rPr>
                      <w:sz w:val="18"/>
                      <w:szCs w:val="18"/>
                    </w:rPr>
                  </w:pPr>
                  <w:r>
                    <w:rPr>
                      <w:sz w:val="18"/>
                      <w:szCs w:val="18"/>
                    </w:rPr>
                    <w:t>/</w:t>
                  </w:r>
                </w:p>
              </w:tc>
            </w:tr>
            <w:tr w:rsidR="00F76A63" w14:paraId="4BFBC60C" w14:textId="77777777">
              <w:trPr>
                <w:trHeight w:val="340"/>
                <w:jc w:val="center"/>
              </w:trPr>
              <w:tc>
                <w:tcPr>
                  <w:tcW w:w="422" w:type="pct"/>
                  <w:vMerge/>
                  <w:tcBorders>
                    <w:left w:val="nil"/>
                    <w:right w:val="single" w:sz="4" w:space="0" w:color="auto"/>
                  </w:tcBorders>
                  <w:vAlign w:val="center"/>
                </w:tcPr>
                <w:p w14:paraId="48BE4BB6"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476B54EA"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7BA58001"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72C8EE4"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2372834B" w14:textId="77777777" w:rsidR="00F76A63" w:rsidRDefault="00000000">
                  <w:pPr>
                    <w:adjustRightInd w:val="0"/>
                    <w:snapToGrid w:val="0"/>
                    <w:jc w:val="center"/>
                    <w:rPr>
                      <w:sz w:val="18"/>
                      <w:szCs w:val="18"/>
                    </w:rPr>
                  </w:pPr>
                  <w:r>
                    <w:rPr>
                      <w:rFonts w:hint="eastAsia"/>
                      <w:sz w:val="18"/>
                      <w:szCs w:val="18"/>
                    </w:rPr>
                    <w:t>3.56</w:t>
                  </w:r>
                </w:p>
              </w:tc>
              <w:tc>
                <w:tcPr>
                  <w:tcW w:w="668" w:type="pct"/>
                  <w:tcBorders>
                    <w:top w:val="single" w:sz="4" w:space="0" w:color="auto"/>
                    <w:left w:val="single" w:sz="4" w:space="0" w:color="auto"/>
                    <w:bottom w:val="single" w:sz="4" w:space="0" w:color="auto"/>
                    <w:right w:val="single" w:sz="4" w:space="0" w:color="auto"/>
                  </w:tcBorders>
                  <w:vAlign w:val="center"/>
                </w:tcPr>
                <w:p w14:paraId="7B238C24" w14:textId="77777777" w:rsidR="00F76A63" w:rsidRDefault="00000000">
                  <w:pPr>
                    <w:adjustRightInd w:val="0"/>
                    <w:snapToGrid w:val="0"/>
                    <w:jc w:val="center"/>
                    <w:rPr>
                      <w:sz w:val="18"/>
                      <w:szCs w:val="18"/>
                    </w:rPr>
                  </w:pPr>
                  <w:r>
                    <w:rPr>
                      <w:rFonts w:hint="eastAsia"/>
                      <w:sz w:val="18"/>
                      <w:szCs w:val="18"/>
                    </w:rPr>
                    <w:t>34.29</w:t>
                  </w:r>
                </w:p>
              </w:tc>
              <w:tc>
                <w:tcPr>
                  <w:tcW w:w="707" w:type="pct"/>
                  <w:tcBorders>
                    <w:top w:val="single" w:sz="4" w:space="0" w:color="auto"/>
                    <w:left w:val="single" w:sz="4" w:space="0" w:color="auto"/>
                    <w:bottom w:val="single" w:sz="4" w:space="0" w:color="auto"/>
                    <w:right w:val="single" w:sz="4" w:space="0" w:color="auto"/>
                  </w:tcBorders>
                  <w:vAlign w:val="center"/>
                </w:tcPr>
                <w:p w14:paraId="1DC42E40" w14:textId="77777777" w:rsidR="00F76A63" w:rsidRDefault="00000000">
                  <w:pPr>
                    <w:adjustRightInd w:val="0"/>
                    <w:snapToGrid w:val="0"/>
                    <w:jc w:val="center"/>
                    <w:rPr>
                      <w:sz w:val="18"/>
                      <w:szCs w:val="18"/>
                    </w:rPr>
                  </w:pPr>
                  <w:r>
                    <w:rPr>
                      <w:rFonts w:hint="eastAsia"/>
                      <w:sz w:val="18"/>
                      <w:szCs w:val="18"/>
                    </w:rPr>
                    <w:t>48.32</w:t>
                  </w:r>
                </w:p>
              </w:tc>
              <w:tc>
                <w:tcPr>
                  <w:tcW w:w="504" w:type="pct"/>
                  <w:vMerge/>
                  <w:tcBorders>
                    <w:left w:val="single" w:sz="4" w:space="0" w:color="auto"/>
                    <w:right w:val="nil"/>
                  </w:tcBorders>
                  <w:vAlign w:val="center"/>
                </w:tcPr>
                <w:p w14:paraId="0A2F19C1" w14:textId="77777777" w:rsidR="00F76A63" w:rsidRDefault="00F76A63">
                  <w:pPr>
                    <w:adjustRightInd w:val="0"/>
                    <w:snapToGrid w:val="0"/>
                    <w:jc w:val="center"/>
                    <w:rPr>
                      <w:sz w:val="18"/>
                      <w:szCs w:val="18"/>
                    </w:rPr>
                  </w:pPr>
                </w:p>
              </w:tc>
            </w:tr>
            <w:tr w:rsidR="00F76A63" w14:paraId="34559561" w14:textId="77777777">
              <w:trPr>
                <w:trHeight w:val="340"/>
                <w:jc w:val="center"/>
              </w:trPr>
              <w:tc>
                <w:tcPr>
                  <w:tcW w:w="422" w:type="pct"/>
                  <w:vMerge/>
                  <w:tcBorders>
                    <w:left w:val="nil"/>
                    <w:right w:val="single" w:sz="4" w:space="0" w:color="auto"/>
                  </w:tcBorders>
                  <w:vAlign w:val="center"/>
                </w:tcPr>
                <w:p w14:paraId="14E99866"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608832F5"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6417B9CB"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D3F83F3"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08B5EE01" w14:textId="77777777" w:rsidR="00F76A63" w:rsidRDefault="00000000">
                  <w:pPr>
                    <w:adjustRightInd w:val="0"/>
                    <w:snapToGrid w:val="0"/>
                    <w:jc w:val="center"/>
                    <w:rPr>
                      <w:sz w:val="18"/>
                      <w:szCs w:val="18"/>
                    </w:rPr>
                  </w:pPr>
                  <w:r>
                    <w:rPr>
                      <w:rFonts w:hint="eastAsia"/>
                      <w:sz w:val="18"/>
                      <w:szCs w:val="18"/>
                    </w:rPr>
                    <w:t>0.55</w:t>
                  </w:r>
                </w:p>
              </w:tc>
              <w:tc>
                <w:tcPr>
                  <w:tcW w:w="668" w:type="pct"/>
                  <w:tcBorders>
                    <w:top w:val="single" w:sz="4" w:space="0" w:color="auto"/>
                    <w:left w:val="single" w:sz="4" w:space="0" w:color="auto"/>
                    <w:bottom w:val="single" w:sz="4" w:space="0" w:color="auto"/>
                    <w:right w:val="single" w:sz="4" w:space="0" w:color="auto"/>
                  </w:tcBorders>
                  <w:vAlign w:val="center"/>
                </w:tcPr>
                <w:p w14:paraId="46783F0E" w14:textId="77777777" w:rsidR="00F76A63" w:rsidRDefault="00000000">
                  <w:pPr>
                    <w:adjustRightInd w:val="0"/>
                    <w:snapToGrid w:val="0"/>
                    <w:jc w:val="center"/>
                    <w:rPr>
                      <w:sz w:val="18"/>
                      <w:szCs w:val="18"/>
                    </w:rPr>
                  </w:pPr>
                  <w:r>
                    <w:rPr>
                      <w:rFonts w:hint="eastAsia"/>
                      <w:sz w:val="18"/>
                      <w:szCs w:val="18"/>
                    </w:rPr>
                    <w:t>0.68</w:t>
                  </w:r>
                </w:p>
              </w:tc>
              <w:tc>
                <w:tcPr>
                  <w:tcW w:w="707" w:type="pct"/>
                  <w:tcBorders>
                    <w:top w:val="single" w:sz="4" w:space="0" w:color="auto"/>
                    <w:left w:val="single" w:sz="4" w:space="0" w:color="auto"/>
                    <w:bottom w:val="single" w:sz="4" w:space="0" w:color="auto"/>
                    <w:right w:val="single" w:sz="4" w:space="0" w:color="auto"/>
                  </w:tcBorders>
                  <w:vAlign w:val="center"/>
                </w:tcPr>
                <w:p w14:paraId="0E17D9C0" w14:textId="77777777" w:rsidR="00F76A63" w:rsidRDefault="00000000">
                  <w:pPr>
                    <w:adjustRightInd w:val="0"/>
                    <w:snapToGrid w:val="0"/>
                    <w:jc w:val="center"/>
                    <w:rPr>
                      <w:sz w:val="18"/>
                      <w:szCs w:val="18"/>
                    </w:rPr>
                  </w:pPr>
                  <w:r>
                    <w:rPr>
                      <w:rFonts w:hint="eastAsia"/>
                      <w:sz w:val="18"/>
                      <w:szCs w:val="18"/>
                    </w:rPr>
                    <w:t>1.24</w:t>
                  </w:r>
                </w:p>
              </w:tc>
              <w:tc>
                <w:tcPr>
                  <w:tcW w:w="504" w:type="pct"/>
                  <w:vMerge/>
                  <w:tcBorders>
                    <w:left w:val="single" w:sz="4" w:space="0" w:color="auto"/>
                    <w:bottom w:val="single" w:sz="4" w:space="0" w:color="auto"/>
                    <w:right w:val="nil"/>
                  </w:tcBorders>
                  <w:vAlign w:val="center"/>
                </w:tcPr>
                <w:p w14:paraId="4409502D" w14:textId="77777777" w:rsidR="00F76A63" w:rsidRDefault="00F76A63">
                  <w:pPr>
                    <w:adjustRightInd w:val="0"/>
                    <w:snapToGrid w:val="0"/>
                    <w:jc w:val="center"/>
                    <w:rPr>
                      <w:sz w:val="18"/>
                      <w:szCs w:val="18"/>
                    </w:rPr>
                  </w:pPr>
                </w:p>
              </w:tc>
            </w:tr>
            <w:tr w:rsidR="00F76A63" w14:paraId="4FAFE343" w14:textId="77777777">
              <w:trPr>
                <w:trHeight w:val="340"/>
                <w:jc w:val="center"/>
              </w:trPr>
              <w:tc>
                <w:tcPr>
                  <w:tcW w:w="422" w:type="pct"/>
                  <w:vMerge/>
                  <w:tcBorders>
                    <w:left w:val="nil"/>
                    <w:right w:val="single" w:sz="4" w:space="0" w:color="auto"/>
                  </w:tcBorders>
                  <w:vAlign w:val="center"/>
                </w:tcPr>
                <w:p w14:paraId="52508B92"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77073800" w14:textId="77777777" w:rsidR="00F76A63" w:rsidRDefault="00000000">
                  <w:pPr>
                    <w:adjustRightInd w:val="0"/>
                    <w:snapToGrid w:val="0"/>
                    <w:jc w:val="center"/>
                    <w:rPr>
                      <w:sz w:val="18"/>
                      <w:szCs w:val="18"/>
                    </w:rPr>
                  </w:pPr>
                  <w:r>
                    <w:rPr>
                      <w:rFonts w:hint="eastAsia"/>
                      <w:sz w:val="18"/>
                      <w:szCs w:val="18"/>
                    </w:rPr>
                    <w:t>202405</w:t>
                  </w:r>
                </w:p>
              </w:tc>
              <w:tc>
                <w:tcPr>
                  <w:tcW w:w="978" w:type="pct"/>
                  <w:vMerge w:val="restart"/>
                  <w:tcBorders>
                    <w:top w:val="single" w:sz="4" w:space="0" w:color="auto"/>
                    <w:left w:val="single" w:sz="4" w:space="0" w:color="auto"/>
                    <w:right w:val="single" w:sz="4" w:space="0" w:color="auto"/>
                  </w:tcBorders>
                  <w:vAlign w:val="center"/>
                </w:tcPr>
                <w:p w14:paraId="6AFC61A4" w14:textId="77777777" w:rsidR="00F76A63" w:rsidRDefault="00000000">
                  <w:pPr>
                    <w:widowControl/>
                    <w:jc w:val="center"/>
                    <w:rPr>
                      <w:kern w:val="0"/>
                      <w:sz w:val="18"/>
                      <w:szCs w:val="18"/>
                    </w:rPr>
                  </w:pPr>
                  <w:r>
                    <w:rPr>
                      <w:sz w:val="18"/>
                      <w:szCs w:val="18"/>
                    </w:rPr>
                    <w:t>513334.259</w:t>
                  </w:r>
                </w:p>
              </w:tc>
              <w:tc>
                <w:tcPr>
                  <w:tcW w:w="546" w:type="pct"/>
                  <w:tcBorders>
                    <w:top w:val="single" w:sz="4" w:space="0" w:color="auto"/>
                    <w:left w:val="single" w:sz="4" w:space="0" w:color="auto"/>
                    <w:bottom w:val="single" w:sz="4" w:space="0" w:color="auto"/>
                    <w:right w:val="single" w:sz="4" w:space="0" w:color="auto"/>
                  </w:tcBorders>
                  <w:vAlign w:val="center"/>
                </w:tcPr>
                <w:p w14:paraId="6F3AC457"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3C8B2FDF" w14:textId="77777777" w:rsidR="00F76A63" w:rsidRDefault="00000000">
                  <w:pPr>
                    <w:adjustRightInd w:val="0"/>
                    <w:snapToGrid w:val="0"/>
                    <w:jc w:val="center"/>
                    <w:rPr>
                      <w:sz w:val="18"/>
                      <w:szCs w:val="18"/>
                    </w:rPr>
                  </w:pPr>
                  <w:r>
                    <w:rPr>
                      <w:rFonts w:eastAsia="微软雅黑"/>
                      <w:sz w:val="18"/>
                      <w:szCs w:val="18"/>
                    </w:rPr>
                    <w:t>1.532</w:t>
                  </w:r>
                </w:p>
              </w:tc>
              <w:tc>
                <w:tcPr>
                  <w:tcW w:w="668" w:type="pct"/>
                  <w:tcBorders>
                    <w:top w:val="single" w:sz="4" w:space="0" w:color="auto"/>
                    <w:left w:val="single" w:sz="4" w:space="0" w:color="auto"/>
                    <w:bottom w:val="single" w:sz="4" w:space="0" w:color="auto"/>
                    <w:right w:val="single" w:sz="4" w:space="0" w:color="auto"/>
                  </w:tcBorders>
                  <w:vAlign w:val="center"/>
                </w:tcPr>
                <w:p w14:paraId="42B85800" w14:textId="77777777" w:rsidR="00F76A63" w:rsidRDefault="00000000">
                  <w:pPr>
                    <w:adjustRightInd w:val="0"/>
                    <w:snapToGrid w:val="0"/>
                    <w:jc w:val="center"/>
                    <w:rPr>
                      <w:sz w:val="18"/>
                      <w:szCs w:val="18"/>
                    </w:rPr>
                  </w:pPr>
                  <w:r>
                    <w:rPr>
                      <w:rFonts w:eastAsia="微软雅黑"/>
                      <w:sz w:val="18"/>
                      <w:szCs w:val="18"/>
                    </w:rPr>
                    <w:t>4.015</w:t>
                  </w:r>
                </w:p>
              </w:tc>
              <w:tc>
                <w:tcPr>
                  <w:tcW w:w="707" w:type="pct"/>
                  <w:tcBorders>
                    <w:top w:val="single" w:sz="4" w:space="0" w:color="auto"/>
                    <w:left w:val="single" w:sz="4" w:space="0" w:color="auto"/>
                    <w:bottom w:val="single" w:sz="4" w:space="0" w:color="auto"/>
                    <w:right w:val="single" w:sz="4" w:space="0" w:color="auto"/>
                  </w:tcBorders>
                  <w:vAlign w:val="center"/>
                </w:tcPr>
                <w:p w14:paraId="3514D79C" w14:textId="77777777" w:rsidR="00F76A63" w:rsidRDefault="00000000">
                  <w:pPr>
                    <w:adjustRightInd w:val="0"/>
                    <w:snapToGrid w:val="0"/>
                    <w:jc w:val="center"/>
                    <w:rPr>
                      <w:sz w:val="18"/>
                      <w:szCs w:val="18"/>
                    </w:rPr>
                  </w:pPr>
                  <w:r>
                    <w:rPr>
                      <w:rFonts w:hint="eastAsia"/>
                      <w:sz w:val="18"/>
                      <w:szCs w:val="18"/>
                    </w:rPr>
                    <w:t>31.005</w:t>
                  </w:r>
                </w:p>
              </w:tc>
              <w:tc>
                <w:tcPr>
                  <w:tcW w:w="504" w:type="pct"/>
                  <w:vMerge w:val="restart"/>
                  <w:tcBorders>
                    <w:top w:val="single" w:sz="4" w:space="0" w:color="auto"/>
                    <w:left w:val="single" w:sz="4" w:space="0" w:color="auto"/>
                    <w:right w:val="nil"/>
                  </w:tcBorders>
                  <w:vAlign w:val="center"/>
                </w:tcPr>
                <w:p w14:paraId="7BA04CD1" w14:textId="77777777" w:rsidR="00F76A63" w:rsidRDefault="00000000">
                  <w:pPr>
                    <w:adjustRightInd w:val="0"/>
                    <w:snapToGrid w:val="0"/>
                    <w:jc w:val="center"/>
                    <w:rPr>
                      <w:sz w:val="18"/>
                      <w:szCs w:val="18"/>
                    </w:rPr>
                  </w:pPr>
                  <w:r>
                    <w:rPr>
                      <w:sz w:val="18"/>
                      <w:szCs w:val="18"/>
                    </w:rPr>
                    <w:t>/</w:t>
                  </w:r>
                </w:p>
              </w:tc>
            </w:tr>
            <w:tr w:rsidR="00F76A63" w14:paraId="1ACF2D74" w14:textId="77777777">
              <w:trPr>
                <w:trHeight w:val="340"/>
                <w:jc w:val="center"/>
              </w:trPr>
              <w:tc>
                <w:tcPr>
                  <w:tcW w:w="422" w:type="pct"/>
                  <w:vMerge/>
                  <w:tcBorders>
                    <w:left w:val="nil"/>
                    <w:right w:val="single" w:sz="4" w:space="0" w:color="auto"/>
                  </w:tcBorders>
                  <w:vAlign w:val="center"/>
                </w:tcPr>
                <w:p w14:paraId="29AE6C90"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387A762"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262D10A0"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9E3A28B"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1CDF6EDD" w14:textId="77777777" w:rsidR="00F76A63" w:rsidRDefault="00000000">
                  <w:pPr>
                    <w:adjustRightInd w:val="0"/>
                    <w:snapToGrid w:val="0"/>
                    <w:jc w:val="center"/>
                    <w:rPr>
                      <w:sz w:val="18"/>
                      <w:szCs w:val="18"/>
                    </w:rPr>
                  </w:pPr>
                  <w:r>
                    <w:rPr>
                      <w:rFonts w:eastAsia="微软雅黑"/>
                      <w:sz w:val="18"/>
                      <w:szCs w:val="18"/>
                    </w:rPr>
                    <w:t>1.987</w:t>
                  </w:r>
                </w:p>
              </w:tc>
              <w:tc>
                <w:tcPr>
                  <w:tcW w:w="668" w:type="pct"/>
                  <w:tcBorders>
                    <w:top w:val="single" w:sz="4" w:space="0" w:color="auto"/>
                    <w:left w:val="single" w:sz="4" w:space="0" w:color="auto"/>
                    <w:bottom w:val="single" w:sz="4" w:space="0" w:color="auto"/>
                    <w:right w:val="single" w:sz="4" w:space="0" w:color="auto"/>
                  </w:tcBorders>
                  <w:vAlign w:val="center"/>
                </w:tcPr>
                <w:p w14:paraId="42ACC8E3" w14:textId="77777777" w:rsidR="00F76A63" w:rsidRDefault="00000000">
                  <w:pPr>
                    <w:adjustRightInd w:val="0"/>
                    <w:snapToGrid w:val="0"/>
                    <w:jc w:val="center"/>
                    <w:rPr>
                      <w:sz w:val="18"/>
                      <w:szCs w:val="18"/>
                    </w:rPr>
                  </w:pPr>
                  <w:r>
                    <w:rPr>
                      <w:rFonts w:eastAsia="微软雅黑"/>
                      <w:sz w:val="18"/>
                      <w:szCs w:val="18"/>
                    </w:rPr>
                    <w:t>27.932</w:t>
                  </w:r>
                </w:p>
              </w:tc>
              <w:tc>
                <w:tcPr>
                  <w:tcW w:w="707" w:type="pct"/>
                  <w:tcBorders>
                    <w:top w:val="single" w:sz="4" w:space="0" w:color="auto"/>
                    <w:left w:val="single" w:sz="4" w:space="0" w:color="auto"/>
                    <w:bottom w:val="single" w:sz="4" w:space="0" w:color="auto"/>
                    <w:right w:val="single" w:sz="4" w:space="0" w:color="auto"/>
                  </w:tcBorders>
                  <w:vAlign w:val="center"/>
                </w:tcPr>
                <w:p w14:paraId="79A37392" w14:textId="77777777" w:rsidR="00F76A63" w:rsidRDefault="00000000">
                  <w:pPr>
                    <w:adjustRightInd w:val="0"/>
                    <w:snapToGrid w:val="0"/>
                    <w:jc w:val="center"/>
                    <w:rPr>
                      <w:sz w:val="18"/>
                      <w:szCs w:val="18"/>
                    </w:rPr>
                  </w:pPr>
                  <w:r>
                    <w:rPr>
                      <w:rFonts w:hint="eastAsia"/>
                      <w:sz w:val="18"/>
                      <w:szCs w:val="18"/>
                    </w:rPr>
                    <w:t>49.540</w:t>
                  </w:r>
                </w:p>
              </w:tc>
              <w:tc>
                <w:tcPr>
                  <w:tcW w:w="504" w:type="pct"/>
                  <w:vMerge/>
                  <w:tcBorders>
                    <w:left w:val="single" w:sz="4" w:space="0" w:color="auto"/>
                    <w:right w:val="nil"/>
                  </w:tcBorders>
                  <w:vAlign w:val="center"/>
                </w:tcPr>
                <w:p w14:paraId="0E959058" w14:textId="77777777" w:rsidR="00F76A63" w:rsidRDefault="00F76A63">
                  <w:pPr>
                    <w:adjustRightInd w:val="0"/>
                    <w:snapToGrid w:val="0"/>
                    <w:jc w:val="center"/>
                    <w:rPr>
                      <w:sz w:val="18"/>
                      <w:szCs w:val="18"/>
                    </w:rPr>
                  </w:pPr>
                </w:p>
              </w:tc>
            </w:tr>
            <w:tr w:rsidR="00F76A63" w14:paraId="47EEA380" w14:textId="77777777">
              <w:trPr>
                <w:trHeight w:val="340"/>
                <w:jc w:val="center"/>
              </w:trPr>
              <w:tc>
                <w:tcPr>
                  <w:tcW w:w="422" w:type="pct"/>
                  <w:vMerge/>
                  <w:tcBorders>
                    <w:left w:val="nil"/>
                    <w:right w:val="single" w:sz="4" w:space="0" w:color="auto"/>
                  </w:tcBorders>
                  <w:vAlign w:val="center"/>
                </w:tcPr>
                <w:p w14:paraId="190F786F"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018C0422"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73873C9A"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62CDF40"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227D70A5" w14:textId="77777777" w:rsidR="00F76A63" w:rsidRDefault="00000000">
                  <w:pPr>
                    <w:adjustRightInd w:val="0"/>
                    <w:snapToGrid w:val="0"/>
                    <w:jc w:val="center"/>
                    <w:rPr>
                      <w:sz w:val="18"/>
                      <w:szCs w:val="18"/>
                    </w:rPr>
                  </w:pPr>
                  <w:r>
                    <w:rPr>
                      <w:rFonts w:hint="eastAsia"/>
                      <w:sz w:val="18"/>
                      <w:szCs w:val="18"/>
                    </w:rPr>
                    <w:t>1.153</w:t>
                  </w:r>
                </w:p>
              </w:tc>
              <w:tc>
                <w:tcPr>
                  <w:tcW w:w="668" w:type="pct"/>
                  <w:tcBorders>
                    <w:top w:val="single" w:sz="4" w:space="0" w:color="auto"/>
                    <w:left w:val="single" w:sz="4" w:space="0" w:color="auto"/>
                    <w:bottom w:val="single" w:sz="4" w:space="0" w:color="auto"/>
                    <w:right w:val="single" w:sz="4" w:space="0" w:color="auto"/>
                  </w:tcBorders>
                  <w:vAlign w:val="center"/>
                </w:tcPr>
                <w:p w14:paraId="41572DFA" w14:textId="77777777" w:rsidR="00F76A63" w:rsidRDefault="00000000">
                  <w:pPr>
                    <w:adjustRightInd w:val="0"/>
                    <w:snapToGrid w:val="0"/>
                    <w:jc w:val="center"/>
                    <w:rPr>
                      <w:sz w:val="18"/>
                      <w:szCs w:val="18"/>
                    </w:rPr>
                  </w:pPr>
                  <w:r>
                    <w:rPr>
                      <w:rFonts w:hint="eastAsia"/>
                      <w:sz w:val="18"/>
                      <w:szCs w:val="18"/>
                    </w:rPr>
                    <w:t>0.747</w:t>
                  </w:r>
                </w:p>
              </w:tc>
              <w:tc>
                <w:tcPr>
                  <w:tcW w:w="707" w:type="pct"/>
                  <w:tcBorders>
                    <w:top w:val="single" w:sz="4" w:space="0" w:color="auto"/>
                    <w:left w:val="single" w:sz="4" w:space="0" w:color="auto"/>
                    <w:bottom w:val="single" w:sz="4" w:space="0" w:color="auto"/>
                    <w:right w:val="single" w:sz="4" w:space="0" w:color="auto"/>
                  </w:tcBorders>
                  <w:vAlign w:val="center"/>
                </w:tcPr>
                <w:p w14:paraId="488BA6F6" w14:textId="77777777" w:rsidR="00F76A63" w:rsidRDefault="00000000">
                  <w:pPr>
                    <w:adjustRightInd w:val="0"/>
                    <w:snapToGrid w:val="0"/>
                    <w:jc w:val="center"/>
                    <w:rPr>
                      <w:sz w:val="18"/>
                      <w:szCs w:val="18"/>
                    </w:rPr>
                  </w:pPr>
                  <w:r>
                    <w:rPr>
                      <w:rFonts w:hint="eastAsia"/>
                      <w:sz w:val="18"/>
                      <w:szCs w:val="18"/>
                    </w:rPr>
                    <w:t>9.943</w:t>
                  </w:r>
                </w:p>
              </w:tc>
              <w:tc>
                <w:tcPr>
                  <w:tcW w:w="504" w:type="pct"/>
                  <w:vMerge/>
                  <w:tcBorders>
                    <w:left w:val="single" w:sz="4" w:space="0" w:color="auto"/>
                    <w:bottom w:val="single" w:sz="4" w:space="0" w:color="auto"/>
                    <w:right w:val="nil"/>
                  </w:tcBorders>
                  <w:vAlign w:val="center"/>
                </w:tcPr>
                <w:p w14:paraId="30910EB9" w14:textId="77777777" w:rsidR="00F76A63" w:rsidRDefault="00F76A63">
                  <w:pPr>
                    <w:adjustRightInd w:val="0"/>
                    <w:snapToGrid w:val="0"/>
                    <w:jc w:val="center"/>
                    <w:rPr>
                      <w:sz w:val="18"/>
                      <w:szCs w:val="18"/>
                    </w:rPr>
                  </w:pPr>
                </w:p>
              </w:tc>
            </w:tr>
            <w:tr w:rsidR="00F76A63" w14:paraId="6DCD6A2A" w14:textId="77777777">
              <w:trPr>
                <w:trHeight w:val="340"/>
                <w:jc w:val="center"/>
              </w:trPr>
              <w:tc>
                <w:tcPr>
                  <w:tcW w:w="422" w:type="pct"/>
                  <w:vMerge/>
                  <w:tcBorders>
                    <w:left w:val="nil"/>
                    <w:right w:val="single" w:sz="4" w:space="0" w:color="auto"/>
                  </w:tcBorders>
                  <w:vAlign w:val="center"/>
                </w:tcPr>
                <w:p w14:paraId="29034C9A"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7E9E8762" w14:textId="77777777" w:rsidR="00F76A63" w:rsidRDefault="00000000">
                  <w:pPr>
                    <w:adjustRightInd w:val="0"/>
                    <w:snapToGrid w:val="0"/>
                    <w:jc w:val="center"/>
                    <w:rPr>
                      <w:sz w:val="18"/>
                      <w:szCs w:val="18"/>
                    </w:rPr>
                  </w:pPr>
                  <w:r>
                    <w:rPr>
                      <w:rFonts w:hint="eastAsia"/>
                      <w:sz w:val="18"/>
                      <w:szCs w:val="18"/>
                    </w:rPr>
                    <w:t>202406</w:t>
                  </w:r>
                </w:p>
              </w:tc>
              <w:tc>
                <w:tcPr>
                  <w:tcW w:w="978" w:type="pct"/>
                  <w:vMerge w:val="restart"/>
                  <w:tcBorders>
                    <w:top w:val="single" w:sz="4" w:space="0" w:color="auto"/>
                    <w:left w:val="single" w:sz="4" w:space="0" w:color="auto"/>
                    <w:right w:val="single" w:sz="4" w:space="0" w:color="auto"/>
                  </w:tcBorders>
                  <w:vAlign w:val="center"/>
                </w:tcPr>
                <w:p w14:paraId="22BCB9D5" w14:textId="77777777" w:rsidR="00F76A63" w:rsidRDefault="00000000">
                  <w:pPr>
                    <w:widowControl/>
                    <w:jc w:val="center"/>
                    <w:rPr>
                      <w:kern w:val="0"/>
                      <w:sz w:val="18"/>
                      <w:szCs w:val="18"/>
                    </w:rPr>
                  </w:pPr>
                  <w:r>
                    <w:rPr>
                      <w:sz w:val="18"/>
                      <w:szCs w:val="18"/>
                    </w:rPr>
                    <w:t>509708.12</w:t>
                  </w:r>
                </w:p>
              </w:tc>
              <w:tc>
                <w:tcPr>
                  <w:tcW w:w="546" w:type="pct"/>
                  <w:tcBorders>
                    <w:top w:val="single" w:sz="4" w:space="0" w:color="auto"/>
                    <w:left w:val="single" w:sz="4" w:space="0" w:color="auto"/>
                    <w:bottom w:val="single" w:sz="4" w:space="0" w:color="auto"/>
                    <w:right w:val="single" w:sz="4" w:space="0" w:color="auto"/>
                  </w:tcBorders>
                  <w:vAlign w:val="center"/>
                </w:tcPr>
                <w:p w14:paraId="3D31E457"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3E11ADC7" w14:textId="77777777" w:rsidR="00F76A63" w:rsidRDefault="00000000">
                  <w:pPr>
                    <w:adjustRightInd w:val="0"/>
                    <w:snapToGrid w:val="0"/>
                    <w:jc w:val="center"/>
                    <w:rPr>
                      <w:sz w:val="18"/>
                      <w:szCs w:val="18"/>
                    </w:rPr>
                  </w:pPr>
                  <w:r>
                    <w:rPr>
                      <w:sz w:val="18"/>
                      <w:szCs w:val="18"/>
                    </w:rPr>
                    <w:t>1.70</w:t>
                  </w:r>
                </w:p>
              </w:tc>
              <w:tc>
                <w:tcPr>
                  <w:tcW w:w="668" w:type="pct"/>
                  <w:tcBorders>
                    <w:top w:val="single" w:sz="4" w:space="0" w:color="auto"/>
                    <w:left w:val="single" w:sz="4" w:space="0" w:color="auto"/>
                    <w:bottom w:val="single" w:sz="4" w:space="0" w:color="auto"/>
                    <w:right w:val="single" w:sz="4" w:space="0" w:color="auto"/>
                  </w:tcBorders>
                  <w:vAlign w:val="center"/>
                </w:tcPr>
                <w:p w14:paraId="474492C5" w14:textId="77777777" w:rsidR="00F76A63" w:rsidRDefault="00000000">
                  <w:pPr>
                    <w:adjustRightInd w:val="0"/>
                    <w:snapToGrid w:val="0"/>
                    <w:jc w:val="center"/>
                    <w:rPr>
                      <w:sz w:val="18"/>
                      <w:szCs w:val="18"/>
                    </w:rPr>
                  </w:pPr>
                  <w:r>
                    <w:rPr>
                      <w:sz w:val="18"/>
                      <w:szCs w:val="18"/>
                    </w:rPr>
                    <w:t>3.63</w:t>
                  </w:r>
                </w:p>
              </w:tc>
              <w:tc>
                <w:tcPr>
                  <w:tcW w:w="707" w:type="pct"/>
                  <w:tcBorders>
                    <w:top w:val="single" w:sz="4" w:space="0" w:color="auto"/>
                    <w:left w:val="single" w:sz="4" w:space="0" w:color="auto"/>
                    <w:bottom w:val="single" w:sz="4" w:space="0" w:color="auto"/>
                    <w:right w:val="single" w:sz="4" w:space="0" w:color="auto"/>
                  </w:tcBorders>
                  <w:vAlign w:val="center"/>
                </w:tcPr>
                <w:p w14:paraId="2CBF637D" w14:textId="77777777" w:rsidR="00F76A63" w:rsidRDefault="00000000">
                  <w:pPr>
                    <w:adjustRightInd w:val="0"/>
                    <w:snapToGrid w:val="0"/>
                    <w:jc w:val="center"/>
                    <w:rPr>
                      <w:sz w:val="18"/>
                      <w:szCs w:val="18"/>
                    </w:rPr>
                  </w:pPr>
                  <w:r>
                    <w:rPr>
                      <w:sz w:val="18"/>
                      <w:szCs w:val="18"/>
                    </w:rPr>
                    <w:t>34.73</w:t>
                  </w:r>
                </w:p>
              </w:tc>
              <w:tc>
                <w:tcPr>
                  <w:tcW w:w="504" w:type="pct"/>
                  <w:vMerge w:val="restart"/>
                  <w:tcBorders>
                    <w:top w:val="single" w:sz="4" w:space="0" w:color="auto"/>
                    <w:left w:val="single" w:sz="4" w:space="0" w:color="auto"/>
                    <w:right w:val="nil"/>
                  </w:tcBorders>
                  <w:vAlign w:val="center"/>
                </w:tcPr>
                <w:p w14:paraId="455876AB" w14:textId="77777777" w:rsidR="00F76A63" w:rsidRDefault="00000000">
                  <w:pPr>
                    <w:adjustRightInd w:val="0"/>
                    <w:snapToGrid w:val="0"/>
                    <w:jc w:val="center"/>
                    <w:rPr>
                      <w:sz w:val="18"/>
                      <w:szCs w:val="18"/>
                    </w:rPr>
                  </w:pPr>
                  <w:r>
                    <w:rPr>
                      <w:sz w:val="18"/>
                      <w:szCs w:val="18"/>
                    </w:rPr>
                    <w:t>/</w:t>
                  </w:r>
                </w:p>
              </w:tc>
            </w:tr>
            <w:tr w:rsidR="00F76A63" w14:paraId="0D75DC66" w14:textId="77777777">
              <w:trPr>
                <w:trHeight w:val="340"/>
                <w:jc w:val="center"/>
              </w:trPr>
              <w:tc>
                <w:tcPr>
                  <w:tcW w:w="422" w:type="pct"/>
                  <w:vMerge/>
                  <w:tcBorders>
                    <w:left w:val="nil"/>
                    <w:right w:val="single" w:sz="4" w:space="0" w:color="auto"/>
                  </w:tcBorders>
                  <w:vAlign w:val="center"/>
                </w:tcPr>
                <w:p w14:paraId="7C6ECA9C"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415FBE87"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111D24A0"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612D0F7"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3AE7481B" w14:textId="77777777" w:rsidR="00F76A63" w:rsidRDefault="00000000">
                  <w:pPr>
                    <w:adjustRightInd w:val="0"/>
                    <w:snapToGrid w:val="0"/>
                    <w:jc w:val="center"/>
                    <w:rPr>
                      <w:sz w:val="18"/>
                      <w:szCs w:val="18"/>
                    </w:rPr>
                  </w:pPr>
                  <w:r>
                    <w:rPr>
                      <w:sz w:val="18"/>
                      <w:szCs w:val="18"/>
                    </w:rPr>
                    <w:t>2.12</w:t>
                  </w:r>
                </w:p>
              </w:tc>
              <w:tc>
                <w:tcPr>
                  <w:tcW w:w="668" w:type="pct"/>
                  <w:tcBorders>
                    <w:top w:val="single" w:sz="4" w:space="0" w:color="auto"/>
                    <w:left w:val="single" w:sz="4" w:space="0" w:color="auto"/>
                    <w:bottom w:val="single" w:sz="4" w:space="0" w:color="auto"/>
                    <w:right w:val="single" w:sz="4" w:space="0" w:color="auto"/>
                  </w:tcBorders>
                  <w:vAlign w:val="center"/>
                </w:tcPr>
                <w:p w14:paraId="55C60C5F" w14:textId="77777777" w:rsidR="00F76A63" w:rsidRDefault="00000000">
                  <w:pPr>
                    <w:adjustRightInd w:val="0"/>
                    <w:snapToGrid w:val="0"/>
                    <w:jc w:val="center"/>
                    <w:rPr>
                      <w:sz w:val="18"/>
                      <w:szCs w:val="18"/>
                    </w:rPr>
                  </w:pPr>
                  <w:r>
                    <w:rPr>
                      <w:sz w:val="18"/>
                      <w:szCs w:val="18"/>
                    </w:rPr>
                    <w:t>30.48</w:t>
                  </w:r>
                </w:p>
              </w:tc>
              <w:tc>
                <w:tcPr>
                  <w:tcW w:w="707" w:type="pct"/>
                  <w:tcBorders>
                    <w:top w:val="single" w:sz="4" w:space="0" w:color="auto"/>
                    <w:left w:val="single" w:sz="4" w:space="0" w:color="auto"/>
                    <w:bottom w:val="single" w:sz="4" w:space="0" w:color="auto"/>
                    <w:right w:val="single" w:sz="4" w:space="0" w:color="auto"/>
                  </w:tcBorders>
                  <w:vAlign w:val="center"/>
                </w:tcPr>
                <w:p w14:paraId="29D58D2D" w14:textId="77777777" w:rsidR="00F76A63" w:rsidRDefault="00000000">
                  <w:pPr>
                    <w:adjustRightInd w:val="0"/>
                    <w:snapToGrid w:val="0"/>
                    <w:jc w:val="center"/>
                    <w:rPr>
                      <w:sz w:val="18"/>
                      <w:szCs w:val="18"/>
                    </w:rPr>
                  </w:pPr>
                  <w:r>
                    <w:rPr>
                      <w:sz w:val="18"/>
                      <w:szCs w:val="18"/>
                    </w:rPr>
                    <w:t>49.97</w:t>
                  </w:r>
                </w:p>
              </w:tc>
              <w:tc>
                <w:tcPr>
                  <w:tcW w:w="504" w:type="pct"/>
                  <w:vMerge/>
                  <w:tcBorders>
                    <w:left w:val="single" w:sz="4" w:space="0" w:color="auto"/>
                    <w:right w:val="nil"/>
                  </w:tcBorders>
                  <w:vAlign w:val="center"/>
                </w:tcPr>
                <w:p w14:paraId="0095CA13" w14:textId="77777777" w:rsidR="00F76A63" w:rsidRDefault="00F76A63">
                  <w:pPr>
                    <w:adjustRightInd w:val="0"/>
                    <w:snapToGrid w:val="0"/>
                    <w:jc w:val="center"/>
                    <w:rPr>
                      <w:sz w:val="18"/>
                      <w:szCs w:val="18"/>
                    </w:rPr>
                  </w:pPr>
                </w:p>
              </w:tc>
            </w:tr>
            <w:tr w:rsidR="00F76A63" w14:paraId="429DEFDE" w14:textId="77777777">
              <w:trPr>
                <w:trHeight w:val="340"/>
                <w:jc w:val="center"/>
              </w:trPr>
              <w:tc>
                <w:tcPr>
                  <w:tcW w:w="422" w:type="pct"/>
                  <w:vMerge/>
                  <w:tcBorders>
                    <w:left w:val="nil"/>
                    <w:right w:val="single" w:sz="4" w:space="0" w:color="auto"/>
                  </w:tcBorders>
                  <w:vAlign w:val="center"/>
                </w:tcPr>
                <w:p w14:paraId="7D94EFF2"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55C619C6"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2BD7B718" w14:textId="77777777" w:rsidR="00F76A63" w:rsidRDefault="00F76A63">
                  <w:pPr>
                    <w:widowControl/>
                    <w:jc w:val="center"/>
                    <w:rPr>
                      <w:kern w:val="0"/>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D97D85B"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553DD39" w14:textId="77777777" w:rsidR="00F76A63" w:rsidRDefault="00000000">
                  <w:pPr>
                    <w:adjustRightInd w:val="0"/>
                    <w:snapToGrid w:val="0"/>
                    <w:jc w:val="center"/>
                    <w:rPr>
                      <w:sz w:val="18"/>
                      <w:szCs w:val="18"/>
                    </w:rPr>
                  </w:pPr>
                  <w:r>
                    <w:rPr>
                      <w:rFonts w:hint="eastAsia"/>
                      <w:sz w:val="18"/>
                      <w:szCs w:val="18"/>
                    </w:rPr>
                    <w:t>0.469</w:t>
                  </w:r>
                </w:p>
              </w:tc>
              <w:tc>
                <w:tcPr>
                  <w:tcW w:w="668" w:type="pct"/>
                  <w:tcBorders>
                    <w:top w:val="single" w:sz="4" w:space="0" w:color="auto"/>
                    <w:left w:val="single" w:sz="4" w:space="0" w:color="auto"/>
                    <w:bottom w:val="single" w:sz="4" w:space="0" w:color="auto"/>
                    <w:right w:val="single" w:sz="4" w:space="0" w:color="auto"/>
                  </w:tcBorders>
                  <w:vAlign w:val="center"/>
                </w:tcPr>
                <w:p w14:paraId="4D5A9618" w14:textId="77777777" w:rsidR="00F76A63" w:rsidRDefault="00000000">
                  <w:pPr>
                    <w:adjustRightInd w:val="0"/>
                    <w:snapToGrid w:val="0"/>
                    <w:jc w:val="center"/>
                    <w:rPr>
                      <w:sz w:val="18"/>
                      <w:szCs w:val="18"/>
                    </w:rPr>
                  </w:pPr>
                  <w:r>
                    <w:rPr>
                      <w:rFonts w:hint="eastAsia"/>
                      <w:sz w:val="18"/>
                      <w:szCs w:val="18"/>
                    </w:rPr>
                    <w:t>0.743</w:t>
                  </w:r>
                </w:p>
              </w:tc>
              <w:tc>
                <w:tcPr>
                  <w:tcW w:w="707" w:type="pct"/>
                  <w:tcBorders>
                    <w:top w:val="single" w:sz="4" w:space="0" w:color="auto"/>
                    <w:left w:val="single" w:sz="4" w:space="0" w:color="auto"/>
                    <w:bottom w:val="single" w:sz="4" w:space="0" w:color="auto"/>
                    <w:right w:val="single" w:sz="4" w:space="0" w:color="auto"/>
                  </w:tcBorders>
                  <w:vAlign w:val="center"/>
                </w:tcPr>
                <w:p w14:paraId="273CEE03" w14:textId="77777777" w:rsidR="00F76A63" w:rsidRDefault="00000000">
                  <w:pPr>
                    <w:adjustRightInd w:val="0"/>
                    <w:snapToGrid w:val="0"/>
                    <w:jc w:val="center"/>
                    <w:rPr>
                      <w:sz w:val="18"/>
                      <w:szCs w:val="18"/>
                    </w:rPr>
                  </w:pPr>
                  <w:r>
                    <w:rPr>
                      <w:rFonts w:hint="eastAsia"/>
                      <w:sz w:val="18"/>
                      <w:szCs w:val="18"/>
                    </w:rPr>
                    <w:t>10.432</w:t>
                  </w:r>
                </w:p>
              </w:tc>
              <w:tc>
                <w:tcPr>
                  <w:tcW w:w="504" w:type="pct"/>
                  <w:vMerge/>
                  <w:tcBorders>
                    <w:left w:val="single" w:sz="4" w:space="0" w:color="auto"/>
                    <w:bottom w:val="single" w:sz="4" w:space="0" w:color="auto"/>
                    <w:right w:val="nil"/>
                  </w:tcBorders>
                  <w:vAlign w:val="center"/>
                </w:tcPr>
                <w:p w14:paraId="6783B404" w14:textId="77777777" w:rsidR="00F76A63" w:rsidRDefault="00F76A63">
                  <w:pPr>
                    <w:adjustRightInd w:val="0"/>
                    <w:snapToGrid w:val="0"/>
                    <w:jc w:val="center"/>
                    <w:rPr>
                      <w:sz w:val="18"/>
                      <w:szCs w:val="18"/>
                    </w:rPr>
                  </w:pPr>
                </w:p>
              </w:tc>
            </w:tr>
            <w:tr w:rsidR="00F76A63" w14:paraId="4A1BF83B" w14:textId="77777777">
              <w:trPr>
                <w:trHeight w:val="340"/>
                <w:jc w:val="center"/>
              </w:trPr>
              <w:tc>
                <w:tcPr>
                  <w:tcW w:w="422" w:type="pct"/>
                  <w:vMerge/>
                  <w:tcBorders>
                    <w:left w:val="nil"/>
                    <w:right w:val="single" w:sz="4" w:space="0" w:color="auto"/>
                  </w:tcBorders>
                  <w:vAlign w:val="center"/>
                </w:tcPr>
                <w:p w14:paraId="4007FF80"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0DE1A1E7" w14:textId="77777777" w:rsidR="00F76A63" w:rsidRDefault="00000000">
                  <w:pPr>
                    <w:adjustRightInd w:val="0"/>
                    <w:snapToGrid w:val="0"/>
                    <w:jc w:val="center"/>
                    <w:rPr>
                      <w:sz w:val="18"/>
                      <w:szCs w:val="18"/>
                    </w:rPr>
                  </w:pPr>
                  <w:r>
                    <w:rPr>
                      <w:sz w:val="18"/>
                      <w:szCs w:val="18"/>
                    </w:rPr>
                    <w:t>202407</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240CCA93" w14:textId="77777777" w:rsidR="00F76A63" w:rsidRDefault="00000000">
                  <w:pPr>
                    <w:widowControl/>
                    <w:jc w:val="center"/>
                    <w:rPr>
                      <w:kern w:val="0"/>
                      <w:sz w:val="18"/>
                      <w:szCs w:val="18"/>
                    </w:rPr>
                  </w:pPr>
                  <w:r>
                    <w:rPr>
                      <w:kern w:val="0"/>
                      <w:sz w:val="18"/>
                      <w:szCs w:val="18"/>
                    </w:rPr>
                    <w:t>506015.33</w:t>
                  </w:r>
                </w:p>
              </w:tc>
              <w:tc>
                <w:tcPr>
                  <w:tcW w:w="546" w:type="pct"/>
                  <w:tcBorders>
                    <w:top w:val="single" w:sz="4" w:space="0" w:color="auto"/>
                    <w:left w:val="single" w:sz="4" w:space="0" w:color="auto"/>
                    <w:bottom w:val="single" w:sz="4" w:space="0" w:color="auto"/>
                    <w:right w:val="single" w:sz="4" w:space="0" w:color="auto"/>
                  </w:tcBorders>
                  <w:vAlign w:val="center"/>
                </w:tcPr>
                <w:p w14:paraId="19C430F6"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169712C1" w14:textId="77777777" w:rsidR="00F76A63" w:rsidRDefault="00000000">
                  <w:pPr>
                    <w:adjustRightInd w:val="0"/>
                    <w:snapToGrid w:val="0"/>
                    <w:jc w:val="center"/>
                    <w:rPr>
                      <w:sz w:val="18"/>
                      <w:szCs w:val="18"/>
                    </w:rPr>
                  </w:pPr>
                  <w:r>
                    <w:rPr>
                      <w:sz w:val="18"/>
                      <w:szCs w:val="18"/>
                    </w:rPr>
                    <w:t>2.51</w:t>
                  </w:r>
                </w:p>
              </w:tc>
              <w:tc>
                <w:tcPr>
                  <w:tcW w:w="668" w:type="pct"/>
                  <w:tcBorders>
                    <w:top w:val="single" w:sz="4" w:space="0" w:color="auto"/>
                    <w:left w:val="single" w:sz="4" w:space="0" w:color="auto"/>
                    <w:bottom w:val="single" w:sz="4" w:space="0" w:color="auto"/>
                    <w:right w:val="single" w:sz="4" w:space="0" w:color="auto"/>
                  </w:tcBorders>
                  <w:vAlign w:val="center"/>
                </w:tcPr>
                <w:p w14:paraId="3CB7313B" w14:textId="77777777" w:rsidR="00F76A63" w:rsidRDefault="00000000">
                  <w:pPr>
                    <w:adjustRightInd w:val="0"/>
                    <w:snapToGrid w:val="0"/>
                    <w:jc w:val="center"/>
                    <w:rPr>
                      <w:sz w:val="18"/>
                      <w:szCs w:val="18"/>
                    </w:rPr>
                  </w:pPr>
                  <w:r>
                    <w:rPr>
                      <w:sz w:val="18"/>
                      <w:szCs w:val="18"/>
                    </w:rPr>
                    <w:t>3.27</w:t>
                  </w:r>
                </w:p>
              </w:tc>
              <w:tc>
                <w:tcPr>
                  <w:tcW w:w="707" w:type="pct"/>
                  <w:tcBorders>
                    <w:top w:val="single" w:sz="4" w:space="0" w:color="auto"/>
                    <w:left w:val="single" w:sz="4" w:space="0" w:color="auto"/>
                    <w:bottom w:val="single" w:sz="4" w:space="0" w:color="auto"/>
                    <w:right w:val="single" w:sz="4" w:space="0" w:color="auto"/>
                  </w:tcBorders>
                  <w:vAlign w:val="center"/>
                </w:tcPr>
                <w:p w14:paraId="5AE88A56" w14:textId="77777777" w:rsidR="00F76A63" w:rsidRDefault="00000000">
                  <w:pPr>
                    <w:adjustRightInd w:val="0"/>
                    <w:snapToGrid w:val="0"/>
                    <w:jc w:val="center"/>
                    <w:rPr>
                      <w:sz w:val="18"/>
                      <w:szCs w:val="18"/>
                    </w:rPr>
                  </w:pPr>
                  <w:r>
                    <w:rPr>
                      <w:sz w:val="18"/>
                      <w:szCs w:val="18"/>
                    </w:rPr>
                    <w:t>32.71</w:t>
                  </w:r>
                </w:p>
              </w:tc>
              <w:tc>
                <w:tcPr>
                  <w:tcW w:w="504" w:type="pct"/>
                  <w:vMerge w:val="restart"/>
                  <w:tcBorders>
                    <w:top w:val="single" w:sz="4" w:space="0" w:color="auto"/>
                    <w:left w:val="single" w:sz="4" w:space="0" w:color="auto"/>
                    <w:bottom w:val="single" w:sz="4" w:space="0" w:color="auto"/>
                    <w:right w:val="nil"/>
                  </w:tcBorders>
                  <w:vAlign w:val="center"/>
                </w:tcPr>
                <w:p w14:paraId="260FE048" w14:textId="77777777" w:rsidR="00F76A63" w:rsidRDefault="00000000">
                  <w:pPr>
                    <w:adjustRightInd w:val="0"/>
                    <w:snapToGrid w:val="0"/>
                    <w:jc w:val="center"/>
                    <w:rPr>
                      <w:sz w:val="18"/>
                      <w:szCs w:val="18"/>
                    </w:rPr>
                  </w:pPr>
                  <w:r>
                    <w:rPr>
                      <w:sz w:val="18"/>
                      <w:szCs w:val="18"/>
                    </w:rPr>
                    <w:t>/</w:t>
                  </w:r>
                </w:p>
              </w:tc>
            </w:tr>
            <w:tr w:rsidR="00F76A63" w14:paraId="7497296A" w14:textId="77777777">
              <w:trPr>
                <w:trHeight w:val="340"/>
                <w:jc w:val="center"/>
              </w:trPr>
              <w:tc>
                <w:tcPr>
                  <w:tcW w:w="422" w:type="pct"/>
                  <w:vMerge/>
                  <w:tcBorders>
                    <w:left w:val="nil"/>
                    <w:right w:val="single" w:sz="4" w:space="0" w:color="auto"/>
                  </w:tcBorders>
                  <w:vAlign w:val="center"/>
                </w:tcPr>
                <w:p w14:paraId="2E0ED39D"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09D90242"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653857BF"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D8B15F3"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1BD5E3C5" w14:textId="77777777" w:rsidR="00F76A63" w:rsidRDefault="00000000">
                  <w:pPr>
                    <w:adjustRightInd w:val="0"/>
                    <w:snapToGrid w:val="0"/>
                    <w:jc w:val="center"/>
                    <w:rPr>
                      <w:sz w:val="18"/>
                      <w:szCs w:val="18"/>
                    </w:rPr>
                  </w:pPr>
                  <w:r>
                    <w:rPr>
                      <w:sz w:val="18"/>
                      <w:szCs w:val="18"/>
                    </w:rPr>
                    <w:t>5.36</w:t>
                  </w:r>
                </w:p>
              </w:tc>
              <w:tc>
                <w:tcPr>
                  <w:tcW w:w="668" w:type="pct"/>
                  <w:tcBorders>
                    <w:top w:val="single" w:sz="4" w:space="0" w:color="auto"/>
                    <w:left w:val="single" w:sz="4" w:space="0" w:color="auto"/>
                    <w:bottom w:val="single" w:sz="4" w:space="0" w:color="auto"/>
                    <w:right w:val="single" w:sz="4" w:space="0" w:color="auto"/>
                  </w:tcBorders>
                  <w:vAlign w:val="center"/>
                </w:tcPr>
                <w:p w14:paraId="778FC3E5" w14:textId="77777777" w:rsidR="00F76A63" w:rsidRDefault="00000000">
                  <w:pPr>
                    <w:adjustRightInd w:val="0"/>
                    <w:snapToGrid w:val="0"/>
                    <w:jc w:val="center"/>
                    <w:rPr>
                      <w:sz w:val="18"/>
                      <w:szCs w:val="18"/>
                    </w:rPr>
                  </w:pPr>
                  <w:r>
                    <w:rPr>
                      <w:sz w:val="18"/>
                      <w:szCs w:val="18"/>
                    </w:rPr>
                    <w:t>10.05</w:t>
                  </w:r>
                </w:p>
              </w:tc>
              <w:tc>
                <w:tcPr>
                  <w:tcW w:w="707" w:type="pct"/>
                  <w:tcBorders>
                    <w:top w:val="single" w:sz="4" w:space="0" w:color="auto"/>
                    <w:left w:val="single" w:sz="4" w:space="0" w:color="auto"/>
                    <w:bottom w:val="single" w:sz="4" w:space="0" w:color="auto"/>
                    <w:right w:val="single" w:sz="4" w:space="0" w:color="auto"/>
                  </w:tcBorders>
                  <w:vAlign w:val="center"/>
                </w:tcPr>
                <w:p w14:paraId="615B2565" w14:textId="77777777" w:rsidR="00F76A63" w:rsidRDefault="00000000">
                  <w:pPr>
                    <w:adjustRightInd w:val="0"/>
                    <w:snapToGrid w:val="0"/>
                    <w:jc w:val="center"/>
                    <w:rPr>
                      <w:sz w:val="18"/>
                      <w:szCs w:val="18"/>
                    </w:rPr>
                  </w:pPr>
                  <w:r>
                    <w:rPr>
                      <w:sz w:val="18"/>
                      <w:szCs w:val="18"/>
                    </w:rPr>
                    <w:t>41.17</w:t>
                  </w:r>
                </w:p>
              </w:tc>
              <w:tc>
                <w:tcPr>
                  <w:tcW w:w="504" w:type="pct"/>
                  <w:vMerge/>
                  <w:tcBorders>
                    <w:top w:val="single" w:sz="4" w:space="0" w:color="auto"/>
                    <w:left w:val="single" w:sz="4" w:space="0" w:color="auto"/>
                    <w:bottom w:val="single" w:sz="4" w:space="0" w:color="auto"/>
                    <w:right w:val="nil"/>
                  </w:tcBorders>
                  <w:vAlign w:val="center"/>
                </w:tcPr>
                <w:p w14:paraId="00B6819E" w14:textId="77777777" w:rsidR="00F76A63" w:rsidRDefault="00F76A63">
                  <w:pPr>
                    <w:adjustRightInd w:val="0"/>
                    <w:snapToGrid w:val="0"/>
                    <w:jc w:val="center"/>
                    <w:rPr>
                      <w:sz w:val="18"/>
                      <w:szCs w:val="18"/>
                    </w:rPr>
                  </w:pPr>
                </w:p>
              </w:tc>
            </w:tr>
            <w:tr w:rsidR="00F76A63" w14:paraId="1F39B629" w14:textId="77777777">
              <w:trPr>
                <w:trHeight w:val="340"/>
                <w:jc w:val="center"/>
              </w:trPr>
              <w:tc>
                <w:tcPr>
                  <w:tcW w:w="422" w:type="pct"/>
                  <w:vMerge/>
                  <w:tcBorders>
                    <w:left w:val="nil"/>
                    <w:right w:val="single" w:sz="4" w:space="0" w:color="auto"/>
                  </w:tcBorders>
                  <w:vAlign w:val="center"/>
                </w:tcPr>
                <w:p w14:paraId="661CCF5A"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7A4BA135"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2747593"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8CF640B"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73DB318" w14:textId="77777777" w:rsidR="00F76A63" w:rsidRDefault="00000000">
                  <w:pPr>
                    <w:adjustRightInd w:val="0"/>
                    <w:snapToGrid w:val="0"/>
                    <w:jc w:val="center"/>
                    <w:rPr>
                      <w:sz w:val="18"/>
                      <w:szCs w:val="18"/>
                    </w:rPr>
                  </w:pPr>
                  <w:r>
                    <w:rPr>
                      <w:sz w:val="18"/>
                      <w:szCs w:val="18"/>
                    </w:rPr>
                    <w:t>0.74</w:t>
                  </w:r>
                </w:p>
              </w:tc>
              <w:tc>
                <w:tcPr>
                  <w:tcW w:w="668" w:type="pct"/>
                  <w:tcBorders>
                    <w:top w:val="single" w:sz="4" w:space="0" w:color="auto"/>
                    <w:left w:val="single" w:sz="4" w:space="0" w:color="auto"/>
                    <w:bottom w:val="single" w:sz="4" w:space="0" w:color="auto"/>
                    <w:right w:val="single" w:sz="4" w:space="0" w:color="auto"/>
                  </w:tcBorders>
                  <w:vAlign w:val="center"/>
                </w:tcPr>
                <w:p w14:paraId="350C62EE" w14:textId="77777777" w:rsidR="00F76A63" w:rsidRDefault="00000000">
                  <w:pPr>
                    <w:adjustRightInd w:val="0"/>
                    <w:snapToGrid w:val="0"/>
                    <w:jc w:val="center"/>
                    <w:rPr>
                      <w:sz w:val="18"/>
                      <w:szCs w:val="18"/>
                    </w:rPr>
                  </w:pPr>
                  <w:r>
                    <w:rPr>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373C1BAE" w14:textId="77777777" w:rsidR="00F76A63" w:rsidRDefault="00000000">
                  <w:pPr>
                    <w:adjustRightInd w:val="0"/>
                    <w:snapToGrid w:val="0"/>
                    <w:jc w:val="center"/>
                    <w:rPr>
                      <w:sz w:val="18"/>
                      <w:szCs w:val="18"/>
                    </w:rPr>
                  </w:pPr>
                  <w:r>
                    <w:rPr>
                      <w:sz w:val="18"/>
                      <w:szCs w:val="18"/>
                    </w:rPr>
                    <w:t>0.11</w:t>
                  </w:r>
                </w:p>
              </w:tc>
              <w:tc>
                <w:tcPr>
                  <w:tcW w:w="504" w:type="pct"/>
                  <w:vMerge/>
                  <w:tcBorders>
                    <w:top w:val="single" w:sz="4" w:space="0" w:color="auto"/>
                    <w:left w:val="single" w:sz="4" w:space="0" w:color="auto"/>
                    <w:bottom w:val="single" w:sz="4" w:space="0" w:color="auto"/>
                    <w:right w:val="nil"/>
                  </w:tcBorders>
                  <w:vAlign w:val="center"/>
                </w:tcPr>
                <w:p w14:paraId="17FEA62C" w14:textId="77777777" w:rsidR="00F76A63" w:rsidRDefault="00F76A63">
                  <w:pPr>
                    <w:adjustRightInd w:val="0"/>
                    <w:snapToGrid w:val="0"/>
                    <w:jc w:val="center"/>
                    <w:rPr>
                      <w:sz w:val="18"/>
                      <w:szCs w:val="18"/>
                    </w:rPr>
                  </w:pPr>
                </w:p>
              </w:tc>
            </w:tr>
            <w:tr w:rsidR="00F76A63" w14:paraId="3CC81D3F" w14:textId="77777777">
              <w:trPr>
                <w:trHeight w:val="340"/>
                <w:jc w:val="center"/>
              </w:trPr>
              <w:tc>
                <w:tcPr>
                  <w:tcW w:w="422" w:type="pct"/>
                  <w:vMerge/>
                  <w:tcBorders>
                    <w:left w:val="nil"/>
                    <w:right w:val="single" w:sz="4" w:space="0" w:color="auto"/>
                  </w:tcBorders>
                  <w:vAlign w:val="center"/>
                </w:tcPr>
                <w:p w14:paraId="040E0403"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28BC94A6" w14:textId="77777777" w:rsidR="00F76A63" w:rsidRDefault="00000000">
                  <w:pPr>
                    <w:adjustRightInd w:val="0"/>
                    <w:snapToGrid w:val="0"/>
                    <w:jc w:val="center"/>
                    <w:rPr>
                      <w:sz w:val="18"/>
                      <w:szCs w:val="18"/>
                    </w:rPr>
                  </w:pPr>
                  <w:r>
                    <w:rPr>
                      <w:sz w:val="18"/>
                      <w:szCs w:val="18"/>
                    </w:rPr>
                    <w:t>202408</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659F6890" w14:textId="77777777" w:rsidR="00F76A63" w:rsidRDefault="00000000">
                  <w:pPr>
                    <w:widowControl/>
                    <w:jc w:val="center"/>
                    <w:rPr>
                      <w:kern w:val="0"/>
                      <w:sz w:val="18"/>
                      <w:szCs w:val="18"/>
                    </w:rPr>
                  </w:pPr>
                  <w:r>
                    <w:rPr>
                      <w:kern w:val="0"/>
                      <w:sz w:val="18"/>
                      <w:szCs w:val="18"/>
                    </w:rPr>
                    <w:t>433901.94</w:t>
                  </w:r>
                </w:p>
              </w:tc>
              <w:tc>
                <w:tcPr>
                  <w:tcW w:w="546" w:type="pct"/>
                  <w:tcBorders>
                    <w:top w:val="single" w:sz="4" w:space="0" w:color="auto"/>
                    <w:left w:val="single" w:sz="4" w:space="0" w:color="auto"/>
                    <w:bottom w:val="single" w:sz="4" w:space="0" w:color="auto"/>
                    <w:right w:val="single" w:sz="4" w:space="0" w:color="auto"/>
                  </w:tcBorders>
                  <w:vAlign w:val="center"/>
                </w:tcPr>
                <w:p w14:paraId="2F7B485C"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793C86A" w14:textId="77777777" w:rsidR="00F76A63" w:rsidRDefault="00000000">
                  <w:pPr>
                    <w:adjustRightInd w:val="0"/>
                    <w:snapToGrid w:val="0"/>
                    <w:jc w:val="center"/>
                    <w:rPr>
                      <w:sz w:val="18"/>
                      <w:szCs w:val="18"/>
                    </w:rPr>
                  </w:pPr>
                  <w:r>
                    <w:rPr>
                      <w:sz w:val="18"/>
                      <w:szCs w:val="18"/>
                    </w:rPr>
                    <w:t>1.27</w:t>
                  </w:r>
                </w:p>
              </w:tc>
              <w:tc>
                <w:tcPr>
                  <w:tcW w:w="668" w:type="pct"/>
                  <w:tcBorders>
                    <w:top w:val="single" w:sz="4" w:space="0" w:color="auto"/>
                    <w:left w:val="single" w:sz="4" w:space="0" w:color="auto"/>
                    <w:bottom w:val="single" w:sz="4" w:space="0" w:color="auto"/>
                    <w:right w:val="single" w:sz="4" w:space="0" w:color="auto"/>
                  </w:tcBorders>
                  <w:vAlign w:val="center"/>
                </w:tcPr>
                <w:p w14:paraId="6B7C5FEC" w14:textId="77777777" w:rsidR="00F76A63" w:rsidRDefault="00000000">
                  <w:pPr>
                    <w:adjustRightInd w:val="0"/>
                    <w:snapToGrid w:val="0"/>
                    <w:jc w:val="center"/>
                    <w:rPr>
                      <w:sz w:val="18"/>
                      <w:szCs w:val="18"/>
                    </w:rPr>
                  </w:pPr>
                  <w:r>
                    <w:rPr>
                      <w:sz w:val="18"/>
                      <w:szCs w:val="18"/>
                    </w:rPr>
                    <w:t>4.52</w:t>
                  </w:r>
                </w:p>
              </w:tc>
              <w:tc>
                <w:tcPr>
                  <w:tcW w:w="707" w:type="pct"/>
                  <w:tcBorders>
                    <w:top w:val="single" w:sz="4" w:space="0" w:color="auto"/>
                    <w:left w:val="single" w:sz="4" w:space="0" w:color="auto"/>
                    <w:bottom w:val="single" w:sz="4" w:space="0" w:color="auto"/>
                    <w:right w:val="single" w:sz="4" w:space="0" w:color="auto"/>
                  </w:tcBorders>
                  <w:vAlign w:val="center"/>
                </w:tcPr>
                <w:p w14:paraId="1D78E3A3" w14:textId="77777777" w:rsidR="00F76A63" w:rsidRDefault="00000000">
                  <w:pPr>
                    <w:adjustRightInd w:val="0"/>
                    <w:snapToGrid w:val="0"/>
                    <w:jc w:val="center"/>
                    <w:rPr>
                      <w:sz w:val="18"/>
                      <w:szCs w:val="18"/>
                    </w:rPr>
                  </w:pPr>
                  <w:r>
                    <w:rPr>
                      <w:sz w:val="18"/>
                      <w:szCs w:val="18"/>
                    </w:rPr>
                    <w:t>29.6</w:t>
                  </w:r>
                </w:p>
              </w:tc>
              <w:tc>
                <w:tcPr>
                  <w:tcW w:w="504" w:type="pct"/>
                  <w:vMerge w:val="restart"/>
                  <w:tcBorders>
                    <w:top w:val="single" w:sz="4" w:space="0" w:color="auto"/>
                    <w:left w:val="single" w:sz="4" w:space="0" w:color="auto"/>
                    <w:bottom w:val="single" w:sz="4" w:space="0" w:color="auto"/>
                    <w:right w:val="nil"/>
                  </w:tcBorders>
                  <w:vAlign w:val="center"/>
                </w:tcPr>
                <w:p w14:paraId="41C1A447" w14:textId="77777777" w:rsidR="00F76A63" w:rsidRDefault="00000000">
                  <w:pPr>
                    <w:adjustRightInd w:val="0"/>
                    <w:snapToGrid w:val="0"/>
                    <w:jc w:val="center"/>
                    <w:rPr>
                      <w:sz w:val="18"/>
                      <w:szCs w:val="18"/>
                    </w:rPr>
                  </w:pPr>
                  <w:r>
                    <w:rPr>
                      <w:sz w:val="18"/>
                      <w:szCs w:val="18"/>
                    </w:rPr>
                    <w:t>/</w:t>
                  </w:r>
                </w:p>
              </w:tc>
            </w:tr>
            <w:tr w:rsidR="00F76A63" w14:paraId="7A65AD25" w14:textId="77777777">
              <w:trPr>
                <w:trHeight w:val="340"/>
                <w:jc w:val="center"/>
              </w:trPr>
              <w:tc>
                <w:tcPr>
                  <w:tcW w:w="422" w:type="pct"/>
                  <w:vMerge/>
                  <w:tcBorders>
                    <w:left w:val="nil"/>
                    <w:right w:val="single" w:sz="4" w:space="0" w:color="auto"/>
                  </w:tcBorders>
                  <w:vAlign w:val="center"/>
                </w:tcPr>
                <w:p w14:paraId="6416D17A"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A6F1C1F"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7396B331"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7654826"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038DC2A2" w14:textId="77777777" w:rsidR="00F76A63" w:rsidRDefault="00000000">
                  <w:pPr>
                    <w:adjustRightInd w:val="0"/>
                    <w:snapToGrid w:val="0"/>
                    <w:jc w:val="center"/>
                    <w:rPr>
                      <w:sz w:val="18"/>
                      <w:szCs w:val="18"/>
                    </w:rPr>
                  </w:pPr>
                  <w:r>
                    <w:rPr>
                      <w:sz w:val="18"/>
                      <w:szCs w:val="18"/>
                    </w:rPr>
                    <w:t>1.67</w:t>
                  </w:r>
                </w:p>
              </w:tc>
              <w:tc>
                <w:tcPr>
                  <w:tcW w:w="668" w:type="pct"/>
                  <w:tcBorders>
                    <w:top w:val="single" w:sz="4" w:space="0" w:color="auto"/>
                    <w:left w:val="single" w:sz="4" w:space="0" w:color="auto"/>
                    <w:bottom w:val="single" w:sz="4" w:space="0" w:color="auto"/>
                    <w:right w:val="single" w:sz="4" w:space="0" w:color="auto"/>
                  </w:tcBorders>
                  <w:vAlign w:val="center"/>
                </w:tcPr>
                <w:p w14:paraId="707078D2" w14:textId="77777777" w:rsidR="00F76A63" w:rsidRDefault="00000000">
                  <w:pPr>
                    <w:adjustRightInd w:val="0"/>
                    <w:snapToGrid w:val="0"/>
                    <w:jc w:val="center"/>
                    <w:rPr>
                      <w:sz w:val="18"/>
                      <w:szCs w:val="18"/>
                    </w:rPr>
                  </w:pPr>
                  <w:r>
                    <w:rPr>
                      <w:sz w:val="18"/>
                      <w:szCs w:val="18"/>
                    </w:rPr>
                    <w:t>13.24</w:t>
                  </w:r>
                </w:p>
              </w:tc>
              <w:tc>
                <w:tcPr>
                  <w:tcW w:w="707" w:type="pct"/>
                  <w:tcBorders>
                    <w:top w:val="single" w:sz="4" w:space="0" w:color="auto"/>
                    <w:left w:val="single" w:sz="4" w:space="0" w:color="auto"/>
                    <w:bottom w:val="single" w:sz="4" w:space="0" w:color="auto"/>
                    <w:right w:val="single" w:sz="4" w:space="0" w:color="auto"/>
                  </w:tcBorders>
                  <w:vAlign w:val="center"/>
                </w:tcPr>
                <w:p w14:paraId="25D8046E" w14:textId="77777777" w:rsidR="00F76A63" w:rsidRDefault="00000000">
                  <w:pPr>
                    <w:adjustRightInd w:val="0"/>
                    <w:snapToGrid w:val="0"/>
                    <w:jc w:val="center"/>
                    <w:rPr>
                      <w:sz w:val="18"/>
                      <w:szCs w:val="18"/>
                    </w:rPr>
                  </w:pPr>
                  <w:r>
                    <w:rPr>
                      <w:sz w:val="18"/>
                      <w:szCs w:val="18"/>
                    </w:rPr>
                    <w:t>39.88</w:t>
                  </w:r>
                </w:p>
              </w:tc>
              <w:tc>
                <w:tcPr>
                  <w:tcW w:w="504" w:type="pct"/>
                  <w:vMerge/>
                  <w:tcBorders>
                    <w:top w:val="single" w:sz="4" w:space="0" w:color="auto"/>
                    <w:left w:val="single" w:sz="4" w:space="0" w:color="auto"/>
                    <w:bottom w:val="single" w:sz="4" w:space="0" w:color="auto"/>
                    <w:right w:val="nil"/>
                  </w:tcBorders>
                  <w:vAlign w:val="center"/>
                </w:tcPr>
                <w:p w14:paraId="6B2EB86A" w14:textId="77777777" w:rsidR="00F76A63" w:rsidRDefault="00F76A63">
                  <w:pPr>
                    <w:adjustRightInd w:val="0"/>
                    <w:snapToGrid w:val="0"/>
                    <w:jc w:val="center"/>
                    <w:rPr>
                      <w:sz w:val="18"/>
                      <w:szCs w:val="18"/>
                    </w:rPr>
                  </w:pPr>
                </w:p>
              </w:tc>
            </w:tr>
            <w:tr w:rsidR="00F76A63" w14:paraId="5D97F868" w14:textId="77777777">
              <w:trPr>
                <w:trHeight w:val="340"/>
                <w:jc w:val="center"/>
              </w:trPr>
              <w:tc>
                <w:tcPr>
                  <w:tcW w:w="422" w:type="pct"/>
                  <w:vMerge/>
                  <w:tcBorders>
                    <w:left w:val="nil"/>
                    <w:right w:val="single" w:sz="4" w:space="0" w:color="auto"/>
                  </w:tcBorders>
                  <w:vAlign w:val="center"/>
                </w:tcPr>
                <w:p w14:paraId="29B06159"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E936560"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27A5101C"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267BBF2"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60A1E81D" w14:textId="77777777" w:rsidR="00F76A63" w:rsidRDefault="00000000">
                  <w:pPr>
                    <w:adjustRightInd w:val="0"/>
                    <w:snapToGrid w:val="0"/>
                    <w:jc w:val="center"/>
                    <w:rPr>
                      <w:sz w:val="18"/>
                      <w:szCs w:val="18"/>
                    </w:rPr>
                  </w:pPr>
                  <w:r>
                    <w:rPr>
                      <w:sz w:val="18"/>
                      <w:szCs w:val="18"/>
                    </w:rPr>
                    <w:t>0.74</w:t>
                  </w:r>
                </w:p>
              </w:tc>
              <w:tc>
                <w:tcPr>
                  <w:tcW w:w="668" w:type="pct"/>
                  <w:tcBorders>
                    <w:top w:val="single" w:sz="4" w:space="0" w:color="auto"/>
                    <w:left w:val="single" w:sz="4" w:space="0" w:color="auto"/>
                    <w:bottom w:val="single" w:sz="4" w:space="0" w:color="auto"/>
                    <w:right w:val="single" w:sz="4" w:space="0" w:color="auto"/>
                  </w:tcBorders>
                  <w:vAlign w:val="center"/>
                </w:tcPr>
                <w:p w14:paraId="3E527907" w14:textId="77777777" w:rsidR="00F76A63" w:rsidRDefault="00000000">
                  <w:pPr>
                    <w:adjustRightInd w:val="0"/>
                    <w:snapToGrid w:val="0"/>
                    <w:jc w:val="center"/>
                    <w:rPr>
                      <w:sz w:val="18"/>
                      <w:szCs w:val="18"/>
                    </w:rPr>
                  </w:pPr>
                  <w:r>
                    <w:rPr>
                      <w:sz w:val="18"/>
                      <w:szCs w:val="18"/>
                    </w:rPr>
                    <w:t>0.79</w:t>
                  </w:r>
                </w:p>
              </w:tc>
              <w:tc>
                <w:tcPr>
                  <w:tcW w:w="707" w:type="pct"/>
                  <w:tcBorders>
                    <w:top w:val="single" w:sz="4" w:space="0" w:color="auto"/>
                    <w:left w:val="single" w:sz="4" w:space="0" w:color="auto"/>
                    <w:bottom w:val="single" w:sz="4" w:space="0" w:color="auto"/>
                    <w:right w:val="single" w:sz="4" w:space="0" w:color="auto"/>
                  </w:tcBorders>
                  <w:vAlign w:val="center"/>
                </w:tcPr>
                <w:p w14:paraId="7CF9DFE0" w14:textId="77777777" w:rsidR="00F76A63" w:rsidRDefault="00000000">
                  <w:pPr>
                    <w:adjustRightInd w:val="0"/>
                    <w:snapToGrid w:val="0"/>
                    <w:jc w:val="center"/>
                    <w:rPr>
                      <w:sz w:val="18"/>
                      <w:szCs w:val="18"/>
                    </w:rPr>
                  </w:pPr>
                  <w:r>
                    <w:rPr>
                      <w:sz w:val="18"/>
                      <w:szCs w:val="18"/>
                    </w:rPr>
                    <w:t>0.11</w:t>
                  </w:r>
                </w:p>
              </w:tc>
              <w:tc>
                <w:tcPr>
                  <w:tcW w:w="504" w:type="pct"/>
                  <w:vMerge/>
                  <w:tcBorders>
                    <w:top w:val="single" w:sz="4" w:space="0" w:color="auto"/>
                    <w:left w:val="single" w:sz="4" w:space="0" w:color="auto"/>
                    <w:bottom w:val="single" w:sz="4" w:space="0" w:color="auto"/>
                    <w:right w:val="nil"/>
                  </w:tcBorders>
                  <w:vAlign w:val="center"/>
                </w:tcPr>
                <w:p w14:paraId="190E8884" w14:textId="77777777" w:rsidR="00F76A63" w:rsidRDefault="00F76A63">
                  <w:pPr>
                    <w:adjustRightInd w:val="0"/>
                    <w:snapToGrid w:val="0"/>
                    <w:jc w:val="center"/>
                    <w:rPr>
                      <w:sz w:val="18"/>
                      <w:szCs w:val="18"/>
                    </w:rPr>
                  </w:pPr>
                </w:p>
              </w:tc>
            </w:tr>
            <w:tr w:rsidR="00F76A63" w14:paraId="1EF35681" w14:textId="77777777">
              <w:trPr>
                <w:trHeight w:val="340"/>
                <w:jc w:val="center"/>
              </w:trPr>
              <w:tc>
                <w:tcPr>
                  <w:tcW w:w="422" w:type="pct"/>
                  <w:vMerge/>
                  <w:tcBorders>
                    <w:left w:val="nil"/>
                    <w:right w:val="single" w:sz="4" w:space="0" w:color="auto"/>
                  </w:tcBorders>
                  <w:vAlign w:val="center"/>
                </w:tcPr>
                <w:p w14:paraId="2A21A06C"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671425A0" w14:textId="77777777" w:rsidR="00F76A63" w:rsidRDefault="00000000">
                  <w:pPr>
                    <w:adjustRightInd w:val="0"/>
                    <w:snapToGrid w:val="0"/>
                    <w:jc w:val="center"/>
                    <w:rPr>
                      <w:sz w:val="18"/>
                      <w:szCs w:val="18"/>
                    </w:rPr>
                  </w:pPr>
                  <w:r>
                    <w:rPr>
                      <w:sz w:val="18"/>
                      <w:szCs w:val="18"/>
                    </w:rPr>
                    <w:t>202409</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0AF45587" w14:textId="77777777" w:rsidR="00F76A63" w:rsidRDefault="00000000">
                  <w:pPr>
                    <w:adjustRightInd w:val="0"/>
                    <w:snapToGrid w:val="0"/>
                    <w:jc w:val="center"/>
                    <w:rPr>
                      <w:sz w:val="18"/>
                      <w:szCs w:val="18"/>
                    </w:rPr>
                  </w:pPr>
                  <w:r>
                    <w:rPr>
                      <w:sz w:val="18"/>
                      <w:szCs w:val="18"/>
                    </w:rPr>
                    <w:t>494886.67</w:t>
                  </w:r>
                </w:p>
              </w:tc>
              <w:tc>
                <w:tcPr>
                  <w:tcW w:w="546" w:type="pct"/>
                  <w:tcBorders>
                    <w:top w:val="single" w:sz="4" w:space="0" w:color="auto"/>
                    <w:left w:val="single" w:sz="4" w:space="0" w:color="auto"/>
                    <w:bottom w:val="single" w:sz="4" w:space="0" w:color="auto"/>
                    <w:right w:val="single" w:sz="4" w:space="0" w:color="auto"/>
                  </w:tcBorders>
                  <w:vAlign w:val="center"/>
                </w:tcPr>
                <w:p w14:paraId="5A81CCD2"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409B77A5" w14:textId="77777777" w:rsidR="00F76A63" w:rsidRDefault="00000000">
                  <w:pPr>
                    <w:adjustRightInd w:val="0"/>
                    <w:snapToGrid w:val="0"/>
                    <w:jc w:val="center"/>
                    <w:rPr>
                      <w:sz w:val="18"/>
                      <w:szCs w:val="18"/>
                    </w:rPr>
                  </w:pPr>
                  <w:r>
                    <w:rPr>
                      <w:sz w:val="18"/>
                      <w:szCs w:val="18"/>
                    </w:rPr>
                    <w:t>2.22</w:t>
                  </w:r>
                </w:p>
              </w:tc>
              <w:tc>
                <w:tcPr>
                  <w:tcW w:w="668" w:type="pct"/>
                  <w:tcBorders>
                    <w:top w:val="single" w:sz="4" w:space="0" w:color="auto"/>
                    <w:left w:val="single" w:sz="4" w:space="0" w:color="auto"/>
                    <w:bottom w:val="single" w:sz="4" w:space="0" w:color="auto"/>
                    <w:right w:val="single" w:sz="4" w:space="0" w:color="auto"/>
                  </w:tcBorders>
                  <w:vAlign w:val="center"/>
                </w:tcPr>
                <w:p w14:paraId="2749C93D" w14:textId="77777777" w:rsidR="00F76A63" w:rsidRDefault="00000000">
                  <w:pPr>
                    <w:adjustRightInd w:val="0"/>
                    <w:snapToGrid w:val="0"/>
                    <w:jc w:val="center"/>
                    <w:rPr>
                      <w:sz w:val="18"/>
                      <w:szCs w:val="18"/>
                    </w:rPr>
                  </w:pPr>
                  <w:r>
                    <w:rPr>
                      <w:sz w:val="18"/>
                      <w:szCs w:val="18"/>
                    </w:rPr>
                    <w:t>6.52</w:t>
                  </w:r>
                </w:p>
              </w:tc>
              <w:tc>
                <w:tcPr>
                  <w:tcW w:w="707" w:type="pct"/>
                  <w:tcBorders>
                    <w:top w:val="single" w:sz="4" w:space="0" w:color="auto"/>
                    <w:left w:val="single" w:sz="4" w:space="0" w:color="auto"/>
                    <w:bottom w:val="single" w:sz="4" w:space="0" w:color="auto"/>
                    <w:right w:val="single" w:sz="4" w:space="0" w:color="auto"/>
                  </w:tcBorders>
                  <w:vAlign w:val="center"/>
                </w:tcPr>
                <w:p w14:paraId="54B9E9E6" w14:textId="77777777" w:rsidR="00F76A63" w:rsidRDefault="00000000">
                  <w:pPr>
                    <w:adjustRightInd w:val="0"/>
                    <w:snapToGrid w:val="0"/>
                    <w:jc w:val="center"/>
                    <w:rPr>
                      <w:sz w:val="18"/>
                      <w:szCs w:val="18"/>
                    </w:rPr>
                  </w:pPr>
                  <w:r>
                    <w:rPr>
                      <w:sz w:val="18"/>
                      <w:szCs w:val="18"/>
                    </w:rPr>
                    <w:t>29.6</w:t>
                  </w:r>
                </w:p>
              </w:tc>
              <w:tc>
                <w:tcPr>
                  <w:tcW w:w="504" w:type="pct"/>
                  <w:vMerge w:val="restart"/>
                  <w:tcBorders>
                    <w:top w:val="single" w:sz="4" w:space="0" w:color="auto"/>
                    <w:left w:val="single" w:sz="4" w:space="0" w:color="auto"/>
                    <w:bottom w:val="single" w:sz="4" w:space="0" w:color="auto"/>
                    <w:right w:val="nil"/>
                  </w:tcBorders>
                  <w:vAlign w:val="center"/>
                </w:tcPr>
                <w:p w14:paraId="7B4EF3FE" w14:textId="77777777" w:rsidR="00F76A63" w:rsidRDefault="00000000">
                  <w:pPr>
                    <w:adjustRightInd w:val="0"/>
                    <w:snapToGrid w:val="0"/>
                    <w:jc w:val="center"/>
                    <w:rPr>
                      <w:sz w:val="18"/>
                      <w:szCs w:val="18"/>
                    </w:rPr>
                  </w:pPr>
                  <w:r>
                    <w:rPr>
                      <w:sz w:val="18"/>
                      <w:szCs w:val="18"/>
                    </w:rPr>
                    <w:t>/</w:t>
                  </w:r>
                </w:p>
              </w:tc>
            </w:tr>
            <w:tr w:rsidR="00F76A63" w14:paraId="2358651F" w14:textId="77777777">
              <w:trPr>
                <w:trHeight w:val="340"/>
                <w:jc w:val="center"/>
              </w:trPr>
              <w:tc>
                <w:tcPr>
                  <w:tcW w:w="422" w:type="pct"/>
                  <w:vMerge/>
                  <w:tcBorders>
                    <w:left w:val="nil"/>
                    <w:right w:val="single" w:sz="4" w:space="0" w:color="auto"/>
                  </w:tcBorders>
                  <w:vAlign w:val="center"/>
                </w:tcPr>
                <w:p w14:paraId="784A56D2"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6F1ACD3"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10800248"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9E43FA7"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46AA5AF" w14:textId="77777777" w:rsidR="00F76A63" w:rsidRDefault="00000000">
                  <w:pPr>
                    <w:adjustRightInd w:val="0"/>
                    <w:snapToGrid w:val="0"/>
                    <w:jc w:val="center"/>
                    <w:rPr>
                      <w:sz w:val="18"/>
                      <w:szCs w:val="18"/>
                    </w:rPr>
                  </w:pPr>
                  <w:r>
                    <w:rPr>
                      <w:sz w:val="18"/>
                      <w:szCs w:val="18"/>
                    </w:rPr>
                    <w:t>5.20</w:t>
                  </w:r>
                </w:p>
              </w:tc>
              <w:tc>
                <w:tcPr>
                  <w:tcW w:w="668" w:type="pct"/>
                  <w:tcBorders>
                    <w:top w:val="single" w:sz="4" w:space="0" w:color="auto"/>
                    <w:left w:val="single" w:sz="4" w:space="0" w:color="auto"/>
                    <w:bottom w:val="single" w:sz="4" w:space="0" w:color="auto"/>
                    <w:right w:val="single" w:sz="4" w:space="0" w:color="auto"/>
                  </w:tcBorders>
                  <w:vAlign w:val="center"/>
                </w:tcPr>
                <w:p w14:paraId="6A63175E" w14:textId="77777777" w:rsidR="00F76A63" w:rsidRDefault="00000000">
                  <w:pPr>
                    <w:adjustRightInd w:val="0"/>
                    <w:snapToGrid w:val="0"/>
                    <w:jc w:val="center"/>
                    <w:rPr>
                      <w:sz w:val="18"/>
                      <w:szCs w:val="18"/>
                    </w:rPr>
                  </w:pPr>
                  <w:r>
                    <w:rPr>
                      <w:sz w:val="18"/>
                      <w:szCs w:val="18"/>
                    </w:rPr>
                    <w:t>20.39</w:t>
                  </w:r>
                </w:p>
              </w:tc>
              <w:tc>
                <w:tcPr>
                  <w:tcW w:w="707" w:type="pct"/>
                  <w:tcBorders>
                    <w:top w:val="single" w:sz="4" w:space="0" w:color="auto"/>
                    <w:left w:val="single" w:sz="4" w:space="0" w:color="auto"/>
                    <w:bottom w:val="single" w:sz="4" w:space="0" w:color="auto"/>
                    <w:right w:val="single" w:sz="4" w:space="0" w:color="auto"/>
                  </w:tcBorders>
                  <w:vAlign w:val="center"/>
                </w:tcPr>
                <w:p w14:paraId="76846775" w14:textId="77777777" w:rsidR="00F76A63" w:rsidRDefault="00000000">
                  <w:pPr>
                    <w:adjustRightInd w:val="0"/>
                    <w:snapToGrid w:val="0"/>
                    <w:jc w:val="center"/>
                    <w:rPr>
                      <w:sz w:val="18"/>
                      <w:szCs w:val="18"/>
                    </w:rPr>
                  </w:pPr>
                  <w:r>
                    <w:rPr>
                      <w:sz w:val="18"/>
                      <w:szCs w:val="18"/>
                    </w:rPr>
                    <w:t>39.88</w:t>
                  </w:r>
                </w:p>
              </w:tc>
              <w:tc>
                <w:tcPr>
                  <w:tcW w:w="504" w:type="pct"/>
                  <w:vMerge/>
                  <w:tcBorders>
                    <w:top w:val="single" w:sz="4" w:space="0" w:color="auto"/>
                    <w:left w:val="single" w:sz="4" w:space="0" w:color="auto"/>
                    <w:bottom w:val="single" w:sz="4" w:space="0" w:color="auto"/>
                    <w:right w:val="nil"/>
                  </w:tcBorders>
                  <w:vAlign w:val="center"/>
                </w:tcPr>
                <w:p w14:paraId="5081EC70" w14:textId="77777777" w:rsidR="00F76A63" w:rsidRDefault="00F76A63">
                  <w:pPr>
                    <w:adjustRightInd w:val="0"/>
                    <w:snapToGrid w:val="0"/>
                    <w:jc w:val="center"/>
                    <w:rPr>
                      <w:sz w:val="18"/>
                      <w:szCs w:val="18"/>
                    </w:rPr>
                  </w:pPr>
                </w:p>
              </w:tc>
            </w:tr>
            <w:tr w:rsidR="00F76A63" w14:paraId="46A3A5AB" w14:textId="77777777">
              <w:trPr>
                <w:trHeight w:val="340"/>
                <w:jc w:val="center"/>
              </w:trPr>
              <w:tc>
                <w:tcPr>
                  <w:tcW w:w="422" w:type="pct"/>
                  <w:vMerge/>
                  <w:tcBorders>
                    <w:left w:val="nil"/>
                    <w:right w:val="single" w:sz="4" w:space="0" w:color="auto"/>
                  </w:tcBorders>
                  <w:vAlign w:val="center"/>
                </w:tcPr>
                <w:p w14:paraId="112C2756"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5EDD63F"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70411E14"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D2BD463"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657F9BD3" w14:textId="77777777" w:rsidR="00F76A63" w:rsidRDefault="00000000">
                  <w:pPr>
                    <w:adjustRightInd w:val="0"/>
                    <w:snapToGrid w:val="0"/>
                    <w:jc w:val="center"/>
                    <w:rPr>
                      <w:sz w:val="18"/>
                      <w:szCs w:val="18"/>
                    </w:rPr>
                  </w:pPr>
                  <w:r>
                    <w:rPr>
                      <w:sz w:val="18"/>
                      <w:szCs w:val="18"/>
                    </w:rPr>
                    <w:t>0.60</w:t>
                  </w:r>
                </w:p>
              </w:tc>
              <w:tc>
                <w:tcPr>
                  <w:tcW w:w="668" w:type="pct"/>
                  <w:tcBorders>
                    <w:top w:val="single" w:sz="4" w:space="0" w:color="auto"/>
                    <w:left w:val="single" w:sz="4" w:space="0" w:color="auto"/>
                    <w:bottom w:val="single" w:sz="4" w:space="0" w:color="auto"/>
                    <w:right w:val="single" w:sz="4" w:space="0" w:color="auto"/>
                  </w:tcBorders>
                  <w:vAlign w:val="center"/>
                </w:tcPr>
                <w:p w14:paraId="6B89E0E4" w14:textId="77777777" w:rsidR="00F76A63" w:rsidRDefault="00000000">
                  <w:pPr>
                    <w:adjustRightInd w:val="0"/>
                    <w:snapToGrid w:val="0"/>
                    <w:jc w:val="center"/>
                    <w:rPr>
                      <w:sz w:val="18"/>
                      <w:szCs w:val="18"/>
                    </w:rPr>
                  </w:pPr>
                  <w:r>
                    <w:rPr>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2385729B" w14:textId="77777777" w:rsidR="00F76A63" w:rsidRDefault="00000000">
                  <w:pPr>
                    <w:adjustRightInd w:val="0"/>
                    <w:snapToGrid w:val="0"/>
                    <w:jc w:val="center"/>
                    <w:rPr>
                      <w:sz w:val="18"/>
                      <w:szCs w:val="18"/>
                    </w:rPr>
                  </w:pPr>
                  <w:r>
                    <w:rPr>
                      <w:sz w:val="18"/>
                      <w:szCs w:val="18"/>
                    </w:rPr>
                    <w:t>0.11</w:t>
                  </w:r>
                </w:p>
              </w:tc>
              <w:tc>
                <w:tcPr>
                  <w:tcW w:w="504" w:type="pct"/>
                  <w:vMerge/>
                  <w:tcBorders>
                    <w:top w:val="single" w:sz="4" w:space="0" w:color="auto"/>
                    <w:left w:val="single" w:sz="4" w:space="0" w:color="auto"/>
                    <w:bottom w:val="single" w:sz="4" w:space="0" w:color="auto"/>
                    <w:right w:val="nil"/>
                  </w:tcBorders>
                  <w:vAlign w:val="center"/>
                </w:tcPr>
                <w:p w14:paraId="518A6DD0" w14:textId="77777777" w:rsidR="00F76A63" w:rsidRDefault="00F76A63">
                  <w:pPr>
                    <w:adjustRightInd w:val="0"/>
                    <w:snapToGrid w:val="0"/>
                    <w:jc w:val="center"/>
                    <w:rPr>
                      <w:sz w:val="18"/>
                      <w:szCs w:val="18"/>
                    </w:rPr>
                  </w:pPr>
                </w:p>
              </w:tc>
            </w:tr>
            <w:tr w:rsidR="00F76A63" w14:paraId="73054F15" w14:textId="77777777">
              <w:trPr>
                <w:trHeight w:val="340"/>
                <w:jc w:val="center"/>
              </w:trPr>
              <w:tc>
                <w:tcPr>
                  <w:tcW w:w="422" w:type="pct"/>
                  <w:vMerge/>
                  <w:tcBorders>
                    <w:left w:val="nil"/>
                    <w:right w:val="single" w:sz="4" w:space="0" w:color="auto"/>
                  </w:tcBorders>
                  <w:vAlign w:val="center"/>
                </w:tcPr>
                <w:p w14:paraId="0F177A8C"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12C51624" w14:textId="77777777" w:rsidR="00F76A63" w:rsidRDefault="00000000">
                  <w:pPr>
                    <w:adjustRightInd w:val="0"/>
                    <w:snapToGrid w:val="0"/>
                    <w:jc w:val="center"/>
                    <w:rPr>
                      <w:sz w:val="18"/>
                      <w:szCs w:val="18"/>
                    </w:rPr>
                  </w:pPr>
                  <w:r>
                    <w:rPr>
                      <w:sz w:val="18"/>
                      <w:szCs w:val="18"/>
                    </w:rPr>
                    <w:t>202410</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2DEF2F48" w14:textId="77777777" w:rsidR="00F76A63" w:rsidRDefault="00000000">
                  <w:pPr>
                    <w:adjustRightInd w:val="0"/>
                    <w:snapToGrid w:val="0"/>
                    <w:jc w:val="center"/>
                    <w:rPr>
                      <w:sz w:val="18"/>
                      <w:szCs w:val="18"/>
                    </w:rPr>
                  </w:pPr>
                  <w:r>
                    <w:rPr>
                      <w:sz w:val="18"/>
                      <w:szCs w:val="18"/>
                    </w:rPr>
                    <w:t>467948.06</w:t>
                  </w:r>
                </w:p>
              </w:tc>
              <w:tc>
                <w:tcPr>
                  <w:tcW w:w="546" w:type="pct"/>
                  <w:tcBorders>
                    <w:top w:val="single" w:sz="4" w:space="0" w:color="auto"/>
                    <w:left w:val="single" w:sz="4" w:space="0" w:color="auto"/>
                    <w:bottom w:val="single" w:sz="4" w:space="0" w:color="auto"/>
                    <w:right w:val="single" w:sz="4" w:space="0" w:color="auto"/>
                  </w:tcBorders>
                  <w:vAlign w:val="center"/>
                </w:tcPr>
                <w:p w14:paraId="4BF5AC94"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AEA9849" w14:textId="77777777" w:rsidR="00F76A63" w:rsidRDefault="00000000">
                  <w:pPr>
                    <w:adjustRightInd w:val="0"/>
                    <w:snapToGrid w:val="0"/>
                    <w:jc w:val="center"/>
                    <w:rPr>
                      <w:sz w:val="18"/>
                      <w:szCs w:val="18"/>
                    </w:rPr>
                  </w:pPr>
                  <w:r>
                    <w:rPr>
                      <w:sz w:val="18"/>
                      <w:szCs w:val="18"/>
                    </w:rPr>
                    <w:t>3.58</w:t>
                  </w:r>
                </w:p>
              </w:tc>
              <w:tc>
                <w:tcPr>
                  <w:tcW w:w="668" w:type="pct"/>
                  <w:tcBorders>
                    <w:top w:val="single" w:sz="4" w:space="0" w:color="auto"/>
                    <w:left w:val="single" w:sz="4" w:space="0" w:color="auto"/>
                    <w:bottom w:val="single" w:sz="4" w:space="0" w:color="auto"/>
                    <w:right w:val="single" w:sz="4" w:space="0" w:color="auto"/>
                  </w:tcBorders>
                  <w:vAlign w:val="center"/>
                </w:tcPr>
                <w:p w14:paraId="04E0FF4A" w14:textId="77777777" w:rsidR="00F76A63" w:rsidRDefault="00000000">
                  <w:pPr>
                    <w:adjustRightInd w:val="0"/>
                    <w:snapToGrid w:val="0"/>
                    <w:jc w:val="center"/>
                    <w:rPr>
                      <w:sz w:val="18"/>
                      <w:szCs w:val="18"/>
                    </w:rPr>
                  </w:pPr>
                  <w:r>
                    <w:rPr>
                      <w:sz w:val="18"/>
                      <w:szCs w:val="18"/>
                    </w:rPr>
                    <w:t>6.54</w:t>
                  </w:r>
                </w:p>
              </w:tc>
              <w:tc>
                <w:tcPr>
                  <w:tcW w:w="707" w:type="pct"/>
                  <w:tcBorders>
                    <w:top w:val="single" w:sz="4" w:space="0" w:color="auto"/>
                    <w:left w:val="single" w:sz="4" w:space="0" w:color="auto"/>
                    <w:bottom w:val="single" w:sz="4" w:space="0" w:color="auto"/>
                    <w:right w:val="single" w:sz="4" w:space="0" w:color="auto"/>
                  </w:tcBorders>
                  <w:vAlign w:val="center"/>
                </w:tcPr>
                <w:p w14:paraId="46AE7A65" w14:textId="77777777" w:rsidR="00F76A63" w:rsidRDefault="00000000">
                  <w:pPr>
                    <w:adjustRightInd w:val="0"/>
                    <w:snapToGrid w:val="0"/>
                    <w:jc w:val="center"/>
                    <w:rPr>
                      <w:sz w:val="18"/>
                      <w:szCs w:val="18"/>
                    </w:rPr>
                  </w:pPr>
                  <w:r>
                    <w:rPr>
                      <w:sz w:val="18"/>
                      <w:szCs w:val="18"/>
                    </w:rPr>
                    <w:t>32.0</w:t>
                  </w:r>
                </w:p>
              </w:tc>
              <w:tc>
                <w:tcPr>
                  <w:tcW w:w="504" w:type="pct"/>
                  <w:vMerge w:val="restart"/>
                  <w:tcBorders>
                    <w:top w:val="single" w:sz="4" w:space="0" w:color="auto"/>
                    <w:left w:val="single" w:sz="4" w:space="0" w:color="auto"/>
                    <w:bottom w:val="single" w:sz="4" w:space="0" w:color="auto"/>
                    <w:right w:val="nil"/>
                  </w:tcBorders>
                  <w:vAlign w:val="center"/>
                </w:tcPr>
                <w:p w14:paraId="2E9A5D98" w14:textId="77777777" w:rsidR="00F76A63" w:rsidRDefault="00000000">
                  <w:pPr>
                    <w:adjustRightInd w:val="0"/>
                    <w:snapToGrid w:val="0"/>
                    <w:jc w:val="center"/>
                    <w:rPr>
                      <w:sz w:val="18"/>
                      <w:szCs w:val="18"/>
                    </w:rPr>
                  </w:pPr>
                  <w:r>
                    <w:rPr>
                      <w:sz w:val="18"/>
                      <w:szCs w:val="18"/>
                    </w:rPr>
                    <w:t>/</w:t>
                  </w:r>
                </w:p>
              </w:tc>
            </w:tr>
            <w:tr w:rsidR="00F76A63" w14:paraId="2E5464F5" w14:textId="77777777">
              <w:trPr>
                <w:trHeight w:val="340"/>
                <w:jc w:val="center"/>
              </w:trPr>
              <w:tc>
                <w:tcPr>
                  <w:tcW w:w="422" w:type="pct"/>
                  <w:vMerge/>
                  <w:tcBorders>
                    <w:left w:val="nil"/>
                    <w:right w:val="single" w:sz="4" w:space="0" w:color="auto"/>
                  </w:tcBorders>
                  <w:vAlign w:val="center"/>
                </w:tcPr>
                <w:p w14:paraId="2DB7C1AE"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7D8DFD29"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B35FCA3"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129E509"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F4472B8" w14:textId="77777777" w:rsidR="00F76A63" w:rsidRDefault="00000000">
                  <w:pPr>
                    <w:adjustRightInd w:val="0"/>
                    <w:snapToGrid w:val="0"/>
                    <w:jc w:val="center"/>
                    <w:rPr>
                      <w:sz w:val="18"/>
                      <w:szCs w:val="18"/>
                    </w:rPr>
                  </w:pPr>
                  <w:r>
                    <w:rPr>
                      <w:sz w:val="18"/>
                      <w:szCs w:val="18"/>
                    </w:rPr>
                    <w:t>4.38</w:t>
                  </w:r>
                </w:p>
              </w:tc>
              <w:tc>
                <w:tcPr>
                  <w:tcW w:w="668" w:type="pct"/>
                  <w:tcBorders>
                    <w:top w:val="single" w:sz="4" w:space="0" w:color="auto"/>
                    <w:left w:val="single" w:sz="4" w:space="0" w:color="auto"/>
                    <w:bottom w:val="single" w:sz="4" w:space="0" w:color="auto"/>
                    <w:right w:val="single" w:sz="4" w:space="0" w:color="auto"/>
                  </w:tcBorders>
                  <w:vAlign w:val="center"/>
                </w:tcPr>
                <w:p w14:paraId="2FF1DEC7" w14:textId="77777777" w:rsidR="00F76A63" w:rsidRDefault="00000000">
                  <w:pPr>
                    <w:adjustRightInd w:val="0"/>
                    <w:snapToGrid w:val="0"/>
                    <w:jc w:val="center"/>
                    <w:rPr>
                      <w:sz w:val="18"/>
                      <w:szCs w:val="18"/>
                    </w:rPr>
                  </w:pPr>
                  <w:r>
                    <w:rPr>
                      <w:sz w:val="18"/>
                      <w:szCs w:val="18"/>
                    </w:rPr>
                    <w:t>13.59</w:t>
                  </w:r>
                </w:p>
              </w:tc>
              <w:tc>
                <w:tcPr>
                  <w:tcW w:w="707" w:type="pct"/>
                  <w:tcBorders>
                    <w:top w:val="single" w:sz="4" w:space="0" w:color="auto"/>
                    <w:left w:val="single" w:sz="4" w:space="0" w:color="auto"/>
                    <w:bottom w:val="single" w:sz="4" w:space="0" w:color="auto"/>
                    <w:right w:val="single" w:sz="4" w:space="0" w:color="auto"/>
                  </w:tcBorders>
                  <w:vAlign w:val="center"/>
                </w:tcPr>
                <w:p w14:paraId="6CFC3B5A" w14:textId="77777777" w:rsidR="00F76A63" w:rsidRDefault="00000000">
                  <w:pPr>
                    <w:adjustRightInd w:val="0"/>
                    <w:snapToGrid w:val="0"/>
                    <w:jc w:val="center"/>
                    <w:rPr>
                      <w:sz w:val="18"/>
                      <w:szCs w:val="18"/>
                    </w:rPr>
                  </w:pPr>
                  <w:r>
                    <w:rPr>
                      <w:sz w:val="18"/>
                      <w:szCs w:val="18"/>
                    </w:rPr>
                    <w:t>39.77</w:t>
                  </w:r>
                </w:p>
              </w:tc>
              <w:tc>
                <w:tcPr>
                  <w:tcW w:w="504" w:type="pct"/>
                  <w:vMerge/>
                  <w:tcBorders>
                    <w:top w:val="single" w:sz="4" w:space="0" w:color="auto"/>
                    <w:left w:val="single" w:sz="4" w:space="0" w:color="auto"/>
                    <w:bottom w:val="single" w:sz="4" w:space="0" w:color="auto"/>
                    <w:right w:val="nil"/>
                  </w:tcBorders>
                  <w:vAlign w:val="center"/>
                </w:tcPr>
                <w:p w14:paraId="237DDB57" w14:textId="77777777" w:rsidR="00F76A63" w:rsidRDefault="00F76A63">
                  <w:pPr>
                    <w:adjustRightInd w:val="0"/>
                    <w:snapToGrid w:val="0"/>
                    <w:jc w:val="center"/>
                    <w:rPr>
                      <w:sz w:val="18"/>
                      <w:szCs w:val="18"/>
                    </w:rPr>
                  </w:pPr>
                </w:p>
              </w:tc>
            </w:tr>
            <w:tr w:rsidR="00F76A63" w14:paraId="5B893132" w14:textId="77777777">
              <w:trPr>
                <w:trHeight w:val="340"/>
                <w:jc w:val="center"/>
              </w:trPr>
              <w:tc>
                <w:tcPr>
                  <w:tcW w:w="422" w:type="pct"/>
                  <w:vMerge/>
                  <w:tcBorders>
                    <w:left w:val="nil"/>
                    <w:right w:val="single" w:sz="4" w:space="0" w:color="auto"/>
                  </w:tcBorders>
                  <w:vAlign w:val="center"/>
                </w:tcPr>
                <w:p w14:paraId="76B1E85D"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222C1E10"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118A2368"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B7D0D37"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0770FF47" w14:textId="77777777" w:rsidR="00F76A63" w:rsidRDefault="00000000">
                  <w:pPr>
                    <w:adjustRightInd w:val="0"/>
                    <w:snapToGrid w:val="0"/>
                    <w:jc w:val="center"/>
                    <w:rPr>
                      <w:sz w:val="18"/>
                      <w:szCs w:val="18"/>
                    </w:rPr>
                  </w:pPr>
                  <w:r>
                    <w:rPr>
                      <w:sz w:val="18"/>
                      <w:szCs w:val="18"/>
                    </w:rPr>
                    <w:t>2.65</w:t>
                  </w:r>
                </w:p>
              </w:tc>
              <w:tc>
                <w:tcPr>
                  <w:tcW w:w="668" w:type="pct"/>
                  <w:tcBorders>
                    <w:top w:val="single" w:sz="4" w:space="0" w:color="auto"/>
                    <w:left w:val="single" w:sz="4" w:space="0" w:color="auto"/>
                    <w:bottom w:val="single" w:sz="4" w:space="0" w:color="auto"/>
                    <w:right w:val="single" w:sz="4" w:space="0" w:color="auto"/>
                  </w:tcBorders>
                  <w:vAlign w:val="center"/>
                </w:tcPr>
                <w:p w14:paraId="14FE09DB" w14:textId="77777777" w:rsidR="00F76A63" w:rsidRDefault="00000000">
                  <w:pPr>
                    <w:adjustRightInd w:val="0"/>
                    <w:snapToGrid w:val="0"/>
                    <w:jc w:val="center"/>
                    <w:rPr>
                      <w:sz w:val="18"/>
                      <w:szCs w:val="18"/>
                    </w:rPr>
                  </w:pPr>
                  <w:r>
                    <w:rPr>
                      <w:sz w:val="18"/>
                      <w:szCs w:val="18"/>
                    </w:rPr>
                    <w:t>0.67</w:t>
                  </w:r>
                </w:p>
              </w:tc>
              <w:tc>
                <w:tcPr>
                  <w:tcW w:w="707" w:type="pct"/>
                  <w:tcBorders>
                    <w:top w:val="single" w:sz="4" w:space="0" w:color="auto"/>
                    <w:left w:val="single" w:sz="4" w:space="0" w:color="auto"/>
                    <w:bottom w:val="single" w:sz="4" w:space="0" w:color="auto"/>
                    <w:right w:val="single" w:sz="4" w:space="0" w:color="auto"/>
                  </w:tcBorders>
                  <w:vAlign w:val="center"/>
                </w:tcPr>
                <w:p w14:paraId="70CCDFD6" w14:textId="77777777" w:rsidR="00F76A63" w:rsidRDefault="00000000">
                  <w:pPr>
                    <w:adjustRightInd w:val="0"/>
                    <w:snapToGrid w:val="0"/>
                    <w:jc w:val="center"/>
                    <w:rPr>
                      <w:sz w:val="18"/>
                      <w:szCs w:val="18"/>
                    </w:rPr>
                  </w:pPr>
                  <w:r>
                    <w:rPr>
                      <w:sz w:val="18"/>
                      <w:szCs w:val="18"/>
                    </w:rPr>
                    <w:t>27.61</w:t>
                  </w:r>
                </w:p>
              </w:tc>
              <w:tc>
                <w:tcPr>
                  <w:tcW w:w="504" w:type="pct"/>
                  <w:vMerge/>
                  <w:tcBorders>
                    <w:top w:val="single" w:sz="4" w:space="0" w:color="auto"/>
                    <w:left w:val="single" w:sz="4" w:space="0" w:color="auto"/>
                    <w:bottom w:val="single" w:sz="4" w:space="0" w:color="auto"/>
                    <w:right w:val="nil"/>
                  </w:tcBorders>
                  <w:vAlign w:val="center"/>
                </w:tcPr>
                <w:p w14:paraId="7EB4074E" w14:textId="77777777" w:rsidR="00F76A63" w:rsidRDefault="00F76A63">
                  <w:pPr>
                    <w:adjustRightInd w:val="0"/>
                    <w:snapToGrid w:val="0"/>
                    <w:jc w:val="center"/>
                    <w:rPr>
                      <w:sz w:val="18"/>
                      <w:szCs w:val="18"/>
                    </w:rPr>
                  </w:pPr>
                </w:p>
              </w:tc>
            </w:tr>
            <w:tr w:rsidR="00F76A63" w14:paraId="0FCBE320" w14:textId="77777777">
              <w:trPr>
                <w:trHeight w:val="340"/>
                <w:jc w:val="center"/>
              </w:trPr>
              <w:tc>
                <w:tcPr>
                  <w:tcW w:w="422" w:type="pct"/>
                  <w:vMerge/>
                  <w:tcBorders>
                    <w:left w:val="nil"/>
                    <w:right w:val="single" w:sz="4" w:space="0" w:color="auto"/>
                  </w:tcBorders>
                  <w:vAlign w:val="center"/>
                </w:tcPr>
                <w:p w14:paraId="393140BA"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318CF930" w14:textId="77777777" w:rsidR="00F76A63" w:rsidRDefault="00000000">
                  <w:pPr>
                    <w:adjustRightInd w:val="0"/>
                    <w:snapToGrid w:val="0"/>
                    <w:jc w:val="center"/>
                    <w:rPr>
                      <w:sz w:val="18"/>
                      <w:szCs w:val="18"/>
                    </w:rPr>
                  </w:pPr>
                  <w:r>
                    <w:rPr>
                      <w:sz w:val="18"/>
                      <w:szCs w:val="18"/>
                    </w:rPr>
                    <w:t>202411</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08406335" w14:textId="77777777" w:rsidR="00F76A63" w:rsidRDefault="00000000">
                  <w:pPr>
                    <w:adjustRightInd w:val="0"/>
                    <w:snapToGrid w:val="0"/>
                    <w:jc w:val="center"/>
                    <w:rPr>
                      <w:sz w:val="18"/>
                      <w:szCs w:val="18"/>
                    </w:rPr>
                  </w:pPr>
                  <w:r>
                    <w:rPr>
                      <w:sz w:val="18"/>
                      <w:szCs w:val="18"/>
                    </w:rPr>
                    <w:t>451532.57</w:t>
                  </w:r>
                </w:p>
              </w:tc>
              <w:tc>
                <w:tcPr>
                  <w:tcW w:w="546" w:type="pct"/>
                  <w:tcBorders>
                    <w:top w:val="single" w:sz="4" w:space="0" w:color="auto"/>
                    <w:left w:val="single" w:sz="4" w:space="0" w:color="auto"/>
                    <w:bottom w:val="single" w:sz="4" w:space="0" w:color="auto"/>
                    <w:right w:val="single" w:sz="4" w:space="0" w:color="auto"/>
                  </w:tcBorders>
                  <w:vAlign w:val="center"/>
                </w:tcPr>
                <w:p w14:paraId="292AA7A5"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646E320A" w14:textId="77777777" w:rsidR="00F76A63" w:rsidRDefault="00000000">
                  <w:pPr>
                    <w:adjustRightInd w:val="0"/>
                    <w:snapToGrid w:val="0"/>
                    <w:jc w:val="center"/>
                    <w:rPr>
                      <w:sz w:val="18"/>
                      <w:szCs w:val="18"/>
                    </w:rPr>
                  </w:pPr>
                  <w:r>
                    <w:rPr>
                      <w:sz w:val="18"/>
                      <w:szCs w:val="18"/>
                    </w:rPr>
                    <w:t>1.79</w:t>
                  </w:r>
                </w:p>
              </w:tc>
              <w:tc>
                <w:tcPr>
                  <w:tcW w:w="668" w:type="pct"/>
                  <w:tcBorders>
                    <w:top w:val="single" w:sz="4" w:space="0" w:color="auto"/>
                    <w:left w:val="single" w:sz="4" w:space="0" w:color="auto"/>
                    <w:bottom w:val="single" w:sz="4" w:space="0" w:color="auto"/>
                    <w:right w:val="single" w:sz="4" w:space="0" w:color="auto"/>
                  </w:tcBorders>
                  <w:vAlign w:val="center"/>
                </w:tcPr>
                <w:p w14:paraId="7282A650" w14:textId="77777777" w:rsidR="00F76A63" w:rsidRDefault="00000000">
                  <w:pPr>
                    <w:adjustRightInd w:val="0"/>
                    <w:snapToGrid w:val="0"/>
                    <w:jc w:val="center"/>
                    <w:rPr>
                      <w:sz w:val="18"/>
                      <w:szCs w:val="18"/>
                    </w:rPr>
                  </w:pPr>
                  <w:r>
                    <w:rPr>
                      <w:sz w:val="18"/>
                      <w:szCs w:val="18"/>
                    </w:rPr>
                    <w:t>2.73</w:t>
                  </w:r>
                </w:p>
              </w:tc>
              <w:tc>
                <w:tcPr>
                  <w:tcW w:w="707" w:type="pct"/>
                  <w:tcBorders>
                    <w:top w:val="single" w:sz="4" w:space="0" w:color="auto"/>
                    <w:left w:val="single" w:sz="4" w:space="0" w:color="auto"/>
                    <w:bottom w:val="single" w:sz="4" w:space="0" w:color="auto"/>
                    <w:right w:val="single" w:sz="4" w:space="0" w:color="auto"/>
                  </w:tcBorders>
                  <w:vAlign w:val="center"/>
                </w:tcPr>
                <w:p w14:paraId="19332E7F" w14:textId="77777777" w:rsidR="00F76A63" w:rsidRDefault="00000000">
                  <w:pPr>
                    <w:adjustRightInd w:val="0"/>
                    <w:snapToGrid w:val="0"/>
                    <w:jc w:val="center"/>
                    <w:rPr>
                      <w:sz w:val="18"/>
                      <w:szCs w:val="18"/>
                    </w:rPr>
                  </w:pPr>
                  <w:r>
                    <w:rPr>
                      <w:sz w:val="18"/>
                      <w:szCs w:val="18"/>
                    </w:rPr>
                    <w:t>22.36</w:t>
                  </w:r>
                </w:p>
              </w:tc>
              <w:tc>
                <w:tcPr>
                  <w:tcW w:w="504" w:type="pct"/>
                  <w:vMerge w:val="restart"/>
                  <w:tcBorders>
                    <w:top w:val="single" w:sz="4" w:space="0" w:color="auto"/>
                    <w:left w:val="single" w:sz="4" w:space="0" w:color="auto"/>
                    <w:bottom w:val="single" w:sz="4" w:space="0" w:color="auto"/>
                    <w:right w:val="nil"/>
                  </w:tcBorders>
                  <w:vAlign w:val="center"/>
                </w:tcPr>
                <w:p w14:paraId="5B8B731C" w14:textId="77777777" w:rsidR="00F76A63" w:rsidRDefault="00000000">
                  <w:pPr>
                    <w:adjustRightInd w:val="0"/>
                    <w:snapToGrid w:val="0"/>
                    <w:jc w:val="center"/>
                    <w:rPr>
                      <w:sz w:val="18"/>
                      <w:szCs w:val="18"/>
                    </w:rPr>
                  </w:pPr>
                  <w:r>
                    <w:rPr>
                      <w:sz w:val="18"/>
                      <w:szCs w:val="18"/>
                    </w:rPr>
                    <w:t>/</w:t>
                  </w:r>
                </w:p>
              </w:tc>
            </w:tr>
            <w:tr w:rsidR="00F76A63" w14:paraId="05E7DF5C" w14:textId="77777777">
              <w:trPr>
                <w:trHeight w:val="340"/>
                <w:jc w:val="center"/>
              </w:trPr>
              <w:tc>
                <w:tcPr>
                  <w:tcW w:w="422" w:type="pct"/>
                  <w:vMerge/>
                  <w:tcBorders>
                    <w:left w:val="nil"/>
                    <w:right w:val="single" w:sz="4" w:space="0" w:color="auto"/>
                  </w:tcBorders>
                  <w:vAlign w:val="center"/>
                </w:tcPr>
                <w:p w14:paraId="1BD4EFF6"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3065FB9"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36930E41"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296A97B"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28F0B3AB" w14:textId="77777777" w:rsidR="00F76A63" w:rsidRDefault="00000000">
                  <w:pPr>
                    <w:adjustRightInd w:val="0"/>
                    <w:snapToGrid w:val="0"/>
                    <w:jc w:val="center"/>
                    <w:rPr>
                      <w:sz w:val="18"/>
                      <w:szCs w:val="18"/>
                    </w:rPr>
                  </w:pPr>
                  <w:r>
                    <w:rPr>
                      <w:sz w:val="18"/>
                      <w:szCs w:val="18"/>
                    </w:rPr>
                    <w:t>3.47</w:t>
                  </w:r>
                </w:p>
              </w:tc>
              <w:tc>
                <w:tcPr>
                  <w:tcW w:w="668" w:type="pct"/>
                  <w:tcBorders>
                    <w:top w:val="single" w:sz="4" w:space="0" w:color="auto"/>
                    <w:left w:val="single" w:sz="4" w:space="0" w:color="auto"/>
                    <w:bottom w:val="single" w:sz="4" w:space="0" w:color="auto"/>
                    <w:right w:val="single" w:sz="4" w:space="0" w:color="auto"/>
                  </w:tcBorders>
                  <w:vAlign w:val="center"/>
                </w:tcPr>
                <w:p w14:paraId="352974BF" w14:textId="77777777" w:rsidR="00F76A63" w:rsidRDefault="00000000">
                  <w:pPr>
                    <w:adjustRightInd w:val="0"/>
                    <w:snapToGrid w:val="0"/>
                    <w:jc w:val="center"/>
                    <w:rPr>
                      <w:sz w:val="18"/>
                      <w:szCs w:val="18"/>
                    </w:rPr>
                  </w:pPr>
                  <w:r>
                    <w:rPr>
                      <w:sz w:val="18"/>
                      <w:szCs w:val="18"/>
                    </w:rPr>
                    <w:t>17.9</w:t>
                  </w:r>
                </w:p>
              </w:tc>
              <w:tc>
                <w:tcPr>
                  <w:tcW w:w="707" w:type="pct"/>
                  <w:tcBorders>
                    <w:top w:val="single" w:sz="4" w:space="0" w:color="auto"/>
                    <w:left w:val="single" w:sz="4" w:space="0" w:color="auto"/>
                    <w:bottom w:val="single" w:sz="4" w:space="0" w:color="auto"/>
                    <w:right w:val="single" w:sz="4" w:space="0" w:color="auto"/>
                  </w:tcBorders>
                  <w:vAlign w:val="center"/>
                </w:tcPr>
                <w:p w14:paraId="1270A41F" w14:textId="77777777" w:rsidR="00F76A63" w:rsidRDefault="00000000">
                  <w:pPr>
                    <w:adjustRightInd w:val="0"/>
                    <w:snapToGrid w:val="0"/>
                    <w:jc w:val="center"/>
                    <w:rPr>
                      <w:b/>
                      <w:bCs/>
                      <w:sz w:val="18"/>
                      <w:szCs w:val="18"/>
                    </w:rPr>
                  </w:pPr>
                  <w:r>
                    <w:rPr>
                      <w:b/>
                      <w:bCs/>
                      <w:sz w:val="18"/>
                      <w:szCs w:val="18"/>
                    </w:rPr>
                    <w:t>67.37</w:t>
                  </w:r>
                </w:p>
              </w:tc>
              <w:tc>
                <w:tcPr>
                  <w:tcW w:w="504" w:type="pct"/>
                  <w:vMerge/>
                  <w:tcBorders>
                    <w:top w:val="single" w:sz="4" w:space="0" w:color="auto"/>
                    <w:left w:val="single" w:sz="4" w:space="0" w:color="auto"/>
                    <w:bottom w:val="single" w:sz="4" w:space="0" w:color="auto"/>
                    <w:right w:val="nil"/>
                  </w:tcBorders>
                  <w:vAlign w:val="center"/>
                </w:tcPr>
                <w:p w14:paraId="0654FFD9" w14:textId="77777777" w:rsidR="00F76A63" w:rsidRDefault="00F76A63">
                  <w:pPr>
                    <w:adjustRightInd w:val="0"/>
                    <w:snapToGrid w:val="0"/>
                    <w:jc w:val="center"/>
                    <w:rPr>
                      <w:sz w:val="18"/>
                      <w:szCs w:val="18"/>
                    </w:rPr>
                  </w:pPr>
                </w:p>
              </w:tc>
            </w:tr>
            <w:tr w:rsidR="00F76A63" w14:paraId="37D6BDAF" w14:textId="77777777">
              <w:trPr>
                <w:trHeight w:val="340"/>
                <w:jc w:val="center"/>
              </w:trPr>
              <w:tc>
                <w:tcPr>
                  <w:tcW w:w="422" w:type="pct"/>
                  <w:vMerge/>
                  <w:tcBorders>
                    <w:left w:val="nil"/>
                    <w:right w:val="single" w:sz="4" w:space="0" w:color="auto"/>
                  </w:tcBorders>
                  <w:vAlign w:val="center"/>
                </w:tcPr>
                <w:p w14:paraId="2B707064"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13946700"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3F402718"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B28911F"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7E541E16" w14:textId="77777777" w:rsidR="00F76A63" w:rsidRDefault="00000000">
                  <w:pPr>
                    <w:adjustRightInd w:val="0"/>
                    <w:snapToGrid w:val="0"/>
                    <w:jc w:val="center"/>
                    <w:rPr>
                      <w:sz w:val="18"/>
                      <w:szCs w:val="18"/>
                    </w:rPr>
                  </w:pPr>
                  <w:r>
                    <w:rPr>
                      <w:sz w:val="18"/>
                      <w:szCs w:val="18"/>
                    </w:rPr>
                    <w:t>0.78</w:t>
                  </w:r>
                </w:p>
              </w:tc>
              <w:tc>
                <w:tcPr>
                  <w:tcW w:w="668" w:type="pct"/>
                  <w:tcBorders>
                    <w:top w:val="single" w:sz="4" w:space="0" w:color="auto"/>
                    <w:left w:val="single" w:sz="4" w:space="0" w:color="auto"/>
                    <w:bottom w:val="single" w:sz="4" w:space="0" w:color="auto"/>
                    <w:right w:val="single" w:sz="4" w:space="0" w:color="auto"/>
                  </w:tcBorders>
                  <w:vAlign w:val="center"/>
                </w:tcPr>
                <w:p w14:paraId="7C132B4C" w14:textId="77777777" w:rsidR="00F76A63" w:rsidRDefault="00000000">
                  <w:pPr>
                    <w:adjustRightInd w:val="0"/>
                    <w:snapToGrid w:val="0"/>
                    <w:jc w:val="center"/>
                    <w:rPr>
                      <w:sz w:val="18"/>
                      <w:szCs w:val="18"/>
                    </w:rPr>
                  </w:pPr>
                  <w:r>
                    <w:rPr>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067105D0" w14:textId="77777777" w:rsidR="00F76A63" w:rsidRDefault="00000000">
                  <w:pPr>
                    <w:adjustRightInd w:val="0"/>
                    <w:snapToGrid w:val="0"/>
                    <w:jc w:val="center"/>
                    <w:rPr>
                      <w:sz w:val="18"/>
                      <w:szCs w:val="18"/>
                    </w:rPr>
                  </w:pPr>
                  <w:r>
                    <w:rPr>
                      <w:sz w:val="18"/>
                      <w:szCs w:val="18"/>
                    </w:rPr>
                    <w:t>0.11</w:t>
                  </w:r>
                </w:p>
              </w:tc>
              <w:tc>
                <w:tcPr>
                  <w:tcW w:w="504" w:type="pct"/>
                  <w:vMerge/>
                  <w:tcBorders>
                    <w:top w:val="single" w:sz="4" w:space="0" w:color="auto"/>
                    <w:left w:val="single" w:sz="4" w:space="0" w:color="auto"/>
                    <w:bottom w:val="single" w:sz="4" w:space="0" w:color="auto"/>
                    <w:right w:val="nil"/>
                  </w:tcBorders>
                  <w:vAlign w:val="center"/>
                </w:tcPr>
                <w:p w14:paraId="38F8B223" w14:textId="77777777" w:rsidR="00F76A63" w:rsidRDefault="00F76A63">
                  <w:pPr>
                    <w:adjustRightInd w:val="0"/>
                    <w:snapToGrid w:val="0"/>
                    <w:jc w:val="center"/>
                    <w:rPr>
                      <w:sz w:val="18"/>
                      <w:szCs w:val="18"/>
                    </w:rPr>
                  </w:pPr>
                </w:p>
              </w:tc>
            </w:tr>
            <w:tr w:rsidR="00F76A63" w14:paraId="3F4AB91C" w14:textId="77777777">
              <w:trPr>
                <w:trHeight w:val="340"/>
                <w:jc w:val="center"/>
              </w:trPr>
              <w:tc>
                <w:tcPr>
                  <w:tcW w:w="422" w:type="pct"/>
                  <w:vMerge/>
                  <w:tcBorders>
                    <w:left w:val="nil"/>
                    <w:right w:val="single" w:sz="4" w:space="0" w:color="auto"/>
                  </w:tcBorders>
                  <w:vAlign w:val="center"/>
                </w:tcPr>
                <w:p w14:paraId="4437BBAA"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2927417A" w14:textId="77777777" w:rsidR="00F76A63" w:rsidRDefault="00000000">
                  <w:pPr>
                    <w:adjustRightInd w:val="0"/>
                    <w:snapToGrid w:val="0"/>
                    <w:jc w:val="center"/>
                    <w:rPr>
                      <w:sz w:val="18"/>
                      <w:szCs w:val="18"/>
                    </w:rPr>
                  </w:pPr>
                  <w:r>
                    <w:rPr>
                      <w:sz w:val="18"/>
                      <w:szCs w:val="18"/>
                    </w:rPr>
                    <w:t>202412</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62079B31" w14:textId="77777777" w:rsidR="00F76A63" w:rsidRDefault="00000000">
                  <w:pPr>
                    <w:adjustRightInd w:val="0"/>
                    <w:snapToGrid w:val="0"/>
                    <w:jc w:val="center"/>
                    <w:rPr>
                      <w:sz w:val="18"/>
                      <w:szCs w:val="18"/>
                    </w:rPr>
                  </w:pPr>
                  <w:r>
                    <w:rPr>
                      <w:sz w:val="18"/>
                      <w:szCs w:val="18"/>
                    </w:rPr>
                    <w:t>452785.47</w:t>
                  </w:r>
                </w:p>
              </w:tc>
              <w:tc>
                <w:tcPr>
                  <w:tcW w:w="546" w:type="pct"/>
                  <w:tcBorders>
                    <w:top w:val="single" w:sz="4" w:space="0" w:color="auto"/>
                    <w:left w:val="single" w:sz="4" w:space="0" w:color="auto"/>
                    <w:bottom w:val="single" w:sz="4" w:space="0" w:color="auto"/>
                    <w:right w:val="single" w:sz="4" w:space="0" w:color="auto"/>
                  </w:tcBorders>
                  <w:vAlign w:val="center"/>
                </w:tcPr>
                <w:p w14:paraId="58D997A4"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E9B5D8C" w14:textId="77777777" w:rsidR="00F76A63" w:rsidRDefault="00000000">
                  <w:pPr>
                    <w:adjustRightInd w:val="0"/>
                    <w:snapToGrid w:val="0"/>
                    <w:jc w:val="center"/>
                    <w:rPr>
                      <w:sz w:val="18"/>
                      <w:szCs w:val="18"/>
                    </w:rPr>
                  </w:pPr>
                  <w:r>
                    <w:rPr>
                      <w:sz w:val="18"/>
                      <w:szCs w:val="18"/>
                    </w:rPr>
                    <w:t>2.76</w:t>
                  </w:r>
                </w:p>
              </w:tc>
              <w:tc>
                <w:tcPr>
                  <w:tcW w:w="668" w:type="pct"/>
                  <w:tcBorders>
                    <w:top w:val="single" w:sz="4" w:space="0" w:color="auto"/>
                    <w:left w:val="single" w:sz="4" w:space="0" w:color="auto"/>
                    <w:bottom w:val="single" w:sz="4" w:space="0" w:color="auto"/>
                    <w:right w:val="single" w:sz="4" w:space="0" w:color="auto"/>
                  </w:tcBorders>
                  <w:vAlign w:val="center"/>
                </w:tcPr>
                <w:p w14:paraId="19609E13" w14:textId="77777777" w:rsidR="00F76A63" w:rsidRDefault="00000000">
                  <w:pPr>
                    <w:adjustRightInd w:val="0"/>
                    <w:snapToGrid w:val="0"/>
                    <w:jc w:val="center"/>
                    <w:rPr>
                      <w:sz w:val="18"/>
                      <w:szCs w:val="18"/>
                    </w:rPr>
                  </w:pPr>
                  <w:r>
                    <w:rPr>
                      <w:sz w:val="18"/>
                      <w:szCs w:val="18"/>
                    </w:rPr>
                    <w:t>4.35</w:t>
                  </w:r>
                </w:p>
              </w:tc>
              <w:tc>
                <w:tcPr>
                  <w:tcW w:w="707" w:type="pct"/>
                  <w:tcBorders>
                    <w:top w:val="single" w:sz="4" w:space="0" w:color="auto"/>
                    <w:left w:val="single" w:sz="4" w:space="0" w:color="auto"/>
                    <w:bottom w:val="single" w:sz="4" w:space="0" w:color="auto"/>
                    <w:right w:val="single" w:sz="4" w:space="0" w:color="auto"/>
                  </w:tcBorders>
                  <w:vAlign w:val="center"/>
                </w:tcPr>
                <w:p w14:paraId="2A9D0D0E" w14:textId="77777777" w:rsidR="00F76A63" w:rsidRDefault="00000000">
                  <w:pPr>
                    <w:adjustRightInd w:val="0"/>
                    <w:snapToGrid w:val="0"/>
                    <w:jc w:val="center"/>
                    <w:rPr>
                      <w:sz w:val="18"/>
                      <w:szCs w:val="18"/>
                    </w:rPr>
                  </w:pPr>
                  <w:r>
                    <w:rPr>
                      <w:sz w:val="18"/>
                      <w:szCs w:val="18"/>
                    </w:rPr>
                    <w:t>31.83</w:t>
                  </w:r>
                </w:p>
              </w:tc>
              <w:tc>
                <w:tcPr>
                  <w:tcW w:w="504" w:type="pct"/>
                  <w:vMerge w:val="restart"/>
                  <w:tcBorders>
                    <w:top w:val="single" w:sz="4" w:space="0" w:color="auto"/>
                    <w:left w:val="single" w:sz="4" w:space="0" w:color="auto"/>
                    <w:bottom w:val="single" w:sz="4" w:space="0" w:color="auto"/>
                    <w:right w:val="nil"/>
                  </w:tcBorders>
                  <w:vAlign w:val="center"/>
                </w:tcPr>
                <w:p w14:paraId="660A96DE" w14:textId="77777777" w:rsidR="00F76A63" w:rsidRDefault="00000000">
                  <w:pPr>
                    <w:adjustRightInd w:val="0"/>
                    <w:snapToGrid w:val="0"/>
                    <w:jc w:val="center"/>
                    <w:rPr>
                      <w:sz w:val="18"/>
                      <w:szCs w:val="18"/>
                    </w:rPr>
                  </w:pPr>
                  <w:r>
                    <w:rPr>
                      <w:sz w:val="18"/>
                      <w:szCs w:val="18"/>
                    </w:rPr>
                    <w:t>/</w:t>
                  </w:r>
                </w:p>
              </w:tc>
            </w:tr>
            <w:tr w:rsidR="00F76A63" w14:paraId="50911351" w14:textId="77777777">
              <w:trPr>
                <w:trHeight w:val="340"/>
                <w:jc w:val="center"/>
              </w:trPr>
              <w:tc>
                <w:tcPr>
                  <w:tcW w:w="422" w:type="pct"/>
                  <w:vMerge/>
                  <w:tcBorders>
                    <w:left w:val="nil"/>
                    <w:right w:val="single" w:sz="4" w:space="0" w:color="auto"/>
                  </w:tcBorders>
                  <w:vAlign w:val="center"/>
                </w:tcPr>
                <w:p w14:paraId="30AC47AE"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C46B640"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1FCA9F80"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B55BAB5"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2E876FC" w14:textId="77777777" w:rsidR="00F76A63" w:rsidRDefault="00000000">
                  <w:pPr>
                    <w:adjustRightInd w:val="0"/>
                    <w:snapToGrid w:val="0"/>
                    <w:jc w:val="center"/>
                    <w:rPr>
                      <w:sz w:val="18"/>
                      <w:szCs w:val="18"/>
                    </w:rPr>
                  </w:pPr>
                  <w:r>
                    <w:rPr>
                      <w:sz w:val="18"/>
                      <w:szCs w:val="18"/>
                    </w:rPr>
                    <w:t>3.36</w:t>
                  </w:r>
                </w:p>
              </w:tc>
              <w:tc>
                <w:tcPr>
                  <w:tcW w:w="668" w:type="pct"/>
                  <w:tcBorders>
                    <w:top w:val="single" w:sz="4" w:space="0" w:color="auto"/>
                    <w:left w:val="single" w:sz="4" w:space="0" w:color="auto"/>
                    <w:bottom w:val="single" w:sz="4" w:space="0" w:color="auto"/>
                    <w:right w:val="single" w:sz="4" w:space="0" w:color="auto"/>
                  </w:tcBorders>
                  <w:vAlign w:val="center"/>
                </w:tcPr>
                <w:p w14:paraId="0B299B75" w14:textId="77777777" w:rsidR="00F76A63" w:rsidRDefault="00000000">
                  <w:pPr>
                    <w:adjustRightInd w:val="0"/>
                    <w:snapToGrid w:val="0"/>
                    <w:jc w:val="center"/>
                    <w:rPr>
                      <w:sz w:val="18"/>
                      <w:szCs w:val="18"/>
                    </w:rPr>
                  </w:pPr>
                  <w:r>
                    <w:rPr>
                      <w:sz w:val="18"/>
                      <w:szCs w:val="18"/>
                    </w:rPr>
                    <w:t>16.54</w:t>
                  </w:r>
                </w:p>
              </w:tc>
              <w:tc>
                <w:tcPr>
                  <w:tcW w:w="707" w:type="pct"/>
                  <w:tcBorders>
                    <w:top w:val="single" w:sz="4" w:space="0" w:color="auto"/>
                    <w:left w:val="single" w:sz="4" w:space="0" w:color="auto"/>
                    <w:bottom w:val="single" w:sz="4" w:space="0" w:color="auto"/>
                    <w:right w:val="single" w:sz="4" w:space="0" w:color="auto"/>
                  </w:tcBorders>
                  <w:vAlign w:val="center"/>
                </w:tcPr>
                <w:p w14:paraId="563D9F49" w14:textId="77777777" w:rsidR="00F76A63" w:rsidRDefault="00000000">
                  <w:pPr>
                    <w:adjustRightInd w:val="0"/>
                    <w:snapToGrid w:val="0"/>
                    <w:jc w:val="center"/>
                    <w:rPr>
                      <w:sz w:val="18"/>
                      <w:szCs w:val="18"/>
                    </w:rPr>
                  </w:pPr>
                  <w:r>
                    <w:rPr>
                      <w:sz w:val="18"/>
                      <w:szCs w:val="18"/>
                    </w:rPr>
                    <w:t>43.24</w:t>
                  </w:r>
                </w:p>
              </w:tc>
              <w:tc>
                <w:tcPr>
                  <w:tcW w:w="504" w:type="pct"/>
                  <w:vMerge/>
                  <w:tcBorders>
                    <w:top w:val="single" w:sz="4" w:space="0" w:color="auto"/>
                    <w:left w:val="single" w:sz="4" w:space="0" w:color="auto"/>
                    <w:bottom w:val="single" w:sz="4" w:space="0" w:color="auto"/>
                    <w:right w:val="nil"/>
                  </w:tcBorders>
                  <w:vAlign w:val="center"/>
                </w:tcPr>
                <w:p w14:paraId="15148DD0" w14:textId="77777777" w:rsidR="00F76A63" w:rsidRDefault="00F76A63">
                  <w:pPr>
                    <w:adjustRightInd w:val="0"/>
                    <w:snapToGrid w:val="0"/>
                    <w:jc w:val="center"/>
                    <w:rPr>
                      <w:sz w:val="18"/>
                      <w:szCs w:val="18"/>
                    </w:rPr>
                  </w:pPr>
                </w:p>
              </w:tc>
            </w:tr>
            <w:tr w:rsidR="00F76A63" w14:paraId="2213AF9C" w14:textId="77777777">
              <w:trPr>
                <w:trHeight w:val="340"/>
                <w:jc w:val="center"/>
              </w:trPr>
              <w:tc>
                <w:tcPr>
                  <w:tcW w:w="422" w:type="pct"/>
                  <w:vMerge/>
                  <w:tcBorders>
                    <w:left w:val="nil"/>
                    <w:right w:val="single" w:sz="4" w:space="0" w:color="auto"/>
                  </w:tcBorders>
                  <w:vAlign w:val="center"/>
                </w:tcPr>
                <w:p w14:paraId="689EF173"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34A1BF9D"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3C40C706"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C1FF49E"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0F81729" w14:textId="77777777" w:rsidR="00F76A63" w:rsidRDefault="00000000">
                  <w:pPr>
                    <w:adjustRightInd w:val="0"/>
                    <w:snapToGrid w:val="0"/>
                    <w:jc w:val="center"/>
                    <w:rPr>
                      <w:sz w:val="18"/>
                      <w:szCs w:val="18"/>
                    </w:rPr>
                  </w:pPr>
                  <w:r>
                    <w:rPr>
                      <w:sz w:val="18"/>
                      <w:szCs w:val="18"/>
                    </w:rPr>
                    <w:t>2.18</w:t>
                  </w:r>
                </w:p>
              </w:tc>
              <w:tc>
                <w:tcPr>
                  <w:tcW w:w="668" w:type="pct"/>
                  <w:tcBorders>
                    <w:top w:val="single" w:sz="4" w:space="0" w:color="auto"/>
                    <w:left w:val="single" w:sz="4" w:space="0" w:color="auto"/>
                    <w:bottom w:val="single" w:sz="4" w:space="0" w:color="auto"/>
                    <w:right w:val="single" w:sz="4" w:space="0" w:color="auto"/>
                  </w:tcBorders>
                  <w:vAlign w:val="center"/>
                </w:tcPr>
                <w:p w14:paraId="189D377E" w14:textId="77777777" w:rsidR="00F76A63" w:rsidRDefault="00000000">
                  <w:pPr>
                    <w:adjustRightInd w:val="0"/>
                    <w:snapToGrid w:val="0"/>
                    <w:jc w:val="center"/>
                    <w:rPr>
                      <w:sz w:val="18"/>
                      <w:szCs w:val="18"/>
                    </w:rPr>
                  </w:pPr>
                  <w:r>
                    <w:rPr>
                      <w:sz w:val="18"/>
                      <w:szCs w:val="18"/>
                    </w:rPr>
                    <w:t>0.76</w:t>
                  </w:r>
                </w:p>
              </w:tc>
              <w:tc>
                <w:tcPr>
                  <w:tcW w:w="707" w:type="pct"/>
                  <w:tcBorders>
                    <w:top w:val="single" w:sz="4" w:space="0" w:color="auto"/>
                    <w:left w:val="single" w:sz="4" w:space="0" w:color="auto"/>
                    <w:bottom w:val="single" w:sz="4" w:space="0" w:color="auto"/>
                    <w:right w:val="single" w:sz="4" w:space="0" w:color="auto"/>
                  </w:tcBorders>
                  <w:vAlign w:val="center"/>
                </w:tcPr>
                <w:p w14:paraId="6266AE12" w14:textId="77777777" w:rsidR="00F76A63" w:rsidRDefault="00000000">
                  <w:pPr>
                    <w:adjustRightInd w:val="0"/>
                    <w:snapToGrid w:val="0"/>
                    <w:jc w:val="center"/>
                    <w:rPr>
                      <w:sz w:val="18"/>
                      <w:szCs w:val="18"/>
                    </w:rPr>
                  </w:pPr>
                  <w:r>
                    <w:rPr>
                      <w:sz w:val="18"/>
                      <w:szCs w:val="18"/>
                    </w:rPr>
                    <w:t>21.67</w:t>
                  </w:r>
                </w:p>
              </w:tc>
              <w:tc>
                <w:tcPr>
                  <w:tcW w:w="504" w:type="pct"/>
                  <w:vMerge/>
                  <w:tcBorders>
                    <w:top w:val="single" w:sz="4" w:space="0" w:color="auto"/>
                    <w:left w:val="single" w:sz="4" w:space="0" w:color="auto"/>
                    <w:bottom w:val="single" w:sz="4" w:space="0" w:color="auto"/>
                    <w:right w:val="nil"/>
                  </w:tcBorders>
                  <w:vAlign w:val="center"/>
                </w:tcPr>
                <w:p w14:paraId="1830C574" w14:textId="77777777" w:rsidR="00F76A63" w:rsidRDefault="00F76A63">
                  <w:pPr>
                    <w:adjustRightInd w:val="0"/>
                    <w:snapToGrid w:val="0"/>
                    <w:jc w:val="center"/>
                    <w:rPr>
                      <w:sz w:val="18"/>
                      <w:szCs w:val="18"/>
                    </w:rPr>
                  </w:pPr>
                </w:p>
              </w:tc>
            </w:tr>
            <w:tr w:rsidR="00F76A63" w14:paraId="18F658E1" w14:textId="77777777">
              <w:trPr>
                <w:trHeight w:val="340"/>
                <w:jc w:val="center"/>
              </w:trPr>
              <w:tc>
                <w:tcPr>
                  <w:tcW w:w="422" w:type="pct"/>
                  <w:vMerge/>
                  <w:tcBorders>
                    <w:left w:val="nil"/>
                    <w:right w:val="single" w:sz="4" w:space="0" w:color="auto"/>
                  </w:tcBorders>
                  <w:vAlign w:val="center"/>
                </w:tcPr>
                <w:p w14:paraId="6844BD8D"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3028A7CF" w14:textId="77777777" w:rsidR="00F76A63" w:rsidRDefault="00000000">
                  <w:pPr>
                    <w:adjustRightInd w:val="0"/>
                    <w:snapToGrid w:val="0"/>
                    <w:jc w:val="center"/>
                    <w:rPr>
                      <w:sz w:val="18"/>
                      <w:szCs w:val="18"/>
                    </w:rPr>
                  </w:pPr>
                  <w:r>
                    <w:rPr>
                      <w:sz w:val="18"/>
                      <w:szCs w:val="18"/>
                    </w:rPr>
                    <w:t>202501</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22BA8505" w14:textId="77777777" w:rsidR="00F76A63" w:rsidRDefault="00000000">
                  <w:pPr>
                    <w:adjustRightInd w:val="0"/>
                    <w:snapToGrid w:val="0"/>
                    <w:jc w:val="center"/>
                    <w:rPr>
                      <w:sz w:val="18"/>
                      <w:szCs w:val="18"/>
                    </w:rPr>
                  </w:pPr>
                  <w:r>
                    <w:rPr>
                      <w:sz w:val="18"/>
                      <w:szCs w:val="18"/>
                    </w:rPr>
                    <w:t>277459.90</w:t>
                  </w:r>
                </w:p>
              </w:tc>
              <w:tc>
                <w:tcPr>
                  <w:tcW w:w="546" w:type="pct"/>
                  <w:tcBorders>
                    <w:top w:val="single" w:sz="4" w:space="0" w:color="auto"/>
                    <w:left w:val="single" w:sz="4" w:space="0" w:color="auto"/>
                    <w:bottom w:val="single" w:sz="4" w:space="0" w:color="auto"/>
                    <w:right w:val="single" w:sz="4" w:space="0" w:color="auto"/>
                  </w:tcBorders>
                  <w:vAlign w:val="center"/>
                </w:tcPr>
                <w:p w14:paraId="688DDBF8"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53C9A0E" w14:textId="77777777" w:rsidR="00F76A63" w:rsidRDefault="00000000">
                  <w:pPr>
                    <w:adjustRightInd w:val="0"/>
                    <w:snapToGrid w:val="0"/>
                    <w:jc w:val="center"/>
                    <w:rPr>
                      <w:sz w:val="18"/>
                      <w:szCs w:val="18"/>
                    </w:rPr>
                  </w:pPr>
                  <w:r>
                    <w:rPr>
                      <w:sz w:val="18"/>
                      <w:szCs w:val="18"/>
                    </w:rPr>
                    <w:t>2.70</w:t>
                  </w:r>
                </w:p>
              </w:tc>
              <w:tc>
                <w:tcPr>
                  <w:tcW w:w="668" w:type="pct"/>
                  <w:tcBorders>
                    <w:top w:val="single" w:sz="4" w:space="0" w:color="auto"/>
                    <w:left w:val="single" w:sz="4" w:space="0" w:color="auto"/>
                    <w:bottom w:val="single" w:sz="4" w:space="0" w:color="auto"/>
                    <w:right w:val="single" w:sz="4" w:space="0" w:color="auto"/>
                  </w:tcBorders>
                  <w:vAlign w:val="center"/>
                </w:tcPr>
                <w:p w14:paraId="20EEC036" w14:textId="77777777" w:rsidR="00F76A63" w:rsidRDefault="00000000">
                  <w:pPr>
                    <w:adjustRightInd w:val="0"/>
                    <w:snapToGrid w:val="0"/>
                    <w:jc w:val="center"/>
                    <w:rPr>
                      <w:sz w:val="18"/>
                      <w:szCs w:val="18"/>
                    </w:rPr>
                  </w:pPr>
                  <w:r>
                    <w:rPr>
                      <w:sz w:val="18"/>
                      <w:szCs w:val="18"/>
                    </w:rPr>
                    <w:t>1.46</w:t>
                  </w:r>
                </w:p>
              </w:tc>
              <w:tc>
                <w:tcPr>
                  <w:tcW w:w="707" w:type="pct"/>
                  <w:tcBorders>
                    <w:top w:val="single" w:sz="4" w:space="0" w:color="auto"/>
                    <w:left w:val="single" w:sz="4" w:space="0" w:color="auto"/>
                    <w:bottom w:val="single" w:sz="4" w:space="0" w:color="auto"/>
                    <w:right w:val="single" w:sz="4" w:space="0" w:color="auto"/>
                  </w:tcBorders>
                  <w:vAlign w:val="center"/>
                </w:tcPr>
                <w:p w14:paraId="0250A925" w14:textId="77777777" w:rsidR="00F76A63" w:rsidRDefault="00000000">
                  <w:pPr>
                    <w:adjustRightInd w:val="0"/>
                    <w:snapToGrid w:val="0"/>
                    <w:jc w:val="center"/>
                    <w:rPr>
                      <w:sz w:val="18"/>
                      <w:szCs w:val="18"/>
                    </w:rPr>
                  </w:pPr>
                  <w:r>
                    <w:rPr>
                      <w:sz w:val="18"/>
                      <w:szCs w:val="18"/>
                    </w:rPr>
                    <w:t>15.18</w:t>
                  </w:r>
                </w:p>
              </w:tc>
              <w:tc>
                <w:tcPr>
                  <w:tcW w:w="504" w:type="pct"/>
                  <w:vMerge w:val="restart"/>
                  <w:tcBorders>
                    <w:top w:val="single" w:sz="4" w:space="0" w:color="auto"/>
                    <w:left w:val="single" w:sz="4" w:space="0" w:color="auto"/>
                    <w:bottom w:val="single" w:sz="4" w:space="0" w:color="auto"/>
                    <w:right w:val="nil"/>
                  </w:tcBorders>
                  <w:vAlign w:val="center"/>
                </w:tcPr>
                <w:p w14:paraId="6B759587" w14:textId="77777777" w:rsidR="00F76A63" w:rsidRDefault="00000000">
                  <w:pPr>
                    <w:adjustRightInd w:val="0"/>
                    <w:snapToGrid w:val="0"/>
                    <w:jc w:val="center"/>
                    <w:rPr>
                      <w:sz w:val="18"/>
                      <w:szCs w:val="18"/>
                    </w:rPr>
                  </w:pPr>
                  <w:r>
                    <w:rPr>
                      <w:sz w:val="18"/>
                      <w:szCs w:val="18"/>
                    </w:rPr>
                    <w:t>/</w:t>
                  </w:r>
                </w:p>
              </w:tc>
            </w:tr>
            <w:tr w:rsidR="00F76A63" w14:paraId="50FEA7B6" w14:textId="77777777">
              <w:trPr>
                <w:trHeight w:val="340"/>
                <w:jc w:val="center"/>
              </w:trPr>
              <w:tc>
                <w:tcPr>
                  <w:tcW w:w="422" w:type="pct"/>
                  <w:vMerge/>
                  <w:tcBorders>
                    <w:left w:val="nil"/>
                    <w:right w:val="single" w:sz="4" w:space="0" w:color="auto"/>
                  </w:tcBorders>
                  <w:vAlign w:val="center"/>
                </w:tcPr>
                <w:p w14:paraId="3DBC6B75"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0073386E"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5F488E07"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D7D99FA"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568905A7" w14:textId="77777777" w:rsidR="00F76A63" w:rsidRDefault="00000000">
                  <w:pPr>
                    <w:adjustRightInd w:val="0"/>
                    <w:snapToGrid w:val="0"/>
                    <w:jc w:val="center"/>
                    <w:rPr>
                      <w:sz w:val="18"/>
                      <w:szCs w:val="18"/>
                    </w:rPr>
                  </w:pPr>
                  <w:r>
                    <w:rPr>
                      <w:sz w:val="18"/>
                      <w:szCs w:val="18"/>
                    </w:rPr>
                    <w:t>4.61</w:t>
                  </w:r>
                </w:p>
              </w:tc>
              <w:tc>
                <w:tcPr>
                  <w:tcW w:w="668" w:type="pct"/>
                  <w:tcBorders>
                    <w:top w:val="single" w:sz="4" w:space="0" w:color="auto"/>
                    <w:left w:val="single" w:sz="4" w:space="0" w:color="auto"/>
                    <w:bottom w:val="single" w:sz="4" w:space="0" w:color="auto"/>
                    <w:right w:val="single" w:sz="4" w:space="0" w:color="auto"/>
                  </w:tcBorders>
                  <w:vAlign w:val="center"/>
                </w:tcPr>
                <w:p w14:paraId="61AABEFE" w14:textId="77777777" w:rsidR="00F76A63" w:rsidRDefault="00000000">
                  <w:pPr>
                    <w:adjustRightInd w:val="0"/>
                    <w:snapToGrid w:val="0"/>
                    <w:jc w:val="center"/>
                    <w:rPr>
                      <w:sz w:val="18"/>
                      <w:szCs w:val="18"/>
                    </w:rPr>
                  </w:pPr>
                  <w:r>
                    <w:rPr>
                      <w:sz w:val="18"/>
                      <w:szCs w:val="18"/>
                    </w:rPr>
                    <w:t>3.60</w:t>
                  </w:r>
                </w:p>
              </w:tc>
              <w:tc>
                <w:tcPr>
                  <w:tcW w:w="707" w:type="pct"/>
                  <w:tcBorders>
                    <w:top w:val="single" w:sz="4" w:space="0" w:color="auto"/>
                    <w:left w:val="single" w:sz="4" w:space="0" w:color="auto"/>
                    <w:bottom w:val="single" w:sz="4" w:space="0" w:color="auto"/>
                    <w:right w:val="single" w:sz="4" w:space="0" w:color="auto"/>
                  </w:tcBorders>
                  <w:vAlign w:val="center"/>
                </w:tcPr>
                <w:p w14:paraId="6E6E029E" w14:textId="77777777" w:rsidR="00F76A63" w:rsidRDefault="00000000">
                  <w:pPr>
                    <w:adjustRightInd w:val="0"/>
                    <w:snapToGrid w:val="0"/>
                    <w:jc w:val="center"/>
                    <w:rPr>
                      <w:sz w:val="18"/>
                      <w:szCs w:val="18"/>
                    </w:rPr>
                  </w:pPr>
                  <w:r>
                    <w:rPr>
                      <w:sz w:val="18"/>
                      <w:szCs w:val="18"/>
                    </w:rPr>
                    <w:t>32.41</w:t>
                  </w:r>
                </w:p>
              </w:tc>
              <w:tc>
                <w:tcPr>
                  <w:tcW w:w="504" w:type="pct"/>
                  <w:vMerge/>
                  <w:tcBorders>
                    <w:top w:val="single" w:sz="4" w:space="0" w:color="auto"/>
                    <w:left w:val="single" w:sz="4" w:space="0" w:color="auto"/>
                    <w:bottom w:val="single" w:sz="4" w:space="0" w:color="auto"/>
                    <w:right w:val="nil"/>
                  </w:tcBorders>
                  <w:vAlign w:val="center"/>
                </w:tcPr>
                <w:p w14:paraId="0D675A44" w14:textId="77777777" w:rsidR="00F76A63" w:rsidRDefault="00F76A63">
                  <w:pPr>
                    <w:adjustRightInd w:val="0"/>
                    <w:snapToGrid w:val="0"/>
                    <w:jc w:val="center"/>
                    <w:rPr>
                      <w:sz w:val="18"/>
                      <w:szCs w:val="18"/>
                    </w:rPr>
                  </w:pPr>
                </w:p>
              </w:tc>
            </w:tr>
            <w:tr w:rsidR="00F76A63" w14:paraId="7EFBE061" w14:textId="77777777">
              <w:trPr>
                <w:trHeight w:val="340"/>
                <w:jc w:val="center"/>
              </w:trPr>
              <w:tc>
                <w:tcPr>
                  <w:tcW w:w="422" w:type="pct"/>
                  <w:vMerge/>
                  <w:tcBorders>
                    <w:left w:val="nil"/>
                    <w:right w:val="single" w:sz="4" w:space="0" w:color="auto"/>
                  </w:tcBorders>
                  <w:vAlign w:val="center"/>
                </w:tcPr>
                <w:p w14:paraId="5474D61F"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21473769"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42569F2"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A5E4898"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3E13EDB3" w14:textId="77777777" w:rsidR="00F76A63" w:rsidRDefault="00000000">
                  <w:pPr>
                    <w:adjustRightInd w:val="0"/>
                    <w:snapToGrid w:val="0"/>
                    <w:jc w:val="center"/>
                    <w:rPr>
                      <w:sz w:val="18"/>
                      <w:szCs w:val="18"/>
                    </w:rPr>
                  </w:pPr>
                  <w:r>
                    <w:rPr>
                      <w:sz w:val="18"/>
                      <w:szCs w:val="18"/>
                    </w:rPr>
                    <w:t>1.53</w:t>
                  </w:r>
                </w:p>
              </w:tc>
              <w:tc>
                <w:tcPr>
                  <w:tcW w:w="668" w:type="pct"/>
                  <w:tcBorders>
                    <w:top w:val="single" w:sz="4" w:space="0" w:color="auto"/>
                    <w:left w:val="single" w:sz="4" w:space="0" w:color="auto"/>
                    <w:bottom w:val="single" w:sz="4" w:space="0" w:color="auto"/>
                    <w:right w:val="single" w:sz="4" w:space="0" w:color="auto"/>
                  </w:tcBorders>
                  <w:vAlign w:val="center"/>
                </w:tcPr>
                <w:p w14:paraId="1D92B6E2" w14:textId="77777777" w:rsidR="00F76A63" w:rsidRDefault="00000000">
                  <w:pPr>
                    <w:adjustRightInd w:val="0"/>
                    <w:snapToGrid w:val="0"/>
                    <w:jc w:val="center"/>
                    <w:rPr>
                      <w:sz w:val="18"/>
                      <w:szCs w:val="18"/>
                    </w:rPr>
                  </w:pPr>
                  <w:r>
                    <w:rPr>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207EC130" w14:textId="77777777" w:rsidR="00F76A63" w:rsidRDefault="00000000">
                  <w:pPr>
                    <w:adjustRightInd w:val="0"/>
                    <w:snapToGrid w:val="0"/>
                    <w:jc w:val="center"/>
                    <w:rPr>
                      <w:sz w:val="18"/>
                      <w:szCs w:val="18"/>
                    </w:rPr>
                  </w:pPr>
                  <w:r>
                    <w:rPr>
                      <w:sz w:val="18"/>
                      <w:szCs w:val="18"/>
                    </w:rPr>
                    <w:t>0.11</w:t>
                  </w:r>
                </w:p>
              </w:tc>
              <w:tc>
                <w:tcPr>
                  <w:tcW w:w="504" w:type="pct"/>
                  <w:vMerge/>
                  <w:tcBorders>
                    <w:top w:val="single" w:sz="4" w:space="0" w:color="auto"/>
                    <w:left w:val="single" w:sz="4" w:space="0" w:color="auto"/>
                    <w:bottom w:val="single" w:sz="4" w:space="0" w:color="auto"/>
                    <w:right w:val="nil"/>
                  </w:tcBorders>
                  <w:vAlign w:val="center"/>
                </w:tcPr>
                <w:p w14:paraId="39C6140C" w14:textId="77777777" w:rsidR="00F76A63" w:rsidRDefault="00F76A63">
                  <w:pPr>
                    <w:adjustRightInd w:val="0"/>
                    <w:snapToGrid w:val="0"/>
                    <w:jc w:val="center"/>
                    <w:rPr>
                      <w:sz w:val="18"/>
                      <w:szCs w:val="18"/>
                    </w:rPr>
                  </w:pPr>
                </w:p>
              </w:tc>
            </w:tr>
            <w:tr w:rsidR="00F76A63" w14:paraId="45350239" w14:textId="77777777">
              <w:trPr>
                <w:trHeight w:val="340"/>
                <w:jc w:val="center"/>
              </w:trPr>
              <w:tc>
                <w:tcPr>
                  <w:tcW w:w="422" w:type="pct"/>
                  <w:vMerge/>
                  <w:tcBorders>
                    <w:left w:val="nil"/>
                    <w:right w:val="single" w:sz="4" w:space="0" w:color="auto"/>
                  </w:tcBorders>
                  <w:vAlign w:val="center"/>
                </w:tcPr>
                <w:p w14:paraId="1FDBE925"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528BE650" w14:textId="77777777" w:rsidR="00F76A63" w:rsidRDefault="00000000">
                  <w:pPr>
                    <w:adjustRightInd w:val="0"/>
                    <w:snapToGrid w:val="0"/>
                    <w:jc w:val="center"/>
                    <w:rPr>
                      <w:sz w:val="18"/>
                      <w:szCs w:val="18"/>
                    </w:rPr>
                  </w:pPr>
                  <w:r>
                    <w:rPr>
                      <w:sz w:val="18"/>
                      <w:szCs w:val="18"/>
                    </w:rPr>
                    <w:t>202502</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5C0F7BE7" w14:textId="77777777" w:rsidR="00F76A63" w:rsidRDefault="00000000">
                  <w:pPr>
                    <w:adjustRightInd w:val="0"/>
                    <w:snapToGrid w:val="0"/>
                    <w:jc w:val="center"/>
                    <w:rPr>
                      <w:sz w:val="18"/>
                      <w:szCs w:val="18"/>
                    </w:rPr>
                  </w:pPr>
                  <w:r>
                    <w:rPr>
                      <w:sz w:val="18"/>
                      <w:szCs w:val="18"/>
                    </w:rPr>
                    <w:t>332695.20</w:t>
                  </w:r>
                </w:p>
              </w:tc>
              <w:tc>
                <w:tcPr>
                  <w:tcW w:w="546" w:type="pct"/>
                  <w:tcBorders>
                    <w:top w:val="single" w:sz="4" w:space="0" w:color="auto"/>
                    <w:left w:val="single" w:sz="4" w:space="0" w:color="auto"/>
                    <w:bottom w:val="single" w:sz="4" w:space="0" w:color="auto"/>
                    <w:right w:val="single" w:sz="4" w:space="0" w:color="auto"/>
                  </w:tcBorders>
                  <w:vAlign w:val="center"/>
                </w:tcPr>
                <w:p w14:paraId="59113BE3"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05334DAF" w14:textId="77777777" w:rsidR="00F76A63" w:rsidRDefault="00000000">
                  <w:pPr>
                    <w:adjustRightInd w:val="0"/>
                    <w:snapToGrid w:val="0"/>
                    <w:jc w:val="center"/>
                    <w:rPr>
                      <w:sz w:val="18"/>
                      <w:szCs w:val="18"/>
                    </w:rPr>
                  </w:pPr>
                  <w:r>
                    <w:rPr>
                      <w:sz w:val="18"/>
                      <w:szCs w:val="18"/>
                    </w:rPr>
                    <w:t>1.86</w:t>
                  </w:r>
                </w:p>
              </w:tc>
              <w:tc>
                <w:tcPr>
                  <w:tcW w:w="668" w:type="pct"/>
                  <w:tcBorders>
                    <w:top w:val="single" w:sz="4" w:space="0" w:color="auto"/>
                    <w:left w:val="single" w:sz="4" w:space="0" w:color="auto"/>
                    <w:bottom w:val="single" w:sz="4" w:space="0" w:color="auto"/>
                    <w:right w:val="single" w:sz="4" w:space="0" w:color="auto"/>
                  </w:tcBorders>
                  <w:vAlign w:val="center"/>
                </w:tcPr>
                <w:p w14:paraId="1C37DA5D" w14:textId="77777777" w:rsidR="00F76A63" w:rsidRDefault="00000000">
                  <w:pPr>
                    <w:adjustRightInd w:val="0"/>
                    <w:snapToGrid w:val="0"/>
                    <w:jc w:val="center"/>
                    <w:rPr>
                      <w:sz w:val="18"/>
                      <w:szCs w:val="18"/>
                    </w:rPr>
                  </w:pPr>
                  <w:r>
                    <w:rPr>
                      <w:sz w:val="18"/>
                      <w:szCs w:val="18"/>
                    </w:rPr>
                    <w:t>7.00</w:t>
                  </w:r>
                </w:p>
              </w:tc>
              <w:tc>
                <w:tcPr>
                  <w:tcW w:w="707" w:type="pct"/>
                  <w:tcBorders>
                    <w:top w:val="single" w:sz="4" w:space="0" w:color="auto"/>
                    <w:left w:val="single" w:sz="4" w:space="0" w:color="auto"/>
                    <w:bottom w:val="single" w:sz="4" w:space="0" w:color="auto"/>
                    <w:right w:val="single" w:sz="4" w:space="0" w:color="auto"/>
                  </w:tcBorders>
                  <w:vAlign w:val="center"/>
                </w:tcPr>
                <w:p w14:paraId="25C0E692" w14:textId="77777777" w:rsidR="00F76A63" w:rsidRDefault="00000000">
                  <w:pPr>
                    <w:adjustRightInd w:val="0"/>
                    <w:snapToGrid w:val="0"/>
                    <w:jc w:val="center"/>
                    <w:rPr>
                      <w:sz w:val="18"/>
                      <w:szCs w:val="18"/>
                    </w:rPr>
                  </w:pPr>
                  <w:r>
                    <w:rPr>
                      <w:sz w:val="18"/>
                      <w:szCs w:val="18"/>
                    </w:rPr>
                    <w:t>25.17</w:t>
                  </w:r>
                </w:p>
              </w:tc>
              <w:tc>
                <w:tcPr>
                  <w:tcW w:w="504" w:type="pct"/>
                  <w:vMerge w:val="restart"/>
                  <w:tcBorders>
                    <w:top w:val="single" w:sz="4" w:space="0" w:color="auto"/>
                    <w:left w:val="single" w:sz="4" w:space="0" w:color="auto"/>
                    <w:bottom w:val="single" w:sz="4" w:space="0" w:color="auto"/>
                    <w:right w:val="nil"/>
                  </w:tcBorders>
                  <w:vAlign w:val="center"/>
                </w:tcPr>
                <w:p w14:paraId="745A3F22" w14:textId="77777777" w:rsidR="00F76A63" w:rsidRDefault="00000000">
                  <w:pPr>
                    <w:adjustRightInd w:val="0"/>
                    <w:snapToGrid w:val="0"/>
                    <w:jc w:val="center"/>
                    <w:rPr>
                      <w:sz w:val="18"/>
                      <w:szCs w:val="18"/>
                    </w:rPr>
                  </w:pPr>
                  <w:r>
                    <w:rPr>
                      <w:sz w:val="18"/>
                      <w:szCs w:val="18"/>
                    </w:rPr>
                    <w:t>/</w:t>
                  </w:r>
                </w:p>
              </w:tc>
            </w:tr>
            <w:tr w:rsidR="00F76A63" w14:paraId="7D5D8F52" w14:textId="77777777">
              <w:trPr>
                <w:trHeight w:val="340"/>
                <w:jc w:val="center"/>
              </w:trPr>
              <w:tc>
                <w:tcPr>
                  <w:tcW w:w="422" w:type="pct"/>
                  <w:vMerge/>
                  <w:tcBorders>
                    <w:left w:val="nil"/>
                    <w:right w:val="single" w:sz="4" w:space="0" w:color="auto"/>
                  </w:tcBorders>
                  <w:vAlign w:val="center"/>
                </w:tcPr>
                <w:p w14:paraId="1DA31CC0"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1592B5A3"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384EF76C"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876AF78"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0C366224" w14:textId="77777777" w:rsidR="00F76A63" w:rsidRDefault="00000000">
                  <w:pPr>
                    <w:adjustRightInd w:val="0"/>
                    <w:snapToGrid w:val="0"/>
                    <w:jc w:val="center"/>
                    <w:rPr>
                      <w:sz w:val="18"/>
                      <w:szCs w:val="18"/>
                    </w:rPr>
                  </w:pPr>
                  <w:r>
                    <w:rPr>
                      <w:sz w:val="18"/>
                      <w:szCs w:val="18"/>
                    </w:rPr>
                    <w:t>3.54</w:t>
                  </w:r>
                </w:p>
              </w:tc>
              <w:tc>
                <w:tcPr>
                  <w:tcW w:w="668" w:type="pct"/>
                  <w:tcBorders>
                    <w:top w:val="single" w:sz="4" w:space="0" w:color="auto"/>
                    <w:left w:val="single" w:sz="4" w:space="0" w:color="auto"/>
                    <w:bottom w:val="single" w:sz="4" w:space="0" w:color="auto"/>
                    <w:right w:val="single" w:sz="4" w:space="0" w:color="auto"/>
                  </w:tcBorders>
                  <w:vAlign w:val="center"/>
                </w:tcPr>
                <w:p w14:paraId="1D5FC6DD" w14:textId="77777777" w:rsidR="00F76A63" w:rsidRDefault="00000000">
                  <w:pPr>
                    <w:adjustRightInd w:val="0"/>
                    <w:snapToGrid w:val="0"/>
                    <w:jc w:val="center"/>
                    <w:rPr>
                      <w:sz w:val="18"/>
                      <w:szCs w:val="18"/>
                    </w:rPr>
                  </w:pPr>
                  <w:r>
                    <w:rPr>
                      <w:sz w:val="18"/>
                      <w:szCs w:val="18"/>
                    </w:rPr>
                    <w:t>14.64</w:t>
                  </w:r>
                </w:p>
              </w:tc>
              <w:tc>
                <w:tcPr>
                  <w:tcW w:w="707" w:type="pct"/>
                  <w:tcBorders>
                    <w:top w:val="single" w:sz="4" w:space="0" w:color="auto"/>
                    <w:left w:val="single" w:sz="4" w:space="0" w:color="auto"/>
                    <w:bottom w:val="single" w:sz="4" w:space="0" w:color="auto"/>
                    <w:right w:val="single" w:sz="4" w:space="0" w:color="auto"/>
                  </w:tcBorders>
                  <w:vAlign w:val="center"/>
                </w:tcPr>
                <w:p w14:paraId="7E5CC035" w14:textId="77777777" w:rsidR="00F76A63" w:rsidRDefault="00000000">
                  <w:pPr>
                    <w:adjustRightInd w:val="0"/>
                    <w:snapToGrid w:val="0"/>
                    <w:jc w:val="center"/>
                    <w:rPr>
                      <w:b/>
                      <w:bCs/>
                      <w:sz w:val="18"/>
                      <w:szCs w:val="18"/>
                    </w:rPr>
                  </w:pPr>
                  <w:r>
                    <w:rPr>
                      <w:b/>
                      <w:bCs/>
                      <w:sz w:val="18"/>
                      <w:szCs w:val="18"/>
                    </w:rPr>
                    <w:t>57.31</w:t>
                  </w:r>
                </w:p>
              </w:tc>
              <w:tc>
                <w:tcPr>
                  <w:tcW w:w="504" w:type="pct"/>
                  <w:vMerge/>
                  <w:tcBorders>
                    <w:top w:val="single" w:sz="4" w:space="0" w:color="auto"/>
                    <w:left w:val="single" w:sz="4" w:space="0" w:color="auto"/>
                    <w:bottom w:val="single" w:sz="4" w:space="0" w:color="auto"/>
                    <w:right w:val="nil"/>
                  </w:tcBorders>
                  <w:vAlign w:val="center"/>
                </w:tcPr>
                <w:p w14:paraId="4746ACBC" w14:textId="77777777" w:rsidR="00F76A63" w:rsidRDefault="00F76A63">
                  <w:pPr>
                    <w:adjustRightInd w:val="0"/>
                    <w:snapToGrid w:val="0"/>
                    <w:jc w:val="center"/>
                    <w:rPr>
                      <w:sz w:val="18"/>
                      <w:szCs w:val="18"/>
                    </w:rPr>
                  </w:pPr>
                </w:p>
              </w:tc>
            </w:tr>
            <w:tr w:rsidR="00F76A63" w14:paraId="188CC389" w14:textId="77777777">
              <w:trPr>
                <w:trHeight w:val="340"/>
                <w:jc w:val="center"/>
              </w:trPr>
              <w:tc>
                <w:tcPr>
                  <w:tcW w:w="422" w:type="pct"/>
                  <w:vMerge/>
                  <w:tcBorders>
                    <w:left w:val="nil"/>
                    <w:right w:val="single" w:sz="4" w:space="0" w:color="auto"/>
                  </w:tcBorders>
                  <w:vAlign w:val="center"/>
                </w:tcPr>
                <w:p w14:paraId="095033A1"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4D95E42"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020201B7"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2088700"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3C2FC359" w14:textId="77777777" w:rsidR="00F76A63" w:rsidRDefault="00000000">
                  <w:pPr>
                    <w:adjustRightInd w:val="0"/>
                    <w:snapToGrid w:val="0"/>
                    <w:jc w:val="center"/>
                    <w:rPr>
                      <w:sz w:val="18"/>
                      <w:szCs w:val="18"/>
                    </w:rPr>
                  </w:pPr>
                  <w:r>
                    <w:rPr>
                      <w:sz w:val="18"/>
                      <w:szCs w:val="18"/>
                    </w:rPr>
                    <w:t>1.01</w:t>
                  </w:r>
                </w:p>
              </w:tc>
              <w:tc>
                <w:tcPr>
                  <w:tcW w:w="668" w:type="pct"/>
                  <w:tcBorders>
                    <w:top w:val="single" w:sz="4" w:space="0" w:color="auto"/>
                    <w:left w:val="single" w:sz="4" w:space="0" w:color="auto"/>
                    <w:bottom w:val="single" w:sz="4" w:space="0" w:color="auto"/>
                    <w:right w:val="single" w:sz="4" w:space="0" w:color="auto"/>
                  </w:tcBorders>
                  <w:vAlign w:val="center"/>
                </w:tcPr>
                <w:p w14:paraId="0F660E98" w14:textId="77777777" w:rsidR="00F76A63" w:rsidRDefault="00000000">
                  <w:pPr>
                    <w:adjustRightInd w:val="0"/>
                    <w:snapToGrid w:val="0"/>
                    <w:jc w:val="center"/>
                    <w:rPr>
                      <w:sz w:val="18"/>
                      <w:szCs w:val="18"/>
                    </w:rPr>
                  </w:pPr>
                  <w:r>
                    <w:rPr>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594A87DA" w14:textId="77777777" w:rsidR="00F76A63" w:rsidRDefault="00000000">
                  <w:pPr>
                    <w:adjustRightInd w:val="0"/>
                    <w:snapToGrid w:val="0"/>
                    <w:jc w:val="center"/>
                    <w:rPr>
                      <w:sz w:val="18"/>
                      <w:szCs w:val="18"/>
                    </w:rPr>
                  </w:pPr>
                  <w:r>
                    <w:rPr>
                      <w:sz w:val="18"/>
                      <w:szCs w:val="18"/>
                    </w:rPr>
                    <w:t>0.11</w:t>
                  </w:r>
                </w:p>
              </w:tc>
              <w:tc>
                <w:tcPr>
                  <w:tcW w:w="504" w:type="pct"/>
                  <w:vMerge/>
                  <w:tcBorders>
                    <w:top w:val="single" w:sz="4" w:space="0" w:color="auto"/>
                    <w:left w:val="single" w:sz="4" w:space="0" w:color="auto"/>
                    <w:bottom w:val="single" w:sz="4" w:space="0" w:color="auto"/>
                    <w:right w:val="nil"/>
                  </w:tcBorders>
                  <w:vAlign w:val="center"/>
                </w:tcPr>
                <w:p w14:paraId="1B4A9D99" w14:textId="77777777" w:rsidR="00F76A63" w:rsidRDefault="00F76A63">
                  <w:pPr>
                    <w:adjustRightInd w:val="0"/>
                    <w:snapToGrid w:val="0"/>
                    <w:jc w:val="center"/>
                    <w:rPr>
                      <w:sz w:val="18"/>
                      <w:szCs w:val="18"/>
                    </w:rPr>
                  </w:pPr>
                </w:p>
              </w:tc>
            </w:tr>
            <w:tr w:rsidR="00F76A63" w14:paraId="7BAB97CA" w14:textId="77777777">
              <w:trPr>
                <w:trHeight w:val="340"/>
                <w:jc w:val="center"/>
              </w:trPr>
              <w:tc>
                <w:tcPr>
                  <w:tcW w:w="422" w:type="pct"/>
                  <w:vMerge/>
                  <w:tcBorders>
                    <w:left w:val="nil"/>
                    <w:right w:val="single" w:sz="4" w:space="0" w:color="auto"/>
                  </w:tcBorders>
                  <w:vAlign w:val="center"/>
                </w:tcPr>
                <w:p w14:paraId="6B362726"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1788C87B" w14:textId="77777777" w:rsidR="00F76A63" w:rsidRDefault="00000000">
                  <w:pPr>
                    <w:adjustRightInd w:val="0"/>
                    <w:snapToGrid w:val="0"/>
                    <w:jc w:val="center"/>
                    <w:rPr>
                      <w:sz w:val="18"/>
                      <w:szCs w:val="18"/>
                    </w:rPr>
                  </w:pPr>
                  <w:r>
                    <w:rPr>
                      <w:sz w:val="18"/>
                      <w:szCs w:val="18"/>
                    </w:rPr>
                    <w:t>202503</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757FCAE8" w14:textId="77777777" w:rsidR="00F76A63" w:rsidRDefault="00000000">
                  <w:pPr>
                    <w:adjustRightInd w:val="0"/>
                    <w:snapToGrid w:val="0"/>
                    <w:jc w:val="center"/>
                    <w:rPr>
                      <w:sz w:val="18"/>
                      <w:szCs w:val="18"/>
                    </w:rPr>
                  </w:pPr>
                  <w:r>
                    <w:rPr>
                      <w:sz w:val="18"/>
                      <w:szCs w:val="18"/>
                    </w:rPr>
                    <w:t>430628.92</w:t>
                  </w:r>
                </w:p>
              </w:tc>
              <w:tc>
                <w:tcPr>
                  <w:tcW w:w="546" w:type="pct"/>
                  <w:tcBorders>
                    <w:top w:val="single" w:sz="4" w:space="0" w:color="auto"/>
                    <w:left w:val="single" w:sz="4" w:space="0" w:color="auto"/>
                    <w:bottom w:val="single" w:sz="4" w:space="0" w:color="auto"/>
                    <w:right w:val="single" w:sz="4" w:space="0" w:color="auto"/>
                  </w:tcBorders>
                  <w:vAlign w:val="center"/>
                </w:tcPr>
                <w:p w14:paraId="42981746"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5FC1AEF8" w14:textId="77777777" w:rsidR="00F76A63" w:rsidRDefault="00000000">
                  <w:pPr>
                    <w:adjustRightInd w:val="0"/>
                    <w:snapToGrid w:val="0"/>
                    <w:jc w:val="center"/>
                    <w:rPr>
                      <w:sz w:val="18"/>
                      <w:szCs w:val="18"/>
                    </w:rPr>
                  </w:pPr>
                  <w:r>
                    <w:rPr>
                      <w:rFonts w:eastAsia="Arial Unicode MS"/>
                      <w:sz w:val="18"/>
                      <w:szCs w:val="18"/>
                    </w:rPr>
                    <w:t>1.44</w:t>
                  </w:r>
                </w:p>
              </w:tc>
              <w:tc>
                <w:tcPr>
                  <w:tcW w:w="668" w:type="pct"/>
                  <w:tcBorders>
                    <w:top w:val="single" w:sz="4" w:space="0" w:color="auto"/>
                    <w:left w:val="single" w:sz="4" w:space="0" w:color="auto"/>
                    <w:bottom w:val="single" w:sz="4" w:space="0" w:color="auto"/>
                    <w:right w:val="single" w:sz="4" w:space="0" w:color="auto"/>
                  </w:tcBorders>
                  <w:vAlign w:val="center"/>
                </w:tcPr>
                <w:p w14:paraId="2462586E" w14:textId="77777777" w:rsidR="00F76A63" w:rsidRDefault="00000000">
                  <w:pPr>
                    <w:adjustRightInd w:val="0"/>
                    <w:snapToGrid w:val="0"/>
                    <w:jc w:val="center"/>
                    <w:rPr>
                      <w:sz w:val="18"/>
                      <w:szCs w:val="18"/>
                    </w:rPr>
                  </w:pPr>
                  <w:r>
                    <w:rPr>
                      <w:sz w:val="18"/>
                      <w:szCs w:val="18"/>
                    </w:rPr>
                    <w:t>7.02</w:t>
                  </w:r>
                </w:p>
              </w:tc>
              <w:tc>
                <w:tcPr>
                  <w:tcW w:w="707" w:type="pct"/>
                  <w:tcBorders>
                    <w:top w:val="single" w:sz="4" w:space="0" w:color="auto"/>
                    <w:left w:val="single" w:sz="4" w:space="0" w:color="auto"/>
                    <w:bottom w:val="single" w:sz="4" w:space="0" w:color="auto"/>
                    <w:right w:val="single" w:sz="4" w:space="0" w:color="auto"/>
                  </w:tcBorders>
                  <w:vAlign w:val="center"/>
                </w:tcPr>
                <w:p w14:paraId="6BE742DC" w14:textId="77777777" w:rsidR="00F76A63" w:rsidRDefault="00000000">
                  <w:pPr>
                    <w:adjustRightInd w:val="0"/>
                    <w:snapToGrid w:val="0"/>
                    <w:jc w:val="center"/>
                    <w:rPr>
                      <w:sz w:val="18"/>
                      <w:szCs w:val="18"/>
                    </w:rPr>
                  </w:pPr>
                  <w:r>
                    <w:rPr>
                      <w:sz w:val="18"/>
                      <w:szCs w:val="18"/>
                    </w:rPr>
                    <w:t>32.43</w:t>
                  </w:r>
                </w:p>
              </w:tc>
              <w:tc>
                <w:tcPr>
                  <w:tcW w:w="504" w:type="pct"/>
                  <w:vMerge w:val="restart"/>
                  <w:tcBorders>
                    <w:top w:val="single" w:sz="4" w:space="0" w:color="auto"/>
                    <w:left w:val="single" w:sz="4" w:space="0" w:color="auto"/>
                    <w:bottom w:val="single" w:sz="4" w:space="0" w:color="auto"/>
                    <w:right w:val="nil"/>
                  </w:tcBorders>
                  <w:vAlign w:val="center"/>
                </w:tcPr>
                <w:p w14:paraId="21FCD607" w14:textId="77777777" w:rsidR="00F76A63" w:rsidRDefault="00000000">
                  <w:pPr>
                    <w:adjustRightInd w:val="0"/>
                    <w:snapToGrid w:val="0"/>
                    <w:jc w:val="center"/>
                    <w:rPr>
                      <w:sz w:val="18"/>
                      <w:szCs w:val="18"/>
                    </w:rPr>
                  </w:pPr>
                  <w:r>
                    <w:rPr>
                      <w:sz w:val="18"/>
                      <w:szCs w:val="18"/>
                    </w:rPr>
                    <w:t>/</w:t>
                  </w:r>
                </w:p>
              </w:tc>
            </w:tr>
            <w:tr w:rsidR="00F76A63" w14:paraId="793CEF30" w14:textId="77777777">
              <w:trPr>
                <w:trHeight w:val="340"/>
                <w:jc w:val="center"/>
              </w:trPr>
              <w:tc>
                <w:tcPr>
                  <w:tcW w:w="422" w:type="pct"/>
                  <w:vMerge/>
                  <w:tcBorders>
                    <w:left w:val="nil"/>
                    <w:right w:val="single" w:sz="4" w:space="0" w:color="auto"/>
                  </w:tcBorders>
                  <w:vAlign w:val="center"/>
                </w:tcPr>
                <w:p w14:paraId="00EB2B01"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8DD7A56"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3AB1F31"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6D879F6"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09CBA012" w14:textId="77777777" w:rsidR="00F76A63" w:rsidRDefault="00000000">
                  <w:pPr>
                    <w:widowControl/>
                    <w:jc w:val="center"/>
                    <w:rPr>
                      <w:rFonts w:eastAsia="Arial Unicode MS"/>
                      <w:kern w:val="0"/>
                      <w:sz w:val="18"/>
                      <w:szCs w:val="18"/>
                    </w:rPr>
                  </w:pPr>
                  <w:r>
                    <w:rPr>
                      <w:rFonts w:eastAsia="Arial Unicode MS"/>
                      <w:sz w:val="18"/>
                      <w:szCs w:val="18"/>
                    </w:rPr>
                    <w:t>1.91</w:t>
                  </w:r>
                </w:p>
              </w:tc>
              <w:tc>
                <w:tcPr>
                  <w:tcW w:w="668" w:type="pct"/>
                  <w:tcBorders>
                    <w:top w:val="single" w:sz="4" w:space="0" w:color="auto"/>
                    <w:left w:val="single" w:sz="4" w:space="0" w:color="auto"/>
                    <w:bottom w:val="single" w:sz="4" w:space="0" w:color="auto"/>
                    <w:right w:val="single" w:sz="4" w:space="0" w:color="auto"/>
                  </w:tcBorders>
                  <w:vAlign w:val="center"/>
                </w:tcPr>
                <w:p w14:paraId="63C893E0" w14:textId="77777777" w:rsidR="00F76A63" w:rsidRDefault="00000000">
                  <w:pPr>
                    <w:adjustRightInd w:val="0"/>
                    <w:snapToGrid w:val="0"/>
                    <w:jc w:val="center"/>
                    <w:rPr>
                      <w:sz w:val="18"/>
                      <w:szCs w:val="18"/>
                    </w:rPr>
                  </w:pPr>
                  <w:r>
                    <w:rPr>
                      <w:sz w:val="18"/>
                      <w:szCs w:val="18"/>
                    </w:rPr>
                    <w:t>15.83</w:t>
                  </w:r>
                </w:p>
              </w:tc>
              <w:tc>
                <w:tcPr>
                  <w:tcW w:w="707" w:type="pct"/>
                  <w:tcBorders>
                    <w:top w:val="single" w:sz="4" w:space="0" w:color="auto"/>
                    <w:left w:val="single" w:sz="4" w:space="0" w:color="auto"/>
                    <w:bottom w:val="single" w:sz="4" w:space="0" w:color="auto"/>
                    <w:right w:val="single" w:sz="4" w:space="0" w:color="auto"/>
                  </w:tcBorders>
                  <w:vAlign w:val="center"/>
                </w:tcPr>
                <w:p w14:paraId="20DDE134" w14:textId="77777777" w:rsidR="00F76A63" w:rsidRDefault="00000000">
                  <w:pPr>
                    <w:adjustRightInd w:val="0"/>
                    <w:snapToGrid w:val="0"/>
                    <w:jc w:val="center"/>
                    <w:rPr>
                      <w:sz w:val="18"/>
                      <w:szCs w:val="18"/>
                    </w:rPr>
                  </w:pPr>
                  <w:r>
                    <w:rPr>
                      <w:sz w:val="18"/>
                      <w:szCs w:val="18"/>
                    </w:rPr>
                    <w:t>37.21</w:t>
                  </w:r>
                </w:p>
              </w:tc>
              <w:tc>
                <w:tcPr>
                  <w:tcW w:w="504" w:type="pct"/>
                  <w:vMerge/>
                  <w:tcBorders>
                    <w:top w:val="single" w:sz="4" w:space="0" w:color="auto"/>
                    <w:left w:val="single" w:sz="4" w:space="0" w:color="auto"/>
                    <w:bottom w:val="single" w:sz="4" w:space="0" w:color="auto"/>
                    <w:right w:val="nil"/>
                  </w:tcBorders>
                  <w:vAlign w:val="center"/>
                </w:tcPr>
                <w:p w14:paraId="7B153FC9" w14:textId="77777777" w:rsidR="00F76A63" w:rsidRDefault="00F76A63">
                  <w:pPr>
                    <w:adjustRightInd w:val="0"/>
                    <w:snapToGrid w:val="0"/>
                    <w:jc w:val="center"/>
                    <w:rPr>
                      <w:sz w:val="18"/>
                      <w:szCs w:val="18"/>
                    </w:rPr>
                  </w:pPr>
                </w:p>
              </w:tc>
            </w:tr>
            <w:tr w:rsidR="00F76A63" w14:paraId="5DC4F479" w14:textId="77777777">
              <w:trPr>
                <w:trHeight w:val="340"/>
                <w:jc w:val="center"/>
              </w:trPr>
              <w:tc>
                <w:tcPr>
                  <w:tcW w:w="422" w:type="pct"/>
                  <w:vMerge/>
                  <w:tcBorders>
                    <w:left w:val="nil"/>
                    <w:right w:val="single" w:sz="4" w:space="0" w:color="auto"/>
                  </w:tcBorders>
                  <w:vAlign w:val="center"/>
                </w:tcPr>
                <w:p w14:paraId="31B0F74E"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D0C3058"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07A784FA"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0A5189A"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8ADA51D" w14:textId="77777777" w:rsidR="00F76A63" w:rsidRDefault="00000000">
                  <w:pPr>
                    <w:adjustRightInd w:val="0"/>
                    <w:snapToGrid w:val="0"/>
                    <w:jc w:val="center"/>
                    <w:rPr>
                      <w:sz w:val="18"/>
                      <w:szCs w:val="18"/>
                    </w:rPr>
                  </w:pPr>
                  <w:r>
                    <w:rPr>
                      <w:rFonts w:eastAsia="Arial Unicode MS"/>
                      <w:sz w:val="18"/>
                      <w:szCs w:val="18"/>
                    </w:rPr>
                    <w:t>1.16</w:t>
                  </w:r>
                </w:p>
              </w:tc>
              <w:tc>
                <w:tcPr>
                  <w:tcW w:w="668" w:type="pct"/>
                  <w:tcBorders>
                    <w:top w:val="single" w:sz="4" w:space="0" w:color="auto"/>
                    <w:left w:val="single" w:sz="4" w:space="0" w:color="auto"/>
                    <w:bottom w:val="single" w:sz="4" w:space="0" w:color="auto"/>
                    <w:right w:val="single" w:sz="4" w:space="0" w:color="auto"/>
                  </w:tcBorders>
                  <w:vAlign w:val="center"/>
                </w:tcPr>
                <w:p w14:paraId="58A402DB" w14:textId="77777777" w:rsidR="00F76A63" w:rsidRDefault="00000000">
                  <w:pPr>
                    <w:adjustRightInd w:val="0"/>
                    <w:snapToGrid w:val="0"/>
                    <w:jc w:val="center"/>
                    <w:rPr>
                      <w:sz w:val="18"/>
                      <w:szCs w:val="18"/>
                    </w:rPr>
                  </w:pPr>
                  <w:r>
                    <w:rPr>
                      <w:sz w:val="18"/>
                      <w:szCs w:val="18"/>
                    </w:rPr>
                    <w:t>0.83</w:t>
                  </w:r>
                </w:p>
              </w:tc>
              <w:tc>
                <w:tcPr>
                  <w:tcW w:w="707" w:type="pct"/>
                  <w:tcBorders>
                    <w:top w:val="single" w:sz="4" w:space="0" w:color="auto"/>
                    <w:left w:val="single" w:sz="4" w:space="0" w:color="auto"/>
                    <w:bottom w:val="single" w:sz="4" w:space="0" w:color="auto"/>
                    <w:right w:val="single" w:sz="4" w:space="0" w:color="auto"/>
                  </w:tcBorders>
                  <w:vAlign w:val="center"/>
                </w:tcPr>
                <w:p w14:paraId="270E63AD" w14:textId="77777777" w:rsidR="00F76A63" w:rsidRDefault="00000000">
                  <w:pPr>
                    <w:adjustRightInd w:val="0"/>
                    <w:snapToGrid w:val="0"/>
                    <w:jc w:val="center"/>
                    <w:rPr>
                      <w:sz w:val="18"/>
                      <w:szCs w:val="18"/>
                    </w:rPr>
                  </w:pPr>
                  <w:r>
                    <w:rPr>
                      <w:sz w:val="18"/>
                      <w:szCs w:val="18"/>
                    </w:rPr>
                    <w:t>27.37</w:t>
                  </w:r>
                </w:p>
              </w:tc>
              <w:tc>
                <w:tcPr>
                  <w:tcW w:w="504" w:type="pct"/>
                  <w:vMerge/>
                  <w:tcBorders>
                    <w:top w:val="single" w:sz="4" w:space="0" w:color="auto"/>
                    <w:left w:val="single" w:sz="4" w:space="0" w:color="auto"/>
                    <w:bottom w:val="single" w:sz="4" w:space="0" w:color="auto"/>
                    <w:right w:val="nil"/>
                  </w:tcBorders>
                  <w:vAlign w:val="center"/>
                </w:tcPr>
                <w:p w14:paraId="6E12AEB3" w14:textId="77777777" w:rsidR="00F76A63" w:rsidRDefault="00F76A63">
                  <w:pPr>
                    <w:adjustRightInd w:val="0"/>
                    <w:snapToGrid w:val="0"/>
                    <w:jc w:val="center"/>
                    <w:rPr>
                      <w:sz w:val="18"/>
                      <w:szCs w:val="18"/>
                    </w:rPr>
                  </w:pPr>
                </w:p>
              </w:tc>
            </w:tr>
            <w:tr w:rsidR="00F76A63" w14:paraId="4D7D6A64" w14:textId="77777777">
              <w:trPr>
                <w:trHeight w:val="340"/>
                <w:jc w:val="center"/>
              </w:trPr>
              <w:tc>
                <w:tcPr>
                  <w:tcW w:w="422" w:type="pct"/>
                  <w:vMerge/>
                  <w:tcBorders>
                    <w:left w:val="nil"/>
                    <w:right w:val="single" w:sz="4" w:space="0" w:color="auto"/>
                  </w:tcBorders>
                  <w:vAlign w:val="center"/>
                </w:tcPr>
                <w:p w14:paraId="67E3B214"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2533873A" w14:textId="77777777" w:rsidR="00F76A63" w:rsidRDefault="00000000">
                  <w:pPr>
                    <w:adjustRightInd w:val="0"/>
                    <w:snapToGrid w:val="0"/>
                    <w:jc w:val="center"/>
                    <w:rPr>
                      <w:sz w:val="18"/>
                      <w:szCs w:val="18"/>
                    </w:rPr>
                  </w:pPr>
                  <w:r>
                    <w:rPr>
                      <w:sz w:val="18"/>
                      <w:szCs w:val="18"/>
                    </w:rPr>
                    <w:t>202504</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44D78D5E" w14:textId="77777777" w:rsidR="00F76A63" w:rsidRDefault="00000000">
                  <w:pPr>
                    <w:adjustRightInd w:val="0"/>
                    <w:snapToGrid w:val="0"/>
                    <w:jc w:val="center"/>
                    <w:rPr>
                      <w:sz w:val="18"/>
                      <w:szCs w:val="18"/>
                    </w:rPr>
                  </w:pPr>
                  <w:r>
                    <w:rPr>
                      <w:sz w:val="18"/>
                      <w:szCs w:val="18"/>
                    </w:rPr>
                    <w:t>344888.60</w:t>
                  </w:r>
                </w:p>
              </w:tc>
              <w:tc>
                <w:tcPr>
                  <w:tcW w:w="546" w:type="pct"/>
                  <w:tcBorders>
                    <w:top w:val="single" w:sz="4" w:space="0" w:color="auto"/>
                    <w:left w:val="single" w:sz="4" w:space="0" w:color="auto"/>
                    <w:bottom w:val="single" w:sz="4" w:space="0" w:color="auto"/>
                    <w:right w:val="single" w:sz="4" w:space="0" w:color="auto"/>
                  </w:tcBorders>
                  <w:vAlign w:val="center"/>
                </w:tcPr>
                <w:p w14:paraId="1C572C10"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57421E47" w14:textId="77777777" w:rsidR="00F76A63" w:rsidRDefault="00000000">
                  <w:pPr>
                    <w:adjustRightInd w:val="0"/>
                    <w:snapToGrid w:val="0"/>
                    <w:jc w:val="center"/>
                    <w:rPr>
                      <w:sz w:val="18"/>
                      <w:szCs w:val="18"/>
                    </w:rPr>
                  </w:pPr>
                  <w:r>
                    <w:rPr>
                      <w:sz w:val="18"/>
                      <w:szCs w:val="18"/>
                    </w:rPr>
                    <w:t>1.85</w:t>
                  </w:r>
                </w:p>
              </w:tc>
              <w:tc>
                <w:tcPr>
                  <w:tcW w:w="668" w:type="pct"/>
                  <w:tcBorders>
                    <w:top w:val="single" w:sz="4" w:space="0" w:color="auto"/>
                    <w:left w:val="single" w:sz="4" w:space="0" w:color="auto"/>
                    <w:bottom w:val="single" w:sz="4" w:space="0" w:color="auto"/>
                    <w:right w:val="single" w:sz="4" w:space="0" w:color="auto"/>
                  </w:tcBorders>
                  <w:vAlign w:val="center"/>
                </w:tcPr>
                <w:p w14:paraId="1E907A0A" w14:textId="77777777" w:rsidR="00F76A63" w:rsidRDefault="00000000">
                  <w:pPr>
                    <w:adjustRightInd w:val="0"/>
                    <w:snapToGrid w:val="0"/>
                    <w:jc w:val="center"/>
                    <w:rPr>
                      <w:sz w:val="18"/>
                      <w:szCs w:val="18"/>
                    </w:rPr>
                  </w:pPr>
                  <w:r>
                    <w:rPr>
                      <w:sz w:val="18"/>
                      <w:szCs w:val="18"/>
                    </w:rPr>
                    <w:t>5.66</w:t>
                  </w:r>
                </w:p>
              </w:tc>
              <w:tc>
                <w:tcPr>
                  <w:tcW w:w="707" w:type="pct"/>
                  <w:tcBorders>
                    <w:top w:val="single" w:sz="4" w:space="0" w:color="auto"/>
                    <w:left w:val="single" w:sz="4" w:space="0" w:color="auto"/>
                    <w:bottom w:val="single" w:sz="4" w:space="0" w:color="auto"/>
                    <w:right w:val="single" w:sz="4" w:space="0" w:color="auto"/>
                  </w:tcBorders>
                  <w:vAlign w:val="center"/>
                </w:tcPr>
                <w:p w14:paraId="27A688DB" w14:textId="77777777" w:rsidR="00F76A63" w:rsidRDefault="00000000">
                  <w:pPr>
                    <w:adjustRightInd w:val="0"/>
                    <w:snapToGrid w:val="0"/>
                    <w:jc w:val="center"/>
                    <w:rPr>
                      <w:sz w:val="18"/>
                      <w:szCs w:val="18"/>
                    </w:rPr>
                  </w:pPr>
                  <w:r>
                    <w:rPr>
                      <w:sz w:val="18"/>
                      <w:szCs w:val="18"/>
                    </w:rPr>
                    <w:t>25.77</w:t>
                  </w:r>
                </w:p>
              </w:tc>
              <w:tc>
                <w:tcPr>
                  <w:tcW w:w="504" w:type="pct"/>
                  <w:vMerge w:val="restart"/>
                  <w:tcBorders>
                    <w:top w:val="single" w:sz="4" w:space="0" w:color="auto"/>
                    <w:left w:val="single" w:sz="4" w:space="0" w:color="auto"/>
                    <w:bottom w:val="single" w:sz="4" w:space="0" w:color="auto"/>
                    <w:right w:val="nil"/>
                  </w:tcBorders>
                  <w:vAlign w:val="center"/>
                </w:tcPr>
                <w:p w14:paraId="3ADD0E61" w14:textId="77777777" w:rsidR="00F76A63" w:rsidRDefault="00000000">
                  <w:pPr>
                    <w:adjustRightInd w:val="0"/>
                    <w:snapToGrid w:val="0"/>
                    <w:jc w:val="center"/>
                    <w:rPr>
                      <w:sz w:val="18"/>
                      <w:szCs w:val="18"/>
                    </w:rPr>
                  </w:pPr>
                  <w:r>
                    <w:rPr>
                      <w:sz w:val="18"/>
                      <w:szCs w:val="18"/>
                    </w:rPr>
                    <w:t>/</w:t>
                  </w:r>
                </w:p>
              </w:tc>
            </w:tr>
            <w:tr w:rsidR="00F76A63" w14:paraId="06D9C644" w14:textId="77777777">
              <w:trPr>
                <w:trHeight w:val="340"/>
                <w:jc w:val="center"/>
              </w:trPr>
              <w:tc>
                <w:tcPr>
                  <w:tcW w:w="422" w:type="pct"/>
                  <w:vMerge/>
                  <w:tcBorders>
                    <w:left w:val="nil"/>
                    <w:right w:val="single" w:sz="4" w:space="0" w:color="auto"/>
                  </w:tcBorders>
                  <w:vAlign w:val="center"/>
                </w:tcPr>
                <w:p w14:paraId="5F675F49"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1BBF4F02"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1546D140"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8D64FB4"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30BC82DC" w14:textId="77777777" w:rsidR="00F76A63" w:rsidRDefault="00000000">
                  <w:pPr>
                    <w:adjustRightInd w:val="0"/>
                    <w:snapToGrid w:val="0"/>
                    <w:jc w:val="center"/>
                    <w:rPr>
                      <w:sz w:val="18"/>
                      <w:szCs w:val="18"/>
                    </w:rPr>
                  </w:pPr>
                  <w:r>
                    <w:rPr>
                      <w:sz w:val="18"/>
                      <w:szCs w:val="18"/>
                    </w:rPr>
                    <w:t>2.53</w:t>
                  </w:r>
                </w:p>
              </w:tc>
              <w:tc>
                <w:tcPr>
                  <w:tcW w:w="668" w:type="pct"/>
                  <w:tcBorders>
                    <w:top w:val="single" w:sz="4" w:space="0" w:color="auto"/>
                    <w:left w:val="single" w:sz="4" w:space="0" w:color="auto"/>
                    <w:bottom w:val="single" w:sz="4" w:space="0" w:color="auto"/>
                    <w:right w:val="single" w:sz="4" w:space="0" w:color="auto"/>
                  </w:tcBorders>
                  <w:vAlign w:val="center"/>
                </w:tcPr>
                <w:p w14:paraId="4AF4FCED" w14:textId="77777777" w:rsidR="00F76A63" w:rsidRDefault="00000000">
                  <w:pPr>
                    <w:adjustRightInd w:val="0"/>
                    <w:snapToGrid w:val="0"/>
                    <w:jc w:val="center"/>
                    <w:rPr>
                      <w:sz w:val="18"/>
                      <w:szCs w:val="18"/>
                    </w:rPr>
                  </w:pPr>
                  <w:r>
                    <w:rPr>
                      <w:sz w:val="18"/>
                      <w:szCs w:val="18"/>
                    </w:rPr>
                    <w:t>18.84</w:t>
                  </w:r>
                </w:p>
              </w:tc>
              <w:tc>
                <w:tcPr>
                  <w:tcW w:w="707" w:type="pct"/>
                  <w:tcBorders>
                    <w:top w:val="single" w:sz="4" w:space="0" w:color="auto"/>
                    <w:left w:val="single" w:sz="4" w:space="0" w:color="auto"/>
                    <w:bottom w:val="single" w:sz="4" w:space="0" w:color="auto"/>
                    <w:right w:val="single" w:sz="4" w:space="0" w:color="auto"/>
                  </w:tcBorders>
                  <w:vAlign w:val="center"/>
                </w:tcPr>
                <w:p w14:paraId="3397E31F" w14:textId="77777777" w:rsidR="00F76A63" w:rsidRDefault="00000000">
                  <w:pPr>
                    <w:adjustRightInd w:val="0"/>
                    <w:snapToGrid w:val="0"/>
                    <w:jc w:val="center"/>
                    <w:rPr>
                      <w:sz w:val="18"/>
                      <w:szCs w:val="18"/>
                    </w:rPr>
                  </w:pPr>
                  <w:r>
                    <w:rPr>
                      <w:sz w:val="18"/>
                      <w:szCs w:val="18"/>
                    </w:rPr>
                    <w:t>45.67</w:t>
                  </w:r>
                </w:p>
              </w:tc>
              <w:tc>
                <w:tcPr>
                  <w:tcW w:w="504" w:type="pct"/>
                  <w:vMerge/>
                  <w:tcBorders>
                    <w:top w:val="single" w:sz="4" w:space="0" w:color="auto"/>
                    <w:left w:val="single" w:sz="4" w:space="0" w:color="auto"/>
                    <w:bottom w:val="single" w:sz="4" w:space="0" w:color="auto"/>
                    <w:right w:val="nil"/>
                  </w:tcBorders>
                  <w:vAlign w:val="center"/>
                </w:tcPr>
                <w:p w14:paraId="64F0D9A0" w14:textId="77777777" w:rsidR="00F76A63" w:rsidRDefault="00F76A63">
                  <w:pPr>
                    <w:adjustRightInd w:val="0"/>
                    <w:snapToGrid w:val="0"/>
                    <w:jc w:val="center"/>
                    <w:rPr>
                      <w:sz w:val="18"/>
                      <w:szCs w:val="18"/>
                    </w:rPr>
                  </w:pPr>
                </w:p>
              </w:tc>
            </w:tr>
            <w:tr w:rsidR="00F76A63" w14:paraId="024ACB2C" w14:textId="77777777">
              <w:trPr>
                <w:trHeight w:val="340"/>
                <w:jc w:val="center"/>
              </w:trPr>
              <w:tc>
                <w:tcPr>
                  <w:tcW w:w="422" w:type="pct"/>
                  <w:vMerge/>
                  <w:tcBorders>
                    <w:left w:val="nil"/>
                    <w:right w:val="single" w:sz="4" w:space="0" w:color="auto"/>
                  </w:tcBorders>
                  <w:vAlign w:val="center"/>
                </w:tcPr>
                <w:p w14:paraId="6B97CAD5"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394D4D0F"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6591FFB4"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D0B92A1"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3004F618" w14:textId="77777777" w:rsidR="00F76A63" w:rsidRDefault="00000000">
                  <w:pPr>
                    <w:adjustRightInd w:val="0"/>
                    <w:snapToGrid w:val="0"/>
                    <w:jc w:val="center"/>
                    <w:rPr>
                      <w:sz w:val="18"/>
                      <w:szCs w:val="18"/>
                    </w:rPr>
                  </w:pPr>
                  <w:r>
                    <w:rPr>
                      <w:sz w:val="18"/>
                      <w:szCs w:val="18"/>
                    </w:rPr>
                    <w:t>1.29</w:t>
                  </w:r>
                </w:p>
              </w:tc>
              <w:tc>
                <w:tcPr>
                  <w:tcW w:w="668" w:type="pct"/>
                  <w:tcBorders>
                    <w:top w:val="single" w:sz="4" w:space="0" w:color="auto"/>
                    <w:left w:val="single" w:sz="4" w:space="0" w:color="auto"/>
                    <w:bottom w:val="single" w:sz="4" w:space="0" w:color="auto"/>
                    <w:right w:val="single" w:sz="4" w:space="0" w:color="auto"/>
                  </w:tcBorders>
                  <w:vAlign w:val="center"/>
                </w:tcPr>
                <w:p w14:paraId="4961B4C2" w14:textId="77777777" w:rsidR="00F76A63" w:rsidRDefault="00000000">
                  <w:pPr>
                    <w:adjustRightInd w:val="0"/>
                    <w:snapToGrid w:val="0"/>
                    <w:jc w:val="center"/>
                    <w:rPr>
                      <w:sz w:val="18"/>
                      <w:szCs w:val="18"/>
                    </w:rPr>
                  </w:pPr>
                  <w:r>
                    <w:rPr>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44605F9A" w14:textId="77777777" w:rsidR="00F76A63" w:rsidRDefault="00000000">
                  <w:pPr>
                    <w:adjustRightInd w:val="0"/>
                    <w:snapToGrid w:val="0"/>
                    <w:jc w:val="center"/>
                    <w:rPr>
                      <w:sz w:val="18"/>
                      <w:szCs w:val="18"/>
                    </w:rPr>
                  </w:pPr>
                  <w:r>
                    <w:rPr>
                      <w:sz w:val="18"/>
                      <w:szCs w:val="18"/>
                    </w:rPr>
                    <w:t>0.11</w:t>
                  </w:r>
                </w:p>
              </w:tc>
              <w:tc>
                <w:tcPr>
                  <w:tcW w:w="504" w:type="pct"/>
                  <w:vMerge/>
                  <w:tcBorders>
                    <w:top w:val="single" w:sz="4" w:space="0" w:color="auto"/>
                    <w:left w:val="single" w:sz="4" w:space="0" w:color="auto"/>
                    <w:bottom w:val="single" w:sz="4" w:space="0" w:color="auto"/>
                    <w:right w:val="nil"/>
                  </w:tcBorders>
                  <w:vAlign w:val="center"/>
                </w:tcPr>
                <w:p w14:paraId="40406AB7" w14:textId="77777777" w:rsidR="00F76A63" w:rsidRDefault="00F76A63">
                  <w:pPr>
                    <w:adjustRightInd w:val="0"/>
                    <w:snapToGrid w:val="0"/>
                    <w:jc w:val="center"/>
                    <w:rPr>
                      <w:sz w:val="18"/>
                      <w:szCs w:val="18"/>
                    </w:rPr>
                  </w:pPr>
                </w:p>
              </w:tc>
            </w:tr>
            <w:tr w:rsidR="00F76A63" w14:paraId="73DEFD4A" w14:textId="77777777">
              <w:trPr>
                <w:trHeight w:val="340"/>
                <w:jc w:val="center"/>
              </w:trPr>
              <w:tc>
                <w:tcPr>
                  <w:tcW w:w="422" w:type="pct"/>
                  <w:vMerge/>
                  <w:tcBorders>
                    <w:left w:val="nil"/>
                    <w:right w:val="single" w:sz="4" w:space="0" w:color="auto"/>
                  </w:tcBorders>
                  <w:vAlign w:val="center"/>
                </w:tcPr>
                <w:p w14:paraId="0A60FE8D"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4612171B" w14:textId="77777777" w:rsidR="00F76A63" w:rsidRDefault="00000000">
                  <w:pPr>
                    <w:adjustRightInd w:val="0"/>
                    <w:snapToGrid w:val="0"/>
                    <w:jc w:val="center"/>
                    <w:rPr>
                      <w:sz w:val="18"/>
                      <w:szCs w:val="18"/>
                    </w:rPr>
                  </w:pPr>
                  <w:r>
                    <w:rPr>
                      <w:sz w:val="18"/>
                      <w:szCs w:val="18"/>
                    </w:rPr>
                    <w:t>202505</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3F0D33E7" w14:textId="77777777" w:rsidR="00F76A63" w:rsidRDefault="00000000">
                  <w:pPr>
                    <w:adjustRightInd w:val="0"/>
                    <w:snapToGrid w:val="0"/>
                    <w:jc w:val="center"/>
                    <w:rPr>
                      <w:sz w:val="18"/>
                      <w:szCs w:val="18"/>
                    </w:rPr>
                  </w:pPr>
                  <w:r>
                    <w:rPr>
                      <w:sz w:val="18"/>
                      <w:szCs w:val="18"/>
                    </w:rPr>
                    <w:t>395032.38</w:t>
                  </w:r>
                </w:p>
              </w:tc>
              <w:tc>
                <w:tcPr>
                  <w:tcW w:w="546" w:type="pct"/>
                  <w:tcBorders>
                    <w:top w:val="single" w:sz="4" w:space="0" w:color="auto"/>
                    <w:left w:val="single" w:sz="4" w:space="0" w:color="auto"/>
                    <w:bottom w:val="single" w:sz="4" w:space="0" w:color="auto"/>
                    <w:right w:val="single" w:sz="4" w:space="0" w:color="auto"/>
                  </w:tcBorders>
                  <w:vAlign w:val="center"/>
                </w:tcPr>
                <w:p w14:paraId="788CEBF2"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5144AA9C" w14:textId="77777777" w:rsidR="00F76A63" w:rsidRDefault="00000000">
                  <w:pPr>
                    <w:adjustRightInd w:val="0"/>
                    <w:snapToGrid w:val="0"/>
                    <w:jc w:val="center"/>
                    <w:rPr>
                      <w:sz w:val="18"/>
                      <w:szCs w:val="18"/>
                    </w:rPr>
                  </w:pPr>
                  <w:r>
                    <w:rPr>
                      <w:sz w:val="18"/>
                      <w:szCs w:val="18"/>
                    </w:rPr>
                    <w:t>2.08</w:t>
                  </w:r>
                </w:p>
              </w:tc>
              <w:tc>
                <w:tcPr>
                  <w:tcW w:w="668" w:type="pct"/>
                  <w:tcBorders>
                    <w:top w:val="single" w:sz="4" w:space="0" w:color="auto"/>
                    <w:left w:val="single" w:sz="4" w:space="0" w:color="auto"/>
                    <w:bottom w:val="single" w:sz="4" w:space="0" w:color="auto"/>
                    <w:right w:val="single" w:sz="4" w:space="0" w:color="auto"/>
                  </w:tcBorders>
                  <w:vAlign w:val="center"/>
                </w:tcPr>
                <w:p w14:paraId="5251FAB6" w14:textId="77777777" w:rsidR="00F76A63" w:rsidRDefault="00000000">
                  <w:pPr>
                    <w:adjustRightInd w:val="0"/>
                    <w:snapToGrid w:val="0"/>
                    <w:jc w:val="center"/>
                    <w:rPr>
                      <w:sz w:val="18"/>
                      <w:szCs w:val="18"/>
                    </w:rPr>
                  </w:pPr>
                  <w:r>
                    <w:rPr>
                      <w:sz w:val="18"/>
                      <w:szCs w:val="18"/>
                    </w:rPr>
                    <w:t>5.67</w:t>
                  </w:r>
                </w:p>
              </w:tc>
              <w:tc>
                <w:tcPr>
                  <w:tcW w:w="707" w:type="pct"/>
                  <w:tcBorders>
                    <w:top w:val="single" w:sz="4" w:space="0" w:color="auto"/>
                    <w:left w:val="single" w:sz="4" w:space="0" w:color="auto"/>
                    <w:bottom w:val="single" w:sz="4" w:space="0" w:color="auto"/>
                    <w:right w:val="single" w:sz="4" w:space="0" w:color="auto"/>
                  </w:tcBorders>
                  <w:vAlign w:val="center"/>
                </w:tcPr>
                <w:p w14:paraId="2E0C025E" w14:textId="77777777" w:rsidR="00F76A63" w:rsidRDefault="00000000">
                  <w:pPr>
                    <w:adjustRightInd w:val="0"/>
                    <w:snapToGrid w:val="0"/>
                    <w:jc w:val="center"/>
                    <w:rPr>
                      <w:sz w:val="18"/>
                      <w:szCs w:val="18"/>
                    </w:rPr>
                  </w:pPr>
                  <w:r>
                    <w:rPr>
                      <w:sz w:val="18"/>
                      <w:szCs w:val="18"/>
                    </w:rPr>
                    <w:t>31.37</w:t>
                  </w:r>
                </w:p>
              </w:tc>
              <w:tc>
                <w:tcPr>
                  <w:tcW w:w="504" w:type="pct"/>
                  <w:vMerge w:val="restart"/>
                  <w:tcBorders>
                    <w:top w:val="single" w:sz="4" w:space="0" w:color="auto"/>
                    <w:left w:val="single" w:sz="4" w:space="0" w:color="auto"/>
                    <w:bottom w:val="single" w:sz="4" w:space="0" w:color="auto"/>
                    <w:right w:val="nil"/>
                  </w:tcBorders>
                  <w:vAlign w:val="center"/>
                </w:tcPr>
                <w:p w14:paraId="1DC3995B" w14:textId="77777777" w:rsidR="00F76A63" w:rsidRDefault="00000000">
                  <w:pPr>
                    <w:adjustRightInd w:val="0"/>
                    <w:snapToGrid w:val="0"/>
                    <w:jc w:val="center"/>
                    <w:rPr>
                      <w:sz w:val="18"/>
                      <w:szCs w:val="18"/>
                    </w:rPr>
                  </w:pPr>
                  <w:r>
                    <w:rPr>
                      <w:sz w:val="18"/>
                      <w:szCs w:val="18"/>
                    </w:rPr>
                    <w:t>/</w:t>
                  </w:r>
                </w:p>
              </w:tc>
            </w:tr>
            <w:tr w:rsidR="00F76A63" w14:paraId="61FFA82A" w14:textId="77777777">
              <w:trPr>
                <w:trHeight w:val="340"/>
                <w:jc w:val="center"/>
              </w:trPr>
              <w:tc>
                <w:tcPr>
                  <w:tcW w:w="422" w:type="pct"/>
                  <w:vMerge/>
                  <w:tcBorders>
                    <w:left w:val="nil"/>
                    <w:right w:val="single" w:sz="4" w:space="0" w:color="auto"/>
                  </w:tcBorders>
                  <w:vAlign w:val="center"/>
                </w:tcPr>
                <w:p w14:paraId="4CA7F9CA"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326A89A"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5D1EFD33"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8E484E4"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41CADFDE" w14:textId="77777777" w:rsidR="00F76A63" w:rsidRDefault="00000000">
                  <w:pPr>
                    <w:adjustRightInd w:val="0"/>
                    <w:snapToGrid w:val="0"/>
                    <w:jc w:val="center"/>
                    <w:rPr>
                      <w:sz w:val="18"/>
                      <w:szCs w:val="18"/>
                    </w:rPr>
                  </w:pPr>
                  <w:r>
                    <w:rPr>
                      <w:sz w:val="18"/>
                      <w:szCs w:val="18"/>
                    </w:rPr>
                    <w:t>2.81</w:t>
                  </w:r>
                </w:p>
              </w:tc>
              <w:tc>
                <w:tcPr>
                  <w:tcW w:w="668" w:type="pct"/>
                  <w:tcBorders>
                    <w:top w:val="single" w:sz="4" w:space="0" w:color="auto"/>
                    <w:left w:val="single" w:sz="4" w:space="0" w:color="auto"/>
                    <w:bottom w:val="single" w:sz="4" w:space="0" w:color="auto"/>
                    <w:right w:val="single" w:sz="4" w:space="0" w:color="auto"/>
                  </w:tcBorders>
                  <w:vAlign w:val="center"/>
                </w:tcPr>
                <w:p w14:paraId="1EFB149A" w14:textId="77777777" w:rsidR="00F76A63" w:rsidRDefault="00000000">
                  <w:pPr>
                    <w:adjustRightInd w:val="0"/>
                    <w:snapToGrid w:val="0"/>
                    <w:jc w:val="center"/>
                    <w:rPr>
                      <w:sz w:val="18"/>
                      <w:szCs w:val="18"/>
                    </w:rPr>
                  </w:pPr>
                  <w:r>
                    <w:rPr>
                      <w:sz w:val="18"/>
                      <w:szCs w:val="18"/>
                    </w:rPr>
                    <w:t>4.45</w:t>
                  </w:r>
                </w:p>
              </w:tc>
              <w:tc>
                <w:tcPr>
                  <w:tcW w:w="707" w:type="pct"/>
                  <w:tcBorders>
                    <w:top w:val="single" w:sz="4" w:space="0" w:color="auto"/>
                    <w:left w:val="single" w:sz="4" w:space="0" w:color="auto"/>
                    <w:bottom w:val="single" w:sz="4" w:space="0" w:color="auto"/>
                    <w:right w:val="single" w:sz="4" w:space="0" w:color="auto"/>
                  </w:tcBorders>
                  <w:vAlign w:val="center"/>
                </w:tcPr>
                <w:p w14:paraId="21522054" w14:textId="77777777" w:rsidR="00F76A63" w:rsidRDefault="00000000">
                  <w:pPr>
                    <w:adjustRightInd w:val="0"/>
                    <w:snapToGrid w:val="0"/>
                    <w:jc w:val="center"/>
                    <w:rPr>
                      <w:sz w:val="18"/>
                      <w:szCs w:val="18"/>
                    </w:rPr>
                  </w:pPr>
                  <w:r>
                    <w:rPr>
                      <w:sz w:val="18"/>
                      <w:szCs w:val="18"/>
                    </w:rPr>
                    <w:t>38.98</w:t>
                  </w:r>
                </w:p>
              </w:tc>
              <w:tc>
                <w:tcPr>
                  <w:tcW w:w="504" w:type="pct"/>
                  <w:vMerge/>
                  <w:tcBorders>
                    <w:top w:val="single" w:sz="4" w:space="0" w:color="auto"/>
                    <w:left w:val="single" w:sz="4" w:space="0" w:color="auto"/>
                    <w:bottom w:val="single" w:sz="4" w:space="0" w:color="auto"/>
                    <w:right w:val="nil"/>
                  </w:tcBorders>
                  <w:vAlign w:val="center"/>
                </w:tcPr>
                <w:p w14:paraId="66AEFBD2" w14:textId="77777777" w:rsidR="00F76A63" w:rsidRDefault="00F76A63">
                  <w:pPr>
                    <w:adjustRightInd w:val="0"/>
                    <w:snapToGrid w:val="0"/>
                    <w:jc w:val="center"/>
                    <w:rPr>
                      <w:sz w:val="18"/>
                      <w:szCs w:val="18"/>
                    </w:rPr>
                  </w:pPr>
                </w:p>
              </w:tc>
            </w:tr>
            <w:tr w:rsidR="00F76A63" w14:paraId="750A1D7A" w14:textId="77777777">
              <w:trPr>
                <w:trHeight w:val="340"/>
                <w:jc w:val="center"/>
              </w:trPr>
              <w:tc>
                <w:tcPr>
                  <w:tcW w:w="422" w:type="pct"/>
                  <w:vMerge/>
                  <w:tcBorders>
                    <w:left w:val="nil"/>
                    <w:right w:val="single" w:sz="4" w:space="0" w:color="auto"/>
                  </w:tcBorders>
                  <w:vAlign w:val="center"/>
                </w:tcPr>
                <w:p w14:paraId="27E33D48"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3B2CDD2"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0D8EC2E4"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8D750E3"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3746E6D0" w14:textId="77777777" w:rsidR="00F76A63" w:rsidRDefault="00000000">
                  <w:pPr>
                    <w:adjustRightInd w:val="0"/>
                    <w:snapToGrid w:val="0"/>
                    <w:jc w:val="center"/>
                    <w:rPr>
                      <w:sz w:val="18"/>
                      <w:szCs w:val="18"/>
                    </w:rPr>
                  </w:pPr>
                  <w:r>
                    <w:rPr>
                      <w:sz w:val="18"/>
                      <w:szCs w:val="18"/>
                    </w:rPr>
                    <w:t>0.90</w:t>
                  </w:r>
                </w:p>
              </w:tc>
              <w:tc>
                <w:tcPr>
                  <w:tcW w:w="668" w:type="pct"/>
                  <w:tcBorders>
                    <w:top w:val="single" w:sz="4" w:space="0" w:color="auto"/>
                    <w:left w:val="single" w:sz="4" w:space="0" w:color="auto"/>
                    <w:bottom w:val="single" w:sz="4" w:space="0" w:color="auto"/>
                    <w:right w:val="single" w:sz="4" w:space="0" w:color="auto"/>
                  </w:tcBorders>
                  <w:vAlign w:val="center"/>
                </w:tcPr>
                <w:p w14:paraId="361184F1" w14:textId="77777777" w:rsidR="00F76A63" w:rsidRDefault="00000000">
                  <w:pPr>
                    <w:adjustRightInd w:val="0"/>
                    <w:snapToGrid w:val="0"/>
                    <w:jc w:val="center"/>
                    <w:rPr>
                      <w:sz w:val="18"/>
                      <w:szCs w:val="18"/>
                    </w:rPr>
                  </w:pPr>
                  <w:r>
                    <w:rPr>
                      <w:sz w:val="18"/>
                      <w:szCs w:val="18"/>
                    </w:rPr>
                    <w:t>1.03</w:t>
                  </w:r>
                </w:p>
              </w:tc>
              <w:tc>
                <w:tcPr>
                  <w:tcW w:w="707" w:type="pct"/>
                  <w:tcBorders>
                    <w:top w:val="single" w:sz="4" w:space="0" w:color="auto"/>
                    <w:left w:val="single" w:sz="4" w:space="0" w:color="auto"/>
                    <w:bottom w:val="single" w:sz="4" w:space="0" w:color="auto"/>
                    <w:right w:val="single" w:sz="4" w:space="0" w:color="auto"/>
                  </w:tcBorders>
                  <w:vAlign w:val="center"/>
                </w:tcPr>
                <w:p w14:paraId="5925E10C" w14:textId="77777777" w:rsidR="00F76A63" w:rsidRDefault="00000000">
                  <w:pPr>
                    <w:adjustRightInd w:val="0"/>
                    <w:snapToGrid w:val="0"/>
                    <w:jc w:val="center"/>
                    <w:rPr>
                      <w:sz w:val="18"/>
                      <w:szCs w:val="18"/>
                    </w:rPr>
                  </w:pPr>
                  <w:r>
                    <w:rPr>
                      <w:sz w:val="18"/>
                      <w:szCs w:val="18"/>
                    </w:rPr>
                    <w:t>25.09</w:t>
                  </w:r>
                </w:p>
              </w:tc>
              <w:tc>
                <w:tcPr>
                  <w:tcW w:w="504" w:type="pct"/>
                  <w:vMerge/>
                  <w:tcBorders>
                    <w:top w:val="single" w:sz="4" w:space="0" w:color="auto"/>
                    <w:left w:val="single" w:sz="4" w:space="0" w:color="auto"/>
                    <w:bottom w:val="single" w:sz="4" w:space="0" w:color="auto"/>
                    <w:right w:val="nil"/>
                  </w:tcBorders>
                  <w:vAlign w:val="center"/>
                </w:tcPr>
                <w:p w14:paraId="1D377ED9" w14:textId="77777777" w:rsidR="00F76A63" w:rsidRDefault="00F76A63">
                  <w:pPr>
                    <w:adjustRightInd w:val="0"/>
                    <w:snapToGrid w:val="0"/>
                    <w:jc w:val="center"/>
                    <w:rPr>
                      <w:sz w:val="18"/>
                      <w:szCs w:val="18"/>
                    </w:rPr>
                  </w:pPr>
                </w:p>
              </w:tc>
            </w:tr>
            <w:tr w:rsidR="00F76A63" w14:paraId="5DEF08DE" w14:textId="77777777">
              <w:trPr>
                <w:trHeight w:val="340"/>
                <w:jc w:val="center"/>
              </w:trPr>
              <w:tc>
                <w:tcPr>
                  <w:tcW w:w="422" w:type="pct"/>
                  <w:vMerge/>
                  <w:tcBorders>
                    <w:left w:val="nil"/>
                    <w:right w:val="single" w:sz="4" w:space="0" w:color="auto"/>
                  </w:tcBorders>
                  <w:vAlign w:val="center"/>
                </w:tcPr>
                <w:p w14:paraId="2019B893"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15CA9E92" w14:textId="77777777" w:rsidR="00F76A63" w:rsidRDefault="00000000">
                  <w:pPr>
                    <w:adjustRightInd w:val="0"/>
                    <w:snapToGrid w:val="0"/>
                    <w:jc w:val="center"/>
                    <w:rPr>
                      <w:sz w:val="18"/>
                      <w:szCs w:val="18"/>
                    </w:rPr>
                  </w:pPr>
                  <w:r>
                    <w:rPr>
                      <w:sz w:val="18"/>
                      <w:szCs w:val="18"/>
                    </w:rPr>
                    <w:t>202506</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1931FF3D" w14:textId="77777777" w:rsidR="00F76A63" w:rsidRDefault="00000000">
                  <w:pPr>
                    <w:adjustRightInd w:val="0"/>
                    <w:snapToGrid w:val="0"/>
                    <w:jc w:val="center"/>
                    <w:rPr>
                      <w:sz w:val="18"/>
                      <w:szCs w:val="18"/>
                    </w:rPr>
                  </w:pPr>
                  <w:r>
                    <w:rPr>
                      <w:sz w:val="18"/>
                      <w:szCs w:val="18"/>
                    </w:rPr>
                    <w:t>417741.88</w:t>
                  </w:r>
                </w:p>
              </w:tc>
              <w:tc>
                <w:tcPr>
                  <w:tcW w:w="546" w:type="pct"/>
                  <w:tcBorders>
                    <w:top w:val="single" w:sz="4" w:space="0" w:color="auto"/>
                    <w:left w:val="single" w:sz="4" w:space="0" w:color="auto"/>
                    <w:bottom w:val="single" w:sz="4" w:space="0" w:color="auto"/>
                    <w:right w:val="single" w:sz="4" w:space="0" w:color="auto"/>
                  </w:tcBorders>
                  <w:vAlign w:val="center"/>
                </w:tcPr>
                <w:p w14:paraId="2E19837B"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3D5C1A1" w14:textId="77777777" w:rsidR="00F76A63" w:rsidRDefault="00000000">
                  <w:pPr>
                    <w:adjustRightInd w:val="0"/>
                    <w:snapToGrid w:val="0"/>
                    <w:jc w:val="center"/>
                    <w:rPr>
                      <w:sz w:val="18"/>
                      <w:szCs w:val="18"/>
                    </w:rPr>
                  </w:pPr>
                  <w:r>
                    <w:rPr>
                      <w:sz w:val="18"/>
                      <w:szCs w:val="18"/>
                    </w:rPr>
                    <w:t>2.63</w:t>
                  </w:r>
                </w:p>
              </w:tc>
              <w:tc>
                <w:tcPr>
                  <w:tcW w:w="668" w:type="pct"/>
                  <w:tcBorders>
                    <w:top w:val="single" w:sz="4" w:space="0" w:color="auto"/>
                    <w:left w:val="single" w:sz="4" w:space="0" w:color="auto"/>
                    <w:bottom w:val="single" w:sz="4" w:space="0" w:color="auto"/>
                    <w:right w:val="single" w:sz="4" w:space="0" w:color="auto"/>
                  </w:tcBorders>
                  <w:vAlign w:val="center"/>
                </w:tcPr>
                <w:p w14:paraId="5A71FCF4" w14:textId="77777777" w:rsidR="00F76A63" w:rsidRDefault="00000000">
                  <w:pPr>
                    <w:adjustRightInd w:val="0"/>
                    <w:snapToGrid w:val="0"/>
                    <w:jc w:val="center"/>
                    <w:rPr>
                      <w:sz w:val="18"/>
                      <w:szCs w:val="18"/>
                    </w:rPr>
                  </w:pPr>
                  <w:r>
                    <w:rPr>
                      <w:sz w:val="18"/>
                      <w:szCs w:val="18"/>
                    </w:rPr>
                    <w:t>5.87</w:t>
                  </w:r>
                </w:p>
              </w:tc>
              <w:tc>
                <w:tcPr>
                  <w:tcW w:w="707" w:type="pct"/>
                  <w:tcBorders>
                    <w:top w:val="single" w:sz="4" w:space="0" w:color="auto"/>
                    <w:left w:val="single" w:sz="4" w:space="0" w:color="auto"/>
                    <w:bottom w:val="single" w:sz="4" w:space="0" w:color="auto"/>
                    <w:right w:val="single" w:sz="4" w:space="0" w:color="auto"/>
                  </w:tcBorders>
                  <w:vAlign w:val="center"/>
                </w:tcPr>
                <w:p w14:paraId="6201F0B5" w14:textId="77777777" w:rsidR="00F76A63" w:rsidRDefault="00000000">
                  <w:pPr>
                    <w:adjustRightInd w:val="0"/>
                    <w:snapToGrid w:val="0"/>
                    <w:jc w:val="center"/>
                    <w:rPr>
                      <w:sz w:val="18"/>
                      <w:szCs w:val="18"/>
                    </w:rPr>
                  </w:pPr>
                  <w:r>
                    <w:rPr>
                      <w:sz w:val="18"/>
                      <w:szCs w:val="18"/>
                    </w:rPr>
                    <w:t>32.53</w:t>
                  </w:r>
                </w:p>
              </w:tc>
              <w:tc>
                <w:tcPr>
                  <w:tcW w:w="504" w:type="pct"/>
                  <w:vMerge w:val="restart"/>
                  <w:tcBorders>
                    <w:top w:val="single" w:sz="4" w:space="0" w:color="auto"/>
                    <w:left w:val="single" w:sz="4" w:space="0" w:color="auto"/>
                    <w:bottom w:val="single" w:sz="4" w:space="0" w:color="auto"/>
                    <w:right w:val="nil"/>
                  </w:tcBorders>
                  <w:vAlign w:val="center"/>
                </w:tcPr>
                <w:p w14:paraId="7F7C484F" w14:textId="77777777" w:rsidR="00F76A63" w:rsidRDefault="00000000">
                  <w:pPr>
                    <w:adjustRightInd w:val="0"/>
                    <w:snapToGrid w:val="0"/>
                    <w:jc w:val="center"/>
                    <w:rPr>
                      <w:sz w:val="18"/>
                      <w:szCs w:val="18"/>
                    </w:rPr>
                  </w:pPr>
                  <w:r>
                    <w:rPr>
                      <w:sz w:val="18"/>
                      <w:szCs w:val="18"/>
                    </w:rPr>
                    <w:t>/</w:t>
                  </w:r>
                </w:p>
              </w:tc>
            </w:tr>
            <w:tr w:rsidR="00F76A63" w14:paraId="248B0E92" w14:textId="77777777">
              <w:trPr>
                <w:trHeight w:val="340"/>
                <w:jc w:val="center"/>
              </w:trPr>
              <w:tc>
                <w:tcPr>
                  <w:tcW w:w="422" w:type="pct"/>
                  <w:vMerge/>
                  <w:tcBorders>
                    <w:left w:val="nil"/>
                    <w:right w:val="single" w:sz="4" w:space="0" w:color="auto"/>
                  </w:tcBorders>
                  <w:vAlign w:val="center"/>
                </w:tcPr>
                <w:p w14:paraId="36340464"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04993EB5"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06075915"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2F13E5D"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5BF2576A" w14:textId="77777777" w:rsidR="00F76A63" w:rsidRDefault="00000000">
                  <w:pPr>
                    <w:adjustRightInd w:val="0"/>
                    <w:snapToGrid w:val="0"/>
                    <w:jc w:val="center"/>
                    <w:rPr>
                      <w:sz w:val="18"/>
                      <w:szCs w:val="18"/>
                    </w:rPr>
                  </w:pPr>
                  <w:r>
                    <w:rPr>
                      <w:sz w:val="18"/>
                      <w:szCs w:val="18"/>
                    </w:rPr>
                    <w:t>3.55</w:t>
                  </w:r>
                </w:p>
              </w:tc>
              <w:tc>
                <w:tcPr>
                  <w:tcW w:w="668" w:type="pct"/>
                  <w:tcBorders>
                    <w:top w:val="single" w:sz="4" w:space="0" w:color="auto"/>
                    <w:left w:val="single" w:sz="4" w:space="0" w:color="auto"/>
                    <w:bottom w:val="single" w:sz="4" w:space="0" w:color="auto"/>
                    <w:right w:val="single" w:sz="4" w:space="0" w:color="auto"/>
                  </w:tcBorders>
                  <w:vAlign w:val="center"/>
                </w:tcPr>
                <w:p w14:paraId="7B107158" w14:textId="77777777" w:rsidR="00F76A63" w:rsidRDefault="00000000">
                  <w:pPr>
                    <w:adjustRightInd w:val="0"/>
                    <w:snapToGrid w:val="0"/>
                    <w:jc w:val="center"/>
                    <w:rPr>
                      <w:sz w:val="18"/>
                      <w:szCs w:val="18"/>
                    </w:rPr>
                  </w:pPr>
                  <w:r>
                    <w:rPr>
                      <w:sz w:val="18"/>
                      <w:szCs w:val="18"/>
                    </w:rPr>
                    <w:t>12.33</w:t>
                  </w:r>
                </w:p>
              </w:tc>
              <w:tc>
                <w:tcPr>
                  <w:tcW w:w="707" w:type="pct"/>
                  <w:tcBorders>
                    <w:top w:val="single" w:sz="4" w:space="0" w:color="auto"/>
                    <w:left w:val="single" w:sz="4" w:space="0" w:color="auto"/>
                    <w:bottom w:val="single" w:sz="4" w:space="0" w:color="auto"/>
                    <w:right w:val="single" w:sz="4" w:space="0" w:color="auto"/>
                  </w:tcBorders>
                  <w:vAlign w:val="center"/>
                </w:tcPr>
                <w:p w14:paraId="40D93621" w14:textId="77777777" w:rsidR="00F76A63" w:rsidRDefault="00000000">
                  <w:pPr>
                    <w:adjustRightInd w:val="0"/>
                    <w:snapToGrid w:val="0"/>
                    <w:jc w:val="center"/>
                    <w:rPr>
                      <w:sz w:val="18"/>
                      <w:szCs w:val="18"/>
                    </w:rPr>
                  </w:pPr>
                  <w:r>
                    <w:rPr>
                      <w:sz w:val="18"/>
                      <w:szCs w:val="18"/>
                    </w:rPr>
                    <w:t>46.44</w:t>
                  </w:r>
                </w:p>
              </w:tc>
              <w:tc>
                <w:tcPr>
                  <w:tcW w:w="504" w:type="pct"/>
                  <w:vMerge/>
                  <w:tcBorders>
                    <w:top w:val="single" w:sz="4" w:space="0" w:color="auto"/>
                    <w:left w:val="single" w:sz="4" w:space="0" w:color="auto"/>
                    <w:bottom w:val="single" w:sz="4" w:space="0" w:color="auto"/>
                    <w:right w:val="nil"/>
                  </w:tcBorders>
                  <w:vAlign w:val="center"/>
                </w:tcPr>
                <w:p w14:paraId="67FE5EE3" w14:textId="77777777" w:rsidR="00F76A63" w:rsidRDefault="00F76A63">
                  <w:pPr>
                    <w:adjustRightInd w:val="0"/>
                    <w:snapToGrid w:val="0"/>
                    <w:jc w:val="center"/>
                    <w:rPr>
                      <w:sz w:val="18"/>
                      <w:szCs w:val="18"/>
                    </w:rPr>
                  </w:pPr>
                </w:p>
              </w:tc>
            </w:tr>
            <w:tr w:rsidR="00F76A63" w14:paraId="0C5A3BD7" w14:textId="77777777">
              <w:trPr>
                <w:trHeight w:val="340"/>
                <w:jc w:val="center"/>
              </w:trPr>
              <w:tc>
                <w:tcPr>
                  <w:tcW w:w="422" w:type="pct"/>
                  <w:vMerge/>
                  <w:tcBorders>
                    <w:left w:val="nil"/>
                    <w:right w:val="single" w:sz="4" w:space="0" w:color="auto"/>
                  </w:tcBorders>
                  <w:vAlign w:val="center"/>
                </w:tcPr>
                <w:p w14:paraId="05BAC44B"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9092F22"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20622CE8"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16175ED"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42F60766" w14:textId="77777777" w:rsidR="00F76A63" w:rsidRDefault="00000000">
                  <w:pPr>
                    <w:adjustRightInd w:val="0"/>
                    <w:snapToGrid w:val="0"/>
                    <w:jc w:val="center"/>
                    <w:rPr>
                      <w:sz w:val="18"/>
                      <w:szCs w:val="18"/>
                    </w:rPr>
                  </w:pPr>
                  <w:r>
                    <w:rPr>
                      <w:sz w:val="18"/>
                      <w:szCs w:val="18"/>
                    </w:rPr>
                    <w:t>1.67</w:t>
                  </w:r>
                </w:p>
              </w:tc>
              <w:tc>
                <w:tcPr>
                  <w:tcW w:w="668" w:type="pct"/>
                  <w:tcBorders>
                    <w:top w:val="single" w:sz="4" w:space="0" w:color="auto"/>
                    <w:left w:val="single" w:sz="4" w:space="0" w:color="auto"/>
                    <w:bottom w:val="single" w:sz="4" w:space="0" w:color="auto"/>
                    <w:right w:val="single" w:sz="4" w:space="0" w:color="auto"/>
                  </w:tcBorders>
                  <w:vAlign w:val="center"/>
                </w:tcPr>
                <w:p w14:paraId="7386A918" w14:textId="77777777" w:rsidR="00F76A63" w:rsidRDefault="00000000">
                  <w:pPr>
                    <w:adjustRightInd w:val="0"/>
                    <w:snapToGrid w:val="0"/>
                    <w:jc w:val="center"/>
                    <w:rPr>
                      <w:sz w:val="18"/>
                      <w:szCs w:val="18"/>
                    </w:rPr>
                  </w:pPr>
                  <w:r>
                    <w:rPr>
                      <w:sz w:val="18"/>
                      <w:szCs w:val="18"/>
                    </w:rPr>
                    <w:t>1.10</w:t>
                  </w:r>
                </w:p>
              </w:tc>
              <w:tc>
                <w:tcPr>
                  <w:tcW w:w="707" w:type="pct"/>
                  <w:tcBorders>
                    <w:top w:val="single" w:sz="4" w:space="0" w:color="auto"/>
                    <w:left w:val="single" w:sz="4" w:space="0" w:color="auto"/>
                    <w:bottom w:val="single" w:sz="4" w:space="0" w:color="auto"/>
                    <w:right w:val="single" w:sz="4" w:space="0" w:color="auto"/>
                  </w:tcBorders>
                  <w:vAlign w:val="center"/>
                </w:tcPr>
                <w:p w14:paraId="10120425" w14:textId="77777777" w:rsidR="00F76A63" w:rsidRDefault="00000000">
                  <w:pPr>
                    <w:adjustRightInd w:val="0"/>
                    <w:snapToGrid w:val="0"/>
                    <w:jc w:val="center"/>
                    <w:rPr>
                      <w:sz w:val="18"/>
                      <w:szCs w:val="18"/>
                    </w:rPr>
                  </w:pPr>
                  <w:r>
                    <w:rPr>
                      <w:sz w:val="18"/>
                      <w:szCs w:val="18"/>
                    </w:rPr>
                    <w:t>25.78</w:t>
                  </w:r>
                </w:p>
              </w:tc>
              <w:tc>
                <w:tcPr>
                  <w:tcW w:w="504" w:type="pct"/>
                  <w:vMerge/>
                  <w:tcBorders>
                    <w:top w:val="single" w:sz="4" w:space="0" w:color="auto"/>
                    <w:left w:val="single" w:sz="4" w:space="0" w:color="auto"/>
                    <w:bottom w:val="single" w:sz="4" w:space="0" w:color="auto"/>
                    <w:right w:val="nil"/>
                  </w:tcBorders>
                  <w:vAlign w:val="center"/>
                </w:tcPr>
                <w:p w14:paraId="1E35ADD3" w14:textId="77777777" w:rsidR="00F76A63" w:rsidRDefault="00F76A63">
                  <w:pPr>
                    <w:adjustRightInd w:val="0"/>
                    <w:snapToGrid w:val="0"/>
                    <w:jc w:val="center"/>
                    <w:rPr>
                      <w:sz w:val="18"/>
                      <w:szCs w:val="18"/>
                    </w:rPr>
                  </w:pPr>
                </w:p>
              </w:tc>
            </w:tr>
            <w:tr w:rsidR="00F76A63" w14:paraId="576D13F3" w14:textId="77777777">
              <w:trPr>
                <w:trHeight w:val="340"/>
                <w:jc w:val="center"/>
              </w:trPr>
              <w:tc>
                <w:tcPr>
                  <w:tcW w:w="422" w:type="pct"/>
                  <w:vMerge/>
                  <w:tcBorders>
                    <w:left w:val="nil"/>
                    <w:right w:val="single" w:sz="4" w:space="0" w:color="auto"/>
                  </w:tcBorders>
                  <w:vAlign w:val="center"/>
                </w:tcPr>
                <w:p w14:paraId="7CB665D1"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7C6D0466" w14:textId="77777777" w:rsidR="00F76A63" w:rsidRDefault="00000000">
                  <w:pPr>
                    <w:adjustRightInd w:val="0"/>
                    <w:snapToGrid w:val="0"/>
                    <w:jc w:val="center"/>
                    <w:rPr>
                      <w:sz w:val="18"/>
                      <w:szCs w:val="18"/>
                    </w:rPr>
                  </w:pPr>
                  <w:r>
                    <w:rPr>
                      <w:sz w:val="18"/>
                      <w:szCs w:val="18"/>
                    </w:rPr>
                    <w:t>202507</w:t>
                  </w:r>
                </w:p>
              </w:tc>
              <w:tc>
                <w:tcPr>
                  <w:tcW w:w="978" w:type="pct"/>
                  <w:vMerge w:val="restart"/>
                  <w:tcBorders>
                    <w:top w:val="single" w:sz="4" w:space="0" w:color="auto"/>
                    <w:left w:val="single" w:sz="4" w:space="0" w:color="auto"/>
                    <w:right w:val="single" w:sz="4" w:space="0" w:color="auto"/>
                  </w:tcBorders>
                  <w:vAlign w:val="center"/>
                </w:tcPr>
                <w:p w14:paraId="7D4EB875" w14:textId="77777777" w:rsidR="00F76A63" w:rsidRDefault="00000000">
                  <w:pPr>
                    <w:adjustRightInd w:val="0"/>
                    <w:snapToGrid w:val="0"/>
                    <w:jc w:val="center"/>
                    <w:rPr>
                      <w:sz w:val="18"/>
                      <w:szCs w:val="18"/>
                    </w:rPr>
                  </w:pPr>
                  <w:r>
                    <w:rPr>
                      <w:sz w:val="18"/>
                      <w:szCs w:val="18"/>
                    </w:rPr>
                    <w:t>434731.86</w:t>
                  </w:r>
                </w:p>
              </w:tc>
              <w:tc>
                <w:tcPr>
                  <w:tcW w:w="546" w:type="pct"/>
                  <w:tcBorders>
                    <w:top w:val="single" w:sz="4" w:space="0" w:color="auto"/>
                    <w:left w:val="single" w:sz="4" w:space="0" w:color="auto"/>
                    <w:bottom w:val="single" w:sz="4" w:space="0" w:color="auto"/>
                    <w:right w:val="single" w:sz="4" w:space="0" w:color="auto"/>
                  </w:tcBorders>
                  <w:vAlign w:val="center"/>
                </w:tcPr>
                <w:p w14:paraId="50076700"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470746A3" w14:textId="77777777" w:rsidR="00F76A63" w:rsidRDefault="00000000">
                  <w:pPr>
                    <w:adjustRightInd w:val="0"/>
                    <w:snapToGrid w:val="0"/>
                    <w:jc w:val="center"/>
                    <w:rPr>
                      <w:sz w:val="18"/>
                      <w:szCs w:val="18"/>
                    </w:rPr>
                  </w:pPr>
                  <w:r>
                    <w:rPr>
                      <w:sz w:val="18"/>
                      <w:szCs w:val="18"/>
                    </w:rPr>
                    <w:t>2.71</w:t>
                  </w:r>
                </w:p>
              </w:tc>
              <w:tc>
                <w:tcPr>
                  <w:tcW w:w="668" w:type="pct"/>
                  <w:tcBorders>
                    <w:top w:val="single" w:sz="4" w:space="0" w:color="auto"/>
                    <w:left w:val="single" w:sz="4" w:space="0" w:color="auto"/>
                    <w:bottom w:val="single" w:sz="4" w:space="0" w:color="auto"/>
                    <w:right w:val="single" w:sz="4" w:space="0" w:color="auto"/>
                  </w:tcBorders>
                  <w:vAlign w:val="center"/>
                </w:tcPr>
                <w:p w14:paraId="7D2DBAAC" w14:textId="77777777" w:rsidR="00F76A63" w:rsidRDefault="00000000">
                  <w:pPr>
                    <w:adjustRightInd w:val="0"/>
                    <w:snapToGrid w:val="0"/>
                    <w:jc w:val="center"/>
                    <w:rPr>
                      <w:sz w:val="18"/>
                      <w:szCs w:val="18"/>
                    </w:rPr>
                  </w:pPr>
                  <w:r>
                    <w:rPr>
                      <w:sz w:val="18"/>
                      <w:szCs w:val="18"/>
                    </w:rPr>
                    <w:t>9.91</w:t>
                  </w:r>
                </w:p>
              </w:tc>
              <w:tc>
                <w:tcPr>
                  <w:tcW w:w="707" w:type="pct"/>
                  <w:tcBorders>
                    <w:top w:val="single" w:sz="4" w:space="0" w:color="auto"/>
                    <w:left w:val="single" w:sz="4" w:space="0" w:color="auto"/>
                    <w:bottom w:val="single" w:sz="4" w:space="0" w:color="auto"/>
                    <w:right w:val="single" w:sz="4" w:space="0" w:color="auto"/>
                  </w:tcBorders>
                  <w:vAlign w:val="center"/>
                </w:tcPr>
                <w:p w14:paraId="5E5F420F" w14:textId="77777777" w:rsidR="00F76A63" w:rsidRDefault="00000000">
                  <w:pPr>
                    <w:adjustRightInd w:val="0"/>
                    <w:snapToGrid w:val="0"/>
                    <w:jc w:val="center"/>
                    <w:rPr>
                      <w:sz w:val="18"/>
                      <w:szCs w:val="18"/>
                    </w:rPr>
                  </w:pPr>
                  <w:r>
                    <w:rPr>
                      <w:sz w:val="18"/>
                      <w:szCs w:val="18"/>
                    </w:rPr>
                    <w:t>24.07</w:t>
                  </w:r>
                </w:p>
              </w:tc>
              <w:tc>
                <w:tcPr>
                  <w:tcW w:w="504" w:type="pct"/>
                  <w:vMerge w:val="restart"/>
                  <w:tcBorders>
                    <w:top w:val="single" w:sz="4" w:space="0" w:color="auto"/>
                    <w:left w:val="single" w:sz="4" w:space="0" w:color="auto"/>
                    <w:right w:val="nil"/>
                  </w:tcBorders>
                  <w:vAlign w:val="center"/>
                </w:tcPr>
                <w:p w14:paraId="077610BF" w14:textId="77777777" w:rsidR="00F76A63" w:rsidRDefault="00000000">
                  <w:pPr>
                    <w:adjustRightInd w:val="0"/>
                    <w:snapToGrid w:val="0"/>
                    <w:jc w:val="center"/>
                    <w:rPr>
                      <w:sz w:val="18"/>
                      <w:szCs w:val="18"/>
                    </w:rPr>
                  </w:pPr>
                  <w:r>
                    <w:rPr>
                      <w:sz w:val="18"/>
                      <w:szCs w:val="18"/>
                    </w:rPr>
                    <w:t>/</w:t>
                  </w:r>
                </w:p>
              </w:tc>
            </w:tr>
            <w:tr w:rsidR="00F76A63" w14:paraId="020E53A3" w14:textId="77777777">
              <w:trPr>
                <w:trHeight w:val="340"/>
                <w:jc w:val="center"/>
              </w:trPr>
              <w:tc>
                <w:tcPr>
                  <w:tcW w:w="422" w:type="pct"/>
                  <w:vMerge/>
                  <w:tcBorders>
                    <w:left w:val="nil"/>
                    <w:right w:val="single" w:sz="4" w:space="0" w:color="auto"/>
                  </w:tcBorders>
                  <w:vAlign w:val="center"/>
                </w:tcPr>
                <w:p w14:paraId="0EA343B2"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868C527"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56603991"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48D45B2"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7AB78538" w14:textId="77777777" w:rsidR="00F76A63" w:rsidRDefault="00000000">
                  <w:pPr>
                    <w:adjustRightInd w:val="0"/>
                    <w:snapToGrid w:val="0"/>
                    <w:jc w:val="center"/>
                    <w:rPr>
                      <w:sz w:val="18"/>
                      <w:szCs w:val="18"/>
                    </w:rPr>
                  </w:pPr>
                  <w:r>
                    <w:rPr>
                      <w:sz w:val="18"/>
                      <w:szCs w:val="18"/>
                    </w:rPr>
                    <w:t>3.89</w:t>
                  </w:r>
                </w:p>
              </w:tc>
              <w:tc>
                <w:tcPr>
                  <w:tcW w:w="668" w:type="pct"/>
                  <w:tcBorders>
                    <w:top w:val="single" w:sz="4" w:space="0" w:color="auto"/>
                    <w:left w:val="single" w:sz="4" w:space="0" w:color="auto"/>
                    <w:bottom w:val="single" w:sz="4" w:space="0" w:color="auto"/>
                    <w:right w:val="single" w:sz="4" w:space="0" w:color="auto"/>
                  </w:tcBorders>
                  <w:vAlign w:val="center"/>
                </w:tcPr>
                <w:p w14:paraId="6D7EA117" w14:textId="77777777" w:rsidR="00F76A63" w:rsidRDefault="00000000">
                  <w:pPr>
                    <w:adjustRightInd w:val="0"/>
                    <w:snapToGrid w:val="0"/>
                    <w:jc w:val="center"/>
                    <w:rPr>
                      <w:sz w:val="18"/>
                      <w:szCs w:val="18"/>
                    </w:rPr>
                  </w:pPr>
                  <w:r>
                    <w:rPr>
                      <w:sz w:val="18"/>
                      <w:szCs w:val="18"/>
                    </w:rPr>
                    <w:t>18.68</w:t>
                  </w:r>
                </w:p>
              </w:tc>
              <w:tc>
                <w:tcPr>
                  <w:tcW w:w="707" w:type="pct"/>
                  <w:tcBorders>
                    <w:top w:val="single" w:sz="4" w:space="0" w:color="auto"/>
                    <w:left w:val="single" w:sz="4" w:space="0" w:color="auto"/>
                    <w:bottom w:val="single" w:sz="4" w:space="0" w:color="auto"/>
                    <w:right w:val="single" w:sz="4" w:space="0" w:color="auto"/>
                  </w:tcBorders>
                  <w:vAlign w:val="center"/>
                </w:tcPr>
                <w:p w14:paraId="2DF6D0FD" w14:textId="77777777" w:rsidR="00F76A63" w:rsidRDefault="00000000">
                  <w:pPr>
                    <w:adjustRightInd w:val="0"/>
                    <w:snapToGrid w:val="0"/>
                    <w:jc w:val="center"/>
                    <w:rPr>
                      <w:sz w:val="18"/>
                      <w:szCs w:val="18"/>
                    </w:rPr>
                  </w:pPr>
                  <w:r>
                    <w:rPr>
                      <w:sz w:val="18"/>
                      <w:szCs w:val="18"/>
                    </w:rPr>
                    <w:t>32.65</w:t>
                  </w:r>
                </w:p>
              </w:tc>
              <w:tc>
                <w:tcPr>
                  <w:tcW w:w="504" w:type="pct"/>
                  <w:vMerge/>
                  <w:tcBorders>
                    <w:left w:val="single" w:sz="4" w:space="0" w:color="auto"/>
                    <w:right w:val="nil"/>
                  </w:tcBorders>
                  <w:vAlign w:val="center"/>
                </w:tcPr>
                <w:p w14:paraId="70BC4775" w14:textId="77777777" w:rsidR="00F76A63" w:rsidRDefault="00F76A63">
                  <w:pPr>
                    <w:adjustRightInd w:val="0"/>
                    <w:snapToGrid w:val="0"/>
                    <w:jc w:val="center"/>
                    <w:rPr>
                      <w:sz w:val="18"/>
                      <w:szCs w:val="18"/>
                    </w:rPr>
                  </w:pPr>
                </w:p>
              </w:tc>
            </w:tr>
            <w:tr w:rsidR="00F76A63" w14:paraId="002CDAC1" w14:textId="77777777">
              <w:trPr>
                <w:trHeight w:val="340"/>
                <w:jc w:val="center"/>
              </w:trPr>
              <w:tc>
                <w:tcPr>
                  <w:tcW w:w="422" w:type="pct"/>
                  <w:vMerge/>
                  <w:tcBorders>
                    <w:left w:val="nil"/>
                    <w:right w:val="single" w:sz="4" w:space="0" w:color="auto"/>
                  </w:tcBorders>
                  <w:vAlign w:val="center"/>
                </w:tcPr>
                <w:p w14:paraId="7AAB38B4"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15AB3CD8"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6549E0CA"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E4199AC"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5B131BB" w14:textId="77777777" w:rsidR="00F76A63" w:rsidRDefault="00000000">
                  <w:pPr>
                    <w:adjustRightInd w:val="0"/>
                    <w:snapToGrid w:val="0"/>
                    <w:jc w:val="center"/>
                    <w:rPr>
                      <w:sz w:val="18"/>
                      <w:szCs w:val="18"/>
                    </w:rPr>
                  </w:pPr>
                  <w:r>
                    <w:rPr>
                      <w:sz w:val="18"/>
                      <w:szCs w:val="18"/>
                    </w:rPr>
                    <w:t>1.91</w:t>
                  </w:r>
                </w:p>
              </w:tc>
              <w:tc>
                <w:tcPr>
                  <w:tcW w:w="668" w:type="pct"/>
                  <w:tcBorders>
                    <w:top w:val="single" w:sz="4" w:space="0" w:color="auto"/>
                    <w:left w:val="single" w:sz="4" w:space="0" w:color="auto"/>
                    <w:bottom w:val="single" w:sz="4" w:space="0" w:color="auto"/>
                    <w:right w:val="single" w:sz="4" w:space="0" w:color="auto"/>
                  </w:tcBorders>
                  <w:vAlign w:val="center"/>
                </w:tcPr>
                <w:p w14:paraId="49CD8908" w14:textId="77777777" w:rsidR="00F76A63" w:rsidRDefault="00000000">
                  <w:pPr>
                    <w:adjustRightInd w:val="0"/>
                    <w:snapToGrid w:val="0"/>
                    <w:jc w:val="center"/>
                    <w:rPr>
                      <w:sz w:val="18"/>
                      <w:szCs w:val="18"/>
                    </w:rPr>
                  </w:pPr>
                  <w:r>
                    <w:rPr>
                      <w:sz w:val="18"/>
                      <w:szCs w:val="18"/>
                    </w:rPr>
                    <w:t>1.00</w:t>
                  </w:r>
                </w:p>
              </w:tc>
              <w:tc>
                <w:tcPr>
                  <w:tcW w:w="707" w:type="pct"/>
                  <w:tcBorders>
                    <w:top w:val="single" w:sz="4" w:space="0" w:color="auto"/>
                    <w:left w:val="single" w:sz="4" w:space="0" w:color="auto"/>
                    <w:bottom w:val="single" w:sz="4" w:space="0" w:color="auto"/>
                    <w:right w:val="single" w:sz="4" w:space="0" w:color="auto"/>
                  </w:tcBorders>
                  <w:vAlign w:val="center"/>
                </w:tcPr>
                <w:p w14:paraId="6D0ED74A" w14:textId="77777777" w:rsidR="00F76A63" w:rsidRDefault="00000000">
                  <w:pPr>
                    <w:adjustRightInd w:val="0"/>
                    <w:snapToGrid w:val="0"/>
                    <w:jc w:val="center"/>
                    <w:rPr>
                      <w:sz w:val="18"/>
                      <w:szCs w:val="18"/>
                    </w:rPr>
                  </w:pPr>
                  <w:r>
                    <w:rPr>
                      <w:sz w:val="18"/>
                      <w:szCs w:val="18"/>
                    </w:rPr>
                    <w:t>0.11</w:t>
                  </w:r>
                </w:p>
              </w:tc>
              <w:tc>
                <w:tcPr>
                  <w:tcW w:w="504" w:type="pct"/>
                  <w:vMerge/>
                  <w:tcBorders>
                    <w:left w:val="single" w:sz="4" w:space="0" w:color="auto"/>
                    <w:right w:val="nil"/>
                  </w:tcBorders>
                  <w:vAlign w:val="center"/>
                </w:tcPr>
                <w:p w14:paraId="6D66147C" w14:textId="77777777" w:rsidR="00F76A63" w:rsidRDefault="00F76A63">
                  <w:pPr>
                    <w:adjustRightInd w:val="0"/>
                    <w:snapToGrid w:val="0"/>
                    <w:jc w:val="center"/>
                    <w:rPr>
                      <w:sz w:val="18"/>
                      <w:szCs w:val="18"/>
                    </w:rPr>
                  </w:pPr>
                </w:p>
              </w:tc>
            </w:tr>
            <w:tr w:rsidR="00F76A63" w14:paraId="1FDB65E4" w14:textId="77777777">
              <w:trPr>
                <w:trHeight w:val="340"/>
                <w:jc w:val="center"/>
              </w:trPr>
              <w:tc>
                <w:tcPr>
                  <w:tcW w:w="422" w:type="pct"/>
                  <w:vMerge/>
                  <w:tcBorders>
                    <w:left w:val="nil"/>
                    <w:right w:val="single" w:sz="4" w:space="0" w:color="auto"/>
                  </w:tcBorders>
                  <w:vAlign w:val="center"/>
                </w:tcPr>
                <w:p w14:paraId="53D0BB69"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09B285D0" w14:textId="77777777" w:rsidR="00F76A63" w:rsidRDefault="00000000">
                  <w:pPr>
                    <w:adjustRightInd w:val="0"/>
                    <w:snapToGrid w:val="0"/>
                    <w:jc w:val="center"/>
                    <w:rPr>
                      <w:sz w:val="18"/>
                      <w:szCs w:val="18"/>
                    </w:rPr>
                  </w:pPr>
                  <w:r>
                    <w:rPr>
                      <w:rFonts w:hint="eastAsia"/>
                      <w:sz w:val="18"/>
                      <w:szCs w:val="18"/>
                    </w:rPr>
                    <w:t>202508</w:t>
                  </w:r>
                </w:p>
              </w:tc>
              <w:tc>
                <w:tcPr>
                  <w:tcW w:w="978" w:type="pct"/>
                  <w:vMerge w:val="restart"/>
                  <w:tcBorders>
                    <w:left w:val="single" w:sz="4" w:space="0" w:color="auto"/>
                    <w:right w:val="single" w:sz="4" w:space="0" w:color="auto"/>
                  </w:tcBorders>
                  <w:vAlign w:val="center"/>
                </w:tcPr>
                <w:p w14:paraId="20C4362F" w14:textId="77777777" w:rsidR="00F76A63" w:rsidRDefault="00000000">
                  <w:pPr>
                    <w:adjustRightInd w:val="0"/>
                    <w:snapToGrid w:val="0"/>
                    <w:jc w:val="center"/>
                    <w:rPr>
                      <w:sz w:val="18"/>
                      <w:szCs w:val="18"/>
                    </w:rPr>
                  </w:pPr>
                  <w:r>
                    <w:rPr>
                      <w:rFonts w:hint="eastAsia"/>
                      <w:sz w:val="18"/>
                      <w:szCs w:val="18"/>
                    </w:rPr>
                    <w:t>469514.92</w:t>
                  </w:r>
                </w:p>
              </w:tc>
              <w:tc>
                <w:tcPr>
                  <w:tcW w:w="546" w:type="pct"/>
                  <w:tcBorders>
                    <w:top w:val="single" w:sz="4" w:space="0" w:color="auto"/>
                    <w:left w:val="single" w:sz="4" w:space="0" w:color="auto"/>
                    <w:bottom w:val="single" w:sz="4" w:space="0" w:color="auto"/>
                    <w:right w:val="single" w:sz="4" w:space="0" w:color="auto"/>
                  </w:tcBorders>
                  <w:vAlign w:val="center"/>
                </w:tcPr>
                <w:p w14:paraId="225F76B4" w14:textId="77777777" w:rsidR="00F76A63" w:rsidRDefault="00000000">
                  <w:pPr>
                    <w:adjustRightInd w:val="0"/>
                    <w:snapToGrid w:val="0"/>
                    <w:jc w:val="center"/>
                    <w:rPr>
                      <w:sz w:val="18"/>
                      <w:szCs w:val="18"/>
                    </w:rPr>
                  </w:pPr>
                  <w:r>
                    <w:rPr>
                      <w:rFonts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435991C3" w14:textId="77777777" w:rsidR="00F76A63" w:rsidRDefault="00000000">
                  <w:pPr>
                    <w:adjustRightInd w:val="0"/>
                    <w:snapToGrid w:val="0"/>
                    <w:jc w:val="center"/>
                    <w:rPr>
                      <w:sz w:val="18"/>
                      <w:szCs w:val="18"/>
                    </w:rPr>
                  </w:pPr>
                  <w:r>
                    <w:rPr>
                      <w:rFonts w:hint="eastAsia"/>
                      <w:sz w:val="18"/>
                      <w:szCs w:val="18"/>
                    </w:rPr>
                    <w:t>3.19</w:t>
                  </w:r>
                </w:p>
              </w:tc>
              <w:tc>
                <w:tcPr>
                  <w:tcW w:w="668" w:type="pct"/>
                  <w:tcBorders>
                    <w:top w:val="single" w:sz="4" w:space="0" w:color="auto"/>
                    <w:left w:val="single" w:sz="4" w:space="0" w:color="auto"/>
                    <w:bottom w:val="single" w:sz="4" w:space="0" w:color="auto"/>
                    <w:right w:val="single" w:sz="4" w:space="0" w:color="auto"/>
                  </w:tcBorders>
                  <w:vAlign w:val="center"/>
                </w:tcPr>
                <w:p w14:paraId="5E39AC6C" w14:textId="77777777" w:rsidR="00F76A63" w:rsidRDefault="00000000">
                  <w:pPr>
                    <w:adjustRightInd w:val="0"/>
                    <w:snapToGrid w:val="0"/>
                    <w:jc w:val="center"/>
                    <w:rPr>
                      <w:sz w:val="18"/>
                      <w:szCs w:val="18"/>
                    </w:rPr>
                  </w:pPr>
                  <w:r>
                    <w:rPr>
                      <w:rFonts w:hint="eastAsia"/>
                      <w:sz w:val="18"/>
                      <w:szCs w:val="18"/>
                    </w:rPr>
                    <w:t>8.58</w:t>
                  </w:r>
                </w:p>
              </w:tc>
              <w:tc>
                <w:tcPr>
                  <w:tcW w:w="707" w:type="pct"/>
                  <w:tcBorders>
                    <w:top w:val="single" w:sz="4" w:space="0" w:color="auto"/>
                    <w:left w:val="single" w:sz="4" w:space="0" w:color="auto"/>
                    <w:bottom w:val="single" w:sz="4" w:space="0" w:color="auto"/>
                    <w:right w:val="single" w:sz="4" w:space="0" w:color="auto"/>
                  </w:tcBorders>
                  <w:vAlign w:val="center"/>
                </w:tcPr>
                <w:p w14:paraId="6598891E" w14:textId="77777777" w:rsidR="00F76A63" w:rsidRDefault="00000000">
                  <w:pPr>
                    <w:adjustRightInd w:val="0"/>
                    <w:snapToGrid w:val="0"/>
                    <w:jc w:val="center"/>
                    <w:rPr>
                      <w:sz w:val="18"/>
                      <w:szCs w:val="18"/>
                    </w:rPr>
                  </w:pPr>
                  <w:r>
                    <w:rPr>
                      <w:rFonts w:hint="eastAsia"/>
                      <w:sz w:val="18"/>
                      <w:szCs w:val="18"/>
                    </w:rPr>
                    <w:t>28.70</w:t>
                  </w:r>
                </w:p>
              </w:tc>
              <w:tc>
                <w:tcPr>
                  <w:tcW w:w="504" w:type="pct"/>
                  <w:vMerge w:val="restart"/>
                  <w:tcBorders>
                    <w:left w:val="single" w:sz="4" w:space="0" w:color="auto"/>
                    <w:right w:val="nil"/>
                  </w:tcBorders>
                  <w:vAlign w:val="center"/>
                </w:tcPr>
                <w:p w14:paraId="27D13498" w14:textId="77777777" w:rsidR="00F76A63" w:rsidRDefault="00000000">
                  <w:pPr>
                    <w:adjustRightInd w:val="0"/>
                    <w:snapToGrid w:val="0"/>
                    <w:jc w:val="center"/>
                    <w:rPr>
                      <w:sz w:val="18"/>
                      <w:szCs w:val="18"/>
                    </w:rPr>
                  </w:pPr>
                  <w:r>
                    <w:rPr>
                      <w:sz w:val="18"/>
                      <w:szCs w:val="18"/>
                    </w:rPr>
                    <w:t>/</w:t>
                  </w:r>
                </w:p>
              </w:tc>
            </w:tr>
            <w:tr w:rsidR="00F76A63" w14:paraId="2EA8C69A" w14:textId="77777777">
              <w:trPr>
                <w:trHeight w:val="340"/>
                <w:jc w:val="center"/>
              </w:trPr>
              <w:tc>
                <w:tcPr>
                  <w:tcW w:w="422" w:type="pct"/>
                  <w:vMerge/>
                  <w:tcBorders>
                    <w:left w:val="nil"/>
                    <w:right w:val="single" w:sz="4" w:space="0" w:color="auto"/>
                  </w:tcBorders>
                  <w:vAlign w:val="center"/>
                </w:tcPr>
                <w:p w14:paraId="3EE097EC"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49310623"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78C5388A"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116FF71" w14:textId="77777777" w:rsidR="00F76A63" w:rsidRDefault="00000000">
                  <w:pPr>
                    <w:adjustRightInd w:val="0"/>
                    <w:snapToGrid w:val="0"/>
                    <w:jc w:val="center"/>
                    <w:rPr>
                      <w:sz w:val="18"/>
                      <w:szCs w:val="18"/>
                    </w:rPr>
                  </w:pPr>
                  <w:r>
                    <w:rPr>
                      <w:rFonts w:hint="eastAsia"/>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2A526EE3" w14:textId="77777777" w:rsidR="00F76A63" w:rsidRDefault="00000000">
                  <w:pPr>
                    <w:adjustRightInd w:val="0"/>
                    <w:snapToGrid w:val="0"/>
                    <w:jc w:val="center"/>
                    <w:rPr>
                      <w:sz w:val="18"/>
                      <w:szCs w:val="18"/>
                    </w:rPr>
                  </w:pPr>
                  <w:r>
                    <w:rPr>
                      <w:rFonts w:hint="eastAsia"/>
                      <w:sz w:val="18"/>
                      <w:szCs w:val="18"/>
                    </w:rPr>
                    <w:t>4.25</w:t>
                  </w:r>
                </w:p>
              </w:tc>
              <w:tc>
                <w:tcPr>
                  <w:tcW w:w="668" w:type="pct"/>
                  <w:tcBorders>
                    <w:top w:val="single" w:sz="4" w:space="0" w:color="auto"/>
                    <w:left w:val="single" w:sz="4" w:space="0" w:color="auto"/>
                    <w:bottom w:val="single" w:sz="4" w:space="0" w:color="auto"/>
                    <w:right w:val="single" w:sz="4" w:space="0" w:color="auto"/>
                  </w:tcBorders>
                  <w:vAlign w:val="center"/>
                </w:tcPr>
                <w:p w14:paraId="3774D654" w14:textId="77777777" w:rsidR="00F76A63" w:rsidRDefault="00000000">
                  <w:pPr>
                    <w:adjustRightInd w:val="0"/>
                    <w:snapToGrid w:val="0"/>
                    <w:jc w:val="center"/>
                    <w:rPr>
                      <w:sz w:val="18"/>
                      <w:szCs w:val="18"/>
                    </w:rPr>
                  </w:pPr>
                  <w:r>
                    <w:rPr>
                      <w:rFonts w:hint="eastAsia"/>
                      <w:sz w:val="18"/>
                      <w:szCs w:val="18"/>
                    </w:rPr>
                    <w:t>42.95</w:t>
                  </w:r>
                </w:p>
              </w:tc>
              <w:tc>
                <w:tcPr>
                  <w:tcW w:w="707" w:type="pct"/>
                  <w:tcBorders>
                    <w:top w:val="single" w:sz="4" w:space="0" w:color="auto"/>
                    <w:left w:val="single" w:sz="4" w:space="0" w:color="auto"/>
                    <w:bottom w:val="single" w:sz="4" w:space="0" w:color="auto"/>
                    <w:right w:val="single" w:sz="4" w:space="0" w:color="auto"/>
                  </w:tcBorders>
                  <w:vAlign w:val="center"/>
                </w:tcPr>
                <w:p w14:paraId="184F2285" w14:textId="77777777" w:rsidR="00F76A63" w:rsidRDefault="00000000">
                  <w:pPr>
                    <w:adjustRightInd w:val="0"/>
                    <w:snapToGrid w:val="0"/>
                    <w:jc w:val="center"/>
                    <w:rPr>
                      <w:sz w:val="18"/>
                      <w:szCs w:val="18"/>
                    </w:rPr>
                  </w:pPr>
                  <w:r>
                    <w:rPr>
                      <w:rFonts w:hint="eastAsia"/>
                      <w:sz w:val="18"/>
                      <w:szCs w:val="18"/>
                    </w:rPr>
                    <w:t>68.09</w:t>
                  </w:r>
                </w:p>
              </w:tc>
              <w:tc>
                <w:tcPr>
                  <w:tcW w:w="504" w:type="pct"/>
                  <w:vMerge/>
                  <w:tcBorders>
                    <w:left w:val="single" w:sz="4" w:space="0" w:color="auto"/>
                    <w:right w:val="nil"/>
                  </w:tcBorders>
                  <w:vAlign w:val="center"/>
                </w:tcPr>
                <w:p w14:paraId="2EEBFF2A" w14:textId="77777777" w:rsidR="00F76A63" w:rsidRDefault="00F76A63">
                  <w:pPr>
                    <w:adjustRightInd w:val="0"/>
                    <w:snapToGrid w:val="0"/>
                    <w:jc w:val="center"/>
                    <w:rPr>
                      <w:sz w:val="18"/>
                      <w:szCs w:val="18"/>
                    </w:rPr>
                  </w:pPr>
                </w:p>
              </w:tc>
            </w:tr>
            <w:tr w:rsidR="00F76A63" w14:paraId="239EBEBF" w14:textId="77777777">
              <w:trPr>
                <w:trHeight w:val="340"/>
                <w:jc w:val="center"/>
              </w:trPr>
              <w:tc>
                <w:tcPr>
                  <w:tcW w:w="422" w:type="pct"/>
                  <w:vMerge/>
                  <w:tcBorders>
                    <w:left w:val="nil"/>
                    <w:right w:val="single" w:sz="4" w:space="0" w:color="auto"/>
                  </w:tcBorders>
                  <w:vAlign w:val="center"/>
                </w:tcPr>
                <w:p w14:paraId="1BD7BB58"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3E3AD7B1"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72716808"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3B0E6BB" w14:textId="77777777" w:rsidR="00F76A63" w:rsidRDefault="00000000">
                  <w:pPr>
                    <w:adjustRightInd w:val="0"/>
                    <w:snapToGrid w:val="0"/>
                    <w:jc w:val="center"/>
                    <w:rPr>
                      <w:sz w:val="18"/>
                      <w:szCs w:val="18"/>
                    </w:rPr>
                  </w:pPr>
                  <w:r>
                    <w:rPr>
                      <w:rFonts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34905619" w14:textId="77777777" w:rsidR="00F76A63" w:rsidRDefault="00000000">
                  <w:pPr>
                    <w:adjustRightInd w:val="0"/>
                    <w:snapToGrid w:val="0"/>
                    <w:jc w:val="center"/>
                    <w:rPr>
                      <w:sz w:val="18"/>
                      <w:szCs w:val="18"/>
                    </w:rPr>
                  </w:pPr>
                  <w:r>
                    <w:rPr>
                      <w:rFonts w:hint="eastAsia"/>
                      <w:sz w:val="18"/>
                      <w:szCs w:val="18"/>
                    </w:rPr>
                    <w:t>1.81</w:t>
                  </w:r>
                </w:p>
              </w:tc>
              <w:tc>
                <w:tcPr>
                  <w:tcW w:w="668" w:type="pct"/>
                  <w:tcBorders>
                    <w:top w:val="single" w:sz="4" w:space="0" w:color="auto"/>
                    <w:left w:val="single" w:sz="4" w:space="0" w:color="auto"/>
                    <w:bottom w:val="single" w:sz="4" w:space="0" w:color="auto"/>
                    <w:right w:val="single" w:sz="4" w:space="0" w:color="auto"/>
                  </w:tcBorders>
                  <w:vAlign w:val="center"/>
                </w:tcPr>
                <w:p w14:paraId="2043BF79" w14:textId="77777777" w:rsidR="00F76A63" w:rsidRDefault="00000000">
                  <w:pPr>
                    <w:adjustRightInd w:val="0"/>
                    <w:snapToGrid w:val="0"/>
                    <w:jc w:val="center"/>
                    <w:rPr>
                      <w:sz w:val="18"/>
                      <w:szCs w:val="18"/>
                    </w:rPr>
                  </w:pPr>
                  <w:r>
                    <w:rPr>
                      <w:rFonts w:hint="eastAsia"/>
                      <w:sz w:val="18"/>
                      <w:szCs w:val="18"/>
                    </w:rPr>
                    <w:t>0.98</w:t>
                  </w:r>
                </w:p>
              </w:tc>
              <w:tc>
                <w:tcPr>
                  <w:tcW w:w="707" w:type="pct"/>
                  <w:tcBorders>
                    <w:top w:val="single" w:sz="4" w:space="0" w:color="auto"/>
                    <w:left w:val="single" w:sz="4" w:space="0" w:color="auto"/>
                    <w:bottom w:val="single" w:sz="4" w:space="0" w:color="auto"/>
                    <w:right w:val="single" w:sz="4" w:space="0" w:color="auto"/>
                  </w:tcBorders>
                  <w:vAlign w:val="center"/>
                </w:tcPr>
                <w:p w14:paraId="621535E2" w14:textId="77777777" w:rsidR="00F76A63" w:rsidRDefault="00000000">
                  <w:pPr>
                    <w:adjustRightInd w:val="0"/>
                    <w:snapToGrid w:val="0"/>
                    <w:jc w:val="center"/>
                    <w:rPr>
                      <w:sz w:val="18"/>
                      <w:szCs w:val="18"/>
                    </w:rPr>
                  </w:pPr>
                  <w:r>
                    <w:rPr>
                      <w:rFonts w:hint="eastAsia"/>
                      <w:sz w:val="18"/>
                      <w:szCs w:val="18"/>
                    </w:rPr>
                    <w:t>20.77</w:t>
                  </w:r>
                </w:p>
              </w:tc>
              <w:tc>
                <w:tcPr>
                  <w:tcW w:w="504" w:type="pct"/>
                  <w:vMerge/>
                  <w:tcBorders>
                    <w:left w:val="single" w:sz="4" w:space="0" w:color="auto"/>
                    <w:right w:val="nil"/>
                  </w:tcBorders>
                  <w:vAlign w:val="center"/>
                </w:tcPr>
                <w:p w14:paraId="62C11064" w14:textId="77777777" w:rsidR="00F76A63" w:rsidRDefault="00F76A63">
                  <w:pPr>
                    <w:adjustRightInd w:val="0"/>
                    <w:snapToGrid w:val="0"/>
                    <w:jc w:val="center"/>
                    <w:rPr>
                      <w:sz w:val="18"/>
                      <w:szCs w:val="18"/>
                    </w:rPr>
                  </w:pPr>
                </w:p>
              </w:tc>
            </w:tr>
            <w:tr w:rsidR="00F76A63" w14:paraId="7C3C657E" w14:textId="77777777">
              <w:trPr>
                <w:trHeight w:val="340"/>
                <w:jc w:val="center"/>
              </w:trPr>
              <w:tc>
                <w:tcPr>
                  <w:tcW w:w="422" w:type="pct"/>
                  <w:vMerge/>
                  <w:tcBorders>
                    <w:left w:val="nil"/>
                    <w:right w:val="single" w:sz="4" w:space="0" w:color="auto"/>
                  </w:tcBorders>
                  <w:vAlign w:val="center"/>
                </w:tcPr>
                <w:p w14:paraId="1C0866E0"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095F6FC7" w14:textId="77777777" w:rsidR="00F76A63" w:rsidRDefault="00000000">
                  <w:pPr>
                    <w:adjustRightInd w:val="0"/>
                    <w:snapToGrid w:val="0"/>
                    <w:jc w:val="center"/>
                    <w:rPr>
                      <w:sz w:val="18"/>
                      <w:szCs w:val="18"/>
                    </w:rPr>
                  </w:pPr>
                  <w:r>
                    <w:rPr>
                      <w:rFonts w:hint="eastAsia"/>
                      <w:sz w:val="18"/>
                      <w:szCs w:val="18"/>
                    </w:rPr>
                    <w:t>202509</w:t>
                  </w:r>
                </w:p>
              </w:tc>
              <w:tc>
                <w:tcPr>
                  <w:tcW w:w="978" w:type="pct"/>
                  <w:vMerge w:val="restart"/>
                  <w:tcBorders>
                    <w:left w:val="single" w:sz="4" w:space="0" w:color="auto"/>
                    <w:right w:val="single" w:sz="4" w:space="0" w:color="auto"/>
                  </w:tcBorders>
                  <w:vAlign w:val="center"/>
                </w:tcPr>
                <w:p w14:paraId="2D4FD4F3" w14:textId="77777777" w:rsidR="00F76A63" w:rsidRDefault="00000000">
                  <w:pPr>
                    <w:adjustRightInd w:val="0"/>
                    <w:snapToGrid w:val="0"/>
                    <w:jc w:val="center"/>
                    <w:rPr>
                      <w:sz w:val="18"/>
                      <w:szCs w:val="18"/>
                    </w:rPr>
                  </w:pPr>
                  <w:r>
                    <w:rPr>
                      <w:rFonts w:hint="eastAsia"/>
                      <w:sz w:val="18"/>
                      <w:szCs w:val="18"/>
                    </w:rPr>
                    <w:t>480616.69</w:t>
                  </w:r>
                </w:p>
              </w:tc>
              <w:tc>
                <w:tcPr>
                  <w:tcW w:w="546" w:type="pct"/>
                  <w:tcBorders>
                    <w:top w:val="single" w:sz="4" w:space="0" w:color="auto"/>
                    <w:left w:val="single" w:sz="4" w:space="0" w:color="auto"/>
                    <w:bottom w:val="single" w:sz="4" w:space="0" w:color="auto"/>
                    <w:right w:val="single" w:sz="4" w:space="0" w:color="auto"/>
                  </w:tcBorders>
                  <w:vAlign w:val="center"/>
                </w:tcPr>
                <w:p w14:paraId="6AA935D5" w14:textId="77777777" w:rsidR="00F76A63" w:rsidRDefault="00000000">
                  <w:pPr>
                    <w:adjustRightInd w:val="0"/>
                    <w:snapToGrid w:val="0"/>
                    <w:jc w:val="center"/>
                    <w:rPr>
                      <w:sz w:val="18"/>
                      <w:szCs w:val="18"/>
                    </w:rPr>
                  </w:pPr>
                  <w:r>
                    <w:rPr>
                      <w:rFonts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7883181F" w14:textId="77777777" w:rsidR="00F76A63" w:rsidRDefault="00000000">
                  <w:pPr>
                    <w:adjustRightInd w:val="0"/>
                    <w:snapToGrid w:val="0"/>
                    <w:jc w:val="center"/>
                    <w:rPr>
                      <w:sz w:val="18"/>
                      <w:szCs w:val="18"/>
                    </w:rPr>
                  </w:pPr>
                  <w:r>
                    <w:rPr>
                      <w:rFonts w:hint="eastAsia"/>
                      <w:sz w:val="18"/>
                      <w:szCs w:val="18"/>
                    </w:rPr>
                    <w:t>2.70</w:t>
                  </w:r>
                </w:p>
              </w:tc>
              <w:tc>
                <w:tcPr>
                  <w:tcW w:w="668" w:type="pct"/>
                  <w:tcBorders>
                    <w:top w:val="single" w:sz="4" w:space="0" w:color="auto"/>
                    <w:left w:val="single" w:sz="4" w:space="0" w:color="auto"/>
                    <w:bottom w:val="single" w:sz="4" w:space="0" w:color="auto"/>
                    <w:right w:val="single" w:sz="4" w:space="0" w:color="auto"/>
                  </w:tcBorders>
                  <w:vAlign w:val="center"/>
                </w:tcPr>
                <w:p w14:paraId="5841651B" w14:textId="77777777" w:rsidR="00F76A63" w:rsidRDefault="00000000">
                  <w:pPr>
                    <w:adjustRightInd w:val="0"/>
                    <w:snapToGrid w:val="0"/>
                    <w:jc w:val="center"/>
                    <w:rPr>
                      <w:sz w:val="18"/>
                      <w:szCs w:val="18"/>
                    </w:rPr>
                  </w:pPr>
                  <w:r>
                    <w:rPr>
                      <w:rFonts w:hint="eastAsia"/>
                      <w:sz w:val="18"/>
                      <w:szCs w:val="18"/>
                    </w:rPr>
                    <w:t>10.63</w:t>
                  </w:r>
                </w:p>
              </w:tc>
              <w:tc>
                <w:tcPr>
                  <w:tcW w:w="707" w:type="pct"/>
                  <w:tcBorders>
                    <w:top w:val="single" w:sz="4" w:space="0" w:color="auto"/>
                    <w:left w:val="single" w:sz="4" w:space="0" w:color="auto"/>
                    <w:bottom w:val="single" w:sz="4" w:space="0" w:color="auto"/>
                    <w:right w:val="single" w:sz="4" w:space="0" w:color="auto"/>
                  </w:tcBorders>
                  <w:vAlign w:val="center"/>
                </w:tcPr>
                <w:p w14:paraId="5FD0A2C9" w14:textId="77777777" w:rsidR="00F76A63" w:rsidRDefault="00000000">
                  <w:pPr>
                    <w:adjustRightInd w:val="0"/>
                    <w:snapToGrid w:val="0"/>
                    <w:jc w:val="center"/>
                    <w:rPr>
                      <w:sz w:val="18"/>
                      <w:szCs w:val="18"/>
                    </w:rPr>
                  </w:pPr>
                  <w:r>
                    <w:rPr>
                      <w:rFonts w:hint="eastAsia"/>
                      <w:sz w:val="18"/>
                      <w:szCs w:val="18"/>
                    </w:rPr>
                    <w:t>19.50</w:t>
                  </w:r>
                </w:p>
              </w:tc>
              <w:tc>
                <w:tcPr>
                  <w:tcW w:w="504" w:type="pct"/>
                  <w:vMerge w:val="restart"/>
                  <w:tcBorders>
                    <w:left w:val="single" w:sz="4" w:space="0" w:color="auto"/>
                    <w:right w:val="nil"/>
                  </w:tcBorders>
                  <w:vAlign w:val="center"/>
                </w:tcPr>
                <w:p w14:paraId="6201DB06" w14:textId="77777777" w:rsidR="00F76A63" w:rsidRDefault="00000000">
                  <w:pPr>
                    <w:adjustRightInd w:val="0"/>
                    <w:snapToGrid w:val="0"/>
                    <w:jc w:val="center"/>
                    <w:rPr>
                      <w:sz w:val="18"/>
                      <w:szCs w:val="18"/>
                    </w:rPr>
                  </w:pPr>
                  <w:r>
                    <w:rPr>
                      <w:sz w:val="18"/>
                      <w:szCs w:val="18"/>
                    </w:rPr>
                    <w:t>/</w:t>
                  </w:r>
                </w:p>
              </w:tc>
            </w:tr>
            <w:tr w:rsidR="00F76A63" w14:paraId="0825DAAA" w14:textId="77777777">
              <w:trPr>
                <w:trHeight w:val="340"/>
                <w:jc w:val="center"/>
              </w:trPr>
              <w:tc>
                <w:tcPr>
                  <w:tcW w:w="422" w:type="pct"/>
                  <w:vMerge/>
                  <w:tcBorders>
                    <w:left w:val="nil"/>
                    <w:right w:val="single" w:sz="4" w:space="0" w:color="auto"/>
                  </w:tcBorders>
                  <w:vAlign w:val="center"/>
                </w:tcPr>
                <w:p w14:paraId="340E9DB1"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FC46026"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1BA96B46"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D850B42" w14:textId="77777777" w:rsidR="00F76A63" w:rsidRDefault="00000000">
                  <w:pPr>
                    <w:adjustRightInd w:val="0"/>
                    <w:snapToGrid w:val="0"/>
                    <w:jc w:val="center"/>
                    <w:rPr>
                      <w:sz w:val="18"/>
                      <w:szCs w:val="18"/>
                    </w:rPr>
                  </w:pPr>
                  <w:r>
                    <w:rPr>
                      <w:rFonts w:hint="eastAsia"/>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040DD0FA" w14:textId="77777777" w:rsidR="00F76A63" w:rsidRDefault="00000000">
                  <w:pPr>
                    <w:adjustRightInd w:val="0"/>
                    <w:snapToGrid w:val="0"/>
                    <w:jc w:val="center"/>
                    <w:rPr>
                      <w:sz w:val="18"/>
                      <w:szCs w:val="18"/>
                    </w:rPr>
                  </w:pPr>
                  <w:r>
                    <w:rPr>
                      <w:rFonts w:hint="eastAsia"/>
                      <w:sz w:val="18"/>
                      <w:szCs w:val="18"/>
                    </w:rPr>
                    <w:t>4.33</w:t>
                  </w:r>
                </w:p>
              </w:tc>
              <w:tc>
                <w:tcPr>
                  <w:tcW w:w="668" w:type="pct"/>
                  <w:tcBorders>
                    <w:top w:val="single" w:sz="4" w:space="0" w:color="auto"/>
                    <w:left w:val="single" w:sz="4" w:space="0" w:color="auto"/>
                    <w:bottom w:val="single" w:sz="4" w:space="0" w:color="auto"/>
                    <w:right w:val="single" w:sz="4" w:space="0" w:color="auto"/>
                  </w:tcBorders>
                  <w:vAlign w:val="center"/>
                </w:tcPr>
                <w:p w14:paraId="2116ACD0" w14:textId="77777777" w:rsidR="00F76A63" w:rsidRDefault="00000000">
                  <w:pPr>
                    <w:adjustRightInd w:val="0"/>
                    <w:snapToGrid w:val="0"/>
                    <w:jc w:val="center"/>
                    <w:rPr>
                      <w:sz w:val="18"/>
                      <w:szCs w:val="18"/>
                    </w:rPr>
                  </w:pPr>
                  <w:r>
                    <w:rPr>
                      <w:rFonts w:hint="eastAsia"/>
                      <w:sz w:val="18"/>
                      <w:szCs w:val="18"/>
                    </w:rPr>
                    <w:t>20.42</w:t>
                  </w:r>
                </w:p>
              </w:tc>
              <w:tc>
                <w:tcPr>
                  <w:tcW w:w="707" w:type="pct"/>
                  <w:tcBorders>
                    <w:top w:val="single" w:sz="4" w:space="0" w:color="auto"/>
                    <w:left w:val="single" w:sz="4" w:space="0" w:color="auto"/>
                    <w:bottom w:val="single" w:sz="4" w:space="0" w:color="auto"/>
                    <w:right w:val="single" w:sz="4" w:space="0" w:color="auto"/>
                  </w:tcBorders>
                  <w:vAlign w:val="center"/>
                </w:tcPr>
                <w:p w14:paraId="7DF05E8E" w14:textId="77777777" w:rsidR="00F76A63" w:rsidRDefault="00000000">
                  <w:pPr>
                    <w:adjustRightInd w:val="0"/>
                    <w:snapToGrid w:val="0"/>
                    <w:jc w:val="center"/>
                    <w:rPr>
                      <w:sz w:val="18"/>
                      <w:szCs w:val="18"/>
                    </w:rPr>
                  </w:pPr>
                  <w:r>
                    <w:rPr>
                      <w:rFonts w:hint="eastAsia"/>
                      <w:sz w:val="18"/>
                      <w:szCs w:val="18"/>
                    </w:rPr>
                    <w:t>25.76</w:t>
                  </w:r>
                </w:p>
              </w:tc>
              <w:tc>
                <w:tcPr>
                  <w:tcW w:w="504" w:type="pct"/>
                  <w:vMerge/>
                  <w:tcBorders>
                    <w:left w:val="single" w:sz="4" w:space="0" w:color="auto"/>
                    <w:right w:val="nil"/>
                  </w:tcBorders>
                  <w:vAlign w:val="center"/>
                </w:tcPr>
                <w:p w14:paraId="09687A3B" w14:textId="77777777" w:rsidR="00F76A63" w:rsidRDefault="00F76A63">
                  <w:pPr>
                    <w:adjustRightInd w:val="0"/>
                    <w:snapToGrid w:val="0"/>
                    <w:jc w:val="center"/>
                    <w:rPr>
                      <w:sz w:val="18"/>
                      <w:szCs w:val="18"/>
                    </w:rPr>
                  </w:pPr>
                </w:p>
              </w:tc>
            </w:tr>
            <w:tr w:rsidR="00F76A63" w14:paraId="7DC6942E" w14:textId="77777777">
              <w:trPr>
                <w:trHeight w:val="340"/>
                <w:jc w:val="center"/>
              </w:trPr>
              <w:tc>
                <w:tcPr>
                  <w:tcW w:w="422" w:type="pct"/>
                  <w:vMerge/>
                  <w:tcBorders>
                    <w:left w:val="nil"/>
                    <w:right w:val="single" w:sz="4" w:space="0" w:color="auto"/>
                  </w:tcBorders>
                  <w:vAlign w:val="center"/>
                </w:tcPr>
                <w:p w14:paraId="2F426C33"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23D9C19"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309A2E12"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5E62ADA" w14:textId="77777777" w:rsidR="00F76A63" w:rsidRDefault="00000000">
                  <w:pPr>
                    <w:adjustRightInd w:val="0"/>
                    <w:snapToGrid w:val="0"/>
                    <w:jc w:val="center"/>
                    <w:rPr>
                      <w:sz w:val="18"/>
                      <w:szCs w:val="18"/>
                    </w:rPr>
                  </w:pPr>
                  <w:r>
                    <w:rPr>
                      <w:rFonts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0A06BD86" w14:textId="77777777" w:rsidR="00F76A63" w:rsidRDefault="00000000">
                  <w:pPr>
                    <w:adjustRightInd w:val="0"/>
                    <w:snapToGrid w:val="0"/>
                    <w:jc w:val="center"/>
                    <w:rPr>
                      <w:sz w:val="18"/>
                      <w:szCs w:val="18"/>
                    </w:rPr>
                  </w:pPr>
                  <w:r>
                    <w:rPr>
                      <w:rFonts w:hint="eastAsia"/>
                      <w:sz w:val="18"/>
                      <w:szCs w:val="18"/>
                    </w:rPr>
                    <w:t>1.82</w:t>
                  </w:r>
                </w:p>
              </w:tc>
              <w:tc>
                <w:tcPr>
                  <w:tcW w:w="668" w:type="pct"/>
                  <w:tcBorders>
                    <w:top w:val="single" w:sz="4" w:space="0" w:color="auto"/>
                    <w:left w:val="single" w:sz="4" w:space="0" w:color="auto"/>
                    <w:bottom w:val="single" w:sz="4" w:space="0" w:color="auto"/>
                    <w:right w:val="single" w:sz="4" w:space="0" w:color="auto"/>
                  </w:tcBorders>
                  <w:vAlign w:val="center"/>
                </w:tcPr>
                <w:p w14:paraId="3FA1665E" w14:textId="77777777" w:rsidR="00F76A63" w:rsidRDefault="00000000">
                  <w:pPr>
                    <w:adjustRightInd w:val="0"/>
                    <w:snapToGrid w:val="0"/>
                    <w:jc w:val="center"/>
                    <w:rPr>
                      <w:sz w:val="18"/>
                      <w:szCs w:val="18"/>
                    </w:rPr>
                  </w:pPr>
                  <w:r>
                    <w:rPr>
                      <w:rFonts w:hint="eastAsia"/>
                      <w:sz w:val="18"/>
                      <w:szCs w:val="18"/>
                    </w:rPr>
                    <w:t>1.90</w:t>
                  </w:r>
                </w:p>
              </w:tc>
              <w:tc>
                <w:tcPr>
                  <w:tcW w:w="707" w:type="pct"/>
                  <w:tcBorders>
                    <w:top w:val="single" w:sz="4" w:space="0" w:color="auto"/>
                    <w:left w:val="single" w:sz="4" w:space="0" w:color="auto"/>
                    <w:bottom w:val="single" w:sz="4" w:space="0" w:color="auto"/>
                    <w:right w:val="single" w:sz="4" w:space="0" w:color="auto"/>
                  </w:tcBorders>
                  <w:vAlign w:val="center"/>
                </w:tcPr>
                <w:p w14:paraId="2DE0EFD4" w14:textId="77777777" w:rsidR="00F76A63" w:rsidRDefault="00000000">
                  <w:pPr>
                    <w:adjustRightInd w:val="0"/>
                    <w:snapToGrid w:val="0"/>
                    <w:jc w:val="center"/>
                    <w:rPr>
                      <w:sz w:val="18"/>
                      <w:szCs w:val="18"/>
                    </w:rPr>
                  </w:pPr>
                  <w:r>
                    <w:rPr>
                      <w:rFonts w:hint="eastAsia"/>
                      <w:sz w:val="18"/>
                      <w:szCs w:val="18"/>
                    </w:rPr>
                    <w:t>12.44</w:t>
                  </w:r>
                </w:p>
              </w:tc>
              <w:tc>
                <w:tcPr>
                  <w:tcW w:w="504" w:type="pct"/>
                  <w:vMerge/>
                  <w:tcBorders>
                    <w:left w:val="single" w:sz="4" w:space="0" w:color="auto"/>
                    <w:right w:val="nil"/>
                  </w:tcBorders>
                  <w:vAlign w:val="center"/>
                </w:tcPr>
                <w:p w14:paraId="295D5D07" w14:textId="77777777" w:rsidR="00F76A63" w:rsidRDefault="00F76A63">
                  <w:pPr>
                    <w:adjustRightInd w:val="0"/>
                    <w:snapToGrid w:val="0"/>
                    <w:jc w:val="center"/>
                    <w:rPr>
                      <w:sz w:val="18"/>
                      <w:szCs w:val="18"/>
                    </w:rPr>
                  </w:pPr>
                </w:p>
              </w:tc>
            </w:tr>
            <w:tr w:rsidR="00F76A63" w14:paraId="6DFFBB3E" w14:textId="77777777">
              <w:trPr>
                <w:trHeight w:val="340"/>
                <w:jc w:val="center"/>
              </w:trPr>
              <w:tc>
                <w:tcPr>
                  <w:tcW w:w="422" w:type="pct"/>
                  <w:vMerge/>
                  <w:tcBorders>
                    <w:left w:val="nil"/>
                    <w:right w:val="single" w:sz="4" w:space="0" w:color="auto"/>
                  </w:tcBorders>
                  <w:vAlign w:val="center"/>
                </w:tcPr>
                <w:p w14:paraId="462FA338"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2C957496" w14:textId="77777777" w:rsidR="00F76A63" w:rsidRDefault="00000000">
                  <w:pPr>
                    <w:adjustRightInd w:val="0"/>
                    <w:snapToGrid w:val="0"/>
                    <w:jc w:val="center"/>
                    <w:rPr>
                      <w:sz w:val="18"/>
                      <w:szCs w:val="18"/>
                    </w:rPr>
                  </w:pPr>
                  <w:r>
                    <w:rPr>
                      <w:rFonts w:hint="eastAsia"/>
                      <w:sz w:val="18"/>
                      <w:szCs w:val="18"/>
                    </w:rPr>
                    <w:t>202510</w:t>
                  </w:r>
                </w:p>
              </w:tc>
              <w:tc>
                <w:tcPr>
                  <w:tcW w:w="978" w:type="pct"/>
                  <w:vMerge w:val="restart"/>
                  <w:tcBorders>
                    <w:left w:val="single" w:sz="4" w:space="0" w:color="auto"/>
                    <w:right w:val="single" w:sz="4" w:space="0" w:color="auto"/>
                  </w:tcBorders>
                  <w:vAlign w:val="center"/>
                </w:tcPr>
                <w:p w14:paraId="7CA65EC7" w14:textId="77777777" w:rsidR="00F76A63" w:rsidRDefault="00000000">
                  <w:pPr>
                    <w:adjustRightInd w:val="0"/>
                    <w:snapToGrid w:val="0"/>
                    <w:jc w:val="center"/>
                    <w:rPr>
                      <w:sz w:val="18"/>
                      <w:szCs w:val="18"/>
                    </w:rPr>
                  </w:pPr>
                  <w:r>
                    <w:rPr>
                      <w:rFonts w:hint="eastAsia"/>
                      <w:sz w:val="18"/>
                      <w:szCs w:val="18"/>
                    </w:rPr>
                    <w:t>465869.78</w:t>
                  </w:r>
                </w:p>
              </w:tc>
              <w:tc>
                <w:tcPr>
                  <w:tcW w:w="546" w:type="pct"/>
                  <w:tcBorders>
                    <w:top w:val="single" w:sz="4" w:space="0" w:color="auto"/>
                    <w:left w:val="single" w:sz="4" w:space="0" w:color="auto"/>
                    <w:bottom w:val="single" w:sz="4" w:space="0" w:color="auto"/>
                    <w:right w:val="single" w:sz="4" w:space="0" w:color="auto"/>
                  </w:tcBorders>
                  <w:vAlign w:val="center"/>
                </w:tcPr>
                <w:p w14:paraId="158EF2A7" w14:textId="77777777" w:rsidR="00F76A63" w:rsidRDefault="00000000">
                  <w:pPr>
                    <w:adjustRightInd w:val="0"/>
                    <w:snapToGrid w:val="0"/>
                    <w:jc w:val="center"/>
                    <w:rPr>
                      <w:sz w:val="18"/>
                      <w:szCs w:val="18"/>
                    </w:rPr>
                  </w:pPr>
                  <w:r>
                    <w:rPr>
                      <w:rFonts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7FFBBF9" w14:textId="77777777" w:rsidR="00F76A63" w:rsidRDefault="00000000">
                  <w:pPr>
                    <w:adjustRightInd w:val="0"/>
                    <w:snapToGrid w:val="0"/>
                    <w:jc w:val="center"/>
                    <w:rPr>
                      <w:sz w:val="18"/>
                      <w:szCs w:val="18"/>
                    </w:rPr>
                  </w:pPr>
                  <w:r>
                    <w:rPr>
                      <w:rFonts w:hint="eastAsia"/>
                      <w:sz w:val="18"/>
                      <w:szCs w:val="18"/>
                    </w:rPr>
                    <w:t>3.72</w:t>
                  </w:r>
                </w:p>
              </w:tc>
              <w:tc>
                <w:tcPr>
                  <w:tcW w:w="668" w:type="pct"/>
                  <w:tcBorders>
                    <w:top w:val="single" w:sz="4" w:space="0" w:color="auto"/>
                    <w:left w:val="single" w:sz="4" w:space="0" w:color="auto"/>
                    <w:bottom w:val="single" w:sz="4" w:space="0" w:color="auto"/>
                    <w:right w:val="single" w:sz="4" w:space="0" w:color="auto"/>
                  </w:tcBorders>
                  <w:vAlign w:val="center"/>
                </w:tcPr>
                <w:p w14:paraId="18DB07FE" w14:textId="77777777" w:rsidR="00F76A63" w:rsidRDefault="00000000">
                  <w:pPr>
                    <w:adjustRightInd w:val="0"/>
                    <w:snapToGrid w:val="0"/>
                    <w:jc w:val="center"/>
                    <w:rPr>
                      <w:sz w:val="18"/>
                      <w:szCs w:val="18"/>
                    </w:rPr>
                  </w:pPr>
                  <w:r>
                    <w:rPr>
                      <w:rFonts w:hint="eastAsia"/>
                      <w:sz w:val="18"/>
                      <w:szCs w:val="18"/>
                    </w:rPr>
                    <w:t>5.55</w:t>
                  </w:r>
                </w:p>
              </w:tc>
              <w:tc>
                <w:tcPr>
                  <w:tcW w:w="707" w:type="pct"/>
                  <w:tcBorders>
                    <w:top w:val="single" w:sz="4" w:space="0" w:color="auto"/>
                    <w:left w:val="single" w:sz="4" w:space="0" w:color="auto"/>
                    <w:bottom w:val="single" w:sz="4" w:space="0" w:color="auto"/>
                    <w:right w:val="single" w:sz="4" w:space="0" w:color="auto"/>
                  </w:tcBorders>
                  <w:vAlign w:val="center"/>
                </w:tcPr>
                <w:p w14:paraId="25CE4828" w14:textId="77777777" w:rsidR="00F76A63" w:rsidRDefault="00000000">
                  <w:pPr>
                    <w:adjustRightInd w:val="0"/>
                    <w:snapToGrid w:val="0"/>
                    <w:jc w:val="center"/>
                    <w:rPr>
                      <w:sz w:val="18"/>
                      <w:szCs w:val="18"/>
                    </w:rPr>
                  </w:pPr>
                  <w:r>
                    <w:rPr>
                      <w:rFonts w:hint="eastAsia"/>
                      <w:sz w:val="18"/>
                      <w:szCs w:val="18"/>
                    </w:rPr>
                    <w:t>22.29</w:t>
                  </w:r>
                </w:p>
              </w:tc>
              <w:tc>
                <w:tcPr>
                  <w:tcW w:w="504" w:type="pct"/>
                  <w:vMerge w:val="restart"/>
                  <w:tcBorders>
                    <w:left w:val="single" w:sz="4" w:space="0" w:color="auto"/>
                    <w:right w:val="nil"/>
                  </w:tcBorders>
                  <w:vAlign w:val="center"/>
                </w:tcPr>
                <w:p w14:paraId="75B2F8CD" w14:textId="77777777" w:rsidR="00F76A63" w:rsidRDefault="00000000">
                  <w:pPr>
                    <w:adjustRightInd w:val="0"/>
                    <w:snapToGrid w:val="0"/>
                    <w:jc w:val="center"/>
                    <w:rPr>
                      <w:sz w:val="18"/>
                      <w:szCs w:val="18"/>
                    </w:rPr>
                  </w:pPr>
                  <w:r>
                    <w:rPr>
                      <w:sz w:val="18"/>
                      <w:szCs w:val="18"/>
                    </w:rPr>
                    <w:t>/</w:t>
                  </w:r>
                </w:p>
              </w:tc>
            </w:tr>
            <w:tr w:rsidR="00F76A63" w14:paraId="08417DCC" w14:textId="77777777">
              <w:trPr>
                <w:trHeight w:val="340"/>
                <w:jc w:val="center"/>
              </w:trPr>
              <w:tc>
                <w:tcPr>
                  <w:tcW w:w="422" w:type="pct"/>
                  <w:vMerge/>
                  <w:tcBorders>
                    <w:left w:val="nil"/>
                    <w:right w:val="single" w:sz="4" w:space="0" w:color="auto"/>
                  </w:tcBorders>
                  <w:vAlign w:val="center"/>
                </w:tcPr>
                <w:p w14:paraId="06BF3396"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702AB0EB"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30D226C0"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9256580" w14:textId="77777777" w:rsidR="00F76A63" w:rsidRDefault="00000000">
                  <w:pPr>
                    <w:adjustRightInd w:val="0"/>
                    <w:snapToGrid w:val="0"/>
                    <w:jc w:val="center"/>
                    <w:rPr>
                      <w:sz w:val="18"/>
                      <w:szCs w:val="18"/>
                    </w:rPr>
                  </w:pPr>
                  <w:r>
                    <w:rPr>
                      <w:rFonts w:hint="eastAsia"/>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7AB3997E" w14:textId="77777777" w:rsidR="00F76A63" w:rsidRDefault="00000000">
                  <w:pPr>
                    <w:adjustRightInd w:val="0"/>
                    <w:snapToGrid w:val="0"/>
                    <w:jc w:val="center"/>
                    <w:rPr>
                      <w:sz w:val="18"/>
                      <w:szCs w:val="18"/>
                    </w:rPr>
                  </w:pPr>
                  <w:r>
                    <w:rPr>
                      <w:rFonts w:hint="eastAsia"/>
                      <w:sz w:val="18"/>
                      <w:szCs w:val="18"/>
                    </w:rPr>
                    <w:t>5.28</w:t>
                  </w:r>
                </w:p>
              </w:tc>
              <w:tc>
                <w:tcPr>
                  <w:tcW w:w="668" w:type="pct"/>
                  <w:tcBorders>
                    <w:top w:val="single" w:sz="4" w:space="0" w:color="auto"/>
                    <w:left w:val="single" w:sz="4" w:space="0" w:color="auto"/>
                    <w:bottom w:val="single" w:sz="4" w:space="0" w:color="auto"/>
                    <w:right w:val="single" w:sz="4" w:space="0" w:color="auto"/>
                  </w:tcBorders>
                  <w:vAlign w:val="center"/>
                </w:tcPr>
                <w:p w14:paraId="5714673D" w14:textId="77777777" w:rsidR="00F76A63" w:rsidRDefault="00000000">
                  <w:pPr>
                    <w:adjustRightInd w:val="0"/>
                    <w:snapToGrid w:val="0"/>
                    <w:jc w:val="center"/>
                    <w:rPr>
                      <w:sz w:val="18"/>
                      <w:szCs w:val="18"/>
                    </w:rPr>
                  </w:pPr>
                  <w:r>
                    <w:rPr>
                      <w:rFonts w:hint="eastAsia"/>
                      <w:sz w:val="18"/>
                      <w:szCs w:val="18"/>
                    </w:rPr>
                    <w:t>10.04</w:t>
                  </w:r>
                </w:p>
              </w:tc>
              <w:tc>
                <w:tcPr>
                  <w:tcW w:w="707" w:type="pct"/>
                  <w:tcBorders>
                    <w:top w:val="single" w:sz="4" w:space="0" w:color="auto"/>
                    <w:left w:val="single" w:sz="4" w:space="0" w:color="auto"/>
                    <w:bottom w:val="single" w:sz="4" w:space="0" w:color="auto"/>
                    <w:right w:val="single" w:sz="4" w:space="0" w:color="auto"/>
                  </w:tcBorders>
                  <w:vAlign w:val="center"/>
                </w:tcPr>
                <w:p w14:paraId="44C981BA" w14:textId="77777777" w:rsidR="00F76A63" w:rsidRDefault="00000000">
                  <w:pPr>
                    <w:adjustRightInd w:val="0"/>
                    <w:snapToGrid w:val="0"/>
                    <w:jc w:val="center"/>
                    <w:rPr>
                      <w:sz w:val="18"/>
                      <w:szCs w:val="18"/>
                    </w:rPr>
                  </w:pPr>
                  <w:r>
                    <w:rPr>
                      <w:rFonts w:hint="eastAsia"/>
                      <w:sz w:val="18"/>
                      <w:szCs w:val="18"/>
                    </w:rPr>
                    <w:t>27.38</w:t>
                  </w:r>
                </w:p>
              </w:tc>
              <w:tc>
                <w:tcPr>
                  <w:tcW w:w="504" w:type="pct"/>
                  <w:vMerge/>
                  <w:tcBorders>
                    <w:left w:val="single" w:sz="4" w:space="0" w:color="auto"/>
                    <w:right w:val="nil"/>
                  </w:tcBorders>
                  <w:vAlign w:val="center"/>
                </w:tcPr>
                <w:p w14:paraId="01828C00" w14:textId="77777777" w:rsidR="00F76A63" w:rsidRDefault="00F76A63">
                  <w:pPr>
                    <w:adjustRightInd w:val="0"/>
                    <w:snapToGrid w:val="0"/>
                    <w:jc w:val="center"/>
                    <w:rPr>
                      <w:sz w:val="18"/>
                      <w:szCs w:val="18"/>
                    </w:rPr>
                  </w:pPr>
                </w:p>
              </w:tc>
            </w:tr>
            <w:tr w:rsidR="00F76A63" w14:paraId="03DFE2D4" w14:textId="77777777">
              <w:trPr>
                <w:trHeight w:val="340"/>
                <w:jc w:val="center"/>
              </w:trPr>
              <w:tc>
                <w:tcPr>
                  <w:tcW w:w="422" w:type="pct"/>
                  <w:vMerge/>
                  <w:tcBorders>
                    <w:left w:val="nil"/>
                    <w:right w:val="single" w:sz="4" w:space="0" w:color="auto"/>
                  </w:tcBorders>
                  <w:vAlign w:val="center"/>
                </w:tcPr>
                <w:p w14:paraId="5383AB83"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7D57B2F7"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2879A551"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DC7EA5E" w14:textId="77777777" w:rsidR="00F76A63" w:rsidRDefault="00000000">
                  <w:pPr>
                    <w:adjustRightInd w:val="0"/>
                    <w:snapToGrid w:val="0"/>
                    <w:jc w:val="center"/>
                    <w:rPr>
                      <w:sz w:val="18"/>
                      <w:szCs w:val="18"/>
                    </w:rPr>
                  </w:pPr>
                  <w:r>
                    <w:rPr>
                      <w:rFonts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5976FF19" w14:textId="77777777" w:rsidR="00F76A63" w:rsidRDefault="00000000">
                  <w:pPr>
                    <w:adjustRightInd w:val="0"/>
                    <w:snapToGrid w:val="0"/>
                    <w:jc w:val="center"/>
                    <w:rPr>
                      <w:sz w:val="18"/>
                      <w:szCs w:val="18"/>
                    </w:rPr>
                  </w:pPr>
                  <w:r>
                    <w:rPr>
                      <w:rFonts w:hint="eastAsia"/>
                      <w:sz w:val="18"/>
                      <w:szCs w:val="18"/>
                    </w:rPr>
                    <w:t>2.18</w:t>
                  </w:r>
                </w:p>
              </w:tc>
              <w:tc>
                <w:tcPr>
                  <w:tcW w:w="668" w:type="pct"/>
                  <w:tcBorders>
                    <w:top w:val="single" w:sz="4" w:space="0" w:color="auto"/>
                    <w:left w:val="single" w:sz="4" w:space="0" w:color="auto"/>
                    <w:bottom w:val="single" w:sz="4" w:space="0" w:color="auto"/>
                    <w:right w:val="single" w:sz="4" w:space="0" w:color="auto"/>
                  </w:tcBorders>
                  <w:vAlign w:val="center"/>
                </w:tcPr>
                <w:p w14:paraId="452551F3" w14:textId="77777777" w:rsidR="00F76A63" w:rsidRDefault="00000000">
                  <w:pPr>
                    <w:adjustRightInd w:val="0"/>
                    <w:snapToGrid w:val="0"/>
                    <w:jc w:val="center"/>
                    <w:rPr>
                      <w:sz w:val="18"/>
                      <w:szCs w:val="18"/>
                    </w:rPr>
                  </w:pPr>
                  <w:r>
                    <w:rPr>
                      <w:rFonts w:hint="eastAsia"/>
                      <w:sz w:val="18"/>
                      <w:szCs w:val="18"/>
                    </w:rPr>
                    <w:t>1.42</w:t>
                  </w:r>
                </w:p>
              </w:tc>
              <w:tc>
                <w:tcPr>
                  <w:tcW w:w="707" w:type="pct"/>
                  <w:tcBorders>
                    <w:top w:val="single" w:sz="4" w:space="0" w:color="auto"/>
                    <w:left w:val="single" w:sz="4" w:space="0" w:color="auto"/>
                    <w:bottom w:val="single" w:sz="4" w:space="0" w:color="auto"/>
                    <w:right w:val="single" w:sz="4" w:space="0" w:color="auto"/>
                  </w:tcBorders>
                  <w:vAlign w:val="center"/>
                </w:tcPr>
                <w:p w14:paraId="43C5B862" w14:textId="77777777" w:rsidR="00F76A63" w:rsidRDefault="00000000">
                  <w:pPr>
                    <w:adjustRightInd w:val="0"/>
                    <w:snapToGrid w:val="0"/>
                    <w:jc w:val="center"/>
                    <w:rPr>
                      <w:sz w:val="18"/>
                      <w:szCs w:val="18"/>
                    </w:rPr>
                  </w:pPr>
                  <w:r>
                    <w:rPr>
                      <w:rFonts w:hint="eastAsia"/>
                      <w:sz w:val="18"/>
                      <w:szCs w:val="18"/>
                    </w:rPr>
                    <w:t>15.47</w:t>
                  </w:r>
                </w:p>
              </w:tc>
              <w:tc>
                <w:tcPr>
                  <w:tcW w:w="504" w:type="pct"/>
                  <w:vMerge/>
                  <w:tcBorders>
                    <w:left w:val="single" w:sz="4" w:space="0" w:color="auto"/>
                    <w:right w:val="nil"/>
                  </w:tcBorders>
                  <w:vAlign w:val="center"/>
                </w:tcPr>
                <w:p w14:paraId="133F7107" w14:textId="77777777" w:rsidR="00F76A63" w:rsidRDefault="00F76A63">
                  <w:pPr>
                    <w:adjustRightInd w:val="0"/>
                    <w:snapToGrid w:val="0"/>
                    <w:jc w:val="center"/>
                    <w:rPr>
                      <w:sz w:val="18"/>
                      <w:szCs w:val="18"/>
                    </w:rPr>
                  </w:pPr>
                </w:p>
              </w:tc>
            </w:tr>
            <w:tr w:rsidR="00F76A63" w14:paraId="6A3D26AA" w14:textId="77777777">
              <w:trPr>
                <w:trHeight w:val="340"/>
                <w:jc w:val="center"/>
              </w:trPr>
              <w:tc>
                <w:tcPr>
                  <w:tcW w:w="422" w:type="pct"/>
                  <w:vMerge/>
                  <w:tcBorders>
                    <w:left w:val="nil"/>
                    <w:right w:val="single" w:sz="4" w:space="0" w:color="auto"/>
                  </w:tcBorders>
                  <w:vAlign w:val="center"/>
                </w:tcPr>
                <w:p w14:paraId="3F0D84DB"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04AE94FD" w14:textId="77777777" w:rsidR="00F76A63" w:rsidRDefault="00000000">
                  <w:pPr>
                    <w:adjustRightInd w:val="0"/>
                    <w:snapToGrid w:val="0"/>
                    <w:jc w:val="center"/>
                    <w:rPr>
                      <w:sz w:val="18"/>
                      <w:szCs w:val="18"/>
                    </w:rPr>
                  </w:pPr>
                  <w:r>
                    <w:rPr>
                      <w:rFonts w:hint="eastAsia"/>
                      <w:sz w:val="18"/>
                      <w:szCs w:val="18"/>
                    </w:rPr>
                    <w:t>202511</w:t>
                  </w:r>
                </w:p>
              </w:tc>
              <w:tc>
                <w:tcPr>
                  <w:tcW w:w="978" w:type="pct"/>
                  <w:vMerge w:val="restart"/>
                  <w:tcBorders>
                    <w:left w:val="single" w:sz="4" w:space="0" w:color="auto"/>
                    <w:right w:val="single" w:sz="4" w:space="0" w:color="auto"/>
                  </w:tcBorders>
                  <w:vAlign w:val="center"/>
                </w:tcPr>
                <w:p w14:paraId="38964FB4" w14:textId="77777777" w:rsidR="00F76A63" w:rsidRDefault="00000000">
                  <w:pPr>
                    <w:adjustRightInd w:val="0"/>
                    <w:snapToGrid w:val="0"/>
                    <w:jc w:val="center"/>
                    <w:rPr>
                      <w:sz w:val="18"/>
                      <w:szCs w:val="18"/>
                    </w:rPr>
                  </w:pPr>
                  <w:r>
                    <w:rPr>
                      <w:rFonts w:hint="eastAsia"/>
                      <w:sz w:val="18"/>
                      <w:szCs w:val="18"/>
                    </w:rPr>
                    <w:t>462880.59</w:t>
                  </w:r>
                </w:p>
              </w:tc>
              <w:tc>
                <w:tcPr>
                  <w:tcW w:w="546" w:type="pct"/>
                  <w:tcBorders>
                    <w:top w:val="single" w:sz="4" w:space="0" w:color="auto"/>
                    <w:left w:val="single" w:sz="4" w:space="0" w:color="auto"/>
                    <w:bottom w:val="single" w:sz="4" w:space="0" w:color="auto"/>
                    <w:right w:val="single" w:sz="4" w:space="0" w:color="auto"/>
                  </w:tcBorders>
                  <w:vAlign w:val="center"/>
                </w:tcPr>
                <w:p w14:paraId="797C8328" w14:textId="77777777" w:rsidR="00F76A63" w:rsidRDefault="00000000">
                  <w:pPr>
                    <w:adjustRightInd w:val="0"/>
                    <w:snapToGrid w:val="0"/>
                    <w:jc w:val="center"/>
                    <w:rPr>
                      <w:sz w:val="18"/>
                      <w:szCs w:val="18"/>
                    </w:rPr>
                  </w:pPr>
                  <w:r>
                    <w:rPr>
                      <w:rFonts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38C07C69" w14:textId="77777777" w:rsidR="00F76A63" w:rsidRDefault="00000000">
                  <w:pPr>
                    <w:adjustRightInd w:val="0"/>
                    <w:snapToGrid w:val="0"/>
                    <w:jc w:val="center"/>
                    <w:rPr>
                      <w:sz w:val="18"/>
                      <w:szCs w:val="18"/>
                    </w:rPr>
                  </w:pPr>
                  <w:r>
                    <w:rPr>
                      <w:rFonts w:hint="eastAsia"/>
                      <w:sz w:val="18"/>
                      <w:szCs w:val="18"/>
                    </w:rPr>
                    <w:t>2.85</w:t>
                  </w:r>
                </w:p>
              </w:tc>
              <w:tc>
                <w:tcPr>
                  <w:tcW w:w="668" w:type="pct"/>
                  <w:tcBorders>
                    <w:top w:val="single" w:sz="4" w:space="0" w:color="auto"/>
                    <w:left w:val="single" w:sz="4" w:space="0" w:color="auto"/>
                    <w:bottom w:val="single" w:sz="4" w:space="0" w:color="auto"/>
                    <w:right w:val="single" w:sz="4" w:space="0" w:color="auto"/>
                  </w:tcBorders>
                  <w:vAlign w:val="center"/>
                </w:tcPr>
                <w:p w14:paraId="4B718AC1" w14:textId="77777777" w:rsidR="00F76A63" w:rsidRDefault="00000000">
                  <w:pPr>
                    <w:adjustRightInd w:val="0"/>
                    <w:snapToGrid w:val="0"/>
                    <w:jc w:val="center"/>
                    <w:rPr>
                      <w:sz w:val="18"/>
                      <w:szCs w:val="18"/>
                    </w:rPr>
                  </w:pPr>
                  <w:r>
                    <w:rPr>
                      <w:rFonts w:hint="eastAsia"/>
                      <w:sz w:val="18"/>
                      <w:szCs w:val="18"/>
                    </w:rPr>
                    <w:t>5.64</w:t>
                  </w:r>
                </w:p>
              </w:tc>
              <w:tc>
                <w:tcPr>
                  <w:tcW w:w="707" w:type="pct"/>
                  <w:tcBorders>
                    <w:top w:val="single" w:sz="4" w:space="0" w:color="auto"/>
                    <w:left w:val="single" w:sz="4" w:space="0" w:color="auto"/>
                    <w:bottom w:val="single" w:sz="4" w:space="0" w:color="auto"/>
                    <w:right w:val="single" w:sz="4" w:space="0" w:color="auto"/>
                  </w:tcBorders>
                  <w:vAlign w:val="center"/>
                </w:tcPr>
                <w:p w14:paraId="5DE4FA4F" w14:textId="77777777" w:rsidR="00F76A63" w:rsidRDefault="00000000">
                  <w:pPr>
                    <w:adjustRightInd w:val="0"/>
                    <w:snapToGrid w:val="0"/>
                    <w:jc w:val="center"/>
                    <w:rPr>
                      <w:sz w:val="18"/>
                      <w:szCs w:val="18"/>
                    </w:rPr>
                  </w:pPr>
                  <w:r>
                    <w:rPr>
                      <w:rFonts w:hint="eastAsia"/>
                      <w:sz w:val="18"/>
                      <w:szCs w:val="18"/>
                    </w:rPr>
                    <w:t>23.83</w:t>
                  </w:r>
                </w:p>
              </w:tc>
              <w:tc>
                <w:tcPr>
                  <w:tcW w:w="504" w:type="pct"/>
                  <w:vMerge w:val="restart"/>
                  <w:tcBorders>
                    <w:left w:val="single" w:sz="4" w:space="0" w:color="auto"/>
                    <w:right w:val="nil"/>
                  </w:tcBorders>
                  <w:vAlign w:val="center"/>
                </w:tcPr>
                <w:p w14:paraId="34638DA1" w14:textId="77777777" w:rsidR="00F76A63" w:rsidRDefault="00000000">
                  <w:pPr>
                    <w:adjustRightInd w:val="0"/>
                    <w:snapToGrid w:val="0"/>
                    <w:jc w:val="center"/>
                    <w:rPr>
                      <w:sz w:val="18"/>
                      <w:szCs w:val="18"/>
                    </w:rPr>
                  </w:pPr>
                  <w:r>
                    <w:rPr>
                      <w:sz w:val="18"/>
                      <w:szCs w:val="18"/>
                    </w:rPr>
                    <w:t>/</w:t>
                  </w:r>
                </w:p>
              </w:tc>
            </w:tr>
            <w:tr w:rsidR="00F76A63" w14:paraId="1FFC4859" w14:textId="77777777">
              <w:trPr>
                <w:trHeight w:val="340"/>
                <w:jc w:val="center"/>
              </w:trPr>
              <w:tc>
                <w:tcPr>
                  <w:tcW w:w="422" w:type="pct"/>
                  <w:vMerge/>
                  <w:tcBorders>
                    <w:left w:val="nil"/>
                    <w:right w:val="single" w:sz="4" w:space="0" w:color="auto"/>
                  </w:tcBorders>
                  <w:vAlign w:val="center"/>
                </w:tcPr>
                <w:p w14:paraId="4701250B"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11F6F64F"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A53E9F9"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043D4EB" w14:textId="77777777" w:rsidR="00F76A63" w:rsidRDefault="00000000">
                  <w:pPr>
                    <w:adjustRightInd w:val="0"/>
                    <w:snapToGrid w:val="0"/>
                    <w:jc w:val="center"/>
                    <w:rPr>
                      <w:sz w:val="18"/>
                      <w:szCs w:val="18"/>
                    </w:rPr>
                  </w:pPr>
                  <w:r>
                    <w:rPr>
                      <w:rFonts w:hint="eastAsia"/>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154BFE96" w14:textId="77777777" w:rsidR="00F76A63" w:rsidRDefault="00000000">
                  <w:pPr>
                    <w:adjustRightInd w:val="0"/>
                    <w:snapToGrid w:val="0"/>
                    <w:jc w:val="center"/>
                    <w:rPr>
                      <w:sz w:val="18"/>
                      <w:szCs w:val="18"/>
                    </w:rPr>
                  </w:pPr>
                  <w:r>
                    <w:rPr>
                      <w:rFonts w:hint="eastAsia"/>
                      <w:sz w:val="18"/>
                      <w:szCs w:val="18"/>
                    </w:rPr>
                    <w:t>3.81</w:t>
                  </w:r>
                </w:p>
              </w:tc>
              <w:tc>
                <w:tcPr>
                  <w:tcW w:w="668" w:type="pct"/>
                  <w:tcBorders>
                    <w:top w:val="single" w:sz="4" w:space="0" w:color="auto"/>
                    <w:left w:val="single" w:sz="4" w:space="0" w:color="auto"/>
                    <w:bottom w:val="single" w:sz="4" w:space="0" w:color="auto"/>
                    <w:right w:val="single" w:sz="4" w:space="0" w:color="auto"/>
                  </w:tcBorders>
                  <w:vAlign w:val="center"/>
                </w:tcPr>
                <w:p w14:paraId="1F727159" w14:textId="77777777" w:rsidR="00F76A63" w:rsidRDefault="00000000">
                  <w:pPr>
                    <w:adjustRightInd w:val="0"/>
                    <w:snapToGrid w:val="0"/>
                    <w:jc w:val="center"/>
                    <w:rPr>
                      <w:b/>
                      <w:bCs/>
                      <w:sz w:val="18"/>
                      <w:szCs w:val="18"/>
                    </w:rPr>
                  </w:pPr>
                  <w:r>
                    <w:rPr>
                      <w:rFonts w:hint="eastAsia"/>
                      <w:b/>
                      <w:bCs/>
                      <w:sz w:val="18"/>
                      <w:szCs w:val="18"/>
                    </w:rPr>
                    <w:t>11.70</w:t>
                  </w:r>
                </w:p>
              </w:tc>
              <w:tc>
                <w:tcPr>
                  <w:tcW w:w="707" w:type="pct"/>
                  <w:tcBorders>
                    <w:top w:val="single" w:sz="4" w:space="0" w:color="auto"/>
                    <w:left w:val="single" w:sz="4" w:space="0" w:color="auto"/>
                    <w:bottom w:val="single" w:sz="4" w:space="0" w:color="auto"/>
                    <w:right w:val="single" w:sz="4" w:space="0" w:color="auto"/>
                  </w:tcBorders>
                  <w:vAlign w:val="center"/>
                </w:tcPr>
                <w:p w14:paraId="0473274C" w14:textId="77777777" w:rsidR="00F76A63" w:rsidRDefault="00000000">
                  <w:pPr>
                    <w:adjustRightInd w:val="0"/>
                    <w:snapToGrid w:val="0"/>
                    <w:jc w:val="center"/>
                    <w:rPr>
                      <w:b/>
                      <w:bCs/>
                      <w:sz w:val="18"/>
                      <w:szCs w:val="18"/>
                    </w:rPr>
                  </w:pPr>
                  <w:r>
                    <w:rPr>
                      <w:rFonts w:hint="eastAsia"/>
                      <w:b/>
                      <w:bCs/>
                      <w:sz w:val="18"/>
                      <w:szCs w:val="18"/>
                    </w:rPr>
                    <w:t>50.29</w:t>
                  </w:r>
                </w:p>
              </w:tc>
              <w:tc>
                <w:tcPr>
                  <w:tcW w:w="504" w:type="pct"/>
                  <w:vMerge/>
                  <w:tcBorders>
                    <w:left w:val="single" w:sz="4" w:space="0" w:color="auto"/>
                    <w:right w:val="nil"/>
                  </w:tcBorders>
                  <w:vAlign w:val="center"/>
                </w:tcPr>
                <w:p w14:paraId="50B7386B" w14:textId="77777777" w:rsidR="00F76A63" w:rsidRDefault="00F76A63">
                  <w:pPr>
                    <w:adjustRightInd w:val="0"/>
                    <w:snapToGrid w:val="0"/>
                    <w:jc w:val="center"/>
                    <w:rPr>
                      <w:sz w:val="18"/>
                      <w:szCs w:val="18"/>
                    </w:rPr>
                  </w:pPr>
                </w:p>
              </w:tc>
            </w:tr>
            <w:tr w:rsidR="00F76A63" w14:paraId="3284F3E2" w14:textId="77777777">
              <w:trPr>
                <w:trHeight w:val="340"/>
                <w:jc w:val="center"/>
              </w:trPr>
              <w:tc>
                <w:tcPr>
                  <w:tcW w:w="422" w:type="pct"/>
                  <w:vMerge/>
                  <w:tcBorders>
                    <w:left w:val="nil"/>
                    <w:right w:val="single" w:sz="4" w:space="0" w:color="auto"/>
                  </w:tcBorders>
                  <w:vAlign w:val="center"/>
                </w:tcPr>
                <w:p w14:paraId="2C705241"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6C104BDF"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83B960F"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0F89498" w14:textId="77777777" w:rsidR="00F76A63" w:rsidRDefault="00000000">
                  <w:pPr>
                    <w:adjustRightInd w:val="0"/>
                    <w:snapToGrid w:val="0"/>
                    <w:jc w:val="center"/>
                    <w:rPr>
                      <w:sz w:val="18"/>
                      <w:szCs w:val="18"/>
                    </w:rPr>
                  </w:pPr>
                  <w:r>
                    <w:rPr>
                      <w:rFonts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4B694836" w14:textId="77777777" w:rsidR="00F76A63" w:rsidRDefault="00000000">
                  <w:pPr>
                    <w:adjustRightInd w:val="0"/>
                    <w:snapToGrid w:val="0"/>
                    <w:jc w:val="center"/>
                    <w:rPr>
                      <w:sz w:val="18"/>
                      <w:szCs w:val="18"/>
                    </w:rPr>
                  </w:pPr>
                  <w:r>
                    <w:rPr>
                      <w:rFonts w:hint="eastAsia"/>
                      <w:sz w:val="18"/>
                      <w:szCs w:val="18"/>
                    </w:rPr>
                    <w:t>2.40</w:t>
                  </w:r>
                </w:p>
              </w:tc>
              <w:tc>
                <w:tcPr>
                  <w:tcW w:w="668" w:type="pct"/>
                  <w:tcBorders>
                    <w:top w:val="single" w:sz="4" w:space="0" w:color="auto"/>
                    <w:left w:val="single" w:sz="4" w:space="0" w:color="auto"/>
                    <w:bottom w:val="single" w:sz="4" w:space="0" w:color="auto"/>
                    <w:right w:val="single" w:sz="4" w:space="0" w:color="auto"/>
                  </w:tcBorders>
                  <w:vAlign w:val="center"/>
                </w:tcPr>
                <w:p w14:paraId="210413EA" w14:textId="77777777" w:rsidR="00F76A63" w:rsidRDefault="00000000">
                  <w:pPr>
                    <w:adjustRightInd w:val="0"/>
                    <w:snapToGrid w:val="0"/>
                    <w:jc w:val="center"/>
                    <w:rPr>
                      <w:sz w:val="18"/>
                      <w:szCs w:val="18"/>
                    </w:rPr>
                  </w:pPr>
                  <w:r>
                    <w:rPr>
                      <w:rFonts w:hint="eastAsia"/>
                      <w:sz w:val="18"/>
                      <w:szCs w:val="18"/>
                    </w:rPr>
                    <w:t>1.59</w:t>
                  </w:r>
                </w:p>
              </w:tc>
              <w:tc>
                <w:tcPr>
                  <w:tcW w:w="707" w:type="pct"/>
                  <w:tcBorders>
                    <w:top w:val="single" w:sz="4" w:space="0" w:color="auto"/>
                    <w:left w:val="single" w:sz="4" w:space="0" w:color="auto"/>
                    <w:bottom w:val="single" w:sz="4" w:space="0" w:color="auto"/>
                    <w:right w:val="single" w:sz="4" w:space="0" w:color="auto"/>
                  </w:tcBorders>
                  <w:vAlign w:val="center"/>
                </w:tcPr>
                <w:p w14:paraId="347CB8BF" w14:textId="77777777" w:rsidR="00F76A63" w:rsidRDefault="00000000">
                  <w:pPr>
                    <w:adjustRightInd w:val="0"/>
                    <w:snapToGrid w:val="0"/>
                    <w:jc w:val="center"/>
                    <w:rPr>
                      <w:sz w:val="18"/>
                      <w:szCs w:val="18"/>
                    </w:rPr>
                  </w:pPr>
                  <w:r>
                    <w:rPr>
                      <w:rFonts w:hint="eastAsia"/>
                      <w:sz w:val="18"/>
                      <w:szCs w:val="18"/>
                    </w:rPr>
                    <w:t>17.18</w:t>
                  </w:r>
                </w:p>
              </w:tc>
              <w:tc>
                <w:tcPr>
                  <w:tcW w:w="504" w:type="pct"/>
                  <w:vMerge/>
                  <w:tcBorders>
                    <w:left w:val="single" w:sz="4" w:space="0" w:color="auto"/>
                    <w:right w:val="nil"/>
                  </w:tcBorders>
                  <w:vAlign w:val="center"/>
                </w:tcPr>
                <w:p w14:paraId="2FC84ED4" w14:textId="77777777" w:rsidR="00F76A63" w:rsidRDefault="00F76A63">
                  <w:pPr>
                    <w:adjustRightInd w:val="0"/>
                    <w:snapToGrid w:val="0"/>
                    <w:jc w:val="center"/>
                    <w:rPr>
                      <w:sz w:val="18"/>
                      <w:szCs w:val="18"/>
                    </w:rPr>
                  </w:pPr>
                </w:p>
              </w:tc>
            </w:tr>
            <w:tr w:rsidR="00F76A63" w14:paraId="64EB896D" w14:textId="77777777">
              <w:trPr>
                <w:trHeight w:val="340"/>
                <w:jc w:val="center"/>
              </w:trPr>
              <w:tc>
                <w:tcPr>
                  <w:tcW w:w="422" w:type="pct"/>
                  <w:vMerge/>
                  <w:tcBorders>
                    <w:left w:val="nil"/>
                    <w:right w:val="single" w:sz="4" w:space="0" w:color="auto"/>
                  </w:tcBorders>
                  <w:vAlign w:val="center"/>
                </w:tcPr>
                <w:p w14:paraId="318CE8EA"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05D01B40" w14:textId="77777777" w:rsidR="00F76A63" w:rsidRDefault="00000000">
                  <w:pPr>
                    <w:adjustRightInd w:val="0"/>
                    <w:snapToGrid w:val="0"/>
                    <w:jc w:val="center"/>
                    <w:rPr>
                      <w:sz w:val="18"/>
                      <w:szCs w:val="18"/>
                    </w:rPr>
                  </w:pPr>
                  <w:r>
                    <w:rPr>
                      <w:rFonts w:hint="eastAsia"/>
                      <w:sz w:val="18"/>
                      <w:szCs w:val="18"/>
                    </w:rPr>
                    <w:t>202512</w:t>
                  </w:r>
                </w:p>
              </w:tc>
              <w:tc>
                <w:tcPr>
                  <w:tcW w:w="978" w:type="pct"/>
                  <w:vMerge w:val="restart"/>
                  <w:tcBorders>
                    <w:left w:val="single" w:sz="4" w:space="0" w:color="auto"/>
                    <w:right w:val="single" w:sz="4" w:space="0" w:color="auto"/>
                  </w:tcBorders>
                  <w:vAlign w:val="center"/>
                </w:tcPr>
                <w:p w14:paraId="1BB2093E" w14:textId="77777777" w:rsidR="00F76A63" w:rsidRDefault="00000000">
                  <w:pPr>
                    <w:adjustRightInd w:val="0"/>
                    <w:snapToGrid w:val="0"/>
                    <w:jc w:val="center"/>
                    <w:rPr>
                      <w:sz w:val="18"/>
                      <w:szCs w:val="18"/>
                    </w:rPr>
                  </w:pPr>
                  <w:r>
                    <w:rPr>
                      <w:rFonts w:hint="eastAsia"/>
                      <w:sz w:val="18"/>
                      <w:szCs w:val="18"/>
                    </w:rPr>
                    <w:t>469020.04</w:t>
                  </w:r>
                </w:p>
              </w:tc>
              <w:tc>
                <w:tcPr>
                  <w:tcW w:w="546" w:type="pct"/>
                  <w:tcBorders>
                    <w:top w:val="single" w:sz="4" w:space="0" w:color="auto"/>
                    <w:left w:val="single" w:sz="4" w:space="0" w:color="auto"/>
                    <w:bottom w:val="single" w:sz="4" w:space="0" w:color="auto"/>
                    <w:right w:val="single" w:sz="4" w:space="0" w:color="auto"/>
                  </w:tcBorders>
                  <w:vAlign w:val="center"/>
                </w:tcPr>
                <w:p w14:paraId="181962B2" w14:textId="77777777" w:rsidR="00F76A63" w:rsidRDefault="00000000">
                  <w:pPr>
                    <w:adjustRightInd w:val="0"/>
                    <w:snapToGrid w:val="0"/>
                    <w:jc w:val="center"/>
                    <w:rPr>
                      <w:sz w:val="18"/>
                      <w:szCs w:val="18"/>
                    </w:rPr>
                  </w:pPr>
                  <w:r>
                    <w:rPr>
                      <w:rFonts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0EC11F8" w14:textId="77777777" w:rsidR="00F76A63" w:rsidRDefault="00000000">
                  <w:pPr>
                    <w:adjustRightInd w:val="0"/>
                    <w:snapToGrid w:val="0"/>
                    <w:jc w:val="center"/>
                    <w:rPr>
                      <w:sz w:val="18"/>
                      <w:szCs w:val="18"/>
                    </w:rPr>
                  </w:pPr>
                  <w:r>
                    <w:rPr>
                      <w:rFonts w:hint="eastAsia"/>
                      <w:sz w:val="18"/>
                      <w:szCs w:val="18"/>
                    </w:rPr>
                    <w:t>2.28</w:t>
                  </w:r>
                </w:p>
              </w:tc>
              <w:tc>
                <w:tcPr>
                  <w:tcW w:w="668" w:type="pct"/>
                  <w:tcBorders>
                    <w:top w:val="single" w:sz="4" w:space="0" w:color="auto"/>
                    <w:left w:val="single" w:sz="4" w:space="0" w:color="auto"/>
                    <w:bottom w:val="single" w:sz="4" w:space="0" w:color="auto"/>
                    <w:right w:val="single" w:sz="4" w:space="0" w:color="auto"/>
                  </w:tcBorders>
                  <w:vAlign w:val="center"/>
                </w:tcPr>
                <w:p w14:paraId="1B7A1FA0" w14:textId="77777777" w:rsidR="00F76A63" w:rsidRDefault="00000000">
                  <w:pPr>
                    <w:adjustRightInd w:val="0"/>
                    <w:snapToGrid w:val="0"/>
                    <w:jc w:val="center"/>
                    <w:rPr>
                      <w:sz w:val="18"/>
                      <w:szCs w:val="18"/>
                    </w:rPr>
                  </w:pPr>
                  <w:r>
                    <w:rPr>
                      <w:rFonts w:hint="eastAsia"/>
                      <w:sz w:val="18"/>
                      <w:szCs w:val="18"/>
                    </w:rPr>
                    <w:t>3.15</w:t>
                  </w:r>
                </w:p>
              </w:tc>
              <w:tc>
                <w:tcPr>
                  <w:tcW w:w="707" w:type="pct"/>
                  <w:tcBorders>
                    <w:top w:val="single" w:sz="4" w:space="0" w:color="auto"/>
                    <w:left w:val="single" w:sz="4" w:space="0" w:color="auto"/>
                    <w:bottom w:val="single" w:sz="4" w:space="0" w:color="auto"/>
                    <w:right w:val="single" w:sz="4" w:space="0" w:color="auto"/>
                  </w:tcBorders>
                  <w:vAlign w:val="center"/>
                </w:tcPr>
                <w:p w14:paraId="371C105F" w14:textId="77777777" w:rsidR="00F76A63" w:rsidRDefault="00000000">
                  <w:pPr>
                    <w:adjustRightInd w:val="0"/>
                    <w:snapToGrid w:val="0"/>
                    <w:jc w:val="center"/>
                    <w:rPr>
                      <w:sz w:val="18"/>
                      <w:szCs w:val="18"/>
                    </w:rPr>
                  </w:pPr>
                  <w:r>
                    <w:rPr>
                      <w:rFonts w:hint="eastAsia"/>
                      <w:sz w:val="18"/>
                      <w:szCs w:val="18"/>
                    </w:rPr>
                    <w:t>25.01</w:t>
                  </w:r>
                </w:p>
              </w:tc>
              <w:tc>
                <w:tcPr>
                  <w:tcW w:w="504" w:type="pct"/>
                  <w:vMerge w:val="restart"/>
                  <w:tcBorders>
                    <w:left w:val="single" w:sz="4" w:space="0" w:color="auto"/>
                    <w:right w:val="nil"/>
                  </w:tcBorders>
                  <w:vAlign w:val="center"/>
                </w:tcPr>
                <w:p w14:paraId="4AACDEC8" w14:textId="77777777" w:rsidR="00F76A63" w:rsidRDefault="00000000">
                  <w:pPr>
                    <w:adjustRightInd w:val="0"/>
                    <w:snapToGrid w:val="0"/>
                    <w:jc w:val="center"/>
                    <w:rPr>
                      <w:sz w:val="18"/>
                      <w:szCs w:val="18"/>
                    </w:rPr>
                  </w:pPr>
                  <w:r>
                    <w:rPr>
                      <w:sz w:val="18"/>
                      <w:szCs w:val="18"/>
                    </w:rPr>
                    <w:t>/</w:t>
                  </w:r>
                </w:p>
              </w:tc>
            </w:tr>
            <w:tr w:rsidR="00F76A63" w14:paraId="4703ED80" w14:textId="77777777">
              <w:trPr>
                <w:trHeight w:val="340"/>
                <w:jc w:val="center"/>
              </w:trPr>
              <w:tc>
                <w:tcPr>
                  <w:tcW w:w="422" w:type="pct"/>
                  <w:vMerge/>
                  <w:tcBorders>
                    <w:left w:val="nil"/>
                    <w:right w:val="single" w:sz="4" w:space="0" w:color="auto"/>
                  </w:tcBorders>
                  <w:vAlign w:val="center"/>
                </w:tcPr>
                <w:p w14:paraId="3B041495"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69666E1"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72F59BE7"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36AE8C6" w14:textId="77777777" w:rsidR="00F76A63" w:rsidRDefault="00000000">
                  <w:pPr>
                    <w:adjustRightInd w:val="0"/>
                    <w:snapToGrid w:val="0"/>
                    <w:jc w:val="center"/>
                    <w:rPr>
                      <w:sz w:val="18"/>
                      <w:szCs w:val="18"/>
                    </w:rPr>
                  </w:pPr>
                  <w:r>
                    <w:rPr>
                      <w:rFonts w:hint="eastAsia"/>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4770D782" w14:textId="77777777" w:rsidR="00F76A63" w:rsidRDefault="00000000">
                  <w:pPr>
                    <w:adjustRightInd w:val="0"/>
                    <w:snapToGrid w:val="0"/>
                    <w:jc w:val="center"/>
                    <w:rPr>
                      <w:sz w:val="18"/>
                      <w:szCs w:val="18"/>
                    </w:rPr>
                  </w:pPr>
                  <w:r>
                    <w:rPr>
                      <w:rFonts w:hint="eastAsia"/>
                      <w:sz w:val="18"/>
                      <w:szCs w:val="18"/>
                    </w:rPr>
                    <w:t>3.46</w:t>
                  </w:r>
                </w:p>
              </w:tc>
              <w:tc>
                <w:tcPr>
                  <w:tcW w:w="668" w:type="pct"/>
                  <w:tcBorders>
                    <w:top w:val="single" w:sz="4" w:space="0" w:color="auto"/>
                    <w:left w:val="single" w:sz="4" w:space="0" w:color="auto"/>
                    <w:bottom w:val="single" w:sz="4" w:space="0" w:color="auto"/>
                    <w:right w:val="single" w:sz="4" w:space="0" w:color="auto"/>
                  </w:tcBorders>
                  <w:vAlign w:val="center"/>
                </w:tcPr>
                <w:p w14:paraId="4F087F6D" w14:textId="77777777" w:rsidR="00F76A63" w:rsidRDefault="00000000">
                  <w:pPr>
                    <w:adjustRightInd w:val="0"/>
                    <w:snapToGrid w:val="0"/>
                    <w:jc w:val="center"/>
                    <w:rPr>
                      <w:sz w:val="18"/>
                      <w:szCs w:val="18"/>
                    </w:rPr>
                  </w:pPr>
                  <w:r>
                    <w:rPr>
                      <w:rFonts w:hint="eastAsia"/>
                      <w:sz w:val="18"/>
                      <w:szCs w:val="18"/>
                    </w:rPr>
                    <w:t>10.08</w:t>
                  </w:r>
                </w:p>
              </w:tc>
              <w:tc>
                <w:tcPr>
                  <w:tcW w:w="707" w:type="pct"/>
                  <w:tcBorders>
                    <w:top w:val="single" w:sz="4" w:space="0" w:color="auto"/>
                    <w:left w:val="single" w:sz="4" w:space="0" w:color="auto"/>
                    <w:bottom w:val="single" w:sz="4" w:space="0" w:color="auto"/>
                    <w:right w:val="single" w:sz="4" w:space="0" w:color="auto"/>
                  </w:tcBorders>
                  <w:vAlign w:val="center"/>
                </w:tcPr>
                <w:p w14:paraId="140D5357" w14:textId="77777777" w:rsidR="00F76A63" w:rsidRDefault="00000000">
                  <w:pPr>
                    <w:adjustRightInd w:val="0"/>
                    <w:snapToGrid w:val="0"/>
                    <w:jc w:val="center"/>
                    <w:rPr>
                      <w:sz w:val="18"/>
                      <w:szCs w:val="18"/>
                    </w:rPr>
                  </w:pPr>
                  <w:r>
                    <w:rPr>
                      <w:rFonts w:hint="eastAsia"/>
                      <w:sz w:val="18"/>
                      <w:szCs w:val="18"/>
                    </w:rPr>
                    <w:t>29.59</w:t>
                  </w:r>
                </w:p>
              </w:tc>
              <w:tc>
                <w:tcPr>
                  <w:tcW w:w="504" w:type="pct"/>
                  <w:vMerge/>
                  <w:tcBorders>
                    <w:left w:val="single" w:sz="4" w:space="0" w:color="auto"/>
                    <w:right w:val="nil"/>
                  </w:tcBorders>
                  <w:vAlign w:val="center"/>
                </w:tcPr>
                <w:p w14:paraId="5E42E2CE" w14:textId="77777777" w:rsidR="00F76A63" w:rsidRDefault="00F76A63">
                  <w:pPr>
                    <w:adjustRightInd w:val="0"/>
                    <w:snapToGrid w:val="0"/>
                    <w:jc w:val="center"/>
                    <w:rPr>
                      <w:sz w:val="18"/>
                      <w:szCs w:val="18"/>
                    </w:rPr>
                  </w:pPr>
                </w:p>
              </w:tc>
            </w:tr>
            <w:tr w:rsidR="00F76A63" w14:paraId="54B69D80" w14:textId="77777777">
              <w:trPr>
                <w:trHeight w:val="340"/>
                <w:jc w:val="center"/>
              </w:trPr>
              <w:tc>
                <w:tcPr>
                  <w:tcW w:w="422" w:type="pct"/>
                  <w:vMerge/>
                  <w:tcBorders>
                    <w:left w:val="nil"/>
                    <w:right w:val="single" w:sz="4" w:space="0" w:color="auto"/>
                  </w:tcBorders>
                  <w:vAlign w:val="center"/>
                </w:tcPr>
                <w:p w14:paraId="7CBB1A38"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30E9C491"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1326A9A6"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D46F6E8" w14:textId="77777777" w:rsidR="00F76A63" w:rsidRDefault="00000000">
                  <w:pPr>
                    <w:adjustRightInd w:val="0"/>
                    <w:snapToGrid w:val="0"/>
                    <w:jc w:val="center"/>
                    <w:rPr>
                      <w:sz w:val="18"/>
                      <w:szCs w:val="18"/>
                    </w:rPr>
                  </w:pPr>
                  <w:r>
                    <w:rPr>
                      <w:rFonts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367B0590" w14:textId="77777777" w:rsidR="00F76A63" w:rsidRDefault="00000000">
                  <w:pPr>
                    <w:adjustRightInd w:val="0"/>
                    <w:snapToGrid w:val="0"/>
                    <w:jc w:val="center"/>
                    <w:rPr>
                      <w:sz w:val="18"/>
                      <w:szCs w:val="18"/>
                    </w:rPr>
                  </w:pPr>
                  <w:r>
                    <w:rPr>
                      <w:rFonts w:hint="eastAsia"/>
                      <w:sz w:val="18"/>
                      <w:szCs w:val="18"/>
                    </w:rPr>
                    <w:t>1.44</w:t>
                  </w:r>
                </w:p>
              </w:tc>
              <w:tc>
                <w:tcPr>
                  <w:tcW w:w="668" w:type="pct"/>
                  <w:tcBorders>
                    <w:top w:val="single" w:sz="4" w:space="0" w:color="auto"/>
                    <w:left w:val="single" w:sz="4" w:space="0" w:color="auto"/>
                    <w:bottom w:val="single" w:sz="4" w:space="0" w:color="auto"/>
                    <w:right w:val="single" w:sz="4" w:space="0" w:color="auto"/>
                  </w:tcBorders>
                  <w:vAlign w:val="center"/>
                </w:tcPr>
                <w:p w14:paraId="289132A4" w14:textId="77777777" w:rsidR="00F76A63" w:rsidRDefault="00000000">
                  <w:pPr>
                    <w:adjustRightInd w:val="0"/>
                    <w:snapToGrid w:val="0"/>
                    <w:jc w:val="center"/>
                    <w:rPr>
                      <w:sz w:val="18"/>
                      <w:szCs w:val="18"/>
                    </w:rPr>
                  </w:pPr>
                  <w:r>
                    <w:rPr>
                      <w:rFonts w:hint="eastAsia"/>
                      <w:sz w:val="18"/>
                      <w:szCs w:val="18"/>
                    </w:rPr>
                    <w:t>0.82</w:t>
                  </w:r>
                </w:p>
              </w:tc>
              <w:tc>
                <w:tcPr>
                  <w:tcW w:w="707" w:type="pct"/>
                  <w:tcBorders>
                    <w:top w:val="single" w:sz="4" w:space="0" w:color="auto"/>
                    <w:left w:val="single" w:sz="4" w:space="0" w:color="auto"/>
                    <w:bottom w:val="single" w:sz="4" w:space="0" w:color="auto"/>
                    <w:right w:val="single" w:sz="4" w:space="0" w:color="auto"/>
                  </w:tcBorders>
                  <w:vAlign w:val="center"/>
                </w:tcPr>
                <w:p w14:paraId="6550826F" w14:textId="77777777" w:rsidR="00F76A63" w:rsidRDefault="00000000">
                  <w:pPr>
                    <w:adjustRightInd w:val="0"/>
                    <w:snapToGrid w:val="0"/>
                    <w:jc w:val="center"/>
                    <w:rPr>
                      <w:sz w:val="18"/>
                      <w:szCs w:val="18"/>
                    </w:rPr>
                  </w:pPr>
                  <w:r>
                    <w:rPr>
                      <w:rFonts w:hint="eastAsia"/>
                      <w:sz w:val="18"/>
                      <w:szCs w:val="18"/>
                    </w:rPr>
                    <w:t>19.19</w:t>
                  </w:r>
                </w:p>
              </w:tc>
              <w:tc>
                <w:tcPr>
                  <w:tcW w:w="504" w:type="pct"/>
                  <w:vMerge/>
                  <w:tcBorders>
                    <w:left w:val="single" w:sz="4" w:space="0" w:color="auto"/>
                    <w:right w:val="nil"/>
                  </w:tcBorders>
                  <w:vAlign w:val="center"/>
                </w:tcPr>
                <w:p w14:paraId="5CA8D9C1" w14:textId="77777777" w:rsidR="00F76A63" w:rsidRDefault="00F76A63">
                  <w:pPr>
                    <w:adjustRightInd w:val="0"/>
                    <w:snapToGrid w:val="0"/>
                    <w:jc w:val="center"/>
                    <w:rPr>
                      <w:sz w:val="18"/>
                      <w:szCs w:val="18"/>
                    </w:rPr>
                  </w:pPr>
                </w:p>
              </w:tc>
            </w:tr>
            <w:tr w:rsidR="00F76A63" w14:paraId="690AC622" w14:textId="77777777">
              <w:trPr>
                <w:trHeight w:val="340"/>
                <w:jc w:val="center"/>
              </w:trPr>
              <w:tc>
                <w:tcPr>
                  <w:tcW w:w="422" w:type="pct"/>
                  <w:vMerge/>
                  <w:tcBorders>
                    <w:left w:val="nil"/>
                    <w:right w:val="single" w:sz="4" w:space="0" w:color="auto"/>
                  </w:tcBorders>
                  <w:vAlign w:val="center"/>
                </w:tcPr>
                <w:p w14:paraId="7CC50FE9"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2F006ABC" w14:textId="77777777" w:rsidR="00F76A63" w:rsidRDefault="00000000">
                  <w:pPr>
                    <w:adjustRightInd w:val="0"/>
                    <w:snapToGrid w:val="0"/>
                    <w:jc w:val="center"/>
                    <w:rPr>
                      <w:sz w:val="18"/>
                      <w:szCs w:val="18"/>
                    </w:rPr>
                  </w:pPr>
                  <w:r>
                    <w:rPr>
                      <w:rFonts w:hint="eastAsia"/>
                      <w:sz w:val="18"/>
                      <w:szCs w:val="18"/>
                    </w:rPr>
                    <w:t>202601</w:t>
                  </w:r>
                </w:p>
              </w:tc>
              <w:tc>
                <w:tcPr>
                  <w:tcW w:w="978" w:type="pct"/>
                  <w:vMerge w:val="restart"/>
                  <w:tcBorders>
                    <w:left w:val="single" w:sz="4" w:space="0" w:color="auto"/>
                    <w:right w:val="single" w:sz="4" w:space="0" w:color="auto"/>
                  </w:tcBorders>
                  <w:vAlign w:val="center"/>
                </w:tcPr>
                <w:p w14:paraId="3E0B8956" w14:textId="77777777" w:rsidR="00F76A63" w:rsidRDefault="00000000">
                  <w:pPr>
                    <w:adjustRightInd w:val="0"/>
                    <w:snapToGrid w:val="0"/>
                    <w:jc w:val="center"/>
                    <w:rPr>
                      <w:sz w:val="18"/>
                      <w:szCs w:val="18"/>
                    </w:rPr>
                  </w:pPr>
                  <w:r>
                    <w:rPr>
                      <w:rFonts w:hint="eastAsia"/>
                      <w:sz w:val="18"/>
                      <w:szCs w:val="18"/>
                    </w:rPr>
                    <w:t>458151.19</w:t>
                  </w:r>
                </w:p>
              </w:tc>
              <w:tc>
                <w:tcPr>
                  <w:tcW w:w="546" w:type="pct"/>
                  <w:tcBorders>
                    <w:top w:val="single" w:sz="4" w:space="0" w:color="auto"/>
                    <w:left w:val="single" w:sz="4" w:space="0" w:color="auto"/>
                    <w:bottom w:val="single" w:sz="4" w:space="0" w:color="auto"/>
                    <w:right w:val="single" w:sz="4" w:space="0" w:color="auto"/>
                  </w:tcBorders>
                  <w:vAlign w:val="center"/>
                </w:tcPr>
                <w:p w14:paraId="5BA07651" w14:textId="77777777" w:rsidR="00F76A63" w:rsidRDefault="00000000">
                  <w:pPr>
                    <w:adjustRightInd w:val="0"/>
                    <w:snapToGrid w:val="0"/>
                    <w:jc w:val="center"/>
                    <w:rPr>
                      <w:sz w:val="18"/>
                      <w:szCs w:val="18"/>
                    </w:rPr>
                  </w:pPr>
                  <w:r>
                    <w:rPr>
                      <w:rFonts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35E7E59B" w14:textId="77777777" w:rsidR="00F76A63" w:rsidRDefault="00000000">
                  <w:pPr>
                    <w:adjustRightInd w:val="0"/>
                    <w:snapToGrid w:val="0"/>
                    <w:jc w:val="center"/>
                    <w:rPr>
                      <w:sz w:val="18"/>
                      <w:szCs w:val="18"/>
                    </w:rPr>
                  </w:pPr>
                  <w:r>
                    <w:rPr>
                      <w:rFonts w:hint="eastAsia"/>
                      <w:sz w:val="18"/>
                      <w:szCs w:val="18"/>
                    </w:rPr>
                    <w:t>1.97</w:t>
                  </w:r>
                </w:p>
              </w:tc>
              <w:tc>
                <w:tcPr>
                  <w:tcW w:w="668" w:type="pct"/>
                  <w:tcBorders>
                    <w:top w:val="single" w:sz="4" w:space="0" w:color="auto"/>
                    <w:left w:val="single" w:sz="4" w:space="0" w:color="auto"/>
                    <w:bottom w:val="single" w:sz="4" w:space="0" w:color="auto"/>
                    <w:right w:val="single" w:sz="4" w:space="0" w:color="auto"/>
                  </w:tcBorders>
                  <w:vAlign w:val="center"/>
                </w:tcPr>
                <w:p w14:paraId="1C603F88" w14:textId="77777777" w:rsidR="00F76A63" w:rsidRDefault="00000000">
                  <w:pPr>
                    <w:adjustRightInd w:val="0"/>
                    <w:snapToGrid w:val="0"/>
                    <w:jc w:val="center"/>
                    <w:rPr>
                      <w:sz w:val="18"/>
                      <w:szCs w:val="18"/>
                    </w:rPr>
                  </w:pPr>
                  <w:r>
                    <w:rPr>
                      <w:rFonts w:hint="eastAsia"/>
                      <w:sz w:val="18"/>
                      <w:szCs w:val="18"/>
                    </w:rPr>
                    <w:t>2.49</w:t>
                  </w:r>
                </w:p>
              </w:tc>
              <w:tc>
                <w:tcPr>
                  <w:tcW w:w="707" w:type="pct"/>
                  <w:tcBorders>
                    <w:top w:val="single" w:sz="4" w:space="0" w:color="auto"/>
                    <w:left w:val="single" w:sz="4" w:space="0" w:color="auto"/>
                    <w:bottom w:val="single" w:sz="4" w:space="0" w:color="auto"/>
                    <w:right w:val="single" w:sz="4" w:space="0" w:color="auto"/>
                  </w:tcBorders>
                  <w:vAlign w:val="center"/>
                </w:tcPr>
                <w:p w14:paraId="3371FE2D" w14:textId="77777777" w:rsidR="00F76A63" w:rsidRDefault="00000000">
                  <w:pPr>
                    <w:adjustRightInd w:val="0"/>
                    <w:snapToGrid w:val="0"/>
                    <w:jc w:val="center"/>
                    <w:rPr>
                      <w:sz w:val="18"/>
                      <w:szCs w:val="18"/>
                    </w:rPr>
                  </w:pPr>
                  <w:r>
                    <w:rPr>
                      <w:rFonts w:hint="eastAsia"/>
                      <w:sz w:val="18"/>
                      <w:szCs w:val="18"/>
                    </w:rPr>
                    <w:t>27.72</w:t>
                  </w:r>
                </w:p>
              </w:tc>
              <w:tc>
                <w:tcPr>
                  <w:tcW w:w="504" w:type="pct"/>
                  <w:vMerge w:val="restart"/>
                  <w:tcBorders>
                    <w:left w:val="single" w:sz="4" w:space="0" w:color="auto"/>
                    <w:right w:val="nil"/>
                  </w:tcBorders>
                  <w:vAlign w:val="center"/>
                </w:tcPr>
                <w:p w14:paraId="3730DFE9" w14:textId="77777777" w:rsidR="00F76A63" w:rsidRDefault="00000000">
                  <w:pPr>
                    <w:adjustRightInd w:val="0"/>
                    <w:snapToGrid w:val="0"/>
                    <w:jc w:val="center"/>
                    <w:rPr>
                      <w:sz w:val="18"/>
                      <w:szCs w:val="18"/>
                    </w:rPr>
                  </w:pPr>
                  <w:r>
                    <w:rPr>
                      <w:sz w:val="18"/>
                      <w:szCs w:val="18"/>
                    </w:rPr>
                    <w:t>/</w:t>
                  </w:r>
                </w:p>
              </w:tc>
            </w:tr>
            <w:tr w:rsidR="00F76A63" w14:paraId="282853D6" w14:textId="77777777">
              <w:trPr>
                <w:trHeight w:val="340"/>
                <w:jc w:val="center"/>
              </w:trPr>
              <w:tc>
                <w:tcPr>
                  <w:tcW w:w="422" w:type="pct"/>
                  <w:vMerge/>
                  <w:tcBorders>
                    <w:left w:val="nil"/>
                    <w:right w:val="single" w:sz="4" w:space="0" w:color="auto"/>
                  </w:tcBorders>
                  <w:vAlign w:val="center"/>
                </w:tcPr>
                <w:p w14:paraId="5D5FF40C"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45224734"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F125D5F"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E94EA4B" w14:textId="77777777" w:rsidR="00F76A63" w:rsidRDefault="00000000">
                  <w:pPr>
                    <w:adjustRightInd w:val="0"/>
                    <w:snapToGrid w:val="0"/>
                    <w:jc w:val="center"/>
                    <w:rPr>
                      <w:sz w:val="18"/>
                      <w:szCs w:val="18"/>
                    </w:rPr>
                  </w:pPr>
                  <w:r>
                    <w:rPr>
                      <w:rFonts w:hint="eastAsia"/>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01ECFE7D" w14:textId="77777777" w:rsidR="00F76A63" w:rsidRDefault="00000000">
                  <w:pPr>
                    <w:adjustRightInd w:val="0"/>
                    <w:snapToGrid w:val="0"/>
                    <w:jc w:val="center"/>
                    <w:rPr>
                      <w:sz w:val="18"/>
                      <w:szCs w:val="18"/>
                    </w:rPr>
                  </w:pPr>
                  <w:r>
                    <w:rPr>
                      <w:rFonts w:hint="eastAsia"/>
                      <w:sz w:val="18"/>
                      <w:szCs w:val="18"/>
                    </w:rPr>
                    <w:t>2.89</w:t>
                  </w:r>
                </w:p>
              </w:tc>
              <w:tc>
                <w:tcPr>
                  <w:tcW w:w="668" w:type="pct"/>
                  <w:tcBorders>
                    <w:top w:val="single" w:sz="4" w:space="0" w:color="auto"/>
                    <w:left w:val="single" w:sz="4" w:space="0" w:color="auto"/>
                    <w:bottom w:val="single" w:sz="4" w:space="0" w:color="auto"/>
                    <w:right w:val="single" w:sz="4" w:space="0" w:color="auto"/>
                  </w:tcBorders>
                  <w:vAlign w:val="center"/>
                </w:tcPr>
                <w:p w14:paraId="7BEBC092" w14:textId="77777777" w:rsidR="00F76A63" w:rsidRDefault="00000000">
                  <w:pPr>
                    <w:adjustRightInd w:val="0"/>
                    <w:snapToGrid w:val="0"/>
                    <w:jc w:val="center"/>
                    <w:rPr>
                      <w:sz w:val="18"/>
                      <w:szCs w:val="18"/>
                    </w:rPr>
                  </w:pPr>
                  <w:r>
                    <w:rPr>
                      <w:rFonts w:hint="eastAsia"/>
                      <w:sz w:val="18"/>
                      <w:szCs w:val="18"/>
                    </w:rPr>
                    <w:t>10.28</w:t>
                  </w:r>
                </w:p>
              </w:tc>
              <w:tc>
                <w:tcPr>
                  <w:tcW w:w="707" w:type="pct"/>
                  <w:tcBorders>
                    <w:top w:val="single" w:sz="4" w:space="0" w:color="auto"/>
                    <w:left w:val="single" w:sz="4" w:space="0" w:color="auto"/>
                    <w:bottom w:val="single" w:sz="4" w:space="0" w:color="auto"/>
                    <w:right w:val="single" w:sz="4" w:space="0" w:color="auto"/>
                  </w:tcBorders>
                  <w:vAlign w:val="center"/>
                </w:tcPr>
                <w:p w14:paraId="1E47A5F7" w14:textId="77777777" w:rsidR="00F76A63" w:rsidRDefault="00000000">
                  <w:pPr>
                    <w:adjustRightInd w:val="0"/>
                    <w:snapToGrid w:val="0"/>
                    <w:jc w:val="center"/>
                    <w:rPr>
                      <w:b/>
                      <w:bCs/>
                      <w:sz w:val="18"/>
                      <w:szCs w:val="18"/>
                    </w:rPr>
                  </w:pPr>
                  <w:r>
                    <w:rPr>
                      <w:rFonts w:hint="eastAsia"/>
                      <w:b/>
                      <w:bCs/>
                      <w:sz w:val="18"/>
                      <w:szCs w:val="18"/>
                    </w:rPr>
                    <w:t>53.74</w:t>
                  </w:r>
                </w:p>
              </w:tc>
              <w:tc>
                <w:tcPr>
                  <w:tcW w:w="504" w:type="pct"/>
                  <w:vMerge/>
                  <w:tcBorders>
                    <w:left w:val="single" w:sz="4" w:space="0" w:color="auto"/>
                    <w:right w:val="nil"/>
                  </w:tcBorders>
                  <w:vAlign w:val="center"/>
                </w:tcPr>
                <w:p w14:paraId="3DB6C820" w14:textId="77777777" w:rsidR="00F76A63" w:rsidRDefault="00F76A63">
                  <w:pPr>
                    <w:adjustRightInd w:val="0"/>
                    <w:snapToGrid w:val="0"/>
                    <w:jc w:val="center"/>
                    <w:rPr>
                      <w:sz w:val="18"/>
                      <w:szCs w:val="18"/>
                    </w:rPr>
                  </w:pPr>
                </w:p>
              </w:tc>
            </w:tr>
            <w:tr w:rsidR="00F76A63" w14:paraId="0C22B432" w14:textId="77777777">
              <w:trPr>
                <w:trHeight w:val="340"/>
                <w:jc w:val="center"/>
              </w:trPr>
              <w:tc>
                <w:tcPr>
                  <w:tcW w:w="422" w:type="pct"/>
                  <w:vMerge/>
                  <w:tcBorders>
                    <w:left w:val="nil"/>
                    <w:right w:val="single" w:sz="4" w:space="0" w:color="auto"/>
                  </w:tcBorders>
                  <w:vAlign w:val="center"/>
                </w:tcPr>
                <w:p w14:paraId="2E24F4E9"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5AD46303"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20E75829"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62DF036" w14:textId="77777777" w:rsidR="00F76A63" w:rsidRDefault="00000000">
                  <w:pPr>
                    <w:adjustRightInd w:val="0"/>
                    <w:snapToGrid w:val="0"/>
                    <w:jc w:val="center"/>
                    <w:rPr>
                      <w:sz w:val="18"/>
                      <w:szCs w:val="18"/>
                    </w:rPr>
                  </w:pPr>
                  <w:r>
                    <w:rPr>
                      <w:rFonts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0B654739" w14:textId="77777777" w:rsidR="00F76A63" w:rsidRDefault="00000000">
                  <w:pPr>
                    <w:adjustRightInd w:val="0"/>
                    <w:snapToGrid w:val="0"/>
                    <w:jc w:val="center"/>
                    <w:rPr>
                      <w:sz w:val="18"/>
                      <w:szCs w:val="18"/>
                    </w:rPr>
                  </w:pPr>
                  <w:r>
                    <w:rPr>
                      <w:rFonts w:hint="eastAsia"/>
                      <w:sz w:val="18"/>
                      <w:szCs w:val="18"/>
                    </w:rPr>
                    <w:t>1.13</w:t>
                  </w:r>
                </w:p>
              </w:tc>
              <w:tc>
                <w:tcPr>
                  <w:tcW w:w="668" w:type="pct"/>
                  <w:tcBorders>
                    <w:top w:val="single" w:sz="4" w:space="0" w:color="auto"/>
                    <w:left w:val="single" w:sz="4" w:space="0" w:color="auto"/>
                    <w:bottom w:val="single" w:sz="4" w:space="0" w:color="auto"/>
                    <w:right w:val="single" w:sz="4" w:space="0" w:color="auto"/>
                  </w:tcBorders>
                  <w:vAlign w:val="center"/>
                </w:tcPr>
                <w:p w14:paraId="476A15FF" w14:textId="77777777" w:rsidR="00F76A63" w:rsidRDefault="00000000">
                  <w:pPr>
                    <w:adjustRightInd w:val="0"/>
                    <w:snapToGrid w:val="0"/>
                    <w:jc w:val="center"/>
                    <w:rPr>
                      <w:sz w:val="18"/>
                      <w:szCs w:val="18"/>
                    </w:rPr>
                  </w:pPr>
                  <w:r>
                    <w:rPr>
                      <w:rFonts w:hint="eastAsia"/>
                      <w:sz w:val="18"/>
                      <w:szCs w:val="18"/>
                    </w:rPr>
                    <w:t>0.04</w:t>
                  </w:r>
                </w:p>
              </w:tc>
              <w:tc>
                <w:tcPr>
                  <w:tcW w:w="707" w:type="pct"/>
                  <w:tcBorders>
                    <w:top w:val="single" w:sz="4" w:space="0" w:color="auto"/>
                    <w:left w:val="single" w:sz="4" w:space="0" w:color="auto"/>
                    <w:bottom w:val="single" w:sz="4" w:space="0" w:color="auto"/>
                    <w:right w:val="single" w:sz="4" w:space="0" w:color="auto"/>
                  </w:tcBorders>
                  <w:vAlign w:val="center"/>
                </w:tcPr>
                <w:p w14:paraId="4BDAABA2" w14:textId="77777777" w:rsidR="00F76A63" w:rsidRDefault="00000000">
                  <w:pPr>
                    <w:adjustRightInd w:val="0"/>
                    <w:snapToGrid w:val="0"/>
                    <w:jc w:val="center"/>
                    <w:rPr>
                      <w:sz w:val="18"/>
                      <w:szCs w:val="18"/>
                    </w:rPr>
                  </w:pPr>
                  <w:r>
                    <w:rPr>
                      <w:rFonts w:hint="eastAsia"/>
                      <w:sz w:val="18"/>
                      <w:szCs w:val="18"/>
                    </w:rPr>
                    <w:t>0.12</w:t>
                  </w:r>
                </w:p>
              </w:tc>
              <w:tc>
                <w:tcPr>
                  <w:tcW w:w="504" w:type="pct"/>
                  <w:vMerge/>
                  <w:tcBorders>
                    <w:left w:val="single" w:sz="4" w:space="0" w:color="auto"/>
                    <w:right w:val="nil"/>
                  </w:tcBorders>
                  <w:vAlign w:val="center"/>
                </w:tcPr>
                <w:p w14:paraId="1EF73115" w14:textId="77777777" w:rsidR="00F76A63" w:rsidRDefault="00F76A63">
                  <w:pPr>
                    <w:adjustRightInd w:val="0"/>
                    <w:snapToGrid w:val="0"/>
                    <w:jc w:val="center"/>
                    <w:rPr>
                      <w:sz w:val="18"/>
                      <w:szCs w:val="18"/>
                    </w:rPr>
                  </w:pPr>
                </w:p>
              </w:tc>
            </w:tr>
            <w:tr w:rsidR="00F76A63" w14:paraId="2BC30B21" w14:textId="77777777">
              <w:trPr>
                <w:trHeight w:val="340"/>
                <w:jc w:val="center"/>
              </w:trPr>
              <w:tc>
                <w:tcPr>
                  <w:tcW w:w="422" w:type="pct"/>
                  <w:vMerge/>
                  <w:tcBorders>
                    <w:left w:val="nil"/>
                    <w:right w:val="single" w:sz="4" w:space="0" w:color="auto"/>
                  </w:tcBorders>
                  <w:vAlign w:val="center"/>
                </w:tcPr>
                <w:p w14:paraId="2A67932B"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6285AA84" w14:textId="77777777" w:rsidR="00F76A63" w:rsidRDefault="00000000">
                  <w:pPr>
                    <w:adjustRightInd w:val="0"/>
                    <w:snapToGrid w:val="0"/>
                    <w:jc w:val="center"/>
                    <w:rPr>
                      <w:sz w:val="18"/>
                      <w:szCs w:val="18"/>
                    </w:rPr>
                  </w:pPr>
                  <w:r>
                    <w:rPr>
                      <w:rFonts w:hint="eastAsia"/>
                      <w:sz w:val="18"/>
                      <w:szCs w:val="18"/>
                    </w:rPr>
                    <w:t>202602</w:t>
                  </w:r>
                </w:p>
              </w:tc>
              <w:tc>
                <w:tcPr>
                  <w:tcW w:w="978" w:type="pct"/>
                  <w:vMerge w:val="restart"/>
                  <w:tcBorders>
                    <w:left w:val="single" w:sz="4" w:space="0" w:color="auto"/>
                    <w:right w:val="single" w:sz="4" w:space="0" w:color="auto"/>
                  </w:tcBorders>
                  <w:vAlign w:val="center"/>
                </w:tcPr>
                <w:p w14:paraId="3CEB7840" w14:textId="77777777" w:rsidR="00F76A63" w:rsidRDefault="00000000">
                  <w:pPr>
                    <w:adjustRightInd w:val="0"/>
                    <w:snapToGrid w:val="0"/>
                    <w:jc w:val="center"/>
                    <w:rPr>
                      <w:sz w:val="18"/>
                      <w:szCs w:val="18"/>
                    </w:rPr>
                  </w:pPr>
                  <w:r>
                    <w:rPr>
                      <w:rFonts w:hint="eastAsia"/>
                      <w:sz w:val="18"/>
                      <w:szCs w:val="18"/>
                    </w:rPr>
                    <w:t>91537.22</w:t>
                  </w:r>
                </w:p>
              </w:tc>
              <w:tc>
                <w:tcPr>
                  <w:tcW w:w="546" w:type="pct"/>
                  <w:tcBorders>
                    <w:top w:val="single" w:sz="4" w:space="0" w:color="auto"/>
                    <w:left w:val="single" w:sz="4" w:space="0" w:color="auto"/>
                    <w:bottom w:val="single" w:sz="4" w:space="0" w:color="auto"/>
                    <w:right w:val="single" w:sz="4" w:space="0" w:color="auto"/>
                  </w:tcBorders>
                  <w:vAlign w:val="center"/>
                </w:tcPr>
                <w:p w14:paraId="3070F11D" w14:textId="77777777" w:rsidR="00F76A63" w:rsidRDefault="00000000">
                  <w:pPr>
                    <w:adjustRightInd w:val="0"/>
                    <w:snapToGrid w:val="0"/>
                    <w:jc w:val="center"/>
                    <w:rPr>
                      <w:sz w:val="18"/>
                      <w:szCs w:val="18"/>
                    </w:rPr>
                  </w:pPr>
                  <w:r>
                    <w:rPr>
                      <w:rFonts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77DEB269" w14:textId="77777777" w:rsidR="00F76A63" w:rsidRDefault="00000000">
                  <w:pPr>
                    <w:adjustRightInd w:val="0"/>
                    <w:snapToGrid w:val="0"/>
                    <w:jc w:val="center"/>
                    <w:rPr>
                      <w:sz w:val="18"/>
                      <w:szCs w:val="18"/>
                    </w:rPr>
                  </w:pPr>
                  <w:r>
                    <w:rPr>
                      <w:rFonts w:hint="eastAsia"/>
                      <w:sz w:val="18"/>
                      <w:szCs w:val="18"/>
                    </w:rPr>
                    <w:t>1.38</w:t>
                  </w:r>
                </w:p>
              </w:tc>
              <w:tc>
                <w:tcPr>
                  <w:tcW w:w="668" w:type="pct"/>
                  <w:tcBorders>
                    <w:top w:val="single" w:sz="4" w:space="0" w:color="auto"/>
                    <w:left w:val="single" w:sz="4" w:space="0" w:color="auto"/>
                    <w:bottom w:val="single" w:sz="4" w:space="0" w:color="auto"/>
                    <w:right w:val="single" w:sz="4" w:space="0" w:color="auto"/>
                  </w:tcBorders>
                  <w:vAlign w:val="center"/>
                </w:tcPr>
                <w:p w14:paraId="356F4DEC" w14:textId="77777777" w:rsidR="00F76A63" w:rsidRDefault="00000000">
                  <w:pPr>
                    <w:adjustRightInd w:val="0"/>
                    <w:snapToGrid w:val="0"/>
                    <w:jc w:val="center"/>
                    <w:rPr>
                      <w:sz w:val="18"/>
                      <w:szCs w:val="18"/>
                    </w:rPr>
                  </w:pPr>
                  <w:r>
                    <w:rPr>
                      <w:rFonts w:hint="eastAsia"/>
                      <w:sz w:val="18"/>
                      <w:szCs w:val="18"/>
                    </w:rPr>
                    <w:t>0.72</w:t>
                  </w:r>
                </w:p>
              </w:tc>
              <w:tc>
                <w:tcPr>
                  <w:tcW w:w="707" w:type="pct"/>
                  <w:tcBorders>
                    <w:top w:val="single" w:sz="4" w:space="0" w:color="auto"/>
                    <w:left w:val="single" w:sz="4" w:space="0" w:color="auto"/>
                    <w:bottom w:val="single" w:sz="4" w:space="0" w:color="auto"/>
                    <w:right w:val="single" w:sz="4" w:space="0" w:color="auto"/>
                  </w:tcBorders>
                  <w:vAlign w:val="center"/>
                </w:tcPr>
                <w:p w14:paraId="0A0D203E" w14:textId="77777777" w:rsidR="00F76A63" w:rsidRDefault="00000000">
                  <w:pPr>
                    <w:adjustRightInd w:val="0"/>
                    <w:snapToGrid w:val="0"/>
                    <w:jc w:val="center"/>
                    <w:rPr>
                      <w:sz w:val="18"/>
                      <w:szCs w:val="18"/>
                    </w:rPr>
                  </w:pPr>
                  <w:r>
                    <w:rPr>
                      <w:rFonts w:hint="eastAsia"/>
                      <w:sz w:val="18"/>
                      <w:szCs w:val="18"/>
                    </w:rPr>
                    <w:t>0.39</w:t>
                  </w:r>
                </w:p>
              </w:tc>
              <w:tc>
                <w:tcPr>
                  <w:tcW w:w="504" w:type="pct"/>
                  <w:vMerge w:val="restart"/>
                  <w:tcBorders>
                    <w:left w:val="single" w:sz="4" w:space="0" w:color="auto"/>
                    <w:right w:val="nil"/>
                  </w:tcBorders>
                  <w:vAlign w:val="center"/>
                </w:tcPr>
                <w:p w14:paraId="349AA545" w14:textId="77777777" w:rsidR="00F76A63" w:rsidRDefault="00000000">
                  <w:pPr>
                    <w:adjustRightInd w:val="0"/>
                    <w:snapToGrid w:val="0"/>
                    <w:jc w:val="center"/>
                    <w:rPr>
                      <w:sz w:val="18"/>
                      <w:szCs w:val="18"/>
                    </w:rPr>
                  </w:pPr>
                  <w:r>
                    <w:rPr>
                      <w:sz w:val="18"/>
                      <w:szCs w:val="18"/>
                    </w:rPr>
                    <w:t>/</w:t>
                  </w:r>
                </w:p>
              </w:tc>
            </w:tr>
            <w:tr w:rsidR="00F76A63" w14:paraId="5CDDE2CA" w14:textId="77777777">
              <w:trPr>
                <w:trHeight w:val="340"/>
                <w:jc w:val="center"/>
              </w:trPr>
              <w:tc>
                <w:tcPr>
                  <w:tcW w:w="422" w:type="pct"/>
                  <w:vMerge/>
                  <w:tcBorders>
                    <w:left w:val="nil"/>
                    <w:right w:val="single" w:sz="4" w:space="0" w:color="auto"/>
                  </w:tcBorders>
                  <w:vAlign w:val="center"/>
                </w:tcPr>
                <w:p w14:paraId="748EBA44"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28CB545"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0B12E792"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F4A74CC" w14:textId="77777777" w:rsidR="00F76A63" w:rsidRDefault="00000000">
                  <w:pPr>
                    <w:adjustRightInd w:val="0"/>
                    <w:snapToGrid w:val="0"/>
                    <w:jc w:val="center"/>
                    <w:rPr>
                      <w:sz w:val="18"/>
                      <w:szCs w:val="18"/>
                    </w:rPr>
                  </w:pPr>
                  <w:r>
                    <w:rPr>
                      <w:rFonts w:hint="eastAsia"/>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166FAF1F" w14:textId="77777777" w:rsidR="00F76A63" w:rsidRDefault="00000000">
                  <w:pPr>
                    <w:adjustRightInd w:val="0"/>
                    <w:snapToGrid w:val="0"/>
                    <w:jc w:val="center"/>
                    <w:rPr>
                      <w:sz w:val="18"/>
                      <w:szCs w:val="18"/>
                    </w:rPr>
                  </w:pPr>
                  <w:r>
                    <w:rPr>
                      <w:rFonts w:hint="eastAsia"/>
                      <w:sz w:val="18"/>
                      <w:szCs w:val="18"/>
                    </w:rPr>
                    <w:t>1.76</w:t>
                  </w:r>
                </w:p>
              </w:tc>
              <w:tc>
                <w:tcPr>
                  <w:tcW w:w="668" w:type="pct"/>
                  <w:tcBorders>
                    <w:top w:val="single" w:sz="4" w:space="0" w:color="auto"/>
                    <w:left w:val="single" w:sz="4" w:space="0" w:color="auto"/>
                    <w:bottom w:val="single" w:sz="4" w:space="0" w:color="auto"/>
                    <w:right w:val="single" w:sz="4" w:space="0" w:color="auto"/>
                  </w:tcBorders>
                  <w:vAlign w:val="center"/>
                </w:tcPr>
                <w:p w14:paraId="559DF939" w14:textId="77777777" w:rsidR="00F76A63" w:rsidRDefault="00000000">
                  <w:pPr>
                    <w:adjustRightInd w:val="0"/>
                    <w:snapToGrid w:val="0"/>
                    <w:jc w:val="center"/>
                    <w:rPr>
                      <w:sz w:val="18"/>
                      <w:szCs w:val="18"/>
                    </w:rPr>
                  </w:pPr>
                  <w:r>
                    <w:rPr>
                      <w:rFonts w:hint="eastAsia"/>
                      <w:sz w:val="18"/>
                      <w:szCs w:val="18"/>
                    </w:rPr>
                    <w:t>2.40</w:t>
                  </w:r>
                </w:p>
              </w:tc>
              <w:tc>
                <w:tcPr>
                  <w:tcW w:w="707" w:type="pct"/>
                  <w:tcBorders>
                    <w:top w:val="single" w:sz="4" w:space="0" w:color="auto"/>
                    <w:left w:val="single" w:sz="4" w:space="0" w:color="auto"/>
                    <w:bottom w:val="single" w:sz="4" w:space="0" w:color="auto"/>
                    <w:right w:val="single" w:sz="4" w:space="0" w:color="auto"/>
                  </w:tcBorders>
                  <w:vAlign w:val="center"/>
                </w:tcPr>
                <w:p w14:paraId="286EEC0E" w14:textId="77777777" w:rsidR="00F76A63" w:rsidRDefault="00000000">
                  <w:pPr>
                    <w:adjustRightInd w:val="0"/>
                    <w:snapToGrid w:val="0"/>
                    <w:jc w:val="center"/>
                    <w:rPr>
                      <w:sz w:val="18"/>
                      <w:szCs w:val="18"/>
                    </w:rPr>
                  </w:pPr>
                  <w:r>
                    <w:rPr>
                      <w:rFonts w:hint="eastAsia"/>
                      <w:sz w:val="18"/>
                      <w:szCs w:val="18"/>
                    </w:rPr>
                    <w:t>5.40</w:t>
                  </w:r>
                </w:p>
              </w:tc>
              <w:tc>
                <w:tcPr>
                  <w:tcW w:w="504" w:type="pct"/>
                  <w:vMerge/>
                  <w:tcBorders>
                    <w:left w:val="single" w:sz="4" w:space="0" w:color="auto"/>
                    <w:right w:val="nil"/>
                  </w:tcBorders>
                  <w:vAlign w:val="center"/>
                </w:tcPr>
                <w:p w14:paraId="4262A197" w14:textId="77777777" w:rsidR="00F76A63" w:rsidRDefault="00F76A63">
                  <w:pPr>
                    <w:adjustRightInd w:val="0"/>
                    <w:snapToGrid w:val="0"/>
                    <w:jc w:val="center"/>
                    <w:rPr>
                      <w:sz w:val="18"/>
                      <w:szCs w:val="18"/>
                    </w:rPr>
                  </w:pPr>
                </w:p>
              </w:tc>
            </w:tr>
            <w:tr w:rsidR="00F76A63" w14:paraId="25BBD19B" w14:textId="77777777">
              <w:trPr>
                <w:trHeight w:val="340"/>
                <w:jc w:val="center"/>
              </w:trPr>
              <w:tc>
                <w:tcPr>
                  <w:tcW w:w="422" w:type="pct"/>
                  <w:vMerge/>
                  <w:tcBorders>
                    <w:left w:val="nil"/>
                    <w:right w:val="single" w:sz="4" w:space="0" w:color="auto"/>
                  </w:tcBorders>
                  <w:vAlign w:val="center"/>
                </w:tcPr>
                <w:p w14:paraId="47523D6B"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390B0A23"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7790B980"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6296D12" w14:textId="77777777" w:rsidR="00F76A63" w:rsidRDefault="00000000">
                  <w:pPr>
                    <w:adjustRightInd w:val="0"/>
                    <w:snapToGrid w:val="0"/>
                    <w:jc w:val="center"/>
                    <w:rPr>
                      <w:sz w:val="18"/>
                      <w:szCs w:val="18"/>
                    </w:rPr>
                  </w:pPr>
                  <w:r>
                    <w:rPr>
                      <w:rFonts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7E4A11E5" w14:textId="77777777" w:rsidR="00F76A63" w:rsidRDefault="00000000">
                  <w:pPr>
                    <w:adjustRightInd w:val="0"/>
                    <w:snapToGrid w:val="0"/>
                    <w:jc w:val="center"/>
                    <w:rPr>
                      <w:sz w:val="18"/>
                      <w:szCs w:val="18"/>
                    </w:rPr>
                  </w:pPr>
                  <w:r>
                    <w:rPr>
                      <w:rFonts w:hint="eastAsia"/>
                      <w:sz w:val="18"/>
                      <w:szCs w:val="18"/>
                    </w:rPr>
                    <w:t>0.93</w:t>
                  </w:r>
                </w:p>
              </w:tc>
              <w:tc>
                <w:tcPr>
                  <w:tcW w:w="668" w:type="pct"/>
                  <w:tcBorders>
                    <w:top w:val="single" w:sz="4" w:space="0" w:color="auto"/>
                    <w:left w:val="single" w:sz="4" w:space="0" w:color="auto"/>
                    <w:bottom w:val="single" w:sz="4" w:space="0" w:color="auto"/>
                    <w:right w:val="single" w:sz="4" w:space="0" w:color="auto"/>
                  </w:tcBorders>
                  <w:vAlign w:val="center"/>
                </w:tcPr>
                <w:p w14:paraId="7A9D6D88" w14:textId="77777777" w:rsidR="00F76A63" w:rsidRDefault="00000000">
                  <w:pPr>
                    <w:adjustRightInd w:val="0"/>
                    <w:snapToGrid w:val="0"/>
                    <w:jc w:val="center"/>
                    <w:rPr>
                      <w:sz w:val="18"/>
                      <w:szCs w:val="18"/>
                    </w:rPr>
                  </w:pPr>
                  <w:r>
                    <w:rPr>
                      <w:rFonts w:hint="eastAsia"/>
                      <w:sz w:val="18"/>
                      <w:szCs w:val="18"/>
                    </w:rPr>
                    <w:t>0.00</w:t>
                  </w:r>
                </w:p>
              </w:tc>
              <w:tc>
                <w:tcPr>
                  <w:tcW w:w="707" w:type="pct"/>
                  <w:tcBorders>
                    <w:top w:val="single" w:sz="4" w:space="0" w:color="auto"/>
                    <w:left w:val="single" w:sz="4" w:space="0" w:color="auto"/>
                    <w:bottom w:val="single" w:sz="4" w:space="0" w:color="auto"/>
                    <w:right w:val="single" w:sz="4" w:space="0" w:color="auto"/>
                  </w:tcBorders>
                  <w:vAlign w:val="center"/>
                </w:tcPr>
                <w:p w14:paraId="047FF79E" w14:textId="77777777" w:rsidR="00F76A63" w:rsidRDefault="00000000">
                  <w:pPr>
                    <w:adjustRightInd w:val="0"/>
                    <w:snapToGrid w:val="0"/>
                    <w:jc w:val="center"/>
                    <w:rPr>
                      <w:sz w:val="18"/>
                      <w:szCs w:val="18"/>
                    </w:rPr>
                  </w:pPr>
                  <w:r>
                    <w:rPr>
                      <w:rFonts w:hint="eastAsia"/>
                      <w:sz w:val="18"/>
                      <w:szCs w:val="18"/>
                    </w:rPr>
                    <w:t>0.10</w:t>
                  </w:r>
                </w:p>
              </w:tc>
              <w:tc>
                <w:tcPr>
                  <w:tcW w:w="504" w:type="pct"/>
                  <w:vMerge/>
                  <w:tcBorders>
                    <w:left w:val="single" w:sz="4" w:space="0" w:color="auto"/>
                    <w:right w:val="nil"/>
                  </w:tcBorders>
                  <w:vAlign w:val="center"/>
                </w:tcPr>
                <w:p w14:paraId="3C4B0998" w14:textId="77777777" w:rsidR="00F76A63" w:rsidRDefault="00F76A63">
                  <w:pPr>
                    <w:adjustRightInd w:val="0"/>
                    <w:snapToGrid w:val="0"/>
                    <w:jc w:val="center"/>
                    <w:rPr>
                      <w:sz w:val="18"/>
                      <w:szCs w:val="18"/>
                    </w:rPr>
                  </w:pPr>
                </w:p>
              </w:tc>
            </w:tr>
            <w:tr w:rsidR="00F76A63" w14:paraId="32F68437" w14:textId="77777777">
              <w:trPr>
                <w:trHeight w:val="340"/>
                <w:jc w:val="center"/>
              </w:trPr>
              <w:tc>
                <w:tcPr>
                  <w:tcW w:w="422" w:type="pct"/>
                  <w:vMerge/>
                  <w:tcBorders>
                    <w:left w:val="nil"/>
                    <w:right w:val="single" w:sz="4" w:space="0" w:color="auto"/>
                  </w:tcBorders>
                  <w:vAlign w:val="center"/>
                </w:tcPr>
                <w:p w14:paraId="3164E26E"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064F5581" w14:textId="77777777" w:rsidR="00F76A63" w:rsidRDefault="00000000">
                  <w:pPr>
                    <w:adjustRightInd w:val="0"/>
                    <w:snapToGrid w:val="0"/>
                    <w:jc w:val="center"/>
                    <w:rPr>
                      <w:sz w:val="18"/>
                      <w:szCs w:val="18"/>
                    </w:rPr>
                  </w:pPr>
                  <w:r>
                    <w:rPr>
                      <w:rFonts w:hint="eastAsia"/>
                      <w:sz w:val="18"/>
                      <w:szCs w:val="18"/>
                    </w:rPr>
                    <w:t>202603</w:t>
                  </w:r>
                </w:p>
              </w:tc>
              <w:tc>
                <w:tcPr>
                  <w:tcW w:w="978" w:type="pct"/>
                  <w:vMerge w:val="restart"/>
                  <w:tcBorders>
                    <w:left w:val="single" w:sz="4" w:space="0" w:color="auto"/>
                    <w:right w:val="single" w:sz="4" w:space="0" w:color="auto"/>
                  </w:tcBorders>
                  <w:vAlign w:val="center"/>
                </w:tcPr>
                <w:p w14:paraId="2C8FEA8A" w14:textId="77777777" w:rsidR="00F76A63" w:rsidRDefault="00000000">
                  <w:pPr>
                    <w:adjustRightInd w:val="0"/>
                    <w:snapToGrid w:val="0"/>
                    <w:jc w:val="center"/>
                    <w:rPr>
                      <w:sz w:val="18"/>
                      <w:szCs w:val="18"/>
                    </w:rPr>
                  </w:pPr>
                  <w:r>
                    <w:rPr>
                      <w:rFonts w:hint="eastAsia"/>
                      <w:sz w:val="18"/>
                      <w:szCs w:val="18"/>
                    </w:rPr>
                    <w:t>492021.48</w:t>
                  </w:r>
                </w:p>
              </w:tc>
              <w:tc>
                <w:tcPr>
                  <w:tcW w:w="546" w:type="pct"/>
                  <w:tcBorders>
                    <w:top w:val="single" w:sz="4" w:space="0" w:color="auto"/>
                    <w:left w:val="single" w:sz="4" w:space="0" w:color="auto"/>
                    <w:bottom w:val="single" w:sz="4" w:space="0" w:color="auto"/>
                    <w:right w:val="single" w:sz="4" w:space="0" w:color="auto"/>
                  </w:tcBorders>
                  <w:vAlign w:val="center"/>
                </w:tcPr>
                <w:p w14:paraId="28257E36" w14:textId="77777777" w:rsidR="00F76A63" w:rsidRDefault="00000000">
                  <w:pPr>
                    <w:adjustRightInd w:val="0"/>
                    <w:snapToGrid w:val="0"/>
                    <w:jc w:val="center"/>
                    <w:rPr>
                      <w:sz w:val="18"/>
                      <w:szCs w:val="18"/>
                    </w:rPr>
                  </w:pPr>
                  <w:r>
                    <w:rPr>
                      <w:rFonts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41679B6F" w14:textId="77777777" w:rsidR="00F76A63" w:rsidRDefault="00000000">
                  <w:pPr>
                    <w:adjustRightInd w:val="0"/>
                    <w:snapToGrid w:val="0"/>
                    <w:jc w:val="center"/>
                    <w:rPr>
                      <w:sz w:val="18"/>
                      <w:szCs w:val="18"/>
                    </w:rPr>
                  </w:pPr>
                  <w:r>
                    <w:rPr>
                      <w:rFonts w:hint="eastAsia"/>
                      <w:sz w:val="18"/>
                      <w:szCs w:val="18"/>
                    </w:rPr>
                    <w:t>1.91</w:t>
                  </w:r>
                </w:p>
              </w:tc>
              <w:tc>
                <w:tcPr>
                  <w:tcW w:w="668" w:type="pct"/>
                  <w:tcBorders>
                    <w:top w:val="single" w:sz="4" w:space="0" w:color="auto"/>
                    <w:left w:val="single" w:sz="4" w:space="0" w:color="auto"/>
                    <w:bottom w:val="single" w:sz="4" w:space="0" w:color="auto"/>
                    <w:right w:val="single" w:sz="4" w:space="0" w:color="auto"/>
                  </w:tcBorders>
                  <w:vAlign w:val="center"/>
                </w:tcPr>
                <w:p w14:paraId="3EC2C58B" w14:textId="77777777" w:rsidR="00F76A63" w:rsidRDefault="00000000">
                  <w:pPr>
                    <w:adjustRightInd w:val="0"/>
                    <w:snapToGrid w:val="0"/>
                    <w:jc w:val="center"/>
                    <w:rPr>
                      <w:sz w:val="18"/>
                      <w:szCs w:val="18"/>
                    </w:rPr>
                  </w:pPr>
                  <w:r>
                    <w:rPr>
                      <w:rFonts w:hint="eastAsia"/>
                      <w:sz w:val="18"/>
                      <w:szCs w:val="18"/>
                    </w:rPr>
                    <w:t>6.37</w:t>
                  </w:r>
                </w:p>
              </w:tc>
              <w:tc>
                <w:tcPr>
                  <w:tcW w:w="707" w:type="pct"/>
                  <w:tcBorders>
                    <w:top w:val="single" w:sz="4" w:space="0" w:color="auto"/>
                    <w:left w:val="single" w:sz="4" w:space="0" w:color="auto"/>
                    <w:bottom w:val="single" w:sz="4" w:space="0" w:color="auto"/>
                    <w:right w:val="single" w:sz="4" w:space="0" w:color="auto"/>
                  </w:tcBorders>
                  <w:vAlign w:val="center"/>
                </w:tcPr>
                <w:p w14:paraId="512145A1" w14:textId="77777777" w:rsidR="00F76A63" w:rsidRDefault="00000000">
                  <w:pPr>
                    <w:adjustRightInd w:val="0"/>
                    <w:snapToGrid w:val="0"/>
                    <w:jc w:val="center"/>
                    <w:rPr>
                      <w:sz w:val="18"/>
                      <w:szCs w:val="18"/>
                    </w:rPr>
                  </w:pPr>
                  <w:r>
                    <w:rPr>
                      <w:rFonts w:hint="eastAsia"/>
                      <w:sz w:val="18"/>
                      <w:szCs w:val="18"/>
                    </w:rPr>
                    <w:t>31.01</w:t>
                  </w:r>
                </w:p>
              </w:tc>
              <w:tc>
                <w:tcPr>
                  <w:tcW w:w="504" w:type="pct"/>
                  <w:vMerge w:val="restart"/>
                  <w:tcBorders>
                    <w:left w:val="single" w:sz="4" w:space="0" w:color="auto"/>
                    <w:right w:val="nil"/>
                  </w:tcBorders>
                  <w:vAlign w:val="center"/>
                </w:tcPr>
                <w:p w14:paraId="04790D0E" w14:textId="77777777" w:rsidR="00F76A63" w:rsidRDefault="00000000">
                  <w:pPr>
                    <w:adjustRightInd w:val="0"/>
                    <w:snapToGrid w:val="0"/>
                    <w:jc w:val="center"/>
                    <w:rPr>
                      <w:sz w:val="18"/>
                      <w:szCs w:val="18"/>
                    </w:rPr>
                  </w:pPr>
                  <w:r>
                    <w:rPr>
                      <w:sz w:val="18"/>
                      <w:szCs w:val="18"/>
                    </w:rPr>
                    <w:t>/</w:t>
                  </w:r>
                </w:p>
              </w:tc>
            </w:tr>
            <w:tr w:rsidR="00F76A63" w14:paraId="638C6B2C" w14:textId="77777777">
              <w:trPr>
                <w:trHeight w:val="340"/>
                <w:jc w:val="center"/>
              </w:trPr>
              <w:tc>
                <w:tcPr>
                  <w:tcW w:w="422" w:type="pct"/>
                  <w:vMerge/>
                  <w:tcBorders>
                    <w:left w:val="nil"/>
                    <w:right w:val="single" w:sz="4" w:space="0" w:color="auto"/>
                  </w:tcBorders>
                  <w:vAlign w:val="center"/>
                </w:tcPr>
                <w:p w14:paraId="363AF950"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0F7B48E8"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07A8B3C4"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E05249E" w14:textId="77777777" w:rsidR="00F76A63" w:rsidRDefault="00000000">
                  <w:pPr>
                    <w:adjustRightInd w:val="0"/>
                    <w:snapToGrid w:val="0"/>
                    <w:jc w:val="center"/>
                    <w:rPr>
                      <w:sz w:val="18"/>
                      <w:szCs w:val="18"/>
                    </w:rPr>
                  </w:pPr>
                  <w:r>
                    <w:rPr>
                      <w:rFonts w:hint="eastAsia"/>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565AA700" w14:textId="77777777" w:rsidR="00F76A63" w:rsidRDefault="00000000">
                  <w:pPr>
                    <w:adjustRightInd w:val="0"/>
                    <w:snapToGrid w:val="0"/>
                    <w:jc w:val="center"/>
                    <w:rPr>
                      <w:sz w:val="18"/>
                      <w:szCs w:val="18"/>
                    </w:rPr>
                  </w:pPr>
                  <w:r>
                    <w:rPr>
                      <w:rFonts w:hint="eastAsia"/>
                      <w:sz w:val="18"/>
                      <w:szCs w:val="18"/>
                    </w:rPr>
                    <w:t>3.24</w:t>
                  </w:r>
                </w:p>
              </w:tc>
              <w:tc>
                <w:tcPr>
                  <w:tcW w:w="668" w:type="pct"/>
                  <w:tcBorders>
                    <w:top w:val="single" w:sz="4" w:space="0" w:color="auto"/>
                    <w:left w:val="single" w:sz="4" w:space="0" w:color="auto"/>
                    <w:bottom w:val="single" w:sz="4" w:space="0" w:color="auto"/>
                    <w:right w:val="single" w:sz="4" w:space="0" w:color="auto"/>
                  </w:tcBorders>
                  <w:vAlign w:val="center"/>
                </w:tcPr>
                <w:p w14:paraId="6EC59086" w14:textId="77777777" w:rsidR="00F76A63" w:rsidRDefault="00000000">
                  <w:pPr>
                    <w:adjustRightInd w:val="0"/>
                    <w:snapToGrid w:val="0"/>
                    <w:jc w:val="center"/>
                    <w:rPr>
                      <w:sz w:val="18"/>
                      <w:szCs w:val="18"/>
                    </w:rPr>
                  </w:pPr>
                  <w:r>
                    <w:rPr>
                      <w:rFonts w:hint="eastAsia"/>
                      <w:sz w:val="18"/>
                      <w:szCs w:val="18"/>
                    </w:rPr>
                    <w:t>15.30</w:t>
                  </w:r>
                </w:p>
              </w:tc>
              <w:tc>
                <w:tcPr>
                  <w:tcW w:w="707" w:type="pct"/>
                  <w:tcBorders>
                    <w:top w:val="single" w:sz="4" w:space="0" w:color="auto"/>
                    <w:left w:val="single" w:sz="4" w:space="0" w:color="auto"/>
                    <w:bottom w:val="single" w:sz="4" w:space="0" w:color="auto"/>
                    <w:right w:val="single" w:sz="4" w:space="0" w:color="auto"/>
                  </w:tcBorders>
                  <w:vAlign w:val="center"/>
                </w:tcPr>
                <w:p w14:paraId="2C46699B" w14:textId="77777777" w:rsidR="00F76A63" w:rsidRDefault="00000000">
                  <w:pPr>
                    <w:adjustRightInd w:val="0"/>
                    <w:snapToGrid w:val="0"/>
                    <w:jc w:val="center"/>
                    <w:rPr>
                      <w:b/>
                      <w:bCs/>
                      <w:sz w:val="18"/>
                      <w:szCs w:val="18"/>
                    </w:rPr>
                  </w:pPr>
                  <w:r>
                    <w:rPr>
                      <w:rFonts w:hint="eastAsia"/>
                      <w:b/>
                      <w:bCs/>
                      <w:sz w:val="18"/>
                      <w:szCs w:val="18"/>
                    </w:rPr>
                    <w:t>68.59</w:t>
                  </w:r>
                </w:p>
              </w:tc>
              <w:tc>
                <w:tcPr>
                  <w:tcW w:w="504" w:type="pct"/>
                  <w:vMerge/>
                  <w:tcBorders>
                    <w:left w:val="single" w:sz="4" w:space="0" w:color="auto"/>
                    <w:right w:val="nil"/>
                  </w:tcBorders>
                  <w:vAlign w:val="center"/>
                </w:tcPr>
                <w:p w14:paraId="244E1BC7" w14:textId="77777777" w:rsidR="00F76A63" w:rsidRDefault="00F76A63">
                  <w:pPr>
                    <w:adjustRightInd w:val="0"/>
                    <w:snapToGrid w:val="0"/>
                    <w:jc w:val="center"/>
                    <w:rPr>
                      <w:sz w:val="18"/>
                      <w:szCs w:val="18"/>
                    </w:rPr>
                  </w:pPr>
                </w:p>
              </w:tc>
            </w:tr>
            <w:tr w:rsidR="00F76A63" w14:paraId="5B4DC5FF" w14:textId="77777777">
              <w:trPr>
                <w:trHeight w:val="340"/>
                <w:jc w:val="center"/>
              </w:trPr>
              <w:tc>
                <w:tcPr>
                  <w:tcW w:w="422" w:type="pct"/>
                  <w:vMerge/>
                  <w:tcBorders>
                    <w:left w:val="nil"/>
                    <w:bottom w:val="single" w:sz="4" w:space="0" w:color="auto"/>
                    <w:right w:val="single" w:sz="4" w:space="0" w:color="auto"/>
                  </w:tcBorders>
                  <w:vAlign w:val="center"/>
                </w:tcPr>
                <w:p w14:paraId="1CF85493"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7DD139DB"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5EA57813"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CFC51F0" w14:textId="77777777" w:rsidR="00F76A63" w:rsidRDefault="00000000">
                  <w:pPr>
                    <w:adjustRightInd w:val="0"/>
                    <w:snapToGrid w:val="0"/>
                    <w:jc w:val="center"/>
                    <w:rPr>
                      <w:sz w:val="18"/>
                      <w:szCs w:val="18"/>
                    </w:rPr>
                  </w:pPr>
                  <w:r>
                    <w:rPr>
                      <w:rFonts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46E02048" w14:textId="77777777" w:rsidR="00F76A63" w:rsidRDefault="00000000">
                  <w:pPr>
                    <w:adjustRightInd w:val="0"/>
                    <w:snapToGrid w:val="0"/>
                    <w:jc w:val="center"/>
                    <w:rPr>
                      <w:sz w:val="18"/>
                      <w:szCs w:val="18"/>
                    </w:rPr>
                  </w:pPr>
                  <w:r>
                    <w:rPr>
                      <w:rFonts w:hint="eastAsia"/>
                      <w:sz w:val="18"/>
                      <w:szCs w:val="18"/>
                    </w:rPr>
                    <w:t>1.31</w:t>
                  </w:r>
                </w:p>
              </w:tc>
              <w:tc>
                <w:tcPr>
                  <w:tcW w:w="668" w:type="pct"/>
                  <w:tcBorders>
                    <w:top w:val="single" w:sz="4" w:space="0" w:color="auto"/>
                    <w:left w:val="single" w:sz="4" w:space="0" w:color="auto"/>
                    <w:bottom w:val="single" w:sz="4" w:space="0" w:color="auto"/>
                    <w:right w:val="single" w:sz="4" w:space="0" w:color="auto"/>
                  </w:tcBorders>
                  <w:vAlign w:val="center"/>
                </w:tcPr>
                <w:p w14:paraId="1F43378F" w14:textId="77777777" w:rsidR="00F76A63" w:rsidRDefault="00000000">
                  <w:pPr>
                    <w:adjustRightInd w:val="0"/>
                    <w:snapToGrid w:val="0"/>
                    <w:jc w:val="center"/>
                    <w:rPr>
                      <w:sz w:val="18"/>
                      <w:szCs w:val="18"/>
                    </w:rPr>
                  </w:pPr>
                  <w:r>
                    <w:rPr>
                      <w:rFonts w:hint="eastAsia"/>
                      <w:sz w:val="18"/>
                      <w:szCs w:val="18"/>
                    </w:rPr>
                    <w:t>1.77</w:t>
                  </w:r>
                </w:p>
              </w:tc>
              <w:tc>
                <w:tcPr>
                  <w:tcW w:w="707" w:type="pct"/>
                  <w:tcBorders>
                    <w:top w:val="single" w:sz="4" w:space="0" w:color="auto"/>
                    <w:left w:val="single" w:sz="4" w:space="0" w:color="auto"/>
                    <w:bottom w:val="single" w:sz="4" w:space="0" w:color="auto"/>
                    <w:right w:val="single" w:sz="4" w:space="0" w:color="auto"/>
                  </w:tcBorders>
                  <w:vAlign w:val="center"/>
                </w:tcPr>
                <w:p w14:paraId="70B734C6" w14:textId="77777777" w:rsidR="00F76A63" w:rsidRDefault="00000000">
                  <w:pPr>
                    <w:adjustRightInd w:val="0"/>
                    <w:snapToGrid w:val="0"/>
                    <w:jc w:val="center"/>
                    <w:rPr>
                      <w:sz w:val="18"/>
                      <w:szCs w:val="18"/>
                    </w:rPr>
                  </w:pPr>
                  <w:r>
                    <w:rPr>
                      <w:rFonts w:hint="eastAsia"/>
                      <w:sz w:val="18"/>
                      <w:szCs w:val="18"/>
                    </w:rPr>
                    <w:t>24.34</w:t>
                  </w:r>
                </w:p>
              </w:tc>
              <w:tc>
                <w:tcPr>
                  <w:tcW w:w="504" w:type="pct"/>
                  <w:vMerge/>
                  <w:tcBorders>
                    <w:left w:val="single" w:sz="4" w:space="0" w:color="auto"/>
                    <w:bottom w:val="single" w:sz="4" w:space="0" w:color="auto"/>
                    <w:right w:val="nil"/>
                  </w:tcBorders>
                  <w:vAlign w:val="center"/>
                </w:tcPr>
                <w:p w14:paraId="3F70893D" w14:textId="77777777" w:rsidR="00F76A63" w:rsidRDefault="00F76A63">
                  <w:pPr>
                    <w:adjustRightInd w:val="0"/>
                    <w:snapToGrid w:val="0"/>
                    <w:jc w:val="center"/>
                    <w:rPr>
                      <w:sz w:val="18"/>
                      <w:szCs w:val="18"/>
                    </w:rPr>
                  </w:pPr>
                </w:p>
              </w:tc>
            </w:tr>
          </w:tbl>
          <w:p w14:paraId="51B1A380" w14:textId="77777777" w:rsidR="00F76A63" w:rsidRDefault="00000000">
            <w:pPr>
              <w:adjustRightInd w:val="0"/>
              <w:snapToGrid w:val="0"/>
              <w:spacing w:line="500" w:lineRule="exact"/>
              <w:jc w:val="center"/>
              <w:rPr>
                <w:b/>
                <w:sz w:val="24"/>
              </w:rPr>
            </w:pPr>
            <w:r>
              <w:rPr>
                <w:rFonts w:hint="eastAsia"/>
                <w:b/>
                <w:sz w:val="24"/>
              </w:rPr>
              <w:t>表</w:t>
            </w:r>
            <w:r>
              <w:rPr>
                <w:b/>
                <w:sz w:val="24"/>
              </w:rPr>
              <w:t>2-44  2#</w:t>
            </w:r>
            <w:r>
              <w:rPr>
                <w:b/>
                <w:sz w:val="24"/>
              </w:rPr>
              <w:t>窑尾在线监测各月数据情况表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691"/>
              <w:gridCol w:w="946"/>
              <w:gridCol w:w="1600"/>
              <w:gridCol w:w="893"/>
              <w:gridCol w:w="975"/>
              <w:gridCol w:w="1092"/>
              <w:gridCol w:w="1156"/>
              <w:gridCol w:w="824"/>
            </w:tblGrid>
            <w:tr w:rsidR="00F76A63" w14:paraId="2A367EB2" w14:textId="77777777">
              <w:trPr>
                <w:trHeight w:val="340"/>
                <w:jc w:val="center"/>
              </w:trPr>
              <w:tc>
                <w:tcPr>
                  <w:tcW w:w="422" w:type="pct"/>
                  <w:vMerge w:val="restart"/>
                  <w:tcBorders>
                    <w:top w:val="single" w:sz="12" w:space="0" w:color="auto"/>
                    <w:left w:val="nil"/>
                    <w:bottom w:val="single" w:sz="4" w:space="0" w:color="auto"/>
                    <w:right w:val="single" w:sz="4" w:space="0" w:color="auto"/>
                  </w:tcBorders>
                  <w:vAlign w:val="center"/>
                </w:tcPr>
                <w:p w14:paraId="26DA3381" w14:textId="77777777" w:rsidR="00F76A63" w:rsidRDefault="00000000">
                  <w:pPr>
                    <w:adjustRightInd w:val="0"/>
                    <w:snapToGrid w:val="0"/>
                    <w:jc w:val="center"/>
                    <w:rPr>
                      <w:b/>
                      <w:sz w:val="18"/>
                      <w:szCs w:val="18"/>
                    </w:rPr>
                  </w:pPr>
                  <w:r>
                    <w:rPr>
                      <w:b/>
                      <w:sz w:val="18"/>
                      <w:szCs w:val="18"/>
                    </w:rPr>
                    <w:t>监测类型</w:t>
                  </w:r>
                </w:p>
              </w:tc>
              <w:tc>
                <w:tcPr>
                  <w:tcW w:w="578" w:type="pct"/>
                  <w:vMerge w:val="restart"/>
                  <w:tcBorders>
                    <w:top w:val="single" w:sz="12" w:space="0" w:color="auto"/>
                    <w:left w:val="single" w:sz="4" w:space="0" w:color="auto"/>
                    <w:bottom w:val="single" w:sz="4" w:space="0" w:color="auto"/>
                    <w:right w:val="single" w:sz="4" w:space="0" w:color="auto"/>
                  </w:tcBorders>
                  <w:vAlign w:val="center"/>
                </w:tcPr>
                <w:p w14:paraId="1BF692B7" w14:textId="77777777" w:rsidR="00F76A63" w:rsidRDefault="00000000">
                  <w:pPr>
                    <w:adjustRightInd w:val="0"/>
                    <w:snapToGrid w:val="0"/>
                    <w:jc w:val="center"/>
                    <w:rPr>
                      <w:b/>
                      <w:sz w:val="18"/>
                      <w:szCs w:val="18"/>
                    </w:rPr>
                  </w:pPr>
                  <w:r>
                    <w:rPr>
                      <w:b/>
                      <w:sz w:val="18"/>
                      <w:szCs w:val="18"/>
                    </w:rPr>
                    <w:t>时间</w:t>
                  </w:r>
                </w:p>
              </w:tc>
              <w:tc>
                <w:tcPr>
                  <w:tcW w:w="978" w:type="pct"/>
                  <w:vMerge w:val="restart"/>
                  <w:tcBorders>
                    <w:top w:val="single" w:sz="12" w:space="0" w:color="auto"/>
                    <w:left w:val="single" w:sz="4" w:space="0" w:color="auto"/>
                    <w:bottom w:val="single" w:sz="4" w:space="0" w:color="auto"/>
                    <w:right w:val="single" w:sz="4" w:space="0" w:color="auto"/>
                  </w:tcBorders>
                  <w:vAlign w:val="center"/>
                </w:tcPr>
                <w:p w14:paraId="5D672875" w14:textId="77777777" w:rsidR="00F76A63" w:rsidRDefault="00000000">
                  <w:pPr>
                    <w:adjustRightInd w:val="0"/>
                    <w:snapToGrid w:val="0"/>
                    <w:jc w:val="center"/>
                    <w:rPr>
                      <w:b/>
                      <w:sz w:val="18"/>
                      <w:szCs w:val="18"/>
                    </w:rPr>
                  </w:pPr>
                  <w:r>
                    <w:rPr>
                      <w:b/>
                      <w:sz w:val="18"/>
                      <w:szCs w:val="18"/>
                    </w:rPr>
                    <w:t>烟气流量</w:t>
                  </w:r>
                </w:p>
                <w:p w14:paraId="5987F043" w14:textId="77777777" w:rsidR="00F76A63" w:rsidRDefault="00000000">
                  <w:pPr>
                    <w:pStyle w:val="afc"/>
                    <w:spacing w:after="0"/>
                    <w:jc w:val="center"/>
                    <w:rPr>
                      <w:b/>
                      <w:bCs/>
                      <w:sz w:val="18"/>
                      <w:szCs w:val="18"/>
                    </w:rPr>
                  </w:pPr>
                  <w:r>
                    <w:rPr>
                      <w:b/>
                      <w:bCs/>
                      <w:sz w:val="18"/>
                      <w:szCs w:val="18"/>
                    </w:rPr>
                    <w:t>（</w:t>
                  </w:r>
                  <w:r>
                    <w:rPr>
                      <w:b/>
                      <w:bCs/>
                      <w:sz w:val="18"/>
                      <w:szCs w:val="18"/>
                    </w:rPr>
                    <w:t>m</w:t>
                  </w:r>
                  <w:r>
                    <w:rPr>
                      <w:b/>
                      <w:bCs/>
                      <w:sz w:val="18"/>
                      <w:szCs w:val="18"/>
                      <w:vertAlign w:val="superscript"/>
                    </w:rPr>
                    <w:t>3</w:t>
                  </w:r>
                  <w:r>
                    <w:rPr>
                      <w:b/>
                      <w:bCs/>
                      <w:sz w:val="18"/>
                      <w:szCs w:val="18"/>
                    </w:rPr>
                    <w:t>/h</w:t>
                  </w:r>
                  <w:r>
                    <w:rPr>
                      <w:b/>
                      <w:bCs/>
                      <w:sz w:val="18"/>
                      <w:szCs w:val="18"/>
                    </w:rPr>
                    <w:t>）</w:t>
                  </w:r>
                </w:p>
              </w:tc>
              <w:tc>
                <w:tcPr>
                  <w:tcW w:w="546" w:type="pct"/>
                  <w:vMerge w:val="restart"/>
                  <w:tcBorders>
                    <w:top w:val="single" w:sz="12" w:space="0" w:color="auto"/>
                    <w:left w:val="single" w:sz="4" w:space="0" w:color="auto"/>
                    <w:bottom w:val="single" w:sz="4" w:space="0" w:color="auto"/>
                    <w:right w:val="single" w:sz="4" w:space="0" w:color="auto"/>
                  </w:tcBorders>
                  <w:vAlign w:val="center"/>
                </w:tcPr>
                <w:p w14:paraId="4F19196C" w14:textId="77777777" w:rsidR="00F76A63" w:rsidRDefault="00000000">
                  <w:pPr>
                    <w:adjustRightInd w:val="0"/>
                    <w:snapToGrid w:val="0"/>
                    <w:jc w:val="center"/>
                    <w:rPr>
                      <w:b/>
                      <w:sz w:val="18"/>
                      <w:szCs w:val="18"/>
                    </w:rPr>
                  </w:pPr>
                  <w:r>
                    <w:rPr>
                      <w:b/>
                      <w:sz w:val="18"/>
                      <w:szCs w:val="18"/>
                    </w:rPr>
                    <w:t>/</w:t>
                  </w:r>
                </w:p>
              </w:tc>
              <w:tc>
                <w:tcPr>
                  <w:tcW w:w="1971" w:type="pct"/>
                  <w:gridSpan w:val="3"/>
                  <w:tcBorders>
                    <w:top w:val="single" w:sz="12" w:space="0" w:color="auto"/>
                    <w:left w:val="single" w:sz="4" w:space="0" w:color="auto"/>
                    <w:bottom w:val="single" w:sz="4" w:space="0" w:color="auto"/>
                    <w:right w:val="single" w:sz="4" w:space="0" w:color="auto"/>
                  </w:tcBorders>
                  <w:vAlign w:val="center"/>
                </w:tcPr>
                <w:p w14:paraId="10F13155" w14:textId="77777777" w:rsidR="00F76A63" w:rsidRDefault="00000000">
                  <w:pPr>
                    <w:adjustRightInd w:val="0"/>
                    <w:snapToGrid w:val="0"/>
                    <w:jc w:val="center"/>
                    <w:rPr>
                      <w:b/>
                      <w:sz w:val="18"/>
                      <w:szCs w:val="18"/>
                    </w:rPr>
                  </w:pPr>
                  <w:r>
                    <w:rPr>
                      <w:b/>
                      <w:sz w:val="18"/>
                      <w:szCs w:val="18"/>
                    </w:rPr>
                    <w:t>日平均浓度（</w:t>
                  </w:r>
                  <w:r>
                    <w:rPr>
                      <w:b/>
                      <w:sz w:val="18"/>
                      <w:szCs w:val="18"/>
                    </w:rPr>
                    <w:t>mg/m</w:t>
                  </w:r>
                  <w:r>
                    <w:rPr>
                      <w:b/>
                      <w:sz w:val="18"/>
                      <w:szCs w:val="18"/>
                      <w:vertAlign w:val="superscript"/>
                    </w:rPr>
                    <w:t>3</w:t>
                  </w:r>
                  <w:r>
                    <w:rPr>
                      <w:b/>
                      <w:sz w:val="18"/>
                      <w:szCs w:val="18"/>
                    </w:rPr>
                    <w:t>）</w:t>
                  </w:r>
                </w:p>
              </w:tc>
              <w:tc>
                <w:tcPr>
                  <w:tcW w:w="504" w:type="pct"/>
                  <w:vMerge w:val="restart"/>
                  <w:tcBorders>
                    <w:top w:val="single" w:sz="12" w:space="0" w:color="auto"/>
                    <w:left w:val="single" w:sz="4" w:space="0" w:color="auto"/>
                    <w:bottom w:val="single" w:sz="4" w:space="0" w:color="auto"/>
                    <w:right w:val="nil"/>
                  </w:tcBorders>
                  <w:vAlign w:val="center"/>
                </w:tcPr>
                <w:p w14:paraId="0FFE4F57" w14:textId="77777777" w:rsidR="00F76A63" w:rsidRDefault="00000000">
                  <w:pPr>
                    <w:adjustRightInd w:val="0"/>
                    <w:snapToGrid w:val="0"/>
                    <w:jc w:val="center"/>
                    <w:rPr>
                      <w:b/>
                      <w:sz w:val="18"/>
                      <w:szCs w:val="18"/>
                    </w:rPr>
                  </w:pPr>
                  <w:r>
                    <w:rPr>
                      <w:b/>
                      <w:sz w:val="18"/>
                      <w:szCs w:val="18"/>
                    </w:rPr>
                    <w:t>备注</w:t>
                  </w:r>
                </w:p>
              </w:tc>
            </w:tr>
            <w:tr w:rsidR="00F76A63" w14:paraId="7B5347A2" w14:textId="77777777">
              <w:trPr>
                <w:trHeight w:val="44"/>
                <w:jc w:val="center"/>
              </w:trPr>
              <w:tc>
                <w:tcPr>
                  <w:tcW w:w="422" w:type="pct"/>
                  <w:vMerge/>
                  <w:tcBorders>
                    <w:top w:val="single" w:sz="12" w:space="0" w:color="auto"/>
                    <w:left w:val="nil"/>
                    <w:bottom w:val="single" w:sz="4" w:space="0" w:color="auto"/>
                    <w:right w:val="single" w:sz="4" w:space="0" w:color="auto"/>
                  </w:tcBorders>
                  <w:vAlign w:val="center"/>
                </w:tcPr>
                <w:p w14:paraId="07A72E16" w14:textId="77777777" w:rsidR="00F76A63" w:rsidRDefault="00F76A63">
                  <w:pPr>
                    <w:adjustRightInd w:val="0"/>
                    <w:snapToGrid w:val="0"/>
                    <w:jc w:val="center"/>
                    <w:rPr>
                      <w:b/>
                      <w:sz w:val="18"/>
                      <w:szCs w:val="18"/>
                    </w:rPr>
                  </w:pPr>
                </w:p>
              </w:tc>
              <w:tc>
                <w:tcPr>
                  <w:tcW w:w="578" w:type="pct"/>
                  <w:vMerge/>
                  <w:tcBorders>
                    <w:top w:val="single" w:sz="12" w:space="0" w:color="auto"/>
                    <w:left w:val="single" w:sz="4" w:space="0" w:color="auto"/>
                    <w:bottom w:val="single" w:sz="4" w:space="0" w:color="auto"/>
                    <w:right w:val="single" w:sz="4" w:space="0" w:color="auto"/>
                  </w:tcBorders>
                  <w:vAlign w:val="center"/>
                </w:tcPr>
                <w:p w14:paraId="339FB70B" w14:textId="77777777" w:rsidR="00F76A63" w:rsidRDefault="00F76A63">
                  <w:pPr>
                    <w:adjustRightInd w:val="0"/>
                    <w:snapToGrid w:val="0"/>
                    <w:jc w:val="center"/>
                    <w:rPr>
                      <w:b/>
                      <w:sz w:val="18"/>
                      <w:szCs w:val="18"/>
                    </w:rPr>
                  </w:pPr>
                </w:p>
              </w:tc>
              <w:tc>
                <w:tcPr>
                  <w:tcW w:w="978" w:type="pct"/>
                  <w:vMerge/>
                  <w:tcBorders>
                    <w:top w:val="single" w:sz="12" w:space="0" w:color="auto"/>
                    <w:left w:val="single" w:sz="4" w:space="0" w:color="auto"/>
                    <w:bottom w:val="single" w:sz="4" w:space="0" w:color="auto"/>
                    <w:right w:val="single" w:sz="4" w:space="0" w:color="auto"/>
                  </w:tcBorders>
                  <w:vAlign w:val="center"/>
                </w:tcPr>
                <w:p w14:paraId="113DEB8E" w14:textId="77777777" w:rsidR="00F76A63" w:rsidRDefault="00F76A63">
                  <w:pPr>
                    <w:adjustRightInd w:val="0"/>
                    <w:snapToGrid w:val="0"/>
                    <w:jc w:val="center"/>
                    <w:rPr>
                      <w:b/>
                      <w:sz w:val="18"/>
                      <w:szCs w:val="18"/>
                    </w:rPr>
                  </w:pPr>
                </w:p>
              </w:tc>
              <w:tc>
                <w:tcPr>
                  <w:tcW w:w="546" w:type="pct"/>
                  <w:vMerge/>
                  <w:tcBorders>
                    <w:top w:val="single" w:sz="12" w:space="0" w:color="auto"/>
                    <w:left w:val="single" w:sz="4" w:space="0" w:color="auto"/>
                    <w:bottom w:val="single" w:sz="4" w:space="0" w:color="auto"/>
                    <w:right w:val="single" w:sz="4" w:space="0" w:color="auto"/>
                  </w:tcBorders>
                  <w:vAlign w:val="center"/>
                </w:tcPr>
                <w:p w14:paraId="0F824FCD" w14:textId="77777777" w:rsidR="00F76A63" w:rsidRDefault="00F76A63">
                  <w:pPr>
                    <w:adjustRightInd w:val="0"/>
                    <w:snapToGrid w:val="0"/>
                    <w:jc w:val="center"/>
                    <w:rPr>
                      <w:b/>
                      <w:sz w:val="18"/>
                      <w:szCs w:val="18"/>
                    </w:rPr>
                  </w:pPr>
                </w:p>
              </w:tc>
              <w:tc>
                <w:tcPr>
                  <w:tcW w:w="596" w:type="pct"/>
                  <w:tcBorders>
                    <w:top w:val="single" w:sz="4" w:space="0" w:color="auto"/>
                    <w:left w:val="single" w:sz="4" w:space="0" w:color="auto"/>
                    <w:bottom w:val="single" w:sz="4" w:space="0" w:color="auto"/>
                    <w:right w:val="single" w:sz="4" w:space="0" w:color="auto"/>
                  </w:tcBorders>
                  <w:vAlign w:val="center"/>
                </w:tcPr>
                <w:p w14:paraId="153C1B34" w14:textId="77777777" w:rsidR="00F76A63" w:rsidRDefault="00000000">
                  <w:pPr>
                    <w:adjustRightInd w:val="0"/>
                    <w:snapToGrid w:val="0"/>
                    <w:jc w:val="center"/>
                    <w:rPr>
                      <w:b/>
                      <w:sz w:val="18"/>
                      <w:szCs w:val="18"/>
                    </w:rPr>
                  </w:pPr>
                  <w:r>
                    <w:rPr>
                      <w:b/>
                      <w:sz w:val="18"/>
                      <w:szCs w:val="18"/>
                    </w:rPr>
                    <w:t>颗粒物</w:t>
                  </w:r>
                </w:p>
              </w:tc>
              <w:tc>
                <w:tcPr>
                  <w:tcW w:w="668" w:type="pct"/>
                  <w:tcBorders>
                    <w:top w:val="single" w:sz="4" w:space="0" w:color="auto"/>
                    <w:left w:val="single" w:sz="4" w:space="0" w:color="auto"/>
                    <w:bottom w:val="single" w:sz="4" w:space="0" w:color="auto"/>
                    <w:right w:val="single" w:sz="4" w:space="0" w:color="auto"/>
                  </w:tcBorders>
                  <w:vAlign w:val="center"/>
                </w:tcPr>
                <w:p w14:paraId="3DEC686A" w14:textId="77777777" w:rsidR="00F76A63" w:rsidRDefault="00000000">
                  <w:pPr>
                    <w:adjustRightInd w:val="0"/>
                    <w:snapToGrid w:val="0"/>
                    <w:jc w:val="center"/>
                    <w:rPr>
                      <w:b/>
                      <w:sz w:val="18"/>
                      <w:szCs w:val="18"/>
                    </w:rPr>
                  </w:pPr>
                  <w:r>
                    <w:rPr>
                      <w:b/>
                      <w:sz w:val="18"/>
                      <w:szCs w:val="18"/>
                    </w:rPr>
                    <w:t>SO</w:t>
                  </w:r>
                  <w:r>
                    <w:rPr>
                      <w:b/>
                      <w:sz w:val="18"/>
                      <w:szCs w:val="18"/>
                      <w:vertAlign w:val="subscript"/>
                    </w:rPr>
                    <w:t>2</w:t>
                  </w:r>
                </w:p>
              </w:tc>
              <w:tc>
                <w:tcPr>
                  <w:tcW w:w="707" w:type="pct"/>
                  <w:tcBorders>
                    <w:top w:val="single" w:sz="4" w:space="0" w:color="auto"/>
                    <w:left w:val="single" w:sz="4" w:space="0" w:color="auto"/>
                    <w:bottom w:val="single" w:sz="4" w:space="0" w:color="auto"/>
                    <w:right w:val="single" w:sz="4" w:space="0" w:color="auto"/>
                  </w:tcBorders>
                  <w:vAlign w:val="center"/>
                </w:tcPr>
                <w:p w14:paraId="316E9223" w14:textId="77777777" w:rsidR="00F76A63" w:rsidRDefault="00000000">
                  <w:pPr>
                    <w:adjustRightInd w:val="0"/>
                    <w:snapToGrid w:val="0"/>
                    <w:jc w:val="center"/>
                    <w:rPr>
                      <w:b/>
                      <w:sz w:val="18"/>
                      <w:szCs w:val="18"/>
                    </w:rPr>
                  </w:pPr>
                  <w:r>
                    <w:rPr>
                      <w:b/>
                      <w:sz w:val="18"/>
                      <w:szCs w:val="18"/>
                    </w:rPr>
                    <w:t>NO</w:t>
                  </w:r>
                  <w:r>
                    <w:rPr>
                      <w:b/>
                      <w:sz w:val="18"/>
                      <w:szCs w:val="18"/>
                      <w:vertAlign w:val="subscript"/>
                    </w:rPr>
                    <w:t>X</w:t>
                  </w:r>
                </w:p>
              </w:tc>
              <w:tc>
                <w:tcPr>
                  <w:tcW w:w="504" w:type="pct"/>
                  <w:vMerge/>
                  <w:tcBorders>
                    <w:top w:val="single" w:sz="12" w:space="0" w:color="auto"/>
                    <w:left w:val="single" w:sz="4" w:space="0" w:color="auto"/>
                    <w:bottom w:val="single" w:sz="4" w:space="0" w:color="auto"/>
                    <w:right w:val="nil"/>
                  </w:tcBorders>
                  <w:vAlign w:val="center"/>
                </w:tcPr>
                <w:p w14:paraId="79E90434" w14:textId="77777777" w:rsidR="00F76A63" w:rsidRDefault="00F76A63">
                  <w:pPr>
                    <w:adjustRightInd w:val="0"/>
                    <w:snapToGrid w:val="0"/>
                    <w:jc w:val="center"/>
                    <w:rPr>
                      <w:b/>
                      <w:sz w:val="18"/>
                      <w:szCs w:val="18"/>
                    </w:rPr>
                  </w:pPr>
                </w:p>
              </w:tc>
            </w:tr>
            <w:tr w:rsidR="00F76A63" w14:paraId="7CD66E33" w14:textId="77777777">
              <w:trPr>
                <w:trHeight w:val="340"/>
                <w:jc w:val="center"/>
              </w:trPr>
              <w:tc>
                <w:tcPr>
                  <w:tcW w:w="422" w:type="pct"/>
                  <w:vMerge w:val="restart"/>
                  <w:tcBorders>
                    <w:top w:val="single" w:sz="4" w:space="0" w:color="auto"/>
                    <w:left w:val="nil"/>
                    <w:right w:val="single" w:sz="4" w:space="0" w:color="auto"/>
                  </w:tcBorders>
                  <w:vAlign w:val="center"/>
                </w:tcPr>
                <w:p w14:paraId="44EFFEB9" w14:textId="77777777" w:rsidR="00F76A63" w:rsidRDefault="00000000">
                  <w:pPr>
                    <w:adjustRightInd w:val="0"/>
                    <w:snapToGrid w:val="0"/>
                    <w:jc w:val="center"/>
                    <w:rPr>
                      <w:sz w:val="18"/>
                      <w:szCs w:val="18"/>
                    </w:rPr>
                  </w:pPr>
                  <w:r>
                    <w:rPr>
                      <w:sz w:val="18"/>
                      <w:szCs w:val="18"/>
                    </w:rPr>
                    <w:t>窑尾烟气污染物在线监测</w:t>
                  </w:r>
                </w:p>
              </w:tc>
              <w:tc>
                <w:tcPr>
                  <w:tcW w:w="578" w:type="pct"/>
                  <w:vMerge w:val="restart"/>
                  <w:tcBorders>
                    <w:top w:val="single" w:sz="4" w:space="0" w:color="auto"/>
                    <w:left w:val="single" w:sz="4" w:space="0" w:color="auto"/>
                    <w:right w:val="single" w:sz="4" w:space="0" w:color="auto"/>
                  </w:tcBorders>
                  <w:vAlign w:val="center"/>
                </w:tcPr>
                <w:p w14:paraId="460BD633" w14:textId="77777777" w:rsidR="00F76A63" w:rsidRDefault="00000000">
                  <w:pPr>
                    <w:adjustRightInd w:val="0"/>
                    <w:snapToGrid w:val="0"/>
                    <w:jc w:val="center"/>
                    <w:rPr>
                      <w:sz w:val="18"/>
                      <w:szCs w:val="18"/>
                    </w:rPr>
                  </w:pPr>
                  <w:r>
                    <w:rPr>
                      <w:rFonts w:hint="eastAsia"/>
                      <w:sz w:val="18"/>
                      <w:szCs w:val="18"/>
                    </w:rPr>
                    <w:t>202401</w:t>
                  </w:r>
                </w:p>
              </w:tc>
              <w:tc>
                <w:tcPr>
                  <w:tcW w:w="978" w:type="pct"/>
                  <w:vMerge w:val="restart"/>
                  <w:tcBorders>
                    <w:top w:val="single" w:sz="4" w:space="0" w:color="auto"/>
                    <w:left w:val="single" w:sz="4" w:space="0" w:color="auto"/>
                    <w:right w:val="single" w:sz="4" w:space="0" w:color="auto"/>
                  </w:tcBorders>
                  <w:vAlign w:val="center"/>
                </w:tcPr>
                <w:p w14:paraId="4F2537F2" w14:textId="77777777" w:rsidR="00F76A63" w:rsidRDefault="00000000">
                  <w:pPr>
                    <w:widowControl/>
                    <w:jc w:val="center"/>
                    <w:rPr>
                      <w:sz w:val="18"/>
                      <w:szCs w:val="18"/>
                    </w:rPr>
                  </w:pPr>
                  <w:r>
                    <w:rPr>
                      <w:sz w:val="18"/>
                      <w:szCs w:val="18"/>
                    </w:rPr>
                    <w:t>703152.80</w:t>
                  </w:r>
                </w:p>
              </w:tc>
              <w:tc>
                <w:tcPr>
                  <w:tcW w:w="546" w:type="pct"/>
                  <w:tcBorders>
                    <w:top w:val="single" w:sz="4" w:space="0" w:color="auto"/>
                    <w:left w:val="single" w:sz="4" w:space="0" w:color="auto"/>
                    <w:bottom w:val="single" w:sz="4" w:space="0" w:color="auto"/>
                    <w:right w:val="single" w:sz="4" w:space="0" w:color="auto"/>
                  </w:tcBorders>
                  <w:vAlign w:val="center"/>
                </w:tcPr>
                <w:p w14:paraId="61E01B73"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6D89F120" w14:textId="77777777" w:rsidR="00F76A63" w:rsidRDefault="00000000">
                  <w:pPr>
                    <w:adjustRightInd w:val="0"/>
                    <w:snapToGrid w:val="0"/>
                    <w:jc w:val="center"/>
                    <w:rPr>
                      <w:rFonts w:eastAsia="Arial Unicode MS"/>
                      <w:sz w:val="18"/>
                      <w:szCs w:val="18"/>
                    </w:rPr>
                  </w:pPr>
                  <w:r>
                    <w:rPr>
                      <w:sz w:val="18"/>
                      <w:szCs w:val="18"/>
                    </w:rPr>
                    <w:t>1.36</w:t>
                  </w:r>
                </w:p>
              </w:tc>
              <w:tc>
                <w:tcPr>
                  <w:tcW w:w="668" w:type="pct"/>
                  <w:tcBorders>
                    <w:top w:val="single" w:sz="4" w:space="0" w:color="auto"/>
                    <w:left w:val="single" w:sz="4" w:space="0" w:color="auto"/>
                    <w:bottom w:val="single" w:sz="4" w:space="0" w:color="auto"/>
                    <w:right w:val="single" w:sz="4" w:space="0" w:color="auto"/>
                  </w:tcBorders>
                  <w:vAlign w:val="center"/>
                </w:tcPr>
                <w:p w14:paraId="5FF45D79" w14:textId="77777777" w:rsidR="00F76A63" w:rsidRDefault="00000000">
                  <w:pPr>
                    <w:adjustRightInd w:val="0"/>
                    <w:snapToGrid w:val="0"/>
                    <w:jc w:val="center"/>
                    <w:rPr>
                      <w:rFonts w:eastAsia="Arial Unicode MS"/>
                      <w:sz w:val="18"/>
                      <w:szCs w:val="18"/>
                    </w:rPr>
                  </w:pPr>
                  <w:r>
                    <w:rPr>
                      <w:rFonts w:hint="eastAsia"/>
                      <w:sz w:val="18"/>
                      <w:szCs w:val="18"/>
                    </w:rPr>
                    <w:t>2.31</w:t>
                  </w:r>
                </w:p>
              </w:tc>
              <w:tc>
                <w:tcPr>
                  <w:tcW w:w="707" w:type="pct"/>
                  <w:tcBorders>
                    <w:top w:val="single" w:sz="4" w:space="0" w:color="auto"/>
                    <w:left w:val="single" w:sz="4" w:space="0" w:color="auto"/>
                    <w:bottom w:val="single" w:sz="4" w:space="0" w:color="auto"/>
                    <w:right w:val="single" w:sz="4" w:space="0" w:color="auto"/>
                  </w:tcBorders>
                  <w:vAlign w:val="center"/>
                </w:tcPr>
                <w:p w14:paraId="3CB2C6BF" w14:textId="77777777" w:rsidR="00F76A63" w:rsidRDefault="00000000">
                  <w:pPr>
                    <w:adjustRightInd w:val="0"/>
                    <w:snapToGrid w:val="0"/>
                    <w:jc w:val="center"/>
                    <w:rPr>
                      <w:rFonts w:eastAsia="Arial Unicode MS"/>
                      <w:b/>
                      <w:bCs/>
                      <w:sz w:val="18"/>
                      <w:szCs w:val="18"/>
                    </w:rPr>
                  </w:pPr>
                  <w:r>
                    <w:rPr>
                      <w:rFonts w:hint="eastAsia"/>
                      <w:sz w:val="18"/>
                      <w:szCs w:val="18"/>
                    </w:rPr>
                    <w:t>20.30</w:t>
                  </w:r>
                </w:p>
              </w:tc>
              <w:tc>
                <w:tcPr>
                  <w:tcW w:w="504" w:type="pct"/>
                  <w:vMerge w:val="restart"/>
                  <w:tcBorders>
                    <w:top w:val="single" w:sz="4" w:space="0" w:color="auto"/>
                    <w:left w:val="single" w:sz="4" w:space="0" w:color="auto"/>
                    <w:right w:val="nil"/>
                  </w:tcBorders>
                  <w:vAlign w:val="center"/>
                </w:tcPr>
                <w:p w14:paraId="317F546C" w14:textId="77777777" w:rsidR="00F76A63" w:rsidRDefault="00000000">
                  <w:pPr>
                    <w:adjustRightInd w:val="0"/>
                    <w:snapToGrid w:val="0"/>
                    <w:jc w:val="center"/>
                    <w:rPr>
                      <w:sz w:val="18"/>
                      <w:szCs w:val="18"/>
                    </w:rPr>
                  </w:pPr>
                  <w:r>
                    <w:rPr>
                      <w:sz w:val="18"/>
                      <w:szCs w:val="18"/>
                    </w:rPr>
                    <w:t>/</w:t>
                  </w:r>
                </w:p>
              </w:tc>
            </w:tr>
            <w:tr w:rsidR="00F76A63" w14:paraId="0017C4EF" w14:textId="77777777">
              <w:trPr>
                <w:trHeight w:val="340"/>
                <w:jc w:val="center"/>
              </w:trPr>
              <w:tc>
                <w:tcPr>
                  <w:tcW w:w="422" w:type="pct"/>
                  <w:vMerge/>
                  <w:tcBorders>
                    <w:left w:val="nil"/>
                    <w:right w:val="single" w:sz="4" w:space="0" w:color="auto"/>
                  </w:tcBorders>
                  <w:vAlign w:val="center"/>
                </w:tcPr>
                <w:p w14:paraId="494E98DB"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674AECFD"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072812C"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3D257F8"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3785768C" w14:textId="77777777" w:rsidR="00F76A63" w:rsidRDefault="00000000">
                  <w:pPr>
                    <w:adjustRightInd w:val="0"/>
                    <w:snapToGrid w:val="0"/>
                    <w:jc w:val="center"/>
                    <w:rPr>
                      <w:rFonts w:eastAsia="Arial Unicode MS"/>
                      <w:sz w:val="18"/>
                      <w:szCs w:val="18"/>
                    </w:rPr>
                  </w:pPr>
                  <w:r>
                    <w:rPr>
                      <w:rFonts w:hint="eastAsia"/>
                      <w:sz w:val="18"/>
                      <w:szCs w:val="18"/>
                    </w:rPr>
                    <w:t>1.868</w:t>
                  </w:r>
                </w:p>
              </w:tc>
              <w:tc>
                <w:tcPr>
                  <w:tcW w:w="668" w:type="pct"/>
                  <w:tcBorders>
                    <w:top w:val="single" w:sz="4" w:space="0" w:color="auto"/>
                    <w:left w:val="single" w:sz="4" w:space="0" w:color="auto"/>
                    <w:bottom w:val="single" w:sz="4" w:space="0" w:color="auto"/>
                    <w:right w:val="single" w:sz="4" w:space="0" w:color="auto"/>
                  </w:tcBorders>
                  <w:vAlign w:val="center"/>
                </w:tcPr>
                <w:p w14:paraId="1621AE35" w14:textId="77777777" w:rsidR="00F76A63" w:rsidRDefault="00000000">
                  <w:pPr>
                    <w:adjustRightInd w:val="0"/>
                    <w:snapToGrid w:val="0"/>
                    <w:jc w:val="center"/>
                    <w:rPr>
                      <w:rFonts w:eastAsia="Arial Unicode MS"/>
                      <w:sz w:val="18"/>
                      <w:szCs w:val="18"/>
                    </w:rPr>
                  </w:pPr>
                  <w:r>
                    <w:rPr>
                      <w:rFonts w:hint="eastAsia"/>
                      <w:sz w:val="18"/>
                      <w:szCs w:val="18"/>
                    </w:rPr>
                    <w:t>15.676</w:t>
                  </w:r>
                </w:p>
              </w:tc>
              <w:tc>
                <w:tcPr>
                  <w:tcW w:w="707" w:type="pct"/>
                  <w:tcBorders>
                    <w:top w:val="single" w:sz="4" w:space="0" w:color="auto"/>
                    <w:left w:val="single" w:sz="4" w:space="0" w:color="auto"/>
                    <w:bottom w:val="single" w:sz="4" w:space="0" w:color="auto"/>
                    <w:right w:val="single" w:sz="4" w:space="0" w:color="auto"/>
                  </w:tcBorders>
                  <w:vAlign w:val="center"/>
                </w:tcPr>
                <w:p w14:paraId="2524D676" w14:textId="77777777" w:rsidR="00F76A63" w:rsidRDefault="00000000">
                  <w:pPr>
                    <w:adjustRightInd w:val="0"/>
                    <w:snapToGrid w:val="0"/>
                    <w:jc w:val="center"/>
                    <w:rPr>
                      <w:rFonts w:eastAsia="Arial Unicode MS"/>
                      <w:b/>
                      <w:bCs/>
                      <w:sz w:val="18"/>
                      <w:szCs w:val="18"/>
                    </w:rPr>
                  </w:pPr>
                  <w:r>
                    <w:rPr>
                      <w:rFonts w:hint="eastAsia"/>
                      <w:sz w:val="18"/>
                      <w:szCs w:val="18"/>
                    </w:rPr>
                    <w:t>61.425</w:t>
                  </w:r>
                </w:p>
              </w:tc>
              <w:tc>
                <w:tcPr>
                  <w:tcW w:w="504" w:type="pct"/>
                  <w:vMerge/>
                  <w:tcBorders>
                    <w:left w:val="single" w:sz="4" w:space="0" w:color="auto"/>
                    <w:right w:val="nil"/>
                  </w:tcBorders>
                  <w:vAlign w:val="center"/>
                </w:tcPr>
                <w:p w14:paraId="114430FB" w14:textId="77777777" w:rsidR="00F76A63" w:rsidRDefault="00F76A63">
                  <w:pPr>
                    <w:adjustRightInd w:val="0"/>
                    <w:snapToGrid w:val="0"/>
                    <w:jc w:val="center"/>
                    <w:rPr>
                      <w:sz w:val="18"/>
                      <w:szCs w:val="18"/>
                    </w:rPr>
                  </w:pPr>
                </w:p>
              </w:tc>
            </w:tr>
            <w:tr w:rsidR="00F76A63" w14:paraId="3B1C329C" w14:textId="77777777">
              <w:trPr>
                <w:trHeight w:val="340"/>
                <w:jc w:val="center"/>
              </w:trPr>
              <w:tc>
                <w:tcPr>
                  <w:tcW w:w="422" w:type="pct"/>
                  <w:vMerge/>
                  <w:tcBorders>
                    <w:left w:val="nil"/>
                    <w:right w:val="single" w:sz="4" w:space="0" w:color="auto"/>
                  </w:tcBorders>
                  <w:vAlign w:val="center"/>
                </w:tcPr>
                <w:p w14:paraId="2AEABDB2"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0A7C2A57"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5870F018"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FB7B42A"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45879B3B" w14:textId="77777777" w:rsidR="00F76A63" w:rsidRDefault="00000000">
                  <w:pPr>
                    <w:adjustRightInd w:val="0"/>
                    <w:snapToGrid w:val="0"/>
                    <w:jc w:val="center"/>
                    <w:rPr>
                      <w:rFonts w:eastAsia="Arial Unicode MS"/>
                      <w:sz w:val="18"/>
                      <w:szCs w:val="18"/>
                    </w:rPr>
                  </w:pPr>
                  <w:r>
                    <w:rPr>
                      <w:rFonts w:hint="eastAsia"/>
                      <w:sz w:val="18"/>
                      <w:szCs w:val="18"/>
                    </w:rPr>
                    <w:t>0.99</w:t>
                  </w:r>
                </w:p>
              </w:tc>
              <w:tc>
                <w:tcPr>
                  <w:tcW w:w="668" w:type="pct"/>
                  <w:tcBorders>
                    <w:top w:val="single" w:sz="4" w:space="0" w:color="auto"/>
                    <w:left w:val="single" w:sz="4" w:space="0" w:color="auto"/>
                    <w:bottom w:val="single" w:sz="4" w:space="0" w:color="auto"/>
                    <w:right w:val="single" w:sz="4" w:space="0" w:color="auto"/>
                  </w:tcBorders>
                  <w:vAlign w:val="center"/>
                </w:tcPr>
                <w:p w14:paraId="7E5AF687" w14:textId="77777777" w:rsidR="00F76A63" w:rsidRDefault="00000000">
                  <w:pPr>
                    <w:adjustRightInd w:val="0"/>
                    <w:snapToGrid w:val="0"/>
                    <w:jc w:val="center"/>
                    <w:rPr>
                      <w:rFonts w:eastAsia="Arial Unicode MS"/>
                      <w:sz w:val="18"/>
                      <w:szCs w:val="18"/>
                    </w:rPr>
                  </w:pPr>
                  <w:r>
                    <w:rPr>
                      <w:rFonts w:hint="eastAsia"/>
                      <w:sz w:val="18"/>
                      <w:szCs w:val="18"/>
                    </w:rPr>
                    <w:t>0.33</w:t>
                  </w:r>
                </w:p>
              </w:tc>
              <w:tc>
                <w:tcPr>
                  <w:tcW w:w="707" w:type="pct"/>
                  <w:tcBorders>
                    <w:top w:val="single" w:sz="4" w:space="0" w:color="auto"/>
                    <w:left w:val="single" w:sz="4" w:space="0" w:color="auto"/>
                    <w:bottom w:val="single" w:sz="4" w:space="0" w:color="auto"/>
                    <w:right w:val="single" w:sz="4" w:space="0" w:color="auto"/>
                  </w:tcBorders>
                  <w:vAlign w:val="center"/>
                </w:tcPr>
                <w:p w14:paraId="02B09FEB" w14:textId="77777777" w:rsidR="00F76A63" w:rsidRDefault="00000000">
                  <w:pPr>
                    <w:adjustRightInd w:val="0"/>
                    <w:snapToGrid w:val="0"/>
                    <w:jc w:val="center"/>
                    <w:rPr>
                      <w:rFonts w:eastAsia="Arial Unicode MS"/>
                      <w:b/>
                      <w:bCs/>
                      <w:sz w:val="18"/>
                      <w:szCs w:val="18"/>
                    </w:rPr>
                  </w:pPr>
                  <w:r>
                    <w:rPr>
                      <w:rFonts w:hint="eastAsia"/>
                      <w:sz w:val="18"/>
                      <w:szCs w:val="18"/>
                    </w:rPr>
                    <w:t>10.25</w:t>
                  </w:r>
                </w:p>
              </w:tc>
              <w:tc>
                <w:tcPr>
                  <w:tcW w:w="504" w:type="pct"/>
                  <w:vMerge/>
                  <w:tcBorders>
                    <w:left w:val="single" w:sz="4" w:space="0" w:color="auto"/>
                    <w:bottom w:val="single" w:sz="4" w:space="0" w:color="auto"/>
                    <w:right w:val="nil"/>
                  </w:tcBorders>
                  <w:vAlign w:val="center"/>
                </w:tcPr>
                <w:p w14:paraId="4CF3AC0C" w14:textId="77777777" w:rsidR="00F76A63" w:rsidRDefault="00F76A63">
                  <w:pPr>
                    <w:adjustRightInd w:val="0"/>
                    <w:snapToGrid w:val="0"/>
                    <w:jc w:val="center"/>
                    <w:rPr>
                      <w:sz w:val="18"/>
                      <w:szCs w:val="18"/>
                    </w:rPr>
                  </w:pPr>
                </w:p>
              </w:tc>
            </w:tr>
            <w:tr w:rsidR="00F76A63" w14:paraId="1D09CFB4" w14:textId="77777777">
              <w:trPr>
                <w:trHeight w:val="340"/>
                <w:jc w:val="center"/>
              </w:trPr>
              <w:tc>
                <w:tcPr>
                  <w:tcW w:w="422" w:type="pct"/>
                  <w:vMerge/>
                  <w:tcBorders>
                    <w:left w:val="nil"/>
                    <w:right w:val="single" w:sz="4" w:space="0" w:color="auto"/>
                  </w:tcBorders>
                  <w:vAlign w:val="center"/>
                </w:tcPr>
                <w:p w14:paraId="43CE6AE1"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60E71C44" w14:textId="77777777" w:rsidR="00F76A63" w:rsidRDefault="00000000">
                  <w:pPr>
                    <w:adjustRightInd w:val="0"/>
                    <w:snapToGrid w:val="0"/>
                    <w:jc w:val="center"/>
                    <w:rPr>
                      <w:sz w:val="18"/>
                      <w:szCs w:val="18"/>
                    </w:rPr>
                  </w:pPr>
                  <w:r>
                    <w:rPr>
                      <w:rFonts w:hint="eastAsia"/>
                      <w:sz w:val="18"/>
                      <w:szCs w:val="18"/>
                    </w:rPr>
                    <w:t>202402</w:t>
                  </w:r>
                </w:p>
              </w:tc>
              <w:tc>
                <w:tcPr>
                  <w:tcW w:w="978" w:type="pct"/>
                  <w:vMerge w:val="restart"/>
                  <w:tcBorders>
                    <w:top w:val="single" w:sz="4" w:space="0" w:color="auto"/>
                    <w:left w:val="single" w:sz="4" w:space="0" w:color="auto"/>
                    <w:right w:val="single" w:sz="4" w:space="0" w:color="auto"/>
                  </w:tcBorders>
                  <w:vAlign w:val="center"/>
                </w:tcPr>
                <w:p w14:paraId="1D345770" w14:textId="77777777" w:rsidR="00F76A63" w:rsidRDefault="00000000">
                  <w:pPr>
                    <w:widowControl/>
                    <w:jc w:val="center"/>
                    <w:rPr>
                      <w:sz w:val="18"/>
                      <w:szCs w:val="18"/>
                    </w:rPr>
                  </w:pPr>
                  <w:r>
                    <w:rPr>
                      <w:sz w:val="18"/>
                      <w:szCs w:val="18"/>
                    </w:rPr>
                    <w:t>752716.57</w:t>
                  </w:r>
                </w:p>
              </w:tc>
              <w:tc>
                <w:tcPr>
                  <w:tcW w:w="546" w:type="pct"/>
                  <w:tcBorders>
                    <w:top w:val="single" w:sz="4" w:space="0" w:color="auto"/>
                    <w:left w:val="single" w:sz="4" w:space="0" w:color="auto"/>
                    <w:bottom w:val="single" w:sz="4" w:space="0" w:color="auto"/>
                    <w:right w:val="single" w:sz="4" w:space="0" w:color="auto"/>
                  </w:tcBorders>
                  <w:vAlign w:val="center"/>
                </w:tcPr>
                <w:p w14:paraId="7C0B2B64"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538C9503" w14:textId="77777777" w:rsidR="00F76A63" w:rsidRDefault="00000000">
                  <w:pPr>
                    <w:adjustRightInd w:val="0"/>
                    <w:snapToGrid w:val="0"/>
                    <w:jc w:val="center"/>
                    <w:rPr>
                      <w:rFonts w:eastAsia="Arial Unicode MS"/>
                      <w:sz w:val="18"/>
                      <w:szCs w:val="18"/>
                    </w:rPr>
                  </w:pPr>
                  <w:r>
                    <w:rPr>
                      <w:sz w:val="18"/>
                      <w:szCs w:val="18"/>
                    </w:rPr>
                    <w:t>1.26</w:t>
                  </w:r>
                </w:p>
              </w:tc>
              <w:tc>
                <w:tcPr>
                  <w:tcW w:w="668" w:type="pct"/>
                  <w:tcBorders>
                    <w:top w:val="single" w:sz="4" w:space="0" w:color="auto"/>
                    <w:left w:val="single" w:sz="4" w:space="0" w:color="auto"/>
                    <w:bottom w:val="single" w:sz="4" w:space="0" w:color="auto"/>
                    <w:right w:val="single" w:sz="4" w:space="0" w:color="auto"/>
                  </w:tcBorders>
                  <w:vAlign w:val="center"/>
                </w:tcPr>
                <w:p w14:paraId="533D6D54" w14:textId="77777777" w:rsidR="00F76A63" w:rsidRDefault="00000000">
                  <w:pPr>
                    <w:adjustRightInd w:val="0"/>
                    <w:snapToGrid w:val="0"/>
                    <w:jc w:val="center"/>
                    <w:rPr>
                      <w:rFonts w:eastAsia="Arial Unicode MS"/>
                      <w:sz w:val="18"/>
                      <w:szCs w:val="18"/>
                    </w:rPr>
                  </w:pPr>
                  <w:r>
                    <w:rPr>
                      <w:rFonts w:hint="eastAsia"/>
                      <w:sz w:val="18"/>
                      <w:szCs w:val="18"/>
                    </w:rPr>
                    <w:t>5.63</w:t>
                  </w:r>
                </w:p>
              </w:tc>
              <w:tc>
                <w:tcPr>
                  <w:tcW w:w="707" w:type="pct"/>
                  <w:tcBorders>
                    <w:top w:val="single" w:sz="4" w:space="0" w:color="auto"/>
                    <w:left w:val="single" w:sz="4" w:space="0" w:color="auto"/>
                    <w:bottom w:val="single" w:sz="4" w:space="0" w:color="auto"/>
                    <w:right w:val="single" w:sz="4" w:space="0" w:color="auto"/>
                  </w:tcBorders>
                  <w:vAlign w:val="center"/>
                </w:tcPr>
                <w:p w14:paraId="7698162A" w14:textId="77777777" w:rsidR="00F76A63" w:rsidRDefault="00000000">
                  <w:pPr>
                    <w:adjustRightInd w:val="0"/>
                    <w:snapToGrid w:val="0"/>
                    <w:jc w:val="center"/>
                    <w:rPr>
                      <w:rFonts w:eastAsia="Arial Unicode MS"/>
                      <w:b/>
                      <w:bCs/>
                      <w:sz w:val="18"/>
                      <w:szCs w:val="18"/>
                    </w:rPr>
                  </w:pPr>
                  <w:r>
                    <w:rPr>
                      <w:rFonts w:hint="eastAsia"/>
                      <w:sz w:val="18"/>
                      <w:szCs w:val="18"/>
                    </w:rPr>
                    <w:t>33.53</w:t>
                  </w:r>
                </w:p>
              </w:tc>
              <w:tc>
                <w:tcPr>
                  <w:tcW w:w="504" w:type="pct"/>
                  <w:vMerge w:val="restart"/>
                  <w:tcBorders>
                    <w:top w:val="single" w:sz="4" w:space="0" w:color="auto"/>
                    <w:left w:val="single" w:sz="4" w:space="0" w:color="auto"/>
                    <w:right w:val="nil"/>
                  </w:tcBorders>
                  <w:vAlign w:val="center"/>
                </w:tcPr>
                <w:p w14:paraId="4397439E" w14:textId="77777777" w:rsidR="00F76A63" w:rsidRDefault="00000000">
                  <w:pPr>
                    <w:adjustRightInd w:val="0"/>
                    <w:snapToGrid w:val="0"/>
                    <w:jc w:val="center"/>
                    <w:rPr>
                      <w:sz w:val="18"/>
                      <w:szCs w:val="18"/>
                    </w:rPr>
                  </w:pPr>
                  <w:r>
                    <w:rPr>
                      <w:sz w:val="18"/>
                      <w:szCs w:val="18"/>
                    </w:rPr>
                    <w:t>/</w:t>
                  </w:r>
                </w:p>
              </w:tc>
            </w:tr>
            <w:tr w:rsidR="00F76A63" w14:paraId="5AB21C3B" w14:textId="77777777">
              <w:trPr>
                <w:trHeight w:val="340"/>
                <w:jc w:val="center"/>
              </w:trPr>
              <w:tc>
                <w:tcPr>
                  <w:tcW w:w="422" w:type="pct"/>
                  <w:vMerge/>
                  <w:tcBorders>
                    <w:left w:val="nil"/>
                    <w:right w:val="single" w:sz="4" w:space="0" w:color="auto"/>
                  </w:tcBorders>
                  <w:vAlign w:val="center"/>
                </w:tcPr>
                <w:p w14:paraId="1C71F4EC"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5ACDD4FA"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25707375"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60A13E9"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2BAACBA1" w14:textId="77777777" w:rsidR="00F76A63" w:rsidRDefault="00000000">
                  <w:pPr>
                    <w:adjustRightInd w:val="0"/>
                    <w:snapToGrid w:val="0"/>
                    <w:jc w:val="center"/>
                    <w:rPr>
                      <w:rFonts w:eastAsia="Arial Unicode MS"/>
                      <w:sz w:val="18"/>
                      <w:szCs w:val="18"/>
                    </w:rPr>
                  </w:pPr>
                  <w:r>
                    <w:rPr>
                      <w:rFonts w:eastAsia="Arial Unicode MS"/>
                      <w:sz w:val="18"/>
                      <w:szCs w:val="18"/>
                    </w:rPr>
                    <w:t>2.034</w:t>
                  </w:r>
                </w:p>
              </w:tc>
              <w:tc>
                <w:tcPr>
                  <w:tcW w:w="668" w:type="pct"/>
                  <w:tcBorders>
                    <w:top w:val="single" w:sz="4" w:space="0" w:color="auto"/>
                    <w:left w:val="single" w:sz="4" w:space="0" w:color="auto"/>
                    <w:bottom w:val="single" w:sz="4" w:space="0" w:color="auto"/>
                    <w:right w:val="single" w:sz="4" w:space="0" w:color="auto"/>
                  </w:tcBorders>
                  <w:vAlign w:val="center"/>
                </w:tcPr>
                <w:p w14:paraId="5252AE3D" w14:textId="77777777" w:rsidR="00F76A63" w:rsidRDefault="00000000">
                  <w:pPr>
                    <w:adjustRightInd w:val="0"/>
                    <w:snapToGrid w:val="0"/>
                    <w:jc w:val="center"/>
                    <w:rPr>
                      <w:rFonts w:eastAsia="Arial Unicode MS"/>
                      <w:sz w:val="18"/>
                      <w:szCs w:val="18"/>
                    </w:rPr>
                  </w:pPr>
                  <w:r>
                    <w:rPr>
                      <w:rFonts w:hint="eastAsia"/>
                      <w:sz w:val="18"/>
                      <w:szCs w:val="18"/>
                    </w:rPr>
                    <w:t>30.194</w:t>
                  </w:r>
                </w:p>
              </w:tc>
              <w:tc>
                <w:tcPr>
                  <w:tcW w:w="707" w:type="pct"/>
                  <w:tcBorders>
                    <w:top w:val="single" w:sz="4" w:space="0" w:color="auto"/>
                    <w:left w:val="single" w:sz="4" w:space="0" w:color="auto"/>
                    <w:bottom w:val="single" w:sz="4" w:space="0" w:color="auto"/>
                    <w:right w:val="single" w:sz="4" w:space="0" w:color="auto"/>
                  </w:tcBorders>
                  <w:vAlign w:val="center"/>
                </w:tcPr>
                <w:p w14:paraId="48F33054" w14:textId="77777777" w:rsidR="00F76A63" w:rsidRDefault="00000000">
                  <w:pPr>
                    <w:adjustRightInd w:val="0"/>
                    <w:snapToGrid w:val="0"/>
                    <w:jc w:val="center"/>
                    <w:rPr>
                      <w:rFonts w:eastAsia="Arial Unicode MS"/>
                      <w:b/>
                      <w:bCs/>
                      <w:sz w:val="18"/>
                      <w:szCs w:val="18"/>
                    </w:rPr>
                  </w:pPr>
                  <w:r>
                    <w:rPr>
                      <w:rFonts w:hint="eastAsia"/>
                      <w:sz w:val="18"/>
                      <w:szCs w:val="18"/>
                    </w:rPr>
                    <w:t>49.988</w:t>
                  </w:r>
                </w:p>
              </w:tc>
              <w:tc>
                <w:tcPr>
                  <w:tcW w:w="504" w:type="pct"/>
                  <w:vMerge/>
                  <w:tcBorders>
                    <w:left w:val="single" w:sz="4" w:space="0" w:color="auto"/>
                    <w:right w:val="nil"/>
                  </w:tcBorders>
                  <w:vAlign w:val="center"/>
                </w:tcPr>
                <w:p w14:paraId="3491DC03" w14:textId="77777777" w:rsidR="00F76A63" w:rsidRDefault="00F76A63">
                  <w:pPr>
                    <w:adjustRightInd w:val="0"/>
                    <w:snapToGrid w:val="0"/>
                    <w:jc w:val="center"/>
                    <w:rPr>
                      <w:sz w:val="18"/>
                      <w:szCs w:val="18"/>
                    </w:rPr>
                  </w:pPr>
                </w:p>
              </w:tc>
            </w:tr>
            <w:tr w:rsidR="00F76A63" w14:paraId="494295CC" w14:textId="77777777">
              <w:trPr>
                <w:trHeight w:val="340"/>
                <w:jc w:val="center"/>
              </w:trPr>
              <w:tc>
                <w:tcPr>
                  <w:tcW w:w="422" w:type="pct"/>
                  <w:vMerge/>
                  <w:tcBorders>
                    <w:left w:val="nil"/>
                    <w:right w:val="single" w:sz="4" w:space="0" w:color="auto"/>
                  </w:tcBorders>
                  <w:vAlign w:val="center"/>
                </w:tcPr>
                <w:p w14:paraId="7DF1E5A9"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4404899E"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7D204ABC"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AE0146B"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617C2C1A" w14:textId="77777777" w:rsidR="00F76A63" w:rsidRDefault="00000000">
                  <w:pPr>
                    <w:adjustRightInd w:val="0"/>
                    <w:snapToGrid w:val="0"/>
                    <w:jc w:val="center"/>
                    <w:rPr>
                      <w:rFonts w:eastAsia="Arial Unicode MS"/>
                      <w:sz w:val="18"/>
                      <w:szCs w:val="18"/>
                    </w:rPr>
                  </w:pPr>
                  <w:r>
                    <w:rPr>
                      <w:rFonts w:hint="eastAsia"/>
                      <w:sz w:val="18"/>
                      <w:szCs w:val="18"/>
                    </w:rPr>
                    <w:t>1.094</w:t>
                  </w:r>
                </w:p>
              </w:tc>
              <w:tc>
                <w:tcPr>
                  <w:tcW w:w="668" w:type="pct"/>
                  <w:tcBorders>
                    <w:top w:val="single" w:sz="4" w:space="0" w:color="auto"/>
                    <w:left w:val="single" w:sz="4" w:space="0" w:color="auto"/>
                    <w:bottom w:val="single" w:sz="4" w:space="0" w:color="auto"/>
                    <w:right w:val="single" w:sz="4" w:space="0" w:color="auto"/>
                  </w:tcBorders>
                  <w:vAlign w:val="center"/>
                </w:tcPr>
                <w:p w14:paraId="73B4DC7A" w14:textId="77777777" w:rsidR="00F76A63" w:rsidRDefault="00000000">
                  <w:pPr>
                    <w:adjustRightInd w:val="0"/>
                    <w:snapToGrid w:val="0"/>
                    <w:jc w:val="center"/>
                    <w:rPr>
                      <w:rFonts w:eastAsia="Arial Unicode MS"/>
                      <w:sz w:val="18"/>
                      <w:szCs w:val="18"/>
                    </w:rPr>
                  </w:pPr>
                  <w:r>
                    <w:rPr>
                      <w:rFonts w:hint="eastAsia"/>
                      <w:sz w:val="18"/>
                      <w:szCs w:val="18"/>
                    </w:rPr>
                    <w:t>0.338</w:t>
                  </w:r>
                </w:p>
              </w:tc>
              <w:tc>
                <w:tcPr>
                  <w:tcW w:w="707" w:type="pct"/>
                  <w:tcBorders>
                    <w:top w:val="single" w:sz="4" w:space="0" w:color="auto"/>
                    <w:left w:val="single" w:sz="4" w:space="0" w:color="auto"/>
                    <w:bottom w:val="single" w:sz="4" w:space="0" w:color="auto"/>
                    <w:right w:val="single" w:sz="4" w:space="0" w:color="auto"/>
                  </w:tcBorders>
                  <w:vAlign w:val="center"/>
                </w:tcPr>
                <w:p w14:paraId="7C7B17E6" w14:textId="77777777" w:rsidR="00F76A63" w:rsidRDefault="00000000">
                  <w:pPr>
                    <w:adjustRightInd w:val="0"/>
                    <w:snapToGrid w:val="0"/>
                    <w:jc w:val="center"/>
                    <w:rPr>
                      <w:rFonts w:eastAsia="Arial Unicode MS"/>
                      <w:b/>
                      <w:bCs/>
                      <w:sz w:val="18"/>
                      <w:szCs w:val="18"/>
                    </w:rPr>
                  </w:pPr>
                  <w:r>
                    <w:rPr>
                      <w:rFonts w:hint="eastAsia"/>
                      <w:sz w:val="18"/>
                      <w:szCs w:val="18"/>
                    </w:rPr>
                    <w:t>3.963</w:t>
                  </w:r>
                </w:p>
              </w:tc>
              <w:tc>
                <w:tcPr>
                  <w:tcW w:w="504" w:type="pct"/>
                  <w:vMerge/>
                  <w:tcBorders>
                    <w:left w:val="single" w:sz="4" w:space="0" w:color="auto"/>
                    <w:bottom w:val="single" w:sz="4" w:space="0" w:color="auto"/>
                    <w:right w:val="nil"/>
                  </w:tcBorders>
                  <w:vAlign w:val="center"/>
                </w:tcPr>
                <w:p w14:paraId="1950BBD5" w14:textId="77777777" w:rsidR="00F76A63" w:rsidRDefault="00F76A63">
                  <w:pPr>
                    <w:adjustRightInd w:val="0"/>
                    <w:snapToGrid w:val="0"/>
                    <w:jc w:val="center"/>
                    <w:rPr>
                      <w:sz w:val="18"/>
                      <w:szCs w:val="18"/>
                    </w:rPr>
                  </w:pPr>
                </w:p>
              </w:tc>
            </w:tr>
            <w:tr w:rsidR="00F76A63" w14:paraId="10834B15" w14:textId="77777777">
              <w:trPr>
                <w:trHeight w:val="340"/>
                <w:jc w:val="center"/>
              </w:trPr>
              <w:tc>
                <w:tcPr>
                  <w:tcW w:w="422" w:type="pct"/>
                  <w:vMerge/>
                  <w:tcBorders>
                    <w:left w:val="nil"/>
                    <w:right w:val="single" w:sz="4" w:space="0" w:color="auto"/>
                  </w:tcBorders>
                  <w:vAlign w:val="center"/>
                </w:tcPr>
                <w:p w14:paraId="1A798E86"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445D753C" w14:textId="77777777" w:rsidR="00F76A63" w:rsidRDefault="00000000">
                  <w:pPr>
                    <w:adjustRightInd w:val="0"/>
                    <w:snapToGrid w:val="0"/>
                    <w:jc w:val="center"/>
                    <w:rPr>
                      <w:sz w:val="18"/>
                      <w:szCs w:val="18"/>
                    </w:rPr>
                  </w:pPr>
                  <w:r>
                    <w:rPr>
                      <w:rFonts w:hint="eastAsia"/>
                      <w:sz w:val="18"/>
                      <w:szCs w:val="18"/>
                    </w:rPr>
                    <w:t>202403</w:t>
                  </w:r>
                </w:p>
              </w:tc>
              <w:tc>
                <w:tcPr>
                  <w:tcW w:w="978" w:type="pct"/>
                  <w:vMerge w:val="restart"/>
                  <w:tcBorders>
                    <w:top w:val="single" w:sz="4" w:space="0" w:color="auto"/>
                    <w:left w:val="single" w:sz="4" w:space="0" w:color="auto"/>
                    <w:right w:val="single" w:sz="4" w:space="0" w:color="auto"/>
                  </w:tcBorders>
                  <w:vAlign w:val="center"/>
                </w:tcPr>
                <w:p w14:paraId="50674E5F" w14:textId="77777777" w:rsidR="00F76A63" w:rsidRDefault="00000000">
                  <w:pPr>
                    <w:widowControl/>
                    <w:jc w:val="center"/>
                    <w:rPr>
                      <w:sz w:val="18"/>
                      <w:szCs w:val="18"/>
                    </w:rPr>
                  </w:pPr>
                  <w:r>
                    <w:rPr>
                      <w:sz w:val="18"/>
                      <w:szCs w:val="18"/>
                    </w:rPr>
                    <w:t>616307.89</w:t>
                  </w:r>
                </w:p>
              </w:tc>
              <w:tc>
                <w:tcPr>
                  <w:tcW w:w="546" w:type="pct"/>
                  <w:tcBorders>
                    <w:top w:val="single" w:sz="4" w:space="0" w:color="auto"/>
                    <w:left w:val="single" w:sz="4" w:space="0" w:color="auto"/>
                    <w:bottom w:val="single" w:sz="4" w:space="0" w:color="auto"/>
                    <w:right w:val="single" w:sz="4" w:space="0" w:color="auto"/>
                  </w:tcBorders>
                  <w:vAlign w:val="center"/>
                </w:tcPr>
                <w:p w14:paraId="2636689B"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1057D0D6" w14:textId="77777777" w:rsidR="00F76A63" w:rsidRDefault="00000000">
                  <w:pPr>
                    <w:adjustRightInd w:val="0"/>
                    <w:snapToGrid w:val="0"/>
                    <w:jc w:val="center"/>
                    <w:rPr>
                      <w:rFonts w:eastAsia="Arial Unicode MS"/>
                      <w:sz w:val="18"/>
                      <w:szCs w:val="18"/>
                    </w:rPr>
                  </w:pPr>
                  <w:r>
                    <w:rPr>
                      <w:rFonts w:hint="eastAsia"/>
                      <w:sz w:val="18"/>
                      <w:szCs w:val="18"/>
                    </w:rPr>
                    <w:t>1.18</w:t>
                  </w:r>
                </w:p>
              </w:tc>
              <w:tc>
                <w:tcPr>
                  <w:tcW w:w="668" w:type="pct"/>
                  <w:tcBorders>
                    <w:top w:val="single" w:sz="4" w:space="0" w:color="auto"/>
                    <w:left w:val="single" w:sz="4" w:space="0" w:color="auto"/>
                    <w:bottom w:val="single" w:sz="4" w:space="0" w:color="auto"/>
                    <w:right w:val="single" w:sz="4" w:space="0" w:color="auto"/>
                  </w:tcBorders>
                  <w:vAlign w:val="center"/>
                </w:tcPr>
                <w:p w14:paraId="13F36302" w14:textId="77777777" w:rsidR="00F76A63" w:rsidRDefault="00000000">
                  <w:pPr>
                    <w:adjustRightInd w:val="0"/>
                    <w:snapToGrid w:val="0"/>
                    <w:jc w:val="center"/>
                    <w:rPr>
                      <w:rFonts w:eastAsia="Arial Unicode MS"/>
                      <w:sz w:val="18"/>
                      <w:szCs w:val="18"/>
                    </w:rPr>
                  </w:pPr>
                  <w:r>
                    <w:rPr>
                      <w:rFonts w:hint="eastAsia"/>
                      <w:sz w:val="18"/>
                      <w:szCs w:val="18"/>
                    </w:rPr>
                    <w:t>1.43</w:t>
                  </w:r>
                </w:p>
              </w:tc>
              <w:tc>
                <w:tcPr>
                  <w:tcW w:w="707" w:type="pct"/>
                  <w:tcBorders>
                    <w:top w:val="single" w:sz="4" w:space="0" w:color="auto"/>
                    <w:left w:val="single" w:sz="4" w:space="0" w:color="auto"/>
                    <w:bottom w:val="single" w:sz="4" w:space="0" w:color="auto"/>
                    <w:right w:val="single" w:sz="4" w:space="0" w:color="auto"/>
                  </w:tcBorders>
                  <w:vAlign w:val="center"/>
                </w:tcPr>
                <w:p w14:paraId="7B29FF37" w14:textId="77777777" w:rsidR="00F76A63" w:rsidRDefault="00000000">
                  <w:pPr>
                    <w:adjustRightInd w:val="0"/>
                    <w:snapToGrid w:val="0"/>
                    <w:jc w:val="center"/>
                    <w:rPr>
                      <w:rFonts w:eastAsia="Arial Unicode MS"/>
                      <w:b/>
                      <w:bCs/>
                      <w:sz w:val="18"/>
                      <w:szCs w:val="18"/>
                    </w:rPr>
                  </w:pPr>
                  <w:r>
                    <w:rPr>
                      <w:rFonts w:hint="eastAsia"/>
                      <w:sz w:val="18"/>
                      <w:szCs w:val="18"/>
                    </w:rPr>
                    <w:t>28.99</w:t>
                  </w:r>
                </w:p>
              </w:tc>
              <w:tc>
                <w:tcPr>
                  <w:tcW w:w="504" w:type="pct"/>
                  <w:vMerge w:val="restart"/>
                  <w:tcBorders>
                    <w:top w:val="single" w:sz="4" w:space="0" w:color="auto"/>
                    <w:left w:val="single" w:sz="4" w:space="0" w:color="auto"/>
                    <w:right w:val="nil"/>
                  </w:tcBorders>
                  <w:vAlign w:val="center"/>
                </w:tcPr>
                <w:p w14:paraId="1530E9BA" w14:textId="77777777" w:rsidR="00F76A63" w:rsidRDefault="00000000">
                  <w:pPr>
                    <w:adjustRightInd w:val="0"/>
                    <w:snapToGrid w:val="0"/>
                    <w:jc w:val="center"/>
                    <w:rPr>
                      <w:sz w:val="18"/>
                      <w:szCs w:val="18"/>
                    </w:rPr>
                  </w:pPr>
                  <w:r>
                    <w:rPr>
                      <w:sz w:val="18"/>
                      <w:szCs w:val="18"/>
                    </w:rPr>
                    <w:t>/</w:t>
                  </w:r>
                </w:p>
              </w:tc>
            </w:tr>
            <w:tr w:rsidR="00F76A63" w14:paraId="47571D2E" w14:textId="77777777">
              <w:trPr>
                <w:trHeight w:val="340"/>
                <w:jc w:val="center"/>
              </w:trPr>
              <w:tc>
                <w:tcPr>
                  <w:tcW w:w="422" w:type="pct"/>
                  <w:vMerge/>
                  <w:tcBorders>
                    <w:left w:val="nil"/>
                    <w:right w:val="single" w:sz="4" w:space="0" w:color="auto"/>
                  </w:tcBorders>
                  <w:vAlign w:val="center"/>
                </w:tcPr>
                <w:p w14:paraId="17E4152F"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40D7A87"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34224757"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2179439"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7D9E0A59" w14:textId="77777777" w:rsidR="00F76A63" w:rsidRDefault="00000000">
                  <w:pPr>
                    <w:adjustRightInd w:val="0"/>
                    <w:snapToGrid w:val="0"/>
                    <w:jc w:val="center"/>
                    <w:rPr>
                      <w:rFonts w:eastAsia="Arial Unicode MS"/>
                      <w:sz w:val="18"/>
                      <w:szCs w:val="18"/>
                    </w:rPr>
                  </w:pPr>
                  <w:r>
                    <w:rPr>
                      <w:rFonts w:hint="eastAsia"/>
                      <w:sz w:val="18"/>
                      <w:szCs w:val="18"/>
                    </w:rPr>
                    <w:t>2.68</w:t>
                  </w:r>
                </w:p>
              </w:tc>
              <w:tc>
                <w:tcPr>
                  <w:tcW w:w="668" w:type="pct"/>
                  <w:tcBorders>
                    <w:top w:val="single" w:sz="4" w:space="0" w:color="auto"/>
                    <w:left w:val="single" w:sz="4" w:space="0" w:color="auto"/>
                    <w:bottom w:val="single" w:sz="4" w:space="0" w:color="auto"/>
                    <w:right w:val="single" w:sz="4" w:space="0" w:color="auto"/>
                  </w:tcBorders>
                  <w:vAlign w:val="center"/>
                </w:tcPr>
                <w:p w14:paraId="32FFE8A7" w14:textId="77777777" w:rsidR="00F76A63" w:rsidRDefault="00000000">
                  <w:pPr>
                    <w:adjustRightInd w:val="0"/>
                    <w:snapToGrid w:val="0"/>
                    <w:jc w:val="center"/>
                    <w:rPr>
                      <w:rFonts w:eastAsia="Arial Unicode MS"/>
                      <w:sz w:val="18"/>
                      <w:szCs w:val="18"/>
                    </w:rPr>
                  </w:pPr>
                  <w:r>
                    <w:rPr>
                      <w:rFonts w:hint="eastAsia"/>
                      <w:sz w:val="18"/>
                      <w:szCs w:val="18"/>
                    </w:rPr>
                    <w:t>28.18</w:t>
                  </w:r>
                </w:p>
              </w:tc>
              <w:tc>
                <w:tcPr>
                  <w:tcW w:w="707" w:type="pct"/>
                  <w:tcBorders>
                    <w:top w:val="single" w:sz="4" w:space="0" w:color="auto"/>
                    <w:left w:val="single" w:sz="4" w:space="0" w:color="auto"/>
                    <w:bottom w:val="single" w:sz="4" w:space="0" w:color="auto"/>
                    <w:right w:val="single" w:sz="4" w:space="0" w:color="auto"/>
                  </w:tcBorders>
                  <w:vAlign w:val="center"/>
                </w:tcPr>
                <w:p w14:paraId="1E8D0CF0" w14:textId="77777777" w:rsidR="00F76A63" w:rsidRDefault="00000000">
                  <w:pPr>
                    <w:adjustRightInd w:val="0"/>
                    <w:snapToGrid w:val="0"/>
                    <w:jc w:val="center"/>
                    <w:rPr>
                      <w:rFonts w:eastAsia="Arial Unicode MS"/>
                      <w:b/>
                      <w:bCs/>
                      <w:sz w:val="18"/>
                      <w:szCs w:val="18"/>
                    </w:rPr>
                  </w:pPr>
                  <w:r>
                    <w:rPr>
                      <w:rFonts w:hint="eastAsia"/>
                      <w:sz w:val="18"/>
                      <w:szCs w:val="18"/>
                    </w:rPr>
                    <w:t>48.80</w:t>
                  </w:r>
                </w:p>
              </w:tc>
              <w:tc>
                <w:tcPr>
                  <w:tcW w:w="504" w:type="pct"/>
                  <w:vMerge/>
                  <w:tcBorders>
                    <w:left w:val="single" w:sz="4" w:space="0" w:color="auto"/>
                    <w:right w:val="nil"/>
                  </w:tcBorders>
                  <w:vAlign w:val="center"/>
                </w:tcPr>
                <w:p w14:paraId="2436047E" w14:textId="77777777" w:rsidR="00F76A63" w:rsidRDefault="00F76A63">
                  <w:pPr>
                    <w:adjustRightInd w:val="0"/>
                    <w:snapToGrid w:val="0"/>
                    <w:jc w:val="center"/>
                    <w:rPr>
                      <w:sz w:val="18"/>
                      <w:szCs w:val="18"/>
                    </w:rPr>
                  </w:pPr>
                </w:p>
              </w:tc>
            </w:tr>
            <w:tr w:rsidR="00F76A63" w14:paraId="04530FB1" w14:textId="77777777">
              <w:trPr>
                <w:trHeight w:val="340"/>
                <w:jc w:val="center"/>
              </w:trPr>
              <w:tc>
                <w:tcPr>
                  <w:tcW w:w="422" w:type="pct"/>
                  <w:vMerge/>
                  <w:tcBorders>
                    <w:left w:val="nil"/>
                    <w:right w:val="single" w:sz="4" w:space="0" w:color="auto"/>
                  </w:tcBorders>
                  <w:vAlign w:val="center"/>
                </w:tcPr>
                <w:p w14:paraId="74074B85"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56E9170A"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4725BFDC"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E3E43FA"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05C27443" w14:textId="77777777" w:rsidR="00F76A63" w:rsidRDefault="00000000">
                  <w:pPr>
                    <w:adjustRightInd w:val="0"/>
                    <w:snapToGrid w:val="0"/>
                    <w:jc w:val="center"/>
                    <w:rPr>
                      <w:rFonts w:eastAsia="Arial Unicode MS"/>
                      <w:sz w:val="18"/>
                      <w:szCs w:val="18"/>
                    </w:rPr>
                  </w:pPr>
                  <w:r>
                    <w:rPr>
                      <w:rFonts w:hint="eastAsia"/>
                      <w:sz w:val="18"/>
                      <w:szCs w:val="18"/>
                    </w:rPr>
                    <w:t>0.77</w:t>
                  </w:r>
                </w:p>
              </w:tc>
              <w:tc>
                <w:tcPr>
                  <w:tcW w:w="668" w:type="pct"/>
                  <w:tcBorders>
                    <w:top w:val="single" w:sz="4" w:space="0" w:color="auto"/>
                    <w:left w:val="single" w:sz="4" w:space="0" w:color="auto"/>
                    <w:bottom w:val="single" w:sz="4" w:space="0" w:color="auto"/>
                    <w:right w:val="single" w:sz="4" w:space="0" w:color="auto"/>
                  </w:tcBorders>
                  <w:vAlign w:val="center"/>
                </w:tcPr>
                <w:p w14:paraId="0FF2E8CA" w14:textId="77777777" w:rsidR="00F76A63" w:rsidRDefault="00000000">
                  <w:pPr>
                    <w:adjustRightInd w:val="0"/>
                    <w:snapToGrid w:val="0"/>
                    <w:jc w:val="center"/>
                    <w:rPr>
                      <w:rFonts w:eastAsia="Arial Unicode MS"/>
                      <w:sz w:val="18"/>
                      <w:szCs w:val="18"/>
                    </w:rPr>
                  </w:pPr>
                  <w:r>
                    <w:rPr>
                      <w:rFonts w:hint="eastAsia"/>
                      <w:sz w:val="18"/>
                      <w:szCs w:val="18"/>
                    </w:rPr>
                    <w:t>0.33</w:t>
                  </w:r>
                </w:p>
              </w:tc>
              <w:tc>
                <w:tcPr>
                  <w:tcW w:w="707" w:type="pct"/>
                  <w:tcBorders>
                    <w:top w:val="single" w:sz="4" w:space="0" w:color="auto"/>
                    <w:left w:val="single" w:sz="4" w:space="0" w:color="auto"/>
                    <w:bottom w:val="single" w:sz="4" w:space="0" w:color="auto"/>
                    <w:right w:val="single" w:sz="4" w:space="0" w:color="auto"/>
                  </w:tcBorders>
                  <w:vAlign w:val="center"/>
                </w:tcPr>
                <w:p w14:paraId="74D93491" w14:textId="77777777" w:rsidR="00F76A63" w:rsidRDefault="00000000">
                  <w:pPr>
                    <w:adjustRightInd w:val="0"/>
                    <w:snapToGrid w:val="0"/>
                    <w:jc w:val="center"/>
                    <w:rPr>
                      <w:rFonts w:eastAsia="Arial Unicode MS"/>
                      <w:b/>
                      <w:bCs/>
                      <w:sz w:val="18"/>
                      <w:szCs w:val="18"/>
                    </w:rPr>
                  </w:pPr>
                  <w:r>
                    <w:rPr>
                      <w:rFonts w:hint="eastAsia"/>
                      <w:sz w:val="18"/>
                      <w:szCs w:val="18"/>
                    </w:rPr>
                    <w:t>7.34</w:t>
                  </w:r>
                </w:p>
              </w:tc>
              <w:tc>
                <w:tcPr>
                  <w:tcW w:w="504" w:type="pct"/>
                  <w:vMerge/>
                  <w:tcBorders>
                    <w:left w:val="single" w:sz="4" w:space="0" w:color="auto"/>
                    <w:bottom w:val="single" w:sz="4" w:space="0" w:color="auto"/>
                    <w:right w:val="nil"/>
                  </w:tcBorders>
                  <w:vAlign w:val="center"/>
                </w:tcPr>
                <w:p w14:paraId="4BC29ECE" w14:textId="77777777" w:rsidR="00F76A63" w:rsidRDefault="00F76A63">
                  <w:pPr>
                    <w:adjustRightInd w:val="0"/>
                    <w:snapToGrid w:val="0"/>
                    <w:jc w:val="center"/>
                    <w:rPr>
                      <w:sz w:val="18"/>
                      <w:szCs w:val="18"/>
                    </w:rPr>
                  </w:pPr>
                </w:p>
              </w:tc>
            </w:tr>
            <w:tr w:rsidR="00F76A63" w14:paraId="3E8044C1" w14:textId="77777777">
              <w:trPr>
                <w:trHeight w:val="340"/>
                <w:jc w:val="center"/>
              </w:trPr>
              <w:tc>
                <w:tcPr>
                  <w:tcW w:w="422" w:type="pct"/>
                  <w:vMerge/>
                  <w:tcBorders>
                    <w:left w:val="nil"/>
                    <w:right w:val="single" w:sz="4" w:space="0" w:color="auto"/>
                  </w:tcBorders>
                  <w:vAlign w:val="center"/>
                </w:tcPr>
                <w:p w14:paraId="018DBE64"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35CDA193" w14:textId="77777777" w:rsidR="00F76A63" w:rsidRDefault="00000000">
                  <w:pPr>
                    <w:adjustRightInd w:val="0"/>
                    <w:snapToGrid w:val="0"/>
                    <w:jc w:val="center"/>
                    <w:rPr>
                      <w:sz w:val="18"/>
                      <w:szCs w:val="18"/>
                    </w:rPr>
                  </w:pPr>
                  <w:r>
                    <w:rPr>
                      <w:rFonts w:hint="eastAsia"/>
                      <w:sz w:val="18"/>
                      <w:szCs w:val="18"/>
                    </w:rPr>
                    <w:t>202404</w:t>
                  </w:r>
                </w:p>
              </w:tc>
              <w:tc>
                <w:tcPr>
                  <w:tcW w:w="978" w:type="pct"/>
                  <w:vMerge w:val="restart"/>
                  <w:tcBorders>
                    <w:top w:val="single" w:sz="4" w:space="0" w:color="auto"/>
                    <w:left w:val="single" w:sz="4" w:space="0" w:color="auto"/>
                    <w:right w:val="single" w:sz="4" w:space="0" w:color="auto"/>
                  </w:tcBorders>
                  <w:vAlign w:val="center"/>
                </w:tcPr>
                <w:p w14:paraId="2CBC546E" w14:textId="77777777" w:rsidR="00F76A63" w:rsidRDefault="00000000">
                  <w:pPr>
                    <w:widowControl/>
                    <w:jc w:val="center"/>
                    <w:rPr>
                      <w:sz w:val="18"/>
                      <w:szCs w:val="18"/>
                    </w:rPr>
                  </w:pPr>
                  <w:r>
                    <w:rPr>
                      <w:sz w:val="18"/>
                      <w:szCs w:val="18"/>
                    </w:rPr>
                    <w:t>654110.06</w:t>
                  </w:r>
                </w:p>
              </w:tc>
              <w:tc>
                <w:tcPr>
                  <w:tcW w:w="546" w:type="pct"/>
                  <w:tcBorders>
                    <w:top w:val="single" w:sz="4" w:space="0" w:color="auto"/>
                    <w:left w:val="single" w:sz="4" w:space="0" w:color="auto"/>
                    <w:bottom w:val="single" w:sz="4" w:space="0" w:color="auto"/>
                    <w:right w:val="single" w:sz="4" w:space="0" w:color="auto"/>
                  </w:tcBorders>
                  <w:vAlign w:val="center"/>
                </w:tcPr>
                <w:p w14:paraId="4FFFBE9A"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13FEE18" w14:textId="77777777" w:rsidR="00F76A63" w:rsidRDefault="00000000">
                  <w:pPr>
                    <w:adjustRightInd w:val="0"/>
                    <w:snapToGrid w:val="0"/>
                    <w:jc w:val="center"/>
                    <w:rPr>
                      <w:rFonts w:eastAsia="Arial Unicode MS"/>
                      <w:sz w:val="18"/>
                      <w:szCs w:val="18"/>
                    </w:rPr>
                  </w:pPr>
                  <w:r>
                    <w:rPr>
                      <w:rFonts w:hint="eastAsia"/>
                      <w:sz w:val="18"/>
                      <w:szCs w:val="18"/>
                    </w:rPr>
                    <w:t>1.17</w:t>
                  </w:r>
                </w:p>
              </w:tc>
              <w:tc>
                <w:tcPr>
                  <w:tcW w:w="668" w:type="pct"/>
                  <w:tcBorders>
                    <w:top w:val="single" w:sz="4" w:space="0" w:color="auto"/>
                    <w:left w:val="single" w:sz="4" w:space="0" w:color="auto"/>
                    <w:bottom w:val="single" w:sz="4" w:space="0" w:color="auto"/>
                    <w:right w:val="single" w:sz="4" w:space="0" w:color="auto"/>
                  </w:tcBorders>
                  <w:vAlign w:val="center"/>
                </w:tcPr>
                <w:p w14:paraId="2C9DC186" w14:textId="77777777" w:rsidR="00F76A63" w:rsidRDefault="00000000">
                  <w:pPr>
                    <w:adjustRightInd w:val="0"/>
                    <w:snapToGrid w:val="0"/>
                    <w:jc w:val="center"/>
                    <w:rPr>
                      <w:rFonts w:eastAsia="Arial Unicode MS"/>
                      <w:sz w:val="18"/>
                      <w:szCs w:val="18"/>
                    </w:rPr>
                  </w:pPr>
                  <w:r>
                    <w:rPr>
                      <w:rFonts w:hint="eastAsia"/>
                      <w:sz w:val="18"/>
                      <w:szCs w:val="18"/>
                    </w:rPr>
                    <w:t>0.88</w:t>
                  </w:r>
                </w:p>
              </w:tc>
              <w:tc>
                <w:tcPr>
                  <w:tcW w:w="707" w:type="pct"/>
                  <w:tcBorders>
                    <w:top w:val="single" w:sz="4" w:space="0" w:color="auto"/>
                    <w:left w:val="single" w:sz="4" w:space="0" w:color="auto"/>
                    <w:bottom w:val="single" w:sz="4" w:space="0" w:color="auto"/>
                    <w:right w:val="single" w:sz="4" w:space="0" w:color="auto"/>
                  </w:tcBorders>
                  <w:vAlign w:val="center"/>
                </w:tcPr>
                <w:p w14:paraId="3B15EB00" w14:textId="77777777" w:rsidR="00F76A63" w:rsidRDefault="00000000">
                  <w:pPr>
                    <w:adjustRightInd w:val="0"/>
                    <w:snapToGrid w:val="0"/>
                    <w:jc w:val="center"/>
                    <w:rPr>
                      <w:rFonts w:eastAsia="Arial Unicode MS"/>
                      <w:b/>
                      <w:bCs/>
                      <w:sz w:val="18"/>
                      <w:szCs w:val="18"/>
                    </w:rPr>
                  </w:pPr>
                  <w:r>
                    <w:rPr>
                      <w:rFonts w:hint="eastAsia"/>
                      <w:sz w:val="18"/>
                      <w:szCs w:val="18"/>
                    </w:rPr>
                    <w:t>29.30</w:t>
                  </w:r>
                </w:p>
              </w:tc>
              <w:tc>
                <w:tcPr>
                  <w:tcW w:w="504" w:type="pct"/>
                  <w:vMerge w:val="restart"/>
                  <w:tcBorders>
                    <w:top w:val="single" w:sz="4" w:space="0" w:color="auto"/>
                    <w:left w:val="single" w:sz="4" w:space="0" w:color="auto"/>
                    <w:right w:val="nil"/>
                  </w:tcBorders>
                  <w:vAlign w:val="center"/>
                </w:tcPr>
                <w:p w14:paraId="52E5371D" w14:textId="77777777" w:rsidR="00F76A63" w:rsidRDefault="00000000">
                  <w:pPr>
                    <w:adjustRightInd w:val="0"/>
                    <w:snapToGrid w:val="0"/>
                    <w:jc w:val="center"/>
                    <w:rPr>
                      <w:sz w:val="18"/>
                      <w:szCs w:val="18"/>
                    </w:rPr>
                  </w:pPr>
                  <w:r>
                    <w:rPr>
                      <w:sz w:val="18"/>
                      <w:szCs w:val="18"/>
                    </w:rPr>
                    <w:t>/</w:t>
                  </w:r>
                </w:p>
              </w:tc>
            </w:tr>
            <w:tr w:rsidR="00F76A63" w14:paraId="5CA6B0E1" w14:textId="77777777">
              <w:trPr>
                <w:trHeight w:val="340"/>
                <w:jc w:val="center"/>
              </w:trPr>
              <w:tc>
                <w:tcPr>
                  <w:tcW w:w="422" w:type="pct"/>
                  <w:vMerge/>
                  <w:tcBorders>
                    <w:left w:val="nil"/>
                    <w:right w:val="single" w:sz="4" w:space="0" w:color="auto"/>
                  </w:tcBorders>
                  <w:vAlign w:val="center"/>
                </w:tcPr>
                <w:p w14:paraId="59DA6532"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A691B23"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1D42DDBE"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9417534"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4F3A01B0" w14:textId="77777777" w:rsidR="00F76A63" w:rsidRDefault="00000000">
                  <w:pPr>
                    <w:adjustRightInd w:val="0"/>
                    <w:snapToGrid w:val="0"/>
                    <w:jc w:val="center"/>
                    <w:rPr>
                      <w:rFonts w:eastAsia="Arial Unicode MS"/>
                      <w:sz w:val="18"/>
                      <w:szCs w:val="18"/>
                    </w:rPr>
                  </w:pPr>
                  <w:r>
                    <w:rPr>
                      <w:rFonts w:hint="eastAsia"/>
                      <w:sz w:val="18"/>
                      <w:szCs w:val="18"/>
                    </w:rPr>
                    <w:t>1.40</w:t>
                  </w:r>
                </w:p>
              </w:tc>
              <w:tc>
                <w:tcPr>
                  <w:tcW w:w="668" w:type="pct"/>
                  <w:tcBorders>
                    <w:top w:val="single" w:sz="4" w:space="0" w:color="auto"/>
                    <w:left w:val="single" w:sz="4" w:space="0" w:color="auto"/>
                    <w:bottom w:val="single" w:sz="4" w:space="0" w:color="auto"/>
                    <w:right w:val="single" w:sz="4" w:space="0" w:color="auto"/>
                  </w:tcBorders>
                  <w:vAlign w:val="center"/>
                </w:tcPr>
                <w:p w14:paraId="7F5FA6CF" w14:textId="77777777" w:rsidR="00F76A63" w:rsidRDefault="00000000">
                  <w:pPr>
                    <w:adjustRightInd w:val="0"/>
                    <w:snapToGrid w:val="0"/>
                    <w:jc w:val="center"/>
                    <w:rPr>
                      <w:rFonts w:eastAsia="Arial Unicode MS"/>
                      <w:sz w:val="18"/>
                      <w:szCs w:val="18"/>
                    </w:rPr>
                  </w:pPr>
                  <w:r>
                    <w:rPr>
                      <w:rFonts w:hint="eastAsia"/>
                      <w:sz w:val="18"/>
                      <w:szCs w:val="18"/>
                    </w:rPr>
                    <w:t>8.39</w:t>
                  </w:r>
                </w:p>
              </w:tc>
              <w:tc>
                <w:tcPr>
                  <w:tcW w:w="707" w:type="pct"/>
                  <w:tcBorders>
                    <w:top w:val="single" w:sz="4" w:space="0" w:color="auto"/>
                    <w:left w:val="single" w:sz="4" w:space="0" w:color="auto"/>
                    <w:bottom w:val="single" w:sz="4" w:space="0" w:color="auto"/>
                    <w:right w:val="single" w:sz="4" w:space="0" w:color="auto"/>
                  </w:tcBorders>
                  <w:vAlign w:val="center"/>
                </w:tcPr>
                <w:p w14:paraId="138F464B" w14:textId="77777777" w:rsidR="00F76A63" w:rsidRDefault="00000000">
                  <w:pPr>
                    <w:adjustRightInd w:val="0"/>
                    <w:snapToGrid w:val="0"/>
                    <w:jc w:val="center"/>
                    <w:rPr>
                      <w:rFonts w:eastAsia="Arial Unicode MS"/>
                      <w:b/>
                      <w:bCs/>
                      <w:sz w:val="18"/>
                      <w:szCs w:val="18"/>
                    </w:rPr>
                  </w:pPr>
                  <w:r>
                    <w:rPr>
                      <w:rFonts w:hint="eastAsia"/>
                      <w:sz w:val="18"/>
                      <w:szCs w:val="18"/>
                    </w:rPr>
                    <w:t>44.67</w:t>
                  </w:r>
                </w:p>
              </w:tc>
              <w:tc>
                <w:tcPr>
                  <w:tcW w:w="504" w:type="pct"/>
                  <w:vMerge/>
                  <w:tcBorders>
                    <w:left w:val="single" w:sz="4" w:space="0" w:color="auto"/>
                    <w:right w:val="nil"/>
                  </w:tcBorders>
                  <w:vAlign w:val="center"/>
                </w:tcPr>
                <w:p w14:paraId="7A885EB8" w14:textId="77777777" w:rsidR="00F76A63" w:rsidRDefault="00F76A63">
                  <w:pPr>
                    <w:adjustRightInd w:val="0"/>
                    <w:snapToGrid w:val="0"/>
                    <w:jc w:val="center"/>
                    <w:rPr>
                      <w:sz w:val="18"/>
                      <w:szCs w:val="18"/>
                    </w:rPr>
                  </w:pPr>
                </w:p>
              </w:tc>
            </w:tr>
            <w:tr w:rsidR="00F76A63" w14:paraId="4BC785D5" w14:textId="77777777">
              <w:trPr>
                <w:trHeight w:val="340"/>
                <w:jc w:val="center"/>
              </w:trPr>
              <w:tc>
                <w:tcPr>
                  <w:tcW w:w="422" w:type="pct"/>
                  <w:vMerge/>
                  <w:tcBorders>
                    <w:left w:val="nil"/>
                    <w:right w:val="single" w:sz="4" w:space="0" w:color="auto"/>
                  </w:tcBorders>
                  <w:vAlign w:val="center"/>
                </w:tcPr>
                <w:p w14:paraId="01DC8148"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03585CF5"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6FF2E684"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48239AC"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22EB6369" w14:textId="77777777" w:rsidR="00F76A63" w:rsidRDefault="00000000">
                  <w:pPr>
                    <w:adjustRightInd w:val="0"/>
                    <w:snapToGrid w:val="0"/>
                    <w:jc w:val="center"/>
                    <w:rPr>
                      <w:rFonts w:eastAsia="Arial Unicode MS"/>
                      <w:sz w:val="18"/>
                      <w:szCs w:val="18"/>
                    </w:rPr>
                  </w:pPr>
                  <w:r>
                    <w:rPr>
                      <w:rFonts w:hint="eastAsia"/>
                      <w:sz w:val="18"/>
                      <w:szCs w:val="18"/>
                    </w:rPr>
                    <w:t>1.04</w:t>
                  </w:r>
                </w:p>
              </w:tc>
              <w:tc>
                <w:tcPr>
                  <w:tcW w:w="668" w:type="pct"/>
                  <w:tcBorders>
                    <w:top w:val="single" w:sz="4" w:space="0" w:color="auto"/>
                    <w:left w:val="single" w:sz="4" w:space="0" w:color="auto"/>
                    <w:bottom w:val="single" w:sz="4" w:space="0" w:color="auto"/>
                    <w:right w:val="single" w:sz="4" w:space="0" w:color="auto"/>
                  </w:tcBorders>
                  <w:vAlign w:val="center"/>
                </w:tcPr>
                <w:p w14:paraId="3B518A83" w14:textId="77777777" w:rsidR="00F76A63" w:rsidRDefault="00000000">
                  <w:pPr>
                    <w:adjustRightInd w:val="0"/>
                    <w:snapToGrid w:val="0"/>
                    <w:jc w:val="center"/>
                    <w:rPr>
                      <w:rFonts w:eastAsia="Arial Unicode MS"/>
                      <w:sz w:val="18"/>
                      <w:szCs w:val="18"/>
                    </w:rPr>
                  </w:pPr>
                  <w:r>
                    <w:rPr>
                      <w:rFonts w:hint="eastAsia"/>
                      <w:sz w:val="18"/>
                      <w:szCs w:val="18"/>
                    </w:rPr>
                    <w:t>0.33</w:t>
                  </w:r>
                </w:p>
              </w:tc>
              <w:tc>
                <w:tcPr>
                  <w:tcW w:w="707" w:type="pct"/>
                  <w:tcBorders>
                    <w:top w:val="single" w:sz="4" w:space="0" w:color="auto"/>
                    <w:left w:val="single" w:sz="4" w:space="0" w:color="auto"/>
                    <w:bottom w:val="single" w:sz="4" w:space="0" w:color="auto"/>
                    <w:right w:val="single" w:sz="4" w:space="0" w:color="auto"/>
                  </w:tcBorders>
                  <w:vAlign w:val="center"/>
                </w:tcPr>
                <w:p w14:paraId="423B957D" w14:textId="77777777" w:rsidR="00F76A63" w:rsidRDefault="00000000">
                  <w:pPr>
                    <w:adjustRightInd w:val="0"/>
                    <w:snapToGrid w:val="0"/>
                    <w:jc w:val="center"/>
                    <w:rPr>
                      <w:rFonts w:eastAsia="Arial Unicode MS"/>
                      <w:b/>
                      <w:bCs/>
                      <w:sz w:val="18"/>
                      <w:szCs w:val="18"/>
                    </w:rPr>
                  </w:pPr>
                  <w:r>
                    <w:rPr>
                      <w:rFonts w:hint="eastAsia"/>
                      <w:sz w:val="18"/>
                      <w:szCs w:val="18"/>
                    </w:rPr>
                    <w:t>4.47</w:t>
                  </w:r>
                </w:p>
              </w:tc>
              <w:tc>
                <w:tcPr>
                  <w:tcW w:w="504" w:type="pct"/>
                  <w:vMerge/>
                  <w:tcBorders>
                    <w:left w:val="single" w:sz="4" w:space="0" w:color="auto"/>
                    <w:bottom w:val="single" w:sz="4" w:space="0" w:color="auto"/>
                    <w:right w:val="nil"/>
                  </w:tcBorders>
                  <w:vAlign w:val="center"/>
                </w:tcPr>
                <w:p w14:paraId="02E2A458" w14:textId="77777777" w:rsidR="00F76A63" w:rsidRDefault="00F76A63">
                  <w:pPr>
                    <w:adjustRightInd w:val="0"/>
                    <w:snapToGrid w:val="0"/>
                    <w:jc w:val="center"/>
                    <w:rPr>
                      <w:sz w:val="18"/>
                      <w:szCs w:val="18"/>
                    </w:rPr>
                  </w:pPr>
                </w:p>
              </w:tc>
            </w:tr>
            <w:tr w:rsidR="00F76A63" w14:paraId="2CBCC0C0" w14:textId="77777777">
              <w:trPr>
                <w:trHeight w:val="340"/>
                <w:jc w:val="center"/>
              </w:trPr>
              <w:tc>
                <w:tcPr>
                  <w:tcW w:w="422" w:type="pct"/>
                  <w:vMerge/>
                  <w:tcBorders>
                    <w:left w:val="nil"/>
                    <w:right w:val="single" w:sz="4" w:space="0" w:color="auto"/>
                  </w:tcBorders>
                  <w:vAlign w:val="center"/>
                </w:tcPr>
                <w:p w14:paraId="40660942"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257E0165" w14:textId="77777777" w:rsidR="00F76A63" w:rsidRDefault="00000000">
                  <w:pPr>
                    <w:adjustRightInd w:val="0"/>
                    <w:snapToGrid w:val="0"/>
                    <w:jc w:val="center"/>
                    <w:rPr>
                      <w:sz w:val="18"/>
                      <w:szCs w:val="18"/>
                    </w:rPr>
                  </w:pPr>
                  <w:r>
                    <w:rPr>
                      <w:rFonts w:hint="eastAsia"/>
                      <w:sz w:val="18"/>
                      <w:szCs w:val="18"/>
                    </w:rPr>
                    <w:t>202405</w:t>
                  </w:r>
                </w:p>
              </w:tc>
              <w:tc>
                <w:tcPr>
                  <w:tcW w:w="978" w:type="pct"/>
                  <w:vMerge w:val="restart"/>
                  <w:tcBorders>
                    <w:top w:val="single" w:sz="4" w:space="0" w:color="auto"/>
                    <w:left w:val="single" w:sz="4" w:space="0" w:color="auto"/>
                    <w:right w:val="single" w:sz="4" w:space="0" w:color="auto"/>
                  </w:tcBorders>
                  <w:vAlign w:val="center"/>
                </w:tcPr>
                <w:p w14:paraId="6E08400D" w14:textId="77777777" w:rsidR="00F76A63" w:rsidRDefault="00000000">
                  <w:pPr>
                    <w:widowControl/>
                    <w:jc w:val="center"/>
                    <w:rPr>
                      <w:sz w:val="18"/>
                      <w:szCs w:val="18"/>
                    </w:rPr>
                  </w:pPr>
                  <w:r>
                    <w:rPr>
                      <w:sz w:val="18"/>
                      <w:szCs w:val="18"/>
                    </w:rPr>
                    <w:t>608410.514</w:t>
                  </w:r>
                </w:p>
              </w:tc>
              <w:tc>
                <w:tcPr>
                  <w:tcW w:w="546" w:type="pct"/>
                  <w:tcBorders>
                    <w:top w:val="single" w:sz="4" w:space="0" w:color="auto"/>
                    <w:left w:val="single" w:sz="4" w:space="0" w:color="auto"/>
                    <w:bottom w:val="single" w:sz="4" w:space="0" w:color="auto"/>
                    <w:right w:val="single" w:sz="4" w:space="0" w:color="auto"/>
                  </w:tcBorders>
                  <w:vAlign w:val="center"/>
                </w:tcPr>
                <w:p w14:paraId="4D8E340C"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636F9DFA" w14:textId="77777777" w:rsidR="00F76A63" w:rsidRDefault="00000000">
                  <w:pPr>
                    <w:adjustRightInd w:val="0"/>
                    <w:snapToGrid w:val="0"/>
                    <w:jc w:val="center"/>
                    <w:rPr>
                      <w:rFonts w:eastAsia="Arial Unicode MS"/>
                      <w:sz w:val="18"/>
                      <w:szCs w:val="18"/>
                    </w:rPr>
                  </w:pPr>
                  <w:r>
                    <w:rPr>
                      <w:rFonts w:eastAsia="微软雅黑"/>
                      <w:sz w:val="18"/>
                      <w:szCs w:val="18"/>
                    </w:rPr>
                    <w:t>1.682</w:t>
                  </w:r>
                </w:p>
              </w:tc>
              <w:tc>
                <w:tcPr>
                  <w:tcW w:w="668" w:type="pct"/>
                  <w:tcBorders>
                    <w:top w:val="single" w:sz="4" w:space="0" w:color="auto"/>
                    <w:left w:val="single" w:sz="4" w:space="0" w:color="auto"/>
                    <w:bottom w:val="single" w:sz="4" w:space="0" w:color="auto"/>
                    <w:right w:val="single" w:sz="4" w:space="0" w:color="auto"/>
                  </w:tcBorders>
                  <w:vAlign w:val="center"/>
                </w:tcPr>
                <w:p w14:paraId="4C0C760F" w14:textId="77777777" w:rsidR="00F76A63" w:rsidRDefault="00000000">
                  <w:pPr>
                    <w:adjustRightInd w:val="0"/>
                    <w:snapToGrid w:val="0"/>
                    <w:jc w:val="center"/>
                    <w:rPr>
                      <w:rFonts w:eastAsia="Arial Unicode MS"/>
                      <w:sz w:val="18"/>
                      <w:szCs w:val="18"/>
                    </w:rPr>
                  </w:pPr>
                  <w:r>
                    <w:rPr>
                      <w:rFonts w:eastAsia="Arial Unicode MS"/>
                      <w:sz w:val="18"/>
                      <w:szCs w:val="18"/>
                    </w:rPr>
                    <w:t>0.33</w:t>
                  </w:r>
                </w:p>
              </w:tc>
              <w:tc>
                <w:tcPr>
                  <w:tcW w:w="707" w:type="pct"/>
                  <w:tcBorders>
                    <w:top w:val="single" w:sz="4" w:space="0" w:color="auto"/>
                    <w:left w:val="single" w:sz="4" w:space="0" w:color="auto"/>
                    <w:bottom w:val="single" w:sz="4" w:space="0" w:color="auto"/>
                    <w:right w:val="single" w:sz="4" w:space="0" w:color="auto"/>
                  </w:tcBorders>
                  <w:vAlign w:val="center"/>
                </w:tcPr>
                <w:p w14:paraId="1519E90E" w14:textId="77777777" w:rsidR="00F76A63" w:rsidRDefault="00000000">
                  <w:pPr>
                    <w:adjustRightInd w:val="0"/>
                    <w:snapToGrid w:val="0"/>
                    <w:jc w:val="center"/>
                    <w:rPr>
                      <w:rFonts w:eastAsia="Arial Unicode MS"/>
                      <w:b/>
                      <w:bCs/>
                      <w:sz w:val="18"/>
                      <w:szCs w:val="18"/>
                    </w:rPr>
                  </w:pPr>
                  <w:r>
                    <w:rPr>
                      <w:sz w:val="18"/>
                      <w:szCs w:val="18"/>
                    </w:rPr>
                    <w:t>37.282</w:t>
                  </w:r>
                </w:p>
              </w:tc>
              <w:tc>
                <w:tcPr>
                  <w:tcW w:w="504" w:type="pct"/>
                  <w:vMerge w:val="restart"/>
                  <w:tcBorders>
                    <w:top w:val="single" w:sz="4" w:space="0" w:color="auto"/>
                    <w:left w:val="single" w:sz="4" w:space="0" w:color="auto"/>
                    <w:right w:val="nil"/>
                  </w:tcBorders>
                  <w:vAlign w:val="center"/>
                </w:tcPr>
                <w:p w14:paraId="1E0E7C21" w14:textId="77777777" w:rsidR="00F76A63" w:rsidRDefault="00000000">
                  <w:pPr>
                    <w:adjustRightInd w:val="0"/>
                    <w:snapToGrid w:val="0"/>
                    <w:jc w:val="center"/>
                    <w:rPr>
                      <w:sz w:val="18"/>
                      <w:szCs w:val="18"/>
                    </w:rPr>
                  </w:pPr>
                  <w:r>
                    <w:rPr>
                      <w:sz w:val="18"/>
                      <w:szCs w:val="18"/>
                    </w:rPr>
                    <w:t>/</w:t>
                  </w:r>
                </w:p>
              </w:tc>
            </w:tr>
            <w:tr w:rsidR="00F76A63" w14:paraId="61C1F4E9" w14:textId="77777777">
              <w:trPr>
                <w:trHeight w:val="340"/>
                <w:jc w:val="center"/>
              </w:trPr>
              <w:tc>
                <w:tcPr>
                  <w:tcW w:w="422" w:type="pct"/>
                  <w:vMerge/>
                  <w:tcBorders>
                    <w:left w:val="nil"/>
                    <w:right w:val="single" w:sz="4" w:space="0" w:color="auto"/>
                  </w:tcBorders>
                  <w:vAlign w:val="center"/>
                </w:tcPr>
                <w:p w14:paraId="603B5985"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5FE62000"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1A66944B"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C53B11F"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1BEF516" w14:textId="77777777" w:rsidR="00F76A63" w:rsidRDefault="00000000">
                  <w:pPr>
                    <w:adjustRightInd w:val="0"/>
                    <w:snapToGrid w:val="0"/>
                    <w:jc w:val="center"/>
                    <w:rPr>
                      <w:rFonts w:eastAsia="Arial Unicode MS"/>
                      <w:sz w:val="18"/>
                      <w:szCs w:val="18"/>
                    </w:rPr>
                  </w:pPr>
                  <w:r>
                    <w:rPr>
                      <w:rFonts w:eastAsia="微软雅黑"/>
                      <w:sz w:val="18"/>
                      <w:szCs w:val="18"/>
                    </w:rPr>
                    <w:t>2.192</w:t>
                  </w:r>
                </w:p>
              </w:tc>
              <w:tc>
                <w:tcPr>
                  <w:tcW w:w="668" w:type="pct"/>
                  <w:tcBorders>
                    <w:top w:val="single" w:sz="4" w:space="0" w:color="auto"/>
                    <w:left w:val="single" w:sz="4" w:space="0" w:color="auto"/>
                    <w:bottom w:val="single" w:sz="4" w:space="0" w:color="auto"/>
                    <w:right w:val="single" w:sz="4" w:space="0" w:color="auto"/>
                  </w:tcBorders>
                  <w:vAlign w:val="center"/>
                </w:tcPr>
                <w:p w14:paraId="75CD2C86" w14:textId="77777777" w:rsidR="00F76A63" w:rsidRDefault="00000000">
                  <w:pPr>
                    <w:adjustRightInd w:val="0"/>
                    <w:snapToGrid w:val="0"/>
                    <w:jc w:val="center"/>
                    <w:rPr>
                      <w:rFonts w:eastAsia="Arial Unicode MS"/>
                      <w:sz w:val="18"/>
                      <w:szCs w:val="18"/>
                    </w:rPr>
                  </w:pPr>
                  <w:r>
                    <w:rPr>
                      <w:rFonts w:eastAsia="微软雅黑"/>
                      <w:sz w:val="18"/>
                      <w:szCs w:val="18"/>
                    </w:rPr>
                    <w:t>1.699</w:t>
                  </w:r>
                </w:p>
              </w:tc>
              <w:tc>
                <w:tcPr>
                  <w:tcW w:w="707" w:type="pct"/>
                  <w:tcBorders>
                    <w:top w:val="single" w:sz="4" w:space="0" w:color="auto"/>
                    <w:left w:val="single" w:sz="4" w:space="0" w:color="auto"/>
                    <w:bottom w:val="single" w:sz="4" w:space="0" w:color="auto"/>
                    <w:right w:val="single" w:sz="4" w:space="0" w:color="auto"/>
                  </w:tcBorders>
                  <w:vAlign w:val="center"/>
                </w:tcPr>
                <w:p w14:paraId="5B320138" w14:textId="77777777" w:rsidR="00F76A63" w:rsidRDefault="00000000">
                  <w:pPr>
                    <w:adjustRightInd w:val="0"/>
                    <w:snapToGrid w:val="0"/>
                    <w:jc w:val="center"/>
                    <w:rPr>
                      <w:rFonts w:eastAsia="Arial Unicode MS"/>
                      <w:b/>
                      <w:bCs/>
                      <w:sz w:val="18"/>
                      <w:szCs w:val="18"/>
                    </w:rPr>
                  </w:pPr>
                  <w:r>
                    <w:rPr>
                      <w:sz w:val="18"/>
                      <w:szCs w:val="18"/>
                    </w:rPr>
                    <w:t>49.948</w:t>
                  </w:r>
                </w:p>
              </w:tc>
              <w:tc>
                <w:tcPr>
                  <w:tcW w:w="504" w:type="pct"/>
                  <w:vMerge/>
                  <w:tcBorders>
                    <w:left w:val="single" w:sz="4" w:space="0" w:color="auto"/>
                    <w:right w:val="nil"/>
                  </w:tcBorders>
                  <w:vAlign w:val="center"/>
                </w:tcPr>
                <w:p w14:paraId="2865BAF4" w14:textId="77777777" w:rsidR="00F76A63" w:rsidRDefault="00F76A63">
                  <w:pPr>
                    <w:adjustRightInd w:val="0"/>
                    <w:snapToGrid w:val="0"/>
                    <w:jc w:val="center"/>
                    <w:rPr>
                      <w:sz w:val="18"/>
                      <w:szCs w:val="18"/>
                    </w:rPr>
                  </w:pPr>
                </w:p>
              </w:tc>
            </w:tr>
            <w:tr w:rsidR="00F76A63" w14:paraId="0A93D898" w14:textId="77777777">
              <w:trPr>
                <w:trHeight w:val="184"/>
                <w:jc w:val="center"/>
              </w:trPr>
              <w:tc>
                <w:tcPr>
                  <w:tcW w:w="422" w:type="pct"/>
                  <w:vMerge/>
                  <w:tcBorders>
                    <w:left w:val="nil"/>
                    <w:right w:val="single" w:sz="4" w:space="0" w:color="auto"/>
                  </w:tcBorders>
                  <w:vAlign w:val="center"/>
                </w:tcPr>
                <w:p w14:paraId="68DD796A"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1387D17E"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5C7C9D86"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3B3F3D9"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99EA154" w14:textId="77777777" w:rsidR="00F76A63" w:rsidRDefault="00000000">
                  <w:pPr>
                    <w:adjustRightInd w:val="0"/>
                    <w:snapToGrid w:val="0"/>
                    <w:jc w:val="center"/>
                    <w:rPr>
                      <w:rFonts w:eastAsia="Arial Unicode MS"/>
                      <w:sz w:val="18"/>
                      <w:szCs w:val="18"/>
                    </w:rPr>
                  </w:pPr>
                  <w:r>
                    <w:rPr>
                      <w:rFonts w:eastAsia="Arial Unicode MS"/>
                      <w:sz w:val="18"/>
                      <w:szCs w:val="18"/>
                    </w:rPr>
                    <w:t>1.122</w:t>
                  </w:r>
                </w:p>
              </w:tc>
              <w:tc>
                <w:tcPr>
                  <w:tcW w:w="668" w:type="pct"/>
                  <w:tcBorders>
                    <w:top w:val="single" w:sz="4" w:space="0" w:color="auto"/>
                    <w:left w:val="single" w:sz="4" w:space="0" w:color="auto"/>
                    <w:bottom w:val="single" w:sz="4" w:space="0" w:color="auto"/>
                    <w:right w:val="single" w:sz="4" w:space="0" w:color="auto"/>
                  </w:tcBorders>
                  <w:vAlign w:val="center"/>
                </w:tcPr>
                <w:p w14:paraId="759FD0A7" w14:textId="77777777" w:rsidR="00F76A63" w:rsidRDefault="00000000">
                  <w:pPr>
                    <w:adjustRightInd w:val="0"/>
                    <w:snapToGrid w:val="0"/>
                    <w:jc w:val="center"/>
                    <w:rPr>
                      <w:rFonts w:eastAsia="Arial Unicode MS"/>
                      <w:sz w:val="18"/>
                      <w:szCs w:val="18"/>
                    </w:rPr>
                  </w:pPr>
                  <w:r>
                    <w:rPr>
                      <w:rFonts w:eastAsia="微软雅黑"/>
                      <w:sz w:val="18"/>
                      <w:szCs w:val="18"/>
                    </w:rPr>
                    <w:t>33.061</w:t>
                  </w:r>
                </w:p>
              </w:tc>
              <w:tc>
                <w:tcPr>
                  <w:tcW w:w="707" w:type="pct"/>
                  <w:tcBorders>
                    <w:top w:val="single" w:sz="4" w:space="0" w:color="auto"/>
                    <w:left w:val="single" w:sz="4" w:space="0" w:color="auto"/>
                    <w:bottom w:val="single" w:sz="4" w:space="0" w:color="auto"/>
                    <w:right w:val="single" w:sz="4" w:space="0" w:color="auto"/>
                  </w:tcBorders>
                  <w:vAlign w:val="center"/>
                </w:tcPr>
                <w:p w14:paraId="0F149F44" w14:textId="77777777" w:rsidR="00F76A63" w:rsidRDefault="00000000">
                  <w:pPr>
                    <w:adjustRightInd w:val="0"/>
                    <w:snapToGrid w:val="0"/>
                    <w:jc w:val="center"/>
                    <w:rPr>
                      <w:rFonts w:eastAsia="Arial Unicode MS"/>
                      <w:b/>
                      <w:bCs/>
                      <w:sz w:val="18"/>
                      <w:szCs w:val="18"/>
                    </w:rPr>
                  </w:pPr>
                  <w:r>
                    <w:rPr>
                      <w:sz w:val="18"/>
                      <w:szCs w:val="18"/>
                    </w:rPr>
                    <w:t>6.02</w:t>
                  </w:r>
                </w:p>
              </w:tc>
              <w:tc>
                <w:tcPr>
                  <w:tcW w:w="504" w:type="pct"/>
                  <w:vMerge/>
                  <w:tcBorders>
                    <w:left w:val="single" w:sz="4" w:space="0" w:color="auto"/>
                    <w:bottom w:val="single" w:sz="4" w:space="0" w:color="auto"/>
                    <w:right w:val="nil"/>
                  </w:tcBorders>
                  <w:vAlign w:val="center"/>
                </w:tcPr>
                <w:p w14:paraId="252EAC47" w14:textId="77777777" w:rsidR="00F76A63" w:rsidRDefault="00F76A63">
                  <w:pPr>
                    <w:adjustRightInd w:val="0"/>
                    <w:snapToGrid w:val="0"/>
                    <w:jc w:val="center"/>
                    <w:rPr>
                      <w:sz w:val="18"/>
                      <w:szCs w:val="18"/>
                    </w:rPr>
                  </w:pPr>
                </w:p>
              </w:tc>
            </w:tr>
            <w:tr w:rsidR="00F76A63" w14:paraId="746A2B1E" w14:textId="77777777">
              <w:trPr>
                <w:trHeight w:val="340"/>
                <w:jc w:val="center"/>
              </w:trPr>
              <w:tc>
                <w:tcPr>
                  <w:tcW w:w="422" w:type="pct"/>
                  <w:vMerge/>
                  <w:tcBorders>
                    <w:left w:val="nil"/>
                    <w:right w:val="single" w:sz="4" w:space="0" w:color="auto"/>
                  </w:tcBorders>
                  <w:vAlign w:val="center"/>
                </w:tcPr>
                <w:p w14:paraId="64E8E68E"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55E1BD49" w14:textId="77777777" w:rsidR="00F76A63" w:rsidRDefault="00000000">
                  <w:pPr>
                    <w:adjustRightInd w:val="0"/>
                    <w:snapToGrid w:val="0"/>
                    <w:jc w:val="center"/>
                    <w:rPr>
                      <w:sz w:val="18"/>
                      <w:szCs w:val="18"/>
                    </w:rPr>
                  </w:pPr>
                  <w:r>
                    <w:rPr>
                      <w:rFonts w:hint="eastAsia"/>
                      <w:sz w:val="18"/>
                      <w:szCs w:val="18"/>
                    </w:rPr>
                    <w:t>202406</w:t>
                  </w:r>
                </w:p>
              </w:tc>
              <w:tc>
                <w:tcPr>
                  <w:tcW w:w="978" w:type="pct"/>
                  <w:vMerge w:val="restart"/>
                  <w:tcBorders>
                    <w:top w:val="single" w:sz="4" w:space="0" w:color="auto"/>
                    <w:left w:val="single" w:sz="4" w:space="0" w:color="auto"/>
                    <w:right w:val="single" w:sz="4" w:space="0" w:color="auto"/>
                  </w:tcBorders>
                  <w:vAlign w:val="center"/>
                </w:tcPr>
                <w:p w14:paraId="50278258" w14:textId="77777777" w:rsidR="00F76A63" w:rsidRDefault="00000000">
                  <w:pPr>
                    <w:widowControl/>
                    <w:jc w:val="center"/>
                    <w:rPr>
                      <w:sz w:val="18"/>
                      <w:szCs w:val="18"/>
                    </w:rPr>
                  </w:pPr>
                  <w:r>
                    <w:rPr>
                      <w:sz w:val="18"/>
                      <w:szCs w:val="18"/>
                    </w:rPr>
                    <w:t>575212.80</w:t>
                  </w:r>
                </w:p>
              </w:tc>
              <w:tc>
                <w:tcPr>
                  <w:tcW w:w="546" w:type="pct"/>
                  <w:tcBorders>
                    <w:top w:val="single" w:sz="4" w:space="0" w:color="auto"/>
                    <w:left w:val="single" w:sz="4" w:space="0" w:color="auto"/>
                    <w:bottom w:val="single" w:sz="4" w:space="0" w:color="auto"/>
                    <w:right w:val="single" w:sz="4" w:space="0" w:color="auto"/>
                  </w:tcBorders>
                  <w:vAlign w:val="center"/>
                </w:tcPr>
                <w:p w14:paraId="16C0483B" w14:textId="77777777" w:rsidR="00F76A63" w:rsidRDefault="00000000">
                  <w:pPr>
                    <w:adjustRightInd w:val="0"/>
                    <w:snapToGrid w:val="0"/>
                    <w:jc w:val="center"/>
                    <w:rPr>
                      <w:sz w:val="18"/>
                      <w:szCs w:val="18"/>
                    </w:rPr>
                  </w:pPr>
                  <w:r>
                    <w:rPr>
                      <w:rFonts w:ascii="宋体" w:hAnsi="宋体" w:hint="eastAsia"/>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699FC63D" w14:textId="77777777" w:rsidR="00F76A63" w:rsidRDefault="00000000">
                  <w:pPr>
                    <w:adjustRightInd w:val="0"/>
                    <w:snapToGrid w:val="0"/>
                    <w:jc w:val="center"/>
                    <w:rPr>
                      <w:rFonts w:eastAsia="Arial Unicode MS"/>
                      <w:sz w:val="18"/>
                      <w:szCs w:val="18"/>
                    </w:rPr>
                  </w:pPr>
                  <w:r>
                    <w:rPr>
                      <w:sz w:val="18"/>
                      <w:szCs w:val="18"/>
                    </w:rPr>
                    <w:t>1.92</w:t>
                  </w:r>
                </w:p>
              </w:tc>
              <w:tc>
                <w:tcPr>
                  <w:tcW w:w="668" w:type="pct"/>
                  <w:tcBorders>
                    <w:top w:val="single" w:sz="4" w:space="0" w:color="auto"/>
                    <w:left w:val="single" w:sz="4" w:space="0" w:color="auto"/>
                    <w:bottom w:val="single" w:sz="4" w:space="0" w:color="auto"/>
                    <w:right w:val="single" w:sz="4" w:space="0" w:color="auto"/>
                  </w:tcBorders>
                  <w:vAlign w:val="center"/>
                </w:tcPr>
                <w:p w14:paraId="318504F4" w14:textId="77777777" w:rsidR="00F76A63" w:rsidRDefault="00000000">
                  <w:pPr>
                    <w:adjustRightInd w:val="0"/>
                    <w:snapToGrid w:val="0"/>
                    <w:jc w:val="center"/>
                    <w:rPr>
                      <w:rFonts w:eastAsia="Arial Unicode MS"/>
                      <w:sz w:val="18"/>
                      <w:szCs w:val="18"/>
                    </w:rPr>
                  </w:pPr>
                  <w:r>
                    <w:rPr>
                      <w:sz w:val="18"/>
                      <w:szCs w:val="18"/>
                    </w:rPr>
                    <w:t>2.13</w:t>
                  </w:r>
                </w:p>
              </w:tc>
              <w:tc>
                <w:tcPr>
                  <w:tcW w:w="707" w:type="pct"/>
                  <w:tcBorders>
                    <w:top w:val="single" w:sz="4" w:space="0" w:color="auto"/>
                    <w:left w:val="single" w:sz="4" w:space="0" w:color="auto"/>
                    <w:bottom w:val="single" w:sz="4" w:space="0" w:color="auto"/>
                    <w:right w:val="single" w:sz="4" w:space="0" w:color="auto"/>
                  </w:tcBorders>
                  <w:vAlign w:val="center"/>
                </w:tcPr>
                <w:p w14:paraId="571BC29B" w14:textId="77777777" w:rsidR="00F76A63" w:rsidRDefault="00000000">
                  <w:pPr>
                    <w:adjustRightInd w:val="0"/>
                    <w:snapToGrid w:val="0"/>
                    <w:jc w:val="center"/>
                    <w:rPr>
                      <w:rFonts w:eastAsia="Arial Unicode MS"/>
                      <w:b/>
                      <w:bCs/>
                      <w:sz w:val="18"/>
                      <w:szCs w:val="18"/>
                    </w:rPr>
                  </w:pPr>
                  <w:r>
                    <w:rPr>
                      <w:sz w:val="18"/>
                      <w:szCs w:val="18"/>
                    </w:rPr>
                    <w:t>44.39</w:t>
                  </w:r>
                </w:p>
              </w:tc>
              <w:tc>
                <w:tcPr>
                  <w:tcW w:w="504" w:type="pct"/>
                  <w:vMerge w:val="restart"/>
                  <w:tcBorders>
                    <w:top w:val="single" w:sz="4" w:space="0" w:color="auto"/>
                    <w:left w:val="single" w:sz="4" w:space="0" w:color="auto"/>
                    <w:right w:val="nil"/>
                  </w:tcBorders>
                  <w:vAlign w:val="center"/>
                </w:tcPr>
                <w:p w14:paraId="5F059677" w14:textId="77777777" w:rsidR="00F76A63" w:rsidRDefault="00000000">
                  <w:pPr>
                    <w:adjustRightInd w:val="0"/>
                    <w:snapToGrid w:val="0"/>
                    <w:jc w:val="center"/>
                    <w:rPr>
                      <w:sz w:val="18"/>
                      <w:szCs w:val="18"/>
                    </w:rPr>
                  </w:pPr>
                  <w:r>
                    <w:rPr>
                      <w:sz w:val="18"/>
                      <w:szCs w:val="18"/>
                    </w:rPr>
                    <w:t>/</w:t>
                  </w:r>
                </w:p>
              </w:tc>
            </w:tr>
            <w:tr w:rsidR="00F76A63" w14:paraId="19F2AC26" w14:textId="77777777">
              <w:trPr>
                <w:trHeight w:val="340"/>
                <w:jc w:val="center"/>
              </w:trPr>
              <w:tc>
                <w:tcPr>
                  <w:tcW w:w="422" w:type="pct"/>
                  <w:vMerge/>
                  <w:tcBorders>
                    <w:left w:val="nil"/>
                    <w:right w:val="single" w:sz="4" w:space="0" w:color="auto"/>
                  </w:tcBorders>
                  <w:vAlign w:val="center"/>
                </w:tcPr>
                <w:p w14:paraId="28052093"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67BF78D9"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378C07AE"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20F78CD" w14:textId="77777777" w:rsidR="00F76A63" w:rsidRDefault="00000000">
                  <w:pPr>
                    <w:adjustRightInd w:val="0"/>
                    <w:snapToGrid w:val="0"/>
                    <w:jc w:val="center"/>
                    <w:rPr>
                      <w:sz w:val="18"/>
                      <w:szCs w:val="18"/>
                    </w:rPr>
                  </w:pPr>
                  <w:r>
                    <w:rPr>
                      <w:rFonts w:ascii="宋体" w:hAnsi="宋体"/>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769A1B19" w14:textId="77777777" w:rsidR="00F76A63" w:rsidRDefault="00000000">
                  <w:pPr>
                    <w:adjustRightInd w:val="0"/>
                    <w:snapToGrid w:val="0"/>
                    <w:jc w:val="center"/>
                    <w:rPr>
                      <w:rFonts w:eastAsia="Arial Unicode MS"/>
                      <w:sz w:val="18"/>
                      <w:szCs w:val="18"/>
                    </w:rPr>
                  </w:pPr>
                  <w:r>
                    <w:rPr>
                      <w:sz w:val="18"/>
                      <w:szCs w:val="18"/>
                    </w:rPr>
                    <w:t>2.22</w:t>
                  </w:r>
                </w:p>
              </w:tc>
              <w:tc>
                <w:tcPr>
                  <w:tcW w:w="668" w:type="pct"/>
                  <w:tcBorders>
                    <w:top w:val="single" w:sz="4" w:space="0" w:color="auto"/>
                    <w:left w:val="single" w:sz="4" w:space="0" w:color="auto"/>
                    <w:bottom w:val="single" w:sz="4" w:space="0" w:color="auto"/>
                    <w:right w:val="single" w:sz="4" w:space="0" w:color="auto"/>
                  </w:tcBorders>
                  <w:vAlign w:val="center"/>
                </w:tcPr>
                <w:p w14:paraId="110E8AFE" w14:textId="77777777" w:rsidR="00F76A63" w:rsidRDefault="00000000">
                  <w:pPr>
                    <w:adjustRightInd w:val="0"/>
                    <w:snapToGrid w:val="0"/>
                    <w:jc w:val="center"/>
                    <w:rPr>
                      <w:rFonts w:eastAsia="Arial Unicode MS"/>
                      <w:sz w:val="18"/>
                      <w:szCs w:val="18"/>
                    </w:rPr>
                  </w:pPr>
                  <w:r>
                    <w:rPr>
                      <w:sz w:val="18"/>
                      <w:szCs w:val="18"/>
                    </w:rPr>
                    <w:t>21.61</w:t>
                  </w:r>
                </w:p>
              </w:tc>
              <w:tc>
                <w:tcPr>
                  <w:tcW w:w="707" w:type="pct"/>
                  <w:tcBorders>
                    <w:top w:val="single" w:sz="4" w:space="0" w:color="auto"/>
                    <w:left w:val="single" w:sz="4" w:space="0" w:color="auto"/>
                    <w:bottom w:val="single" w:sz="4" w:space="0" w:color="auto"/>
                    <w:right w:val="single" w:sz="4" w:space="0" w:color="auto"/>
                  </w:tcBorders>
                  <w:vAlign w:val="center"/>
                </w:tcPr>
                <w:p w14:paraId="75F6DDF4" w14:textId="77777777" w:rsidR="00F76A63" w:rsidRDefault="00000000">
                  <w:pPr>
                    <w:adjustRightInd w:val="0"/>
                    <w:snapToGrid w:val="0"/>
                    <w:jc w:val="center"/>
                    <w:rPr>
                      <w:rFonts w:eastAsia="Arial Unicode MS"/>
                      <w:b/>
                      <w:bCs/>
                      <w:sz w:val="18"/>
                      <w:szCs w:val="18"/>
                    </w:rPr>
                  </w:pPr>
                  <w:r>
                    <w:rPr>
                      <w:sz w:val="18"/>
                      <w:szCs w:val="18"/>
                    </w:rPr>
                    <w:t>49.93</w:t>
                  </w:r>
                </w:p>
              </w:tc>
              <w:tc>
                <w:tcPr>
                  <w:tcW w:w="504" w:type="pct"/>
                  <w:vMerge/>
                  <w:tcBorders>
                    <w:left w:val="single" w:sz="4" w:space="0" w:color="auto"/>
                    <w:right w:val="nil"/>
                  </w:tcBorders>
                  <w:vAlign w:val="center"/>
                </w:tcPr>
                <w:p w14:paraId="1AADD5E0" w14:textId="77777777" w:rsidR="00F76A63" w:rsidRDefault="00F76A63">
                  <w:pPr>
                    <w:adjustRightInd w:val="0"/>
                    <w:snapToGrid w:val="0"/>
                    <w:jc w:val="center"/>
                    <w:rPr>
                      <w:sz w:val="18"/>
                      <w:szCs w:val="18"/>
                    </w:rPr>
                  </w:pPr>
                </w:p>
              </w:tc>
            </w:tr>
            <w:tr w:rsidR="00F76A63" w14:paraId="3E0FD80E" w14:textId="77777777">
              <w:trPr>
                <w:trHeight w:val="340"/>
                <w:jc w:val="center"/>
              </w:trPr>
              <w:tc>
                <w:tcPr>
                  <w:tcW w:w="422" w:type="pct"/>
                  <w:vMerge/>
                  <w:tcBorders>
                    <w:left w:val="nil"/>
                    <w:right w:val="single" w:sz="4" w:space="0" w:color="auto"/>
                  </w:tcBorders>
                  <w:vAlign w:val="center"/>
                </w:tcPr>
                <w:p w14:paraId="0DC2E302"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088B75DB"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693519E3" w14:textId="77777777" w:rsidR="00F76A63" w:rsidRDefault="00F76A63">
                  <w:pPr>
                    <w:widowControl/>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52F16AC" w14:textId="77777777" w:rsidR="00F76A63" w:rsidRDefault="00000000">
                  <w:pPr>
                    <w:adjustRightInd w:val="0"/>
                    <w:snapToGrid w:val="0"/>
                    <w:jc w:val="center"/>
                    <w:rPr>
                      <w:sz w:val="18"/>
                      <w:szCs w:val="18"/>
                    </w:rPr>
                  </w:pPr>
                  <w:r>
                    <w:rPr>
                      <w:rFonts w:ascii="宋体" w:hAnsi="宋体" w:hint="eastAsia"/>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6A858BF7" w14:textId="77777777" w:rsidR="00F76A63" w:rsidRDefault="00000000">
                  <w:pPr>
                    <w:adjustRightInd w:val="0"/>
                    <w:snapToGrid w:val="0"/>
                    <w:jc w:val="center"/>
                    <w:rPr>
                      <w:rFonts w:eastAsia="Arial Unicode MS"/>
                      <w:sz w:val="18"/>
                      <w:szCs w:val="18"/>
                    </w:rPr>
                  </w:pPr>
                  <w:r>
                    <w:rPr>
                      <w:sz w:val="18"/>
                      <w:szCs w:val="18"/>
                    </w:rPr>
                    <w:t>1.82</w:t>
                  </w:r>
                </w:p>
              </w:tc>
              <w:tc>
                <w:tcPr>
                  <w:tcW w:w="668" w:type="pct"/>
                  <w:tcBorders>
                    <w:top w:val="single" w:sz="4" w:space="0" w:color="auto"/>
                    <w:left w:val="single" w:sz="4" w:space="0" w:color="auto"/>
                    <w:bottom w:val="single" w:sz="4" w:space="0" w:color="auto"/>
                    <w:right w:val="single" w:sz="4" w:space="0" w:color="auto"/>
                  </w:tcBorders>
                  <w:vAlign w:val="center"/>
                </w:tcPr>
                <w:p w14:paraId="20576783" w14:textId="77777777" w:rsidR="00F76A63" w:rsidRDefault="00000000">
                  <w:pPr>
                    <w:adjustRightInd w:val="0"/>
                    <w:snapToGrid w:val="0"/>
                    <w:jc w:val="center"/>
                    <w:rPr>
                      <w:rFonts w:eastAsia="Arial Unicode MS"/>
                      <w:sz w:val="18"/>
                      <w:szCs w:val="18"/>
                    </w:rPr>
                  </w:pPr>
                  <w:r>
                    <w:rPr>
                      <w:sz w:val="18"/>
                      <w:szCs w:val="18"/>
                    </w:rPr>
                    <w:t>0.33</w:t>
                  </w:r>
                </w:p>
              </w:tc>
              <w:tc>
                <w:tcPr>
                  <w:tcW w:w="707" w:type="pct"/>
                  <w:tcBorders>
                    <w:top w:val="single" w:sz="4" w:space="0" w:color="auto"/>
                    <w:left w:val="single" w:sz="4" w:space="0" w:color="auto"/>
                    <w:bottom w:val="single" w:sz="4" w:space="0" w:color="auto"/>
                    <w:right w:val="single" w:sz="4" w:space="0" w:color="auto"/>
                  </w:tcBorders>
                  <w:vAlign w:val="center"/>
                </w:tcPr>
                <w:p w14:paraId="542ACBD4" w14:textId="77777777" w:rsidR="00F76A63" w:rsidRDefault="00000000">
                  <w:pPr>
                    <w:adjustRightInd w:val="0"/>
                    <w:snapToGrid w:val="0"/>
                    <w:jc w:val="center"/>
                    <w:rPr>
                      <w:rFonts w:eastAsia="Arial Unicode MS"/>
                      <w:b/>
                      <w:bCs/>
                      <w:sz w:val="18"/>
                      <w:szCs w:val="18"/>
                    </w:rPr>
                  </w:pPr>
                  <w:r>
                    <w:rPr>
                      <w:sz w:val="18"/>
                      <w:szCs w:val="18"/>
                    </w:rPr>
                    <w:t>21.24</w:t>
                  </w:r>
                </w:p>
              </w:tc>
              <w:tc>
                <w:tcPr>
                  <w:tcW w:w="504" w:type="pct"/>
                  <w:vMerge/>
                  <w:tcBorders>
                    <w:left w:val="single" w:sz="4" w:space="0" w:color="auto"/>
                    <w:bottom w:val="single" w:sz="4" w:space="0" w:color="auto"/>
                    <w:right w:val="nil"/>
                  </w:tcBorders>
                  <w:vAlign w:val="center"/>
                </w:tcPr>
                <w:p w14:paraId="08DA698C" w14:textId="77777777" w:rsidR="00F76A63" w:rsidRDefault="00F76A63">
                  <w:pPr>
                    <w:adjustRightInd w:val="0"/>
                    <w:snapToGrid w:val="0"/>
                    <w:jc w:val="center"/>
                    <w:rPr>
                      <w:sz w:val="18"/>
                      <w:szCs w:val="18"/>
                    </w:rPr>
                  </w:pPr>
                </w:p>
              </w:tc>
            </w:tr>
            <w:tr w:rsidR="00F76A63" w14:paraId="3EA80BE0" w14:textId="77777777">
              <w:trPr>
                <w:trHeight w:val="340"/>
                <w:jc w:val="center"/>
              </w:trPr>
              <w:tc>
                <w:tcPr>
                  <w:tcW w:w="422" w:type="pct"/>
                  <w:vMerge/>
                  <w:tcBorders>
                    <w:left w:val="nil"/>
                    <w:right w:val="single" w:sz="4" w:space="0" w:color="auto"/>
                  </w:tcBorders>
                  <w:vAlign w:val="center"/>
                </w:tcPr>
                <w:p w14:paraId="00E073C5"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3DC60882" w14:textId="77777777" w:rsidR="00F76A63" w:rsidRDefault="00000000">
                  <w:pPr>
                    <w:adjustRightInd w:val="0"/>
                    <w:snapToGrid w:val="0"/>
                    <w:jc w:val="center"/>
                    <w:rPr>
                      <w:sz w:val="18"/>
                      <w:szCs w:val="18"/>
                    </w:rPr>
                  </w:pPr>
                  <w:r>
                    <w:rPr>
                      <w:sz w:val="18"/>
                      <w:szCs w:val="18"/>
                    </w:rPr>
                    <w:t>202407</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7141490D" w14:textId="77777777" w:rsidR="00F76A63" w:rsidRDefault="00000000">
                  <w:pPr>
                    <w:widowControl/>
                    <w:jc w:val="center"/>
                    <w:rPr>
                      <w:kern w:val="0"/>
                      <w:sz w:val="18"/>
                      <w:szCs w:val="18"/>
                    </w:rPr>
                  </w:pPr>
                  <w:r>
                    <w:rPr>
                      <w:sz w:val="18"/>
                      <w:szCs w:val="18"/>
                    </w:rPr>
                    <w:t>473651.44</w:t>
                  </w:r>
                </w:p>
              </w:tc>
              <w:tc>
                <w:tcPr>
                  <w:tcW w:w="546" w:type="pct"/>
                  <w:tcBorders>
                    <w:top w:val="single" w:sz="4" w:space="0" w:color="auto"/>
                    <w:left w:val="single" w:sz="4" w:space="0" w:color="auto"/>
                    <w:bottom w:val="single" w:sz="4" w:space="0" w:color="auto"/>
                    <w:right w:val="single" w:sz="4" w:space="0" w:color="auto"/>
                  </w:tcBorders>
                  <w:vAlign w:val="center"/>
                </w:tcPr>
                <w:p w14:paraId="709C7D9E"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3E8C0704" w14:textId="77777777" w:rsidR="00F76A63" w:rsidRDefault="00000000">
                  <w:pPr>
                    <w:adjustRightInd w:val="0"/>
                    <w:snapToGrid w:val="0"/>
                    <w:jc w:val="center"/>
                    <w:rPr>
                      <w:sz w:val="18"/>
                      <w:szCs w:val="18"/>
                    </w:rPr>
                  </w:pPr>
                  <w:r>
                    <w:rPr>
                      <w:rFonts w:eastAsia="Arial Unicode MS"/>
                      <w:sz w:val="18"/>
                      <w:szCs w:val="18"/>
                    </w:rPr>
                    <w:t>4.30</w:t>
                  </w:r>
                </w:p>
              </w:tc>
              <w:tc>
                <w:tcPr>
                  <w:tcW w:w="668" w:type="pct"/>
                  <w:tcBorders>
                    <w:top w:val="single" w:sz="4" w:space="0" w:color="auto"/>
                    <w:left w:val="single" w:sz="4" w:space="0" w:color="auto"/>
                    <w:bottom w:val="single" w:sz="4" w:space="0" w:color="auto"/>
                    <w:right w:val="single" w:sz="4" w:space="0" w:color="auto"/>
                  </w:tcBorders>
                  <w:vAlign w:val="center"/>
                </w:tcPr>
                <w:p w14:paraId="1CF5FE98" w14:textId="77777777" w:rsidR="00F76A63" w:rsidRDefault="00000000">
                  <w:pPr>
                    <w:adjustRightInd w:val="0"/>
                    <w:snapToGrid w:val="0"/>
                    <w:jc w:val="center"/>
                    <w:rPr>
                      <w:sz w:val="18"/>
                      <w:szCs w:val="18"/>
                    </w:rPr>
                  </w:pPr>
                  <w:r>
                    <w:rPr>
                      <w:rFonts w:eastAsia="Arial Unicode MS"/>
                      <w:sz w:val="18"/>
                      <w:szCs w:val="18"/>
                    </w:rPr>
                    <w:t>6.90</w:t>
                  </w:r>
                </w:p>
              </w:tc>
              <w:tc>
                <w:tcPr>
                  <w:tcW w:w="707" w:type="pct"/>
                  <w:tcBorders>
                    <w:top w:val="single" w:sz="4" w:space="0" w:color="auto"/>
                    <w:left w:val="single" w:sz="4" w:space="0" w:color="auto"/>
                    <w:bottom w:val="single" w:sz="4" w:space="0" w:color="auto"/>
                    <w:right w:val="single" w:sz="4" w:space="0" w:color="auto"/>
                  </w:tcBorders>
                  <w:vAlign w:val="center"/>
                </w:tcPr>
                <w:p w14:paraId="2434D467" w14:textId="77777777" w:rsidR="00F76A63" w:rsidRDefault="00000000">
                  <w:pPr>
                    <w:adjustRightInd w:val="0"/>
                    <w:snapToGrid w:val="0"/>
                    <w:jc w:val="center"/>
                    <w:rPr>
                      <w:b/>
                      <w:bCs/>
                      <w:sz w:val="18"/>
                      <w:szCs w:val="18"/>
                    </w:rPr>
                  </w:pPr>
                  <w:r>
                    <w:rPr>
                      <w:rFonts w:eastAsia="Arial Unicode MS"/>
                      <w:b/>
                      <w:bCs/>
                      <w:sz w:val="18"/>
                      <w:szCs w:val="18"/>
                    </w:rPr>
                    <w:t>69.91</w:t>
                  </w:r>
                </w:p>
              </w:tc>
              <w:tc>
                <w:tcPr>
                  <w:tcW w:w="504" w:type="pct"/>
                  <w:vMerge w:val="restart"/>
                  <w:tcBorders>
                    <w:top w:val="single" w:sz="4" w:space="0" w:color="auto"/>
                    <w:left w:val="single" w:sz="4" w:space="0" w:color="auto"/>
                    <w:bottom w:val="single" w:sz="4" w:space="0" w:color="auto"/>
                    <w:right w:val="nil"/>
                  </w:tcBorders>
                  <w:vAlign w:val="center"/>
                </w:tcPr>
                <w:p w14:paraId="19C53C53" w14:textId="77777777" w:rsidR="00F76A63" w:rsidRDefault="00000000">
                  <w:pPr>
                    <w:adjustRightInd w:val="0"/>
                    <w:snapToGrid w:val="0"/>
                    <w:jc w:val="center"/>
                    <w:rPr>
                      <w:sz w:val="18"/>
                      <w:szCs w:val="18"/>
                    </w:rPr>
                  </w:pPr>
                  <w:r>
                    <w:rPr>
                      <w:sz w:val="18"/>
                      <w:szCs w:val="18"/>
                    </w:rPr>
                    <w:t>/</w:t>
                  </w:r>
                </w:p>
              </w:tc>
            </w:tr>
            <w:tr w:rsidR="00F76A63" w14:paraId="2C0D5DCC" w14:textId="77777777">
              <w:trPr>
                <w:trHeight w:val="340"/>
                <w:jc w:val="center"/>
              </w:trPr>
              <w:tc>
                <w:tcPr>
                  <w:tcW w:w="422" w:type="pct"/>
                  <w:vMerge/>
                  <w:tcBorders>
                    <w:left w:val="nil"/>
                    <w:right w:val="single" w:sz="4" w:space="0" w:color="auto"/>
                  </w:tcBorders>
                  <w:vAlign w:val="center"/>
                </w:tcPr>
                <w:p w14:paraId="4FDC7467"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76A8010"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2BBFCE30"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855E23F"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1D590C9" w14:textId="77777777" w:rsidR="00F76A63" w:rsidRDefault="00000000">
                  <w:pPr>
                    <w:adjustRightInd w:val="0"/>
                    <w:snapToGrid w:val="0"/>
                    <w:jc w:val="center"/>
                    <w:rPr>
                      <w:sz w:val="18"/>
                      <w:szCs w:val="18"/>
                    </w:rPr>
                  </w:pPr>
                  <w:r>
                    <w:rPr>
                      <w:rFonts w:eastAsia="Arial Unicode MS"/>
                      <w:sz w:val="18"/>
                      <w:szCs w:val="18"/>
                    </w:rPr>
                    <w:t>0.94</w:t>
                  </w:r>
                </w:p>
              </w:tc>
              <w:tc>
                <w:tcPr>
                  <w:tcW w:w="668" w:type="pct"/>
                  <w:tcBorders>
                    <w:top w:val="single" w:sz="4" w:space="0" w:color="auto"/>
                    <w:left w:val="single" w:sz="4" w:space="0" w:color="auto"/>
                    <w:bottom w:val="single" w:sz="4" w:space="0" w:color="auto"/>
                    <w:right w:val="single" w:sz="4" w:space="0" w:color="auto"/>
                  </w:tcBorders>
                  <w:vAlign w:val="center"/>
                </w:tcPr>
                <w:p w14:paraId="49203946" w14:textId="77777777" w:rsidR="00F76A63" w:rsidRDefault="00000000">
                  <w:pPr>
                    <w:adjustRightInd w:val="0"/>
                    <w:snapToGrid w:val="0"/>
                    <w:jc w:val="center"/>
                    <w:rPr>
                      <w:sz w:val="18"/>
                      <w:szCs w:val="18"/>
                    </w:rPr>
                  </w:pPr>
                  <w:r>
                    <w:rPr>
                      <w:rFonts w:eastAsia="Arial Unicode MS"/>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74420C7E" w14:textId="77777777" w:rsidR="00F76A63" w:rsidRDefault="00000000">
                  <w:pPr>
                    <w:adjustRightInd w:val="0"/>
                    <w:snapToGrid w:val="0"/>
                    <w:jc w:val="center"/>
                    <w:rPr>
                      <w:sz w:val="18"/>
                      <w:szCs w:val="18"/>
                    </w:rPr>
                  </w:pPr>
                  <w:r>
                    <w:rPr>
                      <w:rFonts w:eastAsia="Arial Unicode MS"/>
                      <w:sz w:val="18"/>
                      <w:szCs w:val="18"/>
                    </w:rPr>
                    <w:t>0.05</w:t>
                  </w:r>
                </w:p>
              </w:tc>
              <w:tc>
                <w:tcPr>
                  <w:tcW w:w="504" w:type="pct"/>
                  <w:vMerge/>
                  <w:tcBorders>
                    <w:top w:val="single" w:sz="4" w:space="0" w:color="auto"/>
                    <w:left w:val="single" w:sz="4" w:space="0" w:color="auto"/>
                    <w:bottom w:val="single" w:sz="4" w:space="0" w:color="auto"/>
                    <w:right w:val="nil"/>
                  </w:tcBorders>
                  <w:vAlign w:val="center"/>
                </w:tcPr>
                <w:p w14:paraId="24E6245A" w14:textId="77777777" w:rsidR="00F76A63" w:rsidRDefault="00F76A63">
                  <w:pPr>
                    <w:adjustRightInd w:val="0"/>
                    <w:snapToGrid w:val="0"/>
                    <w:jc w:val="center"/>
                    <w:rPr>
                      <w:sz w:val="18"/>
                      <w:szCs w:val="18"/>
                    </w:rPr>
                  </w:pPr>
                </w:p>
              </w:tc>
            </w:tr>
            <w:tr w:rsidR="00F76A63" w14:paraId="5399E8D3" w14:textId="77777777">
              <w:trPr>
                <w:trHeight w:val="340"/>
                <w:jc w:val="center"/>
              </w:trPr>
              <w:tc>
                <w:tcPr>
                  <w:tcW w:w="422" w:type="pct"/>
                  <w:vMerge/>
                  <w:tcBorders>
                    <w:left w:val="nil"/>
                    <w:right w:val="single" w:sz="4" w:space="0" w:color="auto"/>
                  </w:tcBorders>
                  <w:vAlign w:val="center"/>
                </w:tcPr>
                <w:p w14:paraId="17D4316E"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42790607"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37E915CE"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3F662D2"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1E39C3BE" w14:textId="77777777" w:rsidR="00F76A63" w:rsidRDefault="00000000">
                  <w:pPr>
                    <w:adjustRightInd w:val="0"/>
                    <w:snapToGrid w:val="0"/>
                    <w:jc w:val="center"/>
                    <w:rPr>
                      <w:sz w:val="18"/>
                      <w:szCs w:val="18"/>
                    </w:rPr>
                  </w:pPr>
                  <w:r>
                    <w:rPr>
                      <w:sz w:val="18"/>
                      <w:szCs w:val="18"/>
                    </w:rPr>
                    <w:t>1.91</w:t>
                  </w:r>
                </w:p>
              </w:tc>
              <w:tc>
                <w:tcPr>
                  <w:tcW w:w="668" w:type="pct"/>
                  <w:tcBorders>
                    <w:top w:val="single" w:sz="4" w:space="0" w:color="auto"/>
                    <w:left w:val="single" w:sz="4" w:space="0" w:color="auto"/>
                    <w:bottom w:val="single" w:sz="4" w:space="0" w:color="auto"/>
                    <w:right w:val="single" w:sz="4" w:space="0" w:color="auto"/>
                  </w:tcBorders>
                  <w:vAlign w:val="center"/>
                </w:tcPr>
                <w:p w14:paraId="2917255E" w14:textId="77777777" w:rsidR="00F76A63" w:rsidRDefault="00000000">
                  <w:pPr>
                    <w:adjustRightInd w:val="0"/>
                    <w:snapToGrid w:val="0"/>
                    <w:jc w:val="center"/>
                    <w:rPr>
                      <w:sz w:val="18"/>
                      <w:szCs w:val="18"/>
                    </w:rPr>
                  </w:pPr>
                  <w:r>
                    <w:rPr>
                      <w:sz w:val="18"/>
                      <w:szCs w:val="18"/>
                    </w:rPr>
                    <w:t>1.05</w:t>
                  </w:r>
                </w:p>
              </w:tc>
              <w:tc>
                <w:tcPr>
                  <w:tcW w:w="707" w:type="pct"/>
                  <w:tcBorders>
                    <w:top w:val="single" w:sz="4" w:space="0" w:color="auto"/>
                    <w:left w:val="single" w:sz="4" w:space="0" w:color="auto"/>
                    <w:bottom w:val="single" w:sz="4" w:space="0" w:color="auto"/>
                    <w:right w:val="single" w:sz="4" w:space="0" w:color="auto"/>
                  </w:tcBorders>
                  <w:vAlign w:val="center"/>
                </w:tcPr>
                <w:p w14:paraId="78015CB7" w14:textId="77777777" w:rsidR="00F76A63" w:rsidRDefault="00000000">
                  <w:pPr>
                    <w:adjustRightInd w:val="0"/>
                    <w:snapToGrid w:val="0"/>
                    <w:jc w:val="center"/>
                    <w:rPr>
                      <w:sz w:val="18"/>
                      <w:szCs w:val="18"/>
                    </w:rPr>
                  </w:pPr>
                  <w:r>
                    <w:rPr>
                      <w:sz w:val="18"/>
                      <w:szCs w:val="18"/>
                    </w:rPr>
                    <w:t>26.02</w:t>
                  </w:r>
                </w:p>
              </w:tc>
              <w:tc>
                <w:tcPr>
                  <w:tcW w:w="504" w:type="pct"/>
                  <w:vMerge/>
                  <w:tcBorders>
                    <w:top w:val="single" w:sz="4" w:space="0" w:color="auto"/>
                    <w:left w:val="single" w:sz="4" w:space="0" w:color="auto"/>
                    <w:bottom w:val="single" w:sz="4" w:space="0" w:color="auto"/>
                    <w:right w:val="nil"/>
                  </w:tcBorders>
                  <w:vAlign w:val="center"/>
                </w:tcPr>
                <w:p w14:paraId="674EC2F4" w14:textId="77777777" w:rsidR="00F76A63" w:rsidRDefault="00F76A63">
                  <w:pPr>
                    <w:adjustRightInd w:val="0"/>
                    <w:snapToGrid w:val="0"/>
                    <w:jc w:val="center"/>
                    <w:rPr>
                      <w:sz w:val="18"/>
                      <w:szCs w:val="18"/>
                    </w:rPr>
                  </w:pPr>
                </w:p>
              </w:tc>
            </w:tr>
            <w:tr w:rsidR="00F76A63" w14:paraId="210DC620" w14:textId="77777777">
              <w:trPr>
                <w:trHeight w:val="340"/>
                <w:jc w:val="center"/>
              </w:trPr>
              <w:tc>
                <w:tcPr>
                  <w:tcW w:w="422" w:type="pct"/>
                  <w:vMerge/>
                  <w:tcBorders>
                    <w:left w:val="nil"/>
                    <w:right w:val="single" w:sz="4" w:space="0" w:color="auto"/>
                  </w:tcBorders>
                  <w:vAlign w:val="center"/>
                </w:tcPr>
                <w:p w14:paraId="5285CCDB"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7210BE1B" w14:textId="77777777" w:rsidR="00F76A63" w:rsidRDefault="00000000">
                  <w:pPr>
                    <w:adjustRightInd w:val="0"/>
                    <w:snapToGrid w:val="0"/>
                    <w:jc w:val="center"/>
                    <w:rPr>
                      <w:sz w:val="18"/>
                      <w:szCs w:val="18"/>
                    </w:rPr>
                  </w:pPr>
                  <w:r>
                    <w:rPr>
                      <w:sz w:val="18"/>
                      <w:szCs w:val="18"/>
                    </w:rPr>
                    <w:t>202408</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0759F5C4" w14:textId="77777777" w:rsidR="00F76A63" w:rsidRDefault="00000000">
                  <w:pPr>
                    <w:widowControl/>
                    <w:jc w:val="center"/>
                    <w:rPr>
                      <w:rFonts w:eastAsia="Arial Unicode MS"/>
                      <w:kern w:val="0"/>
                      <w:sz w:val="18"/>
                      <w:szCs w:val="18"/>
                    </w:rPr>
                  </w:pPr>
                  <w:r>
                    <w:rPr>
                      <w:rFonts w:eastAsia="Arial Unicode MS"/>
                      <w:sz w:val="18"/>
                      <w:szCs w:val="18"/>
                    </w:rPr>
                    <w:t>682970.51</w:t>
                  </w:r>
                </w:p>
              </w:tc>
              <w:tc>
                <w:tcPr>
                  <w:tcW w:w="546" w:type="pct"/>
                  <w:tcBorders>
                    <w:top w:val="single" w:sz="4" w:space="0" w:color="auto"/>
                    <w:left w:val="single" w:sz="4" w:space="0" w:color="auto"/>
                    <w:bottom w:val="single" w:sz="4" w:space="0" w:color="auto"/>
                    <w:right w:val="single" w:sz="4" w:space="0" w:color="auto"/>
                  </w:tcBorders>
                  <w:vAlign w:val="center"/>
                </w:tcPr>
                <w:p w14:paraId="21361FAB"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3469B731" w14:textId="77777777" w:rsidR="00F76A63" w:rsidRDefault="00000000">
                  <w:pPr>
                    <w:adjustRightInd w:val="0"/>
                    <w:snapToGrid w:val="0"/>
                    <w:jc w:val="center"/>
                    <w:rPr>
                      <w:sz w:val="18"/>
                      <w:szCs w:val="18"/>
                    </w:rPr>
                  </w:pPr>
                  <w:r>
                    <w:rPr>
                      <w:rFonts w:eastAsia="Arial Unicode MS"/>
                      <w:sz w:val="18"/>
                      <w:szCs w:val="18"/>
                    </w:rPr>
                    <w:t>1.57</w:t>
                  </w:r>
                </w:p>
              </w:tc>
              <w:tc>
                <w:tcPr>
                  <w:tcW w:w="668" w:type="pct"/>
                  <w:tcBorders>
                    <w:top w:val="single" w:sz="4" w:space="0" w:color="auto"/>
                    <w:left w:val="single" w:sz="4" w:space="0" w:color="auto"/>
                    <w:bottom w:val="single" w:sz="4" w:space="0" w:color="auto"/>
                    <w:right w:val="single" w:sz="4" w:space="0" w:color="auto"/>
                  </w:tcBorders>
                  <w:vAlign w:val="center"/>
                </w:tcPr>
                <w:p w14:paraId="56A5A4FF" w14:textId="77777777" w:rsidR="00F76A63" w:rsidRDefault="00000000">
                  <w:pPr>
                    <w:adjustRightInd w:val="0"/>
                    <w:snapToGrid w:val="0"/>
                    <w:jc w:val="center"/>
                    <w:rPr>
                      <w:sz w:val="18"/>
                      <w:szCs w:val="18"/>
                    </w:rPr>
                  </w:pPr>
                  <w:r>
                    <w:rPr>
                      <w:rFonts w:eastAsia="Arial Unicode MS"/>
                      <w:sz w:val="18"/>
                      <w:szCs w:val="18"/>
                    </w:rPr>
                    <w:t>14.32</w:t>
                  </w:r>
                </w:p>
              </w:tc>
              <w:tc>
                <w:tcPr>
                  <w:tcW w:w="707" w:type="pct"/>
                  <w:tcBorders>
                    <w:top w:val="single" w:sz="4" w:space="0" w:color="auto"/>
                    <w:left w:val="single" w:sz="4" w:space="0" w:color="auto"/>
                    <w:bottom w:val="single" w:sz="4" w:space="0" w:color="auto"/>
                    <w:right w:val="single" w:sz="4" w:space="0" w:color="auto"/>
                  </w:tcBorders>
                  <w:vAlign w:val="center"/>
                </w:tcPr>
                <w:p w14:paraId="2BB7AE71" w14:textId="77777777" w:rsidR="00F76A63" w:rsidRDefault="00000000">
                  <w:pPr>
                    <w:adjustRightInd w:val="0"/>
                    <w:snapToGrid w:val="0"/>
                    <w:jc w:val="center"/>
                    <w:rPr>
                      <w:sz w:val="18"/>
                      <w:szCs w:val="18"/>
                    </w:rPr>
                  </w:pPr>
                  <w:r>
                    <w:rPr>
                      <w:rFonts w:eastAsia="Arial Unicode MS"/>
                      <w:sz w:val="18"/>
                      <w:szCs w:val="18"/>
                    </w:rPr>
                    <w:t>45.78</w:t>
                  </w:r>
                </w:p>
              </w:tc>
              <w:tc>
                <w:tcPr>
                  <w:tcW w:w="504" w:type="pct"/>
                  <w:vMerge w:val="restart"/>
                  <w:tcBorders>
                    <w:top w:val="single" w:sz="4" w:space="0" w:color="auto"/>
                    <w:left w:val="single" w:sz="4" w:space="0" w:color="auto"/>
                    <w:bottom w:val="single" w:sz="4" w:space="0" w:color="auto"/>
                    <w:right w:val="nil"/>
                  </w:tcBorders>
                  <w:vAlign w:val="center"/>
                </w:tcPr>
                <w:p w14:paraId="40ABFCCB" w14:textId="77777777" w:rsidR="00F76A63" w:rsidRDefault="00000000">
                  <w:pPr>
                    <w:adjustRightInd w:val="0"/>
                    <w:snapToGrid w:val="0"/>
                    <w:jc w:val="center"/>
                    <w:rPr>
                      <w:sz w:val="18"/>
                      <w:szCs w:val="18"/>
                    </w:rPr>
                  </w:pPr>
                  <w:r>
                    <w:rPr>
                      <w:sz w:val="18"/>
                      <w:szCs w:val="18"/>
                    </w:rPr>
                    <w:t>/</w:t>
                  </w:r>
                </w:p>
              </w:tc>
            </w:tr>
            <w:tr w:rsidR="00F76A63" w14:paraId="2FE6660D" w14:textId="77777777">
              <w:trPr>
                <w:trHeight w:val="340"/>
                <w:jc w:val="center"/>
              </w:trPr>
              <w:tc>
                <w:tcPr>
                  <w:tcW w:w="422" w:type="pct"/>
                  <w:vMerge/>
                  <w:tcBorders>
                    <w:left w:val="nil"/>
                    <w:right w:val="single" w:sz="4" w:space="0" w:color="auto"/>
                  </w:tcBorders>
                  <w:vAlign w:val="center"/>
                </w:tcPr>
                <w:p w14:paraId="28766CF4"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23E9060"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15359482"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38F0CB4"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61E7282F" w14:textId="77777777" w:rsidR="00F76A63" w:rsidRDefault="00000000">
                  <w:pPr>
                    <w:adjustRightInd w:val="0"/>
                    <w:snapToGrid w:val="0"/>
                    <w:jc w:val="center"/>
                    <w:rPr>
                      <w:sz w:val="18"/>
                      <w:szCs w:val="18"/>
                    </w:rPr>
                  </w:pPr>
                  <w:r>
                    <w:rPr>
                      <w:rFonts w:eastAsia="Arial Unicode MS"/>
                      <w:sz w:val="18"/>
                      <w:szCs w:val="18"/>
                    </w:rPr>
                    <w:t>0.18</w:t>
                  </w:r>
                </w:p>
              </w:tc>
              <w:tc>
                <w:tcPr>
                  <w:tcW w:w="668" w:type="pct"/>
                  <w:tcBorders>
                    <w:top w:val="single" w:sz="4" w:space="0" w:color="auto"/>
                    <w:left w:val="single" w:sz="4" w:space="0" w:color="auto"/>
                    <w:bottom w:val="single" w:sz="4" w:space="0" w:color="auto"/>
                    <w:right w:val="single" w:sz="4" w:space="0" w:color="auto"/>
                  </w:tcBorders>
                  <w:vAlign w:val="center"/>
                </w:tcPr>
                <w:p w14:paraId="7BFD8842" w14:textId="77777777" w:rsidR="00F76A63" w:rsidRDefault="00000000">
                  <w:pPr>
                    <w:adjustRightInd w:val="0"/>
                    <w:snapToGrid w:val="0"/>
                    <w:jc w:val="center"/>
                    <w:rPr>
                      <w:sz w:val="18"/>
                      <w:szCs w:val="18"/>
                    </w:rPr>
                  </w:pPr>
                  <w:r>
                    <w:rPr>
                      <w:rFonts w:eastAsia="Arial Unicode MS"/>
                      <w:sz w:val="18"/>
                      <w:szCs w:val="18"/>
                    </w:rPr>
                    <w:t>0.35</w:t>
                  </w:r>
                </w:p>
              </w:tc>
              <w:tc>
                <w:tcPr>
                  <w:tcW w:w="707" w:type="pct"/>
                  <w:tcBorders>
                    <w:top w:val="single" w:sz="4" w:space="0" w:color="auto"/>
                    <w:left w:val="single" w:sz="4" w:space="0" w:color="auto"/>
                    <w:bottom w:val="single" w:sz="4" w:space="0" w:color="auto"/>
                    <w:right w:val="single" w:sz="4" w:space="0" w:color="auto"/>
                  </w:tcBorders>
                  <w:vAlign w:val="center"/>
                </w:tcPr>
                <w:p w14:paraId="48614F7A" w14:textId="77777777" w:rsidR="00F76A63" w:rsidRDefault="00000000">
                  <w:pPr>
                    <w:adjustRightInd w:val="0"/>
                    <w:snapToGrid w:val="0"/>
                    <w:jc w:val="center"/>
                    <w:rPr>
                      <w:sz w:val="18"/>
                      <w:szCs w:val="18"/>
                    </w:rPr>
                  </w:pPr>
                  <w:r>
                    <w:rPr>
                      <w:rFonts w:eastAsia="Arial Unicode MS"/>
                      <w:sz w:val="18"/>
                      <w:szCs w:val="18"/>
                    </w:rPr>
                    <w:t>36.81</w:t>
                  </w:r>
                </w:p>
              </w:tc>
              <w:tc>
                <w:tcPr>
                  <w:tcW w:w="504" w:type="pct"/>
                  <w:vMerge/>
                  <w:tcBorders>
                    <w:top w:val="single" w:sz="4" w:space="0" w:color="auto"/>
                    <w:left w:val="single" w:sz="4" w:space="0" w:color="auto"/>
                    <w:bottom w:val="single" w:sz="4" w:space="0" w:color="auto"/>
                    <w:right w:val="nil"/>
                  </w:tcBorders>
                  <w:vAlign w:val="center"/>
                </w:tcPr>
                <w:p w14:paraId="5832CCC4" w14:textId="77777777" w:rsidR="00F76A63" w:rsidRDefault="00F76A63">
                  <w:pPr>
                    <w:adjustRightInd w:val="0"/>
                    <w:snapToGrid w:val="0"/>
                    <w:jc w:val="center"/>
                    <w:rPr>
                      <w:sz w:val="18"/>
                      <w:szCs w:val="18"/>
                    </w:rPr>
                  </w:pPr>
                </w:p>
              </w:tc>
            </w:tr>
            <w:tr w:rsidR="00F76A63" w14:paraId="51B2AD47" w14:textId="77777777">
              <w:trPr>
                <w:trHeight w:val="340"/>
                <w:jc w:val="center"/>
              </w:trPr>
              <w:tc>
                <w:tcPr>
                  <w:tcW w:w="422" w:type="pct"/>
                  <w:vMerge/>
                  <w:tcBorders>
                    <w:left w:val="nil"/>
                    <w:right w:val="single" w:sz="4" w:space="0" w:color="auto"/>
                  </w:tcBorders>
                  <w:vAlign w:val="center"/>
                </w:tcPr>
                <w:p w14:paraId="34E5DB50"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711B56B0"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0D99AD8"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7162283"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736F7D3" w14:textId="77777777" w:rsidR="00F76A63" w:rsidRDefault="00000000">
                  <w:pPr>
                    <w:adjustRightInd w:val="0"/>
                    <w:snapToGrid w:val="0"/>
                    <w:jc w:val="center"/>
                    <w:rPr>
                      <w:sz w:val="18"/>
                      <w:szCs w:val="18"/>
                    </w:rPr>
                  </w:pPr>
                  <w:r>
                    <w:rPr>
                      <w:rFonts w:eastAsia="Arial Unicode MS"/>
                      <w:sz w:val="18"/>
                      <w:szCs w:val="18"/>
                    </w:rPr>
                    <w:t>0.85</w:t>
                  </w:r>
                </w:p>
              </w:tc>
              <w:tc>
                <w:tcPr>
                  <w:tcW w:w="668" w:type="pct"/>
                  <w:tcBorders>
                    <w:top w:val="single" w:sz="4" w:space="0" w:color="auto"/>
                    <w:left w:val="single" w:sz="4" w:space="0" w:color="auto"/>
                    <w:bottom w:val="single" w:sz="4" w:space="0" w:color="auto"/>
                    <w:right w:val="single" w:sz="4" w:space="0" w:color="auto"/>
                  </w:tcBorders>
                  <w:vAlign w:val="center"/>
                </w:tcPr>
                <w:p w14:paraId="02CE136D" w14:textId="77777777" w:rsidR="00F76A63" w:rsidRDefault="00000000">
                  <w:pPr>
                    <w:adjustRightInd w:val="0"/>
                    <w:snapToGrid w:val="0"/>
                    <w:jc w:val="center"/>
                    <w:rPr>
                      <w:sz w:val="18"/>
                      <w:szCs w:val="18"/>
                    </w:rPr>
                  </w:pPr>
                  <w:r>
                    <w:rPr>
                      <w:rFonts w:eastAsia="Arial Unicode MS"/>
                      <w:sz w:val="18"/>
                      <w:szCs w:val="18"/>
                    </w:rPr>
                    <w:t>3.41</w:t>
                  </w:r>
                </w:p>
              </w:tc>
              <w:tc>
                <w:tcPr>
                  <w:tcW w:w="707" w:type="pct"/>
                  <w:tcBorders>
                    <w:top w:val="single" w:sz="4" w:space="0" w:color="auto"/>
                    <w:left w:val="single" w:sz="4" w:space="0" w:color="auto"/>
                    <w:bottom w:val="single" w:sz="4" w:space="0" w:color="auto"/>
                    <w:right w:val="single" w:sz="4" w:space="0" w:color="auto"/>
                  </w:tcBorders>
                  <w:vAlign w:val="center"/>
                </w:tcPr>
                <w:p w14:paraId="36CBF1CC" w14:textId="77777777" w:rsidR="00F76A63" w:rsidRDefault="00000000">
                  <w:pPr>
                    <w:adjustRightInd w:val="0"/>
                    <w:snapToGrid w:val="0"/>
                    <w:jc w:val="center"/>
                    <w:rPr>
                      <w:sz w:val="18"/>
                      <w:szCs w:val="18"/>
                    </w:rPr>
                  </w:pPr>
                  <w:r>
                    <w:rPr>
                      <w:rFonts w:eastAsia="Arial Unicode MS"/>
                      <w:sz w:val="18"/>
                      <w:szCs w:val="18"/>
                    </w:rPr>
                    <w:t>42.37</w:t>
                  </w:r>
                </w:p>
              </w:tc>
              <w:tc>
                <w:tcPr>
                  <w:tcW w:w="504" w:type="pct"/>
                  <w:vMerge/>
                  <w:tcBorders>
                    <w:top w:val="single" w:sz="4" w:space="0" w:color="auto"/>
                    <w:left w:val="single" w:sz="4" w:space="0" w:color="auto"/>
                    <w:bottom w:val="single" w:sz="4" w:space="0" w:color="auto"/>
                    <w:right w:val="nil"/>
                  </w:tcBorders>
                  <w:vAlign w:val="center"/>
                </w:tcPr>
                <w:p w14:paraId="4907F79A" w14:textId="77777777" w:rsidR="00F76A63" w:rsidRDefault="00F76A63">
                  <w:pPr>
                    <w:adjustRightInd w:val="0"/>
                    <w:snapToGrid w:val="0"/>
                    <w:jc w:val="center"/>
                    <w:rPr>
                      <w:sz w:val="18"/>
                      <w:szCs w:val="18"/>
                    </w:rPr>
                  </w:pPr>
                </w:p>
              </w:tc>
            </w:tr>
            <w:tr w:rsidR="00F76A63" w14:paraId="14BF6D3D" w14:textId="77777777">
              <w:trPr>
                <w:trHeight w:val="340"/>
                <w:jc w:val="center"/>
              </w:trPr>
              <w:tc>
                <w:tcPr>
                  <w:tcW w:w="422" w:type="pct"/>
                  <w:vMerge/>
                  <w:tcBorders>
                    <w:left w:val="nil"/>
                    <w:right w:val="single" w:sz="4" w:space="0" w:color="auto"/>
                  </w:tcBorders>
                  <w:vAlign w:val="center"/>
                </w:tcPr>
                <w:p w14:paraId="4EAE70EE"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152F4922" w14:textId="77777777" w:rsidR="00F76A63" w:rsidRDefault="00000000">
                  <w:pPr>
                    <w:adjustRightInd w:val="0"/>
                    <w:snapToGrid w:val="0"/>
                    <w:jc w:val="center"/>
                    <w:rPr>
                      <w:sz w:val="18"/>
                      <w:szCs w:val="18"/>
                    </w:rPr>
                  </w:pPr>
                  <w:r>
                    <w:rPr>
                      <w:sz w:val="18"/>
                      <w:szCs w:val="18"/>
                    </w:rPr>
                    <w:t>202409</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52155BB1" w14:textId="77777777" w:rsidR="00F76A63" w:rsidRDefault="00000000">
                  <w:pPr>
                    <w:widowControl/>
                    <w:jc w:val="center"/>
                    <w:rPr>
                      <w:rFonts w:eastAsia="Arial Unicode MS"/>
                      <w:kern w:val="0"/>
                      <w:sz w:val="18"/>
                      <w:szCs w:val="18"/>
                    </w:rPr>
                  </w:pPr>
                  <w:r>
                    <w:rPr>
                      <w:rFonts w:eastAsia="Arial Unicode MS"/>
                      <w:sz w:val="18"/>
                      <w:szCs w:val="18"/>
                    </w:rPr>
                    <w:t>706478.64</w:t>
                  </w:r>
                </w:p>
              </w:tc>
              <w:tc>
                <w:tcPr>
                  <w:tcW w:w="546" w:type="pct"/>
                  <w:tcBorders>
                    <w:top w:val="single" w:sz="4" w:space="0" w:color="auto"/>
                    <w:left w:val="single" w:sz="4" w:space="0" w:color="auto"/>
                    <w:bottom w:val="single" w:sz="4" w:space="0" w:color="auto"/>
                    <w:right w:val="single" w:sz="4" w:space="0" w:color="auto"/>
                  </w:tcBorders>
                  <w:vAlign w:val="center"/>
                </w:tcPr>
                <w:p w14:paraId="186B73F0"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D4B8178" w14:textId="77777777" w:rsidR="00F76A63" w:rsidRDefault="00000000">
                  <w:pPr>
                    <w:adjustRightInd w:val="0"/>
                    <w:snapToGrid w:val="0"/>
                    <w:jc w:val="center"/>
                    <w:rPr>
                      <w:sz w:val="18"/>
                      <w:szCs w:val="18"/>
                    </w:rPr>
                  </w:pPr>
                  <w:r>
                    <w:rPr>
                      <w:rFonts w:eastAsia="Arial Unicode MS"/>
                      <w:sz w:val="18"/>
                      <w:szCs w:val="18"/>
                    </w:rPr>
                    <w:t>1.39</w:t>
                  </w:r>
                </w:p>
              </w:tc>
              <w:tc>
                <w:tcPr>
                  <w:tcW w:w="668" w:type="pct"/>
                  <w:tcBorders>
                    <w:top w:val="single" w:sz="4" w:space="0" w:color="auto"/>
                    <w:left w:val="single" w:sz="4" w:space="0" w:color="auto"/>
                    <w:bottom w:val="single" w:sz="4" w:space="0" w:color="auto"/>
                    <w:right w:val="single" w:sz="4" w:space="0" w:color="auto"/>
                  </w:tcBorders>
                  <w:vAlign w:val="center"/>
                </w:tcPr>
                <w:p w14:paraId="04B2DD25" w14:textId="77777777" w:rsidR="00F76A63" w:rsidRDefault="00000000">
                  <w:pPr>
                    <w:adjustRightInd w:val="0"/>
                    <w:snapToGrid w:val="0"/>
                    <w:jc w:val="center"/>
                    <w:rPr>
                      <w:sz w:val="18"/>
                      <w:szCs w:val="18"/>
                    </w:rPr>
                  </w:pPr>
                  <w:r>
                    <w:rPr>
                      <w:rFonts w:eastAsia="Arial Unicode MS"/>
                      <w:sz w:val="18"/>
                      <w:szCs w:val="18"/>
                    </w:rPr>
                    <w:t>13.87</w:t>
                  </w:r>
                </w:p>
              </w:tc>
              <w:tc>
                <w:tcPr>
                  <w:tcW w:w="707" w:type="pct"/>
                  <w:tcBorders>
                    <w:top w:val="single" w:sz="4" w:space="0" w:color="auto"/>
                    <w:left w:val="single" w:sz="4" w:space="0" w:color="auto"/>
                    <w:bottom w:val="single" w:sz="4" w:space="0" w:color="auto"/>
                    <w:right w:val="single" w:sz="4" w:space="0" w:color="auto"/>
                  </w:tcBorders>
                  <w:vAlign w:val="center"/>
                </w:tcPr>
                <w:p w14:paraId="5CDA945B" w14:textId="77777777" w:rsidR="00F76A63" w:rsidRDefault="00000000">
                  <w:pPr>
                    <w:adjustRightInd w:val="0"/>
                    <w:snapToGrid w:val="0"/>
                    <w:jc w:val="center"/>
                    <w:rPr>
                      <w:sz w:val="18"/>
                      <w:szCs w:val="18"/>
                    </w:rPr>
                  </w:pPr>
                  <w:r>
                    <w:rPr>
                      <w:rFonts w:eastAsia="Arial Unicode MS"/>
                      <w:sz w:val="18"/>
                      <w:szCs w:val="18"/>
                    </w:rPr>
                    <w:t>45.56</w:t>
                  </w:r>
                </w:p>
              </w:tc>
              <w:tc>
                <w:tcPr>
                  <w:tcW w:w="504" w:type="pct"/>
                  <w:vMerge w:val="restart"/>
                  <w:tcBorders>
                    <w:top w:val="single" w:sz="4" w:space="0" w:color="auto"/>
                    <w:left w:val="single" w:sz="4" w:space="0" w:color="auto"/>
                    <w:bottom w:val="single" w:sz="4" w:space="0" w:color="auto"/>
                    <w:right w:val="nil"/>
                  </w:tcBorders>
                  <w:vAlign w:val="center"/>
                </w:tcPr>
                <w:p w14:paraId="487A3E93" w14:textId="77777777" w:rsidR="00F76A63" w:rsidRDefault="00000000">
                  <w:pPr>
                    <w:adjustRightInd w:val="0"/>
                    <w:snapToGrid w:val="0"/>
                    <w:jc w:val="center"/>
                    <w:rPr>
                      <w:sz w:val="18"/>
                      <w:szCs w:val="18"/>
                    </w:rPr>
                  </w:pPr>
                  <w:r>
                    <w:rPr>
                      <w:sz w:val="18"/>
                      <w:szCs w:val="18"/>
                    </w:rPr>
                    <w:t>/</w:t>
                  </w:r>
                </w:p>
              </w:tc>
            </w:tr>
            <w:tr w:rsidR="00F76A63" w14:paraId="5C531463" w14:textId="77777777">
              <w:trPr>
                <w:trHeight w:val="340"/>
                <w:jc w:val="center"/>
              </w:trPr>
              <w:tc>
                <w:tcPr>
                  <w:tcW w:w="422" w:type="pct"/>
                  <w:vMerge/>
                  <w:tcBorders>
                    <w:left w:val="nil"/>
                    <w:right w:val="single" w:sz="4" w:space="0" w:color="auto"/>
                  </w:tcBorders>
                  <w:vAlign w:val="center"/>
                </w:tcPr>
                <w:p w14:paraId="0ECE7CDA"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229879CF"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E85C008"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C24D7D5"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2C78F9EB" w14:textId="77777777" w:rsidR="00F76A63" w:rsidRDefault="00000000">
                  <w:pPr>
                    <w:adjustRightInd w:val="0"/>
                    <w:snapToGrid w:val="0"/>
                    <w:jc w:val="center"/>
                    <w:rPr>
                      <w:sz w:val="18"/>
                      <w:szCs w:val="18"/>
                    </w:rPr>
                  </w:pPr>
                  <w:r>
                    <w:rPr>
                      <w:rFonts w:eastAsia="Arial Unicode MS"/>
                      <w:sz w:val="18"/>
                      <w:szCs w:val="18"/>
                    </w:rPr>
                    <w:t>0.54</w:t>
                  </w:r>
                </w:p>
              </w:tc>
              <w:tc>
                <w:tcPr>
                  <w:tcW w:w="668" w:type="pct"/>
                  <w:tcBorders>
                    <w:top w:val="single" w:sz="4" w:space="0" w:color="auto"/>
                    <w:left w:val="single" w:sz="4" w:space="0" w:color="auto"/>
                    <w:bottom w:val="single" w:sz="4" w:space="0" w:color="auto"/>
                    <w:right w:val="single" w:sz="4" w:space="0" w:color="auto"/>
                  </w:tcBorders>
                  <w:vAlign w:val="center"/>
                </w:tcPr>
                <w:p w14:paraId="381889CF" w14:textId="77777777" w:rsidR="00F76A63" w:rsidRDefault="00000000">
                  <w:pPr>
                    <w:adjustRightInd w:val="0"/>
                    <w:snapToGrid w:val="0"/>
                    <w:jc w:val="center"/>
                    <w:rPr>
                      <w:sz w:val="18"/>
                      <w:szCs w:val="18"/>
                    </w:rPr>
                  </w:pPr>
                  <w:r>
                    <w:rPr>
                      <w:rFonts w:eastAsia="Arial Unicode MS"/>
                      <w:sz w:val="18"/>
                      <w:szCs w:val="18"/>
                    </w:rPr>
                    <w:t>0.36</w:t>
                  </w:r>
                </w:p>
              </w:tc>
              <w:tc>
                <w:tcPr>
                  <w:tcW w:w="707" w:type="pct"/>
                  <w:tcBorders>
                    <w:top w:val="single" w:sz="4" w:space="0" w:color="auto"/>
                    <w:left w:val="single" w:sz="4" w:space="0" w:color="auto"/>
                    <w:bottom w:val="single" w:sz="4" w:space="0" w:color="auto"/>
                    <w:right w:val="single" w:sz="4" w:space="0" w:color="auto"/>
                  </w:tcBorders>
                  <w:vAlign w:val="center"/>
                </w:tcPr>
                <w:p w14:paraId="206B9115" w14:textId="77777777" w:rsidR="00F76A63" w:rsidRDefault="00000000">
                  <w:pPr>
                    <w:adjustRightInd w:val="0"/>
                    <w:snapToGrid w:val="0"/>
                    <w:jc w:val="center"/>
                    <w:rPr>
                      <w:sz w:val="18"/>
                      <w:szCs w:val="18"/>
                    </w:rPr>
                  </w:pPr>
                  <w:r>
                    <w:rPr>
                      <w:rFonts w:eastAsia="Arial Unicode MS"/>
                      <w:sz w:val="18"/>
                      <w:szCs w:val="18"/>
                    </w:rPr>
                    <w:t>33.29</w:t>
                  </w:r>
                </w:p>
              </w:tc>
              <w:tc>
                <w:tcPr>
                  <w:tcW w:w="504" w:type="pct"/>
                  <w:vMerge/>
                  <w:tcBorders>
                    <w:top w:val="single" w:sz="4" w:space="0" w:color="auto"/>
                    <w:left w:val="single" w:sz="4" w:space="0" w:color="auto"/>
                    <w:bottom w:val="single" w:sz="4" w:space="0" w:color="auto"/>
                    <w:right w:val="nil"/>
                  </w:tcBorders>
                  <w:vAlign w:val="center"/>
                </w:tcPr>
                <w:p w14:paraId="59A9A606" w14:textId="77777777" w:rsidR="00F76A63" w:rsidRDefault="00F76A63">
                  <w:pPr>
                    <w:adjustRightInd w:val="0"/>
                    <w:snapToGrid w:val="0"/>
                    <w:jc w:val="center"/>
                    <w:rPr>
                      <w:sz w:val="18"/>
                      <w:szCs w:val="18"/>
                    </w:rPr>
                  </w:pPr>
                </w:p>
              </w:tc>
            </w:tr>
            <w:tr w:rsidR="00F76A63" w14:paraId="2C1A89D6" w14:textId="77777777">
              <w:trPr>
                <w:trHeight w:val="340"/>
                <w:jc w:val="center"/>
              </w:trPr>
              <w:tc>
                <w:tcPr>
                  <w:tcW w:w="422" w:type="pct"/>
                  <w:vMerge/>
                  <w:tcBorders>
                    <w:left w:val="nil"/>
                    <w:right w:val="single" w:sz="4" w:space="0" w:color="auto"/>
                  </w:tcBorders>
                  <w:vAlign w:val="center"/>
                </w:tcPr>
                <w:p w14:paraId="7A41FC7E"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0806881"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69360B15"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95405E2"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0772A677" w14:textId="77777777" w:rsidR="00F76A63" w:rsidRDefault="00000000">
                  <w:pPr>
                    <w:adjustRightInd w:val="0"/>
                    <w:snapToGrid w:val="0"/>
                    <w:jc w:val="center"/>
                    <w:rPr>
                      <w:sz w:val="18"/>
                      <w:szCs w:val="18"/>
                    </w:rPr>
                  </w:pPr>
                  <w:r>
                    <w:rPr>
                      <w:rFonts w:eastAsia="Arial Unicode MS"/>
                      <w:sz w:val="18"/>
                      <w:szCs w:val="18"/>
                    </w:rPr>
                    <w:t>0.97</w:t>
                  </w:r>
                </w:p>
              </w:tc>
              <w:tc>
                <w:tcPr>
                  <w:tcW w:w="668" w:type="pct"/>
                  <w:tcBorders>
                    <w:top w:val="single" w:sz="4" w:space="0" w:color="auto"/>
                    <w:left w:val="single" w:sz="4" w:space="0" w:color="auto"/>
                    <w:bottom w:val="single" w:sz="4" w:space="0" w:color="auto"/>
                    <w:right w:val="single" w:sz="4" w:space="0" w:color="auto"/>
                  </w:tcBorders>
                  <w:vAlign w:val="center"/>
                </w:tcPr>
                <w:p w14:paraId="5468E444" w14:textId="77777777" w:rsidR="00F76A63" w:rsidRDefault="00000000">
                  <w:pPr>
                    <w:adjustRightInd w:val="0"/>
                    <w:snapToGrid w:val="0"/>
                    <w:jc w:val="center"/>
                    <w:rPr>
                      <w:sz w:val="18"/>
                      <w:szCs w:val="18"/>
                    </w:rPr>
                  </w:pPr>
                  <w:r>
                    <w:rPr>
                      <w:rFonts w:eastAsia="Arial Unicode MS"/>
                      <w:sz w:val="18"/>
                      <w:szCs w:val="18"/>
                    </w:rPr>
                    <w:t>6.01</w:t>
                  </w:r>
                </w:p>
              </w:tc>
              <w:tc>
                <w:tcPr>
                  <w:tcW w:w="707" w:type="pct"/>
                  <w:tcBorders>
                    <w:top w:val="single" w:sz="4" w:space="0" w:color="auto"/>
                    <w:left w:val="single" w:sz="4" w:space="0" w:color="auto"/>
                    <w:bottom w:val="single" w:sz="4" w:space="0" w:color="auto"/>
                    <w:right w:val="single" w:sz="4" w:space="0" w:color="auto"/>
                  </w:tcBorders>
                  <w:vAlign w:val="center"/>
                </w:tcPr>
                <w:p w14:paraId="5709F804" w14:textId="77777777" w:rsidR="00F76A63" w:rsidRDefault="00000000">
                  <w:pPr>
                    <w:adjustRightInd w:val="0"/>
                    <w:snapToGrid w:val="0"/>
                    <w:jc w:val="center"/>
                    <w:rPr>
                      <w:sz w:val="18"/>
                      <w:szCs w:val="18"/>
                    </w:rPr>
                  </w:pPr>
                  <w:r>
                    <w:rPr>
                      <w:rFonts w:eastAsia="Arial Unicode MS"/>
                      <w:sz w:val="18"/>
                      <w:szCs w:val="18"/>
                    </w:rPr>
                    <w:t>41.41</w:t>
                  </w:r>
                </w:p>
              </w:tc>
              <w:tc>
                <w:tcPr>
                  <w:tcW w:w="504" w:type="pct"/>
                  <w:vMerge/>
                  <w:tcBorders>
                    <w:top w:val="single" w:sz="4" w:space="0" w:color="auto"/>
                    <w:left w:val="single" w:sz="4" w:space="0" w:color="auto"/>
                    <w:bottom w:val="single" w:sz="4" w:space="0" w:color="auto"/>
                    <w:right w:val="nil"/>
                  </w:tcBorders>
                  <w:vAlign w:val="center"/>
                </w:tcPr>
                <w:p w14:paraId="347CA033" w14:textId="77777777" w:rsidR="00F76A63" w:rsidRDefault="00F76A63">
                  <w:pPr>
                    <w:adjustRightInd w:val="0"/>
                    <w:snapToGrid w:val="0"/>
                    <w:jc w:val="center"/>
                    <w:rPr>
                      <w:sz w:val="18"/>
                      <w:szCs w:val="18"/>
                    </w:rPr>
                  </w:pPr>
                </w:p>
              </w:tc>
            </w:tr>
            <w:tr w:rsidR="00F76A63" w14:paraId="266E9E50" w14:textId="77777777">
              <w:trPr>
                <w:trHeight w:val="340"/>
                <w:jc w:val="center"/>
              </w:trPr>
              <w:tc>
                <w:tcPr>
                  <w:tcW w:w="422" w:type="pct"/>
                  <w:vMerge/>
                  <w:tcBorders>
                    <w:left w:val="nil"/>
                    <w:right w:val="single" w:sz="4" w:space="0" w:color="auto"/>
                  </w:tcBorders>
                  <w:vAlign w:val="center"/>
                </w:tcPr>
                <w:p w14:paraId="1126B142"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146AF4A4" w14:textId="77777777" w:rsidR="00F76A63" w:rsidRDefault="00000000">
                  <w:pPr>
                    <w:adjustRightInd w:val="0"/>
                    <w:snapToGrid w:val="0"/>
                    <w:jc w:val="center"/>
                    <w:rPr>
                      <w:sz w:val="18"/>
                      <w:szCs w:val="18"/>
                    </w:rPr>
                  </w:pPr>
                  <w:r>
                    <w:rPr>
                      <w:sz w:val="18"/>
                      <w:szCs w:val="18"/>
                    </w:rPr>
                    <w:t>202410</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6637EBE0" w14:textId="77777777" w:rsidR="00F76A63" w:rsidRDefault="00000000">
                  <w:pPr>
                    <w:widowControl/>
                    <w:jc w:val="center"/>
                    <w:rPr>
                      <w:rFonts w:eastAsia="Arial Unicode MS"/>
                      <w:kern w:val="0"/>
                      <w:sz w:val="18"/>
                      <w:szCs w:val="18"/>
                    </w:rPr>
                  </w:pPr>
                  <w:r>
                    <w:rPr>
                      <w:rFonts w:eastAsia="Arial Unicode MS"/>
                      <w:sz w:val="18"/>
                      <w:szCs w:val="18"/>
                    </w:rPr>
                    <w:t>424467.16</w:t>
                  </w:r>
                </w:p>
              </w:tc>
              <w:tc>
                <w:tcPr>
                  <w:tcW w:w="546" w:type="pct"/>
                  <w:tcBorders>
                    <w:top w:val="single" w:sz="4" w:space="0" w:color="auto"/>
                    <w:left w:val="single" w:sz="4" w:space="0" w:color="auto"/>
                    <w:bottom w:val="single" w:sz="4" w:space="0" w:color="auto"/>
                    <w:right w:val="single" w:sz="4" w:space="0" w:color="auto"/>
                  </w:tcBorders>
                  <w:vAlign w:val="center"/>
                </w:tcPr>
                <w:p w14:paraId="0A60E857"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42BDFDAA" w14:textId="77777777" w:rsidR="00F76A63" w:rsidRDefault="00000000">
                  <w:pPr>
                    <w:adjustRightInd w:val="0"/>
                    <w:snapToGrid w:val="0"/>
                    <w:jc w:val="center"/>
                    <w:rPr>
                      <w:sz w:val="18"/>
                      <w:szCs w:val="18"/>
                    </w:rPr>
                  </w:pPr>
                  <w:r>
                    <w:rPr>
                      <w:rFonts w:eastAsia="Arial Unicode MS"/>
                      <w:sz w:val="18"/>
                      <w:szCs w:val="18"/>
                    </w:rPr>
                    <w:t>1.51</w:t>
                  </w:r>
                </w:p>
              </w:tc>
              <w:tc>
                <w:tcPr>
                  <w:tcW w:w="668" w:type="pct"/>
                  <w:tcBorders>
                    <w:top w:val="single" w:sz="4" w:space="0" w:color="auto"/>
                    <w:left w:val="single" w:sz="4" w:space="0" w:color="auto"/>
                    <w:bottom w:val="single" w:sz="4" w:space="0" w:color="auto"/>
                    <w:right w:val="single" w:sz="4" w:space="0" w:color="auto"/>
                  </w:tcBorders>
                  <w:vAlign w:val="center"/>
                </w:tcPr>
                <w:p w14:paraId="0DB9351B" w14:textId="77777777" w:rsidR="00F76A63" w:rsidRDefault="00000000">
                  <w:pPr>
                    <w:adjustRightInd w:val="0"/>
                    <w:snapToGrid w:val="0"/>
                    <w:jc w:val="center"/>
                    <w:rPr>
                      <w:b/>
                      <w:bCs/>
                      <w:sz w:val="18"/>
                      <w:szCs w:val="18"/>
                    </w:rPr>
                  </w:pPr>
                  <w:r>
                    <w:rPr>
                      <w:rFonts w:eastAsia="Arial Unicode MS"/>
                      <w:b/>
                      <w:bCs/>
                      <w:sz w:val="18"/>
                      <w:szCs w:val="18"/>
                    </w:rPr>
                    <w:t>40.74</w:t>
                  </w:r>
                </w:p>
              </w:tc>
              <w:tc>
                <w:tcPr>
                  <w:tcW w:w="707" w:type="pct"/>
                  <w:tcBorders>
                    <w:top w:val="single" w:sz="4" w:space="0" w:color="auto"/>
                    <w:left w:val="single" w:sz="4" w:space="0" w:color="auto"/>
                    <w:bottom w:val="single" w:sz="4" w:space="0" w:color="auto"/>
                    <w:right w:val="single" w:sz="4" w:space="0" w:color="auto"/>
                  </w:tcBorders>
                  <w:vAlign w:val="center"/>
                </w:tcPr>
                <w:p w14:paraId="15371830" w14:textId="77777777" w:rsidR="00F76A63" w:rsidRDefault="00000000">
                  <w:pPr>
                    <w:adjustRightInd w:val="0"/>
                    <w:snapToGrid w:val="0"/>
                    <w:jc w:val="center"/>
                    <w:rPr>
                      <w:b/>
                      <w:bCs/>
                      <w:sz w:val="18"/>
                      <w:szCs w:val="18"/>
                    </w:rPr>
                  </w:pPr>
                  <w:r>
                    <w:rPr>
                      <w:rFonts w:eastAsia="Arial Unicode MS"/>
                      <w:b/>
                      <w:bCs/>
                      <w:sz w:val="18"/>
                      <w:szCs w:val="18"/>
                    </w:rPr>
                    <w:t>84.99</w:t>
                  </w:r>
                </w:p>
              </w:tc>
              <w:tc>
                <w:tcPr>
                  <w:tcW w:w="504" w:type="pct"/>
                  <w:vMerge w:val="restart"/>
                  <w:tcBorders>
                    <w:top w:val="single" w:sz="4" w:space="0" w:color="auto"/>
                    <w:left w:val="single" w:sz="4" w:space="0" w:color="auto"/>
                    <w:bottom w:val="single" w:sz="4" w:space="0" w:color="auto"/>
                    <w:right w:val="nil"/>
                  </w:tcBorders>
                  <w:vAlign w:val="center"/>
                </w:tcPr>
                <w:p w14:paraId="7DA7B8EF" w14:textId="77777777" w:rsidR="00F76A63" w:rsidRDefault="00000000">
                  <w:pPr>
                    <w:adjustRightInd w:val="0"/>
                    <w:snapToGrid w:val="0"/>
                    <w:jc w:val="center"/>
                    <w:rPr>
                      <w:sz w:val="18"/>
                      <w:szCs w:val="18"/>
                    </w:rPr>
                  </w:pPr>
                  <w:r>
                    <w:rPr>
                      <w:sz w:val="18"/>
                      <w:szCs w:val="18"/>
                    </w:rPr>
                    <w:t>/</w:t>
                  </w:r>
                </w:p>
              </w:tc>
            </w:tr>
            <w:tr w:rsidR="00F76A63" w14:paraId="2C7258E2" w14:textId="77777777">
              <w:trPr>
                <w:trHeight w:val="340"/>
                <w:jc w:val="center"/>
              </w:trPr>
              <w:tc>
                <w:tcPr>
                  <w:tcW w:w="422" w:type="pct"/>
                  <w:vMerge/>
                  <w:tcBorders>
                    <w:left w:val="nil"/>
                    <w:right w:val="single" w:sz="4" w:space="0" w:color="auto"/>
                  </w:tcBorders>
                  <w:vAlign w:val="center"/>
                </w:tcPr>
                <w:p w14:paraId="7CBC35B4"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B654801"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578833E4"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F3B9064"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4B1F08A5" w14:textId="77777777" w:rsidR="00F76A63" w:rsidRDefault="00000000">
                  <w:pPr>
                    <w:adjustRightInd w:val="0"/>
                    <w:snapToGrid w:val="0"/>
                    <w:jc w:val="center"/>
                    <w:rPr>
                      <w:sz w:val="18"/>
                      <w:szCs w:val="18"/>
                    </w:rPr>
                  </w:pPr>
                  <w:r>
                    <w:rPr>
                      <w:rFonts w:eastAsia="Arial Unicode MS"/>
                      <w:sz w:val="18"/>
                      <w:szCs w:val="18"/>
                    </w:rPr>
                    <w:t>0.18</w:t>
                  </w:r>
                </w:p>
              </w:tc>
              <w:tc>
                <w:tcPr>
                  <w:tcW w:w="668" w:type="pct"/>
                  <w:tcBorders>
                    <w:top w:val="single" w:sz="4" w:space="0" w:color="auto"/>
                    <w:left w:val="single" w:sz="4" w:space="0" w:color="auto"/>
                    <w:bottom w:val="single" w:sz="4" w:space="0" w:color="auto"/>
                    <w:right w:val="single" w:sz="4" w:space="0" w:color="auto"/>
                  </w:tcBorders>
                  <w:vAlign w:val="center"/>
                </w:tcPr>
                <w:p w14:paraId="009B8440" w14:textId="77777777" w:rsidR="00F76A63" w:rsidRDefault="00000000">
                  <w:pPr>
                    <w:adjustRightInd w:val="0"/>
                    <w:snapToGrid w:val="0"/>
                    <w:jc w:val="center"/>
                    <w:rPr>
                      <w:sz w:val="18"/>
                      <w:szCs w:val="18"/>
                    </w:rPr>
                  </w:pPr>
                  <w:r>
                    <w:rPr>
                      <w:rFonts w:eastAsia="Arial Unicode MS"/>
                      <w:sz w:val="18"/>
                      <w:szCs w:val="18"/>
                    </w:rPr>
                    <w:t>0.02</w:t>
                  </w:r>
                </w:p>
              </w:tc>
              <w:tc>
                <w:tcPr>
                  <w:tcW w:w="707" w:type="pct"/>
                  <w:tcBorders>
                    <w:top w:val="single" w:sz="4" w:space="0" w:color="auto"/>
                    <w:left w:val="single" w:sz="4" w:space="0" w:color="auto"/>
                    <w:bottom w:val="single" w:sz="4" w:space="0" w:color="auto"/>
                    <w:right w:val="single" w:sz="4" w:space="0" w:color="auto"/>
                  </w:tcBorders>
                  <w:vAlign w:val="center"/>
                </w:tcPr>
                <w:p w14:paraId="692D4AB6" w14:textId="77777777" w:rsidR="00F76A63" w:rsidRDefault="00000000">
                  <w:pPr>
                    <w:adjustRightInd w:val="0"/>
                    <w:snapToGrid w:val="0"/>
                    <w:jc w:val="center"/>
                    <w:rPr>
                      <w:sz w:val="18"/>
                      <w:szCs w:val="18"/>
                    </w:rPr>
                  </w:pPr>
                  <w:r>
                    <w:rPr>
                      <w:rFonts w:eastAsia="Arial Unicode MS"/>
                      <w:sz w:val="18"/>
                      <w:szCs w:val="18"/>
                    </w:rPr>
                    <w:t>0.01</w:t>
                  </w:r>
                </w:p>
              </w:tc>
              <w:tc>
                <w:tcPr>
                  <w:tcW w:w="504" w:type="pct"/>
                  <w:vMerge/>
                  <w:tcBorders>
                    <w:top w:val="single" w:sz="4" w:space="0" w:color="auto"/>
                    <w:left w:val="single" w:sz="4" w:space="0" w:color="auto"/>
                    <w:bottom w:val="single" w:sz="4" w:space="0" w:color="auto"/>
                    <w:right w:val="nil"/>
                  </w:tcBorders>
                  <w:vAlign w:val="center"/>
                </w:tcPr>
                <w:p w14:paraId="0998228E" w14:textId="77777777" w:rsidR="00F76A63" w:rsidRDefault="00F76A63">
                  <w:pPr>
                    <w:adjustRightInd w:val="0"/>
                    <w:snapToGrid w:val="0"/>
                    <w:jc w:val="center"/>
                    <w:rPr>
                      <w:sz w:val="18"/>
                      <w:szCs w:val="18"/>
                    </w:rPr>
                  </w:pPr>
                </w:p>
              </w:tc>
            </w:tr>
            <w:tr w:rsidR="00F76A63" w14:paraId="6CED19BB" w14:textId="77777777">
              <w:trPr>
                <w:trHeight w:val="340"/>
                <w:jc w:val="center"/>
              </w:trPr>
              <w:tc>
                <w:tcPr>
                  <w:tcW w:w="422" w:type="pct"/>
                  <w:vMerge/>
                  <w:tcBorders>
                    <w:left w:val="nil"/>
                    <w:right w:val="single" w:sz="4" w:space="0" w:color="auto"/>
                  </w:tcBorders>
                  <w:vAlign w:val="center"/>
                </w:tcPr>
                <w:p w14:paraId="39C8B1E4"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35D3EDC"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0B415F42"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5F01894"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46EBC90C" w14:textId="77777777" w:rsidR="00F76A63" w:rsidRDefault="00000000">
                  <w:pPr>
                    <w:adjustRightInd w:val="0"/>
                    <w:snapToGrid w:val="0"/>
                    <w:jc w:val="center"/>
                    <w:rPr>
                      <w:sz w:val="18"/>
                      <w:szCs w:val="18"/>
                    </w:rPr>
                  </w:pPr>
                  <w:r>
                    <w:rPr>
                      <w:rFonts w:eastAsia="Arial Unicode MS"/>
                      <w:sz w:val="18"/>
                      <w:szCs w:val="18"/>
                    </w:rPr>
                    <w:t>1.01</w:t>
                  </w:r>
                </w:p>
              </w:tc>
              <w:tc>
                <w:tcPr>
                  <w:tcW w:w="668" w:type="pct"/>
                  <w:tcBorders>
                    <w:top w:val="single" w:sz="4" w:space="0" w:color="auto"/>
                    <w:left w:val="single" w:sz="4" w:space="0" w:color="auto"/>
                    <w:bottom w:val="single" w:sz="4" w:space="0" w:color="auto"/>
                    <w:right w:val="single" w:sz="4" w:space="0" w:color="auto"/>
                  </w:tcBorders>
                  <w:vAlign w:val="center"/>
                </w:tcPr>
                <w:p w14:paraId="5E8C9EAF" w14:textId="77777777" w:rsidR="00F76A63" w:rsidRDefault="00000000">
                  <w:pPr>
                    <w:adjustRightInd w:val="0"/>
                    <w:snapToGrid w:val="0"/>
                    <w:jc w:val="center"/>
                    <w:rPr>
                      <w:sz w:val="18"/>
                      <w:szCs w:val="18"/>
                    </w:rPr>
                  </w:pPr>
                  <w:r>
                    <w:rPr>
                      <w:rFonts w:eastAsia="Arial Unicode MS"/>
                      <w:sz w:val="18"/>
                      <w:szCs w:val="18"/>
                    </w:rPr>
                    <w:t>2.35</w:t>
                  </w:r>
                </w:p>
              </w:tc>
              <w:tc>
                <w:tcPr>
                  <w:tcW w:w="707" w:type="pct"/>
                  <w:tcBorders>
                    <w:top w:val="single" w:sz="4" w:space="0" w:color="auto"/>
                    <w:left w:val="single" w:sz="4" w:space="0" w:color="auto"/>
                    <w:bottom w:val="single" w:sz="4" w:space="0" w:color="auto"/>
                    <w:right w:val="single" w:sz="4" w:space="0" w:color="auto"/>
                  </w:tcBorders>
                  <w:vAlign w:val="center"/>
                </w:tcPr>
                <w:p w14:paraId="53B08ACC" w14:textId="77777777" w:rsidR="00F76A63" w:rsidRDefault="00000000">
                  <w:pPr>
                    <w:adjustRightInd w:val="0"/>
                    <w:snapToGrid w:val="0"/>
                    <w:jc w:val="center"/>
                    <w:rPr>
                      <w:sz w:val="18"/>
                      <w:szCs w:val="18"/>
                    </w:rPr>
                  </w:pPr>
                  <w:r>
                    <w:rPr>
                      <w:rFonts w:eastAsia="Arial Unicode MS"/>
                      <w:sz w:val="18"/>
                      <w:szCs w:val="18"/>
                    </w:rPr>
                    <w:t>20.19</w:t>
                  </w:r>
                </w:p>
              </w:tc>
              <w:tc>
                <w:tcPr>
                  <w:tcW w:w="504" w:type="pct"/>
                  <w:vMerge/>
                  <w:tcBorders>
                    <w:top w:val="single" w:sz="4" w:space="0" w:color="auto"/>
                    <w:left w:val="single" w:sz="4" w:space="0" w:color="auto"/>
                    <w:bottom w:val="single" w:sz="4" w:space="0" w:color="auto"/>
                    <w:right w:val="nil"/>
                  </w:tcBorders>
                  <w:vAlign w:val="center"/>
                </w:tcPr>
                <w:p w14:paraId="36C98B2D" w14:textId="77777777" w:rsidR="00F76A63" w:rsidRDefault="00F76A63">
                  <w:pPr>
                    <w:adjustRightInd w:val="0"/>
                    <w:snapToGrid w:val="0"/>
                    <w:jc w:val="center"/>
                    <w:rPr>
                      <w:sz w:val="18"/>
                      <w:szCs w:val="18"/>
                    </w:rPr>
                  </w:pPr>
                </w:p>
              </w:tc>
            </w:tr>
            <w:tr w:rsidR="00F76A63" w14:paraId="008926A7" w14:textId="77777777">
              <w:trPr>
                <w:trHeight w:val="340"/>
                <w:jc w:val="center"/>
              </w:trPr>
              <w:tc>
                <w:tcPr>
                  <w:tcW w:w="422" w:type="pct"/>
                  <w:vMerge/>
                  <w:tcBorders>
                    <w:left w:val="nil"/>
                    <w:right w:val="single" w:sz="4" w:space="0" w:color="auto"/>
                  </w:tcBorders>
                  <w:vAlign w:val="center"/>
                </w:tcPr>
                <w:p w14:paraId="5F0119B6"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484441D8" w14:textId="77777777" w:rsidR="00F76A63" w:rsidRDefault="00000000">
                  <w:pPr>
                    <w:adjustRightInd w:val="0"/>
                    <w:snapToGrid w:val="0"/>
                    <w:jc w:val="center"/>
                    <w:rPr>
                      <w:sz w:val="18"/>
                      <w:szCs w:val="18"/>
                    </w:rPr>
                  </w:pPr>
                  <w:r>
                    <w:rPr>
                      <w:sz w:val="18"/>
                      <w:szCs w:val="18"/>
                    </w:rPr>
                    <w:t>202411</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7D9ED66E" w14:textId="77777777" w:rsidR="00F76A63" w:rsidRDefault="00000000">
                  <w:pPr>
                    <w:widowControl/>
                    <w:jc w:val="center"/>
                    <w:rPr>
                      <w:rFonts w:eastAsia="Arial Unicode MS"/>
                      <w:kern w:val="0"/>
                      <w:sz w:val="18"/>
                      <w:szCs w:val="18"/>
                    </w:rPr>
                  </w:pPr>
                  <w:r>
                    <w:rPr>
                      <w:rFonts w:eastAsia="Arial Unicode MS"/>
                      <w:sz w:val="18"/>
                      <w:szCs w:val="18"/>
                    </w:rPr>
                    <w:t>634857.72</w:t>
                  </w:r>
                </w:p>
              </w:tc>
              <w:tc>
                <w:tcPr>
                  <w:tcW w:w="546" w:type="pct"/>
                  <w:tcBorders>
                    <w:top w:val="single" w:sz="4" w:space="0" w:color="auto"/>
                    <w:left w:val="single" w:sz="4" w:space="0" w:color="auto"/>
                    <w:bottom w:val="single" w:sz="4" w:space="0" w:color="auto"/>
                    <w:right w:val="single" w:sz="4" w:space="0" w:color="auto"/>
                  </w:tcBorders>
                  <w:vAlign w:val="center"/>
                </w:tcPr>
                <w:p w14:paraId="5195276E"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2168F56" w14:textId="77777777" w:rsidR="00F76A63" w:rsidRDefault="00000000">
                  <w:pPr>
                    <w:adjustRightInd w:val="0"/>
                    <w:snapToGrid w:val="0"/>
                    <w:jc w:val="center"/>
                    <w:rPr>
                      <w:sz w:val="18"/>
                      <w:szCs w:val="18"/>
                    </w:rPr>
                  </w:pPr>
                  <w:r>
                    <w:rPr>
                      <w:rFonts w:eastAsia="Arial Unicode MS"/>
                      <w:sz w:val="18"/>
                      <w:szCs w:val="18"/>
                    </w:rPr>
                    <w:t>1.57</w:t>
                  </w:r>
                </w:p>
              </w:tc>
              <w:tc>
                <w:tcPr>
                  <w:tcW w:w="668" w:type="pct"/>
                  <w:tcBorders>
                    <w:top w:val="single" w:sz="4" w:space="0" w:color="auto"/>
                    <w:left w:val="single" w:sz="4" w:space="0" w:color="auto"/>
                    <w:bottom w:val="single" w:sz="4" w:space="0" w:color="auto"/>
                    <w:right w:val="single" w:sz="4" w:space="0" w:color="auto"/>
                  </w:tcBorders>
                  <w:vAlign w:val="center"/>
                </w:tcPr>
                <w:p w14:paraId="1685B10F" w14:textId="77777777" w:rsidR="00F76A63" w:rsidRDefault="00000000">
                  <w:pPr>
                    <w:adjustRightInd w:val="0"/>
                    <w:snapToGrid w:val="0"/>
                    <w:jc w:val="center"/>
                    <w:rPr>
                      <w:sz w:val="18"/>
                      <w:szCs w:val="18"/>
                    </w:rPr>
                  </w:pPr>
                  <w:r>
                    <w:rPr>
                      <w:rFonts w:eastAsia="Arial Unicode MS"/>
                      <w:sz w:val="18"/>
                      <w:szCs w:val="18"/>
                    </w:rPr>
                    <w:t>21.06</w:t>
                  </w:r>
                </w:p>
              </w:tc>
              <w:tc>
                <w:tcPr>
                  <w:tcW w:w="707" w:type="pct"/>
                  <w:tcBorders>
                    <w:top w:val="single" w:sz="4" w:space="0" w:color="auto"/>
                    <w:left w:val="single" w:sz="4" w:space="0" w:color="auto"/>
                    <w:bottom w:val="single" w:sz="4" w:space="0" w:color="auto"/>
                    <w:right w:val="single" w:sz="4" w:space="0" w:color="auto"/>
                  </w:tcBorders>
                  <w:vAlign w:val="center"/>
                </w:tcPr>
                <w:p w14:paraId="21E6459F" w14:textId="77777777" w:rsidR="00F76A63" w:rsidRDefault="00000000">
                  <w:pPr>
                    <w:adjustRightInd w:val="0"/>
                    <w:snapToGrid w:val="0"/>
                    <w:jc w:val="center"/>
                    <w:rPr>
                      <w:b/>
                      <w:bCs/>
                      <w:sz w:val="18"/>
                      <w:szCs w:val="18"/>
                    </w:rPr>
                  </w:pPr>
                  <w:r>
                    <w:rPr>
                      <w:rFonts w:eastAsia="Arial Unicode MS"/>
                      <w:b/>
                      <w:bCs/>
                      <w:sz w:val="18"/>
                      <w:szCs w:val="18"/>
                    </w:rPr>
                    <w:t>84.97</w:t>
                  </w:r>
                </w:p>
              </w:tc>
              <w:tc>
                <w:tcPr>
                  <w:tcW w:w="504" w:type="pct"/>
                  <w:vMerge w:val="restart"/>
                  <w:tcBorders>
                    <w:top w:val="single" w:sz="4" w:space="0" w:color="auto"/>
                    <w:left w:val="single" w:sz="4" w:space="0" w:color="auto"/>
                    <w:bottom w:val="single" w:sz="4" w:space="0" w:color="auto"/>
                    <w:right w:val="nil"/>
                  </w:tcBorders>
                  <w:vAlign w:val="center"/>
                </w:tcPr>
                <w:p w14:paraId="1A09AEF2" w14:textId="77777777" w:rsidR="00F76A63" w:rsidRDefault="00000000">
                  <w:pPr>
                    <w:adjustRightInd w:val="0"/>
                    <w:snapToGrid w:val="0"/>
                    <w:jc w:val="center"/>
                    <w:rPr>
                      <w:sz w:val="18"/>
                      <w:szCs w:val="18"/>
                    </w:rPr>
                  </w:pPr>
                  <w:r>
                    <w:rPr>
                      <w:sz w:val="18"/>
                      <w:szCs w:val="18"/>
                    </w:rPr>
                    <w:t>/</w:t>
                  </w:r>
                </w:p>
              </w:tc>
            </w:tr>
            <w:tr w:rsidR="00F76A63" w14:paraId="6567EEC6" w14:textId="77777777">
              <w:trPr>
                <w:trHeight w:val="340"/>
                <w:jc w:val="center"/>
              </w:trPr>
              <w:tc>
                <w:tcPr>
                  <w:tcW w:w="422" w:type="pct"/>
                  <w:vMerge/>
                  <w:tcBorders>
                    <w:left w:val="nil"/>
                    <w:right w:val="single" w:sz="4" w:space="0" w:color="auto"/>
                  </w:tcBorders>
                  <w:vAlign w:val="center"/>
                </w:tcPr>
                <w:p w14:paraId="289C72A4"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14E6CA3C"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74E917CE"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D431E47"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02ED6356" w14:textId="77777777" w:rsidR="00F76A63" w:rsidRDefault="00000000">
                  <w:pPr>
                    <w:adjustRightInd w:val="0"/>
                    <w:snapToGrid w:val="0"/>
                    <w:jc w:val="center"/>
                    <w:rPr>
                      <w:sz w:val="18"/>
                      <w:szCs w:val="18"/>
                    </w:rPr>
                  </w:pPr>
                  <w:r>
                    <w:rPr>
                      <w:rFonts w:eastAsia="Arial Unicode MS"/>
                      <w:sz w:val="18"/>
                      <w:szCs w:val="18"/>
                    </w:rPr>
                    <w:t>1.02</w:t>
                  </w:r>
                </w:p>
              </w:tc>
              <w:tc>
                <w:tcPr>
                  <w:tcW w:w="668" w:type="pct"/>
                  <w:tcBorders>
                    <w:top w:val="single" w:sz="4" w:space="0" w:color="auto"/>
                    <w:left w:val="single" w:sz="4" w:space="0" w:color="auto"/>
                    <w:bottom w:val="single" w:sz="4" w:space="0" w:color="auto"/>
                    <w:right w:val="single" w:sz="4" w:space="0" w:color="auto"/>
                  </w:tcBorders>
                  <w:vAlign w:val="center"/>
                </w:tcPr>
                <w:p w14:paraId="6808900A" w14:textId="77777777" w:rsidR="00F76A63" w:rsidRDefault="00000000">
                  <w:pPr>
                    <w:adjustRightInd w:val="0"/>
                    <w:snapToGrid w:val="0"/>
                    <w:jc w:val="center"/>
                    <w:rPr>
                      <w:sz w:val="18"/>
                      <w:szCs w:val="18"/>
                    </w:rPr>
                  </w:pPr>
                  <w:r>
                    <w:rPr>
                      <w:rFonts w:eastAsia="Arial Unicode MS"/>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2B8AB983" w14:textId="77777777" w:rsidR="00F76A63" w:rsidRDefault="00000000">
                  <w:pPr>
                    <w:adjustRightInd w:val="0"/>
                    <w:snapToGrid w:val="0"/>
                    <w:jc w:val="center"/>
                    <w:rPr>
                      <w:sz w:val="18"/>
                      <w:szCs w:val="18"/>
                    </w:rPr>
                  </w:pPr>
                  <w:r>
                    <w:rPr>
                      <w:rFonts w:eastAsia="Arial Unicode MS"/>
                      <w:sz w:val="18"/>
                      <w:szCs w:val="18"/>
                    </w:rPr>
                    <w:t>0.14</w:t>
                  </w:r>
                </w:p>
              </w:tc>
              <w:tc>
                <w:tcPr>
                  <w:tcW w:w="504" w:type="pct"/>
                  <w:vMerge/>
                  <w:tcBorders>
                    <w:top w:val="single" w:sz="4" w:space="0" w:color="auto"/>
                    <w:left w:val="single" w:sz="4" w:space="0" w:color="auto"/>
                    <w:bottom w:val="single" w:sz="4" w:space="0" w:color="auto"/>
                    <w:right w:val="nil"/>
                  </w:tcBorders>
                  <w:vAlign w:val="center"/>
                </w:tcPr>
                <w:p w14:paraId="03FB93F6" w14:textId="77777777" w:rsidR="00F76A63" w:rsidRDefault="00F76A63">
                  <w:pPr>
                    <w:adjustRightInd w:val="0"/>
                    <w:snapToGrid w:val="0"/>
                    <w:jc w:val="center"/>
                    <w:rPr>
                      <w:sz w:val="18"/>
                      <w:szCs w:val="18"/>
                    </w:rPr>
                  </w:pPr>
                </w:p>
              </w:tc>
            </w:tr>
            <w:tr w:rsidR="00F76A63" w14:paraId="1A6EF39F" w14:textId="77777777">
              <w:trPr>
                <w:trHeight w:val="340"/>
                <w:jc w:val="center"/>
              </w:trPr>
              <w:tc>
                <w:tcPr>
                  <w:tcW w:w="422" w:type="pct"/>
                  <w:vMerge/>
                  <w:tcBorders>
                    <w:left w:val="nil"/>
                    <w:right w:val="single" w:sz="4" w:space="0" w:color="auto"/>
                  </w:tcBorders>
                  <w:vAlign w:val="center"/>
                </w:tcPr>
                <w:p w14:paraId="5F401ACA"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395090B3"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62CBEA48"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3E7C265"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D19684C" w14:textId="77777777" w:rsidR="00F76A63" w:rsidRDefault="00000000">
                  <w:pPr>
                    <w:adjustRightInd w:val="0"/>
                    <w:snapToGrid w:val="0"/>
                    <w:jc w:val="center"/>
                    <w:rPr>
                      <w:sz w:val="18"/>
                      <w:szCs w:val="18"/>
                    </w:rPr>
                  </w:pPr>
                  <w:r>
                    <w:rPr>
                      <w:rFonts w:eastAsia="Arial Unicode MS"/>
                      <w:sz w:val="18"/>
                      <w:szCs w:val="18"/>
                    </w:rPr>
                    <w:t>1.38</w:t>
                  </w:r>
                </w:p>
              </w:tc>
              <w:tc>
                <w:tcPr>
                  <w:tcW w:w="668" w:type="pct"/>
                  <w:tcBorders>
                    <w:top w:val="single" w:sz="4" w:space="0" w:color="auto"/>
                    <w:left w:val="single" w:sz="4" w:space="0" w:color="auto"/>
                    <w:bottom w:val="single" w:sz="4" w:space="0" w:color="auto"/>
                    <w:right w:val="single" w:sz="4" w:space="0" w:color="auto"/>
                  </w:tcBorders>
                  <w:vAlign w:val="center"/>
                </w:tcPr>
                <w:p w14:paraId="42C2E9A6" w14:textId="77777777" w:rsidR="00F76A63" w:rsidRDefault="00000000">
                  <w:pPr>
                    <w:adjustRightInd w:val="0"/>
                    <w:snapToGrid w:val="0"/>
                    <w:jc w:val="center"/>
                    <w:rPr>
                      <w:sz w:val="18"/>
                      <w:szCs w:val="18"/>
                    </w:rPr>
                  </w:pPr>
                  <w:r>
                    <w:rPr>
                      <w:rFonts w:eastAsia="Arial Unicode MS"/>
                      <w:sz w:val="18"/>
                      <w:szCs w:val="18"/>
                    </w:rPr>
                    <w:t>1.63</w:t>
                  </w:r>
                </w:p>
              </w:tc>
              <w:tc>
                <w:tcPr>
                  <w:tcW w:w="707" w:type="pct"/>
                  <w:tcBorders>
                    <w:top w:val="single" w:sz="4" w:space="0" w:color="auto"/>
                    <w:left w:val="single" w:sz="4" w:space="0" w:color="auto"/>
                    <w:bottom w:val="single" w:sz="4" w:space="0" w:color="auto"/>
                    <w:right w:val="single" w:sz="4" w:space="0" w:color="auto"/>
                  </w:tcBorders>
                  <w:vAlign w:val="center"/>
                </w:tcPr>
                <w:p w14:paraId="4A8A6E6E" w14:textId="77777777" w:rsidR="00F76A63" w:rsidRDefault="00000000">
                  <w:pPr>
                    <w:adjustRightInd w:val="0"/>
                    <w:snapToGrid w:val="0"/>
                    <w:jc w:val="center"/>
                    <w:rPr>
                      <w:sz w:val="18"/>
                      <w:szCs w:val="18"/>
                    </w:rPr>
                  </w:pPr>
                  <w:r>
                    <w:rPr>
                      <w:rFonts w:eastAsia="Arial Unicode MS"/>
                      <w:sz w:val="18"/>
                      <w:szCs w:val="18"/>
                    </w:rPr>
                    <w:t>31.70</w:t>
                  </w:r>
                </w:p>
              </w:tc>
              <w:tc>
                <w:tcPr>
                  <w:tcW w:w="504" w:type="pct"/>
                  <w:vMerge/>
                  <w:tcBorders>
                    <w:top w:val="single" w:sz="4" w:space="0" w:color="auto"/>
                    <w:left w:val="single" w:sz="4" w:space="0" w:color="auto"/>
                    <w:bottom w:val="single" w:sz="4" w:space="0" w:color="auto"/>
                    <w:right w:val="nil"/>
                  </w:tcBorders>
                  <w:vAlign w:val="center"/>
                </w:tcPr>
                <w:p w14:paraId="3BBB45BB" w14:textId="77777777" w:rsidR="00F76A63" w:rsidRDefault="00F76A63">
                  <w:pPr>
                    <w:adjustRightInd w:val="0"/>
                    <w:snapToGrid w:val="0"/>
                    <w:jc w:val="center"/>
                    <w:rPr>
                      <w:sz w:val="18"/>
                      <w:szCs w:val="18"/>
                    </w:rPr>
                  </w:pPr>
                </w:p>
              </w:tc>
            </w:tr>
            <w:tr w:rsidR="00F76A63" w14:paraId="39283976" w14:textId="77777777">
              <w:trPr>
                <w:trHeight w:val="340"/>
                <w:jc w:val="center"/>
              </w:trPr>
              <w:tc>
                <w:tcPr>
                  <w:tcW w:w="422" w:type="pct"/>
                  <w:vMerge/>
                  <w:tcBorders>
                    <w:left w:val="nil"/>
                    <w:right w:val="single" w:sz="4" w:space="0" w:color="auto"/>
                  </w:tcBorders>
                  <w:vAlign w:val="center"/>
                </w:tcPr>
                <w:p w14:paraId="2D84E8B0"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5EDF7E2E" w14:textId="77777777" w:rsidR="00F76A63" w:rsidRDefault="00000000">
                  <w:pPr>
                    <w:adjustRightInd w:val="0"/>
                    <w:snapToGrid w:val="0"/>
                    <w:jc w:val="center"/>
                    <w:rPr>
                      <w:sz w:val="18"/>
                      <w:szCs w:val="18"/>
                    </w:rPr>
                  </w:pPr>
                  <w:r>
                    <w:rPr>
                      <w:sz w:val="18"/>
                      <w:szCs w:val="18"/>
                    </w:rPr>
                    <w:t>202412</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3EF8872C" w14:textId="77777777" w:rsidR="00F76A63" w:rsidRDefault="00000000">
                  <w:pPr>
                    <w:widowControl/>
                    <w:jc w:val="center"/>
                    <w:rPr>
                      <w:rFonts w:eastAsia="Arial Unicode MS"/>
                      <w:kern w:val="0"/>
                      <w:sz w:val="18"/>
                      <w:szCs w:val="18"/>
                    </w:rPr>
                  </w:pPr>
                  <w:r>
                    <w:rPr>
                      <w:rFonts w:eastAsia="Arial Unicode MS"/>
                      <w:sz w:val="18"/>
                      <w:szCs w:val="18"/>
                    </w:rPr>
                    <w:t>667837.57</w:t>
                  </w:r>
                </w:p>
              </w:tc>
              <w:tc>
                <w:tcPr>
                  <w:tcW w:w="546" w:type="pct"/>
                  <w:tcBorders>
                    <w:top w:val="single" w:sz="4" w:space="0" w:color="auto"/>
                    <w:left w:val="single" w:sz="4" w:space="0" w:color="auto"/>
                    <w:bottom w:val="single" w:sz="4" w:space="0" w:color="auto"/>
                    <w:right w:val="single" w:sz="4" w:space="0" w:color="auto"/>
                  </w:tcBorders>
                  <w:vAlign w:val="center"/>
                </w:tcPr>
                <w:p w14:paraId="5F66825E"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7AA432C0" w14:textId="77777777" w:rsidR="00F76A63" w:rsidRDefault="00000000">
                  <w:pPr>
                    <w:adjustRightInd w:val="0"/>
                    <w:snapToGrid w:val="0"/>
                    <w:jc w:val="center"/>
                    <w:rPr>
                      <w:sz w:val="18"/>
                      <w:szCs w:val="18"/>
                    </w:rPr>
                  </w:pPr>
                  <w:r>
                    <w:rPr>
                      <w:rFonts w:eastAsia="Arial Unicode MS"/>
                      <w:sz w:val="18"/>
                      <w:szCs w:val="18"/>
                    </w:rPr>
                    <w:t>1.97</w:t>
                  </w:r>
                </w:p>
              </w:tc>
              <w:tc>
                <w:tcPr>
                  <w:tcW w:w="668" w:type="pct"/>
                  <w:tcBorders>
                    <w:top w:val="single" w:sz="4" w:space="0" w:color="auto"/>
                    <w:left w:val="single" w:sz="4" w:space="0" w:color="auto"/>
                    <w:bottom w:val="single" w:sz="4" w:space="0" w:color="auto"/>
                    <w:right w:val="single" w:sz="4" w:space="0" w:color="auto"/>
                  </w:tcBorders>
                  <w:vAlign w:val="center"/>
                </w:tcPr>
                <w:p w14:paraId="083BF174" w14:textId="77777777" w:rsidR="00F76A63" w:rsidRDefault="00000000">
                  <w:pPr>
                    <w:adjustRightInd w:val="0"/>
                    <w:snapToGrid w:val="0"/>
                    <w:jc w:val="center"/>
                    <w:rPr>
                      <w:sz w:val="18"/>
                      <w:szCs w:val="18"/>
                    </w:rPr>
                  </w:pPr>
                  <w:r>
                    <w:rPr>
                      <w:rFonts w:eastAsia="Arial Unicode MS"/>
                      <w:sz w:val="18"/>
                      <w:szCs w:val="18"/>
                    </w:rPr>
                    <w:t>7.51</w:t>
                  </w:r>
                </w:p>
              </w:tc>
              <w:tc>
                <w:tcPr>
                  <w:tcW w:w="707" w:type="pct"/>
                  <w:tcBorders>
                    <w:top w:val="single" w:sz="4" w:space="0" w:color="auto"/>
                    <w:left w:val="single" w:sz="4" w:space="0" w:color="auto"/>
                    <w:bottom w:val="single" w:sz="4" w:space="0" w:color="auto"/>
                    <w:right w:val="single" w:sz="4" w:space="0" w:color="auto"/>
                  </w:tcBorders>
                  <w:vAlign w:val="center"/>
                </w:tcPr>
                <w:p w14:paraId="7EAAB2CC" w14:textId="77777777" w:rsidR="00F76A63" w:rsidRDefault="00000000">
                  <w:pPr>
                    <w:adjustRightInd w:val="0"/>
                    <w:snapToGrid w:val="0"/>
                    <w:jc w:val="center"/>
                    <w:rPr>
                      <w:sz w:val="18"/>
                      <w:szCs w:val="18"/>
                    </w:rPr>
                  </w:pPr>
                  <w:r>
                    <w:rPr>
                      <w:rFonts w:eastAsia="Arial Unicode MS"/>
                      <w:sz w:val="18"/>
                      <w:szCs w:val="18"/>
                    </w:rPr>
                    <w:t>43.42</w:t>
                  </w:r>
                </w:p>
              </w:tc>
              <w:tc>
                <w:tcPr>
                  <w:tcW w:w="504" w:type="pct"/>
                  <w:vMerge w:val="restart"/>
                  <w:tcBorders>
                    <w:top w:val="single" w:sz="4" w:space="0" w:color="auto"/>
                    <w:left w:val="single" w:sz="4" w:space="0" w:color="auto"/>
                    <w:bottom w:val="single" w:sz="4" w:space="0" w:color="auto"/>
                    <w:right w:val="nil"/>
                  </w:tcBorders>
                  <w:vAlign w:val="center"/>
                </w:tcPr>
                <w:p w14:paraId="759A3D22" w14:textId="77777777" w:rsidR="00F76A63" w:rsidRDefault="00000000">
                  <w:pPr>
                    <w:adjustRightInd w:val="0"/>
                    <w:snapToGrid w:val="0"/>
                    <w:jc w:val="center"/>
                    <w:rPr>
                      <w:sz w:val="18"/>
                      <w:szCs w:val="18"/>
                    </w:rPr>
                  </w:pPr>
                  <w:r>
                    <w:rPr>
                      <w:sz w:val="18"/>
                      <w:szCs w:val="18"/>
                    </w:rPr>
                    <w:t>/</w:t>
                  </w:r>
                </w:p>
              </w:tc>
            </w:tr>
            <w:tr w:rsidR="00F76A63" w14:paraId="00820390" w14:textId="77777777">
              <w:trPr>
                <w:trHeight w:val="340"/>
                <w:jc w:val="center"/>
              </w:trPr>
              <w:tc>
                <w:tcPr>
                  <w:tcW w:w="422" w:type="pct"/>
                  <w:vMerge/>
                  <w:tcBorders>
                    <w:left w:val="nil"/>
                    <w:right w:val="single" w:sz="4" w:space="0" w:color="auto"/>
                  </w:tcBorders>
                  <w:vAlign w:val="center"/>
                </w:tcPr>
                <w:p w14:paraId="5731444C"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18160F0C"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214C075E"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CC369FA"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6FC58AF0" w14:textId="77777777" w:rsidR="00F76A63" w:rsidRDefault="00000000">
                  <w:pPr>
                    <w:adjustRightInd w:val="0"/>
                    <w:snapToGrid w:val="0"/>
                    <w:jc w:val="center"/>
                    <w:rPr>
                      <w:sz w:val="18"/>
                      <w:szCs w:val="18"/>
                    </w:rPr>
                  </w:pPr>
                  <w:r>
                    <w:rPr>
                      <w:rFonts w:eastAsia="Arial Unicode MS"/>
                      <w:sz w:val="18"/>
                      <w:szCs w:val="18"/>
                    </w:rPr>
                    <w:t>1.25</w:t>
                  </w:r>
                </w:p>
              </w:tc>
              <w:tc>
                <w:tcPr>
                  <w:tcW w:w="668" w:type="pct"/>
                  <w:tcBorders>
                    <w:top w:val="single" w:sz="4" w:space="0" w:color="auto"/>
                    <w:left w:val="single" w:sz="4" w:space="0" w:color="auto"/>
                    <w:bottom w:val="single" w:sz="4" w:space="0" w:color="auto"/>
                    <w:right w:val="single" w:sz="4" w:space="0" w:color="auto"/>
                  </w:tcBorders>
                  <w:vAlign w:val="center"/>
                </w:tcPr>
                <w:p w14:paraId="0870016B" w14:textId="77777777" w:rsidR="00F76A63" w:rsidRDefault="00000000">
                  <w:pPr>
                    <w:adjustRightInd w:val="0"/>
                    <w:snapToGrid w:val="0"/>
                    <w:jc w:val="center"/>
                    <w:rPr>
                      <w:sz w:val="18"/>
                      <w:szCs w:val="18"/>
                    </w:rPr>
                  </w:pPr>
                  <w:r>
                    <w:rPr>
                      <w:rFonts w:eastAsia="Arial Unicode MS"/>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4BF30C75" w14:textId="77777777" w:rsidR="00F76A63" w:rsidRDefault="00000000">
                  <w:pPr>
                    <w:adjustRightInd w:val="0"/>
                    <w:snapToGrid w:val="0"/>
                    <w:jc w:val="center"/>
                    <w:rPr>
                      <w:sz w:val="18"/>
                      <w:szCs w:val="18"/>
                    </w:rPr>
                  </w:pPr>
                  <w:r>
                    <w:rPr>
                      <w:rFonts w:eastAsia="Arial Unicode MS"/>
                      <w:sz w:val="18"/>
                      <w:szCs w:val="18"/>
                    </w:rPr>
                    <w:t>0.03</w:t>
                  </w:r>
                </w:p>
              </w:tc>
              <w:tc>
                <w:tcPr>
                  <w:tcW w:w="504" w:type="pct"/>
                  <w:vMerge/>
                  <w:tcBorders>
                    <w:top w:val="single" w:sz="4" w:space="0" w:color="auto"/>
                    <w:left w:val="single" w:sz="4" w:space="0" w:color="auto"/>
                    <w:bottom w:val="single" w:sz="4" w:space="0" w:color="auto"/>
                    <w:right w:val="nil"/>
                  </w:tcBorders>
                  <w:vAlign w:val="center"/>
                </w:tcPr>
                <w:p w14:paraId="4631D33F" w14:textId="77777777" w:rsidR="00F76A63" w:rsidRDefault="00F76A63">
                  <w:pPr>
                    <w:adjustRightInd w:val="0"/>
                    <w:snapToGrid w:val="0"/>
                    <w:jc w:val="center"/>
                    <w:rPr>
                      <w:sz w:val="18"/>
                      <w:szCs w:val="18"/>
                    </w:rPr>
                  </w:pPr>
                </w:p>
              </w:tc>
            </w:tr>
            <w:tr w:rsidR="00F76A63" w14:paraId="12A08579" w14:textId="77777777">
              <w:trPr>
                <w:trHeight w:val="340"/>
                <w:jc w:val="center"/>
              </w:trPr>
              <w:tc>
                <w:tcPr>
                  <w:tcW w:w="422" w:type="pct"/>
                  <w:vMerge/>
                  <w:tcBorders>
                    <w:left w:val="nil"/>
                    <w:right w:val="single" w:sz="4" w:space="0" w:color="auto"/>
                  </w:tcBorders>
                  <w:vAlign w:val="center"/>
                </w:tcPr>
                <w:p w14:paraId="16CF5F77"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2C8E1BE5"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62D0DFFE"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22DF386"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37E40830" w14:textId="77777777" w:rsidR="00F76A63" w:rsidRDefault="00000000">
                  <w:pPr>
                    <w:adjustRightInd w:val="0"/>
                    <w:snapToGrid w:val="0"/>
                    <w:jc w:val="center"/>
                    <w:rPr>
                      <w:sz w:val="18"/>
                      <w:szCs w:val="18"/>
                    </w:rPr>
                  </w:pPr>
                  <w:r>
                    <w:rPr>
                      <w:rFonts w:eastAsia="Arial Unicode MS"/>
                      <w:sz w:val="18"/>
                      <w:szCs w:val="18"/>
                    </w:rPr>
                    <w:t>1.50</w:t>
                  </w:r>
                </w:p>
              </w:tc>
              <w:tc>
                <w:tcPr>
                  <w:tcW w:w="668" w:type="pct"/>
                  <w:tcBorders>
                    <w:top w:val="single" w:sz="4" w:space="0" w:color="auto"/>
                    <w:left w:val="single" w:sz="4" w:space="0" w:color="auto"/>
                    <w:bottom w:val="single" w:sz="4" w:space="0" w:color="auto"/>
                    <w:right w:val="single" w:sz="4" w:space="0" w:color="auto"/>
                  </w:tcBorders>
                  <w:vAlign w:val="center"/>
                </w:tcPr>
                <w:p w14:paraId="421AEF3C" w14:textId="77777777" w:rsidR="00F76A63" w:rsidRDefault="00000000">
                  <w:pPr>
                    <w:adjustRightInd w:val="0"/>
                    <w:snapToGrid w:val="0"/>
                    <w:jc w:val="center"/>
                    <w:rPr>
                      <w:sz w:val="18"/>
                      <w:szCs w:val="18"/>
                    </w:rPr>
                  </w:pPr>
                  <w:r>
                    <w:rPr>
                      <w:rFonts w:eastAsia="Arial Unicode MS"/>
                      <w:sz w:val="18"/>
                      <w:szCs w:val="18"/>
                    </w:rPr>
                    <w:t>1.17</w:t>
                  </w:r>
                </w:p>
              </w:tc>
              <w:tc>
                <w:tcPr>
                  <w:tcW w:w="707" w:type="pct"/>
                  <w:tcBorders>
                    <w:top w:val="single" w:sz="4" w:space="0" w:color="auto"/>
                    <w:left w:val="single" w:sz="4" w:space="0" w:color="auto"/>
                    <w:bottom w:val="single" w:sz="4" w:space="0" w:color="auto"/>
                    <w:right w:val="single" w:sz="4" w:space="0" w:color="auto"/>
                  </w:tcBorders>
                  <w:vAlign w:val="center"/>
                </w:tcPr>
                <w:p w14:paraId="1E589A74" w14:textId="77777777" w:rsidR="00F76A63" w:rsidRDefault="00000000">
                  <w:pPr>
                    <w:adjustRightInd w:val="0"/>
                    <w:snapToGrid w:val="0"/>
                    <w:jc w:val="center"/>
                    <w:rPr>
                      <w:sz w:val="18"/>
                      <w:szCs w:val="18"/>
                    </w:rPr>
                  </w:pPr>
                  <w:r>
                    <w:rPr>
                      <w:rFonts w:eastAsia="Arial Unicode MS"/>
                      <w:sz w:val="18"/>
                      <w:szCs w:val="18"/>
                    </w:rPr>
                    <w:t>33.96</w:t>
                  </w:r>
                </w:p>
              </w:tc>
              <w:tc>
                <w:tcPr>
                  <w:tcW w:w="504" w:type="pct"/>
                  <w:vMerge/>
                  <w:tcBorders>
                    <w:top w:val="single" w:sz="4" w:space="0" w:color="auto"/>
                    <w:left w:val="single" w:sz="4" w:space="0" w:color="auto"/>
                    <w:bottom w:val="single" w:sz="4" w:space="0" w:color="auto"/>
                    <w:right w:val="nil"/>
                  </w:tcBorders>
                  <w:vAlign w:val="center"/>
                </w:tcPr>
                <w:p w14:paraId="482A1CD2" w14:textId="77777777" w:rsidR="00F76A63" w:rsidRDefault="00F76A63">
                  <w:pPr>
                    <w:adjustRightInd w:val="0"/>
                    <w:snapToGrid w:val="0"/>
                    <w:jc w:val="center"/>
                    <w:rPr>
                      <w:sz w:val="18"/>
                      <w:szCs w:val="18"/>
                    </w:rPr>
                  </w:pPr>
                </w:p>
              </w:tc>
            </w:tr>
            <w:tr w:rsidR="00F76A63" w14:paraId="28AEC975" w14:textId="77777777">
              <w:trPr>
                <w:trHeight w:val="340"/>
                <w:jc w:val="center"/>
              </w:trPr>
              <w:tc>
                <w:tcPr>
                  <w:tcW w:w="422" w:type="pct"/>
                  <w:vMerge/>
                  <w:tcBorders>
                    <w:left w:val="nil"/>
                    <w:right w:val="single" w:sz="4" w:space="0" w:color="auto"/>
                  </w:tcBorders>
                  <w:vAlign w:val="center"/>
                </w:tcPr>
                <w:p w14:paraId="332D3CFD"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69897B11" w14:textId="77777777" w:rsidR="00F76A63" w:rsidRDefault="00000000">
                  <w:pPr>
                    <w:adjustRightInd w:val="0"/>
                    <w:snapToGrid w:val="0"/>
                    <w:jc w:val="center"/>
                    <w:rPr>
                      <w:sz w:val="18"/>
                      <w:szCs w:val="18"/>
                    </w:rPr>
                  </w:pPr>
                  <w:r>
                    <w:rPr>
                      <w:sz w:val="18"/>
                      <w:szCs w:val="18"/>
                    </w:rPr>
                    <w:t>202501</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5A432E1D" w14:textId="77777777" w:rsidR="00F76A63" w:rsidRDefault="00000000">
                  <w:pPr>
                    <w:widowControl/>
                    <w:jc w:val="center"/>
                    <w:rPr>
                      <w:kern w:val="0"/>
                      <w:sz w:val="18"/>
                      <w:szCs w:val="18"/>
                    </w:rPr>
                  </w:pPr>
                  <w:r>
                    <w:rPr>
                      <w:sz w:val="18"/>
                      <w:szCs w:val="18"/>
                    </w:rPr>
                    <w:t>531264.01</w:t>
                  </w:r>
                </w:p>
              </w:tc>
              <w:tc>
                <w:tcPr>
                  <w:tcW w:w="546" w:type="pct"/>
                  <w:tcBorders>
                    <w:top w:val="single" w:sz="4" w:space="0" w:color="auto"/>
                    <w:left w:val="single" w:sz="4" w:space="0" w:color="auto"/>
                    <w:bottom w:val="single" w:sz="4" w:space="0" w:color="auto"/>
                    <w:right w:val="single" w:sz="4" w:space="0" w:color="auto"/>
                  </w:tcBorders>
                  <w:vAlign w:val="center"/>
                </w:tcPr>
                <w:p w14:paraId="5E4D00CD"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4B249263" w14:textId="77777777" w:rsidR="00F76A63" w:rsidRDefault="00000000">
                  <w:pPr>
                    <w:adjustRightInd w:val="0"/>
                    <w:snapToGrid w:val="0"/>
                    <w:jc w:val="center"/>
                    <w:rPr>
                      <w:sz w:val="18"/>
                      <w:szCs w:val="18"/>
                    </w:rPr>
                  </w:pPr>
                  <w:r>
                    <w:rPr>
                      <w:rFonts w:eastAsia="Arial Unicode MS"/>
                      <w:sz w:val="18"/>
                      <w:szCs w:val="18"/>
                    </w:rPr>
                    <w:t>2.23</w:t>
                  </w:r>
                </w:p>
              </w:tc>
              <w:tc>
                <w:tcPr>
                  <w:tcW w:w="668" w:type="pct"/>
                  <w:tcBorders>
                    <w:top w:val="single" w:sz="4" w:space="0" w:color="auto"/>
                    <w:left w:val="single" w:sz="4" w:space="0" w:color="auto"/>
                    <w:bottom w:val="single" w:sz="4" w:space="0" w:color="auto"/>
                    <w:right w:val="single" w:sz="4" w:space="0" w:color="auto"/>
                  </w:tcBorders>
                  <w:vAlign w:val="center"/>
                </w:tcPr>
                <w:p w14:paraId="5510B89B" w14:textId="77777777" w:rsidR="00F76A63" w:rsidRDefault="00000000">
                  <w:pPr>
                    <w:adjustRightInd w:val="0"/>
                    <w:snapToGrid w:val="0"/>
                    <w:jc w:val="center"/>
                    <w:rPr>
                      <w:b/>
                      <w:bCs/>
                      <w:sz w:val="18"/>
                      <w:szCs w:val="18"/>
                    </w:rPr>
                  </w:pPr>
                  <w:r>
                    <w:rPr>
                      <w:rFonts w:eastAsia="Arial Unicode MS"/>
                      <w:b/>
                      <w:bCs/>
                      <w:sz w:val="18"/>
                      <w:szCs w:val="18"/>
                    </w:rPr>
                    <w:t>35.10</w:t>
                  </w:r>
                </w:p>
              </w:tc>
              <w:tc>
                <w:tcPr>
                  <w:tcW w:w="707" w:type="pct"/>
                  <w:tcBorders>
                    <w:top w:val="single" w:sz="4" w:space="0" w:color="auto"/>
                    <w:left w:val="single" w:sz="4" w:space="0" w:color="auto"/>
                    <w:bottom w:val="single" w:sz="4" w:space="0" w:color="auto"/>
                    <w:right w:val="single" w:sz="4" w:space="0" w:color="auto"/>
                  </w:tcBorders>
                  <w:vAlign w:val="center"/>
                </w:tcPr>
                <w:p w14:paraId="7D86E793" w14:textId="77777777" w:rsidR="00F76A63" w:rsidRDefault="00000000">
                  <w:pPr>
                    <w:adjustRightInd w:val="0"/>
                    <w:snapToGrid w:val="0"/>
                    <w:jc w:val="center"/>
                    <w:rPr>
                      <w:b/>
                      <w:bCs/>
                      <w:sz w:val="18"/>
                      <w:szCs w:val="18"/>
                    </w:rPr>
                  </w:pPr>
                  <w:r>
                    <w:rPr>
                      <w:rFonts w:eastAsia="Arial Unicode MS"/>
                      <w:b/>
                      <w:bCs/>
                      <w:sz w:val="18"/>
                      <w:szCs w:val="18"/>
                    </w:rPr>
                    <w:t>69.96</w:t>
                  </w:r>
                </w:p>
              </w:tc>
              <w:tc>
                <w:tcPr>
                  <w:tcW w:w="504" w:type="pct"/>
                  <w:vMerge w:val="restart"/>
                  <w:tcBorders>
                    <w:top w:val="single" w:sz="4" w:space="0" w:color="auto"/>
                    <w:left w:val="single" w:sz="4" w:space="0" w:color="auto"/>
                    <w:bottom w:val="single" w:sz="4" w:space="0" w:color="auto"/>
                    <w:right w:val="nil"/>
                  </w:tcBorders>
                  <w:vAlign w:val="center"/>
                </w:tcPr>
                <w:p w14:paraId="3B6EE75E" w14:textId="77777777" w:rsidR="00F76A63" w:rsidRDefault="00000000">
                  <w:pPr>
                    <w:adjustRightInd w:val="0"/>
                    <w:snapToGrid w:val="0"/>
                    <w:jc w:val="center"/>
                    <w:rPr>
                      <w:sz w:val="18"/>
                      <w:szCs w:val="18"/>
                    </w:rPr>
                  </w:pPr>
                  <w:r>
                    <w:rPr>
                      <w:sz w:val="18"/>
                      <w:szCs w:val="18"/>
                    </w:rPr>
                    <w:t>/</w:t>
                  </w:r>
                </w:p>
              </w:tc>
            </w:tr>
            <w:tr w:rsidR="00F76A63" w14:paraId="123B92F8" w14:textId="77777777">
              <w:trPr>
                <w:trHeight w:val="340"/>
                <w:jc w:val="center"/>
              </w:trPr>
              <w:tc>
                <w:tcPr>
                  <w:tcW w:w="422" w:type="pct"/>
                  <w:vMerge/>
                  <w:tcBorders>
                    <w:left w:val="nil"/>
                    <w:right w:val="single" w:sz="4" w:space="0" w:color="auto"/>
                  </w:tcBorders>
                  <w:vAlign w:val="center"/>
                </w:tcPr>
                <w:p w14:paraId="54734BD8"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6317C1A"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1372DB19"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84C05E8"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578B551E" w14:textId="77777777" w:rsidR="00F76A63" w:rsidRDefault="00000000">
                  <w:pPr>
                    <w:adjustRightInd w:val="0"/>
                    <w:snapToGrid w:val="0"/>
                    <w:jc w:val="center"/>
                    <w:rPr>
                      <w:sz w:val="18"/>
                      <w:szCs w:val="18"/>
                    </w:rPr>
                  </w:pPr>
                  <w:r>
                    <w:rPr>
                      <w:rFonts w:eastAsia="Arial Unicode MS"/>
                      <w:sz w:val="18"/>
                      <w:szCs w:val="18"/>
                    </w:rPr>
                    <w:t>1.11</w:t>
                  </w:r>
                </w:p>
              </w:tc>
              <w:tc>
                <w:tcPr>
                  <w:tcW w:w="668" w:type="pct"/>
                  <w:tcBorders>
                    <w:top w:val="single" w:sz="4" w:space="0" w:color="auto"/>
                    <w:left w:val="single" w:sz="4" w:space="0" w:color="auto"/>
                    <w:bottom w:val="single" w:sz="4" w:space="0" w:color="auto"/>
                    <w:right w:val="single" w:sz="4" w:space="0" w:color="auto"/>
                  </w:tcBorders>
                  <w:vAlign w:val="center"/>
                </w:tcPr>
                <w:p w14:paraId="174D56D0" w14:textId="77777777" w:rsidR="00F76A63" w:rsidRDefault="00000000">
                  <w:pPr>
                    <w:adjustRightInd w:val="0"/>
                    <w:snapToGrid w:val="0"/>
                    <w:jc w:val="center"/>
                    <w:rPr>
                      <w:sz w:val="18"/>
                      <w:szCs w:val="18"/>
                    </w:rPr>
                  </w:pPr>
                  <w:r>
                    <w:rPr>
                      <w:rFonts w:eastAsia="Arial Unicode MS"/>
                      <w:sz w:val="18"/>
                      <w:szCs w:val="18"/>
                    </w:rPr>
                    <w:t>0.02</w:t>
                  </w:r>
                </w:p>
              </w:tc>
              <w:tc>
                <w:tcPr>
                  <w:tcW w:w="707" w:type="pct"/>
                  <w:tcBorders>
                    <w:top w:val="single" w:sz="4" w:space="0" w:color="auto"/>
                    <w:left w:val="single" w:sz="4" w:space="0" w:color="auto"/>
                    <w:bottom w:val="single" w:sz="4" w:space="0" w:color="auto"/>
                    <w:right w:val="single" w:sz="4" w:space="0" w:color="auto"/>
                  </w:tcBorders>
                  <w:vAlign w:val="center"/>
                </w:tcPr>
                <w:p w14:paraId="0D082728" w14:textId="77777777" w:rsidR="00F76A63" w:rsidRDefault="00000000">
                  <w:pPr>
                    <w:adjustRightInd w:val="0"/>
                    <w:snapToGrid w:val="0"/>
                    <w:jc w:val="center"/>
                    <w:rPr>
                      <w:sz w:val="18"/>
                      <w:szCs w:val="18"/>
                    </w:rPr>
                  </w:pPr>
                  <w:r>
                    <w:rPr>
                      <w:rFonts w:eastAsia="Arial Unicode MS"/>
                      <w:sz w:val="18"/>
                      <w:szCs w:val="18"/>
                    </w:rPr>
                    <w:t>0.03</w:t>
                  </w:r>
                </w:p>
              </w:tc>
              <w:tc>
                <w:tcPr>
                  <w:tcW w:w="504" w:type="pct"/>
                  <w:vMerge/>
                  <w:tcBorders>
                    <w:top w:val="single" w:sz="4" w:space="0" w:color="auto"/>
                    <w:left w:val="single" w:sz="4" w:space="0" w:color="auto"/>
                    <w:bottom w:val="single" w:sz="4" w:space="0" w:color="auto"/>
                    <w:right w:val="nil"/>
                  </w:tcBorders>
                  <w:vAlign w:val="center"/>
                </w:tcPr>
                <w:p w14:paraId="0CD2E8D9" w14:textId="77777777" w:rsidR="00F76A63" w:rsidRDefault="00F76A63">
                  <w:pPr>
                    <w:adjustRightInd w:val="0"/>
                    <w:snapToGrid w:val="0"/>
                    <w:jc w:val="center"/>
                    <w:rPr>
                      <w:sz w:val="18"/>
                      <w:szCs w:val="18"/>
                    </w:rPr>
                  </w:pPr>
                </w:p>
              </w:tc>
            </w:tr>
            <w:tr w:rsidR="00F76A63" w14:paraId="231615D5" w14:textId="77777777">
              <w:trPr>
                <w:trHeight w:val="340"/>
                <w:jc w:val="center"/>
              </w:trPr>
              <w:tc>
                <w:tcPr>
                  <w:tcW w:w="422" w:type="pct"/>
                  <w:vMerge/>
                  <w:tcBorders>
                    <w:left w:val="nil"/>
                    <w:right w:val="single" w:sz="4" w:space="0" w:color="auto"/>
                  </w:tcBorders>
                  <w:vAlign w:val="center"/>
                </w:tcPr>
                <w:p w14:paraId="1281E82C"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1CB49CAE"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57EB77A1"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F595312"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0D4D5D9" w14:textId="77777777" w:rsidR="00F76A63" w:rsidRDefault="00000000">
                  <w:pPr>
                    <w:adjustRightInd w:val="0"/>
                    <w:snapToGrid w:val="0"/>
                    <w:jc w:val="center"/>
                    <w:rPr>
                      <w:sz w:val="18"/>
                      <w:szCs w:val="18"/>
                    </w:rPr>
                  </w:pPr>
                  <w:r>
                    <w:rPr>
                      <w:sz w:val="18"/>
                      <w:szCs w:val="18"/>
                    </w:rPr>
                    <w:t>1.88</w:t>
                  </w:r>
                </w:p>
              </w:tc>
              <w:tc>
                <w:tcPr>
                  <w:tcW w:w="668" w:type="pct"/>
                  <w:tcBorders>
                    <w:top w:val="single" w:sz="4" w:space="0" w:color="auto"/>
                    <w:left w:val="single" w:sz="4" w:space="0" w:color="auto"/>
                    <w:bottom w:val="single" w:sz="4" w:space="0" w:color="auto"/>
                    <w:right w:val="single" w:sz="4" w:space="0" w:color="auto"/>
                  </w:tcBorders>
                  <w:vAlign w:val="center"/>
                </w:tcPr>
                <w:p w14:paraId="201CA67F" w14:textId="77777777" w:rsidR="00F76A63" w:rsidRDefault="00000000">
                  <w:pPr>
                    <w:adjustRightInd w:val="0"/>
                    <w:snapToGrid w:val="0"/>
                    <w:jc w:val="center"/>
                    <w:rPr>
                      <w:sz w:val="18"/>
                      <w:szCs w:val="18"/>
                    </w:rPr>
                  </w:pPr>
                  <w:r>
                    <w:rPr>
                      <w:sz w:val="18"/>
                      <w:szCs w:val="18"/>
                    </w:rPr>
                    <w:t>1.96</w:t>
                  </w:r>
                </w:p>
              </w:tc>
              <w:tc>
                <w:tcPr>
                  <w:tcW w:w="707" w:type="pct"/>
                  <w:tcBorders>
                    <w:top w:val="single" w:sz="4" w:space="0" w:color="auto"/>
                    <w:left w:val="single" w:sz="4" w:space="0" w:color="auto"/>
                    <w:bottom w:val="single" w:sz="4" w:space="0" w:color="auto"/>
                    <w:right w:val="single" w:sz="4" w:space="0" w:color="auto"/>
                  </w:tcBorders>
                  <w:vAlign w:val="center"/>
                </w:tcPr>
                <w:p w14:paraId="062C269D" w14:textId="77777777" w:rsidR="00F76A63" w:rsidRDefault="00000000">
                  <w:pPr>
                    <w:adjustRightInd w:val="0"/>
                    <w:snapToGrid w:val="0"/>
                    <w:jc w:val="center"/>
                    <w:rPr>
                      <w:sz w:val="18"/>
                      <w:szCs w:val="18"/>
                    </w:rPr>
                  </w:pPr>
                  <w:r>
                    <w:rPr>
                      <w:sz w:val="18"/>
                      <w:szCs w:val="18"/>
                    </w:rPr>
                    <w:t>26.97</w:t>
                  </w:r>
                </w:p>
              </w:tc>
              <w:tc>
                <w:tcPr>
                  <w:tcW w:w="504" w:type="pct"/>
                  <w:vMerge/>
                  <w:tcBorders>
                    <w:top w:val="single" w:sz="4" w:space="0" w:color="auto"/>
                    <w:left w:val="single" w:sz="4" w:space="0" w:color="auto"/>
                    <w:bottom w:val="single" w:sz="4" w:space="0" w:color="auto"/>
                    <w:right w:val="nil"/>
                  </w:tcBorders>
                  <w:vAlign w:val="center"/>
                </w:tcPr>
                <w:p w14:paraId="66D20BA8" w14:textId="77777777" w:rsidR="00F76A63" w:rsidRDefault="00F76A63">
                  <w:pPr>
                    <w:adjustRightInd w:val="0"/>
                    <w:snapToGrid w:val="0"/>
                    <w:jc w:val="center"/>
                    <w:rPr>
                      <w:sz w:val="18"/>
                      <w:szCs w:val="18"/>
                    </w:rPr>
                  </w:pPr>
                </w:p>
              </w:tc>
            </w:tr>
            <w:tr w:rsidR="00F76A63" w14:paraId="0811BBD4" w14:textId="77777777">
              <w:trPr>
                <w:trHeight w:val="340"/>
                <w:jc w:val="center"/>
              </w:trPr>
              <w:tc>
                <w:tcPr>
                  <w:tcW w:w="422" w:type="pct"/>
                  <w:vMerge/>
                  <w:tcBorders>
                    <w:left w:val="nil"/>
                    <w:right w:val="single" w:sz="4" w:space="0" w:color="auto"/>
                  </w:tcBorders>
                  <w:vAlign w:val="center"/>
                </w:tcPr>
                <w:p w14:paraId="21505224"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216BE6AD" w14:textId="77777777" w:rsidR="00F76A63" w:rsidRDefault="00000000">
                  <w:pPr>
                    <w:adjustRightInd w:val="0"/>
                    <w:snapToGrid w:val="0"/>
                    <w:jc w:val="center"/>
                    <w:rPr>
                      <w:sz w:val="18"/>
                      <w:szCs w:val="18"/>
                    </w:rPr>
                  </w:pPr>
                  <w:r>
                    <w:rPr>
                      <w:sz w:val="18"/>
                      <w:szCs w:val="18"/>
                    </w:rPr>
                    <w:t>202502</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437D4C25" w14:textId="77777777" w:rsidR="00F76A63" w:rsidRDefault="00000000">
                  <w:pPr>
                    <w:widowControl/>
                    <w:jc w:val="center"/>
                    <w:rPr>
                      <w:rFonts w:eastAsia="Arial Unicode MS"/>
                      <w:kern w:val="0"/>
                      <w:sz w:val="18"/>
                      <w:szCs w:val="18"/>
                    </w:rPr>
                  </w:pPr>
                  <w:r>
                    <w:rPr>
                      <w:rFonts w:eastAsia="Arial Unicode MS"/>
                      <w:sz w:val="18"/>
                      <w:szCs w:val="18"/>
                    </w:rPr>
                    <w:t>19652.44</w:t>
                  </w:r>
                </w:p>
              </w:tc>
              <w:tc>
                <w:tcPr>
                  <w:tcW w:w="546" w:type="pct"/>
                  <w:tcBorders>
                    <w:top w:val="single" w:sz="4" w:space="0" w:color="auto"/>
                    <w:left w:val="single" w:sz="4" w:space="0" w:color="auto"/>
                    <w:bottom w:val="single" w:sz="4" w:space="0" w:color="auto"/>
                    <w:right w:val="single" w:sz="4" w:space="0" w:color="auto"/>
                  </w:tcBorders>
                  <w:vAlign w:val="center"/>
                </w:tcPr>
                <w:p w14:paraId="38DF045A"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5EB6D386" w14:textId="77777777" w:rsidR="00F76A63" w:rsidRDefault="00000000">
                  <w:pPr>
                    <w:adjustRightInd w:val="0"/>
                    <w:snapToGrid w:val="0"/>
                    <w:jc w:val="center"/>
                    <w:rPr>
                      <w:sz w:val="18"/>
                      <w:szCs w:val="18"/>
                    </w:rPr>
                  </w:pPr>
                  <w:r>
                    <w:rPr>
                      <w:rFonts w:eastAsia="Arial Unicode MS"/>
                      <w:sz w:val="18"/>
                      <w:szCs w:val="18"/>
                    </w:rPr>
                    <w:t>1.39</w:t>
                  </w:r>
                </w:p>
              </w:tc>
              <w:tc>
                <w:tcPr>
                  <w:tcW w:w="668" w:type="pct"/>
                  <w:tcBorders>
                    <w:top w:val="single" w:sz="4" w:space="0" w:color="auto"/>
                    <w:left w:val="single" w:sz="4" w:space="0" w:color="auto"/>
                    <w:bottom w:val="single" w:sz="4" w:space="0" w:color="auto"/>
                    <w:right w:val="single" w:sz="4" w:space="0" w:color="auto"/>
                  </w:tcBorders>
                  <w:vAlign w:val="center"/>
                </w:tcPr>
                <w:p w14:paraId="26DDABED" w14:textId="77777777" w:rsidR="00F76A63" w:rsidRDefault="00000000">
                  <w:pPr>
                    <w:adjustRightInd w:val="0"/>
                    <w:snapToGrid w:val="0"/>
                    <w:jc w:val="center"/>
                    <w:rPr>
                      <w:sz w:val="18"/>
                      <w:szCs w:val="18"/>
                    </w:rPr>
                  </w:pPr>
                  <w:r>
                    <w:rPr>
                      <w:rFonts w:eastAsia="Arial Unicode MS"/>
                      <w:sz w:val="18"/>
                      <w:szCs w:val="18"/>
                    </w:rPr>
                    <w:t>2.50</w:t>
                  </w:r>
                </w:p>
              </w:tc>
              <w:tc>
                <w:tcPr>
                  <w:tcW w:w="707" w:type="pct"/>
                  <w:tcBorders>
                    <w:top w:val="single" w:sz="4" w:space="0" w:color="auto"/>
                    <w:left w:val="single" w:sz="4" w:space="0" w:color="auto"/>
                    <w:bottom w:val="single" w:sz="4" w:space="0" w:color="auto"/>
                    <w:right w:val="single" w:sz="4" w:space="0" w:color="auto"/>
                  </w:tcBorders>
                  <w:vAlign w:val="center"/>
                </w:tcPr>
                <w:p w14:paraId="21195A52" w14:textId="77777777" w:rsidR="00F76A63" w:rsidRDefault="00000000">
                  <w:pPr>
                    <w:adjustRightInd w:val="0"/>
                    <w:snapToGrid w:val="0"/>
                    <w:jc w:val="center"/>
                    <w:rPr>
                      <w:sz w:val="18"/>
                      <w:szCs w:val="18"/>
                    </w:rPr>
                  </w:pPr>
                  <w:r>
                    <w:rPr>
                      <w:rFonts w:eastAsia="Arial Unicode MS"/>
                      <w:sz w:val="18"/>
                      <w:szCs w:val="18"/>
                    </w:rPr>
                    <w:t>3.54</w:t>
                  </w:r>
                </w:p>
              </w:tc>
              <w:tc>
                <w:tcPr>
                  <w:tcW w:w="504" w:type="pct"/>
                  <w:vMerge w:val="restart"/>
                  <w:tcBorders>
                    <w:top w:val="single" w:sz="4" w:space="0" w:color="auto"/>
                    <w:left w:val="single" w:sz="4" w:space="0" w:color="auto"/>
                    <w:bottom w:val="single" w:sz="4" w:space="0" w:color="auto"/>
                    <w:right w:val="nil"/>
                  </w:tcBorders>
                  <w:vAlign w:val="center"/>
                </w:tcPr>
                <w:p w14:paraId="64AAD09B" w14:textId="77777777" w:rsidR="00F76A63" w:rsidRDefault="00000000">
                  <w:pPr>
                    <w:adjustRightInd w:val="0"/>
                    <w:snapToGrid w:val="0"/>
                    <w:jc w:val="center"/>
                    <w:rPr>
                      <w:sz w:val="18"/>
                      <w:szCs w:val="18"/>
                    </w:rPr>
                  </w:pPr>
                  <w:r>
                    <w:rPr>
                      <w:sz w:val="18"/>
                      <w:szCs w:val="18"/>
                    </w:rPr>
                    <w:t>/</w:t>
                  </w:r>
                </w:p>
              </w:tc>
            </w:tr>
            <w:tr w:rsidR="00F76A63" w14:paraId="024548D5" w14:textId="77777777">
              <w:trPr>
                <w:trHeight w:val="340"/>
                <w:jc w:val="center"/>
              </w:trPr>
              <w:tc>
                <w:tcPr>
                  <w:tcW w:w="422" w:type="pct"/>
                  <w:vMerge/>
                  <w:tcBorders>
                    <w:left w:val="nil"/>
                    <w:right w:val="single" w:sz="4" w:space="0" w:color="auto"/>
                  </w:tcBorders>
                  <w:vAlign w:val="center"/>
                </w:tcPr>
                <w:p w14:paraId="2B5F6E9C"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0723322A"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6C48206A"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6107453"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604B6AB1" w14:textId="77777777" w:rsidR="00F76A63" w:rsidRDefault="00000000">
                  <w:pPr>
                    <w:adjustRightInd w:val="0"/>
                    <w:snapToGrid w:val="0"/>
                    <w:jc w:val="center"/>
                    <w:rPr>
                      <w:sz w:val="18"/>
                      <w:szCs w:val="18"/>
                    </w:rPr>
                  </w:pPr>
                  <w:r>
                    <w:rPr>
                      <w:rFonts w:eastAsia="Arial Unicode MS"/>
                      <w:sz w:val="18"/>
                      <w:szCs w:val="18"/>
                    </w:rPr>
                    <w:t>1.09</w:t>
                  </w:r>
                </w:p>
              </w:tc>
              <w:tc>
                <w:tcPr>
                  <w:tcW w:w="668" w:type="pct"/>
                  <w:tcBorders>
                    <w:top w:val="single" w:sz="4" w:space="0" w:color="auto"/>
                    <w:left w:val="single" w:sz="4" w:space="0" w:color="auto"/>
                    <w:bottom w:val="single" w:sz="4" w:space="0" w:color="auto"/>
                    <w:right w:val="single" w:sz="4" w:space="0" w:color="auto"/>
                  </w:tcBorders>
                  <w:vAlign w:val="center"/>
                </w:tcPr>
                <w:p w14:paraId="484900A3" w14:textId="77777777" w:rsidR="00F76A63" w:rsidRDefault="00000000">
                  <w:pPr>
                    <w:adjustRightInd w:val="0"/>
                    <w:snapToGrid w:val="0"/>
                    <w:jc w:val="center"/>
                    <w:rPr>
                      <w:sz w:val="18"/>
                      <w:szCs w:val="18"/>
                    </w:rPr>
                  </w:pPr>
                  <w:r>
                    <w:rPr>
                      <w:rFonts w:eastAsia="Arial Unicode MS"/>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33AA3C1E" w14:textId="77777777" w:rsidR="00F76A63" w:rsidRDefault="00000000">
                  <w:pPr>
                    <w:adjustRightInd w:val="0"/>
                    <w:snapToGrid w:val="0"/>
                    <w:jc w:val="center"/>
                    <w:rPr>
                      <w:sz w:val="18"/>
                      <w:szCs w:val="18"/>
                    </w:rPr>
                  </w:pPr>
                  <w:r>
                    <w:rPr>
                      <w:rFonts w:eastAsia="Arial Unicode MS"/>
                      <w:sz w:val="18"/>
                      <w:szCs w:val="18"/>
                    </w:rPr>
                    <w:t>0.03</w:t>
                  </w:r>
                </w:p>
              </w:tc>
              <w:tc>
                <w:tcPr>
                  <w:tcW w:w="504" w:type="pct"/>
                  <w:vMerge/>
                  <w:tcBorders>
                    <w:top w:val="single" w:sz="4" w:space="0" w:color="auto"/>
                    <w:left w:val="single" w:sz="4" w:space="0" w:color="auto"/>
                    <w:bottom w:val="single" w:sz="4" w:space="0" w:color="auto"/>
                    <w:right w:val="nil"/>
                  </w:tcBorders>
                  <w:vAlign w:val="center"/>
                </w:tcPr>
                <w:p w14:paraId="24D108A4" w14:textId="77777777" w:rsidR="00F76A63" w:rsidRDefault="00F76A63">
                  <w:pPr>
                    <w:adjustRightInd w:val="0"/>
                    <w:snapToGrid w:val="0"/>
                    <w:jc w:val="center"/>
                    <w:rPr>
                      <w:sz w:val="18"/>
                      <w:szCs w:val="18"/>
                    </w:rPr>
                  </w:pPr>
                </w:p>
              </w:tc>
            </w:tr>
            <w:tr w:rsidR="00F76A63" w14:paraId="187A21C0" w14:textId="77777777">
              <w:trPr>
                <w:trHeight w:val="340"/>
                <w:jc w:val="center"/>
              </w:trPr>
              <w:tc>
                <w:tcPr>
                  <w:tcW w:w="422" w:type="pct"/>
                  <w:vMerge/>
                  <w:tcBorders>
                    <w:left w:val="nil"/>
                    <w:right w:val="single" w:sz="4" w:space="0" w:color="auto"/>
                  </w:tcBorders>
                  <w:vAlign w:val="center"/>
                </w:tcPr>
                <w:p w14:paraId="3707D145"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41F41F42"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D5FF3A1"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5123A5B"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5755B137" w14:textId="77777777" w:rsidR="00F76A63" w:rsidRDefault="00000000">
                  <w:pPr>
                    <w:adjustRightInd w:val="0"/>
                    <w:snapToGrid w:val="0"/>
                    <w:jc w:val="center"/>
                    <w:rPr>
                      <w:sz w:val="18"/>
                      <w:szCs w:val="18"/>
                    </w:rPr>
                  </w:pPr>
                  <w:r>
                    <w:rPr>
                      <w:rFonts w:eastAsia="Arial Unicode MS"/>
                      <w:sz w:val="18"/>
                      <w:szCs w:val="18"/>
                    </w:rPr>
                    <w:t>1.24</w:t>
                  </w:r>
                </w:p>
              </w:tc>
              <w:tc>
                <w:tcPr>
                  <w:tcW w:w="668" w:type="pct"/>
                  <w:tcBorders>
                    <w:top w:val="single" w:sz="4" w:space="0" w:color="auto"/>
                    <w:left w:val="single" w:sz="4" w:space="0" w:color="auto"/>
                    <w:bottom w:val="single" w:sz="4" w:space="0" w:color="auto"/>
                    <w:right w:val="single" w:sz="4" w:space="0" w:color="auto"/>
                  </w:tcBorders>
                  <w:vAlign w:val="center"/>
                </w:tcPr>
                <w:p w14:paraId="0D7C6413" w14:textId="77777777" w:rsidR="00F76A63" w:rsidRDefault="00000000">
                  <w:pPr>
                    <w:adjustRightInd w:val="0"/>
                    <w:snapToGrid w:val="0"/>
                    <w:jc w:val="center"/>
                    <w:rPr>
                      <w:sz w:val="18"/>
                      <w:szCs w:val="18"/>
                    </w:rPr>
                  </w:pPr>
                  <w:r>
                    <w:rPr>
                      <w:rFonts w:eastAsia="Arial Unicode MS"/>
                      <w:sz w:val="18"/>
                      <w:szCs w:val="18"/>
                    </w:rPr>
                    <w:t>0.27</w:t>
                  </w:r>
                </w:p>
              </w:tc>
              <w:tc>
                <w:tcPr>
                  <w:tcW w:w="707" w:type="pct"/>
                  <w:tcBorders>
                    <w:top w:val="single" w:sz="4" w:space="0" w:color="auto"/>
                    <w:left w:val="single" w:sz="4" w:space="0" w:color="auto"/>
                    <w:bottom w:val="single" w:sz="4" w:space="0" w:color="auto"/>
                    <w:right w:val="single" w:sz="4" w:space="0" w:color="auto"/>
                  </w:tcBorders>
                  <w:vAlign w:val="center"/>
                </w:tcPr>
                <w:p w14:paraId="7817DF40" w14:textId="77777777" w:rsidR="00F76A63" w:rsidRDefault="00000000">
                  <w:pPr>
                    <w:adjustRightInd w:val="0"/>
                    <w:snapToGrid w:val="0"/>
                    <w:jc w:val="center"/>
                    <w:rPr>
                      <w:sz w:val="18"/>
                      <w:szCs w:val="18"/>
                    </w:rPr>
                  </w:pPr>
                  <w:r>
                    <w:rPr>
                      <w:rFonts w:eastAsia="Arial Unicode MS"/>
                      <w:sz w:val="18"/>
                      <w:szCs w:val="18"/>
                    </w:rPr>
                    <w:t>0.57</w:t>
                  </w:r>
                </w:p>
              </w:tc>
              <w:tc>
                <w:tcPr>
                  <w:tcW w:w="504" w:type="pct"/>
                  <w:vMerge/>
                  <w:tcBorders>
                    <w:top w:val="single" w:sz="4" w:space="0" w:color="auto"/>
                    <w:left w:val="single" w:sz="4" w:space="0" w:color="auto"/>
                    <w:bottom w:val="single" w:sz="4" w:space="0" w:color="auto"/>
                    <w:right w:val="nil"/>
                  </w:tcBorders>
                  <w:vAlign w:val="center"/>
                </w:tcPr>
                <w:p w14:paraId="46DC9CDA" w14:textId="77777777" w:rsidR="00F76A63" w:rsidRDefault="00F76A63">
                  <w:pPr>
                    <w:adjustRightInd w:val="0"/>
                    <w:snapToGrid w:val="0"/>
                    <w:jc w:val="center"/>
                    <w:rPr>
                      <w:sz w:val="18"/>
                      <w:szCs w:val="18"/>
                    </w:rPr>
                  </w:pPr>
                </w:p>
              </w:tc>
            </w:tr>
            <w:tr w:rsidR="00F76A63" w14:paraId="08CED4A9" w14:textId="77777777">
              <w:trPr>
                <w:trHeight w:val="340"/>
                <w:jc w:val="center"/>
              </w:trPr>
              <w:tc>
                <w:tcPr>
                  <w:tcW w:w="422" w:type="pct"/>
                  <w:vMerge/>
                  <w:tcBorders>
                    <w:left w:val="nil"/>
                    <w:right w:val="single" w:sz="4" w:space="0" w:color="auto"/>
                  </w:tcBorders>
                  <w:vAlign w:val="center"/>
                </w:tcPr>
                <w:p w14:paraId="206D9253"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2693503F" w14:textId="77777777" w:rsidR="00F76A63" w:rsidRDefault="00000000">
                  <w:pPr>
                    <w:adjustRightInd w:val="0"/>
                    <w:snapToGrid w:val="0"/>
                    <w:jc w:val="center"/>
                    <w:rPr>
                      <w:sz w:val="18"/>
                      <w:szCs w:val="18"/>
                    </w:rPr>
                  </w:pPr>
                  <w:r>
                    <w:rPr>
                      <w:sz w:val="18"/>
                      <w:szCs w:val="18"/>
                    </w:rPr>
                    <w:t>202503</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7C7A4F69" w14:textId="77777777" w:rsidR="00F76A63" w:rsidRDefault="00000000">
                  <w:pPr>
                    <w:widowControl/>
                    <w:jc w:val="center"/>
                    <w:rPr>
                      <w:rFonts w:eastAsia="Arial Unicode MS"/>
                      <w:kern w:val="0"/>
                      <w:sz w:val="18"/>
                      <w:szCs w:val="18"/>
                    </w:rPr>
                  </w:pPr>
                  <w:r>
                    <w:rPr>
                      <w:rFonts w:eastAsia="Arial Unicode MS"/>
                      <w:sz w:val="18"/>
                      <w:szCs w:val="18"/>
                    </w:rPr>
                    <w:t>616749.32</w:t>
                  </w:r>
                </w:p>
              </w:tc>
              <w:tc>
                <w:tcPr>
                  <w:tcW w:w="546" w:type="pct"/>
                  <w:tcBorders>
                    <w:top w:val="single" w:sz="4" w:space="0" w:color="auto"/>
                    <w:left w:val="single" w:sz="4" w:space="0" w:color="auto"/>
                    <w:bottom w:val="single" w:sz="4" w:space="0" w:color="auto"/>
                    <w:right w:val="single" w:sz="4" w:space="0" w:color="auto"/>
                  </w:tcBorders>
                  <w:vAlign w:val="center"/>
                </w:tcPr>
                <w:p w14:paraId="7B4556C4"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2E1EA580" w14:textId="77777777" w:rsidR="00F76A63" w:rsidRDefault="00000000">
                  <w:pPr>
                    <w:adjustRightInd w:val="0"/>
                    <w:snapToGrid w:val="0"/>
                    <w:jc w:val="center"/>
                    <w:rPr>
                      <w:sz w:val="18"/>
                      <w:szCs w:val="18"/>
                    </w:rPr>
                  </w:pPr>
                  <w:r>
                    <w:rPr>
                      <w:rFonts w:eastAsia="Arial Unicode MS"/>
                      <w:sz w:val="18"/>
                      <w:szCs w:val="18"/>
                    </w:rPr>
                    <w:t>1.90</w:t>
                  </w:r>
                </w:p>
              </w:tc>
              <w:tc>
                <w:tcPr>
                  <w:tcW w:w="668" w:type="pct"/>
                  <w:tcBorders>
                    <w:top w:val="single" w:sz="4" w:space="0" w:color="auto"/>
                    <w:left w:val="single" w:sz="4" w:space="0" w:color="auto"/>
                    <w:bottom w:val="single" w:sz="4" w:space="0" w:color="auto"/>
                    <w:right w:val="single" w:sz="4" w:space="0" w:color="auto"/>
                  </w:tcBorders>
                  <w:vAlign w:val="center"/>
                </w:tcPr>
                <w:p w14:paraId="68BFE28F" w14:textId="77777777" w:rsidR="00F76A63" w:rsidRDefault="00000000">
                  <w:pPr>
                    <w:adjustRightInd w:val="0"/>
                    <w:snapToGrid w:val="0"/>
                    <w:jc w:val="center"/>
                    <w:rPr>
                      <w:sz w:val="18"/>
                      <w:szCs w:val="18"/>
                    </w:rPr>
                  </w:pPr>
                  <w:r>
                    <w:rPr>
                      <w:rFonts w:eastAsia="Arial Unicode MS"/>
                      <w:sz w:val="18"/>
                      <w:szCs w:val="18"/>
                    </w:rPr>
                    <w:t>31.07</w:t>
                  </w:r>
                </w:p>
              </w:tc>
              <w:tc>
                <w:tcPr>
                  <w:tcW w:w="707" w:type="pct"/>
                  <w:tcBorders>
                    <w:top w:val="single" w:sz="4" w:space="0" w:color="auto"/>
                    <w:left w:val="single" w:sz="4" w:space="0" w:color="auto"/>
                    <w:bottom w:val="single" w:sz="4" w:space="0" w:color="auto"/>
                    <w:right w:val="single" w:sz="4" w:space="0" w:color="auto"/>
                  </w:tcBorders>
                  <w:vAlign w:val="center"/>
                </w:tcPr>
                <w:p w14:paraId="24637798" w14:textId="77777777" w:rsidR="00F76A63" w:rsidRDefault="00000000">
                  <w:pPr>
                    <w:adjustRightInd w:val="0"/>
                    <w:snapToGrid w:val="0"/>
                    <w:jc w:val="center"/>
                    <w:rPr>
                      <w:b/>
                      <w:bCs/>
                      <w:sz w:val="18"/>
                      <w:szCs w:val="18"/>
                    </w:rPr>
                  </w:pPr>
                  <w:r>
                    <w:rPr>
                      <w:rFonts w:eastAsia="Arial Unicode MS"/>
                      <w:b/>
                      <w:bCs/>
                      <w:sz w:val="18"/>
                      <w:szCs w:val="18"/>
                    </w:rPr>
                    <w:t>81.69</w:t>
                  </w:r>
                </w:p>
              </w:tc>
              <w:tc>
                <w:tcPr>
                  <w:tcW w:w="504" w:type="pct"/>
                  <w:vMerge w:val="restart"/>
                  <w:tcBorders>
                    <w:top w:val="single" w:sz="4" w:space="0" w:color="auto"/>
                    <w:left w:val="single" w:sz="4" w:space="0" w:color="auto"/>
                    <w:bottom w:val="single" w:sz="4" w:space="0" w:color="auto"/>
                    <w:right w:val="nil"/>
                  </w:tcBorders>
                  <w:vAlign w:val="center"/>
                </w:tcPr>
                <w:p w14:paraId="16EFCE6C" w14:textId="77777777" w:rsidR="00F76A63" w:rsidRDefault="00000000">
                  <w:pPr>
                    <w:adjustRightInd w:val="0"/>
                    <w:snapToGrid w:val="0"/>
                    <w:jc w:val="center"/>
                    <w:rPr>
                      <w:sz w:val="18"/>
                      <w:szCs w:val="18"/>
                    </w:rPr>
                  </w:pPr>
                  <w:r>
                    <w:rPr>
                      <w:sz w:val="18"/>
                      <w:szCs w:val="18"/>
                    </w:rPr>
                    <w:t>/</w:t>
                  </w:r>
                </w:p>
              </w:tc>
            </w:tr>
            <w:tr w:rsidR="00F76A63" w14:paraId="48EFBF26" w14:textId="77777777">
              <w:trPr>
                <w:trHeight w:val="340"/>
                <w:jc w:val="center"/>
              </w:trPr>
              <w:tc>
                <w:tcPr>
                  <w:tcW w:w="422" w:type="pct"/>
                  <w:vMerge/>
                  <w:tcBorders>
                    <w:left w:val="nil"/>
                    <w:right w:val="single" w:sz="4" w:space="0" w:color="auto"/>
                  </w:tcBorders>
                  <w:vAlign w:val="center"/>
                </w:tcPr>
                <w:p w14:paraId="01C11F8E"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8E43AFD"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16B7E2CB"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78438ED"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68891E6" w14:textId="77777777" w:rsidR="00F76A63" w:rsidRDefault="00000000">
                  <w:pPr>
                    <w:widowControl/>
                    <w:jc w:val="center"/>
                    <w:rPr>
                      <w:rFonts w:eastAsia="Arial Unicode MS"/>
                      <w:kern w:val="0"/>
                      <w:sz w:val="18"/>
                      <w:szCs w:val="18"/>
                    </w:rPr>
                  </w:pPr>
                  <w:r>
                    <w:rPr>
                      <w:rFonts w:eastAsia="Arial Unicode MS"/>
                      <w:sz w:val="18"/>
                      <w:szCs w:val="18"/>
                    </w:rPr>
                    <w:t>1.03</w:t>
                  </w:r>
                </w:p>
              </w:tc>
              <w:tc>
                <w:tcPr>
                  <w:tcW w:w="668" w:type="pct"/>
                  <w:tcBorders>
                    <w:top w:val="single" w:sz="4" w:space="0" w:color="auto"/>
                    <w:left w:val="single" w:sz="4" w:space="0" w:color="auto"/>
                    <w:bottom w:val="single" w:sz="4" w:space="0" w:color="auto"/>
                    <w:right w:val="single" w:sz="4" w:space="0" w:color="auto"/>
                  </w:tcBorders>
                  <w:vAlign w:val="center"/>
                </w:tcPr>
                <w:p w14:paraId="1051E811" w14:textId="77777777" w:rsidR="00F76A63" w:rsidRDefault="00000000">
                  <w:pPr>
                    <w:adjustRightInd w:val="0"/>
                    <w:snapToGrid w:val="0"/>
                    <w:jc w:val="center"/>
                    <w:rPr>
                      <w:sz w:val="18"/>
                      <w:szCs w:val="18"/>
                    </w:rPr>
                  </w:pPr>
                  <w:r>
                    <w:rPr>
                      <w:rFonts w:eastAsia="Arial Unicode MS"/>
                      <w:sz w:val="18"/>
                      <w:szCs w:val="18"/>
                    </w:rPr>
                    <w:t>0.22</w:t>
                  </w:r>
                </w:p>
              </w:tc>
              <w:tc>
                <w:tcPr>
                  <w:tcW w:w="707" w:type="pct"/>
                  <w:tcBorders>
                    <w:top w:val="single" w:sz="4" w:space="0" w:color="auto"/>
                    <w:left w:val="single" w:sz="4" w:space="0" w:color="auto"/>
                    <w:bottom w:val="single" w:sz="4" w:space="0" w:color="auto"/>
                    <w:right w:val="single" w:sz="4" w:space="0" w:color="auto"/>
                  </w:tcBorders>
                  <w:vAlign w:val="center"/>
                </w:tcPr>
                <w:p w14:paraId="3140A0E7" w14:textId="77777777" w:rsidR="00F76A63" w:rsidRDefault="00000000">
                  <w:pPr>
                    <w:adjustRightInd w:val="0"/>
                    <w:snapToGrid w:val="0"/>
                    <w:jc w:val="center"/>
                    <w:rPr>
                      <w:sz w:val="18"/>
                      <w:szCs w:val="18"/>
                    </w:rPr>
                  </w:pPr>
                  <w:r>
                    <w:rPr>
                      <w:rFonts w:eastAsia="Arial Unicode MS"/>
                      <w:sz w:val="18"/>
                      <w:szCs w:val="18"/>
                    </w:rPr>
                    <w:t>0.16</w:t>
                  </w:r>
                </w:p>
              </w:tc>
              <w:tc>
                <w:tcPr>
                  <w:tcW w:w="504" w:type="pct"/>
                  <w:vMerge/>
                  <w:tcBorders>
                    <w:top w:val="single" w:sz="4" w:space="0" w:color="auto"/>
                    <w:left w:val="single" w:sz="4" w:space="0" w:color="auto"/>
                    <w:bottom w:val="single" w:sz="4" w:space="0" w:color="auto"/>
                    <w:right w:val="nil"/>
                  </w:tcBorders>
                  <w:vAlign w:val="center"/>
                </w:tcPr>
                <w:p w14:paraId="176997C3" w14:textId="77777777" w:rsidR="00F76A63" w:rsidRDefault="00F76A63">
                  <w:pPr>
                    <w:adjustRightInd w:val="0"/>
                    <w:snapToGrid w:val="0"/>
                    <w:jc w:val="center"/>
                    <w:rPr>
                      <w:sz w:val="18"/>
                      <w:szCs w:val="18"/>
                    </w:rPr>
                  </w:pPr>
                </w:p>
              </w:tc>
            </w:tr>
            <w:tr w:rsidR="00F76A63" w14:paraId="4A2E92B9" w14:textId="77777777">
              <w:trPr>
                <w:trHeight w:val="340"/>
                <w:jc w:val="center"/>
              </w:trPr>
              <w:tc>
                <w:tcPr>
                  <w:tcW w:w="422" w:type="pct"/>
                  <w:vMerge/>
                  <w:tcBorders>
                    <w:left w:val="nil"/>
                    <w:right w:val="single" w:sz="4" w:space="0" w:color="auto"/>
                  </w:tcBorders>
                  <w:vAlign w:val="center"/>
                </w:tcPr>
                <w:p w14:paraId="3084EE32"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76B2C263"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2D84215"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D6BEBAD"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303D5A10" w14:textId="77777777" w:rsidR="00F76A63" w:rsidRDefault="00000000">
                  <w:pPr>
                    <w:adjustRightInd w:val="0"/>
                    <w:snapToGrid w:val="0"/>
                    <w:jc w:val="center"/>
                    <w:rPr>
                      <w:sz w:val="18"/>
                      <w:szCs w:val="18"/>
                    </w:rPr>
                  </w:pPr>
                  <w:r>
                    <w:rPr>
                      <w:rFonts w:eastAsia="Arial Unicode MS"/>
                      <w:sz w:val="18"/>
                      <w:szCs w:val="18"/>
                    </w:rPr>
                    <w:t>1.47</w:t>
                  </w:r>
                </w:p>
              </w:tc>
              <w:tc>
                <w:tcPr>
                  <w:tcW w:w="668" w:type="pct"/>
                  <w:tcBorders>
                    <w:top w:val="single" w:sz="4" w:space="0" w:color="auto"/>
                    <w:left w:val="single" w:sz="4" w:space="0" w:color="auto"/>
                    <w:bottom w:val="single" w:sz="4" w:space="0" w:color="auto"/>
                    <w:right w:val="single" w:sz="4" w:space="0" w:color="auto"/>
                  </w:tcBorders>
                  <w:vAlign w:val="center"/>
                </w:tcPr>
                <w:p w14:paraId="3CB4E85C" w14:textId="77777777" w:rsidR="00F76A63" w:rsidRDefault="00000000">
                  <w:pPr>
                    <w:adjustRightInd w:val="0"/>
                    <w:snapToGrid w:val="0"/>
                    <w:jc w:val="center"/>
                    <w:rPr>
                      <w:sz w:val="18"/>
                      <w:szCs w:val="18"/>
                    </w:rPr>
                  </w:pPr>
                  <w:r>
                    <w:rPr>
                      <w:rFonts w:eastAsia="Arial Unicode MS"/>
                      <w:sz w:val="18"/>
                      <w:szCs w:val="18"/>
                    </w:rPr>
                    <w:t>4.14</w:t>
                  </w:r>
                </w:p>
              </w:tc>
              <w:tc>
                <w:tcPr>
                  <w:tcW w:w="707" w:type="pct"/>
                  <w:tcBorders>
                    <w:top w:val="single" w:sz="4" w:space="0" w:color="auto"/>
                    <w:left w:val="single" w:sz="4" w:space="0" w:color="auto"/>
                    <w:bottom w:val="single" w:sz="4" w:space="0" w:color="auto"/>
                    <w:right w:val="single" w:sz="4" w:space="0" w:color="auto"/>
                  </w:tcBorders>
                  <w:vAlign w:val="center"/>
                </w:tcPr>
                <w:p w14:paraId="0342F561" w14:textId="77777777" w:rsidR="00F76A63" w:rsidRDefault="00000000">
                  <w:pPr>
                    <w:adjustRightInd w:val="0"/>
                    <w:snapToGrid w:val="0"/>
                    <w:jc w:val="center"/>
                    <w:rPr>
                      <w:sz w:val="18"/>
                      <w:szCs w:val="18"/>
                    </w:rPr>
                  </w:pPr>
                  <w:r>
                    <w:rPr>
                      <w:rFonts w:eastAsia="Arial Unicode MS"/>
                      <w:sz w:val="18"/>
                      <w:szCs w:val="18"/>
                    </w:rPr>
                    <w:t>36.84</w:t>
                  </w:r>
                </w:p>
              </w:tc>
              <w:tc>
                <w:tcPr>
                  <w:tcW w:w="504" w:type="pct"/>
                  <w:vMerge/>
                  <w:tcBorders>
                    <w:top w:val="single" w:sz="4" w:space="0" w:color="auto"/>
                    <w:left w:val="single" w:sz="4" w:space="0" w:color="auto"/>
                    <w:bottom w:val="single" w:sz="4" w:space="0" w:color="auto"/>
                    <w:right w:val="nil"/>
                  </w:tcBorders>
                  <w:vAlign w:val="center"/>
                </w:tcPr>
                <w:p w14:paraId="3ACC498E" w14:textId="77777777" w:rsidR="00F76A63" w:rsidRDefault="00F76A63">
                  <w:pPr>
                    <w:adjustRightInd w:val="0"/>
                    <w:snapToGrid w:val="0"/>
                    <w:jc w:val="center"/>
                    <w:rPr>
                      <w:sz w:val="18"/>
                      <w:szCs w:val="18"/>
                    </w:rPr>
                  </w:pPr>
                </w:p>
              </w:tc>
            </w:tr>
            <w:tr w:rsidR="00F76A63" w14:paraId="32D292F4" w14:textId="77777777">
              <w:trPr>
                <w:trHeight w:val="340"/>
                <w:jc w:val="center"/>
              </w:trPr>
              <w:tc>
                <w:tcPr>
                  <w:tcW w:w="422" w:type="pct"/>
                  <w:vMerge/>
                  <w:tcBorders>
                    <w:left w:val="nil"/>
                    <w:right w:val="single" w:sz="4" w:space="0" w:color="auto"/>
                  </w:tcBorders>
                  <w:vAlign w:val="center"/>
                </w:tcPr>
                <w:p w14:paraId="77BF8E48"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0AC26083" w14:textId="77777777" w:rsidR="00F76A63" w:rsidRDefault="00000000">
                  <w:pPr>
                    <w:adjustRightInd w:val="0"/>
                    <w:snapToGrid w:val="0"/>
                    <w:jc w:val="center"/>
                    <w:rPr>
                      <w:sz w:val="18"/>
                      <w:szCs w:val="18"/>
                    </w:rPr>
                  </w:pPr>
                  <w:r>
                    <w:rPr>
                      <w:sz w:val="18"/>
                      <w:szCs w:val="18"/>
                    </w:rPr>
                    <w:t>202504</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5DFD3AE9" w14:textId="77777777" w:rsidR="00F76A63" w:rsidRDefault="00000000">
                  <w:pPr>
                    <w:widowControl/>
                    <w:jc w:val="center"/>
                    <w:rPr>
                      <w:rFonts w:eastAsia="Arial Unicode MS"/>
                      <w:kern w:val="0"/>
                      <w:sz w:val="18"/>
                      <w:szCs w:val="18"/>
                    </w:rPr>
                  </w:pPr>
                  <w:r>
                    <w:rPr>
                      <w:rFonts w:eastAsia="Arial Unicode MS"/>
                      <w:sz w:val="18"/>
                      <w:szCs w:val="18"/>
                    </w:rPr>
                    <w:t>645955.45</w:t>
                  </w:r>
                </w:p>
              </w:tc>
              <w:tc>
                <w:tcPr>
                  <w:tcW w:w="546" w:type="pct"/>
                  <w:tcBorders>
                    <w:top w:val="single" w:sz="4" w:space="0" w:color="auto"/>
                    <w:left w:val="single" w:sz="4" w:space="0" w:color="auto"/>
                    <w:bottom w:val="single" w:sz="4" w:space="0" w:color="auto"/>
                    <w:right w:val="single" w:sz="4" w:space="0" w:color="auto"/>
                  </w:tcBorders>
                  <w:vAlign w:val="center"/>
                </w:tcPr>
                <w:p w14:paraId="56C9D4C2"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17F407B2" w14:textId="77777777" w:rsidR="00F76A63" w:rsidRDefault="00000000">
                  <w:pPr>
                    <w:adjustRightInd w:val="0"/>
                    <w:snapToGrid w:val="0"/>
                    <w:jc w:val="center"/>
                    <w:rPr>
                      <w:sz w:val="18"/>
                      <w:szCs w:val="18"/>
                    </w:rPr>
                  </w:pPr>
                  <w:r>
                    <w:rPr>
                      <w:rFonts w:eastAsia="Arial Unicode MS"/>
                      <w:sz w:val="18"/>
                      <w:szCs w:val="18"/>
                    </w:rPr>
                    <w:t>1.61</w:t>
                  </w:r>
                </w:p>
              </w:tc>
              <w:tc>
                <w:tcPr>
                  <w:tcW w:w="668" w:type="pct"/>
                  <w:tcBorders>
                    <w:top w:val="single" w:sz="4" w:space="0" w:color="auto"/>
                    <w:left w:val="single" w:sz="4" w:space="0" w:color="auto"/>
                    <w:bottom w:val="single" w:sz="4" w:space="0" w:color="auto"/>
                    <w:right w:val="single" w:sz="4" w:space="0" w:color="auto"/>
                  </w:tcBorders>
                  <w:vAlign w:val="center"/>
                </w:tcPr>
                <w:p w14:paraId="07D7FCC0" w14:textId="77777777" w:rsidR="00F76A63" w:rsidRDefault="00000000">
                  <w:pPr>
                    <w:adjustRightInd w:val="0"/>
                    <w:snapToGrid w:val="0"/>
                    <w:jc w:val="center"/>
                    <w:rPr>
                      <w:sz w:val="18"/>
                      <w:szCs w:val="18"/>
                    </w:rPr>
                  </w:pPr>
                  <w:r>
                    <w:rPr>
                      <w:rFonts w:eastAsia="Arial Unicode MS"/>
                      <w:sz w:val="18"/>
                      <w:szCs w:val="18"/>
                    </w:rPr>
                    <w:t>15.83</w:t>
                  </w:r>
                </w:p>
              </w:tc>
              <w:tc>
                <w:tcPr>
                  <w:tcW w:w="707" w:type="pct"/>
                  <w:tcBorders>
                    <w:top w:val="single" w:sz="4" w:space="0" w:color="auto"/>
                    <w:left w:val="single" w:sz="4" w:space="0" w:color="auto"/>
                    <w:bottom w:val="single" w:sz="4" w:space="0" w:color="auto"/>
                    <w:right w:val="single" w:sz="4" w:space="0" w:color="auto"/>
                  </w:tcBorders>
                  <w:vAlign w:val="center"/>
                </w:tcPr>
                <w:p w14:paraId="0408175D" w14:textId="77777777" w:rsidR="00F76A63" w:rsidRDefault="00000000">
                  <w:pPr>
                    <w:adjustRightInd w:val="0"/>
                    <w:snapToGrid w:val="0"/>
                    <w:jc w:val="center"/>
                    <w:rPr>
                      <w:b/>
                      <w:bCs/>
                      <w:sz w:val="18"/>
                      <w:szCs w:val="18"/>
                    </w:rPr>
                  </w:pPr>
                  <w:r>
                    <w:rPr>
                      <w:rFonts w:eastAsia="Arial Unicode MS"/>
                      <w:b/>
                      <w:bCs/>
                      <w:sz w:val="18"/>
                      <w:szCs w:val="18"/>
                    </w:rPr>
                    <w:t>50.78</w:t>
                  </w:r>
                </w:p>
              </w:tc>
              <w:tc>
                <w:tcPr>
                  <w:tcW w:w="504" w:type="pct"/>
                  <w:vMerge w:val="restart"/>
                  <w:tcBorders>
                    <w:top w:val="single" w:sz="4" w:space="0" w:color="auto"/>
                    <w:left w:val="single" w:sz="4" w:space="0" w:color="auto"/>
                    <w:bottom w:val="single" w:sz="4" w:space="0" w:color="auto"/>
                    <w:right w:val="nil"/>
                  </w:tcBorders>
                  <w:vAlign w:val="center"/>
                </w:tcPr>
                <w:p w14:paraId="4574F472" w14:textId="77777777" w:rsidR="00F76A63" w:rsidRDefault="00000000">
                  <w:pPr>
                    <w:adjustRightInd w:val="0"/>
                    <w:snapToGrid w:val="0"/>
                    <w:jc w:val="center"/>
                    <w:rPr>
                      <w:sz w:val="18"/>
                      <w:szCs w:val="18"/>
                    </w:rPr>
                  </w:pPr>
                  <w:r>
                    <w:rPr>
                      <w:sz w:val="18"/>
                      <w:szCs w:val="18"/>
                    </w:rPr>
                    <w:t>/</w:t>
                  </w:r>
                </w:p>
              </w:tc>
            </w:tr>
            <w:tr w:rsidR="00F76A63" w14:paraId="347AA183" w14:textId="77777777">
              <w:trPr>
                <w:trHeight w:val="340"/>
                <w:jc w:val="center"/>
              </w:trPr>
              <w:tc>
                <w:tcPr>
                  <w:tcW w:w="422" w:type="pct"/>
                  <w:vMerge/>
                  <w:tcBorders>
                    <w:left w:val="nil"/>
                    <w:right w:val="single" w:sz="4" w:space="0" w:color="auto"/>
                  </w:tcBorders>
                  <w:vAlign w:val="center"/>
                </w:tcPr>
                <w:p w14:paraId="535C76CD"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1D468059"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34B6A30F"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D9A5049"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0406F88F" w14:textId="77777777" w:rsidR="00F76A63" w:rsidRDefault="00000000">
                  <w:pPr>
                    <w:adjustRightInd w:val="0"/>
                    <w:snapToGrid w:val="0"/>
                    <w:jc w:val="center"/>
                    <w:rPr>
                      <w:sz w:val="18"/>
                      <w:szCs w:val="18"/>
                    </w:rPr>
                  </w:pPr>
                  <w:r>
                    <w:rPr>
                      <w:rFonts w:eastAsia="Arial Unicode MS"/>
                      <w:sz w:val="18"/>
                      <w:szCs w:val="18"/>
                    </w:rPr>
                    <w:t>0.97</w:t>
                  </w:r>
                </w:p>
              </w:tc>
              <w:tc>
                <w:tcPr>
                  <w:tcW w:w="668" w:type="pct"/>
                  <w:tcBorders>
                    <w:top w:val="single" w:sz="4" w:space="0" w:color="auto"/>
                    <w:left w:val="single" w:sz="4" w:space="0" w:color="auto"/>
                    <w:bottom w:val="single" w:sz="4" w:space="0" w:color="auto"/>
                    <w:right w:val="single" w:sz="4" w:space="0" w:color="auto"/>
                  </w:tcBorders>
                  <w:vAlign w:val="center"/>
                </w:tcPr>
                <w:p w14:paraId="1A7A38FA" w14:textId="77777777" w:rsidR="00F76A63" w:rsidRDefault="00000000">
                  <w:pPr>
                    <w:adjustRightInd w:val="0"/>
                    <w:snapToGrid w:val="0"/>
                    <w:jc w:val="center"/>
                    <w:rPr>
                      <w:sz w:val="18"/>
                      <w:szCs w:val="18"/>
                    </w:rPr>
                  </w:pPr>
                  <w:r>
                    <w:rPr>
                      <w:rFonts w:eastAsia="Arial Unicode MS"/>
                      <w:sz w:val="18"/>
                      <w:szCs w:val="18"/>
                    </w:rPr>
                    <w:t>0.35</w:t>
                  </w:r>
                </w:p>
              </w:tc>
              <w:tc>
                <w:tcPr>
                  <w:tcW w:w="707" w:type="pct"/>
                  <w:tcBorders>
                    <w:top w:val="single" w:sz="4" w:space="0" w:color="auto"/>
                    <w:left w:val="single" w:sz="4" w:space="0" w:color="auto"/>
                    <w:bottom w:val="single" w:sz="4" w:space="0" w:color="auto"/>
                    <w:right w:val="single" w:sz="4" w:space="0" w:color="auto"/>
                  </w:tcBorders>
                  <w:vAlign w:val="center"/>
                </w:tcPr>
                <w:p w14:paraId="5DE89D0B" w14:textId="77777777" w:rsidR="00F76A63" w:rsidRDefault="00000000">
                  <w:pPr>
                    <w:adjustRightInd w:val="0"/>
                    <w:snapToGrid w:val="0"/>
                    <w:jc w:val="center"/>
                    <w:rPr>
                      <w:sz w:val="18"/>
                      <w:szCs w:val="18"/>
                    </w:rPr>
                  </w:pPr>
                  <w:r>
                    <w:rPr>
                      <w:rFonts w:eastAsia="Arial Unicode MS"/>
                      <w:sz w:val="18"/>
                      <w:szCs w:val="18"/>
                    </w:rPr>
                    <w:t>32.43</w:t>
                  </w:r>
                </w:p>
              </w:tc>
              <w:tc>
                <w:tcPr>
                  <w:tcW w:w="504" w:type="pct"/>
                  <w:vMerge/>
                  <w:tcBorders>
                    <w:top w:val="single" w:sz="4" w:space="0" w:color="auto"/>
                    <w:left w:val="single" w:sz="4" w:space="0" w:color="auto"/>
                    <w:bottom w:val="single" w:sz="4" w:space="0" w:color="auto"/>
                    <w:right w:val="nil"/>
                  </w:tcBorders>
                  <w:vAlign w:val="center"/>
                </w:tcPr>
                <w:p w14:paraId="3FDDA11D" w14:textId="77777777" w:rsidR="00F76A63" w:rsidRDefault="00F76A63">
                  <w:pPr>
                    <w:adjustRightInd w:val="0"/>
                    <w:snapToGrid w:val="0"/>
                    <w:jc w:val="center"/>
                    <w:rPr>
                      <w:sz w:val="18"/>
                      <w:szCs w:val="18"/>
                    </w:rPr>
                  </w:pPr>
                </w:p>
              </w:tc>
            </w:tr>
            <w:tr w:rsidR="00F76A63" w14:paraId="2D70329A" w14:textId="77777777">
              <w:trPr>
                <w:trHeight w:val="340"/>
                <w:jc w:val="center"/>
              </w:trPr>
              <w:tc>
                <w:tcPr>
                  <w:tcW w:w="422" w:type="pct"/>
                  <w:vMerge/>
                  <w:tcBorders>
                    <w:left w:val="nil"/>
                    <w:right w:val="single" w:sz="4" w:space="0" w:color="auto"/>
                  </w:tcBorders>
                  <w:vAlign w:val="center"/>
                </w:tcPr>
                <w:p w14:paraId="5F92FF78"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255F997A"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5F8FB2F6"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6D178CF"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4D147730" w14:textId="77777777" w:rsidR="00F76A63" w:rsidRDefault="00000000">
                  <w:pPr>
                    <w:adjustRightInd w:val="0"/>
                    <w:snapToGrid w:val="0"/>
                    <w:jc w:val="center"/>
                    <w:rPr>
                      <w:sz w:val="18"/>
                      <w:szCs w:val="18"/>
                    </w:rPr>
                  </w:pPr>
                  <w:r>
                    <w:rPr>
                      <w:rFonts w:eastAsia="Arial Unicode MS"/>
                      <w:sz w:val="18"/>
                      <w:szCs w:val="18"/>
                    </w:rPr>
                    <w:t>1.27</w:t>
                  </w:r>
                </w:p>
              </w:tc>
              <w:tc>
                <w:tcPr>
                  <w:tcW w:w="668" w:type="pct"/>
                  <w:tcBorders>
                    <w:top w:val="single" w:sz="4" w:space="0" w:color="auto"/>
                    <w:left w:val="single" w:sz="4" w:space="0" w:color="auto"/>
                    <w:bottom w:val="single" w:sz="4" w:space="0" w:color="auto"/>
                    <w:right w:val="single" w:sz="4" w:space="0" w:color="auto"/>
                  </w:tcBorders>
                  <w:vAlign w:val="center"/>
                </w:tcPr>
                <w:p w14:paraId="252D4C0C" w14:textId="77777777" w:rsidR="00F76A63" w:rsidRDefault="00000000">
                  <w:pPr>
                    <w:adjustRightInd w:val="0"/>
                    <w:snapToGrid w:val="0"/>
                    <w:jc w:val="center"/>
                    <w:rPr>
                      <w:sz w:val="18"/>
                      <w:szCs w:val="18"/>
                    </w:rPr>
                  </w:pPr>
                  <w:r>
                    <w:rPr>
                      <w:rFonts w:eastAsia="Arial Unicode MS"/>
                      <w:sz w:val="18"/>
                      <w:szCs w:val="18"/>
                    </w:rPr>
                    <w:t>4.19</w:t>
                  </w:r>
                </w:p>
              </w:tc>
              <w:tc>
                <w:tcPr>
                  <w:tcW w:w="707" w:type="pct"/>
                  <w:tcBorders>
                    <w:top w:val="single" w:sz="4" w:space="0" w:color="auto"/>
                    <w:left w:val="single" w:sz="4" w:space="0" w:color="auto"/>
                    <w:bottom w:val="single" w:sz="4" w:space="0" w:color="auto"/>
                    <w:right w:val="single" w:sz="4" w:space="0" w:color="auto"/>
                  </w:tcBorders>
                  <w:vAlign w:val="center"/>
                </w:tcPr>
                <w:p w14:paraId="55CB3981" w14:textId="77777777" w:rsidR="00F76A63" w:rsidRDefault="00000000">
                  <w:pPr>
                    <w:adjustRightInd w:val="0"/>
                    <w:snapToGrid w:val="0"/>
                    <w:jc w:val="center"/>
                    <w:rPr>
                      <w:sz w:val="18"/>
                      <w:szCs w:val="18"/>
                    </w:rPr>
                  </w:pPr>
                  <w:r>
                    <w:rPr>
                      <w:rFonts w:eastAsia="Arial Unicode MS"/>
                      <w:sz w:val="18"/>
                      <w:szCs w:val="18"/>
                    </w:rPr>
                    <w:t>41.25</w:t>
                  </w:r>
                </w:p>
              </w:tc>
              <w:tc>
                <w:tcPr>
                  <w:tcW w:w="504" w:type="pct"/>
                  <w:vMerge/>
                  <w:tcBorders>
                    <w:top w:val="single" w:sz="4" w:space="0" w:color="auto"/>
                    <w:left w:val="single" w:sz="4" w:space="0" w:color="auto"/>
                    <w:bottom w:val="single" w:sz="4" w:space="0" w:color="auto"/>
                    <w:right w:val="nil"/>
                  </w:tcBorders>
                  <w:vAlign w:val="center"/>
                </w:tcPr>
                <w:p w14:paraId="7069FF33" w14:textId="77777777" w:rsidR="00F76A63" w:rsidRDefault="00F76A63">
                  <w:pPr>
                    <w:adjustRightInd w:val="0"/>
                    <w:snapToGrid w:val="0"/>
                    <w:jc w:val="center"/>
                    <w:rPr>
                      <w:sz w:val="18"/>
                      <w:szCs w:val="18"/>
                    </w:rPr>
                  </w:pPr>
                </w:p>
              </w:tc>
            </w:tr>
            <w:tr w:rsidR="00F76A63" w14:paraId="285B5AEC" w14:textId="77777777">
              <w:trPr>
                <w:trHeight w:val="340"/>
                <w:jc w:val="center"/>
              </w:trPr>
              <w:tc>
                <w:tcPr>
                  <w:tcW w:w="422" w:type="pct"/>
                  <w:vMerge/>
                  <w:tcBorders>
                    <w:left w:val="nil"/>
                    <w:right w:val="single" w:sz="4" w:space="0" w:color="auto"/>
                  </w:tcBorders>
                  <w:vAlign w:val="center"/>
                </w:tcPr>
                <w:p w14:paraId="44520726"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19E92868" w14:textId="77777777" w:rsidR="00F76A63" w:rsidRDefault="00000000">
                  <w:pPr>
                    <w:adjustRightInd w:val="0"/>
                    <w:snapToGrid w:val="0"/>
                    <w:jc w:val="center"/>
                    <w:rPr>
                      <w:sz w:val="18"/>
                      <w:szCs w:val="18"/>
                    </w:rPr>
                  </w:pPr>
                  <w:r>
                    <w:rPr>
                      <w:sz w:val="18"/>
                      <w:szCs w:val="18"/>
                    </w:rPr>
                    <w:t>202505</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20BFCAF7" w14:textId="77777777" w:rsidR="00F76A63" w:rsidRDefault="00000000">
                  <w:pPr>
                    <w:widowControl/>
                    <w:jc w:val="center"/>
                    <w:rPr>
                      <w:rFonts w:eastAsia="Arial Unicode MS"/>
                      <w:kern w:val="0"/>
                      <w:sz w:val="18"/>
                      <w:szCs w:val="18"/>
                    </w:rPr>
                  </w:pPr>
                  <w:r>
                    <w:rPr>
                      <w:rFonts w:eastAsia="Arial Unicode MS"/>
                      <w:sz w:val="18"/>
                      <w:szCs w:val="18"/>
                    </w:rPr>
                    <w:t>629983.75</w:t>
                  </w:r>
                </w:p>
              </w:tc>
              <w:tc>
                <w:tcPr>
                  <w:tcW w:w="546" w:type="pct"/>
                  <w:tcBorders>
                    <w:top w:val="single" w:sz="4" w:space="0" w:color="auto"/>
                    <w:left w:val="single" w:sz="4" w:space="0" w:color="auto"/>
                    <w:bottom w:val="single" w:sz="4" w:space="0" w:color="auto"/>
                    <w:right w:val="single" w:sz="4" w:space="0" w:color="auto"/>
                  </w:tcBorders>
                  <w:vAlign w:val="center"/>
                </w:tcPr>
                <w:p w14:paraId="78DA2D82"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510D4E0" w14:textId="77777777" w:rsidR="00F76A63" w:rsidRDefault="00000000">
                  <w:pPr>
                    <w:adjustRightInd w:val="0"/>
                    <w:snapToGrid w:val="0"/>
                    <w:jc w:val="center"/>
                    <w:rPr>
                      <w:sz w:val="18"/>
                      <w:szCs w:val="18"/>
                    </w:rPr>
                  </w:pPr>
                  <w:r>
                    <w:rPr>
                      <w:rFonts w:eastAsia="Arial Unicode MS"/>
                      <w:sz w:val="18"/>
                      <w:szCs w:val="18"/>
                    </w:rPr>
                    <w:t>1.25</w:t>
                  </w:r>
                </w:p>
              </w:tc>
              <w:tc>
                <w:tcPr>
                  <w:tcW w:w="668" w:type="pct"/>
                  <w:tcBorders>
                    <w:top w:val="single" w:sz="4" w:space="0" w:color="auto"/>
                    <w:left w:val="single" w:sz="4" w:space="0" w:color="auto"/>
                    <w:bottom w:val="single" w:sz="4" w:space="0" w:color="auto"/>
                    <w:right w:val="single" w:sz="4" w:space="0" w:color="auto"/>
                  </w:tcBorders>
                  <w:vAlign w:val="center"/>
                </w:tcPr>
                <w:p w14:paraId="51C390EE" w14:textId="77777777" w:rsidR="00F76A63" w:rsidRDefault="00000000">
                  <w:pPr>
                    <w:adjustRightInd w:val="0"/>
                    <w:snapToGrid w:val="0"/>
                    <w:jc w:val="center"/>
                    <w:rPr>
                      <w:sz w:val="18"/>
                      <w:szCs w:val="18"/>
                    </w:rPr>
                  </w:pPr>
                  <w:r>
                    <w:rPr>
                      <w:rFonts w:eastAsia="Arial Unicode MS"/>
                      <w:sz w:val="18"/>
                      <w:szCs w:val="18"/>
                    </w:rPr>
                    <w:t>15.37</w:t>
                  </w:r>
                </w:p>
              </w:tc>
              <w:tc>
                <w:tcPr>
                  <w:tcW w:w="707" w:type="pct"/>
                  <w:tcBorders>
                    <w:top w:val="single" w:sz="4" w:space="0" w:color="auto"/>
                    <w:left w:val="single" w:sz="4" w:space="0" w:color="auto"/>
                    <w:bottom w:val="single" w:sz="4" w:space="0" w:color="auto"/>
                    <w:right w:val="single" w:sz="4" w:space="0" w:color="auto"/>
                  </w:tcBorders>
                  <w:vAlign w:val="center"/>
                </w:tcPr>
                <w:p w14:paraId="569BE874" w14:textId="77777777" w:rsidR="00F76A63" w:rsidRDefault="00000000">
                  <w:pPr>
                    <w:adjustRightInd w:val="0"/>
                    <w:snapToGrid w:val="0"/>
                    <w:jc w:val="center"/>
                    <w:rPr>
                      <w:sz w:val="18"/>
                      <w:szCs w:val="18"/>
                    </w:rPr>
                  </w:pPr>
                  <w:r>
                    <w:rPr>
                      <w:rFonts w:eastAsia="Arial Unicode MS"/>
                      <w:sz w:val="18"/>
                      <w:szCs w:val="18"/>
                    </w:rPr>
                    <w:t>42.12</w:t>
                  </w:r>
                </w:p>
              </w:tc>
              <w:tc>
                <w:tcPr>
                  <w:tcW w:w="504" w:type="pct"/>
                  <w:vMerge w:val="restart"/>
                  <w:tcBorders>
                    <w:top w:val="single" w:sz="4" w:space="0" w:color="auto"/>
                    <w:left w:val="single" w:sz="4" w:space="0" w:color="auto"/>
                    <w:bottom w:val="single" w:sz="4" w:space="0" w:color="auto"/>
                    <w:right w:val="nil"/>
                  </w:tcBorders>
                  <w:vAlign w:val="center"/>
                </w:tcPr>
                <w:p w14:paraId="36319CDB" w14:textId="77777777" w:rsidR="00F76A63" w:rsidRDefault="00000000">
                  <w:pPr>
                    <w:adjustRightInd w:val="0"/>
                    <w:snapToGrid w:val="0"/>
                    <w:jc w:val="center"/>
                    <w:rPr>
                      <w:sz w:val="18"/>
                      <w:szCs w:val="18"/>
                    </w:rPr>
                  </w:pPr>
                  <w:r>
                    <w:rPr>
                      <w:sz w:val="18"/>
                      <w:szCs w:val="18"/>
                    </w:rPr>
                    <w:t>/</w:t>
                  </w:r>
                </w:p>
              </w:tc>
            </w:tr>
            <w:tr w:rsidR="00F76A63" w14:paraId="37D91BD3" w14:textId="77777777">
              <w:trPr>
                <w:trHeight w:val="340"/>
                <w:jc w:val="center"/>
              </w:trPr>
              <w:tc>
                <w:tcPr>
                  <w:tcW w:w="422" w:type="pct"/>
                  <w:vMerge/>
                  <w:tcBorders>
                    <w:left w:val="nil"/>
                    <w:right w:val="single" w:sz="4" w:space="0" w:color="auto"/>
                  </w:tcBorders>
                  <w:vAlign w:val="center"/>
                </w:tcPr>
                <w:p w14:paraId="53BBCFA6"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719EAD2"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68525A1F"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3A583D51"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66350F09" w14:textId="77777777" w:rsidR="00F76A63" w:rsidRDefault="00000000">
                  <w:pPr>
                    <w:adjustRightInd w:val="0"/>
                    <w:snapToGrid w:val="0"/>
                    <w:jc w:val="center"/>
                    <w:rPr>
                      <w:sz w:val="18"/>
                      <w:szCs w:val="18"/>
                    </w:rPr>
                  </w:pPr>
                  <w:r>
                    <w:rPr>
                      <w:rFonts w:eastAsia="Arial Unicode MS"/>
                      <w:sz w:val="18"/>
                      <w:szCs w:val="18"/>
                    </w:rPr>
                    <w:t>0.50</w:t>
                  </w:r>
                </w:p>
              </w:tc>
              <w:tc>
                <w:tcPr>
                  <w:tcW w:w="668" w:type="pct"/>
                  <w:tcBorders>
                    <w:top w:val="single" w:sz="4" w:space="0" w:color="auto"/>
                    <w:left w:val="single" w:sz="4" w:space="0" w:color="auto"/>
                    <w:bottom w:val="single" w:sz="4" w:space="0" w:color="auto"/>
                    <w:right w:val="single" w:sz="4" w:space="0" w:color="auto"/>
                  </w:tcBorders>
                  <w:vAlign w:val="center"/>
                </w:tcPr>
                <w:p w14:paraId="1C8EB878" w14:textId="77777777" w:rsidR="00F76A63" w:rsidRDefault="00000000">
                  <w:pPr>
                    <w:adjustRightInd w:val="0"/>
                    <w:snapToGrid w:val="0"/>
                    <w:jc w:val="center"/>
                    <w:rPr>
                      <w:sz w:val="18"/>
                      <w:szCs w:val="18"/>
                    </w:rPr>
                  </w:pPr>
                  <w:r>
                    <w:rPr>
                      <w:rFonts w:eastAsia="Arial Unicode MS"/>
                      <w:sz w:val="18"/>
                      <w:szCs w:val="18"/>
                    </w:rPr>
                    <w:t>0.35</w:t>
                  </w:r>
                </w:p>
              </w:tc>
              <w:tc>
                <w:tcPr>
                  <w:tcW w:w="707" w:type="pct"/>
                  <w:tcBorders>
                    <w:top w:val="single" w:sz="4" w:space="0" w:color="auto"/>
                    <w:left w:val="single" w:sz="4" w:space="0" w:color="auto"/>
                    <w:bottom w:val="single" w:sz="4" w:space="0" w:color="auto"/>
                    <w:right w:val="single" w:sz="4" w:space="0" w:color="auto"/>
                  </w:tcBorders>
                  <w:vAlign w:val="center"/>
                </w:tcPr>
                <w:p w14:paraId="2A479229" w14:textId="77777777" w:rsidR="00F76A63" w:rsidRDefault="00000000">
                  <w:pPr>
                    <w:adjustRightInd w:val="0"/>
                    <w:snapToGrid w:val="0"/>
                    <w:jc w:val="center"/>
                    <w:rPr>
                      <w:sz w:val="18"/>
                      <w:szCs w:val="18"/>
                    </w:rPr>
                  </w:pPr>
                  <w:r>
                    <w:rPr>
                      <w:rFonts w:eastAsia="Arial Unicode MS"/>
                      <w:sz w:val="18"/>
                      <w:szCs w:val="18"/>
                    </w:rPr>
                    <w:t>25.94</w:t>
                  </w:r>
                </w:p>
              </w:tc>
              <w:tc>
                <w:tcPr>
                  <w:tcW w:w="504" w:type="pct"/>
                  <w:vMerge/>
                  <w:tcBorders>
                    <w:top w:val="single" w:sz="4" w:space="0" w:color="auto"/>
                    <w:left w:val="single" w:sz="4" w:space="0" w:color="auto"/>
                    <w:bottom w:val="single" w:sz="4" w:space="0" w:color="auto"/>
                    <w:right w:val="nil"/>
                  </w:tcBorders>
                  <w:vAlign w:val="center"/>
                </w:tcPr>
                <w:p w14:paraId="16BEFC13" w14:textId="77777777" w:rsidR="00F76A63" w:rsidRDefault="00F76A63">
                  <w:pPr>
                    <w:adjustRightInd w:val="0"/>
                    <w:snapToGrid w:val="0"/>
                    <w:jc w:val="center"/>
                    <w:rPr>
                      <w:sz w:val="18"/>
                      <w:szCs w:val="18"/>
                    </w:rPr>
                  </w:pPr>
                </w:p>
              </w:tc>
            </w:tr>
            <w:tr w:rsidR="00F76A63" w14:paraId="390291E9" w14:textId="77777777">
              <w:trPr>
                <w:trHeight w:val="340"/>
                <w:jc w:val="center"/>
              </w:trPr>
              <w:tc>
                <w:tcPr>
                  <w:tcW w:w="422" w:type="pct"/>
                  <w:vMerge/>
                  <w:tcBorders>
                    <w:left w:val="nil"/>
                    <w:right w:val="single" w:sz="4" w:space="0" w:color="auto"/>
                  </w:tcBorders>
                  <w:vAlign w:val="center"/>
                </w:tcPr>
                <w:p w14:paraId="1F0D4CF7"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5C4E5501"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41FE6D2"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6E6EFDE"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348CC881" w14:textId="77777777" w:rsidR="00F76A63" w:rsidRDefault="00000000">
                  <w:pPr>
                    <w:adjustRightInd w:val="0"/>
                    <w:snapToGrid w:val="0"/>
                    <w:jc w:val="center"/>
                    <w:rPr>
                      <w:sz w:val="18"/>
                      <w:szCs w:val="18"/>
                    </w:rPr>
                  </w:pPr>
                  <w:r>
                    <w:rPr>
                      <w:rFonts w:eastAsia="Arial Unicode MS"/>
                      <w:sz w:val="18"/>
                      <w:szCs w:val="18"/>
                    </w:rPr>
                    <w:t>0.98</w:t>
                  </w:r>
                </w:p>
              </w:tc>
              <w:tc>
                <w:tcPr>
                  <w:tcW w:w="668" w:type="pct"/>
                  <w:tcBorders>
                    <w:top w:val="single" w:sz="4" w:space="0" w:color="auto"/>
                    <w:left w:val="single" w:sz="4" w:space="0" w:color="auto"/>
                    <w:bottom w:val="single" w:sz="4" w:space="0" w:color="auto"/>
                    <w:right w:val="single" w:sz="4" w:space="0" w:color="auto"/>
                  </w:tcBorders>
                  <w:vAlign w:val="center"/>
                </w:tcPr>
                <w:p w14:paraId="17F4C0D3" w14:textId="77777777" w:rsidR="00F76A63" w:rsidRDefault="00000000">
                  <w:pPr>
                    <w:adjustRightInd w:val="0"/>
                    <w:snapToGrid w:val="0"/>
                    <w:jc w:val="center"/>
                    <w:rPr>
                      <w:sz w:val="18"/>
                      <w:szCs w:val="18"/>
                    </w:rPr>
                  </w:pPr>
                  <w:r>
                    <w:rPr>
                      <w:rFonts w:eastAsia="Arial Unicode MS"/>
                      <w:sz w:val="18"/>
                      <w:szCs w:val="18"/>
                    </w:rPr>
                    <w:t>3.33</w:t>
                  </w:r>
                </w:p>
              </w:tc>
              <w:tc>
                <w:tcPr>
                  <w:tcW w:w="707" w:type="pct"/>
                  <w:tcBorders>
                    <w:top w:val="single" w:sz="4" w:space="0" w:color="auto"/>
                    <w:left w:val="single" w:sz="4" w:space="0" w:color="auto"/>
                    <w:bottom w:val="single" w:sz="4" w:space="0" w:color="auto"/>
                    <w:right w:val="single" w:sz="4" w:space="0" w:color="auto"/>
                  </w:tcBorders>
                  <w:vAlign w:val="center"/>
                </w:tcPr>
                <w:p w14:paraId="23962ED4" w14:textId="77777777" w:rsidR="00F76A63" w:rsidRDefault="00000000">
                  <w:pPr>
                    <w:adjustRightInd w:val="0"/>
                    <w:snapToGrid w:val="0"/>
                    <w:jc w:val="center"/>
                    <w:rPr>
                      <w:sz w:val="18"/>
                      <w:szCs w:val="18"/>
                    </w:rPr>
                  </w:pPr>
                  <w:r>
                    <w:rPr>
                      <w:rFonts w:eastAsia="Arial Unicode MS"/>
                      <w:sz w:val="18"/>
                      <w:szCs w:val="18"/>
                    </w:rPr>
                    <w:t>37.48</w:t>
                  </w:r>
                </w:p>
              </w:tc>
              <w:tc>
                <w:tcPr>
                  <w:tcW w:w="504" w:type="pct"/>
                  <w:vMerge/>
                  <w:tcBorders>
                    <w:top w:val="single" w:sz="4" w:space="0" w:color="auto"/>
                    <w:left w:val="single" w:sz="4" w:space="0" w:color="auto"/>
                    <w:bottom w:val="single" w:sz="4" w:space="0" w:color="auto"/>
                    <w:right w:val="nil"/>
                  </w:tcBorders>
                  <w:vAlign w:val="center"/>
                </w:tcPr>
                <w:p w14:paraId="538F3C21" w14:textId="77777777" w:rsidR="00F76A63" w:rsidRDefault="00F76A63">
                  <w:pPr>
                    <w:adjustRightInd w:val="0"/>
                    <w:snapToGrid w:val="0"/>
                    <w:jc w:val="center"/>
                    <w:rPr>
                      <w:sz w:val="18"/>
                      <w:szCs w:val="18"/>
                    </w:rPr>
                  </w:pPr>
                </w:p>
              </w:tc>
            </w:tr>
            <w:tr w:rsidR="00F76A63" w14:paraId="1A1C8DD7" w14:textId="77777777">
              <w:trPr>
                <w:trHeight w:val="340"/>
                <w:jc w:val="center"/>
              </w:trPr>
              <w:tc>
                <w:tcPr>
                  <w:tcW w:w="422" w:type="pct"/>
                  <w:vMerge/>
                  <w:tcBorders>
                    <w:left w:val="nil"/>
                    <w:right w:val="single" w:sz="4" w:space="0" w:color="auto"/>
                  </w:tcBorders>
                  <w:vAlign w:val="center"/>
                </w:tcPr>
                <w:p w14:paraId="32A45BE8"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bottom w:val="single" w:sz="4" w:space="0" w:color="auto"/>
                    <w:right w:val="single" w:sz="4" w:space="0" w:color="auto"/>
                  </w:tcBorders>
                  <w:vAlign w:val="center"/>
                </w:tcPr>
                <w:p w14:paraId="666698F6" w14:textId="77777777" w:rsidR="00F76A63" w:rsidRDefault="00000000">
                  <w:pPr>
                    <w:adjustRightInd w:val="0"/>
                    <w:snapToGrid w:val="0"/>
                    <w:jc w:val="center"/>
                    <w:rPr>
                      <w:sz w:val="18"/>
                      <w:szCs w:val="18"/>
                    </w:rPr>
                  </w:pPr>
                  <w:r>
                    <w:rPr>
                      <w:sz w:val="18"/>
                      <w:szCs w:val="18"/>
                    </w:rPr>
                    <w:t>202506</w:t>
                  </w:r>
                </w:p>
              </w:tc>
              <w:tc>
                <w:tcPr>
                  <w:tcW w:w="978" w:type="pct"/>
                  <w:vMerge w:val="restart"/>
                  <w:tcBorders>
                    <w:top w:val="single" w:sz="4" w:space="0" w:color="auto"/>
                    <w:left w:val="single" w:sz="4" w:space="0" w:color="auto"/>
                    <w:bottom w:val="single" w:sz="4" w:space="0" w:color="auto"/>
                    <w:right w:val="single" w:sz="4" w:space="0" w:color="auto"/>
                  </w:tcBorders>
                  <w:vAlign w:val="center"/>
                </w:tcPr>
                <w:p w14:paraId="090712BA" w14:textId="77777777" w:rsidR="00F76A63" w:rsidRDefault="00000000">
                  <w:pPr>
                    <w:widowControl/>
                    <w:jc w:val="center"/>
                    <w:rPr>
                      <w:rFonts w:eastAsia="Arial Unicode MS"/>
                      <w:kern w:val="0"/>
                      <w:sz w:val="18"/>
                      <w:szCs w:val="18"/>
                    </w:rPr>
                  </w:pPr>
                  <w:r>
                    <w:rPr>
                      <w:rFonts w:eastAsia="Arial Unicode MS"/>
                      <w:sz w:val="18"/>
                      <w:szCs w:val="18"/>
                    </w:rPr>
                    <w:t>315965.58</w:t>
                  </w:r>
                </w:p>
              </w:tc>
              <w:tc>
                <w:tcPr>
                  <w:tcW w:w="546" w:type="pct"/>
                  <w:tcBorders>
                    <w:top w:val="single" w:sz="4" w:space="0" w:color="auto"/>
                    <w:left w:val="single" w:sz="4" w:space="0" w:color="auto"/>
                    <w:bottom w:val="single" w:sz="4" w:space="0" w:color="auto"/>
                    <w:right w:val="single" w:sz="4" w:space="0" w:color="auto"/>
                  </w:tcBorders>
                  <w:vAlign w:val="center"/>
                </w:tcPr>
                <w:p w14:paraId="6F66189F"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3ACB8EA9" w14:textId="77777777" w:rsidR="00F76A63" w:rsidRDefault="00000000">
                  <w:pPr>
                    <w:adjustRightInd w:val="0"/>
                    <w:snapToGrid w:val="0"/>
                    <w:jc w:val="center"/>
                    <w:rPr>
                      <w:sz w:val="18"/>
                      <w:szCs w:val="18"/>
                    </w:rPr>
                  </w:pPr>
                  <w:r>
                    <w:rPr>
                      <w:rFonts w:eastAsia="Arial Unicode MS"/>
                      <w:sz w:val="18"/>
                      <w:szCs w:val="18"/>
                    </w:rPr>
                    <w:t>1.28</w:t>
                  </w:r>
                </w:p>
              </w:tc>
              <w:tc>
                <w:tcPr>
                  <w:tcW w:w="668" w:type="pct"/>
                  <w:tcBorders>
                    <w:top w:val="single" w:sz="4" w:space="0" w:color="auto"/>
                    <w:left w:val="single" w:sz="4" w:space="0" w:color="auto"/>
                    <w:bottom w:val="single" w:sz="4" w:space="0" w:color="auto"/>
                    <w:right w:val="single" w:sz="4" w:space="0" w:color="auto"/>
                  </w:tcBorders>
                  <w:vAlign w:val="center"/>
                </w:tcPr>
                <w:p w14:paraId="2E2CCFD3" w14:textId="77777777" w:rsidR="00F76A63" w:rsidRDefault="00000000">
                  <w:pPr>
                    <w:adjustRightInd w:val="0"/>
                    <w:snapToGrid w:val="0"/>
                    <w:jc w:val="center"/>
                    <w:rPr>
                      <w:b/>
                      <w:bCs/>
                      <w:sz w:val="18"/>
                      <w:szCs w:val="18"/>
                    </w:rPr>
                  </w:pPr>
                  <w:r>
                    <w:rPr>
                      <w:rFonts w:eastAsia="Arial Unicode MS"/>
                      <w:b/>
                      <w:bCs/>
                      <w:sz w:val="18"/>
                      <w:szCs w:val="18"/>
                    </w:rPr>
                    <w:t>42.90</w:t>
                  </w:r>
                </w:p>
              </w:tc>
              <w:tc>
                <w:tcPr>
                  <w:tcW w:w="707" w:type="pct"/>
                  <w:tcBorders>
                    <w:top w:val="single" w:sz="4" w:space="0" w:color="auto"/>
                    <w:left w:val="single" w:sz="4" w:space="0" w:color="auto"/>
                    <w:bottom w:val="single" w:sz="4" w:space="0" w:color="auto"/>
                    <w:right w:val="single" w:sz="4" w:space="0" w:color="auto"/>
                  </w:tcBorders>
                  <w:vAlign w:val="center"/>
                </w:tcPr>
                <w:p w14:paraId="082D90BF" w14:textId="77777777" w:rsidR="00F76A63" w:rsidRDefault="00000000">
                  <w:pPr>
                    <w:adjustRightInd w:val="0"/>
                    <w:snapToGrid w:val="0"/>
                    <w:jc w:val="center"/>
                    <w:rPr>
                      <w:b/>
                      <w:bCs/>
                      <w:sz w:val="18"/>
                      <w:szCs w:val="18"/>
                    </w:rPr>
                  </w:pPr>
                  <w:r>
                    <w:rPr>
                      <w:rFonts w:eastAsia="Arial Unicode MS"/>
                      <w:b/>
                      <w:bCs/>
                      <w:sz w:val="18"/>
                      <w:szCs w:val="18"/>
                    </w:rPr>
                    <w:t>81.92</w:t>
                  </w:r>
                </w:p>
              </w:tc>
              <w:tc>
                <w:tcPr>
                  <w:tcW w:w="504" w:type="pct"/>
                  <w:vMerge w:val="restart"/>
                  <w:tcBorders>
                    <w:top w:val="single" w:sz="4" w:space="0" w:color="auto"/>
                    <w:left w:val="single" w:sz="4" w:space="0" w:color="auto"/>
                    <w:bottom w:val="single" w:sz="4" w:space="0" w:color="auto"/>
                    <w:right w:val="nil"/>
                  </w:tcBorders>
                  <w:vAlign w:val="center"/>
                </w:tcPr>
                <w:p w14:paraId="5716A09D" w14:textId="77777777" w:rsidR="00F76A63" w:rsidRDefault="00000000">
                  <w:pPr>
                    <w:adjustRightInd w:val="0"/>
                    <w:snapToGrid w:val="0"/>
                    <w:jc w:val="center"/>
                    <w:rPr>
                      <w:sz w:val="18"/>
                      <w:szCs w:val="18"/>
                    </w:rPr>
                  </w:pPr>
                  <w:r>
                    <w:rPr>
                      <w:sz w:val="18"/>
                      <w:szCs w:val="18"/>
                    </w:rPr>
                    <w:t>/</w:t>
                  </w:r>
                </w:p>
              </w:tc>
            </w:tr>
            <w:tr w:rsidR="00F76A63" w14:paraId="702372F1" w14:textId="77777777">
              <w:trPr>
                <w:trHeight w:val="340"/>
                <w:jc w:val="center"/>
              </w:trPr>
              <w:tc>
                <w:tcPr>
                  <w:tcW w:w="422" w:type="pct"/>
                  <w:vMerge/>
                  <w:tcBorders>
                    <w:left w:val="nil"/>
                    <w:right w:val="single" w:sz="4" w:space="0" w:color="auto"/>
                  </w:tcBorders>
                  <w:vAlign w:val="center"/>
                </w:tcPr>
                <w:p w14:paraId="547A2CAC"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6E10ABD5"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109CF30F"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025307B"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5DC1DB10" w14:textId="77777777" w:rsidR="00F76A63" w:rsidRDefault="00000000">
                  <w:pPr>
                    <w:adjustRightInd w:val="0"/>
                    <w:snapToGrid w:val="0"/>
                    <w:jc w:val="center"/>
                    <w:rPr>
                      <w:sz w:val="18"/>
                      <w:szCs w:val="18"/>
                    </w:rPr>
                  </w:pPr>
                  <w:r>
                    <w:rPr>
                      <w:rFonts w:eastAsia="Arial Unicode MS"/>
                      <w:sz w:val="18"/>
                      <w:szCs w:val="18"/>
                    </w:rPr>
                    <w:t>0.63</w:t>
                  </w:r>
                </w:p>
              </w:tc>
              <w:tc>
                <w:tcPr>
                  <w:tcW w:w="668" w:type="pct"/>
                  <w:tcBorders>
                    <w:top w:val="single" w:sz="4" w:space="0" w:color="auto"/>
                    <w:left w:val="single" w:sz="4" w:space="0" w:color="auto"/>
                    <w:bottom w:val="single" w:sz="4" w:space="0" w:color="auto"/>
                    <w:right w:val="single" w:sz="4" w:space="0" w:color="auto"/>
                  </w:tcBorders>
                  <w:vAlign w:val="center"/>
                </w:tcPr>
                <w:p w14:paraId="70FDE2BB" w14:textId="77777777" w:rsidR="00F76A63" w:rsidRDefault="00000000">
                  <w:pPr>
                    <w:adjustRightInd w:val="0"/>
                    <w:snapToGrid w:val="0"/>
                    <w:jc w:val="center"/>
                    <w:rPr>
                      <w:sz w:val="18"/>
                      <w:szCs w:val="18"/>
                    </w:rPr>
                  </w:pPr>
                  <w:r>
                    <w:rPr>
                      <w:rFonts w:eastAsia="Arial Unicode MS"/>
                      <w:sz w:val="18"/>
                      <w:szCs w:val="18"/>
                    </w:rPr>
                    <w:t>0.01</w:t>
                  </w:r>
                </w:p>
              </w:tc>
              <w:tc>
                <w:tcPr>
                  <w:tcW w:w="707" w:type="pct"/>
                  <w:tcBorders>
                    <w:top w:val="single" w:sz="4" w:space="0" w:color="auto"/>
                    <w:left w:val="single" w:sz="4" w:space="0" w:color="auto"/>
                    <w:bottom w:val="single" w:sz="4" w:space="0" w:color="auto"/>
                    <w:right w:val="single" w:sz="4" w:space="0" w:color="auto"/>
                  </w:tcBorders>
                  <w:vAlign w:val="center"/>
                </w:tcPr>
                <w:p w14:paraId="56F00BAE" w14:textId="77777777" w:rsidR="00F76A63" w:rsidRDefault="00000000">
                  <w:pPr>
                    <w:adjustRightInd w:val="0"/>
                    <w:snapToGrid w:val="0"/>
                    <w:jc w:val="center"/>
                    <w:rPr>
                      <w:sz w:val="18"/>
                      <w:szCs w:val="18"/>
                    </w:rPr>
                  </w:pPr>
                  <w:r>
                    <w:rPr>
                      <w:rFonts w:eastAsia="Arial Unicode MS"/>
                      <w:sz w:val="18"/>
                      <w:szCs w:val="18"/>
                    </w:rPr>
                    <w:t>0.09</w:t>
                  </w:r>
                </w:p>
              </w:tc>
              <w:tc>
                <w:tcPr>
                  <w:tcW w:w="504" w:type="pct"/>
                  <w:vMerge/>
                  <w:tcBorders>
                    <w:top w:val="single" w:sz="4" w:space="0" w:color="auto"/>
                    <w:left w:val="single" w:sz="4" w:space="0" w:color="auto"/>
                    <w:bottom w:val="single" w:sz="4" w:space="0" w:color="auto"/>
                    <w:right w:val="nil"/>
                  </w:tcBorders>
                  <w:vAlign w:val="center"/>
                </w:tcPr>
                <w:p w14:paraId="51FCF3D7" w14:textId="77777777" w:rsidR="00F76A63" w:rsidRDefault="00F76A63">
                  <w:pPr>
                    <w:adjustRightInd w:val="0"/>
                    <w:snapToGrid w:val="0"/>
                    <w:jc w:val="center"/>
                    <w:rPr>
                      <w:sz w:val="18"/>
                      <w:szCs w:val="18"/>
                    </w:rPr>
                  </w:pPr>
                </w:p>
              </w:tc>
            </w:tr>
            <w:tr w:rsidR="00F76A63" w14:paraId="3C1448BB" w14:textId="77777777">
              <w:trPr>
                <w:trHeight w:val="340"/>
                <w:jc w:val="center"/>
              </w:trPr>
              <w:tc>
                <w:tcPr>
                  <w:tcW w:w="422" w:type="pct"/>
                  <w:vMerge/>
                  <w:tcBorders>
                    <w:left w:val="nil"/>
                    <w:right w:val="single" w:sz="4" w:space="0" w:color="auto"/>
                  </w:tcBorders>
                  <w:vAlign w:val="center"/>
                </w:tcPr>
                <w:p w14:paraId="1AFD80B6" w14:textId="77777777" w:rsidR="00F76A63" w:rsidRDefault="00F76A63">
                  <w:pPr>
                    <w:adjustRightInd w:val="0"/>
                    <w:snapToGrid w:val="0"/>
                    <w:jc w:val="center"/>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tcPr>
                <w:p w14:paraId="0A3F9505" w14:textId="77777777" w:rsidR="00F76A63" w:rsidRDefault="00F76A63">
                  <w:pPr>
                    <w:adjustRightInd w:val="0"/>
                    <w:snapToGrid w:val="0"/>
                    <w:jc w:val="center"/>
                    <w:rPr>
                      <w:sz w:val="18"/>
                      <w:szCs w:val="18"/>
                    </w:rPr>
                  </w:pPr>
                </w:p>
              </w:tc>
              <w:tc>
                <w:tcPr>
                  <w:tcW w:w="978" w:type="pct"/>
                  <w:vMerge/>
                  <w:tcBorders>
                    <w:top w:val="single" w:sz="4" w:space="0" w:color="auto"/>
                    <w:left w:val="single" w:sz="4" w:space="0" w:color="auto"/>
                    <w:bottom w:val="single" w:sz="4" w:space="0" w:color="auto"/>
                    <w:right w:val="single" w:sz="4" w:space="0" w:color="auto"/>
                  </w:tcBorders>
                  <w:vAlign w:val="center"/>
                </w:tcPr>
                <w:p w14:paraId="44449E8F"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783A134"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2FCC05C8" w14:textId="77777777" w:rsidR="00F76A63" w:rsidRDefault="00000000">
                  <w:pPr>
                    <w:adjustRightInd w:val="0"/>
                    <w:snapToGrid w:val="0"/>
                    <w:jc w:val="center"/>
                    <w:rPr>
                      <w:sz w:val="18"/>
                      <w:szCs w:val="18"/>
                    </w:rPr>
                  </w:pPr>
                  <w:r>
                    <w:rPr>
                      <w:rFonts w:eastAsia="Arial Unicode MS"/>
                      <w:sz w:val="18"/>
                      <w:szCs w:val="18"/>
                    </w:rPr>
                    <w:t>0.92</w:t>
                  </w:r>
                </w:p>
              </w:tc>
              <w:tc>
                <w:tcPr>
                  <w:tcW w:w="668" w:type="pct"/>
                  <w:tcBorders>
                    <w:top w:val="single" w:sz="4" w:space="0" w:color="auto"/>
                    <w:left w:val="single" w:sz="4" w:space="0" w:color="auto"/>
                    <w:bottom w:val="single" w:sz="4" w:space="0" w:color="auto"/>
                    <w:right w:val="single" w:sz="4" w:space="0" w:color="auto"/>
                  </w:tcBorders>
                  <w:vAlign w:val="center"/>
                </w:tcPr>
                <w:p w14:paraId="4106A4D8" w14:textId="77777777" w:rsidR="00F76A63" w:rsidRDefault="00000000">
                  <w:pPr>
                    <w:adjustRightInd w:val="0"/>
                    <w:snapToGrid w:val="0"/>
                    <w:jc w:val="center"/>
                    <w:rPr>
                      <w:sz w:val="18"/>
                      <w:szCs w:val="18"/>
                    </w:rPr>
                  </w:pPr>
                  <w:r>
                    <w:rPr>
                      <w:rFonts w:eastAsia="Arial Unicode MS"/>
                      <w:sz w:val="18"/>
                      <w:szCs w:val="18"/>
                    </w:rPr>
                    <w:t>2.18</w:t>
                  </w:r>
                </w:p>
              </w:tc>
              <w:tc>
                <w:tcPr>
                  <w:tcW w:w="707" w:type="pct"/>
                  <w:tcBorders>
                    <w:top w:val="single" w:sz="4" w:space="0" w:color="auto"/>
                    <w:left w:val="single" w:sz="4" w:space="0" w:color="auto"/>
                    <w:bottom w:val="single" w:sz="4" w:space="0" w:color="auto"/>
                    <w:right w:val="single" w:sz="4" w:space="0" w:color="auto"/>
                  </w:tcBorders>
                  <w:vAlign w:val="center"/>
                </w:tcPr>
                <w:p w14:paraId="36EECE7B" w14:textId="77777777" w:rsidR="00F76A63" w:rsidRDefault="00000000">
                  <w:pPr>
                    <w:adjustRightInd w:val="0"/>
                    <w:snapToGrid w:val="0"/>
                    <w:jc w:val="center"/>
                    <w:rPr>
                      <w:sz w:val="18"/>
                      <w:szCs w:val="18"/>
                    </w:rPr>
                  </w:pPr>
                  <w:r>
                    <w:rPr>
                      <w:rFonts w:eastAsia="Arial Unicode MS"/>
                      <w:sz w:val="18"/>
                      <w:szCs w:val="18"/>
                    </w:rPr>
                    <w:t>15.25</w:t>
                  </w:r>
                </w:p>
              </w:tc>
              <w:tc>
                <w:tcPr>
                  <w:tcW w:w="504" w:type="pct"/>
                  <w:vMerge/>
                  <w:tcBorders>
                    <w:top w:val="single" w:sz="4" w:space="0" w:color="auto"/>
                    <w:left w:val="single" w:sz="4" w:space="0" w:color="auto"/>
                    <w:bottom w:val="single" w:sz="4" w:space="0" w:color="auto"/>
                    <w:right w:val="nil"/>
                  </w:tcBorders>
                  <w:vAlign w:val="center"/>
                </w:tcPr>
                <w:p w14:paraId="027420A0" w14:textId="77777777" w:rsidR="00F76A63" w:rsidRDefault="00F76A63">
                  <w:pPr>
                    <w:adjustRightInd w:val="0"/>
                    <w:snapToGrid w:val="0"/>
                    <w:jc w:val="center"/>
                    <w:rPr>
                      <w:sz w:val="18"/>
                      <w:szCs w:val="18"/>
                    </w:rPr>
                  </w:pPr>
                </w:p>
              </w:tc>
            </w:tr>
            <w:tr w:rsidR="00F76A63" w14:paraId="494BDD84" w14:textId="77777777">
              <w:trPr>
                <w:trHeight w:val="340"/>
                <w:jc w:val="center"/>
              </w:trPr>
              <w:tc>
                <w:tcPr>
                  <w:tcW w:w="422" w:type="pct"/>
                  <w:vMerge/>
                  <w:tcBorders>
                    <w:left w:val="nil"/>
                    <w:right w:val="single" w:sz="4" w:space="0" w:color="auto"/>
                  </w:tcBorders>
                  <w:vAlign w:val="center"/>
                </w:tcPr>
                <w:p w14:paraId="71370706" w14:textId="77777777" w:rsidR="00F76A63" w:rsidRDefault="00F76A63">
                  <w:pPr>
                    <w:adjustRightInd w:val="0"/>
                    <w:snapToGrid w:val="0"/>
                    <w:jc w:val="center"/>
                    <w:rPr>
                      <w:sz w:val="18"/>
                      <w:szCs w:val="18"/>
                    </w:rPr>
                  </w:pPr>
                </w:p>
              </w:tc>
              <w:tc>
                <w:tcPr>
                  <w:tcW w:w="578" w:type="pct"/>
                  <w:vMerge w:val="restart"/>
                  <w:tcBorders>
                    <w:top w:val="single" w:sz="4" w:space="0" w:color="auto"/>
                    <w:left w:val="single" w:sz="4" w:space="0" w:color="auto"/>
                    <w:right w:val="single" w:sz="4" w:space="0" w:color="auto"/>
                  </w:tcBorders>
                  <w:vAlign w:val="center"/>
                </w:tcPr>
                <w:p w14:paraId="671560E5" w14:textId="77777777" w:rsidR="00F76A63" w:rsidRDefault="00000000">
                  <w:pPr>
                    <w:adjustRightInd w:val="0"/>
                    <w:snapToGrid w:val="0"/>
                    <w:jc w:val="center"/>
                    <w:rPr>
                      <w:sz w:val="18"/>
                      <w:szCs w:val="18"/>
                    </w:rPr>
                  </w:pPr>
                  <w:r>
                    <w:rPr>
                      <w:sz w:val="18"/>
                      <w:szCs w:val="18"/>
                    </w:rPr>
                    <w:t>202507</w:t>
                  </w:r>
                </w:p>
              </w:tc>
              <w:tc>
                <w:tcPr>
                  <w:tcW w:w="978" w:type="pct"/>
                  <w:vMerge w:val="restart"/>
                  <w:tcBorders>
                    <w:top w:val="single" w:sz="4" w:space="0" w:color="auto"/>
                    <w:left w:val="single" w:sz="4" w:space="0" w:color="auto"/>
                    <w:right w:val="single" w:sz="4" w:space="0" w:color="auto"/>
                  </w:tcBorders>
                  <w:vAlign w:val="center"/>
                </w:tcPr>
                <w:p w14:paraId="3A332ACD" w14:textId="77777777" w:rsidR="00F76A63" w:rsidRDefault="00000000">
                  <w:pPr>
                    <w:widowControl/>
                    <w:jc w:val="center"/>
                    <w:rPr>
                      <w:rFonts w:eastAsia="Arial Unicode MS"/>
                      <w:kern w:val="0"/>
                      <w:sz w:val="18"/>
                      <w:szCs w:val="18"/>
                    </w:rPr>
                  </w:pPr>
                  <w:r>
                    <w:rPr>
                      <w:rFonts w:eastAsia="Arial Unicode MS"/>
                      <w:sz w:val="18"/>
                      <w:szCs w:val="18"/>
                    </w:rPr>
                    <w:t>615185.96</w:t>
                  </w:r>
                </w:p>
              </w:tc>
              <w:tc>
                <w:tcPr>
                  <w:tcW w:w="546" w:type="pct"/>
                  <w:tcBorders>
                    <w:top w:val="single" w:sz="4" w:space="0" w:color="auto"/>
                    <w:left w:val="single" w:sz="4" w:space="0" w:color="auto"/>
                    <w:bottom w:val="single" w:sz="4" w:space="0" w:color="auto"/>
                    <w:right w:val="single" w:sz="4" w:space="0" w:color="auto"/>
                  </w:tcBorders>
                  <w:vAlign w:val="center"/>
                </w:tcPr>
                <w:p w14:paraId="57FDCCBE"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3EA47FCC" w14:textId="77777777" w:rsidR="00F76A63" w:rsidRDefault="00000000">
                  <w:pPr>
                    <w:adjustRightInd w:val="0"/>
                    <w:snapToGrid w:val="0"/>
                    <w:jc w:val="center"/>
                    <w:rPr>
                      <w:sz w:val="18"/>
                      <w:szCs w:val="18"/>
                    </w:rPr>
                  </w:pPr>
                  <w:r>
                    <w:rPr>
                      <w:rFonts w:eastAsia="Arial Unicode MS"/>
                      <w:sz w:val="18"/>
                      <w:szCs w:val="18"/>
                    </w:rPr>
                    <w:t>2.02</w:t>
                  </w:r>
                </w:p>
              </w:tc>
              <w:tc>
                <w:tcPr>
                  <w:tcW w:w="668" w:type="pct"/>
                  <w:tcBorders>
                    <w:top w:val="single" w:sz="4" w:space="0" w:color="auto"/>
                    <w:left w:val="single" w:sz="4" w:space="0" w:color="auto"/>
                    <w:bottom w:val="single" w:sz="4" w:space="0" w:color="auto"/>
                    <w:right w:val="single" w:sz="4" w:space="0" w:color="auto"/>
                  </w:tcBorders>
                  <w:vAlign w:val="center"/>
                </w:tcPr>
                <w:p w14:paraId="47C788BB" w14:textId="77777777" w:rsidR="00F76A63" w:rsidRDefault="00000000">
                  <w:pPr>
                    <w:adjustRightInd w:val="0"/>
                    <w:snapToGrid w:val="0"/>
                    <w:jc w:val="center"/>
                    <w:rPr>
                      <w:sz w:val="18"/>
                      <w:szCs w:val="18"/>
                    </w:rPr>
                  </w:pPr>
                  <w:r>
                    <w:rPr>
                      <w:rFonts w:eastAsia="Arial Unicode MS"/>
                      <w:sz w:val="18"/>
                      <w:szCs w:val="18"/>
                    </w:rPr>
                    <w:t>5.11</w:t>
                  </w:r>
                </w:p>
              </w:tc>
              <w:tc>
                <w:tcPr>
                  <w:tcW w:w="707" w:type="pct"/>
                  <w:tcBorders>
                    <w:top w:val="single" w:sz="4" w:space="0" w:color="auto"/>
                    <w:left w:val="single" w:sz="4" w:space="0" w:color="auto"/>
                    <w:bottom w:val="single" w:sz="4" w:space="0" w:color="auto"/>
                    <w:right w:val="single" w:sz="4" w:space="0" w:color="auto"/>
                  </w:tcBorders>
                  <w:vAlign w:val="center"/>
                </w:tcPr>
                <w:p w14:paraId="4CD53CAF" w14:textId="77777777" w:rsidR="00F76A63" w:rsidRDefault="00000000">
                  <w:pPr>
                    <w:adjustRightInd w:val="0"/>
                    <w:snapToGrid w:val="0"/>
                    <w:jc w:val="center"/>
                    <w:rPr>
                      <w:sz w:val="18"/>
                      <w:szCs w:val="18"/>
                    </w:rPr>
                  </w:pPr>
                  <w:r>
                    <w:rPr>
                      <w:rFonts w:eastAsia="Arial Unicode MS"/>
                      <w:sz w:val="18"/>
                      <w:szCs w:val="18"/>
                    </w:rPr>
                    <w:t>37.07</w:t>
                  </w:r>
                </w:p>
              </w:tc>
              <w:tc>
                <w:tcPr>
                  <w:tcW w:w="504" w:type="pct"/>
                  <w:vMerge w:val="restart"/>
                  <w:tcBorders>
                    <w:top w:val="single" w:sz="4" w:space="0" w:color="auto"/>
                    <w:left w:val="single" w:sz="4" w:space="0" w:color="auto"/>
                    <w:right w:val="nil"/>
                  </w:tcBorders>
                  <w:vAlign w:val="center"/>
                </w:tcPr>
                <w:p w14:paraId="2B85DBBE" w14:textId="77777777" w:rsidR="00F76A63" w:rsidRDefault="00000000">
                  <w:pPr>
                    <w:adjustRightInd w:val="0"/>
                    <w:snapToGrid w:val="0"/>
                    <w:jc w:val="center"/>
                    <w:rPr>
                      <w:sz w:val="18"/>
                      <w:szCs w:val="18"/>
                    </w:rPr>
                  </w:pPr>
                  <w:r>
                    <w:rPr>
                      <w:sz w:val="18"/>
                      <w:szCs w:val="18"/>
                    </w:rPr>
                    <w:t>/</w:t>
                  </w:r>
                </w:p>
              </w:tc>
            </w:tr>
            <w:tr w:rsidR="00F76A63" w14:paraId="30CE422B" w14:textId="77777777">
              <w:trPr>
                <w:trHeight w:val="340"/>
                <w:jc w:val="center"/>
              </w:trPr>
              <w:tc>
                <w:tcPr>
                  <w:tcW w:w="422" w:type="pct"/>
                  <w:vMerge/>
                  <w:tcBorders>
                    <w:left w:val="nil"/>
                    <w:right w:val="single" w:sz="4" w:space="0" w:color="auto"/>
                  </w:tcBorders>
                  <w:vAlign w:val="center"/>
                </w:tcPr>
                <w:p w14:paraId="7E7DF474"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41180EBC"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52FA213B"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0D9B397"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1ACB9BEC" w14:textId="77777777" w:rsidR="00F76A63" w:rsidRDefault="00000000">
                  <w:pPr>
                    <w:adjustRightInd w:val="0"/>
                    <w:snapToGrid w:val="0"/>
                    <w:jc w:val="center"/>
                    <w:rPr>
                      <w:sz w:val="18"/>
                      <w:szCs w:val="18"/>
                    </w:rPr>
                  </w:pPr>
                  <w:r>
                    <w:rPr>
                      <w:rFonts w:eastAsia="Arial Unicode MS"/>
                      <w:sz w:val="18"/>
                      <w:szCs w:val="18"/>
                    </w:rPr>
                    <w:t>1.00</w:t>
                  </w:r>
                </w:p>
              </w:tc>
              <w:tc>
                <w:tcPr>
                  <w:tcW w:w="668" w:type="pct"/>
                  <w:tcBorders>
                    <w:top w:val="single" w:sz="4" w:space="0" w:color="auto"/>
                    <w:left w:val="single" w:sz="4" w:space="0" w:color="auto"/>
                    <w:bottom w:val="single" w:sz="4" w:space="0" w:color="auto"/>
                    <w:right w:val="single" w:sz="4" w:space="0" w:color="auto"/>
                  </w:tcBorders>
                  <w:vAlign w:val="center"/>
                </w:tcPr>
                <w:p w14:paraId="10296E13" w14:textId="77777777" w:rsidR="00F76A63" w:rsidRDefault="00000000">
                  <w:pPr>
                    <w:adjustRightInd w:val="0"/>
                    <w:snapToGrid w:val="0"/>
                    <w:jc w:val="center"/>
                    <w:rPr>
                      <w:sz w:val="18"/>
                      <w:szCs w:val="18"/>
                    </w:rPr>
                  </w:pPr>
                  <w:r>
                    <w:rPr>
                      <w:rFonts w:eastAsia="Arial Unicode MS"/>
                      <w:sz w:val="18"/>
                      <w:szCs w:val="18"/>
                    </w:rPr>
                    <w:t>0.35</w:t>
                  </w:r>
                </w:p>
              </w:tc>
              <w:tc>
                <w:tcPr>
                  <w:tcW w:w="707" w:type="pct"/>
                  <w:tcBorders>
                    <w:top w:val="single" w:sz="4" w:space="0" w:color="auto"/>
                    <w:left w:val="single" w:sz="4" w:space="0" w:color="auto"/>
                    <w:bottom w:val="single" w:sz="4" w:space="0" w:color="auto"/>
                    <w:right w:val="single" w:sz="4" w:space="0" w:color="auto"/>
                  </w:tcBorders>
                  <w:vAlign w:val="center"/>
                </w:tcPr>
                <w:p w14:paraId="2070915E" w14:textId="77777777" w:rsidR="00F76A63" w:rsidRDefault="00000000">
                  <w:pPr>
                    <w:adjustRightInd w:val="0"/>
                    <w:snapToGrid w:val="0"/>
                    <w:jc w:val="center"/>
                    <w:rPr>
                      <w:sz w:val="18"/>
                      <w:szCs w:val="18"/>
                    </w:rPr>
                  </w:pPr>
                  <w:r>
                    <w:rPr>
                      <w:rFonts w:eastAsia="Arial Unicode MS"/>
                      <w:sz w:val="18"/>
                      <w:szCs w:val="18"/>
                    </w:rPr>
                    <w:t>24.55</w:t>
                  </w:r>
                </w:p>
              </w:tc>
              <w:tc>
                <w:tcPr>
                  <w:tcW w:w="504" w:type="pct"/>
                  <w:vMerge/>
                  <w:tcBorders>
                    <w:left w:val="single" w:sz="4" w:space="0" w:color="auto"/>
                    <w:right w:val="nil"/>
                  </w:tcBorders>
                  <w:vAlign w:val="center"/>
                </w:tcPr>
                <w:p w14:paraId="19857B0C" w14:textId="77777777" w:rsidR="00F76A63" w:rsidRDefault="00F76A63">
                  <w:pPr>
                    <w:adjustRightInd w:val="0"/>
                    <w:snapToGrid w:val="0"/>
                    <w:jc w:val="center"/>
                    <w:rPr>
                      <w:sz w:val="18"/>
                      <w:szCs w:val="18"/>
                    </w:rPr>
                  </w:pPr>
                </w:p>
              </w:tc>
            </w:tr>
            <w:tr w:rsidR="00F76A63" w14:paraId="5A31662E" w14:textId="77777777">
              <w:trPr>
                <w:trHeight w:val="340"/>
                <w:jc w:val="center"/>
              </w:trPr>
              <w:tc>
                <w:tcPr>
                  <w:tcW w:w="422" w:type="pct"/>
                  <w:vMerge/>
                  <w:tcBorders>
                    <w:left w:val="nil"/>
                    <w:right w:val="single" w:sz="4" w:space="0" w:color="auto"/>
                  </w:tcBorders>
                  <w:vAlign w:val="center"/>
                </w:tcPr>
                <w:p w14:paraId="73CD380C"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2EC08B1"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54162A2B"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15C927A"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076C50E1" w14:textId="77777777" w:rsidR="00F76A63" w:rsidRDefault="00000000">
                  <w:pPr>
                    <w:adjustRightInd w:val="0"/>
                    <w:snapToGrid w:val="0"/>
                    <w:jc w:val="center"/>
                    <w:rPr>
                      <w:sz w:val="18"/>
                      <w:szCs w:val="18"/>
                    </w:rPr>
                  </w:pPr>
                  <w:r>
                    <w:rPr>
                      <w:rFonts w:eastAsia="Arial Unicode MS"/>
                      <w:sz w:val="18"/>
                      <w:szCs w:val="18"/>
                    </w:rPr>
                    <w:t>1.37</w:t>
                  </w:r>
                </w:p>
              </w:tc>
              <w:tc>
                <w:tcPr>
                  <w:tcW w:w="668" w:type="pct"/>
                  <w:tcBorders>
                    <w:top w:val="single" w:sz="4" w:space="0" w:color="auto"/>
                    <w:left w:val="single" w:sz="4" w:space="0" w:color="auto"/>
                    <w:bottom w:val="single" w:sz="4" w:space="0" w:color="auto"/>
                    <w:right w:val="single" w:sz="4" w:space="0" w:color="auto"/>
                  </w:tcBorders>
                  <w:vAlign w:val="center"/>
                </w:tcPr>
                <w:p w14:paraId="61677345" w14:textId="77777777" w:rsidR="00F76A63" w:rsidRDefault="00000000">
                  <w:pPr>
                    <w:adjustRightInd w:val="0"/>
                    <w:snapToGrid w:val="0"/>
                    <w:jc w:val="center"/>
                    <w:rPr>
                      <w:sz w:val="18"/>
                      <w:szCs w:val="18"/>
                    </w:rPr>
                  </w:pPr>
                  <w:r>
                    <w:rPr>
                      <w:rFonts w:eastAsia="Arial Unicode MS"/>
                      <w:sz w:val="18"/>
                      <w:szCs w:val="18"/>
                    </w:rPr>
                    <w:t>1.16</w:t>
                  </w:r>
                </w:p>
              </w:tc>
              <w:tc>
                <w:tcPr>
                  <w:tcW w:w="707" w:type="pct"/>
                  <w:tcBorders>
                    <w:top w:val="single" w:sz="4" w:space="0" w:color="auto"/>
                    <w:left w:val="single" w:sz="4" w:space="0" w:color="auto"/>
                    <w:bottom w:val="single" w:sz="4" w:space="0" w:color="auto"/>
                    <w:right w:val="single" w:sz="4" w:space="0" w:color="auto"/>
                  </w:tcBorders>
                  <w:vAlign w:val="center"/>
                </w:tcPr>
                <w:p w14:paraId="58BE0C5C" w14:textId="77777777" w:rsidR="00F76A63" w:rsidRDefault="00000000">
                  <w:pPr>
                    <w:adjustRightInd w:val="0"/>
                    <w:snapToGrid w:val="0"/>
                    <w:jc w:val="center"/>
                    <w:rPr>
                      <w:sz w:val="18"/>
                      <w:szCs w:val="18"/>
                    </w:rPr>
                  </w:pPr>
                  <w:r>
                    <w:rPr>
                      <w:rFonts w:eastAsia="Arial Unicode MS"/>
                      <w:sz w:val="18"/>
                      <w:szCs w:val="18"/>
                    </w:rPr>
                    <w:t>32.60</w:t>
                  </w:r>
                </w:p>
              </w:tc>
              <w:tc>
                <w:tcPr>
                  <w:tcW w:w="504" w:type="pct"/>
                  <w:vMerge/>
                  <w:tcBorders>
                    <w:left w:val="single" w:sz="4" w:space="0" w:color="auto"/>
                    <w:right w:val="nil"/>
                  </w:tcBorders>
                  <w:vAlign w:val="center"/>
                </w:tcPr>
                <w:p w14:paraId="0DED0DA7" w14:textId="77777777" w:rsidR="00F76A63" w:rsidRDefault="00F76A63">
                  <w:pPr>
                    <w:adjustRightInd w:val="0"/>
                    <w:snapToGrid w:val="0"/>
                    <w:jc w:val="center"/>
                    <w:rPr>
                      <w:sz w:val="18"/>
                      <w:szCs w:val="18"/>
                    </w:rPr>
                  </w:pPr>
                </w:p>
              </w:tc>
            </w:tr>
            <w:tr w:rsidR="00F76A63" w14:paraId="646F577F" w14:textId="77777777">
              <w:trPr>
                <w:trHeight w:val="340"/>
                <w:jc w:val="center"/>
              </w:trPr>
              <w:tc>
                <w:tcPr>
                  <w:tcW w:w="422" w:type="pct"/>
                  <w:vMerge/>
                  <w:tcBorders>
                    <w:left w:val="nil"/>
                    <w:right w:val="single" w:sz="4" w:space="0" w:color="auto"/>
                  </w:tcBorders>
                  <w:vAlign w:val="center"/>
                </w:tcPr>
                <w:p w14:paraId="3429DA7D"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44AFB6D7" w14:textId="77777777" w:rsidR="00F76A63" w:rsidRDefault="00000000">
                  <w:pPr>
                    <w:adjustRightInd w:val="0"/>
                    <w:snapToGrid w:val="0"/>
                    <w:jc w:val="center"/>
                    <w:rPr>
                      <w:sz w:val="18"/>
                      <w:szCs w:val="18"/>
                    </w:rPr>
                  </w:pPr>
                  <w:r>
                    <w:rPr>
                      <w:rFonts w:hint="eastAsia"/>
                      <w:sz w:val="18"/>
                      <w:szCs w:val="18"/>
                    </w:rPr>
                    <w:t>202508</w:t>
                  </w:r>
                </w:p>
              </w:tc>
              <w:tc>
                <w:tcPr>
                  <w:tcW w:w="978" w:type="pct"/>
                  <w:vMerge w:val="restart"/>
                  <w:tcBorders>
                    <w:left w:val="single" w:sz="4" w:space="0" w:color="auto"/>
                    <w:right w:val="single" w:sz="4" w:space="0" w:color="auto"/>
                  </w:tcBorders>
                  <w:vAlign w:val="center"/>
                </w:tcPr>
                <w:p w14:paraId="2406303F" w14:textId="77777777" w:rsidR="00F76A63" w:rsidRDefault="00000000">
                  <w:pPr>
                    <w:adjustRightInd w:val="0"/>
                    <w:snapToGrid w:val="0"/>
                    <w:jc w:val="center"/>
                    <w:rPr>
                      <w:sz w:val="18"/>
                      <w:szCs w:val="18"/>
                    </w:rPr>
                  </w:pPr>
                  <w:r>
                    <w:rPr>
                      <w:rFonts w:hint="eastAsia"/>
                      <w:sz w:val="18"/>
                      <w:szCs w:val="18"/>
                    </w:rPr>
                    <w:t>608093.71</w:t>
                  </w:r>
                </w:p>
              </w:tc>
              <w:tc>
                <w:tcPr>
                  <w:tcW w:w="546" w:type="pct"/>
                  <w:tcBorders>
                    <w:top w:val="single" w:sz="4" w:space="0" w:color="auto"/>
                    <w:left w:val="single" w:sz="4" w:space="0" w:color="auto"/>
                    <w:bottom w:val="single" w:sz="4" w:space="0" w:color="auto"/>
                    <w:right w:val="single" w:sz="4" w:space="0" w:color="auto"/>
                  </w:tcBorders>
                  <w:vAlign w:val="center"/>
                </w:tcPr>
                <w:p w14:paraId="1C75A812"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8BD8371" w14:textId="77777777" w:rsidR="00F76A63" w:rsidRDefault="00000000">
                  <w:pPr>
                    <w:adjustRightInd w:val="0"/>
                    <w:snapToGrid w:val="0"/>
                    <w:jc w:val="center"/>
                    <w:rPr>
                      <w:rFonts w:eastAsia="Arial Unicode MS"/>
                      <w:sz w:val="18"/>
                      <w:szCs w:val="18"/>
                    </w:rPr>
                  </w:pPr>
                  <w:r>
                    <w:rPr>
                      <w:rFonts w:hint="eastAsia"/>
                      <w:sz w:val="18"/>
                      <w:szCs w:val="18"/>
                    </w:rPr>
                    <w:t>1.50</w:t>
                  </w:r>
                </w:p>
              </w:tc>
              <w:tc>
                <w:tcPr>
                  <w:tcW w:w="668" w:type="pct"/>
                  <w:tcBorders>
                    <w:top w:val="single" w:sz="4" w:space="0" w:color="auto"/>
                    <w:left w:val="single" w:sz="4" w:space="0" w:color="auto"/>
                    <w:bottom w:val="single" w:sz="4" w:space="0" w:color="auto"/>
                    <w:right w:val="single" w:sz="4" w:space="0" w:color="auto"/>
                  </w:tcBorders>
                  <w:vAlign w:val="center"/>
                </w:tcPr>
                <w:p w14:paraId="49687C23" w14:textId="77777777" w:rsidR="00F76A63" w:rsidRDefault="00000000">
                  <w:pPr>
                    <w:adjustRightInd w:val="0"/>
                    <w:snapToGrid w:val="0"/>
                    <w:jc w:val="center"/>
                    <w:rPr>
                      <w:rFonts w:eastAsia="Arial Unicode MS"/>
                      <w:sz w:val="18"/>
                      <w:szCs w:val="18"/>
                    </w:rPr>
                  </w:pPr>
                  <w:r>
                    <w:rPr>
                      <w:rFonts w:hint="eastAsia"/>
                      <w:sz w:val="18"/>
                      <w:szCs w:val="18"/>
                    </w:rPr>
                    <w:t>4.22</w:t>
                  </w:r>
                </w:p>
              </w:tc>
              <w:tc>
                <w:tcPr>
                  <w:tcW w:w="707" w:type="pct"/>
                  <w:tcBorders>
                    <w:top w:val="single" w:sz="4" w:space="0" w:color="auto"/>
                    <w:left w:val="single" w:sz="4" w:space="0" w:color="auto"/>
                    <w:bottom w:val="single" w:sz="4" w:space="0" w:color="auto"/>
                    <w:right w:val="single" w:sz="4" w:space="0" w:color="auto"/>
                  </w:tcBorders>
                  <w:vAlign w:val="center"/>
                </w:tcPr>
                <w:p w14:paraId="486F2EBE" w14:textId="77777777" w:rsidR="00F76A63" w:rsidRDefault="00000000">
                  <w:pPr>
                    <w:adjustRightInd w:val="0"/>
                    <w:snapToGrid w:val="0"/>
                    <w:jc w:val="center"/>
                    <w:rPr>
                      <w:rFonts w:eastAsia="Arial Unicode MS"/>
                      <w:sz w:val="18"/>
                      <w:szCs w:val="18"/>
                    </w:rPr>
                  </w:pPr>
                  <w:r>
                    <w:rPr>
                      <w:rFonts w:hint="eastAsia"/>
                      <w:sz w:val="18"/>
                      <w:szCs w:val="18"/>
                    </w:rPr>
                    <w:t>36.23</w:t>
                  </w:r>
                </w:p>
              </w:tc>
              <w:tc>
                <w:tcPr>
                  <w:tcW w:w="504" w:type="pct"/>
                  <w:vMerge w:val="restart"/>
                  <w:tcBorders>
                    <w:left w:val="single" w:sz="4" w:space="0" w:color="auto"/>
                    <w:right w:val="nil"/>
                  </w:tcBorders>
                  <w:vAlign w:val="center"/>
                </w:tcPr>
                <w:p w14:paraId="6C611BAB" w14:textId="77777777" w:rsidR="00F76A63" w:rsidRDefault="00000000">
                  <w:pPr>
                    <w:adjustRightInd w:val="0"/>
                    <w:snapToGrid w:val="0"/>
                    <w:jc w:val="center"/>
                    <w:rPr>
                      <w:sz w:val="18"/>
                      <w:szCs w:val="18"/>
                    </w:rPr>
                  </w:pPr>
                  <w:r>
                    <w:rPr>
                      <w:sz w:val="18"/>
                      <w:szCs w:val="18"/>
                    </w:rPr>
                    <w:t>/</w:t>
                  </w:r>
                </w:p>
              </w:tc>
            </w:tr>
            <w:tr w:rsidR="00F76A63" w14:paraId="3539571E" w14:textId="77777777">
              <w:trPr>
                <w:trHeight w:val="340"/>
                <w:jc w:val="center"/>
              </w:trPr>
              <w:tc>
                <w:tcPr>
                  <w:tcW w:w="422" w:type="pct"/>
                  <w:vMerge/>
                  <w:tcBorders>
                    <w:left w:val="nil"/>
                    <w:right w:val="single" w:sz="4" w:space="0" w:color="auto"/>
                  </w:tcBorders>
                  <w:vAlign w:val="center"/>
                </w:tcPr>
                <w:p w14:paraId="1E7C7E07"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8FB92AF"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563709A2"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8795F53"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034AB3F8" w14:textId="77777777" w:rsidR="00F76A63" w:rsidRDefault="00000000">
                  <w:pPr>
                    <w:adjustRightInd w:val="0"/>
                    <w:snapToGrid w:val="0"/>
                    <w:jc w:val="center"/>
                    <w:rPr>
                      <w:rFonts w:eastAsia="Arial Unicode MS"/>
                      <w:sz w:val="18"/>
                      <w:szCs w:val="18"/>
                    </w:rPr>
                  </w:pPr>
                  <w:r>
                    <w:rPr>
                      <w:rFonts w:hint="eastAsia"/>
                      <w:sz w:val="18"/>
                      <w:szCs w:val="18"/>
                    </w:rPr>
                    <w:t>0.75</w:t>
                  </w:r>
                </w:p>
              </w:tc>
              <w:tc>
                <w:tcPr>
                  <w:tcW w:w="668" w:type="pct"/>
                  <w:tcBorders>
                    <w:top w:val="single" w:sz="4" w:space="0" w:color="auto"/>
                    <w:left w:val="single" w:sz="4" w:space="0" w:color="auto"/>
                    <w:bottom w:val="single" w:sz="4" w:space="0" w:color="auto"/>
                    <w:right w:val="single" w:sz="4" w:space="0" w:color="auto"/>
                  </w:tcBorders>
                  <w:vAlign w:val="center"/>
                </w:tcPr>
                <w:p w14:paraId="63E6E923" w14:textId="77777777" w:rsidR="00F76A63" w:rsidRDefault="00000000">
                  <w:pPr>
                    <w:adjustRightInd w:val="0"/>
                    <w:snapToGrid w:val="0"/>
                    <w:jc w:val="center"/>
                    <w:rPr>
                      <w:rFonts w:eastAsia="Arial Unicode MS"/>
                      <w:sz w:val="18"/>
                      <w:szCs w:val="18"/>
                    </w:rPr>
                  </w:pPr>
                  <w:r>
                    <w:rPr>
                      <w:rFonts w:hint="eastAsia"/>
                      <w:sz w:val="18"/>
                      <w:szCs w:val="18"/>
                    </w:rPr>
                    <w:t>0.35</w:t>
                  </w:r>
                </w:p>
              </w:tc>
              <w:tc>
                <w:tcPr>
                  <w:tcW w:w="707" w:type="pct"/>
                  <w:tcBorders>
                    <w:top w:val="single" w:sz="4" w:space="0" w:color="auto"/>
                    <w:left w:val="single" w:sz="4" w:space="0" w:color="auto"/>
                    <w:bottom w:val="single" w:sz="4" w:space="0" w:color="auto"/>
                    <w:right w:val="single" w:sz="4" w:space="0" w:color="auto"/>
                  </w:tcBorders>
                  <w:vAlign w:val="center"/>
                </w:tcPr>
                <w:p w14:paraId="2C8ADED3" w14:textId="77777777" w:rsidR="00F76A63" w:rsidRDefault="00000000">
                  <w:pPr>
                    <w:adjustRightInd w:val="0"/>
                    <w:snapToGrid w:val="0"/>
                    <w:jc w:val="center"/>
                    <w:rPr>
                      <w:rFonts w:eastAsia="Arial Unicode MS"/>
                      <w:sz w:val="18"/>
                      <w:szCs w:val="18"/>
                    </w:rPr>
                  </w:pPr>
                  <w:r>
                    <w:rPr>
                      <w:rFonts w:hint="eastAsia"/>
                      <w:sz w:val="18"/>
                      <w:szCs w:val="18"/>
                    </w:rPr>
                    <w:t>26.14</w:t>
                  </w:r>
                </w:p>
              </w:tc>
              <w:tc>
                <w:tcPr>
                  <w:tcW w:w="504" w:type="pct"/>
                  <w:vMerge/>
                  <w:tcBorders>
                    <w:left w:val="single" w:sz="4" w:space="0" w:color="auto"/>
                    <w:right w:val="nil"/>
                  </w:tcBorders>
                  <w:vAlign w:val="center"/>
                </w:tcPr>
                <w:p w14:paraId="66931FD7" w14:textId="77777777" w:rsidR="00F76A63" w:rsidRDefault="00F76A63">
                  <w:pPr>
                    <w:adjustRightInd w:val="0"/>
                    <w:snapToGrid w:val="0"/>
                    <w:jc w:val="center"/>
                    <w:rPr>
                      <w:sz w:val="18"/>
                      <w:szCs w:val="18"/>
                    </w:rPr>
                  </w:pPr>
                </w:p>
              </w:tc>
            </w:tr>
            <w:tr w:rsidR="00F76A63" w14:paraId="798228EF" w14:textId="77777777">
              <w:trPr>
                <w:trHeight w:val="340"/>
                <w:jc w:val="center"/>
              </w:trPr>
              <w:tc>
                <w:tcPr>
                  <w:tcW w:w="422" w:type="pct"/>
                  <w:vMerge/>
                  <w:tcBorders>
                    <w:left w:val="nil"/>
                    <w:right w:val="single" w:sz="4" w:space="0" w:color="auto"/>
                  </w:tcBorders>
                  <w:vAlign w:val="center"/>
                </w:tcPr>
                <w:p w14:paraId="73CFF5D5"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0C16E7B7"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65C40A5B"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2CCE2BB6"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7C6FB91C" w14:textId="77777777" w:rsidR="00F76A63" w:rsidRDefault="00000000">
                  <w:pPr>
                    <w:adjustRightInd w:val="0"/>
                    <w:snapToGrid w:val="0"/>
                    <w:jc w:val="center"/>
                    <w:rPr>
                      <w:rFonts w:eastAsia="Arial Unicode MS"/>
                      <w:sz w:val="18"/>
                      <w:szCs w:val="18"/>
                    </w:rPr>
                  </w:pPr>
                  <w:r>
                    <w:rPr>
                      <w:rFonts w:eastAsia="Arial Unicode MS" w:hint="eastAsia"/>
                      <w:sz w:val="18"/>
                      <w:szCs w:val="18"/>
                    </w:rPr>
                    <w:t>1.16</w:t>
                  </w:r>
                </w:p>
              </w:tc>
              <w:tc>
                <w:tcPr>
                  <w:tcW w:w="668" w:type="pct"/>
                  <w:tcBorders>
                    <w:top w:val="single" w:sz="4" w:space="0" w:color="auto"/>
                    <w:left w:val="single" w:sz="4" w:space="0" w:color="auto"/>
                    <w:bottom w:val="single" w:sz="4" w:space="0" w:color="auto"/>
                    <w:right w:val="single" w:sz="4" w:space="0" w:color="auto"/>
                  </w:tcBorders>
                  <w:vAlign w:val="center"/>
                </w:tcPr>
                <w:p w14:paraId="651D58C3" w14:textId="77777777" w:rsidR="00F76A63" w:rsidRDefault="00000000">
                  <w:pPr>
                    <w:adjustRightInd w:val="0"/>
                    <w:snapToGrid w:val="0"/>
                    <w:jc w:val="center"/>
                    <w:rPr>
                      <w:rFonts w:eastAsia="Arial Unicode MS"/>
                      <w:sz w:val="18"/>
                      <w:szCs w:val="18"/>
                    </w:rPr>
                  </w:pPr>
                  <w:r>
                    <w:rPr>
                      <w:rFonts w:eastAsia="Arial Unicode MS" w:hint="eastAsia"/>
                      <w:sz w:val="18"/>
                      <w:szCs w:val="18"/>
                    </w:rPr>
                    <w:t>0.90</w:t>
                  </w:r>
                </w:p>
              </w:tc>
              <w:tc>
                <w:tcPr>
                  <w:tcW w:w="707" w:type="pct"/>
                  <w:tcBorders>
                    <w:top w:val="single" w:sz="4" w:space="0" w:color="auto"/>
                    <w:left w:val="single" w:sz="4" w:space="0" w:color="auto"/>
                    <w:bottom w:val="single" w:sz="4" w:space="0" w:color="auto"/>
                    <w:right w:val="single" w:sz="4" w:space="0" w:color="auto"/>
                  </w:tcBorders>
                  <w:vAlign w:val="center"/>
                </w:tcPr>
                <w:p w14:paraId="31E318C4" w14:textId="77777777" w:rsidR="00F76A63" w:rsidRDefault="00000000">
                  <w:pPr>
                    <w:adjustRightInd w:val="0"/>
                    <w:snapToGrid w:val="0"/>
                    <w:jc w:val="center"/>
                    <w:rPr>
                      <w:rFonts w:eastAsia="Arial Unicode MS"/>
                      <w:sz w:val="18"/>
                      <w:szCs w:val="18"/>
                    </w:rPr>
                  </w:pPr>
                  <w:r>
                    <w:rPr>
                      <w:rFonts w:eastAsia="Arial Unicode MS" w:hint="eastAsia"/>
                      <w:sz w:val="18"/>
                      <w:szCs w:val="18"/>
                    </w:rPr>
                    <w:t>32.97</w:t>
                  </w:r>
                </w:p>
              </w:tc>
              <w:tc>
                <w:tcPr>
                  <w:tcW w:w="504" w:type="pct"/>
                  <w:vMerge/>
                  <w:tcBorders>
                    <w:left w:val="single" w:sz="4" w:space="0" w:color="auto"/>
                    <w:right w:val="nil"/>
                  </w:tcBorders>
                  <w:vAlign w:val="center"/>
                </w:tcPr>
                <w:p w14:paraId="7039EE91" w14:textId="77777777" w:rsidR="00F76A63" w:rsidRDefault="00F76A63">
                  <w:pPr>
                    <w:adjustRightInd w:val="0"/>
                    <w:snapToGrid w:val="0"/>
                    <w:jc w:val="center"/>
                    <w:rPr>
                      <w:sz w:val="18"/>
                      <w:szCs w:val="18"/>
                    </w:rPr>
                  </w:pPr>
                </w:p>
              </w:tc>
            </w:tr>
            <w:tr w:rsidR="00F76A63" w14:paraId="358AB2DE" w14:textId="77777777">
              <w:trPr>
                <w:trHeight w:val="340"/>
                <w:jc w:val="center"/>
              </w:trPr>
              <w:tc>
                <w:tcPr>
                  <w:tcW w:w="422" w:type="pct"/>
                  <w:vMerge/>
                  <w:tcBorders>
                    <w:left w:val="nil"/>
                    <w:right w:val="single" w:sz="4" w:space="0" w:color="auto"/>
                  </w:tcBorders>
                  <w:vAlign w:val="center"/>
                </w:tcPr>
                <w:p w14:paraId="11694732"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0EDD1213" w14:textId="77777777" w:rsidR="00F76A63" w:rsidRDefault="00000000">
                  <w:pPr>
                    <w:adjustRightInd w:val="0"/>
                    <w:snapToGrid w:val="0"/>
                    <w:jc w:val="center"/>
                    <w:rPr>
                      <w:sz w:val="18"/>
                      <w:szCs w:val="18"/>
                    </w:rPr>
                  </w:pPr>
                  <w:r>
                    <w:rPr>
                      <w:rFonts w:hint="eastAsia"/>
                      <w:sz w:val="18"/>
                      <w:szCs w:val="18"/>
                    </w:rPr>
                    <w:t>202509</w:t>
                  </w:r>
                </w:p>
              </w:tc>
              <w:tc>
                <w:tcPr>
                  <w:tcW w:w="978" w:type="pct"/>
                  <w:vMerge w:val="restart"/>
                  <w:tcBorders>
                    <w:left w:val="single" w:sz="4" w:space="0" w:color="auto"/>
                    <w:right w:val="single" w:sz="4" w:space="0" w:color="auto"/>
                  </w:tcBorders>
                  <w:vAlign w:val="center"/>
                </w:tcPr>
                <w:p w14:paraId="520B0C43" w14:textId="77777777" w:rsidR="00F76A63" w:rsidRDefault="00000000">
                  <w:pPr>
                    <w:adjustRightInd w:val="0"/>
                    <w:snapToGrid w:val="0"/>
                    <w:jc w:val="center"/>
                    <w:rPr>
                      <w:sz w:val="18"/>
                      <w:szCs w:val="18"/>
                    </w:rPr>
                  </w:pPr>
                  <w:r>
                    <w:rPr>
                      <w:sz w:val="18"/>
                      <w:szCs w:val="18"/>
                    </w:rPr>
                    <w:t>587094.31</w:t>
                  </w:r>
                </w:p>
              </w:tc>
              <w:tc>
                <w:tcPr>
                  <w:tcW w:w="546" w:type="pct"/>
                  <w:tcBorders>
                    <w:top w:val="single" w:sz="4" w:space="0" w:color="auto"/>
                    <w:left w:val="single" w:sz="4" w:space="0" w:color="auto"/>
                    <w:bottom w:val="single" w:sz="4" w:space="0" w:color="auto"/>
                    <w:right w:val="single" w:sz="4" w:space="0" w:color="auto"/>
                  </w:tcBorders>
                  <w:vAlign w:val="center"/>
                </w:tcPr>
                <w:p w14:paraId="0CE24A5F"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04BE4CB" w14:textId="77777777" w:rsidR="00F76A63" w:rsidRDefault="00000000">
                  <w:pPr>
                    <w:adjustRightInd w:val="0"/>
                    <w:snapToGrid w:val="0"/>
                    <w:jc w:val="center"/>
                    <w:rPr>
                      <w:rFonts w:eastAsia="Arial Unicode MS"/>
                      <w:sz w:val="18"/>
                      <w:szCs w:val="18"/>
                    </w:rPr>
                  </w:pPr>
                  <w:r>
                    <w:rPr>
                      <w:rFonts w:hint="eastAsia"/>
                      <w:sz w:val="18"/>
                      <w:szCs w:val="18"/>
                    </w:rPr>
                    <w:t>1.71</w:t>
                  </w:r>
                </w:p>
              </w:tc>
              <w:tc>
                <w:tcPr>
                  <w:tcW w:w="668" w:type="pct"/>
                  <w:tcBorders>
                    <w:top w:val="single" w:sz="4" w:space="0" w:color="auto"/>
                    <w:left w:val="single" w:sz="4" w:space="0" w:color="auto"/>
                    <w:bottom w:val="single" w:sz="4" w:space="0" w:color="auto"/>
                    <w:right w:val="single" w:sz="4" w:space="0" w:color="auto"/>
                  </w:tcBorders>
                  <w:vAlign w:val="center"/>
                </w:tcPr>
                <w:p w14:paraId="5A95281F" w14:textId="77777777" w:rsidR="00F76A63" w:rsidRDefault="00000000">
                  <w:pPr>
                    <w:adjustRightInd w:val="0"/>
                    <w:snapToGrid w:val="0"/>
                    <w:jc w:val="center"/>
                    <w:rPr>
                      <w:rFonts w:eastAsia="Arial Unicode MS"/>
                      <w:sz w:val="18"/>
                      <w:szCs w:val="18"/>
                    </w:rPr>
                  </w:pPr>
                  <w:r>
                    <w:rPr>
                      <w:rFonts w:hint="eastAsia"/>
                      <w:sz w:val="18"/>
                      <w:szCs w:val="18"/>
                    </w:rPr>
                    <w:t>14.80</w:t>
                  </w:r>
                </w:p>
              </w:tc>
              <w:tc>
                <w:tcPr>
                  <w:tcW w:w="707" w:type="pct"/>
                  <w:tcBorders>
                    <w:top w:val="single" w:sz="4" w:space="0" w:color="auto"/>
                    <w:left w:val="single" w:sz="4" w:space="0" w:color="auto"/>
                    <w:bottom w:val="single" w:sz="4" w:space="0" w:color="auto"/>
                    <w:right w:val="single" w:sz="4" w:space="0" w:color="auto"/>
                  </w:tcBorders>
                  <w:vAlign w:val="center"/>
                </w:tcPr>
                <w:p w14:paraId="27310814" w14:textId="77777777" w:rsidR="00F76A63" w:rsidRDefault="00000000">
                  <w:pPr>
                    <w:adjustRightInd w:val="0"/>
                    <w:snapToGrid w:val="0"/>
                    <w:jc w:val="center"/>
                    <w:rPr>
                      <w:rFonts w:eastAsia="Arial Unicode MS"/>
                      <w:b/>
                      <w:bCs/>
                      <w:sz w:val="18"/>
                      <w:szCs w:val="18"/>
                    </w:rPr>
                  </w:pPr>
                  <w:r>
                    <w:rPr>
                      <w:rFonts w:hint="eastAsia"/>
                      <w:b/>
                      <w:bCs/>
                      <w:sz w:val="18"/>
                      <w:szCs w:val="18"/>
                    </w:rPr>
                    <w:t>56.02</w:t>
                  </w:r>
                </w:p>
              </w:tc>
              <w:tc>
                <w:tcPr>
                  <w:tcW w:w="504" w:type="pct"/>
                  <w:vMerge w:val="restart"/>
                  <w:tcBorders>
                    <w:left w:val="single" w:sz="4" w:space="0" w:color="auto"/>
                    <w:right w:val="nil"/>
                  </w:tcBorders>
                  <w:vAlign w:val="center"/>
                </w:tcPr>
                <w:p w14:paraId="1F0FA070" w14:textId="77777777" w:rsidR="00F76A63" w:rsidRDefault="00000000">
                  <w:pPr>
                    <w:adjustRightInd w:val="0"/>
                    <w:snapToGrid w:val="0"/>
                    <w:jc w:val="center"/>
                    <w:rPr>
                      <w:sz w:val="18"/>
                      <w:szCs w:val="18"/>
                    </w:rPr>
                  </w:pPr>
                  <w:r>
                    <w:rPr>
                      <w:sz w:val="18"/>
                      <w:szCs w:val="18"/>
                    </w:rPr>
                    <w:t>/</w:t>
                  </w:r>
                </w:p>
              </w:tc>
            </w:tr>
            <w:tr w:rsidR="00F76A63" w14:paraId="4346D970" w14:textId="77777777">
              <w:trPr>
                <w:trHeight w:val="340"/>
                <w:jc w:val="center"/>
              </w:trPr>
              <w:tc>
                <w:tcPr>
                  <w:tcW w:w="422" w:type="pct"/>
                  <w:vMerge/>
                  <w:tcBorders>
                    <w:left w:val="nil"/>
                    <w:right w:val="single" w:sz="4" w:space="0" w:color="auto"/>
                  </w:tcBorders>
                  <w:vAlign w:val="center"/>
                </w:tcPr>
                <w:p w14:paraId="24FCC1BF"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0FA180B9"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1D405DC"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DF19BCA"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38F2908A" w14:textId="77777777" w:rsidR="00F76A63" w:rsidRDefault="00000000">
                  <w:pPr>
                    <w:adjustRightInd w:val="0"/>
                    <w:snapToGrid w:val="0"/>
                    <w:jc w:val="center"/>
                    <w:rPr>
                      <w:rFonts w:eastAsia="Arial Unicode MS"/>
                      <w:sz w:val="18"/>
                      <w:szCs w:val="18"/>
                    </w:rPr>
                  </w:pPr>
                  <w:r>
                    <w:rPr>
                      <w:rFonts w:hint="eastAsia"/>
                      <w:sz w:val="18"/>
                      <w:szCs w:val="18"/>
                    </w:rPr>
                    <w:t>0.88</w:t>
                  </w:r>
                </w:p>
              </w:tc>
              <w:tc>
                <w:tcPr>
                  <w:tcW w:w="668" w:type="pct"/>
                  <w:tcBorders>
                    <w:top w:val="single" w:sz="4" w:space="0" w:color="auto"/>
                    <w:left w:val="single" w:sz="4" w:space="0" w:color="auto"/>
                    <w:bottom w:val="single" w:sz="4" w:space="0" w:color="auto"/>
                    <w:right w:val="single" w:sz="4" w:space="0" w:color="auto"/>
                  </w:tcBorders>
                  <w:vAlign w:val="center"/>
                </w:tcPr>
                <w:p w14:paraId="4C9FD739" w14:textId="77777777" w:rsidR="00F76A63" w:rsidRDefault="00000000">
                  <w:pPr>
                    <w:adjustRightInd w:val="0"/>
                    <w:snapToGrid w:val="0"/>
                    <w:jc w:val="center"/>
                    <w:rPr>
                      <w:rFonts w:eastAsia="Arial Unicode MS"/>
                      <w:sz w:val="18"/>
                      <w:szCs w:val="18"/>
                    </w:rPr>
                  </w:pPr>
                  <w:r>
                    <w:rPr>
                      <w:rFonts w:hint="eastAsia"/>
                      <w:sz w:val="18"/>
                      <w:szCs w:val="18"/>
                    </w:rPr>
                    <w:t>0.35</w:t>
                  </w:r>
                </w:p>
              </w:tc>
              <w:tc>
                <w:tcPr>
                  <w:tcW w:w="707" w:type="pct"/>
                  <w:tcBorders>
                    <w:top w:val="single" w:sz="4" w:space="0" w:color="auto"/>
                    <w:left w:val="single" w:sz="4" w:space="0" w:color="auto"/>
                    <w:bottom w:val="single" w:sz="4" w:space="0" w:color="auto"/>
                    <w:right w:val="single" w:sz="4" w:space="0" w:color="auto"/>
                  </w:tcBorders>
                  <w:vAlign w:val="center"/>
                </w:tcPr>
                <w:p w14:paraId="2B107E6C" w14:textId="77777777" w:rsidR="00F76A63" w:rsidRDefault="00000000">
                  <w:pPr>
                    <w:adjustRightInd w:val="0"/>
                    <w:snapToGrid w:val="0"/>
                    <w:jc w:val="center"/>
                    <w:rPr>
                      <w:rFonts w:eastAsia="Arial Unicode MS"/>
                      <w:sz w:val="18"/>
                      <w:szCs w:val="18"/>
                    </w:rPr>
                  </w:pPr>
                  <w:r>
                    <w:rPr>
                      <w:rFonts w:hint="eastAsia"/>
                      <w:sz w:val="18"/>
                      <w:szCs w:val="18"/>
                    </w:rPr>
                    <w:t>21.47</w:t>
                  </w:r>
                </w:p>
              </w:tc>
              <w:tc>
                <w:tcPr>
                  <w:tcW w:w="504" w:type="pct"/>
                  <w:vMerge/>
                  <w:tcBorders>
                    <w:left w:val="single" w:sz="4" w:space="0" w:color="auto"/>
                    <w:right w:val="nil"/>
                  </w:tcBorders>
                  <w:vAlign w:val="center"/>
                </w:tcPr>
                <w:p w14:paraId="32CED179" w14:textId="77777777" w:rsidR="00F76A63" w:rsidRDefault="00F76A63">
                  <w:pPr>
                    <w:adjustRightInd w:val="0"/>
                    <w:snapToGrid w:val="0"/>
                    <w:jc w:val="center"/>
                    <w:rPr>
                      <w:sz w:val="18"/>
                      <w:szCs w:val="18"/>
                    </w:rPr>
                  </w:pPr>
                </w:p>
              </w:tc>
            </w:tr>
            <w:tr w:rsidR="00F76A63" w14:paraId="70B862D3" w14:textId="77777777">
              <w:trPr>
                <w:trHeight w:val="340"/>
                <w:jc w:val="center"/>
              </w:trPr>
              <w:tc>
                <w:tcPr>
                  <w:tcW w:w="422" w:type="pct"/>
                  <w:vMerge/>
                  <w:tcBorders>
                    <w:left w:val="nil"/>
                    <w:right w:val="single" w:sz="4" w:space="0" w:color="auto"/>
                  </w:tcBorders>
                  <w:vAlign w:val="center"/>
                </w:tcPr>
                <w:p w14:paraId="1010664C"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60312575"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5876EE04"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595FA99"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45BBB60B" w14:textId="77777777" w:rsidR="00F76A63" w:rsidRDefault="00000000">
                  <w:pPr>
                    <w:adjustRightInd w:val="0"/>
                    <w:snapToGrid w:val="0"/>
                    <w:jc w:val="center"/>
                    <w:rPr>
                      <w:rFonts w:eastAsia="Arial Unicode MS"/>
                      <w:sz w:val="18"/>
                      <w:szCs w:val="18"/>
                    </w:rPr>
                  </w:pPr>
                  <w:r>
                    <w:rPr>
                      <w:rFonts w:hint="eastAsia"/>
                      <w:sz w:val="18"/>
                      <w:szCs w:val="18"/>
                    </w:rPr>
                    <w:t>1.35</w:t>
                  </w:r>
                </w:p>
              </w:tc>
              <w:tc>
                <w:tcPr>
                  <w:tcW w:w="668" w:type="pct"/>
                  <w:tcBorders>
                    <w:top w:val="single" w:sz="4" w:space="0" w:color="auto"/>
                    <w:left w:val="single" w:sz="4" w:space="0" w:color="auto"/>
                    <w:bottom w:val="single" w:sz="4" w:space="0" w:color="auto"/>
                    <w:right w:val="single" w:sz="4" w:space="0" w:color="auto"/>
                  </w:tcBorders>
                  <w:vAlign w:val="center"/>
                </w:tcPr>
                <w:p w14:paraId="4D43A481" w14:textId="77777777" w:rsidR="00F76A63" w:rsidRDefault="00000000">
                  <w:pPr>
                    <w:adjustRightInd w:val="0"/>
                    <w:snapToGrid w:val="0"/>
                    <w:jc w:val="center"/>
                    <w:rPr>
                      <w:rFonts w:eastAsia="Arial Unicode MS"/>
                      <w:sz w:val="18"/>
                      <w:szCs w:val="18"/>
                    </w:rPr>
                  </w:pPr>
                  <w:r>
                    <w:rPr>
                      <w:rFonts w:hint="eastAsia"/>
                      <w:sz w:val="18"/>
                      <w:szCs w:val="18"/>
                    </w:rPr>
                    <w:t>2.08</w:t>
                  </w:r>
                </w:p>
              </w:tc>
              <w:tc>
                <w:tcPr>
                  <w:tcW w:w="707" w:type="pct"/>
                  <w:tcBorders>
                    <w:top w:val="single" w:sz="4" w:space="0" w:color="auto"/>
                    <w:left w:val="single" w:sz="4" w:space="0" w:color="auto"/>
                    <w:bottom w:val="single" w:sz="4" w:space="0" w:color="auto"/>
                    <w:right w:val="single" w:sz="4" w:space="0" w:color="auto"/>
                  </w:tcBorders>
                  <w:vAlign w:val="center"/>
                </w:tcPr>
                <w:p w14:paraId="370AC0E8" w14:textId="77777777" w:rsidR="00F76A63" w:rsidRDefault="00000000">
                  <w:pPr>
                    <w:adjustRightInd w:val="0"/>
                    <w:snapToGrid w:val="0"/>
                    <w:jc w:val="center"/>
                    <w:rPr>
                      <w:rFonts w:eastAsia="Arial Unicode MS"/>
                      <w:sz w:val="18"/>
                      <w:szCs w:val="18"/>
                    </w:rPr>
                  </w:pPr>
                  <w:r>
                    <w:rPr>
                      <w:rFonts w:hint="eastAsia"/>
                      <w:sz w:val="18"/>
                      <w:szCs w:val="18"/>
                    </w:rPr>
                    <w:t>33.06</w:t>
                  </w:r>
                </w:p>
              </w:tc>
              <w:tc>
                <w:tcPr>
                  <w:tcW w:w="504" w:type="pct"/>
                  <w:vMerge/>
                  <w:tcBorders>
                    <w:left w:val="single" w:sz="4" w:space="0" w:color="auto"/>
                    <w:right w:val="nil"/>
                  </w:tcBorders>
                  <w:vAlign w:val="center"/>
                </w:tcPr>
                <w:p w14:paraId="3297482B" w14:textId="77777777" w:rsidR="00F76A63" w:rsidRDefault="00F76A63">
                  <w:pPr>
                    <w:adjustRightInd w:val="0"/>
                    <w:snapToGrid w:val="0"/>
                    <w:jc w:val="center"/>
                    <w:rPr>
                      <w:sz w:val="18"/>
                      <w:szCs w:val="18"/>
                    </w:rPr>
                  </w:pPr>
                </w:p>
              </w:tc>
            </w:tr>
            <w:tr w:rsidR="00F76A63" w14:paraId="0109E2A6" w14:textId="77777777">
              <w:trPr>
                <w:trHeight w:val="340"/>
                <w:jc w:val="center"/>
              </w:trPr>
              <w:tc>
                <w:tcPr>
                  <w:tcW w:w="422" w:type="pct"/>
                  <w:vMerge/>
                  <w:tcBorders>
                    <w:left w:val="nil"/>
                    <w:right w:val="single" w:sz="4" w:space="0" w:color="auto"/>
                  </w:tcBorders>
                  <w:vAlign w:val="center"/>
                </w:tcPr>
                <w:p w14:paraId="6CB4243F"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55DF7ECB" w14:textId="77777777" w:rsidR="00F76A63" w:rsidRDefault="00000000">
                  <w:pPr>
                    <w:adjustRightInd w:val="0"/>
                    <w:snapToGrid w:val="0"/>
                    <w:jc w:val="center"/>
                    <w:rPr>
                      <w:sz w:val="18"/>
                      <w:szCs w:val="18"/>
                    </w:rPr>
                  </w:pPr>
                  <w:r>
                    <w:rPr>
                      <w:rFonts w:hint="eastAsia"/>
                      <w:sz w:val="18"/>
                      <w:szCs w:val="18"/>
                    </w:rPr>
                    <w:t>202510</w:t>
                  </w:r>
                </w:p>
              </w:tc>
              <w:tc>
                <w:tcPr>
                  <w:tcW w:w="978" w:type="pct"/>
                  <w:vMerge w:val="restart"/>
                  <w:tcBorders>
                    <w:left w:val="single" w:sz="4" w:space="0" w:color="auto"/>
                    <w:right w:val="single" w:sz="4" w:space="0" w:color="auto"/>
                  </w:tcBorders>
                  <w:vAlign w:val="center"/>
                </w:tcPr>
                <w:p w14:paraId="7A101FF6" w14:textId="77777777" w:rsidR="00F76A63" w:rsidRDefault="00000000">
                  <w:pPr>
                    <w:adjustRightInd w:val="0"/>
                    <w:snapToGrid w:val="0"/>
                    <w:jc w:val="center"/>
                    <w:rPr>
                      <w:sz w:val="18"/>
                      <w:szCs w:val="18"/>
                    </w:rPr>
                  </w:pPr>
                  <w:r>
                    <w:rPr>
                      <w:rFonts w:hint="eastAsia"/>
                      <w:sz w:val="18"/>
                      <w:szCs w:val="18"/>
                    </w:rPr>
                    <w:t>582376.60</w:t>
                  </w:r>
                </w:p>
              </w:tc>
              <w:tc>
                <w:tcPr>
                  <w:tcW w:w="546" w:type="pct"/>
                  <w:tcBorders>
                    <w:top w:val="single" w:sz="4" w:space="0" w:color="auto"/>
                    <w:left w:val="single" w:sz="4" w:space="0" w:color="auto"/>
                    <w:bottom w:val="single" w:sz="4" w:space="0" w:color="auto"/>
                    <w:right w:val="single" w:sz="4" w:space="0" w:color="auto"/>
                  </w:tcBorders>
                  <w:vAlign w:val="center"/>
                </w:tcPr>
                <w:p w14:paraId="57A727FC"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42B5E60F" w14:textId="77777777" w:rsidR="00F76A63" w:rsidRDefault="00000000">
                  <w:pPr>
                    <w:adjustRightInd w:val="0"/>
                    <w:snapToGrid w:val="0"/>
                    <w:jc w:val="center"/>
                    <w:rPr>
                      <w:rFonts w:eastAsia="Arial Unicode MS"/>
                      <w:sz w:val="18"/>
                      <w:szCs w:val="18"/>
                    </w:rPr>
                  </w:pPr>
                  <w:r>
                    <w:rPr>
                      <w:rFonts w:hint="eastAsia"/>
                      <w:sz w:val="18"/>
                      <w:szCs w:val="18"/>
                    </w:rPr>
                    <w:t>1.56</w:t>
                  </w:r>
                </w:p>
              </w:tc>
              <w:tc>
                <w:tcPr>
                  <w:tcW w:w="668" w:type="pct"/>
                  <w:tcBorders>
                    <w:top w:val="single" w:sz="4" w:space="0" w:color="auto"/>
                    <w:left w:val="single" w:sz="4" w:space="0" w:color="auto"/>
                    <w:bottom w:val="single" w:sz="4" w:space="0" w:color="auto"/>
                    <w:right w:val="single" w:sz="4" w:space="0" w:color="auto"/>
                  </w:tcBorders>
                  <w:vAlign w:val="center"/>
                </w:tcPr>
                <w:p w14:paraId="57479C6C" w14:textId="77777777" w:rsidR="00F76A63" w:rsidRDefault="00000000">
                  <w:pPr>
                    <w:adjustRightInd w:val="0"/>
                    <w:snapToGrid w:val="0"/>
                    <w:jc w:val="center"/>
                    <w:rPr>
                      <w:rFonts w:eastAsia="Arial Unicode MS"/>
                      <w:sz w:val="18"/>
                      <w:szCs w:val="18"/>
                    </w:rPr>
                  </w:pPr>
                  <w:r>
                    <w:rPr>
                      <w:rFonts w:hint="eastAsia"/>
                      <w:sz w:val="18"/>
                      <w:szCs w:val="18"/>
                    </w:rPr>
                    <w:t>11.07</w:t>
                  </w:r>
                </w:p>
              </w:tc>
              <w:tc>
                <w:tcPr>
                  <w:tcW w:w="707" w:type="pct"/>
                  <w:tcBorders>
                    <w:top w:val="single" w:sz="4" w:space="0" w:color="auto"/>
                    <w:left w:val="single" w:sz="4" w:space="0" w:color="auto"/>
                    <w:bottom w:val="single" w:sz="4" w:space="0" w:color="auto"/>
                    <w:right w:val="single" w:sz="4" w:space="0" w:color="auto"/>
                  </w:tcBorders>
                  <w:vAlign w:val="center"/>
                </w:tcPr>
                <w:p w14:paraId="7148C64E" w14:textId="77777777" w:rsidR="00F76A63" w:rsidRDefault="00000000">
                  <w:pPr>
                    <w:adjustRightInd w:val="0"/>
                    <w:snapToGrid w:val="0"/>
                    <w:jc w:val="center"/>
                    <w:rPr>
                      <w:rFonts w:eastAsia="Arial Unicode MS"/>
                      <w:sz w:val="18"/>
                      <w:szCs w:val="18"/>
                    </w:rPr>
                  </w:pPr>
                  <w:r>
                    <w:rPr>
                      <w:rFonts w:hint="eastAsia"/>
                      <w:sz w:val="18"/>
                      <w:szCs w:val="18"/>
                    </w:rPr>
                    <w:t>33.43</w:t>
                  </w:r>
                </w:p>
              </w:tc>
              <w:tc>
                <w:tcPr>
                  <w:tcW w:w="504" w:type="pct"/>
                  <w:vMerge w:val="restart"/>
                  <w:tcBorders>
                    <w:left w:val="single" w:sz="4" w:space="0" w:color="auto"/>
                    <w:right w:val="nil"/>
                  </w:tcBorders>
                  <w:vAlign w:val="center"/>
                </w:tcPr>
                <w:p w14:paraId="0FEC8DD5" w14:textId="77777777" w:rsidR="00F76A63" w:rsidRDefault="00000000">
                  <w:pPr>
                    <w:adjustRightInd w:val="0"/>
                    <w:snapToGrid w:val="0"/>
                    <w:jc w:val="center"/>
                    <w:rPr>
                      <w:sz w:val="18"/>
                      <w:szCs w:val="18"/>
                    </w:rPr>
                  </w:pPr>
                  <w:r>
                    <w:rPr>
                      <w:sz w:val="18"/>
                      <w:szCs w:val="18"/>
                    </w:rPr>
                    <w:t>/</w:t>
                  </w:r>
                </w:p>
              </w:tc>
            </w:tr>
            <w:tr w:rsidR="00F76A63" w14:paraId="26F31F03" w14:textId="77777777">
              <w:trPr>
                <w:trHeight w:val="340"/>
                <w:jc w:val="center"/>
              </w:trPr>
              <w:tc>
                <w:tcPr>
                  <w:tcW w:w="422" w:type="pct"/>
                  <w:vMerge/>
                  <w:tcBorders>
                    <w:left w:val="nil"/>
                    <w:right w:val="single" w:sz="4" w:space="0" w:color="auto"/>
                  </w:tcBorders>
                  <w:vAlign w:val="center"/>
                </w:tcPr>
                <w:p w14:paraId="7348AB9B"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45EC4714"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146FB3B1"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C4D5695"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5DFF5E54" w14:textId="77777777" w:rsidR="00F76A63" w:rsidRDefault="00000000">
                  <w:pPr>
                    <w:adjustRightInd w:val="0"/>
                    <w:snapToGrid w:val="0"/>
                    <w:jc w:val="center"/>
                    <w:rPr>
                      <w:rFonts w:eastAsia="Arial Unicode MS"/>
                      <w:sz w:val="18"/>
                      <w:szCs w:val="18"/>
                    </w:rPr>
                  </w:pPr>
                  <w:r>
                    <w:rPr>
                      <w:rFonts w:hint="eastAsia"/>
                      <w:sz w:val="18"/>
                      <w:szCs w:val="18"/>
                    </w:rPr>
                    <w:t>1.07</w:t>
                  </w:r>
                </w:p>
              </w:tc>
              <w:tc>
                <w:tcPr>
                  <w:tcW w:w="668" w:type="pct"/>
                  <w:tcBorders>
                    <w:top w:val="single" w:sz="4" w:space="0" w:color="auto"/>
                    <w:left w:val="single" w:sz="4" w:space="0" w:color="auto"/>
                    <w:bottom w:val="single" w:sz="4" w:space="0" w:color="auto"/>
                    <w:right w:val="single" w:sz="4" w:space="0" w:color="auto"/>
                  </w:tcBorders>
                  <w:vAlign w:val="center"/>
                </w:tcPr>
                <w:p w14:paraId="28D2B24E" w14:textId="77777777" w:rsidR="00F76A63" w:rsidRDefault="00000000">
                  <w:pPr>
                    <w:adjustRightInd w:val="0"/>
                    <w:snapToGrid w:val="0"/>
                    <w:jc w:val="center"/>
                    <w:rPr>
                      <w:rFonts w:eastAsia="Arial Unicode MS"/>
                      <w:sz w:val="18"/>
                      <w:szCs w:val="18"/>
                    </w:rPr>
                  </w:pPr>
                  <w:r>
                    <w:rPr>
                      <w:rFonts w:hint="eastAsia"/>
                      <w:sz w:val="18"/>
                      <w:szCs w:val="18"/>
                    </w:rPr>
                    <w:t>0.35</w:t>
                  </w:r>
                </w:p>
              </w:tc>
              <w:tc>
                <w:tcPr>
                  <w:tcW w:w="707" w:type="pct"/>
                  <w:tcBorders>
                    <w:top w:val="single" w:sz="4" w:space="0" w:color="auto"/>
                    <w:left w:val="single" w:sz="4" w:space="0" w:color="auto"/>
                    <w:bottom w:val="single" w:sz="4" w:space="0" w:color="auto"/>
                    <w:right w:val="single" w:sz="4" w:space="0" w:color="auto"/>
                  </w:tcBorders>
                  <w:vAlign w:val="center"/>
                </w:tcPr>
                <w:p w14:paraId="360F227E" w14:textId="77777777" w:rsidR="00F76A63" w:rsidRDefault="00000000">
                  <w:pPr>
                    <w:adjustRightInd w:val="0"/>
                    <w:snapToGrid w:val="0"/>
                    <w:jc w:val="center"/>
                    <w:rPr>
                      <w:rFonts w:eastAsia="Arial Unicode MS"/>
                      <w:sz w:val="18"/>
                      <w:szCs w:val="18"/>
                    </w:rPr>
                  </w:pPr>
                  <w:r>
                    <w:rPr>
                      <w:rFonts w:hint="eastAsia"/>
                      <w:sz w:val="18"/>
                      <w:szCs w:val="18"/>
                    </w:rPr>
                    <w:t>23.05</w:t>
                  </w:r>
                </w:p>
              </w:tc>
              <w:tc>
                <w:tcPr>
                  <w:tcW w:w="504" w:type="pct"/>
                  <w:vMerge/>
                  <w:tcBorders>
                    <w:left w:val="single" w:sz="4" w:space="0" w:color="auto"/>
                    <w:right w:val="nil"/>
                  </w:tcBorders>
                  <w:vAlign w:val="center"/>
                </w:tcPr>
                <w:p w14:paraId="7DAB1289" w14:textId="77777777" w:rsidR="00F76A63" w:rsidRDefault="00F76A63">
                  <w:pPr>
                    <w:adjustRightInd w:val="0"/>
                    <w:snapToGrid w:val="0"/>
                    <w:jc w:val="center"/>
                    <w:rPr>
                      <w:sz w:val="18"/>
                      <w:szCs w:val="18"/>
                    </w:rPr>
                  </w:pPr>
                </w:p>
              </w:tc>
            </w:tr>
            <w:tr w:rsidR="00F76A63" w14:paraId="2EAED3EE" w14:textId="77777777">
              <w:trPr>
                <w:trHeight w:val="340"/>
                <w:jc w:val="center"/>
              </w:trPr>
              <w:tc>
                <w:tcPr>
                  <w:tcW w:w="422" w:type="pct"/>
                  <w:vMerge/>
                  <w:tcBorders>
                    <w:left w:val="nil"/>
                    <w:right w:val="single" w:sz="4" w:space="0" w:color="auto"/>
                  </w:tcBorders>
                  <w:vAlign w:val="center"/>
                </w:tcPr>
                <w:p w14:paraId="57F978B3"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1898573A"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27570AA3"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13FDC64"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19F6C59E" w14:textId="77777777" w:rsidR="00F76A63" w:rsidRDefault="00000000">
                  <w:pPr>
                    <w:adjustRightInd w:val="0"/>
                    <w:snapToGrid w:val="0"/>
                    <w:jc w:val="center"/>
                    <w:rPr>
                      <w:rFonts w:eastAsia="Arial Unicode MS"/>
                      <w:sz w:val="18"/>
                      <w:szCs w:val="18"/>
                    </w:rPr>
                  </w:pPr>
                  <w:r>
                    <w:rPr>
                      <w:rFonts w:eastAsia="Arial Unicode MS" w:hint="eastAsia"/>
                      <w:sz w:val="18"/>
                      <w:szCs w:val="18"/>
                    </w:rPr>
                    <w:t>1.30</w:t>
                  </w:r>
                </w:p>
              </w:tc>
              <w:tc>
                <w:tcPr>
                  <w:tcW w:w="668" w:type="pct"/>
                  <w:tcBorders>
                    <w:top w:val="single" w:sz="4" w:space="0" w:color="auto"/>
                    <w:left w:val="single" w:sz="4" w:space="0" w:color="auto"/>
                    <w:bottom w:val="single" w:sz="4" w:space="0" w:color="auto"/>
                    <w:right w:val="single" w:sz="4" w:space="0" w:color="auto"/>
                  </w:tcBorders>
                  <w:vAlign w:val="center"/>
                </w:tcPr>
                <w:p w14:paraId="2B07F758" w14:textId="77777777" w:rsidR="00F76A63" w:rsidRDefault="00000000">
                  <w:pPr>
                    <w:adjustRightInd w:val="0"/>
                    <w:snapToGrid w:val="0"/>
                    <w:jc w:val="center"/>
                    <w:rPr>
                      <w:rFonts w:eastAsia="Arial Unicode MS"/>
                      <w:sz w:val="18"/>
                      <w:szCs w:val="18"/>
                    </w:rPr>
                  </w:pPr>
                  <w:r>
                    <w:rPr>
                      <w:rFonts w:eastAsia="Arial Unicode MS" w:hint="eastAsia"/>
                      <w:sz w:val="18"/>
                      <w:szCs w:val="18"/>
                    </w:rPr>
                    <w:t>2.27</w:t>
                  </w:r>
                </w:p>
              </w:tc>
              <w:tc>
                <w:tcPr>
                  <w:tcW w:w="707" w:type="pct"/>
                  <w:tcBorders>
                    <w:top w:val="single" w:sz="4" w:space="0" w:color="auto"/>
                    <w:left w:val="single" w:sz="4" w:space="0" w:color="auto"/>
                    <w:bottom w:val="single" w:sz="4" w:space="0" w:color="auto"/>
                    <w:right w:val="single" w:sz="4" w:space="0" w:color="auto"/>
                  </w:tcBorders>
                  <w:vAlign w:val="center"/>
                </w:tcPr>
                <w:p w14:paraId="6BA8C69B" w14:textId="77777777" w:rsidR="00F76A63" w:rsidRDefault="00000000">
                  <w:pPr>
                    <w:adjustRightInd w:val="0"/>
                    <w:snapToGrid w:val="0"/>
                    <w:jc w:val="center"/>
                    <w:rPr>
                      <w:rFonts w:eastAsia="Arial Unicode MS"/>
                      <w:sz w:val="18"/>
                      <w:szCs w:val="18"/>
                    </w:rPr>
                  </w:pPr>
                  <w:r>
                    <w:rPr>
                      <w:rFonts w:eastAsia="Arial Unicode MS" w:hint="eastAsia"/>
                      <w:sz w:val="18"/>
                      <w:szCs w:val="18"/>
                    </w:rPr>
                    <w:t>27.</w:t>
                  </w:r>
                  <w:r>
                    <w:rPr>
                      <w:rFonts w:hint="eastAsia"/>
                      <w:sz w:val="18"/>
                      <w:szCs w:val="18"/>
                    </w:rPr>
                    <w:t>50</w:t>
                  </w:r>
                </w:p>
              </w:tc>
              <w:tc>
                <w:tcPr>
                  <w:tcW w:w="504" w:type="pct"/>
                  <w:vMerge/>
                  <w:tcBorders>
                    <w:left w:val="single" w:sz="4" w:space="0" w:color="auto"/>
                    <w:right w:val="nil"/>
                  </w:tcBorders>
                  <w:vAlign w:val="center"/>
                </w:tcPr>
                <w:p w14:paraId="44D807C4" w14:textId="77777777" w:rsidR="00F76A63" w:rsidRDefault="00F76A63">
                  <w:pPr>
                    <w:adjustRightInd w:val="0"/>
                    <w:snapToGrid w:val="0"/>
                    <w:jc w:val="center"/>
                    <w:rPr>
                      <w:sz w:val="18"/>
                      <w:szCs w:val="18"/>
                    </w:rPr>
                  </w:pPr>
                </w:p>
              </w:tc>
            </w:tr>
            <w:tr w:rsidR="00F76A63" w14:paraId="45DF54B9" w14:textId="77777777">
              <w:trPr>
                <w:trHeight w:val="340"/>
                <w:jc w:val="center"/>
              </w:trPr>
              <w:tc>
                <w:tcPr>
                  <w:tcW w:w="422" w:type="pct"/>
                  <w:vMerge/>
                  <w:tcBorders>
                    <w:left w:val="nil"/>
                    <w:right w:val="single" w:sz="4" w:space="0" w:color="auto"/>
                  </w:tcBorders>
                  <w:vAlign w:val="center"/>
                </w:tcPr>
                <w:p w14:paraId="04051041"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514D4955" w14:textId="77777777" w:rsidR="00F76A63" w:rsidRDefault="00000000">
                  <w:pPr>
                    <w:adjustRightInd w:val="0"/>
                    <w:snapToGrid w:val="0"/>
                    <w:jc w:val="center"/>
                    <w:rPr>
                      <w:sz w:val="18"/>
                      <w:szCs w:val="18"/>
                    </w:rPr>
                  </w:pPr>
                  <w:r>
                    <w:rPr>
                      <w:rFonts w:hint="eastAsia"/>
                      <w:sz w:val="18"/>
                      <w:szCs w:val="18"/>
                    </w:rPr>
                    <w:t>202511</w:t>
                  </w:r>
                </w:p>
              </w:tc>
              <w:tc>
                <w:tcPr>
                  <w:tcW w:w="978" w:type="pct"/>
                  <w:vMerge w:val="restart"/>
                  <w:tcBorders>
                    <w:left w:val="single" w:sz="4" w:space="0" w:color="auto"/>
                    <w:right w:val="single" w:sz="4" w:space="0" w:color="auto"/>
                  </w:tcBorders>
                  <w:vAlign w:val="center"/>
                </w:tcPr>
                <w:p w14:paraId="1D0312CE" w14:textId="77777777" w:rsidR="00F76A63" w:rsidRDefault="00000000">
                  <w:pPr>
                    <w:adjustRightInd w:val="0"/>
                    <w:snapToGrid w:val="0"/>
                    <w:jc w:val="center"/>
                    <w:rPr>
                      <w:sz w:val="18"/>
                      <w:szCs w:val="18"/>
                    </w:rPr>
                  </w:pPr>
                  <w:r>
                    <w:rPr>
                      <w:sz w:val="18"/>
                      <w:szCs w:val="18"/>
                    </w:rPr>
                    <w:t>598402.5</w:t>
                  </w:r>
                  <w:r>
                    <w:rPr>
                      <w:rFonts w:hint="eastAsia"/>
                      <w:sz w:val="18"/>
                      <w:szCs w:val="18"/>
                    </w:rPr>
                    <w:t>9</w:t>
                  </w:r>
                </w:p>
              </w:tc>
              <w:tc>
                <w:tcPr>
                  <w:tcW w:w="546" w:type="pct"/>
                  <w:tcBorders>
                    <w:top w:val="single" w:sz="4" w:space="0" w:color="auto"/>
                    <w:left w:val="single" w:sz="4" w:space="0" w:color="auto"/>
                    <w:bottom w:val="single" w:sz="4" w:space="0" w:color="auto"/>
                    <w:right w:val="single" w:sz="4" w:space="0" w:color="auto"/>
                  </w:tcBorders>
                  <w:vAlign w:val="center"/>
                </w:tcPr>
                <w:p w14:paraId="19F522E8"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6C48EF5A" w14:textId="77777777" w:rsidR="00F76A63" w:rsidRDefault="00000000">
                  <w:pPr>
                    <w:adjustRightInd w:val="0"/>
                    <w:snapToGrid w:val="0"/>
                    <w:jc w:val="center"/>
                    <w:rPr>
                      <w:rFonts w:eastAsia="Arial Unicode MS"/>
                      <w:sz w:val="18"/>
                      <w:szCs w:val="18"/>
                    </w:rPr>
                  </w:pPr>
                  <w:r>
                    <w:rPr>
                      <w:rFonts w:hint="eastAsia"/>
                      <w:sz w:val="18"/>
                      <w:szCs w:val="18"/>
                    </w:rPr>
                    <w:t>1.99</w:t>
                  </w:r>
                </w:p>
              </w:tc>
              <w:tc>
                <w:tcPr>
                  <w:tcW w:w="668" w:type="pct"/>
                  <w:tcBorders>
                    <w:top w:val="single" w:sz="4" w:space="0" w:color="auto"/>
                    <w:left w:val="single" w:sz="4" w:space="0" w:color="auto"/>
                    <w:bottom w:val="single" w:sz="4" w:space="0" w:color="auto"/>
                    <w:right w:val="single" w:sz="4" w:space="0" w:color="auto"/>
                  </w:tcBorders>
                  <w:vAlign w:val="center"/>
                </w:tcPr>
                <w:p w14:paraId="45133E11" w14:textId="77777777" w:rsidR="00F76A63" w:rsidRDefault="00000000">
                  <w:pPr>
                    <w:adjustRightInd w:val="0"/>
                    <w:snapToGrid w:val="0"/>
                    <w:jc w:val="center"/>
                    <w:rPr>
                      <w:rFonts w:eastAsia="Arial Unicode MS"/>
                      <w:sz w:val="18"/>
                      <w:szCs w:val="18"/>
                    </w:rPr>
                  </w:pPr>
                  <w:r>
                    <w:rPr>
                      <w:rFonts w:hint="eastAsia"/>
                      <w:sz w:val="18"/>
                      <w:szCs w:val="18"/>
                    </w:rPr>
                    <w:t>29.82</w:t>
                  </w:r>
                </w:p>
              </w:tc>
              <w:tc>
                <w:tcPr>
                  <w:tcW w:w="707" w:type="pct"/>
                  <w:tcBorders>
                    <w:top w:val="single" w:sz="4" w:space="0" w:color="auto"/>
                    <w:left w:val="single" w:sz="4" w:space="0" w:color="auto"/>
                    <w:bottom w:val="single" w:sz="4" w:space="0" w:color="auto"/>
                    <w:right w:val="single" w:sz="4" w:space="0" w:color="auto"/>
                  </w:tcBorders>
                  <w:vAlign w:val="center"/>
                </w:tcPr>
                <w:p w14:paraId="0E40DB16" w14:textId="77777777" w:rsidR="00F76A63" w:rsidRDefault="00000000">
                  <w:pPr>
                    <w:adjustRightInd w:val="0"/>
                    <w:snapToGrid w:val="0"/>
                    <w:jc w:val="center"/>
                    <w:rPr>
                      <w:rFonts w:eastAsia="Arial Unicode MS"/>
                      <w:b/>
                      <w:bCs/>
                      <w:sz w:val="18"/>
                      <w:szCs w:val="18"/>
                    </w:rPr>
                  </w:pPr>
                  <w:r>
                    <w:rPr>
                      <w:rFonts w:hint="eastAsia"/>
                      <w:b/>
                      <w:bCs/>
                      <w:sz w:val="18"/>
                      <w:szCs w:val="18"/>
                    </w:rPr>
                    <w:t>78.60</w:t>
                  </w:r>
                </w:p>
              </w:tc>
              <w:tc>
                <w:tcPr>
                  <w:tcW w:w="504" w:type="pct"/>
                  <w:vMerge w:val="restart"/>
                  <w:tcBorders>
                    <w:left w:val="single" w:sz="4" w:space="0" w:color="auto"/>
                    <w:right w:val="nil"/>
                  </w:tcBorders>
                  <w:vAlign w:val="center"/>
                </w:tcPr>
                <w:p w14:paraId="6921845A" w14:textId="77777777" w:rsidR="00F76A63" w:rsidRDefault="00000000">
                  <w:pPr>
                    <w:adjustRightInd w:val="0"/>
                    <w:snapToGrid w:val="0"/>
                    <w:jc w:val="center"/>
                    <w:rPr>
                      <w:sz w:val="18"/>
                      <w:szCs w:val="18"/>
                    </w:rPr>
                  </w:pPr>
                  <w:r>
                    <w:rPr>
                      <w:sz w:val="18"/>
                      <w:szCs w:val="18"/>
                    </w:rPr>
                    <w:t>/</w:t>
                  </w:r>
                </w:p>
              </w:tc>
            </w:tr>
            <w:tr w:rsidR="00F76A63" w14:paraId="7DADBC85" w14:textId="77777777">
              <w:trPr>
                <w:trHeight w:val="340"/>
                <w:jc w:val="center"/>
              </w:trPr>
              <w:tc>
                <w:tcPr>
                  <w:tcW w:w="422" w:type="pct"/>
                  <w:vMerge/>
                  <w:tcBorders>
                    <w:left w:val="nil"/>
                    <w:right w:val="single" w:sz="4" w:space="0" w:color="auto"/>
                  </w:tcBorders>
                  <w:vAlign w:val="center"/>
                </w:tcPr>
                <w:p w14:paraId="23C229DB"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6ACC7891"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13A53DA"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5AFB1BA"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70421D1C" w14:textId="77777777" w:rsidR="00F76A63" w:rsidRDefault="00000000">
                  <w:pPr>
                    <w:adjustRightInd w:val="0"/>
                    <w:snapToGrid w:val="0"/>
                    <w:jc w:val="center"/>
                    <w:rPr>
                      <w:rFonts w:eastAsia="Arial Unicode MS"/>
                      <w:sz w:val="18"/>
                      <w:szCs w:val="18"/>
                    </w:rPr>
                  </w:pPr>
                  <w:r>
                    <w:rPr>
                      <w:rFonts w:hint="eastAsia"/>
                      <w:sz w:val="18"/>
                      <w:szCs w:val="18"/>
                    </w:rPr>
                    <w:t>1.38</w:t>
                  </w:r>
                </w:p>
              </w:tc>
              <w:tc>
                <w:tcPr>
                  <w:tcW w:w="668" w:type="pct"/>
                  <w:tcBorders>
                    <w:top w:val="single" w:sz="4" w:space="0" w:color="auto"/>
                    <w:left w:val="single" w:sz="4" w:space="0" w:color="auto"/>
                    <w:bottom w:val="single" w:sz="4" w:space="0" w:color="auto"/>
                    <w:right w:val="single" w:sz="4" w:space="0" w:color="auto"/>
                  </w:tcBorders>
                  <w:vAlign w:val="center"/>
                </w:tcPr>
                <w:p w14:paraId="3363B4C8" w14:textId="77777777" w:rsidR="00F76A63" w:rsidRDefault="00000000">
                  <w:pPr>
                    <w:adjustRightInd w:val="0"/>
                    <w:snapToGrid w:val="0"/>
                    <w:jc w:val="center"/>
                    <w:rPr>
                      <w:rFonts w:eastAsia="Arial Unicode MS"/>
                      <w:sz w:val="18"/>
                      <w:szCs w:val="18"/>
                    </w:rPr>
                  </w:pPr>
                  <w:r>
                    <w:rPr>
                      <w:rFonts w:hint="eastAsia"/>
                      <w:sz w:val="18"/>
                      <w:szCs w:val="18"/>
                    </w:rPr>
                    <w:t>0.04</w:t>
                  </w:r>
                </w:p>
              </w:tc>
              <w:tc>
                <w:tcPr>
                  <w:tcW w:w="707" w:type="pct"/>
                  <w:tcBorders>
                    <w:top w:val="single" w:sz="4" w:space="0" w:color="auto"/>
                    <w:left w:val="single" w:sz="4" w:space="0" w:color="auto"/>
                    <w:bottom w:val="single" w:sz="4" w:space="0" w:color="auto"/>
                    <w:right w:val="single" w:sz="4" w:space="0" w:color="auto"/>
                  </w:tcBorders>
                  <w:vAlign w:val="center"/>
                </w:tcPr>
                <w:p w14:paraId="131B2F01" w14:textId="77777777" w:rsidR="00F76A63" w:rsidRDefault="00000000">
                  <w:pPr>
                    <w:adjustRightInd w:val="0"/>
                    <w:snapToGrid w:val="0"/>
                    <w:jc w:val="center"/>
                    <w:rPr>
                      <w:rFonts w:eastAsia="Arial Unicode MS"/>
                      <w:sz w:val="18"/>
                      <w:szCs w:val="18"/>
                    </w:rPr>
                  </w:pPr>
                  <w:r>
                    <w:rPr>
                      <w:rFonts w:hint="eastAsia"/>
                      <w:sz w:val="18"/>
                      <w:szCs w:val="18"/>
                    </w:rPr>
                    <w:t>0.27</w:t>
                  </w:r>
                </w:p>
              </w:tc>
              <w:tc>
                <w:tcPr>
                  <w:tcW w:w="504" w:type="pct"/>
                  <w:vMerge/>
                  <w:tcBorders>
                    <w:left w:val="single" w:sz="4" w:space="0" w:color="auto"/>
                    <w:right w:val="nil"/>
                  </w:tcBorders>
                  <w:vAlign w:val="center"/>
                </w:tcPr>
                <w:p w14:paraId="14E704BE" w14:textId="77777777" w:rsidR="00F76A63" w:rsidRDefault="00F76A63">
                  <w:pPr>
                    <w:adjustRightInd w:val="0"/>
                    <w:snapToGrid w:val="0"/>
                    <w:jc w:val="center"/>
                    <w:rPr>
                      <w:sz w:val="18"/>
                      <w:szCs w:val="18"/>
                    </w:rPr>
                  </w:pPr>
                </w:p>
              </w:tc>
            </w:tr>
            <w:tr w:rsidR="00F76A63" w14:paraId="4BCE6CFB" w14:textId="77777777">
              <w:trPr>
                <w:trHeight w:val="340"/>
                <w:jc w:val="center"/>
              </w:trPr>
              <w:tc>
                <w:tcPr>
                  <w:tcW w:w="422" w:type="pct"/>
                  <w:vMerge/>
                  <w:tcBorders>
                    <w:left w:val="nil"/>
                    <w:right w:val="single" w:sz="4" w:space="0" w:color="auto"/>
                  </w:tcBorders>
                  <w:vAlign w:val="center"/>
                </w:tcPr>
                <w:p w14:paraId="0D262FCF"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0D04C47C"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0AF289F0"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5A27B35"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155D4A84" w14:textId="77777777" w:rsidR="00F76A63" w:rsidRDefault="00000000">
                  <w:pPr>
                    <w:adjustRightInd w:val="0"/>
                    <w:snapToGrid w:val="0"/>
                    <w:jc w:val="center"/>
                    <w:rPr>
                      <w:rFonts w:eastAsia="Arial Unicode MS"/>
                      <w:sz w:val="18"/>
                      <w:szCs w:val="18"/>
                    </w:rPr>
                  </w:pPr>
                  <w:r>
                    <w:rPr>
                      <w:rFonts w:hint="eastAsia"/>
                      <w:sz w:val="18"/>
                      <w:szCs w:val="18"/>
                    </w:rPr>
                    <w:t>1.62</w:t>
                  </w:r>
                </w:p>
              </w:tc>
              <w:tc>
                <w:tcPr>
                  <w:tcW w:w="668" w:type="pct"/>
                  <w:tcBorders>
                    <w:top w:val="single" w:sz="4" w:space="0" w:color="auto"/>
                    <w:left w:val="single" w:sz="4" w:space="0" w:color="auto"/>
                    <w:bottom w:val="single" w:sz="4" w:space="0" w:color="auto"/>
                    <w:right w:val="single" w:sz="4" w:space="0" w:color="auto"/>
                  </w:tcBorders>
                  <w:vAlign w:val="center"/>
                </w:tcPr>
                <w:p w14:paraId="37006E83" w14:textId="77777777" w:rsidR="00F76A63" w:rsidRDefault="00000000">
                  <w:pPr>
                    <w:adjustRightInd w:val="0"/>
                    <w:snapToGrid w:val="0"/>
                    <w:jc w:val="center"/>
                    <w:rPr>
                      <w:rFonts w:eastAsia="Arial Unicode MS"/>
                      <w:sz w:val="18"/>
                      <w:szCs w:val="18"/>
                    </w:rPr>
                  </w:pPr>
                  <w:r>
                    <w:rPr>
                      <w:rFonts w:hint="eastAsia"/>
                      <w:sz w:val="18"/>
                      <w:szCs w:val="18"/>
                    </w:rPr>
                    <w:t>2.84</w:t>
                  </w:r>
                </w:p>
              </w:tc>
              <w:tc>
                <w:tcPr>
                  <w:tcW w:w="707" w:type="pct"/>
                  <w:tcBorders>
                    <w:top w:val="single" w:sz="4" w:space="0" w:color="auto"/>
                    <w:left w:val="single" w:sz="4" w:space="0" w:color="auto"/>
                    <w:bottom w:val="single" w:sz="4" w:space="0" w:color="auto"/>
                    <w:right w:val="single" w:sz="4" w:space="0" w:color="auto"/>
                  </w:tcBorders>
                  <w:vAlign w:val="center"/>
                </w:tcPr>
                <w:p w14:paraId="269C7926" w14:textId="77777777" w:rsidR="00F76A63" w:rsidRDefault="00000000">
                  <w:pPr>
                    <w:adjustRightInd w:val="0"/>
                    <w:snapToGrid w:val="0"/>
                    <w:jc w:val="center"/>
                    <w:rPr>
                      <w:rFonts w:eastAsia="Arial Unicode MS"/>
                      <w:sz w:val="18"/>
                      <w:szCs w:val="18"/>
                    </w:rPr>
                  </w:pPr>
                  <w:r>
                    <w:rPr>
                      <w:rFonts w:hint="eastAsia"/>
                      <w:sz w:val="18"/>
                      <w:szCs w:val="18"/>
                    </w:rPr>
                    <w:t>28.42</w:t>
                  </w:r>
                </w:p>
              </w:tc>
              <w:tc>
                <w:tcPr>
                  <w:tcW w:w="504" w:type="pct"/>
                  <w:vMerge/>
                  <w:tcBorders>
                    <w:left w:val="single" w:sz="4" w:space="0" w:color="auto"/>
                    <w:right w:val="nil"/>
                  </w:tcBorders>
                  <w:vAlign w:val="center"/>
                </w:tcPr>
                <w:p w14:paraId="5BE06D50" w14:textId="77777777" w:rsidR="00F76A63" w:rsidRDefault="00F76A63">
                  <w:pPr>
                    <w:adjustRightInd w:val="0"/>
                    <w:snapToGrid w:val="0"/>
                    <w:jc w:val="center"/>
                    <w:rPr>
                      <w:sz w:val="18"/>
                      <w:szCs w:val="18"/>
                    </w:rPr>
                  </w:pPr>
                </w:p>
              </w:tc>
            </w:tr>
            <w:tr w:rsidR="00F76A63" w14:paraId="41733CD6" w14:textId="77777777">
              <w:trPr>
                <w:trHeight w:val="340"/>
                <w:jc w:val="center"/>
              </w:trPr>
              <w:tc>
                <w:tcPr>
                  <w:tcW w:w="422" w:type="pct"/>
                  <w:vMerge/>
                  <w:tcBorders>
                    <w:left w:val="nil"/>
                    <w:right w:val="single" w:sz="4" w:space="0" w:color="auto"/>
                  </w:tcBorders>
                  <w:vAlign w:val="center"/>
                </w:tcPr>
                <w:p w14:paraId="4937A7A2"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7726D282" w14:textId="77777777" w:rsidR="00F76A63" w:rsidRDefault="00000000">
                  <w:pPr>
                    <w:adjustRightInd w:val="0"/>
                    <w:snapToGrid w:val="0"/>
                    <w:jc w:val="center"/>
                    <w:rPr>
                      <w:sz w:val="18"/>
                      <w:szCs w:val="18"/>
                    </w:rPr>
                  </w:pPr>
                  <w:r>
                    <w:rPr>
                      <w:rFonts w:hint="eastAsia"/>
                      <w:sz w:val="18"/>
                      <w:szCs w:val="18"/>
                    </w:rPr>
                    <w:t>202512</w:t>
                  </w:r>
                </w:p>
              </w:tc>
              <w:tc>
                <w:tcPr>
                  <w:tcW w:w="978" w:type="pct"/>
                  <w:vMerge w:val="restart"/>
                  <w:tcBorders>
                    <w:left w:val="single" w:sz="4" w:space="0" w:color="auto"/>
                    <w:right w:val="single" w:sz="4" w:space="0" w:color="auto"/>
                  </w:tcBorders>
                  <w:vAlign w:val="center"/>
                </w:tcPr>
                <w:p w14:paraId="2766AB35" w14:textId="77777777" w:rsidR="00F76A63" w:rsidRDefault="00000000">
                  <w:pPr>
                    <w:adjustRightInd w:val="0"/>
                    <w:snapToGrid w:val="0"/>
                    <w:jc w:val="center"/>
                    <w:rPr>
                      <w:sz w:val="18"/>
                      <w:szCs w:val="18"/>
                    </w:rPr>
                  </w:pPr>
                  <w:r>
                    <w:rPr>
                      <w:rFonts w:hint="eastAsia"/>
                      <w:sz w:val="18"/>
                      <w:szCs w:val="18"/>
                    </w:rPr>
                    <w:t>572018.99</w:t>
                  </w:r>
                </w:p>
              </w:tc>
              <w:tc>
                <w:tcPr>
                  <w:tcW w:w="546" w:type="pct"/>
                  <w:tcBorders>
                    <w:top w:val="single" w:sz="4" w:space="0" w:color="auto"/>
                    <w:left w:val="single" w:sz="4" w:space="0" w:color="auto"/>
                    <w:bottom w:val="single" w:sz="4" w:space="0" w:color="auto"/>
                    <w:right w:val="single" w:sz="4" w:space="0" w:color="auto"/>
                  </w:tcBorders>
                  <w:vAlign w:val="center"/>
                </w:tcPr>
                <w:p w14:paraId="28C2CBF9"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5417E061" w14:textId="77777777" w:rsidR="00F76A63" w:rsidRDefault="00000000">
                  <w:pPr>
                    <w:adjustRightInd w:val="0"/>
                    <w:snapToGrid w:val="0"/>
                    <w:jc w:val="center"/>
                    <w:rPr>
                      <w:rFonts w:eastAsia="Arial Unicode MS"/>
                      <w:sz w:val="18"/>
                      <w:szCs w:val="18"/>
                    </w:rPr>
                  </w:pPr>
                  <w:r>
                    <w:rPr>
                      <w:rFonts w:hint="eastAsia"/>
                      <w:sz w:val="18"/>
                      <w:szCs w:val="18"/>
                    </w:rPr>
                    <w:t>2.40</w:t>
                  </w:r>
                </w:p>
              </w:tc>
              <w:tc>
                <w:tcPr>
                  <w:tcW w:w="668" w:type="pct"/>
                  <w:tcBorders>
                    <w:top w:val="single" w:sz="4" w:space="0" w:color="auto"/>
                    <w:left w:val="single" w:sz="4" w:space="0" w:color="auto"/>
                    <w:bottom w:val="single" w:sz="4" w:space="0" w:color="auto"/>
                    <w:right w:val="single" w:sz="4" w:space="0" w:color="auto"/>
                  </w:tcBorders>
                  <w:vAlign w:val="center"/>
                </w:tcPr>
                <w:p w14:paraId="3307C9AC" w14:textId="77777777" w:rsidR="00F76A63" w:rsidRDefault="00000000">
                  <w:pPr>
                    <w:adjustRightInd w:val="0"/>
                    <w:snapToGrid w:val="0"/>
                    <w:jc w:val="center"/>
                    <w:rPr>
                      <w:rFonts w:eastAsia="Arial Unicode MS"/>
                      <w:sz w:val="18"/>
                      <w:szCs w:val="18"/>
                    </w:rPr>
                  </w:pPr>
                  <w:r>
                    <w:rPr>
                      <w:rFonts w:hint="eastAsia"/>
                      <w:sz w:val="18"/>
                      <w:szCs w:val="18"/>
                    </w:rPr>
                    <w:t>21.17</w:t>
                  </w:r>
                </w:p>
              </w:tc>
              <w:tc>
                <w:tcPr>
                  <w:tcW w:w="707" w:type="pct"/>
                  <w:tcBorders>
                    <w:top w:val="single" w:sz="4" w:space="0" w:color="auto"/>
                    <w:left w:val="single" w:sz="4" w:space="0" w:color="auto"/>
                    <w:bottom w:val="single" w:sz="4" w:space="0" w:color="auto"/>
                    <w:right w:val="single" w:sz="4" w:space="0" w:color="auto"/>
                  </w:tcBorders>
                  <w:vAlign w:val="center"/>
                </w:tcPr>
                <w:p w14:paraId="4CD09C8E" w14:textId="77777777" w:rsidR="00F76A63" w:rsidRDefault="00000000">
                  <w:pPr>
                    <w:adjustRightInd w:val="0"/>
                    <w:snapToGrid w:val="0"/>
                    <w:jc w:val="center"/>
                    <w:rPr>
                      <w:rFonts w:eastAsia="Arial Unicode MS"/>
                      <w:b/>
                      <w:bCs/>
                      <w:sz w:val="18"/>
                      <w:szCs w:val="18"/>
                    </w:rPr>
                  </w:pPr>
                  <w:r>
                    <w:rPr>
                      <w:rFonts w:hint="eastAsia"/>
                      <w:b/>
                      <w:bCs/>
                      <w:sz w:val="18"/>
                      <w:szCs w:val="18"/>
                    </w:rPr>
                    <w:t>68.83</w:t>
                  </w:r>
                </w:p>
              </w:tc>
              <w:tc>
                <w:tcPr>
                  <w:tcW w:w="504" w:type="pct"/>
                  <w:vMerge w:val="restart"/>
                  <w:tcBorders>
                    <w:left w:val="single" w:sz="4" w:space="0" w:color="auto"/>
                    <w:right w:val="nil"/>
                  </w:tcBorders>
                  <w:vAlign w:val="center"/>
                </w:tcPr>
                <w:p w14:paraId="7A12E1F4" w14:textId="77777777" w:rsidR="00F76A63" w:rsidRDefault="00000000">
                  <w:pPr>
                    <w:adjustRightInd w:val="0"/>
                    <w:snapToGrid w:val="0"/>
                    <w:jc w:val="center"/>
                    <w:rPr>
                      <w:sz w:val="18"/>
                      <w:szCs w:val="18"/>
                    </w:rPr>
                  </w:pPr>
                  <w:r>
                    <w:rPr>
                      <w:sz w:val="18"/>
                      <w:szCs w:val="18"/>
                    </w:rPr>
                    <w:t>/</w:t>
                  </w:r>
                </w:p>
              </w:tc>
            </w:tr>
            <w:tr w:rsidR="00F76A63" w14:paraId="197B17BE" w14:textId="77777777">
              <w:trPr>
                <w:trHeight w:val="340"/>
                <w:jc w:val="center"/>
              </w:trPr>
              <w:tc>
                <w:tcPr>
                  <w:tcW w:w="422" w:type="pct"/>
                  <w:vMerge/>
                  <w:tcBorders>
                    <w:left w:val="nil"/>
                    <w:right w:val="single" w:sz="4" w:space="0" w:color="auto"/>
                  </w:tcBorders>
                  <w:vAlign w:val="center"/>
                </w:tcPr>
                <w:p w14:paraId="7CF1A67F"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5D8D3E49"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0E9B62F2"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A2F8B05"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0CF525FF" w14:textId="77777777" w:rsidR="00F76A63" w:rsidRDefault="00000000">
                  <w:pPr>
                    <w:adjustRightInd w:val="0"/>
                    <w:snapToGrid w:val="0"/>
                    <w:jc w:val="center"/>
                    <w:rPr>
                      <w:rFonts w:eastAsia="Arial Unicode MS"/>
                      <w:sz w:val="18"/>
                      <w:szCs w:val="18"/>
                    </w:rPr>
                  </w:pPr>
                  <w:r>
                    <w:rPr>
                      <w:rFonts w:hint="eastAsia"/>
                      <w:sz w:val="18"/>
                      <w:szCs w:val="18"/>
                    </w:rPr>
                    <w:t>1.48</w:t>
                  </w:r>
                </w:p>
              </w:tc>
              <w:tc>
                <w:tcPr>
                  <w:tcW w:w="668" w:type="pct"/>
                  <w:tcBorders>
                    <w:top w:val="single" w:sz="4" w:space="0" w:color="auto"/>
                    <w:left w:val="single" w:sz="4" w:space="0" w:color="auto"/>
                    <w:bottom w:val="single" w:sz="4" w:space="0" w:color="auto"/>
                    <w:right w:val="single" w:sz="4" w:space="0" w:color="auto"/>
                  </w:tcBorders>
                  <w:vAlign w:val="center"/>
                </w:tcPr>
                <w:p w14:paraId="33BF5FC2" w14:textId="77777777" w:rsidR="00F76A63" w:rsidRDefault="00000000">
                  <w:pPr>
                    <w:adjustRightInd w:val="0"/>
                    <w:snapToGrid w:val="0"/>
                    <w:jc w:val="center"/>
                    <w:rPr>
                      <w:rFonts w:eastAsia="Arial Unicode MS"/>
                      <w:sz w:val="18"/>
                      <w:szCs w:val="18"/>
                    </w:rPr>
                  </w:pPr>
                  <w:r>
                    <w:rPr>
                      <w:rFonts w:hint="eastAsia"/>
                      <w:sz w:val="18"/>
                      <w:szCs w:val="18"/>
                    </w:rPr>
                    <w:t>0.05</w:t>
                  </w:r>
                </w:p>
              </w:tc>
              <w:tc>
                <w:tcPr>
                  <w:tcW w:w="707" w:type="pct"/>
                  <w:tcBorders>
                    <w:top w:val="single" w:sz="4" w:space="0" w:color="auto"/>
                    <w:left w:val="single" w:sz="4" w:space="0" w:color="auto"/>
                    <w:bottom w:val="single" w:sz="4" w:space="0" w:color="auto"/>
                    <w:right w:val="single" w:sz="4" w:space="0" w:color="auto"/>
                  </w:tcBorders>
                  <w:vAlign w:val="center"/>
                </w:tcPr>
                <w:p w14:paraId="4FC97130" w14:textId="77777777" w:rsidR="00F76A63" w:rsidRDefault="00000000">
                  <w:pPr>
                    <w:adjustRightInd w:val="0"/>
                    <w:snapToGrid w:val="0"/>
                    <w:jc w:val="center"/>
                    <w:rPr>
                      <w:rFonts w:eastAsia="Arial Unicode MS"/>
                      <w:sz w:val="18"/>
                      <w:szCs w:val="18"/>
                    </w:rPr>
                  </w:pPr>
                  <w:r>
                    <w:rPr>
                      <w:rFonts w:hint="eastAsia"/>
                      <w:sz w:val="18"/>
                      <w:szCs w:val="18"/>
                    </w:rPr>
                    <w:t>0.03</w:t>
                  </w:r>
                </w:p>
              </w:tc>
              <w:tc>
                <w:tcPr>
                  <w:tcW w:w="504" w:type="pct"/>
                  <w:vMerge/>
                  <w:tcBorders>
                    <w:left w:val="single" w:sz="4" w:space="0" w:color="auto"/>
                    <w:right w:val="nil"/>
                  </w:tcBorders>
                  <w:vAlign w:val="center"/>
                </w:tcPr>
                <w:p w14:paraId="7E0824DC" w14:textId="77777777" w:rsidR="00F76A63" w:rsidRDefault="00F76A63">
                  <w:pPr>
                    <w:adjustRightInd w:val="0"/>
                    <w:snapToGrid w:val="0"/>
                    <w:jc w:val="center"/>
                    <w:rPr>
                      <w:sz w:val="18"/>
                      <w:szCs w:val="18"/>
                    </w:rPr>
                  </w:pPr>
                </w:p>
              </w:tc>
            </w:tr>
            <w:tr w:rsidR="00F76A63" w14:paraId="5294D996" w14:textId="77777777">
              <w:trPr>
                <w:trHeight w:val="340"/>
                <w:jc w:val="center"/>
              </w:trPr>
              <w:tc>
                <w:tcPr>
                  <w:tcW w:w="422" w:type="pct"/>
                  <w:vMerge/>
                  <w:tcBorders>
                    <w:left w:val="nil"/>
                    <w:right w:val="single" w:sz="4" w:space="0" w:color="auto"/>
                  </w:tcBorders>
                  <w:vAlign w:val="center"/>
                </w:tcPr>
                <w:p w14:paraId="224A8567"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1FEC8ECC"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512EDB6F"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0DA51B6D"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1219DFDE" w14:textId="77777777" w:rsidR="00F76A63" w:rsidRDefault="00000000">
                  <w:pPr>
                    <w:adjustRightInd w:val="0"/>
                    <w:snapToGrid w:val="0"/>
                    <w:jc w:val="center"/>
                    <w:rPr>
                      <w:rFonts w:eastAsia="Arial Unicode MS"/>
                      <w:sz w:val="18"/>
                      <w:szCs w:val="18"/>
                    </w:rPr>
                  </w:pPr>
                  <w:r>
                    <w:rPr>
                      <w:rFonts w:eastAsia="Arial Unicode MS" w:hint="eastAsia"/>
                      <w:sz w:val="18"/>
                      <w:szCs w:val="18"/>
                    </w:rPr>
                    <w:t>1.90</w:t>
                  </w:r>
                </w:p>
              </w:tc>
              <w:tc>
                <w:tcPr>
                  <w:tcW w:w="668" w:type="pct"/>
                  <w:tcBorders>
                    <w:top w:val="single" w:sz="4" w:space="0" w:color="auto"/>
                    <w:left w:val="single" w:sz="4" w:space="0" w:color="auto"/>
                    <w:bottom w:val="single" w:sz="4" w:space="0" w:color="auto"/>
                    <w:right w:val="single" w:sz="4" w:space="0" w:color="auto"/>
                  </w:tcBorders>
                  <w:vAlign w:val="center"/>
                </w:tcPr>
                <w:p w14:paraId="05AE1521" w14:textId="77777777" w:rsidR="00F76A63" w:rsidRDefault="00000000">
                  <w:pPr>
                    <w:adjustRightInd w:val="0"/>
                    <w:snapToGrid w:val="0"/>
                    <w:jc w:val="center"/>
                    <w:rPr>
                      <w:rFonts w:eastAsia="Arial Unicode MS"/>
                      <w:sz w:val="18"/>
                      <w:szCs w:val="18"/>
                    </w:rPr>
                  </w:pPr>
                  <w:r>
                    <w:rPr>
                      <w:rFonts w:eastAsia="Arial Unicode MS" w:hint="eastAsia"/>
                      <w:sz w:val="18"/>
                      <w:szCs w:val="18"/>
                    </w:rPr>
                    <w:t>2.82</w:t>
                  </w:r>
                </w:p>
              </w:tc>
              <w:tc>
                <w:tcPr>
                  <w:tcW w:w="707" w:type="pct"/>
                  <w:tcBorders>
                    <w:top w:val="single" w:sz="4" w:space="0" w:color="auto"/>
                    <w:left w:val="single" w:sz="4" w:space="0" w:color="auto"/>
                    <w:bottom w:val="single" w:sz="4" w:space="0" w:color="auto"/>
                    <w:right w:val="single" w:sz="4" w:space="0" w:color="auto"/>
                  </w:tcBorders>
                  <w:vAlign w:val="center"/>
                </w:tcPr>
                <w:p w14:paraId="026D3F6D" w14:textId="77777777" w:rsidR="00F76A63" w:rsidRDefault="00000000">
                  <w:pPr>
                    <w:adjustRightInd w:val="0"/>
                    <w:snapToGrid w:val="0"/>
                    <w:jc w:val="center"/>
                    <w:rPr>
                      <w:rFonts w:eastAsia="Arial Unicode MS"/>
                      <w:sz w:val="18"/>
                      <w:szCs w:val="18"/>
                    </w:rPr>
                  </w:pPr>
                  <w:r>
                    <w:rPr>
                      <w:rFonts w:eastAsia="Arial Unicode MS" w:hint="eastAsia"/>
                      <w:sz w:val="18"/>
                      <w:szCs w:val="18"/>
                    </w:rPr>
                    <w:t>27.99</w:t>
                  </w:r>
                </w:p>
              </w:tc>
              <w:tc>
                <w:tcPr>
                  <w:tcW w:w="504" w:type="pct"/>
                  <w:vMerge/>
                  <w:tcBorders>
                    <w:left w:val="single" w:sz="4" w:space="0" w:color="auto"/>
                    <w:right w:val="nil"/>
                  </w:tcBorders>
                  <w:vAlign w:val="center"/>
                </w:tcPr>
                <w:p w14:paraId="3426E10F" w14:textId="77777777" w:rsidR="00F76A63" w:rsidRDefault="00F76A63">
                  <w:pPr>
                    <w:adjustRightInd w:val="0"/>
                    <w:snapToGrid w:val="0"/>
                    <w:jc w:val="center"/>
                    <w:rPr>
                      <w:sz w:val="18"/>
                      <w:szCs w:val="18"/>
                    </w:rPr>
                  </w:pPr>
                </w:p>
              </w:tc>
            </w:tr>
            <w:tr w:rsidR="00F76A63" w14:paraId="27E67F88" w14:textId="77777777">
              <w:trPr>
                <w:trHeight w:val="340"/>
                <w:jc w:val="center"/>
              </w:trPr>
              <w:tc>
                <w:tcPr>
                  <w:tcW w:w="422" w:type="pct"/>
                  <w:vMerge/>
                  <w:tcBorders>
                    <w:left w:val="nil"/>
                    <w:right w:val="single" w:sz="4" w:space="0" w:color="auto"/>
                  </w:tcBorders>
                  <w:vAlign w:val="center"/>
                </w:tcPr>
                <w:p w14:paraId="336C37DE"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59A81A76" w14:textId="77777777" w:rsidR="00F76A63" w:rsidRDefault="00000000">
                  <w:pPr>
                    <w:adjustRightInd w:val="0"/>
                    <w:snapToGrid w:val="0"/>
                    <w:jc w:val="center"/>
                    <w:rPr>
                      <w:sz w:val="18"/>
                      <w:szCs w:val="18"/>
                    </w:rPr>
                  </w:pPr>
                  <w:r>
                    <w:rPr>
                      <w:rFonts w:hint="eastAsia"/>
                      <w:sz w:val="18"/>
                      <w:szCs w:val="18"/>
                    </w:rPr>
                    <w:t>202601</w:t>
                  </w:r>
                </w:p>
              </w:tc>
              <w:tc>
                <w:tcPr>
                  <w:tcW w:w="978" w:type="pct"/>
                  <w:vMerge w:val="restart"/>
                  <w:tcBorders>
                    <w:left w:val="single" w:sz="4" w:space="0" w:color="auto"/>
                    <w:right w:val="single" w:sz="4" w:space="0" w:color="auto"/>
                  </w:tcBorders>
                  <w:vAlign w:val="center"/>
                </w:tcPr>
                <w:p w14:paraId="210C0067" w14:textId="77777777" w:rsidR="00F76A63" w:rsidRDefault="00000000">
                  <w:pPr>
                    <w:adjustRightInd w:val="0"/>
                    <w:snapToGrid w:val="0"/>
                    <w:jc w:val="center"/>
                    <w:rPr>
                      <w:sz w:val="18"/>
                      <w:szCs w:val="18"/>
                    </w:rPr>
                  </w:pPr>
                  <w:r>
                    <w:rPr>
                      <w:rFonts w:hint="eastAsia"/>
                      <w:sz w:val="18"/>
                      <w:szCs w:val="18"/>
                    </w:rPr>
                    <w:t>591749.12</w:t>
                  </w:r>
                </w:p>
              </w:tc>
              <w:tc>
                <w:tcPr>
                  <w:tcW w:w="546" w:type="pct"/>
                  <w:tcBorders>
                    <w:top w:val="single" w:sz="4" w:space="0" w:color="auto"/>
                    <w:left w:val="single" w:sz="4" w:space="0" w:color="auto"/>
                    <w:bottom w:val="single" w:sz="4" w:space="0" w:color="auto"/>
                    <w:right w:val="single" w:sz="4" w:space="0" w:color="auto"/>
                  </w:tcBorders>
                  <w:vAlign w:val="center"/>
                </w:tcPr>
                <w:p w14:paraId="64783998"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734675AD" w14:textId="77777777" w:rsidR="00F76A63" w:rsidRDefault="00000000">
                  <w:pPr>
                    <w:adjustRightInd w:val="0"/>
                    <w:snapToGrid w:val="0"/>
                    <w:jc w:val="center"/>
                    <w:rPr>
                      <w:rFonts w:eastAsia="Arial Unicode MS"/>
                      <w:sz w:val="18"/>
                      <w:szCs w:val="18"/>
                    </w:rPr>
                  </w:pPr>
                  <w:r>
                    <w:rPr>
                      <w:rFonts w:hint="eastAsia"/>
                      <w:sz w:val="18"/>
                      <w:szCs w:val="18"/>
                    </w:rPr>
                    <w:t>2.49</w:t>
                  </w:r>
                </w:p>
              </w:tc>
              <w:tc>
                <w:tcPr>
                  <w:tcW w:w="668" w:type="pct"/>
                  <w:tcBorders>
                    <w:top w:val="single" w:sz="4" w:space="0" w:color="auto"/>
                    <w:left w:val="single" w:sz="4" w:space="0" w:color="auto"/>
                    <w:bottom w:val="single" w:sz="4" w:space="0" w:color="auto"/>
                    <w:right w:val="single" w:sz="4" w:space="0" w:color="auto"/>
                  </w:tcBorders>
                  <w:vAlign w:val="center"/>
                </w:tcPr>
                <w:p w14:paraId="711D588B" w14:textId="77777777" w:rsidR="00F76A63" w:rsidRDefault="00000000">
                  <w:pPr>
                    <w:adjustRightInd w:val="0"/>
                    <w:snapToGrid w:val="0"/>
                    <w:jc w:val="center"/>
                    <w:rPr>
                      <w:rFonts w:eastAsia="Arial Unicode MS"/>
                      <w:sz w:val="18"/>
                      <w:szCs w:val="18"/>
                    </w:rPr>
                  </w:pPr>
                  <w:r>
                    <w:rPr>
                      <w:rFonts w:hint="eastAsia"/>
                      <w:sz w:val="18"/>
                      <w:szCs w:val="18"/>
                    </w:rPr>
                    <w:t>6.92</w:t>
                  </w:r>
                </w:p>
              </w:tc>
              <w:tc>
                <w:tcPr>
                  <w:tcW w:w="707" w:type="pct"/>
                  <w:tcBorders>
                    <w:top w:val="single" w:sz="4" w:space="0" w:color="auto"/>
                    <w:left w:val="single" w:sz="4" w:space="0" w:color="auto"/>
                    <w:bottom w:val="single" w:sz="4" w:space="0" w:color="auto"/>
                    <w:right w:val="single" w:sz="4" w:space="0" w:color="auto"/>
                  </w:tcBorders>
                  <w:vAlign w:val="center"/>
                </w:tcPr>
                <w:p w14:paraId="0DDABF84" w14:textId="77777777" w:rsidR="00F76A63" w:rsidRDefault="00000000">
                  <w:pPr>
                    <w:adjustRightInd w:val="0"/>
                    <w:snapToGrid w:val="0"/>
                    <w:jc w:val="center"/>
                    <w:rPr>
                      <w:rFonts w:eastAsia="Arial Unicode MS"/>
                      <w:sz w:val="18"/>
                      <w:szCs w:val="18"/>
                    </w:rPr>
                  </w:pPr>
                  <w:r>
                    <w:rPr>
                      <w:rFonts w:hint="eastAsia"/>
                      <w:sz w:val="18"/>
                      <w:szCs w:val="18"/>
                    </w:rPr>
                    <w:t>40.51</w:t>
                  </w:r>
                </w:p>
              </w:tc>
              <w:tc>
                <w:tcPr>
                  <w:tcW w:w="504" w:type="pct"/>
                  <w:vMerge w:val="restart"/>
                  <w:tcBorders>
                    <w:left w:val="single" w:sz="4" w:space="0" w:color="auto"/>
                    <w:right w:val="nil"/>
                  </w:tcBorders>
                  <w:vAlign w:val="center"/>
                </w:tcPr>
                <w:p w14:paraId="1BF1D78A" w14:textId="77777777" w:rsidR="00F76A63" w:rsidRDefault="00000000">
                  <w:pPr>
                    <w:adjustRightInd w:val="0"/>
                    <w:snapToGrid w:val="0"/>
                    <w:jc w:val="center"/>
                    <w:rPr>
                      <w:sz w:val="18"/>
                      <w:szCs w:val="18"/>
                    </w:rPr>
                  </w:pPr>
                  <w:r>
                    <w:rPr>
                      <w:sz w:val="18"/>
                      <w:szCs w:val="18"/>
                    </w:rPr>
                    <w:t>/</w:t>
                  </w:r>
                </w:p>
              </w:tc>
            </w:tr>
            <w:tr w:rsidR="00F76A63" w14:paraId="092243AC" w14:textId="77777777">
              <w:trPr>
                <w:trHeight w:val="340"/>
                <w:jc w:val="center"/>
              </w:trPr>
              <w:tc>
                <w:tcPr>
                  <w:tcW w:w="422" w:type="pct"/>
                  <w:vMerge/>
                  <w:tcBorders>
                    <w:left w:val="nil"/>
                    <w:right w:val="single" w:sz="4" w:space="0" w:color="auto"/>
                  </w:tcBorders>
                  <w:vAlign w:val="center"/>
                </w:tcPr>
                <w:p w14:paraId="50B7594D"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4E9B119"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343BC28E"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3A39D72"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66DC12C7" w14:textId="77777777" w:rsidR="00F76A63" w:rsidRDefault="00000000">
                  <w:pPr>
                    <w:adjustRightInd w:val="0"/>
                    <w:snapToGrid w:val="0"/>
                    <w:jc w:val="center"/>
                    <w:rPr>
                      <w:rFonts w:eastAsia="Arial Unicode MS"/>
                      <w:sz w:val="18"/>
                      <w:szCs w:val="18"/>
                    </w:rPr>
                  </w:pPr>
                  <w:r>
                    <w:rPr>
                      <w:rFonts w:hint="eastAsia"/>
                      <w:sz w:val="18"/>
                      <w:szCs w:val="18"/>
                    </w:rPr>
                    <w:t>1.36</w:t>
                  </w:r>
                </w:p>
              </w:tc>
              <w:tc>
                <w:tcPr>
                  <w:tcW w:w="668" w:type="pct"/>
                  <w:tcBorders>
                    <w:top w:val="single" w:sz="4" w:space="0" w:color="auto"/>
                    <w:left w:val="single" w:sz="4" w:space="0" w:color="auto"/>
                    <w:bottom w:val="single" w:sz="4" w:space="0" w:color="auto"/>
                    <w:right w:val="single" w:sz="4" w:space="0" w:color="auto"/>
                  </w:tcBorders>
                  <w:vAlign w:val="center"/>
                </w:tcPr>
                <w:p w14:paraId="23C93995" w14:textId="77777777" w:rsidR="00F76A63" w:rsidRDefault="00000000">
                  <w:pPr>
                    <w:adjustRightInd w:val="0"/>
                    <w:snapToGrid w:val="0"/>
                    <w:jc w:val="center"/>
                    <w:rPr>
                      <w:rFonts w:eastAsia="Arial Unicode MS"/>
                      <w:sz w:val="18"/>
                      <w:szCs w:val="18"/>
                    </w:rPr>
                  </w:pPr>
                  <w:r>
                    <w:rPr>
                      <w:rFonts w:hint="eastAsia"/>
                      <w:sz w:val="18"/>
                      <w:szCs w:val="18"/>
                    </w:rPr>
                    <w:t>0.36</w:t>
                  </w:r>
                </w:p>
              </w:tc>
              <w:tc>
                <w:tcPr>
                  <w:tcW w:w="707" w:type="pct"/>
                  <w:tcBorders>
                    <w:top w:val="single" w:sz="4" w:space="0" w:color="auto"/>
                    <w:left w:val="single" w:sz="4" w:space="0" w:color="auto"/>
                    <w:bottom w:val="single" w:sz="4" w:space="0" w:color="auto"/>
                    <w:right w:val="single" w:sz="4" w:space="0" w:color="auto"/>
                  </w:tcBorders>
                  <w:vAlign w:val="center"/>
                </w:tcPr>
                <w:p w14:paraId="79B2C212" w14:textId="77777777" w:rsidR="00F76A63" w:rsidRDefault="00000000">
                  <w:pPr>
                    <w:adjustRightInd w:val="0"/>
                    <w:snapToGrid w:val="0"/>
                    <w:jc w:val="center"/>
                    <w:rPr>
                      <w:rFonts w:eastAsia="Arial Unicode MS"/>
                      <w:sz w:val="18"/>
                      <w:szCs w:val="18"/>
                    </w:rPr>
                  </w:pPr>
                  <w:r>
                    <w:rPr>
                      <w:rFonts w:hint="eastAsia"/>
                      <w:sz w:val="18"/>
                      <w:szCs w:val="18"/>
                    </w:rPr>
                    <w:t>24.16</w:t>
                  </w:r>
                </w:p>
              </w:tc>
              <w:tc>
                <w:tcPr>
                  <w:tcW w:w="504" w:type="pct"/>
                  <w:vMerge/>
                  <w:tcBorders>
                    <w:left w:val="single" w:sz="4" w:space="0" w:color="auto"/>
                    <w:right w:val="nil"/>
                  </w:tcBorders>
                  <w:vAlign w:val="center"/>
                </w:tcPr>
                <w:p w14:paraId="59CC2E8A" w14:textId="77777777" w:rsidR="00F76A63" w:rsidRDefault="00F76A63">
                  <w:pPr>
                    <w:adjustRightInd w:val="0"/>
                    <w:snapToGrid w:val="0"/>
                    <w:jc w:val="center"/>
                    <w:rPr>
                      <w:sz w:val="18"/>
                      <w:szCs w:val="18"/>
                    </w:rPr>
                  </w:pPr>
                </w:p>
              </w:tc>
            </w:tr>
            <w:tr w:rsidR="00F76A63" w14:paraId="133A0E68" w14:textId="77777777">
              <w:trPr>
                <w:trHeight w:val="340"/>
                <w:jc w:val="center"/>
              </w:trPr>
              <w:tc>
                <w:tcPr>
                  <w:tcW w:w="422" w:type="pct"/>
                  <w:vMerge/>
                  <w:tcBorders>
                    <w:left w:val="nil"/>
                    <w:right w:val="single" w:sz="4" w:space="0" w:color="auto"/>
                  </w:tcBorders>
                  <w:vAlign w:val="center"/>
                </w:tcPr>
                <w:p w14:paraId="028AC14E"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20267A12"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7F25C8DF"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67981D07"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519E85DC" w14:textId="77777777" w:rsidR="00F76A63" w:rsidRDefault="00000000">
                  <w:pPr>
                    <w:adjustRightInd w:val="0"/>
                    <w:snapToGrid w:val="0"/>
                    <w:jc w:val="center"/>
                    <w:rPr>
                      <w:rFonts w:eastAsia="Arial Unicode MS"/>
                      <w:sz w:val="18"/>
                      <w:szCs w:val="18"/>
                    </w:rPr>
                  </w:pPr>
                  <w:r>
                    <w:rPr>
                      <w:rFonts w:eastAsia="Arial Unicode MS" w:hint="eastAsia"/>
                      <w:sz w:val="18"/>
                      <w:szCs w:val="18"/>
                    </w:rPr>
                    <w:t>1.7</w:t>
                  </w:r>
                  <w:r>
                    <w:rPr>
                      <w:rFonts w:hint="eastAsia"/>
                      <w:sz w:val="18"/>
                      <w:szCs w:val="18"/>
                    </w:rPr>
                    <w:t>8</w:t>
                  </w:r>
                </w:p>
              </w:tc>
              <w:tc>
                <w:tcPr>
                  <w:tcW w:w="668" w:type="pct"/>
                  <w:tcBorders>
                    <w:top w:val="single" w:sz="4" w:space="0" w:color="auto"/>
                    <w:left w:val="single" w:sz="4" w:space="0" w:color="auto"/>
                    <w:bottom w:val="single" w:sz="4" w:space="0" w:color="auto"/>
                    <w:right w:val="single" w:sz="4" w:space="0" w:color="auto"/>
                  </w:tcBorders>
                  <w:vAlign w:val="center"/>
                </w:tcPr>
                <w:p w14:paraId="49822D7A" w14:textId="77777777" w:rsidR="00F76A63" w:rsidRDefault="00000000">
                  <w:pPr>
                    <w:adjustRightInd w:val="0"/>
                    <w:snapToGrid w:val="0"/>
                    <w:jc w:val="center"/>
                    <w:rPr>
                      <w:rFonts w:eastAsia="Arial Unicode MS"/>
                      <w:sz w:val="18"/>
                      <w:szCs w:val="18"/>
                    </w:rPr>
                  </w:pPr>
                  <w:r>
                    <w:rPr>
                      <w:rFonts w:eastAsia="Arial Unicode MS" w:hint="eastAsia"/>
                      <w:sz w:val="18"/>
                      <w:szCs w:val="18"/>
                    </w:rPr>
                    <w:t>1.41</w:t>
                  </w:r>
                </w:p>
              </w:tc>
              <w:tc>
                <w:tcPr>
                  <w:tcW w:w="707" w:type="pct"/>
                  <w:tcBorders>
                    <w:top w:val="single" w:sz="4" w:space="0" w:color="auto"/>
                    <w:left w:val="single" w:sz="4" w:space="0" w:color="auto"/>
                    <w:bottom w:val="single" w:sz="4" w:space="0" w:color="auto"/>
                    <w:right w:val="single" w:sz="4" w:space="0" w:color="auto"/>
                  </w:tcBorders>
                  <w:vAlign w:val="center"/>
                </w:tcPr>
                <w:p w14:paraId="22177205" w14:textId="77777777" w:rsidR="00F76A63" w:rsidRDefault="00000000">
                  <w:pPr>
                    <w:adjustRightInd w:val="0"/>
                    <w:snapToGrid w:val="0"/>
                    <w:jc w:val="center"/>
                    <w:rPr>
                      <w:rFonts w:eastAsia="Arial Unicode MS"/>
                      <w:sz w:val="18"/>
                      <w:szCs w:val="18"/>
                    </w:rPr>
                  </w:pPr>
                  <w:r>
                    <w:rPr>
                      <w:rFonts w:eastAsia="Arial Unicode MS" w:hint="eastAsia"/>
                      <w:sz w:val="18"/>
                      <w:szCs w:val="18"/>
                    </w:rPr>
                    <w:t>31.1</w:t>
                  </w:r>
                  <w:r>
                    <w:rPr>
                      <w:rFonts w:hint="eastAsia"/>
                      <w:sz w:val="18"/>
                      <w:szCs w:val="18"/>
                    </w:rPr>
                    <w:t>2</w:t>
                  </w:r>
                </w:p>
              </w:tc>
              <w:tc>
                <w:tcPr>
                  <w:tcW w:w="504" w:type="pct"/>
                  <w:vMerge/>
                  <w:tcBorders>
                    <w:left w:val="single" w:sz="4" w:space="0" w:color="auto"/>
                    <w:right w:val="nil"/>
                  </w:tcBorders>
                  <w:vAlign w:val="center"/>
                </w:tcPr>
                <w:p w14:paraId="787DF557" w14:textId="77777777" w:rsidR="00F76A63" w:rsidRDefault="00F76A63">
                  <w:pPr>
                    <w:adjustRightInd w:val="0"/>
                    <w:snapToGrid w:val="0"/>
                    <w:jc w:val="center"/>
                    <w:rPr>
                      <w:sz w:val="18"/>
                      <w:szCs w:val="18"/>
                    </w:rPr>
                  </w:pPr>
                </w:p>
              </w:tc>
            </w:tr>
            <w:tr w:rsidR="00F76A63" w14:paraId="0298C05F" w14:textId="77777777">
              <w:trPr>
                <w:trHeight w:val="340"/>
                <w:jc w:val="center"/>
              </w:trPr>
              <w:tc>
                <w:tcPr>
                  <w:tcW w:w="422" w:type="pct"/>
                  <w:vMerge/>
                  <w:tcBorders>
                    <w:left w:val="nil"/>
                    <w:right w:val="single" w:sz="4" w:space="0" w:color="auto"/>
                  </w:tcBorders>
                  <w:vAlign w:val="center"/>
                </w:tcPr>
                <w:p w14:paraId="354772BD"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11099707" w14:textId="77777777" w:rsidR="00F76A63" w:rsidRDefault="00000000">
                  <w:pPr>
                    <w:adjustRightInd w:val="0"/>
                    <w:snapToGrid w:val="0"/>
                    <w:jc w:val="center"/>
                    <w:rPr>
                      <w:sz w:val="18"/>
                      <w:szCs w:val="18"/>
                    </w:rPr>
                  </w:pPr>
                  <w:r>
                    <w:rPr>
                      <w:rFonts w:hint="eastAsia"/>
                      <w:sz w:val="18"/>
                      <w:szCs w:val="18"/>
                    </w:rPr>
                    <w:t>202602</w:t>
                  </w:r>
                </w:p>
              </w:tc>
              <w:tc>
                <w:tcPr>
                  <w:tcW w:w="978" w:type="pct"/>
                  <w:vMerge w:val="restart"/>
                  <w:tcBorders>
                    <w:left w:val="single" w:sz="4" w:space="0" w:color="auto"/>
                    <w:right w:val="single" w:sz="4" w:space="0" w:color="auto"/>
                  </w:tcBorders>
                  <w:vAlign w:val="center"/>
                </w:tcPr>
                <w:p w14:paraId="37F39D44" w14:textId="77777777" w:rsidR="00F76A63" w:rsidRDefault="00000000">
                  <w:pPr>
                    <w:adjustRightInd w:val="0"/>
                    <w:snapToGrid w:val="0"/>
                    <w:jc w:val="center"/>
                    <w:rPr>
                      <w:sz w:val="18"/>
                      <w:szCs w:val="18"/>
                    </w:rPr>
                  </w:pPr>
                  <w:r>
                    <w:rPr>
                      <w:sz w:val="18"/>
                      <w:szCs w:val="18"/>
                    </w:rPr>
                    <w:t>617063.68</w:t>
                  </w:r>
                </w:p>
              </w:tc>
              <w:tc>
                <w:tcPr>
                  <w:tcW w:w="546" w:type="pct"/>
                  <w:tcBorders>
                    <w:top w:val="single" w:sz="4" w:space="0" w:color="auto"/>
                    <w:left w:val="single" w:sz="4" w:space="0" w:color="auto"/>
                    <w:bottom w:val="single" w:sz="4" w:space="0" w:color="auto"/>
                    <w:right w:val="single" w:sz="4" w:space="0" w:color="auto"/>
                  </w:tcBorders>
                  <w:vAlign w:val="center"/>
                </w:tcPr>
                <w:p w14:paraId="17E51C9C"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4B875D85" w14:textId="77777777" w:rsidR="00F76A63" w:rsidRDefault="00000000">
                  <w:pPr>
                    <w:adjustRightInd w:val="0"/>
                    <w:snapToGrid w:val="0"/>
                    <w:jc w:val="center"/>
                    <w:rPr>
                      <w:rFonts w:eastAsia="Arial Unicode MS"/>
                      <w:sz w:val="18"/>
                      <w:szCs w:val="18"/>
                    </w:rPr>
                  </w:pPr>
                  <w:r>
                    <w:rPr>
                      <w:rFonts w:hint="eastAsia"/>
                      <w:sz w:val="18"/>
                      <w:szCs w:val="18"/>
                    </w:rPr>
                    <w:t>1.65</w:t>
                  </w:r>
                </w:p>
              </w:tc>
              <w:tc>
                <w:tcPr>
                  <w:tcW w:w="668" w:type="pct"/>
                  <w:tcBorders>
                    <w:top w:val="single" w:sz="4" w:space="0" w:color="auto"/>
                    <w:left w:val="single" w:sz="4" w:space="0" w:color="auto"/>
                    <w:bottom w:val="single" w:sz="4" w:space="0" w:color="auto"/>
                    <w:right w:val="single" w:sz="4" w:space="0" w:color="auto"/>
                  </w:tcBorders>
                  <w:vAlign w:val="center"/>
                </w:tcPr>
                <w:p w14:paraId="231B90C8" w14:textId="77777777" w:rsidR="00F76A63" w:rsidRDefault="00000000">
                  <w:pPr>
                    <w:adjustRightInd w:val="0"/>
                    <w:snapToGrid w:val="0"/>
                    <w:jc w:val="center"/>
                    <w:rPr>
                      <w:rFonts w:eastAsia="Arial Unicode MS"/>
                      <w:sz w:val="18"/>
                      <w:szCs w:val="18"/>
                    </w:rPr>
                  </w:pPr>
                  <w:r>
                    <w:rPr>
                      <w:rFonts w:hint="eastAsia"/>
                      <w:sz w:val="18"/>
                      <w:szCs w:val="18"/>
                    </w:rPr>
                    <w:t>10.01</w:t>
                  </w:r>
                </w:p>
              </w:tc>
              <w:tc>
                <w:tcPr>
                  <w:tcW w:w="707" w:type="pct"/>
                  <w:tcBorders>
                    <w:top w:val="single" w:sz="4" w:space="0" w:color="auto"/>
                    <w:left w:val="single" w:sz="4" w:space="0" w:color="auto"/>
                    <w:bottom w:val="single" w:sz="4" w:space="0" w:color="auto"/>
                    <w:right w:val="single" w:sz="4" w:space="0" w:color="auto"/>
                  </w:tcBorders>
                  <w:vAlign w:val="center"/>
                </w:tcPr>
                <w:p w14:paraId="738E1DD9" w14:textId="77777777" w:rsidR="00F76A63" w:rsidRDefault="00000000">
                  <w:pPr>
                    <w:adjustRightInd w:val="0"/>
                    <w:snapToGrid w:val="0"/>
                    <w:jc w:val="center"/>
                    <w:rPr>
                      <w:rFonts w:eastAsia="Arial Unicode MS"/>
                      <w:sz w:val="18"/>
                      <w:szCs w:val="18"/>
                    </w:rPr>
                  </w:pPr>
                  <w:r>
                    <w:rPr>
                      <w:rFonts w:hint="eastAsia"/>
                      <w:sz w:val="18"/>
                      <w:szCs w:val="18"/>
                    </w:rPr>
                    <w:t>37.06</w:t>
                  </w:r>
                </w:p>
              </w:tc>
              <w:tc>
                <w:tcPr>
                  <w:tcW w:w="504" w:type="pct"/>
                  <w:vMerge w:val="restart"/>
                  <w:tcBorders>
                    <w:left w:val="single" w:sz="4" w:space="0" w:color="auto"/>
                    <w:right w:val="nil"/>
                  </w:tcBorders>
                  <w:vAlign w:val="center"/>
                </w:tcPr>
                <w:p w14:paraId="2E1BFBD4" w14:textId="77777777" w:rsidR="00F76A63" w:rsidRDefault="00000000">
                  <w:pPr>
                    <w:adjustRightInd w:val="0"/>
                    <w:snapToGrid w:val="0"/>
                    <w:jc w:val="center"/>
                    <w:rPr>
                      <w:sz w:val="18"/>
                      <w:szCs w:val="18"/>
                    </w:rPr>
                  </w:pPr>
                  <w:r>
                    <w:rPr>
                      <w:sz w:val="18"/>
                      <w:szCs w:val="18"/>
                    </w:rPr>
                    <w:t>/</w:t>
                  </w:r>
                </w:p>
              </w:tc>
            </w:tr>
            <w:tr w:rsidR="00F76A63" w14:paraId="0FF76A54" w14:textId="77777777">
              <w:trPr>
                <w:trHeight w:val="340"/>
                <w:jc w:val="center"/>
              </w:trPr>
              <w:tc>
                <w:tcPr>
                  <w:tcW w:w="422" w:type="pct"/>
                  <w:vMerge/>
                  <w:tcBorders>
                    <w:left w:val="nil"/>
                    <w:right w:val="single" w:sz="4" w:space="0" w:color="auto"/>
                  </w:tcBorders>
                  <w:vAlign w:val="center"/>
                </w:tcPr>
                <w:p w14:paraId="3918B383"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03AB6883"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61D50B61"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4522855E"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58634E06" w14:textId="77777777" w:rsidR="00F76A63" w:rsidRDefault="00000000">
                  <w:pPr>
                    <w:adjustRightInd w:val="0"/>
                    <w:snapToGrid w:val="0"/>
                    <w:jc w:val="center"/>
                    <w:rPr>
                      <w:rFonts w:eastAsia="Arial Unicode MS"/>
                      <w:sz w:val="18"/>
                      <w:szCs w:val="18"/>
                    </w:rPr>
                  </w:pPr>
                  <w:r>
                    <w:rPr>
                      <w:rFonts w:hint="eastAsia"/>
                      <w:sz w:val="18"/>
                      <w:szCs w:val="18"/>
                    </w:rPr>
                    <w:t>1.12</w:t>
                  </w:r>
                </w:p>
              </w:tc>
              <w:tc>
                <w:tcPr>
                  <w:tcW w:w="668" w:type="pct"/>
                  <w:tcBorders>
                    <w:top w:val="single" w:sz="4" w:space="0" w:color="auto"/>
                    <w:left w:val="single" w:sz="4" w:space="0" w:color="auto"/>
                    <w:bottom w:val="single" w:sz="4" w:space="0" w:color="auto"/>
                    <w:right w:val="single" w:sz="4" w:space="0" w:color="auto"/>
                  </w:tcBorders>
                  <w:vAlign w:val="center"/>
                </w:tcPr>
                <w:p w14:paraId="74B52514" w14:textId="77777777" w:rsidR="00F76A63" w:rsidRDefault="00000000">
                  <w:pPr>
                    <w:adjustRightInd w:val="0"/>
                    <w:snapToGrid w:val="0"/>
                    <w:jc w:val="center"/>
                    <w:rPr>
                      <w:rFonts w:eastAsia="Arial Unicode MS"/>
                      <w:sz w:val="18"/>
                      <w:szCs w:val="18"/>
                    </w:rPr>
                  </w:pPr>
                  <w:r>
                    <w:rPr>
                      <w:rFonts w:hint="eastAsia"/>
                      <w:sz w:val="18"/>
                      <w:szCs w:val="18"/>
                    </w:rPr>
                    <w:t>0.35</w:t>
                  </w:r>
                </w:p>
              </w:tc>
              <w:tc>
                <w:tcPr>
                  <w:tcW w:w="707" w:type="pct"/>
                  <w:tcBorders>
                    <w:top w:val="single" w:sz="4" w:space="0" w:color="auto"/>
                    <w:left w:val="single" w:sz="4" w:space="0" w:color="auto"/>
                    <w:bottom w:val="single" w:sz="4" w:space="0" w:color="auto"/>
                    <w:right w:val="single" w:sz="4" w:space="0" w:color="auto"/>
                  </w:tcBorders>
                  <w:vAlign w:val="center"/>
                </w:tcPr>
                <w:p w14:paraId="645C557E" w14:textId="77777777" w:rsidR="00F76A63" w:rsidRDefault="00000000">
                  <w:pPr>
                    <w:adjustRightInd w:val="0"/>
                    <w:snapToGrid w:val="0"/>
                    <w:jc w:val="center"/>
                    <w:rPr>
                      <w:rFonts w:eastAsia="Arial Unicode MS"/>
                      <w:sz w:val="18"/>
                      <w:szCs w:val="18"/>
                    </w:rPr>
                  </w:pPr>
                  <w:r>
                    <w:rPr>
                      <w:rFonts w:hint="eastAsia"/>
                      <w:sz w:val="18"/>
                      <w:szCs w:val="18"/>
                    </w:rPr>
                    <w:t>25.43</w:t>
                  </w:r>
                </w:p>
              </w:tc>
              <w:tc>
                <w:tcPr>
                  <w:tcW w:w="504" w:type="pct"/>
                  <w:vMerge/>
                  <w:tcBorders>
                    <w:left w:val="single" w:sz="4" w:space="0" w:color="auto"/>
                    <w:right w:val="nil"/>
                  </w:tcBorders>
                  <w:vAlign w:val="center"/>
                </w:tcPr>
                <w:p w14:paraId="4548ABE6" w14:textId="77777777" w:rsidR="00F76A63" w:rsidRDefault="00F76A63">
                  <w:pPr>
                    <w:adjustRightInd w:val="0"/>
                    <w:snapToGrid w:val="0"/>
                    <w:jc w:val="center"/>
                    <w:rPr>
                      <w:sz w:val="18"/>
                      <w:szCs w:val="18"/>
                    </w:rPr>
                  </w:pPr>
                </w:p>
              </w:tc>
            </w:tr>
            <w:tr w:rsidR="00F76A63" w14:paraId="5FE42848" w14:textId="77777777">
              <w:trPr>
                <w:trHeight w:val="340"/>
                <w:jc w:val="center"/>
              </w:trPr>
              <w:tc>
                <w:tcPr>
                  <w:tcW w:w="422" w:type="pct"/>
                  <w:vMerge/>
                  <w:tcBorders>
                    <w:left w:val="nil"/>
                    <w:right w:val="single" w:sz="4" w:space="0" w:color="auto"/>
                  </w:tcBorders>
                  <w:vAlign w:val="center"/>
                </w:tcPr>
                <w:p w14:paraId="21B6CED7"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7D29DC07"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9EAF526"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55CB8F57"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7D46E2F4" w14:textId="77777777" w:rsidR="00F76A63" w:rsidRDefault="00000000">
                  <w:pPr>
                    <w:adjustRightInd w:val="0"/>
                    <w:snapToGrid w:val="0"/>
                    <w:jc w:val="center"/>
                    <w:rPr>
                      <w:rFonts w:eastAsia="Arial Unicode MS"/>
                      <w:sz w:val="18"/>
                      <w:szCs w:val="18"/>
                    </w:rPr>
                  </w:pPr>
                  <w:r>
                    <w:rPr>
                      <w:rFonts w:hint="eastAsia"/>
                      <w:sz w:val="18"/>
                      <w:szCs w:val="18"/>
                    </w:rPr>
                    <w:t>1.30</w:t>
                  </w:r>
                </w:p>
              </w:tc>
              <w:tc>
                <w:tcPr>
                  <w:tcW w:w="668" w:type="pct"/>
                  <w:tcBorders>
                    <w:top w:val="single" w:sz="4" w:space="0" w:color="auto"/>
                    <w:left w:val="single" w:sz="4" w:space="0" w:color="auto"/>
                    <w:bottom w:val="single" w:sz="4" w:space="0" w:color="auto"/>
                    <w:right w:val="single" w:sz="4" w:space="0" w:color="auto"/>
                  </w:tcBorders>
                  <w:vAlign w:val="center"/>
                </w:tcPr>
                <w:p w14:paraId="237DAF7E" w14:textId="77777777" w:rsidR="00F76A63" w:rsidRDefault="00000000">
                  <w:pPr>
                    <w:adjustRightInd w:val="0"/>
                    <w:snapToGrid w:val="0"/>
                    <w:jc w:val="center"/>
                    <w:rPr>
                      <w:rFonts w:eastAsia="Arial Unicode MS"/>
                      <w:sz w:val="18"/>
                      <w:szCs w:val="18"/>
                    </w:rPr>
                  </w:pPr>
                  <w:r>
                    <w:rPr>
                      <w:rFonts w:hint="eastAsia"/>
                      <w:sz w:val="18"/>
                      <w:szCs w:val="18"/>
                    </w:rPr>
                    <w:t>2.70</w:t>
                  </w:r>
                </w:p>
              </w:tc>
              <w:tc>
                <w:tcPr>
                  <w:tcW w:w="707" w:type="pct"/>
                  <w:tcBorders>
                    <w:top w:val="single" w:sz="4" w:space="0" w:color="auto"/>
                    <w:left w:val="single" w:sz="4" w:space="0" w:color="auto"/>
                    <w:bottom w:val="single" w:sz="4" w:space="0" w:color="auto"/>
                    <w:right w:val="single" w:sz="4" w:space="0" w:color="auto"/>
                  </w:tcBorders>
                  <w:vAlign w:val="center"/>
                </w:tcPr>
                <w:p w14:paraId="27C22A33" w14:textId="77777777" w:rsidR="00F76A63" w:rsidRDefault="00000000">
                  <w:pPr>
                    <w:adjustRightInd w:val="0"/>
                    <w:snapToGrid w:val="0"/>
                    <w:jc w:val="center"/>
                    <w:rPr>
                      <w:rFonts w:eastAsia="Arial Unicode MS"/>
                      <w:sz w:val="18"/>
                      <w:szCs w:val="18"/>
                    </w:rPr>
                  </w:pPr>
                  <w:r>
                    <w:rPr>
                      <w:rFonts w:hint="eastAsia"/>
                      <w:sz w:val="18"/>
                      <w:szCs w:val="18"/>
                    </w:rPr>
                    <w:t>32.39</w:t>
                  </w:r>
                </w:p>
              </w:tc>
              <w:tc>
                <w:tcPr>
                  <w:tcW w:w="504" w:type="pct"/>
                  <w:vMerge/>
                  <w:tcBorders>
                    <w:left w:val="single" w:sz="4" w:space="0" w:color="auto"/>
                    <w:right w:val="nil"/>
                  </w:tcBorders>
                  <w:vAlign w:val="center"/>
                </w:tcPr>
                <w:p w14:paraId="5ED9AD8F" w14:textId="77777777" w:rsidR="00F76A63" w:rsidRDefault="00F76A63">
                  <w:pPr>
                    <w:adjustRightInd w:val="0"/>
                    <w:snapToGrid w:val="0"/>
                    <w:jc w:val="center"/>
                    <w:rPr>
                      <w:sz w:val="18"/>
                      <w:szCs w:val="18"/>
                    </w:rPr>
                  </w:pPr>
                </w:p>
              </w:tc>
            </w:tr>
            <w:tr w:rsidR="00F76A63" w14:paraId="700426D9" w14:textId="77777777">
              <w:trPr>
                <w:trHeight w:val="340"/>
                <w:jc w:val="center"/>
              </w:trPr>
              <w:tc>
                <w:tcPr>
                  <w:tcW w:w="422" w:type="pct"/>
                  <w:vMerge/>
                  <w:tcBorders>
                    <w:left w:val="nil"/>
                    <w:right w:val="single" w:sz="4" w:space="0" w:color="auto"/>
                  </w:tcBorders>
                  <w:vAlign w:val="center"/>
                </w:tcPr>
                <w:p w14:paraId="4EEA2A1F" w14:textId="77777777" w:rsidR="00F76A63" w:rsidRDefault="00F76A63">
                  <w:pPr>
                    <w:adjustRightInd w:val="0"/>
                    <w:snapToGrid w:val="0"/>
                    <w:jc w:val="center"/>
                    <w:rPr>
                      <w:sz w:val="18"/>
                      <w:szCs w:val="18"/>
                    </w:rPr>
                  </w:pPr>
                </w:p>
              </w:tc>
              <w:tc>
                <w:tcPr>
                  <w:tcW w:w="578" w:type="pct"/>
                  <w:vMerge w:val="restart"/>
                  <w:tcBorders>
                    <w:left w:val="single" w:sz="4" w:space="0" w:color="auto"/>
                    <w:right w:val="single" w:sz="4" w:space="0" w:color="auto"/>
                  </w:tcBorders>
                  <w:vAlign w:val="center"/>
                </w:tcPr>
                <w:p w14:paraId="085ECA8C" w14:textId="77777777" w:rsidR="00F76A63" w:rsidRDefault="00000000">
                  <w:pPr>
                    <w:adjustRightInd w:val="0"/>
                    <w:snapToGrid w:val="0"/>
                    <w:jc w:val="center"/>
                    <w:rPr>
                      <w:sz w:val="18"/>
                      <w:szCs w:val="18"/>
                    </w:rPr>
                  </w:pPr>
                  <w:r>
                    <w:rPr>
                      <w:rFonts w:hint="eastAsia"/>
                      <w:sz w:val="18"/>
                      <w:szCs w:val="18"/>
                    </w:rPr>
                    <w:t>202603</w:t>
                  </w:r>
                </w:p>
              </w:tc>
              <w:tc>
                <w:tcPr>
                  <w:tcW w:w="978" w:type="pct"/>
                  <w:vMerge w:val="restart"/>
                  <w:tcBorders>
                    <w:left w:val="single" w:sz="4" w:space="0" w:color="auto"/>
                    <w:right w:val="single" w:sz="4" w:space="0" w:color="auto"/>
                  </w:tcBorders>
                  <w:vAlign w:val="center"/>
                </w:tcPr>
                <w:p w14:paraId="378D03D3" w14:textId="77777777" w:rsidR="00F76A63" w:rsidRDefault="00000000">
                  <w:pPr>
                    <w:adjustRightInd w:val="0"/>
                    <w:snapToGrid w:val="0"/>
                    <w:jc w:val="center"/>
                    <w:rPr>
                      <w:sz w:val="18"/>
                      <w:szCs w:val="18"/>
                    </w:rPr>
                  </w:pPr>
                  <w:r>
                    <w:rPr>
                      <w:sz w:val="18"/>
                      <w:szCs w:val="18"/>
                    </w:rPr>
                    <w:t>537779.48</w:t>
                  </w:r>
                </w:p>
              </w:tc>
              <w:tc>
                <w:tcPr>
                  <w:tcW w:w="546" w:type="pct"/>
                  <w:tcBorders>
                    <w:top w:val="single" w:sz="4" w:space="0" w:color="auto"/>
                    <w:left w:val="single" w:sz="4" w:space="0" w:color="auto"/>
                    <w:bottom w:val="single" w:sz="4" w:space="0" w:color="auto"/>
                    <w:right w:val="single" w:sz="4" w:space="0" w:color="auto"/>
                  </w:tcBorders>
                  <w:vAlign w:val="center"/>
                </w:tcPr>
                <w:p w14:paraId="37D87A83" w14:textId="77777777" w:rsidR="00F76A63" w:rsidRDefault="00000000">
                  <w:pPr>
                    <w:adjustRightInd w:val="0"/>
                    <w:snapToGrid w:val="0"/>
                    <w:jc w:val="center"/>
                    <w:rPr>
                      <w:sz w:val="18"/>
                      <w:szCs w:val="18"/>
                    </w:rPr>
                  </w:pPr>
                  <w:r>
                    <w:rPr>
                      <w:sz w:val="18"/>
                      <w:szCs w:val="18"/>
                    </w:rPr>
                    <w:t>最大值</w:t>
                  </w:r>
                </w:p>
              </w:tc>
              <w:tc>
                <w:tcPr>
                  <w:tcW w:w="596" w:type="pct"/>
                  <w:tcBorders>
                    <w:top w:val="single" w:sz="4" w:space="0" w:color="auto"/>
                    <w:left w:val="single" w:sz="4" w:space="0" w:color="auto"/>
                    <w:bottom w:val="single" w:sz="4" w:space="0" w:color="auto"/>
                    <w:right w:val="single" w:sz="4" w:space="0" w:color="auto"/>
                  </w:tcBorders>
                  <w:vAlign w:val="center"/>
                </w:tcPr>
                <w:p w14:paraId="06E0CAA9" w14:textId="77777777" w:rsidR="00F76A63" w:rsidRDefault="00000000">
                  <w:pPr>
                    <w:adjustRightInd w:val="0"/>
                    <w:snapToGrid w:val="0"/>
                    <w:jc w:val="center"/>
                    <w:rPr>
                      <w:rFonts w:eastAsia="Arial Unicode MS"/>
                      <w:sz w:val="18"/>
                      <w:szCs w:val="18"/>
                    </w:rPr>
                  </w:pPr>
                  <w:r>
                    <w:rPr>
                      <w:rFonts w:hint="eastAsia"/>
                      <w:sz w:val="18"/>
                      <w:szCs w:val="18"/>
                    </w:rPr>
                    <w:t>1.55</w:t>
                  </w:r>
                </w:p>
              </w:tc>
              <w:tc>
                <w:tcPr>
                  <w:tcW w:w="668" w:type="pct"/>
                  <w:tcBorders>
                    <w:top w:val="single" w:sz="4" w:space="0" w:color="auto"/>
                    <w:left w:val="single" w:sz="4" w:space="0" w:color="auto"/>
                    <w:bottom w:val="single" w:sz="4" w:space="0" w:color="auto"/>
                    <w:right w:val="single" w:sz="4" w:space="0" w:color="auto"/>
                  </w:tcBorders>
                  <w:vAlign w:val="center"/>
                </w:tcPr>
                <w:p w14:paraId="78CB6B6A" w14:textId="77777777" w:rsidR="00F76A63" w:rsidRDefault="00000000">
                  <w:pPr>
                    <w:adjustRightInd w:val="0"/>
                    <w:snapToGrid w:val="0"/>
                    <w:jc w:val="center"/>
                    <w:rPr>
                      <w:rFonts w:eastAsia="Arial Unicode MS"/>
                      <w:sz w:val="18"/>
                      <w:szCs w:val="18"/>
                    </w:rPr>
                  </w:pPr>
                  <w:r>
                    <w:rPr>
                      <w:rFonts w:hint="eastAsia"/>
                      <w:sz w:val="18"/>
                      <w:szCs w:val="18"/>
                    </w:rPr>
                    <w:t>16.02</w:t>
                  </w:r>
                </w:p>
              </w:tc>
              <w:tc>
                <w:tcPr>
                  <w:tcW w:w="707" w:type="pct"/>
                  <w:tcBorders>
                    <w:top w:val="single" w:sz="4" w:space="0" w:color="auto"/>
                    <w:left w:val="single" w:sz="4" w:space="0" w:color="auto"/>
                    <w:bottom w:val="single" w:sz="4" w:space="0" w:color="auto"/>
                    <w:right w:val="single" w:sz="4" w:space="0" w:color="auto"/>
                  </w:tcBorders>
                  <w:vAlign w:val="center"/>
                </w:tcPr>
                <w:p w14:paraId="2EE4C04A" w14:textId="77777777" w:rsidR="00F76A63" w:rsidRDefault="00000000">
                  <w:pPr>
                    <w:adjustRightInd w:val="0"/>
                    <w:snapToGrid w:val="0"/>
                    <w:jc w:val="center"/>
                    <w:rPr>
                      <w:rFonts w:eastAsia="Arial Unicode MS"/>
                      <w:sz w:val="18"/>
                      <w:szCs w:val="18"/>
                    </w:rPr>
                  </w:pPr>
                  <w:r>
                    <w:rPr>
                      <w:rFonts w:hint="eastAsia"/>
                      <w:sz w:val="18"/>
                      <w:szCs w:val="18"/>
                    </w:rPr>
                    <w:t>43.90</w:t>
                  </w:r>
                </w:p>
              </w:tc>
              <w:tc>
                <w:tcPr>
                  <w:tcW w:w="504" w:type="pct"/>
                  <w:vMerge w:val="restart"/>
                  <w:tcBorders>
                    <w:left w:val="single" w:sz="4" w:space="0" w:color="auto"/>
                    <w:right w:val="nil"/>
                  </w:tcBorders>
                  <w:vAlign w:val="center"/>
                </w:tcPr>
                <w:p w14:paraId="18B19740" w14:textId="77777777" w:rsidR="00F76A63" w:rsidRDefault="00000000">
                  <w:pPr>
                    <w:adjustRightInd w:val="0"/>
                    <w:snapToGrid w:val="0"/>
                    <w:jc w:val="center"/>
                    <w:rPr>
                      <w:sz w:val="18"/>
                      <w:szCs w:val="18"/>
                    </w:rPr>
                  </w:pPr>
                  <w:r>
                    <w:rPr>
                      <w:sz w:val="18"/>
                      <w:szCs w:val="18"/>
                    </w:rPr>
                    <w:t>/</w:t>
                  </w:r>
                </w:p>
              </w:tc>
            </w:tr>
            <w:tr w:rsidR="00F76A63" w14:paraId="0FF9D88E" w14:textId="77777777">
              <w:trPr>
                <w:trHeight w:val="340"/>
                <w:jc w:val="center"/>
              </w:trPr>
              <w:tc>
                <w:tcPr>
                  <w:tcW w:w="422" w:type="pct"/>
                  <w:vMerge/>
                  <w:tcBorders>
                    <w:left w:val="nil"/>
                    <w:right w:val="single" w:sz="4" w:space="0" w:color="auto"/>
                  </w:tcBorders>
                  <w:vAlign w:val="center"/>
                </w:tcPr>
                <w:p w14:paraId="6A53404D" w14:textId="77777777" w:rsidR="00F76A63" w:rsidRDefault="00F76A63">
                  <w:pPr>
                    <w:adjustRightInd w:val="0"/>
                    <w:snapToGrid w:val="0"/>
                    <w:jc w:val="center"/>
                    <w:rPr>
                      <w:sz w:val="18"/>
                      <w:szCs w:val="18"/>
                    </w:rPr>
                  </w:pPr>
                </w:p>
              </w:tc>
              <w:tc>
                <w:tcPr>
                  <w:tcW w:w="578" w:type="pct"/>
                  <w:vMerge/>
                  <w:tcBorders>
                    <w:left w:val="single" w:sz="4" w:space="0" w:color="auto"/>
                    <w:right w:val="single" w:sz="4" w:space="0" w:color="auto"/>
                  </w:tcBorders>
                  <w:vAlign w:val="center"/>
                </w:tcPr>
                <w:p w14:paraId="16D6B25A" w14:textId="77777777" w:rsidR="00F76A63" w:rsidRDefault="00F76A63">
                  <w:pPr>
                    <w:adjustRightInd w:val="0"/>
                    <w:snapToGrid w:val="0"/>
                    <w:jc w:val="center"/>
                    <w:rPr>
                      <w:sz w:val="18"/>
                      <w:szCs w:val="18"/>
                    </w:rPr>
                  </w:pPr>
                </w:p>
              </w:tc>
              <w:tc>
                <w:tcPr>
                  <w:tcW w:w="978" w:type="pct"/>
                  <w:vMerge/>
                  <w:tcBorders>
                    <w:left w:val="single" w:sz="4" w:space="0" w:color="auto"/>
                    <w:right w:val="single" w:sz="4" w:space="0" w:color="auto"/>
                  </w:tcBorders>
                  <w:vAlign w:val="center"/>
                </w:tcPr>
                <w:p w14:paraId="4584DB25"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14D7F9FA" w14:textId="77777777" w:rsidR="00F76A63" w:rsidRDefault="00000000">
                  <w:pPr>
                    <w:adjustRightInd w:val="0"/>
                    <w:snapToGrid w:val="0"/>
                    <w:jc w:val="center"/>
                    <w:rPr>
                      <w:sz w:val="18"/>
                      <w:szCs w:val="18"/>
                    </w:rPr>
                  </w:pPr>
                  <w:r>
                    <w:rPr>
                      <w:sz w:val="18"/>
                      <w:szCs w:val="18"/>
                    </w:rPr>
                    <w:t>最小值</w:t>
                  </w:r>
                </w:p>
              </w:tc>
              <w:tc>
                <w:tcPr>
                  <w:tcW w:w="596" w:type="pct"/>
                  <w:tcBorders>
                    <w:top w:val="single" w:sz="4" w:space="0" w:color="auto"/>
                    <w:left w:val="single" w:sz="4" w:space="0" w:color="auto"/>
                    <w:bottom w:val="single" w:sz="4" w:space="0" w:color="auto"/>
                    <w:right w:val="single" w:sz="4" w:space="0" w:color="auto"/>
                  </w:tcBorders>
                  <w:vAlign w:val="center"/>
                </w:tcPr>
                <w:p w14:paraId="3C9DB600" w14:textId="77777777" w:rsidR="00F76A63" w:rsidRDefault="00000000">
                  <w:pPr>
                    <w:adjustRightInd w:val="0"/>
                    <w:snapToGrid w:val="0"/>
                    <w:jc w:val="center"/>
                    <w:rPr>
                      <w:rFonts w:eastAsia="Arial Unicode MS"/>
                      <w:sz w:val="18"/>
                      <w:szCs w:val="18"/>
                    </w:rPr>
                  </w:pPr>
                  <w:r>
                    <w:rPr>
                      <w:rFonts w:hint="eastAsia"/>
                      <w:sz w:val="18"/>
                      <w:szCs w:val="18"/>
                    </w:rPr>
                    <w:t>1.32</w:t>
                  </w:r>
                </w:p>
              </w:tc>
              <w:tc>
                <w:tcPr>
                  <w:tcW w:w="668" w:type="pct"/>
                  <w:tcBorders>
                    <w:top w:val="single" w:sz="4" w:space="0" w:color="auto"/>
                    <w:left w:val="single" w:sz="4" w:space="0" w:color="auto"/>
                    <w:bottom w:val="single" w:sz="4" w:space="0" w:color="auto"/>
                    <w:right w:val="single" w:sz="4" w:space="0" w:color="auto"/>
                  </w:tcBorders>
                  <w:vAlign w:val="center"/>
                </w:tcPr>
                <w:p w14:paraId="095BF119" w14:textId="77777777" w:rsidR="00F76A63" w:rsidRDefault="00000000">
                  <w:pPr>
                    <w:adjustRightInd w:val="0"/>
                    <w:snapToGrid w:val="0"/>
                    <w:jc w:val="center"/>
                    <w:rPr>
                      <w:rFonts w:eastAsia="Arial Unicode MS"/>
                      <w:sz w:val="18"/>
                      <w:szCs w:val="18"/>
                    </w:rPr>
                  </w:pPr>
                  <w:r>
                    <w:rPr>
                      <w:rFonts w:hint="eastAsia"/>
                      <w:sz w:val="18"/>
                      <w:szCs w:val="18"/>
                    </w:rPr>
                    <w:t>9.70</w:t>
                  </w:r>
                </w:p>
              </w:tc>
              <w:tc>
                <w:tcPr>
                  <w:tcW w:w="707" w:type="pct"/>
                  <w:tcBorders>
                    <w:top w:val="single" w:sz="4" w:space="0" w:color="auto"/>
                    <w:left w:val="single" w:sz="4" w:space="0" w:color="auto"/>
                    <w:bottom w:val="single" w:sz="4" w:space="0" w:color="auto"/>
                    <w:right w:val="single" w:sz="4" w:space="0" w:color="auto"/>
                  </w:tcBorders>
                  <w:vAlign w:val="center"/>
                </w:tcPr>
                <w:p w14:paraId="273D106B" w14:textId="77777777" w:rsidR="00F76A63" w:rsidRDefault="00000000">
                  <w:pPr>
                    <w:adjustRightInd w:val="0"/>
                    <w:snapToGrid w:val="0"/>
                    <w:jc w:val="center"/>
                    <w:rPr>
                      <w:rFonts w:eastAsia="Arial Unicode MS"/>
                      <w:sz w:val="18"/>
                      <w:szCs w:val="18"/>
                    </w:rPr>
                  </w:pPr>
                  <w:r>
                    <w:rPr>
                      <w:rFonts w:hint="eastAsia"/>
                      <w:sz w:val="18"/>
                      <w:szCs w:val="18"/>
                    </w:rPr>
                    <w:t>23.27</w:t>
                  </w:r>
                </w:p>
              </w:tc>
              <w:tc>
                <w:tcPr>
                  <w:tcW w:w="504" w:type="pct"/>
                  <w:vMerge/>
                  <w:tcBorders>
                    <w:left w:val="single" w:sz="4" w:space="0" w:color="auto"/>
                    <w:right w:val="nil"/>
                  </w:tcBorders>
                  <w:vAlign w:val="center"/>
                </w:tcPr>
                <w:p w14:paraId="6CABA585" w14:textId="77777777" w:rsidR="00F76A63" w:rsidRDefault="00F76A63">
                  <w:pPr>
                    <w:adjustRightInd w:val="0"/>
                    <w:snapToGrid w:val="0"/>
                    <w:jc w:val="center"/>
                    <w:rPr>
                      <w:sz w:val="18"/>
                      <w:szCs w:val="18"/>
                    </w:rPr>
                  </w:pPr>
                </w:p>
              </w:tc>
            </w:tr>
            <w:tr w:rsidR="00F76A63" w14:paraId="522CDD4A" w14:textId="77777777">
              <w:trPr>
                <w:trHeight w:val="340"/>
                <w:jc w:val="center"/>
              </w:trPr>
              <w:tc>
                <w:tcPr>
                  <w:tcW w:w="422" w:type="pct"/>
                  <w:vMerge/>
                  <w:tcBorders>
                    <w:left w:val="nil"/>
                    <w:bottom w:val="single" w:sz="4" w:space="0" w:color="auto"/>
                    <w:right w:val="single" w:sz="4" w:space="0" w:color="auto"/>
                  </w:tcBorders>
                  <w:vAlign w:val="center"/>
                </w:tcPr>
                <w:p w14:paraId="7EF56F29" w14:textId="77777777" w:rsidR="00F76A63" w:rsidRDefault="00F76A63">
                  <w:pPr>
                    <w:adjustRightInd w:val="0"/>
                    <w:snapToGrid w:val="0"/>
                    <w:jc w:val="center"/>
                    <w:rPr>
                      <w:sz w:val="18"/>
                      <w:szCs w:val="18"/>
                    </w:rPr>
                  </w:pPr>
                </w:p>
              </w:tc>
              <w:tc>
                <w:tcPr>
                  <w:tcW w:w="578" w:type="pct"/>
                  <w:vMerge/>
                  <w:tcBorders>
                    <w:left w:val="single" w:sz="4" w:space="0" w:color="auto"/>
                    <w:bottom w:val="single" w:sz="4" w:space="0" w:color="auto"/>
                    <w:right w:val="single" w:sz="4" w:space="0" w:color="auto"/>
                  </w:tcBorders>
                  <w:vAlign w:val="center"/>
                </w:tcPr>
                <w:p w14:paraId="28B68536" w14:textId="77777777" w:rsidR="00F76A63" w:rsidRDefault="00F76A63">
                  <w:pPr>
                    <w:adjustRightInd w:val="0"/>
                    <w:snapToGrid w:val="0"/>
                    <w:jc w:val="center"/>
                    <w:rPr>
                      <w:sz w:val="18"/>
                      <w:szCs w:val="18"/>
                    </w:rPr>
                  </w:pPr>
                </w:p>
              </w:tc>
              <w:tc>
                <w:tcPr>
                  <w:tcW w:w="978" w:type="pct"/>
                  <w:vMerge/>
                  <w:tcBorders>
                    <w:left w:val="single" w:sz="4" w:space="0" w:color="auto"/>
                    <w:bottom w:val="single" w:sz="4" w:space="0" w:color="auto"/>
                    <w:right w:val="single" w:sz="4" w:space="0" w:color="auto"/>
                  </w:tcBorders>
                  <w:vAlign w:val="center"/>
                </w:tcPr>
                <w:p w14:paraId="7D213245" w14:textId="77777777" w:rsidR="00F76A63" w:rsidRDefault="00F76A63">
                  <w:pPr>
                    <w:adjustRightInd w:val="0"/>
                    <w:snapToGrid w:val="0"/>
                    <w:jc w:val="center"/>
                    <w:rPr>
                      <w:sz w:val="18"/>
                      <w:szCs w:val="18"/>
                    </w:rPr>
                  </w:pPr>
                </w:p>
              </w:tc>
              <w:tc>
                <w:tcPr>
                  <w:tcW w:w="546" w:type="pct"/>
                  <w:tcBorders>
                    <w:top w:val="single" w:sz="4" w:space="0" w:color="auto"/>
                    <w:left w:val="single" w:sz="4" w:space="0" w:color="auto"/>
                    <w:bottom w:val="single" w:sz="4" w:space="0" w:color="auto"/>
                    <w:right w:val="single" w:sz="4" w:space="0" w:color="auto"/>
                  </w:tcBorders>
                  <w:vAlign w:val="center"/>
                </w:tcPr>
                <w:p w14:paraId="7D92701B" w14:textId="77777777" w:rsidR="00F76A63" w:rsidRDefault="00000000">
                  <w:pPr>
                    <w:adjustRightInd w:val="0"/>
                    <w:snapToGrid w:val="0"/>
                    <w:jc w:val="center"/>
                    <w:rPr>
                      <w:sz w:val="18"/>
                      <w:szCs w:val="18"/>
                    </w:rPr>
                  </w:pPr>
                  <w:r>
                    <w:rPr>
                      <w:sz w:val="18"/>
                      <w:szCs w:val="18"/>
                    </w:rPr>
                    <w:t>平均值</w:t>
                  </w:r>
                </w:p>
              </w:tc>
              <w:tc>
                <w:tcPr>
                  <w:tcW w:w="596" w:type="pct"/>
                  <w:tcBorders>
                    <w:top w:val="single" w:sz="4" w:space="0" w:color="auto"/>
                    <w:left w:val="single" w:sz="4" w:space="0" w:color="auto"/>
                    <w:bottom w:val="single" w:sz="4" w:space="0" w:color="auto"/>
                    <w:right w:val="single" w:sz="4" w:space="0" w:color="auto"/>
                  </w:tcBorders>
                  <w:vAlign w:val="center"/>
                </w:tcPr>
                <w:p w14:paraId="75E3C380" w14:textId="77777777" w:rsidR="00F76A63" w:rsidRDefault="00000000">
                  <w:pPr>
                    <w:adjustRightInd w:val="0"/>
                    <w:snapToGrid w:val="0"/>
                    <w:jc w:val="center"/>
                    <w:rPr>
                      <w:rFonts w:eastAsia="Arial Unicode MS"/>
                      <w:sz w:val="18"/>
                      <w:szCs w:val="18"/>
                    </w:rPr>
                  </w:pPr>
                  <w:r>
                    <w:rPr>
                      <w:rFonts w:hint="eastAsia"/>
                      <w:sz w:val="18"/>
                      <w:szCs w:val="18"/>
                    </w:rPr>
                    <w:t>1.44</w:t>
                  </w:r>
                </w:p>
              </w:tc>
              <w:tc>
                <w:tcPr>
                  <w:tcW w:w="668" w:type="pct"/>
                  <w:tcBorders>
                    <w:top w:val="single" w:sz="4" w:space="0" w:color="auto"/>
                    <w:left w:val="single" w:sz="4" w:space="0" w:color="auto"/>
                    <w:bottom w:val="single" w:sz="4" w:space="0" w:color="auto"/>
                    <w:right w:val="single" w:sz="4" w:space="0" w:color="auto"/>
                  </w:tcBorders>
                  <w:vAlign w:val="center"/>
                </w:tcPr>
                <w:p w14:paraId="3DD003E8" w14:textId="77777777" w:rsidR="00F76A63" w:rsidRDefault="00000000">
                  <w:pPr>
                    <w:adjustRightInd w:val="0"/>
                    <w:snapToGrid w:val="0"/>
                    <w:jc w:val="center"/>
                    <w:rPr>
                      <w:rFonts w:eastAsia="Arial Unicode MS"/>
                      <w:sz w:val="18"/>
                      <w:szCs w:val="18"/>
                    </w:rPr>
                  </w:pPr>
                  <w:r>
                    <w:rPr>
                      <w:rFonts w:hint="eastAsia"/>
                      <w:sz w:val="18"/>
                      <w:szCs w:val="18"/>
                    </w:rPr>
                    <w:t>12.86</w:t>
                  </w:r>
                </w:p>
              </w:tc>
              <w:tc>
                <w:tcPr>
                  <w:tcW w:w="707" w:type="pct"/>
                  <w:tcBorders>
                    <w:top w:val="single" w:sz="4" w:space="0" w:color="auto"/>
                    <w:left w:val="single" w:sz="4" w:space="0" w:color="auto"/>
                    <w:bottom w:val="single" w:sz="4" w:space="0" w:color="auto"/>
                    <w:right w:val="single" w:sz="4" w:space="0" w:color="auto"/>
                  </w:tcBorders>
                  <w:vAlign w:val="center"/>
                </w:tcPr>
                <w:p w14:paraId="70329F3D" w14:textId="77777777" w:rsidR="00F76A63" w:rsidRDefault="00000000">
                  <w:pPr>
                    <w:adjustRightInd w:val="0"/>
                    <w:snapToGrid w:val="0"/>
                    <w:jc w:val="center"/>
                    <w:rPr>
                      <w:rFonts w:eastAsia="Arial Unicode MS"/>
                      <w:sz w:val="18"/>
                      <w:szCs w:val="18"/>
                    </w:rPr>
                  </w:pPr>
                  <w:r>
                    <w:rPr>
                      <w:rFonts w:hint="eastAsia"/>
                      <w:sz w:val="18"/>
                      <w:szCs w:val="18"/>
                    </w:rPr>
                    <w:t>33.59</w:t>
                  </w:r>
                </w:p>
              </w:tc>
              <w:tc>
                <w:tcPr>
                  <w:tcW w:w="504" w:type="pct"/>
                  <w:vMerge/>
                  <w:tcBorders>
                    <w:left w:val="single" w:sz="4" w:space="0" w:color="auto"/>
                    <w:bottom w:val="single" w:sz="4" w:space="0" w:color="auto"/>
                    <w:right w:val="nil"/>
                  </w:tcBorders>
                  <w:vAlign w:val="center"/>
                </w:tcPr>
                <w:p w14:paraId="6113DDB2" w14:textId="77777777" w:rsidR="00F76A63" w:rsidRDefault="00F76A63">
                  <w:pPr>
                    <w:adjustRightInd w:val="0"/>
                    <w:snapToGrid w:val="0"/>
                    <w:jc w:val="center"/>
                    <w:rPr>
                      <w:sz w:val="18"/>
                      <w:szCs w:val="18"/>
                    </w:rPr>
                  </w:pPr>
                </w:p>
              </w:tc>
            </w:tr>
          </w:tbl>
          <w:p w14:paraId="1E3241BE" w14:textId="77777777" w:rsidR="00F76A63" w:rsidRDefault="00000000">
            <w:pPr>
              <w:adjustRightInd w:val="0"/>
              <w:snapToGrid w:val="0"/>
              <w:spacing w:line="500" w:lineRule="exact"/>
              <w:ind w:firstLineChars="200" w:firstLine="480"/>
              <w:rPr>
                <w:sz w:val="24"/>
              </w:rPr>
            </w:pPr>
            <w:r>
              <w:rPr>
                <w:sz w:val="24"/>
              </w:rPr>
              <w:t>从在线监测数据上来看，</w:t>
            </w:r>
            <w:r>
              <w:rPr>
                <w:sz w:val="24"/>
              </w:rPr>
              <w:t>2024</w:t>
            </w:r>
            <w:r>
              <w:rPr>
                <w:sz w:val="24"/>
              </w:rPr>
              <w:t>年</w:t>
            </w:r>
            <w:r>
              <w:rPr>
                <w:rFonts w:hint="eastAsia"/>
                <w:sz w:val="24"/>
              </w:rPr>
              <w:t>1</w:t>
            </w:r>
            <w:r>
              <w:rPr>
                <w:sz w:val="24"/>
              </w:rPr>
              <w:t>月至</w:t>
            </w:r>
            <w:r>
              <w:rPr>
                <w:sz w:val="24"/>
              </w:rPr>
              <w:t>202</w:t>
            </w:r>
            <w:r>
              <w:rPr>
                <w:rFonts w:hint="eastAsia"/>
                <w:sz w:val="24"/>
              </w:rPr>
              <w:t>6</w:t>
            </w:r>
            <w:r>
              <w:rPr>
                <w:sz w:val="24"/>
              </w:rPr>
              <w:t>年</w:t>
            </w:r>
            <w:r>
              <w:rPr>
                <w:rFonts w:hint="eastAsia"/>
                <w:sz w:val="24"/>
              </w:rPr>
              <w:t>3</w:t>
            </w:r>
            <w:r>
              <w:rPr>
                <w:rFonts w:hint="eastAsia"/>
                <w:sz w:val="24"/>
              </w:rPr>
              <w:t>月</w:t>
            </w:r>
            <w:r>
              <w:rPr>
                <w:sz w:val="24"/>
              </w:rPr>
              <w:t>1#</w:t>
            </w:r>
            <w:r>
              <w:rPr>
                <w:sz w:val="24"/>
              </w:rPr>
              <w:t>和</w:t>
            </w:r>
            <w:r>
              <w:rPr>
                <w:sz w:val="24"/>
              </w:rPr>
              <w:t>2#</w:t>
            </w:r>
            <w:r>
              <w:rPr>
                <w:sz w:val="24"/>
              </w:rPr>
              <w:t>窑尾颗粒物、</w:t>
            </w:r>
            <w:r>
              <w:rPr>
                <w:sz w:val="24"/>
              </w:rPr>
              <w:t>SO</w:t>
            </w:r>
            <w:r>
              <w:rPr>
                <w:sz w:val="24"/>
                <w:vertAlign w:val="subscript"/>
              </w:rPr>
              <w:t>2</w:t>
            </w:r>
            <w:r>
              <w:rPr>
                <w:sz w:val="24"/>
              </w:rPr>
              <w:t>、</w:t>
            </w:r>
            <w:r>
              <w:rPr>
                <w:sz w:val="24"/>
              </w:rPr>
              <w:t>NO</w:t>
            </w:r>
            <w:r>
              <w:rPr>
                <w:sz w:val="24"/>
                <w:vertAlign w:val="subscript"/>
              </w:rPr>
              <w:t>x</w:t>
            </w:r>
            <w:r>
              <w:rPr>
                <w:sz w:val="24"/>
              </w:rPr>
              <w:t>的平均排放浓度均符合《水泥工业大气污染物排放标准》（</w:t>
            </w:r>
            <w:r>
              <w:rPr>
                <w:sz w:val="24"/>
              </w:rPr>
              <w:t>DB 32/4149-2021</w:t>
            </w:r>
            <w:r>
              <w:rPr>
                <w:sz w:val="24"/>
              </w:rPr>
              <w:t>）中表</w:t>
            </w:r>
            <w:r>
              <w:rPr>
                <w:sz w:val="24"/>
              </w:rPr>
              <w:t>1 Ⅱ</w:t>
            </w:r>
            <w:r>
              <w:rPr>
                <w:sz w:val="24"/>
              </w:rPr>
              <w:t>阶段排放限值要求。</w:t>
            </w:r>
          </w:p>
          <w:p w14:paraId="0910D20B" w14:textId="77777777" w:rsidR="00F76A63" w:rsidRDefault="00000000">
            <w:pPr>
              <w:adjustRightInd w:val="0"/>
              <w:snapToGrid w:val="0"/>
              <w:spacing w:line="500" w:lineRule="exact"/>
              <w:ind w:firstLineChars="200" w:firstLine="480"/>
              <w:rPr>
                <w:sz w:val="24"/>
              </w:rPr>
            </w:pPr>
            <w:r>
              <w:rPr>
                <w:rFonts w:hint="eastAsia"/>
                <w:sz w:val="24"/>
              </w:rPr>
              <w:t>对于部分最大值超标原因，企业回转窑在年度检修完成后，由于设备升温、系统风量、煤粉燃烧状态、窑内物料反应条件均处于调整过渡期，窑况不稳定，燃烧均匀性较差，导致启窑初期短暂出现氮氧化物、二氧化硫瞬时峰值偏高现象。该类瞬时高值为检修后开机阶段典型工艺波动，属于行业普遍客观存在的非正常生产工况，并非正常生产运行过程超标。除去开机波动时段，项目常态化连续生产期间废气污染物排放均稳定达标，数据波动原因真实合理，符合水泥窑生产运行工况特点。</w:t>
            </w:r>
          </w:p>
          <w:p w14:paraId="6556B66D" w14:textId="77777777" w:rsidR="00F76A63" w:rsidRDefault="00000000">
            <w:pPr>
              <w:adjustRightInd w:val="0"/>
              <w:snapToGrid w:val="0"/>
              <w:spacing w:line="500" w:lineRule="exact"/>
              <w:ind w:firstLineChars="200" w:firstLine="480"/>
              <w:rPr>
                <w:sz w:val="24"/>
              </w:rPr>
            </w:pPr>
            <w:r>
              <w:rPr>
                <w:rFonts w:hint="eastAsia"/>
                <w:sz w:val="24"/>
              </w:rPr>
              <w:t>窑尾异常数据情况分析见表</w:t>
            </w:r>
            <w:r>
              <w:rPr>
                <w:rFonts w:hint="eastAsia"/>
                <w:sz w:val="24"/>
              </w:rPr>
              <w:t>2-45</w:t>
            </w:r>
            <w:r>
              <w:rPr>
                <w:rFonts w:hint="eastAsia"/>
                <w:sz w:val="24"/>
              </w:rPr>
              <w:t>。</w:t>
            </w:r>
          </w:p>
          <w:p w14:paraId="4AA169E9" w14:textId="77777777" w:rsidR="00F76A63" w:rsidRDefault="00000000">
            <w:pPr>
              <w:spacing w:line="500" w:lineRule="exact"/>
              <w:jc w:val="center"/>
              <w:rPr>
                <w:b/>
                <w:sz w:val="24"/>
              </w:rPr>
            </w:pPr>
            <w:r>
              <w:rPr>
                <w:b/>
                <w:sz w:val="24"/>
              </w:rPr>
              <w:t>表</w:t>
            </w:r>
            <w:r>
              <w:rPr>
                <w:b/>
                <w:sz w:val="24"/>
              </w:rPr>
              <w:t>2-</w:t>
            </w:r>
            <w:r>
              <w:rPr>
                <w:rFonts w:hint="eastAsia"/>
                <w:b/>
                <w:sz w:val="24"/>
              </w:rPr>
              <w:t xml:space="preserve">45 </w:t>
            </w:r>
            <w:r>
              <w:rPr>
                <w:b/>
                <w:sz w:val="24"/>
              </w:rPr>
              <w:t xml:space="preserve"> </w:t>
            </w:r>
            <w:r>
              <w:rPr>
                <w:rFonts w:hint="eastAsia"/>
                <w:b/>
                <w:sz w:val="24"/>
              </w:rPr>
              <w:t>窑尾异常数据情况分析表</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455"/>
              <w:gridCol w:w="1069"/>
              <w:gridCol w:w="1286"/>
              <w:gridCol w:w="1429"/>
              <w:gridCol w:w="2938"/>
            </w:tblGrid>
            <w:tr w:rsidR="00F76A63" w14:paraId="327BD2E1" w14:textId="77777777">
              <w:trPr>
                <w:jc w:val="center"/>
              </w:trPr>
              <w:tc>
                <w:tcPr>
                  <w:tcW w:w="1444" w:type="dxa"/>
                  <w:vAlign w:val="center"/>
                </w:tcPr>
                <w:p w14:paraId="2D68E238" w14:textId="77777777" w:rsidR="00F76A63" w:rsidRDefault="00000000">
                  <w:pPr>
                    <w:jc w:val="center"/>
                    <w:rPr>
                      <w:b/>
                      <w:bCs/>
                      <w:sz w:val="18"/>
                      <w:szCs w:val="18"/>
                    </w:rPr>
                  </w:pPr>
                  <w:r>
                    <w:rPr>
                      <w:rFonts w:hint="eastAsia"/>
                      <w:b/>
                      <w:bCs/>
                      <w:sz w:val="18"/>
                      <w:szCs w:val="18"/>
                    </w:rPr>
                    <w:t>超标时间</w:t>
                  </w:r>
                </w:p>
              </w:tc>
              <w:tc>
                <w:tcPr>
                  <w:tcW w:w="1060" w:type="dxa"/>
                  <w:vAlign w:val="center"/>
                </w:tcPr>
                <w:p w14:paraId="2BBB3844" w14:textId="77777777" w:rsidR="00F76A63" w:rsidRDefault="00000000">
                  <w:pPr>
                    <w:jc w:val="center"/>
                    <w:rPr>
                      <w:b/>
                      <w:bCs/>
                      <w:sz w:val="18"/>
                      <w:szCs w:val="18"/>
                    </w:rPr>
                  </w:pPr>
                  <w:r>
                    <w:rPr>
                      <w:rFonts w:hint="eastAsia"/>
                      <w:b/>
                      <w:bCs/>
                      <w:sz w:val="18"/>
                      <w:szCs w:val="18"/>
                    </w:rPr>
                    <w:t>超标位置</w:t>
                  </w:r>
                </w:p>
              </w:tc>
              <w:tc>
                <w:tcPr>
                  <w:tcW w:w="1276" w:type="dxa"/>
                  <w:vAlign w:val="center"/>
                </w:tcPr>
                <w:p w14:paraId="486A4BD7" w14:textId="77777777" w:rsidR="00F76A63" w:rsidRDefault="00000000">
                  <w:pPr>
                    <w:jc w:val="center"/>
                    <w:rPr>
                      <w:b/>
                      <w:bCs/>
                      <w:sz w:val="18"/>
                      <w:szCs w:val="18"/>
                    </w:rPr>
                  </w:pPr>
                  <w:r>
                    <w:rPr>
                      <w:rFonts w:hint="eastAsia"/>
                      <w:b/>
                      <w:bCs/>
                      <w:sz w:val="18"/>
                      <w:szCs w:val="18"/>
                    </w:rPr>
                    <w:t>超标因子</w:t>
                  </w:r>
                </w:p>
              </w:tc>
              <w:tc>
                <w:tcPr>
                  <w:tcW w:w="1417" w:type="dxa"/>
                  <w:vAlign w:val="center"/>
                </w:tcPr>
                <w:p w14:paraId="30EC475B" w14:textId="77777777" w:rsidR="00F76A63" w:rsidRDefault="00000000">
                  <w:pPr>
                    <w:jc w:val="center"/>
                    <w:rPr>
                      <w:b/>
                      <w:bCs/>
                      <w:sz w:val="18"/>
                      <w:szCs w:val="18"/>
                    </w:rPr>
                  </w:pPr>
                  <w:r>
                    <w:rPr>
                      <w:rFonts w:hint="eastAsia"/>
                      <w:b/>
                      <w:bCs/>
                      <w:sz w:val="18"/>
                      <w:szCs w:val="18"/>
                    </w:rPr>
                    <w:t>监测值（</w:t>
                  </w:r>
                  <w:r>
                    <w:rPr>
                      <w:rFonts w:hint="eastAsia"/>
                      <w:b/>
                      <w:bCs/>
                      <w:sz w:val="18"/>
                      <w:szCs w:val="18"/>
                    </w:rPr>
                    <w:t>mg/m</w:t>
                  </w:r>
                  <w:r>
                    <w:rPr>
                      <w:rFonts w:hint="eastAsia"/>
                      <w:b/>
                      <w:bCs/>
                      <w:sz w:val="18"/>
                      <w:szCs w:val="18"/>
                      <w:vertAlign w:val="superscript"/>
                    </w:rPr>
                    <w:t>3</w:t>
                  </w:r>
                  <w:r>
                    <w:rPr>
                      <w:rFonts w:hint="eastAsia"/>
                      <w:b/>
                      <w:bCs/>
                      <w:sz w:val="18"/>
                      <w:szCs w:val="18"/>
                    </w:rPr>
                    <w:t>）</w:t>
                  </w:r>
                </w:p>
              </w:tc>
              <w:tc>
                <w:tcPr>
                  <w:tcW w:w="2914" w:type="dxa"/>
                  <w:vAlign w:val="center"/>
                </w:tcPr>
                <w:p w14:paraId="737A3623" w14:textId="77777777" w:rsidR="00F76A63" w:rsidRDefault="00000000">
                  <w:pPr>
                    <w:jc w:val="center"/>
                    <w:rPr>
                      <w:b/>
                      <w:bCs/>
                      <w:sz w:val="18"/>
                      <w:szCs w:val="18"/>
                    </w:rPr>
                  </w:pPr>
                  <w:r>
                    <w:rPr>
                      <w:rFonts w:hint="eastAsia"/>
                      <w:b/>
                      <w:bCs/>
                      <w:sz w:val="18"/>
                      <w:szCs w:val="18"/>
                    </w:rPr>
                    <w:t>原因分析</w:t>
                  </w:r>
                </w:p>
              </w:tc>
            </w:tr>
            <w:tr w:rsidR="00F76A63" w14:paraId="230B3968" w14:textId="77777777">
              <w:trPr>
                <w:jc w:val="center"/>
              </w:trPr>
              <w:tc>
                <w:tcPr>
                  <w:tcW w:w="1444" w:type="dxa"/>
                  <w:vAlign w:val="center"/>
                </w:tcPr>
                <w:p w14:paraId="5355C672" w14:textId="77777777" w:rsidR="00F76A63" w:rsidRDefault="00000000">
                  <w:pPr>
                    <w:jc w:val="center"/>
                    <w:rPr>
                      <w:sz w:val="18"/>
                      <w:szCs w:val="18"/>
                    </w:rPr>
                  </w:pPr>
                  <w:r>
                    <w:rPr>
                      <w:rFonts w:hint="eastAsia"/>
                      <w:sz w:val="18"/>
                      <w:szCs w:val="18"/>
                    </w:rPr>
                    <w:t>2024.11.13</w:t>
                  </w:r>
                </w:p>
              </w:tc>
              <w:tc>
                <w:tcPr>
                  <w:tcW w:w="1060" w:type="dxa"/>
                  <w:vAlign w:val="center"/>
                </w:tcPr>
                <w:p w14:paraId="1CAAF2E9" w14:textId="77777777" w:rsidR="00F76A63" w:rsidRDefault="00000000">
                  <w:pPr>
                    <w:jc w:val="center"/>
                    <w:rPr>
                      <w:sz w:val="18"/>
                      <w:szCs w:val="18"/>
                    </w:rPr>
                  </w:pPr>
                  <w:r>
                    <w:rPr>
                      <w:rFonts w:hint="eastAsia"/>
                      <w:sz w:val="18"/>
                      <w:szCs w:val="18"/>
                    </w:rPr>
                    <w:t>1#</w:t>
                  </w:r>
                  <w:r>
                    <w:rPr>
                      <w:rFonts w:hint="eastAsia"/>
                      <w:sz w:val="18"/>
                      <w:szCs w:val="18"/>
                    </w:rPr>
                    <w:t>窑尾</w:t>
                  </w:r>
                </w:p>
              </w:tc>
              <w:tc>
                <w:tcPr>
                  <w:tcW w:w="1276" w:type="dxa"/>
                  <w:vAlign w:val="center"/>
                </w:tcPr>
                <w:p w14:paraId="653592E8" w14:textId="77777777" w:rsidR="00F76A63" w:rsidRDefault="00000000">
                  <w:pPr>
                    <w:jc w:val="center"/>
                    <w:rPr>
                      <w:sz w:val="18"/>
                      <w:szCs w:val="18"/>
                    </w:rPr>
                  </w:pPr>
                  <w:r>
                    <w:rPr>
                      <w:rFonts w:hint="eastAsia"/>
                      <w:sz w:val="18"/>
                      <w:szCs w:val="18"/>
                    </w:rPr>
                    <w:t>氮氧化物</w:t>
                  </w:r>
                </w:p>
              </w:tc>
              <w:tc>
                <w:tcPr>
                  <w:tcW w:w="1417" w:type="dxa"/>
                  <w:vAlign w:val="center"/>
                </w:tcPr>
                <w:p w14:paraId="5351CC4F" w14:textId="77777777" w:rsidR="00F76A63" w:rsidRDefault="00000000">
                  <w:pPr>
                    <w:jc w:val="center"/>
                    <w:rPr>
                      <w:sz w:val="18"/>
                      <w:szCs w:val="18"/>
                    </w:rPr>
                  </w:pPr>
                  <w:r>
                    <w:rPr>
                      <w:rFonts w:hint="eastAsia"/>
                      <w:sz w:val="18"/>
                      <w:szCs w:val="18"/>
                    </w:rPr>
                    <w:t>67.37</w:t>
                  </w:r>
                </w:p>
              </w:tc>
              <w:tc>
                <w:tcPr>
                  <w:tcW w:w="2914" w:type="dxa"/>
                  <w:vAlign w:val="center"/>
                </w:tcPr>
                <w:p w14:paraId="0417E079" w14:textId="77777777" w:rsidR="00F76A63" w:rsidRDefault="00000000">
                  <w:pPr>
                    <w:jc w:val="center"/>
                    <w:rPr>
                      <w:sz w:val="18"/>
                      <w:szCs w:val="18"/>
                    </w:rPr>
                  </w:pPr>
                  <w:r>
                    <w:rPr>
                      <w:rFonts w:hint="eastAsia"/>
                      <w:sz w:val="18"/>
                      <w:szCs w:val="18"/>
                    </w:rPr>
                    <w:t>检修后开机阶段典型工艺波动</w:t>
                  </w:r>
                </w:p>
              </w:tc>
            </w:tr>
            <w:tr w:rsidR="00F76A63" w14:paraId="29EE557A" w14:textId="77777777">
              <w:trPr>
                <w:jc w:val="center"/>
              </w:trPr>
              <w:tc>
                <w:tcPr>
                  <w:tcW w:w="1444" w:type="dxa"/>
                  <w:vAlign w:val="center"/>
                </w:tcPr>
                <w:p w14:paraId="00A60E25" w14:textId="77777777" w:rsidR="00F76A63" w:rsidRDefault="00000000">
                  <w:pPr>
                    <w:jc w:val="center"/>
                    <w:rPr>
                      <w:sz w:val="18"/>
                      <w:szCs w:val="18"/>
                    </w:rPr>
                  </w:pPr>
                  <w:r>
                    <w:rPr>
                      <w:rFonts w:hint="eastAsia"/>
                      <w:sz w:val="18"/>
                      <w:szCs w:val="18"/>
                    </w:rPr>
                    <w:t>2025.02.15</w:t>
                  </w:r>
                </w:p>
              </w:tc>
              <w:tc>
                <w:tcPr>
                  <w:tcW w:w="1060" w:type="dxa"/>
                  <w:vAlign w:val="center"/>
                </w:tcPr>
                <w:p w14:paraId="7D79603A" w14:textId="77777777" w:rsidR="00F76A63" w:rsidRDefault="00000000">
                  <w:pPr>
                    <w:jc w:val="center"/>
                    <w:rPr>
                      <w:sz w:val="18"/>
                      <w:szCs w:val="18"/>
                    </w:rPr>
                  </w:pPr>
                  <w:r>
                    <w:rPr>
                      <w:rFonts w:hint="eastAsia"/>
                      <w:sz w:val="18"/>
                      <w:szCs w:val="18"/>
                    </w:rPr>
                    <w:t>1#</w:t>
                  </w:r>
                  <w:r>
                    <w:rPr>
                      <w:rFonts w:hint="eastAsia"/>
                      <w:sz w:val="18"/>
                      <w:szCs w:val="18"/>
                    </w:rPr>
                    <w:t>窑尾</w:t>
                  </w:r>
                </w:p>
              </w:tc>
              <w:tc>
                <w:tcPr>
                  <w:tcW w:w="1276" w:type="dxa"/>
                  <w:vAlign w:val="center"/>
                </w:tcPr>
                <w:p w14:paraId="346D9984" w14:textId="77777777" w:rsidR="00F76A63" w:rsidRDefault="00000000">
                  <w:pPr>
                    <w:jc w:val="center"/>
                    <w:rPr>
                      <w:sz w:val="18"/>
                      <w:szCs w:val="18"/>
                    </w:rPr>
                  </w:pPr>
                  <w:r>
                    <w:rPr>
                      <w:rFonts w:hint="eastAsia"/>
                      <w:sz w:val="18"/>
                      <w:szCs w:val="18"/>
                    </w:rPr>
                    <w:t>氮氧化物</w:t>
                  </w:r>
                </w:p>
              </w:tc>
              <w:tc>
                <w:tcPr>
                  <w:tcW w:w="1417" w:type="dxa"/>
                  <w:vAlign w:val="center"/>
                </w:tcPr>
                <w:p w14:paraId="6BA7397D" w14:textId="77777777" w:rsidR="00F76A63" w:rsidRDefault="00000000">
                  <w:pPr>
                    <w:jc w:val="center"/>
                    <w:rPr>
                      <w:sz w:val="18"/>
                      <w:szCs w:val="18"/>
                    </w:rPr>
                  </w:pPr>
                  <w:r>
                    <w:rPr>
                      <w:rFonts w:hint="eastAsia"/>
                      <w:sz w:val="18"/>
                      <w:szCs w:val="18"/>
                    </w:rPr>
                    <w:t>57.31</w:t>
                  </w:r>
                </w:p>
              </w:tc>
              <w:tc>
                <w:tcPr>
                  <w:tcW w:w="2914" w:type="dxa"/>
                </w:tcPr>
                <w:p w14:paraId="095556C4" w14:textId="77777777" w:rsidR="00F76A63" w:rsidRDefault="00000000">
                  <w:pPr>
                    <w:jc w:val="center"/>
                    <w:rPr>
                      <w:sz w:val="18"/>
                      <w:szCs w:val="18"/>
                    </w:rPr>
                  </w:pPr>
                  <w:r>
                    <w:rPr>
                      <w:rFonts w:hint="eastAsia"/>
                      <w:sz w:val="18"/>
                      <w:szCs w:val="18"/>
                    </w:rPr>
                    <w:t>检修后开机阶段典型工艺波动</w:t>
                  </w:r>
                </w:p>
              </w:tc>
            </w:tr>
            <w:tr w:rsidR="00F76A63" w14:paraId="3D3C5320" w14:textId="77777777">
              <w:trPr>
                <w:jc w:val="center"/>
              </w:trPr>
              <w:tc>
                <w:tcPr>
                  <w:tcW w:w="1444" w:type="dxa"/>
                  <w:vAlign w:val="center"/>
                </w:tcPr>
                <w:p w14:paraId="3751EC9B" w14:textId="77777777" w:rsidR="00F76A63" w:rsidRDefault="00000000">
                  <w:pPr>
                    <w:jc w:val="center"/>
                    <w:rPr>
                      <w:sz w:val="18"/>
                      <w:szCs w:val="18"/>
                    </w:rPr>
                  </w:pPr>
                  <w:r>
                    <w:rPr>
                      <w:rFonts w:hint="eastAsia"/>
                      <w:sz w:val="18"/>
                      <w:szCs w:val="18"/>
                    </w:rPr>
                    <w:t>2025.08.15</w:t>
                  </w:r>
                </w:p>
              </w:tc>
              <w:tc>
                <w:tcPr>
                  <w:tcW w:w="1060" w:type="dxa"/>
                  <w:vAlign w:val="center"/>
                </w:tcPr>
                <w:p w14:paraId="5CEED47E" w14:textId="77777777" w:rsidR="00F76A63" w:rsidRDefault="00000000">
                  <w:pPr>
                    <w:jc w:val="center"/>
                    <w:rPr>
                      <w:sz w:val="18"/>
                      <w:szCs w:val="18"/>
                    </w:rPr>
                  </w:pPr>
                  <w:r>
                    <w:rPr>
                      <w:rFonts w:hint="eastAsia"/>
                      <w:sz w:val="18"/>
                      <w:szCs w:val="18"/>
                    </w:rPr>
                    <w:t>1#</w:t>
                  </w:r>
                  <w:r>
                    <w:rPr>
                      <w:rFonts w:hint="eastAsia"/>
                      <w:sz w:val="18"/>
                      <w:szCs w:val="18"/>
                    </w:rPr>
                    <w:t>窑尾</w:t>
                  </w:r>
                </w:p>
              </w:tc>
              <w:tc>
                <w:tcPr>
                  <w:tcW w:w="1276" w:type="dxa"/>
                  <w:vAlign w:val="center"/>
                </w:tcPr>
                <w:p w14:paraId="515ACBFA" w14:textId="77777777" w:rsidR="00F76A63" w:rsidRDefault="00000000">
                  <w:pPr>
                    <w:jc w:val="center"/>
                    <w:rPr>
                      <w:sz w:val="18"/>
                      <w:szCs w:val="18"/>
                    </w:rPr>
                  </w:pPr>
                  <w:r>
                    <w:rPr>
                      <w:rFonts w:hint="eastAsia"/>
                      <w:sz w:val="18"/>
                      <w:szCs w:val="18"/>
                    </w:rPr>
                    <w:t>二氧化硫</w:t>
                  </w:r>
                </w:p>
              </w:tc>
              <w:tc>
                <w:tcPr>
                  <w:tcW w:w="1417" w:type="dxa"/>
                  <w:vAlign w:val="center"/>
                </w:tcPr>
                <w:p w14:paraId="2350065F" w14:textId="77777777" w:rsidR="00F76A63" w:rsidRDefault="00000000">
                  <w:pPr>
                    <w:jc w:val="center"/>
                    <w:rPr>
                      <w:sz w:val="18"/>
                      <w:szCs w:val="18"/>
                    </w:rPr>
                  </w:pPr>
                  <w:r>
                    <w:rPr>
                      <w:rFonts w:hint="eastAsia"/>
                      <w:sz w:val="18"/>
                      <w:szCs w:val="18"/>
                    </w:rPr>
                    <w:t>42.95</w:t>
                  </w:r>
                </w:p>
              </w:tc>
              <w:tc>
                <w:tcPr>
                  <w:tcW w:w="2914" w:type="dxa"/>
                </w:tcPr>
                <w:p w14:paraId="5011281A" w14:textId="77777777" w:rsidR="00F76A63" w:rsidRDefault="00000000">
                  <w:pPr>
                    <w:jc w:val="center"/>
                    <w:rPr>
                      <w:sz w:val="18"/>
                      <w:szCs w:val="18"/>
                    </w:rPr>
                  </w:pPr>
                  <w:r>
                    <w:rPr>
                      <w:rFonts w:hint="eastAsia"/>
                      <w:sz w:val="18"/>
                      <w:szCs w:val="18"/>
                    </w:rPr>
                    <w:t>检修后开机阶段典型工艺波动</w:t>
                  </w:r>
                </w:p>
              </w:tc>
            </w:tr>
            <w:tr w:rsidR="00F76A63" w14:paraId="4C5CE6C7" w14:textId="77777777">
              <w:trPr>
                <w:jc w:val="center"/>
              </w:trPr>
              <w:tc>
                <w:tcPr>
                  <w:tcW w:w="1444" w:type="dxa"/>
                  <w:vAlign w:val="center"/>
                </w:tcPr>
                <w:p w14:paraId="4E4DB8C2" w14:textId="77777777" w:rsidR="00F76A63" w:rsidRDefault="00000000">
                  <w:pPr>
                    <w:jc w:val="center"/>
                    <w:rPr>
                      <w:sz w:val="18"/>
                      <w:szCs w:val="18"/>
                    </w:rPr>
                  </w:pPr>
                  <w:r>
                    <w:rPr>
                      <w:rFonts w:hint="eastAsia"/>
                      <w:sz w:val="18"/>
                      <w:szCs w:val="18"/>
                    </w:rPr>
                    <w:t>2025.08.15</w:t>
                  </w:r>
                </w:p>
              </w:tc>
              <w:tc>
                <w:tcPr>
                  <w:tcW w:w="1060" w:type="dxa"/>
                  <w:vAlign w:val="center"/>
                </w:tcPr>
                <w:p w14:paraId="16B5C4EB" w14:textId="77777777" w:rsidR="00F76A63" w:rsidRDefault="00000000">
                  <w:pPr>
                    <w:jc w:val="center"/>
                    <w:rPr>
                      <w:sz w:val="18"/>
                      <w:szCs w:val="18"/>
                    </w:rPr>
                  </w:pPr>
                  <w:r>
                    <w:rPr>
                      <w:rFonts w:hint="eastAsia"/>
                      <w:sz w:val="18"/>
                      <w:szCs w:val="18"/>
                    </w:rPr>
                    <w:t>1#</w:t>
                  </w:r>
                  <w:r>
                    <w:rPr>
                      <w:rFonts w:hint="eastAsia"/>
                      <w:sz w:val="18"/>
                      <w:szCs w:val="18"/>
                    </w:rPr>
                    <w:t>窑尾</w:t>
                  </w:r>
                </w:p>
              </w:tc>
              <w:tc>
                <w:tcPr>
                  <w:tcW w:w="1276" w:type="dxa"/>
                  <w:vAlign w:val="center"/>
                </w:tcPr>
                <w:p w14:paraId="56502810" w14:textId="77777777" w:rsidR="00F76A63" w:rsidRDefault="00000000">
                  <w:pPr>
                    <w:jc w:val="center"/>
                    <w:rPr>
                      <w:sz w:val="18"/>
                      <w:szCs w:val="18"/>
                    </w:rPr>
                  </w:pPr>
                  <w:r>
                    <w:rPr>
                      <w:rFonts w:hint="eastAsia"/>
                      <w:sz w:val="18"/>
                      <w:szCs w:val="18"/>
                    </w:rPr>
                    <w:t>氮氧化物</w:t>
                  </w:r>
                </w:p>
              </w:tc>
              <w:tc>
                <w:tcPr>
                  <w:tcW w:w="1417" w:type="dxa"/>
                  <w:vAlign w:val="center"/>
                </w:tcPr>
                <w:p w14:paraId="5C1DCC98" w14:textId="77777777" w:rsidR="00F76A63" w:rsidRDefault="00000000">
                  <w:pPr>
                    <w:jc w:val="center"/>
                    <w:rPr>
                      <w:sz w:val="18"/>
                      <w:szCs w:val="18"/>
                    </w:rPr>
                  </w:pPr>
                  <w:r>
                    <w:rPr>
                      <w:rFonts w:hint="eastAsia"/>
                      <w:sz w:val="18"/>
                      <w:szCs w:val="18"/>
                    </w:rPr>
                    <w:t>68.09</w:t>
                  </w:r>
                </w:p>
              </w:tc>
              <w:tc>
                <w:tcPr>
                  <w:tcW w:w="2914" w:type="dxa"/>
                </w:tcPr>
                <w:p w14:paraId="7E3EDACD" w14:textId="77777777" w:rsidR="00F76A63" w:rsidRDefault="00000000">
                  <w:pPr>
                    <w:jc w:val="center"/>
                    <w:rPr>
                      <w:sz w:val="18"/>
                      <w:szCs w:val="18"/>
                    </w:rPr>
                  </w:pPr>
                  <w:r>
                    <w:rPr>
                      <w:rFonts w:hint="eastAsia"/>
                      <w:sz w:val="18"/>
                      <w:szCs w:val="18"/>
                    </w:rPr>
                    <w:t>检修后开机阶段典型工艺波动</w:t>
                  </w:r>
                </w:p>
              </w:tc>
            </w:tr>
            <w:tr w:rsidR="00F76A63" w14:paraId="1DE927E8" w14:textId="77777777">
              <w:trPr>
                <w:jc w:val="center"/>
              </w:trPr>
              <w:tc>
                <w:tcPr>
                  <w:tcW w:w="1444" w:type="dxa"/>
                  <w:vAlign w:val="center"/>
                </w:tcPr>
                <w:p w14:paraId="230E4752" w14:textId="77777777" w:rsidR="00F76A63" w:rsidRDefault="00000000">
                  <w:pPr>
                    <w:jc w:val="center"/>
                    <w:rPr>
                      <w:sz w:val="18"/>
                      <w:szCs w:val="18"/>
                    </w:rPr>
                  </w:pPr>
                  <w:r>
                    <w:rPr>
                      <w:rFonts w:hint="eastAsia"/>
                      <w:sz w:val="18"/>
                      <w:szCs w:val="18"/>
                    </w:rPr>
                    <w:t>2025.11.02</w:t>
                  </w:r>
                </w:p>
              </w:tc>
              <w:tc>
                <w:tcPr>
                  <w:tcW w:w="1060" w:type="dxa"/>
                  <w:vAlign w:val="center"/>
                </w:tcPr>
                <w:p w14:paraId="75D2E542" w14:textId="77777777" w:rsidR="00F76A63" w:rsidRDefault="00000000">
                  <w:pPr>
                    <w:jc w:val="center"/>
                    <w:rPr>
                      <w:sz w:val="18"/>
                      <w:szCs w:val="18"/>
                    </w:rPr>
                  </w:pPr>
                  <w:r>
                    <w:rPr>
                      <w:rFonts w:hint="eastAsia"/>
                      <w:sz w:val="18"/>
                      <w:szCs w:val="18"/>
                    </w:rPr>
                    <w:t>1#</w:t>
                  </w:r>
                  <w:r>
                    <w:rPr>
                      <w:rFonts w:hint="eastAsia"/>
                      <w:sz w:val="18"/>
                      <w:szCs w:val="18"/>
                    </w:rPr>
                    <w:t>窑尾</w:t>
                  </w:r>
                </w:p>
              </w:tc>
              <w:tc>
                <w:tcPr>
                  <w:tcW w:w="1276" w:type="dxa"/>
                  <w:vAlign w:val="center"/>
                </w:tcPr>
                <w:p w14:paraId="36B21854" w14:textId="77777777" w:rsidR="00F76A63" w:rsidRDefault="00000000">
                  <w:pPr>
                    <w:jc w:val="center"/>
                    <w:rPr>
                      <w:sz w:val="18"/>
                      <w:szCs w:val="18"/>
                    </w:rPr>
                  </w:pPr>
                  <w:r>
                    <w:rPr>
                      <w:rFonts w:hint="eastAsia"/>
                      <w:sz w:val="18"/>
                      <w:szCs w:val="18"/>
                    </w:rPr>
                    <w:t>氮氧化物</w:t>
                  </w:r>
                </w:p>
              </w:tc>
              <w:tc>
                <w:tcPr>
                  <w:tcW w:w="1417" w:type="dxa"/>
                  <w:vAlign w:val="center"/>
                </w:tcPr>
                <w:p w14:paraId="695C1206" w14:textId="77777777" w:rsidR="00F76A63" w:rsidRDefault="00000000">
                  <w:pPr>
                    <w:jc w:val="center"/>
                    <w:rPr>
                      <w:sz w:val="18"/>
                      <w:szCs w:val="18"/>
                    </w:rPr>
                  </w:pPr>
                  <w:r>
                    <w:rPr>
                      <w:rFonts w:hint="eastAsia"/>
                      <w:sz w:val="18"/>
                      <w:szCs w:val="18"/>
                    </w:rPr>
                    <w:t>50.29</w:t>
                  </w:r>
                </w:p>
              </w:tc>
              <w:tc>
                <w:tcPr>
                  <w:tcW w:w="2914" w:type="dxa"/>
                </w:tcPr>
                <w:p w14:paraId="0C2C6346" w14:textId="77777777" w:rsidR="00F76A63" w:rsidRDefault="00000000">
                  <w:pPr>
                    <w:jc w:val="center"/>
                    <w:rPr>
                      <w:sz w:val="18"/>
                      <w:szCs w:val="18"/>
                    </w:rPr>
                  </w:pPr>
                  <w:r>
                    <w:rPr>
                      <w:rFonts w:hint="eastAsia"/>
                      <w:sz w:val="18"/>
                      <w:szCs w:val="18"/>
                    </w:rPr>
                    <w:t>检修后开机阶段典型工艺波动</w:t>
                  </w:r>
                </w:p>
              </w:tc>
            </w:tr>
            <w:tr w:rsidR="00F76A63" w14:paraId="238C6DE7" w14:textId="77777777">
              <w:trPr>
                <w:jc w:val="center"/>
              </w:trPr>
              <w:tc>
                <w:tcPr>
                  <w:tcW w:w="1444" w:type="dxa"/>
                  <w:vAlign w:val="center"/>
                </w:tcPr>
                <w:p w14:paraId="14ACC0F5" w14:textId="77777777" w:rsidR="00F76A63" w:rsidRDefault="00000000">
                  <w:pPr>
                    <w:jc w:val="center"/>
                    <w:rPr>
                      <w:sz w:val="18"/>
                      <w:szCs w:val="18"/>
                    </w:rPr>
                  </w:pPr>
                  <w:r>
                    <w:rPr>
                      <w:rFonts w:hint="eastAsia"/>
                      <w:sz w:val="18"/>
                      <w:szCs w:val="18"/>
                    </w:rPr>
                    <w:t>2026.01.09</w:t>
                  </w:r>
                </w:p>
              </w:tc>
              <w:tc>
                <w:tcPr>
                  <w:tcW w:w="1060" w:type="dxa"/>
                  <w:vAlign w:val="center"/>
                </w:tcPr>
                <w:p w14:paraId="42732A08" w14:textId="77777777" w:rsidR="00F76A63" w:rsidRDefault="00000000">
                  <w:pPr>
                    <w:jc w:val="center"/>
                    <w:rPr>
                      <w:sz w:val="18"/>
                      <w:szCs w:val="18"/>
                    </w:rPr>
                  </w:pPr>
                  <w:r>
                    <w:rPr>
                      <w:rFonts w:hint="eastAsia"/>
                      <w:sz w:val="18"/>
                      <w:szCs w:val="18"/>
                    </w:rPr>
                    <w:t>1#</w:t>
                  </w:r>
                  <w:r>
                    <w:rPr>
                      <w:rFonts w:hint="eastAsia"/>
                      <w:sz w:val="18"/>
                      <w:szCs w:val="18"/>
                    </w:rPr>
                    <w:t>窑尾</w:t>
                  </w:r>
                </w:p>
              </w:tc>
              <w:tc>
                <w:tcPr>
                  <w:tcW w:w="1276" w:type="dxa"/>
                  <w:vAlign w:val="center"/>
                </w:tcPr>
                <w:p w14:paraId="57204321" w14:textId="77777777" w:rsidR="00F76A63" w:rsidRDefault="00000000">
                  <w:pPr>
                    <w:jc w:val="center"/>
                    <w:rPr>
                      <w:sz w:val="18"/>
                      <w:szCs w:val="18"/>
                    </w:rPr>
                  </w:pPr>
                  <w:r>
                    <w:rPr>
                      <w:rFonts w:hint="eastAsia"/>
                      <w:sz w:val="18"/>
                      <w:szCs w:val="18"/>
                    </w:rPr>
                    <w:t>氮氧化物</w:t>
                  </w:r>
                </w:p>
              </w:tc>
              <w:tc>
                <w:tcPr>
                  <w:tcW w:w="1417" w:type="dxa"/>
                  <w:vAlign w:val="center"/>
                </w:tcPr>
                <w:p w14:paraId="0BBC3B1C" w14:textId="77777777" w:rsidR="00F76A63" w:rsidRDefault="00000000">
                  <w:pPr>
                    <w:jc w:val="center"/>
                    <w:rPr>
                      <w:sz w:val="18"/>
                      <w:szCs w:val="18"/>
                    </w:rPr>
                  </w:pPr>
                  <w:r>
                    <w:rPr>
                      <w:rFonts w:hint="eastAsia"/>
                      <w:sz w:val="18"/>
                      <w:szCs w:val="18"/>
                    </w:rPr>
                    <w:t>53.74</w:t>
                  </w:r>
                </w:p>
              </w:tc>
              <w:tc>
                <w:tcPr>
                  <w:tcW w:w="2914" w:type="dxa"/>
                </w:tcPr>
                <w:p w14:paraId="4F3446C9" w14:textId="77777777" w:rsidR="00F76A63" w:rsidRDefault="00000000">
                  <w:pPr>
                    <w:jc w:val="center"/>
                    <w:rPr>
                      <w:sz w:val="18"/>
                      <w:szCs w:val="18"/>
                    </w:rPr>
                  </w:pPr>
                  <w:r>
                    <w:rPr>
                      <w:rFonts w:hint="eastAsia"/>
                      <w:sz w:val="18"/>
                      <w:szCs w:val="18"/>
                    </w:rPr>
                    <w:t>检修后开机阶段典型工艺波动</w:t>
                  </w:r>
                </w:p>
              </w:tc>
            </w:tr>
            <w:tr w:rsidR="00F76A63" w14:paraId="0693362F" w14:textId="77777777">
              <w:trPr>
                <w:jc w:val="center"/>
              </w:trPr>
              <w:tc>
                <w:tcPr>
                  <w:tcW w:w="1444" w:type="dxa"/>
                  <w:vAlign w:val="center"/>
                </w:tcPr>
                <w:p w14:paraId="5D610B70" w14:textId="77777777" w:rsidR="00F76A63" w:rsidRDefault="00000000">
                  <w:pPr>
                    <w:jc w:val="center"/>
                    <w:rPr>
                      <w:sz w:val="18"/>
                      <w:szCs w:val="18"/>
                    </w:rPr>
                  </w:pPr>
                  <w:r>
                    <w:rPr>
                      <w:rFonts w:hint="eastAsia"/>
                      <w:sz w:val="18"/>
                      <w:szCs w:val="18"/>
                    </w:rPr>
                    <w:t>2026.03.01</w:t>
                  </w:r>
                </w:p>
              </w:tc>
              <w:tc>
                <w:tcPr>
                  <w:tcW w:w="1060" w:type="dxa"/>
                  <w:vAlign w:val="center"/>
                </w:tcPr>
                <w:p w14:paraId="6F009D54" w14:textId="77777777" w:rsidR="00F76A63" w:rsidRDefault="00000000">
                  <w:pPr>
                    <w:jc w:val="center"/>
                    <w:rPr>
                      <w:sz w:val="18"/>
                      <w:szCs w:val="18"/>
                    </w:rPr>
                  </w:pPr>
                  <w:r>
                    <w:rPr>
                      <w:rFonts w:hint="eastAsia"/>
                      <w:sz w:val="18"/>
                      <w:szCs w:val="18"/>
                    </w:rPr>
                    <w:t>1#</w:t>
                  </w:r>
                  <w:r>
                    <w:rPr>
                      <w:rFonts w:hint="eastAsia"/>
                      <w:sz w:val="18"/>
                      <w:szCs w:val="18"/>
                    </w:rPr>
                    <w:t>窑尾</w:t>
                  </w:r>
                </w:p>
              </w:tc>
              <w:tc>
                <w:tcPr>
                  <w:tcW w:w="1276" w:type="dxa"/>
                  <w:vAlign w:val="center"/>
                </w:tcPr>
                <w:p w14:paraId="05A090F6" w14:textId="77777777" w:rsidR="00F76A63" w:rsidRDefault="00000000">
                  <w:pPr>
                    <w:jc w:val="center"/>
                    <w:rPr>
                      <w:sz w:val="18"/>
                      <w:szCs w:val="18"/>
                    </w:rPr>
                  </w:pPr>
                  <w:r>
                    <w:rPr>
                      <w:rFonts w:hint="eastAsia"/>
                      <w:sz w:val="18"/>
                      <w:szCs w:val="18"/>
                    </w:rPr>
                    <w:t>氮氧化物</w:t>
                  </w:r>
                </w:p>
              </w:tc>
              <w:tc>
                <w:tcPr>
                  <w:tcW w:w="1417" w:type="dxa"/>
                  <w:vAlign w:val="center"/>
                </w:tcPr>
                <w:p w14:paraId="7BE5E124" w14:textId="77777777" w:rsidR="00F76A63" w:rsidRDefault="00000000">
                  <w:pPr>
                    <w:jc w:val="center"/>
                    <w:rPr>
                      <w:sz w:val="18"/>
                      <w:szCs w:val="18"/>
                    </w:rPr>
                  </w:pPr>
                  <w:r>
                    <w:rPr>
                      <w:rFonts w:hint="eastAsia"/>
                      <w:sz w:val="18"/>
                      <w:szCs w:val="18"/>
                    </w:rPr>
                    <w:t>68.59</w:t>
                  </w:r>
                </w:p>
              </w:tc>
              <w:tc>
                <w:tcPr>
                  <w:tcW w:w="2914" w:type="dxa"/>
                </w:tcPr>
                <w:p w14:paraId="3CFB0FA0" w14:textId="77777777" w:rsidR="00F76A63" w:rsidRDefault="00000000">
                  <w:pPr>
                    <w:jc w:val="center"/>
                    <w:rPr>
                      <w:sz w:val="18"/>
                      <w:szCs w:val="18"/>
                    </w:rPr>
                  </w:pPr>
                  <w:r>
                    <w:rPr>
                      <w:rFonts w:hint="eastAsia"/>
                      <w:sz w:val="18"/>
                      <w:szCs w:val="18"/>
                    </w:rPr>
                    <w:t>检修后开机阶段典型工艺波动</w:t>
                  </w:r>
                </w:p>
              </w:tc>
            </w:tr>
            <w:tr w:rsidR="00F76A63" w14:paraId="7D7AFC23" w14:textId="77777777">
              <w:trPr>
                <w:jc w:val="center"/>
              </w:trPr>
              <w:tc>
                <w:tcPr>
                  <w:tcW w:w="1444" w:type="dxa"/>
                  <w:vAlign w:val="center"/>
                </w:tcPr>
                <w:p w14:paraId="5892605F" w14:textId="77777777" w:rsidR="00F76A63" w:rsidRDefault="00000000">
                  <w:pPr>
                    <w:jc w:val="center"/>
                    <w:rPr>
                      <w:sz w:val="18"/>
                      <w:szCs w:val="18"/>
                    </w:rPr>
                  </w:pPr>
                  <w:r>
                    <w:rPr>
                      <w:rFonts w:hint="eastAsia"/>
                      <w:sz w:val="18"/>
                      <w:szCs w:val="18"/>
                    </w:rPr>
                    <w:t>2024.07.15</w:t>
                  </w:r>
                </w:p>
              </w:tc>
              <w:tc>
                <w:tcPr>
                  <w:tcW w:w="1060" w:type="dxa"/>
                  <w:vAlign w:val="center"/>
                </w:tcPr>
                <w:p w14:paraId="0287F84E"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354D6901" w14:textId="77777777" w:rsidR="00F76A63" w:rsidRDefault="00000000">
                  <w:pPr>
                    <w:jc w:val="center"/>
                    <w:rPr>
                      <w:sz w:val="18"/>
                      <w:szCs w:val="18"/>
                    </w:rPr>
                  </w:pPr>
                  <w:r>
                    <w:rPr>
                      <w:rFonts w:hint="eastAsia"/>
                      <w:sz w:val="18"/>
                      <w:szCs w:val="18"/>
                    </w:rPr>
                    <w:t>氮氧化物</w:t>
                  </w:r>
                </w:p>
              </w:tc>
              <w:tc>
                <w:tcPr>
                  <w:tcW w:w="1417" w:type="dxa"/>
                  <w:vAlign w:val="center"/>
                </w:tcPr>
                <w:p w14:paraId="75C22CB2" w14:textId="77777777" w:rsidR="00F76A63" w:rsidRDefault="00000000">
                  <w:pPr>
                    <w:jc w:val="center"/>
                    <w:rPr>
                      <w:sz w:val="18"/>
                      <w:szCs w:val="18"/>
                    </w:rPr>
                  </w:pPr>
                  <w:r>
                    <w:rPr>
                      <w:rFonts w:hint="eastAsia"/>
                      <w:sz w:val="18"/>
                      <w:szCs w:val="18"/>
                    </w:rPr>
                    <w:t>69.91</w:t>
                  </w:r>
                </w:p>
              </w:tc>
              <w:tc>
                <w:tcPr>
                  <w:tcW w:w="2914" w:type="dxa"/>
                </w:tcPr>
                <w:p w14:paraId="353997A2" w14:textId="77777777" w:rsidR="00F76A63" w:rsidRDefault="00000000">
                  <w:pPr>
                    <w:jc w:val="center"/>
                    <w:rPr>
                      <w:sz w:val="18"/>
                      <w:szCs w:val="18"/>
                    </w:rPr>
                  </w:pPr>
                  <w:r>
                    <w:rPr>
                      <w:rFonts w:hint="eastAsia"/>
                      <w:sz w:val="18"/>
                      <w:szCs w:val="18"/>
                    </w:rPr>
                    <w:t>检修后开机阶段典型工艺波动</w:t>
                  </w:r>
                </w:p>
              </w:tc>
            </w:tr>
            <w:tr w:rsidR="00F76A63" w14:paraId="7C59A78C" w14:textId="77777777">
              <w:trPr>
                <w:jc w:val="center"/>
              </w:trPr>
              <w:tc>
                <w:tcPr>
                  <w:tcW w:w="1444" w:type="dxa"/>
                  <w:vAlign w:val="center"/>
                </w:tcPr>
                <w:p w14:paraId="7227C632" w14:textId="77777777" w:rsidR="00F76A63" w:rsidRDefault="00000000">
                  <w:pPr>
                    <w:jc w:val="center"/>
                    <w:rPr>
                      <w:sz w:val="18"/>
                      <w:szCs w:val="18"/>
                    </w:rPr>
                  </w:pPr>
                  <w:r>
                    <w:rPr>
                      <w:rFonts w:hint="eastAsia"/>
                      <w:sz w:val="18"/>
                      <w:szCs w:val="18"/>
                    </w:rPr>
                    <w:t>2024.10.18</w:t>
                  </w:r>
                </w:p>
              </w:tc>
              <w:tc>
                <w:tcPr>
                  <w:tcW w:w="1060" w:type="dxa"/>
                  <w:vAlign w:val="center"/>
                </w:tcPr>
                <w:p w14:paraId="7AEB5330"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30E34F5A" w14:textId="77777777" w:rsidR="00F76A63" w:rsidRDefault="00000000">
                  <w:pPr>
                    <w:jc w:val="center"/>
                    <w:rPr>
                      <w:sz w:val="18"/>
                      <w:szCs w:val="18"/>
                    </w:rPr>
                  </w:pPr>
                  <w:r>
                    <w:rPr>
                      <w:rFonts w:hint="eastAsia"/>
                      <w:sz w:val="18"/>
                      <w:szCs w:val="18"/>
                    </w:rPr>
                    <w:t>二氧化硫</w:t>
                  </w:r>
                </w:p>
              </w:tc>
              <w:tc>
                <w:tcPr>
                  <w:tcW w:w="1417" w:type="dxa"/>
                  <w:vAlign w:val="center"/>
                </w:tcPr>
                <w:p w14:paraId="1B67ED5D" w14:textId="77777777" w:rsidR="00F76A63" w:rsidRDefault="00000000">
                  <w:pPr>
                    <w:jc w:val="center"/>
                    <w:rPr>
                      <w:sz w:val="18"/>
                      <w:szCs w:val="18"/>
                    </w:rPr>
                  </w:pPr>
                  <w:r>
                    <w:rPr>
                      <w:rFonts w:hint="eastAsia"/>
                      <w:sz w:val="18"/>
                      <w:szCs w:val="18"/>
                    </w:rPr>
                    <w:t>40.74</w:t>
                  </w:r>
                </w:p>
              </w:tc>
              <w:tc>
                <w:tcPr>
                  <w:tcW w:w="2914" w:type="dxa"/>
                </w:tcPr>
                <w:p w14:paraId="7D09CF11" w14:textId="77777777" w:rsidR="00F76A63" w:rsidRDefault="00000000">
                  <w:pPr>
                    <w:jc w:val="center"/>
                    <w:rPr>
                      <w:sz w:val="18"/>
                      <w:szCs w:val="18"/>
                    </w:rPr>
                  </w:pPr>
                  <w:r>
                    <w:rPr>
                      <w:rFonts w:hint="eastAsia"/>
                      <w:sz w:val="18"/>
                      <w:szCs w:val="18"/>
                    </w:rPr>
                    <w:t>检修后开机阶段典型工艺波动</w:t>
                  </w:r>
                </w:p>
              </w:tc>
            </w:tr>
            <w:tr w:rsidR="00F76A63" w14:paraId="60BDD1BF" w14:textId="77777777">
              <w:trPr>
                <w:jc w:val="center"/>
              </w:trPr>
              <w:tc>
                <w:tcPr>
                  <w:tcW w:w="1444" w:type="dxa"/>
                  <w:vAlign w:val="center"/>
                </w:tcPr>
                <w:p w14:paraId="167DA71D" w14:textId="77777777" w:rsidR="00F76A63" w:rsidRDefault="00000000">
                  <w:pPr>
                    <w:jc w:val="center"/>
                    <w:rPr>
                      <w:sz w:val="18"/>
                      <w:szCs w:val="18"/>
                    </w:rPr>
                  </w:pPr>
                  <w:r>
                    <w:rPr>
                      <w:rFonts w:hint="eastAsia"/>
                      <w:sz w:val="18"/>
                      <w:szCs w:val="18"/>
                    </w:rPr>
                    <w:t>2024.10.18</w:t>
                  </w:r>
                </w:p>
              </w:tc>
              <w:tc>
                <w:tcPr>
                  <w:tcW w:w="1060" w:type="dxa"/>
                  <w:vAlign w:val="center"/>
                </w:tcPr>
                <w:p w14:paraId="6D80C3BF"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7FE269C6" w14:textId="77777777" w:rsidR="00F76A63" w:rsidRDefault="00000000">
                  <w:pPr>
                    <w:jc w:val="center"/>
                    <w:rPr>
                      <w:sz w:val="18"/>
                      <w:szCs w:val="18"/>
                    </w:rPr>
                  </w:pPr>
                  <w:r>
                    <w:rPr>
                      <w:rFonts w:hint="eastAsia"/>
                      <w:sz w:val="18"/>
                      <w:szCs w:val="18"/>
                    </w:rPr>
                    <w:t>氮氧化物</w:t>
                  </w:r>
                </w:p>
              </w:tc>
              <w:tc>
                <w:tcPr>
                  <w:tcW w:w="1417" w:type="dxa"/>
                  <w:vAlign w:val="center"/>
                </w:tcPr>
                <w:p w14:paraId="2C00C6A5" w14:textId="77777777" w:rsidR="00F76A63" w:rsidRDefault="00000000">
                  <w:pPr>
                    <w:jc w:val="center"/>
                    <w:rPr>
                      <w:sz w:val="18"/>
                      <w:szCs w:val="18"/>
                    </w:rPr>
                  </w:pPr>
                  <w:r>
                    <w:rPr>
                      <w:rFonts w:hint="eastAsia"/>
                      <w:sz w:val="18"/>
                      <w:szCs w:val="18"/>
                    </w:rPr>
                    <w:t>84.99</w:t>
                  </w:r>
                </w:p>
              </w:tc>
              <w:tc>
                <w:tcPr>
                  <w:tcW w:w="2914" w:type="dxa"/>
                </w:tcPr>
                <w:p w14:paraId="34D16934" w14:textId="77777777" w:rsidR="00F76A63" w:rsidRDefault="00000000">
                  <w:pPr>
                    <w:jc w:val="center"/>
                    <w:rPr>
                      <w:sz w:val="18"/>
                      <w:szCs w:val="18"/>
                    </w:rPr>
                  </w:pPr>
                  <w:r>
                    <w:rPr>
                      <w:rFonts w:hint="eastAsia"/>
                      <w:sz w:val="18"/>
                      <w:szCs w:val="18"/>
                    </w:rPr>
                    <w:t>检修后开机阶段典型工艺波动</w:t>
                  </w:r>
                </w:p>
              </w:tc>
            </w:tr>
            <w:tr w:rsidR="00F76A63" w14:paraId="1616FC09" w14:textId="77777777">
              <w:trPr>
                <w:jc w:val="center"/>
              </w:trPr>
              <w:tc>
                <w:tcPr>
                  <w:tcW w:w="1444" w:type="dxa"/>
                  <w:vAlign w:val="center"/>
                </w:tcPr>
                <w:p w14:paraId="6D246EC4" w14:textId="77777777" w:rsidR="00F76A63" w:rsidRDefault="00000000">
                  <w:pPr>
                    <w:jc w:val="center"/>
                    <w:rPr>
                      <w:sz w:val="18"/>
                      <w:szCs w:val="18"/>
                    </w:rPr>
                  </w:pPr>
                  <w:r>
                    <w:rPr>
                      <w:rFonts w:hint="eastAsia"/>
                      <w:sz w:val="18"/>
                      <w:szCs w:val="18"/>
                    </w:rPr>
                    <w:t>2024.11.30</w:t>
                  </w:r>
                </w:p>
              </w:tc>
              <w:tc>
                <w:tcPr>
                  <w:tcW w:w="1060" w:type="dxa"/>
                  <w:vAlign w:val="center"/>
                </w:tcPr>
                <w:p w14:paraId="29BA4200"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6982C9F2" w14:textId="77777777" w:rsidR="00F76A63" w:rsidRDefault="00000000">
                  <w:pPr>
                    <w:jc w:val="center"/>
                    <w:rPr>
                      <w:sz w:val="18"/>
                      <w:szCs w:val="18"/>
                    </w:rPr>
                  </w:pPr>
                  <w:r>
                    <w:rPr>
                      <w:rFonts w:hint="eastAsia"/>
                      <w:sz w:val="18"/>
                      <w:szCs w:val="18"/>
                    </w:rPr>
                    <w:t>氮氧化物</w:t>
                  </w:r>
                </w:p>
              </w:tc>
              <w:tc>
                <w:tcPr>
                  <w:tcW w:w="1417" w:type="dxa"/>
                  <w:vAlign w:val="center"/>
                </w:tcPr>
                <w:p w14:paraId="598A41D9" w14:textId="77777777" w:rsidR="00F76A63" w:rsidRDefault="00000000">
                  <w:pPr>
                    <w:jc w:val="center"/>
                    <w:rPr>
                      <w:sz w:val="18"/>
                      <w:szCs w:val="18"/>
                    </w:rPr>
                  </w:pPr>
                  <w:r>
                    <w:rPr>
                      <w:rFonts w:hint="eastAsia"/>
                      <w:sz w:val="18"/>
                      <w:szCs w:val="18"/>
                    </w:rPr>
                    <w:t>84.97</w:t>
                  </w:r>
                </w:p>
              </w:tc>
              <w:tc>
                <w:tcPr>
                  <w:tcW w:w="2914" w:type="dxa"/>
                </w:tcPr>
                <w:p w14:paraId="280D021E" w14:textId="77777777" w:rsidR="00F76A63" w:rsidRDefault="00000000">
                  <w:pPr>
                    <w:jc w:val="center"/>
                    <w:rPr>
                      <w:sz w:val="18"/>
                      <w:szCs w:val="18"/>
                    </w:rPr>
                  </w:pPr>
                  <w:r>
                    <w:rPr>
                      <w:rFonts w:hint="eastAsia"/>
                      <w:sz w:val="18"/>
                      <w:szCs w:val="18"/>
                    </w:rPr>
                    <w:t>检修后开机阶段典型工艺波动</w:t>
                  </w:r>
                </w:p>
              </w:tc>
            </w:tr>
            <w:tr w:rsidR="00F76A63" w14:paraId="3DEEFDE7" w14:textId="77777777">
              <w:trPr>
                <w:jc w:val="center"/>
              </w:trPr>
              <w:tc>
                <w:tcPr>
                  <w:tcW w:w="1444" w:type="dxa"/>
                  <w:vAlign w:val="center"/>
                </w:tcPr>
                <w:p w14:paraId="0ACFB585" w14:textId="77777777" w:rsidR="00F76A63" w:rsidRDefault="00000000">
                  <w:pPr>
                    <w:jc w:val="center"/>
                    <w:rPr>
                      <w:sz w:val="18"/>
                      <w:szCs w:val="18"/>
                    </w:rPr>
                  </w:pPr>
                  <w:r>
                    <w:rPr>
                      <w:rFonts w:hint="eastAsia"/>
                      <w:sz w:val="18"/>
                      <w:szCs w:val="18"/>
                    </w:rPr>
                    <w:t>2025.01.03</w:t>
                  </w:r>
                </w:p>
              </w:tc>
              <w:tc>
                <w:tcPr>
                  <w:tcW w:w="1060" w:type="dxa"/>
                  <w:vAlign w:val="center"/>
                </w:tcPr>
                <w:p w14:paraId="5D737765"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31B853DB" w14:textId="77777777" w:rsidR="00F76A63" w:rsidRDefault="00000000">
                  <w:pPr>
                    <w:jc w:val="center"/>
                    <w:rPr>
                      <w:sz w:val="18"/>
                      <w:szCs w:val="18"/>
                    </w:rPr>
                  </w:pPr>
                  <w:r>
                    <w:rPr>
                      <w:rFonts w:hint="eastAsia"/>
                      <w:sz w:val="18"/>
                      <w:szCs w:val="18"/>
                    </w:rPr>
                    <w:t>二氧化硫</w:t>
                  </w:r>
                </w:p>
              </w:tc>
              <w:tc>
                <w:tcPr>
                  <w:tcW w:w="1417" w:type="dxa"/>
                  <w:vAlign w:val="center"/>
                </w:tcPr>
                <w:p w14:paraId="0775BD32" w14:textId="77777777" w:rsidR="00F76A63" w:rsidRDefault="00000000">
                  <w:pPr>
                    <w:jc w:val="center"/>
                    <w:rPr>
                      <w:sz w:val="18"/>
                      <w:szCs w:val="18"/>
                    </w:rPr>
                  </w:pPr>
                  <w:r>
                    <w:rPr>
                      <w:rFonts w:hint="eastAsia"/>
                      <w:sz w:val="18"/>
                      <w:szCs w:val="18"/>
                    </w:rPr>
                    <w:t>35.10</w:t>
                  </w:r>
                </w:p>
              </w:tc>
              <w:tc>
                <w:tcPr>
                  <w:tcW w:w="2914" w:type="dxa"/>
                </w:tcPr>
                <w:p w14:paraId="4AE7E953" w14:textId="77777777" w:rsidR="00F76A63" w:rsidRDefault="00000000">
                  <w:pPr>
                    <w:jc w:val="center"/>
                    <w:rPr>
                      <w:sz w:val="18"/>
                      <w:szCs w:val="18"/>
                    </w:rPr>
                  </w:pPr>
                  <w:r>
                    <w:rPr>
                      <w:rFonts w:hint="eastAsia"/>
                      <w:sz w:val="18"/>
                      <w:szCs w:val="18"/>
                    </w:rPr>
                    <w:t>检修后开机阶段典型工艺波动</w:t>
                  </w:r>
                </w:p>
              </w:tc>
            </w:tr>
            <w:tr w:rsidR="00F76A63" w14:paraId="196E1DCA" w14:textId="77777777">
              <w:trPr>
                <w:jc w:val="center"/>
              </w:trPr>
              <w:tc>
                <w:tcPr>
                  <w:tcW w:w="1444" w:type="dxa"/>
                  <w:vAlign w:val="center"/>
                </w:tcPr>
                <w:p w14:paraId="148F5E36" w14:textId="77777777" w:rsidR="00F76A63" w:rsidRDefault="00000000">
                  <w:pPr>
                    <w:jc w:val="center"/>
                    <w:rPr>
                      <w:sz w:val="18"/>
                      <w:szCs w:val="18"/>
                    </w:rPr>
                  </w:pPr>
                  <w:r>
                    <w:rPr>
                      <w:rFonts w:hint="eastAsia"/>
                      <w:sz w:val="18"/>
                      <w:szCs w:val="18"/>
                    </w:rPr>
                    <w:t>2025.01.03</w:t>
                  </w:r>
                </w:p>
              </w:tc>
              <w:tc>
                <w:tcPr>
                  <w:tcW w:w="1060" w:type="dxa"/>
                  <w:vAlign w:val="center"/>
                </w:tcPr>
                <w:p w14:paraId="5B1E088B"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2A3AAEEA" w14:textId="77777777" w:rsidR="00F76A63" w:rsidRDefault="00000000">
                  <w:pPr>
                    <w:jc w:val="center"/>
                    <w:rPr>
                      <w:sz w:val="18"/>
                      <w:szCs w:val="18"/>
                    </w:rPr>
                  </w:pPr>
                  <w:r>
                    <w:rPr>
                      <w:rFonts w:hint="eastAsia"/>
                      <w:sz w:val="18"/>
                      <w:szCs w:val="18"/>
                    </w:rPr>
                    <w:t>氮氧化物</w:t>
                  </w:r>
                </w:p>
              </w:tc>
              <w:tc>
                <w:tcPr>
                  <w:tcW w:w="1417" w:type="dxa"/>
                  <w:vAlign w:val="center"/>
                </w:tcPr>
                <w:p w14:paraId="2855087F" w14:textId="77777777" w:rsidR="00F76A63" w:rsidRDefault="00000000">
                  <w:pPr>
                    <w:jc w:val="center"/>
                    <w:rPr>
                      <w:sz w:val="18"/>
                      <w:szCs w:val="18"/>
                    </w:rPr>
                  </w:pPr>
                  <w:r>
                    <w:rPr>
                      <w:rFonts w:hint="eastAsia"/>
                      <w:sz w:val="18"/>
                      <w:szCs w:val="18"/>
                    </w:rPr>
                    <w:t>69.96</w:t>
                  </w:r>
                </w:p>
              </w:tc>
              <w:tc>
                <w:tcPr>
                  <w:tcW w:w="2914" w:type="dxa"/>
                </w:tcPr>
                <w:p w14:paraId="6133C088" w14:textId="77777777" w:rsidR="00F76A63" w:rsidRDefault="00000000">
                  <w:pPr>
                    <w:jc w:val="center"/>
                    <w:rPr>
                      <w:sz w:val="18"/>
                      <w:szCs w:val="18"/>
                    </w:rPr>
                  </w:pPr>
                  <w:r>
                    <w:rPr>
                      <w:rFonts w:hint="eastAsia"/>
                      <w:sz w:val="18"/>
                      <w:szCs w:val="18"/>
                    </w:rPr>
                    <w:t>检修后开机阶段典型工艺波动</w:t>
                  </w:r>
                </w:p>
              </w:tc>
            </w:tr>
            <w:tr w:rsidR="00F76A63" w14:paraId="63CCC89A" w14:textId="77777777">
              <w:trPr>
                <w:jc w:val="center"/>
              </w:trPr>
              <w:tc>
                <w:tcPr>
                  <w:tcW w:w="1444" w:type="dxa"/>
                  <w:vAlign w:val="center"/>
                </w:tcPr>
                <w:p w14:paraId="307995F1" w14:textId="77777777" w:rsidR="00F76A63" w:rsidRDefault="00000000">
                  <w:pPr>
                    <w:jc w:val="center"/>
                    <w:rPr>
                      <w:sz w:val="18"/>
                      <w:szCs w:val="18"/>
                    </w:rPr>
                  </w:pPr>
                  <w:r>
                    <w:rPr>
                      <w:rFonts w:hint="eastAsia"/>
                      <w:sz w:val="18"/>
                      <w:szCs w:val="18"/>
                    </w:rPr>
                    <w:lastRenderedPageBreak/>
                    <w:t>2025.03.03</w:t>
                  </w:r>
                </w:p>
              </w:tc>
              <w:tc>
                <w:tcPr>
                  <w:tcW w:w="1060" w:type="dxa"/>
                  <w:vAlign w:val="center"/>
                </w:tcPr>
                <w:p w14:paraId="437A03EF"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3AF5C94E" w14:textId="77777777" w:rsidR="00F76A63" w:rsidRDefault="00000000">
                  <w:pPr>
                    <w:jc w:val="center"/>
                    <w:rPr>
                      <w:sz w:val="18"/>
                      <w:szCs w:val="18"/>
                    </w:rPr>
                  </w:pPr>
                  <w:r>
                    <w:rPr>
                      <w:rFonts w:hint="eastAsia"/>
                      <w:sz w:val="18"/>
                      <w:szCs w:val="18"/>
                    </w:rPr>
                    <w:t>氮氧化物</w:t>
                  </w:r>
                </w:p>
              </w:tc>
              <w:tc>
                <w:tcPr>
                  <w:tcW w:w="1417" w:type="dxa"/>
                  <w:vAlign w:val="center"/>
                </w:tcPr>
                <w:p w14:paraId="02389B3E" w14:textId="77777777" w:rsidR="00F76A63" w:rsidRDefault="00000000">
                  <w:pPr>
                    <w:jc w:val="center"/>
                    <w:rPr>
                      <w:sz w:val="18"/>
                      <w:szCs w:val="18"/>
                    </w:rPr>
                  </w:pPr>
                  <w:r>
                    <w:rPr>
                      <w:rFonts w:hint="eastAsia"/>
                      <w:sz w:val="18"/>
                      <w:szCs w:val="18"/>
                    </w:rPr>
                    <w:t>81.69</w:t>
                  </w:r>
                </w:p>
              </w:tc>
              <w:tc>
                <w:tcPr>
                  <w:tcW w:w="2914" w:type="dxa"/>
                </w:tcPr>
                <w:p w14:paraId="50A84E33" w14:textId="77777777" w:rsidR="00F76A63" w:rsidRDefault="00000000">
                  <w:pPr>
                    <w:jc w:val="center"/>
                    <w:rPr>
                      <w:sz w:val="18"/>
                      <w:szCs w:val="18"/>
                    </w:rPr>
                  </w:pPr>
                  <w:r>
                    <w:rPr>
                      <w:rFonts w:hint="eastAsia"/>
                      <w:sz w:val="18"/>
                      <w:szCs w:val="18"/>
                    </w:rPr>
                    <w:t>检修后开机阶段典型工艺波动</w:t>
                  </w:r>
                </w:p>
              </w:tc>
            </w:tr>
            <w:tr w:rsidR="00F76A63" w14:paraId="6B216965" w14:textId="77777777">
              <w:trPr>
                <w:jc w:val="center"/>
              </w:trPr>
              <w:tc>
                <w:tcPr>
                  <w:tcW w:w="1444" w:type="dxa"/>
                  <w:vAlign w:val="center"/>
                </w:tcPr>
                <w:p w14:paraId="4238B721" w14:textId="77777777" w:rsidR="00F76A63" w:rsidRDefault="00000000">
                  <w:pPr>
                    <w:jc w:val="center"/>
                    <w:rPr>
                      <w:sz w:val="18"/>
                      <w:szCs w:val="18"/>
                    </w:rPr>
                  </w:pPr>
                  <w:r>
                    <w:rPr>
                      <w:rFonts w:hint="eastAsia"/>
                      <w:sz w:val="18"/>
                      <w:szCs w:val="18"/>
                    </w:rPr>
                    <w:t>2025.04.19</w:t>
                  </w:r>
                </w:p>
              </w:tc>
              <w:tc>
                <w:tcPr>
                  <w:tcW w:w="1060" w:type="dxa"/>
                  <w:vAlign w:val="center"/>
                </w:tcPr>
                <w:p w14:paraId="14D63825"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79349E08" w14:textId="77777777" w:rsidR="00F76A63" w:rsidRDefault="00000000">
                  <w:pPr>
                    <w:jc w:val="center"/>
                    <w:rPr>
                      <w:sz w:val="18"/>
                      <w:szCs w:val="18"/>
                    </w:rPr>
                  </w:pPr>
                  <w:r>
                    <w:rPr>
                      <w:rFonts w:hint="eastAsia"/>
                      <w:sz w:val="18"/>
                      <w:szCs w:val="18"/>
                    </w:rPr>
                    <w:t>氮氧化物</w:t>
                  </w:r>
                </w:p>
              </w:tc>
              <w:tc>
                <w:tcPr>
                  <w:tcW w:w="1417" w:type="dxa"/>
                  <w:vAlign w:val="center"/>
                </w:tcPr>
                <w:p w14:paraId="729F9AC1" w14:textId="77777777" w:rsidR="00F76A63" w:rsidRDefault="00000000">
                  <w:pPr>
                    <w:jc w:val="center"/>
                    <w:rPr>
                      <w:sz w:val="18"/>
                      <w:szCs w:val="18"/>
                    </w:rPr>
                  </w:pPr>
                  <w:r>
                    <w:rPr>
                      <w:rFonts w:hint="eastAsia"/>
                      <w:sz w:val="18"/>
                      <w:szCs w:val="18"/>
                    </w:rPr>
                    <w:t>50.78</w:t>
                  </w:r>
                </w:p>
              </w:tc>
              <w:tc>
                <w:tcPr>
                  <w:tcW w:w="2914" w:type="dxa"/>
                </w:tcPr>
                <w:p w14:paraId="7000D612" w14:textId="77777777" w:rsidR="00F76A63" w:rsidRDefault="00000000">
                  <w:pPr>
                    <w:jc w:val="center"/>
                    <w:rPr>
                      <w:sz w:val="18"/>
                      <w:szCs w:val="18"/>
                    </w:rPr>
                  </w:pPr>
                  <w:r>
                    <w:rPr>
                      <w:rFonts w:hint="eastAsia"/>
                      <w:sz w:val="18"/>
                      <w:szCs w:val="18"/>
                    </w:rPr>
                    <w:t>检修后开机阶段典型工艺波动</w:t>
                  </w:r>
                </w:p>
              </w:tc>
            </w:tr>
            <w:tr w:rsidR="00F76A63" w14:paraId="7CC94623" w14:textId="77777777">
              <w:trPr>
                <w:jc w:val="center"/>
              </w:trPr>
              <w:tc>
                <w:tcPr>
                  <w:tcW w:w="1444" w:type="dxa"/>
                  <w:vAlign w:val="center"/>
                </w:tcPr>
                <w:p w14:paraId="7BD54771" w14:textId="77777777" w:rsidR="00F76A63" w:rsidRDefault="00000000">
                  <w:pPr>
                    <w:jc w:val="center"/>
                    <w:rPr>
                      <w:sz w:val="18"/>
                      <w:szCs w:val="18"/>
                    </w:rPr>
                  </w:pPr>
                  <w:r>
                    <w:rPr>
                      <w:rFonts w:hint="eastAsia"/>
                      <w:sz w:val="18"/>
                      <w:szCs w:val="18"/>
                    </w:rPr>
                    <w:t>2025.06.23</w:t>
                  </w:r>
                </w:p>
              </w:tc>
              <w:tc>
                <w:tcPr>
                  <w:tcW w:w="1060" w:type="dxa"/>
                  <w:vAlign w:val="center"/>
                </w:tcPr>
                <w:p w14:paraId="4022AEB7"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0D957548" w14:textId="77777777" w:rsidR="00F76A63" w:rsidRDefault="00000000">
                  <w:pPr>
                    <w:jc w:val="center"/>
                    <w:rPr>
                      <w:sz w:val="18"/>
                      <w:szCs w:val="18"/>
                    </w:rPr>
                  </w:pPr>
                  <w:r>
                    <w:rPr>
                      <w:rFonts w:hint="eastAsia"/>
                      <w:sz w:val="18"/>
                      <w:szCs w:val="18"/>
                    </w:rPr>
                    <w:t>二氧化硫</w:t>
                  </w:r>
                </w:p>
              </w:tc>
              <w:tc>
                <w:tcPr>
                  <w:tcW w:w="1417" w:type="dxa"/>
                  <w:vAlign w:val="center"/>
                </w:tcPr>
                <w:p w14:paraId="39C0F39E" w14:textId="77777777" w:rsidR="00F76A63" w:rsidRDefault="00000000">
                  <w:pPr>
                    <w:jc w:val="center"/>
                    <w:rPr>
                      <w:sz w:val="18"/>
                      <w:szCs w:val="18"/>
                    </w:rPr>
                  </w:pPr>
                  <w:r>
                    <w:rPr>
                      <w:rFonts w:hint="eastAsia"/>
                      <w:sz w:val="18"/>
                      <w:szCs w:val="18"/>
                    </w:rPr>
                    <w:t>42.90</w:t>
                  </w:r>
                </w:p>
              </w:tc>
              <w:tc>
                <w:tcPr>
                  <w:tcW w:w="2914" w:type="dxa"/>
                </w:tcPr>
                <w:p w14:paraId="3A4ED189" w14:textId="77777777" w:rsidR="00F76A63" w:rsidRDefault="00000000">
                  <w:pPr>
                    <w:jc w:val="center"/>
                    <w:rPr>
                      <w:sz w:val="18"/>
                      <w:szCs w:val="18"/>
                    </w:rPr>
                  </w:pPr>
                  <w:r>
                    <w:rPr>
                      <w:rFonts w:hint="eastAsia"/>
                      <w:sz w:val="18"/>
                      <w:szCs w:val="18"/>
                    </w:rPr>
                    <w:t>检修后开机阶段典型工艺波动</w:t>
                  </w:r>
                </w:p>
              </w:tc>
            </w:tr>
            <w:tr w:rsidR="00F76A63" w14:paraId="44DE7B65" w14:textId="77777777">
              <w:trPr>
                <w:jc w:val="center"/>
              </w:trPr>
              <w:tc>
                <w:tcPr>
                  <w:tcW w:w="1444" w:type="dxa"/>
                  <w:vAlign w:val="center"/>
                </w:tcPr>
                <w:p w14:paraId="5094B6F5" w14:textId="77777777" w:rsidR="00F76A63" w:rsidRDefault="00000000">
                  <w:pPr>
                    <w:jc w:val="center"/>
                    <w:rPr>
                      <w:sz w:val="18"/>
                      <w:szCs w:val="18"/>
                    </w:rPr>
                  </w:pPr>
                  <w:r>
                    <w:rPr>
                      <w:rFonts w:hint="eastAsia"/>
                      <w:sz w:val="18"/>
                      <w:szCs w:val="18"/>
                    </w:rPr>
                    <w:t>2025.06.23</w:t>
                  </w:r>
                </w:p>
              </w:tc>
              <w:tc>
                <w:tcPr>
                  <w:tcW w:w="1060" w:type="dxa"/>
                  <w:vAlign w:val="center"/>
                </w:tcPr>
                <w:p w14:paraId="743BB3C9"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316D1D9B" w14:textId="77777777" w:rsidR="00F76A63" w:rsidRDefault="00000000">
                  <w:pPr>
                    <w:jc w:val="center"/>
                    <w:rPr>
                      <w:sz w:val="18"/>
                      <w:szCs w:val="18"/>
                    </w:rPr>
                  </w:pPr>
                  <w:r>
                    <w:rPr>
                      <w:rFonts w:hint="eastAsia"/>
                      <w:sz w:val="18"/>
                      <w:szCs w:val="18"/>
                    </w:rPr>
                    <w:t>氮氧化物</w:t>
                  </w:r>
                </w:p>
              </w:tc>
              <w:tc>
                <w:tcPr>
                  <w:tcW w:w="1417" w:type="dxa"/>
                  <w:vAlign w:val="center"/>
                </w:tcPr>
                <w:p w14:paraId="42159940" w14:textId="77777777" w:rsidR="00F76A63" w:rsidRDefault="00000000">
                  <w:pPr>
                    <w:jc w:val="center"/>
                    <w:rPr>
                      <w:sz w:val="18"/>
                      <w:szCs w:val="18"/>
                    </w:rPr>
                  </w:pPr>
                  <w:r>
                    <w:rPr>
                      <w:rFonts w:hint="eastAsia"/>
                      <w:sz w:val="18"/>
                      <w:szCs w:val="18"/>
                    </w:rPr>
                    <w:t>81.92</w:t>
                  </w:r>
                </w:p>
              </w:tc>
              <w:tc>
                <w:tcPr>
                  <w:tcW w:w="2914" w:type="dxa"/>
                </w:tcPr>
                <w:p w14:paraId="51A51333" w14:textId="77777777" w:rsidR="00F76A63" w:rsidRDefault="00000000">
                  <w:pPr>
                    <w:jc w:val="center"/>
                    <w:rPr>
                      <w:sz w:val="18"/>
                      <w:szCs w:val="18"/>
                    </w:rPr>
                  </w:pPr>
                  <w:r>
                    <w:rPr>
                      <w:rFonts w:hint="eastAsia"/>
                      <w:sz w:val="18"/>
                      <w:szCs w:val="18"/>
                    </w:rPr>
                    <w:t>检修后开机阶段典型工艺波动</w:t>
                  </w:r>
                </w:p>
              </w:tc>
            </w:tr>
            <w:tr w:rsidR="00F76A63" w14:paraId="0391FBD7" w14:textId="77777777">
              <w:trPr>
                <w:jc w:val="center"/>
              </w:trPr>
              <w:tc>
                <w:tcPr>
                  <w:tcW w:w="1444" w:type="dxa"/>
                  <w:vAlign w:val="center"/>
                </w:tcPr>
                <w:p w14:paraId="2630B2CD" w14:textId="77777777" w:rsidR="00F76A63" w:rsidRDefault="00000000">
                  <w:pPr>
                    <w:jc w:val="center"/>
                    <w:rPr>
                      <w:sz w:val="18"/>
                      <w:szCs w:val="18"/>
                    </w:rPr>
                  </w:pPr>
                  <w:r>
                    <w:rPr>
                      <w:rFonts w:hint="eastAsia"/>
                      <w:sz w:val="18"/>
                      <w:szCs w:val="18"/>
                    </w:rPr>
                    <w:t>2025.09.23</w:t>
                  </w:r>
                </w:p>
              </w:tc>
              <w:tc>
                <w:tcPr>
                  <w:tcW w:w="1060" w:type="dxa"/>
                  <w:vAlign w:val="center"/>
                </w:tcPr>
                <w:p w14:paraId="35482589"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2BD4C20D" w14:textId="77777777" w:rsidR="00F76A63" w:rsidRDefault="00000000">
                  <w:pPr>
                    <w:jc w:val="center"/>
                    <w:rPr>
                      <w:sz w:val="18"/>
                      <w:szCs w:val="18"/>
                    </w:rPr>
                  </w:pPr>
                  <w:r>
                    <w:rPr>
                      <w:rFonts w:hint="eastAsia"/>
                      <w:sz w:val="18"/>
                      <w:szCs w:val="18"/>
                    </w:rPr>
                    <w:t>氮氧化物</w:t>
                  </w:r>
                </w:p>
              </w:tc>
              <w:tc>
                <w:tcPr>
                  <w:tcW w:w="1417" w:type="dxa"/>
                  <w:vAlign w:val="center"/>
                </w:tcPr>
                <w:p w14:paraId="1C2538ED" w14:textId="77777777" w:rsidR="00F76A63" w:rsidRDefault="00000000">
                  <w:pPr>
                    <w:jc w:val="center"/>
                    <w:rPr>
                      <w:sz w:val="18"/>
                      <w:szCs w:val="18"/>
                    </w:rPr>
                  </w:pPr>
                  <w:r>
                    <w:rPr>
                      <w:rFonts w:hint="eastAsia"/>
                      <w:sz w:val="18"/>
                      <w:szCs w:val="18"/>
                    </w:rPr>
                    <w:t>56.02</w:t>
                  </w:r>
                </w:p>
              </w:tc>
              <w:tc>
                <w:tcPr>
                  <w:tcW w:w="2914" w:type="dxa"/>
                </w:tcPr>
                <w:p w14:paraId="5B05AB85" w14:textId="77777777" w:rsidR="00F76A63" w:rsidRDefault="00000000">
                  <w:pPr>
                    <w:jc w:val="center"/>
                    <w:rPr>
                      <w:sz w:val="18"/>
                      <w:szCs w:val="18"/>
                    </w:rPr>
                  </w:pPr>
                  <w:r>
                    <w:rPr>
                      <w:rFonts w:hint="eastAsia"/>
                      <w:sz w:val="18"/>
                      <w:szCs w:val="18"/>
                    </w:rPr>
                    <w:t>检修后开机阶段典型工艺波动</w:t>
                  </w:r>
                </w:p>
              </w:tc>
            </w:tr>
            <w:tr w:rsidR="00F76A63" w14:paraId="3B0A45C8" w14:textId="77777777">
              <w:trPr>
                <w:jc w:val="center"/>
              </w:trPr>
              <w:tc>
                <w:tcPr>
                  <w:tcW w:w="1444" w:type="dxa"/>
                  <w:vAlign w:val="center"/>
                </w:tcPr>
                <w:p w14:paraId="12771783" w14:textId="77777777" w:rsidR="00F76A63" w:rsidRDefault="00000000">
                  <w:pPr>
                    <w:jc w:val="center"/>
                    <w:rPr>
                      <w:sz w:val="18"/>
                      <w:szCs w:val="18"/>
                    </w:rPr>
                  </w:pPr>
                  <w:r>
                    <w:rPr>
                      <w:rFonts w:hint="eastAsia"/>
                      <w:sz w:val="18"/>
                      <w:szCs w:val="18"/>
                    </w:rPr>
                    <w:t>2025.11.16</w:t>
                  </w:r>
                </w:p>
              </w:tc>
              <w:tc>
                <w:tcPr>
                  <w:tcW w:w="1060" w:type="dxa"/>
                  <w:vAlign w:val="center"/>
                </w:tcPr>
                <w:p w14:paraId="7DCDBD1A"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58DC7758" w14:textId="77777777" w:rsidR="00F76A63" w:rsidRDefault="00000000">
                  <w:pPr>
                    <w:jc w:val="center"/>
                    <w:rPr>
                      <w:sz w:val="18"/>
                      <w:szCs w:val="18"/>
                    </w:rPr>
                  </w:pPr>
                  <w:r>
                    <w:rPr>
                      <w:rFonts w:hint="eastAsia"/>
                      <w:sz w:val="18"/>
                      <w:szCs w:val="18"/>
                    </w:rPr>
                    <w:t>氮氧化物</w:t>
                  </w:r>
                </w:p>
              </w:tc>
              <w:tc>
                <w:tcPr>
                  <w:tcW w:w="1417" w:type="dxa"/>
                  <w:vAlign w:val="center"/>
                </w:tcPr>
                <w:p w14:paraId="1CDB5033" w14:textId="77777777" w:rsidR="00F76A63" w:rsidRDefault="00000000">
                  <w:pPr>
                    <w:jc w:val="center"/>
                    <w:rPr>
                      <w:sz w:val="18"/>
                      <w:szCs w:val="18"/>
                    </w:rPr>
                  </w:pPr>
                  <w:r>
                    <w:rPr>
                      <w:rFonts w:hint="eastAsia"/>
                      <w:sz w:val="18"/>
                      <w:szCs w:val="18"/>
                    </w:rPr>
                    <w:t>78.60</w:t>
                  </w:r>
                </w:p>
              </w:tc>
              <w:tc>
                <w:tcPr>
                  <w:tcW w:w="2914" w:type="dxa"/>
                </w:tcPr>
                <w:p w14:paraId="24A07737" w14:textId="77777777" w:rsidR="00F76A63" w:rsidRDefault="00000000">
                  <w:pPr>
                    <w:jc w:val="center"/>
                    <w:rPr>
                      <w:sz w:val="18"/>
                      <w:szCs w:val="18"/>
                    </w:rPr>
                  </w:pPr>
                  <w:r>
                    <w:rPr>
                      <w:rFonts w:hint="eastAsia"/>
                      <w:sz w:val="18"/>
                      <w:szCs w:val="18"/>
                    </w:rPr>
                    <w:t>检修后开机阶段典型工艺波动</w:t>
                  </w:r>
                </w:p>
              </w:tc>
            </w:tr>
            <w:tr w:rsidR="00F76A63" w14:paraId="0A2203D4" w14:textId="77777777">
              <w:trPr>
                <w:jc w:val="center"/>
              </w:trPr>
              <w:tc>
                <w:tcPr>
                  <w:tcW w:w="1444" w:type="dxa"/>
                  <w:vAlign w:val="center"/>
                </w:tcPr>
                <w:p w14:paraId="1423EA77" w14:textId="77777777" w:rsidR="00F76A63" w:rsidRDefault="00000000">
                  <w:pPr>
                    <w:jc w:val="center"/>
                    <w:rPr>
                      <w:sz w:val="18"/>
                      <w:szCs w:val="18"/>
                    </w:rPr>
                  </w:pPr>
                  <w:r>
                    <w:rPr>
                      <w:rFonts w:hint="eastAsia"/>
                      <w:sz w:val="18"/>
                      <w:szCs w:val="18"/>
                    </w:rPr>
                    <w:t>2025.12.03</w:t>
                  </w:r>
                </w:p>
              </w:tc>
              <w:tc>
                <w:tcPr>
                  <w:tcW w:w="1060" w:type="dxa"/>
                  <w:vAlign w:val="center"/>
                </w:tcPr>
                <w:p w14:paraId="40E6A4C8" w14:textId="77777777" w:rsidR="00F76A63" w:rsidRDefault="00000000">
                  <w:pPr>
                    <w:jc w:val="center"/>
                    <w:rPr>
                      <w:sz w:val="18"/>
                      <w:szCs w:val="18"/>
                    </w:rPr>
                  </w:pPr>
                  <w:r>
                    <w:rPr>
                      <w:rFonts w:hint="eastAsia"/>
                      <w:sz w:val="18"/>
                      <w:szCs w:val="18"/>
                    </w:rPr>
                    <w:t>2#</w:t>
                  </w:r>
                  <w:r>
                    <w:rPr>
                      <w:rFonts w:hint="eastAsia"/>
                      <w:sz w:val="18"/>
                      <w:szCs w:val="18"/>
                    </w:rPr>
                    <w:t>窑尾</w:t>
                  </w:r>
                </w:p>
              </w:tc>
              <w:tc>
                <w:tcPr>
                  <w:tcW w:w="1276" w:type="dxa"/>
                  <w:vAlign w:val="center"/>
                </w:tcPr>
                <w:p w14:paraId="6B4C666B" w14:textId="77777777" w:rsidR="00F76A63" w:rsidRDefault="00000000">
                  <w:pPr>
                    <w:jc w:val="center"/>
                    <w:rPr>
                      <w:sz w:val="18"/>
                      <w:szCs w:val="18"/>
                    </w:rPr>
                  </w:pPr>
                  <w:r>
                    <w:rPr>
                      <w:rFonts w:hint="eastAsia"/>
                      <w:sz w:val="18"/>
                      <w:szCs w:val="18"/>
                    </w:rPr>
                    <w:t>氮氧化物</w:t>
                  </w:r>
                </w:p>
              </w:tc>
              <w:tc>
                <w:tcPr>
                  <w:tcW w:w="1417" w:type="dxa"/>
                  <w:vAlign w:val="center"/>
                </w:tcPr>
                <w:p w14:paraId="6D0207EF" w14:textId="77777777" w:rsidR="00F76A63" w:rsidRDefault="00000000">
                  <w:pPr>
                    <w:jc w:val="center"/>
                    <w:rPr>
                      <w:sz w:val="18"/>
                      <w:szCs w:val="18"/>
                    </w:rPr>
                  </w:pPr>
                  <w:r>
                    <w:rPr>
                      <w:rFonts w:hint="eastAsia"/>
                      <w:sz w:val="18"/>
                      <w:szCs w:val="18"/>
                    </w:rPr>
                    <w:t>68.83</w:t>
                  </w:r>
                </w:p>
              </w:tc>
              <w:tc>
                <w:tcPr>
                  <w:tcW w:w="2914" w:type="dxa"/>
                </w:tcPr>
                <w:p w14:paraId="01F75FC7" w14:textId="77777777" w:rsidR="00F76A63" w:rsidRDefault="00000000">
                  <w:pPr>
                    <w:jc w:val="center"/>
                    <w:rPr>
                      <w:sz w:val="18"/>
                      <w:szCs w:val="18"/>
                    </w:rPr>
                  </w:pPr>
                  <w:r>
                    <w:rPr>
                      <w:rFonts w:hint="eastAsia"/>
                      <w:sz w:val="18"/>
                      <w:szCs w:val="18"/>
                    </w:rPr>
                    <w:t>检修后开机阶段典型工艺波动</w:t>
                  </w:r>
                </w:p>
              </w:tc>
            </w:tr>
          </w:tbl>
          <w:p w14:paraId="55F987C6" w14:textId="77777777" w:rsidR="00F76A63" w:rsidRDefault="00000000">
            <w:pPr>
              <w:adjustRightInd w:val="0"/>
              <w:snapToGrid w:val="0"/>
              <w:spacing w:line="500" w:lineRule="exact"/>
              <w:jc w:val="center"/>
              <w:rPr>
                <w:b/>
                <w:sz w:val="24"/>
              </w:rPr>
            </w:pPr>
            <w:r>
              <w:rPr>
                <w:rFonts w:hint="eastAsia"/>
                <w:b/>
                <w:sz w:val="24"/>
              </w:rPr>
              <w:t>表</w:t>
            </w:r>
            <w:r>
              <w:rPr>
                <w:b/>
                <w:sz w:val="24"/>
              </w:rPr>
              <w:t>2-4</w:t>
            </w:r>
            <w:r>
              <w:rPr>
                <w:rFonts w:hint="eastAsia"/>
                <w:b/>
                <w:sz w:val="24"/>
              </w:rPr>
              <w:t>6</w:t>
            </w:r>
            <w:r>
              <w:rPr>
                <w:b/>
                <w:sz w:val="24"/>
              </w:rPr>
              <w:t xml:space="preserve">  1#</w:t>
            </w:r>
            <w:r>
              <w:rPr>
                <w:b/>
                <w:sz w:val="24"/>
              </w:rPr>
              <w:t>窑头在线监测各月数据情况表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2"/>
              <w:gridCol w:w="1305"/>
              <w:gridCol w:w="2208"/>
              <w:gridCol w:w="1233"/>
              <w:gridCol w:w="1341"/>
              <w:gridCol w:w="1138"/>
            </w:tblGrid>
            <w:tr w:rsidR="00F76A63" w14:paraId="04C07F37" w14:textId="77777777">
              <w:trPr>
                <w:trHeight w:val="340"/>
                <w:jc w:val="center"/>
              </w:trPr>
              <w:tc>
                <w:tcPr>
                  <w:tcW w:w="582" w:type="pct"/>
                  <w:vMerge w:val="restart"/>
                  <w:vAlign w:val="center"/>
                </w:tcPr>
                <w:p w14:paraId="60DAAAC2" w14:textId="77777777" w:rsidR="00F76A63" w:rsidRDefault="00000000">
                  <w:pPr>
                    <w:adjustRightInd w:val="0"/>
                    <w:snapToGrid w:val="0"/>
                    <w:jc w:val="center"/>
                    <w:rPr>
                      <w:b/>
                      <w:sz w:val="18"/>
                      <w:szCs w:val="18"/>
                    </w:rPr>
                  </w:pPr>
                  <w:bookmarkStart w:id="97" w:name="OLE_LINK13"/>
                  <w:r>
                    <w:rPr>
                      <w:b/>
                      <w:sz w:val="18"/>
                      <w:szCs w:val="18"/>
                    </w:rPr>
                    <w:t>监测类型</w:t>
                  </w:r>
                </w:p>
              </w:tc>
              <w:tc>
                <w:tcPr>
                  <w:tcW w:w="798" w:type="pct"/>
                  <w:vMerge w:val="restart"/>
                  <w:vAlign w:val="center"/>
                </w:tcPr>
                <w:p w14:paraId="3FD5BE5A" w14:textId="77777777" w:rsidR="00F76A63" w:rsidRDefault="00000000">
                  <w:pPr>
                    <w:adjustRightInd w:val="0"/>
                    <w:snapToGrid w:val="0"/>
                    <w:jc w:val="center"/>
                    <w:rPr>
                      <w:b/>
                      <w:sz w:val="18"/>
                      <w:szCs w:val="18"/>
                    </w:rPr>
                  </w:pPr>
                  <w:r>
                    <w:rPr>
                      <w:b/>
                      <w:sz w:val="18"/>
                      <w:szCs w:val="18"/>
                    </w:rPr>
                    <w:t>时间</w:t>
                  </w:r>
                </w:p>
              </w:tc>
              <w:tc>
                <w:tcPr>
                  <w:tcW w:w="1350" w:type="pct"/>
                  <w:vMerge w:val="restart"/>
                  <w:vAlign w:val="center"/>
                </w:tcPr>
                <w:p w14:paraId="05F44F6D" w14:textId="77777777" w:rsidR="00F76A63" w:rsidRDefault="00000000">
                  <w:pPr>
                    <w:adjustRightInd w:val="0"/>
                    <w:snapToGrid w:val="0"/>
                    <w:jc w:val="center"/>
                    <w:rPr>
                      <w:b/>
                      <w:sz w:val="18"/>
                      <w:szCs w:val="18"/>
                    </w:rPr>
                  </w:pPr>
                  <w:r>
                    <w:rPr>
                      <w:b/>
                      <w:sz w:val="18"/>
                      <w:szCs w:val="18"/>
                    </w:rPr>
                    <w:t>烟气流量</w:t>
                  </w:r>
                </w:p>
                <w:p w14:paraId="0897BC14" w14:textId="77777777" w:rsidR="00F76A63" w:rsidRDefault="00000000">
                  <w:pPr>
                    <w:pStyle w:val="afc"/>
                    <w:spacing w:after="0"/>
                    <w:jc w:val="center"/>
                    <w:rPr>
                      <w:b/>
                      <w:bCs/>
                      <w:sz w:val="18"/>
                      <w:szCs w:val="18"/>
                    </w:rPr>
                  </w:pPr>
                  <w:r>
                    <w:rPr>
                      <w:b/>
                      <w:bCs/>
                      <w:sz w:val="18"/>
                      <w:szCs w:val="18"/>
                    </w:rPr>
                    <w:t>（</w:t>
                  </w:r>
                  <w:r>
                    <w:rPr>
                      <w:b/>
                      <w:bCs/>
                      <w:sz w:val="18"/>
                      <w:szCs w:val="18"/>
                    </w:rPr>
                    <w:t>m</w:t>
                  </w:r>
                  <w:r>
                    <w:rPr>
                      <w:b/>
                      <w:bCs/>
                      <w:sz w:val="18"/>
                      <w:szCs w:val="18"/>
                      <w:vertAlign w:val="superscript"/>
                    </w:rPr>
                    <w:t>3</w:t>
                  </w:r>
                  <w:r>
                    <w:rPr>
                      <w:b/>
                      <w:bCs/>
                      <w:sz w:val="18"/>
                      <w:szCs w:val="18"/>
                    </w:rPr>
                    <w:t>/h</w:t>
                  </w:r>
                  <w:r>
                    <w:rPr>
                      <w:b/>
                      <w:bCs/>
                      <w:sz w:val="18"/>
                      <w:szCs w:val="18"/>
                    </w:rPr>
                    <w:t>）</w:t>
                  </w:r>
                </w:p>
              </w:tc>
              <w:tc>
                <w:tcPr>
                  <w:tcW w:w="754" w:type="pct"/>
                  <w:vMerge w:val="restart"/>
                  <w:vAlign w:val="center"/>
                </w:tcPr>
                <w:p w14:paraId="4016F693" w14:textId="77777777" w:rsidR="00F76A63" w:rsidRDefault="00000000">
                  <w:pPr>
                    <w:adjustRightInd w:val="0"/>
                    <w:snapToGrid w:val="0"/>
                    <w:jc w:val="center"/>
                    <w:rPr>
                      <w:b/>
                      <w:sz w:val="18"/>
                      <w:szCs w:val="18"/>
                    </w:rPr>
                  </w:pPr>
                  <w:r>
                    <w:rPr>
                      <w:b/>
                      <w:sz w:val="18"/>
                      <w:szCs w:val="18"/>
                    </w:rPr>
                    <w:t>/</w:t>
                  </w:r>
                </w:p>
              </w:tc>
              <w:tc>
                <w:tcPr>
                  <w:tcW w:w="820" w:type="pct"/>
                  <w:vAlign w:val="center"/>
                </w:tcPr>
                <w:p w14:paraId="4BFE3ECB" w14:textId="77777777" w:rsidR="00F76A63" w:rsidRDefault="00000000">
                  <w:pPr>
                    <w:adjustRightInd w:val="0"/>
                    <w:snapToGrid w:val="0"/>
                    <w:jc w:val="center"/>
                    <w:rPr>
                      <w:b/>
                      <w:sz w:val="18"/>
                      <w:szCs w:val="18"/>
                    </w:rPr>
                  </w:pPr>
                  <w:r>
                    <w:rPr>
                      <w:b/>
                      <w:sz w:val="18"/>
                      <w:szCs w:val="18"/>
                    </w:rPr>
                    <w:t>日平均浓度（</w:t>
                  </w:r>
                  <w:r>
                    <w:rPr>
                      <w:b/>
                      <w:sz w:val="18"/>
                      <w:szCs w:val="18"/>
                    </w:rPr>
                    <w:t>mg/m</w:t>
                  </w:r>
                  <w:r>
                    <w:rPr>
                      <w:b/>
                      <w:sz w:val="18"/>
                      <w:szCs w:val="18"/>
                      <w:vertAlign w:val="superscript"/>
                    </w:rPr>
                    <w:t>3</w:t>
                  </w:r>
                  <w:r>
                    <w:rPr>
                      <w:b/>
                      <w:sz w:val="18"/>
                      <w:szCs w:val="18"/>
                    </w:rPr>
                    <w:t>）</w:t>
                  </w:r>
                </w:p>
              </w:tc>
              <w:tc>
                <w:tcPr>
                  <w:tcW w:w="696" w:type="pct"/>
                  <w:vMerge w:val="restart"/>
                  <w:vAlign w:val="center"/>
                </w:tcPr>
                <w:p w14:paraId="73BBBFF8" w14:textId="77777777" w:rsidR="00F76A63" w:rsidRDefault="00000000">
                  <w:pPr>
                    <w:adjustRightInd w:val="0"/>
                    <w:snapToGrid w:val="0"/>
                    <w:jc w:val="center"/>
                    <w:rPr>
                      <w:b/>
                      <w:sz w:val="18"/>
                      <w:szCs w:val="18"/>
                    </w:rPr>
                  </w:pPr>
                  <w:r>
                    <w:rPr>
                      <w:b/>
                      <w:sz w:val="18"/>
                      <w:szCs w:val="18"/>
                    </w:rPr>
                    <w:t>备注</w:t>
                  </w:r>
                </w:p>
              </w:tc>
            </w:tr>
            <w:tr w:rsidR="00F76A63" w14:paraId="56E7FB40" w14:textId="77777777">
              <w:trPr>
                <w:trHeight w:val="44"/>
                <w:jc w:val="center"/>
              </w:trPr>
              <w:tc>
                <w:tcPr>
                  <w:tcW w:w="582" w:type="pct"/>
                  <w:vMerge/>
                  <w:vAlign w:val="center"/>
                </w:tcPr>
                <w:p w14:paraId="67DD06AB" w14:textId="77777777" w:rsidR="00F76A63" w:rsidRDefault="00F76A63">
                  <w:pPr>
                    <w:adjustRightInd w:val="0"/>
                    <w:snapToGrid w:val="0"/>
                    <w:jc w:val="center"/>
                    <w:rPr>
                      <w:b/>
                      <w:sz w:val="18"/>
                      <w:szCs w:val="18"/>
                    </w:rPr>
                  </w:pPr>
                </w:p>
              </w:tc>
              <w:tc>
                <w:tcPr>
                  <w:tcW w:w="798" w:type="pct"/>
                  <w:vMerge/>
                  <w:vAlign w:val="center"/>
                </w:tcPr>
                <w:p w14:paraId="2555B5F9" w14:textId="77777777" w:rsidR="00F76A63" w:rsidRDefault="00F76A63">
                  <w:pPr>
                    <w:adjustRightInd w:val="0"/>
                    <w:snapToGrid w:val="0"/>
                    <w:jc w:val="center"/>
                    <w:rPr>
                      <w:b/>
                      <w:sz w:val="18"/>
                      <w:szCs w:val="18"/>
                    </w:rPr>
                  </w:pPr>
                </w:p>
              </w:tc>
              <w:tc>
                <w:tcPr>
                  <w:tcW w:w="1350" w:type="pct"/>
                  <w:vMerge/>
                  <w:vAlign w:val="center"/>
                </w:tcPr>
                <w:p w14:paraId="6432E1DA" w14:textId="77777777" w:rsidR="00F76A63" w:rsidRDefault="00F76A63">
                  <w:pPr>
                    <w:adjustRightInd w:val="0"/>
                    <w:snapToGrid w:val="0"/>
                    <w:jc w:val="center"/>
                    <w:rPr>
                      <w:b/>
                      <w:sz w:val="18"/>
                      <w:szCs w:val="18"/>
                    </w:rPr>
                  </w:pPr>
                </w:p>
              </w:tc>
              <w:tc>
                <w:tcPr>
                  <w:tcW w:w="754" w:type="pct"/>
                  <w:vMerge/>
                  <w:vAlign w:val="center"/>
                </w:tcPr>
                <w:p w14:paraId="0F0F6494" w14:textId="77777777" w:rsidR="00F76A63" w:rsidRDefault="00F76A63">
                  <w:pPr>
                    <w:adjustRightInd w:val="0"/>
                    <w:snapToGrid w:val="0"/>
                    <w:jc w:val="center"/>
                    <w:rPr>
                      <w:b/>
                      <w:sz w:val="18"/>
                      <w:szCs w:val="18"/>
                    </w:rPr>
                  </w:pPr>
                </w:p>
              </w:tc>
              <w:tc>
                <w:tcPr>
                  <w:tcW w:w="820" w:type="pct"/>
                  <w:vAlign w:val="center"/>
                </w:tcPr>
                <w:p w14:paraId="5C924952" w14:textId="77777777" w:rsidR="00F76A63" w:rsidRDefault="00000000">
                  <w:pPr>
                    <w:adjustRightInd w:val="0"/>
                    <w:snapToGrid w:val="0"/>
                    <w:jc w:val="center"/>
                    <w:rPr>
                      <w:b/>
                      <w:sz w:val="18"/>
                      <w:szCs w:val="18"/>
                    </w:rPr>
                  </w:pPr>
                  <w:r>
                    <w:rPr>
                      <w:b/>
                      <w:sz w:val="18"/>
                      <w:szCs w:val="18"/>
                    </w:rPr>
                    <w:t>颗粒物</w:t>
                  </w:r>
                </w:p>
              </w:tc>
              <w:tc>
                <w:tcPr>
                  <w:tcW w:w="696" w:type="pct"/>
                  <w:vMerge/>
                  <w:vAlign w:val="center"/>
                </w:tcPr>
                <w:p w14:paraId="7313BA88" w14:textId="77777777" w:rsidR="00F76A63" w:rsidRDefault="00F76A63">
                  <w:pPr>
                    <w:adjustRightInd w:val="0"/>
                    <w:snapToGrid w:val="0"/>
                    <w:jc w:val="center"/>
                    <w:rPr>
                      <w:b/>
                      <w:sz w:val="18"/>
                      <w:szCs w:val="18"/>
                    </w:rPr>
                  </w:pPr>
                </w:p>
              </w:tc>
            </w:tr>
            <w:tr w:rsidR="00F76A63" w14:paraId="3C7AD363" w14:textId="77777777">
              <w:trPr>
                <w:trHeight w:val="340"/>
                <w:jc w:val="center"/>
              </w:trPr>
              <w:tc>
                <w:tcPr>
                  <w:tcW w:w="582" w:type="pct"/>
                  <w:vMerge w:val="restart"/>
                  <w:vAlign w:val="center"/>
                </w:tcPr>
                <w:p w14:paraId="1C9EAC3B" w14:textId="77777777" w:rsidR="00F76A63" w:rsidRDefault="00000000">
                  <w:pPr>
                    <w:adjustRightInd w:val="0"/>
                    <w:snapToGrid w:val="0"/>
                    <w:jc w:val="center"/>
                    <w:rPr>
                      <w:sz w:val="18"/>
                      <w:szCs w:val="18"/>
                    </w:rPr>
                  </w:pPr>
                  <w:r>
                    <w:rPr>
                      <w:sz w:val="18"/>
                      <w:szCs w:val="18"/>
                    </w:rPr>
                    <w:t>窑头烟气污染物在线监测</w:t>
                  </w:r>
                </w:p>
              </w:tc>
              <w:tc>
                <w:tcPr>
                  <w:tcW w:w="798" w:type="pct"/>
                  <w:vMerge w:val="restart"/>
                  <w:vAlign w:val="center"/>
                </w:tcPr>
                <w:p w14:paraId="0E420F14" w14:textId="77777777" w:rsidR="00F76A63" w:rsidRDefault="00000000">
                  <w:pPr>
                    <w:adjustRightInd w:val="0"/>
                    <w:snapToGrid w:val="0"/>
                    <w:jc w:val="center"/>
                    <w:rPr>
                      <w:sz w:val="18"/>
                      <w:szCs w:val="18"/>
                    </w:rPr>
                  </w:pPr>
                  <w:r>
                    <w:rPr>
                      <w:sz w:val="18"/>
                      <w:szCs w:val="18"/>
                    </w:rPr>
                    <w:t>20240</w:t>
                  </w:r>
                  <w:r>
                    <w:rPr>
                      <w:rFonts w:hint="eastAsia"/>
                      <w:sz w:val="18"/>
                      <w:szCs w:val="18"/>
                    </w:rPr>
                    <w:t>1</w:t>
                  </w:r>
                </w:p>
              </w:tc>
              <w:tc>
                <w:tcPr>
                  <w:tcW w:w="1350" w:type="pct"/>
                  <w:vMerge w:val="restart"/>
                  <w:vAlign w:val="center"/>
                </w:tcPr>
                <w:p w14:paraId="17493C39" w14:textId="77777777" w:rsidR="00F76A63" w:rsidRDefault="00000000">
                  <w:pPr>
                    <w:widowControl/>
                    <w:jc w:val="center"/>
                    <w:rPr>
                      <w:sz w:val="18"/>
                      <w:szCs w:val="18"/>
                    </w:rPr>
                  </w:pPr>
                  <w:r>
                    <w:rPr>
                      <w:rFonts w:hint="eastAsia"/>
                      <w:sz w:val="18"/>
                      <w:szCs w:val="18"/>
                    </w:rPr>
                    <w:t>310865.73</w:t>
                  </w:r>
                </w:p>
              </w:tc>
              <w:tc>
                <w:tcPr>
                  <w:tcW w:w="754" w:type="pct"/>
                  <w:vAlign w:val="center"/>
                </w:tcPr>
                <w:p w14:paraId="6F9814E5"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38668C41" w14:textId="77777777" w:rsidR="00F76A63" w:rsidRDefault="00000000">
                  <w:pPr>
                    <w:adjustRightInd w:val="0"/>
                    <w:snapToGrid w:val="0"/>
                    <w:jc w:val="center"/>
                    <w:rPr>
                      <w:rFonts w:eastAsia="Arial Unicode MS"/>
                      <w:sz w:val="18"/>
                      <w:szCs w:val="18"/>
                    </w:rPr>
                  </w:pPr>
                  <w:r>
                    <w:rPr>
                      <w:rFonts w:hint="eastAsia"/>
                      <w:sz w:val="18"/>
                      <w:szCs w:val="18"/>
                    </w:rPr>
                    <w:t>0.30</w:t>
                  </w:r>
                </w:p>
              </w:tc>
              <w:tc>
                <w:tcPr>
                  <w:tcW w:w="696" w:type="pct"/>
                  <w:vMerge w:val="restart"/>
                  <w:vAlign w:val="center"/>
                </w:tcPr>
                <w:p w14:paraId="511F6537" w14:textId="77777777" w:rsidR="00F76A63" w:rsidRDefault="00000000">
                  <w:pPr>
                    <w:adjustRightInd w:val="0"/>
                    <w:snapToGrid w:val="0"/>
                    <w:jc w:val="center"/>
                    <w:rPr>
                      <w:sz w:val="18"/>
                      <w:szCs w:val="18"/>
                    </w:rPr>
                  </w:pPr>
                  <w:r>
                    <w:rPr>
                      <w:sz w:val="18"/>
                      <w:szCs w:val="18"/>
                    </w:rPr>
                    <w:t>/</w:t>
                  </w:r>
                </w:p>
              </w:tc>
            </w:tr>
            <w:tr w:rsidR="00F76A63" w14:paraId="169DB2CB" w14:textId="77777777">
              <w:trPr>
                <w:trHeight w:val="340"/>
                <w:jc w:val="center"/>
              </w:trPr>
              <w:tc>
                <w:tcPr>
                  <w:tcW w:w="582" w:type="pct"/>
                  <w:vMerge/>
                  <w:vAlign w:val="center"/>
                </w:tcPr>
                <w:p w14:paraId="4F0C3FBA" w14:textId="77777777" w:rsidR="00F76A63" w:rsidRDefault="00F76A63">
                  <w:pPr>
                    <w:adjustRightInd w:val="0"/>
                    <w:snapToGrid w:val="0"/>
                    <w:jc w:val="center"/>
                    <w:rPr>
                      <w:sz w:val="18"/>
                      <w:szCs w:val="18"/>
                    </w:rPr>
                  </w:pPr>
                </w:p>
              </w:tc>
              <w:tc>
                <w:tcPr>
                  <w:tcW w:w="798" w:type="pct"/>
                  <w:vMerge/>
                  <w:vAlign w:val="center"/>
                </w:tcPr>
                <w:p w14:paraId="23F59658" w14:textId="77777777" w:rsidR="00F76A63" w:rsidRDefault="00F76A63">
                  <w:pPr>
                    <w:adjustRightInd w:val="0"/>
                    <w:snapToGrid w:val="0"/>
                    <w:jc w:val="center"/>
                    <w:rPr>
                      <w:sz w:val="18"/>
                      <w:szCs w:val="18"/>
                    </w:rPr>
                  </w:pPr>
                </w:p>
              </w:tc>
              <w:tc>
                <w:tcPr>
                  <w:tcW w:w="1350" w:type="pct"/>
                  <w:vMerge/>
                  <w:vAlign w:val="center"/>
                </w:tcPr>
                <w:p w14:paraId="1F95644B" w14:textId="77777777" w:rsidR="00F76A63" w:rsidRDefault="00F76A63">
                  <w:pPr>
                    <w:widowControl/>
                    <w:jc w:val="center"/>
                    <w:rPr>
                      <w:sz w:val="18"/>
                      <w:szCs w:val="18"/>
                    </w:rPr>
                  </w:pPr>
                </w:p>
              </w:tc>
              <w:tc>
                <w:tcPr>
                  <w:tcW w:w="754" w:type="pct"/>
                  <w:vAlign w:val="center"/>
                </w:tcPr>
                <w:p w14:paraId="41355F2C"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3790F13A" w14:textId="77777777" w:rsidR="00F76A63" w:rsidRDefault="00000000">
                  <w:pPr>
                    <w:adjustRightInd w:val="0"/>
                    <w:snapToGrid w:val="0"/>
                    <w:jc w:val="center"/>
                    <w:rPr>
                      <w:rFonts w:eastAsia="Arial Unicode MS"/>
                      <w:sz w:val="18"/>
                      <w:szCs w:val="18"/>
                    </w:rPr>
                  </w:pPr>
                  <w:r>
                    <w:rPr>
                      <w:rFonts w:hint="eastAsia"/>
                      <w:sz w:val="18"/>
                      <w:szCs w:val="18"/>
                    </w:rPr>
                    <w:t>0.17</w:t>
                  </w:r>
                </w:p>
              </w:tc>
              <w:tc>
                <w:tcPr>
                  <w:tcW w:w="696" w:type="pct"/>
                  <w:vMerge/>
                  <w:vAlign w:val="center"/>
                </w:tcPr>
                <w:p w14:paraId="4E831A88" w14:textId="77777777" w:rsidR="00F76A63" w:rsidRDefault="00F76A63">
                  <w:pPr>
                    <w:adjustRightInd w:val="0"/>
                    <w:snapToGrid w:val="0"/>
                    <w:jc w:val="center"/>
                    <w:rPr>
                      <w:sz w:val="18"/>
                      <w:szCs w:val="18"/>
                    </w:rPr>
                  </w:pPr>
                </w:p>
              </w:tc>
            </w:tr>
            <w:tr w:rsidR="00F76A63" w14:paraId="465DD0E2" w14:textId="77777777">
              <w:trPr>
                <w:trHeight w:val="340"/>
                <w:jc w:val="center"/>
              </w:trPr>
              <w:tc>
                <w:tcPr>
                  <w:tcW w:w="582" w:type="pct"/>
                  <w:vMerge/>
                  <w:vAlign w:val="center"/>
                </w:tcPr>
                <w:p w14:paraId="3AE0D1FD" w14:textId="77777777" w:rsidR="00F76A63" w:rsidRDefault="00F76A63">
                  <w:pPr>
                    <w:adjustRightInd w:val="0"/>
                    <w:snapToGrid w:val="0"/>
                    <w:jc w:val="center"/>
                    <w:rPr>
                      <w:sz w:val="18"/>
                      <w:szCs w:val="18"/>
                    </w:rPr>
                  </w:pPr>
                </w:p>
              </w:tc>
              <w:tc>
                <w:tcPr>
                  <w:tcW w:w="798" w:type="pct"/>
                  <w:vMerge/>
                  <w:vAlign w:val="center"/>
                </w:tcPr>
                <w:p w14:paraId="5DE4B23F" w14:textId="77777777" w:rsidR="00F76A63" w:rsidRDefault="00F76A63">
                  <w:pPr>
                    <w:adjustRightInd w:val="0"/>
                    <w:snapToGrid w:val="0"/>
                    <w:jc w:val="center"/>
                    <w:rPr>
                      <w:sz w:val="18"/>
                      <w:szCs w:val="18"/>
                    </w:rPr>
                  </w:pPr>
                </w:p>
              </w:tc>
              <w:tc>
                <w:tcPr>
                  <w:tcW w:w="1350" w:type="pct"/>
                  <w:vMerge/>
                  <w:vAlign w:val="center"/>
                </w:tcPr>
                <w:p w14:paraId="299704D6" w14:textId="77777777" w:rsidR="00F76A63" w:rsidRDefault="00F76A63">
                  <w:pPr>
                    <w:widowControl/>
                    <w:jc w:val="center"/>
                    <w:rPr>
                      <w:sz w:val="18"/>
                      <w:szCs w:val="18"/>
                    </w:rPr>
                  </w:pPr>
                </w:p>
              </w:tc>
              <w:tc>
                <w:tcPr>
                  <w:tcW w:w="754" w:type="pct"/>
                  <w:vAlign w:val="center"/>
                </w:tcPr>
                <w:p w14:paraId="21A15970"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45F0F368" w14:textId="77777777" w:rsidR="00F76A63" w:rsidRDefault="00000000">
                  <w:pPr>
                    <w:adjustRightInd w:val="0"/>
                    <w:snapToGrid w:val="0"/>
                    <w:jc w:val="center"/>
                    <w:rPr>
                      <w:rFonts w:eastAsia="Arial Unicode MS"/>
                      <w:sz w:val="18"/>
                      <w:szCs w:val="18"/>
                    </w:rPr>
                  </w:pPr>
                  <w:r>
                    <w:rPr>
                      <w:rFonts w:hint="eastAsia"/>
                      <w:sz w:val="18"/>
                      <w:szCs w:val="18"/>
                    </w:rPr>
                    <w:t>0.24</w:t>
                  </w:r>
                </w:p>
              </w:tc>
              <w:tc>
                <w:tcPr>
                  <w:tcW w:w="696" w:type="pct"/>
                  <w:vMerge/>
                  <w:vAlign w:val="center"/>
                </w:tcPr>
                <w:p w14:paraId="47B6AED4" w14:textId="77777777" w:rsidR="00F76A63" w:rsidRDefault="00F76A63">
                  <w:pPr>
                    <w:adjustRightInd w:val="0"/>
                    <w:snapToGrid w:val="0"/>
                    <w:jc w:val="center"/>
                    <w:rPr>
                      <w:sz w:val="18"/>
                      <w:szCs w:val="18"/>
                    </w:rPr>
                  </w:pPr>
                </w:p>
              </w:tc>
            </w:tr>
            <w:tr w:rsidR="00F76A63" w14:paraId="0A936B73" w14:textId="77777777">
              <w:trPr>
                <w:trHeight w:val="340"/>
                <w:jc w:val="center"/>
              </w:trPr>
              <w:tc>
                <w:tcPr>
                  <w:tcW w:w="582" w:type="pct"/>
                  <w:vMerge/>
                  <w:vAlign w:val="center"/>
                </w:tcPr>
                <w:p w14:paraId="18234E16" w14:textId="77777777" w:rsidR="00F76A63" w:rsidRDefault="00F76A63">
                  <w:pPr>
                    <w:adjustRightInd w:val="0"/>
                    <w:snapToGrid w:val="0"/>
                    <w:jc w:val="center"/>
                    <w:rPr>
                      <w:sz w:val="18"/>
                      <w:szCs w:val="18"/>
                    </w:rPr>
                  </w:pPr>
                </w:p>
              </w:tc>
              <w:tc>
                <w:tcPr>
                  <w:tcW w:w="798" w:type="pct"/>
                  <w:vMerge w:val="restart"/>
                  <w:vAlign w:val="center"/>
                </w:tcPr>
                <w:p w14:paraId="1D776F9F" w14:textId="77777777" w:rsidR="00F76A63" w:rsidRDefault="00000000">
                  <w:pPr>
                    <w:adjustRightInd w:val="0"/>
                    <w:snapToGrid w:val="0"/>
                    <w:jc w:val="center"/>
                    <w:rPr>
                      <w:sz w:val="18"/>
                      <w:szCs w:val="18"/>
                    </w:rPr>
                  </w:pPr>
                  <w:r>
                    <w:rPr>
                      <w:sz w:val="18"/>
                      <w:szCs w:val="18"/>
                    </w:rPr>
                    <w:t>20240</w:t>
                  </w:r>
                  <w:r>
                    <w:rPr>
                      <w:rFonts w:hint="eastAsia"/>
                      <w:sz w:val="18"/>
                      <w:szCs w:val="18"/>
                    </w:rPr>
                    <w:t>2</w:t>
                  </w:r>
                </w:p>
              </w:tc>
              <w:tc>
                <w:tcPr>
                  <w:tcW w:w="1350" w:type="pct"/>
                  <w:vMerge w:val="restart"/>
                  <w:vAlign w:val="center"/>
                </w:tcPr>
                <w:p w14:paraId="0A01E122" w14:textId="77777777" w:rsidR="00F76A63" w:rsidRDefault="00000000">
                  <w:pPr>
                    <w:widowControl/>
                    <w:jc w:val="center"/>
                    <w:rPr>
                      <w:sz w:val="18"/>
                      <w:szCs w:val="18"/>
                    </w:rPr>
                  </w:pPr>
                  <w:r>
                    <w:rPr>
                      <w:rFonts w:hint="eastAsia"/>
                      <w:sz w:val="18"/>
                      <w:szCs w:val="18"/>
                    </w:rPr>
                    <w:t>164886.21</w:t>
                  </w:r>
                </w:p>
              </w:tc>
              <w:tc>
                <w:tcPr>
                  <w:tcW w:w="754" w:type="pct"/>
                  <w:vAlign w:val="center"/>
                </w:tcPr>
                <w:p w14:paraId="05269BF0"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3538FDB6" w14:textId="77777777" w:rsidR="00F76A63" w:rsidRDefault="00000000">
                  <w:pPr>
                    <w:adjustRightInd w:val="0"/>
                    <w:snapToGrid w:val="0"/>
                    <w:jc w:val="center"/>
                    <w:rPr>
                      <w:rFonts w:eastAsia="Arial Unicode MS"/>
                      <w:sz w:val="18"/>
                      <w:szCs w:val="18"/>
                    </w:rPr>
                  </w:pPr>
                  <w:r>
                    <w:rPr>
                      <w:rFonts w:hint="eastAsia"/>
                      <w:sz w:val="18"/>
                      <w:szCs w:val="18"/>
                    </w:rPr>
                    <w:t>0.62</w:t>
                  </w:r>
                </w:p>
              </w:tc>
              <w:tc>
                <w:tcPr>
                  <w:tcW w:w="696" w:type="pct"/>
                  <w:vMerge w:val="restart"/>
                  <w:vAlign w:val="center"/>
                </w:tcPr>
                <w:p w14:paraId="6669F972" w14:textId="77777777" w:rsidR="00F76A63" w:rsidRDefault="00000000">
                  <w:pPr>
                    <w:adjustRightInd w:val="0"/>
                    <w:snapToGrid w:val="0"/>
                    <w:jc w:val="center"/>
                    <w:rPr>
                      <w:sz w:val="18"/>
                      <w:szCs w:val="18"/>
                    </w:rPr>
                  </w:pPr>
                  <w:r>
                    <w:rPr>
                      <w:sz w:val="18"/>
                      <w:szCs w:val="18"/>
                    </w:rPr>
                    <w:t>/</w:t>
                  </w:r>
                </w:p>
              </w:tc>
            </w:tr>
            <w:tr w:rsidR="00F76A63" w14:paraId="63584E5B" w14:textId="77777777">
              <w:trPr>
                <w:trHeight w:val="340"/>
                <w:jc w:val="center"/>
              </w:trPr>
              <w:tc>
                <w:tcPr>
                  <w:tcW w:w="582" w:type="pct"/>
                  <w:vMerge/>
                  <w:vAlign w:val="center"/>
                </w:tcPr>
                <w:p w14:paraId="548DD6DE" w14:textId="77777777" w:rsidR="00F76A63" w:rsidRDefault="00F76A63">
                  <w:pPr>
                    <w:adjustRightInd w:val="0"/>
                    <w:snapToGrid w:val="0"/>
                    <w:jc w:val="center"/>
                    <w:rPr>
                      <w:sz w:val="18"/>
                      <w:szCs w:val="18"/>
                    </w:rPr>
                  </w:pPr>
                </w:p>
              </w:tc>
              <w:tc>
                <w:tcPr>
                  <w:tcW w:w="798" w:type="pct"/>
                  <w:vMerge/>
                  <w:vAlign w:val="center"/>
                </w:tcPr>
                <w:p w14:paraId="6078F669" w14:textId="77777777" w:rsidR="00F76A63" w:rsidRDefault="00F76A63">
                  <w:pPr>
                    <w:adjustRightInd w:val="0"/>
                    <w:snapToGrid w:val="0"/>
                    <w:jc w:val="center"/>
                    <w:rPr>
                      <w:sz w:val="18"/>
                      <w:szCs w:val="18"/>
                    </w:rPr>
                  </w:pPr>
                </w:p>
              </w:tc>
              <w:tc>
                <w:tcPr>
                  <w:tcW w:w="1350" w:type="pct"/>
                  <w:vMerge/>
                  <w:vAlign w:val="center"/>
                </w:tcPr>
                <w:p w14:paraId="1B920C56" w14:textId="77777777" w:rsidR="00F76A63" w:rsidRDefault="00F76A63">
                  <w:pPr>
                    <w:widowControl/>
                    <w:jc w:val="center"/>
                    <w:rPr>
                      <w:sz w:val="18"/>
                      <w:szCs w:val="18"/>
                    </w:rPr>
                  </w:pPr>
                </w:p>
              </w:tc>
              <w:tc>
                <w:tcPr>
                  <w:tcW w:w="754" w:type="pct"/>
                  <w:vAlign w:val="center"/>
                </w:tcPr>
                <w:p w14:paraId="4CF01230"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30F69833" w14:textId="77777777" w:rsidR="00F76A63" w:rsidRDefault="00000000">
                  <w:pPr>
                    <w:adjustRightInd w:val="0"/>
                    <w:snapToGrid w:val="0"/>
                    <w:jc w:val="center"/>
                    <w:rPr>
                      <w:rFonts w:eastAsia="Arial Unicode MS"/>
                      <w:sz w:val="18"/>
                      <w:szCs w:val="18"/>
                    </w:rPr>
                  </w:pPr>
                  <w:r>
                    <w:rPr>
                      <w:rFonts w:hint="eastAsia"/>
                      <w:sz w:val="18"/>
                      <w:szCs w:val="18"/>
                    </w:rPr>
                    <w:t>0.03</w:t>
                  </w:r>
                </w:p>
              </w:tc>
              <w:tc>
                <w:tcPr>
                  <w:tcW w:w="696" w:type="pct"/>
                  <w:vMerge/>
                  <w:vAlign w:val="center"/>
                </w:tcPr>
                <w:p w14:paraId="7F39B16B" w14:textId="77777777" w:rsidR="00F76A63" w:rsidRDefault="00F76A63">
                  <w:pPr>
                    <w:adjustRightInd w:val="0"/>
                    <w:snapToGrid w:val="0"/>
                    <w:jc w:val="center"/>
                    <w:rPr>
                      <w:sz w:val="18"/>
                      <w:szCs w:val="18"/>
                    </w:rPr>
                  </w:pPr>
                </w:p>
              </w:tc>
            </w:tr>
            <w:tr w:rsidR="00F76A63" w14:paraId="23F086E3" w14:textId="77777777">
              <w:trPr>
                <w:trHeight w:val="340"/>
                <w:jc w:val="center"/>
              </w:trPr>
              <w:tc>
                <w:tcPr>
                  <w:tcW w:w="582" w:type="pct"/>
                  <w:vMerge/>
                  <w:vAlign w:val="center"/>
                </w:tcPr>
                <w:p w14:paraId="4DC2D5E5" w14:textId="77777777" w:rsidR="00F76A63" w:rsidRDefault="00F76A63">
                  <w:pPr>
                    <w:adjustRightInd w:val="0"/>
                    <w:snapToGrid w:val="0"/>
                    <w:jc w:val="center"/>
                    <w:rPr>
                      <w:sz w:val="18"/>
                      <w:szCs w:val="18"/>
                    </w:rPr>
                  </w:pPr>
                </w:p>
              </w:tc>
              <w:tc>
                <w:tcPr>
                  <w:tcW w:w="798" w:type="pct"/>
                  <w:vMerge/>
                  <w:vAlign w:val="center"/>
                </w:tcPr>
                <w:p w14:paraId="46948E0E" w14:textId="77777777" w:rsidR="00F76A63" w:rsidRDefault="00F76A63">
                  <w:pPr>
                    <w:adjustRightInd w:val="0"/>
                    <w:snapToGrid w:val="0"/>
                    <w:jc w:val="center"/>
                    <w:rPr>
                      <w:sz w:val="18"/>
                      <w:szCs w:val="18"/>
                    </w:rPr>
                  </w:pPr>
                </w:p>
              </w:tc>
              <w:tc>
                <w:tcPr>
                  <w:tcW w:w="1350" w:type="pct"/>
                  <w:vMerge/>
                  <w:vAlign w:val="center"/>
                </w:tcPr>
                <w:p w14:paraId="4C1A7D16" w14:textId="77777777" w:rsidR="00F76A63" w:rsidRDefault="00F76A63">
                  <w:pPr>
                    <w:widowControl/>
                    <w:jc w:val="center"/>
                    <w:rPr>
                      <w:sz w:val="18"/>
                      <w:szCs w:val="18"/>
                    </w:rPr>
                  </w:pPr>
                </w:p>
              </w:tc>
              <w:tc>
                <w:tcPr>
                  <w:tcW w:w="754" w:type="pct"/>
                  <w:vAlign w:val="center"/>
                </w:tcPr>
                <w:p w14:paraId="2F3D9234"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681EAD3B" w14:textId="77777777" w:rsidR="00F76A63" w:rsidRDefault="00000000">
                  <w:pPr>
                    <w:adjustRightInd w:val="0"/>
                    <w:snapToGrid w:val="0"/>
                    <w:jc w:val="center"/>
                    <w:rPr>
                      <w:rFonts w:eastAsia="Arial Unicode MS"/>
                      <w:sz w:val="18"/>
                      <w:szCs w:val="18"/>
                    </w:rPr>
                  </w:pPr>
                  <w:r>
                    <w:rPr>
                      <w:rFonts w:hint="eastAsia"/>
                      <w:sz w:val="18"/>
                      <w:szCs w:val="18"/>
                    </w:rPr>
                    <w:t>0.25</w:t>
                  </w:r>
                </w:p>
              </w:tc>
              <w:tc>
                <w:tcPr>
                  <w:tcW w:w="696" w:type="pct"/>
                  <w:vMerge/>
                  <w:vAlign w:val="center"/>
                </w:tcPr>
                <w:p w14:paraId="7BE89030" w14:textId="77777777" w:rsidR="00F76A63" w:rsidRDefault="00F76A63">
                  <w:pPr>
                    <w:adjustRightInd w:val="0"/>
                    <w:snapToGrid w:val="0"/>
                    <w:jc w:val="center"/>
                    <w:rPr>
                      <w:sz w:val="18"/>
                      <w:szCs w:val="18"/>
                    </w:rPr>
                  </w:pPr>
                </w:p>
              </w:tc>
            </w:tr>
            <w:tr w:rsidR="00F76A63" w14:paraId="1C0D5481" w14:textId="77777777">
              <w:trPr>
                <w:trHeight w:val="340"/>
                <w:jc w:val="center"/>
              </w:trPr>
              <w:tc>
                <w:tcPr>
                  <w:tcW w:w="582" w:type="pct"/>
                  <w:vMerge/>
                  <w:vAlign w:val="center"/>
                </w:tcPr>
                <w:p w14:paraId="5D737945" w14:textId="77777777" w:rsidR="00F76A63" w:rsidRDefault="00F76A63">
                  <w:pPr>
                    <w:adjustRightInd w:val="0"/>
                    <w:snapToGrid w:val="0"/>
                    <w:jc w:val="center"/>
                    <w:rPr>
                      <w:sz w:val="18"/>
                      <w:szCs w:val="18"/>
                    </w:rPr>
                  </w:pPr>
                </w:p>
              </w:tc>
              <w:tc>
                <w:tcPr>
                  <w:tcW w:w="798" w:type="pct"/>
                  <w:vMerge w:val="restart"/>
                  <w:vAlign w:val="center"/>
                </w:tcPr>
                <w:p w14:paraId="32003EDC" w14:textId="77777777" w:rsidR="00F76A63" w:rsidRDefault="00000000">
                  <w:pPr>
                    <w:adjustRightInd w:val="0"/>
                    <w:snapToGrid w:val="0"/>
                    <w:jc w:val="center"/>
                    <w:rPr>
                      <w:sz w:val="18"/>
                      <w:szCs w:val="18"/>
                    </w:rPr>
                  </w:pPr>
                  <w:r>
                    <w:rPr>
                      <w:sz w:val="18"/>
                      <w:szCs w:val="18"/>
                    </w:rPr>
                    <w:t>20240</w:t>
                  </w:r>
                  <w:r>
                    <w:rPr>
                      <w:rFonts w:hint="eastAsia"/>
                      <w:sz w:val="18"/>
                      <w:szCs w:val="18"/>
                    </w:rPr>
                    <w:t>3</w:t>
                  </w:r>
                </w:p>
              </w:tc>
              <w:tc>
                <w:tcPr>
                  <w:tcW w:w="1350" w:type="pct"/>
                  <w:vMerge w:val="restart"/>
                  <w:vAlign w:val="center"/>
                </w:tcPr>
                <w:p w14:paraId="4E783BE3" w14:textId="77777777" w:rsidR="00F76A63" w:rsidRDefault="00000000">
                  <w:pPr>
                    <w:widowControl/>
                    <w:jc w:val="center"/>
                    <w:rPr>
                      <w:sz w:val="18"/>
                      <w:szCs w:val="18"/>
                    </w:rPr>
                  </w:pPr>
                  <w:r>
                    <w:rPr>
                      <w:rFonts w:hint="eastAsia"/>
                      <w:sz w:val="18"/>
                      <w:szCs w:val="18"/>
                    </w:rPr>
                    <w:t>234861.96</w:t>
                  </w:r>
                </w:p>
              </w:tc>
              <w:tc>
                <w:tcPr>
                  <w:tcW w:w="754" w:type="pct"/>
                  <w:vAlign w:val="center"/>
                </w:tcPr>
                <w:p w14:paraId="759E559E"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56478CA7" w14:textId="77777777" w:rsidR="00F76A63" w:rsidRDefault="00000000">
                  <w:pPr>
                    <w:adjustRightInd w:val="0"/>
                    <w:snapToGrid w:val="0"/>
                    <w:jc w:val="center"/>
                    <w:rPr>
                      <w:rFonts w:eastAsia="Arial Unicode MS"/>
                      <w:sz w:val="18"/>
                      <w:szCs w:val="18"/>
                    </w:rPr>
                  </w:pPr>
                  <w:r>
                    <w:rPr>
                      <w:rFonts w:hint="eastAsia"/>
                      <w:sz w:val="18"/>
                      <w:szCs w:val="18"/>
                    </w:rPr>
                    <w:t>2.24</w:t>
                  </w:r>
                </w:p>
              </w:tc>
              <w:tc>
                <w:tcPr>
                  <w:tcW w:w="696" w:type="pct"/>
                  <w:vMerge w:val="restart"/>
                  <w:vAlign w:val="center"/>
                </w:tcPr>
                <w:p w14:paraId="11EBBF0F" w14:textId="77777777" w:rsidR="00F76A63" w:rsidRDefault="00000000">
                  <w:pPr>
                    <w:adjustRightInd w:val="0"/>
                    <w:snapToGrid w:val="0"/>
                    <w:jc w:val="center"/>
                    <w:rPr>
                      <w:sz w:val="18"/>
                      <w:szCs w:val="18"/>
                    </w:rPr>
                  </w:pPr>
                  <w:r>
                    <w:rPr>
                      <w:sz w:val="18"/>
                      <w:szCs w:val="18"/>
                    </w:rPr>
                    <w:t>/</w:t>
                  </w:r>
                </w:p>
              </w:tc>
            </w:tr>
            <w:tr w:rsidR="00F76A63" w14:paraId="1DE28750" w14:textId="77777777">
              <w:trPr>
                <w:trHeight w:val="340"/>
                <w:jc w:val="center"/>
              </w:trPr>
              <w:tc>
                <w:tcPr>
                  <w:tcW w:w="582" w:type="pct"/>
                  <w:vMerge/>
                  <w:vAlign w:val="center"/>
                </w:tcPr>
                <w:p w14:paraId="466F993A" w14:textId="77777777" w:rsidR="00F76A63" w:rsidRDefault="00F76A63">
                  <w:pPr>
                    <w:adjustRightInd w:val="0"/>
                    <w:snapToGrid w:val="0"/>
                    <w:jc w:val="center"/>
                    <w:rPr>
                      <w:sz w:val="18"/>
                      <w:szCs w:val="18"/>
                    </w:rPr>
                  </w:pPr>
                </w:p>
              </w:tc>
              <w:tc>
                <w:tcPr>
                  <w:tcW w:w="798" w:type="pct"/>
                  <w:vMerge/>
                  <w:vAlign w:val="center"/>
                </w:tcPr>
                <w:p w14:paraId="42562109" w14:textId="77777777" w:rsidR="00F76A63" w:rsidRDefault="00F76A63">
                  <w:pPr>
                    <w:adjustRightInd w:val="0"/>
                    <w:snapToGrid w:val="0"/>
                    <w:jc w:val="center"/>
                    <w:rPr>
                      <w:sz w:val="18"/>
                      <w:szCs w:val="18"/>
                    </w:rPr>
                  </w:pPr>
                </w:p>
              </w:tc>
              <w:tc>
                <w:tcPr>
                  <w:tcW w:w="1350" w:type="pct"/>
                  <w:vMerge/>
                  <w:vAlign w:val="center"/>
                </w:tcPr>
                <w:p w14:paraId="7D3E1D60" w14:textId="77777777" w:rsidR="00F76A63" w:rsidRDefault="00F76A63">
                  <w:pPr>
                    <w:widowControl/>
                    <w:jc w:val="center"/>
                    <w:rPr>
                      <w:sz w:val="18"/>
                      <w:szCs w:val="18"/>
                    </w:rPr>
                  </w:pPr>
                </w:p>
              </w:tc>
              <w:tc>
                <w:tcPr>
                  <w:tcW w:w="754" w:type="pct"/>
                  <w:vAlign w:val="center"/>
                </w:tcPr>
                <w:p w14:paraId="52F9D42D"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554D9631" w14:textId="77777777" w:rsidR="00F76A63" w:rsidRDefault="00000000">
                  <w:pPr>
                    <w:adjustRightInd w:val="0"/>
                    <w:snapToGrid w:val="0"/>
                    <w:jc w:val="center"/>
                    <w:rPr>
                      <w:rFonts w:eastAsia="Arial Unicode MS"/>
                      <w:sz w:val="18"/>
                      <w:szCs w:val="18"/>
                    </w:rPr>
                  </w:pPr>
                  <w:r>
                    <w:rPr>
                      <w:rFonts w:hint="eastAsia"/>
                      <w:sz w:val="18"/>
                      <w:szCs w:val="18"/>
                    </w:rPr>
                    <w:t>0.03</w:t>
                  </w:r>
                </w:p>
              </w:tc>
              <w:tc>
                <w:tcPr>
                  <w:tcW w:w="696" w:type="pct"/>
                  <w:vMerge/>
                  <w:vAlign w:val="center"/>
                </w:tcPr>
                <w:p w14:paraId="1C87B975" w14:textId="77777777" w:rsidR="00F76A63" w:rsidRDefault="00F76A63">
                  <w:pPr>
                    <w:adjustRightInd w:val="0"/>
                    <w:snapToGrid w:val="0"/>
                    <w:jc w:val="center"/>
                    <w:rPr>
                      <w:sz w:val="18"/>
                      <w:szCs w:val="18"/>
                    </w:rPr>
                  </w:pPr>
                </w:p>
              </w:tc>
            </w:tr>
            <w:tr w:rsidR="00F76A63" w14:paraId="3F203215" w14:textId="77777777">
              <w:trPr>
                <w:trHeight w:val="340"/>
                <w:jc w:val="center"/>
              </w:trPr>
              <w:tc>
                <w:tcPr>
                  <w:tcW w:w="582" w:type="pct"/>
                  <w:vMerge/>
                  <w:vAlign w:val="center"/>
                </w:tcPr>
                <w:p w14:paraId="166DB852" w14:textId="77777777" w:rsidR="00F76A63" w:rsidRDefault="00F76A63">
                  <w:pPr>
                    <w:adjustRightInd w:val="0"/>
                    <w:snapToGrid w:val="0"/>
                    <w:jc w:val="center"/>
                    <w:rPr>
                      <w:sz w:val="18"/>
                      <w:szCs w:val="18"/>
                    </w:rPr>
                  </w:pPr>
                </w:p>
              </w:tc>
              <w:tc>
                <w:tcPr>
                  <w:tcW w:w="798" w:type="pct"/>
                  <w:vMerge/>
                  <w:vAlign w:val="center"/>
                </w:tcPr>
                <w:p w14:paraId="0A44D45F" w14:textId="77777777" w:rsidR="00F76A63" w:rsidRDefault="00F76A63">
                  <w:pPr>
                    <w:adjustRightInd w:val="0"/>
                    <w:snapToGrid w:val="0"/>
                    <w:jc w:val="center"/>
                    <w:rPr>
                      <w:sz w:val="18"/>
                      <w:szCs w:val="18"/>
                    </w:rPr>
                  </w:pPr>
                </w:p>
              </w:tc>
              <w:tc>
                <w:tcPr>
                  <w:tcW w:w="1350" w:type="pct"/>
                  <w:vMerge/>
                  <w:vAlign w:val="center"/>
                </w:tcPr>
                <w:p w14:paraId="0D93E4EE" w14:textId="77777777" w:rsidR="00F76A63" w:rsidRDefault="00F76A63">
                  <w:pPr>
                    <w:widowControl/>
                    <w:jc w:val="center"/>
                    <w:rPr>
                      <w:sz w:val="18"/>
                      <w:szCs w:val="18"/>
                    </w:rPr>
                  </w:pPr>
                </w:p>
              </w:tc>
              <w:tc>
                <w:tcPr>
                  <w:tcW w:w="754" w:type="pct"/>
                  <w:vAlign w:val="center"/>
                </w:tcPr>
                <w:p w14:paraId="7DC23C93"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1F9AC37F" w14:textId="77777777" w:rsidR="00F76A63" w:rsidRDefault="00000000">
                  <w:pPr>
                    <w:adjustRightInd w:val="0"/>
                    <w:snapToGrid w:val="0"/>
                    <w:jc w:val="center"/>
                    <w:rPr>
                      <w:rFonts w:eastAsia="Arial Unicode MS"/>
                      <w:sz w:val="18"/>
                      <w:szCs w:val="18"/>
                    </w:rPr>
                  </w:pPr>
                  <w:r>
                    <w:rPr>
                      <w:rFonts w:hint="eastAsia"/>
                      <w:sz w:val="18"/>
                      <w:szCs w:val="18"/>
                    </w:rPr>
                    <w:t>0.30</w:t>
                  </w:r>
                </w:p>
              </w:tc>
              <w:tc>
                <w:tcPr>
                  <w:tcW w:w="696" w:type="pct"/>
                  <w:vMerge/>
                  <w:vAlign w:val="center"/>
                </w:tcPr>
                <w:p w14:paraId="0F4AAECA" w14:textId="77777777" w:rsidR="00F76A63" w:rsidRDefault="00F76A63">
                  <w:pPr>
                    <w:adjustRightInd w:val="0"/>
                    <w:snapToGrid w:val="0"/>
                    <w:jc w:val="center"/>
                    <w:rPr>
                      <w:sz w:val="18"/>
                      <w:szCs w:val="18"/>
                    </w:rPr>
                  </w:pPr>
                </w:p>
              </w:tc>
            </w:tr>
            <w:tr w:rsidR="00F76A63" w14:paraId="3EF84559" w14:textId="77777777">
              <w:trPr>
                <w:trHeight w:val="340"/>
                <w:jc w:val="center"/>
              </w:trPr>
              <w:tc>
                <w:tcPr>
                  <w:tcW w:w="582" w:type="pct"/>
                  <w:vMerge/>
                  <w:vAlign w:val="center"/>
                </w:tcPr>
                <w:p w14:paraId="512E1A08" w14:textId="77777777" w:rsidR="00F76A63" w:rsidRDefault="00F76A63">
                  <w:pPr>
                    <w:adjustRightInd w:val="0"/>
                    <w:snapToGrid w:val="0"/>
                    <w:jc w:val="center"/>
                    <w:rPr>
                      <w:sz w:val="18"/>
                      <w:szCs w:val="18"/>
                    </w:rPr>
                  </w:pPr>
                </w:p>
              </w:tc>
              <w:tc>
                <w:tcPr>
                  <w:tcW w:w="798" w:type="pct"/>
                  <w:vMerge w:val="restart"/>
                  <w:vAlign w:val="center"/>
                </w:tcPr>
                <w:p w14:paraId="70A98CE7" w14:textId="77777777" w:rsidR="00F76A63" w:rsidRDefault="00000000">
                  <w:pPr>
                    <w:adjustRightInd w:val="0"/>
                    <w:snapToGrid w:val="0"/>
                    <w:jc w:val="center"/>
                    <w:rPr>
                      <w:sz w:val="18"/>
                      <w:szCs w:val="18"/>
                    </w:rPr>
                  </w:pPr>
                  <w:r>
                    <w:rPr>
                      <w:sz w:val="18"/>
                      <w:szCs w:val="18"/>
                    </w:rPr>
                    <w:t>20240</w:t>
                  </w:r>
                  <w:r>
                    <w:rPr>
                      <w:rFonts w:hint="eastAsia"/>
                      <w:sz w:val="18"/>
                      <w:szCs w:val="18"/>
                    </w:rPr>
                    <w:t>4</w:t>
                  </w:r>
                </w:p>
              </w:tc>
              <w:tc>
                <w:tcPr>
                  <w:tcW w:w="1350" w:type="pct"/>
                  <w:vMerge w:val="restart"/>
                  <w:vAlign w:val="center"/>
                </w:tcPr>
                <w:p w14:paraId="338F7E9E" w14:textId="77777777" w:rsidR="00F76A63" w:rsidRDefault="00000000">
                  <w:pPr>
                    <w:widowControl/>
                    <w:jc w:val="center"/>
                    <w:rPr>
                      <w:sz w:val="18"/>
                      <w:szCs w:val="18"/>
                    </w:rPr>
                  </w:pPr>
                  <w:r>
                    <w:rPr>
                      <w:rFonts w:hint="eastAsia"/>
                      <w:sz w:val="18"/>
                      <w:szCs w:val="18"/>
                    </w:rPr>
                    <w:t>373483.47</w:t>
                  </w:r>
                </w:p>
              </w:tc>
              <w:tc>
                <w:tcPr>
                  <w:tcW w:w="754" w:type="pct"/>
                  <w:vAlign w:val="center"/>
                </w:tcPr>
                <w:p w14:paraId="22F94140"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4F490386" w14:textId="77777777" w:rsidR="00F76A63" w:rsidRDefault="00000000">
                  <w:pPr>
                    <w:adjustRightInd w:val="0"/>
                    <w:snapToGrid w:val="0"/>
                    <w:jc w:val="center"/>
                    <w:rPr>
                      <w:rFonts w:eastAsia="Arial Unicode MS"/>
                      <w:sz w:val="18"/>
                      <w:szCs w:val="18"/>
                    </w:rPr>
                  </w:pPr>
                  <w:r>
                    <w:rPr>
                      <w:rFonts w:hint="eastAsia"/>
                      <w:sz w:val="18"/>
                      <w:szCs w:val="18"/>
                    </w:rPr>
                    <w:t>2.28</w:t>
                  </w:r>
                </w:p>
              </w:tc>
              <w:tc>
                <w:tcPr>
                  <w:tcW w:w="696" w:type="pct"/>
                  <w:vMerge w:val="restart"/>
                  <w:vAlign w:val="center"/>
                </w:tcPr>
                <w:p w14:paraId="3F190C43" w14:textId="77777777" w:rsidR="00F76A63" w:rsidRDefault="00000000">
                  <w:pPr>
                    <w:adjustRightInd w:val="0"/>
                    <w:snapToGrid w:val="0"/>
                    <w:jc w:val="center"/>
                    <w:rPr>
                      <w:sz w:val="18"/>
                      <w:szCs w:val="18"/>
                    </w:rPr>
                  </w:pPr>
                  <w:r>
                    <w:rPr>
                      <w:sz w:val="18"/>
                      <w:szCs w:val="18"/>
                    </w:rPr>
                    <w:t>/</w:t>
                  </w:r>
                </w:p>
              </w:tc>
            </w:tr>
            <w:tr w:rsidR="00F76A63" w14:paraId="50553EDF" w14:textId="77777777">
              <w:trPr>
                <w:trHeight w:val="340"/>
                <w:jc w:val="center"/>
              </w:trPr>
              <w:tc>
                <w:tcPr>
                  <w:tcW w:w="582" w:type="pct"/>
                  <w:vMerge/>
                  <w:vAlign w:val="center"/>
                </w:tcPr>
                <w:p w14:paraId="55894D75" w14:textId="77777777" w:rsidR="00F76A63" w:rsidRDefault="00F76A63">
                  <w:pPr>
                    <w:adjustRightInd w:val="0"/>
                    <w:snapToGrid w:val="0"/>
                    <w:jc w:val="center"/>
                    <w:rPr>
                      <w:sz w:val="18"/>
                      <w:szCs w:val="18"/>
                    </w:rPr>
                  </w:pPr>
                </w:p>
              </w:tc>
              <w:tc>
                <w:tcPr>
                  <w:tcW w:w="798" w:type="pct"/>
                  <w:vMerge/>
                  <w:vAlign w:val="center"/>
                </w:tcPr>
                <w:p w14:paraId="0F6D7173" w14:textId="77777777" w:rsidR="00F76A63" w:rsidRDefault="00F76A63">
                  <w:pPr>
                    <w:adjustRightInd w:val="0"/>
                    <w:snapToGrid w:val="0"/>
                    <w:jc w:val="center"/>
                    <w:rPr>
                      <w:sz w:val="18"/>
                      <w:szCs w:val="18"/>
                    </w:rPr>
                  </w:pPr>
                </w:p>
              </w:tc>
              <w:tc>
                <w:tcPr>
                  <w:tcW w:w="1350" w:type="pct"/>
                  <w:vMerge/>
                  <w:vAlign w:val="center"/>
                </w:tcPr>
                <w:p w14:paraId="74A60A7D" w14:textId="77777777" w:rsidR="00F76A63" w:rsidRDefault="00F76A63">
                  <w:pPr>
                    <w:widowControl/>
                    <w:jc w:val="center"/>
                    <w:rPr>
                      <w:sz w:val="18"/>
                      <w:szCs w:val="18"/>
                    </w:rPr>
                  </w:pPr>
                </w:p>
              </w:tc>
              <w:tc>
                <w:tcPr>
                  <w:tcW w:w="754" w:type="pct"/>
                  <w:vAlign w:val="center"/>
                </w:tcPr>
                <w:p w14:paraId="20ED42B7"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49253022" w14:textId="77777777" w:rsidR="00F76A63" w:rsidRDefault="00000000">
                  <w:pPr>
                    <w:adjustRightInd w:val="0"/>
                    <w:snapToGrid w:val="0"/>
                    <w:jc w:val="center"/>
                    <w:rPr>
                      <w:rFonts w:eastAsia="Arial Unicode MS"/>
                      <w:sz w:val="18"/>
                      <w:szCs w:val="18"/>
                    </w:rPr>
                  </w:pPr>
                  <w:r>
                    <w:rPr>
                      <w:rFonts w:hint="eastAsia"/>
                      <w:sz w:val="18"/>
                      <w:szCs w:val="18"/>
                    </w:rPr>
                    <w:t>2.06</w:t>
                  </w:r>
                </w:p>
              </w:tc>
              <w:tc>
                <w:tcPr>
                  <w:tcW w:w="696" w:type="pct"/>
                  <w:vMerge/>
                  <w:vAlign w:val="center"/>
                </w:tcPr>
                <w:p w14:paraId="32B47765" w14:textId="77777777" w:rsidR="00F76A63" w:rsidRDefault="00F76A63">
                  <w:pPr>
                    <w:adjustRightInd w:val="0"/>
                    <w:snapToGrid w:val="0"/>
                    <w:jc w:val="center"/>
                    <w:rPr>
                      <w:sz w:val="18"/>
                      <w:szCs w:val="18"/>
                    </w:rPr>
                  </w:pPr>
                </w:p>
              </w:tc>
            </w:tr>
            <w:tr w:rsidR="00F76A63" w14:paraId="0BB49D45" w14:textId="77777777">
              <w:trPr>
                <w:trHeight w:val="340"/>
                <w:jc w:val="center"/>
              </w:trPr>
              <w:tc>
                <w:tcPr>
                  <w:tcW w:w="582" w:type="pct"/>
                  <w:vMerge/>
                  <w:vAlign w:val="center"/>
                </w:tcPr>
                <w:p w14:paraId="7159E167" w14:textId="77777777" w:rsidR="00F76A63" w:rsidRDefault="00F76A63">
                  <w:pPr>
                    <w:adjustRightInd w:val="0"/>
                    <w:snapToGrid w:val="0"/>
                    <w:jc w:val="center"/>
                    <w:rPr>
                      <w:sz w:val="18"/>
                      <w:szCs w:val="18"/>
                    </w:rPr>
                  </w:pPr>
                </w:p>
              </w:tc>
              <w:tc>
                <w:tcPr>
                  <w:tcW w:w="798" w:type="pct"/>
                  <w:vMerge/>
                  <w:vAlign w:val="center"/>
                </w:tcPr>
                <w:p w14:paraId="202917F1" w14:textId="77777777" w:rsidR="00F76A63" w:rsidRDefault="00F76A63">
                  <w:pPr>
                    <w:adjustRightInd w:val="0"/>
                    <w:snapToGrid w:val="0"/>
                    <w:jc w:val="center"/>
                    <w:rPr>
                      <w:sz w:val="18"/>
                      <w:szCs w:val="18"/>
                    </w:rPr>
                  </w:pPr>
                </w:p>
              </w:tc>
              <w:tc>
                <w:tcPr>
                  <w:tcW w:w="1350" w:type="pct"/>
                  <w:vMerge/>
                  <w:vAlign w:val="center"/>
                </w:tcPr>
                <w:p w14:paraId="63884533" w14:textId="77777777" w:rsidR="00F76A63" w:rsidRDefault="00F76A63">
                  <w:pPr>
                    <w:widowControl/>
                    <w:jc w:val="center"/>
                    <w:rPr>
                      <w:sz w:val="18"/>
                      <w:szCs w:val="18"/>
                    </w:rPr>
                  </w:pPr>
                </w:p>
              </w:tc>
              <w:tc>
                <w:tcPr>
                  <w:tcW w:w="754" w:type="pct"/>
                  <w:vAlign w:val="center"/>
                </w:tcPr>
                <w:p w14:paraId="7DD3AEC2"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3CE444A2" w14:textId="77777777" w:rsidR="00F76A63" w:rsidRDefault="00000000">
                  <w:pPr>
                    <w:adjustRightInd w:val="0"/>
                    <w:snapToGrid w:val="0"/>
                    <w:jc w:val="center"/>
                    <w:rPr>
                      <w:rFonts w:eastAsia="Arial Unicode MS"/>
                      <w:sz w:val="18"/>
                      <w:szCs w:val="18"/>
                    </w:rPr>
                  </w:pPr>
                  <w:r>
                    <w:rPr>
                      <w:rFonts w:hint="eastAsia"/>
                      <w:sz w:val="18"/>
                      <w:szCs w:val="18"/>
                    </w:rPr>
                    <w:t>2.18</w:t>
                  </w:r>
                </w:p>
              </w:tc>
              <w:tc>
                <w:tcPr>
                  <w:tcW w:w="696" w:type="pct"/>
                  <w:vMerge/>
                  <w:vAlign w:val="center"/>
                </w:tcPr>
                <w:p w14:paraId="1C29D3F2" w14:textId="77777777" w:rsidR="00F76A63" w:rsidRDefault="00F76A63">
                  <w:pPr>
                    <w:adjustRightInd w:val="0"/>
                    <w:snapToGrid w:val="0"/>
                    <w:jc w:val="center"/>
                    <w:rPr>
                      <w:sz w:val="18"/>
                      <w:szCs w:val="18"/>
                    </w:rPr>
                  </w:pPr>
                </w:p>
              </w:tc>
            </w:tr>
            <w:tr w:rsidR="00F76A63" w14:paraId="5CB6E5C3" w14:textId="77777777">
              <w:trPr>
                <w:trHeight w:val="340"/>
                <w:jc w:val="center"/>
              </w:trPr>
              <w:tc>
                <w:tcPr>
                  <w:tcW w:w="582" w:type="pct"/>
                  <w:vMerge/>
                  <w:vAlign w:val="center"/>
                </w:tcPr>
                <w:p w14:paraId="2B0215F1" w14:textId="77777777" w:rsidR="00F76A63" w:rsidRDefault="00F76A63">
                  <w:pPr>
                    <w:adjustRightInd w:val="0"/>
                    <w:snapToGrid w:val="0"/>
                    <w:jc w:val="center"/>
                    <w:rPr>
                      <w:sz w:val="18"/>
                      <w:szCs w:val="18"/>
                    </w:rPr>
                  </w:pPr>
                </w:p>
              </w:tc>
              <w:tc>
                <w:tcPr>
                  <w:tcW w:w="798" w:type="pct"/>
                  <w:vMerge w:val="restart"/>
                  <w:vAlign w:val="center"/>
                </w:tcPr>
                <w:p w14:paraId="0A108908" w14:textId="77777777" w:rsidR="00F76A63" w:rsidRDefault="00000000">
                  <w:pPr>
                    <w:adjustRightInd w:val="0"/>
                    <w:snapToGrid w:val="0"/>
                    <w:jc w:val="center"/>
                    <w:rPr>
                      <w:sz w:val="18"/>
                      <w:szCs w:val="18"/>
                    </w:rPr>
                  </w:pPr>
                  <w:r>
                    <w:rPr>
                      <w:sz w:val="18"/>
                      <w:szCs w:val="18"/>
                    </w:rPr>
                    <w:t>20240</w:t>
                  </w:r>
                  <w:r>
                    <w:rPr>
                      <w:rFonts w:hint="eastAsia"/>
                      <w:sz w:val="18"/>
                      <w:szCs w:val="18"/>
                    </w:rPr>
                    <w:t>5</w:t>
                  </w:r>
                </w:p>
              </w:tc>
              <w:tc>
                <w:tcPr>
                  <w:tcW w:w="1350" w:type="pct"/>
                  <w:vMerge w:val="restart"/>
                  <w:vAlign w:val="center"/>
                </w:tcPr>
                <w:p w14:paraId="3765C083" w14:textId="77777777" w:rsidR="00F76A63" w:rsidRDefault="00000000">
                  <w:pPr>
                    <w:widowControl/>
                    <w:jc w:val="center"/>
                    <w:rPr>
                      <w:sz w:val="18"/>
                      <w:szCs w:val="18"/>
                    </w:rPr>
                  </w:pPr>
                  <w:r>
                    <w:rPr>
                      <w:rFonts w:hint="eastAsia"/>
                      <w:sz w:val="18"/>
                      <w:szCs w:val="18"/>
                    </w:rPr>
                    <w:t>285141.79</w:t>
                  </w:r>
                </w:p>
              </w:tc>
              <w:tc>
                <w:tcPr>
                  <w:tcW w:w="754" w:type="pct"/>
                  <w:vAlign w:val="center"/>
                </w:tcPr>
                <w:p w14:paraId="55973BCD"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25DE1BFD" w14:textId="77777777" w:rsidR="00F76A63" w:rsidRDefault="00000000">
                  <w:pPr>
                    <w:adjustRightInd w:val="0"/>
                    <w:snapToGrid w:val="0"/>
                    <w:jc w:val="center"/>
                    <w:rPr>
                      <w:rFonts w:eastAsia="Arial Unicode MS"/>
                      <w:sz w:val="18"/>
                      <w:szCs w:val="18"/>
                    </w:rPr>
                  </w:pPr>
                  <w:r>
                    <w:rPr>
                      <w:rFonts w:hint="eastAsia"/>
                      <w:sz w:val="18"/>
                      <w:szCs w:val="18"/>
                    </w:rPr>
                    <w:t>2.29</w:t>
                  </w:r>
                </w:p>
              </w:tc>
              <w:tc>
                <w:tcPr>
                  <w:tcW w:w="696" w:type="pct"/>
                  <w:vMerge w:val="restart"/>
                  <w:vAlign w:val="center"/>
                </w:tcPr>
                <w:p w14:paraId="54E47DB2" w14:textId="77777777" w:rsidR="00F76A63" w:rsidRDefault="00000000">
                  <w:pPr>
                    <w:adjustRightInd w:val="0"/>
                    <w:snapToGrid w:val="0"/>
                    <w:jc w:val="center"/>
                    <w:rPr>
                      <w:sz w:val="18"/>
                      <w:szCs w:val="18"/>
                    </w:rPr>
                  </w:pPr>
                  <w:r>
                    <w:rPr>
                      <w:sz w:val="18"/>
                      <w:szCs w:val="18"/>
                    </w:rPr>
                    <w:t>/</w:t>
                  </w:r>
                </w:p>
              </w:tc>
            </w:tr>
            <w:tr w:rsidR="00F76A63" w14:paraId="3B05A95B" w14:textId="77777777">
              <w:trPr>
                <w:trHeight w:val="340"/>
                <w:jc w:val="center"/>
              </w:trPr>
              <w:tc>
                <w:tcPr>
                  <w:tcW w:w="582" w:type="pct"/>
                  <w:vMerge/>
                  <w:vAlign w:val="center"/>
                </w:tcPr>
                <w:p w14:paraId="6F994A58" w14:textId="77777777" w:rsidR="00F76A63" w:rsidRDefault="00F76A63">
                  <w:pPr>
                    <w:adjustRightInd w:val="0"/>
                    <w:snapToGrid w:val="0"/>
                    <w:jc w:val="center"/>
                    <w:rPr>
                      <w:sz w:val="18"/>
                      <w:szCs w:val="18"/>
                    </w:rPr>
                  </w:pPr>
                </w:p>
              </w:tc>
              <w:tc>
                <w:tcPr>
                  <w:tcW w:w="798" w:type="pct"/>
                  <w:vMerge/>
                  <w:vAlign w:val="center"/>
                </w:tcPr>
                <w:p w14:paraId="66C6105F" w14:textId="77777777" w:rsidR="00F76A63" w:rsidRDefault="00F76A63">
                  <w:pPr>
                    <w:adjustRightInd w:val="0"/>
                    <w:snapToGrid w:val="0"/>
                    <w:jc w:val="center"/>
                    <w:rPr>
                      <w:sz w:val="18"/>
                      <w:szCs w:val="18"/>
                    </w:rPr>
                  </w:pPr>
                </w:p>
              </w:tc>
              <w:tc>
                <w:tcPr>
                  <w:tcW w:w="1350" w:type="pct"/>
                  <w:vMerge/>
                  <w:vAlign w:val="center"/>
                </w:tcPr>
                <w:p w14:paraId="576EF6D5" w14:textId="77777777" w:rsidR="00F76A63" w:rsidRDefault="00F76A63">
                  <w:pPr>
                    <w:widowControl/>
                    <w:jc w:val="center"/>
                    <w:rPr>
                      <w:sz w:val="18"/>
                      <w:szCs w:val="18"/>
                    </w:rPr>
                  </w:pPr>
                </w:p>
              </w:tc>
              <w:tc>
                <w:tcPr>
                  <w:tcW w:w="754" w:type="pct"/>
                  <w:vAlign w:val="center"/>
                </w:tcPr>
                <w:p w14:paraId="57003FEA"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3FA0DB7C" w14:textId="77777777" w:rsidR="00F76A63" w:rsidRDefault="00000000">
                  <w:pPr>
                    <w:adjustRightInd w:val="0"/>
                    <w:snapToGrid w:val="0"/>
                    <w:jc w:val="center"/>
                    <w:rPr>
                      <w:rFonts w:eastAsia="Arial Unicode MS"/>
                      <w:sz w:val="18"/>
                      <w:szCs w:val="18"/>
                    </w:rPr>
                  </w:pPr>
                  <w:r>
                    <w:rPr>
                      <w:rFonts w:hint="eastAsia"/>
                      <w:sz w:val="18"/>
                      <w:szCs w:val="18"/>
                    </w:rPr>
                    <w:t>1.80</w:t>
                  </w:r>
                </w:p>
              </w:tc>
              <w:tc>
                <w:tcPr>
                  <w:tcW w:w="696" w:type="pct"/>
                  <w:vMerge/>
                  <w:vAlign w:val="center"/>
                </w:tcPr>
                <w:p w14:paraId="1910F7F8" w14:textId="77777777" w:rsidR="00F76A63" w:rsidRDefault="00F76A63">
                  <w:pPr>
                    <w:adjustRightInd w:val="0"/>
                    <w:snapToGrid w:val="0"/>
                    <w:jc w:val="center"/>
                    <w:rPr>
                      <w:sz w:val="18"/>
                      <w:szCs w:val="18"/>
                    </w:rPr>
                  </w:pPr>
                </w:p>
              </w:tc>
            </w:tr>
            <w:tr w:rsidR="00F76A63" w14:paraId="44320E28" w14:textId="77777777">
              <w:trPr>
                <w:trHeight w:val="340"/>
                <w:jc w:val="center"/>
              </w:trPr>
              <w:tc>
                <w:tcPr>
                  <w:tcW w:w="582" w:type="pct"/>
                  <w:vMerge/>
                  <w:vAlign w:val="center"/>
                </w:tcPr>
                <w:p w14:paraId="633ECDBD" w14:textId="77777777" w:rsidR="00F76A63" w:rsidRDefault="00F76A63">
                  <w:pPr>
                    <w:adjustRightInd w:val="0"/>
                    <w:snapToGrid w:val="0"/>
                    <w:jc w:val="center"/>
                    <w:rPr>
                      <w:sz w:val="18"/>
                      <w:szCs w:val="18"/>
                    </w:rPr>
                  </w:pPr>
                </w:p>
              </w:tc>
              <w:tc>
                <w:tcPr>
                  <w:tcW w:w="798" w:type="pct"/>
                  <w:vMerge/>
                  <w:vAlign w:val="center"/>
                </w:tcPr>
                <w:p w14:paraId="7B67C903" w14:textId="77777777" w:rsidR="00F76A63" w:rsidRDefault="00F76A63">
                  <w:pPr>
                    <w:adjustRightInd w:val="0"/>
                    <w:snapToGrid w:val="0"/>
                    <w:jc w:val="center"/>
                    <w:rPr>
                      <w:sz w:val="18"/>
                      <w:szCs w:val="18"/>
                    </w:rPr>
                  </w:pPr>
                </w:p>
              </w:tc>
              <w:tc>
                <w:tcPr>
                  <w:tcW w:w="1350" w:type="pct"/>
                  <w:vMerge/>
                  <w:vAlign w:val="center"/>
                </w:tcPr>
                <w:p w14:paraId="579773DF" w14:textId="77777777" w:rsidR="00F76A63" w:rsidRDefault="00F76A63">
                  <w:pPr>
                    <w:widowControl/>
                    <w:jc w:val="center"/>
                    <w:rPr>
                      <w:sz w:val="18"/>
                      <w:szCs w:val="18"/>
                    </w:rPr>
                  </w:pPr>
                </w:p>
              </w:tc>
              <w:tc>
                <w:tcPr>
                  <w:tcW w:w="754" w:type="pct"/>
                  <w:vAlign w:val="center"/>
                </w:tcPr>
                <w:p w14:paraId="68450E8C"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3C4BF736" w14:textId="77777777" w:rsidR="00F76A63" w:rsidRDefault="00000000">
                  <w:pPr>
                    <w:adjustRightInd w:val="0"/>
                    <w:snapToGrid w:val="0"/>
                    <w:jc w:val="center"/>
                    <w:rPr>
                      <w:rFonts w:eastAsia="Arial Unicode MS"/>
                      <w:sz w:val="18"/>
                      <w:szCs w:val="18"/>
                    </w:rPr>
                  </w:pPr>
                  <w:r>
                    <w:rPr>
                      <w:rFonts w:hint="eastAsia"/>
                      <w:sz w:val="18"/>
                      <w:szCs w:val="18"/>
                    </w:rPr>
                    <w:t>2.11</w:t>
                  </w:r>
                </w:p>
              </w:tc>
              <w:tc>
                <w:tcPr>
                  <w:tcW w:w="696" w:type="pct"/>
                  <w:vMerge/>
                  <w:vAlign w:val="center"/>
                </w:tcPr>
                <w:p w14:paraId="4957B11A" w14:textId="77777777" w:rsidR="00F76A63" w:rsidRDefault="00F76A63">
                  <w:pPr>
                    <w:adjustRightInd w:val="0"/>
                    <w:snapToGrid w:val="0"/>
                    <w:jc w:val="center"/>
                    <w:rPr>
                      <w:sz w:val="18"/>
                      <w:szCs w:val="18"/>
                    </w:rPr>
                  </w:pPr>
                </w:p>
              </w:tc>
            </w:tr>
            <w:tr w:rsidR="00F76A63" w14:paraId="0DDD997A" w14:textId="77777777">
              <w:trPr>
                <w:trHeight w:val="340"/>
                <w:jc w:val="center"/>
              </w:trPr>
              <w:tc>
                <w:tcPr>
                  <w:tcW w:w="582" w:type="pct"/>
                  <w:vMerge/>
                  <w:vAlign w:val="center"/>
                </w:tcPr>
                <w:p w14:paraId="4F55FAF5" w14:textId="77777777" w:rsidR="00F76A63" w:rsidRDefault="00F76A63">
                  <w:pPr>
                    <w:adjustRightInd w:val="0"/>
                    <w:snapToGrid w:val="0"/>
                    <w:jc w:val="center"/>
                    <w:rPr>
                      <w:sz w:val="18"/>
                      <w:szCs w:val="18"/>
                    </w:rPr>
                  </w:pPr>
                </w:p>
              </w:tc>
              <w:tc>
                <w:tcPr>
                  <w:tcW w:w="798" w:type="pct"/>
                  <w:vMerge w:val="restart"/>
                  <w:vAlign w:val="center"/>
                </w:tcPr>
                <w:p w14:paraId="30896E75" w14:textId="77777777" w:rsidR="00F76A63" w:rsidRDefault="00000000">
                  <w:pPr>
                    <w:adjustRightInd w:val="0"/>
                    <w:snapToGrid w:val="0"/>
                    <w:jc w:val="center"/>
                    <w:rPr>
                      <w:sz w:val="18"/>
                      <w:szCs w:val="18"/>
                    </w:rPr>
                  </w:pPr>
                  <w:r>
                    <w:rPr>
                      <w:sz w:val="18"/>
                      <w:szCs w:val="18"/>
                    </w:rPr>
                    <w:t>20240</w:t>
                  </w:r>
                  <w:r>
                    <w:rPr>
                      <w:rFonts w:hint="eastAsia"/>
                      <w:sz w:val="18"/>
                      <w:szCs w:val="18"/>
                    </w:rPr>
                    <w:t>6</w:t>
                  </w:r>
                </w:p>
              </w:tc>
              <w:tc>
                <w:tcPr>
                  <w:tcW w:w="1350" w:type="pct"/>
                  <w:vMerge w:val="restart"/>
                  <w:vAlign w:val="center"/>
                </w:tcPr>
                <w:p w14:paraId="235F5619" w14:textId="77777777" w:rsidR="00F76A63" w:rsidRDefault="00000000">
                  <w:pPr>
                    <w:widowControl/>
                    <w:jc w:val="center"/>
                    <w:rPr>
                      <w:sz w:val="18"/>
                      <w:szCs w:val="18"/>
                    </w:rPr>
                  </w:pPr>
                  <w:r>
                    <w:rPr>
                      <w:rFonts w:hint="eastAsia"/>
                      <w:sz w:val="18"/>
                      <w:szCs w:val="18"/>
                    </w:rPr>
                    <w:t>352078.81</w:t>
                  </w:r>
                </w:p>
              </w:tc>
              <w:tc>
                <w:tcPr>
                  <w:tcW w:w="754" w:type="pct"/>
                  <w:vAlign w:val="center"/>
                </w:tcPr>
                <w:p w14:paraId="1B76BD86"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35517940" w14:textId="77777777" w:rsidR="00F76A63" w:rsidRDefault="00000000">
                  <w:pPr>
                    <w:adjustRightInd w:val="0"/>
                    <w:snapToGrid w:val="0"/>
                    <w:jc w:val="center"/>
                    <w:rPr>
                      <w:rFonts w:eastAsia="Arial Unicode MS"/>
                      <w:sz w:val="18"/>
                      <w:szCs w:val="18"/>
                    </w:rPr>
                  </w:pPr>
                  <w:r>
                    <w:rPr>
                      <w:rFonts w:hint="eastAsia"/>
                      <w:sz w:val="18"/>
                      <w:szCs w:val="18"/>
                    </w:rPr>
                    <w:t>2.44</w:t>
                  </w:r>
                </w:p>
              </w:tc>
              <w:tc>
                <w:tcPr>
                  <w:tcW w:w="696" w:type="pct"/>
                  <w:vMerge w:val="restart"/>
                  <w:vAlign w:val="center"/>
                </w:tcPr>
                <w:p w14:paraId="11A54F3D" w14:textId="77777777" w:rsidR="00F76A63" w:rsidRDefault="00000000">
                  <w:pPr>
                    <w:adjustRightInd w:val="0"/>
                    <w:snapToGrid w:val="0"/>
                    <w:jc w:val="center"/>
                    <w:rPr>
                      <w:sz w:val="18"/>
                      <w:szCs w:val="18"/>
                    </w:rPr>
                  </w:pPr>
                  <w:r>
                    <w:rPr>
                      <w:sz w:val="18"/>
                      <w:szCs w:val="18"/>
                    </w:rPr>
                    <w:t>/</w:t>
                  </w:r>
                </w:p>
              </w:tc>
            </w:tr>
            <w:tr w:rsidR="00F76A63" w14:paraId="5584988E" w14:textId="77777777">
              <w:trPr>
                <w:trHeight w:val="340"/>
                <w:jc w:val="center"/>
              </w:trPr>
              <w:tc>
                <w:tcPr>
                  <w:tcW w:w="582" w:type="pct"/>
                  <w:vMerge/>
                  <w:vAlign w:val="center"/>
                </w:tcPr>
                <w:p w14:paraId="09558749" w14:textId="77777777" w:rsidR="00F76A63" w:rsidRDefault="00F76A63">
                  <w:pPr>
                    <w:adjustRightInd w:val="0"/>
                    <w:snapToGrid w:val="0"/>
                    <w:jc w:val="center"/>
                    <w:rPr>
                      <w:sz w:val="18"/>
                      <w:szCs w:val="18"/>
                    </w:rPr>
                  </w:pPr>
                </w:p>
              </w:tc>
              <w:tc>
                <w:tcPr>
                  <w:tcW w:w="798" w:type="pct"/>
                  <w:vMerge/>
                  <w:vAlign w:val="center"/>
                </w:tcPr>
                <w:p w14:paraId="3133A435" w14:textId="77777777" w:rsidR="00F76A63" w:rsidRDefault="00F76A63">
                  <w:pPr>
                    <w:adjustRightInd w:val="0"/>
                    <w:snapToGrid w:val="0"/>
                    <w:jc w:val="center"/>
                    <w:rPr>
                      <w:sz w:val="18"/>
                      <w:szCs w:val="18"/>
                    </w:rPr>
                  </w:pPr>
                </w:p>
              </w:tc>
              <w:tc>
                <w:tcPr>
                  <w:tcW w:w="1350" w:type="pct"/>
                  <w:vMerge/>
                  <w:vAlign w:val="center"/>
                </w:tcPr>
                <w:p w14:paraId="252F50EF" w14:textId="77777777" w:rsidR="00F76A63" w:rsidRDefault="00F76A63">
                  <w:pPr>
                    <w:widowControl/>
                    <w:jc w:val="center"/>
                    <w:rPr>
                      <w:sz w:val="18"/>
                      <w:szCs w:val="18"/>
                    </w:rPr>
                  </w:pPr>
                </w:p>
              </w:tc>
              <w:tc>
                <w:tcPr>
                  <w:tcW w:w="754" w:type="pct"/>
                  <w:vAlign w:val="center"/>
                </w:tcPr>
                <w:p w14:paraId="2340A5D6"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0226C163" w14:textId="77777777" w:rsidR="00F76A63" w:rsidRDefault="00000000">
                  <w:pPr>
                    <w:adjustRightInd w:val="0"/>
                    <w:snapToGrid w:val="0"/>
                    <w:jc w:val="center"/>
                    <w:rPr>
                      <w:rFonts w:eastAsia="Arial Unicode MS"/>
                      <w:sz w:val="18"/>
                      <w:szCs w:val="18"/>
                    </w:rPr>
                  </w:pPr>
                  <w:r>
                    <w:rPr>
                      <w:rFonts w:hint="eastAsia"/>
                      <w:sz w:val="18"/>
                      <w:szCs w:val="18"/>
                    </w:rPr>
                    <w:t>1.89</w:t>
                  </w:r>
                </w:p>
              </w:tc>
              <w:tc>
                <w:tcPr>
                  <w:tcW w:w="696" w:type="pct"/>
                  <w:vMerge/>
                  <w:vAlign w:val="center"/>
                </w:tcPr>
                <w:p w14:paraId="23D5A0C0" w14:textId="77777777" w:rsidR="00F76A63" w:rsidRDefault="00F76A63">
                  <w:pPr>
                    <w:adjustRightInd w:val="0"/>
                    <w:snapToGrid w:val="0"/>
                    <w:jc w:val="center"/>
                    <w:rPr>
                      <w:sz w:val="18"/>
                      <w:szCs w:val="18"/>
                    </w:rPr>
                  </w:pPr>
                </w:p>
              </w:tc>
            </w:tr>
            <w:tr w:rsidR="00F76A63" w14:paraId="2D07A0AE" w14:textId="77777777">
              <w:trPr>
                <w:trHeight w:val="340"/>
                <w:jc w:val="center"/>
              </w:trPr>
              <w:tc>
                <w:tcPr>
                  <w:tcW w:w="582" w:type="pct"/>
                  <w:vMerge/>
                  <w:vAlign w:val="center"/>
                </w:tcPr>
                <w:p w14:paraId="5ADD4FE8" w14:textId="77777777" w:rsidR="00F76A63" w:rsidRDefault="00F76A63">
                  <w:pPr>
                    <w:adjustRightInd w:val="0"/>
                    <w:snapToGrid w:val="0"/>
                    <w:jc w:val="center"/>
                    <w:rPr>
                      <w:sz w:val="18"/>
                      <w:szCs w:val="18"/>
                    </w:rPr>
                  </w:pPr>
                </w:p>
              </w:tc>
              <w:tc>
                <w:tcPr>
                  <w:tcW w:w="798" w:type="pct"/>
                  <w:vMerge/>
                  <w:vAlign w:val="center"/>
                </w:tcPr>
                <w:p w14:paraId="774F6CB1" w14:textId="77777777" w:rsidR="00F76A63" w:rsidRDefault="00F76A63">
                  <w:pPr>
                    <w:adjustRightInd w:val="0"/>
                    <w:snapToGrid w:val="0"/>
                    <w:jc w:val="center"/>
                    <w:rPr>
                      <w:sz w:val="18"/>
                      <w:szCs w:val="18"/>
                    </w:rPr>
                  </w:pPr>
                </w:p>
              </w:tc>
              <w:tc>
                <w:tcPr>
                  <w:tcW w:w="1350" w:type="pct"/>
                  <w:vMerge/>
                  <w:vAlign w:val="center"/>
                </w:tcPr>
                <w:p w14:paraId="3D09B458" w14:textId="77777777" w:rsidR="00F76A63" w:rsidRDefault="00F76A63">
                  <w:pPr>
                    <w:widowControl/>
                    <w:jc w:val="center"/>
                    <w:rPr>
                      <w:sz w:val="18"/>
                      <w:szCs w:val="18"/>
                    </w:rPr>
                  </w:pPr>
                </w:p>
              </w:tc>
              <w:tc>
                <w:tcPr>
                  <w:tcW w:w="754" w:type="pct"/>
                  <w:vAlign w:val="center"/>
                </w:tcPr>
                <w:p w14:paraId="38585921"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30601391" w14:textId="77777777" w:rsidR="00F76A63" w:rsidRDefault="00000000">
                  <w:pPr>
                    <w:adjustRightInd w:val="0"/>
                    <w:snapToGrid w:val="0"/>
                    <w:jc w:val="center"/>
                    <w:rPr>
                      <w:rFonts w:eastAsia="Arial Unicode MS"/>
                      <w:sz w:val="18"/>
                      <w:szCs w:val="18"/>
                    </w:rPr>
                  </w:pPr>
                  <w:r>
                    <w:rPr>
                      <w:rFonts w:hint="eastAsia"/>
                      <w:sz w:val="18"/>
                      <w:szCs w:val="18"/>
                    </w:rPr>
                    <w:t>2.29</w:t>
                  </w:r>
                </w:p>
              </w:tc>
              <w:tc>
                <w:tcPr>
                  <w:tcW w:w="696" w:type="pct"/>
                  <w:vMerge/>
                  <w:vAlign w:val="center"/>
                </w:tcPr>
                <w:p w14:paraId="70DB6D93" w14:textId="77777777" w:rsidR="00F76A63" w:rsidRDefault="00F76A63">
                  <w:pPr>
                    <w:adjustRightInd w:val="0"/>
                    <w:snapToGrid w:val="0"/>
                    <w:jc w:val="center"/>
                    <w:rPr>
                      <w:sz w:val="18"/>
                      <w:szCs w:val="18"/>
                    </w:rPr>
                  </w:pPr>
                </w:p>
              </w:tc>
            </w:tr>
            <w:tr w:rsidR="00F76A63" w14:paraId="51AFDC31" w14:textId="77777777">
              <w:trPr>
                <w:trHeight w:val="340"/>
                <w:jc w:val="center"/>
              </w:trPr>
              <w:tc>
                <w:tcPr>
                  <w:tcW w:w="582" w:type="pct"/>
                  <w:vMerge/>
                  <w:vAlign w:val="center"/>
                </w:tcPr>
                <w:p w14:paraId="18AC0BDB" w14:textId="77777777" w:rsidR="00F76A63" w:rsidRDefault="00F76A63">
                  <w:pPr>
                    <w:adjustRightInd w:val="0"/>
                    <w:snapToGrid w:val="0"/>
                    <w:jc w:val="center"/>
                    <w:rPr>
                      <w:sz w:val="18"/>
                      <w:szCs w:val="18"/>
                    </w:rPr>
                  </w:pPr>
                </w:p>
              </w:tc>
              <w:tc>
                <w:tcPr>
                  <w:tcW w:w="798" w:type="pct"/>
                  <w:vMerge w:val="restart"/>
                  <w:vAlign w:val="center"/>
                </w:tcPr>
                <w:p w14:paraId="1B4F7F77" w14:textId="77777777" w:rsidR="00F76A63" w:rsidRDefault="00000000">
                  <w:pPr>
                    <w:adjustRightInd w:val="0"/>
                    <w:snapToGrid w:val="0"/>
                    <w:jc w:val="center"/>
                    <w:rPr>
                      <w:sz w:val="18"/>
                      <w:szCs w:val="18"/>
                    </w:rPr>
                  </w:pPr>
                  <w:r>
                    <w:rPr>
                      <w:sz w:val="18"/>
                      <w:szCs w:val="18"/>
                    </w:rPr>
                    <w:t>202407</w:t>
                  </w:r>
                </w:p>
              </w:tc>
              <w:tc>
                <w:tcPr>
                  <w:tcW w:w="1350" w:type="pct"/>
                  <w:vMerge w:val="restart"/>
                  <w:vAlign w:val="center"/>
                </w:tcPr>
                <w:p w14:paraId="53D9C6D4" w14:textId="77777777" w:rsidR="00F76A63" w:rsidRDefault="00000000">
                  <w:pPr>
                    <w:widowControl/>
                    <w:jc w:val="center"/>
                    <w:rPr>
                      <w:kern w:val="0"/>
                      <w:sz w:val="18"/>
                      <w:szCs w:val="18"/>
                    </w:rPr>
                  </w:pPr>
                  <w:r>
                    <w:rPr>
                      <w:sz w:val="18"/>
                      <w:szCs w:val="18"/>
                    </w:rPr>
                    <w:t>333180.73</w:t>
                  </w:r>
                </w:p>
              </w:tc>
              <w:tc>
                <w:tcPr>
                  <w:tcW w:w="754" w:type="pct"/>
                  <w:vAlign w:val="center"/>
                </w:tcPr>
                <w:p w14:paraId="64ADA19C"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741DBB68" w14:textId="77777777" w:rsidR="00F76A63" w:rsidRDefault="00000000">
                  <w:pPr>
                    <w:adjustRightInd w:val="0"/>
                    <w:snapToGrid w:val="0"/>
                    <w:jc w:val="center"/>
                    <w:rPr>
                      <w:sz w:val="18"/>
                      <w:szCs w:val="18"/>
                    </w:rPr>
                  </w:pPr>
                  <w:r>
                    <w:rPr>
                      <w:rFonts w:eastAsia="Arial Unicode MS"/>
                      <w:sz w:val="18"/>
                      <w:szCs w:val="18"/>
                    </w:rPr>
                    <w:t>2.54</w:t>
                  </w:r>
                </w:p>
              </w:tc>
              <w:tc>
                <w:tcPr>
                  <w:tcW w:w="696" w:type="pct"/>
                  <w:vMerge w:val="restart"/>
                  <w:vAlign w:val="center"/>
                </w:tcPr>
                <w:p w14:paraId="33AB678A" w14:textId="77777777" w:rsidR="00F76A63" w:rsidRDefault="00000000">
                  <w:pPr>
                    <w:adjustRightInd w:val="0"/>
                    <w:snapToGrid w:val="0"/>
                    <w:jc w:val="center"/>
                    <w:rPr>
                      <w:sz w:val="18"/>
                      <w:szCs w:val="18"/>
                    </w:rPr>
                  </w:pPr>
                  <w:r>
                    <w:rPr>
                      <w:sz w:val="18"/>
                      <w:szCs w:val="18"/>
                    </w:rPr>
                    <w:t>/</w:t>
                  </w:r>
                </w:p>
              </w:tc>
            </w:tr>
            <w:tr w:rsidR="00F76A63" w14:paraId="144259F4" w14:textId="77777777">
              <w:trPr>
                <w:trHeight w:val="340"/>
                <w:jc w:val="center"/>
              </w:trPr>
              <w:tc>
                <w:tcPr>
                  <w:tcW w:w="582" w:type="pct"/>
                  <w:vMerge/>
                  <w:vAlign w:val="center"/>
                </w:tcPr>
                <w:p w14:paraId="629F3371" w14:textId="77777777" w:rsidR="00F76A63" w:rsidRDefault="00F76A63">
                  <w:pPr>
                    <w:adjustRightInd w:val="0"/>
                    <w:snapToGrid w:val="0"/>
                    <w:jc w:val="center"/>
                    <w:rPr>
                      <w:sz w:val="18"/>
                      <w:szCs w:val="18"/>
                    </w:rPr>
                  </w:pPr>
                </w:p>
              </w:tc>
              <w:tc>
                <w:tcPr>
                  <w:tcW w:w="798" w:type="pct"/>
                  <w:vMerge/>
                  <w:vAlign w:val="center"/>
                </w:tcPr>
                <w:p w14:paraId="1085689F" w14:textId="77777777" w:rsidR="00F76A63" w:rsidRDefault="00F76A63">
                  <w:pPr>
                    <w:adjustRightInd w:val="0"/>
                    <w:snapToGrid w:val="0"/>
                    <w:jc w:val="center"/>
                    <w:rPr>
                      <w:sz w:val="18"/>
                      <w:szCs w:val="18"/>
                    </w:rPr>
                  </w:pPr>
                </w:p>
              </w:tc>
              <w:tc>
                <w:tcPr>
                  <w:tcW w:w="1350" w:type="pct"/>
                  <w:vMerge/>
                  <w:vAlign w:val="center"/>
                </w:tcPr>
                <w:p w14:paraId="690B44D2" w14:textId="77777777" w:rsidR="00F76A63" w:rsidRDefault="00F76A63">
                  <w:pPr>
                    <w:adjustRightInd w:val="0"/>
                    <w:snapToGrid w:val="0"/>
                    <w:jc w:val="center"/>
                    <w:rPr>
                      <w:sz w:val="18"/>
                      <w:szCs w:val="18"/>
                    </w:rPr>
                  </w:pPr>
                </w:p>
              </w:tc>
              <w:tc>
                <w:tcPr>
                  <w:tcW w:w="754" w:type="pct"/>
                  <w:vAlign w:val="center"/>
                </w:tcPr>
                <w:p w14:paraId="705C1ACE"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187D4DF8" w14:textId="77777777" w:rsidR="00F76A63" w:rsidRDefault="00000000">
                  <w:pPr>
                    <w:adjustRightInd w:val="0"/>
                    <w:snapToGrid w:val="0"/>
                    <w:jc w:val="center"/>
                    <w:rPr>
                      <w:sz w:val="18"/>
                      <w:szCs w:val="18"/>
                    </w:rPr>
                  </w:pPr>
                  <w:r>
                    <w:rPr>
                      <w:rFonts w:eastAsia="Arial Unicode MS"/>
                      <w:sz w:val="18"/>
                      <w:szCs w:val="18"/>
                    </w:rPr>
                    <w:t>2.02</w:t>
                  </w:r>
                </w:p>
              </w:tc>
              <w:tc>
                <w:tcPr>
                  <w:tcW w:w="696" w:type="pct"/>
                  <w:vMerge/>
                  <w:vAlign w:val="center"/>
                </w:tcPr>
                <w:p w14:paraId="1A24E3C2" w14:textId="77777777" w:rsidR="00F76A63" w:rsidRDefault="00F76A63">
                  <w:pPr>
                    <w:adjustRightInd w:val="0"/>
                    <w:snapToGrid w:val="0"/>
                    <w:jc w:val="center"/>
                    <w:rPr>
                      <w:sz w:val="18"/>
                      <w:szCs w:val="18"/>
                    </w:rPr>
                  </w:pPr>
                </w:p>
              </w:tc>
            </w:tr>
            <w:tr w:rsidR="00F76A63" w14:paraId="7AE0E2A9" w14:textId="77777777">
              <w:trPr>
                <w:trHeight w:val="340"/>
                <w:jc w:val="center"/>
              </w:trPr>
              <w:tc>
                <w:tcPr>
                  <w:tcW w:w="582" w:type="pct"/>
                  <w:vMerge/>
                  <w:vAlign w:val="center"/>
                </w:tcPr>
                <w:p w14:paraId="50819C43" w14:textId="77777777" w:rsidR="00F76A63" w:rsidRDefault="00F76A63">
                  <w:pPr>
                    <w:adjustRightInd w:val="0"/>
                    <w:snapToGrid w:val="0"/>
                    <w:jc w:val="center"/>
                    <w:rPr>
                      <w:sz w:val="18"/>
                      <w:szCs w:val="18"/>
                    </w:rPr>
                  </w:pPr>
                </w:p>
              </w:tc>
              <w:tc>
                <w:tcPr>
                  <w:tcW w:w="798" w:type="pct"/>
                  <w:vMerge/>
                  <w:vAlign w:val="center"/>
                </w:tcPr>
                <w:p w14:paraId="1754A024" w14:textId="77777777" w:rsidR="00F76A63" w:rsidRDefault="00F76A63">
                  <w:pPr>
                    <w:adjustRightInd w:val="0"/>
                    <w:snapToGrid w:val="0"/>
                    <w:jc w:val="center"/>
                    <w:rPr>
                      <w:sz w:val="18"/>
                      <w:szCs w:val="18"/>
                    </w:rPr>
                  </w:pPr>
                </w:p>
              </w:tc>
              <w:tc>
                <w:tcPr>
                  <w:tcW w:w="1350" w:type="pct"/>
                  <w:vMerge/>
                  <w:vAlign w:val="center"/>
                </w:tcPr>
                <w:p w14:paraId="24904AD7" w14:textId="77777777" w:rsidR="00F76A63" w:rsidRDefault="00F76A63">
                  <w:pPr>
                    <w:adjustRightInd w:val="0"/>
                    <w:snapToGrid w:val="0"/>
                    <w:jc w:val="center"/>
                    <w:rPr>
                      <w:sz w:val="18"/>
                      <w:szCs w:val="18"/>
                    </w:rPr>
                  </w:pPr>
                </w:p>
              </w:tc>
              <w:tc>
                <w:tcPr>
                  <w:tcW w:w="754" w:type="pct"/>
                  <w:vAlign w:val="center"/>
                </w:tcPr>
                <w:p w14:paraId="4E93D1B4"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17E0B7B1" w14:textId="77777777" w:rsidR="00F76A63" w:rsidRDefault="00000000">
                  <w:pPr>
                    <w:adjustRightInd w:val="0"/>
                    <w:snapToGrid w:val="0"/>
                    <w:jc w:val="center"/>
                    <w:rPr>
                      <w:sz w:val="18"/>
                      <w:szCs w:val="18"/>
                    </w:rPr>
                  </w:pPr>
                  <w:r>
                    <w:rPr>
                      <w:sz w:val="18"/>
                      <w:szCs w:val="18"/>
                    </w:rPr>
                    <w:t>2.36</w:t>
                  </w:r>
                </w:p>
              </w:tc>
              <w:tc>
                <w:tcPr>
                  <w:tcW w:w="696" w:type="pct"/>
                  <w:vMerge/>
                  <w:vAlign w:val="center"/>
                </w:tcPr>
                <w:p w14:paraId="22F3B7DA" w14:textId="77777777" w:rsidR="00F76A63" w:rsidRDefault="00F76A63">
                  <w:pPr>
                    <w:adjustRightInd w:val="0"/>
                    <w:snapToGrid w:val="0"/>
                    <w:jc w:val="center"/>
                    <w:rPr>
                      <w:sz w:val="18"/>
                      <w:szCs w:val="18"/>
                    </w:rPr>
                  </w:pPr>
                </w:p>
              </w:tc>
            </w:tr>
            <w:tr w:rsidR="00F76A63" w14:paraId="61FA1AFD" w14:textId="77777777">
              <w:trPr>
                <w:trHeight w:val="340"/>
                <w:jc w:val="center"/>
              </w:trPr>
              <w:tc>
                <w:tcPr>
                  <w:tcW w:w="582" w:type="pct"/>
                  <w:vMerge/>
                  <w:vAlign w:val="center"/>
                </w:tcPr>
                <w:p w14:paraId="20645DA4" w14:textId="77777777" w:rsidR="00F76A63" w:rsidRDefault="00F76A63">
                  <w:pPr>
                    <w:adjustRightInd w:val="0"/>
                    <w:snapToGrid w:val="0"/>
                    <w:jc w:val="center"/>
                    <w:rPr>
                      <w:sz w:val="18"/>
                      <w:szCs w:val="18"/>
                    </w:rPr>
                  </w:pPr>
                </w:p>
              </w:tc>
              <w:tc>
                <w:tcPr>
                  <w:tcW w:w="798" w:type="pct"/>
                  <w:vMerge w:val="restart"/>
                  <w:vAlign w:val="center"/>
                </w:tcPr>
                <w:p w14:paraId="456913F3" w14:textId="77777777" w:rsidR="00F76A63" w:rsidRDefault="00000000">
                  <w:pPr>
                    <w:adjustRightInd w:val="0"/>
                    <w:snapToGrid w:val="0"/>
                    <w:jc w:val="center"/>
                    <w:rPr>
                      <w:sz w:val="18"/>
                      <w:szCs w:val="18"/>
                    </w:rPr>
                  </w:pPr>
                  <w:r>
                    <w:rPr>
                      <w:sz w:val="18"/>
                      <w:szCs w:val="18"/>
                    </w:rPr>
                    <w:t>202408</w:t>
                  </w:r>
                </w:p>
              </w:tc>
              <w:tc>
                <w:tcPr>
                  <w:tcW w:w="1350" w:type="pct"/>
                  <w:vMerge w:val="restart"/>
                  <w:vAlign w:val="center"/>
                </w:tcPr>
                <w:p w14:paraId="6B2F3408" w14:textId="77777777" w:rsidR="00F76A63" w:rsidRDefault="00000000">
                  <w:pPr>
                    <w:widowControl/>
                    <w:jc w:val="center"/>
                    <w:rPr>
                      <w:rFonts w:eastAsia="Arial Unicode MS"/>
                      <w:kern w:val="0"/>
                      <w:sz w:val="18"/>
                      <w:szCs w:val="18"/>
                    </w:rPr>
                  </w:pPr>
                  <w:r>
                    <w:rPr>
                      <w:rFonts w:eastAsia="Arial Unicode MS"/>
                      <w:sz w:val="18"/>
                      <w:szCs w:val="18"/>
                    </w:rPr>
                    <w:t>261078.96</w:t>
                  </w:r>
                </w:p>
              </w:tc>
              <w:tc>
                <w:tcPr>
                  <w:tcW w:w="754" w:type="pct"/>
                  <w:vAlign w:val="center"/>
                </w:tcPr>
                <w:p w14:paraId="0CEC002F"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54CFC67E" w14:textId="77777777" w:rsidR="00F76A63" w:rsidRDefault="00000000">
                  <w:pPr>
                    <w:adjustRightInd w:val="0"/>
                    <w:snapToGrid w:val="0"/>
                    <w:jc w:val="center"/>
                    <w:rPr>
                      <w:sz w:val="18"/>
                      <w:szCs w:val="18"/>
                    </w:rPr>
                  </w:pPr>
                  <w:r>
                    <w:rPr>
                      <w:rFonts w:eastAsia="Arial Unicode MS"/>
                      <w:sz w:val="18"/>
                      <w:szCs w:val="18"/>
                    </w:rPr>
                    <w:t>2.43</w:t>
                  </w:r>
                </w:p>
              </w:tc>
              <w:tc>
                <w:tcPr>
                  <w:tcW w:w="696" w:type="pct"/>
                  <w:vMerge w:val="restart"/>
                  <w:vAlign w:val="center"/>
                </w:tcPr>
                <w:p w14:paraId="41FEAB30" w14:textId="77777777" w:rsidR="00F76A63" w:rsidRDefault="00000000">
                  <w:pPr>
                    <w:adjustRightInd w:val="0"/>
                    <w:snapToGrid w:val="0"/>
                    <w:jc w:val="center"/>
                    <w:rPr>
                      <w:sz w:val="18"/>
                      <w:szCs w:val="18"/>
                    </w:rPr>
                  </w:pPr>
                  <w:r>
                    <w:rPr>
                      <w:sz w:val="18"/>
                      <w:szCs w:val="18"/>
                    </w:rPr>
                    <w:t>/</w:t>
                  </w:r>
                </w:p>
              </w:tc>
            </w:tr>
            <w:tr w:rsidR="00F76A63" w14:paraId="06F4BE5B" w14:textId="77777777">
              <w:trPr>
                <w:trHeight w:val="340"/>
                <w:jc w:val="center"/>
              </w:trPr>
              <w:tc>
                <w:tcPr>
                  <w:tcW w:w="582" w:type="pct"/>
                  <w:vMerge/>
                  <w:vAlign w:val="center"/>
                </w:tcPr>
                <w:p w14:paraId="52EA51D9" w14:textId="77777777" w:rsidR="00F76A63" w:rsidRDefault="00F76A63">
                  <w:pPr>
                    <w:adjustRightInd w:val="0"/>
                    <w:snapToGrid w:val="0"/>
                    <w:jc w:val="center"/>
                    <w:rPr>
                      <w:sz w:val="18"/>
                      <w:szCs w:val="18"/>
                    </w:rPr>
                  </w:pPr>
                </w:p>
              </w:tc>
              <w:tc>
                <w:tcPr>
                  <w:tcW w:w="798" w:type="pct"/>
                  <w:vMerge/>
                  <w:vAlign w:val="center"/>
                </w:tcPr>
                <w:p w14:paraId="0252C7EE" w14:textId="77777777" w:rsidR="00F76A63" w:rsidRDefault="00F76A63">
                  <w:pPr>
                    <w:adjustRightInd w:val="0"/>
                    <w:snapToGrid w:val="0"/>
                    <w:jc w:val="center"/>
                    <w:rPr>
                      <w:sz w:val="18"/>
                      <w:szCs w:val="18"/>
                    </w:rPr>
                  </w:pPr>
                </w:p>
              </w:tc>
              <w:tc>
                <w:tcPr>
                  <w:tcW w:w="1350" w:type="pct"/>
                  <w:vMerge/>
                  <w:vAlign w:val="center"/>
                </w:tcPr>
                <w:p w14:paraId="3CCC9D9F" w14:textId="77777777" w:rsidR="00F76A63" w:rsidRDefault="00F76A63">
                  <w:pPr>
                    <w:adjustRightInd w:val="0"/>
                    <w:snapToGrid w:val="0"/>
                    <w:jc w:val="center"/>
                    <w:rPr>
                      <w:sz w:val="18"/>
                      <w:szCs w:val="18"/>
                    </w:rPr>
                  </w:pPr>
                </w:p>
              </w:tc>
              <w:tc>
                <w:tcPr>
                  <w:tcW w:w="754" w:type="pct"/>
                  <w:vAlign w:val="center"/>
                </w:tcPr>
                <w:p w14:paraId="10C7C465"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5AC602D3" w14:textId="77777777" w:rsidR="00F76A63" w:rsidRDefault="00000000">
                  <w:pPr>
                    <w:adjustRightInd w:val="0"/>
                    <w:snapToGrid w:val="0"/>
                    <w:jc w:val="center"/>
                    <w:rPr>
                      <w:sz w:val="18"/>
                      <w:szCs w:val="18"/>
                    </w:rPr>
                  </w:pPr>
                  <w:r>
                    <w:rPr>
                      <w:rFonts w:eastAsia="Arial Unicode MS"/>
                      <w:sz w:val="18"/>
                      <w:szCs w:val="18"/>
                    </w:rPr>
                    <w:t>1.97</w:t>
                  </w:r>
                </w:p>
              </w:tc>
              <w:tc>
                <w:tcPr>
                  <w:tcW w:w="696" w:type="pct"/>
                  <w:vMerge/>
                  <w:vAlign w:val="center"/>
                </w:tcPr>
                <w:p w14:paraId="796731F7" w14:textId="77777777" w:rsidR="00F76A63" w:rsidRDefault="00F76A63">
                  <w:pPr>
                    <w:adjustRightInd w:val="0"/>
                    <w:snapToGrid w:val="0"/>
                    <w:jc w:val="center"/>
                    <w:rPr>
                      <w:sz w:val="18"/>
                      <w:szCs w:val="18"/>
                    </w:rPr>
                  </w:pPr>
                </w:p>
              </w:tc>
            </w:tr>
            <w:tr w:rsidR="00F76A63" w14:paraId="0825FBFA" w14:textId="77777777">
              <w:trPr>
                <w:trHeight w:val="340"/>
                <w:jc w:val="center"/>
              </w:trPr>
              <w:tc>
                <w:tcPr>
                  <w:tcW w:w="582" w:type="pct"/>
                  <w:vMerge/>
                  <w:vAlign w:val="center"/>
                </w:tcPr>
                <w:p w14:paraId="763752A4" w14:textId="77777777" w:rsidR="00F76A63" w:rsidRDefault="00F76A63">
                  <w:pPr>
                    <w:adjustRightInd w:val="0"/>
                    <w:snapToGrid w:val="0"/>
                    <w:jc w:val="center"/>
                    <w:rPr>
                      <w:sz w:val="18"/>
                      <w:szCs w:val="18"/>
                    </w:rPr>
                  </w:pPr>
                </w:p>
              </w:tc>
              <w:tc>
                <w:tcPr>
                  <w:tcW w:w="798" w:type="pct"/>
                  <w:vMerge/>
                  <w:vAlign w:val="center"/>
                </w:tcPr>
                <w:p w14:paraId="436A5683" w14:textId="77777777" w:rsidR="00F76A63" w:rsidRDefault="00F76A63">
                  <w:pPr>
                    <w:adjustRightInd w:val="0"/>
                    <w:snapToGrid w:val="0"/>
                    <w:jc w:val="center"/>
                    <w:rPr>
                      <w:sz w:val="18"/>
                      <w:szCs w:val="18"/>
                    </w:rPr>
                  </w:pPr>
                </w:p>
              </w:tc>
              <w:tc>
                <w:tcPr>
                  <w:tcW w:w="1350" w:type="pct"/>
                  <w:vMerge/>
                  <w:vAlign w:val="center"/>
                </w:tcPr>
                <w:p w14:paraId="6185C005" w14:textId="77777777" w:rsidR="00F76A63" w:rsidRDefault="00F76A63">
                  <w:pPr>
                    <w:adjustRightInd w:val="0"/>
                    <w:snapToGrid w:val="0"/>
                    <w:jc w:val="center"/>
                    <w:rPr>
                      <w:sz w:val="18"/>
                      <w:szCs w:val="18"/>
                    </w:rPr>
                  </w:pPr>
                </w:p>
              </w:tc>
              <w:tc>
                <w:tcPr>
                  <w:tcW w:w="754" w:type="pct"/>
                  <w:vAlign w:val="center"/>
                </w:tcPr>
                <w:p w14:paraId="63247740"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08FFC0A0" w14:textId="77777777" w:rsidR="00F76A63" w:rsidRDefault="00000000">
                  <w:pPr>
                    <w:adjustRightInd w:val="0"/>
                    <w:snapToGrid w:val="0"/>
                    <w:jc w:val="center"/>
                    <w:rPr>
                      <w:sz w:val="18"/>
                      <w:szCs w:val="18"/>
                    </w:rPr>
                  </w:pPr>
                  <w:r>
                    <w:rPr>
                      <w:rFonts w:eastAsia="Arial Unicode MS"/>
                      <w:sz w:val="18"/>
                      <w:szCs w:val="18"/>
                    </w:rPr>
                    <w:t>2.18</w:t>
                  </w:r>
                </w:p>
              </w:tc>
              <w:tc>
                <w:tcPr>
                  <w:tcW w:w="696" w:type="pct"/>
                  <w:vMerge/>
                  <w:vAlign w:val="center"/>
                </w:tcPr>
                <w:p w14:paraId="568D5C97" w14:textId="77777777" w:rsidR="00F76A63" w:rsidRDefault="00F76A63">
                  <w:pPr>
                    <w:adjustRightInd w:val="0"/>
                    <w:snapToGrid w:val="0"/>
                    <w:jc w:val="center"/>
                    <w:rPr>
                      <w:sz w:val="18"/>
                      <w:szCs w:val="18"/>
                    </w:rPr>
                  </w:pPr>
                </w:p>
              </w:tc>
            </w:tr>
            <w:tr w:rsidR="00F76A63" w14:paraId="57A0DE2B" w14:textId="77777777">
              <w:trPr>
                <w:trHeight w:val="340"/>
                <w:jc w:val="center"/>
              </w:trPr>
              <w:tc>
                <w:tcPr>
                  <w:tcW w:w="582" w:type="pct"/>
                  <w:vMerge/>
                  <w:vAlign w:val="center"/>
                </w:tcPr>
                <w:p w14:paraId="3440679C" w14:textId="77777777" w:rsidR="00F76A63" w:rsidRDefault="00F76A63">
                  <w:pPr>
                    <w:adjustRightInd w:val="0"/>
                    <w:snapToGrid w:val="0"/>
                    <w:jc w:val="center"/>
                    <w:rPr>
                      <w:sz w:val="18"/>
                      <w:szCs w:val="18"/>
                    </w:rPr>
                  </w:pPr>
                </w:p>
              </w:tc>
              <w:tc>
                <w:tcPr>
                  <w:tcW w:w="798" w:type="pct"/>
                  <w:vMerge w:val="restart"/>
                  <w:vAlign w:val="center"/>
                </w:tcPr>
                <w:p w14:paraId="25D39195" w14:textId="77777777" w:rsidR="00F76A63" w:rsidRDefault="00000000">
                  <w:pPr>
                    <w:adjustRightInd w:val="0"/>
                    <w:snapToGrid w:val="0"/>
                    <w:jc w:val="center"/>
                    <w:rPr>
                      <w:sz w:val="18"/>
                      <w:szCs w:val="18"/>
                    </w:rPr>
                  </w:pPr>
                  <w:r>
                    <w:rPr>
                      <w:sz w:val="18"/>
                      <w:szCs w:val="18"/>
                    </w:rPr>
                    <w:t>202409</w:t>
                  </w:r>
                </w:p>
              </w:tc>
              <w:tc>
                <w:tcPr>
                  <w:tcW w:w="1350" w:type="pct"/>
                  <w:vMerge w:val="restart"/>
                  <w:vAlign w:val="center"/>
                </w:tcPr>
                <w:p w14:paraId="4084C6AA" w14:textId="77777777" w:rsidR="00F76A63" w:rsidRDefault="00000000">
                  <w:pPr>
                    <w:widowControl/>
                    <w:jc w:val="center"/>
                    <w:rPr>
                      <w:rFonts w:eastAsia="Arial Unicode MS"/>
                      <w:kern w:val="0"/>
                      <w:sz w:val="18"/>
                      <w:szCs w:val="18"/>
                    </w:rPr>
                  </w:pPr>
                  <w:r>
                    <w:rPr>
                      <w:rFonts w:eastAsia="Arial Unicode MS"/>
                      <w:sz w:val="18"/>
                      <w:szCs w:val="18"/>
                    </w:rPr>
                    <w:t>242097.16</w:t>
                  </w:r>
                </w:p>
              </w:tc>
              <w:tc>
                <w:tcPr>
                  <w:tcW w:w="754" w:type="pct"/>
                  <w:vAlign w:val="center"/>
                </w:tcPr>
                <w:p w14:paraId="40C630D0"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0E4B793A" w14:textId="77777777" w:rsidR="00F76A63" w:rsidRDefault="00000000">
                  <w:pPr>
                    <w:adjustRightInd w:val="0"/>
                    <w:snapToGrid w:val="0"/>
                    <w:jc w:val="center"/>
                    <w:rPr>
                      <w:sz w:val="18"/>
                      <w:szCs w:val="18"/>
                    </w:rPr>
                  </w:pPr>
                  <w:r>
                    <w:rPr>
                      <w:rFonts w:eastAsia="Arial Unicode MS"/>
                      <w:sz w:val="18"/>
                      <w:szCs w:val="18"/>
                    </w:rPr>
                    <w:t>2.40</w:t>
                  </w:r>
                </w:p>
              </w:tc>
              <w:tc>
                <w:tcPr>
                  <w:tcW w:w="696" w:type="pct"/>
                  <w:vMerge w:val="restart"/>
                  <w:vAlign w:val="center"/>
                </w:tcPr>
                <w:p w14:paraId="00765B80" w14:textId="77777777" w:rsidR="00F76A63" w:rsidRDefault="00000000">
                  <w:pPr>
                    <w:adjustRightInd w:val="0"/>
                    <w:snapToGrid w:val="0"/>
                    <w:jc w:val="center"/>
                    <w:rPr>
                      <w:sz w:val="18"/>
                      <w:szCs w:val="18"/>
                    </w:rPr>
                  </w:pPr>
                  <w:r>
                    <w:rPr>
                      <w:sz w:val="18"/>
                      <w:szCs w:val="18"/>
                    </w:rPr>
                    <w:t>/</w:t>
                  </w:r>
                </w:p>
              </w:tc>
            </w:tr>
            <w:tr w:rsidR="00F76A63" w14:paraId="26B1857C" w14:textId="77777777">
              <w:trPr>
                <w:trHeight w:val="340"/>
                <w:jc w:val="center"/>
              </w:trPr>
              <w:tc>
                <w:tcPr>
                  <w:tcW w:w="582" w:type="pct"/>
                  <w:vMerge/>
                  <w:vAlign w:val="center"/>
                </w:tcPr>
                <w:p w14:paraId="5177F8F4" w14:textId="77777777" w:rsidR="00F76A63" w:rsidRDefault="00F76A63">
                  <w:pPr>
                    <w:adjustRightInd w:val="0"/>
                    <w:snapToGrid w:val="0"/>
                    <w:jc w:val="center"/>
                    <w:rPr>
                      <w:sz w:val="18"/>
                      <w:szCs w:val="18"/>
                    </w:rPr>
                  </w:pPr>
                </w:p>
              </w:tc>
              <w:tc>
                <w:tcPr>
                  <w:tcW w:w="798" w:type="pct"/>
                  <w:vMerge/>
                  <w:vAlign w:val="center"/>
                </w:tcPr>
                <w:p w14:paraId="02968C13" w14:textId="77777777" w:rsidR="00F76A63" w:rsidRDefault="00F76A63">
                  <w:pPr>
                    <w:adjustRightInd w:val="0"/>
                    <w:snapToGrid w:val="0"/>
                    <w:jc w:val="center"/>
                    <w:rPr>
                      <w:sz w:val="18"/>
                      <w:szCs w:val="18"/>
                    </w:rPr>
                  </w:pPr>
                </w:p>
              </w:tc>
              <w:tc>
                <w:tcPr>
                  <w:tcW w:w="1350" w:type="pct"/>
                  <w:vMerge/>
                  <w:vAlign w:val="center"/>
                </w:tcPr>
                <w:p w14:paraId="648869CD" w14:textId="77777777" w:rsidR="00F76A63" w:rsidRDefault="00F76A63">
                  <w:pPr>
                    <w:adjustRightInd w:val="0"/>
                    <w:snapToGrid w:val="0"/>
                    <w:jc w:val="center"/>
                    <w:rPr>
                      <w:sz w:val="18"/>
                      <w:szCs w:val="18"/>
                    </w:rPr>
                  </w:pPr>
                </w:p>
              </w:tc>
              <w:tc>
                <w:tcPr>
                  <w:tcW w:w="754" w:type="pct"/>
                  <w:vAlign w:val="center"/>
                </w:tcPr>
                <w:p w14:paraId="604FC074"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6E9710F5" w14:textId="77777777" w:rsidR="00F76A63" w:rsidRDefault="00000000">
                  <w:pPr>
                    <w:adjustRightInd w:val="0"/>
                    <w:snapToGrid w:val="0"/>
                    <w:jc w:val="center"/>
                    <w:rPr>
                      <w:sz w:val="18"/>
                      <w:szCs w:val="18"/>
                    </w:rPr>
                  </w:pPr>
                  <w:r>
                    <w:rPr>
                      <w:rFonts w:eastAsia="Arial Unicode MS"/>
                      <w:sz w:val="18"/>
                      <w:szCs w:val="18"/>
                    </w:rPr>
                    <w:t>2.02</w:t>
                  </w:r>
                </w:p>
              </w:tc>
              <w:tc>
                <w:tcPr>
                  <w:tcW w:w="696" w:type="pct"/>
                  <w:vMerge/>
                  <w:vAlign w:val="center"/>
                </w:tcPr>
                <w:p w14:paraId="347279A5" w14:textId="77777777" w:rsidR="00F76A63" w:rsidRDefault="00F76A63">
                  <w:pPr>
                    <w:adjustRightInd w:val="0"/>
                    <w:snapToGrid w:val="0"/>
                    <w:jc w:val="center"/>
                    <w:rPr>
                      <w:sz w:val="18"/>
                      <w:szCs w:val="18"/>
                    </w:rPr>
                  </w:pPr>
                </w:p>
              </w:tc>
            </w:tr>
            <w:tr w:rsidR="00F76A63" w14:paraId="55046532" w14:textId="77777777">
              <w:trPr>
                <w:trHeight w:val="340"/>
                <w:jc w:val="center"/>
              </w:trPr>
              <w:tc>
                <w:tcPr>
                  <w:tcW w:w="582" w:type="pct"/>
                  <w:vMerge/>
                  <w:vAlign w:val="center"/>
                </w:tcPr>
                <w:p w14:paraId="035AB806" w14:textId="77777777" w:rsidR="00F76A63" w:rsidRDefault="00F76A63">
                  <w:pPr>
                    <w:adjustRightInd w:val="0"/>
                    <w:snapToGrid w:val="0"/>
                    <w:jc w:val="center"/>
                    <w:rPr>
                      <w:sz w:val="18"/>
                      <w:szCs w:val="18"/>
                    </w:rPr>
                  </w:pPr>
                </w:p>
              </w:tc>
              <w:tc>
                <w:tcPr>
                  <w:tcW w:w="798" w:type="pct"/>
                  <w:vMerge/>
                  <w:vAlign w:val="center"/>
                </w:tcPr>
                <w:p w14:paraId="4A5266B7" w14:textId="77777777" w:rsidR="00F76A63" w:rsidRDefault="00F76A63">
                  <w:pPr>
                    <w:adjustRightInd w:val="0"/>
                    <w:snapToGrid w:val="0"/>
                    <w:jc w:val="center"/>
                    <w:rPr>
                      <w:sz w:val="18"/>
                      <w:szCs w:val="18"/>
                    </w:rPr>
                  </w:pPr>
                </w:p>
              </w:tc>
              <w:tc>
                <w:tcPr>
                  <w:tcW w:w="1350" w:type="pct"/>
                  <w:vMerge/>
                  <w:vAlign w:val="center"/>
                </w:tcPr>
                <w:p w14:paraId="563B5E95" w14:textId="77777777" w:rsidR="00F76A63" w:rsidRDefault="00F76A63">
                  <w:pPr>
                    <w:adjustRightInd w:val="0"/>
                    <w:snapToGrid w:val="0"/>
                    <w:jc w:val="center"/>
                    <w:rPr>
                      <w:sz w:val="18"/>
                      <w:szCs w:val="18"/>
                    </w:rPr>
                  </w:pPr>
                </w:p>
              </w:tc>
              <w:tc>
                <w:tcPr>
                  <w:tcW w:w="754" w:type="pct"/>
                  <w:vAlign w:val="center"/>
                </w:tcPr>
                <w:p w14:paraId="3EA86DBE"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5E86F647" w14:textId="77777777" w:rsidR="00F76A63" w:rsidRDefault="00000000">
                  <w:pPr>
                    <w:adjustRightInd w:val="0"/>
                    <w:snapToGrid w:val="0"/>
                    <w:jc w:val="center"/>
                    <w:rPr>
                      <w:sz w:val="18"/>
                      <w:szCs w:val="18"/>
                    </w:rPr>
                  </w:pPr>
                  <w:r>
                    <w:rPr>
                      <w:rFonts w:eastAsia="Arial Unicode MS"/>
                      <w:sz w:val="18"/>
                      <w:szCs w:val="18"/>
                    </w:rPr>
                    <w:t>2.21</w:t>
                  </w:r>
                </w:p>
              </w:tc>
              <w:tc>
                <w:tcPr>
                  <w:tcW w:w="696" w:type="pct"/>
                  <w:vMerge/>
                  <w:vAlign w:val="center"/>
                </w:tcPr>
                <w:p w14:paraId="7AA2DCFA" w14:textId="77777777" w:rsidR="00F76A63" w:rsidRDefault="00F76A63">
                  <w:pPr>
                    <w:adjustRightInd w:val="0"/>
                    <w:snapToGrid w:val="0"/>
                    <w:jc w:val="center"/>
                    <w:rPr>
                      <w:sz w:val="18"/>
                      <w:szCs w:val="18"/>
                    </w:rPr>
                  </w:pPr>
                </w:p>
              </w:tc>
            </w:tr>
            <w:tr w:rsidR="00F76A63" w14:paraId="27A1C922" w14:textId="77777777">
              <w:trPr>
                <w:trHeight w:val="340"/>
                <w:jc w:val="center"/>
              </w:trPr>
              <w:tc>
                <w:tcPr>
                  <w:tcW w:w="582" w:type="pct"/>
                  <w:vMerge/>
                  <w:vAlign w:val="center"/>
                </w:tcPr>
                <w:p w14:paraId="24AB0B1A" w14:textId="77777777" w:rsidR="00F76A63" w:rsidRDefault="00F76A63">
                  <w:pPr>
                    <w:adjustRightInd w:val="0"/>
                    <w:snapToGrid w:val="0"/>
                    <w:jc w:val="center"/>
                    <w:rPr>
                      <w:sz w:val="18"/>
                      <w:szCs w:val="18"/>
                    </w:rPr>
                  </w:pPr>
                </w:p>
              </w:tc>
              <w:tc>
                <w:tcPr>
                  <w:tcW w:w="798" w:type="pct"/>
                  <w:vMerge w:val="restart"/>
                  <w:vAlign w:val="center"/>
                </w:tcPr>
                <w:p w14:paraId="50D5B96A" w14:textId="77777777" w:rsidR="00F76A63" w:rsidRDefault="00000000">
                  <w:pPr>
                    <w:adjustRightInd w:val="0"/>
                    <w:snapToGrid w:val="0"/>
                    <w:jc w:val="center"/>
                    <w:rPr>
                      <w:sz w:val="18"/>
                      <w:szCs w:val="18"/>
                    </w:rPr>
                  </w:pPr>
                  <w:r>
                    <w:rPr>
                      <w:sz w:val="18"/>
                      <w:szCs w:val="18"/>
                    </w:rPr>
                    <w:t>202410</w:t>
                  </w:r>
                </w:p>
              </w:tc>
              <w:tc>
                <w:tcPr>
                  <w:tcW w:w="1350" w:type="pct"/>
                  <w:vMerge w:val="restart"/>
                  <w:vAlign w:val="center"/>
                </w:tcPr>
                <w:p w14:paraId="3236F099" w14:textId="77777777" w:rsidR="00F76A63" w:rsidRDefault="00000000">
                  <w:pPr>
                    <w:widowControl/>
                    <w:jc w:val="center"/>
                    <w:rPr>
                      <w:rFonts w:eastAsia="Arial Unicode MS"/>
                      <w:kern w:val="0"/>
                      <w:sz w:val="18"/>
                      <w:szCs w:val="18"/>
                    </w:rPr>
                  </w:pPr>
                  <w:r>
                    <w:rPr>
                      <w:rFonts w:eastAsia="Arial Unicode MS"/>
                      <w:sz w:val="18"/>
                      <w:szCs w:val="18"/>
                    </w:rPr>
                    <w:t>231818.61</w:t>
                  </w:r>
                </w:p>
              </w:tc>
              <w:tc>
                <w:tcPr>
                  <w:tcW w:w="754" w:type="pct"/>
                  <w:vAlign w:val="center"/>
                </w:tcPr>
                <w:p w14:paraId="00B8F64D"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52CD9DD8" w14:textId="77777777" w:rsidR="00F76A63" w:rsidRDefault="00000000">
                  <w:pPr>
                    <w:adjustRightInd w:val="0"/>
                    <w:snapToGrid w:val="0"/>
                    <w:jc w:val="center"/>
                    <w:rPr>
                      <w:sz w:val="18"/>
                      <w:szCs w:val="18"/>
                    </w:rPr>
                  </w:pPr>
                  <w:r>
                    <w:rPr>
                      <w:rFonts w:eastAsia="Arial Unicode MS"/>
                      <w:sz w:val="18"/>
                      <w:szCs w:val="18"/>
                    </w:rPr>
                    <w:t>2.19</w:t>
                  </w:r>
                </w:p>
              </w:tc>
              <w:tc>
                <w:tcPr>
                  <w:tcW w:w="696" w:type="pct"/>
                  <w:vMerge w:val="restart"/>
                  <w:vAlign w:val="center"/>
                </w:tcPr>
                <w:p w14:paraId="352D5850" w14:textId="77777777" w:rsidR="00F76A63" w:rsidRDefault="00000000">
                  <w:pPr>
                    <w:adjustRightInd w:val="0"/>
                    <w:snapToGrid w:val="0"/>
                    <w:jc w:val="center"/>
                    <w:rPr>
                      <w:sz w:val="18"/>
                      <w:szCs w:val="18"/>
                    </w:rPr>
                  </w:pPr>
                  <w:r>
                    <w:rPr>
                      <w:sz w:val="18"/>
                      <w:szCs w:val="18"/>
                    </w:rPr>
                    <w:t>/</w:t>
                  </w:r>
                </w:p>
              </w:tc>
            </w:tr>
            <w:tr w:rsidR="00F76A63" w14:paraId="67D86C46" w14:textId="77777777">
              <w:trPr>
                <w:trHeight w:val="340"/>
                <w:jc w:val="center"/>
              </w:trPr>
              <w:tc>
                <w:tcPr>
                  <w:tcW w:w="582" w:type="pct"/>
                  <w:vMerge/>
                  <w:vAlign w:val="center"/>
                </w:tcPr>
                <w:p w14:paraId="04ADEF8D" w14:textId="77777777" w:rsidR="00F76A63" w:rsidRDefault="00F76A63">
                  <w:pPr>
                    <w:adjustRightInd w:val="0"/>
                    <w:snapToGrid w:val="0"/>
                    <w:jc w:val="center"/>
                    <w:rPr>
                      <w:sz w:val="18"/>
                      <w:szCs w:val="18"/>
                    </w:rPr>
                  </w:pPr>
                </w:p>
              </w:tc>
              <w:tc>
                <w:tcPr>
                  <w:tcW w:w="798" w:type="pct"/>
                  <w:vMerge/>
                  <w:vAlign w:val="center"/>
                </w:tcPr>
                <w:p w14:paraId="1FCBB1AB" w14:textId="77777777" w:rsidR="00F76A63" w:rsidRDefault="00F76A63">
                  <w:pPr>
                    <w:adjustRightInd w:val="0"/>
                    <w:snapToGrid w:val="0"/>
                    <w:jc w:val="center"/>
                    <w:rPr>
                      <w:sz w:val="18"/>
                      <w:szCs w:val="18"/>
                    </w:rPr>
                  </w:pPr>
                </w:p>
              </w:tc>
              <w:tc>
                <w:tcPr>
                  <w:tcW w:w="1350" w:type="pct"/>
                  <w:vMerge/>
                  <w:vAlign w:val="center"/>
                </w:tcPr>
                <w:p w14:paraId="646B9E7F" w14:textId="77777777" w:rsidR="00F76A63" w:rsidRDefault="00F76A63">
                  <w:pPr>
                    <w:adjustRightInd w:val="0"/>
                    <w:snapToGrid w:val="0"/>
                    <w:jc w:val="center"/>
                    <w:rPr>
                      <w:sz w:val="18"/>
                      <w:szCs w:val="18"/>
                    </w:rPr>
                  </w:pPr>
                </w:p>
              </w:tc>
              <w:tc>
                <w:tcPr>
                  <w:tcW w:w="754" w:type="pct"/>
                  <w:vAlign w:val="center"/>
                </w:tcPr>
                <w:p w14:paraId="0FAC62E1"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635A0510" w14:textId="77777777" w:rsidR="00F76A63" w:rsidRDefault="00000000">
                  <w:pPr>
                    <w:adjustRightInd w:val="0"/>
                    <w:snapToGrid w:val="0"/>
                    <w:jc w:val="center"/>
                    <w:rPr>
                      <w:sz w:val="18"/>
                      <w:szCs w:val="18"/>
                    </w:rPr>
                  </w:pPr>
                  <w:r>
                    <w:rPr>
                      <w:rFonts w:eastAsia="Arial Unicode MS"/>
                      <w:sz w:val="18"/>
                      <w:szCs w:val="18"/>
                    </w:rPr>
                    <w:t>1.79</w:t>
                  </w:r>
                </w:p>
              </w:tc>
              <w:tc>
                <w:tcPr>
                  <w:tcW w:w="696" w:type="pct"/>
                  <w:vMerge/>
                  <w:vAlign w:val="center"/>
                </w:tcPr>
                <w:p w14:paraId="0F8120EA" w14:textId="77777777" w:rsidR="00F76A63" w:rsidRDefault="00F76A63">
                  <w:pPr>
                    <w:adjustRightInd w:val="0"/>
                    <w:snapToGrid w:val="0"/>
                    <w:jc w:val="center"/>
                    <w:rPr>
                      <w:sz w:val="18"/>
                      <w:szCs w:val="18"/>
                    </w:rPr>
                  </w:pPr>
                </w:p>
              </w:tc>
            </w:tr>
            <w:tr w:rsidR="00F76A63" w14:paraId="44B1C6F3" w14:textId="77777777">
              <w:trPr>
                <w:trHeight w:val="340"/>
                <w:jc w:val="center"/>
              </w:trPr>
              <w:tc>
                <w:tcPr>
                  <w:tcW w:w="582" w:type="pct"/>
                  <w:vMerge/>
                  <w:vAlign w:val="center"/>
                </w:tcPr>
                <w:p w14:paraId="74BEAD44" w14:textId="77777777" w:rsidR="00F76A63" w:rsidRDefault="00F76A63">
                  <w:pPr>
                    <w:adjustRightInd w:val="0"/>
                    <w:snapToGrid w:val="0"/>
                    <w:jc w:val="center"/>
                    <w:rPr>
                      <w:sz w:val="18"/>
                      <w:szCs w:val="18"/>
                    </w:rPr>
                  </w:pPr>
                </w:p>
              </w:tc>
              <w:tc>
                <w:tcPr>
                  <w:tcW w:w="798" w:type="pct"/>
                  <w:vMerge/>
                  <w:vAlign w:val="center"/>
                </w:tcPr>
                <w:p w14:paraId="520A02DD" w14:textId="77777777" w:rsidR="00F76A63" w:rsidRDefault="00F76A63">
                  <w:pPr>
                    <w:adjustRightInd w:val="0"/>
                    <w:snapToGrid w:val="0"/>
                    <w:jc w:val="center"/>
                    <w:rPr>
                      <w:sz w:val="18"/>
                      <w:szCs w:val="18"/>
                    </w:rPr>
                  </w:pPr>
                </w:p>
              </w:tc>
              <w:tc>
                <w:tcPr>
                  <w:tcW w:w="1350" w:type="pct"/>
                  <w:vMerge/>
                  <w:vAlign w:val="center"/>
                </w:tcPr>
                <w:p w14:paraId="651CA72F" w14:textId="77777777" w:rsidR="00F76A63" w:rsidRDefault="00F76A63">
                  <w:pPr>
                    <w:adjustRightInd w:val="0"/>
                    <w:snapToGrid w:val="0"/>
                    <w:jc w:val="center"/>
                    <w:rPr>
                      <w:sz w:val="18"/>
                      <w:szCs w:val="18"/>
                    </w:rPr>
                  </w:pPr>
                </w:p>
              </w:tc>
              <w:tc>
                <w:tcPr>
                  <w:tcW w:w="754" w:type="pct"/>
                  <w:vAlign w:val="center"/>
                </w:tcPr>
                <w:p w14:paraId="17469A2E"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0A95A3F7" w14:textId="77777777" w:rsidR="00F76A63" w:rsidRDefault="00000000">
                  <w:pPr>
                    <w:adjustRightInd w:val="0"/>
                    <w:snapToGrid w:val="0"/>
                    <w:jc w:val="center"/>
                    <w:rPr>
                      <w:sz w:val="18"/>
                      <w:szCs w:val="18"/>
                    </w:rPr>
                  </w:pPr>
                  <w:r>
                    <w:rPr>
                      <w:rFonts w:eastAsia="Arial Unicode MS"/>
                      <w:sz w:val="18"/>
                      <w:szCs w:val="18"/>
                    </w:rPr>
                    <w:t>2.02</w:t>
                  </w:r>
                </w:p>
              </w:tc>
              <w:tc>
                <w:tcPr>
                  <w:tcW w:w="696" w:type="pct"/>
                  <w:vMerge/>
                  <w:vAlign w:val="center"/>
                </w:tcPr>
                <w:p w14:paraId="29BFF89F" w14:textId="77777777" w:rsidR="00F76A63" w:rsidRDefault="00F76A63">
                  <w:pPr>
                    <w:adjustRightInd w:val="0"/>
                    <w:snapToGrid w:val="0"/>
                    <w:jc w:val="center"/>
                    <w:rPr>
                      <w:sz w:val="18"/>
                      <w:szCs w:val="18"/>
                    </w:rPr>
                  </w:pPr>
                </w:p>
              </w:tc>
            </w:tr>
            <w:tr w:rsidR="00F76A63" w14:paraId="1D3AE907" w14:textId="77777777">
              <w:trPr>
                <w:trHeight w:val="340"/>
                <w:jc w:val="center"/>
              </w:trPr>
              <w:tc>
                <w:tcPr>
                  <w:tcW w:w="582" w:type="pct"/>
                  <w:vMerge/>
                  <w:vAlign w:val="center"/>
                </w:tcPr>
                <w:p w14:paraId="732A3449" w14:textId="77777777" w:rsidR="00F76A63" w:rsidRDefault="00F76A63">
                  <w:pPr>
                    <w:adjustRightInd w:val="0"/>
                    <w:snapToGrid w:val="0"/>
                    <w:jc w:val="center"/>
                    <w:rPr>
                      <w:sz w:val="18"/>
                      <w:szCs w:val="18"/>
                    </w:rPr>
                  </w:pPr>
                </w:p>
              </w:tc>
              <w:tc>
                <w:tcPr>
                  <w:tcW w:w="798" w:type="pct"/>
                  <w:vMerge w:val="restart"/>
                  <w:vAlign w:val="center"/>
                </w:tcPr>
                <w:p w14:paraId="3524D6D2" w14:textId="77777777" w:rsidR="00F76A63" w:rsidRDefault="00000000">
                  <w:pPr>
                    <w:adjustRightInd w:val="0"/>
                    <w:snapToGrid w:val="0"/>
                    <w:jc w:val="center"/>
                    <w:rPr>
                      <w:sz w:val="18"/>
                      <w:szCs w:val="18"/>
                    </w:rPr>
                  </w:pPr>
                  <w:r>
                    <w:rPr>
                      <w:sz w:val="18"/>
                      <w:szCs w:val="18"/>
                    </w:rPr>
                    <w:t>202411</w:t>
                  </w:r>
                </w:p>
              </w:tc>
              <w:tc>
                <w:tcPr>
                  <w:tcW w:w="1350" w:type="pct"/>
                  <w:vMerge w:val="restart"/>
                  <w:vAlign w:val="center"/>
                </w:tcPr>
                <w:p w14:paraId="61520B55" w14:textId="77777777" w:rsidR="00F76A63" w:rsidRDefault="00000000">
                  <w:pPr>
                    <w:widowControl/>
                    <w:jc w:val="center"/>
                    <w:rPr>
                      <w:rFonts w:eastAsia="Arial Unicode MS"/>
                      <w:kern w:val="0"/>
                      <w:sz w:val="18"/>
                      <w:szCs w:val="18"/>
                    </w:rPr>
                  </w:pPr>
                  <w:r>
                    <w:rPr>
                      <w:rFonts w:eastAsia="Arial Unicode MS"/>
                      <w:sz w:val="18"/>
                      <w:szCs w:val="18"/>
                    </w:rPr>
                    <w:t>177041.87</w:t>
                  </w:r>
                </w:p>
              </w:tc>
              <w:tc>
                <w:tcPr>
                  <w:tcW w:w="754" w:type="pct"/>
                  <w:vAlign w:val="center"/>
                </w:tcPr>
                <w:p w14:paraId="23899BF0"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71301AC7" w14:textId="77777777" w:rsidR="00F76A63" w:rsidRDefault="00000000">
                  <w:pPr>
                    <w:adjustRightInd w:val="0"/>
                    <w:snapToGrid w:val="0"/>
                    <w:jc w:val="center"/>
                    <w:rPr>
                      <w:sz w:val="18"/>
                      <w:szCs w:val="18"/>
                    </w:rPr>
                  </w:pPr>
                  <w:r>
                    <w:rPr>
                      <w:rFonts w:eastAsia="Arial Unicode MS"/>
                      <w:sz w:val="18"/>
                      <w:szCs w:val="18"/>
                    </w:rPr>
                    <w:t>2.16</w:t>
                  </w:r>
                </w:p>
              </w:tc>
              <w:tc>
                <w:tcPr>
                  <w:tcW w:w="696" w:type="pct"/>
                  <w:vMerge w:val="restart"/>
                  <w:vAlign w:val="center"/>
                </w:tcPr>
                <w:p w14:paraId="5D804744" w14:textId="77777777" w:rsidR="00F76A63" w:rsidRDefault="00000000">
                  <w:pPr>
                    <w:adjustRightInd w:val="0"/>
                    <w:snapToGrid w:val="0"/>
                    <w:jc w:val="center"/>
                    <w:rPr>
                      <w:sz w:val="18"/>
                      <w:szCs w:val="18"/>
                    </w:rPr>
                  </w:pPr>
                  <w:r>
                    <w:rPr>
                      <w:sz w:val="18"/>
                      <w:szCs w:val="18"/>
                    </w:rPr>
                    <w:t>/</w:t>
                  </w:r>
                </w:p>
              </w:tc>
            </w:tr>
            <w:tr w:rsidR="00F76A63" w14:paraId="32B60E2F" w14:textId="77777777">
              <w:trPr>
                <w:trHeight w:val="340"/>
                <w:jc w:val="center"/>
              </w:trPr>
              <w:tc>
                <w:tcPr>
                  <w:tcW w:w="582" w:type="pct"/>
                  <w:vMerge/>
                  <w:vAlign w:val="center"/>
                </w:tcPr>
                <w:p w14:paraId="780A658A" w14:textId="77777777" w:rsidR="00F76A63" w:rsidRDefault="00F76A63">
                  <w:pPr>
                    <w:adjustRightInd w:val="0"/>
                    <w:snapToGrid w:val="0"/>
                    <w:jc w:val="center"/>
                    <w:rPr>
                      <w:sz w:val="18"/>
                      <w:szCs w:val="18"/>
                    </w:rPr>
                  </w:pPr>
                </w:p>
              </w:tc>
              <w:tc>
                <w:tcPr>
                  <w:tcW w:w="798" w:type="pct"/>
                  <w:vMerge/>
                  <w:vAlign w:val="center"/>
                </w:tcPr>
                <w:p w14:paraId="41E66195" w14:textId="77777777" w:rsidR="00F76A63" w:rsidRDefault="00F76A63">
                  <w:pPr>
                    <w:adjustRightInd w:val="0"/>
                    <w:snapToGrid w:val="0"/>
                    <w:jc w:val="center"/>
                    <w:rPr>
                      <w:sz w:val="18"/>
                      <w:szCs w:val="18"/>
                    </w:rPr>
                  </w:pPr>
                </w:p>
              </w:tc>
              <w:tc>
                <w:tcPr>
                  <w:tcW w:w="1350" w:type="pct"/>
                  <w:vMerge/>
                  <w:vAlign w:val="center"/>
                </w:tcPr>
                <w:p w14:paraId="3E3A741C" w14:textId="77777777" w:rsidR="00F76A63" w:rsidRDefault="00F76A63">
                  <w:pPr>
                    <w:adjustRightInd w:val="0"/>
                    <w:snapToGrid w:val="0"/>
                    <w:jc w:val="center"/>
                    <w:rPr>
                      <w:sz w:val="18"/>
                      <w:szCs w:val="18"/>
                    </w:rPr>
                  </w:pPr>
                </w:p>
              </w:tc>
              <w:tc>
                <w:tcPr>
                  <w:tcW w:w="754" w:type="pct"/>
                  <w:vAlign w:val="center"/>
                </w:tcPr>
                <w:p w14:paraId="63852DFC"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07421842" w14:textId="77777777" w:rsidR="00F76A63" w:rsidRDefault="00000000">
                  <w:pPr>
                    <w:adjustRightInd w:val="0"/>
                    <w:snapToGrid w:val="0"/>
                    <w:jc w:val="center"/>
                    <w:rPr>
                      <w:sz w:val="18"/>
                      <w:szCs w:val="18"/>
                    </w:rPr>
                  </w:pPr>
                  <w:r>
                    <w:rPr>
                      <w:rFonts w:eastAsia="Arial Unicode MS"/>
                      <w:sz w:val="18"/>
                      <w:szCs w:val="18"/>
                    </w:rPr>
                    <w:t>1.69</w:t>
                  </w:r>
                </w:p>
              </w:tc>
              <w:tc>
                <w:tcPr>
                  <w:tcW w:w="696" w:type="pct"/>
                  <w:vMerge/>
                  <w:vAlign w:val="center"/>
                </w:tcPr>
                <w:p w14:paraId="0DA94B2F" w14:textId="77777777" w:rsidR="00F76A63" w:rsidRDefault="00F76A63">
                  <w:pPr>
                    <w:adjustRightInd w:val="0"/>
                    <w:snapToGrid w:val="0"/>
                    <w:jc w:val="center"/>
                    <w:rPr>
                      <w:sz w:val="18"/>
                      <w:szCs w:val="18"/>
                    </w:rPr>
                  </w:pPr>
                </w:p>
              </w:tc>
            </w:tr>
            <w:tr w:rsidR="00F76A63" w14:paraId="0D7ADBCC" w14:textId="77777777">
              <w:trPr>
                <w:trHeight w:val="340"/>
                <w:jc w:val="center"/>
              </w:trPr>
              <w:tc>
                <w:tcPr>
                  <w:tcW w:w="582" w:type="pct"/>
                  <w:vMerge/>
                  <w:vAlign w:val="center"/>
                </w:tcPr>
                <w:p w14:paraId="0D4AFF30" w14:textId="77777777" w:rsidR="00F76A63" w:rsidRDefault="00F76A63">
                  <w:pPr>
                    <w:adjustRightInd w:val="0"/>
                    <w:snapToGrid w:val="0"/>
                    <w:jc w:val="center"/>
                    <w:rPr>
                      <w:sz w:val="18"/>
                      <w:szCs w:val="18"/>
                    </w:rPr>
                  </w:pPr>
                </w:p>
              </w:tc>
              <w:tc>
                <w:tcPr>
                  <w:tcW w:w="798" w:type="pct"/>
                  <w:vMerge/>
                  <w:vAlign w:val="center"/>
                </w:tcPr>
                <w:p w14:paraId="112C8D50" w14:textId="77777777" w:rsidR="00F76A63" w:rsidRDefault="00F76A63">
                  <w:pPr>
                    <w:adjustRightInd w:val="0"/>
                    <w:snapToGrid w:val="0"/>
                    <w:jc w:val="center"/>
                    <w:rPr>
                      <w:sz w:val="18"/>
                      <w:szCs w:val="18"/>
                    </w:rPr>
                  </w:pPr>
                </w:p>
              </w:tc>
              <w:tc>
                <w:tcPr>
                  <w:tcW w:w="1350" w:type="pct"/>
                  <w:vMerge/>
                  <w:vAlign w:val="center"/>
                </w:tcPr>
                <w:p w14:paraId="7535E45E" w14:textId="77777777" w:rsidR="00F76A63" w:rsidRDefault="00F76A63">
                  <w:pPr>
                    <w:adjustRightInd w:val="0"/>
                    <w:snapToGrid w:val="0"/>
                    <w:jc w:val="center"/>
                    <w:rPr>
                      <w:sz w:val="18"/>
                      <w:szCs w:val="18"/>
                    </w:rPr>
                  </w:pPr>
                </w:p>
              </w:tc>
              <w:tc>
                <w:tcPr>
                  <w:tcW w:w="754" w:type="pct"/>
                  <w:vAlign w:val="center"/>
                </w:tcPr>
                <w:p w14:paraId="2F86CDBB"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618F41D8" w14:textId="77777777" w:rsidR="00F76A63" w:rsidRDefault="00000000">
                  <w:pPr>
                    <w:adjustRightInd w:val="0"/>
                    <w:snapToGrid w:val="0"/>
                    <w:jc w:val="center"/>
                    <w:rPr>
                      <w:sz w:val="18"/>
                      <w:szCs w:val="18"/>
                    </w:rPr>
                  </w:pPr>
                  <w:r>
                    <w:rPr>
                      <w:rFonts w:eastAsia="Arial Unicode MS"/>
                      <w:sz w:val="18"/>
                      <w:szCs w:val="18"/>
                    </w:rPr>
                    <w:t>1.85</w:t>
                  </w:r>
                </w:p>
              </w:tc>
              <w:tc>
                <w:tcPr>
                  <w:tcW w:w="696" w:type="pct"/>
                  <w:vMerge/>
                  <w:vAlign w:val="center"/>
                </w:tcPr>
                <w:p w14:paraId="4FDDDD2D" w14:textId="77777777" w:rsidR="00F76A63" w:rsidRDefault="00F76A63">
                  <w:pPr>
                    <w:adjustRightInd w:val="0"/>
                    <w:snapToGrid w:val="0"/>
                    <w:jc w:val="center"/>
                    <w:rPr>
                      <w:sz w:val="18"/>
                      <w:szCs w:val="18"/>
                    </w:rPr>
                  </w:pPr>
                </w:p>
              </w:tc>
            </w:tr>
            <w:tr w:rsidR="00F76A63" w14:paraId="0C1F93B3" w14:textId="77777777">
              <w:trPr>
                <w:trHeight w:val="340"/>
                <w:jc w:val="center"/>
              </w:trPr>
              <w:tc>
                <w:tcPr>
                  <w:tcW w:w="582" w:type="pct"/>
                  <w:vMerge/>
                  <w:vAlign w:val="center"/>
                </w:tcPr>
                <w:p w14:paraId="3D4EC96C" w14:textId="77777777" w:rsidR="00F76A63" w:rsidRDefault="00F76A63">
                  <w:pPr>
                    <w:adjustRightInd w:val="0"/>
                    <w:snapToGrid w:val="0"/>
                    <w:jc w:val="center"/>
                    <w:rPr>
                      <w:sz w:val="18"/>
                      <w:szCs w:val="18"/>
                    </w:rPr>
                  </w:pPr>
                </w:p>
              </w:tc>
              <w:tc>
                <w:tcPr>
                  <w:tcW w:w="798" w:type="pct"/>
                  <w:vMerge w:val="restart"/>
                  <w:vAlign w:val="center"/>
                </w:tcPr>
                <w:p w14:paraId="12920370" w14:textId="77777777" w:rsidR="00F76A63" w:rsidRDefault="00000000">
                  <w:pPr>
                    <w:adjustRightInd w:val="0"/>
                    <w:snapToGrid w:val="0"/>
                    <w:jc w:val="center"/>
                    <w:rPr>
                      <w:sz w:val="18"/>
                      <w:szCs w:val="18"/>
                    </w:rPr>
                  </w:pPr>
                  <w:r>
                    <w:rPr>
                      <w:sz w:val="18"/>
                      <w:szCs w:val="18"/>
                    </w:rPr>
                    <w:t>202412</w:t>
                  </w:r>
                </w:p>
              </w:tc>
              <w:tc>
                <w:tcPr>
                  <w:tcW w:w="1350" w:type="pct"/>
                  <w:vMerge w:val="restart"/>
                  <w:vAlign w:val="center"/>
                </w:tcPr>
                <w:p w14:paraId="069A92F1" w14:textId="77777777" w:rsidR="00F76A63" w:rsidRDefault="00000000">
                  <w:pPr>
                    <w:widowControl/>
                    <w:jc w:val="center"/>
                    <w:rPr>
                      <w:rFonts w:eastAsia="Arial Unicode MS"/>
                      <w:kern w:val="0"/>
                      <w:sz w:val="18"/>
                      <w:szCs w:val="18"/>
                    </w:rPr>
                  </w:pPr>
                  <w:r>
                    <w:rPr>
                      <w:rFonts w:eastAsia="Arial Unicode MS"/>
                      <w:sz w:val="18"/>
                      <w:szCs w:val="18"/>
                    </w:rPr>
                    <w:t>217874.00</w:t>
                  </w:r>
                </w:p>
              </w:tc>
              <w:tc>
                <w:tcPr>
                  <w:tcW w:w="754" w:type="pct"/>
                  <w:vAlign w:val="center"/>
                </w:tcPr>
                <w:p w14:paraId="7303E451"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775ADD2D" w14:textId="77777777" w:rsidR="00F76A63" w:rsidRDefault="00000000">
                  <w:pPr>
                    <w:adjustRightInd w:val="0"/>
                    <w:snapToGrid w:val="0"/>
                    <w:jc w:val="center"/>
                    <w:rPr>
                      <w:sz w:val="18"/>
                      <w:szCs w:val="18"/>
                    </w:rPr>
                  </w:pPr>
                  <w:r>
                    <w:rPr>
                      <w:rFonts w:eastAsia="Arial Unicode MS"/>
                      <w:sz w:val="18"/>
                      <w:szCs w:val="18"/>
                    </w:rPr>
                    <w:t>1.92</w:t>
                  </w:r>
                </w:p>
              </w:tc>
              <w:tc>
                <w:tcPr>
                  <w:tcW w:w="696" w:type="pct"/>
                  <w:vMerge w:val="restart"/>
                  <w:vAlign w:val="center"/>
                </w:tcPr>
                <w:p w14:paraId="73E3FAF6" w14:textId="77777777" w:rsidR="00F76A63" w:rsidRDefault="00000000">
                  <w:pPr>
                    <w:adjustRightInd w:val="0"/>
                    <w:snapToGrid w:val="0"/>
                    <w:jc w:val="center"/>
                    <w:rPr>
                      <w:sz w:val="18"/>
                      <w:szCs w:val="18"/>
                    </w:rPr>
                  </w:pPr>
                  <w:r>
                    <w:rPr>
                      <w:sz w:val="18"/>
                      <w:szCs w:val="18"/>
                    </w:rPr>
                    <w:t>/</w:t>
                  </w:r>
                </w:p>
              </w:tc>
            </w:tr>
            <w:tr w:rsidR="00F76A63" w14:paraId="33051B25" w14:textId="77777777">
              <w:trPr>
                <w:trHeight w:val="340"/>
                <w:jc w:val="center"/>
              </w:trPr>
              <w:tc>
                <w:tcPr>
                  <w:tcW w:w="582" w:type="pct"/>
                  <w:vMerge/>
                  <w:vAlign w:val="center"/>
                </w:tcPr>
                <w:p w14:paraId="3271F5E5" w14:textId="77777777" w:rsidR="00F76A63" w:rsidRDefault="00F76A63">
                  <w:pPr>
                    <w:adjustRightInd w:val="0"/>
                    <w:snapToGrid w:val="0"/>
                    <w:jc w:val="center"/>
                    <w:rPr>
                      <w:sz w:val="18"/>
                      <w:szCs w:val="18"/>
                    </w:rPr>
                  </w:pPr>
                </w:p>
              </w:tc>
              <w:tc>
                <w:tcPr>
                  <w:tcW w:w="798" w:type="pct"/>
                  <w:vMerge/>
                  <w:vAlign w:val="center"/>
                </w:tcPr>
                <w:p w14:paraId="58F3310D" w14:textId="77777777" w:rsidR="00F76A63" w:rsidRDefault="00F76A63">
                  <w:pPr>
                    <w:adjustRightInd w:val="0"/>
                    <w:snapToGrid w:val="0"/>
                    <w:jc w:val="center"/>
                    <w:rPr>
                      <w:sz w:val="18"/>
                      <w:szCs w:val="18"/>
                    </w:rPr>
                  </w:pPr>
                </w:p>
              </w:tc>
              <w:tc>
                <w:tcPr>
                  <w:tcW w:w="1350" w:type="pct"/>
                  <w:vMerge/>
                  <w:vAlign w:val="center"/>
                </w:tcPr>
                <w:p w14:paraId="04AD97EB" w14:textId="77777777" w:rsidR="00F76A63" w:rsidRDefault="00F76A63">
                  <w:pPr>
                    <w:adjustRightInd w:val="0"/>
                    <w:snapToGrid w:val="0"/>
                    <w:jc w:val="center"/>
                    <w:rPr>
                      <w:sz w:val="18"/>
                      <w:szCs w:val="18"/>
                    </w:rPr>
                  </w:pPr>
                </w:p>
              </w:tc>
              <w:tc>
                <w:tcPr>
                  <w:tcW w:w="754" w:type="pct"/>
                  <w:vAlign w:val="center"/>
                </w:tcPr>
                <w:p w14:paraId="12A9BDD5"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14E45558" w14:textId="77777777" w:rsidR="00F76A63" w:rsidRDefault="00000000">
                  <w:pPr>
                    <w:adjustRightInd w:val="0"/>
                    <w:snapToGrid w:val="0"/>
                    <w:jc w:val="center"/>
                    <w:rPr>
                      <w:sz w:val="18"/>
                      <w:szCs w:val="18"/>
                    </w:rPr>
                  </w:pPr>
                  <w:r>
                    <w:rPr>
                      <w:rFonts w:eastAsia="Arial Unicode MS"/>
                      <w:sz w:val="18"/>
                      <w:szCs w:val="18"/>
                    </w:rPr>
                    <w:t>1.62</w:t>
                  </w:r>
                </w:p>
              </w:tc>
              <w:tc>
                <w:tcPr>
                  <w:tcW w:w="696" w:type="pct"/>
                  <w:vMerge/>
                  <w:vAlign w:val="center"/>
                </w:tcPr>
                <w:p w14:paraId="16AAD6F4" w14:textId="77777777" w:rsidR="00F76A63" w:rsidRDefault="00F76A63">
                  <w:pPr>
                    <w:adjustRightInd w:val="0"/>
                    <w:snapToGrid w:val="0"/>
                    <w:jc w:val="center"/>
                    <w:rPr>
                      <w:sz w:val="18"/>
                      <w:szCs w:val="18"/>
                    </w:rPr>
                  </w:pPr>
                </w:p>
              </w:tc>
            </w:tr>
            <w:tr w:rsidR="00F76A63" w14:paraId="6074382E" w14:textId="77777777">
              <w:trPr>
                <w:trHeight w:val="340"/>
                <w:jc w:val="center"/>
              </w:trPr>
              <w:tc>
                <w:tcPr>
                  <w:tcW w:w="582" w:type="pct"/>
                  <w:vMerge/>
                  <w:vAlign w:val="center"/>
                </w:tcPr>
                <w:p w14:paraId="65EF1F60" w14:textId="77777777" w:rsidR="00F76A63" w:rsidRDefault="00F76A63">
                  <w:pPr>
                    <w:adjustRightInd w:val="0"/>
                    <w:snapToGrid w:val="0"/>
                    <w:jc w:val="center"/>
                    <w:rPr>
                      <w:sz w:val="18"/>
                      <w:szCs w:val="18"/>
                    </w:rPr>
                  </w:pPr>
                </w:p>
              </w:tc>
              <w:tc>
                <w:tcPr>
                  <w:tcW w:w="798" w:type="pct"/>
                  <w:vMerge/>
                  <w:vAlign w:val="center"/>
                </w:tcPr>
                <w:p w14:paraId="219383EA" w14:textId="77777777" w:rsidR="00F76A63" w:rsidRDefault="00F76A63">
                  <w:pPr>
                    <w:adjustRightInd w:val="0"/>
                    <w:snapToGrid w:val="0"/>
                    <w:jc w:val="center"/>
                    <w:rPr>
                      <w:sz w:val="18"/>
                      <w:szCs w:val="18"/>
                    </w:rPr>
                  </w:pPr>
                </w:p>
              </w:tc>
              <w:tc>
                <w:tcPr>
                  <w:tcW w:w="1350" w:type="pct"/>
                  <w:vMerge/>
                  <w:vAlign w:val="center"/>
                </w:tcPr>
                <w:p w14:paraId="333859E9" w14:textId="77777777" w:rsidR="00F76A63" w:rsidRDefault="00F76A63">
                  <w:pPr>
                    <w:adjustRightInd w:val="0"/>
                    <w:snapToGrid w:val="0"/>
                    <w:jc w:val="center"/>
                    <w:rPr>
                      <w:sz w:val="18"/>
                      <w:szCs w:val="18"/>
                    </w:rPr>
                  </w:pPr>
                </w:p>
              </w:tc>
              <w:tc>
                <w:tcPr>
                  <w:tcW w:w="754" w:type="pct"/>
                  <w:vAlign w:val="center"/>
                </w:tcPr>
                <w:p w14:paraId="13DE1870"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4A5C3D87" w14:textId="77777777" w:rsidR="00F76A63" w:rsidRDefault="00000000">
                  <w:pPr>
                    <w:adjustRightInd w:val="0"/>
                    <w:snapToGrid w:val="0"/>
                    <w:jc w:val="center"/>
                    <w:rPr>
                      <w:sz w:val="18"/>
                      <w:szCs w:val="18"/>
                    </w:rPr>
                  </w:pPr>
                  <w:r>
                    <w:rPr>
                      <w:rFonts w:eastAsia="Arial Unicode MS"/>
                      <w:sz w:val="18"/>
                      <w:szCs w:val="18"/>
                    </w:rPr>
                    <w:t>1.76</w:t>
                  </w:r>
                </w:p>
              </w:tc>
              <w:tc>
                <w:tcPr>
                  <w:tcW w:w="696" w:type="pct"/>
                  <w:vMerge/>
                  <w:vAlign w:val="center"/>
                </w:tcPr>
                <w:p w14:paraId="4FB150C3" w14:textId="77777777" w:rsidR="00F76A63" w:rsidRDefault="00F76A63">
                  <w:pPr>
                    <w:adjustRightInd w:val="0"/>
                    <w:snapToGrid w:val="0"/>
                    <w:jc w:val="center"/>
                    <w:rPr>
                      <w:sz w:val="18"/>
                      <w:szCs w:val="18"/>
                    </w:rPr>
                  </w:pPr>
                </w:p>
              </w:tc>
            </w:tr>
            <w:tr w:rsidR="00F76A63" w14:paraId="75BD949B" w14:textId="77777777">
              <w:trPr>
                <w:trHeight w:val="340"/>
                <w:jc w:val="center"/>
              </w:trPr>
              <w:tc>
                <w:tcPr>
                  <w:tcW w:w="582" w:type="pct"/>
                  <w:vMerge/>
                  <w:vAlign w:val="center"/>
                </w:tcPr>
                <w:p w14:paraId="659C39C4" w14:textId="77777777" w:rsidR="00F76A63" w:rsidRDefault="00F76A63">
                  <w:pPr>
                    <w:adjustRightInd w:val="0"/>
                    <w:snapToGrid w:val="0"/>
                    <w:jc w:val="center"/>
                    <w:rPr>
                      <w:sz w:val="18"/>
                      <w:szCs w:val="18"/>
                    </w:rPr>
                  </w:pPr>
                </w:p>
              </w:tc>
              <w:tc>
                <w:tcPr>
                  <w:tcW w:w="798" w:type="pct"/>
                  <w:vMerge w:val="restart"/>
                  <w:vAlign w:val="center"/>
                </w:tcPr>
                <w:p w14:paraId="3560F41D" w14:textId="77777777" w:rsidR="00F76A63" w:rsidRDefault="00000000">
                  <w:pPr>
                    <w:adjustRightInd w:val="0"/>
                    <w:snapToGrid w:val="0"/>
                    <w:jc w:val="center"/>
                    <w:rPr>
                      <w:sz w:val="18"/>
                      <w:szCs w:val="18"/>
                    </w:rPr>
                  </w:pPr>
                  <w:r>
                    <w:rPr>
                      <w:sz w:val="18"/>
                      <w:szCs w:val="18"/>
                    </w:rPr>
                    <w:t>202501</w:t>
                  </w:r>
                </w:p>
              </w:tc>
              <w:tc>
                <w:tcPr>
                  <w:tcW w:w="1350" w:type="pct"/>
                  <w:vMerge w:val="restart"/>
                  <w:vAlign w:val="center"/>
                </w:tcPr>
                <w:p w14:paraId="6381C331" w14:textId="77777777" w:rsidR="00F76A63" w:rsidRDefault="00000000">
                  <w:pPr>
                    <w:widowControl/>
                    <w:jc w:val="center"/>
                    <w:rPr>
                      <w:b/>
                      <w:bCs/>
                      <w:kern w:val="0"/>
                      <w:sz w:val="18"/>
                      <w:szCs w:val="18"/>
                    </w:rPr>
                  </w:pPr>
                  <w:r>
                    <w:rPr>
                      <w:b/>
                      <w:bCs/>
                      <w:sz w:val="18"/>
                      <w:szCs w:val="18"/>
                    </w:rPr>
                    <w:t>93550.91</w:t>
                  </w:r>
                </w:p>
              </w:tc>
              <w:tc>
                <w:tcPr>
                  <w:tcW w:w="754" w:type="pct"/>
                  <w:vAlign w:val="center"/>
                </w:tcPr>
                <w:p w14:paraId="042A13A9"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5D40DA3D" w14:textId="77777777" w:rsidR="00F76A63" w:rsidRDefault="00000000">
                  <w:pPr>
                    <w:adjustRightInd w:val="0"/>
                    <w:snapToGrid w:val="0"/>
                    <w:jc w:val="center"/>
                    <w:rPr>
                      <w:sz w:val="18"/>
                      <w:szCs w:val="18"/>
                    </w:rPr>
                  </w:pPr>
                  <w:r>
                    <w:rPr>
                      <w:rFonts w:eastAsia="Arial Unicode MS"/>
                      <w:sz w:val="18"/>
                      <w:szCs w:val="18"/>
                    </w:rPr>
                    <w:t>1.81</w:t>
                  </w:r>
                </w:p>
              </w:tc>
              <w:tc>
                <w:tcPr>
                  <w:tcW w:w="696" w:type="pct"/>
                  <w:vMerge w:val="restart"/>
                  <w:vAlign w:val="center"/>
                </w:tcPr>
                <w:p w14:paraId="1C013792" w14:textId="77777777" w:rsidR="00F76A63" w:rsidRDefault="00000000">
                  <w:pPr>
                    <w:adjustRightInd w:val="0"/>
                    <w:snapToGrid w:val="0"/>
                    <w:jc w:val="center"/>
                    <w:rPr>
                      <w:sz w:val="18"/>
                      <w:szCs w:val="18"/>
                    </w:rPr>
                  </w:pPr>
                  <w:r>
                    <w:rPr>
                      <w:sz w:val="18"/>
                      <w:szCs w:val="18"/>
                    </w:rPr>
                    <w:t>/</w:t>
                  </w:r>
                </w:p>
              </w:tc>
            </w:tr>
            <w:tr w:rsidR="00F76A63" w14:paraId="68BD23D1" w14:textId="77777777">
              <w:trPr>
                <w:trHeight w:val="340"/>
                <w:jc w:val="center"/>
              </w:trPr>
              <w:tc>
                <w:tcPr>
                  <w:tcW w:w="582" w:type="pct"/>
                  <w:vMerge/>
                  <w:vAlign w:val="center"/>
                </w:tcPr>
                <w:p w14:paraId="04FB03D6" w14:textId="77777777" w:rsidR="00F76A63" w:rsidRDefault="00F76A63">
                  <w:pPr>
                    <w:adjustRightInd w:val="0"/>
                    <w:snapToGrid w:val="0"/>
                    <w:jc w:val="center"/>
                    <w:rPr>
                      <w:sz w:val="18"/>
                      <w:szCs w:val="18"/>
                    </w:rPr>
                  </w:pPr>
                </w:p>
              </w:tc>
              <w:tc>
                <w:tcPr>
                  <w:tcW w:w="798" w:type="pct"/>
                  <w:vMerge/>
                  <w:vAlign w:val="center"/>
                </w:tcPr>
                <w:p w14:paraId="2CCED03B" w14:textId="77777777" w:rsidR="00F76A63" w:rsidRDefault="00F76A63">
                  <w:pPr>
                    <w:adjustRightInd w:val="0"/>
                    <w:snapToGrid w:val="0"/>
                    <w:jc w:val="center"/>
                    <w:rPr>
                      <w:sz w:val="18"/>
                      <w:szCs w:val="18"/>
                    </w:rPr>
                  </w:pPr>
                </w:p>
              </w:tc>
              <w:tc>
                <w:tcPr>
                  <w:tcW w:w="1350" w:type="pct"/>
                  <w:vMerge/>
                  <w:vAlign w:val="center"/>
                </w:tcPr>
                <w:p w14:paraId="151736B6" w14:textId="77777777" w:rsidR="00F76A63" w:rsidRDefault="00F76A63">
                  <w:pPr>
                    <w:adjustRightInd w:val="0"/>
                    <w:snapToGrid w:val="0"/>
                    <w:jc w:val="center"/>
                    <w:rPr>
                      <w:sz w:val="18"/>
                      <w:szCs w:val="18"/>
                    </w:rPr>
                  </w:pPr>
                </w:p>
              </w:tc>
              <w:tc>
                <w:tcPr>
                  <w:tcW w:w="754" w:type="pct"/>
                  <w:vAlign w:val="center"/>
                </w:tcPr>
                <w:p w14:paraId="369A9E56"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64B92840" w14:textId="77777777" w:rsidR="00F76A63" w:rsidRDefault="00000000">
                  <w:pPr>
                    <w:adjustRightInd w:val="0"/>
                    <w:snapToGrid w:val="0"/>
                    <w:jc w:val="center"/>
                    <w:rPr>
                      <w:sz w:val="18"/>
                      <w:szCs w:val="18"/>
                    </w:rPr>
                  </w:pPr>
                  <w:r>
                    <w:rPr>
                      <w:rFonts w:eastAsia="Arial Unicode MS"/>
                      <w:sz w:val="18"/>
                      <w:szCs w:val="18"/>
                    </w:rPr>
                    <w:t>1.41</w:t>
                  </w:r>
                </w:p>
              </w:tc>
              <w:tc>
                <w:tcPr>
                  <w:tcW w:w="696" w:type="pct"/>
                  <w:vMerge/>
                  <w:vAlign w:val="center"/>
                </w:tcPr>
                <w:p w14:paraId="2E4A0561" w14:textId="77777777" w:rsidR="00F76A63" w:rsidRDefault="00F76A63">
                  <w:pPr>
                    <w:adjustRightInd w:val="0"/>
                    <w:snapToGrid w:val="0"/>
                    <w:jc w:val="center"/>
                    <w:rPr>
                      <w:sz w:val="18"/>
                      <w:szCs w:val="18"/>
                    </w:rPr>
                  </w:pPr>
                </w:p>
              </w:tc>
            </w:tr>
            <w:tr w:rsidR="00F76A63" w14:paraId="723E0ABB" w14:textId="77777777">
              <w:trPr>
                <w:trHeight w:val="340"/>
                <w:jc w:val="center"/>
              </w:trPr>
              <w:tc>
                <w:tcPr>
                  <w:tcW w:w="582" w:type="pct"/>
                  <w:vMerge/>
                  <w:vAlign w:val="center"/>
                </w:tcPr>
                <w:p w14:paraId="3B13F100" w14:textId="77777777" w:rsidR="00F76A63" w:rsidRDefault="00F76A63">
                  <w:pPr>
                    <w:adjustRightInd w:val="0"/>
                    <w:snapToGrid w:val="0"/>
                    <w:jc w:val="center"/>
                    <w:rPr>
                      <w:sz w:val="18"/>
                      <w:szCs w:val="18"/>
                    </w:rPr>
                  </w:pPr>
                </w:p>
              </w:tc>
              <w:tc>
                <w:tcPr>
                  <w:tcW w:w="798" w:type="pct"/>
                  <w:vMerge/>
                  <w:vAlign w:val="center"/>
                </w:tcPr>
                <w:p w14:paraId="0711724F" w14:textId="77777777" w:rsidR="00F76A63" w:rsidRDefault="00F76A63">
                  <w:pPr>
                    <w:adjustRightInd w:val="0"/>
                    <w:snapToGrid w:val="0"/>
                    <w:jc w:val="center"/>
                    <w:rPr>
                      <w:sz w:val="18"/>
                      <w:szCs w:val="18"/>
                    </w:rPr>
                  </w:pPr>
                </w:p>
              </w:tc>
              <w:tc>
                <w:tcPr>
                  <w:tcW w:w="1350" w:type="pct"/>
                  <w:vMerge/>
                  <w:vAlign w:val="center"/>
                </w:tcPr>
                <w:p w14:paraId="435AE3FE" w14:textId="77777777" w:rsidR="00F76A63" w:rsidRDefault="00F76A63">
                  <w:pPr>
                    <w:adjustRightInd w:val="0"/>
                    <w:snapToGrid w:val="0"/>
                    <w:jc w:val="center"/>
                    <w:rPr>
                      <w:sz w:val="18"/>
                      <w:szCs w:val="18"/>
                    </w:rPr>
                  </w:pPr>
                </w:p>
              </w:tc>
              <w:tc>
                <w:tcPr>
                  <w:tcW w:w="754" w:type="pct"/>
                  <w:vAlign w:val="center"/>
                </w:tcPr>
                <w:p w14:paraId="10E94FF5"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61AD24D2" w14:textId="77777777" w:rsidR="00F76A63" w:rsidRDefault="00000000">
                  <w:pPr>
                    <w:adjustRightInd w:val="0"/>
                    <w:snapToGrid w:val="0"/>
                    <w:jc w:val="center"/>
                    <w:rPr>
                      <w:sz w:val="18"/>
                      <w:szCs w:val="18"/>
                    </w:rPr>
                  </w:pPr>
                  <w:r>
                    <w:rPr>
                      <w:sz w:val="18"/>
                      <w:szCs w:val="18"/>
                    </w:rPr>
                    <w:t>1.58</w:t>
                  </w:r>
                </w:p>
              </w:tc>
              <w:tc>
                <w:tcPr>
                  <w:tcW w:w="696" w:type="pct"/>
                  <w:vMerge/>
                  <w:vAlign w:val="center"/>
                </w:tcPr>
                <w:p w14:paraId="4A6A7CAE" w14:textId="77777777" w:rsidR="00F76A63" w:rsidRDefault="00F76A63">
                  <w:pPr>
                    <w:adjustRightInd w:val="0"/>
                    <w:snapToGrid w:val="0"/>
                    <w:jc w:val="center"/>
                    <w:rPr>
                      <w:sz w:val="18"/>
                      <w:szCs w:val="18"/>
                    </w:rPr>
                  </w:pPr>
                </w:p>
              </w:tc>
            </w:tr>
            <w:tr w:rsidR="00F76A63" w14:paraId="37A08E37" w14:textId="77777777">
              <w:trPr>
                <w:trHeight w:val="340"/>
                <w:jc w:val="center"/>
              </w:trPr>
              <w:tc>
                <w:tcPr>
                  <w:tcW w:w="582" w:type="pct"/>
                  <w:vMerge/>
                  <w:vAlign w:val="center"/>
                </w:tcPr>
                <w:p w14:paraId="512E9ADF" w14:textId="77777777" w:rsidR="00F76A63" w:rsidRDefault="00F76A63">
                  <w:pPr>
                    <w:adjustRightInd w:val="0"/>
                    <w:snapToGrid w:val="0"/>
                    <w:jc w:val="center"/>
                    <w:rPr>
                      <w:sz w:val="18"/>
                      <w:szCs w:val="18"/>
                    </w:rPr>
                  </w:pPr>
                </w:p>
              </w:tc>
              <w:tc>
                <w:tcPr>
                  <w:tcW w:w="798" w:type="pct"/>
                  <w:vMerge w:val="restart"/>
                  <w:vAlign w:val="center"/>
                </w:tcPr>
                <w:p w14:paraId="03F84F6E" w14:textId="77777777" w:rsidR="00F76A63" w:rsidRDefault="00000000">
                  <w:pPr>
                    <w:adjustRightInd w:val="0"/>
                    <w:snapToGrid w:val="0"/>
                    <w:jc w:val="center"/>
                    <w:rPr>
                      <w:sz w:val="18"/>
                      <w:szCs w:val="18"/>
                    </w:rPr>
                  </w:pPr>
                  <w:r>
                    <w:rPr>
                      <w:sz w:val="18"/>
                      <w:szCs w:val="18"/>
                    </w:rPr>
                    <w:t>202502</w:t>
                  </w:r>
                </w:p>
              </w:tc>
              <w:tc>
                <w:tcPr>
                  <w:tcW w:w="1350" w:type="pct"/>
                  <w:vMerge w:val="restart"/>
                  <w:vAlign w:val="center"/>
                </w:tcPr>
                <w:p w14:paraId="680BF072" w14:textId="77777777" w:rsidR="00F76A63" w:rsidRDefault="00000000">
                  <w:pPr>
                    <w:widowControl/>
                    <w:jc w:val="center"/>
                    <w:rPr>
                      <w:rFonts w:eastAsia="Arial Unicode MS"/>
                      <w:kern w:val="0"/>
                      <w:sz w:val="18"/>
                      <w:szCs w:val="18"/>
                    </w:rPr>
                  </w:pPr>
                  <w:r>
                    <w:rPr>
                      <w:rFonts w:eastAsia="Arial Unicode MS"/>
                      <w:sz w:val="18"/>
                      <w:szCs w:val="18"/>
                    </w:rPr>
                    <w:t>175550.44</w:t>
                  </w:r>
                </w:p>
              </w:tc>
              <w:tc>
                <w:tcPr>
                  <w:tcW w:w="754" w:type="pct"/>
                  <w:vAlign w:val="center"/>
                </w:tcPr>
                <w:p w14:paraId="2D143C2D"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7C55605D" w14:textId="77777777" w:rsidR="00F76A63" w:rsidRDefault="00000000">
                  <w:pPr>
                    <w:adjustRightInd w:val="0"/>
                    <w:snapToGrid w:val="0"/>
                    <w:jc w:val="center"/>
                    <w:rPr>
                      <w:sz w:val="18"/>
                      <w:szCs w:val="18"/>
                    </w:rPr>
                  </w:pPr>
                  <w:r>
                    <w:rPr>
                      <w:rFonts w:eastAsia="Arial Unicode MS"/>
                      <w:sz w:val="18"/>
                      <w:szCs w:val="18"/>
                    </w:rPr>
                    <w:t>1.94</w:t>
                  </w:r>
                </w:p>
              </w:tc>
              <w:tc>
                <w:tcPr>
                  <w:tcW w:w="696" w:type="pct"/>
                  <w:vMerge w:val="restart"/>
                  <w:vAlign w:val="center"/>
                </w:tcPr>
                <w:p w14:paraId="725EBDB4" w14:textId="77777777" w:rsidR="00F76A63" w:rsidRDefault="00000000">
                  <w:pPr>
                    <w:adjustRightInd w:val="0"/>
                    <w:snapToGrid w:val="0"/>
                    <w:jc w:val="center"/>
                    <w:rPr>
                      <w:sz w:val="18"/>
                      <w:szCs w:val="18"/>
                    </w:rPr>
                  </w:pPr>
                  <w:r>
                    <w:rPr>
                      <w:sz w:val="18"/>
                      <w:szCs w:val="18"/>
                    </w:rPr>
                    <w:t>/</w:t>
                  </w:r>
                </w:p>
              </w:tc>
            </w:tr>
            <w:tr w:rsidR="00F76A63" w14:paraId="5AB787F0" w14:textId="77777777">
              <w:trPr>
                <w:trHeight w:val="340"/>
                <w:jc w:val="center"/>
              </w:trPr>
              <w:tc>
                <w:tcPr>
                  <w:tcW w:w="582" w:type="pct"/>
                  <w:vMerge/>
                  <w:vAlign w:val="center"/>
                </w:tcPr>
                <w:p w14:paraId="257C9625" w14:textId="77777777" w:rsidR="00F76A63" w:rsidRDefault="00F76A63">
                  <w:pPr>
                    <w:adjustRightInd w:val="0"/>
                    <w:snapToGrid w:val="0"/>
                    <w:jc w:val="center"/>
                    <w:rPr>
                      <w:sz w:val="18"/>
                      <w:szCs w:val="18"/>
                    </w:rPr>
                  </w:pPr>
                </w:p>
              </w:tc>
              <w:tc>
                <w:tcPr>
                  <w:tcW w:w="798" w:type="pct"/>
                  <w:vMerge/>
                  <w:vAlign w:val="center"/>
                </w:tcPr>
                <w:p w14:paraId="3798CBD4" w14:textId="77777777" w:rsidR="00F76A63" w:rsidRDefault="00F76A63">
                  <w:pPr>
                    <w:adjustRightInd w:val="0"/>
                    <w:snapToGrid w:val="0"/>
                    <w:jc w:val="center"/>
                    <w:rPr>
                      <w:sz w:val="18"/>
                      <w:szCs w:val="18"/>
                    </w:rPr>
                  </w:pPr>
                </w:p>
              </w:tc>
              <w:tc>
                <w:tcPr>
                  <w:tcW w:w="1350" w:type="pct"/>
                  <w:vMerge/>
                  <w:vAlign w:val="center"/>
                </w:tcPr>
                <w:p w14:paraId="7BD05B4E" w14:textId="77777777" w:rsidR="00F76A63" w:rsidRDefault="00F76A63">
                  <w:pPr>
                    <w:adjustRightInd w:val="0"/>
                    <w:snapToGrid w:val="0"/>
                    <w:jc w:val="center"/>
                    <w:rPr>
                      <w:sz w:val="18"/>
                      <w:szCs w:val="18"/>
                    </w:rPr>
                  </w:pPr>
                </w:p>
              </w:tc>
              <w:tc>
                <w:tcPr>
                  <w:tcW w:w="754" w:type="pct"/>
                  <w:vAlign w:val="center"/>
                </w:tcPr>
                <w:p w14:paraId="034BB0A2"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09C3DC8B" w14:textId="77777777" w:rsidR="00F76A63" w:rsidRDefault="00000000">
                  <w:pPr>
                    <w:adjustRightInd w:val="0"/>
                    <w:snapToGrid w:val="0"/>
                    <w:jc w:val="center"/>
                    <w:rPr>
                      <w:sz w:val="18"/>
                      <w:szCs w:val="18"/>
                    </w:rPr>
                  </w:pPr>
                  <w:r>
                    <w:rPr>
                      <w:rFonts w:eastAsia="Arial Unicode MS"/>
                      <w:sz w:val="18"/>
                      <w:szCs w:val="18"/>
                    </w:rPr>
                    <w:t>1.27</w:t>
                  </w:r>
                </w:p>
              </w:tc>
              <w:tc>
                <w:tcPr>
                  <w:tcW w:w="696" w:type="pct"/>
                  <w:vMerge/>
                  <w:vAlign w:val="center"/>
                </w:tcPr>
                <w:p w14:paraId="39F081FD" w14:textId="77777777" w:rsidR="00F76A63" w:rsidRDefault="00F76A63">
                  <w:pPr>
                    <w:adjustRightInd w:val="0"/>
                    <w:snapToGrid w:val="0"/>
                    <w:jc w:val="center"/>
                    <w:rPr>
                      <w:sz w:val="18"/>
                      <w:szCs w:val="18"/>
                    </w:rPr>
                  </w:pPr>
                </w:p>
              </w:tc>
            </w:tr>
            <w:tr w:rsidR="00F76A63" w14:paraId="20CD49F0" w14:textId="77777777">
              <w:trPr>
                <w:trHeight w:val="340"/>
                <w:jc w:val="center"/>
              </w:trPr>
              <w:tc>
                <w:tcPr>
                  <w:tcW w:w="582" w:type="pct"/>
                  <w:vMerge/>
                  <w:vAlign w:val="center"/>
                </w:tcPr>
                <w:p w14:paraId="4DE6E637" w14:textId="77777777" w:rsidR="00F76A63" w:rsidRDefault="00F76A63">
                  <w:pPr>
                    <w:adjustRightInd w:val="0"/>
                    <w:snapToGrid w:val="0"/>
                    <w:jc w:val="center"/>
                    <w:rPr>
                      <w:sz w:val="18"/>
                      <w:szCs w:val="18"/>
                    </w:rPr>
                  </w:pPr>
                </w:p>
              </w:tc>
              <w:tc>
                <w:tcPr>
                  <w:tcW w:w="798" w:type="pct"/>
                  <w:vMerge/>
                  <w:vAlign w:val="center"/>
                </w:tcPr>
                <w:p w14:paraId="2E1AB8A1" w14:textId="77777777" w:rsidR="00F76A63" w:rsidRDefault="00F76A63">
                  <w:pPr>
                    <w:adjustRightInd w:val="0"/>
                    <w:snapToGrid w:val="0"/>
                    <w:jc w:val="center"/>
                    <w:rPr>
                      <w:sz w:val="18"/>
                      <w:szCs w:val="18"/>
                    </w:rPr>
                  </w:pPr>
                </w:p>
              </w:tc>
              <w:tc>
                <w:tcPr>
                  <w:tcW w:w="1350" w:type="pct"/>
                  <w:vMerge/>
                  <w:vAlign w:val="center"/>
                </w:tcPr>
                <w:p w14:paraId="5229BA80" w14:textId="77777777" w:rsidR="00F76A63" w:rsidRDefault="00F76A63">
                  <w:pPr>
                    <w:adjustRightInd w:val="0"/>
                    <w:snapToGrid w:val="0"/>
                    <w:jc w:val="center"/>
                    <w:rPr>
                      <w:sz w:val="18"/>
                      <w:szCs w:val="18"/>
                    </w:rPr>
                  </w:pPr>
                </w:p>
              </w:tc>
              <w:tc>
                <w:tcPr>
                  <w:tcW w:w="754" w:type="pct"/>
                  <w:vAlign w:val="center"/>
                </w:tcPr>
                <w:p w14:paraId="25E49B51"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4E272B98" w14:textId="77777777" w:rsidR="00F76A63" w:rsidRDefault="00000000">
                  <w:pPr>
                    <w:adjustRightInd w:val="0"/>
                    <w:snapToGrid w:val="0"/>
                    <w:jc w:val="center"/>
                    <w:rPr>
                      <w:sz w:val="18"/>
                      <w:szCs w:val="18"/>
                    </w:rPr>
                  </w:pPr>
                  <w:r>
                    <w:rPr>
                      <w:rFonts w:eastAsia="Arial Unicode MS"/>
                      <w:sz w:val="18"/>
                      <w:szCs w:val="18"/>
                    </w:rPr>
                    <w:t>1.62</w:t>
                  </w:r>
                </w:p>
              </w:tc>
              <w:tc>
                <w:tcPr>
                  <w:tcW w:w="696" w:type="pct"/>
                  <w:vMerge/>
                  <w:vAlign w:val="center"/>
                </w:tcPr>
                <w:p w14:paraId="4FC056C3" w14:textId="77777777" w:rsidR="00F76A63" w:rsidRDefault="00F76A63">
                  <w:pPr>
                    <w:adjustRightInd w:val="0"/>
                    <w:snapToGrid w:val="0"/>
                    <w:jc w:val="center"/>
                    <w:rPr>
                      <w:sz w:val="18"/>
                      <w:szCs w:val="18"/>
                    </w:rPr>
                  </w:pPr>
                </w:p>
              </w:tc>
            </w:tr>
            <w:tr w:rsidR="00F76A63" w14:paraId="421D99EA" w14:textId="77777777">
              <w:trPr>
                <w:trHeight w:val="340"/>
                <w:jc w:val="center"/>
              </w:trPr>
              <w:tc>
                <w:tcPr>
                  <w:tcW w:w="582" w:type="pct"/>
                  <w:vMerge/>
                  <w:vAlign w:val="center"/>
                </w:tcPr>
                <w:p w14:paraId="7E9A4085" w14:textId="77777777" w:rsidR="00F76A63" w:rsidRDefault="00F76A63">
                  <w:pPr>
                    <w:adjustRightInd w:val="0"/>
                    <w:snapToGrid w:val="0"/>
                    <w:jc w:val="center"/>
                    <w:rPr>
                      <w:sz w:val="18"/>
                      <w:szCs w:val="18"/>
                    </w:rPr>
                  </w:pPr>
                </w:p>
              </w:tc>
              <w:tc>
                <w:tcPr>
                  <w:tcW w:w="798" w:type="pct"/>
                  <w:vMerge w:val="restart"/>
                  <w:vAlign w:val="center"/>
                </w:tcPr>
                <w:p w14:paraId="7EAA2154" w14:textId="77777777" w:rsidR="00F76A63" w:rsidRDefault="00000000">
                  <w:pPr>
                    <w:adjustRightInd w:val="0"/>
                    <w:snapToGrid w:val="0"/>
                    <w:jc w:val="center"/>
                    <w:rPr>
                      <w:sz w:val="18"/>
                      <w:szCs w:val="18"/>
                    </w:rPr>
                  </w:pPr>
                  <w:r>
                    <w:rPr>
                      <w:sz w:val="18"/>
                      <w:szCs w:val="18"/>
                    </w:rPr>
                    <w:t>202503</w:t>
                  </w:r>
                </w:p>
              </w:tc>
              <w:tc>
                <w:tcPr>
                  <w:tcW w:w="1350" w:type="pct"/>
                  <w:vMerge w:val="restart"/>
                  <w:vAlign w:val="center"/>
                </w:tcPr>
                <w:p w14:paraId="5FCD8CD3" w14:textId="77777777" w:rsidR="00F76A63" w:rsidRDefault="00000000">
                  <w:pPr>
                    <w:widowControl/>
                    <w:jc w:val="center"/>
                    <w:rPr>
                      <w:rFonts w:eastAsia="Arial Unicode MS"/>
                      <w:kern w:val="0"/>
                      <w:sz w:val="18"/>
                      <w:szCs w:val="18"/>
                    </w:rPr>
                  </w:pPr>
                  <w:r>
                    <w:rPr>
                      <w:rFonts w:eastAsia="Arial Unicode MS"/>
                      <w:sz w:val="18"/>
                      <w:szCs w:val="18"/>
                    </w:rPr>
                    <w:t>300245.35</w:t>
                  </w:r>
                </w:p>
              </w:tc>
              <w:tc>
                <w:tcPr>
                  <w:tcW w:w="754" w:type="pct"/>
                  <w:vAlign w:val="center"/>
                </w:tcPr>
                <w:p w14:paraId="6BA0577C"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01493247" w14:textId="77777777" w:rsidR="00F76A63" w:rsidRDefault="00000000">
                  <w:pPr>
                    <w:adjustRightInd w:val="0"/>
                    <w:snapToGrid w:val="0"/>
                    <w:jc w:val="center"/>
                    <w:rPr>
                      <w:sz w:val="18"/>
                      <w:szCs w:val="18"/>
                    </w:rPr>
                  </w:pPr>
                  <w:r>
                    <w:rPr>
                      <w:rFonts w:eastAsia="Arial Unicode MS"/>
                      <w:sz w:val="18"/>
                      <w:szCs w:val="18"/>
                    </w:rPr>
                    <w:t>2.24</w:t>
                  </w:r>
                </w:p>
              </w:tc>
              <w:tc>
                <w:tcPr>
                  <w:tcW w:w="696" w:type="pct"/>
                  <w:vMerge w:val="restart"/>
                  <w:vAlign w:val="center"/>
                </w:tcPr>
                <w:p w14:paraId="701A7594" w14:textId="77777777" w:rsidR="00F76A63" w:rsidRDefault="00000000">
                  <w:pPr>
                    <w:adjustRightInd w:val="0"/>
                    <w:snapToGrid w:val="0"/>
                    <w:jc w:val="center"/>
                    <w:rPr>
                      <w:sz w:val="18"/>
                      <w:szCs w:val="18"/>
                    </w:rPr>
                  </w:pPr>
                  <w:r>
                    <w:rPr>
                      <w:sz w:val="18"/>
                      <w:szCs w:val="18"/>
                    </w:rPr>
                    <w:t>/</w:t>
                  </w:r>
                </w:p>
              </w:tc>
            </w:tr>
            <w:tr w:rsidR="00F76A63" w14:paraId="0815D495" w14:textId="77777777">
              <w:trPr>
                <w:trHeight w:val="340"/>
                <w:jc w:val="center"/>
              </w:trPr>
              <w:tc>
                <w:tcPr>
                  <w:tcW w:w="582" w:type="pct"/>
                  <w:vMerge/>
                  <w:vAlign w:val="center"/>
                </w:tcPr>
                <w:p w14:paraId="04A681A6" w14:textId="77777777" w:rsidR="00F76A63" w:rsidRDefault="00F76A63">
                  <w:pPr>
                    <w:adjustRightInd w:val="0"/>
                    <w:snapToGrid w:val="0"/>
                    <w:jc w:val="center"/>
                    <w:rPr>
                      <w:sz w:val="18"/>
                      <w:szCs w:val="18"/>
                    </w:rPr>
                  </w:pPr>
                </w:p>
              </w:tc>
              <w:tc>
                <w:tcPr>
                  <w:tcW w:w="798" w:type="pct"/>
                  <w:vMerge/>
                  <w:vAlign w:val="center"/>
                </w:tcPr>
                <w:p w14:paraId="02C87667" w14:textId="77777777" w:rsidR="00F76A63" w:rsidRDefault="00F76A63">
                  <w:pPr>
                    <w:adjustRightInd w:val="0"/>
                    <w:snapToGrid w:val="0"/>
                    <w:jc w:val="center"/>
                    <w:rPr>
                      <w:sz w:val="18"/>
                      <w:szCs w:val="18"/>
                    </w:rPr>
                  </w:pPr>
                </w:p>
              </w:tc>
              <w:tc>
                <w:tcPr>
                  <w:tcW w:w="1350" w:type="pct"/>
                  <w:vMerge/>
                  <w:vAlign w:val="center"/>
                </w:tcPr>
                <w:p w14:paraId="5F7310A1" w14:textId="77777777" w:rsidR="00F76A63" w:rsidRDefault="00F76A63">
                  <w:pPr>
                    <w:adjustRightInd w:val="0"/>
                    <w:snapToGrid w:val="0"/>
                    <w:jc w:val="center"/>
                    <w:rPr>
                      <w:sz w:val="18"/>
                      <w:szCs w:val="18"/>
                    </w:rPr>
                  </w:pPr>
                </w:p>
              </w:tc>
              <w:tc>
                <w:tcPr>
                  <w:tcW w:w="754" w:type="pct"/>
                  <w:vAlign w:val="center"/>
                </w:tcPr>
                <w:p w14:paraId="5C51C7B5"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486745B7" w14:textId="77777777" w:rsidR="00F76A63" w:rsidRDefault="00000000">
                  <w:pPr>
                    <w:widowControl/>
                    <w:jc w:val="center"/>
                    <w:rPr>
                      <w:rFonts w:eastAsia="Arial Unicode MS"/>
                      <w:kern w:val="0"/>
                      <w:sz w:val="18"/>
                      <w:szCs w:val="18"/>
                    </w:rPr>
                  </w:pPr>
                  <w:r>
                    <w:rPr>
                      <w:rFonts w:eastAsia="Arial Unicode MS"/>
                      <w:sz w:val="18"/>
                      <w:szCs w:val="18"/>
                    </w:rPr>
                    <w:t>1.71</w:t>
                  </w:r>
                </w:p>
              </w:tc>
              <w:tc>
                <w:tcPr>
                  <w:tcW w:w="696" w:type="pct"/>
                  <w:vMerge/>
                  <w:vAlign w:val="center"/>
                </w:tcPr>
                <w:p w14:paraId="3CEA6AF4" w14:textId="77777777" w:rsidR="00F76A63" w:rsidRDefault="00F76A63">
                  <w:pPr>
                    <w:adjustRightInd w:val="0"/>
                    <w:snapToGrid w:val="0"/>
                    <w:jc w:val="center"/>
                    <w:rPr>
                      <w:sz w:val="18"/>
                      <w:szCs w:val="18"/>
                    </w:rPr>
                  </w:pPr>
                </w:p>
              </w:tc>
            </w:tr>
            <w:tr w:rsidR="00F76A63" w14:paraId="2FAE0E07" w14:textId="77777777">
              <w:trPr>
                <w:trHeight w:val="340"/>
                <w:jc w:val="center"/>
              </w:trPr>
              <w:tc>
                <w:tcPr>
                  <w:tcW w:w="582" w:type="pct"/>
                  <w:vMerge/>
                  <w:vAlign w:val="center"/>
                </w:tcPr>
                <w:p w14:paraId="4889059C" w14:textId="77777777" w:rsidR="00F76A63" w:rsidRDefault="00F76A63">
                  <w:pPr>
                    <w:adjustRightInd w:val="0"/>
                    <w:snapToGrid w:val="0"/>
                    <w:jc w:val="center"/>
                    <w:rPr>
                      <w:sz w:val="18"/>
                      <w:szCs w:val="18"/>
                    </w:rPr>
                  </w:pPr>
                </w:p>
              </w:tc>
              <w:tc>
                <w:tcPr>
                  <w:tcW w:w="798" w:type="pct"/>
                  <w:vMerge/>
                  <w:vAlign w:val="center"/>
                </w:tcPr>
                <w:p w14:paraId="4BA91553" w14:textId="77777777" w:rsidR="00F76A63" w:rsidRDefault="00F76A63">
                  <w:pPr>
                    <w:adjustRightInd w:val="0"/>
                    <w:snapToGrid w:val="0"/>
                    <w:jc w:val="center"/>
                    <w:rPr>
                      <w:sz w:val="18"/>
                      <w:szCs w:val="18"/>
                    </w:rPr>
                  </w:pPr>
                </w:p>
              </w:tc>
              <w:tc>
                <w:tcPr>
                  <w:tcW w:w="1350" w:type="pct"/>
                  <w:vMerge/>
                  <w:vAlign w:val="center"/>
                </w:tcPr>
                <w:p w14:paraId="30A40152" w14:textId="77777777" w:rsidR="00F76A63" w:rsidRDefault="00F76A63">
                  <w:pPr>
                    <w:adjustRightInd w:val="0"/>
                    <w:snapToGrid w:val="0"/>
                    <w:jc w:val="center"/>
                    <w:rPr>
                      <w:sz w:val="18"/>
                      <w:szCs w:val="18"/>
                    </w:rPr>
                  </w:pPr>
                </w:p>
              </w:tc>
              <w:tc>
                <w:tcPr>
                  <w:tcW w:w="754" w:type="pct"/>
                  <w:vAlign w:val="center"/>
                </w:tcPr>
                <w:p w14:paraId="1ED37D69"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327ED7B9" w14:textId="77777777" w:rsidR="00F76A63" w:rsidRDefault="00000000">
                  <w:pPr>
                    <w:adjustRightInd w:val="0"/>
                    <w:snapToGrid w:val="0"/>
                    <w:jc w:val="center"/>
                    <w:rPr>
                      <w:sz w:val="18"/>
                      <w:szCs w:val="18"/>
                    </w:rPr>
                  </w:pPr>
                  <w:r>
                    <w:rPr>
                      <w:rFonts w:eastAsia="Arial Unicode MS"/>
                      <w:sz w:val="18"/>
                      <w:szCs w:val="18"/>
                    </w:rPr>
                    <w:t>1.94</w:t>
                  </w:r>
                </w:p>
              </w:tc>
              <w:tc>
                <w:tcPr>
                  <w:tcW w:w="696" w:type="pct"/>
                  <w:vMerge/>
                  <w:vAlign w:val="center"/>
                </w:tcPr>
                <w:p w14:paraId="47269EFC" w14:textId="77777777" w:rsidR="00F76A63" w:rsidRDefault="00F76A63">
                  <w:pPr>
                    <w:adjustRightInd w:val="0"/>
                    <w:snapToGrid w:val="0"/>
                    <w:jc w:val="center"/>
                    <w:rPr>
                      <w:sz w:val="18"/>
                      <w:szCs w:val="18"/>
                    </w:rPr>
                  </w:pPr>
                </w:p>
              </w:tc>
            </w:tr>
            <w:tr w:rsidR="00F76A63" w14:paraId="13BA5680" w14:textId="77777777">
              <w:trPr>
                <w:trHeight w:val="340"/>
                <w:jc w:val="center"/>
              </w:trPr>
              <w:tc>
                <w:tcPr>
                  <w:tcW w:w="582" w:type="pct"/>
                  <w:vMerge/>
                  <w:vAlign w:val="center"/>
                </w:tcPr>
                <w:p w14:paraId="435CEC46" w14:textId="77777777" w:rsidR="00F76A63" w:rsidRDefault="00F76A63">
                  <w:pPr>
                    <w:adjustRightInd w:val="0"/>
                    <w:snapToGrid w:val="0"/>
                    <w:jc w:val="center"/>
                    <w:rPr>
                      <w:sz w:val="18"/>
                      <w:szCs w:val="18"/>
                    </w:rPr>
                  </w:pPr>
                </w:p>
              </w:tc>
              <w:tc>
                <w:tcPr>
                  <w:tcW w:w="798" w:type="pct"/>
                  <w:vMerge w:val="restart"/>
                  <w:vAlign w:val="center"/>
                </w:tcPr>
                <w:p w14:paraId="5EE10914" w14:textId="77777777" w:rsidR="00F76A63" w:rsidRDefault="00000000">
                  <w:pPr>
                    <w:adjustRightInd w:val="0"/>
                    <w:snapToGrid w:val="0"/>
                    <w:jc w:val="center"/>
                    <w:rPr>
                      <w:sz w:val="18"/>
                      <w:szCs w:val="18"/>
                    </w:rPr>
                  </w:pPr>
                  <w:r>
                    <w:rPr>
                      <w:sz w:val="18"/>
                      <w:szCs w:val="18"/>
                    </w:rPr>
                    <w:t>202504</w:t>
                  </w:r>
                </w:p>
              </w:tc>
              <w:tc>
                <w:tcPr>
                  <w:tcW w:w="1350" w:type="pct"/>
                  <w:vMerge w:val="restart"/>
                  <w:vAlign w:val="center"/>
                </w:tcPr>
                <w:p w14:paraId="7A262153" w14:textId="77777777" w:rsidR="00F76A63" w:rsidRDefault="00000000">
                  <w:pPr>
                    <w:widowControl/>
                    <w:jc w:val="center"/>
                    <w:rPr>
                      <w:rFonts w:eastAsia="Arial Unicode MS"/>
                      <w:kern w:val="0"/>
                      <w:sz w:val="18"/>
                      <w:szCs w:val="18"/>
                    </w:rPr>
                  </w:pPr>
                  <w:r>
                    <w:rPr>
                      <w:rFonts w:eastAsia="Arial Unicode MS"/>
                      <w:sz w:val="18"/>
                      <w:szCs w:val="18"/>
                    </w:rPr>
                    <w:t>212406.58</w:t>
                  </w:r>
                </w:p>
              </w:tc>
              <w:tc>
                <w:tcPr>
                  <w:tcW w:w="754" w:type="pct"/>
                  <w:vAlign w:val="center"/>
                </w:tcPr>
                <w:p w14:paraId="23D95DEC"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64F4E872" w14:textId="77777777" w:rsidR="00F76A63" w:rsidRDefault="00000000">
                  <w:pPr>
                    <w:adjustRightInd w:val="0"/>
                    <w:snapToGrid w:val="0"/>
                    <w:jc w:val="center"/>
                    <w:rPr>
                      <w:sz w:val="18"/>
                      <w:szCs w:val="18"/>
                    </w:rPr>
                  </w:pPr>
                  <w:r>
                    <w:rPr>
                      <w:rFonts w:eastAsia="Arial Unicode MS"/>
                      <w:sz w:val="18"/>
                      <w:szCs w:val="18"/>
                    </w:rPr>
                    <w:t>2.23</w:t>
                  </w:r>
                </w:p>
              </w:tc>
              <w:tc>
                <w:tcPr>
                  <w:tcW w:w="696" w:type="pct"/>
                  <w:vMerge w:val="restart"/>
                  <w:vAlign w:val="center"/>
                </w:tcPr>
                <w:p w14:paraId="228642B8" w14:textId="77777777" w:rsidR="00F76A63" w:rsidRDefault="00000000">
                  <w:pPr>
                    <w:adjustRightInd w:val="0"/>
                    <w:snapToGrid w:val="0"/>
                    <w:jc w:val="center"/>
                    <w:rPr>
                      <w:sz w:val="18"/>
                      <w:szCs w:val="18"/>
                    </w:rPr>
                  </w:pPr>
                  <w:r>
                    <w:rPr>
                      <w:sz w:val="18"/>
                      <w:szCs w:val="18"/>
                    </w:rPr>
                    <w:t>/</w:t>
                  </w:r>
                </w:p>
              </w:tc>
            </w:tr>
            <w:tr w:rsidR="00F76A63" w14:paraId="111DDAF2" w14:textId="77777777">
              <w:trPr>
                <w:trHeight w:val="340"/>
                <w:jc w:val="center"/>
              </w:trPr>
              <w:tc>
                <w:tcPr>
                  <w:tcW w:w="582" w:type="pct"/>
                  <w:vMerge/>
                  <w:vAlign w:val="center"/>
                </w:tcPr>
                <w:p w14:paraId="6E95352E" w14:textId="77777777" w:rsidR="00F76A63" w:rsidRDefault="00F76A63">
                  <w:pPr>
                    <w:adjustRightInd w:val="0"/>
                    <w:snapToGrid w:val="0"/>
                    <w:jc w:val="center"/>
                    <w:rPr>
                      <w:sz w:val="18"/>
                      <w:szCs w:val="18"/>
                    </w:rPr>
                  </w:pPr>
                </w:p>
              </w:tc>
              <w:tc>
                <w:tcPr>
                  <w:tcW w:w="798" w:type="pct"/>
                  <w:vMerge/>
                  <w:vAlign w:val="center"/>
                </w:tcPr>
                <w:p w14:paraId="6D2606E4" w14:textId="77777777" w:rsidR="00F76A63" w:rsidRDefault="00F76A63">
                  <w:pPr>
                    <w:adjustRightInd w:val="0"/>
                    <w:snapToGrid w:val="0"/>
                    <w:jc w:val="center"/>
                    <w:rPr>
                      <w:sz w:val="18"/>
                      <w:szCs w:val="18"/>
                    </w:rPr>
                  </w:pPr>
                </w:p>
              </w:tc>
              <w:tc>
                <w:tcPr>
                  <w:tcW w:w="1350" w:type="pct"/>
                  <w:vMerge/>
                  <w:vAlign w:val="center"/>
                </w:tcPr>
                <w:p w14:paraId="66E3494B" w14:textId="77777777" w:rsidR="00F76A63" w:rsidRDefault="00F76A63">
                  <w:pPr>
                    <w:adjustRightInd w:val="0"/>
                    <w:snapToGrid w:val="0"/>
                    <w:jc w:val="center"/>
                    <w:rPr>
                      <w:sz w:val="18"/>
                      <w:szCs w:val="18"/>
                    </w:rPr>
                  </w:pPr>
                </w:p>
              </w:tc>
              <w:tc>
                <w:tcPr>
                  <w:tcW w:w="754" w:type="pct"/>
                  <w:vAlign w:val="center"/>
                </w:tcPr>
                <w:p w14:paraId="387FB4D0"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16485EFD" w14:textId="77777777" w:rsidR="00F76A63" w:rsidRDefault="00000000">
                  <w:pPr>
                    <w:adjustRightInd w:val="0"/>
                    <w:snapToGrid w:val="0"/>
                    <w:jc w:val="center"/>
                    <w:rPr>
                      <w:sz w:val="18"/>
                      <w:szCs w:val="18"/>
                    </w:rPr>
                  </w:pPr>
                  <w:r>
                    <w:rPr>
                      <w:rFonts w:eastAsia="Arial Unicode MS"/>
                      <w:sz w:val="18"/>
                      <w:szCs w:val="18"/>
                    </w:rPr>
                    <w:t>1.68</w:t>
                  </w:r>
                </w:p>
              </w:tc>
              <w:tc>
                <w:tcPr>
                  <w:tcW w:w="696" w:type="pct"/>
                  <w:vMerge/>
                  <w:vAlign w:val="center"/>
                </w:tcPr>
                <w:p w14:paraId="7170D810" w14:textId="77777777" w:rsidR="00F76A63" w:rsidRDefault="00F76A63">
                  <w:pPr>
                    <w:adjustRightInd w:val="0"/>
                    <w:snapToGrid w:val="0"/>
                    <w:jc w:val="center"/>
                    <w:rPr>
                      <w:sz w:val="18"/>
                      <w:szCs w:val="18"/>
                    </w:rPr>
                  </w:pPr>
                </w:p>
              </w:tc>
            </w:tr>
            <w:tr w:rsidR="00F76A63" w14:paraId="0F8D6E33" w14:textId="77777777">
              <w:trPr>
                <w:trHeight w:val="340"/>
                <w:jc w:val="center"/>
              </w:trPr>
              <w:tc>
                <w:tcPr>
                  <w:tcW w:w="582" w:type="pct"/>
                  <w:vMerge/>
                  <w:vAlign w:val="center"/>
                </w:tcPr>
                <w:p w14:paraId="41653694" w14:textId="77777777" w:rsidR="00F76A63" w:rsidRDefault="00F76A63">
                  <w:pPr>
                    <w:adjustRightInd w:val="0"/>
                    <w:snapToGrid w:val="0"/>
                    <w:jc w:val="center"/>
                    <w:rPr>
                      <w:sz w:val="18"/>
                      <w:szCs w:val="18"/>
                    </w:rPr>
                  </w:pPr>
                </w:p>
              </w:tc>
              <w:tc>
                <w:tcPr>
                  <w:tcW w:w="798" w:type="pct"/>
                  <w:vMerge/>
                  <w:vAlign w:val="center"/>
                </w:tcPr>
                <w:p w14:paraId="62EB9C3D" w14:textId="77777777" w:rsidR="00F76A63" w:rsidRDefault="00F76A63">
                  <w:pPr>
                    <w:adjustRightInd w:val="0"/>
                    <w:snapToGrid w:val="0"/>
                    <w:jc w:val="center"/>
                    <w:rPr>
                      <w:sz w:val="18"/>
                      <w:szCs w:val="18"/>
                    </w:rPr>
                  </w:pPr>
                </w:p>
              </w:tc>
              <w:tc>
                <w:tcPr>
                  <w:tcW w:w="1350" w:type="pct"/>
                  <w:vMerge/>
                  <w:vAlign w:val="center"/>
                </w:tcPr>
                <w:p w14:paraId="03D5AD26" w14:textId="77777777" w:rsidR="00F76A63" w:rsidRDefault="00F76A63">
                  <w:pPr>
                    <w:adjustRightInd w:val="0"/>
                    <w:snapToGrid w:val="0"/>
                    <w:jc w:val="center"/>
                    <w:rPr>
                      <w:sz w:val="18"/>
                      <w:szCs w:val="18"/>
                    </w:rPr>
                  </w:pPr>
                </w:p>
              </w:tc>
              <w:tc>
                <w:tcPr>
                  <w:tcW w:w="754" w:type="pct"/>
                  <w:vAlign w:val="center"/>
                </w:tcPr>
                <w:p w14:paraId="37604E3E"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04A66649" w14:textId="77777777" w:rsidR="00F76A63" w:rsidRDefault="00000000">
                  <w:pPr>
                    <w:adjustRightInd w:val="0"/>
                    <w:snapToGrid w:val="0"/>
                    <w:jc w:val="center"/>
                    <w:rPr>
                      <w:sz w:val="18"/>
                      <w:szCs w:val="18"/>
                    </w:rPr>
                  </w:pPr>
                  <w:r>
                    <w:rPr>
                      <w:rFonts w:eastAsia="Arial Unicode MS"/>
                      <w:sz w:val="18"/>
                      <w:szCs w:val="18"/>
                    </w:rPr>
                    <w:t>1.98</w:t>
                  </w:r>
                </w:p>
              </w:tc>
              <w:tc>
                <w:tcPr>
                  <w:tcW w:w="696" w:type="pct"/>
                  <w:vMerge/>
                  <w:vAlign w:val="center"/>
                </w:tcPr>
                <w:p w14:paraId="7EAEB61D" w14:textId="77777777" w:rsidR="00F76A63" w:rsidRDefault="00F76A63">
                  <w:pPr>
                    <w:adjustRightInd w:val="0"/>
                    <w:snapToGrid w:val="0"/>
                    <w:jc w:val="center"/>
                    <w:rPr>
                      <w:sz w:val="18"/>
                      <w:szCs w:val="18"/>
                    </w:rPr>
                  </w:pPr>
                </w:p>
              </w:tc>
            </w:tr>
            <w:tr w:rsidR="00F76A63" w14:paraId="79C8FCD4" w14:textId="77777777">
              <w:trPr>
                <w:trHeight w:val="340"/>
                <w:jc w:val="center"/>
              </w:trPr>
              <w:tc>
                <w:tcPr>
                  <w:tcW w:w="582" w:type="pct"/>
                  <w:vMerge/>
                  <w:vAlign w:val="center"/>
                </w:tcPr>
                <w:p w14:paraId="3FC95127" w14:textId="77777777" w:rsidR="00F76A63" w:rsidRDefault="00F76A63">
                  <w:pPr>
                    <w:adjustRightInd w:val="0"/>
                    <w:snapToGrid w:val="0"/>
                    <w:jc w:val="center"/>
                    <w:rPr>
                      <w:sz w:val="18"/>
                      <w:szCs w:val="18"/>
                    </w:rPr>
                  </w:pPr>
                </w:p>
              </w:tc>
              <w:tc>
                <w:tcPr>
                  <w:tcW w:w="798" w:type="pct"/>
                  <w:vMerge w:val="restart"/>
                  <w:vAlign w:val="center"/>
                </w:tcPr>
                <w:p w14:paraId="293B089B" w14:textId="77777777" w:rsidR="00F76A63" w:rsidRDefault="00000000">
                  <w:pPr>
                    <w:adjustRightInd w:val="0"/>
                    <w:snapToGrid w:val="0"/>
                    <w:jc w:val="center"/>
                    <w:rPr>
                      <w:sz w:val="18"/>
                      <w:szCs w:val="18"/>
                    </w:rPr>
                  </w:pPr>
                  <w:r>
                    <w:rPr>
                      <w:sz w:val="18"/>
                      <w:szCs w:val="18"/>
                    </w:rPr>
                    <w:t>202505</w:t>
                  </w:r>
                </w:p>
              </w:tc>
              <w:tc>
                <w:tcPr>
                  <w:tcW w:w="1350" w:type="pct"/>
                  <w:vMerge w:val="restart"/>
                  <w:vAlign w:val="center"/>
                </w:tcPr>
                <w:p w14:paraId="58C5E811" w14:textId="77777777" w:rsidR="00F76A63" w:rsidRDefault="00000000">
                  <w:pPr>
                    <w:widowControl/>
                    <w:jc w:val="center"/>
                    <w:rPr>
                      <w:rFonts w:eastAsia="Arial Unicode MS"/>
                      <w:kern w:val="0"/>
                      <w:sz w:val="18"/>
                      <w:szCs w:val="18"/>
                    </w:rPr>
                  </w:pPr>
                  <w:r>
                    <w:rPr>
                      <w:rFonts w:eastAsia="Arial Unicode MS"/>
                      <w:sz w:val="18"/>
                      <w:szCs w:val="18"/>
                    </w:rPr>
                    <w:t>294076.62</w:t>
                  </w:r>
                </w:p>
              </w:tc>
              <w:tc>
                <w:tcPr>
                  <w:tcW w:w="754" w:type="pct"/>
                  <w:vAlign w:val="center"/>
                </w:tcPr>
                <w:p w14:paraId="3B64B223"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2112BA04" w14:textId="77777777" w:rsidR="00F76A63" w:rsidRDefault="00000000">
                  <w:pPr>
                    <w:adjustRightInd w:val="0"/>
                    <w:snapToGrid w:val="0"/>
                    <w:jc w:val="center"/>
                    <w:rPr>
                      <w:sz w:val="18"/>
                      <w:szCs w:val="18"/>
                    </w:rPr>
                  </w:pPr>
                  <w:r>
                    <w:rPr>
                      <w:rFonts w:eastAsia="Arial Unicode MS"/>
                      <w:sz w:val="18"/>
                      <w:szCs w:val="18"/>
                    </w:rPr>
                    <w:t>2.31</w:t>
                  </w:r>
                </w:p>
              </w:tc>
              <w:tc>
                <w:tcPr>
                  <w:tcW w:w="696" w:type="pct"/>
                  <w:vMerge w:val="restart"/>
                  <w:vAlign w:val="center"/>
                </w:tcPr>
                <w:p w14:paraId="6676E200" w14:textId="77777777" w:rsidR="00F76A63" w:rsidRDefault="00000000">
                  <w:pPr>
                    <w:adjustRightInd w:val="0"/>
                    <w:snapToGrid w:val="0"/>
                    <w:jc w:val="center"/>
                    <w:rPr>
                      <w:sz w:val="18"/>
                      <w:szCs w:val="18"/>
                    </w:rPr>
                  </w:pPr>
                  <w:r>
                    <w:rPr>
                      <w:sz w:val="18"/>
                      <w:szCs w:val="18"/>
                    </w:rPr>
                    <w:t>/</w:t>
                  </w:r>
                </w:p>
              </w:tc>
            </w:tr>
            <w:tr w:rsidR="00F76A63" w14:paraId="75511BB3" w14:textId="77777777">
              <w:trPr>
                <w:trHeight w:val="340"/>
                <w:jc w:val="center"/>
              </w:trPr>
              <w:tc>
                <w:tcPr>
                  <w:tcW w:w="582" w:type="pct"/>
                  <w:vMerge/>
                  <w:vAlign w:val="center"/>
                </w:tcPr>
                <w:p w14:paraId="2E984142" w14:textId="77777777" w:rsidR="00F76A63" w:rsidRDefault="00F76A63">
                  <w:pPr>
                    <w:adjustRightInd w:val="0"/>
                    <w:snapToGrid w:val="0"/>
                    <w:jc w:val="center"/>
                    <w:rPr>
                      <w:sz w:val="18"/>
                      <w:szCs w:val="18"/>
                    </w:rPr>
                  </w:pPr>
                </w:p>
              </w:tc>
              <w:tc>
                <w:tcPr>
                  <w:tcW w:w="798" w:type="pct"/>
                  <w:vMerge/>
                  <w:vAlign w:val="center"/>
                </w:tcPr>
                <w:p w14:paraId="220C5EB7" w14:textId="77777777" w:rsidR="00F76A63" w:rsidRDefault="00F76A63">
                  <w:pPr>
                    <w:adjustRightInd w:val="0"/>
                    <w:snapToGrid w:val="0"/>
                    <w:jc w:val="center"/>
                    <w:rPr>
                      <w:sz w:val="18"/>
                      <w:szCs w:val="18"/>
                    </w:rPr>
                  </w:pPr>
                </w:p>
              </w:tc>
              <w:tc>
                <w:tcPr>
                  <w:tcW w:w="1350" w:type="pct"/>
                  <w:vMerge/>
                  <w:vAlign w:val="center"/>
                </w:tcPr>
                <w:p w14:paraId="4F9A4EDF" w14:textId="77777777" w:rsidR="00F76A63" w:rsidRDefault="00F76A63">
                  <w:pPr>
                    <w:adjustRightInd w:val="0"/>
                    <w:snapToGrid w:val="0"/>
                    <w:jc w:val="center"/>
                    <w:rPr>
                      <w:sz w:val="18"/>
                      <w:szCs w:val="18"/>
                    </w:rPr>
                  </w:pPr>
                </w:p>
              </w:tc>
              <w:tc>
                <w:tcPr>
                  <w:tcW w:w="754" w:type="pct"/>
                  <w:vAlign w:val="center"/>
                </w:tcPr>
                <w:p w14:paraId="6DD0AA49"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79219439" w14:textId="77777777" w:rsidR="00F76A63" w:rsidRDefault="00000000">
                  <w:pPr>
                    <w:adjustRightInd w:val="0"/>
                    <w:snapToGrid w:val="0"/>
                    <w:jc w:val="center"/>
                    <w:rPr>
                      <w:sz w:val="18"/>
                      <w:szCs w:val="18"/>
                    </w:rPr>
                  </w:pPr>
                  <w:r>
                    <w:rPr>
                      <w:rFonts w:eastAsia="Arial Unicode MS"/>
                      <w:sz w:val="18"/>
                      <w:szCs w:val="18"/>
                    </w:rPr>
                    <w:t>2.01</w:t>
                  </w:r>
                </w:p>
              </w:tc>
              <w:tc>
                <w:tcPr>
                  <w:tcW w:w="696" w:type="pct"/>
                  <w:vMerge/>
                  <w:vAlign w:val="center"/>
                </w:tcPr>
                <w:p w14:paraId="18404984" w14:textId="77777777" w:rsidR="00F76A63" w:rsidRDefault="00F76A63">
                  <w:pPr>
                    <w:adjustRightInd w:val="0"/>
                    <w:snapToGrid w:val="0"/>
                    <w:jc w:val="center"/>
                    <w:rPr>
                      <w:sz w:val="18"/>
                      <w:szCs w:val="18"/>
                    </w:rPr>
                  </w:pPr>
                </w:p>
              </w:tc>
            </w:tr>
            <w:tr w:rsidR="00F76A63" w14:paraId="18CD8E41" w14:textId="77777777">
              <w:trPr>
                <w:trHeight w:val="340"/>
                <w:jc w:val="center"/>
              </w:trPr>
              <w:tc>
                <w:tcPr>
                  <w:tcW w:w="582" w:type="pct"/>
                  <w:vMerge/>
                  <w:vAlign w:val="center"/>
                </w:tcPr>
                <w:p w14:paraId="43A09E8F" w14:textId="77777777" w:rsidR="00F76A63" w:rsidRDefault="00F76A63">
                  <w:pPr>
                    <w:adjustRightInd w:val="0"/>
                    <w:snapToGrid w:val="0"/>
                    <w:jc w:val="center"/>
                    <w:rPr>
                      <w:sz w:val="18"/>
                      <w:szCs w:val="18"/>
                    </w:rPr>
                  </w:pPr>
                </w:p>
              </w:tc>
              <w:tc>
                <w:tcPr>
                  <w:tcW w:w="798" w:type="pct"/>
                  <w:vMerge/>
                  <w:vAlign w:val="center"/>
                </w:tcPr>
                <w:p w14:paraId="03EFA999" w14:textId="77777777" w:rsidR="00F76A63" w:rsidRDefault="00F76A63">
                  <w:pPr>
                    <w:adjustRightInd w:val="0"/>
                    <w:snapToGrid w:val="0"/>
                    <w:jc w:val="center"/>
                    <w:rPr>
                      <w:sz w:val="18"/>
                      <w:szCs w:val="18"/>
                    </w:rPr>
                  </w:pPr>
                </w:p>
              </w:tc>
              <w:tc>
                <w:tcPr>
                  <w:tcW w:w="1350" w:type="pct"/>
                  <w:vMerge/>
                  <w:vAlign w:val="center"/>
                </w:tcPr>
                <w:p w14:paraId="1C49F74D" w14:textId="77777777" w:rsidR="00F76A63" w:rsidRDefault="00F76A63">
                  <w:pPr>
                    <w:adjustRightInd w:val="0"/>
                    <w:snapToGrid w:val="0"/>
                    <w:jc w:val="center"/>
                    <w:rPr>
                      <w:sz w:val="18"/>
                      <w:szCs w:val="18"/>
                    </w:rPr>
                  </w:pPr>
                </w:p>
              </w:tc>
              <w:tc>
                <w:tcPr>
                  <w:tcW w:w="754" w:type="pct"/>
                  <w:vAlign w:val="center"/>
                </w:tcPr>
                <w:p w14:paraId="5CA0F899"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266DE531" w14:textId="77777777" w:rsidR="00F76A63" w:rsidRDefault="00000000">
                  <w:pPr>
                    <w:adjustRightInd w:val="0"/>
                    <w:snapToGrid w:val="0"/>
                    <w:jc w:val="center"/>
                    <w:rPr>
                      <w:sz w:val="18"/>
                      <w:szCs w:val="18"/>
                    </w:rPr>
                  </w:pPr>
                  <w:r>
                    <w:rPr>
                      <w:rFonts w:eastAsia="Arial Unicode MS"/>
                      <w:sz w:val="18"/>
                      <w:szCs w:val="18"/>
                    </w:rPr>
                    <w:t>2.14</w:t>
                  </w:r>
                </w:p>
              </w:tc>
              <w:tc>
                <w:tcPr>
                  <w:tcW w:w="696" w:type="pct"/>
                  <w:vMerge/>
                  <w:vAlign w:val="center"/>
                </w:tcPr>
                <w:p w14:paraId="60FE59F2" w14:textId="77777777" w:rsidR="00F76A63" w:rsidRDefault="00F76A63">
                  <w:pPr>
                    <w:adjustRightInd w:val="0"/>
                    <w:snapToGrid w:val="0"/>
                    <w:jc w:val="center"/>
                    <w:rPr>
                      <w:sz w:val="18"/>
                      <w:szCs w:val="18"/>
                    </w:rPr>
                  </w:pPr>
                </w:p>
              </w:tc>
            </w:tr>
            <w:tr w:rsidR="00F76A63" w14:paraId="31795D4C" w14:textId="77777777">
              <w:trPr>
                <w:trHeight w:val="340"/>
                <w:jc w:val="center"/>
              </w:trPr>
              <w:tc>
                <w:tcPr>
                  <w:tcW w:w="582" w:type="pct"/>
                  <w:vMerge/>
                  <w:vAlign w:val="center"/>
                </w:tcPr>
                <w:p w14:paraId="20D71853" w14:textId="77777777" w:rsidR="00F76A63" w:rsidRDefault="00F76A63">
                  <w:pPr>
                    <w:adjustRightInd w:val="0"/>
                    <w:snapToGrid w:val="0"/>
                    <w:jc w:val="center"/>
                    <w:rPr>
                      <w:sz w:val="18"/>
                      <w:szCs w:val="18"/>
                    </w:rPr>
                  </w:pPr>
                </w:p>
              </w:tc>
              <w:tc>
                <w:tcPr>
                  <w:tcW w:w="798" w:type="pct"/>
                  <w:vMerge w:val="restart"/>
                  <w:vAlign w:val="center"/>
                </w:tcPr>
                <w:p w14:paraId="76CCF148" w14:textId="77777777" w:rsidR="00F76A63" w:rsidRDefault="00000000">
                  <w:pPr>
                    <w:adjustRightInd w:val="0"/>
                    <w:snapToGrid w:val="0"/>
                    <w:jc w:val="center"/>
                    <w:rPr>
                      <w:sz w:val="18"/>
                      <w:szCs w:val="18"/>
                    </w:rPr>
                  </w:pPr>
                  <w:r>
                    <w:rPr>
                      <w:sz w:val="18"/>
                      <w:szCs w:val="18"/>
                    </w:rPr>
                    <w:t>202506</w:t>
                  </w:r>
                </w:p>
              </w:tc>
              <w:tc>
                <w:tcPr>
                  <w:tcW w:w="1350" w:type="pct"/>
                  <w:vMerge w:val="restart"/>
                  <w:vAlign w:val="center"/>
                </w:tcPr>
                <w:p w14:paraId="2F513BC9" w14:textId="77777777" w:rsidR="00F76A63" w:rsidRDefault="00000000">
                  <w:pPr>
                    <w:widowControl/>
                    <w:jc w:val="center"/>
                    <w:rPr>
                      <w:rFonts w:eastAsia="Arial Unicode MS"/>
                      <w:kern w:val="0"/>
                      <w:sz w:val="18"/>
                      <w:szCs w:val="18"/>
                    </w:rPr>
                  </w:pPr>
                  <w:r>
                    <w:rPr>
                      <w:rFonts w:eastAsia="Arial Unicode MS"/>
                      <w:sz w:val="18"/>
                      <w:szCs w:val="18"/>
                    </w:rPr>
                    <w:t>300026.33</w:t>
                  </w:r>
                </w:p>
              </w:tc>
              <w:tc>
                <w:tcPr>
                  <w:tcW w:w="754" w:type="pct"/>
                  <w:vAlign w:val="center"/>
                </w:tcPr>
                <w:p w14:paraId="5A6F65C2"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7E9FB836" w14:textId="77777777" w:rsidR="00F76A63" w:rsidRDefault="00000000">
                  <w:pPr>
                    <w:adjustRightInd w:val="0"/>
                    <w:snapToGrid w:val="0"/>
                    <w:jc w:val="center"/>
                    <w:rPr>
                      <w:sz w:val="18"/>
                      <w:szCs w:val="18"/>
                    </w:rPr>
                  </w:pPr>
                  <w:r>
                    <w:rPr>
                      <w:rFonts w:eastAsia="Arial Unicode MS"/>
                      <w:sz w:val="18"/>
                      <w:szCs w:val="18"/>
                    </w:rPr>
                    <w:t>2.38</w:t>
                  </w:r>
                </w:p>
              </w:tc>
              <w:tc>
                <w:tcPr>
                  <w:tcW w:w="696" w:type="pct"/>
                  <w:vMerge w:val="restart"/>
                  <w:vAlign w:val="center"/>
                </w:tcPr>
                <w:p w14:paraId="506AEFAB" w14:textId="77777777" w:rsidR="00F76A63" w:rsidRDefault="00000000">
                  <w:pPr>
                    <w:adjustRightInd w:val="0"/>
                    <w:snapToGrid w:val="0"/>
                    <w:jc w:val="center"/>
                    <w:rPr>
                      <w:sz w:val="18"/>
                      <w:szCs w:val="18"/>
                    </w:rPr>
                  </w:pPr>
                  <w:r>
                    <w:rPr>
                      <w:sz w:val="18"/>
                      <w:szCs w:val="18"/>
                    </w:rPr>
                    <w:t>/</w:t>
                  </w:r>
                </w:p>
              </w:tc>
            </w:tr>
            <w:tr w:rsidR="00F76A63" w14:paraId="23FCA8D3" w14:textId="77777777">
              <w:trPr>
                <w:trHeight w:val="340"/>
                <w:jc w:val="center"/>
              </w:trPr>
              <w:tc>
                <w:tcPr>
                  <w:tcW w:w="582" w:type="pct"/>
                  <w:vMerge/>
                  <w:vAlign w:val="center"/>
                </w:tcPr>
                <w:p w14:paraId="17FCEED9" w14:textId="77777777" w:rsidR="00F76A63" w:rsidRDefault="00F76A63">
                  <w:pPr>
                    <w:adjustRightInd w:val="0"/>
                    <w:snapToGrid w:val="0"/>
                    <w:jc w:val="center"/>
                    <w:rPr>
                      <w:sz w:val="18"/>
                      <w:szCs w:val="18"/>
                    </w:rPr>
                  </w:pPr>
                </w:p>
              </w:tc>
              <w:tc>
                <w:tcPr>
                  <w:tcW w:w="798" w:type="pct"/>
                  <w:vMerge/>
                  <w:vAlign w:val="center"/>
                </w:tcPr>
                <w:p w14:paraId="5D63C42F" w14:textId="77777777" w:rsidR="00F76A63" w:rsidRDefault="00F76A63">
                  <w:pPr>
                    <w:adjustRightInd w:val="0"/>
                    <w:snapToGrid w:val="0"/>
                    <w:jc w:val="center"/>
                    <w:rPr>
                      <w:sz w:val="18"/>
                      <w:szCs w:val="18"/>
                    </w:rPr>
                  </w:pPr>
                </w:p>
              </w:tc>
              <w:tc>
                <w:tcPr>
                  <w:tcW w:w="1350" w:type="pct"/>
                  <w:vMerge/>
                  <w:vAlign w:val="center"/>
                </w:tcPr>
                <w:p w14:paraId="576A389B" w14:textId="77777777" w:rsidR="00F76A63" w:rsidRDefault="00F76A63">
                  <w:pPr>
                    <w:adjustRightInd w:val="0"/>
                    <w:snapToGrid w:val="0"/>
                    <w:jc w:val="center"/>
                    <w:rPr>
                      <w:sz w:val="18"/>
                      <w:szCs w:val="18"/>
                    </w:rPr>
                  </w:pPr>
                </w:p>
              </w:tc>
              <w:tc>
                <w:tcPr>
                  <w:tcW w:w="754" w:type="pct"/>
                  <w:vAlign w:val="center"/>
                </w:tcPr>
                <w:p w14:paraId="210A83FA"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2B75D65A" w14:textId="77777777" w:rsidR="00F76A63" w:rsidRDefault="00000000">
                  <w:pPr>
                    <w:adjustRightInd w:val="0"/>
                    <w:snapToGrid w:val="0"/>
                    <w:jc w:val="center"/>
                    <w:rPr>
                      <w:sz w:val="18"/>
                      <w:szCs w:val="18"/>
                    </w:rPr>
                  </w:pPr>
                  <w:r>
                    <w:rPr>
                      <w:rFonts w:eastAsia="Arial Unicode MS"/>
                      <w:sz w:val="18"/>
                      <w:szCs w:val="18"/>
                    </w:rPr>
                    <w:t>2.08</w:t>
                  </w:r>
                </w:p>
              </w:tc>
              <w:tc>
                <w:tcPr>
                  <w:tcW w:w="696" w:type="pct"/>
                  <w:vMerge/>
                  <w:vAlign w:val="center"/>
                </w:tcPr>
                <w:p w14:paraId="62AD0DF0" w14:textId="77777777" w:rsidR="00F76A63" w:rsidRDefault="00F76A63">
                  <w:pPr>
                    <w:adjustRightInd w:val="0"/>
                    <w:snapToGrid w:val="0"/>
                    <w:jc w:val="center"/>
                    <w:rPr>
                      <w:sz w:val="18"/>
                      <w:szCs w:val="18"/>
                    </w:rPr>
                  </w:pPr>
                </w:p>
              </w:tc>
            </w:tr>
            <w:tr w:rsidR="00F76A63" w14:paraId="60EA4860" w14:textId="77777777">
              <w:trPr>
                <w:trHeight w:val="340"/>
                <w:jc w:val="center"/>
              </w:trPr>
              <w:tc>
                <w:tcPr>
                  <w:tcW w:w="582" w:type="pct"/>
                  <w:vMerge/>
                  <w:vAlign w:val="center"/>
                </w:tcPr>
                <w:p w14:paraId="2EE56B10" w14:textId="77777777" w:rsidR="00F76A63" w:rsidRDefault="00F76A63">
                  <w:pPr>
                    <w:adjustRightInd w:val="0"/>
                    <w:snapToGrid w:val="0"/>
                    <w:jc w:val="center"/>
                    <w:rPr>
                      <w:sz w:val="18"/>
                      <w:szCs w:val="18"/>
                    </w:rPr>
                  </w:pPr>
                </w:p>
              </w:tc>
              <w:tc>
                <w:tcPr>
                  <w:tcW w:w="798" w:type="pct"/>
                  <w:vMerge/>
                  <w:vAlign w:val="center"/>
                </w:tcPr>
                <w:p w14:paraId="3249186F" w14:textId="77777777" w:rsidR="00F76A63" w:rsidRDefault="00F76A63">
                  <w:pPr>
                    <w:adjustRightInd w:val="0"/>
                    <w:snapToGrid w:val="0"/>
                    <w:jc w:val="center"/>
                    <w:rPr>
                      <w:sz w:val="18"/>
                      <w:szCs w:val="18"/>
                    </w:rPr>
                  </w:pPr>
                </w:p>
              </w:tc>
              <w:tc>
                <w:tcPr>
                  <w:tcW w:w="1350" w:type="pct"/>
                  <w:vMerge/>
                  <w:vAlign w:val="center"/>
                </w:tcPr>
                <w:p w14:paraId="393B2913" w14:textId="77777777" w:rsidR="00F76A63" w:rsidRDefault="00F76A63">
                  <w:pPr>
                    <w:adjustRightInd w:val="0"/>
                    <w:snapToGrid w:val="0"/>
                    <w:jc w:val="center"/>
                    <w:rPr>
                      <w:sz w:val="18"/>
                      <w:szCs w:val="18"/>
                    </w:rPr>
                  </w:pPr>
                </w:p>
              </w:tc>
              <w:tc>
                <w:tcPr>
                  <w:tcW w:w="754" w:type="pct"/>
                  <w:vAlign w:val="center"/>
                </w:tcPr>
                <w:p w14:paraId="2DA39412"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77744C07" w14:textId="77777777" w:rsidR="00F76A63" w:rsidRDefault="00000000">
                  <w:pPr>
                    <w:adjustRightInd w:val="0"/>
                    <w:snapToGrid w:val="0"/>
                    <w:jc w:val="center"/>
                    <w:rPr>
                      <w:sz w:val="18"/>
                      <w:szCs w:val="18"/>
                    </w:rPr>
                  </w:pPr>
                  <w:r>
                    <w:rPr>
                      <w:rFonts w:eastAsia="Arial Unicode MS"/>
                      <w:sz w:val="18"/>
                      <w:szCs w:val="18"/>
                    </w:rPr>
                    <w:t>2.24</w:t>
                  </w:r>
                </w:p>
              </w:tc>
              <w:tc>
                <w:tcPr>
                  <w:tcW w:w="696" w:type="pct"/>
                  <w:vMerge/>
                  <w:vAlign w:val="center"/>
                </w:tcPr>
                <w:p w14:paraId="4395B269" w14:textId="77777777" w:rsidR="00F76A63" w:rsidRDefault="00F76A63">
                  <w:pPr>
                    <w:adjustRightInd w:val="0"/>
                    <w:snapToGrid w:val="0"/>
                    <w:jc w:val="center"/>
                    <w:rPr>
                      <w:sz w:val="18"/>
                      <w:szCs w:val="18"/>
                    </w:rPr>
                  </w:pPr>
                </w:p>
              </w:tc>
            </w:tr>
            <w:tr w:rsidR="00F76A63" w14:paraId="47C1EF78" w14:textId="77777777">
              <w:trPr>
                <w:trHeight w:val="340"/>
                <w:jc w:val="center"/>
              </w:trPr>
              <w:tc>
                <w:tcPr>
                  <w:tcW w:w="582" w:type="pct"/>
                  <w:vMerge/>
                  <w:vAlign w:val="center"/>
                </w:tcPr>
                <w:p w14:paraId="16E769BD" w14:textId="77777777" w:rsidR="00F76A63" w:rsidRDefault="00F76A63">
                  <w:pPr>
                    <w:adjustRightInd w:val="0"/>
                    <w:snapToGrid w:val="0"/>
                    <w:jc w:val="center"/>
                    <w:rPr>
                      <w:sz w:val="18"/>
                      <w:szCs w:val="18"/>
                    </w:rPr>
                  </w:pPr>
                </w:p>
              </w:tc>
              <w:tc>
                <w:tcPr>
                  <w:tcW w:w="798" w:type="pct"/>
                  <w:vMerge w:val="restart"/>
                  <w:vAlign w:val="center"/>
                </w:tcPr>
                <w:p w14:paraId="46D0297D" w14:textId="77777777" w:rsidR="00F76A63" w:rsidRDefault="00000000">
                  <w:pPr>
                    <w:adjustRightInd w:val="0"/>
                    <w:snapToGrid w:val="0"/>
                    <w:jc w:val="center"/>
                    <w:rPr>
                      <w:sz w:val="18"/>
                      <w:szCs w:val="18"/>
                    </w:rPr>
                  </w:pPr>
                  <w:r>
                    <w:rPr>
                      <w:sz w:val="18"/>
                      <w:szCs w:val="18"/>
                    </w:rPr>
                    <w:t>202507</w:t>
                  </w:r>
                </w:p>
              </w:tc>
              <w:tc>
                <w:tcPr>
                  <w:tcW w:w="1350" w:type="pct"/>
                  <w:vMerge w:val="restart"/>
                  <w:vAlign w:val="center"/>
                </w:tcPr>
                <w:p w14:paraId="3AD4723C" w14:textId="77777777" w:rsidR="00F76A63" w:rsidRDefault="00000000">
                  <w:pPr>
                    <w:widowControl/>
                    <w:jc w:val="center"/>
                    <w:rPr>
                      <w:rFonts w:eastAsia="Arial Unicode MS"/>
                      <w:kern w:val="0"/>
                      <w:sz w:val="18"/>
                      <w:szCs w:val="18"/>
                    </w:rPr>
                  </w:pPr>
                  <w:r>
                    <w:rPr>
                      <w:rFonts w:eastAsia="Arial Unicode MS"/>
                      <w:sz w:val="18"/>
                      <w:szCs w:val="18"/>
                    </w:rPr>
                    <w:t>262629.34</w:t>
                  </w:r>
                </w:p>
              </w:tc>
              <w:tc>
                <w:tcPr>
                  <w:tcW w:w="754" w:type="pct"/>
                  <w:vAlign w:val="center"/>
                </w:tcPr>
                <w:p w14:paraId="032F28C4" w14:textId="77777777" w:rsidR="00F76A63" w:rsidRDefault="00000000">
                  <w:pPr>
                    <w:adjustRightInd w:val="0"/>
                    <w:snapToGrid w:val="0"/>
                    <w:jc w:val="center"/>
                    <w:rPr>
                      <w:sz w:val="18"/>
                      <w:szCs w:val="18"/>
                    </w:rPr>
                  </w:pPr>
                  <w:r>
                    <w:rPr>
                      <w:sz w:val="18"/>
                      <w:szCs w:val="18"/>
                    </w:rPr>
                    <w:t>最大值</w:t>
                  </w:r>
                </w:p>
              </w:tc>
              <w:tc>
                <w:tcPr>
                  <w:tcW w:w="820" w:type="pct"/>
                  <w:vAlign w:val="center"/>
                </w:tcPr>
                <w:p w14:paraId="433B86D3" w14:textId="77777777" w:rsidR="00F76A63" w:rsidRDefault="00000000">
                  <w:pPr>
                    <w:adjustRightInd w:val="0"/>
                    <w:snapToGrid w:val="0"/>
                    <w:jc w:val="center"/>
                    <w:rPr>
                      <w:sz w:val="18"/>
                      <w:szCs w:val="18"/>
                    </w:rPr>
                  </w:pPr>
                  <w:r>
                    <w:rPr>
                      <w:rFonts w:eastAsia="Arial Unicode MS"/>
                      <w:sz w:val="18"/>
                      <w:szCs w:val="18"/>
                    </w:rPr>
                    <w:t>2.61</w:t>
                  </w:r>
                </w:p>
              </w:tc>
              <w:tc>
                <w:tcPr>
                  <w:tcW w:w="696" w:type="pct"/>
                  <w:vMerge w:val="restart"/>
                  <w:vAlign w:val="center"/>
                </w:tcPr>
                <w:p w14:paraId="5DB01928" w14:textId="77777777" w:rsidR="00F76A63" w:rsidRDefault="00000000">
                  <w:pPr>
                    <w:adjustRightInd w:val="0"/>
                    <w:snapToGrid w:val="0"/>
                    <w:jc w:val="center"/>
                    <w:rPr>
                      <w:sz w:val="18"/>
                      <w:szCs w:val="18"/>
                    </w:rPr>
                  </w:pPr>
                  <w:r>
                    <w:rPr>
                      <w:sz w:val="18"/>
                      <w:szCs w:val="18"/>
                    </w:rPr>
                    <w:t>/</w:t>
                  </w:r>
                </w:p>
              </w:tc>
            </w:tr>
            <w:tr w:rsidR="00F76A63" w14:paraId="37F0B86A" w14:textId="77777777">
              <w:trPr>
                <w:trHeight w:val="340"/>
                <w:jc w:val="center"/>
              </w:trPr>
              <w:tc>
                <w:tcPr>
                  <w:tcW w:w="582" w:type="pct"/>
                  <w:vMerge/>
                  <w:vAlign w:val="center"/>
                </w:tcPr>
                <w:p w14:paraId="760CA38F" w14:textId="77777777" w:rsidR="00F76A63" w:rsidRDefault="00F76A63">
                  <w:pPr>
                    <w:adjustRightInd w:val="0"/>
                    <w:snapToGrid w:val="0"/>
                    <w:jc w:val="center"/>
                    <w:rPr>
                      <w:sz w:val="18"/>
                      <w:szCs w:val="18"/>
                    </w:rPr>
                  </w:pPr>
                </w:p>
              </w:tc>
              <w:tc>
                <w:tcPr>
                  <w:tcW w:w="798" w:type="pct"/>
                  <w:vMerge/>
                  <w:vAlign w:val="center"/>
                </w:tcPr>
                <w:p w14:paraId="5DEBA467" w14:textId="77777777" w:rsidR="00F76A63" w:rsidRDefault="00F76A63">
                  <w:pPr>
                    <w:adjustRightInd w:val="0"/>
                    <w:snapToGrid w:val="0"/>
                    <w:jc w:val="center"/>
                    <w:rPr>
                      <w:sz w:val="18"/>
                      <w:szCs w:val="18"/>
                    </w:rPr>
                  </w:pPr>
                </w:p>
              </w:tc>
              <w:tc>
                <w:tcPr>
                  <w:tcW w:w="1350" w:type="pct"/>
                  <w:vMerge/>
                  <w:vAlign w:val="center"/>
                </w:tcPr>
                <w:p w14:paraId="340EDC36" w14:textId="77777777" w:rsidR="00F76A63" w:rsidRDefault="00F76A63">
                  <w:pPr>
                    <w:adjustRightInd w:val="0"/>
                    <w:snapToGrid w:val="0"/>
                    <w:jc w:val="center"/>
                    <w:rPr>
                      <w:sz w:val="18"/>
                      <w:szCs w:val="18"/>
                    </w:rPr>
                  </w:pPr>
                </w:p>
              </w:tc>
              <w:tc>
                <w:tcPr>
                  <w:tcW w:w="754" w:type="pct"/>
                  <w:vAlign w:val="center"/>
                </w:tcPr>
                <w:p w14:paraId="3922C076" w14:textId="77777777" w:rsidR="00F76A63" w:rsidRDefault="00000000">
                  <w:pPr>
                    <w:adjustRightInd w:val="0"/>
                    <w:snapToGrid w:val="0"/>
                    <w:jc w:val="center"/>
                    <w:rPr>
                      <w:sz w:val="18"/>
                      <w:szCs w:val="18"/>
                    </w:rPr>
                  </w:pPr>
                  <w:r>
                    <w:rPr>
                      <w:sz w:val="18"/>
                      <w:szCs w:val="18"/>
                    </w:rPr>
                    <w:t>最小值</w:t>
                  </w:r>
                </w:p>
              </w:tc>
              <w:tc>
                <w:tcPr>
                  <w:tcW w:w="820" w:type="pct"/>
                  <w:vAlign w:val="center"/>
                </w:tcPr>
                <w:p w14:paraId="053E353B" w14:textId="77777777" w:rsidR="00F76A63" w:rsidRDefault="00000000">
                  <w:pPr>
                    <w:adjustRightInd w:val="0"/>
                    <w:snapToGrid w:val="0"/>
                    <w:jc w:val="center"/>
                    <w:rPr>
                      <w:sz w:val="18"/>
                      <w:szCs w:val="18"/>
                    </w:rPr>
                  </w:pPr>
                  <w:r>
                    <w:rPr>
                      <w:rFonts w:eastAsia="Arial Unicode MS"/>
                      <w:sz w:val="18"/>
                      <w:szCs w:val="18"/>
                    </w:rPr>
                    <w:t>1.96</w:t>
                  </w:r>
                </w:p>
              </w:tc>
              <w:tc>
                <w:tcPr>
                  <w:tcW w:w="696" w:type="pct"/>
                  <w:vMerge/>
                  <w:vAlign w:val="center"/>
                </w:tcPr>
                <w:p w14:paraId="3E8CBB0D" w14:textId="77777777" w:rsidR="00F76A63" w:rsidRDefault="00F76A63">
                  <w:pPr>
                    <w:adjustRightInd w:val="0"/>
                    <w:snapToGrid w:val="0"/>
                    <w:jc w:val="center"/>
                    <w:rPr>
                      <w:sz w:val="18"/>
                      <w:szCs w:val="18"/>
                    </w:rPr>
                  </w:pPr>
                </w:p>
              </w:tc>
            </w:tr>
            <w:tr w:rsidR="00F76A63" w14:paraId="41FEA173" w14:textId="77777777">
              <w:trPr>
                <w:trHeight w:val="340"/>
                <w:jc w:val="center"/>
              </w:trPr>
              <w:tc>
                <w:tcPr>
                  <w:tcW w:w="582" w:type="pct"/>
                  <w:vMerge/>
                  <w:vAlign w:val="center"/>
                </w:tcPr>
                <w:p w14:paraId="28DF9A6B" w14:textId="77777777" w:rsidR="00F76A63" w:rsidRDefault="00F76A63">
                  <w:pPr>
                    <w:adjustRightInd w:val="0"/>
                    <w:snapToGrid w:val="0"/>
                    <w:jc w:val="center"/>
                    <w:rPr>
                      <w:sz w:val="18"/>
                      <w:szCs w:val="18"/>
                    </w:rPr>
                  </w:pPr>
                </w:p>
              </w:tc>
              <w:tc>
                <w:tcPr>
                  <w:tcW w:w="798" w:type="pct"/>
                  <w:vMerge/>
                  <w:vAlign w:val="center"/>
                </w:tcPr>
                <w:p w14:paraId="2533C188" w14:textId="77777777" w:rsidR="00F76A63" w:rsidRDefault="00F76A63">
                  <w:pPr>
                    <w:adjustRightInd w:val="0"/>
                    <w:snapToGrid w:val="0"/>
                    <w:jc w:val="center"/>
                    <w:rPr>
                      <w:sz w:val="18"/>
                      <w:szCs w:val="18"/>
                    </w:rPr>
                  </w:pPr>
                </w:p>
              </w:tc>
              <w:tc>
                <w:tcPr>
                  <w:tcW w:w="1350" w:type="pct"/>
                  <w:vMerge/>
                  <w:vAlign w:val="center"/>
                </w:tcPr>
                <w:p w14:paraId="4D943CE5" w14:textId="77777777" w:rsidR="00F76A63" w:rsidRDefault="00F76A63">
                  <w:pPr>
                    <w:adjustRightInd w:val="0"/>
                    <w:snapToGrid w:val="0"/>
                    <w:jc w:val="center"/>
                    <w:rPr>
                      <w:sz w:val="18"/>
                      <w:szCs w:val="18"/>
                    </w:rPr>
                  </w:pPr>
                </w:p>
              </w:tc>
              <w:tc>
                <w:tcPr>
                  <w:tcW w:w="754" w:type="pct"/>
                  <w:vAlign w:val="center"/>
                </w:tcPr>
                <w:p w14:paraId="4AF109C3" w14:textId="77777777" w:rsidR="00F76A63" w:rsidRDefault="00000000">
                  <w:pPr>
                    <w:adjustRightInd w:val="0"/>
                    <w:snapToGrid w:val="0"/>
                    <w:jc w:val="center"/>
                    <w:rPr>
                      <w:sz w:val="18"/>
                      <w:szCs w:val="18"/>
                    </w:rPr>
                  </w:pPr>
                  <w:r>
                    <w:rPr>
                      <w:sz w:val="18"/>
                      <w:szCs w:val="18"/>
                    </w:rPr>
                    <w:t>平均值</w:t>
                  </w:r>
                </w:p>
              </w:tc>
              <w:tc>
                <w:tcPr>
                  <w:tcW w:w="820" w:type="pct"/>
                  <w:vAlign w:val="center"/>
                </w:tcPr>
                <w:p w14:paraId="1C105F40" w14:textId="77777777" w:rsidR="00F76A63" w:rsidRDefault="00000000">
                  <w:pPr>
                    <w:adjustRightInd w:val="0"/>
                    <w:snapToGrid w:val="0"/>
                    <w:jc w:val="center"/>
                    <w:rPr>
                      <w:sz w:val="18"/>
                      <w:szCs w:val="18"/>
                    </w:rPr>
                  </w:pPr>
                  <w:r>
                    <w:rPr>
                      <w:rFonts w:eastAsia="Arial Unicode MS"/>
                      <w:sz w:val="18"/>
                      <w:szCs w:val="18"/>
                    </w:rPr>
                    <w:t>2.32</w:t>
                  </w:r>
                </w:p>
              </w:tc>
              <w:tc>
                <w:tcPr>
                  <w:tcW w:w="696" w:type="pct"/>
                  <w:vMerge/>
                  <w:vAlign w:val="center"/>
                </w:tcPr>
                <w:p w14:paraId="3B22D2D2" w14:textId="77777777" w:rsidR="00F76A63" w:rsidRDefault="00F76A63">
                  <w:pPr>
                    <w:adjustRightInd w:val="0"/>
                    <w:snapToGrid w:val="0"/>
                    <w:jc w:val="center"/>
                    <w:rPr>
                      <w:sz w:val="18"/>
                      <w:szCs w:val="18"/>
                    </w:rPr>
                  </w:pPr>
                </w:p>
              </w:tc>
            </w:tr>
            <w:tr w:rsidR="00F76A63" w14:paraId="00DD0087" w14:textId="77777777">
              <w:trPr>
                <w:trHeight w:val="340"/>
                <w:jc w:val="center"/>
              </w:trPr>
              <w:tc>
                <w:tcPr>
                  <w:tcW w:w="582" w:type="pct"/>
                  <w:vMerge/>
                  <w:vAlign w:val="center"/>
                </w:tcPr>
                <w:p w14:paraId="6084867A" w14:textId="77777777" w:rsidR="00F76A63" w:rsidRDefault="00F76A63">
                  <w:pPr>
                    <w:adjustRightInd w:val="0"/>
                    <w:snapToGrid w:val="0"/>
                    <w:jc w:val="center"/>
                    <w:rPr>
                      <w:sz w:val="18"/>
                      <w:szCs w:val="18"/>
                    </w:rPr>
                  </w:pPr>
                </w:p>
              </w:tc>
              <w:tc>
                <w:tcPr>
                  <w:tcW w:w="798" w:type="pct"/>
                  <w:vMerge w:val="restart"/>
                  <w:vAlign w:val="center"/>
                </w:tcPr>
                <w:p w14:paraId="5727DE05" w14:textId="77777777" w:rsidR="00F76A63" w:rsidRDefault="00000000">
                  <w:pPr>
                    <w:adjustRightInd w:val="0"/>
                    <w:snapToGrid w:val="0"/>
                    <w:jc w:val="center"/>
                    <w:rPr>
                      <w:sz w:val="18"/>
                      <w:szCs w:val="18"/>
                    </w:rPr>
                  </w:pPr>
                  <w:r>
                    <w:rPr>
                      <w:rFonts w:hint="eastAsia"/>
                      <w:sz w:val="18"/>
                      <w:szCs w:val="18"/>
                    </w:rPr>
                    <w:t>202508</w:t>
                  </w:r>
                </w:p>
              </w:tc>
              <w:tc>
                <w:tcPr>
                  <w:tcW w:w="1350" w:type="pct"/>
                  <w:vMerge w:val="restart"/>
                  <w:vAlign w:val="center"/>
                </w:tcPr>
                <w:p w14:paraId="2F7D4EA4" w14:textId="77777777" w:rsidR="00F76A63" w:rsidRDefault="00000000">
                  <w:pPr>
                    <w:adjustRightInd w:val="0"/>
                    <w:snapToGrid w:val="0"/>
                    <w:jc w:val="center"/>
                    <w:rPr>
                      <w:sz w:val="18"/>
                      <w:szCs w:val="18"/>
                    </w:rPr>
                  </w:pPr>
                  <w:r>
                    <w:rPr>
                      <w:rFonts w:hint="eastAsia"/>
                      <w:sz w:val="18"/>
                      <w:szCs w:val="18"/>
                    </w:rPr>
                    <w:t>286514.28</w:t>
                  </w:r>
                </w:p>
              </w:tc>
              <w:tc>
                <w:tcPr>
                  <w:tcW w:w="754" w:type="pct"/>
                  <w:vAlign w:val="center"/>
                </w:tcPr>
                <w:p w14:paraId="753EC7D6"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048549EB" w14:textId="77777777" w:rsidR="00F76A63" w:rsidRDefault="00000000">
                  <w:pPr>
                    <w:adjustRightInd w:val="0"/>
                    <w:snapToGrid w:val="0"/>
                    <w:jc w:val="center"/>
                    <w:rPr>
                      <w:rFonts w:eastAsia="Arial Unicode MS"/>
                      <w:sz w:val="18"/>
                      <w:szCs w:val="18"/>
                    </w:rPr>
                  </w:pPr>
                  <w:r>
                    <w:rPr>
                      <w:rFonts w:hint="eastAsia"/>
                      <w:sz w:val="18"/>
                      <w:szCs w:val="18"/>
                    </w:rPr>
                    <w:t>2.41</w:t>
                  </w:r>
                </w:p>
              </w:tc>
              <w:tc>
                <w:tcPr>
                  <w:tcW w:w="696" w:type="pct"/>
                  <w:vMerge w:val="restart"/>
                  <w:vAlign w:val="center"/>
                </w:tcPr>
                <w:p w14:paraId="08716283" w14:textId="77777777" w:rsidR="00F76A63" w:rsidRDefault="00000000">
                  <w:pPr>
                    <w:adjustRightInd w:val="0"/>
                    <w:snapToGrid w:val="0"/>
                    <w:jc w:val="center"/>
                    <w:rPr>
                      <w:sz w:val="18"/>
                      <w:szCs w:val="18"/>
                    </w:rPr>
                  </w:pPr>
                  <w:r>
                    <w:rPr>
                      <w:sz w:val="18"/>
                      <w:szCs w:val="18"/>
                    </w:rPr>
                    <w:t>/</w:t>
                  </w:r>
                </w:p>
              </w:tc>
            </w:tr>
            <w:tr w:rsidR="00F76A63" w14:paraId="22BB2358" w14:textId="77777777">
              <w:trPr>
                <w:trHeight w:val="340"/>
                <w:jc w:val="center"/>
              </w:trPr>
              <w:tc>
                <w:tcPr>
                  <w:tcW w:w="582" w:type="pct"/>
                  <w:vMerge/>
                  <w:vAlign w:val="center"/>
                </w:tcPr>
                <w:p w14:paraId="3969F2B7" w14:textId="77777777" w:rsidR="00F76A63" w:rsidRDefault="00F76A63">
                  <w:pPr>
                    <w:adjustRightInd w:val="0"/>
                    <w:snapToGrid w:val="0"/>
                    <w:jc w:val="center"/>
                    <w:rPr>
                      <w:sz w:val="18"/>
                      <w:szCs w:val="18"/>
                    </w:rPr>
                  </w:pPr>
                </w:p>
              </w:tc>
              <w:tc>
                <w:tcPr>
                  <w:tcW w:w="798" w:type="pct"/>
                  <w:vMerge/>
                  <w:vAlign w:val="center"/>
                </w:tcPr>
                <w:p w14:paraId="30912EC0" w14:textId="77777777" w:rsidR="00F76A63" w:rsidRDefault="00F76A63">
                  <w:pPr>
                    <w:adjustRightInd w:val="0"/>
                    <w:snapToGrid w:val="0"/>
                    <w:jc w:val="center"/>
                    <w:rPr>
                      <w:sz w:val="18"/>
                      <w:szCs w:val="18"/>
                    </w:rPr>
                  </w:pPr>
                </w:p>
              </w:tc>
              <w:tc>
                <w:tcPr>
                  <w:tcW w:w="1350" w:type="pct"/>
                  <w:vMerge/>
                  <w:vAlign w:val="center"/>
                </w:tcPr>
                <w:p w14:paraId="4CBB39A4" w14:textId="77777777" w:rsidR="00F76A63" w:rsidRDefault="00F76A63">
                  <w:pPr>
                    <w:adjustRightInd w:val="0"/>
                    <w:snapToGrid w:val="0"/>
                    <w:jc w:val="center"/>
                    <w:rPr>
                      <w:sz w:val="18"/>
                      <w:szCs w:val="18"/>
                    </w:rPr>
                  </w:pPr>
                </w:p>
              </w:tc>
              <w:tc>
                <w:tcPr>
                  <w:tcW w:w="754" w:type="pct"/>
                  <w:vAlign w:val="center"/>
                </w:tcPr>
                <w:p w14:paraId="459F23C4"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052BF238" w14:textId="77777777" w:rsidR="00F76A63" w:rsidRDefault="00000000">
                  <w:pPr>
                    <w:adjustRightInd w:val="0"/>
                    <w:snapToGrid w:val="0"/>
                    <w:jc w:val="center"/>
                    <w:rPr>
                      <w:rFonts w:eastAsia="Arial Unicode MS"/>
                      <w:sz w:val="18"/>
                      <w:szCs w:val="18"/>
                    </w:rPr>
                  </w:pPr>
                  <w:r>
                    <w:rPr>
                      <w:rFonts w:hint="eastAsia"/>
                      <w:sz w:val="18"/>
                      <w:szCs w:val="18"/>
                    </w:rPr>
                    <w:t>2.23</w:t>
                  </w:r>
                </w:p>
              </w:tc>
              <w:tc>
                <w:tcPr>
                  <w:tcW w:w="696" w:type="pct"/>
                  <w:vMerge/>
                  <w:vAlign w:val="center"/>
                </w:tcPr>
                <w:p w14:paraId="01F803EC" w14:textId="77777777" w:rsidR="00F76A63" w:rsidRDefault="00F76A63">
                  <w:pPr>
                    <w:adjustRightInd w:val="0"/>
                    <w:snapToGrid w:val="0"/>
                    <w:jc w:val="center"/>
                    <w:rPr>
                      <w:sz w:val="18"/>
                      <w:szCs w:val="18"/>
                    </w:rPr>
                  </w:pPr>
                </w:p>
              </w:tc>
            </w:tr>
            <w:tr w:rsidR="00F76A63" w14:paraId="72969F0A" w14:textId="77777777">
              <w:trPr>
                <w:trHeight w:val="340"/>
                <w:jc w:val="center"/>
              </w:trPr>
              <w:tc>
                <w:tcPr>
                  <w:tcW w:w="582" w:type="pct"/>
                  <w:vMerge/>
                  <w:vAlign w:val="center"/>
                </w:tcPr>
                <w:p w14:paraId="004799B4" w14:textId="77777777" w:rsidR="00F76A63" w:rsidRDefault="00F76A63">
                  <w:pPr>
                    <w:adjustRightInd w:val="0"/>
                    <w:snapToGrid w:val="0"/>
                    <w:jc w:val="center"/>
                    <w:rPr>
                      <w:sz w:val="18"/>
                      <w:szCs w:val="18"/>
                    </w:rPr>
                  </w:pPr>
                </w:p>
              </w:tc>
              <w:tc>
                <w:tcPr>
                  <w:tcW w:w="798" w:type="pct"/>
                  <w:vMerge/>
                  <w:vAlign w:val="center"/>
                </w:tcPr>
                <w:p w14:paraId="55E03162" w14:textId="77777777" w:rsidR="00F76A63" w:rsidRDefault="00F76A63">
                  <w:pPr>
                    <w:adjustRightInd w:val="0"/>
                    <w:snapToGrid w:val="0"/>
                    <w:jc w:val="center"/>
                    <w:rPr>
                      <w:sz w:val="18"/>
                      <w:szCs w:val="18"/>
                    </w:rPr>
                  </w:pPr>
                </w:p>
              </w:tc>
              <w:tc>
                <w:tcPr>
                  <w:tcW w:w="1350" w:type="pct"/>
                  <w:vMerge/>
                  <w:vAlign w:val="center"/>
                </w:tcPr>
                <w:p w14:paraId="14D34FC7" w14:textId="77777777" w:rsidR="00F76A63" w:rsidRDefault="00F76A63">
                  <w:pPr>
                    <w:adjustRightInd w:val="0"/>
                    <w:snapToGrid w:val="0"/>
                    <w:jc w:val="center"/>
                    <w:rPr>
                      <w:sz w:val="18"/>
                      <w:szCs w:val="18"/>
                    </w:rPr>
                  </w:pPr>
                </w:p>
              </w:tc>
              <w:tc>
                <w:tcPr>
                  <w:tcW w:w="754" w:type="pct"/>
                  <w:vAlign w:val="center"/>
                </w:tcPr>
                <w:p w14:paraId="09A8389F"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1590EF80" w14:textId="77777777" w:rsidR="00F76A63" w:rsidRDefault="00000000">
                  <w:pPr>
                    <w:adjustRightInd w:val="0"/>
                    <w:snapToGrid w:val="0"/>
                    <w:jc w:val="center"/>
                    <w:rPr>
                      <w:rFonts w:eastAsia="Arial Unicode MS"/>
                      <w:sz w:val="18"/>
                      <w:szCs w:val="18"/>
                    </w:rPr>
                  </w:pPr>
                  <w:r>
                    <w:rPr>
                      <w:rFonts w:hint="eastAsia"/>
                      <w:sz w:val="18"/>
                      <w:szCs w:val="18"/>
                    </w:rPr>
                    <w:t>2.35</w:t>
                  </w:r>
                </w:p>
              </w:tc>
              <w:tc>
                <w:tcPr>
                  <w:tcW w:w="696" w:type="pct"/>
                  <w:vMerge/>
                  <w:vAlign w:val="center"/>
                </w:tcPr>
                <w:p w14:paraId="7440BCC4" w14:textId="77777777" w:rsidR="00F76A63" w:rsidRDefault="00F76A63">
                  <w:pPr>
                    <w:adjustRightInd w:val="0"/>
                    <w:snapToGrid w:val="0"/>
                    <w:jc w:val="center"/>
                    <w:rPr>
                      <w:sz w:val="18"/>
                      <w:szCs w:val="18"/>
                    </w:rPr>
                  </w:pPr>
                </w:p>
              </w:tc>
            </w:tr>
            <w:tr w:rsidR="00F76A63" w14:paraId="78A6A3D6" w14:textId="77777777">
              <w:trPr>
                <w:trHeight w:val="340"/>
                <w:jc w:val="center"/>
              </w:trPr>
              <w:tc>
                <w:tcPr>
                  <w:tcW w:w="582" w:type="pct"/>
                  <w:vMerge/>
                  <w:vAlign w:val="center"/>
                </w:tcPr>
                <w:p w14:paraId="17603BF2" w14:textId="77777777" w:rsidR="00F76A63" w:rsidRDefault="00F76A63">
                  <w:pPr>
                    <w:adjustRightInd w:val="0"/>
                    <w:snapToGrid w:val="0"/>
                    <w:jc w:val="center"/>
                    <w:rPr>
                      <w:sz w:val="18"/>
                      <w:szCs w:val="18"/>
                    </w:rPr>
                  </w:pPr>
                </w:p>
              </w:tc>
              <w:tc>
                <w:tcPr>
                  <w:tcW w:w="798" w:type="pct"/>
                  <w:vMerge w:val="restart"/>
                  <w:vAlign w:val="center"/>
                </w:tcPr>
                <w:p w14:paraId="61E86963" w14:textId="77777777" w:rsidR="00F76A63" w:rsidRDefault="00000000">
                  <w:pPr>
                    <w:adjustRightInd w:val="0"/>
                    <w:snapToGrid w:val="0"/>
                    <w:jc w:val="center"/>
                    <w:rPr>
                      <w:sz w:val="18"/>
                      <w:szCs w:val="18"/>
                    </w:rPr>
                  </w:pPr>
                  <w:r>
                    <w:rPr>
                      <w:rFonts w:hint="eastAsia"/>
                      <w:sz w:val="18"/>
                      <w:szCs w:val="18"/>
                    </w:rPr>
                    <w:t>202509</w:t>
                  </w:r>
                </w:p>
              </w:tc>
              <w:tc>
                <w:tcPr>
                  <w:tcW w:w="1350" w:type="pct"/>
                  <w:vMerge w:val="restart"/>
                  <w:vAlign w:val="center"/>
                </w:tcPr>
                <w:p w14:paraId="2C1FD6D4" w14:textId="77777777" w:rsidR="00F76A63" w:rsidRDefault="00000000">
                  <w:pPr>
                    <w:adjustRightInd w:val="0"/>
                    <w:snapToGrid w:val="0"/>
                    <w:jc w:val="center"/>
                    <w:rPr>
                      <w:sz w:val="18"/>
                      <w:szCs w:val="18"/>
                    </w:rPr>
                  </w:pPr>
                  <w:r>
                    <w:rPr>
                      <w:rFonts w:hint="eastAsia"/>
                      <w:sz w:val="18"/>
                      <w:szCs w:val="18"/>
                    </w:rPr>
                    <w:t>277046.88</w:t>
                  </w:r>
                </w:p>
              </w:tc>
              <w:tc>
                <w:tcPr>
                  <w:tcW w:w="754" w:type="pct"/>
                  <w:vAlign w:val="center"/>
                </w:tcPr>
                <w:p w14:paraId="5C815104"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680DE3A9" w14:textId="77777777" w:rsidR="00F76A63" w:rsidRDefault="00000000">
                  <w:pPr>
                    <w:adjustRightInd w:val="0"/>
                    <w:snapToGrid w:val="0"/>
                    <w:jc w:val="center"/>
                    <w:rPr>
                      <w:rFonts w:eastAsia="Arial Unicode MS"/>
                      <w:sz w:val="18"/>
                      <w:szCs w:val="18"/>
                    </w:rPr>
                  </w:pPr>
                  <w:r>
                    <w:rPr>
                      <w:rFonts w:hint="eastAsia"/>
                      <w:sz w:val="18"/>
                      <w:szCs w:val="18"/>
                    </w:rPr>
                    <w:t>2.44</w:t>
                  </w:r>
                </w:p>
              </w:tc>
              <w:tc>
                <w:tcPr>
                  <w:tcW w:w="696" w:type="pct"/>
                  <w:vMerge w:val="restart"/>
                  <w:vAlign w:val="center"/>
                </w:tcPr>
                <w:p w14:paraId="77E3C918" w14:textId="77777777" w:rsidR="00F76A63" w:rsidRDefault="00000000">
                  <w:pPr>
                    <w:adjustRightInd w:val="0"/>
                    <w:snapToGrid w:val="0"/>
                    <w:jc w:val="center"/>
                    <w:rPr>
                      <w:sz w:val="18"/>
                      <w:szCs w:val="18"/>
                    </w:rPr>
                  </w:pPr>
                  <w:r>
                    <w:rPr>
                      <w:sz w:val="18"/>
                      <w:szCs w:val="18"/>
                    </w:rPr>
                    <w:t>/</w:t>
                  </w:r>
                </w:p>
              </w:tc>
            </w:tr>
            <w:tr w:rsidR="00F76A63" w14:paraId="43065FAB" w14:textId="77777777">
              <w:trPr>
                <w:trHeight w:val="340"/>
                <w:jc w:val="center"/>
              </w:trPr>
              <w:tc>
                <w:tcPr>
                  <w:tcW w:w="582" w:type="pct"/>
                  <w:vMerge/>
                  <w:vAlign w:val="center"/>
                </w:tcPr>
                <w:p w14:paraId="2BE84E57" w14:textId="77777777" w:rsidR="00F76A63" w:rsidRDefault="00F76A63">
                  <w:pPr>
                    <w:adjustRightInd w:val="0"/>
                    <w:snapToGrid w:val="0"/>
                    <w:jc w:val="center"/>
                    <w:rPr>
                      <w:sz w:val="18"/>
                      <w:szCs w:val="18"/>
                    </w:rPr>
                  </w:pPr>
                </w:p>
              </w:tc>
              <w:tc>
                <w:tcPr>
                  <w:tcW w:w="798" w:type="pct"/>
                  <w:vMerge/>
                  <w:vAlign w:val="center"/>
                </w:tcPr>
                <w:p w14:paraId="0A12345A" w14:textId="77777777" w:rsidR="00F76A63" w:rsidRDefault="00F76A63">
                  <w:pPr>
                    <w:adjustRightInd w:val="0"/>
                    <w:snapToGrid w:val="0"/>
                    <w:jc w:val="center"/>
                    <w:rPr>
                      <w:sz w:val="18"/>
                      <w:szCs w:val="18"/>
                    </w:rPr>
                  </w:pPr>
                </w:p>
              </w:tc>
              <w:tc>
                <w:tcPr>
                  <w:tcW w:w="1350" w:type="pct"/>
                  <w:vMerge/>
                  <w:vAlign w:val="center"/>
                </w:tcPr>
                <w:p w14:paraId="776F24E1" w14:textId="77777777" w:rsidR="00F76A63" w:rsidRDefault="00F76A63">
                  <w:pPr>
                    <w:adjustRightInd w:val="0"/>
                    <w:snapToGrid w:val="0"/>
                    <w:jc w:val="center"/>
                    <w:rPr>
                      <w:sz w:val="18"/>
                      <w:szCs w:val="18"/>
                    </w:rPr>
                  </w:pPr>
                </w:p>
              </w:tc>
              <w:tc>
                <w:tcPr>
                  <w:tcW w:w="754" w:type="pct"/>
                  <w:vAlign w:val="center"/>
                </w:tcPr>
                <w:p w14:paraId="7DE6B0D0"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161A1D1E" w14:textId="77777777" w:rsidR="00F76A63" w:rsidRDefault="00000000">
                  <w:pPr>
                    <w:adjustRightInd w:val="0"/>
                    <w:snapToGrid w:val="0"/>
                    <w:jc w:val="center"/>
                    <w:rPr>
                      <w:rFonts w:eastAsia="Arial Unicode MS"/>
                      <w:sz w:val="18"/>
                      <w:szCs w:val="18"/>
                    </w:rPr>
                  </w:pPr>
                  <w:r>
                    <w:rPr>
                      <w:rFonts w:hint="eastAsia"/>
                      <w:sz w:val="18"/>
                      <w:szCs w:val="18"/>
                    </w:rPr>
                    <w:t>2.09</w:t>
                  </w:r>
                </w:p>
              </w:tc>
              <w:tc>
                <w:tcPr>
                  <w:tcW w:w="696" w:type="pct"/>
                  <w:vMerge/>
                  <w:vAlign w:val="center"/>
                </w:tcPr>
                <w:p w14:paraId="02DBBDA0" w14:textId="77777777" w:rsidR="00F76A63" w:rsidRDefault="00F76A63">
                  <w:pPr>
                    <w:adjustRightInd w:val="0"/>
                    <w:snapToGrid w:val="0"/>
                    <w:jc w:val="center"/>
                    <w:rPr>
                      <w:sz w:val="18"/>
                      <w:szCs w:val="18"/>
                    </w:rPr>
                  </w:pPr>
                </w:p>
              </w:tc>
            </w:tr>
            <w:tr w:rsidR="00F76A63" w14:paraId="1239C604" w14:textId="77777777">
              <w:trPr>
                <w:trHeight w:val="340"/>
                <w:jc w:val="center"/>
              </w:trPr>
              <w:tc>
                <w:tcPr>
                  <w:tcW w:w="582" w:type="pct"/>
                  <w:vMerge/>
                  <w:vAlign w:val="center"/>
                </w:tcPr>
                <w:p w14:paraId="6690F3F8" w14:textId="77777777" w:rsidR="00F76A63" w:rsidRDefault="00F76A63">
                  <w:pPr>
                    <w:adjustRightInd w:val="0"/>
                    <w:snapToGrid w:val="0"/>
                    <w:jc w:val="center"/>
                    <w:rPr>
                      <w:sz w:val="18"/>
                      <w:szCs w:val="18"/>
                    </w:rPr>
                  </w:pPr>
                </w:p>
              </w:tc>
              <w:tc>
                <w:tcPr>
                  <w:tcW w:w="798" w:type="pct"/>
                  <w:vMerge/>
                  <w:vAlign w:val="center"/>
                </w:tcPr>
                <w:p w14:paraId="61EC618F" w14:textId="77777777" w:rsidR="00F76A63" w:rsidRDefault="00F76A63">
                  <w:pPr>
                    <w:adjustRightInd w:val="0"/>
                    <w:snapToGrid w:val="0"/>
                    <w:jc w:val="center"/>
                    <w:rPr>
                      <w:sz w:val="18"/>
                      <w:szCs w:val="18"/>
                    </w:rPr>
                  </w:pPr>
                </w:p>
              </w:tc>
              <w:tc>
                <w:tcPr>
                  <w:tcW w:w="1350" w:type="pct"/>
                  <w:vMerge/>
                  <w:vAlign w:val="center"/>
                </w:tcPr>
                <w:p w14:paraId="44679D71" w14:textId="77777777" w:rsidR="00F76A63" w:rsidRDefault="00F76A63">
                  <w:pPr>
                    <w:adjustRightInd w:val="0"/>
                    <w:snapToGrid w:val="0"/>
                    <w:jc w:val="center"/>
                    <w:rPr>
                      <w:sz w:val="18"/>
                      <w:szCs w:val="18"/>
                    </w:rPr>
                  </w:pPr>
                </w:p>
              </w:tc>
              <w:tc>
                <w:tcPr>
                  <w:tcW w:w="754" w:type="pct"/>
                  <w:vAlign w:val="center"/>
                </w:tcPr>
                <w:p w14:paraId="560FC081"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35590781" w14:textId="77777777" w:rsidR="00F76A63" w:rsidRDefault="00000000">
                  <w:pPr>
                    <w:adjustRightInd w:val="0"/>
                    <w:snapToGrid w:val="0"/>
                    <w:jc w:val="center"/>
                    <w:rPr>
                      <w:rFonts w:eastAsia="Arial Unicode MS"/>
                      <w:sz w:val="18"/>
                      <w:szCs w:val="18"/>
                    </w:rPr>
                  </w:pPr>
                  <w:r>
                    <w:rPr>
                      <w:rFonts w:hint="eastAsia"/>
                      <w:sz w:val="18"/>
                      <w:szCs w:val="18"/>
                    </w:rPr>
                    <w:t>2.30</w:t>
                  </w:r>
                </w:p>
              </w:tc>
              <w:tc>
                <w:tcPr>
                  <w:tcW w:w="696" w:type="pct"/>
                  <w:vMerge/>
                  <w:vAlign w:val="center"/>
                </w:tcPr>
                <w:p w14:paraId="3381B642" w14:textId="77777777" w:rsidR="00F76A63" w:rsidRDefault="00F76A63">
                  <w:pPr>
                    <w:adjustRightInd w:val="0"/>
                    <w:snapToGrid w:val="0"/>
                    <w:jc w:val="center"/>
                    <w:rPr>
                      <w:sz w:val="18"/>
                      <w:szCs w:val="18"/>
                    </w:rPr>
                  </w:pPr>
                </w:p>
              </w:tc>
            </w:tr>
            <w:tr w:rsidR="00F76A63" w14:paraId="423323ED" w14:textId="77777777">
              <w:trPr>
                <w:trHeight w:val="340"/>
                <w:jc w:val="center"/>
              </w:trPr>
              <w:tc>
                <w:tcPr>
                  <w:tcW w:w="582" w:type="pct"/>
                  <w:vMerge/>
                  <w:vAlign w:val="center"/>
                </w:tcPr>
                <w:p w14:paraId="4D6E383B" w14:textId="77777777" w:rsidR="00F76A63" w:rsidRDefault="00F76A63">
                  <w:pPr>
                    <w:adjustRightInd w:val="0"/>
                    <w:snapToGrid w:val="0"/>
                    <w:jc w:val="center"/>
                    <w:rPr>
                      <w:sz w:val="18"/>
                      <w:szCs w:val="18"/>
                    </w:rPr>
                  </w:pPr>
                </w:p>
              </w:tc>
              <w:tc>
                <w:tcPr>
                  <w:tcW w:w="798" w:type="pct"/>
                  <w:vMerge w:val="restart"/>
                  <w:vAlign w:val="center"/>
                </w:tcPr>
                <w:p w14:paraId="187012CB" w14:textId="77777777" w:rsidR="00F76A63" w:rsidRDefault="00000000">
                  <w:pPr>
                    <w:adjustRightInd w:val="0"/>
                    <w:snapToGrid w:val="0"/>
                    <w:jc w:val="center"/>
                    <w:rPr>
                      <w:sz w:val="18"/>
                      <w:szCs w:val="18"/>
                    </w:rPr>
                  </w:pPr>
                  <w:r>
                    <w:rPr>
                      <w:rFonts w:hint="eastAsia"/>
                      <w:sz w:val="18"/>
                      <w:szCs w:val="18"/>
                    </w:rPr>
                    <w:t>202510</w:t>
                  </w:r>
                </w:p>
              </w:tc>
              <w:tc>
                <w:tcPr>
                  <w:tcW w:w="1350" w:type="pct"/>
                  <w:vMerge w:val="restart"/>
                  <w:vAlign w:val="center"/>
                </w:tcPr>
                <w:p w14:paraId="1E8DA3AE" w14:textId="77777777" w:rsidR="00F76A63" w:rsidRDefault="00000000">
                  <w:pPr>
                    <w:adjustRightInd w:val="0"/>
                    <w:snapToGrid w:val="0"/>
                    <w:jc w:val="center"/>
                    <w:rPr>
                      <w:sz w:val="18"/>
                      <w:szCs w:val="18"/>
                    </w:rPr>
                  </w:pPr>
                  <w:r>
                    <w:rPr>
                      <w:rFonts w:hint="eastAsia"/>
                      <w:sz w:val="18"/>
                      <w:szCs w:val="18"/>
                    </w:rPr>
                    <w:t>278974.66</w:t>
                  </w:r>
                </w:p>
              </w:tc>
              <w:tc>
                <w:tcPr>
                  <w:tcW w:w="754" w:type="pct"/>
                  <w:vAlign w:val="center"/>
                </w:tcPr>
                <w:p w14:paraId="3ACD0AF3"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6729E3B7" w14:textId="77777777" w:rsidR="00F76A63" w:rsidRDefault="00000000">
                  <w:pPr>
                    <w:adjustRightInd w:val="0"/>
                    <w:snapToGrid w:val="0"/>
                    <w:jc w:val="center"/>
                    <w:rPr>
                      <w:rFonts w:eastAsia="Arial Unicode MS"/>
                      <w:sz w:val="18"/>
                      <w:szCs w:val="18"/>
                    </w:rPr>
                  </w:pPr>
                  <w:r>
                    <w:rPr>
                      <w:rFonts w:hint="eastAsia"/>
                      <w:sz w:val="18"/>
                      <w:szCs w:val="18"/>
                    </w:rPr>
                    <w:t>2.42</w:t>
                  </w:r>
                </w:p>
              </w:tc>
              <w:tc>
                <w:tcPr>
                  <w:tcW w:w="696" w:type="pct"/>
                  <w:vMerge w:val="restart"/>
                  <w:vAlign w:val="center"/>
                </w:tcPr>
                <w:p w14:paraId="4D11E2B5" w14:textId="77777777" w:rsidR="00F76A63" w:rsidRDefault="00000000">
                  <w:pPr>
                    <w:adjustRightInd w:val="0"/>
                    <w:snapToGrid w:val="0"/>
                    <w:jc w:val="center"/>
                    <w:rPr>
                      <w:sz w:val="18"/>
                      <w:szCs w:val="18"/>
                    </w:rPr>
                  </w:pPr>
                  <w:r>
                    <w:rPr>
                      <w:sz w:val="18"/>
                      <w:szCs w:val="18"/>
                    </w:rPr>
                    <w:t>/</w:t>
                  </w:r>
                </w:p>
              </w:tc>
            </w:tr>
            <w:tr w:rsidR="00F76A63" w14:paraId="1A85F21D" w14:textId="77777777">
              <w:trPr>
                <w:trHeight w:val="340"/>
                <w:jc w:val="center"/>
              </w:trPr>
              <w:tc>
                <w:tcPr>
                  <w:tcW w:w="582" w:type="pct"/>
                  <w:vMerge/>
                  <w:vAlign w:val="center"/>
                </w:tcPr>
                <w:p w14:paraId="3EF623B3" w14:textId="77777777" w:rsidR="00F76A63" w:rsidRDefault="00F76A63">
                  <w:pPr>
                    <w:adjustRightInd w:val="0"/>
                    <w:snapToGrid w:val="0"/>
                    <w:jc w:val="center"/>
                    <w:rPr>
                      <w:sz w:val="18"/>
                      <w:szCs w:val="18"/>
                    </w:rPr>
                  </w:pPr>
                </w:p>
              </w:tc>
              <w:tc>
                <w:tcPr>
                  <w:tcW w:w="798" w:type="pct"/>
                  <w:vMerge/>
                  <w:vAlign w:val="center"/>
                </w:tcPr>
                <w:p w14:paraId="03C45363" w14:textId="77777777" w:rsidR="00F76A63" w:rsidRDefault="00F76A63">
                  <w:pPr>
                    <w:adjustRightInd w:val="0"/>
                    <w:snapToGrid w:val="0"/>
                    <w:jc w:val="center"/>
                    <w:rPr>
                      <w:sz w:val="18"/>
                      <w:szCs w:val="18"/>
                    </w:rPr>
                  </w:pPr>
                </w:p>
              </w:tc>
              <w:tc>
                <w:tcPr>
                  <w:tcW w:w="1350" w:type="pct"/>
                  <w:vMerge/>
                  <w:vAlign w:val="center"/>
                </w:tcPr>
                <w:p w14:paraId="1DBFA9C6" w14:textId="77777777" w:rsidR="00F76A63" w:rsidRDefault="00F76A63">
                  <w:pPr>
                    <w:adjustRightInd w:val="0"/>
                    <w:snapToGrid w:val="0"/>
                    <w:jc w:val="center"/>
                    <w:rPr>
                      <w:sz w:val="18"/>
                      <w:szCs w:val="18"/>
                    </w:rPr>
                  </w:pPr>
                </w:p>
              </w:tc>
              <w:tc>
                <w:tcPr>
                  <w:tcW w:w="754" w:type="pct"/>
                  <w:vAlign w:val="center"/>
                </w:tcPr>
                <w:p w14:paraId="5CE0DC3B"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396DB254" w14:textId="77777777" w:rsidR="00F76A63" w:rsidRDefault="00000000">
                  <w:pPr>
                    <w:adjustRightInd w:val="0"/>
                    <w:snapToGrid w:val="0"/>
                    <w:jc w:val="center"/>
                    <w:rPr>
                      <w:rFonts w:eastAsia="Arial Unicode MS"/>
                      <w:sz w:val="18"/>
                      <w:szCs w:val="18"/>
                    </w:rPr>
                  </w:pPr>
                  <w:r>
                    <w:rPr>
                      <w:rFonts w:hint="eastAsia"/>
                      <w:sz w:val="18"/>
                      <w:szCs w:val="18"/>
                    </w:rPr>
                    <w:t>1.88</w:t>
                  </w:r>
                </w:p>
              </w:tc>
              <w:tc>
                <w:tcPr>
                  <w:tcW w:w="696" w:type="pct"/>
                  <w:vMerge/>
                  <w:vAlign w:val="center"/>
                </w:tcPr>
                <w:p w14:paraId="405F13C3" w14:textId="77777777" w:rsidR="00F76A63" w:rsidRDefault="00F76A63">
                  <w:pPr>
                    <w:adjustRightInd w:val="0"/>
                    <w:snapToGrid w:val="0"/>
                    <w:jc w:val="center"/>
                    <w:rPr>
                      <w:sz w:val="18"/>
                      <w:szCs w:val="18"/>
                    </w:rPr>
                  </w:pPr>
                </w:p>
              </w:tc>
            </w:tr>
            <w:tr w:rsidR="00F76A63" w14:paraId="76CE0150" w14:textId="77777777">
              <w:trPr>
                <w:trHeight w:val="340"/>
                <w:jc w:val="center"/>
              </w:trPr>
              <w:tc>
                <w:tcPr>
                  <w:tcW w:w="582" w:type="pct"/>
                  <w:vMerge/>
                  <w:vAlign w:val="center"/>
                </w:tcPr>
                <w:p w14:paraId="1FA606F2" w14:textId="77777777" w:rsidR="00F76A63" w:rsidRDefault="00F76A63">
                  <w:pPr>
                    <w:adjustRightInd w:val="0"/>
                    <w:snapToGrid w:val="0"/>
                    <w:jc w:val="center"/>
                    <w:rPr>
                      <w:sz w:val="18"/>
                      <w:szCs w:val="18"/>
                    </w:rPr>
                  </w:pPr>
                </w:p>
              </w:tc>
              <w:tc>
                <w:tcPr>
                  <w:tcW w:w="798" w:type="pct"/>
                  <w:vMerge/>
                  <w:vAlign w:val="center"/>
                </w:tcPr>
                <w:p w14:paraId="3F654589" w14:textId="77777777" w:rsidR="00F76A63" w:rsidRDefault="00F76A63">
                  <w:pPr>
                    <w:adjustRightInd w:val="0"/>
                    <w:snapToGrid w:val="0"/>
                    <w:jc w:val="center"/>
                    <w:rPr>
                      <w:sz w:val="18"/>
                      <w:szCs w:val="18"/>
                    </w:rPr>
                  </w:pPr>
                </w:p>
              </w:tc>
              <w:tc>
                <w:tcPr>
                  <w:tcW w:w="1350" w:type="pct"/>
                  <w:vMerge/>
                  <w:vAlign w:val="center"/>
                </w:tcPr>
                <w:p w14:paraId="2B296785" w14:textId="77777777" w:rsidR="00F76A63" w:rsidRDefault="00F76A63">
                  <w:pPr>
                    <w:adjustRightInd w:val="0"/>
                    <w:snapToGrid w:val="0"/>
                    <w:jc w:val="center"/>
                    <w:rPr>
                      <w:sz w:val="18"/>
                      <w:szCs w:val="18"/>
                    </w:rPr>
                  </w:pPr>
                </w:p>
              </w:tc>
              <w:tc>
                <w:tcPr>
                  <w:tcW w:w="754" w:type="pct"/>
                  <w:vAlign w:val="center"/>
                </w:tcPr>
                <w:p w14:paraId="6E752F7B"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20AB7D8B" w14:textId="77777777" w:rsidR="00F76A63" w:rsidRDefault="00000000">
                  <w:pPr>
                    <w:adjustRightInd w:val="0"/>
                    <w:snapToGrid w:val="0"/>
                    <w:jc w:val="center"/>
                    <w:rPr>
                      <w:rFonts w:eastAsia="Arial Unicode MS"/>
                      <w:sz w:val="18"/>
                      <w:szCs w:val="18"/>
                    </w:rPr>
                  </w:pPr>
                  <w:r>
                    <w:rPr>
                      <w:rFonts w:hint="eastAsia"/>
                      <w:sz w:val="18"/>
                      <w:szCs w:val="18"/>
                    </w:rPr>
                    <w:t>2.14</w:t>
                  </w:r>
                </w:p>
              </w:tc>
              <w:tc>
                <w:tcPr>
                  <w:tcW w:w="696" w:type="pct"/>
                  <w:vMerge/>
                  <w:vAlign w:val="center"/>
                </w:tcPr>
                <w:p w14:paraId="6DFBFAB6" w14:textId="77777777" w:rsidR="00F76A63" w:rsidRDefault="00F76A63">
                  <w:pPr>
                    <w:adjustRightInd w:val="0"/>
                    <w:snapToGrid w:val="0"/>
                    <w:jc w:val="center"/>
                    <w:rPr>
                      <w:sz w:val="18"/>
                      <w:szCs w:val="18"/>
                    </w:rPr>
                  </w:pPr>
                </w:p>
              </w:tc>
            </w:tr>
            <w:tr w:rsidR="00F76A63" w14:paraId="41F35DA5" w14:textId="77777777">
              <w:trPr>
                <w:trHeight w:val="340"/>
                <w:jc w:val="center"/>
              </w:trPr>
              <w:tc>
                <w:tcPr>
                  <w:tcW w:w="582" w:type="pct"/>
                  <w:vMerge/>
                  <w:vAlign w:val="center"/>
                </w:tcPr>
                <w:p w14:paraId="58155B2A" w14:textId="77777777" w:rsidR="00F76A63" w:rsidRDefault="00F76A63">
                  <w:pPr>
                    <w:adjustRightInd w:val="0"/>
                    <w:snapToGrid w:val="0"/>
                    <w:jc w:val="center"/>
                    <w:rPr>
                      <w:sz w:val="18"/>
                      <w:szCs w:val="18"/>
                    </w:rPr>
                  </w:pPr>
                </w:p>
              </w:tc>
              <w:tc>
                <w:tcPr>
                  <w:tcW w:w="798" w:type="pct"/>
                  <w:vMerge w:val="restart"/>
                  <w:vAlign w:val="center"/>
                </w:tcPr>
                <w:p w14:paraId="465732E6" w14:textId="77777777" w:rsidR="00F76A63" w:rsidRDefault="00000000">
                  <w:pPr>
                    <w:adjustRightInd w:val="0"/>
                    <w:snapToGrid w:val="0"/>
                    <w:jc w:val="center"/>
                    <w:rPr>
                      <w:sz w:val="18"/>
                      <w:szCs w:val="18"/>
                    </w:rPr>
                  </w:pPr>
                  <w:r>
                    <w:rPr>
                      <w:rFonts w:hint="eastAsia"/>
                      <w:sz w:val="18"/>
                      <w:szCs w:val="18"/>
                    </w:rPr>
                    <w:t>202511</w:t>
                  </w:r>
                </w:p>
              </w:tc>
              <w:tc>
                <w:tcPr>
                  <w:tcW w:w="1350" w:type="pct"/>
                  <w:vMerge w:val="restart"/>
                  <w:vAlign w:val="center"/>
                </w:tcPr>
                <w:p w14:paraId="1A4876D3" w14:textId="77777777" w:rsidR="00F76A63" w:rsidRDefault="00000000">
                  <w:pPr>
                    <w:adjustRightInd w:val="0"/>
                    <w:snapToGrid w:val="0"/>
                    <w:jc w:val="center"/>
                    <w:rPr>
                      <w:sz w:val="18"/>
                      <w:szCs w:val="18"/>
                    </w:rPr>
                  </w:pPr>
                  <w:r>
                    <w:rPr>
                      <w:rFonts w:hint="eastAsia"/>
                      <w:sz w:val="18"/>
                      <w:szCs w:val="18"/>
                    </w:rPr>
                    <w:t>271919.66</w:t>
                  </w:r>
                </w:p>
              </w:tc>
              <w:tc>
                <w:tcPr>
                  <w:tcW w:w="754" w:type="pct"/>
                  <w:vAlign w:val="center"/>
                </w:tcPr>
                <w:p w14:paraId="69034B40"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3E6AC4D8" w14:textId="77777777" w:rsidR="00F76A63" w:rsidRDefault="00000000">
                  <w:pPr>
                    <w:adjustRightInd w:val="0"/>
                    <w:snapToGrid w:val="0"/>
                    <w:jc w:val="center"/>
                    <w:rPr>
                      <w:rFonts w:eastAsia="Arial Unicode MS"/>
                      <w:sz w:val="18"/>
                      <w:szCs w:val="18"/>
                    </w:rPr>
                  </w:pPr>
                  <w:r>
                    <w:rPr>
                      <w:rFonts w:hint="eastAsia"/>
                      <w:sz w:val="18"/>
                      <w:szCs w:val="18"/>
                    </w:rPr>
                    <w:t>2.08</w:t>
                  </w:r>
                </w:p>
              </w:tc>
              <w:tc>
                <w:tcPr>
                  <w:tcW w:w="696" w:type="pct"/>
                  <w:vMerge w:val="restart"/>
                  <w:vAlign w:val="center"/>
                </w:tcPr>
                <w:p w14:paraId="210E7035" w14:textId="77777777" w:rsidR="00F76A63" w:rsidRDefault="00000000">
                  <w:pPr>
                    <w:adjustRightInd w:val="0"/>
                    <w:snapToGrid w:val="0"/>
                    <w:jc w:val="center"/>
                    <w:rPr>
                      <w:sz w:val="18"/>
                      <w:szCs w:val="18"/>
                    </w:rPr>
                  </w:pPr>
                  <w:r>
                    <w:rPr>
                      <w:sz w:val="18"/>
                      <w:szCs w:val="18"/>
                    </w:rPr>
                    <w:t>/</w:t>
                  </w:r>
                </w:p>
              </w:tc>
            </w:tr>
            <w:tr w:rsidR="00F76A63" w14:paraId="0ED81778" w14:textId="77777777">
              <w:trPr>
                <w:trHeight w:val="340"/>
                <w:jc w:val="center"/>
              </w:trPr>
              <w:tc>
                <w:tcPr>
                  <w:tcW w:w="582" w:type="pct"/>
                  <w:vMerge/>
                  <w:vAlign w:val="center"/>
                </w:tcPr>
                <w:p w14:paraId="305C6C38" w14:textId="77777777" w:rsidR="00F76A63" w:rsidRDefault="00F76A63">
                  <w:pPr>
                    <w:adjustRightInd w:val="0"/>
                    <w:snapToGrid w:val="0"/>
                    <w:jc w:val="center"/>
                    <w:rPr>
                      <w:sz w:val="18"/>
                      <w:szCs w:val="18"/>
                    </w:rPr>
                  </w:pPr>
                </w:p>
              </w:tc>
              <w:tc>
                <w:tcPr>
                  <w:tcW w:w="798" w:type="pct"/>
                  <w:vMerge/>
                  <w:vAlign w:val="center"/>
                </w:tcPr>
                <w:p w14:paraId="64B05BAF" w14:textId="77777777" w:rsidR="00F76A63" w:rsidRDefault="00F76A63">
                  <w:pPr>
                    <w:adjustRightInd w:val="0"/>
                    <w:snapToGrid w:val="0"/>
                    <w:jc w:val="center"/>
                    <w:rPr>
                      <w:sz w:val="18"/>
                      <w:szCs w:val="18"/>
                    </w:rPr>
                  </w:pPr>
                </w:p>
              </w:tc>
              <w:tc>
                <w:tcPr>
                  <w:tcW w:w="1350" w:type="pct"/>
                  <w:vMerge/>
                  <w:vAlign w:val="center"/>
                </w:tcPr>
                <w:p w14:paraId="5CBA4361" w14:textId="77777777" w:rsidR="00F76A63" w:rsidRDefault="00F76A63">
                  <w:pPr>
                    <w:adjustRightInd w:val="0"/>
                    <w:snapToGrid w:val="0"/>
                    <w:jc w:val="center"/>
                    <w:rPr>
                      <w:sz w:val="18"/>
                      <w:szCs w:val="18"/>
                    </w:rPr>
                  </w:pPr>
                </w:p>
              </w:tc>
              <w:tc>
                <w:tcPr>
                  <w:tcW w:w="754" w:type="pct"/>
                  <w:vAlign w:val="center"/>
                </w:tcPr>
                <w:p w14:paraId="70B7D546"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577DD3FE" w14:textId="77777777" w:rsidR="00F76A63" w:rsidRDefault="00000000">
                  <w:pPr>
                    <w:adjustRightInd w:val="0"/>
                    <w:snapToGrid w:val="0"/>
                    <w:jc w:val="center"/>
                    <w:rPr>
                      <w:rFonts w:eastAsia="Arial Unicode MS"/>
                      <w:sz w:val="18"/>
                      <w:szCs w:val="18"/>
                    </w:rPr>
                  </w:pPr>
                  <w:r>
                    <w:rPr>
                      <w:rFonts w:hint="eastAsia"/>
                      <w:sz w:val="18"/>
                      <w:szCs w:val="18"/>
                    </w:rPr>
                    <w:t>1.78</w:t>
                  </w:r>
                </w:p>
              </w:tc>
              <w:tc>
                <w:tcPr>
                  <w:tcW w:w="696" w:type="pct"/>
                  <w:vMerge/>
                  <w:vAlign w:val="center"/>
                </w:tcPr>
                <w:p w14:paraId="113A90F7" w14:textId="77777777" w:rsidR="00F76A63" w:rsidRDefault="00F76A63">
                  <w:pPr>
                    <w:adjustRightInd w:val="0"/>
                    <w:snapToGrid w:val="0"/>
                    <w:jc w:val="center"/>
                    <w:rPr>
                      <w:sz w:val="18"/>
                      <w:szCs w:val="18"/>
                    </w:rPr>
                  </w:pPr>
                </w:p>
              </w:tc>
            </w:tr>
            <w:tr w:rsidR="00F76A63" w14:paraId="73ABB437" w14:textId="77777777">
              <w:trPr>
                <w:trHeight w:val="340"/>
                <w:jc w:val="center"/>
              </w:trPr>
              <w:tc>
                <w:tcPr>
                  <w:tcW w:w="582" w:type="pct"/>
                  <w:vMerge/>
                  <w:vAlign w:val="center"/>
                </w:tcPr>
                <w:p w14:paraId="130911DD" w14:textId="77777777" w:rsidR="00F76A63" w:rsidRDefault="00F76A63">
                  <w:pPr>
                    <w:adjustRightInd w:val="0"/>
                    <w:snapToGrid w:val="0"/>
                    <w:jc w:val="center"/>
                    <w:rPr>
                      <w:sz w:val="18"/>
                      <w:szCs w:val="18"/>
                    </w:rPr>
                  </w:pPr>
                </w:p>
              </w:tc>
              <w:tc>
                <w:tcPr>
                  <w:tcW w:w="798" w:type="pct"/>
                  <w:vMerge/>
                  <w:vAlign w:val="center"/>
                </w:tcPr>
                <w:p w14:paraId="5DFF18C2" w14:textId="77777777" w:rsidR="00F76A63" w:rsidRDefault="00F76A63">
                  <w:pPr>
                    <w:adjustRightInd w:val="0"/>
                    <w:snapToGrid w:val="0"/>
                    <w:jc w:val="center"/>
                    <w:rPr>
                      <w:sz w:val="18"/>
                      <w:szCs w:val="18"/>
                    </w:rPr>
                  </w:pPr>
                </w:p>
              </w:tc>
              <w:tc>
                <w:tcPr>
                  <w:tcW w:w="1350" w:type="pct"/>
                  <w:vMerge/>
                  <w:vAlign w:val="center"/>
                </w:tcPr>
                <w:p w14:paraId="1E65C3A3" w14:textId="77777777" w:rsidR="00F76A63" w:rsidRDefault="00F76A63">
                  <w:pPr>
                    <w:adjustRightInd w:val="0"/>
                    <w:snapToGrid w:val="0"/>
                    <w:jc w:val="center"/>
                    <w:rPr>
                      <w:sz w:val="18"/>
                      <w:szCs w:val="18"/>
                    </w:rPr>
                  </w:pPr>
                </w:p>
              </w:tc>
              <w:tc>
                <w:tcPr>
                  <w:tcW w:w="754" w:type="pct"/>
                  <w:vAlign w:val="center"/>
                </w:tcPr>
                <w:p w14:paraId="410F130A"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7A5A43C4" w14:textId="77777777" w:rsidR="00F76A63" w:rsidRDefault="00000000">
                  <w:pPr>
                    <w:adjustRightInd w:val="0"/>
                    <w:snapToGrid w:val="0"/>
                    <w:jc w:val="center"/>
                    <w:rPr>
                      <w:rFonts w:eastAsia="Arial Unicode MS"/>
                      <w:sz w:val="18"/>
                      <w:szCs w:val="18"/>
                    </w:rPr>
                  </w:pPr>
                  <w:r>
                    <w:rPr>
                      <w:rFonts w:hint="eastAsia"/>
                      <w:sz w:val="18"/>
                      <w:szCs w:val="18"/>
                    </w:rPr>
                    <w:t>1.96</w:t>
                  </w:r>
                </w:p>
              </w:tc>
              <w:tc>
                <w:tcPr>
                  <w:tcW w:w="696" w:type="pct"/>
                  <w:vMerge/>
                  <w:vAlign w:val="center"/>
                </w:tcPr>
                <w:p w14:paraId="73E6ADF0" w14:textId="77777777" w:rsidR="00F76A63" w:rsidRDefault="00F76A63">
                  <w:pPr>
                    <w:adjustRightInd w:val="0"/>
                    <w:snapToGrid w:val="0"/>
                    <w:jc w:val="center"/>
                    <w:rPr>
                      <w:sz w:val="18"/>
                      <w:szCs w:val="18"/>
                    </w:rPr>
                  </w:pPr>
                </w:p>
              </w:tc>
            </w:tr>
            <w:tr w:rsidR="00F76A63" w14:paraId="1D64C9FE" w14:textId="77777777">
              <w:trPr>
                <w:trHeight w:val="340"/>
                <w:jc w:val="center"/>
              </w:trPr>
              <w:tc>
                <w:tcPr>
                  <w:tcW w:w="582" w:type="pct"/>
                  <w:vMerge/>
                  <w:vAlign w:val="center"/>
                </w:tcPr>
                <w:p w14:paraId="1D2D8EB4" w14:textId="77777777" w:rsidR="00F76A63" w:rsidRDefault="00F76A63">
                  <w:pPr>
                    <w:adjustRightInd w:val="0"/>
                    <w:snapToGrid w:val="0"/>
                    <w:jc w:val="center"/>
                    <w:rPr>
                      <w:sz w:val="18"/>
                      <w:szCs w:val="18"/>
                    </w:rPr>
                  </w:pPr>
                </w:p>
              </w:tc>
              <w:tc>
                <w:tcPr>
                  <w:tcW w:w="798" w:type="pct"/>
                  <w:vMerge w:val="restart"/>
                  <w:vAlign w:val="center"/>
                </w:tcPr>
                <w:p w14:paraId="77C85871" w14:textId="77777777" w:rsidR="00F76A63" w:rsidRDefault="00000000">
                  <w:pPr>
                    <w:adjustRightInd w:val="0"/>
                    <w:snapToGrid w:val="0"/>
                    <w:jc w:val="center"/>
                    <w:rPr>
                      <w:sz w:val="18"/>
                      <w:szCs w:val="18"/>
                    </w:rPr>
                  </w:pPr>
                  <w:r>
                    <w:rPr>
                      <w:rFonts w:hint="eastAsia"/>
                      <w:sz w:val="18"/>
                      <w:szCs w:val="18"/>
                    </w:rPr>
                    <w:t>202512</w:t>
                  </w:r>
                </w:p>
              </w:tc>
              <w:tc>
                <w:tcPr>
                  <w:tcW w:w="1350" w:type="pct"/>
                  <w:vMerge w:val="restart"/>
                  <w:vAlign w:val="center"/>
                </w:tcPr>
                <w:p w14:paraId="5BF5EB13" w14:textId="77777777" w:rsidR="00F76A63" w:rsidRDefault="00000000">
                  <w:pPr>
                    <w:adjustRightInd w:val="0"/>
                    <w:snapToGrid w:val="0"/>
                    <w:jc w:val="center"/>
                    <w:rPr>
                      <w:sz w:val="18"/>
                      <w:szCs w:val="18"/>
                    </w:rPr>
                  </w:pPr>
                  <w:r>
                    <w:rPr>
                      <w:rFonts w:hint="eastAsia"/>
                      <w:sz w:val="18"/>
                      <w:szCs w:val="18"/>
                    </w:rPr>
                    <w:t>262904.33</w:t>
                  </w:r>
                </w:p>
              </w:tc>
              <w:tc>
                <w:tcPr>
                  <w:tcW w:w="754" w:type="pct"/>
                  <w:vAlign w:val="center"/>
                </w:tcPr>
                <w:p w14:paraId="044813D8"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5C2DF413" w14:textId="77777777" w:rsidR="00F76A63" w:rsidRDefault="00000000">
                  <w:pPr>
                    <w:adjustRightInd w:val="0"/>
                    <w:snapToGrid w:val="0"/>
                    <w:jc w:val="center"/>
                    <w:rPr>
                      <w:rFonts w:eastAsia="Arial Unicode MS"/>
                      <w:sz w:val="18"/>
                      <w:szCs w:val="18"/>
                    </w:rPr>
                  </w:pPr>
                  <w:r>
                    <w:rPr>
                      <w:rFonts w:hint="eastAsia"/>
                      <w:sz w:val="18"/>
                      <w:szCs w:val="18"/>
                    </w:rPr>
                    <w:t>2.52</w:t>
                  </w:r>
                </w:p>
              </w:tc>
              <w:tc>
                <w:tcPr>
                  <w:tcW w:w="696" w:type="pct"/>
                  <w:vMerge w:val="restart"/>
                  <w:vAlign w:val="center"/>
                </w:tcPr>
                <w:p w14:paraId="69F955FD" w14:textId="77777777" w:rsidR="00F76A63" w:rsidRDefault="00000000">
                  <w:pPr>
                    <w:adjustRightInd w:val="0"/>
                    <w:snapToGrid w:val="0"/>
                    <w:jc w:val="center"/>
                    <w:rPr>
                      <w:sz w:val="18"/>
                      <w:szCs w:val="18"/>
                    </w:rPr>
                  </w:pPr>
                  <w:r>
                    <w:rPr>
                      <w:sz w:val="18"/>
                      <w:szCs w:val="18"/>
                    </w:rPr>
                    <w:t>/</w:t>
                  </w:r>
                </w:p>
              </w:tc>
            </w:tr>
            <w:tr w:rsidR="00F76A63" w14:paraId="2EC3F824" w14:textId="77777777">
              <w:trPr>
                <w:trHeight w:val="340"/>
                <w:jc w:val="center"/>
              </w:trPr>
              <w:tc>
                <w:tcPr>
                  <w:tcW w:w="582" w:type="pct"/>
                  <w:vMerge/>
                  <w:vAlign w:val="center"/>
                </w:tcPr>
                <w:p w14:paraId="3EA5CB26" w14:textId="77777777" w:rsidR="00F76A63" w:rsidRDefault="00F76A63">
                  <w:pPr>
                    <w:adjustRightInd w:val="0"/>
                    <w:snapToGrid w:val="0"/>
                    <w:jc w:val="center"/>
                    <w:rPr>
                      <w:sz w:val="18"/>
                      <w:szCs w:val="18"/>
                    </w:rPr>
                  </w:pPr>
                </w:p>
              </w:tc>
              <w:tc>
                <w:tcPr>
                  <w:tcW w:w="798" w:type="pct"/>
                  <w:vMerge/>
                  <w:vAlign w:val="center"/>
                </w:tcPr>
                <w:p w14:paraId="796F3B48" w14:textId="77777777" w:rsidR="00F76A63" w:rsidRDefault="00F76A63">
                  <w:pPr>
                    <w:adjustRightInd w:val="0"/>
                    <w:snapToGrid w:val="0"/>
                    <w:jc w:val="center"/>
                    <w:rPr>
                      <w:sz w:val="18"/>
                      <w:szCs w:val="18"/>
                    </w:rPr>
                  </w:pPr>
                </w:p>
              </w:tc>
              <w:tc>
                <w:tcPr>
                  <w:tcW w:w="1350" w:type="pct"/>
                  <w:vMerge/>
                  <w:vAlign w:val="center"/>
                </w:tcPr>
                <w:p w14:paraId="3B422820" w14:textId="77777777" w:rsidR="00F76A63" w:rsidRDefault="00F76A63">
                  <w:pPr>
                    <w:adjustRightInd w:val="0"/>
                    <w:snapToGrid w:val="0"/>
                    <w:jc w:val="center"/>
                    <w:rPr>
                      <w:sz w:val="18"/>
                      <w:szCs w:val="18"/>
                    </w:rPr>
                  </w:pPr>
                </w:p>
              </w:tc>
              <w:tc>
                <w:tcPr>
                  <w:tcW w:w="754" w:type="pct"/>
                  <w:vAlign w:val="center"/>
                </w:tcPr>
                <w:p w14:paraId="740A2DE9"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45903F20" w14:textId="77777777" w:rsidR="00F76A63" w:rsidRDefault="00000000">
                  <w:pPr>
                    <w:adjustRightInd w:val="0"/>
                    <w:snapToGrid w:val="0"/>
                    <w:jc w:val="center"/>
                    <w:rPr>
                      <w:rFonts w:eastAsia="Arial Unicode MS"/>
                      <w:sz w:val="18"/>
                      <w:szCs w:val="18"/>
                    </w:rPr>
                  </w:pPr>
                  <w:r>
                    <w:rPr>
                      <w:rFonts w:hint="eastAsia"/>
                      <w:sz w:val="18"/>
                      <w:szCs w:val="18"/>
                    </w:rPr>
                    <w:t>1.81</w:t>
                  </w:r>
                </w:p>
              </w:tc>
              <w:tc>
                <w:tcPr>
                  <w:tcW w:w="696" w:type="pct"/>
                  <w:vMerge/>
                  <w:vAlign w:val="center"/>
                </w:tcPr>
                <w:p w14:paraId="49D295A7" w14:textId="77777777" w:rsidR="00F76A63" w:rsidRDefault="00F76A63">
                  <w:pPr>
                    <w:adjustRightInd w:val="0"/>
                    <w:snapToGrid w:val="0"/>
                    <w:jc w:val="center"/>
                    <w:rPr>
                      <w:sz w:val="18"/>
                      <w:szCs w:val="18"/>
                    </w:rPr>
                  </w:pPr>
                </w:p>
              </w:tc>
            </w:tr>
            <w:tr w:rsidR="00F76A63" w14:paraId="18D3FBAF" w14:textId="77777777">
              <w:trPr>
                <w:trHeight w:val="340"/>
                <w:jc w:val="center"/>
              </w:trPr>
              <w:tc>
                <w:tcPr>
                  <w:tcW w:w="582" w:type="pct"/>
                  <w:vMerge/>
                  <w:vAlign w:val="center"/>
                </w:tcPr>
                <w:p w14:paraId="2F135A11" w14:textId="77777777" w:rsidR="00F76A63" w:rsidRDefault="00F76A63">
                  <w:pPr>
                    <w:adjustRightInd w:val="0"/>
                    <w:snapToGrid w:val="0"/>
                    <w:jc w:val="center"/>
                    <w:rPr>
                      <w:sz w:val="18"/>
                      <w:szCs w:val="18"/>
                    </w:rPr>
                  </w:pPr>
                </w:p>
              </w:tc>
              <w:tc>
                <w:tcPr>
                  <w:tcW w:w="798" w:type="pct"/>
                  <w:vMerge/>
                  <w:vAlign w:val="center"/>
                </w:tcPr>
                <w:p w14:paraId="1473019D" w14:textId="77777777" w:rsidR="00F76A63" w:rsidRDefault="00F76A63">
                  <w:pPr>
                    <w:adjustRightInd w:val="0"/>
                    <w:snapToGrid w:val="0"/>
                    <w:jc w:val="center"/>
                    <w:rPr>
                      <w:sz w:val="18"/>
                      <w:szCs w:val="18"/>
                    </w:rPr>
                  </w:pPr>
                </w:p>
              </w:tc>
              <w:tc>
                <w:tcPr>
                  <w:tcW w:w="1350" w:type="pct"/>
                  <w:vMerge/>
                  <w:vAlign w:val="center"/>
                </w:tcPr>
                <w:p w14:paraId="1B11A9CC" w14:textId="77777777" w:rsidR="00F76A63" w:rsidRDefault="00F76A63">
                  <w:pPr>
                    <w:adjustRightInd w:val="0"/>
                    <w:snapToGrid w:val="0"/>
                    <w:jc w:val="center"/>
                    <w:rPr>
                      <w:sz w:val="18"/>
                      <w:szCs w:val="18"/>
                    </w:rPr>
                  </w:pPr>
                </w:p>
              </w:tc>
              <w:tc>
                <w:tcPr>
                  <w:tcW w:w="754" w:type="pct"/>
                  <w:vAlign w:val="center"/>
                </w:tcPr>
                <w:p w14:paraId="0FABAEB6"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485A270D" w14:textId="77777777" w:rsidR="00F76A63" w:rsidRDefault="00000000">
                  <w:pPr>
                    <w:adjustRightInd w:val="0"/>
                    <w:snapToGrid w:val="0"/>
                    <w:jc w:val="center"/>
                    <w:rPr>
                      <w:rFonts w:eastAsia="Arial Unicode MS"/>
                      <w:sz w:val="18"/>
                      <w:szCs w:val="18"/>
                    </w:rPr>
                  </w:pPr>
                  <w:r>
                    <w:rPr>
                      <w:rFonts w:hint="eastAsia"/>
                      <w:sz w:val="18"/>
                      <w:szCs w:val="18"/>
                    </w:rPr>
                    <w:t>2.26</w:t>
                  </w:r>
                </w:p>
              </w:tc>
              <w:tc>
                <w:tcPr>
                  <w:tcW w:w="696" w:type="pct"/>
                  <w:vMerge/>
                  <w:vAlign w:val="center"/>
                </w:tcPr>
                <w:p w14:paraId="4598FAA2" w14:textId="77777777" w:rsidR="00F76A63" w:rsidRDefault="00F76A63">
                  <w:pPr>
                    <w:adjustRightInd w:val="0"/>
                    <w:snapToGrid w:val="0"/>
                    <w:jc w:val="center"/>
                    <w:rPr>
                      <w:sz w:val="18"/>
                      <w:szCs w:val="18"/>
                    </w:rPr>
                  </w:pPr>
                </w:p>
              </w:tc>
            </w:tr>
            <w:tr w:rsidR="00F76A63" w14:paraId="2C10C3B3" w14:textId="77777777">
              <w:trPr>
                <w:trHeight w:val="340"/>
                <w:jc w:val="center"/>
              </w:trPr>
              <w:tc>
                <w:tcPr>
                  <w:tcW w:w="582" w:type="pct"/>
                  <w:vMerge/>
                  <w:vAlign w:val="center"/>
                </w:tcPr>
                <w:p w14:paraId="176B3275" w14:textId="77777777" w:rsidR="00F76A63" w:rsidRDefault="00F76A63">
                  <w:pPr>
                    <w:adjustRightInd w:val="0"/>
                    <w:snapToGrid w:val="0"/>
                    <w:jc w:val="center"/>
                    <w:rPr>
                      <w:sz w:val="18"/>
                      <w:szCs w:val="18"/>
                    </w:rPr>
                  </w:pPr>
                </w:p>
              </w:tc>
              <w:tc>
                <w:tcPr>
                  <w:tcW w:w="798" w:type="pct"/>
                  <w:vMerge w:val="restart"/>
                  <w:vAlign w:val="center"/>
                </w:tcPr>
                <w:p w14:paraId="067B69BB" w14:textId="77777777" w:rsidR="00F76A63" w:rsidRDefault="00000000">
                  <w:pPr>
                    <w:adjustRightInd w:val="0"/>
                    <w:snapToGrid w:val="0"/>
                    <w:jc w:val="center"/>
                    <w:rPr>
                      <w:sz w:val="18"/>
                      <w:szCs w:val="18"/>
                    </w:rPr>
                  </w:pPr>
                  <w:r>
                    <w:rPr>
                      <w:rFonts w:hint="eastAsia"/>
                      <w:sz w:val="18"/>
                      <w:szCs w:val="18"/>
                    </w:rPr>
                    <w:t>202601</w:t>
                  </w:r>
                </w:p>
              </w:tc>
              <w:tc>
                <w:tcPr>
                  <w:tcW w:w="1350" w:type="pct"/>
                  <w:vMerge w:val="restart"/>
                  <w:vAlign w:val="center"/>
                </w:tcPr>
                <w:p w14:paraId="4793D964" w14:textId="77777777" w:rsidR="00F76A63" w:rsidRDefault="00000000">
                  <w:pPr>
                    <w:adjustRightInd w:val="0"/>
                    <w:snapToGrid w:val="0"/>
                    <w:jc w:val="center"/>
                    <w:rPr>
                      <w:sz w:val="18"/>
                      <w:szCs w:val="18"/>
                    </w:rPr>
                  </w:pPr>
                  <w:r>
                    <w:rPr>
                      <w:rFonts w:hint="eastAsia"/>
                      <w:sz w:val="18"/>
                      <w:szCs w:val="18"/>
                    </w:rPr>
                    <w:t>243796.40</w:t>
                  </w:r>
                </w:p>
              </w:tc>
              <w:tc>
                <w:tcPr>
                  <w:tcW w:w="754" w:type="pct"/>
                  <w:vAlign w:val="center"/>
                </w:tcPr>
                <w:p w14:paraId="0E079C7C"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550AFBA4" w14:textId="77777777" w:rsidR="00F76A63" w:rsidRDefault="00000000">
                  <w:pPr>
                    <w:adjustRightInd w:val="0"/>
                    <w:snapToGrid w:val="0"/>
                    <w:jc w:val="center"/>
                    <w:rPr>
                      <w:rFonts w:eastAsia="Arial Unicode MS"/>
                      <w:sz w:val="18"/>
                      <w:szCs w:val="18"/>
                    </w:rPr>
                  </w:pPr>
                  <w:r>
                    <w:rPr>
                      <w:rFonts w:hint="eastAsia"/>
                      <w:sz w:val="18"/>
                      <w:szCs w:val="18"/>
                    </w:rPr>
                    <w:t>2.42</w:t>
                  </w:r>
                </w:p>
              </w:tc>
              <w:tc>
                <w:tcPr>
                  <w:tcW w:w="696" w:type="pct"/>
                  <w:vMerge w:val="restart"/>
                  <w:vAlign w:val="center"/>
                </w:tcPr>
                <w:p w14:paraId="21649E11" w14:textId="77777777" w:rsidR="00F76A63" w:rsidRDefault="00000000">
                  <w:pPr>
                    <w:adjustRightInd w:val="0"/>
                    <w:snapToGrid w:val="0"/>
                    <w:jc w:val="center"/>
                    <w:rPr>
                      <w:sz w:val="18"/>
                      <w:szCs w:val="18"/>
                    </w:rPr>
                  </w:pPr>
                  <w:r>
                    <w:rPr>
                      <w:sz w:val="18"/>
                      <w:szCs w:val="18"/>
                    </w:rPr>
                    <w:t>/</w:t>
                  </w:r>
                </w:p>
              </w:tc>
            </w:tr>
            <w:tr w:rsidR="00F76A63" w14:paraId="407A2B45" w14:textId="77777777">
              <w:trPr>
                <w:trHeight w:val="340"/>
                <w:jc w:val="center"/>
              </w:trPr>
              <w:tc>
                <w:tcPr>
                  <w:tcW w:w="582" w:type="pct"/>
                  <w:vMerge/>
                  <w:vAlign w:val="center"/>
                </w:tcPr>
                <w:p w14:paraId="1A30757C" w14:textId="77777777" w:rsidR="00F76A63" w:rsidRDefault="00F76A63">
                  <w:pPr>
                    <w:adjustRightInd w:val="0"/>
                    <w:snapToGrid w:val="0"/>
                    <w:jc w:val="center"/>
                    <w:rPr>
                      <w:sz w:val="18"/>
                      <w:szCs w:val="18"/>
                    </w:rPr>
                  </w:pPr>
                </w:p>
              </w:tc>
              <w:tc>
                <w:tcPr>
                  <w:tcW w:w="798" w:type="pct"/>
                  <w:vMerge/>
                  <w:vAlign w:val="center"/>
                </w:tcPr>
                <w:p w14:paraId="5017C626" w14:textId="77777777" w:rsidR="00F76A63" w:rsidRDefault="00F76A63">
                  <w:pPr>
                    <w:adjustRightInd w:val="0"/>
                    <w:snapToGrid w:val="0"/>
                    <w:jc w:val="center"/>
                    <w:rPr>
                      <w:sz w:val="18"/>
                      <w:szCs w:val="18"/>
                    </w:rPr>
                  </w:pPr>
                </w:p>
              </w:tc>
              <w:tc>
                <w:tcPr>
                  <w:tcW w:w="1350" w:type="pct"/>
                  <w:vMerge/>
                  <w:vAlign w:val="center"/>
                </w:tcPr>
                <w:p w14:paraId="3B19912C" w14:textId="77777777" w:rsidR="00F76A63" w:rsidRDefault="00F76A63">
                  <w:pPr>
                    <w:adjustRightInd w:val="0"/>
                    <w:snapToGrid w:val="0"/>
                    <w:jc w:val="center"/>
                    <w:rPr>
                      <w:sz w:val="18"/>
                      <w:szCs w:val="18"/>
                    </w:rPr>
                  </w:pPr>
                </w:p>
              </w:tc>
              <w:tc>
                <w:tcPr>
                  <w:tcW w:w="754" w:type="pct"/>
                  <w:vAlign w:val="center"/>
                </w:tcPr>
                <w:p w14:paraId="5EE31801"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491CC218" w14:textId="77777777" w:rsidR="00F76A63" w:rsidRDefault="00000000">
                  <w:pPr>
                    <w:adjustRightInd w:val="0"/>
                    <w:snapToGrid w:val="0"/>
                    <w:jc w:val="center"/>
                    <w:rPr>
                      <w:rFonts w:eastAsia="Arial Unicode MS"/>
                      <w:sz w:val="18"/>
                      <w:szCs w:val="18"/>
                    </w:rPr>
                  </w:pPr>
                  <w:r>
                    <w:rPr>
                      <w:rFonts w:hint="eastAsia"/>
                      <w:sz w:val="18"/>
                      <w:szCs w:val="18"/>
                    </w:rPr>
                    <w:t>1.14</w:t>
                  </w:r>
                </w:p>
              </w:tc>
              <w:tc>
                <w:tcPr>
                  <w:tcW w:w="696" w:type="pct"/>
                  <w:vMerge/>
                  <w:vAlign w:val="center"/>
                </w:tcPr>
                <w:p w14:paraId="6F4EE37D" w14:textId="77777777" w:rsidR="00F76A63" w:rsidRDefault="00F76A63">
                  <w:pPr>
                    <w:adjustRightInd w:val="0"/>
                    <w:snapToGrid w:val="0"/>
                    <w:jc w:val="center"/>
                    <w:rPr>
                      <w:sz w:val="18"/>
                      <w:szCs w:val="18"/>
                    </w:rPr>
                  </w:pPr>
                </w:p>
              </w:tc>
            </w:tr>
            <w:tr w:rsidR="00F76A63" w14:paraId="0C2954FB" w14:textId="77777777">
              <w:trPr>
                <w:trHeight w:val="340"/>
                <w:jc w:val="center"/>
              </w:trPr>
              <w:tc>
                <w:tcPr>
                  <w:tcW w:w="582" w:type="pct"/>
                  <w:vMerge/>
                  <w:vAlign w:val="center"/>
                </w:tcPr>
                <w:p w14:paraId="29DACF75" w14:textId="77777777" w:rsidR="00F76A63" w:rsidRDefault="00F76A63">
                  <w:pPr>
                    <w:adjustRightInd w:val="0"/>
                    <w:snapToGrid w:val="0"/>
                    <w:jc w:val="center"/>
                    <w:rPr>
                      <w:sz w:val="18"/>
                      <w:szCs w:val="18"/>
                    </w:rPr>
                  </w:pPr>
                </w:p>
              </w:tc>
              <w:tc>
                <w:tcPr>
                  <w:tcW w:w="798" w:type="pct"/>
                  <w:vMerge/>
                  <w:vAlign w:val="center"/>
                </w:tcPr>
                <w:p w14:paraId="4A5589BB" w14:textId="77777777" w:rsidR="00F76A63" w:rsidRDefault="00F76A63">
                  <w:pPr>
                    <w:adjustRightInd w:val="0"/>
                    <w:snapToGrid w:val="0"/>
                    <w:jc w:val="center"/>
                    <w:rPr>
                      <w:sz w:val="18"/>
                      <w:szCs w:val="18"/>
                    </w:rPr>
                  </w:pPr>
                </w:p>
              </w:tc>
              <w:tc>
                <w:tcPr>
                  <w:tcW w:w="1350" w:type="pct"/>
                  <w:vMerge/>
                  <w:vAlign w:val="center"/>
                </w:tcPr>
                <w:p w14:paraId="4E9196AF" w14:textId="77777777" w:rsidR="00F76A63" w:rsidRDefault="00F76A63">
                  <w:pPr>
                    <w:adjustRightInd w:val="0"/>
                    <w:snapToGrid w:val="0"/>
                    <w:jc w:val="center"/>
                    <w:rPr>
                      <w:sz w:val="18"/>
                      <w:szCs w:val="18"/>
                    </w:rPr>
                  </w:pPr>
                </w:p>
              </w:tc>
              <w:tc>
                <w:tcPr>
                  <w:tcW w:w="754" w:type="pct"/>
                  <w:vAlign w:val="center"/>
                </w:tcPr>
                <w:p w14:paraId="424EA9EA"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5ED956E3" w14:textId="77777777" w:rsidR="00F76A63" w:rsidRDefault="00000000">
                  <w:pPr>
                    <w:adjustRightInd w:val="0"/>
                    <w:snapToGrid w:val="0"/>
                    <w:jc w:val="center"/>
                    <w:rPr>
                      <w:rFonts w:eastAsia="Arial Unicode MS"/>
                      <w:sz w:val="18"/>
                      <w:szCs w:val="18"/>
                    </w:rPr>
                  </w:pPr>
                  <w:r>
                    <w:rPr>
                      <w:rFonts w:hint="eastAsia"/>
                      <w:sz w:val="18"/>
                      <w:szCs w:val="18"/>
                    </w:rPr>
                    <w:t>2.04</w:t>
                  </w:r>
                </w:p>
              </w:tc>
              <w:tc>
                <w:tcPr>
                  <w:tcW w:w="696" w:type="pct"/>
                  <w:vMerge/>
                  <w:vAlign w:val="center"/>
                </w:tcPr>
                <w:p w14:paraId="52E73D59" w14:textId="77777777" w:rsidR="00F76A63" w:rsidRDefault="00F76A63">
                  <w:pPr>
                    <w:adjustRightInd w:val="0"/>
                    <w:snapToGrid w:val="0"/>
                    <w:jc w:val="center"/>
                    <w:rPr>
                      <w:sz w:val="18"/>
                      <w:szCs w:val="18"/>
                    </w:rPr>
                  </w:pPr>
                </w:p>
              </w:tc>
            </w:tr>
            <w:tr w:rsidR="00F76A63" w14:paraId="526B3E65" w14:textId="77777777">
              <w:trPr>
                <w:trHeight w:val="340"/>
                <w:jc w:val="center"/>
              </w:trPr>
              <w:tc>
                <w:tcPr>
                  <w:tcW w:w="582" w:type="pct"/>
                  <w:vMerge/>
                  <w:vAlign w:val="center"/>
                </w:tcPr>
                <w:p w14:paraId="28ADC5E6" w14:textId="77777777" w:rsidR="00F76A63" w:rsidRDefault="00F76A63">
                  <w:pPr>
                    <w:adjustRightInd w:val="0"/>
                    <w:snapToGrid w:val="0"/>
                    <w:jc w:val="center"/>
                    <w:rPr>
                      <w:sz w:val="18"/>
                      <w:szCs w:val="18"/>
                    </w:rPr>
                  </w:pPr>
                </w:p>
              </w:tc>
              <w:tc>
                <w:tcPr>
                  <w:tcW w:w="798" w:type="pct"/>
                  <w:vMerge w:val="restart"/>
                  <w:vAlign w:val="center"/>
                </w:tcPr>
                <w:p w14:paraId="2D8DE28C" w14:textId="77777777" w:rsidR="00F76A63" w:rsidRDefault="00000000">
                  <w:pPr>
                    <w:adjustRightInd w:val="0"/>
                    <w:snapToGrid w:val="0"/>
                    <w:jc w:val="center"/>
                    <w:rPr>
                      <w:sz w:val="18"/>
                      <w:szCs w:val="18"/>
                    </w:rPr>
                  </w:pPr>
                  <w:r>
                    <w:rPr>
                      <w:rFonts w:hint="eastAsia"/>
                      <w:sz w:val="18"/>
                      <w:szCs w:val="18"/>
                    </w:rPr>
                    <w:t>202602</w:t>
                  </w:r>
                </w:p>
              </w:tc>
              <w:tc>
                <w:tcPr>
                  <w:tcW w:w="1350" w:type="pct"/>
                  <w:vMerge w:val="restart"/>
                  <w:vAlign w:val="center"/>
                </w:tcPr>
                <w:p w14:paraId="3738CE1B" w14:textId="77777777" w:rsidR="00F76A63" w:rsidRDefault="00000000">
                  <w:pPr>
                    <w:adjustRightInd w:val="0"/>
                    <w:snapToGrid w:val="0"/>
                    <w:jc w:val="center"/>
                    <w:rPr>
                      <w:sz w:val="18"/>
                      <w:szCs w:val="18"/>
                    </w:rPr>
                  </w:pPr>
                  <w:r>
                    <w:rPr>
                      <w:rFonts w:hint="eastAsia"/>
                      <w:sz w:val="18"/>
                      <w:szCs w:val="18"/>
                    </w:rPr>
                    <w:t>40403.78</w:t>
                  </w:r>
                </w:p>
              </w:tc>
              <w:tc>
                <w:tcPr>
                  <w:tcW w:w="754" w:type="pct"/>
                  <w:vAlign w:val="center"/>
                </w:tcPr>
                <w:p w14:paraId="1947B2F5"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6EA92FFA" w14:textId="77777777" w:rsidR="00F76A63" w:rsidRDefault="00000000">
                  <w:pPr>
                    <w:adjustRightInd w:val="0"/>
                    <w:snapToGrid w:val="0"/>
                    <w:jc w:val="center"/>
                    <w:rPr>
                      <w:rFonts w:eastAsia="Arial Unicode MS"/>
                      <w:sz w:val="18"/>
                      <w:szCs w:val="18"/>
                    </w:rPr>
                  </w:pPr>
                  <w:r>
                    <w:rPr>
                      <w:rFonts w:hint="eastAsia"/>
                      <w:sz w:val="18"/>
                      <w:szCs w:val="18"/>
                    </w:rPr>
                    <w:t>1.79</w:t>
                  </w:r>
                </w:p>
              </w:tc>
              <w:tc>
                <w:tcPr>
                  <w:tcW w:w="696" w:type="pct"/>
                  <w:vMerge w:val="restart"/>
                  <w:vAlign w:val="center"/>
                </w:tcPr>
                <w:p w14:paraId="6BA274E4" w14:textId="77777777" w:rsidR="00F76A63" w:rsidRDefault="00000000">
                  <w:pPr>
                    <w:adjustRightInd w:val="0"/>
                    <w:snapToGrid w:val="0"/>
                    <w:jc w:val="center"/>
                    <w:rPr>
                      <w:sz w:val="18"/>
                      <w:szCs w:val="18"/>
                    </w:rPr>
                  </w:pPr>
                  <w:r>
                    <w:rPr>
                      <w:sz w:val="18"/>
                      <w:szCs w:val="18"/>
                    </w:rPr>
                    <w:t>/</w:t>
                  </w:r>
                </w:p>
              </w:tc>
            </w:tr>
            <w:tr w:rsidR="00F76A63" w14:paraId="69A0CC3B" w14:textId="77777777">
              <w:trPr>
                <w:trHeight w:val="340"/>
                <w:jc w:val="center"/>
              </w:trPr>
              <w:tc>
                <w:tcPr>
                  <w:tcW w:w="582" w:type="pct"/>
                  <w:vMerge/>
                  <w:vAlign w:val="center"/>
                </w:tcPr>
                <w:p w14:paraId="7745945C" w14:textId="77777777" w:rsidR="00F76A63" w:rsidRDefault="00F76A63">
                  <w:pPr>
                    <w:adjustRightInd w:val="0"/>
                    <w:snapToGrid w:val="0"/>
                    <w:jc w:val="center"/>
                    <w:rPr>
                      <w:sz w:val="18"/>
                      <w:szCs w:val="18"/>
                    </w:rPr>
                  </w:pPr>
                </w:p>
              </w:tc>
              <w:tc>
                <w:tcPr>
                  <w:tcW w:w="798" w:type="pct"/>
                  <w:vMerge/>
                  <w:vAlign w:val="center"/>
                </w:tcPr>
                <w:p w14:paraId="43598E4C" w14:textId="77777777" w:rsidR="00F76A63" w:rsidRDefault="00F76A63">
                  <w:pPr>
                    <w:adjustRightInd w:val="0"/>
                    <w:snapToGrid w:val="0"/>
                    <w:jc w:val="center"/>
                    <w:rPr>
                      <w:sz w:val="18"/>
                      <w:szCs w:val="18"/>
                    </w:rPr>
                  </w:pPr>
                </w:p>
              </w:tc>
              <w:tc>
                <w:tcPr>
                  <w:tcW w:w="1350" w:type="pct"/>
                  <w:vMerge/>
                  <w:vAlign w:val="center"/>
                </w:tcPr>
                <w:p w14:paraId="5DB4E3A2" w14:textId="77777777" w:rsidR="00F76A63" w:rsidRDefault="00F76A63">
                  <w:pPr>
                    <w:adjustRightInd w:val="0"/>
                    <w:snapToGrid w:val="0"/>
                    <w:jc w:val="center"/>
                    <w:rPr>
                      <w:sz w:val="18"/>
                      <w:szCs w:val="18"/>
                    </w:rPr>
                  </w:pPr>
                </w:p>
              </w:tc>
              <w:tc>
                <w:tcPr>
                  <w:tcW w:w="754" w:type="pct"/>
                  <w:vAlign w:val="center"/>
                </w:tcPr>
                <w:p w14:paraId="7F8D9883"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7620D18C" w14:textId="77777777" w:rsidR="00F76A63" w:rsidRDefault="00000000">
                  <w:pPr>
                    <w:adjustRightInd w:val="0"/>
                    <w:snapToGrid w:val="0"/>
                    <w:jc w:val="center"/>
                    <w:rPr>
                      <w:rFonts w:eastAsia="Arial Unicode MS"/>
                      <w:sz w:val="18"/>
                      <w:szCs w:val="18"/>
                    </w:rPr>
                  </w:pPr>
                  <w:r>
                    <w:rPr>
                      <w:rFonts w:hint="eastAsia"/>
                      <w:sz w:val="18"/>
                      <w:szCs w:val="18"/>
                    </w:rPr>
                    <w:t>1.55</w:t>
                  </w:r>
                </w:p>
              </w:tc>
              <w:tc>
                <w:tcPr>
                  <w:tcW w:w="696" w:type="pct"/>
                  <w:vMerge/>
                  <w:vAlign w:val="center"/>
                </w:tcPr>
                <w:p w14:paraId="6413E0B8" w14:textId="77777777" w:rsidR="00F76A63" w:rsidRDefault="00F76A63">
                  <w:pPr>
                    <w:adjustRightInd w:val="0"/>
                    <w:snapToGrid w:val="0"/>
                    <w:jc w:val="center"/>
                    <w:rPr>
                      <w:sz w:val="18"/>
                      <w:szCs w:val="18"/>
                    </w:rPr>
                  </w:pPr>
                </w:p>
              </w:tc>
            </w:tr>
            <w:tr w:rsidR="00F76A63" w14:paraId="3F6CEB39" w14:textId="77777777">
              <w:trPr>
                <w:trHeight w:val="340"/>
                <w:jc w:val="center"/>
              </w:trPr>
              <w:tc>
                <w:tcPr>
                  <w:tcW w:w="582" w:type="pct"/>
                  <w:vMerge/>
                  <w:vAlign w:val="center"/>
                </w:tcPr>
                <w:p w14:paraId="58C7E805" w14:textId="77777777" w:rsidR="00F76A63" w:rsidRDefault="00F76A63">
                  <w:pPr>
                    <w:adjustRightInd w:val="0"/>
                    <w:snapToGrid w:val="0"/>
                    <w:jc w:val="center"/>
                    <w:rPr>
                      <w:sz w:val="18"/>
                      <w:szCs w:val="18"/>
                    </w:rPr>
                  </w:pPr>
                </w:p>
              </w:tc>
              <w:tc>
                <w:tcPr>
                  <w:tcW w:w="798" w:type="pct"/>
                  <w:vMerge/>
                  <w:vAlign w:val="center"/>
                </w:tcPr>
                <w:p w14:paraId="081CF9F0" w14:textId="77777777" w:rsidR="00F76A63" w:rsidRDefault="00F76A63">
                  <w:pPr>
                    <w:adjustRightInd w:val="0"/>
                    <w:snapToGrid w:val="0"/>
                    <w:jc w:val="center"/>
                    <w:rPr>
                      <w:sz w:val="18"/>
                      <w:szCs w:val="18"/>
                    </w:rPr>
                  </w:pPr>
                </w:p>
              </w:tc>
              <w:tc>
                <w:tcPr>
                  <w:tcW w:w="1350" w:type="pct"/>
                  <w:vMerge/>
                  <w:vAlign w:val="center"/>
                </w:tcPr>
                <w:p w14:paraId="5AAD11CD" w14:textId="77777777" w:rsidR="00F76A63" w:rsidRDefault="00F76A63">
                  <w:pPr>
                    <w:adjustRightInd w:val="0"/>
                    <w:snapToGrid w:val="0"/>
                    <w:jc w:val="center"/>
                    <w:rPr>
                      <w:sz w:val="18"/>
                      <w:szCs w:val="18"/>
                    </w:rPr>
                  </w:pPr>
                </w:p>
              </w:tc>
              <w:tc>
                <w:tcPr>
                  <w:tcW w:w="754" w:type="pct"/>
                  <w:vAlign w:val="center"/>
                </w:tcPr>
                <w:p w14:paraId="3C90C65B"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19166595" w14:textId="77777777" w:rsidR="00F76A63" w:rsidRDefault="00000000">
                  <w:pPr>
                    <w:adjustRightInd w:val="0"/>
                    <w:snapToGrid w:val="0"/>
                    <w:jc w:val="center"/>
                    <w:rPr>
                      <w:rFonts w:eastAsia="Arial Unicode MS"/>
                      <w:sz w:val="18"/>
                      <w:szCs w:val="18"/>
                    </w:rPr>
                  </w:pPr>
                  <w:r>
                    <w:rPr>
                      <w:rFonts w:eastAsia="Arial Unicode MS" w:hint="eastAsia"/>
                      <w:sz w:val="18"/>
                      <w:szCs w:val="18"/>
                    </w:rPr>
                    <w:t>1.6</w:t>
                  </w:r>
                  <w:r>
                    <w:rPr>
                      <w:rFonts w:hint="eastAsia"/>
                      <w:sz w:val="18"/>
                      <w:szCs w:val="18"/>
                    </w:rPr>
                    <w:t>7</w:t>
                  </w:r>
                </w:p>
              </w:tc>
              <w:tc>
                <w:tcPr>
                  <w:tcW w:w="696" w:type="pct"/>
                  <w:vMerge/>
                  <w:vAlign w:val="center"/>
                </w:tcPr>
                <w:p w14:paraId="0B43B46A" w14:textId="77777777" w:rsidR="00F76A63" w:rsidRDefault="00F76A63">
                  <w:pPr>
                    <w:adjustRightInd w:val="0"/>
                    <w:snapToGrid w:val="0"/>
                    <w:jc w:val="center"/>
                    <w:rPr>
                      <w:sz w:val="18"/>
                      <w:szCs w:val="18"/>
                    </w:rPr>
                  </w:pPr>
                </w:p>
              </w:tc>
            </w:tr>
            <w:tr w:rsidR="00F76A63" w14:paraId="45F5613A" w14:textId="77777777">
              <w:trPr>
                <w:trHeight w:val="340"/>
                <w:jc w:val="center"/>
              </w:trPr>
              <w:tc>
                <w:tcPr>
                  <w:tcW w:w="582" w:type="pct"/>
                  <w:vMerge/>
                  <w:vAlign w:val="center"/>
                </w:tcPr>
                <w:p w14:paraId="5088C3B2" w14:textId="77777777" w:rsidR="00F76A63" w:rsidRDefault="00F76A63">
                  <w:pPr>
                    <w:adjustRightInd w:val="0"/>
                    <w:snapToGrid w:val="0"/>
                    <w:jc w:val="center"/>
                    <w:rPr>
                      <w:sz w:val="18"/>
                      <w:szCs w:val="18"/>
                    </w:rPr>
                  </w:pPr>
                </w:p>
              </w:tc>
              <w:tc>
                <w:tcPr>
                  <w:tcW w:w="798" w:type="pct"/>
                  <w:vMerge w:val="restart"/>
                  <w:vAlign w:val="center"/>
                </w:tcPr>
                <w:p w14:paraId="29C86346" w14:textId="77777777" w:rsidR="00F76A63" w:rsidRDefault="00000000">
                  <w:pPr>
                    <w:adjustRightInd w:val="0"/>
                    <w:snapToGrid w:val="0"/>
                    <w:jc w:val="center"/>
                    <w:rPr>
                      <w:sz w:val="18"/>
                      <w:szCs w:val="18"/>
                    </w:rPr>
                  </w:pPr>
                  <w:r>
                    <w:rPr>
                      <w:rFonts w:hint="eastAsia"/>
                      <w:sz w:val="18"/>
                      <w:szCs w:val="18"/>
                    </w:rPr>
                    <w:t>202603</w:t>
                  </w:r>
                </w:p>
              </w:tc>
              <w:tc>
                <w:tcPr>
                  <w:tcW w:w="1350" w:type="pct"/>
                  <w:vMerge w:val="restart"/>
                  <w:vAlign w:val="center"/>
                </w:tcPr>
                <w:p w14:paraId="07954595" w14:textId="77777777" w:rsidR="00F76A63" w:rsidRDefault="00000000">
                  <w:pPr>
                    <w:adjustRightInd w:val="0"/>
                    <w:snapToGrid w:val="0"/>
                    <w:jc w:val="center"/>
                    <w:rPr>
                      <w:sz w:val="18"/>
                      <w:szCs w:val="18"/>
                    </w:rPr>
                  </w:pPr>
                  <w:r>
                    <w:rPr>
                      <w:rFonts w:hint="eastAsia"/>
                      <w:sz w:val="18"/>
                      <w:szCs w:val="18"/>
                    </w:rPr>
                    <w:t>260357.61</w:t>
                  </w:r>
                </w:p>
              </w:tc>
              <w:tc>
                <w:tcPr>
                  <w:tcW w:w="754" w:type="pct"/>
                  <w:vAlign w:val="center"/>
                </w:tcPr>
                <w:p w14:paraId="049B0DBE" w14:textId="77777777" w:rsidR="00F76A63" w:rsidRDefault="00000000">
                  <w:pPr>
                    <w:adjustRightInd w:val="0"/>
                    <w:snapToGrid w:val="0"/>
                    <w:jc w:val="center"/>
                    <w:rPr>
                      <w:sz w:val="18"/>
                      <w:szCs w:val="18"/>
                    </w:rPr>
                  </w:pPr>
                  <w:r>
                    <w:rPr>
                      <w:rFonts w:hint="eastAsia"/>
                      <w:sz w:val="18"/>
                      <w:szCs w:val="18"/>
                    </w:rPr>
                    <w:t>最大值</w:t>
                  </w:r>
                </w:p>
              </w:tc>
              <w:tc>
                <w:tcPr>
                  <w:tcW w:w="820" w:type="pct"/>
                  <w:vAlign w:val="center"/>
                </w:tcPr>
                <w:p w14:paraId="4B6AF6BB" w14:textId="77777777" w:rsidR="00F76A63" w:rsidRDefault="00000000">
                  <w:pPr>
                    <w:adjustRightInd w:val="0"/>
                    <w:snapToGrid w:val="0"/>
                    <w:jc w:val="center"/>
                    <w:rPr>
                      <w:rFonts w:eastAsia="Arial Unicode MS"/>
                      <w:sz w:val="18"/>
                      <w:szCs w:val="18"/>
                    </w:rPr>
                  </w:pPr>
                  <w:r>
                    <w:rPr>
                      <w:rFonts w:hint="eastAsia"/>
                      <w:sz w:val="18"/>
                      <w:szCs w:val="18"/>
                    </w:rPr>
                    <w:t>2.24</w:t>
                  </w:r>
                </w:p>
              </w:tc>
              <w:tc>
                <w:tcPr>
                  <w:tcW w:w="696" w:type="pct"/>
                  <w:vMerge w:val="restart"/>
                  <w:vAlign w:val="center"/>
                </w:tcPr>
                <w:p w14:paraId="6188536D" w14:textId="77777777" w:rsidR="00F76A63" w:rsidRDefault="00000000">
                  <w:pPr>
                    <w:adjustRightInd w:val="0"/>
                    <w:snapToGrid w:val="0"/>
                    <w:jc w:val="center"/>
                    <w:rPr>
                      <w:sz w:val="18"/>
                      <w:szCs w:val="18"/>
                    </w:rPr>
                  </w:pPr>
                  <w:r>
                    <w:rPr>
                      <w:sz w:val="18"/>
                      <w:szCs w:val="18"/>
                    </w:rPr>
                    <w:t>/</w:t>
                  </w:r>
                </w:p>
              </w:tc>
            </w:tr>
            <w:tr w:rsidR="00F76A63" w14:paraId="342EF0E4" w14:textId="77777777">
              <w:trPr>
                <w:trHeight w:val="340"/>
                <w:jc w:val="center"/>
              </w:trPr>
              <w:tc>
                <w:tcPr>
                  <w:tcW w:w="582" w:type="pct"/>
                  <w:vMerge/>
                  <w:vAlign w:val="center"/>
                </w:tcPr>
                <w:p w14:paraId="719FC5BC" w14:textId="77777777" w:rsidR="00F76A63" w:rsidRDefault="00F76A63">
                  <w:pPr>
                    <w:adjustRightInd w:val="0"/>
                    <w:snapToGrid w:val="0"/>
                    <w:jc w:val="center"/>
                    <w:rPr>
                      <w:sz w:val="18"/>
                      <w:szCs w:val="18"/>
                    </w:rPr>
                  </w:pPr>
                </w:p>
              </w:tc>
              <w:tc>
                <w:tcPr>
                  <w:tcW w:w="798" w:type="pct"/>
                  <w:vMerge/>
                  <w:vAlign w:val="center"/>
                </w:tcPr>
                <w:p w14:paraId="1971AB12" w14:textId="77777777" w:rsidR="00F76A63" w:rsidRDefault="00F76A63">
                  <w:pPr>
                    <w:adjustRightInd w:val="0"/>
                    <w:snapToGrid w:val="0"/>
                    <w:jc w:val="center"/>
                    <w:rPr>
                      <w:sz w:val="18"/>
                      <w:szCs w:val="18"/>
                    </w:rPr>
                  </w:pPr>
                </w:p>
              </w:tc>
              <w:tc>
                <w:tcPr>
                  <w:tcW w:w="1350" w:type="pct"/>
                  <w:vMerge/>
                  <w:vAlign w:val="center"/>
                </w:tcPr>
                <w:p w14:paraId="38BC8910" w14:textId="77777777" w:rsidR="00F76A63" w:rsidRDefault="00F76A63">
                  <w:pPr>
                    <w:adjustRightInd w:val="0"/>
                    <w:snapToGrid w:val="0"/>
                    <w:jc w:val="center"/>
                    <w:rPr>
                      <w:sz w:val="18"/>
                      <w:szCs w:val="18"/>
                    </w:rPr>
                  </w:pPr>
                </w:p>
              </w:tc>
              <w:tc>
                <w:tcPr>
                  <w:tcW w:w="754" w:type="pct"/>
                  <w:vAlign w:val="center"/>
                </w:tcPr>
                <w:p w14:paraId="33E2F524" w14:textId="77777777" w:rsidR="00F76A63" w:rsidRDefault="00000000">
                  <w:pPr>
                    <w:adjustRightInd w:val="0"/>
                    <w:snapToGrid w:val="0"/>
                    <w:jc w:val="center"/>
                    <w:rPr>
                      <w:sz w:val="18"/>
                      <w:szCs w:val="18"/>
                    </w:rPr>
                  </w:pPr>
                  <w:r>
                    <w:rPr>
                      <w:rFonts w:hint="eastAsia"/>
                      <w:sz w:val="18"/>
                      <w:szCs w:val="18"/>
                    </w:rPr>
                    <w:t>最小值</w:t>
                  </w:r>
                </w:p>
              </w:tc>
              <w:tc>
                <w:tcPr>
                  <w:tcW w:w="820" w:type="pct"/>
                  <w:vAlign w:val="center"/>
                </w:tcPr>
                <w:p w14:paraId="24E3471D" w14:textId="77777777" w:rsidR="00F76A63" w:rsidRDefault="00000000">
                  <w:pPr>
                    <w:adjustRightInd w:val="0"/>
                    <w:snapToGrid w:val="0"/>
                    <w:jc w:val="center"/>
                    <w:rPr>
                      <w:rFonts w:eastAsia="Arial Unicode MS"/>
                      <w:sz w:val="18"/>
                      <w:szCs w:val="18"/>
                    </w:rPr>
                  </w:pPr>
                  <w:r>
                    <w:rPr>
                      <w:rFonts w:hint="eastAsia"/>
                      <w:sz w:val="18"/>
                      <w:szCs w:val="18"/>
                    </w:rPr>
                    <w:t>1.88</w:t>
                  </w:r>
                </w:p>
              </w:tc>
              <w:tc>
                <w:tcPr>
                  <w:tcW w:w="696" w:type="pct"/>
                  <w:vMerge/>
                  <w:vAlign w:val="center"/>
                </w:tcPr>
                <w:p w14:paraId="3E2BDFA1" w14:textId="77777777" w:rsidR="00F76A63" w:rsidRDefault="00F76A63">
                  <w:pPr>
                    <w:adjustRightInd w:val="0"/>
                    <w:snapToGrid w:val="0"/>
                    <w:jc w:val="center"/>
                    <w:rPr>
                      <w:sz w:val="18"/>
                      <w:szCs w:val="18"/>
                    </w:rPr>
                  </w:pPr>
                </w:p>
              </w:tc>
            </w:tr>
            <w:tr w:rsidR="00F76A63" w14:paraId="13CDC010" w14:textId="77777777">
              <w:trPr>
                <w:trHeight w:val="340"/>
                <w:jc w:val="center"/>
              </w:trPr>
              <w:tc>
                <w:tcPr>
                  <w:tcW w:w="582" w:type="pct"/>
                  <w:vMerge/>
                  <w:vAlign w:val="center"/>
                </w:tcPr>
                <w:p w14:paraId="07DC26A9" w14:textId="77777777" w:rsidR="00F76A63" w:rsidRDefault="00F76A63">
                  <w:pPr>
                    <w:adjustRightInd w:val="0"/>
                    <w:snapToGrid w:val="0"/>
                    <w:jc w:val="center"/>
                    <w:rPr>
                      <w:sz w:val="18"/>
                      <w:szCs w:val="18"/>
                    </w:rPr>
                  </w:pPr>
                </w:p>
              </w:tc>
              <w:tc>
                <w:tcPr>
                  <w:tcW w:w="798" w:type="pct"/>
                  <w:vMerge/>
                  <w:vAlign w:val="center"/>
                </w:tcPr>
                <w:p w14:paraId="23C3CDFB" w14:textId="77777777" w:rsidR="00F76A63" w:rsidRDefault="00F76A63">
                  <w:pPr>
                    <w:adjustRightInd w:val="0"/>
                    <w:snapToGrid w:val="0"/>
                    <w:jc w:val="center"/>
                    <w:rPr>
                      <w:sz w:val="18"/>
                      <w:szCs w:val="18"/>
                    </w:rPr>
                  </w:pPr>
                </w:p>
              </w:tc>
              <w:tc>
                <w:tcPr>
                  <w:tcW w:w="1350" w:type="pct"/>
                  <w:vMerge/>
                  <w:vAlign w:val="center"/>
                </w:tcPr>
                <w:p w14:paraId="29C1CC95" w14:textId="77777777" w:rsidR="00F76A63" w:rsidRDefault="00F76A63">
                  <w:pPr>
                    <w:adjustRightInd w:val="0"/>
                    <w:snapToGrid w:val="0"/>
                    <w:jc w:val="center"/>
                    <w:rPr>
                      <w:sz w:val="18"/>
                      <w:szCs w:val="18"/>
                    </w:rPr>
                  </w:pPr>
                </w:p>
              </w:tc>
              <w:tc>
                <w:tcPr>
                  <w:tcW w:w="754" w:type="pct"/>
                  <w:vAlign w:val="center"/>
                </w:tcPr>
                <w:p w14:paraId="0AD24507" w14:textId="77777777" w:rsidR="00F76A63" w:rsidRDefault="00000000">
                  <w:pPr>
                    <w:adjustRightInd w:val="0"/>
                    <w:snapToGrid w:val="0"/>
                    <w:jc w:val="center"/>
                    <w:rPr>
                      <w:sz w:val="18"/>
                      <w:szCs w:val="18"/>
                    </w:rPr>
                  </w:pPr>
                  <w:r>
                    <w:rPr>
                      <w:rFonts w:hint="eastAsia"/>
                      <w:sz w:val="18"/>
                      <w:szCs w:val="18"/>
                    </w:rPr>
                    <w:t>平均值</w:t>
                  </w:r>
                </w:p>
              </w:tc>
              <w:tc>
                <w:tcPr>
                  <w:tcW w:w="820" w:type="pct"/>
                  <w:vAlign w:val="center"/>
                </w:tcPr>
                <w:p w14:paraId="3FAEC94D" w14:textId="77777777" w:rsidR="00F76A63" w:rsidRDefault="00000000">
                  <w:pPr>
                    <w:adjustRightInd w:val="0"/>
                    <w:snapToGrid w:val="0"/>
                    <w:jc w:val="center"/>
                    <w:rPr>
                      <w:rFonts w:eastAsia="Arial Unicode MS"/>
                      <w:sz w:val="18"/>
                      <w:szCs w:val="18"/>
                    </w:rPr>
                  </w:pPr>
                  <w:r>
                    <w:rPr>
                      <w:rFonts w:eastAsia="Arial Unicode MS" w:hint="eastAsia"/>
                      <w:sz w:val="18"/>
                      <w:szCs w:val="18"/>
                    </w:rPr>
                    <w:t>2.07</w:t>
                  </w:r>
                </w:p>
              </w:tc>
              <w:tc>
                <w:tcPr>
                  <w:tcW w:w="696" w:type="pct"/>
                  <w:vMerge/>
                  <w:vAlign w:val="center"/>
                </w:tcPr>
                <w:p w14:paraId="2F6D6BCF" w14:textId="77777777" w:rsidR="00F76A63" w:rsidRDefault="00F76A63">
                  <w:pPr>
                    <w:adjustRightInd w:val="0"/>
                    <w:snapToGrid w:val="0"/>
                    <w:jc w:val="center"/>
                    <w:rPr>
                      <w:sz w:val="18"/>
                      <w:szCs w:val="18"/>
                    </w:rPr>
                  </w:pPr>
                </w:p>
              </w:tc>
            </w:tr>
          </w:tbl>
          <w:bookmarkEnd w:id="97"/>
          <w:p w14:paraId="574DF3D0" w14:textId="77777777" w:rsidR="00F76A63" w:rsidRDefault="00000000">
            <w:pPr>
              <w:adjustRightInd w:val="0"/>
              <w:snapToGrid w:val="0"/>
              <w:spacing w:line="500" w:lineRule="exact"/>
              <w:jc w:val="center"/>
              <w:rPr>
                <w:b/>
                <w:sz w:val="24"/>
              </w:rPr>
            </w:pPr>
            <w:r>
              <w:rPr>
                <w:rFonts w:hint="eastAsia"/>
                <w:b/>
                <w:sz w:val="24"/>
              </w:rPr>
              <w:t>表</w:t>
            </w:r>
            <w:r>
              <w:rPr>
                <w:b/>
                <w:sz w:val="24"/>
              </w:rPr>
              <w:t>2-4</w:t>
            </w:r>
            <w:r>
              <w:rPr>
                <w:rFonts w:hint="eastAsia"/>
                <w:b/>
                <w:sz w:val="24"/>
              </w:rPr>
              <w:t>7</w:t>
            </w:r>
            <w:r>
              <w:rPr>
                <w:b/>
                <w:sz w:val="24"/>
              </w:rPr>
              <w:t xml:space="preserve">  2#</w:t>
            </w:r>
            <w:r>
              <w:rPr>
                <w:b/>
                <w:sz w:val="24"/>
              </w:rPr>
              <w:t>窑头在线监测各月数据情况表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3"/>
              <w:gridCol w:w="1305"/>
              <w:gridCol w:w="2129"/>
              <w:gridCol w:w="1143"/>
              <w:gridCol w:w="1509"/>
              <w:gridCol w:w="1138"/>
            </w:tblGrid>
            <w:tr w:rsidR="00F76A63" w14:paraId="39D2F099" w14:textId="77777777">
              <w:trPr>
                <w:trHeight w:val="340"/>
                <w:jc w:val="center"/>
              </w:trPr>
              <w:tc>
                <w:tcPr>
                  <w:tcW w:w="582" w:type="pct"/>
                  <w:vMerge w:val="restart"/>
                  <w:vAlign w:val="center"/>
                </w:tcPr>
                <w:p w14:paraId="648F4FC5" w14:textId="77777777" w:rsidR="00F76A63" w:rsidRDefault="00000000">
                  <w:pPr>
                    <w:adjustRightInd w:val="0"/>
                    <w:snapToGrid w:val="0"/>
                    <w:contextualSpacing/>
                    <w:jc w:val="center"/>
                    <w:rPr>
                      <w:b/>
                      <w:sz w:val="18"/>
                      <w:szCs w:val="18"/>
                    </w:rPr>
                  </w:pPr>
                  <w:r>
                    <w:rPr>
                      <w:b/>
                      <w:sz w:val="18"/>
                      <w:szCs w:val="18"/>
                    </w:rPr>
                    <w:t>监测类型</w:t>
                  </w:r>
                </w:p>
              </w:tc>
              <w:tc>
                <w:tcPr>
                  <w:tcW w:w="798" w:type="pct"/>
                  <w:vMerge w:val="restart"/>
                  <w:vAlign w:val="center"/>
                </w:tcPr>
                <w:p w14:paraId="68F43745" w14:textId="77777777" w:rsidR="00F76A63" w:rsidRDefault="00000000">
                  <w:pPr>
                    <w:adjustRightInd w:val="0"/>
                    <w:snapToGrid w:val="0"/>
                    <w:contextualSpacing/>
                    <w:jc w:val="center"/>
                    <w:rPr>
                      <w:b/>
                      <w:sz w:val="18"/>
                      <w:szCs w:val="18"/>
                    </w:rPr>
                  </w:pPr>
                  <w:r>
                    <w:rPr>
                      <w:b/>
                      <w:sz w:val="18"/>
                      <w:szCs w:val="18"/>
                    </w:rPr>
                    <w:t>时间</w:t>
                  </w:r>
                </w:p>
              </w:tc>
              <w:tc>
                <w:tcPr>
                  <w:tcW w:w="1302" w:type="pct"/>
                  <w:vMerge w:val="restart"/>
                  <w:vAlign w:val="center"/>
                </w:tcPr>
                <w:p w14:paraId="7BF931D2" w14:textId="77777777" w:rsidR="00F76A63" w:rsidRDefault="00000000">
                  <w:pPr>
                    <w:adjustRightInd w:val="0"/>
                    <w:snapToGrid w:val="0"/>
                    <w:contextualSpacing/>
                    <w:jc w:val="center"/>
                    <w:rPr>
                      <w:b/>
                      <w:sz w:val="18"/>
                      <w:szCs w:val="18"/>
                    </w:rPr>
                  </w:pPr>
                  <w:r>
                    <w:rPr>
                      <w:b/>
                      <w:sz w:val="18"/>
                      <w:szCs w:val="18"/>
                    </w:rPr>
                    <w:t>烟气流量</w:t>
                  </w:r>
                </w:p>
                <w:p w14:paraId="21F94ABD" w14:textId="77777777" w:rsidR="00F76A63" w:rsidRDefault="00000000">
                  <w:pPr>
                    <w:pStyle w:val="afc"/>
                    <w:spacing w:after="0"/>
                    <w:contextualSpacing/>
                    <w:jc w:val="center"/>
                    <w:rPr>
                      <w:b/>
                      <w:bCs/>
                      <w:sz w:val="18"/>
                      <w:szCs w:val="18"/>
                    </w:rPr>
                  </w:pPr>
                  <w:r>
                    <w:rPr>
                      <w:b/>
                      <w:bCs/>
                      <w:sz w:val="18"/>
                      <w:szCs w:val="18"/>
                    </w:rPr>
                    <w:t>（</w:t>
                  </w:r>
                  <w:r>
                    <w:rPr>
                      <w:b/>
                      <w:bCs/>
                      <w:sz w:val="18"/>
                      <w:szCs w:val="18"/>
                    </w:rPr>
                    <w:t>m</w:t>
                  </w:r>
                  <w:r>
                    <w:rPr>
                      <w:b/>
                      <w:bCs/>
                      <w:sz w:val="18"/>
                      <w:szCs w:val="18"/>
                      <w:vertAlign w:val="superscript"/>
                    </w:rPr>
                    <w:t>3</w:t>
                  </w:r>
                  <w:r>
                    <w:rPr>
                      <w:b/>
                      <w:bCs/>
                      <w:sz w:val="18"/>
                      <w:szCs w:val="18"/>
                    </w:rPr>
                    <w:t>/h</w:t>
                  </w:r>
                  <w:r>
                    <w:rPr>
                      <w:b/>
                      <w:bCs/>
                      <w:sz w:val="18"/>
                      <w:szCs w:val="18"/>
                    </w:rPr>
                    <w:t>）</w:t>
                  </w:r>
                </w:p>
              </w:tc>
              <w:tc>
                <w:tcPr>
                  <w:tcW w:w="699" w:type="pct"/>
                  <w:vMerge w:val="restart"/>
                  <w:vAlign w:val="center"/>
                </w:tcPr>
                <w:p w14:paraId="73B4FB77" w14:textId="77777777" w:rsidR="00F76A63" w:rsidRDefault="00000000">
                  <w:pPr>
                    <w:adjustRightInd w:val="0"/>
                    <w:snapToGrid w:val="0"/>
                    <w:contextualSpacing/>
                    <w:jc w:val="center"/>
                    <w:rPr>
                      <w:b/>
                      <w:sz w:val="18"/>
                      <w:szCs w:val="18"/>
                    </w:rPr>
                  </w:pPr>
                  <w:r>
                    <w:rPr>
                      <w:b/>
                      <w:sz w:val="18"/>
                      <w:szCs w:val="18"/>
                    </w:rPr>
                    <w:t>/</w:t>
                  </w:r>
                </w:p>
              </w:tc>
              <w:tc>
                <w:tcPr>
                  <w:tcW w:w="923" w:type="pct"/>
                  <w:vAlign w:val="center"/>
                </w:tcPr>
                <w:p w14:paraId="011FF706" w14:textId="77777777" w:rsidR="00F76A63" w:rsidRDefault="00000000">
                  <w:pPr>
                    <w:adjustRightInd w:val="0"/>
                    <w:snapToGrid w:val="0"/>
                    <w:contextualSpacing/>
                    <w:jc w:val="center"/>
                    <w:rPr>
                      <w:b/>
                      <w:sz w:val="18"/>
                      <w:szCs w:val="18"/>
                    </w:rPr>
                  </w:pPr>
                  <w:r>
                    <w:rPr>
                      <w:b/>
                      <w:sz w:val="18"/>
                      <w:szCs w:val="18"/>
                    </w:rPr>
                    <w:t>日平均浓度（</w:t>
                  </w:r>
                  <w:r>
                    <w:rPr>
                      <w:b/>
                      <w:sz w:val="18"/>
                      <w:szCs w:val="18"/>
                    </w:rPr>
                    <w:t>mg/m</w:t>
                  </w:r>
                  <w:r>
                    <w:rPr>
                      <w:b/>
                      <w:sz w:val="18"/>
                      <w:szCs w:val="18"/>
                      <w:vertAlign w:val="superscript"/>
                    </w:rPr>
                    <w:t>3</w:t>
                  </w:r>
                  <w:r>
                    <w:rPr>
                      <w:b/>
                      <w:sz w:val="18"/>
                      <w:szCs w:val="18"/>
                    </w:rPr>
                    <w:t>）</w:t>
                  </w:r>
                </w:p>
              </w:tc>
              <w:tc>
                <w:tcPr>
                  <w:tcW w:w="696" w:type="pct"/>
                  <w:vMerge w:val="restart"/>
                  <w:vAlign w:val="center"/>
                </w:tcPr>
                <w:p w14:paraId="42545F25" w14:textId="77777777" w:rsidR="00F76A63" w:rsidRDefault="00000000">
                  <w:pPr>
                    <w:adjustRightInd w:val="0"/>
                    <w:snapToGrid w:val="0"/>
                    <w:contextualSpacing/>
                    <w:jc w:val="center"/>
                    <w:rPr>
                      <w:b/>
                      <w:sz w:val="18"/>
                      <w:szCs w:val="18"/>
                    </w:rPr>
                  </w:pPr>
                  <w:r>
                    <w:rPr>
                      <w:b/>
                      <w:sz w:val="18"/>
                      <w:szCs w:val="18"/>
                    </w:rPr>
                    <w:t>备注</w:t>
                  </w:r>
                </w:p>
              </w:tc>
            </w:tr>
            <w:tr w:rsidR="00F76A63" w14:paraId="7F0B6CFA" w14:textId="77777777">
              <w:trPr>
                <w:trHeight w:val="44"/>
                <w:jc w:val="center"/>
              </w:trPr>
              <w:tc>
                <w:tcPr>
                  <w:tcW w:w="582" w:type="pct"/>
                  <w:vMerge/>
                  <w:vAlign w:val="center"/>
                </w:tcPr>
                <w:p w14:paraId="6C6500EF" w14:textId="77777777" w:rsidR="00F76A63" w:rsidRDefault="00F76A63">
                  <w:pPr>
                    <w:adjustRightInd w:val="0"/>
                    <w:snapToGrid w:val="0"/>
                    <w:contextualSpacing/>
                    <w:jc w:val="center"/>
                    <w:rPr>
                      <w:b/>
                      <w:sz w:val="18"/>
                      <w:szCs w:val="18"/>
                    </w:rPr>
                  </w:pPr>
                </w:p>
              </w:tc>
              <w:tc>
                <w:tcPr>
                  <w:tcW w:w="798" w:type="pct"/>
                  <w:vMerge/>
                  <w:vAlign w:val="center"/>
                </w:tcPr>
                <w:p w14:paraId="79E1CB7B" w14:textId="77777777" w:rsidR="00F76A63" w:rsidRDefault="00F76A63">
                  <w:pPr>
                    <w:adjustRightInd w:val="0"/>
                    <w:snapToGrid w:val="0"/>
                    <w:contextualSpacing/>
                    <w:jc w:val="center"/>
                    <w:rPr>
                      <w:b/>
                      <w:sz w:val="18"/>
                      <w:szCs w:val="18"/>
                    </w:rPr>
                  </w:pPr>
                </w:p>
              </w:tc>
              <w:tc>
                <w:tcPr>
                  <w:tcW w:w="1302" w:type="pct"/>
                  <w:vMerge/>
                  <w:vAlign w:val="center"/>
                </w:tcPr>
                <w:p w14:paraId="664814DC" w14:textId="77777777" w:rsidR="00F76A63" w:rsidRDefault="00F76A63">
                  <w:pPr>
                    <w:adjustRightInd w:val="0"/>
                    <w:snapToGrid w:val="0"/>
                    <w:contextualSpacing/>
                    <w:jc w:val="center"/>
                    <w:rPr>
                      <w:b/>
                      <w:sz w:val="18"/>
                      <w:szCs w:val="18"/>
                    </w:rPr>
                  </w:pPr>
                </w:p>
              </w:tc>
              <w:tc>
                <w:tcPr>
                  <w:tcW w:w="699" w:type="pct"/>
                  <w:vMerge/>
                  <w:vAlign w:val="center"/>
                </w:tcPr>
                <w:p w14:paraId="76551A67" w14:textId="77777777" w:rsidR="00F76A63" w:rsidRDefault="00F76A63">
                  <w:pPr>
                    <w:adjustRightInd w:val="0"/>
                    <w:snapToGrid w:val="0"/>
                    <w:contextualSpacing/>
                    <w:jc w:val="center"/>
                    <w:rPr>
                      <w:b/>
                      <w:sz w:val="18"/>
                      <w:szCs w:val="18"/>
                    </w:rPr>
                  </w:pPr>
                </w:p>
              </w:tc>
              <w:tc>
                <w:tcPr>
                  <w:tcW w:w="923" w:type="pct"/>
                  <w:vAlign w:val="center"/>
                </w:tcPr>
                <w:p w14:paraId="39E2E37F" w14:textId="77777777" w:rsidR="00F76A63" w:rsidRDefault="00000000">
                  <w:pPr>
                    <w:adjustRightInd w:val="0"/>
                    <w:snapToGrid w:val="0"/>
                    <w:contextualSpacing/>
                    <w:jc w:val="center"/>
                    <w:rPr>
                      <w:b/>
                      <w:sz w:val="18"/>
                      <w:szCs w:val="18"/>
                    </w:rPr>
                  </w:pPr>
                  <w:r>
                    <w:rPr>
                      <w:b/>
                      <w:sz w:val="18"/>
                      <w:szCs w:val="18"/>
                    </w:rPr>
                    <w:t>颗粒物</w:t>
                  </w:r>
                </w:p>
              </w:tc>
              <w:tc>
                <w:tcPr>
                  <w:tcW w:w="696" w:type="pct"/>
                  <w:vMerge/>
                  <w:vAlign w:val="center"/>
                </w:tcPr>
                <w:p w14:paraId="503E3F33" w14:textId="77777777" w:rsidR="00F76A63" w:rsidRDefault="00F76A63">
                  <w:pPr>
                    <w:adjustRightInd w:val="0"/>
                    <w:snapToGrid w:val="0"/>
                    <w:contextualSpacing/>
                    <w:jc w:val="center"/>
                    <w:rPr>
                      <w:b/>
                      <w:sz w:val="18"/>
                      <w:szCs w:val="18"/>
                    </w:rPr>
                  </w:pPr>
                </w:p>
              </w:tc>
            </w:tr>
            <w:tr w:rsidR="00F76A63" w14:paraId="476FF979" w14:textId="77777777">
              <w:trPr>
                <w:trHeight w:val="340"/>
                <w:jc w:val="center"/>
              </w:trPr>
              <w:tc>
                <w:tcPr>
                  <w:tcW w:w="582" w:type="pct"/>
                  <w:vMerge w:val="restart"/>
                  <w:vAlign w:val="center"/>
                </w:tcPr>
                <w:p w14:paraId="7460B0C6" w14:textId="77777777" w:rsidR="00F76A63" w:rsidRDefault="00000000">
                  <w:pPr>
                    <w:adjustRightInd w:val="0"/>
                    <w:snapToGrid w:val="0"/>
                    <w:contextualSpacing/>
                    <w:jc w:val="center"/>
                    <w:rPr>
                      <w:sz w:val="18"/>
                      <w:szCs w:val="18"/>
                    </w:rPr>
                  </w:pPr>
                  <w:r>
                    <w:rPr>
                      <w:sz w:val="18"/>
                      <w:szCs w:val="18"/>
                    </w:rPr>
                    <w:t>窑头烟气污染物在线监测</w:t>
                  </w:r>
                </w:p>
              </w:tc>
              <w:tc>
                <w:tcPr>
                  <w:tcW w:w="798" w:type="pct"/>
                  <w:vMerge w:val="restart"/>
                  <w:vAlign w:val="center"/>
                </w:tcPr>
                <w:p w14:paraId="3C6A82CF" w14:textId="77777777" w:rsidR="00F76A63" w:rsidRDefault="00000000">
                  <w:pPr>
                    <w:adjustRightInd w:val="0"/>
                    <w:snapToGrid w:val="0"/>
                    <w:contextualSpacing/>
                    <w:jc w:val="center"/>
                    <w:rPr>
                      <w:sz w:val="18"/>
                      <w:szCs w:val="18"/>
                    </w:rPr>
                  </w:pPr>
                  <w:r>
                    <w:rPr>
                      <w:rFonts w:hint="eastAsia"/>
                      <w:sz w:val="18"/>
                      <w:szCs w:val="18"/>
                    </w:rPr>
                    <w:t>202401</w:t>
                  </w:r>
                </w:p>
              </w:tc>
              <w:tc>
                <w:tcPr>
                  <w:tcW w:w="1302" w:type="pct"/>
                  <w:vMerge w:val="restart"/>
                  <w:vAlign w:val="center"/>
                </w:tcPr>
                <w:p w14:paraId="5D2901CF" w14:textId="77777777" w:rsidR="00F76A63" w:rsidRDefault="00000000">
                  <w:pPr>
                    <w:widowControl/>
                    <w:contextualSpacing/>
                    <w:jc w:val="center"/>
                    <w:rPr>
                      <w:sz w:val="18"/>
                      <w:szCs w:val="18"/>
                    </w:rPr>
                  </w:pPr>
                  <w:r>
                    <w:rPr>
                      <w:rFonts w:hint="eastAsia"/>
                      <w:sz w:val="18"/>
                      <w:szCs w:val="18"/>
                    </w:rPr>
                    <w:t>442648.66</w:t>
                  </w:r>
                </w:p>
              </w:tc>
              <w:tc>
                <w:tcPr>
                  <w:tcW w:w="699" w:type="pct"/>
                  <w:vAlign w:val="center"/>
                </w:tcPr>
                <w:p w14:paraId="09374E66"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29C75D9F" w14:textId="77777777" w:rsidR="00F76A63" w:rsidRDefault="00000000">
                  <w:pPr>
                    <w:adjustRightInd w:val="0"/>
                    <w:snapToGrid w:val="0"/>
                    <w:contextualSpacing/>
                    <w:jc w:val="center"/>
                    <w:rPr>
                      <w:rFonts w:eastAsia="Arial Unicode MS"/>
                      <w:sz w:val="18"/>
                      <w:szCs w:val="18"/>
                    </w:rPr>
                  </w:pPr>
                  <w:r>
                    <w:rPr>
                      <w:rFonts w:hint="eastAsia"/>
                      <w:sz w:val="18"/>
                      <w:szCs w:val="18"/>
                    </w:rPr>
                    <w:t>0.27</w:t>
                  </w:r>
                </w:p>
              </w:tc>
              <w:tc>
                <w:tcPr>
                  <w:tcW w:w="696" w:type="pct"/>
                  <w:vMerge w:val="restart"/>
                  <w:vAlign w:val="center"/>
                </w:tcPr>
                <w:p w14:paraId="605F69F0" w14:textId="77777777" w:rsidR="00F76A63" w:rsidRDefault="00000000">
                  <w:pPr>
                    <w:adjustRightInd w:val="0"/>
                    <w:snapToGrid w:val="0"/>
                    <w:contextualSpacing/>
                    <w:jc w:val="center"/>
                    <w:rPr>
                      <w:sz w:val="18"/>
                      <w:szCs w:val="18"/>
                    </w:rPr>
                  </w:pPr>
                  <w:r>
                    <w:rPr>
                      <w:sz w:val="18"/>
                      <w:szCs w:val="18"/>
                    </w:rPr>
                    <w:t>/</w:t>
                  </w:r>
                </w:p>
              </w:tc>
            </w:tr>
            <w:tr w:rsidR="00F76A63" w14:paraId="625C9771" w14:textId="77777777">
              <w:trPr>
                <w:trHeight w:val="340"/>
                <w:jc w:val="center"/>
              </w:trPr>
              <w:tc>
                <w:tcPr>
                  <w:tcW w:w="582" w:type="pct"/>
                  <w:vMerge/>
                  <w:vAlign w:val="center"/>
                </w:tcPr>
                <w:p w14:paraId="2DC27644" w14:textId="77777777" w:rsidR="00F76A63" w:rsidRDefault="00F76A63">
                  <w:pPr>
                    <w:adjustRightInd w:val="0"/>
                    <w:snapToGrid w:val="0"/>
                    <w:contextualSpacing/>
                    <w:jc w:val="center"/>
                    <w:rPr>
                      <w:sz w:val="18"/>
                      <w:szCs w:val="18"/>
                    </w:rPr>
                  </w:pPr>
                </w:p>
              </w:tc>
              <w:tc>
                <w:tcPr>
                  <w:tcW w:w="798" w:type="pct"/>
                  <w:vMerge/>
                  <w:vAlign w:val="center"/>
                </w:tcPr>
                <w:p w14:paraId="183FEA58" w14:textId="77777777" w:rsidR="00F76A63" w:rsidRDefault="00F76A63">
                  <w:pPr>
                    <w:adjustRightInd w:val="0"/>
                    <w:snapToGrid w:val="0"/>
                    <w:contextualSpacing/>
                    <w:jc w:val="center"/>
                    <w:rPr>
                      <w:sz w:val="18"/>
                      <w:szCs w:val="18"/>
                    </w:rPr>
                  </w:pPr>
                </w:p>
              </w:tc>
              <w:tc>
                <w:tcPr>
                  <w:tcW w:w="1302" w:type="pct"/>
                  <w:vMerge/>
                  <w:vAlign w:val="center"/>
                </w:tcPr>
                <w:p w14:paraId="670DEB10" w14:textId="77777777" w:rsidR="00F76A63" w:rsidRDefault="00F76A63">
                  <w:pPr>
                    <w:widowControl/>
                    <w:contextualSpacing/>
                    <w:jc w:val="center"/>
                    <w:rPr>
                      <w:sz w:val="18"/>
                      <w:szCs w:val="18"/>
                    </w:rPr>
                  </w:pPr>
                </w:p>
              </w:tc>
              <w:tc>
                <w:tcPr>
                  <w:tcW w:w="699" w:type="pct"/>
                  <w:vAlign w:val="center"/>
                </w:tcPr>
                <w:p w14:paraId="1BFFAE64"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3AD1E32F" w14:textId="77777777" w:rsidR="00F76A63" w:rsidRDefault="00000000">
                  <w:pPr>
                    <w:adjustRightInd w:val="0"/>
                    <w:snapToGrid w:val="0"/>
                    <w:contextualSpacing/>
                    <w:jc w:val="center"/>
                    <w:rPr>
                      <w:rFonts w:eastAsia="Arial Unicode MS"/>
                      <w:sz w:val="18"/>
                      <w:szCs w:val="18"/>
                    </w:rPr>
                  </w:pPr>
                  <w:r>
                    <w:rPr>
                      <w:rFonts w:hint="eastAsia"/>
                      <w:sz w:val="18"/>
                      <w:szCs w:val="18"/>
                    </w:rPr>
                    <w:t>0.19</w:t>
                  </w:r>
                </w:p>
              </w:tc>
              <w:tc>
                <w:tcPr>
                  <w:tcW w:w="696" w:type="pct"/>
                  <w:vMerge/>
                  <w:vAlign w:val="center"/>
                </w:tcPr>
                <w:p w14:paraId="21054609" w14:textId="77777777" w:rsidR="00F76A63" w:rsidRDefault="00F76A63">
                  <w:pPr>
                    <w:adjustRightInd w:val="0"/>
                    <w:snapToGrid w:val="0"/>
                    <w:contextualSpacing/>
                    <w:jc w:val="center"/>
                    <w:rPr>
                      <w:sz w:val="18"/>
                      <w:szCs w:val="18"/>
                    </w:rPr>
                  </w:pPr>
                </w:p>
              </w:tc>
            </w:tr>
            <w:tr w:rsidR="00F76A63" w14:paraId="385AE5A0" w14:textId="77777777">
              <w:trPr>
                <w:trHeight w:val="340"/>
                <w:jc w:val="center"/>
              </w:trPr>
              <w:tc>
                <w:tcPr>
                  <w:tcW w:w="582" w:type="pct"/>
                  <w:vMerge/>
                  <w:vAlign w:val="center"/>
                </w:tcPr>
                <w:p w14:paraId="152AB188" w14:textId="77777777" w:rsidR="00F76A63" w:rsidRDefault="00F76A63">
                  <w:pPr>
                    <w:adjustRightInd w:val="0"/>
                    <w:snapToGrid w:val="0"/>
                    <w:contextualSpacing/>
                    <w:jc w:val="center"/>
                    <w:rPr>
                      <w:sz w:val="18"/>
                      <w:szCs w:val="18"/>
                    </w:rPr>
                  </w:pPr>
                </w:p>
              </w:tc>
              <w:tc>
                <w:tcPr>
                  <w:tcW w:w="798" w:type="pct"/>
                  <w:vMerge/>
                  <w:vAlign w:val="center"/>
                </w:tcPr>
                <w:p w14:paraId="21E95BF7" w14:textId="77777777" w:rsidR="00F76A63" w:rsidRDefault="00F76A63">
                  <w:pPr>
                    <w:adjustRightInd w:val="0"/>
                    <w:snapToGrid w:val="0"/>
                    <w:contextualSpacing/>
                    <w:jc w:val="center"/>
                    <w:rPr>
                      <w:sz w:val="18"/>
                      <w:szCs w:val="18"/>
                    </w:rPr>
                  </w:pPr>
                </w:p>
              </w:tc>
              <w:tc>
                <w:tcPr>
                  <w:tcW w:w="1302" w:type="pct"/>
                  <w:vMerge/>
                  <w:vAlign w:val="center"/>
                </w:tcPr>
                <w:p w14:paraId="1079D6FE" w14:textId="77777777" w:rsidR="00F76A63" w:rsidRDefault="00F76A63">
                  <w:pPr>
                    <w:widowControl/>
                    <w:contextualSpacing/>
                    <w:jc w:val="center"/>
                    <w:rPr>
                      <w:sz w:val="18"/>
                      <w:szCs w:val="18"/>
                    </w:rPr>
                  </w:pPr>
                </w:p>
              </w:tc>
              <w:tc>
                <w:tcPr>
                  <w:tcW w:w="699" w:type="pct"/>
                  <w:vAlign w:val="center"/>
                </w:tcPr>
                <w:p w14:paraId="2D3993F5"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14EDF500" w14:textId="77777777" w:rsidR="00F76A63" w:rsidRDefault="00000000">
                  <w:pPr>
                    <w:adjustRightInd w:val="0"/>
                    <w:snapToGrid w:val="0"/>
                    <w:contextualSpacing/>
                    <w:jc w:val="center"/>
                    <w:rPr>
                      <w:rFonts w:eastAsia="Arial Unicode MS"/>
                      <w:sz w:val="18"/>
                      <w:szCs w:val="18"/>
                    </w:rPr>
                  </w:pPr>
                  <w:r>
                    <w:rPr>
                      <w:rFonts w:hint="eastAsia"/>
                      <w:sz w:val="18"/>
                      <w:szCs w:val="18"/>
                    </w:rPr>
                    <w:t>0.23</w:t>
                  </w:r>
                </w:p>
              </w:tc>
              <w:tc>
                <w:tcPr>
                  <w:tcW w:w="696" w:type="pct"/>
                  <w:vMerge/>
                  <w:vAlign w:val="center"/>
                </w:tcPr>
                <w:p w14:paraId="07DCB00F" w14:textId="77777777" w:rsidR="00F76A63" w:rsidRDefault="00F76A63">
                  <w:pPr>
                    <w:adjustRightInd w:val="0"/>
                    <w:snapToGrid w:val="0"/>
                    <w:contextualSpacing/>
                    <w:jc w:val="center"/>
                    <w:rPr>
                      <w:sz w:val="18"/>
                      <w:szCs w:val="18"/>
                    </w:rPr>
                  </w:pPr>
                </w:p>
              </w:tc>
            </w:tr>
            <w:tr w:rsidR="00F76A63" w14:paraId="7F203F13" w14:textId="77777777">
              <w:trPr>
                <w:trHeight w:val="340"/>
                <w:jc w:val="center"/>
              </w:trPr>
              <w:tc>
                <w:tcPr>
                  <w:tcW w:w="582" w:type="pct"/>
                  <w:vMerge/>
                  <w:vAlign w:val="center"/>
                </w:tcPr>
                <w:p w14:paraId="1227EB1E" w14:textId="77777777" w:rsidR="00F76A63" w:rsidRDefault="00F76A63">
                  <w:pPr>
                    <w:adjustRightInd w:val="0"/>
                    <w:snapToGrid w:val="0"/>
                    <w:contextualSpacing/>
                    <w:jc w:val="center"/>
                    <w:rPr>
                      <w:sz w:val="18"/>
                      <w:szCs w:val="18"/>
                    </w:rPr>
                  </w:pPr>
                </w:p>
              </w:tc>
              <w:tc>
                <w:tcPr>
                  <w:tcW w:w="798" w:type="pct"/>
                  <w:vMerge w:val="restart"/>
                  <w:vAlign w:val="center"/>
                </w:tcPr>
                <w:p w14:paraId="20739606" w14:textId="77777777" w:rsidR="00F76A63" w:rsidRDefault="00000000">
                  <w:pPr>
                    <w:adjustRightInd w:val="0"/>
                    <w:snapToGrid w:val="0"/>
                    <w:contextualSpacing/>
                    <w:jc w:val="center"/>
                    <w:rPr>
                      <w:sz w:val="18"/>
                      <w:szCs w:val="18"/>
                    </w:rPr>
                  </w:pPr>
                  <w:r>
                    <w:rPr>
                      <w:rFonts w:hint="eastAsia"/>
                      <w:sz w:val="18"/>
                      <w:szCs w:val="18"/>
                    </w:rPr>
                    <w:t>202402</w:t>
                  </w:r>
                </w:p>
              </w:tc>
              <w:tc>
                <w:tcPr>
                  <w:tcW w:w="1302" w:type="pct"/>
                  <w:vMerge w:val="restart"/>
                  <w:vAlign w:val="center"/>
                </w:tcPr>
                <w:p w14:paraId="0D4F1988" w14:textId="77777777" w:rsidR="00F76A63" w:rsidRDefault="00000000">
                  <w:pPr>
                    <w:widowControl/>
                    <w:contextualSpacing/>
                    <w:jc w:val="center"/>
                    <w:rPr>
                      <w:sz w:val="18"/>
                      <w:szCs w:val="18"/>
                    </w:rPr>
                  </w:pPr>
                  <w:r>
                    <w:rPr>
                      <w:rFonts w:hint="eastAsia"/>
                      <w:sz w:val="18"/>
                      <w:szCs w:val="18"/>
                    </w:rPr>
                    <w:t>189504.02</w:t>
                  </w:r>
                </w:p>
              </w:tc>
              <w:tc>
                <w:tcPr>
                  <w:tcW w:w="699" w:type="pct"/>
                  <w:vAlign w:val="center"/>
                </w:tcPr>
                <w:p w14:paraId="2E933679"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609D7F0C" w14:textId="77777777" w:rsidR="00F76A63" w:rsidRDefault="00000000">
                  <w:pPr>
                    <w:adjustRightInd w:val="0"/>
                    <w:snapToGrid w:val="0"/>
                    <w:contextualSpacing/>
                    <w:jc w:val="center"/>
                    <w:rPr>
                      <w:rFonts w:eastAsia="Arial Unicode MS"/>
                      <w:sz w:val="18"/>
                      <w:szCs w:val="18"/>
                    </w:rPr>
                  </w:pPr>
                  <w:r>
                    <w:rPr>
                      <w:rFonts w:hint="eastAsia"/>
                      <w:sz w:val="18"/>
                      <w:szCs w:val="18"/>
                    </w:rPr>
                    <w:t>0.26</w:t>
                  </w:r>
                </w:p>
              </w:tc>
              <w:tc>
                <w:tcPr>
                  <w:tcW w:w="696" w:type="pct"/>
                  <w:vMerge w:val="restart"/>
                  <w:vAlign w:val="center"/>
                </w:tcPr>
                <w:p w14:paraId="151FC6F4" w14:textId="77777777" w:rsidR="00F76A63" w:rsidRDefault="00000000">
                  <w:pPr>
                    <w:adjustRightInd w:val="0"/>
                    <w:snapToGrid w:val="0"/>
                    <w:contextualSpacing/>
                    <w:jc w:val="center"/>
                    <w:rPr>
                      <w:sz w:val="18"/>
                      <w:szCs w:val="18"/>
                    </w:rPr>
                  </w:pPr>
                  <w:r>
                    <w:rPr>
                      <w:sz w:val="18"/>
                      <w:szCs w:val="18"/>
                    </w:rPr>
                    <w:t>/</w:t>
                  </w:r>
                </w:p>
              </w:tc>
            </w:tr>
            <w:tr w:rsidR="00F76A63" w14:paraId="1CA24AE1" w14:textId="77777777">
              <w:trPr>
                <w:trHeight w:val="340"/>
                <w:jc w:val="center"/>
              </w:trPr>
              <w:tc>
                <w:tcPr>
                  <w:tcW w:w="582" w:type="pct"/>
                  <w:vMerge/>
                  <w:vAlign w:val="center"/>
                </w:tcPr>
                <w:p w14:paraId="1320C433" w14:textId="77777777" w:rsidR="00F76A63" w:rsidRDefault="00F76A63">
                  <w:pPr>
                    <w:adjustRightInd w:val="0"/>
                    <w:snapToGrid w:val="0"/>
                    <w:contextualSpacing/>
                    <w:jc w:val="center"/>
                    <w:rPr>
                      <w:sz w:val="18"/>
                      <w:szCs w:val="18"/>
                    </w:rPr>
                  </w:pPr>
                </w:p>
              </w:tc>
              <w:tc>
                <w:tcPr>
                  <w:tcW w:w="798" w:type="pct"/>
                  <w:vMerge/>
                  <w:vAlign w:val="center"/>
                </w:tcPr>
                <w:p w14:paraId="6B139B96" w14:textId="77777777" w:rsidR="00F76A63" w:rsidRDefault="00F76A63">
                  <w:pPr>
                    <w:adjustRightInd w:val="0"/>
                    <w:snapToGrid w:val="0"/>
                    <w:contextualSpacing/>
                    <w:jc w:val="center"/>
                    <w:rPr>
                      <w:sz w:val="18"/>
                      <w:szCs w:val="18"/>
                    </w:rPr>
                  </w:pPr>
                </w:p>
              </w:tc>
              <w:tc>
                <w:tcPr>
                  <w:tcW w:w="1302" w:type="pct"/>
                  <w:vMerge/>
                  <w:vAlign w:val="center"/>
                </w:tcPr>
                <w:p w14:paraId="6A44B922" w14:textId="77777777" w:rsidR="00F76A63" w:rsidRDefault="00F76A63">
                  <w:pPr>
                    <w:widowControl/>
                    <w:contextualSpacing/>
                    <w:jc w:val="center"/>
                    <w:rPr>
                      <w:sz w:val="18"/>
                      <w:szCs w:val="18"/>
                    </w:rPr>
                  </w:pPr>
                </w:p>
              </w:tc>
              <w:tc>
                <w:tcPr>
                  <w:tcW w:w="699" w:type="pct"/>
                  <w:vAlign w:val="center"/>
                </w:tcPr>
                <w:p w14:paraId="697F4011"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51C9A989" w14:textId="77777777" w:rsidR="00F76A63" w:rsidRDefault="00000000">
                  <w:pPr>
                    <w:adjustRightInd w:val="0"/>
                    <w:snapToGrid w:val="0"/>
                    <w:contextualSpacing/>
                    <w:jc w:val="center"/>
                    <w:rPr>
                      <w:rFonts w:eastAsia="Arial Unicode MS"/>
                      <w:sz w:val="18"/>
                      <w:szCs w:val="18"/>
                    </w:rPr>
                  </w:pPr>
                  <w:r>
                    <w:rPr>
                      <w:rFonts w:hint="eastAsia"/>
                      <w:sz w:val="18"/>
                      <w:szCs w:val="18"/>
                    </w:rPr>
                    <w:t>0.18</w:t>
                  </w:r>
                </w:p>
              </w:tc>
              <w:tc>
                <w:tcPr>
                  <w:tcW w:w="696" w:type="pct"/>
                  <w:vMerge/>
                  <w:vAlign w:val="center"/>
                </w:tcPr>
                <w:p w14:paraId="4079D30C" w14:textId="77777777" w:rsidR="00F76A63" w:rsidRDefault="00F76A63">
                  <w:pPr>
                    <w:adjustRightInd w:val="0"/>
                    <w:snapToGrid w:val="0"/>
                    <w:contextualSpacing/>
                    <w:jc w:val="center"/>
                    <w:rPr>
                      <w:sz w:val="18"/>
                      <w:szCs w:val="18"/>
                    </w:rPr>
                  </w:pPr>
                </w:p>
              </w:tc>
            </w:tr>
            <w:tr w:rsidR="00F76A63" w14:paraId="76AD4EF8" w14:textId="77777777">
              <w:trPr>
                <w:trHeight w:val="340"/>
                <w:jc w:val="center"/>
              </w:trPr>
              <w:tc>
                <w:tcPr>
                  <w:tcW w:w="582" w:type="pct"/>
                  <w:vMerge/>
                  <w:vAlign w:val="center"/>
                </w:tcPr>
                <w:p w14:paraId="191F5336" w14:textId="77777777" w:rsidR="00F76A63" w:rsidRDefault="00F76A63">
                  <w:pPr>
                    <w:adjustRightInd w:val="0"/>
                    <w:snapToGrid w:val="0"/>
                    <w:contextualSpacing/>
                    <w:jc w:val="center"/>
                    <w:rPr>
                      <w:sz w:val="18"/>
                      <w:szCs w:val="18"/>
                    </w:rPr>
                  </w:pPr>
                </w:p>
              </w:tc>
              <w:tc>
                <w:tcPr>
                  <w:tcW w:w="798" w:type="pct"/>
                  <w:vMerge/>
                  <w:vAlign w:val="center"/>
                </w:tcPr>
                <w:p w14:paraId="61C7FE4E" w14:textId="77777777" w:rsidR="00F76A63" w:rsidRDefault="00F76A63">
                  <w:pPr>
                    <w:adjustRightInd w:val="0"/>
                    <w:snapToGrid w:val="0"/>
                    <w:contextualSpacing/>
                    <w:jc w:val="center"/>
                    <w:rPr>
                      <w:sz w:val="18"/>
                      <w:szCs w:val="18"/>
                    </w:rPr>
                  </w:pPr>
                </w:p>
              </w:tc>
              <w:tc>
                <w:tcPr>
                  <w:tcW w:w="1302" w:type="pct"/>
                  <w:vMerge/>
                  <w:vAlign w:val="center"/>
                </w:tcPr>
                <w:p w14:paraId="5073DF4F" w14:textId="77777777" w:rsidR="00F76A63" w:rsidRDefault="00F76A63">
                  <w:pPr>
                    <w:widowControl/>
                    <w:contextualSpacing/>
                    <w:jc w:val="center"/>
                    <w:rPr>
                      <w:sz w:val="18"/>
                      <w:szCs w:val="18"/>
                    </w:rPr>
                  </w:pPr>
                </w:p>
              </w:tc>
              <w:tc>
                <w:tcPr>
                  <w:tcW w:w="699" w:type="pct"/>
                  <w:vAlign w:val="center"/>
                </w:tcPr>
                <w:p w14:paraId="084AC5E6"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3796C71F" w14:textId="77777777" w:rsidR="00F76A63" w:rsidRDefault="00000000">
                  <w:pPr>
                    <w:adjustRightInd w:val="0"/>
                    <w:snapToGrid w:val="0"/>
                    <w:contextualSpacing/>
                    <w:jc w:val="center"/>
                    <w:rPr>
                      <w:rFonts w:eastAsia="Arial Unicode MS"/>
                      <w:sz w:val="18"/>
                      <w:szCs w:val="18"/>
                    </w:rPr>
                  </w:pPr>
                  <w:r>
                    <w:rPr>
                      <w:rFonts w:hint="eastAsia"/>
                      <w:sz w:val="18"/>
                      <w:szCs w:val="18"/>
                    </w:rPr>
                    <w:t>0.20</w:t>
                  </w:r>
                </w:p>
              </w:tc>
              <w:tc>
                <w:tcPr>
                  <w:tcW w:w="696" w:type="pct"/>
                  <w:vMerge/>
                  <w:vAlign w:val="center"/>
                </w:tcPr>
                <w:p w14:paraId="2E61BD70" w14:textId="77777777" w:rsidR="00F76A63" w:rsidRDefault="00F76A63">
                  <w:pPr>
                    <w:adjustRightInd w:val="0"/>
                    <w:snapToGrid w:val="0"/>
                    <w:contextualSpacing/>
                    <w:jc w:val="center"/>
                    <w:rPr>
                      <w:sz w:val="18"/>
                      <w:szCs w:val="18"/>
                    </w:rPr>
                  </w:pPr>
                </w:p>
              </w:tc>
            </w:tr>
            <w:tr w:rsidR="00F76A63" w14:paraId="7667F24F" w14:textId="77777777">
              <w:trPr>
                <w:trHeight w:val="340"/>
                <w:jc w:val="center"/>
              </w:trPr>
              <w:tc>
                <w:tcPr>
                  <w:tcW w:w="582" w:type="pct"/>
                  <w:vMerge/>
                  <w:vAlign w:val="center"/>
                </w:tcPr>
                <w:p w14:paraId="71BB85C3" w14:textId="77777777" w:rsidR="00F76A63" w:rsidRDefault="00F76A63">
                  <w:pPr>
                    <w:adjustRightInd w:val="0"/>
                    <w:snapToGrid w:val="0"/>
                    <w:contextualSpacing/>
                    <w:jc w:val="center"/>
                    <w:rPr>
                      <w:sz w:val="18"/>
                      <w:szCs w:val="18"/>
                    </w:rPr>
                  </w:pPr>
                </w:p>
              </w:tc>
              <w:tc>
                <w:tcPr>
                  <w:tcW w:w="798" w:type="pct"/>
                  <w:vMerge w:val="restart"/>
                  <w:vAlign w:val="center"/>
                </w:tcPr>
                <w:p w14:paraId="42078BD7" w14:textId="77777777" w:rsidR="00F76A63" w:rsidRDefault="00000000">
                  <w:pPr>
                    <w:adjustRightInd w:val="0"/>
                    <w:snapToGrid w:val="0"/>
                    <w:contextualSpacing/>
                    <w:jc w:val="center"/>
                    <w:rPr>
                      <w:sz w:val="18"/>
                      <w:szCs w:val="18"/>
                    </w:rPr>
                  </w:pPr>
                  <w:r>
                    <w:rPr>
                      <w:rFonts w:hint="eastAsia"/>
                      <w:sz w:val="18"/>
                      <w:szCs w:val="18"/>
                    </w:rPr>
                    <w:t>202403</w:t>
                  </w:r>
                </w:p>
              </w:tc>
              <w:tc>
                <w:tcPr>
                  <w:tcW w:w="1302" w:type="pct"/>
                  <w:vMerge w:val="restart"/>
                  <w:vAlign w:val="center"/>
                </w:tcPr>
                <w:p w14:paraId="368C96A4" w14:textId="77777777" w:rsidR="00F76A63" w:rsidRDefault="00000000">
                  <w:pPr>
                    <w:widowControl/>
                    <w:contextualSpacing/>
                    <w:jc w:val="center"/>
                    <w:rPr>
                      <w:sz w:val="18"/>
                      <w:szCs w:val="18"/>
                    </w:rPr>
                  </w:pPr>
                  <w:r>
                    <w:rPr>
                      <w:rFonts w:hint="eastAsia"/>
                      <w:sz w:val="18"/>
                      <w:szCs w:val="18"/>
                    </w:rPr>
                    <w:t>423274.06</w:t>
                  </w:r>
                </w:p>
              </w:tc>
              <w:tc>
                <w:tcPr>
                  <w:tcW w:w="699" w:type="pct"/>
                  <w:vAlign w:val="center"/>
                </w:tcPr>
                <w:p w14:paraId="4A7BDBC2"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0CAA7493" w14:textId="77777777" w:rsidR="00F76A63" w:rsidRDefault="00000000">
                  <w:pPr>
                    <w:adjustRightInd w:val="0"/>
                    <w:snapToGrid w:val="0"/>
                    <w:contextualSpacing/>
                    <w:jc w:val="center"/>
                    <w:rPr>
                      <w:rFonts w:eastAsia="Arial Unicode MS"/>
                      <w:sz w:val="18"/>
                      <w:szCs w:val="18"/>
                    </w:rPr>
                  </w:pPr>
                  <w:r>
                    <w:rPr>
                      <w:rFonts w:hint="eastAsia"/>
                      <w:sz w:val="18"/>
                      <w:szCs w:val="18"/>
                    </w:rPr>
                    <w:t>0.31</w:t>
                  </w:r>
                </w:p>
              </w:tc>
              <w:tc>
                <w:tcPr>
                  <w:tcW w:w="696" w:type="pct"/>
                  <w:vMerge w:val="restart"/>
                  <w:vAlign w:val="center"/>
                </w:tcPr>
                <w:p w14:paraId="0246EFBE" w14:textId="77777777" w:rsidR="00F76A63" w:rsidRDefault="00000000">
                  <w:pPr>
                    <w:adjustRightInd w:val="0"/>
                    <w:snapToGrid w:val="0"/>
                    <w:contextualSpacing/>
                    <w:jc w:val="center"/>
                    <w:rPr>
                      <w:sz w:val="18"/>
                      <w:szCs w:val="18"/>
                    </w:rPr>
                  </w:pPr>
                  <w:r>
                    <w:rPr>
                      <w:sz w:val="18"/>
                      <w:szCs w:val="18"/>
                    </w:rPr>
                    <w:t>/</w:t>
                  </w:r>
                </w:p>
              </w:tc>
            </w:tr>
            <w:tr w:rsidR="00F76A63" w14:paraId="6897FF5D" w14:textId="77777777">
              <w:trPr>
                <w:trHeight w:val="340"/>
                <w:jc w:val="center"/>
              </w:trPr>
              <w:tc>
                <w:tcPr>
                  <w:tcW w:w="582" w:type="pct"/>
                  <w:vMerge/>
                  <w:vAlign w:val="center"/>
                </w:tcPr>
                <w:p w14:paraId="0CC7B9F0" w14:textId="77777777" w:rsidR="00F76A63" w:rsidRDefault="00F76A63">
                  <w:pPr>
                    <w:adjustRightInd w:val="0"/>
                    <w:snapToGrid w:val="0"/>
                    <w:contextualSpacing/>
                    <w:jc w:val="center"/>
                    <w:rPr>
                      <w:sz w:val="18"/>
                      <w:szCs w:val="18"/>
                    </w:rPr>
                  </w:pPr>
                </w:p>
              </w:tc>
              <w:tc>
                <w:tcPr>
                  <w:tcW w:w="798" w:type="pct"/>
                  <w:vMerge/>
                  <w:vAlign w:val="center"/>
                </w:tcPr>
                <w:p w14:paraId="6534F2B1" w14:textId="77777777" w:rsidR="00F76A63" w:rsidRDefault="00F76A63">
                  <w:pPr>
                    <w:adjustRightInd w:val="0"/>
                    <w:snapToGrid w:val="0"/>
                    <w:contextualSpacing/>
                    <w:jc w:val="center"/>
                    <w:rPr>
                      <w:sz w:val="18"/>
                      <w:szCs w:val="18"/>
                    </w:rPr>
                  </w:pPr>
                </w:p>
              </w:tc>
              <w:tc>
                <w:tcPr>
                  <w:tcW w:w="1302" w:type="pct"/>
                  <w:vMerge/>
                  <w:vAlign w:val="center"/>
                </w:tcPr>
                <w:p w14:paraId="3B4F6D95" w14:textId="77777777" w:rsidR="00F76A63" w:rsidRDefault="00F76A63">
                  <w:pPr>
                    <w:widowControl/>
                    <w:contextualSpacing/>
                    <w:jc w:val="center"/>
                    <w:rPr>
                      <w:sz w:val="18"/>
                      <w:szCs w:val="18"/>
                    </w:rPr>
                  </w:pPr>
                </w:p>
              </w:tc>
              <w:tc>
                <w:tcPr>
                  <w:tcW w:w="699" w:type="pct"/>
                  <w:vAlign w:val="center"/>
                </w:tcPr>
                <w:p w14:paraId="712BBB93"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35C7FD6D" w14:textId="77777777" w:rsidR="00F76A63" w:rsidRDefault="00000000">
                  <w:pPr>
                    <w:adjustRightInd w:val="0"/>
                    <w:snapToGrid w:val="0"/>
                    <w:contextualSpacing/>
                    <w:jc w:val="center"/>
                    <w:rPr>
                      <w:rFonts w:eastAsia="Arial Unicode MS"/>
                      <w:sz w:val="18"/>
                      <w:szCs w:val="18"/>
                    </w:rPr>
                  </w:pPr>
                  <w:r>
                    <w:rPr>
                      <w:rFonts w:hint="eastAsia"/>
                      <w:sz w:val="18"/>
                      <w:szCs w:val="18"/>
                    </w:rPr>
                    <w:t>0.18</w:t>
                  </w:r>
                </w:p>
              </w:tc>
              <w:tc>
                <w:tcPr>
                  <w:tcW w:w="696" w:type="pct"/>
                  <w:vMerge/>
                  <w:vAlign w:val="center"/>
                </w:tcPr>
                <w:p w14:paraId="5451FE5C" w14:textId="77777777" w:rsidR="00F76A63" w:rsidRDefault="00F76A63">
                  <w:pPr>
                    <w:adjustRightInd w:val="0"/>
                    <w:snapToGrid w:val="0"/>
                    <w:contextualSpacing/>
                    <w:jc w:val="center"/>
                    <w:rPr>
                      <w:sz w:val="18"/>
                      <w:szCs w:val="18"/>
                    </w:rPr>
                  </w:pPr>
                </w:p>
              </w:tc>
            </w:tr>
            <w:tr w:rsidR="00F76A63" w14:paraId="2AF24138" w14:textId="77777777">
              <w:trPr>
                <w:trHeight w:val="340"/>
                <w:jc w:val="center"/>
              </w:trPr>
              <w:tc>
                <w:tcPr>
                  <w:tcW w:w="582" w:type="pct"/>
                  <w:vMerge/>
                  <w:vAlign w:val="center"/>
                </w:tcPr>
                <w:p w14:paraId="2A2C7ADD" w14:textId="77777777" w:rsidR="00F76A63" w:rsidRDefault="00F76A63">
                  <w:pPr>
                    <w:adjustRightInd w:val="0"/>
                    <w:snapToGrid w:val="0"/>
                    <w:contextualSpacing/>
                    <w:jc w:val="center"/>
                    <w:rPr>
                      <w:sz w:val="18"/>
                      <w:szCs w:val="18"/>
                    </w:rPr>
                  </w:pPr>
                </w:p>
              </w:tc>
              <w:tc>
                <w:tcPr>
                  <w:tcW w:w="798" w:type="pct"/>
                  <w:vMerge/>
                  <w:vAlign w:val="center"/>
                </w:tcPr>
                <w:p w14:paraId="07722F3B" w14:textId="77777777" w:rsidR="00F76A63" w:rsidRDefault="00F76A63">
                  <w:pPr>
                    <w:adjustRightInd w:val="0"/>
                    <w:snapToGrid w:val="0"/>
                    <w:contextualSpacing/>
                    <w:jc w:val="center"/>
                    <w:rPr>
                      <w:sz w:val="18"/>
                      <w:szCs w:val="18"/>
                    </w:rPr>
                  </w:pPr>
                </w:p>
              </w:tc>
              <w:tc>
                <w:tcPr>
                  <w:tcW w:w="1302" w:type="pct"/>
                  <w:vMerge/>
                  <w:vAlign w:val="center"/>
                </w:tcPr>
                <w:p w14:paraId="428A8DBA" w14:textId="77777777" w:rsidR="00F76A63" w:rsidRDefault="00F76A63">
                  <w:pPr>
                    <w:widowControl/>
                    <w:contextualSpacing/>
                    <w:jc w:val="center"/>
                    <w:rPr>
                      <w:sz w:val="18"/>
                      <w:szCs w:val="18"/>
                    </w:rPr>
                  </w:pPr>
                </w:p>
              </w:tc>
              <w:tc>
                <w:tcPr>
                  <w:tcW w:w="699" w:type="pct"/>
                  <w:vAlign w:val="center"/>
                </w:tcPr>
                <w:p w14:paraId="586BE140"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3DAD356F" w14:textId="77777777" w:rsidR="00F76A63" w:rsidRDefault="00000000">
                  <w:pPr>
                    <w:adjustRightInd w:val="0"/>
                    <w:snapToGrid w:val="0"/>
                    <w:contextualSpacing/>
                    <w:jc w:val="center"/>
                    <w:rPr>
                      <w:rFonts w:eastAsia="Arial Unicode MS"/>
                      <w:sz w:val="18"/>
                      <w:szCs w:val="18"/>
                    </w:rPr>
                  </w:pPr>
                  <w:r>
                    <w:rPr>
                      <w:rFonts w:hint="eastAsia"/>
                      <w:sz w:val="18"/>
                      <w:szCs w:val="18"/>
                    </w:rPr>
                    <w:t>0.24</w:t>
                  </w:r>
                </w:p>
              </w:tc>
              <w:tc>
                <w:tcPr>
                  <w:tcW w:w="696" w:type="pct"/>
                  <w:vMerge/>
                  <w:vAlign w:val="center"/>
                </w:tcPr>
                <w:p w14:paraId="38E7AD5B" w14:textId="77777777" w:rsidR="00F76A63" w:rsidRDefault="00F76A63">
                  <w:pPr>
                    <w:adjustRightInd w:val="0"/>
                    <w:snapToGrid w:val="0"/>
                    <w:contextualSpacing/>
                    <w:jc w:val="center"/>
                    <w:rPr>
                      <w:sz w:val="18"/>
                      <w:szCs w:val="18"/>
                    </w:rPr>
                  </w:pPr>
                </w:p>
              </w:tc>
            </w:tr>
            <w:tr w:rsidR="00F76A63" w14:paraId="046CC480" w14:textId="77777777">
              <w:trPr>
                <w:trHeight w:val="340"/>
                <w:jc w:val="center"/>
              </w:trPr>
              <w:tc>
                <w:tcPr>
                  <w:tcW w:w="582" w:type="pct"/>
                  <w:vMerge/>
                  <w:vAlign w:val="center"/>
                </w:tcPr>
                <w:p w14:paraId="2ABCCDEC" w14:textId="77777777" w:rsidR="00F76A63" w:rsidRDefault="00F76A63">
                  <w:pPr>
                    <w:adjustRightInd w:val="0"/>
                    <w:snapToGrid w:val="0"/>
                    <w:contextualSpacing/>
                    <w:jc w:val="center"/>
                    <w:rPr>
                      <w:sz w:val="18"/>
                      <w:szCs w:val="18"/>
                    </w:rPr>
                  </w:pPr>
                </w:p>
              </w:tc>
              <w:tc>
                <w:tcPr>
                  <w:tcW w:w="798" w:type="pct"/>
                  <w:vMerge w:val="restart"/>
                  <w:vAlign w:val="center"/>
                </w:tcPr>
                <w:p w14:paraId="2834A2A3" w14:textId="77777777" w:rsidR="00F76A63" w:rsidRDefault="00000000">
                  <w:pPr>
                    <w:adjustRightInd w:val="0"/>
                    <w:snapToGrid w:val="0"/>
                    <w:contextualSpacing/>
                    <w:jc w:val="center"/>
                    <w:rPr>
                      <w:sz w:val="18"/>
                      <w:szCs w:val="18"/>
                    </w:rPr>
                  </w:pPr>
                  <w:r>
                    <w:rPr>
                      <w:rFonts w:hint="eastAsia"/>
                      <w:sz w:val="18"/>
                      <w:szCs w:val="18"/>
                    </w:rPr>
                    <w:t>202404</w:t>
                  </w:r>
                </w:p>
              </w:tc>
              <w:tc>
                <w:tcPr>
                  <w:tcW w:w="1302" w:type="pct"/>
                  <w:vMerge w:val="restart"/>
                  <w:vAlign w:val="center"/>
                </w:tcPr>
                <w:p w14:paraId="06502122" w14:textId="77777777" w:rsidR="00F76A63" w:rsidRDefault="00000000">
                  <w:pPr>
                    <w:widowControl/>
                    <w:contextualSpacing/>
                    <w:jc w:val="center"/>
                    <w:rPr>
                      <w:sz w:val="18"/>
                      <w:szCs w:val="18"/>
                    </w:rPr>
                  </w:pPr>
                  <w:r>
                    <w:rPr>
                      <w:rFonts w:hint="eastAsia"/>
                      <w:sz w:val="18"/>
                      <w:szCs w:val="18"/>
                    </w:rPr>
                    <w:t>424636.39</w:t>
                  </w:r>
                </w:p>
              </w:tc>
              <w:tc>
                <w:tcPr>
                  <w:tcW w:w="699" w:type="pct"/>
                  <w:vAlign w:val="center"/>
                </w:tcPr>
                <w:p w14:paraId="4B13C7A1"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50DE40C2" w14:textId="77777777" w:rsidR="00F76A63" w:rsidRDefault="00000000">
                  <w:pPr>
                    <w:adjustRightInd w:val="0"/>
                    <w:snapToGrid w:val="0"/>
                    <w:contextualSpacing/>
                    <w:jc w:val="center"/>
                    <w:rPr>
                      <w:rFonts w:eastAsia="Arial Unicode MS"/>
                      <w:sz w:val="18"/>
                      <w:szCs w:val="18"/>
                    </w:rPr>
                  </w:pPr>
                  <w:r>
                    <w:rPr>
                      <w:rFonts w:hint="eastAsia"/>
                      <w:sz w:val="18"/>
                      <w:szCs w:val="18"/>
                    </w:rPr>
                    <w:t>0.28</w:t>
                  </w:r>
                </w:p>
              </w:tc>
              <w:tc>
                <w:tcPr>
                  <w:tcW w:w="696" w:type="pct"/>
                  <w:vMerge w:val="restart"/>
                  <w:vAlign w:val="center"/>
                </w:tcPr>
                <w:p w14:paraId="79672113" w14:textId="77777777" w:rsidR="00F76A63" w:rsidRDefault="00000000">
                  <w:pPr>
                    <w:adjustRightInd w:val="0"/>
                    <w:snapToGrid w:val="0"/>
                    <w:contextualSpacing/>
                    <w:jc w:val="center"/>
                    <w:rPr>
                      <w:sz w:val="18"/>
                      <w:szCs w:val="18"/>
                    </w:rPr>
                  </w:pPr>
                  <w:r>
                    <w:rPr>
                      <w:sz w:val="18"/>
                      <w:szCs w:val="18"/>
                    </w:rPr>
                    <w:t>/</w:t>
                  </w:r>
                </w:p>
              </w:tc>
            </w:tr>
            <w:tr w:rsidR="00F76A63" w14:paraId="460C55B1" w14:textId="77777777">
              <w:trPr>
                <w:trHeight w:val="340"/>
                <w:jc w:val="center"/>
              </w:trPr>
              <w:tc>
                <w:tcPr>
                  <w:tcW w:w="582" w:type="pct"/>
                  <w:vMerge/>
                  <w:vAlign w:val="center"/>
                </w:tcPr>
                <w:p w14:paraId="5BBB19DF" w14:textId="77777777" w:rsidR="00F76A63" w:rsidRDefault="00F76A63">
                  <w:pPr>
                    <w:adjustRightInd w:val="0"/>
                    <w:snapToGrid w:val="0"/>
                    <w:contextualSpacing/>
                    <w:jc w:val="center"/>
                    <w:rPr>
                      <w:sz w:val="18"/>
                      <w:szCs w:val="18"/>
                    </w:rPr>
                  </w:pPr>
                </w:p>
              </w:tc>
              <w:tc>
                <w:tcPr>
                  <w:tcW w:w="798" w:type="pct"/>
                  <w:vMerge/>
                  <w:vAlign w:val="center"/>
                </w:tcPr>
                <w:p w14:paraId="33DC62C5" w14:textId="77777777" w:rsidR="00F76A63" w:rsidRDefault="00F76A63">
                  <w:pPr>
                    <w:adjustRightInd w:val="0"/>
                    <w:snapToGrid w:val="0"/>
                    <w:contextualSpacing/>
                    <w:jc w:val="center"/>
                    <w:rPr>
                      <w:sz w:val="18"/>
                      <w:szCs w:val="18"/>
                    </w:rPr>
                  </w:pPr>
                </w:p>
              </w:tc>
              <w:tc>
                <w:tcPr>
                  <w:tcW w:w="1302" w:type="pct"/>
                  <w:vMerge/>
                  <w:vAlign w:val="center"/>
                </w:tcPr>
                <w:p w14:paraId="28C5E27B" w14:textId="77777777" w:rsidR="00F76A63" w:rsidRDefault="00F76A63">
                  <w:pPr>
                    <w:widowControl/>
                    <w:contextualSpacing/>
                    <w:jc w:val="center"/>
                    <w:rPr>
                      <w:sz w:val="18"/>
                      <w:szCs w:val="18"/>
                    </w:rPr>
                  </w:pPr>
                </w:p>
              </w:tc>
              <w:tc>
                <w:tcPr>
                  <w:tcW w:w="699" w:type="pct"/>
                  <w:vAlign w:val="center"/>
                </w:tcPr>
                <w:p w14:paraId="4A8E4407"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4ED494FD" w14:textId="77777777" w:rsidR="00F76A63" w:rsidRDefault="00000000">
                  <w:pPr>
                    <w:adjustRightInd w:val="0"/>
                    <w:snapToGrid w:val="0"/>
                    <w:contextualSpacing/>
                    <w:jc w:val="center"/>
                    <w:rPr>
                      <w:rFonts w:eastAsia="Arial Unicode MS"/>
                      <w:sz w:val="18"/>
                      <w:szCs w:val="18"/>
                    </w:rPr>
                  </w:pPr>
                  <w:r>
                    <w:rPr>
                      <w:rFonts w:hint="eastAsia"/>
                      <w:sz w:val="18"/>
                      <w:szCs w:val="18"/>
                    </w:rPr>
                    <w:t>0.20</w:t>
                  </w:r>
                </w:p>
              </w:tc>
              <w:tc>
                <w:tcPr>
                  <w:tcW w:w="696" w:type="pct"/>
                  <w:vMerge/>
                  <w:vAlign w:val="center"/>
                </w:tcPr>
                <w:p w14:paraId="4C647C96" w14:textId="77777777" w:rsidR="00F76A63" w:rsidRDefault="00F76A63">
                  <w:pPr>
                    <w:adjustRightInd w:val="0"/>
                    <w:snapToGrid w:val="0"/>
                    <w:contextualSpacing/>
                    <w:jc w:val="center"/>
                    <w:rPr>
                      <w:sz w:val="18"/>
                      <w:szCs w:val="18"/>
                    </w:rPr>
                  </w:pPr>
                </w:p>
              </w:tc>
            </w:tr>
            <w:tr w:rsidR="00F76A63" w14:paraId="7DC2CE2F" w14:textId="77777777">
              <w:trPr>
                <w:trHeight w:val="340"/>
                <w:jc w:val="center"/>
              </w:trPr>
              <w:tc>
                <w:tcPr>
                  <w:tcW w:w="582" w:type="pct"/>
                  <w:vMerge/>
                  <w:vAlign w:val="center"/>
                </w:tcPr>
                <w:p w14:paraId="624040EA" w14:textId="77777777" w:rsidR="00F76A63" w:rsidRDefault="00F76A63">
                  <w:pPr>
                    <w:adjustRightInd w:val="0"/>
                    <w:snapToGrid w:val="0"/>
                    <w:contextualSpacing/>
                    <w:jc w:val="center"/>
                    <w:rPr>
                      <w:sz w:val="18"/>
                      <w:szCs w:val="18"/>
                    </w:rPr>
                  </w:pPr>
                </w:p>
              </w:tc>
              <w:tc>
                <w:tcPr>
                  <w:tcW w:w="798" w:type="pct"/>
                  <w:vMerge/>
                  <w:vAlign w:val="center"/>
                </w:tcPr>
                <w:p w14:paraId="56073423" w14:textId="77777777" w:rsidR="00F76A63" w:rsidRDefault="00F76A63">
                  <w:pPr>
                    <w:adjustRightInd w:val="0"/>
                    <w:snapToGrid w:val="0"/>
                    <w:contextualSpacing/>
                    <w:jc w:val="center"/>
                    <w:rPr>
                      <w:sz w:val="18"/>
                      <w:szCs w:val="18"/>
                    </w:rPr>
                  </w:pPr>
                </w:p>
              </w:tc>
              <w:tc>
                <w:tcPr>
                  <w:tcW w:w="1302" w:type="pct"/>
                  <w:vMerge/>
                  <w:vAlign w:val="center"/>
                </w:tcPr>
                <w:p w14:paraId="6D680877" w14:textId="77777777" w:rsidR="00F76A63" w:rsidRDefault="00F76A63">
                  <w:pPr>
                    <w:widowControl/>
                    <w:contextualSpacing/>
                    <w:jc w:val="center"/>
                    <w:rPr>
                      <w:sz w:val="18"/>
                      <w:szCs w:val="18"/>
                    </w:rPr>
                  </w:pPr>
                </w:p>
              </w:tc>
              <w:tc>
                <w:tcPr>
                  <w:tcW w:w="699" w:type="pct"/>
                  <w:vAlign w:val="center"/>
                </w:tcPr>
                <w:p w14:paraId="4B19B0B2"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339C730F" w14:textId="77777777" w:rsidR="00F76A63" w:rsidRDefault="00000000">
                  <w:pPr>
                    <w:adjustRightInd w:val="0"/>
                    <w:snapToGrid w:val="0"/>
                    <w:contextualSpacing/>
                    <w:jc w:val="center"/>
                    <w:rPr>
                      <w:rFonts w:eastAsia="Arial Unicode MS"/>
                      <w:sz w:val="18"/>
                      <w:szCs w:val="18"/>
                    </w:rPr>
                  </w:pPr>
                  <w:r>
                    <w:rPr>
                      <w:rFonts w:hint="eastAsia"/>
                      <w:sz w:val="18"/>
                      <w:szCs w:val="18"/>
                    </w:rPr>
                    <w:t>0.23</w:t>
                  </w:r>
                </w:p>
              </w:tc>
              <w:tc>
                <w:tcPr>
                  <w:tcW w:w="696" w:type="pct"/>
                  <w:vMerge/>
                  <w:vAlign w:val="center"/>
                </w:tcPr>
                <w:p w14:paraId="13F6CA7D" w14:textId="77777777" w:rsidR="00F76A63" w:rsidRDefault="00F76A63">
                  <w:pPr>
                    <w:adjustRightInd w:val="0"/>
                    <w:snapToGrid w:val="0"/>
                    <w:contextualSpacing/>
                    <w:jc w:val="center"/>
                    <w:rPr>
                      <w:sz w:val="18"/>
                      <w:szCs w:val="18"/>
                    </w:rPr>
                  </w:pPr>
                </w:p>
              </w:tc>
            </w:tr>
            <w:tr w:rsidR="00F76A63" w14:paraId="1879919C" w14:textId="77777777">
              <w:trPr>
                <w:trHeight w:val="340"/>
                <w:jc w:val="center"/>
              </w:trPr>
              <w:tc>
                <w:tcPr>
                  <w:tcW w:w="582" w:type="pct"/>
                  <w:vMerge/>
                  <w:vAlign w:val="center"/>
                </w:tcPr>
                <w:p w14:paraId="356CEACB" w14:textId="77777777" w:rsidR="00F76A63" w:rsidRDefault="00F76A63">
                  <w:pPr>
                    <w:adjustRightInd w:val="0"/>
                    <w:snapToGrid w:val="0"/>
                    <w:contextualSpacing/>
                    <w:jc w:val="center"/>
                    <w:rPr>
                      <w:sz w:val="18"/>
                      <w:szCs w:val="18"/>
                    </w:rPr>
                  </w:pPr>
                </w:p>
              </w:tc>
              <w:tc>
                <w:tcPr>
                  <w:tcW w:w="798" w:type="pct"/>
                  <w:vMerge w:val="restart"/>
                  <w:vAlign w:val="center"/>
                </w:tcPr>
                <w:p w14:paraId="2E784231" w14:textId="77777777" w:rsidR="00F76A63" w:rsidRDefault="00000000">
                  <w:pPr>
                    <w:adjustRightInd w:val="0"/>
                    <w:snapToGrid w:val="0"/>
                    <w:contextualSpacing/>
                    <w:jc w:val="center"/>
                    <w:rPr>
                      <w:sz w:val="18"/>
                      <w:szCs w:val="18"/>
                    </w:rPr>
                  </w:pPr>
                  <w:r>
                    <w:rPr>
                      <w:rFonts w:hint="eastAsia"/>
                      <w:sz w:val="18"/>
                      <w:szCs w:val="18"/>
                    </w:rPr>
                    <w:t>202405</w:t>
                  </w:r>
                </w:p>
              </w:tc>
              <w:tc>
                <w:tcPr>
                  <w:tcW w:w="1302" w:type="pct"/>
                  <w:vMerge w:val="restart"/>
                  <w:vAlign w:val="center"/>
                </w:tcPr>
                <w:p w14:paraId="56902079" w14:textId="77777777" w:rsidR="00F76A63" w:rsidRDefault="00000000">
                  <w:pPr>
                    <w:widowControl/>
                    <w:contextualSpacing/>
                    <w:jc w:val="center"/>
                    <w:rPr>
                      <w:sz w:val="18"/>
                      <w:szCs w:val="18"/>
                    </w:rPr>
                  </w:pPr>
                  <w:r>
                    <w:rPr>
                      <w:rFonts w:hint="eastAsia"/>
                      <w:sz w:val="18"/>
                      <w:szCs w:val="18"/>
                    </w:rPr>
                    <w:t>313509.57</w:t>
                  </w:r>
                </w:p>
              </w:tc>
              <w:tc>
                <w:tcPr>
                  <w:tcW w:w="699" w:type="pct"/>
                  <w:vAlign w:val="center"/>
                </w:tcPr>
                <w:p w14:paraId="723AB784"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519F42EE" w14:textId="77777777" w:rsidR="00F76A63" w:rsidRDefault="00000000">
                  <w:pPr>
                    <w:adjustRightInd w:val="0"/>
                    <w:snapToGrid w:val="0"/>
                    <w:contextualSpacing/>
                    <w:jc w:val="center"/>
                    <w:rPr>
                      <w:rFonts w:eastAsia="Arial Unicode MS"/>
                      <w:sz w:val="18"/>
                      <w:szCs w:val="18"/>
                    </w:rPr>
                  </w:pPr>
                  <w:r>
                    <w:rPr>
                      <w:rFonts w:hint="eastAsia"/>
                      <w:sz w:val="18"/>
                      <w:szCs w:val="18"/>
                    </w:rPr>
                    <w:t>0.39</w:t>
                  </w:r>
                </w:p>
              </w:tc>
              <w:tc>
                <w:tcPr>
                  <w:tcW w:w="696" w:type="pct"/>
                  <w:vMerge w:val="restart"/>
                  <w:vAlign w:val="center"/>
                </w:tcPr>
                <w:p w14:paraId="65D78797" w14:textId="77777777" w:rsidR="00F76A63" w:rsidRDefault="00000000">
                  <w:pPr>
                    <w:adjustRightInd w:val="0"/>
                    <w:snapToGrid w:val="0"/>
                    <w:contextualSpacing/>
                    <w:jc w:val="center"/>
                    <w:rPr>
                      <w:sz w:val="18"/>
                      <w:szCs w:val="18"/>
                    </w:rPr>
                  </w:pPr>
                  <w:r>
                    <w:rPr>
                      <w:sz w:val="18"/>
                      <w:szCs w:val="18"/>
                    </w:rPr>
                    <w:t>/</w:t>
                  </w:r>
                </w:p>
              </w:tc>
            </w:tr>
            <w:tr w:rsidR="00F76A63" w14:paraId="5932C9FB" w14:textId="77777777">
              <w:trPr>
                <w:trHeight w:val="340"/>
                <w:jc w:val="center"/>
              </w:trPr>
              <w:tc>
                <w:tcPr>
                  <w:tcW w:w="582" w:type="pct"/>
                  <w:vMerge/>
                  <w:vAlign w:val="center"/>
                </w:tcPr>
                <w:p w14:paraId="0AD3DAC7" w14:textId="77777777" w:rsidR="00F76A63" w:rsidRDefault="00F76A63">
                  <w:pPr>
                    <w:adjustRightInd w:val="0"/>
                    <w:snapToGrid w:val="0"/>
                    <w:contextualSpacing/>
                    <w:jc w:val="center"/>
                    <w:rPr>
                      <w:sz w:val="18"/>
                      <w:szCs w:val="18"/>
                    </w:rPr>
                  </w:pPr>
                </w:p>
              </w:tc>
              <w:tc>
                <w:tcPr>
                  <w:tcW w:w="798" w:type="pct"/>
                  <w:vMerge/>
                  <w:vAlign w:val="center"/>
                </w:tcPr>
                <w:p w14:paraId="7C7CB43E" w14:textId="77777777" w:rsidR="00F76A63" w:rsidRDefault="00F76A63">
                  <w:pPr>
                    <w:adjustRightInd w:val="0"/>
                    <w:snapToGrid w:val="0"/>
                    <w:contextualSpacing/>
                    <w:jc w:val="center"/>
                    <w:rPr>
                      <w:sz w:val="18"/>
                      <w:szCs w:val="18"/>
                    </w:rPr>
                  </w:pPr>
                </w:p>
              </w:tc>
              <w:tc>
                <w:tcPr>
                  <w:tcW w:w="1302" w:type="pct"/>
                  <w:vMerge/>
                  <w:vAlign w:val="center"/>
                </w:tcPr>
                <w:p w14:paraId="571BB851" w14:textId="77777777" w:rsidR="00F76A63" w:rsidRDefault="00F76A63">
                  <w:pPr>
                    <w:widowControl/>
                    <w:contextualSpacing/>
                    <w:jc w:val="center"/>
                    <w:rPr>
                      <w:sz w:val="18"/>
                      <w:szCs w:val="18"/>
                    </w:rPr>
                  </w:pPr>
                </w:p>
              </w:tc>
              <w:tc>
                <w:tcPr>
                  <w:tcW w:w="699" w:type="pct"/>
                  <w:vAlign w:val="center"/>
                </w:tcPr>
                <w:p w14:paraId="5D7AD6C3"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4C8DE0CA" w14:textId="77777777" w:rsidR="00F76A63" w:rsidRDefault="00000000">
                  <w:pPr>
                    <w:adjustRightInd w:val="0"/>
                    <w:snapToGrid w:val="0"/>
                    <w:contextualSpacing/>
                    <w:jc w:val="center"/>
                    <w:rPr>
                      <w:rFonts w:eastAsia="Arial Unicode MS"/>
                      <w:sz w:val="18"/>
                      <w:szCs w:val="18"/>
                    </w:rPr>
                  </w:pPr>
                  <w:r>
                    <w:rPr>
                      <w:rFonts w:hint="eastAsia"/>
                      <w:sz w:val="18"/>
                      <w:szCs w:val="18"/>
                    </w:rPr>
                    <w:t>0.21</w:t>
                  </w:r>
                </w:p>
              </w:tc>
              <w:tc>
                <w:tcPr>
                  <w:tcW w:w="696" w:type="pct"/>
                  <w:vMerge/>
                  <w:vAlign w:val="center"/>
                </w:tcPr>
                <w:p w14:paraId="79F57913" w14:textId="77777777" w:rsidR="00F76A63" w:rsidRDefault="00F76A63">
                  <w:pPr>
                    <w:adjustRightInd w:val="0"/>
                    <w:snapToGrid w:val="0"/>
                    <w:contextualSpacing/>
                    <w:jc w:val="center"/>
                    <w:rPr>
                      <w:sz w:val="18"/>
                      <w:szCs w:val="18"/>
                    </w:rPr>
                  </w:pPr>
                </w:p>
              </w:tc>
            </w:tr>
            <w:tr w:rsidR="00F76A63" w14:paraId="1C23940E" w14:textId="77777777">
              <w:trPr>
                <w:trHeight w:val="340"/>
                <w:jc w:val="center"/>
              </w:trPr>
              <w:tc>
                <w:tcPr>
                  <w:tcW w:w="582" w:type="pct"/>
                  <w:vMerge/>
                  <w:vAlign w:val="center"/>
                </w:tcPr>
                <w:p w14:paraId="0C7B9A99" w14:textId="77777777" w:rsidR="00F76A63" w:rsidRDefault="00F76A63">
                  <w:pPr>
                    <w:adjustRightInd w:val="0"/>
                    <w:snapToGrid w:val="0"/>
                    <w:contextualSpacing/>
                    <w:jc w:val="center"/>
                    <w:rPr>
                      <w:sz w:val="18"/>
                      <w:szCs w:val="18"/>
                    </w:rPr>
                  </w:pPr>
                </w:p>
              </w:tc>
              <w:tc>
                <w:tcPr>
                  <w:tcW w:w="798" w:type="pct"/>
                  <w:vMerge/>
                  <w:vAlign w:val="center"/>
                </w:tcPr>
                <w:p w14:paraId="7CE68F15" w14:textId="77777777" w:rsidR="00F76A63" w:rsidRDefault="00F76A63">
                  <w:pPr>
                    <w:adjustRightInd w:val="0"/>
                    <w:snapToGrid w:val="0"/>
                    <w:contextualSpacing/>
                    <w:jc w:val="center"/>
                    <w:rPr>
                      <w:sz w:val="18"/>
                      <w:szCs w:val="18"/>
                    </w:rPr>
                  </w:pPr>
                </w:p>
              </w:tc>
              <w:tc>
                <w:tcPr>
                  <w:tcW w:w="1302" w:type="pct"/>
                  <w:vMerge/>
                  <w:vAlign w:val="center"/>
                </w:tcPr>
                <w:p w14:paraId="340C1EFA" w14:textId="77777777" w:rsidR="00F76A63" w:rsidRDefault="00F76A63">
                  <w:pPr>
                    <w:widowControl/>
                    <w:contextualSpacing/>
                    <w:jc w:val="center"/>
                    <w:rPr>
                      <w:sz w:val="18"/>
                      <w:szCs w:val="18"/>
                    </w:rPr>
                  </w:pPr>
                </w:p>
              </w:tc>
              <w:tc>
                <w:tcPr>
                  <w:tcW w:w="699" w:type="pct"/>
                  <w:vAlign w:val="center"/>
                </w:tcPr>
                <w:p w14:paraId="500D2A85"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24251805" w14:textId="77777777" w:rsidR="00F76A63" w:rsidRDefault="00000000">
                  <w:pPr>
                    <w:adjustRightInd w:val="0"/>
                    <w:snapToGrid w:val="0"/>
                    <w:contextualSpacing/>
                    <w:jc w:val="center"/>
                    <w:rPr>
                      <w:rFonts w:eastAsia="Arial Unicode MS"/>
                      <w:sz w:val="18"/>
                      <w:szCs w:val="18"/>
                    </w:rPr>
                  </w:pPr>
                  <w:r>
                    <w:rPr>
                      <w:rFonts w:hint="eastAsia"/>
                      <w:sz w:val="18"/>
                      <w:szCs w:val="18"/>
                    </w:rPr>
                    <w:t>0.28</w:t>
                  </w:r>
                </w:p>
              </w:tc>
              <w:tc>
                <w:tcPr>
                  <w:tcW w:w="696" w:type="pct"/>
                  <w:vMerge/>
                  <w:vAlign w:val="center"/>
                </w:tcPr>
                <w:p w14:paraId="3E173A47" w14:textId="77777777" w:rsidR="00F76A63" w:rsidRDefault="00F76A63">
                  <w:pPr>
                    <w:adjustRightInd w:val="0"/>
                    <w:snapToGrid w:val="0"/>
                    <w:contextualSpacing/>
                    <w:jc w:val="center"/>
                    <w:rPr>
                      <w:sz w:val="18"/>
                      <w:szCs w:val="18"/>
                    </w:rPr>
                  </w:pPr>
                </w:p>
              </w:tc>
            </w:tr>
            <w:tr w:rsidR="00F76A63" w14:paraId="35171E70" w14:textId="77777777">
              <w:trPr>
                <w:trHeight w:val="340"/>
                <w:jc w:val="center"/>
              </w:trPr>
              <w:tc>
                <w:tcPr>
                  <w:tcW w:w="582" w:type="pct"/>
                  <w:vMerge/>
                  <w:vAlign w:val="center"/>
                </w:tcPr>
                <w:p w14:paraId="1BF3A3E5" w14:textId="77777777" w:rsidR="00F76A63" w:rsidRDefault="00F76A63">
                  <w:pPr>
                    <w:adjustRightInd w:val="0"/>
                    <w:snapToGrid w:val="0"/>
                    <w:contextualSpacing/>
                    <w:jc w:val="center"/>
                    <w:rPr>
                      <w:sz w:val="18"/>
                      <w:szCs w:val="18"/>
                    </w:rPr>
                  </w:pPr>
                </w:p>
              </w:tc>
              <w:tc>
                <w:tcPr>
                  <w:tcW w:w="798" w:type="pct"/>
                  <w:vMerge w:val="restart"/>
                  <w:vAlign w:val="center"/>
                </w:tcPr>
                <w:p w14:paraId="6CE3549E" w14:textId="77777777" w:rsidR="00F76A63" w:rsidRDefault="00000000">
                  <w:pPr>
                    <w:adjustRightInd w:val="0"/>
                    <w:snapToGrid w:val="0"/>
                    <w:contextualSpacing/>
                    <w:jc w:val="center"/>
                    <w:rPr>
                      <w:sz w:val="18"/>
                      <w:szCs w:val="18"/>
                    </w:rPr>
                  </w:pPr>
                  <w:r>
                    <w:rPr>
                      <w:rFonts w:hint="eastAsia"/>
                      <w:sz w:val="18"/>
                      <w:szCs w:val="18"/>
                    </w:rPr>
                    <w:t>202406</w:t>
                  </w:r>
                </w:p>
              </w:tc>
              <w:tc>
                <w:tcPr>
                  <w:tcW w:w="1302" w:type="pct"/>
                  <w:vMerge w:val="restart"/>
                  <w:vAlign w:val="center"/>
                </w:tcPr>
                <w:p w14:paraId="683215BA" w14:textId="77777777" w:rsidR="00F76A63" w:rsidRDefault="00000000">
                  <w:pPr>
                    <w:widowControl/>
                    <w:contextualSpacing/>
                    <w:jc w:val="center"/>
                    <w:rPr>
                      <w:sz w:val="18"/>
                      <w:szCs w:val="18"/>
                    </w:rPr>
                  </w:pPr>
                  <w:r>
                    <w:rPr>
                      <w:rFonts w:hint="eastAsia"/>
                      <w:sz w:val="18"/>
                      <w:szCs w:val="18"/>
                    </w:rPr>
                    <w:t>306096.93</w:t>
                  </w:r>
                </w:p>
              </w:tc>
              <w:tc>
                <w:tcPr>
                  <w:tcW w:w="699" w:type="pct"/>
                  <w:vAlign w:val="center"/>
                </w:tcPr>
                <w:p w14:paraId="647862CD"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79733154" w14:textId="77777777" w:rsidR="00F76A63" w:rsidRDefault="00000000">
                  <w:pPr>
                    <w:adjustRightInd w:val="0"/>
                    <w:snapToGrid w:val="0"/>
                    <w:contextualSpacing/>
                    <w:jc w:val="center"/>
                    <w:rPr>
                      <w:rFonts w:eastAsia="Arial Unicode MS"/>
                      <w:sz w:val="18"/>
                      <w:szCs w:val="18"/>
                    </w:rPr>
                  </w:pPr>
                  <w:r>
                    <w:rPr>
                      <w:rFonts w:hint="eastAsia"/>
                      <w:sz w:val="18"/>
                      <w:szCs w:val="18"/>
                    </w:rPr>
                    <w:t>0.30</w:t>
                  </w:r>
                </w:p>
              </w:tc>
              <w:tc>
                <w:tcPr>
                  <w:tcW w:w="696" w:type="pct"/>
                  <w:vMerge w:val="restart"/>
                  <w:vAlign w:val="center"/>
                </w:tcPr>
                <w:p w14:paraId="53386212" w14:textId="77777777" w:rsidR="00F76A63" w:rsidRDefault="00000000">
                  <w:pPr>
                    <w:adjustRightInd w:val="0"/>
                    <w:snapToGrid w:val="0"/>
                    <w:contextualSpacing/>
                    <w:jc w:val="center"/>
                    <w:rPr>
                      <w:sz w:val="18"/>
                      <w:szCs w:val="18"/>
                    </w:rPr>
                  </w:pPr>
                  <w:r>
                    <w:rPr>
                      <w:sz w:val="18"/>
                      <w:szCs w:val="18"/>
                    </w:rPr>
                    <w:t>/</w:t>
                  </w:r>
                </w:p>
              </w:tc>
            </w:tr>
            <w:tr w:rsidR="00F76A63" w14:paraId="054948EC" w14:textId="77777777">
              <w:trPr>
                <w:trHeight w:val="340"/>
                <w:jc w:val="center"/>
              </w:trPr>
              <w:tc>
                <w:tcPr>
                  <w:tcW w:w="582" w:type="pct"/>
                  <w:vMerge/>
                  <w:vAlign w:val="center"/>
                </w:tcPr>
                <w:p w14:paraId="52F7769E" w14:textId="77777777" w:rsidR="00F76A63" w:rsidRDefault="00F76A63">
                  <w:pPr>
                    <w:adjustRightInd w:val="0"/>
                    <w:snapToGrid w:val="0"/>
                    <w:contextualSpacing/>
                    <w:jc w:val="center"/>
                    <w:rPr>
                      <w:sz w:val="18"/>
                      <w:szCs w:val="18"/>
                    </w:rPr>
                  </w:pPr>
                </w:p>
              </w:tc>
              <w:tc>
                <w:tcPr>
                  <w:tcW w:w="798" w:type="pct"/>
                  <w:vMerge/>
                  <w:vAlign w:val="center"/>
                </w:tcPr>
                <w:p w14:paraId="7A8E739F" w14:textId="77777777" w:rsidR="00F76A63" w:rsidRDefault="00F76A63">
                  <w:pPr>
                    <w:adjustRightInd w:val="0"/>
                    <w:snapToGrid w:val="0"/>
                    <w:contextualSpacing/>
                    <w:jc w:val="center"/>
                    <w:rPr>
                      <w:sz w:val="18"/>
                      <w:szCs w:val="18"/>
                    </w:rPr>
                  </w:pPr>
                </w:p>
              </w:tc>
              <w:tc>
                <w:tcPr>
                  <w:tcW w:w="1302" w:type="pct"/>
                  <w:vMerge/>
                  <w:vAlign w:val="center"/>
                </w:tcPr>
                <w:p w14:paraId="45F68E00" w14:textId="77777777" w:rsidR="00F76A63" w:rsidRDefault="00F76A63">
                  <w:pPr>
                    <w:widowControl/>
                    <w:contextualSpacing/>
                    <w:jc w:val="center"/>
                    <w:rPr>
                      <w:sz w:val="18"/>
                      <w:szCs w:val="18"/>
                    </w:rPr>
                  </w:pPr>
                </w:p>
              </w:tc>
              <w:tc>
                <w:tcPr>
                  <w:tcW w:w="699" w:type="pct"/>
                  <w:vAlign w:val="center"/>
                </w:tcPr>
                <w:p w14:paraId="1EB27DEE"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4095C477" w14:textId="77777777" w:rsidR="00F76A63" w:rsidRDefault="00000000">
                  <w:pPr>
                    <w:adjustRightInd w:val="0"/>
                    <w:snapToGrid w:val="0"/>
                    <w:contextualSpacing/>
                    <w:jc w:val="center"/>
                    <w:rPr>
                      <w:rFonts w:eastAsia="Arial Unicode MS"/>
                      <w:sz w:val="18"/>
                      <w:szCs w:val="18"/>
                    </w:rPr>
                  </w:pPr>
                  <w:r>
                    <w:rPr>
                      <w:rFonts w:hint="eastAsia"/>
                      <w:sz w:val="18"/>
                      <w:szCs w:val="18"/>
                    </w:rPr>
                    <w:t>0.21</w:t>
                  </w:r>
                </w:p>
              </w:tc>
              <w:tc>
                <w:tcPr>
                  <w:tcW w:w="696" w:type="pct"/>
                  <w:vMerge/>
                  <w:vAlign w:val="center"/>
                </w:tcPr>
                <w:p w14:paraId="4C9EDB20" w14:textId="77777777" w:rsidR="00F76A63" w:rsidRDefault="00F76A63">
                  <w:pPr>
                    <w:adjustRightInd w:val="0"/>
                    <w:snapToGrid w:val="0"/>
                    <w:contextualSpacing/>
                    <w:jc w:val="center"/>
                    <w:rPr>
                      <w:sz w:val="18"/>
                      <w:szCs w:val="18"/>
                    </w:rPr>
                  </w:pPr>
                </w:p>
              </w:tc>
            </w:tr>
            <w:tr w:rsidR="00F76A63" w14:paraId="36599C2D" w14:textId="77777777">
              <w:trPr>
                <w:trHeight w:val="340"/>
                <w:jc w:val="center"/>
              </w:trPr>
              <w:tc>
                <w:tcPr>
                  <w:tcW w:w="582" w:type="pct"/>
                  <w:vMerge/>
                  <w:vAlign w:val="center"/>
                </w:tcPr>
                <w:p w14:paraId="677F4798" w14:textId="77777777" w:rsidR="00F76A63" w:rsidRDefault="00F76A63">
                  <w:pPr>
                    <w:adjustRightInd w:val="0"/>
                    <w:snapToGrid w:val="0"/>
                    <w:contextualSpacing/>
                    <w:jc w:val="center"/>
                    <w:rPr>
                      <w:sz w:val="18"/>
                      <w:szCs w:val="18"/>
                    </w:rPr>
                  </w:pPr>
                </w:p>
              </w:tc>
              <w:tc>
                <w:tcPr>
                  <w:tcW w:w="798" w:type="pct"/>
                  <w:vMerge/>
                  <w:vAlign w:val="center"/>
                </w:tcPr>
                <w:p w14:paraId="18EA8576" w14:textId="77777777" w:rsidR="00F76A63" w:rsidRDefault="00F76A63">
                  <w:pPr>
                    <w:adjustRightInd w:val="0"/>
                    <w:snapToGrid w:val="0"/>
                    <w:contextualSpacing/>
                    <w:jc w:val="center"/>
                    <w:rPr>
                      <w:sz w:val="18"/>
                      <w:szCs w:val="18"/>
                    </w:rPr>
                  </w:pPr>
                </w:p>
              </w:tc>
              <w:tc>
                <w:tcPr>
                  <w:tcW w:w="1302" w:type="pct"/>
                  <w:vMerge/>
                  <w:vAlign w:val="center"/>
                </w:tcPr>
                <w:p w14:paraId="780EC147" w14:textId="77777777" w:rsidR="00F76A63" w:rsidRDefault="00F76A63">
                  <w:pPr>
                    <w:widowControl/>
                    <w:contextualSpacing/>
                    <w:jc w:val="center"/>
                    <w:rPr>
                      <w:sz w:val="18"/>
                      <w:szCs w:val="18"/>
                    </w:rPr>
                  </w:pPr>
                </w:p>
              </w:tc>
              <w:tc>
                <w:tcPr>
                  <w:tcW w:w="699" w:type="pct"/>
                  <w:vAlign w:val="center"/>
                </w:tcPr>
                <w:p w14:paraId="6919B095"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199844A2" w14:textId="77777777" w:rsidR="00F76A63" w:rsidRDefault="00000000">
                  <w:pPr>
                    <w:adjustRightInd w:val="0"/>
                    <w:snapToGrid w:val="0"/>
                    <w:contextualSpacing/>
                    <w:jc w:val="center"/>
                    <w:rPr>
                      <w:rFonts w:eastAsia="Arial Unicode MS"/>
                      <w:sz w:val="18"/>
                      <w:szCs w:val="18"/>
                    </w:rPr>
                  </w:pPr>
                  <w:r>
                    <w:rPr>
                      <w:rFonts w:hint="eastAsia"/>
                      <w:sz w:val="18"/>
                      <w:szCs w:val="18"/>
                    </w:rPr>
                    <w:t>0.24</w:t>
                  </w:r>
                </w:p>
              </w:tc>
              <w:tc>
                <w:tcPr>
                  <w:tcW w:w="696" w:type="pct"/>
                  <w:vMerge/>
                  <w:vAlign w:val="center"/>
                </w:tcPr>
                <w:p w14:paraId="018DC20A" w14:textId="77777777" w:rsidR="00F76A63" w:rsidRDefault="00F76A63">
                  <w:pPr>
                    <w:adjustRightInd w:val="0"/>
                    <w:snapToGrid w:val="0"/>
                    <w:contextualSpacing/>
                    <w:jc w:val="center"/>
                    <w:rPr>
                      <w:sz w:val="18"/>
                      <w:szCs w:val="18"/>
                    </w:rPr>
                  </w:pPr>
                </w:p>
              </w:tc>
            </w:tr>
            <w:tr w:rsidR="00F76A63" w14:paraId="070138A4" w14:textId="77777777">
              <w:trPr>
                <w:trHeight w:val="340"/>
                <w:jc w:val="center"/>
              </w:trPr>
              <w:tc>
                <w:tcPr>
                  <w:tcW w:w="582" w:type="pct"/>
                  <w:vMerge/>
                  <w:vAlign w:val="center"/>
                </w:tcPr>
                <w:p w14:paraId="26C93A13" w14:textId="77777777" w:rsidR="00F76A63" w:rsidRDefault="00F76A63">
                  <w:pPr>
                    <w:adjustRightInd w:val="0"/>
                    <w:snapToGrid w:val="0"/>
                    <w:contextualSpacing/>
                    <w:jc w:val="center"/>
                    <w:rPr>
                      <w:sz w:val="18"/>
                      <w:szCs w:val="18"/>
                    </w:rPr>
                  </w:pPr>
                </w:p>
              </w:tc>
              <w:tc>
                <w:tcPr>
                  <w:tcW w:w="798" w:type="pct"/>
                  <w:vMerge w:val="restart"/>
                  <w:vAlign w:val="center"/>
                </w:tcPr>
                <w:p w14:paraId="10C5B409" w14:textId="77777777" w:rsidR="00F76A63" w:rsidRDefault="00000000">
                  <w:pPr>
                    <w:adjustRightInd w:val="0"/>
                    <w:snapToGrid w:val="0"/>
                    <w:contextualSpacing/>
                    <w:jc w:val="center"/>
                    <w:rPr>
                      <w:sz w:val="18"/>
                      <w:szCs w:val="18"/>
                    </w:rPr>
                  </w:pPr>
                  <w:r>
                    <w:rPr>
                      <w:sz w:val="18"/>
                      <w:szCs w:val="18"/>
                    </w:rPr>
                    <w:t>202407</w:t>
                  </w:r>
                </w:p>
              </w:tc>
              <w:tc>
                <w:tcPr>
                  <w:tcW w:w="1302" w:type="pct"/>
                  <w:vMerge w:val="restart"/>
                  <w:vAlign w:val="center"/>
                </w:tcPr>
                <w:p w14:paraId="0B987B8A" w14:textId="77777777" w:rsidR="00F76A63" w:rsidRDefault="00000000">
                  <w:pPr>
                    <w:widowControl/>
                    <w:contextualSpacing/>
                    <w:jc w:val="center"/>
                    <w:rPr>
                      <w:kern w:val="0"/>
                      <w:sz w:val="18"/>
                      <w:szCs w:val="18"/>
                    </w:rPr>
                  </w:pPr>
                  <w:r>
                    <w:rPr>
                      <w:sz w:val="18"/>
                      <w:szCs w:val="18"/>
                    </w:rPr>
                    <w:t>276031.00</w:t>
                  </w:r>
                </w:p>
              </w:tc>
              <w:tc>
                <w:tcPr>
                  <w:tcW w:w="699" w:type="pct"/>
                  <w:vAlign w:val="center"/>
                </w:tcPr>
                <w:p w14:paraId="73C80E6F"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5CDEA618" w14:textId="77777777" w:rsidR="00F76A63" w:rsidRDefault="00000000">
                  <w:pPr>
                    <w:adjustRightInd w:val="0"/>
                    <w:snapToGrid w:val="0"/>
                    <w:contextualSpacing/>
                    <w:jc w:val="center"/>
                    <w:rPr>
                      <w:sz w:val="18"/>
                      <w:szCs w:val="18"/>
                    </w:rPr>
                  </w:pPr>
                  <w:r>
                    <w:rPr>
                      <w:rFonts w:eastAsia="Arial Unicode MS"/>
                      <w:sz w:val="18"/>
                      <w:szCs w:val="18"/>
                    </w:rPr>
                    <w:t>2.11</w:t>
                  </w:r>
                </w:p>
              </w:tc>
              <w:tc>
                <w:tcPr>
                  <w:tcW w:w="696" w:type="pct"/>
                  <w:vMerge w:val="restart"/>
                  <w:vAlign w:val="center"/>
                </w:tcPr>
                <w:p w14:paraId="6496C49A" w14:textId="77777777" w:rsidR="00F76A63" w:rsidRDefault="00000000">
                  <w:pPr>
                    <w:adjustRightInd w:val="0"/>
                    <w:snapToGrid w:val="0"/>
                    <w:contextualSpacing/>
                    <w:jc w:val="center"/>
                    <w:rPr>
                      <w:sz w:val="18"/>
                      <w:szCs w:val="18"/>
                    </w:rPr>
                  </w:pPr>
                  <w:bookmarkStart w:id="98" w:name="OLE_LINK73"/>
                  <w:r>
                    <w:rPr>
                      <w:sz w:val="18"/>
                      <w:szCs w:val="18"/>
                    </w:rPr>
                    <w:t>/</w:t>
                  </w:r>
                  <w:bookmarkEnd w:id="98"/>
                </w:p>
              </w:tc>
            </w:tr>
            <w:tr w:rsidR="00F76A63" w14:paraId="49A1FF97" w14:textId="77777777">
              <w:trPr>
                <w:trHeight w:val="340"/>
                <w:jc w:val="center"/>
              </w:trPr>
              <w:tc>
                <w:tcPr>
                  <w:tcW w:w="582" w:type="pct"/>
                  <w:vMerge/>
                  <w:vAlign w:val="center"/>
                </w:tcPr>
                <w:p w14:paraId="54E6A63F" w14:textId="77777777" w:rsidR="00F76A63" w:rsidRDefault="00F76A63">
                  <w:pPr>
                    <w:adjustRightInd w:val="0"/>
                    <w:snapToGrid w:val="0"/>
                    <w:contextualSpacing/>
                    <w:jc w:val="center"/>
                    <w:rPr>
                      <w:sz w:val="18"/>
                      <w:szCs w:val="18"/>
                    </w:rPr>
                  </w:pPr>
                </w:p>
              </w:tc>
              <w:tc>
                <w:tcPr>
                  <w:tcW w:w="798" w:type="pct"/>
                  <w:vMerge/>
                  <w:vAlign w:val="center"/>
                </w:tcPr>
                <w:p w14:paraId="2F84A158" w14:textId="77777777" w:rsidR="00F76A63" w:rsidRDefault="00F76A63">
                  <w:pPr>
                    <w:adjustRightInd w:val="0"/>
                    <w:snapToGrid w:val="0"/>
                    <w:contextualSpacing/>
                    <w:jc w:val="center"/>
                    <w:rPr>
                      <w:sz w:val="18"/>
                      <w:szCs w:val="18"/>
                    </w:rPr>
                  </w:pPr>
                </w:p>
              </w:tc>
              <w:tc>
                <w:tcPr>
                  <w:tcW w:w="1302" w:type="pct"/>
                  <w:vMerge/>
                  <w:vAlign w:val="center"/>
                </w:tcPr>
                <w:p w14:paraId="0E2E7A5F" w14:textId="77777777" w:rsidR="00F76A63" w:rsidRDefault="00F76A63">
                  <w:pPr>
                    <w:adjustRightInd w:val="0"/>
                    <w:snapToGrid w:val="0"/>
                    <w:contextualSpacing/>
                    <w:jc w:val="center"/>
                    <w:rPr>
                      <w:sz w:val="18"/>
                      <w:szCs w:val="18"/>
                    </w:rPr>
                  </w:pPr>
                </w:p>
              </w:tc>
              <w:tc>
                <w:tcPr>
                  <w:tcW w:w="699" w:type="pct"/>
                  <w:vAlign w:val="center"/>
                </w:tcPr>
                <w:p w14:paraId="28195A57"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6FAB8E8C" w14:textId="77777777" w:rsidR="00F76A63" w:rsidRDefault="00000000">
                  <w:pPr>
                    <w:adjustRightInd w:val="0"/>
                    <w:snapToGrid w:val="0"/>
                    <w:contextualSpacing/>
                    <w:jc w:val="center"/>
                    <w:rPr>
                      <w:sz w:val="18"/>
                      <w:szCs w:val="18"/>
                    </w:rPr>
                  </w:pPr>
                  <w:r>
                    <w:rPr>
                      <w:rFonts w:eastAsia="Arial Unicode MS"/>
                      <w:sz w:val="18"/>
                      <w:szCs w:val="18"/>
                    </w:rPr>
                    <w:t>0.19</w:t>
                  </w:r>
                </w:p>
              </w:tc>
              <w:tc>
                <w:tcPr>
                  <w:tcW w:w="696" w:type="pct"/>
                  <w:vMerge/>
                  <w:vAlign w:val="center"/>
                </w:tcPr>
                <w:p w14:paraId="238893FC" w14:textId="77777777" w:rsidR="00F76A63" w:rsidRDefault="00F76A63">
                  <w:pPr>
                    <w:adjustRightInd w:val="0"/>
                    <w:snapToGrid w:val="0"/>
                    <w:contextualSpacing/>
                    <w:jc w:val="center"/>
                    <w:rPr>
                      <w:sz w:val="18"/>
                      <w:szCs w:val="18"/>
                    </w:rPr>
                  </w:pPr>
                </w:p>
              </w:tc>
            </w:tr>
            <w:tr w:rsidR="00F76A63" w14:paraId="2C29DB73" w14:textId="77777777">
              <w:trPr>
                <w:trHeight w:val="340"/>
                <w:jc w:val="center"/>
              </w:trPr>
              <w:tc>
                <w:tcPr>
                  <w:tcW w:w="582" w:type="pct"/>
                  <w:vMerge/>
                  <w:vAlign w:val="center"/>
                </w:tcPr>
                <w:p w14:paraId="66D723E9" w14:textId="77777777" w:rsidR="00F76A63" w:rsidRDefault="00F76A63">
                  <w:pPr>
                    <w:adjustRightInd w:val="0"/>
                    <w:snapToGrid w:val="0"/>
                    <w:contextualSpacing/>
                    <w:jc w:val="center"/>
                    <w:rPr>
                      <w:sz w:val="18"/>
                      <w:szCs w:val="18"/>
                    </w:rPr>
                  </w:pPr>
                </w:p>
              </w:tc>
              <w:tc>
                <w:tcPr>
                  <w:tcW w:w="798" w:type="pct"/>
                  <w:vMerge/>
                  <w:vAlign w:val="center"/>
                </w:tcPr>
                <w:p w14:paraId="66899C9A" w14:textId="77777777" w:rsidR="00F76A63" w:rsidRDefault="00F76A63">
                  <w:pPr>
                    <w:adjustRightInd w:val="0"/>
                    <w:snapToGrid w:val="0"/>
                    <w:contextualSpacing/>
                    <w:jc w:val="center"/>
                    <w:rPr>
                      <w:sz w:val="18"/>
                      <w:szCs w:val="18"/>
                    </w:rPr>
                  </w:pPr>
                </w:p>
              </w:tc>
              <w:tc>
                <w:tcPr>
                  <w:tcW w:w="1302" w:type="pct"/>
                  <w:vMerge/>
                  <w:vAlign w:val="center"/>
                </w:tcPr>
                <w:p w14:paraId="48499C8E" w14:textId="77777777" w:rsidR="00F76A63" w:rsidRDefault="00F76A63">
                  <w:pPr>
                    <w:adjustRightInd w:val="0"/>
                    <w:snapToGrid w:val="0"/>
                    <w:contextualSpacing/>
                    <w:jc w:val="center"/>
                    <w:rPr>
                      <w:sz w:val="18"/>
                      <w:szCs w:val="18"/>
                    </w:rPr>
                  </w:pPr>
                </w:p>
              </w:tc>
              <w:tc>
                <w:tcPr>
                  <w:tcW w:w="699" w:type="pct"/>
                  <w:vAlign w:val="center"/>
                </w:tcPr>
                <w:p w14:paraId="4B07E0E8"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084BFEA6" w14:textId="77777777" w:rsidR="00F76A63" w:rsidRDefault="00000000">
                  <w:pPr>
                    <w:adjustRightInd w:val="0"/>
                    <w:snapToGrid w:val="0"/>
                    <w:contextualSpacing/>
                    <w:jc w:val="center"/>
                    <w:rPr>
                      <w:sz w:val="18"/>
                      <w:szCs w:val="18"/>
                    </w:rPr>
                  </w:pPr>
                  <w:r>
                    <w:rPr>
                      <w:sz w:val="18"/>
                      <w:szCs w:val="18"/>
                    </w:rPr>
                    <w:t>0.42</w:t>
                  </w:r>
                </w:p>
              </w:tc>
              <w:tc>
                <w:tcPr>
                  <w:tcW w:w="696" w:type="pct"/>
                  <w:vMerge/>
                  <w:vAlign w:val="center"/>
                </w:tcPr>
                <w:p w14:paraId="6674DC07" w14:textId="77777777" w:rsidR="00F76A63" w:rsidRDefault="00F76A63">
                  <w:pPr>
                    <w:adjustRightInd w:val="0"/>
                    <w:snapToGrid w:val="0"/>
                    <w:contextualSpacing/>
                    <w:jc w:val="center"/>
                    <w:rPr>
                      <w:sz w:val="18"/>
                      <w:szCs w:val="18"/>
                    </w:rPr>
                  </w:pPr>
                </w:p>
              </w:tc>
            </w:tr>
            <w:tr w:rsidR="00F76A63" w14:paraId="3EB36924" w14:textId="77777777">
              <w:trPr>
                <w:trHeight w:val="340"/>
                <w:jc w:val="center"/>
              </w:trPr>
              <w:tc>
                <w:tcPr>
                  <w:tcW w:w="582" w:type="pct"/>
                  <w:vMerge/>
                  <w:vAlign w:val="center"/>
                </w:tcPr>
                <w:p w14:paraId="5CD49BA0" w14:textId="77777777" w:rsidR="00F76A63" w:rsidRDefault="00F76A63">
                  <w:pPr>
                    <w:adjustRightInd w:val="0"/>
                    <w:snapToGrid w:val="0"/>
                    <w:contextualSpacing/>
                    <w:jc w:val="center"/>
                    <w:rPr>
                      <w:sz w:val="18"/>
                      <w:szCs w:val="18"/>
                    </w:rPr>
                  </w:pPr>
                </w:p>
              </w:tc>
              <w:tc>
                <w:tcPr>
                  <w:tcW w:w="798" w:type="pct"/>
                  <w:vMerge w:val="restart"/>
                  <w:vAlign w:val="center"/>
                </w:tcPr>
                <w:p w14:paraId="63632296" w14:textId="77777777" w:rsidR="00F76A63" w:rsidRDefault="00000000">
                  <w:pPr>
                    <w:adjustRightInd w:val="0"/>
                    <w:snapToGrid w:val="0"/>
                    <w:contextualSpacing/>
                    <w:jc w:val="center"/>
                    <w:rPr>
                      <w:sz w:val="18"/>
                      <w:szCs w:val="18"/>
                    </w:rPr>
                  </w:pPr>
                  <w:r>
                    <w:rPr>
                      <w:sz w:val="18"/>
                      <w:szCs w:val="18"/>
                    </w:rPr>
                    <w:t>202408</w:t>
                  </w:r>
                </w:p>
              </w:tc>
              <w:tc>
                <w:tcPr>
                  <w:tcW w:w="1302" w:type="pct"/>
                  <w:vMerge w:val="restart"/>
                  <w:vAlign w:val="center"/>
                </w:tcPr>
                <w:p w14:paraId="6D32D00C" w14:textId="77777777" w:rsidR="00F76A63" w:rsidRDefault="00000000">
                  <w:pPr>
                    <w:widowControl/>
                    <w:contextualSpacing/>
                    <w:jc w:val="center"/>
                    <w:rPr>
                      <w:rFonts w:eastAsia="Arial Unicode MS"/>
                      <w:kern w:val="0"/>
                      <w:sz w:val="18"/>
                      <w:szCs w:val="18"/>
                    </w:rPr>
                  </w:pPr>
                  <w:r>
                    <w:rPr>
                      <w:rFonts w:eastAsia="Arial Unicode MS"/>
                      <w:sz w:val="18"/>
                      <w:szCs w:val="18"/>
                    </w:rPr>
                    <w:t>358072.23</w:t>
                  </w:r>
                </w:p>
              </w:tc>
              <w:tc>
                <w:tcPr>
                  <w:tcW w:w="699" w:type="pct"/>
                  <w:vAlign w:val="center"/>
                </w:tcPr>
                <w:p w14:paraId="51644A5A"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0F85516A" w14:textId="77777777" w:rsidR="00F76A63" w:rsidRDefault="00000000">
                  <w:pPr>
                    <w:adjustRightInd w:val="0"/>
                    <w:snapToGrid w:val="0"/>
                    <w:contextualSpacing/>
                    <w:jc w:val="center"/>
                    <w:rPr>
                      <w:sz w:val="18"/>
                      <w:szCs w:val="18"/>
                    </w:rPr>
                  </w:pPr>
                  <w:r>
                    <w:rPr>
                      <w:rFonts w:eastAsia="Arial Unicode MS"/>
                      <w:sz w:val="18"/>
                      <w:szCs w:val="18"/>
                    </w:rPr>
                    <w:t>2.21</w:t>
                  </w:r>
                </w:p>
              </w:tc>
              <w:tc>
                <w:tcPr>
                  <w:tcW w:w="696" w:type="pct"/>
                  <w:vMerge w:val="restart"/>
                  <w:vAlign w:val="center"/>
                </w:tcPr>
                <w:p w14:paraId="08910682" w14:textId="77777777" w:rsidR="00F76A63" w:rsidRDefault="00000000">
                  <w:pPr>
                    <w:adjustRightInd w:val="0"/>
                    <w:snapToGrid w:val="0"/>
                    <w:contextualSpacing/>
                    <w:jc w:val="center"/>
                    <w:rPr>
                      <w:sz w:val="18"/>
                      <w:szCs w:val="18"/>
                    </w:rPr>
                  </w:pPr>
                  <w:r>
                    <w:rPr>
                      <w:sz w:val="18"/>
                      <w:szCs w:val="18"/>
                    </w:rPr>
                    <w:t>/</w:t>
                  </w:r>
                </w:p>
              </w:tc>
            </w:tr>
            <w:tr w:rsidR="00F76A63" w14:paraId="326C7568" w14:textId="77777777">
              <w:trPr>
                <w:trHeight w:val="340"/>
                <w:jc w:val="center"/>
              </w:trPr>
              <w:tc>
                <w:tcPr>
                  <w:tcW w:w="582" w:type="pct"/>
                  <w:vMerge/>
                  <w:vAlign w:val="center"/>
                </w:tcPr>
                <w:p w14:paraId="03D56199" w14:textId="77777777" w:rsidR="00F76A63" w:rsidRDefault="00F76A63">
                  <w:pPr>
                    <w:adjustRightInd w:val="0"/>
                    <w:snapToGrid w:val="0"/>
                    <w:contextualSpacing/>
                    <w:jc w:val="center"/>
                    <w:rPr>
                      <w:sz w:val="18"/>
                      <w:szCs w:val="18"/>
                    </w:rPr>
                  </w:pPr>
                </w:p>
              </w:tc>
              <w:tc>
                <w:tcPr>
                  <w:tcW w:w="798" w:type="pct"/>
                  <w:vMerge/>
                  <w:vAlign w:val="center"/>
                </w:tcPr>
                <w:p w14:paraId="2C0DE40E" w14:textId="77777777" w:rsidR="00F76A63" w:rsidRDefault="00F76A63">
                  <w:pPr>
                    <w:adjustRightInd w:val="0"/>
                    <w:snapToGrid w:val="0"/>
                    <w:contextualSpacing/>
                    <w:jc w:val="center"/>
                    <w:rPr>
                      <w:sz w:val="18"/>
                      <w:szCs w:val="18"/>
                    </w:rPr>
                  </w:pPr>
                </w:p>
              </w:tc>
              <w:tc>
                <w:tcPr>
                  <w:tcW w:w="1302" w:type="pct"/>
                  <w:vMerge/>
                  <w:vAlign w:val="center"/>
                </w:tcPr>
                <w:p w14:paraId="2BF2ACC7" w14:textId="77777777" w:rsidR="00F76A63" w:rsidRDefault="00F76A63">
                  <w:pPr>
                    <w:adjustRightInd w:val="0"/>
                    <w:snapToGrid w:val="0"/>
                    <w:contextualSpacing/>
                    <w:jc w:val="center"/>
                    <w:rPr>
                      <w:sz w:val="18"/>
                      <w:szCs w:val="18"/>
                    </w:rPr>
                  </w:pPr>
                </w:p>
              </w:tc>
              <w:tc>
                <w:tcPr>
                  <w:tcW w:w="699" w:type="pct"/>
                  <w:vAlign w:val="center"/>
                </w:tcPr>
                <w:p w14:paraId="17DB10E8"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4A245A1D" w14:textId="77777777" w:rsidR="00F76A63" w:rsidRDefault="00000000">
                  <w:pPr>
                    <w:adjustRightInd w:val="0"/>
                    <w:snapToGrid w:val="0"/>
                    <w:contextualSpacing/>
                    <w:jc w:val="center"/>
                    <w:rPr>
                      <w:sz w:val="18"/>
                      <w:szCs w:val="18"/>
                    </w:rPr>
                  </w:pPr>
                  <w:r>
                    <w:rPr>
                      <w:rFonts w:eastAsia="Arial Unicode MS"/>
                      <w:sz w:val="18"/>
                      <w:szCs w:val="18"/>
                    </w:rPr>
                    <w:t>1.97</w:t>
                  </w:r>
                </w:p>
              </w:tc>
              <w:tc>
                <w:tcPr>
                  <w:tcW w:w="696" w:type="pct"/>
                  <w:vMerge/>
                  <w:vAlign w:val="center"/>
                </w:tcPr>
                <w:p w14:paraId="6FA1EF76" w14:textId="77777777" w:rsidR="00F76A63" w:rsidRDefault="00F76A63">
                  <w:pPr>
                    <w:adjustRightInd w:val="0"/>
                    <w:snapToGrid w:val="0"/>
                    <w:contextualSpacing/>
                    <w:jc w:val="center"/>
                    <w:rPr>
                      <w:sz w:val="18"/>
                      <w:szCs w:val="18"/>
                    </w:rPr>
                  </w:pPr>
                </w:p>
              </w:tc>
            </w:tr>
            <w:tr w:rsidR="00F76A63" w14:paraId="4CCABF56" w14:textId="77777777">
              <w:trPr>
                <w:trHeight w:val="340"/>
                <w:jc w:val="center"/>
              </w:trPr>
              <w:tc>
                <w:tcPr>
                  <w:tcW w:w="582" w:type="pct"/>
                  <w:vMerge/>
                  <w:vAlign w:val="center"/>
                </w:tcPr>
                <w:p w14:paraId="05E0F438" w14:textId="77777777" w:rsidR="00F76A63" w:rsidRDefault="00F76A63">
                  <w:pPr>
                    <w:adjustRightInd w:val="0"/>
                    <w:snapToGrid w:val="0"/>
                    <w:contextualSpacing/>
                    <w:jc w:val="center"/>
                    <w:rPr>
                      <w:sz w:val="18"/>
                      <w:szCs w:val="18"/>
                    </w:rPr>
                  </w:pPr>
                </w:p>
              </w:tc>
              <w:tc>
                <w:tcPr>
                  <w:tcW w:w="798" w:type="pct"/>
                  <w:vMerge/>
                  <w:vAlign w:val="center"/>
                </w:tcPr>
                <w:p w14:paraId="2205CF3A" w14:textId="77777777" w:rsidR="00F76A63" w:rsidRDefault="00F76A63">
                  <w:pPr>
                    <w:adjustRightInd w:val="0"/>
                    <w:snapToGrid w:val="0"/>
                    <w:contextualSpacing/>
                    <w:jc w:val="center"/>
                    <w:rPr>
                      <w:sz w:val="18"/>
                      <w:szCs w:val="18"/>
                    </w:rPr>
                  </w:pPr>
                </w:p>
              </w:tc>
              <w:tc>
                <w:tcPr>
                  <w:tcW w:w="1302" w:type="pct"/>
                  <w:vMerge/>
                  <w:vAlign w:val="center"/>
                </w:tcPr>
                <w:p w14:paraId="53EBB777" w14:textId="77777777" w:rsidR="00F76A63" w:rsidRDefault="00F76A63">
                  <w:pPr>
                    <w:adjustRightInd w:val="0"/>
                    <w:snapToGrid w:val="0"/>
                    <w:contextualSpacing/>
                    <w:jc w:val="center"/>
                    <w:rPr>
                      <w:sz w:val="18"/>
                      <w:szCs w:val="18"/>
                    </w:rPr>
                  </w:pPr>
                </w:p>
              </w:tc>
              <w:tc>
                <w:tcPr>
                  <w:tcW w:w="699" w:type="pct"/>
                  <w:vAlign w:val="center"/>
                </w:tcPr>
                <w:p w14:paraId="14EA3071"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77511B37" w14:textId="77777777" w:rsidR="00F76A63" w:rsidRDefault="00000000">
                  <w:pPr>
                    <w:adjustRightInd w:val="0"/>
                    <w:snapToGrid w:val="0"/>
                    <w:contextualSpacing/>
                    <w:jc w:val="center"/>
                    <w:rPr>
                      <w:sz w:val="18"/>
                      <w:szCs w:val="18"/>
                    </w:rPr>
                  </w:pPr>
                  <w:r>
                    <w:rPr>
                      <w:rFonts w:eastAsia="Arial Unicode MS"/>
                      <w:sz w:val="18"/>
                      <w:szCs w:val="18"/>
                    </w:rPr>
                    <w:t>2.11</w:t>
                  </w:r>
                </w:p>
              </w:tc>
              <w:tc>
                <w:tcPr>
                  <w:tcW w:w="696" w:type="pct"/>
                  <w:vMerge/>
                  <w:vAlign w:val="center"/>
                </w:tcPr>
                <w:p w14:paraId="7D8E07B6" w14:textId="77777777" w:rsidR="00F76A63" w:rsidRDefault="00F76A63">
                  <w:pPr>
                    <w:adjustRightInd w:val="0"/>
                    <w:snapToGrid w:val="0"/>
                    <w:contextualSpacing/>
                    <w:jc w:val="center"/>
                    <w:rPr>
                      <w:sz w:val="18"/>
                      <w:szCs w:val="18"/>
                    </w:rPr>
                  </w:pPr>
                </w:p>
              </w:tc>
            </w:tr>
            <w:tr w:rsidR="00F76A63" w14:paraId="248E49BE" w14:textId="77777777">
              <w:trPr>
                <w:trHeight w:val="340"/>
                <w:jc w:val="center"/>
              </w:trPr>
              <w:tc>
                <w:tcPr>
                  <w:tcW w:w="582" w:type="pct"/>
                  <w:vMerge/>
                  <w:vAlign w:val="center"/>
                </w:tcPr>
                <w:p w14:paraId="191B2794" w14:textId="77777777" w:rsidR="00F76A63" w:rsidRDefault="00F76A63">
                  <w:pPr>
                    <w:adjustRightInd w:val="0"/>
                    <w:snapToGrid w:val="0"/>
                    <w:contextualSpacing/>
                    <w:jc w:val="center"/>
                    <w:rPr>
                      <w:sz w:val="18"/>
                      <w:szCs w:val="18"/>
                    </w:rPr>
                  </w:pPr>
                </w:p>
              </w:tc>
              <w:tc>
                <w:tcPr>
                  <w:tcW w:w="798" w:type="pct"/>
                  <w:vMerge w:val="restart"/>
                  <w:vAlign w:val="center"/>
                </w:tcPr>
                <w:p w14:paraId="41CA0A5E" w14:textId="77777777" w:rsidR="00F76A63" w:rsidRDefault="00000000">
                  <w:pPr>
                    <w:adjustRightInd w:val="0"/>
                    <w:snapToGrid w:val="0"/>
                    <w:contextualSpacing/>
                    <w:jc w:val="center"/>
                    <w:rPr>
                      <w:sz w:val="18"/>
                      <w:szCs w:val="18"/>
                    </w:rPr>
                  </w:pPr>
                  <w:r>
                    <w:rPr>
                      <w:sz w:val="18"/>
                      <w:szCs w:val="18"/>
                    </w:rPr>
                    <w:t>202409</w:t>
                  </w:r>
                </w:p>
              </w:tc>
              <w:tc>
                <w:tcPr>
                  <w:tcW w:w="1302" w:type="pct"/>
                  <w:vMerge w:val="restart"/>
                  <w:vAlign w:val="center"/>
                </w:tcPr>
                <w:p w14:paraId="7EFC9B6D" w14:textId="77777777" w:rsidR="00F76A63" w:rsidRDefault="00000000">
                  <w:pPr>
                    <w:widowControl/>
                    <w:contextualSpacing/>
                    <w:jc w:val="center"/>
                    <w:rPr>
                      <w:rFonts w:eastAsia="Arial Unicode MS"/>
                      <w:kern w:val="0"/>
                      <w:sz w:val="18"/>
                      <w:szCs w:val="18"/>
                    </w:rPr>
                  </w:pPr>
                  <w:r>
                    <w:rPr>
                      <w:rFonts w:eastAsia="Arial Unicode MS"/>
                      <w:sz w:val="18"/>
                      <w:szCs w:val="18"/>
                    </w:rPr>
                    <w:t>348486.85</w:t>
                  </w:r>
                </w:p>
              </w:tc>
              <w:tc>
                <w:tcPr>
                  <w:tcW w:w="699" w:type="pct"/>
                  <w:vAlign w:val="center"/>
                </w:tcPr>
                <w:p w14:paraId="3BE3984A"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255613BE" w14:textId="77777777" w:rsidR="00F76A63" w:rsidRDefault="00000000">
                  <w:pPr>
                    <w:adjustRightInd w:val="0"/>
                    <w:snapToGrid w:val="0"/>
                    <w:contextualSpacing/>
                    <w:jc w:val="center"/>
                    <w:rPr>
                      <w:sz w:val="18"/>
                      <w:szCs w:val="18"/>
                    </w:rPr>
                  </w:pPr>
                  <w:r>
                    <w:rPr>
                      <w:rFonts w:eastAsia="Arial Unicode MS"/>
                      <w:sz w:val="18"/>
                      <w:szCs w:val="18"/>
                    </w:rPr>
                    <w:t>2.00</w:t>
                  </w:r>
                </w:p>
              </w:tc>
              <w:tc>
                <w:tcPr>
                  <w:tcW w:w="696" w:type="pct"/>
                  <w:vMerge w:val="restart"/>
                  <w:vAlign w:val="center"/>
                </w:tcPr>
                <w:p w14:paraId="72403716" w14:textId="77777777" w:rsidR="00F76A63" w:rsidRDefault="00000000">
                  <w:pPr>
                    <w:adjustRightInd w:val="0"/>
                    <w:snapToGrid w:val="0"/>
                    <w:contextualSpacing/>
                    <w:jc w:val="center"/>
                    <w:rPr>
                      <w:sz w:val="18"/>
                      <w:szCs w:val="18"/>
                    </w:rPr>
                  </w:pPr>
                  <w:r>
                    <w:rPr>
                      <w:sz w:val="18"/>
                      <w:szCs w:val="18"/>
                    </w:rPr>
                    <w:t>/</w:t>
                  </w:r>
                </w:p>
              </w:tc>
            </w:tr>
            <w:tr w:rsidR="00F76A63" w14:paraId="4442585F" w14:textId="77777777">
              <w:trPr>
                <w:trHeight w:val="340"/>
                <w:jc w:val="center"/>
              </w:trPr>
              <w:tc>
                <w:tcPr>
                  <w:tcW w:w="582" w:type="pct"/>
                  <w:vMerge/>
                  <w:vAlign w:val="center"/>
                </w:tcPr>
                <w:p w14:paraId="01AFD685" w14:textId="77777777" w:rsidR="00F76A63" w:rsidRDefault="00F76A63">
                  <w:pPr>
                    <w:adjustRightInd w:val="0"/>
                    <w:snapToGrid w:val="0"/>
                    <w:contextualSpacing/>
                    <w:jc w:val="center"/>
                    <w:rPr>
                      <w:sz w:val="18"/>
                      <w:szCs w:val="18"/>
                    </w:rPr>
                  </w:pPr>
                </w:p>
              </w:tc>
              <w:tc>
                <w:tcPr>
                  <w:tcW w:w="798" w:type="pct"/>
                  <w:vMerge/>
                  <w:vAlign w:val="center"/>
                </w:tcPr>
                <w:p w14:paraId="51C54D49" w14:textId="77777777" w:rsidR="00F76A63" w:rsidRDefault="00F76A63">
                  <w:pPr>
                    <w:adjustRightInd w:val="0"/>
                    <w:snapToGrid w:val="0"/>
                    <w:contextualSpacing/>
                    <w:jc w:val="center"/>
                    <w:rPr>
                      <w:sz w:val="18"/>
                      <w:szCs w:val="18"/>
                    </w:rPr>
                  </w:pPr>
                </w:p>
              </w:tc>
              <w:tc>
                <w:tcPr>
                  <w:tcW w:w="1302" w:type="pct"/>
                  <w:vMerge/>
                  <w:vAlign w:val="center"/>
                </w:tcPr>
                <w:p w14:paraId="1932C05E" w14:textId="77777777" w:rsidR="00F76A63" w:rsidRDefault="00F76A63">
                  <w:pPr>
                    <w:adjustRightInd w:val="0"/>
                    <w:snapToGrid w:val="0"/>
                    <w:contextualSpacing/>
                    <w:jc w:val="center"/>
                    <w:rPr>
                      <w:sz w:val="18"/>
                      <w:szCs w:val="18"/>
                    </w:rPr>
                  </w:pPr>
                </w:p>
              </w:tc>
              <w:tc>
                <w:tcPr>
                  <w:tcW w:w="699" w:type="pct"/>
                  <w:vAlign w:val="center"/>
                </w:tcPr>
                <w:p w14:paraId="4B0A8E45"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6F00C8C7" w14:textId="77777777" w:rsidR="00F76A63" w:rsidRDefault="00000000">
                  <w:pPr>
                    <w:adjustRightInd w:val="0"/>
                    <w:snapToGrid w:val="0"/>
                    <w:contextualSpacing/>
                    <w:jc w:val="center"/>
                    <w:rPr>
                      <w:sz w:val="18"/>
                      <w:szCs w:val="18"/>
                    </w:rPr>
                  </w:pPr>
                  <w:r>
                    <w:rPr>
                      <w:rFonts w:eastAsia="Arial Unicode MS"/>
                      <w:sz w:val="18"/>
                      <w:szCs w:val="18"/>
                    </w:rPr>
                    <w:t>1.51</w:t>
                  </w:r>
                </w:p>
              </w:tc>
              <w:tc>
                <w:tcPr>
                  <w:tcW w:w="696" w:type="pct"/>
                  <w:vMerge/>
                  <w:vAlign w:val="center"/>
                </w:tcPr>
                <w:p w14:paraId="0C2360B9" w14:textId="77777777" w:rsidR="00F76A63" w:rsidRDefault="00F76A63">
                  <w:pPr>
                    <w:adjustRightInd w:val="0"/>
                    <w:snapToGrid w:val="0"/>
                    <w:contextualSpacing/>
                    <w:jc w:val="center"/>
                    <w:rPr>
                      <w:sz w:val="18"/>
                      <w:szCs w:val="18"/>
                    </w:rPr>
                  </w:pPr>
                </w:p>
              </w:tc>
            </w:tr>
            <w:tr w:rsidR="00F76A63" w14:paraId="0517D8D8" w14:textId="77777777">
              <w:trPr>
                <w:trHeight w:val="340"/>
                <w:jc w:val="center"/>
              </w:trPr>
              <w:tc>
                <w:tcPr>
                  <w:tcW w:w="582" w:type="pct"/>
                  <w:vMerge/>
                  <w:vAlign w:val="center"/>
                </w:tcPr>
                <w:p w14:paraId="40451312" w14:textId="77777777" w:rsidR="00F76A63" w:rsidRDefault="00F76A63">
                  <w:pPr>
                    <w:adjustRightInd w:val="0"/>
                    <w:snapToGrid w:val="0"/>
                    <w:contextualSpacing/>
                    <w:jc w:val="center"/>
                    <w:rPr>
                      <w:sz w:val="18"/>
                      <w:szCs w:val="18"/>
                    </w:rPr>
                  </w:pPr>
                </w:p>
              </w:tc>
              <w:tc>
                <w:tcPr>
                  <w:tcW w:w="798" w:type="pct"/>
                  <w:vMerge/>
                  <w:vAlign w:val="center"/>
                </w:tcPr>
                <w:p w14:paraId="34F97C38" w14:textId="77777777" w:rsidR="00F76A63" w:rsidRDefault="00F76A63">
                  <w:pPr>
                    <w:adjustRightInd w:val="0"/>
                    <w:snapToGrid w:val="0"/>
                    <w:contextualSpacing/>
                    <w:jc w:val="center"/>
                    <w:rPr>
                      <w:sz w:val="18"/>
                      <w:szCs w:val="18"/>
                    </w:rPr>
                  </w:pPr>
                </w:p>
              </w:tc>
              <w:tc>
                <w:tcPr>
                  <w:tcW w:w="1302" w:type="pct"/>
                  <w:vMerge/>
                  <w:vAlign w:val="center"/>
                </w:tcPr>
                <w:p w14:paraId="621F52A6" w14:textId="77777777" w:rsidR="00F76A63" w:rsidRDefault="00F76A63">
                  <w:pPr>
                    <w:adjustRightInd w:val="0"/>
                    <w:snapToGrid w:val="0"/>
                    <w:contextualSpacing/>
                    <w:jc w:val="center"/>
                    <w:rPr>
                      <w:sz w:val="18"/>
                      <w:szCs w:val="18"/>
                    </w:rPr>
                  </w:pPr>
                </w:p>
              </w:tc>
              <w:tc>
                <w:tcPr>
                  <w:tcW w:w="699" w:type="pct"/>
                  <w:vAlign w:val="center"/>
                </w:tcPr>
                <w:p w14:paraId="66B29021"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6B503C6B" w14:textId="77777777" w:rsidR="00F76A63" w:rsidRDefault="00000000">
                  <w:pPr>
                    <w:adjustRightInd w:val="0"/>
                    <w:snapToGrid w:val="0"/>
                    <w:contextualSpacing/>
                    <w:jc w:val="center"/>
                    <w:rPr>
                      <w:sz w:val="18"/>
                      <w:szCs w:val="18"/>
                    </w:rPr>
                  </w:pPr>
                  <w:r>
                    <w:rPr>
                      <w:rFonts w:eastAsia="Arial Unicode MS"/>
                      <w:sz w:val="18"/>
                      <w:szCs w:val="18"/>
                    </w:rPr>
                    <w:t>1.67</w:t>
                  </w:r>
                </w:p>
              </w:tc>
              <w:tc>
                <w:tcPr>
                  <w:tcW w:w="696" w:type="pct"/>
                  <w:vMerge/>
                  <w:vAlign w:val="center"/>
                </w:tcPr>
                <w:p w14:paraId="002ACD6F" w14:textId="77777777" w:rsidR="00F76A63" w:rsidRDefault="00F76A63">
                  <w:pPr>
                    <w:adjustRightInd w:val="0"/>
                    <w:snapToGrid w:val="0"/>
                    <w:contextualSpacing/>
                    <w:jc w:val="center"/>
                    <w:rPr>
                      <w:sz w:val="18"/>
                      <w:szCs w:val="18"/>
                    </w:rPr>
                  </w:pPr>
                </w:p>
              </w:tc>
            </w:tr>
            <w:tr w:rsidR="00F76A63" w14:paraId="48BB9AD7" w14:textId="77777777">
              <w:trPr>
                <w:trHeight w:val="340"/>
                <w:jc w:val="center"/>
              </w:trPr>
              <w:tc>
                <w:tcPr>
                  <w:tcW w:w="582" w:type="pct"/>
                  <w:vMerge/>
                  <w:vAlign w:val="center"/>
                </w:tcPr>
                <w:p w14:paraId="7EE68ED0" w14:textId="77777777" w:rsidR="00F76A63" w:rsidRDefault="00F76A63">
                  <w:pPr>
                    <w:adjustRightInd w:val="0"/>
                    <w:snapToGrid w:val="0"/>
                    <w:contextualSpacing/>
                    <w:jc w:val="center"/>
                    <w:rPr>
                      <w:sz w:val="18"/>
                      <w:szCs w:val="18"/>
                    </w:rPr>
                  </w:pPr>
                </w:p>
              </w:tc>
              <w:tc>
                <w:tcPr>
                  <w:tcW w:w="798" w:type="pct"/>
                  <w:vMerge w:val="restart"/>
                  <w:vAlign w:val="center"/>
                </w:tcPr>
                <w:p w14:paraId="6E01C08D" w14:textId="77777777" w:rsidR="00F76A63" w:rsidRDefault="00000000">
                  <w:pPr>
                    <w:adjustRightInd w:val="0"/>
                    <w:snapToGrid w:val="0"/>
                    <w:contextualSpacing/>
                    <w:jc w:val="center"/>
                    <w:rPr>
                      <w:sz w:val="18"/>
                      <w:szCs w:val="18"/>
                    </w:rPr>
                  </w:pPr>
                  <w:r>
                    <w:rPr>
                      <w:sz w:val="18"/>
                      <w:szCs w:val="18"/>
                    </w:rPr>
                    <w:t>202410</w:t>
                  </w:r>
                </w:p>
              </w:tc>
              <w:tc>
                <w:tcPr>
                  <w:tcW w:w="1302" w:type="pct"/>
                  <w:vMerge w:val="restart"/>
                  <w:vAlign w:val="center"/>
                </w:tcPr>
                <w:p w14:paraId="5444C600" w14:textId="77777777" w:rsidR="00F76A63" w:rsidRDefault="00000000">
                  <w:pPr>
                    <w:widowControl/>
                    <w:contextualSpacing/>
                    <w:jc w:val="center"/>
                    <w:rPr>
                      <w:rFonts w:eastAsia="Arial Unicode MS"/>
                      <w:kern w:val="0"/>
                      <w:sz w:val="18"/>
                      <w:szCs w:val="18"/>
                    </w:rPr>
                  </w:pPr>
                  <w:r>
                    <w:rPr>
                      <w:rFonts w:eastAsia="Arial Unicode MS"/>
                      <w:sz w:val="18"/>
                      <w:szCs w:val="18"/>
                    </w:rPr>
                    <w:t>255073.58</w:t>
                  </w:r>
                </w:p>
              </w:tc>
              <w:tc>
                <w:tcPr>
                  <w:tcW w:w="699" w:type="pct"/>
                  <w:vAlign w:val="center"/>
                </w:tcPr>
                <w:p w14:paraId="6D6CD3AD"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03018059" w14:textId="77777777" w:rsidR="00F76A63" w:rsidRDefault="00000000">
                  <w:pPr>
                    <w:adjustRightInd w:val="0"/>
                    <w:snapToGrid w:val="0"/>
                    <w:contextualSpacing/>
                    <w:jc w:val="center"/>
                    <w:rPr>
                      <w:sz w:val="18"/>
                      <w:szCs w:val="18"/>
                    </w:rPr>
                  </w:pPr>
                  <w:r>
                    <w:rPr>
                      <w:rFonts w:eastAsia="Arial Unicode MS"/>
                      <w:sz w:val="18"/>
                      <w:szCs w:val="18"/>
                    </w:rPr>
                    <w:t>1.68</w:t>
                  </w:r>
                </w:p>
              </w:tc>
              <w:tc>
                <w:tcPr>
                  <w:tcW w:w="696" w:type="pct"/>
                  <w:vMerge w:val="restart"/>
                  <w:vAlign w:val="center"/>
                </w:tcPr>
                <w:p w14:paraId="6BA58A68" w14:textId="77777777" w:rsidR="00F76A63" w:rsidRDefault="00000000">
                  <w:pPr>
                    <w:adjustRightInd w:val="0"/>
                    <w:snapToGrid w:val="0"/>
                    <w:contextualSpacing/>
                    <w:jc w:val="center"/>
                    <w:rPr>
                      <w:sz w:val="18"/>
                      <w:szCs w:val="18"/>
                    </w:rPr>
                  </w:pPr>
                  <w:r>
                    <w:rPr>
                      <w:sz w:val="18"/>
                      <w:szCs w:val="18"/>
                    </w:rPr>
                    <w:t>/</w:t>
                  </w:r>
                </w:p>
              </w:tc>
            </w:tr>
            <w:tr w:rsidR="00F76A63" w14:paraId="1F427591" w14:textId="77777777">
              <w:trPr>
                <w:trHeight w:val="340"/>
                <w:jc w:val="center"/>
              </w:trPr>
              <w:tc>
                <w:tcPr>
                  <w:tcW w:w="582" w:type="pct"/>
                  <w:vMerge/>
                  <w:vAlign w:val="center"/>
                </w:tcPr>
                <w:p w14:paraId="602FF99A" w14:textId="77777777" w:rsidR="00F76A63" w:rsidRDefault="00F76A63">
                  <w:pPr>
                    <w:adjustRightInd w:val="0"/>
                    <w:snapToGrid w:val="0"/>
                    <w:contextualSpacing/>
                    <w:jc w:val="center"/>
                    <w:rPr>
                      <w:sz w:val="18"/>
                      <w:szCs w:val="18"/>
                    </w:rPr>
                  </w:pPr>
                </w:p>
              </w:tc>
              <w:tc>
                <w:tcPr>
                  <w:tcW w:w="798" w:type="pct"/>
                  <w:vMerge/>
                  <w:vAlign w:val="center"/>
                </w:tcPr>
                <w:p w14:paraId="2B877E6F" w14:textId="77777777" w:rsidR="00F76A63" w:rsidRDefault="00F76A63">
                  <w:pPr>
                    <w:adjustRightInd w:val="0"/>
                    <w:snapToGrid w:val="0"/>
                    <w:contextualSpacing/>
                    <w:jc w:val="center"/>
                    <w:rPr>
                      <w:sz w:val="18"/>
                      <w:szCs w:val="18"/>
                    </w:rPr>
                  </w:pPr>
                </w:p>
              </w:tc>
              <w:tc>
                <w:tcPr>
                  <w:tcW w:w="1302" w:type="pct"/>
                  <w:vMerge/>
                  <w:vAlign w:val="center"/>
                </w:tcPr>
                <w:p w14:paraId="080A3AF9" w14:textId="77777777" w:rsidR="00F76A63" w:rsidRDefault="00F76A63">
                  <w:pPr>
                    <w:adjustRightInd w:val="0"/>
                    <w:snapToGrid w:val="0"/>
                    <w:contextualSpacing/>
                    <w:jc w:val="center"/>
                    <w:rPr>
                      <w:sz w:val="18"/>
                      <w:szCs w:val="18"/>
                    </w:rPr>
                  </w:pPr>
                </w:p>
              </w:tc>
              <w:tc>
                <w:tcPr>
                  <w:tcW w:w="699" w:type="pct"/>
                  <w:vAlign w:val="center"/>
                </w:tcPr>
                <w:p w14:paraId="0B852359"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0DA9CC5A" w14:textId="77777777" w:rsidR="00F76A63" w:rsidRDefault="00000000">
                  <w:pPr>
                    <w:adjustRightInd w:val="0"/>
                    <w:snapToGrid w:val="0"/>
                    <w:contextualSpacing/>
                    <w:jc w:val="center"/>
                    <w:rPr>
                      <w:sz w:val="18"/>
                      <w:szCs w:val="18"/>
                    </w:rPr>
                  </w:pPr>
                  <w:r>
                    <w:rPr>
                      <w:rFonts w:eastAsia="Arial Unicode MS"/>
                      <w:sz w:val="18"/>
                      <w:szCs w:val="18"/>
                    </w:rPr>
                    <w:t>1.22</w:t>
                  </w:r>
                </w:p>
              </w:tc>
              <w:tc>
                <w:tcPr>
                  <w:tcW w:w="696" w:type="pct"/>
                  <w:vMerge/>
                  <w:vAlign w:val="center"/>
                </w:tcPr>
                <w:p w14:paraId="461142F4" w14:textId="77777777" w:rsidR="00F76A63" w:rsidRDefault="00F76A63">
                  <w:pPr>
                    <w:adjustRightInd w:val="0"/>
                    <w:snapToGrid w:val="0"/>
                    <w:contextualSpacing/>
                    <w:jc w:val="center"/>
                    <w:rPr>
                      <w:sz w:val="18"/>
                      <w:szCs w:val="18"/>
                    </w:rPr>
                  </w:pPr>
                </w:p>
              </w:tc>
            </w:tr>
            <w:tr w:rsidR="00F76A63" w14:paraId="31DA62F7" w14:textId="77777777">
              <w:trPr>
                <w:trHeight w:val="340"/>
                <w:jc w:val="center"/>
              </w:trPr>
              <w:tc>
                <w:tcPr>
                  <w:tcW w:w="582" w:type="pct"/>
                  <w:vMerge/>
                  <w:vAlign w:val="center"/>
                </w:tcPr>
                <w:p w14:paraId="53A4F6DE" w14:textId="77777777" w:rsidR="00F76A63" w:rsidRDefault="00F76A63">
                  <w:pPr>
                    <w:adjustRightInd w:val="0"/>
                    <w:snapToGrid w:val="0"/>
                    <w:contextualSpacing/>
                    <w:jc w:val="center"/>
                    <w:rPr>
                      <w:sz w:val="18"/>
                      <w:szCs w:val="18"/>
                    </w:rPr>
                  </w:pPr>
                </w:p>
              </w:tc>
              <w:tc>
                <w:tcPr>
                  <w:tcW w:w="798" w:type="pct"/>
                  <w:vMerge/>
                  <w:vAlign w:val="center"/>
                </w:tcPr>
                <w:p w14:paraId="7A9F8F84" w14:textId="77777777" w:rsidR="00F76A63" w:rsidRDefault="00F76A63">
                  <w:pPr>
                    <w:adjustRightInd w:val="0"/>
                    <w:snapToGrid w:val="0"/>
                    <w:contextualSpacing/>
                    <w:jc w:val="center"/>
                    <w:rPr>
                      <w:sz w:val="18"/>
                      <w:szCs w:val="18"/>
                    </w:rPr>
                  </w:pPr>
                </w:p>
              </w:tc>
              <w:tc>
                <w:tcPr>
                  <w:tcW w:w="1302" w:type="pct"/>
                  <w:vMerge/>
                  <w:vAlign w:val="center"/>
                </w:tcPr>
                <w:p w14:paraId="5651B83B" w14:textId="77777777" w:rsidR="00F76A63" w:rsidRDefault="00F76A63">
                  <w:pPr>
                    <w:adjustRightInd w:val="0"/>
                    <w:snapToGrid w:val="0"/>
                    <w:contextualSpacing/>
                    <w:jc w:val="center"/>
                    <w:rPr>
                      <w:sz w:val="18"/>
                      <w:szCs w:val="18"/>
                    </w:rPr>
                  </w:pPr>
                </w:p>
              </w:tc>
              <w:tc>
                <w:tcPr>
                  <w:tcW w:w="699" w:type="pct"/>
                  <w:vAlign w:val="center"/>
                </w:tcPr>
                <w:p w14:paraId="1815A440"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114AE58C" w14:textId="77777777" w:rsidR="00F76A63" w:rsidRDefault="00000000">
                  <w:pPr>
                    <w:adjustRightInd w:val="0"/>
                    <w:snapToGrid w:val="0"/>
                    <w:contextualSpacing/>
                    <w:jc w:val="center"/>
                    <w:rPr>
                      <w:sz w:val="18"/>
                      <w:szCs w:val="18"/>
                    </w:rPr>
                  </w:pPr>
                  <w:r>
                    <w:rPr>
                      <w:rFonts w:eastAsia="Arial Unicode MS"/>
                      <w:sz w:val="18"/>
                      <w:szCs w:val="18"/>
                    </w:rPr>
                    <w:t>1.44</w:t>
                  </w:r>
                </w:p>
              </w:tc>
              <w:tc>
                <w:tcPr>
                  <w:tcW w:w="696" w:type="pct"/>
                  <w:vMerge/>
                  <w:vAlign w:val="center"/>
                </w:tcPr>
                <w:p w14:paraId="0154EB7A" w14:textId="77777777" w:rsidR="00F76A63" w:rsidRDefault="00F76A63">
                  <w:pPr>
                    <w:adjustRightInd w:val="0"/>
                    <w:snapToGrid w:val="0"/>
                    <w:contextualSpacing/>
                    <w:jc w:val="center"/>
                    <w:rPr>
                      <w:sz w:val="18"/>
                      <w:szCs w:val="18"/>
                    </w:rPr>
                  </w:pPr>
                </w:p>
              </w:tc>
            </w:tr>
            <w:tr w:rsidR="00F76A63" w14:paraId="05855AF3" w14:textId="77777777">
              <w:trPr>
                <w:trHeight w:val="340"/>
                <w:jc w:val="center"/>
              </w:trPr>
              <w:tc>
                <w:tcPr>
                  <w:tcW w:w="582" w:type="pct"/>
                  <w:vMerge/>
                  <w:vAlign w:val="center"/>
                </w:tcPr>
                <w:p w14:paraId="221367B0" w14:textId="77777777" w:rsidR="00F76A63" w:rsidRDefault="00F76A63">
                  <w:pPr>
                    <w:adjustRightInd w:val="0"/>
                    <w:snapToGrid w:val="0"/>
                    <w:contextualSpacing/>
                    <w:jc w:val="center"/>
                    <w:rPr>
                      <w:sz w:val="18"/>
                      <w:szCs w:val="18"/>
                    </w:rPr>
                  </w:pPr>
                </w:p>
              </w:tc>
              <w:tc>
                <w:tcPr>
                  <w:tcW w:w="798" w:type="pct"/>
                  <w:vMerge w:val="restart"/>
                  <w:vAlign w:val="center"/>
                </w:tcPr>
                <w:p w14:paraId="5D7D94A1" w14:textId="77777777" w:rsidR="00F76A63" w:rsidRDefault="00000000">
                  <w:pPr>
                    <w:adjustRightInd w:val="0"/>
                    <w:snapToGrid w:val="0"/>
                    <w:contextualSpacing/>
                    <w:jc w:val="center"/>
                    <w:rPr>
                      <w:sz w:val="18"/>
                      <w:szCs w:val="18"/>
                    </w:rPr>
                  </w:pPr>
                  <w:r>
                    <w:rPr>
                      <w:sz w:val="18"/>
                      <w:szCs w:val="18"/>
                    </w:rPr>
                    <w:t>202411</w:t>
                  </w:r>
                </w:p>
              </w:tc>
              <w:tc>
                <w:tcPr>
                  <w:tcW w:w="1302" w:type="pct"/>
                  <w:vMerge w:val="restart"/>
                  <w:vAlign w:val="center"/>
                </w:tcPr>
                <w:p w14:paraId="35BBC3D6" w14:textId="77777777" w:rsidR="00F76A63" w:rsidRDefault="00000000">
                  <w:pPr>
                    <w:widowControl/>
                    <w:contextualSpacing/>
                    <w:jc w:val="center"/>
                    <w:rPr>
                      <w:rFonts w:eastAsia="Arial Unicode MS"/>
                      <w:kern w:val="0"/>
                      <w:sz w:val="18"/>
                      <w:szCs w:val="18"/>
                    </w:rPr>
                  </w:pPr>
                  <w:r>
                    <w:rPr>
                      <w:rFonts w:eastAsia="Arial Unicode MS"/>
                      <w:sz w:val="18"/>
                      <w:szCs w:val="18"/>
                    </w:rPr>
                    <w:t>322517.84</w:t>
                  </w:r>
                </w:p>
              </w:tc>
              <w:tc>
                <w:tcPr>
                  <w:tcW w:w="699" w:type="pct"/>
                  <w:vAlign w:val="center"/>
                </w:tcPr>
                <w:p w14:paraId="7F54B4B7"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6FA5D7B9" w14:textId="77777777" w:rsidR="00F76A63" w:rsidRDefault="00000000">
                  <w:pPr>
                    <w:adjustRightInd w:val="0"/>
                    <w:snapToGrid w:val="0"/>
                    <w:contextualSpacing/>
                    <w:jc w:val="center"/>
                    <w:rPr>
                      <w:sz w:val="18"/>
                      <w:szCs w:val="18"/>
                    </w:rPr>
                  </w:pPr>
                  <w:r>
                    <w:rPr>
                      <w:rFonts w:eastAsia="Arial Unicode MS"/>
                      <w:sz w:val="18"/>
                      <w:szCs w:val="18"/>
                    </w:rPr>
                    <w:t>2.08</w:t>
                  </w:r>
                </w:p>
              </w:tc>
              <w:tc>
                <w:tcPr>
                  <w:tcW w:w="696" w:type="pct"/>
                  <w:vMerge w:val="restart"/>
                  <w:vAlign w:val="center"/>
                </w:tcPr>
                <w:p w14:paraId="4851CF2A" w14:textId="77777777" w:rsidR="00F76A63" w:rsidRDefault="00000000">
                  <w:pPr>
                    <w:adjustRightInd w:val="0"/>
                    <w:snapToGrid w:val="0"/>
                    <w:contextualSpacing/>
                    <w:jc w:val="center"/>
                    <w:rPr>
                      <w:sz w:val="18"/>
                      <w:szCs w:val="18"/>
                    </w:rPr>
                  </w:pPr>
                  <w:r>
                    <w:rPr>
                      <w:sz w:val="18"/>
                      <w:szCs w:val="18"/>
                    </w:rPr>
                    <w:t>/</w:t>
                  </w:r>
                </w:p>
              </w:tc>
            </w:tr>
            <w:tr w:rsidR="00F76A63" w14:paraId="25E3C989" w14:textId="77777777">
              <w:trPr>
                <w:trHeight w:val="340"/>
                <w:jc w:val="center"/>
              </w:trPr>
              <w:tc>
                <w:tcPr>
                  <w:tcW w:w="582" w:type="pct"/>
                  <w:vMerge/>
                  <w:vAlign w:val="center"/>
                </w:tcPr>
                <w:p w14:paraId="67FEC3D6" w14:textId="77777777" w:rsidR="00F76A63" w:rsidRDefault="00F76A63">
                  <w:pPr>
                    <w:adjustRightInd w:val="0"/>
                    <w:snapToGrid w:val="0"/>
                    <w:contextualSpacing/>
                    <w:jc w:val="center"/>
                    <w:rPr>
                      <w:sz w:val="18"/>
                      <w:szCs w:val="18"/>
                    </w:rPr>
                  </w:pPr>
                </w:p>
              </w:tc>
              <w:tc>
                <w:tcPr>
                  <w:tcW w:w="798" w:type="pct"/>
                  <w:vMerge/>
                  <w:vAlign w:val="center"/>
                </w:tcPr>
                <w:p w14:paraId="33ABE559" w14:textId="77777777" w:rsidR="00F76A63" w:rsidRDefault="00F76A63">
                  <w:pPr>
                    <w:adjustRightInd w:val="0"/>
                    <w:snapToGrid w:val="0"/>
                    <w:contextualSpacing/>
                    <w:jc w:val="center"/>
                    <w:rPr>
                      <w:sz w:val="18"/>
                      <w:szCs w:val="18"/>
                    </w:rPr>
                  </w:pPr>
                </w:p>
              </w:tc>
              <w:tc>
                <w:tcPr>
                  <w:tcW w:w="1302" w:type="pct"/>
                  <w:vMerge/>
                  <w:vAlign w:val="center"/>
                </w:tcPr>
                <w:p w14:paraId="648A63CB" w14:textId="77777777" w:rsidR="00F76A63" w:rsidRDefault="00F76A63">
                  <w:pPr>
                    <w:adjustRightInd w:val="0"/>
                    <w:snapToGrid w:val="0"/>
                    <w:contextualSpacing/>
                    <w:jc w:val="center"/>
                    <w:rPr>
                      <w:sz w:val="18"/>
                      <w:szCs w:val="18"/>
                    </w:rPr>
                  </w:pPr>
                </w:p>
              </w:tc>
              <w:tc>
                <w:tcPr>
                  <w:tcW w:w="699" w:type="pct"/>
                  <w:vAlign w:val="center"/>
                </w:tcPr>
                <w:p w14:paraId="2C234222"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5FACCE98" w14:textId="77777777" w:rsidR="00F76A63" w:rsidRDefault="00000000">
                  <w:pPr>
                    <w:adjustRightInd w:val="0"/>
                    <w:snapToGrid w:val="0"/>
                    <w:contextualSpacing/>
                    <w:jc w:val="center"/>
                    <w:rPr>
                      <w:sz w:val="18"/>
                      <w:szCs w:val="18"/>
                    </w:rPr>
                  </w:pPr>
                  <w:r>
                    <w:rPr>
                      <w:rFonts w:eastAsia="Arial Unicode MS"/>
                      <w:sz w:val="18"/>
                      <w:szCs w:val="18"/>
                    </w:rPr>
                    <w:t>0.84</w:t>
                  </w:r>
                </w:p>
              </w:tc>
              <w:tc>
                <w:tcPr>
                  <w:tcW w:w="696" w:type="pct"/>
                  <w:vMerge/>
                  <w:vAlign w:val="center"/>
                </w:tcPr>
                <w:p w14:paraId="037E788F" w14:textId="77777777" w:rsidR="00F76A63" w:rsidRDefault="00F76A63">
                  <w:pPr>
                    <w:adjustRightInd w:val="0"/>
                    <w:snapToGrid w:val="0"/>
                    <w:contextualSpacing/>
                    <w:jc w:val="center"/>
                    <w:rPr>
                      <w:sz w:val="18"/>
                      <w:szCs w:val="18"/>
                    </w:rPr>
                  </w:pPr>
                </w:p>
              </w:tc>
            </w:tr>
            <w:tr w:rsidR="00F76A63" w14:paraId="718140D0" w14:textId="77777777">
              <w:trPr>
                <w:trHeight w:val="340"/>
                <w:jc w:val="center"/>
              </w:trPr>
              <w:tc>
                <w:tcPr>
                  <w:tcW w:w="582" w:type="pct"/>
                  <w:vMerge/>
                  <w:vAlign w:val="center"/>
                </w:tcPr>
                <w:p w14:paraId="2EB76077" w14:textId="77777777" w:rsidR="00F76A63" w:rsidRDefault="00F76A63">
                  <w:pPr>
                    <w:adjustRightInd w:val="0"/>
                    <w:snapToGrid w:val="0"/>
                    <w:contextualSpacing/>
                    <w:jc w:val="center"/>
                    <w:rPr>
                      <w:sz w:val="18"/>
                      <w:szCs w:val="18"/>
                    </w:rPr>
                  </w:pPr>
                </w:p>
              </w:tc>
              <w:tc>
                <w:tcPr>
                  <w:tcW w:w="798" w:type="pct"/>
                  <w:vMerge/>
                  <w:vAlign w:val="center"/>
                </w:tcPr>
                <w:p w14:paraId="4BFC8AF3" w14:textId="77777777" w:rsidR="00F76A63" w:rsidRDefault="00F76A63">
                  <w:pPr>
                    <w:adjustRightInd w:val="0"/>
                    <w:snapToGrid w:val="0"/>
                    <w:contextualSpacing/>
                    <w:jc w:val="center"/>
                    <w:rPr>
                      <w:sz w:val="18"/>
                      <w:szCs w:val="18"/>
                    </w:rPr>
                  </w:pPr>
                </w:p>
              </w:tc>
              <w:tc>
                <w:tcPr>
                  <w:tcW w:w="1302" w:type="pct"/>
                  <w:vMerge/>
                  <w:vAlign w:val="center"/>
                </w:tcPr>
                <w:p w14:paraId="326B5E53" w14:textId="77777777" w:rsidR="00F76A63" w:rsidRDefault="00F76A63">
                  <w:pPr>
                    <w:adjustRightInd w:val="0"/>
                    <w:snapToGrid w:val="0"/>
                    <w:contextualSpacing/>
                    <w:jc w:val="center"/>
                    <w:rPr>
                      <w:sz w:val="18"/>
                      <w:szCs w:val="18"/>
                    </w:rPr>
                  </w:pPr>
                </w:p>
              </w:tc>
              <w:tc>
                <w:tcPr>
                  <w:tcW w:w="699" w:type="pct"/>
                  <w:vAlign w:val="center"/>
                </w:tcPr>
                <w:p w14:paraId="5C0E6C05"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3052DBCD" w14:textId="77777777" w:rsidR="00F76A63" w:rsidRDefault="00000000">
                  <w:pPr>
                    <w:adjustRightInd w:val="0"/>
                    <w:snapToGrid w:val="0"/>
                    <w:contextualSpacing/>
                    <w:jc w:val="center"/>
                    <w:rPr>
                      <w:sz w:val="18"/>
                      <w:szCs w:val="18"/>
                    </w:rPr>
                  </w:pPr>
                  <w:r>
                    <w:rPr>
                      <w:rFonts w:eastAsia="Arial Unicode MS"/>
                      <w:sz w:val="18"/>
                      <w:szCs w:val="18"/>
                    </w:rPr>
                    <w:t>1.44</w:t>
                  </w:r>
                </w:p>
              </w:tc>
              <w:tc>
                <w:tcPr>
                  <w:tcW w:w="696" w:type="pct"/>
                  <w:vMerge/>
                  <w:vAlign w:val="center"/>
                </w:tcPr>
                <w:p w14:paraId="75C71518" w14:textId="77777777" w:rsidR="00F76A63" w:rsidRDefault="00F76A63">
                  <w:pPr>
                    <w:adjustRightInd w:val="0"/>
                    <w:snapToGrid w:val="0"/>
                    <w:contextualSpacing/>
                    <w:jc w:val="center"/>
                    <w:rPr>
                      <w:sz w:val="18"/>
                      <w:szCs w:val="18"/>
                    </w:rPr>
                  </w:pPr>
                </w:p>
              </w:tc>
            </w:tr>
            <w:tr w:rsidR="00F76A63" w14:paraId="77D03383" w14:textId="77777777">
              <w:trPr>
                <w:trHeight w:val="340"/>
                <w:jc w:val="center"/>
              </w:trPr>
              <w:tc>
                <w:tcPr>
                  <w:tcW w:w="582" w:type="pct"/>
                  <w:vMerge/>
                  <w:vAlign w:val="center"/>
                </w:tcPr>
                <w:p w14:paraId="06A05896" w14:textId="77777777" w:rsidR="00F76A63" w:rsidRDefault="00F76A63">
                  <w:pPr>
                    <w:adjustRightInd w:val="0"/>
                    <w:snapToGrid w:val="0"/>
                    <w:contextualSpacing/>
                    <w:jc w:val="center"/>
                    <w:rPr>
                      <w:sz w:val="18"/>
                      <w:szCs w:val="18"/>
                    </w:rPr>
                  </w:pPr>
                </w:p>
              </w:tc>
              <w:tc>
                <w:tcPr>
                  <w:tcW w:w="798" w:type="pct"/>
                  <w:vMerge w:val="restart"/>
                  <w:vAlign w:val="center"/>
                </w:tcPr>
                <w:p w14:paraId="5073310E" w14:textId="77777777" w:rsidR="00F76A63" w:rsidRDefault="00000000">
                  <w:pPr>
                    <w:adjustRightInd w:val="0"/>
                    <w:snapToGrid w:val="0"/>
                    <w:contextualSpacing/>
                    <w:jc w:val="center"/>
                    <w:rPr>
                      <w:sz w:val="18"/>
                      <w:szCs w:val="18"/>
                    </w:rPr>
                  </w:pPr>
                  <w:r>
                    <w:rPr>
                      <w:sz w:val="18"/>
                      <w:szCs w:val="18"/>
                    </w:rPr>
                    <w:t>202412</w:t>
                  </w:r>
                </w:p>
              </w:tc>
              <w:tc>
                <w:tcPr>
                  <w:tcW w:w="1302" w:type="pct"/>
                  <w:vMerge w:val="restart"/>
                  <w:vAlign w:val="center"/>
                </w:tcPr>
                <w:p w14:paraId="6E2DD99F" w14:textId="77777777" w:rsidR="00F76A63" w:rsidRDefault="00000000">
                  <w:pPr>
                    <w:widowControl/>
                    <w:contextualSpacing/>
                    <w:jc w:val="center"/>
                    <w:rPr>
                      <w:rFonts w:eastAsia="Arial Unicode MS"/>
                      <w:kern w:val="0"/>
                      <w:sz w:val="18"/>
                      <w:szCs w:val="18"/>
                    </w:rPr>
                  </w:pPr>
                  <w:r>
                    <w:rPr>
                      <w:rFonts w:eastAsia="Arial Unicode MS"/>
                      <w:sz w:val="18"/>
                      <w:szCs w:val="18"/>
                    </w:rPr>
                    <w:t>335696.65</w:t>
                  </w:r>
                </w:p>
              </w:tc>
              <w:tc>
                <w:tcPr>
                  <w:tcW w:w="699" w:type="pct"/>
                  <w:vAlign w:val="center"/>
                </w:tcPr>
                <w:p w14:paraId="7002AC68"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319D1788" w14:textId="77777777" w:rsidR="00F76A63" w:rsidRDefault="00000000">
                  <w:pPr>
                    <w:adjustRightInd w:val="0"/>
                    <w:snapToGrid w:val="0"/>
                    <w:contextualSpacing/>
                    <w:jc w:val="center"/>
                    <w:rPr>
                      <w:sz w:val="18"/>
                      <w:szCs w:val="18"/>
                    </w:rPr>
                  </w:pPr>
                  <w:r>
                    <w:rPr>
                      <w:rFonts w:eastAsia="Arial Unicode MS"/>
                      <w:sz w:val="18"/>
                      <w:szCs w:val="18"/>
                    </w:rPr>
                    <w:t>1.86</w:t>
                  </w:r>
                </w:p>
              </w:tc>
              <w:tc>
                <w:tcPr>
                  <w:tcW w:w="696" w:type="pct"/>
                  <w:vMerge w:val="restart"/>
                  <w:vAlign w:val="center"/>
                </w:tcPr>
                <w:p w14:paraId="729C78B9" w14:textId="77777777" w:rsidR="00F76A63" w:rsidRDefault="00000000">
                  <w:pPr>
                    <w:adjustRightInd w:val="0"/>
                    <w:snapToGrid w:val="0"/>
                    <w:contextualSpacing/>
                    <w:jc w:val="center"/>
                    <w:rPr>
                      <w:sz w:val="18"/>
                      <w:szCs w:val="18"/>
                    </w:rPr>
                  </w:pPr>
                  <w:r>
                    <w:rPr>
                      <w:sz w:val="18"/>
                      <w:szCs w:val="18"/>
                    </w:rPr>
                    <w:t>/</w:t>
                  </w:r>
                </w:p>
              </w:tc>
            </w:tr>
            <w:tr w:rsidR="00F76A63" w14:paraId="479E00AF" w14:textId="77777777">
              <w:trPr>
                <w:trHeight w:val="340"/>
                <w:jc w:val="center"/>
              </w:trPr>
              <w:tc>
                <w:tcPr>
                  <w:tcW w:w="582" w:type="pct"/>
                  <w:vMerge/>
                  <w:vAlign w:val="center"/>
                </w:tcPr>
                <w:p w14:paraId="09550E6C" w14:textId="77777777" w:rsidR="00F76A63" w:rsidRDefault="00F76A63">
                  <w:pPr>
                    <w:adjustRightInd w:val="0"/>
                    <w:snapToGrid w:val="0"/>
                    <w:contextualSpacing/>
                    <w:jc w:val="center"/>
                    <w:rPr>
                      <w:sz w:val="18"/>
                      <w:szCs w:val="18"/>
                    </w:rPr>
                  </w:pPr>
                </w:p>
              </w:tc>
              <w:tc>
                <w:tcPr>
                  <w:tcW w:w="798" w:type="pct"/>
                  <w:vMerge/>
                  <w:vAlign w:val="center"/>
                </w:tcPr>
                <w:p w14:paraId="1F16F305" w14:textId="77777777" w:rsidR="00F76A63" w:rsidRDefault="00F76A63">
                  <w:pPr>
                    <w:adjustRightInd w:val="0"/>
                    <w:snapToGrid w:val="0"/>
                    <w:contextualSpacing/>
                    <w:jc w:val="center"/>
                    <w:rPr>
                      <w:sz w:val="18"/>
                      <w:szCs w:val="18"/>
                    </w:rPr>
                  </w:pPr>
                </w:p>
              </w:tc>
              <w:tc>
                <w:tcPr>
                  <w:tcW w:w="1302" w:type="pct"/>
                  <w:vMerge/>
                  <w:vAlign w:val="center"/>
                </w:tcPr>
                <w:p w14:paraId="4E75B99E" w14:textId="77777777" w:rsidR="00F76A63" w:rsidRDefault="00F76A63">
                  <w:pPr>
                    <w:adjustRightInd w:val="0"/>
                    <w:snapToGrid w:val="0"/>
                    <w:contextualSpacing/>
                    <w:jc w:val="center"/>
                    <w:rPr>
                      <w:sz w:val="18"/>
                      <w:szCs w:val="18"/>
                    </w:rPr>
                  </w:pPr>
                </w:p>
              </w:tc>
              <w:tc>
                <w:tcPr>
                  <w:tcW w:w="699" w:type="pct"/>
                  <w:vAlign w:val="center"/>
                </w:tcPr>
                <w:p w14:paraId="155EC216"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6F4877BE" w14:textId="77777777" w:rsidR="00F76A63" w:rsidRDefault="00000000">
                  <w:pPr>
                    <w:adjustRightInd w:val="0"/>
                    <w:snapToGrid w:val="0"/>
                    <w:contextualSpacing/>
                    <w:jc w:val="center"/>
                    <w:rPr>
                      <w:sz w:val="18"/>
                      <w:szCs w:val="18"/>
                    </w:rPr>
                  </w:pPr>
                  <w:r>
                    <w:rPr>
                      <w:rFonts w:eastAsia="Arial Unicode MS"/>
                      <w:sz w:val="18"/>
                      <w:szCs w:val="18"/>
                    </w:rPr>
                    <w:t>1.22</w:t>
                  </w:r>
                </w:p>
              </w:tc>
              <w:tc>
                <w:tcPr>
                  <w:tcW w:w="696" w:type="pct"/>
                  <w:vMerge/>
                  <w:vAlign w:val="center"/>
                </w:tcPr>
                <w:p w14:paraId="4A26A53D" w14:textId="77777777" w:rsidR="00F76A63" w:rsidRDefault="00F76A63">
                  <w:pPr>
                    <w:adjustRightInd w:val="0"/>
                    <w:snapToGrid w:val="0"/>
                    <w:contextualSpacing/>
                    <w:jc w:val="center"/>
                    <w:rPr>
                      <w:sz w:val="18"/>
                      <w:szCs w:val="18"/>
                    </w:rPr>
                  </w:pPr>
                </w:p>
              </w:tc>
            </w:tr>
            <w:tr w:rsidR="00F76A63" w14:paraId="29193243" w14:textId="77777777">
              <w:trPr>
                <w:trHeight w:val="340"/>
                <w:jc w:val="center"/>
              </w:trPr>
              <w:tc>
                <w:tcPr>
                  <w:tcW w:w="582" w:type="pct"/>
                  <w:vMerge/>
                  <w:vAlign w:val="center"/>
                </w:tcPr>
                <w:p w14:paraId="138D0627" w14:textId="77777777" w:rsidR="00F76A63" w:rsidRDefault="00F76A63">
                  <w:pPr>
                    <w:adjustRightInd w:val="0"/>
                    <w:snapToGrid w:val="0"/>
                    <w:contextualSpacing/>
                    <w:jc w:val="center"/>
                    <w:rPr>
                      <w:sz w:val="18"/>
                      <w:szCs w:val="18"/>
                    </w:rPr>
                  </w:pPr>
                </w:p>
              </w:tc>
              <w:tc>
                <w:tcPr>
                  <w:tcW w:w="798" w:type="pct"/>
                  <w:vMerge/>
                  <w:vAlign w:val="center"/>
                </w:tcPr>
                <w:p w14:paraId="2431D213" w14:textId="77777777" w:rsidR="00F76A63" w:rsidRDefault="00F76A63">
                  <w:pPr>
                    <w:adjustRightInd w:val="0"/>
                    <w:snapToGrid w:val="0"/>
                    <w:contextualSpacing/>
                    <w:jc w:val="center"/>
                    <w:rPr>
                      <w:sz w:val="18"/>
                      <w:szCs w:val="18"/>
                    </w:rPr>
                  </w:pPr>
                </w:p>
              </w:tc>
              <w:tc>
                <w:tcPr>
                  <w:tcW w:w="1302" w:type="pct"/>
                  <w:vMerge/>
                  <w:vAlign w:val="center"/>
                </w:tcPr>
                <w:p w14:paraId="2654D674" w14:textId="77777777" w:rsidR="00F76A63" w:rsidRDefault="00F76A63">
                  <w:pPr>
                    <w:adjustRightInd w:val="0"/>
                    <w:snapToGrid w:val="0"/>
                    <w:contextualSpacing/>
                    <w:jc w:val="center"/>
                    <w:rPr>
                      <w:sz w:val="18"/>
                      <w:szCs w:val="18"/>
                    </w:rPr>
                  </w:pPr>
                </w:p>
              </w:tc>
              <w:tc>
                <w:tcPr>
                  <w:tcW w:w="699" w:type="pct"/>
                  <w:vAlign w:val="center"/>
                </w:tcPr>
                <w:p w14:paraId="1FB3F8C8"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565BE5EC" w14:textId="77777777" w:rsidR="00F76A63" w:rsidRDefault="00000000">
                  <w:pPr>
                    <w:adjustRightInd w:val="0"/>
                    <w:snapToGrid w:val="0"/>
                    <w:contextualSpacing/>
                    <w:jc w:val="center"/>
                    <w:rPr>
                      <w:sz w:val="18"/>
                      <w:szCs w:val="18"/>
                    </w:rPr>
                  </w:pPr>
                  <w:r>
                    <w:rPr>
                      <w:rFonts w:eastAsia="Arial Unicode MS"/>
                      <w:sz w:val="18"/>
                      <w:szCs w:val="18"/>
                    </w:rPr>
                    <w:t>1.55</w:t>
                  </w:r>
                </w:p>
              </w:tc>
              <w:tc>
                <w:tcPr>
                  <w:tcW w:w="696" w:type="pct"/>
                  <w:vMerge/>
                  <w:vAlign w:val="center"/>
                </w:tcPr>
                <w:p w14:paraId="1E9083B3" w14:textId="77777777" w:rsidR="00F76A63" w:rsidRDefault="00F76A63">
                  <w:pPr>
                    <w:adjustRightInd w:val="0"/>
                    <w:snapToGrid w:val="0"/>
                    <w:contextualSpacing/>
                    <w:jc w:val="center"/>
                    <w:rPr>
                      <w:sz w:val="18"/>
                      <w:szCs w:val="18"/>
                    </w:rPr>
                  </w:pPr>
                </w:p>
              </w:tc>
            </w:tr>
            <w:tr w:rsidR="00F76A63" w14:paraId="1DDCD3E5" w14:textId="77777777">
              <w:trPr>
                <w:trHeight w:val="340"/>
                <w:jc w:val="center"/>
              </w:trPr>
              <w:tc>
                <w:tcPr>
                  <w:tcW w:w="582" w:type="pct"/>
                  <w:vMerge/>
                  <w:vAlign w:val="center"/>
                </w:tcPr>
                <w:p w14:paraId="46A9EBB6" w14:textId="77777777" w:rsidR="00F76A63" w:rsidRDefault="00F76A63">
                  <w:pPr>
                    <w:adjustRightInd w:val="0"/>
                    <w:snapToGrid w:val="0"/>
                    <w:contextualSpacing/>
                    <w:jc w:val="center"/>
                    <w:rPr>
                      <w:sz w:val="18"/>
                      <w:szCs w:val="18"/>
                    </w:rPr>
                  </w:pPr>
                </w:p>
              </w:tc>
              <w:tc>
                <w:tcPr>
                  <w:tcW w:w="798" w:type="pct"/>
                  <w:vMerge w:val="restart"/>
                  <w:vAlign w:val="center"/>
                </w:tcPr>
                <w:p w14:paraId="7FC487DE" w14:textId="77777777" w:rsidR="00F76A63" w:rsidRDefault="00000000">
                  <w:pPr>
                    <w:adjustRightInd w:val="0"/>
                    <w:snapToGrid w:val="0"/>
                    <w:contextualSpacing/>
                    <w:jc w:val="center"/>
                    <w:rPr>
                      <w:sz w:val="18"/>
                      <w:szCs w:val="18"/>
                    </w:rPr>
                  </w:pPr>
                  <w:r>
                    <w:rPr>
                      <w:sz w:val="18"/>
                      <w:szCs w:val="18"/>
                    </w:rPr>
                    <w:t>202501</w:t>
                  </w:r>
                </w:p>
              </w:tc>
              <w:tc>
                <w:tcPr>
                  <w:tcW w:w="1302" w:type="pct"/>
                  <w:vMerge w:val="restart"/>
                  <w:vAlign w:val="center"/>
                </w:tcPr>
                <w:p w14:paraId="319D5F4A" w14:textId="77777777" w:rsidR="00F76A63" w:rsidRDefault="00000000">
                  <w:pPr>
                    <w:widowControl/>
                    <w:contextualSpacing/>
                    <w:jc w:val="center"/>
                    <w:rPr>
                      <w:kern w:val="0"/>
                      <w:sz w:val="18"/>
                      <w:szCs w:val="18"/>
                    </w:rPr>
                  </w:pPr>
                  <w:r>
                    <w:rPr>
                      <w:sz w:val="18"/>
                      <w:szCs w:val="18"/>
                    </w:rPr>
                    <w:t>279001.79</w:t>
                  </w:r>
                </w:p>
              </w:tc>
              <w:tc>
                <w:tcPr>
                  <w:tcW w:w="699" w:type="pct"/>
                  <w:vAlign w:val="center"/>
                </w:tcPr>
                <w:p w14:paraId="7D5D554C"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009E4664" w14:textId="77777777" w:rsidR="00F76A63" w:rsidRDefault="00000000">
                  <w:pPr>
                    <w:adjustRightInd w:val="0"/>
                    <w:snapToGrid w:val="0"/>
                    <w:contextualSpacing/>
                    <w:jc w:val="center"/>
                    <w:rPr>
                      <w:sz w:val="18"/>
                      <w:szCs w:val="18"/>
                    </w:rPr>
                  </w:pPr>
                  <w:r>
                    <w:rPr>
                      <w:rFonts w:eastAsia="Arial Unicode MS"/>
                      <w:sz w:val="18"/>
                      <w:szCs w:val="18"/>
                    </w:rPr>
                    <w:t>3.08</w:t>
                  </w:r>
                </w:p>
              </w:tc>
              <w:tc>
                <w:tcPr>
                  <w:tcW w:w="696" w:type="pct"/>
                  <w:vMerge w:val="restart"/>
                  <w:vAlign w:val="center"/>
                </w:tcPr>
                <w:p w14:paraId="52FF0E85" w14:textId="77777777" w:rsidR="00F76A63" w:rsidRDefault="00000000">
                  <w:pPr>
                    <w:adjustRightInd w:val="0"/>
                    <w:snapToGrid w:val="0"/>
                    <w:contextualSpacing/>
                    <w:jc w:val="center"/>
                    <w:rPr>
                      <w:sz w:val="18"/>
                      <w:szCs w:val="18"/>
                    </w:rPr>
                  </w:pPr>
                  <w:r>
                    <w:rPr>
                      <w:sz w:val="18"/>
                      <w:szCs w:val="18"/>
                    </w:rPr>
                    <w:t>/</w:t>
                  </w:r>
                </w:p>
              </w:tc>
            </w:tr>
            <w:tr w:rsidR="00F76A63" w14:paraId="55A00BDA" w14:textId="77777777">
              <w:trPr>
                <w:trHeight w:val="340"/>
                <w:jc w:val="center"/>
              </w:trPr>
              <w:tc>
                <w:tcPr>
                  <w:tcW w:w="582" w:type="pct"/>
                  <w:vMerge/>
                  <w:vAlign w:val="center"/>
                </w:tcPr>
                <w:p w14:paraId="3BB9B363" w14:textId="77777777" w:rsidR="00F76A63" w:rsidRDefault="00F76A63">
                  <w:pPr>
                    <w:adjustRightInd w:val="0"/>
                    <w:snapToGrid w:val="0"/>
                    <w:contextualSpacing/>
                    <w:jc w:val="center"/>
                    <w:rPr>
                      <w:sz w:val="18"/>
                      <w:szCs w:val="18"/>
                    </w:rPr>
                  </w:pPr>
                </w:p>
              </w:tc>
              <w:tc>
                <w:tcPr>
                  <w:tcW w:w="798" w:type="pct"/>
                  <w:vMerge/>
                  <w:vAlign w:val="center"/>
                </w:tcPr>
                <w:p w14:paraId="5E23A379" w14:textId="77777777" w:rsidR="00F76A63" w:rsidRDefault="00F76A63">
                  <w:pPr>
                    <w:adjustRightInd w:val="0"/>
                    <w:snapToGrid w:val="0"/>
                    <w:contextualSpacing/>
                    <w:jc w:val="center"/>
                    <w:rPr>
                      <w:sz w:val="18"/>
                      <w:szCs w:val="18"/>
                    </w:rPr>
                  </w:pPr>
                </w:p>
              </w:tc>
              <w:tc>
                <w:tcPr>
                  <w:tcW w:w="1302" w:type="pct"/>
                  <w:vMerge/>
                  <w:vAlign w:val="center"/>
                </w:tcPr>
                <w:p w14:paraId="18432FE0" w14:textId="77777777" w:rsidR="00F76A63" w:rsidRDefault="00F76A63">
                  <w:pPr>
                    <w:adjustRightInd w:val="0"/>
                    <w:snapToGrid w:val="0"/>
                    <w:contextualSpacing/>
                    <w:jc w:val="center"/>
                    <w:rPr>
                      <w:sz w:val="18"/>
                      <w:szCs w:val="18"/>
                    </w:rPr>
                  </w:pPr>
                </w:p>
              </w:tc>
              <w:tc>
                <w:tcPr>
                  <w:tcW w:w="699" w:type="pct"/>
                  <w:vAlign w:val="center"/>
                </w:tcPr>
                <w:p w14:paraId="649072D3"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1491E950" w14:textId="77777777" w:rsidR="00F76A63" w:rsidRDefault="00000000">
                  <w:pPr>
                    <w:adjustRightInd w:val="0"/>
                    <w:snapToGrid w:val="0"/>
                    <w:contextualSpacing/>
                    <w:jc w:val="center"/>
                    <w:rPr>
                      <w:sz w:val="18"/>
                      <w:szCs w:val="18"/>
                    </w:rPr>
                  </w:pPr>
                  <w:r>
                    <w:rPr>
                      <w:rFonts w:eastAsia="Arial Unicode MS"/>
                      <w:sz w:val="18"/>
                      <w:szCs w:val="18"/>
                    </w:rPr>
                    <w:t>1.34</w:t>
                  </w:r>
                </w:p>
              </w:tc>
              <w:tc>
                <w:tcPr>
                  <w:tcW w:w="696" w:type="pct"/>
                  <w:vMerge/>
                  <w:vAlign w:val="center"/>
                </w:tcPr>
                <w:p w14:paraId="3CB061AD" w14:textId="77777777" w:rsidR="00F76A63" w:rsidRDefault="00F76A63">
                  <w:pPr>
                    <w:adjustRightInd w:val="0"/>
                    <w:snapToGrid w:val="0"/>
                    <w:contextualSpacing/>
                    <w:jc w:val="center"/>
                    <w:rPr>
                      <w:sz w:val="18"/>
                      <w:szCs w:val="18"/>
                    </w:rPr>
                  </w:pPr>
                </w:p>
              </w:tc>
            </w:tr>
            <w:tr w:rsidR="00F76A63" w14:paraId="4C221A33" w14:textId="77777777">
              <w:trPr>
                <w:trHeight w:val="340"/>
                <w:jc w:val="center"/>
              </w:trPr>
              <w:tc>
                <w:tcPr>
                  <w:tcW w:w="582" w:type="pct"/>
                  <w:vMerge/>
                  <w:vAlign w:val="center"/>
                </w:tcPr>
                <w:p w14:paraId="77F39A82" w14:textId="77777777" w:rsidR="00F76A63" w:rsidRDefault="00F76A63">
                  <w:pPr>
                    <w:adjustRightInd w:val="0"/>
                    <w:snapToGrid w:val="0"/>
                    <w:contextualSpacing/>
                    <w:jc w:val="center"/>
                    <w:rPr>
                      <w:sz w:val="18"/>
                      <w:szCs w:val="18"/>
                    </w:rPr>
                  </w:pPr>
                </w:p>
              </w:tc>
              <w:tc>
                <w:tcPr>
                  <w:tcW w:w="798" w:type="pct"/>
                  <w:vMerge/>
                  <w:vAlign w:val="center"/>
                </w:tcPr>
                <w:p w14:paraId="577B7824" w14:textId="77777777" w:rsidR="00F76A63" w:rsidRDefault="00F76A63">
                  <w:pPr>
                    <w:adjustRightInd w:val="0"/>
                    <w:snapToGrid w:val="0"/>
                    <w:contextualSpacing/>
                    <w:jc w:val="center"/>
                    <w:rPr>
                      <w:sz w:val="18"/>
                      <w:szCs w:val="18"/>
                    </w:rPr>
                  </w:pPr>
                </w:p>
              </w:tc>
              <w:tc>
                <w:tcPr>
                  <w:tcW w:w="1302" w:type="pct"/>
                  <w:vMerge/>
                  <w:vAlign w:val="center"/>
                </w:tcPr>
                <w:p w14:paraId="36BCF44A" w14:textId="77777777" w:rsidR="00F76A63" w:rsidRDefault="00F76A63">
                  <w:pPr>
                    <w:adjustRightInd w:val="0"/>
                    <w:snapToGrid w:val="0"/>
                    <w:contextualSpacing/>
                    <w:jc w:val="center"/>
                    <w:rPr>
                      <w:sz w:val="18"/>
                      <w:szCs w:val="18"/>
                    </w:rPr>
                  </w:pPr>
                </w:p>
              </w:tc>
              <w:tc>
                <w:tcPr>
                  <w:tcW w:w="699" w:type="pct"/>
                  <w:vAlign w:val="center"/>
                </w:tcPr>
                <w:p w14:paraId="09F4945A"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06EBEF88" w14:textId="77777777" w:rsidR="00F76A63" w:rsidRDefault="00000000">
                  <w:pPr>
                    <w:adjustRightInd w:val="0"/>
                    <w:snapToGrid w:val="0"/>
                    <w:contextualSpacing/>
                    <w:jc w:val="center"/>
                    <w:rPr>
                      <w:sz w:val="18"/>
                      <w:szCs w:val="18"/>
                    </w:rPr>
                  </w:pPr>
                  <w:r>
                    <w:rPr>
                      <w:sz w:val="18"/>
                      <w:szCs w:val="18"/>
                    </w:rPr>
                    <w:t>2.77</w:t>
                  </w:r>
                </w:p>
              </w:tc>
              <w:tc>
                <w:tcPr>
                  <w:tcW w:w="696" w:type="pct"/>
                  <w:vMerge/>
                  <w:vAlign w:val="center"/>
                </w:tcPr>
                <w:p w14:paraId="2450D5AD" w14:textId="77777777" w:rsidR="00F76A63" w:rsidRDefault="00F76A63">
                  <w:pPr>
                    <w:adjustRightInd w:val="0"/>
                    <w:snapToGrid w:val="0"/>
                    <w:contextualSpacing/>
                    <w:jc w:val="center"/>
                    <w:rPr>
                      <w:sz w:val="18"/>
                      <w:szCs w:val="18"/>
                    </w:rPr>
                  </w:pPr>
                </w:p>
              </w:tc>
            </w:tr>
            <w:tr w:rsidR="00F76A63" w14:paraId="63F728AF" w14:textId="77777777">
              <w:trPr>
                <w:trHeight w:val="340"/>
                <w:jc w:val="center"/>
              </w:trPr>
              <w:tc>
                <w:tcPr>
                  <w:tcW w:w="582" w:type="pct"/>
                  <w:vMerge/>
                  <w:vAlign w:val="center"/>
                </w:tcPr>
                <w:p w14:paraId="5353F3E3" w14:textId="77777777" w:rsidR="00F76A63" w:rsidRDefault="00F76A63">
                  <w:pPr>
                    <w:adjustRightInd w:val="0"/>
                    <w:snapToGrid w:val="0"/>
                    <w:contextualSpacing/>
                    <w:jc w:val="center"/>
                    <w:rPr>
                      <w:sz w:val="18"/>
                      <w:szCs w:val="18"/>
                    </w:rPr>
                  </w:pPr>
                </w:p>
              </w:tc>
              <w:tc>
                <w:tcPr>
                  <w:tcW w:w="798" w:type="pct"/>
                  <w:vMerge w:val="restart"/>
                  <w:vAlign w:val="center"/>
                </w:tcPr>
                <w:p w14:paraId="56C031BE" w14:textId="77777777" w:rsidR="00F76A63" w:rsidRDefault="00000000">
                  <w:pPr>
                    <w:adjustRightInd w:val="0"/>
                    <w:snapToGrid w:val="0"/>
                    <w:contextualSpacing/>
                    <w:jc w:val="center"/>
                    <w:rPr>
                      <w:sz w:val="18"/>
                      <w:szCs w:val="18"/>
                    </w:rPr>
                  </w:pPr>
                  <w:r>
                    <w:rPr>
                      <w:sz w:val="18"/>
                      <w:szCs w:val="18"/>
                    </w:rPr>
                    <w:t>202502</w:t>
                  </w:r>
                </w:p>
              </w:tc>
              <w:tc>
                <w:tcPr>
                  <w:tcW w:w="1302" w:type="pct"/>
                  <w:vMerge w:val="restart"/>
                  <w:vAlign w:val="center"/>
                </w:tcPr>
                <w:p w14:paraId="26411D8B" w14:textId="77777777" w:rsidR="00F76A63" w:rsidRDefault="00000000">
                  <w:pPr>
                    <w:widowControl/>
                    <w:contextualSpacing/>
                    <w:jc w:val="center"/>
                    <w:rPr>
                      <w:rFonts w:eastAsia="Arial Unicode MS"/>
                      <w:kern w:val="0"/>
                      <w:sz w:val="18"/>
                      <w:szCs w:val="18"/>
                    </w:rPr>
                  </w:pPr>
                  <w:r>
                    <w:rPr>
                      <w:rFonts w:eastAsia="Arial Unicode MS"/>
                      <w:sz w:val="18"/>
                      <w:szCs w:val="18"/>
                    </w:rPr>
                    <w:t>1930534.66</w:t>
                  </w:r>
                </w:p>
              </w:tc>
              <w:tc>
                <w:tcPr>
                  <w:tcW w:w="699" w:type="pct"/>
                  <w:vAlign w:val="center"/>
                </w:tcPr>
                <w:p w14:paraId="2B1716F8"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2FD8E7C9" w14:textId="77777777" w:rsidR="00F76A63" w:rsidRDefault="00000000">
                  <w:pPr>
                    <w:adjustRightInd w:val="0"/>
                    <w:snapToGrid w:val="0"/>
                    <w:contextualSpacing/>
                    <w:jc w:val="center"/>
                    <w:rPr>
                      <w:sz w:val="18"/>
                      <w:szCs w:val="18"/>
                    </w:rPr>
                  </w:pPr>
                  <w:r>
                    <w:rPr>
                      <w:rFonts w:eastAsia="Arial Unicode MS"/>
                      <w:sz w:val="18"/>
                      <w:szCs w:val="18"/>
                    </w:rPr>
                    <w:t>2.40</w:t>
                  </w:r>
                </w:p>
              </w:tc>
              <w:tc>
                <w:tcPr>
                  <w:tcW w:w="696" w:type="pct"/>
                  <w:vMerge w:val="restart"/>
                  <w:vAlign w:val="center"/>
                </w:tcPr>
                <w:p w14:paraId="2F40CCA2" w14:textId="77777777" w:rsidR="00F76A63" w:rsidRDefault="00000000">
                  <w:pPr>
                    <w:adjustRightInd w:val="0"/>
                    <w:snapToGrid w:val="0"/>
                    <w:contextualSpacing/>
                    <w:jc w:val="center"/>
                    <w:rPr>
                      <w:sz w:val="18"/>
                      <w:szCs w:val="18"/>
                    </w:rPr>
                  </w:pPr>
                  <w:r>
                    <w:rPr>
                      <w:sz w:val="18"/>
                      <w:szCs w:val="18"/>
                    </w:rPr>
                    <w:t>/</w:t>
                  </w:r>
                </w:p>
              </w:tc>
            </w:tr>
            <w:tr w:rsidR="00F76A63" w14:paraId="41196C75" w14:textId="77777777">
              <w:trPr>
                <w:trHeight w:val="340"/>
                <w:jc w:val="center"/>
              </w:trPr>
              <w:tc>
                <w:tcPr>
                  <w:tcW w:w="582" w:type="pct"/>
                  <w:vMerge/>
                  <w:vAlign w:val="center"/>
                </w:tcPr>
                <w:p w14:paraId="1BE0A681" w14:textId="77777777" w:rsidR="00F76A63" w:rsidRDefault="00F76A63">
                  <w:pPr>
                    <w:adjustRightInd w:val="0"/>
                    <w:snapToGrid w:val="0"/>
                    <w:contextualSpacing/>
                    <w:jc w:val="center"/>
                    <w:rPr>
                      <w:sz w:val="18"/>
                      <w:szCs w:val="18"/>
                    </w:rPr>
                  </w:pPr>
                </w:p>
              </w:tc>
              <w:tc>
                <w:tcPr>
                  <w:tcW w:w="798" w:type="pct"/>
                  <w:vMerge/>
                  <w:vAlign w:val="center"/>
                </w:tcPr>
                <w:p w14:paraId="1460700B" w14:textId="77777777" w:rsidR="00F76A63" w:rsidRDefault="00F76A63">
                  <w:pPr>
                    <w:adjustRightInd w:val="0"/>
                    <w:snapToGrid w:val="0"/>
                    <w:contextualSpacing/>
                    <w:jc w:val="center"/>
                    <w:rPr>
                      <w:sz w:val="18"/>
                      <w:szCs w:val="18"/>
                    </w:rPr>
                  </w:pPr>
                </w:p>
              </w:tc>
              <w:tc>
                <w:tcPr>
                  <w:tcW w:w="1302" w:type="pct"/>
                  <w:vMerge/>
                  <w:vAlign w:val="center"/>
                </w:tcPr>
                <w:p w14:paraId="52B70CEB" w14:textId="77777777" w:rsidR="00F76A63" w:rsidRDefault="00F76A63">
                  <w:pPr>
                    <w:adjustRightInd w:val="0"/>
                    <w:snapToGrid w:val="0"/>
                    <w:contextualSpacing/>
                    <w:jc w:val="center"/>
                    <w:rPr>
                      <w:sz w:val="18"/>
                      <w:szCs w:val="18"/>
                    </w:rPr>
                  </w:pPr>
                </w:p>
              </w:tc>
              <w:tc>
                <w:tcPr>
                  <w:tcW w:w="699" w:type="pct"/>
                  <w:vAlign w:val="center"/>
                </w:tcPr>
                <w:p w14:paraId="537772AE"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287758DA" w14:textId="77777777" w:rsidR="00F76A63" w:rsidRDefault="00000000">
                  <w:pPr>
                    <w:adjustRightInd w:val="0"/>
                    <w:snapToGrid w:val="0"/>
                    <w:contextualSpacing/>
                    <w:jc w:val="center"/>
                    <w:rPr>
                      <w:sz w:val="18"/>
                      <w:szCs w:val="18"/>
                    </w:rPr>
                  </w:pPr>
                  <w:r>
                    <w:rPr>
                      <w:rFonts w:eastAsia="Arial Unicode MS"/>
                      <w:sz w:val="18"/>
                      <w:szCs w:val="18"/>
                    </w:rPr>
                    <w:t>0.03</w:t>
                  </w:r>
                </w:p>
              </w:tc>
              <w:tc>
                <w:tcPr>
                  <w:tcW w:w="696" w:type="pct"/>
                  <w:vMerge/>
                  <w:vAlign w:val="center"/>
                </w:tcPr>
                <w:p w14:paraId="05985C4B" w14:textId="77777777" w:rsidR="00F76A63" w:rsidRDefault="00F76A63">
                  <w:pPr>
                    <w:adjustRightInd w:val="0"/>
                    <w:snapToGrid w:val="0"/>
                    <w:contextualSpacing/>
                    <w:jc w:val="center"/>
                    <w:rPr>
                      <w:sz w:val="18"/>
                      <w:szCs w:val="18"/>
                    </w:rPr>
                  </w:pPr>
                </w:p>
              </w:tc>
            </w:tr>
            <w:tr w:rsidR="00F76A63" w14:paraId="1B9659D7" w14:textId="77777777">
              <w:trPr>
                <w:trHeight w:val="340"/>
                <w:jc w:val="center"/>
              </w:trPr>
              <w:tc>
                <w:tcPr>
                  <w:tcW w:w="582" w:type="pct"/>
                  <w:vMerge/>
                  <w:vAlign w:val="center"/>
                </w:tcPr>
                <w:p w14:paraId="07629BB9" w14:textId="77777777" w:rsidR="00F76A63" w:rsidRDefault="00F76A63">
                  <w:pPr>
                    <w:adjustRightInd w:val="0"/>
                    <w:snapToGrid w:val="0"/>
                    <w:contextualSpacing/>
                    <w:jc w:val="center"/>
                    <w:rPr>
                      <w:sz w:val="18"/>
                      <w:szCs w:val="18"/>
                    </w:rPr>
                  </w:pPr>
                </w:p>
              </w:tc>
              <w:tc>
                <w:tcPr>
                  <w:tcW w:w="798" w:type="pct"/>
                  <w:vMerge/>
                  <w:vAlign w:val="center"/>
                </w:tcPr>
                <w:p w14:paraId="6CFCCC2A" w14:textId="77777777" w:rsidR="00F76A63" w:rsidRDefault="00F76A63">
                  <w:pPr>
                    <w:adjustRightInd w:val="0"/>
                    <w:snapToGrid w:val="0"/>
                    <w:contextualSpacing/>
                    <w:jc w:val="center"/>
                    <w:rPr>
                      <w:sz w:val="18"/>
                      <w:szCs w:val="18"/>
                    </w:rPr>
                  </w:pPr>
                </w:p>
              </w:tc>
              <w:tc>
                <w:tcPr>
                  <w:tcW w:w="1302" w:type="pct"/>
                  <w:vMerge/>
                  <w:vAlign w:val="center"/>
                </w:tcPr>
                <w:p w14:paraId="39315DCC" w14:textId="77777777" w:rsidR="00F76A63" w:rsidRDefault="00F76A63">
                  <w:pPr>
                    <w:adjustRightInd w:val="0"/>
                    <w:snapToGrid w:val="0"/>
                    <w:contextualSpacing/>
                    <w:jc w:val="center"/>
                    <w:rPr>
                      <w:sz w:val="18"/>
                      <w:szCs w:val="18"/>
                    </w:rPr>
                  </w:pPr>
                </w:p>
              </w:tc>
              <w:tc>
                <w:tcPr>
                  <w:tcW w:w="699" w:type="pct"/>
                  <w:vAlign w:val="center"/>
                </w:tcPr>
                <w:p w14:paraId="35E81C5F"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24954A5F" w14:textId="77777777" w:rsidR="00F76A63" w:rsidRDefault="00000000">
                  <w:pPr>
                    <w:adjustRightInd w:val="0"/>
                    <w:snapToGrid w:val="0"/>
                    <w:contextualSpacing/>
                    <w:jc w:val="center"/>
                    <w:rPr>
                      <w:sz w:val="18"/>
                      <w:szCs w:val="18"/>
                    </w:rPr>
                  </w:pPr>
                  <w:r>
                    <w:rPr>
                      <w:rFonts w:eastAsia="Arial Unicode MS"/>
                      <w:sz w:val="18"/>
                      <w:szCs w:val="18"/>
                    </w:rPr>
                    <w:t>1.65</w:t>
                  </w:r>
                </w:p>
              </w:tc>
              <w:tc>
                <w:tcPr>
                  <w:tcW w:w="696" w:type="pct"/>
                  <w:vMerge/>
                  <w:vAlign w:val="center"/>
                </w:tcPr>
                <w:p w14:paraId="0E52DA88" w14:textId="77777777" w:rsidR="00F76A63" w:rsidRDefault="00F76A63">
                  <w:pPr>
                    <w:adjustRightInd w:val="0"/>
                    <w:snapToGrid w:val="0"/>
                    <w:contextualSpacing/>
                    <w:jc w:val="center"/>
                    <w:rPr>
                      <w:sz w:val="18"/>
                      <w:szCs w:val="18"/>
                    </w:rPr>
                  </w:pPr>
                </w:p>
              </w:tc>
            </w:tr>
            <w:tr w:rsidR="00F76A63" w14:paraId="5BE3503A" w14:textId="77777777">
              <w:trPr>
                <w:trHeight w:val="340"/>
                <w:jc w:val="center"/>
              </w:trPr>
              <w:tc>
                <w:tcPr>
                  <w:tcW w:w="582" w:type="pct"/>
                  <w:vMerge/>
                  <w:vAlign w:val="center"/>
                </w:tcPr>
                <w:p w14:paraId="72015D0D" w14:textId="77777777" w:rsidR="00F76A63" w:rsidRDefault="00F76A63">
                  <w:pPr>
                    <w:adjustRightInd w:val="0"/>
                    <w:snapToGrid w:val="0"/>
                    <w:contextualSpacing/>
                    <w:jc w:val="center"/>
                    <w:rPr>
                      <w:sz w:val="18"/>
                      <w:szCs w:val="18"/>
                    </w:rPr>
                  </w:pPr>
                </w:p>
              </w:tc>
              <w:tc>
                <w:tcPr>
                  <w:tcW w:w="798" w:type="pct"/>
                  <w:vMerge w:val="restart"/>
                  <w:vAlign w:val="center"/>
                </w:tcPr>
                <w:p w14:paraId="395BB4A8" w14:textId="77777777" w:rsidR="00F76A63" w:rsidRDefault="00000000">
                  <w:pPr>
                    <w:adjustRightInd w:val="0"/>
                    <w:snapToGrid w:val="0"/>
                    <w:contextualSpacing/>
                    <w:jc w:val="center"/>
                    <w:rPr>
                      <w:sz w:val="18"/>
                      <w:szCs w:val="18"/>
                    </w:rPr>
                  </w:pPr>
                  <w:r>
                    <w:rPr>
                      <w:sz w:val="18"/>
                      <w:szCs w:val="18"/>
                    </w:rPr>
                    <w:t>202503</w:t>
                  </w:r>
                </w:p>
              </w:tc>
              <w:tc>
                <w:tcPr>
                  <w:tcW w:w="1302" w:type="pct"/>
                  <w:vMerge w:val="restart"/>
                  <w:vAlign w:val="center"/>
                </w:tcPr>
                <w:p w14:paraId="0E2E7178" w14:textId="77777777" w:rsidR="00F76A63" w:rsidRDefault="00000000">
                  <w:pPr>
                    <w:widowControl/>
                    <w:contextualSpacing/>
                    <w:jc w:val="center"/>
                    <w:rPr>
                      <w:rFonts w:eastAsia="Arial Unicode MS"/>
                      <w:kern w:val="0"/>
                      <w:sz w:val="18"/>
                      <w:szCs w:val="18"/>
                    </w:rPr>
                  </w:pPr>
                  <w:r>
                    <w:rPr>
                      <w:rFonts w:eastAsia="Arial Unicode MS"/>
                      <w:sz w:val="18"/>
                      <w:szCs w:val="18"/>
                    </w:rPr>
                    <w:t>362950.75</w:t>
                  </w:r>
                </w:p>
              </w:tc>
              <w:tc>
                <w:tcPr>
                  <w:tcW w:w="699" w:type="pct"/>
                  <w:vAlign w:val="center"/>
                </w:tcPr>
                <w:p w14:paraId="26C3B34E"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3CC27F58" w14:textId="77777777" w:rsidR="00F76A63" w:rsidRDefault="00000000">
                  <w:pPr>
                    <w:adjustRightInd w:val="0"/>
                    <w:snapToGrid w:val="0"/>
                    <w:contextualSpacing/>
                    <w:jc w:val="center"/>
                    <w:rPr>
                      <w:sz w:val="18"/>
                      <w:szCs w:val="18"/>
                    </w:rPr>
                  </w:pPr>
                  <w:r>
                    <w:rPr>
                      <w:rFonts w:eastAsia="Arial Unicode MS"/>
                      <w:sz w:val="18"/>
                      <w:szCs w:val="18"/>
                    </w:rPr>
                    <w:t>3.12</w:t>
                  </w:r>
                </w:p>
              </w:tc>
              <w:tc>
                <w:tcPr>
                  <w:tcW w:w="696" w:type="pct"/>
                  <w:vMerge w:val="restart"/>
                  <w:vAlign w:val="center"/>
                </w:tcPr>
                <w:p w14:paraId="0C9C1BCD" w14:textId="77777777" w:rsidR="00F76A63" w:rsidRDefault="00000000">
                  <w:pPr>
                    <w:adjustRightInd w:val="0"/>
                    <w:snapToGrid w:val="0"/>
                    <w:contextualSpacing/>
                    <w:jc w:val="center"/>
                    <w:rPr>
                      <w:sz w:val="18"/>
                      <w:szCs w:val="18"/>
                    </w:rPr>
                  </w:pPr>
                  <w:r>
                    <w:rPr>
                      <w:sz w:val="18"/>
                      <w:szCs w:val="18"/>
                    </w:rPr>
                    <w:t>/</w:t>
                  </w:r>
                </w:p>
              </w:tc>
            </w:tr>
            <w:tr w:rsidR="00F76A63" w14:paraId="2CA8D681" w14:textId="77777777">
              <w:trPr>
                <w:trHeight w:val="340"/>
                <w:jc w:val="center"/>
              </w:trPr>
              <w:tc>
                <w:tcPr>
                  <w:tcW w:w="582" w:type="pct"/>
                  <w:vMerge/>
                  <w:vAlign w:val="center"/>
                </w:tcPr>
                <w:p w14:paraId="3A89A939" w14:textId="77777777" w:rsidR="00F76A63" w:rsidRDefault="00F76A63">
                  <w:pPr>
                    <w:adjustRightInd w:val="0"/>
                    <w:snapToGrid w:val="0"/>
                    <w:contextualSpacing/>
                    <w:jc w:val="center"/>
                    <w:rPr>
                      <w:sz w:val="18"/>
                      <w:szCs w:val="18"/>
                    </w:rPr>
                  </w:pPr>
                </w:p>
              </w:tc>
              <w:tc>
                <w:tcPr>
                  <w:tcW w:w="798" w:type="pct"/>
                  <w:vMerge/>
                  <w:vAlign w:val="center"/>
                </w:tcPr>
                <w:p w14:paraId="4E2DB59D" w14:textId="77777777" w:rsidR="00F76A63" w:rsidRDefault="00F76A63">
                  <w:pPr>
                    <w:adjustRightInd w:val="0"/>
                    <w:snapToGrid w:val="0"/>
                    <w:contextualSpacing/>
                    <w:jc w:val="center"/>
                    <w:rPr>
                      <w:sz w:val="18"/>
                      <w:szCs w:val="18"/>
                    </w:rPr>
                  </w:pPr>
                </w:p>
              </w:tc>
              <w:tc>
                <w:tcPr>
                  <w:tcW w:w="1302" w:type="pct"/>
                  <w:vMerge/>
                  <w:vAlign w:val="center"/>
                </w:tcPr>
                <w:p w14:paraId="4A9D33EE" w14:textId="77777777" w:rsidR="00F76A63" w:rsidRDefault="00F76A63">
                  <w:pPr>
                    <w:adjustRightInd w:val="0"/>
                    <w:snapToGrid w:val="0"/>
                    <w:contextualSpacing/>
                    <w:jc w:val="center"/>
                    <w:rPr>
                      <w:sz w:val="18"/>
                      <w:szCs w:val="18"/>
                    </w:rPr>
                  </w:pPr>
                </w:p>
              </w:tc>
              <w:tc>
                <w:tcPr>
                  <w:tcW w:w="699" w:type="pct"/>
                  <w:vAlign w:val="center"/>
                </w:tcPr>
                <w:p w14:paraId="0BDE20E2"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63A03566" w14:textId="77777777" w:rsidR="00F76A63" w:rsidRDefault="00000000">
                  <w:pPr>
                    <w:widowControl/>
                    <w:contextualSpacing/>
                    <w:jc w:val="center"/>
                    <w:rPr>
                      <w:rFonts w:eastAsia="Arial Unicode MS"/>
                      <w:kern w:val="0"/>
                      <w:sz w:val="18"/>
                      <w:szCs w:val="18"/>
                    </w:rPr>
                  </w:pPr>
                  <w:r>
                    <w:rPr>
                      <w:rFonts w:eastAsia="Arial Unicode MS"/>
                      <w:sz w:val="18"/>
                      <w:szCs w:val="18"/>
                    </w:rPr>
                    <w:t>2.40</w:t>
                  </w:r>
                </w:p>
              </w:tc>
              <w:tc>
                <w:tcPr>
                  <w:tcW w:w="696" w:type="pct"/>
                  <w:vMerge/>
                  <w:vAlign w:val="center"/>
                </w:tcPr>
                <w:p w14:paraId="142D65D8" w14:textId="77777777" w:rsidR="00F76A63" w:rsidRDefault="00F76A63">
                  <w:pPr>
                    <w:adjustRightInd w:val="0"/>
                    <w:snapToGrid w:val="0"/>
                    <w:contextualSpacing/>
                    <w:jc w:val="center"/>
                    <w:rPr>
                      <w:sz w:val="18"/>
                      <w:szCs w:val="18"/>
                    </w:rPr>
                  </w:pPr>
                </w:p>
              </w:tc>
            </w:tr>
            <w:tr w:rsidR="00F76A63" w14:paraId="59EC2630" w14:textId="77777777">
              <w:trPr>
                <w:trHeight w:val="340"/>
                <w:jc w:val="center"/>
              </w:trPr>
              <w:tc>
                <w:tcPr>
                  <w:tcW w:w="582" w:type="pct"/>
                  <w:vMerge/>
                  <w:vAlign w:val="center"/>
                </w:tcPr>
                <w:p w14:paraId="6439CDD4" w14:textId="77777777" w:rsidR="00F76A63" w:rsidRDefault="00F76A63">
                  <w:pPr>
                    <w:adjustRightInd w:val="0"/>
                    <w:snapToGrid w:val="0"/>
                    <w:contextualSpacing/>
                    <w:jc w:val="center"/>
                    <w:rPr>
                      <w:sz w:val="18"/>
                      <w:szCs w:val="18"/>
                    </w:rPr>
                  </w:pPr>
                </w:p>
              </w:tc>
              <w:tc>
                <w:tcPr>
                  <w:tcW w:w="798" w:type="pct"/>
                  <w:vMerge/>
                  <w:vAlign w:val="center"/>
                </w:tcPr>
                <w:p w14:paraId="189A3C59" w14:textId="77777777" w:rsidR="00F76A63" w:rsidRDefault="00F76A63">
                  <w:pPr>
                    <w:adjustRightInd w:val="0"/>
                    <w:snapToGrid w:val="0"/>
                    <w:contextualSpacing/>
                    <w:jc w:val="center"/>
                    <w:rPr>
                      <w:sz w:val="18"/>
                      <w:szCs w:val="18"/>
                    </w:rPr>
                  </w:pPr>
                </w:p>
              </w:tc>
              <w:tc>
                <w:tcPr>
                  <w:tcW w:w="1302" w:type="pct"/>
                  <w:vMerge/>
                  <w:vAlign w:val="center"/>
                </w:tcPr>
                <w:p w14:paraId="7009DF3F" w14:textId="77777777" w:rsidR="00F76A63" w:rsidRDefault="00F76A63">
                  <w:pPr>
                    <w:adjustRightInd w:val="0"/>
                    <w:snapToGrid w:val="0"/>
                    <w:contextualSpacing/>
                    <w:jc w:val="center"/>
                    <w:rPr>
                      <w:sz w:val="18"/>
                      <w:szCs w:val="18"/>
                    </w:rPr>
                  </w:pPr>
                </w:p>
              </w:tc>
              <w:tc>
                <w:tcPr>
                  <w:tcW w:w="699" w:type="pct"/>
                  <w:vAlign w:val="center"/>
                </w:tcPr>
                <w:p w14:paraId="45C66793"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67805D9F" w14:textId="77777777" w:rsidR="00F76A63" w:rsidRDefault="00000000">
                  <w:pPr>
                    <w:adjustRightInd w:val="0"/>
                    <w:snapToGrid w:val="0"/>
                    <w:contextualSpacing/>
                    <w:jc w:val="center"/>
                    <w:rPr>
                      <w:sz w:val="18"/>
                      <w:szCs w:val="18"/>
                    </w:rPr>
                  </w:pPr>
                  <w:r>
                    <w:rPr>
                      <w:rFonts w:eastAsia="Arial Unicode MS"/>
                      <w:sz w:val="18"/>
                      <w:szCs w:val="18"/>
                    </w:rPr>
                    <w:t>3.00</w:t>
                  </w:r>
                </w:p>
              </w:tc>
              <w:tc>
                <w:tcPr>
                  <w:tcW w:w="696" w:type="pct"/>
                  <w:vMerge/>
                  <w:vAlign w:val="center"/>
                </w:tcPr>
                <w:p w14:paraId="42949A31" w14:textId="77777777" w:rsidR="00F76A63" w:rsidRDefault="00F76A63">
                  <w:pPr>
                    <w:adjustRightInd w:val="0"/>
                    <w:snapToGrid w:val="0"/>
                    <w:contextualSpacing/>
                    <w:jc w:val="center"/>
                    <w:rPr>
                      <w:sz w:val="18"/>
                      <w:szCs w:val="18"/>
                    </w:rPr>
                  </w:pPr>
                </w:p>
              </w:tc>
            </w:tr>
            <w:tr w:rsidR="00F76A63" w14:paraId="2763AD40" w14:textId="77777777">
              <w:trPr>
                <w:trHeight w:val="340"/>
                <w:jc w:val="center"/>
              </w:trPr>
              <w:tc>
                <w:tcPr>
                  <w:tcW w:w="582" w:type="pct"/>
                  <w:vMerge/>
                  <w:vAlign w:val="center"/>
                </w:tcPr>
                <w:p w14:paraId="5381D7DA" w14:textId="77777777" w:rsidR="00F76A63" w:rsidRDefault="00F76A63">
                  <w:pPr>
                    <w:adjustRightInd w:val="0"/>
                    <w:snapToGrid w:val="0"/>
                    <w:contextualSpacing/>
                    <w:jc w:val="center"/>
                    <w:rPr>
                      <w:sz w:val="18"/>
                      <w:szCs w:val="18"/>
                    </w:rPr>
                  </w:pPr>
                </w:p>
              </w:tc>
              <w:tc>
                <w:tcPr>
                  <w:tcW w:w="798" w:type="pct"/>
                  <w:vMerge w:val="restart"/>
                  <w:vAlign w:val="center"/>
                </w:tcPr>
                <w:p w14:paraId="3742ACEC" w14:textId="77777777" w:rsidR="00F76A63" w:rsidRDefault="00000000">
                  <w:pPr>
                    <w:adjustRightInd w:val="0"/>
                    <w:snapToGrid w:val="0"/>
                    <w:contextualSpacing/>
                    <w:jc w:val="center"/>
                    <w:rPr>
                      <w:sz w:val="18"/>
                      <w:szCs w:val="18"/>
                    </w:rPr>
                  </w:pPr>
                  <w:r>
                    <w:rPr>
                      <w:sz w:val="18"/>
                      <w:szCs w:val="18"/>
                    </w:rPr>
                    <w:t>202504</w:t>
                  </w:r>
                </w:p>
              </w:tc>
              <w:tc>
                <w:tcPr>
                  <w:tcW w:w="1302" w:type="pct"/>
                  <w:vMerge w:val="restart"/>
                  <w:vAlign w:val="center"/>
                </w:tcPr>
                <w:p w14:paraId="13F0B4B3" w14:textId="77777777" w:rsidR="00F76A63" w:rsidRDefault="00000000">
                  <w:pPr>
                    <w:widowControl/>
                    <w:contextualSpacing/>
                    <w:jc w:val="center"/>
                    <w:rPr>
                      <w:rFonts w:eastAsia="Arial Unicode MS"/>
                      <w:kern w:val="0"/>
                      <w:sz w:val="18"/>
                      <w:szCs w:val="18"/>
                    </w:rPr>
                  </w:pPr>
                  <w:r>
                    <w:rPr>
                      <w:rFonts w:eastAsia="Arial Unicode MS"/>
                      <w:sz w:val="18"/>
                      <w:szCs w:val="18"/>
                    </w:rPr>
                    <w:t>377456.84</w:t>
                  </w:r>
                </w:p>
              </w:tc>
              <w:tc>
                <w:tcPr>
                  <w:tcW w:w="699" w:type="pct"/>
                  <w:vAlign w:val="center"/>
                </w:tcPr>
                <w:p w14:paraId="1450FE23"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023246A8" w14:textId="77777777" w:rsidR="00F76A63" w:rsidRDefault="00000000">
                  <w:pPr>
                    <w:adjustRightInd w:val="0"/>
                    <w:snapToGrid w:val="0"/>
                    <w:contextualSpacing/>
                    <w:jc w:val="center"/>
                    <w:rPr>
                      <w:sz w:val="18"/>
                      <w:szCs w:val="18"/>
                    </w:rPr>
                  </w:pPr>
                  <w:r>
                    <w:rPr>
                      <w:rFonts w:eastAsia="Arial Unicode MS"/>
                      <w:sz w:val="18"/>
                      <w:szCs w:val="18"/>
                    </w:rPr>
                    <w:t>3.14</w:t>
                  </w:r>
                </w:p>
              </w:tc>
              <w:tc>
                <w:tcPr>
                  <w:tcW w:w="696" w:type="pct"/>
                  <w:vMerge w:val="restart"/>
                  <w:vAlign w:val="center"/>
                </w:tcPr>
                <w:p w14:paraId="5DCD4883" w14:textId="77777777" w:rsidR="00F76A63" w:rsidRDefault="00000000">
                  <w:pPr>
                    <w:adjustRightInd w:val="0"/>
                    <w:snapToGrid w:val="0"/>
                    <w:contextualSpacing/>
                    <w:jc w:val="center"/>
                    <w:rPr>
                      <w:sz w:val="18"/>
                      <w:szCs w:val="18"/>
                    </w:rPr>
                  </w:pPr>
                  <w:r>
                    <w:rPr>
                      <w:sz w:val="18"/>
                      <w:szCs w:val="18"/>
                    </w:rPr>
                    <w:t>/</w:t>
                  </w:r>
                </w:p>
              </w:tc>
            </w:tr>
            <w:tr w:rsidR="00F76A63" w14:paraId="2C7373C7" w14:textId="77777777">
              <w:trPr>
                <w:trHeight w:val="340"/>
                <w:jc w:val="center"/>
              </w:trPr>
              <w:tc>
                <w:tcPr>
                  <w:tcW w:w="582" w:type="pct"/>
                  <w:vMerge/>
                  <w:vAlign w:val="center"/>
                </w:tcPr>
                <w:p w14:paraId="35FA2AB2" w14:textId="77777777" w:rsidR="00F76A63" w:rsidRDefault="00F76A63">
                  <w:pPr>
                    <w:adjustRightInd w:val="0"/>
                    <w:snapToGrid w:val="0"/>
                    <w:contextualSpacing/>
                    <w:jc w:val="center"/>
                    <w:rPr>
                      <w:sz w:val="18"/>
                      <w:szCs w:val="18"/>
                    </w:rPr>
                  </w:pPr>
                </w:p>
              </w:tc>
              <w:tc>
                <w:tcPr>
                  <w:tcW w:w="798" w:type="pct"/>
                  <w:vMerge/>
                  <w:vAlign w:val="center"/>
                </w:tcPr>
                <w:p w14:paraId="5944BC37" w14:textId="77777777" w:rsidR="00F76A63" w:rsidRDefault="00F76A63">
                  <w:pPr>
                    <w:adjustRightInd w:val="0"/>
                    <w:snapToGrid w:val="0"/>
                    <w:contextualSpacing/>
                    <w:jc w:val="center"/>
                    <w:rPr>
                      <w:sz w:val="18"/>
                      <w:szCs w:val="18"/>
                    </w:rPr>
                  </w:pPr>
                </w:p>
              </w:tc>
              <w:tc>
                <w:tcPr>
                  <w:tcW w:w="1302" w:type="pct"/>
                  <w:vMerge/>
                  <w:vAlign w:val="center"/>
                </w:tcPr>
                <w:p w14:paraId="3CF563BF" w14:textId="77777777" w:rsidR="00F76A63" w:rsidRDefault="00F76A63">
                  <w:pPr>
                    <w:adjustRightInd w:val="0"/>
                    <w:snapToGrid w:val="0"/>
                    <w:contextualSpacing/>
                    <w:jc w:val="center"/>
                    <w:rPr>
                      <w:sz w:val="18"/>
                      <w:szCs w:val="18"/>
                    </w:rPr>
                  </w:pPr>
                </w:p>
              </w:tc>
              <w:tc>
                <w:tcPr>
                  <w:tcW w:w="699" w:type="pct"/>
                  <w:vAlign w:val="center"/>
                </w:tcPr>
                <w:p w14:paraId="2D006117"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02998CDF" w14:textId="77777777" w:rsidR="00F76A63" w:rsidRDefault="00000000">
                  <w:pPr>
                    <w:adjustRightInd w:val="0"/>
                    <w:snapToGrid w:val="0"/>
                    <w:contextualSpacing/>
                    <w:jc w:val="center"/>
                    <w:rPr>
                      <w:sz w:val="18"/>
                      <w:szCs w:val="18"/>
                    </w:rPr>
                  </w:pPr>
                  <w:r>
                    <w:rPr>
                      <w:rFonts w:eastAsia="Arial Unicode MS"/>
                      <w:sz w:val="18"/>
                      <w:szCs w:val="18"/>
                    </w:rPr>
                    <w:t>2.94</w:t>
                  </w:r>
                </w:p>
              </w:tc>
              <w:tc>
                <w:tcPr>
                  <w:tcW w:w="696" w:type="pct"/>
                  <w:vMerge/>
                  <w:vAlign w:val="center"/>
                </w:tcPr>
                <w:p w14:paraId="57BDEE7F" w14:textId="77777777" w:rsidR="00F76A63" w:rsidRDefault="00F76A63">
                  <w:pPr>
                    <w:adjustRightInd w:val="0"/>
                    <w:snapToGrid w:val="0"/>
                    <w:contextualSpacing/>
                    <w:jc w:val="center"/>
                    <w:rPr>
                      <w:sz w:val="18"/>
                      <w:szCs w:val="18"/>
                    </w:rPr>
                  </w:pPr>
                </w:p>
              </w:tc>
            </w:tr>
            <w:tr w:rsidR="00F76A63" w14:paraId="002694CF" w14:textId="77777777">
              <w:trPr>
                <w:trHeight w:val="340"/>
                <w:jc w:val="center"/>
              </w:trPr>
              <w:tc>
                <w:tcPr>
                  <w:tcW w:w="582" w:type="pct"/>
                  <w:vMerge/>
                  <w:vAlign w:val="center"/>
                </w:tcPr>
                <w:p w14:paraId="642D6A83" w14:textId="77777777" w:rsidR="00F76A63" w:rsidRDefault="00F76A63">
                  <w:pPr>
                    <w:adjustRightInd w:val="0"/>
                    <w:snapToGrid w:val="0"/>
                    <w:contextualSpacing/>
                    <w:jc w:val="center"/>
                    <w:rPr>
                      <w:sz w:val="18"/>
                      <w:szCs w:val="18"/>
                    </w:rPr>
                  </w:pPr>
                </w:p>
              </w:tc>
              <w:tc>
                <w:tcPr>
                  <w:tcW w:w="798" w:type="pct"/>
                  <w:vMerge/>
                  <w:vAlign w:val="center"/>
                </w:tcPr>
                <w:p w14:paraId="3D5C1FE5" w14:textId="77777777" w:rsidR="00F76A63" w:rsidRDefault="00F76A63">
                  <w:pPr>
                    <w:adjustRightInd w:val="0"/>
                    <w:snapToGrid w:val="0"/>
                    <w:contextualSpacing/>
                    <w:jc w:val="center"/>
                    <w:rPr>
                      <w:sz w:val="18"/>
                      <w:szCs w:val="18"/>
                    </w:rPr>
                  </w:pPr>
                </w:p>
              </w:tc>
              <w:tc>
                <w:tcPr>
                  <w:tcW w:w="1302" w:type="pct"/>
                  <w:vMerge/>
                  <w:vAlign w:val="center"/>
                </w:tcPr>
                <w:p w14:paraId="12407B25" w14:textId="77777777" w:rsidR="00F76A63" w:rsidRDefault="00F76A63">
                  <w:pPr>
                    <w:adjustRightInd w:val="0"/>
                    <w:snapToGrid w:val="0"/>
                    <w:contextualSpacing/>
                    <w:jc w:val="center"/>
                    <w:rPr>
                      <w:sz w:val="18"/>
                      <w:szCs w:val="18"/>
                    </w:rPr>
                  </w:pPr>
                </w:p>
              </w:tc>
              <w:tc>
                <w:tcPr>
                  <w:tcW w:w="699" w:type="pct"/>
                  <w:vAlign w:val="center"/>
                </w:tcPr>
                <w:p w14:paraId="4EC103F2"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5DC13C05" w14:textId="77777777" w:rsidR="00F76A63" w:rsidRDefault="00000000">
                  <w:pPr>
                    <w:adjustRightInd w:val="0"/>
                    <w:snapToGrid w:val="0"/>
                    <w:contextualSpacing/>
                    <w:jc w:val="center"/>
                    <w:rPr>
                      <w:sz w:val="18"/>
                      <w:szCs w:val="18"/>
                    </w:rPr>
                  </w:pPr>
                  <w:r>
                    <w:rPr>
                      <w:rFonts w:eastAsia="Arial Unicode MS"/>
                      <w:sz w:val="18"/>
                      <w:szCs w:val="18"/>
                    </w:rPr>
                    <w:t>3.03</w:t>
                  </w:r>
                </w:p>
              </w:tc>
              <w:tc>
                <w:tcPr>
                  <w:tcW w:w="696" w:type="pct"/>
                  <w:vMerge/>
                  <w:vAlign w:val="center"/>
                </w:tcPr>
                <w:p w14:paraId="5928753D" w14:textId="77777777" w:rsidR="00F76A63" w:rsidRDefault="00F76A63">
                  <w:pPr>
                    <w:adjustRightInd w:val="0"/>
                    <w:snapToGrid w:val="0"/>
                    <w:contextualSpacing/>
                    <w:jc w:val="center"/>
                    <w:rPr>
                      <w:sz w:val="18"/>
                      <w:szCs w:val="18"/>
                    </w:rPr>
                  </w:pPr>
                </w:p>
              </w:tc>
            </w:tr>
            <w:tr w:rsidR="00F76A63" w14:paraId="0D090015" w14:textId="77777777">
              <w:trPr>
                <w:trHeight w:val="340"/>
                <w:jc w:val="center"/>
              </w:trPr>
              <w:tc>
                <w:tcPr>
                  <w:tcW w:w="582" w:type="pct"/>
                  <w:vMerge/>
                  <w:vAlign w:val="center"/>
                </w:tcPr>
                <w:p w14:paraId="63276F09" w14:textId="77777777" w:rsidR="00F76A63" w:rsidRDefault="00F76A63">
                  <w:pPr>
                    <w:adjustRightInd w:val="0"/>
                    <w:snapToGrid w:val="0"/>
                    <w:contextualSpacing/>
                    <w:jc w:val="center"/>
                    <w:rPr>
                      <w:sz w:val="18"/>
                      <w:szCs w:val="18"/>
                    </w:rPr>
                  </w:pPr>
                </w:p>
              </w:tc>
              <w:tc>
                <w:tcPr>
                  <w:tcW w:w="798" w:type="pct"/>
                  <w:vMerge w:val="restart"/>
                  <w:vAlign w:val="center"/>
                </w:tcPr>
                <w:p w14:paraId="7ADBA20E" w14:textId="77777777" w:rsidR="00F76A63" w:rsidRDefault="00000000">
                  <w:pPr>
                    <w:adjustRightInd w:val="0"/>
                    <w:snapToGrid w:val="0"/>
                    <w:contextualSpacing/>
                    <w:jc w:val="center"/>
                    <w:rPr>
                      <w:sz w:val="18"/>
                      <w:szCs w:val="18"/>
                    </w:rPr>
                  </w:pPr>
                  <w:r>
                    <w:rPr>
                      <w:sz w:val="18"/>
                      <w:szCs w:val="18"/>
                    </w:rPr>
                    <w:t>202505</w:t>
                  </w:r>
                </w:p>
              </w:tc>
              <w:tc>
                <w:tcPr>
                  <w:tcW w:w="1302" w:type="pct"/>
                  <w:vMerge w:val="restart"/>
                  <w:vAlign w:val="center"/>
                </w:tcPr>
                <w:p w14:paraId="56E4EFFE" w14:textId="77777777" w:rsidR="00F76A63" w:rsidRDefault="00000000">
                  <w:pPr>
                    <w:widowControl/>
                    <w:contextualSpacing/>
                    <w:jc w:val="center"/>
                    <w:rPr>
                      <w:rFonts w:eastAsia="Arial Unicode MS"/>
                      <w:kern w:val="0"/>
                      <w:sz w:val="18"/>
                      <w:szCs w:val="18"/>
                    </w:rPr>
                  </w:pPr>
                  <w:r>
                    <w:rPr>
                      <w:rFonts w:eastAsia="Arial Unicode MS"/>
                      <w:sz w:val="18"/>
                      <w:szCs w:val="18"/>
                    </w:rPr>
                    <w:t>355010.62</w:t>
                  </w:r>
                </w:p>
              </w:tc>
              <w:tc>
                <w:tcPr>
                  <w:tcW w:w="699" w:type="pct"/>
                  <w:vAlign w:val="center"/>
                </w:tcPr>
                <w:p w14:paraId="27D7B552"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1953E0A9" w14:textId="77777777" w:rsidR="00F76A63" w:rsidRDefault="00000000">
                  <w:pPr>
                    <w:adjustRightInd w:val="0"/>
                    <w:snapToGrid w:val="0"/>
                    <w:contextualSpacing/>
                    <w:jc w:val="center"/>
                    <w:rPr>
                      <w:sz w:val="18"/>
                      <w:szCs w:val="18"/>
                    </w:rPr>
                  </w:pPr>
                  <w:r>
                    <w:rPr>
                      <w:rFonts w:eastAsia="Arial Unicode MS"/>
                      <w:sz w:val="18"/>
                      <w:szCs w:val="18"/>
                    </w:rPr>
                    <w:t>3.17</w:t>
                  </w:r>
                </w:p>
              </w:tc>
              <w:tc>
                <w:tcPr>
                  <w:tcW w:w="696" w:type="pct"/>
                  <w:vMerge w:val="restart"/>
                  <w:vAlign w:val="center"/>
                </w:tcPr>
                <w:p w14:paraId="41DE6D04" w14:textId="77777777" w:rsidR="00F76A63" w:rsidRDefault="00000000">
                  <w:pPr>
                    <w:adjustRightInd w:val="0"/>
                    <w:snapToGrid w:val="0"/>
                    <w:contextualSpacing/>
                    <w:jc w:val="center"/>
                    <w:rPr>
                      <w:sz w:val="18"/>
                      <w:szCs w:val="18"/>
                    </w:rPr>
                  </w:pPr>
                  <w:r>
                    <w:rPr>
                      <w:sz w:val="18"/>
                      <w:szCs w:val="18"/>
                    </w:rPr>
                    <w:t>/</w:t>
                  </w:r>
                </w:p>
              </w:tc>
            </w:tr>
            <w:tr w:rsidR="00F76A63" w14:paraId="13FE3A18" w14:textId="77777777">
              <w:trPr>
                <w:trHeight w:val="340"/>
                <w:jc w:val="center"/>
              </w:trPr>
              <w:tc>
                <w:tcPr>
                  <w:tcW w:w="582" w:type="pct"/>
                  <w:vMerge/>
                  <w:vAlign w:val="center"/>
                </w:tcPr>
                <w:p w14:paraId="2D54E000" w14:textId="77777777" w:rsidR="00F76A63" w:rsidRDefault="00F76A63">
                  <w:pPr>
                    <w:adjustRightInd w:val="0"/>
                    <w:snapToGrid w:val="0"/>
                    <w:contextualSpacing/>
                    <w:jc w:val="center"/>
                    <w:rPr>
                      <w:sz w:val="18"/>
                      <w:szCs w:val="18"/>
                    </w:rPr>
                  </w:pPr>
                </w:p>
              </w:tc>
              <w:tc>
                <w:tcPr>
                  <w:tcW w:w="798" w:type="pct"/>
                  <w:vMerge/>
                  <w:vAlign w:val="center"/>
                </w:tcPr>
                <w:p w14:paraId="2C222696" w14:textId="77777777" w:rsidR="00F76A63" w:rsidRDefault="00F76A63">
                  <w:pPr>
                    <w:adjustRightInd w:val="0"/>
                    <w:snapToGrid w:val="0"/>
                    <w:contextualSpacing/>
                    <w:jc w:val="center"/>
                    <w:rPr>
                      <w:sz w:val="18"/>
                      <w:szCs w:val="18"/>
                    </w:rPr>
                  </w:pPr>
                </w:p>
              </w:tc>
              <w:tc>
                <w:tcPr>
                  <w:tcW w:w="1302" w:type="pct"/>
                  <w:vMerge/>
                  <w:vAlign w:val="center"/>
                </w:tcPr>
                <w:p w14:paraId="352F0004" w14:textId="77777777" w:rsidR="00F76A63" w:rsidRDefault="00F76A63">
                  <w:pPr>
                    <w:adjustRightInd w:val="0"/>
                    <w:snapToGrid w:val="0"/>
                    <w:contextualSpacing/>
                    <w:jc w:val="center"/>
                    <w:rPr>
                      <w:sz w:val="18"/>
                      <w:szCs w:val="18"/>
                    </w:rPr>
                  </w:pPr>
                </w:p>
              </w:tc>
              <w:tc>
                <w:tcPr>
                  <w:tcW w:w="699" w:type="pct"/>
                  <w:vAlign w:val="center"/>
                </w:tcPr>
                <w:p w14:paraId="672063C8"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60A0D0B0" w14:textId="77777777" w:rsidR="00F76A63" w:rsidRDefault="00000000">
                  <w:pPr>
                    <w:adjustRightInd w:val="0"/>
                    <w:snapToGrid w:val="0"/>
                    <w:contextualSpacing/>
                    <w:jc w:val="center"/>
                    <w:rPr>
                      <w:sz w:val="18"/>
                      <w:szCs w:val="18"/>
                    </w:rPr>
                  </w:pPr>
                  <w:r>
                    <w:rPr>
                      <w:rFonts w:eastAsia="Arial Unicode MS"/>
                      <w:sz w:val="18"/>
                      <w:szCs w:val="18"/>
                    </w:rPr>
                    <w:t>2.99</w:t>
                  </w:r>
                </w:p>
              </w:tc>
              <w:tc>
                <w:tcPr>
                  <w:tcW w:w="696" w:type="pct"/>
                  <w:vMerge/>
                  <w:vAlign w:val="center"/>
                </w:tcPr>
                <w:p w14:paraId="1472D265" w14:textId="77777777" w:rsidR="00F76A63" w:rsidRDefault="00F76A63">
                  <w:pPr>
                    <w:adjustRightInd w:val="0"/>
                    <w:snapToGrid w:val="0"/>
                    <w:contextualSpacing/>
                    <w:jc w:val="center"/>
                    <w:rPr>
                      <w:sz w:val="18"/>
                      <w:szCs w:val="18"/>
                    </w:rPr>
                  </w:pPr>
                </w:p>
              </w:tc>
            </w:tr>
            <w:tr w:rsidR="00F76A63" w14:paraId="5565CD53" w14:textId="77777777">
              <w:trPr>
                <w:trHeight w:val="340"/>
                <w:jc w:val="center"/>
              </w:trPr>
              <w:tc>
                <w:tcPr>
                  <w:tcW w:w="582" w:type="pct"/>
                  <w:vMerge/>
                  <w:vAlign w:val="center"/>
                </w:tcPr>
                <w:p w14:paraId="1B07768C" w14:textId="77777777" w:rsidR="00F76A63" w:rsidRDefault="00F76A63">
                  <w:pPr>
                    <w:adjustRightInd w:val="0"/>
                    <w:snapToGrid w:val="0"/>
                    <w:contextualSpacing/>
                    <w:jc w:val="center"/>
                    <w:rPr>
                      <w:sz w:val="18"/>
                      <w:szCs w:val="18"/>
                    </w:rPr>
                  </w:pPr>
                </w:p>
              </w:tc>
              <w:tc>
                <w:tcPr>
                  <w:tcW w:w="798" w:type="pct"/>
                  <w:vMerge/>
                  <w:vAlign w:val="center"/>
                </w:tcPr>
                <w:p w14:paraId="085BABCF" w14:textId="77777777" w:rsidR="00F76A63" w:rsidRDefault="00F76A63">
                  <w:pPr>
                    <w:adjustRightInd w:val="0"/>
                    <w:snapToGrid w:val="0"/>
                    <w:contextualSpacing/>
                    <w:jc w:val="center"/>
                    <w:rPr>
                      <w:sz w:val="18"/>
                      <w:szCs w:val="18"/>
                    </w:rPr>
                  </w:pPr>
                </w:p>
              </w:tc>
              <w:tc>
                <w:tcPr>
                  <w:tcW w:w="1302" w:type="pct"/>
                  <w:vMerge/>
                  <w:vAlign w:val="center"/>
                </w:tcPr>
                <w:p w14:paraId="3FDADA99" w14:textId="77777777" w:rsidR="00F76A63" w:rsidRDefault="00F76A63">
                  <w:pPr>
                    <w:adjustRightInd w:val="0"/>
                    <w:snapToGrid w:val="0"/>
                    <w:contextualSpacing/>
                    <w:jc w:val="center"/>
                    <w:rPr>
                      <w:sz w:val="18"/>
                      <w:szCs w:val="18"/>
                    </w:rPr>
                  </w:pPr>
                </w:p>
              </w:tc>
              <w:tc>
                <w:tcPr>
                  <w:tcW w:w="699" w:type="pct"/>
                  <w:vAlign w:val="center"/>
                </w:tcPr>
                <w:p w14:paraId="4A00F47A"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21AFBE72" w14:textId="77777777" w:rsidR="00F76A63" w:rsidRDefault="00000000">
                  <w:pPr>
                    <w:adjustRightInd w:val="0"/>
                    <w:snapToGrid w:val="0"/>
                    <w:contextualSpacing/>
                    <w:jc w:val="center"/>
                    <w:rPr>
                      <w:sz w:val="18"/>
                      <w:szCs w:val="18"/>
                    </w:rPr>
                  </w:pPr>
                  <w:r>
                    <w:rPr>
                      <w:rFonts w:eastAsia="Arial Unicode MS"/>
                      <w:sz w:val="18"/>
                      <w:szCs w:val="18"/>
                    </w:rPr>
                    <w:t>3.07</w:t>
                  </w:r>
                </w:p>
              </w:tc>
              <w:tc>
                <w:tcPr>
                  <w:tcW w:w="696" w:type="pct"/>
                  <w:vMerge/>
                  <w:vAlign w:val="center"/>
                </w:tcPr>
                <w:p w14:paraId="6E29D1E2" w14:textId="77777777" w:rsidR="00F76A63" w:rsidRDefault="00F76A63">
                  <w:pPr>
                    <w:adjustRightInd w:val="0"/>
                    <w:snapToGrid w:val="0"/>
                    <w:contextualSpacing/>
                    <w:jc w:val="center"/>
                    <w:rPr>
                      <w:sz w:val="18"/>
                      <w:szCs w:val="18"/>
                    </w:rPr>
                  </w:pPr>
                </w:p>
              </w:tc>
            </w:tr>
            <w:tr w:rsidR="00F76A63" w14:paraId="4AD7AA09" w14:textId="77777777">
              <w:trPr>
                <w:trHeight w:val="340"/>
                <w:jc w:val="center"/>
              </w:trPr>
              <w:tc>
                <w:tcPr>
                  <w:tcW w:w="582" w:type="pct"/>
                  <w:vMerge/>
                  <w:vAlign w:val="center"/>
                </w:tcPr>
                <w:p w14:paraId="3D82DDAB" w14:textId="77777777" w:rsidR="00F76A63" w:rsidRDefault="00F76A63">
                  <w:pPr>
                    <w:adjustRightInd w:val="0"/>
                    <w:snapToGrid w:val="0"/>
                    <w:contextualSpacing/>
                    <w:jc w:val="center"/>
                    <w:rPr>
                      <w:sz w:val="18"/>
                      <w:szCs w:val="18"/>
                    </w:rPr>
                  </w:pPr>
                </w:p>
              </w:tc>
              <w:tc>
                <w:tcPr>
                  <w:tcW w:w="798" w:type="pct"/>
                  <w:vMerge w:val="restart"/>
                  <w:vAlign w:val="center"/>
                </w:tcPr>
                <w:p w14:paraId="607EADE7" w14:textId="77777777" w:rsidR="00F76A63" w:rsidRDefault="00000000">
                  <w:pPr>
                    <w:adjustRightInd w:val="0"/>
                    <w:snapToGrid w:val="0"/>
                    <w:contextualSpacing/>
                    <w:jc w:val="center"/>
                    <w:rPr>
                      <w:sz w:val="18"/>
                      <w:szCs w:val="18"/>
                    </w:rPr>
                  </w:pPr>
                  <w:r>
                    <w:rPr>
                      <w:sz w:val="18"/>
                      <w:szCs w:val="18"/>
                    </w:rPr>
                    <w:t>202506</w:t>
                  </w:r>
                </w:p>
              </w:tc>
              <w:tc>
                <w:tcPr>
                  <w:tcW w:w="1302" w:type="pct"/>
                  <w:vMerge w:val="restart"/>
                  <w:vAlign w:val="center"/>
                </w:tcPr>
                <w:p w14:paraId="76E26D60" w14:textId="77777777" w:rsidR="00F76A63" w:rsidRDefault="00000000">
                  <w:pPr>
                    <w:widowControl/>
                    <w:contextualSpacing/>
                    <w:jc w:val="center"/>
                    <w:rPr>
                      <w:rFonts w:eastAsia="Arial Unicode MS"/>
                      <w:kern w:val="0"/>
                      <w:sz w:val="18"/>
                      <w:szCs w:val="18"/>
                    </w:rPr>
                  </w:pPr>
                  <w:r>
                    <w:rPr>
                      <w:rFonts w:eastAsia="Arial Unicode MS"/>
                      <w:sz w:val="18"/>
                      <w:szCs w:val="18"/>
                    </w:rPr>
                    <w:t>239083.85</w:t>
                  </w:r>
                </w:p>
              </w:tc>
              <w:tc>
                <w:tcPr>
                  <w:tcW w:w="699" w:type="pct"/>
                  <w:vAlign w:val="center"/>
                </w:tcPr>
                <w:p w14:paraId="678B02BE"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5AF5316D" w14:textId="77777777" w:rsidR="00F76A63" w:rsidRDefault="00000000">
                  <w:pPr>
                    <w:adjustRightInd w:val="0"/>
                    <w:snapToGrid w:val="0"/>
                    <w:contextualSpacing/>
                    <w:jc w:val="center"/>
                    <w:rPr>
                      <w:sz w:val="18"/>
                      <w:szCs w:val="18"/>
                    </w:rPr>
                  </w:pPr>
                  <w:r>
                    <w:rPr>
                      <w:rFonts w:eastAsia="Arial Unicode MS"/>
                      <w:sz w:val="18"/>
                      <w:szCs w:val="18"/>
                    </w:rPr>
                    <w:t>3.25</w:t>
                  </w:r>
                </w:p>
              </w:tc>
              <w:tc>
                <w:tcPr>
                  <w:tcW w:w="696" w:type="pct"/>
                  <w:vMerge w:val="restart"/>
                  <w:vAlign w:val="center"/>
                </w:tcPr>
                <w:p w14:paraId="0B760CD9" w14:textId="77777777" w:rsidR="00F76A63" w:rsidRDefault="00000000">
                  <w:pPr>
                    <w:adjustRightInd w:val="0"/>
                    <w:snapToGrid w:val="0"/>
                    <w:contextualSpacing/>
                    <w:jc w:val="center"/>
                    <w:rPr>
                      <w:sz w:val="18"/>
                      <w:szCs w:val="18"/>
                    </w:rPr>
                  </w:pPr>
                  <w:r>
                    <w:rPr>
                      <w:sz w:val="18"/>
                      <w:szCs w:val="18"/>
                    </w:rPr>
                    <w:t>/</w:t>
                  </w:r>
                </w:p>
              </w:tc>
            </w:tr>
            <w:tr w:rsidR="00F76A63" w14:paraId="5AA59C96" w14:textId="77777777">
              <w:trPr>
                <w:trHeight w:val="340"/>
                <w:jc w:val="center"/>
              </w:trPr>
              <w:tc>
                <w:tcPr>
                  <w:tcW w:w="582" w:type="pct"/>
                  <w:vMerge/>
                  <w:vAlign w:val="center"/>
                </w:tcPr>
                <w:p w14:paraId="4EA306DE" w14:textId="77777777" w:rsidR="00F76A63" w:rsidRDefault="00F76A63">
                  <w:pPr>
                    <w:adjustRightInd w:val="0"/>
                    <w:snapToGrid w:val="0"/>
                    <w:contextualSpacing/>
                    <w:jc w:val="center"/>
                    <w:rPr>
                      <w:sz w:val="18"/>
                      <w:szCs w:val="18"/>
                    </w:rPr>
                  </w:pPr>
                </w:p>
              </w:tc>
              <w:tc>
                <w:tcPr>
                  <w:tcW w:w="798" w:type="pct"/>
                  <w:vMerge/>
                  <w:vAlign w:val="center"/>
                </w:tcPr>
                <w:p w14:paraId="5F4B4631" w14:textId="77777777" w:rsidR="00F76A63" w:rsidRDefault="00F76A63">
                  <w:pPr>
                    <w:adjustRightInd w:val="0"/>
                    <w:snapToGrid w:val="0"/>
                    <w:contextualSpacing/>
                    <w:jc w:val="center"/>
                    <w:rPr>
                      <w:sz w:val="18"/>
                      <w:szCs w:val="18"/>
                    </w:rPr>
                  </w:pPr>
                </w:p>
              </w:tc>
              <w:tc>
                <w:tcPr>
                  <w:tcW w:w="1302" w:type="pct"/>
                  <w:vMerge/>
                  <w:vAlign w:val="center"/>
                </w:tcPr>
                <w:p w14:paraId="65D0B3F2" w14:textId="77777777" w:rsidR="00F76A63" w:rsidRDefault="00F76A63">
                  <w:pPr>
                    <w:adjustRightInd w:val="0"/>
                    <w:snapToGrid w:val="0"/>
                    <w:contextualSpacing/>
                    <w:jc w:val="center"/>
                    <w:rPr>
                      <w:sz w:val="18"/>
                      <w:szCs w:val="18"/>
                    </w:rPr>
                  </w:pPr>
                </w:p>
              </w:tc>
              <w:tc>
                <w:tcPr>
                  <w:tcW w:w="699" w:type="pct"/>
                  <w:vAlign w:val="center"/>
                </w:tcPr>
                <w:p w14:paraId="12942535"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58641102" w14:textId="77777777" w:rsidR="00F76A63" w:rsidRDefault="00000000">
                  <w:pPr>
                    <w:adjustRightInd w:val="0"/>
                    <w:snapToGrid w:val="0"/>
                    <w:contextualSpacing/>
                    <w:jc w:val="center"/>
                    <w:rPr>
                      <w:sz w:val="18"/>
                      <w:szCs w:val="18"/>
                    </w:rPr>
                  </w:pPr>
                  <w:r>
                    <w:rPr>
                      <w:rFonts w:eastAsia="Arial Unicode MS"/>
                      <w:sz w:val="18"/>
                      <w:szCs w:val="18"/>
                    </w:rPr>
                    <w:t>2.53</w:t>
                  </w:r>
                </w:p>
              </w:tc>
              <w:tc>
                <w:tcPr>
                  <w:tcW w:w="696" w:type="pct"/>
                  <w:vMerge/>
                  <w:vAlign w:val="center"/>
                </w:tcPr>
                <w:p w14:paraId="11ED60C2" w14:textId="77777777" w:rsidR="00F76A63" w:rsidRDefault="00F76A63">
                  <w:pPr>
                    <w:adjustRightInd w:val="0"/>
                    <w:snapToGrid w:val="0"/>
                    <w:contextualSpacing/>
                    <w:jc w:val="center"/>
                    <w:rPr>
                      <w:sz w:val="18"/>
                      <w:szCs w:val="18"/>
                    </w:rPr>
                  </w:pPr>
                </w:p>
              </w:tc>
            </w:tr>
            <w:tr w:rsidR="00F76A63" w14:paraId="4F15A708" w14:textId="77777777">
              <w:trPr>
                <w:trHeight w:val="340"/>
                <w:jc w:val="center"/>
              </w:trPr>
              <w:tc>
                <w:tcPr>
                  <w:tcW w:w="582" w:type="pct"/>
                  <w:vMerge/>
                  <w:vAlign w:val="center"/>
                </w:tcPr>
                <w:p w14:paraId="1E75037B" w14:textId="77777777" w:rsidR="00F76A63" w:rsidRDefault="00F76A63">
                  <w:pPr>
                    <w:adjustRightInd w:val="0"/>
                    <w:snapToGrid w:val="0"/>
                    <w:contextualSpacing/>
                    <w:jc w:val="center"/>
                    <w:rPr>
                      <w:sz w:val="18"/>
                      <w:szCs w:val="18"/>
                    </w:rPr>
                  </w:pPr>
                </w:p>
              </w:tc>
              <w:tc>
                <w:tcPr>
                  <w:tcW w:w="798" w:type="pct"/>
                  <w:vMerge/>
                  <w:vAlign w:val="center"/>
                </w:tcPr>
                <w:p w14:paraId="0A13491F" w14:textId="77777777" w:rsidR="00F76A63" w:rsidRDefault="00F76A63">
                  <w:pPr>
                    <w:adjustRightInd w:val="0"/>
                    <w:snapToGrid w:val="0"/>
                    <w:contextualSpacing/>
                    <w:jc w:val="center"/>
                    <w:rPr>
                      <w:sz w:val="18"/>
                      <w:szCs w:val="18"/>
                    </w:rPr>
                  </w:pPr>
                </w:p>
              </w:tc>
              <w:tc>
                <w:tcPr>
                  <w:tcW w:w="1302" w:type="pct"/>
                  <w:vMerge/>
                  <w:vAlign w:val="center"/>
                </w:tcPr>
                <w:p w14:paraId="20E8F006" w14:textId="77777777" w:rsidR="00F76A63" w:rsidRDefault="00F76A63">
                  <w:pPr>
                    <w:adjustRightInd w:val="0"/>
                    <w:snapToGrid w:val="0"/>
                    <w:contextualSpacing/>
                    <w:jc w:val="center"/>
                    <w:rPr>
                      <w:sz w:val="18"/>
                      <w:szCs w:val="18"/>
                    </w:rPr>
                  </w:pPr>
                </w:p>
              </w:tc>
              <w:tc>
                <w:tcPr>
                  <w:tcW w:w="699" w:type="pct"/>
                  <w:vAlign w:val="center"/>
                </w:tcPr>
                <w:p w14:paraId="234CCDC7"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547F1C97" w14:textId="77777777" w:rsidR="00F76A63" w:rsidRDefault="00000000">
                  <w:pPr>
                    <w:adjustRightInd w:val="0"/>
                    <w:snapToGrid w:val="0"/>
                    <w:contextualSpacing/>
                    <w:jc w:val="center"/>
                    <w:rPr>
                      <w:sz w:val="18"/>
                      <w:szCs w:val="18"/>
                    </w:rPr>
                  </w:pPr>
                  <w:r>
                    <w:rPr>
                      <w:rFonts w:eastAsia="Arial Unicode MS"/>
                      <w:sz w:val="18"/>
                      <w:szCs w:val="18"/>
                    </w:rPr>
                    <w:t>2.81</w:t>
                  </w:r>
                </w:p>
              </w:tc>
              <w:tc>
                <w:tcPr>
                  <w:tcW w:w="696" w:type="pct"/>
                  <w:vMerge/>
                  <w:vAlign w:val="center"/>
                </w:tcPr>
                <w:p w14:paraId="2B78A9C5" w14:textId="77777777" w:rsidR="00F76A63" w:rsidRDefault="00F76A63">
                  <w:pPr>
                    <w:adjustRightInd w:val="0"/>
                    <w:snapToGrid w:val="0"/>
                    <w:contextualSpacing/>
                    <w:jc w:val="center"/>
                    <w:rPr>
                      <w:sz w:val="18"/>
                      <w:szCs w:val="18"/>
                    </w:rPr>
                  </w:pPr>
                </w:p>
              </w:tc>
            </w:tr>
            <w:tr w:rsidR="00F76A63" w14:paraId="7A549814" w14:textId="77777777">
              <w:trPr>
                <w:trHeight w:val="340"/>
                <w:jc w:val="center"/>
              </w:trPr>
              <w:tc>
                <w:tcPr>
                  <w:tcW w:w="582" w:type="pct"/>
                  <w:vMerge/>
                  <w:vAlign w:val="center"/>
                </w:tcPr>
                <w:p w14:paraId="0CB5CE27" w14:textId="77777777" w:rsidR="00F76A63" w:rsidRDefault="00F76A63">
                  <w:pPr>
                    <w:adjustRightInd w:val="0"/>
                    <w:snapToGrid w:val="0"/>
                    <w:contextualSpacing/>
                    <w:jc w:val="center"/>
                    <w:rPr>
                      <w:sz w:val="18"/>
                      <w:szCs w:val="18"/>
                    </w:rPr>
                  </w:pPr>
                </w:p>
              </w:tc>
              <w:tc>
                <w:tcPr>
                  <w:tcW w:w="798" w:type="pct"/>
                  <w:vMerge w:val="restart"/>
                  <w:vAlign w:val="center"/>
                </w:tcPr>
                <w:p w14:paraId="35B26564" w14:textId="77777777" w:rsidR="00F76A63" w:rsidRDefault="00000000">
                  <w:pPr>
                    <w:adjustRightInd w:val="0"/>
                    <w:snapToGrid w:val="0"/>
                    <w:contextualSpacing/>
                    <w:jc w:val="center"/>
                    <w:rPr>
                      <w:sz w:val="18"/>
                      <w:szCs w:val="18"/>
                    </w:rPr>
                  </w:pPr>
                  <w:r>
                    <w:rPr>
                      <w:sz w:val="18"/>
                      <w:szCs w:val="18"/>
                    </w:rPr>
                    <w:t>202507</w:t>
                  </w:r>
                </w:p>
              </w:tc>
              <w:tc>
                <w:tcPr>
                  <w:tcW w:w="1302" w:type="pct"/>
                  <w:vMerge w:val="restart"/>
                  <w:vAlign w:val="center"/>
                </w:tcPr>
                <w:p w14:paraId="17E88226" w14:textId="77777777" w:rsidR="00F76A63" w:rsidRDefault="00000000">
                  <w:pPr>
                    <w:widowControl/>
                    <w:contextualSpacing/>
                    <w:jc w:val="center"/>
                    <w:rPr>
                      <w:rFonts w:eastAsia="Arial Unicode MS"/>
                      <w:kern w:val="0"/>
                      <w:sz w:val="18"/>
                      <w:szCs w:val="18"/>
                    </w:rPr>
                  </w:pPr>
                  <w:r>
                    <w:rPr>
                      <w:rFonts w:eastAsia="Arial Unicode MS"/>
                      <w:sz w:val="18"/>
                      <w:szCs w:val="18"/>
                    </w:rPr>
                    <w:t>400046.45</w:t>
                  </w:r>
                </w:p>
              </w:tc>
              <w:tc>
                <w:tcPr>
                  <w:tcW w:w="699" w:type="pct"/>
                  <w:vAlign w:val="center"/>
                </w:tcPr>
                <w:p w14:paraId="4DD5B6F5" w14:textId="77777777" w:rsidR="00F76A63" w:rsidRDefault="00000000">
                  <w:pPr>
                    <w:adjustRightInd w:val="0"/>
                    <w:snapToGrid w:val="0"/>
                    <w:contextualSpacing/>
                    <w:jc w:val="center"/>
                    <w:rPr>
                      <w:sz w:val="18"/>
                      <w:szCs w:val="18"/>
                    </w:rPr>
                  </w:pPr>
                  <w:r>
                    <w:rPr>
                      <w:sz w:val="18"/>
                      <w:szCs w:val="18"/>
                    </w:rPr>
                    <w:t>最大值</w:t>
                  </w:r>
                </w:p>
              </w:tc>
              <w:tc>
                <w:tcPr>
                  <w:tcW w:w="923" w:type="pct"/>
                  <w:vAlign w:val="center"/>
                </w:tcPr>
                <w:p w14:paraId="1AD8B5F7" w14:textId="77777777" w:rsidR="00F76A63" w:rsidRDefault="00000000">
                  <w:pPr>
                    <w:adjustRightInd w:val="0"/>
                    <w:snapToGrid w:val="0"/>
                    <w:contextualSpacing/>
                    <w:jc w:val="center"/>
                    <w:rPr>
                      <w:sz w:val="18"/>
                      <w:szCs w:val="18"/>
                    </w:rPr>
                  </w:pPr>
                  <w:r>
                    <w:rPr>
                      <w:rFonts w:eastAsia="Arial Unicode MS"/>
                      <w:sz w:val="18"/>
                      <w:szCs w:val="18"/>
                    </w:rPr>
                    <w:t>3.21</w:t>
                  </w:r>
                </w:p>
              </w:tc>
              <w:tc>
                <w:tcPr>
                  <w:tcW w:w="696" w:type="pct"/>
                  <w:vMerge w:val="restart"/>
                  <w:vAlign w:val="center"/>
                </w:tcPr>
                <w:p w14:paraId="06C979DC" w14:textId="77777777" w:rsidR="00F76A63" w:rsidRDefault="00000000">
                  <w:pPr>
                    <w:adjustRightInd w:val="0"/>
                    <w:snapToGrid w:val="0"/>
                    <w:contextualSpacing/>
                    <w:jc w:val="center"/>
                    <w:rPr>
                      <w:sz w:val="18"/>
                      <w:szCs w:val="18"/>
                    </w:rPr>
                  </w:pPr>
                  <w:r>
                    <w:rPr>
                      <w:sz w:val="18"/>
                      <w:szCs w:val="18"/>
                    </w:rPr>
                    <w:t>/</w:t>
                  </w:r>
                </w:p>
              </w:tc>
            </w:tr>
            <w:tr w:rsidR="00F76A63" w14:paraId="45FB1837" w14:textId="77777777">
              <w:trPr>
                <w:trHeight w:val="340"/>
                <w:jc w:val="center"/>
              </w:trPr>
              <w:tc>
                <w:tcPr>
                  <w:tcW w:w="582" w:type="pct"/>
                  <w:vMerge/>
                  <w:vAlign w:val="center"/>
                </w:tcPr>
                <w:p w14:paraId="1A5B2916" w14:textId="77777777" w:rsidR="00F76A63" w:rsidRDefault="00F76A63">
                  <w:pPr>
                    <w:adjustRightInd w:val="0"/>
                    <w:snapToGrid w:val="0"/>
                    <w:contextualSpacing/>
                    <w:jc w:val="center"/>
                    <w:rPr>
                      <w:sz w:val="18"/>
                      <w:szCs w:val="18"/>
                    </w:rPr>
                  </w:pPr>
                </w:p>
              </w:tc>
              <w:tc>
                <w:tcPr>
                  <w:tcW w:w="798" w:type="pct"/>
                  <w:vMerge/>
                  <w:vAlign w:val="center"/>
                </w:tcPr>
                <w:p w14:paraId="3643E12C" w14:textId="77777777" w:rsidR="00F76A63" w:rsidRDefault="00F76A63">
                  <w:pPr>
                    <w:adjustRightInd w:val="0"/>
                    <w:snapToGrid w:val="0"/>
                    <w:contextualSpacing/>
                    <w:jc w:val="center"/>
                    <w:rPr>
                      <w:sz w:val="18"/>
                      <w:szCs w:val="18"/>
                    </w:rPr>
                  </w:pPr>
                </w:p>
              </w:tc>
              <w:tc>
                <w:tcPr>
                  <w:tcW w:w="1302" w:type="pct"/>
                  <w:vMerge/>
                  <w:vAlign w:val="center"/>
                </w:tcPr>
                <w:p w14:paraId="652226F4" w14:textId="77777777" w:rsidR="00F76A63" w:rsidRDefault="00F76A63">
                  <w:pPr>
                    <w:adjustRightInd w:val="0"/>
                    <w:snapToGrid w:val="0"/>
                    <w:contextualSpacing/>
                    <w:jc w:val="center"/>
                    <w:rPr>
                      <w:sz w:val="18"/>
                      <w:szCs w:val="18"/>
                    </w:rPr>
                  </w:pPr>
                </w:p>
              </w:tc>
              <w:tc>
                <w:tcPr>
                  <w:tcW w:w="699" w:type="pct"/>
                  <w:vAlign w:val="center"/>
                </w:tcPr>
                <w:p w14:paraId="6A3D53E7" w14:textId="77777777" w:rsidR="00F76A63" w:rsidRDefault="00000000">
                  <w:pPr>
                    <w:adjustRightInd w:val="0"/>
                    <w:snapToGrid w:val="0"/>
                    <w:contextualSpacing/>
                    <w:jc w:val="center"/>
                    <w:rPr>
                      <w:sz w:val="18"/>
                      <w:szCs w:val="18"/>
                    </w:rPr>
                  </w:pPr>
                  <w:r>
                    <w:rPr>
                      <w:sz w:val="18"/>
                      <w:szCs w:val="18"/>
                    </w:rPr>
                    <w:t>最小值</w:t>
                  </w:r>
                </w:p>
              </w:tc>
              <w:tc>
                <w:tcPr>
                  <w:tcW w:w="923" w:type="pct"/>
                  <w:vAlign w:val="center"/>
                </w:tcPr>
                <w:p w14:paraId="4DC8A906" w14:textId="77777777" w:rsidR="00F76A63" w:rsidRDefault="00000000">
                  <w:pPr>
                    <w:adjustRightInd w:val="0"/>
                    <w:snapToGrid w:val="0"/>
                    <w:contextualSpacing/>
                    <w:jc w:val="center"/>
                    <w:rPr>
                      <w:sz w:val="18"/>
                      <w:szCs w:val="18"/>
                    </w:rPr>
                  </w:pPr>
                  <w:r>
                    <w:rPr>
                      <w:rFonts w:eastAsia="Arial Unicode MS"/>
                      <w:sz w:val="18"/>
                      <w:szCs w:val="18"/>
                    </w:rPr>
                    <w:t>3.07</w:t>
                  </w:r>
                </w:p>
              </w:tc>
              <w:tc>
                <w:tcPr>
                  <w:tcW w:w="696" w:type="pct"/>
                  <w:vMerge/>
                  <w:vAlign w:val="center"/>
                </w:tcPr>
                <w:p w14:paraId="2609186F" w14:textId="77777777" w:rsidR="00F76A63" w:rsidRDefault="00F76A63">
                  <w:pPr>
                    <w:adjustRightInd w:val="0"/>
                    <w:snapToGrid w:val="0"/>
                    <w:contextualSpacing/>
                    <w:jc w:val="center"/>
                    <w:rPr>
                      <w:sz w:val="18"/>
                      <w:szCs w:val="18"/>
                    </w:rPr>
                  </w:pPr>
                </w:p>
              </w:tc>
            </w:tr>
            <w:tr w:rsidR="00F76A63" w14:paraId="0DCD7689" w14:textId="77777777">
              <w:trPr>
                <w:trHeight w:val="340"/>
                <w:jc w:val="center"/>
              </w:trPr>
              <w:tc>
                <w:tcPr>
                  <w:tcW w:w="582" w:type="pct"/>
                  <w:vMerge/>
                  <w:vAlign w:val="center"/>
                </w:tcPr>
                <w:p w14:paraId="4CDCD12B" w14:textId="77777777" w:rsidR="00F76A63" w:rsidRDefault="00F76A63">
                  <w:pPr>
                    <w:adjustRightInd w:val="0"/>
                    <w:snapToGrid w:val="0"/>
                    <w:contextualSpacing/>
                    <w:jc w:val="center"/>
                    <w:rPr>
                      <w:sz w:val="18"/>
                      <w:szCs w:val="18"/>
                    </w:rPr>
                  </w:pPr>
                </w:p>
              </w:tc>
              <w:tc>
                <w:tcPr>
                  <w:tcW w:w="798" w:type="pct"/>
                  <w:vMerge/>
                  <w:vAlign w:val="center"/>
                </w:tcPr>
                <w:p w14:paraId="4E513AA2" w14:textId="77777777" w:rsidR="00F76A63" w:rsidRDefault="00F76A63">
                  <w:pPr>
                    <w:adjustRightInd w:val="0"/>
                    <w:snapToGrid w:val="0"/>
                    <w:contextualSpacing/>
                    <w:jc w:val="center"/>
                    <w:rPr>
                      <w:sz w:val="18"/>
                      <w:szCs w:val="18"/>
                    </w:rPr>
                  </w:pPr>
                </w:p>
              </w:tc>
              <w:tc>
                <w:tcPr>
                  <w:tcW w:w="1302" w:type="pct"/>
                  <w:vMerge/>
                  <w:vAlign w:val="center"/>
                </w:tcPr>
                <w:p w14:paraId="1D4334CB" w14:textId="77777777" w:rsidR="00F76A63" w:rsidRDefault="00F76A63">
                  <w:pPr>
                    <w:adjustRightInd w:val="0"/>
                    <w:snapToGrid w:val="0"/>
                    <w:contextualSpacing/>
                    <w:jc w:val="center"/>
                    <w:rPr>
                      <w:sz w:val="18"/>
                      <w:szCs w:val="18"/>
                    </w:rPr>
                  </w:pPr>
                </w:p>
              </w:tc>
              <w:tc>
                <w:tcPr>
                  <w:tcW w:w="699" w:type="pct"/>
                  <w:vAlign w:val="center"/>
                </w:tcPr>
                <w:p w14:paraId="364CFE5A" w14:textId="77777777" w:rsidR="00F76A63" w:rsidRDefault="00000000">
                  <w:pPr>
                    <w:adjustRightInd w:val="0"/>
                    <w:snapToGrid w:val="0"/>
                    <w:contextualSpacing/>
                    <w:jc w:val="center"/>
                    <w:rPr>
                      <w:sz w:val="18"/>
                      <w:szCs w:val="18"/>
                    </w:rPr>
                  </w:pPr>
                  <w:r>
                    <w:rPr>
                      <w:sz w:val="18"/>
                      <w:szCs w:val="18"/>
                    </w:rPr>
                    <w:t>平均值</w:t>
                  </w:r>
                </w:p>
              </w:tc>
              <w:tc>
                <w:tcPr>
                  <w:tcW w:w="923" w:type="pct"/>
                  <w:vAlign w:val="center"/>
                </w:tcPr>
                <w:p w14:paraId="42C69BC9" w14:textId="77777777" w:rsidR="00F76A63" w:rsidRDefault="00000000">
                  <w:pPr>
                    <w:adjustRightInd w:val="0"/>
                    <w:snapToGrid w:val="0"/>
                    <w:contextualSpacing/>
                    <w:jc w:val="center"/>
                    <w:rPr>
                      <w:sz w:val="18"/>
                      <w:szCs w:val="18"/>
                    </w:rPr>
                  </w:pPr>
                  <w:r>
                    <w:rPr>
                      <w:rFonts w:eastAsia="Arial Unicode MS"/>
                      <w:sz w:val="18"/>
                      <w:szCs w:val="18"/>
                    </w:rPr>
                    <w:t>3.14</w:t>
                  </w:r>
                </w:p>
              </w:tc>
              <w:tc>
                <w:tcPr>
                  <w:tcW w:w="696" w:type="pct"/>
                  <w:vMerge/>
                  <w:vAlign w:val="center"/>
                </w:tcPr>
                <w:p w14:paraId="585346BC" w14:textId="77777777" w:rsidR="00F76A63" w:rsidRDefault="00F76A63">
                  <w:pPr>
                    <w:adjustRightInd w:val="0"/>
                    <w:snapToGrid w:val="0"/>
                    <w:contextualSpacing/>
                    <w:jc w:val="center"/>
                    <w:rPr>
                      <w:sz w:val="18"/>
                      <w:szCs w:val="18"/>
                    </w:rPr>
                  </w:pPr>
                </w:p>
              </w:tc>
            </w:tr>
            <w:tr w:rsidR="00F76A63" w14:paraId="71171ED0" w14:textId="77777777">
              <w:trPr>
                <w:trHeight w:val="340"/>
                <w:jc w:val="center"/>
              </w:trPr>
              <w:tc>
                <w:tcPr>
                  <w:tcW w:w="582" w:type="pct"/>
                  <w:vMerge/>
                  <w:vAlign w:val="center"/>
                </w:tcPr>
                <w:p w14:paraId="1E493040" w14:textId="77777777" w:rsidR="00F76A63" w:rsidRDefault="00F76A63">
                  <w:pPr>
                    <w:adjustRightInd w:val="0"/>
                    <w:snapToGrid w:val="0"/>
                    <w:contextualSpacing/>
                    <w:jc w:val="center"/>
                    <w:rPr>
                      <w:sz w:val="18"/>
                      <w:szCs w:val="18"/>
                    </w:rPr>
                  </w:pPr>
                </w:p>
              </w:tc>
              <w:tc>
                <w:tcPr>
                  <w:tcW w:w="798" w:type="pct"/>
                  <w:vMerge w:val="restart"/>
                  <w:vAlign w:val="center"/>
                </w:tcPr>
                <w:p w14:paraId="78CCCFDA" w14:textId="77777777" w:rsidR="00F76A63" w:rsidRDefault="00000000">
                  <w:pPr>
                    <w:adjustRightInd w:val="0"/>
                    <w:snapToGrid w:val="0"/>
                    <w:contextualSpacing/>
                    <w:jc w:val="center"/>
                    <w:rPr>
                      <w:sz w:val="18"/>
                      <w:szCs w:val="18"/>
                    </w:rPr>
                  </w:pPr>
                  <w:r>
                    <w:rPr>
                      <w:sz w:val="18"/>
                      <w:szCs w:val="18"/>
                    </w:rPr>
                    <w:t>20250</w:t>
                  </w:r>
                  <w:r>
                    <w:rPr>
                      <w:rFonts w:hint="eastAsia"/>
                      <w:sz w:val="18"/>
                      <w:szCs w:val="18"/>
                    </w:rPr>
                    <w:t>8</w:t>
                  </w:r>
                </w:p>
              </w:tc>
              <w:tc>
                <w:tcPr>
                  <w:tcW w:w="1302" w:type="pct"/>
                  <w:vMerge w:val="restart"/>
                  <w:vAlign w:val="center"/>
                </w:tcPr>
                <w:p w14:paraId="644EDEC5" w14:textId="77777777" w:rsidR="00F76A63" w:rsidRDefault="00000000">
                  <w:pPr>
                    <w:adjustRightInd w:val="0"/>
                    <w:snapToGrid w:val="0"/>
                    <w:contextualSpacing/>
                    <w:jc w:val="center"/>
                    <w:rPr>
                      <w:sz w:val="18"/>
                      <w:szCs w:val="18"/>
                    </w:rPr>
                  </w:pPr>
                  <w:r>
                    <w:rPr>
                      <w:rFonts w:hint="eastAsia"/>
                      <w:sz w:val="18"/>
                      <w:szCs w:val="18"/>
                    </w:rPr>
                    <w:t>384312.68</w:t>
                  </w:r>
                </w:p>
              </w:tc>
              <w:tc>
                <w:tcPr>
                  <w:tcW w:w="699" w:type="pct"/>
                  <w:vAlign w:val="center"/>
                </w:tcPr>
                <w:p w14:paraId="40C52015"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656C8A69" w14:textId="77777777" w:rsidR="00F76A63" w:rsidRDefault="00000000">
                  <w:pPr>
                    <w:adjustRightInd w:val="0"/>
                    <w:snapToGrid w:val="0"/>
                    <w:contextualSpacing/>
                    <w:jc w:val="center"/>
                    <w:rPr>
                      <w:rFonts w:eastAsia="Arial Unicode MS"/>
                      <w:sz w:val="18"/>
                      <w:szCs w:val="18"/>
                    </w:rPr>
                  </w:pPr>
                  <w:r>
                    <w:rPr>
                      <w:rFonts w:hint="eastAsia"/>
                      <w:sz w:val="18"/>
                      <w:szCs w:val="18"/>
                    </w:rPr>
                    <w:t>3.27</w:t>
                  </w:r>
                </w:p>
              </w:tc>
              <w:tc>
                <w:tcPr>
                  <w:tcW w:w="696" w:type="pct"/>
                  <w:vMerge w:val="restart"/>
                  <w:vAlign w:val="center"/>
                </w:tcPr>
                <w:p w14:paraId="1006D49C" w14:textId="77777777" w:rsidR="00F76A63" w:rsidRDefault="00000000">
                  <w:pPr>
                    <w:adjustRightInd w:val="0"/>
                    <w:snapToGrid w:val="0"/>
                    <w:contextualSpacing/>
                    <w:jc w:val="center"/>
                    <w:rPr>
                      <w:sz w:val="18"/>
                      <w:szCs w:val="18"/>
                    </w:rPr>
                  </w:pPr>
                  <w:r>
                    <w:rPr>
                      <w:sz w:val="18"/>
                      <w:szCs w:val="18"/>
                    </w:rPr>
                    <w:t>/</w:t>
                  </w:r>
                </w:p>
              </w:tc>
            </w:tr>
            <w:tr w:rsidR="00F76A63" w14:paraId="3968AD7A" w14:textId="77777777">
              <w:trPr>
                <w:trHeight w:val="340"/>
                <w:jc w:val="center"/>
              </w:trPr>
              <w:tc>
                <w:tcPr>
                  <w:tcW w:w="582" w:type="pct"/>
                  <w:vMerge/>
                  <w:vAlign w:val="center"/>
                </w:tcPr>
                <w:p w14:paraId="1F060FF8" w14:textId="77777777" w:rsidR="00F76A63" w:rsidRDefault="00F76A63">
                  <w:pPr>
                    <w:adjustRightInd w:val="0"/>
                    <w:snapToGrid w:val="0"/>
                    <w:contextualSpacing/>
                    <w:jc w:val="center"/>
                    <w:rPr>
                      <w:sz w:val="18"/>
                      <w:szCs w:val="18"/>
                    </w:rPr>
                  </w:pPr>
                </w:p>
              </w:tc>
              <w:tc>
                <w:tcPr>
                  <w:tcW w:w="798" w:type="pct"/>
                  <w:vMerge/>
                  <w:vAlign w:val="center"/>
                </w:tcPr>
                <w:p w14:paraId="469F610E" w14:textId="77777777" w:rsidR="00F76A63" w:rsidRDefault="00F76A63">
                  <w:pPr>
                    <w:adjustRightInd w:val="0"/>
                    <w:snapToGrid w:val="0"/>
                    <w:contextualSpacing/>
                    <w:jc w:val="center"/>
                    <w:rPr>
                      <w:sz w:val="18"/>
                      <w:szCs w:val="18"/>
                    </w:rPr>
                  </w:pPr>
                </w:p>
              </w:tc>
              <w:tc>
                <w:tcPr>
                  <w:tcW w:w="1302" w:type="pct"/>
                  <w:vMerge/>
                  <w:vAlign w:val="center"/>
                </w:tcPr>
                <w:p w14:paraId="6B5B2642" w14:textId="77777777" w:rsidR="00F76A63" w:rsidRDefault="00F76A63">
                  <w:pPr>
                    <w:adjustRightInd w:val="0"/>
                    <w:snapToGrid w:val="0"/>
                    <w:contextualSpacing/>
                    <w:jc w:val="center"/>
                    <w:rPr>
                      <w:sz w:val="18"/>
                      <w:szCs w:val="18"/>
                    </w:rPr>
                  </w:pPr>
                </w:p>
              </w:tc>
              <w:tc>
                <w:tcPr>
                  <w:tcW w:w="699" w:type="pct"/>
                  <w:vAlign w:val="center"/>
                </w:tcPr>
                <w:p w14:paraId="22D79974"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4426CB23" w14:textId="77777777" w:rsidR="00F76A63" w:rsidRDefault="00000000">
                  <w:pPr>
                    <w:adjustRightInd w:val="0"/>
                    <w:snapToGrid w:val="0"/>
                    <w:contextualSpacing/>
                    <w:jc w:val="center"/>
                    <w:rPr>
                      <w:rFonts w:eastAsia="Arial Unicode MS"/>
                      <w:sz w:val="18"/>
                      <w:szCs w:val="18"/>
                    </w:rPr>
                  </w:pPr>
                  <w:r>
                    <w:rPr>
                      <w:rFonts w:hint="eastAsia"/>
                      <w:sz w:val="18"/>
                      <w:szCs w:val="18"/>
                    </w:rPr>
                    <w:t>2.96</w:t>
                  </w:r>
                </w:p>
              </w:tc>
              <w:tc>
                <w:tcPr>
                  <w:tcW w:w="696" w:type="pct"/>
                  <w:vMerge/>
                  <w:vAlign w:val="center"/>
                </w:tcPr>
                <w:p w14:paraId="1F4BC8F2" w14:textId="77777777" w:rsidR="00F76A63" w:rsidRDefault="00F76A63">
                  <w:pPr>
                    <w:adjustRightInd w:val="0"/>
                    <w:snapToGrid w:val="0"/>
                    <w:contextualSpacing/>
                    <w:jc w:val="center"/>
                    <w:rPr>
                      <w:sz w:val="18"/>
                      <w:szCs w:val="18"/>
                    </w:rPr>
                  </w:pPr>
                </w:p>
              </w:tc>
            </w:tr>
            <w:tr w:rsidR="00F76A63" w14:paraId="734FADB2" w14:textId="77777777">
              <w:trPr>
                <w:trHeight w:val="340"/>
                <w:jc w:val="center"/>
              </w:trPr>
              <w:tc>
                <w:tcPr>
                  <w:tcW w:w="582" w:type="pct"/>
                  <w:vMerge/>
                  <w:vAlign w:val="center"/>
                </w:tcPr>
                <w:p w14:paraId="7FD3F8AF" w14:textId="77777777" w:rsidR="00F76A63" w:rsidRDefault="00F76A63">
                  <w:pPr>
                    <w:adjustRightInd w:val="0"/>
                    <w:snapToGrid w:val="0"/>
                    <w:contextualSpacing/>
                    <w:jc w:val="center"/>
                    <w:rPr>
                      <w:sz w:val="18"/>
                      <w:szCs w:val="18"/>
                    </w:rPr>
                  </w:pPr>
                </w:p>
              </w:tc>
              <w:tc>
                <w:tcPr>
                  <w:tcW w:w="798" w:type="pct"/>
                  <w:vMerge/>
                  <w:vAlign w:val="center"/>
                </w:tcPr>
                <w:p w14:paraId="01F849D7" w14:textId="77777777" w:rsidR="00F76A63" w:rsidRDefault="00F76A63">
                  <w:pPr>
                    <w:adjustRightInd w:val="0"/>
                    <w:snapToGrid w:val="0"/>
                    <w:contextualSpacing/>
                    <w:jc w:val="center"/>
                    <w:rPr>
                      <w:sz w:val="18"/>
                      <w:szCs w:val="18"/>
                    </w:rPr>
                  </w:pPr>
                </w:p>
              </w:tc>
              <w:tc>
                <w:tcPr>
                  <w:tcW w:w="1302" w:type="pct"/>
                  <w:vMerge/>
                  <w:vAlign w:val="center"/>
                </w:tcPr>
                <w:p w14:paraId="2D355EC0" w14:textId="77777777" w:rsidR="00F76A63" w:rsidRDefault="00F76A63">
                  <w:pPr>
                    <w:adjustRightInd w:val="0"/>
                    <w:snapToGrid w:val="0"/>
                    <w:contextualSpacing/>
                    <w:jc w:val="center"/>
                    <w:rPr>
                      <w:sz w:val="18"/>
                      <w:szCs w:val="18"/>
                    </w:rPr>
                  </w:pPr>
                </w:p>
              </w:tc>
              <w:tc>
                <w:tcPr>
                  <w:tcW w:w="699" w:type="pct"/>
                  <w:vAlign w:val="center"/>
                </w:tcPr>
                <w:p w14:paraId="7380B494"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2B9C97E4" w14:textId="77777777" w:rsidR="00F76A63" w:rsidRDefault="00000000">
                  <w:pPr>
                    <w:adjustRightInd w:val="0"/>
                    <w:snapToGrid w:val="0"/>
                    <w:contextualSpacing/>
                    <w:jc w:val="center"/>
                    <w:rPr>
                      <w:rFonts w:eastAsia="Arial Unicode MS"/>
                      <w:sz w:val="18"/>
                      <w:szCs w:val="18"/>
                    </w:rPr>
                  </w:pPr>
                  <w:r>
                    <w:rPr>
                      <w:rFonts w:hint="eastAsia"/>
                      <w:sz w:val="18"/>
                      <w:szCs w:val="18"/>
                    </w:rPr>
                    <w:t>3.03</w:t>
                  </w:r>
                </w:p>
              </w:tc>
              <w:tc>
                <w:tcPr>
                  <w:tcW w:w="696" w:type="pct"/>
                  <w:vMerge/>
                  <w:vAlign w:val="center"/>
                </w:tcPr>
                <w:p w14:paraId="317BBEB3" w14:textId="77777777" w:rsidR="00F76A63" w:rsidRDefault="00F76A63">
                  <w:pPr>
                    <w:adjustRightInd w:val="0"/>
                    <w:snapToGrid w:val="0"/>
                    <w:contextualSpacing/>
                    <w:jc w:val="center"/>
                    <w:rPr>
                      <w:sz w:val="18"/>
                      <w:szCs w:val="18"/>
                    </w:rPr>
                  </w:pPr>
                </w:p>
              </w:tc>
            </w:tr>
            <w:tr w:rsidR="00F76A63" w14:paraId="71D902D4" w14:textId="77777777">
              <w:trPr>
                <w:trHeight w:val="340"/>
                <w:jc w:val="center"/>
              </w:trPr>
              <w:tc>
                <w:tcPr>
                  <w:tcW w:w="582" w:type="pct"/>
                  <w:vMerge/>
                  <w:vAlign w:val="center"/>
                </w:tcPr>
                <w:p w14:paraId="52C7693E" w14:textId="77777777" w:rsidR="00F76A63" w:rsidRDefault="00F76A63">
                  <w:pPr>
                    <w:adjustRightInd w:val="0"/>
                    <w:snapToGrid w:val="0"/>
                    <w:contextualSpacing/>
                    <w:jc w:val="center"/>
                    <w:rPr>
                      <w:sz w:val="18"/>
                      <w:szCs w:val="18"/>
                    </w:rPr>
                  </w:pPr>
                </w:p>
              </w:tc>
              <w:tc>
                <w:tcPr>
                  <w:tcW w:w="798" w:type="pct"/>
                  <w:vMerge w:val="restart"/>
                  <w:vAlign w:val="center"/>
                </w:tcPr>
                <w:p w14:paraId="471D58CC" w14:textId="77777777" w:rsidR="00F76A63" w:rsidRDefault="00000000">
                  <w:pPr>
                    <w:adjustRightInd w:val="0"/>
                    <w:snapToGrid w:val="0"/>
                    <w:contextualSpacing/>
                    <w:jc w:val="center"/>
                    <w:rPr>
                      <w:sz w:val="18"/>
                      <w:szCs w:val="18"/>
                    </w:rPr>
                  </w:pPr>
                  <w:r>
                    <w:rPr>
                      <w:sz w:val="18"/>
                      <w:szCs w:val="18"/>
                    </w:rPr>
                    <w:t>20250</w:t>
                  </w:r>
                  <w:r>
                    <w:rPr>
                      <w:rFonts w:hint="eastAsia"/>
                      <w:sz w:val="18"/>
                      <w:szCs w:val="18"/>
                    </w:rPr>
                    <w:t>9</w:t>
                  </w:r>
                </w:p>
              </w:tc>
              <w:tc>
                <w:tcPr>
                  <w:tcW w:w="1302" w:type="pct"/>
                  <w:vMerge w:val="restart"/>
                  <w:vAlign w:val="center"/>
                </w:tcPr>
                <w:p w14:paraId="4BE46BD1" w14:textId="77777777" w:rsidR="00F76A63" w:rsidRDefault="00000000">
                  <w:pPr>
                    <w:adjustRightInd w:val="0"/>
                    <w:snapToGrid w:val="0"/>
                    <w:contextualSpacing/>
                    <w:jc w:val="center"/>
                    <w:rPr>
                      <w:sz w:val="18"/>
                      <w:szCs w:val="18"/>
                    </w:rPr>
                  </w:pPr>
                  <w:r>
                    <w:rPr>
                      <w:rFonts w:hint="eastAsia"/>
                      <w:sz w:val="18"/>
                      <w:szCs w:val="18"/>
                    </w:rPr>
                    <w:t>385750.09</w:t>
                  </w:r>
                </w:p>
              </w:tc>
              <w:tc>
                <w:tcPr>
                  <w:tcW w:w="699" w:type="pct"/>
                  <w:vAlign w:val="center"/>
                </w:tcPr>
                <w:p w14:paraId="1509055F"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161FDC30" w14:textId="77777777" w:rsidR="00F76A63" w:rsidRDefault="00000000">
                  <w:pPr>
                    <w:adjustRightInd w:val="0"/>
                    <w:snapToGrid w:val="0"/>
                    <w:contextualSpacing/>
                    <w:jc w:val="center"/>
                    <w:rPr>
                      <w:rFonts w:eastAsia="Arial Unicode MS"/>
                      <w:sz w:val="18"/>
                      <w:szCs w:val="18"/>
                    </w:rPr>
                  </w:pPr>
                  <w:r>
                    <w:rPr>
                      <w:rFonts w:hint="eastAsia"/>
                      <w:sz w:val="18"/>
                      <w:szCs w:val="18"/>
                    </w:rPr>
                    <w:t>3.03</w:t>
                  </w:r>
                </w:p>
              </w:tc>
              <w:tc>
                <w:tcPr>
                  <w:tcW w:w="696" w:type="pct"/>
                  <w:vMerge w:val="restart"/>
                  <w:vAlign w:val="center"/>
                </w:tcPr>
                <w:p w14:paraId="5F4EECA3" w14:textId="77777777" w:rsidR="00F76A63" w:rsidRDefault="00000000">
                  <w:pPr>
                    <w:adjustRightInd w:val="0"/>
                    <w:snapToGrid w:val="0"/>
                    <w:contextualSpacing/>
                    <w:jc w:val="center"/>
                    <w:rPr>
                      <w:sz w:val="18"/>
                      <w:szCs w:val="18"/>
                    </w:rPr>
                  </w:pPr>
                  <w:r>
                    <w:rPr>
                      <w:sz w:val="18"/>
                      <w:szCs w:val="18"/>
                    </w:rPr>
                    <w:t>/</w:t>
                  </w:r>
                </w:p>
              </w:tc>
            </w:tr>
            <w:tr w:rsidR="00F76A63" w14:paraId="54E5FBC4" w14:textId="77777777">
              <w:trPr>
                <w:trHeight w:val="340"/>
                <w:jc w:val="center"/>
              </w:trPr>
              <w:tc>
                <w:tcPr>
                  <w:tcW w:w="582" w:type="pct"/>
                  <w:vMerge/>
                  <w:vAlign w:val="center"/>
                </w:tcPr>
                <w:p w14:paraId="2D4E6226" w14:textId="77777777" w:rsidR="00F76A63" w:rsidRDefault="00F76A63">
                  <w:pPr>
                    <w:adjustRightInd w:val="0"/>
                    <w:snapToGrid w:val="0"/>
                    <w:contextualSpacing/>
                    <w:jc w:val="center"/>
                    <w:rPr>
                      <w:sz w:val="18"/>
                      <w:szCs w:val="18"/>
                    </w:rPr>
                  </w:pPr>
                </w:p>
              </w:tc>
              <w:tc>
                <w:tcPr>
                  <w:tcW w:w="798" w:type="pct"/>
                  <w:vMerge/>
                  <w:vAlign w:val="center"/>
                </w:tcPr>
                <w:p w14:paraId="33180B45" w14:textId="77777777" w:rsidR="00F76A63" w:rsidRDefault="00F76A63">
                  <w:pPr>
                    <w:adjustRightInd w:val="0"/>
                    <w:snapToGrid w:val="0"/>
                    <w:contextualSpacing/>
                    <w:jc w:val="center"/>
                    <w:rPr>
                      <w:sz w:val="18"/>
                      <w:szCs w:val="18"/>
                    </w:rPr>
                  </w:pPr>
                </w:p>
              </w:tc>
              <w:tc>
                <w:tcPr>
                  <w:tcW w:w="1302" w:type="pct"/>
                  <w:vMerge/>
                  <w:vAlign w:val="center"/>
                </w:tcPr>
                <w:p w14:paraId="3C752A23" w14:textId="77777777" w:rsidR="00F76A63" w:rsidRDefault="00F76A63">
                  <w:pPr>
                    <w:adjustRightInd w:val="0"/>
                    <w:snapToGrid w:val="0"/>
                    <w:contextualSpacing/>
                    <w:jc w:val="center"/>
                    <w:rPr>
                      <w:sz w:val="18"/>
                      <w:szCs w:val="18"/>
                    </w:rPr>
                  </w:pPr>
                </w:p>
              </w:tc>
              <w:tc>
                <w:tcPr>
                  <w:tcW w:w="699" w:type="pct"/>
                  <w:vAlign w:val="center"/>
                </w:tcPr>
                <w:p w14:paraId="75DE52E9"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6D1F9872" w14:textId="77777777" w:rsidR="00F76A63" w:rsidRDefault="00000000">
                  <w:pPr>
                    <w:adjustRightInd w:val="0"/>
                    <w:snapToGrid w:val="0"/>
                    <w:contextualSpacing/>
                    <w:jc w:val="center"/>
                    <w:rPr>
                      <w:rFonts w:eastAsia="Arial Unicode MS"/>
                      <w:sz w:val="18"/>
                      <w:szCs w:val="18"/>
                    </w:rPr>
                  </w:pPr>
                  <w:r>
                    <w:rPr>
                      <w:rFonts w:hint="eastAsia"/>
                      <w:sz w:val="18"/>
                      <w:szCs w:val="18"/>
                    </w:rPr>
                    <w:t>2.61</w:t>
                  </w:r>
                </w:p>
              </w:tc>
              <w:tc>
                <w:tcPr>
                  <w:tcW w:w="696" w:type="pct"/>
                  <w:vMerge/>
                  <w:vAlign w:val="center"/>
                </w:tcPr>
                <w:p w14:paraId="70284B84" w14:textId="77777777" w:rsidR="00F76A63" w:rsidRDefault="00F76A63">
                  <w:pPr>
                    <w:adjustRightInd w:val="0"/>
                    <w:snapToGrid w:val="0"/>
                    <w:contextualSpacing/>
                    <w:jc w:val="center"/>
                    <w:rPr>
                      <w:sz w:val="18"/>
                      <w:szCs w:val="18"/>
                    </w:rPr>
                  </w:pPr>
                </w:p>
              </w:tc>
            </w:tr>
            <w:tr w:rsidR="00F76A63" w14:paraId="245CE9A0" w14:textId="77777777">
              <w:trPr>
                <w:trHeight w:val="340"/>
                <w:jc w:val="center"/>
              </w:trPr>
              <w:tc>
                <w:tcPr>
                  <w:tcW w:w="582" w:type="pct"/>
                  <w:vMerge/>
                  <w:vAlign w:val="center"/>
                </w:tcPr>
                <w:p w14:paraId="15F86EF0" w14:textId="77777777" w:rsidR="00F76A63" w:rsidRDefault="00F76A63">
                  <w:pPr>
                    <w:adjustRightInd w:val="0"/>
                    <w:snapToGrid w:val="0"/>
                    <w:contextualSpacing/>
                    <w:jc w:val="center"/>
                    <w:rPr>
                      <w:sz w:val="18"/>
                      <w:szCs w:val="18"/>
                    </w:rPr>
                  </w:pPr>
                </w:p>
              </w:tc>
              <w:tc>
                <w:tcPr>
                  <w:tcW w:w="798" w:type="pct"/>
                  <w:vMerge/>
                  <w:vAlign w:val="center"/>
                </w:tcPr>
                <w:p w14:paraId="76C4B3C4" w14:textId="77777777" w:rsidR="00F76A63" w:rsidRDefault="00F76A63">
                  <w:pPr>
                    <w:adjustRightInd w:val="0"/>
                    <w:snapToGrid w:val="0"/>
                    <w:contextualSpacing/>
                    <w:jc w:val="center"/>
                    <w:rPr>
                      <w:sz w:val="18"/>
                      <w:szCs w:val="18"/>
                    </w:rPr>
                  </w:pPr>
                </w:p>
              </w:tc>
              <w:tc>
                <w:tcPr>
                  <w:tcW w:w="1302" w:type="pct"/>
                  <w:vMerge/>
                  <w:vAlign w:val="center"/>
                </w:tcPr>
                <w:p w14:paraId="73316A73" w14:textId="77777777" w:rsidR="00F76A63" w:rsidRDefault="00F76A63">
                  <w:pPr>
                    <w:adjustRightInd w:val="0"/>
                    <w:snapToGrid w:val="0"/>
                    <w:contextualSpacing/>
                    <w:jc w:val="center"/>
                    <w:rPr>
                      <w:sz w:val="18"/>
                      <w:szCs w:val="18"/>
                    </w:rPr>
                  </w:pPr>
                </w:p>
              </w:tc>
              <w:tc>
                <w:tcPr>
                  <w:tcW w:w="699" w:type="pct"/>
                  <w:vAlign w:val="center"/>
                </w:tcPr>
                <w:p w14:paraId="49CDAE8B"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72ADF292" w14:textId="77777777" w:rsidR="00F76A63" w:rsidRDefault="00000000">
                  <w:pPr>
                    <w:adjustRightInd w:val="0"/>
                    <w:snapToGrid w:val="0"/>
                    <w:contextualSpacing/>
                    <w:jc w:val="center"/>
                    <w:rPr>
                      <w:rFonts w:eastAsia="Arial Unicode MS"/>
                      <w:sz w:val="18"/>
                      <w:szCs w:val="18"/>
                    </w:rPr>
                  </w:pPr>
                  <w:r>
                    <w:rPr>
                      <w:rFonts w:hint="eastAsia"/>
                      <w:sz w:val="18"/>
                      <w:szCs w:val="18"/>
                    </w:rPr>
                    <w:t>2.97</w:t>
                  </w:r>
                </w:p>
              </w:tc>
              <w:tc>
                <w:tcPr>
                  <w:tcW w:w="696" w:type="pct"/>
                  <w:vMerge/>
                  <w:vAlign w:val="center"/>
                </w:tcPr>
                <w:p w14:paraId="163FB058" w14:textId="77777777" w:rsidR="00F76A63" w:rsidRDefault="00F76A63">
                  <w:pPr>
                    <w:adjustRightInd w:val="0"/>
                    <w:snapToGrid w:val="0"/>
                    <w:contextualSpacing/>
                    <w:jc w:val="center"/>
                    <w:rPr>
                      <w:sz w:val="18"/>
                      <w:szCs w:val="18"/>
                    </w:rPr>
                  </w:pPr>
                </w:p>
              </w:tc>
            </w:tr>
            <w:tr w:rsidR="00F76A63" w14:paraId="42158C2A" w14:textId="77777777">
              <w:trPr>
                <w:trHeight w:val="340"/>
                <w:jc w:val="center"/>
              </w:trPr>
              <w:tc>
                <w:tcPr>
                  <w:tcW w:w="582" w:type="pct"/>
                  <w:vMerge/>
                  <w:vAlign w:val="center"/>
                </w:tcPr>
                <w:p w14:paraId="1B7B67CF" w14:textId="77777777" w:rsidR="00F76A63" w:rsidRDefault="00F76A63">
                  <w:pPr>
                    <w:adjustRightInd w:val="0"/>
                    <w:snapToGrid w:val="0"/>
                    <w:contextualSpacing/>
                    <w:jc w:val="center"/>
                    <w:rPr>
                      <w:sz w:val="18"/>
                      <w:szCs w:val="18"/>
                    </w:rPr>
                  </w:pPr>
                </w:p>
              </w:tc>
              <w:tc>
                <w:tcPr>
                  <w:tcW w:w="798" w:type="pct"/>
                  <w:vMerge w:val="restart"/>
                  <w:vAlign w:val="center"/>
                </w:tcPr>
                <w:p w14:paraId="684A2B04" w14:textId="77777777" w:rsidR="00F76A63" w:rsidRDefault="00000000">
                  <w:pPr>
                    <w:adjustRightInd w:val="0"/>
                    <w:snapToGrid w:val="0"/>
                    <w:contextualSpacing/>
                    <w:jc w:val="center"/>
                    <w:rPr>
                      <w:sz w:val="18"/>
                      <w:szCs w:val="18"/>
                    </w:rPr>
                  </w:pPr>
                  <w:r>
                    <w:rPr>
                      <w:sz w:val="18"/>
                      <w:szCs w:val="18"/>
                    </w:rPr>
                    <w:t>2025</w:t>
                  </w:r>
                  <w:r>
                    <w:rPr>
                      <w:rFonts w:hint="eastAsia"/>
                      <w:sz w:val="18"/>
                      <w:szCs w:val="18"/>
                    </w:rPr>
                    <w:t>10</w:t>
                  </w:r>
                </w:p>
              </w:tc>
              <w:tc>
                <w:tcPr>
                  <w:tcW w:w="1302" w:type="pct"/>
                  <w:vMerge w:val="restart"/>
                  <w:vAlign w:val="center"/>
                </w:tcPr>
                <w:p w14:paraId="006128DA" w14:textId="77777777" w:rsidR="00F76A63" w:rsidRDefault="00000000">
                  <w:pPr>
                    <w:adjustRightInd w:val="0"/>
                    <w:snapToGrid w:val="0"/>
                    <w:contextualSpacing/>
                    <w:jc w:val="center"/>
                    <w:rPr>
                      <w:sz w:val="18"/>
                      <w:szCs w:val="18"/>
                    </w:rPr>
                  </w:pPr>
                  <w:r>
                    <w:rPr>
                      <w:rFonts w:hint="eastAsia"/>
                      <w:sz w:val="18"/>
                      <w:szCs w:val="18"/>
                    </w:rPr>
                    <w:t>354990.6</w:t>
                  </w:r>
                </w:p>
              </w:tc>
              <w:tc>
                <w:tcPr>
                  <w:tcW w:w="699" w:type="pct"/>
                  <w:vAlign w:val="center"/>
                </w:tcPr>
                <w:p w14:paraId="2A68D1FE"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124CC9DB" w14:textId="77777777" w:rsidR="00F76A63" w:rsidRDefault="00000000">
                  <w:pPr>
                    <w:adjustRightInd w:val="0"/>
                    <w:snapToGrid w:val="0"/>
                    <w:contextualSpacing/>
                    <w:jc w:val="center"/>
                    <w:rPr>
                      <w:rFonts w:eastAsia="Arial Unicode MS"/>
                      <w:sz w:val="18"/>
                      <w:szCs w:val="18"/>
                    </w:rPr>
                  </w:pPr>
                  <w:r>
                    <w:rPr>
                      <w:rFonts w:hint="eastAsia"/>
                      <w:sz w:val="18"/>
                      <w:szCs w:val="18"/>
                    </w:rPr>
                    <w:t>3.01</w:t>
                  </w:r>
                </w:p>
              </w:tc>
              <w:tc>
                <w:tcPr>
                  <w:tcW w:w="696" w:type="pct"/>
                  <w:vMerge w:val="restart"/>
                  <w:vAlign w:val="center"/>
                </w:tcPr>
                <w:p w14:paraId="26E88A7C" w14:textId="77777777" w:rsidR="00F76A63" w:rsidRDefault="00000000">
                  <w:pPr>
                    <w:adjustRightInd w:val="0"/>
                    <w:snapToGrid w:val="0"/>
                    <w:contextualSpacing/>
                    <w:jc w:val="center"/>
                    <w:rPr>
                      <w:sz w:val="18"/>
                      <w:szCs w:val="18"/>
                    </w:rPr>
                  </w:pPr>
                  <w:r>
                    <w:rPr>
                      <w:sz w:val="18"/>
                      <w:szCs w:val="18"/>
                    </w:rPr>
                    <w:t>/</w:t>
                  </w:r>
                </w:p>
              </w:tc>
            </w:tr>
            <w:tr w:rsidR="00F76A63" w14:paraId="41126EBE" w14:textId="77777777">
              <w:trPr>
                <w:trHeight w:val="340"/>
                <w:jc w:val="center"/>
              </w:trPr>
              <w:tc>
                <w:tcPr>
                  <w:tcW w:w="582" w:type="pct"/>
                  <w:vMerge/>
                  <w:vAlign w:val="center"/>
                </w:tcPr>
                <w:p w14:paraId="4FAF0E49" w14:textId="77777777" w:rsidR="00F76A63" w:rsidRDefault="00F76A63">
                  <w:pPr>
                    <w:adjustRightInd w:val="0"/>
                    <w:snapToGrid w:val="0"/>
                    <w:contextualSpacing/>
                    <w:jc w:val="center"/>
                    <w:rPr>
                      <w:sz w:val="18"/>
                      <w:szCs w:val="18"/>
                    </w:rPr>
                  </w:pPr>
                </w:p>
              </w:tc>
              <w:tc>
                <w:tcPr>
                  <w:tcW w:w="798" w:type="pct"/>
                  <w:vMerge/>
                  <w:vAlign w:val="center"/>
                </w:tcPr>
                <w:p w14:paraId="09C3D6FF" w14:textId="77777777" w:rsidR="00F76A63" w:rsidRDefault="00F76A63">
                  <w:pPr>
                    <w:adjustRightInd w:val="0"/>
                    <w:snapToGrid w:val="0"/>
                    <w:contextualSpacing/>
                    <w:jc w:val="center"/>
                    <w:rPr>
                      <w:sz w:val="18"/>
                      <w:szCs w:val="18"/>
                    </w:rPr>
                  </w:pPr>
                </w:p>
              </w:tc>
              <w:tc>
                <w:tcPr>
                  <w:tcW w:w="1302" w:type="pct"/>
                  <w:vMerge/>
                  <w:vAlign w:val="center"/>
                </w:tcPr>
                <w:p w14:paraId="391BAB43" w14:textId="77777777" w:rsidR="00F76A63" w:rsidRDefault="00F76A63">
                  <w:pPr>
                    <w:adjustRightInd w:val="0"/>
                    <w:snapToGrid w:val="0"/>
                    <w:contextualSpacing/>
                    <w:jc w:val="center"/>
                    <w:rPr>
                      <w:sz w:val="18"/>
                      <w:szCs w:val="18"/>
                    </w:rPr>
                  </w:pPr>
                </w:p>
              </w:tc>
              <w:tc>
                <w:tcPr>
                  <w:tcW w:w="699" w:type="pct"/>
                  <w:vAlign w:val="center"/>
                </w:tcPr>
                <w:p w14:paraId="7585ECC6"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2DD9540D" w14:textId="77777777" w:rsidR="00F76A63" w:rsidRDefault="00000000">
                  <w:pPr>
                    <w:adjustRightInd w:val="0"/>
                    <w:snapToGrid w:val="0"/>
                    <w:contextualSpacing/>
                    <w:jc w:val="center"/>
                    <w:rPr>
                      <w:rFonts w:eastAsia="Arial Unicode MS"/>
                      <w:sz w:val="18"/>
                      <w:szCs w:val="18"/>
                    </w:rPr>
                  </w:pPr>
                  <w:r>
                    <w:rPr>
                      <w:rFonts w:hint="eastAsia"/>
                      <w:sz w:val="18"/>
                      <w:szCs w:val="18"/>
                    </w:rPr>
                    <w:t>2.82</w:t>
                  </w:r>
                </w:p>
              </w:tc>
              <w:tc>
                <w:tcPr>
                  <w:tcW w:w="696" w:type="pct"/>
                  <w:vMerge/>
                  <w:vAlign w:val="center"/>
                </w:tcPr>
                <w:p w14:paraId="057A54C3" w14:textId="77777777" w:rsidR="00F76A63" w:rsidRDefault="00F76A63">
                  <w:pPr>
                    <w:adjustRightInd w:val="0"/>
                    <w:snapToGrid w:val="0"/>
                    <w:contextualSpacing/>
                    <w:jc w:val="center"/>
                    <w:rPr>
                      <w:sz w:val="18"/>
                      <w:szCs w:val="18"/>
                    </w:rPr>
                  </w:pPr>
                </w:p>
              </w:tc>
            </w:tr>
            <w:tr w:rsidR="00F76A63" w14:paraId="5A561389" w14:textId="77777777">
              <w:trPr>
                <w:trHeight w:val="340"/>
                <w:jc w:val="center"/>
              </w:trPr>
              <w:tc>
                <w:tcPr>
                  <w:tcW w:w="582" w:type="pct"/>
                  <w:vMerge/>
                  <w:vAlign w:val="center"/>
                </w:tcPr>
                <w:p w14:paraId="7B2F47CF" w14:textId="77777777" w:rsidR="00F76A63" w:rsidRDefault="00F76A63">
                  <w:pPr>
                    <w:adjustRightInd w:val="0"/>
                    <w:snapToGrid w:val="0"/>
                    <w:contextualSpacing/>
                    <w:jc w:val="center"/>
                    <w:rPr>
                      <w:sz w:val="18"/>
                      <w:szCs w:val="18"/>
                    </w:rPr>
                  </w:pPr>
                </w:p>
              </w:tc>
              <w:tc>
                <w:tcPr>
                  <w:tcW w:w="798" w:type="pct"/>
                  <w:vMerge/>
                  <w:vAlign w:val="center"/>
                </w:tcPr>
                <w:p w14:paraId="5FE2D9C4" w14:textId="77777777" w:rsidR="00F76A63" w:rsidRDefault="00F76A63">
                  <w:pPr>
                    <w:adjustRightInd w:val="0"/>
                    <w:snapToGrid w:val="0"/>
                    <w:contextualSpacing/>
                    <w:jc w:val="center"/>
                    <w:rPr>
                      <w:sz w:val="18"/>
                      <w:szCs w:val="18"/>
                    </w:rPr>
                  </w:pPr>
                </w:p>
              </w:tc>
              <w:tc>
                <w:tcPr>
                  <w:tcW w:w="1302" w:type="pct"/>
                  <w:vMerge/>
                  <w:vAlign w:val="center"/>
                </w:tcPr>
                <w:p w14:paraId="1CC920ED" w14:textId="77777777" w:rsidR="00F76A63" w:rsidRDefault="00F76A63">
                  <w:pPr>
                    <w:adjustRightInd w:val="0"/>
                    <w:snapToGrid w:val="0"/>
                    <w:contextualSpacing/>
                    <w:jc w:val="center"/>
                    <w:rPr>
                      <w:sz w:val="18"/>
                      <w:szCs w:val="18"/>
                    </w:rPr>
                  </w:pPr>
                </w:p>
              </w:tc>
              <w:tc>
                <w:tcPr>
                  <w:tcW w:w="699" w:type="pct"/>
                  <w:vAlign w:val="center"/>
                </w:tcPr>
                <w:p w14:paraId="6B00ED13"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1D93EEF6" w14:textId="77777777" w:rsidR="00F76A63" w:rsidRDefault="00000000">
                  <w:pPr>
                    <w:adjustRightInd w:val="0"/>
                    <w:snapToGrid w:val="0"/>
                    <w:contextualSpacing/>
                    <w:jc w:val="center"/>
                    <w:rPr>
                      <w:rFonts w:eastAsia="Arial Unicode MS"/>
                      <w:sz w:val="18"/>
                      <w:szCs w:val="18"/>
                    </w:rPr>
                  </w:pPr>
                  <w:r>
                    <w:rPr>
                      <w:rFonts w:hint="eastAsia"/>
                      <w:sz w:val="18"/>
                      <w:szCs w:val="18"/>
                    </w:rPr>
                    <w:t>2.91</w:t>
                  </w:r>
                </w:p>
              </w:tc>
              <w:tc>
                <w:tcPr>
                  <w:tcW w:w="696" w:type="pct"/>
                  <w:vMerge/>
                  <w:vAlign w:val="center"/>
                </w:tcPr>
                <w:p w14:paraId="4F430CFD" w14:textId="77777777" w:rsidR="00F76A63" w:rsidRDefault="00F76A63">
                  <w:pPr>
                    <w:adjustRightInd w:val="0"/>
                    <w:snapToGrid w:val="0"/>
                    <w:contextualSpacing/>
                    <w:jc w:val="center"/>
                    <w:rPr>
                      <w:sz w:val="18"/>
                      <w:szCs w:val="18"/>
                    </w:rPr>
                  </w:pPr>
                </w:p>
              </w:tc>
            </w:tr>
            <w:tr w:rsidR="00F76A63" w14:paraId="2BD1EDD7" w14:textId="77777777">
              <w:trPr>
                <w:trHeight w:val="340"/>
                <w:jc w:val="center"/>
              </w:trPr>
              <w:tc>
                <w:tcPr>
                  <w:tcW w:w="582" w:type="pct"/>
                  <w:vMerge/>
                  <w:vAlign w:val="center"/>
                </w:tcPr>
                <w:p w14:paraId="33384F81" w14:textId="77777777" w:rsidR="00F76A63" w:rsidRDefault="00F76A63">
                  <w:pPr>
                    <w:adjustRightInd w:val="0"/>
                    <w:snapToGrid w:val="0"/>
                    <w:contextualSpacing/>
                    <w:jc w:val="center"/>
                    <w:rPr>
                      <w:sz w:val="18"/>
                      <w:szCs w:val="18"/>
                    </w:rPr>
                  </w:pPr>
                </w:p>
              </w:tc>
              <w:tc>
                <w:tcPr>
                  <w:tcW w:w="798" w:type="pct"/>
                  <w:vMerge w:val="restart"/>
                  <w:vAlign w:val="center"/>
                </w:tcPr>
                <w:p w14:paraId="124ECE73" w14:textId="77777777" w:rsidR="00F76A63" w:rsidRDefault="00000000">
                  <w:pPr>
                    <w:adjustRightInd w:val="0"/>
                    <w:snapToGrid w:val="0"/>
                    <w:contextualSpacing/>
                    <w:jc w:val="center"/>
                    <w:rPr>
                      <w:sz w:val="18"/>
                      <w:szCs w:val="18"/>
                    </w:rPr>
                  </w:pPr>
                  <w:r>
                    <w:rPr>
                      <w:sz w:val="18"/>
                      <w:szCs w:val="18"/>
                    </w:rPr>
                    <w:t>2025</w:t>
                  </w:r>
                  <w:r>
                    <w:rPr>
                      <w:rFonts w:hint="eastAsia"/>
                      <w:sz w:val="18"/>
                      <w:szCs w:val="18"/>
                    </w:rPr>
                    <w:t>11</w:t>
                  </w:r>
                </w:p>
              </w:tc>
              <w:tc>
                <w:tcPr>
                  <w:tcW w:w="1302" w:type="pct"/>
                  <w:vMerge w:val="restart"/>
                  <w:vAlign w:val="center"/>
                </w:tcPr>
                <w:p w14:paraId="7452C94C" w14:textId="77777777" w:rsidR="00F76A63" w:rsidRDefault="00000000">
                  <w:pPr>
                    <w:adjustRightInd w:val="0"/>
                    <w:snapToGrid w:val="0"/>
                    <w:contextualSpacing/>
                    <w:jc w:val="center"/>
                    <w:rPr>
                      <w:sz w:val="18"/>
                      <w:szCs w:val="18"/>
                    </w:rPr>
                  </w:pPr>
                  <w:r>
                    <w:rPr>
                      <w:rFonts w:hint="eastAsia"/>
                      <w:sz w:val="18"/>
                      <w:szCs w:val="18"/>
                    </w:rPr>
                    <w:t>361303.66</w:t>
                  </w:r>
                </w:p>
              </w:tc>
              <w:tc>
                <w:tcPr>
                  <w:tcW w:w="699" w:type="pct"/>
                  <w:vAlign w:val="center"/>
                </w:tcPr>
                <w:p w14:paraId="2701594E"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79CBC000" w14:textId="77777777" w:rsidR="00F76A63" w:rsidRDefault="00000000">
                  <w:pPr>
                    <w:adjustRightInd w:val="0"/>
                    <w:snapToGrid w:val="0"/>
                    <w:contextualSpacing/>
                    <w:jc w:val="center"/>
                    <w:rPr>
                      <w:rFonts w:eastAsia="Arial Unicode MS"/>
                      <w:sz w:val="18"/>
                      <w:szCs w:val="18"/>
                    </w:rPr>
                  </w:pPr>
                  <w:r>
                    <w:rPr>
                      <w:rFonts w:hint="eastAsia"/>
                      <w:sz w:val="18"/>
                      <w:szCs w:val="18"/>
                    </w:rPr>
                    <w:t>3.01</w:t>
                  </w:r>
                </w:p>
              </w:tc>
              <w:tc>
                <w:tcPr>
                  <w:tcW w:w="696" w:type="pct"/>
                  <w:vMerge w:val="restart"/>
                  <w:vAlign w:val="center"/>
                </w:tcPr>
                <w:p w14:paraId="1891C8D2" w14:textId="77777777" w:rsidR="00F76A63" w:rsidRDefault="00000000">
                  <w:pPr>
                    <w:adjustRightInd w:val="0"/>
                    <w:snapToGrid w:val="0"/>
                    <w:contextualSpacing/>
                    <w:jc w:val="center"/>
                    <w:rPr>
                      <w:sz w:val="18"/>
                      <w:szCs w:val="18"/>
                    </w:rPr>
                  </w:pPr>
                  <w:r>
                    <w:rPr>
                      <w:sz w:val="18"/>
                      <w:szCs w:val="18"/>
                    </w:rPr>
                    <w:t>/</w:t>
                  </w:r>
                </w:p>
              </w:tc>
            </w:tr>
            <w:tr w:rsidR="00F76A63" w14:paraId="01CF19BA" w14:textId="77777777">
              <w:trPr>
                <w:trHeight w:val="340"/>
                <w:jc w:val="center"/>
              </w:trPr>
              <w:tc>
                <w:tcPr>
                  <w:tcW w:w="582" w:type="pct"/>
                  <w:vMerge/>
                  <w:vAlign w:val="center"/>
                </w:tcPr>
                <w:p w14:paraId="2F9E2ADF" w14:textId="77777777" w:rsidR="00F76A63" w:rsidRDefault="00F76A63">
                  <w:pPr>
                    <w:adjustRightInd w:val="0"/>
                    <w:snapToGrid w:val="0"/>
                    <w:contextualSpacing/>
                    <w:jc w:val="center"/>
                    <w:rPr>
                      <w:sz w:val="18"/>
                      <w:szCs w:val="18"/>
                    </w:rPr>
                  </w:pPr>
                </w:p>
              </w:tc>
              <w:tc>
                <w:tcPr>
                  <w:tcW w:w="798" w:type="pct"/>
                  <w:vMerge/>
                  <w:vAlign w:val="center"/>
                </w:tcPr>
                <w:p w14:paraId="61DF77B7" w14:textId="77777777" w:rsidR="00F76A63" w:rsidRDefault="00F76A63">
                  <w:pPr>
                    <w:adjustRightInd w:val="0"/>
                    <w:snapToGrid w:val="0"/>
                    <w:contextualSpacing/>
                    <w:jc w:val="center"/>
                    <w:rPr>
                      <w:sz w:val="18"/>
                      <w:szCs w:val="18"/>
                    </w:rPr>
                  </w:pPr>
                </w:p>
              </w:tc>
              <w:tc>
                <w:tcPr>
                  <w:tcW w:w="1302" w:type="pct"/>
                  <w:vMerge/>
                  <w:vAlign w:val="center"/>
                </w:tcPr>
                <w:p w14:paraId="550084FD" w14:textId="77777777" w:rsidR="00F76A63" w:rsidRDefault="00F76A63">
                  <w:pPr>
                    <w:adjustRightInd w:val="0"/>
                    <w:snapToGrid w:val="0"/>
                    <w:contextualSpacing/>
                    <w:jc w:val="center"/>
                    <w:rPr>
                      <w:sz w:val="18"/>
                      <w:szCs w:val="18"/>
                    </w:rPr>
                  </w:pPr>
                </w:p>
              </w:tc>
              <w:tc>
                <w:tcPr>
                  <w:tcW w:w="699" w:type="pct"/>
                  <w:vAlign w:val="center"/>
                </w:tcPr>
                <w:p w14:paraId="0FFAD221"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245BE4E7" w14:textId="77777777" w:rsidR="00F76A63" w:rsidRDefault="00000000">
                  <w:pPr>
                    <w:adjustRightInd w:val="0"/>
                    <w:snapToGrid w:val="0"/>
                    <w:contextualSpacing/>
                    <w:jc w:val="center"/>
                    <w:rPr>
                      <w:rFonts w:eastAsia="Arial Unicode MS"/>
                      <w:sz w:val="18"/>
                      <w:szCs w:val="18"/>
                    </w:rPr>
                  </w:pPr>
                  <w:r>
                    <w:rPr>
                      <w:rFonts w:hint="eastAsia"/>
                      <w:sz w:val="18"/>
                      <w:szCs w:val="18"/>
                    </w:rPr>
                    <w:t>2.57</w:t>
                  </w:r>
                </w:p>
              </w:tc>
              <w:tc>
                <w:tcPr>
                  <w:tcW w:w="696" w:type="pct"/>
                  <w:vMerge/>
                  <w:vAlign w:val="center"/>
                </w:tcPr>
                <w:p w14:paraId="74692C22" w14:textId="77777777" w:rsidR="00F76A63" w:rsidRDefault="00F76A63">
                  <w:pPr>
                    <w:adjustRightInd w:val="0"/>
                    <w:snapToGrid w:val="0"/>
                    <w:contextualSpacing/>
                    <w:jc w:val="center"/>
                    <w:rPr>
                      <w:sz w:val="18"/>
                      <w:szCs w:val="18"/>
                    </w:rPr>
                  </w:pPr>
                </w:p>
              </w:tc>
            </w:tr>
            <w:tr w:rsidR="00F76A63" w14:paraId="3C0895B6" w14:textId="77777777">
              <w:trPr>
                <w:trHeight w:val="340"/>
                <w:jc w:val="center"/>
              </w:trPr>
              <w:tc>
                <w:tcPr>
                  <w:tcW w:w="582" w:type="pct"/>
                  <w:vMerge/>
                  <w:vAlign w:val="center"/>
                </w:tcPr>
                <w:p w14:paraId="011AB457" w14:textId="77777777" w:rsidR="00F76A63" w:rsidRDefault="00F76A63">
                  <w:pPr>
                    <w:adjustRightInd w:val="0"/>
                    <w:snapToGrid w:val="0"/>
                    <w:contextualSpacing/>
                    <w:jc w:val="center"/>
                    <w:rPr>
                      <w:sz w:val="18"/>
                      <w:szCs w:val="18"/>
                    </w:rPr>
                  </w:pPr>
                </w:p>
              </w:tc>
              <w:tc>
                <w:tcPr>
                  <w:tcW w:w="798" w:type="pct"/>
                  <w:vMerge/>
                  <w:vAlign w:val="center"/>
                </w:tcPr>
                <w:p w14:paraId="788510D2" w14:textId="77777777" w:rsidR="00F76A63" w:rsidRDefault="00F76A63">
                  <w:pPr>
                    <w:adjustRightInd w:val="0"/>
                    <w:snapToGrid w:val="0"/>
                    <w:contextualSpacing/>
                    <w:jc w:val="center"/>
                    <w:rPr>
                      <w:sz w:val="18"/>
                      <w:szCs w:val="18"/>
                    </w:rPr>
                  </w:pPr>
                </w:p>
              </w:tc>
              <w:tc>
                <w:tcPr>
                  <w:tcW w:w="1302" w:type="pct"/>
                  <w:vMerge/>
                  <w:vAlign w:val="center"/>
                </w:tcPr>
                <w:p w14:paraId="23E3475D" w14:textId="77777777" w:rsidR="00F76A63" w:rsidRDefault="00F76A63">
                  <w:pPr>
                    <w:adjustRightInd w:val="0"/>
                    <w:snapToGrid w:val="0"/>
                    <w:contextualSpacing/>
                    <w:jc w:val="center"/>
                    <w:rPr>
                      <w:sz w:val="18"/>
                      <w:szCs w:val="18"/>
                    </w:rPr>
                  </w:pPr>
                </w:p>
              </w:tc>
              <w:tc>
                <w:tcPr>
                  <w:tcW w:w="699" w:type="pct"/>
                  <w:vAlign w:val="center"/>
                </w:tcPr>
                <w:p w14:paraId="613583FD"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5D156C81" w14:textId="77777777" w:rsidR="00F76A63" w:rsidRDefault="00000000">
                  <w:pPr>
                    <w:adjustRightInd w:val="0"/>
                    <w:snapToGrid w:val="0"/>
                    <w:contextualSpacing/>
                    <w:jc w:val="center"/>
                    <w:rPr>
                      <w:rFonts w:eastAsia="Arial Unicode MS"/>
                      <w:sz w:val="18"/>
                      <w:szCs w:val="18"/>
                    </w:rPr>
                  </w:pPr>
                  <w:r>
                    <w:rPr>
                      <w:rFonts w:hint="eastAsia"/>
                      <w:sz w:val="18"/>
                      <w:szCs w:val="18"/>
                    </w:rPr>
                    <w:t>2.91</w:t>
                  </w:r>
                </w:p>
              </w:tc>
              <w:tc>
                <w:tcPr>
                  <w:tcW w:w="696" w:type="pct"/>
                  <w:vMerge/>
                  <w:vAlign w:val="center"/>
                </w:tcPr>
                <w:p w14:paraId="19F08AC6" w14:textId="77777777" w:rsidR="00F76A63" w:rsidRDefault="00F76A63">
                  <w:pPr>
                    <w:adjustRightInd w:val="0"/>
                    <w:snapToGrid w:val="0"/>
                    <w:contextualSpacing/>
                    <w:jc w:val="center"/>
                    <w:rPr>
                      <w:sz w:val="18"/>
                      <w:szCs w:val="18"/>
                    </w:rPr>
                  </w:pPr>
                </w:p>
              </w:tc>
            </w:tr>
            <w:tr w:rsidR="00F76A63" w14:paraId="3829F119" w14:textId="77777777">
              <w:trPr>
                <w:trHeight w:val="340"/>
                <w:jc w:val="center"/>
              </w:trPr>
              <w:tc>
                <w:tcPr>
                  <w:tcW w:w="582" w:type="pct"/>
                  <w:vMerge/>
                  <w:vAlign w:val="center"/>
                </w:tcPr>
                <w:p w14:paraId="30644168" w14:textId="77777777" w:rsidR="00F76A63" w:rsidRDefault="00F76A63">
                  <w:pPr>
                    <w:adjustRightInd w:val="0"/>
                    <w:snapToGrid w:val="0"/>
                    <w:contextualSpacing/>
                    <w:jc w:val="center"/>
                    <w:rPr>
                      <w:sz w:val="18"/>
                      <w:szCs w:val="18"/>
                    </w:rPr>
                  </w:pPr>
                </w:p>
              </w:tc>
              <w:tc>
                <w:tcPr>
                  <w:tcW w:w="798" w:type="pct"/>
                  <w:vMerge w:val="restart"/>
                  <w:vAlign w:val="center"/>
                </w:tcPr>
                <w:p w14:paraId="112E07E7" w14:textId="77777777" w:rsidR="00F76A63" w:rsidRDefault="00000000">
                  <w:pPr>
                    <w:adjustRightInd w:val="0"/>
                    <w:snapToGrid w:val="0"/>
                    <w:contextualSpacing/>
                    <w:jc w:val="center"/>
                    <w:rPr>
                      <w:sz w:val="18"/>
                      <w:szCs w:val="18"/>
                    </w:rPr>
                  </w:pPr>
                  <w:r>
                    <w:rPr>
                      <w:sz w:val="18"/>
                      <w:szCs w:val="18"/>
                    </w:rPr>
                    <w:t>2025</w:t>
                  </w:r>
                  <w:r>
                    <w:rPr>
                      <w:rFonts w:hint="eastAsia"/>
                      <w:sz w:val="18"/>
                      <w:szCs w:val="18"/>
                    </w:rPr>
                    <w:t>12</w:t>
                  </w:r>
                </w:p>
              </w:tc>
              <w:tc>
                <w:tcPr>
                  <w:tcW w:w="1302" w:type="pct"/>
                  <w:vMerge w:val="restart"/>
                  <w:vAlign w:val="center"/>
                </w:tcPr>
                <w:p w14:paraId="2DF1E995" w14:textId="77777777" w:rsidR="00F76A63" w:rsidRDefault="00000000">
                  <w:pPr>
                    <w:adjustRightInd w:val="0"/>
                    <w:snapToGrid w:val="0"/>
                    <w:contextualSpacing/>
                    <w:jc w:val="center"/>
                    <w:rPr>
                      <w:sz w:val="18"/>
                      <w:szCs w:val="18"/>
                    </w:rPr>
                  </w:pPr>
                  <w:r>
                    <w:rPr>
                      <w:rFonts w:hint="eastAsia"/>
                      <w:sz w:val="18"/>
                      <w:szCs w:val="18"/>
                    </w:rPr>
                    <w:t>313567.25</w:t>
                  </w:r>
                </w:p>
              </w:tc>
              <w:tc>
                <w:tcPr>
                  <w:tcW w:w="699" w:type="pct"/>
                  <w:vAlign w:val="center"/>
                </w:tcPr>
                <w:p w14:paraId="349AC99A"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3134F5EF" w14:textId="77777777" w:rsidR="00F76A63" w:rsidRDefault="00000000">
                  <w:pPr>
                    <w:adjustRightInd w:val="0"/>
                    <w:snapToGrid w:val="0"/>
                    <w:contextualSpacing/>
                    <w:jc w:val="center"/>
                    <w:rPr>
                      <w:rFonts w:eastAsia="Arial Unicode MS"/>
                      <w:sz w:val="18"/>
                      <w:szCs w:val="18"/>
                    </w:rPr>
                  </w:pPr>
                  <w:r>
                    <w:rPr>
                      <w:rFonts w:hint="eastAsia"/>
                      <w:sz w:val="18"/>
                      <w:szCs w:val="18"/>
                    </w:rPr>
                    <w:t>2.94</w:t>
                  </w:r>
                </w:p>
              </w:tc>
              <w:tc>
                <w:tcPr>
                  <w:tcW w:w="696" w:type="pct"/>
                  <w:vMerge w:val="restart"/>
                  <w:vAlign w:val="center"/>
                </w:tcPr>
                <w:p w14:paraId="57CB9542" w14:textId="77777777" w:rsidR="00F76A63" w:rsidRDefault="00000000">
                  <w:pPr>
                    <w:adjustRightInd w:val="0"/>
                    <w:snapToGrid w:val="0"/>
                    <w:contextualSpacing/>
                    <w:jc w:val="center"/>
                    <w:rPr>
                      <w:sz w:val="18"/>
                      <w:szCs w:val="18"/>
                    </w:rPr>
                  </w:pPr>
                  <w:r>
                    <w:rPr>
                      <w:sz w:val="18"/>
                      <w:szCs w:val="18"/>
                    </w:rPr>
                    <w:t>/</w:t>
                  </w:r>
                </w:p>
              </w:tc>
            </w:tr>
            <w:tr w:rsidR="00F76A63" w14:paraId="4D988487" w14:textId="77777777">
              <w:trPr>
                <w:trHeight w:val="340"/>
                <w:jc w:val="center"/>
              </w:trPr>
              <w:tc>
                <w:tcPr>
                  <w:tcW w:w="582" w:type="pct"/>
                  <w:vMerge/>
                  <w:vAlign w:val="center"/>
                </w:tcPr>
                <w:p w14:paraId="3C132A0B" w14:textId="77777777" w:rsidR="00F76A63" w:rsidRDefault="00F76A63">
                  <w:pPr>
                    <w:adjustRightInd w:val="0"/>
                    <w:snapToGrid w:val="0"/>
                    <w:contextualSpacing/>
                    <w:jc w:val="center"/>
                    <w:rPr>
                      <w:sz w:val="18"/>
                      <w:szCs w:val="18"/>
                    </w:rPr>
                  </w:pPr>
                </w:p>
              </w:tc>
              <w:tc>
                <w:tcPr>
                  <w:tcW w:w="798" w:type="pct"/>
                  <w:vMerge/>
                  <w:vAlign w:val="center"/>
                </w:tcPr>
                <w:p w14:paraId="4640B94B" w14:textId="77777777" w:rsidR="00F76A63" w:rsidRDefault="00F76A63">
                  <w:pPr>
                    <w:adjustRightInd w:val="0"/>
                    <w:snapToGrid w:val="0"/>
                    <w:contextualSpacing/>
                    <w:jc w:val="center"/>
                    <w:rPr>
                      <w:sz w:val="18"/>
                      <w:szCs w:val="18"/>
                    </w:rPr>
                  </w:pPr>
                </w:p>
              </w:tc>
              <w:tc>
                <w:tcPr>
                  <w:tcW w:w="1302" w:type="pct"/>
                  <w:vMerge/>
                  <w:vAlign w:val="center"/>
                </w:tcPr>
                <w:p w14:paraId="3C114F28" w14:textId="77777777" w:rsidR="00F76A63" w:rsidRDefault="00F76A63">
                  <w:pPr>
                    <w:adjustRightInd w:val="0"/>
                    <w:snapToGrid w:val="0"/>
                    <w:contextualSpacing/>
                    <w:jc w:val="center"/>
                    <w:rPr>
                      <w:sz w:val="18"/>
                      <w:szCs w:val="18"/>
                    </w:rPr>
                  </w:pPr>
                </w:p>
              </w:tc>
              <w:tc>
                <w:tcPr>
                  <w:tcW w:w="699" w:type="pct"/>
                  <w:vAlign w:val="center"/>
                </w:tcPr>
                <w:p w14:paraId="7F16945C"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20467DAB" w14:textId="77777777" w:rsidR="00F76A63" w:rsidRDefault="00000000">
                  <w:pPr>
                    <w:adjustRightInd w:val="0"/>
                    <w:snapToGrid w:val="0"/>
                    <w:contextualSpacing/>
                    <w:jc w:val="center"/>
                    <w:rPr>
                      <w:rFonts w:eastAsia="Arial Unicode MS"/>
                      <w:sz w:val="18"/>
                      <w:szCs w:val="18"/>
                    </w:rPr>
                  </w:pPr>
                  <w:r>
                    <w:rPr>
                      <w:rFonts w:hint="eastAsia"/>
                      <w:sz w:val="18"/>
                      <w:szCs w:val="18"/>
                    </w:rPr>
                    <w:t>2.48</w:t>
                  </w:r>
                </w:p>
              </w:tc>
              <w:tc>
                <w:tcPr>
                  <w:tcW w:w="696" w:type="pct"/>
                  <w:vMerge/>
                  <w:vAlign w:val="center"/>
                </w:tcPr>
                <w:p w14:paraId="4B4FC07E" w14:textId="77777777" w:rsidR="00F76A63" w:rsidRDefault="00F76A63">
                  <w:pPr>
                    <w:adjustRightInd w:val="0"/>
                    <w:snapToGrid w:val="0"/>
                    <w:contextualSpacing/>
                    <w:jc w:val="center"/>
                    <w:rPr>
                      <w:sz w:val="18"/>
                      <w:szCs w:val="18"/>
                    </w:rPr>
                  </w:pPr>
                </w:p>
              </w:tc>
            </w:tr>
            <w:tr w:rsidR="00F76A63" w14:paraId="1D612623" w14:textId="77777777">
              <w:trPr>
                <w:trHeight w:val="340"/>
                <w:jc w:val="center"/>
              </w:trPr>
              <w:tc>
                <w:tcPr>
                  <w:tcW w:w="582" w:type="pct"/>
                  <w:vMerge/>
                  <w:vAlign w:val="center"/>
                </w:tcPr>
                <w:p w14:paraId="6F211851" w14:textId="77777777" w:rsidR="00F76A63" w:rsidRDefault="00F76A63">
                  <w:pPr>
                    <w:adjustRightInd w:val="0"/>
                    <w:snapToGrid w:val="0"/>
                    <w:contextualSpacing/>
                    <w:jc w:val="center"/>
                    <w:rPr>
                      <w:sz w:val="18"/>
                      <w:szCs w:val="18"/>
                    </w:rPr>
                  </w:pPr>
                </w:p>
              </w:tc>
              <w:tc>
                <w:tcPr>
                  <w:tcW w:w="798" w:type="pct"/>
                  <w:vMerge/>
                  <w:vAlign w:val="center"/>
                </w:tcPr>
                <w:p w14:paraId="63AEBD21" w14:textId="77777777" w:rsidR="00F76A63" w:rsidRDefault="00F76A63">
                  <w:pPr>
                    <w:adjustRightInd w:val="0"/>
                    <w:snapToGrid w:val="0"/>
                    <w:contextualSpacing/>
                    <w:jc w:val="center"/>
                    <w:rPr>
                      <w:sz w:val="18"/>
                      <w:szCs w:val="18"/>
                    </w:rPr>
                  </w:pPr>
                </w:p>
              </w:tc>
              <w:tc>
                <w:tcPr>
                  <w:tcW w:w="1302" w:type="pct"/>
                  <w:vMerge/>
                  <w:vAlign w:val="center"/>
                </w:tcPr>
                <w:p w14:paraId="419A95CC" w14:textId="77777777" w:rsidR="00F76A63" w:rsidRDefault="00F76A63">
                  <w:pPr>
                    <w:adjustRightInd w:val="0"/>
                    <w:snapToGrid w:val="0"/>
                    <w:contextualSpacing/>
                    <w:jc w:val="center"/>
                    <w:rPr>
                      <w:sz w:val="18"/>
                      <w:szCs w:val="18"/>
                    </w:rPr>
                  </w:pPr>
                </w:p>
              </w:tc>
              <w:tc>
                <w:tcPr>
                  <w:tcW w:w="699" w:type="pct"/>
                  <w:vAlign w:val="center"/>
                </w:tcPr>
                <w:p w14:paraId="627181C8"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378CCB38" w14:textId="77777777" w:rsidR="00F76A63" w:rsidRDefault="00000000">
                  <w:pPr>
                    <w:adjustRightInd w:val="0"/>
                    <w:snapToGrid w:val="0"/>
                    <w:contextualSpacing/>
                    <w:jc w:val="center"/>
                    <w:rPr>
                      <w:rFonts w:eastAsia="Arial Unicode MS"/>
                      <w:sz w:val="18"/>
                      <w:szCs w:val="18"/>
                    </w:rPr>
                  </w:pPr>
                  <w:r>
                    <w:rPr>
                      <w:rFonts w:hint="eastAsia"/>
                      <w:sz w:val="18"/>
                      <w:szCs w:val="18"/>
                    </w:rPr>
                    <w:t>2.84</w:t>
                  </w:r>
                </w:p>
              </w:tc>
              <w:tc>
                <w:tcPr>
                  <w:tcW w:w="696" w:type="pct"/>
                  <w:vMerge/>
                  <w:vAlign w:val="center"/>
                </w:tcPr>
                <w:p w14:paraId="2F5CFCF6" w14:textId="77777777" w:rsidR="00F76A63" w:rsidRDefault="00F76A63">
                  <w:pPr>
                    <w:adjustRightInd w:val="0"/>
                    <w:snapToGrid w:val="0"/>
                    <w:contextualSpacing/>
                    <w:jc w:val="center"/>
                    <w:rPr>
                      <w:sz w:val="18"/>
                      <w:szCs w:val="18"/>
                    </w:rPr>
                  </w:pPr>
                </w:p>
              </w:tc>
            </w:tr>
            <w:tr w:rsidR="00F76A63" w14:paraId="1A65F598" w14:textId="77777777">
              <w:trPr>
                <w:trHeight w:val="340"/>
                <w:jc w:val="center"/>
              </w:trPr>
              <w:tc>
                <w:tcPr>
                  <w:tcW w:w="582" w:type="pct"/>
                  <w:vMerge/>
                  <w:vAlign w:val="center"/>
                </w:tcPr>
                <w:p w14:paraId="3300CC1B" w14:textId="77777777" w:rsidR="00F76A63" w:rsidRDefault="00F76A63">
                  <w:pPr>
                    <w:adjustRightInd w:val="0"/>
                    <w:snapToGrid w:val="0"/>
                    <w:contextualSpacing/>
                    <w:jc w:val="center"/>
                    <w:rPr>
                      <w:sz w:val="18"/>
                      <w:szCs w:val="18"/>
                    </w:rPr>
                  </w:pPr>
                </w:p>
              </w:tc>
              <w:tc>
                <w:tcPr>
                  <w:tcW w:w="798" w:type="pct"/>
                  <w:vMerge w:val="restart"/>
                  <w:vAlign w:val="center"/>
                </w:tcPr>
                <w:p w14:paraId="40A2F4E9" w14:textId="77777777" w:rsidR="00F76A63" w:rsidRDefault="00000000">
                  <w:pPr>
                    <w:adjustRightInd w:val="0"/>
                    <w:snapToGrid w:val="0"/>
                    <w:contextualSpacing/>
                    <w:jc w:val="center"/>
                    <w:rPr>
                      <w:sz w:val="18"/>
                      <w:szCs w:val="18"/>
                    </w:rPr>
                  </w:pPr>
                  <w:r>
                    <w:rPr>
                      <w:sz w:val="18"/>
                      <w:szCs w:val="18"/>
                    </w:rPr>
                    <w:t>202</w:t>
                  </w:r>
                  <w:r>
                    <w:rPr>
                      <w:rFonts w:hint="eastAsia"/>
                      <w:sz w:val="18"/>
                      <w:szCs w:val="18"/>
                    </w:rPr>
                    <w:t>601</w:t>
                  </w:r>
                </w:p>
              </w:tc>
              <w:tc>
                <w:tcPr>
                  <w:tcW w:w="1302" w:type="pct"/>
                  <w:vMerge w:val="restart"/>
                  <w:vAlign w:val="center"/>
                </w:tcPr>
                <w:p w14:paraId="469A64F6" w14:textId="77777777" w:rsidR="00F76A63" w:rsidRDefault="00000000">
                  <w:pPr>
                    <w:adjustRightInd w:val="0"/>
                    <w:snapToGrid w:val="0"/>
                    <w:contextualSpacing/>
                    <w:jc w:val="center"/>
                    <w:rPr>
                      <w:sz w:val="18"/>
                      <w:szCs w:val="18"/>
                    </w:rPr>
                  </w:pPr>
                  <w:r>
                    <w:rPr>
                      <w:rFonts w:hint="eastAsia"/>
                      <w:sz w:val="18"/>
                      <w:szCs w:val="18"/>
                    </w:rPr>
                    <w:t>313028.16</w:t>
                  </w:r>
                </w:p>
              </w:tc>
              <w:tc>
                <w:tcPr>
                  <w:tcW w:w="699" w:type="pct"/>
                  <w:vAlign w:val="center"/>
                </w:tcPr>
                <w:p w14:paraId="2C2014CC"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65CAB15F" w14:textId="77777777" w:rsidR="00F76A63" w:rsidRDefault="00000000">
                  <w:pPr>
                    <w:adjustRightInd w:val="0"/>
                    <w:snapToGrid w:val="0"/>
                    <w:contextualSpacing/>
                    <w:jc w:val="center"/>
                    <w:rPr>
                      <w:rFonts w:eastAsia="Arial Unicode MS"/>
                      <w:sz w:val="18"/>
                      <w:szCs w:val="18"/>
                    </w:rPr>
                  </w:pPr>
                  <w:r>
                    <w:rPr>
                      <w:rFonts w:hint="eastAsia"/>
                      <w:sz w:val="18"/>
                      <w:szCs w:val="18"/>
                    </w:rPr>
                    <w:t>2.95</w:t>
                  </w:r>
                </w:p>
              </w:tc>
              <w:tc>
                <w:tcPr>
                  <w:tcW w:w="696" w:type="pct"/>
                  <w:vMerge w:val="restart"/>
                  <w:vAlign w:val="center"/>
                </w:tcPr>
                <w:p w14:paraId="2C036C7E" w14:textId="77777777" w:rsidR="00F76A63" w:rsidRDefault="00000000">
                  <w:pPr>
                    <w:adjustRightInd w:val="0"/>
                    <w:snapToGrid w:val="0"/>
                    <w:contextualSpacing/>
                    <w:jc w:val="center"/>
                    <w:rPr>
                      <w:sz w:val="18"/>
                      <w:szCs w:val="18"/>
                    </w:rPr>
                  </w:pPr>
                  <w:r>
                    <w:rPr>
                      <w:sz w:val="18"/>
                      <w:szCs w:val="18"/>
                    </w:rPr>
                    <w:t>/</w:t>
                  </w:r>
                </w:p>
              </w:tc>
            </w:tr>
            <w:tr w:rsidR="00F76A63" w14:paraId="0492933C" w14:textId="77777777">
              <w:trPr>
                <w:trHeight w:val="340"/>
                <w:jc w:val="center"/>
              </w:trPr>
              <w:tc>
                <w:tcPr>
                  <w:tcW w:w="582" w:type="pct"/>
                  <w:vMerge/>
                  <w:vAlign w:val="center"/>
                </w:tcPr>
                <w:p w14:paraId="548B7733" w14:textId="77777777" w:rsidR="00F76A63" w:rsidRDefault="00F76A63">
                  <w:pPr>
                    <w:adjustRightInd w:val="0"/>
                    <w:snapToGrid w:val="0"/>
                    <w:contextualSpacing/>
                    <w:jc w:val="center"/>
                    <w:rPr>
                      <w:sz w:val="18"/>
                      <w:szCs w:val="18"/>
                    </w:rPr>
                  </w:pPr>
                </w:p>
              </w:tc>
              <w:tc>
                <w:tcPr>
                  <w:tcW w:w="798" w:type="pct"/>
                  <w:vMerge/>
                  <w:vAlign w:val="center"/>
                </w:tcPr>
                <w:p w14:paraId="0568B519" w14:textId="77777777" w:rsidR="00F76A63" w:rsidRDefault="00F76A63">
                  <w:pPr>
                    <w:adjustRightInd w:val="0"/>
                    <w:snapToGrid w:val="0"/>
                    <w:contextualSpacing/>
                    <w:jc w:val="center"/>
                    <w:rPr>
                      <w:sz w:val="18"/>
                      <w:szCs w:val="18"/>
                    </w:rPr>
                  </w:pPr>
                </w:p>
              </w:tc>
              <w:tc>
                <w:tcPr>
                  <w:tcW w:w="1302" w:type="pct"/>
                  <w:vMerge/>
                  <w:vAlign w:val="center"/>
                </w:tcPr>
                <w:p w14:paraId="1CF84432" w14:textId="77777777" w:rsidR="00F76A63" w:rsidRDefault="00F76A63">
                  <w:pPr>
                    <w:adjustRightInd w:val="0"/>
                    <w:snapToGrid w:val="0"/>
                    <w:contextualSpacing/>
                    <w:jc w:val="center"/>
                    <w:rPr>
                      <w:sz w:val="18"/>
                      <w:szCs w:val="18"/>
                    </w:rPr>
                  </w:pPr>
                </w:p>
              </w:tc>
              <w:tc>
                <w:tcPr>
                  <w:tcW w:w="699" w:type="pct"/>
                  <w:vAlign w:val="center"/>
                </w:tcPr>
                <w:p w14:paraId="7B5CE9E8"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36866EE1" w14:textId="77777777" w:rsidR="00F76A63" w:rsidRDefault="00000000">
                  <w:pPr>
                    <w:adjustRightInd w:val="0"/>
                    <w:snapToGrid w:val="0"/>
                    <w:contextualSpacing/>
                    <w:jc w:val="center"/>
                    <w:rPr>
                      <w:rFonts w:eastAsia="Arial Unicode MS"/>
                      <w:sz w:val="18"/>
                      <w:szCs w:val="18"/>
                    </w:rPr>
                  </w:pPr>
                  <w:r>
                    <w:rPr>
                      <w:rFonts w:hint="eastAsia"/>
                      <w:sz w:val="18"/>
                      <w:szCs w:val="18"/>
                    </w:rPr>
                    <w:t>2.77</w:t>
                  </w:r>
                </w:p>
              </w:tc>
              <w:tc>
                <w:tcPr>
                  <w:tcW w:w="696" w:type="pct"/>
                  <w:vMerge/>
                  <w:vAlign w:val="center"/>
                </w:tcPr>
                <w:p w14:paraId="5E58827B" w14:textId="77777777" w:rsidR="00F76A63" w:rsidRDefault="00F76A63">
                  <w:pPr>
                    <w:adjustRightInd w:val="0"/>
                    <w:snapToGrid w:val="0"/>
                    <w:contextualSpacing/>
                    <w:jc w:val="center"/>
                    <w:rPr>
                      <w:sz w:val="18"/>
                      <w:szCs w:val="18"/>
                    </w:rPr>
                  </w:pPr>
                </w:p>
              </w:tc>
            </w:tr>
            <w:tr w:rsidR="00F76A63" w14:paraId="0BE3DE41" w14:textId="77777777">
              <w:trPr>
                <w:trHeight w:val="340"/>
                <w:jc w:val="center"/>
              </w:trPr>
              <w:tc>
                <w:tcPr>
                  <w:tcW w:w="582" w:type="pct"/>
                  <w:vMerge/>
                  <w:vAlign w:val="center"/>
                </w:tcPr>
                <w:p w14:paraId="06272384" w14:textId="77777777" w:rsidR="00F76A63" w:rsidRDefault="00F76A63">
                  <w:pPr>
                    <w:adjustRightInd w:val="0"/>
                    <w:snapToGrid w:val="0"/>
                    <w:contextualSpacing/>
                    <w:jc w:val="center"/>
                    <w:rPr>
                      <w:sz w:val="18"/>
                      <w:szCs w:val="18"/>
                    </w:rPr>
                  </w:pPr>
                </w:p>
              </w:tc>
              <w:tc>
                <w:tcPr>
                  <w:tcW w:w="798" w:type="pct"/>
                  <w:vMerge/>
                  <w:vAlign w:val="center"/>
                </w:tcPr>
                <w:p w14:paraId="268A33B4" w14:textId="77777777" w:rsidR="00F76A63" w:rsidRDefault="00F76A63">
                  <w:pPr>
                    <w:adjustRightInd w:val="0"/>
                    <w:snapToGrid w:val="0"/>
                    <w:contextualSpacing/>
                    <w:jc w:val="center"/>
                    <w:rPr>
                      <w:sz w:val="18"/>
                      <w:szCs w:val="18"/>
                    </w:rPr>
                  </w:pPr>
                </w:p>
              </w:tc>
              <w:tc>
                <w:tcPr>
                  <w:tcW w:w="1302" w:type="pct"/>
                  <w:vMerge/>
                  <w:vAlign w:val="center"/>
                </w:tcPr>
                <w:p w14:paraId="1EEE5570" w14:textId="77777777" w:rsidR="00F76A63" w:rsidRDefault="00F76A63">
                  <w:pPr>
                    <w:adjustRightInd w:val="0"/>
                    <w:snapToGrid w:val="0"/>
                    <w:contextualSpacing/>
                    <w:jc w:val="center"/>
                    <w:rPr>
                      <w:sz w:val="18"/>
                      <w:szCs w:val="18"/>
                    </w:rPr>
                  </w:pPr>
                </w:p>
              </w:tc>
              <w:tc>
                <w:tcPr>
                  <w:tcW w:w="699" w:type="pct"/>
                  <w:vAlign w:val="center"/>
                </w:tcPr>
                <w:p w14:paraId="38506362"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7F017B31" w14:textId="77777777" w:rsidR="00F76A63" w:rsidRDefault="00000000">
                  <w:pPr>
                    <w:adjustRightInd w:val="0"/>
                    <w:snapToGrid w:val="0"/>
                    <w:contextualSpacing/>
                    <w:jc w:val="center"/>
                    <w:rPr>
                      <w:rFonts w:eastAsia="Arial Unicode MS"/>
                      <w:sz w:val="18"/>
                      <w:szCs w:val="18"/>
                    </w:rPr>
                  </w:pPr>
                  <w:r>
                    <w:rPr>
                      <w:rFonts w:eastAsia="Arial Unicode MS" w:hint="eastAsia"/>
                      <w:sz w:val="18"/>
                      <w:szCs w:val="18"/>
                    </w:rPr>
                    <w:t>2.8</w:t>
                  </w:r>
                  <w:r>
                    <w:rPr>
                      <w:rFonts w:hint="eastAsia"/>
                      <w:sz w:val="18"/>
                      <w:szCs w:val="18"/>
                    </w:rPr>
                    <w:t>8</w:t>
                  </w:r>
                </w:p>
              </w:tc>
              <w:tc>
                <w:tcPr>
                  <w:tcW w:w="696" w:type="pct"/>
                  <w:vMerge/>
                  <w:vAlign w:val="center"/>
                </w:tcPr>
                <w:p w14:paraId="76E009C6" w14:textId="77777777" w:rsidR="00F76A63" w:rsidRDefault="00F76A63">
                  <w:pPr>
                    <w:adjustRightInd w:val="0"/>
                    <w:snapToGrid w:val="0"/>
                    <w:contextualSpacing/>
                    <w:jc w:val="center"/>
                    <w:rPr>
                      <w:sz w:val="18"/>
                      <w:szCs w:val="18"/>
                    </w:rPr>
                  </w:pPr>
                </w:p>
              </w:tc>
            </w:tr>
            <w:tr w:rsidR="00F76A63" w14:paraId="48FF4AEE" w14:textId="77777777">
              <w:trPr>
                <w:trHeight w:val="340"/>
                <w:jc w:val="center"/>
              </w:trPr>
              <w:tc>
                <w:tcPr>
                  <w:tcW w:w="582" w:type="pct"/>
                  <w:vMerge/>
                  <w:vAlign w:val="center"/>
                </w:tcPr>
                <w:p w14:paraId="3FD217B0" w14:textId="77777777" w:rsidR="00F76A63" w:rsidRDefault="00F76A63">
                  <w:pPr>
                    <w:adjustRightInd w:val="0"/>
                    <w:snapToGrid w:val="0"/>
                    <w:contextualSpacing/>
                    <w:jc w:val="center"/>
                    <w:rPr>
                      <w:sz w:val="18"/>
                      <w:szCs w:val="18"/>
                    </w:rPr>
                  </w:pPr>
                </w:p>
              </w:tc>
              <w:tc>
                <w:tcPr>
                  <w:tcW w:w="798" w:type="pct"/>
                  <w:vMerge w:val="restart"/>
                  <w:vAlign w:val="center"/>
                </w:tcPr>
                <w:p w14:paraId="79E39DFD" w14:textId="77777777" w:rsidR="00F76A63" w:rsidRDefault="00000000">
                  <w:pPr>
                    <w:adjustRightInd w:val="0"/>
                    <w:snapToGrid w:val="0"/>
                    <w:contextualSpacing/>
                    <w:jc w:val="center"/>
                    <w:rPr>
                      <w:sz w:val="18"/>
                      <w:szCs w:val="18"/>
                    </w:rPr>
                  </w:pPr>
                  <w:r>
                    <w:rPr>
                      <w:sz w:val="18"/>
                      <w:szCs w:val="18"/>
                    </w:rPr>
                    <w:t>202</w:t>
                  </w:r>
                  <w:r>
                    <w:rPr>
                      <w:rFonts w:hint="eastAsia"/>
                      <w:sz w:val="18"/>
                      <w:szCs w:val="18"/>
                    </w:rPr>
                    <w:t>602</w:t>
                  </w:r>
                </w:p>
              </w:tc>
              <w:tc>
                <w:tcPr>
                  <w:tcW w:w="1302" w:type="pct"/>
                  <w:vMerge w:val="restart"/>
                  <w:vAlign w:val="center"/>
                </w:tcPr>
                <w:p w14:paraId="2C30F80F" w14:textId="77777777" w:rsidR="00F76A63" w:rsidRDefault="00000000">
                  <w:pPr>
                    <w:adjustRightInd w:val="0"/>
                    <w:snapToGrid w:val="0"/>
                    <w:contextualSpacing/>
                    <w:jc w:val="center"/>
                    <w:rPr>
                      <w:sz w:val="18"/>
                      <w:szCs w:val="18"/>
                    </w:rPr>
                  </w:pPr>
                  <w:r>
                    <w:rPr>
                      <w:rFonts w:hint="eastAsia"/>
                      <w:sz w:val="18"/>
                      <w:szCs w:val="18"/>
                    </w:rPr>
                    <w:t>312341.91</w:t>
                  </w:r>
                </w:p>
              </w:tc>
              <w:tc>
                <w:tcPr>
                  <w:tcW w:w="699" w:type="pct"/>
                  <w:vAlign w:val="center"/>
                </w:tcPr>
                <w:p w14:paraId="6DA928BE"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0D8D044D" w14:textId="77777777" w:rsidR="00F76A63" w:rsidRDefault="00000000">
                  <w:pPr>
                    <w:adjustRightInd w:val="0"/>
                    <w:snapToGrid w:val="0"/>
                    <w:contextualSpacing/>
                    <w:jc w:val="center"/>
                    <w:rPr>
                      <w:rFonts w:eastAsia="Arial Unicode MS"/>
                      <w:sz w:val="18"/>
                      <w:szCs w:val="18"/>
                    </w:rPr>
                  </w:pPr>
                  <w:r>
                    <w:rPr>
                      <w:rFonts w:hint="eastAsia"/>
                      <w:sz w:val="18"/>
                      <w:szCs w:val="18"/>
                    </w:rPr>
                    <w:t>2.91</w:t>
                  </w:r>
                </w:p>
              </w:tc>
              <w:tc>
                <w:tcPr>
                  <w:tcW w:w="696" w:type="pct"/>
                  <w:vMerge w:val="restart"/>
                  <w:vAlign w:val="center"/>
                </w:tcPr>
                <w:p w14:paraId="75EABA70" w14:textId="77777777" w:rsidR="00F76A63" w:rsidRDefault="00000000">
                  <w:pPr>
                    <w:adjustRightInd w:val="0"/>
                    <w:snapToGrid w:val="0"/>
                    <w:contextualSpacing/>
                    <w:jc w:val="center"/>
                    <w:rPr>
                      <w:sz w:val="18"/>
                      <w:szCs w:val="18"/>
                    </w:rPr>
                  </w:pPr>
                  <w:r>
                    <w:rPr>
                      <w:sz w:val="18"/>
                      <w:szCs w:val="18"/>
                    </w:rPr>
                    <w:t>/</w:t>
                  </w:r>
                </w:p>
              </w:tc>
            </w:tr>
            <w:tr w:rsidR="00F76A63" w14:paraId="1C0D9DF3" w14:textId="77777777">
              <w:trPr>
                <w:trHeight w:val="340"/>
                <w:jc w:val="center"/>
              </w:trPr>
              <w:tc>
                <w:tcPr>
                  <w:tcW w:w="582" w:type="pct"/>
                  <w:vMerge/>
                  <w:vAlign w:val="center"/>
                </w:tcPr>
                <w:p w14:paraId="04EA6A33" w14:textId="77777777" w:rsidR="00F76A63" w:rsidRDefault="00F76A63">
                  <w:pPr>
                    <w:adjustRightInd w:val="0"/>
                    <w:snapToGrid w:val="0"/>
                    <w:contextualSpacing/>
                    <w:jc w:val="center"/>
                    <w:rPr>
                      <w:sz w:val="18"/>
                      <w:szCs w:val="18"/>
                    </w:rPr>
                  </w:pPr>
                </w:p>
              </w:tc>
              <w:tc>
                <w:tcPr>
                  <w:tcW w:w="798" w:type="pct"/>
                  <w:vMerge/>
                  <w:vAlign w:val="center"/>
                </w:tcPr>
                <w:p w14:paraId="2FF8E2EC" w14:textId="77777777" w:rsidR="00F76A63" w:rsidRDefault="00F76A63">
                  <w:pPr>
                    <w:adjustRightInd w:val="0"/>
                    <w:snapToGrid w:val="0"/>
                    <w:contextualSpacing/>
                    <w:jc w:val="center"/>
                    <w:rPr>
                      <w:sz w:val="18"/>
                      <w:szCs w:val="18"/>
                    </w:rPr>
                  </w:pPr>
                </w:p>
              </w:tc>
              <w:tc>
                <w:tcPr>
                  <w:tcW w:w="1302" w:type="pct"/>
                  <w:vMerge/>
                  <w:vAlign w:val="center"/>
                </w:tcPr>
                <w:p w14:paraId="7A263AA4" w14:textId="77777777" w:rsidR="00F76A63" w:rsidRDefault="00F76A63">
                  <w:pPr>
                    <w:adjustRightInd w:val="0"/>
                    <w:snapToGrid w:val="0"/>
                    <w:contextualSpacing/>
                    <w:jc w:val="center"/>
                    <w:rPr>
                      <w:sz w:val="18"/>
                      <w:szCs w:val="18"/>
                    </w:rPr>
                  </w:pPr>
                </w:p>
              </w:tc>
              <w:tc>
                <w:tcPr>
                  <w:tcW w:w="699" w:type="pct"/>
                  <w:vAlign w:val="center"/>
                </w:tcPr>
                <w:p w14:paraId="27A4ADA6"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73A68DBF" w14:textId="77777777" w:rsidR="00F76A63" w:rsidRDefault="00000000">
                  <w:pPr>
                    <w:adjustRightInd w:val="0"/>
                    <w:snapToGrid w:val="0"/>
                    <w:contextualSpacing/>
                    <w:jc w:val="center"/>
                    <w:rPr>
                      <w:rFonts w:eastAsia="Arial Unicode MS"/>
                      <w:sz w:val="18"/>
                      <w:szCs w:val="18"/>
                    </w:rPr>
                  </w:pPr>
                  <w:r>
                    <w:rPr>
                      <w:rFonts w:hint="eastAsia"/>
                      <w:sz w:val="18"/>
                      <w:szCs w:val="18"/>
                    </w:rPr>
                    <w:t>2.72</w:t>
                  </w:r>
                </w:p>
              </w:tc>
              <w:tc>
                <w:tcPr>
                  <w:tcW w:w="696" w:type="pct"/>
                  <w:vMerge/>
                  <w:vAlign w:val="center"/>
                </w:tcPr>
                <w:p w14:paraId="5798CD6C" w14:textId="77777777" w:rsidR="00F76A63" w:rsidRDefault="00F76A63">
                  <w:pPr>
                    <w:adjustRightInd w:val="0"/>
                    <w:snapToGrid w:val="0"/>
                    <w:contextualSpacing/>
                    <w:jc w:val="center"/>
                    <w:rPr>
                      <w:sz w:val="18"/>
                      <w:szCs w:val="18"/>
                    </w:rPr>
                  </w:pPr>
                </w:p>
              </w:tc>
            </w:tr>
            <w:tr w:rsidR="00F76A63" w14:paraId="7976FD5B" w14:textId="77777777">
              <w:trPr>
                <w:trHeight w:val="340"/>
                <w:jc w:val="center"/>
              </w:trPr>
              <w:tc>
                <w:tcPr>
                  <w:tcW w:w="582" w:type="pct"/>
                  <w:vMerge/>
                  <w:vAlign w:val="center"/>
                </w:tcPr>
                <w:p w14:paraId="51713477" w14:textId="77777777" w:rsidR="00F76A63" w:rsidRDefault="00F76A63">
                  <w:pPr>
                    <w:adjustRightInd w:val="0"/>
                    <w:snapToGrid w:val="0"/>
                    <w:contextualSpacing/>
                    <w:jc w:val="center"/>
                    <w:rPr>
                      <w:sz w:val="18"/>
                      <w:szCs w:val="18"/>
                    </w:rPr>
                  </w:pPr>
                </w:p>
              </w:tc>
              <w:tc>
                <w:tcPr>
                  <w:tcW w:w="798" w:type="pct"/>
                  <w:vMerge/>
                  <w:vAlign w:val="center"/>
                </w:tcPr>
                <w:p w14:paraId="7EF6941D" w14:textId="77777777" w:rsidR="00F76A63" w:rsidRDefault="00F76A63">
                  <w:pPr>
                    <w:adjustRightInd w:val="0"/>
                    <w:snapToGrid w:val="0"/>
                    <w:contextualSpacing/>
                    <w:jc w:val="center"/>
                    <w:rPr>
                      <w:sz w:val="18"/>
                      <w:szCs w:val="18"/>
                    </w:rPr>
                  </w:pPr>
                </w:p>
              </w:tc>
              <w:tc>
                <w:tcPr>
                  <w:tcW w:w="1302" w:type="pct"/>
                  <w:vMerge/>
                  <w:vAlign w:val="center"/>
                </w:tcPr>
                <w:p w14:paraId="549D2966" w14:textId="77777777" w:rsidR="00F76A63" w:rsidRDefault="00F76A63">
                  <w:pPr>
                    <w:adjustRightInd w:val="0"/>
                    <w:snapToGrid w:val="0"/>
                    <w:contextualSpacing/>
                    <w:jc w:val="center"/>
                    <w:rPr>
                      <w:sz w:val="18"/>
                      <w:szCs w:val="18"/>
                    </w:rPr>
                  </w:pPr>
                </w:p>
              </w:tc>
              <w:tc>
                <w:tcPr>
                  <w:tcW w:w="699" w:type="pct"/>
                  <w:vAlign w:val="center"/>
                </w:tcPr>
                <w:p w14:paraId="2C4A1A7A"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31E68DCB" w14:textId="77777777" w:rsidR="00F76A63" w:rsidRDefault="00000000">
                  <w:pPr>
                    <w:adjustRightInd w:val="0"/>
                    <w:snapToGrid w:val="0"/>
                    <w:contextualSpacing/>
                    <w:jc w:val="center"/>
                    <w:rPr>
                      <w:rFonts w:eastAsia="Arial Unicode MS"/>
                      <w:sz w:val="18"/>
                      <w:szCs w:val="18"/>
                    </w:rPr>
                  </w:pPr>
                  <w:r>
                    <w:rPr>
                      <w:rFonts w:hint="eastAsia"/>
                      <w:sz w:val="18"/>
                      <w:szCs w:val="18"/>
                    </w:rPr>
                    <w:t>2.83</w:t>
                  </w:r>
                </w:p>
              </w:tc>
              <w:tc>
                <w:tcPr>
                  <w:tcW w:w="696" w:type="pct"/>
                  <w:vMerge/>
                  <w:vAlign w:val="center"/>
                </w:tcPr>
                <w:p w14:paraId="74DA658E" w14:textId="77777777" w:rsidR="00F76A63" w:rsidRDefault="00F76A63">
                  <w:pPr>
                    <w:adjustRightInd w:val="0"/>
                    <w:snapToGrid w:val="0"/>
                    <w:contextualSpacing/>
                    <w:jc w:val="center"/>
                    <w:rPr>
                      <w:sz w:val="18"/>
                      <w:szCs w:val="18"/>
                    </w:rPr>
                  </w:pPr>
                </w:p>
              </w:tc>
            </w:tr>
            <w:tr w:rsidR="00F76A63" w14:paraId="5FE1CD15" w14:textId="77777777">
              <w:trPr>
                <w:trHeight w:val="340"/>
                <w:jc w:val="center"/>
              </w:trPr>
              <w:tc>
                <w:tcPr>
                  <w:tcW w:w="582" w:type="pct"/>
                  <w:vMerge/>
                  <w:vAlign w:val="center"/>
                </w:tcPr>
                <w:p w14:paraId="64E2872A" w14:textId="77777777" w:rsidR="00F76A63" w:rsidRDefault="00F76A63">
                  <w:pPr>
                    <w:adjustRightInd w:val="0"/>
                    <w:snapToGrid w:val="0"/>
                    <w:contextualSpacing/>
                    <w:jc w:val="center"/>
                    <w:rPr>
                      <w:sz w:val="18"/>
                      <w:szCs w:val="18"/>
                    </w:rPr>
                  </w:pPr>
                </w:p>
              </w:tc>
              <w:tc>
                <w:tcPr>
                  <w:tcW w:w="798" w:type="pct"/>
                  <w:vMerge w:val="restart"/>
                  <w:vAlign w:val="center"/>
                </w:tcPr>
                <w:p w14:paraId="616840E1" w14:textId="77777777" w:rsidR="00F76A63" w:rsidRDefault="00000000">
                  <w:pPr>
                    <w:adjustRightInd w:val="0"/>
                    <w:snapToGrid w:val="0"/>
                    <w:contextualSpacing/>
                    <w:jc w:val="center"/>
                    <w:rPr>
                      <w:sz w:val="18"/>
                      <w:szCs w:val="18"/>
                    </w:rPr>
                  </w:pPr>
                  <w:r>
                    <w:rPr>
                      <w:sz w:val="18"/>
                      <w:szCs w:val="18"/>
                    </w:rPr>
                    <w:t>202</w:t>
                  </w:r>
                  <w:r>
                    <w:rPr>
                      <w:rFonts w:hint="eastAsia"/>
                      <w:sz w:val="18"/>
                      <w:szCs w:val="18"/>
                    </w:rPr>
                    <w:t>603</w:t>
                  </w:r>
                </w:p>
              </w:tc>
              <w:tc>
                <w:tcPr>
                  <w:tcW w:w="1302" w:type="pct"/>
                  <w:vMerge w:val="restart"/>
                  <w:vAlign w:val="center"/>
                </w:tcPr>
                <w:p w14:paraId="778DE3C8" w14:textId="77777777" w:rsidR="00F76A63" w:rsidRDefault="00000000">
                  <w:pPr>
                    <w:adjustRightInd w:val="0"/>
                    <w:snapToGrid w:val="0"/>
                    <w:contextualSpacing/>
                    <w:jc w:val="center"/>
                    <w:rPr>
                      <w:sz w:val="18"/>
                      <w:szCs w:val="18"/>
                    </w:rPr>
                  </w:pPr>
                  <w:r>
                    <w:rPr>
                      <w:rFonts w:hint="eastAsia"/>
                      <w:sz w:val="18"/>
                      <w:szCs w:val="18"/>
                    </w:rPr>
                    <w:t>308610.13</w:t>
                  </w:r>
                </w:p>
              </w:tc>
              <w:tc>
                <w:tcPr>
                  <w:tcW w:w="699" w:type="pct"/>
                  <w:vAlign w:val="center"/>
                </w:tcPr>
                <w:p w14:paraId="19686D04" w14:textId="77777777" w:rsidR="00F76A63" w:rsidRDefault="00000000">
                  <w:pPr>
                    <w:adjustRightInd w:val="0"/>
                    <w:snapToGrid w:val="0"/>
                    <w:contextualSpacing/>
                    <w:jc w:val="center"/>
                    <w:rPr>
                      <w:sz w:val="18"/>
                      <w:szCs w:val="18"/>
                    </w:rPr>
                  </w:pPr>
                  <w:r>
                    <w:rPr>
                      <w:rFonts w:hint="eastAsia"/>
                      <w:sz w:val="18"/>
                      <w:szCs w:val="18"/>
                    </w:rPr>
                    <w:t>最大值</w:t>
                  </w:r>
                </w:p>
              </w:tc>
              <w:tc>
                <w:tcPr>
                  <w:tcW w:w="923" w:type="pct"/>
                  <w:vAlign w:val="center"/>
                </w:tcPr>
                <w:p w14:paraId="562AE195" w14:textId="77777777" w:rsidR="00F76A63" w:rsidRDefault="00000000">
                  <w:pPr>
                    <w:adjustRightInd w:val="0"/>
                    <w:snapToGrid w:val="0"/>
                    <w:contextualSpacing/>
                    <w:jc w:val="center"/>
                    <w:rPr>
                      <w:rFonts w:eastAsia="Arial Unicode MS"/>
                      <w:sz w:val="18"/>
                      <w:szCs w:val="18"/>
                    </w:rPr>
                  </w:pPr>
                  <w:r>
                    <w:rPr>
                      <w:rFonts w:hint="eastAsia"/>
                      <w:sz w:val="18"/>
                      <w:szCs w:val="18"/>
                    </w:rPr>
                    <w:t>2.83</w:t>
                  </w:r>
                </w:p>
              </w:tc>
              <w:tc>
                <w:tcPr>
                  <w:tcW w:w="696" w:type="pct"/>
                  <w:vMerge w:val="restart"/>
                  <w:vAlign w:val="center"/>
                </w:tcPr>
                <w:p w14:paraId="461CF4A2" w14:textId="77777777" w:rsidR="00F76A63" w:rsidRDefault="00000000">
                  <w:pPr>
                    <w:adjustRightInd w:val="0"/>
                    <w:snapToGrid w:val="0"/>
                    <w:contextualSpacing/>
                    <w:jc w:val="center"/>
                    <w:rPr>
                      <w:sz w:val="18"/>
                      <w:szCs w:val="18"/>
                    </w:rPr>
                  </w:pPr>
                  <w:r>
                    <w:rPr>
                      <w:sz w:val="18"/>
                      <w:szCs w:val="18"/>
                    </w:rPr>
                    <w:t>/</w:t>
                  </w:r>
                </w:p>
              </w:tc>
            </w:tr>
            <w:tr w:rsidR="00F76A63" w14:paraId="72246DAE" w14:textId="77777777">
              <w:trPr>
                <w:trHeight w:val="340"/>
                <w:jc w:val="center"/>
              </w:trPr>
              <w:tc>
                <w:tcPr>
                  <w:tcW w:w="582" w:type="pct"/>
                  <w:vMerge/>
                  <w:vAlign w:val="center"/>
                </w:tcPr>
                <w:p w14:paraId="74857D7C" w14:textId="77777777" w:rsidR="00F76A63" w:rsidRDefault="00F76A63">
                  <w:pPr>
                    <w:adjustRightInd w:val="0"/>
                    <w:snapToGrid w:val="0"/>
                    <w:contextualSpacing/>
                    <w:jc w:val="center"/>
                    <w:rPr>
                      <w:sz w:val="18"/>
                      <w:szCs w:val="18"/>
                    </w:rPr>
                  </w:pPr>
                </w:p>
              </w:tc>
              <w:tc>
                <w:tcPr>
                  <w:tcW w:w="798" w:type="pct"/>
                  <w:vMerge/>
                  <w:vAlign w:val="center"/>
                </w:tcPr>
                <w:p w14:paraId="402BFC9A" w14:textId="77777777" w:rsidR="00F76A63" w:rsidRDefault="00F76A63">
                  <w:pPr>
                    <w:adjustRightInd w:val="0"/>
                    <w:snapToGrid w:val="0"/>
                    <w:contextualSpacing/>
                    <w:jc w:val="center"/>
                    <w:rPr>
                      <w:sz w:val="18"/>
                      <w:szCs w:val="18"/>
                    </w:rPr>
                  </w:pPr>
                </w:p>
              </w:tc>
              <w:tc>
                <w:tcPr>
                  <w:tcW w:w="1302" w:type="pct"/>
                  <w:vMerge/>
                  <w:vAlign w:val="center"/>
                </w:tcPr>
                <w:p w14:paraId="728671D7" w14:textId="77777777" w:rsidR="00F76A63" w:rsidRDefault="00F76A63">
                  <w:pPr>
                    <w:adjustRightInd w:val="0"/>
                    <w:snapToGrid w:val="0"/>
                    <w:contextualSpacing/>
                    <w:jc w:val="center"/>
                    <w:rPr>
                      <w:sz w:val="18"/>
                      <w:szCs w:val="18"/>
                    </w:rPr>
                  </w:pPr>
                </w:p>
              </w:tc>
              <w:tc>
                <w:tcPr>
                  <w:tcW w:w="699" w:type="pct"/>
                  <w:vAlign w:val="center"/>
                </w:tcPr>
                <w:p w14:paraId="2ACA3367" w14:textId="77777777" w:rsidR="00F76A63" w:rsidRDefault="00000000">
                  <w:pPr>
                    <w:adjustRightInd w:val="0"/>
                    <w:snapToGrid w:val="0"/>
                    <w:contextualSpacing/>
                    <w:jc w:val="center"/>
                    <w:rPr>
                      <w:sz w:val="18"/>
                      <w:szCs w:val="18"/>
                    </w:rPr>
                  </w:pPr>
                  <w:r>
                    <w:rPr>
                      <w:rFonts w:hint="eastAsia"/>
                      <w:sz w:val="18"/>
                      <w:szCs w:val="18"/>
                    </w:rPr>
                    <w:t>最小值</w:t>
                  </w:r>
                </w:p>
              </w:tc>
              <w:tc>
                <w:tcPr>
                  <w:tcW w:w="923" w:type="pct"/>
                  <w:vAlign w:val="center"/>
                </w:tcPr>
                <w:p w14:paraId="2A22B848" w14:textId="77777777" w:rsidR="00F76A63" w:rsidRDefault="00000000">
                  <w:pPr>
                    <w:adjustRightInd w:val="0"/>
                    <w:snapToGrid w:val="0"/>
                    <w:contextualSpacing/>
                    <w:jc w:val="center"/>
                    <w:rPr>
                      <w:rFonts w:eastAsia="Arial Unicode MS"/>
                      <w:sz w:val="18"/>
                      <w:szCs w:val="18"/>
                    </w:rPr>
                  </w:pPr>
                  <w:r>
                    <w:rPr>
                      <w:rFonts w:hint="eastAsia"/>
                      <w:sz w:val="18"/>
                      <w:szCs w:val="18"/>
                    </w:rPr>
                    <w:t>2.49</w:t>
                  </w:r>
                </w:p>
              </w:tc>
              <w:tc>
                <w:tcPr>
                  <w:tcW w:w="696" w:type="pct"/>
                  <w:vMerge/>
                  <w:vAlign w:val="center"/>
                </w:tcPr>
                <w:p w14:paraId="11046F09" w14:textId="77777777" w:rsidR="00F76A63" w:rsidRDefault="00F76A63">
                  <w:pPr>
                    <w:adjustRightInd w:val="0"/>
                    <w:snapToGrid w:val="0"/>
                    <w:contextualSpacing/>
                    <w:jc w:val="center"/>
                    <w:rPr>
                      <w:sz w:val="18"/>
                      <w:szCs w:val="18"/>
                    </w:rPr>
                  </w:pPr>
                </w:p>
              </w:tc>
            </w:tr>
            <w:tr w:rsidR="00F76A63" w14:paraId="76FC8B24" w14:textId="77777777">
              <w:trPr>
                <w:trHeight w:val="340"/>
                <w:jc w:val="center"/>
              </w:trPr>
              <w:tc>
                <w:tcPr>
                  <w:tcW w:w="582" w:type="pct"/>
                  <w:vMerge/>
                  <w:vAlign w:val="center"/>
                </w:tcPr>
                <w:p w14:paraId="7A909C00" w14:textId="77777777" w:rsidR="00F76A63" w:rsidRDefault="00F76A63">
                  <w:pPr>
                    <w:adjustRightInd w:val="0"/>
                    <w:snapToGrid w:val="0"/>
                    <w:contextualSpacing/>
                    <w:jc w:val="center"/>
                    <w:rPr>
                      <w:sz w:val="18"/>
                      <w:szCs w:val="18"/>
                    </w:rPr>
                  </w:pPr>
                </w:p>
              </w:tc>
              <w:tc>
                <w:tcPr>
                  <w:tcW w:w="798" w:type="pct"/>
                  <w:vMerge/>
                  <w:vAlign w:val="center"/>
                </w:tcPr>
                <w:p w14:paraId="18BDAC81" w14:textId="77777777" w:rsidR="00F76A63" w:rsidRDefault="00F76A63">
                  <w:pPr>
                    <w:adjustRightInd w:val="0"/>
                    <w:snapToGrid w:val="0"/>
                    <w:contextualSpacing/>
                    <w:jc w:val="center"/>
                    <w:rPr>
                      <w:sz w:val="18"/>
                      <w:szCs w:val="18"/>
                    </w:rPr>
                  </w:pPr>
                </w:p>
              </w:tc>
              <w:tc>
                <w:tcPr>
                  <w:tcW w:w="1302" w:type="pct"/>
                  <w:vMerge/>
                  <w:vAlign w:val="center"/>
                </w:tcPr>
                <w:p w14:paraId="3F8F981F" w14:textId="77777777" w:rsidR="00F76A63" w:rsidRDefault="00F76A63">
                  <w:pPr>
                    <w:adjustRightInd w:val="0"/>
                    <w:snapToGrid w:val="0"/>
                    <w:contextualSpacing/>
                    <w:jc w:val="center"/>
                    <w:rPr>
                      <w:sz w:val="18"/>
                      <w:szCs w:val="18"/>
                    </w:rPr>
                  </w:pPr>
                </w:p>
              </w:tc>
              <w:tc>
                <w:tcPr>
                  <w:tcW w:w="699" w:type="pct"/>
                  <w:vAlign w:val="center"/>
                </w:tcPr>
                <w:p w14:paraId="02CBAD24" w14:textId="77777777" w:rsidR="00F76A63" w:rsidRDefault="00000000">
                  <w:pPr>
                    <w:adjustRightInd w:val="0"/>
                    <w:snapToGrid w:val="0"/>
                    <w:contextualSpacing/>
                    <w:jc w:val="center"/>
                    <w:rPr>
                      <w:sz w:val="18"/>
                      <w:szCs w:val="18"/>
                    </w:rPr>
                  </w:pPr>
                  <w:r>
                    <w:rPr>
                      <w:rFonts w:hint="eastAsia"/>
                      <w:sz w:val="18"/>
                      <w:szCs w:val="18"/>
                    </w:rPr>
                    <w:t>平均值</w:t>
                  </w:r>
                </w:p>
              </w:tc>
              <w:tc>
                <w:tcPr>
                  <w:tcW w:w="923" w:type="pct"/>
                  <w:vAlign w:val="center"/>
                </w:tcPr>
                <w:p w14:paraId="5ABDE351" w14:textId="77777777" w:rsidR="00F76A63" w:rsidRDefault="00000000">
                  <w:pPr>
                    <w:adjustRightInd w:val="0"/>
                    <w:snapToGrid w:val="0"/>
                    <w:contextualSpacing/>
                    <w:jc w:val="center"/>
                    <w:rPr>
                      <w:rFonts w:eastAsia="Arial Unicode MS"/>
                      <w:sz w:val="18"/>
                      <w:szCs w:val="18"/>
                    </w:rPr>
                  </w:pPr>
                  <w:r>
                    <w:rPr>
                      <w:rFonts w:hint="eastAsia"/>
                      <w:sz w:val="18"/>
                      <w:szCs w:val="18"/>
                    </w:rPr>
                    <w:t>2.66</w:t>
                  </w:r>
                </w:p>
              </w:tc>
              <w:tc>
                <w:tcPr>
                  <w:tcW w:w="696" w:type="pct"/>
                  <w:vMerge/>
                  <w:vAlign w:val="center"/>
                </w:tcPr>
                <w:p w14:paraId="41C67ED5" w14:textId="77777777" w:rsidR="00F76A63" w:rsidRDefault="00F76A63">
                  <w:pPr>
                    <w:adjustRightInd w:val="0"/>
                    <w:snapToGrid w:val="0"/>
                    <w:contextualSpacing/>
                    <w:jc w:val="center"/>
                    <w:rPr>
                      <w:sz w:val="18"/>
                      <w:szCs w:val="18"/>
                    </w:rPr>
                  </w:pPr>
                </w:p>
              </w:tc>
            </w:tr>
          </w:tbl>
          <w:p w14:paraId="5172D525" w14:textId="77777777" w:rsidR="00F76A63" w:rsidRDefault="00000000">
            <w:pPr>
              <w:adjustRightInd w:val="0"/>
              <w:snapToGrid w:val="0"/>
              <w:spacing w:line="500" w:lineRule="exact"/>
              <w:ind w:firstLineChars="200" w:firstLine="480"/>
              <w:rPr>
                <w:sz w:val="24"/>
              </w:rPr>
            </w:pPr>
            <w:r>
              <w:rPr>
                <w:sz w:val="24"/>
              </w:rPr>
              <w:t>从在线监测数据上来看，</w:t>
            </w:r>
            <w:r>
              <w:rPr>
                <w:sz w:val="24"/>
              </w:rPr>
              <w:t>2024</w:t>
            </w:r>
            <w:r>
              <w:rPr>
                <w:sz w:val="24"/>
              </w:rPr>
              <w:t>年</w:t>
            </w:r>
            <w:r>
              <w:rPr>
                <w:rFonts w:hint="eastAsia"/>
                <w:sz w:val="24"/>
              </w:rPr>
              <w:t>1</w:t>
            </w:r>
            <w:r>
              <w:rPr>
                <w:sz w:val="24"/>
              </w:rPr>
              <w:t>月至</w:t>
            </w:r>
            <w:r>
              <w:rPr>
                <w:sz w:val="24"/>
              </w:rPr>
              <w:t>202</w:t>
            </w:r>
            <w:r>
              <w:rPr>
                <w:rFonts w:hint="eastAsia"/>
                <w:sz w:val="24"/>
              </w:rPr>
              <w:t>6</w:t>
            </w:r>
            <w:r>
              <w:rPr>
                <w:sz w:val="24"/>
              </w:rPr>
              <w:t>年</w:t>
            </w:r>
            <w:r>
              <w:rPr>
                <w:rFonts w:hint="eastAsia"/>
                <w:sz w:val="24"/>
              </w:rPr>
              <w:t>3</w:t>
            </w:r>
            <w:r>
              <w:rPr>
                <w:rFonts w:hint="eastAsia"/>
                <w:sz w:val="24"/>
              </w:rPr>
              <w:t>月</w:t>
            </w:r>
            <w:r>
              <w:rPr>
                <w:sz w:val="24"/>
              </w:rPr>
              <w:t>1#</w:t>
            </w:r>
            <w:r>
              <w:rPr>
                <w:sz w:val="24"/>
              </w:rPr>
              <w:t>和</w:t>
            </w:r>
            <w:r>
              <w:rPr>
                <w:sz w:val="24"/>
              </w:rPr>
              <w:t>2#</w:t>
            </w:r>
            <w:r>
              <w:rPr>
                <w:sz w:val="24"/>
              </w:rPr>
              <w:t>窑头颗粒物、窑尾颗粒物、</w:t>
            </w:r>
            <w:r>
              <w:rPr>
                <w:sz w:val="24"/>
              </w:rPr>
              <w:t>SO</w:t>
            </w:r>
            <w:r>
              <w:rPr>
                <w:sz w:val="24"/>
                <w:vertAlign w:val="subscript"/>
              </w:rPr>
              <w:t>2</w:t>
            </w:r>
            <w:r>
              <w:rPr>
                <w:sz w:val="24"/>
              </w:rPr>
              <w:t>、</w:t>
            </w:r>
            <w:r>
              <w:rPr>
                <w:sz w:val="24"/>
              </w:rPr>
              <w:t>NO</w:t>
            </w:r>
            <w:r>
              <w:rPr>
                <w:sz w:val="24"/>
                <w:vertAlign w:val="subscript"/>
              </w:rPr>
              <w:t>x</w:t>
            </w:r>
            <w:r>
              <w:rPr>
                <w:sz w:val="24"/>
              </w:rPr>
              <w:t>的平均排放浓度均符合《水泥工业大气污染物排放标准》（</w:t>
            </w:r>
            <w:r>
              <w:rPr>
                <w:sz w:val="24"/>
              </w:rPr>
              <w:t>DB 32/4149-2021</w:t>
            </w:r>
            <w:r>
              <w:rPr>
                <w:sz w:val="24"/>
              </w:rPr>
              <w:t>）中表</w:t>
            </w:r>
            <w:r>
              <w:rPr>
                <w:sz w:val="24"/>
              </w:rPr>
              <w:t>1 Ⅱ</w:t>
            </w:r>
            <w:r>
              <w:rPr>
                <w:sz w:val="24"/>
              </w:rPr>
              <w:t>阶段排放限值要求。</w:t>
            </w:r>
          </w:p>
          <w:p w14:paraId="3D67CA07" w14:textId="77777777" w:rsidR="00F76A63" w:rsidRDefault="00000000">
            <w:pPr>
              <w:spacing w:line="500" w:lineRule="exact"/>
              <w:ind w:firstLineChars="200" w:firstLine="480"/>
              <w:rPr>
                <w:bCs/>
                <w:sz w:val="24"/>
              </w:rPr>
            </w:pPr>
            <w:r>
              <w:rPr>
                <w:bCs/>
                <w:sz w:val="24"/>
              </w:rPr>
              <w:t>未安装在线监测装置的其他污染因子，</w:t>
            </w:r>
            <w:r>
              <w:rPr>
                <w:rFonts w:hint="eastAsia"/>
                <w:bCs/>
                <w:sz w:val="24"/>
              </w:rPr>
              <w:t>企业</w:t>
            </w:r>
            <w:r>
              <w:rPr>
                <w:bCs/>
                <w:sz w:val="24"/>
              </w:rPr>
              <w:t>按照自行监测方案的监测频次，每年委托第三方开展手动自行监测。</w:t>
            </w:r>
          </w:p>
          <w:p w14:paraId="51BE435C" w14:textId="77777777" w:rsidR="00F76A63" w:rsidRDefault="00000000">
            <w:pPr>
              <w:adjustRightInd w:val="0"/>
              <w:snapToGrid w:val="0"/>
              <w:spacing w:line="500" w:lineRule="exact"/>
              <w:ind w:firstLineChars="200" w:firstLine="480"/>
              <w:rPr>
                <w:sz w:val="24"/>
              </w:rPr>
            </w:pPr>
            <w:r>
              <w:rPr>
                <w:rFonts w:hint="eastAsia"/>
                <w:sz w:val="24"/>
              </w:rPr>
              <w:t>根据企业例行检测报告</w:t>
            </w:r>
            <w:r>
              <w:rPr>
                <w:rFonts w:hint="eastAsia"/>
                <w:sz w:val="24"/>
              </w:rPr>
              <w:t>A2250309414137C-1</w:t>
            </w:r>
            <w:r>
              <w:rPr>
                <w:rFonts w:hint="eastAsia"/>
                <w:sz w:val="24"/>
              </w:rPr>
              <w:t>、</w:t>
            </w:r>
            <w:r>
              <w:rPr>
                <w:rFonts w:hint="eastAsia"/>
                <w:sz w:val="24"/>
              </w:rPr>
              <w:t>A2250309414137C-3</w:t>
            </w:r>
            <w:r>
              <w:rPr>
                <w:rFonts w:hint="eastAsia"/>
                <w:sz w:val="24"/>
              </w:rPr>
              <w:t>、</w:t>
            </w:r>
            <w:r>
              <w:rPr>
                <w:rFonts w:hint="eastAsia"/>
                <w:sz w:val="24"/>
              </w:rPr>
              <w:t>A2250309414140C-1</w:t>
            </w:r>
            <w:r>
              <w:rPr>
                <w:rFonts w:hint="eastAsia"/>
                <w:sz w:val="24"/>
              </w:rPr>
              <w:t>、</w:t>
            </w:r>
            <w:r>
              <w:rPr>
                <w:rFonts w:hint="eastAsia"/>
                <w:sz w:val="24"/>
              </w:rPr>
              <w:t>A2250309414141C</w:t>
            </w:r>
            <w:r>
              <w:rPr>
                <w:rFonts w:hint="eastAsia"/>
                <w:sz w:val="24"/>
              </w:rPr>
              <w:t>、</w:t>
            </w:r>
            <w:r>
              <w:rPr>
                <w:rFonts w:hint="eastAsia"/>
                <w:sz w:val="24"/>
              </w:rPr>
              <w:t>A2250309414139C-1</w:t>
            </w:r>
            <w:r>
              <w:rPr>
                <w:rFonts w:hint="eastAsia"/>
                <w:sz w:val="24"/>
              </w:rPr>
              <w:t>、</w:t>
            </w:r>
            <w:r>
              <w:rPr>
                <w:rFonts w:hint="eastAsia"/>
                <w:sz w:val="24"/>
              </w:rPr>
              <w:t>A2250309414138C</w:t>
            </w:r>
            <w:r>
              <w:rPr>
                <w:rFonts w:hint="eastAsia"/>
                <w:sz w:val="24"/>
              </w:rPr>
              <w:t>、</w:t>
            </w:r>
            <w:r>
              <w:rPr>
                <w:rFonts w:hint="eastAsia"/>
                <w:sz w:val="24"/>
              </w:rPr>
              <w:t>A2250312197101C-1</w:t>
            </w:r>
            <w:r>
              <w:rPr>
                <w:rFonts w:hint="eastAsia"/>
                <w:sz w:val="24"/>
              </w:rPr>
              <w:t>、</w:t>
            </w:r>
            <w:r>
              <w:rPr>
                <w:rFonts w:hint="eastAsia"/>
                <w:sz w:val="24"/>
              </w:rPr>
              <w:t>A2250312197102C-1</w:t>
            </w:r>
            <w:r>
              <w:rPr>
                <w:rFonts w:hint="eastAsia"/>
                <w:sz w:val="24"/>
              </w:rPr>
              <w:t>，采样日期</w:t>
            </w:r>
            <w:r>
              <w:rPr>
                <w:rFonts w:hint="eastAsia"/>
                <w:sz w:val="24"/>
              </w:rPr>
              <w:t>2026</w:t>
            </w:r>
            <w:r>
              <w:rPr>
                <w:rFonts w:hint="eastAsia"/>
                <w:sz w:val="24"/>
              </w:rPr>
              <w:t>年</w:t>
            </w:r>
            <w:r>
              <w:rPr>
                <w:rFonts w:hint="eastAsia"/>
                <w:sz w:val="24"/>
              </w:rPr>
              <w:t>3</w:t>
            </w:r>
            <w:r>
              <w:rPr>
                <w:rFonts w:hint="eastAsia"/>
                <w:sz w:val="24"/>
              </w:rPr>
              <w:t>月</w:t>
            </w:r>
            <w:r>
              <w:rPr>
                <w:rFonts w:hint="eastAsia"/>
                <w:sz w:val="24"/>
              </w:rPr>
              <w:t>17</w:t>
            </w:r>
            <w:r>
              <w:rPr>
                <w:rFonts w:hint="eastAsia"/>
                <w:sz w:val="24"/>
              </w:rPr>
              <w:t>日、</w:t>
            </w:r>
            <w:r>
              <w:rPr>
                <w:rFonts w:hint="eastAsia"/>
                <w:sz w:val="24"/>
              </w:rPr>
              <w:t>2026</w:t>
            </w:r>
            <w:r>
              <w:rPr>
                <w:rFonts w:hint="eastAsia"/>
                <w:sz w:val="24"/>
              </w:rPr>
              <w:t>年</w:t>
            </w:r>
            <w:r>
              <w:rPr>
                <w:rFonts w:hint="eastAsia"/>
                <w:sz w:val="24"/>
              </w:rPr>
              <w:t>3</w:t>
            </w:r>
            <w:r>
              <w:rPr>
                <w:rFonts w:hint="eastAsia"/>
                <w:sz w:val="24"/>
              </w:rPr>
              <w:t>月</w:t>
            </w:r>
            <w:r>
              <w:rPr>
                <w:rFonts w:hint="eastAsia"/>
                <w:sz w:val="24"/>
              </w:rPr>
              <w:t>31</w:t>
            </w:r>
            <w:r>
              <w:rPr>
                <w:rFonts w:hint="eastAsia"/>
                <w:sz w:val="24"/>
              </w:rPr>
              <w:t>日、</w:t>
            </w:r>
            <w:r>
              <w:rPr>
                <w:rFonts w:hint="eastAsia"/>
                <w:sz w:val="24"/>
              </w:rPr>
              <w:t>2026</w:t>
            </w:r>
            <w:r>
              <w:rPr>
                <w:rFonts w:hint="eastAsia"/>
                <w:sz w:val="24"/>
              </w:rPr>
              <w:t>年</w:t>
            </w:r>
            <w:r>
              <w:rPr>
                <w:rFonts w:hint="eastAsia"/>
                <w:sz w:val="24"/>
              </w:rPr>
              <w:t>3</w:t>
            </w:r>
            <w:r>
              <w:rPr>
                <w:rFonts w:hint="eastAsia"/>
                <w:sz w:val="24"/>
              </w:rPr>
              <w:t>月</w:t>
            </w:r>
            <w:r>
              <w:rPr>
                <w:rFonts w:hint="eastAsia"/>
                <w:sz w:val="24"/>
              </w:rPr>
              <w:t>19</w:t>
            </w:r>
            <w:r>
              <w:rPr>
                <w:rFonts w:hint="eastAsia"/>
                <w:sz w:val="24"/>
              </w:rPr>
              <w:t>日、</w:t>
            </w:r>
            <w:r>
              <w:rPr>
                <w:rFonts w:hint="eastAsia"/>
                <w:sz w:val="24"/>
              </w:rPr>
              <w:t>2026</w:t>
            </w:r>
            <w:r>
              <w:rPr>
                <w:rFonts w:hint="eastAsia"/>
                <w:sz w:val="24"/>
              </w:rPr>
              <w:t>年</w:t>
            </w:r>
            <w:r>
              <w:rPr>
                <w:rFonts w:hint="eastAsia"/>
                <w:sz w:val="24"/>
              </w:rPr>
              <w:t>1</w:t>
            </w:r>
            <w:r>
              <w:rPr>
                <w:rFonts w:hint="eastAsia"/>
                <w:sz w:val="24"/>
              </w:rPr>
              <w:t>月</w:t>
            </w:r>
            <w:r>
              <w:rPr>
                <w:rFonts w:hint="eastAsia"/>
                <w:sz w:val="24"/>
              </w:rPr>
              <w:t>24</w:t>
            </w:r>
            <w:r>
              <w:rPr>
                <w:rFonts w:hint="eastAsia"/>
                <w:sz w:val="24"/>
              </w:rPr>
              <w:t>日、</w:t>
            </w:r>
            <w:r>
              <w:rPr>
                <w:rFonts w:hint="eastAsia"/>
                <w:sz w:val="24"/>
              </w:rPr>
              <w:t>2026</w:t>
            </w:r>
            <w:r>
              <w:rPr>
                <w:rFonts w:hint="eastAsia"/>
                <w:sz w:val="24"/>
              </w:rPr>
              <w:t>年</w:t>
            </w:r>
            <w:r>
              <w:rPr>
                <w:rFonts w:hint="eastAsia"/>
                <w:sz w:val="24"/>
              </w:rPr>
              <w:t>1</w:t>
            </w:r>
            <w:r>
              <w:rPr>
                <w:rFonts w:hint="eastAsia"/>
                <w:sz w:val="24"/>
              </w:rPr>
              <w:t>月</w:t>
            </w:r>
            <w:r>
              <w:rPr>
                <w:rFonts w:hint="eastAsia"/>
                <w:sz w:val="24"/>
              </w:rPr>
              <w:t>25</w:t>
            </w:r>
            <w:r>
              <w:rPr>
                <w:rFonts w:hint="eastAsia"/>
                <w:sz w:val="24"/>
              </w:rPr>
              <w:t>日。企业窑头及窑尾有组织废气具体监测情况见表</w:t>
            </w:r>
            <w:r>
              <w:rPr>
                <w:rFonts w:hint="eastAsia"/>
                <w:sz w:val="24"/>
              </w:rPr>
              <w:t>2-48~</w:t>
            </w:r>
            <w:r>
              <w:rPr>
                <w:rFonts w:hint="eastAsia"/>
                <w:sz w:val="24"/>
              </w:rPr>
              <w:t>表</w:t>
            </w:r>
            <w:r>
              <w:rPr>
                <w:rFonts w:hint="eastAsia"/>
                <w:sz w:val="24"/>
              </w:rPr>
              <w:t>2-51</w:t>
            </w:r>
            <w:r>
              <w:rPr>
                <w:rFonts w:hint="eastAsia"/>
                <w:sz w:val="24"/>
              </w:rPr>
              <w:t>。</w:t>
            </w:r>
          </w:p>
          <w:p w14:paraId="0B2B11F1" w14:textId="77777777" w:rsidR="00F76A63" w:rsidRDefault="00000000">
            <w:pPr>
              <w:adjustRightInd w:val="0"/>
              <w:snapToGrid w:val="0"/>
              <w:spacing w:line="500" w:lineRule="exact"/>
              <w:jc w:val="center"/>
              <w:rPr>
                <w:b/>
                <w:sz w:val="24"/>
              </w:rPr>
            </w:pPr>
            <w:r>
              <w:rPr>
                <w:rFonts w:hint="eastAsia"/>
                <w:b/>
                <w:sz w:val="24"/>
              </w:rPr>
              <w:lastRenderedPageBreak/>
              <w:t>表</w:t>
            </w:r>
            <w:r>
              <w:rPr>
                <w:b/>
                <w:sz w:val="24"/>
              </w:rPr>
              <w:t>2-4</w:t>
            </w:r>
            <w:r>
              <w:rPr>
                <w:rFonts w:hint="eastAsia"/>
                <w:b/>
                <w:sz w:val="24"/>
              </w:rPr>
              <w:t>8</w:t>
            </w:r>
            <w:r>
              <w:rPr>
                <w:b/>
                <w:sz w:val="24"/>
              </w:rPr>
              <w:t xml:space="preserve">  1#</w:t>
            </w:r>
            <w:r>
              <w:rPr>
                <w:b/>
                <w:sz w:val="24"/>
              </w:rPr>
              <w:t>熟料生产窑头有组织废气监测结果</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621"/>
              <w:gridCol w:w="1567"/>
              <w:gridCol w:w="1122"/>
              <w:gridCol w:w="1195"/>
              <w:gridCol w:w="1083"/>
              <w:gridCol w:w="1508"/>
              <w:gridCol w:w="1081"/>
            </w:tblGrid>
            <w:tr w:rsidR="00F76A63" w14:paraId="1CF476FC" w14:textId="77777777">
              <w:trPr>
                <w:trHeight w:val="340"/>
                <w:jc w:val="center"/>
              </w:trPr>
              <w:tc>
                <w:tcPr>
                  <w:tcW w:w="1338" w:type="pct"/>
                  <w:gridSpan w:val="2"/>
                  <w:vMerge w:val="restart"/>
                  <w:vAlign w:val="center"/>
                </w:tcPr>
                <w:p w14:paraId="0E5C0526" w14:textId="77777777" w:rsidR="00F76A63" w:rsidRDefault="00000000">
                  <w:pPr>
                    <w:adjustRightInd w:val="0"/>
                    <w:snapToGrid w:val="0"/>
                    <w:jc w:val="center"/>
                    <w:rPr>
                      <w:b/>
                      <w:bCs/>
                      <w:sz w:val="18"/>
                      <w:szCs w:val="18"/>
                    </w:rPr>
                  </w:pPr>
                  <w:r>
                    <w:rPr>
                      <w:b/>
                      <w:bCs/>
                      <w:sz w:val="18"/>
                      <w:szCs w:val="18"/>
                    </w:rPr>
                    <w:t>检测项目</w:t>
                  </w:r>
                </w:p>
              </w:tc>
              <w:tc>
                <w:tcPr>
                  <w:tcW w:w="3662" w:type="pct"/>
                  <w:gridSpan w:val="5"/>
                  <w:vAlign w:val="center"/>
                </w:tcPr>
                <w:p w14:paraId="7B3E37ED" w14:textId="77777777" w:rsidR="00F76A63" w:rsidRDefault="00000000">
                  <w:pPr>
                    <w:adjustRightInd w:val="0"/>
                    <w:snapToGrid w:val="0"/>
                    <w:jc w:val="center"/>
                    <w:rPr>
                      <w:b/>
                      <w:bCs/>
                      <w:sz w:val="18"/>
                      <w:szCs w:val="18"/>
                    </w:rPr>
                  </w:pPr>
                  <w:r>
                    <w:rPr>
                      <w:b/>
                      <w:bCs/>
                      <w:sz w:val="18"/>
                      <w:szCs w:val="18"/>
                    </w:rPr>
                    <w:t>（</w:t>
                  </w:r>
                  <w:r>
                    <w:rPr>
                      <w:b/>
                      <w:bCs/>
                      <w:sz w:val="18"/>
                      <w:szCs w:val="18"/>
                    </w:rPr>
                    <w:t>DA007</w:t>
                  </w:r>
                  <w:r>
                    <w:rPr>
                      <w:b/>
                      <w:bCs/>
                      <w:sz w:val="18"/>
                      <w:szCs w:val="18"/>
                    </w:rPr>
                    <w:t>）</w:t>
                  </w:r>
                  <w:r>
                    <w:rPr>
                      <w:b/>
                      <w:bCs/>
                      <w:sz w:val="18"/>
                      <w:szCs w:val="18"/>
                    </w:rPr>
                    <w:t>1#</w:t>
                  </w:r>
                  <w:r>
                    <w:rPr>
                      <w:b/>
                      <w:bCs/>
                      <w:sz w:val="18"/>
                      <w:szCs w:val="18"/>
                    </w:rPr>
                    <w:t>熟料生产窑头</w:t>
                  </w:r>
                </w:p>
              </w:tc>
            </w:tr>
            <w:tr w:rsidR="00F76A63" w14:paraId="04C8199A" w14:textId="77777777">
              <w:trPr>
                <w:trHeight w:val="64"/>
                <w:jc w:val="center"/>
              </w:trPr>
              <w:tc>
                <w:tcPr>
                  <w:tcW w:w="1338" w:type="pct"/>
                  <w:gridSpan w:val="2"/>
                  <w:vMerge/>
                  <w:vAlign w:val="center"/>
                </w:tcPr>
                <w:p w14:paraId="69856CFF" w14:textId="77777777" w:rsidR="00F76A63" w:rsidRDefault="00F76A63">
                  <w:pPr>
                    <w:adjustRightInd w:val="0"/>
                    <w:snapToGrid w:val="0"/>
                    <w:jc w:val="center"/>
                    <w:rPr>
                      <w:b/>
                      <w:bCs/>
                      <w:sz w:val="18"/>
                      <w:szCs w:val="18"/>
                    </w:rPr>
                  </w:pPr>
                </w:p>
              </w:tc>
              <w:tc>
                <w:tcPr>
                  <w:tcW w:w="3662" w:type="pct"/>
                  <w:gridSpan w:val="5"/>
                  <w:vAlign w:val="center"/>
                </w:tcPr>
                <w:p w14:paraId="3EB36F78" w14:textId="77777777" w:rsidR="00F76A63" w:rsidRDefault="00000000">
                  <w:pPr>
                    <w:adjustRightInd w:val="0"/>
                    <w:snapToGrid w:val="0"/>
                    <w:jc w:val="center"/>
                    <w:rPr>
                      <w:b/>
                      <w:bCs/>
                      <w:sz w:val="18"/>
                      <w:szCs w:val="18"/>
                    </w:rPr>
                  </w:pPr>
                  <w:r>
                    <w:rPr>
                      <w:b/>
                      <w:bCs/>
                      <w:sz w:val="18"/>
                      <w:szCs w:val="18"/>
                    </w:rPr>
                    <w:t>202</w:t>
                  </w:r>
                  <w:r>
                    <w:rPr>
                      <w:rFonts w:hint="eastAsia"/>
                      <w:b/>
                      <w:bCs/>
                      <w:sz w:val="18"/>
                      <w:szCs w:val="18"/>
                    </w:rPr>
                    <w:t>6.3.19</w:t>
                  </w:r>
                </w:p>
              </w:tc>
            </w:tr>
            <w:tr w:rsidR="00F76A63" w14:paraId="733600CF" w14:textId="77777777">
              <w:trPr>
                <w:trHeight w:val="340"/>
                <w:jc w:val="center"/>
              </w:trPr>
              <w:tc>
                <w:tcPr>
                  <w:tcW w:w="1338" w:type="pct"/>
                  <w:gridSpan w:val="2"/>
                  <w:vMerge/>
                  <w:vAlign w:val="center"/>
                </w:tcPr>
                <w:p w14:paraId="0B8AD59B" w14:textId="77777777" w:rsidR="00F76A63" w:rsidRDefault="00F76A63">
                  <w:pPr>
                    <w:adjustRightInd w:val="0"/>
                    <w:snapToGrid w:val="0"/>
                    <w:jc w:val="center"/>
                    <w:rPr>
                      <w:b/>
                      <w:bCs/>
                      <w:sz w:val="18"/>
                      <w:szCs w:val="18"/>
                    </w:rPr>
                  </w:pPr>
                </w:p>
              </w:tc>
              <w:tc>
                <w:tcPr>
                  <w:tcW w:w="686" w:type="pct"/>
                  <w:vAlign w:val="center"/>
                </w:tcPr>
                <w:p w14:paraId="683158AC" w14:textId="77777777" w:rsidR="00F76A63" w:rsidRDefault="00000000">
                  <w:pPr>
                    <w:adjustRightInd w:val="0"/>
                    <w:snapToGrid w:val="0"/>
                    <w:jc w:val="center"/>
                    <w:rPr>
                      <w:b/>
                      <w:bCs/>
                      <w:sz w:val="18"/>
                      <w:szCs w:val="18"/>
                    </w:rPr>
                  </w:pPr>
                  <w:r>
                    <w:rPr>
                      <w:b/>
                      <w:bCs/>
                      <w:sz w:val="18"/>
                      <w:szCs w:val="18"/>
                    </w:rPr>
                    <w:t>第一次</w:t>
                  </w:r>
                </w:p>
              </w:tc>
              <w:tc>
                <w:tcPr>
                  <w:tcW w:w="731" w:type="pct"/>
                  <w:vAlign w:val="center"/>
                </w:tcPr>
                <w:p w14:paraId="4823B59F" w14:textId="77777777" w:rsidR="00F76A63" w:rsidRDefault="00000000">
                  <w:pPr>
                    <w:adjustRightInd w:val="0"/>
                    <w:snapToGrid w:val="0"/>
                    <w:jc w:val="center"/>
                    <w:rPr>
                      <w:b/>
                      <w:bCs/>
                      <w:sz w:val="18"/>
                      <w:szCs w:val="18"/>
                    </w:rPr>
                  </w:pPr>
                  <w:r>
                    <w:rPr>
                      <w:b/>
                      <w:bCs/>
                      <w:sz w:val="18"/>
                      <w:szCs w:val="18"/>
                    </w:rPr>
                    <w:t>第二次</w:t>
                  </w:r>
                </w:p>
              </w:tc>
              <w:tc>
                <w:tcPr>
                  <w:tcW w:w="662" w:type="pct"/>
                  <w:vAlign w:val="center"/>
                </w:tcPr>
                <w:p w14:paraId="1CFB6743" w14:textId="77777777" w:rsidR="00F76A63" w:rsidRDefault="00000000">
                  <w:pPr>
                    <w:adjustRightInd w:val="0"/>
                    <w:snapToGrid w:val="0"/>
                    <w:jc w:val="center"/>
                    <w:rPr>
                      <w:b/>
                      <w:bCs/>
                      <w:sz w:val="18"/>
                      <w:szCs w:val="18"/>
                    </w:rPr>
                  </w:pPr>
                  <w:r>
                    <w:rPr>
                      <w:b/>
                      <w:bCs/>
                      <w:sz w:val="18"/>
                      <w:szCs w:val="18"/>
                    </w:rPr>
                    <w:t>第三次</w:t>
                  </w:r>
                </w:p>
              </w:tc>
              <w:tc>
                <w:tcPr>
                  <w:tcW w:w="922" w:type="pct"/>
                  <w:vAlign w:val="center"/>
                </w:tcPr>
                <w:p w14:paraId="73B5284A" w14:textId="77777777" w:rsidR="00F76A63" w:rsidRDefault="00000000">
                  <w:pPr>
                    <w:adjustRightInd w:val="0"/>
                    <w:snapToGrid w:val="0"/>
                    <w:jc w:val="center"/>
                    <w:rPr>
                      <w:b/>
                      <w:bCs/>
                      <w:sz w:val="18"/>
                      <w:szCs w:val="18"/>
                    </w:rPr>
                  </w:pPr>
                  <w:r>
                    <w:rPr>
                      <w:b/>
                      <w:bCs/>
                      <w:sz w:val="18"/>
                      <w:szCs w:val="18"/>
                    </w:rPr>
                    <w:t>平均值</w:t>
                  </w:r>
                </w:p>
              </w:tc>
              <w:tc>
                <w:tcPr>
                  <w:tcW w:w="661" w:type="pct"/>
                  <w:vAlign w:val="center"/>
                </w:tcPr>
                <w:p w14:paraId="07D78C82" w14:textId="77777777" w:rsidR="00F76A63" w:rsidRDefault="00000000">
                  <w:pPr>
                    <w:adjustRightInd w:val="0"/>
                    <w:snapToGrid w:val="0"/>
                    <w:jc w:val="center"/>
                    <w:rPr>
                      <w:b/>
                      <w:bCs/>
                      <w:sz w:val="18"/>
                      <w:szCs w:val="18"/>
                    </w:rPr>
                  </w:pPr>
                  <w:r>
                    <w:rPr>
                      <w:b/>
                      <w:bCs/>
                      <w:sz w:val="18"/>
                      <w:szCs w:val="18"/>
                    </w:rPr>
                    <w:t>标准限值</w:t>
                  </w:r>
                </w:p>
              </w:tc>
            </w:tr>
            <w:tr w:rsidR="00F76A63" w14:paraId="0C07AD61" w14:textId="77777777">
              <w:trPr>
                <w:trHeight w:val="340"/>
                <w:jc w:val="center"/>
              </w:trPr>
              <w:tc>
                <w:tcPr>
                  <w:tcW w:w="1338" w:type="pct"/>
                  <w:gridSpan w:val="2"/>
                  <w:vAlign w:val="center"/>
                </w:tcPr>
                <w:p w14:paraId="79C9FE21" w14:textId="77777777" w:rsidR="00F76A63" w:rsidRDefault="00000000">
                  <w:pPr>
                    <w:adjustRightInd w:val="0"/>
                    <w:snapToGrid w:val="0"/>
                    <w:jc w:val="center"/>
                    <w:rPr>
                      <w:sz w:val="18"/>
                      <w:szCs w:val="18"/>
                    </w:rPr>
                  </w:pPr>
                  <w:r>
                    <w:rPr>
                      <w:sz w:val="18"/>
                      <w:szCs w:val="18"/>
                    </w:rPr>
                    <w:t>烟温（</w:t>
                  </w:r>
                  <w:r>
                    <w:rPr>
                      <w:sz w:val="18"/>
                      <w:szCs w:val="18"/>
                    </w:rPr>
                    <w:t>℃</w:t>
                  </w:r>
                  <w:r>
                    <w:rPr>
                      <w:sz w:val="18"/>
                      <w:szCs w:val="18"/>
                    </w:rPr>
                    <w:t>）</w:t>
                  </w:r>
                </w:p>
              </w:tc>
              <w:tc>
                <w:tcPr>
                  <w:tcW w:w="686" w:type="pct"/>
                  <w:vAlign w:val="center"/>
                </w:tcPr>
                <w:p w14:paraId="55273EC9" w14:textId="77777777" w:rsidR="00F76A63" w:rsidRDefault="00000000">
                  <w:pPr>
                    <w:adjustRightInd w:val="0"/>
                    <w:snapToGrid w:val="0"/>
                    <w:jc w:val="center"/>
                    <w:rPr>
                      <w:sz w:val="18"/>
                      <w:szCs w:val="18"/>
                    </w:rPr>
                  </w:pPr>
                  <w:r>
                    <w:rPr>
                      <w:rFonts w:hint="eastAsia"/>
                      <w:sz w:val="18"/>
                      <w:szCs w:val="18"/>
                    </w:rPr>
                    <w:t>79.1</w:t>
                  </w:r>
                </w:p>
              </w:tc>
              <w:tc>
                <w:tcPr>
                  <w:tcW w:w="731" w:type="pct"/>
                  <w:vAlign w:val="center"/>
                </w:tcPr>
                <w:p w14:paraId="5DA0762A" w14:textId="77777777" w:rsidR="00F76A63" w:rsidRDefault="00000000">
                  <w:pPr>
                    <w:adjustRightInd w:val="0"/>
                    <w:snapToGrid w:val="0"/>
                    <w:jc w:val="center"/>
                    <w:rPr>
                      <w:sz w:val="18"/>
                      <w:szCs w:val="18"/>
                    </w:rPr>
                  </w:pPr>
                  <w:r>
                    <w:rPr>
                      <w:rFonts w:hint="eastAsia"/>
                      <w:sz w:val="18"/>
                      <w:szCs w:val="18"/>
                    </w:rPr>
                    <w:t>78.4</w:t>
                  </w:r>
                </w:p>
              </w:tc>
              <w:tc>
                <w:tcPr>
                  <w:tcW w:w="662" w:type="pct"/>
                  <w:vAlign w:val="center"/>
                </w:tcPr>
                <w:p w14:paraId="6FE21E98" w14:textId="77777777" w:rsidR="00F76A63" w:rsidRDefault="00000000">
                  <w:pPr>
                    <w:adjustRightInd w:val="0"/>
                    <w:snapToGrid w:val="0"/>
                    <w:jc w:val="center"/>
                    <w:rPr>
                      <w:sz w:val="18"/>
                      <w:szCs w:val="18"/>
                    </w:rPr>
                  </w:pPr>
                  <w:r>
                    <w:rPr>
                      <w:rFonts w:hint="eastAsia"/>
                      <w:sz w:val="18"/>
                      <w:szCs w:val="18"/>
                    </w:rPr>
                    <w:t>78.0</w:t>
                  </w:r>
                </w:p>
              </w:tc>
              <w:tc>
                <w:tcPr>
                  <w:tcW w:w="922" w:type="pct"/>
                  <w:vAlign w:val="center"/>
                </w:tcPr>
                <w:p w14:paraId="50BC984A" w14:textId="77777777" w:rsidR="00F76A63" w:rsidRDefault="00000000">
                  <w:pPr>
                    <w:adjustRightInd w:val="0"/>
                    <w:snapToGrid w:val="0"/>
                    <w:jc w:val="center"/>
                    <w:rPr>
                      <w:sz w:val="18"/>
                      <w:szCs w:val="18"/>
                    </w:rPr>
                  </w:pPr>
                  <w:r>
                    <w:rPr>
                      <w:sz w:val="18"/>
                      <w:szCs w:val="18"/>
                    </w:rPr>
                    <w:t>-</w:t>
                  </w:r>
                </w:p>
              </w:tc>
              <w:tc>
                <w:tcPr>
                  <w:tcW w:w="661" w:type="pct"/>
                  <w:vAlign w:val="center"/>
                </w:tcPr>
                <w:p w14:paraId="6E2B3E73" w14:textId="77777777" w:rsidR="00F76A63" w:rsidRDefault="00000000">
                  <w:pPr>
                    <w:adjustRightInd w:val="0"/>
                    <w:snapToGrid w:val="0"/>
                    <w:jc w:val="center"/>
                    <w:rPr>
                      <w:sz w:val="18"/>
                      <w:szCs w:val="18"/>
                    </w:rPr>
                  </w:pPr>
                  <w:r>
                    <w:rPr>
                      <w:sz w:val="18"/>
                      <w:szCs w:val="18"/>
                    </w:rPr>
                    <w:t>-</w:t>
                  </w:r>
                </w:p>
              </w:tc>
            </w:tr>
            <w:tr w:rsidR="00F76A63" w14:paraId="4A18CA25" w14:textId="77777777">
              <w:trPr>
                <w:trHeight w:val="340"/>
                <w:jc w:val="center"/>
              </w:trPr>
              <w:tc>
                <w:tcPr>
                  <w:tcW w:w="1338" w:type="pct"/>
                  <w:gridSpan w:val="2"/>
                  <w:vAlign w:val="center"/>
                </w:tcPr>
                <w:p w14:paraId="1D930F6C" w14:textId="77777777" w:rsidR="00F76A63" w:rsidRDefault="00000000">
                  <w:pPr>
                    <w:adjustRightInd w:val="0"/>
                    <w:snapToGrid w:val="0"/>
                    <w:jc w:val="center"/>
                    <w:rPr>
                      <w:sz w:val="18"/>
                      <w:szCs w:val="18"/>
                    </w:rPr>
                  </w:pPr>
                  <w:r>
                    <w:rPr>
                      <w:sz w:val="18"/>
                      <w:szCs w:val="18"/>
                    </w:rPr>
                    <w:t>流速（</w:t>
                  </w:r>
                  <w:r>
                    <w:rPr>
                      <w:sz w:val="18"/>
                      <w:szCs w:val="18"/>
                    </w:rPr>
                    <w:t>m/s</w:t>
                  </w:r>
                  <w:r>
                    <w:rPr>
                      <w:sz w:val="18"/>
                      <w:szCs w:val="18"/>
                    </w:rPr>
                    <w:t>）</w:t>
                  </w:r>
                </w:p>
              </w:tc>
              <w:tc>
                <w:tcPr>
                  <w:tcW w:w="686" w:type="pct"/>
                  <w:vAlign w:val="center"/>
                </w:tcPr>
                <w:p w14:paraId="2DC36A04" w14:textId="77777777" w:rsidR="00F76A63" w:rsidRDefault="00000000">
                  <w:pPr>
                    <w:adjustRightInd w:val="0"/>
                    <w:snapToGrid w:val="0"/>
                    <w:jc w:val="center"/>
                    <w:rPr>
                      <w:sz w:val="18"/>
                      <w:szCs w:val="18"/>
                    </w:rPr>
                  </w:pPr>
                  <w:r>
                    <w:rPr>
                      <w:rFonts w:hint="eastAsia"/>
                      <w:sz w:val="18"/>
                      <w:szCs w:val="18"/>
                    </w:rPr>
                    <w:t>8.5</w:t>
                  </w:r>
                </w:p>
              </w:tc>
              <w:tc>
                <w:tcPr>
                  <w:tcW w:w="731" w:type="pct"/>
                  <w:vAlign w:val="center"/>
                </w:tcPr>
                <w:p w14:paraId="3CC6F5BE" w14:textId="77777777" w:rsidR="00F76A63" w:rsidRDefault="00000000">
                  <w:pPr>
                    <w:adjustRightInd w:val="0"/>
                    <w:snapToGrid w:val="0"/>
                    <w:jc w:val="center"/>
                    <w:rPr>
                      <w:sz w:val="18"/>
                      <w:szCs w:val="18"/>
                    </w:rPr>
                  </w:pPr>
                  <w:r>
                    <w:rPr>
                      <w:rFonts w:hint="eastAsia"/>
                      <w:sz w:val="18"/>
                      <w:szCs w:val="18"/>
                    </w:rPr>
                    <w:t>7.9</w:t>
                  </w:r>
                </w:p>
              </w:tc>
              <w:tc>
                <w:tcPr>
                  <w:tcW w:w="662" w:type="pct"/>
                  <w:vAlign w:val="center"/>
                </w:tcPr>
                <w:p w14:paraId="37CE4F25" w14:textId="77777777" w:rsidR="00F76A63" w:rsidRDefault="00000000">
                  <w:pPr>
                    <w:adjustRightInd w:val="0"/>
                    <w:snapToGrid w:val="0"/>
                    <w:jc w:val="center"/>
                    <w:rPr>
                      <w:sz w:val="18"/>
                      <w:szCs w:val="18"/>
                    </w:rPr>
                  </w:pPr>
                  <w:r>
                    <w:rPr>
                      <w:rFonts w:hint="eastAsia"/>
                      <w:sz w:val="18"/>
                      <w:szCs w:val="18"/>
                    </w:rPr>
                    <w:t>7.9</w:t>
                  </w:r>
                </w:p>
              </w:tc>
              <w:tc>
                <w:tcPr>
                  <w:tcW w:w="922" w:type="pct"/>
                  <w:vAlign w:val="center"/>
                </w:tcPr>
                <w:p w14:paraId="00BEFF1C" w14:textId="77777777" w:rsidR="00F76A63" w:rsidRDefault="00000000">
                  <w:pPr>
                    <w:adjustRightInd w:val="0"/>
                    <w:snapToGrid w:val="0"/>
                    <w:jc w:val="center"/>
                    <w:rPr>
                      <w:sz w:val="18"/>
                      <w:szCs w:val="18"/>
                    </w:rPr>
                  </w:pPr>
                  <w:r>
                    <w:rPr>
                      <w:sz w:val="18"/>
                      <w:szCs w:val="18"/>
                    </w:rPr>
                    <w:t>-</w:t>
                  </w:r>
                </w:p>
              </w:tc>
              <w:tc>
                <w:tcPr>
                  <w:tcW w:w="661" w:type="pct"/>
                  <w:vAlign w:val="center"/>
                </w:tcPr>
                <w:p w14:paraId="3A4D7F48" w14:textId="77777777" w:rsidR="00F76A63" w:rsidRDefault="00000000">
                  <w:pPr>
                    <w:adjustRightInd w:val="0"/>
                    <w:snapToGrid w:val="0"/>
                    <w:jc w:val="center"/>
                    <w:rPr>
                      <w:sz w:val="18"/>
                      <w:szCs w:val="18"/>
                    </w:rPr>
                  </w:pPr>
                  <w:r>
                    <w:rPr>
                      <w:sz w:val="18"/>
                      <w:szCs w:val="18"/>
                    </w:rPr>
                    <w:t>-</w:t>
                  </w:r>
                </w:p>
              </w:tc>
            </w:tr>
            <w:tr w:rsidR="00F76A63" w14:paraId="49DD47AC" w14:textId="77777777">
              <w:trPr>
                <w:trHeight w:val="340"/>
                <w:jc w:val="center"/>
              </w:trPr>
              <w:tc>
                <w:tcPr>
                  <w:tcW w:w="1338" w:type="pct"/>
                  <w:gridSpan w:val="2"/>
                  <w:vAlign w:val="center"/>
                </w:tcPr>
                <w:p w14:paraId="340FBC58" w14:textId="77777777" w:rsidR="00F76A63" w:rsidRDefault="00000000">
                  <w:pPr>
                    <w:adjustRightInd w:val="0"/>
                    <w:snapToGrid w:val="0"/>
                    <w:jc w:val="center"/>
                    <w:rPr>
                      <w:sz w:val="18"/>
                      <w:szCs w:val="18"/>
                    </w:rPr>
                  </w:pPr>
                  <w:r>
                    <w:rPr>
                      <w:sz w:val="18"/>
                      <w:szCs w:val="18"/>
                    </w:rPr>
                    <w:t>含湿量（</w:t>
                  </w:r>
                  <w:r>
                    <w:rPr>
                      <w:sz w:val="18"/>
                      <w:szCs w:val="18"/>
                    </w:rPr>
                    <w:t>%</w:t>
                  </w:r>
                  <w:r>
                    <w:rPr>
                      <w:sz w:val="18"/>
                      <w:szCs w:val="18"/>
                    </w:rPr>
                    <w:t>）</w:t>
                  </w:r>
                </w:p>
              </w:tc>
              <w:tc>
                <w:tcPr>
                  <w:tcW w:w="686" w:type="pct"/>
                  <w:vAlign w:val="center"/>
                </w:tcPr>
                <w:p w14:paraId="5AB939B5" w14:textId="77777777" w:rsidR="00F76A63" w:rsidRDefault="00000000">
                  <w:pPr>
                    <w:adjustRightInd w:val="0"/>
                    <w:snapToGrid w:val="0"/>
                    <w:jc w:val="center"/>
                    <w:rPr>
                      <w:sz w:val="18"/>
                      <w:szCs w:val="18"/>
                    </w:rPr>
                  </w:pPr>
                  <w:r>
                    <w:rPr>
                      <w:rFonts w:hint="eastAsia"/>
                      <w:sz w:val="18"/>
                      <w:szCs w:val="18"/>
                    </w:rPr>
                    <w:t>2.11</w:t>
                  </w:r>
                </w:p>
              </w:tc>
              <w:tc>
                <w:tcPr>
                  <w:tcW w:w="731" w:type="pct"/>
                  <w:vAlign w:val="center"/>
                </w:tcPr>
                <w:p w14:paraId="0EE7C85F" w14:textId="77777777" w:rsidR="00F76A63" w:rsidRDefault="00000000">
                  <w:pPr>
                    <w:adjustRightInd w:val="0"/>
                    <w:snapToGrid w:val="0"/>
                    <w:jc w:val="center"/>
                    <w:rPr>
                      <w:sz w:val="18"/>
                      <w:szCs w:val="18"/>
                    </w:rPr>
                  </w:pPr>
                  <w:r>
                    <w:rPr>
                      <w:rFonts w:hint="eastAsia"/>
                      <w:sz w:val="18"/>
                      <w:szCs w:val="18"/>
                    </w:rPr>
                    <w:t>2.15</w:t>
                  </w:r>
                </w:p>
              </w:tc>
              <w:tc>
                <w:tcPr>
                  <w:tcW w:w="662" w:type="pct"/>
                  <w:vAlign w:val="center"/>
                </w:tcPr>
                <w:p w14:paraId="6CFEA266" w14:textId="77777777" w:rsidR="00F76A63" w:rsidRDefault="00000000">
                  <w:pPr>
                    <w:adjustRightInd w:val="0"/>
                    <w:snapToGrid w:val="0"/>
                    <w:jc w:val="center"/>
                    <w:rPr>
                      <w:sz w:val="18"/>
                      <w:szCs w:val="18"/>
                    </w:rPr>
                  </w:pPr>
                  <w:r>
                    <w:rPr>
                      <w:rFonts w:hint="eastAsia"/>
                      <w:sz w:val="18"/>
                      <w:szCs w:val="18"/>
                    </w:rPr>
                    <w:t>2.26</w:t>
                  </w:r>
                </w:p>
              </w:tc>
              <w:tc>
                <w:tcPr>
                  <w:tcW w:w="922" w:type="pct"/>
                  <w:vAlign w:val="center"/>
                </w:tcPr>
                <w:p w14:paraId="7FA9249A" w14:textId="77777777" w:rsidR="00F76A63" w:rsidRDefault="00000000">
                  <w:pPr>
                    <w:adjustRightInd w:val="0"/>
                    <w:snapToGrid w:val="0"/>
                    <w:jc w:val="center"/>
                    <w:rPr>
                      <w:sz w:val="18"/>
                      <w:szCs w:val="18"/>
                    </w:rPr>
                  </w:pPr>
                  <w:r>
                    <w:rPr>
                      <w:sz w:val="18"/>
                      <w:szCs w:val="18"/>
                    </w:rPr>
                    <w:t>-</w:t>
                  </w:r>
                </w:p>
              </w:tc>
              <w:tc>
                <w:tcPr>
                  <w:tcW w:w="661" w:type="pct"/>
                  <w:vAlign w:val="center"/>
                </w:tcPr>
                <w:p w14:paraId="16EE2A66" w14:textId="77777777" w:rsidR="00F76A63" w:rsidRDefault="00000000">
                  <w:pPr>
                    <w:adjustRightInd w:val="0"/>
                    <w:snapToGrid w:val="0"/>
                    <w:jc w:val="center"/>
                    <w:rPr>
                      <w:sz w:val="18"/>
                      <w:szCs w:val="18"/>
                    </w:rPr>
                  </w:pPr>
                  <w:r>
                    <w:rPr>
                      <w:sz w:val="18"/>
                      <w:szCs w:val="18"/>
                    </w:rPr>
                    <w:t>-</w:t>
                  </w:r>
                </w:p>
              </w:tc>
            </w:tr>
            <w:tr w:rsidR="00F76A63" w14:paraId="00DAAF2F" w14:textId="77777777">
              <w:trPr>
                <w:trHeight w:val="340"/>
                <w:jc w:val="center"/>
              </w:trPr>
              <w:tc>
                <w:tcPr>
                  <w:tcW w:w="1338" w:type="pct"/>
                  <w:gridSpan w:val="2"/>
                  <w:vAlign w:val="center"/>
                </w:tcPr>
                <w:p w14:paraId="4913694D" w14:textId="77777777" w:rsidR="00F76A63" w:rsidRDefault="00000000">
                  <w:pPr>
                    <w:adjustRightInd w:val="0"/>
                    <w:snapToGrid w:val="0"/>
                    <w:jc w:val="center"/>
                    <w:rPr>
                      <w:sz w:val="18"/>
                      <w:szCs w:val="18"/>
                    </w:rPr>
                  </w:pPr>
                  <w:r>
                    <w:rPr>
                      <w:sz w:val="18"/>
                      <w:szCs w:val="18"/>
                    </w:rPr>
                    <w:t>标干流量（</w:t>
                  </w:r>
                  <w:r>
                    <w:rPr>
                      <w:sz w:val="18"/>
                      <w:szCs w:val="18"/>
                    </w:rPr>
                    <w:t>m</w:t>
                  </w:r>
                  <w:r>
                    <w:rPr>
                      <w:sz w:val="18"/>
                      <w:szCs w:val="18"/>
                      <w:vertAlign w:val="superscript"/>
                    </w:rPr>
                    <w:t>3</w:t>
                  </w:r>
                  <w:r>
                    <w:rPr>
                      <w:sz w:val="18"/>
                      <w:szCs w:val="18"/>
                    </w:rPr>
                    <w:t>/h</w:t>
                  </w:r>
                  <w:r>
                    <w:rPr>
                      <w:sz w:val="18"/>
                      <w:szCs w:val="18"/>
                    </w:rPr>
                    <w:t>）</w:t>
                  </w:r>
                </w:p>
              </w:tc>
              <w:tc>
                <w:tcPr>
                  <w:tcW w:w="686" w:type="pct"/>
                  <w:vAlign w:val="center"/>
                </w:tcPr>
                <w:p w14:paraId="08BB8452" w14:textId="77777777" w:rsidR="00F76A63" w:rsidRDefault="00000000">
                  <w:pPr>
                    <w:adjustRightInd w:val="0"/>
                    <w:snapToGrid w:val="0"/>
                    <w:jc w:val="center"/>
                    <w:rPr>
                      <w:sz w:val="18"/>
                      <w:szCs w:val="18"/>
                    </w:rPr>
                  </w:pPr>
                  <w:r>
                    <w:rPr>
                      <w:rFonts w:hint="eastAsia"/>
                      <w:sz w:val="18"/>
                      <w:szCs w:val="18"/>
                    </w:rPr>
                    <w:t>306152</w:t>
                  </w:r>
                </w:p>
              </w:tc>
              <w:tc>
                <w:tcPr>
                  <w:tcW w:w="731" w:type="pct"/>
                  <w:vAlign w:val="center"/>
                </w:tcPr>
                <w:p w14:paraId="1CCFECFF" w14:textId="77777777" w:rsidR="00F76A63" w:rsidRDefault="00000000">
                  <w:pPr>
                    <w:adjustRightInd w:val="0"/>
                    <w:snapToGrid w:val="0"/>
                    <w:jc w:val="center"/>
                    <w:rPr>
                      <w:sz w:val="18"/>
                      <w:szCs w:val="18"/>
                    </w:rPr>
                  </w:pPr>
                  <w:r>
                    <w:rPr>
                      <w:rFonts w:hint="eastAsia"/>
                      <w:sz w:val="18"/>
                      <w:szCs w:val="18"/>
                    </w:rPr>
                    <w:t>284991</w:t>
                  </w:r>
                </w:p>
              </w:tc>
              <w:tc>
                <w:tcPr>
                  <w:tcW w:w="662" w:type="pct"/>
                  <w:vAlign w:val="center"/>
                </w:tcPr>
                <w:p w14:paraId="6FC3B6BE" w14:textId="77777777" w:rsidR="00F76A63" w:rsidRDefault="00000000">
                  <w:pPr>
                    <w:adjustRightInd w:val="0"/>
                    <w:snapToGrid w:val="0"/>
                    <w:jc w:val="center"/>
                    <w:rPr>
                      <w:sz w:val="18"/>
                      <w:szCs w:val="18"/>
                    </w:rPr>
                  </w:pPr>
                  <w:r>
                    <w:rPr>
                      <w:rFonts w:hint="eastAsia"/>
                      <w:sz w:val="18"/>
                      <w:szCs w:val="18"/>
                    </w:rPr>
                    <w:t>284490</w:t>
                  </w:r>
                </w:p>
              </w:tc>
              <w:tc>
                <w:tcPr>
                  <w:tcW w:w="922" w:type="pct"/>
                  <w:vAlign w:val="center"/>
                </w:tcPr>
                <w:p w14:paraId="42469B7F" w14:textId="77777777" w:rsidR="00F76A63" w:rsidRDefault="00000000">
                  <w:pPr>
                    <w:adjustRightInd w:val="0"/>
                    <w:snapToGrid w:val="0"/>
                    <w:jc w:val="center"/>
                    <w:rPr>
                      <w:sz w:val="18"/>
                      <w:szCs w:val="18"/>
                    </w:rPr>
                  </w:pPr>
                  <w:r>
                    <w:rPr>
                      <w:sz w:val="18"/>
                      <w:szCs w:val="18"/>
                    </w:rPr>
                    <w:t>-</w:t>
                  </w:r>
                </w:p>
              </w:tc>
              <w:tc>
                <w:tcPr>
                  <w:tcW w:w="661" w:type="pct"/>
                  <w:vAlign w:val="center"/>
                </w:tcPr>
                <w:p w14:paraId="29C8365F" w14:textId="77777777" w:rsidR="00F76A63" w:rsidRDefault="00000000">
                  <w:pPr>
                    <w:adjustRightInd w:val="0"/>
                    <w:snapToGrid w:val="0"/>
                    <w:jc w:val="center"/>
                    <w:rPr>
                      <w:sz w:val="18"/>
                      <w:szCs w:val="18"/>
                    </w:rPr>
                  </w:pPr>
                  <w:r>
                    <w:rPr>
                      <w:sz w:val="18"/>
                      <w:szCs w:val="18"/>
                    </w:rPr>
                    <w:t>-</w:t>
                  </w:r>
                </w:p>
              </w:tc>
            </w:tr>
            <w:tr w:rsidR="00F76A63" w14:paraId="4D202DA9" w14:textId="77777777">
              <w:trPr>
                <w:trHeight w:val="340"/>
                <w:jc w:val="center"/>
              </w:trPr>
              <w:tc>
                <w:tcPr>
                  <w:tcW w:w="380" w:type="pct"/>
                  <w:vMerge w:val="restart"/>
                  <w:vAlign w:val="center"/>
                </w:tcPr>
                <w:p w14:paraId="607F5B4A" w14:textId="77777777" w:rsidR="00F76A63" w:rsidRDefault="00000000">
                  <w:pPr>
                    <w:adjustRightInd w:val="0"/>
                    <w:snapToGrid w:val="0"/>
                    <w:jc w:val="center"/>
                    <w:rPr>
                      <w:sz w:val="18"/>
                      <w:szCs w:val="18"/>
                    </w:rPr>
                  </w:pPr>
                  <w:r>
                    <w:rPr>
                      <w:sz w:val="18"/>
                      <w:szCs w:val="18"/>
                    </w:rPr>
                    <w:t>颗粒物</w:t>
                  </w:r>
                </w:p>
              </w:tc>
              <w:tc>
                <w:tcPr>
                  <w:tcW w:w="958" w:type="pct"/>
                  <w:vAlign w:val="center"/>
                </w:tcPr>
                <w:p w14:paraId="10DE0F16"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31F57ED5" w14:textId="77777777" w:rsidR="00F76A63" w:rsidRDefault="00000000">
                  <w:pPr>
                    <w:adjustRightInd w:val="0"/>
                    <w:snapToGrid w:val="0"/>
                    <w:jc w:val="center"/>
                    <w:rPr>
                      <w:sz w:val="18"/>
                      <w:szCs w:val="18"/>
                    </w:rPr>
                  </w:pPr>
                  <w:r>
                    <w:rPr>
                      <w:rFonts w:hint="eastAsia"/>
                      <w:sz w:val="18"/>
                      <w:szCs w:val="18"/>
                    </w:rPr>
                    <w:t>1.4</w:t>
                  </w:r>
                </w:p>
              </w:tc>
              <w:tc>
                <w:tcPr>
                  <w:tcW w:w="731" w:type="pct"/>
                  <w:vAlign w:val="center"/>
                </w:tcPr>
                <w:p w14:paraId="320F81EE" w14:textId="77777777" w:rsidR="00F76A63" w:rsidRDefault="00000000">
                  <w:pPr>
                    <w:adjustRightInd w:val="0"/>
                    <w:snapToGrid w:val="0"/>
                    <w:jc w:val="center"/>
                    <w:rPr>
                      <w:sz w:val="18"/>
                      <w:szCs w:val="18"/>
                    </w:rPr>
                  </w:pPr>
                  <w:r>
                    <w:rPr>
                      <w:rFonts w:hint="eastAsia"/>
                      <w:sz w:val="18"/>
                      <w:szCs w:val="18"/>
                    </w:rPr>
                    <w:t>1.3</w:t>
                  </w:r>
                </w:p>
              </w:tc>
              <w:tc>
                <w:tcPr>
                  <w:tcW w:w="662" w:type="pct"/>
                  <w:vAlign w:val="center"/>
                </w:tcPr>
                <w:p w14:paraId="17F8450E" w14:textId="77777777" w:rsidR="00F76A63" w:rsidRDefault="00000000">
                  <w:pPr>
                    <w:adjustRightInd w:val="0"/>
                    <w:snapToGrid w:val="0"/>
                    <w:jc w:val="center"/>
                    <w:rPr>
                      <w:sz w:val="18"/>
                      <w:szCs w:val="18"/>
                    </w:rPr>
                  </w:pPr>
                  <w:r>
                    <w:rPr>
                      <w:rFonts w:hint="eastAsia"/>
                      <w:sz w:val="18"/>
                      <w:szCs w:val="18"/>
                    </w:rPr>
                    <w:t>1.3</w:t>
                  </w:r>
                </w:p>
              </w:tc>
              <w:tc>
                <w:tcPr>
                  <w:tcW w:w="922" w:type="pct"/>
                  <w:vAlign w:val="center"/>
                </w:tcPr>
                <w:p w14:paraId="2A7DE967" w14:textId="77777777" w:rsidR="00F76A63" w:rsidRDefault="00000000">
                  <w:pPr>
                    <w:adjustRightInd w:val="0"/>
                    <w:snapToGrid w:val="0"/>
                    <w:jc w:val="center"/>
                    <w:rPr>
                      <w:sz w:val="18"/>
                      <w:szCs w:val="18"/>
                    </w:rPr>
                  </w:pPr>
                  <w:r>
                    <w:rPr>
                      <w:rFonts w:hint="eastAsia"/>
                      <w:sz w:val="18"/>
                      <w:szCs w:val="18"/>
                    </w:rPr>
                    <w:t>1.3</w:t>
                  </w:r>
                </w:p>
              </w:tc>
              <w:tc>
                <w:tcPr>
                  <w:tcW w:w="661" w:type="pct"/>
                  <w:vAlign w:val="center"/>
                </w:tcPr>
                <w:p w14:paraId="3B6FDA8D" w14:textId="77777777" w:rsidR="00F76A63" w:rsidRDefault="00000000">
                  <w:pPr>
                    <w:adjustRightInd w:val="0"/>
                    <w:snapToGrid w:val="0"/>
                    <w:jc w:val="center"/>
                    <w:rPr>
                      <w:sz w:val="18"/>
                      <w:szCs w:val="18"/>
                    </w:rPr>
                  </w:pPr>
                  <w:r>
                    <w:rPr>
                      <w:rFonts w:hint="eastAsia"/>
                      <w:sz w:val="18"/>
                      <w:szCs w:val="18"/>
                    </w:rPr>
                    <w:t>10</w:t>
                  </w:r>
                </w:p>
              </w:tc>
            </w:tr>
            <w:tr w:rsidR="00F76A63" w14:paraId="76101A12" w14:textId="77777777">
              <w:trPr>
                <w:trHeight w:val="340"/>
                <w:jc w:val="center"/>
              </w:trPr>
              <w:tc>
                <w:tcPr>
                  <w:tcW w:w="380" w:type="pct"/>
                  <w:vMerge/>
                  <w:vAlign w:val="center"/>
                </w:tcPr>
                <w:p w14:paraId="66848F73" w14:textId="77777777" w:rsidR="00F76A63" w:rsidRDefault="00F76A63">
                  <w:pPr>
                    <w:adjustRightInd w:val="0"/>
                    <w:snapToGrid w:val="0"/>
                    <w:jc w:val="center"/>
                    <w:rPr>
                      <w:sz w:val="18"/>
                      <w:szCs w:val="18"/>
                    </w:rPr>
                  </w:pPr>
                </w:p>
              </w:tc>
              <w:tc>
                <w:tcPr>
                  <w:tcW w:w="958" w:type="pct"/>
                  <w:vAlign w:val="center"/>
                </w:tcPr>
                <w:p w14:paraId="06800D91"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79951E88" w14:textId="77777777" w:rsidR="00F76A63" w:rsidRDefault="00000000">
                  <w:pPr>
                    <w:adjustRightInd w:val="0"/>
                    <w:snapToGrid w:val="0"/>
                    <w:jc w:val="center"/>
                    <w:rPr>
                      <w:sz w:val="18"/>
                      <w:szCs w:val="18"/>
                    </w:rPr>
                  </w:pPr>
                  <w:r>
                    <w:rPr>
                      <w:rFonts w:hint="eastAsia"/>
                      <w:sz w:val="18"/>
                      <w:szCs w:val="18"/>
                    </w:rPr>
                    <w:t>0.429</w:t>
                  </w:r>
                </w:p>
              </w:tc>
              <w:tc>
                <w:tcPr>
                  <w:tcW w:w="731" w:type="pct"/>
                  <w:vAlign w:val="center"/>
                </w:tcPr>
                <w:p w14:paraId="68C143B6" w14:textId="77777777" w:rsidR="00F76A63" w:rsidRDefault="00000000">
                  <w:pPr>
                    <w:adjustRightInd w:val="0"/>
                    <w:snapToGrid w:val="0"/>
                    <w:jc w:val="center"/>
                    <w:rPr>
                      <w:sz w:val="18"/>
                      <w:szCs w:val="18"/>
                    </w:rPr>
                  </w:pPr>
                  <w:r>
                    <w:rPr>
                      <w:rFonts w:hint="eastAsia"/>
                      <w:sz w:val="18"/>
                      <w:szCs w:val="18"/>
                    </w:rPr>
                    <w:t>0.370</w:t>
                  </w:r>
                </w:p>
              </w:tc>
              <w:tc>
                <w:tcPr>
                  <w:tcW w:w="662" w:type="pct"/>
                  <w:vAlign w:val="center"/>
                </w:tcPr>
                <w:p w14:paraId="594F8424" w14:textId="77777777" w:rsidR="00F76A63" w:rsidRDefault="00000000">
                  <w:pPr>
                    <w:adjustRightInd w:val="0"/>
                    <w:snapToGrid w:val="0"/>
                    <w:jc w:val="center"/>
                    <w:rPr>
                      <w:sz w:val="18"/>
                      <w:szCs w:val="18"/>
                    </w:rPr>
                  </w:pPr>
                  <w:r>
                    <w:rPr>
                      <w:rFonts w:hint="eastAsia"/>
                      <w:sz w:val="18"/>
                      <w:szCs w:val="18"/>
                    </w:rPr>
                    <w:t>0.370</w:t>
                  </w:r>
                </w:p>
              </w:tc>
              <w:tc>
                <w:tcPr>
                  <w:tcW w:w="922" w:type="pct"/>
                  <w:vAlign w:val="center"/>
                </w:tcPr>
                <w:p w14:paraId="5A8D4FEA" w14:textId="77777777" w:rsidR="00F76A63" w:rsidRDefault="00000000">
                  <w:pPr>
                    <w:adjustRightInd w:val="0"/>
                    <w:snapToGrid w:val="0"/>
                    <w:jc w:val="center"/>
                    <w:rPr>
                      <w:sz w:val="18"/>
                      <w:szCs w:val="18"/>
                    </w:rPr>
                  </w:pPr>
                  <w:r>
                    <w:rPr>
                      <w:rFonts w:hint="eastAsia"/>
                      <w:sz w:val="18"/>
                      <w:szCs w:val="18"/>
                    </w:rPr>
                    <w:t>0.390</w:t>
                  </w:r>
                </w:p>
              </w:tc>
              <w:tc>
                <w:tcPr>
                  <w:tcW w:w="661" w:type="pct"/>
                  <w:vAlign w:val="center"/>
                </w:tcPr>
                <w:p w14:paraId="7A3FA0FE" w14:textId="77777777" w:rsidR="00F76A63" w:rsidRDefault="00000000">
                  <w:pPr>
                    <w:adjustRightInd w:val="0"/>
                    <w:snapToGrid w:val="0"/>
                    <w:jc w:val="center"/>
                    <w:rPr>
                      <w:sz w:val="18"/>
                      <w:szCs w:val="18"/>
                    </w:rPr>
                  </w:pPr>
                  <w:r>
                    <w:rPr>
                      <w:rFonts w:hint="eastAsia"/>
                      <w:sz w:val="18"/>
                      <w:szCs w:val="18"/>
                    </w:rPr>
                    <w:t>-</w:t>
                  </w:r>
                </w:p>
              </w:tc>
            </w:tr>
          </w:tbl>
          <w:p w14:paraId="62C510A9" w14:textId="77777777" w:rsidR="00F76A63" w:rsidRDefault="00000000">
            <w:pPr>
              <w:adjustRightInd w:val="0"/>
              <w:snapToGrid w:val="0"/>
              <w:spacing w:line="500" w:lineRule="exact"/>
              <w:jc w:val="center"/>
              <w:rPr>
                <w:b/>
                <w:sz w:val="24"/>
              </w:rPr>
            </w:pPr>
            <w:r>
              <w:rPr>
                <w:rFonts w:hint="eastAsia"/>
                <w:b/>
                <w:sz w:val="24"/>
              </w:rPr>
              <w:t>表</w:t>
            </w:r>
            <w:r>
              <w:rPr>
                <w:b/>
                <w:sz w:val="24"/>
              </w:rPr>
              <w:t>2-4</w:t>
            </w:r>
            <w:r>
              <w:rPr>
                <w:rFonts w:hint="eastAsia"/>
                <w:b/>
                <w:sz w:val="24"/>
              </w:rPr>
              <w:t>9</w:t>
            </w:r>
            <w:r>
              <w:rPr>
                <w:b/>
                <w:sz w:val="24"/>
              </w:rPr>
              <w:t xml:space="preserve">  2#</w:t>
            </w:r>
            <w:r>
              <w:rPr>
                <w:b/>
                <w:sz w:val="24"/>
              </w:rPr>
              <w:t>熟料生产窑头有组织废气监测结果</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621"/>
              <w:gridCol w:w="1567"/>
              <w:gridCol w:w="1122"/>
              <w:gridCol w:w="1195"/>
              <w:gridCol w:w="1083"/>
              <w:gridCol w:w="1508"/>
              <w:gridCol w:w="1081"/>
            </w:tblGrid>
            <w:tr w:rsidR="00F76A63" w14:paraId="73B7D6DC" w14:textId="77777777">
              <w:trPr>
                <w:trHeight w:val="340"/>
                <w:jc w:val="center"/>
              </w:trPr>
              <w:tc>
                <w:tcPr>
                  <w:tcW w:w="1338" w:type="pct"/>
                  <w:gridSpan w:val="2"/>
                  <w:vMerge w:val="restart"/>
                  <w:vAlign w:val="center"/>
                </w:tcPr>
                <w:p w14:paraId="3D1D016E" w14:textId="77777777" w:rsidR="00F76A63" w:rsidRDefault="00000000">
                  <w:pPr>
                    <w:adjustRightInd w:val="0"/>
                    <w:snapToGrid w:val="0"/>
                    <w:jc w:val="center"/>
                    <w:rPr>
                      <w:b/>
                      <w:bCs/>
                      <w:sz w:val="18"/>
                      <w:szCs w:val="18"/>
                    </w:rPr>
                  </w:pPr>
                  <w:r>
                    <w:rPr>
                      <w:b/>
                      <w:bCs/>
                      <w:sz w:val="18"/>
                      <w:szCs w:val="18"/>
                    </w:rPr>
                    <w:t>检测项目</w:t>
                  </w:r>
                </w:p>
              </w:tc>
              <w:tc>
                <w:tcPr>
                  <w:tcW w:w="3662" w:type="pct"/>
                  <w:gridSpan w:val="5"/>
                  <w:vAlign w:val="center"/>
                </w:tcPr>
                <w:p w14:paraId="1CCCB13B" w14:textId="77777777" w:rsidR="00F76A63" w:rsidRDefault="00000000">
                  <w:pPr>
                    <w:adjustRightInd w:val="0"/>
                    <w:snapToGrid w:val="0"/>
                    <w:jc w:val="center"/>
                    <w:rPr>
                      <w:b/>
                      <w:bCs/>
                      <w:sz w:val="18"/>
                      <w:szCs w:val="18"/>
                    </w:rPr>
                  </w:pPr>
                  <w:r>
                    <w:rPr>
                      <w:b/>
                      <w:bCs/>
                      <w:sz w:val="18"/>
                      <w:szCs w:val="18"/>
                    </w:rPr>
                    <w:t>（</w:t>
                  </w:r>
                  <w:r>
                    <w:rPr>
                      <w:b/>
                      <w:bCs/>
                      <w:sz w:val="18"/>
                      <w:szCs w:val="18"/>
                    </w:rPr>
                    <w:t>DA017</w:t>
                  </w:r>
                  <w:r>
                    <w:rPr>
                      <w:b/>
                      <w:bCs/>
                      <w:sz w:val="18"/>
                      <w:szCs w:val="18"/>
                    </w:rPr>
                    <w:t>）</w:t>
                  </w:r>
                  <w:r>
                    <w:rPr>
                      <w:b/>
                      <w:bCs/>
                      <w:sz w:val="18"/>
                      <w:szCs w:val="18"/>
                    </w:rPr>
                    <w:t>2#</w:t>
                  </w:r>
                  <w:r>
                    <w:rPr>
                      <w:b/>
                      <w:bCs/>
                      <w:sz w:val="18"/>
                      <w:szCs w:val="18"/>
                    </w:rPr>
                    <w:t>熟料生产窑头</w:t>
                  </w:r>
                </w:p>
              </w:tc>
            </w:tr>
            <w:tr w:rsidR="00F76A63" w14:paraId="6C511862" w14:textId="77777777">
              <w:trPr>
                <w:trHeight w:val="340"/>
                <w:jc w:val="center"/>
              </w:trPr>
              <w:tc>
                <w:tcPr>
                  <w:tcW w:w="1338" w:type="pct"/>
                  <w:gridSpan w:val="2"/>
                  <w:vMerge/>
                  <w:vAlign w:val="center"/>
                </w:tcPr>
                <w:p w14:paraId="6EBA9920" w14:textId="77777777" w:rsidR="00F76A63" w:rsidRDefault="00F76A63">
                  <w:pPr>
                    <w:adjustRightInd w:val="0"/>
                    <w:snapToGrid w:val="0"/>
                    <w:jc w:val="center"/>
                    <w:rPr>
                      <w:b/>
                      <w:bCs/>
                      <w:sz w:val="18"/>
                      <w:szCs w:val="18"/>
                    </w:rPr>
                  </w:pPr>
                </w:p>
              </w:tc>
              <w:tc>
                <w:tcPr>
                  <w:tcW w:w="3662" w:type="pct"/>
                  <w:gridSpan w:val="5"/>
                  <w:vAlign w:val="center"/>
                </w:tcPr>
                <w:p w14:paraId="07914D5A" w14:textId="77777777" w:rsidR="00F76A63" w:rsidRDefault="00000000">
                  <w:pPr>
                    <w:adjustRightInd w:val="0"/>
                    <w:snapToGrid w:val="0"/>
                    <w:jc w:val="center"/>
                    <w:rPr>
                      <w:b/>
                      <w:bCs/>
                      <w:sz w:val="18"/>
                      <w:szCs w:val="18"/>
                    </w:rPr>
                  </w:pPr>
                  <w:r>
                    <w:rPr>
                      <w:b/>
                      <w:bCs/>
                      <w:sz w:val="18"/>
                      <w:szCs w:val="18"/>
                    </w:rPr>
                    <w:t>20</w:t>
                  </w:r>
                  <w:r>
                    <w:rPr>
                      <w:rFonts w:hint="eastAsia"/>
                      <w:b/>
                      <w:bCs/>
                      <w:sz w:val="18"/>
                      <w:szCs w:val="18"/>
                    </w:rPr>
                    <w:t>26.4.2</w:t>
                  </w:r>
                </w:p>
              </w:tc>
            </w:tr>
            <w:tr w:rsidR="00F76A63" w14:paraId="30900435" w14:textId="77777777">
              <w:trPr>
                <w:trHeight w:val="340"/>
                <w:jc w:val="center"/>
              </w:trPr>
              <w:tc>
                <w:tcPr>
                  <w:tcW w:w="1338" w:type="pct"/>
                  <w:gridSpan w:val="2"/>
                  <w:vMerge/>
                  <w:vAlign w:val="center"/>
                </w:tcPr>
                <w:p w14:paraId="7E216B9F" w14:textId="77777777" w:rsidR="00F76A63" w:rsidRDefault="00F76A63">
                  <w:pPr>
                    <w:adjustRightInd w:val="0"/>
                    <w:snapToGrid w:val="0"/>
                    <w:jc w:val="center"/>
                    <w:rPr>
                      <w:b/>
                      <w:bCs/>
                      <w:sz w:val="18"/>
                      <w:szCs w:val="18"/>
                    </w:rPr>
                  </w:pPr>
                </w:p>
              </w:tc>
              <w:tc>
                <w:tcPr>
                  <w:tcW w:w="686" w:type="pct"/>
                  <w:vAlign w:val="center"/>
                </w:tcPr>
                <w:p w14:paraId="632AB50F" w14:textId="77777777" w:rsidR="00F76A63" w:rsidRDefault="00000000">
                  <w:pPr>
                    <w:adjustRightInd w:val="0"/>
                    <w:snapToGrid w:val="0"/>
                    <w:jc w:val="center"/>
                    <w:rPr>
                      <w:b/>
                      <w:bCs/>
                      <w:sz w:val="18"/>
                      <w:szCs w:val="18"/>
                    </w:rPr>
                  </w:pPr>
                  <w:r>
                    <w:rPr>
                      <w:b/>
                      <w:bCs/>
                      <w:sz w:val="18"/>
                      <w:szCs w:val="18"/>
                    </w:rPr>
                    <w:t>第一次</w:t>
                  </w:r>
                </w:p>
              </w:tc>
              <w:tc>
                <w:tcPr>
                  <w:tcW w:w="731" w:type="pct"/>
                  <w:vAlign w:val="center"/>
                </w:tcPr>
                <w:p w14:paraId="7870FBDA" w14:textId="77777777" w:rsidR="00F76A63" w:rsidRDefault="00000000">
                  <w:pPr>
                    <w:adjustRightInd w:val="0"/>
                    <w:snapToGrid w:val="0"/>
                    <w:jc w:val="center"/>
                    <w:rPr>
                      <w:b/>
                      <w:bCs/>
                      <w:sz w:val="18"/>
                      <w:szCs w:val="18"/>
                    </w:rPr>
                  </w:pPr>
                  <w:r>
                    <w:rPr>
                      <w:b/>
                      <w:bCs/>
                      <w:sz w:val="18"/>
                      <w:szCs w:val="18"/>
                    </w:rPr>
                    <w:t>第二次</w:t>
                  </w:r>
                </w:p>
              </w:tc>
              <w:tc>
                <w:tcPr>
                  <w:tcW w:w="662" w:type="pct"/>
                  <w:vAlign w:val="center"/>
                </w:tcPr>
                <w:p w14:paraId="217AE09E" w14:textId="77777777" w:rsidR="00F76A63" w:rsidRDefault="00000000">
                  <w:pPr>
                    <w:adjustRightInd w:val="0"/>
                    <w:snapToGrid w:val="0"/>
                    <w:jc w:val="center"/>
                    <w:rPr>
                      <w:b/>
                      <w:bCs/>
                      <w:sz w:val="18"/>
                      <w:szCs w:val="18"/>
                    </w:rPr>
                  </w:pPr>
                  <w:r>
                    <w:rPr>
                      <w:b/>
                      <w:bCs/>
                      <w:sz w:val="18"/>
                      <w:szCs w:val="18"/>
                    </w:rPr>
                    <w:t>第三次</w:t>
                  </w:r>
                </w:p>
              </w:tc>
              <w:tc>
                <w:tcPr>
                  <w:tcW w:w="922" w:type="pct"/>
                  <w:vAlign w:val="center"/>
                </w:tcPr>
                <w:p w14:paraId="0207E225" w14:textId="77777777" w:rsidR="00F76A63" w:rsidRDefault="00000000">
                  <w:pPr>
                    <w:adjustRightInd w:val="0"/>
                    <w:snapToGrid w:val="0"/>
                    <w:jc w:val="center"/>
                    <w:rPr>
                      <w:b/>
                      <w:bCs/>
                      <w:sz w:val="18"/>
                      <w:szCs w:val="18"/>
                    </w:rPr>
                  </w:pPr>
                  <w:r>
                    <w:rPr>
                      <w:b/>
                      <w:bCs/>
                      <w:sz w:val="18"/>
                      <w:szCs w:val="18"/>
                    </w:rPr>
                    <w:t>平均值</w:t>
                  </w:r>
                </w:p>
              </w:tc>
              <w:tc>
                <w:tcPr>
                  <w:tcW w:w="661" w:type="pct"/>
                  <w:vAlign w:val="center"/>
                </w:tcPr>
                <w:p w14:paraId="037B69A1" w14:textId="77777777" w:rsidR="00F76A63" w:rsidRDefault="00000000">
                  <w:pPr>
                    <w:adjustRightInd w:val="0"/>
                    <w:snapToGrid w:val="0"/>
                    <w:jc w:val="center"/>
                    <w:rPr>
                      <w:b/>
                      <w:bCs/>
                      <w:sz w:val="18"/>
                      <w:szCs w:val="18"/>
                    </w:rPr>
                  </w:pPr>
                  <w:r>
                    <w:rPr>
                      <w:b/>
                      <w:bCs/>
                      <w:sz w:val="18"/>
                      <w:szCs w:val="18"/>
                    </w:rPr>
                    <w:t>标准限值</w:t>
                  </w:r>
                </w:p>
              </w:tc>
            </w:tr>
            <w:tr w:rsidR="00F76A63" w14:paraId="7E75ECFE" w14:textId="77777777">
              <w:trPr>
                <w:trHeight w:val="340"/>
                <w:jc w:val="center"/>
              </w:trPr>
              <w:tc>
                <w:tcPr>
                  <w:tcW w:w="1338" w:type="pct"/>
                  <w:gridSpan w:val="2"/>
                  <w:vAlign w:val="center"/>
                </w:tcPr>
                <w:p w14:paraId="1FFE3100" w14:textId="77777777" w:rsidR="00F76A63" w:rsidRDefault="00000000">
                  <w:pPr>
                    <w:adjustRightInd w:val="0"/>
                    <w:snapToGrid w:val="0"/>
                    <w:jc w:val="center"/>
                    <w:rPr>
                      <w:sz w:val="18"/>
                      <w:szCs w:val="18"/>
                    </w:rPr>
                  </w:pPr>
                  <w:r>
                    <w:rPr>
                      <w:sz w:val="18"/>
                      <w:szCs w:val="18"/>
                    </w:rPr>
                    <w:t>烟温（</w:t>
                  </w:r>
                  <w:r>
                    <w:rPr>
                      <w:sz w:val="18"/>
                      <w:szCs w:val="18"/>
                    </w:rPr>
                    <w:t>℃</w:t>
                  </w:r>
                  <w:r>
                    <w:rPr>
                      <w:sz w:val="18"/>
                      <w:szCs w:val="18"/>
                    </w:rPr>
                    <w:t>）</w:t>
                  </w:r>
                </w:p>
              </w:tc>
              <w:tc>
                <w:tcPr>
                  <w:tcW w:w="686" w:type="pct"/>
                  <w:vAlign w:val="center"/>
                </w:tcPr>
                <w:p w14:paraId="75AA89BA" w14:textId="77777777" w:rsidR="00F76A63" w:rsidRDefault="00000000">
                  <w:pPr>
                    <w:adjustRightInd w:val="0"/>
                    <w:snapToGrid w:val="0"/>
                    <w:jc w:val="center"/>
                    <w:rPr>
                      <w:sz w:val="18"/>
                      <w:szCs w:val="18"/>
                    </w:rPr>
                  </w:pPr>
                  <w:r>
                    <w:rPr>
                      <w:rFonts w:hint="eastAsia"/>
                      <w:sz w:val="18"/>
                      <w:szCs w:val="18"/>
                    </w:rPr>
                    <w:t>90.1</w:t>
                  </w:r>
                </w:p>
              </w:tc>
              <w:tc>
                <w:tcPr>
                  <w:tcW w:w="731" w:type="pct"/>
                  <w:vAlign w:val="center"/>
                </w:tcPr>
                <w:p w14:paraId="2A729A06" w14:textId="77777777" w:rsidR="00F76A63" w:rsidRDefault="00000000">
                  <w:pPr>
                    <w:adjustRightInd w:val="0"/>
                    <w:snapToGrid w:val="0"/>
                    <w:jc w:val="center"/>
                    <w:rPr>
                      <w:sz w:val="18"/>
                      <w:szCs w:val="18"/>
                    </w:rPr>
                  </w:pPr>
                  <w:r>
                    <w:rPr>
                      <w:rFonts w:hint="eastAsia"/>
                      <w:sz w:val="18"/>
                      <w:szCs w:val="18"/>
                    </w:rPr>
                    <w:t>90.4</w:t>
                  </w:r>
                </w:p>
              </w:tc>
              <w:tc>
                <w:tcPr>
                  <w:tcW w:w="662" w:type="pct"/>
                  <w:vAlign w:val="center"/>
                </w:tcPr>
                <w:p w14:paraId="098B9433" w14:textId="77777777" w:rsidR="00F76A63" w:rsidRDefault="00000000">
                  <w:pPr>
                    <w:adjustRightInd w:val="0"/>
                    <w:snapToGrid w:val="0"/>
                    <w:jc w:val="center"/>
                    <w:rPr>
                      <w:sz w:val="18"/>
                      <w:szCs w:val="18"/>
                    </w:rPr>
                  </w:pPr>
                  <w:r>
                    <w:rPr>
                      <w:rFonts w:hint="eastAsia"/>
                      <w:sz w:val="18"/>
                      <w:szCs w:val="18"/>
                    </w:rPr>
                    <w:t>89.3</w:t>
                  </w:r>
                </w:p>
              </w:tc>
              <w:tc>
                <w:tcPr>
                  <w:tcW w:w="922" w:type="pct"/>
                  <w:vAlign w:val="center"/>
                </w:tcPr>
                <w:p w14:paraId="4AC12EF6" w14:textId="77777777" w:rsidR="00F76A63" w:rsidRDefault="00000000">
                  <w:pPr>
                    <w:adjustRightInd w:val="0"/>
                    <w:snapToGrid w:val="0"/>
                    <w:jc w:val="center"/>
                    <w:rPr>
                      <w:sz w:val="18"/>
                      <w:szCs w:val="18"/>
                    </w:rPr>
                  </w:pPr>
                  <w:r>
                    <w:rPr>
                      <w:sz w:val="18"/>
                      <w:szCs w:val="18"/>
                    </w:rPr>
                    <w:t>-</w:t>
                  </w:r>
                </w:p>
              </w:tc>
              <w:tc>
                <w:tcPr>
                  <w:tcW w:w="661" w:type="pct"/>
                  <w:vAlign w:val="center"/>
                </w:tcPr>
                <w:p w14:paraId="70336350" w14:textId="77777777" w:rsidR="00F76A63" w:rsidRDefault="00000000">
                  <w:pPr>
                    <w:adjustRightInd w:val="0"/>
                    <w:snapToGrid w:val="0"/>
                    <w:jc w:val="center"/>
                    <w:rPr>
                      <w:sz w:val="18"/>
                      <w:szCs w:val="18"/>
                    </w:rPr>
                  </w:pPr>
                  <w:r>
                    <w:rPr>
                      <w:sz w:val="18"/>
                      <w:szCs w:val="18"/>
                    </w:rPr>
                    <w:t>-</w:t>
                  </w:r>
                </w:p>
              </w:tc>
            </w:tr>
            <w:tr w:rsidR="00F76A63" w14:paraId="7A361123" w14:textId="77777777">
              <w:trPr>
                <w:trHeight w:val="340"/>
                <w:jc w:val="center"/>
              </w:trPr>
              <w:tc>
                <w:tcPr>
                  <w:tcW w:w="1338" w:type="pct"/>
                  <w:gridSpan w:val="2"/>
                  <w:vAlign w:val="center"/>
                </w:tcPr>
                <w:p w14:paraId="0D11D313" w14:textId="77777777" w:rsidR="00F76A63" w:rsidRDefault="00000000">
                  <w:pPr>
                    <w:adjustRightInd w:val="0"/>
                    <w:snapToGrid w:val="0"/>
                    <w:jc w:val="center"/>
                    <w:rPr>
                      <w:sz w:val="18"/>
                      <w:szCs w:val="18"/>
                    </w:rPr>
                  </w:pPr>
                  <w:r>
                    <w:rPr>
                      <w:sz w:val="18"/>
                      <w:szCs w:val="18"/>
                    </w:rPr>
                    <w:t>流速（</w:t>
                  </w:r>
                  <w:r>
                    <w:rPr>
                      <w:sz w:val="18"/>
                      <w:szCs w:val="18"/>
                    </w:rPr>
                    <w:t>m/s</w:t>
                  </w:r>
                  <w:r>
                    <w:rPr>
                      <w:sz w:val="18"/>
                      <w:szCs w:val="18"/>
                    </w:rPr>
                    <w:t>）</w:t>
                  </w:r>
                </w:p>
              </w:tc>
              <w:tc>
                <w:tcPr>
                  <w:tcW w:w="686" w:type="pct"/>
                  <w:vAlign w:val="center"/>
                </w:tcPr>
                <w:p w14:paraId="7FDB2AAF" w14:textId="77777777" w:rsidR="00F76A63" w:rsidRDefault="00000000">
                  <w:pPr>
                    <w:adjustRightInd w:val="0"/>
                    <w:snapToGrid w:val="0"/>
                    <w:jc w:val="center"/>
                    <w:rPr>
                      <w:sz w:val="18"/>
                      <w:szCs w:val="18"/>
                    </w:rPr>
                  </w:pPr>
                  <w:r>
                    <w:rPr>
                      <w:rFonts w:hint="eastAsia"/>
                      <w:sz w:val="18"/>
                      <w:szCs w:val="18"/>
                    </w:rPr>
                    <w:t>13.8</w:t>
                  </w:r>
                </w:p>
              </w:tc>
              <w:tc>
                <w:tcPr>
                  <w:tcW w:w="731" w:type="pct"/>
                  <w:vAlign w:val="center"/>
                </w:tcPr>
                <w:p w14:paraId="160170EA" w14:textId="77777777" w:rsidR="00F76A63" w:rsidRDefault="00000000">
                  <w:pPr>
                    <w:adjustRightInd w:val="0"/>
                    <w:snapToGrid w:val="0"/>
                    <w:jc w:val="center"/>
                    <w:rPr>
                      <w:sz w:val="18"/>
                      <w:szCs w:val="18"/>
                    </w:rPr>
                  </w:pPr>
                  <w:r>
                    <w:rPr>
                      <w:rFonts w:hint="eastAsia"/>
                      <w:sz w:val="18"/>
                      <w:szCs w:val="18"/>
                    </w:rPr>
                    <w:t>13.4</w:t>
                  </w:r>
                </w:p>
              </w:tc>
              <w:tc>
                <w:tcPr>
                  <w:tcW w:w="662" w:type="pct"/>
                  <w:vAlign w:val="center"/>
                </w:tcPr>
                <w:p w14:paraId="505585DE" w14:textId="77777777" w:rsidR="00F76A63" w:rsidRDefault="00000000">
                  <w:pPr>
                    <w:adjustRightInd w:val="0"/>
                    <w:snapToGrid w:val="0"/>
                    <w:jc w:val="center"/>
                    <w:rPr>
                      <w:sz w:val="18"/>
                      <w:szCs w:val="18"/>
                    </w:rPr>
                  </w:pPr>
                  <w:r>
                    <w:rPr>
                      <w:rFonts w:hint="eastAsia"/>
                      <w:sz w:val="18"/>
                      <w:szCs w:val="18"/>
                    </w:rPr>
                    <w:t>12.9</w:t>
                  </w:r>
                </w:p>
              </w:tc>
              <w:tc>
                <w:tcPr>
                  <w:tcW w:w="922" w:type="pct"/>
                  <w:vAlign w:val="center"/>
                </w:tcPr>
                <w:p w14:paraId="7BFD6CB6" w14:textId="77777777" w:rsidR="00F76A63" w:rsidRDefault="00000000">
                  <w:pPr>
                    <w:adjustRightInd w:val="0"/>
                    <w:snapToGrid w:val="0"/>
                    <w:jc w:val="center"/>
                    <w:rPr>
                      <w:sz w:val="18"/>
                      <w:szCs w:val="18"/>
                    </w:rPr>
                  </w:pPr>
                  <w:r>
                    <w:rPr>
                      <w:sz w:val="18"/>
                      <w:szCs w:val="18"/>
                    </w:rPr>
                    <w:t>-</w:t>
                  </w:r>
                </w:p>
              </w:tc>
              <w:tc>
                <w:tcPr>
                  <w:tcW w:w="661" w:type="pct"/>
                  <w:vAlign w:val="center"/>
                </w:tcPr>
                <w:p w14:paraId="444084DE" w14:textId="77777777" w:rsidR="00F76A63" w:rsidRDefault="00000000">
                  <w:pPr>
                    <w:adjustRightInd w:val="0"/>
                    <w:snapToGrid w:val="0"/>
                    <w:jc w:val="center"/>
                    <w:rPr>
                      <w:sz w:val="18"/>
                      <w:szCs w:val="18"/>
                    </w:rPr>
                  </w:pPr>
                  <w:r>
                    <w:rPr>
                      <w:sz w:val="18"/>
                      <w:szCs w:val="18"/>
                    </w:rPr>
                    <w:t>-</w:t>
                  </w:r>
                </w:p>
              </w:tc>
            </w:tr>
            <w:tr w:rsidR="00F76A63" w14:paraId="0C7A1C1F" w14:textId="77777777">
              <w:trPr>
                <w:trHeight w:val="340"/>
                <w:jc w:val="center"/>
              </w:trPr>
              <w:tc>
                <w:tcPr>
                  <w:tcW w:w="1338" w:type="pct"/>
                  <w:gridSpan w:val="2"/>
                  <w:vAlign w:val="center"/>
                </w:tcPr>
                <w:p w14:paraId="073C596A" w14:textId="77777777" w:rsidR="00F76A63" w:rsidRDefault="00000000">
                  <w:pPr>
                    <w:adjustRightInd w:val="0"/>
                    <w:snapToGrid w:val="0"/>
                    <w:jc w:val="center"/>
                    <w:rPr>
                      <w:sz w:val="18"/>
                      <w:szCs w:val="18"/>
                    </w:rPr>
                  </w:pPr>
                  <w:r>
                    <w:rPr>
                      <w:sz w:val="18"/>
                      <w:szCs w:val="18"/>
                    </w:rPr>
                    <w:t>含湿量（</w:t>
                  </w:r>
                  <w:r>
                    <w:rPr>
                      <w:sz w:val="18"/>
                      <w:szCs w:val="18"/>
                    </w:rPr>
                    <w:t>%</w:t>
                  </w:r>
                  <w:r>
                    <w:rPr>
                      <w:sz w:val="18"/>
                      <w:szCs w:val="18"/>
                    </w:rPr>
                    <w:t>）</w:t>
                  </w:r>
                </w:p>
              </w:tc>
              <w:tc>
                <w:tcPr>
                  <w:tcW w:w="686" w:type="pct"/>
                  <w:vAlign w:val="center"/>
                </w:tcPr>
                <w:p w14:paraId="313EE7FD" w14:textId="77777777" w:rsidR="00F76A63" w:rsidRDefault="00000000">
                  <w:pPr>
                    <w:adjustRightInd w:val="0"/>
                    <w:snapToGrid w:val="0"/>
                    <w:jc w:val="center"/>
                    <w:rPr>
                      <w:sz w:val="18"/>
                      <w:szCs w:val="18"/>
                    </w:rPr>
                  </w:pPr>
                  <w:r>
                    <w:rPr>
                      <w:rFonts w:hint="eastAsia"/>
                      <w:sz w:val="18"/>
                      <w:szCs w:val="18"/>
                    </w:rPr>
                    <w:t>2.54</w:t>
                  </w:r>
                </w:p>
              </w:tc>
              <w:tc>
                <w:tcPr>
                  <w:tcW w:w="731" w:type="pct"/>
                  <w:vAlign w:val="center"/>
                </w:tcPr>
                <w:p w14:paraId="55569C64" w14:textId="77777777" w:rsidR="00F76A63" w:rsidRDefault="00000000">
                  <w:pPr>
                    <w:adjustRightInd w:val="0"/>
                    <w:snapToGrid w:val="0"/>
                    <w:jc w:val="center"/>
                    <w:rPr>
                      <w:sz w:val="18"/>
                      <w:szCs w:val="18"/>
                    </w:rPr>
                  </w:pPr>
                  <w:r>
                    <w:rPr>
                      <w:rFonts w:hint="eastAsia"/>
                      <w:sz w:val="18"/>
                      <w:szCs w:val="18"/>
                    </w:rPr>
                    <w:t>2.26</w:t>
                  </w:r>
                </w:p>
              </w:tc>
              <w:tc>
                <w:tcPr>
                  <w:tcW w:w="662" w:type="pct"/>
                  <w:vAlign w:val="center"/>
                </w:tcPr>
                <w:p w14:paraId="76BA8D1B" w14:textId="77777777" w:rsidR="00F76A63" w:rsidRDefault="00000000">
                  <w:pPr>
                    <w:adjustRightInd w:val="0"/>
                    <w:snapToGrid w:val="0"/>
                    <w:jc w:val="center"/>
                    <w:rPr>
                      <w:sz w:val="18"/>
                      <w:szCs w:val="18"/>
                    </w:rPr>
                  </w:pPr>
                  <w:r>
                    <w:rPr>
                      <w:rFonts w:hint="eastAsia"/>
                      <w:sz w:val="18"/>
                      <w:szCs w:val="18"/>
                    </w:rPr>
                    <w:t>2.32</w:t>
                  </w:r>
                </w:p>
              </w:tc>
              <w:tc>
                <w:tcPr>
                  <w:tcW w:w="922" w:type="pct"/>
                  <w:vAlign w:val="center"/>
                </w:tcPr>
                <w:p w14:paraId="6DC42A69" w14:textId="77777777" w:rsidR="00F76A63" w:rsidRDefault="00000000">
                  <w:pPr>
                    <w:adjustRightInd w:val="0"/>
                    <w:snapToGrid w:val="0"/>
                    <w:jc w:val="center"/>
                    <w:rPr>
                      <w:sz w:val="18"/>
                      <w:szCs w:val="18"/>
                    </w:rPr>
                  </w:pPr>
                  <w:r>
                    <w:rPr>
                      <w:sz w:val="18"/>
                      <w:szCs w:val="18"/>
                    </w:rPr>
                    <w:t>-</w:t>
                  </w:r>
                </w:p>
              </w:tc>
              <w:tc>
                <w:tcPr>
                  <w:tcW w:w="661" w:type="pct"/>
                  <w:vAlign w:val="center"/>
                </w:tcPr>
                <w:p w14:paraId="199BE3AD" w14:textId="77777777" w:rsidR="00F76A63" w:rsidRDefault="00000000">
                  <w:pPr>
                    <w:adjustRightInd w:val="0"/>
                    <w:snapToGrid w:val="0"/>
                    <w:jc w:val="center"/>
                    <w:rPr>
                      <w:sz w:val="18"/>
                      <w:szCs w:val="18"/>
                    </w:rPr>
                  </w:pPr>
                  <w:r>
                    <w:rPr>
                      <w:sz w:val="18"/>
                      <w:szCs w:val="18"/>
                    </w:rPr>
                    <w:t>-</w:t>
                  </w:r>
                </w:p>
              </w:tc>
            </w:tr>
            <w:tr w:rsidR="00F76A63" w14:paraId="4597AF09" w14:textId="77777777">
              <w:trPr>
                <w:trHeight w:val="340"/>
                <w:jc w:val="center"/>
              </w:trPr>
              <w:tc>
                <w:tcPr>
                  <w:tcW w:w="1338" w:type="pct"/>
                  <w:gridSpan w:val="2"/>
                  <w:vAlign w:val="center"/>
                </w:tcPr>
                <w:p w14:paraId="4395948C" w14:textId="77777777" w:rsidR="00F76A63" w:rsidRDefault="00000000">
                  <w:pPr>
                    <w:adjustRightInd w:val="0"/>
                    <w:snapToGrid w:val="0"/>
                    <w:jc w:val="center"/>
                    <w:rPr>
                      <w:sz w:val="18"/>
                      <w:szCs w:val="18"/>
                    </w:rPr>
                  </w:pPr>
                  <w:r>
                    <w:rPr>
                      <w:sz w:val="18"/>
                      <w:szCs w:val="18"/>
                    </w:rPr>
                    <w:t>标干流量（</w:t>
                  </w:r>
                  <w:r>
                    <w:rPr>
                      <w:sz w:val="18"/>
                      <w:szCs w:val="18"/>
                    </w:rPr>
                    <w:t>m</w:t>
                  </w:r>
                  <w:r>
                    <w:rPr>
                      <w:sz w:val="18"/>
                      <w:szCs w:val="18"/>
                      <w:vertAlign w:val="superscript"/>
                    </w:rPr>
                    <w:t>3</w:t>
                  </w:r>
                  <w:r>
                    <w:rPr>
                      <w:sz w:val="18"/>
                      <w:szCs w:val="18"/>
                    </w:rPr>
                    <w:t>/h</w:t>
                  </w:r>
                  <w:r>
                    <w:rPr>
                      <w:sz w:val="18"/>
                      <w:szCs w:val="18"/>
                    </w:rPr>
                    <w:t>）</w:t>
                  </w:r>
                </w:p>
              </w:tc>
              <w:tc>
                <w:tcPr>
                  <w:tcW w:w="686" w:type="pct"/>
                  <w:vAlign w:val="center"/>
                </w:tcPr>
                <w:p w14:paraId="5C709D0B" w14:textId="77777777" w:rsidR="00F76A63" w:rsidRDefault="00000000">
                  <w:pPr>
                    <w:adjustRightInd w:val="0"/>
                    <w:snapToGrid w:val="0"/>
                    <w:jc w:val="center"/>
                    <w:rPr>
                      <w:sz w:val="18"/>
                      <w:szCs w:val="18"/>
                    </w:rPr>
                  </w:pPr>
                  <w:r>
                    <w:rPr>
                      <w:rFonts w:hint="eastAsia"/>
                      <w:sz w:val="18"/>
                      <w:szCs w:val="18"/>
                    </w:rPr>
                    <w:t>401950</w:t>
                  </w:r>
                </w:p>
              </w:tc>
              <w:tc>
                <w:tcPr>
                  <w:tcW w:w="731" w:type="pct"/>
                  <w:vAlign w:val="center"/>
                </w:tcPr>
                <w:p w14:paraId="67459532" w14:textId="77777777" w:rsidR="00F76A63" w:rsidRDefault="00000000">
                  <w:pPr>
                    <w:adjustRightInd w:val="0"/>
                    <w:snapToGrid w:val="0"/>
                    <w:jc w:val="center"/>
                    <w:rPr>
                      <w:sz w:val="18"/>
                      <w:szCs w:val="18"/>
                    </w:rPr>
                  </w:pPr>
                  <w:r>
                    <w:rPr>
                      <w:rFonts w:hint="eastAsia"/>
                      <w:sz w:val="18"/>
                      <w:szCs w:val="18"/>
                    </w:rPr>
                    <w:t>390494</w:t>
                  </w:r>
                </w:p>
              </w:tc>
              <w:tc>
                <w:tcPr>
                  <w:tcW w:w="662" w:type="pct"/>
                  <w:vAlign w:val="center"/>
                </w:tcPr>
                <w:p w14:paraId="73799613" w14:textId="77777777" w:rsidR="00F76A63" w:rsidRDefault="00000000">
                  <w:pPr>
                    <w:adjustRightInd w:val="0"/>
                    <w:snapToGrid w:val="0"/>
                    <w:jc w:val="center"/>
                    <w:rPr>
                      <w:sz w:val="18"/>
                      <w:szCs w:val="18"/>
                    </w:rPr>
                  </w:pPr>
                  <w:r>
                    <w:rPr>
                      <w:rFonts w:hint="eastAsia"/>
                      <w:sz w:val="18"/>
                      <w:szCs w:val="18"/>
                    </w:rPr>
                    <w:t>376447</w:t>
                  </w:r>
                </w:p>
              </w:tc>
              <w:tc>
                <w:tcPr>
                  <w:tcW w:w="922" w:type="pct"/>
                  <w:vAlign w:val="center"/>
                </w:tcPr>
                <w:p w14:paraId="1A7F3ADC" w14:textId="77777777" w:rsidR="00F76A63" w:rsidRDefault="00000000">
                  <w:pPr>
                    <w:adjustRightInd w:val="0"/>
                    <w:snapToGrid w:val="0"/>
                    <w:jc w:val="center"/>
                    <w:rPr>
                      <w:sz w:val="18"/>
                      <w:szCs w:val="18"/>
                    </w:rPr>
                  </w:pPr>
                  <w:r>
                    <w:rPr>
                      <w:sz w:val="18"/>
                      <w:szCs w:val="18"/>
                    </w:rPr>
                    <w:t>-</w:t>
                  </w:r>
                </w:p>
              </w:tc>
              <w:tc>
                <w:tcPr>
                  <w:tcW w:w="661" w:type="pct"/>
                  <w:vAlign w:val="center"/>
                </w:tcPr>
                <w:p w14:paraId="1E01C963" w14:textId="77777777" w:rsidR="00F76A63" w:rsidRDefault="00000000">
                  <w:pPr>
                    <w:adjustRightInd w:val="0"/>
                    <w:snapToGrid w:val="0"/>
                    <w:jc w:val="center"/>
                    <w:rPr>
                      <w:sz w:val="18"/>
                      <w:szCs w:val="18"/>
                    </w:rPr>
                  </w:pPr>
                  <w:r>
                    <w:rPr>
                      <w:sz w:val="18"/>
                      <w:szCs w:val="18"/>
                    </w:rPr>
                    <w:t>-</w:t>
                  </w:r>
                </w:p>
              </w:tc>
            </w:tr>
            <w:tr w:rsidR="00F76A63" w14:paraId="2CAE2B8C" w14:textId="77777777">
              <w:trPr>
                <w:trHeight w:val="340"/>
                <w:jc w:val="center"/>
              </w:trPr>
              <w:tc>
                <w:tcPr>
                  <w:tcW w:w="380" w:type="pct"/>
                  <w:vMerge w:val="restart"/>
                  <w:vAlign w:val="center"/>
                </w:tcPr>
                <w:p w14:paraId="6722BE77" w14:textId="77777777" w:rsidR="00F76A63" w:rsidRDefault="00000000">
                  <w:pPr>
                    <w:adjustRightInd w:val="0"/>
                    <w:snapToGrid w:val="0"/>
                    <w:jc w:val="center"/>
                    <w:rPr>
                      <w:sz w:val="18"/>
                      <w:szCs w:val="18"/>
                    </w:rPr>
                  </w:pPr>
                  <w:r>
                    <w:rPr>
                      <w:sz w:val="18"/>
                      <w:szCs w:val="18"/>
                    </w:rPr>
                    <w:t>颗粒物</w:t>
                  </w:r>
                </w:p>
              </w:tc>
              <w:tc>
                <w:tcPr>
                  <w:tcW w:w="958" w:type="pct"/>
                  <w:vAlign w:val="center"/>
                </w:tcPr>
                <w:p w14:paraId="3AF1BF09"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673A9402" w14:textId="77777777" w:rsidR="00F76A63" w:rsidRDefault="00000000">
                  <w:pPr>
                    <w:adjustRightInd w:val="0"/>
                    <w:snapToGrid w:val="0"/>
                    <w:jc w:val="center"/>
                    <w:rPr>
                      <w:sz w:val="18"/>
                      <w:szCs w:val="18"/>
                    </w:rPr>
                  </w:pPr>
                  <w:r>
                    <w:rPr>
                      <w:rFonts w:hint="eastAsia"/>
                      <w:sz w:val="18"/>
                      <w:szCs w:val="18"/>
                    </w:rPr>
                    <w:t>1.5</w:t>
                  </w:r>
                </w:p>
              </w:tc>
              <w:tc>
                <w:tcPr>
                  <w:tcW w:w="731" w:type="pct"/>
                  <w:vAlign w:val="center"/>
                </w:tcPr>
                <w:p w14:paraId="4D4D0577" w14:textId="77777777" w:rsidR="00F76A63" w:rsidRDefault="00000000">
                  <w:pPr>
                    <w:adjustRightInd w:val="0"/>
                    <w:snapToGrid w:val="0"/>
                    <w:jc w:val="center"/>
                    <w:rPr>
                      <w:sz w:val="18"/>
                      <w:szCs w:val="18"/>
                    </w:rPr>
                  </w:pPr>
                  <w:r>
                    <w:rPr>
                      <w:rFonts w:hint="eastAsia"/>
                      <w:sz w:val="18"/>
                      <w:szCs w:val="18"/>
                    </w:rPr>
                    <w:t>1.5</w:t>
                  </w:r>
                </w:p>
              </w:tc>
              <w:tc>
                <w:tcPr>
                  <w:tcW w:w="662" w:type="pct"/>
                  <w:vAlign w:val="center"/>
                </w:tcPr>
                <w:p w14:paraId="1ED77FEC" w14:textId="77777777" w:rsidR="00F76A63" w:rsidRDefault="00000000">
                  <w:pPr>
                    <w:adjustRightInd w:val="0"/>
                    <w:snapToGrid w:val="0"/>
                    <w:jc w:val="center"/>
                    <w:rPr>
                      <w:sz w:val="18"/>
                      <w:szCs w:val="18"/>
                    </w:rPr>
                  </w:pPr>
                  <w:r>
                    <w:rPr>
                      <w:rFonts w:hint="eastAsia"/>
                      <w:sz w:val="18"/>
                      <w:szCs w:val="18"/>
                    </w:rPr>
                    <w:t>1.4</w:t>
                  </w:r>
                </w:p>
              </w:tc>
              <w:tc>
                <w:tcPr>
                  <w:tcW w:w="922" w:type="pct"/>
                  <w:vAlign w:val="center"/>
                </w:tcPr>
                <w:p w14:paraId="4C534478" w14:textId="77777777" w:rsidR="00F76A63" w:rsidRDefault="00000000">
                  <w:pPr>
                    <w:adjustRightInd w:val="0"/>
                    <w:snapToGrid w:val="0"/>
                    <w:jc w:val="center"/>
                    <w:rPr>
                      <w:sz w:val="18"/>
                      <w:szCs w:val="18"/>
                    </w:rPr>
                  </w:pPr>
                  <w:r>
                    <w:rPr>
                      <w:rFonts w:hint="eastAsia"/>
                      <w:sz w:val="18"/>
                      <w:szCs w:val="18"/>
                    </w:rPr>
                    <w:t>1.5</w:t>
                  </w:r>
                </w:p>
              </w:tc>
              <w:tc>
                <w:tcPr>
                  <w:tcW w:w="661" w:type="pct"/>
                  <w:vAlign w:val="center"/>
                </w:tcPr>
                <w:p w14:paraId="3176913A" w14:textId="77777777" w:rsidR="00F76A63" w:rsidRDefault="00000000">
                  <w:pPr>
                    <w:adjustRightInd w:val="0"/>
                    <w:snapToGrid w:val="0"/>
                    <w:jc w:val="center"/>
                    <w:rPr>
                      <w:sz w:val="18"/>
                      <w:szCs w:val="18"/>
                    </w:rPr>
                  </w:pPr>
                  <w:r>
                    <w:rPr>
                      <w:rFonts w:hint="eastAsia"/>
                      <w:sz w:val="18"/>
                      <w:szCs w:val="18"/>
                    </w:rPr>
                    <w:t>10</w:t>
                  </w:r>
                </w:p>
              </w:tc>
            </w:tr>
            <w:tr w:rsidR="00F76A63" w14:paraId="79E96964" w14:textId="77777777">
              <w:trPr>
                <w:trHeight w:val="340"/>
                <w:jc w:val="center"/>
              </w:trPr>
              <w:tc>
                <w:tcPr>
                  <w:tcW w:w="380" w:type="pct"/>
                  <w:vMerge/>
                  <w:vAlign w:val="center"/>
                </w:tcPr>
                <w:p w14:paraId="30C96CA8" w14:textId="77777777" w:rsidR="00F76A63" w:rsidRDefault="00F76A63">
                  <w:pPr>
                    <w:adjustRightInd w:val="0"/>
                    <w:snapToGrid w:val="0"/>
                    <w:jc w:val="center"/>
                    <w:rPr>
                      <w:sz w:val="18"/>
                      <w:szCs w:val="18"/>
                    </w:rPr>
                  </w:pPr>
                </w:p>
              </w:tc>
              <w:tc>
                <w:tcPr>
                  <w:tcW w:w="958" w:type="pct"/>
                  <w:vAlign w:val="center"/>
                </w:tcPr>
                <w:p w14:paraId="3A5A37DB"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321DA9B2" w14:textId="77777777" w:rsidR="00F76A63" w:rsidRDefault="00000000">
                  <w:pPr>
                    <w:adjustRightInd w:val="0"/>
                    <w:snapToGrid w:val="0"/>
                    <w:jc w:val="center"/>
                    <w:rPr>
                      <w:sz w:val="18"/>
                      <w:szCs w:val="18"/>
                    </w:rPr>
                  </w:pPr>
                  <w:r>
                    <w:rPr>
                      <w:rFonts w:hint="eastAsia"/>
                      <w:sz w:val="18"/>
                      <w:szCs w:val="18"/>
                    </w:rPr>
                    <w:t>0.603</w:t>
                  </w:r>
                </w:p>
              </w:tc>
              <w:tc>
                <w:tcPr>
                  <w:tcW w:w="731" w:type="pct"/>
                  <w:vAlign w:val="center"/>
                </w:tcPr>
                <w:p w14:paraId="3703E309" w14:textId="77777777" w:rsidR="00F76A63" w:rsidRDefault="00000000">
                  <w:pPr>
                    <w:adjustRightInd w:val="0"/>
                    <w:snapToGrid w:val="0"/>
                    <w:jc w:val="center"/>
                    <w:rPr>
                      <w:sz w:val="18"/>
                      <w:szCs w:val="18"/>
                    </w:rPr>
                  </w:pPr>
                  <w:r>
                    <w:rPr>
                      <w:rFonts w:hint="eastAsia"/>
                      <w:sz w:val="18"/>
                      <w:szCs w:val="18"/>
                    </w:rPr>
                    <w:t>0.586</w:t>
                  </w:r>
                </w:p>
              </w:tc>
              <w:tc>
                <w:tcPr>
                  <w:tcW w:w="662" w:type="pct"/>
                  <w:vAlign w:val="center"/>
                </w:tcPr>
                <w:p w14:paraId="2B29B427" w14:textId="77777777" w:rsidR="00F76A63" w:rsidRDefault="00000000">
                  <w:pPr>
                    <w:adjustRightInd w:val="0"/>
                    <w:snapToGrid w:val="0"/>
                    <w:jc w:val="center"/>
                    <w:rPr>
                      <w:sz w:val="18"/>
                      <w:szCs w:val="18"/>
                    </w:rPr>
                  </w:pPr>
                  <w:r>
                    <w:rPr>
                      <w:rFonts w:hint="eastAsia"/>
                      <w:sz w:val="18"/>
                      <w:szCs w:val="18"/>
                    </w:rPr>
                    <w:t>0.527</w:t>
                  </w:r>
                </w:p>
              </w:tc>
              <w:tc>
                <w:tcPr>
                  <w:tcW w:w="922" w:type="pct"/>
                  <w:vAlign w:val="center"/>
                </w:tcPr>
                <w:p w14:paraId="79F0F483" w14:textId="77777777" w:rsidR="00F76A63" w:rsidRDefault="00000000">
                  <w:pPr>
                    <w:adjustRightInd w:val="0"/>
                    <w:snapToGrid w:val="0"/>
                    <w:jc w:val="center"/>
                    <w:rPr>
                      <w:sz w:val="18"/>
                      <w:szCs w:val="18"/>
                    </w:rPr>
                  </w:pPr>
                  <w:r>
                    <w:rPr>
                      <w:rFonts w:hint="eastAsia"/>
                      <w:sz w:val="18"/>
                      <w:szCs w:val="18"/>
                    </w:rPr>
                    <w:t>0.572</w:t>
                  </w:r>
                </w:p>
              </w:tc>
              <w:tc>
                <w:tcPr>
                  <w:tcW w:w="661" w:type="pct"/>
                  <w:vAlign w:val="center"/>
                </w:tcPr>
                <w:p w14:paraId="2BE13635" w14:textId="77777777" w:rsidR="00F76A63" w:rsidRDefault="00000000">
                  <w:pPr>
                    <w:adjustRightInd w:val="0"/>
                    <w:snapToGrid w:val="0"/>
                    <w:jc w:val="center"/>
                    <w:rPr>
                      <w:sz w:val="18"/>
                      <w:szCs w:val="18"/>
                    </w:rPr>
                  </w:pPr>
                  <w:r>
                    <w:rPr>
                      <w:rFonts w:hint="eastAsia"/>
                      <w:sz w:val="18"/>
                      <w:szCs w:val="18"/>
                    </w:rPr>
                    <w:t>-</w:t>
                  </w:r>
                </w:p>
              </w:tc>
            </w:tr>
          </w:tbl>
          <w:p w14:paraId="0A7D0EE0" w14:textId="77777777" w:rsidR="00F76A63" w:rsidRDefault="00000000">
            <w:pPr>
              <w:adjustRightInd w:val="0"/>
              <w:snapToGrid w:val="0"/>
              <w:spacing w:line="500" w:lineRule="exact"/>
              <w:jc w:val="center"/>
              <w:rPr>
                <w:b/>
                <w:sz w:val="24"/>
              </w:rPr>
            </w:pPr>
            <w:r>
              <w:rPr>
                <w:rFonts w:hint="eastAsia"/>
                <w:b/>
                <w:sz w:val="24"/>
              </w:rPr>
              <w:t>表</w:t>
            </w:r>
            <w:r>
              <w:rPr>
                <w:b/>
                <w:sz w:val="24"/>
              </w:rPr>
              <w:t>2-</w:t>
            </w:r>
            <w:r>
              <w:rPr>
                <w:rFonts w:hint="eastAsia"/>
                <w:b/>
                <w:sz w:val="24"/>
              </w:rPr>
              <w:t>50</w:t>
            </w:r>
            <w:r>
              <w:rPr>
                <w:b/>
                <w:sz w:val="24"/>
              </w:rPr>
              <w:t xml:space="preserve">  1#</w:t>
            </w:r>
            <w:r>
              <w:rPr>
                <w:b/>
                <w:sz w:val="24"/>
              </w:rPr>
              <w:t>熟料生产窑尾有组织废气监测结果</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418"/>
              <w:gridCol w:w="1163"/>
              <w:gridCol w:w="818"/>
              <w:gridCol w:w="824"/>
              <w:gridCol w:w="824"/>
              <w:gridCol w:w="672"/>
              <w:gridCol w:w="824"/>
              <w:gridCol w:w="824"/>
              <w:gridCol w:w="824"/>
              <w:gridCol w:w="572"/>
              <w:gridCol w:w="414"/>
            </w:tblGrid>
            <w:tr w:rsidR="00F76A63" w14:paraId="773BF4B2" w14:textId="77777777">
              <w:trPr>
                <w:trHeight w:val="340"/>
                <w:jc w:val="center"/>
              </w:trPr>
              <w:tc>
                <w:tcPr>
                  <w:tcW w:w="966" w:type="pct"/>
                  <w:gridSpan w:val="2"/>
                  <w:vMerge w:val="restart"/>
                  <w:vAlign w:val="center"/>
                </w:tcPr>
                <w:p w14:paraId="7AB0706D" w14:textId="77777777" w:rsidR="00F76A63" w:rsidRDefault="00000000">
                  <w:pPr>
                    <w:adjustRightInd w:val="0"/>
                    <w:snapToGrid w:val="0"/>
                    <w:jc w:val="center"/>
                    <w:rPr>
                      <w:b/>
                      <w:bCs/>
                      <w:sz w:val="18"/>
                      <w:szCs w:val="18"/>
                    </w:rPr>
                  </w:pPr>
                  <w:r>
                    <w:rPr>
                      <w:b/>
                      <w:bCs/>
                      <w:sz w:val="18"/>
                      <w:szCs w:val="18"/>
                    </w:rPr>
                    <w:t>检测项目</w:t>
                  </w:r>
                </w:p>
              </w:tc>
              <w:tc>
                <w:tcPr>
                  <w:tcW w:w="4034" w:type="pct"/>
                  <w:gridSpan w:val="9"/>
                  <w:tcBorders>
                    <w:bottom w:val="single" w:sz="4" w:space="0" w:color="auto"/>
                    <w:right w:val="nil"/>
                  </w:tcBorders>
                  <w:vAlign w:val="center"/>
                </w:tcPr>
                <w:p w14:paraId="5DD6099F" w14:textId="77777777" w:rsidR="00F76A63" w:rsidRDefault="00000000">
                  <w:pPr>
                    <w:adjustRightInd w:val="0"/>
                    <w:snapToGrid w:val="0"/>
                    <w:jc w:val="center"/>
                    <w:rPr>
                      <w:b/>
                      <w:bCs/>
                      <w:sz w:val="18"/>
                      <w:szCs w:val="18"/>
                    </w:rPr>
                  </w:pPr>
                  <w:r>
                    <w:rPr>
                      <w:b/>
                      <w:bCs/>
                      <w:sz w:val="18"/>
                      <w:szCs w:val="18"/>
                    </w:rPr>
                    <w:t>DA057</w:t>
                  </w:r>
                  <w:r>
                    <w:rPr>
                      <w:b/>
                      <w:bCs/>
                      <w:sz w:val="18"/>
                      <w:szCs w:val="18"/>
                    </w:rPr>
                    <w:t>（</w:t>
                  </w:r>
                  <w:r>
                    <w:rPr>
                      <w:b/>
                      <w:bCs/>
                      <w:sz w:val="18"/>
                      <w:szCs w:val="18"/>
                    </w:rPr>
                    <w:t>#1</w:t>
                  </w:r>
                  <w:r>
                    <w:rPr>
                      <w:b/>
                      <w:bCs/>
                      <w:sz w:val="18"/>
                      <w:szCs w:val="18"/>
                    </w:rPr>
                    <w:t>熟料窑尾）</w:t>
                  </w:r>
                </w:p>
              </w:tc>
            </w:tr>
            <w:tr w:rsidR="00F76A63" w14:paraId="092DCE08" w14:textId="77777777">
              <w:trPr>
                <w:trHeight w:val="340"/>
                <w:jc w:val="center"/>
              </w:trPr>
              <w:tc>
                <w:tcPr>
                  <w:tcW w:w="966" w:type="pct"/>
                  <w:gridSpan w:val="2"/>
                  <w:vMerge/>
                  <w:vAlign w:val="center"/>
                </w:tcPr>
                <w:p w14:paraId="52274BFF" w14:textId="77777777" w:rsidR="00F76A63" w:rsidRDefault="00F76A63">
                  <w:pPr>
                    <w:adjustRightInd w:val="0"/>
                    <w:snapToGrid w:val="0"/>
                    <w:jc w:val="center"/>
                    <w:rPr>
                      <w:b/>
                      <w:bCs/>
                      <w:sz w:val="18"/>
                      <w:szCs w:val="18"/>
                    </w:rPr>
                  </w:pPr>
                </w:p>
              </w:tc>
              <w:tc>
                <w:tcPr>
                  <w:tcW w:w="4034" w:type="pct"/>
                  <w:gridSpan w:val="9"/>
                  <w:tcBorders>
                    <w:top w:val="single" w:sz="4" w:space="0" w:color="auto"/>
                    <w:bottom w:val="single" w:sz="4" w:space="0" w:color="auto"/>
                    <w:right w:val="nil"/>
                  </w:tcBorders>
                  <w:vAlign w:val="center"/>
                </w:tcPr>
                <w:p w14:paraId="489B4EE0" w14:textId="77777777" w:rsidR="00F76A63" w:rsidRDefault="00000000">
                  <w:pPr>
                    <w:adjustRightInd w:val="0"/>
                    <w:snapToGrid w:val="0"/>
                    <w:jc w:val="center"/>
                    <w:rPr>
                      <w:b/>
                      <w:bCs/>
                      <w:sz w:val="18"/>
                      <w:szCs w:val="18"/>
                    </w:rPr>
                  </w:pPr>
                  <w:r>
                    <w:rPr>
                      <w:b/>
                      <w:bCs/>
                      <w:sz w:val="18"/>
                      <w:szCs w:val="18"/>
                    </w:rPr>
                    <w:t>202</w:t>
                  </w:r>
                  <w:r>
                    <w:rPr>
                      <w:rFonts w:hint="eastAsia"/>
                      <w:b/>
                      <w:bCs/>
                      <w:sz w:val="18"/>
                      <w:szCs w:val="18"/>
                    </w:rPr>
                    <w:t>6</w:t>
                  </w:r>
                  <w:r>
                    <w:rPr>
                      <w:b/>
                      <w:bCs/>
                      <w:sz w:val="18"/>
                      <w:szCs w:val="18"/>
                    </w:rPr>
                    <w:t>.03.</w:t>
                  </w:r>
                  <w:r>
                    <w:rPr>
                      <w:rFonts w:hint="eastAsia"/>
                      <w:b/>
                      <w:bCs/>
                      <w:sz w:val="18"/>
                      <w:szCs w:val="18"/>
                    </w:rPr>
                    <w:t>23</w:t>
                  </w:r>
                </w:p>
              </w:tc>
            </w:tr>
            <w:tr w:rsidR="00F76A63" w14:paraId="2699768E" w14:textId="77777777">
              <w:trPr>
                <w:trHeight w:val="340"/>
                <w:jc w:val="center"/>
              </w:trPr>
              <w:tc>
                <w:tcPr>
                  <w:tcW w:w="966" w:type="pct"/>
                  <w:gridSpan w:val="2"/>
                  <w:vMerge/>
                  <w:vAlign w:val="center"/>
                </w:tcPr>
                <w:p w14:paraId="3D45B68A" w14:textId="77777777" w:rsidR="00F76A63" w:rsidRDefault="00F76A63">
                  <w:pPr>
                    <w:adjustRightInd w:val="0"/>
                    <w:snapToGrid w:val="0"/>
                    <w:jc w:val="center"/>
                    <w:rPr>
                      <w:b/>
                      <w:bCs/>
                      <w:sz w:val="18"/>
                      <w:szCs w:val="18"/>
                    </w:rPr>
                  </w:pPr>
                </w:p>
              </w:tc>
              <w:tc>
                <w:tcPr>
                  <w:tcW w:w="500" w:type="pct"/>
                  <w:tcBorders>
                    <w:top w:val="single" w:sz="4" w:space="0" w:color="auto"/>
                  </w:tcBorders>
                  <w:vAlign w:val="center"/>
                </w:tcPr>
                <w:p w14:paraId="3678975D" w14:textId="77777777" w:rsidR="00F76A63" w:rsidRDefault="00000000">
                  <w:pPr>
                    <w:adjustRightInd w:val="0"/>
                    <w:snapToGrid w:val="0"/>
                    <w:jc w:val="center"/>
                    <w:rPr>
                      <w:b/>
                      <w:bCs/>
                      <w:sz w:val="18"/>
                      <w:szCs w:val="18"/>
                    </w:rPr>
                  </w:pPr>
                  <w:r>
                    <w:rPr>
                      <w:b/>
                      <w:bCs/>
                      <w:sz w:val="18"/>
                      <w:szCs w:val="18"/>
                    </w:rPr>
                    <w:t>第一次</w:t>
                  </w:r>
                </w:p>
              </w:tc>
              <w:tc>
                <w:tcPr>
                  <w:tcW w:w="504" w:type="pct"/>
                  <w:tcBorders>
                    <w:top w:val="single" w:sz="4" w:space="0" w:color="auto"/>
                  </w:tcBorders>
                  <w:vAlign w:val="center"/>
                </w:tcPr>
                <w:p w14:paraId="4B538C59" w14:textId="77777777" w:rsidR="00F76A63" w:rsidRDefault="00000000">
                  <w:pPr>
                    <w:adjustRightInd w:val="0"/>
                    <w:snapToGrid w:val="0"/>
                    <w:jc w:val="center"/>
                    <w:rPr>
                      <w:b/>
                      <w:bCs/>
                      <w:sz w:val="18"/>
                      <w:szCs w:val="18"/>
                    </w:rPr>
                  </w:pPr>
                  <w:r>
                    <w:rPr>
                      <w:b/>
                      <w:bCs/>
                      <w:sz w:val="18"/>
                      <w:szCs w:val="18"/>
                    </w:rPr>
                    <w:t>第二次</w:t>
                  </w:r>
                </w:p>
              </w:tc>
              <w:tc>
                <w:tcPr>
                  <w:tcW w:w="504" w:type="pct"/>
                  <w:tcBorders>
                    <w:top w:val="single" w:sz="4" w:space="0" w:color="auto"/>
                  </w:tcBorders>
                  <w:vAlign w:val="center"/>
                </w:tcPr>
                <w:p w14:paraId="5F3C09B2" w14:textId="77777777" w:rsidR="00F76A63" w:rsidRDefault="00000000">
                  <w:pPr>
                    <w:adjustRightInd w:val="0"/>
                    <w:snapToGrid w:val="0"/>
                    <w:jc w:val="center"/>
                    <w:rPr>
                      <w:b/>
                      <w:bCs/>
                      <w:sz w:val="18"/>
                      <w:szCs w:val="18"/>
                    </w:rPr>
                  </w:pPr>
                  <w:r>
                    <w:rPr>
                      <w:b/>
                      <w:bCs/>
                      <w:sz w:val="18"/>
                      <w:szCs w:val="18"/>
                    </w:rPr>
                    <w:t>第三次</w:t>
                  </w:r>
                </w:p>
              </w:tc>
              <w:tc>
                <w:tcPr>
                  <w:tcW w:w="411" w:type="pct"/>
                  <w:tcBorders>
                    <w:top w:val="single" w:sz="4" w:space="0" w:color="auto"/>
                  </w:tcBorders>
                  <w:vAlign w:val="center"/>
                </w:tcPr>
                <w:p w14:paraId="1D4CE9ED" w14:textId="77777777" w:rsidR="00F76A63" w:rsidRDefault="00000000">
                  <w:pPr>
                    <w:adjustRightInd w:val="0"/>
                    <w:snapToGrid w:val="0"/>
                    <w:jc w:val="center"/>
                    <w:rPr>
                      <w:b/>
                      <w:bCs/>
                      <w:sz w:val="18"/>
                      <w:szCs w:val="18"/>
                    </w:rPr>
                  </w:pPr>
                  <w:r>
                    <w:rPr>
                      <w:b/>
                      <w:bCs/>
                      <w:sz w:val="18"/>
                      <w:szCs w:val="18"/>
                    </w:rPr>
                    <w:t>平均值</w:t>
                  </w:r>
                </w:p>
              </w:tc>
              <w:tc>
                <w:tcPr>
                  <w:tcW w:w="504" w:type="pct"/>
                  <w:tcBorders>
                    <w:top w:val="single" w:sz="4" w:space="0" w:color="auto"/>
                  </w:tcBorders>
                  <w:vAlign w:val="center"/>
                </w:tcPr>
                <w:p w14:paraId="2AB6F108" w14:textId="77777777" w:rsidR="00F76A63" w:rsidRDefault="00000000">
                  <w:pPr>
                    <w:adjustRightInd w:val="0"/>
                    <w:snapToGrid w:val="0"/>
                    <w:jc w:val="center"/>
                    <w:rPr>
                      <w:b/>
                      <w:bCs/>
                      <w:sz w:val="18"/>
                      <w:szCs w:val="18"/>
                    </w:rPr>
                  </w:pPr>
                  <w:r>
                    <w:rPr>
                      <w:b/>
                      <w:bCs/>
                      <w:sz w:val="18"/>
                      <w:szCs w:val="18"/>
                    </w:rPr>
                    <w:t>第四次</w:t>
                  </w:r>
                </w:p>
              </w:tc>
              <w:tc>
                <w:tcPr>
                  <w:tcW w:w="504" w:type="pct"/>
                  <w:tcBorders>
                    <w:top w:val="single" w:sz="4" w:space="0" w:color="auto"/>
                  </w:tcBorders>
                  <w:vAlign w:val="center"/>
                </w:tcPr>
                <w:p w14:paraId="474981C5" w14:textId="77777777" w:rsidR="00F76A63" w:rsidRDefault="00000000">
                  <w:pPr>
                    <w:adjustRightInd w:val="0"/>
                    <w:snapToGrid w:val="0"/>
                    <w:jc w:val="center"/>
                    <w:rPr>
                      <w:b/>
                      <w:bCs/>
                      <w:sz w:val="18"/>
                      <w:szCs w:val="18"/>
                    </w:rPr>
                  </w:pPr>
                  <w:r>
                    <w:rPr>
                      <w:b/>
                      <w:bCs/>
                      <w:sz w:val="18"/>
                      <w:szCs w:val="18"/>
                    </w:rPr>
                    <w:t>第五次</w:t>
                  </w:r>
                </w:p>
              </w:tc>
              <w:tc>
                <w:tcPr>
                  <w:tcW w:w="504" w:type="pct"/>
                  <w:tcBorders>
                    <w:top w:val="single" w:sz="4" w:space="0" w:color="auto"/>
                  </w:tcBorders>
                  <w:vAlign w:val="center"/>
                </w:tcPr>
                <w:p w14:paraId="6A042F71" w14:textId="77777777" w:rsidR="00F76A63" w:rsidRDefault="00000000">
                  <w:pPr>
                    <w:adjustRightInd w:val="0"/>
                    <w:snapToGrid w:val="0"/>
                    <w:jc w:val="center"/>
                    <w:rPr>
                      <w:b/>
                      <w:bCs/>
                      <w:sz w:val="18"/>
                      <w:szCs w:val="18"/>
                    </w:rPr>
                  </w:pPr>
                  <w:r>
                    <w:rPr>
                      <w:b/>
                      <w:bCs/>
                      <w:sz w:val="18"/>
                      <w:szCs w:val="18"/>
                    </w:rPr>
                    <w:t>第六次</w:t>
                  </w:r>
                </w:p>
              </w:tc>
              <w:tc>
                <w:tcPr>
                  <w:tcW w:w="349" w:type="pct"/>
                  <w:tcBorders>
                    <w:top w:val="single" w:sz="4" w:space="0" w:color="auto"/>
                  </w:tcBorders>
                  <w:vAlign w:val="center"/>
                </w:tcPr>
                <w:p w14:paraId="3D9CE9D4" w14:textId="77777777" w:rsidR="00F76A63" w:rsidRDefault="00000000">
                  <w:pPr>
                    <w:adjustRightInd w:val="0"/>
                    <w:snapToGrid w:val="0"/>
                    <w:jc w:val="center"/>
                    <w:rPr>
                      <w:b/>
                      <w:bCs/>
                      <w:sz w:val="18"/>
                      <w:szCs w:val="18"/>
                    </w:rPr>
                  </w:pPr>
                  <w:r>
                    <w:rPr>
                      <w:b/>
                      <w:bCs/>
                      <w:sz w:val="18"/>
                      <w:szCs w:val="18"/>
                    </w:rPr>
                    <w:t>平均值</w:t>
                  </w:r>
                </w:p>
              </w:tc>
              <w:tc>
                <w:tcPr>
                  <w:tcW w:w="253" w:type="pct"/>
                  <w:tcBorders>
                    <w:top w:val="single" w:sz="4" w:space="0" w:color="auto"/>
                  </w:tcBorders>
                  <w:vAlign w:val="center"/>
                </w:tcPr>
                <w:p w14:paraId="47C33372" w14:textId="77777777" w:rsidR="00F76A63" w:rsidRDefault="00000000">
                  <w:pPr>
                    <w:adjustRightInd w:val="0"/>
                    <w:snapToGrid w:val="0"/>
                    <w:jc w:val="center"/>
                    <w:rPr>
                      <w:b/>
                      <w:bCs/>
                      <w:sz w:val="18"/>
                      <w:szCs w:val="18"/>
                    </w:rPr>
                  </w:pPr>
                  <w:r>
                    <w:rPr>
                      <w:b/>
                      <w:bCs/>
                      <w:sz w:val="18"/>
                      <w:szCs w:val="18"/>
                    </w:rPr>
                    <w:t>标准限值</w:t>
                  </w:r>
                </w:p>
              </w:tc>
            </w:tr>
            <w:tr w:rsidR="00F76A63" w14:paraId="69EE6646" w14:textId="77777777">
              <w:trPr>
                <w:trHeight w:val="340"/>
                <w:jc w:val="center"/>
              </w:trPr>
              <w:tc>
                <w:tcPr>
                  <w:tcW w:w="966" w:type="pct"/>
                  <w:gridSpan w:val="2"/>
                  <w:vAlign w:val="center"/>
                </w:tcPr>
                <w:p w14:paraId="6865ECC4" w14:textId="77777777" w:rsidR="00F76A63" w:rsidRDefault="00000000">
                  <w:pPr>
                    <w:adjustRightInd w:val="0"/>
                    <w:snapToGrid w:val="0"/>
                    <w:jc w:val="center"/>
                    <w:rPr>
                      <w:sz w:val="18"/>
                      <w:szCs w:val="18"/>
                    </w:rPr>
                  </w:pPr>
                  <w:r>
                    <w:rPr>
                      <w:sz w:val="18"/>
                      <w:szCs w:val="18"/>
                    </w:rPr>
                    <w:t>温度（</w:t>
                  </w:r>
                  <w:r>
                    <w:rPr>
                      <w:sz w:val="18"/>
                      <w:szCs w:val="18"/>
                    </w:rPr>
                    <w:t>℃</w:t>
                  </w:r>
                  <w:r>
                    <w:rPr>
                      <w:sz w:val="18"/>
                      <w:szCs w:val="18"/>
                    </w:rPr>
                    <w:t>）</w:t>
                  </w:r>
                </w:p>
              </w:tc>
              <w:tc>
                <w:tcPr>
                  <w:tcW w:w="500" w:type="pct"/>
                  <w:vAlign w:val="center"/>
                </w:tcPr>
                <w:p w14:paraId="29390A79" w14:textId="77777777" w:rsidR="00F76A63" w:rsidRDefault="00000000">
                  <w:pPr>
                    <w:adjustRightInd w:val="0"/>
                    <w:snapToGrid w:val="0"/>
                    <w:jc w:val="center"/>
                    <w:rPr>
                      <w:sz w:val="18"/>
                      <w:szCs w:val="18"/>
                    </w:rPr>
                  </w:pPr>
                  <w:r>
                    <w:rPr>
                      <w:rFonts w:hint="eastAsia"/>
                      <w:sz w:val="18"/>
                      <w:szCs w:val="18"/>
                    </w:rPr>
                    <w:t>79.4</w:t>
                  </w:r>
                </w:p>
              </w:tc>
              <w:tc>
                <w:tcPr>
                  <w:tcW w:w="504" w:type="pct"/>
                  <w:vAlign w:val="center"/>
                </w:tcPr>
                <w:p w14:paraId="0C5393AF" w14:textId="77777777" w:rsidR="00F76A63" w:rsidRDefault="00000000">
                  <w:pPr>
                    <w:adjustRightInd w:val="0"/>
                    <w:snapToGrid w:val="0"/>
                    <w:jc w:val="center"/>
                    <w:rPr>
                      <w:sz w:val="18"/>
                      <w:szCs w:val="18"/>
                    </w:rPr>
                  </w:pPr>
                  <w:r>
                    <w:rPr>
                      <w:rFonts w:hint="eastAsia"/>
                      <w:sz w:val="18"/>
                      <w:szCs w:val="18"/>
                    </w:rPr>
                    <w:t>78.0</w:t>
                  </w:r>
                </w:p>
              </w:tc>
              <w:tc>
                <w:tcPr>
                  <w:tcW w:w="504" w:type="pct"/>
                  <w:vAlign w:val="center"/>
                </w:tcPr>
                <w:p w14:paraId="7D555E3D" w14:textId="77777777" w:rsidR="00F76A63" w:rsidRDefault="00000000">
                  <w:pPr>
                    <w:adjustRightInd w:val="0"/>
                    <w:snapToGrid w:val="0"/>
                    <w:jc w:val="center"/>
                    <w:rPr>
                      <w:sz w:val="18"/>
                      <w:szCs w:val="18"/>
                    </w:rPr>
                  </w:pPr>
                  <w:r>
                    <w:rPr>
                      <w:rFonts w:hint="eastAsia"/>
                      <w:sz w:val="18"/>
                      <w:szCs w:val="18"/>
                    </w:rPr>
                    <w:t>74.6</w:t>
                  </w:r>
                </w:p>
              </w:tc>
              <w:tc>
                <w:tcPr>
                  <w:tcW w:w="411" w:type="pct"/>
                  <w:vAlign w:val="center"/>
                </w:tcPr>
                <w:p w14:paraId="4F0D36CE" w14:textId="77777777" w:rsidR="00F76A63" w:rsidRDefault="00000000">
                  <w:pPr>
                    <w:adjustRightInd w:val="0"/>
                    <w:snapToGrid w:val="0"/>
                    <w:jc w:val="center"/>
                    <w:rPr>
                      <w:sz w:val="18"/>
                      <w:szCs w:val="18"/>
                    </w:rPr>
                  </w:pPr>
                  <w:r>
                    <w:rPr>
                      <w:rFonts w:hint="eastAsia"/>
                      <w:sz w:val="18"/>
                      <w:szCs w:val="18"/>
                    </w:rPr>
                    <w:t>77.3</w:t>
                  </w:r>
                </w:p>
              </w:tc>
              <w:tc>
                <w:tcPr>
                  <w:tcW w:w="1862" w:type="pct"/>
                  <w:gridSpan w:val="4"/>
                  <w:vMerge w:val="restart"/>
                  <w:vAlign w:val="center"/>
                </w:tcPr>
                <w:p w14:paraId="48FC655C" w14:textId="77777777" w:rsidR="00F76A63" w:rsidRDefault="00000000">
                  <w:pPr>
                    <w:adjustRightInd w:val="0"/>
                    <w:snapToGrid w:val="0"/>
                    <w:jc w:val="center"/>
                    <w:rPr>
                      <w:sz w:val="18"/>
                      <w:szCs w:val="18"/>
                    </w:rPr>
                  </w:pPr>
                  <w:r>
                    <w:rPr>
                      <w:sz w:val="18"/>
                      <w:szCs w:val="18"/>
                    </w:rPr>
                    <w:t>/</w:t>
                  </w:r>
                </w:p>
              </w:tc>
              <w:tc>
                <w:tcPr>
                  <w:tcW w:w="253" w:type="pct"/>
                  <w:vAlign w:val="center"/>
                </w:tcPr>
                <w:p w14:paraId="15C9632D" w14:textId="77777777" w:rsidR="00F76A63" w:rsidRDefault="00000000">
                  <w:pPr>
                    <w:adjustRightInd w:val="0"/>
                    <w:snapToGrid w:val="0"/>
                    <w:jc w:val="center"/>
                    <w:rPr>
                      <w:sz w:val="18"/>
                      <w:szCs w:val="18"/>
                    </w:rPr>
                  </w:pPr>
                  <w:r>
                    <w:rPr>
                      <w:sz w:val="18"/>
                      <w:szCs w:val="18"/>
                    </w:rPr>
                    <w:t>-</w:t>
                  </w:r>
                </w:p>
              </w:tc>
            </w:tr>
            <w:tr w:rsidR="00F76A63" w14:paraId="2E1DE0CC" w14:textId="77777777">
              <w:trPr>
                <w:trHeight w:val="340"/>
                <w:jc w:val="center"/>
              </w:trPr>
              <w:tc>
                <w:tcPr>
                  <w:tcW w:w="966" w:type="pct"/>
                  <w:gridSpan w:val="2"/>
                  <w:vAlign w:val="center"/>
                </w:tcPr>
                <w:p w14:paraId="79D67CB8" w14:textId="77777777" w:rsidR="00F76A63" w:rsidRDefault="00000000">
                  <w:pPr>
                    <w:adjustRightInd w:val="0"/>
                    <w:snapToGrid w:val="0"/>
                    <w:jc w:val="center"/>
                    <w:rPr>
                      <w:sz w:val="18"/>
                      <w:szCs w:val="18"/>
                    </w:rPr>
                  </w:pPr>
                  <w:r>
                    <w:rPr>
                      <w:sz w:val="18"/>
                      <w:szCs w:val="18"/>
                    </w:rPr>
                    <w:t>流速（</w:t>
                  </w:r>
                  <w:r>
                    <w:rPr>
                      <w:sz w:val="18"/>
                      <w:szCs w:val="18"/>
                    </w:rPr>
                    <w:t>m/s</w:t>
                  </w:r>
                  <w:r>
                    <w:rPr>
                      <w:sz w:val="18"/>
                      <w:szCs w:val="18"/>
                    </w:rPr>
                    <w:t>）</w:t>
                  </w:r>
                </w:p>
              </w:tc>
              <w:tc>
                <w:tcPr>
                  <w:tcW w:w="500" w:type="pct"/>
                  <w:vAlign w:val="center"/>
                </w:tcPr>
                <w:p w14:paraId="347B9143" w14:textId="77777777" w:rsidR="00F76A63" w:rsidRDefault="00000000">
                  <w:pPr>
                    <w:adjustRightInd w:val="0"/>
                    <w:snapToGrid w:val="0"/>
                    <w:jc w:val="center"/>
                    <w:rPr>
                      <w:sz w:val="18"/>
                      <w:szCs w:val="18"/>
                    </w:rPr>
                  </w:pPr>
                  <w:r>
                    <w:rPr>
                      <w:rFonts w:hint="eastAsia"/>
                      <w:sz w:val="18"/>
                      <w:szCs w:val="18"/>
                    </w:rPr>
                    <w:t>11.2</w:t>
                  </w:r>
                </w:p>
              </w:tc>
              <w:tc>
                <w:tcPr>
                  <w:tcW w:w="504" w:type="pct"/>
                  <w:vAlign w:val="center"/>
                </w:tcPr>
                <w:p w14:paraId="038078E8" w14:textId="77777777" w:rsidR="00F76A63" w:rsidRDefault="00000000">
                  <w:pPr>
                    <w:adjustRightInd w:val="0"/>
                    <w:snapToGrid w:val="0"/>
                    <w:jc w:val="center"/>
                    <w:rPr>
                      <w:sz w:val="18"/>
                      <w:szCs w:val="18"/>
                    </w:rPr>
                  </w:pPr>
                  <w:r>
                    <w:rPr>
                      <w:rFonts w:hint="eastAsia"/>
                      <w:sz w:val="18"/>
                      <w:szCs w:val="18"/>
                    </w:rPr>
                    <w:t>10.3</w:t>
                  </w:r>
                </w:p>
              </w:tc>
              <w:tc>
                <w:tcPr>
                  <w:tcW w:w="504" w:type="pct"/>
                  <w:vAlign w:val="center"/>
                </w:tcPr>
                <w:p w14:paraId="72AB0D48" w14:textId="77777777" w:rsidR="00F76A63" w:rsidRDefault="00000000">
                  <w:pPr>
                    <w:adjustRightInd w:val="0"/>
                    <w:snapToGrid w:val="0"/>
                    <w:jc w:val="center"/>
                    <w:rPr>
                      <w:sz w:val="18"/>
                      <w:szCs w:val="18"/>
                    </w:rPr>
                  </w:pPr>
                  <w:r>
                    <w:rPr>
                      <w:rFonts w:hint="eastAsia"/>
                      <w:sz w:val="18"/>
                      <w:szCs w:val="18"/>
                    </w:rPr>
                    <w:t>9.8</w:t>
                  </w:r>
                </w:p>
              </w:tc>
              <w:tc>
                <w:tcPr>
                  <w:tcW w:w="411" w:type="pct"/>
                  <w:vAlign w:val="center"/>
                </w:tcPr>
                <w:p w14:paraId="27297B6B" w14:textId="77777777" w:rsidR="00F76A63" w:rsidRDefault="00000000">
                  <w:pPr>
                    <w:adjustRightInd w:val="0"/>
                    <w:snapToGrid w:val="0"/>
                    <w:jc w:val="center"/>
                    <w:rPr>
                      <w:sz w:val="18"/>
                      <w:szCs w:val="18"/>
                    </w:rPr>
                  </w:pPr>
                  <w:r>
                    <w:rPr>
                      <w:rFonts w:hint="eastAsia"/>
                      <w:sz w:val="18"/>
                      <w:szCs w:val="18"/>
                    </w:rPr>
                    <w:t>10.4</w:t>
                  </w:r>
                </w:p>
              </w:tc>
              <w:tc>
                <w:tcPr>
                  <w:tcW w:w="1862" w:type="pct"/>
                  <w:gridSpan w:val="4"/>
                  <w:vMerge/>
                  <w:vAlign w:val="center"/>
                </w:tcPr>
                <w:p w14:paraId="7D707FE0" w14:textId="77777777" w:rsidR="00F76A63" w:rsidRDefault="00F76A63">
                  <w:pPr>
                    <w:adjustRightInd w:val="0"/>
                    <w:snapToGrid w:val="0"/>
                    <w:jc w:val="center"/>
                    <w:rPr>
                      <w:sz w:val="18"/>
                      <w:szCs w:val="18"/>
                    </w:rPr>
                  </w:pPr>
                </w:p>
              </w:tc>
              <w:tc>
                <w:tcPr>
                  <w:tcW w:w="253" w:type="pct"/>
                  <w:vAlign w:val="center"/>
                </w:tcPr>
                <w:p w14:paraId="5FE6A391" w14:textId="77777777" w:rsidR="00F76A63" w:rsidRDefault="00000000">
                  <w:pPr>
                    <w:adjustRightInd w:val="0"/>
                    <w:snapToGrid w:val="0"/>
                    <w:jc w:val="center"/>
                    <w:rPr>
                      <w:sz w:val="18"/>
                      <w:szCs w:val="18"/>
                    </w:rPr>
                  </w:pPr>
                  <w:r>
                    <w:rPr>
                      <w:sz w:val="18"/>
                      <w:szCs w:val="18"/>
                    </w:rPr>
                    <w:t>-</w:t>
                  </w:r>
                </w:p>
              </w:tc>
            </w:tr>
            <w:tr w:rsidR="00F76A63" w14:paraId="56721106" w14:textId="77777777">
              <w:trPr>
                <w:trHeight w:val="340"/>
                <w:jc w:val="center"/>
              </w:trPr>
              <w:tc>
                <w:tcPr>
                  <w:tcW w:w="966" w:type="pct"/>
                  <w:gridSpan w:val="2"/>
                  <w:vAlign w:val="center"/>
                </w:tcPr>
                <w:p w14:paraId="4B45B3E5" w14:textId="77777777" w:rsidR="00F76A63" w:rsidRDefault="00000000">
                  <w:pPr>
                    <w:adjustRightInd w:val="0"/>
                    <w:snapToGrid w:val="0"/>
                    <w:jc w:val="center"/>
                    <w:rPr>
                      <w:sz w:val="18"/>
                      <w:szCs w:val="18"/>
                    </w:rPr>
                  </w:pPr>
                  <w:r>
                    <w:rPr>
                      <w:sz w:val="18"/>
                      <w:szCs w:val="18"/>
                    </w:rPr>
                    <w:t>湿度（</w:t>
                  </w:r>
                  <w:r>
                    <w:rPr>
                      <w:sz w:val="18"/>
                      <w:szCs w:val="18"/>
                    </w:rPr>
                    <w:t>%</w:t>
                  </w:r>
                  <w:r>
                    <w:rPr>
                      <w:sz w:val="18"/>
                      <w:szCs w:val="18"/>
                    </w:rPr>
                    <w:t>）</w:t>
                  </w:r>
                </w:p>
              </w:tc>
              <w:tc>
                <w:tcPr>
                  <w:tcW w:w="500" w:type="pct"/>
                  <w:vAlign w:val="center"/>
                </w:tcPr>
                <w:p w14:paraId="4C134476" w14:textId="77777777" w:rsidR="00F76A63" w:rsidRDefault="00000000">
                  <w:pPr>
                    <w:adjustRightInd w:val="0"/>
                    <w:snapToGrid w:val="0"/>
                    <w:jc w:val="center"/>
                    <w:rPr>
                      <w:sz w:val="18"/>
                      <w:szCs w:val="18"/>
                    </w:rPr>
                  </w:pPr>
                  <w:r>
                    <w:rPr>
                      <w:rFonts w:hint="eastAsia"/>
                      <w:sz w:val="18"/>
                      <w:szCs w:val="18"/>
                    </w:rPr>
                    <w:t>13.4</w:t>
                  </w:r>
                </w:p>
              </w:tc>
              <w:tc>
                <w:tcPr>
                  <w:tcW w:w="504" w:type="pct"/>
                  <w:vAlign w:val="center"/>
                </w:tcPr>
                <w:p w14:paraId="1A364EC4" w14:textId="77777777" w:rsidR="00F76A63" w:rsidRDefault="00000000">
                  <w:pPr>
                    <w:adjustRightInd w:val="0"/>
                    <w:snapToGrid w:val="0"/>
                    <w:jc w:val="center"/>
                    <w:rPr>
                      <w:sz w:val="18"/>
                      <w:szCs w:val="18"/>
                    </w:rPr>
                  </w:pPr>
                  <w:r>
                    <w:rPr>
                      <w:rFonts w:hint="eastAsia"/>
                      <w:sz w:val="18"/>
                      <w:szCs w:val="18"/>
                    </w:rPr>
                    <w:t>13.2</w:t>
                  </w:r>
                </w:p>
              </w:tc>
              <w:tc>
                <w:tcPr>
                  <w:tcW w:w="504" w:type="pct"/>
                  <w:vAlign w:val="center"/>
                </w:tcPr>
                <w:p w14:paraId="30787E42" w14:textId="77777777" w:rsidR="00F76A63" w:rsidRDefault="00000000">
                  <w:pPr>
                    <w:adjustRightInd w:val="0"/>
                    <w:snapToGrid w:val="0"/>
                    <w:jc w:val="center"/>
                    <w:rPr>
                      <w:sz w:val="18"/>
                      <w:szCs w:val="18"/>
                    </w:rPr>
                  </w:pPr>
                  <w:r>
                    <w:rPr>
                      <w:rFonts w:hint="eastAsia"/>
                      <w:sz w:val="18"/>
                      <w:szCs w:val="18"/>
                    </w:rPr>
                    <w:t>13.1</w:t>
                  </w:r>
                </w:p>
              </w:tc>
              <w:tc>
                <w:tcPr>
                  <w:tcW w:w="411" w:type="pct"/>
                  <w:vAlign w:val="center"/>
                </w:tcPr>
                <w:p w14:paraId="199087A4" w14:textId="77777777" w:rsidR="00F76A63" w:rsidRDefault="00000000">
                  <w:pPr>
                    <w:adjustRightInd w:val="0"/>
                    <w:snapToGrid w:val="0"/>
                    <w:jc w:val="center"/>
                    <w:rPr>
                      <w:sz w:val="18"/>
                      <w:szCs w:val="18"/>
                    </w:rPr>
                  </w:pPr>
                  <w:r>
                    <w:rPr>
                      <w:rFonts w:hint="eastAsia"/>
                      <w:sz w:val="18"/>
                      <w:szCs w:val="18"/>
                    </w:rPr>
                    <w:t>13.2</w:t>
                  </w:r>
                </w:p>
              </w:tc>
              <w:tc>
                <w:tcPr>
                  <w:tcW w:w="1862" w:type="pct"/>
                  <w:gridSpan w:val="4"/>
                  <w:vMerge/>
                  <w:vAlign w:val="center"/>
                </w:tcPr>
                <w:p w14:paraId="58B05400" w14:textId="77777777" w:rsidR="00F76A63" w:rsidRDefault="00F76A63">
                  <w:pPr>
                    <w:adjustRightInd w:val="0"/>
                    <w:snapToGrid w:val="0"/>
                    <w:jc w:val="center"/>
                    <w:rPr>
                      <w:sz w:val="18"/>
                      <w:szCs w:val="18"/>
                    </w:rPr>
                  </w:pPr>
                </w:p>
              </w:tc>
              <w:tc>
                <w:tcPr>
                  <w:tcW w:w="253" w:type="pct"/>
                  <w:vAlign w:val="center"/>
                </w:tcPr>
                <w:p w14:paraId="7F937164" w14:textId="77777777" w:rsidR="00F76A63" w:rsidRDefault="00000000">
                  <w:pPr>
                    <w:adjustRightInd w:val="0"/>
                    <w:snapToGrid w:val="0"/>
                    <w:jc w:val="center"/>
                    <w:rPr>
                      <w:sz w:val="18"/>
                      <w:szCs w:val="18"/>
                    </w:rPr>
                  </w:pPr>
                  <w:r>
                    <w:rPr>
                      <w:sz w:val="18"/>
                      <w:szCs w:val="18"/>
                    </w:rPr>
                    <w:t>-</w:t>
                  </w:r>
                </w:p>
              </w:tc>
            </w:tr>
            <w:tr w:rsidR="00F76A63" w14:paraId="4669048A" w14:textId="77777777">
              <w:trPr>
                <w:trHeight w:val="340"/>
                <w:jc w:val="center"/>
              </w:trPr>
              <w:tc>
                <w:tcPr>
                  <w:tcW w:w="966" w:type="pct"/>
                  <w:gridSpan w:val="2"/>
                  <w:vAlign w:val="center"/>
                </w:tcPr>
                <w:p w14:paraId="7103EB38" w14:textId="77777777" w:rsidR="00F76A63" w:rsidRDefault="00000000">
                  <w:pPr>
                    <w:adjustRightInd w:val="0"/>
                    <w:snapToGrid w:val="0"/>
                    <w:jc w:val="center"/>
                    <w:rPr>
                      <w:sz w:val="18"/>
                      <w:szCs w:val="18"/>
                    </w:rPr>
                  </w:pPr>
                  <w:r>
                    <w:rPr>
                      <w:sz w:val="18"/>
                      <w:szCs w:val="18"/>
                    </w:rPr>
                    <w:t>含氧量（</w:t>
                  </w:r>
                  <w:r>
                    <w:rPr>
                      <w:sz w:val="18"/>
                      <w:szCs w:val="18"/>
                    </w:rPr>
                    <w:t>%</w:t>
                  </w:r>
                  <w:r>
                    <w:rPr>
                      <w:sz w:val="18"/>
                      <w:szCs w:val="18"/>
                    </w:rPr>
                    <w:t>）</w:t>
                  </w:r>
                </w:p>
              </w:tc>
              <w:tc>
                <w:tcPr>
                  <w:tcW w:w="500" w:type="pct"/>
                  <w:vAlign w:val="center"/>
                </w:tcPr>
                <w:p w14:paraId="3E63AD98" w14:textId="77777777" w:rsidR="00F76A63" w:rsidRDefault="00000000">
                  <w:pPr>
                    <w:adjustRightInd w:val="0"/>
                    <w:snapToGrid w:val="0"/>
                    <w:jc w:val="center"/>
                    <w:rPr>
                      <w:sz w:val="18"/>
                      <w:szCs w:val="18"/>
                    </w:rPr>
                  </w:pPr>
                  <w:r>
                    <w:rPr>
                      <w:rFonts w:hint="eastAsia"/>
                      <w:sz w:val="18"/>
                      <w:szCs w:val="18"/>
                    </w:rPr>
                    <w:t>9.3</w:t>
                  </w:r>
                </w:p>
              </w:tc>
              <w:tc>
                <w:tcPr>
                  <w:tcW w:w="504" w:type="pct"/>
                  <w:vAlign w:val="center"/>
                </w:tcPr>
                <w:p w14:paraId="11076994" w14:textId="77777777" w:rsidR="00F76A63" w:rsidRDefault="00000000">
                  <w:pPr>
                    <w:adjustRightInd w:val="0"/>
                    <w:snapToGrid w:val="0"/>
                    <w:jc w:val="center"/>
                    <w:rPr>
                      <w:sz w:val="18"/>
                      <w:szCs w:val="18"/>
                    </w:rPr>
                  </w:pPr>
                  <w:r>
                    <w:rPr>
                      <w:rFonts w:hint="eastAsia"/>
                      <w:sz w:val="18"/>
                      <w:szCs w:val="18"/>
                    </w:rPr>
                    <w:t>9.1</w:t>
                  </w:r>
                </w:p>
              </w:tc>
              <w:tc>
                <w:tcPr>
                  <w:tcW w:w="504" w:type="pct"/>
                  <w:vAlign w:val="center"/>
                </w:tcPr>
                <w:p w14:paraId="6469FF92" w14:textId="77777777" w:rsidR="00F76A63" w:rsidRDefault="00000000">
                  <w:pPr>
                    <w:adjustRightInd w:val="0"/>
                    <w:snapToGrid w:val="0"/>
                    <w:jc w:val="center"/>
                    <w:rPr>
                      <w:sz w:val="18"/>
                      <w:szCs w:val="18"/>
                    </w:rPr>
                  </w:pPr>
                  <w:r>
                    <w:rPr>
                      <w:rFonts w:hint="eastAsia"/>
                      <w:sz w:val="18"/>
                      <w:szCs w:val="18"/>
                    </w:rPr>
                    <w:t>9.4</w:t>
                  </w:r>
                </w:p>
              </w:tc>
              <w:tc>
                <w:tcPr>
                  <w:tcW w:w="411" w:type="pct"/>
                  <w:vAlign w:val="center"/>
                </w:tcPr>
                <w:p w14:paraId="517E75B4" w14:textId="77777777" w:rsidR="00F76A63" w:rsidRDefault="00000000">
                  <w:pPr>
                    <w:adjustRightInd w:val="0"/>
                    <w:snapToGrid w:val="0"/>
                    <w:jc w:val="center"/>
                    <w:rPr>
                      <w:sz w:val="18"/>
                      <w:szCs w:val="18"/>
                    </w:rPr>
                  </w:pPr>
                  <w:r>
                    <w:rPr>
                      <w:rFonts w:hint="eastAsia"/>
                      <w:sz w:val="18"/>
                      <w:szCs w:val="18"/>
                    </w:rPr>
                    <w:t>9.3</w:t>
                  </w:r>
                </w:p>
              </w:tc>
              <w:tc>
                <w:tcPr>
                  <w:tcW w:w="504" w:type="pct"/>
                  <w:vAlign w:val="center"/>
                </w:tcPr>
                <w:p w14:paraId="7B766948" w14:textId="77777777" w:rsidR="00F76A63" w:rsidRDefault="00000000">
                  <w:pPr>
                    <w:adjustRightInd w:val="0"/>
                    <w:snapToGrid w:val="0"/>
                    <w:jc w:val="center"/>
                    <w:rPr>
                      <w:sz w:val="18"/>
                      <w:szCs w:val="18"/>
                    </w:rPr>
                  </w:pPr>
                  <w:r>
                    <w:rPr>
                      <w:rFonts w:hint="eastAsia"/>
                      <w:sz w:val="18"/>
                      <w:szCs w:val="18"/>
                    </w:rPr>
                    <w:t>9.2</w:t>
                  </w:r>
                </w:p>
              </w:tc>
              <w:tc>
                <w:tcPr>
                  <w:tcW w:w="504" w:type="pct"/>
                  <w:vAlign w:val="center"/>
                </w:tcPr>
                <w:p w14:paraId="08B1E8C5" w14:textId="77777777" w:rsidR="00F76A63" w:rsidRDefault="00000000">
                  <w:pPr>
                    <w:adjustRightInd w:val="0"/>
                    <w:snapToGrid w:val="0"/>
                    <w:jc w:val="center"/>
                    <w:rPr>
                      <w:sz w:val="18"/>
                      <w:szCs w:val="18"/>
                    </w:rPr>
                  </w:pPr>
                  <w:r>
                    <w:rPr>
                      <w:rFonts w:hint="eastAsia"/>
                      <w:sz w:val="18"/>
                      <w:szCs w:val="18"/>
                    </w:rPr>
                    <w:t>9.2</w:t>
                  </w:r>
                </w:p>
              </w:tc>
              <w:tc>
                <w:tcPr>
                  <w:tcW w:w="504" w:type="pct"/>
                  <w:vAlign w:val="center"/>
                </w:tcPr>
                <w:p w14:paraId="2C3B798D" w14:textId="77777777" w:rsidR="00F76A63" w:rsidRDefault="00000000">
                  <w:pPr>
                    <w:adjustRightInd w:val="0"/>
                    <w:snapToGrid w:val="0"/>
                    <w:jc w:val="center"/>
                    <w:rPr>
                      <w:sz w:val="18"/>
                      <w:szCs w:val="18"/>
                    </w:rPr>
                  </w:pPr>
                  <w:r>
                    <w:rPr>
                      <w:rFonts w:hint="eastAsia"/>
                      <w:sz w:val="18"/>
                      <w:szCs w:val="18"/>
                    </w:rPr>
                    <w:t>9.3</w:t>
                  </w:r>
                </w:p>
              </w:tc>
              <w:tc>
                <w:tcPr>
                  <w:tcW w:w="349" w:type="pct"/>
                  <w:vAlign w:val="center"/>
                </w:tcPr>
                <w:p w14:paraId="00B2E19B" w14:textId="77777777" w:rsidR="00F76A63" w:rsidRDefault="00000000">
                  <w:pPr>
                    <w:adjustRightInd w:val="0"/>
                    <w:snapToGrid w:val="0"/>
                    <w:jc w:val="center"/>
                    <w:rPr>
                      <w:sz w:val="18"/>
                      <w:szCs w:val="18"/>
                    </w:rPr>
                  </w:pPr>
                  <w:r>
                    <w:rPr>
                      <w:rFonts w:hint="eastAsia"/>
                      <w:sz w:val="18"/>
                      <w:szCs w:val="18"/>
                    </w:rPr>
                    <w:t>9.2</w:t>
                  </w:r>
                </w:p>
              </w:tc>
              <w:tc>
                <w:tcPr>
                  <w:tcW w:w="253" w:type="pct"/>
                  <w:vAlign w:val="center"/>
                </w:tcPr>
                <w:p w14:paraId="6985A071" w14:textId="77777777" w:rsidR="00F76A63" w:rsidRDefault="00000000">
                  <w:pPr>
                    <w:adjustRightInd w:val="0"/>
                    <w:snapToGrid w:val="0"/>
                    <w:jc w:val="center"/>
                    <w:rPr>
                      <w:sz w:val="18"/>
                      <w:szCs w:val="18"/>
                    </w:rPr>
                  </w:pPr>
                  <w:r>
                    <w:rPr>
                      <w:sz w:val="18"/>
                      <w:szCs w:val="18"/>
                    </w:rPr>
                    <w:t>-</w:t>
                  </w:r>
                </w:p>
              </w:tc>
            </w:tr>
            <w:tr w:rsidR="00F76A63" w14:paraId="5152F095" w14:textId="77777777">
              <w:trPr>
                <w:trHeight w:val="340"/>
                <w:jc w:val="center"/>
              </w:trPr>
              <w:tc>
                <w:tcPr>
                  <w:tcW w:w="255" w:type="pct"/>
                  <w:vMerge w:val="restart"/>
                  <w:vAlign w:val="center"/>
                </w:tcPr>
                <w:p w14:paraId="45E0003E" w14:textId="77777777" w:rsidR="00F76A63" w:rsidRDefault="00000000">
                  <w:pPr>
                    <w:adjustRightInd w:val="0"/>
                    <w:snapToGrid w:val="0"/>
                    <w:jc w:val="center"/>
                    <w:rPr>
                      <w:sz w:val="18"/>
                      <w:szCs w:val="18"/>
                    </w:rPr>
                  </w:pPr>
                  <w:r>
                    <w:rPr>
                      <w:sz w:val="18"/>
                      <w:szCs w:val="18"/>
                    </w:rPr>
                    <w:t>二氧化硫</w:t>
                  </w:r>
                </w:p>
              </w:tc>
              <w:tc>
                <w:tcPr>
                  <w:tcW w:w="711" w:type="pct"/>
                  <w:vAlign w:val="center"/>
                </w:tcPr>
                <w:p w14:paraId="3D7629C2" w14:textId="77777777" w:rsidR="00F76A63" w:rsidRDefault="00000000">
                  <w:pPr>
                    <w:adjustRightInd w:val="0"/>
                    <w:snapToGrid w:val="0"/>
                    <w:jc w:val="center"/>
                    <w:rPr>
                      <w:sz w:val="18"/>
                      <w:szCs w:val="18"/>
                    </w:rPr>
                  </w:pPr>
                  <w:r>
                    <w:rPr>
                      <w:sz w:val="18"/>
                      <w:szCs w:val="18"/>
                    </w:rPr>
                    <w:t>实测浓度</w:t>
                  </w:r>
                </w:p>
                <w:p w14:paraId="792CCC24" w14:textId="77777777" w:rsidR="00F76A63" w:rsidRDefault="00000000">
                  <w:pPr>
                    <w:adjustRightInd w:val="0"/>
                    <w:snapToGrid w:val="0"/>
                    <w:jc w:val="center"/>
                    <w:rPr>
                      <w:sz w:val="18"/>
                      <w:szCs w:val="18"/>
                    </w:rPr>
                  </w:pPr>
                  <w:r>
                    <w:rPr>
                      <w:sz w:val="18"/>
                      <w:szCs w:val="18"/>
                    </w:rPr>
                    <w:t>（</w:t>
                  </w:r>
                  <w:r>
                    <w:rPr>
                      <w:sz w:val="18"/>
                      <w:szCs w:val="18"/>
                    </w:rPr>
                    <w:t>mg/m</w:t>
                  </w:r>
                  <w:r>
                    <w:rPr>
                      <w:sz w:val="18"/>
                      <w:szCs w:val="18"/>
                      <w:vertAlign w:val="superscript"/>
                    </w:rPr>
                    <w:t>3</w:t>
                  </w:r>
                  <w:r>
                    <w:rPr>
                      <w:sz w:val="18"/>
                      <w:szCs w:val="18"/>
                    </w:rPr>
                    <w:t>）</w:t>
                  </w:r>
                </w:p>
              </w:tc>
              <w:tc>
                <w:tcPr>
                  <w:tcW w:w="500" w:type="pct"/>
                  <w:vAlign w:val="center"/>
                </w:tcPr>
                <w:p w14:paraId="46A08B05" w14:textId="77777777" w:rsidR="00F76A63" w:rsidRDefault="00000000">
                  <w:pPr>
                    <w:adjustRightInd w:val="0"/>
                    <w:snapToGrid w:val="0"/>
                    <w:jc w:val="center"/>
                    <w:rPr>
                      <w:sz w:val="18"/>
                      <w:szCs w:val="18"/>
                    </w:rPr>
                  </w:pPr>
                  <w:r>
                    <w:rPr>
                      <w:sz w:val="18"/>
                      <w:szCs w:val="18"/>
                    </w:rPr>
                    <w:t>ND</w:t>
                  </w:r>
                </w:p>
              </w:tc>
              <w:tc>
                <w:tcPr>
                  <w:tcW w:w="504" w:type="pct"/>
                  <w:vAlign w:val="center"/>
                </w:tcPr>
                <w:p w14:paraId="18022818" w14:textId="77777777" w:rsidR="00F76A63" w:rsidRDefault="00000000">
                  <w:pPr>
                    <w:adjustRightInd w:val="0"/>
                    <w:snapToGrid w:val="0"/>
                    <w:jc w:val="center"/>
                    <w:rPr>
                      <w:sz w:val="18"/>
                      <w:szCs w:val="18"/>
                    </w:rPr>
                  </w:pPr>
                  <w:r>
                    <w:rPr>
                      <w:sz w:val="18"/>
                      <w:szCs w:val="18"/>
                    </w:rPr>
                    <w:t>ND</w:t>
                  </w:r>
                </w:p>
              </w:tc>
              <w:tc>
                <w:tcPr>
                  <w:tcW w:w="504" w:type="pct"/>
                  <w:vAlign w:val="center"/>
                </w:tcPr>
                <w:p w14:paraId="25C8DC10" w14:textId="77777777" w:rsidR="00F76A63" w:rsidRDefault="00000000">
                  <w:pPr>
                    <w:adjustRightInd w:val="0"/>
                    <w:snapToGrid w:val="0"/>
                    <w:jc w:val="center"/>
                    <w:rPr>
                      <w:sz w:val="18"/>
                      <w:szCs w:val="18"/>
                    </w:rPr>
                  </w:pPr>
                  <w:r>
                    <w:rPr>
                      <w:sz w:val="18"/>
                      <w:szCs w:val="18"/>
                    </w:rPr>
                    <w:t>ND</w:t>
                  </w:r>
                </w:p>
              </w:tc>
              <w:tc>
                <w:tcPr>
                  <w:tcW w:w="411" w:type="pct"/>
                  <w:vAlign w:val="center"/>
                </w:tcPr>
                <w:p w14:paraId="25AF2642" w14:textId="77777777" w:rsidR="00F76A63" w:rsidRDefault="00000000">
                  <w:pPr>
                    <w:adjustRightInd w:val="0"/>
                    <w:snapToGrid w:val="0"/>
                    <w:jc w:val="center"/>
                    <w:rPr>
                      <w:sz w:val="18"/>
                      <w:szCs w:val="18"/>
                    </w:rPr>
                  </w:pPr>
                  <w:r>
                    <w:rPr>
                      <w:sz w:val="18"/>
                      <w:szCs w:val="18"/>
                    </w:rPr>
                    <w:t>ND</w:t>
                  </w:r>
                </w:p>
              </w:tc>
              <w:tc>
                <w:tcPr>
                  <w:tcW w:w="504" w:type="pct"/>
                  <w:vAlign w:val="center"/>
                </w:tcPr>
                <w:p w14:paraId="4B5B80A7" w14:textId="77777777" w:rsidR="00F76A63" w:rsidRDefault="00000000">
                  <w:pPr>
                    <w:adjustRightInd w:val="0"/>
                    <w:snapToGrid w:val="0"/>
                    <w:jc w:val="center"/>
                    <w:rPr>
                      <w:sz w:val="18"/>
                      <w:szCs w:val="18"/>
                    </w:rPr>
                  </w:pPr>
                  <w:r>
                    <w:rPr>
                      <w:sz w:val="18"/>
                      <w:szCs w:val="18"/>
                    </w:rPr>
                    <w:t>ND</w:t>
                  </w:r>
                </w:p>
              </w:tc>
              <w:tc>
                <w:tcPr>
                  <w:tcW w:w="504" w:type="pct"/>
                  <w:vAlign w:val="center"/>
                </w:tcPr>
                <w:p w14:paraId="106355DF" w14:textId="77777777" w:rsidR="00F76A63" w:rsidRDefault="00000000">
                  <w:pPr>
                    <w:adjustRightInd w:val="0"/>
                    <w:snapToGrid w:val="0"/>
                    <w:jc w:val="center"/>
                    <w:rPr>
                      <w:sz w:val="18"/>
                      <w:szCs w:val="18"/>
                    </w:rPr>
                  </w:pPr>
                  <w:r>
                    <w:rPr>
                      <w:sz w:val="18"/>
                      <w:szCs w:val="18"/>
                    </w:rPr>
                    <w:t>ND</w:t>
                  </w:r>
                </w:p>
              </w:tc>
              <w:tc>
                <w:tcPr>
                  <w:tcW w:w="504" w:type="pct"/>
                  <w:vAlign w:val="center"/>
                </w:tcPr>
                <w:p w14:paraId="4DE1FF43" w14:textId="77777777" w:rsidR="00F76A63" w:rsidRDefault="00000000">
                  <w:pPr>
                    <w:adjustRightInd w:val="0"/>
                    <w:snapToGrid w:val="0"/>
                    <w:jc w:val="center"/>
                    <w:rPr>
                      <w:sz w:val="18"/>
                      <w:szCs w:val="18"/>
                    </w:rPr>
                  </w:pPr>
                  <w:r>
                    <w:rPr>
                      <w:sz w:val="18"/>
                      <w:szCs w:val="18"/>
                    </w:rPr>
                    <w:t>ND</w:t>
                  </w:r>
                </w:p>
              </w:tc>
              <w:tc>
                <w:tcPr>
                  <w:tcW w:w="349" w:type="pct"/>
                  <w:vAlign w:val="center"/>
                </w:tcPr>
                <w:p w14:paraId="720A9078" w14:textId="77777777" w:rsidR="00F76A63" w:rsidRDefault="00000000">
                  <w:pPr>
                    <w:adjustRightInd w:val="0"/>
                    <w:snapToGrid w:val="0"/>
                    <w:jc w:val="center"/>
                    <w:rPr>
                      <w:sz w:val="18"/>
                      <w:szCs w:val="18"/>
                    </w:rPr>
                  </w:pPr>
                  <w:r>
                    <w:rPr>
                      <w:sz w:val="18"/>
                      <w:szCs w:val="18"/>
                    </w:rPr>
                    <w:t>ND</w:t>
                  </w:r>
                </w:p>
              </w:tc>
              <w:tc>
                <w:tcPr>
                  <w:tcW w:w="253" w:type="pct"/>
                  <w:vAlign w:val="center"/>
                </w:tcPr>
                <w:p w14:paraId="1A553159" w14:textId="77777777" w:rsidR="00F76A63" w:rsidRDefault="00000000">
                  <w:pPr>
                    <w:adjustRightInd w:val="0"/>
                    <w:snapToGrid w:val="0"/>
                    <w:jc w:val="center"/>
                    <w:rPr>
                      <w:sz w:val="18"/>
                      <w:szCs w:val="18"/>
                    </w:rPr>
                  </w:pPr>
                  <w:r>
                    <w:rPr>
                      <w:sz w:val="18"/>
                      <w:szCs w:val="18"/>
                    </w:rPr>
                    <w:t>-</w:t>
                  </w:r>
                </w:p>
              </w:tc>
            </w:tr>
            <w:tr w:rsidR="00F76A63" w14:paraId="6844C3EC" w14:textId="77777777">
              <w:trPr>
                <w:trHeight w:val="340"/>
                <w:jc w:val="center"/>
              </w:trPr>
              <w:tc>
                <w:tcPr>
                  <w:tcW w:w="255" w:type="pct"/>
                  <w:vMerge/>
                  <w:vAlign w:val="center"/>
                </w:tcPr>
                <w:p w14:paraId="75E46861" w14:textId="77777777" w:rsidR="00F76A63" w:rsidRDefault="00F76A63">
                  <w:pPr>
                    <w:adjustRightInd w:val="0"/>
                    <w:snapToGrid w:val="0"/>
                    <w:jc w:val="center"/>
                    <w:rPr>
                      <w:sz w:val="18"/>
                      <w:szCs w:val="18"/>
                    </w:rPr>
                  </w:pPr>
                </w:p>
              </w:tc>
              <w:tc>
                <w:tcPr>
                  <w:tcW w:w="711" w:type="pct"/>
                  <w:vAlign w:val="center"/>
                </w:tcPr>
                <w:p w14:paraId="568552CA"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500" w:type="pct"/>
                  <w:vAlign w:val="center"/>
                </w:tcPr>
                <w:p w14:paraId="53C5EB78" w14:textId="77777777" w:rsidR="00F76A63" w:rsidRDefault="00000000">
                  <w:pPr>
                    <w:adjustRightInd w:val="0"/>
                    <w:snapToGrid w:val="0"/>
                    <w:jc w:val="center"/>
                    <w:rPr>
                      <w:sz w:val="18"/>
                      <w:szCs w:val="18"/>
                    </w:rPr>
                  </w:pPr>
                  <w:r>
                    <w:rPr>
                      <w:sz w:val="18"/>
                      <w:szCs w:val="18"/>
                    </w:rPr>
                    <w:t>ND</w:t>
                  </w:r>
                </w:p>
              </w:tc>
              <w:tc>
                <w:tcPr>
                  <w:tcW w:w="504" w:type="pct"/>
                  <w:vAlign w:val="center"/>
                </w:tcPr>
                <w:p w14:paraId="6AE73D7F" w14:textId="77777777" w:rsidR="00F76A63" w:rsidRDefault="00000000">
                  <w:pPr>
                    <w:adjustRightInd w:val="0"/>
                    <w:snapToGrid w:val="0"/>
                    <w:jc w:val="center"/>
                    <w:rPr>
                      <w:sz w:val="18"/>
                      <w:szCs w:val="18"/>
                    </w:rPr>
                  </w:pPr>
                  <w:r>
                    <w:rPr>
                      <w:sz w:val="18"/>
                      <w:szCs w:val="18"/>
                    </w:rPr>
                    <w:t>ND</w:t>
                  </w:r>
                </w:p>
              </w:tc>
              <w:tc>
                <w:tcPr>
                  <w:tcW w:w="504" w:type="pct"/>
                  <w:vAlign w:val="center"/>
                </w:tcPr>
                <w:p w14:paraId="442F2859" w14:textId="77777777" w:rsidR="00F76A63" w:rsidRDefault="00000000">
                  <w:pPr>
                    <w:adjustRightInd w:val="0"/>
                    <w:snapToGrid w:val="0"/>
                    <w:jc w:val="center"/>
                    <w:rPr>
                      <w:sz w:val="18"/>
                      <w:szCs w:val="18"/>
                    </w:rPr>
                  </w:pPr>
                  <w:r>
                    <w:rPr>
                      <w:sz w:val="18"/>
                      <w:szCs w:val="18"/>
                    </w:rPr>
                    <w:t>ND</w:t>
                  </w:r>
                </w:p>
              </w:tc>
              <w:tc>
                <w:tcPr>
                  <w:tcW w:w="411" w:type="pct"/>
                  <w:vAlign w:val="center"/>
                </w:tcPr>
                <w:p w14:paraId="602BB7DF" w14:textId="77777777" w:rsidR="00F76A63" w:rsidRDefault="00000000">
                  <w:pPr>
                    <w:adjustRightInd w:val="0"/>
                    <w:snapToGrid w:val="0"/>
                    <w:jc w:val="center"/>
                    <w:rPr>
                      <w:sz w:val="18"/>
                      <w:szCs w:val="18"/>
                    </w:rPr>
                  </w:pPr>
                  <w:r>
                    <w:rPr>
                      <w:sz w:val="18"/>
                      <w:szCs w:val="18"/>
                    </w:rPr>
                    <w:t>ND</w:t>
                  </w:r>
                </w:p>
              </w:tc>
              <w:tc>
                <w:tcPr>
                  <w:tcW w:w="504" w:type="pct"/>
                  <w:vAlign w:val="center"/>
                </w:tcPr>
                <w:p w14:paraId="0839C22D" w14:textId="77777777" w:rsidR="00F76A63" w:rsidRDefault="00000000">
                  <w:pPr>
                    <w:adjustRightInd w:val="0"/>
                    <w:snapToGrid w:val="0"/>
                    <w:jc w:val="center"/>
                    <w:rPr>
                      <w:sz w:val="18"/>
                      <w:szCs w:val="18"/>
                    </w:rPr>
                  </w:pPr>
                  <w:r>
                    <w:rPr>
                      <w:sz w:val="18"/>
                      <w:szCs w:val="18"/>
                    </w:rPr>
                    <w:t>ND</w:t>
                  </w:r>
                </w:p>
              </w:tc>
              <w:tc>
                <w:tcPr>
                  <w:tcW w:w="504" w:type="pct"/>
                  <w:vAlign w:val="center"/>
                </w:tcPr>
                <w:p w14:paraId="2ADAFBDC" w14:textId="77777777" w:rsidR="00F76A63" w:rsidRDefault="00000000">
                  <w:pPr>
                    <w:adjustRightInd w:val="0"/>
                    <w:snapToGrid w:val="0"/>
                    <w:jc w:val="center"/>
                    <w:rPr>
                      <w:sz w:val="18"/>
                      <w:szCs w:val="18"/>
                    </w:rPr>
                  </w:pPr>
                  <w:r>
                    <w:rPr>
                      <w:sz w:val="18"/>
                      <w:szCs w:val="18"/>
                    </w:rPr>
                    <w:t>ND</w:t>
                  </w:r>
                </w:p>
              </w:tc>
              <w:tc>
                <w:tcPr>
                  <w:tcW w:w="504" w:type="pct"/>
                  <w:vAlign w:val="center"/>
                </w:tcPr>
                <w:p w14:paraId="2DFCF3A6" w14:textId="77777777" w:rsidR="00F76A63" w:rsidRDefault="00000000">
                  <w:pPr>
                    <w:adjustRightInd w:val="0"/>
                    <w:snapToGrid w:val="0"/>
                    <w:jc w:val="center"/>
                    <w:rPr>
                      <w:sz w:val="18"/>
                      <w:szCs w:val="18"/>
                    </w:rPr>
                  </w:pPr>
                  <w:r>
                    <w:rPr>
                      <w:sz w:val="18"/>
                      <w:szCs w:val="18"/>
                    </w:rPr>
                    <w:t>ND</w:t>
                  </w:r>
                </w:p>
              </w:tc>
              <w:tc>
                <w:tcPr>
                  <w:tcW w:w="349" w:type="pct"/>
                  <w:vAlign w:val="center"/>
                </w:tcPr>
                <w:p w14:paraId="5C1C0124" w14:textId="77777777" w:rsidR="00F76A63" w:rsidRDefault="00000000">
                  <w:pPr>
                    <w:adjustRightInd w:val="0"/>
                    <w:snapToGrid w:val="0"/>
                    <w:jc w:val="center"/>
                    <w:rPr>
                      <w:sz w:val="18"/>
                      <w:szCs w:val="18"/>
                    </w:rPr>
                  </w:pPr>
                  <w:r>
                    <w:rPr>
                      <w:sz w:val="18"/>
                      <w:szCs w:val="18"/>
                    </w:rPr>
                    <w:t>ND</w:t>
                  </w:r>
                </w:p>
              </w:tc>
              <w:tc>
                <w:tcPr>
                  <w:tcW w:w="253" w:type="pct"/>
                  <w:vAlign w:val="center"/>
                </w:tcPr>
                <w:p w14:paraId="3964BA1D" w14:textId="77777777" w:rsidR="00F76A63" w:rsidRDefault="00000000">
                  <w:pPr>
                    <w:adjustRightInd w:val="0"/>
                    <w:snapToGrid w:val="0"/>
                    <w:jc w:val="center"/>
                    <w:rPr>
                      <w:sz w:val="18"/>
                      <w:szCs w:val="18"/>
                    </w:rPr>
                  </w:pPr>
                  <w:r>
                    <w:rPr>
                      <w:sz w:val="18"/>
                      <w:szCs w:val="18"/>
                    </w:rPr>
                    <w:t>35</w:t>
                  </w:r>
                </w:p>
              </w:tc>
            </w:tr>
            <w:tr w:rsidR="00F76A63" w14:paraId="28579E11" w14:textId="77777777">
              <w:trPr>
                <w:trHeight w:val="340"/>
                <w:jc w:val="center"/>
              </w:trPr>
              <w:tc>
                <w:tcPr>
                  <w:tcW w:w="255" w:type="pct"/>
                  <w:vMerge/>
                  <w:vAlign w:val="center"/>
                </w:tcPr>
                <w:p w14:paraId="311D2953" w14:textId="77777777" w:rsidR="00F76A63" w:rsidRDefault="00F76A63">
                  <w:pPr>
                    <w:adjustRightInd w:val="0"/>
                    <w:snapToGrid w:val="0"/>
                    <w:jc w:val="center"/>
                    <w:rPr>
                      <w:sz w:val="18"/>
                      <w:szCs w:val="18"/>
                    </w:rPr>
                  </w:pPr>
                </w:p>
              </w:tc>
              <w:tc>
                <w:tcPr>
                  <w:tcW w:w="711" w:type="pct"/>
                  <w:vAlign w:val="center"/>
                </w:tcPr>
                <w:p w14:paraId="46C720E8"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500" w:type="pct"/>
                  <w:vAlign w:val="center"/>
                </w:tcPr>
                <w:p w14:paraId="60463042" w14:textId="77777777" w:rsidR="00F76A63" w:rsidRDefault="00000000">
                  <w:pPr>
                    <w:adjustRightInd w:val="0"/>
                    <w:snapToGrid w:val="0"/>
                    <w:jc w:val="center"/>
                    <w:rPr>
                      <w:sz w:val="18"/>
                      <w:szCs w:val="18"/>
                    </w:rPr>
                  </w:pPr>
                  <w:r>
                    <w:rPr>
                      <w:sz w:val="18"/>
                      <w:szCs w:val="18"/>
                    </w:rPr>
                    <w:t>/</w:t>
                  </w:r>
                </w:p>
              </w:tc>
              <w:tc>
                <w:tcPr>
                  <w:tcW w:w="504" w:type="pct"/>
                  <w:vAlign w:val="center"/>
                </w:tcPr>
                <w:p w14:paraId="7FB634DB" w14:textId="77777777" w:rsidR="00F76A63" w:rsidRDefault="00000000">
                  <w:pPr>
                    <w:adjustRightInd w:val="0"/>
                    <w:snapToGrid w:val="0"/>
                    <w:jc w:val="center"/>
                    <w:rPr>
                      <w:sz w:val="18"/>
                      <w:szCs w:val="18"/>
                    </w:rPr>
                  </w:pPr>
                  <w:r>
                    <w:rPr>
                      <w:sz w:val="18"/>
                      <w:szCs w:val="18"/>
                    </w:rPr>
                    <w:t>/</w:t>
                  </w:r>
                </w:p>
              </w:tc>
              <w:tc>
                <w:tcPr>
                  <w:tcW w:w="504" w:type="pct"/>
                  <w:vAlign w:val="center"/>
                </w:tcPr>
                <w:p w14:paraId="0C16B072" w14:textId="77777777" w:rsidR="00F76A63" w:rsidRDefault="00000000">
                  <w:pPr>
                    <w:adjustRightInd w:val="0"/>
                    <w:snapToGrid w:val="0"/>
                    <w:jc w:val="center"/>
                    <w:rPr>
                      <w:sz w:val="18"/>
                      <w:szCs w:val="18"/>
                    </w:rPr>
                  </w:pPr>
                  <w:r>
                    <w:rPr>
                      <w:sz w:val="18"/>
                      <w:szCs w:val="18"/>
                    </w:rPr>
                    <w:t>/</w:t>
                  </w:r>
                </w:p>
              </w:tc>
              <w:tc>
                <w:tcPr>
                  <w:tcW w:w="411" w:type="pct"/>
                  <w:vAlign w:val="center"/>
                </w:tcPr>
                <w:p w14:paraId="5D7BB4B1" w14:textId="77777777" w:rsidR="00F76A63" w:rsidRDefault="00000000">
                  <w:pPr>
                    <w:adjustRightInd w:val="0"/>
                    <w:snapToGrid w:val="0"/>
                    <w:jc w:val="center"/>
                    <w:rPr>
                      <w:sz w:val="18"/>
                      <w:szCs w:val="18"/>
                    </w:rPr>
                  </w:pPr>
                  <w:r>
                    <w:rPr>
                      <w:sz w:val="18"/>
                      <w:szCs w:val="18"/>
                    </w:rPr>
                    <w:t>/</w:t>
                  </w:r>
                </w:p>
              </w:tc>
              <w:tc>
                <w:tcPr>
                  <w:tcW w:w="504" w:type="pct"/>
                  <w:vAlign w:val="center"/>
                </w:tcPr>
                <w:p w14:paraId="6DCFDBBD" w14:textId="77777777" w:rsidR="00F76A63" w:rsidRDefault="00000000">
                  <w:pPr>
                    <w:adjustRightInd w:val="0"/>
                    <w:snapToGrid w:val="0"/>
                    <w:jc w:val="center"/>
                    <w:rPr>
                      <w:sz w:val="18"/>
                      <w:szCs w:val="18"/>
                    </w:rPr>
                  </w:pPr>
                  <w:r>
                    <w:rPr>
                      <w:sz w:val="18"/>
                      <w:szCs w:val="18"/>
                    </w:rPr>
                    <w:t>/</w:t>
                  </w:r>
                </w:p>
              </w:tc>
              <w:tc>
                <w:tcPr>
                  <w:tcW w:w="504" w:type="pct"/>
                  <w:vAlign w:val="center"/>
                </w:tcPr>
                <w:p w14:paraId="5A2DE203" w14:textId="77777777" w:rsidR="00F76A63" w:rsidRDefault="00000000">
                  <w:pPr>
                    <w:adjustRightInd w:val="0"/>
                    <w:snapToGrid w:val="0"/>
                    <w:jc w:val="center"/>
                    <w:rPr>
                      <w:sz w:val="18"/>
                      <w:szCs w:val="18"/>
                    </w:rPr>
                  </w:pPr>
                  <w:r>
                    <w:rPr>
                      <w:sz w:val="18"/>
                      <w:szCs w:val="18"/>
                    </w:rPr>
                    <w:t>/</w:t>
                  </w:r>
                </w:p>
              </w:tc>
              <w:tc>
                <w:tcPr>
                  <w:tcW w:w="504" w:type="pct"/>
                  <w:vAlign w:val="center"/>
                </w:tcPr>
                <w:p w14:paraId="2D446CC6" w14:textId="77777777" w:rsidR="00F76A63" w:rsidRDefault="00000000">
                  <w:pPr>
                    <w:adjustRightInd w:val="0"/>
                    <w:snapToGrid w:val="0"/>
                    <w:jc w:val="center"/>
                    <w:rPr>
                      <w:sz w:val="18"/>
                      <w:szCs w:val="18"/>
                    </w:rPr>
                  </w:pPr>
                  <w:r>
                    <w:rPr>
                      <w:sz w:val="18"/>
                      <w:szCs w:val="18"/>
                    </w:rPr>
                    <w:t>/</w:t>
                  </w:r>
                </w:p>
              </w:tc>
              <w:tc>
                <w:tcPr>
                  <w:tcW w:w="349" w:type="pct"/>
                  <w:vAlign w:val="center"/>
                </w:tcPr>
                <w:p w14:paraId="350DC00C" w14:textId="77777777" w:rsidR="00F76A63" w:rsidRDefault="00000000">
                  <w:pPr>
                    <w:adjustRightInd w:val="0"/>
                    <w:snapToGrid w:val="0"/>
                    <w:jc w:val="center"/>
                    <w:rPr>
                      <w:sz w:val="18"/>
                      <w:szCs w:val="18"/>
                    </w:rPr>
                  </w:pPr>
                  <w:r>
                    <w:rPr>
                      <w:sz w:val="18"/>
                      <w:szCs w:val="18"/>
                    </w:rPr>
                    <w:t>/</w:t>
                  </w:r>
                </w:p>
              </w:tc>
              <w:tc>
                <w:tcPr>
                  <w:tcW w:w="253" w:type="pct"/>
                  <w:vAlign w:val="center"/>
                </w:tcPr>
                <w:p w14:paraId="6B8D5736" w14:textId="77777777" w:rsidR="00F76A63" w:rsidRDefault="00000000">
                  <w:pPr>
                    <w:adjustRightInd w:val="0"/>
                    <w:snapToGrid w:val="0"/>
                    <w:jc w:val="center"/>
                    <w:rPr>
                      <w:sz w:val="18"/>
                      <w:szCs w:val="18"/>
                    </w:rPr>
                  </w:pPr>
                  <w:r>
                    <w:rPr>
                      <w:sz w:val="18"/>
                      <w:szCs w:val="18"/>
                    </w:rPr>
                    <w:t>-</w:t>
                  </w:r>
                </w:p>
              </w:tc>
            </w:tr>
            <w:tr w:rsidR="00F76A63" w14:paraId="4801CF70" w14:textId="77777777">
              <w:trPr>
                <w:trHeight w:val="340"/>
                <w:jc w:val="center"/>
              </w:trPr>
              <w:tc>
                <w:tcPr>
                  <w:tcW w:w="255" w:type="pct"/>
                  <w:vMerge w:val="restart"/>
                  <w:vAlign w:val="center"/>
                </w:tcPr>
                <w:p w14:paraId="4457B7EF" w14:textId="77777777" w:rsidR="00F76A63" w:rsidRDefault="00000000">
                  <w:pPr>
                    <w:adjustRightInd w:val="0"/>
                    <w:snapToGrid w:val="0"/>
                    <w:jc w:val="center"/>
                    <w:rPr>
                      <w:sz w:val="18"/>
                      <w:szCs w:val="18"/>
                    </w:rPr>
                  </w:pPr>
                  <w:r>
                    <w:rPr>
                      <w:sz w:val="18"/>
                      <w:szCs w:val="18"/>
                    </w:rPr>
                    <w:t>氮氧</w:t>
                  </w:r>
                  <w:r>
                    <w:rPr>
                      <w:sz w:val="18"/>
                      <w:szCs w:val="18"/>
                    </w:rPr>
                    <w:lastRenderedPageBreak/>
                    <w:t>化物</w:t>
                  </w:r>
                </w:p>
              </w:tc>
              <w:tc>
                <w:tcPr>
                  <w:tcW w:w="711" w:type="pct"/>
                  <w:vAlign w:val="center"/>
                </w:tcPr>
                <w:p w14:paraId="743829C8" w14:textId="77777777" w:rsidR="00F76A63" w:rsidRDefault="00000000">
                  <w:pPr>
                    <w:adjustRightInd w:val="0"/>
                    <w:snapToGrid w:val="0"/>
                    <w:jc w:val="center"/>
                    <w:rPr>
                      <w:sz w:val="18"/>
                      <w:szCs w:val="18"/>
                    </w:rPr>
                  </w:pPr>
                  <w:r>
                    <w:rPr>
                      <w:sz w:val="18"/>
                      <w:szCs w:val="18"/>
                    </w:rPr>
                    <w:lastRenderedPageBreak/>
                    <w:t>实测浓度（</w:t>
                  </w:r>
                  <w:r>
                    <w:rPr>
                      <w:sz w:val="18"/>
                      <w:szCs w:val="18"/>
                    </w:rPr>
                    <w:t>mg/m</w:t>
                  </w:r>
                  <w:r>
                    <w:rPr>
                      <w:sz w:val="18"/>
                      <w:szCs w:val="18"/>
                      <w:vertAlign w:val="superscript"/>
                    </w:rPr>
                    <w:t>3</w:t>
                  </w:r>
                  <w:r>
                    <w:rPr>
                      <w:sz w:val="18"/>
                      <w:szCs w:val="18"/>
                    </w:rPr>
                    <w:t>）</w:t>
                  </w:r>
                </w:p>
              </w:tc>
              <w:tc>
                <w:tcPr>
                  <w:tcW w:w="500" w:type="pct"/>
                  <w:vAlign w:val="center"/>
                </w:tcPr>
                <w:p w14:paraId="29A7D552" w14:textId="77777777" w:rsidR="00F76A63" w:rsidRDefault="00000000">
                  <w:pPr>
                    <w:adjustRightInd w:val="0"/>
                    <w:snapToGrid w:val="0"/>
                    <w:jc w:val="center"/>
                    <w:rPr>
                      <w:sz w:val="18"/>
                      <w:szCs w:val="18"/>
                    </w:rPr>
                  </w:pPr>
                  <w:r>
                    <w:rPr>
                      <w:rFonts w:hint="eastAsia"/>
                      <w:sz w:val="18"/>
                      <w:szCs w:val="18"/>
                    </w:rPr>
                    <w:t>26</w:t>
                  </w:r>
                </w:p>
              </w:tc>
              <w:tc>
                <w:tcPr>
                  <w:tcW w:w="504" w:type="pct"/>
                  <w:vAlign w:val="center"/>
                </w:tcPr>
                <w:p w14:paraId="26AF616A" w14:textId="77777777" w:rsidR="00F76A63" w:rsidRDefault="00000000">
                  <w:pPr>
                    <w:adjustRightInd w:val="0"/>
                    <w:snapToGrid w:val="0"/>
                    <w:jc w:val="center"/>
                    <w:rPr>
                      <w:sz w:val="18"/>
                      <w:szCs w:val="18"/>
                    </w:rPr>
                  </w:pPr>
                  <w:r>
                    <w:rPr>
                      <w:rFonts w:hint="eastAsia"/>
                      <w:sz w:val="18"/>
                      <w:szCs w:val="18"/>
                    </w:rPr>
                    <w:t>28</w:t>
                  </w:r>
                </w:p>
              </w:tc>
              <w:tc>
                <w:tcPr>
                  <w:tcW w:w="504" w:type="pct"/>
                  <w:vAlign w:val="center"/>
                </w:tcPr>
                <w:p w14:paraId="3138E2F2" w14:textId="77777777" w:rsidR="00F76A63" w:rsidRDefault="00000000">
                  <w:pPr>
                    <w:adjustRightInd w:val="0"/>
                    <w:snapToGrid w:val="0"/>
                    <w:jc w:val="center"/>
                    <w:rPr>
                      <w:sz w:val="18"/>
                      <w:szCs w:val="18"/>
                    </w:rPr>
                  </w:pPr>
                  <w:r>
                    <w:rPr>
                      <w:rFonts w:hint="eastAsia"/>
                      <w:sz w:val="18"/>
                      <w:szCs w:val="18"/>
                    </w:rPr>
                    <w:t>24</w:t>
                  </w:r>
                </w:p>
              </w:tc>
              <w:tc>
                <w:tcPr>
                  <w:tcW w:w="411" w:type="pct"/>
                  <w:vAlign w:val="center"/>
                </w:tcPr>
                <w:p w14:paraId="6E6723AB" w14:textId="77777777" w:rsidR="00F76A63" w:rsidRDefault="00000000">
                  <w:pPr>
                    <w:adjustRightInd w:val="0"/>
                    <w:snapToGrid w:val="0"/>
                    <w:jc w:val="center"/>
                    <w:rPr>
                      <w:sz w:val="18"/>
                      <w:szCs w:val="18"/>
                    </w:rPr>
                  </w:pPr>
                  <w:r>
                    <w:rPr>
                      <w:rFonts w:hint="eastAsia"/>
                      <w:sz w:val="18"/>
                      <w:szCs w:val="18"/>
                    </w:rPr>
                    <w:t>26</w:t>
                  </w:r>
                </w:p>
              </w:tc>
              <w:tc>
                <w:tcPr>
                  <w:tcW w:w="504" w:type="pct"/>
                  <w:vAlign w:val="center"/>
                </w:tcPr>
                <w:p w14:paraId="05D05B73" w14:textId="77777777" w:rsidR="00F76A63" w:rsidRDefault="00000000">
                  <w:pPr>
                    <w:adjustRightInd w:val="0"/>
                    <w:snapToGrid w:val="0"/>
                    <w:jc w:val="center"/>
                    <w:rPr>
                      <w:sz w:val="18"/>
                      <w:szCs w:val="18"/>
                    </w:rPr>
                  </w:pPr>
                  <w:r>
                    <w:rPr>
                      <w:rFonts w:hint="eastAsia"/>
                      <w:sz w:val="18"/>
                      <w:szCs w:val="18"/>
                    </w:rPr>
                    <w:t>32</w:t>
                  </w:r>
                </w:p>
              </w:tc>
              <w:tc>
                <w:tcPr>
                  <w:tcW w:w="504" w:type="pct"/>
                  <w:vAlign w:val="center"/>
                </w:tcPr>
                <w:p w14:paraId="2550F5DD" w14:textId="77777777" w:rsidR="00F76A63" w:rsidRDefault="00000000">
                  <w:pPr>
                    <w:adjustRightInd w:val="0"/>
                    <w:snapToGrid w:val="0"/>
                    <w:jc w:val="center"/>
                    <w:rPr>
                      <w:sz w:val="18"/>
                      <w:szCs w:val="18"/>
                    </w:rPr>
                  </w:pPr>
                  <w:r>
                    <w:rPr>
                      <w:rFonts w:hint="eastAsia"/>
                      <w:sz w:val="18"/>
                      <w:szCs w:val="18"/>
                    </w:rPr>
                    <w:t>32</w:t>
                  </w:r>
                </w:p>
              </w:tc>
              <w:tc>
                <w:tcPr>
                  <w:tcW w:w="504" w:type="pct"/>
                  <w:vAlign w:val="center"/>
                </w:tcPr>
                <w:p w14:paraId="2DF4E3C5" w14:textId="77777777" w:rsidR="00F76A63" w:rsidRDefault="00000000">
                  <w:pPr>
                    <w:adjustRightInd w:val="0"/>
                    <w:snapToGrid w:val="0"/>
                    <w:jc w:val="center"/>
                    <w:rPr>
                      <w:sz w:val="18"/>
                      <w:szCs w:val="18"/>
                    </w:rPr>
                  </w:pPr>
                  <w:r>
                    <w:rPr>
                      <w:rFonts w:hint="eastAsia"/>
                      <w:sz w:val="18"/>
                      <w:szCs w:val="18"/>
                    </w:rPr>
                    <w:t>35</w:t>
                  </w:r>
                </w:p>
              </w:tc>
              <w:tc>
                <w:tcPr>
                  <w:tcW w:w="349" w:type="pct"/>
                  <w:vAlign w:val="center"/>
                </w:tcPr>
                <w:p w14:paraId="26D2D728" w14:textId="77777777" w:rsidR="00F76A63" w:rsidRDefault="00000000">
                  <w:pPr>
                    <w:adjustRightInd w:val="0"/>
                    <w:snapToGrid w:val="0"/>
                    <w:jc w:val="center"/>
                    <w:rPr>
                      <w:sz w:val="18"/>
                      <w:szCs w:val="18"/>
                    </w:rPr>
                  </w:pPr>
                  <w:r>
                    <w:rPr>
                      <w:rFonts w:hint="eastAsia"/>
                      <w:sz w:val="18"/>
                      <w:szCs w:val="18"/>
                    </w:rPr>
                    <w:t>33</w:t>
                  </w:r>
                </w:p>
              </w:tc>
              <w:tc>
                <w:tcPr>
                  <w:tcW w:w="253" w:type="pct"/>
                  <w:vAlign w:val="center"/>
                </w:tcPr>
                <w:p w14:paraId="0194E42A" w14:textId="77777777" w:rsidR="00F76A63" w:rsidRDefault="00000000">
                  <w:pPr>
                    <w:adjustRightInd w:val="0"/>
                    <w:snapToGrid w:val="0"/>
                    <w:jc w:val="center"/>
                    <w:rPr>
                      <w:sz w:val="18"/>
                      <w:szCs w:val="18"/>
                    </w:rPr>
                  </w:pPr>
                  <w:r>
                    <w:rPr>
                      <w:sz w:val="18"/>
                      <w:szCs w:val="18"/>
                    </w:rPr>
                    <w:t>-</w:t>
                  </w:r>
                </w:p>
              </w:tc>
            </w:tr>
            <w:tr w:rsidR="00F76A63" w14:paraId="5222DC90" w14:textId="77777777">
              <w:trPr>
                <w:trHeight w:val="340"/>
                <w:jc w:val="center"/>
              </w:trPr>
              <w:tc>
                <w:tcPr>
                  <w:tcW w:w="255" w:type="pct"/>
                  <w:vMerge/>
                  <w:vAlign w:val="center"/>
                </w:tcPr>
                <w:p w14:paraId="087FCDAA" w14:textId="77777777" w:rsidR="00F76A63" w:rsidRDefault="00F76A63">
                  <w:pPr>
                    <w:adjustRightInd w:val="0"/>
                    <w:snapToGrid w:val="0"/>
                    <w:jc w:val="center"/>
                    <w:rPr>
                      <w:sz w:val="18"/>
                      <w:szCs w:val="18"/>
                    </w:rPr>
                  </w:pPr>
                </w:p>
              </w:tc>
              <w:tc>
                <w:tcPr>
                  <w:tcW w:w="711" w:type="pct"/>
                  <w:vAlign w:val="center"/>
                </w:tcPr>
                <w:p w14:paraId="2A01A6C2"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500" w:type="pct"/>
                  <w:vAlign w:val="center"/>
                </w:tcPr>
                <w:p w14:paraId="1C673C91" w14:textId="77777777" w:rsidR="00F76A63" w:rsidRDefault="00000000">
                  <w:pPr>
                    <w:adjustRightInd w:val="0"/>
                    <w:snapToGrid w:val="0"/>
                    <w:jc w:val="center"/>
                    <w:rPr>
                      <w:sz w:val="18"/>
                      <w:szCs w:val="18"/>
                    </w:rPr>
                  </w:pPr>
                  <w:r>
                    <w:rPr>
                      <w:rFonts w:hint="eastAsia"/>
                      <w:sz w:val="18"/>
                      <w:szCs w:val="18"/>
                    </w:rPr>
                    <w:t>24</w:t>
                  </w:r>
                </w:p>
              </w:tc>
              <w:tc>
                <w:tcPr>
                  <w:tcW w:w="504" w:type="pct"/>
                  <w:vAlign w:val="center"/>
                </w:tcPr>
                <w:p w14:paraId="3F8B4338" w14:textId="77777777" w:rsidR="00F76A63" w:rsidRDefault="00000000">
                  <w:pPr>
                    <w:adjustRightInd w:val="0"/>
                    <w:snapToGrid w:val="0"/>
                    <w:jc w:val="center"/>
                    <w:rPr>
                      <w:sz w:val="18"/>
                      <w:szCs w:val="18"/>
                    </w:rPr>
                  </w:pPr>
                  <w:r>
                    <w:rPr>
                      <w:rFonts w:hint="eastAsia"/>
                      <w:sz w:val="18"/>
                      <w:szCs w:val="18"/>
                    </w:rPr>
                    <w:t>26</w:t>
                  </w:r>
                </w:p>
              </w:tc>
              <w:tc>
                <w:tcPr>
                  <w:tcW w:w="504" w:type="pct"/>
                  <w:vAlign w:val="center"/>
                </w:tcPr>
                <w:p w14:paraId="5C9E8C31" w14:textId="77777777" w:rsidR="00F76A63" w:rsidRDefault="00000000">
                  <w:pPr>
                    <w:adjustRightInd w:val="0"/>
                    <w:snapToGrid w:val="0"/>
                    <w:jc w:val="center"/>
                    <w:rPr>
                      <w:sz w:val="18"/>
                      <w:szCs w:val="18"/>
                    </w:rPr>
                  </w:pPr>
                  <w:r>
                    <w:rPr>
                      <w:rFonts w:hint="eastAsia"/>
                      <w:sz w:val="18"/>
                      <w:szCs w:val="18"/>
                    </w:rPr>
                    <w:t>23</w:t>
                  </w:r>
                </w:p>
              </w:tc>
              <w:tc>
                <w:tcPr>
                  <w:tcW w:w="411" w:type="pct"/>
                  <w:vAlign w:val="center"/>
                </w:tcPr>
                <w:p w14:paraId="49750D44" w14:textId="77777777" w:rsidR="00F76A63" w:rsidRDefault="00000000">
                  <w:pPr>
                    <w:adjustRightInd w:val="0"/>
                    <w:snapToGrid w:val="0"/>
                    <w:jc w:val="center"/>
                    <w:rPr>
                      <w:sz w:val="18"/>
                      <w:szCs w:val="18"/>
                    </w:rPr>
                  </w:pPr>
                  <w:r>
                    <w:rPr>
                      <w:rFonts w:hint="eastAsia"/>
                      <w:sz w:val="18"/>
                      <w:szCs w:val="18"/>
                    </w:rPr>
                    <w:t>24</w:t>
                  </w:r>
                </w:p>
              </w:tc>
              <w:tc>
                <w:tcPr>
                  <w:tcW w:w="504" w:type="pct"/>
                  <w:vAlign w:val="center"/>
                </w:tcPr>
                <w:p w14:paraId="2A8ABEE6" w14:textId="77777777" w:rsidR="00F76A63" w:rsidRDefault="00000000">
                  <w:pPr>
                    <w:adjustRightInd w:val="0"/>
                    <w:snapToGrid w:val="0"/>
                    <w:jc w:val="center"/>
                    <w:rPr>
                      <w:sz w:val="18"/>
                      <w:szCs w:val="18"/>
                    </w:rPr>
                  </w:pPr>
                  <w:r>
                    <w:rPr>
                      <w:rFonts w:hint="eastAsia"/>
                      <w:sz w:val="18"/>
                      <w:szCs w:val="18"/>
                    </w:rPr>
                    <w:t>30</w:t>
                  </w:r>
                </w:p>
              </w:tc>
              <w:tc>
                <w:tcPr>
                  <w:tcW w:w="504" w:type="pct"/>
                  <w:vAlign w:val="center"/>
                </w:tcPr>
                <w:p w14:paraId="27CA4530" w14:textId="77777777" w:rsidR="00F76A63" w:rsidRDefault="00000000">
                  <w:pPr>
                    <w:adjustRightInd w:val="0"/>
                    <w:snapToGrid w:val="0"/>
                    <w:jc w:val="center"/>
                    <w:rPr>
                      <w:sz w:val="18"/>
                      <w:szCs w:val="18"/>
                    </w:rPr>
                  </w:pPr>
                  <w:r>
                    <w:rPr>
                      <w:rFonts w:hint="eastAsia"/>
                      <w:sz w:val="18"/>
                      <w:szCs w:val="18"/>
                    </w:rPr>
                    <w:t>30</w:t>
                  </w:r>
                </w:p>
              </w:tc>
              <w:tc>
                <w:tcPr>
                  <w:tcW w:w="504" w:type="pct"/>
                  <w:vAlign w:val="center"/>
                </w:tcPr>
                <w:p w14:paraId="15CD0ECB" w14:textId="77777777" w:rsidR="00F76A63" w:rsidRDefault="00000000">
                  <w:pPr>
                    <w:adjustRightInd w:val="0"/>
                    <w:snapToGrid w:val="0"/>
                    <w:jc w:val="center"/>
                    <w:rPr>
                      <w:sz w:val="18"/>
                      <w:szCs w:val="18"/>
                    </w:rPr>
                  </w:pPr>
                  <w:r>
                    <w:rPr>
                      <w:rFonts w:hint="eastAsia"/>
                      <w:sz w:val="18"/>
                      <w:szCs w:val="18"/>
                    </w:rPr>
                    <w:t>33</w:t>
                  </w:r>
                </w:p>
              </w:tc>
              <w:tc>
                <w:tcPr>
                  <w:tcW w:w="349" w:type="pct"/>
                  <w:vAlign w:val="center"/>
                </w:tcPr>
                <w:p w14:paraId="76BD38BE" w14:textId="77777777" w:rsidR="00F76A63" w:rsidRDefault="00000000">
                  <w:pPr>
                    <w:adjustRightInd w:val="0"/>
                    <w:snapToGrid w:val="0"/>
                    <w:jc w:val="center"/>
                    <w:rPr>
                      <w:sz w:val="18"/>
                      <w:szCs w:val="18"/>
                    </w:rPr>
                  </w:pPr>
                  <w:r>
                    <w:rPr>
                      <w:rFonts w:hint="eastAsia"/>
                      <w:sz w:val="18"/>
                      <w:szCs w:val="18"/>
                    </w:rPr>
                    <w:t>31</w:t>
                  </w:r>
                </w:p>
              </w:tc>
              <w:tc>
                <w:tcPr>
                  <w:tcW w:w="253" w:type="pct"/>
                  <w:vAlign w:val="center"/>
                </w:tcPr>
                <w:p w14:paraId="5436B74D" w14:textId="77777777" w:rsidR="00F76A63" w:rsidRDefault="00000000">
                  <w:pPr>
                    <w:adjustRightInd w:val="0"/>
                    <w:snapToGrid w:val="0"/>
                    <w:jc w:val="center"/>
                    <w:rPr>
                      <w:sz w:val="18"/>
                      <w:szCs w:val="18"/>
                    </w:rPr>
                  </w:pPr>
                  <w:r>
                    <w:rPr>
                      <w:sz w:val="18"/>
                      <w:szCs w:val="18"/>
                    </w:rPr>
                    <w:t>50</w:t>
                  </w:r>
                </w:p>
              </w:tc>
            </w:tr>
            <w:tr w:rsidR="00F76A63" w14:paraId="6EED4F78" w14:textId="77777777">
              <w:trPr>
                <w:trHeight w:val="340"/>
                <w:jc w:val="center"/>
              </w:trPr>
              <w:tc>
                <w:tcPr>
                  <w:tcW w:w="255" w:type="pct"/>
                  <w:vMerge/>
                  <w:vAlign w:val="center"/>
                </w:tcPr>
                <w:p w14:paraId="1E74671E" w14:textId="77777777" w:rsidR="00F76A63" w:rsidRDefault="00F76A63">
                  <w:pPr>
                    <w:adjustRightInd w:val="0"/>
                    <w:snapToGrid w:val="0"/>
                    <w:jc w:val="center"/>
                    <w:rPr>
                      <w:sz w:val="18"/>
                      <w:szCs w:val="18"/>
                    </w:rPr>
                  </w:pPr>
                </w:p>
              </w:tc>
              <w:tc>
                <w:tcPr>
                  <w:tcW w:w="711" w:type="pct"/>
                  <w:vAlign w:val="center"/>
                </w:tcPr>
                <w:p w14:paraId="72A4A577"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500" w:type="pct"/>
                  <w:vAlign w:val="center"/>
                </w:tcPr>
                <w:p w14:paraId="316CAF95" w14:textId="77777777" w:rsidR="00F76A63" w:rsidRDefault="00000000">
                  <w:pPr>
                    <w:adjustRightInd w:val="0"/>
                    <w:snapToGrid w:val="0"/>
                    <w:jc w:val="center"/>
                    <w:rPr>
                      <w:sz w:val="18"/>
                      <w:szCs w:val="18"/>
                    </w:rPr>
                  </w:pPr>
                  <w:r>
                    <w:rPr>
                      <w:rFonts w:hint="eastAsia"/>
                      <w:sz w:val="18"/>
                      <w:szCs w:val="18"/>
                    </w:rPr>
                    <w:t>13.1</w:t>
                  </w:r>
                </w:p>
              </w:tc>
              <w:tc>
                <w:tcPr>
                  <w:tcW w:w="504" w:type="pct"/>
                  <w:vAlign w:val="center"/>
                </w:tcPr>
                <w:p w14:paraId="3198A997" w14:textId="77777777" w:rsidR="00F76A63" w:rsidRDefault="00000000">
                  <w:pPr>
                    <w:adjustRightInd w:val="0"/>
                    <w:snapToGrid w:val="0"/>
                    <w:jc w:val="center"/>
                    <w:rPr>
                      <w:sz w:val="18"/>
                      <w:szCs w:val="18"/>
                    </w:rPr>
                  </w:pPr>
                  <w:r>
                    <w:rPr>
                      <w:rFonts w:hint="eastAsia"/>
                      <w:sz w:val="18"/>
                      <w:szCs w:val="18"/>
                    </w:rPr>
                    <w:t>14.1</w:t>
                  </w:r>
                </w:p>
              </w:tc>
              <w:tc>
                <w:tcPr>
                  <w:tcW w:w="504" w:type="pct"/>
                  <w:vAlign w:val="center"/>
                </w:tcPr>
                <w:p w14:paraId="48AEE41D" w14:textId="77777777" w:rsidR="00F76A63" w:rsidRDefault="00000000">
                  <w:pPr>
                    <w:adjustRightInd w:val="0"/>
                    <w:snapToGrid w:val="0"/>
                    <w:jc w:val="center"/>
                    <w:rPr>
                      <w:sz w:val="18"/>
                      <w:szCs w:val="18"/>
                    </w:rPr>
                  </w:pPr>
                  <w:r>
                    <w:rPr>
                      <w:rFonts w:hint="eastAsia"/>
                      <w:sz w:val="18"/>
                      <w:szCs w:val="18"/>
                    </w:rPr>
                    <w:t>12.1</w:t>
                  </w:r>
                </w:p>
              </w:tc>
              <w:tc>
                <w:tcPr>
                  <w:tcW w:w="411" w:type="pct"/>
                  <w:vAlign w:val="center"/>
                </w:tcPr>
                <w:p w14:paraId="787219B4" w14:textId="77777777" w:rsidR="00F76A63" w:rsidRDefault="00000000">
                  <w:pPr>
                    <w:adjustRightInd w:val="0"/>
                    <w:snapToGrid w:val="0"/>
                    <w:jc w:val="center"/>
                    <w:rPr>
                      <w:sz w:val="18"/>
                      <w:szCs w:val="18"/>
                    </w:rPr>
                  </w:pPr>
                  <w:r>
                    <w:rPr>
                      <w:rFonts w:hint="eastAsia"/>
                      <w:sz w:val="18"/>
                      <w:szCs w:val="18"/>
                    </w:rPr>
                    <w:t>13.1</w:t>
                  </w:r>
                </w:p>
              </w:tc>
              <w:tc>
                <w:tcPr>
                  <w:tcW w:w="504" w:type="pct"/>
                  <w:vAlign w:val="center"/>
                </w:tcPr>
                <w:p w14:paraId="4C51012E" w14:textId="77777777" w:rsidR="00F76A63" w:rsidRDefault="00000000">
                  <w:pPr>
                    <w:adjustRightInd w:val="0"/>
                    <w:snapToGrid w:val="0"/>
                    <w:jc w:val="center"/>
                    <w:rPr>
                      <w:sz w:val="18"/>
                      <w:szCs w:val="18"/>
                    </w:rPr>
                  </w:pPr>
                  <w:r>
                    <w:rPr>
                      <w:rFonts w:hint="eastAsia"/>
                      <w:sz w:val="18"/>
                      <w:szCs w:val="18"/>
                    </w:rPr>
                    <w:t>16.1</w:t>
                  </w:r>
                </w:p>
              </w:tc>
              <w:tc>
                <w:tcPr>
                  <w:tcW w:w="504" w:type="pct"/>
                  <w:vAlign w:val="center"/>
                </w:tcPr>
                <w:p w14:paraId="5AA7260A" w14:textId="77777777" w:rsidR="00F76A63" w:rsidRDefault="00000000">
                  <w:pPr>
                    <w:adjustRightInd w:val="0"/>
                    <w:snapToGrid w:val="0"/>
                    <w:jc w:val="center"/>
                    <w:rPr>
                      <w:sz w:val="18"/>
                      <w:szCs w:val="18"/>
                    </w:rPr>
                  </w:pPr>
                  <w:r>
                    <w:rPr>
                      <w:rFonts w:hint="eastAsia"/>
                      <w:sz w:val="18"/>
                      <w:szCs w:val="18"/>
                    </w:rPr>
                    <w:t>16.1</w:t>
                  </w:r>
                </w:p>
              </w:tc>
              <w:tc>
                <w:tcPr>
                  <w:tcW w:w="504" w:type="pct"/>
                  <w:vAlign w:val="center"/>
                </w:tcPr>
                <w:p w14:paraId="596B2FCA" w14:textId="77777777" w:rsidR="00F76A63" w:rsidRDefault="00000000">
                  <w:pPr>
                    <w:adjustRightInd w:val="0"/>
                    <w:snapToGrid w:val="0"/>
                    <w:jc w:val="center"/>
                    <w:rPr>
                      <w:sz w:val="18"/>
                      <w:szCs w:val="18"/>
                    </w:rPr>
                  </w:pPr>
                  <w:r>
                    <w:rPr>
                      <w:rFonts w:hint="eastAsia"/>
                      <w:sz w:val="18"/>
                      <w:szCs w:val="18"/>
                    </w:rPr>
                    <w:t>17.7</w:t>
                  </w:r>
                </w:p>
              </w:tc>
              <w:tc>
                <w:tcPr>
                  <w:tcW w:w="349" w:type="pct"/>
                  <w:vAlign w:val="center"/>
                </w:tcPr>
                <w:p w14:paraId="00153047" w14:textId="77777777" w:rsidR="00F76A63" w:rsidRDefault="00000000">
                  <w:pPr>
                    <w:adjustRightInd w:val="0"/>
                    <w:snapToGrid w:val="0"/>
                    <w:jc w:val="center"/>
                    <w:rPr>
                      <w:sz w:val="18"/>
                      <w:szCs w:val="18"/>
                    </w:rPr>
                  </w:pPr>
                  <w:r>
                    <w:rPr>
                      <w:rFonts w:hint="eastAsia"/>
                      <w:sz w:val="18"/>
                      <w:szCs w:val="18"/>
                    </w:rPr>
                    <w:t>16.6</w:t>
                  </w:r>
                </w:p>
              </w:tc>
              <w:tc>
                <w:tcPr>
                  <w:tcW w:w="253" w:type="pct"/>
                  <w:vAlign w:val="center"/>
                </w:tcPr>
                <w:p w14:paraId="47E9C9BE" w14:textId="77777777" w:rsidR="00F76A63" w:rsidRDefault="00000000">
                  <w:pPr>
                    <w:adjustRightInd w:val="0"/>
                    <w:snapToGrid w:val="0"/>
                    <w:jc w:val="center"/>
                    <w:rPr>
                      <w:sz w:val="18"/>
                      <w:szCs w:val="18"/>
                    </w:rPr>
                  </w:pPr>
                  <w:r>
                    <w:rPr>
                      <w:sz w:val="18"/>
                      <w:szCs w:val="18"/>
                    </w:rPr>
                    <w:t>-</w:t>
                  </w:r>
                </w:p>
              </w:tc>
            </w:tr>
            <w:tr w:rsidR="00F76A63" w14:paraId="474E5D8B" w14:textId="77777777">
              <w:trPr>
                <w:trHeight w:val="340"/>
                <w:jc w:val="center"/>
              </w:trPr>
              <w:tc>
                <w:tcPr>
                  <w:tcW w:w="255" w:type="pct"/>
                  <w:vMerge w:val="restart"/>
                  <w:vAlign w:val="center"/>
                </w:tcPr>
                <w:p w14:paraId="210EA715" w14:textId="77777777" w:rsidR="00F76A63" w:rsidRDefault="00000000">
                  <w:pPr>
                    <w:adjustRightInd w:val="0"/>
                    <w:snapToGrid w:val="0"/>
                    <w:jc w:val="center"/>
                    <w:rPr>
                      <w:sz w:val="18"/>
                      <w:szCs w:val="18"/>
                    </w:rPr>
                  </w:pPr>
                  <w:r>
                    <w:rPr>
                      <w:sz w:val="18"/>
                      <w:szCs w:val="18"/>
                    </w:rPr>
                    <w:t>颗粒物</w:t>
                  </w:r>
                </w:p>
              </w:tc>
              <w:tc>
                <w:tcPr>
                  <w:tcW w:w="711" w:type="pct"/>
                  <w:vAlign w:val="center"/>
                </w:tcPr>
                <w:p w14:paraId="4A2C871A"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500" w:type="pct"/>
                  <w:vAlign w:val="center"/>
                </w:tcPr>
                <w:p w14:paraId="2947CC4F" w14:textId="77777777" w:rsidR="00F76A63" w:rsidRDefault="00000000">
                  <w:pPr>
                    <w:adjustRightInd w:val="0"/>
                    <w:snapToGrid w:val="0"/>
                    <w:jc w:val="center"/>
                    <w:rPr>
                      <w:sz w:val="18"/>
                      <w:szCs w:val="18"/>
                    </w:rPr>
                  </w:pPr>
                  <w:r>
                    <w:rPr>
                      <w:rFonts w:hint="eastAsia"/>
                      <w:sz w:val="18"/>
                      <w:szCs w:val="18"/>
                    </w:rPr>
                    <w:t>2.1</w:t>
                  </w:r>
                </w:p>
              </w:tc>
              <w:tc>
                <w:tcPr>
                  <w:tcW w:w="504" w:type="pct"/>
                  <w:vAlign w:val="center"/>
                </w:tcPr>
                <w:p w14:paraId="4275C0B3" w14:textId="77777777" w:rsidR="00F76A63" w:rsidRDefault="00000000">
                  <w:pPr>
                    <w:adjustRightInd w:val="0"/>
                    <w:snapToGrid w:val="0"/>
                    <w:jc w:val="center"/>
                    <w:rPr>
                      <w:sz w:val="18"/>
                      <w:szCs w:val="18"/>
                    </w:rPr>
                  </w:pPr>
                  <w:r>
                    <w:rPr>
                      <w:rFonts w:hint="eastAsia"/>
                      <w:sz w:val="18"/>
                      <w:szCs w:val="18"/>
                    </w:rPr>
                    <w:t>1.6</w:t>
                  </w:r>
                </w:p>
              </w:tc>
              <w:tc>
                <w:tcPr>
                  <w:tcW w:w="504" w:type="pct"/>
                  <w:vAlign w:val="center"/>
                </w:tcPr>
                <w:p w14:paraId="3A6E703D" w14:textId="77777777" w:rsidR="00F76A63" w:rsidRDefault="00000000">
                  <w:pPr>
                    <w:adjustRightInd w:val="0"/>
                    <w:snapToGrid w:val="0"/>
                    <w:jc w:val="center"/>
                    <w:rPr>
                      <w:sz w:val="18"/>
                      <w:szCs w:val="18"/>
                    </w:rPr>
                  </w:pPr>
                  <w:r>
                    <w:rPr>
                      <w:rFonts w:hint="eastAsia"/>
                      <w:sz w:val="18"/>
                      <w:szCs w:val="18"/>
                    </w:rPr>
                    <w:t>1.5</w:t>
                  </w:r>
                </w:p>
              </w:tc>
              <w:tc>
                <w:tcPr>
                  <w:tcW w:w="411" w:type="pct"/>
                  <w:vAlign w:val="center"/>
                </w:tcPr>
                <w:p w14:paraId="39D4AC80" w14:textId="77777777" w:rsidR="00F76A63" w:rsidRDefault="00000000">
                  <w:pPr>
                    <w:adjustRightInd w:val="0"/>
                    <w:snapToGrid w:val="0"/>
                    <w:jc w:val="center"/>
                    <w:rPr>
                      <w:sz w:val="18"/>
                      <w:szCs w:val="18"/>
                    </w:rPr>
                  </w:pPr>
                  <w:r>
                    <w:rPr>
                      <w:rFonts w:hint="eastAsia"/>
                      <w:sz w:val="18"/>
                      <w:szCs w:val="18"/>
                    </w:rPr>
                    <w:t>1.7</w:t>
                  </w:r>
                </w:p>
              </w:tc>
              <w:tc>
                <w:tcPr>
                  <w:tcW w:w="1862" w:type="pct"/>
                  <w:gridSpan w:val="4"/>
                  <w:vMerge w:val="restart"/>
                  <w:vAlign w:val="center"/>
                </w:tcPr>
                <w:p w14:paraId="2EEA8A42" w14:textId="77777777" w:rsidR="00F76A63" w:rsidRDefault="00000000">
                  <w:pPr>
                    <w:adjustRightInd w:val="0"/>
                    <w:snapToGrid w:val="0"/>
                    <w:jc w:val="center"/>
                    <w:rPr>
                      <w:sz w:val="18"/>
                      <w:szCs w:val="18"/>
                    </w:rPr>
                  </w:pPr>
                  <w:r>
                    <w:rPr>
                      <w:sz w:val="18"/>
                      <w:szCs w:val="18"/>
                    </w:rPr>
                    <w:t>/</w:t>
                  </w:r>
                </w:p>
              </w:tc>
              <w:tc>
                <w:tcPr>
                  <w:tcW w:w="253" w:type="pct"/>
                  <w:vAlign w:val="center"/>
                </w:tcPr>
                <w:p w14:paraId="76C6E50F" w14:textId="77777777" w:rsidR="00F76A63" w:rsidRDefault="00000000">
                  <w:pPr>
                    <w:adjustRightInd w:val="0"/>
                    <w:snapToGrid w:val="0"/>
                    <w:jc w:val="center"/>
                    <w:rPr>
                      <w:sz w:val="18"/>
                      <w:szCs w:val="18"/>
                    </w:rPr>
                  </w:pPr>
                  <w:r>
                    <w:rPr>
                      <w:sz w:val="18"/>
                      <w:szCs w:val="18"/>
                    </w:rPr>
                    <w:t>-</w:t>
                  </w:r>
                </w:p>
              </w:tc>
            </w:tr>
            <w:tr w:rsidR="00F76A63" w14:paraId="5DCAD0FD" w14:textId="77777777">
              <w:trPr>
                <w:trHeight w:val="340"/>
                <w:jc w:val="center"/>
              </w:trPr>
              <w:tc>
                <w:tcPr>
                  <w:tcW w:w="255" w:type="pct"/>
                  <w:vMerge/>
                  <w:vAlign w:val="center"/>
                </w:tcPr>
                <w:p w14:paraId="24678952" w14:textId="77777777" w:rsidR="00F76A63" w:rsidRDefault="00F76A63">
                  <w:pPr>
                    <w:adjustRightInd w:val="0"/>
                    <w:snapToGrid w:val="0"/>
                    <w:jc w:val="center"/>
                    <w:rPr>
                      <w:sz w:val="18"/>
                      <w:szCs w:val="18"/>
                    </w:rPr>
                  </w:pPr>
                </w:p>
              </w:tc>
              <w:tc>
                <w:tcPr>
                  <w:tcW w:w="711" w:type="pct"/>
                  <w:vAlign w:val="center"/>
                </w:tcPr>
                <w:p w14:paraId="330BD0E0"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500" w:type="pct"/>
                  <w:vAlign w:val="center"/>
                </w:tcPr>
                <w:p w14:paraId="67590328" w14:textId="77777777" w:rsidR="00F76A63" w:rsidRDefault="00000000">
                  <w:pPr>
                    <w:adjustRightInd w:val="0"/>
                    <w:snapToGrid w:val="0"/>
                    <w:jc w:val="center"/>
                    <w:rPr>
                      <w:sz w:val="18"/>
                      <w:szCs w:val="18"/>
                    </w:rPr>
                  </w:pPr>
                  <w:r>
                    <w:rPr>
                      <w:rFonts w:hint="eastAsia"/>
                      <w:sz w:val="18"/>
                      <w:szCs w:val="18"/>
                    </w:rPr>
                    <w:t>2.0</w:t>
                  </w:r>
                </w:p>
              </w:tc>
              <w:tc>
                <w:tcPr>
                  <w:tcW w:w="504" w:type="pct"/>
                  <w:vAlign w:val="center"/>
                </w:tcPr>
                <w:p w14:paraId="5CDAF0F1" w14:textId="77777777" w:rsidR="00F76A63" w:rsidRDefault="00000000">
                  <w:pPr>
                    <w:adjustRightInd w:val="0"/>
                    <w:snapToGrid w:val="0"/>
                    <w:jc w:val="center"/>
                    <w:rPr>
                      <w:sz w:val="18"/>
                      <w:szCs w:val="18"/>
                    </w:rPr>
                  </w:pPr>
                  <w:r>
                    <w:rPr>
                      <w:rFonts w:hint="eastAsia"/>
                      <w:sz w:val="18"/>
                      <w:szCs w:val="18"/>
                    </w:rPr>
                    <w:t>1.6</w:t>
                  </w:r>
                </w:p>
              </w:tc>
              <w:tc>
                <w:tcPr>
                  <w:tcW w:w="504" w:type="pct"/>
                  <w:vAlign w:val="center"/>
                </w:tcPr>
                <w:p w14:paraId="565A3E77" w14:textId="77777777" w:rsidR="00F76A63" w:rsidRDefault="00000000">
                  <w:pPr>
                    <w:adjustRightInd w:val="0"/>
                    <w:snapToGrid w:val="0"/>
                    <w:jc w:val="center"/>
                    <w:rPr>
                      <w:sz w:val="18"/>
                      <w:szCs w:val="18"/>
                    </w:rPr>
                  </w:pPr>
                  <w:r>
                    <w:rPr>
                      <w:rFonts w:hint="eastAsia"/>
                      <w:sz w:val="18"/>
                      <w:szCs w:val="18"/>
                    </w:rPr>
                    <w:t>1.4</w:t>
                  </w:r>
                </w:p>
              </w:tc>
              <w:tc>
                <w:tcPr>
                  <w:tcW w:w="411" w:type="pct"/>
                  <w:vAlign w:val="center"/>
                </w:tcPr>
                <w:p w14:paraId="5F1B512B" w14:textId="77777777" w:rsidR="00F76A63" w:rsidRDefault="00000000">
                  <w:pPr>
                    <w:adjustRightInd w:val="0"/>
                    <w:snapToGrid w:val="0"/>
                    <w:jc w:val="center"/>
                    <w:rPr>
                      <w:sz w:val="18"/>
                      <w:szCs w:val="18"/>
                    </w:rPr>
                  </w:pPr>
                  <w:r>
                    <w:rPr>
                      <w:rFonts w:hint="eastAsia"/>
                      <w:sz w:val="18"/>
                      <w:szCs w:val="18"/>
                    </w:rPr>
                    <w:t>1.7</w:t>
                  </w:r>
                </w:p>
              </w:tc>
              <w:tc>
                <w:tcPr>
                  <w:tcW w:w="1862" w:type="pct"/>
                  <w:gridSpan w:val="4"/>
                  <w:vMerge/>
                  <w:vAlign w:val="center"/>
                </w:tcPr>
                <w:p w14:paraId="3605B4B7" w14:textId="77777777" w:rsidR="00F76A63" w:rsidRDefault="00F76A63">
                  <w:pPr>
                    <w:adjustRightInd w:val="0"/>
                    <w:snapToGrid w:val="0"/>
                    <w:jc w:val="center"/>
                    <w:rPr>
                      <w:sz w:val="18"/>
                      <w:szCs w:val="18"/>
                    </w:rPr>
                  </w:pPr>
                </w:p>
              </w:tc>
              <w:tc>
                <w:tcPr>
                  <w:tcW w:w="253" w:type="pct"/>
                  <w:vAlign w:val="center"/>
                </w:tcPr>
                <w:p w14:paraId="13F29F02" w14:textId="77777777" w:rsidR="00F76A63" w:rsidRDefault="00000000">
                  <w:pPr>
                    <w:adjustRightInd w:val="0"/>
                    <w:snapToGrid w:val="0"/>
                    <w:jc w:val="center"/>
                    <w:rPr>
                      <w:sz w:val="18"/>
                      <w:szCs w:val="18"/>
                    </w:rPr>
                  </w:pPr>
                  <w:r>
                    <w:rPr>
                      <w:sz w:val="18"/>
                      <w:szCs w:val="18"/>
                    </w:rPr>
                    <w:t>10</w:t>
                  </w:r>
                </w:p>
              </w:tc>
            </w:tr>
            <w:tr w:rsidR="00F76A63" w14:paraId="08D61D07" w14:textId="77777777">
              <w:trPr>
                <w:trHeight w:val="340"/>
                <w:jc w:val="center"/>
              </w:trPr>
              <w:tc>
                <w:tcPr>
                  <w:tcW w:w="255" w:type="pct"/>
                  <w:vMerge/>
                  <w:vAlign w:val="center"/>
                </w:tcPr>
                <w:p w14:paraId="48C05BC4" w14:textId="77777777" w:rsidR="00F76A63" w:rsidRDefault="00F76A63">
                  <w:pPr>
                    <w:adjustRightInd w:val="0"/>
                    <w:snapToGrid w:val="0"/>
                    <w:jc w:val="center"/>
                    <w:rPr>
                      <w:sz w:val="18"/>
                      <w:szCs w:val="18"/>
                    </w:rPr>
                  </w:pPr>
                </w:p>
              </w:tc>
              <w:tc>
                <w:tcPr>
                  <w:tcW w:w="711" w:type="pct"/>
                  <w:vAlign w:val="center"/>
                </w:tcPr>
                <w:p w14:paraId="168D5096"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500" w:type="pct"/>
                  <w:vAlign w:val="center"/>
                </w:tcPr>
                <w:p w14:paraId="465950ED" w14:textId="77777777" w:rsidR="00F76A63" w:rsidRDefault="00000000">
                  <w:pPr>
                    <w:adjustRightInd w:val="0"/>
                    <w:snapToGrid w:val="0"/>
                    <w:jc w:val="center"/>
                    <w:rPr>
                      <w:sz w:val="18"/>
                      <w:szCs w:val="18"/>
                    </w:rPr>
                  </w:pPr>
                  <w:r>
                    <w:rPr>
                      <w:rFonts w:hint="eastAsia"/>
                      <w:sz w:val="18"/>
                      <w:szCs w:val="18"/>
                    </w:rPr>
                    <w:t>1.06</w:t>
                  </w:r>
                </w:p>
              </w:tc>
              <w:tc>
                <w:tcPr>
                  <w:tcW w:w="504" w:type="pct"/>
                  <w:vAlign w:val="center"/>
                </w:tcPr>
                <w:p w14:paraId="6B82640B" w14:textId="77777777" w:rsidR="00F76A63" w:rsidRDefault="00000000">
                  <w:pPr>
                    <w:adjustRightInd w:val="0"/>
                    <w:snapToGrid w:val="0"/>
                    <w:jc w:val="center"/>
                    <w:rPr>
                      <w:sz w:val="18"/>
                      <w:szCs w:val="18"/>
                    </w:rPr>
                  </w:pPr>
                  <w:r>
                    <w:rPr>
                      <w:rFonts w:hint="eastAsia"/>
                      <w:sz w:val="18"/>
                      <w:szCs w:val="18"/>
                    </w:rPr>
                    <w:t>0.746</w:t>
                  </w:r>
                </w:p>
              </w:tc>
              <w:tc>
                <w:tcPr>
                  <w:tcW w:w="504" w:type="pct"/>
                  <w:vAlign w:val="center"/>
                </w:tcPr>
                <w:p w14:paraId="0444F2EF" w14:textId="77777777" w:rsidR="00F76A63" w:rsidRDefault="00000000">
                  <w:pPr>
                    <w:adjustRightInd w:val="0"/>
                    <w:snapToGrid w:val="0"/>
                    <w:jc w:val="center"/>
                    <w:rPr>
                      <w:sz w:val="18"/>
                      <w:szCs w:val="18"/>
                    </w:rPr>
                  </w:pPr>
                  <w:r>
                    <w:rPr>
                      <w:rFonts w:hint="eastAsia"/>
                      <w:sz w:val="18"/>
                      <w:szCs w:val="18"/>
                    </w:rPr>
                    <w:t>0.671</w:t>
                  </w:r>
                </w:p>
              </w:tc>
              <w:tc>
                <w:tcPr>
                  <w:tcW w:w="411" w:type="pct"/>
                  <w:vAlign w:val="center"/>
                </w:tcPr>
                <w:p w14:paraId="642874E4" w14:textId="77777777" w:rsidR="00F76A63" w:rsidRDefault="00000000">
                  <w:pPr>
                    <w:adjustRightInd w:val="0"/>
                    <w:snapToGrid w:val="0"/>
                    <w:jc w:val="center"/>
                    <w:rPr>
                      <w:sz w:val="18"/>
                      <w:szCs w:val="18"/>
                    </w:rPr>
                  </w:pPr>
                  <w:r>
                    <w:rPr>
                      <w:rFonts w:hint="eastAsia"/>
                      <w:sz w:val="18"/>
                      <w:szCs w:val="18"/>
                    </w:rPr>
                    <w:t>0.826</w:t>
                  </w:r>
                </w:p>
              </w:tc>
              <w:tc>
                <w:tcPr>
                  <w:tcW w:w="1862" w:type="pct"/>
                  <w:gridSpan w:val="4"/>
                  <w:vMerge/>
                  <w:vAlign w:val="center"/>
                </w:tcPr>
                <w:p w14:paraId="7F194643" w14:textId="77777777" w:rsidR="00F76A63" w:rsidRDefault="00F76A63">
                  <w:pPr>
                    <w:adjustRightInd w:val="0"/>
                    <w:snapToGrid w:val="0"/>
                    <w:jc w:val="center"/>
                    <w:rPr>
                      <w:sz w:val="18"/>
                      <w:szCs w:val="18"/>
                    </w:rPr>
                  </w:pPr>
                </w:p>
              </w:tc>
              <w:tc>
                <w:tcPr>
                  <w:tcW w:w="253" w:type="pct"/>
                  <w:vAlign w:val="center"/>
                </w:tcPr>
                <w:p w14:paraId="07A966B7" w14:textId="77777777" w:rsidR="00F76A63" w:rsidRDefault="00000000">
                  <w:pPr>
                    <w:adjustRightInd w:val="0"/>
                    <w:snapToGrid w:val="0"/>
                    <w:jc w:val="center"/>
                    <w:rPr>
                      <w:sz w:val="18"/>
                      <w:szCs w:val="18"/>
                    </w:rPr>
                  </w:pPr>
                  <w:r>
                    <w:rPr>
                      <w:sz w:val="18"/>
                      <w:szCs w:val="18"/>
                    </w:rPr>
                    <w:t>-</w:t>
                  </w:r>
                </w:p>
              </w:tc>
            </w:tr>
          </w:tbl>
          <w:p w14:paraId="19243EE8" w14:textId="77777777" w:rsidR="00F76A63" w:rsidRDefault="00000000">
            <w:pPr>
              <w:adjustRightInd w:val="0"/>
              <w:snapToGrid w:val="0"/>
              <w:spacing w:line="500" w:lineRule="exact"/>
              <w:ind w:firstLine="482"/>
              <w:jc w:val="center"/>
              <w:rPr>
                <w:b/>
                <w:sz w:val="24"/>
              </w:rPr>
            </w:pPr>
            <w:bookmarkStart w:id="99" w:name="OLE_LINK70"/>
            <w:r>
              <w:rPr>
                <w:rFonts w:hint="eastAsia"/>
                <w:b/>
                <w:sz w:val="24"/>
              </w:rPr>
              <w:t>表</w:t>
            </w:r>
            <w:r>
              <w:rPr>
                <w:b/>
                <w:sz w:val="24"/>
              </w:rPr>
              <w:t>2-</w:t>
            </w:r>
            <w:r>
              <w:rPr>
                <w:rFonts w:hint="eastAsia"/>
                <w:b/>
                <w:sz w:val="24"/>
              </w:rPr>
              <w:t>50</w:t>
            </w:r>
            <w:r>
              <w:rPr>
                <w:b/>
                <w:sz w:val="24"/>
              </w:rPr>
              <w:t>续</w:t>
            </w:r>
            <w:r>
              <w:rPr>
                <w:b/>
                <w:sz w:val="24"/>
              </w:rPr>
              <w:t xml:space="preserve">  1#</w:t>
            </w:r>
            <w:r>
              <w:rPr>
                <w:b/>
                <w:sz w:val="24"/>
              </w:rPr>
              <w:t>熟料生产窑尾有组织废气监测结果</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96"/>
              <w:gridCol w:w="1255"/>
              <w:gridCol w:w="1401"/>
              <w:gridCol w:w="1491"/>
              <w:gridCol w:w="1581"/>
              <w:gridCol w:w="1491"/>
              <w:gridCol w:w="562"/>
            </w:tblGrid>
            <w:tr w:rsidR="00F76A63" w14:paraId="5ACF4553" w14:textId="77777777">
              <w:trPr>
                <w:trHeight w:val="340"/>
                <w:jc w:val="center"/>
              </w:trPr>
              <w:tc>
                <w:tcPr>
                  <w:tcW w:w="1338" w:type="pct"/>
                  <w:gridSpan w:val="2"/>
                  <w:vMerge w:val="restart"/>
                  <w:vAlign w:val="center"/>
                </w:tcPr>
                <w:p w14:paraId="1E8E07F3" w14:textId="77777777" w:rsidR="00F76A63" w:rsidRDefault="00000000">
                  <w:pPr>
                    <w:adjustRightInd w:val="0"/>
                    <w:snapToGrid w:val="0"/>
                    <w:jc w:val="center"/>
                    <w:rPr>
                      <w:b/>
                      <w:bCs/>
                      <w:sz w:val="18"/>
                      <w:szCs w:val="18"/>
                    </w:rPr>
                  </w:pPr>
                  <w:r>
                    <w:rPr>
                      <w:b/>
                      <w:bCs/>
                      <w:sz w:val="18"/>
                      <w:szCs w:val="18"/>
                    </w:rPr>
                    <w:t>检测项目</w:t>
                  </w:r>
                </w:p>
              </w:tc>
              <w:tc>
                <w:tcPr>
                  <w:tcW w:w="3662" w:type="pct"/>
                  <w:gridSpan w:val="5"/>
                  <w:vAlign w:val="center"/>
                </w:tcPr>
                <w:p w14:paraId="49D3BB8F" w14:textId="77777777" w:rsidR="00F76A63" w:rsidRDefault="00000000">
                  <w:pPr>
                    <w:adjustRightInd w:val="0"/>
                    <w:snapToGrid w:val="0"/>
                    <w:jc w:val="center"/>
                    <w:rPr>
                      <w:b/>
                      <w:bCs/>
                      <w:sz w:val="18"/>
                      <w:szCs w:val="18"/>
                    </w:rPr>
                  </w:pPr>
                  <w:r>
                    <w:rPr>
                      <w:b/>
                      <w:bCs/>
                      <w:sz w:val="18"/>
                      <w:szCs w:val="18"/>
                    </w:rPr>
                    <w:t>（</w:t>
                  </w:r>
                  <w:r>
                    <w:rPr>
                      <w:b/>
                      <w:bCs/>
                      <w:sz w:val="18"/>
                      <w:szCs w:val="18"/>
                    </w:rPr>
                    <w:t>DA057</w:t>
                  </w:r>
                  <w:r>
                    <w:rPr>
                      <w:b/>
                      <w:bCs/>
                      <w:sz w:val="18"/>
                      <w:szCs w:val="18"/>
                    </w:rPr>
                    <w:t>）</w:t>
                  </w:r>
                  <w:r>
                    <w:rPr>
                      <w:b/>
                      <w:bCs/>
                      <w:sz w:val="18"/>
                      <w:szCs w:val="18"/>
                    </w:rPr>
                    <w:t>#1</w:t>
                  </w:r>
                  <w:r>
                    <w:rPr>
                      <w:b/>
                      <w:bCs/>
                      <w:sz w:val="18"/>
                      <w:szCs w:val="18"/>
                    </w:rPr>
                    <w:t>熟料窑尾</w:t>
                  </w:r>
                </w:p>
              </w:tc>
            </w:tr>
            <w:tr w:rsidR="00F76A63" w14:paraId="1F59E4E2" w14:textId="77777777">
              <w:trPr>
                <w:trHeight w:val="340"/>
                <w:jc w:val="center"/>
              </w:trPr>
              <w:tc>
                <w:tcPr>
                  <w:tcW w:w="1338" w:type="pct"/>
                  <w:gridSpan w:val="2"/>
                  <w:vMerge/>
                  <w:vAlign w:val="center"/>
                </w:tcPr>
                <w:p w14:paraId="5CA35BF7" w14:textId="77777777" w:rsidR="00F76A63" w:rsidRDefault="00F76A63">
                  <w:pPr>
                    <w:adjustRightInd w:val="0"/>
                    <w:snapToGrid w:val="0"/>
                    <w:jc w:val="center"/>
                    <w:rPr>
                      <w:b/>
                      <w:bCs/>
                      <w:sz w:val="18"/>
                      <w:szCs w:val="18"/>
                    </w:rPr>
                  </w:pPr>
                </w:p>
              </w:tc>
              <w:tc>
                <w:tcPr>
                  <w:tcW w:w="3662" w:type="pct"/>
                  <w:gridSpan w:val="5"/>
                  <w:vAlign w:val="center"/>
                </w:tcPr>
                <w:p w14:paraId="020BF245" w14:textId="77777777" w:rsidR="00F76A63" w:rsidRDefault="00000000">
                  <w:pPr>
                    <w:adjustRightInd w:val="0"/>
                    <w:snapToGrid w:val="0"/>
                    <w:jc w:val="center"/>
                    <w:rPr>
                      <w:b/>
                      <w:bCs/>
                      <w:sz w:val="18"/>
                      <w:szCs w:val="18"/>
                    </w:rPr>
                  </w:pPr>
                  <w:r>
                    <w:rPr>
                      <w:b/>
                      <w:bCs/>
                      <w:sz w:val="18"/>
                      <w:szCs w:val="18"/>
                    </w:rPr>
                    <w:t>202</w:t>
                  </w:r>
                  <w:r>
                    <w:rPr>
                      <w:rFonts w:hint="eastAsia"/>
                      <w:b/>
                      <w:bCs/>
                      <w:sz w:val="18"/>
                      <w:szCs w:val="18"/>
                    </w:rPr>
                    <w:t>6</w:t>
                  </w:r>
                  <w:r>
                    <w:rPr>
                      <w:b/>
                      <w:bCs/>
                      <w:sz w:val="18"/>
                      <w:szCs w:val="18"/>
                    </w:rPr>
                    <w:t>.0</w:t>
                  </w:r>
                  <w:r>
                    <w:rPr>
                      <w:rFonts w:hint="eastAsia"/>
                      <w:b/>
                      <w:bCs/>
                      <w:sz w:val="18"/>
                      <w:szCs w:val="18"/>
                    </w:rPr>
                    <w:t>1.27</w:t>
                  </w:r>
                </w:p>
              </w:tc>
            </w:tr>
            <w:tr w:rsidR="00F76A63" w14:paraId="76ED9C29" w14:textId="77777777">
              <w:trPr>
                <w:trHeight w:val="340"/>
                <w:jc w:val="center"/>
              </w:trPr>
              <w:tc>
                <w:tcPr>
                  <w:tcW w:w="1338" w:type="pct"/>
                  <w:gridSpan w:val="2"/>
                  <w:vMerge/>
                  <w:vAlign w:val="center"/>
                </w:tcPr>
                <w:p w14:paraId="56AE8533" w14:textId="77777777" w:rsidR="00F76A63" w:rsidRDefault="00F76A63">
                  <w:pPr>
                    <w:adjustRightInd w:val="0"/>
                    <w:snapToGrid w:val="0"/>
                    <w:jc w:val="center"/>
                    <w:rPr>
                      <w:b/>
                      <w:bCs/>
                      <w:sz w:val="18"/>
                      <w:szCs w:val="18"/>
                    </w:rPr>
                  </w:pPr>
                </w:p>
              </w:tc>
              <w:tc>
                <w:tcPr>
                  <w:tcW w:w="686" w:type="pct"/>
                  <w:vAlign w:val="center"/>
                </w:tcPr>
                <w:p w14:paraId="0038D0DF" w14:textId="77777777" w:rsidR="00F76A63" w:rsidRDefault="00000000">
                  <w:pPr>
                    <w:adjustRightInd w:val="0"/>
                    <w:snapToGrid w:val="0"/>
                    <w:jc w:val="center"/>
                    <w:rPr>
                      <w:b/>
                      <w:bCs/>
                      <w:sz w:val="18"/>
                      <w:szCs w:val="18"/>
                    </w:rPr>
                  </w:pPr>
                  <w:r>
                    <w:rPr>
                      <w:b/>
                      <w:bCs/>
                      <w:sz w:val="18"/>
                      <w:szCs w:val="18"/>
                    </w:rPr>
                    <w:t>第一次</w:t>
                  </w:r>
                </w:p>
              </w:tc>
              <w:tc>
                <w:tcPr>
                  <w:tcW w:w="731" w:type="pct"/>
                  <w:vAlign w:val="center"/>
                </w:tcPr>
                <w:p w14:paraId="1EB1983C" w14:textId="77777777" w:rsidR="00F76A63" w:rsidRDefault="00000000">
                  <w:pPr>
                    <w:adjustRightInd w:val="0"/>
                    <w:snapToGrid w:val="0"/>
                    <w:jc w:val="center"/>
                    <w:rPr>
                      <w:b/>
                      <w:bCs/>
                      <w:sz w:val="18"/>
                      <w:szCs w:val="18"/>
                    </w:rPr>
                  </w:pPr>
                  <w:r>
                    <w:rPr>
                      <w:b/>
                      <w:bCs/>
                      <w:sz w:val="18"/>
                      <w:szCs w:val="18"/>
                    </w:rPr>
                    <w:t>第二次</w:t>
                  </w:r>
                </w:p>
              </w:tc>
              <w:tc>
                <w:tcPr>
                  <w:tcW w:w="662" w:type="pct"/>
                  <w:vAlign w:val="center"/>
                </w:tcPr>
                <w:p w14:paraId="1E2A097F" w14:textId="77777777" w:rsidR="00F76A63" w:rsidRDefault="00000000">
                  <w:pPr>
                    <w:adjustRightInd w:val="0"/>
                    <w:snapToGrid w:val="0"/>
                    <w:jc w:val="center"/>
                    <w:rPr>
                      <w:b/>
                      <w:bCs/>
                      <w:sz w:val="18"/>
                      <w:szCs w:val="18"/>
                    </w:rPr>
                  </w:pPr>
                  <w:r>
                    <w:rPr>
                      <w:b/>
                      <w:bCs/>
                      <w:sz w:val="18"/>
                      <w:szCs w:val="18"/>
                    </w:rPr>
                    <w:t>第三次</w:t>
                  </w:r>
                </w:p>
              </w:tc>
              <w:tc>
                <w:tcPr>
                  <w:tcW w:w="922" w:type="pct"/>
                  <w:vAlign w:val="center"/>
                </w:tcPr>
                <w:p w14:paraId="4DBB0AE1" w14:textId="77777777" w:rsidR="00F76A63" w:rsidRDefault="00000000">
                  <w:pPr>
                    <w:adjustRightInd w:val="0"/>
                    <w:snapToGrid w:val="0"/>
                    <w:jc w:val="center"/>
                    <w:rPr>
                      <w:b/>
                      <w:bCs/>
                      <w:sz w:val="18"/>
                      <w:szCs w:val="18"/>
                    </w:rPr>
                  </w:pPr>
                  <w:r>
                    <w:rPr>
                      <w:b/>
                      <w:bCs/>
                      <w:sz w:val="18"/>
                      <w:szCs w:val="18"/>
                    </w:rPr>
                    <w:t>平均值</w:t>
                  </w:r>
                </w:p>
              </w:tc>
              <w:tc>
                <w:tcPr>
                  <w:tcW w:w="661" w:type="pct"/>
                  <w:vAlign w:val="center"/>
                </w:tcPr>
                <w:p w14:paraId="1B9D26FE" w14:textId="77777777" w:rsidR="00F76A63" w:rsidRDefault="00000000">
                  <w:pPr>
                    <w:adjustRightInd w:val="0"/>
                    <w:snapToGrid w:val="0"/>
                    <w:jc w:val="center"/>
                    <w:rPr>
                      <w:b/>
                      <w:bCs/>
                      <w:sz w:val="18"/>
                      <w:szCs w:val="18"/>
                    </w:rPr>
                  </w:pPr>
                  <w:r>
                    <w:rPr>
                      <w:b/>
                      <w:bCs/>
                      <w:sz w:val="18"/>
                      <w:szCs w:val="18"/>
                    </w:rPr>
                    <w:t>标准限值</w:t>
                  </w:r>
                </w:p>
              </w:tc>
            </w:tr>
            <w:tr w:rsidR="00F76A63" w14:paraId="2A3FC803" w14:textId="77777777">
              <w:trPr>
                <w:trHeight w:val="340"/>
                <w:jc w:val="center"/>
              </w:trPr>
              <w:tc>
                <w:tcPr>
                  <w:tcW w:w="380" w:type="pct"/>
                  <w:vMerge w:val="restart"/>
                  <w:vAlign w:val="center"/>
                </w:tcPr>
                <w:p w14:paraId="148CD273" w14:textId="77777777" w:rsidR="00F76A63" w:rsidRDefault="00000000">
                  <w:pPr>
                    <w:adjustRightInd w:val="0"/>
                    <w:snapToGrid w:val="0"/>
                    <w:jc w:val="center"/>
                    <w:rPr>
                      <w:sz w:val="18"/>
                      <w:szCs w:val="18"/>
                    </w:rPr>
                  </w:pPr>
                  <w:r>
                    <w:rPr>
                      <w:sz w:val="18"/>
                      <w:szCs w:val="18"/>
                    </w:rPr>
                    <w:t>总烃</w:t>
                  </w:r>
                </w:p>
              </w:tc>
              <w:tc>
                <w:tcPr>
                  <w:tcW w:w="958" w:type="pct"/>
                  <w:vAlign w:val="center"/>
                </w:tcPr>
                <w:p w14:paraId="79723B7F"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2E618068" w14:textId="77777777" w:rsidR="00F76A63" w:rsidRDefault="00000000">
                  <w:pPr>
                    <w:adjustRightInd w:val="0"/>
                    <w:snapToGrid w:val="0"/>
                    <w:jc w:val="center"/>
                    <w:rPr>
                      <w:sz w:val="18"/>
                      <w:szCs w:val="18"/>
                    </w:rPr>
                  </w:pPr>
                  <w:r>
                    <w:rPr>
                      <w:rFonts w:hint="eastAsia"/>
                      <w:sz w:val="18"/>
                      <w:szCs w:val="18"/>
                    </w:rPr>
                    <w:t>12.6</w:t>
                  </w:r>
                </w:p>
              </w:tc>
              <w:tc>
                <w:tcPr>
                  <w:tcW w:w="731" w:type="pct"/>
                  <w:vAlign w:val="center"/>
                </w:tcPr>
                <w:p w14:paraId="6D87E6A0" w14:textId="77777777" w:rsidR="00F76A63" w:rsidRDefault="00000000">
                  <w:pPr>
                    <w:adjustRightInd w:val="0"/>
                    <w:snapToGrid w:val="0"/>
                    <w:jc w:val="center"/>
                    <w:rPr>
                      <w:sz w:val="18"/>
                      <w:szCs w:val="18"/>
                    </w:rPr>
                  </w:pPr>
                  <w:r>
                    <w:rPr>
                      <w:rFonts w:hint="eastAsia"/>
                      <w:sz w:val="18"/>
                      <w:szCs w:val="18"/>
                    </w:rPr>
                    <w:t>9.70</w:t>
                  </w:r>
                </w:p>
              </w:tc>
              <w:tc>
                <w:tcPr>
                  <w:tcW w:w="662" w:type="pct"/>
                  <w:vAlign w:val="center"/>
                </w:tcPr>
                <w:p w14:paraId="11A787F5" w14:textId="77777777" w:rsidR="00F76A63" w:rsidRDefault="00000000">
                  <w:pPr>
                    <w:adjustRightInd w:val="0"/>
                    <w:snapToGrid w:val="0"/>
                    <w:jc w:val="center"/>
                    <w:rPr>
                      <w:sz w:val="18"/>
                      <w:szCs w:val="18"/>
                    </w:rPr>
                  </w:pPr>
                  <w:r>
                    <w:rPr>
                      <w:rFonts w:hint="eastAsia"/>
                      <w:sz w:val="18"/>
                      <w:szCs w:val="18"/>
                    </w:rPr>
                    <w:t>10.7</w:t>
                  </w:r>
                </w:p>
              </w:tc>
              <w:tc>
                <w:tcPr>
                  <w:tcW w:w="922" w:type="pct"/>
                  <w:vAlign w:val="center"/>
                </w:tcPr>
                <w:p w14:paraId="631770FB" w14:textId="77777777" w:rsidR="00F76A63" w:rsidRDefault="00000000">
                  <w:pPr>
                    <w:adjustRightInd w:val="0"/>
                    <w:snapToGrid w:val="0"/>
                    <w:jc w:val="center"/>
                    <w:rPr>
                      <w:sz w:val="18"/>
                      <w:szCs w:val="18"/>
                    </w:rPr>
                  </w:pPr>
                  <w:r>
                    <w:rPr>
                      <w:rFonts w:hint="eastAsia"/>
                      <w:sz w:val="18"/>
                      <w:szCs w:val="18"/>
                    </w:rPr>
                    <w:t>11.0</w:t>
                  </w:r>
                </w:p>
              </w:tc>
              <w:tc>
                <w:tcPr>
                  <w:tcW w:w="661" w:type="pct"/>
                  <w:vAlign w:val="center"/>
                </w:tcPr>
                <w:p w14:paraId="1556491E" w14:textId="77777777" w:rsidR="00F76A63" w:rsidRDefault="00000000">
                  <w:pPr>
                    <w:adjustRightInd w:val="0"/>
                    <w:snapToGrid w:val="0"/>
                    <w:jc w:val="center"/>
                    <w:rPr>
                      <w:sz w:val="18"/>
                      <w:szCs w:val="18"/>
                    </w:rPr>
                  </w:pPr>
                  <w:r>
                    <w:rPr>
                      <w:sz w:val="18"/>
                      <w:szCs w:val="18"/>
                    </w:rPr>
                    <w:t>-</w:t>
                  </w:r>
                </w:p>
              </w:tc>
            </w:tr>
            <w:tr w:rsidR="00F76A63" w14:paraId="12CA01F9" w14:textId="77777777">
              <w:trPr>
                <w:trHeight w:val="340"/>
                <w:jc w:val="center"/>
              </w:trPr>
              <w:tc>
                <w:tcPr>
                  <w:tcW w:w="380" w:type="pct"/>
                  <w:vMerge/>
                  <w:vAlign w:val="center"/>
                </w:tcPr>
                <w:p w14:paraId="6BE8D2D6" w14:textId="77777777" w:rsidR="00F76A63" w:rsidRDefault="00F76A63">
                  <w:pPr>
                    <w:adjustRightInd w:val="0"/>
                    <w:snapToGrid w:val="0"/>
                    <w:jc w:val="center"/>
                    <w:rPr>
                      <w:sz w:val="18"/>
                      <w:szCs w:val="18"/>
                    </w:rPr>
                  </w:pPr>
                </w:p>
              </w:tc>
              <w:tc>
                <w:tcPr>
                  <w:tcW w:w="958" w:type="pct"/>
                  <w:vAlign w:val="center"/>
                </w:tcPr>
                <w:p w14:paraId="5DED3AF9"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70FC5D90" w14:textId="77777777" w:rsidR="00F76A63" w:rsidRDefault="00000000">
                  <w:pPr>
                    <w:adjustRightInd w:val="0"/>
                    <w:snapToGrid w:val="0"/>
                    <w:jc w:val="center"/>
                    <w:rPr>
                      <w:sz w:val="18"/>
                      <w:szCs w:val="18"/>
                    </w:rPr>
                  </w:pPr>
                  <w:r>
                    <w:rPr>
                      <w:rFonts w:hint="eastAsia"/>
                      <w:sz w:val="18"/>
                      <w:szCs w:val="18"/>
                    </w:rPr>
                    <w:t>5.98</w:t>
                  </w:r>
                </w:p>
              </w:tc>
              <w:tc>
                <w:tcPr>
                  <w:tcW w:w="731" w:type="pct"/>
                  <w:vAlign w:val="center"/>
                </w:tcPr>
                <w:p w14:paraId="1C9E47DD" w14:textId="77777777" w:rsidR="00F76A63" w:rsidRDefault="00000000">
                  <w:pPr>
                    <w:adjustRightInd w:val="0"/>
                    <w:snapToGrid w:val="0"/>
                    <w:jc w:val="center"/>
                    <w:rPr>
                      <w:sz w:val="18"/>
                      <w:szCs w:val="18"/>
                    </w:rPr>
                  </w:pPr>
                  <w:r>
                    <w:rPr>
                      <w:rFonts w:hint="eastAsia"/>
                      <w:sz w:val="18"/>
                      <w:szCs w:val="18"/>
                    </w:rPr>
                    <w:t>4.60</w:t>
                  </w:r>
                </w:p>
              </w:tc>
              <w:tc>
                <w:tcPr>
                  <w:tcW w:w="662" w:type="pct"/>
                  <w:vAlign w:val="center"/>
                </w:tcPr>
                <w:p w14:paraId="7F37A825" w14:textId="77777777" w:rsidR="00F76A63" w:rsidRDefault="00000000">
                  <w:pPr>
                    <w:adjustRightInd w:val="0"/>
                    <w:snapToGrid w:val="0"/>
                    <w:jc w:val="center"/>
                    <w:rPr>
                      <w:sz w:val="18"/>
                      <w:szCs w:val="18"/>
                    </w:rPr>
                  </w:pPr>
                  <w:r>
                    <w:rPr>
                      <w:rFonts w:hint="eastAsia"/>
                      <w:sz w:val="18"/>
                      <w:szCs w:val="18"/>
                    </w:rPr>
                    <w:t>5.07</w:t>
                  </w:r>
                </w:p>
              </w:tc>
              <w:tc>
                <w:tcPr>
                  <w:tcW w:w="922" w:type="pct"/>
                  <w:vAlign w:val="center"/>
                </w:tcPr>
                <w:p w14:paraId="153AA2DB" w14:textId="77777777" w:rsidR="00F76A63" w:rsidRDefault="00000000">
                  <w:pPr>
                    <w:adjustRightInd w:val="0"/>
                    <w:snapToGrid w:val="0"/>
                    <w:jc w:val="center"/>
                    <w:rPr>
                      <w:sz w:val="18"/>
                      <w:szCs w:val="18"/>
                    </w:rPr>
                  </w:pPr>
                  <w:r>
                    <w:rPr>
                      <w:rFonts w:hint="eastAsia"/>
                      <w:sz w:val="18"/>
                      <w:szCs w:val="18"/>
                    </w:rPr>
                    <w:t>5.22</w:t>
                  </w:r>
                </w:p>
              </w:tc>
              <w:tc>
                <w:tcPr>
                  <w:tcW w:w="661" w:type="pct"/>
                  <w:vAlign w:val="center"/>
                </w:tcPr>
                <w:p w14:paraId="05867884" w14:textId="77777777" w:rsidR="00F76A63" w:rsidRDefault="00000000">
                  <w:pPr>
                    <w:adjustRightInd w:val="0"/>
                    <w:snapToGrid w:val="0"/>
                    <w:jc w:val="center"/>
                    <w:rPr>
                      <w:sz w:val="18"/>
                      <w:szCs w:val="18"/>
                    </w:rPr>
                  </w:pPr>
                  <w:r>
                    <w:rPr>
                      <w:sz w:val="18"/>
                      <w:szCs w:val="18"/>
                    </w:rPr>
                    <w:t>-</w:t>
                  </w:r>
                </w:p>
              </w:tc>
            </w:tr>
            <w:tr w:rsidR="00F76A63" w14:paraId="2636A5C9" w14:textId="77777777">
              <w:trPr>
                <w:trHeight w:val="340"/>
                <w:jc w:val="center"/>
              </w:trPr>
              <w:tc>
                <w:tcPr>
                  <w:tcW w:w="380" w:type="pct"/>
                  <w:vMerge w:val="restart"/>
                  <w:vAlign w:val="center"/>
                </w:tcPr>
                <w:p w14:paraId="6ABA72C3" w14:textId="77777777" w:rsidR="00F76A63" w:rsidRDefault="00000000">
                  <w:pPr>
                    <w:adjustRightInd w:val="0"/>
                    <w:snapToGrid w:val="0"/>
                    <w:jc w:val="center"/>
                    <w:rPr>
                      <w:sz w:val="18"/>
                      <w:szCs w:val="18"/>
                    </w:rPr>
                  </w:pPr>
                  <w:r>
                    <w:rPr>
                      <w:sz w:val="18"/>
                      <w:szCs w:val="18"/>
                    </w:rPr>
                    <w:t>氨</w:t>
                  </w:r>
                </w:p>
              </w:tc>
              <w:tc>
                <w:tcPr>
                  <w:tcW w:w="958" w:type="pct"/>
                  <w:vAlign w:val="center"/>
                </w:tcPr>
                <w:p w14:paraId="0DD1A3B8"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3E828D81" w14:textId="77777777" w:rsidR="00F76A63" w:rsidRDefault="00000000">
                  <w:pPr>
                    <w:adjustRightInd w:val="0"/>
                    <w:snapToGrid w:val="0"/>
                    <w:jc w:val="center"/>
                    <w:rPr>
                      <w:sz w:val="18"/>
                      <w:szCs w:val="18"/>
                    </w:rPr>
                  </w:pPr>
                  <w:r>
                    <w:rPr>
                      <w:rFonts w:hint="eastAsia"/>
                      <w:sz w:val="18"/>
                      <w:szCs w:val="18"/>
                    </w:rPr>
                    <w:t>0.82</w:t>
                  </w:r>
                </w:p>
              </w:tc>
              <w:tc>
                <w:tcPr>
                  <w:tcW w:w="731" w:type="pct"/>
                  <w:vAlign w:val="center"/>
                </w:tcPr>
                <w:p w14:paraId="317B6887" w14:textId="77777777" w:rsidR="00F76A63" w:rsidRDefault="00000000">
                  <w:pPr>
                    <w:adjustRightInd w:val="0"/>
                    <w:snapToGrid w:val="0"/>
                    <w:jc w:val="center"/>
                    <w:rPr>
                      <w:sz w:val="18"/>
                      <w:szCs w:val="18"/>
                    </w:rPr>
                  </w:pPr>
                  <w:r>
                    <w:rPr>
                      <w:rFonts w:hint="eastAsia"/>
                      <w:sz w:val="18"/>
                      <w:szCs w:val="18"/>
                    </w:rPr>
                    <w:t>0.77</w:t>
                  </w:r>
                </w:p>
              </w:tc>
              <w:tc>
                <w:tcPr>
                  <w:tcW w:w="662" w:type="pct"/>
                  <w:vAlign w:val="center"/>
                </w:tcPr>
                <w:p w14:paraId="6665D4A3" w14:textId="77777777" w:rsidR="00F76A63" w:rsidRDefault="00000000">
                  <w:pPr>
                    <w:adjustRightInd w:val="0"/>
                    <w:snapToGrid w:val="0"/>
                    <w:jc w:val="center"/>
                    <w:rPr>
                      <w:sz w:val="18"/>
                      <w:szCs w:val="18"/>
                    </w:rPr>
                  </w:pPr>
                  <w:r>
                    <w:rPr>
                      <w:rFonts w:hint="eastAsia"/>
                      <w:sz w:val="18"/>
                      <w:szCs w:val="18"/>
                    </w:rPr>
                    <w:t>0.80</w:t>
                  </w:r>
                </w:p>
              </w:tc>
              <w:tc>
                <w:tcPr>
                  <w:tcW w:w="922" w:type="pct"/>
                  <w:vAlign w:val="center"/>
                </w:tcPr>
                <w:p w14:paraId="6B9B69FF" w14:textId="77777777" w:rsidR="00F76A63" w:rsidRDefault="00000000">
                  <w:pPr>
                    <w:adjustRightInd w:val="0"/>
                    <w:snapToGrid w:val="0"/>
                    <w:jc w:val="center"/>
                    <w:rPr>
                      <w:sz w:val="18"/>
                      <w:szCs w:val="18"/>
                    </w:rPr>
                  </w:pPr>
                  <w:r>
                    <w:rPr>
                      <w:rFonts w:hint="eastAsia"/>
                      <w:sz w:val="18"/>
                      <w:szCs w:val="18"/>
                    </w:rPr>
                    <w:t>0.80</w:t>
                  </w:r>
                </w:p>
              </w:tc>
              <w:tc>
                <w:tcPr>
                  <w:tcW w:w="661" w:type="pct"/>
                  <w:vAlign w:val="center"/>
                </w:tcPr>
                <w:p w14:paraId="443E5459" w14:textId="77777777" w:rsidR="00F76A63" w:rsidRDefault="00000000">
                  <w:pPr>
                    <w:adjustRightInd w:val="0"/>
                    <w:snapToGrid w:val="0"/>
                    <w:jc w:val="center"/>
                    <w:rPr>
                      <w:sz w:val="18"/>
                      <w:szCs w:val="18"/>
                    </w:rPr>
                  </w:pPr>
                  <w:r>
                    <w:rPr>
                      <w:sz w:val="18"/>
                      <w:szCs w:val="18"/>
                    </w:rPr>
                    <w:t>-</w:t>
                  </w:r>
                </w:p>
              </w:tc>
            </w:tr>
            <w:tr w:rsidR="00F76A63" w14:paraId="5016DAEA" w14:textId="77777777">
              <w:trPr>
                <w:trHeight w:val="340"/>
                <w:jc w:val="center"/>
              </w:trPr>
              <w:tc>
                <w:tcPr>
                  <w:tcW w:w="380" w:type="pct"/>
                  <w:vMerge/>
                  <w:vAlign w:val="center"/>
                </w:tcPr>
                <w:p w14:paraId="1982E67D" w14:textId="77777777" w:rsidR="00F76A63" w:rsidRDefault="00F76A63">
                  <w:pPr>
                    <w:adjustRightInd w:val="0"/>
                    <w:snapToGrid w:val="0"/>
                    <w:jc w:val="center"/>
                    <w:rPr>
                      <w:sz w:val="18"/>
                      <w:szCs w:val="18"/>
                    </w:rPr>
                  </w:pPr>
                </w:p>
              </w:tc>
              <w:tc>
                <w:tcPr>
                  <w:tcW w:w="958" w:type="pct"/>
                  <w:vAlign w:val="center"/>
                </w:tcPr>
                <w:p w14:paraId="4DD1146A"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6908F987" w14:textId="77777777" w:rsidR="00F76A63" w:rsidRDefault="00000000">
                  <w:pPr>
                    <w:adjustRightInd w:val="0"/>
                    <w:snapToGrid w:val="0"/>
                    <w:jc w:val="center"/>
                    <w:rPr>
                      <w:sz w:val="18"/>
                      <w:szCs w:val="18"/>
                    </w:rPr>
                  </w:pPr>
                  <w:r>
                    <w:rPr>
                      <w:rFonts w:hint="eastAsia"/>
                      <w:sz w:val="18"/>
                      <w:szCs w:val="18"/>
                    </w:rPr>
                    <w:t>0.84</w:t>
                  </w:r>
                </w:p>
              </w:tc>
              <w:tc>
                <w:tcPr>
                  <w:tcW w:w="731" w:type="pct"/>
                  <w:vAlign w:val="center"/>
                </w:tcPr>
                <w:p w14:paraId="185993C6" w14:textId="77777777" w:rsidR="00F76A63" w:rsidRDefault="00000000">
                  <w:pPr>
                    <w:adjustRightInd w:val="0"/>
                    <w:snapToGrid w:val="0"/>
                    <w:jc w:val="center"/>
                    <w:rPr>
                      <w:sz w:val="18"/>
                      <w:szCs w:val="18"/>
                    </w:rPr>
                  </w:pPr>
                  <w:r>
                    <w:rPr>
                      <w:rFonts w:hint="eastAsia"/>
                      <w:sz w:val="18"/>
                      <w:szCs w:val="18"/>
                    </w:rPr>
                    <w:t>0.78</w:t>
                  </w:r>
                </w:p>
              </w:tc>
              <w:tc>
                <w:tcPr>
                  <w:tcW w:w="662" w:type="pct"/>
                  <w:vAlign w:val="center"/>
                </w:tcPr>
                <w:p w14:paraId="3F86E3B4" w14:textId="77777777" w:rsidR="00F76A63" w:rsidRDefault="00000000">
                  <w:pPr>
                    <w:adjustRightInd w:val="0"/>
                    <w:snapToGrid w:val="0"/>
                    <w:jc w:val="center"/>
                    <w:rPr>
                      <w:sz w:val="18"/>
                      <w:szCs w:val="18"/>
                    </w:rPr>
                  </w:pPr>
                  <w:r>
                    <w:rPr>
                      <w:rFonts w:hint="eastAsia"/>
                      <w:sz w:val="18"/>
                      <w:szCs w:val="18"/>
                    </w:rPr>
                    <w:t>0.81</w:t>
                  </w:r>
                </w:p>
              </w:tc>
              <w:tc>
                <w:tcPr>
                  <w:tcW w:w="922" w:type="pct"/>
                  <w:vAlign w:val="center"/>
                </w:tcPr>
                <w:p w14:paraId="34DA42E3" w14:textId="77777777" w:rsidR="00F76A63" w:rsidRDefault="00000000">
                  <w:pPr>
                    <w:adjustRightInd w:val="0"/>
                    <w:snapToGrid w:val="0"/>
                    <w:jc w:val="center"/>
                    <w:rPr>
                      <w:sz w:val="18"/>
                      <w:szCs w:val="18"/>
                    </w:rPr>
                  </w:pPr>
                  <w:r>
                    <w:rPr>
                      <w:rFonts w:hint="eastAsia"/>
                      <w:sz w:val="18"/>
                      <w:szCs w:val="18"/>
                    </w:rPr>
                    <w:t>0.81</w:t>
                  </w:r>
                </w:p>
              </w:tc>
              <w:tc>
                <w:tcPr>
                  <w:tcW w:w="661" w:type="pct"/>
                  <w:vAlign w:val="center"/>
                </w:tcPr>
                <w:p w14:paraId="3444D7C8" w14:textId="77777777" w:rsidR="00F76A63" w:rsidRDefault="00000000">
                  <w:pPr>
                    <w:adjustRightInd w:val="0"/>
                    <w:snapToGrid w:val="0"/>
                    <w:jc w:val="center"/>
                    <w:rPr>
                      <w:sz w:val="18"/>
                      <w:szCs w:val="18"/>
                    </w:rPr>
                  </w:pPr>
                  <w:r>
                    <w:rPr>
                      <w:sz w:val="18"/>
                      <w:szCs w:val="18"/>
                    </w:rPr>
                    <w:t>8</w:t>
                  </w:r>
                </w:p>
              </w:tc>
            </w:tr>
            <w:tr w:rsidR="00F76A63" w14:paraId="7D01AB6E" w14:textId="77777777">
              <w:trPr>
                <w:trHeight w:val="340"/>
                <w:jc w:val="center"/>
              </w:trPr>
              <w:tc>
                <w:tcPr>
                  <w:tcW w:w="380" w:type="pct"/>
                  <w:vMerge/>
                  <w:vAlign w:val="center"/>
                </w:tcPr>
                <w:p w14:paraId="17D912E2" w14:textId="77777777" w:rsidR="00F76A63" w:rsidRDefault="00F76A63">
                  <w:pPr>
                    <w:adjustRightInd w:val="0"/>
                    <w:snapToGrid w:val="0"/>
                    <w:jc w:val="center"/>
                    <w:rPr>
                      <w:sz w:val="18"/>
                      <w:szCs w:val="18"/>
                    </w:rPr>
                  </w:pPr>
                </w:p>
              </w:tc>
              <w:tc>
                <w:tcPr>
                  <w:tcW w:w="958" w:type="pct"/>
                  <w:vAlign w:val="center"/>
                </w:tcPr>
                <w:p w14:paraId="7DB633B3"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51EA64CB" w14:textId="77777777" w:rsidR="00F76A63" w:rsidRDefault="00000000">
                  <w:pPr>
                    <w:adjustRightInd w:val="0"/>
                    <w:snapToGrid w:val="0"/>
                    <w:jc w:val="center"/>
                    <w:rPr>
                      <w:sz w:val="18"/>
                      <w:szCs w:val="18"/>
                    </w:rPr>
                  </w:pPr>
                  <w:r>
                    <w:rPr>
                      <w:rFonts w:hint="eastAsia"/>
                      <w:sz w:val="18"/>
                      <w:szCs w:val="18"/>
                    </w:rPr>
                    <w:t>0.389</w:t>
                  </w:r>
                </w:p>
              </w:tc>
              <w:tc>
                <w:tcPr>
                  <w:tcW w:w="731" w:type="pct"/>
                  <w:vAlign w:val="center"/>
                </w:tcPr>
                <w:p w14:paraId="2829A8DF" w14:textId="77777777" w:rsidR="00F76A63" w:rsidRDefault="00000000">
                  <w:pPr>
                    <w:adjustRightInd w:val="0"/>
                    <w:snapToGrid w:val="0"/>
                    <w:jc w:val="center"/>
                    <w:rPr>
                      <w:sz w:val="18"/>
                      <w:szCs w:val="18"/>
                    </w:rPr>
                  </w:pPr>
                  <w:r>
                    <w:rPr>
                      <w:rFonts w:hint="eastAsia"/>
                      <w:sz w:val="18"/>
                      <w:szCs w:val="18"/>
                    </w:rPr>
                    <w:t>0.365</w:t>
                  </w:r>
                </w:p>
              </w:tc>
              <w:tc>
                <w:tcPr>
                  <w:tcW w:w="662" w:type="pct"/>
                  <w:vAlign w:val="center"/>
                </w:tcPr>
                <w:p w14:paraId="614046C8" w14:textId="77777777" w:rsidR="00F76A63" w:rsidRDefault="00000000">
                  <w:pPr>
                    <w:adjustRightInd w:val="0"/>
                    <w:snapToGrid w:val="0"/>
                    <w:jc w:val="center"/>
                    <w:rPr>
                      <w:sz w:val="18"/>
                      <w:szCs w:val="18"/>
                    </w:rPr>
                  </w:pPr>
                  <w:r>
                    <w:rPr>
                      <w:rFonts w:hint="eastAsia"/>
                      <w:sz w:val="18"/>
                      <w:szCs w:val="18"/>
                    </w:rPr>
                    <w:t>0.379</w:t>
                  </w:r>
                </w:p>
              </w:tc>
              <w:tc>
                <w:tcPr>
                  <w:tcW w:w="922" w:type="pct"/>
                  <w:vAlign w:val="center"/>
                </w:tcPr>
                <w:p w14:paraId="79E84357" w14:textId="77777777" w:rsidR="00F76A63" w:rsidRDefault="00000000">
                  <w:pPr>
                    <w:adjustRightInd w:val="0"/>
                    <w:snapToGrid w:val="0"/>
                    <w:jc w:val="center"/>
                    <w:rPr>
                      <w:sz w:val="18"/>
                      <w:szCs w:val="18"/>
                    </w:rPr>
                  </w:pPr>
                  <w:r>
                    <w:rPr>
                      <w:rFonts w:hint="eastAsia"/>
                      <w:sz w:val="18"/>
                      <w:szCs w:val="18"/>
                    </w:rPr>
                    <w:t>0.378</w:t>
                  </w:r>
                </w:p>
              </w:tc>
              <w:tc>
                <w:tcPr>
                  <w:tcW w:w="661" w:type="pct"/>
                  <w:vAlign w:val="center"/>
                </w:tcPr>
                <w:p w14:paraId="5E6C54E5" w14:textId="77777777" w:rsidR="00F76A63" w:rsidRDefault="00000000">
                  <w:pPr>
                    <w:adjustRightInd w:val="0"/>
                    <w:snapToGrid w:val="0"/>
                    <w:jc w:val="center"/>
                    <w:rPr>
                      <w:sz w:val="18"/>
                      <w:szCs w:val="18"/>
                    </w:rPr>
                  </w:pPr>
                  <w:r>
                    <w:rPr>
                      <w:sz w:val="18"/>
                      <w:szCs w:val="18"/>
                    </w:rPr>
                    <w:t>-</w:t>
                  </w:r>
                </w:p>
              </w:tc>
            </w:tr>
            <w:tr w:rsidR="00F76A63" w14:paraId="2E4F0278" w14:textId="77777777">
              <w:trPr>
                <w:trHeight w:val="340"/>
                <w:jc w:val="center"/>
              </w:trPr>
              <w:tc>
                <w:tcPr>
                  <w:tcW w:w="380" w:type="pct"/>
                  <w:vMerge w:val="restart"/>
                  <w:vAlign w:val="center"/>
                </w:tcPr>
                <w:p w14:paraId="441A9DC9" w14:textId="77777777" w:rsidR="00F76A63" w:rsidRDefault="00000000">
                  <w:pPr>
                    <w:adjustRightInd w:val="0"/>
                    <w:snapToGrid w:val="0"/>
                    <w:jc w:val="center"/>
                    <w:rPr>
                      <w:sz w:val="18"/>
                      <w:szCs w:val="18"/>
                    </w:rPr>
                  </w:pPr>
                  <w:r>
                    <w:rPr>
                      <w:sz w:val="18"/>
                      <w:szCs w:val="18"/>
                    </w:rPr>
                    <w:t>氟化物</w:t>
                  </w:r>
                </w:p>
              </w:tc>
              <w:tc>
                <w:tcPr>
                  <w:tcW w:w="958" w:type="pct"/>
                  <w:vAlign w:val="center"/>
                </w:tcPr>
                <w:p w14:paraId="4C24078D"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1D429CC4"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1F84DE4D"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4750F44F"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7B9475B"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69F31A90" w14:textId="77777777" w:rsidR="00F76A63" w:rsidRDefault="00000000">
                  <w:pPr>
                    <w:adjustRightInd w:val="0"/>
                    <w:snapToGrid w:val="0"/>
                    <w:jc w:val="center"/>
                    <w:rPr>
                      <w:sz w:val="18"/>
                      <w:szCs w:val="18"/>
                    </w:rPr>
                  </w:pPr>
                  <w:r>
                    <w:rPr>
                      <w:sz w:val="18"/>
                      <w:szCs w:val="18"/>
                    </w:rPr>
                    <w:t>-</w:t>
                  </w:r>
                </w:p>
              </w:tc>
            </w:tr>
            <w:tr w:rsidR="00F76A63" w14:paraId="578BA43B" w14:textId="77777777">
              <w:trPr>
                <w:trHeight w:val="340"/>
                <w:jc w:val="center"/>
              </w:trPr>
              <w:tc>
                <w:tcPr>
                  <w:tcW w:w="380" w:type="pct"/>
                  <w:vMerge/>
                  <w:vAlign w:val="center"/>
                </w:tcPr>
                <w:p w14:paraId="281E8E9C" w14:textId="77777777" w:rsidR="00F76A63" w:rsidRDefault="00F76A63">
                  <w:pPr>
                    <w:adjustRightInd w:val="0"/>
                    <w:snapToGrid w:val="0"/>
                    <w:jc w:val="center"/>
                    <w:rPr>
                      <w:sz w:val="18"/>
                      <w:szCs w:val="18"/>
                    </w:rPr>
                  </w:pPr>
                </w:p>
              </w:tc>
              <w:tc>
                <w:tcPr>
                  <w:tcW w:w="958" w:type="pct"/>
                  <w:vAlign w:val="center"/>
                </w:tcPr>
                <w:p w14:paraId="3751C86B"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5782913A"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470A4E8A"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7173D042"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30962CD"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1A1FF877" w14:textId="77777777" w:rsidR="00F76A63" w:rsidRDefault="00000000">
                  <w:pPr>
                    <w:adjustRightInd w:val="0"/>
                    <w:snapToGrid w:val="0"/>
                    <w:jc w:val="center"/>
                    <w:rPr>
                      <w:sz w:val="18"/>
                      <w:szCs w:val="18"/>
                    </w:rPr>
                  </w:pPr>
                  <w:r>
                    <w:rPr>
                      <w:sz w:val="18"/>
                      <w:szCs w:val="18"/>
                    </w:rPr>
                    <w:t>-</w:t>
                  </w:r>
                </w:p>
              </w:tc>
            </w:tr>
            <w:tr w:rsidR="00F76A63" w14:paraId="16876E5A" w14:textId="77777777">
              <w:trPr>
                <w:trHeight w:val="340"/>
                <w:jc w:val="center"/>
              </w:trPr>
              <w:tc>
                <w:tcPr>
                  <w:tcW w:w="380" w:type="pct"/>
                  <w:vMerge/>
                  <w:vAlign w:val="center"/>
                </w:tcPr>
                <w:p w14:paraId="2328425A" w14:textId="77777777" w:rsidR="00F76A63" w:rsidRDefault="00F76A63">
                  <w:pPr>
                    <w:adjustRightInd w:val="0"/>
                    <w:snapToGrid w:val="0"/>
                    <w:jc w:val="center"/>
                    <w:rPr>
                      <w:sz w:val="18"/>
                      <w:szCs w:val="18"/>
                    </w:rPr>
                  </w:pPr>
                </w:p>
              </w:tc>
              <w:tc>
                <w:tcPr>
                  <w:tcW w:w="958" w:type="pct"/>
                  <w:vAlign w:val="center"/>
                </w:tcPr>
                <w:p w14:paraId="5A864525"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6C177D19"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5C270E0F"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61533787"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50862D54"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4685CFF3" w14:textId="77777777" w:rsidR="00F76A63" w:rsidRDefault="00000000">
                  <w:pPr>
                    <w:adjustRightInd w:val="0"/>
                    <w:snapToGrid w:val="0"/>
                    <w:jc w:val="center"/>
                    <w:rPr>
                      <w:sz w:val="18"/>
                      <w:szCs w:val="18"/>
                    </w:rPr>
                  </w:pPr>
                  <w:r>
                    <w:rPr>
                      <w:sz w:val="18"/>
                      <w:szCs w:val="18"/>
                    </w:rPr>
                    <w:t>-</w:t>
                  </w:r>
                </w:p>
              </w:tc>
            </w:tr>
            <w:tr w:rsidR="00F76A63" w14:paraId="0FA52CDE" w14:textId="77777777">
              <w:trPr>
                <w:trHeight w:val="340"/>
                <w:jc w:val="center"/>
              </w:trPr>
              <w:tc>
                <w:tcPr>
                  <w:tcW w:w="1338" w:type="pct"/>
                  <w:gridSpan w:val="2"/>
                  <w:vAlign w:val="center"/>
                </w:tcPr>
                <w:p w14:paraId="64A13AB3" w14:textId="77777777" w:rsidR="00F76A63" w:rsidRDefault="00000000">
                  <w:pPr>
                    <w:adjustRightInd w:val="0"/>
                    <w:snapToGrid w:val="0"/>
                    <w:jc w:val="center"/>
                    <w:rPr>
                      <w:sz w:val="18"/>
                      <w:szCs w:val="18"/>
                    </w:rPr>
                  </w:pPr>
                  <w:r>
                    <w:rPr>
                      <w:sz w:val="18"/>
                      <w:szCs w:val="18"/>
                    </w:rPr>
                    <w:t>臭气（无量纲）</w:t>
                  </w:r>
                </w:p>
              </w:tc>
              <w:tc>
                <w:tcPr>
                  <w:tcW w:w="686" w:type="pct"/>
                  <w:vAlign w:val="center"/>
                </w:tcPr>
                <w:p w14:paraId="1855D439" w14:textId="77777777" w:rsidR="00F76A63" w:rsidRDefault="00000000">
                  <w:pPr>
                    <w:adjustRightInd w:val="0"/>
                    <w:snapToGrid w:val="0"/>
                    <w:jc w:val="center"/>
                    <w:rPr>
                      <w:sz w:val="18"/>
                      <w:szCs w:val="18"/>
                    </w:rPr>
                  </w:pPr>
                  <w:r>
                    <w:rPr>
                      <w:rFonts w:hint="eastAsia"/>
                      <w:sz w:val="18"/>
                      <w:szCs w:val="18"/>
                    </w:rPr>
                    <w:t>173</w:t>
                  </w:r>
                </w:p>
              </w:tc>
              <w:tc>
                <w:tcPr>
                  <w:tcW w:w="731" w:type="pct"/>
                  <w:vAlign w:val="center"/>
                </w:tcPr>
                <w:p w14:paraId="2FBB5777" w14:textId="77777777" w:rsidR="00F76A63" w:rsidRDefault="00000000">
                  <w:pPr>
                    <w:adjustRightInd w:val="0"/>
                    <w:snapToGrid w:val="0"/>
                    <w:jc w:val="center"/>
                    <w:rPr>
                      <w:sz w:val="18"/>
                      <w:szCs w:val="18"/>
                    </w:rPr>
                  </w:pPr>
                  <w:r>
                    <w:rPr>
                      <w:rFonts w:hint="eastAsia"/>
                      <w:sz w:val="18"/>
                      <w:szCs w:val="18"/>
                    </w:rPr>
                    <w:t>269</w:t>
                  </w:r>
                </w:p>
              </w:tc>
              <w:tc>
                <w:tcPr>
                  <w:tcW w:w="662" w:type="pct"/>
                  <w:vAlign w:val="center"/>
                </w:tcPr>
                <w:p w14:paraId="41173205" w14:textId="77777777" w:rsidR="00F76A63" w:rsidRDefault="00000000">
                  <w:pPr>
                    <w:adjustRightInd w:val="0"/>
                    <w:snapToGrid w:val="0"/>
                    <w:jc w:val="center"/>
                    <w:rPr>
                      <w:sz w:val="18"/>
                      <w:szCs w:val="18"/>
                    </w:rPr>
                  </w:pPr>
                  <w:r>
                    <w:rPr>
                      <w:rFonts w:hint="eastAsia"/>
                      <w:sz w:val="18"/>
                      <w:szCs w:val="18"/>
                    </w:rPr>
                    <w:t>229</w:t>
                  </w:r>
                </w:p>
              </w:tc>
              <w:tc>
                <w:tcPr>
                  <w:tcW w:w="922" w:type="pct"/>
                  <w:vAlign w:val="center"/>
                </w:tcPr>
                <w:p w14:paraId="31E6AFBA" w14:textId="77777777" w:rsidR="00F76A63" w:rsidRDefault="00000000">
                  <w:pPr>
                    <w:adjustRightInd w:val="0"/>
                    <w:snapToGrid w:val="0"/>
                    <w:jc w:val="center"/>
                    <w:rPr>
                      <w:sz w:val="18"/>
                      <w:szCs w:val="18"/>
                    </w:rPr>
                  </w:pPr>
                  <w:r>
                    <w:rPr>
                      <w:rFonts w:hint="eastAsia"/>
                      <w:sz w:val="18"/>
                      <w:szCs w:val="18"/>
                    </w:rPr>
                    <w:t>224</w:t>
                  </w:r>
                </w:p>
              </w:tc>
              <w:tc>
                <w:tcPr>
                  <w:tcW w:w="661" w:type="pct"/>
                  <w:vAlign w:val="center"/>
                </w:tcPr>
                <w:p w14:paraId="79F0381A" w14:textId="77777777" w:rsidR="00F76A63" w:rsidRDefault="00000000">
                  <w:pPr>
                    <w:adjustRightInd w:val="0"/>
                    <w:snapToGrid w:val="0"/>
                    <w:jc w:val="center"/>
                    <w:rPr>
                      <w:sz w:val="18"/>
                      <w:szCs w:val="18"/>
                    </w:rPr>
                  </w:pPr>
                  <w:r>
                    <w:rPr>
                      <w:sz w:val="18"/>
                      <w:szCs w:val="18"/>
                    </w:rPr>
                    <w:t>-</w:t>
                  </w:r>
                </w:p>
              </w:tc>
            </w:tr>
            <w:tr w:rsidR="00F76A63" w14:paraId="337CF3C6" w14:textId="77777777">
              <w:trPr>
                <w:trHeight w:val="340"/>
                <w:jc w:val="center"/>
              </w:trPr>
              <w:tc>
                <w:tcPr>
                  <w:tcW w:w="380" w:type="pct"/>
                  <w:vMerge w:val="restart"/>
                  <w:vAlign w:val="center"/>
                </w:tcPr>
                <w:p w14:paraId="4EB6F805" w14:textId="77777777" w:rsidR="00F76A63" w:rsidRDefault="00000000">
                  <w:pPr>
                    <w:adjustRightInd w:val="0"/>
                    <w:snapToGrid w:val="0"/>
                    <w:jc w:val="center"/>
                    <w:rPr>
                      <w:sz w:val="18"/>
                      <w:szCs w:val="18"/>
                    </w:rPr>
                  </w:pPr>
                  <w:r>
                    <w:rPr>
                      <w:sz w:val="18"/>
                      <w:szCs w:val="18"/>
                    </w:rPr>
                    <w:t>铍</w:t>
                  </w:r>
                </w:p>
              </w:tc>
              <w:tc>
                <w:tcPr>
                  <w:tcW w:w="958" w:type="pct"/>
                  <w:vAlign w:val="center"/>
                </w:tcPr>
                <w:p w14:paraId="5C55BA92"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5FE35C50"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30594AC5"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C963C02"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5A890DC3"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56E1E78D" w14:textId="77777777" w:rsidR="00F76A63" w:rsidRDefault="00000000">
                  <w:pPr>
                    <w:adjustRightInd w:val="0"/>
                    <w:snapToGrid w:val="0"/>
                    <w:jc w:val="center"/>
                    <w:rPr>
                      <w:sz w:val="18"/>
                      <w:szCs w:val="18"/>
                    </w:rPr>
                  </w:pPr>
                  <w:r>
                    <w:rPr>
                      <w:sz w:val="18"/>
                      <w:szCs w:val="18"/>
                    </w:rPr>
                    <w:t>-</w:t>
                  </w:r>
                </w:p>
              </w:tc>
            </w:tr>
            <w:tr w:rsidR="00F76A63" w14:paraId="75F68353" w14:textId="77777777">
              <w:trPr>
                <w:trHeight w:val="340"/>
                <w:jc w:val="center"/>
              </w:trPr>
              <w:tc>
                <w:tcPr>
                  <w:tcW w:w="380" w:type="pct"/>
                  <w:vMerge/>
                  <w:vAlign w:val="center"/>
                </w:tcPr>
                <w:p w14:paraId="5BA0CDD1" w14:textId="77777777" w:rsidR="00F76A63" w:rsidRDefault="00F76A63">
                  <w:pPr>
                    <w:adjustRightInd w:val="0"/>
                    <w:snapToGrid w:val="0"/>
                    <w:jc w:val="center"/>
                    <w:rPr>
                      <w:sz w:val="18"/>
                      <w:szCs w:val="18"/>
                    </w:rPr>
                  </w:pPr>
                </w:p>
              </w:tc>
              <w:tc>
                <w:tcPr>
                  <w:tcW w:w="958" w:type="pct"/>
                  <w:vAlign w:val="center"/>
                </w:tcPr>
                <w:p w14:paraId="4304B16E"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26178F05"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70D68649"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70EA85B1"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7017DC25"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5E657997" w14:textId="77777777" w:rsidR="00F76A63" w:rsidRDefault="00000000">
                  <w:pPr>
                    <w:adjustRightInd w:val="0"/>
                    <w:snapToGrid w:val="0"/>
                    <w:jc w:val="center"/>
                    <w:rPr>
                      <w:sz w:val="18"/>
                      <w:szCs w:val="18"/>
                    </w:rPr>
                  </w:pPr>
                  <w:r>
                    <w:rPr>
                      <w:sz w:val="18"/>
                      <w:szCs w:val="18"/>
                    </w:rPr>
                    <w:t>0.5</w:t>
                  </w:r>
                </w:p>
              </w:tc>
            </w:tr>
            <w:tr w:rsidR="00F76A63" w14:paraId="6186B29A" w14:textId="77777777">
              <w:trPr>
                <w:trHeight w:val="340"/>
                <w:jc w:val="center"/>
              </w:trPr>
              <w:tc>
                <w:tcPr>
                  <w:tcW w:w="380" w:type="pct"/>
                  <w:vMerge/>
                  <w:vAlign w:val="center"/>
                </w:tcPr>
                <w:p w14:paraId="0D18EF75" w14:textId="77777777" w:rsidR="00F76A63" w:rsidRDefault="00F76A63">
                  <w:pPr>
                    <w:adjustRightInd w:val="0"/>
                    <w:snapToGrid w:val="0"/>
                    <w:jc w:val="center"/>
                    <w:rPr>
                      <w:sz w:val="18"/>
                      <w:szCs w:val="18"/>
                    </w:rPr>
                  </w:pPr>
                </w:p>
              </w:tc>
              <w:tc>
                <w:tcPr>
                  <w:tcW w:w="958" w:type="pct"/>
                  <w:vAlign w:val="center"/>
                </w:tcPr>
                <w:p w14:paraId="10A708FD"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73108F33"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5D5287B2"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422C8E5B"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425E18F8"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2EF0A8C1" w14:textId="77777777" w:rsidR="00F76A63" w:rsidRDefault="00000000">
                  <w:pPr>
                    <w:adjustRightInd w:val="0"/>
                    <w:snapToGrid w:val="0"/>
                    <w:jc w:val="center"/>
                    <w:rPr>
                      <w:sz w:val="18"/>
                      <w:szCs w:val="18"/>
                    </w:rPr>
                  </w:pPr>
                  <w:r>
                    <w:rPr>
                      <w:sz w:val="18"/>
                      <w:szCs w:val="18"/>
                    </w:rPr>
                    <w:t>-</w:t>
                  </w:r>
                </w:p>
              </w:tc>
            </w:tr>
            <w:tr w:rsidR="00F76A63" w14:paraId="6AF886AB" w14:textId="77777777">
              <w:trPr>
                <w:trHeight w:val="340"/>
                <w:jc w:val="center"/>
              </w:trPr>
              <w:tc>
                <w:tcPr>
                  <w:tcW w:w="380" w:type="pct"/>
                  <w:vMerge w:val="restart"/>
                  <w:vAlign w:val="center"/>
                </w:tcPr>
                <w:p w14:paraId="077EAA85" w14:textId="77777777" w:rsidR="00F76A63" w:rsidRDefault="00000000">
                  <w:pPr>
                    <w:adjustRightInd w:val="0"/>
                    <w:snapToGrid w:val="0"/>
                    <w:jc w:val="center"/>
                    <w:rPr>
                      <w:sz w:val="18"/>
                      <w:szCs w:val="18"/>
                    </w:rPr>
                  </w:pPr>
                  <w:r>
                    <w:rPr>
                      <w:sz w:val="18"/>
                      <w:szCs w:val="18"/>
                    </w:rPr>
                    <w:t>钴</w:t>
                  </w:r>
                </w:p>
              </w:tc>
              <w:tc>
                <w:tcPr>
                  <w:tcW w:w="958" w:type="pct"/>
                  <w:vAlign w:val="center"/>
                </w:tcPr>
                <w:p w14:paraId="21606B5D"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0B03875C" w14:textId="77777777" w:rsidR="00F76A63" w:rsidRDefault="00000000">
                  <w:pPr>
                    <w:adjustRightInd w:val="0"/>
                    <w:snapToGrid w:val="0"/>
                    <w:jc w:val="center"/>
                    <w:rPr>
                      <w:sz w:val="18"/>
                      <w:szCs w:val="18"/>
                    </w:rPr>
                  </w:pPr>
                  <w:r>
                    <w:rPr>
                      <w:rFonts w:hint="eastAsia"/>
                      <w:sz w:val="18"/>
                      <w:szCs w:val="18"/>
                    </w:rPr>
                    <w:t>4.30x10</w:t>
                  </w:r>
                  <w:r>
                    <w:rPr>
                      <w:rFonts w:hint="eastAsia"/>
                      <w:sz w:val="18"/>
                      <w:szCs w:val="18"/>
                      <w:vertAlign w:val="superscript"/>
                    </w:rPr>
                    <w:t>-4</w:t>
                  </w:r>
                </w:p>
              </w:tc>
              <w:tc>
                <w:tcPr>
                  <w:tcW w:w="731" w:type="pct"/>
                  <w:vAlign w:val="center"/>
                </w:tcPr>
                <w:p w14:paraId="216C8D38" w14:textId="77777777" w:rsidR="00F76A63" w:rsidRDefault="00000000">
                  <w:pPr>
                    <w:adjustRightInd w:val="0"/>
                    <w:snapToGrid w:val="0"/>
                    <w:jc w:val="center"/>
                    <w:rPr>
                      <w:sz w:val="18"/>
                      <w:szCs w:val="18"/>
                    </w:rPr>
                  </w:pPr>
                  <w:r>
                    <w:rPr>
                      <w:rFonts w:hint="eastAsia"/>
                      <w:sz w:val="18"/>
                      <w:szCs w:val="18"/>
                    </w:rPr>
                    <w:t>8.86x10</w:t>
                  </w:r>
                  <w:r>
                    <w:rPr>
                      <w:rFonts w:hint="eastAsia"/>
                      <w:sz w:val="18"/>
                      <w:szCs w:val="18"/>
                      <w:vertAlign w:val="superscript"/>
                    </w:rPr>
                    <w:t>-4</w:t>
                  </w:r>
                </w:p>
              </w:tc>
              <w:tc>
                <w:tcPr>
                  <w:tcW w:w="662" w:type="pct"/>
                  <w:vAlign w:val="center"/>
                </w:tcPr>
                <w:p w14:paraId="5C726B0B" w14:textId="77777777" w:rsidR="00F76A63" w:rsidRDefault="00000000">
                  <w:pPr>
                    <w:adjustRightInd w:val="0"/>
                    <w:snapToGrid w:val="0"/>
                    <w:jc w:val="center"/>
                    <w:rPr>
                      <w:sz w:val="18"/>
                      <w:szCs w:val="18"/>
                    </w:rPr>
                  </w:pPr>
                  <w:r>
                    <w:rPr>
                      <w:rFonts w:hint="eastAsia"/>
                      <w:sz w:val="18"/>
                      <w:szCs w:val="18"/>
                    </w:rPr>
                    <w:t>4.68x10</w:t>
                  </w:r>
                  <w:r>
                    <w:rPr>
                      <w:rFonts w:hint="eastAsia"/>
                      <w:sz w:val="18"/>
                      <w:szCs w:val="18"/>
                      <w:vertAlign w:val="superscript"/>
                    </w:rPr>
                    <w:t>-4</w:t>
                  </w:r>
                </w:p>
              </w:tc>
              <w:tc>
                <w:tcPr>
                  <w:tcW w:w="922" w:type="pct"/>
                  <w:vAlign w:val="center"/>
                </w:tcPr>
                <w:p w14:paraId="2C816CB3" w14:textId="77777777" w:rsidR="00F76A63" w:rsidRDefault="00000000">
                  <w:pPr>
                    <w:adjustRightInd w:val="0"/>
                    <w:snapToGrid w:val="0"/>
                    <w:jc w:val="center"/>
                    <w:rPr>
                      <w:sz w:val="18"/>
                      <w:szCs w:val="18"/>
                    </w:rPr>
                  </w:pPr>
                  <w:r>
                    <w:rPr>
                      <w:rFonts w:hint="eastAsia"/>
                      <w:sz w:val="18"/>
                      <w:szCs w:val="18"/>
                    </w:rPr>
                    <w:t>5.95x10</w:t>
                  </w:r>
                  <w:r>
                    <w:rPr>
                      <w:rFonts w:hint="eastAsia"/>
                      <w:sz w:val="18"/>
                      <w:szCs w:val="18"/>
                      <w:vertAlign w:val="superscript"/>
                    </w:rPr>
                    <w:t>-4</w:t>
                  </w:r>
                </w:p>
              </w:tc>
              <w:tc>
                <w:tcPr>
                  <w:tcW w:w="661" w:type="pct"/>
                  <w:vAlign w:val="center"/>
                </w:tcPr>
                <w:p w14:paraId="7C33D17C" w14:textId="77777777" w:rsidR="00F76A63" w:rsidRDefault="00000000">
                  <w:pPr>
                    <w:adjustRightInd w:val="0"/>
                    <w:snapToGrid w:val="0"/>
                    <w:jc w:val="center"/>
                    <w:rPr>
                      <w:sz w:val="18"/>
                      <w:szCs w:val="18"/>
                    </w:rPr>
                  </w:pPr>
                  <w:r>
                    <w:rPr>
                      <w:sz w:val="18"/>
                      <w:szCs w:val="18"/>
                    </w:rPr>
                    <w:t>-</w:t>
                  </w:r>
                </w:p>
              </w:tc>
            </w:tr>
            <w:tr w:rsidR="00F76A63" w14:paraId="191A9E9F" w14:textId="77777777">
              <w:trPr>
                <w:trHeight w:val="340"/>
                <w:jc w:val="center"/>
              </w:trPr>
              <w:tc>
                <w:tcPr>
                  <w:tcW w:w="380" w:type="pct"/>
                  <w:vMerge/>
                  <w:vAlign w:val="center"/>
                </w:tcPr>
                <w:p w14:paraId="5B533B71" w14:textId="77777777" w:rsidR="00F76A63" w:rsidRDefault="00F76A63">
                  <w:pPr>
                    <w:adjustRightInd w:val="0"/>
                    <w:snapToGrid w:val="0"/>
                    <w:jc w:val="center"/>
                    <w:rPr>
                      <w:sz w:val="18"/>
                      <w:szCs w:val="18"/>
                    </w:rPr>
                  </w:pPr>
                </w:p>
              </w:tc>
              <w:tc>
                <w:tcPr>
                  <w:tcW w:w="958" w:type="pct"/>
                  <w:vAlign w:val="center"/>
                </w:tcPr>
                <w:p w14:paraId="231C387E"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0CAFF678" w14:textId="77777777" w:rsidR="00F76A63" w:rsidRDefault="00000000">
                  <w:pPr>
                    <w:adjustRightInd w:val="0"/>
                    <w:snapToGrid w:val="0"/>
                    <w:jc w:val="center"/>
                    <w:rPr>
                      <w:sz w:val="18"/>
                      <w:szCs w:val="18"/>
                    </w:rPr>
                  </w:pPr>
                  <w:r>
                    <w:rPr>
                      <w:rFonts w:hint="eastAsia"/>
                      <w:sz w:val="18"/>
                      <w:szCs w:val="18"/>
                    </w:rPr>
                    <w:t>4.38x10</w:t>
                  </w:r>
                  <w:r>
                    <w:rPr>
                      <w:rFonts w:hint="eastAsia"/>
                      <w:sz w:val="18"/>
                      <w:szCs w:val="18"/>
                      <w:vertAlign w:val="superscript"/>
                    </w:rPr>
                    <w:t>-4</w:t>
                  </w:r>
                </w:p>
              </w:tc>
              <w:tc>
                <w:tcPr>
                  <w:tcW w:w="731" w:type="pct"/>
                  <w:vAlign w:val="center"/>
                </w:tcPr>
                <w:p w14:paraId="558F1204" w14:textId="77777777" w:rsidR="00F76A63" w:rsidRDefault="00000000">
                  <w:pPr>
                    <w:adjustRightInd w:val="0"/>
                    <w:snapToGrid w:val="0"/>
                    <w:jc w:val="center"/>
                    <w:rPr>
                      <w:sz w:val="18"/>
                      <w:szCs w:val="18"/>
                    </w:rPr>
                  </w:pPr>
                  <w:r>
                    <w:rPr>
                      <w:rFonts w:hint="eastAsia"/>
                      <w:sz w:val="18"/>
                      <w:szCs w:val="18"/>
                    </w:rPr>
                    <w:t>8.94x10</w:t>
                  </w:r>
                  <w:r>
                    <w:rPr>
                      <w:rFonts w:hint="eastAsia"/>
                      <w:sz w:val="18"/>
                      <w:szCs w:val="18"/>
                      <w:vertAlign w:val="superscript"/>
                    </w:rPr>
                    <w:t>-4</w:t>
                  </w:r>
                </w:p>
              </w:tc>
              <w:tc>
                <w:tcPr>
                  <w:tcW w:w="662" w:type="pct"/>
                  <w:vAlign w:val="center"/>
                </w:tcPr>
                <w:p w14:paraId="6CB2F4AC" w14:textId="77777777" w:rsidR="00F76A63" w:rsidRDefault="00000000">
                  <w:pPr>
                    <w:adjustRightInd w:val="0"/>
                    <w:snapToGrid w:val="0"/>
                    <w:jc w:val="center"/>
                    <w:rPr>
                      <w:sz w:val="18"/>
                      <w:szCs w:val="18"/>
                    </w:rPr>
                  </w:pPr>
                  <w:r>
                    <w:rPr>
                      <w:rFonts w:hint="eastAsia"/>
                      <w:sz w:val="18"/>
                      <w:szCs w:val="18"/>
                    </w:rPr>
                    <w:t>4.72x10</w:t>
                  </w:r>
                  <w:r>
                    <w:rPr>
                      <w:rFonts w:hint="eastAsia"/>
                      <w:sz w:val="18"/>
                      <w:szCs w:val="18"/>
                      <w:vertAlign w:val="superscript"/>
                    </w:rPr>
                    <w:t>-4</w:t>
                  </w:r>
                </w:p>
              </w:tc>
              <w:tc>
                <w:tcPr>
                  <w:tcW w:w="922" w:type="pct"/>
                  <w:vAlign w:val="center"/>
                </w:tcPr>
                <w:p w14:paraId="286166CB" w14:textId="77777777" w:rsidR="00F76A63" w:rsidRDefault="00000000">
                  <w:pPr>
                    <w:adjustRightInd w:val="0"/>
                    <w:snapToGrid w:val="0"/>
                    <w:jc w:val="center"/>
                    <w:rPr>
                      <w:sz w:val="18"/>
                      <w:szCs w:val="18"/>
                    </w:rPr>
                  </w:pPr>
                  <w:r>
                    <w:rPr>
                      <w:rFonts w:hint="eastAsia"/>
                      <w:sz w:val="18"/>
                      <w:szCs w:val="18"/>
                    </w:rPr>
                    <w:t>6.01x10</w:t>
                  </w:r>
                  <w:r>
                    <w:rPr>
                      <w:rFonts w:hint="eastAsia"/>
                      <w:sz w:val="18"/>
                      <w:szCs w:val="18"/>
                      <w:vertAlign w:val="superscript"/>
                    </w:rPr>
                    <w:t>-4</w:t>
                  </w:r>
                </w:p>
              </w:tc>
              <w:tc>
                <w:tcPr>
                  <w:tcW w:w="661" w:type="pct"/>
                  <w:vAlign w:val="center"/>
                </w:tcPr>
                <w:p w14:paraId="3BB13A69" w14:textId="77777777" w:rsidR="00F76A63" w:rsidRDefault="00000000">
                  <w:pPr>
                    <w:adjustRightInd w:val="0"/>
                    <w:snapToGrid w:val="0"/>
                    <w:jc w:val="center"/>
                    <w:rPr>
                      <w:sz w:val="18"/>
                      <w:szCs w:val="18"/>
                    </w:rPr>
                  </w:pPr>
                  <w:r>
                    <w:rPr>
                      <w:sz w:val="18"/>
                      <w:szCs w:val="18"/>
                    </w:rPr>
                    <w:t>0.5</w:t>
                  </w:r>
                </w:p>
              </w:tc>
            </w:tr>
            <w:tr w:rsidR="00F76A63" w14:paraId="3ACAD52E" w14:textId="77777777">
              <w:trPr>
                <w:trHeight w:val="340"/>
                <w:jc w:val="center"/>
              </w:trPr>
              <w:tc>
                <w:tcPr>
                  <w:tcW w:w="380" w:type="pct"/>
                  <w:vMerge/>
                  <w:vAlign w:val="center"/>
                </w:tcPr>
                <w:p w14:paraId="2D43F063" w14:textId="77777777" w:rsidR="00F76A63" w:rsidRDefault="00F76A63">
                  <w:pPr>
                    <w:adjustRightInd w:val="0"/>
                    <w:snapToGrid w:val="0"/>
                    <w:jc w:val="center"/>
                    <w:rPr>
                      <w:sz w:val="18"/>
                      <w:szCs w:val="18"/>
                    </w:rPr>
                  </w:pPr>
                </w:p>
              </w:tc>
              <w:tc>
                <w:tcPr>
                  <w:tcW w:w="958" w:type="pct"/>
                  <w:vAlign w:val="center"/>
                </w:tcPr>
                <w:p w14:paraId="2269C967"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4F603A2D" w14:textId="77777777" w:rsidR="00F76A63" w:rsidRDefault="00000000">
                  <w:pPr>
                    <w:adjustRightInd w:val="0"/>
                    <w:snapToGrid w:val="0"/>
                    <w:jc w:val="center"/>
                    <w:rPr>
                      <w:sz w:val="18"/>
                      <w:szCs w:val="18"/>
                    </w:rPr>
                  </w:pPr>
                  <w:r>
                    <w:rPr>
                      <w:rFonts w:hint="eastAsia"/>
                      <w:sz w:val="18"/>
                      <w:szCs w:val="18"/>
                    </w:rPr>
                    <w:t>2.04x10</w:t>
                  </w:r>
                  <w:r>
                    <w:rPr>
                      <w:rFonts w:hint="eastAsia"/>
                      <w:sz w:val="18"/>
                      <w:szCs w:val="18"/>
                      <w:vertAlign w:val="superscript"/>
                    </w:rPr>
                    <w:t>-4</w:t>
                  </w:r>
                </w:p>
              </w:tc>
              <w:tc>
                <w:tcPr>
                  <w:tcW w:w="731" w:type="pct"/>
                  <w:vAlign w:val="center"/>
                </w:tcPr>
                <w:p w14:paraId="39A4AE4F" w14:textId="77777777" w:rsidR="00F76A63" w:rsidRDefault="00000000">
                  <w:pPr>
                    <w:adjustRightInd w:val="0"/>
                    <w:snapToGrid w:val="0"/>
                    <w:jc w:val="center"/>
                    <w:rPr>
                      <w:sz w:val="18"/>
                      <w:szCs w:val="18"/>
                    </w:rPr>
                  </w:pPr>
                  <w:r>
                    <w:rPr>
                      <w:rFonts w:hint="eastAsia"/>
                      <w:sz w:val="18"/>
                      <w:szCs w:val="18"/>
                    </w:rPr>
                    <w:t>3.96</w:t>
                  </w:r>
                  <w:r>
                    <w:rPr>
                      <w:rFonts w:hint="eastAsia"/>
                      <w:sz w:val="18"/>
                      <w:szCs w:val="18"/>
                    </w:rPr>
                    <w:t>×</w:t>
                  </w:r>
                  <w:r>
                    <w:rPr>
                      <w:rFonts w:hint="eastAsia"/>
                      <w:sz w:val="18"/>
                      <w:szCs w:val="18"/>
                    </w:rPr>
                    <w:t>10</w:t>
                  </w:r>
                  <w:r>
                    <w:rPr>
                      <w:rFonts w:hint="eastAsia"/>
                      <w:sz w:val="18"/>
                      <w:szCs w:val="18"/>
                      <w:vertAlign w:val="superscript"/>
                    </w:rPr>
                    <w:t>-4</w:t>
                  </w:r>
                </w:p>
              </w:tc>
              <w:tc>
                <w:tcPr>
                  <w:tcW w:w="662" w:type="pct"/>
                  <w:vAlign w:val="center"/>
                </w:tcPr>
                <w:p w14:paraId="7DBFDDFE" w14:textId="77777777" w:rsidR="00F76A63" w:rsidRDefault="00000000">
                  <w:pPr>
                    <w:adjustRightInd w:val="0"/>
                    <w:snapToGrid w:val="0"/>
                    <w:jc w:val="center"/>
                    <w:rPr>
                      <w:sz w:val="18"/>
                      <w:szCs w:val="18"/>
                    </w:rPr>
                  </w:pPr>
                  <w:r>
                    <w:rPr>
                      <w:rFonts w:hint="eastAsia"/>
                      <w:sz w:val="18"/>
                      <w:szCs w:val="18"/>
                    </w:rPr>
                    <w:t>2.15x10</w:t>
                  </w:r>
                  <w:r>
                    <w:rPr>
                      <w:rFonts w:hint="eastAsia"/>
                      <w:sz w:val="18"/>
                      <w:szCs w:val="18"/>
                      <w:vertAlign w:val="superscript"/>
                    </w:rPr>
                    <w:t>-4</w:t>
                  </w:r>
                </w:p>
              </w:tc>
              <w:tc>
                <w:tcPr>
                  <w:tcW w:w="922" w:type="pct"/>
                  <w:vAlign w:val="center"/>
                </w:tcPr>
                <w:p w14:paraId="44B45C8C" w14:textId="77777777" w:rsidR="00F76A63" w:rsidRDefault="00000000">
                  <w:pPr>
                    <w:adjustRightInd w:val="0"/>
                    <w:snapToGrid w:val="0"/>
                    <w:jc w:val="center"/>
                    <w:rPr>
                      <w:sz w:val="18"/>
                      <w:szCs w:val="18"/>
                    </w:rPr>
                  </w:pPr>
                  <w:r>
                    <w:rPr>
                      <w:rFonts w:hint="eastAsia"/>
                      <w:sz w:val="18"/>
                      <w:szCs w:val="18"/>
                    </w:rPr>
                    <w:t>2.72x10</w:t>
                  </w:r>
                  <w:r>
                    <w:rPr>
                      <w:rFonts w:hint="eastAsia"/>
                      <w:sz w:val="18"/>
                      <w:szCs w:val="18"/>
                      <w:vertAlign w:val="superscript"/>
                    </w:rPr>
                    <w:t>-4</w:t>
                  </w:r>
                </w:p>
              </w:tc>
              <w:tc>
                <w:tcPr>
                  <w:tcW w:w="661" w:type="pct"/>
                  <w:vAlign w:val="center"/>
                </w:tcPr>
                <w:p w14:paraId="564F49B0" w14:textId="77777777" w:rsidR="00F76A63" w:rsidRDefault="00000000">
                  <w:pPr>
                    <w:adjustRightInd w:val="0"/>
                    <w:snapToGrid w:val="0"/>
                    <w:jc w:val="center"/>
                    <w:rPr>
                      <w:sz w:val="18"/>
                      <w:szCs w:val="18"/>
                    </w:rPr>
                  </w:pPr>
                  <w:r>
                    <w:rPr>
                      <w:sz w:val="18"/>
                      <w:szCs w:val="18"/>
                    </w:rPr>
                    <w:t>-</w:t>
                  </w:r>
                </w:p>
              </w:tc>
            </w:tr>
            <w:tr w:rsidR="00F76A63" w14:paraId="59340D20" w14:textId="77777777">
              <w:trPr>
                <w:trHeight w:val="340"/>
                <w:jc w:val="center"/>
              </w:trPr>
              <w:tc>
                <w:tcPr>
                  <w:tcW w:w="380" w:type="pct"/>
                  <w:vMerge w:val="restart"/>
                  <w:vAlign w:val="center"/>
                </w:tcPr>
                <w:p w14:paraId="1261234D" w14:textId="77777777" w:rsidR="00F76A63" w:rsidRDefault="00000000">
                  <w:pPr>
                    <w:adjustRightInd w:val="0"/>
                    <w:snapToGrid w:val="0"/>
                    <w:jc w:val="center"/>
                    <w:rPr>
                      <w:sz w:val="18"/>
                      <w:szCs w:val="18"/>
                    </w:rPr>
                  </w:pPr>
                  <w:r>
                    <w:rPr>
                      <w:sz w:val="18"/>
                      <w:szCs w:val="18"/>
                    </w:rPr>
                    <w:t>铅</w:t>
                  </w:r>
                </w:p>
              </w:tc>
              <w:tc>
                <w:tcPr>
                  <w:tcW w:w="958" w:type="pct"/>
                  <w:vAlign w:val="center"/>
                </w:tcPr>
                <w:p w14:paraId="3393EF6E"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4D551A1D" w14:textId="77777777" w:rsidR="00F76A63" w:rsidRDefault="00000000">
                  <w:pPr>
                    <w:adjustRightInd w:val="0"/>
                    <w:snapToGrid w:val="0"/>
                    <w:jc w:val="center"/>
                    <w:rPr>
                      <w:sz w:val="18"/>
                      <w:szCs w:val="18"/>
                    </w:rPr>
                  </w:pPr>
                  <w:r>
                    <w:rPr>
                      <w:rFonts w:hint="eastAsia"/>
                      <w:sz w:val="18"/>
                      <w:szCs w:val="18"/>
                    </w:rPr>
                    <w:t>0.00345</w:t>
                  </w:r>
                </w:p>
              </w:tc>
              <w:tc>
                <w:tcPr>
                  <w:tcW w:w="731" w:type="pct"/>
                  <w:vAlign w:val="center"/>
                </w:tcPr>
                <w:p w14:paraId="54D7AB7E" w14:textId="77777777" w:rsidR="00F76A63" w:rsidRDefault="00000000">
                  <w:pPr>
                    <w:adjustRightInd w:val="0"/>
                    <w:snapToGrid w:val="0"/>
                    <w:jc w:val="center"/>
                    <w:rPr>
                      <w:sz w:val="18"/>
                      <w:szCs w:val="18"/>
                    </w:rPr>
                  </w:pPr>
                  <w:r>
                    <w:rPr>
                      <w:rFonts w:hint="eastAsia"/>
                      <w:sz w:val="18"/>
                      <w:szCs w:val="18"/>
                    </w:rPr>
                    <w:t>0.00162</w:t>
                  </w:r>
                </w:p>
              </w:tc>
              <w:tc>
                <w:tcPr>
                  <w:tcW w:w="662" w:type="pct"/>
                  <w:vAlign w:val="center"/>
                </w:tcPr>
                <w:p w14:paraId="70DADC42" w14:textId="77777777" w:rsidR="00F76A63" w:rsidRDefault="00000000">
                  <w:pPr>
                    <w:adjustRightInd w:val="0"/>
                    <w:snapToGrid w:val="0"/>
                    <w:jc w:val="center"/>
                    <w:rPr>
                      <w:sz w:val="18"/>
                      <w:szCs w:val="18"/>
                    </w:rPr>
                  </w:pPr>
                  <w:r>
                    <w:rPr>
                      <w:rFonts w:hint="eastAsia"/>
                      <w:sz w:val="18"/>
                      <w:szCs w:val="18"/>
                    </w:rPr>
                    <w:t>0.00122</w:t>
                  </w:r>
                </w:p>
              </w:tc>
              <w:tc>
                <w:tcPr>
                  <w:tcW w:w="922" w:type="pct"/>
                  <w:vAlign w:val="center"/>
                </w:tcPr>
                <w:p w14:paraId="1740C7DD" w14:textId="77777777" w:rsidR="00F76A63" w:rsidRDefault="00000000">
                  <w:pPr>
                    <w:adjustRightInd w:val="0"/>
                    <w:snapToGrid w:val="0"/>
                    <w:jc w:val="center"/>
                    <w:rPr>
                      <w:sz w:val="18"/>
                      <w:szCs w:val="18"/>
                    </w:rPr>
                  </w:pPr>
                  <w:r>
                    <w:rPr>
                      <w:rFonts w:hint="eastAsia"/>
                      <w:sz w:val="18"/>
                      <w:szCs w:val="18"/>
                    </w:rPr>
                    <w:t>0.00210</w:t>
                  </w:r>
                </w:p>
              </w:tc>
              <w:tc>
                <w:tcPr>
                  <w:tcW w:w="661" w:type="pct"/>
                  <w:vAlign w:val="center"/>
                </w:tcPr>
                <w:p w14:paraId="2B4034BD" w14:textId="77777777" w:rsidR="00F76A63" w:rsidRDefault="00000000">
                  <w:pPr>
                    <w:adjustRightInd w:val="0"/>
                    <w:snapToGrid w:val="0"/>
                    <w:jc w:val="center"/>
                    <w:rPr>
                      <w:sz w:val="18"/>
                      <w:szCs w:val="18"/>
                    </w:rPr>
                  </w:pPr>
                  <w:r>
                    <w:rPr>
                      <w:sz w:val="18"/>
                      <w:szCs w:val="18"/>
                    </w:rPr>
                    <w:t>-</w:t>
                  </w:r>
                </w:p>
              </w:tc>
            </w:tr>
            <w:tr w:rsidR="00F76A63" w14:paraId="69E0C005" w14:textId="77777777">
              <w:trPr>
                <w:trHeight w:val="340"/>
                <w:jc w:val="center"/>
              </w:trPr>
              <w:tc>
                <w:tcPr>
                  <w:tcW w:w="380" w:type="pct"/>
                  <w:vMerge/>
                  <w:vAlign w:val="center"/>
                </w:tcPr>
                <w:p w14:paraId="3CE875FE" w14:textId="77777777" w:rsidR="00F76A63" w:rsidRDefault="00F76A63">
                  <w:pPr>
                    <w:adjustRightInd w:val="0"/>
                    <w:snapToGrid w:val="0"/>
                    <w:jc w:val="center"/>
                    <w:rPr>
                      <w:sz w:val="18"/>
                      <w:szCs w:val="18"/>
                    </w:rPr>
                  </w:pPr>
                </w:p>
              </w:tc>
              <w:tc>
                <w:tcPr>
                  <w:tcW w:w="958" w:type="pct"/>
                  <w:vAlign w:val="center"/>
                </w:tcPr>
                <w:p w14:paraId="3D03644B"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462B74FA" w14:textId="77777777" w:rsidR="00F76A63" w:rsidRDefault="00000000">
                  <w:pPr>
                    <w:adjustRightInd w:val="0"/>
                    <w:snapToGrid w:val="0"/>
                    <w:jc w:val="center"/>
                    <w:rPr>
                      <w:sz w:val="18"/>
                      <w:szCs w:val="18"/>
                    </w:rPr>
                  </w:pPr>
                  <w:r>
                    <w:rPr>
                      <w:rFonts w:hint="eastAsia"/>
                      <w:sz w:val="18"/>
                      <w:szCs w:val="18"/>
                    </w:rPr>
                    <w:t>0.00351</w:t>
                  </w:r>
                </w:p>
              </w:tc>
              <w:tc>
                <w:tcPr>
                  <w:tcW w:w="731" w:type="pct"/>
                  <w:vAlign w:val="center"/>
                </w:tcPr>
                <w:p w14:paraId="0C336B99" w14:textId="77777777" w:rsidR="00F76A63" w:rsidRDefault="00000000">
                  <w:pPr>
                    <w:adjustRightInd w:val="0"/>
                    <w:snapToGrid w:val="0"/>
                    <w:jc w:val="center"/>
                    <w:rPr>
                      <w:sz w:val="18"/>
                      <w:szCs w:val="18"/>
                    </w:rPr>
                  </w:pPr>
                  <w:r>
                    <w:rPr>
                      <w:rFonts w:hint="eastAsia"/>
                      <w:sz w:val="18"/>
                      <w:szCs w:val="18"/>
                    </w:rPr>
                    <w:t>0.00163</w:t>
                  </w:r>
                </w:p>
              </w:tc>
              <w:tc>
                <w:tcPr>
                  <w:tcW w:w="662" w:type="pct"/>
                  <w:vAlign w:val="center"/>
                </w:tcPr>
                <w:p w14:paraId="2BB378B7" w14:textId="77777777" w:rsidR="00F76A63" w:rsidRDefault="00000000">
                  <w:pPr>
                    <w:adjustRightInd w:val="0"/>
                    <w:snapToGrid w:val="0"/>
                    <w:jc w:val="center"/>
                    <w:rPr>
                      <w:sz w:val="18"/>
                      <w:szCs w:val="18"/>
                    </w:rPr>
                  </w:pPr>
                  <w:r>
                    <w:rPr>
                      <w:rFonts w:hint="eastAsia"/>
                      <w:sz w:val="18"/>
                      <w:szCs w:val="18"/>
                    </w:rPr>
                    <w:t>0.00123</w:t>
                  </w:r>
                </w:p>
              </w:tc>
              <w:tc>
                <w:tcPr>
                  <w:tcW w:w="922" w:type="pct"/>
                  <w:vAlign w:val="center"/>
                </w:tcPr>
                <w:p w14:paraId="1F2ADDCC" w14:textId="77777777" w:rsidR="00F76A63" w:rsidRDefault="00000000">
                  <w:pPr>
                    <w:adjustRightInd w:val="0"/>
                    <w:snapToGrid w:val="0"/>
                    <w:jc w:val="center"/>
                    <w:rPr>
                      <w:sz w:val="18"/>
                      <w:szCs w:val="18"/>
                    </w:rPr>
                  </w:pPr>
                  <w:r>
                    <w:rPr>
                      <w:rFonts w:hint="eastAsia"/>
                      <w:sz w:val="18"/>
                      <w:szCs w:val="18"/>
                    </w:rPr>
                    <w:t>0.00212</w:t>
                  </w:r>
                </w:p>
              </w:tc>
              <w:tc>
                <w:tcPr>
                  <w:tcW w:w="661" w:type="pct"/>
                  <w:vAlign w:val="center"/>
                </w:tcPr>
                <w:p w14:paraId="4A8BA25E" w14:textId="77777777" w:rsidR="00F76A63" w:rsidRDefault="00000000">
                  <w:pPr>
                    <w:adjustRightInd w:val="0"/>
                    <w:snapToGrid w:val="0"/>
                    <w:jc w:val="center"/>
                    <w:rPr>
                      <w:sz w:val="18"/>
                      <w:szCs w:val="18"/>
                    </w:rPr>
                  </w:pPr>
                  <w:r>
                    <w:rPr>
                      <w:sz w:val="18"/>
                      <w:szCs w:val="18"/>
                    </w:rPr>
                    <w:t>1.0</w:t>
                  </w:r>
                </w:p>
              </w:tc>
            </w:tr>
            <w:tr w:rsidR="00F76A63" w14:paraId="6288E16D" w14:textId="77777777">
              <w:trPr>
                <w:trHeight w:val="340"/>
                <w:jc w:val="center"/>
              </w:trPr>
              <w:tc>
                <w:tcPr>
                  <w:tcW w:w="380" w:type="pct"/>
                  <w:vMerge/>
                  <w:vAlign w:val="center"/>
                </w:tcPr>
                <w:p w14:paraId="6E3371C8" w14:textId="77777777" w:rsidR="00F76A63" w:rsidRDefault="00F76A63">
                  <w:pPr>
                    <w:adjustRightInd w:val="0"/>
                    <w:snapToGrid w:val="0"/>
                    <w:jc w:val="center"/>
                    <w:rPr>
                      <w:sz w:val="18"/>
                      <w:szCs w:val="18"/>
                    </w:rPr>
                  </w:pPr>
                </w:p>
              </w:tc>
              <w:tc>
                <w:tcPr>
                  <w:tcW w:w="958" w:type="pct"/>
                  <w:vAlign w:val="center"/>
                </w:tcPr>
                <w:p w14:paraId="46A0EA0F"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26402A93" w14:textId="77777777" w:rsidR="00F76A63" w:rsidRDefault="00000000">
                  <w:pPr>
                    <w:adjustRightInd w:val="0"/>
                    <w:snapToGrid w:val="0"/>
                    <w:jc w:val="center"/>
                    <w:rPr>
                      <w:sz w:val="18"/>
                      <w:szCs w:val="18"/>
                    </w:rPr>
                  </w:pPr>
                  <w:r>
                    <w:rPr>
                      <w:rFonts w:hint="eastAsia"/>
                      <w:sz w:val="18"/>
                      <w:szCs w:val="18"/>
                    </w:rPr>
                    <w:t>1.64x10</w:t>
                  </w:r>
                  <w:r>
                    <w:rPr>
                      <w:rFonts w:hint="eastAsia"/>
                      <w:sz w:val="18"/>
                      <w:szCs w:val="18"/>
                      <w:vertAlign w:val="superscript"/>
                    </w:rPr>
                    <w:t>-3</w:t>
                  </w:r>
                </w:p>
              </w:tc>
              <w:tc>
                <w:tcPr>
                  <w:tcW w:w="731" w:type="pct"/>
                  <w:vAlign w:val="center"/>
                </w:tcPr>
                <w:p w14:paraId="06AE1D2D" w14:textId="77777777" w:rsidR="00F76A63" w:rsidRDefault="00000000">
                  <w:pPr>
                    <w:adjustRightInd w:val="0"/>
                    <w:snapToGrid w:val="0"/>
                    <w:jc w:val="center"/>
                    <w:rPr>
                      <w:sz w:val="18"/>
                      <w:szCs w:val="18"/>
                    </w:rPr>
                  </w:pPr>
                  <w:r>
                    <w:rPr>
                      <w:rFonts w:hint="eastAsia"/>
                      <w:sz w:val="18"/>
                      <w:szCs w:val="18"/>
                    </w:rPr>
                    <w:t>7.25x10</w:t>
                  </w:r>
                  <w:r>
                    <w:rPr>
                      <w:rFonts w:hint="eastAsia"/>
                      <w:sz w:val="18"/>
                      <w:szCs w:val="18"/>
                      <w:vertAlign w:val="superscript"/>
                    </w:rPr>
                    <w:t>-4</w:t>
                  </w:r>
                </w:p>
              </w:tc>
              <w:tc>
                <w:tcPr>
                  <w:tcW w:w="662" w:type="pct"/>
                  <w:vAlign w:val="center"/>
                </w:tcPr>
                <w:p w14:paraId="60A1FDAB" w14:textId="77777777" w:rsidR="00F76A63" w:rsidRDefault="00000000">
                  <w:pPr>
                    <w:adjustRightInd w:val="0"/>
                    <w:snapToGrid w:val="0"/>
                    <w:jc w:val="center"/>
                    <w:rPr>
                      <w:sz w:val="18"/>
                      <w:szCs w:val="18"/>
                    </w:rPr>
                  </w:pPr>
                  <w:r>
                    <w:rPr>
                      <w:rFonts w:hint="eastAsia"/>
                      <w:sz w:val="18"/>
                      <w:szCs w:val="18"/>
                    </w:rPr>
                    <w:t>5.60x10</w:t>
                  </w:r>
                  <w:r>
                    <w:rPr>
                      <w:rFonts w:hint="eastAsia"/>
                      <w:sz w:val="18"/>
                      <w:szCs w:val="18"/>
                      <w:vertAlign w:val="superscript"/>
                    </w:rPr>
                    <w:t>-4</w:t>
                  </w:r>
                </w:p>
              </w:tc>
              <w:tc>
                <w:tcPr>
                  <w:tcW w:w="922" w:type="pct"/>
                  <w:vAlign w:val="center"/>
                </w:tcPr>
                <w:p w14:paraId="418D7D69" w14:textId="77777777" w:rsidR="00F76A63" w:rsidRDefault="00000000">
                  <w:pPr>
                    <w:adjustRightInd w:val="0"/>
                    <w:snapToGrid w:val="0"/>
                    <w:jc w:val="center"/>
                    <w:rPr>
                      <w:sz w:val="18"/>
                      <w:szCs w:val="18"/>
                    </w:rPr>
                  </w:pPr>
                  <w:r>
                    <w:rPr>
                      <w:rFonts w:hint="eastAsia"/>
                      <w:sz w:val="18"/>
                      <w:szCs w:val="18"/>
                    </w:rPr>
                    <w:t>9.75x10</w:t>
                  </w:r>
                  <w:r>
                    <w:rPr>
                      <w:rFonts w:hint="eastAsia"/>
                      <w:sz w:val="18"/>
                      <w:szCs w:val="18"/>
                      <w:vertAlign w:val="superscript"/>
                    </w:rPr>
                    <w:t>-4</w:t>
                  </w:r>
                </w:p>
              </w:tc>
              <w:tc>
                <w:tcPr>
                  <w:tcW w:w="661" w:type="pct"/>
                  <w:vAlign w:val="center"/>
                </w:tcPr>
                <w:p w14:paraId="6C10FB62" w14:textId="77777777" w:rsidR="00F76A63" w:rsidRDefault="00000000">
                  <w:pPr>
                    <w:adjustRightInd w:val="0"/>
                    <w:snapToGrid w:val="0"/>
                    <w:jc w:val="center"/>
                    <w:rPr>
                      <w:sz w:val="18"/>
                      <w:szCs w:val="18"/>
                    </w:rPr>
                  </w:pPr>
                  <w:r>
                    <w:rPr>
                      <w:sz w:val="18"/>
                      <w:szCs w:val="18"/>
                    </w:rPr>
                    <w:t>-</w:t>
                  </w:r>
                </w:p>
              </w:tc>
            </w:tr>
            <w:tr w:rsidR="00F76A63" w14:paraId="348D78C0" w14:textId="77777777">
              <w:trPr>
                <w:trHeight w:val="340"/>
                <w:jc w:val="center"/>
              </w:trPr>
              <w:tc>
                <w:tcPr>
                  <w:tcW w:w="380" w:type="pct"/>
                  <w:vMerge w:val="restart"/>
                  <w:vAlign w:val="center"/>
                </w:tcPr>
                <w:p w14:paraId="383CF222" w14:textId="77777777" w:rsidR="00F76A63" w:rsidRDefault="00000000">
                  <w:pPr>
                    <w:adjustRightInd w:val="0"/>
                    <w:snapToGrid w:val="0"/>
                    <w:jc w:val="center"/>
                    <w:rPr>
                      <w:sz w:val="18"/>
                      <w:szCs w:val="18"/>
                    </w:rPr>
                  </w:pPr>
                  <w:r>
                    <w:rPr>
                      <w:sz w:val="18"/>
                      <w:szCs w:val="18"/>
                    </w:rPr>
                    <w:lastRenderedPageBreak/>
                    <w:t>镉</w:t>
                  </w:r>
                </w:p>
              </w:tc>
              <w:tc>
                <w:tcPr>
                  <w:tcW w:w="958" w:type="pct"/>
                  <w:vAlign w:val="center"/>
                </w:tcPr>
                <w:p w14:paraId="1521CC89"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4CB05080" w14:textId="77777777" w:rsidR="00F76A63" w:rsidRDefault="00000000">
                  <w:pPr>
                    <w:adjustRightInd w:val="0"/>
                    <w:snapToGrid w:val="0"/>
                    <w:jc w:val="center"/>
                    <w:rPr>
                      <w:sz w:val="18"/>
                      <w:szCs w:val="18"/>
                    </w:rPr>
                  </w:pPr>
                  <w:r>
                    <w:rPr>
                      <w:rFonts w:hint="eastAsia"/>
                      <w:sz w:val="18"/>
                      <w:szCs w:val="18"/>
                    </w:rPr>
                    <w:t>5.26x10</w:t>
                  </w:r>
                  <w:r>
                    <w:rPr>
                      <w:rFonts w:hint="eastAsia"/>
                      <w:sz w:val="18"/>
                      <w:szCs w:val="18"/>
                      <w:vertAlign w:val="superscript"/>
                    </w:rPr>
                    <w:t>-5</w:t>
                  </w:r>
                </w:p>
              </w:tc>
              <w:tc>
                <w:tcPr>
                  <w:tcW w:w="731" w:type="pct"/>
                  <w:vAlign w:val="center"/>
                </w:tcPr>
                <w:p w14:paraId="230D2933" w14:textId="77777777" w:rsidR="00F76A63" w:rsidRDefault="00000000">
                  <w:pPr>
                    <w:adjustRightInd w:val="0"/>
                    <w:snapToGrid w:val="0"/>
                    <w:jc w:val="center"/>
                    <w:rPr>
                      <w:sz w:val="18"/>
                      <w:szCs w:val="18"/>
                    </w:rPr>
                  </w:pPr>
                  <w:r>
                    <w:rPr>
                      <w:rFonts w:hint="eastAsia"/>
                      <w:sz w:val="18"/>
                      <w:szCs w:val="18"/>
                    </w:rPr>
                    <w:t>3.47x10</w:t>
                  </w:r>
                  <w:r>
                    <w:rPr>
                      <w:rFonts w:hint="eastAsia"/>
                      <w:sz w:val="18"/>
                      <w:szCs w:val="18"/>
                      <w:vertAlign w:val="superscript"/>
                    </w:rPr>
                    <w:t>-5</w:t>
                  </w:r>
                </w:p>
              </w:tc>
              <w:tc>
                <w:tcPr>
                  <w:tcW w:w="662" w:type="pct"/>
                  <w:vAlign w:val="center"/>
                </w:tcPr>
                <w:p w14:paraId="4AF2562E" w14:textId="77777777" w:rsidR="00F76A63" w:rsidRDefault="00000000">
                  <w:pPr>
                    <w:adjustRightInd w:val="0"/>
                    <w:snapToGrid w:val="0"/>
                    <w:jc w:val="center"/>
                    <w:rPr>
                      <w:sz w:val="18"/>
                      <w:szCs w:val="18"/>
                    </w:rPr>
                  </w:pPr>
                  <w:r>
                    <w:rPr>
                      <w:rFonts w:hint="eastAsia"/>
                      <w:sz w:val="18"/>
                      <w:szCs w:val="18"/>
                    </w:rPr>
                    <w:t>3.96x10</w:t>
                  </w:r>
                  <w:r>
                    <w:rPr>
                      <w:rFonts w:hint="eastAsia"/>
                      <w:sz w:val="18"/>
                      <w:szCs w:val="18"/>
                      <w:vertAlign w:val="superscript"/>
                    </w:rPr>
                    <w:t>-5</w:t>
                  </w:r>
                </w:p>
              </w:tc>
              <w:tc>
                <w:tcPr>
                  <w:tcW w:w="922" w:type="pct"/>
                  <w:vAlign w:val="center"/>
                </w:tcPr>
                <w:p w14:paraId="4DE0F595" w14:textId="77777777" w:rsidR="00F76A63" w:rsidRDefault="00000000">
                  <w:pPr>
                    <w:adjustRightInd w:val="0"/>
                    <w:snapToGrid w:val="0"/>
                    <w:jc w:val="center"/>
                    <w:rPr>
                      <w:sz w:val="18"/>
                      <w:szCs w:val="18"/>
                    </w:rPr>
                  </w:pPr>
                  <w:r>
                    <w:rPr>
                      <w:rFonts w:hint="eastAsia"/>
                      <w:sz w:val="18"/>
                      <w:szCs w:val="18"/>
                    </w:rPr>
                    <w:t>4.23x10</w:t>
                  </w:r>
                  <w:r>
                    <w:rPr>
                      <w:rFonts w:hint="eastAsia"/>
                      <w:sz w:val="18"/>
                      <w:szCs w:val="18"/>
                      <w:vertAlign w:val="superscript"/>
                    </w:rPr>
                    <w:t>-5</w:t>
                  </w:r>
                </w:p>
              </w:tc>
              <w:tc>
                <w:tcPr>
                  <w:tcW w:w="661" w:type="pct"/>
                  <w:vAlign w:val="center"/>
                </w:tcPr>
                <w:p w14:paraId="4A3A2AEC" w14:textId="77777777" w:rsidR="00F76A63" w:rsidRDefault="00000000">
                  <w:pPr>
                    <w:adjustRightInd w:val="0"/>
                    <w:snapToGrid w:val="0"/>
                    <w:jc w:val="center"/>
                    <w:rPr>
                      <w:sz w:val="18"/>
                      <w:szCs w:val="18"/>
                    </w:rPr>
                  </w:pPr>
                  <w:r>
                    <w:rPr>
                      <w:sz w:val="18"/>
                      <w:szCs w:val="18"/>
                    </w:rPr>
                    <w:t>-</w:t>
                  </w:r>
                </w:p>
              </w:tc>
            </w:tr>
            <w:tr w:rsidR="00F76A63" w14:paraId="4CFBCBFD" w14:textId="77777777">
              <w:trPr>
                <w:trHeight w:val="340"/>
                <w:jc w:val="center"/>
              </w:trPr>
              <w:tc>
                <w:tcPr>
                  <w:tcW w:w="380" w:type="pct"/>
                  <w:vMerge/>
                  <w:vAlign w:val="center"/>
                </w:tcPr>
                <w:p w14:paraId="325E2F7F" w14:textId="77777777" w:rsidR="00F76A63" w:rsidRDefault="00F76A63">
                  <w:pPr>
                    <w:adjustRightInd w:val="0"/>
                    <w:snapToGrid w:val="0"/>
                    <w:jc w:val="center"/>
                    <w:rPr>
                      <w:sz w:val="18"/>
                      <w:szCs w:val="18"/>
                    </w:rPr>
                  </w:pPr>
                </w:p>
              </w:tc>
              <w:tc>
                <w:tcPr>
                  <w:tcW w:w="958" w:type="pct"/>
                  <w:vAlign w:val="center"/>
                </w:tcPr>
                <w:p w14:paraId="6250FB7E"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57CD013D" w14:textId="77777777" w:rsidR="00F76A63" w:rsidRDefault="00000000">
                  <w:pPr>
                    <w:adjustRightInd w:val="0"/>
                    <w:snapToGrid w:val="0"/>
                    <w:jc w:val="center"/>
                    <w:rPr>
                      <w:sz w:val="18"/>
                      <w:szCs w:val="18"/>
                    </w:rPr>
                  </w:pPr>
                  <w:r>
                    <w:rPr>
                      <w:rFonts w:hint="eastAsia"/>
                      <w:sz w:val="18"/>
                      <w:szCs w:val="18"/>
                    </w:rPr>
                    <w:t>5.36x10</w:t>
                  </w:r>
                  <w:r>
                    <w:rPr>
                      <w:rFonts w:hint="eastAsia"/>
                      <w:sz w:val="18"/>
                      <w:szCs w:val="18"/>
                      <w:vertAlign w:val="superscript"/>
                    </w:rPr>
                    <w:t>-5</w:t>
                  </w:r>
                </w:p>
              </w:tc>
              <w:tc>
                <w:tcPr>
                  <w:tcW w:w="731" w:type="pct"/>
                  <w:vAlign w:val="center"/>
                </w:tcPr>
                <w:p w14:paraId="6EB573A6" w14:textId="77777777" w:rsidR="00F76A63" w:rsidRDefault="00000000">
                  <w:pPr>
                    <w:adjustRightInd w:val="0"/>
                    <w:snapToGrid w:val="0"/>
                    <w:jc w:val="center"/>
                    <w:rPr>
                      <w:sz w:val="18"/>
                      <w:szCs w:val="18"/>
                    </w:rPr>
                  </w:pPr>
                  <w:r>
                    <w:rPr>
                      <w:rFonts w:hint="eastAsia"/>
                      <w:sz w:val="18"/>
                      <w:szCs w:val="18"/>
                    </w:rPr>
                    <w:t>3.50x10</w:t>
                  </w:r>
                  <w:r>
                    <w:rPr>
                      <w:rFonts w:hint="eastAsia"/>
                      <w:sz w:val="18"/>
                      <w:szCs w:val="18"/>
                      <w:vertAlign w:val="superscript"/>
                    </w:rPr>
                    <w:t>-5</w:t>
                  </w:r>
                </w:p>
              </w:tc>
              <w:tc>
                <w:tcPr>
                  <w:tcW w:w="662" w:type="pct"/>
                  <w:vAlign w:val="center"/>
                </w:tcPr>
                <w:p w14:paraId="42229620" w14:textId="77777777" w:rsidR="00F76A63" w:rsidRDefault="00000000">
                  <w:pPr>
                    <w:adjustRightInd w:val="0"/>
                    <w:snapToGrid w:val="0"/>
                    <w:jc w:val="center"/>
                    <w:rPr>
                      <w:sz w:val="18"/>
                      <w:szCs w:val="18"/>
                    </w:rPr>
                  </w:pPr>
                  <w:r>
                    <w:rPr>
                      <w:rFonts w:hint="eastAsia"/>
                      <w:sz w:val="18"/>
                      <w:szCs w:val="18"/>
                    </w:rPr>
                    <w:t>4.00x10</w:t>
                  </w:r>
                  <w:r>
                    <w:rPr>
                      <w:rFonts w:hint="eastAsia"/>
                      <w:sz w:val="18"/>
                      <w:szCs w:val="18"/>
                      <w:vertAlign w:val="superscript"/>
                    </w:rPr>
                    <w:t>-5</w:t>
                  </w:r>
                </w:p>
              </w:tc>
              <w:tc>
                <w:tcPr>
                  <w:tcW w:w="922" w:type="pct"/>
                  <w:vAlign w:val="center"/>
                </w:tcPr>
                <w:p w14:paraId="43E615FA" w14:textId="77777777" w:rsidR="00F76A63" w:rsidRDefault="00000000">
                  <w:pPr>
                    <w:adjustRightInd w:val="0"/>
                    <w:snapToGrid w:val="0"/>
                    <w:jc w:val="center"/>
                    <w:rPr>
                      <w:sz w:val="18"/>
                      <w:szCs w:val="18"/>
                    </w:rPr>
                  </w:pPr>
                  <w:r>
                    <w:rPr>
                      <w:rFonts w:hint="eastAsia"/>
                      <w:sz w:val="18"/>
                      <w:szCs w:val="18"/>
                    </w:rPr>
                    <w:t>4.29x10</w:t>
                  </w:r>
                  <w:r>
                    <w:rPr>
                      <w:rFonts w:hint="eastAsia"/>
                      <w:sz w:val="18"/>
                      <w:szCs w:val="18"/>
                      <w:vertAlign w:val="superscript"/>
                    </w:rPr>
                    <w:t>-5</w:t>
                  </w:r>
                </w:p>
              </w:tc>
              <w:tc>
                <w:tcPr>
                  <w:tcW w:w="661" w:type="pct"/>
                  <w:vAlign w:val="center"/>
                </w:tcPr>
                <w:p w14:paraId="6CE5F52E" w14:textId="77777777" w:rsidR="00F76A63" w:rsidRDefault="00000000">
                  <w:pPr>
                    <w:adjustRightInd w:val="0"/>
                    <w:snapToGrid w:val="0"/>
                    <w:jc w:val="center"/>
                    <w:rPr>
                      <w:sz w:val="18"/>
                      <w:szCs w:val="18"/>
                    </w:rPr>
                  </w:pPr>
                  <w:r>
                    <w:rPr>
                      <w:sz w:val="18"/>
                      <w:szCs w:val="18"/>
                    </w:rPr>
                    <w:t>1.0</w:t>
                  </w:r>
                </w:p>
              </w:tc>
            </w:tr>
            <w:tr w:rsidR="00F76A63" w14:paraId="044EE377" w14:textId="77777777">
              <w:trPr>
                <w:trHeight w:val="340"/>
                <w:jc w:val="center"/>
              </w:trPr>
              <w:tc>
                <w:tcPr>
                  <w:tcW w:w="380" w:type="pct"/>
                  <w:vMerge/>
                  <w:vAlign w:val="center"/>
                </w:tcPr>
                <w:p w14:paraId="72CD8080" w14:textId="77777777" w:rsidR="00F76A63" w:rsidRDefault="00F76A63">
                  <w:pPr>
                    <w:adjustRightInd w:val="0"/>
                    <w:snapToGrid w:val="0"/>
                    <w:jc w:val="center"/>
                    <w:rPr>
                      <w:sz w:val="18"/>
                      <w:szCs w:val="18"/>
                    </w:rPr>
                  </w:pPr>
                </w:p>
              </w:tc>
              <w:tc>
                <w:tcPr>
                  <w:tcW w:w="958" w:type="pct"/>
                  <w:vAlign w:val="center"/>
                </w:tcPr>
                <w:p w14:paraId="50C7954D"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13B78CE8" w14:textId="77777777" w:rsidR="00F76A63" w:rsidRDefault="00000000">
                  <w:pPr>
                    <w:adjustRightInd w:val="0"/>
                    <w:snapToGrid w:val="0"/>
                    <w:jc w:val="center"/>
                    <w:rPr>
                      <w:sz w:val="18"/>
                      <w:szCs w:val="18"/>
                    </w:rPr>
                  </w:pPr>
                  <w:r>
                    <w:rPr>
                      <w:rFonts w:hint="eastAsia"/>
                      <w:sz w:val="18"/>
                      <w:szCs w:val="18"/>
                    </w:rPr>
                    <w:t>2.49x10</w:t>
                  </w:r>
                  <w:r>
                    <w:rPr>
                      <w:rFonts w:hint="eastAsia"/>
                      <w:sz w:val="18"/>
                      <w:szCs w:val="18"/>
                      <w:vertAlign w:val="superscript"/>
                    </w:rPr>
                    <w:t>-5</w:t>
                  </w:r>
                </w:p>
              </w:tc>
              <w:tc>
                <w:tcPr>
                  <w:tcW w:w="731" w:type="pct"/>
                  <w:vAlign w:val="center"/>
                </w:tcPr>
                <w:p w14:paraId="03A56345" w14:textId="77777777" w:rsidR="00F76A63" w:rsidRDefault="00000000">
                  <w:pPr>
                    <w:adjustRightInd w:val="0"/>
                    <w:snapToGrid w:val="0"/>
                    <w:jc w:val="center"/>
                    <w:rPr>
                      <w:sz w:val="18"/>
                      <w:szCs w:val="18"/>
                    </w:rPr>
                  </w:pPr>
                  <w:r>
                    <w:rPr>
                      <w:rFonts w:hint="eastAsia"/>
                      <w:sz w:val="18"/>
                      <w:szCs w:val="18"/>
                    </w:rPr>
                    <w:t>1.55</w:t>
                  </w:r>
                  <w:r>
                    <w:rPr>
                      <w:rFonts w:hint="eastAsia"/>
                      <w:sz w:val="18"/>
                      <w:szCs w:val="18"/>
                    </w:rPr>
                    <w:t>×</w:t>
                  </w:r>
                  <w:r>
                    <w:rPr>
                      <w:rFonts w:hint="eastAsia"/>
                      <w:sz w:val="18"/>
                      <w:szCs w:val="18"/>
                    </w:rPr>
                    <w:t>10</w:t>
                  </w:r>
                  <w:r>
                    <w:rPr>
                      <w:rFonts w:hint="eastAsia"/>
                      <w:sz w:val="18"/>
                      <w:szCs w:val="18"/>
                      <w:vertAlign w:val="superscript"/>
                    </w:rPr>
                    <w:t>-5</w:t>
                  </w:r>
                </w:p>
              </w:tc>
              <w:tc>
                <w:tcPr>
                  <w:tcW w:w="662" w:type="pct"/>
                  <w:vAlign w:val="center"/>
                </w:tcPr>
                <w:p w14:paraId="7ADE1060" w14:textId="77777777" w:rsidR="00F76A63" w:rsidRDefault="00000000">
                  <w:pPr>
                    <w:adjustRightInd w:val="0"/>
                    <w:snapToGrid w:val="0"/>
                    <w:jc w:val="center"/>
                    <w:rPr>
                      <w:sz w:val="18"/>
                      <w:szCs w:val="18"/>
                    </w:rPr>
                  </w:pPr>
                  <w:r>
                    <w:rPr>
                      <w:rFonts w:hint="eastAsia"/>
                      <w:sz w:val="18"/>
                      <w:szCs w:val="18"/>
                    </w:rPr>
                    <w:t>1.82x10</w:t>
                  </w:r>
                  <w:r>
                    <w:rPr>
                      <w:rFonts w:hint="eastAsia"/>
                      <w:sz w:val="18"/>
                      <w:szCs w:val="18"/>
                      <w:vertAlign w:val="superscript"/>
                    </w:rPr>
                    <w:t>-5</w:t>
                  </w:r>
                </w:p>
              </w:tc>
              <w:tc>
                <w:tcPr>
                  <w:tcW w:w="922" w:type="pct"/>
                  <w:vAlign w:val="center"/>
                </w:tcPr>
                <w:p w14:paraId="34272990" w14:textId="77777777" w:rsidR="00F76A63" w:rsidRDefault="00000000">
                  <w:pPr>
                    <w:adjustRightInd w:val="0"/>
                    <w:snapToGrid w:val="0"/>
                    <w:jc w:val="center"/>
                    <w:rPr>
                      <w:sz w:val="18"/>
                      <w:szCs w:val="18"/>
                    </w:rPr>
                  </w:pPr>
                  <w:r>
                    <w:rPr>
                      <w:rFonts w:hint="eastAsia"/>
                      <w:sz w:val="18"/>
                      <w:szCs w:val="18"/>
                    </w:rPr>
                    <w:t>1.95x10</w:t>
                  </w:r>
                  <w:r>
                    <w:rPr>
                      <w:rFonts w:hint="eastAsia"/>
                      <w:sz w:val="18"/>
                      <w:szCs w:val="18"/>
                      <w:vertAlign w:val="superscript"/>
                    </w:rPr>
                    <w:t>-5</w:t>
                  </w:r>
                </w:p>
              </w:tc>
              <w:tc>
                <w:tcPr>
                  <w:tcW w:w="661" w:type="pct"/>
                  <w:vAlign w:val="center"/>
                </w:tcPr>
                <w:p w14:paraId="5D72485C" w14:textId="77777777" w:rsidR="00F76A63" w:rsidRDefault="00000000">
                  <w:pPr>
                    <w:adjustRightInd w:val="0"/>
                    <w:snapToGrid w:val="0"/>
                    <w:jc w:val="center"/>
                    <w:rPr>
                      <w:sz w:val="18"/>
                      <w:szCs w:val="18"/>
                    </w:rPr>
                  </w:pPr>
                  <w:r>
                    <w:rPr>
                      <w:sz w:val="18"/>
                      <w:szCs w:val="18"/>
                    </w:rPr>
                    <w:t>-</w:t>
                  </w:r>
                </w:p>
              </w:tc>
            </w:tr>
            <w:tr w:rsidR="00F76A63" w14:paraId="2A3AE9A1" w14:textId="77777777">
              <w:trPr>
                <w:trHeight w:val="340"/>
                <w:jc w:val="center"/>
              </w:trPr>
              <w:tc>
                <w:tcPr>
                  <w:tcW w:w="380" w:type="pct"/>
                  <w:vMerge w:val="restart"/>
                  <w:vAlign w:val="center"/>
                </w:tcPr>
                <w:p w14:paraId="6179113D" w14:textId="77777777" w:rsidR="00F76A63" w:rsidRDefault="00000000">
                  <w:pPr>
                    <w:adjustRightInd w:val="0"/>
                    <w:snapToGrid w:val="0"/>
                    <w:jc w:val="center"/>
                    <w:rPr>
                      <w:sz w:val="18"/>
                      <w:szCs w:val="18"/>
                    </w:rPr>
                  </w:pPr>
                  <w:r>
                    <w:rPr>
                      <w:sz w:val="18"/>
                      <w:szCs w:val="18"/>
                    </w:rPr>
                    <w:t>镍</w:t>
                  </w:r>
                </w:p>
              </w:tc>
              <w:tc>
                <w:tcPr>
                  <w:tcW w:w="958" w:type="pct"/>
                  <w:vAlign w:val="center"/>
                </w:tcPr>
                <w:p w14:paraId="7C973629"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5005BD67" w14:textId="77777777" w:rsidR="00F76A63" w:rsidRDefault="00000000">
                  <w:pPr>
                    <w:adjustRightInd w:val="0"/>
                    <w:snapToGrid w:val="0"/>
                    <w:jc w:val="center"/>
                    <w:rPr>
                      <w:sz w:val="18"/>
                      <w:szCs w:val="18"/>
                    </w:rPr>
                  </w:pPr>
                  <w:r>
                    <w:rPr>
                      <w:rFonts w:hint="eastAsia"/>
                      <w:sz w:val="18"/>
                      <w:szCs w:val="18"/>
                    </w:rPr>
                    <w:t>0.0129</w:t>
                  </w:r>
                </w:p>
              </w:tc>
              <w:tc>
                <w:tcPr>
                  <w:tcW w:w="731" w:type="pct"/>
                  <w:vAlign w:val="center"/>
                </w:tcPr>
                <w:p w14:paraId="073FF1A9" w14:textId="77777777" w:rsidR="00F76A63" w:rsidRDefault="00000000">
                  <w:pPr>
                    <w:adjustRightInd w:val="0"/>
                    <w:snapToGrid w:val="0"/>
                    <w:jc w:val="center"/>
                    <w:rPr>
                      <w:sz w:val="18"/>
                      <w:szCs w:val="18"/>
                    </w:rPr>
                  </w:pPr>
                  <w:r>
                    <w:rPr>
                      <w:rFonts w:hint="eastAsia"/>
                      <w:sz w:val="18"/>
                      <w:szCs w:val="18"/>
                    </w:rPr>
                    <w:t>0.0261</w:t>
                  </w:r>
                </w:p>
              </w:tc>
              <w:tc>
                <w:tcPr>
                  <w:tcW w:w="662" w:type="pct"/>
                  <w:vAlign w:val="center"/>
                </w:tcPr>
                <w:p w14:paraId="3B26A0AF" w14:textId="77777777" w:rsidR="00F76A63" w:rsidRDefault="00000000">
                  <w:pPr>
                    <w:adjustRightInd w:val="0"/>
                    <w:snapToGrid w:val="0"/>
                    <w:jc w:val="center"/>
                    <w:rPr>
                      <w:sz w:val="18"/>
                      <w:szCs w:val="18"/>
                    </w:rPr>
                  </w:pPr>
                  <w:r>
                    <w:rPr>
                      <w:rFonts w:hint="eastAsia"/>
                      <w:sz w:val="18"/>
                      <w:szCs w:val="18"/>
                    </w:rPr>
                    <w:t>0.0146</w:t>
                  </w:r>
                </w:p>
              </w:tc>
              <w:tc>
                <w:tcPr>
                  <w:tcW w:w="922" w:type="pct"/>
                  <w:vAlign w:val="center"/>
                </w:tcPr>
                <w:p w14:paraId="53EF2D91" w14:textId="77777777" w:rsidR="00F76A63" w:rsidRDefault="00000000">
                  <w:pPr>
                    <w:adjustRightInd w:val="0"/>
                    <w:snapToGrid w:val="0"/>
                    <w:jc w:val="center"/>
                    <w:rPr>
                      <w:sz w:val="18"/>
                      <w:szCs w:val="18"/>
                    </w:rPr>
                  </w:pPr>
                  <w:r>
                    <w:rPr>
                      <w:rFonts w:hint="eastAsia"/>
                      <w:sz w:val="18"/>
                      <w:szCs w:val="18"/>
                    </w:rPr>
                    <w:t>0.0179</w:t>
                  </w:r>
                </w:p>
              </w:tc>
              <w:tc>
                <w:tcPr>
                  <w:tcW w:w="661" w:type="pct"/>
                  <w:vAlign w:val="center"/>
                </w:tcPr>
                <w:p w14:paraId="19B40545" w14:textId="77777777" w:rsidR="00F76A63" w:rsidRDefault="00000000">
                  <w:pPr>
                    <w:adjustRightInd w:val="0"/>
                    <w:snapToGrid w:val="0"/>
                    <w:jc w:val="center"/>
                    <w:rPr>
                      <w:sz w:val="18"/>
                      <w:szCs w:val="18"/>
                    </w:rPr>
                  </w:pPr>
                  <w:r>
                    <w:rPr>
                      <w:sz w:val="18"/>
                      <w:szCs w:val="18"/>
                    </w:rPr>
                    <w:t>-</w:t>
                  </w:r>
                </w:p>
              </w:tc>
            </w:tr>
            <w:tr w:rsidR="00F76A63" w14:paraId="32D7E0D6" w14:textId="77777777">
              <w:trPr>
                <w:trHeight w:val="340"/>
                <w:jc w:val="center"/>
              </w:trPr>
              <w:tc>
                <w:tcPr>
                  <w:tcW w:w="380" w:type="pct"/>
                  <w:vMerge/>
                  <w:vAlign w:val="center"/>
                </w:tcPr>
                <w:p w14:paraId="31219CDB" w14:textId="77777777" w:rsidR="00F76A63" w:rsidRDefault="00F76A63">
                  <w:pPr>
                    <w:adjustRightInd w:val="0"/>
                    <w:snapToGrid w:val="0"/>
                    <w:jc w:val="center"/>
                    <w:rPr>
                      <w:sz w:val="18"/>
                      <w:szCs w:val="18"/>
                    </w:rPr>
                  </w:pPr>
                </w:p>
              </w:tc>
              <w:tc>
                <w:tcPr>
                  <w:tcW w:w="958" w:type="pct"/>
                  <w:vAlign w:val="center"/>
                </w:tcPr>
                <w:p w14:paraId="718B4F74"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08740370" w14:textId="77777777" w:rsidR="00F76A63" w:rsidRDefault="00000000">
                  <w:pPr>
                    <w:adjustRightInd w:val="0"/>
                    <w:snapToGrid w:val="0"/>
                    <w:jc w:val="center"/>
                    <w:rPr>
                      <w:sz w:val="18"/>
                      <w:szCs w:val="18"/>
                    </w:rPr>
                  </w:pPr>
                  <w:r>
                    <w:rPr>
                      <w:rFonts w:hint="eastAsia"/>
                      <w:sz w:val="18"/>
                      <w:szCs w:val="18"/>
                    </w:rPr>
                    <w:t>0.0131</w:t>
                  </w:r>
                </w:p>
              </w:tc>
              <w:tc>
                <w:tcPr>
                  <w:tcW w:w="731" w:type="pct"/>
                  <w:vAlign w:val="center"/>
                </w:tcPr>
                <w:p w14:paraId="65B4A18C" w14:textId="77777777" w:rsidR="00F76A63" w:rsidRDefault="00000000">
                  <w:pPr>
                    <w:adjustRightInd w:val="0"/>
                    <w:snapToGrid w:val="0"/>
                    <w:jc w:val="center"/>
                    <w:rPr>
                      <w:sz w:val="18"/>
                      <w:szCs w:val="18"/>
                    </w:rPr>
                  </w:pPr>
                  <w:r>
                    <w:rPr>
                      <w:rFonts w:hint="eastAsia"/>
                      <w:sz w:val="18"/>
                      <w:szCs w:val="18"/>
                    </w:rPr>
                    <w:t>0.0263</w:t>
                  </w:r>
                </w:p>
              </w:tc>
              <w:tc>
                <w:tcPr>
                  <w:tcW w:w="662" w:type="pct"/>
                  <w:vAlign w:val="center"/>
                </w:tcPr>
                <w:p w14:paraId="5DA66B19" w14:textId="77777777" w:rsidR="00F76A63" w:rsidRDefault="00000000">
                  <w:pPr>
                    <w:adjustRightInd w:val="0"/>
                    <w:snapToGrid w:val="0"/>
                    <w:jc w:val="center"/>
                    <w:rPr>
                      <w:sz w:val="18"/>
                      <w:szCs w:val="18"/>
                    </w:rPr>
                  </w:pPr>
                  <w:r>
                    <w:rPr>
                      <w:rFonts w:hint="eastAsia"/>
                      <w:sz w:val="18"/>
                      <w:szCs w:val="18"/>
                    </w:rPr>
                    <w:t>0.0147</w:t>
                  </w:r>
                </w:p>
              </w:tc>
              <w:tc>
                <w:tcPr>
                  <w:tcW w:w="922" w:type="pct"/>
                  <w:vAlign w:val="center"/>
                </w:tcPr>
                <w:p w14:paraId="546785DB" w14:textId="77777777" w:rsidR="00F76A63" w:rsidRDefault="00000000">
                  <w:pPr>
                    <w:adjustRightInd w:val="0"/>
                    <w:snapToGrid w:val="0"/>
                    <w:jc w:val="center"/>
                    <w:rPr>
                      <w:sz w:val="18"/>
                      <w:szCs w:val="18"/>
                    </w:rPr>
                  </w:pPr>
                  <w:r>
                    <w:rPr>
                      <w:rFonts w:hint="eastAsia"/>
                      <w:sz w:val="18"/>
                      <w:szCs w:val="18"/>
                    </w:rPr>
                    <w:t>0.0180</w:t>
                  </w:r>
                </w:p>
              </w:tc>
              <w:tc>
                <w:tcPr>
                  <w:tcW w:w="661" w:type="pct"/>
                  <w:vAlign w:val="center"/>
                </w:tcPr>
                <w:p w14:paraId="2287125B" w14:textId="77777777" w:rsidR="00F76A63" w:rsidRDefault="00000000">
                  <w:pPr>
                    <w:adjustRightInd w:val="0"/>
                    <w:snapToGrid w:val="0"/>
                    <w:jc w:val="center"/>
                    <w:rPr>
                      <w:sz w:val="18"/>
                      <w:szCs w:val="18"/>
                    </w:rPr>
                  </w:pPr>
                  <w:r>
                    <w:rPr>
                      <w:sz w:val="18"/>
                      <w:szCs w:val="18"/>
                    </w:rPr>
                    <w:t>0.5</w:t>
                  </w:r>
                </w:p>
              </w:tc>
            </w:tr>
            <w:tr w:rsidR="00F76A63" w14:paraId="155A09A6" w14:textId="77777777">
              <w:trPr>
                <w:trHeight w:val="340"/>
                <w:jc w:val="center"/>
              </w:trPr>
              <w:tc>
                <w:tcPr>
                  <w:tcW w:w="380" w:type="pct"/>
                  <w:vMerge/>
                  <w:vAlign w:val="center"/>
                </w:tcPr>
                <w:p w14:paraId="1ED938ED" w14:textId="77777777" w:rsidR="00F76A63" w:rsidRDefault="00F76A63">
                  <w:pPr>
                    <w:adjustRightInd w:val="0"/>
                    <w:snapToGrid w:val="0"/>
                    <w:jc w:val="center"/>
                    <w:rPr>
                      <w:sz w:val="18"/>
                      <w:szCs w:val="18"/>
                    </w:rPr>
                  </w:pPr>
                </w:p>
              </w:tc>
              <w:tc>
                <w:tcPr>
                  <w:tcW w:w="958" w:type="pct"/>
                  <w:vAlign w:val="center"/>
                </w:tcPr>
                <w:p w14:paraId="0E69A502"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05EBE717" w14:textId="77777777" w:rsidR="00F76A63" w:rsidRDefault="00000000">
                  <w:pPr>
                    <w:adjustRightInd w:val="0"/>
                    <w:snapToGrid w:val="0"/>
                    <w:jc w:val="center"/>
                    <w:rPr>
                      <w:sz w:val="18"/>
                      <w:szCs w:val="18"/>
                    </w:rPr>
                  </w:pPr>
                  <w:r>
                    <w:rPr>
                      <w:rFonts w:hint="eastAsia"/>
                      <w:sz w:val="18"/>
                      <w:szCs w:val="18"/>
                    </w:rPr>
                    <w:t>6.12x10</w:t>
                  </w:r>
                  <w:r>
                    <w:rPr>
                      <w:rFonts w:hint="eastAsia"/>
                      <w:sz w:val="18"/>
                      <w:szCs w:val="18"/>
                      <w:vertAlign w:val="superscript"/>
                    </w:rPr>
                    <w:t>-3</w:t>
                  </w:r>
                </w:p>
              </w:tc>
              <w:tc>
                <w:tcPr>
                  <w:tcW w:w="731" w:type="pct"/>
                  <w:vAlign w:val="center"/>
                </w:tcPr>
                <w:p w14:paraId="460D1B05" w14:textId="77777777" w:rsidR="00F76A63" w:rsidRDefault="00000000">
                  <w:pPr>
                    <w:adjustRightInd w:val="0"/>
                    <w:snapToGrid w:val="0"/>
                    <w:jc w:val="center"/>
                    <w:rPr>
                      <w:sz w:val="18"/>
                      <w:szCs w:val="18"/>
                    </w:rPr>
                  </w:pPr>
                  <w:r>
                    <w:rPr>
                      <w:rFonts w:hint="eastAsia"/>
                      <w:sz w:val="18"/>
                      <w:szCs w:val="18"/>
                    </w:rPr>
                    <w:t>1.17x10</w:t>
                  </w:r>
                  <w:r>
                    <w:rPr>
                      <w:rFonts w:hint="eastAsia"/>
                      <w:sz w:val="18"/>
                      <w:szCs w:val="18"/>
                      <w:vertAlign w:val="superscript"/>
                    </w:rPr>
                    <w:t>-2</w:t>
                  </w:r>
                </w:p>
              </w:tc>
              <w:tc>
                <w:tcPr>
                  <w:tcW w:w="662" w:type="pct"/>
                  <w:vAlign w:val="center"/>
                </w:tcPr>
                <w:p w14:paraId="7FD27B75" w14:textId="77777777" w:rsidR="00F76A63" w:rsidRDefault="00000000">
                  <w:pPr>
                    <w:adjustRightInd w:val="0"/>
                    <w:snapToGrid w:val="0"/>
                    <w:jc w:val="center"/>
                    <w:rPr>
                      <w:sz w:val="18"/>
                      <w:szCs w:val="18"/>
                    </w:rPr>
                  </w:pPr>
                  <w:r>
                    <w:rPr>
                      <w:rFonts w:hint="eastAsia"/>
                      <w:sz w:val="18"/>
                      <w:szCs w:val="18"/>
                    </w:rPr>
                    <w:t>6.70x10</w:t>
                  </w:r>
                  <w:r>
                    <w:rPr>
                      <w:rFonts w:hint="eastAsia"/>
                      <w:sz w:val="18"/>
                      <w:szCs w:val="18"/>
                      <w:vertAlign w:val="superscript"/>
                    </w:rPr>
                    <w:t>-3</w:t>
                  </w:r>
                </w:p>
              </w:tc>
              <w:tc>
                <w:tcPr>
                  <w:tcW w:w="922" w:type="pct"/>
                  <w:vAlign w:val="center"/>
                </w:tcPr>
                <w:p w14:paraId="48D7463E" w14:textId="77777777" w:rsidR="00F76A63" w:rsidRDefault="00000000">
                  <w:pPr>
                    <w:adjustRightInd w:val="0"/>
                    <w:snapToGrid w:val="0"/>
                    <w:jc w:val="center"/>
                    <w:rPr>
                      <w:sz w:val="18"/>
                      <w:szCs w:val="18"/>
                    </w:rPr>
                  </w:pPr>
                  <w:r>
                    <w:rPr>
                      <w:rFonts w:hint="eastAsia"/>
                      <w:sz w:val="18"/>
                      <w:szCs w:val="18"/>
                    </w:rPr>
                    <w:t>8.17x10</w:t>
                  </w:r>
                  <w:r>
                    <w:rPr>
                      <w:rFonts w:hint="eastAsia"/>
                      <w:sz w:val="18"/>
                      <w:szCs w:val="18"/>
                      <w:vertAlign w:val="superscript"/>
                    </w:rPr>
                    <w:t>-3</w:t>
                  </w:r>
                </w:p>
              </w:tc>
              <w:tc>
                <w:tcPr>
                  <w:tcW w:w="661" w:type="pct"/>
                  <w:vAlign w:val="center"/>
                </w:tcPr>
                <w:p w14:paraId="05AE936A" w14:textId="77777777" w:rsidR="00F76A63" w:rsidRDefault="00000000">
                  <w:pPr>
                    <w:adjustRightInd w:val="0"/>
                    <w:snapToGrid w:val="0"/>
                    <w:jc w:val="center"/>
                    <w:rPr>
                      <w:sz w:val="18"/>
                      <w:szCs w:val="18"/>
                    </w:rPr>
                  </w:pPr>
                  <w:r>
                    <w:rPr>
                      <w:sz w:val="18"/>
                      <w:szCs w:val="18"/>
                    </w:rPr>
                    <w:t>-</w:t>
                  </w:r>
                </w:p>
              </w:tc>
            </w:tr>
            <w:tr w:rsidR="00F76A63" w14:paraId="4A8E40DD" w14:textId="77777777">
              <w:trPr>
                <w:trHeight w:val="340"/>
                <w:jc w:val="center"/>
              </w:trPr>
              <w:tc>
                <w:tcPr>
                  <w:tcW w:w="380" w:type="pct"/>
                  <w:vMerge w:val="restart"/>
                  <w:vAlign w:val="center"/>
                </w:tcPr>
                <w:p w14:paraId="3A30EB5D" w14:textId="77777777" w:rsidR="00F76A63" w:rsidRDefault="00000000">
                  <w:pPr>
                    <w:adjustRightInd w:val="0"/>
                    <w:snapToGrid w:val="0"/>
                    <w:jc w:val="center"/>
                    <w:rPr>
                      <w:sz w:val="18"/>
                      <w:szCs w:val="18"/>
                    </w:rPr>
                  </w:pPr>
                  <w:r>
                    <w:rPr>
                      <w:sz w:val="18"/>
                      <w:szCs w:val="18"/>
                    </w:rPr>
                    <w:t>钒</w:t>
                  </w:r>
                </w:p>
              </w:tc>
              <w:tc>
                <w:tcPr>
                  <w:tcW w:w="958" w:type="pct"/>
                  <w:vAlign w:val="center"/>
                </w:tcPr>
                <w:p w14:paraId="01C22242"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0FA8FECB" w14:textId="77777777" w:rsidR="00F76A63" w:rsidRDefault="00000000">
                  <w:pPr>
                    <w:adjustRightInd w:val="0"/>
                    <w:snapToGrid w:val="0"/>
                    <w:jc w:val="center"/>
                    <w:rPr>
                      <w:sz w:val="18"/>
                      <w:szCs w:val="18"/>
                    </w:rPr>
                  </w:pPr>
                  <w:r>
                    <w:rPr>
                      <w:rFonts w:hint="eastAsia"/>
                      <w:sz w:val="18"/>
                      <w:szCs w:val="18"/>
                    </w:rPr>
                    <w:t>5.82x10</w:t>
                  </w:r>
                  <w:r>
                    <w:rPr>
                      <w:rFonts w:hint="eastAsia"/>
                      <w:sz w:val="18"/>
                      <w:szCs w:val="18"/>
                      <w:vertAlign w:val="superscript"/>
                    </w:rPr>
                    <w:t>-4</w:t>
                  </w:r>
                </w:p>
              </w:tc>
              <w:tc>
                <w:tcPr>
                  <w:tcW w:w="731" w:type="pct"/>
                  <w:vAlign w:val="center"/>
                </w:tcPr>
                <w:p w14:paraId="614369CB" w14:textId="77777777" w:rsidR="00F76A63" w:rsidRDefault="00000000">
                  <w:pPr>
                    <w:adjustRightInd w:val="0"/>
                    <w:snapToGrid w:val="0"/>
                    <w:jc w:val="center"/>
                    <w:rPr>
                      <w:sz w:val="18"/>
                      <w:szCs w:val="18"/>
                    </w:rPr>
                  </w:pPr>
                  <w:r>
                    <w:rPr>
                      <w:rFonts w:hint="eastAsia"/>
                      <w:sz w:val="18"/>
                      <w:szCs w:val="18"/>
                    </w:rPr>
                    <w:t>5.90x10</w:t>
                  </w:r>
                  <w:r>
                    <w:rPr>
                      <w:rFonts w:hint="eastAsia"/>
                      <w:sz w:val="18"/>
                      <w:szCs w:val="18"/>
                      <w:vertAlign w:val="superscript"/>
                    </w:rPr>
                    <w:t>-4</w:t>
                  </w:r>
                </w:p>
              </w:tc>
              <w:tc>
                <w:tcPr>
                  <w:tcW w:w="662" w:type="pct"/>
                  <w:vAlign w:val="center"/>
                </w:tcPr>
                <w:p w14:paraId="723E7C7E" w14:textId="77777777" w:rsidR="00F76A63" w:rsidRDefault="00000000">
                  <w:pPr>
                    <w:adjustRightInd w:val="0"/>
                    <w:snapToGrid w:val="0"/>
                    <w:jc w:val="center"/>
                    <w:rPr>
                      <w:sz w:val="18"/>
                      <w:szCs w:val="18"/>
                    </w:rPr>
                  </w:pPr>
                  <w:r>
                    <w:rPr>
                      <w:rFonts w:hint="eastAsia"/>
                      <w:sz w:val="18"/>
                      <w:szCs w:val="18"/>
                    </w:rPr>
                    <w:t>5.32x10</w:t>
                  </w:r>
                  <w:r>
                    <w:rPr>
                      <w:rFonts w:hint="eastAsia"/>
                      <w:sz w:val="18"/>
                      <w:szCs w:val="18"/>
                      <w:vertAlign w:val="superscript"/>
                    </w:rPr>
                    <w:t>-4</w:t>
                  </w:r>
                </w:p>
              </w:tc>
              <w:tc>
                <w:tcPr>
                  <w:tcW w:w="922" w:type="pct"/>
                  <w:vAlign w:val="center"/>
                </w:tcPr>
                <w:p w14:paraId="623ACF41" w14:textId="77777777" w:rsidR="00F76A63" w:rsidRDefault="00000000">
                  <w:pPr>
                    <w:adjustRightInd w:val="0"/>
                    <w:snapToGrid w:val="0"/>
                    <w:jc w:val="center"/>
                    <w:rPr>
                      <w:sz w:val="18"/>
                      <w:szCs w:val="18"/>
                    </w:rPr>
                  </w:pPr>
                  <w:r>
                    <w:rPr>
                      <w:rFonts w:hint="eastAsia"/>
                      <w:sz w:val="18"/>
                      <w:szCs w:val="18"/>
                    </w:rPr>
                    <w:t>5.68x10</w:t>
                  </w:r>
                  <w:r>
                    <w:rPr>
                      <w:rFonts w:hint="eastAsia"/>
                      <w:sz w:val="18"/>
                      <w:szCs w:val="18"/>
                      <w:vertAlign w:val="superscript"/>
                    </w:rPr>
                    <w:t>-4</w:t>
                  </w:r>
                </w:p>
              </w:tc>
              <w:tc>
                <w:tcPr>
                  <w:tcW w:w="661" w:type="pct"/>
                  <w:vAlign w:val="center"/>
                </w:tcPr>
                <w:p w14:paraId="052DD698" w14:textId="77777777" w:rsidR="00F76A63" w:rsidRDefault="00000000">
                  <w:pPr>
                    <w:adjustRightInd w:val="0"/>
                    <w:snapToGrid w:val="0"/>
                    <w:jc w:val="center"/>
                    <w:rPr>
                      <w:sz w:val="18"/>
                      <w:szCs w:val="18"/>
                    </w:rPr>
                  </w:pPr>
                  <w:r>
                    <w:rPr>
                      <w:sz w:val="18"/>
                      <w:szCs w:val="18"/>
                    </w:rPr>
                    <w:t>-</w:t>
                  </w:r>
                </w:p>
              </w:tc>
            </w:tr>
            <w:tr w:rsidR="00F76A63" w14:paraId="74C27454" w14:textId="77777777">
              <w:trPr>
                <w:trHeight w:val="340"/>
                <w:jc w:val="center"/>
              </w:trPr>
              <w:tc>
                <w:tcPr>
                  <w:tcW w:w="380" w:type="pct"/>
                  <w:vMerge/>
                  <w:vAlign w:val="center"/>
                </w:tcPr>
                <w:p w14:paraId="4E5B283D" w14:textId="77777777" w:rsidR="00F76A63" w:rsidRDefault="00F76A63">
                  <w:pPr>
                    <w:adjustRightInd w:val="0"/>
                    <w:snapToGrid w:val="0"/>
                    <w:jc w:val="center"/>
                    <w:rPr>
                      <w:sz w:val="18"/>
                      <w:szCs w:val="18"/>
                    </w:rPr>
                  </w:pPr>
                </w:p>
              </w:tc>
              <w:tc>
                <w:tcPr>
                  <w:tcW w:w="958" w:type="pct"/>
                  <w:vAlign w:val="center"/>
                </w:tcPr>
                <w:p w14:paraId="1A2390B7"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61738D2D" w14:textId="77777777" w:rsidR="00F76A63" w:rsidRDefault="00000000">
                  <w:pPr>
                    <w:adjustRightInd w:val="0"/>
                    <w:snapToGrid w:val="0"/>
                    <w:jc w:val="center"/>
                    <w:rPr>
                      <w:sz w:val="18"/>
                      <w:szCs w:val="18"/>
                    </w:rPr>
                  </w:pPr>
                  <w:r>
                    <w:rPr>
                      <w:rFonts w:hint="eastAsia"/>
                      <w:sz w:val="18"/>
                      <w:szCs w:val="18"/>
                    </w:rPr>
                    <w:t>5.93x10</w:t>
                  </w:r>
                  <w:r>
                    <w:rPr>
                      <w:rFonts w:hint="eastAsia"/>
                      <w:sz w:val="18"/>
                      <w:szCs w:val="18"/>
                      <w:vertAlign w:val="superscript"/>
                    </w:rPr>
                    <w:t>-4</w:t>
                  </w:r>
                </w:p>
              </w:tc>
              <w:tc>
                <w:tcPr>
                  <w:tcW w:w="731" w:type="pct"/>
                  <w:vAlign w:val="center"/>
                </w:tcPr>
                <w:p w14:paraId="28FBE93E" w14:textId="77777777" w:rsidR="00F76A63" w:rsidRDefault="00000000">
                  <w:pPr>
                    <w:adjustRightInd w:val="0"/>
                    <w:snapToGrid w:val="0"/>
                    <w:jc w:val="center"/>
                    <w:rPr>
                      <w:sz w:val="18"/>
                      <w:szCs w:val="18"/>
                    </w:rPr>
                  </w:pPr>
                  <w:r>
                    <w:rPr>
                      <w:rFonts w:hint="eastAsia"/>
                      <w:sz w:val="18"/>
                      <w:szCs w:val="18"/>
                    </w:rPr>
                    <w:t>5.95x10</w:t>
                  </w:r>
                  <w:r>
                    <w:rPr>
                      <w:rFonts w:hint="eastAsia"/>
                      <w:sz w:val="18"/>
                      <w:szCs w:val="18"/>
                      <w:vertAlign w:val="superscript"/>
                    </w:rPr>
                    <w:t>-4</w:t>
                  </w:r>
                </w:p>
              </w:tc>
              <w:tc>
                <w:tcPr>
                  <w:tcW w:w="662" w:type="pct"/>
                  <w:vAlign w:val="center"/>
                </w:tcPr>
                <w:p w14:paraId="632FA698" w14:textId="77777777" w:rsidR="00F76A63" w:rsidRDefault="00000000">
                  <w:pPr>
                    <w:adjustRightInd w:val="0"/>
                    <w:snapToGrid w:val="0"/>
                    <w:jc w:val="center"/>
                    <w:rPr>
                      <w:sz w:val="18"/>
                      <w:szCs w:val="18"/>
                    </w:rPr>
                  </w:pPr>
                  <w:r>
                    <w:rPr>
                      <w:rFonts w:hint="eastAsia"/>
                      <w:sz w:val="18"/>
                      <w:szCs w:val="18"/>
                    </w:rPr>
                    <w:t>5.37x10</w:t>
                  </w:r>
                  <w:r>
                    <w:rPr>
                      <w:rFonts w:hint="eastAsia"/>
                      <w:sz w:val="18"/>
                      <w:szCs w:val="18"/>
                      <w:vertAlign w:val="superscript"/>
                    </w:rPr>
                    <w:t>-4</w:t>
                  </w:r>
                </w:p>
              </w:tc>
              <w:tc>
                <w:tcPr>
                  <w:tcW w:w="922" w:type="pct"/>
                  <w:vAlign w:val="center"/>
                </w:tcPr>
                <w:p w14:paraId="36170277" w14:textId="77777777" w:rsidR="00F76A63" w:rsidRDefault="00000000">
                  <w:pPr>
                    <w:adjustRightInd w:val="0"/>
                    <w:snapToGrid w:val="0"/>
                    <w:jc w:val="center"/>
                    <w:rPr>
                      <w:sz w:val="18"/>
                      <w:szCs w:val="18"/>
                    </w:rPr>
                  </w:pPr>
                  <w:r>
                    <w:rPr>
                      <w:rFonts w:hint="eastAsia"/>
                      <w:sz w:val="18"/>
                      <w:szCs w:val="18"/>
                    </w:rPr>
                    <w:t>5.75x10</w:t>
                  </w:r>
                  <w:r>
                    <w:rPr>
                      <w:rFonts w:hint="eastAsia"/>
                      <w:sz w:val="18"/>
                      <w:szCs w:val="18"/>
                      <w:vertAlign w:val="superscript"/>
                    </w:rPr>
                    <w:t>-4</w:t>
                  </w:r>
                </w:p>
              </w:tc>
              <w:tc>
                <w:tcPr>
                  <w:tcW w:w="661" w:type="pct"/>
                  <w:vAlign w:val="center"/>
                </w:tcPr>
                <w:p w14:paraId="2BC662A1" w14:textId="77777777" w:rsidR="00F76A63" w:rsidRDefault="00000000">
                  <w:pPr>
                    <w:adjustRightInd w:val="0"/>
                    <w:snapToGrid w:val="0"/>
                    <w:jc w:val="center"/>
                    <w:rPr>
                      <w:sz w:val="18"/>
                      <w:szCs w:val="18"/>
                    </w:rPr>
                  </w:pPr>
                  <w:r>
                    <w:rPr>
                      <w:sz w:val="18"/>
                      <w:szCs w:val="18"/>
                    </w:rPr>
                    <w:t>0.5</w:t>
                  </w:r>
                </w:p>
              </w:tc>
            </w:tr>
            <w:tr w:rsidR="00F76A63" w14:paraId="1EE661BD" w14:textId="77777777">
              <w:trPr>
                <w:trHeight w:val="340"/>
                <w:jc w:val="center"/>
              </w:trPr>
              <w:tc>
                <w:tcPr>
                  <w:tcW w:w="380" w:type="pct"/>
                  <w:vMerge/>
                  <w:vAlign w:val="center"/>
                </w:tcPr>
                <w:p w14:paraId="62F5C368" w14:textId="77777777" w:rsidR="00F76A63" w:rsidRDefault="00F76A63">
                  <w:pPr>
                    <w:adjustRightInd w:val="0"/>
                    <w:snapToGrid w:val="0"/>
                    <w:jc w:val="center"/>
                    <w:rPr>
                      <w:sz w:val="18"/>
                      <w:szCs w:val="18"/>
                    </w:rPr>
                  </w:pPr>
                </w:p>
              </w:tc>
              <w:tc>
                <w:tcPr>
                  <w:tcW w:w="958" w:type="pct"/>
                  <w:vAlign w:val="center"/>
                </w:tcPr>
                <w:p w14:paraId="09566798"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52D0DA88" w14:textId="77777777" w:rsidR="00F76A63" w:rsidRDefault="00000000">
                  <w:pPr>
                    <w:adjustRightInd w:val="0"/>
                    <w:snapToGrid w:val="0"/>
                    <w:jc w:val="center"/>
                    <w:rPr>
                      <w:sz w:val="18"/>
                      <w:szCs w:val="18"/>
                    </w:rPr>
                  </w:pPr>
                  <w:r>
                    <w:rPr>
                      <w:rFonts w:hint="eastAsia"/>
                      <w:sz w:val="18"/>
                      <w:szCs w:val="18"/>
                    </w:rPr>
                    <w:t>2.76x10</w:t>
                  </w:r>
                  <w:r>
                    <w:rPr>
                      <w:rFonts w:hint="eastAsia"/>
                      <w:sz w:val="18"/>
                      <w:szCs w:val="18"/>
                      <w:vertAlign w:val="superscript"/>
                    </w:rPr>
                    <w:t>-4</w:t>
                  </w:r>
                </w:p>
              </w:tc>
              <w:tc>
                <w:tcPr>
                  <w:tcW w:w="731" w:type="pct"/>
                  <w:vAlign w:val="center"/>
                </w:tcPr>
                <w:p w14:paraId="315C629B" w14:textId="77777777" w:rsidR="00F76A63" w:rsidRDefault="00000000">
                  <w:pPr>
                    <w:adjustRightInd w:val="0"/>
                    <w:snapToGrid w:val="0"/>
                    <w:jc w:val="center"/>
                    <w:rPr>
                      <w:sz w:val="18"/>
                      <w:szCs w:val="18"/>
                    </w:rPr>
                  </w:pPr>
                  <w:r>
                    <w:rPr>
                      <w:rFonts w:hint="eastAsia"/>
                      <w:sz w:val="18"/>
                      <w:szCs w:val="18"/>
                    </w:rPr>
                    <w:t>2.64</w:t>
                  </w:r>
                  <w:r>
                    <w:rPr>
                      <w:rFonts w:hint="eastAsia"/>
                      <w:sz w:val="18"/>
                      <w:szCs w:val="18"/>
                    </w:rPr>
                    <w:t>×</w:t>
                  </w:r>
                  <w:r>
                    <w:rPr>
                      <w:rFonts w:hint="eastAsia"/>
                      <w:sz w:val="18"/>
                      <w:szCs w:val="18"/>
                    </w:rPr>
                    <w:t>10</w:t>
                  </w:r>
                  <w:r>
                    <w:rPr>
                      <w:rFonts w:hint="eastAsia"/>
                      <w:sz w:val="18"/>
                      <w:szCs w:val="18"/>
                      <w:vertAlign w:val="superscript"/>
                    </w:rPr>
                    <w:t>-4</w:t>
                  </w:r>
                </w:p>
              </w:tc>
              <w:tc>
                <w:tcPr>
                  <w:tcW w:w="662" w:type="pct"/>
                  <w:vAlign w:val="center"/>
                </w:tcPr>
                <w:p w14:paraId="403FADEC" w14:textId="77777777" w:rsidR="00F76A63" w:rsidRDefault="00000000">
                  <w:pPr>
                    <w:adjustRightInd w:val="0"/>
                    <w:snapToGrid w:val="0"/>
                    <w:jc w:val="center"/>
                    <w:rPr>
                      <w:sz w:val="18"/>
                      <w:szCs w:val="18"/>
                    </w:rPr>
                  </w:pPr>
                  <w:r>
                    <w:rPr>
                      <w:rFonts w:hint="eastAsia"/>
                      <w:sz w:val="18"/>
                      <w:szCs w:val="18"/>
                    </w:rPr>
                    <w:t>2.44x10</w:t>
                  </w:r>
                  <w:r>
                    <w:rPr>
                      <w:rFonts w:hint="eastAsia"/>
                      <w:sz w:val="18"/>
                      <w:szCs w:val="18"/>
                      <w:vertAlign w:val="superscript"/>
                    </w:rPr>
                    <w:t>-4</w:t>
                  </w:r>
                </w:p>
              </w:tc>
              <w:tc>
                <w:tcPr>
                  <w:tcW w:w="922" w:type="pct"/>
                  <w:vAlign w:val="center"/>
                </w:tcPr>
                <w:p w14:paraId="660019DD" w14:textId="77777777" w:rsidR="00F76A63" w:rsidRDefault="00000000">
                  <w:pPr>
                    <w:adjustRightInd w:val="0"/>
                    <w:snapToGrid w:val="0"/>
                    <w:jc w:val="center"/>
                    <w:rPr>
                      <w:sz w:val="18"/>
                      <w:szCs w:val="18"/>
                    </w:rPr>
                  </w:pPr>
                  <w:r>
                    <w:rPr>
                      <w:rFonts w:hint="eastAsia"/>
                      <w:sz w:val="18"/>
                      <w:szCs w:val="18"/>
                    </w:rPr>
                    <w:t>2.61x10</w:t>
                  </w:r>
                  <w:r>
                    <w:rPr>
                      <w:rFonts w:hint="eastAsia"/>
                      <w:sz w:val="18"/>
                      <w:szCs w:val="18"/>
                      <w:vertAlign w:val="superscript"/>
                    </w:rPr>
                    <w:t>-4</w:t>
                  </w:r>
                </w:p>
              </w:tc>
              <w:tc>
                <w:tcPr>
                  <w:tcW w:w="661" w:type="pct"/>
                  <w:vAlign w:val="center"/>
                </w:tcPr>
                <w:p w14:paraId="2CED190A" w14:textId="77777777" w:rsidR="00F76A63" w:rsidRDefault="00000000">
                  <w:pPr>
                    <w:adjustRightInd w:val="0"/>
                    <w:snapToGrid w:val="0"/>
                    <w:jc w:val="center"/>
                    <w:rPr>
                      <w:sz w:val="18"/>
                      <w:szCs w:val="18"/>
                    </w:rPr>
                  </w:pPr>
                  <w:r>
                    <w:rPr>
                      <w:sz w:val="18"/>
                      <w:szCs w:val="18"/>
                    </w:rPr>
                    <w:t>-</w:t>
                  </w:r>
                </w:p>
              </w:tc>
            </w:tr>
            <w:tr w:rsidR="00F76A63" w14:paraId="2D32A751" w14:textId="77777777">
              <w:trPr>
                <w:trHeight w:val="340"/>
                <w:jc w:val="center"/>
              </w:trPr>
              <w:tc>
                <w:tcPr>
                  <w:tcW w:w="380" w:type="pct"/>
                  <w:vMerge w:val="restart"/>
                  <w:vAlign w:val="center"/>
                </w:tcPr>
                <w:p w14:paraId="07403F9E" w14:textId="77777777" w:rsidR="00F76A63" w:rsidRDefault="00000000">
                  <w:pPr>
                    <w:adjustRightInd w:val="0"/>
                    <w:snapToGrid w:val="0"/>
                    <w:jc w:val="center"/>
                    <w:rPr>
                      <w:sz w:val="18"/>
                      <w:szCs w:val="18"/>
                    </w:rPr>
                  </w:pPr>
                  <w:r>
                    <w:rPr>
                      <w:sz w:val="18"/>
                      <w:szCs w:val="18"/>
                    </w:rPr>
                    <w:t>氟化氢</w:t>
                  </w:r>
                </w:p>
              </w:tc>
              <w:tc>
                <w:tcPr>
                  <w:tcW w:w="958" w:type="pct"/>
                  <w:vAlign w:val="center"/>
                </w:tcPr>
                <w:p w14:paraId="46D54D77"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0009A97F"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0DB829C2"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D26A8EE"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7F2B9575"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46119FF7" w14:textId="77777777" w:rsidR="00F76A63" w:rsidRDefault="00000000">
                  <w:pPr>
                    <w:adjustRightInd w:val="0"/>
                    <w:snapToGrid w:val="0"/>
                    <w:jc w:val="center"/>
                    <w:rPr>
                      <w:sz w:val="18"/>
                      <w:szCs w:val="18"/>
                    </w:rPr>
                  </w:pPr>
                  <w:r>
                    <w:rPr>
                      <w:sz w:val="18"/>
                      <w:szCs w:val="18"/>
                    </w:rPr>
                    <w:t>-</w:t>
                  </w:r>
                </w:p>
              </w:tc>
            </w:tr>
            <w:tr w:rsidR="00F76A63" w14:paraId="23C7BA0D" w14:textId="77777777">
              <w:trPr>
                <w:trHeight w:val="340"/>
                <w:jc w:val="center"/>
              </w:trPr>
              <w:tc>
                <w:tcPr>
                  <w:tcW w:w="380" w:type="pct"/>
                  <w:vMerge/>
                  <w:vAlign w:val="center"/>
                </w:tcPr>
                <w:p w14:paraId="0B498713" w14:textId="77777777" w:rsidR="00F76A63" w:rsidRDefault="00F76A63">
                  <w:pPr>
                    <w:adjustRightInd w:val="0"/>
                    <w:snapToGrid w:val="0"/>
                    <w:jc w:val="center"/>
                    <w:rPr>
                      <w:sz w:val="18"/>
                      <w:szCs w:val="18"/>
                    </w:rPr>
                  </w:pPr>
                </w:p>
              </w:tc>
              <w:tc>
                <w:tcPr>
                  <w:tcW w:w="958" w:type="pct"/>
                  <w:vAlign w:val="center"/>
                </w:tcPr>
                <w:p w14:paraId="1ECFA3AB"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1EC6A0B4"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450FDB1A"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0C5559C0"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4160E468"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3D273276" w14:textId="77777777" w:rsidR="00F76A63" w:rsidRDefault="00000000">
                  <w:pPr>
                    <w:adjustRightInd w:val="0"/>
                    <w:snapToGrid w:val="0"/>
                    <w:jc w:val="center"/>
                    <w:rPr>
                      <w:sz w:val="18"/>
                      <w:szCs w:val="18"/>
                    </w:rPr>
                  </w:pPr>
                  <w:r>
                    <w:rPr>
                      <w:sz w:val="18"/>
                      <w:szCs w:val="18"/>
                    </w:rPr>
                    <w:t>1</w:t>
                  </w:r>
                </w:p>
              </w:tc>
            </w:tr>
            <w:tr w:rsidR="00F76A63" w14:paraId="5A29872E" w14:textId="77777777">
              <w:trPr>
                <w:trHeight w:val="340"/>
                <w:jc w:val="center"/>
              </w:trPr>
              <w:tc>
                <w:tcPr>
                  <w:tcW w:w="380" w:type="pct"/>
                  <w:vMerge/>
                  <w:vAlign w:val="center"/>
                </w:tcPr>
                <w:p w14:paraId="40394EC1" w14:textId="77777777" w:rsidR="00F76A63" w:rsidRDefault="00F76A63">
                  <w:pPr>
                    <w:adjustRightInd w:val="0"/>
                    <w:snapToGrid w:val="0"/>
                    <w:jc w:val="center"/>
                    <w:rPr>
                      <w:sz w:val="18"/>
                      <w:szCs w:val="18"/>
                    </w:rPr>
                  </w:pPr>
                </w:p>
              </w:tc>
              <w:tc>
                <w:tcPr>
                  <w:tcW w:w="958" w:type="pct"/>
                  <w:vAlign w:val="center"/>
                </w:tcPr>
                <w:p w14:paraId="718F0745"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1716D502"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61F679C7"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47AAAF25"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7A0DEED6"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03908421" w14:textId="77777777" w:rsidR="00F76A63" w:rsidRDefault="00000000">
                  <w:pPr>
                    <w:adjustRightInd w:val="0"/>
                    <w:snapToGrid w:val="0"/>
                    <w:jc w:val="center"/>
                    <w:rPr>
                      <w:sz w:val="18"/>
                      <w:szCs w:val="18"/>
                    </w:rPr>
                  </w:pPr>
                  <w:r>
                    <w:rPr>
                      <w:sz w:val="18"/>
                      <w:szCs w:val="18"/>
                    </w:rPr>
                    <w:t>-</w:t>
                  </w:r>
                </w:p>
              </w:tc>
            </w:tr>
            <w:tr w:rsidR="00F76A63" w14:paraId="4684A998" w14:textId="77777777">
              <w:trPr>
                <w:trHeight w:val="340"/>
                <w:jc w:val="center"/>
              </w:trPr>
              <w:tc>
                <w:tcPr>
                  <w:tcW w:w="380" w:type="pct"/>
                  <w:vMerge w:val="restart"/>
                  <w:vAlign w:val="center"/>
                </w:tcPr>
                <w:p w14:paraId="0633DB76" w14:textId="77777777" w:rsidR="00F76A63" w:rsidRDefault="00000000">
                  <w:pPr>
                    <w:adjustRightInd w:val="0"/>
                    <w:snapToGrid w:val="0"/>
                    <w:jc w:val="center"/>
                    <w:rPr>
                      <w:sz w:val="18"/>
                      <w:szCs w:val="18"/>
                    </w:rPr>
                  </w:pPr>
                  <w:r>
                    <w:rPr>
                      <w:sz w:val="18"/>
                      <w:szCs w:val="18"/>
                    </w:rPr>
                    <w:t>氯化氢</w:t>
                  </w:r>
                </w:p>
              </w:tc>
              <w:tc>
                <w:tcPr>
                  <w:tcW w:w="958" w:type="pct"/>
                  <w:vAlign w:val="center"/>
                </w:tcPr>
                <w:p w14:paraId="0E76F8FD"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053AC174"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3A1C33D1"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6FCA700"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59F8F2F"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5544ABEE" w14:textId="77777777" w:rsidR="00F76A63" w:rsidRDefault="00000000">
                  <w:pPr>
                    <w:adjustRightInd w:val="0"/>
                    <w:snapToGrid w:val="0"/>
                    <w:jc w:val="center"/>
                    <w:rPr>
                      <w:sz w:val="18"/>
                      <w:szCs w:val="18"/>
                    </w:rPr>
                  </w:pPr>
                  <w:r>
                    <w:rPr>
                      <w:sz w:val="18"/>
                      <w:szCs w:val="18"/>
                    </w:rPr>
                    <w:t>-</w:t>
                  </w:r>
                </w:p>
              </w:tc>
            </w:tr>
            <w:tr w:rsidR="00F76A63" w14:paraId="487ED6DE" w14:textId="77777777">
              <w:trPr>
                <w:trHeight w:val="340"/>
                <w:jc w:val="center"/>
              </w:trPr>
              <w:tc>
                <w:tcPr>
                  <w:tcW w:w="380" w:type="pct"/>
                  <w:vMerge/>
                  <w:vAlign w:val="center"/>
                </w:tcPr>
                <w:p w14:paraId="6A6B07C7" w14:textId="77777777" w:rsidR="00F76A63" w:rsidRDefault="00F76A63">
                  <w:pPr>
                    <w:adjustRightInd w:val="0"/>
                    <w:snapToGrid w:val="0"/>
                    <w:jc w:val="center"/>
                    <w:rPr>
                      <w:sz w:val="18"/>
                      <w:szCs w:val="18"/>
                    </w:rPr>
                  </w:pPr>
                </w:p>
              </w:tc>
              <w:tc>
                <w:tcPr>
                  <w:tcW w:w="958" w:type="pct"/>
                  <w:vAlign w:val="center"/>
                </w:tcPr>
                <w:p w14:paraId="27165C26"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1FD9E524"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05384690"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5AF7A36E"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694597BD"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2DDB1344" w14:textId="77777777" w:rsidR="00F76A63" w:rsidRDefault="00000000">
                  <w:pPr>
                    <w:adjustRightInd w:val="0"/>
                    <w:snapToGrid w:val="0"/>
                    <w:jc w:val="center"/>
                    <w:rPr>
                      <w:sz w:val="18"/>
                      <w:szCs w:val="18"/>
                    </w:rPr>
                  </w:pPr>
                  <w:r>
                    <w:rPr>
                      <w:sz w:val="18"/>
                      <w:szCs w:val="18"/>
                    </w:rPr>
                    <w:t>10</w:t>
                  </w:r>
                </w:p>
              </w:tc>
            </w:tr>
            <w:tr w:rsidR="00F76A63" w14:paraId="122374D6" w14:textId="77777777">
              <w:trPr>
                <w:trHeight w:val="340"/>
                <w:jc w:val="center"/>
              </w:trPr>
              <w:tc>
                <w:tcPr>
                  <w:tcW w:w="380" w:type="pct"/>
                  <w:vMerge/>
                  <w:vAlign w:val="center"/>
                </w:tcPr>
                <w:p w14:paraId="4505E135" w14:textId="77777777" w:rsidR="00F76A63" w:rsidRDefault="00F76A63">
                  <w:pPr>
                    <w:adjustRightInd w:val="0"/>
                    <w:snapToGrid w:val="0"/>
                    <w:jc w:val="center"/>
                    <w:rPr>
                      <w:sz w:val="18"/>
                      <w:szCs w:val="18"/>
                    </w:rPr>
                  </w:pPr>
                </w:p>
              </w:tc>
              <w:tc>
                <w:tcPr>
                  <w:tcW w:w="958" w:type="pct"/>
                  <w:vAlign w:val="center"/>
                </w:tcPr>
                <w:p w14:paraId="0D9D90F0"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70CE0321"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2A5AEED1"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7D889C11"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7CD837B3"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0DDDD43A" w14:textId="77777777" w:rsidR="00F76A63" w:rsidRDefault="00000000">
                  <w:pPr>
                    <w:adjustRightInd w:val="0"/>
                    <w:snapToGrid w:val="0"/>
                    <w:jc w:val="center"/>
                    <w:rPr>
                      <w:sz w:val="18"/>
                      <w:szCs w:val="18"/>
                    </w:rPr>
                  </w:pPr>
                  <w:r>
                    <w:rPr>
                      <w:sz w:val="18"/>
                      <w:szCs w:val="18"/>
                    </w:rPr>
                    <w:t>-</w:t>
                  </w:r>
                </w:p>
              </w:tc>
            </w:tr>
            <w:tr w:rsidR="00F76A63" w14:paraId="671B1E4B" w14:textId="77777777">
              <w:trPr>
                <w:trHeight w:val="340"/>
                <w:jc w:val="center"/>
              </w:trPr>
              <w:tc>
                <w:tcPr>
                  <w:tcW w:w="380" w:type="pct"/>
                  <w:vMerge w:val="restart"/>
                  <w:vAlign w:val="center"/>
                </w:tcPr>
                <w:p w14:paraId="7545FF52" w14:textId="77777777" w:rsidR="00F76A63" w:rsidRDefault="00000000">
                  <w:pPr>
                    <w:adjustRightInd w:val="0"/>
                    <w:snapToGrid w:val="0"/>
                    <w:jc w:val="center"/>
                    <w:rPr>
                      <w:sz w:val="18"/>
                      <w:szCs w:val="18"/>
                    </w:rPr>
                  </w:pPr>
                  <w:r>
                    <w:rPr>
                      <w:sz w:val="18"/>
                      <w:szCs w:val="18"/>
                    </w:rPr>
                    <w:t>铊</w:t>
                  </w:r>
                </w:p>
              </w:tc>
              <w:tc>
                <w:tcPr>
                  <w:tcW w:w="958" w:type="pct"/>
                  <w:vAlign w:val="center"/>
                </w:tcPr>
                <w:p w14:paraId="1960D4DE"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32D307AA"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64D9D561"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13DBD52A"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738D6773"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12C693A7" w14:textId="77777777" w:rsidR="00F76A63" w:rsidRDefault="00000000">
                  <w:pPr>
                    <w:adjustRightInd w:val="0"/>
                    <w:snapToGrid w:val="0"/>
                    <w:jc w:val="center"/>
                    <w:rPr>
                      <w:sz w:val="18"/>
                      <w:szCs w:val="18"/>
                    </w:rPr>
                  </w:pPr>
                  <w:r>
                    <w:rPr>
                      <w:sz w:val="18"/>
                      <w:szCs w:val="18"/>
                    </w:rPr>
                    <w:t>-</w:t>
                  </w:r>
                </w:p>
              </w:tc>
            </w:tr>
            <w:tr w:rsidR="00F76A63" w14:paraId="0D279840" w14:textId="77777777">
              <w:trPr>
                <w:trHeight w:val="340"/>
                <w:jc w:val="center"/>
              </w:trPr>
              <w:tc>
                <w:tcPr>
                  <w:tcW w:w="380" w:type="pct"/>
                  <w:vMerge/>
                  <w:vAlign w:val="center"/>
                </w:tcPr>
                <w:p w14:paraId="16661F08" w14:textId="77777777" w:rsidR="00F76A63" w:rsidRDefault="00F76A63">
                  <w:pPr>
                    <w:adjustRightInd w:val="0"/>
                    <w:snapToGrid w:val="0"/>
                    <w:jc w:val="center"/>
                    <w:rPr>
                      <w:sz w:val="18"/>
                      <w:szCs w:val="18"/>
                    </w:rPr>
                  </w:pPr>
                </w:p>
              </w:tc>
              <w:tc>
                <w:tcPr>
                  <w:tcW w:w="958" w:type="pct"/>
                  <w:vAlign w:val="center"/>
                </w:tcPr>
                <w:p w14:paraId="66C12C14"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1BC4E19F"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6B1048E1"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AC8E1D0"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378BCEFE"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0990A571" w14:textId="77777777" w:rsidR="00F76A63" w:rsidRDefault="00000000">
                  <w:pPr>
                    <w:adjustRightInd w:val="0"/>
                    <w:snapToGrid w:val="0"/>
                    <w:jc w:val="center"/>
                    <w:rPr>
                      <w:sz w:val="18"/>
                      <w:szCs w:val="18"/>
                    </w:rPr>
                  </w:pPr>
                  <w:r>
                    <w:rPr>
                      <w:sz w:val="18"/>
                      <w:szCs w:val="18"/>
                    </w:rPr>
                    <w:t>1.0</w:t>
                  </w:r>
                </w:p>
              </w:tc>
            </w:tr>
            <w:tr w:rsidR="00F76A63" w14:paraId="3A340197" w14:textId="77777777">
              <w:trPr>
                <w:trHeight w:val="340"/>
                <w:jc w:val="center"/>
              </w:trPr>
              <w:tc>
                <w:tcPr>
                  <w:tcW w:w="380" w:type="pct"/>
                  <w:vMerge/>
                  <w:vAlign w:val="center"/>
                </w:tcPr>
                <w:p w14:paraId="43088B91" w14:textId="77777777" w:rsidR="00F76A63" w:rsidRDefault="00F76A63">
                  <w:pPr>
                    <w:adjustRightInd w:val="0"/>
                    <w:snapToGrid w:val="0"/>
                    <w:jc w:val="center"/>
                    <w:rPr>
                      <w:sz w:val="18"/>
                      <w:szCs w:val="18"/>
                    </w:rPr>
                  </w:pPr>
                </w:p>
              </w:tc>
              <w:tc>
                <w:tcPr>
                  <w:tcW w:w="958" w:type="pct"/>
                  <w:vAlign w:val="center"/>
                </w:tcPr>
                <w:p w14:paraId="39DF1BFB"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3F415203"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47F41129"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79432416"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1FCC6A2A"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00117EA4" w14:textId="77777777" w:rsidR="00F76A63" w:rsidRDefault="00000000">
                  <w:pPr>
                    <w:adjustRightInd w:val="0"/>
                    <w:snapToGrid w:val="0"/>
                    <w:jc w:val="center"/>
                    <w:rPr>
                      <w:sz w:val="18"/>
                      <w:szCs w:val="18"/>
                    </w:rPr>
                  </w:pPr>
                  <w:r>
                    <w:rPr>
                      <w:sz w:val="18"/>
                      <w:szCs w:val="18"/>
                    </w:rPr>
                    <w:t>-</w:t>
                  </w:r>
                </w:p>
              </w:tc>
            </w:tr>
            <w:tr w:rsidR="00F76A63" w14:paraId="1FF6FEFA" w14:textId="77777777">
              <w:trPr>
                <w:trHeight w:val="340"/>
                <w:jc w:val="center"/>
              </w:trPr>
              <w:tc>
                <w:tcPr>
                  <w:tcW w:w="380" w:type="pct"/>
                  <w:vMerge w:val="restart"/>
                  <w:vAlign w:val="center"/>
                </w:tcPr>
                <w:p w14:paraId="782DD78B" w14:textId="77777777" w:rsidR="00F76A63" w:rsidRDefault="00000000">
                  <w:pPr>
                    <w:adjustRightInd w:val="0"/>
                    <w:snapToGrid w:val="0"/>
                    <w:jc w:val="center"/>
                    <w:rPr>
                      <w:sz w:val="18"/>
                      <w:szCs w:val="18"/>
                    </w:rPr>
                  </w:pPr>
                  <w:r>
                    <w:rPr>
                      <w:sz w:val="18"/>
                      <w:szCs w:val="18"/>
                    </w:rPr>
                    <w:t>锑</w:t>
                  </w:r>
                </w:p>
              </w:tc>
              <w:tc>
                <w:tcPr>
                  <w:tcW w:w="958" w:type="pct"/>
                  <w:vAlign w:val="center"/>
                </w:tcPr>
                <w:p w14:paraId="11B2E73C"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175DA677"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7EC7E982"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56562EF7"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4354949E"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1ED657E7" w14:textId="77777777" w:rsidR="00F76A63" w:rsidRDefault="00000000">
                  <w:pPr>
                    <w:adjustRightInd w:val="0"/>
                    <w:snapToGrid w:val="0"/>
                    <w:jc w:val="center"/>
                    <w:rPr>
                      <w:sz w:val="18"/>
                      <w:szCs w:val="18"/>
                    </w:rPr>
                  </w:pPr>
                  <w:r>
                    <w:rPr>
                      <w:sz w:val="18"/>
                      <w:szCs w:val="18"/>
                    </w:rPr>
                    <w:t>-</w:t>
                  </w:r>
                </w:p>
              </w:tc>
            </w:tr>
            <w:tr w:rsidR="00F76A63" w14:paraId="63E645CE" w14:textId="77777777">
              <w:trPr>
                <w:trHeight w:val="340"/>
                <w:jc w:val="center"/>
              </w:trPr>
              <w:tc>
                <w:tcPr>
                  <w:tcW w:w="380" w:type="pct"/>
                  <w:vMerge/>
                  <w:vAlign w:val="center"/>
                </w:tcPr>
                <w:p w14:paraId="61A0904A" w14:textId="77777777" w:rsidR="00F76A63" w:rsidRDefault="00F76A63">
                  <w:pPr>
                    <w:adjustRightInd w:val="0"/>
                    <w:snapToGrid w:val="0"/>
                    <w:jc w:val="center"/>
                    <w:rPr>
                      <w:sz w:val="18"/>
                      <w:szCs w:val="18"/>
                    </w:rPr>
                  </w:pPr>
                </w:p>
              </w:tc>
              <w:tc>
                <w:tcPr>
                  <w:tcW w:w="958" w:type="pct"/>
                  <w:vAlign w:val="center"/>
                </w:tcPr>
                <w:p w14:paraId="67CC4E0F"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23DB73DC"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34F893AB"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3F45CB4E"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73955469"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42D4419F" w14:textId="77777777" w:rsidR="00F76A63" w:rsidRDefault="00000000">
                  <w:pPr>
                    <w:adjustRightInd w:val="0"/>
                    <w:snapToGrid w:val="0"/>
                    <w:jc w:val="center"/>
                    <w:rPr>
                      <w:sz w:val="18"/>
                      <w:szCs w:val="18"/>
                    </w:rPr>
                  </w:pPr>
                  <w:r>
                    <w:rPr>
                      <w:sz w:val="18"/>
                      <w:szCs w:val="18"/>
                    </w:rPr>
                    <w:t>0.5</w:t>
                  </w:r>
                </w:p>
              </w:tc>
            </w:tr>
            <w:tr w:rsidR="00F76A63" w14:paraId="0F222C38" w14:textId="77777777">
              <w:trPr>
                <w:trHeight w:val="340"/>
                <w:jc w:val="center"/>
              </w:trPr>
              <w:tc>
                <w:tcPr>
                  <w:tcW w:w="380" w:type="pct"/>
                  <w:vMerge/>
                  <w:vAlign w:val="center"/>
                </w:tcPr>
                <w:p w14:paraId="1410CFE6" w14:textId="77777777" w:rsidR="00F76A63" w:rsidRDefault="00F76A63">
                  <w:pPr>
                    <w:adjustRightInd w:val="0"/>
                    <w:snapToGrid w:val="0"/>
                    <w:jc w:val="center"/>
                    <w:rPr>
                      <w:sz w:val="18"/>
                      <w:szCs w:val="18"/>
                    </w:rPr>
                  </w:pPr>
                </w:p>
              </w:tc>
              <w:tc>
                <w:tcPr>
                  <w:tcW w:w="958" w:type="pct"/>
                  <w:vAlign w:val="center"/>
                </w:tcPr>
                <w:p w14:paraId="640458C9"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15CEF3A2"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3F6554CF"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2D736390"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3EBF6766"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4FEE96F6" w14:textId="77777777" w:rsidR="00F76A63" w:rsidRDefault="00000000">
                  <w:pPr>
                    <w:adjustRightInd w:val="0"/>
                    <w:snapToGrid w:val="0"/>
                    <w:jc w:val="center"/>
                    <w:rPr>
                      <w:sz w:val="18"/>
                      <w:szCs w:val="18"/>
                    </w:rPr>
                  </w:pPr>
                  <w:r>
                    <w:rPr>
                      <w:sz w:val="18"/>
                      <w:szCs w:val="18"/>
                    </w:rPr>
                    <w:t>-</w:t>
                  </w:r>
                </w:p>
              </w:tc>
            </w:tr>
            <w:tr w:rsidR="00F76A63" w14:paraId="4E543B04" w14:textId="77777777">
              <w:trPr>
                <w:trHeight w:val="340"/>
                <w:jc w:val="center"/>
              </w:trPr>
              <w:tc>
                <w:tcPr>
                  <w:tcW w:w="380" w:type="pct"/>
                  <w:vMerge w:val="restart"/>
                  <w:vAlign w:val="center"/>
                </w:tcPr>
                <w:p w14:paraId="2D071372" w14:textId="77777777" w:rsidR="00F76A63" w:rsidRDefault="00000000">
                  <w:pPr>
                    <w:adjustRightInd w:val="0"/>
                    <w:snapToGrid w:val="0"/>
                    <w:jc w:val="center"/>
                    <w:rPr>
                      <w:sz w:val="18"/>
                      <w:szCs w:val="18"/>
                    </w:rPr>
                  </w:pPr>
                  <w:r>
                    <w:rPr>
                      <w:sz w:val="18"/>
                      <w:szCs w:val="18"/>
                    </w:rPr>
                    <w:t>汞</w:t>
                  </w:r>
                </w:p>
              </w:tc>
              <w:tc>
                <w:tcPr>
                  <w:tcW w:w="958" w:type="pct"/>
                  <w:vAlign w:val="center"/>
                </w:tcPr>
                <w:p w14:paraId="0381D19D"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2653154E"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5C651DB0"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2E30C64D"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203437E4"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0E50D6FC" w14:textId="77777777" w:rsidR="00F76A63" w:rsidRDefault="00000000">
                  <w:pPr>
                    <w:adjustRightInd w:val="0"/>
                    <w:snapToGrid w:val="0"/>
                    <w:jc w:val="center"/>
                    <w:rPr>
                      <w:sz w:val="18"/>
                      <w:szCs w:val="18"/>
                    </w:rPr>
                  </w:pPr>
                  <w:r>
                    <w:rPr>
                      <w:sz w:val="18"/>
                      <w:szCs w:val="18"/>
                    </w:rPr>
                    <w:t>-</w:t>
                  </w:r>
                </w:p>
              </w:tc>
            </w:tr>
            <w:tr w:rsidR="00F76A63" w14:paraId="03DAFD07" w14:textId="77777777">
              <w:trPr>
                <w:trHeight w:val="340"/>
                <w:jc w:val="center"/>
              </w:trPr>
              <w:tc>
                <w:tcPr>
                  <w:tcW w:w="380" w:type="pct"/>
                  <w:vMerge/>
                  <w:vAlign w:val="center"/>
                </w:tcPr>
                <w:p w14:paraId="1068EE82" w14:textId="77777777" w:rsidR="00F76A63" w:rsidRDefault="00F76A63">
                  <w:pPr>
                    <w:adjustRightInd w:val="0"/>
                    <w:snapToGrid w:val="0"/>
                    <w:jc w:val="center"/>
                    <w:rPr>
                      <w:sz w:val="18"/>
                      <w:szCs w:val="18"/>
                    </w:rPr>
                  </w:pPr>
                </w:p>
              </w:tc>
              <w:tc>
                <w:tcPr>
                  <w:tcW w:w="958" w:type="pct"/>
                  <w:vAlign w:val="center"/>
                </w:tcPr>
                <w:p w14:paraId="2492B3D7"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2B0A04F1"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3A6C501E"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84A5C13"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7BB2231"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311B6ABF" w14:textId="77777777" w:rsidR="00F76A63" w:rsidRDefault="00000000">
                  <w:pPr>
                    <w:adjustRightInd w:val="0"/>
                    <w:snapToGrid w:val="0"/>
                    <w:jc w:val="center"/>
                    <w:rPr>
                      <w:sz w:val="18"/>
                      <w:szCs w:val="18"/>
                    </w:rPr>
                  </w:pPr>
                  <w:r>
                    <w:rPr>
                      <w:sz w:val="18"/>
                      <w:szCs w:val="18"/>
                    </w:rPr>
                    <w:t>0.03</w:t>
                  </w:r>
                </w:p>
              </w:tc>
            </w:tr>
            <w:tr w:rsidR="00F76A63" w14:paraId="1AAB30A2" w14:textId="77777777">
              <w:trPr>
                <w:trHeight w:val="340"/>
                <w:jc w:val="center"/>
              </w:trPr>
              <w:tc>
                <w:tcPr>
                  <w:tcW w:w="380" w:type="pct"/>
                  <w:vMerge/>
                  <w:vAlign w:val="center"/>
                </w:tcPr>
                <w:p w14:paraId="0329AEA4" w14:textId="77777777" w:rsidR="00F76A63" w:rsidRDefault="00F76A63">
                  <w:pPr>
                    <w:adjustRightInd w:val="0"/>
                    <w:snapToGrid w:val="0"/>
                    <w:jc w:val="center"/>
                    <w:rPr>
                      <w:sz w:val="18"/>
                      <w:szCs w:val="18"/>
                    </w:rPr>
                  </w:pPr>
                </w:p>
              </w:tc>
              <w:tc>
                <w:tcPr>
                  <w:tcW w:w="958" w:type="pct"/>
                  <w:vAlign w:val="center"/>
                </w:tcPr>
                <w:p w14:paraId="711D8CC9"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15AEF89B"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748406FB"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080CBFA0"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6C201B17"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26BC2383" w14:textId="77777777" w:rsidR="00F76A63" w:rsidRDefault="00000000">
                  <w:pPr>
                    <w:adjustRightInd w:val="0"/>
                    <w:snapToGrid w:val="0"/>
                    <w:jc w:val="center"/>
                    <w:rPr>
                      <w:sz w:val="18"/>
                      <w:szCs w:val="18"/>
                    </w:rPr>
                  </w:pPr>
                  <w:r>
                    <w:rPr>
                      <w:sz w:val="18"/>
                      <w:szCs w:val="18"/>
                    </w:rPr>
                    <w:t>-</w:t>
                  </w:r>
                </w:p>
              </w:tc>
            </w:tr>
            <w:tr w:rsidR="00F76A63" w14:paraId="1457943E" w14:textId="77777777">
              <w:trPr>
                <w:trHeight w:val="340"/>
                <w:jc w:val="center"/>
              </w:trPr>
              <w:tc>
                <w:tcPr>
                  <w:tcW w:w="380" w:type="pct"/>
                  <w:vMerge w:val="restart"/>
                  <w:vAlign w:val="center"/>
                </w:tcPr>
                <w:p w14:paraId="34757ABD" w14:textId="77777777" w:rsidR="00F76A63" w:rsidRDefault="00000000">
                  <w:pPr>
                    <w:adjustRightInd w:val="0"/>
                    <w:snapToGrid w:val="0"/>
                    <w:jc w:val="center"/>
                    <w:rPr>
                      <w:sz w:val="18"/>
                      <w:szCs w:val="18"/>
                    </w:rPr>
                  </w:pPr>
                  <w:r>
                    <w:rPr>
                      <w:sz w:val="18"/>
                      <w:szCs w:val="18"/>
                    </w:rPr>
                    <w:t>铬</w:t>
                  </w:r>
                </w:p>
              </w:tc>
              <w:tc>
                <w:tcPr>
                  <w:tcW w:w="958" w:type="pct"/>
                  <w:vAlign w:val="center"/>
                </w:tcPr>
                <w:p w14:paraId="19F26DDE"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046DA2E3" w14:textId="77777777" w:rsidR="00F76A63" w:rsidRDefault="00000000">
                  <w:pPr>
                    <w:adjustRightInd w:val="0"/>
                    <w:snapToGrid w:val="0"/>
                    <w:jc w:val="center"/>
                    <w:rPr>
                      <w:sz w:val="18"/>
                      <w:szCs w:val="18"/>
                    </w:rPr>
                  </w:pPr>
                  <w:r>
                    <w:rPr>
                      <w:rFonts w:hint="eastAsia"/>
                      <w:sz w:val="18"/>
                      <w:szCs w:val="18"/>
                    </w:rPr>
                    <w:t>0.0102</w:t>
                  </w:r>
                </w:p>
              </w:tc>
              <w:tc>
                <w:tcPr>
                  <w:tcW w:w="731" w:type="pct"/>
                  <w:vAlign w:val="center"/>
                </w:tcPr>
                <w:p w14:paraId="7D0E8BA5" w14:textId="77777777" w:rsidR="00F76A63" w:rsidRDefault="00000000">
                  <w:pPr>
                    <w:adjustRightInd w:val="0"/>
                    <w:snapToGrid w:val="0"/>
                    <w:jc w:val="center"/>
                    <w:rPr>
                      <w:sz w:val="18"/>
                      <w:szCs w:val="18"/>
                    </w:rPr>
                  </w:pPr>
                  <w:r>
                    <w:rPr>
                      <w:rFonts w:hint="eastAsia"/>
                      <w:sz w:val="18"/>
                      <w:szCs w:val="18"/>
                    </w:rPr>
                    <w:t>0.0110</w:t>
                  </w:r>
                </w:p>
              </w:tc>
              <w:tc>
                <w:tcPr>
                  <w:tcW w:w="662" w:type="pct"/>
                  <w:vAlign w:val="center"/>
                </w:tcPr>
                <w:p w14:paraId="32102716" w14:textId="77777777" w:rsidR="00F76A63" w:rsidRDefault="00000000">
                  <w:pPr>
                    <w:adjustRightInd w:val="0"/>
                    <w:snapToGrid w:val="0"/>
                    <w:jc w:val="center"/>
                    <w:rPr>
                      <w:sz w:val="18"/>
                      <w:szCs w:val="18"/>
                    </w:rPr>
                  </w:pPr>
                  <w:r>
                    <w:rPr>
                      <w:rFonts w:hint="eastAsia"/>
                      <w:sz w:val="18"/>
                      <w:szCs w:val="18"/>
                    </w:rPr>
                    <w:t>0.00657</w:t>
                  </w:r>
                </w:p>
              </w:tc>
              <w:tc>
                <w:tcPr>
                  <w:tcW w:w="922" w:type="pct"/>
                  <w:vAlign w:val="center"/>
                </w:tcPr>
                <w:p w14:paraId="30B8516F" w14:textId="77777777" w:rsidR="00F76A63" w:rsidRDefault="00000000">
                  <w:pPr>
                    <w:adjustRightInd w:val="0"/>
                    <w:snapToGrid w:val="0"/>
                    <w:jc w:val="center"/>
                    <w:rPr>
                      <w:sz w:val="18"/>
                      <w:szCs w:val="18"/>
                    </w:rPr>
                  </w:pPr>
                  <w:r>
                    <w:rPr>
                      <w:rFonts w:hint="eastAsia"/>
                      <w:sz w:val="18"/>
                      <w:szCs w:val="18"/>
                    </w:rPr>
                    <w:t>0.00926</w:t>
                  </w:r>
                </w:p>
              </w:tc>
              <w:tc>
                <w:tcPr>
                  <w:tcW w:w="661" w:type="pct"/>
                  <w:vAlign w:val="center"/>
                </w:tcPr>
                <w:p w14:paraId="2A18CC05" w14:textId="77777777" w:rsidR="00F76A63" w:rsidRDefault="00000000">
                  <w:pPr>
                    <w:adjustRightInd w:val="0"/>
                    <w:snapToGrid w:val="0"/>
                    <w:jc w:val="center"/>
                    <w:rPr>
                      <w:sz w:val="18"/>
                      <w:szCs w:val="18"/>
                    </w:rPr>
                  </w:pPr>
                  <w:r>
                    <w:rPr>
                      <w:sz w:val="18"/>
                      <w:szCs w:val="18"/>
                    </w:rPr>
                    <w:t>-</w:t>
                  </w:r>
                </w:p>
              </w:tc>
            </w:tr>
            <w:tr w:rsidR="00F76A63" w14:paraId="106FAC29" w14:textId="77777777">
              <w:trPr>
                <w:trHeight w:val="340"/>
                <w:jc w:val="center"/>
              </w:trPr>
              <w:tc>
                <w:tcPr>
                  <w:tcW w:w="380" w:type="pct"/>
                  <w:vMerge/>
                  <w:vAlign w:val="center"/>
                </w:tcPr>
                <w:p w14:paraId="7EDEB961" w14:textId="77777777" w:rsidR="00F76A63" w:rsidRDefault="00F76A63">
                  <w:pPr>
                    <w:adjustRightInd w:val="0"/>
                    <w:snapToGrid w:val="0"/>
                    <w:jc w:val="center"/>
                    <w:rPr>
                      <w:sz w:val="18"/>
                      <w:szCs w:val="18"/>
                    </w:rPr>
                  </w:pPr>
                </w:p>
              </w:tc>
              <w:tc>
                <w:tcPr>
                  <w:tcW w:w="958" w:type="pct"/>
                  <w:vAlign w:val="center"/>
                </w:tcPr>
                <w:p w14:paraId="417ABA8B"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1C534D86" w14:textId="77777777" w:rsidR="00F76A63" w:rsidRDefault="00000000">
                  <w:pPr>
                    <w:adjustRightInd w:val="0"/>
                    <w:snapToGrid w:val="0"/>
                    <w:jc w:val="center"/>
                    <w:rPr>
                      <w:sz w:val="18"/>
                      <w:szCs w:val="18"/>
                    </w:rPr>
                  </w:pPr>
                  <w:r>
                    <w:rPr>
                      <w:rFonts w:hint="eastAsia"/>
                      <w:sz w:val="18"/>
                      <w:szCs w:val="18"/>
                    </w:rPr>
                    <w:t>0.0104</w:t>
                  </w:r>
                </w:p>
              </w:tc>
              <w:tc>
                <w:tcPr>
                  <w:tcW w:w="731" w:type="pct"/>
                  <w:vAlign w:val="center"/>
                </w:tcPr>
                <w:p w14:paraId="42D1DE27" w14:textId="77777777" w:rsidR="00F76A63" w:rsidRDefault="00000000">
                  <w:pPr>
                    <w:adjustRightInd w:val="0"/>
                    <w:snapToGrid w:val="0"/>
                    <w:jc w:val="center"/>
                    <w:rPr>
                      <w:sz w:val="18"/>
                      <w:szCs w:val="18"/>
                    </w:rPr>
                  </w:pPr>
                  <w:r>
                    <w:rPr>
                      <w:rFonts w:hint="eastAsia"/>
                      <w:sz w:val="18"/>
                      <w:szCs w:val="18"/>
                    </w:rPr>
                    <w:t>0.0111</w:t>
                  </w:r>
                </w:p>
              </w:tc>
              <w:tc>
                <w:tcPr>
                  <w:tcW w:w="662" w:type="pct"/>
                  <w:vAlign w:val="center"/>
                </w:tcPr>
                <w:p w14:paraId="08445B28" w14:textId="77777777" w:rsidR="00F76A63" w:rsidRDefault="00000000">
                  <w:pPr>
                    <w:adjustRightInd w:val="0"/>
                    <w:snapToGrid w:val="0"/>
                    <w:jc w:val="center"/>
                    <w:rPr>
                      <w:sz w:val="18"/>
                      <w:szCs w:val="18"/>
                    </w:rPr>
                  </w:pPr>
                  <w:r>
                    <w:rPr>
                      <w:rFonts w:hint="eastAsia"/>
                      <w:sz w:val="18"/>
                      <w:szCs w:val="18"/>
                    </w:rPr>
                    <w:t>0.00663</w:t>
                  </w:r>
                </w:p>
              </w:tc>
              <w:tc>
                <w:tcPr>
                  <w:tcW w:w="922" w:type="pct"/>
                  <w:vAlign w:val="center"/>
                </w:tcPr>
                <w:p w14:paraId="4169D0F8" w14:textId="77777777" w:rsidR="00F76A63" w:rsidRDefault="00000000">
                  <w:pPr>
                    <w:adjustRightInd w:val="0"/>
                    <w:snapToGrid w:val="0"/>
                    <w:jc w:val="center"/>
                    <w:rPr>
                      <w:sz w:val="18"/>
                      <w:szCs w:val="18"/>
                    </w:rPr>
                  </w:pPr>
                  <w:r>
                    <w:rPr>
                      <w:rFonts w:hint="eastAsia"/>
                      <w:sz w:val="18"/>
                      <w:szCs w:val="18"/>
                    </w:rPr>
                    <w:t>0.00938</w:t>
                  </w:r>
                </w:p>
              </w:tc>
              <w:tc>
                <w:tcPr>
                  <w:tcW w:w="661" w:type="pct"/>
                  <w:vAlign w:val="center"/>
                </w:tcPr>
                <w:p w14:paraId="13827FDB" w14:textId="77777777" w:rsidR="00F76A63" w:rsidRDefault="00000000">
                  <w:pPr>
                    <w:adjustRightInd w:val="0"/>
                    <w:snapToGrid w:val="0"/>
                    <w:jc w:val="center"/>
                    <w:rPr>
                      <w:sz w:val="18"/>
                      <w:szCs w:val="18"/>
                    </w:rPr>
                  </w:pPr>
                  <w:r>
                    <w:rPr>
                      <w:sz w:val="18"/>
                      <w:szCs w:val="18"/>
                    </w:rPr>
                    <w:t>0.5</w:t>
                  </w:r>
                </w:p>
              </w:tc>
            </w:tr>
            <w:tr w:rsidR="00F76A63" w14:paraId="382168F7" w14:textId="77777777">
              <w:trPr>
                <w:trHeight w:val="340"/>
                <w:jc w:val="center"/>
              </w:trPr>
              <w:tc>
                <w:tcPr>
                  <w:tcW w:w="380" w:type="pct"/>
                  <w:vMerge/>
                  <w:vAlign w:val="center"/>
                </w:tcPr>
                <w:p w14:paraId="272C4BD5" w14:textId="77777777" w:rsidR="00F76A63" w:rsidRDefault="00F76A63">
                  <w:pPr>
                    <w:adjustRightInd w:val="0"/>
                    <w:snapToGrid w:val="0"/>
                    <w:jc w:val="center"/>
                    <w:rPr>
                      <w:sz w:val="18"/>
                      <w:szCs w:val="18"/>
                    </w:rPr>
                  </w:pPr>
                </w:p>
              </w:tc>
              <w:tc>
                <w:tcPr>
                  <w:tcW w:w="958" w:type="pct"/>
                  <w:vAlign w:val="center"/>
                </w:tcPr>
                <w:p w14:paraId="6965E0ED"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0472C6EF" w14:textId="77777777" w:rsidR="00F76A63" w:rsidRDefault="00000000">
                  <w:pPr>
                    <w:adjustRightInd w:val="0"/>
                    <w:snapToGrid w:val="0"/>
                    <w:jc w:val="center"/>
                    <w:rPr>
                      <w:sz w:val="18"/>
                      <w:szCs w:val="18"/>
                    </w:rPr>
                  </w:pPr>
                  <w:r>
                    <w:rPr>
                      <w:rFonts w:hint="eastAsia"/>
                      <w:sz w:val="18"/>
                      <w:szCs w:val="18"/>
                    </w:rPr>
                    <w:t>4.84x10</w:t>
                  </w:r>
                  <w:r>
                    <w:rPr>
                      <w:rFonts w:hint="eastAsia"/>
                      <w:sz w:val="18"/>
                      <w:szCs w:val="18"/>
                      <w:vertAlign w:val="superscript"/>
                    </w:rPr>
                    <w:t>-3</w:t>
                  </w:r>
                </w:p>
              </w:tc>
              <w:tc>
                <w:tcPr>
                  <w:tcW w:w="731" w:type="pct"/>
                  <w:vAlign w:val="center"/>
                </w:tcPr>
                <w:p w14:paraId="42466257" w14:textId="77777777" w:rsidR="00F76A63" w:rsidRDefault="00000000">
                  <w:pPr>
                    <w:adjustRightInd w:val="0"/>
                    <w:snapToGrid w:val="0"/>
                    <w:jc w:val="center"/>
                    <w:rPr>
                      <w:sz w:val="18"/>
                      <w:szCs w:val="18"/>
                    </w:rPr>
                  </w:pPr>
                  <w:r>
                    <w:rPr>
                      <w:rFonts w:hint="eastAsia"/>
                      <w:sz w:val="18"/>
                      <w:szCs w:val="18"/>
                    </w:rPr>
                    <w:t>4.92x10</w:t>
                  </w:r>
                  <w:r>
                    <w:rPr>
                      <w:rFonts w:hint="eastAsia"/>
                      <w:sz w:val="18"/>
                      <w:szCs w:val="18"/>
                      <w:vertAlign w:val="superscript"/>
                    </w:rPr>
                    <w:t>-3</w:t>
                  </w:r>
                </w:p>
              </w:tc>
              <w:tc>
                <w:tcPr>
                  <w:tcW w:w="662" w:type="pct"/>
                  <w:vAlign w:val="center"/>
                </w:tcPr>
                <w:p w14:paraId="21378131" w14:textId="77777777" w:rsidR="00F76A63" w:rsidRDefault="00000000">
                  <w:pPr>
                    <w:adjustRightInd w:val="0"/>
                    <w:snapToGrid w:val="0"/>
                    <w:jc w:val="center"/>
                    <w:rPr>
                      <w:sz w:val="18"/>
                      <w:szCs w:val="18"/>
                    </w:rPr>
                  </w:pPr>
                  <w:r>
                    <w:rPr>
                      <w:rFonts w:hint="eastAsia"/>
                      <w:sz w:val="18"/>
                      <w:szCs w:val="18"/>
                    </w:rPr>
                    <w:t>3.02x10</w:t>
                  </w:r>
                  <w:r>
                    <w:rPr>
                      <w:rFonts w:hint="eastAsia"/>
                      <w:sz w:val="18"/>
                      <w:szCs w:val="18"/>
                      <w:vertAlign w:val="superscript"/>
                    </w:rPr>
                    <w:t>-3</w:t>
                  </w:r>
                </w:p>
              </w:tc>
              <w:tc>
                <w:tcPr>
                  <w:tcW w:w="922" w:type="pct"/>
                  <w:vAlign w:val="center"/>
                </w:tcPr>
                <w:p w14:paraId="6964099E" w14:textId="77777777" w:rsidR="00F76A63" w:rsidRDefault="00000000">
                  <w:pPr>
                    <w:adjustRightInd w:val="0"/>
                    <w:snapToGrid w:val="0"/>
                    <w:jc w:val="center"/>
                    <w:rPr>
                      <w:sz w:val="18"/>
                      <w:szCs w:val="18"/>
                    </w:rPr>
                  </w:pPr>
                  <w:r>
                    <w:rPr>
                      <w:rFonts w:hint="eastAsia"/>
                      <w:sz w:val="18"/>
                      <w:szCs w:val="18"/>
                    </w:rPr>
                    <w:t>4.26x10</w:t>
                  </w:r>
                  <w:r>
                    <w:rPr>
                      <w:rFonts w:hint="eastAsia"/>
                      <w:sz w:val="18"/>
                      <w:szCs w:val="18"/>
                      <w:vertAlign w:val="superscript"/>
                    </w:rPr>
                    <w:t>-3</w:t>
                  </w:r>
                </w:p>
              </w:tc>
              <w:tc>
                <w:tcPr>
                  <w:tcW w:w="661" w:type="pct"/>
                  <w:vAlign w:val="center"/>
                </w:tcPr>
                <w:p w14:paraId="3DD1E3EA" w14:textId="77777777" w:rsidR="00F76A63" w:rsidRDefault="00000000">
                  <w:pPr>
                    <w:adjustRightInd w:val="0"/>
                    <w:snapToGrid w:val="0"/>
                    <w:jc w:val="center"/>
                    <w:rPr>
                      <w:sz w:val="18"/>
                      <w:szCs w:val="18"/>
                    </w:rPr>
                  </w:pPr>
                  <w:r>
                    <w:rPr>
                      <w:sz w:val="18"/>
                      <w:szCs w:val="18"/>
                    </w:rPr>
                    <w:t>-</w:t>
                  </w:r>
                </w:p>
              </w:tc>
            </w:tr>
            <w:tr w:rsidR="00F76A63" w14:paraId="3B82ACB1" w14:textId="77777777">
              <w:trPr>
                <w:trHeight w:val="340"/>
                <w:jc w:val="center"/>
              </w:trPr>
              <w:tc>
                <w:tcPr>
                  <w:tcW w:w="380" w:type="pct"/>
                  <w:vMerge w:val="restart"/>
                  <w:vAlign w:val="center"/>
                </w:tcPr>
                <w:p w14:paraId="74C4A737" w14:textId="77777777" w:rsidR="00F76A63" w:rsidRDefault="00000000">
                  <w:pPr>
                    <w:adjustRightInd w:val="0"/>
                    <w:snapToGrid w:val="0"/>
                    <w:jc w:val="center"/>
                    <w:rPr>
                      <w:sz w:val="18"/>
                      <w:szCs w:val="18"/>
                    </w:rPr>
                  </w:pPr>
                  <w:r>
                    <w:rPr>
                      <w:sz w:val="18"/>
                      <w:szCs w:val="18"/>
                    </w:rPr>
                    <w:t>锰</w:t>
                  </w:r>
                </w:p>
              </w:tc>
              <w:tc>
                <w:tcPr>
                  <w:tcW w:w="958" w:type="pct"/>
                  <w:vAlign w:val="center"/>
                </w:tcPr>
                <w:p w14:paraId="374FE0DE" w14:textId="77777777" w:rsidR="00F76A63" w:rsidRDefault="00000000">
                  <w:pPr>
                    <w:adjustRightInd w:val="0"/>
                    <w:snapToGrid w:val="0"/>
                    <w:jc w:val="center"/>
                    <w:rPr>
                      <w:sz w:val="18"/>
                      <w:szCs w:val="18"/>
                    </w:rPr>
                  </w:pPr>
                  <w:r>
                    <w:rPr>
                      <w:sz w:val="18"/>
                      <w:szCs w:val="18"/>
                    </w:rPr>
                    <w:t>实测浓度</w:t>
                  </w:r>
                  <w:r>
                    <w:rPr>
                      <w:sz w:val="18"/>
                      <w:szCs w:val="18"/>
                    </w:rPr>
                    <w:lastRenderedPageBreak/>
                    <w:t>（</w:t>
                  </w:r>
                  <w:r>
                    <w:rPr>
                      <w:sz w:val="18"/>
                      <w:szCs w:val="18"/>
                    </w:rPr>
                    <w:t>mg/m</w:t>
                  </w:r>
                  <w:r>
                    <w:rPr>
                      <w:sz w:val="18"/>
                      <w:szCs w:val="18"/>
                      <w:vertAlign w:val="superscript"/>
                    </w:rPr>
                    <w:t>3</w:t>
                  </w:r>
                  <w:r>
                    <w:rPr>
                      <w:sz w:val="18"/>
                      <w:szCs w:val="18"/>
                    </w:rPr>
                    <w:t>）</w:t>
                  </w:r>
                </w:p>
              </w:tc>
              <w:tc>
                <w:tcPr>
                  <w:tcW w:w="686" w:type="pct"/>
                  <w:vAlign w:val="center"/>
                </w:tcPr>
                <w:p w14:paraId="0E72701B" w14:textId="77777777" w:rsidR="00F76A63" w:rsidRDefault="00000000">
                  <w:pPr>
                    <w:adjustRightInd w:val="0"/>
                    <w:snapToGrid w:val="0"/>
                    <w:jc w:val="center"/>
                    <w:rPr>
                      <w:sz w:val="18"/>
                      <w:szCs w:val="18"/>
                    </w:rPr>
                  </w:pPr>
                  <w:r>
                    <w:rPr>
                      <w:rFonts w:hint="eastAsia"/>
                      <w:sz w:val="18"/>
                      <w:szCs w:val="18"/>
                    </w:rPr>
                    <w:lastRenderedPageBreak/>
                    <w:t>0.00263</w:t>
                  </w:r>
                </w:p>
              </w:tc>
              <w:tc>
                <w:tcPr>
                  <w:tcW w:w="731" w:type="pct"/>
                  <w:vAlign w:val="center"/>
                </w:tcPr>
                <w:p w14:paraId="57436BE9" w14:textId="77777777" w:rsidR="00F76A63" w:rsidRDefault="00000000">
                  <w:pPr>
                    <w:adjustRightInd w:val="0"/>
                    <w:snapToGrid w:val="0"/>
                    <w:jc w:val="center"/>
                    <w:rPr>
                      <w:sz w:val="18"/>
                      <w:szCs w:val="18"/>
                    </w:rPr>
                  </w:pPr>
                  <w:r>
                    <w:rPr>
                      <w:rFonts w:hint="eastAsia"/>
                      <w:sz w:val="18"/>
                      <w:szCs w:val="18"/>
                    </w:rPr>
                    <w:t>0.00520</w:t>
                  </w:r>
                </w:p>
              </w:tc>
              <w:tc>
                <w:tcPr>
                  <w:tcW w:w="662" w:type="pct"/>
                  <w:vAlign w:val="center"/>
                </w:tcPr>
                <w:p w14:paraId="508FBB03" w14:textId="77777777" w:rsidR="00F76A63" w:rsidRDefault="00000000">
                  <w:pPr>
                    <w:adjustRightInd w:val="0"/>
                    <w:snapToGrid w:val="0"/>
                    <w:jc w:val="center"/>
                    <w:rPr>
                      <w:sz w:val="18"/>
                      <w:szCs w:val="18"/>
                    </w:rPr>
                  </w:pPr>
                  <w:r>
                    <w:rPr>
                      <w:rFonts w:hint="eastAsia"/>
                      <w:sz w:val="18"/>
                      <w:szCs w:val="18"/>
                    </w:rPr>
                    <w:t>0.00281</w:t>
                  </w:r>
                </w:p>
              </w:tc>
              <w:tc>
                <w:tcPr>
                  <w:tcW w:w="922" w:type="pct"/>
                  <w:vAlign w:val="center"/>
                </w:tcPr>
                <w:p w14:paraId="3506351D" w14:textId="77777777" w:rsidR="00F76A63" w:rsidRDefault="00000000">
                  <w:pPr>
                    <w:adjustRightInd w:val="0"/>
                    <w:snapToGrid w:val="0"/>
                    <w:jc w:val="center"/>
                    <w:rPr>
                      <w:sz w:val="18"/>
                      <w:szCs w:val="18"/>
                    </w:rPr>
                  </w:pPr>
                  <w:r>
                    <w:rPr>
                      <w:rFonts w:hint="eastAsia"/>
                      <w:sz w:val="18"/>
                      <w:szCs w:val="18"/>
                    </w:rPr>
                    <w:t>0.00355</w:t>
                  </w:r>
                </w:p>
              </w:tc>
              <w:tc>
                <w:tcPr>
                  <w:tcW w:w="661" w:type="pct"/>
                  <w:vAlign w:val="center"/>
                </w:tcPr>
                <w:p w14:paraId="4A3056E7" w14:textId="77777777" w:rsidR="00F76A63" w:rsidRDefault="00000000">
                  <w:pPr>
                    <w:adjustRightInd w:val="0"/>
                    <w:snapToGrid w:val="0"/>
                    <w:jc w:val="center"/>
                    <w:rPr>
                      <w:sz w:val="18"/>
                      <w:szCs w:val="18"/>
                    </w:rPr>
                  </w:pPr>
                  <w:r>
                    <w:rPr>
                      <w:sz w:val="18"/>
                      <w:szCs w:val="18"/>
                    </w:rPr>
                    <w:t>-</w:t>
                  </w:r>
                </w:p>
              </w:tc>
            </w:tr>
            <w:tr w:rsidR="00F76A63" w14:paraId="44033031" w14:textId="77777777">
              <w:trPr>
                <w:trHeight w:val="340"/>
                <w:jc w:val="center"/>
              </w:trPr>
              <w:tc>
                <w:tcPr>
                  <w:tcW w:w="380" w:type="pct"/>
                  <w:vMerge/>
                  <w:vAlign w:val="center"/>
                </w:tcPr>
                <w:p w14:paraId="1F27D4CD" w14:textId="77777777" w:rsidR="00F76A63" w:rsidRDefault="00F76A63">
                  <w:pPr>
                    <w:adjustRightInd w:val="0"/>
                    <w:snapToGrid w:val="0"/>
                    <w:jc w:val="center"/>
                    <w:rPr>
                      <w:sz w:val="18"/>
                      <w:szCs w:val="18"/>
                    </w:rPr>
                  </w:pPr>
                </w:p>
              </w:tc>
              <w:tc>
                <w:tcPr>
                  <w:tcW w:w="958" w:type="pct"/>
                  <w:vAlign w:val="center"/>
                </w:tcPr>
                <w:p w14:paraId="561B6F6C"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758E6FDA" w14:textId="77777777" w:rsidR="00F76A63" w:rsidRDefault="00000000">
                  <w:pPr>
                    <w:adjustRightInd w:val="0"/>
                    <w:snapToGrid w:val="0"/>
                    <w:jc w:val="center"/>
                    <w:rPr>
                      <w:sz w:val="18"/>
                      <w:szCs w:val="18"/>
                    </w:rPr>
                  </w:pPr>
                  <w:r>
                    <w:rPr>
                      <w:rFonts w:hint="eastAsia"/>
                      <w:sz w:val="18"/>
                      <w:szCs w:val="18"/>
                    </w:rPr>
                    <w:t>0.00268</w:t>
                  </w:r>
                </w:p>
              </w:tc>
              <w:tc>
                <w:tcPr>
                  <w:tcW w:w="731" w:type="pct"/>
                  <w:vAlign w:val="center"/>
                </w:tcPr>
                <w:p w14:paraId="7465F46E" w14:textId="77777777" w:rsidR="00F76A63" w:rsidRDefault="00000000">
                  <w:pPr>
                    <w:adjustRightInd w:val="0"/>
                    <w:snapToGrid w:val="0"/>
                    <w:jc w:val="center"/>
                    <w:rPr>
                      <w:sz w:val="18"/>
                      <w:szCs w:val="18"/>
                    </w:rPr>
                  </w:pPr>
                  <w:r>
                    <w:rPr>
                      <w:rFonts w:hint="eastAsia"/>
                      <w:sz w:val="18"/>
                      <w:szCs w:val="18"/>
                    </w:rPr>
                    <w:t>0.00525</w:t>
                  </w:r>
                </w:p>
              </w:tc>
              <w:tc>
                <w:tcPr>
                  <w:tcW w:w="662" w:type="pct"/>
                  <w:vAlign w:val="center"/>
                </w:tcPr>
                <w:p w14:paraId="065F1215" w14:textId="77777777" w:rsidR="00F76A63" w:rsidRDefault="00000000">
                  <w:pPr>
                    <w:adjustRightInd w:val="0"/>
                    <w:snapToGrid w:val="0"/>
                    <w:jc w:val="center"/>
                    <w:rPr>
                      <w:sz w:val="18"/>
                      <w:szCs w:val="18"/>
                    </w:rPr>
                  </w:pPr>
                  <w:r>
                    <w:rPr>
                      <w:rFonts w:hint="eastAsia"/>
                      <w:sz w:val="18"/>
                      <w:szCs w:val="18"/>
                    </w:rPr>
                    <w:t>0.00284</w:t>
                  </w:r>
                </w:p>
              </w:tc>
              <w:tc>
                <w:tcPr>
                  <w:tcW w:w="922" w:type="pct"/>
                  <w:vAlign w:val="center"/>
                </w:tcPr>
                <w:p w14:paraId="08455552" w14:textId="77777777" w:rsidR="00F76A63" w:rsidRDefault="00000000">
                  <w:pPr>
                    <w:adjustRightInd w:val="0"/>
                    <w:snapToGrid w:val="0"/>
                    <w:jc w:val="center"/>
                    <w:rPr>
                      <w:sz w:val="18"/>
                      <w:szCs w:val="18"/>
                    </w:rPr>
                  </w:pPr>
                  <w:r>
                    <w:rPr>
                      <w:rFonts w:hint="eastAsia"/>
                      <w:sz w:val="18"/>
                      <w:szCs w:val="18"/>
                    </w:rPr>
                    <w:t>0.00359</w:t>
                  </w:r>
                </w:p>
              </w:tc>
              <w:tc>
                <w:tcPr>
                  <w:tcW w:w="661" w:type="pct"/>
                  <w:vAlign w:val="center"/>
                </w:tcPr>
                <w:p w14:paraId="66E6EC46" w14:textId="77777777" w:rsidR="00F76A63" w:rsidRDefault="00000000">
                  <w:pPr>
                    <w:adjustRightInd w:val="0"/>
                    <w:snapToGrid w:val="0"/>
                    <w:jc w:val="center"/>
                    <w:rPr>
                      <w:sz w:val="18"/>
                      <w:szCs w:val="18"/>
                    </w:rPr>
                  </w:pPr>
                  <w:r>
                    <w:rPr>
                      <w:sz w:val="18"/>
                      <w:szCs w:val="18"/>
                    </w:rPr>
                    <w:t>0.5</w:t>
                  </w:r>
                </w:p>
              </w:tc>
            </w:tr>
            <w:tr w:rsidR="00F76A63" w14:paraId="196A7AF6" w14:textId="77777777">
              <w:trPr>
                <w:trHeight w:val="340"/>
                <w:jc w:val="center"/>
              </w:trPr>
              <w:tc>
                <w:tcPr>
                  <w:tcW w:w="380" w:type="pct"/>
                  <w:vMerge/>
                  <w:vAlign w:val="center"/>
                </w:tcPr>
                <w:p w14:paraId="495C9DD1" w14:textId="77777777" w:rsidR="00F76A63" w:rsidRDefault="00F76A63">
                  <w:pPr>
                    <w:adjustRightInd w:val="0"/>
                    <w:snapToGrid w:val="0"/>
                    <w:jc w:val="center"/>
                    <w:rPr>
                      <w:sz w:val="18"/>
                      <w:szCs w:val="18"/>
                    </w:rPr>
                  </w:pPr>
                </w:p>
              </w:tc>
              <w:tc>
                <w:tcPr>
                  <w:tcW w:w="958" w:type="pct"/>
                  <w:vAlign w:val="center"/>
                </w:tcPr>
                <w:p w14:paraId="011F48DA"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283A7238" w14:textId="77777777" w:rsidR="00F76A63" w:rsidRDefault="00000000">
                  <w:pPr>
                    <w:adjustRightInd w:val="0"/>
                    <w:snapToGrid w:val="0"/>
                    <w:jc w:val="center"/>
                    <w:rPr>
                      <w:sz w:val="18"/>
                      <w:szCs w:val="18"/>
                    </w:rPr>
                  </w:pPr>
                  <w:r>
                    <w:rPr>
                      <w:rFonts w:hint="eastAsia"/>
                      <w:sz w:val="18"/>
                      <w:szCs w:val="18"/>
                    </w:rPr>
                    <w:t>1.25x10</w:t>
                  </w:r>
                  <w:r>
                    <w:rPr>
                      <w:rFonts w:hint="eastAsia"/>
                      <w:sz w:val="18"/>
                      <w:szCs w:val="18"/>
                      <w:vertAlign w:val="superscript"/>
                    </w:rPr>
                    <w:t>-3</w:t>
                  </w:r>
                </w:p>
              </w:tc>
              <w:tc>
                <w:tcPr>
                  <w:tcW w:w="731" w:type="pct"/>
                  <w:vAlign w:val="center"/>
                </w:tcPr>
                <w:p w14:paraId="653C8976" w14:textId="77777777" w:rsidR="00F76A63" w:rsidRDefault="00000000">
                  <w:pPr>
                    <w:adjustRightInd w:val="0"/>
                    <w:snapToGrid w:val="0"/>
                    <w:jc w:val="center"/>
                    <w:rPr>
                      <w:sz w:val="18"/>
                      <w:szCs w:val="18"/>
                    </w:rPr>
                  </w:pPr>
                  <w:r>
                    <w:rPr>
                      <w:rFonts w:hint="eastAsia"/>
                      <w:sz w:val="18"/>
                      <w:szCs w:val="18"/>
                    </w:rPr>
                    <w:t>2.33</w:t>
                  </w:r>
                  <w:r>
                    <w:rPr>
                      <w:rFonts w:hint="eastAsia"/>
                      <w:sz w:val="18"/>
                      <w:szCs w:val="18"/>
                    </w:rPr>
                    <w:t>×</w:t>
                  </w:r>
                  <w:r>
                    <w:rPr>
                      <w:rFonts w:hint="eastAsia"/>
                      <w:sz w:val="18"/>
                      <w:szCs w:val="18"/>
                    </w:rPr>
                    <w:t>10</w:t>
                  </w:r>
                  <w:r>
                    <w:rPr>
                      <w:rFonts w:hint="eastAsia"/>
                      <w:sz w:val="18"/>
                      <w:szCs w:val="18"/>
                      <w:vertAlign w:val="superscript"/>
                    </w:rPr>
                    <w:t>-3</w:t>
                  </w:r>
                </w:p>
              </w:tc>
              <w:tc>
                <w:tcPr>
                  <w:tcW w:w="662" w:type="pct"/>
                  <w:vAlign w:val="center"/>
                </w:tcPr>
                <w:p w14:paraId="5E726545" w14:textId="77777777" w:rsidR="00F76A63" w:rsidRDefault="00000000">
                  <w:pPr>
                    <w:adjustRightInd w:val="0"/>
                    <w:snapToGrid w:val="0"/>
                    <w:jc w:val="center"/>
                    <w:rPr>
                      <w:sz w:val="18"/>
                      <w:szCs w:val="18"/>
                    </w:rPr>
                  </w:pPr>
                  <w:r>
                    <w:rPr>
                      <w:rFonts w:hint="eastAsia"/>
                      <w:sz w:val="18"/>
                      <w:szCs w:val="18"/>
                    </w:rPr>
                    <w:t>1.29x10</w:t>
                  </w:r>
                  <w:r>
                    <w:rPr>
                      <w:rFonts w:hint="eastAsia"/>
                      <w:sz w:val="18"/>
                      <w:szCs w:val="18"/>
                      <w:vertAlign w:val="superscript"/>
                    </w:rPr>
                    <w:t>-3</w:t>
                  </w:r>
                </w:p>
              </w:tc>
              <w:tc>
                <w:tcPr>
                  <w:tcW w:w="922" w:type="pct"/>
                  <w:vAlign w:val="center"/>
                </w:tcPr>
                <w:p w14:paraId="65A3F1B7" w14:textId="77777777" w:rsidR="00F76A63" w:rsidRDefault="00000000">
                  <w:pPr>
                    <w:adjustRightInd w:val="0"/>
                    <w:snapToGrid w:val="0"/>
                    <w:jc w:val="center"/>
                    <w:rPr>
                      <w:sz w:val="18"/>
                      <w:szCs w:val="18"/>
                    </w:rPr>
                  </w:pPr>
                  <w:r>
                    <w:rPr>
                      <w:rFonts w:hint="eastAsia"/>
                      <w:sz w:val="18"/>
                      <w:szCs w:val="18"/>
                    </w:rPr>
                    <w:t>1.62x10</w:t>
                  </w:r>
                  <w:r>
                    <w:rPr>
                      <w:rFonts w:hint="eastAsia"/>
                      <w:sz w:val="18"/>
                      <w:szCs w:val="18"/>
                      <w:vertAlign w:val="superscript"/>
                    </w:rPr>
                    <w:t>-3</w:t>
                  </w:r>
                </w:p>
              </w:tc>
              <w:tc>
                <w:tcPr>
                  <w:tcW w:w="661" w:type="pct"/>
                  <w:vAlign w:val="center"/>
                </w:tcPr>
                <w:p w14:paraId="5D7CD7AA" w14:textId="77777777" w:rsidR="00F76A63" w:rsidRDefault="00000000">
                  <w:pPr>
                    <w:adjustRightInd w:val="0"/>
                    <w:snapToGrid w:val="0"/>
                    <w:jc w:val="center"/>
                    <w:rPr>
                      <w:sz w:val="18"/>
                      <w:szCs w:val="18"/>
                    </w:rPr>
                  </w:pPr>
                  <w:r>
                    <w:rPr>
                      <w:sz w:val="18"/>
                      <w:szCs w:val="18"/>
                    </w:rPr>
                    <w:t>-</w:t>
                  </w:r>
                </w:p>
              </w:tc>
            </w:tr>
            <w:tr w:rsidR="00F76A63" w14:paraId="5D9018C0" w14:textId="77777777">
              <w:trPr>
                <w:trHeight w:val="340"/>
                <w:jc w:val="center"/>
              </w:trPr>
              <w:tc>
                <w:tcPr>
                  <w:tcW w:w="380" w:type="pct"/>
                  <w:vMerge w:val="restart"/>
                  <w:vAlign w:val="center"/>
                </w:tcPr>
                <w:p w14:paraId="24FBFFEB" w14:textId="77777777" w:rsidR="00F76A63" w:rsidRDefault="00000000">
                  <w:pPr>
                    <w:adjustRightInd w:val="0"/>
                    <w:snapToGrid w:val="0"/>
                    <w:jc w:val="center"/>
                    <w:rPr>
                      <w:sz w:val="18"/>
                      <w:szCs w:val="18"/>
                    </w:rPr>
                  </w:pPr>
                  <w:r>
                    <w:rPr>
                      <w:sz w:val="18"/>
                      <w:szCs w:val="18"/>
                    </w:rPr>
                    <w:t>砷</w:t>
                  </w:r>
                </w:p>
              </w:tc>
              <w:tc>
                <w:tcPr>
                  <w:tcW w:w="958" w:type="pct"/>
                  <w:vAlign w:val="center"/>
                </w:tcPr>
                <w:p w14:paraId="729597F6"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6FF39E0B"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7002F891"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3D06B428"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453A4882"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67FC853B" w14:textId="77777777" w:rsidR="00F76A63" w:rsidRDefault="00000000">
                  <w:pPr>
                    <w:adjustRightInd w:val="0"/>
                    <w:snapToGrid w:val="0"/>
                    <w:jc w:val="center"/>
                    <w:rPr>
                      <w:sz w:val="18"/>
                      <w:szCs w:val="18"/>
                    </w:rPr>
                  </w:pPr>
                  <w:r>
                    <w:rPr>
                      <w:sz w:val="18"/>
                      <w:szCs w:val="18"/>
                    </w:rPr>
                    <w:t>-</w:t>
                  </w:r>
                </w:p>
              </w:tc>
            </w:tr>
            <w:tr w:rsidR="00F76A63" w14:paraId="6120D0B3" w14:textId="77777777">
              <w:trPr>
                <w:trHeight w:val="340"/>
                <w:jc w:val="center"/>
              </w:trPr>
              <w:tc>
                <w:tcPr>
                  <w:tcW w:w="380" w:type="pct"/>
                  <w:vMerge/>
                  <w:vAlign w:val="center"/>
                </w:tcPr>
                <w:p w14:paraId="7C12624D" w14:textId="77777777" w:rsidR="00F76A63" w:rsidRDefault="00F76A63">
                  <w:pPr>
                    <w:adjustRightInd w:val="0"/>
                    <w:snapToGrid w:val="0"/>
                    <w:jc w:val="center"/>
                    <w:rPr>
                      <w:sz w:val="18"/>
                      <w:szCs w:val="18"/>
                    </w:rPr>
                  </w:pPr>
                </w:p>
              </w:tc>
              <w:tc>
                <w:tcPr>
                  <w:tcW w:w="958" w:type="pct"/>
                  <w:vAlign w:val="center"/>
                </w:tcPr>
                <w:p w14:paraId="68521B08"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30E3F3E0"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340F966B"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550A49A2"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6B79FA0"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4D737373" w14:textId="77777777" w:rsidR="00F76A63" w:rsidRDefault="00000000">
                  <w:pPr>
                    <w:adjustRightInd w:val="0"/>
                    <w:snapToGrid w:val="0"/>
                    <w:jc w:val="center"/>
                    <w:rPr>
                      <w:sz w:val="18"/>
                      <w:szCs w:val="18"/>
                    </w:rPr>
                  </w:pPr>
                  <w:r>
                    <w:rPr>
                      <w:sz w:val="18"/>
                      <w:szCs w:val="18"/>
                    </w:rPr>
                    <w:t>1.0</w:t>
                  </w:r>
                </w:p>
              </w:tc>
            </w:tr>
            <w:tr w:rsidR="00F76A63" w14:paraId="71161A02" w14:textId="77777777">
              <w:trPr>
                <w:trHeight w:val="340"/>
                <w:jc w:val="center"/>
              </w:trPr>
              <w:tc>
                <w:tcPr>
                  <w:tcW w:w="380" w:type="pct"/>
                  <w:vMerge/>
                  <w:vAlign w:val="center"/>
                </w:tcPr>
                <w:p w14:paraId="42F35FA2" w14:textId="77777777" w:rsidR="00F76A63" w:rsidRDefault="00F76A63">
                  <w:pPr>
                    <w:adjustRightInd w:val="0"/>
                    <w:snapToGrid w:val="0"/>
                    <w:jc w:val="center"/>
                    <w:rPr>
                      <w:sz w:val="18"/>
                      <w:szCs w:val="18"/>
                    </w:rPr>
                  </w:pPr>
                </w:p>
              </w:tc>
              <w:tc>
                <w:tcPr>
                  <w:tcW w:w="958" w:type="pct"/>
                  <w:vAlign w:val="center"/>
                </w:tcPr>
                <w:p w14:paraId="0DA8A651"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1A012A73"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39C63A05"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04ACAD28"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6F7B9B1D"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73FAA197" w14:textId="77777777" w:rsidR="00F76A63" w:rsidRDefault="00000000">
                  <w:pPr>
                    <w:adjustRightInd w:val="0"/>
                    <w:snapToGrid w:val="0"/>
                    <w:jc w:val="center"/>
                    <w:rPr>
                      <w:sz w:val="18"/>
                      <w:szCs w:val="18"/>
                    </w:rPr>
                  </w:pPr>
                  <w:r>
                    <w:rPr>
                      <w:sz w:val="18"/>
                      <w:szCs w:val="18"/>
                    </w:rPr>
                    <w:t>-</w:t>
                  </w:r>
                </w:p>
              </w:tc>
            </w:tr>
            <w:tr w:rsidR="00F76A63" w14:paraId="65798AC2" w14:textId="77777777">
              <w:trPr>
                <w:trHeight w:val="340"/>
                <w:jc w:val="center"/>
              </w:trPr>
              <w:tc>
                <w:tcPr>
                  <w:tcW w:w="380" w:type="pct"/>
                  <w:vMerge w:val="restart"/>
                  <w:vAlign w:val="center"/>
                </w:tcPr>
                <w:p w14:paraId="77F0BE2D" w14:textId="77777777" w:rsidR="00F76A63" w:rsidRDefault="00000000">
                  <w:pPr>
                    <w:adjustRightInd w:val="0"/>
                    <w:snapToGrid w:val="0"/>
                    <w:jc w:val="center"/>
                    <w:rPr>
                      <w:sz w:val="18"/>
                      <w:szCs w:val="18"/>
                    </w:rPr>
                  </w:pPr>
                  <w:r>
                    <w:rPr>
                      <w:sz w:val="18"/>
                      <w:szCs w:val="18"/>
                    </w:rPr>
                    <w:t>铜</w:t>
                  </w:r>
                </w:p>
              </w:tc>
              <w:tc>
                <w:tcPr>
                  <w:tcW w:w="958" w:type="pct"/>
                  <w:vAlign w:val="center"/>
                </w:tcPr>
                <w:p w14:paraId="69BCC380"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09A4E8C9" w14:textId="77777777" w:rsidR="00F76A63" w:rsidRDefault="00000000">
                  <w:pPr>
                    <w:adjustRightInd w:val="0"/>
                    <w:snapToGrid w:val="0"/>
                    <w:jc w:val="center"/>
                    <w:rPr>
                      <w:sz w:val="18"/>
                      <w:szCs w:val="18"/>
                    </w:rPr>
                  </w:pPr>
                  <w:r>
                    <w:rPr>
                      <w:rFonts w:hint="eastAsia"/>
                      <w:sz w:val="18"/>
                      <w:szCs w:val="18"/>
                    </w:rPr>
                    <w:t>0.00103</w:t>
                  </w:r>
                </w:p>
              </w:tc>
              <w:tc>
                <w:tcPr>
                  <w:tcW w:w="731" w:type="pct"/>
                  <w:vAlign w:val="center"/>
                </w:tcPr>
                <w:p w14:paraId="16830DFC" w14:textId="77777777" w:rsidR="00F76A63" w:rsidRDefault="00000000">
                  <w:pPr>
                    <w:adjustRightInd w:val="0"/>
                    <w:snapToGrid w:val="0"/>
                    <w:jc w:val="center"/>
                    <w:rPr>
                      <w:sz w:val="18"/>
                      <w:szCs w:val="18"/>
                    </w:rPr>
                  </w:pPr>
                  <w:r>
                    <w:rPr>
                      <w:rFonts w:hint="eastAsia"/>
                      <w:sz w:val="18"/>
                      <w:szCs w:val="18"/>
                    </w:rPr>
                    <w:t>0.00136</w:t>
                  </w:r>
                </w:p>
              </w:tc>
              <w:tc>
                <w:tcPr>
                  <w:tcW w:w="662" w:type="pct"/>
                  <w:vAlign w:val="center"/>
                </w:tcPr>
                <w:p w14:paraId="3CBC4168" w14:textId="77777777" w:rsidR="00F76A63" w:rsidRDefault="00000000">
                  <w:pPr>
                    <w:adjustRightInd w:val="0"/>
                    <w:snapToGrid w:val="0"/>
                    <w:jc w:val="center"/>
                    <w:rPr>
                      <w:sz w:val="18"/>
                      <w:szCs w:val="18"/>
                    </w:rPr>
                  </w:pPr>
                  <w:r>
                    <w:rPr>
                      <w:rFonts w:hint="eastAsia"/>
                      <w:sz w:val="18"/>
                      <w:szCs w:val="18"/>
                    </w:rPr>
                    <w:t>0.00117</w:t>
                  </w:r>
                </w:p>
              </w:tc>
              <w:tc>
                <w:tcPr>
                  <w:tcW w:w="922" w:type="pct"/>
                  <w:vAlign w:val="center"/>
                </w:tcPr>
                <w:p w14:paraId="1D2609DA" w14:textId="77777777" w:rsidR="00F76A63" w:rsidRDefault="00000000">
                  <w:pPr>
                    <w:adjustRightInd w:val="0"/>
                    <w:snapToGrid w:val="0"/>
                    <w:jc w:val="center"/>
                    <w:rPr>
                      <w:sz w:val="18"/>
                      <w:szCs w:val="18"/>
                    </w:rPr>
                  </w:pPr>
                  <w:r>
                    <w:rPr>
                      <w:rFonts w:hint="eastAsia"/>
                      <w:sz w:val="18"/>
                      <w:szCs w:val="18"/>
                    </w:rPr>
                    <w:t>0.00119</w:t>
                  </w:r>
                </w:p>
              </w:tc>
              <w:tc>
                <w:tcPr>
                  <w:tcW w:w="661" w:type="pct"/>
                  <w:vAlign w:val="center"/>
                </w:tcPr>
                <w:p w14:paraId="5754A638" w14:textId="77777777" w:rsidR="00F76A63" w:rsidRDefault="00000000">
                  <w:pPr>
                    <w:adjustRightInd w:val="0"/>
                    <w:snapToGrid w:val="0"/>
                    <w:jc w:val="center"/>
                    <w:rPr>
                      <w:sz w:val="18"/>
                      <w:szCs w:val="18"/>
                    </w:rPr>
                  </w:pPr>
                  <w:r>
                    <w:rPr>
                      <w:sz w:val="18"/>
                      <w:szCs w:val="18"/>
                    </w:rPr>
                    <w:t>-</w:t>
                  </w:r>
                </w:p>
              </w:tc>
            </w:tr>
            <w:tr w:rsidR="00F76A63" w14:paraId="5F1AADFA" w14:textId="77777777">
              <w:trPr>
                <w:trHeight w:val="340"/>
                <w:jc w:val="center"/>
              </w:trPr>
              <w:tc>
                <w:tcPr>
                  <w:tcW w:w="380" w:type="pct"/>
                  <w:vMerge/>
                  <w:vAlign w:val="center"/>
                </w:tcPr>
                <w:p w14:paraId="02CD1B35" w14:textId="77777777" w:rsidR="00F76A63" w:rsidRDefault="00F76A63">
                  <w:pPr>
                    <w:adjustRightInd w:val="0"/>
                    <w:snapToGrid w:val="0"/>
                    <w:jc w:val="center"/>
                    <w:rPr>
                      <w:sz w:val="18"/>
                      <w:szCs w:val="18"/>
                    </w:rPr>
                  </w:pPr>
                </w:p>
              </w:tc>
              <w:tc>
                <w:tcPr>
                  <w:tcW w:w="958" w:type="pct"/>
                  <w:vAlign w:val="center"/>
                </w:tcPr>
                <w:p w14:paraId="119974DB"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4724BCAB" w14:textId="77777777" w:rsidR="00F76A63" w:rsidRDefault="00000000">
                  <w:pPr>
                    <w:adjustRightInd w:val="0"/>
                    <w:snapToGrid w:val="0"/>
                    <w:jc w:val="center"/>
                    <w:rPr>
                      <w:sz w:val="18"/>
                      <w:szCs w:val="18"/>
                    </w:rPr>
                  </w:pPr>
                  <w:r>
                    <w:rPr>
                      <w:rFonts w:hint="eastAsia"/>
                      <w:sz w:val="18"/>
                      <w:szCs w:val="18"/>
                    </w:rPr>
                    <w:t>0.00105</w:t>
                  </w:r>
                </w:p>
              </w:tc>
              <w:tc>
                <w:tcPr>
                  <w:tcW w:w="731" w:type="pct"/>
                  <w:vAlign w:val="center"/>
                </w:tcPr>
                <w:p w14:paraId="6766C50F" w14:textId="77777777" w:rsidR="00F76A63" w:rsidRDefault="00000000">
                  <w:pPr>
                    <w:adjustRightInd w:val="0"/>
                    <w:snapToGrid w:val="0"/>
                    <w:jc w:val="center"/>
                    <w:rPr>
                      <w:sz w:val="18"/>
                      <w:szCs w:val="18"/>
                    </w:rPr>
                  </w:pPr>
                  <w:r>
                    <w:rPr>
                      <w:rFonts w:hint="eastAsia"/>
                      <w:sz w:val="18"/>
                      <w:szCs w:val="18"/>
                    </w:rPr>
                    <w:t>0.00137</w:t>
                  </w:r>
                </w:p>
              </w:tc>
              <w:tc>
                <w:tcPr>
                  <w:tcW w:w="662" w:type="pct"/>
                  <w:vAlign w:val="center"/>
                </w:tcPr>
                <w:p w14:paraId="6CA2C197" w14:textId="77777777" w:rsidR="00F76A63" w:rsidRDefault="00000000">
                  <w:pPr>
                    <w:adjustRightInd w:val="0"/>
                    <w:snapToGrid w:val="0"/>
                    <w:jc w:val="center"/>
                    <w:rPr>
                      <w:sz w:val="18"/>
                      <w:szCs w:val="18"/>
                    </w:rPr>
                  </w:pPr>
                  <w:r>
                    <w:rPr>
                      <w:rFonts w:hint="eastAsia"/>
                      <w:sz w:val="18"/>
                      <w:szCs w:val="18"/>
                    </w:rPr>
                    <w:t>0.00118</w:t>
                  </w:r>
                </w:p>
              </w:tc>
              <w:tc>
                <w:tcPr>
                  <w:tcW w:w="922" w:type="pct"/>
                  <w:vAlign w:val="center"/>
                </w:tcPr>
                <w:p w14:paraId="3AE9A256" w14:textId="77777777" w:rsidR="00F76A63" w:rsidRDefault="00000000">
                  <w:pPr>
                    <w:adjustRightInd w:val="0"/>
                    <w:snapToGrid w:val="0"/>
                    <w:jc w:val="center"/>
                    <w:rPr>
                      <w:sz w:val="18"/>
                      <w:szCs w:val="18"/>
                    </w:rPr>
                  </w:pPr>
                  <w:r>
                    <w:rPr>
                      <w:rFonts w:hint="eastAsia"/>
                      <w:sz w:val="18"/>
                      <w:szCs w:val="18"/>
                    </w:rPr>
                    <w:t>0.00120</w:t>
                  </w:r>
                </w:p>
              </w:tc>
              <w:tc>
                <w:tcPr>
                  <w:tcW w:w="661" w:type="pct"/>
                  <w:vAlign w:val="center"/>
                </w:tcPr>
                <w:p w14:paraId="3005870C" w14:textId="77777777" w:rsidR="00F76A63" w:rsidRDefault="00000000">
                  <w:pPr>
                    <w:adjustRightInd w:val="0"/>
                    <w:snapToGrid w:val="0"/>
                    <w:jc w:val="center"/>
                    <w:rPr>
                      <w:sz w:val="18"/>
                      <w:szCs w:val="18"/>
                    </w:rPr>
                  </w:pPr>
                  <w:r>
                    <w:rPr>
                      <w:sz w:val="18"/>
                      <w:szCs w:val="18"/>
                    </w:rPr>
                    <w:t>0.5</w:t>
                  </w:r>
                </w:p>
              </w:tc>
            </w:tr>
            <w:tr w:rsidR="00F76A63" w14:paraId="61BE0E15" w14:textId="77777777">
              <w:trPr>
                <w:trHeight w:val="340"/>
                <w:jc w:val="center"/>
              </w:trPr>
              <w:tc>
                <w:tcPr>
                  <w:tcW w:w="380" w:type="pct"/>
                  <w:vMerge/>
                  <w:vAlign w:val="center"/>
                </w:tcPr>
                <w:p w14:paraId="1D9128C3" w14:textId="77777777" w:rsidR="00F76A63" w:rsidRDefault="00F76A63">
                  <w:pPr>
                    <w:adjustRightInd w:val="0"/>
                    <w:snapToGrid w:val="0"/>
                    <w:jc w:val="center"/>
                    <w:rPr>
                      <w:sz w:val="18"/>
                      <w:szCs w:val="18"/>
                    </w:rPr>
                  </w:pPr>
                </w:p>
              </w:tc>
              <w:tc>
                <w:tcPr>
                  <w:tcW w:w="958" w:type="pct"/>
                  <w:vAlign w:val="center"/>
                </w:tcPr>
                <w:p w14:paraId="64D58B9E"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6F5A10E0" w14:textId="77777777" w:rsidR="00F76A63" w:rsidRDefault="00000000">
                  <w:pPr>
                    <w:adjustRightInd w:val="0"/>
                    <w:snapToGrid w:val="0"/>
                    <w:jc w:val="center"/>
                    <w:rPr>
                      <w:sz w:val="18"/>
                      <w:szCs w:val="18"/>
                    </w:rPr>
                  </w:pPr>
                  <w:r>
                    <w:rPr>
                      <w:rFonts w:hint="eastAsia"/>
                      <w:sz w:val="18"/>
                      <w:szCs w:val="18"/>
                    </w:rPr>
                    <w:t>4.88x10</w:t>
                  </w:r>
                  <w:r>
                    <w:rPr>
                      <w:rFonts w:hint="eastAsia"/>
                      <w:sz w:val="18"/>
                      <w:szCs w:val="18"/>
                      <w:vertAlign w:val="superscript"/>
                    </w:rPr>
                    <w:t>-4</w:t>
                  </w:r>
                </w:p>
              </w:tc>
              <w:tc>
                <w:tcPr>
                  <w:tcW w:w="731" w:type="pct"/>
                  <w:vAlign w:val="center"/>
                </w:tcPr>
                <w:p w14:paraId="6D465177" w14:textId="77777777" w:rsidR="00F76A63" w:rsidRDefault="00000000">
                  <w:pPr>
                    <w:adjustRightInd w:val="0"/>
                    <w:snapToGrid w:val="0"/>
                    <w:jc w:val="center"/>
                    <w:rPr>
                      <w:sz w:val="18"/>
                      <w:szCs w:val="18"/>
                    </w:rPr>
                  </w:pPr>
                  <w:r>
                    <w:rPr>
                      <w:rFonts w:hint="eastAsia"/>
                      <w:sz w:val="18"/>
                      <w:szCs w:val="18"/>
                    </w:rPr>
                    <w:t>6.09</w:t>
                  </w:r>
                  <w:r>
                    <w:rPr>
                      <w:rFonts w:hint="eastAsia"/>
                      <w:sz w:val="18"/>
                      <w:szCs w:val="18"/>
                    </w:rPr>
                    <w:t>×</w:t>
                  </w:r>
                  <w:r>
                    <w:rPr>
                      <w:rFonts w:hint="eastAsia"/>
                      <w:sz w:val="18"/>
                      <w:szCs w:val="18"/>
                    </w:rPr>
                    <w:t>10</w:t>
                  </w:r>
                  <w:r>
                    <w:rPr>
                      <w:rFonts w:hint="eastAsia"/>
                      <w:sz w:val="18"/>
                      <w:szCs w:val="18"/>
                      <w:vertAlign w:val="superscript"/>
                    </w:rPr>
                    <w:t>-4</w:t>
                  </w:r>
                </w:p>
              </w:tc>
              <w:tc>
                <w:tcPr>
                  <w:tcW w:w="662" w:type="pct"/>
                  <w:vAlign w:val="center"/>
                </w:tcPr>
                <w:p w14:paraId="3DB0383E" w14:textId="77777777" w:rsidR="00F76A63" w:rsidRDefault="00000000">
                  <w:pPr>
                    <w:adjustRightInd w:val="0"/>
                    <w:snapToGrid w:val="0"/>
                    <w:jc w:val="center"/>
                    <w:rPr>
                      <w:sz w:val="18"/>
                      <w:szCs w:val="18"/>
                    </w:rPr>
                  </w:pPr>
                  <w:r>
                    <w:rPr>
                      <w:rFonts w:hint="eastAsia"/>
                      <w:sz w:val="18"/>
                      <w:szCs w:val="18"/>
                    </w:rPr>
                    <w:t>5.37x10</w:t>
                  </w:r>
                  <w:r>
                    <w:rPr>
                      <w:rFonts w:hint="eastAsia"/>
                      <w:sz w:val="18"/>
                      <w:szCs w:val="18"/>
                      <w:vertAlign w:val="superscript"/>
                    </w:rPr>
                    <w:t>-4</w:t>
                  </w:r>
                </w:p>
              </w:tc>
              <w:tc>
                <w:tcPr>
                  <w:tcW w:w="922" w:type="pct"/>
                  <w:vAlign w:val="center"/>
                </w:tcPr>
                <w:p w14:paraId="2C6A7FA9" w14:textId="77777777" w:rsidR="00F76A63" w:rsidRDefault="00000000">
                  <w:pPr>
                    <w:adjustRightInd w:val="0"/>
                    <w:snapToGrid w:val="0"/>
                    <w:jc w:val="center"/>
                    <w:rPr>
                      <w:sz w:val="18"/>
                      <w:szCs w:val="18"/>
                    </w:rPr>
                  </w:pPr>
                  <w:r>
                    <w:rPr>
                      <w:rFonts w:hint="eastAsia"/>
                      <w:sz w:val="18"/>
                      <w:szCs w:val="18"/>
                    </w:rPr>
                    <w:t>5.45x10</w:t>
                  </w:r>
                  <w:r>
                    <w:rPr>
                      <w:rFonts w:hint="eastAsia"/>
                      <w:sz w:val="18"/>
                      <w:szCs w:val="18"/>
                      <w:vertAlign w:val="superscript"/>
                    </w:rPr>
                    <w:t>-4</w:t>
                  </w:r>
                </w:p>
              </w:tc>
              <w:tc>
                <w:tcPr>
                  <w:tcW w:w="661" w:type="pct"/>
                  <w:vAlign w:val="center"/>
                </w:tcPr>
                <w:p w14:paraId="0CB047C5" w14:textId="77777777" w:rsidR="00F76A63" w:rsidRDefault="00000000">
                  <w:pPr>
                    <w:adjustRightInd w:val="0"/>
                    <w:snapToGrid w:val="0"/>
                    <w:jc w:val="center"/>
                    <w:rPr>
                      <w:sz w:val="18"/>
                      <w:szCs w:val="18"/>
                    </w:rPr>
                  </w:pPr>
                  <w:r>
                    <w:rPr>
                      <w:sz w:val="18"/>
                      <w:szCs w:val="18"/>
                    </w:rPr>
                    <w:t>-</w:t>
                  </w:r>
                </w:p>
              </w:tc>
            </w:tr>
            <w:tr w:rsidR="00F76A63" w14:paraId="3767E041" w14:textId="77777777">
              <w:trPr>
                <w:trHeight w:val="340"/>
                <w:jc w:val="center"/>
              </w:trPr>
              <w:tc>
                <w:tcPr>
                  <w:tcW w:w="380" w:type="pct"/>
                  <w:vMerge w:val="restart"/>
                  <w:vAlign w:val="center"/>
                </w:tcPr>
                <w:p w14:paraId="532F1A56" w14:textId="77777777" w:rsidR="00F76A63" w:rsidRDefault="00000000">
                  <w:pPr>
                    <w:adjustRightInd w:val="0"/>
                    <w:snapToGrid w:val="0"/>
                    <w:jc w:val="center"/>
                    <w:rPr>
                      <w:sz w:val="18"/>
                      <w:szCs w:val="18"/>
                    </w:rPr>
                  </w:pPr>
                  <w:r>
                    <w:rPr>
                      <w:sz w:val="18"/>
                      <w:szCs w:val="18"/>
                    </w:rPr>
                    <w:t>锡</w:t>
                  </w:r>
                </w:p>
              </w:tc>
              <w:tc>
                <w:tcPr>
                  <w:tcW w:w="958" w:type="pct"/>
                  <w:vAlign w:val="center"/>
                </w:tcPr>
                <w:p w14:paraId="511245DC"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450EE2FC"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6726C41F"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553ECCA6"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653DF204"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147A6B02" w14:textId="77777777" w:rsidR="00F76A63" w:rsidRDefault="00000000">
                  <w:pPr>
                    <w:adjustRightInd w:val="0"/>
                    <w:snapToGrid w:val="0"/>
                    <w:jc w:val="center"/>
                    <w:rPr>
                      <w:sz w:val="18"/>
                      <w:szCs w:val="18"/>
                    </w:rPr>
                  </w:pPr>
                  <w:r>
                    <w:rPr>
                      <w:sz w:val="18"/>
                      <w:szCs w:val="18"/>
                    </w:rPr>
                    <w:t>-</w:t>
                  </w:r>
                </w:p>
              </w:tc>
            </w:tr>
            <w:tr w:rsidR="00F76A63" w14:paraId="24DA954D" w14:textId="77777777">
              <w:trPr>
                <w:trHeight w:val="340"/>
                <w:jc w:val="center"/>
              </w:trPr>
              <w:tc>
                <w:tcPr>
                  <w:tcW w:w="380" w:type="pct"/>
                  <w:vMerge/>
                  <w:vAlign w:val="center"/>
                </w:tcPr>
                <w:p w14:paraId="2712DDC1" w14:textId="77777777" w:rsidR="00F76A63" w:rsidRDefault="00F76A63">
                  <w:pPr>
                    <w:adjustRightInd w:val="0"/>
                    <w:snapToGrid w:val="0"/>
                    <w:jc w:val="center"/>
                    <w:rPr>
                      <w:sz w:val="18"/>
                      <w:szCs w:val="18"/>
                    </w:rPr>
                  </w:pPr>
                </w:p>
              </w:tc>
              <w:tc>
                <w:tcPr>
                  <w:tcW w:w="958" w:type="pct"/>
                  <w:vAlign w:val="center"/>
                </w:tcPr>
                <w:p w14:paraId="19D1FB2D"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279D9A75"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643B3B51"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4F5F70D6"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1B78967D"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7C31FD97" w14:textId="77777777" w:rsidR="00F76A63" w:rsidRDefault="00000000">
                  <w:pPr>
                    <w:adjustRightInd w:val="0"/>
                    <w:snapToGrid w:val="0"/>
                    <w:jc w:val="center"/>
                    <w:rPr>
                      <w:sz w:val="18"/>
                      <w:szCs w:val="18"/>
                    </w:rPr>
                  </w:pPr>
                  <w:r>
                    <w:rPr>
                      <w:sz w:val="18"/>
                      <w:szCs w:val="18"/>
                    </w:rPr>
                    <w:t>0.5</w:t>
                  </w:r>
                </w:p>
              </w:tc>
            </w:tr>
            <w:tr w:rsidR="00F76A63" w14:paraId="61AD9274" w14:textId="77777777">
              <w:trPr>
                <w:trHeight w:val="340"/>
                <w:jc w:val="center"/>
              </w:trPr>
              <w:tc>
                <w:tcPr>
                  <w:tcW w:w="380" w:type="pct"/>
                  <w:vMerge/>
                  <w:vAlign w:val="center"/>
                </w:tcPr>
                <w:p w14:paraId="709E5FCB" w14:textId="77777777" w:rsidR="00F76A63" w:rsidRDefault="00F76A63">
                  <w:pPr>
                    <w:adjustRightInd w:val="0"/>
                    <w:snapToGrid w:val="0"/>
                    <w:jc w:val="center"/>
                    <w:rPr>
                      <w:sz w:val="18"/>
                      <w:szCs w:val="18"/>
                    </w:rPr>
                  </w:pPr>
                </w:p>
              </w:tc>
              <w:tc>
                <w:tcPr>
                  <w:tcW w:w="958" w:type="pct"/>
                  <w:vAlign w:val="center"/>
                </w:tcPr>
                <w:p w14:paraId="06CDF120"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25A80E33"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3B358F7F"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10CED43B"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69B08DC8"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353C3442" w14:textId="77777777" w:rsidR="00F76A63" w:rsidRDefault="00000000">
                  <w:pPr>
                    <w:adjustRightInd w:val="0"/>
                    <w:snapToGrid w:val="0"/>
                    <w:jc w:val="center"/>
                    <w:rPr>
                      <w:sz w:val="18"/>
                      <w:szCs w:val="18"/>
                    </w:rPr>
                  </w:pPr>
                  <w:r>
                    <w:rPr>
                      <w:sz w:val="18"/>
                      <w:szCs w:val="18"/>
                    </w:rPr>
                    <w:t>-</w:t>
                  </w:r>
                </w:p>
              </w:tc>
            </w:tr>
            <w:tr w:rsidR="00F76A63" w14:paraId="149D4D19" w14:textId="77777777">
              <w:trPr>
                <w:trHeight w:val="340"/>
                <w:jc w:val="center"/>
              </w:trPr>
              <w:tc>
                <w:tcPr>
                  <w:tcW w:w="1338" w:type="pct"/>
                  <w:gridSpan w:val="2"/>
                  <w:vAlign w:val="center"/>
                </w:tcPr>
                <w:p w14:paraId="5AD85B1C" w14:textId="77777777" w:rsidR="00F76A63" w:rsidRDefault="00000000">
                  <w:pPr>
                    <w:adjustRightInd w:val="0"/>
                    <w:snapToGrid w:val="0"/>
                    <w:jc w:val="center"/>
                    <w:rPr>
                      <w:sz w:val="18"/>
                      <w:szCs w:val="18"/>
                    </w:rPr>
                  </w:pPr>
                  <w:r>
                    <w:rPr>
                      <w:sz w:val="18"/>
                      <w:szCs w:val="18"/>
                    </w:rPr>
                    <w:t>二噁英</w:t>
                  </w:r>
                  <w:r>
                    <w:rPr>
                      <w:sz w:val="18"/>
                      <w:szCs w:val="18"/>
                    </w:rPr>
                    <w:t>ngTEQ/m</w:t>
                  </w:r>
                  <w:r>
                    <w:rPr>
                      <w:sz w:val="18"/>
                      <w:szCs w:val="18"/>
                      <w:vertAlign w:val="superscript"/>
                    </w:rPr>
                    <w:t>3</w:t>
                  </w:r>
                </w:p>
              </w:tc>
              <w:tc>
                <w:tcPr>
                  <w:tcW w:w="686" w:type="pct"/>
                  <w:vAlign w:val="center"/>
                </w:tcPr>
                <w:p w14:paraId="392C1B63" w14:textId="77777777" w:rsidR="00F76A63" w:rsidRDefault="00000000">
                  <w:pPr>
                    <w:adjustRightInd w:val="0"/>
                    <w:snapToGrid w:val="0"/>
                    <w:jc w:val="center"/>
                    <w:rPr>
                      <w:sz w:val="18"/>
                      <w:szCs w:val="18"/>
                    </w:rPr>
                  </w:pPr>
                  <w:r>
                    <w:rPr>
                      <w:sz w:val="18"/>
                      <w:szCs w:val="18"/>
                    </w:rPr>
                    <w:t>0.00</w:t>
                  </w:r>
                  <w:r>
                    <w:rPr>
                      <w:rFonts w:hint="eastAsia"/>
                      <w:sz w:val="18"/>
                      <w:szCs w:val="18"/>
                    </w:rPr>
                    <w:t>3</w:t>
                  </w:r>
                  <w:r>
                    <w:rPr>
                      <w:sz w:val="18"/>
                      <w:szCs w:val="18"/>
                    </w:rPr>
                    <w:t>ngTEQ/m</w:t>
                  </w:r>
                  <w:bookmarkStart w:id="100" w:name="OLE_LINK68"/>
                  <w:r>
                    <w:rPr>
                      <w:sz w:val="18"/>
                      <w:szCs w:val="18"/>
                      <w:vertAlign w:val="superscript"/>
                    </w:rPr>
                    <w:t>3</w:t>
                  </w:r>
                  <w:bookmarkEnd w:id="100"/>
                </w:p>
              </w:tc>
              <w:tc>
                <w:tcPr>
                  <w:tcW w:w="731" w:type="pct"/>
                  <w:vAlign w:val="center"/>
                </w:tcPr>
                <w:p w14:paraId="6C23731D" w14:textId="77777777" w:rsidR="00F76A63" w:rsidRDefault="00000000">
                  <w:pPr>
                    <w:adjustRightInd w:val="0"/>
                    <w:snapToGrid w:val="0"/>
                    <w:jc w:val="center"/>
                    <w:rPr>
                      <w:sz w:val="18"/>
                      <w:szCs w:val="18"/>
                    </w:rPr>
                  </w:pPr>
                  <w:r>
                    <w:rPr>
                      <w:sz w:val="18"/>
                      <w:szCs w:val="18"/>
                    </w:rPr>
                    <w:t>0.0</w:t>
                  </w:r>
                  <w:r>
                    <w:rPr>
                      <w:rFonts w:hint="eastAsia"/>
                      <w:sz w:val="18"/>
                      <w:szCs w:val="18"/>
                    </w:rPr>
                    <w:t>102</w:t>
                  </w:r>
                  <w:r>
                    <w:rPr>
                      <w:sz w:val="18"/>
                      <w:szCs w:val="18"/>
                    </w:rPr>
                    <w:t>ngTEQ/m</w:t>
                  </w:r>
                  <w:bookmarkStart w:id="101" w:name="OLE_LINK69"/>
                  <w:r>
                    <w:rPr>
                      <w:sz w:val="18"/>
                      <w:szCs w:val="18"/>
                      <w:vertAlign w:val="superscript"/>
                    </w:rPr>
                    <w:t>3</w:t>
                  </w:r>
                  <w:bookmarkEnd w:id="101"/>
                </w:p>
              </w:tc>
              <w:tc>
                <w:tcPr>
                  <w:tcW w:w="662" w:type="pct"/>
                  <w:vAlign w:val="center"/>
                </w:tcPr>
                <w:p w14:paraId="27040AAF" w14:textId="77777777" w:rsidR="00F76A63" w:rsidRDefault="00000000">
                  <w:pPr>
                    <w:adjustRightInd w:val="0"/>
                    <w:snapToGrid w:val="0"/>
                    <w:jc w:val="center"/>
                    <w:rPr>
                      <w:sz w:val="18"/>
                      <w:szCs w:val="18"/>
                    </w:rPr>
                  </w:pPr>
                  <w:r>
                    <w:rPr>
                      <w:sz w:val="18"/>
                      <w:szCs w:val="18"/>
                    </w:rPr>
                    <w:t>0.00</w:t>
                  </w:r>
                  <w:r>
                    <w:rPr>
                      <w:rFonts w:hint="eastAsia"/>
                      <w:sz w:val="18"/>
                      <w:szCs w:val="18"/>
                    </w:rPr>
                    <w:t>073</w:t>
                  </w:r>
                  <w:r>
                    <w:rPr>
                      <w:sz w:val="18"/>
                      <w:szCs w:val="18"/>
                    </w:rPr>
                    <w:t>ngTEQ/m</w:t>
                  </w:r>
                  <w:r>
                    <w:rPr>
                      <w:sz w:val="18"/>
                      <w:szCs w:val="18"/>
                      <w:vertAlign w:val="superscript"/>
                    </w:rPr>
                    <w:t>3</w:t>
                  </w:r>
                </w:p>
              </w:tc>
              <w:tc>
                <w:tcPr>
                  <w:tcW w:w="922" w:type="pct"/>
                  <w:vAlign w:val="center"/>
                </w:tcPr>
                <w:p w14:paraId="611AABD2" w14:textId="77777777" w:rsidR="00F76A63" w:rsidRDefault="00000000">
                  <w:pPr>
                    <w:adjustRightInd w:val="0"/>
                    <w:snapToGrid w:val="0"/>
                    <w:jc w:val="center"/>
                    <w:rPr>
                      <w:sz w:val="18"/>
                      <w:szCs w:val="18"/>
                    </w:rPr>
                  </w:pPr>
                  <w:r>
                    <w:rPr>
                      <w:sz w:val="18"/>
                      <w:szCs w:val="18"/>
                    </w:rPr>
                    <w:t>0.0</w:t>
                  </w:r>
                  <w:r>
                    <w:rPr>
                      <w:rFonts w:hint="eastAsia"/>
                      <w:sz w:val="18"/>
                      <w:szCs w:val="18"/>
                    </w:rPr>
                    <w:t>016</w:t>
                  </w:r>
                  <w:r>
                    <w:rPr>
                      <w:sz w:val="18"/>
                      <w:szCs w:val="18"/>
                    </w:rPr>
                    <w:t>ngTEO/m</w:t>
                  </w:r>
                  <w:r>
                    <w:rPr>
                      <w:sz w:val="18"/>
                      <w:szCs w:val="18"/>
                      <w:vertAlign w:val="superscript"/>
                    </w:rPr>
                    <w:t>3</w:t>
                  </w:r>
                </w:p>
              </w:tc>
              <w:tc>
                <w:tcPr>
                  <w:tcW w:w="661" w:type="pct"/>
                  <w:vAlign w:val="center"/>
                </w:tcPr>
                <w:p w14:paraId="573E85BB" w14:textId="77777777" w:rsidR="00F76A63" w:rsidRDefault="00000000">
                  <w:pPr>
                    <w:adjustRightInd w:val="0"/>
                    <w:snapToGrid w:val="0"/>
                    <w:jc w:val="center"/>
                    <w:rPr>
                      <w:sz w:val="18"/>
                      <w:szCs w:val="18"/>
                    </w:rPr>
                  </w:pPr>
                  <w:r>
                    <w:rPr>
                      <w:sz w:val="18"/>
                      <w:szCs w:val="18"/>
                    </w:rPr>
                    <w:t>0.1</w:t>
                  </w:r>
                </w:p>
              </w:tc>
            </w:tr>
          </w:tbl>
          <w:p w14:paraId="71A37CB7" w14:textId="77777777" w:rsidR="00F76A63" w:rsidRDefault="00000000">
            <w:pPr>
              <w:adjustRightInd w:val="0"/>
              <w:snapToGrid w:val="0"/>
              <w:spacing w:line="500" w:lineRule="exact"/>
              <w:ind w:firstLine="482"/>
              <w:jc w:val="center"/>
              <w:rPr>
                <w:b/>
                <w:sz w:val="24"/>
              </w:rPr>
            </w:pPr>
            <w:bookmarkStart w:id="102" w:name="OLE_LINK32"/>
            <w:r>
              <w:rPr>
                <w:b/>
                <w:sz w:val="24"/>
              </w:rPr>
              <w:t>表</w:t>
            </w:r>
            <w:r>
              <w:rPr>
                <w:b/>
                <w:sz w:val="24"/>
              </w:rPr>
              <w:t>2-</w:t>
            </w:r>
            <w:r>
              <w:rPr>
                <w:rFonts w:hint="eastAsia"/>
                <w:b/>
                <w:sz w:val="24"/>
              </w:rPr>
              <w:t>51</w:t>
            </w:r>
            <w:r>
              <w:rPr>
                <w:b/>
                <w:sz w:val="24"/>
              </w:rPr>
              <w:t xml:space="preserve">  2#</w:t>
            </w:r>
            <w:r>
              <w:rPr>
                <w:b/>
                <w:sz w:val="24"/>
              </w:rPr>
              <w:t>熟料生产窑尾有组织废气监测结果</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418"/>
              <w:gridCol w:w="1163"/>
              <w:gridCol w:w="818"/>
              <w:gridCol w:w="824"/>
              <w:gridCol w:w="824"/>
              <w:gridCol w:w="672"/>
              <w:gridCol w:w="824"/>
              <w:gridCol w:w="824"/>
              <w:gridCol w:w="824"/>
              <w:gridCol w:w="572"/>
              <w:gridCol w:w="414"/>
            </w:tblGrid>
            <w:tr w:rsidR="00F76A63" w14:paraId="0889ABB3" w14:textId="77777777">
              <w:trPr>
                <w:trHeight w:val="340"/>
                <w:jc w:val="center"/>
              </w:trPr>
              <w:tc>
                <w:tcPr>
                  <w:tcW w:w="966" w:type="pct"/>
                  <w:gridSpan w:val="2"/>
                  <w:vMerge w:val="restart"/>
                  <w:vAlign w:val="center"/>
                </w:tcPr>
                <w:bookmarkEnd w:id="102"/>
                <w:p w14:paraId="27F46102" w14:textId="77777777" w:rsidR="00F76A63" w:rsidRDefault="00000000">
                  <w:pPr>
                    <w:adjustRightInd w:val="0"/>
                    <w:snapToGrid w:val="0"/>
                    <w:jc w:val="center"/>
                    <w:rPr>
                      <w:b/>
                      <w:bCs/>
                      <w:sz w:val="18"/>
                      <w:szCs w:val="18"/>
                    </w:rPr>
                  </w:pPr>
                  <w:r>
                    <w:rPr>
                      <w:b/>
                      <w:bCs/>
                      <w:sz w:val="18"/>
                      <w:szCs w:val="18"/>
                    </w:rPr>
                    <w:t>检测项目</w:t>
                  </w:r>
                </w:p>
              </w:tc>
              <w:tc>
                <w:tcPr>
                  <w:tcW w:w="4034" w:type="pct"/>
                  <w:gridSpan w:val="9"/>
                  <w:tcBorders>
                    <w:bottom w:val="single" w:sz="4" w:space="0" w:color="auto"/>
                    <w:right w:val="nil"/>
                  </w:tcBorders>
                  <w:vAlign w:val="center"/>
                </w:tcPr>
                <w:p w14:paraId="653A4C30" w14:textId="77777777" w:rsidR="00F76A63" w:rsidRDefault="00000000">
                  <w:pPr>
                    <w:adjustRightInd w:val="0"/>
                    <w:snapToGrid w:val="0"/>
                    <w:jc w:val="center"/>
                    <w:rPr>
                      <w:b/>
                      <w:bCs/>
                      <w:sz w:val="18"/>
                      <w:szCs w:val="18"/>
                    </w:rPr>
                  </w:pPr>
                  <w:r>
                    <w:rPr>
                      <w:b/>
                      <w:bCs/>
                      <w:sz w:val="18"/>
                      <w:szCs w:val="18"/>
                    </w:rPr>
                    <w:t>（</w:t>
                  </w:r>
                  <w:r>
                    <w:rPr>
                      <w:b/>
                      <w:bCs/>
                      <w:sz w:val="18"/>
                      <w:szCs w:val="18"/>
                    </w:rPr>
                    <w:t>DA014</w:t>
                  </w:r>
                  <w:r>
                    <w:rPr>
                      <w:b/>
                      <w:bCs/>
                      <w:sz w:val="18"/>
                      <w:szCs w:val="18"/>
                    </w:rPr>
                    <w:t>）二线窑尾排气筒</w:t>
                  </w:r>
                </w:p>
              </w:tc>
            </w:tr>
            <w:tr w:rsidR="00F76A63" w14:paraId="01A873F4" w14:textId="77777777">
              <w:trPr>
                <w:trHeight w:val="340"/>
                <w:jc w:val="center"/>
              </w:trPr>
              <w:tc>
                <w:tcPr>
                  <w:tcW w:w="966" w:type="pct"/>
                  <w:gridSpan w:val="2"/>
                  <w:vMerge/>
                  <w:vAlign w:val="center"/>
                </w:tcPr>
                <w:p w14:paraId="248CB8D6" w14:textId="77777777" w:rsidR="00F76A63" w:rsidRDefault="00F76A63">
                  <w:pPr>
                    <w:adjustRightInd w:val="0"/>
                    <w:snapToGrid w:val="0"/>
                    <w:jc w:val="center"/>
                    <w:rPr>
                      <w:b/>
                      <w:bCs/>
                      <w:sz w:val="18"/>
                      <w:szCs w:val="18"/>
                    </w:rPr>
                  </w:pPr>
                </w:p>
              </w:tc>
              <w:tc>
                <w:tcPr>
                  <w:tcW w:w="4034" w:type="pct"/>
                  <w:gridSpan w:val="9"/>
                  <w:tcBorders>
                    <w:top w:val="single" w:sz="4" w:space="0" w:color="auto"/>
                    <w:bottom w:val="single" w:sz="4" w:space="0" w:color="auto"/>
                    <w:right w:val="nil"/>
                  </w:tcBorders>
                  <w:vAlign w:val="center"/>
                </w:tcPr>
                <w:p w14:paraId="459BB62B" w14:textId="77777777" w:rsidR="00F76A63" w:rsidRDefault="00000000">
                  <w:pPr>
                    <w:adjustRightInd w:val="0"/>
                    <w:snapToGrid w:val="0"/>
                    <w:jc w:val="center"/>
                    <w:rPr>
                      <w:b/>
                      <w:bCs/>
                      <w:sz w:val="18"/>
                      <w:szCs w:val="18"/>
                    </w:rPr>
                  </w:pPr>
                  <w:r>
                    <w:rPr>
                      <w:b/>
                      <w:bCs/>
                      <w:sz w:val="18"/>
                      <w:szCs w:val="18"/>
                    </w:rPr>
                    <w:t>202</w:t>
                  </w:r>
                  <w:r>
                    <w:rPr>
                      <w:rFonts w:hint="eastAsia"/>
                      <w:b/>
                      <w:bCs/>
                      <w:sz w:val="18"/>
                      <w:szCs w:val="18"/>
                    </w:rPr>
                    <w:t>6.04.02</w:t>
                  </w:r>
                </w:p>
              </w:tc>
            </w:tr>
            <w:tr w:rsidR="00F76A63" w14:paraId="66CB42E4" w14:textId="77777777">
              <w:trPr>
                <w:trHeight w:val="340"/>
                <w:jc w:val="center"/>
              </w:trPr>
              <w:tc>
                <w:tcPr>
                  <w:tcW w:w="966" w:type="pct"/>
                  <w:gridSpan w:val="2"/>
                  <w:vMerge/>
                  <w:vAlign w:val="center"/>
                </w:tcPr>
                <w:p w14:paraId="3675136F" w14:textId="77777777" w:rsidR="00F76A63" w:rsidRDefault="00F76A63">
                  <w:pPr>
                    <w:adjustRightInd w:val="0"/>
                    <w:snapToGrid w:val="0"/>
                    <w:jc w:val="center"/>
                    <w:rPr>
                      <w:b/>
                      <w:bCs/>
                      <w:sz w:val="18"/>
                      <w:szCs w:val="18"/>
                    </w:rPr>
                  </w:pPr>
                </w:p>
              </w:tc>
              <w:tc>
                <w:tcPr>
                  <w:tcW w:w="500" w:type="pct"/>
                  <w:tcBorders>
                    <w:top w:val="single" w:sz="4" w:space="0" w:color="auto"/>
                  </w:tcBorders>
                  <w:vAlign w:val="center"/>
                </w:tcPr>
                <w:p w14:paraId="44776137" w14:textId="77777777" w:rsidR="00F76A63" w:rsidRDefault="00000000">
                  <w:pPr>
                    <w:adjustRightInd w:val="0"/>
                    <w:snapToGrid w:val="0"/>
                    <w:jc w:val="center"/>
                    <w:rPr>
                      <w:b/>
                      <w:bCs/>
                      <w:sz w:val="18"/>
                      <w:szCs w:val="18"/>
                    </w:rPr>
                  </w:pPr>
                  <w:r>
                    <w:rPr>
                      <w:b/>
                      <w:bCs/>
                      <w:sz w:val="18"/>
                      <w:szCs w:val="18"/>
                    </w:rPr>
                    <w:t>第一次</w:t>
                  </w:r>
                </w:p>
              </w:tc>
              <w:tc>
                <w:tcPr>
                  <w:tcW w:w="504" w:type="pct"/>
                  <w:tcBorders>
                    <w:top w:val="single" w:sz="4" w:space="0" w:color="auto"/>
                  </w:tcBorders>
                  <w:vAlign w:val="center"/>
                </w:tcPr>
                <w:p w14:paraId="32D962C2" w14:textId="77777777" w:rsidR="00F76A63" w:rsidRDefault="00000000">
                  <w:pPr>
                    <w:adjustRightInd w:val="0"/>
                    <w:snapToGrid w:val="0"/>
                    <w:jc w:val="center"/>
                    <w:rPr>
                      <w:b/>
                      <w:bCs/>
                      <w:sz w:val="18"/>
                      <w:szCs w:val="18"/>
                    </w:rPr>
                  </w:pPr>
                  <w:r>
                    <w:rPr>
                      <w:b/>
                      <w:bCs/>
                      <w:sz w:val="18"/>
                      <w:szCs w:val="18"/>
                    </w:rPr>
                    <w:t>第二次</w:t>
                  </w:r>
                </w:p>
              </w:tc>
              <w:tc>
                <w:tcPr>
                  <w:tcW w:w="504" w:type="pct"/>
                  <w:tcBorders>
                    <w:top w:val="single" w:sz="4" w:space="0" w:color="auto"/>
                  </w:tcBorders>
                  <w:vAlign w:val="center"/>
                </w:tcPr>
                <w:p w14:paraId="58AE75E8" w14:textId="77777777" w:rsidR="00F76A63" w:rsidRDefault="00000000">
                  <w:pPr>
                    <w:adjustRightInd w:val="0"/>
                    <w:snapToGrid w:val="0"/>
                    <w:jc w:val="center"/>
                    <w:rPr>
                      <w:b/>
                      <w:bCs/>
                      <w:sz w:val="18"/>
                      <w:szCs w:val="18"/>
                    </w:rPr>
                  </w:pPr>
                  <w:r>
                    <w:rPr>
                      <w:b/>
                      <w:bCs/>
                      <w:sz w:val="18"/>
                      <w:szCs w:val="18"/>
                    </w:rPr>
                    <w:t>第三次</w:t>
                  </w:r>
                </w:p>
              </w:tc>
              <w:tc>
                <w:tcPr>
                  <w:tcW w:w="411" w:type="pct"/>
                  <w:tcBorders>
                    <w:top w:val="single" w:sz="4" w:space="0" w:color="auto"/>
                  </w:tcBorders>
                  <w:vAlign w:val="center"/>
                </w:tcPr>
                <w:p w14:paraId="37EE1F6C" w14:textId="77777777" w:rsidR="00F76A63" w:rsidRDefault="00000000">
                  <w:pPr>
                    <w:adjustRightInd w:val="0"/>
                    <w:snapToGrid w:val="0"/>
                    <w:jc w:val="center"/>
                    <w:rPr>
                      <w:b/>
                      <w:bCs/>
                      <w:sz w:val="18"/>
                      <w:szCs w:val="18"/>
                    </w:rPr>
                  </w:pPr>
                  <w:r>
                    <w:rPr>
                      <w:b/>
                      <w:bCs/>
                      <w:sz w:val="18"/>
                      <w:szCs w:val="18"/>
                    </w:rPr>
                    <w:t>平均值</w:t>
                  </w:r>
                </w:p>
              </w:tc>
              <w:tc>
                <w:tcPr>
                  <w:tcW w:w="504" w:type="pct"/>
                  <w:tcBorders>
                    <w:top w:val="single" w:sz="4" w:space="0" w:color="auto"/>
                  </w:tcBorders>
                  <w:vAlign w:val="center"/>
                </w:tcPr>
                <w:p w14:paraId="4538396B" w14:textId="77777777" w:rsidR="00F76A63" w:rsidRDefault="00000000">
                  <w:pPr>
                    <w:adjustRightInd w:val="0"/>
                    <w:snapToGrid w:val="0"/>
                    <w:jc w:val="center"/>
                    <w:rPr>
                      <w:b/>
                      <w:bCs/>
                      <w:sz w:val="18"/>
                      <w:szCs w:val="18"/>
                    </w:rPr>
                  </w:pPr>
                  <w:r>
                    <w:rPr>
                      <w:b/>
                      <w:bCs/>
                      <w:sz w:val="18"/>
                      <w:szCs w:val="18"/>
                    </w:rPr>
                    <w:t>第四次</w:t>
                  </w:r>
                </w:p>
              </w:tc>
              <w:tc>
                <w:tcPr>
                  <w:tcW w:w="504" w:type="pct"/>
                  <w:tcBorders>
                    <w:top w:val="single" w:sz="4" w:space="0" w:color="auto"/>
                  </w:tcBorders>
                  <w:vAlign w:val="center"/>
                </w:tcPr>
                <w:p w14:paraId="18FF86C7" w14:textId="77777777" w:rsidR="00F76A63" w:rsidRDefault="00000000">
                  <w:pPr>
                    <w:adjustRightInd w:val="0"/>
                    <w:snapToGrid w:val="0"/>
                    <w:jc w:val="center"/>
                    <w:rPr>
                      <w:b/>
                      <w:bCs/>
                      <w:sz w:val="18"/>
                      <w:szCs w:val="18"/>
                    </w:rPr>
                  </w:pPr>
                  <w:r>
                    <w:rPr>
                      <w:b/>
                      <w:bCs/>
                      <w:sz w:val="18"/>
                      <w:szCs w:val="18"/>
                    </w:rPr>
                    <w:t>第五次</w:t>
                  </w:r>
                </w:p>
              </w:tc>
              <w:tc>
                <w:tcPr>
                  <w:tcW w:w="504" w:type="pct"/>
                  <w:tcBorders>
                    <w:top w:val="single" w:sz="4" w:space="0" w:color="auto"/>
                  </w:tcBorders>
                  <w:vAlign w:val="center"/>
                </w:tcPr>
                <w:p w14:paraId="1DE25005" w14:textId="77777777" w:rsidR="00F76A63" w:rsidRDefault="00000000">
                  <w:pPr>
                    <w:adjustRightInd w:val="0"/>
                    <w:snapToGrid w:val="0"/>
                    <w:jc w:val="center"/>
                    <w:rPr>
                      <w:b/>
                      <w:bCs/>
                      <w:sz w:val="18"/>
                      <w:szCs w:val="18"/>
                    </w:rPr>
                  </w:pPr>
                  <w:r>
                    <w:rPr>
                      <w:b/>
                      <w:bCs/>
                      <w:sz w:val="18"/>
                      <w:szCs w:val="18"/>
                    </w:rPr>
                    <w:t>第六次</w:t>
                  </w:r>
                </w:p>
              </w:tc>
              <w:tc>
                <w:tcPr>
                  <w:tcW w:w="349" w:type="pct"/>
                  <w:tcBorders>
                    <w:top w:val="single" w:sz="4" w:space="0" w:color="auto"/>
                  </w:tcBorders>
                  <w:vAlign w:val="center"/>
                </w:tcPr>
                <w:p w14:paraId="0E248D7C" w14:textId="77777777" w:rsidR="00F76A63" w:rsidRDefault="00000000">
                  <w:pPr>
                    <w:adjustRightInd w:val="0"/>
                    <w:snapToGrid w:val="0"/>
                    <w:jc w:val="center"/>
                    <w:rPr>
                      <w:b/>
                      <w:bCs/>
                      <w:sz w:val="18"/>
                      <w:szCs w:val="18"/>
                    </w:rPr>
                  </w:pPr>
                  <w:r>
                    <w:rPr>
                      <w:b/>
                      <w:bCs/>
                      <w:sz w:val="18"/>
                      <w:szCs w:val="18"/>
                    </w:rPr>
                    <w:t>平均值</w:t>
                  </w:r>
                </w:p>
              </w:tc>
              <w:tc>
                <w:tcPr>
                  <w:tcW w:w="253" w:type="pct"/>
                  <w:tcBorders>
                    <w:top w:val="single" w:sz="4" w:space="0" w:color="auto"/>
                  </w:tcBorders>
                  <w:vAlign w:val="center"/>
                </w:tcPr>
                <w:p w14:paraId="2B549455" w14:textId="77777777" w:rsidR="00F76A63" w:rsidRDefault="00000000">
                  <w:pPr>
                    <w:adjustRightInd w:val="0"/>
                    <w:snapToGrid w:val="0"/>
                    <w:jc w:val="center"/>
                    <w:rPr>
                      <w:b/>
                      <w:bCs/>
                      <w:sz w:val="18"/>
                      <w:szCs w:val="18"/>
                    </w:rPr>
                  </w:pPr>
                  <w:r>
                    <w:rPr>
                      <w:b/>
                      <w:bCs/>
                      <w:sz w:val="18"/>
                      <w:szCs w:val="18"/>
                    </w:rPr>
                    <w:t>标准限值</w:t>
                  </w:r>
                </w:p>
              </w:tc>
            </w:tr>
            <w:tr w:rsidR="00F76A63" w14:paraId="444E4D2C" w14:textId="77777777">
              <w:trPr>
                <w:trHeight w:val="340"/>
                <w:jc w:val="center"/>
              </w:trPr>
              <w:tc>
                <w:tcPr>
                  <w:tcW w:w="966" w:type="pct"/>
                  <w:gridSpan w:val="2"/>
                  <w:vAlign w:val="center"/>
                </w:tcPr>
                <w:p w14:paraId="1ED1FFA5" w14:textId="77777777" w:rsidR="00F76A63" w:rsidRDefault="00000000">
                  <w:pPr>
                    <w:adjustRightInd w:val="0"/>
                    <w:snapToGrid w:val="0"/>
                    <w:jc w:val="center"/>
                    <w:rPr>
                      <w:sz w:val="18"/>
                      <w:szCs w:val="18"/>
                    </w:rPr>
                  </w:pPr>
                  <w:r>
                    <w:rPr>
                      <w:sz w:val="18"/>
                      <w:szCs w:val="18"/>
                    </w:rPr>
                    <w:t>温度（</w:t>
                  </w:r>
                  <w:r>
                    <w:rPr>
                      <w:sz w:val="18"/>
                      <w:szCs w:val="18"/>
                    </w:rPr>
                    <w:t>℃</w:t>
                  </w:r>
                  <w:r>
                    <w:rPr>
                      <w:sz w:val="18"/>
                      <w:szCs w:val="18"/>
                    </w:rPr>
                    <w:t>）</w:t>
                  </w:r>
                </w:p>
              </w:tc>
              <w:tc>
                <w:tcPr>
                  <w:tcW w:w="500" w:type="pct"/>
                  <w:vAlign w:val="center"/>
                </w:tcPr>
                <w:p w14:paraId="7949161C" w14:textId="77777777" w:rsidR="00F76A63" w:rsidRDefault="00000000">
                  <w:pPr>
                    <w:adjustRightInd w:val="0"/>
                    <w:snapToGrid w:val="0"/>
                    <w:jc w:val="center"/>
                    <w:rPr>
                      <w:sz w:val="18"/>
                      <w:szCs w:val="18"/>
                    </w:rPr>
                  </w:pPr>
                  <w:r>
                    <w:rPr>
                      <w:rFonts w:hint="eastAsia"/>
                      <w:sz w:val="18"/>
                      <w:szCs w:val="18"/>
                    </w:rPr>
                    <w:t>153.2</w:t>
                  </w:r>
                </w:p>
              </w:tc>
              <w:tc>
                <w:tcPr>
                  <w:tcW w:w="504" w:type="pct"/>
                  <w:vAlign w:val="center"/>
                </w:tcPr>
                <w:p w14:paraId="03E220B8" w14:textId="77777777" w:rsidR="00F76A63" w:rsidRDefault="00000000">
                  <w:pPr>
                    <w:adjustRightInd w:val="0"/>
                    <w:snapToGrid w:val="0"/>
                    <w:jc w:val="center"/>
                    <w:rPr>
                      <w:sz w:val="18"/>
                      <w:szCs w:val="18"/>
                    </w:rPr>
                  </w:pPr>
                  <w:r>
                    <w:rPr>
                      <w:rFonts w:hint="eastAsia"/>
                      <w:sz w:val="18"/>
                      <w:szCs w:val="18"/>
                    </w:rPr>
                    <w:t>140.5</w:t>
                  </w:r>
                </w:p>
              </w:tc>
              <w:tc>
                <w:tcPr>
                  <w:tcW w:w="504" w:type="pct"/>
                  <w:vAlign w:val="center"/>
                </w:tcPr>
                <w:p w14:paraId="150DDFBB" w14:textId="77777777" w:rsidR="00F76A63" w:rsidRDefault="00000000">
                  <w:pPr>
                    <w:adjustRightInd w:val="0"/>
                    <w:snapToGrid w:val="0"/>
                    <w:jc w:val="center"/>
                    <w:rPr>
                      <w:sz w:val="18"/>
                      <w:szCs w:val="18"/>
                    </w:rPr>
                  </w:pPr>
                  <w:r>
                    <w:rPr>
                      <w:rFonts w:hint="eastAsia"/>
                      <w:sz w:val="18"/>
                      <w:szCs w:val="18"/>
                    </w:rPr>
                    <w:t>142.1</w:t>
                  </w:r>
                </w:p>
              </w:tc>
              <w:tc>
                <w:tcPr>
                  <w:tcW w:w="411" w:type="pct"/>
                  <w:vAlign w:val="center"/>
                </w:tcPr>
                <w:p w14:paraId="504CB4D7" w14:textId="77777777" w:rsidR="00F76A63" w:rsidRDefault="00000000">
                  <w:pPr>
                    <w:adjustRightInd w:val="0"/>
                    <w:snapToGrid w:val="0"/>
                    <w:jc w:val="center"/>
                    <w:rPr>
                      <w:sz w:val="18"/>
                      <w:szCs w:val="18"/>
                    </w:rPr>
                  </w:pPr>
                  <w:r>
                    <w:rPr>
                      <w:rFonts w:hint="eastAsia"/>
                      <w:sz w:val="18"/>
                      <w:szCs w:val="18"/>
                    </w:rPr>
                    <w:t>145.3</w:t>
                  </w:r>
                </w:p>
              </w:tc>
              <w:tc>
                <w:tcPr>
                  <w:tcW w:w="1862" w:type="pct"/>
                  <w:gridSpan w:val="4"/>
                  <w:vMerge w:val="restart"/>
                  <w:vAlign w:val="center"/>
                </w:tcPr>
                <w:p w14:paraId="29C286E1" w14:textId="77777777" w:rsidR="00F76A63" w:rsidRDefault="00000000">
                  <w:pPr>
                    <w:adjustRightInd w:val="0"/>
                    <w:snapToGrid w:val="0"/>
                    <w:jc w:val="center"/>
                    <w:rPr>
                      <w:sz w:val="18"/>
                      <w:szCs w:val="18"/>
                    </w:rPr>
                  </w:pPr>
                  <w:r>
                    <w:rPr>
                      <w:sz w:val="18"/>
                      <w:szCs w:val="18"/>
                    </w:rPr>
                    <w:t>/</w:t>
                  </w:r>
                </w:p>
              </w:tc>
              <w:tc>
                <w:tcPr>
                  <w:tcW w:w="253" w:type="pct"/>
                  <w:vAlign w:val="center"/>
                </w:tcPr>
                <w:p w14:paraId="26BD395C" w14:textId="77777777" w:rsidR="00F76A63" w:rsidRDefault="00000000">
                  <w:pPr>
                    <w:adjustRightInd w:val="0"/>
                    <w:snapToGrid w:val="0"/>
                    <w:jc w:val="center"/>
                    <w:rPr>
                      <w:sz w:val="18"/>
                      <w:szCs w:val="18"/>
                    </w:rPr>
                  </w:pPr>
                  <w:r>
                    <w:rPr>
                      <w:sz w:val="18"/>
                      <w:szCs w:val="18"/>
                    </w:rPr>
                    <w:t>-</w:t>
                  </w:r>
                </w:p>
              </w:tc>
            </w:tr>
            <w:tr w:rsidR="00F76A63" w14:paraId="345EF47C" w14:textId="77777777">
              <w:trPr>
                <w:trHeight w:val="340"/>
                <w:jc w:val="center"/>
              </w:trPr>
              <w:tc>
                <w:tcPr>
                  <w:tcW w:w="966" w:type="pct"/>
                  <w:gridSpan w:val="2"/>
                  <w:vAlign w:val="center"/>
                </w:tcPr>
                <w:p w14:paraId="0AF36728" w14:textId="77777777" w:rsidR="00F76A63" w:rsidRDefault="00000000">
                  <w:pPr>
                    <w:adjustRightInd w:val="0"/>
                    <w:snapToGrid w:val="0"/>
                    <w:jc w:val="center"/>
                    <w:rPr>
                      <w:sz w:val="18"/>
                      <w:szCs w:val="18"/>
                    </w:rPr>
                  </w:pPr>
                  <w:r>
                    <w:rPr>
                      <w:sz w:val="18"/>
                      <w:szCs w:val="18"/>
                    </w:rPr>
                    <w:t>流速（</w:t>
                  </w:r>
                  <w:r>
                    <w:rPr>
                      <w:sz w:val="18"/>
                      <w:szCs w:val="18"/>
                    </w:rPr>
                    <w:t>m/s</w:t>
                  </w:r>
                  <w:r>
                    <w:rPr>
                      <w:sz w:val="18"/>
                      <w:szCs w:val="18"/>
                    </w:rPr>
                    <w:t>）</w:t>
                  </w:r>
                </w:p>
              </w:tc>
              <w:tc>
                <w:tcPr>
                  <w:tcW w:w="500" w:type="pct"/>
                  <w:vAlign w:val="center"/>
                </w:tcPr>
                <w:p w14:paraId="36C918A9" w14:textId="77777777" w:rsidR="00F76A63" w:rsidRDefault="00000000">
                  <w:pPr>
                    <w:adjustRightInd w:val="0"/>
                    <w:snapToGrid w:val="0"/>
                    <w:jc w:val="center"/>
                    <w:rPr>
                      <w:sz w:val="18"/>
                      <w:szCs w:val="18"/>
                    </w:rPr>
                  </w:pPr>
                  <w:r>
                    <w:rPr>
                      <w:rFonts w:hint="eastAsia"/>
                      <w:sz w:val="18"/>
                      <w:szCs w:val="18"/>
                    </w:rPr>
                    <w:t>28.5</w:t>
                  </w:r>
                </w:p>
              </w:tc>
              <w:tc>
                <w:tcPr>
                  <w:tcW w:w="504" w:type="pct"/>
                  <w:vAlign w:val="center"/>
                </w:tcPr>
                <w:p w14:paraId="5BC3EEE6" w14:textId="77777777" w:rsidR="00F76A63" w:rsidRDefault="00000000">
                  <w:pPr>
                    <w:adjustRightInd w:val="0"/>
                    <w:snapToGrid w:val="0"/>
                    <w:jc w:val="center"/>
                    <w:rPr>
                      <w:sz w:val="18"/>
                      <w:szCs w:val="18"/>
                    </w:rPr>
                  </w:pPr>
                  <w:r>
                    <w:rPr>
                      <w:rFonts w:hint="eastAsia"/>
                      <w:sz w:val="18"/>
                      <w:szCs w:val="18"/>
                    </w:rPr>
                    <w:t>29.1</w:t>
                  </w:r>
                </w:p>
              </w:tc>
              <w:tc>
                <w:tcPr>
                  <w:tcW w:w="504" w:type="pct"/>
                  <w:vAlign w:val="center"/>
                </w:tcPr>
                <w:p w14:paraId="06B0CFCA" w14:textId="77777777" w:rsidR="00F76A63" w:rsidRDefault="00000000">
                  <w:pPr>
                    <w:adjustRightInd w:val="0"/>
                    <w:snapToGrid w:val="0"/>
                    <w:jc w:val="center"/>
                    <w:rPr>
                      <w:sz w:val="18"/>
                      <w:szCs w:val="18"/>
                    </w:rPr>
                  </w:pPr>
                  <w:r>
                    <w:rPr>
                      <w:rFonts w:hint="eastAsia"/>
                      <w:sz w:val="18"/>
                      <w:szCs w:val="18"/>
                    </w:rPr>
                    <w:t>29.0</w:t>
                  </w:r>
                </w:p>
              </w:tc>
              <w:tc>
                <w:tcPr>
                  <w:tcW w:w="411" w:type="pct"/>
                  <w:vAlign w:val="center"/>
                </w:tcPr>
                <w:p w14:paraId="482030E1" w14:textId="77777777" w:rsidR="00F76A63" w:rsidRDefault="00000000">
                  <w:pPr>
                    <w:adjustRightInd w:val="0"/>
                    <w:snapToGrid w:val="0"/>
                    <w:jc w:val="center"/>
                    <w:rPr>
                      <w:sz w:val="18"/>
                      <w:szCs w:val="18"/>
                    </w:rPr>
                  </w:pPr>
                  <w:r>
                    <w:rPr>
                      <w:rFonts w:hint="eastAsia"/>
                      <w:sz w:val="18"/>
                      <w:szCs w:val="18"/>
                    </w:rPr>
                    <w:t>28.9</w:t>
                  </w:r>
                </w:p>
              </w:tc>
              <w:tc>
                <w:tcPr>
                  <w:tcW w:w="1862" w:type="pct"/>
                  <w:gridSpan w:val="4"/>
                  <w:vMerge/>
                  <w:vAlign w:val="center"/>
                </w:tcPr>
                <w:p w14:paraId="15FFFFEF" w14:textId="77777777" w:rsidR="00F76A63" w:rsidRDefault="00F76A63">
                  <w:pPr>
                    <w:adjustRightInd w:val="0"/>
                    <w:snapToGrid w:val="0"/>
                    <w:jc w:val="center"/>
                    <w:rPr>
                      <w:sz w:val="18"/>
                      <w:szCs w:val="18"/>
                    </w:rPr>
                  </w:pPr>
                </w:p>
              </w:tc>
              <w:tc>
                <w:tcPr>
                  <w:tcW w:w="253" w:type="pct"/>
                  <w:vAlign w:val="center"/>
                </w:tcPr>
                <w:p w14:paraId="190A1F49" w14:textId="77777777" w:rsidR="00F76A63" w:rsidRDefault="00000000">
                  <w:pPr>
                    <w:adjustRightInd w:val="0"/>
                    <w:snapToGrid w:val="0"/>
                    <w:jc w:val="center"/>
                    <w:rPr>
                      <w:sz w:val="18"/>
                      <w:szCs w:val="18"/>
                    </w:rPr>
                  </w:pPr>
                  <w:r>
                    <w:rPr>
                      <w:sz w:val="18"/>
                      <w:szCs w:val="18"/>
                    </w:rPr>
                    <w:t>-</w:t>
                  </w:r>
                </w:p>
              </w:tc>
            </w:tr>
            <w:tr w:rsidR="00F76A63" w14:paraId="4353028E" w14:textId="77777777">
              <w:trPr>
                <w:trHeight w:val="340"/>
                <w:jc w:val="center"/>
              </w:trPr>
              <w:tc>
                <w:tcPr>
                  <w:tcW w:w="966" w:type="pct"/>
                  <w:gridSpan w:val="2"/>
                  <w:vAlign w:val="center"/>
                </w:tcPr>
                <w:p w14:paraId="39D5FF08" w14:textId="77777777" w:rsidR="00F76A63" w:rsidRDefault="00000000">
                  <w:pPr>
                    <w:adjustRightInd w:val="0"/>
                    <w:snapToGrid w:val="0"/>
                    <w:jc w:val="center"/>
                    <w:rPr>
                      <w:sz w:val="18"/>
                      <w:szCs w:val="18"/>
                    </w:rPr>
                  </w:pPr>
                  <w:r>
                    <w:rPr>
                      <w:sz w:val="18"/>
                      <w:szCs w:val="18"/>
                    </w:rPr>
                    <w:t>湿度（</w:t>
                  </w:r>
                  <w:r>
                    <w:rPr>
                      <w:sz w:val="18"/>
                      <w:szCs w:val="18"/>
                    </w:rPr>
                    <w:t>%</w:t>
                  </w:r>
                  <w:r>
                    <w:rPr>
                      <w:sz w:val="18"/>
                      <w:szCs w:val="18"/>
                    </w:rPr>
                    <w:t>）</w:t>
                  </w:r>
                </w:p>
              </w:tc>
              <w:tc>
                <w:tcPr>
                  <w:tcW w:w="500" w:type="pct"/>
                  <w:vAlign w:val="center"/>
                </w:tcPr>
                <w:p w14:paraId="61A5A268" w14:textId="77777777" w:rsidR="00F76A63" w:rsidRDefault="00000000">
                  <w:pPr>
                    <w:adjustRightInd w:val="0"/>
                    <w:snapToGrid w:val="0"/>
                    <w:jc w:val="center"/>
                    <w:rPr>
                      <w:sz w:val="18"/>
                      <w:szCs w:val="18"/>
                    </w:rPr>
                  </w:pPr>
                  <w:r>
                    <w:rPr>
                      <w:rFonts w:hint="eastAsia"/>
                      <w:sz w:val="18"/>
                      <w:szCs w:val="18"/>
                    </w:rPr>
                    <w:t>6.18</w:t>
                  </w:r>
                </w:p>
              </w:tc>
              <w:tc>
                <w:tcPr>
                  <w:tcW w:w="504" w:type="pct"/>
                  <w:vAlign w:val="center"/>
                </w:tcPr>
                <w:p w14:paraId="2A545B15" w14:textId="77777777" w:rsidR="00F76A63" w:rsidRDefault="00000000">
                  <w:pPr>
                    <w:adjustRightInd w:val="0"/>
                    <w:snapToGrid w:val="0"/>
                    <w:jc w:val="center"/>
                    <w:rPr>
                      <w:sz w:val="18"/>
                      <w:szCs w:val="18"/>
                    </w:rPr>
                  </w:pPr>
                  <w:r>
                    <w:rPr>
                      <w:rFonts w:hint="eastAsia"/>
                      <w:sz w:val="18"/>
                      <w:szCs w:val="18"/>
                    </w:rPr>
                    <w:t>6.82</w:t>
                  </w:r>
                </w:p>
              </w:tc>
              <w:tc>
                <w:tcPr>
                  <w:tcW w:w="504" w:type="pct"/>
                  <w:vAlign w:val="center"/>
                </w:tcPr>
                <w:p w14:paraId="0136EC4E" w14:textId="77777777" w:rsidR="00F76A63" w:rsidRDefault="00000000">
                  <w:pPr>
                    <w:adjustRightInd w:val="0"/>
                    <w:snapToGrid w:val="0"/>
                    <w:jc w:val="center"/>
                    <w:rPr>
                      <w:sz w:val="18"/>
                      <w:szCs w:val="18"/>
                    </w:rPr>
                  </w:pPr>
                  <w:r>
                    <w:rPr>
                      <w:rFonts w:hint="eastAsia"/>
                      <w:sz w:val="18"/>
                      <w:szCs w:val="18"/>
                    </w:rPr>
                    <w:t>6.73</w:t>
                  </w:r>
                </w:p>
              </w:tc>
              <w:tc>
                <w:tcPr>
                  <w:tcW w:w="411" w:type="pct"/>
                  <w:vAlign w:val="center"/>
                </w:tcPr>
                <w:p w14:paraId="33141E3D" w14:textId="77777777" w:rsidR="00F76A63" w:rsidRDefault="00000000">
                  <w:pPr>
                    <w:adjustRightInd w:val="0"/>
                    <w:snapToGrid w:val="0"/>
                    <w:jc w:val="center"/>
                    <w:rPr>
                      <w:sz w:val="18"/>
                      <w:szCs w:val="18"/>
                    </w:rPr>
                  </w:pPr>
                  <w:r>
                    <w:rPr>
                      <w:rFonts w:hint="eastAsia"/>
                      <w:sz w:val="18"/>
                      <w:szCs w:val="18"/>
                    </w:rPr>
                    <w:t>6.6</w:t>
                  </w:r>
                </w:p>
              </w:tc>
              <w:tc>
                <w:tcPr>
                  <w:tcW w:w="1862" w:type="pct"/>
                  <w:gridSpan w:val="4"/>
                  <w:vMerge/>
                  <w:vAlign w:val="center"/>
                </w:tcPr>
                <w:p w14:paraId="25D8E2F4" w14:textId="77777777" w:rsidR="00F76A63" w:rsidRDefault="00F76A63">
                  <w:pPr>
                    <w:adjustRightInd w:val="0"/>
                    <w:snapToGrid w:val="0"/>
                    <w:jc w:val="center"/>
                    <w:rPr>
                      <w:sz w:val="18"/>
                      <w:szCs w:val="18"/>
                    </w:rPr>
                  </w:pPr>
                </w:p>
              </w:tc>
              <w:tc>
                <w:tcPr>
                  <w:tcW w:w="253" w:type="pct"/>
                  <w:vAlign w:val="center"/>
                </w:tcPr>
                <w:p w14:paraId="0C8772FD" w14:textId="77777777" w:rsidR="00F76A63" w:rsidRDefault="00000000">
                  <w:pPr>
                    <w:adjustRightInd w:val="0"/>
                    <w:snapToGrid w:val="0"/>
                    <w:jc w:val="center"/>
                    <w:rPr>
                      <w:sz w:val="18"/>
                      <w:szCs w:val="18"/>
                    </w:rPr>
                  </w:pPr>
                  <w:r>
                    <w:rPr>
                      <w:sz w:val="18"/>
                      <w:szCs w:val="18"/>
                    </w:rPr>
                    <w:t>-</w:t>
                  </w:r>
                </w:p>
              </w:tc>
            </w:tr>
            <w:tr w:rsidR="00F76A63" w14:paraId="438850BD" w14:textId="77777777">
              <w:trPr>
                <w:trHeight w:val="340"/>
                <w:jc w:val="center"/>
              </w:trPr>
              <w:tc>
                <w:tcPr>
                  <w:tcW w:w="966" w:type="pct"/>
                  <w:gridSpan w:val="2"/>
                  <w:vAlign w:val="center"/>
                </w:tcPr>
                <w:p w14:paraId="6295CAFA" w14:textId="77777777" w:rsidR="00F76A63" w:rsidRDefault="00000000">
                  <w:pPr>
                    <w:adjustRightInd w:val="0"/>
                    <w:snapToGrid w:val="0"/>
                    <w:jc w:val="center"/>
                    <w:rPr>
                      <w:sz w:val="18"/>
                      <w:szCs w:val="18"/>
                    </w:rPr>
                  </w:pPr>
                  <w:r>
                    <w:rPr>
                      <w:sz w:val="18"/>
                      <w:szCs w:val="18"/>
                    </w:rPr>
                    <w:t>含氧量（</w:t>
                  </w:r>
                  <w:r>
                    <w:rPr>
                      <w:sz w:val="18"/>
                      <w:szCs w:val="18"/>
                    </w:rPr>
                    <w:t>%</w:t>
                  </w:r>
                  <w:r>
                    <w:rPr>
                      <w:sz w:val="18"/>
                      <w:szCs w:val="18"/>
                    </w:rPr>
                    <w:t>）</w:t>
                  </w:r>
                </w:p>
              </w:tc>
              <w:tc>
                <w:tcPr>
                  <w:tcW w:w="500" w:type="pct"/>
                  <w:vAlign w:val="center"/>
                </w:tcPr>
                <w:p w14:paraId="2798C29F" w14:textId="77777777" w:rsidR="00F76A63" w:rsidRDefault="00000000">
                  <w:pPr>
                    <w:adjustRightInd w:val="0"/>
                    <w:snapToGrid w:val="0"/>
                    <w:jc w:val="center"/>
                    <w:rPr>
                      <w:sz w:val="18"/>
                      <w:szCs w:val="18"/>
                    </w:rPr>
                  </w:pPr>
                  <w:r>
                    <w:rPr>
                      <w:rFonts w:hint="eastAsia"/>
                      <w:sz w:val="18"/>
                      <w:szCs w:val="18"/>
                    </w:rPr>
                    <w:t>9.2</w:t>
                  </w:r>
                </w:p>
              </w:tc>
              <w:tc>
                <w:tcPr>
                  <w:tcW w:w="504" w:type="pct"/>
                  <w:vAlign w:val="center"/>
                </w:tcPr>
                <w:p w14:paraId="2A6F1386" w14:textId="77777777" w:rsidR="00F76A63" w:rsidRDefault="00000000">
                  <w:pPr>
                    <w:adjustRightInd w:val="0"/>
                    <w:snapToGrid w:val="0"/>
                    <w:jc w:val="center"/>
                    <w:rPr>
                      <w:sz w:val="18"/>
                      <w:szCs w:val="18"/>
                    </w:rPr>
                  </w:pPr>
                  <w:r>
                    <w:rPr>
                      <w:rFonts w:hint="eastAsia"/>
                      <w:sz w:val="18"/>
                      <w:szCs w:val="18"/>
                    </w:rPr>
                    <w:t>10.2</w:t>
                  </w:r>
                </w:p>
              </w:tc>
              <w:tc>
                <w:tcPr>
                  <w:tcW w:w="504" w:type="pct"/>
                  <w:vAlign w:val="center"/>
                </w:tcPr>
                <w:p w14:paraId="024CB348" w14:textId="77777777" w:rsidR="00F76A63" w:rsidRDefault="00000000">
                  <w:pPr>
                    <w:adjustRightInd w:val="0"/>
                    <w:snapToGrid w:val="0"/>
                    <w:jc w:val="center"/>
                    <w:rPr>
                      <w:sz w:val="18"/>
                      <w:szCs w:val="18"/>
                    </w:rPr>
                  </w:pPr>
                  <w:r>
                    <w:rPr>
                      <w:rFonts w:hint="eastAsia"/>
                      <w:sz w:val="18"/>
                      <w:szCs w:val="18"/>
                    </w:rPr>
                    <w:t>9.1</w:t>
                  </w:r>
                </w:p>
              </w:tc>
              <w:tc>
                <w:tcPr>
                  <w:tcW w:w="411" w:type="pct"/>
                  <w:vAlign w:val="center"/>
                </w:tcPr>
                <w:p w14:paraId="53867C17" w14:textId="77777777" w:rsidR="00F76A63" w:rsidRDefault="00000000">
                  <w:pPr>
                    <w:adjustRightInd w:val="0"/>
                    <w:snapToGrid w:val="0"/>
                    <w:jc w:val="center"/>
                    <w:rPr>
                      <w:sz w:val="18"/>
                      <w:szCs w:val="18"/>
                    </w:rPr>
                  </w:pPr>
                  <w:r>
                    <w:rPr>
                      <w:rFonts w:hint="eastAsia"/>
                      <w:sz w:val="18"/>
                      <w:szCs w:val="18"/>
                    </w:rPr>
                    <w:t>9.5</w:t>
                  </w:r>
                </w:p>
              </w:tc>
              <w:tc>
                <w:tcPr>
                  <w:tcW w:w="504" w:type="pct"/>
                  <w:vAlign w:val="center"/>
                </w:tcPr>
                <w:p w14:paraId="69535B44" w14:textId="77777777" w:rsidR="00F76A63" w:rsidRDefault="00000000">
                  <w:pPr>
                    <w:adjustRightInd w:val="0"/>
                    <w:snapToGrid w:val="0"/>
                    <w:jc w:val="center"/>
                    <w:rPr>
                      <w:sz w:val="18"/>
                      <w:szCs w:val="18"/>
                    </w:rPr>
                  </w:pPr>
                  <w:r>
                    <w:rPr>
                      <w:rFonts w:hint="eastAsia"/>
                      <w:sz w:val="18"/>
                      <w:szCs w:val="18"/>
                    </w:rPr>
                    <w:t>10.4</w:t>
                  </w:r>
                </w:p>
              </w:tc>
              <w:tc>
                <w:tcPr>
                  <w:tcW w:w="504" w:type="pct"/>
                  <w:vAlign w:val="center"/>
                </w:tcPr>
                <w:p w14:paraId="3DE13989" w14:textId="77777777" w:rsidR="00F76A63" w:rsidRDefault="00000000">
                  <w:pPr>
                    <w:adjustRightInd w:val="0"/>
                    <w:snapToGrid w:val="0"/>
                    <w:jc w:val="center"/>
                    <w:rPr>
                      <w:sz w:val="18"/>
                      <w:szCs w:val="18"/>
                    </w:rPr>
                  </w:pPr>
                  <w:r>
                    <w:rPr>
                      <w:rFonts w:hint="eastAsia"/>
                      <w:sz w:val="18"/>
                      <w:szCs w:val="18"/>
                    </w:rPr>
                    <w:t>9.0</w:t>
                  </w:r>
                </w:p>
              </w:tc>
              <w:tc>
                <w:tcPr>
                  <w:tcW w:w="504" w:type="pct"/>
                  <w:vAlign w:val="center"/>
                </w:tcPr>
                <w:p w14:paraId="046923F3" w14:textId="77777777" w:rsidR="00F76A63" w:rsidRDefault="00000000">
                  <w:pPr>
                    <w:adjustRightInd w:val="0"/>
                    <w:snapToGrid w:val="0"/>
                    <w:jc w:val="center"/>
                    <w:rPr>
                      <w:sz w:val="18"/>
                      <w:szCs w:val="18"/>
                    </w:rPr>
                  </w:pPr>
                  <w:r>
                    <w:rPr>
                      <w:rFonts w:hint="eastAsia"/>
                      <w:sz w:val="18"/>
                      <w:szCs w:val="18"/>
                    </w:rPr>
                    <w:t>9.2</w:t>
                  </w:r>
                </w:p>
              </w:tc>
              <w:tc>
                <w:tcPr>
                  <w:tcW w:w="349" w:type="pct"/>
                  <w:vAlign w:val="center"/>
                </w:tcPr>
                <w:p w14:paraId="5094D953" w14:textId="77777777" w:rsidR="00F76A63" w:rsidRDefault="00000000">
                  <w:pPr>
                    <w:adjustRightInd w:val="0"/>
                    <w:snapToGrid w:val="0"/>
                    <w:jc w:val="center"/>
                    <w:rPr>
                      <w:sz w:val="18"/>
                      <w:szCs w:val="18"/>
                    </w:rPr>
                  </w:pPr>
                  <w:r>
                    <w:rPr>
                      <w:rFonts w:hint="eastAsia"/>
                      <w:sz w:val="18"/>
                      <w:szCs w:val="18"/>
                    </w:rPr>
                    <w:t>9.5</w:t>
                  </w:r>
                </w:p>
              </w:tc>
              <w:tc>
                <w:tcPr>
                  <w:tcW w:w="253" w:type="pct"/>
                  <w:vAlign w:val="center"/>
                </w:tcPr>
                <w:p w14:paraId="796219E5" w14:textId="77777777" w:rsidR="00F76A63" w:rsidRDefault="00000000">
                  <w:pPr>
                    <w:adjustRightInd w:val="0"/>
                    <w:snapToGrid w:val="0"/>
                    <w:jc w:val="center"/>
                    <w:rPr>
                      <w:sz w:val="18"/>
                      <w:szCs w:val="18"/>
                    </w:rPr>
                  </w:pPr>
                  <w:r>
                    <w:rPr>
                      <w:sz w:val="18"/>
                      <w:szCs w:val="18"/>
                    </w:rPr>
                    <w:t>-</w:t>
                  </w:r>
                </w:p>
              </w:tc>
            </w:tr>
            <w:tr w:rsidR="00F76A63" w14:paraId="280A7382" w14:textId="77777777">
              <w:trPr>
                <w:trHeight w:val="340"/>
                <w:jc w:val="center"/>
              </w:trPr>
              <w:tc>
                <w:tcPr>
                  <w:tcW w:w="255" w:type="pct"/>
                  <w:vMerge w:val="restart"/>
                  <w:vAlign w:val="center"/>
                </w:tcPr>
                <w:p w14:paraId="5F8E47E3" w14:textId="77777777" w:rsidR="00F76A63" w:rsidRDefault="00000000">
                  <w:pPr>
                    <w:adjustRightInd w:val="0"/>
                    <w:snapToGrid w:val="0"/>
                    <w:jc w:val="center"/>
                    <w:rPr>
                      <w:sz w:val="18"/>
                      <w:szCs w:val="18"/>
                    </w:rPr>
                  </w:pPr>
                  <w:r>
                    <w:rPr>
                      <w:sz w:val="18"/>
                      <w:szCs w:val="18"/>
                    </w:rPr>
                    <w:t>二氧化硫</w:t>
                  </w:r>
                </w:p>
              </w:tc>
              <w:tc>
                <w:tcPr>
                  <w:tcW w:w="711" w:type="pct"/>
                  <w:vAlign w:val="center"/>
                </w:tcPr>
                <w:p w14:paraId="7068B883" w14:textId="77777777" w:rsidR="00F76A63" w:rsidRDefault="00000000">
                  <w:pPr>
                    <w:adjustRightInd w:val="0"/>
                    <w:snapToGrid w:val="0"/>
                    <w:jc w:val="center"/>
                    <w:rPr>
                      <w:sz w:val="18"/>
                      <w:szCs w:val="18"/>
                    </w:rPr>
                  </w:pPr>
                  <w:r>
                    <w:rPr>
                      <w:sz w:val="18"/>
                      <w:szCs w:val="18"/>
                    </w:rPr>
                    <w:t>实测浓度</w:t>
                  </w:r>
                </w:p>
                <w:p w14:paraId="7C7B6CC0" w14:textId="77777777" w:rsidR="00F76A63" w:rsidRDefault="00000000">
                  <w:pPr>
                    <w:adjustRightInd w:val="0"/>
                    <w:snapToGrid w:val="0"/>
                    <w:jc w:val="center"/>
                    <w:rPr>
                      <w:sz w:val="18"/>
                      <w:szCs w:val="18"/>
                    </w:rPr>
                  </w:pPr>
                  <w:r>
                    <w:rPr>
                      <w:sz w:val="18"/>
                      <w:szCs w:val="18"/>
                    </w:rPr>
                    <w:t>（</w:t>
                  </w:r>
                  <w:r>
                    <w:rPr>
                      <w:sz w:val="18"/>
                      <w:szCs w:val="18"/>
                    </w:rPr>
                    <w:t>mg/m</w:t>
                  </w:r>
                  <w:r>
                    <w:rPr>
                      <w:sz w:val="18"/>
                      <w:szCs w:val="18"/>
                      <w:vertAlign w:val="superscript"/>
                    </w:rPr>
                    <w:t>3</w:t>
                  </w:r>
                  <w:r>
                    <w:rPr>
                      <w:sz w:val="18"/>
                      <w:szCs w:val="18"/>
                    </w:rPr>
                    <w:t>）</w:t>
                  </w:r>
                </w:p>
              </w:tc>
              <w:tc>
                <w:tcPr>
                  <w:tcW w:w="500" w:type="pct"/>
                  <w:vAlign w:val="center"/>
                </w:tcPr>
                <w:p w14:paraId="260808FF" w14:textId="77777777" w:rsidR="00F76A63" w:rsidRDefault="00000000">
                  <w:pPr>
                    <w:adjustRightInd w:val="0"/>
                    <w:snapToGrid w:val="0"/>
                    <w:jc w:val="center"/>
                    <w:rPr>
                      <w:sz w:val="18"/>
                      <w:szCs w:val="18"/>
                    </w:rPr>
                  </w:pPr>
                  <w:r>
                    <w:rPr>
                      <w:sz w:val="18"/>
                      <w:szCs w:val="18"/>
                    </w:rPr>
                    <w:t>ND</w:t>
                  </w:r>
                </w:p>
              </w:tc>
              <w:tc>
                <w:tcPr>
                  <w:tcW w:w="504" w:type="pct"/>
                  <w:vAlign w:val="center"/>
                </w:tcPr>
                <w:p w14:paraId="1D4DF33C" w14:textId="77777777" w:rsidR="00F76A63" w:rsidRDefault="00000000">
                  <w:pPr>
                    <w:adjustRightInd w:val="0"/>
                    <w:snapToGrid w:val="0"/>
                    <w:jc w:val="center"/>
                    <w:rPr>
                      <w:sz w:val="18"/>
                      <w:szCs w:val="18"/>
                    </w:rPr>
                  </w:pPr>
                  <w:r>
                    <w:rPr>
                      <w:sz w:val="18"/>
                      <w:szCs w:val="18"/>
                    </w:rPr>
                    <w:t>ND</w:t>
                  </w:r>
                </w:p>
              </w:tc>
              <w:tc>
                <w:tcPr>
                  <w:tcW w:w="504" w:type="pct"/>
                  <w:vAlign w:val="center"/>
                </w:tcPr>
                <w:p w14:paraId="5278FB0B" w14:textId="77777777" w:rsidR="00F76A63" w:rsidRDefault="00000000">
                  <w:pPr>
                    <w:adjustRightInd w:val="0"/>
                    <w:snapToGrid w:val="0"/>
                    <w:jc w:val="center"/>
                    <w:rPr>
                      <w:sz w:val="18"/>
                      <w:szCs w:val="18"/>
                    </w:rPr>
                  </w:pPr>
                  <w:r>
                    <w:rPr>
                      <w:sz w:val="18"/>
                      <w:szCs w:val="18"/>
                    </w:rPr>
                    <w:t>ND</w:t>
                  </w:r>
                </w:p>
              </w:tc>
              <w:tc>
                <w:tcPr>
                  <w:tcW w:w="411" w:type="pct"/>
                  <w:vAlign w:val="center"/>
                </w:tcPr>
                <w:p w14:paraId="0643C252" w14:textId="77777777" w:rsidR="00F76A63" w:rsidRDefault="00000000">
                  <w:pPr>
                    <w:adjustRightInd w:val="0"/>
                    <w:snapToGrid w:val="0"/>
                    <w:jc w:val="center"/>
                    <w:rPr>
                      <w:sz w:val="18"/>
                      <w:szCs w:val="18"/>
                    </w:rPr>
                  </w:pPr>
                  <w:r>
                    <w:rPr>
                      <w:sz w:val="18"/>
                      <w:szCs w:val="18"/>
                    </w:rPr>
                    <w:t>ND</w:t>
                  </w:r>
                </w:p>
              </w:tc>
              <w:tc>
                <w:tcPr>
                  <w:tcW w:w="504" w:type="pct"/>
                  <w:vAlign w:val="center"/>
                </w:tcPr>
                <w:p w14:paraId="708277C9" w14:textId="77777777" w:rsidR="00F76A63" w:rsidRDefault="00000000">
                  <w:pPr>
                    <w:adjustRightInd w:val="0"/>
                    <w:snapToGrid w:val="0"/>
                    <w:jc w:val="center"/>
                    <w:rPr>
                      <w:sz w:val="18"/>
                      <w:szCs w:val="18"/>
                    </w:rPr>
                  </w:pPr>
                  <w:r>
                    <w:rPr>
                      <w:sz w:val="18"/>
                      <w:szCs w:val="18"/>
                    </w:rPr>
                    <w:t>ND</w:t>
                  </w:r>
                </w:p>
              </w:tc>
              <w:tc>
                <w:tcPr>
                  <w:tcW w:w="504" w:type="pct"/>
                  <w:vAlign w:val="center"/>
                </w:tcPr>
                <w:p w14:paraId="583A5C78" w14:textId="77777777" w:rsidR="00F76A63" w:rsidRDefault="00000000">
                  <w:pPr>
                    <w:adjustRightInd w:val="0"/>
                    <w:snapToGrid w:val="0"/>
                    <w:jc w:val="center"/>
                    <w:rPr>
                      <w:sz w:val="18"/>
                      <w:szCs w:val="18"/>
                    </w:rPr>
                  </w:pPr>
                  <w:r>
                    <w:rPr>
                      <w:sz w:val="18"/>
                      <w:szCs w:val="18"/>
                    </w:rPr>
                    <w:t>ND</w:t>
                  </w:r>
                </w:p>
              </w:tc>
              <w:tc>
                <w:tcPr>
                  <w:tcW w:w="504" w:type="pct"/>
                  <w:vAlign w:val="center"/>
                </w:tcPr>
                <w:p w14:paraId="51FA4A93" w14:textId="77777777" w:rsidR="00F76A63" w:rsidRDefault="00000000">
                  <w:pPr>
                    <w:adjustRightInd w:val="0"/>
                    <w:snapToGrid w:val="0"/>
                    <w:jc w:val="center"/>
                    <w:rPr>
                      <w:sz w:val="18"/>
                      <w:szCs w:val="18"/>
                    </w:rPr>
                  </w:pPr>
                  <w:r>
                    <w:rPr>
                      <w:sz w:val="18"/>
                      <w:szCs w:val="18"/>
                    </w:rPr>
                    <w:t>ND</w:t>
                  </w:r>
                </w:p>
              </w:tc>
              <w:tc>
                <w:tcPr>
                  <w:tcW w:w="349" w:type="pct"/>
                  <w:vAlign w:val="center"/>
                </w:tcPr>
                <w:p w14:paraId="0A0BC139" w14:textId="77777777" w:rsidR="00F76A63" w:rsidRDefault="00000000">
                  <w:pPr>
                    <w:adjustRightInd w:val="0"/>
                    <w:snapToGrid w:val="0"/>
                    <w:jc w:val="center"/>
                    <w:rPr>
                      <w:sz w:val="18"/>
                      <w:szCs w:val="18"/>
                    </w:rPr>
                  </w:pPr>
                  <w:r>
                    <w:rPr>
                      <w:sz w:val="18"/>
                      <w:szCs w:val="18"/>
                    </w:rPr>
                    <w:t>ND</w:t>
                  </w:r>
                </w:p>
              </w:tc>
              <w:tc>
                <w:tcPr>
                  <w:tcW w:w="253" w:type="pct"/>
                  <w:vAlign w:val="center"/>
                </w:tcPr>
                <w:p w14:paraId="000056B1" w14:textId="77777777" w:rsidR="00F76A63" w:rsidRDefault="00000000">
                  <w:pPr>
                    <w:adjustRightInd w:val="0"/>
                    <w:snapToGrid w:val="0"/>
                    <w:jc w:val="center"/>
                    <w:rPr>
                      <w:sz w:val="18"/>
                      <w:szCs w:val="18"/>
                    </w:rPr>
                  </w:pPr>
                  <w:r>
                    <w:rPr>
                      <w:sz w:val="18"/>
                      <w:szCs w:val="18"/>
                    </w:rPr>
                    <w:t>-</w:t>
                  </w:r>
                </w:p>
              </w:tc>
            </w:tr>
            <w:tr w:rsidR="00F76A63" w14:paraId="47DD1056" w14:textId="77777777">
              <w:trPr>
                <w:trHeight w:val="340"/>
                <w:jc w:val="center"/>
              </w:trPr>
              <w:tc>
                <w:tcPr>
                  <w:tcW w:w="255" w:type="pct"/>
                  <w:vMerge/>
                  <w:vAlign w:val="center"/>
                </w:tcPr>
                <w:p w14:paraId="33FE0657" w14:textId="77777777" w:rsidR="00F76A63" w:rsidRDefault="00F76A63">
                  <w:pPr>
                    <w:adjustRightInd w:val="0"/>
                    <w:snapToGrid w:val="0"/>
                    <w:jc w:val="center"/>
                    <w:rPr>
                      <w:sz w:val="18"/>
                      <w:szCs w:val="18"/>
                    </w:rPr>
                  </w:pPr>
                </w:p>
              </w:tc>
              <w:tc>
                <w:tcPr>
                  <w:tcW w:w="711" w:type="pct"/>
                  <w:vAlign w:val="center"/>
                </w:tcPr>
                <w:p w14:paraId="3345FD24"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500" w:type="pct"/>
                  <w:vAlign w:val="center"/>
                </w:tcPr>
                <w:p w14:paraId="1F0D1723" w14:textId="77777777" w:rsidR="00F76A63" w:rsidRDefault="00000000">
                  <w:pPr>
                    <w:adjustRightInd w:val="0"/>
                    <w:snapToGrid w:val="0"/>
                    <w:jc w:val="center"/>
                    <w:rPr>
                      <w:sz w:val="18"/>
                      <w:szCs w:val="18"/>
                    </w:rPr>
                  </w:pPr>
                  <w:r>
                    <w:rPr>
                      <w:sz w:val="18"/>
                      <w:szCs w:val="18"/>
                    </w:rPr>
                    <w:t>ND</w:t>
                  </w:r>
                </w:p>
              </w:tc>
              <w:tc>
                <w:tcPr>
                  <w:tcW w:w="504" w:type="pct"/>
                  <w:vAlign w:val="center"/>
                </w:tcPr>
                <w:p w14:paraId="543D5103" w14:textId="77777777" w:rsidR="00F76A63" w:rsidRDefault="00000000">
                  <w:pPr>
                    <w:adjustRightInd w:val="0"/>
                    <w:snapToGrid w:val="0"/>
                    <w:jc w:val="center"/>
                    <w:rPr>
                      <w:sz w:val="18"/>
                      <w:szCs w:val="18"/>
                    </w:rPr>
                  </w:pPr>
                  <w:r>
                    <w:rPr>
                      <w:sz w:val="18"/>
                      <w:szCs w:val="18"/>
                    </w:rPr>
                    <w:t>ND</w:t>
                  </w:r>
                </w:p>
              </w:tc>
              <w:tc>
                <w:tcPr>
                  <w:tcW w:w="504" w:type="pct"/>
                  <w:vAlign w:val="center"/>
                </w:tcPr>
                <w:p w14:paraId="4F59BBE0" w14:textId="77777777" w:rsidR="00F76A63" w:rsidRDefault="00000000">
                  <w:pPr>
                    <w:adjustRightInd w:val="0"/>
                    <w:snapToGrid w:val="0"/>
                    <w:jc w:val="center"/>
                    <w:rPr>
                      <w:sz w:val="18"/>
                      <w:szCs w:val="18"/>
                    </w:rPr>
                  </w:pPr>
                  <w:r>
                    <w:rPr>
                      <w:sz w:val="18"/>
                      <w:szCs w:val="18"/>
                    </w:rPr>
                    <w:t>ND</w:t>
                  </w:r>
                </w:p>
              </w:tc>
              <w:tc>
                <w:tcPr>
                  <w:tcW w:w="411" w:type="pct"/>
                  <w:vAlign w:val="center"/>
                </w:tcPr>
                <w:p w14:paraId="40896DC5" w14:textId="77777777" w:rsidR="00F76A63" w:rsidRDefault="00000000">
                  <w:pPr>
                    <w:adjustRightInd w:val="0"/>
                    <w:snapToGrid w:val="0"/>
                    <w:jc w:val="center"/>
                    <w:rPr>
                      <w:sz w:val="18"/>
                      <w:szCs w:val="18"/>
                    </w:rPr>
                  </w:pPr>
                  <w:r>
                    <w:rPr>
                      <w:sz w:val="18"/>
                      <w:szCs w:val="18"/>
                    </w:rPr>
                    <w:t>ND</w:t>
                  </w:r>
                </w:p>
              </w:tc>
              <w:tc>
                <w:tcPr>
                  <w:tcW w:w="504" w:type="pct"/>
                  <w:vAlign w:val="center"/>
                </w:tcPr>
                <w:p w14:paraId="7344FFE5" w14:textId="77777777" w:rsidR="00F76A63" w:rsidRDefault="00000000">
                  <w:pPr>
                    <w:adjustRightInd w:val="0"/>
                    <w:snapToGrid w:val="0"/>
                    <w:jc w:val="center"/>
                    <w:rPr>
                      <w:sz w:val="18"/>
                      <w:szCs w:val="18"/>
                    </w:rPr>
                  </w:pPr>
                  <w:r>
                    <w:rPr>
                      <w:sz w:val="18"/>
                      <w:szCs w:val="18"/>
                    </w:rPr>
                    <w:t>ND</w:t>
                  </w:r>
                </w:p>
              </w:tc>
              <w:tc>
                <w:tcPr>
                  <w:tcW w:w="504" w:type="pct"/>
                  <w:vAlign w:val="center"/>
                </w:tcPr>
                <w:p w14:paraId="3919F285" w14:textId="77777777" w:rsidR="00F76A63" w:rsidRDefault="00000000">
                  <w:pPr>
                    <w:adjustRightInd w:val="0"/>
                    <w:snapToGrid w:val="0"/>
                    <w:jc w:val="center"/>
                    <w:rPr>
                      <w:sz w:val="18"/>
                      <w:szCs w:val="18"/>
                    </w:rPr>
                  </w:pPr>
                  <w:r>
                    <w:rPr>
                      <w:sz w:val="18"/>
                      <w:szCs w:val="18"/>
                    </w:rPr>
                    <w:t>ND</w:t>
                  </w:r>
                </w:p>
              </w:tc>
              <w:tc>
                <w:tcPr>
                  <w:tcW w:w="504" w:type="pct"/>
                  <w:vAlign w:val="center"/>
                </w:tcPr>
                <w:p w14:paraId="3379BBBF" w14:textId="77777777" w:rsidR="00F76A63" w:rsidRDefault="00000000">
                  <w:pPr>
                    <w:adjustRightInd w:val="0"/>
                    <w:snapToGrid w:val="0"/>
                    <w:jc w:val="center"/>
                    <w:rPr>
                      <w:sz w:val="18"/>
                      <w:szCs w:val="18"/>
                    </w:rPr>
                  </w:pPr>
                  <w:r>
                    <w:rPr>
                      <w:sz w:val="18"/>
                      <w:szCs w:val="18"/>
                    </w:rPr>
                    <w:t>ND</w:t>
                  </w:r>
                </w:p>
              </w:tc>
              <w:tc>
                <w:tcPr>
                  <w:tcW w:w="349" w:type="pct"/>
                  <w:vAlign w:val="center"/>
                </w:tcPr>
                <w:p w14:paraId="602469A6" w14:textId="77777777" w:rsidR="00F76A63" w:rsidRDefault="00000000">
                  <w:pPr>
                    <w:adjustRightInd w:val="0"/>
                    <w:snapToGrid w:val="0"/>
                    <w:jc w:val="center"/>
                    <w:rPr>
                      <w:sz w:val="18"/>
                      <w:szCs w:val="18"/>
                    </w:rPr>
                  </w:pPr>
                  <w:r>
                    <w:rPr>
                      <w:sz w:val="18"/>
                      <w:szCs w:val="18"/>
                    </w:rPr>
                    <w:t>ND</w:t>
                  </w:r>
                </w:p>
              </w:tc>
              <w:tc>
                <w:tcPr>
                  <w:tcW w:w="253" w:type="pct"/>
                  <w:vAlign w:val="center"/>
                </w:tcPr>
                <w:p w14:paraId="6FF5E848" w14:textId="77777777" w:rsidR="00F76A63" w:rsidRDefault="00000000">
                  <w:pPr>
                    <w:adjustRightInd w:val="0"/>
                    <w:snapToGrid w:val="0"/>
                    <w:jc w:val="center"/>
                    <w:rPr>
                      <w:sz w:val="18"/>
                      <w:szCs w:val="18"/>
                    </w:rPr>
                  </w:pPr>
                  <w:r>
                    <w:rPr>
                      <w:sz w:val="18"/>
                      <w:szCs w:val="18"/>
                    </w:rPr>
                    <w:t>35</w:t>
                  </w:r>
                </w:p>
              </w:tc>
            </w:tr>
            <w:tr w:rsidR="00F76A63" w14:paraId="1E2F8D92" w14:textId="77777777">
              <w:trPr>
                <w:trHeight w:val="340"/>
                <w:jc w:val="center"/>
              </w:trPr>
              <w:tc>
                <w:tcPr>
                  <w:tcW w:w="255" w:type="pct"/>
                  <w:vMerge/>
                  <w:vAlign w:val="center"/>
                </w:tcPr>
                <w:p w14:paraId="06C88897" w14:textId="77777777" w:rsidR="00F76A63" w:rsidRDefault="00F76A63">
                  <w:pPr>
                    <w:adjustRightInd w:val="0"/>
                    <w:snapToGrid w:val="0"/>
                    <w:jc w:val="center"/>
                    <w:rPr>
                      <w:sz w:val="18"/>
                      <w:szCs w:val="18"/>
                    </w:rPr>
                  </w:pPr>
                </w:p>
              </w:tc>
              <w:tc>
                <w:tcPr>
                  <w:tcW w:w="711" w:type="pct"/>
                  <w:vAlign w:val="center"/>
                </w:tcPr>
                <w:p w14:paraId="562CB80F"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500" w:type="pct"/>
                  <w:vAlign w:val="center"/>
                </w:tcPr>
                <w:p w14:paraId="0C9E01ED" w14:textId="77777777" w:rsidR="00F76A63" w:rsidRDefault="00000000">
                  <w:pPr>
                    <w:adjustRightInd w:val="0"/>
                    <w:snapToGrid w:val="0"/>
                    <w:jc w:val="center"/>
                    <w:rPr>
                      <w:sz w:val="18"/>
                      <w:szCs w:val="18"/>
                    </w:rPr>
                  </w:pPr>
                  <w:r>
                    <w:rPr>
                      <w:rFonts w:hint="eastAsia"/>
                      <w:sz w:val="18"/>
                      <w:szCs w:val="18"/>
                    </w:rPr>
                    <w:t>/</w:t>
                  </w:r>
                </w:p>
              </w:tc>
              <w:tc>
                <w:tcPr>
                  <w:tcW w:w="504" w:type="pct"/>
                  <w:vAlign w:val="center"/>
                </w:tcPr>
                <w:p w14:paraId="24BC98D9" w14:textId="77777777" w:rsidR="00F76A63" w:rsidRDefault="00000000">
                  <w:pPr>
                    <w:adjustRightInd w:val="0"/>
                    <w:snapToGrid w:val="0"/>
                    <w:jc w:val="center"/>
                    <w:rPr>
                      <w:sz w:val="18"/>
                      <w:szCs w:val="18"/>
                    </w:rPr>
                  </w:pPr>
                  <w:r>
                    <w:rPr>
                      <w:rFonts w:hint="eastAsia"/>
                      <w:sz w:val="18"/>
                      <w:szCs w:val="18"/>
                    </w:rPr>
                    <w:t>/</w:t>
                  </w:r>
                </w:p>
              </w:tc>
              <w:tc>
                <w:tcPr>
                  <w:tcW w:w="504" w:type="pct"/>
                  <w:vAlign w:val="center"/>
                </w:tcPr>
                <w:p w14:paraId="724075B3" w14:textId="77777777" w:rsidR="00F76A63" w:rsidRDefault="00000000">
                  <w:pPr>
                    <w:adjustRightInd w:val="0"/>
                    <w:snapToGrid w:val="0"/>
                    <w:jc w:val="center"/>
                    <w:rPr>
                      <w:sz w:val="18"/>
                      <w:szCs w:val="18"/>
                    </w:rPr>
                  </w:pPr>
                  <w:r>
                    <w:rPr>
                      <w:rFonts w:hint="eastAsia"/>
                      <w:sz w:val="18"/>
                      <w:szCs w:val="18"/>
                    </w:rPr>
                    <w:t>/</w:t>
                  </w:r>
                </w:p>
              </w:tc>
              <w:tc>
                <w:tcPr>
                  <w:tcW w:w="411" w:type="pct"/>
                  <w:vAlign w:val="center"/>
                </w:tcPr>
                <w:p w14:paraId="2DF04F10" w14:textId="77777777" w:rsidR="00F76A63" w:rsidRDefault="00000000">
                  <w:pPr>
                    <w:adjustRightInd w:val="0"/>
                    <w:snapToGrid w:val="0"/>
                    <w:jc w:val="center"/>
                    <w:rPr>
                      <w:sz w:val="18"/>
                      <w:szCs w:val="18"/>
                    </w:rPr>
                  </w:pPr>
                  <w:r>
                    <w:rPr>
                      <w:rFonts w:hint="eastAsia"/>
                      <w:sz w:val="18"/>
                      <w:szCs w:val="18"/>
                    </w:rPr>
                    <w:t>/</w:t>
                  </w:r>
                </w:p>
              </w:tc>
              <w:tc>
                <w:tcPr>
                  <w:tcW w:w="504" w:type="pct"/>
                  <w:vAlign w:val="center"/>
                </w:tcPr>
                <w:p w14:paraId="7715D62D" w14:textId="77777777" w:rsidR="00F76A63" w:rsidRDefault="00000000">
                  <w:pPr>
                    <w:adjustRightInd w:val="0"/>
                    <w:snapToGrid w:val="0"/>
                    <w:jc w:val="center"/>
                    <w:rPr>
                      <w:sz w:val="18"/>
                      <w:szCs w:val="18"/>
                    </w:rPr>
                  </w:pPr>
                  <w:r>
                    <w:rPr>
                      <w:rFonts w:hint="eastAsia"/>
                      <w:sz w:val="18"/>
                      <w:szCs w:val="18"/>
                    </w:rPr>
                    <w:t>4.60</w:t>
                  </w:r>
                </w:p>
              </w:tc>
              <w:tc>
                <w:tcPr>
                  <w:tcW w:w="504" w:type="pct"/>
                  <w:vAlign w:val="center"/>
                </w:tcPr>
                <w:p w14:paraId="1BC6737C" w14:textId="77777777" w:rsidR="00F76A63" w:rsidRDefault="00000000">
                  <w:pPr>
                    <w:adjustRightInd w:val="0"/>
                    <w:snapToGrid w:val="0"/>
                    <w:jc w:val="center"/>
                    <w:rPr>
                      <w:sz w:val="18"/>
                      <w:szCs w:val="18"/>
                    </w:rPr>
                  </w:pPr>
                  <w:r>
                    <w:rPr>
                      <w:rFonts w:hint="eastAsia"/>
                      <w:sz w:val="18"/>
                      <w:szCs w:val="18"/>
                    </w:rPr>
                    <w:t>3.06</w:t>
                  </w:r>
                </w:p>
              </w:tc>
              <w:tc>
                <w:tcPr>
                  <w:tcW w:w="504" w:type="pct"/>
                  <w:vAlign w:val="center"/>
                </w:tcPr>
                <w:p w14:paraId="27492EB2" w14:textId="77777777" w:rsidR="00F76A63" w:rsidRDefault="00000000">
                  <w:pPr>
                    <w:adjustRightInd w:val="0"/>
                    <w:snapToGrid w:val="0"/>
                    <w:jc w:val="center"/>
                    <w:rPr>
                      <w:sz w:val="18"/>
                      <w:szCs w:val="18"/>
                    </w:rPr>
                  </w:pPr>
                  <w:r>
                    <w:rPr>
                      <w:rFonts w:hint="eastAsia"/>
                      <w:sz w:val="18"/>
                      <w:szCs w:val="18"/>
                    </w:rPr>
                    <w:t>3.06</w:t>
                  </w:r>
                </w:p>
              </w:tc>
              <w:tc>
                <w:tcPr>
                  <w:tcW w:w="349" w:type="pct"/>
                  <w:vAlign w:val="center"/>
                </w:tcPr>
                <w:p w14:paraId="3D91238D" w14:textId="77777777" w:rsidR="00F76A63" w:rsidRDefault="00000000">
                  <w:pPr>
                    <w:adjustRightInd w:val="0"/>
                    <w:snapToGrid w:val="0"/>
                    <w:jc w:val="center"/>
                    <w:rPr>
                      <w:sz w:val="18"/>
                      <w:szCs w:val="18"/>
                    </w:rPr>
                  </w:pPr>
                  <w:r>
                    <w:rPr>
                      <w:rFonts w:hint="eastAsia"/>
                      <w:sz w:val="18"/>
                      <w:szCs w:val="18"/>
                    </w:rPr>
                    <w:t>3.57</w:t>
                  </w:r>
                </w:p>
              </w:tc>
              <w:tc>
                <w:tcPr>
                  <w:tcW w:w="253" w:type="pct"/>
                  <w:vAlign w:val="center"/>
                </w:tcPr>
                <w:p w14:paraId="040DBD9B" w14:textId="77777777" w:rsidR="00F76A63" w:rsidRDefault="00000000">
                  <w:pPr>
                    <w:adjustRightInd w:val="0"/>
                    <w:snapToGrid w:val="0"/>
                    <w:jc w:val="center"/>
                    <w:rPr>
                      <w:sz w:val="18"/>
                      <w:szCs w:val="18"/>
                    </w:rPr>
                  </w:pPr>
                  <w:r>
                    <w:rPr>
                      <w:sz w:val="18"/>
                      <w:szCs w:val="18"/>
                    </w:rPr>
                    <w:t>-</w:t>
                  </w:r>
                </w:p>
              </w:tc>
            </w:tr>
            <w:tr w:rsidR="00F76A63" w14:paraId="19590595" w14:textId="77777777">
              <w:trPr>
                <w:trHeight w:val="340"/>
                <w:jc w:val="center"/>
              </w:trPr>
              <w:tc>
                <w:tcPr>
                  <w:tcW w:w="255" w:type="pct"/>
                  <w:vMerge w:val="restart"/>
                  <w:vAlign w:val="center"/>
                </w:tcPr>
                <w:p w14:paraId="2156DE9A" w14:textId="77777777" w:rsidR="00F76A63" w:rsidRDefault="00000000">
                  <w:pPr>
                    <w:adjustRightInd w:val="0"/>
                    <w:snapToGrid w:val="0"/>
                    <w:jc w:val="center"/>
                    <w:rPr>
                      <w:sz w:val="18"/>
                      <w:szCs w:val="18"/>
                    </w:rPr>
                  </w:pPr>
                  <w:r>
                    <w:rPr>
                      <w:sz w:val="18"/>
                      <w:szCs w:val="18"/>
                    </w:rPr>
                    <w:t>氮氧化物</w:t>
                  </w:r>
                </w:p>
              </w:tc>
              <w:tc>
                <w:tcPr>
                  <w:tcW w:w="711" w:type="pct"/>
                  <w:vAlign w:val="center"/>
                </w:tcPr>
                <w:p w14:paraId="1CA67524"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500" w:type="pct"/>
                  <w:vAlign w:val="center"/>
                </w:tcPr>
                <w:p w14:paraId="38E8AC96" w14:textId="77777777" w:rsidR="00F76A63" w:rsidRDefault="00000000">
                  <w:pPr>
                    <w:adjustRightInd w:val="0"/>
                    <w:snapToGrid w:val="0"/>
                    <w:jc w:val="center"/>
                    <w:rPr>
                      <w:sz w:val="18"/>
                      <w:szCs w:val="18"/>
                    </w:rPr>
                  </w:pPr>
                  <w:r>
                    <w:rPr>
                      <w:rFonts w:hint="eastAsia"/>
                      <w:sz w:val="18"/>
                      <w:szCs w:val="18"/>
                    </w:rPr>
                    <w:t>13</w:t>
                  </w:r>
                </w:p>
              </w:tc>
              <w:tc>
                <w:tcPr>
                  <w:tcW w:w="504" w:type="pct"/>
                  <w:vAlign w:val="center"/>
                </w:tcPr>
                <w:p w14:paraId="5131CD69" w14:textId="77777777" w:rsidR="00F76A63" w:rsidRDefault="00000000">
                  <w:pPr>
                    <w:adjustRightInd w:val="0"/>
                    <w:snapToGrid w:val="0"/>
                    <w:jc w:val="center"/>
                    <w:rPr>
                      <w:sz w:val="18"/>
                      <w:szCs w:val="18"/>
                    </w:rPr>
                  </w:pPr>
                  <w:r>
                    <w:rPr>
                      <w:rFonts w:hint="eastAsia"/>
                      <w:sz w:val="18"/>
                      <w:szCs w:val="18"/>
                    </w:rPr>
                    <w:t>39</w:t>
                  </w:r>
                </w:p>
              </w:tc>
              <w:tc>
                <w:tcPr>
                  <w:tcW w:w="504" w:type="pct"/>
                  <w:vAlign w:val="center"/>
                </w:tcPr>
                <w:p w14:paraId="7EA20397" w14:textId="77777777" w:rsidR="00F76A63" w:rsidRDefault="00000000">
                  <w:pPr>
                    <w:adjustRightInd w:val="0"/>
                    <w:snapToGrid w:val="0"/>
                    <w:jc w:val="center"/>
                    <w:rPr>
                      <w:sz w:val="18"/>
                      <w:szCs w:val="18"/>
                    </w:rPr>
                  </w:pPr>
                  <w:r>
                    <w:rPr>
                      <w:rFonts w:hint="eastAsia"/>
                      <w:sz w:val="18"/>
                      <w:szCs w:val="18"/>
                    </w:rPr>
                    <w:t>34</w:t>
                  </w:r>
                </w:p>
              </w:tc>
              <w:tc>
                <w:tcPr>
                  <w:tcW w:w="411" w:type="pct"/>
                  <w:vAlign w:val="center"/>
                </w:tcPr>
                <w:p w14:paraId="2870BEE1" w14:textId="77777777" w:rsidR="00F76A63" w:rsidRDefault="00000000">
                  <w:pPr>
                    <w:adjustRightInd w:val="0"/>
                    <w:snapToGrid w:val="0"/>
                    <w:jc w:val="center"/>
                    <w:rPr>
                      <w:sz w:val="18"/>
                      <w:szCs w:val="18"/>
                    </w:rPr>
                  </w:pPr>
                  <w:r>
                    <w:rPr>
                      <w:rFonts w:hint="eastAsia"/>
                      <w:sz w:val="18"/>
                      <w:szCs w:val="18"/>
                    </w:rPr>
                    <w:t>29</w:t>
                  </w:r>
                </w:p>
              </w:tc>
              <w:tc>
                <w:tcPr>
                  <w:tcW w:w="504" w:type="pct"/>
                  <w:vAlign w:val="center"/>
                </w:tcPr>
                <w:p w14:paraId="08577D82" w14:textId="77777777" w:rsidR="00F76A63" w:rsidRDefault="00000000">
                  <w:pPr>
                    <w:adjustRightInd w:val="0"/>
                    <w:snapToGrid w:val="0"/>
                    <w:jc w:val="center"/>
                    <w:rPr>
                      <w:sz w:val="18"/>
                      <w:szCs w:val="18"/>
                    </w:rPr>
                  </w:pPr>
                  <w:r>
                    <w:rPr>
                      <w:rFonts w:hint="eastAsia"/>
                      <w:sz w:val="18"/>
                      <w:szCs w:val="18"/>
                    </w:rPr>
                    <w:t>32</w:t>
                  </w:r>
                </w:p>
              </w:tc>
              <w:tc>
                <w:tcPr>
                  <w:tcW w:w="504" w:type="pct"/>
                  <w:vAlign w:val="center"/>
                </w:tcPr>
                <w:p w14:paraId="1F768772" w14:textId="77777777" w:rsidR="00F76A63" w:rsidRDefault="00000000">
                  <w:pPr>
                    <w:adjustRightInd w:val="0"/>
                    <w:snapToGrid w:val="0"/>
                    <w:jc w:val="center"/>
                    <w:rPr>
                      <w:sz w:val="18"/>
                      <w:szCs w:val="18"/>
                    </w:rPr>
                  </w:pPr>
                  <w:r>
                    <w:rPr>
                      <w:rFonts w:hint="eastAsia"/>
                      <w:sz w:val="18"/>
                      <w:szCs w:val="18"/>
                    </w:rPr>
                    <w:t>9</w:t>
                  </w:r>
                </w:p>
              </w:tc>
              <w:tc>
                <w:tcPr>
                  <w:tcW w:w="504" w:type="pct"/>
                  <w:vAlign w:val="center"/>
                </w:tcPr>
                <w:p w14:paraId="2136E221" w14:textId="77777777" w:rsidR="00F76A63" w:rsidRDefault="00000000">
                  <w:pPr>
                    <w:adjustRightInd w:val="0"/>
                    <w:snapToGrid w:val="0"/>
                    <w:jc w:val="center"/>
                    <w:rPr>
                      <w:sz w:val="18"/>
                      <w:szCs w:val="18"/>
                    </w:rPr>
                  </w:pPr>
                  <w:r>
                    <w:rPr>
                      <w:rFonts w:hint="eastAsia"/>
                      <w:sz w:val="18"/>
                      <w:szCs w:val="18"/>
                    </w:rPr>
                    <w:t>9</w:t>
                  </w:r>
                </w:p>
              </w:tc>
              <w:tc>
                <w:tcPr>
                  <w:tcW w:w="349" w:type="pct"/>
                  <w:vAlign w:val="center"/>
                </w:tcPr>
                <w:p w14:paraId="518DCAED" w14:textId="77777777" w:rsidR="00F76A63" w:rsidRDefault="00000000">
                  <w:pPr>
                    <w:adjustRightInd w:val="0"/>
                    <w:snapToGrid w:val="0"/>
                    <w:jc w:val="center"/>
                    <w:rPr>
                      <w:sz w:val="18"/>
                      <w:szCs w:val="18"/>
                    </w:rPr>
                  </w:pPr>
                  <w:r>
                    <w:rPr>
                      <w:rFonts w:hint="eastAsia"/>
                      <w:sz w:val="18"/>
                      <w:szCs w:val="18"/>
                    </w:rPr>
                    <w:t>17</w:t>
                  </w:r>
                </w:p>
              </w:tc>
              <w:tc>
                <w:tcPr>
                  <w:tcW w:w="253" w:type="pct"/>
                  <w:vAlign w:val="center"/>
                </w:tcPr>
                <w:p w14:paraId="47AED61E" w14:textId="77777777" w:rsidR="00F76A63" w:rsidRDefault="00000000">
                  <w:pPr>
                    <w:adjustRightInd w:val="0"/>
                    <w:snapToGrid w:val="0"/>
                    <w:jc w:val="center"/>
                    <w:rPr>
                      <w:sz w:val="18"/>
                      <w:szCs w:val="18"/>
                    </w:rPr>
                  </w:pPr>
                  <w:r>
                    <w:rPr>
                      <w:sz w:val="18"/>
                      <w:szCs w:val="18"/>
                    </w:rPr>
                    <w:t>-</w:t>
                  </w:r>
                </w:p>
              </w:tc>
            </w:tr>
            <w:tr w:rsidR="00F76A63" w14:paraId="1CAE93D9" w14:textId="77777777">
              <w:trPr>
                <w:trHeight w:val="340"/>
                <w:jc w:val="center"/>
              </w:trPr>
              <w:tc>
                <w:tcPr>
                  <w:tcW w:w="255" w:type="pct"/>
                  <w:vMerge/>
                  <w:vAlign w:val="center"/>
                </w:tcPr>
                <w:p w14:paraId="0737DFF4" w14:textId="77777777" w:rsidR="00F76A63" w:rsidRDefault="00F76A63">
                  <w:pPr>
                    <w:adjustRightInd w:val="0"/>
                    <w:snapToGrid w:val="0"/>
                    <w:jc w:val="center"/>
                    <w:rPr>
                      <w:sz w:val="18"/>
                      <w:szCs w:val="18"/>
                    </w:rPr>
                  </w:pPr>
                </w:p>
              </w:tc>
              <w:tc>
                <w:tcPr>
                  <w:tcW w:w="711" w:type="pct"/>
                  <w:vAlign w:val="center"/>
                </w:tcPr>
                <w:p w14:paraId="0597374F"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500" w:type="pct"/>
                  <w:vAlign w:val="center"/>
                </w:tcPr>
                <w:p w14:paraId="153196DC" w14:textId="77777777" w:rsidR="00F76A63" w:rsidRDefault="00000000">
                  <w:pPr>
                    <w:adjustRightInd w:val="0"/>
                    <w:snapToGrid w:val="0"/>
                    <w:jc w:val="center"/>
                    <w:rPr>
                      <w:sz w:val="18"/>
                      <w:szCs w:val="18"/>
                    </w:rPr>
                  </w:pPr>
                  <w:r>
                    <w:rPr>
                      <w:rFonts w:hint="eastAsia"/>
                      <w:sz w:val="18"/>
                      <w:szCs w:val="18"/>
                    </w:rPr>
                    <w:t>12</w:t>
                  </w:r>
                </w:p>
              </w:tc>
              <w:tc>
                <w:tcPr>
                  <w:tcW w:w="504" w:type="pct"/>
                  <w:vAlign w:val="center"/>
                </w:tcPr>
                <w:p w14:paraId="2A754280" w14:textId="77777777" w:rsidR="00F76A63" w:rsidRDefault="00000000">
                  <w:pPr>
                    <w:adjustRightInd w:val="0"/>
                    <w:snapToGrid w:val="0"/>
                    <w:jc w:val="center"/>
                    <w:rPr>
                      <w:sz w:val="18"/>
                      <w:szCs w:val="18"/>
                    </w:rPr>
                  </w:pPr>
                  <w:r>
                    <w:rPr>
                      <w:rFonts w:hint="eastAsia"/>
                      <w:sz w:val="18"/>
                      <w:szCs w:val="18"/>
                    </w:rPr>
                    <w:t>40</w:t>
                  </w:r>
                </w:p>
              </w:tc>
              <w:tc>
                <w:tcPr>
                  <w:tcW w:w="504" w:type="pct"/>
                  <w:vAlign w:val="center"/>
                </w:tcPr>
                <w:p w14:paraId="6F84F466" w14:textId="77777777" w:rsidR="00F76A63" w:rsidRDefault="00000000">
                  <w:pPr>
                    <w:adjustRightInd w:val="0"/>
                    <w:snapToGrid w:val="0"/>
                    <w:jc w:val="center"/>
                    <w:rPr>
                      <w:sz w:val="18"/>
                      <w:szCs w:val="18"/>
                    </w:rPr>
                  </w:pPr>
                  <w:r>
                    <w:rPr>
                      <w:rFonts w:hint="eastAsia"/>
                      <w:sz w:val="18"/>
                      <w:szCs w:val="18"/>
                    </w:rPr>
                    <w:t>31</w:t>
                  </w:r>
                </w:p>
              </w:tc>
              <w:tc>
                <w:tcPr>
                  <w:tcW w:w="411" w:type="pct"/>
                  <w:vAlign w:val="center"/>
                </w:tcPr>
                <w:p w14:paraId="5AA0ED55" w14:textId="77777777" w:rsidR="00F76A63" w:rsidRDefault="00000000">
                  <w:pPr>
                    <w:adjustRightInd w:val="0"/>
                    <w:snapToGrid w:val="0"/>
                    <w:jc w:val="center"/>
                    <w:rPr>
                      <w:sz w:val="18"/>
                      <w:szCs w:val="18"/>
                    </w:rPr>
                  </w:pPr>
                  <w:r>
                    <w:rPr>
                      <w:rFonts w:hint="eastAsia"/>
                      <w:sz w:val="18"/>
                      <w:szCs w:val="18"/>
                    </w:rPr>
                    <w:t>28</w:t>
                  </w:r>
                </w:p>
              </w:tc>
              <w:tc>
                <w:tcPr>
                  <w:tcW w:w="504" w:type="pct"/>
                  <w:vAlign w:val="center"/>
                </w:tcPr>
                <w:p w14:paraId="6ABDAE84" w14:textId="77777777" w:rsidR="00F76A63" w:rsidRDefault="00000000">
                  <w:pPr>
                    <w:adjustRightInd w:val="0"/>
                    <w:snapToGrid w:val="0"/>
                    <w:jc w:val="center"/>
                    <w:rPr>
                      <w:sz w:val="18"/>
                      <w:szCs w:val="18"/>
                    </w:rPr>
                  </w:pPr>
                  <w:r>
                    <w:rPr>
                      <w:rFonts w:hint="eastAsia"/>
                      <w:sz w:val="18"/>
                      <w:szCs w:val="18"/>
                    </w:rPr>
                    <w:t>33</w:t>
                  </w:r>
                </w:p>
              </w:tc>
              <w:tc>
                <w:tcPr>
                  <w:tcW w:w="504" w:type="pct"/>
                  <w:vAlign w:val="center"/>
                </w:tcPr>
                <w:p w14:paraId="09DCF997" w14:textId="77777777" w:rsidR="00F76A63" w:rsidRDefault="00000000">
                  <w:pPr>
                    <w:adjustRightInd w:val="0"/>
                    <w:snapToGrid w:val="0"/>
                    <w:jc w:val="center"/>
                    <w:rPr>
                      <w:sz w:val="18"/>
                      <w:szCs w:val="18"/>
                    </w:rPr>
                  </w:pPr>
                  <w:r>
                    <w:rPr>
                      <w:rFonts w:hint="eastAsia"/>
                      <w:sz w:val="18"/>
                      <w:szCs w:val="18"/>
                    </w:rPr>
                    <w:t>8</w:t>
                  </w:r>
                </w:p>
              </w:tc>
              <w:tc>
                <w:tcPr>
                  <w:tcW w:w="504" w:type="pct"/>
                  <w:vAlign w:val="center"/>
                </w:tcPr>
                <w:p w14:paraId="7D5FBE17" w14:textId="77777777" w:rsidR="00F76A63" w:rsidRDefault="00000000">
                  <w:pPr>
                    <w:adjustRightInd w:val="0"/>
                    <w:snapToGrid w:val="0"/>
                    <w:jc w:val="center"/>
                    <w:rPr>
                      <w:sz w:val="18"/>
                      <w:szCs w:val="18"/>
                    </w:rPr>
                  </w:pPr>
                  <w:r>
                    <w:rPr>
                      <w:rFonts w:hint="eastAsia"/>
                      <w:sz w:val="18"/>
                      <w:szCs w:val="18"/>
                    </w:rPr>
                    <w:t>8</w:t>
                  </w:r>
                </w:p>
              </w:tc>
              <w:tc>
                <w:tcPr>
                  <w:tcW w:w="349" w:type="pct"/>
                  <w:vAlign w:val="center"/>
                </w:tcPr>
                <w:p w14:paraId="5D0C66F3" w14:textId="77777777" w:rsidR="00F76A63" w:rsidRDefault="00000000">
                  <w:pPr>
                    <w:adjustRightInd w:val="0"/>
                    <w:snapToGrid w:val="0"/>
                    <w:jc w:val="center"/>
                    <w:rPr>
                      <w:sz w:val="18"/>
                      <w:szCs w:val="18"/>
                    </w:rPr>
                  </w:pPr>
                  <w:r>
                    <w:rPr>
                      <w:rFonts w:hint="eastAsia"/>
                      <w:sz w:val="18"/>
                      <w:szCs w:val="18"/>
                    </w:rPr>
                    <w:t>16</w:t>
                  </w:r>
                </w:p>
              </w:tc>
              <w:tc>
                <w:tcPr>
                  <w:tcW w:w="253" w:type="pct"/>
                  <w:vAlign w:val="center"/>
                </w:tcPr>
                <w:p w14:paraId="3FD65603" w14:textId="77777777" w:rsidR="00F76A63" w:rsidRDefault="00000000">
                  <w:pPr>
                    <w:adjustRightInd w:val="0"/>
                    <w:snapToGrid w:val="0"/>
                    <w:jc w:val="center"/>
                    <w:rPr>
                      <w:sz w:val="18"/>
                      <w:szCs w:val="18"/>
                    </w:rPr>
                  </w:pPr>
                  <w:r>
                    <w:rPr>
                      <w:sz w:val="18"/>
                      <w:szCs w:val="18"/>
                    </w:rPr>
                    <w:t>50</w:t>
                  </w:r>
                </w:p>
              </w:tc>
            </w:tr>
            <w:tr w:rsidR="00F76A63" w14:paraId="092ED021" w14:textId="77777777">
              <w:trPr>
                <w:trHeight w:val="340"/>
                <w:jc w:val="center"/>
              </w:trPr>
              <w:tc>
                <w:tcPr>
                  <w:tcW w:w="255" w:type="pct"/>
                  <w:vMerge/>
                  <w:vAlign w:val="center"/>
                </w:tcPr>
                <w:p w14:paraId="706AAEBE" w14:textId="77777777" w:rsidR="00F76A63" w:rsidRDefault="00F76A63">
                  <w:pPr>
                    <w:adjustRightInd w:val="0"/>
                    <w:snapToGrid w:val="0"/>
                    <w:jc w:val="center"/>
                    <w:rPr>
                      <w:sz w:val="18"/>
                      <w:szCs w:val="18"/>
                    </w:rPr>
                  </w:pPr>
                </w:p>
              </w:tc>
              <w:tc>
                <w:tcPr>
                  <w:tcW w:w="711" w:type="pct"/>
                  <w:vAlign w:val="center"/>
                </w:tcPr>
                <w:p w14:paraId="47BE90BB"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500" w:type="pct"/>
                  <w:vAlign w:val="center"/>
                </w:tcPr>
                <w:p w14:paraId="74C32A60" w14:textId="77777777" w:rsidR="00F76A63" w:rsidRDefault="00000000">
                  <w:pPr>
                    <w:adjustRightInd w:val="0"/>
                    <w:snapToGrid w:val="0"/>
                    <w:jc w:val="center"/>
                    <w:rPr>
                      <w:sz w:val="18"/>
                      <w:szCs w:val="18"/>
                    </w:rPr>
                  </w:pPr>
                  <w:r>
                    <w:rPr>
                      <w:rFonts w:hint="eastAsia"/>
                      <w:sz w:val="18"/>
                      <w:szCs w:val="18"/>
                    </w:rPr>
                    <w:t>10.5</w:t>
                  </w:r>
                </w:p>
              </w:tc>
              <w:tc>
                <w:tcPr>
                  <w:tcW w:w="504" w:type="pct"/>
                  <w:vAlign w:val="center"/>
                </w:tcPr>
                <w:p w14:paraId="7E3D99E9" w14:textId="77777777" w:rsidR="00F76A63" w:rsidRDefault="00000000">
                  <w:pPr>
                    <w:adjustRightInd w:val="0"/>
                    <w:snapToGrid w:val="0"/>
                    <w:jc w:val="center"/>
                    <w:rPr>
                      <w:sz w:val="18"/>
                      <w:szCs w:val="18"/>
                    </w:rPr>
                  </w:pPr>
                  <w:r>
                    <w:rPr>
                      <w:rFonts w:hint="eastAsia"/>
                      <w:sz w:val="18"/>
                      <w:szCs w:val="18"/>
                    </w:rPr>
                    <w:t>31.4</w:t>
                  </w:r>
                </w:p>
              </w:tc>
              <w:tc>
                <w:tcPr>
                  <w:tcW w:w="504" w:type="pct"/>
                  <w:vAlign w:val="center"/>
                </w:tcPr>
                <w:p w14:paraId="1C46755C" w14:textId="77777777" w:rsidR="00F76A63" w:rsidRDefault="00000000">
                  <w:pPr>
                    <w:adjustRightInd w:val="0"/>
                    <w:snapToGrid w:val="0"/>
                    <w:jc w:val="center"/>
                    <w:rPr>
                      <w:sz w:val="18"/>
                      <w:szCs w:val="18"/>
                    </w:rPr>
                  </w:pPr>
                  <w:r>
                    <w:rPr>
                      <w:rFonts w:hint="eastAsia"/>
                      <w:sz w:val="18"/>
                      <w:szCs w:val="18"/>
                    </w:rPr>
                    <w:t>27.4</w:t>
                  </w:r>
                </w:p>
              </w:tc>
              <w:tc>
                <w:tcPr>
                  <w:tcW w:w="411" w:type="pct"/>
                  <w:vAlign w:val="center"/>
                </w:tcPr>
                <w:p w14:paraId="56110BAF" w14:textId="77777777" w:rsidR="00F76A63" w:rsidRDefault="00000000">
                  <w:pPr>
                    <w:adjustRightInd w:val="0"/>
                    <w:snapToGrid w:val="0"/>
                    <w:jc w:val="center"/>
                    <w:rPr>
                      <w:sz w:val="18"/>
                      <w:szCs w:val="18"/>
                    </w:rPr>
                  </w:pPr>
                  <w:r>
                    <w:rPr>
                      <w:rFonts w:hint="eastAsia"/>
                      <w:sz w:val="18"/>
                      <w:szCs w:val="18"/>
                    </w:rPr>
                    <w:t>23.1</w:t>
                  </w:r>
                </w:p>
              </w:tc>
              <w:tc>
                <w:tcPr>
                  <w:tcW w:w="504" w:type="pct"/>
                  <w:vAlign w:val="center"/>
                </w:tcPr>
                <w:p w14:paraId="66FA1A6E" w14:textId="77777777" w:rsidR="00F76A63" w:rsidRDefault="00000000">
                  <w:pPr>
                    <w:adjustRightInd w:val="0"/>
                    <w:snapToGrid w:val="0"/>
                    <w:jc w:val="center"/>
                    <w:rPr>
                      <w:sz w:val="18"/>
                      <w:szCs w:val="18"/>
                    </w:rPr>
                  </w:pPr>
                  <w:r>
                    <w:rPr>
                      <w:rFonts w:hint="eastAsia"/>
                      <w:sz w:val="18"/>
                      <w:szCs w:val="18"/>
                    </w:rPr>
                    <w:t>24.5</w:t>
                  </w:r>
                </w:p>
              </w:tc>
              <w:tc>
                <w:tcPr>
                  <w:tcW w:w="504" w:type="pct"/>
                  <w:vAlign w:val="center"/>
                </w:tcPr>
                <w:p w14:paraId="23D4D058" w14:textId="77777777" w:rsidR="00F76A63" w:rsidRDefault="00000000">
                  <w:pPr>
                    <w:adjustRightInd w:val="0"/>
                    <w:snapToGrid w:val="0"/>
                    <w:jc w:val="center"/>
                    <w:rPr>
                      <w:sz w:val="18"/>
                      <w:szCs w:val="18"/>
                    </w:rPr>
                  </w:pPr>
                  <w:r>
                    <w:rPr>
                      <w:rFonts w:hint="eastAsia"/>
                      <w:sz w:val="18"/>
                      <w:szCs w:val="18"/>
                    </w:rPr>
                    <w:t>6.89</w:t>
                  </w:r>
                </w:p>
              </w:tc>
              <w:tc>
                <w:tcPr>
                  <w:tcW w:w="504" w:type="pct"/>
                  <w:vAlign w:val="center"/>
                </w:tcPr>
                <w:p w14:paraId="36498667" w14:textId="77777777" w:rsidR="00F76A63" w:rsidRDefault="00000000">
                  <w:pPr>
                    <w:adjustRightInd w:val="0"/>
                    <w:snapToGrid w:val="0"/>
                    <w:jc w:val="center"/>
                    <w:rPr>
                      <w:sz w:val="18"/>
                      <w:szCs w:val="18"/>
                    </w:rPr>
                  </w:pPr>
                  <w:r>
                    <w:rPr>
                      <w:rFonts w:hint="eastAsia"/>
                      <w:sz w:val="18"/>
                      <w:szCs w:val="18"/>
                    </w:rPr>
                    <w:t>6.89</w:t>
                  </w:r>
                </w:p>
              </w:tc>
              <w:tc>
                <w:tcPr>
                  <w:tcW w:w="349" w:type="pct"/>
                  <w:vAlign w:val="center"/>
                </w:tcPr>
                <w:p w14:paraId="3DB5ED5E" w14:textId="77777777" w:rsidR="00F76A63" w:rsidRDefault="00000000">
                  <w:pPr>
                    <w:adjustRightInd w:val="0"/>
                    <w:snapToGrid w:val="0"/>
                    <w:jc w:val="center"/>
                    <w:rPr>
                      <w:sz w:val="18"/>
                      <w:szCs w:val="18"/>
                    </w:rPr>
                  </w:pPr>
                  <w:r>
                    <w:rPr>
                      <w:rFonts w:hint="eastAsia"/>
                      <w:sz w:val="18"/>
                      <w:szCs w:val="18"/>
                    </w:rPr>
                    <w:t>12.8</w:t>
                  </w:r>
                </w:p>
              </w:tc>
              <w:tc>
                <w:tcPr>
                  <w:tcW w:w="253" w:type="pct"/>
                  <w:vAlign w:val="center"/>
                </w:tcPr>
                <w:p w14:paraId="076001B9" w14:textId="77777777" w:rsidR="00F76A63" w:rsidRDefault="00000000">
                  <w:pPr>
                    <w:adjustRightInd w:val="0"/>
                    <w:snapToGrid w:val="0"/>
                    <w:jc w:val="center"/>
                    <w:rPr>
                      <w:sz w:val="18"/>
                      <w:szCs w:val="18"/>
                    </w:rPr>
                  </w:pPr>
                  <w:r>
                    <w:rPr>
                      <w:sz w:val="18"/>
                      <w:szCs w:val="18"/>
                    </w:rPr>
                    <w:t>-</w:t>
                  </w:r>
                </w:p>
              </w:tc>
            </w:tr>
            <w:tr w:rsidR="00F76A63" w14:paraId="62526802" w14:textId="77777777">
              <w:trPr>
                <w:trHeight w:val="340"/>
                <w:jc w:val="center"/>
              </w:trPr>
              <w:tc>
                <w:tcPr>
                  <w:tcW w:w="255" w:type="pct"/>
                  <w:vMerge w:val="restart"/>
                  <w:vAlign w:val="center"/>
                </w:tcPr>
                <w:p w14:paraId="63F3451F" w14:textId="77777777" w:rsidR="00F76A63" w:rsidRDefault="00000000">
                  <w:pPr>
                    <w:adjustRightInd w:val="0"/>
                    <w:snapToGrid w:val="0"/>
                    <w:jc w:val="center"/>
                    <w:rPr>
                      <w:sz w:val="18"/>
                      <w:szCs w:val="18"/>
                    </w:rPr>
                  </w:pPr>
                  <w:r>
                    <w:rPr>
                      <w:sz w:val="18"/>
                      <w:szCs w:val="18"/>
                    </w:rPr>
                    <w:t>颗粒物</w:t>
                  </w:r>
                </w:p>
              </w:tc>
              <w:tc>
                <w:tcPr>
                  <w:tcW w:w="711" w:type="pct"/>
                  <w:vAlign w:val="center"/>
                </w:tcPr>
                <w:p w14:paraId="06AFACE1"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500" w:type="pct"/>
                  <w:vAlign w:val="center"/>
                </w:tcPr>
                <w:p w14:paraId="1C87D575" w14:textId="77777777" w:rsidR="00F76A63" w:rsidRDefault="00000000">
                  <w:pPr>
                    <w:adjustRightInd w:val="0"/>
                    <w:snapToGrid w:val="0"/>
                    <w:jc w:val="center"/>
                    <w:rPr>
                      <w:sz w:val="18"/>
                      <w:szCs w:val="18"/>
                    </w:rPr>
                  </w:pPr>
                  <w:r>
                    <w:rPr>
                      <w:rFonts w:hint="eastAsia"/>
                      <w:sz w:val="18"/>
                      <w:szCs w:val="18"/>
                    </w:rPr>
                    <w:t>4.5</w:t>
                  </w:r>
                </w:p>
              </w:tc>
              <w:tc>
                <w:tcPr>
                  <w:tcW w:w="504" w:type="pct"/>
                  <w:vAlign w:val="center"/>
                </w:tcPr>
                <w:p w14:paraId="2214B94E" w14:textId="77777777" w:rsidR="00F76A63" w:rsidRDefault="00000000">
                  <w:pPr>
                    <w:adjustRightInd w:val="0"/>
                    <w:snapToGrid w:val="0"/>
                    <w:jc w:val="center"/>
                    <w:rPr>
                      <w:sz w:val="18"/>
                      <w:szCs w:val="18"/>
                    </w:rPr>
                  </w:pPr>
                  <w:r>
                    <w:rPr>
                      <w:rFonts w:hint="eastAsia"/>
                      <w:sz w:val="18"/>
                      <w:szCs w:val="18"/>
                    </w:rPr>
                    <w:t>4.6</w:t>
                  </w:r>
                </w:p>
              </w:tc>
              <w:tc>
                <w:tcPr>
                  <w:tcW w:w="504" w:type="pct"/>
                  <w:vAlign w:val="center"/>
                </w:tcPr>
                <w:p w14:paraId="1015A9F9" w14:textId="77777777" w:rsidR="00F76A63" w:rsidRDefault="00000000">
                  <w:pPr>
                    <w:adjustRightInd w:val="0"/>
                    <w:snapToGrid w:val="0"/>
                    <w:jc w:val="center"/>
                    <w:rPr>
                      <w:sz w:val="18"/>
                      <w:szCs w:val="18"/>
                    </w:rPr>
                  </w:pPr>
                  <w:r>
                    <w:rPr>
                      <w:rFonts w:hint="eastAsia"/>
                      <w:sz w:val="18"/>
                      <w:szCs w:val="18"/>
                    </w:rPr>
                    <w:t>4.4</w:t>
                  </w:r>
                </w:p>
              </w:tc>
              <w:tc>
                <w:tcPr>
                  <w:tcW w:w="411" w:type="pct"/>
                  <w:vAlign w:val="center"/>
                </w:tcPr>
                <w:p w14:paraId="2A26779F" w14:textId="77777777" w:rsidR="00F76A63" w:rsidRDefault="00000000">
                  <w:pPr>
                    <w:adjustRightInd w:val="0"/>
                    <w:snapToGrid w:val="0"/>
                    <w:jc w:val="center"/>
                    <w:rPr>
                      <w:sz w:val="18"/>
                      <w:szCs w:val="18"/>
                    </w:rPr>
                  </w:pPr>
                  <w:r>
                    <w:rPr>
                      <w:rFonts w:hint="eastAsia"/>
                      <w:sz w:val="18"/>
                      <w:szCs w:val="18"/>
                    </w:rPr>
                    <w:t>4.5</w:t>
                  </w:r>
                </w:p>
              </w:tc>
              <w:tc>
                <w:tcPr>
                  <w:tcW w:w="1862" w:type="pct"/>
                  <w:gridSpan w:val="4"/>
                  <w:vMerge w:val="restart"/>
                  <w:vAlign w:val="center"/>
                </w:tcPr>
                <w:p w14:paraId="20C7D127" w14:textId="77777777" w:rsidR="00F76A63" w:rsidRDefault="00000000">
                  <w:pPr>
                    <w:adjustRightInd w:val="0"/>
                    <w:snapToGrid w:val="0"/>
                    <w:jc w:val="center"/>
                    <w:rPr>
                      <w:sz w:val="18"/>
                      <w:szCs w:val="18"/>
                    </w:rPr>
                  </w:pPr>
                  <w:r>
                    <w:rPr>
                      <w:sz w:val="18"/>
                      <w:szCs w:val="18"/>
                    </w:rPr>
                    <w:t>/</w:t>
                  </w:r>
                </w:p>
              </w:tc>
              <w:tc>
                <w:tcPr>
                  <w:tcW w:w="253" w:type="pct"/>
                  <w:vAlign w:val="center"/>
                </w:tcPr>
                <w:p w14:paraId="2CAF7619" w14:textId="77777777" w:rsidR="00F76A63" w:rsidRDefault="00000000">
                  <w:pPr>
                    <w:adjustRightInd w:val="0"/>
                    <w:snapToGrid w:val="0"/>
                    <w:jc w:val="center"/>
                    <w:rPr>
                      <w:sz w:val="18"/>
                      <w:szCs w:val="18"/>
                    </w:rPr>
                  </w:pPr>
                  <w:r>
                    <w:rPr>
                      <w:sz w:val="18"/>
                      <w:szCs w:val="18"/>
                    </w:rPr>
                    <w:t>-</w:t>
                  </w:r>
                </w:p>
              </w:tc>
            </w:tr>
            <w:tr w:rsidR="00F76A63" w14:paraId="7CD646F4" w14:textId="77777777">
              <w:trPr>
                <w:trHeight w:val="340"/>
                <w:jc w:val="center"/>
              </w:trPr>
              <w:tc>
                <w:tcPr>
                  <w:tcW w:w="255" w:type="pct"/>
                  <w:vMerge/>
                  <w:vAlign w:val="center"/>
                </w:tcPr>
                <w:p w14:paraId="0E6D0725" w14:textId="77777777" w:rsidR="00F76A63" w:rsidRDefault="00F76A63">
                  <w:pPr>
                    <w:adjustRightInd w:val="0"/>
                    <w:snapToGrid w:val="0"/>
                    <w:jc w:val="center"/>
                    <w:rPr>
                      <w:sz w:val="18"/>
                      <w:szCs w:val="18"/>
                    </w:rPr>
                  </w:pPr>
                </w:p>
              </w:tc>
              <w:tc>
                <w:tcPr>
                  <w:tcW w:w="711" w:type="pct"/>
                  <w:vAlign w:val="center"/>
                </w:tcPr>
                <w:p w14:paraId="07B7D7EF" w14:textId="77777777" w:rsidR="00F76A63" w:rsidRDefault="00000000">
                  <w:pPr>
                    <w:adjustRightInd w:val="0"/>
                    <w:snapToGrid w:val="0"/>
                    <w:jc w:val="center"/>
                    <w:rPr>
                      <w:sz w:val="18"/>
                      <w:szCs w:val="18"/>
                    </w:rPr>
                  </w:pPr>
                  <w:r>
                    <w:rPr>
                      <w:sz w:val="18"/>
                      <w:szCs w:val="18"/>
                    </w:rPr>
                    <w:t>排放浓度</w:t>
                  </w:r>
                  <w:r>
                    <w:rPr>
                      <w:sz w:val="18"/>
                      <w:szCs w:val="18"/>
                    </w:rPr>
                    <w:lastRenderedPageBreak/>
                    <w:t>（</w:t>
                  </w:r>
                  <w:r>
                    <w:rPr>
                      <w:sz w:val="18"/>
                      <w:szCs w:val="18"/>
                    </w:rPr>
                    <w:t>mg/m</w:t>
                  </w:r>
                  <w:r>
                    <w:rPr>
                      <w:sz w:val="18"/>
                      <w:szCs w:val="18"/>
                      <w:vertAlign w:val="superscript"/>
                    </w:rPr>
                    <w:t>3</w:t>
                  </w:r>
                  <w:r>
                    <w:rPr>
                      <w:sz w:val="18"/>
                      <w:szCs w:val="18"/>
                    </w:rPr>
                    <w:t>）</w:t>
                  </w:r>
                </w:p>
              </w:tc>
              <w:tc>
                <w:tcPr>
                  <w:tcW w:w="500" w:type="pct"/>
                  <w:vAlign w:val="center"/>
                </w:tcPr>
                <w:p w14:paraId="32E395DC" w14:textId="77777777" w:rsidR="00F76A63" w:rsidRDefault="00000000">
                  <w:pPr>
                    <w:adjustRightInd w:val="0"/>
                    <w:snapToGrid w:val="0"/>
                    <w:jc w:val="center"/>
                    <w:rPr>
                      <w:sz w:val="18"/>
                      <w:szCs w:val="18"/>
                    </w:rPr>
                  </w:pPr>
                  <w:r>
                    <w:rPr>
                      <w:rFonts w:hint="eastAsia"/>
                      <w:sz w:val="18"/>
                      <w:szCs w:val="18"/>
                    </w:rPr>
                    <w:lastRenderedPageBreak/>
                    <w:t>4.9</w:t>
                  </w:r>
                </w:p>
              </w:tc>
              <w:tc>
                <w:tcPr>
                  <w:tcW w:w="504" w:type="pct"/>
                  <w:vAlign w:val="center"/>
                </w:tcPr>
                <w:p w14:paraId="5FF8EEF0" w14:textId="77777777" w:rsidR="00F76A63" w:rsidRDefault="00000000">
                  <w:pPr>
                    <w:adjustRightInd w:val="0"/>
                    <w:snapToGrid w:val="0"/>
                    <w:jc w:val="center"/>
                    <w:rPr>
                      <w:sz w:val="18"/>
                      <w:szCs w:val="18"/>
                    </w:rPr>
                  </w:pPr>
                  <w:r>
                    <w:rPr>
                      <w:rFonts w:hint="eastAsia"/>
                      <w:sz w:val="18"/>
                      <w:szCs w:val="18"/>
                    </w:rPr>
                    <w:t>5.1</w:t>
                  </w:r>
                </w:p>
              </w:tc>
              <w:tc>
                <w:tcPr>
                  <w:tcW w:w="504" w:type="pct"/>
                  <w:vAlign w:val="center"/>
                </w:tcPr>
                <w:p w14:paraId="6BF35B1B" w14:textId="77777777" w:rsidR="00F76A63" w:rsidRDefault="00000000">
                  <w:pPr>
                    <w:adjustRightInd w:val="0"/>
                    <w:snapToGrid w:val="0"/>
                    <w:jc w:val="center"/>
                    <w:rPr>
                      <w:sz w:val="18"/>
                      <w:szCs w:val="18"/>
                    </w:rPr>
                  </w:pPr>
                  <w:r>
                    <w:rPr>
                      <w:rFonts w:hint="eastAsia"/>
                      <w:sz w:val="18"/>
                      <w:szCs w:val="18"/>
                    </w:rPr>
                    <w:t>4.2</w:t>
                  </w:r>
                </w:p>
              </w:tc>
              <w:tc>
                <w:tcPr>
                  <w:tcW w:w="411" w:type="pct"/>
                  <w:vAlign w:val="center"/>
                </w:tcPr>
                <w:p w14:paraId="71FB068E" w14:textId="77777777" w:rsidR="00F76A63" w:rsidRDefault="00000000">
                  <w:pPr>
                    <w:adjustRightInd w:val="0"/>
                    <w:snapToGrid w:val="0"/>
                    <w:jc w:val="center"/>
                    <w:rPr>
                      <w:sz w:val="18"/>
                      <w:szCs w:val="18"/>
                    </w:rPr>
                  </w:pPr>
                  <w:r>
                    <w:rPr>
                      <w:rFonts w:hint="eastAsia"/>
                      <w:sz w:val="18"/>
                      <w:szCs w:val="18"/>
                    </w:rPr>
                    <w:t>47.3</w:t>
                  </w:r>
                </w:p>
              </w:tc>
              <w:tc>
                <w:tcPr>
                  <w:tcW w:w="1862" w:type="pct"/>
                  <w:gridSpan w:val="4"/>
                  <w:vMerge/>
                  <w:vAlign w:val="center"/>
                </w:tcPr>
                <w:p w14:paraId="46375738" w14:textId="77777777" w:rsidR="00F76A63" w:rsidRDefault="00F76A63">
                  <w:pPr>
                    <w:adjustRightInd w:val="0"/>
                    <w:snapToGrid w:val="0"/>
                    <w:jc w:val="center"/>
                    <w:rPr>
                      <w:sz w:val="18"/>
                      <w:szCs w:val="18"/>
                    </w:rPr>
                  </w:pPr>
                </w:p>
              </w:tc>
              <w:tc>
                <w:tcPr>
                  <w:tcW w:w="253" w:type="pct"/>
                  <w:vAlign w:val="center"/>
                </w:tcPr>
                <w:p w14:paraId="5419CCE5" w14:textId="77777777" w:rsidR="00F76A63" w:rsidRDefault="00000000">
                  <w:pPr>
                    <w:adjustRightInd w:val="0"/>
                    <w:snapToGrid w:val="0"/>
                    <w:jc w:val="center"/>
                    <w:rPr>
                      <w:sz w:val="18"/>
                      <w:szCs w:val="18"/>
                    </w:rPr>
                  </w:pPr>
                  <w:r>
                    <w:rPr>
                      <w:sz w:val="18"/>
                      <w:szCs w:val="18"/>
                    </w:rPr>
                    <w:t>10</w:t>
                  </w:r>
                </w:p>
              </w:tc>
            </w:tr>
            <w:tr w:rsidR="00F76A63" w14:paraId="1F77A409" w14:textId="77777777">
              <w:trPr>
                <w:trHeight w:val="340"/>
                <w:jc w:val="center"/>
              </w:trPr>
              <w:tc>
                <w:tcPr>
                  <w:tcW w:w="255" w:type="pct"/>
                  <w:vMerge/>
                  <w:vAlign w:val="center"/>
                </w:tcPr>
                <w:p w14:paraId="436CEFB5" w14:textId="77777777" w:rsidR="00F76A63" w:rsidRDefault="00F76A63">
                  <w:pPr>
                    <w:adjustRightInd w:val="0"/>
                    <w:snapToGrid w:val="0"/>
                    <w:jc w:val="center"/>
                    <w:rPr>
                      <w:sz w:val="18"/>
                      <w:szCs w:val="18"/>
                    </w:rPr>
                  </w:pPr>
                </w:p>
              </w:tc>
              <w:tc>
                <w:tcPr>
                  <w:tcW w:w="711" w:type="pct"/>
                  <w:vAlign w:val="center"/>
                </w:tcPr>
                <w:p w14:paraId="4534D057"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500" w:type="pct"/>
                  <w:vAlign w:val="center"/>
                </w:tcPr>
                <w:p w14:paraId="16296E6D" w14:textId="77777777" w:rsidR="00F76A63" w:rsidRDefault="00000000">
                  <w:pPr>
                    <w:adjustRightInd w:val="0"/>
                    <w:snapToGrid w:val="0"/>
                    <w:jc w:val="center"/>
                    <w:rPr>
                      <w:sz w:val="18"/>
                      <w:szCs w:val="18"/>
                    </w:rPr>
                  </w:pPr>
                  <w:r>
                    <w:rPr>
                      <w:rFonts w:hint="eastAsia"/>
                      <w:sz w:val="18"/>
                      <w:szCs w:val="18"/>
                    </w:rPr>
                    <w:t>3.57</w:t>
                  </w:r>
                </w:p>
              </w:tc>
              <w:tc>
                <w:tcPr>
                  <w:tcW w:w="504" w:type="pct"/>
                  <w:vAlign w:val="center"/>
                </w:tcPr>
                <w:p w14:paraId="4E7E16C0" w14:textId="77777777" w:rsidR="00F76A63" w:rsidRDefault="00000000">
                  <w:pPr>
                    <w:adjustRightInd w:val="0"/>
                    <w:snapToGrid w:val="0"/>
                    <w:jc w:val="center"/>
                    <w:rPr>
                      <w:sz w:val="18"/>
                      <w:szCs w:val="18"/>
                    </w:rPr>
                  </w:pPr>
                  <w:r>
                    <w:rPr>
                      <w:rFonts w:hint="eastAsia"/>
                      <w:sz w:val="18"/>
                      <w:szCs w:val="18"/>
                    </w:rPr>
                    <w:t>3.74</w:t>
                  </w:r>
                </w:p>
              </w:tc>
              <w:tc>
                <w:tcPr>
                  <w:tcW w:w="504" w:type="pct"/>
                  <w:vAlign w:val="center"/>
                </w:tcPr>
                <w:p w14:paraId="563BA4B5" w14:textId="77777777" w:rsidR="00F76A63" w:rsidRDefault="00000000">
                  <w:pPr>
                    <w:adjustRightInd w:val="0"/>
                    <w:snapToGrid w:val="0"/>
                    <w:jc w:val="center"/>
                    <w:rPr>
                      <w:sz w:val="18"/>
                      <w:szCs w:val="18"/>
                    </w:rPr>
                  </w:pPr>
                  <w:r>
                    <w:rPr>
                      <w:rFonts w:hint="eastAsia"/>
                      <w:sz w:val="18"/>
                      <w:szCs w:val="18"/>
                    </w:rPr>
                    <w:t>3.54</w:t>
                  </w:r>
                </w:p>
              </w:tc>
              <w:tc>
                <w:tcPr>
                  <w:tcW w:w="411" w:type="pct"/>
                  <w:vAlign w:val="center"/>
                </w:tcPr>
                <w:p w14:paraId="492A8F3E" w14:textId="77777777" w:rsidR="00F76A63" w:rsidRDefault="00000000">
                  <w:pPr>
                    <w:adjustRightInd w:val="0"/>
                    <w:snapToGrid w:val="0"/>
                    <w:jc w:val="center"/>
                    <w:rPr>
                      <w:sz w:val="18"/>
                      <w:szCs w:val="18"/>
                    </w:rPr>
                  </w:pPr>
                  <w:r>
                    <w:rPr>
                      <w:rFonts w:hint="eastAsia"/>
                      <w:sz w:val="18"/>
                      <w:szCs w:val="18"/>
                    </w:rPr>
                    <w:t>3.62</w:t>
                  </w:r>
                </w:p>
              </w:tc>
              <w:tc>
                <w:tcPr>
                  <w:tcW w:w="1862" w:type="pct"/>
                  <w:gridSpan w:val="4"/>
                  <w:vMerge/>
                  <w:vAlign w:val="center"/>
                </w:tcPr>
                <w:p w14:paraId="00C60F0D" w14:textId="77777777" w:rsidR="00F76A63" w:rsidRDefault="00F76A63">
                  <w:pPr>
                    <w:adjustRightInd w:val="0"/>
                    <w:snapToGrid w:val="0"/>
                    <w:jc w:val="center"/>
                    <w:rPr>
                      <w:sz w:val="18"/>
                      <w:szCs w:val="18"/>
                    </w:rPr>
                  </w:pPr>
                </w:p>
              </w:tc>
              <w:tc>
                <w:tcPr>
                  <w:tcW w:w="253" w:type="pct"/>
                  <w:vAlign w:val="center"/>
                </w:tcPr>
                <w:p w14:paraId="493C0AD0" w14:textId="77777777" w:rsidR="00F76A63" w:rsidRDefault="00000000">
                  <w:pPr>
                    <w:adjustRightInd w:val="0"/>
                    <w:snapToGrid w:val="0"/>
                    <w:jc w:val="center"/>
                    <w:rPr>
                      <w:sz w:val="18"/>
                      <w:szCs w:val="18"/>
                    </w:rPr>
                  </w:pPr>
                  <w:r>
                    <w:rPr>
                      <w:sz w:val="18"/>
                      <w:szCs w:val="18"/>
                    </w:rPr>
                    <w:t>-</w:t>
                  </w:r>
                </w:p>
              </w:tc>
            </w:tr>
          </w:tbl>
          <w:p w14:paraId="4BDC9D60" w14:textId="77777777" w:rsidR="00F76A63" w:rsidRDefault="00000000">
            <w:pPr>
              <w:adjustRightInd w:val="0"/>
              <w:snapToGrid w:val="0"/>
              <w:spacing w:line="500" w:lineRule="exact"/>
              <w:ind w:firstLine="482"/>
              <w:jc w:val="center"/>
              <w:rPr>
                <w:b/>
                <w:sz w:val="24"/>
              </w:rPr>
            </w:pPr>
            <w:r>
              <w:rPr>
                <w:rFonts w:hint="eastAsia"/>
                <w:b/>
                <w:sz w:val="24"/>
              </w:rPr>
              <w:t>表</w:t>
            </w:r>
            <w:r>
              <w:rPr>
                <w:b/>
                <w:sz w:val="24"/>
              </w:rPr>
              <w:t>2-5</w:t>
            </w:r>
            <w:r>
              <w:rPr>
                <w:rFonts w:hint="eastAsia"/>
                <w:b/>
                <w:sz w:val="24"/>
              </w:rPr>
              <w:t>1</w:t>
            </w:r>
            <w:r>
              <w:rPr>
                <w:b/>
                <w:sz w:val="24"/>
              </w:rPr>
              <w:t>续</w:t>
            </w:r>
            <w:r>
              <w:rPr>
                <w:b/>
                <w:sz w:val="24"/>
              </w:rPr>
              <w:t xml:space="preserve">  2#</w:t>
            </w:r>
            <w:r>
              <w:rPr>
                <w:b/>
                <w:sz w:val="24"/>
              </w:rPr>
              <w:t>熟料生产窑尾有组织废气监测结果</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96"/>
              <w:gridCol w:w="1255"/>
              <w:gridCol w:w="1491"/>
              <w:gridCol w:w="1491"/>
              <w:gridCol w:w="1491"/>
              <w:gridCol w:w="1491"/>
              <w:gridCol w:w="562"/>
            </w:tblGrid>
            <w:tr w:rsidR="00F76A63" w14:paraId="0C147E36" w14:textId="77777777">
              <w:trPr>
                <w:trHeight w:val="340"/>
                <w:jc w:val="center"/>
              </w:trPr>
              <w:tc>
                <w:tcPr>
                  <w:tcW w:w="1338" w:type="pct"/>
                  <w:gridSpan w:val="2"/>
                  <w:vMerge w:val="restart"/>
                  <w:vAlign w:val="center"/>
                </w:tcPr>
                <w:p w14:paraId="698E36E0" w14:textId="77777777" w:rsidR="00F76A63" w:rsidRDefault="00000000">
                  <w:pPr>
                    <w:adjustRightInd w:val="0"/>
                    <w:snapToGrid w:val="0"/>
                    <w:jc w:val="center"/>
                    <w:rPr>
                      <w:b/>
                      <w:bCs/>
                      <w:sz w:val="18"/>
                      <w:szCs w:val="18"/>
                    </w:rPr>
                  </w:pPr>
                  <w:r>
                    <w:rPr>
                      <w:b/>
                      <w:bCs/>
                      <w:sz w:val="18"/>
                      <w:szCs w:val="18"/>
                    </w:rPr>
                    <w:t>检测项目</w:t>
                  </w:r>
                </w:p>
              </w:tc>
              <w:tc>
                <w:tcPr>
                  <w:tcW w:w="3662" w:type="pct"/>
                  <w:gridSpan w:val="5"/>
                  <w:vAlign w:val="center"/>
                </w:tcPr>
                <w:p w14:paraId="0FDC28C3" w14:textId="77777777" w:rsidR="00F76A63" w:rsidRDefault="00000000">
                  <w:pPr>
                    <w:adjustRightInd w:val="0"/>
                    <w:snapToGrid w:val="0"/>
                    <w:jc w:val="center"/>
                    <w:rPr>
                      <w:b/>
                      <w:bCs/>
                      <w:sz w:val="18"/>
                      <w:szCs w:val="18"/>
                    </w:rPr>
                  </w:pPr>
                  <w:r>
                    <w:rPr>
                      <w:b/>
                      <w:bCs/>
                      <w:sz w:val="18"/>
                      <w:szCs w:val="18"/>
                    </w:rPr>
                    <w:t>（</w:t>
                  </w:r>
                  <w:r>
                    <w:rPr>
                      <w:b/>
                      <w:bCs/>
                      <w:sz w:val="18"/>
                      <w:szCs w:val="18"/>
                    </w:rPr>
                    <w:t>DA014</w:t>
                  </w:r>
                  <w:r>
                    <w:rPr>
                      <w:b/>
                      <w:bCs/>
                      <w:sz w:val="18"/>
                      <w:szCs w:val="18"/>
                    </w:rPr>
                    <w:t>）二线窑尾排气筒</w:t>
                  </w:r>
                </w:p>
              </w:tc>
            </w:tr>
            <w:tr w:rsidR="00F76A63" w14:paraId="6B8F23F2" w14:textId="77777777">
              <w:trPr>
                <w:trHeight w:val="340"/>
                <w:jc w:val="center"/>
              </w:trPr>
              <w:tc>
                <w:tcPr>
                  <w:tcW w:w="1338" w:type="pct"/>
                  <w:gridSpan w:val="2"/>
                  <w:vMerge/>
                  <w:vAlign w:val="center"/>
                </w:tcPr>
                <w:p w14:paraId="093A8808" w14:textId="77777777" w:rsidR="00F76A63" w:rsidRDefault="00F76A63">
                  <w:pPr>
                    <w:adjustRightInd w:val="0"/>
                    <w:snapToGrid w:val="0"/>
                    <w:jc w:val="center"/>
                    <w:rPr>
                      <w:b/>
                      <w:bCs/>
                      <w:sz w:val="18"/>
                      <w:szCs w:val="18"/>
                    </w:rPr>
                  </w:pPr>
                </w:p>
              </w:tc>
              <w:tc>
                <w:tcPr>
                  <w:tcW w:w="3662" w:type="pct"/>
                  <w:gridSpan w:val="5"/>
                  <w:vAlign w:val="center"/>
                </w:tcPr>
                <w:p w14:paraId="2581470A" w14:textId="77777777" w:rsidR="00F76A63" w:rsidRDefault="00000000">
                  <w:pPr>
                    <w:adjustRightInd w:val="0"/>
                    <w:snapToGrid w:val="0"/>
                    <w:jc w:val="center"/>
                    <w:rPr>
                      <w:b/>
                      <w:bCs/>
                      <w:sz w:val="18"/>
                      <w:szCs w:val="18"/>
                    </w:rPr>
                  </w:pPr>
                  <w:r>
                    <w:rPr>
                      <w:b/>
                      <w:bCs/>
                      <w:sz w:val="18"/>
                      <w:szCs w:val="18"/>
                    </w:rPr>
                    <w:t>202</w:t>
                  </w:r>
                  <w:r>
                    <w:rPr>
                      <w:rFonts w:hint="eastAsia"/>
                      <w:b/>
                      <w:bCs/>
                      <w:sz w:val="18"/>
                      <w:szCs w:val="18"/>
                    </w:rPr>
                    <w:t>6.01.25</w:t>
                  </w:r>
                </w:p>
              </w:tc>
            </w:tr>
            <w:tr w:rsidR="00F76A63" w14:paraId="380BC204" w14:textId="77777777">
              <w:trPr>
                <w:trHeight w:val="340"/>
                <w:jc w:val="center"/>
              </w:trPr>
              <w:tc>
                <w:tcPr>
                  <w:tcW w:w="1338" w:type="pct"/>
                  <w:gridSpan w:val="2"/>
                  <w:vMerge/>
                  <w:vAlign w:val="center"/>
                </w:tcPr>
                <w:p w14:paraId="6D62E888" w14:textId="77777777" w:rsidR="00F76A63" w:rsidRDefault="00F76A63">
                  <w:pPr>
                    <w:adjustRightInd w:val="0"/>
                    <w:snapToGrid w:val="0"/>
                    <w:jc w:val="center"/>
                    <w:rPr>
                      <w:b/>
                      <w:bCs/>
                      <w:sz w:val="18"/>
                      <w:szCs w:val="18"/>
                    </w:rPr>
                  </w:pPr>
                </w:p>
              </w:tc>
              <w:tc>
                <w:tcPr>
                  <w:tcW w:w="686" w:type="pct"/>
                  <w:vAlign w:val="center"/>
                </w:tcPr>
                <w:p w14:paraId="067F9FB9" w14:textId="77777777" w:rsidR="00F76A63" w:rsidRDefault="00000000">
                  <w:pPr>
                    <w:adjustRightInd w:val="0"/>
                    <w:snapToGrid w:val="0"/>
                    <w:jc w:val="center"/>
                    <w:rPr>
                      <w:b/>
                      <w:bCs/>
                      <w:sz w:val="18"/>
                      <w:szCs w:val="18"/>
                    </w:rPr>
                  </w:pPr>
                  <w:r>
                    <w:rPr>
                      <w:b/>
                      <w:bCs/>
                      <w:sz w:val="18"/>
                      <w:szCs w:val="18"/>
                    </w:rPr>
                    <w:t>第一次</w:t>
                  </w:r>
                </w:p>
              </w:tc>
              <w:tc>
                <w:tcPr>
                  <w:tcW w:w="731" w:type="pct"/>
                  <w:vAlign w:val="center"/>
                </w:tcPr>
                <w:p w14:paraId="691F287D" w14:textId="77777777" w:rsidR="00F76A63" w:rsidRDefault="00000000">
                  <w:pPr>
                    <w:adjustRightInd w:val="0"/>
                    <w:snapToGrid w:val="0"/>
                    <w:jc w:val="center"/>
                    <w:rPr>
                      <w:b/>
                      <w:bCs/>
                      <w:sz w:val="18"/>
                      <w:szCs w:val="18"/>
                    </w:rPr>
                  </w:pPr>
                  <w:r>
                    <w:rPr>
                      <w:b/>
                      <w:bCs/>
                      <w:sz w:val="18"/>
                      <w:szCs w:val="18"/>
                    </w:rPr>
                    <w:t>第二次</w:t>
                  </w:r>
                </w:p>
              </w:tc>
              <w:tc>
                <w:tcPr>
                  <w:tcW w:w="662" w:type="pct"/>
                  <w:vAlign w:val="center"/>
                </w:tcPr>
                <w:p w14:paraId="6B612AA9" w14:textId="77777777" w:rsidR="00F76A63" w:rsidRDefault="00000000">
                  <w:pPr>
                    <w:adjustRightInd w:val="0"/>
                    <w:snapToGrid w:val="0"/>
                    <w:jc w:val="center"/>
                    <w:rPr>
                      <w:b/>
                      <w:bCs/>
                      <w:sz w:val="18"/>
                      <w:szCs w:val="18"/>
                    </w:rPr>
                  </w:pPr>
                  <w:r>
                    <w:rPr>
                      <w:b/>
                      <w:bCs/>
                      <w:sz w:val="18"/>
                      <w:szCs w:val="18"/>
                    </w:rPr>
                    <w:t>第三次</w:t>
                  </w:r>
                </w:p>
              </w:tc>
              <w:tc>
                <w:tcPr>
                  <w:tcW w:w="922" w:type="pct"/>
                  <w:vAlign w:val="center"/>
                </w:tcPr>
                <w:p w14:paraId="09AE7AC7" w14:textId="77777777" w:rsidR="00F76A63" w:rsidRDefault="00000000">
                  <w:pPr>
                    <w:adjustRightInd w:val="0"/>
                    <w:snapToGrid w:val="0"/>
                    <w:jc w:val="center"/>
                    <w:rPr>
                      <w:b/>
                      <w:bCs/>
                      <w:sz w:val="18"/>
                      <w:szCs w:val="18"/>
                    </w:rPr>
                  </w:pPr>
                  <w:r>
                    <w:rPr>
                      <w:b/>
                      <w:bCs/>
                      <w:sz w:val="18"/>
                      <w:szCs w:val="18"/>
                    </w:rPr>
                    <w:t>平均值</w:t>
                  </w:r>
                </w:p>
              </w:tc>
              <w:tc>
                <w:tcPr>
                  <w:tcW w:w="661" w:type="pct"/>
                  <w:vAlign w:val="center"/>
                </w:tcPr>
                <w:p w14:paraId="05A8CEA2" w14:textId="77777777" w:rsidR="00F76A63" w:rsidRDefault="00000000">
                  <w:pPr>
                    <w:adjustRightInd w:val="0"/>
                    <w:snapToGrid w:val="0"/>
                    <w:jc w:val="center"/>
                    <w:rPr>
                      <w:b/>
                      <w:bCs/>
                      <w:sz w:val="18"/>
                      <w:szCs w:val="18"/>
                    </w:rPr>
                  </w:pPr>
                  <w:r>
                    <w:rPr>
                      <w:b/>
                      <w:bCs/>
                      <w:sz w:val="18"/>
                      <w:szCs w:val="18"/>
                    </w:rPr>
                    <w:t>标准限值</w:t>
                  </w:r>
                </w:p>
              </w:tc>
            </w:tr>
            <w:tr w:rsidR="00F76A63" w14:paraId="112435DF" w14:textId="77777777">
              <w:trPr>
                <w:trHeight w:val="340"/>
                <w:jc w:val="center"/>
              </w:trPr>
              <w:tc>
                <w:tcPr>
                  <w:tcW w:w="380" w:type="pct"/>
                  <w:vMerge w:val="restart"/>
                  <w:vAlign w:val="center"/>
                </w:tcPr>
                <w:p w14:paraId="361EF0E4" w14:textId="77777777" w:rsidR="00F76A63" w:rsidRDefault="00000000">
                  <w:pPr>
                    <w:adjustRightInd w:val="0"/>
                    <w:snapToGrid w:val="0"/>
                    <w:jc w:val="center"/>
                    <w:rPr>
                      <w:sz w:val="18"/>
                      <w:szCs w:val="18"/>
                    </w:rPr>
                  </w:pPr>
                  <w:r>
                    <w:rPr>
                      <w:sz w:val="18"/>
                      <w:szCs w:val="18"/>
                    </w:rPr>
                    <w:t>总烃</w:t>
                  </w:r>
                </w:p>
              </w:tc>
              <w:tc>
                <w:tcPr>
                  <w:tcW w:w="958" w:type="pct"/>
                  <w:vAlign w:val="center"/>
                </w:tcPr>
                <w:p w14:paraId="5C0C21B5"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58761683" w14:textId="77777777" w:rsidR="00F76A63" w:rsidRDefault="00000000">
                  <w:pPr>
                    <w:adjustRightInd w:val="0"/>
                    <w:snapToGrid w:val="0"/>
                    <w:jc w:val="center"/>
                    <w:rPr>
                      <w:sz w:val="18"/>
                      <w:szCs w:val="18"/>
                    </w:rPr>
                  </w:pPr>
                  <w:r>
                    <w:rPr>
                      <w:rFonts w:hint="eastAsia"/>
                      <w:sz w:val="18"/>
                      <w:szCs w:val="18"/>
                    </w:rPr>
                    <w:t>10.6</w:t>
                  </w:r>
                </w:p>
              </w:tc>
              <w:tc>
                <w:tcPr>
                  <w:tcW w:w="731" w:type="pct"/>
                  <w:vAlign w:val="center"/>
                </w:tcPr>
                <w:p w14:paraId="454A7FCC" w14:textId="77777777" w:rsidR="00F76A63" w:rsidRDefault="00000000">
                  <w:pPr>
                    <w:adjustRightInd w:val="0"/>
                    <w:snapToGrid w:val="0"/>
                    <w:jc w:val="center"/>
                    <w:rPr>
                      <w:sz w:val="18"/>
                      <w:szCs w:val="18"/>
                    </w:rPr>
                  </w:pPr>
                  <w:r>
                    <w:rPr>
                      <w:rFonts w:hint="eastAsia"/>
                      <w:sz w:val="18"/>
                      <w:szCs w:val="18"/>
                    </w:rPr>
                    <w:t>12.3</w:t>
                  </w:r>
                </w:p>
              </w:tc>
              <w:tc>
                <w:tcPr>
                  <w:tcW w:w="662" w:type="pct"/>
                  <w:vAlign w:val="center"/>
                </w:tcPr>
                <w:p w14:paraId="561597A4" w14:textId="77777777" w:rsidR="00F76A63" w:rsidRDefault="00000000">
                  <w:pPr>
                    <w:adjustRightInd w:val="0"/>
                    <w:snapToGrid w:val="0"/>
                    <w:jc w:val="center"/>
                    <w:rPr>
                      <w:sz w:val="18"/>
                      <w:szCs w:val="18"/>
                    </w:rPr>
                  </w:pPr>
                  <w:r>
                    <w:rPr>
                      <w:rFonts w:hint="eastAsia"/>
                      <w:sz w:val="18"/>
                      <w:szCs w:val="18"/>
                    </w:rPr>
                    <w:t>12.0</w:t>
                  </w:r>
                </w:p>
              </w:tc>
              <w:tc>
                <w:tcPr>
                  <w:tcW w:w="922" w:type="pct"/>
                  <w:vAlign w:val="center"/>
                </w:tcPr>
                <w:p w14:paraId="156742F3" w14:textId="77777777" w:rsidR="00F76A63" w:rsidRDefault="00000000">
                  <w:pPr>
                    <w:adjustRightInd w:val="0"/>
                    <w:snapToGrid w:val="0"/>
                    <w:jc w:val="center"/>
                    <w:rPr>
                      <w:sz w:val="18"/>
                      <w:szCs w:val="18"/>
                    </w:rPr>
                  </w:pPr>
                  <w:r>
                    <w:rPr>
                      <w:rFonts w:hint="eastAsia"/>
                      <w:sz w:val="18"/>
                      <w:szCs w:val="18"/>
                    </w:rPr>
                    <w:t>11.6</w:t>
                  </w:r>
                </w:p>
              </w:tc>
              <w:tc>
                <w:tcPr>
                  <w:tcW w:w="661" w:type="pct"/>
                  <w:vAlign w:val="center"/>
                </w:tcPr>
                <w:p w14:paraId="35802BFC" w14:textId="77777777" w:rsidR="00F76A63" w:rsidRDefault="00000000">
                  <w:pPr>
                    <w:adjustRightInd w:val="0"/>
                    <w:snapToGrid w:val="0"/>
                    <w:jc w:val="center"/>
                    <w:rPr>
                      <w:sz w:val="18"/>
                      <w:szCs w:val="18"/>
                    </w:rPr>
                  </w:pPr>
                  <w:r>
                    <w:rPr>
                      <w:sz w:val="18"/>
                      <w:szCs w:val="18"/>
                    </w:rPr>
                    <w:t>-</w:t>
                  </w:r>
                </w:p>
              </w:tc>
            </w:tr>
            <w:tr w:rsidR="00F76A63" w14:paraId="6AEA7809" w14:textId="77777777">
              <w:trPr>
                <w:trHeight w:val="340"/>
                <w:jc w:val="center"/>
              </w:trPr>
              <w:tc>
                <w:tcPr>
                  <w:tcW w:w="380" w:type="pct"/>
                  <w:vMerge/>
                  <w:vAlign w:val="center"/>
                </w:tcPr>
                <w:p w14:paraId="35335EE4" w14:textId="77777777" w:rsidR="00F76A63" w:rsidRDefault="00F76A63">
                  <w:pPr>
                    <w:adjustRightInd w:val="0"/>
                    <w:snapToGrid w:val="0"/>
                    <w:jc w:val="center"/>
                    <w:rPr>
                      <w:sz w:val="18"/>
                      <w:szCs w:val="18"/>
                    </w:rPr>
                  </w:pPr>
                </w:p>
              </w:tc>
              <w:tc>
                <w:tcPr>
                  <w:tcW w:w="958" w:type="pct"/>
                  <w:vAlign w:val="center"/>
                </w:tcPr>
                <w:p w14:paraId="0ECC111F"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45B97FE5" w14:textId="77777777" w:rsidR="00F76A63" w:rsidRDefault="00000000">
                  <w:pPr>
                    <w:adjustRightInd w:val="0"/>
                    <w:snapToGrid w:val="0"/>
                    <w:jc w:val="center"/>
                    <w:rPr>
                      <w:sz w:val="18"/>
                      <w:szCs w:val="18"/>
                    </w:rPr>
                  </w:pPr>
                  <w:r>
                    <w:rPr>
                      <w:rFonts w:hint="eastAsia"/>
                      <w:sz w:val="18"/>
                      <w:szCs w:val="18"/>
                    </w:rPr>
                    <w:t>5.50</w:t>
                  </w:r>
                </w:p>
              </w:tc>
              <w:tc>
                <w:tcPr>
                  <w:tcW w:w="731" w:type="pct"/>
                  <w:vAlign w:val="center"/>
                </w:tcPr>
                <w:p w14:paraId="786C3F6B" w14:textId="77777777" w:rsidR="00F76A63" w:rsidRDefault="00000000">
                  <w:pPr>
                    <w:adjustRightInd w:val="0"/>
                    <w:snapToGrid w:val="0"/>
                    <w:jc w:val="center"/>
                    <w:rPr>
                      <w:sz w:val="18"/>
                      <w:szCs w:val="18"/>
                    </w:rPr>
                  </w:pPr>
                  <w:r>
                    <w:rPr>
                      <w:rFonts w:hint="eastAsia"/>
                      <w:sz w:val="18"/>
                      <w:szCs w:val="18"/>
                    </w:rPr>
                    <w:t>6.41</w:t>
                  </w:r>
                </w:p>
              </w:tc>
              <w:tc>
                <w:tcPr>
                  <w:tcW w:w="662" w:type="pct"/>
                  <w:vAlign w:val="center"/>
                </w:tcPr>
                <w:p w14:paraId="6BC9D3CB" w14:textId="77777777" w:rsidR="00F76A63" w:rsidRDefault="00000000">
                  <w:pPr>
                    <w:adjustRightInd w:val="0"/>
                    <w:snapToGrid w:val="0"/>
                    <w:jc w:val="center"/>
                    <w:rPr>
                      <w:sz w:val="18"/>
                      <w:szCs w:val="18"/>
                    </w:rPr>
                  </w:pPr>
                  <w:r>
                    <w:rPr>
                      <w:rFonts w:hint="eastAsia"/>
                      <w:sz w:val="18"/>
                      <w:szCs w:val="18"/>
                    </w:rPr>
                    <w:t>6.25</w:t>
                  </w:r>
                </w:p>
              </w:tc>
              <w:tc>
                <w:tcPr>
                  <w:tcW w:w="922" w:type="pct"/>
                  <w:vAlign w:val="center"/>
                </w:tcPr>
                <w:p w14:paraId="38CF108D" w14:textId="77777777" w:rsidR="00F76A63" w:rsidRDefault="00000000">
                  <w:pPr>
                    <w:adjustRightInd w:val="0"/>
                    <w:snapToGrid w:val="0"/>
                    <w:jc w:val="center"/>
                    <w:rPr>
                      <w:sz w:val="18"/>
                      <w:szCs w:val="18"/>
                    </w:rPr>
                  </w:pPr>
                  <w:r>
                    <w:rPr>
                      <w:rFonts w:hint="eastAsia"/>
                      <w:sz w:val="18"/>
                      <w:szCs w:val="18"/>
                    </w:rPr>
                    <w:t>6.05</w:t>
                  </w:r>
                </w:p>
              </w:tc>
              <w:tc>
                <w:tcPr>
                  <w:tcW w:w="661" w:type="pct"/>
                  <w:vAlign w:val="center"/>
                </w:tcPr>
                <w:p w14:paraId="7ABACA29" w14:textId="77777777" w:rsidR="00F76A63" w:rsidRDefault="00000000">
                  <w:pPr>
                    <w:adjustRightInd w:val="0"/>
                    <w:snapToGrid w:val="0"/>
                    <w:jc w:val="center"/>
                    <w:rPr>
                      <w:sz w:val="18"/>
                      <w:szCs w:val="18"/>
                    </w:rPr>
                  </w:pPr>
                  <w:r>
                    <w:rPr>
                      <w:sz w:val="18"/>
                      <w:szCs w:val="18"/>
                    </w:rPr>
                    <w:t>-</w:t>
                  </w:r>
                </w:p>
              </w:tc>
            </w:tr>
            <w:tr w:rsidR="00F76A63" w14:paraId="7FC7CFFC" w14:textId="77777777">
              <w:trPr>
                <w:trHeight w:val="340"/>
                <w:jc w:val="center"/>
              </w:trPr>
              <w:tc>
                <w:tcPr>
                  <w:tcW w:w="380" w:type="pct"/>
                  <w:vMerge w:val="restart"/>
                  <w:vAlign w:val="center"/>
                </w:tcPr>
                <w:p w14:paraId="400BD5E6" w14:textId="77777777" w:rsidR="00F76A63" w:rsidRDefault="00000000">
                  <w:pPr>
                    <w:adjustRightInd w:val="0"/>
                    <w:snapToGrid w:val="0"/>
                    <w:jc w:val="center"/>
                    <w:rPr>
                      <w:sz w:val="18"/>
                      <w:szCs w:val="18"/>
                    </w:rPr>
                  </w:pPr>
                  <w:r>
                    <w:rPr>
                      <w:sz w:val="18"/>
                      <w:szCs w:val="18"/>
                    </w:rPr>
                    <w:t>氨</w:t>
                  </w:r>
                </w:p>
              </w:tc>
              <w:tc>
                <w:tcPr>
                  <w:tcW w:w="958" w:type="pct"/>
                  <w:vAlign w:val="center"/>
                </w:tcPr>
                <w:p w14:paraId="2119B04C"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718D21FB" w14:textId="77777777" w:rsidR="00F76A63" w:rsidRDefault="00000000">
                  <w:pPr>
                    <w:adjustRightInd w:val="0"/>
                    <w:snapToGrid w:val="0"/>
                    <w:jc w:val="center"/>
                    <w:rPr>
                      <w:sz w:val="18"/>
                      <w:szCs w:val="18"/>
                    </w:rPr>
                  </w:pPr>
                  <w:r>
                    <w:rPr>
                      <w:rFonts w:hint="eastAsia"/>
                      <w:sz w:val="18"/>
                      <w:szCs w:val="18"/>
                    </w:rPr>
                    <w:t>0.62</w:t>
                  </w:r>
                </w:p>
              </w:tc>
              <w:tc>
                <w:tcPr>
                  <w:tcW w:w="731" w:type="pct"/>
                  <w:vAlign w:val="center"/>
                </w:tcPr>
                <w:p w14:paraId="4E5D9A3C" w14:textId="77777777" w:rsidR="00F76A63" w:rsidRDefault="00000000">
                  <w:pPr>
                    <w:adjustRightInd w:val="0"/>
                    <w:snapToGrid w:val="0"/>
                    <w:jc w:val="center"/>
                    <w:rPr>
                      <w:sz w:val="18"/>
                      <w:szCs w:val="18"/>
                    </w:rPr>
                  </w:pPr>
                  <w:r>
                    <w:rPr>
                      <w:rFonts w:hint="eastAsia"/>
                      <w:sz w:val="18"/>
                      <w:szCs w:val="18"/>
                    </w:rPr>
                    <w:t>0.72</w:t>
                  </w:r>
                </w:p>
              </w:tc>
              <w:tc>
                <w:tcPr>
                  <w:tcW w:w="662" w:type="pct"/>
                  <w:vAlign w:val="center"/>
                </w:tcPr>
                <w:p w14:paraId="77F2D9F8" w14:textId="77777777" w:rsidR="00F76A63" w:rsidRDefault="00000000">
                  <w:pPr>
                    <w:adjustRightInd w:val="0"/>
                    <w:snapToGrid w:val="0"/>
                    <w:jc w:val="center"/>
                    <w:rPr>
                      <w:sz w:val="18"/>
                      <w:szCs w:val="18"/>
                    </w:rPr>
                  </w:pPr>
                  <w:r>
                    <w:rPr>
                      <w:rFonts w:hint="eastAsia"/>
                      <w:sz w:val="18"/>
                      <w:szCs w:val="18"/>
                    </w:rPr>
                    <w:t>0.75</w:t>
                  </w:r>
                </w:p>
              </w:tc>
              <w:tc>
                <w:tcPr>
                  <w:tcW w:w="922" w:type="pct"/>
                  <w:vAlign w:val="center"/>
                </w:tcPr>
                <w:p w14:paraId="3AA0E7B2" w14:textId="77777777" w:rsidR="00F76A63" w:rsidRDefault="00000000">
                  <w:pPr>
                    <w:adjustRightInd w:val="0"/>
                    <w:snapToGrid w:val="0"/>
                    <w:jc w:val="center"/>
                    <w:rPr>
                      <w:sz w:val="18"/>
                      <w:szCs w:val="18"/>
                    </w:rPr>
                  </w:pPr>
                  <w:r>
                    <w:rPr>
                      <w:rFonts w:hint="eastAsia"/>
                      <w:sz w:val="18"/>
                      <w:szCs w:val="18"/>
                    </w:rPr>
                    <w:t>0.70</w:t>
                  </w:r>
                </w:p>
              </w:tc>
              <w:tc>
                <w:tcPr>
                  <w:tcW w:w="661" w:type="pct"/>
                  <w:vAlign w:val="center"/>
                </w:tcPr>
                <w:p w14:paraId="49E56105" w14:textId="77777777" w:rsidR="00F76A63" w:rsidRDefault="00000000">
                  <w:pPr>
                    <w:adjustRightInd w:val="0"/>
                    <w:snapToGrid w:val="0"/>
                    <w:jc w:val="center"/>
                    <w:rPr>
                      <w:sz w:val="18"/>
                      <w:szCs w:val="18"/>
                    </w:rPr>
                  </w:pPr>
                  <w:r>
                    <w:rPr>
                      <w:sz w:val="18"/>
                      <w:szCs w:val="18"/>
                    </w:rPr>
                    <w:t>-</w:t>
                  </w:r>
                </w:p>
              </w:tc>
            </w:tr>
            <w:tr w:rsidR="00F76A63" w14:paraId="6307603A" w14:textId="77777777">
              <w:trPr>
                <w:trHeight w:val="340"/>
                <w:jc w:val="center"/>
              </w:trPr>
              <w:tc>
                <w:tcPr>
                  <w:tcW w:w="380" w:type="pct"/>
                  <w:vMerge/>
                  <w:vAlign w:val="center"/>
                </w:tcPr>
                <w:p w14:paraId="2F82E837" w14:textId="77777777" w:rsidR="00F76A63" w:rsidRDefault="00F76A63">
                  <w:pPr>
                    <w:adjustRightInd w:val="0"/>
                    <w:snapToGrid w:val="0"/>
                    <w:jc w:val="center"/>
                    <w:rPr>
                      <w:sz w:val="18"/>
                      <w:szCs w:val="18"/>
                    </w:rPr>
                  </w:pPr>
                </w:p>
              </w:tc>
              <w:tc>
                <w:tcPr>
                  <w:tcW w:w="958" w:type="pct"/>
                  <w:vAlign w:val="center"/>
                </w:tcPr>
                <w:p w14:paraId="4C134E96"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1BBAAAB5" w14:textId="77777777" w:rsidR="00F76A63" w:rsidRDefault="00000000">
                  <w:pPr>
                    <w:adjustRightInd w:val="0"/>
                    <w:snapToGrid w:val="0"/>
                    <w:jc w:val="center"/>
                    <w:rPr>
                      <w:sz w:val="18"/>
                      <w:szCs w:val="18"/>
                    </w:rPr>
                  </w:pPr>
                  <w:r>
                    <w:rPr>
                      <w:rFonts w:hint="eastAsia"/>
                      <w:sz w:val="18"/>
                      <w:szCs w:val="18"/>
                    </w:rPr>
                    <w:t>0.56</w:t>
                  </w:r>
                </w:p>
              </w:tc>
              <w:tc>
                <w:tcPr>
                  <w:tcW w:w="731" w:type="pct"/>
                  <w:vAlign w:val="center"/>
                </w:tcPr>
                <w:p w14:paraId="6333AFE7" w14:textId="77777777" w:rsidR="00F76A63" w:rsidRDefault="00000000">
                  <w:pPr>
                    <w:adjustRightInd w:val="0"/>
                    <w:snapToGrid w:val="0"/>
                    <w:jc w:val="center"/>
                    <w:rPr>
                      <w:sz w:val="18"/>
                      <w:szCs w:val="18"/>
                    </w:rPr>
                  </w:pPr>
                  <w:r>
                    <w:rPr>
                      <w:rFonts w:hint="eastAsia"/>
                      <w:sz w:val="18"/>
                      <w:szCs w:val="18"/>
                    </w:rPr>
                    <w:t>0.65</w:t>
                  </w:r>
                </w:p>
              </w:tc>
              <w:tc>
                <w:tcPr>
                  <w:tcW w:w="662" w:type="pct"/>
                  <w:vAlign w:val="center"/>
                </w:tcPr>
                <w:p w14:paraId="50F01C11" w14:textId="77777777" w:rsidR="00F76A63" w:rsidRDefault="00000000">
                  <w:pPr>
                    <w:adjustRightInd w:val="0"/>
                    <w:snapToGrid w:val="0"/>
                    <w:jc w:val="center"/>
                    <w:rPr>
                      <w:sz w:val="18"/>
                      <w:szCs w:val="18"/>
                    </w:rPr>
                  </w:pPr>
                  <w:r>
                    <w:rPr>
                      <w:rFonts w:hint="eastAsia"/>
                      <w:sz w:val="18"/>
                      <w:szCs w:val="18"/>
                    </w:rPr>
                    <w:t>0.68</w:t>
                  </w:r>
                </w:p>
              </w:tc>
              <w:tc>
                <w:tcPr>
                  <w:tcW w:w="922" w:type="pct"/>
                  <w:vAlign w:val="center"/>
                </w:tcPr>
                <w:p w14:paraId="26718847" w14:textId="77777777" w:rsidR="00F76A63" w:rsidRDefault="00000000">
                  <w:pPr>
                    <w:adjustRightInd w:val="0"/>
                    <w:snapToGrid w:val="0"/>
                    <w:jc w:val="center"/>
                    <w:rPr>
                      <w:sz w:val="18"/>
                      <w:szCs w:val="18"/>
                    </w:rPr>
                  </w:pPr>
                  <w:r>
                    <w:rPr>
                      <w:rFonts w:hint="eastAsia"/>
                      <w:sz w:val="18"/>
                      <w:szCs w:val="18"/>
                    </w:rPr>
                    <w:t>0.63</w:t>
                  </w:r>
                </w:p>
              </w:tc>
              <w:tc>
                <w:tcPr>
                  <w:tcW w:w="661" w:type="pct"/>
                  <w:vAlign w:val="center"/>
                </w:tcPr>
                <w:p w14:paraId="6C85C5EF" w14:textId="77777777" w:rsidR="00F76A63" w:rsidRDefault="00000000">
                  <w:pPr>
                    <w:adjustRightInd w:val="0"/>
                    <w:snapToGrid w:val="0"/>
                    <w:jc w:val="center"/>
                    <w:rPr>
                      <w:sz w:val="18"/>
                      <w:szCs w:val="18"/>
                    </w:rPr>
                  </w:pPr>
                  <w:r>
                    <w:rPr>
                      <w:sz w:val="18"/>
                      <w:szCs w:val="18"/>
                    </w:rPr>
                    <w:t>8</w:t>
                  </w:r>
                </w:p>
              </w:tc>
            </w:tr>
            <w:tr w:rsidR="00F76A63" w14:paraId="66CF4BF8" w14:textId="77777777">
              <w:trPr>
                <w:trHeight w:val="340"/>
                <w:jc w:val="center"/>
              </w:trPr>
              <w:tc>
                <w:tcPr>
                  <w:tcW w:w="380" w:type="pct"/>
                  <w:vMerge/>
                  <w:vAlign w:val="center"/>
                </w:tcPr>
                <w:p w14:paraId="2D037B65" w14:textId="77777777" w:rsidR="00F76A63" w:rsidRDefault="00F76A63">
                  <w:pPr>
                    <w:adjustRightInd w:val="0"/>
                    <w:snapToGrid w:val="0"/>
                    <w:jc w:val="center"/>
                    <w:rPr>
                      <w:sz w:val="18"/>
                      <w:szCs w:val="18"/>
                    </w:rPr>
                  </w:pPr>
                </w:p>
              </w:tc>
              <w:tc>
                <w:tcPr>
                  <w:tcW w:w="958" w:type="pct"/>
                  <w:vAlign w:val="center"/>
                </w:tcPr>
                <w:p w14:paraId="79A1A1DD"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48CB82C3" w14:textId="77777777" w:rsidR="00F76A63" w:rsidRDefault="00000000">
                  <w:pPr>
                    <w:adjustRightInd w:val="0"/>
                    <w:snapToGrid w:val="0"/>
                    <w:jc w:val="center"/>
                    <w:rPr>
                      <w:sz w:val="18"/>
                      <w:szCs w:val="18"/>
                    </w:rPr>
                  </w:pPr>
                  <w:r>
                    <w:rPr>
                      <w:rFonts w:hint="eastAsia"/>
                      <w:sz w:val="18"/>
                      <w:szCs w:val="18"/>
                    </w:rPr>
                    <w:t>0.323</w:t>
                  </w:r>
                </w:p>
              </w:tc>
              <w:tc>
                <w:tcPr>
                  <w:tcW w:w="731" w:type="pct"/>
                  <w:vAlign w:val="center"/>
                </w:tcPr>
                <w:p w14:paraId="426446D6" w14:textId="77777777" w:rsidR="00F76A63" w:rsidRDefault="00000000">
                  <w:pPr>
                    <w:adjustRightInd w:val="0"/>
                    <w:snapToGrid w:val="0"/>
                    <w:jc w:val="center"/>
                    <w:rPr>
                      <w:sz w:val="18"/>
                      <w:szCs w:val="18"/>
                    </w:rPr>
                  </w:pPr>
                  <w:r>
                    <w:rPr>
                      <w:rFonts w:hint="eastAsia"/>
                      <w:sz w:val="18"/>
                      <w:szCs w:val="18"/>
                    </w:rPr>
                    <w:t>0.375</w:t>
                  </w:r>
                </w:p>
              </w:tc>
              <w:tc>
                <w:tcPr>
                  <w:tcW w:w="662" w:type="pct"/>
                  <w:vAlign w:val="center"/>
                </w:tcPr>
                <w:p w14:paraId="1BFE4AF9" w14:textId="77777777" w:rsidR="00F76A63" w:rsidRDefault="00000000">
                  <w:pPr>
                    <w:adjustRightInd w:val="0"/>
                    <w:snapToGrid w:val="0"/>
                    <w:jc w:val="center"/>
                    <w:rPr>
                      <w:sz w:val="18"/>
                      <w:szCs w:val="18"/>
                    </w:rPr>
                  </w:pPr>
                  <w:r>
                    <w:rPr>
                      <w:rFonts w:hint="eastAsia"/>
                      <w:sz w:val="18"/>
                      <w:szCs w:val="18"/>
                    </w:rPr>
                    <w:t>0.391</w:t>
                  </w:r>
                </w:p>
              </w:tc>
              <w:tc>
                <w:tcPr>
                  <w:tcW w:w="922" w:type="pct"/>
                  <w:vAlign w:val="center"/>
                </w:tcPr>
                <w:p w14:paraId="058EF406" w14:textId="77777777" w:rsidR="00F76A63" w:rsidRDefault="00000000">
                  <w:pPr>
                    <w:adjustRightInd w:val="0"/>
                    <w:snapToGrid w:val="0"/>
                    <w:jc w:val="center"/>
                    <w:rPr>
                      <w:sz w:val="18"/>
                      <w:szCs w:val="18"/>
                    </w:rPr>
                  </w:pPr>
                  <w:r>
                    <w:rPr>
                      <w:rFonts w:hint="eastAsia"/>
                      <w:sz w:val="18"/>
                      <w:szCs w:val="18"/>
                    </w:rPr>
                    <w:t>0.363</w:t>
                  </w:r>
                </w:p>
              </w:tc>
              <w:tc>
                <w:tcPr>
                  <w:tcW w:w="661" w:type="pct"/>
                  <w:vAlign w:val="center"/>
                </w:tcPr>
                <w:p w14:paraId="58343B2F" w14:textId="77777777" w:rsidR="00F76A63" w:rsidRDefault="00000000">
                  <w:pPr>
                    <w:adjustRightInd w:val="0"/>
                    <w:snapToGrid w:val="0"/>
                    <w:jc w:val="center"/>
                    <w:rPr>
                      <w:sz w:val="18"/>
                      <w:szCs w:val="18"/>
                    </w:rPr>
                  </w:pPr>
                  <w:r>
                    <w:rPr>
                      <w:sz w:val="18"/>
                      <w:szCs w:val="18"/>
                    </w:rPr>
                    <w:t>-</w:t>
                  </w:r>
                </w:p>
              </w:tc>
            </w:tr>
            <w:tr w:rsidR="00F76A63" w14:paraId="711ED404" w14:textId="77777777">
              <w:trPr>
                <w:trHeight w:val="340"/>
                <w:jc w:val="center"/>
              </w:trPr>
              <w:tc>
                <w:tcPr>
                  <w:tcW w:w="380" w:type="pct"/>
                  <w:vMerge w:val="restart"/>
                  <w:vAlign w:val="center"/>
                </w:tcPr>
                <w:p w14:paraId="39A25764" w14:textId="77777777" w:rsidR="00F76A63" w:rsidRDefault="00000000">
                  <w:pPr>
                    <w:adjustRightInd w:val="0"/>
                    <w:snapToGrid w:val="0"/>
                    <w:jc w:val="center"/>
                    <w:rPr>
                      <w:sz w:val="18"/>
                      <w:szCs w:val="18"/>
                    </w:rPr>
                  </w:pPr>
                  <w:r>
                    <w:rPr>
                      <w:sz w:val="18"/>
                      <w:szCs w:val="18"/>
                    </w:rPr>
                    <w:t>氟化物</w:t>
                  </w:r>
                </w:p>
              </w:tc>
              <w:tc>
                <w:tcPr>
                  <w:tcW w:w="958" w:type="pct"/>
                  <w:vAlign w:val="center"/>
                </w:tcPr>
                <w:p w14:paraId="23FF5931"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160D79AE"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1E01C9A0"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45A0C88E"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443AC9BA"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1E59ABC1" w14:textId="77777777" w:rsidR="00F76A63" w:rsidRDefault="00000000">
                  <w:pPr>
                    <w:adjustRightInd w:val="0"/>
                    <w:snapToGrid w:val="0"/>
                    <w:jc w:val="center"/>
                    <w:rPr>
                      <w:sz w:val="18"/>
                      <w:szCs w:val="18"/>
                    </w:rPr>
                  </w:pPr>
                  <w:r>
                    <w:rPr>
                      <w:sz w:val="18"/>
                      <w:szCs w:val="18"/>
                    </w:rPr>
                    <w:t>-</w:t>
                  </w:r>
                </w:p>
              </w:tc>
            </w:tr>
            <w:tr w:rsidR="00F76A63" w14:paraId="467AA370" w14:textId="77777777">
              <w:trPr>
                <w:trHeight w:val="340"/>
                <w:jc w:val="center"/>
              </w:trPr>
              <w:tc>
                <w:tcPr>
                  <w:tcW w:w="380" w:type="pct"/>
                  <w:vMerge/>
                  <w:vAlign w:val="center"/>
                </w:tcPr>
                <w:p w14:paraId="46B8938A" w14:textId="77777777" w:rsidR="00F76A63" w:rsidRDefault="00F76A63">
                  <w:pPr>
                    <w:adjustRightInd w:val="0"/>
                    <w:snapToGrid w:val="0"/>
                    <w:jc w:val="center"/>
                    <w:rPr>
                      <w:sz w:val="18"/>
                      <w:szCs w:val="18"/>
                    </w:rPr>
                  </w:pPr>
                </w:p>
              </w:tc>
              <w:tc>
                <w:tcPr>
                  <w:tcW w:w="958" w:type="pct"/>
                  <w:vAlign w:val="center"/>
                </w:tcPr>
                <w:p w14:paraId="3200F92A"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6A63868A"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072D4483"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EAA0A0A"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C50012B"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744998DF" w14:textId="77777777" w:rsidR="00F76A63" w:rsidRDefault="00000000">
                  <w:pPr>
                    <w:adjustRightInd w:val="0"/>
                    <w:snapToGrid w:val="0"/>
                    <w:jc w:val="center"/>
                    <w:rPr>
                      <w:sz w:val="18"/>
                      <w:szCs w:val="18"/>
                    </w:rPr>
                  </w:pPr>
                  <w:r>
                    <w:rPr>
                      <w:sz w:val="18"/>
                      <w:szCs w:val="18"/>
                    </w:rPr>
                    <w:t>-</w:t>
                  </w:r>
                </w:p>
              </w:tc>
            </w:tr>
            <w:tr w:rsidR="00F76A63" w14:paraId="013C9D00" w14:textId="77777777">
              <w:trPr>
                <w:trHeight w:val="340"/>
                <w:jc w:val="center"/>
              </w:trPr>
              <w:tc>
                <w:tcPr>
                  <w:tcW w:w="380" w:type="pct"/>
                  <w:vMerge/>
                  <w:vAlign w:val="center"/>
                </w:tcPr>
                <w:p w14:paraId="69DCE669" w14:textId="77777777" w:rsidR="00F76A63" w:rsidRDefault="00F76A63">
                  <w:pPr>
                    <w:adjustRightInd w:val="0"/>
                    <w:snapToGrid w:val="0"/>
                    <w:jc w:val="center"/>
                    <w:rPr>
                      <w:sz w:val="18"/>
                      <w:szCs w:val="18"/>
                    </w:rPr>
                  </w:pPr>
                </w:p>
              </w:tc>
              <w:tc>
                <w:tcPr>
                  <w:tcW w:w="958" w:type="pct"/>
                  <w:vAlign w:val="center"/>
                </w:tcPr>
                <w:p w14:paraId="5A804B78"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06DC2811"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46F9D61D"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7997EA60"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54076EE4"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3C361125" w14:textId="77777777" w:rsidR="00F76A63" w:rsidRDefault="00000000">
                  <w:pPr>
                    <w:adjustRightInd w:val="0"/>
                    <w:snapToGrid w:val="0"/>
                    <w:jc w:val="center"/>
                    <w:rPr>
                      <w:sz w:val="18"/>
                      <w:szCs w:val="18"/>
                    </w:rPr>
                  </w:pPr>
                  <w:r>
                    <w:rPr>
                      <w:sz w:val="18"/>
                      <w:szCs w:val="18"/>
                    </w:rPr>
                    <w:t>-</w:t>
                  </w:r>
                </w:p>
              </w:tc>
            </w:tr>
            <w:tr w:rsidR="00F76A63" w14:paraId="6F625566" w14:textId="77777777">
              <w:trPr>
                <w:trHeight w:val="340"/>
                <w:jc w:val="center"/>
              </w:trPr>
              <w:tc>
                <w:tcPr>
                  <w:tcW w:w="1338" w:type="pct"/>
                  <w:gridSpan w:val="2"/>
                  <w:vAlign w:val="center"/>
                </w:tcPr>
                <w:p w14:paraId="0D5FB357" w14:textId="77777777" w:rsidR="00F76A63" w:rsidRDefault="00000000">
                  <w:pPr>
                    <w:adjustRightInd w:val="0"/>
                    <w:snapToGrid w:val="0"/>
                    <w:jc w:val="center"/>
                    <w:rPr>
                      <w:sz w:val="18"/>
                      <w:szCs w:val="18"/>
                    </w:rPr>
                  </w:pPr>
                  <w:r>
                    <w:rPr>
                      <w:sz w:val="18"/>
                      <w:szCs w:val="18"/>
                    </w:rPr>
                    <w:t>臭气（无量纲）</w:t>
                  </w:r>
                </w:p>
              </w:tc>
              <w:tc>
                <w:tcPr>
                  <w:tcW w:w="686" w:type="pct"/>
                  <w:vAlign w:val="center"/>
                </w:tcPr>
                <w:p w14:paraId="2B6FB5C6" w14:textId="77777777" w:rsidR="00F76A63" w:rsidRDefault="00000000">
                  <w:pPr>
                    <w:adjustRightInd w:val="0"/>
                    <w:snapToGrid w:val="0"/>
                    <w:jc w:val="center"/>
                    <w:rPr>
                      <w:sz w:val="18"/>
                      <w:szCs w:val="18"/>
                    </w:rPr>
                  </w:pPr>
                  <w:r>
                    <w:rPr>
                      <w:rFonts w:hint="eastAsia"/>
                      <w:sz w:val="18"/>
                      <w:szCs w:val="18"/>
                    </w:rPr>
                    <w:t>354</w:t>
                  </w:r>
                </w:p>
              </w:tc>
              <w:tc>
                <w:tcPr>
                  <w:tcW w:w="731" w:type="pct"/>
                  <w:vAlign w:val="center"/>
                </w:tcPr>
                <w:p w14:paraId="779D2F80" w14:textId="77777777" w:rsidR="00F76A63" w:rsidRDefault="00000000">
                  <w:pPr>
                    <w:adjustRightInd w:val="0"/>
                    <w:snapToGrid w:val="0"/>
                    <w:jc w:val="center"/>
                    <w:rPr>
                      <w:sz w:val="18"/>
                      <w:szCs w:val="18"/>
                    </w:rPr>
                  </w:pPr>
                  <w:r>
                    <w:rPr>
                      <w:rFonts w:hint="eastAsia"/>
                      <w:sz w:val="18"/>
                      <w:szCs w:val="18"/>
                    </w:rPr>
                    <w:t>416</w:t>
                  </w:r>
                </w:p>
              </w:tc>
              <w:tc>
                <w:tcPr>
                  <w:tcW w:w="662" w:type="pct"/>
                  <w:vAlign w:val="center"/>
                </w:tcPr>
                <w:p w14:paraId="64343D64" w14:textId="77777777" w:rsidR="00F76A63" w:rsidRDefault="00000000">
                  <w:pPr>
                    <w:adjustRightInd w:val="0"/>
                    <w:snapToGrid w:val="0"/>
                    <w:jc w:val="center"/>
                    <w:rPr>
                      <w:sz w:val="18"/>
                      <w:szCs w:val="18"/>
                    </w:rPr>
                  </w:pPr>
                  <w:r>
                    <w:rPr>
                      <w:rFonts w:hint="eastAsia"/>
                      <w:sz w:val="18"/>
                      <w:szCs w:val="18"/>
                    </w:rPr>
                    <w:t>354</w:t>
                  </w:r>
                </w:p>
              </w:tc>
              <w:tc>
                <w:tcPr>
                  <w:tcW w:w="922" w:type="pct"/>
                  <w:vAlign w:val="center"/>
                </w:tcPr>
                <w:p w14:paraId="43241F89" w14:textId="77777777" w:rsidR="00F76A63" w:rsidRDefault="00000000">
                  <w:pPr>
                    <w:adjustRightInd w:val="0"/>
                    <w:snapToGrid w:val="0"/>
                    <w:jc w:val="center"/>
                    <w:rPr>
                      <w:sz w:val="18"/>
                      <w:szCs w:val="18"/>
                    </w:rPr>
                  </w:pPr>
                  <w:r>
                    <w:rPr>
                      <w:rFonts w:hint="eastAsia"/>
                      <w:sz w:val="18"/>
                      <w:szCs w:val="18"/>
                    </w:rPr>
                    <w:t>375</w:t>
                  </w:r>
                </w:p>
              </w:tc>
              <w:tc>
                <w:tcPr>
                  <w:tcW w:w="661" w:type="pct"/>
                  <w:vAlign w:val="center"/>
                </w:tcPr>
                <w:p w14:paraId="5BDAAE6C" w14:textId="77777777" w:rsidR="00F76A63" w:rsidRDefault="00000000">
                  <w:pPr>
                    <w:adjustRightInd w:val="0"/>
                    <w:snapToGrid w:val="0"/>
                    <w:jc w:val="center"/>
                    <w:rPr>
                      <w:sz w:val="18"/>
                      <w:szCs w:val="18"/>
                    </w:rPr>
                  </w:pPr>
                  <w:r>
                    <w:rPr>
                      <w:sz w:val="18"/>
                      <w:szCs w:val="18"/>
                    </w:rPr>
                    <w:t>-</w:t>
                  </w:r>
                </w:p>
              </w:tc>
            </w:tr>
            <w:tr w:rsidR="00F76A63" w14:paraId="7D89BF9F" w14:textId="77777777">
              <w:trPr>
                <w:trHeight w:val="340"/>
                <w:jc w:val="center"/>
              </w:trPr>
              <w:tc>
                <w:tcPr>
                  <w:tcW w:w="380" w:type="pct"/>
                  <w:vMerge w:val="restart"/>
                  <w:vAlign w:val="center"/>
                </w:tcPr>
                <w:p w14:paraId="2A732709" w14:textId="77777777" w:rsidR="00F76A63" w:rsidRDefault="00000000">
                  <w:pPr>
                    <w:adjustRightInd w:val="0"/>
                    <w:snapToGrid w:val="0"/>
                    <w:jc w:val="center"/>
                    <w:rPr>
                      <w:sz w:val="18"/>
                      <w:szCs w:val="18"/>
                    </w:rPr>
                  </w:pPr>
                  <w:r>
                    <w:rPr>
                      <w:sz w:val="18"/>
                      <w:szCs w:val="18"/>
                    </w:rPr>
                    <w:t>铍</w:t>
                  </w:r>
                </w:p>
              </w:tc>
              <w:tc>
                <w:tcPr>
                  <w:tcW w:w="958" w:type="pct"/>
                  <w:vAlign w:val="center"/>
                </w:tcPr>
                <w:p w14:paraId="1EAD5D36"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7BDDAB64"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0205262D"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1A962FCB"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EB42F01"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317C02F2" w14:textId="77777777" w:rsidR="00F76A63" w:rsidRDefault="00000000">
                  <w:pPr>
                    <w:adjustRightInd w:val="0"/>
                    <w:snapToGrid w:val="0"/>
                    <w:jc w:val="center"/>
                    <w:rPr>
                      <w:sz w:val="18"/>
                      <w:szCs w:val="18"/>
                    </w:rPr>
                  </w:pPr>
                  <w:r>
                    <w:rPr>
                      <w:sz w:val="18"/>
                      <w:szCs w:val="18"/>
                    </w:rPr>
                    <w:t>-</w:t>
                  </w:r>
                </w:p>
              </w:tc>
            </w:tr>
            <w:tr w:rsidR="00F76A63" w14:paraId="6C0641E7" w14:textId="77777777">
              <w:trPr>
                <w:trHeight w:val="340"/>
                <w:jc w:val="center"/>
              </w:trPr>
              <w:tc>
                <w:tcPr>
                  <w:tcW w:w="380" w:type="pct"/>
                  <w:vMerge/>
                  <w:vAlign w:val="center"/>
                </w:tcPr>
                <w:p w14:paraId="2889426E" w14:textId="77777777" w:rsidR="00F76A63" w:rsidRDefault="00F76A63">
                  <w:pPr>
                    <w:adjustRightInd w:val="0"/>
                    <w:snapToGrid w:val="0"/>
                    <w:jc w:val="center"/>
                    <w:rPr>
                      <w:sz w:val="18"/>
                      <w:szCs w:val="18"/>
                    </w:rPr>
                  </w:pPr>
                </w:p>
              </w:tc>
              <w:tc>
                <w:tcPr>
                  <w:tcW w:w="958" w:type="pct"/>
                  <w:vAlign w:val="center"/>
                </w:tcPr>
                <w:p w14:paraId="34C63F9E"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34835914"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2DFD3573"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5F846CE"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0C1385D"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0F9BEE00" w14:textId="77777777" w:rsidR="00F76A63" w:rsidRDefault="00000000">
                  <w:pPr>
                    <w:adjustRightInd w:val="0"/>
                    <w:snapToGrid w:val="0"/>
                    <w:jc w:val="center"/>
                    <w:rPr>
                      <w:sz w:val="18"/>
                      <w:szCs w:val="18"/>
                    </w:rPr>
                  </w:pPr>
                  <w:r>
                    <w:rPr>
                      <w:sz w:val="18"/>
                      <w:szCs w:val="18"/>
                    </w:rPr>
                    <w:t>0.5</w:t>
                  </w:r>
                </w:p>
              </w:tc>
            </w:tr>
            <w:tr w:rsidR="00F76A63" w14:paraId="58A4BAB3" w14:textId="77777777">
              <w:trPr>
                <w:trHeight w:val="340"/>
                <w:jc w:val="center"/>
              </w:trPr>
              <w:tc>
                <w:tcPr>
                  <w:tcW w:w="380" w:type="pct"/>
                  <w:vMerge/>
                  <w:vAlign w:val="center"/>
                </w:tcPr>
                <w:p w14:paraId="471B2055" w14:textId="77777777" w:rsidR="00F76A63" w:rsidRDefault="00F76A63">
                  <w:pPr>
                    <w:adjustRightInd w:val="0"/>
                    <w:snapToGrid w:val="0"/>
                    <w:jc w:val="center"/>
                    <w:rPr>
                      <w:sz w:val="18"/>
                      <w:szCs w:val="18"/>
                    </w:rPr>
                  </w:pPr>
                </w:p>
              </w:tc>
              <w:tc>
                <w:tcPr>
                  <w:tcW w:w="958" w:type="pct"/>
                  <w:vAlign w:val="center"/>
                </w:tcPr>
                <w:p w14:paraId="76B44434"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7CA96B3C"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0A83CFD1"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7DC83181"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042024FE"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6037D2F4" w14:textId="77777777" w:rsidR="00F76A63" w:rsidRDefault="00000000">
                  <w:pPr>
                    <w:adjustRightInd w:val="0"/>
                    <w:snapToGrid w:val="0"/>
                    <w:jc w:val="center"/>
                    <w:rPr>
                      <w:sz w:val="18"/>
                      <w:szCs w:val="18"/>
                    </w:rPr>
                  </w:pPr>
                  <w:r>
                    <w:rPr>
                      <w:sz w:val="18"/>
                      <w:szCs w:val="18"/>
                    </w:rPr>
                    <w:t>-</w:t>
                  </w:r>
                </w:p>
              </w:tc>
            </w:tr>
            <w:tr w:rsidR="00F76A63" w14:paraId="2FC98F00" w14:textId="77777777">
              <w:trPr>
                <w:trHeight w:val="340"/>
                <w:jc w:val="center"/>
              </w:trPr>
              <w:tc>
                <w:tcPr>
                  <w:tcW w:w="380" w:type="pct"/>
                  <w:vMerge w:val="restart"/>
                  <w:vAlign w:val="center"/>
                </w:tcPr>
                <w:p w14:paraId="429B399F" w14:textId="77777777" w:rsidR="00F76A63" w:rsidRDefault="00000000">
                  <w:pPr>
                    <w:adjustRightInd w:val="0"/>
                    <w:snapToGrid w:val="0"/>
                    <w:jc w:val="center"/>
                    <w:rPr>
                      <w:sz w:val="18"/>
                      <w:szCs w:val="18"/>
                    </w:rPr>
                  </w:pPr>
                  <w:r>
                    <w:rPr>
                      <w:sz w:val="18"/>
                      <w:szCs w:val="18"/>
                    </w:rPr>
                    <w:t>钴</w:t>
                  </w:r>
                </w:p>
              </w:tc>
              <w:tc>
                <w:tcPr>
                  <w:tcW w:w="958" w:type="pct"/>
                  <w:vAlign w:val="center"/>
                </w:tcPr>
                <w:p w14:paraId="57FE655F"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5583DAD5" w14:textId="77777777" w:rsidR="00F76A63" w:rsidRDefault="00000000">
                  <w:pPr>
                    <w:adjustRightInd w:val="0"/>
                    <w:snapToGrid w:val="0"/>
                    <w:jc w:val="center"/>
                    <w:rPr>
                      <w:sz w:val="18"/>
                      <w:szCs w:val="18"/>
                    </w:rPr>
                  </w:pPr>
                  <w:r>
                    <w:rPr>
                      <w:rFonts w:hint="eastAsia"/>
                      <w:sz w:val="18"/>
                      <w:szCs w:val="18"/>
                    </w:rPr>
                    <w:t>3.55x10</w:t>
                  </w:r>
                  <w:r>
                    <w:rPr>
                      <w:rFonts w:hint="eastAsia"/>
                      <w:sz w:val="18"/>
                      <w:szCs w:val="18"/>
                      <w:vertAlign w:val="superscript"/>
                    </w:rPr>
                    <w:t>-5</w:t>
                  </w:r>
                </w:p>
              </w:tc>
              <w:tc>
                <w:tcPr>
                  <w:tcW w:w="731" w:type="pct"/>
                  <w:vAlign w:val="center"/>
                </w:tcPr>
                <w:p w14:paraId="3E6EF7BE" w14:textId="77777777" w:rsidR="00F76A63" w:rsidRDefault="00000000">
                  <w:pPr>
                    <w:adjustRightInd w:val="0"/>
                    <w:snapToGrid w:val="0"/>
                    <w:jc w:val="center"/>
                    <w:rPr>
                      <w:sz w:val="18"/>
                      <w:szCs w:val="18"/>
                    </w:rPr>
                  </w:pPr>
                  <w:r>
                    <w:rPr>
                      <w:rFonts w:hint="eastAsia"/>
                      <w:sz w:val="18"/>
                      <w:szCs w:val="18"/>
                    </w:rPr>
                    <w:t>6.20x10</w:t>
                  </w:r>
                  <w:r>
                    <w:rPr>
                      <w:rFonts w:hint="eastAsia"/>
                      <w:sz w:val="18"/>
                      <w:szCs w:val="18"/>
                      <w:vertAlign w:val="superscript"/>
                    </w:rPr>
                    <w:t>-5</w:t>
                  </w:r>
                </w:p>
              </w:tc>
              <w:tc>
                <w:tcPr>
                  <w:tcW w:w="662" w:type="pct"/>
                  <w:vAlign w:val="center"/>
                </w:tcPr>
                <w:p w14:paraId="4223101C" w14:textId="77777777" w:rsidR="00F76A63" w:rsidRDefault="00000000">
                  <w:pPr>
                    <w:adjustRightInd w:val="0"/>
                    <w:snapToGrid w:val="0"/>
                    <w:jc w:val="center"/>
                    <w:rPr>
                      <w:sz w:val="18"/>
                      <w:szCs w:val="18"/>
                    </w:rPr>
                  </w:pPr>
                  <w:r>
                    <w:rPr>
                      <w:rFonts w:hint="eastAsia"/>
                      <w:sz w:val="18"/>
                      <w:szCs w:val="18"/>
                    </w:rPr>
                    <w:t>5.05x10</w:t>
                  </w:r>
                  <w:r>
                    <w:rPr>
                      <w:rFonts w:hint="eastAsia"/>
                      <w:sz w:val="18"/>
                      <w:szCs w:val="18"/>
                      <w:vertAlign w:val="superscript"/>
                    </w:rPr>
                    <w:t>-5</w:t>
                  </w:r>
                </w:p>
              </w:tc>
              <w:tc>
                <w:tcPr>
                  <w:tcW w:w="922" w:type="pct"/>
                  <w:vAlign w:val="center"/>
                </w:tcPr>
                <w:p w14:paraId="562DE514" w14:textId="77777777" w:rsidR="00F76A63" w:rsidRDefault="00000000">
                  <w:pPr>
                    <w:adjustRightInd w:val="0"/>
                    <w:snapToGrid w:val="0"/>
                    <w:jc w:val="center"/>
                    <w:rPr>
                      <w:sz w:val="18"/>
                      <w:szCs w:val="18"/>
                    </w:rPr>
                  </w:pPr>
                  <w:r>
                    <w:rPr>
                      <w:rFonts w:hint="eastAsia"/>
                      <w:sz w:val="18"/>
                      <w:szCs w:val="18"/>
                    </w:rPr>
                    <w:t>4.93x10</w:t>
                  </w:r>
                  <w:r>
                    <w:rPr>
                      <w:rFonts w:hint="eastAsia"/>
                      <w:sz w:val="18"/>
                      <w:szCs w:val="18"/>
                      <w:vertAlign w:val="superscript"/>
                    </w:rPr>
                    <w:t>-5</w:t>
                  </w:r>
                </w:p>
              </w:tc>
              <w:tc>
                <w:tcPr>
                  <w:tcW w:w="661" w:type="pct"/>
                  <w:vAlign w:val="center"/>
                </w:tcPr>
                <w:p w14:paraId="39BA011D" w14:textId="77777777" w:rsidR="00F76A63" w:rsidRDefault="00000000">
                  <w:pPr>
                    <w:adjustRightInd w:val="0"/>
                    <w:snapToGrid w:val="0"/>
                    <w:jc w:val="center"/>
                    <w:rPr>
                      <w:sz w:val="18"/>
                      <w:szCs w:val="18"/>
                    </w:rPr>
                  </w:pPr>
                  <w:r>
                    <w:rPr>
                      <w:sz w:val="18"/>
                      <w:szCs w:val="18"/>
                    </w:rPr>
                    <w:t>-</w:t>
                  </w:r>
                </w:p>
              </w:tc>
            </w:tr>
            <w:tr w:rsidR="00F76A63" w14:paraId="0B5672D0" w14:textId="77777777">
              <w:trPr>
                <w:trHeight w:val="340"/>
                <w:jc w:val="center"/>
              </w:trPr>
              <w:tc>
                <w:tcPr>
                  <w:tcW w:w="380" w:type="pct"/>
                  <w:vMerge/>
                  <w:vAlign w:val="center"/>
                </w:tcPr>
                <w:p w14:paraId="627FC831" w14:textId="77777777" w:rsidR="00F76A63" w:rsidRDefault="00F76A63">
                  <w:pPr>
                    <w:adjustRightInd w:val="0"/>
                    <w:snapToGrid w:val="0"/>
                    <w:jc w:val="center"/>
                    <w:rPr>
                      <w:sz w:val="18"/>
                      <w:szCs w:val="18"/>
                    </w:rPr>
                  </w:pPr>
                </w:p>
              </w:tc>
              <w:tc>
                <w:tcPr>
                  <w:tcW w:w="958" w:type="pct"/>
                  <w:vAlign w:val="center"/>
                </w:tcPr>
                <w:p w14:paraId="5B2FEDCB"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58C27776" w14:textId="77777777" w:rsidR="00F76A63" w:rsidRDefault="00000000">
                  <w:pPr>
                    <w:adjustRightInd w:val="0"/>
                    <w:snapToGrid w:val="0"/>
                    <w:jc w:val="center"/>
                    <w:rPr>
                      <w:sz w:val="18"/>
                      <w:szCs w:val="18"/>
                    </w:rPr>
                  </w:pPr>
                  <w:r>
                    <w:rPr>
                      <w:rFonts w:hint="eastAsia"/>
                      <w:sz w:val="18"/>
                      <w:szCs w:val="18"/>
                    </w:rPr>
                    <w:t>3.20</w:t>
                  </w:r>
                  <w:r>
                    <w:rPr>
                      <w:rFonts w:hint="eastAsia"/>
                      <w:sz w:val="18"/>
                      <w:szCs w:val="18"/>
                    </w:rPr>
                    <w:t>×</w:t>
                  </w:r>
                  <w:r>
                    <w:rPr>
                      <w:rFonts w:hint="eastAsia"/>
                      <w:sz w:val="18"/>
                      <w:szCs w:val="18"/>
                    </w:rPr>
                    <w:t>10</w:t>
                  </w:r>
                  <w:r>
                    <w:rPr>
                      <w:rFonts w:hint="eastAsia"/>
                      <w:sz w:val="18"/>
                      <w:szCs w:val="18"/>
                      <w:vertAlign w:val="superscript"/>
                    </w:rPr>
                    <w:t>-5</w:t>
                  </w:r>
                </w:p>
              </w:tc>
              <w:tc>
                <w:tcPr>
                  <w:tcW w:w="731" w:type="pct"/>
                  <w:vAlign w:val="center"/>
                </w:tcPr>
                <w:p w14:paraId="376DC73B" w14:textId="77777777" w:rsidR="00F76A63" w:rsidRDefault="00000000">
                  <w:pPr>
                    <w:adjustRightInd w:val="0"/>
                    <w:snapToGrid w:val="0"/>
                    <w:jc w:val="center"/>
                    <w:rPr>
                      <w:sz w:val="18"/>
                      <w:szCs w:val="18"/>
                    </w:rPr>
                  </w:pPr>
                  <w:r>
                    <w:rPr>
                      <w:rFonts w:hint="eastAsia"/>
                      <w:sz w:val="18"/>
                      <w:szCs w:val="18"/>
                    </w:rPr>
                    <w:t>5.88x10</w:t>
                  </w:r>
                  <w:r>
                    <w:rPr>
                      <w:rFonts w:hint="eastAsia"/>
                      <w:sz w:val="18"/>
                      <w:szCs w:val="18"/>
                      <w:vertAlign w:val="superscript"/>
                    </w:rPr>
                    <w:t>-5</w:t>
                  </w:r>
                </w:p>
              </w:tc>
              <w:tc>
                <w:tcPr>
                  <w:tcW w:w="662" w:type="pct"/>
                  <w:vAlign w:val="center"/>
                </w:tcPr>
                <w:p w14:paraId="0980E25A" w14:textId="77777777" w:rsidR="00F76A63" w:rsidRDefault="00000000">
                  <w:pPr>
                    <w:adjustRightInd w:val="0"/>
                    <w:snapToGrid w:val="0"/>
                    <w:jc w:val="center"/>
                    <w:rPr>
                      <w:sz w:val="18"/>
                      <w:szCs w:val="18"/>
                    </w:rPr>
                  </w:pPr>
                  <w:r>
                    <w:rPr>
                      <w:rFonts w:hint="eastAsia"/>
                      <w:sz w:val="18"/>
                      <w:szCs w:val="18"/>
                    </w:rPr>
                    <w:t>5.10x10</w:t>
                  </w:r>
                  <w:r>
                    <w:rPr>
                      <w:rFonts w:hint="eastAsia"/>
                      <w:sz w:val="18"/>
                      <w:szCs w:val="18"/>
                      <w:vertAlign w:val="superscript"/>
                    </w:rPr>
                    <w:t>-5</w:t>
                  </w:r>
                </w:p>
              </w:tc>
              <w:tc>
                <w:tcPr>
                  <w:tcW w:w="922" w:type="pct"/>
                  <w:vAlign w:val="center"/>
                </w:tcPr>
                <w:p w14:paraId="307847D9" w14:textId="77777777" w:rsidR="00F76A63" w:rsidRDefault="00000000">
                  <w:pPr>
                    <w:adjustRightInd w:val="0"/>
                    <w:snapToGrid w:val="0"/>
                    <w:jc w:val="center"/>
                    <w:rPr>
                      <w:sz w:val="18"/>
                      <w:szCs w:val="18"/>
                    </w:rPr>
                  </w:pPr>
                  <w:r>
                    <w:rPr>
                      <w:rFonts w:hint="eastAsia"/>
                      <w:sz w:val="18"/>
                      <w:szCs w:val="18"/>
                    </w:rPr>
                    <w:t>4.73x10</w:t>
                  </w:r>
                  <w:r>
                    <w:rPr>
                      <w:rFonts w:hint="eastAsia"/>
                      <w:sz w:val="18"/>
                      <w:szCs w:val="18"/>
                      <w:vertAlign w:val="superscript"/>
                    </w:rPr>
                    <w:t>-5</w:t>
                  </w:r>
                </w:p>
              </w:tc>
              <w:tc>
                <w:tcPr>
                  <w:tcW w:w="661" w:type="pct"/>
                  <w:vAlign w:val="center"/>
                </w:tcPr>
                <w:p w14:paraId="11692FAB" w14:textId="77777777" w:rsidR="00F76A63" w:rsidRDefault="00000000">
                  <w:pPr>
                    <w:adjustRightInd w:val="0"/>
                    <w:snapToGrid w:val="0"/>
                    <w:jc w:val="center"/>
                    <w:rPr>
                      <w:sz w:val="18"/>
                      <w:szCs w:val="18"/>
                    </w:rPr>
                  </w:pPr>
                  <w:r>
                    <w:rPr>
                      <w:sz w:val="18"/>
                      <w:szCs w:val="18"/>
                    </w:rPr>
                    <w:t>0.5</w:t>
                  </w:r>
                </w:p>
              </w:tc>
            </w:tr>
            <w:tr w:rsidR="00F76A63" w14:paraId="2B49B3B2" w14:textId="77777777">
              <w:trPr>
                <w:trHeight w:val="340"/>
                <w:jc w:val="center"/>
              </w:trPr>
              <w:tc>
                <w:tcPr>
                  <w:tcW w:w="380" w:type="pct"/>
                  <w:vMerge/>
                  <w:vAlign w:val="center"/>
                </w:tcPr>
                <w:p w14:paraId="0E7F582D" w14:textId="77777777" w:rsidR="00F76A63" w:rsidRDefault="00F76A63">
                  <w:pPr>
                    <w:adjustRightInd w:val="0"/>
                    <w:snapToGrid w:val="0"/>
                    <w:jc w:val="center"/>
                    <w:rPr>
                      <w:sz w:val="18"/>
                      <w:szCs w:val="18"/>
                    </w:rPr>
                  </w:pPr>
                </w:p>
              </w:tc>
              <w:tc>
                <w:tcPr>
                  <w:tcW w:w="958" w:type="pct"/>
                  <w:vAlign w:val="center"/>
                </w:tcPr>
                <w:p w14:paraId="46667C2E"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64B6D5A3" w14:textId="77777777" w:rsidR="00F76A63" w:rsidRDefault="00000000">
                  <w:pPr>
                    <w:adjustRightInd w:val="0"/>
                    <w:snapToGrid w:val="0"/>
                    <w:jc w:val="center"/>
                    <w:rPr>
                      <w:sz w:val="18"/>
                      <w:szCs w:val="18"/>
                    </w:rPr>
                  </w:pPr>
                  <w:r>
                    <w:rPr>
                      <w:rFonts w:hint="eastAsia"/>
                      <w:sz w:val="18"/>
                      <w:szCs w:val="18"/>
                    </w:rPr>
                    <w:t>1.85x10</w:t>
                  </w:r>
                  <w:r>
                    <w:rPr>
                      <w:rFonts w:hint="eastAsia"/>
                      <w:sz w:val="18"/>
                      <w:szCs w:val="18"/>
                      <w:vertAlign w:val="superscript"/>
                    </w:rPr>
                    <w:t>-5</w:t>
                  </w:r>
                </w:p>
              </w:tc>
              <w:tc>
                <w:tcPr>
                  <w:tcW w:w="731" w:type="pct"/>
                  <w:vAlign w:val="center"/>
                </w:tcPr>
                <w:p w14:paraId="552EC1C1" w14:textId="77777777" w:rsidR="00F76A63" w:rsidRDefault="00000000">
                  <w:pPr>
                    <w:adjustRightInd w:val="0"/>
                    <w:snapToGrid w:val="0"/>
                    <w:jc w:val="center"/>
                    <w:rPr>
                      <w:sz w:val="18"/>
                      <w:szCs w:val="18"/>
                    </w:rPr>
                  </w:pPr>
                  <w:r>
                    <w:rPr>
                      <w:rFonts w:hint="eastAsia"/>
                      <w:sz w:val="18"/>
                      <w:szCs w:val="18"/>
                    </w:rPr>
                    <w:t>3.24x10</w:t>
                  </w:r>
                  <w:r>
                    <w:rPr>
                      <w:rFonts w:hint="eastAsia"/>
                      <w:sz w:val="18"/>
                      <w:szCs w:val="18"/>
                      <w:vertAlign w:val="superscript"/>
                    </w:rPr>
                    <w:t>-5</w:t>
                  </w:r>
                </w:p>
              </w:tc>
              <w:tc>
                <w:tcPr>
                  <w:tcW w:w="662" w:type="pct"/>
                  <w:vAlign w:val="center"/>
                </w:tcPr>
                <w:p w14:paraId="7DCBE665" w14:textId="77777777" w:rsidR="00F76A63" w:rsidRDefault="00000000">
                  <w:pPr>
                    <w:adjustRightInd w:val="0"/>
                    <w:snapToGrid w:val="0"/>
                    <w:jc w:val="center"/>
                    <w:rPr>
                      <w:sz w:val="18"/>
                      <w:szCs w:val="18"/>
                    </w:rPr>
                  </w:pPr>
                  <w:r>
                    <w:rPr>
                      <w:rFonts w:hint="eastAsia"/>
                      <w:sz w:val="18"/>
                      <w:szCs w:val="18"/>
                    </w:rPr>
                    <w:t>2.61x10</w:t>
                  </w:r>
                  <w:r>
                    <w:rPr>
                      <w:rFonts w:hint="eastAsia"/>
                      <w:sz w:val="18"/>
                      <w:szCs w:val="18"/>
                      <w:vertAlign w:val="superscript"/>
                    </w:rPr>
                    <w:t>-5</w:t>
                  </w:r>
                </w:p>
              </w:tc>
              <w:tc>
                <w:tcPr>
                  <w:tcW w:w="922" w:type="pct"/>
                  <w:vAlign w:val="center"/>
                </w:tcPr>
                <w:p w14:paraId="1252B65E" w14:textId="77777777" w:rsidR="00F76A63" w:rsidRDefault="00000000">
                  <w:pPr>
                    <w:adjustRightInd w:val="0"/>
                    <w:snapToGrid w:val="0"/>
                    <w:jc w:val="center"/>
                    <w:rPr>
                      <w:sz w:val="18"/>
                      <w:szCs w:val="18"/>
                    </w:rPr>
                  </w:pPr>
                  <w:r>
                    <w:rPr>
                      <w:rFonts w:hint="eastAsia"/>
                      <w:sz w:val="18"/>
                      <w:szCs w:val="18"/>
                    </w:rPr>
                    <w:t>2.57x10</w:t>
                  </w:r>
                  <w:r>
                    <w:rPr>
                      <w:rFonts w:hint="eastAsia"/>
                      <w:sz w:val="18"/>
                      <w:szCs w:val="18"/>
                      <w:vertAlign w:val="superscript"/>
                    </w:rPr>
                    <w:t>-5</w:t>
                  </w:r>
                </w:p>
              </w:tc>
              <w:tc>
                <w:tcPr>
                  <w:tcW w:w="661" w:type="pct"/>
                  <w:vAlign w:val="center"/>
                </w:tcPr>
                <w:p w14:paraId="0A2AE96D" w14:textId="77777777" w:rsidR="00F76A63" w:rsidRDefault="00000000">
                  <w:pPr>
                    <w:adjustRightInd w:val="0"/>
                    <w:snapToGrid w:val="0"/>
                    <w:jc w:val="center"/>
                    <w:rPr>
                      <w:sz w:val="18"/>
                      <w:szCs w:val="18"/>
                    </w:rPr>
                  </w:pPr>
                  <w:r>
                    <w:rPr>
                      <w:sz w:val="18"/>
                      <w:szCs w:val="18"/>
                    </w:rPr>
                    <w:t>-</w:t>
                  </w:r>
                </w:p>
              </w:tc>
            </w:tr>
            <w:tr w:rsidR="00F76A63" w14:paraId="47139936" w14:textId="77777777">
              <w:trPr>
                <w:trHeight w:val="340"/>
                <w:jc w:val="center"/>
              </w:trPr>
              <w:tc>
                <w:tcPr>
                  <w:tcW w:w="380" w:type="pct"/>
                  <w:vMerge w:val="restart"/>
                  <w:vAlign w:val="center"/>
                </w:tcPr>
                <w:p w14:paraId="457F76E0" w14:textId="77777777" w:rsidR="00F76A63" w:rsidRDefault="00000000">
                  <w:pPr>
                    <w:adjustRightInd w:val="0"/>
                    <w:snapToGrid w:val="0"/>
                    <w:jc w:val="center"/>
                    <w:rPr>
                      <w:sz w:val="18"/>
                      <w:szCs w:val="18"/>
                    </w:rPr>
                  </w:pPr>
                  <w:r>
                    <w:rPr>
                      <w:sz w:val="18"/>
                      <w:szCs w:val="18"/>
                    </w:rPr>
                    <w:t>铅</w:t>
                  </w:r>
                </w:p>
              </w:tc>
              <w:tc>
                <w:tcPr>
                  <w:tcW w:w="958" w:type="pct"/>
                  <w:vAlign w:val="center"/>
                </w:tcPr>
                <w:p w14:paraId="46004697"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13A0F92F" w14:textId="77777777" w:rsidR="00F76A63" w:rsidRDefault="00000000">
                  <w:pPr>
                    <w:adjustRightInd w:val="0"/>
                    <w:snapToGrid w:val="0"/>
                    <w:jc w:val="center"/>
                    <w:rPr>
                      <w:sz w:val="18"/>
                      <w:szCs w:val="18"/>
                    </w:rPr>
                  </w:pPr>
                  <w:r>
                    <w:rPr>
                      <w:rFonts w:hint="eastAsia"/>
                      <w:sz w:val="18"/>
                      <w:szCs w:val="18"/>
                    </w:rPr>
                    <w:t>7.93x10</w:t>
                  </w:r>
                  <w:r>
                    <w:rPr>
                      <w:rFonts w:hint="eastAsia"/>
                      <w:sz w:val="18"/>
                      <w:szCs w:val="18"/>
                      <w:vertAlign w:val="superscript"/>
                    </w:rPr>
                    <w:t>-4</w:t>
                  </w:r>
                </w:p>
              </w:tc>
              <w:tc>
                <w:tcPr>
                  <w:tcW w:w="731" w:type="pct"/>
                  <w:vAlign w:val="center"/>
                </w:tcPr>
                <w:p w14:paraId="218429E3" w14:textId="77777777" w:rsidR="00F76A63" w:rsidRDefault="00000000">
                  <w:pPr>
                    <w:adjustRightInd w:val="0"/>
                    <w:snapToGrid w:val="0"/>
                    <w:jc w:val="center"/>
                    <w:rPr>
                      <w:sz w:val="18"/>
                      <w:szCs w:val="18"/>
                    </w:rPr>
                  </w:pPr>
                  <w:r>
                    <w:rPr>
                      <w:rFonts w:hint="eastAsia"/>
                      <w:sz w:val="18"/>
                      <w:szCs w:val="18"/>
                    </w:rPr>
                    <w:t>9.62x10</w:t>
                  </w:r>
                  <w:r>
                    <w:rPr>
                      <w:rFonts w:hint="eastAsia"/>
                      <w:sz w:val="18"/>
                      <w:szCs w:val="18"/>
                      <w:vertAlign w:val="superscript"/>
                    </w:rPr>
                    <w:t>-4</w:t>
                  </w:r>
                </w:p>
              </w:tc>
              <w:tc>
                <w:tcPr>
                  <w:tcW w:w="662" w:type="pct"/>
                  <w:vAlign w:val="center"/>
                </w:tcPr>
                <w:p w14:paraId="6647AA93" w14:textId="77777777" w:rsidR="00F76A63" w:rsidRDefault="00000000">
                  <w:pPr>
                    <w:adjustRightInd w:val="0"/>
                    <w:snapToGrid w:val="0"/>
                    <w:jc w:val="center"/>
                    <w:rPr>
                      <w:sz w:val="18"/>
                      <w:szCs w:val="18"/>
                    </w:rPr>
                  </w:pPr>
                  <w:r>
                    <w:rPr>
                      <w:rFonts w:hint="eastAsia"/>
                      <w:sz w:val="18"/>
                      <w:szCs w:val="18"/>
                    </w:rPr>
                    <w:t>7.47x10</w:t>
                  </w:r>
                  <w:r>
                    <w:rPr>
                      <w:rFonts w:hint="eastAsia"/>
                      <w:sz w:val="18"/>
                      <w:szCs w:val="18"/>
                      <w:vertAlign w:val="superscript"/>
                    </w:rPr>
                    <w:t>-4</w:t>
                  </w:r>
                </w:p>
              </w:tc>
              <w:tc>
                <w:tcPr>
                  <w:tcW w:w="922" w:type="pct"/>
                  <w:vAlign w:val="center"/>
                </w:tcPr>
                <w:p w14:paraId="6667C3AF" w14:textId="77777777" w:rsidR="00F76A63" w:rsidRDefault="00000000">
                  <w:pPr>
                    <w:adjustRightInd w:val="0"/>
                    <w:snapToGrid w:val="0"/>
                    <w:jc w:val="center"/>
                    <w:rPr>
                      <w:sz w:val="18"/>
                      <w:szCs w:val="18"/>
                    </w:rPr>
                  </w:pPr>
                  <w:r>
                    <w:rPr>
                      <w:rFonts w:hint="eastAsia"/>
                      <w:sz w:val="18"/>
                      <w:szCs w:val="18"/>
                    </w:rPr>
                    <w:t>8.34x10</w:t>
                  </w:r>
                  <w:r>
                    <w:rPr>
                      <w:rFonts w:hint="eastAsia"/>
                      <w:sz w:val="18"/>
                      <w:szCs w:val="18"/>
                      <w:vertAlign w:val="superscript"/>
                    </w:rPr>
                    <w:t>-4</w:t>
                  </w:r>
                </w:p>
              </w:tc>
              <w:tc>
                <w:tcPr>
                  <w:tcW w:w="661" w:type="pct"/>
                  <w:vAlign w:val="center"/>
                </w:tcPr>
                <w:p w14:paraId="35CAFB33" w14:textId="77777777" w:rsidR="00F76A63" w:rsidRDefault="00000000">
                  <w:pPr>
                    <w:adjustRightInd w:val="0"/>
                    <w:snapToGrid w:val="0"/>
                    <w:jc w:val="center"/>
                    <w:rPr>
                      <w:sz w:val="18"/>
                      <w:szCs w:val="18"/>
                    </w:rPr>
                  </w:pPr>
                  <w:r>
                    <w:rPr>
                      <w:sz w:val="18"/>
                      <w:szCs w:val="18"/>
                    </w:rPr>
                    <w:t>-</w:t>
                  </w:r>
                </w:p>
              </w:tc>
            </w:tr>
            <w:tr w:rsidR="00F76A63" w14:paraId="53AFCC7F" w14:textId="77777777">
              <w:trPr>
                <w:trHeight w:val="340"/>
                <w:jc w:val="center"/>
              </w:trPr>
              <w:tc>
                <w:tcPr>
                  <w:tcW w:w="380" w:type="pct"/>
                  <w:vMerge/>
                  <w:vAlign w:val="center"/>
                </w:tcPr>
                <w:p w14:paraId="55E9839C" w14:textId="77777777" w:rsidR="00F76A63" w:rsidRDefault="00F76A63">
                  <w:pPr>
                    <w:adjustRightInd w:val="0"/>
                    <w:snapToGrid w:val="0"/>
                    <w:jc w:val="center"/>
                    <w:rPr>
                      <w:sz w:val="18"/>
                      <w:szCs w:val="18"/>
                    </w:rPr>
                  </w:pPr>
                </w:p>
              </w:tc>
              <w:tc>
                <w:tcPr>
                  <w:tcW w:w="958" w:type="pct"/>
                  <w:vAlign w:val="center"/>
                </w:tcPr>
                <w:p w14:paraId="7A6ACD16"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6E4AC7E4" w14:textId="77777777" w:rsidR="00F76A63" w:rsidRDefault="00000000">
                  <w:pPr>
                    <w:adjustRightInd w:val="0"/>
                    <w:snapToGrid w:val="0"/>
                    <w:jc w:val="center"/>
                    <w:rPr>
                      <w:sz w:val="18"/>
                      <w:szCs w:val="18"/>
                    </w:rPr>
                  </w:pPr>
                  <w:r>
                    <w:rPr>
                      <w:rFonts w:hint="eastAsia"/>
                      <w:sz w:val="18"/>
                      <w:szCs w:val="18"/>
                    </w:rPr>
                    <w:t>7.15x10</w:t>
                  </w:r>
                  <w:r>
                    <w:rPr>
                      <w:rFonts w:hint="eastAsia"/>
                      <w:sz w:val="18"/>
                      <w:szCs w:val="18"/>
                      <w:vertAlign w:val="superscript"/>
                    </w:rPr>
                    <w:t>-4</w:t>
                  </w:r>
                </w:p>
              </w:tc>
              <w:tc>
                <w:tcPr>
                  <w:tcW w:w="731" w:type="pct"/>
                  <w:vAlign w:val="center"/>
                </w:tcPr>
                <w:p w14:paraId="45E35C41" w14:textId="77777777" w:rsidR="00F76A63" w:rsidRDefault="00000000">
                  <w:pPr>
                    <w:adjustRightInd w:val="0"/>
                    <w:snapToGrid w:val="0"/>
                    <w:jc w:val="center"/>
                    <w:rPr>
                      <w:sz w:val="18"/>
                      <w:szCs w:val="18"/>
                    </w:rPr>
                  </w:pPr>
                  <w:r>
                    <w:rPr>
                      <w:rFonts w:hint="eastAsia"/>
                      <w:sz w:val="18"/>
                      <w:szCs w:val="18"/>
                    </w:rPr>
                    <w:t>9.12x10</w:t>
                  </w:r>
                  <w:r>
                    <w:rPr>
                      <w:rFonts w:hint="eastAsia"/>
                      <w:sz w:val="18"/>
                      <w:szCs w:val="18"/>
                      <w:vertAlign w:val="superscript"/>
                    </w:rPr>
                    <w:t>-4</w:t>
                  </w:r>
                </w:p>
              </w:tc>
              <w:tc>
                <w:tcPr>
                  <w:tcW w:w="662" w:type="pct"/>
                  <w:vAlign w:val="center"/>
                </w:tcPr>
                <w:p w14:paraId="3E570F24" w14:textId="77777777" w:rsidR="00F76A63" w:rsidRDefault="00000000">
                  <w:pPr>
                    <w:adjustRightInd w:val="0"/>
                    <w:snapToGrid w:val="0"/>
                    <w:jc w:val="center"/>
                    <w:rPr>
                      <w:sz w:val="18"/>
                      <w:szCs w:val="18"/>
                    </w:rPr>
                  </w:pPr>
                  <w:r>
                    <w:rPr>
                      <w:rFonts w:hint="eastAsia"/>
                      <w:sz w:val="18"/>
                      <w:szCs w:val="18"/>
                    </w:rPr>
                    <w:t>7.54x10</w:t>
                  </w:r>
                  <w:r>
                    <w:rPr>
                      <w:rFonts w:hint="eastAsia"/>
                      <w:sz w:val="18"/>
                      <w:szCs w:val="18"/>
                      <w:vertAlign w:val="superscript"/>
                    </w:rPr>
                    <w:t>-4</w:t>
                  </w:r>
                </w:p>
              </w:tc>
              <w:tc>
                <w:tcPr>
                  <w:tcW w:w="922" w:type="pct"/>
                  <w:vAlign w:val="center"/>
                </w:tcPr>
                <w:p w14:paraId="2CECB6A4" w14:textId="77777777" w:rsidR="00F76A63" w:rsidRDefault="00000000">
                  <w:pPr>
                    <w:adjustRightInd w:val="0"/>
                    <w:snapToGrid w:val="0"/>
                    <w:jc w:val="center"/>
                    <w:rPr>
                      <w:sz w:val="18"/>
                      <w:szCs w:val="18"/>
                    </w:rPr>
                  </w:pPr>
                  <w:r>
                    <w:rPr>
                      <w:rFonts w:hint="eastAsia"/>
                      <w:sz w:val="18"/>
                      <w:szCs w:val="18"/>
                    </w:rPr>
                    <w:t>7.94x10</w:t>
                  </w:r>
                  <w:r>
                    <w:rPr>
                      <w:rFonts w:hint="eastAsia"/>
                      <w:sz w:val="18"/>
                      <w:szCs w:val="18"/>
                      <w:vertAlign w:val="superscript"/>
                    </w:rPr>
                    <w:t>-4</w:t>
                  </w:r>
                </w:p>
              </w:tc>
              <w:tc>
                <w:tcPr>
                  <w:tcW w:w="661" w:type="pct"/>
                  <w:vAlign w:val="center"/>
                </w:tcPr>
                <w:p w14:paraId="10276DE6" w14:textId="77777777" w:rsidR="00F76A63" w:rsidRDefault="00000000">
                  <w:pPr>
                    <w:adjustRightInd w:val="0"/>
                    <w:snapToGrid w:val="0"/>
                    <w:jc w:val="center"/>
                    <w:rPr>
                      <w:sz w:val="18"/>
                      <w:szCs w:val="18"/>
                    </w:rPr>
                  </w:pPr>
                  <w:r>
                    <w:rPr>
                      <w:sz w:val="18"/>
                      <w:szCs w:val="18"/>
                    </w:rPr>
                    <w:t>1.0</w:t>
                  </w:r>
                </w:p>
              </w:tc>
            </w:tr>
            <w:tr w:rsidR="00F76A63" w14:paraId="3CC53C9C" w14:textId="77777777">
              <w:trPr>
                <w:trHeight w:val="340"/>
                <w:jc w:val="center"/>
              </w:trPr>
              <w:tc>
                <w:tcPr>
                  <w:tcW w:w="380" w:type="pct"/>
                  <w:vMerge/>
                  <w:vAlign w:val="center"/>
                </w:tcPr>
                <w:p w14:paraId="1A4509F8" w14:textId="77777777" w:rsidR="00F76A63" w:rsidRDefault="00F76A63">
                  <w:pPr>
                    <w:adjustRightInd w:val="0"/>
                    <w:snapToGrid w:val="0"/>
                    <w:jc w:val="center"/>
                    <w:rPr>
                      <w:sz w:val="18"/>
                      <w:szCs w:val="18"/>
                    </w:rPr>
                  </w:pPr>
                </w:p>
              </w:tc>
              <w:tc>
                <w:tcPr>
                  <w:tcW w:w="958" w:type="pct"/>
                  <w:vAlign w:val="center"/>
                </w:tcPr>
                <w:p w14:paraId="659C1CCC"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3109B6AC" w14:textId="77777777" w:rsidR="00F76A63" w:rsidRDefault="00000000">
                  <w:pPr>
                    <w:adjustRightInd w:val="0"/>
                    <w:snapToGrid w:val="0"/>
                    <w:jc w:val="center"/>
                    <w:rPr>
                      <w:sz w:val="18"/>
                      <w:szCs w:val="18"/>
                    </w:rPr>
                  </w:pPr>
                  <w:r>
                    <w:rPr>
                      <w:rFonts w:hint="eastAsia"/>
                      <w:sz w:val="18"/>
                      <w:szCs w:val="18"/>
                    </w:rPr>
                    <w:t>4.13x10</w:t>
                  </w:r>
                  <w:r>
                    <w:rPr>
                      <w:rFonts w:hint="eastAsia"/>
                      <w:sz w:val="18"/>
                      <w:szCs w:val="18"/>
                      <w:vertAlign w:val="superscript"/>
                    </w:rPr>
                    <w:t>-4</w:t>
                  </w:r>
                </w:p>
              </w:tc>
              <w:tc>
                <w:tcPr>
                  <w:tcW w:w="731" w:type="pct"/>
                  <w:vAlign w:val="center"/>
                </w:tcPr>
                <w:p w14:paraId="5CB1A1ED" w14:textId="77777777" w:rsidR="00F76A63" w:rsidRDefault="00000000">
                  <w:pPr>
                    <w:adjustRightInd w:val="0"/>
                    <w:snapToGrid w:val="0"/>
                    <w:jc w:val="center"/>
                    <w:rPr>
                      <w:sz w:val="18"/>
                      <w:szCs w:val="18"/>
                    </w:rPr>
                  </w:pPr>
                  <w:r>
                    <w:rPr>
                      <w:rFonts w:hint="eastAsia"/>
                      <w:sz w:val="18"/>
                      <w:szCs w:val="18"/>
                    </w:rPr>
                    <w:t>5.02</w:t>
                  </w:r>
                  <w:r>
                    <w:rPr>
                      <w:rFonts w:hint="eastAsia"/>
                      <w:sz w:val="18"/>
                      <w:szCs w:val="18"/>
                    </w:rPr>
                    <w:t>×</w:t>
                  </w:r>
                  <w:r>
                    <w:rPr>
                      <w:rFonts w:hint="eastAsia"/>
                      <w:sz w:val="18"/>
                      <w:szCs w:val="18"/>
                    </w:rPr>
                    <w:t>10</w:t>
                  </w:r>
                  <w:r>
                    <w:rPr>
                      <w:rFonts w:hint="eastAsia"/>
                      <w:sz w:val="18"/>
                      <w:szCs w:val="18"/>
                      <w:vertAlign w:val="superscript"/>
                    </w:rPr>
                    <w:t>-4</w:t>
                  </w:r>
                </w:p>
              </w:tc>
              <w:tc>
                <w:tcPr>
                  <w:tcW w:w="662" w:type="pct"/>
                  <w:vAlign w:val="center"/>
                </w:tcPr>
                <w:p w14:paraId="259DD8D7" w14:textId="77777777" w:rsidR="00F76A63" w:rsidRDefault="00000000">
                  <w:pPr>
                    <w:adjustRightInd w:val="0"/>
                    <w:snapToGrid w:val="0"/>
                    <w:jc w:val="center"/>
                    <w:rPr>
                      <w:sz w:val="18"/>
                      <w:szCs w:val="18"/>
                    </w:rPr>
                  </w:pPr>
                  <w:r>
                    <w:rPr>
                      <w:rFonts w:hint="eastAsia"/>
                      <w:sz w:val="18"/>
                      <w:szCs w:val="18"/>
                    </w:rPr>
                    <w:t>3.85x10</w:t>
                  </w:r>
                  <w:r>
                    <w:rPr>
                      <w:rFonts w:hint="eastAsia"/>
                      <w:sz w:val="18"/>
                      <w:szCs w:val="18"/>
                      <w:vertAlign w:val="superscript"/>
                    </w:rPr>
                    <w:t>-4</w:t>
                  </w:r>
                </w:p>
              </w:tc>
              <w:tc>
                <w:tcPr>
                  <w:tcW w:w="922" w:type="pct"/>
                  <w:vAlign w:val="center"/>
                </w:tcPr>
                <w:p w14:paraId="33947E7B" w14:textId="77777777" w:rsidR="00F76A63" w:rsidRDefault="00000000">
                  <w:pPr>
                    <w:adjustRightInd w:val="0"/>
                    <w:snapToGrid w:val="0"/>
                    <w:jc w:val="center"/>
                    <w:rPr>
                      <w:sz w:val="18"/>
                      <w:szCs w:val="18"/>
                    </w:rPr>
                  </w:pPr>
                  <w:r>
                    <w:rPr>
                      <w:rFonts w:hint="eastAsia"/>
                      <w:sz w:val="18"/>
                      <w:szCs w:val="18"/>
                    </w:rPr>
                    <w:t>4.33x10</w:t>
                  </w:r>
                  <w:r>
                    <w:rPr>
                      <w:rFonts w:hint="eastAsia"/>
                      <w:sz w:val="18"/>
                      <w:szCs w:val="18"/>
                      <w:vertAlign w:val="superscript"/>
                    </w:rPr>
                    <w:t>-4</w:t>
                  </w:r>
                </w:p>
              </w:tc>
              <w:tc>
                <w:tcPr>
                  <w:tcW w:w="661" w:type="pct"/>
                  <w:vAlign w:val="center"/>
                </w:tcPr>
                <w:p w14:paraId="62C50E5F" w14:textId="77777777" w:rsidR="00F76A63" w:rsidRDefault="00000000">
                  <w:pPr>
                    <w:adjustRightInd w:val="0"/>
                    <w:snapToGrid w:val="0"/>
                    <w:jc w:val="center"/>
                    <w:rPr>
                      <w:sz w:val="18"/>
                      <w:szCs w:val="18"/>
                    </w:rPr>
                  </w:pPr>
                  <w:r>
                    <w:rPr>
                      <w:sz w:val="18"/>
                      <w:szCs w:val="18"/>
                    </w:rPr>
                    <w:t>-</w:t>
                  </w:r>
                </w:p>
              </w:tc>
            </w:tr>
            <w:tr w:rsidR="00F76A63" w14:paraId="12EDC057" w14:textId="77777777">
              <w:trPr>
                <w:trHeight w:val="340"/>
                <w:jc w:val="center"/>
              </w:trPr>
              <w:tc>
                <w:tcPr>
                  <w:tcW w:w="380" w:type="pct"/>
                  <w:vMerge w:val="restart"/>
                  <w:vAlign w:val="center"/>
                </w:tcPr>
                <w:p w14:paraId="75B30E4D" w14:textId="77777777" w:rsidR="00F76A63" w:rsidRDefault="00000000">
                  <w:pPr>
                    <w:adjustRightInd w:val="0"/>
                    <w:snapToGrid w:val="0"/>
                    <w:jc w:val="center"/>
                    <w:rPr>
                      <w:sz w:val="18"/>
                      <w:szCs w:val="18"/>
                    </w:rPr>
                  </w:pPr>
                  <w:r>
                    <w:rPr>
                      <w:sz w:val="18"/>
                      <w:szCs w:val="18"/>
                    </w:rPr>
                    <w:t>镉</w:t>
                  </w:r>
                </w:p>
              </w:tc>
              <w:tc>
                <w:tcPr>
                  <w:tcW w:w="958" w:type="pct"/>
                  <w:vAlign w:val="center"/>
                </w:tcPr>
                <w:p w14:paraId="713893CF"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228B6583" w14:textId="77777777" w:rsidR="00F76A63" w:rsidRDefault="00000000">
                  <w:pPr>
                    <w:adjustRightInd w:val="0"/>
                    <w:snapToGrid w:val="0"/>
                    <w:jc w:val="center"/>
                    <w:rPr>
                      <w:sz w:val="18"/>
                      <w:szCs w:val="18"/>
                    </w:rPr>
                  </w:pPr>
                  <w:r>
                    <w:rPr>
                      <w:rFonts w:hint="eastAsia"/>
                      <w:sz w:val="18"/>
                      <w:szCs w:val="18"/>
                    </w:rPr>
                    <w:t>4.73x10</w:t>
                  </w:r>
                  <w:r>
                    <w:rPr>
                      <w:rFonts w:hint="eastAsia"/>
                      <w:sz w:val="18"/>
                      <w:szCs w:val="18"/>
                      <w:vertAlign w:val="superscript"/>
                    </w:rPr>
                    <w:t>-5</w:t>
                  </w:r>
                </w:p>
              </w:tc>
              <w:tc>
                <w:tcPr>
                  <w:tcW w:w="731" w:type="pct"/>
                  <w:vAlign w:val="center"/>
                </w:tcPr>
                <w:p w14:paraId="58C20910" w14:textId="77777777" w:rsidR="00F76A63" w:rsidRDefault="00000000">
                  <w:pPr>
                    <w:adjustRightInd w:val="0"/>
                    <w:snapToGrid w:val="0"/>
                    <w:jc w:val="center"/>
                    <w:rPr>
                      <w:sz w:val="18"/>
                      <w:szCs w:val="18"/>
                    </w:rPr>
                  </w:pPr>
                  <w:r>
                    <w:rPr>
                      <w:rFonts w:hint="eastAsia"/>
                      <w:sz w:val="18"/>
                      <w:szCs w:val="18"/>
                    </w:rPr>
                    <w:t>7.26x10</w:t>
                  </w:r>
                  <w:r>
                    <w:rPr>
                      <w:rFonts w:hint="eastAsia"/>
                      <w:sz w:val="18"/>
                      <w:szCs w:val="18"/>
                      <w:vertAlign w:val="superscript"/>
                    </w:rPr>
                    <w:t>-5</w:t>
                  </w:r>
                </w:p>
              </w:tc>
              <w:tc>
                <w:tcPr>
                  <w:tcW w:w="662" w:type="pct"/>
                  <w:vAlign w:val="center"/>
                </w:tcPr>
                <w:p w14:paraId="26E286AD" w14:textId="77777777" w:rsidR="00F76A63" w:rsidRDefault="00000000">
                  <w:pPr>
                    <w:adjustRightInd w:val="0"/>
                    <w:snapToGrid w:val="0"/>
                    <w:jc w:val="center"/>
                    <w:rPr>
                      <w:sz w:val="18"/>
                      <w:szCs w:val="18"/>
                    </w:rPr>
                  </w:pPr>
                  <w:r>
                    <w:rPr>
                      <w:rFonts w:hint="eastAsia"/>
                      <w:sz w:val="18"/>
                      <w:szCs w:val="18"/>
                    </w:rPr>
                    <w:t>6.74x10</w:t>
                  </w:r>
                  <w:r>
                    <w:rPr>
                      <w:rFonts w:hint="eastAsia"/>
                      <w:sz w:val="18"/>
                      <w:szCs w:val="18"/>
                      <w:vertAlign w:val="superscript"/>
                    </w:rPr>
                    <w:t>-5</w:t>
                  </w:r>
                </w:p>
              </w:tc>
              <w:tc>
                <w:tcPr>
                  <w:tcW w:w="922" w:type="pct"/>
                  <w:vAlign w:val="center"/>
                </w:tcPr>
                <w:p w14:paraId="5B5568D9" w14:textId="77777777" w:rsidR="00F76A63" w:rsidRDefault="00000000">
                  <w:pPr>
                    <w:adjustRightInd w:val="0"/>
                    <w:snapToGrid w:val="0"/>
                    <w:jc w:val="center"/>
                    <w:rPr>
                      <w:sz w:val="18"/>
                      <w:szCs w:val="18"/>
                    </w:rPr>
                  </w:pPr>
                  <w:r>
                    <w:rPr>
                      <w:rFonts w:hint="eastAsia"/>
                      <w:sz w:val="18"/>
                      <w:szCs w:val="18"/>
                    </w:rPr>
                    <w:t>6.24x10</w:t>
                  </w:r>
                  <w:r>
                    <w:rPr>
                      <w:rFonts w:hint="eastAsia"/>
                      <w:sz w:val="18"/>
                      <w:szCs w:val="18"/>
                      <w:vertAlign w:val="superscript"/>
                    </w:rPr>
                    <w:t>-5</w:t>
                  </w:r>
                </w:p>
              </w:tc>
              <w:tc>
                <w:tcPr>
                  <w:tcW w:w="661" w:type="pct"/>
                  <w:vAlign w:val="center"/>
                </w:tcPr>
                <w:p w14:paraId="76A42A0A" w14:textId="77777777" w:rsidR="00F76A63" w:rsidRDefault="00000000">
                  <w:pPr>
                    <w:adjustRightInd w:val="0"/>
                    <w:snapToGrid w:val="0"/>
                    <w:jc w:val="center"/>
                    <w:rPr>
                      <w:sz w:val="18"/>
                      <w:szCs w:val="18"/>
                    </w:rPr>
                  </w:pPr>
                  <w:r>
                    <w:rPr>
                      <w:sz w:val="18"/>
                      <w:szCs w:val="18"/>
                    </w:rPr>
                    <w:t>-</w:t>
                  </w:r>
                </w:p>
              </w:tc>
            </w:tr>
            <w:tr w:rsidR="00F76A63" w14:paraId="109B3EBE" w14:textId="77777777">
              <w:trPr>
                <w:trHeight w:val="340"/>
                <w:jc w:val="center"/>
              </w:trPr>
              <w:tc>
                <w:tcPr>
                  <w:tcW w:w="380" w:type="pct"/>
                  <w:vMerge/>
                  <w:vAlign w:val="center"/>
                </w:tcPr>
                <w:p w14:paraId="45F88313" w14:textId="77777777" w:rsidR="00F76A63" w:rsidRDefault="00F76A63">
                  <w:pPr>
                    <w:adjustRightInd w:val="0"/>
                    <w:snapToGrid w:val="0"/>
                    <w:jc w:val="center"/>
                    <w:rPr>
                      <w:sz w:val="18"/>
                      <w:szCs w:val="18"/>
                    </w:rPr>
                  </w:pPr>
                </w:p>
              </w:tc>
              <w:tc>
                <w:tcPr>
                  <w:tcW w:w="958" w:type="pct"/>
                  <w:vAlign w:val="center"/>
                </w:tcPr>
                <w:p w14:paraId="69C955F4"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6BF35A9D" w14:textId="77777777" w:rsidR="00F76A63" w:rsidRDefault="00000000">
                  <w:pPr>
                    <w:adjustRightInd w:val="0"/>
                    <w:snapToGrid w:val="0"/>
                    <w:jc w:val="center"/>
                    <w:rPr>
                      <w:sz w:val="18"/>
                      <w:szCs w:val="18"/>
                    </w:rPr>
                  </w:pPr>
                  <w:r>
                    <w:rPr>
                      <w:rFonts w:hint="eastAsia"/>
                      <w:sz w:val="18"/>
                      <w:szCs w:val="18"/>
                    </w:rPr>
                    <w:t>4.26x10</w:t>
                  </w:r>
                  <w:r>
                    <w:rPr>
                      <w:rFonts w:hint="eastAsia"/>
                      <w:sz w:val="18"/>
                      <w:szCs w:val="18"/>
                      <w:vertAlign w:val="superscript"/>
                    </w:rPr>
                    <w:t>-5</w:t>
                  </w:r>
                </w:p>
              </w:tc>
              <w:tc>
                <w:tcPr>
                  <w:tcW w:w="731" w:type="pct"/>
                  <w:vAlign w:val="center"/>
                </w:tcPr>
                <w:p w14:paraId="71E8253B" w14:textId="77777777" w:rsidR="00F76A63" w:rsidRDefault="00000000">
                  <w:pPr>
                    <w:adjustRightInd w:val="0"/>
                    <w:snapToGrid w:val="0"/>
                    <w:jc w:val="center"/>
                    <w:rPr>
                      <w:sz w:val="18"/>
                      <w:szCs w:val="18"/>
                    </w:rPr>
                  </w:pPr>
                  <w:r>
                    <w:rPr>
                      <w:rFonts w:hint="eastAsia"/>
                      <w:sz w:val="18"/>
                      <w:szCs w:val="18"/>
                    </w:rPr>
                    <w:t>6.88x10</w:t>
                  </w:r>
                  <w:r>
                    <w:rPr>
                      <w:rFonts w:hint="eastAsia"/>
                      <w:sz w:val="18"/>
                      <w:szCs w:val="18"/>
                      <w:vertAlign w:val="superscript"/>
                    </w:rPr>
                    <w:t>-5</w:t>
                  </w:r>
                </w:p>
              </w:tc>
              <w:tc>
                <w:tcPr>
                  <w:tcW w:w="662" w:type="pct"/>
                  <w:vAlign w:val="center"/>
                </w:tcPr>
                <w:p w14:paraId="71E92D5C" w14:textId="77777777" w:rsidR="00F76A63" w:rsidRDefault="00000000">
                  <w:pPr>
                    <w:adjustRightInd w:val="0"/>
                    <w:snapToGrid w:val="0"/>
                    <w:jc w:val="center"/>
                    <w:rPr>
                      <w:sz w:val="18"/>
                      <w:szCs w:val="18"/>
                    </w:rPr>
                  </w:pPr>
                  <w:r>
                    <w:rPr>
                      <w:rFonts w:hint="eastAsia"/>
                      <w:sz w:val="18"/>
                      <w:szCs w:val="18"/>
                    </w:rPr>
                    <w:t>6.80x10</w:t>
                  </w:r>
                  <w:r>
                    <w:rPr>
                      <w:rFonts w:hint="eastAsia"/>
                      <w:sz w:val="18"/>
                      <w:szCs w:val="18"/>
                      <w:vertAlign w:val="superscript"/>
                    </w:rPr>
                    <w:t>-5</w:t>
                  </w:r>
                </w:p>
              </w:tc>
              <w:tc>
                <w:tcPr>
                  <w:tcW w:w="922" w:type="pct"/>
                  <w:vAlign w:val="center"/>
                </w:tcPr>
                <w:p w14:paraId="197E160A" w14:textId="77777777" w:rsidR="00F76A63" w:rsidRDefault="00000000">
                  <w:pPr>
                    <w:adjustRightInd w:val="0"/>
                    <w:snapToGrid w:val="0"/>
                    <w:jc w:val="center"/>
                    <w:rPr>
                      <w:sz w:val="18"/>
                      <w:szCs w:val="18"/>
                    </w:rPr>
                  </w:pPr>
                  <w:r>
                    <w:rPr>
                      <w:rFonts w:hint="eastAsia"/>
                      <w:sz w:val="18"/>
                      <w:szCs w:val="18"/>
                    </w:rPr>
                    <w:t>5.98</w:t>
                  </w:r>
                  <w:r>
                    <w:rPr>
                      <w:rFonts w:hint="eastAsia"/>
                      <w:sz w:val="18"/>
                      <w:szCs w:val="18"/>
                    </w:rPr>
                    <w:t>×</w:t>
                  </w:r>
                  <w:r>
                    <w:rPr>
                      <w:rFonts w:hint="eastAsia"/>
                      <w:sz w:val="18"/>
                      <w:szCs w:val="18"/>
                    </w:rPr>
                    <w:t>10</w:t>
                  </w:r>
                  <w:r>
                    <w:rPr>
                      <w:rFonts w:hint="eastAsia"/>
                      <w:sz w:val="18"/>
                      <w:szCs w:val="18"/>
                      <w:vertAlign w:val="superscript"/>
                    </w:rPr>
                    <w:t>-5</w:t>
                  </w:r>
                </w:p>
              </w:tc>
              <w:tc>
                <w:tcPr>
                  <w:tcW w:w="661" w:type="pct"/>
                  <w:vAlign w:val="center"/>
                </w:tcPr>
                <w:p w14:paraId="15203B9A" w14:textId="77777777" w:rsidR="00F76A63" w:rsidRDefault="00000000">
                  <w:pPr>
                    <w:adjustRightInd w:val="0"/>
                    <w:snapToGrid w:val="0"/>
                    <w:jc w:val="center"/>
                    <w:rPr>
                      <w:sz w:val="18"/>
                      <w:szCs w:val="18"/>
                    </w:rPr>
                  </w:pPr>
                  <w:r>
                    <w:rPr>
                      <w:sz w:val="18"/>
                      <w:szCs w:val="18"/>
                    </w:rPr>
                    <w:t>1.0</w:t>
                  </w:r>
                </w:p>
              </w:tc>
            </w:tr>
            <w:tr w:rsidR="00F76A63" w14:paraId="6C079946" w14:textId="77777777">
              <w:trPr>
                <w:trHeight w:val="340"/>
                <w:jc w:val="center"/>
              </w:trPr>
              <w:tc>
                <w:tcPr>
                  <w:tcW w:w="380" w:type="pct"/>
                  <w:vMerge/>
                  <w:vAlign w:val="center"/>
                </w:tcPr>
                <w:p w14:paraId="2EC2B08D" w14:textId="77777777" w:rsidR="00F76A63" w:rsidRDefault="00F76A63">
                  <w:pPr>
                    <w:adjustRightInd w:val="0"/>
                    <w:snapToGrid w:val="0"/>
                    <w:jc w:val="center"/>
                    <w:rPr>
                      <w:sz w:val="18"/>
                      <w:szCs w:val="18"/>
                    </w:rPr>
                  </w:pPr>
                </w:p>
              </w:tc>
              <w:tc>
                <w:tcPr>
                  <w:tcW w:w="958" w:type="pct"/>
                  <w:vAlign w:val="center"/>
                </w:tcPr>
                <w:p w14:paraId="7DFBED88"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44D47237" w14:textId="77777777" w:rsidR="00F76A63" w:rsidRDefault="00000000">
                  <w:pPr>
                    <w:adjustRightInd w:val="0"/>
                    <w:snapToGrid w:val="0"/>
                    <w:jc w:val="center"/>
                    <w:rPr>
                      <w:sz w:val="18"/>
                      <w:szCs w:val="18"/>
                    </w:rPr>
                  </w:pPr>
                  <w:r>
                    <w:rPr>
                      <w:rFonts w:hint="eastAsia"/>
                      <w:sz w:val="18"/>
                      <w:szCs w:val="18"/>
                    </w:rPr>
                    <w:t>2.46x10</w:t>
                  </w:r>
                  <w:r>
                    <w:rPr>
                      <w:rFonts w:hint="eastAsia"/>
                      <w:sz w:val="18"/>
                      <w:szCs w:val="18"/>
                      <w:vertAlign w:val="superscript"/>
                    </w:rPr>
                    <w:t>-5</w:t>
                  </w:r>
                </w:p>
              </w:tc>
              <w:tc>
                <w:tcPr>
                  <w:tcW w:w="731" w:type="pct"/>
                  <w:vAlign w:val="center"/>
                </w:tcPr>
                <w:p w14:paraId="252E92E8" w14:textId="77777777" w:rsidR="00F76A63" w:rsidRDefault="00000000">
                  <w:pPr>
                    <w:adjustRightInd w:val="0"/>
                    <w:snapToGrid w:val="0"/>
                    <w:jc w:val="center"/>
                    <w:rPr>
                      <w:sz w:val="18"/>
                      <w:szCs w:val="18"/>
                    </w:rPr>
                  </w:pPr>
                  <w:r>
                    <w:rPr>
                      <w:rFonts w:hint="eastAsia"/>
                      <w:sz w:val="18"/>
                      <w:szCs w:val="18"/>
                    </w:rPr>
                    <w:t>3.79x10</w:t>
                  </w:r>
                  <w:r>
                    <w:rPr>
                      <w:rFonts w:hint="eastAsia"/>
                      <w:sz w:val="18"/>
                      <w:szCs w:val="18"/>
                      <w:vertAlign w:val="superscript"/>
                    </w:rPr>
                    <w:t>-5</w:t>
                  </w:r>
                </w:p>
              </w:tc>
              <w:tc>
                <w:tcPr>
                  <w:tcW w:w="662" w:type="pct"/>
                  <w:vAlign w:val="center"/>
                </w:tcPr>
                <w:p w14:paraId="06C6897A" w14:textId="77777777" w:rsidR="00F76A63" w:rsidRDefault="00000000">
                  <w:pPr>
                    <w:adjustRightInd w:val="0"/>
                    <w:snapToGrid w:val="0"/>
                    <w:jc w:val="center"/>
                    <w:rPr>
                      <w:sz w:val="18"/>
                      <w:szCs w:val="18"/>
                    </w:rPr>
                  </w:pPr>
                  <w:r>
                    <w:rPr>
                      <w:rFonts w:hint="eastAsia"/>
                      <w:sz w:val="18"/>
                      <w:szCs w:val="18"/>
                    </w:rPr>
                    <w:t>3.48x10</w:t>
                  </w:r>
                  <w:r>
                    <w:rPr>
                      <w:rFonts w:hint="eastAsia"/>
                      <w:sz w:val="18"/>
                      <w:szCs w:val="18"/>
                      <w:vertAlign w:val="superscript"/>
                    </w:rPr>
                    <w:t>-5</w:t>
                  </w:r>
                </w:p>
              </w:tc>
              <w:tc>
                <w:tcPr>
                  <w:tcW w:w="922" w:type="pct"/>
                  <w:vAlign w:val="center"/>
                </w:tcPr>
                <w:p w14:paraId="0994D3D5" w14:textId="77777777" w:rsidR="00F76A63" w:rsidRDefault="00000000">
                  <w:pPr>
                    <w:adjustRightInd w:val="0"/>
                    <w:snapToGrid w:val="0"/>
                    <w:jc w:val="center"/>
                    <w:rPr>
                      <w:sz w:val="18"/>
                      <w:szCs w:val="18"/>
                    </w:rPr>
                  </w:pPr>
                  <w:r>
                    <w:rPr>
                      <w:rFonts w:hint="eastAsia"/>
                      <w:sz w:val="18"/>
                      <w:szCs w:val="18"/>
                    </w:rPr>
                    <w:t>3.24x10</w:t>
                  </w:r>
                  <w:r>
                    <w:rPr>
                      <w:rFonts w:hint="eastAsia"/>
                      <w:sz w:val="18"/>
                      <w:szCs w:val="18"/>
                      <w:vertAlign w:val="superscript"/>
                    </w:rPr>
                    <w:t>-5</w:t>
                  </w:r>
                </w:p>
              </w:tc>
              <w:tc>
                <w:tcPr>
                  <w:tcW w:w="661" w:type="pct"/>
                  <w:vAlign w:val="center"/>
                </w:tcPr>
                <w:p w14:paraId="2D8F42EF" w14:textId="77777777" w:rsidR="00F76A63" w:rsidRDefault="00000000">
                  <w:pPr>
                    <w:adjustRightInd w:val="0"/>
                    <w:snapToGrid w:val="0"/>
                    <w:jc w:val="center"/>
                    <w:rPr>
                      <w:sz w:val="18"/>
                      <w:szCs w:val="18"/>
                    </w:rPr>
                  </w:pPr>
                  <w:r>
                    <w:rPr>
                      <w:sz w:val="18"/>
                      <w:szCs w:val="18"/>
                    </w:rPr>
                    <w:t>-</w:t>
                  </w:r>
                </w:p>
              </w:tc>
            </w:tr>
            <w:tr w:rsidR="00F76A63" w14:paraId="74EAECA6" w14:textId="77777777">
              <w:trPr>
                <w:trHeight w:val="340"/>
                <w:jc w:val="center"/>
              </w:trPr>
              <w:tc>
                <w:tcPr>
                  <w:tcW w:w="380" w:type="pct"/>
                  <w:vMerge w:val="restart"/>
                  <w:vAlign w:val="center"/>
                </w:tcPr>
                <w:p w14:paraId="7A8FF315" w14:textId="77777777" w:rsidR="00F76A63" w:rsidRDefault="00000000">
                  <w:pPr>
                    <w:adjustRightInd w:val="0"/>
                    <w:snapToGrid w:val="0"/>
                    <w:jc w:val="center"/>
                    <w:rPr>
                      <w:sz w:val="18"/>
                      <w:szCs w:val="18"/>
                    </w:rPr>
                  </w:pPr>
                  <w:r>
                    <w:rPr>
                      <w:sz w:val="18"/>
                      <w:szCs w:val="18"/>
                    </w:rPr>
                    <w:t>镍</w:t>
                  </w:r>
                </w:p>
              </w:tc>
              <w:tc>
                <w:tcPr>
                  <w:tcW w:w="958" w:type="pct"/>
                  <w:vAlign w:val="center"/>
                </w:tcPr>
                <w:p w14:paraId="7F6D791E" w14:textId="77777777" w:rsidR="00F76A63" w:rsidRDefault="00000000">
                  <w:pPr>
                    <w:adjustRightInd w:val="0"/>
                    <w:snapToGrid w:val="0"/>
                    <w:jc w:val="center"/>
                    <w:rPr>
                      <w:sz w:val="18"/>
                      <w:szCs w:val="18"/>
                    </w:rPr>
                  </w:pPr>
                  <w:r>
                    <w:rPr>
                      <w:sz w:val="18"/>
                      <w:szCs w:val="18"/>
                    </w:rPr>
                    <w:t>实测浓度</w:t>
                  </w:r>
                  <w:r>
                    <w:rPr>
                      <w:sz w:val="18"/>
                      <w:szCs w:val="18"/>
                    </w:rPr>
                    <w:lastRenderedPageBreak/>
                    <w:t>（</w:t>
                  </w:r>
                  <w:r>
                    <w:rPr>
                      <w:sz w:val="18"/>
                      <w:szCs w:val="18"/>
                    </w:rPr>
                    <w:t>mg/m</w:t>
                  </w:r>
                  <w:r>
                    <w:rPr>
                      <w:sz w:val="18"/>
                      <w:szCs w:val="18"/>
                      <w:vertAlign w:val="superscript"/>
                    </w:rPr>
                    <w:t>3</w:t>
                  </w:r>
                  <w:r>
                    <w:rPr>
                      <w:sz w:val="18"/>
                      <w:szCs w:val="18"/>
                    </w:rPr>
                    <w:t>）</w:t>
                  </w:r>
                </w:p>
              </w:tc>
              <w:tc>
                <w:tcPr>
                  <w:tcW w:w="686" w:type="pct"/>
                  <w:vAlign w:val="center"/>
                </w:tcPr>
                <w:p w14:paraId="25CC63EB" w14:textId="77777777" w:rsidR="00F76A63" w:rsidRDefault="00000000">
                  <w:pPr>
                    <w:adjustRightInd w:val="0"/>
                    <w:snapToGrid w:val="0"/>
                    <w:jc w:val="center"/>
                    <w:rPr>
                      <w:sz w:val="18"/>
                      <w:szCs w:val="18"/>
                    </w:rPr>
                  </w:pPr>
                  <w:r>
                    <w:rPr>
                      <w:rFonts w:hint="eastAsia"/>
                      <w:sz w:val="18"/>
                      <w:szCs w:val="18"/>
                    </w:rPr>
                    <w:lastRenderedPageBreak/>
                    <w:t>2.70x10</w:t>
                  </w:r>
                  <w:r>
                    <w:rPr>
                      <w:rFonts w:hint="eastAsia"/>
                      <w:sz w:val="18"/>
                      <w:szCs w:val="18"/>
                      <w:vertAlign w:val="superscript"/>
                    </w:rPr>
                    <w:t>-4</w:t>
                  </w:r>
                </w:p>
              </w:tc>
              <w:tc>
                <w:tcPr>
                  <w:tcW w:w="731" w:type="pct"/>
                  <w:vAlign w:val="center"/>
                </w:tcPr>
                <w:p w14:paraId="2D21F721" w14:textId="77777777" w:rsidR="00F76A63" w:rsidRDefault="00000000">
                  <w:pPr>
                    <w:adjustRightInd w:val="0"/>
                    <w:snapToGrid w:val="0"/>
                    <w:jc w:val="center"/>
                    <w:rPr>
                      <w:sz w:val="18"/>
                      <w:szCs w:val="18"/>
                    </w:rPr>
                  </w:pPr>
                  <w:r>
                    <w:rPr>
                      <w:rFonts w:hint="eastAsia"/>
                      <w:sz w:val="18"/>
                      <w:szCs w:val="18"/>
                    </w:rPr>
                    <w:t>5.01x10</w:t>
                  </w:r>
                  <w:r>
                    <w:rPr>
                      <w:rFonts w:hint="eastAsia"/>
                      <w:sz w:val="18"/>
                      <w:szCs w:val="18"/>
                      <w:vertAlign w:val="superscript"/>
                    </w:rPr>
                    <w:t>-4</w:t>
                  </w:r>
                </w:p>
              </w:tc>
              <w:tc>
                <w:tcPr>
                  <w:tcW w:w="662" w:type="pct"/>
                  <w:vAlign w:val="center"/>
                </w:tcPr>
                <w:p w14:paraId="0B126EC7" w14:textId="77777777" w:rsidR="00F76A63" w:rsidRDefault="00000000">
                  <w:pPr>
                    <w:adjustRightInd w:val="0"/>
                    <w:snapToGrid w:val="0"/>
                    <w:jc w:val="center"/>
                    <w:rPr>
                      <w:sz w:val="18"/>
                      <w:szCs w:val="18"/>
                    </w:rPr>
                  </w:pPr>
                  <w:r>
                    <w:rPr>
                      <w:rFonts w:hint="eastAsia"/>
                      <w:sz w:val="18"/>
                      <w:szCs w:val="18"/>
                    </w:rPr>
                    <w:t>3.28x10</w:t>
                  </w:r>
                  <w:r>
                    <w:rPr>
                      <w:rFonts w:hint="eastAsia"/>
                      <w:sz w:val="18"/>
                      <w:szCs w:val="18"/>
                      <w:vertAlign w:val="superscript"/>
                    </w:rPr>
                    <w:t>-4</w:t>
                  </w:r>
                </w:p>
              </w:tc>
              <w:tc>
                <w:tcPr>
                  <w:tcW w:w="922" w:type="pct"/>
                  <w:vAlign w:val="center"/>
                </w:tcPr>
                <w:p w14:paraId="5D308E33" w14:textId="77777777" w:rsidR="00F76A63" w:rsidRDefault="00000000">
                  <w:pPr>
                    <w:adjustRightInd w:val="0"/>
                    <w:snapToGrid w:val="0"/>
                    <w:jc w:val="center"/>
                    <w:rPr>
                      <w:sz w:val="18"/>
                      <w:szCs w:val="18"/>
                    </w:rPr>
                  </w:pPr>
                  <w:r>
                    <w:rPr>
                      <w:rFonts w:hint="eastAsia"/>
                      <w:sz w:val="18"/>
                      <w:szCs w:val="18"/>
                    </w:rPr>
                    <w:t>3.66x10</w:t>
                  </w:r>
                  <w:r>
                    <w:rPr>
                      <w:rFonts w:hint="eastAsia"/>
                      <w:sz w:val="18"/>
                      <w:szCs w:val="18"/>
                      <w:vertAlign w:val="superscript"/>
                    </w:rPr>
                    <w:t>-4</w:t>
                  </w:r>
                </w:p>
              </w:tc>
              <w:tc>
                <w:tcPr>
                  <w:tcW w:w="661" w:type="pct"/>
                  <w:vAlign w:val="center"/>
                </w:tcPr>
                <w:p w14:paraId="2ACC266D" w14:textId="77777777" w:rsidR="00F76A63" w:rsidRDefault="00000000">
                  <w:pPr>
                    <w:adjustRightInd w:val="0"/>
                    <w:snapToGrid w:val="0"/>
                    <w:jc w:val="center"/>
                    <w:rPr>
                      <w:sz w:val="18"/>
                      <w:szCs w:val="18"/>
                    </w:rPr>
                  </w:pPr>
                  <w:r>
                    <w:rPr>
                      <w:sz w:val="18"/>
                      <w:szCs w:val="18"/>
                    </w:rPr>
                    <w:t>-</w:t>
                  </w:r>
                </w:p>
              </w:tc>
            </w:tr>
            <w:tr w:rsidR="00F76A63" w14:paraId="5B7FB882" w14:textId="77777777">
              <w:trPr>
                <w:trHeight w:val="340"/>
                <w:jc w:val="center"/>
              </w:trPr>
              <w:tc>
                <w:tcPr>
                  <w:tcW w:w="380" w:type="pct"/>
                  <w:vMerge/>
                  <w:vAlign w:val="center"/>
                </w:tcPr>
                <w:p w14:paraId="7385A053" w14:textId="77777777" w:rsidR="00F76A63" w:rsidRDefault="00F76A63">
                  <w:pPr>
                    <w:adjustRightInd w:val="0"/>
                    <w:snapToGrid w:val="0"/>
                    <w:jc w:val="center"/>
                    <w:rPr>
                      <w:sz w:val="18"/>
                      <w:szCs w:val="18"/>
                    </w:rPr>
                  </w:pPr>
                </w:p>
              </w:tc>
              <w:tc>
                <w:tcPr>
                  <w:tcW w:w="958" w:type="pct"/>
                  <w:vAlign w:val="center"/>
                </w:tcPr>
                <w:p w14:paraId="68649273"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7553412E" w14:textId="77777777" w:rsidR="00F76A63" w:rsidRDefault="00000000">
                  <w:pPr>
                    <w:adjustRightInd w:val="0"/>
                    <w:snapToGrid w:val="0"/>
                    <w:jc w:val="center"/>
                    <w:rPr>
                      <w:sz w:val="18"/>
                      <w:szCs w:val="18"/>
                    </w:rPr>
                  </w:pPr>
                  <w:r>
                    <w:rPr>
                      <w:rFonts w:hint="eastAsia"/>
                      <w:sz w:val="18"/>
                      <w:szCs w:val="18"/>
                    </w:rPr>
                    <w:t>2.43x10</w:t>
                  </w:r>
                  <w:r>
                    <w:rPr>
                      <w:rFonts w:hint="eastAsia"/>
                      <w:sz w:val="18"/>
                      <w:szCs w:val="18"/>
                      <w:vertAlign w:val="superscript"/>
                    </w:rPr>
                    <w:t>-4</w:t>
                  </w:r>
                </w:p>
              </w:tc>
              <w:tc>
                <w:tcPr>
                  <w:tcW w:w="731" w:type="pct"/>
                  <w:vAlign w:val="center"/>
                </w:tcPr>
                <w:p w14:paraId="15F88823" w14:textId="77777777" w:rsidR="00F76A63" w:rsidRDefault="00000000">
                  <w:pPr>
                    <w:adjustRightInd w:val="0"/>
                    <w:snapToGrid w:val="0"/>
                    <w:jc w:val="center"/>
                    <w:rPr>
                      <w:sz w:val="18"/>
                      <w:szCs w:val="18"/>
                    </w:rPr>
                  </w:pPr>
                  <w:r>
                    <w:rPr>
                      <w:rFonts w:hint="eastAsia"/>
                      <w:sz w:val="18"/>
                      <w:szCs w:val="18"/>
                    </w:rPr>
                    <w:t>4.75x10</w:t>
                  </w:r>
                  <w:r>
                    <w:rPr>
                      <w:rFonts w:hint="eastAsia"/>
                      <w:sz w:val="18"/>
                      <w:szCs w:val="18"/>
                      <w:vertAlign w:val="superscript"/>
                    </w:rPr>
                    <w:t>-4</w:t>
                  </w:r>
                </w:p>
              </w:tc>
              <w:tc>
                <w:tcPr>
                  <w:tcW w:w="662" w:type="pct"/>
                  <w:vAlign w:val="center"/>
                </w:tcPr>
                <w:p w14:paraId="7A8B5518" w14:textId="77777777" w:rsidR="00F76A63" w:rsidRDefault="00000000">
                  <w:pPr>
                    <w:adjustRightInd w:val="0"/>
                    <w:snapToGrid w:val="0"/>
                    <w:jc w:val="center"/>
                    <w:rPr>
                      <w:sz w:val="18"/>
                      <w:szCs w:val="18"/>
                    </w:rPr>
                  </w:pPr>
                  <w:r>
                    <w:rPr>
                      <w:rFonts w:hint="eastAsia"/>
                      <w:sz w:val="18"/>
                      <w:szCs w:val="18"/>
                    </w:rPr>
                    <w:t>3.31x10</w:t>
                  </w:r>
                  <w:r>
                    <w:rPr>
                      <w:rFonts w:hint="eastAsia"/>
                      <w:sz w:val="18"/>
                      <w:szCs w:val="18"/>
                      <w:vertAlign w:val="superscript"/>
                    </w:rPr>
                    <w:t>-4</w:t>
                  </w:r>
                </w:p>
              </w:tc>
              <w:tc>
                <w:tcPr>
                  <w:tcW w:w="922" w:type="pct"/>
                  <w:vAlign w:val="center"/>
                </w:tcPr>
                <w:p w14:paraId="4E4C6444" w14:textId="77777777" w:rsidR="00F76A63" w:rsidRDefault="00000000">
                  <w:pPr>
                    <w:adjustRightInd w:val="0"/>
                    <w:snapToGrid w:val="0"/>
                    <w:jc w:val="center"/>
                    <w:rPr>
                      <w:sz w:val="18"/>
                      <w:szCs w:val="18"/>
                    </w:rPr>
                  </w:pPr>
                  <w:r>
                    <w:rPr>
                      <w:rFonts w:hint="eastAsia"/>
                      <w:sz w:val="18"/>
                      <w:szCs w:val="18"/>
                    </w:rPr>
                    <w:t>3.50x10</w:t>
                  </w:r>
                  <w:r>
                    <w:rPr>
                      <w:rFonts w:hint="eastAsia"/>
                      <w:sz w:val="18"/>
                      <w:szCs w:val="18"/>
                      <w:vertAlign w:val="superscript"/>
                    </w:rPr>
                    <w:t>-4</w:t>
                  </w:r>
                </w:p>
              </w:tc>
              <w:tc>
                <w:tcPr>
                  <w:tcW w:w="661" w:type="pct"/>
                  <w:vAlign w:val="center"/>
                </w:tcPr>
                <w:p w14:paraId="63AF69EE" w14:textId="77777777" w:rsidR="00F76A63" w:rsidRDefault="00000000">
                  <w:pPr>
                    <w:adjustRightInd w:val="0"/>
                    <w:snapToGrid w:val="0"/>
                    <w:jc w:val="center"/>
                    <w:rPr>
                      <w:sz w:val="18"/>
                      <w:szCs w:val="18"/>
                    </w:rPr>
                  </w:pPr>
                  <w:r>
                    <w:rPr>
                      <w:sz w:val="18"/>
                      <w:szCs w:val="18"/>
                    </w:rPr>
                    <w:t>0.5</w:t>
                  </w:r>
                </w:p>
              </w:tc>
            </w:tr>
            <w:tr w:rsidR="00F76A63" w14:paraId="1EE2D8B4" w14:textId="77777777">
              <w:trPr>
                <w:trHeight w:val="340"/>
                <w:jc w:val="center"/>
              </w:trPr>
              <w:tc>
                <w:tcPr>
                  <w:tcW w:w="380" w:type="pct"/>
                  <w:vMerge/>
                  <w:vAlign w:val="center"/>
                </w:tcPr>
                <w:p w14:paraId="4DD64664" w14:textId="77777777" w:rsidR="00F76A63" w:rsidRDefault="00F76A63">
                  <w:pPr>
                    <w:adjustRightInd w:val="0"/>
                    <w:snapToGrid w:val="0"/>
                    <w:jc w:val="center"/>
                    <w:rPr>
                      <w:sz w:val="18"/>
                      <w:szCs w:val="18"/>
                    </w:rPr>
                  </w:pPr>
                </w:p>
              </w:tc>
              <w:tc>
                <w:tcPr>
                  <w:tcW w:w="958" w:type="pct"/>
                  <w:vAlign w:val="center"/>
                </w:tcPr>
                <w:p w14:paraId="30574B23"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1FEA4B45" w14:textId="77777777" w:rsidR="00F76A63" w:rsidRDefault="00000000">
                  <w:pPr>
                    <w:adjustRightInd w:val="0"/>
                    <w:snapToGrid w:val="0"/>
                    <w:jc w:val="center"/>
                    <w:rPr>
                      <w:sz w:val="18"/>
                      <w:szCs w:val="18"/>
                    </w:rPr>
                  </w:pPr>
                  <w:r>
                    <w:rPr>
                      <w:rFonts w:hint="eastAsia"/>
                      <w:sz w:val="18"/>
                      <w:szCs w:val="18"/>
                    </w:rPr>
                    <w:t>1.41x10</w:t>
                  </w:r>
                  <w:r>
                    <w:rPr>
                      <w:rFonts w:hint="eastAsia"/>
                      <w:sz w:val="18"/>
                      <w:szCs w:val="18"/>
                      <w:vertAlign w:val="superscript"/>
                    </w:rPr>
                    <w:t>-4</w:t>
                  </w:r>
                </w:p>
              </w:tc>
              <w:tc>
                <w:tcPr>
                  <w:tcW w:w="731" w:type="pct"/>
                  <w:vAlign w:val="center"/>
                </w:tcPr>
                <w:p w14:paraId="7A564977" w14:textId="77777777" w:rsidR="00F76A63" w:rsidRDefault="00000000">
                  <w:pPr>
                    <w:adjustRightInd w:val="0"/>
                    <w:snapToGrid w:val="0"/>
                    <w:jc w:val="center"/>
                    <w:rPr>
                      <w:sz w:val="18"/>
                      <w:szCs w:val="18"/>
                    </w:rPr>
                  </w:pPr>
                  <w:r>
                    <w:rPr>
                      <w:rFonts w:hint="eastAsia"/>
                      <w:sz w:val="18"/>
                      <w:szCs w:val="18"/>
                    </w:rPr>
                    <w:t>2.62</w:t>
                  </w:r>
                  <w:r>
                    <w:rPr>
                      <w:rFonts w:hint="eastAsia"/>
                      <w:sz w:val="18"/>
                      <w:szCs w:val="18"/>
                    </w:rPr>
                    <w:t>×</w:t>
                  </w:r>
                  <w:r>
                    <w:rPr>
                      <w:rFonts w:hint="eastAsia"/>
                      <w:sz w:val="18"/>
                      <w:szCs w:val="18"/>
                    </w:rPr>
                    <w:t>10</w:t>
                  </w:r>
                  <w:r>
                    <w:rPr>
                      <w:rFonts w:hint="eastAsia"/>
                      <w:sz w:val="18"/>
                      <w:szCs w:val="18"/>
                      <w:vertAlign w:val="superscript"/>
                    </w:rPr>
                    <w:t>-4</w:t>
                  </w:r>
                </w:p>
              </w:tc>
              <w:tc>
                <w:tcPr>
                  <w:tcW w:w="662" w:type="pct"/>
                  <w:vAlign w:val="center"/>
                </w:tcPr>
                <w:p w14:paraId="5B4D4B4C" w14:textId="77777777" w:rsidR="00F76A63" w:rsidRDefault="00000000">
                  <w:pPr>
                    <w:adjustRightInd w:val="0"/>
                    <w:snapToGrid w:val="0"/>
                    <w:jc w:val="center"/>
                    <w:rPr>
                      <w:sz w:val="18"/>
                      <w:szCs w:val="18"/>
                    </w:rPr>
                  </w:pPr>
                  <w:r>
                    <w:rPr>
                      <w:rFonts w:hint="eastAsia"/>
                      <w:sz w:val="18"/>
                      <w:szCs w:val="18"/>
                    </w:rPr>
                    <w:t>1.69x10</w:t>
                  </w:r>
                  <w:r>
                    <w:rPr>
                      <w:rFonts w:hint="eastAsia"/>
                      <w:sz w:val="18"/>
                      <w:szCs w:val="18"/>
                      <w:vertAlign w:val="superscript"/>
                    </w:rPr>
                    <w:t>-4</w:t>
                  </w:r>
                </w:p>
              </w:tc>
              <w:tc>
                <w:tcPr>
                  <w:tcW w:w="922" w:type="pct"/>
                  <w:vAlign w:val="center"/>
                </w:tcPr>
                <w:p w14:paraId="3F4E8032" w14:textId="77777777" w:rsidR="00F76A63" w:rsidRDefault="00000000">
                  <w:pPr>
                    <w:adjustRightInd w:val="0"/>
                    <w:snapToGrid w:val="0"/>
                    <w:jc w:val="center"/>
                    <w:rPr>
                      <w:sz w:val="18"/>
                      <w:szCs w:val="18"/>
                    </w:rPr>
                  </w:pPr>
                  <w:r>
                    <w:rPr>
                      <w:rFonts w:hint="eastAsia"/>
                      <w:sz w:val="18"/>
                      <w:szCs w:val="18"/>
                    </w:rPr>
                    <w:t>1.91x10</w:t>
                  </w:r>
                  <w:r>
                    <w:rPr>
                      <w:rFonts w:hint="eastAsia"/>
                      <w:sz w:val="18"/>
                      <w:szCs w:val="18"/>
                      <w:vertAlign w:val="superscript"/>
                    </w:rPr>
                    <w:t>-4</w:t>
                  </w:r>
                </w:p>
              </w:tc>
              <w:tc>
                <w:tcPr>
                  <w:tcW w:w="661" w:type="pct"/>
                  <w:vAlign w:val="center"/>
                </w:tcPr>
                <w:p w14:paraId="4198D2FC" w14:textId="77777777" w:rsidR="00F76A63" w:rsidRDefault="00000000">
                  <w:pPr>
                    <w:adjustRightInd w:val="0"/>
                    <w:snapToGrid w:val="0"/>
                    <w:jc w:val="center"/>
                    <w:rPr>
                      <w:sz w:val="18"/>
                      <w:szCs w:val="18"/>
                    </w:rPr>
                  </w:pPr>
                  <w:r>
                    <w:rPr>
                      <w:sz w:val="18"/>
                      <w:szCs w:val="18"/>
                    </w:rPr>
                    <w:t>-</w:t>
                  </w:r>
                </w:p>
              </w:tc>
            </w:tr>
            <w:tr w:rsidR="00F76A63" w14:paraId="4BF46E0E" w14:textId="77777777">
              <w:trPr>
                <w:trHeight w:val="340"/>
                <w:jc w:val="center"/>
              </w:trPr>
              <w:tc>
                <w:tcPr>
                  <w:tcW w:w="380" w:type="pct"/>
                  <w:vMerge w:val="restart"/>
                  <w:vAlign w:val="center"/>
                </w:tcPr>
                <w:p w14:paraId="7FA02BFB" w14:textId="77777777" w:rsidR="00F76A63" w:rsidRDefault="00000000">
                  <w:pPr>
                    <w:adjustRightInd w:val="0"/>
                    <w:snapToGrid w:val="0"/>
                    <w:jc w:val="center"/>
                    <w:rPr>
                      <w:sz w:val="18"/>
                      <w:szCs w:val="18"/>
                    </w:rPr>
                  </w:pPr>
                  <w:r>
                    <w:rPr>
                      <w:sz w:val="18"/>
                      <w:szCs w:val="18"/>
                    </w:rPr>
                    <w:t>钒</w:t>
                  </w:r>
                </w:p>
              </w:tc>
              <w:tc>
                <w:tcPr>
                  <w:tcW w:w="958" w:type="pct"/>
                  <w:vAlign w:val="center"/>
                </w:tcPr>
                <w:p w14:paraId="3EC43E09"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098CB0DF" w14:textId="77777777" w:rsidR="00F76A63" w:rsidRDefault="00000000">
                  <w:pPr>
                    <w:adjustRightInd w:val="0"/>
                    <w:snapToGrid w:val="0"/>
                    <w:jc w:val="center"/>
                    <w:rPr>
                      <w:sz w:val="18"/>
                      <w:szCs w:val="18"/>
                    </w:rPr>
                  </w:pPr>
                  <w:r>
                    <w:rPr>
                      <w:rFonts w:hint="eastAsia"/>
                      <w:sz w:val="18"/>
                      <w:szCs w:val="18"/>
                    </w:rPr>
                    <w:t>4.84x10</w:t>
                  </w:r>
                  <w:r>
                    <w:rPr>
                      <w:rFonts w:hint="eastAsia"/>
                      <w:sz w:val="18"/>
                      <w:szCs w:val="18"/>
                      <w:vertAlign w:val="superscript"/>
                    </w:rPr>
                    <w:t>-4</w:t>
                  </w:r>
                </w:p>
              </w:tc>
              <w:tc>
                <w:tcPr>
                  <w:tcW w:w="731" w:type="pct"/>
                  <w:vAlign w:val="center"/>
                </w:tcPr>
                <w:p w14:paraId="756A0711" w14:textId="77777777" w:rsidR="00F76A63" w:rsidRDefault="00000000">
                  <w:pPr>
                    <w:adjustRightInd w:val="0"/>
                    <w:snapToGrid w:val="0"/>
                    <w:jc w:val="center"/>
                    <w:rPr>
                      <w:sz w:val="18"/>
                      <w:szCs w:val="18"/>
                    </w:rPr>
                  </w:pPr>
                  <w:r>
                    <w:rPr>
                      <w:rFonts w:hint="eastAsia"/>
                      <w:sz w:val="18"/>
                      <w:szCs w:val="18"/>
                    </w:rPr>
                    <w:t>4.59x10</w:t>
                  </w:r>
                  <w:r>
                    <w:rPr>
                      <w:rFonts w:hint="eastAsia"/>
                      <w:sz w:val="18"/>
                      <w:szCs w:val="18"/>
                      <w:vertAlign w:val="superscript"/>
                    </w:rPr>
                    <w:t>-4</w:t>
                  </w:r>
                </w:p>
              </w:tc>
              <w:tc>
                <w:tcPr>
                  <w:tcW w:w="662" w:type="pct"/>
                  <w:vAlign w:val="center"/>
                </w:tcPr>
                <w:p w14:paraId="7F9E0FE2" w14:textId="77777777" w:rsidR="00F76A63" w:rsidRDefault="00000000">
                  <w:pPr>
                    <w:adjustRightInd w:val="0"/>
                    <w:snapToGrid w:val="0"/>
                    <w:jc w:val="center"/>
                    <w:rPr>
                      <w:sz w:val="18"/>
                      <w:szCs w:val="18"/>
                    </w:rPr>
                  </w:pPr>
                  <w:r>
                    <w:rPr>
                      <w:rFonts w:hint="eastAsia"/>
                      <w:sz w:val="18"/>
                      <w:szCs w:val="18"/>
                    </w:rPr>
                    <w:t>4.10x10</w:t>
                  </w:r>
                  <w:r>
                    <w:rPr>
                      <w:rFonts w:hint="eastAsia"/>
                      <w:sz w:val="18"/>
                      <w:szCs w:val="18"/>
                      <w:vertAlign w:val="superscript"/>
                    </w:rPr>
                    <w:t>-4</w:t>
                  </w:r>
                </w:p>
              </w:tc>
              <w:tc>
                <w:tcPr>
                  <w:tcW w:w="922" w:type="pct"/>
                  <w:vAlign w:val="center"/>
                </w:tcPr>
                <w:p w14:paraId="6DD442EA" w14:textId="77777777" w:rsidR="00F76A63" w:rsidRDefault="00000000">
                  <w:pPr>
                    <w:adjustRightInd w:val="0"/>
                    <w:snapToGrid w:val="0"/>
                    <w:jc w:val="center"/>
                    <w:rPr>
                      <w:sz w:val="18"/>
                      <w:szCs w:val="18"/>
                    </w:rPr>
                  </w:pPr>
                  <w:r>
                    <w:rPr>
                      <w:rFonts w:hint="eastAsia"/>
                      <w:sz w:val="18"/>
                      <w:szCs w:val="18"/>
                    </w:rPr>
                    <w:t>4.51</w:t>
                  </w:r>
                  <w:r>
                    <w:rPr>
                      <w:rFonts w:hint="eastAsia"/>
                      <w:sz w:val="18"/>
                      <w:szCs w:val="18"/>
                    </w:rPr>
                    <w:t>×</w:t>
                  </w:r>
                  <w:r>
                    <w:rPr>
                      <w:rFonts w:hint="eastAsia"/>
                      <w:sz w:val="18"/>
                      <w:szCs w:val="18"/>
                    </w:rPr>
                    <w:t>10</w:t>
                  </w:r>
                  <w:r>
                    <w:rPr>
                      <w:rFonts w:hint="eastAsia"/>
                      <w:sz w:val="18"/>
                      <w:szCs w:val="18"/>
                      <w:vertAlign w:val="superscript"/>
                    </w:rPr>
                    <w:t>-4</w:t>
                  </w:r>
                </w:p>
              </w:tc>
              <w:tc>
                <w:tcPr>
                  <w:tcW w:w="661" w:type="pct"/>
                  <w:vAlign w:val="center"/>
                </w:tcPr>
                <w:p w14:paraId="031807EB" w14:textId="77777777" w:rsidR="00F76A63" w:rsidRDefault="00000000">
                  <w:pPr>
                    <w:adjustRightInd w:val="0"/>
                    <w:snapToGrid w:val="0"/>
                    <w:jc w:val="center"/>
                    <w:rPr>
                      <w:sz w:val="18"/>
                      <w:szCs w:val="18"/>
                    </w:rPr>
                  </w:pPr>
                  <w:r>
                    <w:rPr>
                      <w:sz w:val="18"/>
                      <w:szCs w:val="18"/>
                    </w:rPr>
                    <w:t>-</w:t>
                  </w:r>
                </w:p>
              </w:tc>
            </w:tr>
            <w:tr w:rsidR="00F76A63" w14:paraId="69CE0E57" w14:textId="77777777">
              <w:trPr>
                <w:trHeight w:val="340"/>
                <w:jc w:val="center"/>
              </w:trPr>
              <w:tc>
                <w:tcPr>
                  <w:tcW w:w="380" w:type="pct"/>
                  <w:vMerge/>
                  <w:vAlign w:val="center"/>
                </w:tcPr>
                <w:p w14:paraId="7B2EE4F4" w14:textId="77777777" w:rsidR="00F76A63" w:rsidRDefault="00F76A63">
                  <w:pPr>
                    <w:adjustRightInd w:val="0"/>
                    <w:snapToGrid w:val="0"/>
                    <w:jc w:val="center"/>
                    <w:rPr>
                      <w:sz w:val="18"/>
                      <w:szCs w:val="18"/>
                    </w:rPr>
                  </w:pPr>
                </w:p>
              </w:tc>
              <w:tc>
                <w:tcPr>
                  <w:tcW w:w="958" w:type="pct"/>
                  <w:vAlign w:val="center"/>
                </w:tcPr>
                <w:p w14:paraId="51125BA0"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4851F40C" w14:textId="77777777" w:rsidR="00F76A63" w:rsidRDefault="00000000">
                  <w:pPr>
                    <w:adjustRightInd w:val="0"/>
                    <w:snapToGrid w:val="0"/>
                    <w:jc w:val="center"/>
                    <w:rPr>
                      <w:sz w:val="18"/>
                      <w:szCs w:val="18"/>
                    </w:rPr>
                  </w:pPr>
                  <w:r>
                    <w:rPr>
                      <w:rFonts w:hint="eastAsia"/>
                      <w:sz w:val="18"/>
                      <w:szCs w:val="18"/>
                    </w:rPr>
                    <w:t>4.36</w:t>
                  </w:r>
                  <w:r>
                    <w:rPr>
                      <w:rFonts w:hint="eastAsia"/>
                      <w:sz w:val="18"/>
                      <w:szCs w:val="18"/>
                    </w:rPr>
                    <w:t>×</w:t>
                  </w:r>
                  <w:r>
                    <w:rPr>
                      <w:rFonts w:hint="eastAsia"/>
                      <w:sz w:val="18"/>
                      <w:szCs w:val="18"/>
                    </w:rPr>
                    <w:t>10</w:t>
                  </w:r>
                  <w:r>
                    <w:rPr>
                      <w:rFonts w:hint="eastAsia"/>
                      <w:sz w:val="18"/>
                      <w:szCs w:val="18"/>
                      <w:vertAlign w:val="superscript"/>
                    </w:rPr>
                    <w:t>-4</w:t>
                  </w:r>
                </w:p>
              </w:tc>
              <w:tc>
                <w:tcPr>
                  <w:tcW w:w="731" w:type="pct"/>
                  <w:vAlign w:val="center"/>
                </w:tcPr>
                <w:p w14:paraId="0B0C51EB" w14:textId="77777777" w:rsidR="00F76A63" w:rsidRDefault="00000000">
                  <w:pPr>
                    <w:adjustRightInd w:val="0"/>
                    <w:snapToGrid w:val="0"/>
                    <w:jc w:val="center"/>
                    <w:rPr>
                      <w:sz w:val="18"/>
                      <w:szCs w:val="18"/>
                    </w:rPr>
                  </w:pPr>
                  <w:r>
                    <w:rPr>
                      <w:rFonts w:hint="eastAsia"/>
                      <w:sz w:val="18"/>
                      <w:szCs w:val="18"/>
                    </w:rPr>
                    <w:t>4.35x10</w:t>
                  </w:r>
                  <w:r>
                    <w:rPr>
                      <w:rFonts w:hint="eastAsia"/>
                      <w:sz w:val="18"/>
                      <w:szCs w:val="18"/>
                      <w:vertAlign w:val="superscript"/>
                    </w:rPr>
                    <w:t>-4</w:t>
                  </w:r>
                </w:p>
              </w:tc>
              <w:tc>
                <w:tcPr>
                  <w:tcW w:w="662" w:type="pct"/>
                  <w:vAlign w:val="center"/>
                </w:tcPr>
                <w:p w14:paraId="72AF6AE0" w14:textId="77777777" w:rsidR="00F76A63" w:rsidRDefault="00000000">
                  <w:pPr>
                    <w:adjustRightInd w:val="0"/>
                    <w:snapToGrid w:val="0"/>
                    <w:jc w:val="center"/>
                    <w:rPr>
                      <w:sz w:val="18"/>
                      <w:szCs w:val="18"/>
                    </w:rPr>
                  </w:pPr>
                  <w:r>
                    <w:rPr>
                      <w:rFonts w:hint="eastAsia"/>
                      <w:sz w:val="18"/>
                      <w:szCs w:val="18"/>
                    </w:rPr>
                    <w:t>4.14x10</w:t>
                  </w:r>
                  <w:r>
                    <w:rPr>
                      <w:rFonts w:hint="eastAsia"/>
                      <w:sz w:val="18"/>
                      <w:szCs w:val="18"/>
                      <w:vertAlign w:val="superscript"/>
                    </w:rPr>
                    <w:t>-4</w:t>
                  </w:r>
                </w:p>
              </w:tc>
              <w:tc>
                <w:tcPr>
                  <w:tcW w:w="922" w:type="pct"/>
                  <w:vAlign w:val="center"/>
                </w:tcPr>
                <w:p w14:paraId="4EA410A8" w14:textId="77777777" w:rsidR="00F76A63" w:rsidRDefault="00000000">
                  <w:pPr>
                    <w:adjustRightInd w:val="0"/>
                    <w:snapToGrid w:val="0"/>
                    <w:jc w:val="center"/>
                    <w:rPr>
                      <w:sz w:val="18"/>
                      <w:szCs w:val="18"/>
                    </w:rPr>
                  </w:pPr>
                  <w:r>
                    <w:rPr>
                      <w:rFonts w:hint="eastAsia"/>
                      <w:sz w:val="18"/>
                      <w:szCs w:val="18"/>
                    </w:rPr>
                    <w:t>4.28</w:t>
                  </w:r>
                  <w:r>
                    <w:rPr>
                      <w:rFonts w:hint="eastAsia"/>
                      <w:sz w:val="18"/>
                      <w:szCs w:val="18"/>
                    </w:rPr>
                    <w:t>×</w:t>
                  </w:r>
                  <w:r>
                    <w:rPr>
                      <w:rFonts w:hint="eastAsia"/>
                      <w:sz w:val="18"/>
                      <w:szCs w:val="18"/>
                    </w:rPr>
                    <w:t>10</w:t>
                  </w:r>
                  <w:r>
                    <w:rPr>
                      <w:rFonts w:hint="eastAsia"/>
                      <w:sz w:val="18"/>
                      <w:szCs w:val="18"/>
                      <w:vertAlign w:val="superscript"/>
                    </w:rPr>
                    <w:t>-4</w:t>
                  </w:r>
                </w:p>
              </w:tc>
              <w:tc>
                <w:tcPr>
                  <w:tcW w:w="661" w:type="pct"/>
                  <w:vAlign w:val="center"/>
                </w:tcPr>
                <w:p w14:paraId="071FCB7C" w14:textId="77777777" w:rsidR="00F76A63" w:rsidRDefault="00000000">
                  <w:pPr>
                    <w:adjustRightInd w:val="0"/>
                    <w:snapToGrid w:val="0"/>
                    <w:jc w:val="center"/>
                    <w:rPr>
                      <w:sz w:val="18"/>
                      <w:szCs w:val="18"/>
                    </w:rPr>
                  </w:pPr>
                  <w:r>
                    <w:rPr>
                      <w:sz w:val="18"/>
                      <w:szCs w:val="18"/>
                    </w:rPr>
                    <w:t>0.5</w:t>
                  </w:r>
                </w:p>
              </w:tc>
            </w:tr>
            <w:tr w:rsidR="00F76A63" w14:paraId="5635F68A" w14:textId="77777777">
              <w:trPr>
                <w:trHeight w:val="340"/>
                <w:jc w:val="center"/>
              </w:trPr>
              <w:tc>
                <w:tcPr>
                  <w:tcW w:w="380" w:type="pct"/>
                  <w:vMerge/>
                  <w:vAlign w:val="center"/>
                </w:tcPr>
                <w:p w14:paraId="21090596" w14:textId="77777777" w:rsidR="00F76A63" w:rsidRDefault="00F76A63">
                  <w:pPr>
                    <w:adjustRightInd w:val="0"/>
                    <w:snapToGrid w:val="0"/>
                    <w:jc w:val="center"/>
                    <w:rPr>
                      <w:sz w:val="18"/>
                      <w:szCs w:val="18"/>
                    </w:rPr>
                  </w:pPr>
                </w:p>
              </w:tc>
              <w:tc>
                <w:tcPr>
                  <w:tcW w:w="958" w:type="pct"/>
                  <w:vAlign w:val="center"/>
                </w:tcPr>
                <w:p w14:paraId="72280722"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04A693AC" w14:textId="77777777" w:rsidR="00F76A63" w:rsidRDefault="00000000">
                  <w:pPr>
                    <w:adjustRightInd w:val="0"/>
                    <w:snapToGrid w:val="0"/>
                    <w:jc w:val="center"/>
                    <w:rPr>
                      <w:sz w:val="18"/>
                      <w:szCs w:val="18"/>
                    </w:rPr>
                  </w:pPr>
                  <w:r>
                    <w:rPr>
                      <w:rFonts w:hint="eastAsia"/>
                      <w:sz w:val="18"/>
                      <w:szCs w:val="18"/>
                    </w:rPr>
                    <w:t>2.52x10</w:t>
                  </w:r>
                  <w:r>
                    <w:rPr>
                      <w:rFonts w:hint="eastAsia"/>
                      <w:sz w:val="18"/>
                      <w:szCs w:val="18"/>
                      <w:vertAlign w:val="superscript"/>
                    </w:rPr>
                    <w:t>-4</w:t>
                  </w:r>
                </w:p>
              </w:tc>
              <w:tc>
                <w:tcPr>
                  <w:tcW w:w="731" w:type="pct"/>
                  <w:vAlign w:val="center"/>
                </w:tcPr>
                <w:p w14:paraId="057BEBC1" w14:textId="77777777" w:rsidR="00F76A63" w:rsidRDefault="00000000">
                  <w:pPr>
                    <w:adjustRightInd w:val="0"/>
                    <w:snapToGrid w:val="0"/>
                    <w:jc w:val="center"/>
                    <w:rPr>
                      <w:sz w:val="18"/>
                      <w:szCs w:val="18"/>
                    </w:rPr>
                  </w:pPr>
                  <w:r>
                    <w:rPr>
                      <w:rFonts w:hint="eastAsia"/>
                      <w:sz w:val="18"/>
                      <w:szCs w:val="18"/>
                    </w:rPr>
                    <w:t>2.40x10</w:t>
                  </w:r>
                  <w:r>
                    <w:rPr>
                      <w:rFonts w:hint="eastAsia"/>
                      <w:sz w:val="18"/>
                      <w:szCs w:val="18"/>
                      <w:vertAlign w:val="superscript"/>
                    </w:rPr>
                    <w:t>-4</w:t>
                  </w:r>
                </w:p>
              </w:tc>
              <w:tc>
                <w:tcPr>
                  <w:tcW w:w="662" w:type="pct"/>
                  <w:vAlign w:val="center"/>
                </w:tcPr>
                <w:p w14:paraId="7E0FFC6A" w14:textId="77777777" w:rsidR="00F76A63" w:rsidRDefault="00000000">
                  <w:pPr>
                    <w:adjustRightInd w:val="0"/>
                    <w:snapToGrid w:val="0"/>
                    <w:jc w:val="center"/>
                    <w:rPr>
                      <w:sz w:val="18"/>
                      <w:szCs w:val="18"/>
                    </w:rPr>
                  </w:pPr>
                  <w:r>
                    <w:rPr>
                      <w:rFonts w:hint="eastAsia"/>
                      <w:sz w:val="18"/>
                      <w:szCs w:val="18"/>
                    </w:rPr>
                    <w:t>2.12x10</w:t>
                  </w:r>
                  <w:r>
                    <w:rPr>
                      <w:rFonts w:hint="eastAsia"/>
                      <w:sz w:val="18"/>
                      <w:szCs w:val="18"/>
                      <w:vertAlign w:val="superscript"/>
                    </w:rPr>
                    <w:t>-4</w:t>
                  </w:r>
                </w:p>
              </w:tc>
              <w:tc>
                <w:tcPr>
                  <w:tcW w:w="922" w:type="pct"/>
                  <w:vAlign w:val="center"/>
                </w:tcPr>
                <w:p w14:paraId="46535C47" w14:textId="77777777" w:rsidR="00F76A63" w:rsidRDefault="00000000">
                  <w:pPr>
                    <w:adjustRightInd w:val="0"/>
                    <w:snapToGrid w:val="0"/>
                    <w:jc w:val="center"/>
                    <w:rPr>
                      <w:sz w:val="18"/>
                      <w:szCs w:val="18"/>
                    </w:rPr>
                  </w:pPr>
                  <w:r>
                    <w:rPr>
                      <w:rFonts w:hint="eastAsia"/>
                      <w:sz w:val="18"/>
                      <w:szCs w:val="18"/>
                    </w:rPr>
                    <w:t>2.35x10</w:t>
                  </w:r>
                  <w:r>
                    <w:rPr>
                      <w:rFonts w:hint="eastAsia"/>
                      <w:sz w:val="18"/>
                      <w:szCs w:val="18"/>
                      <w:vertAlign w:val="superscript"/>
                    </w:rPr>
                    <w:t>-4</w:t>
                  </w:r>
                </w:p>
              </w:tc>
              <w:tc>
                <w:tcPr>
                  <w:tcW w:w="661" w:type="pct"/>
                  <w:vAlign w:val="center"/>
                </w:tcPr>
                <w:p w14:paraId="0707EDAF" w14:textId="77777777" w:rsidR="00F76A63" w:rsidRDefault="00000000">
                  <w:pPr>
                    <w:adjustRightInd w:val="0"/>
                    <w:snapToGrid w:val="0"/>
                    <w:jc w:val="center"/>
                    <w:rPr>
                      <w:sz w:val="18"/>
                      <w:szCs w:val="18"/>
                    </w:rPr>
                  </w:pPr>
                  <w:r>
                    <w:rPr>
                      <w:sz w:val="18"/>
                      <w:szCs w:val="18"/>
                    </w:rPr>
                    <w:t>-</w:t>
                  </w:r>
                </w:p>
              </w:tc>
            </w:tr>
            <w:tr w:rsidR="00F76A63" w14:paraId="3AD76E83" w14:textId="77777777">
              <w:trPr>
                <w:trHeight w:val="340"/>
                <w:jc w:val="center"/>
              </w:trPr>
              <w:tc>
                <w:tcPr>
                  <w:tcW w:w="380" w:type="pct"/>
                  <w:vMerge w:val="restart"/>
                  <w:vAlign w:val="center"/>
                </w:tcPr>
                <w:p w14:paraId="6F3FED2A" w14:textId="77777777" w:rsidR="00F76A63" w:rsidRDefault="00000000">
                  <w:pPr>
                    <w:adjustRightInd w:val="0"/>
                    <w:snapToGrid w:val="0"/>
                    <w:jc w:val="center"/>
                    <w:rPr>
                      <w:sz w:val="18"/>
                      <w:szCs w:val="18"/>
                    </w:rPr>
                  </w:pPr>
                  <w:r>
                    <w:rPr>
                      <w:sz w:val="18"/>
                      <w:szCs w:val="18"/>
                    </w:rPr>
                    <w:t>氟化氢</w:t>
                  </w:r>
                </w:p>
              </w:tc>
              <w:tc>
                <w:tcPr>
                  <w:tcW w:w="958" w:type="pct"/>
                  <w:vAlign w:val="center"/>
                </w:tcPr>
                <w:p w14:paraId="027A46B8"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27F7A808"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62F614AC"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1583EC32"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108E840"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4DC28790" w14:textId="77777777" w:rsidR="00F76A63" w:rsidRDefault="00000000">
                  <w:pPr>
                    <w:adjustRightInd w:val="0"/>
                    <w:snapToGrid w:val="0"/>
                    <w:jc w:val="center"/>
                    <w:rPr>
                      <w:sz w:val="18"/>
                      <w:szCs w:val="18"/>
                    </w:rPr>
                  </w:pPr>
                  <w:r>
                    <w:rPr>
                      <w:sz w:val="18"/>
                      <w:szCs w:val="18"/>
                    </w:rPr>
                    <w:t>-</w:t>
                  </w:r>
                </w:p>
              </w:tc>
            </w:tr>
            <w:tr w:rsidR="00F76A63" w14:paraId="6E2CBFE5" w14:textId="77777777">
              <w:trPr>
                <w:trHeight w:val="340"/>
                <w:jc w:val="center"/>
              </w:trPr>
              <w:tc>
                <w:tcPr>
                  <w:tcW w:w="380" w:type="pct"/>
                  <w:vMerge/>
                  <w:vAlign w:val="center"/>
                </w:tcPr>
                <w:p w14:paraId="75B77CAA" w14:textId="77777777" w:rsidR="00F76A63" w:rsidRDefault="00F76A63">
                  <w:pPr>
                    <w:adjustRightInd w:val="0"/>
                    <w:snapToGrid w:val="0"/>
                    <w:jc w:val="center"/>
                    <w:rPr>
                      <w:sz w:val="18"/>
                      <w:szCs w:val="18"/>
                    </w:rPr>
                  </w:pPr>
                </w:p>
              </w:tc>
              <w:tc>
                <w:tcPr>
                  <w:tcW w:w="958" w:type="pct"/>
                  <w:vAlign w:val="center"/>
                </w:tcPr>
                <w:p w14:paraId="1B36873D"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15EEDDD8"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07C1612B"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20B95CDB"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22BF3D0"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6B351327" w14:textId="77777777" w:rsidR="00F76A63" w:rsidRDefault="00000000">
                  <w:pPr>
                    <w:adjustRightInd w:val="0"/>
                    <w:snapToGrid w:val="0"/>
                    <w:jc w:val="center"/>
                    <w:rPr>
                      <w:sz w:val="18"/>
                      <w:szCs w:val="18"/>
                    </w:rPr>
                  </w:pPr>
                  <w:r>
                    <w:rPr>
                      <w:sz w:val="18"/>
                      <w:szCs w:val="18"/>
                    </w:rPr>
                    <w:t>1</w:t>
                  </w:r>
                </w:p>
              </w:tc>
            </w:tr>
            <w:tr w:rsidR="00F76A63" w14:paraId="77295C39" w14:textId="77777777">
              <w:trPr>
                <w:trHeight w:val="340"/>
                <w:jc w:val="center"/>
              </w:trPr>
              <w:tc>
                <w:tcPr>
                  <w:tcW w:w="380" w:type="pct"/>
                  <w:vMerge/>
                  <w:vAlign w:val="center"/>
                </w:tcPr>
                <w:p w14:paraId="45CAA75B" w14:textId="77777777" w:rsidR="00F76A63" w:rsidRDefault="00F76A63">
                  <w:pPr>
                    <w:adjustRightInd w:val="0"/>
                    <w:snapToGrid w:val="0"/>
                    <w:jc w:val="center"/>
                    <w:rPr>
                      <w:sz w:val="18"/>
                      <w:szCs w:val="18"/>
                    </w:rPr>
                  </w:pPr>
                </w:p>
              </w:tc>
              <w:tc>
                <w:tcPr>
                  <w:tcW w:w="958" w:type="pct"/>
                  <w:vAlign w:val="center"/>
                </w:tcPr>
                <w:p w14:paraId="0A832EF2"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65ACA811"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2BB8902F"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62802627"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69448028"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03F55E25" w14:textId="77777777" w:rsidR="00F76A63" w:rsidRDefault="00000000">
                  <w:pPr>
                    <w:adjustRightInd w:val="0"/>
                    <w:snapToGrid w:val="0"/>
                    <w:jc w:val="center"/>
                    <w:rPr>
                      <w:sz w:val="18"/>
                      <w:szCs w:val="18"/>
                    </w:rPr>
                  </w:pPr>
                  <w:r>
                    <w:rPr>
                      <w:sz w:val="18"/>
                      <w:szCs w:val="18"/>
                    </w:rPr>
                    <w:t>-</w:t>
                  </w:r>
                </w:p>
              </w:tc>
            </w:tr>
            <w:tr w:rsidR="00F76A63" w14:paraId="42FDE421" w14:textId="77777777">
              <w:trPr>
                <w:trHeight w:val="340"/>
                <w:jc w:val="center"/>
              </w:trPr>
              <w:tc>
                <w:tcPr>
                  <w:tcW w:w="380" w:type="pct"/>
                  <w:vMerge w:val="restart"/>
                  <w:vAlign w:val="center"/>
                </w:tcPr>
                <w:p w14:paraId="08C3EC0C" w14:textId="77777777" w:rsidR="00F76A63" w:rsidRDefault="00000000">
                  <w:pPr>
                    <w:adjustRightInd w:val="0"/>
                    <w:snapToGrid w:val="0"/>
                    <w:jc w:val="center"/>
                    <w:rPr>
                      <w:sz w:val="18"/>
                      <w:szCs w:val="18"/>
                    </w:rPr>
                  </w:pPr>
                  <w:r>
                    <w:rPr>
                      <w:sz w:val="18"/>
                      <w:szCs w:val="18"/>
                    </w:rPr>
                    <w:t>氯化氢</w:t>
                  </w:r>
                </w:p>
              </w:tc>
              <w:tc>
                <w:tcPr>
                  <w:tcW w:w="958" w:type="pct"/>
                  <w:vAlign w:val="center"/>
                </w:tcPr>
                <w:p w14:paraId="5F434D38"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33F63469"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07457C89"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0FC745D3"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6ACE7003"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0CAC246B" w14:textId="77777777" w:rsidR="00F76A63" w:rsidRDefault="00000000">
                  <w:pPr>
                    <w:adjustRightInd w:val="0"/>
                    <w:snapToGrid w:val="0"/>
                    <w:jc w:val="center"/>
                    <w:rPr>
                      <w:sz w:val="18"/>
                      <w:szCs w:val="18"/>
                    </w:rPr>
                  </w:pPr>
                  <w:r>
                    <w:rPr>
                      <w:sz w:val="18"/>
                      <w:szCs w:val="18"/>
                    </w:rPr>
                    <w:t>-</w:t>
                  </w:r>
                </w:p>
              </w:tc>
            </w:tr>
            <w:tr w:rsidR="00F76A63" w14:paraId="0D33DF07" w14:textId="77777777">
              <w:trPr>
                <w:trHeight w:val="340"/>
                <w:jc w:val="center"/>
              </w:trPr>
              <w:tc>
                <w:tcPr>
                  <w:tcW w:w="380" w:type="pct"/>
                  <w:vMerge/>
                  <w:vAlign w:val="center"/>
                </w:tcPr>
                <w:p w14:paraId="212595DD" w14:textId="77777777" w:rsidR="00F76A63" w:rsidRDefault="00F76A63">
                  <w:pPr>
                    <w:adjustRightInd w:val="0"/>
                    <w:snapToGrid w:val="0"/>
                    <w:jc w:val="center"/>
                    <w:rPr>
                      <w:sz w:val="18"/>
                      <w:szCs w:val="18"/>
                    </w:rPr>
                  </w:pPr>
                </w:p>
              </w:tc>
              <w:tc>
                <w:tcPr>
                  <w:tcW w:w="958" w:type="pct"/>
                  <w:vAlign w:val="center"/>
                </w:tcPr>
                <w:p w14:paraId="39F30AE3"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3BF58ADF"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55DD4FC6"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264A32B4"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787D9B8"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01B80F69" w14:textId="77777777" w:rsidR="00F76A63" w:rsidRDefault="00000000">
                  <w:pPr>
                    <w:adjustRightInd w:val="0"/>
                    <w:snapToGrid w:val="0"/>
                    <w:jc w:val="center"/>
                    <w:rPr>
                      <w:sz w:val="18"/>
                      <w:szCs w:val="18"/>
                    </w:rPr>
                  </w:pPr>
                  <w:r>
                    <w:rPr>
                      <w:sz w:val="18"/>
                      <w:szCs w:val="18"/>
                    </w:rPr>
                    <w:t>10</w:t>
                  </w:r>
                </w:p>
              </w:tc>
            </w:tr>
            <w:tr w:rsidR="00F76A63" w14:paraId="30F123FD" w14:textId="77777777">
              <w:trPr>
                <w:trHeight w:val="340"/>
                <w:jc w:val="center"/>
              </w:trPr>
              <w:tc>
                <w:tcPr>
                  <w:tcW w:w="380" w:type="pct"/>
                  <w:vMerge/>
                  <w:vAlign w:val="center"/>
                </w:tcPr>
                <w:p w14:paraId="19FFC5A5" w14:textId="77777777" w:rsidR="00F76A63" w:rsidRDefault="00F76A63">
                  <w:pPr>
                    <w:adjustRightInd w:val="0"/>
                    <w:snapToGrid w:val="0"/>
                    <w:jc w:val="center"/>
                    <w:rPr>
                      <w:sz w:val="18"/>
                      <w:szCs w:val="18"/>
                    </w:rPr>
                  </w:pPr>
                </w:p>
              </w:tc>
              <w:tc>
                <w:tcPr>
                  <w:tcW w:w="958" w:type="pct"/>
                  <w:vAlign w:val="center"/>
                </w:tcPr>
                <w:p w14:paraId="044E1AF6"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436CF34C"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45BE74FA"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369A6C31"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5D3577AE"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673D2CEB" w14:textId="77777777" w:rsidR="00F76A63" w:rsidRDefault="00000000">
                  <w:pPr>
                    <w:adjustRightInd w:val="0"/>
                    <w:snapToGrid w:val="0"/>
                    <w:jc w:val="center"/>
                    <w:rPr>
                      <w:sz w:val="18"/>
                      <w:szCs w:val="18"/>
                    </w:rPr>
                  </w:pPr>
                  <w:r>
                    <w:rPr>
                      <w:sz w:val="18"/>
                      <w:szCs w:val="18"/>
                    </w:rPr>
                    <w:t>-</w:t>
                  </w:r>
                </w:p>
              </w:tc>
            </w:tr>
            <w:tr w:rsidR="00F76A63" w14:paraId="2C2CD621" w14:textId="77777777">
              <w:trPr>
                <w:trHeight w:val="340"/>
                <w:jc w:val="center"/>
              </w:trPr>
              <w:tc>
                <w:tcPr>
                  <w:tcW w:w="380" w:type="pct"/>
                  <w:vMerge w:val="restart"/>
                  <w:vAlign w:val="center"/>
                </w:tcPr>
                <w:p w14:paraId="2DFE7AFA" w14:textId="77777777" w:rsidR="00F76A63" w:rsidRDefault="00000000">
                  <w:pPr>
                    <w:adjustRightInd w:val="0"/>
                    <w:snapToGrid w:val="0"/>
                    <w:jc w:val="center"/>
                    <w:rPr>
                      <w:sz w:val="18"/>
                      <w:szCs w:val="18"/>
                    </w:rPr>
                  </w:pPr>
                  <w:r>
                    <w:rPr>
                      <w:sz w:val="18"/>
                      <w:szCs w:val="18"/>
                    </w:rPr>
                    <w:t>铊</w:t>
                  </w:r>
                </w:p>
              </w:tc>
              <w:tc>
                <w:tcPr>
                  <w:tcW w:w="958" w:type="pct"/>
                  <w:vAlign w:val="center"/>
                </w:tcPr>
                <w:p w14:paraId="16C08909"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7355EB4B"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423091F5"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5C5C4BA1"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5BCE4158"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12ADAF5A" w14:textId="77777777" w:rsidR="00F76A63" w:rsidRDefault="00000000">
                  <w:pPr>
                    <w:adjustRightInd w:val="0"/>
                    <w:snapToGrid w:val="0"/>
                    <w:jc w:val="center"/>
                    <w:rPr>
                      <w:sz w:val="18"/>
                      <w:szCs w:val="18"/>
                    </w:rPr>
                  </w:pPr>
                  <w:r>
                    <w:rPr>
                      <w:sz w:val="18"/>
                      <w:szCs w:val="18"/>
                    </w:rPr>
                    <w:t>-</w:t>
                  </w:r>
                </w:p>
              </w:tc>
            </w:tr>
            <w:tr w:rsidR="00F76A63" w14:paraId="3CF9D4F3" w14:textId="77777777">
              <w:trPr>
                <w:trHeight w:val="340"/>
                <w:jc w:val="center"/>
              </w:trPr>
              <w:tc>
                <w:tcPr>
                  <w:tcW w:w="380" w:type="pct"/>
                  <w:vMerge/>
                  <w:vAlign w:val="center"/>
                </w:tcPr>
                <w:p w14:paraId="4F1F7FF0" w14:textId="77777777" w:rsidR="00F76A63" w:rsidRDefault="00F76A63">
                  <w:pPr>
                    <w:adjustRightInd w:val="0"/>
                    <w:snapToGrid w:val="0"/>
                    <w:jc w:val="center"/>
                    <w:rPr>
                      <w:sz w:val="18"/>
                      <w:szCs w:val="18"/>
                    </w:rPr>
                  </w:pPr>
                </w:p>
              </w:tc>
              <w:tc>
                <w:tcPr>
                  <w:tcW w:w="958" w:type="pct"/>
                  <w:vAlign w:val="center"/>
                </w:tcPr>
                <w:p w14:paraId="067BECC3"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5B36AEC2"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5BDB31F9"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03191413"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7423BE9E"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1A54A991" w14:textId="77777777" w:rsidR="00F76A63" w:rsidRDefault="00000000">
                  <w:pPr>
                    <w:adjustRightInd w:val="0"/>
                    <w:snapToGrid w:val="0"/>
                    <w:jc w:val="center"/>
                    <w:rPr>
                      <w:sz w:val="18"/>
                      <w:szCs w:val="18"/>
                    </w:rPr>
                  </w:pPr>
                  <w:r>
                    <w:rPr>
                      <w:sz w:val="18"/>
                      <w:szCs w:val="18"/>
                    </w:rPr>
                    <w:t>1.0</w:t>
                  </w:r>
                </w:p>
              </w:tc>
            </w:tr>
            <w:tr w:rsidR="00F76A63" w14:paraId="7B98E30B" w14:textId="77777777">
              <w:trPr>
                <w:trHeight w:val="340"/>
                <w:jc w:val="center"/>
              </w:trPr>
              <w:tc>
                <w:tcPr>
                  <w:tcW w:w="380" w:type="pct"/>
                  <w:vMerge/>
                  <w:vAlign w:val="center"/>
                </w:tcPr>
                <w:p w14:paraId="576B4DBC" w14:textId="77777777" w:rsidR="00F76A63" w:rsidRDefault="00F76A63">
                  <w:pPr>
                    <w:adjustRightInd w:val="0"/>
                    <w:snapToGrid w:val="0"/>
                    <w:jc w:val="center"/>
                    <w:rPr>
                      <w:sz w:val="18"/>
                      <w:szCs w:val="18"/>
                    </w:rPr>
                  </w:pPr>
                </w:p>
              </w:tc>
              <w:tc>
                <w:tcPr>
                  <w:tcW w:w="958" w:type="pct"/>
                  <w:vAlign w:val="center"/>
                </w:tcPr>
                <w:p w14:paraId="4A920EDF"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6051583A"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2BB29365"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7CCD59DC"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6CFD5AC2"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4E8FBED5" w14:textId="77777777" w:rsidR="00F76A63" w:rsidRDefault="00000000">
                  <w:pPr>
                    <w:adjustRightInd w:val="0"/>
                    <w:snapToGrid w:val="0"/>
                    <w:jc w:val="center"/>
                    <w:rPr>
                      <w:sz w:val="18"/>
                      <w:szCs w:val="18"/>
                    </w:rPr>
                  </w:pPr>
                  <w:r>
                    <w:rPr>
                      <w:sz w:val="18"/>
                      <w:szCs w:val="18"/>
                    </w:rPr>
                    <w:t>-</w:t>
                  </w:r>
                </w:p>
              </w:tc>
            </w:tr>
            <w:tr w:rsidR="00F76A63" w14:paraId="482F12A4" w14:textId="77777777">
              <w:trPr>
                <w:trHeight w:val="340"/>
                <w:jc w:val="center"/>
              </w:trPr>
              <w:tc>
                <w:tcPr>
                  <w:tcW w:w="380" w:type="pct"/>
                  <w:vMerge w:val="restart"/>
                  <w:vAlign w:val="center"/>
                </w:tcPr>
                <w:p w14:paraId="334B0BE4" w14:textId="77777777" w:rsidR="00F76A63" w:rsidRDefault="00000000">
                  <w:pPr>
                    <w:adjustRightInd w:val="0"/>
                    <w:snapToGrid w:val="0"/>
                    <w:jc w:val="center"/>
                    <w:rPr>
                      <w:sz w:val="18"/>
                      <w:szCs w:val="18"/>
                    </w:rPr>
                  </w:pPr>
                  <w:r>
                    <w:rPr>
                      <w:sz w:val="18"/>
                      <w:szCs w:val="18"/>
                    </w:rPr>
                    <w:t>锑</w:t>
                  </w:r>
                </w:p>
              </w:tc>
              <w:tc>
                <w:tcPr>
                  <w:tcW w:w="958" w:type="pct"/>
                  <w:vAlign w:val="center"/>
                </w:tcPr>
                <w:p w14:paraId="6113FD12"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56E0942C"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00A146C3"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46245419"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7ABB11D4"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75A7FA02" w14:textId="77777777" w:rsidR="00F76A63" w:rsidRDefault="00000000">
                  <w:pPr>
                    <w:adjustRightInd w:val="0"/>
                    <w:snapToGrid w:val="0"/>
                    <w:jc w:val="center"/>
                    <w:rPr>
                      <w:sz w:val="18"/>
                      <w:szCs w:val="18"/>
                    </w:rPr>
                  </w:pPr>
                  <w:r>
                    <w:rPr>
                      <w:sz w:val="18"/>
                      <w:szCs w:val="18"/>
                    </w:rPr>
                    <w:t>-</w:t>
                  </w:r>
                </w:p>
              </w:tc>
            </w:tr>
            <w:tr w:rsidR="00F76A63" w14:paraId="4656E813" w14:textId="77777777">
              <w:trPr>
                <w:trHeight w:val="340"/>
                <w:jc w:val="center"/>
              </w:trPr>
              <w:tc>
                <w:tcPr>
                  <w:tcW w:w="380" w:type="pct"/>
                  <w:vMerge/>
                  <w:vAlign w:val="center"/>
                </w:tcPr>
                <w:p w14:paraId="50EAF76B" w14:textId="77777777" w:rsidR="00F76A63" w:rsidRDefault="00F76A63">
                  <w:pPr>
                    <w:adjustRightInd w:val="0"/>
                    <w:snapToGrid w:val="0"/>
                    <w:jc w:val="center"/>
                    <w:rPr>
                      <w:sz w:val="18"/>
                      <w:szCs w:val="18"/>
                    </w:rPr>
                  </w:pPr>
                </w:p>
              </w:tc>
              <w:tc>
                <w:tcPr>
                  <w:tcW w:w="958" w:type="pct"/>
                  <w:vAlign w:val="center"/>
                </w:tcPr>
                <w:p w14:paraId="6122958B"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06CFCEE4"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6D40A8B0"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4945A0D"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2A4F9724"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4A660191" w14:textId="77777777" w:rsidR="00F76A63" w:rsidRDefault="00000000">
                  <w:pPr>
                    <w:adjustRightInd w:val="0"/>
                    <w:snapToGrid w:val="0"/>
                    <w:jc w:val="center"/>
                    <w:rPr>
                      <w:sz w:val="18"/>
                      <w:szCs w:val="18"/>
                    </w:rPr>
                  </w:pPr>
                  <w:r>
                    <w:rPr>
                      <w:sz w:val="18"/>
                      <w:szCs w:val="18"/>
                    </w:rPr>
                    <w:t>0.5</w:t>
                  </w:r>
                </w:p>
              </w:tc>
            </w:tr>
            <w:tr w:rsidR="00F76A63" w14:paraId="7BAAEDE9" w14:textId="77777777">
              <w:trPr>
                <w:trHeight w:val="340"/>
                <w:jc w:val="center"/>
              </w:trPr>
              <w:tc>
                <w:tcPr>
                  <w:tcW w:w="380" w:type="pct"/>
                  <w:vMerge/>
                  <w:vAlign w:val="center"/>
                </w:tcPr>
                <w:p w14:paraId="0F11F6EC" w14:textId="77777777" w:rsidR="00F76A63" w:rsidRDefault="00F76A63">
                  <w:pPr>
                    <w:adjustRightInd w:val="0"/>
                    <w:snapToGrid w:val="0"/>
                    <w:jc w:val="center"/>
                    <w:rPr>
                      <w:sz w:val="18"/>
                      <w:szCs w:val="18"/>
                    </w:rPr>
                  </w:pPr>
                </w:p>
              </w:tc>
              <w:tc>
                <w:tcPr>
                  <w:tcW w:w="958" w:type="pct"/>
                  <w:vAlign w:val="center"/>
                </w:tcPr>
                <w:p w14:paraId="3F3A834B"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42CB99A1"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17D196F9"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5E998DFF"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43E94AAD"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67E29CEC" w14:textId="77777777" w:rsidR="00F76A63" w:rsidRDefault="00000000">
                  <w:pPr>
                    <w:adjustRightInd w:val="0"/>
                    <w:snapToGrid w:val="0"/>
                    <w:jc w:val="center"/>
                    <w:rPr>
                      <w:sz w:val="18"/>
                      <w:szCs w:val="18"/>
                    </w:rPr>
                  </w:pPr>
                  <w:r>
                    <w:rPr>
                      <w:sz w:val="18"/>
                      <w:szCs w:val="18"/>
                    </w:rPr>
                    <w:t>-</w:t>
                  </w:r>
                </w:p>
              </w:tc>
            </w:tr>
            <w:tr w:rsidR="00F76A63" w14:paraId="63498611" w14:textId="77777777">
              <w:trPr>
                <w:trHeight w:val="340"/>
                <w:jc w:val="center"/>
              </w:trPr>
              <w:tc>
                <w:tcPr>
                  <w:tcW w:w="380" w:type="pct"/>
                  <w:vMerge w:val="restart"/>
                  <w:vAlign w:val="center"/>
                </w:tcPr>
                <w:p w14:paraId="6775FE3A" w14:textId="77777777" w:rsidR="00F76A63" w:rsidRDefault="00000000">
                  <w:pPr>
                    <w:adjustRightInd w:val="0"/>
                    <w:snapToGrid w:val="0"/>
                    <w:jc w:val="center"/>
                    <w:rPr>
                      <w:sz w:val="18"/>
                      <w:szCs w:val="18"/>
                    </w:rPr>
                  </w:pPr>
                  <w:r>
                    <w:rPr>
                      <w:sz w:val="18"/>
                      <w:szCs w:val="18"/>
                    </w:rPr>
                    <w:t>汞</w:t>
                  </w:r>
                </w:p>
              </w:tc>
              <w:tc>
                <w:tcPr>
                  <w:tcW w:w="958" w:type="pct"/>
                  <w:vAlign w:val="center"/>
                </w:tcPr>
                <w:p w14:paraId="34A6D734"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7F9AC173"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6EFC57A1"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1BAA942"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50FC26DC"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746BB69C" w14:textId="77777777" w:rsidR="00F76A63" w:rsidRDefault="00000000">
                  <w:pPr>
                    <w:adjustRightInd w:val="0"/>
                    <w:snapToGrid w:val="0"/>
                    <w:jc w:val="center"/>
                    <w:rPr>
                      <w:sz w:val="18"/>
                      <w:szCs w:val="18"/>
                    </w:rPr>
                  </w:pPr>
                  <w:r>
                    <w:rPr>
                      <w:sz w:val="18"/>
                      <w:szCs w:val="18"/>
                    </w:rPr>
                    <w:t>-</w:t>
                  </w:r>
                </w:p>
              </w:tc>
            </w:tr>
            <w:tr w:rsidR="00F76A63" w14:paraId="16039063" w14:textId="77777777">
              <w:trPr>
                <w:trHeight w:val="340"/>
                <w:jc w:val="center"/>
              </w:trPr>
              <w:tc>
                <w:tcPr>
                  <w:tcW w:w="380" w:type="pct"/>
                  <w:vMerge/>
                  <w:vAlign w:val="center"/>
                </w:tcPr>
                <w:p w14:paraId="16A91CB6" w14:textId="77777777" w:rsidR="00F76A63" w:rsidRDefault="00F76A63">
                  <w:pPr>
                    <w:adjustRightInd w:val="0"/>
                    <w:snapToGrid w:val="0"/>
                    <w:jc w:val="center"/>
                    <w:rPr>
                      <w:sz w:val="18"/>
                      <w:szCs w:val="18"/>
                    </w:rPr>
                  </w:pPr>
                </w:p>
              </w:tc>
              <w:tc>
                <w:tcPr>
                  <w:tcW w:w="958" w:type="pct"/>
                  <w:vAlign w:val="center"/>
                </w:tcPr>
                <w:p w14:paraId="70BF201F"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6F403354"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0CFE1747"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0ACFB8B7"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5DEE079D"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0FA708A6" w14:textId="77777777" w:rsidR="00F76A63" w:rsidRDefault="00000000">
                  <w:pPr>
                    <w:adjustRightInd w:val="0"/>
                    <w:snapToGrid w:val="0"/>
                    <w:jc w:val="center"/>
                    <w:rPr>
                      <w:sz w:val="18"/>
                      <w:szCs w:val="18"/>
                    </w:rPr>
                  </w:pPr>
                  <w:r>
                    <w:rPr>
                      <w:sz w:val="18"/>
                      <w:szCs w:val="18"/>
                    </w:rPr>
                    <w:t>0.03</w:t>
                  </w:r>
                </w:p>
              </w:tc>
            </w:tr>
            <w:tr w:rsidR="00F76A63" w14:paraId="299D97C2" w14:textId="77777777">
              <w:trPr>
                <w:trHeight w:val="340"/>
                <w:jc w:val="center"/>
              </w:trPr>
              <w:tc>
                <w:tcPr>
                  <w:tcW w:w="380" w:type="pct"/>
                  <w:vMerge/>
                  <w:vAlign w:val="center"/>
                </w:tcPr>
                <w:p w14:paraId="21C6F5C4" w14:textId="77777777" w:rsidR="00F76A63" w:rsidRDefault="00F76A63">
                  <w:pPr>
                    <w:adjustRightInd w:val="0"/>
                    <w:snapToGrid w:val="0"/>
                    <w:jc w:val="center"/>
                    <w:rPr>
                      <w:sz w:val="18"/>
                      <w:szCs w:val="18"/>
                    </w:rPr>
                  </w:pPr>
                </w:p>
              </w:tc>
              <w:tc>
                <w:tcPr>
                  <w:tcW w:w="958" w:type="pct"/>
                  <w:vAlign w:val="center"/>
                </w:tcPr>
                <w:p w14:paraId="68CF24D6"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6DC50E44"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3BC12F74"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7D464C94"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0CF4C8FF"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25CFA299" w14:textId="77777777" w:rsidR="00F76A63" w:rsidRDefault="00000000">
                  <w:pPr>
                    <w:adjustRightInd w:val="0"/>
                    <w:snapToGrid w:val="0"/>
                    <w:jc w:val="center"/>
                    <w:rPr>
                      <w:sz w:val="18"/>
                      <w:szCs w:val="18"/>
                    </w:rPr>
                  </w:pPr>
                  <w:r>
                    <w:rPr>
                      <w:sz w:val="18"/>
                      <w:szCs w:val="18"/>
                    </w:rPr>
                    <w:t>-</w:t>
                  </w:r>
                </w:p>
              </w:tc>
            </w:tr>
            <w:tr w:rsidR="00F76A63" w14:paraId="061C9D6E" w14:textId="77777777">
              <w:trPr>
                <w:trHeight w:val="340"/>
                <w:jc w:val="center"/>
              </w:trPr>
              <w:tc>
                <w:tcPr>
                  <w:tcW w:w="380" w:type="pct"/>
                  <w:vMerge w:val="restart"/>
                  <w:vAlign w:val="center"/>
                </w:tcPr>
                <w:p w14:paraId="1DD3AE97" w14:textId="77777777" w:rsidR="00F76A63" w:rsidRDefault="00000000">
                  <w:pPr>
                    <w:adjustRightInd w:val="0"/>
                    <w:snapToGrid w:val="0"/>
                    <w:jc w:val="center"/>
                    <w:rPr>
                      <w:sz w:val="18"/>
                      <w:szCs w:val="18"/>
                    </w:rPr>
                  </w:pPr>
                  <w:r>
                    <w:rPr>
                      <w:sz w:val="18"/>
                      <w:szCs w:val="18"/>
                    </w:rPr>
                    <w:t>铬</w:t>
                  </w:r>
                </w:p>
              </w:tc>
              <w:tc>
                <w:tcPr>
                  <w:tcW w:w="958" w:type="pct"/>
                  <w:vAlign w:val="center"/>
                </w:tcPr>
                <w:p w14:paraId="5CDDAAC6"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3EED588E" w14:textId="77777777" w:rsidR="00F76A63" w:rsidRDefault="00000000">
                  <w:pPr>
                    <w:adjustRightInd w:val="0"/>
                    <w:snapToGrid w:val="0"/>
                    <w:jc w:val="center"/>
                    <w:rPr>
                      <w:sz w:val="18"/>
                      <w:szCs w:val="18"/>
                    </w:rPr>
                  </w:pPr>
                  <w:r>
                    <w:rPr>
                      <w:rFonts w:hint="eastAsia"/>
                      <w:sz w:val="18"/>
                      <w:szCs w:val="18"/>
                    </w:rPr>
                    <w:t>7.96x10</w:t>
                  </w:r>
                  <w:r>
                    <w:rPr>
                      <w:rFonts w:hint="eastAsia"/>
                      <w:sz w:val="18"/>
                      <w:szCs w:val="18"/>
                      <w:vertAlign w:val="superscript"/>
                    </w:rPr>
                    <w:t>-4</w:t>
                  </w:r>
                </w:p>
              </w:tc>
              <w:tc>
                <w:tcPr>
                  <w:tcW w:w="731" w:type="pct"/>
                  <w:vAlign w:val="center"/>
                </w:tcPr>
                <w:p w14:paraId="326B0545" w14:textId="77777777" w:rsidR="00F76A63" w:rsidRDefault="00000000">
                  <w:pPr>
                    <w:adjustRightInd w:val="0"/>
                    <w:snapToGrid w:val="0"/>
                    <w:jc w:val="center"/>
                    <w:rPr>
                      <w:sz w:val="18"/>
                      <w:szCs w:val="18"/>
                    </w:rPr>
                  </w:pPr>
                  <w:r>
                    <w:rPr>
                      <w:rFonts w:hint="eastAsia"/>
                      <w:sz w:val="18"/>
                      <w:szCs w:val="18"/>
                    </w:rPr>
                    <w:t>0.00117</w:t>
                  </w:r>
                </w:p>
              </w:tc>
              <w:tc>
                <w:tcPr>
                  <w:tcW w:w="662" w:type="pct"/>
                  <w:vAlign w:val="center"/>
                </w:tcPr>
                <w:p w14:paraId="4EB5FF0F" w14:textId="77777777" w:rsidR="00F76A63" w:rsidRDefault="00000000">
                  <w:pPr>
                    <w:adjustRightInd w:val="0"/>
                    <w:snapToGrid w:val="0"/>
                    <w:jc w:val="center"/>
                    <w:rPr>
                      <w:sz w:val="18"/>
                      <w:szCs w:val="18"/>
                    </w:rPr>
                  </w:pPr>
                  <w:r>
                    <w:rPr>
                      <w:rFonts w:hint="eastAsia"/>
                      <w:sz w:val="18"/>
                      <w:szCs w:val="18"/>
                    </w:rPr>
                    <w:t>7.45x10</w:t>
                  </w:r>
                  <w:r>
                    <w:rPr>
                      <w:rFonts w:hint="eastAsia"/>
                      <w:sz w:val="18"/>
                      <w:szCs w:val="18"/>
                      <w:vertAlign w:val="superscript"/>
                    </w:rPr>
                    <w:t>-4</w:t>
                  </w:r>
                </w:p>
              </w:tc>
              <w:tc>
                <w:tcPr>
                  <w:tcW w:w="922" w:type="pct"/>
                  <w:vAlign w:val="center"/>
                </w:tcPr>
                <w:p w14:paraId="3706B7DE" w14:textId="77777777" w:rsidR="00F76A63" w:rsidRDefault="00000000">
                  <w:pPr>
                    <w:adjustRightInd w:val="0"/>
                    <w:snapToGrid w:val="0"/>
                    <w:jc w:val="center"/>
                    <w:rPr>
                      <w:sz w:val="18"/>
                      <w:szCs w:val="18"/>
                    </w:rPr>
                  </w:pPr>
                  <w:r>
                    <w:rPr>
                      <w:rFonts w:hint="eastAsia"/>
                      <w:sz w:val="18"/>
                      <w:szCs w:val="18"/>
                    </w:rPr>
                    <w:t>9.04x10</w:t>
                  </w:r>
                  <w:r>
                    <w:rPr>
                      <w:rFonts w:hint="eastAsia"/>
                      <w:sz w:val="18"/>
                      <w:szCs w:val="18"/>
                      <w:vertAlign w:val="superscript"/>
                    </w:rPr>
                    <w:t>-4</w:t>
                  </w:r>
                </w:p>
              </w:tc>
              <w:tc>
                <w:tcPr>
                  <w:tcW w:w="661" w:type="pct"/>
                  <w:vAlign w:val="center"/>
                </w:tcPr>
                <w:p w14:paraId="17C89C30" w14:textId="77777777" w:rsidR="00F76A63" w:rsidRDefault="00000000">
                  <w:pPr>
                    <w:adjustRightInd w:val="0"/>
                    <w:snapToGrid w:val="0"/>
                    <w:jc w:val="center"/>
                    <w:rPr>
                      <w:sz w:val="18"/>
                      <w:szCs w:val="18"/>
                    </w:rPr>
                  </w:pPr>
                  <w:r>
                    <w:rPr>
                      <w:sz w:val="18"/>
                      <w:szCs w:val="18"/>
                    </w:rPr>
                    <w:t>-</w:t>
                  </w:r>
                </w:p>
              </w:tc>
            </w:tr>
            <w:tr w:rsidR="00F76A63" w14:paraId="6A81A9B7" w14:textId="77777777">
              <w:trPr>
                <w:trHeight w:val="340"/>
                <w:jc w:val="center"/>
              </w:trPr>
              <w:tc>
                <w:tcPr>
                  <w:tcW w:w="380" w:type="pct"/>
                  <w:vMerge/>
                  <w:vAlign w:val="center"/>
                </w:tcPr>
                <w:p w14:paraId="12D03D16" w14:textId="77777777" w:rsidR="00F76A63" w:rsidRDefault="00F76A63">
                  <w:pPr>
                    <w:adjustRightInd w:val="0"/>
                    <w:snapToGrid w:val="0"/>
                    <w:jc w:val="center"/>
                    <w:rPr>
                      <w:sz w:val="18"/>
                      <w:szCs w:val="18"/>
                    </w:rPr>
                  </w:pPr>
                </w:p>
              </w:tc>
              <w:tc>
                <w:tcPr>
                  <w:tcW w:w="958" w:type="pct"/>
                  <w:vAlign w:val="center"/>
                </w:tcPr>
                <w:p w14:paraId="59C42A57"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55993208" w14:textId="77777777" w:rsidR="00F76A63" w:rsidRDefault="00000000">
                  <w:pPr>
                    <w:adjustRightInd w:val="0"/>
                    <w:snapToGrid w:val="0"/>
                    <w:jc w:val="center"/>
                    <w:rPr>
                      <w:sz w:val="18"/>
                      <w:szCs w:val="18"/>
                    </w:rPr>
                  </w:pPr>
                  <w:r>
                    <w:rPr>
                      <w:rFonts w:hint="eastAsia"/>
                      <w:sz w:val="18"/>
                      <w:szCs w:val="18"/>
                    </w:rPr>
                    <w:t>7.18x10</w:t>
                  </w:r>
                  <w:r>
                    <w:rPr>
                      <w:rFonts w:hint="eastAsia"/>
                      <w:sz w:val="18"/>
                      <w:szCs w:val="18"/>
                      <w:vertAlign w:val="superscript"/>
                    </w:rPr>
                    <w:t>-4</w:t>
                  </w:r>
                </w:p>
              </w:tc>
              <w:tc>
                <w:tcPr>
                  <w:tcW w:w="731" w:type="pct"/>
                  <w:vAlign w:val="center"/>
                </w:tcPr>
                <w:p w14:paraId="7121425B" w14:textId="77777777" w:rsidR="00F76A63" w:rsidRDefault="00000000">
                  <w:pPr>
                    <w:adjustRightInd w:val="0"/>
                    <w:snapToGrid w:val="0"/>
                    <w:jc w:val="center"/>
                    <w:rPr>
                      <w:sz w:val="18"/>
                      <w:szCs w:val="18"/>
                    </w:rPr>
                  </w:pPr>
                  <w:r>
                    <w:rPr>
                      <w:rFonts w:hint="eastAsia"/>
                      <w:sz w:val="18"/>
                      <w:szCs w:val="18"/>
                    </w:rPr>
                    <w:t>0.00111</w:t>
                  </w:r>
                </w:p>
              </w:tc>
              <w:tc>
                <w:tcPr>
                  <w:tcW w:w="662" w:type="pct"/>
                  <w:vAlign w:val="center"/>
                </w:tcPr>
                <w:p w14:paraId="23FB9B04" w14:textId="77777777" w:rsidR="00F76A63" w:rsidRDefault="00000000">
                  <w:pPr>
                    <w:adjustRightInd w:val="0"/>
                    <w:snapToGrid w:val="0"/>
                    <w:jc w:val="center"/>
                    <w:rPr>
                      <w:sz w:val="18"/>
                      <w:szCs w:val="18"/>
                    </w:rPr>
                  </w:pPr>
                  <w:r>
                    <w:rPr>
                      <w:rFonts w:hint="eastAsia"/>
                      <w:sz w:val="18"/>
                      <w:szCs w:val="18"/>
                    </w:rPr>
                    <w:t>7.52x10</w:t>
                  </w:r>
                  <w:r>
                    <w:rPr>
                      <w:rFonts w:hint="eastAsia"/>
                      <w:sz w:val="18"/>
                      <w:szCs w:val="18"/>
                      <w:vertAlign w:val="superscript"/>
                    </w:rPr>
                    <w:t>-4</w:t>
                  </w:r>
                </w:p>
              </w:tc>
              <w:tc>
                <w:tcPr>
                  <w:tcW w:w="922" w:type="pct"/>
                  <w:vAlign w:val="center"/>
                </w:tcPr>
                <w:p w14:paraId="0676A8F8" w14:textId="77777777" w:rsidR="00F76A63" w:rsidRDefault="00000000">
                  <w:pPr>
                    <w:adjustRightInd w:val="0"/>
                    <w:snapToGrid w:val="0"/>
                    <w:jc w:val="center"/>
                    <w:rPr>
                      <w:sz w:val="18"/>
                      <w:szCs w:val="18"/>
                    </w:rPr>
                  </w:pPr>
                  <w:r>
                    <w:rPr>
                      <w:rFonts w:hint="eastAsia"/>
                      <w:sz w:val="18"/>
                      <w:szCs w:val="18"/>
                    </w:rPr>
                    <w:t>8.60x10</w:t>
                  </w:r>
                  <w:r>
                    <w:rPr>
                      <w:rFonts w:hint="eastAsia"/>
                      <w:sz w:val="18"/>
                      <w:szCs w:val="18"/>
                      <w:vertAlign w:val="superscript"/>
                    </w:rPr>
                    <w:t>-4</w:t>
                  </w:r>
                </w:p>
              </w:tc>
              <w:tc>
                <w:tcPr>
                  <w:tcW w:w="661" w:type="pct"/>
                  <w:vAlign w:val="center"/>
                </w:tcPr>
                <w:p w14:paraId="113CF4A2" w14:textId="77777777" w:rsidR="00F76A63" w:rsidRDefault="00000000">
                  <w:pPr>
                    <w:adjustRightInd w:val="0"/>
                    <w:snapToGrid w:val="0"/>
                    <w:jc w:val="center"/>
                    <w:rPr>
                      <w:sz w:val="18"/>
                      <w:szCs w:val="18"/>
                    </w:rPr>
                  </w:pPr>
                  <w:r>
                    <w:rPr>
                      <w:sz w:val="18"/>
                      <w:szCs w:val="18"/>
                    </w:rPr>
                    <w:t>0.5</w:t>
                  </w:r>
                </w:p>
              </w:tc>
            </w:tr>
            <w:tr w:rsidR="00F76A63" w14:paraId="520F7C4E" w14:textId="77777777">
              <w:trPr>
                <w:trHeight w:val="340"/>
                <w:jc w:val="center"/>
              </w:trPr>
              <w:tc>
                <w:tcPr>
                  <w:tcW w:w="380" w:type="pct"/>
                  <w:vMerge/>
                  <w:vAlign w:val="center"/>
                </w:tcPr>
                <w:p w14:paraId="0B58BA89" w14:textId="77777777" w:rsidR="00F76A63" w:rsidRDefault="00F76A63">
                  <w:pPr>
                    <w:adjustRightInd w:val="0"/>
                    <w:snapToGrid w:val="0"/>
                    <w:jc w:val="center"/>
                    <w:rPr>
                      <w:sz w:val="18"/>
                      <w:szCs w:val="18"/>
                    </w:rPr>
                  </w:pPr>
                </w:p>
              </w:tc>
              <w:tc>
                <w:tcPr>
                  <w:tcW w:w="958" w:type="pct"/>
                  <w:vAlign w:val="center"/>
                </w:tcPr>
                <w:p w14:paraId="65F8C035"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12F29210" w14:textId="77777777" w:rsidR="00F76A63" w:rsidRDefault="00000000">
                  <w:pPr>
                    <w:adjustRightInd w:val="0"/>
                    <w:snapToGrid w:val="0"/>
                    <w:jc w:val="center"/>
                    <w:rPr>
                      <w:sz w:val="18"/>
                      <w:szCs w:val="18"/>
                    </w:rPr>
                  </w:pPr>
                  <w:r>
                    <w:rPr>
                      <w:rFonts w:hint="eastAsia"/>
                      <w:sz w:val="18"/>
                      <w:szCs w:val="18"/>
                    </w:rPr>
                    <w:t>4.15x10</w:t>
                  </w:r>
                  <w:r>
                    <w:rPr>
                      <w:rFonts w:hint="eastAsia"/>
                      <w:sz w:val="18"/>
                      <w:szCs w:val="18"/>
                      <w:vertAlign w:val="superscript"/>
                    </w:rPr>
                    <w:t>-4</w:t>
                  </w:r>
                </w:p>
              </w:tc>
              <w:tc>
                <w:tcPr>
                  <w:tcW w:w="731" w:type="pct"/>
                  <w:vAlign w:val="center"/>
                </w:tcPr>
                <w:p w14:paraId="7EDA3D5C" w14:textId="77777777" w:rsidR="00F76A63" w:rsidRDefault="00000000">
                  <w:pPr>
                    <w:adjustRightInd w:val="0"/>
                    <w:snapToGrid w:val="0"/>
                    <w:jc w:val="center"/>
                    <w:rPr>
                      <w:sz w:val="18"/>
                      <w:szCs w:val="18"/>
                    </w:rPr>
                  </w:pPr>
                  <w:r>
                    <w:rPr>
                      <w:rFonts w:hint="eastAsia"/>
                      <w:sz w:val="18"/>
                      <w:szCs w:val="18"/>
                    </w:rPr>
                    <w:t>6.11</w:t>
                  </w:r>
                  <w:r>
                    <w:rPr>
                      <w:rFonts w:hint="eastAsia"/>
                      <w:sz w:val="18"/>
                      <w:szCs w:val="18"/>
                    </w:rPr>
                    <w:t>×</w:t>
                  </w:r>
                  <w:r>
                    <w:rPr>
                      <w:rFonts w:hint="eastAsia"/>
                      <w:sz w:val="18"/>
                      <w:szCs w:val="18"/>
                    </w:rPr>
                    <w:t>10</w:t>
                  </w:r>
                  <w:r>
                    <w:rPr>
                      <w:rFonts w:hint="eastAsia"/>
                      <w:sz w:val="18"/>
                      <w:szCs w:val="18"/>
                      <w:vertAlign w:val="superscript"/>
                    </w:rPr>
                    <w:t>-4</w:t>
                  </w:r>
                </w:p>
              </w:tc>
              <w:tc>
                <w:tcPr>
                  <w:tcW w:w="662" w:type="pct"/>
                  <w:vAlign w:val="center"/>
                </w:tcPr>
                <w:p w14:paraId="1570F28D" w14:textId="77777777" w:rsidR="00F76A63" w:rsidRDefault="00000000">
                  <w:pPr>
                    <w:adjustRightInd w:val="0"/>
                    <w:snapToGrid w:val="0"/>
                    <w:jc w:val="center"/>
                    <w:rPr>
                      <w:sz w:val="18"/>
                      <w:szCs w:val="18"/>
                    </w:rPr>
                  </w:pPr>
                  <w:r>
                    <w:rPr>
                      <w:rFonts w:hint="eastAsia"/>
                      <w:sz w:val="18"/>
                      <w:szCs w:val="18"/>
                    </w:rPr>
                    <w:t>3.84x10</w:t>
                  </w:r>
                  <w:r>
                    <w:rPr>
                      <w:rFonts w:hint="eastAsia"/>
                      <w:sz w:val="18"/>
                      <w:szCs w:val="18"/>
                      <w:vertAlign w:val="superscript"/>
                    </w:rPr>
                    <w:t>-4</w:t>
                  </w:r>
                </w:p>
              </w:tc>
              <w:tc>
                <w:tcPr>
                  <w:tcW w:w="922" w:type="pct"/>
                  <w:vAlign w:val="center"/>
                </w:tcPr>
                <w:p w14:paraId="2915D614" w14:textId="77777777" w:rsidR="00F76A63" w:rsidRDefault="00000000">
                  <w:pPr>
                    <w:adjustRightInd w:val="0"/>
                    <w:snapToGrid w:val="0"/>
                    <w:jc w:val="center"/>
                    <w:rPr>
                      <w:sz w:val="18"/>
                      <w:szCs w:val="18"/>
                    </w:rPr>
                  </w:pPr>
                  <w:r>
                    <w:rPr>
                      <w:rFonts w:hint="eastAsia"/>
                      <w:sz w:val="18"/>
                      <w:szCs w:val="18"/>
                    </w:rPr>
                    <w:t>4.70x10</w:t>
                  </w:r>
                  <w:r>
                    <w:rPr>
                      <w:rFonts w:hint="eastAsia"/>
                      <w:sz w:val="18"/>
                      <w:szCs w:val="18"/>
                      <w:vertAlign w:val="superscript"/>
                    </w:rPr>
                    <w:t>-4</w:t>
                  </w:r>
                </w:p>
              </w:tc>
              <w:tc>
                <w:tcPr>
                  <w:tcW w:w="661" w:type="pct"/>
                  <w:vAlign w:val="center"/>
                </w:tcPr>
                <w:p w14:paraId="45C28259" w14:textId="77777777" w:rsidR="00F76A63" w:rsidRDefault="00000000">
                  <w:pPr>
                    <w:adjustRightInd w:val="0"/>
                    <w:snapToGrid w:val="0"/>
                    <w:jc w:val="center"/>
                    <w:rPr>
                      <w:sz w:val="18"/>
                      <w:szCs w:val="18"/>
                    </w:rPr>
                  </w:pPr>
                  <w:r>
                    <w:rPr>
                      <w:sz w:val="18"/>
                      <w:szCs w:val="18"/>
                    </w:rPr>
                    <w:t>-</w:t>
                  </w:r>
                </w:p>
              </w:tc>
            </w:tr>
            <w:tr w:rsidR="00F76A63" w14:paraId="5DB373C7" w14:textId="77777777">
              <w:trPr>
                <w:trHeight w:val="340"/>
                <w:jc w:val="center"/>
              </w:trPr>
              <w:tc>
                <w:tcPr>
                  <w:tcW w:w="380" w:type="pct"/>
                  <w:vMerge w:val="restart"/>
                  <w:vAlign w:val="center"/>
                </w:tcPr>
                <w:p w14:paraId="37208C5C" w14:textId="77777777" w:rsidR="00F76A63" w:rsidRDefault="00000000">
                  <w:pPr>
                    <w:adjustRightInd w:val="0"/>
                    <w:snapToGrid w:val="0"/>
                    <w:jc w:val="center"/>
                    <w:rPr>
                      <w:sz w:val="18"/>
                      <w:szCs w:val="18"/>
                    </w:rPr>
                  </w:pPr>
                  <w:r>
                    <w:rPr>
                      <w:sz w:val="18"/>
                      <w:szCs w:val="18"/>
                    </w:rPr>
                    <w:t>锰</w:t>
                  </w:r>
                </w:p>
              </w:tc>
              <w:tc>
                <w:tcPr>
                  <w:tcW w:w="958" w:type="pct"/>
                  <w:vAlign w:val="center"/>
                </w:tcPr>
                <w:p w14:paraId="76B57EF5"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2BD47F88" w14:textId="77777777" w:rsidR="00F76A63" w:rsidRDefault="00000000">
                  <w:pPr>
                    <w:adjustRightInd w:val="0"/>
                    <w:snapToGrid w:val="0"/>
                    <w:jc w:val="center"/>
                    <w:rPr>
                      <w:sz w:val="18"/>
                      <w:szCs w:val="18"/>
                    </w:rPr>
                  </w:pPr>
                  <w:r>
                    <w:rPr>
                      <w:rFonts w:hint="eastAsia"/>
                      <w:sz w:val="18"/>
                      <w:szCs w:val="18"/>
                    </w:rPr>
                    <w:t>8.84x10</w:t>
                  </w:r>
                  <w:r>
                    <w:rPr>
                      <w:rFonts w:hint="eastAsia"/>
                      <w:sz w:val="18"/>
                      <w:szCs w:val="18"/>
                      <w:vertAlign w:val="superscript"/>
                    </w:rPr>
                    <w:t>-4</w:t>
                  </w:r>
                </w:p>
              </w:tc>
              <w:tc>
                <w:tcPr>
                  <w:tcW w:w="731" w:type="pct"/>
                  <w:vAlign w:val="center"/>
                </w:tcPr>
                <w:p w14:paraId="122D4812" w14:textId="77777777" w:rsidR="00F76A63" w:rsidRDefault="00000000">
                  <w:pPr>
                    <w:adjustRightInd w:val="0"/>
                    <w:snapToGrid w:val="0"/>
                    <w:jc w:val="center"/>
                    <w:rPr>
                      <w:sz w:val="18"/>
                      <w:szCs w:val="18"/>
                    </w:rPr>
                  </w:pPr>
                  <w:r>
                    <w:rPr>
                      <w:rFonts w:hint="eastAsia"/>
                      <w:sz w:val="18"/>
                      <w:szCs w:val="18"/>
                    </w:rPr>
                    <w:t>8.24x10</w:t>
                  </w:r>
                  <w:r>
                    <w:rPr>
                      <w:rFonts w:hint="eastAsia"/>
                      <w:sz w:val="18"/>
                      <w:szCs w:val="18"/>
                      <w:vertAlign w:val="superscript"/>
                    </w:rPr>
                    <w:t>-4</w:t>
                  </w:r>
                </w:p>
              </w:tc>
              <w:tc>
                <w:tcPr>
                  <w:tcW w:w="662" w:type="pct"/>
                  <w:vAlign w:val="center"/>
                </w:tcPr>
                <w:p w14:paraId="6E328ED6" w14:textId="77777777" w:rsidR="00F76A63" w:rsidRDefault="00000000">
                  <w:pPr>
                    <w:adjustRightInd w:val="0"/>
                    <w:snapToGrid w:val="0"/>
                    <w:jc w:val="center"/>
                    <w:rPr>
                      <w:sz w:val="18"/>
                      <w:szCs w:val="18"/>
                    </w:rPr>
                  </w:pPr>
                  <w:r>
                    <w:rPr>
                      <w:rFonts w:hint="eastAsia"/>
                      <w:sz w:val="18"/>
                      <w:szCs w:val="18"/>
                    </w:rPr>
                    <w:t>8.01x10</w:t>
                  </w:r>
                  <w:r>
                    <w:rPr>
                      <w:rFonts w:hint="eastAsia"/>
                      <w:sz w:val="18"/>
                      <w:szCs w:val="18"/>
                      <w:vertAlign w:val="superscript"/>
                    </w:rPr>
                    <w:t>-4</w:t>
                  </w:r>
                </w:p>
              </w:tc>
              <w:tc>
                <w:tcPr>
                  <w:tcW w:w="922" w:type="pct"/>
                  <w:vAlign w:val="center"/>
                </w:tcPr>
                <w:p w14:paraId="249E9FB4" w14:textId="77777777" w:rsidR="00F76A63" w:rsidRDefault="00000000">
                  <w:pPr>
                    <w:adjustRightInd w:val="0"/>
                    <w:snapToGrid w:val="0"/>
                    <w:jc w:val="center"/>
                    <w:rPr>
                      <w:sz w:val="18"/>
                      <w:szCs w:val="18"/>
                    </w:rPr>
                  </w:pPr>
                  <w:r>
                    <w:rPr>
                      <w:rFonts w:hint="eastAsia"/>
                      <w:sz w:val="18"/>
                      <w:szCs w:val="18"/>
                    </w:rPr>
                    <w:t>8.36</w:t>
                  </w:r>
                  <w:r>
                    <w:rPr>
                      <w:rFonts w:hint="eastAsia"/>
                      <w:sz w:val="18"/>
                      <w:szCs w:val="18"/>
                    </w:rPr>
                    <w:t>×</w:t>
                  </w:r>
                  <w:r>
                    <w:rPr>
                      <w:rFonts w:hint="eastAsia"/>
                      <w:sz w:val="18"/>
                      <w:szCs w:val="18"/>
                    </w:rPr>
                    <w:t>10</w:t>
                  </w:r>
                  <w:r>
                    <w:rPr>
                      <w:rFonts w:hint="eastAsia"/>
                      <w:sz w:val="18"/>
                      <w:szCs w:val="18"/>
                      <w:vertAlign w:val="superscript"/>
                    </w:rPr>
                    <w:t>-4</w:t>
                  </w:r>
                </w:p>
              </w:tc>
              <w:tc>
                <w:tcPr>
                  <w:tcW w:w="661" w:type="pct"/>
                  <w:vAlign w:val="center"/>
                </w:tcPr>
                <w:p w14:paraId="74618EE2" w14:textId="77777777" w:rsidR="00F76A63" w:rsidRDefault="00000000">
                  <w:pPr>
                    <w:adjustRightInd w:val="0"/>
                    <w:snapToGrid w:val="0"/>
                    <w:jc w:val="center"/>
                    <w:rPr>
                      <w:sz w:val="18"/>
                      <w:szCs w:val="18"/>
                    </w:rPr>
                  </w:pPr>
                  <w:r>
                    <w:rPr>
                      <w:sz w:val="18"/>
                      <w:szCs w:val="18"/>
                    </w:rPr>
                    <w:t>-</w:t>
                  </w:r>
                </w:p>
              </w:tc>
            </w:tr>
            <w:tr w:rsidR="00F76A63" w14:paraId="7C9C70E4" w14:textId="77777777">
              <w:trPr>
                <w:trHeight w:val="340"/>
                <w:jc w:val="center"/>
              </w:trPr>
              <w:tc>
                <w:tcPr>
                  <w:tcW w:w="380" w:type="pct"/>
                  <w:vMerge/>
                  <w:vAlign w:val="center"/>
                </w:tcPr>
                <w:p w14:paraId="486D86EA" w14:textId="77777777" w:rsidR="00F76A63" w:rsidRDefault="00F76A63">
                  <w:pPr>
                    <w:adjustRightInd w:val="0"/>
                    <w:snapToGrid w:val="0"/>
                    <w:jc w:val="center"/>
                    <w:rPr>
                      <w:sz w:val="18"/>
                      <w:szCs w:val="18"/>
                    </w:rPr>
                  </w:pPr>
                </w:p>
              </w:tc>
              <w:tc>
                <w:tcPr>
                  <w:tcW w:w="958" w:type="pct"/>
                  <w:vAlign w:val="center"/>
                </w:tcPr>
                <w:p w14:paraId="2CDD8EE2"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4ABF3FB4" w14:textId="77777777" w:rsidR="00F76A63" w:rsidRDefault="00000000">
                  <w:pPr>
                    <w:adjustRightInd w:val="0"/>
                    <w:snapToGrid w:val="0"/>
                    <w:jc w:val="center"/>
                    <w:rPr>
                      <w:sz w:val="18"/>
                      <w:szCs w:val="18"/>
                    </w:rPr>
                  </w:pPr>
                  <w:r>
                    <w:rPr>
                      <w:rFonts w:hint="eastAsia"/>
                      <w:sz w:val="18"/>
                      <w:szCs w:val="18"/>
                    </w:rPr>
                    <w:t>7.97</w:t>
                  </w:r>
                  <w:r>
                    <w:rPr>
                      <w:rFonts w:hint="eastAsia"/>
                      <w:sz w:val="18"/>
                      <w:szCs w:val="18"/>
                    </w:rPr>
                    <w:t>×</w:t>
                  </w:r>
                  <w:r>
                    <w:rPr>
                      <w:rFonts w:hint="eastAsia"/>
                      <w:sz w:val="18"/>
                      <w:szCs w:val="18"/>
                    </w:rPr>
                    <w:t>10</w:t>
                  </w:r>
                  <w:r>
                    <w:rPr>
                      <w:rFonts w:hint="eastAsia"/>
                      <w:sz w:val="18"/>
                      <w:szCs w:val="18"/>
                      <w:vertAlign w:val="superscript"/>
                    </w:rPr>
                    <w:t>-4</w:t>
                  </w:r>
                </w:p>
              </w:tc>
              <w:tc>
                <w:tcPr>
                  <w:tcW w:w="731" w:type="pct"/>
                  <w:vAlign w:val="center"/>
                </w:tcPr>
                <w:p w14:paraId="25FBC0CC" w14:textId="77777777" w:rsidR="00F76A63" w:rsidRDefault="00000000">
                  <w:pPr>
                    <w:adjustRightInd w:val="0"/>
                    <w:snapToGrid w:val="0"/>
                    <w:jc w:val="center"/>
                    <w:rPr>
                      <w:sz w:val="18"/>
                      <w:szCs w:val="18"/>
                    </w:rPr>
                  </w:pPr>
                  <w:r>
                    <w:rPr>
                      <w:rFonts w:hint="eastAsia"/>
                      <w:sz w:val="18"/>
                      <w:szCs w:val="18"/>
                    </w:rPr>
                    <w:t>7.81x10</w:t>
                  </w:r>
                  <w:r>
                    <w:rPr>
                      <w:rFonts w:hint="eastAsia"/>
                      <w:sz w:val="18"/>
                      <w:szCs w:val="18"/>
                      <w:vertAlign w:val="superscript"/>
                    </w:rPr>
                    <w:t>-4</w:t>
                  </w:r>
                </w:p>
              </w:tc>
              <w:tc>
                <w:tcPr>
                  <w:tcW w:w="662" w:type="pct"/>
                  <w:vAlign w:val="center"/>
                </w:tcPr>
                <w:p w14:paraId="462014DF" w14:textId="77777777" w:rsidR="00F76A63" w:rsidRDefault="00000000">
                  <w:pPr>
                    <w:adjustRightInd w:val="0"/>
                    <w:snapToGrid w:val="0"/>
                    <w:jc w:val="center"/>
                    <w:rPr>
                      <w:sz w:val="18"/>
                      <w:szCs w:val="18"/>
                    </w:rPr>
                  </w:pPr>
                  <w:r>
                    <w:rPr>
                      <w:rFonts w:hint="eastAsia"/>
                      <w:sz w:val="18"/>
                      <w:szCs w:val="18"/>
                    </w:rPr>
                    <w:t>8.08x10</w:t>
                  </w:r>
                  <w:r>
                    <w:rPr>
                      <w:rFonts w:hint="eastAsia"/>
                      <w:sz w:val="18"/>
                      <w:szCs w:val="18"/>
                      <w:vertAlign w:val="superscript"/>
                    </w:rPr>
                    <w:t>-4</w:t>
                  </w:r>
                </w:p>
              </w:tc>
              <w:tc>
                <w:tcPr>
                  <w:tcW w:w="922" w:type="pct"/>
                  <w:vAlign w:val="center"/>
                </w:tcPr>
                <w:p w14:paraId="57CD82C8" w14:textId="77777777" w:rsidR="00F76A63" w:rsidRDefault="00000000">
                  <w:pPr>
                    <w:adjustRightInd w:val="0"/>
                    <w:snapToGrid w:val="0"/>
                    <w:jc w:val="center"/>
                    <w:rPr>
                      <w:sz w:val="18"/>
                      <w:szCs w:val="18"/>
                    </w:rPr>
                  </w:pPr>
                  <w:r>
                    <w:rPr>
                      <w:rFonts w:hint="eastAsia"/>
                      <w:sz w:val="18"/>
                      <w:szCs w:val="18"/>
                    </w:rPr>
                    <w:t>7.95</w:t>
                  </w:r>
                  <w:r>
                    <w:rPr>
                      <w:rFonts w:hint="eastAsia"/>
                      <w:sz w:val="18"/>
                      <w:szCs w:val="18"/>
                    </w:rPr>
                    <w:t>×</w:t>
                  </w:r>
                  <w:r>
                    <w:rPr>
                      <w:rFonts w:hint="eastAsia"/>
                      <w:sz w:val="18"/>
                      <w:szCs w:val="18"/>
                    </w:rPr>
                    <w:t>10</w:t>
                  </w:r>
                  <w:r>
                    <w:rPr>
                      <w:rFonts w:hint="eastAsia"/>
                      <w:sz w:val="18"/>
                      <w:szCs w:val="18"/>
                      <w:vertAlign w:val="superscript"/>
                    </w:rPr>
                    <w:t>-4</w:t>
                  </w:r>
                </w:p>
              </w:tc>
              <w:tc>
                <w:tcPr>
                  <w:tcW w:w="661" w:type="pct"/>
                  <w:vAlign w:val="center"/>
                </w:tcPr>
                <w:p w14:paraId="021F0F59" w14:textId="77777777" w:rsidR="00F76A63" w:rsidRDefault="00000000">
                  <w:pPr>
                    <w:adjustRightInd w:val="0"/>
                    <w:snapToGrid w:val="0"/>
                    <w:jc w:val="center"/>
                    <w:rPr>
                      <w:sz w:val="18"/>
                      <w:szCs w:val="18"/>
                    </w:rPr>
                  </w:pPr>
                  <w:r>
                    <w:rPr>
                      <w:sz w:val="18"/>
                      <w:szCs w:val="18"/>
                    </w:rPr>
                    <w:t>0.5</w:t>
                  </w:r>
                </w:p>
              </w:tc>
            </w:tr>
            <w:tr w:rsidR="00F76A63" w14:paraId="42EAA02C" w14:textId="77777777">
              <w:trPr>
                <w:trHeight w:val="340"/>
                <w:jc w:val="center"/>
              </w:trPr>
              <w:tc>
                <w:tcPr>
                  <w:tcW w:w="380" w:type="pct"/>
                  <w:vMerge/>
                  <w:vAlign w:val="center"/>
                </w:tcPr>
                <w:p w14:paraId="18A3D770" w14:textId="77777777" w:rsidR="00F76A63" w:rsidRDefault="00F76A63">
                  <w:pPr>
                    <w:adjustRightInd w:val="0"/>
                    <w:snapToGrid w:val="0"/>
                    <w:jc w:val="center"/>
                    <w:rPr>
                      <w:sz w:val="18"/>
                      <w:szCs w:val="18"/>
                    </w:rPr>
                  </w:pPr>
                </w:p>
              </w:tc>
              <w:tc>
                <w:tcPr>
                  <w:tcW w:w="958" w:type="pct"/>
                  <w:vAlign w:val="center"/>
                </w:tcPr>
                <w:p w14:paraId="608CB0C9"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10670BB4" w14:textId="77777777" w:rsidR="00F76A63" w:rsidRDefault="00000000">
                  <w:pPr>
                    <w:adjustRightInd w:val="0"/>
                    <w:snapToGrid w:val="0"/>
                    <w:jc w:val="center"/>
                    <w:rPr>
                      <w:sz w:val="18"/>
                      <w:szCs w:val="18"/>
                    </w:rPr>
                  </w:pPr>
                  <w:r>
                    <w:rPr>
                      <w:rFonts w:hint="eastAsia"/>
                      <w:sz w:val="18"/>
                      <w:szCs w:val="18"/>
                    </w:rPr>
                    <w:t>4.60x10</w:t>
                  </w:r>
                  <w:r>
                    <w:rPr>
                      <w:rFonts w:hint="eastAsia"/>
                      <w:sz w:val="18"/>
                      <w:szCs w:val="18"/>
                      <w:vertAlign w:val="superscript"/>
                    </w:rPr>
                    <w:t>-4</w:t>
                  </w:r>
                </w:p>
              </w:tc>
              <w:tc>
                <w:tcPr>
                  <w:tcW w:w="731" w:type="pct"/>
                  <w:vAlign w:val="center"/>
                </w:tcPr>
                <w:p w14:paraId="5C38B575" w14:textId="77777777" w:rsidR="00F76A63" w:rsidRDefault="00000000">
                  <w:pPr>
                    <w:adjustRightInd w:val="0"/>
                    <w:snapToGrid w:val="0"/>
                    <w:jc w:val="center"/>
                    <w:rPr>
                      <w:sz w:val="18"/>
                      <w:szCs w:val="18"/>
                    </w:rPr>
                  </w:pPr>
                  <w:r>
                    <w:rPr>
                      <w:rFonts w:hint="eastAsia"/>
                      <w:sz w:val="18"/>
                      <w:szCs w:val="18"/>
                    </w:rPr>
                    <w:t>4.30x10</w:t>
                  </w:r>
                  <w:r>
                    <w:rPr>
                      <w:rFonts w:hint="eastAsia"/>
                      <w:sz w:val="18"/>
                      <w:szCs w:val="18"/>
                      <w:vertAlign w:val="superscript"/>
                    </w:rPr>
                    <w:t>-4</w:t>
                  </w:r>
                </w:p>
              </w:tc>
              <w:tc>
                <w:tcPr>
                  <w:tcW w:w="662" w:type="pct"/>
                  <w:vAlign w:val="center"/>
                </w:tcPr>
                <w:p w14:paraId="069624C5" w14:textId="77777777" w:rsidR="00F76A63" w:rsidRDefault="00000000">
                  <w:pPr>
                    <w:adjustRightInd w:val="0"/>
                    <w:snapToGrid w:val="0"/>
                    <w:jc w:val="center"/>
                    <w:rPr>
                      <w:sz w:val="18"/>
                      <w:szCs w:val="18"/>
                    </w:rPr>
                  </w:pPr>
                  <w:r>
                    <w:rPr>
                      <w:rFonts w:hint="eastAsia"/>
                      <w:sz w:val="18"/>
                      <w:szCs w:val="18"/>
                    </w:rPr>
                    <w:t>4.13x10</w:t>
                  </w:r>
                  <w:r>
                    <w:rPr>
                      <w:rFonts w:hint="eastAsia"/>
                      <w:sz w:val="18"/>
                      <w:szCs w:val="18"/>
                      <w:vertAlign w:val="superscript"/>
                    </w:rPr>
                    <w:t>-4</w:t>
                  </w:r>
                </w:p>
              </w:tc>
              <w:tc>
                <w:tcPr>
                  <w:tcW w:w="922" w:type="pct"/>
                  <w:vAlign w:val="center"/>
                </w:tcPr>
                <w:p w14:paraId="490D562F" w14:textId="77777777" w:rsidR="00F76A63" w:rsidRDefault="00000000">
                  <w:pPr>
                    <w:adjustRightInd w:val="0"/>
                    <w:snapToGrid w:val="0"/>
                    <w:jc w:val="center"/>
                    <w:rPr>
                      <w:sz w:val="18"/>
                      <w:szCs w:val="18"/>
                    </w:rPr>
                  </w:pPr>
                  <w:r>
                    <w:rPr>
                      <w:rFonts w:hint="eastAsia"/>
                      <w:sz w:val="18"/>
                      <w:szCs w:val="18"/>
                    </w:rPr>
                    <w:t>4.34x10</w:t>
                  </w:r>
                  <w:r>
                    <w:rPr>
                      <w:rFonts w:hint="eastAsia"/>
                      <w:sz w:val="18"/>
                      <w:szCs w:val="18"/>
                      <w:vertAlign w:val="superscript"/>
                    </w:rPr>
                    <w:t>-4</w:t>
                  </w:r>
                </w:p>
              </w:tc>
              <w:tc>
                <w:tcPr>
                  <w:tcW w:w="661" w:type="pct"/>
                  <w:vAlign w:val="center"/>
                </w:tcPr>
                <w:p w14:paraId="1FB020E4" w14:textId="77777777" w:rsidR="00F76A63" w:rsidRDefault="00000000">
                  <w:pPr>
                    <w:adjustRightInd w:val="0"/>
                    <w:snapToGrid w:val="0"/>
                    <w:jc w:val="center"/>
                    <w:rPr>
                      <w:sz w:val="18"/>
                      <w:szCs w:val="18"/>
                    </w:rPr>
                  </w:pPr>
                  <w:r>
                    <w:rPr>
                      <w:sz w:val="18"/>
                      <w:szCs w:val="18"/>
                    </w:rPr>
                    <w:t>-</w:t>
                  </w:r>
                </w:p>
              </w:tc>
            </w:tr>
            <w:tr w:rsidR="00F76A63" w14:paraId="40861BC4" w14:textId="77777777">
              <w:trPr>
                <w:trHeight w:val="340"/>
                <w:jc w:val="center"/>
              </w:trPr>
              <w:tc>
                <w:tcPr>
                  <w:tcW w:w="380" w:type="pct"/>
                  <w:vMerge w:val="restart"/>
                  <w:vAlign w:val="center"/>
                </w:tcPr>
                <w:p w14:paraId="3E0F8D8E" w14:textId="77777777" w:rsidR="00F76A63" w:rsidRDefault="00000000">
                  <w:pPr>
                    <w:adjustRightInd w:val="0"/>
                    <w:snapToGrid w:val="0"/>
                    <w:jc w:val="center"/>
                    <w:rPr>
                      <w:sz w:val="18"/>
                      <w:szCs w:val="18"/>
                    </w:rPr>
                  </w:pPr>
                  <w:r>
                    <w:rPr>
                      <w:sz w:val="18"/>
                      <w:szCs w:val="18"/>
                    </w:rPr>
                    <w:t>砷</w:t>
                  </w:r>
                </w:p>
              </w:tc>
              <w:tc>
                <w:tcPr>
                  <w:tcW w:w="958" w:type="pct"/>
                  <w:vAlign w:val="center"/>
                </w:tcPr>
                <w:p w14:paraId="75B644B1"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6C763EC6"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0F53112B"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00C64D02"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5284E38C"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4F1A56F0" w14:textId="77777777" w:rsidR="00F76A63" w:rsidRDefault="00000000">
                  <w:pPr>
                    <w:adjustRightInd w:val="0"/>
                    <w:snapToGrid w:val="0"/>
                    <w:jc w:val="center"/>
                    <w:rPr>
                      <w:sz w:val="18"/>
                      <w:szCs w:val="18"/>
                    </w:rPr>
                  </w:pPr>
                  <w:r>
                    <w:rPr>
                      <w:sz w:val="18"/>
                      <w:szCs w:val="18"/>
                    </w:rPr>
                    <w:t>-</w:t>
                  </w:r>
                </w:p>
              </w:tc>
            </w:tr>
            <w:tr w:rsidR="00F76A63" w14:paraId="278DFC5E" w14:textId="77777777">
              <w:trPr>
                <w:trHeight w:val="340"/>
                <w:jc w:val="center"/>
              </w:trPr>
              <w:tc>
                <w:tcPr>
                  <w:tcW w:w="380" w:type="pct"/>
                  <w:vMerge/>
                  <w:vAlign w:val="center"/>
                </w:tcPr>
                <w:p w14:paraId="73E3FB3A" w14:textId="77777777" w:rsidR="00F76A63" w:rsidRDefault="00F76A63">
                  <w:pPr>
                    <w:adjustRightInd w:val="0"/>
                    <w:snapToGrid w:val="0"/>
                    <w:jc w:val="center"/>
                    <w:rPr>
                      <w:sz w:val="18"/>
                      <w:szCs w:val="18"/>
                    </w:rPr>
                  </w:pPr>
                </w:p>
              </w:tc>
              <w:tc>
                <w:tcPr>
                  <w:tcW w:w="958" w:type="pct"/>
                  <w:vAlign w:val="center"/>
                </w:tcPr>
                <w:p w14:paraId="0C29D5C9"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3BFB4148"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31044904"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0C71DA79"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06D71A65"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051C3E48" w14:textId="77777777" w:rsidR="00F76A63" w:rsidRDefault="00000000">
                  <w:pPr>
                    <w:adjustRightInd w:val="0"/>
                    <w:snapToGrid w:val="0"/>
                    <w:jc w:val="center"/>
                    <w:rPr>
                      <w:sz w:val="18"/>
                      <w:szCs w:val="18"/>
                    </w:rPr>
                  </w:pPr>
                  <w:r>
                    <w:rPr>
                      <w:sz w:val="18"/>
                      <w:szCs w:val="18"/>
                    </w:rPr>
                    <w:t>1.0</w:t>
                  </w:r>
                </w:p>
              </w:tc>
            </w:tr>
            <w:tr w:rsidR="00F76A63" w14:paraId="49455700" w14:textId="77777777">
              <w:trPr>
                <w:trHeight w:val="340"/>
                <w:jc w:val="center"/>
              </w:trPr>
              <w:tc>
                <w:tcPr>
                  <w:tcW w:w="380" w:type="pct"/>
                  <w:vMerge/>
                  <w:vAlign w:val="center"/>
                </w:tcPr>
                <w:p w14:paraId="0D175C12" w14:textId="77777777" w:rsidR="00F76A63" w:rsidRDefault="00F76A63">
                  <w:pPr>
                    <w:adjustRightInd w:val="0"/>
                    <w:snapToGrid w:val="0"/>
                    <w:jc w:val="center"/>
                    <w:rPr>
                      <w:sz w:val="18"/>
                      <w:szCs w:val="18"/>
                    </w:rPr>
                  </w:pPr>
                </w:p>
              </w:tc>
              <w:tc>
                <w:tcPr>
                  <w:tcW w:w="958" w:type="pct"/>
                  <w:vAlign w:val="center"/>
                </w:tcPr>
                <w:p w14:paraId="5433E1AD"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65657A18"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0109D92B"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71DCF00E"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43F23416"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3DC4FDB1" w14:textId="77777777" w:rsidR="00F76A63" w:rsidRDefault="00000000">
                  <w:pPr>
                    <w:adjustRightInd w:val="0"/>
                    <w:snapToGrid w:val="0"/>
                    <w:jc w:val="center"/>
                    <w:rPr>
                      <w:sz w:val="18"/>
                      <w:szCs w:val="18"/>
                    </w:rPr>
                  </w:pPr>
                  <w:r>
                    <w:rPr>
                      <w:sz w:val="18"/>
                      <w:szCs w:val="18"/>
                    </w:rPr>
                    <w:t>-</w:t>
                  </w:r>
                </w:p>
              </w:tc>
            </w:tr>
            <w:tr w:rsidR="00F76A63" w14:paraId="639B0C08" w14:textId="77777777">
              <w:trPr>
                <w:trHeight w:val="340"/>
                <w:jc w:val="center"/>
              </w:trPr>
              <w:tc>
                <w:tcPr>
                  <w:tcW w:w="380" w:type="pct"/>
                  <w:vMerge w:val="restart"/>
                  <w:vAlign w:val="center"/>
                </w:tcPr>
                <w:p w14:paraId="042783D4" w14:textId="77777777" w:rsidR="00F76A63" w:rsidRDefault="00000000">
                  <w:pPr>
                    <w:adjustRightInd w:val="0"/>
                    <w:snapToGrid w:val="0"/>
                    <w:jc w:val="center"/>
                    <w:rPr>
                      <w:sz w:val="18"/>
                      <w:szCs w:val="18"/>
                    </w:rPr>
                  </w:pPr>
                  <w:r>
                    <w:rPr>
                      <w:sz w:val="18"/>
                      <w:szCs w:val="18"/>
                    </w:rPr>
                    <w:t>铜</w:t>
                  </w:r>
                </w:p>
              </w:tc>
              <w:tc>
                <w:tcPr>
                  <w:tcW w:w="958" w:type="pct"/>
                  <w:vAlign w:val="center"/>
                </w:tcPr>
                <w:p w14:paraId="7AF913E9"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407DBED1" w14:textId="77777777" w:rsidR="00F76A63" w:rsidRDefault="00000000">
                  <w:pPr>
                    <w:adjustRightInd w:val="0"/>
                    <w:snapToGrid w:val="0"/>
                    <w:jc w:val="center"/>
                    <w:rPr>
                      <w:sz w:val="18"/>
                      <w:szCs w:val="18"/>
                    </w:rPr>
                  </w:pPr>
                  <w:r>
                    <w:rPr>
                      <w:rFonts w:hint="eastAsia"/>
                      <w:sz w:val="18"/>
                      <w:szCs w:val="18"/>
                    </w:rPr>
                    <w:t>5.52x10</w:t>
                  </w:r>
                  <w:r>
                    <w:rPr>
                      <w:rFonts w:hint="eastAsia"/>
                      <w:sz w:val="18"/>
                      <w:szCs w:val="18"/>
                      <w:vertAlign w:val="superscript"/>
                    </w:rPr>
                    <w:t>-4</w:t>
                  </w:r>
                </w:p>
              </w:tc>
              <w:tc>
                <w:tcPr>
                  <w:tcW w:w="731" w:type="pct"/>
                  <w:vAlign w:val="center"/>
                </w:tcPr>
                <w:p w14:paraId="330E246E" w14:textId="77777777" w:rsidR="00F76A63" w:rsidRDefault="00000000">
                  <w:pPr>
                    <w:adjustRightInd w:val="0"/>
                    <w:snapToGrid w:val="0"/>
                    <w:jc w:val="center"/>
                    <w:rPr>
                      <w:sz w:val="18"/>
                      <w:szCs w:val="18"/>
                    </w:rPr>
                  </w:pPr>
                  <w:r>
                    <w:rPr>
                      <w:rFonts w:hint="eastAsia"/>
                      <w:sz w:val="18"/>
                      <w:szCs w:val="18"/>
                    </w:rPr>
                    <w:t>7.36x10</w:t>
                  </w:r>
                  <w:r>
                    <w:rPr>
                      <w:rFonts w:hint="eastAsia"/>
                      <w:sz w:val="18"/>
                      <w:szCs w:val="18"/>
                      <w:vertAlign w:val="superscript"/>
                    </w:rPr>
                    <w:t>-4</w:t>
                  </w:r>
                </w:p>
              </w:tc>
              <w:tc>
                <w:tcPr>
                  <w:tcW w:w="662" w:type="pct"/>
                  <w:vAlign w:val="center"/>
                </w:tcPr>
                <w:p w14:paraId="409854E5" w14:textId="77777777" w:rsidR="00F76A63" w:rsidRDefault="00000000">
                  <w:pPr>
                    <w:adjustRightInd w:val="0"/>
                    <w:snapToGrid w:val="0"/>
                    <w:jc w:val="center"/>
                    <w:rPr>
                      <w:sz w:val="18"/>
                      <w:szCs w:val="18"/>
                    </w:rPr>
                  </w:pPr>
                  <w:r>
                    <w:rPr>
                      <w:rFonts w:hint="eastAsia"/>
                      <w:sz w:val="18"/>
                      <w:szCs w:val="18"/>
                    </w:rPr>
                    <w:t>4.25x10</w:t>
                  </w:r>
                  <w:r>
                    <w:rPr>
                      <w:rFonts w:hint="eastAsia"/>
                      <w:sz w:val="18"/>
                      <w:szCs w:val="18"/>
                      <w:vertAlign w:val="superscript"/>
                    </w:rPr>
                    <w:t>-4</w:t>
                  </w:r>
                </w:p>
              </w:tc>
              <w:tc>
                <w:tcPr>
                  <w:tcW w:w="922" w:type="pct"/>
                  <w:vAlign w:val="center"/>
                </w:tcPr>
                <w:p w14:paraId="2EFDB33A" w14:textId="77777777" w:rsidR="00F76A63" w:rsidRDefault="00000000">
                  <w:pPr>
                    <w:adjustRightInd w:val="0"/>
                    <w:snapToGrid w:val="0"/>
                    <w:jc w:val="center"/>
                    <w:rPr>
                      <w:sz w:val="18"/>
                      <w:szCs w:val="18"/>
                    </w:rPr>
                  </w:pPr>
                  <w:r>
                    <w:rPr>
                      <w:rFonts w:hint="eastAsia"/>
                      <w:sz w:val="18"/>
                      <w:szCs w:val="18"/>
                    </w:rPr>
                    <w:t>5.71</w:t>
                  </w:r>
                  <w:r>
                    <w:rPr>
                      <w:rFonts w:hint="eastAsia"/>
                      <w:sz w:val="18"/>
                      <w:szCs w:val="18"/>
                    </w:rPr>
                    <w:t>×</w:t>
                  </w:r>
                  <w:r>
                    <w:rPr>
                      <w:rFonts w:hint="eastAsia"/>
                      <w:sz w:val="18"/>
                      <w:szCs w:val="18"/>
                    </w:rPr>
                    <w:t>10</w:t>
                  </w:r>
                  <w:r>
                    <w:rPr>
                      <w:rFonts w:hint="eastAsia"/>
                      <w:sz w:val="18"/>
                      <w:szCs w:val="18"/>
                      <w:vertAlign w:val="superscript"/>
                    </w:rPr>
                    <w:t>-4</w:t>
                  </w:r>
                </w:p>
              </w:tc>
              <w:tc>
                <w:tcPr>
                  <w:tcW w:w="661" w:type="pct"/>
                  <w:vAlign w:val="center"/>
                </w:tcPr>
                <w:p w14:paraId="55D19056" w14:textId="77777777" w:rsidR="00F76A63" w:rsidRDefault="00000000">
                  <w:pPr>
                    <w:adjustRightInd w:val="0"/>
                    <w:snapToGrid w:val="0"/>
                    <w:jc w:val="center"/>
                    <w:rPr>
                      <w:sz w:val="18"/>
                      <w:szCs w:val="18"/>
                    </w:rPr>
                  </w:pPr>
                  <w:r>
                    <w:rPr>
                      <w:sz w:val="18"/>
                      <w:szCs w:val="18"/>
                    </w:rPr>
                    <w:t>-</w:t>
                  </w:r>
                </w:p>
              </w:tc>
            </w:tr>
            <w:tr w:rsidR="00F76A63" w14:paraId="4708A3AE" w14:textId="77777777">
              <w:trPr>
                <w:trHeight w:val="340"/>
                <w:jc w:val="center"/>
              </w:trPr>
              <w:tc>
                <w:tcPr>
                  <w:tcW w:w="380" w:type="pct"/>
                  <w:vMerge/>
                  <w:vAlign w:val="center"/>
                </w:tcPr>
                <w:p w14:paraId="4E29721C" w14:textId="77777777" w:rsidR="00F76A63" w:rsidRDefault="00F76A63">
                  <w:pPr>
                    <w:adjustRightInd w:val="0"/>
                    <w:snapToGrid w:val="0"/>
                    <w:jc w:val="center"/>
                    <w:rPr>
                      <w:sz w:val="18"/>
                      <w:szCs w:val="18"/>
                    </w:rPr>
                  </w:pPr>
                </w:p>
              </w:tc>
              <w:tc>
                <w:tcPr>
                  <w:tcW w:w="958" w:type="pct"/>
                  <w:vAlign w:val="center"/>
                </w:tcPr>
                <w:p w14:paraId="270B88E5"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008F822D" w14:textId="77777777" w:rsidR="00F76A63" w:rsidRDefault="00000000">
                  <w:pPr>
                    <w:adjustRightInd w:val="0"/>
                    <w:snapToGrid w:val="0"/>
                    <w:jc w:val="center"/>
                    <w:rPr>
                      <w:sz w:val="18"/>
                      <w:szCs w:val="18"/>
                    </w:rPr>
                  </w:pPr>
                  <w:r>
                    <w:rPr>
                      <w:rFonts w:hint="eastAsia"/>
                      <w:sz w:val="18"/>
                      <w:szCs w:val="18"/>
                    </w:rPr>
                    <w:t>4.98</w:t>
                  </w:r>
                  <w:r>
                    <w:rPr>
                      <w:rFonts w:hint="eastAsia"/>
                      <w:sz w:val="18"/>
                      <w:szCs w:val="18"/>
                    </w:rPr>
                    <w:t>×</w:t>
                  </w:r>
                  <w:r>
                    <w:rPr>
                      <w:rFonts w:hint="eastAsia"/>
                      <w:sz w:val="18"/>
                      <w:szCs w:val="18"/>
                    </w:rPr>
                    <w:t>10</w:t>
                  </w:r>
                  <w:r>
                    <w:rPr>
                      <w:rFonts w:hint="eastAsia"/>
                      <w:sz w:val="18"/>
                      <w:szCs w:val="18"/>
                      <w:vertAlign w:val="superscript"/>
                    </w:rPr>
                    <w:t>-4</w:t>
                  </w:r>
                </w:p>
              </w:tc>
              <w:tc>
                <w:tcPr>
                  <w:tcW w:w="731" w:type="pct"/>
                  <w:vAlign w:val="center"/>
                </w:tcPr>
                <w:p w14:paraId="1C81A8AE" w14:textId="77777777" w:rsidR="00F76A63" w:rsidRDefault="00000000">
                  <w:pPr>
                    <w:adjustRightInd w:val="0"/>
                    <w:snapToGrid w:val="0"/>
                    <w:jc w:val="center"/>
                    <w:rPr>
                      <w:sz w:val="18"/>
                      <w:szCs w:val="18"/>
                    </w:rPr>
                  </w:pPr>
                  <w:r>
                    <w:rPr>
                      <w:rFonts w:hint="eastAsia"/>
                      <w:sz w:val="18"/>
                      <w:szCs w:val="18"/>
                    </w:rPr>
                    <w:t>6.98x10</w:t>
                  </w:r>
                  <w:r>
                    <w:rPr>
                      <w:rFonts w:hint="eastAsia"/>
                      <w:sz w:val="18"/>
                      <w:szCs w:val="18"/>
                      <w:vertAlign w:val="superscript"/>
                    </w:rPr>
                    <w:t>-4</w:t>
                  </w:r>
                </w:p>
              </w:tc>
              <w:tc>
                <w:tcPr>
                  <w:tcW w:w="662" w:type="pct"/>
                  <w:vAlign w:val="center"/>
                </w:tcPr>
                <w:p w14:paraId="3530D4C2" w14:textId="77777777" w:rsidR="00F76A63" w:rsidRDefault="00000000">
                  <w:pPr>
                    <w:adjustRightInd w:val="0"/>
                    <w:snapToGrid w:val="0"/>
                    <w:jc w:val="center"/>
                    <w:rPr>
                      <w:sz w:val="18"/>
                      <w:szCs w:val="18"/>
                    </w:rPr>
                  </w:pPr>
                  <w:r>
                    <w:rPr>
                      <w:rFonts w:hint="eastAsia"/>
                      <w:sz w:val="18"/>
                      <w:szCs w:val="18"/>
                    </w:rPr>
                    <w:t>4.29x10</w:t>
                  </w:r>
                  <w:r>
                    <w:rPr>
                      <w:rFonts w:hint="eastAsia"/>
                      <w:sz w:val="18"/>
                      <w:szCs w:val="18"/>
                      <w:vertAlign w:val="superscript"/>
                    </w:rPr>
                    <w:t>-4</w:t>
                  </w:r>
                </w:p>
              </w:tc>
              <w:tc>
                <w:tcPr>
                  <w:tcW w:w="922" w:type="pct"/>
                  <w:vAlign w:val="center"/>
                </w:tcPr>
                <w:p w14:paraId="2D5EE8A3" w14:textId="77777777" w:rsidR="00F76A63" w:rsidRDefault="00000000">
                  <w:pPr>
                    <w:adjustRightInd w:val="0"/>
                    <w:snapToGrid w:val="0"/>
                    <w:jc w:val="center"/>
                    <w:rPr>
                      <w:sz w:val="18"/>
                      <w:szCs w:val="18"/>
                    </w:rPr>
                  </w:pPr>
                  <w:r>
                    <w:rPr>
                      <w:rFonts w:hint="eastAsia"/>
                      <w:sz w:val="18"/>
                      <w:szCs w:val="18"/>
                    </w:rPr>
                    <w:t>5.42</w:t>
                  </w:r>
                  <w:r>
                    <w:rPr>
                      <w:rFonts w:hint="eastAsia"/>
                      <w:sz w:val="18"/>
                      <w:szCs w:val="18"/>
                    </w:rPr>
                    <w:t>×</w:t>
                  </w:r>
                  <w:r>
                    <w:rPr>
                      <w:rFonts w:hint="eastAsia"/>
                      <w:sz w:val="18"/>
                      <w:szCs w:val="18"/>
                    </w:rPr>
                    <w:t>10</w:t>
                  </w:r>
                  <w:r>
                    <w:rPr>
                      <w:rFonts w:hint="eastAsia"/>
                      <w:sz w:val="18"/>
                      <w:szCs w:val="18"/>
                      <w:vertAlign w:val="superscript"/>
                    </w:rPr>
                    <w:t>-4</w:t>
                  </w:r>
                </w:p>
              </w:tc>
              <w:tc>
                <w:tcPr>
                  <w:tcW w:w="661" w:type="pct"/>
                  <w:vAlign w:val="center"/>
                </w:tcPr>
                <w:p w14:paraId="2D0F825B" w14:textId="77777777" w:rsidR="00F76A63" w:rsidRDefault="00000000">
                  <w:pPr>
                    <w:adjustRightInd w:val="0"/>
                    <w:snapToGrid w:val="0"/>
                    <w:jc w:val="center"/>
                    <w:rPr>
                      <w:sz w:val="18"/>
                      <w:szCs w:val="18"/>
                    </w:rPr>
                  </w:pPr>
                  <w:r>
                    <w:rPr>
                      <w:sz w:val="18"/>
                      <w:szCs w:val="18"/>
                    </w:rPr>
                    <w:t>0.5</w:t>
                  </w:r>
                </w:p>
              </w:tc>
            </w:tr>
            <w:tr w:rsidR="00F76A63" w14:paraId="3A04A65A" w14:textId="77777777">
              <w:trPr>
                <w:trHeight w:val="340"/>
                <w:jc w:val="center"/>
              </w:trPr>
              <w:tc>
                <w:tcPr>
                  <w:tcW w:w="380" w:type="pct"/>
                  <w:vMerge/>
                  <w:vAlign w:val="center"/>
                </w:tcPr>
                <w:p w14:paraId="317C1866" w14:textId="77777777" w:rsidR="00F76A63" w:rsidRDefault="00F76A63">
                  <w:pPr>
                    <w:adjustRightInd w:val="0"/>
                    <w:snapToGrid w:val="0"/>
                    <w:jc w:val="center"/>
                    <w:rPr>
                      <w:sz w:val="18"/>
                      <w:szCs w:val="18"/>
                    </w:rPr>
                  </w:pPr>
                </w:p>
              </w:tc>
              <w:tc>
                <w:tcPr>
                  <w:tcW w:w="958" w:type="pct"/>
                  <w:vAlign w:val="center"/>
                </w:tcPr>
                <w:p w14:paraId="00C0DC79"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01D6B227" w14:textId="77777777" w:rsidR="00F76A63" w:rsidRDefault="00000000">
                  <w:pPr>
                    <w:adjustRightInd w:val="0"/>
                    <w:snapToGrid w:val="0"/>
                    <w:jc w:val="center"/>
                    <w:rPr>
                      <w:sz w:val="18"/>
                      <w:szCs w:val="18"/>
                    </w:rPr>
                  </w:pPr>
                  <w:r>
                    <w:rPr>
                      <w:rFonts w:hint="eastAsia"/>
                      <w:sz w:val="18"/>
                      <w:szCs w:val="18"/>
                    </w:rPr>
                    <w:t>2.87x10</w:t>
                  </w:r>
                  <w:r>
                    <w:rPr>
                      <w:rFonts w:hint="eastAsia"/>
                      <w:sz w:val="18"/>
                      <w:szCs w:val="18"/>
                      <w:vertAlign w:val="superscript"/>
                    </w:rPr>
                    <w:t>-4</w:t>
                  </w:r>
                </w:p>
              </w:tc>
              <w:tc>
                <w:tcPr>
                  <w:tcW w:w="731" w:type="pct"/>
                  <w:vAlign w:val="center"/>
                </w:tcPr>
                <w:p w14:paraId="247D2B62" w14:textId="77777777" w:rsidR="00F76A63" w:rsidRDefault="00000000">
                  <w:pPr>
                    <w:adjustRightInd w:val="0"/>
                    <w:snapToGrid w:val="0"/>
                    <w:jc w:val="center"/>
                    <w:rPr>
                      <w:sz w:val="18"/>
                      <w:szCs w:val="18"/>
                    </w:rPr>
                  </w:pPr>
                  <w:r>
                    <w:rPr>
                      <w:rFonts w:hint="eastAsia"/>
                      <w:sz w:val="18"/>
                      <w:szCs w:val="18"/>
                    </w:rPr>
                    <w:t>3.84x10</w:t>
                  </w:r>
                  <w:r>
                    <w:rPr>
                      <w:rFonts w:hint="eastAsia"/>
                      <w:sz w:val="18"/>
                      <w:szCs w:val="18"/>
                      <w:vertAlign w:val="superscript"/>
                    </w:rPr>
                    <w:t>-4</w:t>
                  </w:r>
                </w:p>
              </w:tc>
              <w:tc>
                <w:tcPr>
                  <w:tcW w:w="662" w:type="pct"/>
                  <w:vAlign w:val="center"/>
                </w:tcPr>
                <w:p w14:paraId="70F609D4" w14:textId="77777777" w:rsidR="00F76A63" w:rsidRDefault="00000000">
                  <w:pPr>
                    <w:adjustRightInd w:val="0"/>
                    <w:snapToGrid w:val="0"/>
                    <w:jc w:val="center"/>
                    <w:rPr>
                      <w:sz w:val="18"/>
                      <w:szCs w:val="18"/>
                    </w:rPr>
                  </w:pPr>
                  <w:r>
                    <w:rPr>
                      <w:rFonts w:hint="eastAsia"/>
                      <w:sz w:val="18"/>
                      <w:szCs w:val="18"/>
                    </w:rPr>
                    <w:t>2.19x10</w:t>
                  </w:r>
                  <w:r>
                    <w:rPr>
                      <w:rFonts w:hint="eastAsia"/>
                      <w:sz w:val="18"/>
                      <w:szCs w:val="18"/>
                      <w:vertAlign w:val="superscript"/>
                    </w:rPr>
                    <w:t>-4</w:t>
                  </w:r>
                </w:p>
              </w:tc>
              <w:tc>
                <w:tcPr>
                  <w:tcW w:w="922" w:type="pct"/>
                  <w:vAlign w:val="center"/>
                </w:tcPr>
                <w:p w14:paraId="29E3F68D" w14:textId="77777777" w:rsidR="00F76A63" w:rsidRDefault="00000000">
                  <w:pPr>
                    <w:adjustRightInd w:val="0"/>
                    <w:snapToGrid w:val="0"/>
                    <w:jc w:val="center"/>
                    <w:rPr>
                      <w:sz w:val="18"/>
                      <w:szCs w:val="18"/>
                    </w:rPr>
                  </w:pPr>
                  <w:r>
                    <w:rPr>
                      <w:rFonts w:hint="eastAsia"/>
                      <w:sz w:val="18"/>
                      <w:szCs w:val="18"/>
                    </w:rPr>
                    <w:t>2.97x10</w:t>
                  </w:r>
                  <w:r>
                    <w:rPr>
                      <w:rFonts w:hint="eastAsia"/>
                      <w:sz w:val="18"/>
                      <w:szCs w:val="18"/>
                      <w:vertAlign w:val="superscript"/>
                    </w:rPr>
                    <w:t>-4</w:t>
                  </w:r>
                </w:p>
              </w:tc>
              <w:tc>
                <w:tcPr>
                  <w:tcW w:w="661" w:type="pct"/>
                  <w:vAlign w:val="center"/>
                </w:tcPr>
                <w:p w14:paraId="29764A14" w14:textId="77777777" w:rsidR="00F76A63" w:rsidRDefault="00000000">
                  <w:pPr>
                    <w:adjustRightInd w:val="0"/>
                    <w:snapToGrid w:val="0"/>
                    <w:jc w:val="center"/>
                    <w:rPr>
                      <w:sz w:val="18"/>
                      <w:szCs w:val="18"/>
                    </w:rPr>
                  </w:pPr>
                  <w:r>
                    <w:rPr>
                      <w:sz w:val="18"/>
                      <w:szCs w:val="18"/>
                    </w:rPr>
                    <w:t>-</w:t>
                  </w:r>
                </w:p>
              </w:tc>
            </w:tr>
            <w:tr w:rsidR="00F76A63" w14:paraId="5DC19268" w14:textId="77777777">
              <w:trPr>
                <w:trHeight w:val="340"/>
                <w:jc w:val="center"/>
              </w:trPr>
              <w:tc>
                <w:tcPr>
                  <w:tcW w:w="380" w:type="pct"/>
                  <w:vMerge w:val="restart"/>
                  <w:vAlign w:val="center"/>
                </w:tcPr>
                <w:p w14:paraId="5F6E904D" w14:textId="77777777" w:rsidR="00F76A63" w:rsidRDefault="00000000">
                  <w:pPr>
                    <w:adjustRightInd w:val="0"/>
                    <w:snapToGrid w:val="0"/>
                    <w:jc w:val="center"/>
                    <w:rPr>
                      <w:sz w:val="18"/>
                      <w:szCs w:val="18"/>
                    </w:rPr>
                  </w:pPr>
                  <w:r>
                    <w:rPr>
                      <w:sz w:val="18"/>
                      <w:szCs w:val="18"/>
                    </w:rPr>
                    <w:t>锡</w:t>
                  </w:r>
                </w:p>
              </w:tc>
              <w:tc>
                <w:tcPr>
                  <w:tcW w:w="958" w:type="pct"/>
                  <w:vAlign w:val="center"/>
                </w:tcPr>
                <w:p w14:paraId="2FA2D05C" w14:textId="77777777" w:rsidR="00F76A63" w:rsidRDefault="00000000">
                  <w:pPr>
                    <w:adjustRightInd w:val="0"/>
                    <w:snapToGrid w:val="0"/>
                    <w:jc w:val="center"/>
                    <w:rPr>
                      <w:sz w:val="18"/>
                      <w:szCs w:val="18"/>
                    </w:rPr>
                  </w:pPr>
                  <w:r>
                    <w:rPr>
                      <w:sz w:val="18"/>
                      <w:szCs w:val="18"/>
                    </w:rPr>
                    <w:t>实测浓度（</w:t>
                  </w:r>
                  <w:r>
                    <w:rPr>
                      <w:sz w:val="18"/>
                      <w:szCs w:val="18"/>
                    </w:rPr>
                    <w:t>mg/m</w:t>
                  </w:r>
                  <w:r>
                    <w:rPr>
                      <w:sz w:val="18"/>
                      <w:szCs w:val="18"/>
                      <w:vertAlign w:val="superscript"/>
                    </w:rPr>
                    <w:t>3</w:t>
                  </w:r>
                  <w:r>
                    <w:rPr>
                      <w:sz w:val="18"/>
                      <w:szCs w:val="18"/>
                    </w:rPr>
                    <w:t>）</w:t>
                  </w:r>
                </w:p>
              </w:tc>
              <w:tc>
                <w:tcPr>
                  <w:tcW w:w="686" w:type="pct"/>
                  <w:vAlign w:val="center"/>
                </w:tcPr>
                <w:p w14:paraId="142032F7"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324FE388"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3DD89BEB"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39E25319"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3A9ABFEC" w14:textId="77777777" w:rsidR="00F76A63" w:rsidRDefault="00000000">
                  <w:pPr>
                    <w:adjustRightInd w:val="0"/>
                    <w:snapToGrid w:val="0"/>
                    <w:jc w:val="center"/>
                    <w:rPr>
                      <w:sz w:val="18"/>
                      <w:szCs w:val="18"/>
                    </w:rPr>
                  </w:pPr>
                  <w:r>
                    <w:rPr>
                      <w:sz w:val="18"/>
                      <w:szCs w:val="18"/>
                    </w:rPr>
                    <w:t>-</w:t>
                  </w:r>
                </w:p>
              </w:tc>
            </w:tr>
            <w:tr w:rsidR="00F76A63" w14:paraId="69C62AE8" w14:textId="77777777">
              <w:trPr>
                <w:trHeight w:val="340"/>
                <w:jc w:val="center"/>
              </w:trPr>
              <w:tc>
                <w:tcPr>
                  <w:tcW w:w="380" w:type="pct"/>
                  <w:vMerge/>
                  <w:vAlign w:val="center"/>
                </w:tcPr>
                <w:p w14:paraId="661A792B" w14:textId="77777777" w:rsidR="00F76A63" w:rsidRDefault="00F76A63">
                  <w:pPr>
                    <w:adjustRightInd w:val="0"/>
                    <w:snapToGrid w:val="0"/>
                    <w:jc w:val="center"/>
                    <w:rPr>
                      <w:sz w:val="18"/>
                      <w:szCs w:val="18"/>
                    </w:rPr>
                  </w:pPr>
                </w:p>
              </w:tc>
              <w:tc>
                <w:tcPr>
                  <w:tcW w:w="958" w:type="pct"/>
                  <w:vAlign w:val="center"/>
                </w:tcPr>
                <w:p w14:paraId="20A75B36" w14:textId="77777777" w:rsidR="00F76A63" w:rsidRDefault="00000000">
                  <w:pPr>
                    <w:adjustRightInd w:val="0"/>
                    <w:snapToGrid w:val="0"/>
                    <w:jc w:val="center"/>
                    <w:rPr>
                      <w:sz w:val="18"/>
                      <w:szCs w:val="18"/>
                    </w:rPr>
                  </w:pPr>
                  <w:r>
                    <w:rPr>
                      <w:sz w:val="18"/>
                      <w:szCs w:val="18"/>
                    </w:rPr>
                    <w:t>排放浓度（</w:t>
                  </w:r>
                  <w:r>
                    <w:rPr>
                      <w:sz w:val="18"/>
                      <w:szCs w:val="18"/>
                    </w:rPr>
                    <w:t>mg/m</w:t>
                  </w:r>
                  <w:r>
                    <w:rPr>
                      <w:sz w:val="18"/>
                      <w:szCs w:val="18"/>
                      <w:vertAlign w:val="superscript"/>
                    </w:rPr>
                    <w:t>3</w:t>
                  </w:r>
                  <w:r>
                    <w:rPr>
                      <w:sz w:val="18"/>
                      <w:szCs w:val="18"/>
                    </w:rPr>
                    <w:t>）</w:t>
                  </w:r>
                </w:p>
              </w:tc>
              <w:tc>
                <w:tcPr>
                  <w:tcW w:w="686" w:type="pct"/>
                  <w:vAlign w:val="center"/>
                </w:tcPr>
                <w:p w14:paraId="4F62F25E" w14:textId="77777777" w:rsidR="00F76A63" w:rsidRDefault="00000000">
                  <w:pPr>
                    <w:adjustRightInd w:val="0"/>
                    <w:snapToGrid w:val="0"/>
                    <w:jc w:val="center"/>
                    <w:rPr>
                      <w:sz w:val="18"/>
                      <w:szCs w:val="18"/>
                    </w:rPr>
                  </w:pPr>
                  <w:r>
                    <w:rPr>
                      <w:rFonts w:hint="eastAsia"/>
                      <w:sz w:val="18"/>
                      <w:szCs w:val="18"/>
                    </w:rPr>
                    <w:t>ND</w:t>
                  </w:r>
                </w:p>
              </w:tc>
              <w:tc>
                <w:tcPr>
                  <w:tcW w:w="731" w:type="pct"/>
                  <w:vAlign w:val="center"/>
                </w:tcPr>
                <w:p w14:paraId="21F8F27E" w14:textId="77777777" w:rsidR="00F76A63" w:rsidRDefault="00000000">
                  <w:pPr>
                    <w:adjustRightInd w:val="0"/>
                    <w:snapToGrid w:val="0"/>
                    <w:jc w:val="center"/>
                    <w:rPr>
                      <w:sz w:val="18"/>
                      <w:szCs w:val="18"/>
                    </w:rPr>
                  </w:pPr>
                  <w:r>
                    <w:rPr>
                      <w:rFonts w:hint="eastAsia"/>
                      <w:sz w:val="18"/>
                      <w:szCs w:val="18"/>
                    </w:rPr>
                    <w:t>ND</w:t>
                  </w:r>
                </w:p>
              </w:tc>
              <w:tc>
                <w:tcPr>
                  <w:tcW w:w="662" w:type="pct"/>
                  <w:vAlign w:val="center"/>
                </w:tcPr>
                <w:p w14:paraId="667B864A" w14:textId="77777777" w:rsidR="00F76A63" w:rsidRDefault="00000000">
                  <w:pPr>
                    <w:adjustRightInd w:val="0"/>
                    <w:snapToGrid w:val="0"/>
                    <w:jc w:val="center"/>
                    <w:rPr>
                      <w:sz w:val="18"/>
                      <w:szCs w:val="18"/>
                    </w:rPr>
                  </w:pPr>
                  <w:r>
                    <w:rPr>
                      <w:rFonts w:hint="eastAsia"/>
                      <w:sz w:val="18"/>
                      <w:szCs w:val="18"/>
                    </w:rPr>
                    <w:t>ND</w:t>
                  </w:r>
                </w:p>
              </w:tc>
              <w:tc>
                <w:tcPr>
                  <w:tcW w:w="922" w:type="pct"/>
                  <w:vAlign w:val="center"/>
                </w:tcPr>
                <w:p w14:paraId="2BDBBFC4" w14:textId="77777777" w:rsidR="00F76A63" w:rsidRDefault="00000000">
                  <w:pPr>
                    <w:adjustRightInd w:val="0"/>
                    <w:snapToGrid w:val="0"/>
                    <w:jc w:val="center"/>
                    <w:rPr>
                      <w:sz w:val="18"/>
                      <w:szCs w:val="18"/>
                    </w:rPr>
                  </w:pPr>
                  <w:r>
                    <w:rPr>
                      <w:rFonts w:hint="eastAsia"/>
                      <w:sz w:val="18"/>
                      <w:szCs w:val="18"/>
                    </w:rPr>
                    <w:t>ND</w:t>
                  </w:r>
                </w:p>
              </w:tc>
              <w:tc>
                <w:tcPr>
                  <w:tcW w:w="661" w:type="pct"/>
                  <w:vAlign w:val="center"/>
                </w:tcPr>
                <w:p w14:paraId="285897D9" w14:textId="77777777" w:rsidR="00F76A63" w:rsidRDefault="00000000">
                  <w:pPr>
                    <w:adjustRightInd w:val="0"/>
                    <w:snapToGrid w:val="0"/>
                    <w:jc w:val="center"/>
                    <w:rPr>
                      <w:sz w:val="18"/>
                      <w:szCs w:val="18"/>
                    </w:rPr>
                  </w:pPr>
                  <w:r>
                    <w:rPr>
                      <w:sz w:val="18"/>
                      <w:szCs w:val="18"/>
                    </w:rPr>
                    <w:t>0.5</w:t>
                  </w:r>
                </w:p>
              </w:tc>
            </w:tr>
            <w:tr w:rsidR="00F76A63" w14:paraId="55AD536C" w14:textId="77777777">
              <w:trPr>
                <w:trHeight w:val="340"/>
                <w:jc w:val="center"/>
              </w:trPr>
              <w:tc>
                <w:tcPr>
                  <w:tcW w:w="380" w:type="pct"/>
                  <w:vMerge/>
                  <w:vAlign w:val="center"/>
                </w:tcPr>
                <w:p w14:paraId="726906A1" w14:textId="77777777" w:rsidR="00F76A63" w:rsidRDefault="00F76A63">
                  <w:pPr>
                    <w:adjustRightInd w:val="0"/>
                    <w:snapToGrid w:val="0"/>
                    <w:jc w:val="center"/>
                    <w:rPr>
                      <w:sz w:val="18"/>
                      <w:szCs w:val="18"/>
                    </w:rPr>
                  </w:pPr>
                </w:p>
              </w:tc>
              <w:tc>
                <w:tcPr>
                  <w:tcW w:w="958" w:type="pct"/>
                  <w:vAlign w:val="center"/>
                </w:tcPr>
                <w:p w14:paraId="42305476" w14:textId="77777777" w:rsidR="00F76A63" w:rsidRDefault="00000000">
                  <w:pPr>
                    <w:adjustRightInd w:val="0"/>
                    <w:snapToGrid w:val="0"/>
                    <w:jc w:val="center"/>
                    <w:rPr>
                      <w:sz w:val="18"/>
                      <w:szCs w:val="18"/>
                    </w:rPr>
                  </w:pPr>
                  <w:r>
                    <w:rPr>
                      <w:sz w:val="18"/>
                      <w:szCs w:val="18"/>
                    </w:rPr>
                    <w:t>排放速率（</w:t>
                  </w:r>
                  <w:r>
                    <w:rPr>
                      <w:sz w:val="18"/>
                      <w:szCs w:val="18"/>
                    </w:rPr>
                    <w:t>kg/h</w:t>
                  </w:r>
                  <w:r>
                    <w:rPr>
                      <w:sz w:val="18"/>
                      <w:szCs w:val="18"/>
                    </w:rPr>
                    <w:t>）</w:t>
                  </w:r>
                </w:p>
              </w:tc>
              <w:tc>
                <w:tcPr>
                  <w:tcW w:w="686" w:type="pct"/>
                  <w:vAlign w:val="center"/>
                </w:tcPr>
                <w:p w14:paraId="53250404" w14:textId="77777777" w:rsidR="00F76A63" w:rsidRDefault="00000000">
                  <w:pPr>
                    <w:adjustRightInd w:val="0"/>
                    <w:snapToGrid w:val="0"/>
                    <w:jc w:val="center"/>
                    <w:rPr>
                      <w:sz w:val="18"/>
                      <w:szCs w:val="18"/>
                    </w:rPr>
                  </w:pPr>
                  <w:r>
                    <w:rPr>
                      <w:rFonts w:hint="eastAsia"/>
                      <w:sz w:val="18"/>
                      <w:szCs w:val="18"/>
                    </w:rPr>
                    <w:t>/</w:t>
                  </w:r>
                </w:p>
              </w:tc>
              <w:tc>
                <w:tcPr>
                  <w:tcW w:w="731" w:type="pct"/>
                  <w:vAlign w:val="center"/>
                </w:tcPr>
                <w:p w14:paraId="4E17DC6D" w14:textId="77777777" w:rsidR="00F76A63" w:rsidRDefault="00000000">
                  <w:pPr>
                    <w:adjustRightInd w:val="0"/>
                    <w:snapToGrid w:val="0"/>
                    <w:jc w:val="center"/>
                    <w:rPr>
                      <w:sz w:val="18"/>
                      <w:szCs w:val="18"/>
                    </w:rPr>
                  </w:pPr>
                  <w:r>
                    <w:rPr>
                      <w:rFonts w:hint="eastAsia"/>
                      <w:sz w:val="18"/>
                      <w:szCs w:val="18"/>
                    </w:rPr>
                    <w:t>/</w:t>
                  </w:r>
                </w:p>
              </w:tc>
              <w:tc>
                <w:tcPr>
                  <w:tcW w:w="662" w:type="pct"/>
                  <w:vAlign w:val="center"/>
                </w:tcPr>
                <w:p w14:paraId="04702CAD" w14:textId="77777777" w:rsidR="00F76A63" w:rsidRDefault="00000000">
                  <w:pPr>
                    <w:adjustRightInd w:val="0"/>
                    <w:snapToGrid w:val="0"/>
                    <w:jc w:val="center"/>
                    <w:rPr>
                      <w:sz w:val="18"/>
                      <w:szCs w:val="18"/>
                    </w:rPr>
                  </w:pPr>
                  <w:r>
                    <w:rPr>
                      <w:rFonts w:hint="eastAsia"/>
                      <w:sz w:val="18"/>
                      <w:szCs w:val="18"/>
                    </w:rPr>
                    <w:t>/</w:t>
                  </w:r>
                </w:p>
              </w:tc>
              <w:tc>
                <w:tcPr>
                  <w:tcW w:w="922" w:type="pct"/>
                  <w:vAlign w:val="center"/>
                </w:tcPr>
                <w:p w14:paraId="5E6E8B9D" w14:textId="77777777" w:rsidR="00F76A63" w:rsidRDefault="00000000">
                  <w:pPr>
                    <w:adjustRightInd w:val="0"/>
                    <w:snapToGrid w:val="0"/>
                    <w:jc w:val="center"/>
                    <w:rPr>
                      <w:sz w:val="18"/>
                      <w:szCs w:val="18"/>
                    </w:rPr>
                  </w:pPr>
                  <w:r>
                    <w:rPr>
                      <w:rFonts w:hint="eastAsia"/>
                      <w:sz w:val="18"/>
                      <w:szCs w:val="18"/>
                    </w:rPr>
                    <w:t>/</w:t>
                  </w:r>
                </w:p>
              </w:tc>
              <w:tc>
                <w:tcPr>
                  <w:tcW w:w="661" w:type="pct"/>
                  <w:vAlign w:val="center"/>
                </w:tcPr>
                <w:p w14:paraId="51EEEAAA" w14:textId="77777777" w:rsidR="00F76A63" w:rsidRDefault="00000000">
                  <w:pPr>
                    <w:adjustRightInd w:val="0"/>
                    <w:snapToGrid w:val="0"/>
                    <w:jc w:val="center"/>
                    <w:rPr>
                      <w:sz w:val="18"/>
                      <w:szCs w:val="18"/>
                    </w:rPr>
                  </w:pPr>
                  <w:r>
                    <w:rPr>
                      <w:sz w:val="18"/>
                      <w:szCs w:val="18"/>
                    </w:rPr>
                    <w:t>-</w:t>
                  </w:r>
                </w:p>
              </w:tc>
            </w:tr>
            <w:tr w:rsidR="00F76A63" w14:paraId="2E982364" w14:textId="77777777">
              <w:trPr>
                <w:trHeight w:val="340"/>
                <w:jc w:val="center"/>
              </w:trPr>
              <w:tc>
                <w:tcPr>
                  <w:tcW w:w="1338" w:type="pct"/>
                  <w:gridSpan w:val="2"/>
                  <w:vAlign w:val="center"/>
                </w:tcPr>
                <w:p w14:paraId="75664400" w14:textId="77777777" w:rsidR="00F76A63" w:rsidRDefault="00000000">
                  <w:pPr>
                    <w:adjustRightInd w:val="0"/>
                    <w:snapToGrid w:val="0"/>
                    <w:jc w:val="center"/>
                    <w:rPr>
                      <w:sz w:val="18"/>
                      <w:szCs w:val="18"/>
                    </w:rPr>
                  </w:pPr>
                  <w:r>
                    <w:rPr>
                      <w:sz w:val="18"/>
                      <w:szCs w:val="18"/>
                    </w:rPr>
                    <w:t>二噁英</w:t>
                  </w:r>
                  <w:r>
                    <w:rPr>
                      <w:sz w:val="18"/>
                      <w:szCs w:val="18"/>
                    </w:rPr>
                    <w:t>ngTEQ/m</w:t>
                  </w:r>
                  <w:r>
                    <w:rPr>
                      <w:sz w:val="18"/>
                      <w:szCs w:val="18"/>
                      <w:vertAlign w:val="superscript"/>
                    </w:rPr>
                    <w:t>3</w:t>
                  </w:r>
                </w:p>
              </w:tc>
              <w:tc>
                <w:tcPr>
                  <w:tcW w:w="686" w:type="pct"/>
                  <w:vAlign w:val="center"/>
                </w:tcPr>
                <w:p w14:paraId="6F4BB82C" w14:textId="77777777" w:rsidR="00F76A63" w:rsidRDefault="00000000">
                  <w:pPr>
                    <w:adjustRightInd w:val="0"/>
                    <w:snapToGrid w:val="0"/>
                    <w:jc w:val="center"/>
                    <w:rPr>
                      <w:sz w:val="18"/>
                      <w:szCs w:val="18"/>
                    </w:rPr>
                  </w:pPr>
                  <w:r>
                    <w:rPr>
                      <w:sz w:val="18"/>
                      <w:szCs w:val="18"/>
                    </w:rPr>
                    <w:t>0.00</w:t>
                  </w:r>
                  <w:r>
                    <w:rPr>
                      <w:rFonts w:hint="eastAsia"/>
                      <w:sz w:val="18"/>
                      <w:szCs w:val="18"/>
                    </w:rPr>
                    <w:t>33</w:t>
                  </w:r>
                  <w:r>
                    <w:rPr>
                      <w:sz w:val="18"/>
                      <w:szCs w:val="18"/>
                    </w:rPr>
                    <w:t>ngTEQ/m</w:t>
                  </w:r>
                  <w:r>
                    <w:rPr>
                      <w:sz w:val="18"/>
                      <w:szCs w:val="18"/>
                      <w:vertAlign w:val="superscript"/>
                    </w:rPr>
                    <w:t>3</w:t>
                  </w:r>
                </w:p>
              </w:tc>
              <w:tc>
                <w:tcPr>
                  <w:tcW w:w="731" w:type="pct"/>
                  <w:vAlign w:val="center"/>
                </w:tcPr>
                <w:p w14:paraId="46E559B5" w14:textId="77777777" w:rsidR="00F76A63" w:rsidRDefault="00000000">
                  <w:pPr>
                    <w:adjustRightInd w:val="0"/>
                    <w:snapToGrid w:val="0"/>
                    <w:jc w:val="center"/>
                    <w:rPr>
                      <w:sz w:val="18"/>
                      <w:szCs w:val="18"/>
                    </w:rPr>
                  </w:pPr>
                  <w:r>
                    <w:rPr>
                      <w:sz w:val="18"/>
                      <w:szCs w:val="18"/>
                    </w:rPr>
                    <w:t>0.00</w:t>
                  </w:r>
                  <w:r>
                    <w:rPr>
                      <w:rFonts w:hint="eastAsia"/>
                      <w:sz w:val="18"/>
                      <w:szCs w:val="18"/>
                    </w:rPr>
                    <w:t>35</w:t>
                  </w:r>
                  <w:r>
                    <w:rPr>
                      <w:sz w:val="18"/>
                      <w:szCs w:val="18"/>
                    </w:rPr>
                    <w:t>ngTEQ/m</w:t>
                  </w:r>
                  <w:r>
                    <w:rPr>
                      <w:sz w:val="18"/>
                      <w:szCs w:val="18"/>
                      <w:vertAlign w:val="superscript"/>
                    </w:rPr>
                    <w:t>3</w:t>
                  </w:r>
                </w:p>
              </w:tc>
              <w:tc>
                <w:tcPr>
                  <w:tcW w:w="662" w:type="pct"/>
                  <w:vAlign w:val="center"/>
                </w:tcPr>
                <w:p w14:paraId="67AF59FB" w14:textId="77777777" w:rsidR="00F76A63" w:rsidRDefault="00000000">
                  <w:pPr>
                    <w:adjustRightInd w:val="0"/>
                    <w:snapToGrid w:val="0"/>
                    <w:jc w:val="center"/>
                    <w:rPr>
                      <w:sz w:val="18"/>
                      <w:szCs w:val="18"/>
                    </w:rPr>
                  </w:pPr>
                  <w:r>
                    <w:rPr>
                      <w:sz w:val="18"/>
                      <w:szCs w:val="18"/>
                    </w:rPr>
                    <w:t>0.00</w:t>
                  </w:r>
                  <w:r>
                    <w:rPr>
                      <w:rFonts w:hint="eastAsia"/>
                      <w:sz w:val="18"/>
                      <w:szCs w:val="18"/>
                    </w:rPr>
                    <w:t>33</w:t>
                  </w:r>
                  <w:r>
                    <w:rPr>
                      <w:sz w:val="18"/>
                      <w:szCs w:val="18"/>
                    </w:rPr>
                    <w:t>ngTEQ/m</w:t>
                  </w:r>
                  <w:r>
                    <w:rPr>
                      <w:sz w:val="18"/>
                      <w:szCs w:val="18"/>
                      <w:vertAlign w:val="superscript"/>
                    </w:rPr>
                    <w:t>3</w:t>
                  </w:r>
                </w:p>
              </w:tc>
              <w:tc>
                <w:tcPr>
                  <w:tcW w:w="922" w:type="pct"/>
                  <w:vAlign w:val="center"/>
                </w:tcPr>
                <w:p w14:paraId="4D1BDB3C" w14:textId="77777777" w:rsidR="00F76A63" w:rsidRDefault="00000000">
                  <w:pPr>
                    <w:adjustRightInd w:val="0"/>
                    <w:snapToGrid w:val="0"/>
                    <w:jc w:val="center"/>
                    <w:rPr>
                      <w:sz w:val="18"/>
                      <w:szCs w:val="18"/>
                    </w:rPr>
                  </w:pPr>
                  <w:r>
                    <w:rPr>
                      <w:sz w:val="18"/>
                      <w:szCs w:val="18"/>
                    </w:rPr>
                    <w:t>0.00</w:t>
                  </w:r>
                  <w:r>
                    <w:rPr>
                      <w:rFonts w:hint="eastAsia"/>
                      <w:sz w:val="18"/>
                      <w:szCs w:val="18"/>
                    </w:rPr>
                    <w:t>34</w:t>
                  </w:r>
                  <w:r>
                    <w:rPr>
                      <w:sz w:val="18"/>
                      <w:szCs w:val="18"/>
                    </w:rPr>
                    <w:t>ngTEO/m</w:t>
                  </w:r>
                  <w:r>
                    <w:rPr>
                      <w:sz w:val="18"/>
                      <w:szCs w:val="18"/>
                      <w:vertAlign w:val="superscript"/>
                    </w:rPr>
                    <w:t>3</w:t>
                  </w:r>
                </w:p>
              </w:tc>
              <w:tc>
                <w:tcPr>
                  <w:tcW w:w="661" w:type="pct"/>
                  <w:vAlign w:val="center"/>
                </w:tcPr>
                <w:p w14:paraId="40B65999" w14:textId="77777777" w:rsidR="00F76A63" w:rsidRDefault="00000000">
                  <w:pPr>
                    <w:adjustRightInd w:val="0"/>
                    <w:snapToGrid w:val="0"/>
                    <w:jc w:val="center"/>
                    <w:rPr>
                      <w:sz w:val="18"/>
                      <w:szCs w:val="18"/>
                    </w:rPr>
                  </w:pPr>
                  <w:r>
                    <w:rPr>
                      <w:sz w:val="18"/>
                      <w:szCs w:val="18"/>
                    </w:rPr>
                    <w:t>0.1</w:t>
                  </w:r>
                </w:p>
              </w:tc>
            </w:tr>
          </w:tbl>
          <w:p w14:paraId="1D9280E2" w14:textId="77777777" w:rsidR="00F76A63" w:rsidRDefault="00000000">
            <w:pPr>
              <w:widowControl/>
              <w:spacing w:line="500" w:lineRule="exact"/>
              <w:ind w:firstLineChars="200" w:firstLine="480"/>
              <w:rPr>
                <w:bCs/>
                <w:sz w:val="24"/>
              </w:rPr>
            </w:pPr>
            <w:bookmarkStart w:id="103" w:name="OLE_LINK3"/>
            <w:r>
              <w:rPr>
                <w:bCs/>
                <w:sz w:val="24"/>
              </w:rPr>
              <w:t>由监测数据表明，窑头及窑尾各类污染物的监测浓度均可满足</w:t>
            </w:r>
            <w:r>
              <w:rPr>
                <w:sz w:val="24"/>
              </w:rPr>
              <w:t>《水泥工业大气污染物排放标准》（</w:t>
            </w:r>
            <w:r>
              <w:rPr>
                <w:sz w:val="24"/>
              </w:rPr>
              <w:t>DB 32/4149-2021</w:t>
            </w:r>
            <w:r>
              <w:rPr>
                <w:sz w:val="24"/>
              </w:rPr>
              <w:t>）中表</w:t>
            </w:r>
            <w:r>
              <w:rPr>
                <w:sz w:val="24"/>
              </w:rPr>
              <w:t>1 Ⅱ</w:t>
            </w:r>
            <w:r>
              <w:rPr>
                <w:sz w:val="24"/>
              </w:rPr>
              <w:t>阶段排放限值要求</w:t>
            </w:r>
            <w:r>
              <w:rPr>
                <w:bCs/>
                <w:sz w:val="24"/>
              </w:rPr>
              <w:t>；窑尾烟气中汞，铊、镉、铅、砷及其化合物，铍、铬、锡、锑、铜、钴、锰、镍、钒及其化合物、</w:t>
            </w:r>
            <w:r>
              <w:rPr>
                <w:bCs/>
                <w:kern w:val="0"/>
                <w:sz w:val="24"/>
              </w:rPr>
              <w:t>二噁英</w:t>
            </w:r>
            <w:r>
              <w:rPr>
                <w:bCs/>
                <w:sz w:val="24"/>
              </w:rPr>
              <w:t>排放浓度满足《水泥窑协同处置固体废物污染控制标准》</w:t>
            </w:r>
            <w:r>
              <w:rPr>
                <w:rFonts w:hint="eastAsia"/>
                <w:bCs/>
                <w:sz w:val="24"/>
              </w:rPr>
              <w:t>（</w:t>
            </w:r>
            <w:r>
              <w:rPr>
                <w:bCs/>
                <w:sz w:val="24"/>
              </w:rPr>
              <w:t>GB30485-2013</w:t>
            </w:r>
            <w:r>
              <w:rPr>
                <w:rFonts w:hint="eastAsia"/>
                <w:bCs/>
                <w:sz w:val="24"/>
              </w:rPr>
              <w:t>）</w:t>
            </w:r>
            <w:r>
              <w:rPr>
                <w:bCs/>
                <w:sz w:val="24"/>
              </w:rPr>
              <w:t>表</w:t>
            </w:r>
            <w:r>
              <w:rPr>
                <w:bCs/>
                <w:sz w:val="24"/>
              </w:rPr>
              <w:t>1</w:t>
            </w:r>
            <w:r>
              <w:rPr>
                <w:bCs/>
                <w:sz w:val="24"/>
              </w:rPr>
              <w:t>标准。</w:t>
            </w:r>
          </w:p>
          <w:bookmarkEnd w:id="99"/>
          <w:bookmarkEnd w:id="103"/>
          <w:p w14:paraId="18671181" w14:textId="77777777" w:rsidR="00F76A63" w:rsidRDefault="00000000">
            <w:pPr>
              <w:spacing w:line="500" w:lineRule="exact"/>
              <w:ind w:firstLineChars="200" w:firstLine="480"/>
              <w:rPr>
                <w:sz w:val="24"/>
              </w:rPr>
            </w:pPr>
            <w:r>
              <w:rPr>
                <w:sz w:val="24"/>
              </w:rPr>
              <w:t>无组织废气具体监测情况见表</w:t>
            </w:r>
            <w:r>
              <w:rPr>
                <w:sz w:val="24"/>
              </w:rPr>
              <w:t>2-5</w:t>
            </w:r>
            <w:r>
              <w:rPr>
                <w:rFonts w:hint="eastAsia"/>
                <w:sz w:val="24"/>
              </w:rPr>
              <w:t>2</w:t>
            </w:r>
            <w:r>
              <w:rPr>
                <w:sz w:val="24"/>
              </w:rPr>
              <w:t>。</w:t>
            </w:r>
          </w:p>
          <w:p w14:paraId="45174C91" w14:textId="77777777" w:rsidR="00F76A63" w:rsidRDefault="00000000">
            <w:pPr>
              <w:adjustRightInd w:val="0"/>
              <w:snapToGrid w:val="0"/>
              <w:spacing w:line="500" w:lineRule="exact"/>
              <w:jc w:val="center"/>
              <w:rPr>
                <w:b/>
                <w:sz w:val="24"/>
              </w:rPr>
            </w:pPr>
            <w:r>
              <w:rPr>
                <w:rFonts w:hint="eastAsia"/>
                <w:b/>
                <w:sz w:val="24"/>
              </w:rPr>
              <w:t>表</w:t>
            </w:r>
            <w:r>
              <w:rPr>
                <w:b/>
                <w:sz w:val="24"/>
              </w:rPr>
              <w:t>2-5</w:t>
            </w:r>
            <w:r>
              <w:rPr>
                <w:rFonts w:hint="eastAsia"/>
                <w:b/>
                <w:sz w:val="24"/>
              </w:rPr>
              <w:t>2</w:t>
            </w:r>
            <w:r>
              <w:rPr>
                <w:b/>
                <w:sz w:val="24"/>
              </w:rPr>
              <w:t xml:space="preserve">  </w:t>
            </w:r>
            <w:r>
              <w:rPr>
                <w:b/>
                <w:sz w:val="24"/>
              </w:rPr>
              <w:t>无组织废气监测结果</w:t>
            </w:r>
          </w:p>
          <w:tbl>
            <w:tblPr>
              <w:tblW w:w="5000" w:type="pct"/>
              <w:jc w:val="center"/>
              <w:tblBorders>
                <w:top w:val="single" w:sz="12" w:space="0" w:color="000000"/>
                <w:bottom w:val="single" w:sz="12"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534"/>
              <w:gridCol w:w="600"/>
              <w:gridCol w:w="965"/>
              <w:gridCol w:w="1329"/>
              <w:gridCol w:w="1187"/>
              <w:gridCol w:w="913"/>
              <w:gridCol w:w="913"/>
              <w:gridCol w:w="1035"/>
              <w:gridCol w:w="701"/>
            </w:tblGrid>
            <w:tr w:rsidR="00F76A63" w14:paraId="0B61FD78" w14:textId="77777777">
              <w:trPr>
                <w:trHeight w:val="300"/>
                <w:jc w:val="center"/>
              </w:trPr>
              <w:tc>
                <w:tcPr>
                  <w:tcW w:w="538" w:type="dxa"/>
                  <w:vMerge w:val="restart"/>
                  <w:tcBorders>
                    <w:top w:val="single" w:sz="12" w:space="0" w:color="000000"/>
                    <w:left w:val="nil"/>
                    <w:bottom w:val="single" w:sz="4" w:space="0" w:color="000000"/>
                    <w:right w:val="single" w:sz="4" w:space="0" w:color="000000"/>
                  </w:tcBorders>
                  <w:vAlign w:val="center"/>
                </w:tcPr>
                <w:p w14:paraId="29E13430" w14:textId="77777777" w:rsidR="00F76A63" w:rsidRDefault="00000000">
                  <w:pPr>
                    <w:widowControl/>
                    <w:jc w:val="center"/>
                    <w:textAlignment w:val="center"/>
                    <w:rPr>
                      <w:b/>
                      <w:bCs/>
                      <w:szCs w:val="21"/>
                    </w:rPr>
                  </w:pPr>
                  <w:r>
                    <w:rPr>
                      <w:b/>
                      <w:bCs/>
                    </w:rPr>
                    <w:t>采样日期</w:t>
                  </w:r>
                </w:p>
              </w:tc>
              <w:tc>
                <w:tcPr>
                  <w:tcW w:w="613" w:type="dxa"/>
                  <w:vMerge w:val="restart"/>
                  <w:tcBorders>
                    <w:top w:val="single" w:sz="12" w:space="0" w:color="000000"/>
                    <w:left w:val="single" w:sz="4" w:space="0" w:color="000000"/>
                    <w:bottom w:val="single" w:sz="4" w:space="0" w:color="000000"/>
                    <w:right w:val="single" w:sz="4" w:space="0" w:color="000000"/>
                  </w:tcBorders>
                  <w:vAlign w:val="center"/>
                </w:tcPr>
                <w:p w14:paraId="3F9BE34A" w14:textId="77777777" w:rsidR="00F76A63" w:rsidRDefault="00000000">
                  <w:pPr>
                    <w:widowControl/>
                    <w:jc w:val="center"/>
                    <w:textAlignment w:val="center"/>
                    <w:rPr>
                      <w:b/>
                      <w:bCs/>
                    </w:rPr>
                  </w:pPr>
                  <w:r>
                    <w:rPr>
                      <w:b/>
                      <w:bCs/>
                    </w:rPr>
                    <w:t>检测项目</w:t>
                  </w:r>
                </w:p>
              </w:tc>
              <w:tc>
                <w:tcPr>
                  <w:tcW w:w="990" w:type="dxa"/>
                  <w:vMerge w:val="restart"/>
                  <w:tcBorders>
                    <w:top w:val="single" w:sz="12" w:space="0" w:color="000000"/>
                    <w:left w:val="single" w:sz="4" w:space="0" w:color="000000"/>
                    <w:bottom w:val="single" w:sz="4" w:space="0" w:color="000000"/>
                    <w:right w:val="single" w:sz="4" w:space="0" w:color="000000"/>
                  </w:tcBorders>
                  <w:vAlign w:val="center"/>
                </w:tcPr>
                <w:p w14:paraId="5A6B5D28" w14:textId="77777777" w:rsidR="00F76A63" w:rsidRDefault="00000000">
                  <w:pPr>
                    <w:widowControl/>
                    <w:jc w:val="center"/>
                    <w:textAlignment w:val="center"/>
                    <w:rPr>
                      <w:b/>
                      <w:bCs/>
                    </w:rPr>
                  </w:pPr>
                  <w:r>
                    <w:rPr>
                      <w:b/>
                      <w:bCs/>
                    </w:rPr>
                    <w:t>检测点位</w:t>
                  </w:r>
                </w:p>
              </w:tc>
              <w:tc>
                <w:tcPr>
                  <w:tcW w:w="4427" w:type="dxa"/>
                  <w:gridSpan w:val="4"/>
                  <w:tcBorders>
                    <w:top w:val="single" w:sz="12" w:space="0" w:color="000000"/>
                    <w:left w:val="single" w:sz="4" w:space="0" w:color="000000"/>
                    <w:bottom w:val="single" w:sz="4" w:space="0" w:color="000000"/>
                    <w:right w:val="single" w:sz="4" w:space="0" w:color="000000"/>
                  </w:tcBorders>
                  <w:vAlign w:val="center"/>
                </w:tcPr>
                <w:p w14:paraId="63E1A81D" w14:textId="77777777" w:rsidR="00F76A63" w:rsidRDefault="00000000">
                  <w:pPr>
                    <w:widowControl/>
                    <w:jc w:val="center"/>
                    <w:textAlignment w:val="center"/>
                    <w:rPr>
                      <w:b/>
                      <w:bCs/>
                    </w:rPr>
                  </w:pPr>
                  <w:r>
                    <w:rPr>
                      <w:b/>
                      <w:bCs/>
                    </w:rPr>
                    <w:t>监测结果（</w:t>
                  </w:r>
                  <w:r>
                    <w:rPr>
                      <w:b/>
                      <w:bCs/>
                      <w:kern w:val="0"/>
                    </w:rPr>
                    <w:t>mg/m</w:t>
                  </w:r>
                  <w:r>
                    <w:rPr>
                      <w:b/>
                      <w:bCs/>
                      <w:kern w:val="0"/>
                      <w:vertAlign w:val="superscript"/>
                    </w:rPr>
                    <w:t>3</w:t>
                  </w:r>
                  <w:r>
                    <w:rPr>
                      <w:b/>
                      <w:bCs/>
                    </w:rPr>
                    <w:t>）</w:t>
                  </w:r>
                </w:p>
              </w:tc>
              <w:tc>
                <w:tcPr>
                  <w:tcW w:w="825" w:type="dxa"/>
                  <w:vMerge w:val="restart"/>
                  <w:tcBorders>
                    <w:top w:val="single" w:sz="12" w:space="0" w:color="000000"/>
                    <w:left w:val="single" w:sz="4" w:space="0" w:color="000000"/>
                    <w:bottom w:val="single" w:sz="4" w:space="0" w:color="000000"/>
                    <w:right w:val="single" w:sz="4" w:space="0" w:color="000000"/>
                  </w:tcBorders>
                  <w:vAlign w:val="center"/>
                </w:tcPr>
                <w:p w14:paraId="62FB3F8B" w14:textId="77777777" w:rsidR="00F76A63" w:rsidRDefault="00000000">
                  <w:pPr>
                    <w:widowControl/>
                    <w:jc w:val="center"/>
                    <w:textAlignment w:val="center"/>
                    <w:rPr>
                      <w:b/>
                      <w:bCs/>
                    </w:rPr>
                  </w:pPr>
                  <w:r>
                    <w:rPr>
                      <w:b/>
                      <w:bCs/>
                    </w:rPr>
                    <w:t>标准</w:t>
                  </w:r>
                </w:p>
                <w:p w14:paraId="5BC19D9F" w14:textId="77777777" w:rsidR="00F76A63" w:rsidRDefault="00000000">
                  <w:pPr>
                    <w:widowControl/>
                    <w:jc w:val="center"/>
                    <w:textAlignment w:val="center"/>
                    <w:rPr>
                      <w:b/>
                      <w:bCs/>
                    </w:rPr>
                  </w:pPr>
                  <w:r>
                    <w:rPr>
                      <w:b/>
                      <w:bCs/>
                    </w:rPr>
                    <w:t>限值（</w:t>
                  </w:r>
                  <w:r>
                    <w:rPr>
                      <w:b/>
                      <w:bCs/>
                      <w:kern w:val="0"/>
                    </w:rPr>
                    <w:t>mg/m</w:t>
                  </w:r>
                  <w:r>
                    <w:rPr>
                      <w:b/>
                      <w:bCs/>
                      <w:kern w:val="0"/>
                      <w:vertAlign w:val="superscript"/>
                    </w:rPr>
                    <w:t>3</w:t>
                  </w:r>
                  <w:r>
                    <w:rPr>
                      <w:b/>
                      <w:bCs/>
                    </w:rPr>
                    <w:t>）</w:t>
                  </w:r>
                </w:p>
              </w:tc>
              <w:tc>
                <w:tcPr>
                  <w:tcW w:w="718" w:type="dxa"/>
                  <w:vMerge w:val="restart"/>
                  <w:tcBorders>
                    <w:top w:val="single" w:sz="12" w:space="0" w:color="000000"/>
                    <w:left w:val="single" w:sz="4" w:space="0" w:color="000000"/>
                    <w:bottom w:val="single" w:sz="4" w:space="0" w:color="000000"/>
                    <w:right w:val="nil"/>
                  </w:tcBorders>
                  <w:vAlign w:val="center"/>
                </w:tcPr>
                <w:p w14:paraId="2DC8CCB5" w14:textId="77777777" w:rsidR="00F76A63" w:rsidRDefault="00000000">
                  <w:pPr>
                    <w:widowControl/>
                    <w:jc w:val="center"/>
                    <w:textAlignment w:val="center"/>
                    <w:rPr>
                      <w:b/>
                      <w:bCs/>
                    </w:rPr>
                  </w:pPr>
                  <w:r>
                    <w:rPr>
                      <w:b/>
                      <w:bCs/>
                    </w:rPr>
                    <w:t>达标情况</w:t>
                  </w:r>
                </w:p>
              </w:tc>
            </w:tr>
            <w:tr w:rsidR="00F76A63" w14:paraId="19E03569" w14:textId="77777777">
              <w:trPr>
                <w:trHeight w:val="300"/>
                <w:jc w:val="center"/>
              </w:trPr>
              <w:tc>
                <w:tcPr>
                  <w:tcW w:w="538" w:type="dxa"/>
                  <w:vMerge/>
                  <w:tcBorders>
                    <w:top w:val="single" w:sz="12" w:space="0" w:color="000000"/>
                    <w:left w:val="nil"/>
                    <w:bottom w:val="single" w:sz="4" w:space="0" w:color="000000"/>
                    <w:right w:val="single" w:sz="4" w:space="0" w:color="000000"/>
                  </w:tcBorders>
                  <w:vAlign w:val="center"/>
                </w:tcPr>
                <w:p w14:paraId="4945A389" w14:textId="77777777" w:rsidR="00F76A63" w:rsidRDefault="00F76A63">
                  <w:pPr>
                    <w:widowControl/>
                    <w:jc w:val="center"/>
                    <w:rPr>
                      <w:b/>
                      <w:bCs/>
                      <w:szCs w:val="21"/>
                    </w:rPr>
                  </w:pPr>
                </w:p>
              </w:tc>
              <w:tc>
                <w:tcPr>
                  <w:tcW w:w="613" w:type="dxa"/>
                  <w:vMerge/>
                  <w:tcBorders>
                    <w:top w:val="single" w:sz="12" w:space="0" w:color="000000"/>
                    <w:left w:val="single" w:sz="4" w:space="0" w:color="000000"/>
                    <w:bottom w:val="single" w:sz="4" w:space="0" w:color="000000"/>
                    <w:right w:val="single" w:sz="4" w:space="0" w:color="000000"/>
                  </w:tcBorders>
                  <w:vAlign w:val="center"/>
                </w:tcPr>
                <w:p w14:paraId="0F9F886D" w14:textId="77777777" w:rsidR="00F76A63" w:rsidRDefault="00F76A63">
                  <w:pPr>
                    <w:widowControl/>
                    <w:jc w:val="center"/>
                    <w:rPr>
                      <w:b/>
                      <w:bCs/>
                      <w:szCs w:val="21"/>
                    </w:rPr>
                  </w:pPr>
                </w:p>
              </w:tc>
              <w:tc>
                <w:tcPr>
                  <w:tcW w:w="990" w:type="dxa"/>
                  <w:vMerge/>
                  <w:tcBorders>
                    <w:top w:val="single" w:sz="12" w:space="0" w:color="000000"/>
                    <w:left w:val="single" w:sz="4" w:space="0" w:color="000000"/>
                    <w:bottom w:val="single" w:sz="4" w:space="0" w:color="000000"/>
                    <w:right w:val="single" w:sz="4" w:space="0" w:color="000000"/>
                  </w:tcBorders>
                  <w:vAlign w:val="center"/>
                </w:tcPr>
                <w:p w14:paraId="76418646" w14:textId="77777777" w:rsidR="00F76A63" w:rsidRDefault="00F76A63">
                  <w:pPr>
                    <w:widowControl/>
                    <w:jc w:val="center"/>
                    <w:rPr>
                      <w:b/>
                      <w:bCs/>
                      <w:szCs w:val="21"/>
                    </w:rPr>
                  </w:pPr>
                </w:p>
              </w:tc>
              <w:tc>
                <w:tcPr>
                  <w:tcW w:w="1359" w:type="dxa"/>
                  <w:tcBorders>
                    <w:top w:val="single" w:sz="4" w:space="0" w:color="000000"/>
                    <w:left w:val="single" w:sz="4" w:space="0" w:color="000000"/>
                    <w:bottom w:val="single" w:sz="4" w:space="0" w:color="000000"/>
                    <w:right w:val="single" w:sz="4" w:space="0" w:color="000000"/>
                  </w:tcBorders>
                  <w:vAlign w:val="center"/>
                </w:tcPr>
                <w:p w14:paraId="4AC932FA" w14:textId="77777777" w:rsidR="00F76A63" w:rsidRDefault="00000000">
                  <w:pPr>
                    <w:widowControl/>
                    <w:jc w:val="center"/>
                    <w:textAlignment w:val="center"/>
                    <w:rPr>
                      <w:b/>
                      <w:bCs/>
                    </w:rPr>
                  </w:pPr>
                  <w:r>
                    <w:rPr>
                      <w:b/>
                      <w:bCs/>
                    </w:rPr>
                    <w:t>第一次</w:t>
                  </w:r>
                </w:p>
              </w:tc>
              <w:tc>
                <w:tcPr>
                  <w:tcW w:w="1212" w:type="dxa"/>
                  <w:tcBorders>
                    <w:top w:val="single" w:sz="4" w:space="0" w:color="000000"/>
                    <w:left w:val="single" w:sz="4" w:space="0" w:color="000000"/>
                    <w:bottom w:val="single" w:sz="4" w:space="0" w:color="000000"/>
                    <w:right w:val="single" w:sz="4" w:space="0" w:color="000000"/>
                  </w:tcBorders>
                  <w:vAlign w:val="center"/>
                </w:tcPr>
                <w:p w14:paraId="23B56AED" w14:textId="77777777" w:rsidR="00F76A63" w:rsidRDefault="00000000">
                  <w:pPr>
                    <w:jc w:val="center"/>
                    <w:rPr>
                      <w:b/>
                      <w:bCs/>
                    </w:rPr>
                  </w:pPr>
                  <w:r>
                    <w:rPr>
                      <w:b/>
                      <w:bCs/>
                    </w:rPr>
                    <w:t>第二次</w:t>
                  </w:r>
                </w:p>
              </w:tc>
              <w:tc>
                <w:tcPr>
                  <w:tcW w:w="928" w:type="dxa"/>
                  <w:tcBorders>
                    <w:top w:val="single" w:sz="4" w:space="0" w:color="000000"/>
                    <w:left w:val="single" w:sz="4" w:space="0" w:color="000000"/>
                    <w:bottom w:val="single" w:sz="4" w:space="0" w:color="000000"/>
                    <w:right w:val="single" w:sz="4" w:space="0" w:color="000000"/>
                  </w:tcBorders>
                  <w:vAlign w:val="center"/>
                </w:tcPr>
                <w:p w14:paraId="01D3D23B" w14:textId="77777777" w:rsidR="00F76A63" w:rsidRDefault="00000000">
                  <w:pPr>
                    <w:jc w:val="center"/>
                    <w:rPr>
                      <w:b/>
                      <w:bCs/>
                    </w:rPr>
                  </w:pPr>
                  <w:r>
                    <w:rPr>
                      <w:b/>
                      <w:bCs/>
                    </w:rPr>
                    <w:t>第三次</w:t>
                  </w:r>
                </w:p>
              </w:tc>
              <w:tc>
                <w:tcPr>
                  <w:tcW w:w="928" w:type="dxa"/>
                  <w:tcBorders>
                    <w:top w:val="single" w:sz="4" w:space="0" w:color="000000"/>
                    <w:left w:val="single" w:sz="4" w:space="0" w:color="000000"/>
                    <w:bottom w:val="single" w:sz="4" w:space="0" w:color="000000"/>
                    <w:right w:val="single" w:sz="4" w:space="0" w:color="000000"/>
                  </w:tcBorders>
                  <w:vAlign w:val="center"/>
                </w:tcPr>
                <w:p w14:paraId="3634C387" w14:textId="77777777" w:rsidR="00F76A63" w:rsidRDefault="00000000">
                  <w:pPr>
                    <w:jc w:val="center"/>
                    <w:rPr>
                      <w:b/>
                      <w:bCs/>
                    </w:rPr>
                  </w:pPr>
                  <w:r>
                    <w:rPr>
                      <w:b/>
                      <w:bCs/>
                    </w:rPr>
                    <w:t>平均值</w:t>
                  </w:r>
                </w:p>
              </w:tc>
              <w:tc>
                <w:tcPr>
                  <w:tcW w:w="825" w:type="dxa"/>
                  <w:vMerge/>
                  <w:tcBorders>
                    <w:top w:val="single" w:sz="12" w:space="0" w:color="000000"/>
                    <w:left w:val="single" w:sz="4" w:space="0" w:color="000000"/>
                    <w:bottom w:val="single" w:sz="4" w:space="0" w:color="000000"/>
                    <w:right w:val="single" w:sz="4" w:space="0" w:color="000000"/>
                  </w:tcBorders>
                  <w:vAlign w:val="center"/>
                </w:tcPr>
                <w:p w14:paraId="213DDE53" w14:textId="77777777" w:rsidR="00F76A63" w:rsidRDefault="00F76A63">
                  <w:pPr>
                    <w:widowControl/>
                    <w:jc w:val="center"/>
                    <w:rPr>
                      <w:b/>
                      <w:bCs/>
                      <w:szCs w:val="21"/>
                    </w:rPr>
                  </w:pPr>
                </w:p>
              </w:tc>
              <w:tc>
                <w:tcPr>
                  <w:tcW w:w="718" w:type="dxa"/>
                  <w:vMerge/>
                  <w:tcBorders>
                    <w:top w:val="single" w:sz="12" w:space="0" w:color="000000"/>
                    <w:left w:val="single" w:sz="4" w:space="0" w:color="000000"/>
                    <w:bottom w:val="single" w:sz="4" w:space="0" w:color="000000"/>
                    <w:right w:val="nil"/>
                  </w:tcBorders>
                  <w:vAlign w:val="center"/>
                </w:tcPr>
                <w:p w14:paraId="5D86DD2F" w14:textId="77777777" w:rsidR="00F76A63" w:rsidRDefault="00F76A63">
                  <w:pPr>
                    <w:widowControl/>
                    <w:jc w:val="center"/>
                    <w:rPr>
                      <w:b/>
                      <w:bCs/>
                      <w:szCs w:val="21"/>
                    </w:rPr>
                  </w:pPr>
                </w:p>
              </w:tc>
            </w:tr>
            <w:tr w:rsidR="00F76A63" w14:paraId="1E2A026E" w14:textId="77777777">
              <w:trPr>
                <w:trHeight w:val="300"/>
                <w:jc w:val="center"/>
              </w:trPr>
              <w:tc>
                <w:tcPr>
                  <w:tcW w:w="538" w:type="dxa"/>
                  <w:vMerge w:val="restart"/>
                  <w:tcBorders>
                    <w:top w:val="single" w:sz="4" w:space="0" w:color="000000"/>
                    <w:left w:val="nil"/>
                    <w:bottom w:val="single" w:sz="4" w:space="0" w:color="000000"/>
                    <w:right w:val="single" w:sz="4" w:space="0" w:color="000000"/>
                  </w:tcBorders>
                  <w:vAlign w:val="center"/>
                </w:tcPr>
                <w:p w14:paraId="496DAEBF" w14:textId="77777777" w:rsidR="00F76A63" w:rsidRDefault="00000000">
                  <w:pPr>
                    <w:jc w:val="center"/>
                  </w:pPr>
                  <w:r>
                    <w:t>202</w:t>
                  </w:r>
                  <w:r>
                    <w:rPr>
                      <w:rFonts w:hint="eastAsia"/>
                    </w:rPr>
                    <w:t>6</w:t>
                  </w:r>
                  <w:r>
                    <w:t>年</w:t>
                  </w:r>
                  <w:r>
                    <w:t>3</w:t>
                  </w:r>
                  <w:r>
                    <w:t>月</w:t>
                  </w:r>
                  <w:r>
                    <w:t>2</w:t>
                  </w:r>
                  <w:r>
                    <w:rPr>
                      <w:rFonts w:hint="eastAsia"/>
                    </w:rPr>
                    <w:t>2</w:t>
                  </w:r>
                  <w:r>
                    <w:t>日</w:t>
                  </w:r>
                </w:p>
              </w:tc>
              <w:tc>
                <w:tcPr>
                  <w:tcW w:w="613" w:type="dxa"/>
                  <w:vMerge w:val="restart"/>
                  <w:tcBorders>
                    <w:top w:val="single" w:sz="4" w:space="0" w:color="000000"/>
                    <w:left w:val="single" w:sz="4" w:space="0" w:color="000000"/>
                    <w:bottom w:val="single" w:sz="4" w:space="0" w:color="000000"/>
                    <w:right w:val="single" w:sz="4" w:space="0" w:color="000000"/>
                  </w:tcBorders>
                  <w:vAlign w:val="center"/>
                </w:tcPr>
                <w:p w14:paraId="0FD5B8AC" w14:textId="77777777" w:rsidR="00F76A63" w:rsidRDefault="00000000">
                  <w:pPr>
                    <w:adjustRightInd w:val="0"/>
                    <w:snapToGrid w:val="0"/>
                    <w:jc w:val="center"/>
                    <w:textAlignment w:val="baseline"/>
                  </w:pPr>
                  <w:r>
                    <w:t>颗粒物</w:t>
                  </w:r>
                </w:p>
              </w:tc>
              <w:tc>
                <w:tcPr>
                  <w:tcW w:w="990" w:type="dxa"/>
                  <w:tcBorders>
                    <w:top w:val="single" w:sz="4" w:space="0" w:color="000000"/>
                    <w:left w:val="single" w:sz="4" w:space="0" w:color="000000"/>
                    <w:bottom w:val="single" w:sz="4" w:space="0" w:color="000000"/>
                    <w:right w:val="single" w:sz="4" w:space="0" w:color="000000"/>
                  </w:tcBorders>
                  <w:vAlign w:val="center"/>
                </w:tcPr>
                <w:p w14:paraId="151A4573" w14:textId="77777777" w:rsidR="00F76A63" w:rsidRDefault="00000000">
                  <w:pPr>
                    <w:jc w:val="center"/>
                  </w:pPr>
                  <w:r>
                    <w:t>上风向</w:t>
                  </w:r>
                  <w:r>
                    <w:t>G1</w:t>
                  </w:r>
                </w:p>
              </w:tc>
              <w:tc>
                <w:tcPr>
                  <w:tcW w:w="1359" w:type="dxa"/>
                  <w:tcBorders>
                    <w:top w:val="single" w:sz="4" w:space="0" w:color="000000"/>
                    <w:left w:val="single" w:sz="4" w:space="0" w:color="000000"/>
                    <w:bottom w:val="single" w:sz="4" w:space="0" w:color="000000"/>
                    <w:right w:val="single" w:sz="4" w:space="0" w:color="000000"/>
                  </w:tcBorders>
                  <w:vAlign w:val="center"/>
                </w:tcPr>
                <w:p w14:paraId="2BE711A3" w14:textId="77777777" w:rsidR="00F76A63" w:rsidRDefault="00000000">
                  <w:pPr>
                    <w:jc w:val="center"/>
                  </w:pPr>
                  <w:r>
                    <w:rPr>
                      <w:rFonts w:hint="eastAsia"/>
                    </w:rPr>
                    <w:t>0.171</w:t>
                  </w:r>
                </w:p>
              </w:tc>
              <w:tc>
                <w:tcPr>
                  <w:tcW w:w="1212" w:type="dxa"/>
                  <w:tcBorders>
                    <w:top w:val="single" w:sz="4" w:space="0" w:color="000000"/>
                    <w:left w:val="single" w:sz="4" w:space="0" w:color="000000"/>
                    <w:bottom w:val="single" w:sz="4" w:space="0" w:color="000000"/>
                    <w:right w:val="single" w:sz="4" w:space="0" w:color="000000"/>
                  </w:tcBorders>
                  <w:vAlign w:val="center"/>
                </w:tcPr>
                <w:p w14:paraId="5A9C7148" w14:textId="77777777" w:rsidR="00F76A63" w:rsidRDefault="00000000">
                  <w:pPr>
                    <w:widowControl/>
                    <w:jc w:val="center"/>
                    <w:rPr>
                      <w:kern w:val="0"/>
                    </w:rPr>
                  </w:pPr>
                  <w:r>
                    <w:rPr>
                      <w:rFonts w:hint="eastAsia"/>
                    </w:rPr>
                    <w:t>0.173</w:t>
                  </w:r>
                </w:p>
              </w:tc>
              <w:tc>
                <w:tcPr>
                  <w:tcW w:w="928" w:type="dxa"/>
                  <w:tcBorders>
                    <w:top w:val="single" w:sz="4" w:space="0" w:color="000000"/>
                    <w:left w:val="single" w:sz="4" w:space="0" w:color="000000"/>
                    <w:bottom w:val="single" w:sz="4" w:space="0" w:color="000000"/>
                    <w:right w:val="single" w:sz="4" w:space="0" w:color="000000"/>
                  </w:tcBorders>
                  <w:vAlign w:val="center"/>
                </w:tcPr>
                <w:p w14:paraId="3EB2B38B" w14:textId="77777777" w:rsidR="00F76A63" w:rsidRDefault="00000000">
                  <w:pPr>
                    <w:widowControl/>
                    <w:jc w:val="center"/>
                    <w:rPr>
                      <w:kern w:val="0"/>
                    </w:rPr>
                  </w:pPr>
                  <w:r>
                    <w:rPr>
                      <w:rFonts w:hint="eastAsia"/>
                    </w:rPr>
                    <w:t>0.173</w:t>
                  </w:r>
                </w:p>
              </w:tc>
              <w:tc>
                <w:tcPr>
                  <w:tcW w:w="928" w:type="dxa"/>
                  <w:tcBorders>
                    <w:top w:val="single" w:sz="4" w:space="0" w:color="000000"/>
                    <w:left w:val="single" w:sz="4" w:space="0" w:color="000000"/>
                    <w:bottom w:val="single" w:sz="4" w:space="0" w:color="000000"/>
                    <w:right w:val="single" w:sz="4" w:space="0" w:color="000000"/>
                  </w:tcBorders>
                  <w:vAlign w:val="center"/>
                </w:tcPr>
                <w:p w14:paraId="689EB3E9" w14:textId="77777777" w:rsidR="00F76A63" w:rsidRDefault="00000000">
                  <w:pPr>
                    <w:widowControl/>
                    <w:jc w:val="center"/>
                    <w:rPr>
                      <w:kern w:val="0"/>
                    </w:rPr>
                  </w:pPr>
                  <w:r>
                    <w:rPr>
                      <w:rFonts w:hint="eastAsia"/>
                    </w:rPr>
                    <w:t>0.172</w:t>
                  </w:r>
                </w:p>
              </w:tc>
              <w:tc>
                <w:tcPr>
                  <w:tcW w:w="825" w:type="dxa"/>
                  <w:vMerge w:val="restart"/>
                  <w:tcBorders>
                    <w:top w:val="single" w:sz="4" w:space="0" w:color="000000"/>
                    <w:left w:val="single" w:sz="4" w:space="0" w:color="000000"/>
                    <w:bottom w:val="single" w:sz="4" w:space="0" w:color="000000"/>
                    <w:right w:val="single" w:sz="4" w:space="0" w:color="000000"/>
                  </w:tcBorders>
                  <w:vAlign w:val="center"/>
                </w:tcPr>
                <w:p w14:paraId="2B68D85F" w14:textId="77777777" w:rsidR="00F76A63" w:rsidRDefault="00000000">
                  <w:pPr>
                    <w:jc w:val="center"/>
                    <w:rPr>
                      <w:kern w:val="0"/>
                    </w:rPr>
                  </w:pPr>
                  <w:r>
                    <w:rPr>
                      <w:kern w:val="0"/>
                    </w:rPr>
                    <w:t>0.5</w:t>
                  </w:r>
                </w:p>
              </w:tc>
              <w:tc>
                <w:tcPr>
                  <w:tcW w:w="718" w:type="dxa"/>
                  <w:tcBorders>
                    <w:top w:val="single" w:sz="4" w:space="0" w:color="000000"/>
                    <w:left w:val="single" w:sz="4" w:space="0" w:color="000000"/>
                    <w:bottom w:val="single" w:sz="4" w:space="0" w:color="000000"/>
                    <w:right w:val="nil"/>
                  </w:tcBorders>
                  <w:vAlign w:val="center"/>
                </w:tcPr>
                <w:p w14:paraId="70418F79" w14:textId="77777777" w:rsidR="00F76A63" w:rsidRDefault="00000000">
                  <w:pPr>
                    <w:jc w:val="center"/>
                    <w:rPr>
                      <w:kern w:val="0"/>
                    </w:rPr>
                  </w:pPr>
                  <w:r>
                    <w:rPr>
                      <w:kern w:val="0"/>
                    </w:rPr>
                    <w:t>达标</w:t>
                  </w:r>
                </w:p>
              </w:tc>
            </w:tr>
            <w:tr w:rsidR="00F76A63" w14:paraId="641F84BF" w14:textId="77777777">
              <w:trPr>
                <w:trHeight w:val="300"/>
                <w:jc w:val="center"/>
              </w:trPr>
              <w:tc>
                <w:tcPr>
                  <w:tcW w:w="538" w:type="dxa"/>
                  <w:vMerge/>
                  <w:tcBorders>
                    <w:top w:val="single" w:sz="4" w:space="0" w:color="000000"/>
                    <w:left w:val="nil"/>
                    <w:bottom w:val="single" w:sz="4" w:space="0" w:color="000000"/>
                    <w:right w:val="single" w:sz="4" w:space="0" w:color="000000"/>
                  </w:tcBorders>
                  <w:vAlign w:val="center"/>
                </w:tcPr>
                <w:p w14:paraId="4CABF7F9" w14:textId="77777777" w:rsidR="00F76A63" w:rsidRDefault="00F76A63">
                  <w:pPr>
                    <w:widowControl/>
                    <w:jc w:val="center"/>
                    <w:rPr>
                      <w:szCs w:val="21"/>
                    </w:rPr>
                  </w:pPr>
                </w:p>
              </w:tc>
              <w:tc>
                <w:tcPr>
                  <w:tcW w:w="613" w:type="dxa"/>
                  <w:vMerge/>
                  <w:tcBorders>
                    <w:top w:val="single" w:sz="4" w:space="0" w:color="000000"/>
                    <w:left w:val="single" w:sz="4" w:space="0" w:color="000000"/>
                    <w:bottom w:val="single" w:sz="4" w:space="0" w:color="000000"/>
                    <w:right w:val="single" w:sz="4" w:space="0" w:color="000000"/>
                  </w:tcBorders>
                  <w:vAlign w:val="center"/>
                </w:tcPr>
                <w:p w14:paraId="7C54E644" w14:textId="77777777" w:rsidR="00F76A63" w:rsidRDefault="00F76A63">
                  <w:pPr>
                    <w:widowControl/>
                    <w:jc w:val="center"/>
                    <w:rPr>
                      <w:szCs w:val="21"/>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012C499" w14:textId="77777777" w:rsidR="00F76A63" w:rsidRDefault="00000000">
                  <w:pPr>
                    <w:jc w:val="center"/>
                  </w:pPr>
                  <w:r>
                    <w:t>下风向</w:t>
                  </w:r>
                  <w:r>
                    <w:t>G2</w:t>
                  </w:r>
                </w:p>
              </w:tc>
              <w:tc>
                <w:tcPr>
                  <w:tcW w:w="1359" w:type="dxa"/>
                  <w:tcBorders>
                    <w:top w:val="single" w:sz="4" w:space="0" w:color="000000"/>
                    <w:left w:val="single" w:sz="4" w:space="0" w:color="000000"/>
                    <w:bottom w:val="single" w:sz="4" w:space="0" w:color="000000"/>
                    <w:right w:val="single" w:sz="4" w:space="0" w:color="000000"/>
                  </w:tcBorders>
                  <w:vAlign w:val="center"/>
                </w:tcPr>
                <w:p w14:paraId="4B0D1233" w14:textId="77777777" w:rsidR="00F76A63" w:rsidRDefault="00000000">
                  <w:pPr>
                    <w:jc w:val="center"/>
                  </w:pPr>
                  <w:r>
                    <w:rPr>
                      <w:rFonts w:hint="eastAsia"/>
                    </w:rPr>
                    <w:t>0.175</w:t>
                  </w:r>
                </w:p>
              </w:tc>
              <w:tc>
                <w:tcPr>
                  <w:tcW w:w="1212" w:type="dxa"/>
                  <w:tcBorders>
                    <w:top w:val="single" w:sz="4" w:space="0" w:color="000000"/>
                    <w:left w:val="single" w:sz="4" w:space="0" w:color="000000"/>
                    <w:bottom w:val="single" w:sz="4" w:space="0" w:color="000000"/>
                    <w:right w:val="single" w:sz="4" w:space="0" w:color="000000"/>
                  </w:tcBorders>
                  <w:vAlign w:val="center"/>
                </w:tcPr>
                <w:p w14:paraId="4F800897" w14:textId="77777777" w:rsidR="00F76A63" w:rsidRDefault="00000000">
                  <w:pPr>
                    <w:widowControl/>
                    <w:jc w:val="center"/>
                    <w:rPr>
                      <w:kern w:val="0"/>
                      <w:szCs w:val="21"/>
                    </w:rPr>
                  </w:pPr>
                  <w:r>
                    <w:rPr>
                      <w:rFonts w:hint="eastAsia"/>
                    </w:rPr>
                    <w:t>0.179</w:t>
                  </w:r>
                </w:p>
              </w:tc>
              <w:tc>
                <w:tcPr>
                  <w:tcW w:w="928" w:type="dxa"/>
                  <w:tcBorders>
                    <w:top w:val="single" w:sz="4" w:space="0" w:color="000000"/>
                    <w:left w:val="single" w:sz="4" w:space="0" w:color="000000"/>
                    <w:bottom w:val="single" w:sz="4" w:space="0" w:color="000000"/>
                    <w:right w:val="single" w:sz="4" w:space="0" w:color="000000"/>
                  </w:tcBorders>
                  <w:vAlign w:val="center"/>
                </w:tcPr>
                <w:p w14:paraId="7DD66F6E" w14:textId="77777777" w:rsidR="00F76A63" w:rsidRDefault="00000000">
                  <w:pPr>
                    <w:widowControl/>
                    <w:jc w:val="center"/>
                    <w:rPr>
                      <w:kern w:val="0"/>
                      <w:szCs w:val="21"/>
                    </w:rPr>
                  </w:pPr>
                  <w:r>
                    <w:rPr>
                      <w:rFonts w:hint="eastAsia"/>
                    </w:rPr>
                    <w:t>0.178</w:t>
                  </w:r>
                </w:p>
              </w:tc>
              <w:tc>
                <w:tcPr>
                  <w:tcW w:w="928" w:type="dxa"/>
                  <w:tcBorders>
                    <w:top w:val="single" w:sz="4" w:space="0" w:color="000000"/>
                    <w:left w:val="single" w:sz="4" w:space="0" w:color="000000"/>
                    <w:bottom w:val="single" w:sz="4" w:space="0" w:color="000000"/>
                    <w:right w:val="single" w:sz="4" w:space="0" w:color="000000"/>
                  </w:tcBorders>
                  <w:vAlign w:val="center"/>
                </w:tcPr>
                <w:p w14:paraId="267DC25A" w14:textId="77777777" w:rsidR="00F76A63" w:rsidRDefault="00000000">
                  <w:pPr>
                    <w:widowControl/>
                    <w:jc w:val="center"/>
                    <w:rPr>
                      <w:kern w:val="0"/>
                      <w:szCs w:val="21"/>
                    </w:rPr>
                  </w:pPr>
                  <w:r>
                    <w:rPr>
                      <w:rFonts w:hint="eastAsia"/>
                    </w:rPr>
                    <w:t>0.177</w:t>
                  </w:r>
                </w:p>
              </w:tc>
              <w:tc>
                <w:tcPr>
                  <w:tcW w:w="825" w:type="dxa"/>
                  <w:vMerge/>
                  <w:tcBorders>
                    <w:top w:val="single" w:sz="4" w:space="0" w:color="000000"/>
                    <w:left w:val="single" w:sz="4" w:space="0" w:color="000000"/>
                    <w:bottom w:val="single" w:sz="4" w:space="0" w:color="000000"/>
                    <w:right w:val="single" w:sz="4" w:space="0" w:color="000000"/>
                  </w:tcBorders>
                  <w:vAlign w:val="center"/>
                </w:tcPr>
                <w:p w14:paraId="4195C60B" w14:textId="77777777" w:rsidR="00F76A63" w:rsidRDefault="00F76A63">
                  <w:pPr>
                    <w:widowControl/>
                    <w:jc w:val="center"/>
                    <w:rPr>
                      <w:kern w:val="0"/>
                      <w:szCs w:val="21"/>
                    </w:rPr>
                  </w:pPr>
                </w:p>
              </w:tc>
              <w:tc>
                <w:tcPr>
                  <w:tcW w:w="718" w:type="dxa"/>
                  <w:tcBorders>
                    <w:top w:val="single" w:sz="4" w:space="0" w:color="000000"/>
                    <w:left w:val="single" w:sz="4" w:space="0" w:color="000000"/>
                    <w:bottom w:val="single" w:sz="4" w:space="0" w:color="000000"/>
                    <w:right w:val="nil"/>
                  </w:tcBorders>
                  <w:vAlign w:val="center"/>
                </w:tcPr>
                <w:p w14:paraId="29DB7B8C" w14:textId="77777777" w:rsidR="00F76A63" w:rsidRDefault="00000000">
                  <w:pPr>
                    <w:jc w:val="center"/>
                  </w:pPr>
                  <w:r>
                    <w:rPr>
                      <w:kern w:val="0"/>
                    </w:rPr>
                    <w:t>达标</w:t>
                  </w:r>
                </w:p>
              </w:tc>
            </w:tr>
            <w:tr w:rsidR="00F76A63" w14:paraId="091E5230" w14:textId="77777777">
              <w:trPr>
                <w:trHeight w:val="300"/>
                <w:jc w:val="center"/>
              </w:trPr>
              <w:tc>
                <w:tcPr>
                  <w:tcW w:w="538" w:type="dxa"/>
                  <w:vMerge/>
                  <w:tcBorders>
                    <w:top w:val="single" w:sz="4" w:space="0" w:color="000000"/>
                    <w:left w:val="nil"/>
                    <w:bottom w:val="single" w:sz="4" w:space="0" w:color="000000"/>
                    <w:right w:val="single" w:sz="4" w:space="0" w:color="000000"/>
                  </w:tcBorders>
                  <w:vAlign w:val="center"/>
                </w:tcPr>
                <w:p w14:paraId="283479E4" w14:textId="77777777" w:rsidR="00F76A63" w:rsidRDefault="00F76A63">
                  <w:pPr>
                    <w:widowControl/>
                    <w:jc w:val="center"/>
                    <w:rPr>
                      <w:szCs w:val="21"/>
                    </w:rPr>
                  </w:pPr>
                </w:p>
              </w:tc>
              <w:tc>
                <w:tcPr>
                  <w:tcW w:w="613" w:type="dxa"/>
                  <w:vMerge/>
                  <w:tcBorders>
                    <w:top w:val="single" w:sz="4" w:space="0" w:color="000000"/>
                    <w:left w:val="single" w:sz="4" w:space="0" w:color="000000"/>
                    <w:bottom w:val="single" w:sz="4" w:space="0" w:color="000000"/>
                    <w:right w:val="single" w:sz="4" w:space="0" w:color="000000"/>
                  </w:tcBorders>
                  <w:vAlign w:val="center"/>
                </w:tcPr>
                <w:p w14:paraId="0034E5E4" w14:textId="77777777" w:rsidR="00F76A63" w:rsidRDefault="00F76A63">
                  <w:pPr>
                    <w:widowControl/>
                    <w:jc w:val="center"/>
                    <w:rPr>
                      <w:szCs w:val="21"/>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86408F0" w14:textId="77777777" w:rsidR="00F76A63" w:rsidRDefault="00000000">
                  <w:pPr>
                    <w:jc w:val="center"/>
                  </w:pPr>
                  <w:r>
                    <w:t>下风向</w:t>
                  </w:r>
                  <w:r>
                    <w:t>G3</w:t>
                  </w:r>
                </w:p>
              </w:tc>
              <w:tc>
                <w:tcPr>
                  <w:tcW w:w="1359" w:type="dxa"/>
                  <w:tcBorders>
                    <w:top w:val="single" w:sz="4" w:space="0" w:color="000000"/>
                    <w:left w:val="single" w:sz="4" w:space="0" w:color="000000"/>
                    <w:bottom w:val="single" w:sz="4" w:space="0" w:color="000000"/>
                    <w:right w:val="single" w:sz="4" w:space="0" w:color="000000"/>
                  </w:tcBorders>
                  <w:vAlign w:val="center"/>
                </w:tcPr>
                <w:p w14:paraId="00B7A002" w14:textId="77777777" w:rsidR="00F76A63" w:rsidRDefault="00000000">
                  <w:pPr>
                    <w:jc w:val="center"/>
                  </w:pPr>
                  <w:r>
                    <w:rPr>
                      <w:rFonts w:hint="eastAsia"/>
                    </w:rPr>
                    <w:t>0.180</w:t>
                  </w:r>
                </w:p>
              </w:tc>
              <w:tc>
                <w:tcPr>
                  <w:tcW w:w="1212" w:type="dxa"/>
                  <w:tcBorders>
                    <w:top w:val="single" w:sz="4" w:space="0" w:color="000000"/>
                    <w:left w:val="single" w:sz="4" w:space="0" w:color="000000"/>
                    <w:bottom w:val="single" w:sz="4" w:space="0" w:color="000000"/>
                    <w:right w:val="single" w:sz="4" w:space="0" w:color="000000"/>
                  </w:tcBorders>
                  <w:vAlign w:val="center"/>
                </w:tcPr>
                <w:p w14:paraId="1F820CCA" w14:textId="77777777" w:rsidR="00F76A63" w:rsidRDefault="00000000">
                  <w:pPr>
                    <w:widowControl/>
                    <w:jc w:val="center"/>
                    <w:rPr>
                      <w:kern w:val="0"/>
                      <w:szCs w:val="21"/>
                    </w:rPr>
                  </w:pPr>
                  <w:r>
                    <w:rPr>
                      <w:rFonts w:hint="eastAsia"/>
                    </w:rPr>
                    <w:t>0.182</w:t>
                  </w:r>
                </w:p>
              </w:tc>
              <w:tc>
                <w:tcPr>
                  <w:tcW w:w="928" w:type="dxa"/>
                  <w:tcBorders>
                    <w:top w:val="single" w:sz="4" w:space="0" w:color="000000"/>
                    <w:left w:val="single" w:sz="4" w:space="0" w:color="000000"/>
                    <w:bottom w:val="single" w:sz="4" w:space="0" w:color="000000"/>
                    <w:right w:val="single" w:sz="4" w:space="0" w:color="000000"/>
                  </w:tcBorders>
                  <w:vAlign w:val="center"/>
                </w:tcPr>
                <w:p w14:paraId="5B316213" w14:textId="77777777" w:rsidR="00F76A63" w:rsidRDefault="00000000">
                  <w:pPr>
                    <w:widowControl/>
                    <w:jc w:val="center"/>
                    <w:rPr>
                      <w:kern w:val="0"/>
                      <w:szCs w:val="21"/>
                    </w:rPr>
                  </w:pPr>
                  <w:r>
                    <w:rPr>
                      <w:rFonts w:hint="eastAsia"/>
                    </w:rPr>
                    <w:t>0.183</w:t>
                  </w:r>
                </w:p>
              </w:tc>
              <w:tc>
                <w:tcPr>
                  <w:tcW w:w="928" w:type="dxa"/>
                  <w:tcBorders>
                    <w:top w:val="single" w:sz="4" w:space="0" w:color="000000"/>
                    <w:left w:val="single" w:sz="4" w:space="0" w:color="000000"/>
                    <w:bottom w:val="single" w:sz="4" w:space="0" w:color="000000"/>
                    <w:right w:val="single" w:sz="4" w:space="0" w:color="000000"/>
                  </w:tcBorders>
                  <w:vAlign w:val="center"/>
                </w:tcPr>
                <w:p w14:paraId="108C564C" w14:textId="77777777" w:rsidR="00F76A63" w:rsidRDefault="00000000">
                  <w:pPr>
                    <w:widowControl/>
                    <w:jc w:val="center"/>
                    <w:rPr>
                      <w:kern w:val="0"/>
                      <w:szCs w:val="21"/>
                    </w:rPr>
                  </w:pPr>
                  <w:r>
                    <w:rPr>
                      <w:rFonts w:hint="eastAsia"/>
                    </w:rPr>
                    <w:t>0.182</w:t>
                  </w:r>
                </w:p>
              </w:tc>
              <w:tc>
                <w:tcPr>
                  <w:tcW w:w="825" w:type="dxa"/>
                  <w:vMerge/>
                  <w:tcBorders>
                    <w:top w:val="single" w:sz="4" w:space="0" w:color="000000"/>
                    <w:left w:val="single" w:sz="4" w:space="0" w:color="000000"/>
                    <w:bottom w:val="single" w:sz="4" w:space="0" w:color="000000"/>
                    <w:right w:val="single" w:sz="4" w:space="0" w:color="000000"/>
                  </w:tcBorders>
                  <w:vAlign w:val="center"/>
                </w:tcPr>
                <w:p w14:paraId="72D7663E" w14:textId="77777777" w:rsidR="00F76A63" w:rsidRDefault="00F76A63">
                  <w:pPr>
                    <w:widowControl/>
                    <w:jc w:val="center"/>
                    <w:rPr>
                      <w:kern w:val="0"/>
                      <w:szCs w:val="21"/>
                    </w:rPr>
                  </w:pPr>
                </w:p>
              </w:tc>
              <w:tc>
                <w:tcPr>
                  <w:tcW w:w="718" w:type="dxa"/>
                  <w:tcBorders>
                    <w:top w:val="single" w:sz="4" w:space="0" w:color="000000"/>
                    <w:left w:val="single" w:sz="4" w:space="0" w:color="000000"/>
                    <w:bottom w:val="single" w:sz="4" w:space="0" w:color="000000"/>
                    <w:right w:val="nil"/>
                  </w:tcBorders>
                  <w:vAlign w:val="center"/>
                </w:tcPr>
                <w:p w14:paraId="4C7A410C" w14:textId="77777777" w:rsidR="00F76A63" w:rsidRDefault="00000000">
                  <w:pPr>
                    <w:jc w:val="center"/>
                  </w:pPr>
                  <w:r>
                    <w:rPr>
                      <w:kern w:val="0"/>
                    </w:rPr>
                    <w:t>达标</w:t>
                  </w:r>
                </w:p>
              </w:tc>
            </w:tr>
            <w:tr w:rsidR="00F76A63" w14:paraId="0D2DC031" w14:textId="77777777">
              <w:trPr>
                <w:trHeight w:val="300"/>
                <w:jc w:val="center"/>
              </w:trPr>
              <w:tc>
                <w:tcPr>
                  <w:tcW w:w="538" w:type="dxa"/>
                  <w:vMerge/>
                  <w:tcBorders>
                    <w:top w:val="single" w:sz="4" w:space="0" w:color="000000"/>
                    <w:left w:val="nil"/>
                    <w:bottom w:val="single" w:sz="4" w:space="0" w:color="000000"/>
                    <w:right w:val="single" w:sz="4" w:space="0" w:color="000000"/>
                  </w:tcBorders>
                  <w:vAlign w:val="center"/>
                </w:tcPr>
                <w:p w14:paraId="6B43B355" w14:textId="77777777" w:rsidR="00F76A63" w:rsidRDefault="00F76A63">
                  <w:pPr>
                    <w:widowControl/>
                    <w:jc w:val="center"/>
                    <w:rPr>
                      <w:szCs w:val="21"/>
                    </w:rPr>
                  </w:pPr>
                </w:p>
              </w:tc>
              <w:tc>
                <w:tcPr>
                  <w:tcW w:w="613" w:type="dxa"/>
                  <w:vMerge/>
                  <w:tcBorders>
                    <w:top w:val="single" w:sz="4" w:space="0" w:color="000000"/>
                    <w:left w:val="single" w:sz="4" w:space="0" w:color="000000"/>
                    <w:bottom w:val="single" w:sz="4" w:space="0" w:color="000000"/>
                    <w:right w:val="single" w:sz="4" w:space="0" w:color="000000"/>
                  </w:tcBorders>
                  <w:vAlign w:val="center"/>
                </w:tcPr>
                <w:p w14:paraId="1F43B10D" w14:textId="77777777" w:rsidR="00F76A63" w:rsidRDefault="00F76A63">
                  <w:pPr>
                    <w:widowControl/>
                    <w:jc w:val="center"/>
                    <w:rPr>
                      <w:szCs w:val="21"/>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2EC0C3A" w14:textId="77777777" w:rsidR="00F76A63" w:rsidRDefault="00000000">
                  <w:pPr>
                    <w:jc w:val="center"/>
                  </w:pPr>
                  <w:r>
                    <w:t>下风向</w:t>
                  </w:r>
                  <w:r>
                    <w:t>G4</w:t>
                  </w:r>
                </w:p>
              </w:tc>
              <w:tc>
                <w:tcPr>
                  <w:tcW w:w="1359" w:type="dxa"/>
                  <w:tcBorders>
                    <w:top w:val="single" w:sz="4" w:space="0" w:color="000000"/>
                    <w:left w:val="single" w:sz="4" w:space="0" w:color="000000"/>
                    <w:bottom w:val="single" w:sz="4" w:space="0" w:color="000000"/>
                    <w:right w:val="single" w:sz="4" w:space="0" w:color="000000"/>
                  </w:tcBorders>
                  <w:vAlign w:val="center"/>
                </w:tcPr>
                <w:p w14:paraId="349DD201" w14:textId="77777777" w:rsidR="00F76A63" w:rsidRDefault="00000000">
                  <w:pPr>
                    <w:jc w:val="center"/>
                  </w:pPr>
                  <w:r>
                    <w:rPr>
                      <w:rFonts w:hint="eastAsia"/>
                    </w:rPr>
                    <w:t>0.182</w:t>
                  </w:r>
                </w:p>
              </w:tc>
              <w:tc>
                <w:tcPr>
                  <w:tcW w:w="1212" w:type="dxa"/>
                  <w:tcBorders>
                    <w:top w:val="single" w:sz="4" w:space="0" w:color="000000"/>
                    <w:left w:val="single" w:sz="4" w:space="0" w:color="000000"/>
                    <w:bottom w:val="single" w:sz="4" w:space="0" w:color="000000"/>
                    <w:right w:val="single" w:sz="4" w:space="0" w:color="000000"/>
                  </w:tcBorders>
                  <w:vAlign w:val="center"/>
                </w:tcPr>
                <w:p w14:paraId="258E4E67" w14:textId="77777777" w:rsidR="00F76A63" w:rsidRDefault="00000000">
                  <w:pPr>
                    <w:widowControl/>
                    <w:jc w:val="center"/>
                    <w:rPr>
                      <w:kern w:val="0"/>
                      <w:szCs w:val="21"/>
                    </w:rPr>
                  </w:pPr>
                  <w:r>
                    <w:rPr>
                      <w:rFonts w:hint="eastAsia"/>
                    </w:rPr>
                    <w:t>0.182</w:t>
                  </w:r>
                </w:p>
              </w:tc>
              <w:tc>
                <w:tcPr>
                  <w:tcW w:w="928" w:type="dxa"/>
                  <w:tcBorders>
                    <w:top w:val="single" w:sz="4" w:space="0" w:color="000000"/>
                    <w:left w:val="single" w:sz="4" w:space="0" w:color="000000"/>
                    <w:bottom w:val="single" w:sz="4" w:space="0" w:color="000000"/>
                    <w:right w:val="single" w:sz="4" w:space="0" w:color="000000"/>
                  </w:tcBorders>
                  <w:vAlign w:val="center"/>
                </w:tcPr>
                <w:p w14:paraId="5F628E52" w14:textId="77777777" w:rsidR="00F76A63" w:rsidRDefault="00000000">
                  <w:pPr>
                    <w:widowControl/>
                    <w:jc w:val="center"/>
                    <w:rPr>
                      <w:kern w:val="0"/>
                      <w:szCs w:val="21"/>
                    </w:rPr>
                  </w:pPr>
                  <w:r>
                    <w:rPr>
                      <w:rFonts w:hint="eastAsia"/>
                    </w:rPr>
                    <w:t>0.183</w:t>
                  </w:r>
                </w:p>
              </w:tc>
              <w:tc>
                <w:tcPr>
                  <w:tcW w:w="928" w:type="dxa"/>
                  <w:tcBorders>
                    <w:top w:val="single" w:sz="4" w:space="0" w:color="000000"/>
                    <w:left w:val="single" w:sz="4" w:space="0" w:color="000000"/>
                    <w:bottom w:val="single" w:sz="4" w:space="0" w:color="000000"/>
                    <w:right w:val="single" w:sz="4" w:space="0" w:color="000000"/>
                  </w:tcBorders>
                  <w:vAlign w:val="center"/>
                </w:tcPr>
                <w:p w14:paraId="62FAD5E0" w14:textId="77777777" w:rsidR="00F76A63" w:rsidRDefault="00000000">
                  <w:pPr>
                    <w:widowControl/>
                    <w:jc w:val="center"/>
                    <w:rPr>
                      <w:kern w:val="0"/>
                      <w:szCs w:val="21"/>
                    </w:rPr>
                  </w:pPr>
                  <w:r>
                    <w:rPr>
                      <w:rFonts w:hint="eastAsia"/>
                    </w:rPr>
                    <w:t>0.182</w:t>
                  </w:r>
                </w:p>
              </w:tc>
              <w:tc>
                <w:tcPr>
                  <w:tcW w:w="825" w:type="dxa"/>
                  <w:vMerge/>
                  <w:tcBorders>
                    <w:top w:val="single" w:sz="4" w:space="0" w:color="000000"/>
                    <w:left w:val="single" w:sz="4" w:space="0" w:color="000000"/>
                    <w:bottom w:val="single" w:sz="4" w:space="0" w:color="000000"/>
                    <w:right w:val="single" w:sz="4" w:space="0" w:color="000000"/>
                  </w:tcBorders>
                  <w:vAlign w:val="center"/>
                </w:tcPr>
                <w:p w14:paraId="4BEBD667" w14:textId="77777777" w:rsidR="00F76A63" w:rsidRDefault="00F76A63">
                  <w:pPr>
                    <w:widowControl/>
                    <w:jc w:val="center"/>
                    <w:rPr>
                      <w:kern w:val="0"/>
                      <w:szCs w:val="21"/>
                    </w:rPr>
                  </w:pPr>
                </w:p>
              </w:tc>
              <w:tc>
                <w:tcPr>
                  <w:tcW w:w="718" w:type="dxa"/>
                  <w:tcBorders>
                    <w:top w:val="single" w:sz="4" w:space="0" w:color="000000"/>
                    <w:left w:val="single" w:sz="4" w:space="0" w:color="000000"/>
                    <w:bottom w:val="single" w:sz="4" w:space="0" w:color="000000"/>
                    <w:right w:val="nil"/>
                  </w:tcBorders>
                  <w:vAlign w:val="center"/>
                </w:tcPr>
                <w:p w14:paraId="318D1A11" w14:textId="77777777" w:rsidR="00F76A63" w:rsidRDefault="00000000">
                  <w:pPr>
                    <w:jc w:val="center"/>
                  </w:pPr>
                  <w:r>
                    <w:rPr>
                      <w:kern w:val="0"/>
                    </w:rPr>
                    <w:t>达标</w:t>
                  </w:r>
                </w:p>
              </w:tc>
            </w:tr>
          </w:tbl>
          <w:p w14:paraId="2F32CC40" w14:textId="77777777" w:rsidR="00F76A63" w:rsidRDefault="00000000">
            <w:pPr>
              <w:spacing w:line="500" w:lineRule="exact"/>
              <w:ind w:firstLineChars="200" w:firstLine="480"/>
              <w:rPr>
                <w:bCs/>
                <w:sz w:val="24"/>
              </w:rPr>
            </w:pPr>
            <w:r>
              <w:rPr>
                <w:bCs/>
                <w:sz w:val="24"/>
              </w:rPr>
              <w:t>监测结果表明，例行监测期间，厂界无组织废气颗粒物执行</w:t>
            </w:r>
            <w:r>
              <w:rPr>
                <w:sz w:val="24"/>
              </w:rPr>
              <w:t>《水泥工业大气污染物排放标准》（</w:t>
            </w:r>
            <w:r>
              <w:rPr>
                <w:sz w:val="24"/>
              </w:rPr>
              <w:t>DB 32/4149-2021</w:t>
            </w:r>
            <w:r>
              <w:rPr>
                <w:sz w:val="24"/>
              </w:rPr>
              <w:t>）中表</w:t>
            </w:r>
            <w:r>
              <w:rPr>
                <w:sz w:val="24"/>
              </w:rPr>
              <w:t>2</w:t>
            </w:r>
            <w:r>
              <w:rPr>
                <w:sz w:val="24"/>
              </w:rPr>
              <w:t>厂区内无组织颗粒物排放限值</w:t>
            </w:r>
            <w:r>
              <w:rPr>
                <w:bCs/>
                <w:sz w:val="24"/>
              </w:rPr>
              <w:t>，无组织废气达标排放。</w:t>
            </w:r>
          </w:p>
          <w:p w14:paraId="4AD292C9" w14:textId="77777777" w:rsidR="00F76A63" w:rsidRDefault="00000000">
            <w:pPr>
              <w:spacing w:line="500" w:lineRule="exact"/>
              <w:ind w:firstLineChars="200" w:firstLine="480"/>
              <w:rPr>
                <w:bCs/>
                <w:sz w:val="24"/>
              </w:rPr>
            </w:pPr>
            <w:r>
              <w:rPr>
                <w:bCs/>
                <w:sz w:val="24"/>
              </w:rPr>
              <w:t>根据建设单位</w:t>
            </w:r>
            <w:r>
              <w:rPr>
                <w:bCs/>
                <w:sz w:val="24"/>
              </w:rPr>
              <w:t>202</w:t>
            </w:r>
            <w:r>
              <w:rPr>
                <w:rFonts w:hint="eastAsia"/>
                <w:bCs/>
                <w:sz w:val="24"/>
              </w:rPr>
              <w:t>5</w:t>
            </w:r>
            <w:r>
              <w:rPr>
                <w:bCs/>
                <w:sz w:val="24"/>
              </w:rPr>
              <w:t>年排污许可证执行年报，句容台泥污染物实际排放量与许可排放量如下：</w:t>
            </w:r>
          </w:p>
          <w:p w14:paraId="0B55F334" w14:textId="77777777" w:rsidR="00F76A63" w:rsidRDefault="00000000">
            <w:pPr>
              <w:spacing w:line="500" w:lineRule="exact"/>
              <w:jc w:val="center"/>
              <w:rPr>
                <w:b/>
                <w:bCs/>
                <w:sz w:val="24"/>
              </w:rPr>
            </w:pPr>
            <w:r>
              <w:rPr>
                <w:b/>
                <w:bCs/>
                <w:sz w:val="24"/>
              </w:rPr>
              <w:lastRenderedPageBreak/>
              <w:t>表</w:t>
            </w:r>
            <w:r>
              <w:rPr>
                <w:b/>
                <w:bCs/>
                <w:sz w:val="24"/>
              </w:rPr>
              <w:t>2-5</w:t>
            </w:r>
            <w:r>
              <w:rPr>
                <w:rFonts w:hint="eastAsia"/>
                <w:b/>
                <w:bCs/>
                <w:sz w:val="24"/>
              </w:rPr>
              <w:t>3</w:t>
            </w:r>
            <w:r>
              <w:rPr>
                <w:b/>
                <w:bCs/>
                <w:sz w:val="24"/>
              </w:rPr>
              <w:t xml:space="preserve">  </w:t>
            </w:r>
            <w:r>
              <w:rPr>
                <w:b/>
                <w:bCs/>
                <w:sz w:val="24"/>
              </w:rPr>
              <w:t>污染物许可排放量与实际排放量</w:t>
            </w:r>
          </w:p>
          <w:tbl>
            <w:tblPr>
              <w:tblW w:w="5000" w:type="pct"/>
              <w:jc w:val="center"/>
              <w:tblBorders>
                <w:top w:val="single" w:sz="12" w:space="0" w:color="auto"/>
                <w:bottom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93"/>
              <w:gridCol w:w="883"/>
              <w:gridCol w:w="899"/>
              <w:gridCol w:w="916"/>
              <w:gridCol w:w="899"/>
              <w:gridCol w:w="1044"/>
              <w:gridCol w:w="2037"/>
              <w:gridCol w:w="706"/>
            </w:tblGrid>
            <w:tr w:rsidR="00F76A63" w14:paraId="35170065" w14:textId="77777777">
              <w:trPr>
                <w:trHeight w:val="341"/>
                <w:jc w:val="center"/>
              </w:trPr>
              <w:tc>
                <w:tcPr>
                  <w:tcW w:w="803" w:type="dxa"/>
                  <w:tcBorders>
                    <w:top w:val="single" w:sz="12" w:space="0" w:color="auto"/>
                    <w:left w:val="nil"/>
                    <w:bottom w:val="single" w:sz="4" w:space="0" w:color="auto"/>
                    <w:right w:val="single" w:sz="4" w:space="0" w:color="auto"/>
                  </w:tcBorders>
                  <w:vAlign w:val="center"/>
                </w:tcPr>
                <w:p w14:paraId="7B5FBE9F" w14:textId="77777777" w:rsidR="00F76A63" w:rsidRDefault="00000000">
                  <w:pPr>
                    <w:jc w:val="center"/>
                    <w:rPr>
                      <w:b/>
                      <w:szCs w:val="21"/>
                    </w:rPr>
                  </w:pPr>
                  <w:r>
                    <w:rPr>
                      <w:b/>
                      <w:szCs w:val="21"/>
                    </w:rPr>
                    <w:t>排放口</w:t>
                  </w:r>
                </w:p>
              </w:tc>
              <w:tc>
                <w:tcPr>
                  <w:tcW w:w="895" w:type="dxa"/>
                  <w:tcBorders>
                    <w:top w:val="single" w:sz="12" w:space="0" w:color="auto"/>
                    <w:left w:val="single" w:sz="4" w:space="0" w:color="auto"/>
                    <w:bottom w:val="single" w:sz="4" w:space="0" w:color="auto"/>
                    <w:right w:val="single" w:sz="4" w:space="0" w:color="auto"/>
                  </w:tcBorders>
                  <w:vAlign w:val="center"/>
                </w:tcPr>
                <w:p w14:paraId="2320C476" w14:textId="77777777" w:rsidR="00F76A63" w:rsidRDefault="00000000">
                  <w:pPr>
                    <w:jc w:val="center"/>
                    <w:rPr>
                      <w:b/>
                      <w:szCs w:val="21"/>
                    </w:rPr>
                  </w:pPr>
                  <w:r>
                    <w:rPr>
                      <w:b/>
                      <w:szCs w:val="21"/>
                    </w:rPr>
                    <w:t>污染物种类</w:t>
                  </w:r>
                </w:p>
              </w:tc>
              <w:tc>
                <w:tcPr>
                  <w:tcW w:w="1798" w:type="dxa"/>
                  <w:gridSpan w:val="2"/>
                  <w:tcBorders>
                    <w:top w:val="single" w:sz="12" w:space="0" w:color="auto"/>
                    <w:left w:val="single" w:sz="4" w:space="0" w:color="auto"/>
                    <w:bottom w:val="single" w:sz="4" w:space="0" w:color="auto"/>
                    <w:right w:val="single" w:sz="4" w:space="0" w:color="auto"/>
                  </w:tcBorders>
                  <w:vAlign w:val="center"/>
                </w:tcPr>
                <w:p w14:paraId="3B1DAF85" w14:textId="77777777" w:rsidR="00F76A63" w:rsidRDefault="00000000">
                  <w:pPr>
                    <w:jc w:val="center"/>
                    <w:rPr>
                      <w:b/>
                      <w:szCs w:val="21"/>
                    </w:rPr>
                  </w:pPr>
                  <w:r>
                    <w:rPr>
                      <w:b/>
                      <w:szCs w:val="21"/>
                    </w:rPr>
                    <w:t>许可年排放量（</w:t>
                  </w:r>
                  <w:r>
                    <w:rPr>
                      <w:b/>
                      <w:szCs w:val="21"/>
                    </w:rPr>
                    <w:t>t/a</w:t>
                  </w:r>
                  <w:r>
                    <w:rPr>
                      <w:b/>
                      <w:szCs w:val="21"/>
                    </w:rPr>
                    <w:t>）</w:t>
                  </w:r>
                </w:p>
              </w:tc>
              <w:tc>
                <w:tcPr>
                  <w:tcW w:w="1843" w:type="dxa"/>
                  <w:gridSpan w:val="2"/>
                  <w:tcBorders>
                    <w:top w:val="single" w:sz="12" w:space="0" w:color="auto"/>
                    <w:left w:val="single" w:sz="4" w:space="0" w:color="auto"/>
                    <w:bottom w:val="single" w:sz="4" w:space="0" w:color="auto"/>
                    <w:right w:val="single" w:sz="4" w:space="0" w:color="auto"/>
                  </w:tcBorders>
                  <w:vAlign w:val="center"/>
                </w:tcPr>
                <w:p w14:paraId="7CE3542F" w14:textId="77777777" w:rsidR="00F76A63" w:rsidRDefault="00000000">
                  <w:pPr>
                    <w:jc w:val="center"/>
                    <w:rPr>
                      <w:b/>
                      <w:szCs w:val="21"/>
                    </w:rPr>
                  </w:pPr>
                  <w:r>
                    <w:rPr>
                      <w:b/>
                      <w:szCs w:val="21"/>
                    </w:rPr>
                    <w:t>202</w:t>
                  </w:r>
                  <w:r>
                    <w:rPr>
                      <w:rFonts w:hint="eastAsia"/>
                      <w:b/>
                      <w:szCs w:val="21"/>
                    </w:rPr>
                    <w:t>5</w:t>
                  </w:r>
                  <w:r>
                    <w:rPr>
                      <w:b/>
                      <w:szCs w:val="21"/>
                    </w:rPr>
                    <w:t>年实际排放量</w:t>
                  </w:r>
                  <w:r>
                    <w:rPr>
                      <w:rFonts w:ascii="Cambria Math" w:hAnsi="Cambria Math" w:cs="Cambria Math"/>
                      <w:b/>
                      <w:szCs w:val="21"/>
                      <w:vertAlign w:val="superscript"/>
                    </w:rPr>
                    <w:t>①</w:t>
                  </w:r>
                  <w:r>
                    <w:rPr>
                      <w:b/>
                      <w:szCs w:val="21"/>
                    </w:rPr>
                    <w:t>（</w:t>
                  </w:r>
                  <w:r>
                    <w:rPr>
                      <w:b/>
                      <w:szCs w:val="21"/>
                    </w:rPr>
                    <w:t>t/a</w:t>
                  </w:r>
                  <w:r>
                    <w:rPr>
                      <w:b/>
                      <w:szCs w:val="21"/>
                    </w:rPr>
                    <w:t>）</w:t>
                  </w:r>
                </w:p>
              </w:tc>
              <w:tc>
                <w:tcPr>
                  <w:tcW w:w="2059" w:type="dxa"/>
                  <w:tcBorders>
                    <w:top w:val="single" w:sz="12" w:space="0" w:color="auto"/>
                    <w:left w:val="single" w:sz="4" w:space="0" w:color="auto"/>
                    <w:bottom w:val="single" w:sz="4" w:space="0" w:color="auto"/>
                    <w:right w:val="single" w:sz="4" w:space="0" w:color="auto"/>
                  </w:tcBorders>
                  <w:vAlign w:val="center"/>
                </w:tcPr>
                <w:p w14:paraId="38218B3B" w14:textId="77777777" w:rsidR="00F76A63" w:rsidRDefault="00000000">
                  <w:pPr>
                    <w:jc w:val="center"/>
                    <w:rPr>
                      <w:b/>
                      <w:szCs w:val="21"/>
                    </w:rPr>
                  </w:pPr>
                  <w:r>
                    <w:rPr>
                      <w:b/>
                      <w:szCs w:val="21"/>
                    </w:rPr>
                    <w:t>2023</w:t>
                  </w:r>
                  <w:r>
                    <w:rPr>
                      <w:b/>
                      <w:szCs w:val="21"/>
                    </w:rPr>
                    <w:t>年句容生态环境局关于总量的复函（</w:t>
                  </w:r>
                  <w:r>
                    <w:rPr>
                      <w:b/>
                      <w:szCs w:val="21"/>
                    </w:rPr>
                    <w:t>2023</w:t>
                  </w:r>
                  <w:r>
                    <w:rPr>
                      <w:b/>
                      <w:szCs w:val="21"/>
                    </w:rPr>
                    <w:t>年</w:t>
                  </w:r>
                  <w:r>
                    <w:rPr>
                      <w:b/>
                      <w:szCs w:val="21"/>
                    </w:rPr>
                    <w:t>7</w:t>
                  </w:r>
                  <w:r>
                    <w:rPr>
                      <w:b/>
                      <w:szCs w:val="21"/>
                    </w:rPr>
                    <w:t>月</w:t>
                  </w:r>
                  <w:r>
                    <w:rPr>
                      <w:b/>
                      <w:szCs w:val="21"/>
                    </w:rPr>
                    <w:t>11</w:t>
                  </w:r>
                  <w:r>
                    <w:rPr>
                      <w:b/>
                      <w:szCs w:val="21"/>
                    </w:rPr>
                    <w:t>日）</w:t>
                  </w:r>
                  <w:r>
                    <w:rPr>
                      <w:rFonts w:ascii="Cambria Math" w:hAnsi="Cambria Math" w:cs="Cambria Math"/>
                      <w:b/>
                      <w:szCs w:val="21"/>
                      <w:vertAlign w:val="superscript"/>
                    </w:rPr>
                    <w:t>②</w:t>
                  </w:r>
                </w:p>
              </w:tc>
              <w:tc>
                <w:tcPr>
                  <w:tcW w:w="713" w:type="dxa"/>
                  <w:tcBorders>
                    <w:top w:val="single" w:sz="12" w:space="0" w:color="auto"/>
                    <w:left w:val="single" w:sz="4" w:space="0" w:color="auto"/>
                    <w:bottom w:val="single" w:sz="4" w:space="0" w:color="auto"/>
                    <w:right w:val="nil"/>
                  </w:tcBorders>
                  <w:vAlign w:val="center"/>
                </w:tcPr>
                <w:p w14:paraId="79E72F85" w14:textId="77777777" w:rsidR="00F76A63" w:rsidRDefault="00000000">
                  <w:pPr>
                    <w:jc w:val="center"/>
                    <w:rPr>
                      <w:b/>
                      <w:szCs w:val="21"/>
                    </w:rPr>
                  </w:pPr>
                  <w:r>
                    <w:rPr>
                      <w:b/>
                      <w:szCs w:val="21"/>
                    </w:rPr>
                    <w:t>达标判定</w:t>
                  </w:r>
                </w:p>
              </w:tc>
            </w:tr>
            <w:tr w:rsidR="00F76A63" w14:paraId="5763E36B" w14:textId="77777777">
              <w:trPr>
                <w:trHeight w:val="459"/>
                <w:jc w:val="center"/>
              </w:trPr>
              <w:tc>
                <w:tcPr>
                  <w:tcW w:w="803" w:type="dxa"/>
                  <w:tcBorders>
                    <w:top w:val="single" w:sz="4" w:space="0" w:color="auto"/>
                    <w:left w:val="nil"/>
                    <w:bottom w:val="single" w:sz="4" w:space="0" w:color="auto"/>
                    <w:right w:val="single" w:sz="4" w:space="0" w:color="auto"/>
                  </w:tcBorders>
                  <w:vAlign w:val="center"/>
                </w:tcPr>
                <w:p w14:paraId="4E76FEED" w14:textId="77777777" w:rsidR="00F76A63" w:rsidRDefault="00000000">
                  <w:pPr>
                    <w:jc w:val="center"/>
                    <w:rPr>
                      <w:bCs/>
                      <w:szCs w:val="21"/>
                    </w:rPr>
                  </w:pPr>
                  <w:r>
                    <w:rPr>
                      <w:bCs/>
                      <w:szCs w:val="21"/>
                    </w:rPr>
                    <w:t>一般排放口</w:t>
                  </w:r>
                </w:p>
              </w:tc>
              <w:tc>
                <w:tcPr>
                  <w:tcW w:w="895" w:type="dxa"/>
                  <w:tcBorders>
                    <w:top w:val="single" w:sz="4" w:space="0" w:color="auto"/>
                    <w:left w:val="single" w:sz="4" w:space="0" w:color="auto"/>
                    <w:bottom w:val="single" w:sz="4" w:space="0" w:color="auto"/>
                    <w:right w:val="single" w:sz="4" w:space="0" w:color="auto"/>
                  </w:tcBorders>
                  <w:vAlign w:val="center"/>
                </w:tcPr>
                <w:p w14:paraId="461EBAF1" w14:textId="77777777" w:rsidR="00F76A63" w:rsidRDefault="00000000">
                  <w:pPr>
                    <w:jc w:val="center"/>
                    <w:rPr>
                      <w:bCs/>
                      <w:szCs w:val="21"/>
                    </w:rPr>
                  </w:pPr>
                  <w:r>
                    <w:rPr>
                      <w:bCs/>
                      <w:szCs w:val="21"/>
                    </w:rPr>
                    <w:t>颗粒物</w:t>
                  </w:r>
                </w:p>
              </w:tc>
              <w:tc>
                <w:tcPr>
                  <w:tcW w:w="879" w:type="dxa"/>
                  <w:tcBorders>
                    <w:top w:val="single" w:sz="4" w:space="0" w:color="auto"/>
                    <w:left w:val="single" w:sz="4" w:space="0" w:color="auto"/>
                    <w:bottom w:val="single" w:sz="4" w:space="0" w:color="auto"/>
                    <w:right w:val="single" w:sz="4" w:space="0" w:color="auto"/>
                  </w:tcBorders>
                  <w:vAlign w:val="center"/>
                </w:tcPr>
                <w:p w14:paraId="23F67829" w14:textId="77777777" w:rsidR="00F76A63" w:rsidRDefault="00000000">
                  <w:pPr>
                    <w:jc w:val="center"/>
                    <w:rPr>
                      <w:bCs/>
                      <w:szCs w:val="21"/>
                    </w:rPr>
                  </w:pPr>
                  <w:r>
                    <w:rPr>
                      <w:rFonts w:hint="eastAsia"/>
                      <w:bCs/>
                      <w:szCs w:val="21"/>
                    </w:rPr>
                    <w:t>16.846</w:t>
                  </w:r>
                </w:p>
              </w:tc>
              <w:tc>
                <w:tcPr>
                  <w:tcW w:w="919" w:type="dxa"/>
                  <w:vMerge w:val="restart"/>
                  <w:tcBorders>
                    <w:top w:val="single" w:sz="4" w:space="0" w:color="auto"/>
                    <w:left w:val="single" w:sz="4" w:space="0" w:color="auto"/>
                    <w:bottom w:val="single" w:sz="4" w:space="0" w:color="auto"/>
                    <w:right w:val="single" w:sz="4" w:space="0" w:color="auto"/>
                  </w:tcBorders>
                  <w:vAlign w:val="center"/>
                </w:tcPr>
                <w:p w14:paraId="416C70BF" w14:textId="77777777" w:rsidR="00F76A63" w:rsidRDefault="00000000">
                  <w:pPr>
                    <w:jc w:val="center"/>
                    <w:rPr>
                      <w:bCs/>
                      <w:szCs w:val="21"/>
                    </w:rPr>
                  </w:pPr>
                  <w:r>
                    <w:rPr>
                      <w:rFonts w:hint="eastAsia"/>
                      <w:bCs/>
                      <w:szCs w:val="21"/>
                    </w:rPr>
                    <w:t>563.56</w:t>
                  </w:r>
                </w:p>
              </w:tc>
              <w:tc>
                <w:tcPr>
                  <w:tcW w:w="795" w:type="dxa"/>
                  <w:tcBorders>
                    <w:top w:val="single" w:sz="4" w:space="0" w:color="auto"/>
                    <w:left w:val="single" w:sz="4" w:space="0" w:color="auto"/>
                    <w:bottom w:val="single" w:sz="4" w:space="0" w:color="auto"/>
                    <w:right w:val="single" w:sz="4" w:space="0" w:color="auto"/>
                  </w:tcBorders>
                  <w:vAlign w:val="center"/>
                </w:tcPr>
                <w:p w14:paraId="782E1D89" w14:textId="77777777" w:rsidR="00F76A63" w:rsidRDefault="00000000">
                  <w:pPr>
                    <w:jc w:val="center"/>
                    <w:rPr>
                      <w:bCs/>
                      <w:szCs w:val="21"/>
                    </w:rPr>
                  </w:pPr>
                  <w:r>
                    <w:rPr>
                      <w:rFonts w:hint="eastAsia"/>
                      <w:bCs/>
                      <w:szCs w:val="21"/>
                    </w:rPr>
                    <w:t>1.4764</w:t>
                  </w:r>
                </w:p>
              </w:tc>
              <w:tc>
                <w:tcPr>
                  <w:tcW w:w="1048" w:type="dxa"/>
                  <w:vMerge w:val="restart"/>
                  <w:tcBorders>
                    <w:top w:val="single" w:sz="4" w:space="0" w:color="auto"/>
                    <w:left w:val="single" w:sz="4" w:space="0" w:color="auto"/>
                    <w:bottom w:val="single" w:sz="4" w:space="0" w:color="auto"/>
                    <w:right w:val="single" w:sz="4" w:space="0" w:color="auto"/>
                  </w:tcBorders>
                  <w:vAlign w:val="center"/>
                </w:tcPr>
                <w:p w14:paraId="1C2FFBEB" w14:textId="77777777" w:rsidR="00F76A63" w:rsidRDefault="00000000">
                  <w:pPr>
                    <w:jc w:val="center"/>
                    <w:rPr>
                      <w:bCs/>
                      <w:szCs w:val="21"/>
                    </w:rPr>
                  </w:pPr>
                  <w:r>
                    <w:rPr>
                      <w:rFonts w:hint="eastAsia"/>
                      <w:bCs/>
                      <w:szCs w:val="21"/>
                    </w:rPr>
                    <w:t>44.6235</w:t>
                  </w:r>
                </w:p>
              </w:tc>
              <w:tc>
                <w:tcPr>
                  <w:tcW w:w="2059" w:type="dxa"/>
                  <w:vMerge w:val="restart"/>
                  <w:tcBorders>
                    <w:top w:val="single" w:sz="4" w:space="0" w:color="auto"/>
                    <w:left w:val="single" w:sz="4" w:space="0" w:color="auto"/>
                    <w:bottom w:val="single" w:sz="4" w:space="0" w:color="auto"/>
                    <w:right w:val="single" w:sz="4" w:space="0" w:color="auto"/>
                  </w:tcBorders>
                  <w:vAlign w:val="center"/>
                </w:tcPr>
                <w:p w14:paraId="77E0369E" w14:textId="77777777" w:rsidR="00F76A63" w:rsidRDefault="00000000">
                  <w:pPr>
                    <w:jc w:val="center"/>
                    <w:rPr>
                      <w:bCs/>
                      <w:szCs w:val="21"/>
                    </w:rPr>
                  </w:pPr>
                  <w:r>
                    <w:rPr>
                      <w:bCs/>
                      <w:szCs w:val="21"/>
                    </w:rPr>
                    <w:t>273.972437</w:t>
                  </w:r>
                </w:p>
              </w:tc>
              <w:tc>
                <w:tcPr>
                  <w:tcW w:w="713" w:type="dxa"/>
                  <w:vMerge w:val="restart"/>
                  <w:tcBorders>
                    <w:top w:val="single" w:sz="4" w:space="0" w:color="auto"/>
                    <w:left w:val="single" w:sz="4" w:space="0" w:color="auto"/>
                    <w:bottom w:val="single" w:sz="4" w:space="0" w:color="auto"/>
                    <w:right w:val="nil"/>
                  </w:tcBorders>
                  <w:vAlign w:val="center"/>
                </w:tcPr>
                <w:p w14:paraId="6F9C39D7" w14:textId="77777777" w:rsidR="00F76A63" w:rsidRDefault="00000000">
                  <w:pPr>
                    <w:jc w:val="center"/>
                    <w:rPr>
                      <w:bCs/>
                      <w:szCs w:val="21"/>
                    </w:rPr>
                  </w:pPr>
                  <w:r>
                    <w:rPr>
                      <w:bCs/>
                      <w:szCs w:val="21"/>
                    </w:rPr>
                    <w:t>达标</w:t>
                  </w:r>
                </w:p>
              </w:tc>
            </w:tr>
            <w:tr w:rsidR="00F76A63" w14:paraId="56E2D646" w14:textId="77777777">
              <w:trPr>
                <w:trHeight w:val="418"/>
                <w:jc w:val="center"/>
              </w:trPr>
              <w:tc>
                <w:tcPr>
                  <w:tcW w:w="803" w:type="dxa"/>
                  <w:vMerge w:val="restart"/>
                  <w:tcBorders>
                    <w:top w:val="single" w:sz="4" w:space="0" w:color="auto"/>
                    <w:left w:val="nil"/>
                    <w:bottom w:val="single" w:sz="4" w:space="0" w:color="auto"/>
                    <w:right w:val="single" w:sz="4" w:space="0" w:color="auto"/>
                  </w:tcBorders>
                  <w:vAlign w:val="center"/>
                </w:tcPr>
                <w:p w14:paraId="2E185285" w14:textId="77777777" w:rsidR="00F76A63" w:rsidRDefault="00000000">
                  <w:pPr>
                    <w:jc w:val="center"/>
                    <w:rPr>
                      <w:bCs/>
                      <w:szCs w:val="21"/>
                    </w:rPr>
                  </w:pPr>
                  <w:r>
                    <w:rPr>
                      <w:bCs/>
                      <w:szCs w:val="21"/>
                    </w:rPr>
                    <w:t>主要排放口</w:t>
                  </w:r>
                </w:p>
              </w:tc>
              <w:tc>
                <w:tcPr>
                  <w:tcW w:w="895" w:type="dxa"/>
                  <w:tcBorders>
                    <w:top w:val="single" w:sz="4" w:space="0" w:color="auto"/>
                    <w:left w:val="single" w:sz="4" w:space="0" w:color="auto"/>
                    <w:bottom w:val="single" w:sz="4" w:space="0" w:color="auto"/>
                    <w:right w:val="single" w:sz="4" w:space="0" w:color="auto"/>
                  </w:tcBorders>
                  <w:vAlign w:val="center"/>
                </w:tcPr>
                <w:p w14:paraId="76227934" w14:textId="77777777" w:rsidR="00F76A63" w:rsidRDefault="00000000">
                  <w:pPr>
                    <w:jc w:val="center"/>
                    <w:rPr>
                      <w:bCs/>
                      <w:szCs w:val="21"/>
                    </w:rPr>
                  </w:pPr>
                  <w:r>
                    <w:rPr>
                      <w:bCs/>
                      <w:szCs w:val="21"/>
                    </w:rPr>
                    <w:t>颗粒物</w:t>
                  </w:r>
                </w:p>
              </w:tc>
              <w:tc>
                <w:tcPr>
                  <w:tcW w:w="879" w:type="dxa"/>
                  <w:tcBorders>
                    <w:top w:val="single" w:sz="4" w:space="0" w:color="auto"/>
                    <w:left w:val="single" w:sz="4" w:space="0" w:color="auto"/>
                    <w:bottom w:val="single" w:sz="4" w:space="0" w:color="auto"/>
                    <w:right w:val="single" w:sz="4" w:space="0" w:color="auto"/>
                  </w:tcBorders>
                  <w:vAlign w:val="center"/>
                </w:tcPr>
                <w:p w14:paraId="2390A545" w14:textId="77777777" w:rsidR="00F76A63" w:rsidRDefault="00000000">
                  <w:pPr>
                    <w:jc w:val="center"/>
                    <w:rPr>
                      <w:bCs/>
                      <w:szCs w:val="21"/>
                    </w:rPr>
                  </w:pPr>
                  <w:r>
                    <w:rPr>
                      <w:rFonts w:hint="eastAsia"/>
                      <w:bCs/>
                      <w:szCs w:val="21"/>
                    </w:rPr>
                    <w:t>546.714</w:t>
                  </w:r>
                </w:p>
              </w:tc>
              <w:tc>
                <w:tcPr>
                  <w:tcW w:w="919" w:type="dxa"/>
                  <w:vMerge/>
                  <w:tcBorders>
                    <w:top w:val="single" w:sz="4" w:space="0" w:color="auto"/>
                    <w:left w:val="single" w:sz="4" w:space="0" w:color="auto"/>
                    <w:bottom w:val="single" w:sz="4" w:space="0" w:color="auto"/>
                    <w:right w:val="single" w:sz="4" w:space="0" w:color="auto"/>
                  </w:tcBorders>
                  <w:vAlign w:val="center"/>
                </w:tcPr>
                <w:p w14:paraId="7F2118C3" w14:textId="77777777" w:rsidR="00F76A63" w:rsidRDefault="00F76A63">
                  <w:pPr>
                    <w:jc w:val="center"/>
                    <w:rPr>
                      <w:bCs/>
                      <w:szCs w:val="21"/>
                    </w:rPr>
                  </w:pPr>
                </w:p>
              </w:tc>
              <w:tc>
                <w:tcPr>
                  <w:tcW w:w="795" w:type="dxa"/>
                  <w:tcBorders>
                    <w:top w:val="single" w:sz="4" w:space="0" w:color="auto"/>
                    <w:left w:val="single" w:sz="4" w:space="0" w:color="auto"/>
                    <w:bottom w:val="single" w:sz="4" w:space="0" w:color="auto"/>
                    <w:right w:val="single" w:sz="4" w:space="0" w:color="auto"/>
                  </w:tcBorders>
                  <w:vAlign w:val="center"/>
                </w:tcPr>
                <w:p w14:paraId="33BFE2BB" w14:textId="77777777" w:rsidR="00F76A63" w:rsidRDefault="00000000">
                  <w:pPr>
                    <w:jc w:val="center"/>
                    <w:rPr>
                      <w:bCs/>
                      <w:szCs w:val="21"/>
                    </w:rPr>
                  </w:pPr>
                  <w:r>
                    <w:rPr>
                      <w:rFonts w:hint="eastAsia"/>
                      <w:bCs/>
                      <w:szCs w:val="21"/>
                    </w:rPr>
                    <w:t>43.1471</w:t>
                  </w:r>
                </w:p>
              </w:tc>
              <w:tc>
                <w:tcPr>
                  <w:tcW w:w="1048" w:type="dxa"/>
                  <w:vMerge/>
                  <w:tcBorders>
                    <w:top w:val="single" w:sz="4" w:space="0" w:color="auto"/>
                    <w:left w:val="single" w:sz="4" w:space="0" w:color="auto"/>
                    <w:bottom w:val="single" w:sz="4" w:space="0" w:color="auto"/>
                    <w:right w:val="single" w:sz="4" w:space="0" w:color="auto"/>
                  </w:tcBorders>
                  <w:vAlign w:val="center"/>
                </w:tcPr>
                <w:p w14:paraId="6369FD5E" w14:textId="77777777" w:rsidR="00F76A63" w:rsidRDefault="00F76A63">
                  <w:pPr>
                    <w:jc w:val="center"/>
                    <w:rPr>
                      <w:bCs/>
                      <w:szCs w:val="21"/>
                    </w:rPr>
                  </w:pPr>
                </w:p>
              </w:tc>
              <w:tc>
                <w:tcPr>
                  <w:tcW w:w="2059" w:type="dxa"/>
                  <w:vMerge/>
                  <w:tcBorders>
                    <w:top w:val="single" w:sz="4" w:space="0" w:color="auto"/>
                    <w:left w:val="single" w:sz="4" w:space="0" w:color="auto"/>
                    <w:bottom w:val="single" w:sz="4" w:space="0" w:color="auto"/>
                    <w:right w:val="single" w:sz="4" w:space="0" w:color="auto"/>
                  </w:tcBorders>
                  <w:vAlign w:val="center"/>
                </w:tcPr>
                <w:p w14:paraId="7429EC64" w14:textId="77777777" w:rsidR="00F76A63" w:rsidRDefault="00F76A63">
                  <w:pPr>
                    <w:jc w:val="center"/>
                    <w:rPr>
                      <w:bCs/>
                      <w:szCs w:val="21"/>
                    </w:rPr>
                  </w:pPr>
                </w:p>
              </w:tc>
              <w:tc>
                <w:tcPr>
                  <w:tcW w:w="713" w:type="dxa"/>
                  <w:vMerge/>
                  <w:tcBorders>
                    <w:top w:val="single" w:sz="4" w:space="0" w:color="auto"/>
                    <w:left w:val="single" w:sz="4" w:space="0" w:color="auto"/>
                    <w:bottom w:val="single" w:sz="4" w:space="0" w:color="auto"/>
                    <w:right w:val="nil"/>
                  </w:tcBorders>
                  <w:vAlign w:val="center"/>
                </w:tcPr>
                <w:p w14:paraId="075EB217" w14:textId="77777777" w:rsidR="00F76A63" w:rsidRDefault="00F76A63">
                  <w:pPr>
                    <w:jc w:val="center"/>
                    <w:rPr>
                      <w:bCs/>
                      <w:szCs w:val="21"/>
                    </w:rPr>
                  </w:pPr>
                </w:p>
              </w:tc>
            </w:tr>
            <w:tr w:rsidR="00F76A63" w14:paraId="37720C44" w14:textId="77777777">
              <w:trPr>
                <w:trHeight w:val="418"/>
                <w:jc w:val="center"/>
              </w:trPr>
              <w:tc>
                <w:tcPr>
                  <w:tcW w:w="803" w:type="dxa"/>
                  <w:vMerge/>
                  <w:tcBorders>
                    <w:top w:val="single" w:sz="4" w:space="0" w:color="auto"/>
                    <w:left w:val="nil"/>
                    <w:bottom w:val="single" w:sz="4" w:space="0" w:color="auto"/>
                    <w:right w:val="single" w:sz="4" w:space="0" w:color="auto"/>
                  </w:tcBorders>
                  <w:vAlign w:val="center"/>
                </w:tcPr>
                <w:p w14:paraId="574324ED" w14:textId="77777777" w:rsidR="00F76A63" w:rsidRDefault="00F76A63">
                  <w:pPr>
                    <w:jc w:val="center"/>
                    <w:rPr>
                      <w:bCs/>
                      <w:szCs w:val="21"/>
                    </w:rPr>
                  </w:pPr>
                </w:p>
              </w:tc>
              <w:tc>
                <w:tcPr>
                  <w:tcW w:w="895" w:type="dxa"/>
                  <w:tcBorders>
                    <w:top w:val="single" w:sz="4" w:space="0" w:color="auto"/>
                    <w:left w:val="single" w:sz="4" w:space="0" w:color="auto"/>
                    <w:bottom w:val="single" w:sz="4" w:space="0" w:color="auto"/>
                    <w:right w:val="single" w:sz="4" w:space="0" w:color="auto"/>
                  </w:tcBorders>
                  <w:vAlign w:val="center"/>
                </w:tcPr>
                <w:p w14:paraId="45EC8EB6" w14:textId="77777777" w:rsidR="00F76A63" w:rsidRDefault="00000000">
                  <w:pPr>
                    <w:jc w:val="center"/>
                    <w:rPr>
                      <w:bCs/>
                      <w:szCs w:val="21"/>
                    </w:rPr>
                  </w:pPr>
                  <w:r>
                    <w:rPr>
                      <w:bCs/>
                      <w:szCs w:val="21"/>
                    </w:rPr>
                    <w:t>二氧化硫</w:t>
                  </w:r>
                </w:p>
              </w:tc>
              <w:tc>
                <w:tcPr>
                  <w:tcW w:w="1798" w:type="dxa"/>
                  <w:gridSpan w:val="2"/>
                  <w:tcBorders>
                    <w:top w:val="single" w:sz="4" w:space="0" w:color="auto"/>
                    <w:left w:val="single" w:sz="4" w:space="0" w:color="auto"/>
                    <w:bottom w:val="single" w:sz="4" w:space="0" w:color="auto"/>
                    <w:right w:val="single" w:sz="4" w:space="0" w:color="auto"/>
                  </w:tcBorders>
                  <w:vAlign w:val="center"/>
                </w:tcPr>
                <w:p w14:paraId="1F2BA433" w14:textId="77777777" w:rsidR="00F76A63" w:rsidRDefault="00000000">
                  <w:pPr>
                    <w:jc w:val="center"/>
                    <w:rPr>
                      <w:bCs/>
                      <w:szCs w:val="21"/>
                    </w:rPr>
                  </w:pPr>
                  <w:r>
                    <w:rPr>
                      <w:bCs/>
                      <w:szCs w:val="21"/>
                    </w:rPr>
                    <w:t>323.039</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8470853" w14:textId="77777777" w:rsidR="00F76A63" w:rsidRDefault="00000000">
                  <w:pPr>
                    <w:jc w:val="center"/>
                    <w:rPr>
                      <w:bCs/>
                      <w:szCs w:val="21"/>
                    </w:rPr>
                  </w:pPr>
                  <w:r>
                    <w:rPr>
                      <w:rFonts w:hint="eastAsia"/>
                      <w:bCs/>
                      <w:szCs w:val="21"/>
                    </w:rPr>
                    <w:t>33.92</w:t>
                  </w:r>
                </w:p>
              </w:tc>
              <w:tc>
                <w:tcPr>
                  <w:tcW w:w="2059" w:type="dxa"/>
                  <w:tcBorders>
                    <w:top w:val="single" w:sz="4" w:space="0" w:color="auto"/>
                    <w:left w:val="single" w:sz="4" w:space="0" w:color="auto"/>
                    <w:bottom w:val="single" w:sz="4" w:space="0" w:color="auto"/>
                    <w:right w:val="single" w:sz="4" w:space="0" w:color="auto"/>
                  </w:tcBorders>
                  <w:vAlign w:val="center"/>
                </w:tcPr>
                <w:p w14:paraId="08174327" w14:textId="77777777" w:rsidR="00F76A63" w:rsidRDefault="00000000">
                  <w:pPr>
                    <w:jc w:val="center"/>
                    <w:rPr>
                      <w:bCs/>
                      <w:szCs w:val="21"/>
                    </w:rPr>
                  </w:pPr>
                  <w:r>
                    <w:rPr>
                      <w:bCs/>
                      <w:szCs w:val="21"/>
                    </w:rPr>
                    <w:t>372.17</w:t>
                  </w:r>
                </w:p>
              </w:tc>
              <w:tc>
                <w:tcPr>
                  <w:tcW w:w="713" w:type="dxa"/>
                  <w:tcBorders>
                    <w:top w:val="single" w:sz="4" w:space="0" w:color="auto"/>
                    <w:left w:val="single" w:sz="4" w:space="0" w:color="auto"/>
                    <w:bottom w:val="single" w:sz="4" w:space="0" w:color="auto"/>
                    <w:right w:val="nil"/>
                  </w:tcBorders>
                  <w:vAlign w:val="center"/>
                </w:tcPr>
                <w:p w14:paraId="7F77F153" w14:textId="77777777" w:rsidR="00F76A63" w:rsidRDefault="00000000">
                  <w:pPr>
                    <w:jc w:val="center"/>
                    <w:rPr>
                      <w:bCs/>
                      <w:szCs w:val="21"/>
                    </w:rPr>
                  </w:pPr>
                  <w:r>
                    <w:rPr>
                      <w:bCs/>
                      <w:szCs w:val="21"/>
                    </w:rPr>
                    <w:t>达标</w:t>
                  </w:r>
                </w:p>
              </w:tc>
            </w:tr>
            <w:tr w:rsidR="00F76A63" w14:paraId="2351F6E1" w14:textId="77777777">
              <w:trPr>
                <w:trHeight w:val="479"/>
                <w:jc w:val="center"/>
              </w:trPr>
              <w:tc>
                <w:tcPr>
                  <w:tcW w:w="803" w:type="dxa"/>
                  <w:vMerge/>
                  <w:tcBorders>
                    <w:top w:val="single" w:sz="4" w:space="0" w:color="auto"/>
                    <w:left w:val="nil"/>
                    <w:bottom w:val="single" w:sz="4" w:space="0" w:color="auto"/>
                    <w:right w:val="single" w:sz="4" w:space="0" w:color="auto"/>
                  </w:tcBorders>
                  <w:vAlign w:val="center"/>
                </w:tcPr>
                <w:p w14:paraId="2D4D6425" w14:textId="77777777" w:rsidR="00F76A63" w:rsidRDefault="00F76A63">
                  <w:pPr>
                    <w:jc w:val="center"/>
                    <w:rPr>
                      <w:bCs/>
                      <w:szCs w:val="21"/>
                    </w:rPr>
                  </w:pPr>
                </w:p>
              </w:tc>
              <w:tc>
                <w:tcPr>
                  <w:tcW w:w="895" w:type="dxa"/>
                  <w:tcBorders>
                    <w:top w:val="single" w:sz="4" w:space="0" w:color="auto"/>
                    <w:left w:val="single" w:sz="4" w:space="0" w:color="auto"/>
                    <w:bottom w:val="single" w:sz="12" w:space="0" w:color="auto"/>
                    <w:right w:val="single" w:sz="4" w:space="0" w:color="auto"/>
                  </w:tcBorders>
                  <w:vAlign w:val="center"/>
                </w:tcPr>
                <w:p w14:paraId="0D07B84F" w14:textId="77777777" w:rsidR="00F76A63" w:rsidRDefault="00000000">
                  <w:pPr>
                    <w:jc w:val="center"/>
                    <w:rPr>
                      <w:bCs/>
                      <w:szCs w:val="21"/>
                    </w:rPr>
                  </w:pPr>
                  <w:r>
                    <w:rPr>
                      <w:bCs/>
                      <w:szCs w:val="21"/>
                    </w:rPr>
                    <w:t>氮氧化物</w:t>
                  </w:r>
                </w:p>
              </w:tc>
              <w:tc>
                <w:tcPr>
                  <w:tcW w:w="1798" w:type="dxa"/>
                  <w:gridSpan w:val="2"/>
                  <w:tcBorders>
                    <w:top w:val="single" w:sz="4" w:space="0" w:color="auto"/>
                    <w:left w:val="single" w:sz="4" w:space="0" w:color="auto"/>
                    <w:bottom w:val="single" w:sz="12" w:space="0" w:color="auto"/>
                    <w:right w:val="single" w:sz="4" w:space="0" w:color="auto"/>
                  </w:tcBorders>
                  <w:vAlign w:val="center"/>
                </w:tcPr>
                <w:p w14:paraId="7C367282" w14:textId="77777777" w:rsidR="00F76A63" w:rsidRDefault="00000000">
                  <w:pPr>
                    <w:jc w:val="center"/>
                    <w:rPr>
                      <w:bCs/>
                      <w:szCs w:val="21"/>
                    </w:rPr>
                  </w:pPr>
                  <w:r>
                    <w:rPr>
                      <w:bCs/>
                      <w:szCs w:val="21"/>
                    </w:rPr>
                    <w:t>461.484</w:t>
                  </w:r>
                </w:p>
              </w:tc>
              <w:tc>
                <w:tcPr>
                  <w:tcW w:w="1843" w:type="dxa"/>
                  <w:gridSpan w:val="2"/>
                  <w:tcBorders>
                    <w:top w:val="single" w:sz="4" w:space="0" w:color="auto"/>
                    <w:left w:val="single" w:sz="4" w:space="0" w:color="auto"/>
                    <w:bottom w:val="single" w:sz="12" w:space="0" w:color="auto"/>
                    <w:right w:val="single" w:sz="4" w:space="0" w:color="auto"/>
                  </w:tcBorders>
                  <w:vAlign w:val="center"/>
                </w:tcPr>
                <w:p w14:paraId="4FD3CDD3" w14:textId="77777777" w:rsidR="00F76A63" w:rsidRDefault="00000000">
                  <w:pPr>
                    <w:jc w:val="center"/>
                    <w:rPr>
                      <w:bCs/>
                      <w:szCs w:val="21"/>
                    </w:rPr>
                  </w:pPr>
                  <w:r>
                    <w:rPr>
                      <w:rFonts w:hint="eastAsia"/>
                      <w:bCs/>
                      <w:szCs w:val="21"/>
                    </w:rPr>
                    <w:t>229.07</w:t>
                  </w:r>
                </w:p>
              </w:tc>
              <w:tc>
                <w:tcPr>
                  <w:tcW w:w="2059" w:type="dxa"/>
                  <w:tcBorders>
                    <w:top w:val="single" w:sz="4" w:space="0" w:color="auto"/>
                    <w:left w:val="single" w:sz="4" w:space="0" w:color="auto"/>
                    <w:bottom w:val="single" w:sz="12" w:space="0" w:color="auto"/>
                    <w:right w:val="single" w:sz="4" w:space="0" w:color="auto"/>
                  </w:tcBorders>
                  <w:vAlign w:val="center"/>
                </w:tcPr>
                <w:p w14:paraId="0B8C0760" w14:textId="77777777" w:rsidR="00F76A63" w:rsidRDefault="00000000">
                  <w:pPr>
                    <w:jc w:val="center"/>
                    <w:rPr>
                      <w:bCs/>
                      <w:szCs w:val="21"/>
                    </w:rPr>
                  </w:pPr>
                  <w:r>
                    <w:rPr>
                      <w:bCs/>
                      <w:szCs w:val="21"/>
                    </w:rPr>
                    <w:t>740.1</w:t>
                  </w:r>
                </w:p>
              </w:tc>
              <w:tc>
                <w:tcPr>
                  <w:tcW w:w="713" w:type="dxa"/>
                  <w:tcBorders>
                    <w:top w:val="single" w:sz="4" w:space="0" w:color="auto"/>
                    <w:left w:val="single" w:sz="4" w:space="0" w:color="auto"/>
                    <w:bottom w:val="single" w:sz="12" w:space="0" w:color="auto"/>
                    <w:right w:val="nil"/>
                  </w:tcBorders>
                  <w:vAlign w:val="center"/>
                </w:tcPr>
                <w:p w14:paraId="16039AAF" w14:textId="77777777" w:rsidR="00F76A63" w:rsidRDefault="00000000">
                  <w:pPr>
                    <w:jc w:val="center"/>
                    <w:rPr>
                      <w:bCs/>
                      <w:szCs w:val="21"/>
                    </w:rPr>
                  </w:pPr>
                  <w:r>
                    <w:rPr>
                      <w:bCs/>
                      <w:szCs w:val="21"/>
                    </w:rPr>
                    <w:t>达标</w:t>
                  </w:r>
                </w:p>
              </w:tc>
            </w:tr>
          </w:tbl>
          <w:p w14:paraId="1A78DE46" w14:textId="77777777" w:rsidR="00F76A63" w:rsidRDefault="00000000">
            <w:pPr>
              <w:rPr>
                <w:b/>
                <w:sz w:val="18"/>
                <w:szCs w:val="18"/>
              </w:rPr>
            </w:pPr>
            <w:r>
              <w:rPr>
                <w:b/>
                <w:sz w:val="18"/>
                <w:szCs w:val="18"/>
              </w:rPr>
              <w:t>注：</w:t>
            </w:r>
            <w:r>
              <w:rPr>
                <w:rFonts w:ascii="Cambria Math" w:hAnsi="Cambria Math" w:cs="Cambria Math"/>
                <w:b/>
                <w:sz w:val="18"/>
                <w:szCs w:val="18"/>
              </w:rPr>
              <w:t>①</w:t>
            </w:r>
            <w:r>
              <w:rPr>
                <w:b/>
                <w:sz w:val="18"/>
                <w:szCs w:val="18"/>
              </w:rPr>
              <w:t>数据来源于句容台泥</w:t>
            </w:r>
            <w:r>
              <w:rPr>
                <w:b/>
                <w:sz w:val="18"/>
                <w:szCs w:val="18"/>
              </w:rPr>
              <w:t>202</w:t>
            </w:r>
            <w:r>
              <w:rPr>
                <w:rFonts w:hint="eastAsia"/>
                <w:b/>
                <w:sz w:val="18"/>
                <w:szCs w:val="18"/>
              </w:rPr>
              <w:t>5</w:t>
            </w:r>
            <w:r>
              <w:rPr>
                <w:b/>
                <w:sz w:val="18"/>
                <w:szCs w:val="18"/>
              </w:rPr>
              <w:t>年执行年报；</w:t>
            </w:r>
            <w:r>
              <w:rPr>
                <w:rFonts w:ascii="Cambria Math" w:hAnsi="Cambria Math" w:cs="Cambria Math"/>
                <w:b/>
                <w:sz w:val="18"/>
                <w:szCs w:val="18"/>
              </w:rPr>
              <w:t>②</w:t>
            </w:r>
            <w:r>
              <w:rPr>
                <w:b/>
                <w:sz w:val="18"/>
                <w:szCs w:val="18"/>
              </w:rPr>
              <w:t>台泥公司因《水泥工业大气污染物排放标准》（</w:t>
            </w:r>
            <w:r>
              <w:rPr>
                <w:b/>
                <w:sz w:val="18"/>
                <w:szCs w:val="18"/>
              </w:rPr>
              <w:t>DB32/4149-2021</w:t>
            </w:r>
            <w:r>
              <w:rPr>
                <w:b/>
                <w:sz w:val="18"/>
                <w:szCs w:val="18"/>
              </w:rPr>
              <w:t>）规定颗粒物的排放限值浓度调整为</w:t>
            </w:r>
            <w:r>
              <w:rPr>
                <w:b/>
                <w:sz w:val="18"/>
                <w:szCs w:val="18"/>
              </w:rPr>
              <w:t>10mg/m</w:t>
            </w:r>
            <w:r>
              <w:rPr>
                <w:b/>
                <w:sz w:val="18"/>
                <w:szCs w:val="18"/>
                <w:vertAlign w:val="superscript"/>
              </w:rPr>
              <w:t>3</w:t>
            </w:r>
            <w:r>
              <w:rPr>
                <w:b/>
                <w:sz w:val="18"/>
                <w:szCs w:val="18"/>
              </w:rPr>
              <w:t>，特向镇江市句容生态环境局请示了关于颗粒物总量事宜，得此复函，见附件。</w:t>
            </w:r>
          </w:p>
          <w:p w14:paraId="29F3D050" w14:textId="77777777" w:rsidR="00F76A63" w:rsidRDefault="00000000">
            <w:pPr>
              <w:spacing w:line="500" w:lineRule="exact"/>
              <w:ind w:firstLineChars="200" w:firstLine="480"/>
              <w:rPr>
                <w:bCs/>
                <w:sz w:val="24"/>
              </w:rPr>
            </w:pPr>
            <w:r>
              <w:rPr>
                <w:bCs/>
                <w:sz w:val="24"/>
              </w:rPr>
              <w:t>由表</w:t>
            </w:r>
            <w:r>
              <w:rPr>
                <w:bCs/>
                <w:sz w:val="24"/>
              </w:rPr>
              <w:t>2-5</w:t>
            </w:r>
            <w:r>
              <w:rPr>
                <w:rFonts w:hint="eastAsia"/>
                <w:bCs/>
                <w:sz w:val="24"/>
              </w:rPr>
              <w:t>3</w:t>
            </w:r>
            <w:r>
              <w:rPr>
                <w:bCs/>
                <w:sz w:val="24"/>
              </w:rPr>
              <w:t>可知，</w:t>
            </w:r>
            <w:r>
              <w:rPr>
                <w:bCs/>
                <w:sz w:val="24"/>
              </w:rPr>
              <w:t>202</w:t>
            </w:r>
            <w:r>
              <w:rPr>
                <w:rFonts w:hint="eastAsia"/>
                <w:bCs/>
                <w:sz w:val="24"/>
              </w:rPr>
              <w:t>5</w:t>
            </w:r>
            <w:r>
              <w:rPr>
                <w:bCs/>
                <w:sz w:val="24"/>
              </w:rPr>
              <w:t>年句容台泥</w:t>
            </w:r>
            <w:r>
              <w:rPr>
                <w:rFonts w:hint="eastAsia"/>
                <w:bCs/>
                <w:sz w:val="24"/>
              </w:rPr>
              <w:t>大气</w:t>
            </w:r>
            <w:r>
              <w:rPr>
                <w:bCs/>
                <w:sz w:val="24"/>
              </w:rPr>
              <w:t>污染物实际排放量未超出许可排放量，满足排污许可证要求。</w:t>
            </w:r>
          </w:p>
          <w:p w14:paraId="098B5F56" w14:textId="77777777" w:rsidR="00F76A63" w:rsidRDefault="00000000">
            <w:pPr>
              <w:keepNext/>
              <w:keepLines/>
              <w:widowControl/>
              <w:tabs>
                <w:tab w:val="left" w:pos="2340"/>
              </w:tabs>
              <w:adjustRightInd w:val="0"/>
              <w:snapToGrid w:val="0"/>
              <w:spacing w:line="500" w:lineRule="exact"/>
              <w:ind w:firstLineChars="200" w:firstLine="482"/>
              <w:rPr>
                <w:b/>
                <w:bCs/>
                <w:kern w:val="0"/>
                <w:sz w:val="24"/>
              </w:rPr>
            </w:pPr>
            <w:r>
              <w:rPr>
                <w:b/>
                <w:bCs/>
                <w:sz w:val="24"/>
              </w:rPr>
              <w:t>2</w:t>
            </w:r>
            <w:r>
              <w:rPr>
                <w:b/>
                <w:bCs/>
                <w:sz w:val="24"/>
              </w:rPr>
              <w:t>）废水产生与治理情况</w:t>
            </w:r>
          </w:p>
          <w:p w14:paraId="42D52AA7" w14:textId="77777777" w:rsidR="00F76A63" w:rsidRDefault="00000000">
            <w:pPr>
              <w:keepNext/>
              <w:keepLines/>
              <w:widowControl/>
              <w:tabs>
                <w:tab w:val="left" w:pos="2340"/>
              </w:tabs>
              <w:adjustRightInd w:val="0"/>
              <w:snapToGrid w:val="0"/>
              <w:spacing w:line="500" w:lineRule="exact"/>
              <w:ind w:firstLineChars="200" w:firstLine="480"/>
              <w:rPr>
                <w:sz w:val="24"/>
              </w:rPr>
            </w:pPr>
            <w:r>
              <w:rPr>
                <w:sz w:val="24"/>
              </w:rPr>
              <w:t>项目主要废水为厂区生活污水、生产废水，生产废水冷却后回到循环冷却水池，回用于生产，厂区生活污水接管至下蜀镇污水处理厂，尾水排入老便民河</w:t>
            </w:r>
            <w:r>
              <w:rPr>
                <w:rFonts w:hint="eastAsia"/>
                <w:sz w:val="24"/>
              </w:rPr>
              <w:t>，初期雨水、地坪冲洗水经收集池收集，正常情况不外排，排涝时通过泵对外排。</w:t>
            </w:r>
          </w:p>
          <w:p w14:paraId="06D21C4B" w14:textId="77777777" w:rsidR="00F76A63" w:rsidRDefault="00000000">
            <w:pPr>
              <w:keepNext/>
              <w:keepLines/>
              <w:widowControl/>
              <w:tabs>
                <w:tab w:val="left" w:pos="2340"/>
              </w:tabs>
              <w:adjustRightInd w:val="0"/>
              <w:snapToGrid w:val="0"/>
              <w:spacing w:line="500" w:lineRule="exact"/>
              <w:ind w:firstLineChars="200" w:firstLine="480"/>
              <w:rPr>
                <w:sz w:val="24"/>
              </w:rPr>
            </w:pPr>
            <w:r>
              <w:rPr>
                <w:sz w:val="24"/>
              </w:rPr>
              <w:t>根据企业例行监测报告（</w:t>
            </w:r>
            <w:r>
              <w:rPr>
                <w:rFonts w:hint="eastAsia"/>
                <w:sz w:val="24"/>
              </w:rPr>
              <w:t>A2250309414144C-1</w:t>
            </w:r>
            <w:r>
              <w:rPr>
                <w:rFonts w:hint="eastAsia"/>
                <w:sz w:val="24"/>
              </w:rPr>
              <w:t>、</w:t>
            </w:r>
            <w:r>
              <w:rPr>
                <w:rFonts w:hint="eastAsia"/>
                <w:sz w:val="24"/>
              </w:rPr>
              <w:t>A2250309414144C-3</w:t>
            </w:r>
            <w:r>
              <w:rPr>
                <w:sz w:val="24"/>
              </w:rPr>
              <w:t>），采样日期</w:t>
            </w:r>
            <w:r>
              <w:rPr>
                <w:sz w:val="24"/>
              </w:rPr>
              <w:t>202</w:t>
            </w:r>
            <w:r>
              <w:rPr>
                <w:rFonts w:hint="eastAsia"/>
                <w:sz w:val="24"/>
              </w:rPr>
              <w:t>6</w:t>
            </w:r>
            <w:r>
              <w:rPr>
                <w:sz w:val="24"/>
              </w:rPr>
              <w:t>年</w:t>
            </w:r>
            <w:r>
              <w:rPr>
                <w:rFonts w:hint="eastAsia"/>
                <w:sz w:val="24"/>
              </w:rPr>
              <w:t>3</w:t>
            </w:r>
            <w:r>
              <w:rPr>
                <w:sz w:val="24"/>
              </w:rPr>
              <w:t>月</w:t>
            </w:r>
            <w:r>
              <w:rPr>
                <w:sz w:val="24"/>
              </w:rPr>
              <w:t>18</w:t>
            </w:r>
            <w:r>
              <w:rPr>
                <w:sz w:val="24"/>
              </w:rPr>
              <w:t>日。企业废水监测情况见表</w:t>
            </w:r>
            <w:r>
              <w:rPr>
                <w:sz w:val="24"/>
              </w:rPr>
              <w:t>2-5</w:t>
            </w:r>
            <w:r>
              <w:rPr>
                <w:rFonts w:hint="eastAsia"/>
                <w:sz w:val="24"/>
              </w:rPr>
              <w:t>4</w:t>
            </w:r>
            <w:r>
              <w:rPr>
                <w:sz w:val="24"/>
              </w:rPr>
              <w:t>。</w:t>
            </w:r>
          </w:p>
          <w:p w14:paraId="459411A2" w14:textId="77777777" w:rsidR="00F76A63" w:rsidRDefault="00000000">
            <w:pPr>
              <w:pStyle w:val="lqq1"/>
              <w:ind w:firstLine="482"/>
              <w:jc w:val="center"/>
              <w:rPr>
                <w:b/>
                <w:bCs/>
                <w:szCs w:val="16"/>
              </w:rPr>
            </w:pPr>
            <w:r>
              <w:rPr>
                <w:b/>
                <w:bCs/>
                <w:szCs w:val="16"/>
              </w:rPr>
              <w:t>表</w:t>
            </w:r>
            <w:r>
              <w:rPr>
                <w:b/>
                <w:bCs/>
                <w:szCs w:val="16"/>
              </w:rPr>
              <w:t>2-5</w:t>
            </w:r>
            <w:r>
              <w:rPr>
                <w:rFonts w:hint="eastAsia"/>
                <w:b/>
                <w:bCs/>
                <w:szCs w:val="16"/>
              </w:rPr>
              <w:t>4</w:t>
            </w:r>
            <w:r>
              <w:rPr>
                <w:b/>
                <w:bCs/>
                <w:szCs w:val="16"/>
              </w:rPr>
              <w:t xml:space="preserve">  </w:t>
            </w:r>
            <w:r>
              <w:rPr>
                <w:b/>
                <w:bCs/>
                <w:szCs w:val="16"/>
              </w:rPr>
              <w:t>现有项目废水例行监测情况一览表</w:t>
            </w:r>
          </w:p>
          <w:tbl>
            <w:tblPr>
              <w:tblStyle w:val="TableNormal"/>
              <w:tblW w:w="5000" w:type="pct"/>
              <w:jc w:val="center"/>
              <w:tblInd w:w="0" w:type="dxa"/>
              <w:tblBorders>
                <w:top w:val="single" w:sz="12" w:space="0" w:color="000000"/>
                <w:bottom w:val="single" w:sz="12" w:space="0" w:color="000000"/>
                <w:insideH w:val="single" w:sz="4" w:space="0" w:color="000000"/>
                <w:insideV w:val="single" w:sz="4" w:space="0" w:color="000000"/>
              </w:tblBorders>
              <w:tblLook w:val="04A0" w:firstRow="1" w:lastRow="0" w:firstColumn="1" w:lastColumn="0" w:noHBand="0" w:noVBand="1"/>
            </w:tblPr>
            <w:tblGrid>
              <w:gridCol w:w="1095"/>
              <w:gridCol w:w="983"/>
              <w:gridCol w:w="1702"/>
              <w:gridCol w:w="780"/>
              <w:gridCol w:w="886"/>
              <w:gridCol w:w="780"/>
              <w:gridCol w:w="976"/>
              <w:gridCol w:w="975"/>
            </w:tblGrid>
            <w:tr w:rsidR="00F76A63" w14:paraId="7EBE0F99" w14:textId="77777777">
              <w:trPr>
                <w:trHeight w:val="270"/>
                <w:jc w:val="center"/>
              </w:trPr>
              <w:tc>
                <w:tcPr>
                  <w:tcW w:w="669" w:type="pct"/>
                  <w:vMerge w:val="restart"/>
                  <w:vAlign w:val="center"/>
                </w:tcPr>
                <w:p w14:paraId="5C754A05" w14:textId="77777777" w:rsidR="00F76A63" w:rsidRDefault="00000000">
                  <w:pPr>
                    <w:jc w:val="center"/>
                    <w:rPr>
                      <w:b/>
                      <w:bCs/>
                      <w:kern w:val="0"/>
                      <w:szCs w:val="21"/>
                    </w:rPr>
                  </w:pPr>
                  <w:r>
                    <w:rPr>
                      <w:b/>
                      <w:bCs/>
                      <w:kern w:val="0"/>
                      <w:szCs w:val="21"/>
                    </w:rPr>
                    <w:t>检测日期</w:t>
                  </w:r>
                </w:p>
              </w:tc>
              <w:tc>
                <w:tcPr>
                  <w:tcW w:w="601" w:type="pct"/>
                  <w:vMerge w:val="restart"/>
                  <w:vAlign w:val="center"/>
                </w:tcPr>
                <w:p w14:paraId="1AA57750" w14:textId="77777777" w:rsidR="00F76A63" w:rsidRDefault="00000000">
                  <w:pPr>
                    <w:jc w:val="center"/>
                    <w:rPr>
                      <w:b/>
                      <w:bCs/>
                      <w:szCs w:val="21"/>
                    </w:rPr>
                  </w:pPr>
                  <w:r>
                    <w:rPr>
                      <w:b/>
                      <w:bCs/>
                      <w:szCs w:val="21"/>
                    </w:rPr>
                    <w:t>采样点位</w:t>
                  </w:r>
                </w:p>
              </w:tc>
              <w:tc>
                <w:tcPr>
                  <w:tcW w:w="1041" w:type="pct"/>
                  <w:vMerge w:val="restart"/>
                  <w:vAlign w:val="center"/>
                </w:tcPr>
                <w:p w14:paraId="58DEF534" w14:textId="77777777" w:rsidR="00F76A63" w:rsidRDefault="00000000">
                  <w:pPr>
                    <w:jc w:val="center"/>
                    <w:rPr>
                      <w:b/>
                      <w:bCs/>
                      <w:szCs w:val="21"/>
                    </w:rPr>
                  </w:pPr>
                  <w:r>
                    <w:rPr>
                      <w:b/>
                      <w:bCs/>
                      <w:szCs w:val="21"/>
                    </w:rPr>
                    <w:t>项目</w:t>
                  </w:r>
                </w:p>
              </w:tc>
              <w:tc>
                <w:tcPr>
                  <w:tcW w:w="2093" w:type="pct"/>
                  <w:gridSpan w:val="4"/>
                  <w:tcBorders>
                    <w:bottom w:val="single" w:sz="4" w:space="0" w:color="auto"/>
                  </w:tcBorders>
                  <w:vAlign w:val="center"/>
                </w:tcPr>
                <w:p w14:paraId="7C71AE1E" w14:textId="77777777" w:rsidR="00F76A63" w:rsidRDefault="00000000">
                  <w:pPr>
                    <w:jc w:val="center"/>
                    <w:rPr>
                      <w:b/>
                      <w:bCs/>
                      <w:szCs w:val="21"/>
                    </w:rPr>
                  </w:pPr>
                  <w:r>
                    <w:rPr>
                      <w:b/>
                      <w:bCs/>
                      <w:szCs w:val="21"/>
                    </w:rPr>
                    <w:t>检测结果</w:t>
                  </w:r>
                </w:p>
              </w:tc>
              <w:tc>
                <w:tcPr>
                  <w:tcW w:w="596" w:type="pct"/>
                  <w:vMerge w:val="restart"/>
                  <w:vAlign w:val="center"/>
                </w:tcPr>
                <w:p w14:paraId="3031BA1F" w14:textId="77777777" w:rsidR="00F76A63" w:rsidRDefault="00000000">
                  <w:pPr>
                    <w:jc w:val="center"/>
                    <w:rPr>
                      <w:b/>
                      <w:bCs/>
                      <w:szCs w:val="21"/>
                    </w:rPr>
                  </w:pPr>
                  <w:r>
                    <w:rPr>
                      <w:b/>
                      <w:bCs/>
                      <w:szCs w:val="21"/>
                    </w:rPr>
                    <w:t>标准限值</w:t>
                  </w:r>
                </w:p>
              </w:tc>
            </w:tr>
            <w:tr w:rsidR="00F76A63" w14:paraId="0DA57EB6" w14:textId="77777777">
              <w:trPr>
                <w:trHeight w:val="292"/>
                <w:jc w:val="center"/>
              </w:trPr>
              <w:tc>
                <w:tcPr>
                  <w:tcW w:w="669" w:type="pct"/>
                  <w:vMerge/>
                  <w:vAlign w:val="center"/>
                </w:tcPr>
                <w:p w14:paraId="5C6966B4" w14:textId="77777777" w:rsidR="00F76A63" w:rsidRDefault="00F76A63">
                  <w:pPr>
                    <w:jc w:val="center"/>
                    <w:rPr>
                      <w:szCs w:val="21"/>
                    </w:rPr>
                  </w:pPr>
                </w:p>
              </w:tc>
              <w:tc>
                <w:tcPr>
                  <w:tcW w:w="601" w:type="pct"/>
                  <w:vMerge/>
                  <w:vAlign w:val="center"/>
                </w:tcPr>
                <w:p w14:paraId="5295E6A0" w14:textId="77777777" w:rsidR="00F76A63" w:rsidRDefault="00F76A63">
                  <w:pPr>
                    <w:jc w:val="center"/>
                    <w:rPr>
                      <w:szCs w:val="21"/>
                    </w:rPr>
                  </w:pPr>
                </w:p>
              </w:tc>
              <w:tc>
                <w:tcPr>
                  <w:tcW w:w="1041" w:type="pct"/>
                  <w:vMerge/>
                  <w:vAlign w:val="center"/>
                </w:tcPr>
                <w:p w14:paraId="5BBD5CCB" w14:textId="77777777" w:rsidR="00F76A63" w:rsidRDefault="00F76A63">
                  <w:pPr>
                    <w:jc w:val="center"/>
                    <w:rPr>
                      <w:szCs w:val="21"/>
                    </w:rPr>
                  </w:pPr>
                </w:p>
              </w:tc>
              <w:tc>
                <w:tcPr>
                  <w:tcW w:w="477" w:type="pct"/>
                  <w:vAlign w:val="center"/>
                </w:tcPr>
                <w:p w14:paraId="0A9DBB5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4"/>
                      <w:sz w:val="21"/>
                      <w:szCs w:val="21"/>
                    </w:rPr>
                    <w:t>第</w:t>
                  </w:r>
                  <w:r>
                    <w:rPr>
                      <w:rFonts w:ascii="Times New Roman" w:hAnsi="Times New Roman" w:cs="Times New Roman"/>
                      <w:b/>
                      <w:bCs/>
                      <w:color w:val="auto"/>
                      <w:spacing w:val="-4"/>
                      <w:sz w:val="21"/>
                      <w:szCs w:val="21"/>
                    </w:rPr>
                    <w:t>1</w:t>
                  </w:r>
                  <w:r>
                    <w:rPr>
                      <w:rFonts w:ascii="Times New Roman" w:hAnsi="Times New Roman" w:cs="Times New Roman"/>
                      <w:b/>
                      <w:bCs/>
                      <w:color w:val="auto"/>
                      <w:spacing w:val="-4"/>
                      <w:sz w:val="21"/>
                      <w:szCs w:val="21"/>
                    </w:rPr>
                    <w:t>次</w:t>
                  </w:r>
                </w:p>
              </w:tc>
              <w:tc>
                <w:tcPr>
                  <w:tcW w:w="542" w:type="pct"/>
                  <w:vAlign w:val="center"/>
                </w:tcPr>
                <w:p w14:paraId="6028485A"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4"/>
                      <w:sz w:val="21"/>
                      <w:szCs w:val="21"/>
                    </w:rPr>
                    <w:t>第</w:t>
                  </w:r>
                  <w:r>
                    <w:rPr>
                      <w:rFonts w:ascii="Times New Roman" w:hAnsi="Times New Roman" w:cs="Times New Roman"/>
                      <w:b/>
                      <w:bCs/>
                      <w:color w:val="auto"/>
                      <w:spacing w:val="-4"/>
                      <w:sz w:val="21"/>
                      <w:szCs w:val="21"/>
                    </w:rPr>
                    <w:t>2</w:t>
                  </w:r>
                  <w:r>
                    <w:rPr>
                      <w:rFonts w:ascii="Times New Roman" w:hAnsi="Times New Roman" w:cs="Times New Roman"/>
                      <w:b/>
                      <w:bCs/>
                      <w:color w:val="auto"/>
                      <w:spacing w:val="-4"/>
                      <w:sz w:val="21"/>
                      <w:szCs w:val="21"/>
                    </w:rPr>
                    <w:t>次</w:t>
                  </w:r>
                </w:p>
              </w:tc>
              <w:tc>
                <w:tcPr>
                  <w:tcW w:w="477" w:type="pct"/>
                  <w:vAlign w:val="center"/>
                </w:tcPr>
                <w:p w14:paraId="046C7F70"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4"/>
                      <w:sz w:val="21"/>
                      <w:szCs w:val="21"/>
                    </w:rPr>
                    <w:t>第</w:t>
                  </w:r>
                  <w:r>
                    <w:rPr>
                      <w:rFonts w:ascii="Times New Roman" w:hAnsi="Times New Roman" w:cs="Times New Roman"/>
                      <w:b/>
                      <w:bCs/>
                      <w:color w:val="auto"/>
                      <w:spacing w:val="-4"/>
                      <w:sz w:val="21"/>
                      <w:szCs w:val="21"/>
                    </w:rPr>
                    <w:t>3</w:t>
                  </w:r>
                  <w:r>
                    <w:rPr>
                      <w:rFonts w:ascii="Times New Roman" w:hAnsi="Times New Roman" w:cs="Times New Roman"/>
                      <w:b/>
                      <w:bCs/>
                      <w:color w:val="auto"/>
                      <w:spacing w:val="-4"/>
                      <w:sz w:val="21"/>
                      <w:szCs w:val="21"/>
                    </w:rPr>
                    <w:t>次</w:t>
                  </w:r>
                </w:p>
              </w:tc>
              <w:tc>
                <w:tcPr>
                  <w:tcW w:w="597" w:type="pct"/>
                </w:tcPr>
                <w:p w14:paraId="51619DE4"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b/>
                      <w:bCs/>
                      <w:color w:val="auto"/>
                      <w:spacing w:val="-4"/>
                      <w:sz w:val="21"/>
                      <w:szCs w:val="21"/>
                    </w:rPr>
                    <w:t>平均值</w:t>
                  </w:r>
                </w:p>
              </w:tc>
              <w:tc>
                <w:tcPr>
                  <w:tcW w:w="596" w:type="pct"/>
                  <w:vMerge/>
                  <w:vAlign w:val="center"/>
                </w:tcPr>
                <w:p w14:paraId="28F30221" w14:textId="77777777" w:rsidR="00F76A63" w:rsidRDefault="00F76A63">
                  <w:pPr>
                    <w:jc w:val="center"/>
                    <w:rPr>
                      <w:szCs w:val="21"/>
                    </w:rPr>
                  </w:pPr>
                </w:p>
              </w:tc>
            </w:tr>
            <w:tr w:rsidR="00F76A63" w14:paraId="15846620" w14:textId="77777777">
              <w:trPr>
                <w:trHeight w:val="364"/>
                <w:jc w:val="center"/>
              </w:trPr>
              <w:tc>
                <w:tcPr>
                  <w:tcW w:w="669" w:type="pct"/>
                  <w:vMerge w:val="restart"/>
                  <w:vAlign w:val="center"/>
                </w:tcPr>
                <w:p w14:paraId="20FAD3FA" w14:textId="77777777" w:rsidR="00F76A63" w:rsidRDefault="00000000">
                  <w:pPr>
                    <w:jc w:val="center"/>
                    <w:rPr>
                      <w:szCs w:val="21"/>
                    </w:rPr>
                  </w:pPr>
                  <w:r>
                    <w:rPr>
                      <w:szCs w:val="21"/>
                    </w:rPr>
                    <w:t>2026.3.18</w:t>
                  </w:r>
                </w:p>
              </w:tc>
              <w:tc>
                <w:tcPr>
                  <w:tcW w:w="601" w:type="pct"/>
                  <w:vMerge w:val="restart"/>
                  <w:vAlign w:val="center"/>
                </w:tcPr>
                <w:p w14:paraId="51A2D8B7"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生活污水排放口</w:t>
                  </w:r>
                </w:p>
              </w:tc>
              <w:tc>
                <w:tcPr>
                  <w:tcW w:w="1041" w:type="pct"/>
                  <w:vAlign w:val="center"/>
                </w:tcPr>
                <w:p w14:paraId="6F60B57A" w14:textId="77777777" w:rsidR="00F76A63" w:rsidRDefault="00000000">
                  <w:pPr>
                    <w:jc w:val="center"/>
                    <w:rPr>
                      <w:szCs w:val="21"/>
                    </w:rPr>
                  </w:pPr>
                  <w:r>
                    <w:rPr>
                      <w:szCs w:val="21"/>
                    </w:rPr>
                    <w:t>总氮</w:t>
                  </w:r>
                </w:p>
              </w:tc>
              <w:tc>
                <w:tcPr>
                  <w:tcW w:w="477" w:type="pct"/>
                  <w:vAlign w:val="center"/>
                </w:tcPr>
                <w:p w14:paraId="6C1EF0B8" w14:textId="77777777" w:rsidR="00F76A63" w:rsidRDefault="00000000">
                  <w:pPr>
                    <w:jc w:val="center"/>
                    <w:rPr>
                      <w:szCs w:val="21"/>
                    </w:rPr>
                  </w:pPr>
                  <w:r>
                    <w:rPr>
                      <w:szCs w:val="21"/>
                    </w:rPr>
                    <w:t>5.84</w:t>
                  </w:r>
                </w:p>
              </w:tc>
              <w:tc>
                <w:tcPr>
                  <w:tcW w:w="542" w:type="pct"/>
                  <w:vAlign w:val="center"/>
                </w:tcPr>
                <w:p w14:paraId="7A05B628" w14:textId="77777777" w:rsidR="00F76A63" w:rsidRDefault="00000000">
                  <w:pPr>
                    <w:jc w:val="center"/>
                    <w:rPr>
                      <w:szCs w:val="21"/>
                    </w:rPr>
                  </w:pPr>
                  <w:r>
                    <w:rPr>
                      <w:szCs w:val="21"/>
                    </w:rPr>
                    <w:t>6.66</w:t>
                  </w:r>
                </w:p>
              </w:tc>
              <w:tc>
                <w:tcPr>
                  <w:tcW w:w="477" w:type="pct"/>
                  <w:vAlign w:val="center"/>
                </w:tcPr>
                <w:p w14:paraId="482A0B5A" w14:textId="77777777" w:rsidR="00F76A63" w:rsidRDefault="00000000">
                  <w:pPr>
                    <w:jc w:val="center"/>
                    <w:rPr>
                      <w:szCs w:val="21"/>
                    </w:rPr>
                  </w:pPr>
                  <w:r>
                    <w:rPr>
                      <w:szCs w:val="21"/>
                    </w:rPr>
                    <w:t>6.66</w:t>
                  </w:r>
                </w:p>
              </w:tc>
              <w:tc>
                <w:tcPr>
                  <w:tcW w:w="597" w:type="pct"/>
                  <w:vAlign w:val="center"/>
                </w:tcPr>
                <w:p w14:paraId="1002480D" w14:textId="77777777" w:rsidR="00F76A63" w:rsidRDefault="00000000">
                  <w:pPr>
                    <w:jc w:val="center"/>
                    <w:rPr>
                      <w:szCs w:val="21"/>
                    </w:rPr>
                  </w:pPr>
                  <w:r>
                    <w:rPr>
                      <w:szCs w:val="21"/>
                    </w:rPr>
                    <w:t>6.39</w:t>
                  </w:r>
                </w:p>
              </w:tc>
              <w:tc>
                <w:tcPr>
                  <w:tcW w:w="596" w:type="pct"/>
                  <w:vAlign w:val="center"/>
                </w:tcPr>
                <w:p w14:paraId="4292D1B8" w14:textId="77777777" w:rsidR="00F76A63" w:rsidRDefault="00000000">
                  <w:pPr>
                    <w:jc w:val="center"/>
                    <w:rPr>
                      <w:szCs w:val="21"/>
                    </w:rPr>
                  </w:pPr>
                  <w:r>
                    <w:rPr>
                      <w:szCs w:val="21"/>
                    </w:rPr>
                    <w:t>-</w:t>
                  </w:r>
                </w:p>
              </w:tc>
            </w:tr>
            <w:tr w:rsidR="00F76A63" w14:paraId="1A499E0C" w14:textId="77777777">
              <w:trPr>
                <w:trHeight w:val="364"/>
                <w:jc w:val="center"/>
              </w:trPr>
              <w:tc>
                <w:tcPr>
                  <w:tcW w:w="669" w:type="pct"/>
                  <w:vMerge/>
                  <w:vAlign w:val="center"/>
                </w:tcPr>
                <w:p w14:paraId="134E8AC8" w14:textId="77777777" w:rsidR="00F76A63" w:rsidRDefault="00F76A63">
                  <w:pPr>
                    <w:jc w:val="center"/>
                    <w:rPr>
                      <w:szCs w:val="21"/>
                    </w:rPr>
                  </w:pPr>
                </w:p>
              </w:tc>
              <w:tc>
                <w:tcPr>
                  <w:tcW w:w="601" w:type="pct"/>
                  <w:vMerge/>
                  <w:vAlign w:val="center"/>
                </w:tcPr>
                <w:p w14:paraId="472ED420" w14:textId="77777777" w:rsidR="00F76A63" w:rsidRDefault="00F76A63">
                  <w:pPr>
                    <w:jc w:val="center"/>
                    <w:rPr>
                      <w:szCs w:val="21"/>
                    </w:rPr>
                  </w:pPr>
                </w:p>
              </w:tc>
              <w:tc>
                <w:tcPr>
                  <w:tcW w:w="1041" w:type="pct"/>
                  <w:vAlign w:val="center"/>
                </w:tcPr>
                <w:p w14:paraId="6A8CB5AD" w14:textId="77777777" w:rsidR="00F76A63" w:rsidRDefault="00000000">
                  <w:pPr>
                    <w:jc w:val="center"/>
                    <w:rPr>
                      <w:szCs w:val="21"/>
                    </w:rPr>
                  </w:pPr>
                  <w:r>
                    <w:rPr>
                      <w:szCs w:val="21"/>
                    </w:rPr>
                    <w:t>pH</w:t>
                  </w:r>
                  <w:r>
                    <w:rPr>
                      <w:szCs w:val="21"/>
                    </w:rPr>
                    <w:t>值</w:t>
                  </w:r>
                </w:p>
              </w:tc>
              <w:tc>
                <w:tcPr>
                  <w:tcW w:w="477" w:type="pct"/>
                  <w:vAlign w:val="center"/>
                </w:tcPr>
                <w:p w14:paraId="332296D3" w14:textId="77777777" w:rsidR="00F76A63" w:rsidRDefault="00000000">
                  <w:pPr>
                    <w:jc w:val="center"/>
                    <w:rPr>
                      <w:szCs w:val="21"/>
                    </w:rPr>
                  </w:pPr>
                  <w:r>
                    <w:rPr>
                      <w:szCs w:val="21"/>
                    </w:rPr>
                    <w:t>7.5</w:t>
                  </w:r>
                </w:p>
              </w:tc>
              <w:tc>
                <w:tcPr>
                  <w:tcW w:w="542" w:type="pct"/>
                  <w:vAlign w:val="center"/>
                </w:tcPr>
                <w:p w14:paraId="5100E27C" w14:textId="77777777" w:rsidR="00F76A63" w:rsidRDefault="00000000">
                  <w:pPr>
                    <w:jc w:val="center"/>
                    <w:rPr>
                      <w:szCs w:val="21"/>
                    </w:rPr>
                  </w:pPr>
                  <w:r>
                    <w:rPr>
                      <w:szCs w:val="21"/>
                    </w:rPr>
                    <w:t>7.5</w:t>
                  </w:r>
                </w:p>
              </w:tc>
              <w:tc>
                <w:tcPr>
                  <w:tcW w:w="477" w:type="pct"/>
                  <w:vAlign w:val="center"/>
                </w:tcPr>
                <w:p w14:paraId="29FD93FA" w14:textId="77777777" w:rsidR="00F76A63" w:rsidRDefault="00000000">
                  <w:pPr>
                    <w:jc w:val="center"/>
                    <w:rPr>
                      <w:szCs w:val="21"/>
                    </w:rPr>
                  </w:pPr>
                  <w:r>
                    <w:rPr>
                      <w:szCs w:val="21"/>
                    </w:rPr>
                    <w:t>7.5</w:t>
                  </w:r>
                </w:p>
              </w:tc>
              <w:tc>
                <w:tcPr>
                  <w:tcW w:w="597" w:type="pct"/>
                  <w:vAlign w:val="center"/>
                </w:tcPr>
                <w:p w14:paraId="0022AB00" w14:textId="77777777" w:rsidR="00F76A63" w:rsidRDefault="00000000">
                  <w:pPr>
                    <w:jc w:val="center"/>
                    <w:rPr>
                      <w:szCs w:val="21"/>
                    </w:rPr>
                  </w:pPr>
                  <w:r>
                    <w:rPr>
                      <w:szCs w:val="21"/>
                    </w:rPr>
                    <w:t>7.5</w:t>
                  </w:r>
                </w:p>
              </w:tc>
              <w:tc>
                <w:tcPr>
                  <w:tcW w:w="596" w:type="pct"/>
                  <w:vAlign w:val="center"/>
                </w:tcPr>
                <w:p w14:paraId="4D06D5EC" w14:textId="77777777" w:rsidR="00F76A63" w:rsidRDefault="00000000">
                  <w:pPr>
                    <w:jc w:val="center"/>
                    <w:rPr>
                      <w:szCs w:val="21"/>
                    </w:rPr>
                  </w:pPr>
                  <w:r>
                    <w:rPr>
                      <w:szCs w:val="21"/>
                    </w:rPr>
                    <w:t>6~9</w:t>
                  </w:r>
                </w:p>
              </w:tc>
            </w:tr>
            <w:tr w:rsidR="00F76A63" w14:paraId="35F60740" w14:textId="77777777">
              <w:trPr>
                <w:trHeight w:val="364"/>
                <w:jc w:val="center"/>
              </w:trPr>
              <w:tc>
                <w:tcPr>
                  <w:tcW w:w="669" w:type="pct"/>
                  <w:vMerge/>
                  <w:vAlign w:val="center"/>
                </w:tcPr>
                <w:p w14:paraId="1540F606" w14:textId="77777777" w:rsidR="00F76A63" w:rsidRDefault="00F76A63">
                  <w:pPr>
                    <w:jc w:val="center"/>
                    <w:rPr>
                      <w:szCs w:val="21"/>
                    </w:rPr>
                  </w:pPr>
                </w:p>
              </w:tc>
              <w:tc>
                <w:tcPr>
                  <w:tcW w:w="601" w:type="pct"/>
                  <w:vMerge/>
                  <w:vAlign w:val="center"/>
                </w:tcPr>
                <w:p w14:paraId="782AF87A" w14:textId="77777777" w:rsidR="00F76A63" w:rsidRDefault="00F76A63">
                  <w:pPr>
                    <w:jc w:val="center"/>
                    <w:rPr>
                      <w:szCs w:val="21"/>
                    </w:rPr>
                  </w:pPr>
                </w:p>
              </w:tc>
              <w:tc>
                <w:tcPr>
                  <w:tcW w:w="1041" w:type="pct"/>
                  <w:vAlign w:val="center"/>
                </w:tcPr>
                <w:p w14:paraId="238B584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五日生化需氧量</w:t>
                  </w:r>
                </w:p>
              </w:tc>
              <w:tc>
                <w:tcPr>
                  <w:tcW w:w="477" w:type="pct"/>
                  <w:vAlign w:val="center"/>
                </w:tcPr>
                <w:p w14:paraId="33C694A7" w14:textId="77777777" w:rsidR="00F76A63" w:rsidRDefault="00000000">
                  <w:pPr>
                    <w:jc w:val="center"/>
                    <w:rPr>
                      <w:szCs w:val="21"/>
                    </w:rPr>
                  </w:pPr>
                  <w:r>
                    <w:rPr>
                      <w:szCs w:val="21"/>
                    </w:rPr>
                    <w:t>8.9</w:t>
                  </w:r>
                </w:p>
              </w:tc>
              <w:tc>
                <w:tcPr>
                  <w:tcW w:w="542" w:type="pct"/>
                  <w:vAlign w:val="center"/>
                </w:tcPr>
                <w:p w14:paraId="6441A3FB" w14:textId="77777777" w:rsidR="00F76A63" w:rsidRDefault="00000000">
                  <w:pPr>
                    <w:jc w:val="center"/>
                    <w:rPr>
                      <w:szCs w:val="21"/>
                    </w:rPr>
                  </w:pPr>
                  <w:r>
                    <w:rPr>
                      <w:szCs w:val="21"/>
                    </w:rPr>
                    <w:t>8.6</w:t>
                  </w:r>
                </w:p>
              </w:tc>
              <w:tc>
                <w:tcPr>
                  <w:tcW w:w="477" w:type="pct"/>
                  <w:vAlign w:val="center"/>
                </w:tcPr>
                <w:p w14:paraId="453CC1CE" w14:textId="77777777" w:rsidR="00F76A63" w:rsidRDefault="00000000">
                  <w:pPr>
                    <w:jc w:val="center"/>
                    <w:rPr>
                      <w:szCs w:val="21"/>
                    </w:rPr>
                  </w:pPr>
                  <w:r>
                    <w:rPr>
                      <w:szCs w:val="21"/>
                    </w:rPr>
                    <w:t>8.8</w:t>
                  </w:r>
                </w:p>
              </w:tc>
              <w:tc>
                <w:tcPr>
                  <w:tcW w:w="597" w:type="pct"/>
                  <w:vAlign w:val="center"/>
                </w:tcPr>
                <w:p w14:paraId="46E3CBB6" w14:textId="77777777" w:rsidR="00F76A63" w:rsidRDefault="00000000">
                  <w:pPr>
                    <w:jc w:val="center"/>
                    <w:rPr>
                      <w:szCs w:val="21"/>
                    </w:rPr>
                  </w:pPr>
                  <w:r>
                    <w:rPr>
                      <w:szCs w:val="21"/>
                    </w:rPr>
                    <w:t>8.8</w:t>
                  </w:r>
                </w:p>
              </w:tc>
              <w:tc>
                <w:tcPr>
                  <w:tcW w:w="596" w:type="pct"/>
                  <w:vAlign w:val="center"/>
                </w:tcPr>
                <w:p w14:paraId="2C0AD0B9" w14:textId="77777777" w:rsidR="00F76A63" w:rsidRDefault="00000000">
                  <w:pPr>
                    <w:jc w:val="center"/>
                    <w:rPr>
                      <w:szCs w:val="21"/>
                    </w:rPr>
                  </w:pPr>
                  <w:r>
                    <w:rPr>
                      <w:szCs w:val="21"/>
                    </w:rPr>
                    <w:t>300</w:t>
                  </w:r>
                </w:p>
              </w:tc>
            </w:tr>
            <w:tr w:rsidR="00F76A63" w14:paraId="737D8010" w14:textId="77777777">
              <w:trPr>
                <w:trHeight w:val="364"/>
                <w:jc w:val="center"/>
              </w:trPr>
              <w:tc>
                <w:tcPr>
                  <w:tcW w:w="669" w:type="pct"/>
                  <w:vMerge/>
                  <w:vAlign w:val="center"/>
                </w:tcPr>
                <w:p w14:paraId="3A80E503" w14:textId="77777777" w:rsidR="00F76A63" w:rsidRDefault="00F76A63">
                  <w:pPr>
                    <w:jc w:val="center"/>
                    <w:rPr>
                      <w:szCs w:val="21"/>
                    </w:rPr>
                  </w:pPr>
                </w:p>
              </w:tc>
              <w:tc>
                <w:tcPr>
                  <w:tcW w:w="601" w:type="pct"/>
                  <w:vMerge/>
                  <w:vAlign w:val="center"/>
                </w:tcPr>
                <w:p w14:paraId="7DDE77DB" w14:textId="77777777" w:rsidR="00F76A63" w:rsidRDefault="00F76A63">
                  <w:pPr>
                    <w:jc w:val="center"/>
                    <w:rPr>
                      <w:szCs w:val="21"/>
                    </w:rPr>
                  </w:pPr>
                </w:p>
              </w:tc>
              <w:tc>
                <w:tcPr>
                  <w:tcW w:w="1041" w:type="pct"/>
                  <w:vAlign w:val="center"/>
                </w:tcPr>
                <w:p w14:paraId="5AA90F9B" w14:textId="77777777" w:rsidR="00F76A63" w:rsidRDefault="00000000">
                  <w:pPr>
                    <w:pStyle w:val="TableText"/>
                    <w:jc w:val="center"/>
                    <w:rPr>
                      <w:rFonts w:ascii="Times New Roman" w:hAnsi="Times New Roman" w:cs="Times New Roman"/>
                      <w:color w:val="auto"/>
                      <w:spacing w:val="-3"/>
                      <w:sz w:val="21"/>
                      <w:szCs w:val="21"/>
                    </w:rPr>
                  </w:pPr>
                  <w:r>
                    <w:rPr>
                      <w:rFonts w:ascii="Times New Roman" w:hAnsi="Times New Roman" w:cs="Times New Roman"/>
                      <w:color w:val="auto"/>
                      <w:spacing w:val="-4"/>
                      <w:sz w:val="21"/>
                      <w:szCs w:val="21"/>
                    </w:rPr>
                    <w:t>化学需氧量</w:t>
                  </w:r>
                </w:p>
              </w:tc>
              <w:tc>
                <w:tcPr>
                  <w:tcW w:w="477" w:type="pct"/>
                  <w:vAlign w:val="center"/>
                </w:tcPr>
                <w:p w14:paraId="22C8A1AD" w14:textId="77777777" w:rsidR="00F76A63" w:rsidRDefault="00000000">
                  <w:pPr>
                    <w:jc w:val="center"/>
                    <w:rPr>
                      <w:szCs w:val="21"/>
                    </w:rPr>
                  </w:pPr>
                  <w:r>
                    <w:rPr>
                      <w:szCs w:val="21"/>
                    </w:rPr>
                    <w:t>44</w:t>
                  </w:r>
                </w:p>
              </w:tc>
              <w:tc>
                <w:tcPr>
                  <w:tcW w:w="542" w:type="pct"/>
                  <w:vAlign w:val="center"/>
                </w:tcPr>
                <w:p w14:paraId="05EF20B3" w14:textId="77777777" w:rsidR="00F76A63" w:rsidRDefault="00000000">
                  <w:pPr>
                    <w:jc w:val="center"/>
                    <w:rPr>
                      <w:spacing w:val="-6"/>
                      <w:szCs w:val="21"/>
                    </w:rPr>
                  </w:pPr>
                  <w:r>
                    <w:rPr>
                      <w:spacing w:val="-6"/>
                      <w:szCs w:val="21"/>
                    </w:rPr>
                    <w:t>41</w:t>
                  </w:r>
                </w:p>
              </w:tc>
              <w:tc>
                <w:tcPr>
                  <w:tcW w:w="477" w:type="pct"/>
                  <w:vAlign w:val="center"/>
                </w:tcPr>
                <w:p w14:paraId="41C62501" w14:textId="77777777" w:rsidR="00F76A63" w:rsidRDefault="00000000">
                  <w:pPr>
                    <w:jc w:val="center"/>
                    <w:rPr>
                      <w:szCs w:val="21"/>
                    </w:rPr>
                  </w:pPr>
                  <w:r>
                    <w:rPr>
                      <w:szCs w:val="21"/>
                    </w:rPr>
                    <w:t>45</w:t>
                  </w:r>
                </w:p>
              </w:tc>
              <w:tc>
                <w:tcPr>
                  <w:tcW w:w="597" w:type="pct"/>
                  <w:vAlign w:val="center"/>
                </w:tcPr>
                <w:p w14:paraId="6986771F" w14:textId="77777777" w:rsidR="00F76A63" w:rsidRDefault="00000000">
                  <w:pPr>
                    <w:jc w:val="center"/>
                    <w:rPr>
                      <w:szCs w:val="21"/>
                    </w:rPr>
                  </w:pPr>
                  <w:r>
                    <w:rPr>
                      <w:szCs w:val="21"/>
                    </w:rPr>
                    <w:t>43</w:t>
                  </w:r>
                </w:p>
              </w:tc>
              <w:tc>
                <w:tcPr>
                  <w:tcW w:w="596" w:type="pct"/>
                  <w:vAlign w:val="center"/>
                </w:tcPr>
                <w:p w14:paraId="6694BF58" w14:textId="77777777" w:rsidR="00F76A63" w:rsidRDefault="00000000">
                  <w:pPr>
                    <w:jc w:val="center"/>
                    <w:rPr>
                      <w:szCs w:val="21"/>
                    </w:rPr>
                  </w:pPr>
                  <w:r>
                    <w:rPr>
                      <w:szCs w:val="21"/>
                    </w:rPr>
                    <w:t>500</w:t>
                  </w:r>
                </w:p>
              </w:tc>
            </w:tr>
            <w:tr w:rsidR="00F76A63" w14:paraId="34DA1099" w14:textId="77777777">
              <w:trPr>
                <w:trHeight w:val="366"/>
                <w:jc w:val="center"/>
              </w:trPr>
              <w:tc>
                <w:tcPr>
                  <w:tcW w:w="669" w:type="pct"/>
                  <w:vMerge/>
                  <w:vAlign w:val="center"/>
                </w:tcPr>
                <w:p w14:paraId="30A6D1A3" w14:textId="77777777" w:rsidR="00F76A63" w:rsidRDefault="00F76A63">
                  <w:pPr>
                    <w:jc w:val="center"/>
                    <w:rPr>
                      <w:szCs w:val="21"/>
                    </w:rPr>
                  </w:pPr>
                </w:p>
              </w:tc>
              <w:tc>
                <w:tcPr>
                  <w:tcW w:w="601" w:type="pct"/>
                  <w:vMerge/>
                  <w:vAlign w:val="center"/>
                </w:tcPr>
                <w:p w14:paraId="0AC51C61" w14:textId="77777777" w:rsidR="00F76A63" w:rsidRDefault="00F76A63">
                  <w:pPr>
                    <w:jc w:val="center"/>
                    <w:rPr>
                      <w:szCs w:val="21"/>
                    </w:rPr>
                  </w:pPr>
                </w:p>
              </w:tc>
              <w:tc>
                <w:tcPr>
                  <w:tcW w:w="1041" w:type="pct"/>
                  <w:vAlign w:val="center"/>
                </w:tcPr>
                <w:p w14:paraId="46DE77A0"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总磷</w:t>
                  </w:r>
                </w:p>
              </w:tc>
              <w:tc>
                <w:tcPr>
                  <w:tcW w:w="477" w:type="pct"/>
                  <w:vAlign w:val="center"/>
                </w:tcPr>
                <w:p w14:paraId="5FA00C6A" w14:textId="77777777" w:rsidR="00F76A63" w:rsidRDefault="00000000">
                  <w:pPr>
                    <w:jc w:val="center"/>
                    <w:rPr>
                      <w:szCs w:val="21"/>
                    </w:rPr>
                  </w:pPr>
                  <w:r>
                    <w:rPr>
                      <w:szCs w:val="21"/>
                    </w:rPr>
                    <w:t>0.43</w:t>
                  </w:r>
                </w:p>
              </w:tc>
              <w:tc>
                <w:tcPr>
                  <w:tcW w:w="542" w:type="pct"/>
                  <w:vAlign w:val="center"/>
                </w:tcPr>
                <w:p w14:paraId="1A092FCD" w14:textId="77777777" w:rsidR="00F76A63" w:rsidRDefault="00000000">
                  <w:pPr>
                    <w:jc w:val="center"/>
                    <w:rPr>
                      <w:szCs w:val="21"/>
                    </w:rPr>
                  </w:pPr>
                  <w:r>
                    <w:rPr>
                      <w:szCs w:val="21"/>
                    </w:rPr>
                    <w:t>0.44</w:t>
                  </w:r>
                </w:p>
              </w:tc>
              <w:tc>
                <w:tcPr>
                  <w:tcW w:w="477" w:type="pct"/>
                  <w:vAlign w:val="center"/>
                </w:tcPr>
                <w:p w14:paraId="6D7B9786" w14:textId="77777777" w:rsidR="00F76A63" w:rsidRDefault="00000000">
                  <w:pPr>
                    <w:jc w:val="center"/>
                    <w:rPr>
                      <w:szCs w:val="21"/>
                    </w:rPr>
                  </w:pPr>
                  <w:r>
                    <w:rPr>
                      <w:szCs w:val="21"/>
                    </w:rPr>
                    <w:t>0.46</w:t>
                  </w:r>
                </w:p>
              </w:tc>
              <w:tc>
                <w:tcPr>
                  <w:tcW w:w="597" w:type="pct"/>
                  <w:vAlign w:val="center"/>
                </w:tcPr>
                <w:p w14:paraId="3970D788" w14:textId="77777777" w:rsidR="00F76A63" w:rsidRDefault="00000000">
                  <w:pPr>
                    <w:jc w:val="center"/>
                    <w:rPr>
                      <w:szCs w:val="21"/>
                    </w:rPr>
                  </w:pPr>
                  <w:r>
                    <w:rPr>
                      <w:szCs w:val="21"/>
                    </w:rPr>
                    <w:t>0.44</w:t>
                  </w:r>
                </w:p>
              </w:tc>
              <w:tc>
                <w:tcPr>
                  <w:tcW w:w="596" w:type="pct"/>
                  <w:vAlign w:val="center"/>
                </w:tcPr>
                <w:p w14:paraId="39094CF4" w14:textId="77777777" w:rsidR="00F76A63" w:rsidRDefault="00000000">
                  <w:pPr>
                    <w:jc w:val="center"/>
                    <w:rPr>
                      <w:szCs w:val="21"/>
                    </w:rPr>
                  </w:pPr>
                  <w:r>
                    <w:rPr>
                      <w:szCs w:val="21"/>
                    </w:rPr>
                    <w:t>-</w:t>
                  </w:r>
                </w:p>
              </w:tc>
            </w:tr>
            <w:tr w:rsidR="00F76A63" w14:paraId="5FDE5B10" w14:textId="77777777">
              <w:trPr>
                <w:trHeight w:val="363"/>
                <w:jc w:val="center"/>
              </w:trPr>
              <w:tc>
                <w:tcPr>
                  <w:tcW w:w="669" w:type="pct"/>
                  <w:vMerge/>
                  <w:vAlign w:val="center"/>
                </w:tcPr>
                <w:p w14:paraId="2CBB7CE6" w14:textId="77777777" w:rsidR="00F76A63" w:rsidRDefault="00F76A63">
                  <w:pPr>
                    <w:jc w:val="center"/>
                    <w:rPr>
                      <w:szCs w:val="21"/>
                    </w:rPr>
                  </w:pPr>
                </w:p>
              </w:tc>
              <w:tc>
                <w:tcPr>
                  <w:tcW w:w="601" w:type="pct"/>
                  <w:vMerge/>
                  <w:vAlign w:val="center"/>
                </w:tcPr>
                <w:p w14:paraId="2FB349B0" w14:textId="77777777" w:rsidR="00F76A63" w:rsidRDefault="00F76A63">
                  <w:pPr>
                    <w:jc w:val="center"/>
                    <w:rPr>
                      <w:szCs w:val="21"/>
                    </w:rPr>
                  </w:pPr>
                </w:p>
              </w:tc>
              <w:tc>
                <w:tcPr>
                  <w:tcW w:w="1041" w:type="pct"/>
                  <w:vAlign w:val="center"/>
                </w:tcPr>
                <w:p w14:paraId="0C1EBF6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悬浮物</w:t>
                  </w:r>
                </w:p>
              </w:tc>
              <w:tc>
                <w:tcPr>
                  <w:tcW w:w="477" w:type="pct"/>
                  <w:vAlign w:val="center"/>
                </w:tcPr>
                <w:p w14:paraId="12A0A8EF" w14:textId="77777777" w:rsidR="00F76A63" w:rsidRDefault="00000000">
                  <w:pPr>
                    <w:jc w:val="center"/>
                    <w:rPr>
                      <w:szCs w:val="21"/>
                    </w:rPr>
                  </w:pPr>
                  <w:r>
                    <w:rPr>
                      <w:szCs w:val="21"/>
                    </w:rPr>
                    <w:t>58</w:t>
                  </w:r>
                </w:p>
              </w:tc>
              <w:tc>
                <w:tcPr>
                  <w:tcW w:w="542" w:type="pct"/>
                  <w:vAlign w:val="center"/>
                </w:tcPr>
                <w:p w14:paraId="387D913F" w14:textId="77777777" w:rsidR="00F76A63" w:rsidRDefault="00000000">
                  <w:pPr>
                    <w:jc w:val="center"/>
                    <w:rPr>
                      <w:szCs w:val="21"/>
                    </w:rPr>
                  </w:pPr>
                  <w:r>
                    <w:rPr>
                      <w:szCs w:val="21"/>
                    </w:rPr>
                    <w:t>59</w:t>
                  </w:r>
                </w:p>
              </w:tc>
              <w:tc>
                <w:tcPr>
                  <w:tcW w:w="477" w:type="pct"/>
                  <w:vAlign w:val="center"/>
                </w:tcPr>
                <w:p w14:paraId="4439EF1C" w14:textId="77777777" w:rsidR="00F76A63" w:rsidRDefault="00000000">
                  <w:pPr>
                    <w:jc w:val="center"/>
                    <w:rPr>
                      <w:szCs w:val="21"/>
                    </w:rPr>
                  </w:pPr>
                  <w:r>
                    <w:rPr>
                      <w:szCs w:val="21"/>
                    </w:rPr>
                    <w:t>56</w:t>
                  </w:r>
                </w:p>
              </w:tc>
              <w:tc>
                <w:tcPr>
                  <w:tcW w:w="597" w:type="pct"/>
                  <w:vAlign w:val="center"/>
                </w:tcPr>
                <w:p w14:paraId="7D96DB1C" w14:textId="77777777" w:rsidR="00F76A63" w:rsidRDefault="00000000">
                  <w:pPr>
                    <w:jc w:val="center"/>
                    <w:rPr>
                      <w:szCs w:val="21"/>
                    </w:rPr>
                  </w:pPr>
                  <w:r>
                    <w:rPr>
                      <w:szCs w:val="21"/>
                    </w:rPr>
                    <w:t>58</w:t>
                  </w:r>
                </w:p>
              </w:tc>
              <w:tc>
                <w:tcPr>
                  <w:tcW w:w="596" w:type="pct"/>
                  <w:vAlign w:val="center"/>
                </w:tcPr>
                <w:p w14:paraId="1F60CE7D" w14:textId="77777777" w:rsidR="00F76A63" w:rsidRDefault="00000000">
                  <w:pPr>
                    <w:jc w:val="center"/>
                    <w:rPr>
                      <w:szCs w:val="21"/>
                    </w:rPr>
                  </w:pPr>
                  <w:r>
                    <w:rPr>
                      <w:szCs w:val="21"/>
                    </w:rPr>
                    <w:t>400</w:t>
                  </w:r>
                </w:p>
              </w:tc>
            </w:tr>
            <w:tr w:rsidR="00F76A63" w14:paraId="6F53C052" w14:textId="77777777">
              <w:trPr>
                <w:trHeight w:val="364"/>
                <w:jc w:val="center"/>
              </w:trPr>
              <w:tc>
                <w:tcPr>
                  <w:tcW w:w="669" w:type="pct"/>
                  <w:vMerge/>
                  <w:vAlign w:val="center"/>
                </w:tcPr>
                <w:p w14:paraId="705863DB" w14:textId="77777777" w:rsidR="00F76A63" w:rsidRDefault="00F76A63">
                  <w:pPr>
                    <w:jc w:val="center"/>
                    <w:rPr>
                      <w:szCs w:val="21"/>
                    </w:rPr>
                  </w:pPr>
                </w:p>
              </w:tc>
              <w:tc>
                <w:tcPr>
                  <w:tcW w:w="601" w:type="pct"/>
                  <w:vMerge/>
                  <w:vAlign w:val="center"/>
                </w:tcPr>
                <w:p w14:paraId="09FBA9BF" w14:textId="77777777" w:rsidR="00F76A63" w:rsidRDefault="00F76A63">
                  <w:pPr>
                    <w:jc w:val="center"/>
                    <w:rPr>
                      <w:szCs w:val="21"/>
                    </w:rPr>
                  </w:pPr>
                </w:p>
              </w:tc>
              <w:tc>
                <w:tcPr>
                  <w:tcW w:w="1041" w:type="pct"/>
                  <w:vAlign w:val="center"/>
                </w:tcPr>
                <w:p w14:paraId="16ABA821"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氨氮</w:t>
                  </w:r>
                </w:p>
              </w:tc>
              <w:tc>
                <w:tcPr>
                  <w:tcW w:w="477" w:type="pct"/>
                  <w:vAlign w:val="center"/>
                </w:tcPr>
                <w:p w14:paraId="525DC61D" w14:textId="77777777" w:rsidR="00F76A63" w:rsidRDefault="00000000">
                  <w:pPr>
                    <w:jc w:val="center"/>
                    <w:rPr>
                      <w:szCs w:val="21"/>
                    </w:rPr>
                  </w:pPr>
                  <w:r>
                    <w:rPr>
                      <w:szCs w:val="21"/>
                    </w:rPr>
                    <w:t>3.75</w:t>
                  </w:r>
                </w:p>
              </w:tc>
              <w:tc>
                <w:tcPr>
                  <w:tcW w:w="542" w:type="pct"/>
                  <w:vAlign w:val="center"/>
                </w:tcPr>
                <w:p w14:paraId="7286355A" w14:textId="77777777" w:rsidR="00F76A63" w:rsidRDefault="00000000">
                  <w:pPr>
                    <w:jc w:val="center"/>
                    <w:rPr>
                      <w:szCs w:val="21"/>
                    </w:rPr>
                  </w:pPr>
                  <w:r>
                    <w:rPr>
                      <w:szCs w:val="21"/>
                    </w:rPr>
                    <w:t>3.70</w:t>
                  </w:r>
                </w:p>
              </w:tc>
              <w:tc>
                <w:tcPr>
                  <w:tcW w:w="477" w:type="pct"/>
                  <w:vAlign w:val="center"/>
                </w:tcPr>
                <w:p w14:paraId="21B9B056" w14:textId="77777777" w:rsidR="00F76A63" w:rsidRDefault="00000000">
                  <w:pPr>
                    <w:jc w:val="center"/>
                    <w:rPr>
                      <w:szCs w:val="21"/>
                    </w:rPr>
                  </w:pPr>
                  <w:r>
                    <w:rPr>
                      <w:szCs w:val="21"/>
                    </w:rPr>
                    <w:t>3.70</w:t>
                  </w:r>
                </w:p>
              </w:tc>
              <w:tc>
                <w:tcPr>
                  <w:tcW w:w="597" w:type="pct"/>
                  <w:vAlign w:val="center"/>
                </w:tcPr>
                <w:p w14:paraId="6BAEA9C8" w14:textId="77777777" w:rsidR="00F76A63" w:rsidRDefault="00000000">
                  <w:pPr>
                    <w:jc w:val="center"/>
                    <w:rPr>
                      <w:szCs w:val="21"/>
                    </w:rPr>
                  </w:pPr>
                  <w:r>
                    <w:rPr>
                      <w:szCs w:val="21"/>
                    </w:rPr>
                    <w:t>3.72</w:t>
                  </w:r>
                </w:p>
              </w:tc>
              <w:tc>
                <w:tcPr>
                  <w:tcW w:w="596" w:type="pct"/>
                  <w:vAlign w:val="center"/>
                </w:tcPr>
                <w:p w14:paraId="26B455FE" w14:textId="77777777" w:rsidR="00F76A63" w:rsidRDefault="00000000">
                  <w:pPr>
                    <w:jc w:val="center"/>
                    <w:rPr>
                      <w:szCs w:val="21"/>
                    </w:rPr>
                  </w:pPr>
                  <w:r>
                    <w:rPr>
                      <w:szCs w:val="21"/>
                    </w:rPr>
                    <w:t>-</w:t>
                  </w:r>
                </w:p>
              </w:tc>
            </w:tr>
            <w:tr w:rsidR="00F76A63" w14:paraId="3531CF61" w14:textId="77777777">
              <w:trPr>
                <w:trHeight w:val="364"/>
                <w:jc w:val="center"/>
              </w:trPr>
              <w:tc>
                <w:tcPr>
                  <w:tcW w:w="669" w:type="pct"/>
                  <w:vMerge/>
                  <w:vAlign w:val="center"/>
                </w:tcPr>
                <w:p w14:paraId="7B05FBD4" w14:textId="77777777" w:rsidR="00F76A63" w:rsidRDefault="00F76A63">
                  <w:pPr>
                    <w:jc w:val="center"/>
                    <w:rPr>
                      <w:szCs w:val="21"/>
                    </w:rPr>
                  </w:pPr>
                </w:p>
              </w:tc>
              <w:tc>
                <w:tcPr>
                  <w:tcW w:w="601" w:type="pct"/>
                  <w:vMerge w:val="restart"/>
                  <w:vAlign w:val="center"/>
                </w:tcPr>
                <w:p w14:paraId="2F9ADF8A" w14:textId="77777777" w:rsidR="00F76A63" w:rsidRDefault="00000000">
                  <w:pPr>
                    <w:jc w:val="center"/>
                    <w:rPr>
                      <w:szCs w:val="21"/>
                    </w:rPr>
                  </w:pPr>
                  <w:r>
                    <w:rPr>
                      <w:szCs w:val="21"/>
                    </w:rPr>
                    <w:t>雨水</w:t>
                  </w:r>
                  <w:r>
                    <w:rPr>
                      <w:rFonts w:hint="eastAsia"/>
                      <w:szCs w:val="21"/>
                    </w:rPr>
                    <w:t>收集池</w:t>
                  </w:r>
                </w:p>
              </w:tc>
              <w:tc>
                <w:tcPr>
                  <w:tcW w:w="1041" w:type="pct"/>
                  <w:vAlign w:val="center"/>
                </w:tcPr>
                <w:p w14:paraId="637E7DC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总氮</w:t>
                  </w:r>
                </w:p>
              </w:tc>
              <w:tc>
                <w:tcPr>
                  <w:tcW w:w="477" w:type="pct"/>
                  <w:vAlign w:val="center"/>
                </w:tcPr>
                <w:p w14:paraId="06AC5AE5" w14:textId="77777777" w:rsidR="00F76A63" w:rsidRDefault="00000000">
                  <w:pPr>
                    <w:jc w:val="center"/>
                    <w:rPr>
                      <w:szCs w:val="21"/>
                    </w:rPr>
                  </w:pPr>
                  <w:r>
                    <w:rPr>
                      <w:szCs w:val="21"/>
                    </w:rPr>
                    <w:t>7.04</w:t>
                  </w:r>
                </w:p>
              </w:tc>
              <w:tc>
                <w:tcPr>
                  <w:tcW w:w="542" w:type="pct"/>
                  <w:vAlign w:val="center"/>
                </w:tcPr>
                <w:p w14:paraId="1D27B2A0" w14:textId="77777777" w:rsidR="00F76A63" w:rsidRDefault="00000000">
                  <w:pPr>
                    <w:jc w:val="center"/>
                    <w:rPr>
                      <w:szCs w:val="21"/>
                    </w:rPr>
                  </w:pPr>
                  <w:r>
                    <w:rPr>
                      <w:szCs w:val="21"/>
                    </w:rPr>
                    <w:t>7.78</w:t>
                  </w:r>
                </w:p>
              </w:tc>
              <w:tc>
                <w:tcPr>
                  <w:tcW w:w="477" w:type="pct"/>
                  <w:vAlign w:val="center"/>
                </w:tcPr>
                <w:p w14:paraId="16FC56C8" w14:textId="77777777" w:rsidR="00F76A63" w:rsidRDefault="00000000">
                  <w:pPr>
                    <w:jc w:val="center"/>
                    <w:rPr>
                      <w:szCs w:val="21"/>
                    </w:rPr>
                  </w:pPr>
                  <w:r>
                    <w:rPr>
                      <w:szCs w:val="21"/>
                    </w:rPr>
                    <w:t>7.64</w:t>
                  </w:r>
                </w:p>
              </w:tc>
              <w:tc>
                <w:tcPr>
                  <w:tcW w:w="597" w:type="pct"/>
                  <w:vAlign w:val="center"/>
                </w:tcPr>
                <w:p w14:paraId="6999E20A" w14:textId="77777777" w:rsidR="00F76A63" w:rsidRDefault="00000000">
                  <w:pPr>
                    <w:jc w:val="center"/>
                    <w:rPr>
                      <w:szCs w:val="21"/>
                    </w:rPr>
                  </w:pPr>
                  <w:r>
                    <w:rPr>
                      <w:szCs w:val="21"/>
                    </w:rPr>
                    <w:t>7.49</w:t>
                  </w:r>
                </w:p>
              </w:tc>
              <w:tc>
                <w:tcPr>
                  <w:tcW w:w="596" w:type="pct"/>
                  <w:vAlign w:val="center"/>
                </w:tcPr>
                <w:p w14:paraId="4F8179FD" w14:textId="77777777" w:rsidR="00F76A63" w:rsidRDefault="00000000">
                  <w:pPr>
                    <w:jc w:val="center"/>
                    <w:rPr>
                      <w:szCs w:val="21"/>
                    </w:rPr>
                  </w:pPr>
                  <w:r>
                    <w:rPr>
                      <w:szCs w:val="21"/>
                    </w:rPr>
                    <w:t>-</w:t>
                  </w:r>
                </w:p>
              </w:tc>
            </w:tr>
            <w:tr w:rsidR="00F76A63" w14:paraId="4B6F47D0" w14:textId="77777777">
              <w:trPr>
                <w:trHeight w:val="364"/>
                <w:jc w:val="center"/>
              </w:trPr>
              <w:tc>
                <w:tcPr>
                  <w:tcW w:w="669" w:type="pct"/>
                  <w:vMerge/>
                  <w:vAlign w:val="center"/>
                </w:tcPr>
                <w:p w14:paraId="52ED885D" w14:textId="77777777" w:rsidR="00F76A63" w:rsidRDefault="00F76A63">
                  <w:pPr>
                    <w:jc w:val="center"/>
                    <w:rPr>
                      <w:szCs w:val="21"/>
                    </w:rPr>
                  </w:pPr>
                </w:p>
              </w:tc>
              <w:tc>
                <w:tcPr>
                  <w:tcW w:w="601" w:type="pct"/>
                  <w:vMerge/>
                  <w:vAlign w:val="center"/>
                </w:tcPr>
                <w:p w14:paraId="7D95469A" w14:textId="77777777" w:rsidR="00F76A63" w:rsidRDefault="00F76A63">
                  <w:pPr>
                    <w:jc w:val="center"/>
                    <w:rPr>
                      <w:szCs w:val="21"/>
                    </w:rPr>
                  </w:pPr>
                </w:p>
              </w:tc>
              <w:tc>
                <w:tcPr>
                  <w:tcW w:w="1041" w:type="pct"/>
                  <w:vAlign w:val="center"/>
                </w:tcPr>
                <w:p w14:paraId="62C27495"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pH</w:t>
                  </w:r>
                  <w:r>
                    <w:rPr>
                      <w:rFonts w:ascii="Times New Roman" w:hAnsi="Times New Roman" w:cs="Times New Roman"/>
                      <w:color w:val="auto"/>
                      <w:sz w:val="21"/>
                      <w:szCs w:val="21"/>
                    </w:rPr>
                    <w:t>值</w:t>
                  </w:r>
                </w:p>
              </w:tc>
              <w:tc>
                <w:tcPr>
                  <w:tcW w:w="477" w:type="pct"/>
                  <w:vAlign w:val="center"/>
                </w:tcPr>
                <w:p w14:paraId="58FF7508" w14:textId="77777777" w:rsidR="00F76A63" w:rsidRDefault="00000000">
                  <w:pPr>
                    <w:jc w:val="center"/>
                    <w:rPr>
                      <w:szCs w:val="21"/>
                    </w:rPr>
                  </w:pPr>
                  <w:r>
                    <w:rPr>
                      <w:rFonts w:hint="eastAsia"/>
                      <w:szCs w:val="21"/>
                    </w:rPr>
                    <w:t>8.5</w:t>
                  </w:r>
                </w:p>
              </w:tc>
              <w:tc>
                <w:tcPr>
                  <w:tcW w:w="542" w:type="pct"/>
                  <w:vAlign w:val="center"/>
                </w:tcPr>
                <w:p w14:paraId="5B39AC3D" w14:textId="77777777" w:rsidR="00F76A63" w:rsidRDefault="00000000">
                  <w:pPr>
                    <w:jc w:val="center"/>
                    <w:rPr>
                      <w:szCs w:val="21"/>
                    </w:rPr>
                  </w:pPr>
                  <w:r>
                    <w:rPr>
                      <w:rFonts w:hint="eastAsia"/>
                      <w:szCs w:val="21"/>
                    </w:rPr>
                    <w:t>8.3</w:t>
                  </w:r>
                </w:p>
              </w:tc>
              <w:tc>
                <w:tcPr>
                  <w:tcW w:w="477" w:type="pct"/>
                  <w:vAlign w:val="center"/>
                </w:tcPr>
                <w:p w14:paraId="4E91956C" w14:textId="77777777" w:rsidR="00F76A63" w:rsidRDefault="00000000">
                  <w:pPr>
                    <w:jc w:val="center"/>
                    <w:rPr>
                      <w:szCs w:val="21"/>
                    </w:rPr>
                  </w:pPr>
                  <w:r>
                    <w:rPr>
                      <w:rFonts w:hint="eastAsia"/>
                      <w:szCs w:val="21"/>
                    </w:rPr>
                    <w:t>8.2</w:t>
                  </w:r>
                </w:p>
              </w:tc>
              <w:tc>
                <w:tcPr>
                  <w:tcW w:w="597" w:type="pct"/>
                  <w:vAlign w:val="center"/>
                </w:tcPr>
                <w:p w14:paraId="421E3457" w14:textId="77777777" w:rsidR="00F76A63" w:rsidRDefault="00000000">
                  <w:pPr>
                    <w:jc w:val="center"/>
                    <w:rPr>
                      <w:szCs w:val="21"/>
                    </w:rPr>
                  </w:pPr>
                  <w:r>
                    <w:rPr>
                      <w:rFonts w:hint="eastAsia"/>
                      <w:szCs w:val="21"/>
                    </w:rPr>
                    <w:t>8.3</w:t>
                  </w:r>
                </w:p>
              </w:tc>
              <w:tc>
                <w:tcPr>
                  <w:tcW w:w="596" w:type="pct"/>
                  <w:vAlign w:val="center"/>
                </w:tcPr>
                <w:p w14:paraId="1BCABADC" w14:textId="77777777" w:rsidR="00F76A63" w:rsidRDefault="00000000">
                  <w:pPr>
                    <w:jc w:val="center"/>
                    <w:rPr>
                      <w:szCs w:val="21"/>
                    </w:rPr>
                  </w:pPr>
                  <w:r>
                    <w:rPr>
                      <w:szCs w:val="21"/>
                    </w:rPr>
                    <w:t>6~9</w:t>
                  </w:r>
                </w:p>
              </w:tc>
            </w:tr>
            <w:tr w:rsidR="00F76A63" w14:paraId="56332ED5" w14:textId="77777777">
              <w:trPr>
                <w:trHeight w:val="364"/>
                <w:jc w:val="center"/>
              </w:trPr>
              <w:tc>
                <w:tcPr>
                  <w:tcW w:w="669" w:type="pct"/>
                  <w:vMerge/>
                  <w:vAlign w:val="center"/>
                </w:tcPr>
                <w:p w14:paraId="0722D1C1" w14:textId="77777777" w:rsidR="00F76A63" w:rsidRDefault="00F76A63">
                  <w:pPr>
                    <w:jc w:val="center"/>
                    <w:rPr>
                      <w:szCs w:val="21"/>
                    </w:rPr>
                  </w:pPr>
                </w:p>
              </w:tc>
              <w:tc>
                <w:tcPr>
                  <w:tcW w:w="601" w:type="pct"/>
                  <w:vMerge/>
                  <w:vAlign w:val="center"/>
                </w:tcPr>
                <w:p w14:paraId="5DD58EC3" w14:textId="77777777" w:rsidR="00F76A63" w:rsidRDefault="00F76A63">
                  <w:pPr>
                    <w:jc w:val="center"/>
                    <w:rPr>
                      <w:szCs w:val="21"/>
                    </w:rPr>
                  </w:pPr>
                </w:p>
              </w:tc>
              <w:tc>
                <w:tcPr>
                  <w:tcW w:w="1041" w:type="pct"/>
                  <w:vAlign w:val="center"/>
                </w:tcPr>
                <w:p w14:paraId="64D2AAC6"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化学需氧量</w:t>
                  </w:r>
                </w:p>
              </w:tc>
              <w:tc>
                <w:tcPr>
                  <w:tcW w:w="477" w:type="pct"/>
                  <w:vAlign w:val="center"/>
                </w:tcPr>
                <w:p w14:paraId="00EE6944" w14:textId="77777777" w:rsidR="00F76A63" w:rsidRDefault="00000000">
                  <w:pPr>
                    <w:jc w:val="center"/>
                    <w:rPr>
                      <w:szCs w:val="21"/>
                    </w:rPr>
                  </w:pPr>
                  <w:r>
                    <w:rPr>
                      <w:rFonts w:hint="eastAsia"/>
                      <w:szCs w:val="21"/>
                    </w:rPr>
                    <w:t>17</w:t>
                  </w:r>
                </w:p>
              </w:tc>
              <w:tc>
                <w:tcPr>
                  <w:tcW w:w="542" w:type="pct"/>
                  <w:vAlign w:val="center"/>
                </w:tcPr>
                <w:p w14:paraId="5549086E" w14:textId="77777777" w:rsidR="00F76A63" w:rsidRDefault="00000000">
                  <w:pPr>
                    <w:jc w:val="center"/>
                    <w:rPr>
                      <w:szCs w:val="21"/>
                    </w:rPr>
                  </w:pPr>
                  <w:r>
                    <w:rPr>
                      <w:rFonts w:hint="eastAsia"/>
                      <w:szCs w:val="21"/>
                    </w:rPr>
                    <w:t>22</w:t>
                  </w:r>
                </w:p>
              </w:tc>
              <w:tc>
                <w:tcPr>
                  <w:tcW w:w="477" w:type="pct"/>
                  <w:vAlign w:val="center"/>
                </w:tcPr>
                <w:p w14:paraId="6DD53CAD" w14:textId="77777777" w:rsidR="00F76A63" w:rsidRDefault="00000000">
                  <w:pPr>
                    <w:jc w:val="center"/>
                    <w:rPr>
                      <w:szCs w:val="21"/>
                    </w:rPr>
                  </w:pPr>
                  <w:r>
                    <w:rPr>
                      <w:rFonts w:hint="eastAsia"/>
                      <w:szCs w:val="21"/>
                    </w:rPr>
                    <w:t>20</w:t>
                  </w:r>
                </w:p>
              </w:tc>
              <w:tc>
                <w:tcPr>
                  <w:tcW w:w="597" w:type="pct"/>
                  <w:vAlign w:val="center"/>
                </w:tcPr>
                <w:p w14:paraId="2885A08D" w14:textId="77777777" w:rsidR="00F76A63" w:rsidRDefault="00000000">
                  <w:pPr>
                    <w:jc w:val="center"/>
                    <w:rPr>
                      <w:szCs w:val="21"/>
                    </w:rPr>
                  </w:pPr>
                  <w:r>
                    <w:rPr>
                      <w:rFonts w:hint="eastAsia"/>
                      <w:szCs w:val="21"/>
                    </w:rPr>
                    <w:t>20</w:t>
                  </w:r>
                </w:p>
              </w:tc>
              <w:tc>
                <w:tcPr>
                  <w:tcW w:w="596" w:type="pct"/>
                  <w:vAlign w:val="center"/>
                </w:tcPr>
                <w:p w14:paraId="296D03B0" w14:textId="77777777" w:rsidR="00F76A63" w:rsidRDefault="00000000">
                  <w:pPr>
                    <w:jc w:val="center"/>
                    <w:rPr>
                      <w:szCs w:val="21"/>
                    </w:rPr>
                  </w:pPr>
                  <w:r>
                    <w:rPr>
                      <w:szCs w:val="21"/>
                    </w:rPr>
                    <w:t>500</w:t>
                  </w:r>
                </w:p>
              </w:tc>
            </w:tr>
            <w:tr w:rsidR="00F76A63" w14:paraId="6E655D63" w14:textId="77777777">
              <w:trPr>
                <w:trHeight w:val="364"/>
                <w:jc w:val="center"/>
              </w:trPr>
              <w:tc>
                <w:tcPr>
                  <w:tcW w:w="669" w:type="pct"/>
                  <w:vMerge/>
                  <w:vAlign w:val="center"/>
                </w:tcPr>
                <w:p w14:paraId="04988E8E" w14:textId="77777777" w:rsidR="00F76A63" w:rsidRDefault="00F76A63">
                  <w:pPr>
                    <w:jc w:val="center"/>
                    <w:rPr>
                      <w:szCs w:val="21"/>
                    </w:rPr>
                  </w:pPr>
                </w:p>
              </w:tc>
              <w:tc>
                <w:tcPr>
                  <w:tcW w:w="601" w:type="pct"/>
                  <w:vMerge/>
                  <w:vAlign w:val="center"/>
                </w:tcPr>
                <w:p w14:paraId="6BA183A6" w14:textId="77777777" w:rsidR="00F76A63" w:rsidRDefault="00F76A63">
                  <w:pPr>
                    <w:jc w:val="center"/>
                    <w:rPr>
                      <w:szCs w:val="21"/>
                    </w:rPr>
                  </w:pPr>
                </w:p>
              </w:tc>
              <w:tc>
                <w:tcPr>
                  <w:tcW w:w="1041" w:type="pct"/>
                  <w:vAlign w:val="center"/>
                </w:tcPr>
                <w:p w14:paraId="2E445BA3"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总磷</w:t>
                  </w:r>
                </w:p>
              </w:tc>
              <w:tc>
                <w:tcPr>
                  <w:tcW w:w="477" w:type="pct"/>
                  <w:vAlign w:val="center"/>
                </w:tcPr>
                <w:p w14:paraId="0F7C3816" w14:textId="77777777" w:rsidR="00F76A63" w:rsidRDefault="00000000">
                  <w:pPr>
                    <w:jc w:val="center"/>
                    <w:rPr>
                      <w:szCs w:val="21"/>
                    </w:rPr>
                  </w:pPr>
                  <w:r>
                    <w:rPr>
                      <w:rFonts w:hint="eastAsia"/>
                      <w:szCs w:val="21"/>
                    </w:rPr>
                    <w:t>0.17</w:t>
                  </w:r>
                </w:p>
              </w:tc>
              <w:tc>
                <w:tcPr>
                  <w:tcW w:w="542" w:type="pct"/>
                  <w:vAlign w:val="center"/>
                </w:tcPr>
                <w:p w14:paraId="2B805C7D" w14:textId="77777777" w:rsidR="00F76A63" w:rsidRDefault="00000000">
                  <w:pPr>
                    <w:jc w:val="center"/>
                    <w:rPr>
                      <w:szCs w:val="21"/>
                    </w:rPr>
                  </w:pPr>
                  <w:r>
                    <w:rPr>
                      <w:rFonts w:hint="eastAsia"/>
                      <w:szCs w:val="21"/>
                    </w:rPr>
                    <w:t>0.17</w:t>
                  </w:r>
                </w:p>
              </w:tc>
              <w:tc>
                <w:tcPr>
                  <w:tcW w:w="477" w:type="pct"/>
                  <w:vAlign w:val="center"/>
                </w:tcPr>
                <w:p w14:paraId="7668FF99" w14:textId="77777777" w:rsidR="00F76A63" w:rsidRDefault="00000000">
                  <w:pPr>
                    <w:jc w:val="center"/>
                    <w:rPr>
                      <w:szCs w:val="21"/>
                    </w:rPr>
                  </w:pPr>
                  <w:r>
                    <w:rPr>
                      <w:rFonts w:hint="eastAsia"/>
                      <w:szCs w:val="21"/>
                    </w:rPr>
                    <w:t>0.17</w:t>
                  </w:r>
                </w:p>
              </w:tc>
              <w:tc>
                <w:tcPr>
                  <w:tcW w:w="597" w:type="pct"/>
                  <w:vAlign w:val="center"/>
                </w:tcPr>
                <w:p w14:paraId="352288C5" w14:textId="77777777" w:rsidR="00F76A63" w:rsidRDefault="00000000">
                  <w:pPr>
                    <w:jc w:val="center"/>
                    <w:rPr>
                      <w:szCs w:val="21"/>
                    </w:rPr>
                  </w:pPr>
                  <w:r>
                    <w:rPr>
                      <w:rFonts w:hint="eastAsia"/>
                      <w:szCs w:val="21"/>
                    </w:rPr>
                    <w:t>0.17</w:t>
                  </w:r>
                </w:p>
              </w:tc>
              <w:tc>
                <w:tcPr>
                  <w:tcW w:w="596" w:type="pct"/>
                  <w:vAlign w:val="center"/>
                </w:tcPr>
                <w:p w14:paraId="08E5AE88" w14:textId="77777777" w:rsidR="00F76A63" w:rsidRDefault="00000000">
                  <w:pPr>
                    <w:jc w:val="center"/>
                    <w:rPr>
                      <w:szCs w:val="21"/>
                    </w:rPr>
                  </w:pPr>
                  <w:r>
                    <w:rPr>
                      <w:szCs w:val="21"/>
                    </w:rPr>
                    <w:t>-</w:t>
                  </w:r>
                </w:p>
              </w:tc>
            </w:tr>
            <w:tr w:rsidR="00F76A63" w14:paraId="51620B61" w14:textId="77777777">
              <w:trPr>
                <w:trHeight w:val="364"/>
                <w:jc w:val="center"/>
              </w:trPr>
              <w:tc>
                <w:tcPr>
                  <w:tcW w:w="669" w:type="pct"/>
                  <w:vMerge/>
                  <w:vAlign w:val="center"/>
                </w:tcPr>
                <w:p w14:paraId="41BC91D5" w14:textId="77777777" w:rsidR="00F76A63" w:rsidRDefault="00F76A63">
                  <w:pPr>
                    <w:jc w:val="center"/>
                    <w:rPr>
                      <w:szCs w:val="21"/>
                    </w:rPr>
                  </w:pPr>
                </w:p>
              </w:tc>
              <w:tc>
                <w:tcPr>
                  <w:tcW w:w="601" w:type="pct"/>
                  <w:vMerge/>
                  <w:vAlign w:val="center"/>
                </w:tcPr>
                <w:p w14:paraId="7A335D62" w14:textId="77777777" w:rsidR="00F76A63" w:rsidRDefault="00F76A63">
                  <w:pPr>
                    <w:jc w:val="center"/>
                    <w:rPr>
                      <w:szCs w:val="21"/>
                    </w:rPr>
                  </w:pPr>
                </w:p>
              </w:tc>
              <w:tc>
                <w:tcPr>
                  <w:tcW w:w="1041" w:type="pct"/>
                  <w:vAlign w:val="center"/>
                </w:tcPr>
                <w:p w14:paraId="1F9283F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pacing w:val="-4"/>
                      <w:sz w:val="21"/>
                      <w:szCs w:val="21"/>
                    </w:rPr>
                    <w:t>悬浮物</w:t>
                  </w:r>
                </w:p>
              </w:tc>
              <w:tc>
                <w:tcPr>
                  <w:tcW w:w="477" w:type="pct"/>
                  <w:vAlign w:val="center"/>
                </w:tcPr>
                <w:p w14:paraId="52DD953D" w14:textId="77777777" w:rsidR="00F76A63" w:rsidRDefault="00000000">
                  <w:pPr>
                    <w:jc w:val="center"/>
                    <w:rPr>
                      <w:szCs w:val="21"/>
                    </w:rPr>
                  </w:pPr>
                  <w:r>
                    <w:rPr>
                      <w:rFonts w:hint="eastAsia"/>
                      <w:szCs w:val="21"/>
                    </w:rPr>
                    <w:t>12</w:t>
                  </w:r>
                </w:p>
              </w:tc>
              <w:tc>
                <w:tcPr>
                  <w:tcW w:w="542" w:type="pct"/>
                  <w:vAlign w:val="center"/>
                </w:tcPr>
                <w:p w14:paraId="19B31E54" w14:textId="77777777" w:rsidR="00F76A63" w:rsidRDefault="00000000">
                  <w:pPr>
                    <w:jc w:val="center"/>
                    <w:rPr>
                      <w:szCs w:val="21"/>
                    </w:rPr>
                  </w:pPr>
                  <w:r>
                    <w:rPr>
                      <w:rFonts w:hint="eastAsia"/>
                      <w:szCs w:val="21"/>
                    </w:rPr>
                    <w:t>12</w:t>
                  </w:r>
                </w:p>
              </w:tc>
              <w:tc>
                <w:tcPr>
                  <w:tcW w:w="477" w:type="pct"/>
                  <w:vAlign w:val="center"/>
                </w:tcPr>
                <w:p w14:paraId="079F35D7" w14:textId="77777777" w:rsidR="00F76A63" w:rsidRDefault="00000000">
                  <w:pPr>
                    <w:jc w:val="center"/>
                    <w:rPr>
                      <w:szCs w:val="21"/>
                    </w:rPr>
                  </w:pPr>
                  <w:r>
                    <w:rPr>
                      <w:rFonts w:hint="eastAsia"/>
                      <w:szCs w:val="21"/>
                    </w:rPr>
                    <w:t>12</w:t>
                  </w:r>
                </w:p>
              </w:tc>
              <w:tc>
                <w:tcPr>
                  <w:tcW w:w="597" w:type="pct"/>
                  <w:vAlign w:val="center"/>
                </w:tcPr>
                <w:p w14:paraId="01E12ADD" w14:textId="77777777" w:rsidR="00F76A63" w:rsidRDefault="00000000">
                  <w:pPr>
                    <w:jc w:val="center"/>
                    <w:rPr>
                      <w:szCs w:val="21"/>
                    </w:rPr>
                  </w:pPr>
                  <w:r>
                    <w:rPr>
                      <w:rFonts w:hint="eastAsia"/>
                      <w:szCs w:val="21"/>
                    </w:rPr>
                    <w:t>12</w:t>
                  </w:r>
                </w:p>
              </w:tc>
              <w:tc>
                <w:tcPr>
                  <w:tcW w:w="596" w:type="pct"/>
                  <w:vAlign w:val="center"/>
                </w:tcPr>
                <w:p w14:paraId="363604C7" w14:textId="77777777" w:rsidR="00F76A63" w:rsidRDefault="00000000">
                  <w:pPr>
                    <w:jc w:val="center"/>
                    <w:rPr>
                      <w:szCs w:val="21"/>
                    </w:rPr>
                  </w:pPr>
                  <w:r>
                    <w:rPr>
                      <w:szCs w:val="21"/>
                    </w:rPr>
                    <w:t>400</w:t>
                  </w:r>
                </w:p>
              </w:tc>
            </w:tr>
            <w:tr w:rsidR="00F76A63" w14:paraId="1887CFCE" w14:textId="77777777">
              <w:trPr>
                <w:trHeight w:val="364"/>
                <w:jc w:val="center"/>
              </w:trPr>
              <w:tc>
                <w:tcPr>
                  <w:tcW w:w="669" w:type="pct"/>
                  <w:vMerge/>
                  <w:vAlign w:val="center"/>
                </w:tcPr>
                <w:p w14:paraId="395B64DA" w14:textId="77777777" w:rsidR="00F76A63" w:rsidRDefault="00F76A63">
                  <w:pPr>
                    <w:jc w:val="center"/>
                    <w:rPr>
                      <w:szCs w:val="21"/>
                    </w:rPr>
                  </w:pPr>
                </w:p>
              </w:tc>
              <w:tc>
                <w:tcPr>
                  <w:tcW w:w="601" w:type="pct"/>
                  <w:vMerge/>
                  <w:vAlign w:val="center"/>
                </w:tcPr>
                <w:p w14:paraId="0238C628" w14:textId="77777777" w:rsidR="00F76A63" w:rsidRDefault="00F76A63">
                  <w:pPr>
                    <w:jc w:val="center"/>
                    <w:rPr>
                      <w:szCs w:val="21"/>
                    </w:rPr>
                  </w:pPr>
                </w:p>
              </w:tc>
              <w:tc>
                <w:tcPr>
                  <w:tcW w:w="1041" w:type="pct"/>
                  <w:vAlign w:val="center"/>
                </w:tcPr>
                <w:p w14:paraId="5716A088" w14:textId="77777777" w:rsidR="00F76A63" w:rsidRDefault="00000000">
                  <w:pPr>
                    <w:pStyle w:val="TableText"/>
                    <w:jc w:val="center"/>
                    <w:rPr>
                      <w:rFonts w:ascii="Times New Roman" w:hAnsi="Times New Roman" w:cs="Times New Roman"/>
                      <w:color w:val="auto"/>
                      <w:sz w:val="21"/>
                      <w:szCs w:val="21"/>
                    </w:rPr>
                  </w:pPr>
                  <w:r>
                    <w:rPr>
                      <w:rFonts w:ascii="Times New Roman" w:hAnsi="Times New Roman" w:cs="Times New Roman"/>
                      <w:color w:val="auto"/>
                      <w:sz w:val="21"/>
                      <w:szCs w:val="21"/>
                    </w:rPr>
                    <w:t>氨氮</w:t>
                  </w:r>
                </w:p>
              </w:tc>
              <w:tc>
                <w:tcPr>
                  <w:tcW w:w="477" w:type="pct"/>
                  <w:vAlign w:val="center"/>
                </w:tcPr>
                <w:p w14:paraId="1A195D80" w14:textId="77777777" w:rsidR="00F76A63" w:rsidRDefault="00000000">
                  <w:pPr>
                    <w:jc w:val="center"/>
                    <w:rPr>
                      <w:szCs w:val="21"/>
                    </w:rPr>
                  </w:pPr>
                  <w:r>
                    <w:rPr>
                      <w:rFonts w:hint="eastAsia"/>
                      <w:szCs w:val="21"/>
                    </w:rPr>
                    <w:t>4.11</w:t>
                  </w:r>
                </w:p>
              </w:tc>
              <w:tc>
                <w:tcPr>
                  <w:tcW w:w="542" w:type="pct"/>
                  <w:vAlign w:val="center"/>
                </w:tcPr>
                <w:p w14:paraId="5A24A4AE" w14:textId="77777777" w:rsidR="00F76A63" w:rsidRDefault="00000000">
                  <w:pPr>
                    <w:jc w:val="center"/>
                    <w:rPr>
                      <w:szCs w:val="21"/>
                    </w:rPr>
                  </w:pPr>
                  <w:r>
                    <w:rPr>
                      <w:rFonts w:hint="eastAsia"/>
                      <w:szCs w:val="21"/>
                    </w:rPr>
                    <w:t>3.94</w:t>
                  </w:r>
                </w:p>
              </w:tc>
              <w:tc>
                <w:tcPr>
                  <w:tcW w:w="477" w:type="pct"/>
                  <w:vAlign w:val="center"/>
                </w:tcPr>
                <w:p w14:paraId="4ACE955B" w14:textId="77777777" w:rsidR="00F76A63" w:rsidRDefault="00000000">
                  <w:pPr>
                    <w:jc w:val="center"/>
                    <w:rPr>
                      <w:szCs w:val="21"/>
                    </w:rPr>
                  </w:pPr>
                  <w:r>
                    <w:rPr>
                      <w:rFonts w:hint="eastAsia"/>
                      <w:szCs w:val="21"/>
                    </w:rPr>
                    <w:t>4.07</w:t>
                  </w:r>
                </w:p>
              </w:tc>
              <w:tc>
                <w:tcPr>
                  <w:tcW w:w="597" w:type="pct"/>
                  <w:vAlign w:val="center"/>
                </w:tcPr>
                <w:p w14:paraId="72449E58" w14:textId="77777777" w:rsidR="00F76A63" w:rsidRDefault="00000000">
                  <w:pPr>
                    <w:jc w:val="center"/>
                    <w:rPr>
                      <w:szCs w:val="21"/>
                    </w:rPr>
                  </w:pPr>
                  <w:r>
                    <w:rPr>
                      <w:rFonts w:hint="eastAsia"/>
                      <w:szCs w:val="21"/>
                    </w:rPr>
                    <w:t>4.04</w:t>
                  </w:r>
                </w:p>
              </w:tc>
              <w:tc>
                <w:tcPr>
                  <w:tcW w:w="596" w:type="pct"/>
                  <w:vAlign w:val="center"/>
                </w:tcPr>
                <w:p w14:paraId="4D7B9173" w14:textId="77777777" w:rsidR="00F76A63" w:rsidRDefault="00000000">
                  <w:pPr>
                    <w:jc w:val="center"/>
                    <w:rPr>
                      <w:szCs w:val="21"/>
                    </w:rPr>
                  </w:pPr>
                  <w:r>
                    <w:rPr>
                      <w:szCs w:val="21"/>
                    </w:rPr>
                    <w:t>-</w:t>
                  </w:r>
                </w:p>
              </w:tc>
            </w:tr>
          </w:tbl>
          <w:p w14:paraId="2D3BE24F" w14:textId="77777777" w:rsidR="00F76A63" w:rsidRDefault="00000000">
            <w:pPr>
              <w:keepNext/>
              <w:keepLines/>
              <w:spacing w:line="500" w:lineRule="exact"/>
              <w:ind w:firstLineChars="200" w:firstLine="480"/>
              <w:rPr>
                <w:sz w:val="24"/>
              </w:rPr>
            </w:pPr>
            <w:r>
              <w:rPr>
                <w:sz w:val="24"/>
              </w:rPr>
              <w:t>根据监测数据可知句容台泥水泥有限公司排放的生活污水句容市下蜀污水处理有限公司接管标准</w:t>
            </w:r>
            <w:r>
              <w:rPr>
                <w:rFonts w:hint="eastAsia"/>
                <w:sz w:val="24"/>
              </w:rPr>
              <w:t>，</w:t>
            </w:r>
            <w:r>
              <w:rPr>
                <w:sz w:val="24"/>
              </w:rPr>
              <w:t>雨水收集池水质各项参数均处于合理区间，满足排放管控限值，废水及雨水排放状况稳定合规。</w:t>
            </w:r>
          </w:p>
          <w:p w14:paraId="6D65CDAF" w14:textId="77777777" w:rsidR="00F76A63" w:rsidRDefault="00000000">
            <w:pPr>
              <w:keepNext/>
              <w:keepLines/>
              <w:spacing w:line="500" w:lineRule="exact"/>
              <w:ind w:firstLineChars="200" w:firstLine="482"/>
              <w:rPr>
                <w:b/>
                <w:bCs/>
                <w:sz w:val="24"/>
              </w:rPr>
            </w:pPr>
            <w:r>
              <w:rPr>
                <w:b/>
                <w:bCs/>
                <w:sz w:val="24"/>
              </w:rPr>
              <w:t>3</w:t>
            </w:r>
            <w:r>
              <w:rPr>
                <w:b/>
                <w:bCs/>
                <w:sz w:val="24"/>
              </w:rPr>
              <w:t>）噪声产生与治理情况</w:t>
            </w:r>
          </w:p>
          <w:p w14:paraId="75909C5F" w14:textId="77777777" w:rsidR="00F76A63" w:rsidRDefault="00000000">
            <w:pPr>
              <w:keepNext/>
              <w:keepLines/>
              <w:widowControl/>
              <w:tabs>
                <w:tab w:val="left" w:pos="2340"/>
              </w:tabs>
              <w:adjustRightInd w:val="0"/>
              <w:snapToGrid w:val="0"/>
              <w:spacing w:line="500" w:lineRule="exact"/>
              <w:ind w:firstLineChars="200" w:firstLine="480"/>
              <w:rPr>
                <w:sz w:val="24"/>
              </w:rPr>
            </w:pPr>
            <w:r>
              <w:rPr>
                <w:sz w:val="24"/>
              </w:rPr>
              <w:t>现有项目噪声主要来自石灰石破碎、原料磨、煤磨、空压机、高中压风机等工段生产设备，噪声源强约为</w:t>
            </w:r>
            <w:r>
              <w:rPr>
                <w:sz w:val="24"/>
              </w:rPr>
              <w:t>85~105dB</w:t>
            </w:r>
            <w:r>
              <w:rPr>
                <w:sz w:val="24"/>
              </w:rPr>
              <w:t>（</w:t>
            </w:r>
            <w:r>
              <w:rPr>
                <w:sz w:val="24"/>
              </w:rPr>
              <w:t>A</w:t>
            </w:r>
            <w:r>
              <w:rPr>
                <w:sz w:val="24"/>
              </w:rPr>
              <w:t>），采用合理设置车间位置、基础减震、厂房隔音、加装消声器、建筑物屏障、绿化等措施减少对周围环境干扰。</w:t>
            </w:r>
          </w:p>
          <w:p w14:paraId="47CBD4A2" w14:textId="77777777" w:rsidR="00F76A63" w:rsidRDefault="00000000">
            <w:pPr>
              <w:pStyle w:val="lqq1"/>
              <w:ind w:firstLine="480"/>
            </w:pPr>
            <w:r>
              <w:t>根据企业例行监测报告</w:t>
            </w:r>
            <w:r>
              <w:rPr>
                <w:rFonts w:hint="eastAsia"/>
              </w:rPr>
              <w:t>A2250309414145C-1</w:t>
            </w:r>
            <w:r>
              <w:t>，采样日期</w:t>
            </w:r>
            <w:r>
              <w:t>202</w:t>
            </w:r>
            <w:r>
              <w:rPr>
                <w:rFonts w:hint="eastAsia"/>
              </w:rPr>
              <w:t>6</w:t>
            </w:r>
            <w:r>
              <w:t>年</w:t>
            </w:r>
            <w:r>
              <w:t>3</w:t>
            </w:r>
            <w:r>
              <w:t>月</w:t>
            </w:r>
            <w:r>
              <w:rPr>
                <w:rFonts w:hint="eastAsia"/>
              </w:rPr>
              <w:t>27</w:t>
            </w:r>
            <w:r>
              <w:t>日及</w:t>
            </w:r>
            <w:r>
              <w:t>202</w:t>
            </w:r>
            <w:r>
              <w:rPr>
                <w:rFonts w:hint="eastAsia"/>
              </w:rPr>
              <w:t>6</w:t>
            </w:r>
            <w:r>
              <w:t>年</w:t>
            </w:r>
            <w:r>
              <w:t>3</w:t>
            </w:r>
            <w:r>
              <w:t>月</w:t>
            </w:r>
            <w:r>
              <w:rPr>
                <w:rFonts w:hint="eastAsia"/>
              </w:rPr>
              <w:t>28</w:t>
            </w:r>
            <w:r>
              <w:t>日。噪声具体监测情况见表</w:t>
            </w:r>
            <w:r>
              <w:t>2-5</w:t>
            </w:r>
            <w:r>
              <w:rPr>
                <w:rFonts w:hint="eastAsia"/>
              </w:rPr>
              <w:t>5</w:t>
            </w:r>
            <w:r>
              <w:t>。</w:t>
            </w:r>
          </w:p>
          <w:p w14:paraId="71A928E2" w14:textId="77777777" w:rsidR="00F76A63" w:rsidRDefault="00000000">
            <w:pPr>
              <w:pStyle w:val="lqq1"/>
              <w:ind w:firstLineChars="0" w:firstLine="0"/>
              <w:jc w:val="center"/>
              <w:rPr>
                <w:b/>
                <w:bCs/>
                <w:szCs w:val="16"/>
              </w:rPr>
            </w:pPr>
            <w:r>
              <w:rPr>
                <w:b/>
                <w:bCs/>
                <w:szCs w:val="16"/>
              </w:rPr>
              <w:t>表</w:t>
            </w:r>
            <w:r>
              <w:rPr>
                <w:b/>
                <w:bCs/>
                <w:szCs w:val="16"/>
              </w:rPr>
              <w:t>2-5</w:t>
            </w:r>
            <w:r>
              <w:rPr>
                <w:rFonts w:hint="eastAsia"/>
                <w:b/>
                <w:bCs/>
                <w:szCs w:val="16"/>
              </w:rPr>
              <w:t>5</w:t>
            </w:r>
            <w:r>
              <w:rPr>
                <w:b/>
                <w:bCs/>
                <w:szCs w:val="16"/>
              </w:rPr>
              <w:t xml:space="preserve">  </w:t>
            </w:r>
            <w:r>
              <w:rPr>
                <w:b/>
                <w:bCs/>
                <w:szCs w:val="16"/>
              </w:rPr>
              <w:t>噪声监测结果</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423"/>
              <w:gridCol w:w="1254"/>
              <w:gridCol w:w="1254"/>
              <w:gridCol w:w="1174"/>
              <w:gridCol w:w="1171"/>
              <w:gridCol w:w="1016"/>
              <w:gridCol w:w="885"/>
            </w:tblGrid>
            <w:tr w:rsidR="00F76A63" w14:paraId="0DE1F867" w14:textId="77777777">
              <w:trPr>
                <w:trHeight w:val="300"/>
                <w:jc w:val="center"/>
              </w:trPr>
              <w:tc>
                <w:tcPr>
                  <w:tcW w:w="870" w:type="pct"/>
                  <w:vMerge w:val="restart"/>
                  <w:vAlign w:val="center"/>
                </w:tcPr>
                <w:p w14:paraId="019264BC" w14:textId="77777777" w:rsidR="00F76A63" w:rsidRDefault="00000000">
                  <w:pPr>
                    <w:pStyle w:val="lqq0"/>
                    <w:rPr>
                      <w:b/>
                      <w:bCs/>
                    </w:rPr>
                  </w:pPr>
                  <w:r>
                    <w:rPr>
                      <w:b/>
                      <w:bCs/>
                    </w:rPr>
                    <w:t>检测点位置</w:t>
                  </w:r>
                </w:p>
              </w:tc>
              <w:tc>
                <w:tcPr>
                  <w:tcW w:w="1534" w:type="pct"/>
                  <w:gridSpan w:val="2"/>
                  <w:vAlign w:val="center"/>
                </w:tcPr>
                <w:p w14:paraId="682F32DF" w14:textId="77777777" w:rsidR="00F76A63" w:rsidRDefault="00000000">
                  <w:pPr>
                    <w:pStyle w:val="lqq0"/>
                    <w:rPr>
                      <w:b/>
                      <w:bCs/>
                    </w:rPr>
                  </w:pPr>
                  <w:r>
                    <w:rPr>
                      <w:b/>
                      <w:bCs/>
                    </w:rPr>
                    <w:t>监测结果（</w:t>
                  </w:r>
                  <w:r>
                    <w:rPr>
                      <w:b/>
                      <w:bCs/>
                    </w:rPr>
                    <w:t>dB(A)</w:t>
                  </w:r>
                  <w:r>
                    <w:rPr>
                      <w:b/>
                      <w:bCs/>
                    </w:rPr>
                    <w:t>）</w:t>
                  </w:r>
                </w:p>
              </w:tc>
              <w:tc>
                <w:tcPr>
                  <w:tcW w:w="1434" w:type="pct"/>
                  <w:gridSpan w:val="2"/>
                  <w:vAlign w:val="center"/>
                </w:tcPr>
                <w:p w14:paraId="75BF8627" w14:textId="77777777" w:rsidR="00F76A63" w:rsidRDefault="00000000">
                  <w:pPr>
                    <w:pStyle w:val="lqq0"/>
                    <w:rPr>
                      <w:b/>
                      <w:bCs/>
                    </w:rPr>
                  </w:pPr>
                  <w:r>
                    <w:rPr>
                      <w:b/>
                      <w:bCs/>
                    </w:rPr>
                    <w:t>标准限值（</w:t>
                  </w:r>
                  <w:r>
                    <w:rPr>
                      <w:b/>
                      <w:bCs/>
                    </w:rPr>
                    <w:t>dB(A)</w:t>
                  </w:r>
                  <w:r>
                    <w:rPr>
                      <w:b/>
                      <w:bCs/>
                    </w:rPr>
                    <w:t>）</w:t>
                  </w:r>
                </w:p>
              </w:tc>
              <w:tc>
                <w:tcPr>
                  <w:tcW w:w="1162" w:type="pct"/>
                  <w:gridSpan w:val="2"/>
                  <w:vAlign w:val="center"/>
                </w:tcPr>
                <w:p w14:paraId="4F8A761C" w14:textId="77777777" w:rsidR="00F76A63" w:rsidRDefault="00000000">
                  <w:pPr>
                    <w:pStyle w:val="lqq0"/>
                    <w:rPr>
                      <w:b/>
                      <w:bCs/>
                    </w:rPr>
                  </w:pPr>
                  <w:r>
                    <w:rPr>
                      <w:b/>
                      <w:bCs/>
                    </w:rPr>
                    <w:t>达标情况</w:t>
                  </w:r>
                </w:p>
              </w:tc>
            </w:tr>
            <w:tr w:rsidR="00F76A63" w14:paraId="4448D17F" w14:textId="77777777">
              <w:trPr>
                <w:trHeight w:val="300"/>
                <w:jc w:val="center"/>
              </w:trPr>
              <w:tc>
                <w:tcPr>
                  <w:tcW w:w="870" w:type="pct"/>
                  <w:vMerge/>
                  <w:vAlign w:val="center"/>
                </w:tcPr>
                <w:p w14:paraId="31032DEF" w14:textId="77777777" w:rsidR="00F76A63" w:rsidRDefault="00F76A63">
                  <w:pPr>
                    <w:pStyle w:val="lqq0"/>
                    <w:rPr>
                      <w:b/>
                      <w:bCs/>
                    </w:rPr>
                  </w:pPr>
                </w:p>
              </w:tc>
              <w:tc>
                <w:tcPr>
                  <w:tcW w:w="767" w:type="pct"/>
                  <w:vAlign w:val="center"/>
                </w:tcPr>
                <w:p w14:paraId="6205EB3C" w14:textId="77777777" w:rsidR="00F76A63" w:rsidRDefault="00000000">
                  <w:pPr>
                    <w:pStyle w:val="lqq0"/>
                    <w:rPr>
                      <w:b/>
                      <w:bCs/>
                    </w:rPr>
                  </w:pPr>
                  <w:r>
                    <w:rPr>
                      <w:b/>
                      <w:bCs/>
                    </w:rPr>
                    <w:t>昼间</w:t>
                  </w:r>
                </w:p>
              </w:tc>
              <w:tc>
                <w:tcPr>
                  <w:tcW w:w="767" w:type="pct"/>
                  <w:vAlign w:val="center"/>
                </w:tcPr>
                <w:p w14:paraId="181E4C98" w14:textId="77777777" w:rsidR="00F76A63" w:rsidRDefault="00000000">
                  <w:pPr>
                    <w:pStyle w:val="lqq0"/>
                    <w:rPr>
                      <w:b/>
                      <w:bCs/>
                    </w:rPr>
                  </w:pPr>
                  <w:r>
                    <w:rPr>
                      <w:b/>
                      <w:bCs/>
                    </w:rPr>
                    <w:t>夜间</w:t>
                  </w:r>
                </w:p>
              </w:tc>
              <w:tc>
                <w:tcPr>
                  <w:tcW w:w="718" w:type="pct"/>
                  <w:vAlign w:val="center"/>
                </w:tcPr>
                <w:p w14:paraId="5D6D16FE" w14:textId="77777777" w:rsidR="00F76A63" w:rsidRDefault="00000000">
                  <w:pPr>
                    <w:pStyle w:val="lqq0"/>
                    <w:rPr>
                      <w:b/>
                      <w:bCs/>
                    </w:rPr>
                  </w:pPr>
                  <w:r>
                    <w:rPr>
                      <w:b/>
                      <w:bCs/>
                    </w:rPr>
                    <w:t>昼间</w:t>
                  </w:r>
                </w:p>
              </w:tc>
              <w:tc>
                <w:tcPr>
                  <w:tcW w:w="716" w:type="pct"/>
                  <w:vAlign w:val="center"/>
                </w:tcPr>
                <w:p w14:paraId="3D17FBD2" w14:textId="77777777" w:rsidR="00F76A63" w:rsidRDefault="00000000">
                  <w:pPr>
                    <w:pStyle w:val="lqq0"/>
                    <w:rPr>
                      <w:b/>
                      <w:bCs/>
                    </w:rPr>
                  </w:pPr>
                  <w:r>
                    <w:rPr>
                      <w:b/>
                      <w:bCs/>
                    </w:rPr>
                    <w:t>夜间</w:t>
                  </w:r>
                </w:p>
              </w:tc>
              <w:tc>
                <w:tcPr>
                  <w:tcW w:w="621" w:type="pct"/>
                  <w:vAlign w:val="center"/>
                </w:tcPr>
                <w:p w14:paraId="5C247031" w14:textId="77777777" w:rsidR="00F76A63" w:rsidRDefault="00000000">
                  <w:pPr>
                    <w:pStyle w:val="lqq0"/>
                    <w:rPr>
                      <w:b/>
                      <w:bCs/>
                    </w:rPr>
                  </w:pPr>
                  <w:r>
                    <w:rPr>
                      <w:b/>
                      <w:bCs/>
                    </w:rPr>
                    <w:t>昼间</w:t>
                  </w:r>
                </w:p>
              </w:tc>
              <w:tc>
                <w:tcPr>
                  <w:tcW w:w="541" w:type="pct"/>
                  <w:vAlign w:val="center"/>
                </w:tcPr>
                <w:p w14:paraId="7CF0FDE2" w14:textId="77777777" w:rsidR="00F76A63" w:rsidRDefault="00000000">
                  <w:pPr>
                    <w:pStyle w:val="lqq0"/>
                    <w:rPr>
                      <w:b/>
                      <w:bCs/>
                    </w:rPr>
                  </w:pPr>
                  <w:r>
                    <w:rPr>
                      <w:b/>
                      <w:bCs/>
                    </w:rPr>
                    <w:t>夜间</w:t>
                  </w:r>
                </w:p>
              </w:tc>
            </w:tr>
            <w:tr w:rsidR="00F76A63" w14:paraId="47228547" w14:textId="77777777">
              <w:trPr>
                <w:trHeight w:val="300"/>
                <w:jc w:val="center"/>
              </w:trPr>
              <w:tc>
                <w:tcPr>
                  <w:tcW w:w="870" w:type="pct"/>
                  <w:vAlign w:val="center"/>
                </w:tcPr>
                <w:p w14:paraId="3899BB7F" w14:textId="77777777" w:rsidR="00F76A63" w:rsidRDefault="00000000">
                  <w:pPr>
                    <w:pStyle w:val="lqq0"/>
                  </w:pPr>
                  <w:r>
                    <w:t>▲N1</w:t>
                  </w:r>
                </w:p>
              </w:tc>
              <w:tc>
                <w:tcPr>
                  <w:tcW w:w="767" w:type="pct"/>
                  <w:vAlign w:val="center"/>
                </w:tcPr>
                <w:p w14:paraId="7CBAC01D" w14:textId="77777777" w:rsidR="00F76A63" w:rsidRDefault="00000000">
                  <w:pPr>
                    <w:pStyle w:val="lqq0"/>
                    <w:rPr>
                      <w:kern w:val="0"/>
                    </w:rPr>
                  </w:pPr>
                  <w:r>
                    <w:t>53</w:t>
                  </w:r>
                </w:p>
              </w:tc>
              <w:tc>
                <w:tcPr>
                  <w:tcW w:w="767" w:type="pct"/>
                  <w:vAlign w:val="center"/>
                </w:tcPr>
                <w:p w14:paraId="23691598" w14:textId="77777777" w:rsidR="00F76A63" w:rsidRDefault="00000000">
                  <w:pPr>
                    <w:pStyle w:val="lqq0"/>
                    <w:rPr>
                      <w:kern w:val="0"/>
                    </w:rPr>
                  </w:pPr>
                  <w:r>
                    <w:t>54</w:t>
                  </w:r>
                </w:p>
              </w:tc>
              <w:tc>
                <w:tcPr>
                  <w:tcW w:w="718" w:type="pct"/>
                  <w:vAlign w:val="center"/>
                </w:tcPr>
                <w:p w14:paraId="116E21D7" w14:textId="77777777" w:rsidR="00F76A63" w:rsidRDefault="00000000">
                  <w:pPr>
                    <w:pStyle w:val="lqq0"/>
                  </w:pPr>
                  <w:r>
                    <w:t>65</w:t>
                  </w:r>
                </w:p>
              </w:tc>
              <w:tc>
                <w:tcPr>
                  <w:tcW w:w="716" w:type="pct"/>
                  <w:vAlign w:val="center"/>
                </w:tcPr>
                <w:p w14:paraId="491502BB" w14:textId="77777777" w:rsidR="00F76A63" w:rsidRDefault="00000000">
                  <w:pPr>
                    <w:pStyle w:val="lqq0"/>
                  </w:pPr>
                  <w:r>
                    <w:t>55</w:t>
                  </w:r>
                </w:p>
              </w:tc>
              <w:tc>
                <w:tcPr>
                  <w:tcW w:w="621" w:type="pct"/>
                  <w:vAlign w:val="center"/>
                </w:tcPr>
                <w:p w14:paraId="4616A0AA" w14:textId="77777777" w:rsidR="00F76A63" w:rsidRDefault="00000000">
                  <w:pPr>
                    <w:pStyle w:val="lqq0"/>
                  </w:pPr>
                  <w:r>
                    <w:t>达标</w:t>
                  </w:r>
                </w:p>
              </w:tc>
              <w:tc>
                <w:tcPr>
                  <w:tcW w:w="541" w:type="pct"/>
                  <w:vAlign w:val="center"/>
                </w:tcPr>
                <w:p w14:paraId="6D1E86B3" w14:textId="77777777" w:rsidR="00F76A63" w:rsidRDefault="00000000">
                  <w:pPr>
                    <w:pStyle w:val="lqq0"/>
                  </w:pPr>
                  <w:r>
                    <w:t>达标</w:t>
                  </w:r>
                </w:p>
              </w:tc>
            </w:tr>
            <w:tr w:rsidR="00F76A63" w14:paraId="4F93CFE7" w14:textId="77777777">
              <w:trPr>
                <w:trHeight w:val="300"/>
                <w:jc w:val="center"/>
              </w:trPr>
              <w:tc>
                <w:tcPr>
                  <w:tcW w:w="870" w:type="pct"/>
                  <w:vAlign w:val="center"/>
                </w:tcPr>
                <w:p w14:paraId="125FBF33" w14:textId="77777777" w:rsidR="00F76A63" w:rsidRDefault="00000000">
                  <w:pPr>
                    <w:pStyle w:val="lqq0"/>
                  </w:pPr>
                  <w:r>
                    <w:t>▲N2</w:t>
                  </w:r>
                </w:p>
              </w:tc>
              <w:tc>
                <w:tcPr>
                  <w:tcW w:w="767" w:type="pct"/>
                  <w:vAlign w:val="center"/>
                </w:tcPr>
                <w:p w14:paraId="7E36C929" w14:textId="77777777" w:rsidR="00F76A63" w:rsidRDefault="00000000">
                  <w:pPr>
                    <w:pStyle w:val="lqq0"/>
                  </w:pPr>
                  <w:r>
                    <w:t>60</w:t>
                  </w:r>
                </w:p>
              </w:tc>
              <w:tc>
                <w:tcPr>
                  <w:tcW w:w="767" w:type="pct"/>
                  <w:vAlign w:val="center"/>
                </w:tcPr>
                <w:p w14:paraId="16D02E98" w14:textId="77777777" w:rsidR="00F76A63" w:rsidRDefault="00000000">
                  <w:pPr>
                    <w:pStyle w:val="lqq0"/>
                  </w:pPr>
                  <w:r>
                    <w:t>55</w:t>
                  </w:r>
                </w:p>
              </w:tc>
              <w:tc>
                <w:tcPr>
                  <w:tcW w:w="718" w:type="pct"/>
                  <w:vAlign w:val="center"/>
                </w:tcPr>
                <w:p w14:paraId="4B984B12" w14:textId="77777777" w:rsidR="00F76A63" w:rsidRDefault="00000000">
                  <w:pPr>
                    <w:pStyle w:val="lqq0"/>
                  </w:pPr>
                  <w:r>
                    <w:t>65</w:t>
                  </w:r>
                </w:p>
              </w:tc>
              <w:tc>
                <w:tcPr>
                  <w:tcW w:w="716" w:type="pct"/>
                  <w:vAlign w:val="center"/>
                </w:tcPr>
                <w:p w14:paraId="2C84C0D1" w14:textId="77777777" w:rsidR="00F76A63" w:rsidRDefault="00000000">
                  <w:pPr>
                    <w:pStyle w:val="lqq0"/>
                  </w:pPr>
                  <w:r>
                    <w:t>55</w:t>
                  </w:r>
                </w:p>
              </w:tc>
              <w:tc>
                <w:tcPr>
                  <w:tcW w:w="621" w:type="pct"/>
                  <w:vAlign w:val="center"/>
                </w:tcPr>
                <w:p w14:paraId="7BE5CC24" w14:textId="77777777" w:rsidR="00F76A63" w:rsidRDefault="00000000">
                  <w:pPr>
                    <w:pStyle w:val="lqq0"/>
                  </w:pPr>
                  <w:r>
                    <w:t>达标</w:t>
                  </w:r>
                </w:p>
              </w:tc>
              <w:tc>
                <w:tcPr>
                  <w:tcW w:w="541" w:type="pct"/>
                  <w:vAlign w:val="center"/>
                </w:tcPr>
                <w:p w14:paraId="39D58674" w14:textId="77777777" w:rsidR="00F76A63" w:rsidRDefault="00000000">
                  <w:pPr>
                    <w:pStyle w:val="lqq0"/>
                  </w:pPr>
                  <w:r>
                    <w:t>达标</w:t>
                  </w:r>
                </w:p>
              </w:tc>
            </w:tr>
            <w:tr w:rsidR="00F76A63" w14:paraId="2EE35449" w14:textId="77777777">
              <w:trPr>
                <w:trHeight w:val="300"/>
                <w:jc w:val="center"/>
              </w:trPr>
              <w:tc>
                <w:tcPr>
                  <w:tcW w:w="870" w:type="pct"/>
                  <w:vAlign w:val="center"/>
                </w:tcPr>
                <w:p w14:paraId="749BC0DC" w14:textId="77777777" w:rsidR="00F76A63" w:rsidRDefault="00000000">
                  <w:pPr>
                    <w:pStyle w:val="lqq0"/>
                  </w:pPr>
                  <w:r>
                    <w:t>▲N3</w:t>
                  </w:r>
                </w:p>
              </w:tc>
              <w:tc>
                <w:tcPr>
                  <w:tcW w:w="767" w:type="pct"/>
                  <w:vAlign w:val="center"/>
                </w:tcPr>
                <w:p w14:paraId="1642A000" w14:textId="77777777" w:rsidR="00F76A63" w:rsidRDefault="00000000">
                  <w:pPr>
                    <w:pStyle w:val="lqq0"/>
                  </w:pPr>
                  <w:r>
                    <w:t>60</w:t>
                  </w:r>
                </w:p>
              </w:tc>
              <w:tc>
                <w:tcPr>
                  <w:tcW w:w="767" w:type="pct"/>
                  <w:vAlign w:val="center"/>
                </w:tcPr>
                <w:p w14:paraId="1500DF05" w14:textId="77777777" w:rsidR="00F76A63" w:rsidRDefault="00000000">
                  <w:pPr>
                    <w:pStyle w:val="lqq0"/>
                  </w:pPr>
                  <w:r>
                    <w:t>51</w:t>
                  </w:r>
                </w:p>
              </w:tc>
              <w:tc>
                <w:tcPr>
                  <w:tcW w:w="718" w:type="pct"/>
                  <w:vAlign w:val="center"/>
                </w:tcPr>
                <w:p w14:paraId="5D786D13" w14:textId="77777777" w:rsidR="00F76A63" w:rsidRDefault="00000000">
                  <w:pPr>
                    <w:pStyle w:val="lqq0"/>
                  </w:pPr>
                  <w:r>
                    <w:t>65</w:t>
                  </w:r>
                </w:p>
              </w:tc>
              <w:tc>
                <w:tcPr>
                  <w:tcW w:w="716" w:type="pct"/>
                  <w:vAlign w:val="center"/>
                </w:tcPr>
                <w:p w14:paraId="6FFD5CD3" w14:textId="77777777" w:rsidR="00F76A63" w:rsidRDefault="00000000">
                  <w:pPr>
                    <w:pStyle w:val="lqq0"/>
                  </w:pPr>
                  <w:r>
                    <w:t>55</w:t>
                  </w:r>
                </w:p>
              </w:tc>
              <w:tc>
                <w:tcPr>
                  <w:tcW w:w="621" w:type="pct"/>
                  <w:vAlign w:val="center"/>
                </w:tcPr>
                <w:p w14:paraId="65DEEC35" w14:textId="77777777" w:rsidR="00F76A63" w:rsidRDefault="00000000">
                  <w:pPr>
                    <w:pStyle w:val="lqq0"/>
                  </w:pPr>
                  <w:r>
                    <w:t>达标</w:t>
                  </w:r>
                </w:p>
              </w:tc>
              <w:tc>
                <w:tcPr>
                  <w:tcW w:w="541" w:type="pct"/>
                  <w:vAlign w:val="center"/>
                </w:tcPr>
                <w:p w14:paraId="34189A47" w14:textId="77777777" w:rsidR="00F76A63" w:rsidRDefault="00000000">
                  <w:pPr>
                    <w:pStyle w:val="lqq0"/>
                  </w:pPr>
                  <w:r>
                    <w:t>达标</w:t>
                  </w:r>
                </w:p>
              </w:tc>
            </w:tr>
            <w:tr w:rsidR="00F76A63" w14:paraId="70696EFD" w14:textId="77777777">
              <w:trPr>
                <w:trHeight w:val="300"/>
                <w:jc w:val="center"/>
              </w:trPr>
              <w:tc>
                <w:tcPr>
                  <w:tcW w:w="870" w:type="pct"/>
                  <w:vAlign w:val="center"/>
                </w:tcPr>
                <w:p w14:paraId="62253ABA" w14:textId="77777777" w:rsidR="00F76A63" w:rsidRDefault="00000000">
                  <w:pPr>
                    <w:pStyle w:val="lqq0"/>
                  </w:pPr>
                  <w:r>
                    <w:t>▲N4</w:t>
                  </w:r>
                </w:p>
              </w:tc>
              <w:tc>
                <w:tcPr>
                  <w:tcW w:w="767" w:type="pct"/>
                  <w:vAlign w:val="center"/>
                </w:tcPr>
                <w:p w14:paraId="494AD2FA" w14:textId="77777777" w:rsidR="00F76A63" w:rsidRDefault="00000000">
                  <w:pPr>
                    <w:pStyle w:val="lqq0"/>
                  </w:pPr>
                  <w:r>
                    <w:t>57</w:t>
                  </w:r>
                </w:p>
              </w:tc>
              <w:tc>
                <w:tcPr>
                  <w:tcW w:w="767" w:type="pct"/>
                  <w:vAlign w:val="center"/>
                </w:tcPr>
                <w:p w14:paraId="568C9FC1" w14:textId="77777777" w:rsidR="00F76A63" w:rsidRDefault="00000000">
                  <w:pPr>
                    <w:pStyle w:val="lqq0"/>
                  </w:pPr>
                  <w:r>
                    <w:t>54</w:t>
                  </w:r>
                </w:p>
              </w:tc>
              <w:tc>
                <w:tcPr>
                  <w:tcW w:w="718" w:type="pct"/>
                  <w:vAlign w:val="center"/>
                </w:tcPr>
                <w:p w14:paraId="6BD98E45" w14:textId="77777777" w:rsidR="00F76A63" w:rsidRDefault="00000000">
                  <w:pPr>
                    <w:pStyle w:val="lqq0"/>
                  </w:pPr>
                  <w:r>
                    <w:t>65</w:t>
                  </w:r>
                </w:p>
              </w:tc>
              <w:tc>
                <w:tcPr>
                  <w:tcW w:w="716" w:type="pct"/>
                  <w:vAlign w:val="center"/>
                </w:tcPr>
                <w:p w14:paraId="1433E122" w14:textId="77777777" w:rsidR="00F76A63" w:rsidRDefault="00000000">
                  <w:pPr>
                    <w:pStyle w:val="lqq0"/>
                  </w:pPr>
                  <w:r>
                    <w:t>55</w:t>
                  </w:r>
                </w:p>
              </w:tc>
              <w:tc>
                <w:tcPr>
                  <w:tcW w:w="621" w:type="pct"/>
                  <w:vAlign w:val="center"/>
                </w:tcPr>
                <w:p w14:paraId="255096C4" w14:textId="77777777" w:rsidR="00F76A63" w:rsidRDefault="00000000">
                  <w:pPr>
                    <w:pStyle w:val="lqq0"/>
                  </w:pPr>
                  <w:r>
                    <w:t>达标</w:t>
                  </w:r>
                </w:p>
              </w:tc>
              <w:tc>
                <w:tcPr>
                  <w:tcW w:w="541" w:type="pct"/>
                  <w:vAlign w:val="center"/>
                </w:tcPr>
                <w:p w14:paraId="1FB4A6A3" w14:textId="77777777" w:rsidR="00F76A63" w:rsidRDefault="00000000">
                  <w:pPr>
                    <w:pStyle w:val="lqq0"/>
                  </w:pPr>
                  <w:r>
                    <w:t>达标</w:t>
                  </w:r>
                </w:p>
              </w:tc>
            </w:tr>
            <w:tr w:rsidR="00F76A63" w14:paraId="5B312171" w14:textId="77777777">
              <w:trPr>
                <w:trHeight w:val="300"/>
                <w:jc w:val="center"/>
              </w:trPr>
              <w:tc>
                <w:tcPr>
                  <w:tcW w:w="870" w:type="pct"/>
                  <w:vAlign w:val="center"/>
                </w:tcPr>
                <w:p w14:paraId="17D3CD75" w14:textId="77777777" w:rsidR="00F76A63" w:rsidRDefault="00000000">
                  <w:pPr>
                    <w:pStyle w:val="lqq0"/>
                  </w:pPr>
                  <w:r>
                    <w:t>▲N5</w:t>
                  </w:r>
                </w:p>
              </w:tc>
              <w:tc>
                <w:tcPr>
                  <w:tcW w:w="767" w:type="pct"/>
                  <w:vAlign w:val="center"/>
                </w:tcPr>
                <w:p w14:paraId="337DCA8F" w14:textId="77777777" w:rsidR="00F76A63" w:rsidRDefault="00000000">
                  <w:pPr>
                    <w:pStyle w:val="lqq0"/>
                  </w:pPr>
                  <w:r>
                    <w:t>52</w:t>
                  </w:r>
                </w:p>
              </w:tc>
              <w:tc>
                <w:tcPr>
                  <w:tcW w:w="767" w:type="pct"/>
                  <w:vAlign w:val="center"/>
                </w:tcPr>
                <w:p w14:paraId="7BD0AD9B" w14:textId="77777777" w:rsidR="00F76A63" w:rsidRDefault="00000000">
                  <w:pPr>
                    <w:pStyle w:val="lqq0"/>
                  </w:pPr>
                  <w:r>
                    <w:t>52</w:t>
                  </w:r>
                </w:p>
              </w:tc>
              <w:tc>
                <w:tcPr>
                  <w:tcW w:w="718" w:type="pct"/>
                  <w:vAlign w:val="center"/>
                </w:tcPr>
                <w:p w14:paraId="0FA11576" w14:textId="77777777" w:rsidR="00F76A63" w:rsidRDefault="00000000">
                  <w:pPr>
                    <w:pStyle w:val="lqq0"/>
                  </w:pPr>
                  <w:r>
                    <w:t>65</w:t>
                  </w:r>
                </w:p>
              </w:tc>
              <w:tc>
                <w:tcPr>
                  <w:tcW w:w="716" w:type="pct"/>
                  <w:vAlign w:val="center"/>
                </w:tcPr>
                <w:p w14:paraId="31C116FA" w14:textId="77777777" w:rsidR="00F76A63" w:rsidRDefault="00000000">
                  <w:pPr>
                    <w:pStyle w:val="lqq0"/>
                  </w:pPr>
                  <w:r>
                    <w:t>55</w:t>
                  </w:r>
                </w:p>
              </w:tc>
              <w:tc>
                <w:tcPr>
                  <w:tcW w:w="621" w:type="pct"/>
                  <w:vAlign w:val="center"/>
                </w:tcPr>
                <w:p w14:paraId="579B36C2" w14:textId="77777777" w:rsidR="00F76A63" w:rsidRDefault="00000000">
                  <w:pPr>
                    <w:pStyle w:val="lqq0"/>
                  </w:pPr>
                  <w:r>
                    <w:t>达标</w:t>
                  </w:r>
                </w:p>
              </w:tc>
              <w:tc>
                <w:tcPr>
                  <w:tcW w:w="541" w:type="pct"/>
                  <w:vAlign w:val="center"/>
                </w:tcPr>
                <w:p w14:paraId="78908451" w14:textId="77777777" w:rsidR="00F76A63" w:rsidRDefault="00000000">
                  <w:pPr>
                    <w:pStyle w:val="lqq0"/>
                  </w:pPr>
                  <w:r>
                    <w:t>达标</w:t>
                  </w:r>
                </w:p>
              </w:tc>
            </w:tr>
            <w:tr w:rsidR="00F76A63" w14:paraId="777C6A09" w14:textId="77777777">
              <w:trPr>
                <w:trHeight w:val="300"/>
                <w:jc w:val="center"/>
              </w:trPr>
              <w:tc>
                <w:tcPr>
                  <w:tcW w:w="870" w:type="pct"/>
                  <w:vAlign w:val="center"/>
                </w:tcPr>
                <w:p w14:paraId="06DCDC5F" w14:textId="77777777" w:rsidR="00F76A63" w:rsidRDefault="00000000">
                  <w:pPr>
                    <w:pStyle w:val="lqq0"/>
                  </w:pPr>
                  <w:r>
                    <w:t>▲N6</w:t>
                  </w:r>
                </w:p>
              </w:tc>
              <w:tc>
                <w:tcPr>
                  <w:tcW w:w="767" w:type="pct"/>
                  <w:vAlign w:val="center"/>
                </w:tcPr>
                <w:p w14:paraId="61FEE6B3" w14:textId="77777777" w:rsidR="00F76A63" w:rsidRDefault="00000000">
                  <w:pPr>
                    <w:pStyle w:val="lqq0"/>
                  </w:pPr>
                  <w:r>
                    <w:t>54</w:t>
                  </w:r>
                </w:p>
              </w:tc>
              <w:tc>
                <w:tcPr>
                  <w:tcW w:w="767" w:type="pct"/>
                  <w:vAlign w:val="center"/>
                </w:tcPr>
                <w:p w14:paraId="0AE55818" w14:textId="77777777" w:rsidR="00F76A63" w:rsidRDefault="00000000">
                  <w:pPr>
                    <w:pStyle w:val="lqq0"/>
                  </w:pPr>
                  <w:r>
                    <w:t>53</w:t>
                  </w:r>
                </w:p>
              </w:tc>
              <w:tc>
                <w:tcPr>
                  <w:tcW w:w="718" w:type="pct"/>
                  <w:vAlign w:val="center"/>
                </w:tcPr>
                <w:p w14:paraId="1B7135E3" w14:textId="77777777" w:rsidR="00F76A63" w:rsidRDefault="00000000">
                  <w:pPr>
                    <w:pStyle w:val="lqq0"/>
                  </w:pPr>
                  <w:r>
                    <w:t>65</w:t>
                  </w:r>
                </w:p>
              </w:tc>
              <w:tc>
                <w:tcPr>
                  <w:tcW w:w="716" w:type="pct"/>
                  <w:vAlign w:val="center"/>
                </w:tcPr>
                <w:p w14:paraId="612CFC89" w14:textId="77777777" w:rsidR="00F76A63" w:rsidRDefault="00000000">
                  <w:pPr>
                    <w:pStyle w:val="lqq0"/>
                  </w:pPr>
                  <w:r>
                    <w:t>55</w:t>
                  </w:r>
                </w:p>
              </w:tc>
              <w:tc>
                <w:tcPr>
                  <w:tcW w:w="621" w:type="pct"/>
                  <w:vAlign w:val="center"/>
                </w:tcPr>
                <w:p w14:paraId="15E10105" w14:textId="77777777" w:rsidR="00F76A63" w:rsidRDefault="00000000">
                  <w:pPr>
                    <w:pStyle w:val="lqq0"/>
                  </w:pPr>
                  <w:r>
                    <w:t>达标</w:t>
                  </w:r>
                </w:p>
              </w:tc>
              <w:tc>
                <w:tcPr>
                  <w:tcW w:w="541" w:type="pct"/>
                  <w:vAlign w:val="center"/>
                </w:tcPr>
                <w:p w14:paraId="73F0C9D8" w14:textId="77777777" w:rsidR="00F76A63" w:rsidRDefault="00000000">
                  <w:pPr>
                    <w:pStyle w:val="lqq0"/>
                  </w:pPr>
                  <w:r>
                    <w:t>达标</w:t>
                  </w:r>
                </w:p>
              </w:tc>
            </w:tr>
            <w:tr w:rsidR="00F76A63" w14:paraId="5C7DE379" w14:textId="77777777">
              <w:trPr>
                <w:trHeight w:val="300"/>
                <w:jc w:val="center"/>
              </w:trPr>
              <w:tc>
                <w:tcPr>
                  <w:tcW w:w="870" w:type="pct"/>
                  <w:vAlign w:val="center"/>
                </w:tcPr>
                <w:p w14:paraId="7AFCE429" w14:textId="77777777" w:rsidR="00F76A63" w:rsidRDefault="00000000">
                  <w:pPr>
                    <w:pStyle w:val="lqq0"/>
                  </w:pPr>
                  <w:r>
                    <w:t>▲N7</w:t>
                  </w:r>
                </w:p>
              </w:tc>
              <w:tc>
                <w:tcPr>
                  <w:tcW w:w="767" w:type="pct"/>
                  <w:vAlign w:val="center"/>
                </w:tcPr>
                <w:p w14:paraId="52C9F3B4" w14:textId="77777777" w:rsidR="00F76A63" w:rsidRDefault="00000000">
                  <w:pPr>
                    <w:pStyle w:val="lqq0"/>
                  </w:pPr>
                  <w:r>
                    <w:t>63</w:t>
                  </w:r>
                </w:p>
              </w:tc>
              <w:tc>
                <w:tcPr>
                  <w:tcW w:w="767" w:type="pct"/>
                  <w:vAlign w:val="center"/>
                </w:tcPr>
                <w:p w14:paraId="28970F24" w14:textId="77777777" w:rsidR="00F76A63" w:rsidRDefault="00000000">
                  <w:pPr>
                    <w:pStyle w:val="lqq0"/>
                  </w:pPr>
                  <w:r>
                    <w:t>53</w:t>
                  </w:r>
                </w:p>
              </w:tc>
              <w:tc>
                <w:tcPr>
                  <w:tcW w:w="718" w:type="pct"/>
                  <w:vAlign w:val="center"/>
                </w:tcPr>
                <w:p w14:paraId="462CAE3F" w14:textId="77777777" w:rsidR="00F76A63" w:rsidRDefault="00000000">
                  <w:pPr>
                    <w:pStyle w:val="lqq0"/>
                  </w:pPr>
                  <w:r>
                    <w:t>65</w:t>
                  </w:r>
                </w:p>
              </w:tc>
              <w:tc>
                <w:tcPr>
                  <w:tcW w:w="716" w:type="pct"/>
                  <w:vAlign w:val="center"/>
                </w:tcPr>
                <w:p w14:paraId="3B257C61" w14:textId="77777777" w:rsidR="00F76A63" w:rsidRDefault="00000000">
                  <w:pPr>
                    <w:pStyle w:val="lqq0"/>
                  </w:pPr>
                  <w:r>
                    <w:t>55</w:t>
                  </w:r>
                </w:p>
              </w:tc>
              <w:tc>
                <w:tcPr>
                  <w:tcW w:w="621" w:type="pct"/>
                  <w:vAlign w:val="center"/>
                </w:tcPr>
                <w:p w14:paraId="282178BF" w14:textId="77777777" w:rsidR="00F76A63" w:rsidRDefault="00000000">
                  <w:pPr>
                    <w:pStyle w:val="lqq0"/>
                  </w:pPr>
                  <w:r>
                    <w:t>达标</w:t>
                  </w:r>
                </w:p>
              </w:tc>
              <w:tc>
                <w:tcPr>
                  <w:tcW w:w="541" w:type="pct"/>
                  <w:vAlign w:val="center"/>
                </w:tcPr>
                <w:p w14:paraId="2721F342" w14:textId="77777777" w:rsidR="00F76A63" w:rsidRDefault="00000000">
                  <w:pPr>
                    <w:pStyle w:val="lqq0"/>
                  </w:pPr>
                  <w:r>
                    <w:t>达标</w:t>
                  </w:r>
                </w:p>
              </w:tc>
            </w:tr>
            <w:tr w:rsidR="00F76A63" w14:paraId="72B75AFB" w14:textId="77777777">
              <w:trPr>
                <w:trHeight w:val="300"/>
                <w:jc w:val="center"/>
              </w:trPr>
              <w:tc>
                <w:tcPr>
                  <w:tcW w:w="870" w:type="pct"/>
                  <w:vAlign w:val="center"/>
                </w:tcPr>
                <w:p w14:paraId="648C7125" w14:textId="77777777" w:rsidR="00F76A63" w:rsidRDefault="00000000">
                  <w:pPr>
                    <w:pStyle w:val="lqq0"/>
                  </w:pPr>
                  <w:r>
                    <w:t>▲N8</w:t>
                  </w:r>
                </w:p>
              </w:tc>
              <w:tc>
                <w:tcPr>
                  <w:tcW w:w="767" w:type="pct"/>
                  <w:vAlign w:val="center"/>
                </w:tcPr>
                <w:p w14:paraId="7ADD90A0" w14:textId="77777777" w:rsidR="00F76A63" w:rsidRDefault="00000000">
                  <w:pPr>
                    <w:pStyle w:val="lqq0"/>
                  </w:pPr>
                  <w:r>
                    <w:t>61</w:t>
                  </w:r>
                </w:p>
              </w:tc>
              <w:tc>
                <w:tcPr>
                  <w:tcW w:w="767" w:type="pct"/>
                  <w:vAlign w:val="center"/>
                </w:tcPr>
                <w:p w14:paraId="21023174" w14:textId="77777777" w:rsidR="00F76A63" w:rsidRDefault="00000000">
                  <w:pPr>
                    <w:pStyle w:val="lqq0"/>
                  </w:pPr>
                  <w:r>
                    <w:t>53</w:t>
                  </w:r>
                </w:p>
              </w:tc>
              <w:tc>
                <w:tcPr>
                  <w:tcW w:w="718" w:type="pct"/>
                  <w:vAlign w:val="center"/>
                </w:tcPr>
                <w:p w14:paraId="6C2FF532" w14:textId="77777777" w:rsidR="00F76A63" w:rsidRDefault="00000000">
                  <w:pPr>
                    <w:pStyle w:val="lqq0"/>
                  </w:pPr>
                  <w:r>
                    <w:t>65</w:t>
                  </w:r>
                </w:p>
              </w:tc>
              <w:tc>
                <w:tcPr>
                  <w:tcW w:w="716" w:type="pct"/>
                  <w:vAlign w:val="center"/>
                </w:tcPr>
                <w:p w14:paraId="06DE7900" w14:textId="77777777" w:rsidR="00F76A63" w:rsidRDefault="00000000">
                  <w:pPr>
                    <w:pStyle w:val="lqq0"/>
                  </w:pPr>
                  <w:r>
                    <w:t>55</w:t>
                  </w:r>
                </w:p>
              </w:tc>
              <w:tc>
                <w:tcPr>
                  <w:tcW w:w="621" w:type="pct"/>
                  <w:vAlign w:val="center"/>
                </w:tcPr>
                <w:p w14:paraId="1FD4B5F7" w14:textId="77777777" w:rsidR="00F76A63" w:rsidRDefault="00000000">
                  <w:pPr>
                    <w:pStyle w:val="lqq0"/>
                  </w:pPr>
                  <w:r>
                    <w:t>达标</w:t>
                  </w:r>
                </w:p>
              </w:tc>
              <w:tc>
                <w:tcPr>
                  <w:tcW w:w="541" w:type="pct"/>
                  <w:vAlign w:val="center"/>
                </w:tcPr>
                <w:p w14:paraId="3E558AB7" w14:textId="77777777" w:rsidR="00F76A63" w:rsidRDefault="00000000">
                  <w:pPr>
                    <w:pStyle w:val="lqq0"/>
                  </w:pPr>
                  <w:r>
                    <w:t>达标</w:t>
                  </w:r>
                </w:p>
              </w:tc>
            </w:tr>
          </w:tbl>
          <w:p w14:paraId="7F2A3A7A" w14:textId="77777777" w:rsidR="00F76A63" w:rsidRDefault="00000000">
            <w:pPr>
              <w:keepNext/>
              <w:keepLines/>
              <w:widowControl/>
              <w:tabs>
                <w:tab w:val="left" w:pos="2340"/>
              </w:tabs>
              <w:adjustRightInd w:val="0"/>
              <w:snapToGrid w:val="0"/>
              <w:spacing w:line="500" w:lineRule="exact"/>
              <w:ind w:firstLineChars="200" w:firstLine="480"/>
              <w:rPr>
                <w:sz w:val="24"/>
              </w:rPr>
            </w:pPr>
            <w:r>
              <w:rPr>
                <w:sz w:val="24"/>
              </w:rPr>
              <w:lastRenderedPageBreak/>
              <w:t>厂界各点位昼夜噪声值均满足《工业企业厂界环境噪声排放标准》（</w:t>
            </w:r>
            <w:r>
              <w:rPr>
                <w:sz w:val="24"/>
              </w:rPr>
              <w:t>GB12348-2008</w:t>
            </w:r>
            <w:r>
              <w:rPr>
                <w:sz w:val="24"/>
              </w:rPr>
              <w:t>）</w:t>
            </w:r>
            <w:r>
              <w:rPr>
                <w:sz w:val="24"/>
              </w:rPr>
              <w:t>3</w:t>
            </w:r>
            <w:r>
              <w:rPr>
                <w:sz w:val="24"/>
              </w:rPr>
              <w:t>类标准要求。</w:t>
            </w:r>
          </w:p>
          <w:p w14:paraId="12125EB9" w14:textId="77777777" w:rsidR="00F76A63" w:rsidRDefault="00000000">
            <w:pPr>
              <w:keepNext/>
              <w:keepLines/>
              <w:spacing w:line="500" w:lineRule="exact"/>
              <w:ind w:firstLineChars="200" w:firstLine="482"/>
              <w:rPr>
                <w:b/>
                <w:bCs/>
                <w:sz w:val="24"/>
              </w:rPr>
            </w:pPr>
            <w:r>
              <w:rPr>
                <w:b/>
                <w:bCs/>
                <w:sz w:val="24"/>
              </w:rPr>
              <w:t>4</w:t>
            </w:r>
            <w:r>
              <w:rPr>
                <w:b/>
                <w:bCs/>
                <w:sz w:val="24"/>
              </w:rPr>
              <w:t>）固体废物产生与排放情况</w:t>
            </w:r>
          </w:p>
          <w:p w14:paraId="65C8912F" w14:textId="77777777" w:rsidR="00F76A63" w:rsidRDefault="00000000">
            <w:pPr>
              <w:keepNext/>
              <w:keepLines/>
              <w:widowControl/>
              <w:tabs>
                <w:tab w:val="left" w:pos="2340"/>
              </w:tabs>
              <w:adjustRightInd w:val="0"/>
              <w:snapToGrid w:val="0"/>
              <w:spacing w:line="500" w:lineRule="exact"/>
              <w:ind w:firstLineChars="200" w:firstLine="480"/>
              <w:rPr>
                <w:sz w:val="24"/>
              </w:rPr>
            </w:pPr>
            <w:r>
              <w:rPr>
                <w:sz w:val="24"/>
              </w:rPr>
              <w:t>句容台泥公司现有固体废物主要有废铁、废耐火砖、废橡胶皮带、废润滑油及生活垃圾。</w:t>
            </w:r>
          </w:p>
          <w:p w14:paraId="5A7697D5" w14:textId="77777777" w:rsidR="00F76A63" w:rsidRDefault="00000000">
            <w:pPr>
              <w:keepNext/>
              <w:keepLines/>
              <w:widowControl/>
              <w:tabs>
                <w:tab w:val="left" w:pos="2340"/>
              </w:tabs>
              <w:adjustRightInd w:val="0"/>
              <w:snapToGrid w:val="0"/>
              <w:spacing w:line="500" w:lineRule="exact"/>
              <w:ind w:firstLineChars="200" w:firstLine="480"/>
              <w:rPr>
                <w:sz w:val="24"/>
              </w:rPr>
            </w:pPr>
            <w:r>
              <w:rPr>
                <w:sz w:val="24"/>
              </w:rPr>
              <w:t>现有项目设置一座</w:t>
            </w:r>
            <w:r>
              <w:rPr>
                <w:sz w:val="24"/>
              </w:rPr>
              <w:t>90m</w:t>
            </w:r>
            <w:r>
              <w:rPr>
                <w:sz w:val="24"/>
                <w:vertAlign w:val="superscript"/>
              </w:rPr>
              <w:t>2</w:t>
            </w:r>
            <w:r>
              <w:rPr>
                <w:sz w:val="24"/>
              </w:rPr>
              <w:t>危废暂存库，</w:t>
            </w:r>
            <w:r>
              <w:rPr>
                <w:sz w:val="24"/>
              </w:rPr>
              <w:t>220m</w:t>
            </w:r>
            <w:r>
              <w:rPr>
                <w:sz w:val="24"/>
                <w:vertAlign w:val="superscript"/>
              </w:rPr>
              <w:t>2</w:t>
            </w:r>
            <w:r>
              <w:rPr>
                <w:sz w:val="24"/>
              </w:rPr>
              <w:t>一般固废暂存库，具体见下图。现有项目营运期固废产生与利用处置情况汇总见表</w:t>
            </w:r>
            <w:r>
              <w:rPr>
                <w:sz w:val="24"/>
              </w:rPr>
              <w:t>2</w:t>
            </w:r>
            <w:r>
              <w:rPr>
                <w:rFonts w:hint="eastAsia"/>
                <w:sz w:val="24"/>
              </w:rPr>
              <w:t>-56</w:t>
            </w:r>
            <w:r>
              <w:rPr>
                <w:sz w:val="24"/>
              </w:rPr>
              <w:t>。</w:t>
            </w:r>
          </w:p>
          <w:p w14:paraId="12ABA577" w14:textId="77777777" w:rsidR="00F76A63" w:rsidRDefault="00000000">
            <w:pPr>
              <w:adjustRightInd w:val="0"/>
              <w:snapToGrid w:val="0"/>
              <w:spacing w:line="500" w:lineRule="exact"/>
              <w:ind w:firstLine="200"/>
              <w:jc w:val="center"/>
              <w:rPr>
                <w:b/>
                <w:sz w:val="24"/>
              </w:rPr>
            </w:pPr>
            <w:r>
              <w:rPr>
                <w:b/>
                <w:sz w:val="24"/>
              </w:rPr>
              <w:t>表</w:t>
            </w:r>
            <w:r>
              <w:rPr>
                <w:b/>
                <w:sz w:val="24"/>
              </w:rPr>
              <w:t>2-5</w:t>
            </w:r>
            <w:r>
              <w:rPr>
                <w:rFonts w:hint="eastAsia"/>
                <w:b/>
                <w:sz w:val="24"/>
              </w:rPr>
              <w:t>6</w:t>
            </w:r>
            <w:r>
              <w:rPr>
                <w:b/>
                <w:sz w:val="24"/>
              </w:rPr>
              <w:t xml:space="preserve">  </w:t>
            </w:r>
            <w:r>
              <w:rPr>
                <w:b/>
                <w:sz w:val="24"/>
              </w:rPr>
              <w:t>现有项目营运期固体废物</w:t>
            </w:r>
            <w:r>
              <w:rPr>
                <w:b/>
                <w:kern w:val="0"/>
                <w:sz w:val="24"/>
              </w:rPr>
              <w:t>利用处置方式</w:t>
            </w:r>
          </w:p>
          <w:tbl>
            <w:tblPr>
              <w:tblW w:w="8176" w:type="dxa"/>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436"/>
              <w:gridCol w:w="1115"/>
              <w:gridCol w:w="738"/>
              <w:gridCol w:w="1075"/>
              <w:gridCol w:w="721"/>
              <w:gridCol w:w="996"/>
              <w:gridCol w:w="1236"/>
              <w:gridCol w:w="1036"/>
              <w:gridCol w:w="823"/>
            </w:tblGrid>
            <w:tr w:rsidR="00F76A63" w14:paraId="4593E06A" w14:textId="77777777">
              <w:trPr>
                <w:cantSplit/>
                <w:trHeight w:val="837"/>
                <w:jc w:val="center"/>
              </w:trPr>
              <w:tc>
                <w:tcPr>
                  <w:tcW w:w="436" w:type="dxa"/>
                  <w:tcBorders>
                    <w:top w:val="single" w:sz="12" w:space="0" w:color="auto"/>
                    <w:left w:val="nil"/>
                    <w:bottom w:val="single" w:sz="4" w:space="0" w:color="auto"/>
                    <w:right w:val="single" w:sz="4" w:space="0" w:color="auto"/>
                  </w:tcBorders>
                  <w:vAlign w:val="center"/>
                </w:tcPr>
                <w:p w14:paraId="5DF78CF6" w14:textId="77777777" w:rsidR="00F76A63" w:rsidRDefault="00000000">
                  <w:pPr>
                    <w:pStyle w:val="affff8"/>
                    <w:rPr>
                      <w:rFonts w:cs="Times New Roman"/>
                      <w:b/>
                      <w:bCs/>
                      <w:sz w:val="18"/>
                      <w:szCs w:val="18"/>
                    </w:rPr>
                  </w:pPr>
                  <w:r>
                    <w:rPr>
                      <w:rFonts w:cs="Times New Roman"/>
                      <w:b/>
                      <w:bCs/>
                      <w:sz w:val="18"/>
                      <w:szCs w:val="18"/>
                    </w:rPr>
                    <w:t>序号</w:t>
                  </w:r>
                </w:p>
              </w:tc>
              <w:tc>
                <w:tcPr>
                  <w:tcW w:w="1115" w:type="dxa"/>
                  <w:tcBorders>
                    <w:top w:val="single" w:sz="12" w:space="0" w:color="auto"/>
                    <w:left w:val="single" w:sz="4" w:space="0" w:color="auto"/>
                    <w:bottom w:val="single" w:sz="4" w:space="0" w:color="auto"/>
                    <w:right w:val="single" w:sz="4" w:space="0" w:color="auto"/>
                  </w:tcBorders>
                  <w:vAlign w:val="center"/>
                </w:tcPr>
                <w:p w14:paraId="7CE7A530" w14:textId="77777777" w:rsidR="00F76A63" w:rsidRDefault="00000000">
                  <w:pPr>
                    <w:pStyle w:val="affff8"/>
                    <w:rPr>
                      <w:rFonts w:cs="Times New Roman"/>
                      <w:b/>
                      <w:bCs/>
                      <w:sz w:val="18"/>
                      <w:szCs w:val="18"/>
                    </w:rPr>
                  </w:pPr>
                  <w:r>
                    <w:rPr>
                      <w:rFonts w:cs="Times New Roman"/>
                      <w:b/>
                      <w:bCs/>
                      <w:sz w:val="18"/>
                      <w:szCs w:val="18"/>
                    </w:rPr>
                    <w:t>名称</w:t>
                  </w:r>
                </w:p>
              </w:tc>
              <w:tc>
                <w:tcPr>
                  <w:tcW w:w="738" w:type="dxa"/>
                  <w:tcBorders>
                    <w:top w:val="single" w:sz="12" w:space="0" w:color="auto"/>
                    <w:left w:val="single" w:sz="4" w:space="0" w:color="auto"/>
                    <w:bottom w:val="single" w:sz="4" w:space="0" w:color="auto"/>
                    <w:right w:val="single" w:sz="4" w:space="0" w:color="auto"/>
                  </w:tcBorders>
                  <w:vAlign w:val="center"/>
                </w:tcPr>
                <w:p w14:paraId="5DB90AE3" w14:textId="77777777" w:rsidR="00F76A63" w:rsidRDefault="00000000">
                  <w:pPr>
                    <w:pStyle w:val="affff8"/>
                    <w:rPr>
                      <w:rFonts w:cs="Times New Roman"/>
                      <w:b/>
                      <w:bCs/>
                      <w:sz w:val="18"/>
                      <w:szCs w:val="18"/>
                    </w:rPr>
                  </w:pPr>
                  <w:r>
                    <w:rPr>
                      <w:rFonts w:cs="Times New Roman"/>
                      <w:b/>
                      <w:bCs/>
                      <w:sz w:val="18"/>
                      <w:szCs w:val="18"/>
                    </w:rPr>
                    <w:t>属性</w:t>
                  </w:r>
                </w:p>
              </w:tc>
              <w:tc>
                <w:tcPr>
                  <w:tcW w:w="1075" w:type="dxa"/>
                  <w:tcBorders>
                    <w:top w:val="single" w:sz="12" w:space="0" w:color="auto"/>
                    <w:left w:val="single" w:sz="4" w:space="0" w:color="auto"/>
                    <w:bottom w:val="single" w:sz="4" w:space="0" w:color="auto"/>
                    <w:right w:val="single" w:sz="4" w:space="0" w:color="auto"/>
                  </w:tcBorders>
                  <w:vAlign w:val="center"/>
                </w:tcPr>
                <w:p w14:paraId="1EE38866" w14:textId="77777777" w:rsidR="00F76A63" w:rsidRDefault="00000000">
                  <w:pPr>
                    <w:pStyle w:val="affff8"/>
                    <w:rPr>
                      <w:rFonts w:cs="Times New Roman"/>
                      <w:b/>
                      <w:bCs/>
                      <w:sz w:val="18"/>
                      <w:szCs w:val="18"/>
                    </w:rPr>
                  </w:pPr>
                  <w:r>
                    <w:rPr>
                      <w:rFonts w:cs="Times New Roman"/>
                      <w:b/>
                      <w:bCs/>
                      <w:sz w:val="18"/>
                      <w:szCs w:val="18"/>
                    </w:rPr>
                    <w:t>产生工序</w:t>
                  </w:r>
                </w:p>
              </w:tc>
              <w:tc>
                <w:tcPr>
                  <w:tcW w:w="721" w:type="dxa"/>
                  <w:tcBorders>
                    <w:top w:val="single" w:sz="12" w:space="0" w:color="auto"/>
                    <w:left w:val="single" w:sz="4" w:space="0" w:color="auto"/>
                    <w:bottom w:val="single" w:sz="4" w:space="0" w:color="auto"/>
                    <w:right w:val="single" w:sz="4" w:space="0" w:color="auto"/>
                  </w:tcBorders>
                  <w:vAlign w:val="center"/>
                </w:tcPr>
                <w:p w14:paraId="19F4740B" w14:textId="77777777" w:rsidR="00F76A63" w:rsidRDefault="00000000">
                  <w:pPr>
                    <w:pStyle w:val="affff8"/>
                    <w:rPr>
                      <w:rFonts w:cs="Times New Roman"/>
                      <w:b/>
                      <w:bCs/>
                      <w:sz w:val="18"/>
                      <w:szCs w:val="18"/>
                    </w:rPr>
                  </w:pPr>
                  <w:r>
                    <w:rPr>
                      <w:rFonts w:cs="Times New Roman"/>
                      <w:b/>
                      <w:bCs/>
                      <w:sz w:val="18"/>
                      <w:szCs w:val="18"/>
                    </w:rPr>
                    <w:t>形态</w:t>
                  </w:r>
                </w:p>
              </w:tc>
              <w:tc>
                <w:tcPr>
                  <w:tcW w:w="996" w:type="dxa"/>
                  <w:tcBorders>
                    <w:top w:val="single" w:sz="12" w:space="0" w:color="auto"/>
                    <w:left w:val="single" w:sz="4" w:space="0" w:color="auto"/>
                    <w:bottom w:val="single" w:sz="4" w:space="0" w:color="auto"/>
                    <w:right w:val="single" w:sz="4" w:space="0" w:color="auto"/>
                  </w:tcBorders>
                  <w:vAlign w:val="center"/>
                </w:tcPr>
                <w:p w14:paraId="52148C4F" w14:textId="77777777" w:rsidR="00F76A63" w:rsidRDefault="00000000">
                  <w:pPr>
                    <w:pStyle w:val="affff8"/>
                    <w:rPr>
                      <w:rFonts w:cs="Times New Roman"/>
                      <w:b/>
                      <w:bCs/>
                      <w:sz w:val="18"/>
                      <w:szCs w:val="18"/>
                    </w:rPr>
                  </w:pPr>
                  <w:r>
                    <w:rPr>
                      <w:rFonts w:cs="Times New Roman"/>
                      <w:b/>
                      <w:bCs/>
                      <w:sz w:val="18"/>
                      <w:szCs w:val="18"/>
                    </w:rPr>
                    <w:t>主要成分</w:t>
                  </w:r>
                </w:p>
              </w:tc>
              <w:tc>
                <w:tcPr>
                  <w:tcW w:w="1236" w:type="dxa"/>
                  <w:tcBorders>
                    <w:top w:val="single" w:sz="12" w:space="0" w:color="auto"/>
                    <w:left w:val="single" w:sz="4" w:space="0" w:color="auto"/>
                    <w:bottom w:val="single" w:sz="4" w:space="0" w:color="auto"/>
                    <w:right w:val="single" w:sz="4" w:space="0" w:color="auto"/>
                  </w:tcBorders>
                  <w:vAlign w:val="center"/>
                </w:tcPr>
                <w:p w14:paraId="79578305" w14:textId="77777777" w:rsidR="00F76A63" w:rsidRDefault="00000000">
                  <w:pPr>
                    <w:pStyle w:val="affff8"/>
                    <w:rPr>
                      <w:rFonts w:cs="Times New Roman"/>
                      <w:b/>
                      <w:bCs/>
                      <w:sz w:val="18"/>
                      <w:szCs w:val="18"/>
                    </w:rPr>
                  </w:pPr>
                  <w:r>
                    <w:rPr>
                      <w:rFonts w:cs="Times New Roman"/>
                      <w:b/>
                      <w:bCs/>
                      <w:sz w:val="18"/>
                      <w:szCs w:val="18"/>
                    </w:rPr>
                    <w:t>废物类别及废物代码</w:t>
                  </w:r>
                </w:p>
              </w:tc>
              <w:tc>
                <w:tcPr>
                  <w:tcW w:w="1036" w:type="dxa"/>
                  <w:tcBorders>
                    <w:top w:val="single" w:sz="12" w:space="0" w:color="auto"/>
                    <w:left w:val="single" w:sz="4" w:space="0" w:color="auto"/>
                    <w:bottom w:val="single" w:sz="4" w:space="0" w:color="auto"/>
                    <w:right w:val="single" w:sz="4" w:space="0" w:color="auto"/>
                  </w:tcBorders>
                  <w:vAlign w:val="center"/>
                </w:tcPr>
                <w:p w14:paraId="2D4A4C3B" w14:textId="77777777" w:rsidR="00F76A63" w:rsidRDefault="00000000">
                  <w:pPr>
                    <w:pStyle w:val="affff8"/>
                    <w:rPr>
                      <w:rFonts w:cs="Times New Roman"/>
                      <w:b/>
                      <w:bCs/>
                      <w:sz w:val="18"/>
                      <w:szCs w:val="18"/>
                    </w:rPr>
                  </w:pPr>
                  <w:r>
                    <w:rPr>
                      <w:rFonts w:cs="Times New Roman"/>
                      <w:b/>
                      <w:bCs/>
                      <w:sz w:val="18"/>
                      <w:szCs w:val="18"/>
                    </w:rPr>
                    <w:t>202</w:t>
                  </w:r>
                  <w:r>
                    <w:rPr>
                      <w:rFonts w:cs="Times New Roman" w:hint="eastAsia"/>
                      <w:b/>
                      <w:bCs/>
                      <w:sz w:val="18"/>
                      <w:szCs w:val="18"/>
                    </w:rPr>
                    <w:t>5</w:t>
                  </w:r>
                  <w:r>
                    <w:rPr>
                      <w:rFonts w:cs="Times New Roman"/>
                      <w:b/>
                      <w:bCs/>
                      <w:sz w:val="18"/>
                      <w:szCs w:val="18"/>
                    </w:rPr>
                    <w:t>年产生量（</w:t>
                  </w:r>
                  <w:r>
                    <w:rPr>
                      <w:rFonts w:cs="Times New Roman"/>
                      <w:b/>
                      <w:bCs/>
                      <w:sz w:val="18"/>
                      <w:szCs w:val="18"/>
                    </w:rPr>
                    <w:t>t/a</w:t>
                  </w:r>
                  <w:r>
                    <w:rPr>
                      <w:rFonts w:cs="Times New Roman"/>
                      <w:b/>
                      <w:bCs/>
                      <w:sz w:val="18"/>
                      <w:szCs w:val="18"/>
                    </w:rPr>
                    <w:t>）</w:t>
                  </w:r>
                </w:p>
              </w:tc>
              <w:tc>
                <w:tcPr>
                  <w:tcW w:w="823" w:type="dxa"/>
                  <w:tcBorders>
                    <w:top w:val="single" w:sz="12" w:space="0" w:color="auto"/>
                    <w:left w:val="single" w:sz="4" w:space="0" w:color="auto"/>
                    <w:bottom w:val="single" w:sz="4" w:space="0" w:color="auto"/>
                    <w:right w:val="nil"/>
                  </w:tcBorders>
                  <w:vAlign w:val="center"/>
                </w:tcPr>
                <w:p w14:paraId="165B3F30" w14:textId="77777777" w:rsidR="00F76A63" w:rsidRDefault="00000000">
                  <w:pPr>
                    <w:pStyle w:val="affff8"/>
                    <w:rPr>
                      <w:rFonts w:cs="Times New Roman"/>
                      <w:b/>
                      <w:bCs/>
                      <w:sz w:val="18"/>
                      <w:szCs w:val="18"/>
                    </w:rPr>
                  </w:pPr>
                  <w:r>
                    <w:rPr>
                      <w:rFonts w:cs="Times New Roman"/>
                      <w:b/>
                      <w:bCs/>
                      <w:sz w:val="18"/>
                      <w:szCs w:val="18"/>
                    </w:rPr>
                    <w:t>处置方式</w:t>
                  </w:r>
                </w:p>
              </w:tc>
            </w:tr>
            <w:tr w:rsidR="00F76A63" w14:paraId="388FD890" w14:textId="77777777">
              <w:trPr>
                <w:cantSplit/>
                <w:trHeight w:val="340"/>
                <w:jc w:val="center"/>
              </w:trPr>
              <w:tc>
                <w:tcPr>
                  <w:tcW w:w="436" w:type="dxa"/>
                  <w:tcBorders>
                    <w:top w:val="single" w:sz="4" w:space="0" w:color="auto"/>
                    <w:left w:val="nil"/>
                    <w:bottom w:val="single" w:sz="4" w:space="0" w:color="auto"/>
                    <w:right w:val="single" w:sz="4" w:space="0" w:color="auto"/>
                  </w:tcBorders>
                  <w:vAlign w:val="center"/>
                </w:tcPr>
                <w:p w14:paraId="55152364" w14:textId="77777777" w:rsidR="00F76A63" w:rsidRDefault="00000000">
                  <w:pPr>
                    <w:pStyle w:val="affff8"/>
                    <w:rPr>
                      <w:rFonts w:cs="Times New Roman"/>
                      <w:sz w:val="18"/>
                      <w:szCs w:val="18"/>
                    </w:rPr>
                  </w:pPr>
                  <w:r>
                    <w:rPr>
                      <w:rFonts w:cs="Times New Roman"/>
                      <w:sz w:val="18"/>
                      <w:szCs w:val="18"/>
                    </w:rPr>
                    <w:t>1</w:t>
                  </w:r>
                </w:p>
              </w:tc>
              <w:tc>
                <w:tcPr>
                  <w:tcW w:w="1115" w:type="dxa"/>
                  <w:tcBorders>
                    <w:top w:val="single" w:sz="4" w:space="0" w:color="auto"/>
                    <w:left w:val="single" w:sz="4" w:space="0" w:color="auto"/>
                    <w:bottom w:val="single" w:sz="4" w:space="0" w:color="auto"/>
                    <w:right w:val="single" w:sz="4" w:space="0" w:color="auto"/>
                  </w:tcBorders>
                  <w:vAlign w:val="center"/>
                </w:tcPr>
                <w:p w14:paraId="26FB87D9" w14:textId="77777777" w:rsidR="00F76A63" w:rsidRDefault="00000000">
                  <w:pPr>
                    <w:pStyle w:val="affff8"/>
                    <w:rPr>
                      <w:rFonts w:cs="Times New Roman"/>
                      <w:sz w:val="18"/>
                      <w:szCs w:val="18"/>
                    </w:rPr>
                  </w:pPr>
                  <w:r>
                    <w:rPr>
                      <w:rFonts w:cs="Times New Roman"/>
                      <w:sz w:val="18"/>
                      <w:szCs w:val="18"/>
                    </w:rPr>
                    <w:t>废铁</w:t>
                  </w:r>
                </w:p>
              </w:tc>
              <w:tc>
                <w:tcPr>
                  <w:tcW w:w="738" w:type="dxa"/>
                  <w:tcBorders>
                    <w:top w:val="single" w:sz="4" w:space="0" w:color="auto"/>
                    <w:left w:val="single" w:sz="4" w:space="0" w:color="auto"/>
                    <w:right w:val="single" w:sz="4" w:space="0" w:color="auto"/>
                  </w:tcBorders>
                  <w:vAlign w:val="center"/>
                </w:tcPr>
                <w:p w14:paraId="1A97657A" w14:textId="77777777" w:rsidR="00F76A63" w:rsidRDefault="00000000">
                  <w:pPr>
                    <w:pStyle w:val="affff8"/>
                    <w:rPr>
                      <w:rFonts w:cs="Times New Roman"/>
                      <w:sz w:val="18"/>
                      <w:szCs w:val="18"/>
                    </w:rPr>
                  </w:pPr>
                  <w:r>
                    <w:rPr>
                      <w:rFonts w:cs="Times New Roman"/>
                      <w:sz w:val="18"/>
                      <w:szCs w:val="18"/>
                    </w:rPr>
                    <w:t>一般固废</w:t>
                  </w:r>
                </w:p>
              </w:tc>
              <w:tc>
                <w:tcPr>
                  <w:tcW w:w="1075" w:type="dxa"/>
                  <w:tcBorders>
                    <w:top w:val="single" w:sz="4" w:space="0" w:color="auto"/>
                    <w:left w:val="single" w:sz="4" w:space="0" w:color="auto"/>
                    <w:bottom w:val="single" w:sz="4" w:space="0" w:color="auto"/>
                    <w:right w:val="single" w:sz="4" w:space="0" w:color="auto"/>
                  </w:tcBorders>
                  <w:vAlign w:val="center"/>
                </w:tcPr>
                <w:p w14:paraId="3D1CC466" w14:textId="77777777" w:rsidR="00F76A63" w:rsidRDefault="00000000">
                  <w:pPr>
                    <w:pStyle w:val="affff8"/>
                    <w:rPr>
                      <w:rFonts w:cs="Times New Roman"/>
                      <w:sz w:val="18"/>
                      <w:szCs w:val="18"/>
                    </w:rPr>
                  </w:pPr>
                  <w:r>
                    <w:rPr>
                      <w:rFonts w:cs="Times New Roman"/>
                      <w:sz w:val="18"/>
                      <w:szCs w:val="18"/>
                    </w:rPr>
                    <w:t>抽丝</w:t>
                  </w:r>
                </w:p>
              </w:tc>
              <w:tc>
                <w:tcPr>
                  <w:tcW w:w="721" w:type="dxa"/>
                  <w:tcBorders>
                    <w:top w:val="single" w:sz="4" w:space="0" w:color="auto"/>
                    <w:left w:val="single" w:sz="4" w:space="0" w:color="auto"/>
                    <w:bottom w:val="single" w:sz="4" w:space="0" w:color="auto"/>
                    <w:right w:val="single" w:sz="4" w:space="0" w:color="auto"/>
                  </w:tcBorders>
                  <w:vAlign w:val="center"/>
                </w:tcPr>
                <w:p w14:paraId="13A7570C" w14:textId="77777777" w:rsidR="00F76A63" w:rsidRDefault="00000000">
                  <w:pPr>
                    <w:pStyle w:val="affff8"/>
                    <w:rPr>
                      <w:rFonts w:cs="Times New Roman"/>
                      <w:sz w:val="18"/>
                      <w:szCs w:val="18"/>
                    </w:rPr>
                  </w:pPr>
                  <w:r>
                    <w:rPr>
                      <w:rFonts w:cs="Times New Roman"/>
                      <w:sz w:val="18"/>
                      <w:szCs w:val="18"/>
                    </w:rPr>
                    <w:t>固态</w:t>
                  </w:r>
                </w:p>
              </w:tc>
              <w:tc>
                <w:tcPr>
                  <w:tcW w:w="996" w:type="dxa"/>
                  <w:tcBorders>
                    <w:top w:val="single" w:sz="4" w:space="0" w:color="auto"/>
                    <w:left w:val="single" w:sz="4" w:space="0" w:color="auto"/>
                    <w:bottom w:val="single" w:sz="4" w:space="0" w:color="auto"/>
                    <w:right w:val="single" w:sz="4" w:space="0" w:color="auto"/>
                  </w:tcBorders>
                  <w:vAlign w:val="center"/>
                </w:tcPr>
                <w:p w14:paraId="15C3209C" w14:textId="77777777" w:rsidR="00F76A63" w:rsidRDefault="00000000">
                  <w:pPr>
                    <w:pStyle w:val="affff8"/>
                    <w:rPr>
                      <w:rFonts w:cs="Times New Roman"/>
                      <w:sz w:val="18"/>
                      <w:szCs w:val="18"/>
                    </w:rPr>
                  </w:pPr>
                  <w:r>
                    <w:rPr>
                      <w:rFonts w:cs="Times New Roman"/>
                      <w:sz w:val="18"/>
                      <w:szCs w:val="18"/>
                    </w:rPr>
                    <w:t>钢</w:t>
                  </w:r>
                </w:p>
              </w:tc>
              <w:tc>
                <w:tcPr>
                  <w:tcW w:w="1236" w:type="dxa"/>
                  <w:tcBorders>
                    <w:top w:val="single" w:sz="4" w:space="0" w:color="auto"/>
                    <w:left w:val="single" w:sz="4" w:space="0" w:color="auto"/>
                    <w:bottom w:val="single" w:sz="4" w:space="0" w:color="auto"/>
                    <w:right w:val="single" w:sz="4" w:space="0" w:color="auto"/>
                  </w:tcBorders>
                  <w:vAlign w:val="center"/>
                </w:tcPr>
                <w:p w14:paraId="79C6AB74" w14:textId="77777777" w:rsidR="00F76A63" w:rsidRDefault="00000000">
                  <w:pPr>
                    <w:pStyle w:val="affff8"/>
                    <w:rPr>
                      <w:rFonts w:cs="Times New Roman"/>
                      <w:sz w:val="18"/>
                      <w:szCs w:val="18"/>
                    </w:rPr>
                  </w:pPr>
                  <w:r>
                    <w:rPr>
                      <w:rFonts w:cs="Times New Roman"/>
                      <w:sz w:val="18"/>
                      <w:szCs w:val="18"/>
                    </w:rPr>
                    <w:t>/</w:t>
                  </w:r>
                </w:p>
              </w:tc>
              <w:tc>
                <w:tcPr>
                  <w:tcW w:w="1036" w:type="dxa"/>
                  <w:tcBorders>
                    <w:top w:val="single" w:sz="4" w:space="0" w:color="auto"/>
                    <w:left w:val="single" w:sz="4" w:space="0" w:color="auto"/>
                    <w:bottom w:val="single" w:sz="4" w:space="0" w:color="auto"/>
                    <w:right w:val="single" w:sz="4" w:space="0" w:color="auto"/>
                  </w:tcBorders>
                  <w:vAlign w:val="center"/>
                </w:tcPr>
                <w:p w14:paraId="55AC767A" w14:textId="77777777" w:rsidR="00F76A63" w:rsidRDefault="00000000">
                  <w:pPr>
                    <w:pStyle w:val="affff8"/>
                    <w:rPr>
                      <w:rFonts w:cs="Times New Roman"/>
                      <w:sz w:val="18"/>
                      <w:szCs w:val="18"/>
                    </w:rPr>
                  </w:pPr>
                  <w:r>
                    <w:rPr>
                      <w:rFonts w:cs="Times New Roman"/>
                      <w:sz w:val="18"/>
                      <w:szCs w:val="18"/>
                    </w:rPr>
                    <w:t>4</w:t>
                  </w:r>
                  <w:r>
                    <w:rPr>
                      <w:rFonts w:cs="Times New Roman" w:hint="eastAsia"/>
                      <w:sz w:val="18"/>
                      <w:szCs w:val="18"/>
                    </w:rPr>
                    <w:t>25.09</w:t>
                  </w:r>
                </w:p>
              </w:tc>
              <w:tc>
                <w:tcPr>
                  <w:tcW w:w="823" w:type="dxa"/>
                  <w:tcBorders>
                    <w:top w:val="single" w:sz="4" w:space="0" w:color="auto"/>
                    <w:left w:val="single" w:sz="4" w:space="0" w:color="auto"/>
                    <w:bottom w:val="single" w:sz="4" w:space="0" w:color="auto"/>
                    <w:right w:val="nil"/>
                  </w:tcBorders>
                  <w:vAlign w:val="center"/>
                </w:tcPr>
                <w:p w14:paraId="544A118B" w14:textId="77777777" w:rsidR="00F76A63" w:rsidRDefault="00000000">
                  <w:pPr>
                    <w:pStyle w:val="affff8"/>
                    <w:rPr>
                      <w:rFonts w:cs="Times New Roman"/>
                      <w:sz w:val="18"/>
                      <w:szCs w:val="18"/>
                    </w:rPr>
                  </w:pPr>
                  <w:bookmarkStart w:id="104" w:name="OLE_LINK37"/>
                  <w:r>
                    <w:rPr>
                      <w:rFonts w:cs="Times New Roman"/>
                      <w:sz w:val="18"/>
                      <w:szCs w:val="18"/>
                    </w:rPr>
                    <w:t>委托处置</w:t>
                  </w:r>
                  <w:bookmarkEnd w:id="104"/>
                </w:p>
              </w:tc>
            </w:tr>
            <w:tr w:rsidR="00F76A63" w14:paraId="36E4BD76" w14:textId="77777777">
              <w:trPr>
                <w:cantSplit/>
                <w:trHeight w:val="340"/>
                <w:jc w:val="center"/>
              </w:trPr>
              <w:tc>
                <w:tcPr>
                  <w:tcW w:w="436" w:type="dxa"/>
                  <w:tcBorders>
                    <w:top w:val="single" w:sz="4" w:space="0" w:color="auto"/>
                    <w:left w:val="nil"/>
                    <w:bottom w:val="single" w:sz="4" w:space="0" w:color="auto"/>
                    <w:right w:val="single" w:sz="4" w:space="0" w:color="auto"/>
                  </w:tcBorders>
                  <w:vAlign w:val="center"/>
                </w:tcPr>
                <w:p w14:paraId="0173E8B4" w14:textId="77777777" w:rsidR="00F76A63" w:rsidRDefault="00000000">
                  <w:pPr>
                    <w:pStyle w:val="affff8"/>
                    <w:rPr>
                      <w:rFonts w:cs="Times New Roman"/>
                      <w:sz w:val="18"/>
                      <w:szCs w:val="18"/>
                    </w:rPr>
                  </w:pPr>
                  <w:r>
                    <w:rPr>
                      <w:rFonts w:cs="Times New Roman"/>
                      <w:sz w:val="18"/>
                      <w:szCs w:val="18"/>
                    </w:rPr>
                    <w:t>2</w:t>
                  </w:r>
                </w:p>
              </w:tc>
              <w:tc>
                <w:tcPr>
                  <w:tcW w:w="1115" w:type="dxa"/>
                  <w:tcBorders>
                    <w:top w:val="single" w:sz="4" w:space="0" w:color="auto"/>
                    <w:left w:val="single" w:sz="4" w:space="0" w:color="auto"/>
                    <w:bottom w:val="single" w:sz="4" w:space="0" w:color="auto"/>
                    <w:right w:val="single" w:sz="4" w:space="0" w:color="auto"/>
                  </w:tcBorders>
                  <w:vAlign w:val="center"/>
                </w:tcPr>
                <w:p w14:paraId="56B2F371" w14:textId="77777777" w:rsidR="00F76A63" w:rsidRDefault="00000000">
                  <w:pPr>
                    <w:pStyle w:val="affff8"/>
                    <w:rPr>
                      <w:rFonts w:cs="Times New Roman"/>
                      <w:sz w:val="18"/>
                      <w:szCs w:val="18"/>
                    </w:rPr>
                  </w:pPr>
                  <w:r>
                    <w:rPr>
                      <w:rFonts w:cs="Times New Roman"/>
                      <w:sz w:val="18"/>
                      <w:szCs w:val="18"/>
                    </w:rPr>
                    <w:t>废油</w:t>
                  </w:r>
                </w:p>
              </w:tc>
              <w:tc>
                <w:tcPr>
                  <w:tcW w:w="738" w:type="dxa"/>
                  <w:vMerge w:val="restart"/>
                  <w:tcBorders>
                    <w:top w:val="single" w:sz="4" w:space="0" w:color="auto"/>
                    <w:left w:val="single" w:sz="4" w:space="0" w:color="auto"/>
                    <w:right w:val="single" w:sz="4" w:space="0" w:color="auto"/>
                  </w:tcBorders>
                  <w:vAlign w:val="center"/>
                </w:tcPr>
                <w:p w14:paraId="2A321CC8" w14:textId="77777777" w:rsidR="00F76A63" w:rsidRDefault="00000000">
                  <w:pPr>
                    <w:pStyle w:val="affff8"/>
                    <w:rPr>
                      <w:rFonts w:cs="Times New Roman"/>
                      <w:sz w:val="18"/>
                      <w:szCs w:val="18"/>
                    </w:rPr>
                  </w:pPr>
                  <w:r>
                    <w:rPr>
                      <w:rFonts w:cs="Times New Roman"/>
                      <w:sz w:val="18"/>
                      <w:szCs w:val="18"/>
                    </w:rPr>
                    <w:t>危险废物</w:t>
                  </w:r>
                </w:p>
              </w:tc>
              <w:tc>
                <w:tcPr>
                  <w:tcW w:w="1075" w:type="dxa"/>
                  <w:tcBorders>
                    <w:top w:val="single" w:sz="4" w:space="0" w:color="auto"/>
                    <w:left w:val="single" w:sz="4" w:space="0" w:color="auto"/>
                    <w:bottom w:val="single" w:sz="4" w:space="0" w:color="auto"/>
                    <w:right w:val="single" w:sz="4" w:space="0" w:color="auto"/>
                  </w:tcBorders>
                  <w:vAlign w:val="center"/>
                </w:tcPr>
                <w:p w14:paraId="5F86E4B8" w14:textId="77777777" w:rsidR="00F76A63" w:rsidRDefault="00000000">
                  <w:pPr>
                    <w:pStyle w:val="affff8"/>
                    <w:rPr>
                      <w:rFonts w:cs="Times New Roman"/>
                      <w:sz w:val="18"/>
                      <w:szCs w:val="18"/>
                    </w:rPr>
                  </w:pPr>
                  <w:r>
                    <w:rPr>
                      <w:rFonts w:cs="Times New Roman"/>
                      <w:sz w:val="18"/>
                      <w:szCs w:val="18"/>
                    </w:rPr>
                    <w:t>设备润滑</w:t>
                  </w:r>
                </w:p>
              </w:tc>
              <w:tc>
                <w:tcPr>
                  <w:tcW w:w="721" w:type="dxa"/>
                  <w:tcBorders>
                    <w:top w:val="single" w:sz="4" w:space="0" w:color="auto"/>
                    <w:left w:val="single" w:sz="4" w:space="0" w:color="auto"/>
                    <w:bottom w:val="single" w:sz="4" w:space="0" w:color="auto"/>
                    <w:right w:val="single" w:sz="4" w:space="0" w:color="auto"/>
                  </w:tcBorders>
                  <w:vAlign w:val="center"/>
                </w:tcPr>
                <w:p w14:paraId="55014C4C" w14:textId="77777777" w:rsidR="00F76A63" w:rsidRDefault="00000000">
                  <w:pPr>
                    <w:pStyle w:val="affff8"/>
                    <w:rPr>
                      <w:rFonts w:cs="Times New Roman"/>
                      <w:sz w:val="18"/>
                      <w:szCs w:val="18"/>
                    </w:rPr>
                  </w:pPr>
                  <w:r>
                    <w:rPr>
                      <w:rFonts w:cs="Times New Roman"/>
                      <w:sz w:val="18"/>
                      <w:szCs w:val="18"/>
                    </w:rPr>
                    <w:t>液体</w:t>
                  </w:r>
                </w:p>
              </w:tc>
              <w:tc>
                <w:tcPr>
                  <w:tcW w:w="996" w:type="dxa"/>
                  <w:tcBorders>
                    <w:top w:val="single" w:sz="4" w:space="0" w:color="auto"/>
                    <w:left w:val="single" w:sz="4" w:space="0" w:color="auto"/>
                    <w:bottom w:val="single" w:sz="4" w:space="0" w:color="auto"/>
                    <w:right w:val="single" w:sz="4" w:space="0" w:color="auto"/>
                  </w:tcBorders>
                  <w:vAlign w:val="center"/>
                </w:tcPr>
                <w:p w14:paraId="2DD8D734" w14:textId="77777777" w:rsidR="00F76A63" w:rsidRDefault="00000000">
                  <w:pPr>
                    <w:pStyle w:val="affff8"/>
                    <w:rPr>
                      <w:rFonts w:cs="Times New Roman"/>
                      <w:sz w:val="18"/>
                      <w:szCs w:val="18"/>
                    </w:rPr>
                  </w:pPr>
                  <w:r>
                    <w:rPr>
                      <w:rFonts w:cs="Times New Roman"/>
                      <w:sz w:val="18"/>
                      <w:szCs w:val="18"/>
                    </w:rPr>
                    <w:t>润滑油</w:t>
                  </w:r>
                </w:p>
              </w:tc>
              <w:tc>
                <w:tcPr>
                  <w:tcW w:w="1236" w:type="dxa"/>
                  <w:tcBorders>
                    <w:top w:val="single" w:sz="4" w:space="0" w:color="auto"/>
                    <w:left w:val="single" w:sz="4" w:space="0" w:color="auto"/>
                    <w:bottom w:val="single" w:sz="4" w:space="0" w:color="auto"/>
                    <w:right w:val="single" w:sz="4" w:space="0" w:color="auto"/>
                  </w:tcBorders>
                  <w:vAlign w:val="center"/>
                </w:tcPr>
                <w:p w14:paraId="72C4A654" w14:textId="77777777" w:rsidR="00F76A63" w:rsidRDefault="00000000">
                  <w:pPr>
                    <w:pStyle w:val="affff8"/>
                    <w:rPr>
                      <w:rFonts w:cs="Times New Roman"/>
                      <w:sz w:val="18"/>
                      <w:szCs w:val="18"/>
                    </w:rPr>
                  </w:pPr>
                  <w:r>
                    <w:rPr>
                      <w:rFonts w:cs="Times New Roman"/>
                      <w:sz w:val="18"/>
                      <w:szCs w:val="18"/>
                    </w:rPr>
                    <w:t>HW08(900-249-08)</w:t>
                  </w:r>
                </w:p>
              </w:tc>
              <w:tc>
                <w:tcPr>
                  <w:tcW w:w="1036" w:type="dxa"/>
                  <w:tcBorders>
                    <w:top w:val="single" w:sz="4" w:space="0" w:color="auto"/>
                    <w:left w:val="single" w:sz="4" w:space="0" w:color="auto"/>
                    <w:bottom w:val="single" w:sz="4" w:space="0" w:color="auto"/>
                    <w:right w:val="single" w:sz="4" w:space="0" w:color="auto"/>
                  </w:tcBorders>
                  <w:vAlign w:val="center"/>
                </w:tcPr>
                <w:p w14:paraId="7D2DC672" w14:textId="77777777" w:rsidR="00F76A63" w:rsidRDefault="00000000">
                  <w:pPr>
                    <w:pStyle w:val="affff8"/>
                    <w:rPr>
                      <w:rFonts w:cs="Times New Roman"/>
                      <w:sz w:val="18"/>
                      <w:szCs w:val="18"/>
                    </w:rPr>
                  </w:pPr>
                  <w:r>
                    <w:rPr>
                      <w:rFonts w:cs="Times New Roman" w:hint="eastAsia"/>
                      <w:sz w:val="18"/>
                      <w:szCs w:val="18"/>
                    </w:rPr>
                    <w:t>0.84</w:t>
                  </w:r>
                </w:p>
              </w:tc>
              <w:tc>
                <w:tcPr>
                  <w:tcW w:w="823" w:type="dxa"/>
                  <w:vMerge w:val="restart"/>
                  <w:tcBorders>
                    <w:top w:val="single" w:sz="4" w:space="0" w:color="auto"/>
                    <w:left w:val="single" w:sz="4" w:space="0" w:color="auto"/>
                    <w:right w:val="nil"/>
                  </w:tcBorders>
                  <w:vAlign w:val="center"/>
                </w:tcPr>
                <w:p w14:paraId="6022ECD6" w14:textId="77777777" w:rsidR="00F76A63" w:rsidRDefault="00000000">
                  <w:pPr>
                    <w:pStyle w:val="affff8"/>
                    <w:rPr>
                      <w:rFonts w:cs="Times New Roman"/>
                      <w:sz w:val="18"/>
                      <w:szCs w:val="18"/>
                    </w:rPr>
                  </w:pPr>
                  <w:r>
                    <w:rPr>
                      <w:rFonts w:cs="Times New Roman"/>
                      <w:sz w:val="18"/>
                      <w:szCs w:val="18"/>
                    </w:rPr>
                    <w:t>委托处置</w:t>
                  </w:r>
                </w:p>
              </w:tc>
            </w:tr>
            <w:tr w:rsidR="00F76A63" w14:paraId="786469AC" w14:textId="77777777">
              <w:trPr>
                <w:cantSplit/>
                <w:trHeight w:val="340"/>
                <w:jc w:val="center"/>
              </w:trPr>
              <w:tc>
                <w:tcPr>
                  <w:tcW w:w="436" w:type="dxa"/>
                  <w:tcBorders>
                    <w:top w:val="single" w:sz="4" w:space="0" w:color="auto"/>
                    <w:left w:val="nil"/>
                    <w:bottom w:val="single" w:sz="4" w:space="0" w:color="auto"/>
                    <w:right w:val="single" w:sz="4" w:space="0" w:color="auto"/>
                  </w:tcBorders>
                  <w:vAlign w:val="center"/>
                </w:tcPr>
                <w:p w14:paraId="00452B0B" w14:textId="77777777" w:rsidR="00F76A63" w:rsidRDefault="00000000">
                  <w:pPr>
                    <w:pStyle w:val="affff8"/>
                    <w:rPr>
                      <w:rFonts w:cs="Times New Roman"/>
                      <w:sz w:val="18"/>
                      <w:szCs w:val="18"/>
                    </w:rPr>
                  </w:pPr>
                  <w:r>
                    <w:rPr>
                      <w:rFonts w:cs="Times New Roman"/>
                      <w:sz w:val="18"/>
                      <w:szCs w:val="18"/>
                    </w:rPr>
                    <w:t>3</w:t>
                  </w:r>
                </w:p>
              </w:tc>
              <w:tc>
                <w:tcPr>
                  <w:tcW w:w="1115" w:type="dxa"/>
                  <w:tcBorders>
                    <w:top w:val="single" w:sz="4" w:space="0" w:color="auto"/>
                    <w:left w:val="single" w:sz="4" w:space="0" w:color="auto"/>
                    <w:bottom w:val="single" w:sz="4" w:space="0" w:color="auto"/>
                    <w:right w:val="single" w:sz="4" w:space="0" w:color="auto"/>
                  </w:tcBorders>
                  <w:vAlign w:val="center"/>
                </w:tcPr>
                <w:p w14:paraId="7890E9EF" w14:textId="77777777" w:rsidR="00F76A63" w:rsidRDefault="00000000">
                  <w:pPr>
                    <w:pStyle w:val="affff8"/>
                    <w:rPr>
                      <w:rFonts w:cs="Times New Roman"/>
                      <w:sz w:val="18"/>
                      <w:szCs w:val="18"/>
                    </w:rPr>
                  </w:pPr>
                  <w:r>
                    <w:rPr>
                      <w:rFonts w:cs="Times New Roman"/>
                      <w:sz w:val="18"/>
                      <w:szCs w:val="18"/>
                    </w:rPr>
                    <w:t>废油桶</w:t>
                  </w:r>
                </w:p>
              </w:tc>
              <w:tc>
                <w:tcPr>
                  <w:tcW w:w="738" w:type="dxa"/>
                  <w:vMerge/>
                  <w:tcBorders>
                    <w:left w:val="single" w:sz="4" w:space="0" w:color="auto"/>
                    <w:right w:val="single" w:sz="4" w:space="0" w:color="auto"/>
                  </w:tcBorders>
                  <w:vAlign w:val="center"/>
                </w:tcPr>
                <w:p w14:paraId="6A6B64B8" w14:textId="77777777" w:rsidR="00F76A63" w:rsidRDefault="00F76A63">
                  <w:pPr>
                    <w:pStyle w:val="affff8"/>
                    <w:rPr>
                      <w:rFonts w:cs="Times New Roman"/>
                      <w:sz w:val="18"/>
                      <w:szCs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3503C87A" w14:textId="77777777" w:rsidR="00F76A63" w:rsidRDefault="00000000">
                  <w:pPr>
                    <w:pStyle w:val="affff8"/>
                    <w:rPr>
                      <w:rFonts w:cs="Times New Roman"/>
                      <w:sz w:val="18"/>
                      <w:szCs w:val="18"/>
                    </w:rPr>
                  </w:pPr>
                  <w:r>
                    <w:rPr>
                      <w:rFonts w:cs="Times New Roman"/>
                      <w:sz w:val="18"/>
                      <w:szCs w:val="18"/>
                    </w:rPr>
                    <w:t>设备润滑油容器</w:t>
                  </w:r>
                </w:p>
              </w:tc>
              <w:tc>
                <w:tcPr>
                  <w:tcW w:w="721" w:type="dxa"/>
                  <w:tcBorders>
                    <w:top w:val="single" w:sz="4" w:space="0" w:color="auto"/>
                    <w:left w:val="single" w:sz="4" w:space="0" w:color="auto"/>
                    <w:bottom w:val="single" w:sz="4" w:space="0" w:color="auto"/>
                    <w:right w:val="single" w:sz="4" w:space="0" w:color="auto"/>
                  </w:tcBorders>
                  <w:vAlign w:val="center"/>
                </w:tcPr>
                <w:p w14:paraId="6D2EBDCB" w14:textId="77777777" w:rsidR="00F76A63" w:rsidRDefault="00000000">
                  <w:pPr>
                    <w:pStyle w:val="affff8"/>
                    <w:rPr>
                      <w:rFonts w:cs="Times New Roman"/>
                      <w:sz w:val="18"/>
                      <w:szCs w:val="18"/>
                    </w:rPr>
                  </w:pPr>
                  <w:r>
                    <w:rPr>
                      <w:rFonts w:cs="Times New Roman"/>
                      <w:sz w:val="18"/>
                      <w:szCs w:val="18"/>
                    </w:rPr>
                    <w:t>固态</w:t>
                  </w:r>
                </w:p>
              </w:tc>
              <w:tc>
                <w:tcPr>
                  <w:tcW w:w="996" w:type="dxa"/>
                  <w:tcBorders>
                    <w:top w:val="single" w:sz="4" w:space="0" w:color="auto"/>
                    <w:left w:val="single" w:sz="4" w:space="0" w:color="auto"/>
                    <w:bottom w:val="single" w:sz="4" w:space="0" w:color="auto"/>
                    <w:right w:val="single" w:sz="4" w:space="0" w:color="auto"/>
                  </w:tcBorders>
                  <w:vAlign w:val="center"/>
                </w:tcPr>
                <w:p w14:paraId="35340DE8" w14:textId="77777777" w:rsidR="00F76A63" w:rsidRDefault="00000000">
                  <w:pPr>
                    <w:pStyle w:val="affff8"/>
                    <w:rPr>
                      <w:rFonts w:cs="Times New Roman"/>
                      <w:sz w:val="18"/>
                      <w:szCs w:val="18"/>
                    </w:rPr>
                  </w:pPr>
                  <w:r>
                    <w:rPr>
                      <w:rFonts w:cs="Times New Roman"/>
                      <w:sz w:val="18"/>
                      <w:szCs w:val="18"/>
                    </w:rPr>
                    <w:t>润滑油、铁等</w:t>
                  </w:r>
                </w:p>
              </w:tc>
              <w:tc>
                <w:tcPr>
                  <w:tcW w:w="1236" w:type="dxa"/>
                  <w:tcBorders>
                    <w:top w:val="single" w:sz="4" w:space="0" w:color="auto"/>
                    <w:left w:val="single" w:sz="4" w:space="0" w:color="auto"/>
                    <w:bottom w:val="single" w:sz="4" w:space="0" w:color="auto"/>
                    <w:right w:val="single" w:sz="4" w:space="0" w:color="auto"/>
                  </w:tcBorders>
                  <w:vAlign w:val="center"/>
                </w:tcPr>
                <w:p w14:paraId="29064C2F" w14:textId="77777777" w:rsidR="00F76A63" w:rsidRDefault="00000000">
                  <w:pPr>
                    <w:pStyle w:val="affff8"/>
                    <w:rPr>
                      <w:rFonts w:cs="Times New Roman"/>
                      <w:sz w:val="18"/>
                      <w:szCs w:val="18"/>
                    </w:rPr>
                  </w:pPr>
                  <w:r>
                    <w:rPr>
                      <w:rFonts w:cs="Times New Roman"/>
                      <w:sz w:val="18"/>
                      <w:szCs w:val="18"/>
                    </w:rPr>
                    <w:t>HW08(900-249-08)</w:t>
                  </w:r>
                </w:p>
              </w:tc>
              <w:tc>
                <w:tcPr>
                  <w:tcW w:w="1036" w:type="dxa"/>
                  <w:tcBorders>
                    <w:top w:val="single" w:sz="4" w:space="0" w:color="auto"/>
                    <w:left w:val="single" w:sz="4" w:space="0" w:color="auto"/>
                    <w:bottom w:val="single" w:sz="4" w:space="0" w:color="auto"/>
                    <w:right w:val="single" w:sz="4" w:space="0" w:color="auto"/>
                  </w:tcBorders>
                  <w:vAlign w:val="center"/>
                </w:tcPr>
                <w:p w14:paraId="71A564D0" w14:textId="77777777" w:rsidR="00F76A63" w:rsidRDefault="00000000">
                  <w:pPr>
                    <w:pStyle w:val="affff8"/>
                    <w:rPr>
                      <w:rFonts w:cs="Times New Roman"/>
                      <w:sz w:val="18"/>
                      <w:szCs w:val="18"/>
                    </w:rPr>
                  </w:pPr>
                  <w:r>
                    <w:rPr>
                      <w:rFonts w:cs="Times New Roman" w:hint="eastAsia"/>
                      <w:sz w:val="18"/>
                      <w:szCs w:val="18"/>
                    </w:rPr>
                    <w:t>2.73</w:t>
                  </w:r>
                </w:p>
              </w:tc>
              <w:tc>
                <w:tcPr>
                  <w:tcW w:w="823" w:type="dxa"/>
                  <w:vMerge/>
                  <w:tcBorders>
                    <w:left w:val="single" w:sz="4" w:space="0" w:color="auto"/>
                    <w:right w:val="nil"/>
                  </w:tcBorders>
                  <w:vAlign w:val="center"/>
                </w:tcPr>
                <w:p w14:paraId="7119732D" w14:textId="77777777" w:rsidR="00F76A63" w:rsidRDefault="00F76A63">
                  <w:pPr>
                    <w:pStyle w:val="affff8"/>
                    <w:rPr>
                      <w:rFonts w:cs="Times New Roman"/>
                      <w:sz w:val="18"/>
                      <w:szCs w:val="18"/>
                    </w:rPr>
                  </w:pPr>
                </w:p>
              </w:tc>
            </w:tr>
            <w:tr w:rsidR="00F76A63" w14:paraId="04F644A9" w14:textId="77777777">
              <w:trPr>
                <w:cantSplit/>
                <w:trHeight w:val="340"/>
                <w:jc w:val="center"/>
              </w:trPr>
              <w:tc>
                <w:tcPr>
                  <w:tcW w:w="436" w:type="dxa"/>
                  <w:tcBorders>
                    <w:top w:val="single" w:sz="4" w:space="0" w:color="auto"/>
                    <w:left w:val="nil"/>
                    <w:bottom w:val="single" w:sz="4" w:space="0" w:color="auto"/>
                    <w:right w:val="single" w:sz="4" w:space="0" w:color="auto"/>
                  </w:tcBorders>
                  <w:vAlign w:val="center"/>
                </w:tcPr>
                <w:p w14:paraId="3F36F414" w14:textId="77777777" w:rsidR="00F76A63" w:rsidRDefault="00000000">
                  <w:pPr>
                    <w:pStyle w:val="affff8"/>
                    <w:rPr>
                      <w:rFonts w:cs="Times New Roman"/>
                      <w:sz w:val="18"/>
                      <w:szCs w:val="18"/>
                    </w:rPr>
                  </w:pPr>
                  <w:r>
                    <w:rPr>
                      <w:rFonts w:cs="Times New Roman"/>
                      <w:sz w:val="18"/>
                      <w:szCs w:val="18"/>
                    </w:rPr>
                    <w:t>4</w:t>
                  </w:r>
                </w:p>
              </w:tc>
              <w:tc>
                <w:tcPr>
                  <w:tcW w:w="1115" w:type="dxa"/>
                  <w:tcBorders>
                    <w:top w:val="single" w:sz="4" w:space="0" w:color="auto"/>
                    <w:left w:val="single" w:sz="4" w:space="0" w:color="auto"/>
                    <w:bottom w:val="single" w:sz="4" w:space="0" w:color="auto"/>
                    <w:right w:val="single" w:sz="4" w:space="0" w:color="auto"/>
                  </w:tcBorders>
                  <w:vAlign w:val="center"/>
                </w:tcPr>
                <w:p w14:paraId="3A3E8233" w14:textId="77777777" w:rsidR="00F76A63" w:rsidRDefault="00000000">
                  <w:pPr>
                    <w:pStyle w:val="affff8"/>
                    <w:rPr>
                      <w:rFonts w:cs="Times New Roman"/>
                      <w:sz w:val="18"/>
                      <w:szCs w:val="18"/>
                    </w:rPr>
                  </w:pPr>
                  <w:r>
                    <w:rPr>
                      <w:rFonts w:cs="Times New Roman"/>
                      <w:sz w:val="18"/>
                      <w:szCs w:val="18"/>
                    </w:rPr>
                    <w:t>油漆桶</w:t>
                  </w:r>
                </w:p>
              </w:tc>
              <w:tc>
                <w:tcPr>
                  <w:tcW w:w="738" w:type="dxa"/>
                  <w:vMerge/>
                  <w:tcBorders>
                    <w:left w:val="single" w:sz="4" w:space="0" w:color="auto"/>
                    <w:right w:val="single" w:sz="4" w:space="0" w:color="auto"/>
                  </w:tcBorders>
                  <w:vAlign w:val="center"/>
                </w:tcPr>
                <w:p w14:paraId="0B15BDB1" w14:textId="77777777" w:rsidR="00F76A63" w:rsidRDefault="00F76A63">
                  <w:pPr>
                    <w:pStyle w:val="affff8"/>
                    <w:rPr>
                      <w:rFonts w:cs="Times New Roman"/>
                      <w:sz w:val="18"/>
                      <w:szCs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5C1AD6A3" w14:textId="77777777" w:rsidR="00F76A63" w:rsidRDefault="00000000">
                  <w:pPr>
                    <w:pStyle w:val="affff8"/>
                    <w:rPr>
                      <w:rFonts w:cs="Times New Roman"/>
                      <w:sz w:val="18"/>
                      <w:szCs w:val="18"/>
                    </w:rPr>
                  </w:pPr>
                  <w:r>
                    <w:rPr>
                      <w:rFonts w:cs="Times New Roman"/>
                      <w:sz w:val="18"/>
                      <w:szCs w:val="18"/>
                    </w:rPr>
                    <w:t>设备出新</w:t>
                  </w:r>
                </w:p>
              </w:tc>
              <w:tc>
                <w:tcPr>
                  <w:tcW w:w="721" w:type="dxa"/>
                  <w:tcBorders>
                    <w:top w:val="single" w:sz="4" w:space="0" w:color="auto"/>
                    <w:left w:val="single" w:sz="4" w:space="0" w:color="auto"/>
                    <w:bottom w:val="single" w:sz="4" w:space="0" w:color="auto"/>
                    <w:right w:val="single" w:sz="4" w:space="0" w:color="auto"/>
                  </w:tcBorders>
                  <w:vAlign w:val="center"/>
                </w:tcPr>
                <w:p w14:paraId="0CA912EB" w14:textId="77777777" w:rsidR="00F76A63" w:rsidRDefault="00000000">
                  <w:pPr>
                    <w:pStyle w:val="affff8"/>
                    <w:rPr>
                      <w:rFonts w:cs="Times New Roman"/>
                      <w:sz w:val="18"/>
                      <w:szCs w:val="18"/>
                    </w:rPr>
                  </w:pPr>
                  <w:r>
                    <w:rPr>
                      <w:rFonts w:cs="Times New Roman"/>
                      <w:sz w:val="18"/>
                      <w:szCs w:val="18"/>
                    </w:rPr>
                    <w:t>固态</w:t>
                  </w:r>
                </w:p>
              </w:tc>
              <w:tc>
                <w:tcPr>
                  <w:tcW w:w="996" w:type="dxa"/>
                  <w:tcBorders>
                    <w:top w:val="single" w:sz="4" w:space="0" w:color="auto"/>
                    <w:left w:val="single" w:sz="4" w:space="0" w:color="auto"/>
                    <w:bottom w:val="single" w:sz="4" w:space="0" w:color="auto"/>
                    <w:right w:val="single" w:sz="4" w:space="0" w:color="auto"/>
                  </w:tcBorders>
                  <w:vAlign w:val="center"/>
                </w:tcPr>
                <w:p w14:paraId="4D4783D5" w14:textId="77777777" w:rsidR="00F76A63" w:rsidRDefault="00000000">
                  <w:pPr>
                    <w:pStyle w:val="affff8"/>
                    <w:rPr>
                      <w:rFonts w:cs="Times New Roman"/>
                      <w:sz w:val="18"/>
                      <w:szCs w:val="18"/>
                    </w:rPr>
                  </w:pPr>
                  <w:r>
                    <w:rPr>
                      <w:rFonts w:cs="Times New Roman"/>
                      <w:sz w:val="18"/>
                      <w:szCs w:val="18"/>
                    </w:rPr>
                    <w:t>油漆、铁等</w:t>
                  </w:r>
                </w:p>
              </w:tc>
              <w:tc>
                <w:tcPr>
                  <w:tcW w:w="1236" w:type="dxa"/>
                  <w:tcBorders>
                    <w:top w:val="single" w:sz="4" w:space="0" w:color="auto"/>
                    <w:left w:val="single" w:sz="4" w:space="0" w:color="auto"/>
                    <w:bottom w:val="single" w:sz="4" w:space="0" w:color="auto"/>
                    <w:right w:val="single" w:sz="4" w:space="0" w:color="auto"/>
                  </w:tcBorders>
                  <w:vAlign w:val="center"/>
                </w:tcPr>
                <w:p w14:paraId="4B9960A3" w14:textId="77777777" w:rsidR="00F76A63" w:rsidRDefault="00000000">
                  <w:pPr>
                    <w:pStyle w:val="affff8"/>
                    <w:rPr>
                      <w:rFonts w:cs="Times New Roman"/>
                      <w:sz w:val="18"/>
                      <w:szCs w:val="18"/>
                    </w:rPr>
                  </w:pPr>
                  <w:r>
                    <w:rPr>
                      <w:rFonts w:cs="Times New Roman"/>
                      <w:sz w:val="18"/>
                      <w:szCs w:val="18"/>
                    </w:rPr>
                    <w:t>HW49(900-041-49)</w:t>
                  </w:r>
                </w:p>
              </w:tc>
              <w:tc>
                <w:tcPr>
                  <w:tcW w:w="1036" w:type="dxa"/>
                  <w:tcBorders>
                    <w:top w:val="single" w:sz="4" w:space="0" w:color="auto"/>
                    <w:left w:val="single" w:sz="4" w:space="0" w:color="auto"/>
                    <w:bottom w:val="single" w:sz="4" w:space="0" w:color="auto"/>
                    <w:right w:val="single" w:sz="4" w:space="0" w:color="auto"/>
                  </w:tcBorders>
                  <w:vAlign w:val="center"/>
                </w:tcPr>
                <w:p w14:paraId="561D3A62" w14:textId="77777777" w:rsidR="00F76A63" w:rsidRDefault="00000000">
                  <w:pPr>
                    <w:pStyle w:val="affff8"/>
                    <w:rPr>
                      <w:rFonts w:cs="Times New Roman"/>
                      <w:sz w:val="18"/>
                      <w:szCs w:val="18"/>
                    </w:rPr>
                  </w:pPr>
                  <w:r>
                    <w:rPr>
                      <w:rFonts w:cs="Times New Roman" w:hint="eastAsia"/>
                      <w:sz w:val="18"/>
                      <w:szCs w:val="18"/>
                    </w:rPr>
                    <w:t>0.31</w:t>
                  </w:r>
                </w:p>
              </w:tc>
              <w:tc>
                <w:tcPr>
                  <w:tcW w:w="823" w:type="dxa"/>
                  <w:vMerge/>
                  <w:tcBorders>
                    <w:left w:val="single" w:sz="4" w:space="0" w:color="auto"/>
                    <w:right w:val="nil"/>
                  </w:tcBorders>
                  <w:vAlign w:val="center"/>
                </w:tcPr>
                <w:p w14:paraId="3A55B464" w14:textId="77777777" w:rsidR="00F76A63" w:rsidRDefault="00F76A63">
                  <w:pPr>
                    <w:pStyle w:val="affff8"/>
                    <w:rPr>
                      <w:rFonts w:cs="Times New Roman"/>
                      <w:sz w:val="18"/>
                      <w:szCs w:val="18"/>
                    </w:rPr>
                  </w:pPr>
                </w:p>
              </w:tc>
            </w:tr>
            <w:tr w:rsidR="00F76A63" w14:paraId="20845142" w14:textId="77777777">
              <w:trPr>
                <w:cantSplit/>
                <w:trHeight w:val="340"/>
                <w:jc w:val="center"/>
              </w:trPr>
              <w:tc>
                <w:tcPr>
                  <w:tcW w:w="436" w:type="dxa"/>
                  <w:tcBorders>
                    <w:top w:val="single" w:sz="4" w:space="0" w:color="auto"/>
                    <w:left w:val="nil"/>
                    <w:bottom w:val="single" w:sz="4" w:space="0" w:color="auto"/>
                    <w:right w:val="single" w:sz="4" w:space="0" w:color="auto"/>
                  </w:tcBorders>
                  <w:vAlign w:val="center"/>
                </w:tcPr>
                <w:p w14:paraId="76B4C32F" w14:textId="77777777" w:rsidR="00F76A63" w:rsidRDefault="00000000">
                  <w:pPr>
                    <w:pStyle w:val="affff8"/>
                    <w:rPr>
                      <w:rFonts w:cs="Times New Roman"/>
                      <w:sz w:val="18"/>
                      <w:szCs w:val="18"/>
                    </w:rPr>
                  </w:pPr>
                  <w:r>
                    <w:rPr>
                      <w:rFonts w:cs="Times New Roman"/>
                      <w:sz w:val="18"/>
                      <w:szCs w:val="18"/>
                    </w:rPr>
                    <w:t>5</w:t>
                  </w:r>
                </w:p>
              </w:tc>
              <w:tc>
                <w:tcPr>
                  <w:tcW w:w="1115" w:type="dxa"/>
                  <w:tcBorders>
                    <w:top w:val="single" w:sz="4" w:space="0" w:color="auto"/>
                    <w:left w:val="single" w:sz="4" w:space="0" w:color="auto"/>
                    <w:bottom w:val="single" w:sz="4" w:space="0" w:color="auto"/>
                    <w:right w:val="single" w:sz="4" w:space="0" w:color="auto"/>
                  </w:tcBorders>
                  <w:vAlign w:val="center"/>
                </w:tcPr>
                <w:p w14:paraId="0FB0E055" w14:textId="77777777" w:rsidR="00F76A63" w:rsidRDefault="00000000">
                  <w:pPr>
                    <w:pStyle w:val="affff8"/>
                    <w:rPr>
                      <w:rFonts w:cs="Times New Roman"/>
                      <w:sz w:val="18"/>
                      <w:szCs w:val="18"/>
                    </w:rPr>
                  </w:pPr>
                  <w:r>
                    <w:rPr>
                      <w:rFonts w:cs="Times New Roman"/>
                      <w:sz w:val="18"/>
                      <w:szCs w:val="18"/>
                    </w:rPr>
                    <w:t>废机滤</w:t>
                  </w:r>
                </w:p>
              </w:tc>
              <w:tc>
                <w:tcPr>
                  <w:tcW w:w="738" w:type="dxa"/>
                  <w:vMerge/>
                  <w:tcBorders>
                    <w:left w:val="single" w:sz="4" w:space="0" w:color="auto"/>
                    <w:right w:val="single" w:sz="4" w:space="0" w:color="auto"/>
                  </w:tcBorders>
                  <w:vAlign w:val="center"/>
                </w:tcPr>
                <w:p w14:paraId="0F9AD2E8" w14:textId="77777777" w:rsidR="00F76A63" w:rsidRDefault="00F76A63">
                  <w:pPr>
                    <w:pStyle w:val="affff8"/>
                    <w:rPr>
                      <w:rFonts w:cs="Times New Roman"/>
                      <w:sz w:val="18"/>
                      <w:szCs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4199C055" w14:textId="77777777" w:rsidR="00F76A63" w:rsidRDefault="00000000">
                  <w:pPr>
                    <w:pStyle w:val="affff8"/>
                    <w:rPr>
                      <w:rFonts w:cs="Times New Roman"/>
                      <w:sz w:val="18"/>
                      <w:szCs w:val="18"/>
                    </w:rPr>
                  </w:pPr>
                  <w:r>
                    <w:rPr>
                      <w:rFonts w:cs="Times New Roman"/>
                      <w:sz w:val="18"/>
                      <w:szCs w:val="18"/>
                    </w:rPr>
                    <w:t>设备润滑油过滤</w:t>
                  </w:r>
                </w:p>
              </w:tc>
              <w:tc>
                <w:tcPr>
                  <w:tcW w:w="721" w:type="dxa"/>
                  <w:tcBorders>
                    <w:top w:val="single" w:sz="4" w:space="0" w:color="auto"/>
                    <w:left w:val="single" w:sz="4" w:space="0" w:color="auto"/>
                    <w:bottom w:val="single" w:sz="4" w:space="0" w:color="auto"/>
                    <w:right w:val="single" w:sz="4" w:space="0" w:color="auto"/>
                  </w:tcBorders>
                  <w:vAlign w:val="center"/>
                </w:tcPr>
                <w:p w14:paraId="4274639B" w14:textId="77777777" w:rsidR="00F76A63" w:rsidRDefault="00000000">
                  <w:pPr>
                    <w:pStyle w:val="affff8"/>
                    <w:rPr>
                      <w:rFonts w:cs="Times New Roman"/>
                      <w:sz w:val="18"/>
                      <w:szCs w:val="18"/>
                    </w:rPr>
                  </w:pPr>
                  <w:r>
                    <w:rPr>
                      <w:rFonts w:cs="Times New Roman"/>
                      <w:sz w:val="18"/>
                      <w:szCs w:val="18"/>
                    </w:rPr>
                    <w:t>固态</w:t>
                  </w:r>
                </w:p>
              </w:tc>
              <w:tc>
                <w:tcPr>
                  <w:tcW w:w="996" w:type="dxa"/>
                  <w:tcBorders>
                    <w:top w:val="single" w:sz="4" w:space="0" w:color="auto"/>
                    <w:left w:val="single" w:sz="4" w:space="0" w:color="auto"/>
                    <w:bottom w:val="single" w:sz="4" w:space="0" w:color="auto"/>
                    <w:right w:val="single" w:sz="4" w:space="0" w:color="auto"/>
                  </w:tcBorders>
                  <w:vAlign w:val="center"/>
                </w:tcPr>
                <w:p w14:paraId="061E0C47" w14:textId="77777777" w:rsidR="00F76A63" w:rsidRDefault="00000000">
                  <w:pPr>
                    <w:pStyle w:val="affff8"/>
                    <w:rPr>
                      <w:rFonts w:cs="Times New Roman"/>
                      <w:sz w:val="18"/>
                      <w:szCs w:val="18"/>
                    </w:rPr>
                  </w:pPr>
                  <w:r>
                    <w:rPr>
                      <w:rFonts w:cs="Times New Roman"/>
                      <w:sz w:val="18"/>
                      <w:szCs w:val="18"/>
                    </w:rPr>
                    <w:t>PP</w:t>
                  </w:r>
                  <w:r>
                    <w:rPr>
                      <w:rFonts w:cs="Times New Roman"/>
                      <w:sz w:val="18"/>
                      <w:szCs w:val="18"/>
                    </w:rPr>
                    <w:t>棉、金属</w:t>
                  </w:r>
                </w:p>
              </w:tc>
              <w:tc>
                <w:tcPr>
                  <w:tcW w:w="1236" w:type="dxa"/>
                  <w:tcBorders>
                    <w:top w:val="single" w:sz="4" w:space="0" w:color="auto"/>
                    <w:left w:val="single" w:sz="4" w:space="0" w:color="auto"/>
                    <w:bottom w:val="single" w:sz="4" w:space="0" w:color="auto"/>
                    <w:right w:val="single" w:sz="4" w:space="0" w:color="auto"/>
                  </w:tcBorders>
                  <w:vAlign w:val="center"/>
                </w:tcPr>
                <w:p w14:paraId="49C9A089" w14:textId="77777777" w:rsidR="00F76A63" w:rsidRDefault="00000000">
                  <w:pPr>
                    <w:pStyle w:val="affff8"/>
                    <w:rPr>
                      <w:rFonts w:cs="Times New Roman"/>
                      <w:sz w:val="18"/>
                      <w:szCs w:val="18"/>
                    </w:rPr>
                  </w:pPr>
                  <w:r>
                    <w:rPr>
                      <w:rFonts w:cs="Times New Roman"/>
                      <w:sz w:val="18"/>
                      <w:szCs w:val="18"/>
                    </w:rPr>
                    <w:t>HW49(900-041-49)</w:t>
                  </w:r>
                </w:p>
              </w:tc>
              <w:tc>
                <w:tcPr>
                  <w:tcW w:w="1036" w:type="dxa"/>
                  <w:tcBorders>
                    <w:top w:val="single" w:sz="4" w:space="0" w:color="auto"/>
                    <w:left w:val="single" w:sz="4" w:space="0" w:color="auto"/>
                    <w:bottom w:val="single" w:sz="4" w:space="0" w:color="auto"/>
                    <w:right w:val="single" w:sz="4" w:space="0" w:color="auto"/>
                  </w:tcBorders>
                  <w:vAlign w:val="center"/>
                </w:tcPr>
                <w:p w14:paraId="57209012" w14:textId="77777777" w:rsidR="00F76A63" w:rsidRDefault="00000000">
                  <w:pPr>
                    <w:pStyle w:val="affff8"/>
                    <w:rPr>
                      <w:rFonts w:cs="Times New Roman"/>
                      <w:sz w:val="18"/>
                      <w:szCs w:val="18"/>
                    </w:rPr>
                  </w:pPr>
                  <w:r>
                    <w:rPr>
                      <w:rFonts w:cs="Times New Roman" w:hint="eastAsia"/>
                      <w:sz w:val="18"/>
                      <w:szCs w:val="18"/>
                    </w:rPr>
                    <w:t>0.14</w:t>
                  </w:r>
                </w:p>
              </w:tc>
              <w:tc>
                <w:tcPr>
                  <w:tcW w:w="823" w:type="dxa"/>
                  <w:vMerge/>
                  <w:tcBorders>
                    <w:left w:val="single" w:sz="4" w:space="0" w:color="auto"/>
                    <w:right w:val="nil"/>
                  </w:tcBorders>
                  <w:vAlign w:val="center"/>
                </w:tcPr>
                <w:p w14:paraId="1743D663" w14:textId="77777777" w:rsidR="00F76A63" w:rsidRDefault="00F76A63">
                  <w:pPr>
                    <w:pStyle w:val="affff8"/>
                    <w:rPr>
                      <w:rFonts w:cs="Times New Roman"/>
                      <w:sz w:val="18"/>
                      <w:szCs w:val="18"/>
                    </w:rPr>
                  </w:pPr>
                </w:p>
              </w:tc>
            </w:tr>
            <w:tr w:rsidR="00F76A63" w14:paraId="7F282724" w14:textId="77777777">
              <w:trPr>
                <w:cantSplit/>
                <w:trHeight w:val="340"/>
                <w:jc w:val="center"/>
              </w:trPr>
              <w:tc>
                <w:tcPr>
                  <w:tcW w:w="436" w:type="dxa"/>
                  <w:tcBorders>
                    <w:top w:val="single" w:sz="4" w:space="0" w:color="auto"/>
                    <w:left w:val="nil"/>
                    <w:bottom w:val="single" w:sz="4" w:space="0" w:color="auto"/>
                    <w:right w:val="single" w:sz="4" w:space="0" w:color="auto"/>
                  </w:tcBorders>
                  <w:vAlign w:val="center"/>
                </w:tcPr>
                <w:p w14:paraId="0F2E1AC9" w14:textId="77777777" w:rsidR="00F76A63" w:rsidRDefault="00000000">
                  <w:pPr>
                    <w:pStyle w:val="affff8"/>
                    <w:rPr>
                      <w:rFonts w:cs="Times New Roman"/>
                      <w:sz w:val="18"/>
                      <w:szCs w:val="18"/>
                    </w:rPr>
                  </w:pPr>
                  <w:r>
                    <w:rPr>
                      <w:rFonts w:cs="Times New Roman"/>
                      <w:sz w:val="18"/>
                      <w:szCs w:val="18"/>
                    </w:rPr>
                    <w:t>6</w:t>
                  </w:r>
                </w:p>
              </w:tc>
              <w:tc>
                <w:tcPr>
                  <w:tcW w:w="1115" w:type="dxa"/>
                  <w:tcBorders>
                    <w:top w:val="single" w:sz="4" w:space="0" w:color="auto"/>
                    <w:left w:val="single" w:sz="4" w:space="0" w:color="auto"/>
                    <w:bottom w:val="single" w:sz="4" w:space="0" w:color="auto"/>
                    <w:right w:val="single" w:sz="4" w:space="0" w:color="auto"/>
                  </w:tcBorders>
                  <w:vAlign w:val="center"/>
                </w:tcPr>
                <w:p w14:paraId="76C64145" w14:textId="77777777" w:rsidR="00F76A63" w:rsidRDefault="00000000">
                  <w:pPr>
                    <w:pStyle w:val="affff8"/>
                    <w:rPr>
                      <w:rFonts w:cs="Times New Roman"/>
                      <w:sz w:val="18"/>
                      <w:szCs w:val="18"/>
                    </w:rPr>
                  </w:pPr>
                  <w:r>
                    <w:rPr>
                      <w:rFonts w:cs="Times New Roman"/>
                      <w:sz w:val="18"/>
                      <w:szCs w:val="18"/>
                    </w:rPr>
                    <w:t>废旧蓄电池</w:t>
                  </w:r>
                </w:p>
              </w:tc>
              <w:tc>
                <w:tcPr>
                  <w:tcW w:w="738" w:type="dxa"/>
                  <w:vMerge/>
                  <w:tcBorders>
                    <w:left w:val="single" w:sz="4" w:space="0" w:color="auto"/>
                    <w:right w:val="single" w:sz="4" w:space="0" w:color="auto"/>
                  </w:tcBorders>
                  <w:vAlign w:val="center"/>
                </w:tcPr>
                <w:p w14:paraId="2EC2F35F" w14:textId="77777777" w:rsidR="00F76A63" w:rsidRDefault="00F76A63">
                  <w:pPr>
                    <w:pStyle w:val="affff8"/>
                    <w:rPr>
                      <w:rFonts w:cs="Times New Roman"/>
                      <w:sz w:val="18"/>
                      <w:szCs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07FF4E5E" w14:textId="77777777" w:rsidR="00F76A63" w:rsidRDefault="00000000">
                  <w:pPr>
                    <w:pStyle w:val="affff8"/>
                    <w:rPr>
                      <w:rFonts w:cs="Times New Roman"/>
                      <w:sz w:val="18"/>
                      <w:szCs w:val="18"/>
                    </w:rPr>
                  </w:pPr>
                  <w:r>
                    <w:rPr>
                      <w:rFonts w:cs="Times New Roman"/>
                      <w:sz w:val="18"/>
                      <w:szCs w:val="18"/>
                    </w:rPr>
                    <w:t>设备辅助供电</w:t>
                  </w:r>
                </w:p>
              </w:tc>
              <w:tc>
                <w:tcPr>
                  <w:tcW w:w="721" w:type="dxa"/>
                  <w:tcBorders>
                    <w:top w:val="single" w:sz="4" w:space="0" w:color="auto"/>
                    <w:left w:val="single" w:sz="4" w:space="0" w:color="auto"/>
                    <w:bottom w:val="single" w:sz="4" w:space="0" w:color="auto"/>
                    <w:right w:val="single" w:sz="4" w:space="0" w:color="auto"/>
                  </w:tcBorders>
                  <w:vAlign w:val="center"/>
                </w:tcPr>
                <w:p w14:paraId="686E313B" w14:textId="77777777" w:rsidR="00F76A63" w:rsidRDefault="00000000">
                  <w:pPr>
                    <w:pStyle w:val="affff8"/>
                    <w:rPr>
                      <w:rFonts w:cs="Times New Roman"/>
                      <w:sz w:val="18"/>
                      <w:szCs w:val="18"/>
                    </w:rPr>
                  </w:pPr>
                  <w:r>
                    <w:rPr>
                      <w:rFonts w:cs="Times New Roman"/>
                      <w:sz w:val="18"/>
                      <w:szCs w:val="18"/>
                    </w:rPr>
                    <w:t>固态</w:t>
                  </w:r>
                </w:p>
              </w:tc>
              <w:tc>
                <w:tcPr>
                  <w:tcW w:w="996" w:type="dxa"/>
                  <w:tcBorders>
                    <w:top w:val="single" w:sz="4" w:space="0" w:color="auto"/>
                    <w:left w:val="single" w:sz="4" w:space="0" w:color="auto"/>
                    <w:bottom w:val="single" w:sz="4" w:space="0" w:color="auto"/>
                    <w:right w:val="single" w:sz="4" w:space="0" w:color="auto"/>
                  </w:tcBorders>
                  <w:vAlign w:val="center"/>
                </w:tcPr>
                <w:p w14:paraId="66639067" w14:textId="77777777" w:rsidR="00F76A63" w:rsidRDefault="00000000">
                  <w:pPr>
                    <w:pStyle w:val="affff8"/>
                    <w:rPr>
                      <w:rFonts w:cs="Times New Roman"/>
                      <w:sz w:val="18"/>
                      <w:szCs w:val="18"/>
                    </w:rPr>
                  </w:pPr>
                  <w:r>
                    <w:rPr>
                      <w:rFonts w:cs="Times New Roman"/>
                      <w:sz w:val="18"/>
                      <w:szCs w:val="18"/>
                    </w:rPr>
                    <w:t>电池</w:t>
                  </w:r>
                </w:p>
              </w:tc>
              <w:tc>
                <w:tcPr>
                  <w:tcW w:w="1236" w:type="dxa"/>
                  <w:tcBorders>
                    <w:top w:val="single" w:sz="4" w:space="0" w:color="auto"/>
                    <w:left w:val="single" w:sz="4" w:space="0" w:color="auto"/>
                    <w:bottom w:val="single" w:sz="4" w:space="0" w:color="auto"/>
                    <w:right w:val="single" w:sz="4" w:space="0" w:color="auto"/>
                  </w:tcBorders>
                  <w:vAlign w:val="center"/>
                </w:tcPr>
                <w:p w14:paraId="14A7B5CF" w14:textId="77777777" w:rsidR="00F76A63" w:rsidRDefault="00000000">
                  <w:pPr>
                    <w:pStyle w:val="affff8"/>
                    <w:rPr>
                      <w:rFonts w:cs="Times New Roman"/>
                      <w:sz w:val="18"/>
                      <w:szCs w:val="18"/>
                    </w:rPr>
                  </w:pPr>
                  <w:r>
                    <w:rPr>
                      <w:rFonts w:cs="Times New Roman"/>
                      <w:sz w:val="18"/>
                      <w:szCs w:val="18"/>
                    </w:rPr>
                    <w:t>HW31(900-052-31)</w:t>
                  </w:r>
                </w:p>
              </w:tc>
              <w:tc>
                <w:tcPr>
                  <w:tcW w:w="1036" w:type="dxa"/>
                  <w:tcBorders>
                    <w:top w:val="single" w:sz="4" w:space="0" w:color="auto"/>
                    <w:left w:val="single" w:sz="4" w:space="0" w:color="auto"/>
                    <w:bottom w:val="single" w:sz="4" w:space="0" w:color="auto"/>
                    <w:right w:val="single" w:sz="4" w:space="0" w:color="auto"/>
                  </w:tcBorders>
                  <w:vAlign w:val="center"/>
                </w:tcPr>
                <w:p w14:paraId="00F67961" w14:textId="77777777" w:rsidR="00F76A63" w:rsidRDefault="00000000">
                  <w:pPr>
                    <w:pStyle w:val="affff8"/>
                    <w:rPr>
                      <w:rFonts w:cs="Times New Roman"/>
                      <w:sz w:val="18"/>
                      <w:szCs w:val="18"/>
                    </w:rPr>
                  </w:pPr>
                  <w:r>
                    <w:rPr>
                      <w:rFonts w:cs="Times New Roman" w:hint="eastAsia"/>
                      <w:sz w:val="18"/>
                      <w:szCs w:val="18"/>
                    </w:rPr>
                    <w:t>1.00</w:t>
                  </w:r>
                </w:p>
              </w:tc>
              <w:tc>
                <w:tcPr>
                  <w:tcW w:w="823" w:type="dxa"/>
                  <w:vMerge/>
                  <w:tcBorders>
                    <w:left w:val="single" w:sz="4" w:space="0" w:color="auto"/>
                    <w:right w:val="nil"/>
                  </w:tcBorders>
                  <w:vAlign w:val="center"/>
                </w:tcPr>
                <w:p w14:paraId="0A9B340A" w14:textId="77777777" w:rsidR="00F76A63" w:rsidRDefault="00F76A63">
                  <w:pPr>
                    <w:pStyle w:val="affff8"/>
                    <w:rPr>
                      <w:rFonts w:cs="Times New Roman"/>
                      <w:sz w:val="18"/>
                      <w:szCs w:val="18"/>
                    </w:rPr>
                  </w:pPr>
                </w:p>
              </w:tc>
            </w:tr>
            <w:tr w:rsidR="00F76A63" w14:paraId="600A4E82" w14:textId="77777777">
              <w:trPr>
                <w:cantSplit/>
                <w:trHeight w:val="340"/>
                <w:jc w:val="center"/>
              </w:trPr>
              <w:tc>
                <w:tcPr>
                  <w:tcW w:w="436" w:type="dxa"/>
                  <w:tcBorders>
                    <w:top w:val="single" w:sz="4" w:space="0" w:color="auto"/>
                    <w:left w:val="nil"/>
                    <w:bottom w:val="single" w:sz="4" w:space="0" w:color="auto"/>
                    <w:right w:val="single" w:sz="4" w:space="0" w:color="auto"/>
                  </w:tcBorders>
                  <w:vAlign w:val="center"/>
                </w:tcPr>
                <w:p w14:paraId="42728EAB" w14:textId="77777777" w:rsidR="00F76A63" w:rsidRDefault="00000000">
                  <w:pPr>
                    <w:pStyle w:val="affff8"/>
                    <w:rPr>
                      <w:rFonts w:cs="Times New Roman"/>
                      <w:sz w:val="18"/>
                      <w:szCs w:val="18"/>
                    </w:rPr>
                  </w:pPr>
                  <w:r>
                    <w:rPr>
                      <w:rFonts w:cs="Times New Roman"/>
                      <w:sz w:val="18"/>
                      <w:szCs w:val="18"/>
                    </w:rPr>
                    <w:t>7</w:t>
                  </w:r>
                </w:p>
              </w:tc>
              <w:tc>
                <w:tcPr>
                  <w:tcW w:w="1115" w:type="dxa"/>
                  <w:tcBorders>
                    <w:top w:val="single" w:sz="4" w:space="0" w:color="auto"/>
                    <w:left w:val="single" w:sz="4" w:space="0" w:color="auto"/>
                    <w:bottom w:val="single" w:sz="4" w:space="0" w:color="auto"/>
                    <w:right w:val="single" w:sz="4" w:space="0" w:color="auto"/>
                  </w:tcBorders>
                  <w:vAlign w:val="center"/>
                </w:tcPr>
                <w:p w14:paraId="3FD81EA5" w14:textId="77777777" w:rsidR="00F76A63" w:rsidRDefault="00000000">
                  <w:pPr>
                    <w:pStyle w:val="affff8"/>
                    <w:rPr>
                      <w:rFonts w:cs="Times New Roman"/>
                      <w:sz w:val="18"/>
                      <w:szCs w:val="18"/>
                    </w:rPr>
                  </w:pPr>
                  <w:r>
                    <w:rPr>
                      <w:rFonts w:cs="Times New Roman"/>
                      <w:sz w:val="18"/>
                      <w:szCs w:val="18"/>
                    </w:rPr>
                    <w:t>废钒钛系催化剂</w:t>
                  </w:r>
                </w:p>
              </w:tc>
              <w:tc>
                <w:tcPr>
                  <w:tcW w:w="738" w:type="dxa"/>
                  <w:vMerge/>
                  <w:tcBorders>
                    <w:left w:val="single" w:sz="4" w:space="0" w:color="auto"/>
                    <w:bottom w:val="single" w:sz="4" w:space="0" w:color="auto"/>
                    <w:right w:val="single" w:sz="4" w:space="0" w:color="auto"/>
                  </w:tcBorders>
                  <w:vAlign w:val="center"/>
                </w:tcPr>
                <w:p w14:paraId="611C88B1" w14:textId="77777777" w:rsidR="00F76A63" w:rsidRDefault="00F76A63">
                  <w:pPr>
                    <w:pStyle w:val="affff8"/>
                    <w:rPr>
                      <w:rFonts w:cs="Times New Roman"/>
                      <w:sz w:val="18"/>
                      <w:szCs w:val="18"/>
                    </w:rPr>
                  </w:pPr>
                </w:p>
              </w:tc>
              <w:tc>
                <w:tcPr>
                  <w:tcW w:w="1075" w:type="dxa"/>
                  <w:tcBorders>
                    <w:top w:val="single" w:sz="4" w:space="0" w:color="auto"/>
                    <w:left w:val="single" w:sz="4" w:space="0" w:color="auto"/>
                    <w:bottom w:val="single" w:sz="4" w:space="0" w:color="auto"/>
                    <w:right w:val="single" w:sz="4" w:space="0" w:color="auto"/>
                  </w:tcBorders>
                  <w:vAlign w:val="center"/>
                </w:tcPr>
                <w:p w14:paraId="1EB4C598" w14:textId="77777777" w:rsidR="00F76A63" w:rsidRDefault="00000000">
                  <w:pPr>
                    <w:pStyle w:val="affff8"/>
                    <w:rPr>
                      <w:rFonts w:cs="Times New Roman"/>
                      <w:sz w:val="18"/>
                      <w:szCs w:val="18"/>
                    </w:rPr>
                  </w:pPr>
                  <w:r>
                    <w:rPr>
                      <w:rFonts w:cs="Times New Roman"/>
                      <w:sz w:val="18"/>
                      <w:szCs w:val="18"/>
                    </w:rPr>
                    <w:t>SCR</w:t>
                  </w:r>
                  <w:r>
                    <w:rPr>
                      <w:rFonts w:cs="Times New Roman"/>
                      <w:sz w:val="18"/>
                      <w:szCs w:val="18"/>
                    </w:rPr>
                    <w:t>脱硝设施</w:t>
                  </w:r>
                </w:p>
              </w:tc>
              <w:tc>
                <w:tcPr>
                  <w:tcW w:w="721" w:type="dxa"/>
                  <w:tcBorders>
                    <w:top w:val="single" w:sz="4" w:space="0" w:color="auto"/>
                    <w:left w:val="single" w:sz="4" w:space="0" w:color="auto"/>
                    <w:bottom w:val="single" w:sz="4" w:space="0" w:color="auto"/>
                    <w:right w:val="single" w:sz="4" w:space="0" w:color="auto"/>
                  </w:tcBorders>
                  <w:vAlign w:val="center"/>
                </w:tcPr>
                <w:p w14:paraId="180D2326" w14:textId="77777777" w:rsidR="00F76A63" w:rsidRDefault="00000000">
                  <w:pPr>
                    <w:pStyle w:val="affff8"/>
                    <w:rPr>
                      <w:rFonts w:cs="Times New Roman"/>
                      <w:sz w:val="18"/>
                      <w:szCs w:val="18"/>
                    </w:rPr>
                  </w:pPr>
                  <w:r>
                    <w:rPr>
                      <w:rFonts w:cs="Times New Roman"/>
                      <w:sz w:val="18"/>
                      <w:szCs w:val="18"/>
                    </w:rPr>
                    <w:t>固态</w:t>
                  </w:r>
                </w:p>
              </w:tc>
              <w:tc>
                <w:tcPr>
                  <w:tcW w:w="996" w:type="dxa"/>
                  <w:tcBorders>
                    <w:top w:val="single" w:sz="4" w:space="0" w:color="auto"/>
                    <w:left w:val="single" w:sz="4" w:space="0" w:color="auto"/>
                    <w:bottom w:val="single" w:sz="4" w:space="0" w:color="auto"/>
                    <w:right w:val="single" w:sz="4" w:space="0" w:color="auto"/>
                  </w:tcBorders>
                  <w:vAlign w:val="center"/>
                </w:tcPr>
                <w:p w14:paraId="4B0A34DB" w14:textId="77777777" w:rsidR="00F76A63" w:rsidRDefault="00000000">
                  <w:pPr>
                    <w:pStyle w:val="affff8"/>
                    <w:rPr>
                      <w:rFonts w:cs="Times New Roman"/>
                      <w:sz w:val="18"/>
                      <w:szCs w:val="18"/>
                    </w:rPr>
                  </w:pPr>
                  <w:r>
                    <w:rPr>
                      <w:rFonts w:cs="Times New Roman"/>
                      <w:sz w:val="18"/>
                      <w:szCs w:val="18"/>
                    </w:rPr>
                    <w:t>钒钛</w:t>
                  </w:r>
                </w:p>
              </w:tc>
              <w:tc>
                <w:tcPr>
                  <w:tcW w:w="1236" w:type="dxa"/>
                  <w:tcBorders>
                    <w:top w:val="single" w:sz="4" w:space="0" w:color="auto"/>
                    <w:left w:val="single" w:sz="4" w:space="0" w:color="auto"/>
                    <w:bottom w:val="single" w:sz="4" w:space="0" w:color="auto"/>
                    <w:right w:val="single" w:sz="4" w:space="0" w:color="auto"/>
                  </w:tcBorders>
                  <w:vAlign w:val="center"/>
                </w:tcPr>
                <w:p w14:paraId="619A9D68" w14:textId="77777777" w:rsidR="00F76A63" w:rsidRDefault="00000000">
                  <w:pPr>
                    <w:pStyle w:val="affff8"/>
                    <w:rPr>
                      <w:rFonts w:cs="Times New Roman"/>
                      <w:sz w:val="18"/>
                      <w:szCs w:val="18"/>
                    </w:rPr>
                  </w:pPr>
                  <w:r>
                    <w:rPr>
                      <w:rFonts w:cs="Times New Roman"/>
                      <w:sz w:val="18"/>
                      <w:szCs w:val="18"/>
                    </w:rPr>
                    <w:t>HW50</w:t>
                  </w:r>
                  <w:r>
                    <w:rPr>
                      <w:rFonts w:cs="Times New Roman"/>
                      <w:sz w:val="18"/>
                      <w:szCs w:val="18"/>
                    </w:rPr>
                    <w:t>废催化剂（</w:t>
                  </w:r>
                  <w:r>
                    <w:rPr>
                      <w:rFonts w:cs="Times New Roman"/>
                      <w:sz w:val="18"/>
                      <w:szCs w:val="18"/>
                    </w:rPr>
                    <w:t>772-007-50</w:t>
                  </w:r>
                  <w:r>
                    <w:rPr>
                      <w:rFonts w:cs="Times New Roman"/>
                      <w:sz w:val="18"/>
                      <w:szCs w:val="18"/>
                    </w:rPr>
                    <w:t>）</w:t>
                  </w:r>
                </w:p>
              </w:tc>
              <w:tc>
                <w:tcPr>
                  <w:tcW w:w="1036" w:type="dxa"/>
                  <w:tcBorders>
                    <w:top w:val="single" w:sz="4" w:space="0" w:color="auto"/>
                    <w:left w:val="single" w:sz="4" w:space="0" w:color="auto"/>
                    <w:bottom w:val="single" w:sz="4" w:space="0" w:color="auto"/>
                    <w:right w:val="single" w:sz="4" w:space="0" w:color="auto"/>
                  </w:tcBorders>
                  <w:vAlign w:val="center"/>
                </w:tcPr>
                <w:p w14:paraId="0395958C" w14:textId="77777777" w:rsidR="00F76A63" w:rsidRDefault="00000000">
                  <w:pPr>
                    <w:pStyle w:val="affff8"/>
                    <w:rPr>
                      <w:rFonts w:cs="Times New Roman"/>
                      <w:sz w:val="18"/>
                      <w:szCs w:val="18"/>
                    </w:rPr>
                  </w:pPr>
                  <w:r>
                    <w:rPr>
                      <w:rFonts w:cs="Times New Roman" w:hint="eastAsia"/>
                      <w:sz w:val="18"/>
                      <w:szCs w:val="18"/>
                    </w:rPr>
                    <w:t>0.00</w:t>
                  </w:r>
                </w:p>
              </w:tc>
              <w:tc>
                <w:tcPr>
                  <w:tcW w:w="823" w:type="dxa"/>
                  <w:vMerge/>
                  <w:tcBorders>
                    <w:left w:val="single" w:sz="4" w:space="0" w:color="auto"/>
                    <w:bottom w:val="single" w:sz="4" w:space="0" w:color="auto"/>
                    <w:right w:val="nil"/>
                  </w:tcBorders>
                  <w:vAlign w:val="center"/>
                </w:tcPr>
                <w:p w14:paraId="1C96CB84" w14:textId="77777777" w:rsidR="00F76A63" w:rsidRDefault="00F76A63">
                  <w:pPr>
                    <w:pStyle w:val="affff8"/>
                    <w:rPr>
                      <w:rFonts w:cs="Times New Roman"/>
                      <w:sz w:val="18"/>
                      <w:szCs w:val="18"/>
                    </w:rPr>
                  </w:pPr>
                </w:p>
              </w:tc>
            </w:tr>
            <w:tr w:rsidR="00F76A63" w14:paraId="2263F3E1" w14:textId="77777777">
              <w:trPr>
                <w:cantSplit/>
                <w:trHeight w:val="340"/>
                <w:jc w:val="center"/>
              </w:trPr>
              <w:tc>
                <w:tcPr>
                  <w:tcW w:w="436" w:type="dxa"/>
                  <w:tcBorders>
                    <w:top w:val="single" w:sz="4" w:space="0" w:color="auto"/>
                    <w:left w:val="nil"/>
                    <w:bottom w:val="single" w:sz="12" w:space="0" w:color="auto"/>
                    <w:right w:val="single" w:sz="4" w:space="0" w:color="auto"/>
                  </w:tcBorders>
                  <w:vAlign w:val="center"/>
                </w:tcPr>
                <w:p w14:paraId="0672BCFA" w14:textId="77777777" w:rsidR="00F76A63" w:rsidRDefault="00000000">
                  <w:pPr>
                    <w:pStyle w:val="affff8"/>
                    <w:rPr>
                      <w:rFonts w:cs="Times New Roman"/>
                      <w:sz w:val="18"/>
                      <w:szCs w:val="18"/>
                    </w:rPr>
                  </w:pPr>
                  <w:r>
                    <w:rPr>
                      <w:rFonts w:cs="Times New Roman"/>
                      <w:sz w:val="18"/>
                      <w:szCs w:val="18"/>
                    </w:rPr>
                    <w:t>8</w:t>
                  </w:r>
                </w:p>
              </w:tc>
              <w:tc>
                <w:tcPr>
                  <w:tcW w:w="1115" w:type="dxa"/>
                  <w:tcBorders>
                    <w:top w:val="single" w:sz="4" w:space="0" w:color="auto"/>
                    <w:left w:val="single" w:sz="4" w:space="0" w:color="auto"/>
                    <w:bottom w:val="single" w:sz="12" w:space="0" w:color="auto"/>
                    <w:right w:val="single" w:sz="4" w:space="0" w:color="auto"/>
                  </w:tcBorders>
                  <w:vAlign w:val="center"/>
                </w:tcPr>
                <w:p w14:paraId="7AC87DEF" w14:textId="77777777" w:rsidR="00F76A63" w:rsidRDefault="00000000">
                  <w:pPr>
                    <w:pStyle w:val="affff8"/>
                    <w:rPr>
                      <w:rFonts w:cs="Times New Roman"/>
                      <w:sz w:val="18"/>
                      <w:szCs w:val="18"/>
                    </w:rPr>
                  </w:pPr>
                  <w:r>
                    <w:rPr>
                      <w:rFonts w:cs="Times New Roman"/>
                      <w:sz w:val="18"/>
                      <w:szCs w:val="18"/>
                    </w:rPr>
                    <w:t>生活垃圾</w:t>
                  </w:r>
                </w:p>
              </w:tc>
              <w:tc>
                <w:tcPr>
                  <w:tcW w:w="738" w:type="dxa"/>
                  <w:tcBorders>
                    <w:top w:val="single" w:sz="4" w:space="0" w:color="auto"/>
                    <w:left w:val="single" w:sz="4" w:space="0" w:color="auto"/>
                    <w:bottom w:val="single" w:sz="12" w:space="0" w:color="auto"/>
                    <w:right w:val="single" w:sz="4" w:space="0" w:color="auto"/>
                  </w:tcBorders>
                  <w:vAlign w:val="center"/>
                </w:tcPr>
                <w:p w14:paraId="78944616" w14:textId="77777777" w:rsidR="00F76A63" w:rsidRDefault="00000000">
                  <w:pPr>
                    <w:pStyle w:val="affff8"/>
                    <w:rPr>
                      <w:rFonts w:cs="Times New Roman"/>
                      <w:sz w:val="18"/>
                      <w:szCs w:val="18"/>
                    </w:rPr>
                  </w:pPr>
                  <w:r>
                    <w:rPr>
                      <w:rFonts w:cs="Times New Roman"/>
                      <w:sz w:val="18"/>
                      <w:szCs w:val="18"/>
                    </w:rPr>
                    <w:t>生活垃圾</w:t>
                  </w:r>
                </w:p>
              </w:tc>
              <w:tc>
                <w:tcPr>
                  <w:tcW w:w="1075" w:type="dxa"/>
                  <w:tcBorders>
                    <w:top w:val="single" w:sz="4" w:space="0" w:color="auto"/>
                    <w:left w:val="single" w:sz="4" w:space="0" w:color="auto"/>
                    <w:bottom w:val="single" w:sz="12" w:space="0" w:color="auto"/>
                    <w:right w:val="single" w:sz="4" w:space="0" w:color="auto"/>
                  </w:tcBorders>
                  <w:vAlign w:val="center"/>
                </w:tcPr>
                <w:p w14:paraId="6B51BB64" w14:textId="77777777" w:rsidR="00F76A63" w:rsidRDefault="00000000">
                  <w:pPr>
                    <w:pStyle w:val="affff8"/>
                    <w:rPr>
                      <w:rFonts w:cs="Times New Roman"/>
                      <w:sz w:val="18"/>
                      <w:szCs w:val="18"/>
                    </w:rPr>
                  </w:pPr>
                  <w:r>
                    <w:rPr>
                      <w:rFonts w:cs="Times New Roman"/>
                      <w:sz w:val="18"/>
                      <w:szCs w:val="18"/>
                    </w:rPr>
                    <w:t>办公、生活</w:t>
                  </w:r>
                </w:p>
              </w:tc>
              <w:tc>
                <w:tcPr>
                  <w:tcW w:w="721" w:type="dxa"/>
                  <w:tcBorders>
                    <w:top w:val="single" w:sz="4" w:space="0" w:color="auto"/>
                    <w:left w:val="single" w:sz="4" w:space="0" w:color="auto"/>
                    <w:bottom w:val="single" w:sz="12" w:space="0" w:color="auto"/>
                    <w:right w:val="single" w:sz="4" w:space="0" w:color="auto"/>
                  </w:tcBorders>
                  <w:vAlign w:val="center"/>
                </w:tcPr>
                <w:p w14:paraId="398EDFD8" w14:textId="77777777" w:rsidR="00F76A63" w:rsidRDefault="00000000">
                  <w:pPr>
                    <w:pStyle w:val="affff8"/>
                    <w:rPr>
                      <w:rFonts w:cs="Times New Roman"/>
                      <w:sz w:val="18"/>
                      <w:szCs w:val="18"/>
                    </w:rPr>
                  </w:pPr>
                  <w:r>
                    <w:rPr>
                      <w:rFonts w:cs="Times New Roman"/>
                      <w:sz w:val="18"/>
                      <w:szCs w:val="18"/>
                    </w:rPr>
                    <w:t>固态</w:t>
                  </w:r>
                </w:p>
              </w:tc>
              <w:tc>
                <w:tcPr>
                  <w:tcW w:w="996" w:type="dxa"/>
                  <w:tcBorders>
                    <w:top w:val="single" w:sz="4" w:space="0" w:color="auto"/>
                    <w:left w:val="single" w:sz="4" w:space="0" w:color="auto"/>
                    <w:bottom w:val="single" w:sz="12" w:space="0" w:color="auto"/>
                    <w:right w:val="single" w:sz="4" w:space="0" w:color="auto"/>
                  </w:tcBorders>
                  <w:vAlign w:val="center"/>
                </w:tcPr>
                <w:p w14:paraId="392E2654" w14:textId="77777777" w:rsidR="00F76A63" w:rsidRDefault="00000000">
                  <w:pPr>
                    <w:pStyle w:val="affff8"/>
                    <w:rPr>
                      <w:rFonts w:cs="Times New Roman"/>
                      <w:sz w:val="18"/>
                      <w:szCs w:val="18"/>
                    </w:rPr>
                  </w:pPr>
                  <w:r>
                    <w:rPr>
                      <w:rFonts w:cs="Times New Roman"/>
                      <w:sz w:val="18"/>
                      <w:szCs w:val="18"/>
                    </w:rPr>
                    <w:t>纸张果皮等</w:t>
                  </w:r>
                </w:p>
              </w:tc>
              <w:tc>
                <w:tcPr>
                  <w:tcW w:w="1236" w:type="dxa"/>
                  <w:tcBorders>
                    <w:top w:val="single" w:sz="4" w:space="0" w:color="auto"/>
                    <w:left w:val="single" w:sz="4" w:space="0" w:color="auto"/>
                    <w:bottom w:val="single" w:sz="12" w:space="0" w:color="auto"/>
                    <w:right w:val="single" w:sz="4" w:space="0" w:color="auto"/>
                  </w:tcBorders>
                  <w:vAlign w:val="center"/>
                </w:tcPr>
                <w:p w14:paraId="3A813B95" w14:textId="77777777" w:rsidR="00F76A63" w:rsidRDefault="00000000">
                  <w:pPr>
                    <w:pStyle w:val="affff8"/>
                    <w:rPr>
                      <w:rFonts w:cs="Times New Roman"/>
                      <w:sz w:val="18"/>
                      <w:szCs w:val="18"/>
                    </w:rPr>
                  </w:pPr>
                  <w:r>
                    <w:rPr>
                      <w:rFonts w:cs="Times New Roman"/>
                      <w:sz w:val="18"/>
                      <w:szCs w:val="18"/>
                    </w:rPr>
                    <w:t>/</w:t>
                  </w:r>
                </w:p>
              </w:tc>
              <w:tc>
                <w:tcPr>
                  <w:tcW w:w="1036" w:type="dxa"/>
                  <w:tcBorders>
                    <w:top w:val="single" w:sz="4" w:space="0" w:color="auto"/>
                    <w:left w:val="single" w:sz="4" w:space="0" w:color="auto"/>
                    <w:bottom w:val="single" w:sz="12" w:space="0" w:color="auto"/>
                    <w:right w:val="single" w:sz="4" w:space="0" w:color="auto"/>
                  </w:tcBorders>
                  <w:vAlign w:val="center"/>
                </w:tcPr>
                <w:p w14:paraId="0AD79F85" w14:textId="77777777" w:rsidR="00F76A63" w:rsidRDefault="00000000">
                  <w:pPr>
                    <w:pStyle w:val="affff8"/>
                    <w:rPr>
                      <w:rFonts w:cs="Times New Roman"/>
                      <w:sz w:val="18"/>
                      <w:szCs w:val="18"/>
                    </w:rPr>
                  </w:pPr>
                  <w:r>
                    <w:rPr>
                      <w:rFonts w:cs="Times New Roman" w:hint="eastAsia"/>
                      <w:sz w:val="18"/>
                      <w:szCs w:val="18"/>
                    </w:rPr>
                    <w:t>98.95</w:t>
                  </w:r>
                </w:p>
              </w:tc>
              <w:tc>
                <w:tcPr>
                  <w:tcW w:w="823" w:type="dxa"/>
                  <w:tcBorders>
                    <w:top w:val="single" w:sz="4" w:space="0" w:color="auto"/>
                    <w:left w:val="single" w:sz="4" w:space="0" w:color="auto"/>
                    <w:bottom w:val="single" w:sz="12" w:space="0" w:color="auto"/>
                    <w:right w:val="nil"/>
                  </w:tcBorders>
                  <w:vAlign w:val="center"/>
                </w:tcPr>
                <w:p w14:paraId="0D0F635F" w14:textId="77777777" w:rsidR="00F76A63" w:rsidRDefault="00000000">
                  <w:pPr>
                    <w:pStyle w:val="affff8"/>
                    <w:rPr>
                      <w:rFonts w:cs="Times New Roman"/>
                      <w:sz w:val="18"/>
                      <w:szCs w:val="18"/>
                    </w:rPr>
                  </w:pPr>
                  <w:r>
                    <w:rPr>
                      <w:rFonts w:cs="Times New Roman"/>
                      <w:sz w:val="18"/>
                      <w:szCs w:val="18"/>
                    </w:rPr>
                    <w:t>环卫清运</w:t>
                  </w:r>
                </w:p>
              </w:tc>
            </w:tr>
          </w:tbl>
          <w:p w14:paraId="6F8FB356" w14:textId="77777777" w:rsidR="00F76A63" w:rsidRDefault="00000000">
            <w:pPr>
              <w:jc w:val="center"/>
              <w:rPr>
                <w:bCs/>
                <w:sz w:val="24"/>
              </w:rPr>
            </w:pPr>
            <w:r>
              <w:rPr>
                <w:bCs/>
                <w:noProof/>
                <w:sz w:val="24"/>
              </w:rPr>
              <w:lastRenderedPageBreak/>
              <w:drawing>
                <wp:inline distT="0" distB="0" distL="0" distR="0" wp14:anchorId="0CFDE47D" wp14:editId="0333552C">
                  <wp:extent cx="4577715" cy="3429000"/>
                  <wp:effectExtent l="0" t="0" r="0" b="0"/>
                  <wp:docPr id="56615229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52291" name="图片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4584834" cy="3434333"/>
                          </a:xfrm>
                          <a:prstGeom prst="rect">
                            <a:avLst/>
                          </a:prstGeom>
                          <a:noFill/>
                          <a:ln>
                            <a:noFill/>
                          </a:ln>
                        </pic:spPr>
                      </pic:pic>
                    </a:graphicData>
                  </a:graphic>
                </wp:inline>
              </w:drawing>
            </w:r>
          </w:p>
          <w:p w14:paraId="76DFD7B6" w14:textId="77777777" w:rsidR="00F76A63" w:rsidRDefault="00000000">
            <w:pPr>
              <w:ind w:firstLineChars="200" w:firstLine="480"/>
              <w:rPr>
                <w:bCs/>
                <w:sz w:val="24"/>
              </w:rPr>
            </w:pPr>
            <w:r>
              <w:rPr>
                <w:bCs/>
                <w:noProof/>
                <w:sz w:val="24"/>
              </w:rPr>
              <w:drawing>
                <wp:inline distT="0" distB="0" distL="0" distR="0" wp14:anchorId="63573094" wp14:editId="22EF956E">
                  <wp:extent cx="4577080" cy="3428365"/>
                  <wp:effectExtent l="0" t="0" r="0" b="635"/>
                  <wp:docPr id="156212161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21612" name="图片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4588198" cy="3436787"/>
                          </a:xfrm>
                          <a:prstGeom prst="rect">
                            <a:avLst/>
                          </a:prstGeom>
                          <a:noFill/>
                          <a:ln>
                            <a:noFill/>
                          </a:ln>
                        </pic:spPr>
                      </pic:pic>
                    </a:graphicData>
                  </a:graphic>
                </wp:inline>
              </w:drawing>
            </w:r>
          </w:p>
          <w:p w14:paraId="0463497F" w14:textId="77777777" w:rsidR="00F76A63" w:rsidRDefault="00000000">
            <w:pPr>
              <w:spacing w:line="500" w:lineRule="exact"/>
              <w:ind w:firstLineChars="200" w:firstLine="482"/>
              <w:jc w:val="center"/>
              <w:rPr>
                <w:b/>
                <w:bCs/>
                <w:sz w:val="24"/>
              </w:rPr>
            </w:pPr>
            <w:r>
              <w:rPr>
                <w:b/>
                <w:bCs/>
                <w:sz w:val="24"/>
              </w:rPr>
              <w:t>图</w:t>
            </w:r>
            <w:r>
              <w:rPr>
                <w:b/>
                <w:bCs/>
                <w:sz w:val="24"/>
              </w:rPr>
              <w:t>2-</w:t>
            </w:r>
            <w:r>
              <w:rPr>
                <w:rFonts w:hint="eastAsia"/>
                <w:b/>
                <w:bCs/>
                <w:sz w:val="24"/>
              </w:rPr>
              <w:t>11</w:t>
            </w:r>
            <w:r>
              <w:rPr>
                <w:b/>
                <w:bCs/>
                <w:sz w:val="24"/>
              </w:rPr>
              <w:t xml:space="preserve">  </w:t>
            </w:r>
            <w:r>
              <w:rPr>
                <w:b/>
                <w:bCs/>
                <w:sz w:val="24"/>
              </w:rPr>
              <w:t>现有危废仓库照片</w:t>
            </w:r>
          </w:p>
          <w:p w14:paraId="700741A9" w14:textId="77777777" w:rsidR="00F76A63" w:rsidRDefault="00000000">
            <w:pPr>
              <w:keepNext/>
              <w:keepLines/>
              <w:widowControl/>
              <w:tabs>
                <w:tab w:val="left" w:pos="2340"/>
              </w:tabs>
              <w:adjustRightInd w:val="0"/>
              <w:snapToGrid w:val="0"/>
              <w:spacing w:line="500" w:lineRule="exact"/>
              <w:ind w:firstLineChars="200" w:firstLine="482"/>
              <w:rPr>
                <w:b/>
                <w:bCs/>
                <w:kern w:val="0"/>
                <w:sz w:val="24"/>
              </w:rPr>
            </w:pPr>
            <w:r>
              <w:rPr>
                <w:b/>
                <w:bCs/>
                <w:kern w:val="0"/>
                <w:sz w:val="24"/>
              </w:rPr>
              <w:t>5</w:t>
            </w:r>
            <w:r>
              <w:rPr>
                <w:b/>
                <w:bCs/>
                <w:kern w:val="0"/>
                <w:sz w:val="24"/>
              </w:rPr>
              <w:t>）环境风险应急管理、卫生防护距离执行情况</w:t>
            </w:r>
          </w:p>
          <w:p w14:paraId="616ED6E5" w14:textId="77777777" w:rsidR="00F76A63" w:rsidRDefault="00000000">
            <w:pPr>
              <w:autoSpaceDE w:val="0"/>
              <w:autoSpaceDN w:val="0"/>
              <w:adjustRightInd w:val="0"/>
              <w:spacing w:line="500" w:lineRule="exact"/>
              <w:ind w:firstLineChars="200" w:firstLine="480"/>
              <w:rPr>
                <w:sz w:val="24"/>
              </w:rPr>
            </w:pPr>
            <w:r>
              <w:rPr>
                <w:sz w:val="24"/>
              </w:rPr>
              <w:t>本项目以原料、污染土堆棚为边界，设置</w:t>
            </w:r>
            <w:r>
              <w:rPr>
                <w:sz w:val="24"/>
              </w:rPr>
              <w:t>100m</w:t>
            </w:r>
            <w:r>
              <w:rPr>
                <w:sz w:val="24"/>
              </w:rPr>
              <w:t>卫生防护距离。</w:t>
            </w:r>
          </w:p>
          <w:p w14:paraId="7436FB9C" w14:textId="77777777" w:rsidR="00F76A63" w:rsidRDefault="00000000">
            <w:pPr>
              <w:autoSpaceDE w:val="0"/>
              <w:autoSpaceDN w:val="0"/>
              <w:adjustRightInd w:val="0"/>
              <w:spacing w:line="500" w:lineRule="exact"/>
              <w:ind w:firstLineChars="200" w:firstLine="480"/>
              <w:rPr>
                <w:sz w:val="24"/>
              </w:rPr>
            </w:pPr>
            <w:r>
              <w:rPr>
                <w:rFonts w:hint="eastAsia"/>
                <w:sz w:val="24"/>
              </w:rPr>
              <w:t>根据《大气有害物质无组织排放卫生防护距离推导技术导则》（</w:t>
            </w:r>
            <w:r>
              <w:rPr>
                <w:rFonts w:hint="eastAsia"/>
                <w:sz w:val="24"/>
              </w:rPr>
              <w:t>GB/T39499-2020</w:t>
            </w:r>
            <w:r>
              <w:rPr>
                <w:rFonts w:hint="eastAsia"/>
                <w:sz w:val="24"/>
              </w:rPr>
              <w:t>），，现有项目报告书中提出的在生产车间外</w:t>
            </w:r>
            <w:r>
              <w:rPr>
                <w:rFonts w:hint="eastAsia"/>
                <w:sz w:val="24"/>
              </w:rPr>
              <w:t>500m</w:t>
            </w:r>
            <w:r>
              <w:rPr>
                <w:rFonts w:hint="eastAsia"/>
                <w:sz w:val="24"/>
              </w:rPr>
              <w:t>设置卫生防护距离要求，</w:t>
            </w:r>
            <w:r>
              <w:rPr>
                <w:rFonts w:hint="eastAsia"/>
                <w:sz w:val="24"/>
              </w:rPr>
              <w:lastRenderedPageBreak/>
              <w:t>改建完成后在生产车间外</w:t>
            </w:r>
            <w:r>
              <w:rPr>
                <w:rFonts w:hint="eastAsia"/>
                <w:sz w:val="24"/>
              </w:rPr>
              <w:t>500m</w:t>
            </w:r>
            <w:r>
              <w:rPr>
                <w:rFonts w:hint="eastAsia"/>
                <w:sz w:val="24"/>
              </w:rPr>
              <w:t>设置卫生防护距离，目前该范围内无环境保护目标，今后该范围内不得规划、新建住宅、学校、医院等环境敏感目标。</w:t>
            </w:r>
          </w:p>
          <w:p w14:paraId="7C5F8980" w14:textId="77777777" w:rsidR="00F76A63" w:rsidRDefault="00000000">
            <w:pPr>
              <w:autoSpaceDE w:val="0"/>
              <w:autoSpaceDN w:val="0"/>
              <w:adjustRightInd w:val="0"/>
              <w:spacing w:line="500" w:lineRule="exact"/>
              <w:ind w:firstLineChars="200" w:firstLine="480"/>
              <w:rPr>
                <w:sz w:val="24"/>
              </w:rPr>
            </w:pPr>
            <w:r>
              <w:rPr>
                <w:sz w:val="24"/>
              </w:rPr>
              <w:t>句容台泥水泥有限公司已于</w:t>
            </w:r>
            <w:r>
              <w:rPr>
                <w:sz w:val="24"/>
              </w:rPr>
              <w:t>2024</w:t>
            </w:r>
            <w:r>
              <w:rPr>
                <w:sz w:val="24"/>
              </w:rPr>
              <w:t>年</w:t>
            </w:r>
            <w:r>
              <w:rPr>
                <w:sz w:val="24"/>
              </w:rPr>
              <w:t>3</w:t>
            </w:r>
            <w:r>
              <w:rPr>
                <w:sz w:val="24"/>
              </w:rPr>
              <w:t>月</w:t>
            </w:r>
            <w:r>
              <w:rPr>
                <w:sz w:val="24"/>
              </w:rPr>
              <w:t>14</w:t>
            </w:r>
            <w:r>
              <w:rPr>
                <w:sz w:val="24"/>
              </w:rPr>
              <w:t>日通过镇江市句容生态环境局环境应急预案备案，备案号为：</w:t>
            </w:r>
            <w:r>
              <w:rPr>
                <w:sz w:val="24"/>
              </w:rPr>
              <w:t>321183-2024-026-M</w:t>
            </w:r>
            <w:r>
              <w:rPr>
                <w:sz w:val="24"/>
              </w:rPr>
              <w:t>，风险等级为：较大【一般－大气（</w:t>
            </w:r>
            <w:r>
              <w:rPr>
                <w:sz w:val="24"/>
              </w:rPr>
              <w:t>Q2-M1-E3</w:t>
            </w:r>
            <w:r>
              <w:rPr>
                <w:sz w:val="24"/>
              </w:rPr>
              <w:t>）</w:t>
            </w:r>
            <w:r>
              <w:rPr>
                <w:sz w:val="24"/>
              </w:rPr>
              <w:t>+</w:t>
            </w:r>
            <w:r>
              <w:rPr>
                <w:sz w:val="24"/>
              </w:rPr>
              <w:t>较大－水（</w:t>
            </w:r>
            <w:r>
              <w:rPr>
                <w:sz w:val="24"/>
              </w:rPr>
              <w:t>Q2-M1-E1</w:t>
            </w:r>
            <w:r>
              <w:rPr>
                <w:sz w:val="24"/>
              </w:rPr>
              <w:t>）】。</w:t>
            </w:r>
          </w:p>
          <w:p w14:paraId="782B0130" w14:textId="77777777" w:rsidR="00F76A63" w:rsidRDefault="00000000">
            <w:pPr>
              <w:autoSpaceDE w:val="0"/>
              <w:autoSpaceDN w:val="0"/>
              <w:adjustRightInd w:val="0"/>
              <w:spacing w:line="500" w:lineRule="exact"/>
              <w:ind w:firstLineChars="200" w:firstLine="480"/>
              <w:rPr>
                <w:sz w:val="24"/>
              </w:rPr>
            </w:pPr>
            <w:bookmarkStart w:id="105" w:name="OLE_LINK87"/>
            <w:r>
              <w:rPr>
                <w:sz w:val="24"/>
              </w:rPr>
              <w:t>企业建立了环境风险防控和应急措施制度：严格管理，加强生产装置、环保设施、储存设施等的养护，对其定期进行检查和维修，确保正常运行，尽量降低由于设施损坏而导致污染物污染环境引起事故的可能性；职工定时巡回检查、定时记录，发现泄漏情况立即报告；建立了应急措施制度，包括事故现场指挥人员、事故处理人员等各自的职责、任务，事故处理步骤，事故隔离区域和人员疏散等，并计划组织事故操作练习等。落实了定期巡检和维护责任制度：对环境风险单元采取监控、围堰等环境风险防控措施，并派遣人员巡检和维护。落实了环评及批复文件的各项环境风险防控和应急措施要求：全厂实施</w:t>
            </w:r>
            <w:r>
              <w:rPr>
                <w:rFonts w:hint="eastAsia"/>
                <w:sz w:val="24"/>
              </w:rPr>
              <w:t>“</w:t>
            </w:r>
            <w:r>
              <w:rPr>
                <w:sz w:val="24"/>
              </w:rPr>
              <w:t>清污分流、雨污分流</w:t>
            </w:r>
            <w:r>
              <w:rPr>
                <w:rFonts w:hint="eastAsia"/>
                <w:sz w:val="24"/>
              </w:rPr>
              <w:t>”</w:t>
            </w:r>
            <w:r>
              <w:rPr>
                <w:sz w:val="24"/>
              </w:rPr>
              <w:t>体制，</w:t>
            </w:r>
            <w:r>
              <w:rPr>
                <w:rFonts w:hint="eastAsia"/>
                <w:sz w:val="24"/>
              </w:rPr>
              <w:t>厂区雨水排放口已规范化设置，正常情况雨水通过莱茵河水泵提升至句容台泥自备水厂处理后作为循环冷却水使用；如发生漏水事故，第一时间关闭漏水点的供水阀门，漏水收集到莱茵池后进入水厂处理，杜绝污染物外排；厂区已建成覆盖生产区、堆场区、物料输送区、原料堆棚的雨水导排沟、防渗导流渠及配套管线，所有区域地面径流均可通过密闭管网汇入雨水系统或事故池，确保事故状态下废水全收集、不扩散、不外排；</w:t>
            </w:r>
            <w:r>
              <w:rPr>
                <w:sz w:val="24"/>
              </w:rPr>
              <w:t>厂区现有</w:t>
            </w:r>
            <w:r>
              <w:rPr>
                <w:rFonts w:hint="eastAsia"/>
                <w:sz w:val="24"/>
              </w:rPr>
              <w:t>设置</w:t>
            </w:r>
            <w:r>
              <w:rPr>
                <w:sz w:val="24"/>
              </w:rPr>
              <w:t>事故池</w:t>
            </w:r>
            <w:r>
              <w:rPr>
                <w:sz w:val="24"/>
              </w:rPr>
              <w:t>1</w:t>
            </w:r>
            <w:r>
              <w:rPr>
                <w:sz w:val="24"/>
              </w:rPr>
              <w:t>座，有效容积满足《突发环境事件应急池设计规范》及园区管控要求，可容纳事故排水、消防废水、泄漏物料及初期雨水收集需求，池体已采取防渗、防腐、防溢流措施，具备事故状态下废水全收集、暂存、回用条件，设施完好、满足应急防控需求；建立突发环境事件信息报告制度，并有效地执行：报告内容包括事故发生的经过、原因分析、事故后果、各小组救援过程简述、分析救援工作的不足（物资、信息、措施），提出防止类似事故发生的措施及应急预案应改进的方向等内容。</w:t>
            </w:r>
          </w:p>
          <w:bookmarkEnd w:id="105"/>
          <w:p w14:paraId="24D97ADC" w14:textId="77777777" w:rsidR="00F76A63" w:rsidRDefault="00000000">
            <w:pPr>
              <w:adjustRightInd w:val="0"/>
              <w:snapToGrid w:val="0"/>
              <w:spacing w:line="500" w:lineRule="exact"/>
              <w:ind w:firstLineChars="200" w:firstLine="482"/>
              <w:rPr>
                <w:b/>
                <w:bCs/>
                <w:sz w:val="24"/>
              </w:rPr>
            </w:pPr>
            <w:r>
              <w:rPr>
                <w:b/>
                <w:bCs/>
                <w:sz w:val="24"/>
              </w:rPr>
              <w:lastRenderedPageBreak/>
              <w:t>二、在建、拟建项目工程建设情况</w:t>
            </w:r>
          </w:p>
          <w:p w14:paraId="464B1D78" w14:textId="77777777" w:rsidR="00F76A63" w:rsidRDefault="00000000">
            <w:pPr>
              <w:spacing w:line="500" w:lineRule="exact"/>
              <w:ind w:firstLineChars="200" w:firstLine="482"/>
              <w:rPr>
                <w:b/>
                <w:bCs/>
                <w:sz w:val="24"/>
              </w:rPr>
            </w:pPr>
            <w:r>
              <w:rPr>
                <w:b/>
                <w:bCs/>
                <w:sz w:val="24"/>
              </w:rPr>
              <w:t>1</w:t>
            </w:r>
            <w:r>
              <w:rPr>
                <w:b/>
                <w:bCs/>
                <w:sz w:val="24"/>
              </w:rPr>
              <w:t>、项目概况</w:t>
            </w:r>
          </w:p>
          <w:p w14:paraId="4AB64C60" w14:textId="77777777" w:rsidR="00F76A63" w:rsidRDefault="00000000">
            <w:pPr>
              <w:spacing w:line="500" w:lineRule="exact"/>
              <w:ind w:firstLineChars="200" w:firstLine="482"/>
              <w:rPr>
                <w:b/>
                <w:bCs/>
                <w:sz w:val="24"/>
              </w:rPr>
            </w:pPr>
            <w:r>
              <w:rPr>
                <w:b/>
                <w:bCs/>
                <w:sz w:val="24"/>
              </w:rPr>
              <w:t>（</w:t>
            </w:r>
            <w:r>
              <w:rPr>
                <w:b/>
                <w:bCs/>
                <w:sz w:val="24"/>
              </w:rPr>
              <w:t>1</w:t>
            </w:r>
            <w:r>
              <w:rPr>
                <w:b/>
                <w:bCs/>
                <w:sz w:val="24"/>
              </w:rPr>
              <w:t>）水泥窑协同处置一般固废项目</w:t>
            </w:r>
          </w:p>
          <w:p w14:paraId="4E9CD92A" w14:textId="77777777" w:rsidR="00F76A63" w:rsidRDefault="00000000">
            <w:pPr>
              <w:spacing w:line="500" w:lineRule="exact"/>
              <w:ind w:firstLineChars="200" w:firstLine="480"/>
              <w:rPr>
                <w:sz w:val="24"/>
              </w:rPr>
            </w:pPr>
            <w:r>
              <w:rPr>
                <w:sz w:val="24"/>
              </w:rPr>
              <w:t>依托厂区一期年产</w:t>
            </w:r>
            <w:r>
              <w:rPr>
                <w:sz w:val="24"/>
              </w:rPr>
              <w:t>150</w:t>
            </w:r>
            <w:r>
              <w:rPr>
                <w:sz w:val="24"/>
              </w:rPr>
              <w:t>万吨和二期</w:t>
            </w:r>
            <w:r>
              <w:rPr>
                <w:sz w:val="24"/>
              </w:rPr>
              <w:t>6000t/d</w:t>
            </w:r>
            <w:r>
              <w:rPr>
                <w:sz w:val="24"/>
              </w:rPr>
              <w:t>熟料新型干法水泥回转窑协同处置一般固废项目，年协同处置一般固废</w:t>
            </w:r>
            <w:r>
              <w:rPr>
                <w:sz w:val="24"/>
              </w:rPr>
              <w:t>34</w:t>
            </w:r>
            <w:r>
              <w:rPr>
                <w:sz w:val="24"/>
              </w:rPr>
              <w:t>万吨。</w:t>
            </w:r>
          </w:p>
          <w:p w14:paraId="7243F560" w14:textId="77777777" w:rsidR="00F76A63" w:rsidRDefault="00000000">
            <w:pPr>
              <w:spacing w:line="500" w:lineRule="exact"/>
              <w:ind w:firstLineChars="200" w:firstLine="482"/>
              <w:rPr>
                <w:b/>
                <w:bCs/>
                <w:sz w:val="24"/>
              </w:rPr>
            </w:pPr>
            <w:r>
              <w:rPr>
                <w:b/>
                <w:bCs/>
                <w:sz w:val="24"/>
              </w:rPr>
              <w:t>（</w:t>
            </w:r>
            <w:r>
              <w:rPr>
                <w:rFonts w:hint="eastAsia"/>
                <w:b/>
                <w:bCs/>
                <w:sz w:val="24"/>
              </w:rPr>
              <w:t>2</w:t>
            </w:r>
            <w:r>
              <w:rPr>
                <w:b/>
                <w:bCs/>
                <w:sz w:val="24"/>
              </w:rPr>
              <w:t>）水泥窑协同处置飞灰</w:t>
            </w:r>
            <w:r>
              <w:rPr>
                <w:b/>
                <w:bCs/>
                <w:sz w:val="24"/>
              </w:rPr>
              <w:t>3.45</w:t>
            </w:r>
            <w:r>
              <w:rPr>
                <w:b/>
                <w:bCs/>
                <w:sz w:val="24"/>
              </w:rPr>
              <w:t>万吨</w:t>
            </w:r>
            <w:r>
              <w:rPr>
                <w:b/>
                <w:bCs/>
                <w:sz w:val="24"/>
              </w:rPr>
              <w:t>/</w:t>
            </w:r>
            <w:r>
              <w:rPr>
                <w:b/>
                <w:bCs/>
                <w:sz w:val="24"/>
              </w:rPr>
              <w:t>年改扩建项目</w:t>
            </w:r>
          </w:p>
          <w:p w14:paraId="34294AE7" w14:textId="77777777" w:rsidR="00F76A63" w:rsidRDefault="00000000">
            <w:pPr>
              <w:spacing w:line="500" w:lineRule="exact"/>
              <w:ind w:firstLineChars="200" w:firstLine="480"/>
              <w:rPr>
                <w:sz w:val="24"/>
              </w:rPr>
            </w:pPr>
            <w:r>
              <w:rPr>
                <w:sz w:val="24"/>
              </w:rPr>
              <w:t>依托</w:t>
            </w:r>
            <w:r>
              <w:rPr>
                <w:sz w:val="24"/>
              </w:rPr>
              <w:t>1#</w:t>
            </w:r>
            <w:r>
              <w:rPr>
                <w:sz w:val="24"/>
              </w:rPr>
              <w:t>水泥回转窑协同处置飞灰</w:t>
            </w:r>
            <w:r>
              <w:rPr>
                <w:sz w:val="24"/>
              </w:rPr>
              <w:t>2.5</w:t>
            </w:r>
            <w:r>
              <w:rPr>
                <w:sz w:val="24"/>
              </w:rPr>
              <w:t>万吨</w:t>
            </w:r>
            <w:r>
              <w:rPr>
                <w:sz w:val="24"/>
              </w:rPr>
              <w:t>/</w:t>
            </w:r>
            <w:r>
              <w:rPr>
                <w:sz w:val="24"/>
              </w:rPr>
              <w:t>年，依托</w:t>
            </w:r>
            <w:r>
              <w:rPr>
                <w:sz w:val="24"/>
              </w:rPr>
              <w:t>2#</w:t>
            </w:r>
            <w:r>
              <w:rPr>
                <w:sz w:val="24"/>
              </w:rPr>
              <w:t>水泥回转窑新增协同处置飞灰</w:t>
            </w:r>
            <w:r>
              <w:rPr>
                <w:sz w:val="24"/>
              </w:rPr>
              <w:t>0.95</w:t>
            </w:r>
            <w:r>
              <w:rPr>
                <w:sz w:val="24"/>
              </w:rPr>
              <w:t>万吨</w:t>
            </w:r>
            <w:r>
              <w:rPr>
                <w:sz w:val="24"/>
              </w:rPr>
              <w:t>/</w:t>
            </w:r>
            <w:r>
              <w:rPr>
                <w:sz w:val="24"/>
              </w:rPr>
              <w:t>年，扩建完成后全厂协同处置飞灰</w:t>
            </w:r>
            <w:r>
              <w:rPr>
                <w:sz w:val="24"/>
              </w:rPr>
              <w:t>5</w:t>
            </w:r>
            <w:r>
              <w:rPr>
                <w:sz w:val="24"/>
              </w:rPr>
              <w:t>万吨</w:t>
            </w:r>
            <w:r>
              <w:rPr>
                <w:sz w:val="24"/>
              </w:rPr>
              <w:t>/</w:t>
            </w:r>
            <w:r>
              <w:rPr>
                <w:sz w:val="24"/>
              </w:rPr>
              <w:t>年。</w:t>
            </w:r>
          </w:p>
          <w:p w14:paraId="2F2B5078" w14:textId="77777777" w:rsidR="00F76A63" w:rsidRDefault="00000000">
            <w:pPr>
              <w:spacing w:line="500" w:lineRule="exact"/>
              <w:ind w:firstLineChars="200" w:firstLine="482"/>
              <w:rPr>
                <w:b/>
                <w:bCs/>
                <w:sz w:val="24"/>
              </w:rPr>
            </w:pPr>
            <w:r>
              <w:rPr>
                <w:b/>
                <w:bCs/>
                <w:sz w:val="24"/>
              </w:rPr>
              <w:t>（</w:t>
            </w:r>
            <w:r>
              <w:rPr>
                <w:rFonts w:hint="eastAsia"/>
                <w:b/>
                <w:bCs/>
                <w:sz w:val="24"/>
              </w:rPr>
              <w:t>3</w:t>
            </w:r>
            <w:r>
              <w:rPr>
                <w:b/>
                <w:bCs/>
                <w:sz w:val="24"/>
              </w:rPr>
              <w:t>）替代燃料节能减排项目（一期）</w:t>
            </w:r>
          </w:p>
          <w:p w14:paraId="2BBAC930" w14:textId="77777777" w:rsidR="00F76A63" w:rsidRDefault="00000000">
            <w:pPr>
              <w:spacing w:line="500" w:lineRule="exact"/>
              <w:ind w:firstLineChars="200" w:firstLine="480"/>
              <w:rPr>
                <w:sz w:val="24"/>
              </w:rPr>
            </w:pPr>
            <w:r>
              <w:rPr>
                <w:sz w:val="24"/>
              </w:rPr>
              <w:t>依托现有</w:t>
            </w:r>
            <w:r>
              <w:rPr>
                <w:sz w:val="24"/>
              </w:rPr>
              <w:t>1#</w:t>
            </w:r>
            <w:r>
              <w:rPr>
                <w:sz w:val="24"/>
              </w:rPr>
              <w:t>和</w:t>
            </w:r>
            <w:r>
              <w:rPr>
                <w:sz w:val="24"/>
              </w:rPr>
              <w:t>2#</w:t>
            </w:r>
            <w:r>
              <w:rPr>
                <w:sz w:val="24"/>
              </w:rPr>
              <w:t>水泥熟料生产线，对现有的替代燃料的一般固废种类进行调整，涉及调整的替代燃料总量为</w:t>
            </w:r>
            <w:r>
              <w:rPr>
                <w:sz w:val="24"/>
              </w:rPr>
              <w:t>45</w:t>
            </w:r>
            <w:r>
              <w:rPr>
                <w:sz w:val="24"/>
              </w:rPr>
              <w:t>万吨，项目建设前后全厂替代燃料固废总量保持</w:t>
            </w:r>
            <w:r>
              <w:rPr>
                <w:sz w:val="24"/>
              </w:rPr>
              <w:t>49</w:t>
            </w:r>
            <w:r>
              <w:rPr>
                <w:sz w:val="24"/>
              </w:rPr>
              <w:t>万吨</w:t>
            </w:r>
            <w:r>
              <w:rPr>
                <w:sz w:val="24"/>
              </w:rPr>
              <w:t>/</w:t>
            </w:r>
            <w:r>
              <w:rPr>
                <w:sz w:val="24"/>
              </w:rPr>
              <w:t>年不变。</w:t>
            </w:r>
          </w:p>
          <w:p w14:paraId="37C4F5C1" w14:textId="77777777" w:rsidR="00F76A63" w:rsidRDefault="00000000">
            <w:pPr>
              <w:spacing w:line="500" w:lineRule="exact"/>
              <w:ind w:firstLineChars="200" w:firstLine="482"/>
              <w:rPr>
                <w:b/>
                <w:bCs/>
                <w:sz w:val="24"/>
              </w:rPr>
            </w:pPr>
            <w:r>
              <w:rPr>
                <w:b/>
                <w:bCs/>
                <w:sz w:val="24"/>
              </w:rPr>
              <w:t>（</w:t>
            </w:r>
            <w:r>
              <w:rPr>
                <w:rFonts w:hint="eastAsia"/>
                <w:b/>
                <w:bCs/>
                <w:sz w:val="24"/>
              </w:rPr>
              <w:t>4</w:t>
            </w:r>
            <w:r>
              <w:rPr>
                <w:b/>
                <w:bCs/>
                <w:sz w:val="24"/>
              </w:rPr>
              <w:t>）一二线窑旁路放风除氯及水洗综合利用技改项目</w:t>
            </w:r>
          </w:p>
          <w:p w14:paraId="1A14B340" w14:textId="77777777" w:rsidR="00F76A63" w:rsidRDefault="00000000">
            <w:pPr>
              <w:spacing w:line="500" w:lineRule="exact"/>
              <w:ind w:firstLineChars="200" w:firstLine="480"/>
              <w:rPr>
                <w:sz w:val="24"/>
              </w:rPr>
            </w:pPr>
            <w:r>
              <w:rPr>
                <w:sz w:val="24"/>
              </w:rPr>
              <w:t>在一、二线水泥窑各建设</w:t>
            </w:r>
            <w:r>
              <w:rPr>
                <w:sz w:val="24"/>
              </w:rPr>
              <w:t>1</w:t>
            </w:r>
            <w:r>
              <w:rPr>
                <w:sz w:val="24"/>
              </w:rPr>
              <w:t>套旁路放风系统，并新建</w:t>
            </w:r>
            <w:r>
              <w:rPr>
                <w:sz w:val="24"/>
              </w:rPr>
              <w:t>1</w:t>
            </w:r>
            <w:r>
              <w:rPr>
                <w:sz w:val="24"/>
              </w:rPr>
              <w:t>套旁路灰水洗除氯处理系统用于旁路灰综合利用，形成旁路灰处置能力</w:t>
            </w:r>
            <w:r>
              <w:rPr>
                <w:sz w:val="24"/>
              </w:rPr>
              <w:t>100t/d</w:t>
            </w:r>
            <w:r>
              <w:rPr>
                <w:sz w:val="24"/>
              </w:rPr>
              <w:t>，氯化钾副产品达到相关产品标准后外售给相关企业使用。</w:t>
            </w:r>
          </w:p>
          <w:p w14:paraId="272D5254" w14:textId="77777777" w:rsidR="00F76A63" w:rsidRDefault="00000000">
            <w:pPr>
              <w:spacing w:line="500" w:lineRule="exact"/>
              <w:ind w:firstLineChars="200" w:firstLine="482"/>
              <w:rPr>
                <w:b/>
                <w:bCs/>
                <w:sz w:val="24"/>
              </w:rPr>
            </w:pPr>
            <w:r>
              <w:rPr>
                <w:b/>
                <w:bCs/>
                <w:sz w:val="24"/>
              </w:rPr>
              <w:t>2</w:t>
            </w:r>
            <w:r>
              <w:rPr>
                <w:b/>
                <w:bCs/>
                <w:sz w:val="24"/>
              </w:rPr>
              <w:t>、建设内容</w:t>
            </w:r>
          </w:p>
          <w:p w14:paraId="10BC1D36" w14:textId="77777777" w:rsidR="00F76A63" w:rsidRDefault="00000000">
            <w:pPr>
              <w:spacing w:line="500" w:lineRule="exact"/>
              <w:ind w:firstLineChars="200" w:firstLine="482"/>
              <w:rPr>
                <w:b/>
                <w:bCs/>
                <w:sz w:val="24"/>
              </w:rPr>
            </w:pPr>
            <w:r>
              <w:rPr>
                <w:b/>
                <w:bCs/>
                <w:sz w:val="24"/>
              </w:rPr>
              <w:t>（</w:t>
            </w:r>
            <w:r>
              <w:rPr>
                <w:b/>
                <w:bCs/>
                <w:sz w:val="24"/>
              </w:rPr>
              <w:t>1</w:t>
            </w:r>
            <w:r>
              <w:rPr>
                <w:b/>
                <w:bCs/>
                <w:sz w:val="24"/>
              </w:rPr>
              <w:t>）水泥窑协同处置一般固废项目</w:t>
            </w:r>
          </w:p>
          <w:p w14:paraId="1BB9590A" w14:textId="77777777" w:rsidR="00F76A63" w:rsidRDefault="00000000">
            <w:pPr>
              <w:spacing w:line="500" w:lineRule="exact"/>
              <w:ind w:firstLineChars="200" w:firstLine="480"/>
              <w:rPr>
                <w:sz w:val="24"/>
              </w:rPr>
            </w:pPr>
            <w:r>
              <w:rPr>
                <w:rFonts w:ascii="Cambria Math" w:hAnsi="Cambria Math" w:cs="Cambria Math"/>
                <w:sz w:val="24"/>
              </w:rPr>
              <w:t>①</w:t>
            </w:r>
            <w:r>
              <w:rPr>
                <w:sz w:val="24"/>
              </w:rPr>
              <w:t>主要依托现有一期（</w:t>
            </w:r>
            <w:r>
              <w:rPr>
                <w:sz w:val="24"/>
              </w:rPr>
              <w:t>1#</w:t>
            </w:r>
            <w:r>
              <w:rPr>
                <w:sz w:val="24"/>
              </w:rPr>
              <w:t>）、二期（</w:t>
            </w:r>
            <w:r>
              <w:rPr>
                <w:sz w:val="24"/>
              </w:rPr>
              <w:t>2#</w:t>
            </w:r>
            <w:r>
              <w:rPr>
                <w:sz w:val="24"/>
              </w:rPr>
              <w:t>）熟料生产线协同处置</w:t>
            </w:r>
            <w:r>
              <w:rPr>
                <w:sz w:val="24"/>
              </w:rPr>
              <w:t>34</w:t>
            </w:r>
            <w:r>
              <w:rPr>
                <w:sz w:val="24"/>
              </w:rPr>
              <w:t>万吨</w:t>
            </w:r>
            <w:r>
              <w:rPr>
                <w:sz w:val="24"/>
              </w:rPr>
              <w:t>/</w:t>
            </w:r>
            <w:r>
              <w:rPr>
                <w:sz w:val="24"/>
              </w:rPr>
              <w:t>年一般固废；</w:t>
            </w:r>
          </w:p>
          <w:p w14:paraId="3099A5DB" w14:textId="77777777" w:rsidR="00F76A63" w:rsidRDefault="00000000">
            <w:pPr>
              <w:spacing w:line="500" w:lineRule="exact"/>
              <w:ind w:firstLineChars="200" w:firstLine="480"/>
              <w:rPr>
                <w:sz w:val="24"/>
              </w:rPr>
            </w:pPr>
            <w:r>
              <w:rPr>
                <w:rFonts w:ascii="Cambria Math" w:hAnsi="Cambria Math" w:cs="Cambria Math"/>
                <w:sz w:val="24"/>
              </w:rPr>
              <w:t>②</w:t>
            </w:r>
            <w:r>
              <w:rPr>
                <w:sz w:val="24"/>
              </w:rPr>
              <w:t>拟新增一处</w:t>
            </w:r>
            <w:r>
              <w:rPr>
                <w:sz w:val="24"/>
              </w:rPr>
              <w:t>1300</w:t>
            </w:r>
            <w:r>
              <w:rPr>
                <w:sz w:val="24"/>
              </w:rPr>
              <w:t>平方米的一般固废仓库，新增</w:t>
            </w:r>
            <w:r>
              <w:rPr>
                <w:sz w:val="24"/>
              </w:rPr>
              <w:t>200</w:t>
            </w:r>
            <w:r>
              <w:rPr>
                <w:sz w:val="24"/>
              </w:rPr>
              <w:t>平方米的厂房用于回转窑采用膜法富氧局部增氧助燃技术；</w:t>
            </w:r>
          </w:p>
          <w:p w14:paraId="117C9881" w14:textId="77777777" w:rsidR="00F76A63" w:rsidRDefault="00000000">
            <w:pPr>
              <w:spacing w:line="500" w:lineRule="exact"/>
              <w:ind w:firstLineChars="200" w:firstLine="480"/>
              <w:rPr>
                <w:sz w:val="24"/>
              </w:rPr>
            </w:pPr>
            <w:r>
              <w:rPr>
                <w:rFonts w:ascii="Cambria Math" w:hAnsi="Cambria Math" w:cs="Cambria Math"/>
                <w:sz w:val="24"/>
              </w:rPr>
              <w:t>③</w:t>
            </w:r>
            <w:r>
              <w:rPr>
                <w:sz w:val="24"/>
              </w:rPr>
              <w:t>增加一套富氧局部增氧助燃系统；</w:t>
            </w:r>
          </w:p>
          <w:p w14:paraId="73F34D73" w14:textId="77777777" w:rsidR="00F76A63" w:rsidRDefault="00000000">
            <w:pPr>
              <w:spacing w:line="500" w:lineRule="exact"/>
              <w:ind w:firstLineChars="200" w:firstLine="480"/>
              <w:rPr>
                <w:sz w:val="24"/>
              </w:rPr>
            </w:pPr>
            <w:r>
              <w:rPr>
                <w:rFonts w:ascii="Cambria Math" w:hAnsi="Cambria Math" w:cs="Cambria Math"/>
                <w:sz w:val="24"/>
              </w:rPr>
              <w:t>④</w:t>
            </w:r>
            <w:r>
              <w:rPr>
                <w:sz w:val="24"/>
              </w:rPr>
              <w:t>在两条水泥窑窑尾分别安装</w:t>
            </w:r>
            <w:r>
              <w:rPr>
                <w:sz w:val="24"/>
              </w:rPr>
              <w:t>2</w:t>
            </w:r>
            <w:r>
              <w:rPr>
                <w:sz w:val="24"/>
              </w:rPr>
              <w:t>台燃烧炉。</w:t>
            </w:r>
          </w:p>
          <w:p w14:paraId="57EF24A5" w14:textId="77777777" w:rsidR="00F76A63" w:rsidRDefault="00000000">
            <w:pPr>
              <w:spacing w:line="500" w:lineRule="exact"/>
              <w:ind w:firstLineChars="200" w:firstLine="482"/>
              <w:rPr>
                <w:b/>
                <w:bCs/>
                <w:sz w:val="24"/>
              </w:rPr>
            </w:pPr>
            <w:r>
              <w:rPr>
                <w:b/>
                <w:bCs/>
                <w:sz w:val="24"/>
              </w:rPr>
              <w:t>（</w:t>
            </w:r>
            <w:r>
              <w:rPr>
                <w:rFonts w:hint="eastAsia"/>
                <w:b/>
                <w:bCs/>
                <w:sz w:val="24"/>
              </w:rPr>
              <w:t>2</w:t>
            </w:r>
            <w:r>
              <w:rPr>
                <w:b/>
                <w:bCs/>
                <w:sz w:val="24"/>
              </w:rPr>
              <w:t>）水泥窑协同处置飞灰</w:t>
            </w:r>
            <w:r>
              <w:rPr>
                <w:b/>
                <w:bCs/>
                <w:sz w:val="24"/>
              </w:rPr>
              <w:t>3.45</w:t>
            </w:r>
            <w:r>
              <w:rPr>
                <w:b/>
                <w:bCs/>
                <w:sz w:val="24"/>
              </w:rPr>
              <w:t>万吨</w:t>
            </w:r>
            <w:r>
              <w:rPr>
                <w:b/>
                <w:bCs/>
                <w:sz w:val="24"/>
              </w:rPr>
              <w:t>/</w:t>
            </w:r>
            <w:r>
              <w:rPr>
                <w:b/>
                <w:bCs/>
                <w:sz w:val="24"/>
              </w:rPr>
              <w:t>年改扩建项目</w:t>
            </w:r>
          </w:p>
          <w:p w14:paraId="0C5DAF20" w14:textId="77777777" w:rsidR="00F76A63" w:rsidRDefault="00000000">
            <w:pPr>
              <w:spacing w:line="500" w:lineRule="exact"/>
              <w:ind w:firstLineChars="200" w:firstLine="480"/>
              <w:rPr>
                <w:sz w:val="24"/>
              </w:rPr>
            </w:pPr>
            <w:r>
              <w:rPr>
                <w:rFonts w:ascii="Cambria Math" w:hAnsi="Cambria Math" w:cs="Cambria Math"/>
                <w:sz w:val="24"/>
              </w:rPr>
              <w:t>①</w:t>
            </w:r>
            <w:r>
              <w:rPr>
                <w:sz w:val="24"/>
              </w:rPr>
              <w:t>对现有飞灰预处置工程进行改造，提升飞灰料仓除尘效率；洗灰废水的</w:t>
            </w:r>
            <w:r>
              <w:rPr>
                <w:sz w:val="24"/>
              </w:rPr>
              <w:lastRenderedPageBreak/>
              <w:t>水质净化单元，用硫酸钠替代目前使用的部分碳酸钠；</w:t>
            </w:r>
          </w:p>
          <w:p w14:paraId="011428A9" w14:textId="77777777" w:rsidR="00F76A63" w:rsidRDefault="00000000">
            <w:pPr>
              <w:spacing w:line="500" w:lineRule="exact"/>
              <w:ind w:firstLineChars="200" w:firstLine="480"/>
              <w:rPr>
                <w:sz w:val="24"/>
              </w:rPr>
            </w:pPr>
            <w:r>
              <w:rPr>
                <w:rFonts w:ascii="Cambria Math" w:hAnsi="Cambria Math" w:cs="Cambria Math"/>
                <w:sz w:val="24"/>
              </w:rPr>
              <w:t>②</w:t>
            </w:r>
            <w:r>
              <w:rPr>
                <w:sz w:val="24"/>
              </w:rPr>
              <w:t>依托</w:t>
            </w:r>
            <w:r>
              <w:rPr>
                <w:sz w:val="24"/>
              </w:rPr>
              <w:t>1#</w:t>
            </w:r>
            <w:r>
              <w:rPr>
                <w:sz w:val="24"/>
              </w:rPr>
              <w:t>水泥回转窑协同处置飞灰</w:t>
            </w:r>
            <w:r>
              <w:rPr>
                <w:sz w:val="24"/>
              </w:rPr>
              <w:t>2.5</w:t>
            </w:r>
            <w:r>
              <w:rPr>
                <w:sz w:val="24"/>
              </w:rPr>
              <w:t>万吨</w:t>
            </w:r>
            <w:r>
              <w:rPr>
                <w:sz w:val="24"/>
              </w:rPr>
              <w:t>/</w:t>
            </w:r>
            <w:r>
              <w:rPr>
                <w:sz w:val="24"/>
              </w:rPr>
              <w:t>年，依托</w:t>
            </w:r>
            <w:r>
              <w:rPr>
                <w:sz w:val="24"/>
              </w:rPr>
              <w:t>2#</w:t>
            </w:r>
            <w:r>
              <w:rPr>
                <w:sz w:val="24"/>
              </w:rPr>
              <w:t>水泥回转窑新增协同处置飞灰</w:t>
            </w:r>
            <w:r>
              <w:rPr>
                <w:sz w:val="24"/>
              </w:rPr>
              <w:t>0.95</w:t>
            </w:r>
            <w:r>
              <w:rPr>
                <w:sz w:val="24"/>
              </w:rPr>
              <w:t>万吨</w:t>
            </w:r>
            <w:r>
              <w:rPr>
                <w:sz w:val="24"/>
              </w:rPr>
              <w:t>/</w:t>
            </w:r>
            <w:r>
              <w:rPr>
                <w:sz w:val="24"/>
              </w:rPr>
              <w:t>年，扩建完成后全厂协同处置飞灰</w:t>
            </w:r>
            <w:r>
              <w:rPr>
                <w:sz w:val="24"/>
              </w:rPr>
              <w:t>5</w:t>
            </w:r>
            <w:r>
              <w:rPr>
                <w:sz w:val="24"/>
              </w:rPr>
              <w:t>万吨</w:t>
            </w:r>
            <w:r>
              <w:rPr>
                <w:sz w:val="24"/>
              </w:rPr>
              <w:t>/</w:t>
            </w:r>
            <w:r>
              <w:rPr>
                <w:sz w:val="24"/>
              </w:rPr>
              <w:t>年；</w:t>
            </w:r>
          </w:p>
          <w:p w14:paraId="7D687A30" w14:textId="77777777" w:rsidR="00F76A63" w:rsidRDefault="00000000">
            <w:pPr>
              <w:spacing w:line="500" w:lineRule="exact"/>
              <w:ind w:firstLineChars="200" w:firstLine="480"/>
              <w:rPr>
                <w:sz w:val="24"/>
              </w:rPr>
            </w:pPr>
            <w:r>
              <w:rPr>
                <w:rFonts w:ascii="Cambria Math" w:hAnsi="Cambria Math" w:cs="Cambria Math"/>
                <w:sz w:val="24"/>
              </w:rPr>
              <w:t>③</w:t>
            </w:r>
            <w:r>
              <w:rPr>
                <w:sz w:val="24"/>
              </w:rPr>
              <w:t>对依托的</w:t>
            </w:r>
            <w:r>
              <w:rPr>
                <w:sz w:val="24"/>
              </w:rPr>
              <w:t>1#</w:t>
            </w:r>
            <w:r>
              <w:rPr>
                <w:sz w:val="24"/>
              </w:rPr>
              <w:t>水泥窑窑尾进行入料系统适应性改造，增加</w:t>
            </w:r>
            <w:r>
              <w:rPr>
                <w:sz w:val="24"/>
              </w:rPr>
              <w:t>1#</w:t>
            </w:r>
            <w:r>
              <w:rPr>
                <w:sz w:val="24"/>
              </w:rPr>
              <w:t>水泥窑飞灰入料口；对</w:t>
            </w:r>
            <w:r>
              <w:rPr>
                <w:sz w:val="24"/>
              </w:rPr>
              <w:t>1#</w:t>
            </w:r>
            <w:r>
              <w:rPr>
                <w:sz w:val="24"/>
              </w:rPr>
              <w:t>水泥窑窑头篦冷机出口管进行改造，引高温烟气烘干飞灰，新建一套</w:t>
            </w:r>
            <w:r>
              <w:rPr>
                <w:sz w:val="24"/>
              </w:rPr>
              <w:t>1#</w:t>
            </w:r>
            <w:r>
              <w:rPr>
                <w:sz w:val="24"/>
              </w:rPr>
              <w:t>水泥窑窑尾输送系统；</w:t>
            </w:r>
            <w:r>
              <w:rPr>
                <w:sz w:val="24"/>
              </w:rPr>
              <w:t>2#</w:t>
            </w:r>
            <w:r>
              <w:rPr>
                <w:sz w:val="24"/>
              </w:rPr>
              <w:t>水泥窑飞灰入料口和窑尾输送系统依托现有。</w:t>
            </w:r>
          </w:p>
          <w:p w14:paraId="2C247661" w14:textId="77777777" w:rsidR="00F76A63" w:rsidRDefault="00000000">
            <w:pPr>
              <w:spacing w:line="500" w:lineRule="exact"/>
              <w:ind w:firstLineChars="200" w:firstLine="482"/>
              <w:rPr>
                <w:b/>
                <w:bCs/>
                <w:sz w:val="24"/>
              </w:rPr>
            </w:pPr>
            <w:r>
              <w:rPr>
                <w:b/>
                <w:bCs/>
                <w:sz w:val="24"/>
              </w:rPr>
              <w:t>（</w:t>
            </w:r>
            <w:r>
              <w:rPr>
                <w:rFonts w:hint="eastAsia"/>
                <w:b/>
                <w:bCs/>
                <w:sz w:val="24"/>
              </w:rPr>
              <w:t>3</w:t>
            </w:r>
            <w:r>
              <w:rPr>
                <w:b/>
                <w:bCs/>
                <w:sz w:val="24"/>
              </w:rPr>
              <w:t>）替代燃料节能减排项目（一期）</w:t>
            </w:r>
          </w:p>
          <w:p w14:paraId="0DDE3EAF" w14:textId="77777777" w:rsidR="00F76A63" w:rsidRDefault="00000000">
            <w:pPr>
              <w:spacing w:line="500" w:lineRule="exact"/>
              <w:ind w:firstLineChars="200" w:firstLine="480"/>
              <w:rPr>
                <w:sz w:val="24"/>
              </w:rPr>
            </w:pPr>
            <w:r>
              <w:rPr>
                <w:rFonts w:ascii="Cambria Math" w:hAnsi="Cambria Math" w:cs="Cambria Math"/>
                <w:sz w:val="24"/>
              </w:rPr>
              <w:t>①</w:t>
            </w:r>
            <w:r>
              <w:rPr>
                <w:sz w:val="24"/>
              </w:rPr>
              <w:t>利用现有</w:t>
            </w:r>
            <w:r>
              <w:rPr>
                <w:sz w:val="24"/>
              </w:rPr>
              <w:t>1#</w:t>
            </w:r>
            <w:r>
              <w:rPr>
                <w:sz w:val="24"/>
              </w:rPr>
              <w:t>和</w:t>
            </w:r>
            <w:r>
              <w:rPr>
                <w:sz w:val="24"/>
              </w:rPr>
              <w:t>2#</w:t>
            </w:r>
            <w:r>
              <w:rPr>
                <w:sz w:val="24"/>
              </w:rPr>
              <w:t>水泥熟料生产线，对现有的替代燃料的一般固废种类进行调整，减少低热值类一般固废使用，加大高热值类一般固废投加量，涉及调整的替代燃料总量为</w:t>
            </w:r>
            <w:r>
              <w:rPr>
                <w:sz w:val="24"/>
              </w:rPr>
              <w:t>45</w:t>
            </w:r>
            <w:r>
              <w:rPr>
                <w:sz w:val="24"/>
              </w:rPr>
              <w:t>万吨，项目建设前后全厂替代燃料固废总量保持不变，仍为</w:t>
            </w:r>
            <w:r>
              <w:rPr>
                <w:sz w:val="24"/>
              </w:rPr>
              <w:t>49</w:t>
            </w:r>
            <w:r>
              <w:rPr>
                <w:sz w:val="24"/>
              </w:rPr>
              <w:t>万吨</w:t>
            </w:r>
            <w:r>
              <w:rPr>
                <w:sz w:val="24"/>
              </w:rPr>
              <w:t>/</w:t>
            </w:r>
            <w:r>
              <w:rPr>
                <w:sz w:val="24"/>
              </w:rPr>
              <w:t>年；</w:t>
            </w:r>
          </w:p>
          <w:p w14:paraId="22177214" w14:textId="77777777" w:rsidR="00F76A63" w:rsidRDefault="00000000">
            <w:pPr>
              <w:spacing w:line="500" w:lineRule="exact"/>
              <w:ind w:firstLineChars="200" w:firstLine="480"/>
              <w:rPr>
                <w:sz w:val="24"/>
              </w:rPr>
            </w:pPr>
            <w:r>
              <w:rPr>
                <w:rFonts w:ascii="Cambria Math" w:hAnsi="Cambria Math" w:cs="Cambria Math"/>
                <w:sz w:val="24"/>
              </w:rPr>
              <w:t>②</w:t>
            </w:r>
            <w:r>
              <w:rPr>
                <w:sz w:val="24"/>
              </w:rPr>
              <w:t>为保证替代燃料利用效率，拟对</w:t>
            </w:r>
            <w:r>
              <w:rPr>
                <w:sz w:val="24"/>
              </w:rPr>
              <w:t>1#</w:t>
            </w:r>
            <w:r>
              <w:rPr>
                <w:sz w:val="24"/>
              </w:rPr>
              <w:t>熟料生产线轮胎破碎车间轮胎</w:t>
            </w:r>
            <w:r>
              <w:rPr>
                <w:sz w:val="24"/>
              </w:rPr>
              <w:t>1</w:t>
            </w:r>
            <w:r>
              <w:rPr>
                <w:sz w:val="24"/>
              </w:rPr>
              <w:t>套破碎系统进行改造，并增加</w:t>
            </w:r>
            <w:r>
              <w:rPr>
                <w:sz w:val="24"/>
              </w:rPr>
              <w:t>1</w:t>
            </w:r>
            <w:r>
              <w:rPr>
                <w:sz w:val="24"/>
              </w:rPr>
              <w:t>套破碎系统，使其破碎能力达到</w:t>
            </w:r>
            <w:r>
              <w:rPr>
                <w:sz w:val="24"/>
              </w:rPr>
              <w:t>30t/h</w:t>
            </w:r>
            <w:r>
              <w:rPr>
                <w:sz w:val="24"/>
              </w:rPr>
              <w:t>（单套破碎能力</w:t>
            </w:r>
            <w:r>
              <w:rPr>
                <w:sz w:val="24"/>
              </w:rPr>
              <w:t>15t/h</w:t>
            </w:r>
            <w:r>
              <w:rPr>
                <w:sz w:val="24"/>
              </w:rPr>
              <w:t>），在余热发电西侧场地建设替代燃料堆棚，占地约</w:t>
            </w:r>
            <w:r>
              <w:rPr>
                <w:sz w:val="24"/>
              </w:rPr>
              <w:t>13000</w:t>
            </w:r>
            <w:r>
              <w:rPr>
                <w:sz w:val="24"/>
              </w:rPr>
              <w:t>平方米，堆棚内新增</w:t>
            </w:r>
            <w:r>
              <w:rPr>
                <w:sz w:val="24"/>
              </w:rPr>
              <w:t>3</w:t>
            </w:r>
            <w:r>
              <w:rPr>
                <w:sz w:val="24"/>
              </w:rPr>
              <w:t>套破碎系统（单套破碎能力</w:t>
            </w:r>
            <w:r>
              <w:rPr>
                <w:sz w:val="24"/>
              </w:rPr>
              <w:t>15t/h</w:t>
            </w:r>
            <w:r>
              <w:rPr>
                <w:sz w:val="24"/>
              </w:rPr>
              <w:t>），总破碎能力达到</w:t>
            </w:r>
            <w:r>
              <w:rPr>
                <w:sz w:val="24"/>
              </w:rPr>
              <w:t>45t/h</w:t>
            </w:r>
            <w:r>
              <w:rPr>
                <w:sz w:val="24"/>
              </w:rPr>
              <w:t>，建成后全厂替代燃料破碎能力可达</w:t>
            </w:r>
            <w:r>
              <w:rPr>
                <w:sz w:val="24"/>
              </w:rPr>
              <w:t>75t/h</w:t>
            </w:r>
            <w:r>
              <w:rPr>
                <w:sz w:val="24"/>
              </w:rPr>
              <w:t>；</w:t>
            </w:r>
          </w:p>
          <w:p w14:paraId="78802D13" w14:textId="77777777" w:rsidR="00F76A63" w:rsidRDefault="00000000">
            <w:pPr>
              <w:spacing w:line="500" w:lineRule="exact"/>
              <w:ind w:firstLineChars="200" w:firstLine="482"/>
              <w:rPr>
                <w:b/>
                <w:bCs/>
                <w:sz w:val="24"/>
              </w:rPr>
            </w:pPr>
            <w:r>
              <w:rPr>
                <w:b/>
                <w:bCs/>
                <w:sz w:val="24"/>
              </w:rPr>
              <w:t>（</w:t>
            </w:r>
            <w:r>
              <w:rPr>
                <w:rFonts w:hint="eastAsia"/>
                <w:b/>
                <w:bCs/>
                <w:sz w:val="24"/>
              </w:rPr>
              <w:t>4</w:t>
            </w:r>
            <w:r>
              <w:rPr>
                <w:b/>
                <w:bCs/>
                <w:sz w:val="24"/>
              </w:rPr>
              <w:t>）一二线窑旁路放风除氯及水洗综合利用技改</w:t>
            </w:r>
          </w:p>
          <w:p w14:paraId="684E1A80" w14:textId="77777777" w:rsidR="00F76A63" w:rsidRDefault="00000000">
            <w:pPr>
              <w:spacing w:line="500" w:lineRule="exact"/>
              <w:ind w:firstLineChars="200" w:firstLine="480"/>
              <w:rPr>
                <w:sz w:val="24"/>
              </w:rPr>
            </w:pPr>
            <w:r>
              <w:rPr>
                <w:sz w:val="24"/>
              </w:rPr>
              <w:t>在一、二线水泥窑各建设</w:t>
            </w:r>
            <w:r>
              <w:rPr>
                <w:sz w:val="24"/>
              </w:rPr>
              <w:t>1</w:t>
            </w:r>
            <w:r>
              <w:rPr>
                <w:sz w:val="24"/>
              </w:rPr>
              <w:t>套旁路放风系统，并新建</w:t>
            </w:r>
            <w:r>
              <w:rPr>
                <w:sz w:val="24"/>
              </w:rPr>
              <w:t>1</w:t>
            </w:r>
            <w:r>
              <w:rPr>
                <w:sz w:val="24"/>
              </w:rPr>
              <w:t>套旁路灰水洗除氯处理系统用于旁路灰综合利用，形成旁路灰处置能力</w:t>
            </w:r>
            <w:r>
              <w:rPr>
                <w:sz w:val="24"/>
              </w:rPr>
              <w:t>100t/d</w:t>
            </w:r>
            <w:r>
              <w:rPr>
                <w:sz w:val="24"/>
              </w:rPr>
              <w:t>，氯化钾副产品达到相关产品标准后外售给相关企业使用。</w:t>
            </w:r>
          </w:p>
          <w:p w14:paraId="175B9039" w14:textId="77777777" w:rsidR="00F76A63" w:rsidRDefault="00000000">
            <w:pPr>
              <w:autoSpaceDE w:val="0"/>
              <w:autoSpaceDN w:val="0"/>
              <w:adjustRightInd w:val="0"/>
              <w:spacing w:line="500" w:lineRule="exact"/>
              <w:ind w:firstLineChars="200" w:firstLine="480"/>
              <w:rPr>
                <w:sz w:val="24"/>
              </w:rPr>
            </w:pPr>
            <w:r>
              <w:rPr>
                <w:sz w:val="24"/>
              </w:rPr>
              <w:t>本项目设置两级逆流水洗，二级采用冷凝水进行水洗，二级水洗后固液分离产生的滤液用于一级水洗，一级水洗固液分离产生的滤液进行水质净化，达到蒸发要求后，进入蒸发系统进行处理回收氯盐。</w:t>
            </w:r>
          </w:p>
          <w:p w14:paraId="2EB88784" w14:textId="77777777" w:rsidR="00F76A63" w:rsidRDefault="00000000">
            <w:pPr>
              <w:autoSpaceDE w:val="0"/>
              <w:autoSpaceDN w:val="0"/>
              <w:adjustRightInd w:val="0"/>
              <w:spacing w:line="500" w:lineRule="exact"/>
              <w:ind w:firstLineChars="200" w:firstLine="480"/>
              <w:rPr>
                <w:sz w:val="24"/>
              </w:rPr>
            </w:pPr>
            <w:r>
              <w:rPr>
                <w:sz w:val="24"/>
              </w:rPr>
              <w:t>考虑到实际过程中旁路灰中氯元素洗出受各种因素的影响，以及旁路灰中存在其他难溶于水的含氯化合物，本项目可通过采取控制各级水洗搅拌速率、加水量及停留时间等参数，可控制旁路灰中氯元素的洗出率达</w:t>
            </w:r>
            <w:r>
              <w:rPr>
                <w:sz w:val="24"/>
              </w:rPr>
              <w:t>90%</w:t>
            </w:r>
            <w:r>
              <w:rPr>
                <w:sz w:val="24"/>
              </w:rPr>
              <w:t>～</w:t>
            </w:r>
            <w:r>
              <w:rPr>
                <w:sz w:val="24"/>
              </w:rPr>
              <w:t>95%</w:t>
            </w:r>
            <w:r>
              <w:rPr>
                <w:sz w:val="24"/>
              </w:rPr>
              <w:t>甚至</w:t>
            </w:r>
            <w:r>
              <w:rPr>
                <w:sz w:val="24"/>
              </w:rPr>
              <w:lastRenderedPageBreak/>
              <w:t>更高。</w:t>
            </w:r>
          </w:p>
          <w:p w14:paraId="78339E41" w14:textId="77777777" w:rsidR="00F76A63" w:rsidRDefault="00F76A63">
            <w:pPr>
              <w:autoSpaceDE w:val="0"/>
              <w:autoSpaceDN w:val="0"/>
              <w:adjustRightInd w:val="0"/>
              <w:spacing w:line="500" w:lineRule="exact"/>
              <w:ind w:firstLineChars="200" w:firstLine="480"/>
              <w:rPr>
                <w:sz w:val="24"/>
              </w:rPr>
            </w:pPr>
          </w:p>
        </w:tc>
      </w:tr>
    </w:tbl>
    <w:p w14:paraId="2E11D879" w14:textId="77777777" w:rsidR="00F76A63" w:rsidRDefault="00F76A63">
      <w:pPr>
        <w:sectPr w:rsidR="00F76A63">
          <w:pgSz w:w="11906" w:h="16838"/>
          <w:pgMar w:top="1701" w:right="1531" w:bottom="1701" w:left="1531" w:header="851" w:footer="851" w:gutter="0"/>
          <w:cols w:space="720"/>
          <w:docGrid w:linePitch="312"/>
        </w:sectPr>
      </w:pPr>
    </w:p>
    <w:p w14:paraId="7DAA6C4D" w14:textId="77777777" w:rsidR="00F76A63" w:rsidRDefault="00F76A63"/>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56"/>
        <w:gridCol w:w="12660"/>
      </w:tblGrid>
      <w:tr w:rsidR="00F76A63" w14:paraId="619A8CC7" w14:textId="77777777">
        <w:trPr>
          <w:trHeight w:val="2819"/>
          <w:jc w:val="center"/>
        </w:trPr>
        <w:tc>
          <w:tcPr>
            <w:tcW w:w="497" w:type="dxa"/>
            <w:vAlign w:val="center"/>
          </w:tcPr>
          <w:p w14:paraId="0E09B7B8" w14:textId="77777777" w:rsidR="00F76A63" w:rsidRDefault="00F76A63">
            <w:pPr>
              <w:adjustRightInd w:val="0"/>
              <w:snapToGrid w:val="0"/>
              <w:jc w:val="center"/>
              <w:rPr>
                <w:b/>
              </w:rPr>
            </w:pPr>
          </w:p>
        </w:tc>
        <w:tc>
          <w:tcPr>
            <w:tcW w:w="8327" w:type="dxa"/>
          </w:tcPr>
          <w:p w14:paraId="25D9B722" w14:textId="77777777" w:rsidR="00F76A63" w:rsidRDefault="00000000">
            <w:pPr>
              <w:keepNext/>
              <w:keepLines/>
              <w:widowControl/>
              <w:tabs>
                <w:tab w:val="left" w:pos="2340"/>
              </w:tabs>
              <w:adjustRightInd w:val="0"/>
              <w:snapToGrid w:val="0"/>
              <w:spacing w:line="500" w:lineRule="exact"/>
              <w:ind w:firstLineChars="200" w:firstLine="482"/>
              <w:rPr>
                <w:b/>
                <w:bCs/>
                <w:kern w:val="0"/>
                <w:sz w:val="24"/>
              </w:rPr>
            </w:pPr>
            <w:r>
              <w:rPr>
                <w:b/>
                <w:bCs/>
                <w:kern w:val="0"/>
                <w:sz w:val="24"/>
              </w:rPr>
              <w:t>4</w:t>
            </w:r>
            <w:r>
              <w:rPr>
                <w:b/>
                <w:bCs/>
                <w:kern w:val="0"/>
                <w:sz w:val="24"/>
              </w:rPr>
              <w:t>、在建、拟建项目建成后全厂污染物排放情况</w:t>
            </w:r>
          </w:p>
          <w:p w14:paraId="2C534A0D" w14:textId="77777777" w:rsidR="00F76A63" w:rsidRDefault="00000000">
            <w:pPr>
              <w:keepNext/>
              <w:keepLines/>
              <w:widowControl/>
              <w:tabs>
                <w:tab w:val="left" w:pos="2340"/>
              </w:tabs>
              <w:adjustRightInd w:val="0"/>
              <w:snapToGrid w:val="0"/>
              <w:spacing w:line="500" w:lineRule="exact"/>
              <w:ind w:firstLineChars="200" w:firstLine="482"/>
              <w:rPr>
                <w:b/>
                <w:bCs/>
                <w:kern w:val="0"/>
                <w:sz w:val="24"/>
              </w:rPr>
            </w:pPr>
            <w:r>
              <w:rPr>
                <w:b/>
                <w:bCs/>
                <w:kern w:val="0"/>
                <w:sz w:val="24"/>
              </w:rPr>
              <w:t>（</w:t>
            </w:r>
            <w:r>
              <w:rPr>
                <w:b/>
                <w:bCs/>
                <w:kern w:val="0"/>
                <w:sz w:val="24"/>
              </w:rPr>
              <w:t>1</w:t>
            </w:r>
            <w:r>
              <w:rPr>
                <w:b/>
                <w:bCs/>
                <w:kern w:val="0"/>
                <w:sz w:val="24"/>
              </w:rPr>
              <w:t>）废气</w:t>
            </w:r>
          </w:p>
          <w:p w14:paraId="124C9F21" w14:textId="77777777" w:rsidR="00F76A63" w:rsidRDefault="00000000">
            <w:pPr>
              <w:spacing w:line="500" w:lineRule="exact"/>
              <w:ind w:firstLineChars="200" w:firstLine="480"/>
              <w:rPr>
                <w:bCs/>
                <w:sz w:val="24"/>
              </w:rPr>
            </w:pPr>
            <w:r>
              <w:rPr>
                <w:bCs/>
                <w:sz w:val="24"/>
              </w:rPr>
              <w:t>根据拟建、在建项目环评，拟建、在建项目完成后</w:t>
            </w:r>
            <w:r>
              <w:rPr>
                <w:rFonts w:hint="eastAsia"/>
                <w:bCs/>
                <w:sz w:val="24"/>
              </w:rPr>
              <w:t>全厂</w:t>
            </w:r>
            <w:r>
              <w:rPr>
                <w:bCs/>
                <w:sz w:val="24"/>
              </w:rPr>
              <w:t>废气具体情况见表</w:t>
            </w:r>
            <w:r>
              <w:rPr>
                <w:bCs/>
                <w:sz w:val="24"/>
              </w:rPr>
              <w:t>2-</w:t>
            </w:r>
            <w:r>
              <w:rPr>
                <w:rFonts w:hint="eastAsia"/>
                <w:bCs/>
                <w:sz w:val="24"/>
              </w:rPr>
              <w:t>58</w:t>
            </w:r>
            <w:r>
              <w:rPr>
                <w:bCs/>
                <w:sz w:val="24"/>
              </w:rPr>
              <w:t>~2-</w:t>
            </w:r>
            <w:r>
              <w:rPr>
                <w:rFonts w:hint="eastAsia"/>
                <w:bCs/>
                <w:sz w:val="24"/>
              </w:rPr>
              <w:t>60</w:t>
            </w:r>
            <w:r>
              <w:rPr>
                <w:bCs/>
                <w:sz w:val="24"/>
              </w:rPr>
              <w:t>。</w:t>
            </w:r>
          </w:p>
          <w:p w14:paraId="208176A1" w14:textId="77777777" w:rsidR="00F76A63" w:rsidRDefault="00000000">
            <w:pPr>
              <w:spacing w:line="500" w:lineRule="exact"/>
              <w:jc w:val="center"/>
              <w:rPr>
                <w:b/>
                <w:bCs/>
                <w:sz w:val="24"/>
              </w:rPr>
            </w:pPr>
            <w:r>
              <w:rPr>
                <w:b/>
                <w:bCs/>
                <w:sz w:val="24"/>
              </w:rPr>
              <w:t>表</w:t>
            </w:r>
            <w:r>
              <w:rPr>
                <w:b/>
                <w:bCs/>
                <w:sz w:val="24"/>
              </w:rPr>
              <w:t>2-</w:t>
            </w:r>
            <w:r>
              <w:rPr>
                <w:rFonts w:hint="eastAsia"/>
                <w:b/>
                <w:bCs/>
                <w:sz w:val="24"/>
              </w:rPr>
              <w:t>58</w:t>
            </w:r>
            <w:r>
              <w:rPr>
                <w:b/>
                <w:bCs/>
                <w:sz w:val="24"/>
              </w:rPr>
              <w:t xml:space="preserve">a  </w:t>
            </w:r>
            <w:r>
              <w:rPr>
                <w:b/>
                <w:bCs/>
                <w:sz w:val="24"/>
              </w:rPr>
              <w:t>在建、拟建项目全部建成后</w:t>
            </w:r>
            <w:r>
              <w:rPr>
                <w:b/>
                <w:bCs/>
                <w:sz w:val="24"/>
              </w:rPr>
              <w:t>1#</w:t>
            </w:r>
            <w:r>
              <w:rPr>
                <w:b/>
                <w:bCs/>
                <w:sz w:val="24"/>
              </w:rPr>
              <w:t>窑窑尾废气的产生和排放情况</w:t>
            </w:r>
          </w:p>
          <w:tbl>
            <w:tblPr>
              <w:tblW w:w="5000" w:type="pct"/>
              <w:jc w:val="center"/>
              <w:tblBorders>
                <w:top w:val="single" w:sz="12" w:space="0" w:color="000000"/>
                <w:bottom w:val="single" w:sz="12" w:space="0" w:color="000000"/>
                <w:insideH w:val="single" w:sz="6" w:space="0" w:color="000000"/>
                <w:insideV w:val="single" w:sz="6" w:space="0" w:color="000000"/>
              </w:tblBorders>
              <w:tblLayout w:type="fixed"/>
              <w:tblLook w:val="04A0" w:firstRow="1" w:lastRow="0" w:firstColumn="1" w:lastColumn="0" w:noHBand="0" w:noVBand="1"/>
            </w:tblPr>
            <w:tblGrid>
              <w:gridCol w:w="413"/>
              <w:gridCol w:w="413"/>
              <w:gridCol w:w="1725"/>
              <w:gridCol w:w="868"/>
              <w:gridCol w:w="935"/>
              <w:gridCol w:w="851"/>
              <w:gridCol w:w="929"/>
              <w:gridCol w:w="619"/>
              <w:gridCol w:w="968"/>
              <w:gridCol w:w="985"/>
              <w:gridCol w:w="851"/>
              <w:gridCol w:w="868"/>
              <w:gridCol w:w="611"/>
              <w:gridCol w:w="412"/>
              <w:gridCol w:w="485"/>
              <w:gridCol w:w="511"/>
            </w:tblGrid>
            <w:tr w:rsidR="00F76A63" w14:paraId="7EB738B1" w14:textId="77777777">
              <w:trPr>
                <w:jc w:val="center"/>
              </w:trPr>
              <w:tc>
                <w:tcPr>
                  <w:tcW w:w="286" w:type="dxa"/>
                  <w:vMerge w:val="restart"/>
                  <w:tcBorders>
                    <w:top w:val="single" w:sz="12" w:space="0" w:color="000000"/>
                    <w:left w:val="nil"/>
                    <w:bottom w:val="single" w:sz="6" w:space="0" w:color="000000"/>
                    <w:right w:val="single" w:sz="6" w:space="0" w:color="000000"/>
                  </w:tcBorders>
                  <w:vAlign w:val="center"/>
                </w:tcPr>
                <w:p w14:paraId="21B0B676" w14:textId="77777777" w:rsidR="00F76A63" w:rsidRDefault="00000000">
                  <w:pPr>
                    <w:pStyle w:val="001"/>
                  </w:pPr>
                  <w:r>
                    <w:t>序号</w:t>
                  </w:r>
                </w:p>
              </w:tc>
              <w:tc>
                <w:tcPr>
                  <w:tcW w:w="286" w:type="dxa"/>
                  <w:vMerge w:val="restart"/>
                  <w:tcBorders>
                    <w:top w:val="single" w:sz="12" w:space="0" w:color="000000"/>
                    <w:left w:val="single" w:sz="6" w:space="0" w:color="000000"/>
                    <w:bottom w:val="single" w:sz="6" w:space="0" w:color="000000"/>
                    <w:right w:val="single" w:sz="6" w:space="0" w:color="000000"/>
                  </w:tcBorders>
                  <w:vAlign w:val="center"/>
                </w:tcPr>
                <w:p w14:paraId="13549AA5" w14:textId="77777777" w:rsidR="00F76A63" w:rsidRDefault="00000000">
                  <w:pPr>
                    <w:pStyle w:val="001"/>
                  </w:pPr>
                  <w:r>
                    <w:t>污染源</w:t>
                  </w:r>
                </w:p>
              </w:tc>
              <w:tc>
                <w:tcPr>
                  <w:tcW w:w="1198" w:type="dxa"/>
                  <w:vMerge w:val="restart"/>
                  <w:tcBorders>
                    <w:top w:val="single" w:sz="12" w:space="0" w:color="000000"/>
                    <w:left w:val="single" w:sz="6" w:space="0" w:color="000000"/>
                    <w:bottom w:val="single" w:sz="6" w:space="0" w:color="000000"/>
                    <w:right w:val="single" w:sz="6" w:space="0" w:color="000000"/>
                  </w:tcBorders>
                  <w:vAlign w:val="center"/>
                </w:tcPr>
                <w:p w14:paraId="2FBD7440" w14:textId="77777777" w:rsidR="00F76A63" w:rsidRDefault="00000000">
                  <w:pPr>
                    <w:pStyle w:val="001"/>
                  </w:pPr>
                  <w:r>
                    <w:t>污染物</w:t>
                  </w:r>
                </w:p>
              </w:tc>
              <w:tc>
                <w:tcPr>
                  <w:tcW w:w="1843" w:type="dxa"/>
                  <w:gridSpan w:val="3"/>
                  <w:tcBorders>
                    <w:top w:val="single" w:sz="12" w:space="0" w:color="000000"/>
                    <w:left w:val="single" w:sz="6" w:space="0" w:color="000000"/>
                    <w:bottom w:val="single" w:sz="6" w:space="0" w:color="000000"/>
                    <w:right w:val="single" w:sz="6" w:space="0" w:color="000000"/>
                  </w:tcBorders>
                  <w:vAlign w:val="center"/>
                </w:tcPr>
                <w:p w14:paraId="12217998" w14:textId="77777777" w:rsidR="00F76A63" w:rsidRDefault="00000000">
                  <w:pPr>
                    <w:pStyle w:val="001"/>
                  </w:pPr>
                  <w:r>
                    <w:t>产生情况</w:t>
                  </w:r>
                </w:p>
              </w:tc>
              <w:tc>
                <w:tcPr>
                  <w:tcW w:w="645" w:type="dxa"/>
                  <w:vMerge w:val="restart"/>
                  <w:tcBorders>
                    <w:top w:val="single" w:sz="12" w:space="0" w:color="000000"/>
                    <w:left w:val="single" w:sz="6" w:space="0" w:color="000000"/>
                    <w:bottom w:val="single" w:sz="6" w:space="0" w:color="000000"/>
                    <w:right w:val="single" w:sz="6" w:space="0" w:color="000000"/>
                  </w:tcBorders>
                  <w:vAlign w:val="center"/>
                </w:tcPr>
                <w:p w14:paraId="2942747E" w14:textId="77777777" w:rsidR="00F76A63" w:rsidRDefault="00000000">
                  <w:pPr>
                    <w:pStyle w:val="001"/>
                  </w:pPr>
                  <w:r>
                    <w:t>治理措施</w:t>
                  </w:r>
                </w:p>
              </w:tc>
              <w:tc>
                <w:tcPr>
                  <w:tcW w:w="430" w:type="dxa"/>
                  <w:vMerge w:val="restart"/>
                  <w:tcBorders>
                    <w:top w:val="single" w:sz="12" w:space="0" w:color="000000"/>
                    <w:left w:val="single" w:sz="6" w:space="0" w:color="000000"/>
                    <w:bottom w:val="single" w:sz="6" w:space="0" w:color="000000"/>
                    <w:right w:val="single" w:sz="6" w:space="0" w:color="000000"/>
                  </w:tcBorders>
                  <w:vAlign w:val="center"/>
                </w:tcPr>
                <w:p w14:paraId="757BC90E" w14:textId="77777777" w:rsidR="00F76A63" w:rsidRDefault="00000000">
                  <w:pPr>
                    <w:pStyle w:val="001"/>
                  </w:pPr>
                  <w:r>
                    <w:t>去除率</w:t>
                  </w:r>
                </w:p>
              </w:tc>
              <w:tc>
                <w:tcPr>
                  <w:tcW w:w="1947" w:type="dxa"/>
                  <w:gridSpan w:val="3"/>
                  <w:tcBorders>
                    <w:top w:val="single" w:sz="12" w:space="0" w:color="000000"/>
                    <w:left w:val="single" w:sz="6" w:space="0" w:color="000000"/>
                    <w:bottom w:val="nil"/>
                    <w:right w:val="single" w:sz="6" w:space="0" w:color="000000"/>
                  </w:tcBorders>
                  <w:vAlign w:val="center"/>
                </w:tcPr>
                <w:p w14:paraId="28DD22A3" w14:textId="77777777" w:rsidR="00F76A63" w:rsidRDefault="00000000">
                  <w:pPr>
                    <w:pStyle w:val="001"/>
                  </w:pPr>
                  <w:r>
                    <w:t>排放情况</w:t>
                  </w:r>
                </w:p>
              </w:tc>
              <w:tc>
                <w:tcPr>
                  <w:tcW w:w="603" w:type="dxa"/>
                  <w:tcBorders>
                    <w:top w:val="single" w:sz="12" w:space="0" w:color="000000"/>
                    <w:left w:val="single" w:sz="6" w:space="0" w:color="000000"/>
                    <w:bottom w:val="nil"/>
                    <w:right w:val="single" w:sz="6" w:space="0" w:color="000000"/>
                  </w:tcBorders>
                  <w:vAlign w:val="center"/>
                </w:tcPr>
                <w:p w14:paraId="46868721" w14:textId="77777777" w:rsidR="00F76A63" w:rsidRDefault="00000000">
                  <w:pPr>
                    <w:pStyle w:val="001"/>
                  </w:pPr>
                  <w:r>
                    <w:t>标准</w:t>
                  </w:r>
                </w:p>
              </w:tc>
              <w:tc>
                <w:tcPr>
                  <w:tcW w:w="1402" w:type="dxa"/>
                  <w:gridSpan w:val="4"/>
                  <w:tcBorders>
                    <w:top w:val="single" w:sz="12" w:space="0" w:color="000000"/>
                    <w:left w:val="single" w:sz="6" w:space="0" w:color="000000"/>
                    <w:bottom w:val="single" w:sz="6" w:space="0" w:color="000000"/>
                    <w:right w:val="nil"/>
                  </w:tcBorders>
                  <w:vAlign w:val="center"/>
                </w:tcPr>
                <w:p w14:paraId="31FAD481" w14:textId="77777777" w:rsidR="00F76A63" w:rsidRDefault="00000000">
                  <w:pPr>
                    <w:pStyle w:val="001"/>
                  </w:pPr>
                  <w:r>
                    <w:t>排放参数</w:t>
                  </w:r>
                </w:p>
              </w:tc>
            </w:tr>
            <w:tr w:rsidR="00F76A63" w14:paraId="35A07DE8" w14:textId="77777777">
              <w:trPr>
                <w:jc w:val="center"/>
              </w:trPr>
              <w:tc>
                <w:tcPr>
                  <w:tcW w:w="286" w:type="dxa"/>
                  <w:vMerge/>
                  <w:tcBorders>
                    <w:top w:val="single" w:sz="12" w:space="0" w:color="000000"/>
                    <w:left w:val="nil"/>
                    <w:bottom w:val="single" w:sz="6" w:space="0" w:color="000000"/>
                    <w:right w:val="single" w:sz="6" w:space="0" w:color="000000"/>
                  </w:tcBorders>
                  <w:vAlign w:val="center"/>
                </w:tcPr>
                <w:p w14:paraId="5606EAB7" w14:textId="77777777" w:rsidR="00F76A63" w:rsidRDefault="00F76A63">
                  <w:pPr>
                    <w:widowControl/>
                    <w:jc w:val="center"/>
                    <w:rPr>
                      <w:b/>
                      <w:bCs/>
                      <w:kern w:val="28"/>
                      <w:szCs w:val="21"/>
                    </w:rPr>
                  </w:pPr>
                </w:p>
              </w:tc>
              <w:tc>
                <w:tcPr>
                  <w:tcW w:w="286" w:type="dxa"/>
                  <w:vMerge/>
                  <w:tcBorders>
                    <w:top w:val="single" w:sz="12" w:space="0" w:color="000000"/>
                    <w:left w:val="single" w:sz="6" w:space="0" w:color="000000"/>
                    <w:bottom w:val="single" w:sz="6" w:space="0" w:color="000000"/>
                    <w:right w:val="single" w:sz="6" w:space="0" w:color="000000"/>
                  </w:tcBorders>
                  <w:vAlign w:val="center"/>
                </w:tcPr>
                <w:p w14:paraId="6267579A" w14:textId="77777777" w:rsidR="00F76A63" w:rsidRDefault="00F76A63">
                  <w:pPr>
                    <w:widowControl/>
                    <w:jc w:val="center"/>
                    <w:rPr>
                      <w:b/>
                      <w:bCs/>
                      <w:kern w:val="28"/>
                      <w:szCs w:val="21"/>
                    </w:rPr>
                  </w:pPr>
                </w:p>
              </w:tc>
              <w:tc>
                <w:tcPr>
                  <w:tcW w:w="1198" w:type="dxa"/>
                  <w:vMerge/>
                  <w:tcBorders>
                    <w:top w:val="single" w:sz="12" w:space="0" w:color="000000"/>
                    <w:left w:val="single" w:sz="6" w:space="0" w:color="000000"/>
                    <w:bottom w:val="single" w:sz="6" w:space="0" w:color="000000"/>
                    <w:right w:val="single" w:sz="6" w:space="0" w:color="000000"/>
                  </w:tcBorders>
                  <w:vAlign w:val="center"/>
                </w:tcPr>
                <w:p w14:paraId="3198A914" w14:textId="77777777" w:rsidR="00F76A63" w:rsidRDefault="00F76A63">
                  <w:pPr>
                    <w:widowControl/>
                    <w:jc w:val="center"/>
                    <w:rPr>
                      <w:b/>
                      <w:bCs/>
                      <w:kern w:val="28"/>
                      <w:szCs w:val="21"/>
                    </w:rPr>
                  </w:pPr>
                </w:p>
              </w:tc>
              <w:tc>
                <w:tcPr>
                  <w:tcW w:w="603" w:type="dxa"/>
                  <w:tcBorders>
                    <w:top w:val="single" w:sz="6" w:space="0" w:color="000000"/>
                    <w:left w:val="single" w:sz="6" w:space="0" w:color="000000"/>
                    <w:bottom w:val="single" w:sz="6" w:space="0" w:color="000000"/>
                    <w:right w:val="single" w:sz="6" w:space="0" w:color="000000"/>
                  </w:tcBorders>
                  <w:vAlign w:val="center"/>
                </w:tcPr>
                <w:p w14:paraId="489B40F4" w14:textId="77777777" w:rsidR="00F76A63" w:rsidRDefault="00000000">
                  <w:pPr>
                    <w:pStyle w:val="001"/>
                  </w:pPr>
                  <w:r>
                    <w:t>浓度</w:t>
                  </w:r>
                  <w:r>
                    <w:t>mg/m</w:t>
                  </w:r>
                  <w:r>
                    <w:rPr>
                      <w:vertAlign w:val="superscript"/>
                    </w:rPr>
                    <w:t>3</w:t>
                  </w:r>
                </w:p>
              </w:tc>
              <w:tc>
                <w:tcPr>
                  <w:tcW w:w="649" w:type="dxa"/>
                  <w:tcBorders>
                    <w:top w:val="single" w:sz="6" w:space="0" w:color="000000"/>
                    <w:left w:val="single" w:sz="6" w:space="0" w:color="000000"/>
                    <w:bottom w:val="single" w:sz="6" w:space="0" w:color="000000"/>
                    <w:right w:val="single" w:sz="6" w:space="0" w:color="000000"/>
                  </w:tcBorders>
                  <w:vAlign w:val="center"/>
                </w:tcPr>
                <w:p w14:paraId="07179E92" w14:textId="77777777" w:rsidR="00F76A63" w:rsidRDefault="00000000">
                  <w:pPr>
                    <w:pStyle w:val="001"/>
                  </w:pPr>
                  <w:r>
                    <w:t>速率</w:t>
                  </w:r>
                  <w:r>
                    <w:t>kg/h</w:t>
                  </w:r>
                </w:p>
              </w:tc>
              <w:tc>
                <w:tcPr>
                  <w:tcW w:w="591" w:type="dxa"/>
                  <w:tcBorders>
                    <w:top w:val="single" w:sz="6" w:space="0" w:color="000000"/>
                    <w:left w:val="single" w:sz="6" w:space="0" w:color="000000"/>
                    <w:bottom w:val="single" w:sz="6" w:space="0" w:color="000000"/>
                    <w:right w:val="single" w:sz="6" w:space="0" w:color="000000"/>
                  </w:tcBorders>
                  <w:vAlign w:val="center"/>
                </w:tcPr>
                <w:p w14:paraId="302AF6EB" w14:textId="77777777" w:rsidR="00F76A63" w:rsidRDefault="00000000">
                  <w:pPr>
                    <w:pStyle w:val="001"/>
                  </w:pPr>
                  <w:r>
                    <w:t>产生量</w:t>
                  </w:r>
                  <w:r>
                    <w:t>t/a</w:t>
                  </w:r>
                </w:p>
              </w:tc>
              <w:tc>
                <w:tcPr>
                  <w:tcW w:w="645" w:type="dxa"/>
                  <w:vMerge/>
                  <w:tcBorders>
                    <w:top w:val="single" w:sz="12" w:space="0" w:color="000000"/>
                    <w:left w:val="single" w:sz="6" w:space="0" w:color="000000"/>
                    <w:bottom w:val="single" w:sz="6" w:space="0" w:color="000000"/>
                    <w:right w:val="single" w:sz="6" w:space="0" w:color="000000"/>
                  </w:tcBorders>
                  <w:vAlign w:val="center"/>
                </w:tcPr>
                <w:p w14:paraId="7B4F71D4" w14:textId="77777777" w:rsidR="00F76A63" w:rsidRDefault="00F76A63">
                  <w:pPr>
                    <w:widowControl/>
                    <w:jc w:val="center"/>
                    <w:rPr>
                      <w:b/>
                      <w:bCs/>
                      <w:kern w:val="28"/>
                      <w:szCs w:val="21"/>
                    </w:rPr>
                  </w:pPr>
                </w:p>
              </w:tc>
              <w:tc>
                <w:tcPr>
                  <w:tcW w:w="430" w:type="dxa"/>
                  <w:vMerge/>
                  <w:tcBorders>
                    <w:top w:val="single" w:sz="12" w:space="0" w:color="000000"/>
                    <w:left w:val="single" w:sz="6" w:space="0" w:color="000000"/>
                    <w:bottom w:val="single" w:sz="6" w:space="0" w:color="000000"/>
                    <w:right w:val="single" w:sz="6" w:space="0" w:color="000000"/>
                  </w:tcBorders>
                  <w:vAlign w:val="center"/>
                </w:tcPr>
                <w:p w14:paraId="31CED7C4" w14:textId="77777777" w:rsidR="00F76A63" w:rsidRDefault="00F76A63">
                  <w:pPr>
                    <w:widowControl/>
                    <w:jc w:val="center"/>
                    <w:rPr>
                      <w:b/>
                      <w:bCs/>
                      <w:kern w:val="28"/>
                      <w:szCs w:val="21"/>
                    </w:rPr>
                  </w:pPr>
                </w:p>
              </w:tc>
              <w:tc>
                <w:tcPr>
                  <w:tcW w:w="672" w:type="dxa"/>
                  <w:tcBorders>
                    <w:top w:val="single" w:sz="6" w:space="0" w:color="000000"/>
                    <w:left w:val="single" w:sz="6" w:space="0" w:color="000000"/>
                    <w:bottom w:val="single" w:sz="6" w:space="0" w:color="000000"/>
                    <w:right w:val="single" w:sz="6" w:space="0" w:color="000000"/>
                  </w:tcBorders>
                  <w:vAlign w:val="center"/>
                </w:tcPr>
                <w:p w14:paraId="67383685" w14:textId="77777777" w:rsidR="00F76A63" w:rsidRDefault="00000000">
                  <w:pPr>
                    <w:pStyle w:val="001"/>
                  </w:pPr>
                  <w:r>
                    <w:t>浓度</w:t>
                  </w:r>
                  <w:r>
                    <w:t>mg/m</w:t>
                  </w:r>
                  <w:r>
                    <w:rPr>
                      <w:vertAlign w:val="superscript"/>
                    </w:rPr>
                    <w:t>3</w:t>
                  </w:r>
                </w:p>
              </w:tc>
              <w:tc>
                <w:tcPr>
                  <w:tcW w:w="684" w:type="dxa"/>
                  <w:tcBorders>
                    <w:top w:val="single" w:sz="6" w:space="0" w:color="000000"/>
                    <w:left w:val="single" w:sz="6" w:space="0" w:color="000000"/>
                    <w:bottom w:val="single" w:sz="6" w:space="0" w:color="000000"/>
                    <w:right w:val="single" w:sz="6" w:space="0" w:color="000000"/>
                  </w:tcBorders>
                  <w:vAlign w:val="center"/>
                </w:tcPr>
                <w:p w14:paraId="72906E9F" w14:textId="77777777" w:rsidR="00F76A63" w:rsidRDefault="00000000">
                  <w:pPr>
                    <w:pStyle w:val="001"/>
                  </w:pPr>
                  <w:r>
                    <w:t>速率</w:t>
                  </w:r>
                  <w:r>
                    <w:t>kg/h</w:t>
                  </w:r>
                </w:p>
              </w:tc>
              <w:tc>
                <w:tcPr>
                  <w:tcW w:w="591" w:type="dxa"/>
                  <w:tcBorders>
                    <w:top w:val="single" w:sz="6" w:space="0" w:color="000000"/>
                    <w:left w:val="single" w:sz="6" w:space="0" w:color="000000"/>
                    <w:bottom w:val="single" w:sz="6" w:space="0" w:color="000000"/>
                    <w:right w:val="single" w:sz="6" w:space="0" w:color="000000"/>
                  </w:tcBorders>
                  <w:vAlign w:val="center"/>
                </w:tcPr>
                <w:p w14:paraId="29F0AF97" w14:textId="77777777" w:rsidR="00F76A63" w:rsidRDefault="00000000">
                  <w:pPr>
                    <w:pStyle w:val="001"/>
                  </w:pPr>
                  <w:r>
                    <w:t>排放量</w:t>
                  </w:r>
                  <w:r>
                    <w:t>t/a</w:t>
                  </w:r>
                </w:p>
              </w:tc>
              <w:tc>
                <w:tcPr>
                  <w:tcW w:w="603" w:type="dxa"/>
                  <w:tcBorders>
                    <w:top w:val="single" w:sz="6" w:space="0" w:color="000000"/>
                    <w:left w:val="single" w:sz="6" w:space="0" w:color="000000"/>
                    <w:bottom w:val="single" w:sz="6" w:space="0" w:color="000000"/>
                    <w:right w:val="single" w:sz="6" w:space="0" w:color="000000"/>
                  </w:tcBorders>
                  <w:vAlign w:val="center"/>
                </w:tcPr>
                <w:p w14:paraId="118D0801" w14:textId="77777777" w:rsidR="00F76A63" w:rsidRDefault="00000000">
                  <w:pPr>
                    <w:pStyle w:val="001"/>
                  </w:pPr>
                  <w:r>
                    <w:t>浓度</w:t>
                  </w:r>
                  <w:r>
                    <w:t>mg/m</w:t>
                  </w:r>
                  <w:r>
                    <w:rPr>
                      <w:vertAlign w:val="superscript"/>
                    </w:rPr>
                    <w:t>3</w:t>
                  </w:r>
                </w:p>
              </w:tc>
              <w:tc>
                <w:tcPr>
                  <w:tcW w:w="424" w:type="dxa"/>
                  <w:tcBorders>
                    <w:top w:val="single" w:sz="6" w:space="0" w:color="000000"/>
                    <w:left w:val="single" w:sz="6" w:space="0" w:color="000000"/>
                    <w:bottom w:val="single" w:sz="6" w:space="0" w:color="000000"/>
                    <w:right w:val="single" w:sz="6" w:space="0" w:color="000000"/>
                  </w:tcBorders>
                  <w:vAlign w:val="center"/>
                </w:tcPr>
                <w:p w14:paraId="6A78C12A" w14:textId="77777777" w:rsidR="00F76A63" w:rsidRDefault="00000000">
                  <w:pPr>
                    <w:pStyle w:val="001"/>
                  </w:pPr>
                  <w:r>
                    <w:t>废气量</w:t>
                  </w:r>
                  <w:r>
                    <w:t>Nm</w:t>
                  </w:r>
                  <w:r>
                    <w:rPr>
                      <w:vertAlign w:val="superscript"/>
                    </w:rPr>
                    <w:t>3</w:t>
                  </w:r>
                  <w:r>
                    <w:t>/h</w:t>
                  </w:r>
                </w:p>
              </w:tc>
              <w:tc>
                <w:tcPr>
                  <w:tcW w:w="286" w:type="dxa"/>
                  <w:tcBorders>
                    <w:top w:val="single" w:sz="6" w:space="0" w:color="000000"/>
                    <w:left w:val="single" w:sz="6" w:space="0" w:color="000000"/>
                    <w:bottom w:val="single" w:sz="6" w:space="0" w:color="000000"/>
                    <w:right w:val="single" w:sz="6" w:space="0" w:color="000000"/>
                  </w:tcBorders>
                  <w:vAlign w:val="center"/>
                </w:tcPr>
                <w:p w14:paraId="359747F1" w14:textId="77777777" w:rsidR="00F76A63" w:rsidRDefault="00000000">
                  <w:pPr>
                    <w:pStyle w:val="001"/>
                  </w:pPr>
                  <w:r>
                    <w:t>高度</w:t>
                  </w:r>
                  <w:r>
                    <w:t>m</w:t>
                  </w:r>
                </w:p>
              </w:tc>
              <w:tc>
                <w:tcPr>
                  <w:tcW w:w="337" w:type="dxa"/>
                  <w:tcBorders>
                    <w:top w:val="single" w:sz="6" w:space="0" w:color="000000"/>
                    <w:left w:val="single" w:sz="6" w:space="0" w:color="000000"/>
                    <w:bottom w:val="single" w:sz="6" w:space="0" w:color="000000"/>
                    <w:right w:val="single" w:sz="6" w:space="0" w:color="000000"/>
                  </w:tcBorders>
                  <w:vAlign w:val="center"/>
                </w:tcPr>
                <w:p w14:paraId="07AFC0AC" w14:textId="77777777" w:rsidR="00F76A63" w:rsidRDefault="00000000">
                  <w:pPr>
                    <w:pStyle w:val="001"/>
                  </w:pPr>
                  <w:r>
                    <w:t>内径</w:t>
                  </w:r>
                  <w:r>
                    <w:t>m</w:t>
                  </w:r>
                </w:p>
              </w:tc>
              <w:tc>
                <w:tcPr>
                  <w:tcW w:w="355" w:type="dxa"/>
                  <w:tcBorders>
                    <w:top w:val="single" w:sz="6" w:space="0" w:color="000000"/>
                    <w:left w:val="single" w:sz="6" w:space="0" w:color="000000"/>
                    <w:bottom w:val="single" w:sz="6" w:space="0" w:color="000000"/>
                    <w:right w:val="nil"/>
                  </w:tcBorders>
                  <w:vAlign w:val="center"/>
                </w:tcPr>
                <w:p w14:paraId="7C7F2AF9" w14:textId="77777777" w:rsidR="00F76A63" w:rsidRDefault="00000000">
                  <w:pPr>
                    <w:pStyle w:val="001"/>
                  </w:pPr>
                  <w:r>
                    <w:t>温度</w:t>
                  </w:r>
                  <w:r>
                    <w:t>℃</w:t>
                  </w:r>
                </w:p>
              </w:tc>
            </w:tr>
            <w:tr w:rsidR="00F76A63" w14:paraId="55A88617"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690AF30A" w14:textId="77777777" w:rsidR="00F76A63" w:rsidRDefault="00000000">
                  <w:pPr>
                    <w:pStyle w:val="000"/>
                  </w:pPr>
                  <w:r>
                    <w:t>1</w:t>
                  </w:r>
                </w:p>
              </w:tc>
              <w:tc>
                <w:tcPr>
                  <w:tcW w:w="286" w:type="dxa"/>
                  <w:vMerge w:val="restart"/>
                  <w:tcBorders>
                    <w:top w:val="single" w:sz="6" w:space="0" w:color="000000"/>
                    <w:left w:val="single" w:sz="6" w:space="0" w:color="000000"/>
                    <w:bottom w:val="single" w:sz="6" w:space="0" w:color="000000"/>
                    <w:right w:val="single" w:sz="6" w:space="0" w:color="000000"/>
                  </w:tcBorders>
                  <w:vAlign w:val="center"/>
                </w:tcPr>
                <w:p w14:paraId="641AA497" w14:textId="77777777" w:rsidR="00F76A63" w:rsidRDefault="00000000">
                  <w:pPr>
                    <w:pStyle w:val="000"/>
                  </w:pPr>
                  <w:r>
                    <w:t>1#</w:t>
                  </w:r>
                  <w:r>
                    <w:t>线水泥窑窑尾</w:t>
                  </w:r>
                </w:p>
              </w:tc>
              <w:tc>
                <w:tcPr>
                  <w:tcW w:w="1198" w:type="dxa"/>
                  <w:tcBorders>
                    <w:top w:val="single" w:sz="6" w:space="0" w:color="000000"/>
                    <w:left w:val="single" w:sz="6" w:space="0" w:color="000000"/>
                    <w:bottom w:val="single" w:sz="6" w:space="0" w:color="000000"/>
                    <w:right w:val="single" w:sz="6" w:space="0" w:color="000000"/>
                  </w:tcBorders>
                  <w:vAlign w:val="center"/>
                </w:tcPr>
                <w:p w14:paraId="6D292C83" w14:textId="77777777" w:rsidR="00F76A63" w:rsidRDefault="00000000">
                  <w:pPr>
                    <w:pStyle w:val="000"/>
                  </w:pPr>
                  <w:r>
                    <w:t>烟尘</w:t>
                  </w:r>
                </w:p>
              </w:tc>
              <w:tc>
                <w:tcPr>
                  <w:tcW w:w="603" w:type="dxa"/>
                  <w:tcBorders>
                    <w:top w:val="single" w:sz="6" w:space="0" w:color="000000"/>
                    <w:left w:val="single" w:sz="6" w:space="0" w:color="000000"/>
                    <w:bottom w:val="single" w:sz="6" w:space="0" w:color="000000"/>
                    <w:right w:val="single" w:sz="6" w:space="0" w:color="000000"/>
                  </w:tcBorders>
                  <w:vAlign w:val="center"/>
                </w:tcPr>
                <w:p w14:paraId="5F9DA0DD" w14:textId="77777777" w:rsidR="00F76A63" w:rsidRDefault="00000000">
                  <w:pPr>
                    <w:pStyle w:val="000"/>
                  </w:pPr>
                  <w:r>
                    <w:t>4799.03</w:t>
                  </w:r>
                </w:p>
              </w:tc>
              <w:tc>
                <w:tcPr>
                  <w:tcW w:w="649" w:type="dxa"/>
                  <w:tcBorders>
                    <w:top w:val="single" w:sz="6" w:space="0" w:color="000000"/>
                    <w:left w:val="single" w:sz="6" w:space="0" w:color="000000"/>
                    <w:bottom w:val="single" w:sz="6" w:space="0" w:color="000000"/>
                    <w:right w:val="single" w:sz="6" w:space="0" w:color="000000"/>
                  </w:tcBorders>
                  <w:vAlign w:val="center"/>
                </w:tcPr>
                <w:p w14:paraId="3D31211E" w14:textId="77777777" w:rsidR="00F76A63" w:rsidRDefault="00000000">
                  <w:pPr>
                    <w:pStyle w:val="000"/>
                  </w:pPr>
                  <w:r>
                    <w:t>3698.61</w:t>
                  </w:r>
                </w:p>
              </w:tc>
              <w:tc>
                <w:tcPr>
                  <w:tcW w:w="591" w:type="dxa"/>
                  <w:tcBorders>
                    <w:top w:val="single" w:sz="6" w:space="0" w:color="000000"/>
                    <w:left w:val="single" w:sz="6" w:space="0" w:color="000000"/>
                    <w:bottom w:val="single" w:sz="6" w:space="0" w:color="000000"/>
                    <w:right w:val="single" w:sz="6" w:space="0" w:color="000000"/>
                  </w:tcBorders>
                  <w:vAlign w:val="center"/>
                </w:tcPr>
                <w:p w14:paraId="20D045C8" w14:textId="77777777" w:rsidR="00F76A63" w:rsidRDefault="00000000">
                  <w:pPr>
                    <w:pStyle w:val="000"/>
                  </w:pPr>
                  <w:r>
                    <w:t>26630</w:t>
                  </w:r>
                </w:p>
              </w:tc>
              <w:tc>
                <w:tcPr>
                  <w:tcW w:w="645" w:type="dxa"/>
                  <w:vMerge w:val="restart"/>
                  <w:tcBorders>
                    <w:top w:val="single" w:sz="6" w:space="0" w:color="000000"/>
                    <w:left w:val="single" w:sz="6" w:space="0" w:color="000000"/>
                    <w:bottom w:val="single" w:sz="6" w:space="0" w:color="000000"/>
                    <w:right w:val="single" w:sz="6" w:space="0" w:color="000000"/>
                  </w:tcBorders>
                  <w:vAlign w:val="center"/>
                </w:tcPr>
                <w:p w14:paraId="7111C0E0" w14:textId="77777777" w:rsidR="00F76A63" w:rsidRDefault="00000000">
                  <w:pPr>
                    <w:pStyle w:val="000"/>
                  </w:pPr>
                  <w:r>
                    <w:t>依托现有：高温焚烧</w:t>
                  </w:r>
                  <w:r>
                    <w:t>+</w:t>
                  </w:r>
                  <w:r>
                    <w:t>碱性环境</w:t>
                  </w:r>
                  <w:r>
                    <w:t>+SNCR+SCR+</w:t>
                  </w:r>
                  <w:r>
                    <w:t>正常工况窑磨一体化，非正常工况干法脱硫</w:t>
                  </w:r>
                  <w:r>
                    <w:t>+</w:t>
                  </w:r>
                  <w:r>
                    <w:t>布袋除尘器</w:t>
                  </w:r>
                  <w:r>
                    <w:t>+</w:t>
                  </w:r>
                  <w:r>
                    <w:t>排气筒</w:t>
                  </w:r>
                </w:p>
              </w:tc>
              <w:tc>
                <w:tcPr>
                  <w:tcW w:w="430" w:type="dxa"/>
                  <w:tcBorders>
                    <w:top w:val="single" w:sz="6" w:space="0" w:color="000000"/>
                    <w:left w:val="single" w:sz="6" w:space="0" w:color="000000"/>
                    <w:bottom w:val="single" w:sz="6" w:space="0" w:color="000000"/>
                    <w:right w:val="single" w:sz="6" w:space="0" w:color="000000"/>
                  </w:tcBorders>
                  <w:vAlign w:val="center"/>
                </w:tcPr>
                <w:p w14:paraId="51214C8E" w14:textId="77777777" w:rsidR="00F76A63" w:rsidRDefault="00000000">
                  <w:pPr>
                    <w:pStyle w:val="000"/>
                  </w:pPr>
                  <w:r>
                    <w:t>99.90%</w:t>
                  </w:r>
                </w:p>
              </w:tc>
              <w:tc>
                <w:tcPr>
                  <w:tcW w:w="672" w:type="dxa"/>
                  <w:tcBorders>
                    <w:top w:val="single" w:sz="6" w:space="0" w:color="000000"/>
                    <w:left w:val="single" w:sz="6" w:space="0" w:color="000000"/>
                    <w:bottom w:val="single" w:sz="6" w:space="0" w:color="000000"/>
                    <w:right w:val="single" w:sz="6" w:space="0" w:color="000000"/>
                  </w:tcBorders>
                  <w:vAlign w:val="center"/>
                </w:tcPr>
                <w:p w14:paraId="0582D51B" w14:textId="77777777" w:rsidR="00F76A63" w:rsidRDefault="00000000">
                  <w:pPr>
                    <w:pStyle w:val="000"/>
                  </w:pPr>
                  <w:r>
                    <w:t>4.80</w:t>
                  </w:r>
                </w:p>
              </w:tc>
              <w:tc>
                <w:tcPr>
                  <w:tcW w:w="684" w:type="dxa"/>
                  <w:tcBorders>
                    <w:top w:val="single" w:sz="6" w:space="0" w:color="000000"/>
                    <w:left w:val="single" w:sz="6" w:space="0" w:color="000000"/>
                    <w:bottom w:val="single" w:sz="6" w:space="0" w:color="000000"/>
                    <w:right w:val="single" w:sz="6" w:space="0" w:color="000000"/>
                  </w:tcBorders>
                  <w:vAlign w:val="center"/>
                </w:tcPr>
                <w:p w14:paraId="07362768" w14:textId="77777777" w:rsidR="00F76A63" w:rsidRDefault="00000000">
                  <w:pPr>
                    <w:pStyle w:val="000"/>
                  </w:pPr>
                  <w:r>
                    <w:t>3.70</w:t>
                  </w:r>
                </w:p>
              </w:tc>
              <w:tc>
                <w:tcPr>
                  <w:tcW w:w="591" w:type="dxa"/>
                  <w:tcBorders>
                    <w:top w:val="single" w:sz="6" w:space="0" w:color="000000"/>
                    <w:left w:val="single" w:sz="6" w:space="0" w:color="000000"/>
                    <w:bottom w:val="single" w:sz="6" w:space="0" w:color="000000"/>
                    <w:right w:val="single" w:sz="6" w:space="0" w:color="000000"/>
                  </w:tcBorders>
                  <w:vAlign w:val="center"/>
                </w:tcPr>
                <w:p w14:paraId="439275E8" w14:textId="77777777" w:rsidR="00F76A63" w:rsidRDefault="00000000">
                  <w:pPr>
                    <w:pStyle w:val="000"/>
                  </w:pPr>
                  <w:r>
                    <w:t>26.63</w:t>
                  </w:r>
                </w:p>
              </w:tc>
              <w:tc>
                <w:tcPr>
                  <w:tcW w:w="603" w:type="dxa"/>
                  <w:tcBorders>
                    <w:top w:val="single" w:sz="6" w:space="0" w:color="000000"/>
                    <w:left w:val="single" w:sz="6" w:space="0" w:color="000000"/>
                    <w:bottom w:val="single" w:sz="6" w:space="0" w:color="000000"/>
                    <w:right w:val="single" w:sz="6" w:space="0" w:color="000000"/>
                  </w:tcBorders>
                  <w:vAlign w:val="center"/>
                </w:tcPr>
                <w:p w14:paraId="64C216CD" w14:textId="77777777" w:rsidR="00F76A63" w:rsidRDefault="00000000">
                  <w:pPr>
                    <w:pStyle w:val="000"/>
                  </w:pPr>
                  <w:r>
                    <w:t>10</w:t>
                  </w:r>
                </w:p>
              </w:tc>
              <w:tc>
                <w:tcPr>
                  <w:tcW w:w="424" w:type="dxa"/>
                  <w:vMerge w:val="restart"/>
                  <w:tcBorders>
                    <w:top w:val="single" w:sz="6" w:space="0" w:color="000000"/>
                    <w:left w:val="single" w:sz="6" w:space="0" w:color="000000"/>
                    <w:bottom w:val="single" w:sz="6" w:space="0" w:color="000000"/>
                    <w:right w:val="single" w:sz="6" w:space="0" w:color="000000"/>
                  </w:tcBorders>
                  <w:vAlign w:val="center"/>
                </w:tcPr>
                <w:p w14:paraId="04F1A84B" w14:textId="77777777" w:rsidR="00F76A63" w:rsidRDefault="00000000">
                  <w:pPr>
                    <w:pStyle w:val="000"/>
                  </w:pPr>
                  <w:r>
                    <w:t>770700</w:t>
                  </w:r>
                </w:p>
              </w:tc>
              <w:tc>
                <w:tcPr>
                  <w:tcW w:w="286" w:type="dxa"/>
                  <w:vMerge w:val="restart"/>
                  <w:tcBorders>
                    <w:top w:val="single" w:sz="6" w:space="0" w:color="000000"/>
                    <w:left w:val="single" w:sz="6" w:space="0" w:color="000000"/>
                    <w:bottom w:val="single" w:sz="6" w:space="0" w:color="000000"/>
                    <w:right w:val="single" w:sz="6" w:space="0" w:color="000000"/>
                  </w:tcBorders>
                  <w:vAlign w:val="center"/>
                </w:tcPr>
                <w:p w14:paraId="45D1F55A" w14:textId="77777777" w:rsidR="00F76A63" w:rsidRDefault="00000000">
                  <w:pPr>
                    <w:pStyle w:val="000"/>
                  </w:pPr>
                  <w:r>
                    <w:t>85</w:t>
                  </w:r>
                </w:p>
              </w:tc>
              <w:tc>
                <w:tcPr>
                  <w:tcW w:w="337" w:type="dxa"/>
                  <w:vMerge w:val="restart"/>
                  <w:tcBorders>
                    <w:top w:val="single" w:sz="6" w:space="0" w:color="000000"/>
                    <w:left w:val="single" w:sz="6" w:space="0" w:color="000000"/>
                    <w:bottom w:val="single" w:sz="6" w:space="0" w:color="000000"/>
                    <w:right w:val="single" w:sz="6" w:space="0" w:color="000000"/>
                  </w:tcBorders>
                  <w:vAlign w:val="center"/>
                </w:tcPr>
                <w:p w14:paraId="22BE48B3" w14:textId="77777777" w:rsidR="00F76A63" w:rsidRDefault="00000000">
                  <w:pPr>
                    <w:pStyle w:val="000"/>
                  </w:pPr>
                  <w:r>
                    <w:t>5.78</w:t>
                  </w:r>
                </w:p>
              </w:tc>
              <w:tc>
                <w:tcPr>
                  <w:tcW w:w="355" w:type="dxa"/>
                  <w:vMerge w:val="restart"/>
                  <w:tcBorders>
                    <w:top w:val="single" w:sz="6" w:space="0" w:color="000000"/>
                    <w:left w:val="single" w:sz="6" w:space="0" w:color="000000"/>
                    <w:bottom w:val="single" w:sz="6" w:space="0" w:color="000000"/>
                    <w:right w:val="nil"/>
                  </w:tcBorders>
                  <w:vAlign w:val="center"/>
                </w:tcPr>
                <w:p w14:paraId="78F7CE0B" w14:textId="77777777" w:rsidR="00F76A63" w:rsidRDefault="00000000">
                  <w:pPr>
                    <w:pStyle w:val="000"/>
                  </w:pPr>
                  <w:r>
                    <w:t>135</w:t>
                  </w:r>
                </w:p>
              </w:tc>
            </w:tr>
            <w:tr w:rsidR="00F76A63" w14:paraId="12883E7A"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3D2CF134" w14:textId="77777777" w:rsidR="00F76A63" w:rsidRDefault="00000000">
                  <w:pPr>
                    <w:pStyle w:val="000"/>
                  </w:pPr>
                  <w:r>
                    <w:t>2</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02E315C"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7284541" w14:textId="77777777" w:rsidR="00F76A63" w:rsidRDefault="00000000">
                  <w:pPr>
                    <w:pStyle w:val="000"/>
                  </w:pPr>
                  <w:r>
                    <w:t>SO</w:t>
                  </w:r>
                  <w:r>
                    <w:rPr>
                      <w:vertAlign w:val="subscript"/>
                    </w:rPr>
                    <w:t>2</w:t>
                  </w:r>
                </w:p>
              </w:tc>
              <w:tc>
                <w:tcPr>
                  <w:tcW w:w="603" w:type="dxa"/>
                  <w:tcBorders>
                    <w:top w:val="single" w:sz="6" w:space="0" w:color="000000"/>
                    <w:left w:val="single" w:sz="6" w:space="0" w:color="000000"/>
                    <w:bottom w:val="single" w:sz="6" w:space="0" w:color="000000"/>
                    <w:right w:val="single" w:sz="6" w:space="0" w:color="000000"/>
                  </w:tcBorders>
                  <w:vAlign w:val="center"/>
                </w:tcPr>
                <w:p w14:paraId="2EF5963F" w14:textId="77777777" w:rsidR="00F76A63" w:rsidRDefault="00000000">
                  <w:pPr>
                    <w:pStyle w:val="000"/>
                  </w:pPr>
                  <w:r>
                    <w:t>1002.25</w:t>
                  </w:r>
                </w:p>
              </w:tc>
              <w:tc>
                <w:tcPr>
                  <w:tcW w:w="649" w:type="dxa"/>
                  <w:tcBorders>
                    <w:top w:val="single" w:sz="6" w:space="0" w:color="000000"/>
                    <w:left w:val="single" w:sz="6" w:space="0" w:color="000000"/>
                    <w:bottom w:val="single" w:sz="6" w:space="0" w:color="000000"/>
                    <w:right w:val="single" w:sz="6" w:space="0" w:color="000000"/>
                  </w:tcBorders>
                  <w:vAlign w:val="center"/>
                </w:tcPr>
                <w:p w14:paraId="1E91C99E" w14:textId="77777777" w:rsidR="00F76A63" w:rsidRDefault="00000000">
                  <w:pPr>
                    <w:pStyle w:val="000"/>
                  </w:pPr>
                  <w:r>
                    <w:t>772.43</w:t>
                  </w:r>
                </w:p>
              </w:tc>
              <w:tc>
                <w:tcPr>
                  <w:tcW w:w="591" w:type="dxa"/>
                  <w:tcBorders>
                    <w:top w:val="single" w:sz="6" w:space="0" w:color="000000"/>
                    <w:left w:val="single" w:sz="6" w:space="0" w:color="000000"/>
                    <w:bottom w:val="single" w:sz="6" w:space="0" w:color="000000"/>
                    <w:right w:val="single" w:sz="6" w:space="0" w:color="000000"/>
                  </w:tcBorders>
                  <w:vAlign w:val="center"/>
                </w:tcPr>
                <w:p w14:paraId="59F07BB7" w14:textId="77777777" w:rsidR="00F76A63" w:rsidRDefault="00000000">
                  <w:pPr>
                    <w:pStyle w:val="000"/>
                  </w:pPr>
                  <w:r>
                    <w:t>5561.52</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79C6FE58"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62187CD7" w14:textId="77777777" w:rsidR="00F76A63" w:rsidRDefault="00000000">
                  <w:pPr>
                    <w:pStyle w:val="000"/>
                  </w:pPr>
                  <w:r>
                    <w:t>97.50%</w:t>
                  </w:r>
                </w:p>
              </w:tc>
              <w:tc>
                <w:tcPr>
                  <w:tcW w:w="672" w:type="dxa"/>
                  <w:tcBorders>
                    <w:top w:val="single" w:sz="6" w:space="0" w:color="000000"/>
                    <w:left w:val="single" w:sz="6" w:space="0" w:color="000000"/>
                    <w:bottom w:val="single" w:sz="6" w:space="0" w:color="000000"/>
                    <w:right w:val="single" w:sz="6" w:space="0" w:color="000000"/>
                  </w:tcBorders>
                  <w:vAlign w:val="center"/>
                </w:tcPr>
                <w:p w14:paraId="607A1C25" w14:textId="77777777" w:rsidR="00F76A63" w:rsidRDefault="00000000">
                  <w:pPr>
                    <w:pStyle w:val="000"/>
                  </w:pPr>
                  <w:r>
                    <w:t>25.06</w:t>
                  </w:r>
                </w:p>
              </w:tc>
              <w:tc>
                <w:tcPr>
                  <w:tcW w:w="684" w:type="dxa"/>
                  <w:tcBorders>
                    <w:top w:val="single" w:sz="6" w:space="0" w:color="000000"/>
                    <w:left w:val="single" w:sz="6" w:space="0" w:color="000000"/>
                    <w:bottom w:val="single" w:sz="6" w:space="0" w:color="000000"/>
                    <w:right w:val="single" w:sz="6" w:space="0" w:color="000000"/>
                  </w:tcBorders>
                  <w:vAlign w:val="center"/>
                </w:tcPr>
                <w:p w14:paraId="4796A1B1" w14:textId="77777777" w:rsidR="00F76A63" w:rsidRDefault="00000000">
                  <w:pPr>
                    <w:pStyle w:val="000"/>
                  </w:pPr>
                  <w:r>
                    <w:t>19.31</w:t>
                  </w:r>
                </w:p>
              </w:tc>
              <w:tc>
                <w:tcPr>
                  <w:tcW w:w="591" w:type="dxa"/>
                  <w:tcBorders>
                    <w:top w:val="single" w:sz="6" w:space="0" w:color="000000"/>
                    <w:left w:val="single" w:sz="6" w:space="0" w:color="000000"/>
                    <w:bottom w:val="single" w:sz="6" w:space="0" w:color="000000"/>
                    <w:right w:val="single" w:sz="6" w:space="0" w:color="000000"/>
                  </w:tcBorders>
                  <w:vAlign w:val="center"/>
                </w:tcPr>
                <w:p w14:paraId="78C5CC81" w14:textId="77777777" w:rsidR="00F76A63" w:rsidRDefault="00000000">
                  <w:pPr>
                    <w:pStyle w:val="000"/>
                  </w:pPr>
                  <w:r>
                    <w:t>139.21</w:t>
                  </w:r>
                </w:p>
              </w:tc>
              <w:tc>
                <w:tcPr>
                  <w:tcW w:w="603" w:type="dxa"/>
                  <w:tcBorders>
                    <w:top w:val="single" w:sz="6" w:space="0" w:color="000000"/>
                    <w:left w:val="single" w:sz="6" w:space="0" w:color="000000"/>
                    <w:bottom w:val="single" w:sz="6" w:space="0" w:color="000000"/>
                    <w:right w:val="single" w:sz="6" w:space="0" w:color="000000"/>
                  </w:tcBorders>
                  <w:vAlign w:val="center"/>
                </w:tcPr>
                <w:p w14:paraId="57435C76" w14:textId="77777777" w:rsidR="00F76A63" w:rsidRDefault="00000000">
                  <w:pPr>
                    <w:pStyle w:val="000"/>
                  </w:pPr>
                  <w:r>
                    <w:t>35</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4E3EEE69"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F4D204A"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2CDC912C"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24BA1A1B" w14:textId="77777777" w:rsidR="00F76A63" w:rsidRDefault="00F76A63">
                  <w:pPr>
                    <w:widowControl/>
                    <w:jc w:val="center"/>
                    <w:rPr>
                      <w:bCs/>
                      <w:kern w:val="28"/>
                      <w:szCs w:val="21"/>
                    </w:rPr>
                  </w:pPr>
                </w:p>
              </w:tc>
            </w:tr>
            <w:tr w:rsidR="00F76A63" w14:paraId="3F0C9283"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0FD1786F" w14:textId="77777777" w:rsidR="00F76A63" w:rsidRDefault="00000000">
                  <w:pPr>
                    <w:pStyle w:val="000"/>
                  </w:pPr>
                  <w:r>
                    <w:t>3</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205F0F2"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68F95DB6" w14:textId="77777777" w:rsidR="00F76A63" w:rsidRDefault="00000000">
                  <w:pPr>
                    <w:pStyle w:val="000"/>
                  </w:pPr>
                  <w:r>
                    <w:t>NOx</w:t>
                  </w:r>
                </w:p>
              </w:tc>
              <w:tc>
                <w:tcPr>
                  <w:tcW w:w="603" w:type="dxa"/>
                  <w:tcBorders>
                    <w:top w:val="single" w:sz="6" w:space="0" w:color="000000"/>
                    <w:left w:val="single" w:sz="6" w:space="0" w:color="000000"/>
                    <w:bottom w:val="single" w:sz="6" w:space="0" w:color="000000"/>
                    <w:right w:val="single" w:sz="6" w:space="0" w:color="000000"/>
                  </w:tcBorders>
                  <w:vAlign w:val="center"/>
                </w:tcPr>
                <w:p w14:paraId="418CFB3D" w14:textId="77777777" w:rsidR="00F76A63" w:rsidRDefault="00000000">
                  <w:pPr>
                    <w:pStyle w:val="000"/>
                  </w:pPr>
                  <w:r>
                    <w:t>274.10</w:t>
                  </w:r>
                </w:p>
              </w:tc>
              <w:tc>
                <w:tcPr>
                  <w:tcW w:w="649" w:type="dxa"/>
                  <w:tcBorders>
                    <w:top w:val="single" w:sz="6" w:space="0" w:color="000000"/>
                    <w:left w:val="single" w:sz="6" w:space="0" w:color="000000"/>
                    <w:bottom w:val="single" w:sz="6" w:space="0" w:color="000000"/>
                    <w:right w:val="single" w:sz="6" w:space="0" w:color="000000"/>
                  </w:tcBorders>
                  <w:vAlign w:val="center"/>
                </w:tcPr>
                <w:p w14:paraId="588F311E" w14:textId="77777777" w:rsidR="00F76A63" w:rsidRDefault="00000000">
                  <w:pPr>
                    <w:pStyle w:val="000"/>
                  </w:pPr>
                  <w:r>
                    <w:t>211.25</w:t>
                  </w:r>
                </w:p>
              </w:tc>
              <w:tc>
                <w:tcPr>
                  <w:tcW w:w="591" w:type="dxa"/>
                  <w:tcBorders>
                    <w:top w:val="single" w:sz="6" w:space="0" w:color="000000"/>
                    <w:left w:val="single" w:sz="6" w:space="0" w:color="000000"/>
                    <w:bottom w:val="single" w:sz="6" w:space="0" w:color="000000"/>
                    <w:right w:val="single" w:sz="6" w:space="0" w:color="000000"/>
                  </w:tcBorders>
                  <w:vAlign w:val="center"/>
                </w:tcPr>
                <w:p w14:paraId="085C4390" w14:textId="77777777" w:rsidR="00F76A63" w:rsidRDefault="00000000">
                  <w:pPr>
                    <w:pStyle w:val="000"/>
                  </w:pPr>
                  <w:r>
                    <w:t>1521</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5698A1DC"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388657C1" w14:textId="77777777" w:rsidR="00F76A63" w:rsidRDefault="00000000">
                  <w:pPr>
                    <w:pStyle w:val="000"/>
                  </w:pPr>
                  <w:r>
                    <w:t>86.50%</w:t>
                  </w:r>
                </w:p>
              </w:tc>
              <w:tc>
                <w:tcPr>
                  <w:tcW w:w="672" w:type="dxa"/>
                  <w:tcBorders>
                    <w:top w:val="single" w:sz="6" w:space="0" w:color="000000"/>
                    <w:left w:val="single" w:sz="6" w:space="0" w:color="000000"/>
                    <w:bottom w:val="single" w:sz="6" w:space="0" w:color="000000"/>
                    <w:right w:val="single" w:sz="6" w:space="0" w:color="000000"/>
                  </w:tcBorders>
                  <w:vAlign w:val="center"/>
                </w:tcPr>
                <w:p w14:paraId="14E150FF" w14:textId="77777777" w:rsidR="00F76A63" w:rsidRDefault="00000000">
                  <w:pPr>
                    <w:pStyle w:val="000"/>
                  </w:pPr>
                  <w:r>
                    <w:t>37.00</w:t>
                  </w:r>
                </w:p>
              </w:tc>
              <w:tc>
                <w:tcPr>
                  <w:tcW w:w="684" w:type="dxa"/>
                  <w:tcBorders>
                    <w:top w:val="single" w:sz="6" w:space="0" w:color="000000"/>
                    <w:left w:val="single" w:sz="6" w:space="0" w:color="000000"/>
                    <w:bottom w:val="single" w:sz="6" w:space="0" w:color="000000"/>
                    <w:right w:val="single" w:sz="6" w:space="0" w:color="000000"/>
                  </w:tcBorders>
                  <w:vAlign w:val="center"/>
                </w:tcPr>
                <w:p w14:paraId="22ECFDDC" w14:textId="77777777" w:rsidR="00F76A63" w:rsidRDefault="00000000">
                  <w:pPr>
                    <w:pStyle w:val="000"/>
                  </w:pPr>
                  <w:r>
                    <w:t>28.52</w:t>
                  </w:r>
                </w:p>
              </w:tc>
              <w:tc>
                <w:tcPr>
                  <w:tcW w:w="591" w:type="dxa"/>
                  <w:tcBorders>
                    <w:top w:val="single" w:sz="6" w:space="0" w:color="000000"/>
                    <w:left w:val="single" w:sz="6" w:space="0" w:color="000000"/>
                    <w:bottom w:val="single" w:sz="6" w:space="0" w:color="000000"/>
                    <w:right w:val="single" w:sz="6" w:space="0" w:color="000000"/>
                  </w:tcBorders>
                  <w:vAlign w:val="center"/>
                </w:tcPr>
                <w:p w14:paraId="78D3B5BD" w14:textId="77777777" w:rsidR="00F76A63" w:rsidRDefault="00000000">
                  <w:pPr>
                    <w:pStyle w:val="000"/>
                  </w:pPr>
                  <w:r>
                    <w:t>205.335</w:t>
                  </w:r>
                </w:p>
              </w:tc>
              <w:tc>
                <w:tcPr>
                  <w:tcW w:w="603" w:type="dxa"/>
                  <w:tcBorders>
                    <w:top w:val="single" w:sz="6" w:space="0" w:color="000000"/>
                    <w:left w:val="single" w:sz="6" w:space="0" w:color="000000"/>
                    <w:bottom w:val="single" w:sz="6" w:space="0" w:color="000000"/>
                    <w:right w:val="single" w:sz="6" w:space="0" w:color="000000"/>
                  </w:tcBorders>
                  <w:vAlign w:val="center"/>
                </w:tcPr>
                <w:p w14:paraId="6CF0052D" w14:textId="77777777" w:rsidR="00F76A63" w:rsidRDefault="00000000">
                  <w:pPr>
                    <w:pStyle w:val="000"/>
                  </w:pPr>
                  <w:r>
                    <w:t>50</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4F037061"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1FB1BC5"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296528F0"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28E046E5" w14:textId="77777777" w:rsidR="00F76A63" w:rsidRDefault="00F76A63">
                  <w:pPr>
                    <w:widowControl/>
                    <w:jc w:val="center"/>
                    <w:rPr>
                      <w:bCs/>
                      <w:kern w:val="28"/>
                      <w:szCs w:val="21"/>
                    </w:rPr>
                  </w:pPr>
                </w:p>
              </w:tc>
            </w:tr>
            <w:tr w:rsidR="00F76A63" w14:paraId="50876817"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605D84D4" w14:textId="77777777" w:rsidR="00F76A63" w:rsidRDefault="00000000">
                  <w:pPr>
                    <w:pStyle w:val="000"/>
                  </w:pPr>
                  <w:r>
                    <w:t>4</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EBD9FAA"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BA3371E" w14:textId="77777777" w:rsidR="00F76A63" w:rsidRDefault="00000000">
                  <w:pPr>
                    <w:pStyle w:val="000"/>
                  </w:pPr>
                  <w:r>
                    <w:t>HCl</w:t>
                  </w:r>
                </w:p>
              </w:tc>
              <w:tc>
                <w:tcPr>
                  <w:tcW w:w="603" w:type="dxa"/>
                  <w:tcBorders>
                    <w:top w:val="single" w:sz="6" w:space="0" w:color="000000"/>
                    <w:left w:val="single" w:sz="6" w:space="0" w:color="000000"/>
                    <w:bottom w:val="single" w:sz="6" w:space="0" w:color="000000"/>
                    <w:right w:val="single" w:sz="6" w:space="0" w:color="000000"/>
                  </w:tcBorders>
                  <w:vAlign w:val="center"/>
                </w:tcPr>
                <w:p w14:paraId="4F864533" w14:textId="77777777" w:rsidR="00F76A63" w:rsidRDefault="00000000">
                  <w:pPr>
                    <w:pStyle w:val="000"/>
                  </w:pPr>
                  <w:r>
                    <w:t>128.70</w:t>
                  </w:r>
                </w:p>
              </w:tc>
              <w:tc>
                <w:tcPr>
                  <w:tcW w:w="649" w:type="dxa"/>
                  <w:tcBorders>
                    <w:top w:val="single" w:sz="6" w:space="0" w:color="000000"/>
                    <w:left w:val="single" w:sz="6" w:space="0" w:color="000000"/>
                    <w:bottom w:val="single" w:sz="6" w:space="0" w:color="000000"/>
                    <w:right w:val="single" w:sz="6" w:space="0" w:color="000000"/>
                  </w:tcBorders>
                  <w:vAlign w:val="center"/>
                </w:tcPr>
                <w:p w14:paraId="6D19A46B" w14:textId="77777777" w:rsidR="00F76A63" w:rsidRDefault="00000000">
                  <w:pPr>
                    <w:pStyle w:val="000"/>
                  </w:pPr>
                  <w:r>
                    <w:t>99.19</w:t>
                  </w:r>
                </w:p>
              </w:tc>
              <w:tc>
                <w:tcPr>
                  <w:tcW w:w="591" w:type="dxa"/>
                  <w:tcBorders>
                    <w:top w:val="single" w:sz="6" w:space="0" w:color="000000"/>
                    <w:left w:val="single" w:sz="6" w:space="0" w:color="000000"/>
                    <w:bottom w:val="single" w:sz="6" w:space="0" w:color="000000"/>
                    <w:right w:val="single" w:sz="6" w:space="0" w:color="000000"/>
                  </w:tcBorders>
                  <w:vAlign w:val="center"/>
                </w:tcPr>
                <w:p w14:paraId="0BC5967C" w14:textId="77777777" w:rsidR="00F76A63" w:rsidRDefault="00000000">
                  <w:pPr>
                    <w:pStyle w:val="000"/>
                  </w:pPr>
                  <w:r>
                    <w:t>714.17</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362ABF08"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20EF6149" w14:textId="77777777" w:rsidR="00F76A63" w:rsidRDefault="00000000">
                  <w:pPr>
                    <w:pStyle w:val="000"/>
                  </w:pPr>
                  <w:r>
                    <w:t>98.80%</w:t>
                  </w:r>
                </w:p>
              </w:tc>
              <w:tc>
                <w:tcPr>
                  <w:tcW w:w="672" w:type="dxa"/>
                  <w:tcBorders>
                    <w:top w:val="single" w:sz="6" w:space="0" w:color="000000"/>
                    <w:left w:val="single" w:sz="6" w:space="0" w:color="000000"/>
                    <w:bottom w:val="single" w:sz="6" w:space="0" w:color="000000"/>
                    <w:right w:val="single" w:sz="6" w:space="0" w:color="000000"/>
                  </w:tcBorders>
                  <w:vAlign w:val="center"/>
                </w:tcPr>
                <w:p w14:paraId="1A73FD05" w14:textId="77777777" w:rsidR="00F76A63" w:rsidRDefault="00000000">
                  <w:pPr>
                    <w:pStyle w:val="000"/>
                  </w:pPr>
                  <w:r>
                    <w:t>1.54</w:t>
                  </w:r>
                </w:p>
              </w:tc>
              <w:tc>
                <w:tcPr>
                  <w:tcW w:w="684" w:type="dxa"/>
                  <w:tcBorders>
                    <w:top w:val="single" w:sz="6" w:space="0" w:color="000000"/>
                    <w:left w:val="single" w:sz="6" w:space="0" w:color="000000"/>
                    <w:bottom w:val="single" w:sz="6" w:space="0" w:color="000000"/>
                    <w:right w:val="single" w:sz="6" w:space="0" w:color="000000"/>
                  </w:tcBorders>
                  <w:vAlign w:val="center"/>
                </w:tcPr>
                <w:p w14:paraId="6EBE77F0" w14:textId="77777777" w:rsidR="00F76A63" w:rsidRDefault="00000000">
                  <w:pPr>
                    <w:pStyle w:val="000"/>
                  </w:pPr>
                  <w:r>
                    <w:t>1.04</w:t>
                  </w:r>
                </w:p>
              </w:tc>
              <w:tc>
                <w:tcPr>
                  <w:tcW w:w="591" w:type="dxa"/>
                  <w:tcBorders>
                    <w:top w:val="single" w:sz="6" w:space="0" w:color="000000"/>
                    <w:left w:val="single" w:sz="6" w:space="0" w:color="000000"/>
                    <w:bottom w:val="single" w:sz="6" w:space="0" w:color="000000"/>
                    <w:right w:val="single" w:sz="6" w:space="0" w:color="000000"/>
                  </w:tcBorders>
                  <w:vAlign w:val="center"/>
                </w:tcPr>
                <w:p w14:paraId="1C0C2B33" w14:textId="77777777" w:rsidR="00F76A63" w:rsidRDefault="00000000">
                  <w:pPr>
                    <w:pStyle w:val="000"/>
                  </w:pPr>
                  <w:r>
                    <w:t>7.77</w:t>
                  </w:r>
                </w:p>
              </w:tc>
              <w:tc>
                <w:tcPr>
                  <w:tcW w:w="603" w:type="dxa"/>
                  <w:tcBorders>
                    <w:top w:val="single" w:sz="6" w:space="0" w:color="000000"/>
                    <w:left w:val="single" w:sz="6" w:space="0" w:color="000000"/>
                    <w:bottom w:val="single" w:sz="6" w:space="0" w:color="000000"/>
                    <w:right w:val="single" w:sz="6" w:space="0" w:color="000000"/>
                  </w:tcBorders>
                  <w:vAlign w:val="center"/>
                </w:tcPr>
                <w:p w14:paraId="19E2047E" w14:textId="77777777" w:rsidR="00F76A63" w:rsidRDefault="00000000">
                  <w:pPr>
                    <w:pStyle w:val="000"/>
                  </w:pPr>
                  <w:r>
                    <w:t>10</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0ED31BC3"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3DCADFA"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540B3B1E"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4DE7CBEF" w14:textId="77777777" w:rsidR="00F76A63" w:rsidRDefault="00F76A63">
                  <w:pPr>
                    <w:widowControl/>
                    <w:jc w:val="center"/>
                    <w:rPr>
                      <w:bCs/>
                      <w:kern w:val="28"/>
                      <w:szCs w:val="21"/>
                    </w:rPr>
                  </w:pPr>
                </w:p>
              </w:tc>
            </w:tr>
            <w:tr w:rsidR="00F76A63" w14:paraId="1B02FE08"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75B11324" w14:textId="77777777" w:rsidR="00F76A63" w:rsidRDefault="00000000">
                  <w:pPr>
                    <w:pStyle w:val="000"/>
                  </w:pPr>
                  <w:r>
                    <w:t>5</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253855A6"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7D3A87A9" w14:textId="77777777" w:rsidR="00F76A63" w:rsidRDefault="00000000">
                  <w:pPr>
                    <w:pStyle w:val="000"/>
                  </w:pPr>
                  <w:r>
                    <w:t>HF</w:t>
                  </w:r>
                </w:p>
              </w:tc>
              <w:tc>
                <w:tcPr>
                  <w:tcW w:w="603" w:type="dxa"/>
                  <w:tcBorders>
                    <w:top w:val="single" w:sz="6" w:space="0" w:color="000000"/>
                    <w:left w:val="single" w:sz="6" w:space="0" w:color="000000"/>
                    <w:bottom w:val="single" w:sz="6" w:space="0" w:color="000000"/>
                    <w:right w:val="single" w:sz="6" w:space="0" w:color="000000"/>
                  </w:tcBorders>
                  <w:vAlign w:val="center"/>
                </w:tcPr>
                <w:p w14:paraId="49734DBD" w14:textId="77777777" w:rsidR="00F76A63" w:rsidRDefault="00000000">
                  <w:pPr>
                    <w:pStyle w:val="000"/>
                  </w:pPr>
                  <w:r>
                    <w:t>10.15</w:t>
                  </w:r>
                </w:p>
              </w:tc>
              <w:tc>
                <w:tcPr>
                  <w:tcW w:w="649" w:type="dxa"/>
                  <w:tcBorders>
                    <w:top w:val="single" w:sz="6" w:space="0" w:color="000000"/>
                    <w:left w:val="single" w:sz="6" w:space="0" w:color="000000"/>
                    <w:bottom w:val="single" w:sz="6" w:space="0" w:color="000000"/>
                    <w:right w:val="single" w:sz="6" w:space="0" w:color="000000"/>
                  </w:tcBorders>
                  <w:vAlign w:val="center"/>
                </w:tcPr>
                <w:p w14:paraId="677A2280" w14:textId="77777777" w:rsidR="00F76A63" w:rsidRDefault="00000000">
                  <w:pPr>
                    <w:pStyle w:val="000"/>
                  </w:pPr>
                  <w:r>
                    <w:t>7.82</w:t>
                  </w:r>
                </w:p>
              </w:tc>
              <w:tc>
                <w:tcPr>
                  <w:tcW w:w="591" w:type="dxa"/>
                  <w:tcBorders>
                    <w:top w:val="single" w:sz="6" w:space="0" w:color="000000"/>
                    <w:left w:val="single" w:sz="6" w:space="0" w:color="000000"/>
                    <w:bottom w:val="single" w:sz="6" w:space="0" w:color="000000"/>
                    <w:right w:val="single" w:sz="6" w:space="0" w:color="000000"/>
                  </w:tcBorders>
                  <w:vAlign w:val="center"/>
                </w:tcPr>
                <w:p w14:paraId="538A7658" w14:textId="77777777" w:rsidR="00F76A63" w:rsidRDefault="00000000">
                  <w:pPr>
                    <w:pStyle w:val="000"/>
                  </w:pPr>
                  <w:r>
                    <w:t>56.3</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01EAF2C0"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2D6F6EFE" w14:textId="77777777" w:rsidR="00F76A63" w:rsidRDefault="00000000">
                  <w:pPr>
                    <w:pStyle w:val="000"/>
                  </w:pPr>
                  <w:r>
                    <w:t>99.00%</w:t>
                  </w:r>
                </w:p>
              </w:tc>
              <w:tc>
                <w:tcPr>
                  <w:tcW w:w="672" w:type="dxa"/>
                  <w:tcBorders>
                    <w:top w:val="single" w:sz="6" w:space="0" w:color="000000"/>
                    <w:left w:val="single" w:sz="6" w:space="0" w:color="000000"/>
                    <w:bottom w:val="single" w:sz="6" w:space="0" w:color="000000"/>
                    <w:right w:val="single" w:sz="6" w:space="0" w:color="000000"/>
                  </w:tcBorders>
                  <w:vAlign w:val="center"/>
                </w:tcPr>
                <w:p w14:paraId="2701C571" w14:textId="77777777" w:rsidR="00F76A63" w:rsidRDefault="00000000">
                  <w:pPr>
                    <w:pStyle w:val="000"/>
                  </w:pPr>
                  <w:r>
                    <w:t>0.10</w:t>
                  </w:r>
                </w:p>
              </w:tc>
              <w:tc>
                <w:tcPr>
                  <w:tcW w:w="684" w:type="dxa"/>
                  <w:tcBorders>
                    <w:top w:val="single" w:sz="6" w:space="0" w:color="000000"/>
                    <w:left w:val="single" w:sz="6" w:space="0" w:color="000000"/>
                    <w:bottom w:val="single" w:sz="6" w:space="0" w:color="000000"/>
                    <w:right w:val="single" w:sz="6" w:space="0" w:color="000000"/>
                  </w:tcBorders>
                  <w:vAlign w:val="center"/>
                </w:tcPr>
                <w:p w14:paraId="0A004F41" w14:textId="77777777" w:rsidR="00F76A63" w:rsidRDefault="00000000">
                  <w:pPr>
                    <w:pStyle w:val="000"/>
                  </w:pPr>
                  <w:r>
                    <w:t>0.08</w:t>
                  </w:r>
                </w:p>
              </w:tc>
              <w:tc>
                <w:tcPr>
                  <w:tcW w:w="591" w:type="dxa"/>
                  <w:tcBorders>
                    <w:top w:val="single" w:sz="6" w:space="0" w:color="000000"/>
                    <w:left w:val="single" w:sz="6" w:space="0" w:color="000000"/>
                    <w:bottom w:val="single" w:sz="6" w:space="0" w:color="000000"/>
                    <w:right w:val="single" w:sz="6" w:space="0" w:color="000000"/>
                  </w:tcBorders>
                  <w:vAlign w:val="center"/>
                </w:tcPr>
                <w:p w14:paraId="48ED23DD" w14:textId="77777777" w:rsidR="00F76A63" w:rsidRDefault="00000000">
                  <w:pPr>
                    <w:pStyle w:val="000"/>
                  </w:pPr>
                  <w:r>
                    <w:t>0.562</w:t>
                  </w:r>
                </w:p>
              </w:tc>
              <w:tc>
                <w:tcPr>
                  <w:tcW w:w="603" w:type="dxa"/>
                  <w:tcBorders>
                    <w:top w:val="single" w:sz="6" w:space="0" w:color="000000"/>
                    <w:left w:val="single" w:sz="6" w:space="0" w:color="000000"/>
                    <w:bottom w:val="single" w:sz="6" w:space="0" w:color="000000"/>
                    <w:right w:val="single" w:sz="6" w:space="0" w:color="000000"/>
                  </w:tcBorders>
                  <w:vAlign w:val="center"/>
                </w:tcPr>
                <w:p w14:paraId="4C85B86A" w14:textId="77777777" w:rsidR="00F76A63" w:rsidRDefault="00000000">
                  <w:pPr>
                    <w:pStyle w:val="000"/>
                  </w:pPr>
                  <w:r>
                    <w:t>1</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4100A043"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010F771"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35F1805E"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0CD67995" w14:textId="77777777" w:rsidR="00F76A63" w:rsidRDefault="00F76A63">
                  <w:pPr>
                    <w:widowControl/>
                    <w:jc w:val="center"/>
                    <w:rPr>
                      <w:bCs/>
                      <w:kern w:val="28"/>
                      <w:szCs w:val="21"/>
                    </w:rPr>
                  </w:pPr>
                </w:p>
              </w:tc>
            </w:tr>
            <w:tr w:rsidR="00F76A63" w14:paraId="62185110"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5CD83586" w14:textId="77777777" w:rsidR="00F76A63" w:rsidRDefault="00000000">
                  <w:pPr>
                    <w:pStyle w:val="000"/>
                  </w:pPr>
                  <w:r>
                    <w:t>6</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6D8A2D7E"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6900367A" w14:textId="77777777" w:rsidR="00F76A63" w:rsidRDefault="00000000">
                  <w:pPr>
                    <w:pStyle w:val="000"/>
                  </w:pPr>
                  <w:r>
                    <w:t>NH</w:t>
                  </w:r>
                  <w:r>
                    <w:rPr>
                      <w:vertAlign w:val="subscript"/>
                    </w:rPr>
                    <w:t>3</w:t>
                  </w:r>
                </w:p>
              </w:tc>
              <w:tc>
                <w:tcPr>
                  <w:tcW w:w="603" w:type="dxa"/>
                  <w:tcBorders>
                    <w:top w:val="single" w:sz="6" w:space="0" w:color="000000"/>
                    <w:left w:val="single" w:sz="6" w:space="0" w:color="000000"/>
                    <w:bottom w:val="single" w:sz="6" w:space="0" w:color="000000"/>
                    <w:right w:val="single" w:sz="6" w:space="0" w:color="000000"/>
                  </w:tcBorders>
                  <w:vAlign w:val="center"/>
                </w:tcPr>
                <w:p w14:paraId="4836E254" w14:textId="77777777" w:rsidR="00F76A63" w:rsidRDefault="00000000">
                  <w:pPr>
                    <w:pStyle w:val="000"/>
                  </w:pPr>
                  <w:r>
                    <w:t>4.16</w:t>
                  </w:r>
                </w:p>
              </w:tc>
              <w:tc>
                <w:tcPr>
                  <w:tcW w:w="649" w:type="dxa"/>
                  <w:tcBorders>
                    <w:top w:val="single" w:sz="6" w:space="0" w:color="000000"/>
                    <w:left w:val="single" w:sz="6" w:space="0" w:color="000000"/>
                    <w:bottom w:val="single" w:sz="6" w:space="0" w:color="000000"/>
                    <w:right w:val="single" w:sz="6" w:space="0" w:color="000000"/>
                  </w:tcBorders>
                  <w:vAlign w:val="center"/>
                </w:tcPr>
                <w:p w14:paraId="7C957B97" w14:textId="77777777" w:rsidR="00F76A63" w:rsidRDefault="00000000">
                  <w:pPr>
                    <w:pStyle w:val="000"/>
                  </w:pPr>
                  <w:r>
                    <w:t>3.20</w:t>
                  </w:r>
                </w:p>
              </w:tc>
              <w:tc>
                <w:tcPr>
                  <w:tcW w:w="591" w:type="dxa"/>
                  <w:tcBorders>
                    <w:top w:val="single" w:sz="6" w:space="0" w:color="000000"/>
                    <w:left w:val="single" w:sz="6" w:space="0" w:color="000000"/>
                    <w:bottom w:val="single" w:sz="6" w:space="0" w:color="000000"/>
                    <w:right w:val="single" w:sz="6" w:space="0" w:color="000000"/>
                  </w:tcBorders>
                  <w:vAlign w:val="center"/>
                </w:tcPr>
                <w:p w14:paraId="0DB35036" w14:textId="77777777" w:rsidR="00F76A63" w:rsidRDefault="00000000">
                  <w:pPr>
                    <w:pStyle w:val="000"/>
                  </w:pPr>
                  <w:r>
                    <w:t>23.06</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3318E0F0"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5C7A2F4D" w14:textId="77777777" w:rsidR="00F76A63" w:rsidRDefault="00000000">
                  <w:pPr>
                    <w:pStyle w:val="000"/>
                  </w:pPr>
                  <w:r>
                    <w:t>0</w:t>
                  </w:r>
                </w:p>
              </w:tc>
              <w:tc>
                <w:tcPr>
                  <w:tcW w:w="672" w:type="dxa"/>
                  <w:tcBorders>
                    <w:top w:val="single" w:sz="6" w:space="0" w:color="000000"/>
                    <w:left w:val="single" w:sz="6" w:space="0" w:color="000000"/>
                    <w:bottom w:val="single" w:sz="6" w:space="0" w:color="000000"/>
                    <w:right w:val="single" w:sz="6" w:space="0" w:color="000000"/>
                  </w:tcBorders>
                  <w:vAlign w:val="center"/>
                </w:tcPr>
                <w:p w14:paraId="56758E30" w14:textId="77777777" w:rsidR="00F76A63" w:rsidRDefault="00000000">
                  <w:pPr>
                    <w:pStyle w:val="000"/>
                  </w:pPr>
                  <w:r>
                    <w:t>4.16</w:t>
                  </w:r>
                </w:p>
              </w:tc>
              <w:tc>
                <w:tcPr>
                  <w:tcW w:w="684" w:type="dxa"/>
                  <w:tcBorders>
                    <w:top w:val="single" w:sz="6" w:space="0" w:color="000000"/>
                    <w:left w:val="single" w:sz="6" w:space="0" w:color="000000"/>
                    <w:bottom w:val="single" w:sz="6" w:space="0" w:color="000000"/>
                    <w:right w:val="single" w:sz="6" w:space="0" w:color="000000"/>
                  </w:tcBorders>
                  <w:vAlign w:val="center"/>
                </w:tcPr>
                <w:p w14:paraId="76DCB2E2" w14:textId="77777777" w:rsidR="00F76A63" w:rsidRDefault="00000000">
                  <w:pPr>
                    <w:pStyle w:val="000"/>
                  </w:pPr>
                  <w:r>
                    <w:t>3.20</w:t>
                  </w:r>
                </w:p>
              </w:tc>
              <w:tc>
                <w:tcPr>
                  <w:tcW w:w="591" w:type="dxa"/>
                  <w:tcBorders>
                    <w:top w:val="single" w:sz="6" w:space="0" w:color="000000"/>
                    <w:left w:val="single" w:sz="6" w:space="0" w:color="000000"/>
                    <w:bottom w:val="single" w:sz="6" w:space="0" w:color="000000"/>
                    <w:right w:val="single" w:sz="6" w:space="0" w:color="000000"/>
                  </w:tcBorders>
                  <w:vAlign w:val="center"/>
                </w:tcPr>
                <w:p w14:paraId="0BC77414" w14:textId="77777777" w:rsidR="00F76A63" w:rsidRDefault="00000000">
                  <w:pPr>
                    <w:pStyle w:val="000"/>
                  </w:pPr>
                  <w:r>
                    <w:t>23.06</w:t>
                  </w:r>
                </w:p>
              </w:tc>
              <w:tc>
                <w:tcPr>
                  <w:tcW w:w="603" w:type="dxa"/>
                  <w:tcBorders>
                    <w:top w:val="single" w:sz="6" w:space="0" w:color="000000"/>
                    <w:left w:val="single" w:sz="6" w:space="0" w:color="000000"/>
                    <w:bottom w:val="single" w:sz="6" w:space="0" w:color="000000"/>
                    <w:right w:val="single" w:sz="6" w:space="0" w:color="000000"/>
                  </w:tcBorders>
                  <w:vAlign w:val="center"/>
                </w:tcPr>
                <w:p w14:paraId="7DBCCCFF" w14:textId="77777777" w:rsidR="00F76A63" w:rsidRDefault="00000000">
                  <w:pPr>
                    <w:pStyle w:val="000"/>
                  </w:pPr>
                  <w:r>
                    <w:t>8</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4F115982"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67A3A844"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0C7B22F4"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6AF8B3D8" w14:textId="77777777" w:rsidR="00F76A63" w:rsidRDefault="00F76A63">
                  <w:pPr>
                    <w:widowControl/>
                    <w:jc w:val="center"/>
                    <w:rPr>
                      <w:bCs/>
                      <w:kern w:val="28"/>
                      <w:szCs w:val="21"/>
                    </w:rPr>
                  </w:pPr>
                </w:p>
              </w:tc>
            </w:tr>
            <w:tr w:rsidR="00F76A63" w14:paraId="4D5E8CD2"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59EACCB8" w14:textId="77777777" w:rsidR="00F76A63" w:rsidRDefault="00000000">
                  <w:pPr>
                    <w:pStyle w:val="000"/>
                  </w:pPr>
                  <w:r>
                    <w:t>7</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FBC9CFE"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1DF7033" w14:textId="77777777" w:rsidR="00F76A63" w:rsidRDefault="00000000">
                  <w:pPr>
                    <w:pStyle w:val="000"/>
                  </w:pPr>
                  <w:r>
                    <w:t>汞及其化合物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13E029A6" w14:textId="77777777" w:rsidR="00F76A63" w:rsidRDefault="00000000">
                  <w:pPr>
                    <w:pStyle w:val="000"/>
                  </w:pPr>
                  <w:r>
                    <w:t>3.60E-05</w:t>
                  </w:r>
                </w:p>
              </w:tc>
              <w:tc>
                <w:tcPr>
                  <w:tcW w:w="649" w:type="dxa"/>
                  <w:tcBorders>
                    <w:top w:val="single" w:sz="6" w:space="0" w:color="000000"/>
                    <w:left w:val="single" w:sz="6" w:space="0" w:color="000000"/>
                    <w:bottom w:val="single" w:sz="6" w:space="0" w:color="000000"/>
                    <w:right w:val="single" w:sz="6" w:space="0" w:color="000000"/>
                  </w:tcBorders>
                  <w:vAlign w:val="center"/>
                </w:tcPr>
                <w:p w14:paraId="19AA85F8" w14:textId="77777777" w:rsidR="00F76A63" w:rsidRDefault="00000000">
                  <w:pPr>
                    <w:pStyle w:val="000"/>
                  </w:pPr>
                  <w:r>
                    <w:t>2.78E-05</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3DE24B91" w14:textId="77777777" w:rsidR="00F76A63" w:rsidRDefault="00000000">
                  <w:pPr>
                    <w:pStyle w:val="00-YO0"/>
                    <w:rPr>
                      <w:b w:val="0"/>
                      <w:bCs w:val="0"/>
                    </w:rPr>
                  </w:pPr>
                  <w:r>
                    <w:rPr>
                      <w:b w:val="0"/>
                      <w:bCs w:val="0"/>
                    </w:rPr>
                    <w:t>0.0002</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2D79D6AA"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362CFB32"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76AD72EB" w14:textId="77777777" w:rsidR="00F76A63" w:rsidRDefault="00000000">
                  <w:pPr>
                    <w:pStyle w:val="000"/>
                  </w:pPr>
                  <w:r>
                    <w:t>1.80E-05</w:t>
                  </w:r>
                </w:p>
              </w:tc>
              <w:tc>
                <w:tcPr>
                  <w:tcW w:w="684" w:type="dxa"/>
                  <w:tcBorders>
                    <w:top w:val="single" w:sz="6" w:space="0" w:color="000000"/>
                    <w:left w:val="single" w:sz="6" w:space="0" w:color="000000"/>
                    <w:bottom w:val="single" w:sz="6" w:space="0" w:color="000000"/>
                    <w:right w:val="single" w:sz="6" w:space="0" w:color="000000"/>
                  </w:tcBorders>
                  <w:vAlign w:val="center"/>
                </w:tcPr>
                <w:p w14:paraId="771EA5B1" w14:textId="77777777" w:rsidR="00F76A63" w:rsidRDefault="00000000">
                  <w:pPr>
                    <w:pStyle w:val="000"/>
                  </w:pPr>
                  <w:r>
                    <w:t>1.39E-05</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6DC76F1C" w14:textId="77777777" w:rsidR="00F76A63" w:rsidRDefault="00000000">
                  <w:pPr>
                    <w:pStyle w:val="000"/>
                  </w:pPr>
                  <w:r>
                    <w:t>0.0001</w:t>
                  </w:r>
                </w:p>
              </w:tc>
              <w:tc>
                <w:tcPr>
                  <w:tcW w:w="603" w:type="dxa"/>
                  <w:tcBorders>
                    <w:top w:val="single" w:sz="6" w:space="0" w:color="000000"/>
                    <w:left w:val="single" w:sz="6" w:space="0" w:color="000000"/>
                    <w:bottom w:val="single" w:sz="6" w:space="0" w:color="000000"/>
                    <w:right w:val="single" w:sz="6" w:space="0" w:color="000000"/>
                  </w:tcBorders>
                  <w:vAlign w:val="center"/>
                </w:tcPr>
                <w:p w14:paraId="16FE7019" w14:textId="77777777" w:rsidR="00F76A63" w:rsidRDefault="00000000">
                  <w:pPr>
                    <w:pStyle w:val="000"/>
                  </w:pPr>
                  <w:r>
                    <w:t>0.05</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3A1F2A5A"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8A88C2C"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551646C7"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52A6357B" w14:textId="77777777" w:rsidR="00F76A63" w:rsidRDefault="00F76A63">
                  <w:pPr>
                    <w:widowControl/>
                    <w:jc w:val="center"/>
                    <w:rPr>
                      <w:bCs/>
                      <w:kern w:val="28"/>
                      <w:szCs w:val="21"/>
                    </w:rPr>
                  </w:pPr>
                </w:p>
              </w:tc>
            </w:tr>
            <w:tr w:rsidR="00F76A63" w14:paraId="67EFF1DC"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3F4D25A9" w14:textId="77777777" w:rsidR="00F76A63" w:rsidRDefault="00000000">
                  <w:pPr>
                    <w:pStyle w:val="000"/>
                  </w:pPr>
                  <w:r>
                    <w:t>8</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DAAA847"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67066423" w14:textId="77777777" w:rsidR="00F76A63" w:rsidRDefault="00000000">
                  <w:pPr>
                    <w:pStyle w:val="000"/>
                  </w:pPr>
                  <w:r>
                    <w:t>铊及其化合物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7B3C8354" w14:textId="77777777" w:rsidR="00F76A63" w:rsidRDefault="00000000">
                  <w:pPr>
                    <w:pStyle w:val="000"/>
                  </w:pPr>
                  <w:r>
                    <w:t>3.60E-04</w:t>
                  </w:r>
                </w:p>
              </w:tc>
              <w:tc>
                <w:tcPr>
                  <w:tcW w:w="649" w:type="dxa"/>
                  <w:tcBorders>
                    <w:top w:val="single" w:sz="6" w:space="0" w:color="000000"/>
                    <w:left w:val="single" w:sz="6" w:space="0" w:color="000000"/>
                    <w:bottom w:val="single" w:sz="6" w:space="0" w:color="000000"/>
                    <w:right w:val="single" w:sz="6" w:space="0" w:color="000000"/>
                  </w:tcBorders>
                  <w:vAlign w:val="center"/>
                </w:tcPr>
                <w:p w14:paraId="5B872DF1" w14:textId="77777777" w:rsidR="00F76A63" w:rsidRDefault="00000000">
                  <w:pPr>
                    <w:pStyle w:val="000"/>
                  </w:pPr>
                  <w:r>
                    <w:t>2.78E-04</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6BFA5D46" w14:textId="77777777" w:rsidR="00F76A63" w:rsidRDefault="00000000">
                  <w:pPr>
                    <w:pStyle w:val="00-YO0"/>
                    <w:rPr>
                      <w:b w:val="0"/>
                      <w:bCs w:val="0"/>
                    </w:rPr>
                  </w:pPr>
                  <w:r>
                    <w:rPr>
                      <w:b w:val="0"/>
                      <w:bCs w:val="0"/>
                    </w:rPr>
                    <w:t>0.0020</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7ED947C1"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70A2A4BB"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2A96903F" w14:textId="77777777" w:rsidR="00F76A63" w:rsidRDefault="00000000">
                  <w:pPr>
                    <w:pStyle w:val="000"/>
                  </w:pPr>
                  <w:r>
                    <w:t>1.78E-04</w:t>
                  </w:r>
                </w:p>
              </w:tc>
              <w:tc>
                <w:tcPr>
                  <w:tcW w:w="684" w:type="dxa"/>
                  <w:tcBorders>
                    <w:top w:val="single" w:sz="6" w:space="0" w:color="000000"/>
                    <w:left w:val="single" w:sz="6" w:space="0" w:color="000000"/>
                    <w:bottom w:val="single" w:sz="6" w:space="0" w:color="000000"/>
                    <w:right w:val="single" w:sz="6" w:space="0" w:color="000000"/>
                  </w:tcBorders>
                  <w:vAlign w:val="center"/>
                </w:tcPr>
                <w:p w14:paraId="6D289388" w14:textId="77777777" w:rsidR="00F76A63" w:rsidRDefault="00000000">
                  <w:pPr>
                    <w:pStyle w:val="000"/>
                  </w:pPr>
                  <w:r>
                    <w:t>1.11E-04</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48B0AFA8" w14:textId="77777777" w:rsidR="00F76A63" w:rsidRDefault="00000000">
                  <w:pPr>
                    <w:pStyle w:val="000"/>
                  </w:pPr>
                  <w:r>
                    <w:t>0.0008</w:t>
                  </w:r>
                </w:p>
              </w:tc>
              <w:tc>
                <w:tcPr>
                  <w:tcW w:w="603" w:type="dxa"/>
                  <w:tcBorders>
                    <w:top w:val="single" w:sz="6" w:space="0" w:color="000000"/>
                    <w:left w:val="single" w:sz="6" w:space="0" w:color="000000"/>
                    <w:bottom w:val="single" w:sz="6" w:space="0" w:color="000000"/>
                    <w:right w:val="single" w:sz="6" w:space="0" w:color="000000"/>
                  </w:tcBorders>
                  <w:vAlign w:val="center"/>
                </w:tcPr>
                <w:p w14:paraId="3D4FA58F"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338F3D83"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93786E9"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023F5497"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529CE452" w14:textId="77777777" w:rsidR="00F76A63" w:rsidRDefault="00F76A63">
                  <w:pPr>
                    <w:widowControl/>
                    <w:jc w:val="center"/>
                    <w:rPr>
                      <w:bCs/>
                      <w:kern w:val="28"/>
                      <w:szCs w:val="21"/>
                    </w:rPr>
                  </w:pPr>
                </w:p>
              </w:tc>
            </w:tr>
            <w:tr w:rsidR="00F76A63" w14:paraId="7F274F02"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7B1E6E1E" w14:textId="77777777" w:rsidR="00F76A63" w:rsidRDefault="00000000">
                  <w:pPr>
                    <w:pStyle w:val="000"/>
                  </w:pPr>
                  <w:r>
                    <w:t>9</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9737600"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3D82B6A4" w14:textId="77777777" w:rsidR="00F76A63" w:rsidRDefault="00000000">
                  <w:pPr>
                    <w:pStyle w:val="000"/>
                  </w:pPr>
                  <w:r>
                    <w:t>镉及其化合物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5AA586D8" w14:textId="77777777" w:rsidR="00F76A63" w:rsidRDefault="00000000">
                  <w:pPr>
                    <w:pStyle w:val="000"/>
                  </w:pPr>
                  <w:r>
                    <w:t>1.57E-03</w:t>
                  </w:r>
                </w:p>
              </w:tc>
              <w:tc>
                <w:tcPr>
                  <w:tcW w:w="649" w:type="dxa"/>
                  <w:tcBorders>
                    <w:top w:val="single" w:sz="6" w:space="0" w:color="000000"/>
                    <w:left w:val="single" w:sz="6" w:space="0" w:color="000000"/>
                    <w:bottom w:val="single" w:sz="6" w:space="0" w:color="000000"/>
                    <w:right w:val="single" w:sz="6" w:space="0" w:color="000000"/>
                  </w:tcBorders>
                  <w:vAlign w:val="center"/>
                </w:tcPr>
                <w:p w14:paraId="1B33016F" w14:textId="77777777" w:rsidR="00F76A63" w:rsidRDefault="00000000">
                  <w:pPr>
                    <w:pStyle w:val="000"/>
                  </w:pPr>
                  <w:r>
                    <w:t>1.21E-03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0ECAC78F" w14:textId="77777777" w:rsidR="00F76A63" w:rsidRDefault="00000000">
                  <w:pPr>
                    <w:pStyle w:val="00-YO0"/>
                    <w:rPr>
                      <w:b w:val="0"/>
                      <w:bCs w:val="0"/>
                    </w:rPr>
                  </w:pPr>
                  <w:r>
                    <w:rPr>
                      <w:b w:val="0"/>
                      <w:bCs w:val="0"/>
                    </w:rPr>
                    <w:t>0.0087</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14567053"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531FDC8B"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085CA9C6" w14:textId="77777777" w:rsidR="00F76A63" w:rsidRDefault="00000000">
                  <w:pPr>
                    <w:pStyle w:val="000"/>
                  </w:pPr>
                  <w:r>
                    <w:t>8.28E-04</w:t>
                  </w:r>
                </w:p>
              </w:tc>
              <w:tc>
                <w:tcPr>
                  <w:tcW w:w="684" w:type="dxa"/>
                  <w:tcBorders>
                    <w:top w:val="single" w:sz="6" w:space="0" w:color="000000"/>
                    <w:left w:val="single" w:sz="6" w:space="0" w:color="000000"/>
                    <w:bottom w:val="single" w:sz="6" w:space="0" w:color="000000"/>
                    <w:right w:val="single" w:sz="6" w:space="0" w:color="000000"/>
                  </w:tcBorders>
                  <w:vAlign w:val="center"/>
                </w:tcPr>
                <w:p w14:paraId="65E9CC45" w14:textId="77777777" w:rsidR="00F76A63" w:rsidRDefault="00000000">
                  <w:pPr>
                    <w:pStyle w:val="000"/>
                  </w:pPr>
                  <w:r>
                    <w:t>4.86E-04</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554E6DDF" w14:textId="77777777" w:rsidR="00F76A63" w:rsidRDefault="00000000">
                  <w:pPr>
                    <w:pStyle w:val="000"/>
                  </w:pPr>
                  <w:r>
                    <w:t>0.0035</w:t>
                  </w:r>
                </w:p>
              </w:tc>
              <w:tc>
                <w:tcPr>
                  <w:tcW w:w="603" w:type="dxa"/>
                  <w:tcBorders>
                    <w:top w:val="single" w:sz="6" w:space="0" w:color="000000"/>
                    <w:left w:val="single" w:sz="6" w:space="0" w:color="000000"/>
                    <w:bottom w:val="single" w:sz="6" w:space="0" w:color="000000"/>
                    <w:right w:val="single" w:sz="6" w:space="0" w:color="000000"/>
                  </w:tcBorders>
                  <w:vAlign w:val="center"/>
                </w:tcPr>
                <w:p w14:paraId="3CD9F90D"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113436ED"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B2BD55A"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7BA49A75"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74C6869E" w14:textId="77777777" w:rsidR="00F76A63" w:rsidRDefault="00F76A63">
                  <w:pPr>
                    <w:widowControl/>
                    <w:jc w:val="center"/>
                    <w:rPr>
                      <w:bCs/>
                      <w:kern w:val="28"/>
                      <w:szCs w:val="21"/>
                    </w:rPr>
                  </w:pPr>
                </w:p>
              </w:tc>
            </w:tr>
            <w:tr w:rsidR="00F76A63" w14:paraId="6FB4E61B"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220F0A6C" w14:textId="77777777" w:rsidR="00F76A63" w:rsidRDefault="00000000">
                  <w:pPr>
                    <w:pStyle w:val="000"/>
                  </w:pPr>
                  <w:r>
                    <w:t>10</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360F8D1A"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0DA4FD4F" w14:textId="77777777" w:rsidR="00F76A63" w:rsidRDefault="00000000">
                  <w:pPr>
                    <w:pStyle w:val="000"/>
                  </w:pPr>
                  <w:r>
                    <w:t>铅及其化合物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0D967188" w14:textId="77777777" w:rsidR="00F76A63" w:rsidRDefault="00000000">
                  <w:pPr>
                    <w:pStyle w:val="000"/>
                  </w:pPr>
                  <w:r>
                    <w:t>2.56E-02</w:t>
                  </w:r>
                </w:p>
              </w:tc>
              <w:tc>
                <w:tcPr>
                  <w:tcW w:w="649" w:type="dxa"/>
                  <w:tcBorders>
                    <w:top w:val="single" w:sz="6" w:space="0" w:color="000000"/>
                    <w:left w:val="single" w:sz="6" w:space="0" w:color="000000"/>
                    <w:bottom w:val="single" w:sz="6" w:space="0" w:color="000000"/>
                    <w:right w:val="single" w:sz="6" w:space="0" w:color="000000"/>
                  </w:tcBorders>
                  <w:vAlign w:val="center"/>
                </w:tcPr>
                <w:p w14:paraId="5F8E19DD" w14:textId="77777777" w:rsidR="00F76A63" w:rsidRDefault="00000000">
                  <w:pPr>
                    <w:pStyle w:val="000"/>
                  </w:pPr>
                  <w:r>
                    <w:t>1.97E-02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69831A9C" w14:textId="77777777" w:rsidR="00F76A63" w:rsidRDefault="00000000">
                  <w:pPr>
                    <w:pStyle w:val="00-YO0"/>
                    <w:rPr>
                      <w:b w:val="0"/>
                      <w:bCs w:val="0"/>
                    </w:rPr>
                  </w:pPr>
                  <w:r>
                    <w:rPr>
                      <w:b w:val="0"/>
                      <w:bCs w:val="0"/>
                    </w:rPr>
                    <w:t>0.1418</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65A0BF04"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62CCEF51"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6B05E1B9" w14:textId="77777777" w:rsidR="00F76A63" w:rsidRDefault="00000000">
                  <w:pPr>
                    <w:pStyle w:val="000"/>
                  </w:pPr>
                  <w:r>
                    <w:t>1.61E-02</w:t>
                  </w:r>
                </w:p>
              </w:tc>
              <w:tc>
                <w:tcPr>
                  <w:tcW w:w="684" w:type="dxa"/>
                  <w:tcBorders>
                    <w:top w:val="single" w:sz="6" w:space="0" w:color="000000"/>
                    <w:left w:val="single" w:sz="6" w:space="0" w:color="000000"/>
                    <w:bottom w:val="single" w:sz="6" w:space="0" w:color="000000"/>
                    <w:right w:val="single" w:sz="6" w:space="0" w:color="000000"/>
                  </w:tcBorders>
                  <w:vAlign w:val="center"/>
                </w:tcPr>
                <w:p w14:paraId="5BB1543E" w14:textId="77777777" w:rsidR="00F76A63" w:rsidRDefault="00000000">
                  <w:pPr>
                    <w:pStyle w:val="000"/>
                  </w:pPr>
                  <w:r>
                    <w:t>7.88E-03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3CF9A6DD" w14:textId="77777777" w:rsidR="00F76A63" w:rsidRDefault="00000000">
                  <w:pPr>
                    <w:pStyle w:val="000"/>
                  </w:pPr>
                  <w:r>
                    <w:t>0.0567</w:t>
                  </w:r>
                </w:p>
              </w:tc>
              <w:tc>
                <w:tcPr>
                  <w:tcW w:w="603" w:type="dxa"/>
                  <w:tcBorders>
                    <w:top w:val="single" w:sz="6" w:space="0" w:color="000000"/>
                    <w:left w:val="single" w:sz="6" w:space="0" w:color="000000"/>
                    <w:bottom w:val="single" w:sz="6" w:space="0" w:color="000000"/>
                    <w:right w:val="single" w:sz="6" w:space="0" w:color="000000"/>
                  </w:tcBorders>
                  <w:vAlign w:val="center"/>
                </w:tcPr>
                <w:p w14:paraId="50834C0B"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58092114"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146E95C"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48735A3E"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0C59E50D" w14:textId="77777777" w:rsidR="00F76A63" w:rsidRDefault="00F76A63">
                  <w:pPr>
                    <w:widowControl/>
                    <w:jc w:val="center"/>
                    <w:rPr>
                      <w:bCs/>
                      <w:kern w:val="28"/>
                      <w:szCs w:val="21"/>
                    </w:rPr>
                  </w:pPr>
                </w:p>
              </w:tc>
            </w:tr>
            <w:tr w:rsidR="00F76A63" w14:paraId="56A9F1A3"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09EC9778" w14:textId="77777777" w:rsidR="00F76A63" w:rsidRDefault="00000000">
                  <w:pPr>
                    <w:pStyle w:val="000"/>
                  </w:pPr>
                  <w:r>
                    <w:lastRenderedPageBreak/>
                    <w:t>11</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47B7B3C"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0337FD2" w14:textId="77777777" w:rsidR="00F76A63" w:rsidRDefault="00000000">
                  <w:pPr>
                    <w:pStyle w:val="000"/>
                  </w:pPr>
                  <w:r>
                    <w:t>砷及其化合物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72BB58A7" w14:textId="77777777" w:rsidR="00F76A63" w:rsidRDefault="00000000">
                  <w:pPr>
                    <w:pStyle w:val="000"/>
                  </w:pPr>
                  <w:r>
                    <w:t>3.60E-02</w:t>
                  </w:r>
                </w:p>
              </w:tc>
              <w:tc>
                <w:tcPr>
                  <w:tcW w:w="649" w:type="dxa"/>
                  <w:tcBorders>
                    <w:top w:val="single" w:sz="6" w:space="0" w:color="000000"/>
                    <w:left w:val="single" w:sz="6" w:space="0" w:color="000000"/>
                    <w:bottom w:val="single" w:sz="6" w:space="0" w:color="000000"/>
                    <w:right w:val="single" w:sz="6" w:space="0" w:color="000000"/>
                  </w:tcBorders>
                  <w:vAlign w:val="center"/>
                </w:tcPr>
                <w:p w14:paraId="1844F5CF" w14:textId="77777777" w:rsidR="00F76A63" w:rsidRDefault="00000000">
                  <w:pPr>
                    <w:pStyle w:val="000"/>
                  </w:pPr>
                  <w:r>
                    <w:t>2.77E-02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2896B27C" w14:textId="77777777" w:rsidR="00F76A63" w:rsidRDefault="00000000">
                  <w:pPr>
                    <w:pStyle w:val="00-YO0"/>
                    <w:rPr>
                      <w:b w:val="0"/>
                      <w:bCs w:val="0"/>
                    </w:rPr>
                  </w:pPr>
                  <w:r>
                    <w:rPr>
                      <w:b w:val="0"/>
                      <w:bCs w:val="0"/>
                    </w:rPr>
                    <w:t>0.1995</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3849FFF0"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09EC5935"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4B26F083" w14:textId="77777777" w:rsidR="00F76A63" w:rsidRDefault="00000000">
                  <w:pPr>
                    <w:pStyle w:val="000"/>
                  </w:pPr>
                  <w:r>
                    <w:t>1.53E-02</w:t>
                  </w:r>
                </w:p>
              </w:tc>
              <w:tc>
                <w:tcPr>
                  <w:tcW w:w="684" w:type="dxa"/>
                  <w:tcBorders>
                    <w:top w:val="single" w:sz="6" w:space="0" w:color="000000"/>
                    <w:left w:val="single" w:sz="6" w:space="0" w:color="000000"/>
                    <w:bottom w:val="single" w:sz="6" w:space="0" w:color="000000"/>
                    <w:right w:val="single" w:sz="6" w:space="0" w:color="000000"/>
                  </w:tcBorders>
                  <w:vAlign w:val="center"/>
                </w:tcPr>
                <w:p w14:paraId="2FE5BC84" w14:textId="77777777" w:rsidR="00F76A63" w:rsidRDefault="00000000">
                  <w:pPr>
                    <w:pStyle w:val="000"/>
                  </w:pPr>
                  <w:r>
                    <w:t>1.11E-02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1B7DCF26" w14:textId="77777777" w:rsidR="00F76A63" w:rsidRDefault="00000000">
                  <w:pPr>
                    <w:pStyle w:val="000"/>
                  </w:pPr>
                  <w:r>
                    <w:t>0.0798</w:t>
                  </w:r>
                </w:p>
              </w:tc>
              <w:tc>
                <w:tcPr>
                  <w:tcW w:w="603" w:type="dxa"/>
                  <w:tcBorders>
                    <w:top w:val="single" w:sz="6" w:space="0" w:color="000000"/>
                    <w:left w:val="single" w:sz="6" w:space="0" w:color="000000"/>
                    <w:bottom w:val="single" w:sz="6" w:space="0" w:color="000000"/>
                    <w:right w:val="single" w:sz="6" w:space="0" w:color="000000"/>
                  </w:tcBorders>
                  <w:vAlign w:val="center"/>
                </w:tcPr>
                <w:p w14:paraId="4480AB50"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1738F2FB"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ECE55A1"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4CB80882"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4B2B495A" w14:textId="77777777" w:rsidR="00F76A63" w:rsidRDefault="00F76A63">
                  <w:pPr>
                    <w:widowControl/>
                    <w:jc w:val="center"/>
                    <w:rPr>
                      <w:bCs/>
                      <w:kern w:val="28"/>
                      <w:szCs w:val="21"/>
                    </w:rPr>
                  </w:pPr>
                </w:p>
              </w:tc>
            </w:tr>
            <w:tr w:rsidR="00F76A63" w14:paraId="3DF32B68"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50A7E24A" w14:textId="77777777" w:rsidR="00F76A63" w:rsidRDefault="00000000">
                  <w:pPr>
                    <w:pStyle w:val="000"/>
                  </w:pPr>
                  <w:r>
                    <w:t>12</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3A1162F"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65DCF917" w14:textId="77777777" w:rsidR="00F76A63" w:rsidRDefault="00000000">
                  <w:pPr>
                    <w:pStyle w:val="000"/>
                  </w:pPr>
                  <w:r>
                    <w:t>铍及其化合物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694CD666" w14:textId="77777777" w:rsidR="00F76A63" w:rsidRDefault="00000000">
                  <w:pPr>
                    <w:pStyle w:val="000"/>
                  </w:pPr>
                  <w:r>
                    <w:t>7.21E-05</w:t>
                  </w:r>
                </w:p>
              </w:tc>
              <w:tc>
                <w:tcPr>
                  <w:tcW w:w="649" w:type="dxa"/>
                  <w:tcBorders>
                    <w:top w:val="single" w:sz="6" w:space="0" w:color="000000"/>
                    <w:left w:val="single" w:sz="6" w:space="0" w:color="000000"/>
                    <w:bottom w:val="single" w:sz="6" w:space="0" w:color="000000"/>
                    <w:right w:val="single" w:sz="6" w:space="0" w:color="000000"/>
                  </w:tcBorders>
                  <w:vAlign w:val="center"/>
                </w:tcPr>
                <w:p w14:paraId="43C9E83D" w14:textId="77777777" w:rsidR="00F76A63" w:rsidRDefault="00000000">
                  <w:pPr>
                    <w:pStyle w:val="000"/>
                  </w:pPr>
                  <w:r>
                    <w:t>5.56E-05</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33DF3631" w14:textId="77777777" w:rsidR="00F76A63" w:rsidRDefault="00000000">
                  <w:pPr>
                    <w:pStyle w:val="00-YO0"/>
                    <w:rPr>
                      <w:b w:val="0"/>
                      <w:bCs w:val="0"/>
                    </w:rPr>
                  </w:pPr>
                  <w:r>
                    <w:rPr>
                      <w:b w:val="0"/>
                      <w:bCs w:val="0"/>
                    </w:rPr>
                    <w:t>0.0004</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152EBAF6"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3CC73BF2"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42537ED1" w14:textId="77777777" w:rsidR="00F76A63" w:rsidRDefault="00000000">
                  <w:pPr>
                    <w:pStyle w:val="000"/>
                  </w:pPr>
                  <w:r>
                    <w:t>2.52E-05</w:t>
                  </w:r>
                </w:p>
              </w:tc>
              <w:tc>
                <w:tcPr>
                  <w:tcW w:w="684" w:type="dxa"/>
                  <w:tcBorders>
                    <w:top w:val="single" w:sz="6" w:space="0" w:color="000000"/>
                    <w:left w:val="single" w:sz="6" w:space="0" w:color="000000"/>
                    <w:bottom w:val="single" w:sz="6" w:space="0" w:color="000000"/>
                    <w:right w:val="single" w:sz="6" w:space="0" w:color="000000"/>
                  </w:tcBorders>
                  <w:vAlign w:val="center"/>
                </w:tcPr>
                <w:p w14:paraId="1834F1D8" w14:textId="77777777" w:rsidR="00F76A63" w:rsidRDefault="00000000">
                  <w:pPr>
                    <w:pStyle w:val="000"/>
                  </w:pPr>
                  <w:r>
                    <w:t>1.39E-05</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422E9DBF" w14:textId="77777777" w:rsidR="00F76A63" w:rsidRDefault="00000000">
                  <w:pPr>
                    <w:pStyle w:val="000"/>
                  </w:pPr>
                  <w:r>
                    <w:t>0.0001</w:t>
                  </w:r>
                </w:p>
              </w:tc>
              <w:tc>
                <w:tcPr>
                  <w:tcW w:w="603" w:type="dxa"/>
                  <w:tcBorders>
                    <w:top w:val="single" w:sz="6" w:space="0" w:color="000000"/>
                    <w:left w:val="single" w:sz="6" w:space="0" w:color="000000"/>
                    <w:bottom w:val="single" w:sz="6" w:space="0" w:color="000000"/>
                    <w:right w:val="single" w:sz="6" w:space="0" w:color="000000"/>
                  </w:tcBorders>
                  <w:vAlign w:val="center"/>
                </w:tcPr>
                <w:p w14:paraId="11667DA9"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23EF64A2"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31F46315"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0789FA5E"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5356A48A" w14:textId="77777777" w:rsidR="00F76A63" w:rsidRDefault="00F76A63">
                  <w:pPr>
                    <w:widowControl/>
                    <w:jc w:val="center"/>
                    <w:rPr>
                      <w:bCs/>
                      <w:kern w:val="28"/>
                      <w:szCs w:val="21"/>
                    </w:rPr>
                  </w:pPr>
                </w:p>
              </w:tc>
            </w:tr>
            <w:tr w:rsidR="00F76A63" w14:paraId="02641F65"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34D5167D" w14:textId="77777777" w:rsidR="00F76A63" w:rsidRDefault="00000000">
                  <w:pPr>
                    <w:pStyle w:val="000"/>
                  </w:pPr>
                  <w:r>
                    <w:t>13</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6DCC8DDA"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B6AD93B" w14:textId="77777777" w:rsidR="00F76A63" w:rsidRDefault="00000000">
                  <w:pPr>
                    <w:pStyle w:val="000"/>
                  </w:pPr>
                  <w:r>
                    <w:t>铬及其化合物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2D1CA226" w14:textId="77777777" w:rsidR="00F76A63" w:rsidRDefault="00000000">
                  <w:pPr>
                    <w:pStyle w:val="000"/>
                  </w:pPr>
                  <w:r>
                    <w:t>2.18E-03</w:t>
                  </w:r>
                </w:p>
              </w:tc>
              <w:tc>
                <w:tcPr>
                  <w:tcW w:w="649" w:type="dxa"/>
                  <w:tcBorders>
                    <w:top w:val="single" w:sz="6" w:space="0" w:color="000000"/>
                    <w:left w:val="single" w:sz="6" w:space="0" w:color="000000"/>
                    <w:bottom w:val="single" w:sz="6" w:space="0" w:color="000000"/>
                    <w:right w:val="single" w:sz="6" w:space="0" w:color="000000"/>
                  </w:tcBorders>
                  <w:vAlign w:val="center"/>
                </w:tcPr>
                <w:p w14:paraId="3E854CFE" w14:textId="77777777" w:rsidR="00F76A63" w:rsidRDefault="00000000">
                  <w:pPr>
                    <w:pStyle w:val="000"/>
                  </w:pPr>
                  <w:r>
                    <w:t>1.68E-03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1AE7872A" w14:textId="77777777" w:rsidR="00F76A63" w:rsidRDefault="00000000">
                  <w:pPr>
                    <w:pStyle w:val="00-YO0"/>
                    <w:rPr>
                      <w:b w:val="0"/>
                      <w:bCs w:val="0"/>
                    </w:rPr>
                  </w:pPr>
                  <w:r>
                    <w:rPr>
                      <w:b w:val="0"/>
                      <w:bCs w:val="0"/>
                    </w:rPr>
                    <w:t>0.0121</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3F391666"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0C1D0D1E"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518CE501" w14:textId="77777777" w:rsidR="00F76A63" w:rsidRDefault="00000000">
                  <w:pPr>
                    <w:pStyle w:val="000"/>
                  </w:pPr>
                  <w:r>
                    <w:t>8.92E-04</w:t>
                  </w:r>
                </w:p>
              </w:tc>
              <w:tc>
                <w:tcPr>
                  <w:tcW w:w="684" w:type="dxa"/>
                  <w:tcBorders>
                    <w:top w:val="single" w:sz="6" w:space="0" w:color="000000"/>
                    <w:left w:val="single" w:sz="6" w:space="0" w:color="000000"/>
                    <w:bottom w:val="single" w:sz="6" w:space="0" w:color="000000"/>
                    <w:right w:val="single" w:sz="6" w:space="0" w:color="000000"/>
                  </w:tcBorders>
                  <w:vAlign w:val="center"/>
                </w:tcPr>
                <w:p w14:paraId="253A3E8B" w14:textId="77777777" w:rsidR="00F76A63" w:rsidRDefault="00000000">
                  <w:pPr>
                    <w:pStyle w:val="000"/>
                  </w:pPr>
                  <w:r>
                    <w:t>6.67E-04</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467E128B" w14:textId="77777777" w:rsidR="00F76A63" w:rsidRDefault="00000000">
                  <w:pPr>
                    <w:pStyle w:val="000"/>
                  </w:pPr>
                  <w:r>
                    <w:t>0.0048</w:t>
                  </w:r>
                </w:p>
              </w:tc>
              <w:tc>
                <w:tcPr>
                  <w:tcW w:w="603" w:type="dxa"/>
                  <w:tcBorders>
                    <w:top w:val="single" w:sz="6" w:space="0" w:color="000000"/>
                    <w:left w:val="single" w:sz="6" w:space="0" w:color="000000"/>
                    <w:bottom w:val="single" w:sz="6" w:space="0" w:color="000000"/>
                    <w:right w:val="single" w:sz="6" w:space="0" w:color="000000"/>
                  </w:tcBorders>
                  <w:vAlign w:val="center"/>
                </w:tcPr>
                <w:p w14:paraId="6D9A333D"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4FAC95B5"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2AF825FC"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0CD5F73D"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077A859A" w14:textId="77777777" w:rsidR="00F76A63" w:rsidRDefault="00F76A63">
                  <w:pPr>
                    <w:widowControl/>
                    <w:jc w:val="center"/>
                    <w:rPr>
                      <w:bCs/>
                      <w:kern w:val="28"/>
                      <w:szCs w:val="21"/>
                    </w:rPr>
                  </w:pPr>
                </w:p>
              </w:tc>
            </w:tr>
            <w:tr w:rsidR="00F76A63" w14:paraId="1142B5FF"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56150CE1" w14:textId="77777777" w:rsidR="00F76A63" w:rsidRDefault="00000000">
                  <w:pPr>
                    <w:pStyle w:val="000"/>
                  </w:pPr>
                  <w:r>
                    <w:t>14</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09BED82"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78F34F91" w14:textId="77777777" w:rsidR="00F76A63" w:rsidRDefault="00000000">
                  <w:pPr>
                    <w:pStyle w:val="000"/>
                  </w:pPr>
                  <w:r>
                    <w:t>锡及其化合物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2940687C" w14:textId="77777777" w:rsidR="00F76A63" w:rsidRDefault="00000000">
                  <w:pPr>
                    <w:pStyle w:val="000"/>
                  </w:pPr>
                  <w:r>
                    <w:t>4.09E-03</w:t>
                  </w:r>
                </w:p>
              </w:tc>
              <w:tc>
                <w:tcPr>
                  <w:tcW w:w="649" w:type="dxa"/>
                  <w:tcBorders>
                    <w:top w:val="single" w:sz="6" w:space="0" w:color="000000"/>
                    <w:left w:val="single" w:sz="6" w:space="0" w:color="000000"/>
                    <w:bottom w:val="single" w:sz="6" w:space="0" w:color="000000"/>
                    <w:right w:val="single" w:sz="6" w:space="0" w:color="000000"/>
                  </w:tcBorders>
                  <w:vAlign w:val="center"/>
                </w:tcPr>
                <w:p w14:paraId="26F53756" w14:textId="77777777" w:rsidR="00F76A63" w:rsidRDefault="00000000">
                  <w:pPr>
                    <w:pStyle w:val="000"/>
                  </w:pPr>
                  <w:r>
                    <w:t>3.15E-03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2858B35D" w14:textId="77777777" w:rsidR="00F76A63" w:rsidRDefault="00000000">
                  <w:pPr>
                    <w:pStyle w:val="00-YO0"/>
                    <w:rPr>
                      <w:b w:val="0"/>
                      <w:bCs w:val="0"/>
                    </w:rPr>
                  </w:pPr>
                  <w:r>
                    <w:rPr>
                      <w:b w:val="0"/>
                      <w:bCs w:val="0"/>
                    </w:rPr>
                    <w:t>0.0227</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6DE5B772"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20BB8741"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55407F63" w14:textId="77777777" w:rsidR="00F76A63" w:rsidRDefault="00000000">
                  <w:pPr>
                    <w:pStyle w:val="000"/>
                  </w:pPr>
                  <w:r>
                    <w:t>1.65E-03</w:t>
                  </w:r>
                </w:p>
              </w:tc>
              <w:tc>
                <w:tcPr>
                  <w:tcW w:w="684" w:type="dxa"/>
                  <w:tcBorders>
                    <w:top w:val="single" w:sz="6" w:space="0" w:color="000000"/>
                    <w:left w:val="single" w:sz="6" w:space="0" w:color="000000"/>
                    <w:bottom w:val="single" w:sz="6" w:space="0" w:color="000000"/>
                    <w:right w:val="single" w:sz="6" w:space="0" w:color="000000"/>
                  </w:tcBorders>
                  <w:vAlign w:val="center"/>
                </w:tcPr>
                <w:p w14:paraId="2663CA57" w14:textId="77777777" w:rsidR="00F76A63" w:rsidRDefault="00000000">
                  <w:pPr>
                    <w:pStyle w:val="000"/>
                  </w:pPr>
                  <w:r>
                    <w:t>1.26E-03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5D56291F" w14:textId="77777777" w:rsidR="00F76A63" w:rsidRDefault="00000000">
                  <w:pPr>
                    <w:pStyle w:val="000"/>
                  </w:pPr>
                  <w:r>
                    <w:t>0.0091</w:t>
                  </w:r>
                </w:p>
              </w:tc>
              <w:tc>
                <w:tcPr>
                  <w:tcW w:w="603" w:type="dxa"/>
                  <w:tcBorders>
                    <w:top w:val="single" w:sz="6" w:space="0" w:color="000000"/>
                    <w:left w:val="single" w:sz="6" w:space="0" w:color="000000"/>
                    <w:bottom w:val="single" w:sz="6" w:space="0" w:color="000000"/>
                    <w:right w:val="single" w:sz="6" w:space="0" w:color="000000"/>
                  </w:tcBorders>
                  <w:vAlign w:val="center"/>
                </w:tcPr>
                <w:p w14:paraId="4D7468F8"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05EBE2B7"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45653A2E"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5775DD49"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5FB72CE8" w14:textId="77777777" w:rsidR="00F76A63" w:rsidRDefault="00F76A63">
                  <w:pPr>
                    <w:widowControl/>
                    <w:jc w:val="center"/>
                    <w:rPr>
                      <w:bCs/>
                      <w:kern w:val="28"/>
                      <w:szCs w:val="21"/>
                    </w:rPr>
                  </w:pPr>
                </w:p>
              </w:tc>
            </w:tr>
            <w:tr w:rsidR="00F76A63" w14:paraId="4C234950"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474CB8D3" w14:textId="77777777" w:rsidR="00F76A63" w:rsidRDefault="00000000">
                  <w:pPr>
                    <w:pStyle w:val="000"/>
                  </w:pPr>
                  <w:r>
                    <w:t>15</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655B518A"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7B5401A2" w14:textId="77777777" w:rsidR="00F76A63" w:rsidRDefault="00000000">
                  <w:pPr>
                    <w:pStyle w:val="000"/>
                  </w:pPr>
                  <w:r>
                    <w:t>锑及其化合物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60CF9045" w14:textId="77777777" w:rsidR="00F76A63" w:rsidRDefault="00000000">
                  <w:pPr>
                    <w:pStyle w:val="000"/>
                  </w:pPr>
                  <w:r>
                    <w:t>8.70E-02</w:t>
                  </w:r>
                </w:p>
              </w:tc>
              <w:tc>
                <w:tcPr>
                  <w:tcW w:w="649" w:type="dxa"/>
                  <w:tcBorders>
                    <w:top w:val="single" w:sz="6" w:space="0" w:color="000000"/>
                    <w:left w:val="single" w:sz="6" w:space="0" w:color="000000"/>
                    <w:bottom w:val="single" w:sz="6" w:space="0" w:color="000000"/>
                    <w:right w:val="single" w:sz="6" w:space="0" w:color="000000"/>
                  </w:tcBorders>
                  <w:vAlign w:val="center"/>
                </w:tcPr>
                <w:p w14:paraId="15DEA0FA" w14:textId="77777777" w:rsidR="00F76A63" w:rsidRDefault="00000000">
                  <w:pPr>
                    <w:pStyle w:val="000"/>
                  </w:pPr>
                  <w:r>
                    <w:t>6.70E-02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18D25E9B" w14:textId="77777777" w:rsidR="00F76A63" w:rsidRDefault="00000000">
                  <w:pPr>
                    <w:pStyle w:val="00-YO0"/>
                    <w:rPr>
                      <w:b w:val="0"/>
                      <w:bCs w:val="0"/>
                    </w:rPr>
                  </w:pPr>
                  <w:r>
                    <w:rPr>
                      <w:b w:val="0"/>
                      <w:bCs w:val="0"/>
                    </w:rPr>
                    <w:t>0.4827</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5984143C"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3B0916EB"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66C0F608" w14:textId="77777777" w:rsidR="00F76A63" w:rsidRDefault="00000000">
                  <w:pPr>
                    <w:pStyle w:val="000"/>
                  </w:pPr>
                  <w:r>
                    <w:t>3.50E-02</w:t>
                  </w:r>
                </w:p>
              </w:tc>
              <w:tc>
                <w:tcPr>
                  <w:tcW w:w="684" w:type="dxa"/>
                  <w:tcBorders>
                    <w:top w:val="single" w:sz="6" w:space="0" w:color="000000"/>
                    <w:left w:val="single" w:sz="6" w:space="0" w:color="000000"/>
                    <w:bottom w:val="single" w:sz="6" w:space="0" w:color="000000"/>
                    <w:right w:val="single" w:sz="6" w:space="0" w:color="000000"/>
                  </w:tcBorders>
                  <w:vAlign w:val="center"/>
                </w:tcPr>
                <w:p w14:paraId="13AB87BF" w14:textId="77777777" w:rsidR="00F76A63" w:rsidRDefault="00000000">
                  <w:pPr>
                    <w:pStyle w:val="000"/>
                  </w:pPr>
                  <w:r>
                    <w:t>2.68E-02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36836103" w14:textId="77777777" w:rsidR="00F76A63" w:rsidRDefault="00000000">
                  <w:pPr>
                    <w:pStyle w:val="000"/>
                  </w:pPr>
                  <w:r>
                    <w:t>0.1931</w:t>
                  </w:r>
                </w:p>
              </w:tc>
              <w:tc>
                <w:tcPr>
                  <w:tcW w:w="603" w:type="dxa"/>
                  <w:tcBorders>
                    <w:top w:val="single" w:sz="6" w:space="0" w:color="000000"/>
                    <w:left w:val="single" w:sz="6" w:space="0" w:color="000000"/>
                    <w:bottom w:val="single" w:sz="6" w:space="0" w:color="000000"/>
                    <w:right w:val="single" w:sz="6" w:space="0" w:color="000000"/>
                  </w:tcBorders>
                  <w:vAlign w:val="center"/>
                </w:tcPr>
                <w:p w14:paraId="692D7386"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0FB5C7CE"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4BBEE16F"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74DB309E"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17E520AD" w14:textId="77777777" w:rsidR="00F76A63" w:rsidRDefault="00F76A63">
                  <w:pPr>
                    <w:widowControl/>
                    <w:jc w:val="center"/>
                    <w:rPr>
                      <w:bCs/>
                      <w:kern w:val="28"/>
                      <w:szCs w:val="21"/>
                    </w:rPr>
                  </w:pPr>
                </w:p>
              </w:tc>
            </w:tr>
            <w:tr w:rsidR="00F76A63" w14:paraId="11F5205D"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00C0724F" w14:textId="77777777" w:rsidR="00F76A63" w:rsidRDefault="00000000">
                  <w:pPr>
                    <w:pStyle w:val="000"/>
                  </w:pPr>
                  <w:r>
                    <w:t>16</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1EDF7EB"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514CED8E" w14:textId="77777777" w:rsidR="00F76A63" w:rsidRDefault="00000000">
                  <w:pPr>
                    <w:pStyle w:val="000"/>
                  </w:pPr>
                  <w:r>
                    <w:t>铜及其化合物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0F423748" w14:textId="77777777" w:rsidR="00F76A63" w:rsidRDefault="00000000">
                  <w:pPr>
                    <w:pStyle w:val="000"/>
                  </w:pPr>
                  <w:r>
                    <w:t>2.69E-03</w:t>
                  </w:r>
                </w:p>
              </w:tc>
              <w:tc>
                <w:tcPr>
                  <w:tcW w:w="649" w:type="dxa"/>
                  <w:tcBorders>
                    <w:top w:val="single" w:sz="6" w:space="0" w:color="000000"/>
                    <w:left w:val="single" w:sz="6" w:space="0" w:color="000000"/>
                    <w:bottom w:val="single" w:sz="6" w:space="0" w:color="000000"/>
                    <w:right w:val="single" w:sz="6" w:space="0" w:color="000000"/>
                  </w:tcBorders>
                  <w:vAlign w:val="center"/>
                </w:tcPr>
                <w:p w14:paraId="7A4F7EB3" w14:textId="77777777" w:rsidR="00F76A63" w:rsidRDefault="00000000">
                  <w:pPr>
                    <w:pStyle w:val="000"/>
                  </w:pPr>
                  <w:r>
                    <w:t>2.07E-03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56BC860C" w14:textId="77777777" w:rsidR="00F76A63" w:rsidRDefault="00000000">
                  <w:pPr>
                    <w:pStyle w:val="00-YO0"/>
                    <w:rPr>
                      <w:b w:val="0"/>
                      <w:bCs w:val="0"/>
                    </w:rPr>
                  </w:pPr>
                  <w:r>
                    <w:rPr>
                      <w:b w:val="0"/>
                      <w:bCs w:val="0"/>
                    </w:rPr>
                    <w:t>0.0149</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196F5F4A"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60A7670F"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112987BD" w14:textId="77777777" w:rsidR="00F76A63" w:rsidRDefault="00000000">
                  <w:pPr>
                    <w:pStyle w:val="000"/>
                  </w:pPr>
                  <w:r>
                    <w:t>1.13E-03</w:t>
                  </w:r>
                </w:p>
              </w:tc>
              <w:tc>
                <w:tcPr>
                  <w:tcW w:w="684" w:type="dxa"/>
                  <w:tcBorders>
                    <w:top w:val="single" w:sz="6" w:space="0" w:color="000000"/>
                    <w:left w:val="single" w:sz="6" w:space="0" w:color="000000"/>
                    <w:bottom w:val="single" w:sz="6" w:space="0" w:color="000000"/>
                    <w:right w:val="single" w:sz="6" w:space="0" w:color="000000"/>
                  </w:tcBorders>
                  <w:vAlign w:val="center"/>
                </w:tcPr>
                <w:p w14:paraId="0149169C" w14:textId="77777777" w:rsidR="00F76A63" w:rsidRDefault="00000000">
                  <w:pPr>
                    <w:pStyle w:val="000"/>
                  </w:pPr>
                  <w:r>
                    <w:t>8.33E-04</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6BF513F2" w14:textId="77777777" w:rsidR="00F76A63" w:rsidRDefault="00000000">
                  <w:pPr>
                    <w:pStyle w:val="000"/>
                  </w:pPr>
                  <w:r>
                    <w:t>0.0060</w:t>
                  </w:r>
                </w:p>
              </w:tc>
              <w:tc>
                <w:tcPr>
                  <w:tcW w:w="603" w:type="dxa"/>
                  <w:tcBorders>
                    <w:top w:val="single" w:sz="6" w:space="0" w:color="000000"/>
                    <w:left w:val="single" w:sz="6" w:space="0" w:color="000000"/>
                    <w:bottom w:val="single" w:sz="6" w:space="0" w:color="000000"/>
                    <w:right w:val="single" w:sz="6" w:space="0" w:color="000000"/>
                  </w:tcBorders>
                  <w:vAlign w:val="center"/>
                </w:tcPr>
                <w:p w14:paraId="340B0A60"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2699D3A0"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658774A"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3AE54DBD"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09E42F3E" w14:textId="77777777" w:rsidR="00F76A63" w:rsidRDefault="00F76A63">
                  <w:pPr>
                    <w:widowControl/>
                    <w:jc w:val="center"/>
                    <w:rPr>
                      <w:bCs/>
                      <w:kern w:val="28"/>
                      <w:szCs w:val="21"/>
                    </w:rPr>
                  </w:pPr>
                </w:p>
              </w:tc>
            </w:tr>
            <w:tr w:rsidR="00F76A63" w14:paraId="5FA3374E"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03E7442A" w14:textId="77777777" w:rsidR="00F76A63" w:rsidRDefault="00000000">
                  <w:pPr>
                    <w:pStyle w:val="000"/>
                  </w:pPr>
                  <w:r>
                    <w:t>17</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A2EB175"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C5ACA2B" w14:textId="77777777" w:rsidR="00F76A63" w:rsidRDefault="00000000">
                  <w:pPr>
                    <w:pStyle w:val="000"/>
                  </w:pPr>
                  <w:r>
                    <w:t>锰及其化合物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520AA657" w14:textId="77777777" w:rsidR="00F76A63" w:rsidRDefault="00000000">
                  <w:pPr>
                    <w:pStyle w:val="000"/>
                  </w:pPr>
                  <w:r>
                    <w:t>9.89E-03</w:t>
                  </w:r>
                </w:p>
              </w:tc>
              <w:tc>
                <w:tcPr>
                  <w:tcW w:w="649" w:type="dxa"/>
                  <w:tcBorders>
                    <w:top w:val="single" w:sz="6" w:space="0" w:color="000000"/>
                    <w:left w:val="single" w:sz="6" w:space="0" w:color="000000"/>
                    <w:bottom w:val="single" w:sz="6" w:space="0" w:color="000000"/>
                    <w:right w:val="single" w:sz="6" w:space="0" w:color="000000"/>
                  </w:tcBorders>
                  <w:vAlign w:val="center"/>
                </w:tcPr>
                <w:p w14:paraId="7D9C45D2" w14:textId="77777777" w:rsidR="00F76A63" w:rsidRDefault="00000000">
                  <w:pPr>
                    <w:pStyle w:val="000"/>
                  </w:pPr>
                  <w:r>
                    <w:t>7.63E-03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6F2F90E8" w14:textId="77777777" w:rsidR="00F76A63" w:rsidRDefault="00000000">
                  <w:pPr>
                    <w:pStyle w:val="00-YO0"/>
                    <w:rPr>
                      <w:b w:val="0"/>
                      <w:bCs w:val="0"/>
                    </w:rPr>
                  </w:pPr>
                  <w:r>
                    <w:rPr>
                      <w:b w:val="0"/>
                      <w:bCs w:val="0"/>
                    </w:rPr>
                    <w:t>0.0549</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0ED70BCC"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6AEC39CB"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037212CA" w14:textId="77777777" w:rsidR="00F76A63" w:rsidRDefault="00000000">
                  <w:pPr>
                    <w:pStyle w:val="000"/>
                  </w:pPr>
                  <w:r>
                    <w:t>4.00E-03</w:t>
                  </w:r>
                </w:p>
              </w:tc>
              <w:tc>
                <w:tcPr>
                  <w:tcW w:w="684" w:type="dxa"/>
                  <w:tcBorders>
                    <w:top w:val="single" w:sz="6" w:space="0" w:color="000000"/>
                    <w:left w:val="single" w:sz="6" w:space="0" w:color="000000"/>
                    <w:bottom w:val="single" w:sz="6" w:space="0" w:color="000000"/>
                    <w:right w:val="single" w:sz="6" w:space="0" w:color="000000"/>
                  </w:tcBorders>
                  <w:vAlign w:val="center"/>
                </w:tcPr>
                <w:p w14:paraId="4A47948B" w14:textId="77777777" w:rsidR="00F76A63" w:rsidRDefault="00000000">
                  <w:pPr>
                    <w:pStyle w:val="000"/>
                  </w:pPr>
                  <w:r>
                    <w:t>3.06E-03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371A6513" w14:textId="77777777" w:rsidR="00F76A63" w:rsidRDefault="00000000">
                  <w:pPr>
                    <w:pStyle w:val="000"/>
                  </w:pPr>
                  <w:r>
                    <w:t>0.0220</w:t>
                  </w:r>
                </w:p>
              </w:tc>
              <w:tc>
                <w:tcPr>
                  <w:tcW w:w="603" w:type="dxa"/>
                  <w:tcBorders>
                    <w:top w:val="single" w:sz="6" w:space="0" w:color="000000"/>
                    <w:left w:val="single" w:sz="6" w:space="0" w:color="000000"/>
                    <w:bottom w:val="single" w:sz="6" w:space="0" w:color="000000"/>
                    <w:right w:val="single" w:sz="6" w:space="0" w:color="000000"/>
                  </w:tcBorders>
                  <w:vAlign w:val="center"/>
                </w:tcPr>
                <w:p w14:paraId="0AA455CF"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5D7C99C0"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0233365"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31775899"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4A8EB42E" w14:textId="77777777" w:rsidR="00F76A63" w:rsidRDefault="00F76A63">
                  <w:pPr>
                    <w:widowControl/>
                    <w:jc w:val="center"/>
                    <w:rPr>
                      <w:bCs/>
                      <w:kern w:val="28"/>
                      <w:szCs w:val="21"/>
                    </w:rPr>
                  </w:pPr>
                </w:p>
              </w:tc>
            </w:tr>
            <w:tr w:rsidR="00F76A63" w14:paraId="17D788C8"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138D8913" w14:textId="77777777" w:rsidR="00F76A63" w:rsidRDefault="00000000">
                  <w:pPr>
                    <w:pStyle w:val="000"/>
                  </w:pPr>
                  <w:r>
                    <w:t>18</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37D05A4C"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F24D885" w14:textId="77777777" w:rsidR="00F76A63" w:rsidRDefault="00000000">
                  <w:pPr>
                    <w:pStyle w:val="000"/>
                  </w:pPr>
                  <w:r>
                    <w:t>镍及其化合物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53934806" w14:textId="77777777" w:rsidR="00F76A63" w:rsidRDefault="00000000">
                  <w:pPr>
                    <w:pStyle w:val="000"/>
                  </w:pPr>
                  <w:r>
                    <w:t>9.23E-03</w:t>
                  </w:r>
                </w:p>
              </w:tc>
              <w:tc>
                <w:tcPr>
                  <w:tcW w:w="649" w:type="dxa"/>
                  <w:tcBorders>
                    <w:top w:val="single" w:sz="6" w:space="0" w:color="000000"/>
                    <w:left w:val="single" w:sz="6" w:space="0" w:color="000000"/>
                    <w:bottom w:val="single" w:sz="6" w:space="0" w:color="000000"/>
                    <w:right w:val="single" w:sz="6" w:space="0" w:color="000000"/>
                  </w:tcBorders>
                  <w:vAlign w:val="center"/>
                </w:tcPr>
                <w:p w14:paraId="543EE29F" w14:textId="77777777" w:rsidR="00F76A63" w:rsidRDefault="00000000">
                  <w:pPr>
                    <w:pStyle w:val="000"/>
                  </w:pPr>
                  <w:r>
                    <w:t>7.11E-03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0B88E2CE" w14:textId="77777777" w:rsidR="00F76A63" w:rsidRDefault="00000000">
                  <w:pPr>
                    <w:pStyle w:val="00-YO0"/>
                    <w:rPr>
                      <w:b w:val="0"/>
                      <w:bCs w:val="0"/>
                    </w:rPr>
                  </w:pPr>
                  <w:r>
                    <w:rPr>
                      <w:b w:val="0"/>
                      <w:bCs w:val="0"/>
                    </w:rPr>
                    <w:t>0.0512</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1D71A1AD"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2B541D1A"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54ED2B36" w14:textId="77777777" w:rsidR="00F76A63" w:rsidRDefault="00000000">
                  <w:pPr>
                    <w:pStyle w:val="000"/>
                  </w:pPr>
                  <w:r>
                    <w:t>3.70E-03</w:t>
                  </w:r>
                </w:p>
              </w:tc>
              <w:tc>
                <w:tcPr>
                  <w:tcW w:w="684" w:type="dxa"/>
                  <w:tcBorders>
                    <w:top w:val="single" w:sz="6" w:space="0" w:color="000000"/>
                    <w:left w:val="single" w:sz="6" w:space="0" w:color="000000"/>
                    <w:bottom w:val="single" w:sz="6" w:space="0" w:color="000000"/>
                    <w:right w:val="single" w:sz="6" w:space="0" w:color="000000"/>
                  </w:tcBorders>
                  <w:vAlign w:val="center"/>
                </w:tcPr>
                <w:p w14:paraId="299F9C5F" w14:textId="77777777" w:rsidR="00F76A63" w:rsidRDefault="00000000">
                  <w:pPr>
                    <w:pStyle w:val="000"/>
                  </w:pPr>
                  <w:r>
                    <w:t>2.85E-03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6B3EB59C" w14:textId="77777777" w:rsidR="00F76A63" w:rsidRDefault="00000000">
                  <w:pPr>
                    <w:pStyle w:val="000"/>
                  </w:pPr>
                  <w:r>
                    <w:t>0.0205</w:t>
                  </w:r>
                </w:p>
              </w:tc>
              <w:tc>
                <w:tcPr>
                  <w:tcW w:w="603" w:type="dxa"/>
                  <w:tcBorders>
                    <w:top w:val="single" w:sz="6" w:space="0" w:color="000000"/>
                    <w:left w:val="single" w:sz="6" w:space="0" w:color="000000"/>
                    <w:bottom w:val="single" w:sz="6" w:space="0" w:color="000000"/>
                    <w:right w:val="single" w:sz="6" w:space="0" w:color="000000"/>
                  </w:tcBorders>
                  <w:vAlign w:val="center"/>
                </w:tcPr>
                <w:p w14:paraId="5FCA1E5A"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67FB461F"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2DBE14E4"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70342B71"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1C738C3C" w14:textId="77777777" w:rsidR="00F76A63" w:rsidRDefault="00F76A63">
                  <w:pPr>
                    <w:widowControl/>
                    <w:jc w:val="center"/>
                    <w:rPr>
                      <w:bCs/>
                      <w:kern w:val="28"/>
                      <w:szCs w:val="21"/>
                    </w:rPr>
                  </w:pPr>
                </w:p>
              </w:tc>
            </w:tr>
            <w:tr w:rsidR="00F76A63" w14:paraId="10BD3EEF"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42A70FDC" w14:textId="77777777" w:rsidR="00F76A63" w:rsidRDefault="00000000">
                  <w:pPr>
                    <w:pStyle w:val="000"/>
                  </w:pPr>
                  <w:r>
                    <w:t>19</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E185566"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690E1CE" w14:textId="77777777" w:rsidR="00F76A63" w:rsidRDefault="00000000">
                  <w:pPr>
                    <w:pStyle w:val="000"/>
                  </w:pPr>
                  <w:r>
                    <w:t>钒及其化合物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1F3354B5" w14:textId="77777777" w:rsidR="00F76A63" w:rsidRDefault="00000000">
                  <w:pPr>
                    <w:pStyle w:val="000"/>
                  </w:pPr>
                  <w:r>
                    <w:t>1.12E-02</w:t>
                  </w:r>
                </w:p>
              </w:tc>
              <w:tc>
                <w:tcPr>
                  <w:tcW w:w="649" w:type="dxa"/>
                  <w:tcBorders>
                    <w:top w:val="single" w:sz="6" w:space="0" w:color="000000"/>
                    <w:left w:val="single" w:sz="6" w:space="0" w:color="000000"/>
                    <w:bottom w:val="single" w:sz="6" w:space="0" w:color="000000"/>
                    <w:right w:val="single" w:sz="6" w:space="0" w:color="000000"/>
                  </w:tcBorders>
                  <w:vAlign w:val="center"/>
                </w:tcPr>
                <w:p w14:paraId="0F45786D" w14:textId="77777777" w:rsidR="00F76A63" w:rsidRDefault="00000000">
                  <w:pPr>
                    <w:pStyle w:val="000"/>
                  </w:pPr>
                  <w:r>
                    <w:t>8.65E-03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7729AAD0" w14:textId="77777777" w:rsidR="00F76A63" w:rsidRDefault="00000000">
                  <w:pPr>
                    <w:pStyle w:val="00-YO0"/>
                    <w:rPr>
                      <w:b w:val="0"/>
                      <w:bCs w:val="0"/>
                    </w:rPr>
                  </w:pPr>
                  <w:r>
                    <w:rPr>
                      <w:b w:val="0"/>
                      <w:bCs w:val="0"/>
                    </w:rPr>
                    <w:t>0.0623</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148AD6C4"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2D5DD194"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033DF356" w14:textId="77777777" w:rsidR="00F76A63" w:rsidRDefault="00000000">
                  <w:pPr>
                    <w:pStyle w:val="000"/>
                  </w:pPr>
                  <w:r>
                    <w:t>4.50E-03</w:t>
                  </w:r>
                </w:p>
              </w:tc>
              <w:tc>
                <w:tcPr>
                  <w:tcW w:w="684" w:type="dxa"/>
                  <w:tcBorders>
                    <w:top w:val="single" w:sz="6" w:space="0" w:color="000000"/>
                    <w:left w:val="single" w:sz="6" w:space="0" w:color="000000"/>
                    <w:bottom w:val="single" w:sz="6" w:space="0" w:color="000000"/>
                    <w:right w:val="single" w:sz="6" w:space="0" w:color="000000"/>
                  </w:tcBorders>
                  <w:vAlign w:val="center"/>
                </w:tcPr>
                <w:p w14:paraId="7AACD22D" w14:textId="77777777" w:rsidR="00F76A63" w:rsidRDefault="00000000">
                  <w:pPr>
                    <w:pStyle w:val="000"/>
                  </w:pPr>
                  <w:r>
                    <w:t>3.46E-03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5308016F" w14:textId="77777777" w:rsidR="00F76A63" w:rsidRDefault="00000000">
                  <w:pPr>
                    <w:pStyle w:val="000"/>
                  </w:pPr>
                  <w:r>
                    <w:t>0.0249</w:t>
                  </w:r>
                </w:p>
              </w:tc>
              <w:tc>
                <w:tcPr>
                  <w:tcW w:w="603" w:type="dxa"/>
                  <w:tcBorders>
                    <w:top w:val="single" w:sz="6" w:space="0" w:color="000000"/>
                    <w:left w:val="single" w:sz="6" w:space="0" w:color="000000"/>
                    <w:bottom w:val="single" w:sz="6" w:space="0" w:color="000000"/>
                    <w:right w:val="single" w:sz="6" w:space="0" w:color="000000"/>
                  </w:tcBorders>
                  <w:vAlign w:val="center"/>
                </w:tcPr>
                <w:p w14:paraId="752BDE41"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2EFA6923"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7A03190"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379A56F3"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370688DC" w14:textId="77777777" w:rsidR="00F76A63" w:rsidRDefault="00F76A63">
                  <w:pPr>
                    <w:widowControl/>
                    <w:jc w:val="center"/>
                    <w:rPr>
                      <w:bCs/>
                      <w:kern w:val="28"/>
                      <w:szCs w:val="21"/>
                    </w:rPr>
                  </w:pPr>
                </w:p>
              </w:tc>
            </w:tr>
            <w:tr w:rsidR="00F76A63" w14:paraId="43767AE5"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47241697" w14:textId="77777777" w:rsidR="00F76A63" w:rsidRDefault="00000000">
                  <w:pPr>
                    <w:pStyle w:val="000"/>
                  </w:pPr>
                  <w:r>
                    <w:t>20</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4E83686F"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224A5267" w14:textId="77777777" w:rsidR="00F76A63" w:rsidRDefault="00000000">
                  <w:pPr>
                    <w:pStyle w:val="000"/>
                  </w:pPr>
                  <w:r>
                    <w:t>钴及其化合物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1847F85C" w14:textId="77777777" w:rsidR="00F76A63" w:rsidRDefault="00000000">
                  <w:pPr>
                    <w:pStyle w:val="000"/>
                  </w:pPr>
                  <w:r>
                    <w:t>2.61E-03</w:t>
                  </w:r>
                </w:p>
              </w:tc>
              <w:tc>
                <w:tcPr>
                  <w:tcW w:w="649" w:type="dxa"/>
                  <w:tcBorders>
                    <w:top w:val="single" w:sz="6" w:space="0" w:color="000000"/>
                    <w:left w:val="single" w:sz="6" w:space="0" w:color="000000"/>
                    <w:bottom w:val="single" w:sz="6" w:space="0" w:color="000000"/>
                    <w:right w:val="single" w:sz="6" w:space="0" w:color="000000"/>
                  </w:tcBorders>
                  <w:vAlign w:val="center"/>
                </w:tcPr>
                <w:p w14:paraId="1C0FAB14" w14:textId="77777777" w:rsidR="00F76A63" w:rsidRDefault="00000000">
                  <w:pPr>
                    <w:pStyle w:val="000"/>
                  </w:pPr>
                  <w:r>
                    <w:t>2.01E-03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2022E6F3" w14:textId="77777777" w:rsidR="00F76A63" w:rsidRDefault="00000000">
                  <w:pPr>
                    <w:pStyle w:val="00-YO0"/>
                    <w:rPr>
                      <w:b w:val="0"/>
                      <w:bCs w:val="0"/>
                    </w:rPr>
                  </w:pPr>
                  <w:r>
                    <w:rPr>
                      <w:b w:val="0"/>
                      <w:bCs w:val="0"/>
                    </w:rPr>
                    <w:t>0.0145</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7602B318"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609D901C"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17AE6DB2" w14:textId="77777777" w:rsidR="00F76A63" w:rsidRDefault="00000000">
                  <w:pPr>
                    <w:pStyle w:val="000"/>
                  </w:pPr>
                  <w:r>
                    <w:t>1.05E-03</w:t>
                  </w:r>
                </w:p>
              </w:tc>
              <w:tc>
                <w:tcPr>
                  <w:tcW w:w="684" w:type="dxa"/>
                  <w:tcBorders>
                    <w:top w:val="single" w:sz="6" w:space="0" w:color="000000"/>
                    <w:left w:val="single" w:sz="6" w:space="0" w:color="000000"/>
                    <w:bottom w:val="single" w:sz="6" w:space="0" w:color="000000"/>
                    <w:right w:val="single" w:sz="6" w:space="0" w:color="000000"/>
                  </w:tcBorders>
                  <w:vAlign w:val="center"/>
                </w:tcPr>
                <w:p w14:paraId="19B3123E" w14:textId="77777777" w:rsidR="00F76A63" w:rsidRDefault="00000000">
                  <w:pPr>
                    <w:pStyle w:val="000"/>
                  </w:pPr>
                  <w:r>
                    <w:t>8.06E-04</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05CFA06E" w14:textId="77777777" w:rsidR="00F76A63" w:rsidRDefault="00000000">
                  <w:pPr>
                    <w:pStyle w:val="000"/>
                  </w:pPr>
                  <w:r>
                    <w:t>0.0058</w:t>
                  </w:r>
                </w:p>
              </w:tc>
              <w:tc>
                <w:tcPr>
                  <w:tcW w:w="603" w:type="dxa"/>
                  <w:tcBorders>
                    <w:top w:val="single" w:sz="6" w:space="0" w:color="000000"/>
                    <w:left w:val="single" w:sz="6" w:space="0" w:color="000000"/>
                    <w:bottom w:val="single" w:sz="6" w:space="0" w:color="000000"/>
                    <w:right w:val="single" w:sz="6" w:space="0" w:color="000000"/>
                  </w:tcBorders>
                  <w:vAlign w:val="center"/>
                </w:tcPr>
                <w:p w14:paraId="094A4F84"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02D92D3C"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60A905B3"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4F4C98FE"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48962782" w14:textId="77777777" w:rsidR="00F76A63" w:rsidRDefault="00F76A63">
                  <w:pPr>
                    <w:widowControl/>
                    <w:jc w:val="center"/>
                    <w:rPr>
                      <w:bCs/>
                      <w:kern w:val="28"/>
                      <w:szCs w:val="21"/>
                    </w:rPr>
                  </w:pPr>
                </w:p>
              </w:tc>
            </w:tr>
            <w:tr w:rsidR="00F76A63" w14:paraId="3E60D8E3"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335586C6" w14:textId="77777777" w:rsidR="00F76A63" w:rsidRDefault="00000000">
                  <w:pPr>
                    <w:pStyle w:val="000"/>
                  </w:pPr>
                  <w:r>
                    <w:t>21</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3201CC3"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31FC65F1" w14:textId="77777777" w:rsidR="00F76A63" w:rsidRDefault="00000000">
                  <w:pPr>
                    <w:pStyle w:val="000"/>
                  </w:pPr>
                  <w:r>
                    <w:t>锌及其化合物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3ADFA731" w14:textId="77777777" w:rsidR="00F76A63" w:rsidRDefault="00000000">
                  <w:pPr>
                    <w:pStyle w:val="000"/>
                  </w:pPr>
                  <w:r>
                    <w:t>2.90E-02</w:t>
                  </w:r>
                </w:p>
              </w:tc>
              <w:tc>
                <w:tcPr>
                  <w:tcW w:w="649" w:type="dxa"/>
                  <w:tcBorders>
                    <w:top w:val="single" w:sz="6" w:space="0" w:color="000000"/>
                    <w:left w:val="single" w:sz="6" w:space="0" w:color="000000"/>
                    <w:bottom w:val="single" w:sz="6" w:space="0" w:color="000000"/>
                    <w:right w:val="single" w:sz="6" w:space="0" w:color="000000"/>
                  </w:tcBorders>
                  <w:vAlign w:val="center"/>
                </w:tcPr>
                <w:p w14:paraId="311DD812" w14:textId="77777777" w:rsidR="00F76A63" w:rsidRDefault="00000000">
                  <w:pPr>
                    <w:pStyle w:val="000"/>
                  </w:pPr>
                  <w:r>
                    <w:t>2.23E-02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60F6F923" w14:textId="77777777" w:rsidR="00F76A63" w:rsidRDefault="00000000">
                  <w:pPr>
                    <w:pStyle w:val="00-YO0"/>
                    <w:rPr>
                      <w:b w:val="0"/>
                      <w:bCs w:val="0"/>
                    </w:rPr>
                  </w:pPr>
                  <w:r>
                    <w:rPr>
                      <w:b w:val="0"/>
                      <w:bCs w:val="0"/>
                    </w:rPr>
                    <w:t>0.1608</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7DC0A24E"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621F8E6F"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6FA81B27" w14:textId="77777777" w:rsidR="00F76A63" w:rsidRDefault="00000000">
                  <w:pPr>
                    <w:pStyle w:val="000"/>
                  </w:pPr>
                  <w:r>
                    <w:t>1.18E-02</w:t>
                  </w:r>
                </w:p>
              </w:tc>
              <w:tc>
                <w:tcPr>
                  <w:tcW w:w="684" w:type="dxa"/>
                  <w:tcBorders>
                    <w:top w:val="single" w:sz="6" w:space="0" w:color="000000"/>
                    <w:left w:val="single" w:sz="6" w:space="0" w:color="000000"/>
                    <w:bottom w:val="single" w:sz="6" w:space="0" w:color="000000"/>
                    <w:right w:val="single" w:sz="6" w:space="0" w:color="000000"/>
                  </w:tcBorders>
                  <w:vAlign w:val="center"/>
                </w:tcPr>
                <w:p w14:paraId="1F26976A" w14:textId="77777777" w:rsidR="00F76A63" w:rsidRDefault="00000000">
                  <w:pPr>
                    <w:pStyle w:val="000"/>
                  </w:pPr>
                  <w:r>
                    <w:t>8.93E-03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268B74E2" w14:textId="77777777" w:rsidR="00F76A63" w:rsidRDefault="00000000">
                  <w:pPr>
                    <w:pStyle w:val="000"/>
                  </w:pPr>
                  <w:r>
                    <w:t>0.0643</w:t>
                  </w:r>
                </w:p>
              </w:tc>
              <w:tc>
                <w:tcPr>
                  <w:tcW w:w="603" w:type="dxa"/>
                  <w:tcBorders>
                    <w:top w:val="single" w:sz="6" w:space="0" w:color="000000"/>
                    <w:left w:val="single" w:sz="6" w:space="0" w:color="000000"/>
                    <w:bottom w:val="single" w:sz="6" w:space="0" w:color="000000"/>
                    <w:right w:val="single" w:sz="6" w:space="0" w:color="000000"/>
                  </w:tcBorders>
                  <w:vAlign w:val="center"/>
                </w:tcPr>
                <w:p w14:paraId="4F0FBE7E"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2A0BD10D"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225F9B11"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48CCAF9F"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6F7A356F" w14:textId="77777777" w:rsidR="00F76A63" w:rsidRDefault="00F76A63">
                  <w:pPr>
                    <w:widowControl/>
                    <w:jc w:val="center"/>
                    <w:rPr>
                      <w:bCs/>
                      <w:kern w:val="28"/>
                      <w:szCs w:val="21"/>
                    </w:rPr>
                  </w:pPr>
                </w:p>
              </w:tc>
            </w:tr>
            <w:tr w:rsidR="00F76A63" w14:paraId="6038FA2D"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246D5628" w14:textId="77777777" w:rsidR="00F76A63" w:rsidRDefault="00000000">
                  <w:pPr>
                    <w:pStyle w:val="000"/>
                  </w:pPr>
                  <w:r>
                    <w:t>22</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18F0045"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360A1256" w14:textId="77777777" w:rsidR="00F76A63" w:rsidRDefault="00000000">
                  <w:pPr>
                    <w:pStyle w:val="000"/>
                  </w:pPr>
                  <w:r>
                    <w:t>钼及其化合物</w:t>
                  </w:r>
                </w:p>
              </w:tc>
              <w:tc>
                <w:tcPr>
                  <w:tcW w:w="603" w:type="dxa"/>
                  <w:tcBorders>
                    <w:top w:val="single" w:sz="6" w:space="0" w:color="000000"/>
                    <w:left w:val="single" w:sz="6" w:space="0" w:color="000000"/>
                    <w:bottom w:val="single" w:sz="6" w:space="0" w:color="000000"/>
                    <w:right w:val="single" w:sz="6" w:space="0" w:color="000000"/>
                  </w:tcBorders>
                  <w:vAlign w:val="center"/>
                </w:tcPr>
                <w:p w14:paraId="3B6E3AB8" w14:textId="77777777" w:rsidR="00F76A63" w:rsidRDefault="00000000">
                  <w:pPr>
                    <w:pStyle w:val="000"/>
                  </w:pPr>
                  <w:r>
                    <w:t>3.39E-03</w:t>
                  </w:r>
                </w:p>
              </w:tc>
              <w:tc>
                <w:tcPr>
                  <w:tcW w:w="649" w:type="dxa"/>
                  <w:tcBorders>
                    <w:top w:val="single" w:sz="6" w:space="0" w:color="000000"/>
                    <w:left w:val="single" w:sz="6" w:space="0" w:color="000000"/>
                    <w:bottom w:val="single" w:sz="6" w:space="0" w:color="000000"/>
                    <w:right w:val="single" w:sz="6" w:space="0" w:color="000000"/>
                  </w:tcBorders>
                  <w:vAlign w:val="center"/>
                </w:tcPr>
                <w:p w14:paraId="0ECF77A5" w14:textId="77777777" w:rsidR="00F76A63" w:rsidRDefault="00000000">
                  <w:pPr>
                    <w:pStyle w:val="000"/>
                  </w:pPr>
                  <w:r>
                    <w:t>2.61E-03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482D9D67" w14:textId="77777777" w:rsidR="00F76A63" w:rsidRDefault="00000000">
                  <w:pPr>
                    <w:pStyle w:val="00-YO0"/>
                    <w:rPr>
                      <w:b w:val="0"/>
                      <w:bCs w:val="0"/>
                    </w:rPr>
                  </w:pPr>
                  <w:r>
                    <w:rPr>
                      <w:b w:val="0"/>
                      <w:bCs w:val="0"/>
                    </w:rPr>
                    <w:t>0.0188</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18FC558E"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236AF9F6"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5A040FE2" w14:textId="77777777" w:rsidR="00F76A63" w:rsidRDefault="00000000">
                  <w:pPr>
                    <w:pStyle w:val="000"/>
                  </w:pPr>
                  <w:r>
                    <w:t>1.37E-03</w:t>
                  </w:r>
                </w:p>
              </w:tc>
              <w:tc>
                <w:tcPr>
                  <w:tcW w:w="684" w:type="dxa"/>
                  <w:tcBorders>
                    <w:top w:val="single" w:sz="6" w:space="0" w:color="000000"/>
                    <w:left w:val="single" w:sz="6" w:space="0" w:color="000000"/>
                    <w:bottom w:val="single" w:sz="6" w:space="0" w:color="000000"/>
                    <w:right w:val="single" w:sz="6" w:space="0" w:color="000000"/>
                  </w:tcBorders>
                  <w:vAlign w:val="center"/>
                </w:tcPr>
                <w:p w14:paraId="68E22FCF" w14:textId="77777777" w:rsidR="00F76A63" w:rsidRDefault="00000000">
                  <w:pPr>
                    <w:pStyle w:val="000"/>
                  </w:pPr>
                  <w:r>
                    <w:t>1.04E-03</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485108D1" w14:textId="77777777" w:rsidR="00F76A63" w:rsidRDefault="00000000">
                  <w:pPr>
                    <w:pStyle w:val="000"/>
                  </w:pPr>
                  <w:r>
                    <w:t>0.0075</w:t>
                  </w:r>
                </w:p>
              </w:tc>
              <w:tc>
                <w:tcPr>
                  <w:tcW w:w="603" w:type="dxa"/>
                  <w:tcBorders>
                    <w:top w:val="single" w:sz="6" w:space="0" w:color="000000"/>
                    <w:left w:val="single" w:sz="6" w:space="0" w:color="000000"/>
                    <w:bottom w:val="single" w:sz="6" w:space="0" w:color="000000"/>
                    <w:right w:val="single" w:sz="6" w:space="0" w:color="000000"/>
                  </w:tcBorders>
                  <w:vAlign w:val="center"/>
                </w:tcPr>
                <w:p w14:paraId="67CC13FD" w14:textId="77777777" w:rsidR="00F76A63" w:rsidRDefault="00000000">
                  <w:pPr>
                    <w:pStyle w:val="000"/>
                  </w:pPr>
                  <w:r>
                    <w:t>/</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1B27B77D"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DB7036F"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510BAF09"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4846D3D2" w14:textId="77777777" w:rsidR="00F76A63" w:rsidRDefault="00F76A63">
                  <w:pPr>
                    <w:widowControl/>
                    <w:jc w:val="center"/>
                    <w:rPr>
                      <w:bCs/>
                      <w:kern w:val="28"/>
                      <w:szCs w:val="21"/>
                    </w:rPr>
                  </w:pPr>
                </w:p>
              </w:tc>
            </w:tr>
            <w:tr w:rsidR="00F76A63" w14:paraId="107601F2"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04E276DA" w14:textId="77777777" w:rsidR="00F76A63" w:rsidRDefault="00000000">
                  <w:pPr>
                    <w:pStyle w:val="000"/>
                  </w:pPr>
                  <w:r>
                    <w:t>23</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EF64F40"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4A4B4415" w14:textId="77777777" w:rsidR="00F76A63" w:rsidRDefault="00000000">
                  <w:pPr>
                    <w:pStyle w:val="000"/>
                  </w:pPr>
                  <w:r>
                    <w:t>Tl+Cd+Pb+As</w:t>
                  </w:r>
                </w:p>
              </w:tc>
              <w:tc>
                <w:tcPr>
                  <w:tcW w:w="603" w:type="dxa"/>
                  <w:tcBorders>
                    <w:top w:val="single" w:sz="6" w:space="0" w:color="000000"/>
                    <w:left w:val="single" w:sz="6" w:space="0" w:color="000000"/>
                    <w:bottom w:val="single" w:sz="6" w:space="0" w:color="000000"/>
                    <w:right w:val="single" w:sz="6" w:space="0" w:color="000000"/>
                  </w:tcBorders>
                  <w:vAlign w:val="center"/>
                </w:tcPr>
                <w:p w14:paraId="447FC0F4" w14:textId="77777777" w:rsidR="00F76A63" w:rsidRDefault="00000000">
                  <w:pPr>
                    <w:pStyle w:val="000"/>
                  </w:pPr>
                  <w:r>
                    <w:t>6.34E-02</w:t>
                  </w:r>
                </w:p>
              </w:tc>
              <w:tc>
                <w:tcPr>
                  <w:tcW w:w="649" w:type="dxa"/>
                  <w:tcBorders>
                    <w:top w:val="single" w:sz="6" w:space="0" w:color="000000"/>
                    <w:left w:val="single" w:sz="6" w:space="0" w:color="000000"/>
                    <w:bottom w:val="single" w:sz="6" w:space="0" w:color="000000"/>
                    <w:right w:val="single" w:sz="6" w:space="0" w:color="000000"/>
                  </w:tcBorders>
                  <w:vAlign w:val="center"/>
                </w:tcPr>
                <w:p w14:paraId="741A3CFC" w14:textId="77777777" w:rsidR="00F76A63" w:rsidRDefault="00000000">
                  <w:pPr>
                    <w:pStyle w:val="000"/>
                  </w:pPr>
                  <w:r>
                    <w:t>4.89E-02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2DA2826A" w14:textId="77777777" w:rsidR="00F76A63" w:rsidRDefault="00000000">
                  <w:pPr>
                    <w:pStyle w:val="00-YO0"/>
                    <w:rPr>
                      <w:b w:val="0"/>
                      <w:bCs w:val="0"/>
                    </w:rPr>
                  </w:pPr>
                  <w:r>
                    <w:rPr>
                      <w:b w:val="0"/>
                      <w:bCs w:val="0"/>
                    </w:rPr>
                    <w:t>0.3520</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4E71E184"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01E569F6"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591EB026" w14:textId="77777777" w:rsidR="00F76A63" w:rsidRDefault="00000000">
                  <w:pPr>
                    <w:pStyle w:val="000"/>
                  </w:pPr>
                  <w:r>
                    <w:t>3.25E-02</w:t>
                  </w:r>
                </w:p>
              </w:tc>
              <w:tc>
                <w:tcPr>
                  <w:tcW w:w="684" w:type="dxa"/>
                  <w:tcBorders>
                    <w:top w:val="single" w:sz="6" w:space="0" w:color="000000"/>
                    <w:left w:val="single" w:sz="6" w:space="0" w:color="000000"/>
                    <w:bottom w:val="single" w:sz="6" w:space="0" w:color="000000"/>
                    <w:right w:val="single" w:sz="6" w:space="0" w:color="000000"/>
                  </w:tcBorders>
                  <w:vAlign w:val="center"/>
                </w:tcPr>
                <w:p w14:paraId="09587AFA" w14:textId="77777777" w:rsidR="00F76A63" w:rsidRDefault="00000000">
                  <w:pPr>
                    <w:pStyle w:val="000"/>
                  </w:pPr>
                  <w:r>
                    <w:t>1.96E-02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227272C8" w14:textId="77777777" w:rsidR="00F76A63" w:rsidRDefault="00000000">
                  <w:pPr>
                    <w:pStyle w:val="000"/>
                  </w:pPr>
                  <w:r>
                    <w:t>0.1408</w:t>
                  </w:r>
                </w:p>
              </w:tc>
              <w:tc>
                <w:tcPr>
                  <w:tcW w:w="603" w:type="dxa"/>
                  <w:tcBorders>
                    <w:top w:val="single" w:sz="6" w:space="0" w:color="000000"/>
                    <w:left w:val="single" w:sz="6" w:space="0" w:color="000000"/>
                    <w:bottom w:val="single" w:sz="6" w:space="0" w:color="000000"/>
                    <w:right w:val="single" w:sz="6" w:space="0" w:color="000000"/>
                  </w:tcBorders>
                  <w:vAlign w:val="center"/>
                </w:tcPr>
                <w:p w14:paraId="1BAA31B5" w14:textId="77777777" w:rsidR="00F76A63" w:rsidRDefault="00000000">
                  <w:pPr>
                    <w:pStyle w:val="000"/>
                  </w:pPr>
                  <w:r>
                    <w:t>1</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6B41B86E"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34D3F55"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558384F5"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3190861E" w14:textId="77777777" w:rsidR="00F76A63" w:rsidRDefault="00F76A63">
                  <w:pPr>
                    <w:widowControl/>
                    <w:jc w:val="center"/>
                    <w:rPr>
                      <w:bCs/>
                      <w:kern w:val="28"/>
                      <w:szCs w:val="21"/>
                    </w:rPr>
                  </w:pPr>
                </w:p>
              </w:tc>
            </w:tr>
            <w:tr w:rsidR="00F76A63" w14:paraId="454F02DD" w14:textId="77777777">
              <w:trPr>
                <w:jc w:val="center"/>
              </w:trPr>
              <w:tc>
                <w:tcPr>
                  <w:tcW w:w="286" w:type="dxa"/>
                  <w:tcBorders>
                    <w:top w:val="single" w:sz="6" w:space="0" w:color="000000"/>
                    <w:left w:val="nil"/>
                    <w:bottom w:val="single" w:sz="6" w:space="0" w:color="000000"/>
                    <w:right w:val="single" w:sz="6" w:space="0" w:color="000000"/>
                  </w:tcBorders>
                  <w:vAlign w:val="center"/>
                </w:tcPr>
                <w:p w14:paraId="1A355A9D" w14:textId="77777777" w:rsidR="00F76A63" w:rsidRDefault="00000000">
                  <w:pPr>
                    <w:pStyle w:val="000"/>
                  </w:pPr>
                  <w:r>
                    <w:t>24</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BE1E745"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14:paraId="7471F850" w14:textId="77777777" w:rsidR="00F76A63" w:rsidRDefault="00000000">
                  <w:pPr>
                    <w:pStyle w:val="000"/>
                  </w:pPr>
                  <w:r>
                    <w:t>Be+Cr+Sn+Sb+Cu+Co+Mn+Ni+V</w:t>
                  </w:r>
                </w:p>
              </w:tc>
              <w:tc>
                <w:tcPr>
                  <w:tcW w:w="603" w:type="dxa"/>
                  <w:tcBorders>
                    <w:top w:val="single" w:sz="6" w:space="0" w:color="000000"/>
                    <w:left w:val="single" w:sz="6" w:space="0" w:color="000000"/>
                    <w:bottom w:val="single" w:sz="6" w:space="0" w:color="000000"/>
                    <w:right w:val="single" w:sz="6" w:space="0" w:color="000000"/>
                  </w:tcBorders>
                  <w:vAlign w:val="center"/>
                </w:tcPr>
                <w:p w14:paraId="53500262" w14:textId="77777777" w:rsidR="00F76A63" w:rsidRDefault="00000000">
                  <w:pPr>
                    <w:pStyle w:val="000"/>
                  </w:pPr>
                  <w:r>
                    <w:t>1.29E-01</w:t>
                  </w:r>
                </w:p>
              </w:tc>
              <w:tc>
                <w:tcPr>
                  <w:tcW w:w="649" w:type="dxa"/>
                  <w:tcBorders>
                    <w:top w:val="single" w:sz="6" w:space="0" w:color="000000"/>
                    <w:left w:val="single" w:sz="6" w:space="0" w:color="000000"/>
                    <w:bottom w:val="single" w:sz="6" w:space="0" w:color="000000"/>
                    <w:right w:val="single" w:sz="6" w:space="0" w:color="000000"/>
                  </w:tcBorders>
                  <w:vAlign w:val="center"/>
                </w:tcPr>
                <w:p w14:paraId="3F78440A" w14:textId="77777777" w:rsidR="00F76A63" w:rsidRDefault="00000000">
                  <w:pPr>
                    <w:pStyle w:val="000"/>
                  </w:pPr>
                  <w:r>
                    <w:t>9.94E-02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03D716B1" w14:textId="77777777" w:rsidR="00F76A63" w:rsidRDefault="00000000">
                  <w:pPr>
                    <w:pStyle w:val="00-YO0"/>
                    <w:rPr>
                      <w:b w:val="0"/>
                      <w:bCs w:val="0"/>
                    </w:rPr>
                  </w:pPr>
                  <w:r>
                    <w:rPr>
                      <w:b w:val="0"/>
                      <w:bCs w:val="0"/>
                    </w:rPr>
                    <w:t>0.7156</w:t>
                  </w:r>
                </w:p>
              </w:tc>
              <w:tc>
                <w:tcPr>
                  <w:tcW w:w="645" w:type="dxa"/>
                  <w:vMerge/>
                  <w:tcBorders>
                    <w:top w:val="single" w:sz="6" w:space="0" w:color="000000"/>
                    <w:left w:val="single" w:sz="6" w:space="0" w:color="000000"/>
                    <w:bottom w:val="single" w:sz="6" w:space="0" w:color="000000"/>
                    <w:right w:val="single" w:sz="6" w:space="0" w:color="000000"/>
                  </w:tcBorders>
                  <w:vAlign w:val="center"/>
                </w:tcPr>
                <w:p w14:paraId="6D8E3CB8"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04BC566F" w14:textId="77777777" w:rsidR="00F76A63" w:rsidRDefault="00000000">
                  <w:pPr>
                    <w:pStyle w:val="000"/>
                  </w:pPr>
                  <w:r>
                    <w:t>60%</w:t>
                  </w:r>
                </w:p>
              </w:tc>
              <w:tc>
                <w:tcPr>
                  <w:tcW w:w="672" w:type="dxa"/>
                  <w:tcBorders>
                    <w:top w:val="single" w:sz="6" w:space="0" w:color="000000"/>
                    <w:left w:val="single" w:sz="6" w:space="0" w:color="000000"/>
                    <w:bottom w:val="single" w:sz="6" w:space="0" w:color="000000"/>
                    <w:right w:val="single" w:sz="6" w:space="0" w:color="000000"/>
                  </w:tcBorders>
                  <w:vAlign w:val="center"/>
                </w:tcPr>
                <w:p w14:paraId="484C8FE7" w14:textId="77777777" w:rsidR="00F76A63" w:rsidRDefault="00000000">
                  <w:pPr>
                    <w:pStyle w:val="000"/>
                  </w:pPr>
                  <w:r>
                    <w:t>5.20E-02</w:t>
                  </w:r>
                </w:p>
              </w:tc>
              <w:tc>
                <w:tcPr>
                  <w:tcW w:w="684" w:type="dxa"/>
                  <w:tcBorders>
                    <w:top w:val="single" w:sz="6" w:space="0" w:color="000000"/>
                    <w:left w:val="single" w:sz="6" w:space="0" w:color="000000"/>
                    <w:bottom w:val="single" w:sz="6" w:space="0" w:color="000000"/>
                    <w:right w:val="single" w:sz="6" w:space="0" w:color="000000"/>
                  </w:tcBorders>
                  <w:vAlign w:val="center"/>
                </w:tcPr>
                <w:p w14:paraId="3C3977DF" w14:textId="77777777" w:rsidR="00F76A63" w:rsidRDefault="00000000">
                  <w:pPr>
                    <w:pStyle w:val="000"/>
                  </w:pPr>
                  <w:r>
                    <w:t>3.98E-02</w:t>
                  </w:r>
                </w:p>
              </w:tc>
              <w:tc>
                <w:tcPr>
                  <w:tcW w:w="591" w:type="dxa"/>
                  <w:tcBorders>
                    <w:top w:val="single" w:sz="6" w:space="0" w:color="000000"/>
                    <w:left w:val="single" w:sz="6" w:space="0" w:color="000000"/>
                    <w:bottom w:val="single" w:sz="6" w:space="0" w:color="000000"/>
                    <w:right w:val="single" w:sz="6" w:space="0" w:color="000000"/>
                  </w:tcBorders>
                  <w:noWrap/>
                  <w:vAlign w:val="center"/>
                </w:tcPr>
                <w:p w14:paraId="03B86F85" w14:textId="77777777" w:rsidR="00F76A63" w:rsidRDefault="00000000">
                  <w:pPr>
                    <w:pStyle w:val="000"/>
                  </w:pPr>
                  <w:r>
                    <w:t>0.2862</w:t>
                  </w:r>
                </w:p>
              </w:tc>
              <w:tc>
                <w:tcPr>
                  <w:tcW w:w="603" w:type="dxa"/>
                  <w:tcBorders>
                    <w:top w:val="single" w:sz="6" w:space="0" w:color="000000"/>
                    <w:left w:val="single" w:sz="6" w:space="0" w:color="000000"/>
                    <w:bottom w:val="single" w:sz="6" w:space="0" w:color="000000"/>
                    <w:right w:val="single" w:sz="6" w:space="0" w:color="000000"/>
                  </w:tcBorders>
                  <w:vAlign w:val="center"/>
                </w:tcPr>
                <w:p w14:paraId="559AFC0F" w14:textId="77777777" w:rsidR="00F76A63" w:rsidRDefault="00000000">
                  <w:pPr>
                    <w:pStyle w:val="000"/>
                  </w:pPr>
                  <w:r>
                    <w:t>0.5</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35C4B4E0"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65BBEA7"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18ADFF3C"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66257038" w14:textId="77777777" w:rsidR="00F76A63" w:rsidRDefault="00F76A63">
                  <w:pPr>
                    <w:widowControl/>
                    <w:jc w:val="center"/>
                    <w:rPr>
                      <w:bCs/>
                      <w:kern w:val="28"/>
                      <w:szCs w:val="21"/>
                    </w:rPr>
                  </w:pPr>
                </w:p>
              </w:tc>
            </w:tr>
            <w:tr w:rsidR="00F76A63" w14:paraId="081A5666" w14:textId="77777777">
              <w:trPr>
                <w:jc w:val="center"/>
              </w:trPr>
              <w:tc>
                <w:tcPr>
                  <w:tcW w:w="286" w:type="dxa"/>
                  <w:tcBorders>
                    <w:top w:val="single" w:sz="6" w:space="0" w:color="000000"/>
                    <w:left w:val="nil"/>
                    <w:bottom w:val="single" w:sz="12" w:space="0" w:color="000000"/>
                    <w:right w:val="single" w:sz="6" w:space="0" w:color="000000"/>
                  </w:tcBorders>
                  <w:vAlign w:val="center"/>
                </w:tcPr>
                <w:p w14:paraId="032DAF0E" w14:textId="77777777" w:rsidR="00F76A63" w:rsidRDefault="00000000">
                  <w:pPr>
                    <w:pStyle w:val="000"/>
                  </w:pPr>
                  <w:r>
                    <w:t>25</w:t>
                  </w: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AA16C9A" w14:textId="77777777" w:rsidR="00F76A63" w:rsidRDefault="00F76A63">
                  <w:pPr>
                    <w:widowControl/>
                    <w:jc w:val="center"/>
                    <w:rPr>
                      <w:bCs/>
                      <w:kern w:val="28"/>
                      <w:szCs w:val="21"/>
                    </w:rPr>
                  </w:pPr>
                </w:p>
              </w:tc>
              <w:tc>
                <w:tcPr>
                  <w:tcW w:w="1198" w:type="dxa"/>
                  <w:tcBorders>
                    <w:top w:val="single" w:sz="6" w:space="0" w:color="000000"/>
                    <w:left w:val="single" w:sz="6" w:space="0" w:color="000000"/>
                    <w:bottom w:val="single" w:sz="12" w:space="0" w:color="000000"/>
                    <w:right w:val="single" w:sz="6" w:space="0" w:color="000000"/>
                  </w:tcBorders>
                  <w:vAlign w:val="center"/>
                </w:tcPr>
                <w:p w14:paraId="6DD0127B" w14:textId="77777777" w:rsidR="00F76A63" w:rsidRDefault="00000000">
                  <w:pPr>
                    <w:pStyle w:val="000"/>
                  </w:pPr>
                  <w:r>
                    <w:t>二噁英（</w:t>
                  </w:r>
                  <w:r>
                    <w:t>ngTEQ/m</w:t>
                  </w:r>
                  <w:r>
                    <w:rPr>
                      <w:vertAlign w:val="superscript"/>
                    </w:rPr>
                    <w:t>3</w:t>
                  </w:r>
                  <w:r>
                    <w:t>）</w:t>
                  </w:r>
                </w:p>
              </w:tc>
              <w:tc>
                <w:tcPr>
                  <w:tcW w:w="603" w:type="dxa"/>
                  <w:tcBorders>
                    <w:top w:val="single" w:sz="6" w:space="0" w:color="000000"/>
                    <w:left w:val="single" w:sz="6" w:space="0" w:color="000000"/>
                    <w:bottom w:val="single" w:sz="12" w:space="0" w:color="000000"/>
                    <w:right w:val="single" w:sz="6" w:space="0" w:color="000000"/>
                  </w:tcBorders>
                  <w:vAlign w:val="center"/>
                </w:tcPr>
                <w:p w14:paraId="6261F4E7" w14:textId="77777777" w:rsidR="00F76A63" w:rsidRDefault="00000000">
                  <w:pPr>
                    <w:pStyle w:val="000"/>
                  </w:pPr>
                  <w:r>
                    <w:t>0.1ngTEQ/m</w:t>
                  </w:r>
                  <w:r>
                    <w:rPr>
                      <w:vertAlign w:val="superscript"/>
                    </w:rPr>
                    <w:t>3</w:t>
                  </w:r>
                </w:p>
              </w:tc>
              <w:tc>
                <w:tcPr>
                  <w:tcW w:w="649" w:type="dxa"/>
                  <w:tcBorders>
                    <w:top w:val="single" w:sz="6" w:space="0" w:color="000000"/>
                    <w:left w:val="single" w:sz="6" w:space="0" w:color="000000"/>
                    <w:bottom w:val="single" w:sz="12" w:space="0" w:color="000000"/>
                    <w:right w:val="single" w:sz="6" w:space="0" w:color="000000"/>
                  </w:tcBorders>
                  <w:vAlign w:val="center"/>
                </w:tcPr>
                <w:p w14:paraId="62FD3921" w14:textId="77777777" w:rsidR="00F76A63" w:rsidRDefault="00000000">
                  <w:pPr>
                    <w:pStyle w:val="000"/>
                  </w:pPr>
                  <w:r>
                    <w:t>0.077mgTEQ/h</w:t>
                  </w:r>
                </w:p>
              </w:tc>
              <w:tc>
                <w:tcPr>
                  <w:tcW w:w="591" w:type="dxa"/>
                  <w:tcBorders>
                    <w:top w:val="single" w:sz="6" w:space="0" w:color="000000"/>
                    <w:left w:val="single" w:sz="6" w:space="0" w:color="000000"/>
                    <w:bottom w:val="single" w:sz="12" w:space="0" w:color="000000"/>
                    <w:right w:val="single" w:sz="6" w:space="0" w:color="000000"/>
                  </w:tcBorders>
                  <w:vAlign w:val="center"/>
                </w:tcPr>
                <w:p w14:paraId="27858074" w14:textId="77777777" w:rsidR="00F76A63" w:rsidRDefault="00000000">
                  <w:pPr>
                    <w:pStyle w:val="000"/>
                  </w:pPr>
                  <w:r>
                    <w:t>0.555gTEQ/a</w:t>
                  </w:r>
                </w:p>
              </w:tc>
              <w:tc>
                <w:tcPr>
                  <w:tcW w:w="645" w:type="dxa"/>
                  <w:tcBorders>
                    <w:top w:val="single" w:sz="6" w:space="0" w:color="000000"/>
                    <w:left w:val="single" w:sz="6" w:space="0" w:color="000000"/>
                    <w:bottom w:val="single" w:sz="12" w:space="0" w:color="000000"/>
                    <w:right w:val="single" w:sz="6" w:space="0" w:color="000000"/>
                  </w:tcBorders>
                  <w:vAlign w:val="center"/>
                </w:tcPr>
                <w:p w14:paraId="479DB755" w14:textId="77777777" w:rsidR="00F76A63" w:rsidRDefault="00000000">
                  <w:pPr>
                    <w:pStyle w:val="000"/>
                  </w:pPr>
                  <w:r>
                    <w:t>满足</w:t>
                  </w:r>
                  <w:r>
                    <w:t>“3T+E”</w:t>
                  </w:r>
                  <w:r>
                    <w:t>控制要求</w:t>
                  </w:r>
                </w:p>
              </w:tc>
              <w:tc>
                <w:tcPr>
                  <w:tcW w:w="430" w:type="dxa"/>
                  <w:tcBorders>
                    <w:top w:val="single" w:sz="6" w:space="0" w:color="000000"/>
                    <w:left w:val="single" w:sz="6" w:space="0" w:color="000000"/>
                    <w:bottom w:val="single" w:sz="12" w:space="0" w:color="000000"/>
                    <w:right w:val="single" w:sz="6" w:space="0" w:color="000000"/>
                  </w:tcBorders>
                  <w:vAlign w:val="center"/>
                </w:tcPr>
                <w:p w14:paraId="088F25E1" w14:textId="77777777" w:rsidR="00F76A63" w:rsidRDefault="00000000">
                  <w:pPr>
                    <w:pStyle w:val="000"/>
                  </w:pPr>
                  <w:r>
                    <w:t>15%</w:t>
                  </w:r>
                </w:p>
              </w:tc>
              <w:tc>
                <w:tcPr>
                  <w:tcW w:w="672" w:type="dxa"/>
                  <w:tcBorders>
                    <w:top w:val="single" w:sz="6" w:space="0" w:color="000000"/>
                    <w:left w:val="single" w:sz="6" w:space="0" w:color="000000"/>
                    <w:bottom w:val="single" w:sz="12" w:space="0" w:color="000000"/>
                    <w:right w:val="single" w:sz="6" w:space="0" w:color="000000"/>
                  </w:tcBorders>
                  <w:vAlign w:val="center"/>
                </w:tcPr>
                <w:p w14:paraId="76ACCEB9" w14:textId="77777777" w:rsidR="00F76A63" w:rsidRDefault="00000000">
                  <w:pPr>
                    <w:pStyle w:val="000"/>
                  </w:pPr>
                  <w:r>
                    <w:t>0.085ngTEQ/m</w:t>
                  </w:r>
                  <w:r>
                    <w:rPr>
                      <w:vertAlign w:val="superscript"/>
                    </w:rPr>
                    <w:t>3</w:t>
                  </w:r>
                </w:p>
              </w:tc>
              <w:tc>
                <w:tcPr>
                  <w:tcW w:w="684" w:type="dxa"/>
                  <w:tcBorders>
                    <w:top w:val="single" w:sz="6" w:space="0" w:color="000000"/>
                    <w:left w:val="single" w:sz="6" w:space="0" w:color="000000"/>
                    <w:bottom w:val="single" w:sz="12" w:space="0" w:color="000000"/>
                    <w:right w:val="single" w:sz="6" w:space="0" w:color="000000"/>
                  </w:tcBorders>
                  <w:vAlign w:val="center"/>
                </w:tcPr>
                <w:p w14:paraId="5E8392EE" w14:textId="77777777" w:rsidR="00F76A63" w:rsidRDefault="00000000">
                  <w:pPr>
                    <w:pStyle w:val="000"/>
                  </w:pPr>
                  <w:r>
                    <w:t>0.0655mgTEQ/h</w:t>
                  </w:r>
                </w:p>
              </w:tc>
              <w:tc>
                <w:tcPr>
                  <w:tcW w:w="591" w:type="dxa"/>
                  <w:tcBorders>
                    <w:top w:val="single" w:sz="6" w:space="0" w:color="000000"/>
                    <w:left w:val="single" w:sz="6" w:space="0" w:color="000000"/>
                    <w:bottom w:val="single" w:sz="12" w:space="0" w:color="000000"/>
                    <w:right w:val="single" w:sz="6" w:space="0" w:color="000000"/>
                  </w:tcBorders>
                  <w:vAlign w:val="center"/>
                </w:tcPr>
                <w:p w14:paraId="78A89AE3" w14:textId="77777777" w:rsidR="00F76A63" w:rsidRDefault="00000000">
                  <w:pPr>
                    <w:pStyle w:val="000"/>
                  </w:pPr>
                  <w:r>
                    <w:t>0.472gTEQ/a</w:t>
                  </w:r>
                </w:p>
              </w:tc>
              <w:tc>
                <w:tcPr>
                  <w:tcW w:w="603" w:type="dxa"/>
                  <w:tcBorders>
                    <w:top w:val="single" w:sz="6" w:space="0" w:color="000000"/>
                    <w:left w:val="single" w:sz="6" w:space="0" w:color="000000"/>
                    <w:bottom w:val="single" w:sz="12" w:space="0" w:color="000000"/>
                    <w:right w:val="single" w:sz="6" w:space="0" w:color="000000"/>
                  </w:tcBorders>
                  <w:vAlign w:val="center"/>
                </w:tcPr>
                <w:p w14:paraId="774ADBEA" w14:textId="77777777" w:rsidR="00F76A63" w:rsidRDefault="00000000">
                  <w:pPr>
                    <w:pStyle w:val="000"/>
                  </w:pPr>
                  <w:r>
                    <w:t>0.1ngTEQ/m</w:t>
                  </w:r>
                  <w:r>
                    <w:rPr>
                      <w:vertAlign w:val="superscript"/>
                    </w:rPr>
                    <w:t>3</w:t>
                  </w:r>
                </w:p>
              </w:tc>
              <w:tc>
                <w:tcPr>
                  <w:tcW w:w="424" w:type="dxa"/>
                  <w:vMerge/>
                  <w:tcBorders>
                    <w:top w:val="single" w:sz="6" w:space="0" w:color="000000"/>
                    <w:left w:val="single" w:sz="6" w:space="0" w:color="000000"/>
                    <w:bottom w:val="single" w:sz="6" w:space="0" w:color="000000"/>
                    <w:right w:val="single" w:sz="6" w:space="0" w:color="000000"/>
                  </w:tcBorders>
                  <w:vAlign w:val="center"/>
                </w:tcPr>
                <w:p w14:paraId="0DE39E1E" w14:textId="77777777" w:rsidR="00F76A63" w:rsidRDefault="00F76A63">
                  <w:pPr>
                    <w:widowControl/>
                    <w:jc w:val="center"/>
                    <w:rPr>
                      <w:bCs/>
                      <w:kern w:val="28"/>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0358CFC" w14:textId="77777777" w:rsidR="00F76A63" w:rsidRDefault="00F76A63">
                  <w:pPr>
                    <w:widowControl/>
                    <w:jc w:val="center"/>
                    <w:rPr>
                      <w:bCs/>
                      <w:kern w:val="28"/>
                      <w:szCs w:val="21"/>
                    </w:rPr>
                  </w:pPr>
                </w:p>
              </w:tc>
              <w:tc>
                <w:tcPr>
                  <w:tcW w:w="337" w:type="dxa"/>
                  <w:vMerge/>
                  <w:tcBorders>
                    <w:top w:val="single" w:sz="6" w:space="0" w:color="000000"/>
                    <w:left w:val="single" w:sz="6" w:space="0" w:color="000000"/>
                    <w:bottom w:val="single" w:sz="6" w:space="0" w:color="000000"/>
                    <w:right w:val="single" w:sz="6" w:space="0" w:color="000000"/>
                  </w:tcBorders>
                  <w:vAlign w:val="center"/>
                </w:tcPr>
                <w:p w14:paraId="516E8034" w14:textId="77777777" w:rsidR="00F76A63" w:rsidRDefault="00F76A63">
                  <w:pPr>
                    <w:widowControl/>
                    <w:jc w:val="center"/>
                    <w:rPr>
                      <w:bCs/>
                      <w:kern w:val="28"/>
                      <w:szCs w:val="21"/>
                    </w:rPr>
                  </w:pPr>
                </w:p>
              </w:tc>
              <w:tc>
                <w:tcPr>
                  <w:tcW w:w="355" w:type="dxa"/>
                  <w:vMerge/>
                  <w:tcBorders>
                    <w:top w:val="single" w:sz="6" w:space="0" w:color="000000"/>
                    <w:left w:val="single" w:sz="6" w:space="0" w:color="000000"/>
                    <w:bottom w:val="single" w:sz="6" w:space="0" w:color="000000"/>
                    <w:right w:val="nil"/>
                  </w:tcBorders>
                  <w:vAlign w:val="center"/>
                </w:tcPr>
                <w:p w14:paraId="17393105" w14:textId="77777777" w:rsidR="00F76A63" w:rsidRDefault="00F76A63">
                  <w:pPr>
                    <w:widowControl/>
                    <w:jc w:val="center"/>
                    <w:rPr>
                      <w:bCs/>
                      <w:kern w:val="28"/>
                      <w:szCs w:val="21"/>
                    </w:rPr>
                  </w:pPr>
                </w:p>
              </w:tc>
            </w:tr>
          </w:tbl>
          <w:p w14:paraId="757148C4" w14:textId="77777777" w:rsidR="00F76A63" w:rsidRDefault="00F76A63">
            <w:pPr>
              <w:spacing w:line="500" w:lineRule="exact"/>
              <w:jc w:val="center"/>
              <w:rPr>
                <w:b/>
                <w:bCs/>
                <w:sz w:val="24"/>
              </w:rPr>
            </w:pPr>
          </w:p>
          <w:p w14:paraId="16016C82" w14:textId="77777777" w:rsidR="00F76A63" w:rsidRDefault="00000000">
            <w:pPr>
              <w:spacing w:line="500" w:lineRule="exact"/>
              <w:jc w:val="center"/>
              <w:rPr>
                <w:b/>
                <w:bCs/>
                <w:sz w:val="24"/>
              </w:rPr>
            </w:pPr>
            <w:r>
              <w:rPr>
                <w:b/>
                <w:bCs/>
                <w:sz w:val="24"/>
              </w:rPr>
              <w:lastRenderedPageBreak/>
              <w:t>表</w:t>
            </w:r>
            <w:r>
              <w:rPr>
                <w:b/>
                <w:bCs/>
                <w:sz w:val="24"/>
              </w:rPr>
              <w:t>2-</w:t>
            </w:r>
            <w:r>
              <w:rPr>
                <w:rFonts w:hint="eastAsia"/>
                <w:b/>
                <w:bCs/>
                <w:sz w:val="24"/>
              </w:rPr>
              <w:t>58</w:t>
            </w:r>
            <w:r>
              <w:rPr>
                <w:b/>
                <w:bCs/>
                <w:sz w:val="24"/>
              </w:rPr>
              <w:t xml:space="preserve">b  </w:t>
            </w:r>
            <w:r>
              <w:rPr>
                <w:b/>
                <w:bCs/>
                <w:sz w:val="24"/>
              </w:rPr>
              <w:t>在建、拟建项目全部建成后</w:t>
            </w:r>
            <w:r>
              <w:rPr>
                <w:b/>
                <w:bCs/>
                <w:sz w:val="24"/>
              </w:rPr>
              <w:t>2#</w:t>
            </w:r>
            <w:r>
              <w:rPr>
                <w:b/>
                <w:bCs/>
                <w:sz w:val="24"/>
              </w:rPr>
              <w:t>窑窑尾废气的产生和排放情况</w:t>
            </w:r>
          </w:p>
          <w:tbl>
            <w:tblPr>
              <w:tblW w:w="5000" w:type="pct"/>
              <w:jc w:val="center"/>
              <w:tblBorders>
                <w:top w:val="single" w:sz="12" w:space="0" w:color="000000"/>
                <w:bottom w:val="single" w:sz="12" w:space="0" w:color="000000"/>
                <w:insideH w:val="single" w:sz="6" w:space="0" w:color="000000"/>
                <w:insideV w:val="single" w:sz="6" w:space="0" w:color="000000"/>
              </w:tblBorders>
              <w:tblLayout w:type="fixed"/>
              <w:tblLook w:val="04A0" w:firstRow="1" w:lastRow="0" w:firstColumn="1" w:lastColumn="0" w:noHBand="0" w:noVBand="1"/>
            </w:tblPr>
            <w:tblGrid>
              <w:gridCol w:w="410"/>
              <w:gridCol w:w="410"/>
              <w:gridCol w:w="1731"/>
              <w:gridCol w:w="870"/>
              <w:gridCol w:w="938"/>
              <w:gridCol w:w="854"/>
              <w:gridCol w:w="932"/>
              <w:gridCol w:w="619"/>
              <w:gridCol w:w="971"/>
              <w:gridCol w:w="987"/>
              <w:gridCol w:w="854"/>
              <w:gridCol w:w="870"/>
              <w:gridCol w:w="612"/>
              <w:gridCol w:w="461"/>
              <w:gridCol w:w="412"/>
              <w:gridCol w:w="513"/>
            </w:tblGrid>
            <w:tr w:rsidR="00F76A63" w14:paraId="1B89BB4A" w14:textId="77777777">
              <w:trPr>
                <w:jc w:val="center"/>
              </w:trPr>
              <w:tc>
                <w:tcPr>
                  <w:tcW w:w="285" w:type="dxa"/>
                  <w:vMerge w:val="restart"/>
                  <w:tcBorders>
                    <w:top w:val="single" w:sz="12" w:space="0" w:color="000000"/>
                    <w:left w:val="nil"/>
                    <w:bottom w:val="single" w:sz="6" w:space="0" w:color="000000"/>
                    <w:right w:val="single" w:sz="6" w:space="0" w:color="000000"/>
                  </w:tcBorders>
                  <w:vAlign w:val="center"/>
                </w:tcPr>
                <w:p w14:paraId="4FAC80E1" w14:textId="77777777" w:rsidR="00F76A63" w:rsidRDefault="00000000">
                  <w:pPr>
                    <w:pStyle w:val="001"/>
                  </w:pPr>
                  <w:r>
                    <w:t>序号</w:t>
                  </w:r>
                </w:p>
              </w:tc>
              <w:tc>
                <w:tcPr>
                  <w:tcW w:w="285" w:type="dxa"/>
                  <w:vMerge w:val="restart"/>
                  <w:tcBorders>
                    <w:top w:val="single" w:sz="12" w:space="0" w:color="000000"/>
                    <w:left w:val="single" w:sz="6" w:space="0" w:color="000000"/>
                    <w:bottom w:val="single" w:sz="6" w:space="0" w:color="000000"/>
                    <w:right w:val="single" w:sz="6" w:space="0" w:color="000000"/>
                  </w:tcBorders>
                  <w:vAlign w:val="center"/>
                </w:tcPr>
                <w:p w14:paraId="27D926C9" w14:textId="77777777" w:rsidR="00F76A63" w:rsidRDefault="00000000">
                  <w:pPr>
                    <w:pStyle w:val="001"/>
                  </w:pPr>
                  <w:r>
                    <w:t>污染源</w:t>
                  </w:r>
                </w:p>
              </w:tc>
              <w:tc>
                <w:tcPr>
                  <w:tcW w:w="1202" w:type="dxa"/>
                  <w:vMerge w:val="restart"/>
                  <w:tcBorders>
                    <w:top w:val="single" w:sz="12" w:space="0" w:color="000000"/>
                    <w:left w:val="single" w:sz="6" w:space="0" w:color="000000"/>
                    <w:bottom w:val="single" w:sz="6" w:space="0" w:color="000000"/>
                    <w:right w:val="single" w:sz="6" w:space="0" w:color="000000"/>
                  </w:tcBorders>
                  <w:vAlign w:val="center"/>
                </w:tcPr>
                <w:p w14:paraId="50B1A7D6" w14:textId="77777777" w:rsidR="00F76A63" w:rsidRDefault="00000000">
                  <w:pPr>
                    <w:pStyle w:val="001"/>
                  </w:pPr>
                  <w:r>
                    <w:t>污染物</w:t>
                  </w:r>
                </w:p>
              </w:tc>
              <w:tc>
                <w:tcPr>
                  <w:tcW w:w="1848" w:type="dxa"/>
                  <w:gridSpan w:val="3"/>
                  <w:tcBorders>
                    <w:top w:val="single" w:sz="12" w:space="0" w:color="000000"/>
                    <w:left w:val="single" w:sz="6" w:space="0" w:color="000000"/>
                    <w:bottom w:val="single" w:sz="6" w:space="0" w:color="000000"/>
                    <w:right w:val="single" w:sz="6" w:space="0" w:color="000000"/>
                  </w:tcBorders>
                  <w:vAlign w:val="center"/>
                </w:tcPr>
                <w:p w14:paraId="4A80AD22" w14:textId="77777777" w:rsidR="00F76A63" w:rsidRDefault="00000000">
                  <w:pPr>
                    <w:pStyle w:val="001"/>
                  </w:pPr>
                  <w:r>
                    <w:t>产生情况</w:t>
                  </w:r>
                </w:p>
              </w:tc>
              <w:tc>
                <w:tcPr>
                  <w:tcW w:w="647" w:type="dxa"/>
                  <w:vMerge w:val="restart"/>
                  <w:tcBorders>
                    <w:top w:val="single" w:sz="12" w:space="0" w:color="000000"/>
                    <w:left w:val="single" w:sz="6" w:space="0" w:color="000000"/>
                    <w:bottom w:val="single" w:sz="6" w:space="0" w:color="000000"/>
                    <w:right w:val="single" w:sz="6" w:space="0" w:color="000000"/>
                  </w:tcBorders>
                  <w:vAlign w:val="center"/>
                </w:tcPr>
                <w:p w14:paraId="457EDCE0" w14:textId="77777777" w:rsidR="00F76A63" w:rsidRDefault="00000000">
                  <w:pPr>
                    <w:pStyle w:val="001"/>
                  </w:pPr>
                  <w:r>
                    <w:t>治理措施</w:t>
                  </w:r>
                </w:p>
              </w:tc>
              <w:tc>
                <w:tcPr>
                  <w:tcW w:w="430" w:type="dxa"/>
                  <w:vMerge w:val="restart"/>
                  <w:tcBorders>
                    <w:top w:val="single" w:sz="12" w:space="0" w:color="000000"/>
                    <w:left w:val="single" w:sz="6" w:space="0" w:color="000000"/>
                    <w:bottom w:val="single" w:sz="6" w:space="0" w:color="000000"/>
                    <w:right w:val="single" w:sz="6" w:space="0" w:color="000000"/>
                  </w:tcBorders>
                  <w:vAlign w:val="center"/>
                </w:tcPr>
                <w:p w14:paraId="2EEC49F4" w14:textId="77777777" w:rsidR="00F76A63" w:rsidRDefault="00000000">
                  <w:pPr>
                    <w:pStyle w:val="001"/>
                  </w:pPr>
                  <w:r>
                    <w:t>去除率</w:t>
                  </w:r>
                </w:p>
              </w:tc>
              <w:tc>
                <w:tcPr>
                  <w:tcW w:w="1952" w:type="dxa"/>
                  <w:gridSpan w:val="3"/>
                  <w:tcBorders>
                    <w:top w:val="single" w:sz="12" w:space="0" w:color="000000"/>
                    <w:left w:val="single" w:sz="6" w:space="0" w:color="000000"/>
                    <w:bottom w:val="nil"/>
                    <w:right w:val="single" w:sz="6" w:space="0" w:color="000000"/>
                  </w:tcBorders>
                  <w:vAlign w:val="center"/>
                </w:tcPr>
                <w:p w14:paraId="39DDE18B" w14:textId="77777777" w:rsidR="00F76A63" w:rsidRDefault="00000000">
                  <w:pPr>
                    <w:pStyle w:val="001"/>
                  </w:pPr>
                  <w:r>
                    <w:t>排放情况</w:t>
                  </w:r>
                </w:p>
              </w:tc>
              <w:tc>
                <w:tcPr>
                  <w:tcW w:w="604" w:type="dxa"/>
                  <w:tcBorders>
                    <w:top w:val="single" w:sz="12" w:space="0" w:color="000000"/>
                    <w:left w:val="single" w:sz="6" w:space="0" w:color="000000"/>
                    <w:bottom w:val="nil"/>
                    <w:right w:val="single" w:sz="6" w:space="0" w:color="000000"/>
                  </w:tcBorders>
                  <w:vAlign w:val="center"/>
                </w:tcPr>
                <w:p w14:paraId="10226B6A" w14:textId="77777777" w:rsidR="00F76A63" w:rsidRDefault="00000000">
                  <w:pPr>
                    <w:pStyle w:val="001"/>
                  </w:pPr>
                  <w:r>
                    <w:t>标准</w:t>
                  </w:r>
                </w:p>
              </w:tc>
              <w:tc>
                <w:tcPr>
                  <w:tcW w:w="1387" w:type="dxa"/>
                  <w:gridSpan w:val="4"/>
                  <w:tcBorders>
                    <w:top w:val="single" w:sz="12" w:space="0" w:color="000000"/>
                    <w:left w:val="single" w:sz="6" w:space="0" w:color="000000"/>
                    <w:bottom w:val="single" w:sz="6" w:space="0" w:color="000000"/>
                    <w:right w:val="nil"/>
                  </w:tcBorders>
                  <w:vAlign w:val="center"/>
                </w:tcPr>
                <w:p w14:paraId="137F73CA" w14:textId="77777777" w:rsidR="00F76A63" w:rsidRDefault="00000000">
                  <w:pPr>
                    <w:pStyle w:val="001"/>
                  </w:pPr>
                  <w:r>
                    <w:t>排放参数</w:t>
                  </w:r>
                </w:p>
              </w:tc>
            </w:tr>
            <w:tr w:rsidR="00F76A63" w14:paraId="19AFD770" w14:textId="77777777">
              <w:trPr>
                <w:jc w:val="center"/>
              </w:trPr>
              <w:tc>
                <w:tcPr>
                  <w:tcW w:w="285" w:type="dxa"/>
                  <w:vMerge/>
                  <w:tcBorders>
                    <w:top w:val="single" w:sz="12" w:space="0" w:color="000000"/>
                    <w:left w:val="nil"/>
                    <w:bottom w:val="single" w:sz="6" w:space="0" w:color="000000"/>
                    <w:right w:val="single" w:sz="6" w:space="0" w:color="000000"/>
                  </w:tcBorders>
                  <w:vAlign w:val="center"/>
                </w:tcPr>
                <w:p w14:paraId="0DE2D47C" w14:textId="77777777" w:rsidR="00F76A63" w:rsidRDefault="00F76A63">
                  <w:pPr>
                    <w:widowControl/>
                    <w:jc w:val="center"/>
                    <w:rPr>
                      <w:b/>
                      <w:bCs/>
                      <w:kern w:val="28"/>
                      <w:szCs w:val="21"/>
                    </w:rPr>
                  </w:pPr>
                </w:p>
              </w:tc>
              <w:tc>
                <w:tcPr>
                  <w:tcW w:w="285" w:type="dxa"/>
                  <w:vMerge/>
                  <w:tcBorders>
                    <w:top w:val="single" w:sz="12" w:space="0" w:color="000000"/>
                    <w:left w:val="single" w:sz="6" w:space="0" w:color="000000"/>
                    <w:bottom w:val="single" w:sz="6" w:space="0" w:color="000000"/>
                    <w:right w:val="single" w:sz="6" w:space="0" w:color="000000"/>
                  </w:tcBorders>
                  <w:vAlign w:val="center"/>
                </w:tcPr>
                <w:p w14:paraId="51FE6147" w14:textId="77777777" w:rsidR="00F76A63" w:rsidRDefault="00F76A63">
                  <w:pPr>
                    <w:widowControl/>
                    <w:jc w:val="center"/>
                    <w:rPr>
                      <w:b/>
                      <w:bCs/>
                      <w:kern w:val="28"/>
                      <w:szCs w:val="21"/>
                    </w:rPr>
                  </w:pPr>
                </w:p>
              </w:tc>
              <w:tc>
                <w:tcPr>
                  <w:tcW w:w="1202" w:type="dxa"/>
                  <w:vMerge/>
                  <w:tcBorders>
                    <w:top w:val="single" w:sz="12" w:space="0" w:color="000000"/>
                    <w:left w:val="single" w:sz="6" w:space="0" w:color="000000"/>
                    <w:bottom w:val="single" w:sz="6" w:space="0" w:color="000000"/>
                    <w:right w:val="single" w:sz="6" w:space="0" w:color="000000"/>
                  </w:tcBorders>
                  <w:vAlign w:val="center"/>
                </w:tcPr>
                <w:p w14:paraId="26E6BE88" w14:textId="77777777" w:rsidR="00F76A63" w:rsidRDefault="00F76A63">
                  <w:pPr>
                    <w:widowControl/>
                    <w:jc w:val="center"/>
                    <w:rPr>
                      <w:b/>
                      <w:bCs/>
                      <w:kern w:val="28"/>
                      <w:szCs w:val="21"/>
                    </w:rPr>
                  </w:pPr>
                </w:p>
              </w:tc>
              <w:tc>
                <w:tcPr>
                  <w:tcW w:w="604" w:type="dxa"/>
                  <w:tcBorders>
                    <w:top w:val="single" w:sz="6" w:space="0" w:color="000000"/>
                    <w:left w:val="single" w:sz="6" w:space="0" w:color="000000"/>
                    <w:bottom w:val="single" w:sz="6" w:space="0" w:color="000000"/>
                    <w:right w:val="single" w:sz="6" w:space="0" w:color="000000"/>
                  </w:tcBorders>
                  <w:vAlign w:val="center"/>
                </w:tcPr>
                <w:p w14:paraId="7D2823CC" w14:textId="77777777" w:rsidR="00F76A63" w:rsidRDefault="00000000">
                  <w:pPr>
                    <w:pStyle w:val="001"/>
                  </w:pPr>
                  <w:r>
                    <w:t>浓度</w:t>
                  </w:r>
                  <w:r>
                    <w:t>mg/m</w:t>
                  </w:r>
                  <w:r>
                    <w:rPr>
                      <w:vertAlign w:val="superscript"/>
                    </w:rPr>
                    <w:t>3</w:t>
                  </w:r>
                </w:p>
              </w:tc>
              <w:tc>
                <w:tcPr>
                  <w:tcW w:w="651" w:type="dxa"/>
                  <w:tcBorders>
                    <w:top w:val="single" w:sz="6" w:space="0" w:color="000000"/>
                    <w:left w:val="single" w:sz="6" w:space="0" w:color="000000"/>
                    <w:bottom w:val="single" w:sz="6" w:space="0" w:color="000000"/>
                    <w:right w:val="single" w:sz="6" w:space="0" w:color="000000"/>
                  </w:tcBorders>
                  <w:vAlign w:val="center"/>
                </w:tcPr>
                <w:p w14:paraId="07F23263" w14:textId="77777777" w:rsidR="00F76A63" w:rsidRDefault="00000000">
                  <w:pPr>
                    <w:pStyle w:val="001"/>
                  </w:pPr>
                  <w:r>
                    <w:t>速率</w:t>
                  </w:r>
                  <w:r>
                    <w:t>kg/h</w:t>
                  </w:r>
                </w:p>
              </w:tc>
              <w:tc>
                <w:tcPr>
                  <w:tcW w:w="593" w:type="dxa"/>
                  <w:tcBorders>
                    <w:top w:val="single" w:sz="6" w:space="0" w:color="000000"/>
                    <w:left w:val="single" w:sz="6" w:space="0" w:color="000000"/>
                    <w:bottom w:val="single" w:sz="6" w:space="0" w:color="000000"/>
                    <w:right w:val="single" w:sz="6" w:space="0" w:color="000000"/>
                  </w:tcBorders>
                  <w:vAlign w:val="center"/>
                </w:tcPr>
                <w:p w14:paraId="7183BB61" w14:textId="77777777" w:rsidR="00F76A63" w:rsidRDefault="00000000">
                  <w:pPr>
                    <w:pStyle w:val="001"/>
                  </w:pPr>
                  <w:r>
                    <w:t>产生量</w:t>
                  </w:r>
                  <w:r>
                    <w:t>t/a</w:t>
                  </w:r>
                </w:p>
              </w:tc>
              <w:tc>
                <w:tcPr>
                  <w:tcW w:w="647" w:type="dxa"/>
                  <w:vMerge/>
                  <w:tcBorders>
                    <w:top w:val="single" w:sz="12" w:space="0" w:color="000000"/>
                    <w:left w:val="single" w:sz="6" w:space="0" w:color="000000"/>
                    <w:bottom w:val="single" w:sz="6" w:space="0" w:color="000000"/>
                    <w:right w:val="single" w:sz="6" w:space="0" w:color="000000"/>
                  </w:tcBorders>
                  <w:vAlign w:val="center"/>
                </w:tcPr>
                <w:p w14:paraId="65B87A03" w14:textId="77777777" w:rsidR="00F76A63" w:rsidRDefault="00F76A63">
                  <w:pPr>
                    <w:widowControl/>
                    <w:jc w:val="center"/>
                    <w:rPr>
                      <w:b/>
                      <w:bCs/>
                      <w:kern w:val="28"/>
                      <w:szCs w:val="21"/>
                    </w:rPr>
                  </w:pPr>
                </w:p>
              </w:tc>
              <w:tc>
                <w:tcPr>
                  <w:tcW w:w="430" w:type="dxa"/>
                  <w:vMerge/>
                  <w:tcBorders>
                    <w:top w:val="single" w:sz="12" w:space="0" w:color="000000"/>
                    <w:left w:val="single" w:sz="6" w:space="0" w:color="000000"/>
                    <w:bottom w:val="single" w:sz="6" w:space="0" w:color="000000"/>
                    <w:right w:val="single" w:sz="6" w:space="0" w:color="000000"/>
                  </w:tcBorders>
                  <w:vAlign w:val="center"/>
                </w:tcPr>
                <w:p w14:paraId="712DB601" w14:textId="77777777" w:rsidR="00F76A63" w:rsidRDefault="00F76A63">
                  <w:pPr>
                    <w:widowControl/>
                    <w:jc w:val="center"/>
                    <w:rPr>
                      <w:b/>
                      <w:bCs/>
                      <w:kern w:val="28"/>
                      <w:szCs w:val="21"/>
                    </w:rPr>
                  </w:pPr>
                </w:p>
              </w:tc>
              <w:tc>
                <w:tcPr>
                  <w:tcW w:w="674" w:type="dxa"/>
                  <w:tcBorders>
                    <w:top w:val="single" w:sz="6" w:space="0" w:color="000000"/>
                    <w:left w:val="single" w:sz="6" w:space="0" w:color="000000"/>
                    <w:bottom w:val="single" w:sz="6" w:space="0" w:color="000000"/>
                    <w:right w:val="single" w:sz="6" w:space="0" w:color="000000"/>
                  </w:tcBorders>
                  <w:vAlign w:val="center"/>
                </w:tcPr>
                <w:p w14:paraId="01AC3A4E" w14:textId="77777777" w:rsidR="00F76A63" w:rsidRDefault="00000000">
                  <w:pPr>
                    <w:pStyle w:val="001"/>
                  </w:pPr>
                  <w:r>
                    <w:t>浓度</w:t>
                  </w:r>
                  <w:r>
                    <w:t>mg/m</w:t>
                  </w:r>
                  <w:r>
                    <w:rPr>
                      <w:vertAlign w:val="superscript"/>
                    </w:rPr>
                    <w:t>3</w:t>
                  </w:r>
                </w:p>
              </w:tc>
              <w:tc>
                <w:tcPr>
                  <w:tcW w:w="685" w:type="dxa"/>
                  <w:tcBorders>
                    <w:top w:val="single" w:sz="6" w:space="0" w:color="000000"/>
                    <w:left w:val="single" w:sz="6" w:space="0" w:color="000000"/>
                    <w:bottom w:val="single" w:sz="6" w:space="0" w:color="000000"/>
                    <w:right w:val="single" w:sz="6" w:space="0" w:color="000000"/>
                  </w:tcBorders>
                  <w:vAlign w:val="center"/>
                </w:tcPr>
                <w:p w14:paraId="47457237" w14:textId="77777777" w:rsidR="00F76A63" w:rsidRDefault="00000000">
                  <w:pPr>
                    <w:pStyle w:val="001"/>
                  </w:pPr>
                  <w:r>
                    <w:t>速率</w:t>
                  </w:r>
                  <w:r>
                    <w:t>kg/h</w:t>
                  </w:r>
                </w:p>
              </w:tc>
              <w:tc>
                <w:tcPr>
                  <w:tcW w:w="593" w:type="dxa"/>
                  <w:tcBorders>
                    <w:top w:val="single" w:sz="6" w:space="0" w:color="000000"/>
                    <w:left w:val="single" w:sz="6" w:space="0" w:color="000000"/>
                    <w:bottom w:val="single" w:sz="6" w:space="0" w:color="000000"/>
                    <w:right w:val="single" w:sz="6" w:space="0" w:color="000000"/>
                  </w:tcBorders>
                  <w:vAlign w:val="center"/>
                </w:tcPr>
                <w:p w14:paraId="4E3B8472" w14:textId="77777777" w:rsidR="00F76A63" w:rsidRDefault="00000000">
                  <w:pPr>
                    <w:pStyle w:val="001"/>
                  </w:pPr>
                  <w:r>
                    <w:t>排放量</w:t>
                  </w:r>
                  <w:r>
                    <w:t>t/a</w:t>
                  </w:r>
                </w:p>
              </w:tc>
              <w:tc>
                <w:tcPr>
                  <w:tcW w:w="604" w:type="dxa"/>
                  <w:tcBorders>
                    <w:top w:val="single" w:sz="6" w:space="0" w:color="000000"/>
                    <w:left w:val="single" w:sz="6" w:space="0" w:color="000000"/>
                    <w:bottom w:val="single" w:sz="6" w:space="0" w:color="000000"/>
                    <w:right w:val="single" w:sz="6" w:space="0" w:color="000000"/>
                  </w:tcBorders>
                  <w:vAlign w:val="center"/>
                </w:tcPr>
                <w:p w14:paraId="5C54D970" w14:textId="77777777" w:rsidR="00F76A63" w:rsidRDefault="00000000">
                  <w:pPr>
                    <w:pStyle w:val="001"/>
                  </w:pPr>
                  <w:r>
                    <w:t>浓度</w:t>
                  </w:r>
                  <w:r>
                    <w:t>mg/m</w:t>
                  </w:r>
                  <w:r>
                    <w:rPr>
                      <w:vertAlign w:val="superscript"/>
                    </w:rPr>
                    <w:t>3</w:t>
                  </w:r>
                </w:p>
              </w:tc>
              <w:tc>
                <w:tcPr>
                  <w:tcW w:w="425" w:type="dxa"/>
                  <w:tcBorders>
                    <w:top w:val="single" w:sz="6" w:space="0" w:color="000000"/>
                    <w:left w:val="single" w:sz="6" w:space="0" w:color="000000"/>
                    <w:bottom w:val="single" w:sz="6" w:space="0" w:color="000000"/>
                    <w:right w:val="single" w:sz="6" w:space="0" w:color="000000"/>
                  </w:tcBorders>
                  <w:vAlign w:val="center"/>
                </w:tcPr>
                <w:p w14:paraId="3E26773A" w14:textId="77777777" w:rsidR="00F76A63" w:rsidRDefault="00000000">
                  <w:pPr>
                    <w:pStyle w:val="001"/>
                  </w:pPr>
                  <w:r>
                    <w:t>废气量</w:t>
                  </w:r>
                  <w:r>
                    <w:t>Nm</w:t>
                  </w:r>
                  <w:r>
                    <w:rPr>
                      <w:vertAlign w:val="superscript"/>
                    </w:rPr>
                    <w:t>3</w:t>
                  </w:r>
                  <w:r>
                    <w:t>/h</w:t>
                  </w:r>
                </w:p>
              </w:tc>
              <w:tc>
                <w:tcPr>
                  <w:tcW w:w="320" w:type="dxa"/>
                  <w:tcBorders>
                    <w:top w:val="single" w:sz="6" w:space="0" w:color="000000"/>
                    <w:left w:val="single" w:sz="6" w:space="0" w:color="000000"/>
                    <w:bottom w:val="single" w:sz="6" w:space="0" w:color="000000"/>
                    <w:right w:val="single" w:sz="6" w:space="0" w:color="000000"/>
                  </w:tcBorders>
                  <w:vAlign w:val="center"/>
                </w:tcPr>
                <w:p w14:paraId="64B8C83B" w14:textId="77777777" w:rsidR="00F76A63" w:rsidRDefault="00000000">
                  <w:pPr>
                    <w:pStyle w:val="001"/>
                  </w:pPr>
                  <w:r>
                    <w:t>高度</w:t>
                  </w:r>
                  <w:r>
                    <w:t>m</w:t>
                  </w:r>
                </w:p>
              </w:tc>
              <w:tc>
                <w:tcPr>
                  <w:tcW w:w="286" w:type="dxa"/>
                  <w:tcBorders>
                    <w:top w:val="single" w:sz="6" w:space="0" w:color="000000"/>
                    <w:left w:val="single" w:sz="6" w:space="0" w:color="000000"/>
                    <w:bottom w:val="single" w:sz="6" w:space="0" w:color="000000"/>
                    <w:right w:val="single" w:sz="6" w:space="0" w:color="000000"/>
                  </w:tcBorders>
                  <w:vAlign w:val="center"/>
                </w:tcPr>
                <w:p w14:paraId="1FE6694F" w14:textId="77777777" w:rsidR="00F76A63" w:rsidRDefault="00000000">
                  <w:pPr>
                    <w:pStyle w:val="001"/>
                  </w:pPr>
                  <w:r>
                    <w:t>内径</w:t>
                  </w:r>
                  <w:r>
                    <w:t>m</w:t>
                  </w:r>
                </w:p>
              </w:tc>
              <w:tc>
                <w:tcPr>
                  <w:tcW w:w="356" w:type="dxa"/>
                  <w:tcBorders>
                    <w:top w:val="single" w:sz="6" w:space="0" w:color="000000"/>
                    <w:left w:val="single" w:sz="6" w:space="0" w:color="000000"/>
                    <w:bottom w:val="single" w:sz="6" w:space="0" w:color="000000"/>
                    <w:right w:val="nil"/>
                  </w:tcBorders>
                  <w:vAlign w:val="center"/>
                </w:tcPr>
                <w:p w14:paraId="6562C86D" w14:textId="77777777" w:rsidR="00F76A63" w:rsidRDefault="00000000">
                  <w:pPr>
                    <w:pStyle w:val="001"/>
                  </w:pPr>
                  <w:r>
                    <w:t>温度</w:t>
                  </w:r>
                  <w:r>
                    <w:t>℃</w:t>
                  </w:r>
                </w:p>
              </w:tc>
            </w:tr>
            <w:tr w:rsidR="00F76A63" w14:paraId="7D331A2A"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09E8B55D" w14:textId="77777777" w:rsidR="00F76A63" w:rsidRDefault="00000000">
                  <w:pPr>
                    <w:widowControl/>
                    <w:jc w:val="center"/>
                    <w:rPr>
                      <w:kern w:val="0"/>
                      <w:szCs w:val="21"/>
                    </w:rPr>
                  </w:pPr>
                  <w:r>
                    <w:rPr>
                      <w:kern w:val="0"/>
                      <w:szCs w:val="21"/>
                    </w:rPr>
                    <w:t>1</w:t>
                  </w:r>
                </w:p>
              </w:tc>
              <w:tc>
                <w:tcPr>
                  <w:tcW w:w="285" w:type="dxa"/>
                  <w:vMerge w:val="restart"/>
                  <w:tcBorders>
                    <w:top w:val="single" w:sz="6" w:space="0" w:color="000000"/>
                    <w:left w:val="single" w:sz="6" w:space="0" w:color="000000"/>
                    <w:bottom w:val="single" w:sz="6" w:space="0" w:color="000000"/>
                    <w:right w:val="single" w:sz="6" w:space="0" w:color="000000"/>
                  </w:tcBorders>
                  <w:vAlign w:val="center"/>
                </w:tcPr>
                <w:p w14:paraId="3F8263D0" w14:textId="77777777" w:rsidR="00F76A63" w:rsidRDefault="00000000">
                  <w:pPr>
                    <w:widowControl/>
                    <w:jc w:val="center"/>
                    <w:rPr>
                      <w:kern w:val="0"/>
                      <w:szCs w:val="21"/>
                    </w:rPr>
                  </w:pPr>
                  <w:r>
                    <w:rPr>
                      <w:kern w:val="0"/>
                      <w:szCs w:val="21"/>
                    </w:rPr>
                    <w:t>2#</w:t>
                  </w:r>
                  <w:r>
                    <w:rPr>
                      <w:kern w:val="0"/>
                      <w:szCs w:val="21"/>
                    </w:rPr>
                    <w:t>线水泥窑窑尾</w:t>
                  </w:r>
                </w:p>
              </w:tc>
              <w:tc>
                <w:tcPr>
                  <w:tcW w:w="1202" w:type="dxa"/>
                  <w:tcBorders>
                    <w:top w:val="single" w:sz="6" w:space="0" w:color="000000"/>
                    <w:left w:val="single" w:sz="6" w:space="0" w:color="000000"/>
                    <w:bottom w:val="single" w:sz="6" w:space="0" w:color="000000"/>
                    <w:right w:val="single" w:sz="6" w:space="0" w:color="000000"/>
                  </w:tcBorders>
                  <w:vAlign w:val="center"/>
                </w:tcPr>
                <w:p w14:paraId="083BF0CB" w14:textId="77777777" w:rsidR="00F76A63" w:rsidRDefault="00000000">
                  <w:pPr>
                    <w:widowControl/>
                    <w:jc w:val="center"/>
                    <w:rPr>
                      <w:kern w:val="0"/>
                      <w:szCs w:val="21"/>
                    </w:rPr>
                  </w:pPr>
                  <w:r>
                    <w:rPr>
                      <w:kern w:val="0"/>
                      <w:szCs w:val="21"/>
                    </w:rPr>
                    <w:t>烟尘</w:t>
                  </w:r>
                </w:p>
              </w:tc>
              <w:tc>
                <w:tcPr>
                  <w:tcW w:w="604" w:type="dxa"/>
                  <w:tcBorders>
                    <w:top w:val="single" w:sz="6" w:space="0" w:color="000000"/>
                    <w:left w:val="single" w:sz="6" w:space="0" w:color="000000"/>
                    <w:bottom w:val="single" w:sz="6" w:space="0" w:color="000000"/>
                    <w:right w:val="single" w:sz="6" w:space="0" w:color="000000"/>
                  </w:tcBorders>
                  <w:vAlign w:val="center"/>
                </w:tcPr>
                <w:p w14:paraId="7E914122" w14:textId="77777777" w:rsidR="00F76A63" w:rsidRDefault="00000000">
                  <w:pPr>
                    <w:pStyle w:val="000"/>
                  </w:pPr>
                  <w:r>
                    <w:t>9111.40</w:t>
                  </w:r>
                </w:p>
              </w:tc>
              <w:tc>
                <w:tcPr>
                  <w:tcW w:w="651" w:type="dxa"/>
                  <w:tcBorders>
                    <w:top w:val="single" w:sz="6" w:space="0" w:color="000000"/>
                    <w:left w:val="single" w:sz="6" w:space="0" w:color="000000"/>
                    <w:bottom w:val="single" w:sz="6" w:space="0" w:color="000000"/>
                    <w:right w:val="single" w:sz="6" w:space="0" w:color="000000"/>
                  </w:tcBorders>
                  <w:vAlign w:val="center"/>
                </w:tcPr>
                <w:p w14:paraId="257CA7B2" w14:textId="77777777" w:rsidR="00F76A63" w:rsidRDefault="00000000">
                  <w:pPr>
                    <w:pStyle w:val="000"/>
                  </w:pPr>
                  <w:r>
                    <w:t>7391.13</w:t>
                  </w:r>
                </w:p>
              </w:tc>
              <w:tc>
                <w:tcPr>
                  <w:tcW w:w="593" w:type="dxa"/>
                  <w:tcBorders>
                    <w:top w:val="single" w:sz="6" w:space="0" w:color="000000"/>
                    <w:left w:val="single" w:sz="6" w:space="0" w:color="000000"/>
                    <w:bottom w:val="single" w:sz="6" w:space="0" w:color="000000"/>
                    <w:right w:val="single" w:sz="6" w:space="0" w:color="000000"/>
                  </w:tcBorders>
                  <w:vAlign w:val="center"/>
                </w:tcPr>
                <w:p w14:paraId="3A3A1255" w14:textId="77777777" w:rsidR="00F76A63" w:rsidRDefault="00000000">
                  <w:pPr>
                    <w:pStyle w:val="000"/>
                  </w:pPr>
                  <w:r>
                    <w:t>54990</w:t>
                  </w:r>
                </w:p>
              </w:tc>
              <w:tc>
                <w:tcPr>
                  <w:tcW w:w="647" w:type="dxa"/>
                  <w:vMerge w:val="restart"/>
                  <w:tcBorders>
                    <w:top w:val="single" w:sz="6" w:space="0" w:color="000000"/>
                    <w:left w:val="single" w:sz="6" w:space="0" w:color="000000"/>
                    <w:bottom w:val="single" w:sz="6" w:space="0" w:color="000000"/>
                    <w:right w:val="single" w:sz="6" w:space="0" w:color="000000"/>
                  </w:tcBorders>
                  <w:vAlign w:val="center"/>
                </w:tcPr>
                <w:p w14:paraId="60DE2955" w14:textId="77777777" w:rsidR="00F76A63" w:rsidRDefault="00000000">
                  <w:pPr>
                    <w:pStyle w:val="000"/>
                  </w:pPr>
                  <w:r>
                    <w:t>依托现有：高温焚烧</w:t>
                  </w:r>
                  <w:r>
                    <w:t>+</w:t>
                  </w:r>
                  <w:r>
                    <w:t>碱性环境</w:t>
                  </w:r>
                  <w:r>
                    <w:t>+SNCR+SCR+</w:t>
                  </w:r>
                  <w:r>
                    <w:t>正常工况窑磨一体化，非正常工况干法脱硫</w:t>
                  </w:r>
                  <w:r>
                    <w:t>+</w:t>
                  </w:r>
                  <w:r>
                    <w:t>电袋复合（</w:t>
                  </w:r>
                  <w:r>
                    <w:t>1</w:t>
                  </w:r>
                  <w:r>
                    <w:t>电</w:t>
                  </w:r>
                  <w:r>
                    <w:t>3</w:t>
                  </w:r>
                  <w:r>
                    <w:t>布袋）除尘器</w:t>
                  </w:r>
                  <w:r>
                    <w:t>+</w:t>
                  </w:r>
                  <w:r>
                    <w:t>排气筒</w:t>
                  </w:r>
                </w:p>
              </w:tc>
              <w:tc>
                <w:tcPr>
                  <w:tcW w:w="430" w:type="dxa"/>
                  <w:tcBorders>
                    <w:top w:val="single" w:sz="6" w:space="0" w:color="000000"/>
                    <w:left w:val="single" w:sz="6" w:space="0" w:color="000000"/>
                    <w:bottom w:val="single" w:sz="6" w:space="0" w:color="000000"/>
                    <w:right w:val="single" w:sz="6" w:space="0" w:color="000000"/>
                  </w:tcBorders>
                  <w:vAlign w:val="center"/>
                </w:tcPr>
                <w:p w14:paraId="45E495A5" w14:textId="77777777" w:rsidR="00F76A63" w:rsidRDefault="00000000">
                  <w:pPr>
                    <w:pStyle w:val="000"/>
                  </w:pPr>
                  <w:r>
                    <w:t>99.90%</w:t>
                  </w:r>
                </w:p>
              </w:tc>
              <w:tc>
                <w:tcPr>
                  <w:tcW w:w="674" w:type="dxa"/>
                  <w:tcBorders>
                    <w:top w:val="single" w:sz="6" w:space="0" w:color="000000"/>
                    <w:left w:val="single" w:sz="6" w:space="0" w:color="000000"/>
                    <w:bottom w:val="single" w:sz="6" w:space="0" w:color="000000"/>
                    <w:right w:val="single" w:sz="6" w:space="0" w:color="000000"/>
                  </w:tcBorders>
                  <w:vAlign w:val="center"/>
                </w:tcPr>
                <w:p w14:paraId="6D4DA6C4" w14:textId="77777777" w:rsidR="00F76A63" w:rsidRDefault="00000000">
                  <w:pPr>
                    <w:pStyle w:val="000"/>
                  </w:pPr>
                  <w:r>
                    <w:t>9.11</w:t>
                  </w:r>
                </w:p>
              </w:tc>
              <w:tc>
                <w:tcPr>
                  <w:tcW w:w="685" w:type="dxa"/>
                  <w:tcBorders>
                    <w:top w:val="single" w:sz="6" w:space="0" w:color="000000"/>
                    <w:left w:val="single" w:sz="6" w:space="0" w:color="000000"/>
                    <w:bottom w:val="single" w:sz="6" w:space="0" w:color="000000"/>
                    <w:right w:val="single" w:sz="6" w:space="0" w:color="000000"/>
                  </w:tcBorders>
                  <w:vAlign w:val="center"/>
                </w:tcPr>
                <w:p w14:paraId="5703A683" w14:textId="77777777" w:rsidR="00F76A63" w:rsidRDefault="00000000">
                  <w:pPr>
                    <w:pStyle w:val="000"/>
                  </w:pPr>
                  <w:r>
                    <w:t>7.39</w:t>
                  </w:r>
                </w:p>
              </w:tc>
              <w:tc>
                <w:tcPr>
                  <w:tcW w:w="593" w:type="dxa"/>
                  <w:tcBorders>
                    <w:top w:val="single" w:sz="6" w:space="0" w:color="000000"/>
                    <w:left w:val="single" w:sz="6" w:space="0" w:color="000000"/>
                    <w:bottom w:val="single" w:sz="6" w:space="0" w:color="000000"/>
                    <w:right w:val="single" w:sz="6" w:space="0" w:color="000000"/>
                  </w:tcBorders>
                  <w:vAlign w:val="center"/>
                </w:tcPr>
                <w:p w14:paraId="4217CC6D" w14:textId="77777777" w:rsidR="00F76A63" w:rsidRDefault="00000000">
                  <w:pPr>
                    <w:pStyle w:val="000"/>
                  </w:pPr>
                  <w:r>
                    <w:t>54.99</w:t>
                  </w:r>
                </w:p>
              </w:tc>
              <w:tc>
                <w:tcPr>
                  <w:tcW w:w="604" w:type="dxa"/>
                  <w:tcBorders>
                    <w:top w:val="single" w:sz="6" w:space="0" w:color="000000"/>
                    <w:left w:val="single" w:sz="6" w:space="0" w:color="000000"/>
                    <w:bottom w:val="single" w:sz="6" w:space="0" w:color="000000"/>
                    <w:right w:val="single" w:sz="6" w:space="0" w:color="000000"/>
                  </w:tcBorders>
                  <w:vAlign w:val="center"/>
                </w:tcPr>
                <w:p w14:paraId="260A4D76" w14:textId="77777777" w:rsidR="00F76A63" w:rsidRDefault="00000000">
                  <w:pPr>
                    <w:widowControl/>
                    <w:jc w:val="center"/>
                    <w:rPr>
                      <w:kern w:val="0"/>
                      <w:szCs w:val="21"/>
                    </w:rPr>
                  </w:pPr>
                  <w:r>
                    <w:rPr>
                      <w:kern w:val="0"/>
                      <w:szCs w:val="21"/>
                    </w:rPr>
                    <w:t>10</w:t>
                  </w:r>
                </w:p>
              </w:tc>
              <w:tc>
                <w:tcPr>
                  <w:tcW w:w="425" w:type="dxa"/>
                  <w:vMerge w:val="restart"/>
                  <w:tcBorders>
                    <w:top w:val="single" w:sz="6" w:space="0" w:color="000000"/>
                    <w:left w:val="single" w:sz="6" w:space="0" w:color="000000"/>
                    <w:bottom w:val="single" w:sz="6" w:space="0" w:color="000000"/>
                    <w:right w:val="single" w:sz="6" w:space="0" w:color="000000"/>
                  </w:tcBorders>
                  <w:vAlign w:val="center"/>
                </w:tcPr>
                <w:p w14:paraId="744A75DD" w14:textId="77777777" w:rsidR="00F76A63" w:rsidRDefault="00000000">
                  <w:pPr>
                    <w:widowControl/>
                    <w:jc w:val="center"/>
                    <w:rPr>
                      <w:kern w:val="0"/>
                      <w:szCs w:val="21"/>
                    </w:rPr>
                  </w:pPr>
                  <w:r>
                    <w:rPr>
                      <w:kern w:val="0"/>
                      <w:szCs w:val="21"/>
                    </w:rPr>
                    <w:t>811196</w:t>
                  </w:r>
                </w:p>
              </w:tc>
              <w:tc>
                <w:tcPr>
                  <w:tcW w:w="320" w:type="dxa"/>
                  <w:vMerge w:val="restart"/>
                  <w:tcBorders>
                    <w:top w:val="single" w:sz="6" w:space="0" w:color="000000"/>
                    <w:left w:val="single" w:sz="6" w:space="0" w:color="000000"/>
                    <w:bottom w:val="single" w:sz="6" w:space="0" w:color="000000"/>
                    <w:right w:val="single" w:sz="6" w:space="0" w:color="000000"/>
                  </w:tcBorders>
                  <w:vAlign w:val="center"/>
                </w:tcPr>
                <w:p w14:paraId="6798A2DB" w14:textId="77777777" w:rsidR="00F76A63" w:rsidRDefault="00000000">
                  <w:pPr>
                    <w:widowControl/>
                    <w:jc w:val="center"/>
                    <w:rPr>
                      <w:kern w:val="0"/>
                      <w:szCs w:val="21"/>
                    </w:rPr>
                  </w:pPr>
                  <w:r>
                    <w:rPr>
                      <w:kern w:val="0"/>
                      <w:szCs w:val="21"/>
                    </w:rPr>
                    <w:t>125</w:t>
                  </w:r>
                </w:p>
              </w:tc>
              <w:tc>
                <w:tcPr>
                  <w:tcW w:w="286" w:type="dxa"/>
                  <w:vMerge w:val="restart"/>
                  <w:tcBorders>
                    <w:top w:val="single" w:sz="6" w:space="0" w:color="000000"/>
                    <w:left w:val="single" w:sz="6" w:space="0" w:color="000000"/>
                    <w:bottom w:val="single" w:sz="6" w:space="0" w:color="000000"/>
                    <w:right w:val="single" w:sz="6" w:space="0" w:color="000000"/>
                  </w:tcBorders>
                  <w:vAlign w:val="center"/>
                </w:tcPr>
                <w:p w14:paraId="65ACAA43" w14:textId="77777777" w:rsidR="00F76A63" w:rsidRDefault="00000000">
                  <w:pPr>
                    <w:widowControl/>
                    <w:jc w:val="center"/>
                    <w:rPr>
                      <w:kern w:val="0"/>
                      <w:szCs w:val="21"/>
                    </w:rPr>
                  </w:pPr>
                  <w:r>
                    <w:rPr>
                      <w:kern w:val="0"/>
                      <w:szCs w:val="21"/>
                    </w:rPr>
                    <w:t>4</w:t>
                  </w:r>
                </w:p>
              </w:tc>
              <w:tc>
                <w:tcPr>
                  <w:tcW w:w="356" w:type="dxa"/>
                  <w:vMerge w:val="restart"/>
                  <w:tcBorders>
                    <w:top w:val="single" w:sz="6" w:space="0" w:color="000000"/>
                    <w:left w:val="single" w:sz="6" w:space="0" w:color="000000"/>
                    <w:bottom w:val="single" w:sz="6" w:space="0" w:color="000000"/>
                    <w:right w:val="nil"/>
                  </w:tcBorders>
                  <w:vAlign w:val="center"/>
                </w:tcPr>
                <w:p w14:paraId="2C0CAC1A" w14:textId="77777777" w:rsidR="00F76A63" w:rsidRDefault="00000000">
                  <w:pPr>
                    <w:widowControl/>
                    <w:jc w:val="center"/>
                    <w:rPr>
                      <w:kern w:val="0"/>
                      <w:szCs w:val="21"/>
                    </w:rPr>
                  </w:pPr>
                  <w:r>
                    <w:rPr>
                      <w:kern w:val="0"/>
                      <w:szCs w:val="21"/>
                    </w:rPr>
                    <w:t>120</w:t>
                  </w:r>
                </w:p>
              </w:tc>
            </w:tr>
            <w:tr w:rsidR="00F76A63" w14:paraId="0BFA9B09"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2C7FAA5B" w14:textId="77777777" w:rsidR="00F76A63" w:rsidRDefault="00000000">
                  <w:pPr>
                    <w:widowControl/>
                    <w:jc w:val="center"/>
                    <w:rPr>
                      <w:kern w:val="0"/>
                      <w:szCs w:val="21"/>
                    </w:rPr>
                  </w:pPr>
                  <w:r>
                    <w:rPr>
                      <w:kern w:val="0"/>
                      <w:szCs w:val="21"/>
                    </w:rPr>
                    <w:t>2</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38B72A85"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65E6F267" w14:textId="77777777" w:rsidR="00F76A63" w:rsidRDefault="00000000">
                  <w:pPr>
                    <w:widowControl/>
                    <w:jc w:val="center"/>
                    <w:rPr>
                      <w:kern w:val="0"/>
                      <w:szCs w:val="21"/>
                    </w:rPr>
                  </w:pPr>
                  <w:r>
                    <w:rPr>
                      <w:kern w:val="0"/>
                      <w:szCs w:val="21"/>
                    </w:rPr>
                    <w:t>SO</w:t>
                  </w:r>
                  <w:r>
                    <w:rPr>
                      <w:kern w:val="0"/>
                      <w:szCs w:val="21"/>
                      <w:vertAlign w:val="subscript"/>
                    </w:rPr>
                    <w:t>2</w:t>
                  </w:r>
                </w:p>
              </w:tc>
              <w:tc>
                <w:tcPr>
                  <w:tcW w:w="604" w:type="dxa"/>
                  <w:tcBorders>
                    <w:top w:val="single" w:sz="6" w:space="0" w:color="000000"/>
                    <w:left w:val="single" w:sz="6" w:space="0" w:color="000000"/>
                    <w:bottom w:val="single" w:sz="6" w:space="0" w:color="000000"/>
                    <w:right w:val="single" w:sz="6" w:space="0" w:color="000000"/>
                  </w:tcBorders>
                  <w:vAlign w:val="center"/>
                </w:tcPr>
                <w:p w14:paraId="67EE3B33" w14:textId="77777777" w:rsidR="00F76A63" w:rsidRDefault="00000000">
                  <w:pPr>
                    <w:pStyle w:val="000"/>
                  </w:pPr>
                  <w:r>
                    <w:t>1103.51</w:t>
                  </w:r>
                </w:p>
              </w:tc>
              <w:tc>
                <w:tcPr>
                  <w:tcW w:w="651" w:type="dxa"/>
                  <w:tcBorders>
                    <w:top w:val="single" w:sz="6" w:space="0" w:color="000000"/>
                    <w:left w:val="single" w:sz="6" w:space="0" w:color="000000"/>
                    <w:bottom w:val="single" w:sz="6" w:space="0" w:color="000000"/>
                    <w:right w:val="single" w:sz="6" w:space="0" w:color="000000"/>
                  </w:tcBorders>
                  <w:vAlign w:val="center"/>
                </w:tcPr>
                <w:p w14:paraId="3961EEF1" w14:textId="77777777" w:rsidR="00F76A63" w:rsidRDefault="00000000">
                  <w:pPr>
                    <w:pStyle w:val="000"/>
                  </w:pPr>
                  <w:r>
                    <w:t>895.16</w:t>
                  </w:r>
                </w:p>
              </w:tc>
              <w:tc>
                <w:tcPr>
                  <w:tcW w:w="593" w:type="dxa"/>
                  <w:tcBorders>
                    <w:top w:val="single" w:sz="6" w:space="0" w:color="000000"/>
                    <w:left w:val="single" w:sz="6" w:space="0" w:color="000000"/>
                    <w:bottom w:val="single" w:sz="6" w:space="0" w:color="000000"/>
                    <w:right w:val="single" w:sz="6" w:space="0" w:color="000000"/>
                  </w:tcBorders>
                  <w:vAlign w:val="center"/>
                </w:tcPr>
                <w:p w14:paraId="7D185E1A" w14:textId="77777777" w:rsidR="00F76A63" w:rsidRDefault="00000000">
                  <w:pPr>
                    <w:pStyle w:val="000"/>
                  </w:pPr>
                  <w:r>
                    <w:t>6660</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2ADF0162"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4844E2D8" w14:textId="77777777" w:rsidR="00F76A63" w:rsidRDefault="00000000">
                  <w:pPr>
                    <w:pStyle w:val="000"/>
                  </w:pPr>
                  <w:r>
                    <w:t>97.50%</w:t>
                  </w:r>
                </w:p>
              </w:tc>
              <w:tc>
                <w:tcPr>
                  <w:tcW w:w="674" w:type="dxa"/>
                  <w:tcBorders>
                    <w:top w:val="single" w:sz="6" w:space="0" w:color="000000"/>
                    <w:left w:val="single" w:sz="6" w:space="0" w:color="000000"/>
                    <w:bottom w:val="single" w:sz="6" w:space="0" w:color="000000"/>
                    <w:right w:val="single" w:sz="6" w:space="0" w:color="000000"/>
                  </w:tcBorders>
                  <w:vAlign w:val="center"/>
                </w:tcPr>
                <w:p w14:paraId="15BF54EF" w14:textId="77777777" w:rsidR="00F76A63" w:rsidRDefault="00000000">
                  <w:pPr>
                    <w:pStyle w:val="000"/>
                  </w:pPr>
                  <w:r>
                    <w:t>27.59</w:t>
                  </w:r>
                </w:p>
              </w:tc>
              <w:tc>
                <w:tcPr>
                  <w:tcW w:w="685" w:type="dxa"/>
                  <w:tcBorders>
                    <w:top w:val="single" w:sz="6" w:space="0" w:color="000000"/>
                    <w:left w:val="single" w:sz="6" w:space="0" w:color="000000"/>
                    <w:bottom w:val="single" w:sz="6" w:space="0" w:color="000000"/>
                    <w:right w:val="single" w:sz="6" w:space="0" w:color="000000"/>
                  </w:tcBorders>
                  <w:vAlign w:val="center"/>
                </w:tcPr>
                <w:p w14:paraId="682A0DD8" w14:textId="77777777" w:rsidR="00F76A63" w:rsidRDefault="00000000">
                  <w:pPr>
                    <w:pStyle w:val="000"/>
                  </w:pPr>
                  <w:r>
                    <w:t>22.38</w:t>
                  </w:r>
                </w:p>
              </w:tc>
              <w:tc>
                <w:tcPr>
                  <w:tcW w:w="593" w:type="dxa"/>
                  <w:tcBorders>
                    <w:top w:val="single" w:sz="6" w:space="0" w:color="000000"/>
                    <w:left w:val="single" w:sz="6" w:space="0" w:color="000000"/>
                    <w:bottom w:val="single" w:sz="6" w:space="0" w:color="000000"/>
                    <w:right w:val="single" w:sz="6" w:space="0" w:color="000000"/>
                  </w:tcBorders>
                  <w:vAlign w:val="center"/>
                </w:tcPr>
                <w:p w14:paraId="3061FA13" w14:textId="77777777" w:rsidR="00F76A63" w:rsidRDefault="00000000">
                  <w:pPr>
                    <w:pStyle w:val="000"/>
                  </w:pPr>
                  <w:r>
                    <w:t>166.294</w:t>
                  </w:r>
                </w:p>
              </w:tc>
              <w:tc>
                <w:tcPr>
                  <w:tcW w:w="604" w:type="dxa"/>
                  <w:tcBorders>
                    <w:top w:val="single" w:sz="6" w:space="0" w:color="000000"/>
                    <w:left w:val="single" w:sz="6" w:space="0" w:color="000000"/>
                    <w:bottom w:val="single" w:sz="6" w:space="0" w:color="000000"/>
                    <w:right w:val="single" w:sz="6" w:space="0" w:color="000000"/>
                  </w:tcBorders>
                  <w:vAlign w:val="center"/>
                </w:tcPr>
                <w:p w14:paraId="39C3863E" w14:textId="77777777" w:rsidR="00F76A63" w:rsidRDefault="00000000">
                  <w:pPr>
                    <w:widowControl/>
                    <w:jc w:val="center"/>
                    <w:rPr>
                      <w:kern w:val="0"/>
                      <w:szCs w:val="21"/>
                    </w:rPr>
                  </w:pPr>
                  <w:r>
                    <w:rPr>
                      <w:kern w:val="0"/>
                      <w:szCs w:val="21"/>
                    </w:rPr>
                    <w:t>35</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1D01BC1C"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669A51DD"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4943875E"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3EACF332" w14:textId="77777777" w:rsidR="00F76A63" w:rsidRDefault="00F76A63">
                  <w:pPr>
                    <w:widowControl/>
                    <w:jc w:val="center"/>
                    <w:rPr>
                      <w:kern w:val="0"/>
                      <w:szCs w:val="21"/>
                    </w:rPr>
                  </w:pPr>
                </w:p>
              </w:tc>
            </w:tr>
            <w:tr w:rsidR="00F76A63" w14:paraId="214A369B"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281A61E4" w14:textId="77777777" w:rsidR="00F76A63" w:rsidRDefault="00000000">
                  <w:pPr>
                    <w:widowControl/>
                    <w:jc w:val="center"/>
                    <w:rPr>
                      <w:kern w:val="0"/>
                      <w:szCs w:val="21"/>
                    </w:rPr>
                  </w:pPr>
                  <w:r>
                    <w:rPr>
                      <w:kern w:val="0"/>
                      <w:szCs w:val="21"/>
                    </w:rPr>
                    <w:t>3</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172A3575"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495183DF" w14:textId="77777777" w:rsidR="00F76A63" w:rsidRDefault="00000000">
                  <w:pPr>
                    <w:widowControl/>
                    <w:jc w:val="center"/>
                    <w:rPr>
                      <w:kern w:val="0"/>
                      <w:szCs w:val="21"/>
                    </w:rPr>
                  </w:pPr>
                  <w:r>
                    <w:rPr>
                      <w:kern w:val="0"/>
                      <w:szCs w:val="21"/>
                    </w:rPr>
                    <w:t>NOx</w:t>
                  </w:r>
                </w:p>
              </w:tc>
              <w:tc>
                <w:tcPr>
                  <w:tcW w:w="604" w:type="dxa"/>
                  <w:tcBorders>
                    <w:top w:val="single" w:sz="6" w:space="0" w:color="000000"/>
                    <w:left w:val="single" w:sz="6" w:space="0" w:color="000000"/>
                    <w:bottom w:val="single" w:sz="6" w:space="0" w:color="000000"/>
                    <w:right w:val="single" w:sz="6" w:space="0" w:color="000000"/>
                  </w:tcBorders>
                  <w:vAlign w:val="center"/>
                </w:tcPr>
                <w:p w14:paraId="573CEEF5" w14:textId="77777777" w:rsidR="00F76A63" w:rsidRDefault="00000000">
                  <w:pPr>
                    <w:pStyle w:val="000"/>
                  </w:pPr>
                  <w:r>
                    <w:t>312.50</w:t>
                  </w:r>
                </w:p>
              </w:tc>
              <w:tc>
                <w:tcPr>
                  <w:tcW w:w="651" w:type="dxa"/>
                  <w:tcBorders>
                    <w:top w:val="single" w:sz="6" w:space="0" w:color="000000"/>
                    <w:left w:val="single" w:sz="6" w:space="0" w:color="000000"/>
                    <w:bottom w:val="single" w:sz="6" w:space="0" w:color="000000"/>
                    <w:right w:val="single" w:sz="6" w:space="0" w:color="000000"/>
                  </w:tcBorders>
                  <w:vAlign w:val="center"/>
                </w:tcPr>
                <w:p w14:paraId="57A80AE3" w14:textId="77777777" w:rsidR="00F76A63" w:rsidRDefault="00000000">
                  <w:pPr>
                    <w:pStyle w:val="000"/>
                  </w:pPr>
                  <w:r>
                    <w:t>253.50</w:t>
                  </w:r>
                </w:p>
              </w:tc>
              <w:tc>
                <w:tcPr>
                  <w:tcW w:w="593" w:type="dxa"/>
                  <w:tcBorders>
                    <w:top w:val="single" w:sz="6" w:space="0" w:color="000000"/>
                    <w:left w:val="single" w:sz="6" w:space="0" w:color="000000"/>
                    <w:bottom w:val="single" w:sz="6" w:space="0" w:color="000000"/>
                    <w:right w:val="single" w:sz="6" w:space="0" w:color="000000"/>
                  </w:tcBorders>
                  <w:vAlign w:val="center"/>
                </w:tcPr>
                <w:p w14:paraId="64B69728" w14:textId="77777777" w:rsidR="00F76A63" w:rsidRDefault="00000000">
                  <w:pPr>
                    <w:pStyle w:val="000"/>
                  </w:pPr>
                  <w:r>
                    <w:t>1886.04</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4BD1BA90"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47EF08C5" w14:textId="77777777" w:rsidR="00F76A63" w:rsidRDefault="00000000">
                  <w:pPr>
                    <w:pStyle w:val="000"/>
                  </w:pPr>
                  <w:r>
                    <w:t>86.50%</w:t>
                  </w:r>
                </w:p>
              </w:tc>
              <w:tc>
                <w:tcPr>
                  <w:tcW w:w="674" w:type="dxa"/>
                  <w:tcBorders>
                    <w:top w:val="single" w:sz="6" w:space="0" w:color="000000"/>
                    <w:left w:val="single" w:sz="6" w:space="0" w:color="000000"/>
                    <w:bottom w:val="single" w:sz="6" w:space="0" w:color="000000"/>
                    <w:right w:val="single" w:sz="6" w:space="0" w:color="000000"/>
                  </w:tcBorders>
                  <w:vAlign w:val="center"/>
                </w:tcPr>
                <w:p w14:paraId="38303AF8" w14:textId="77777777" w:rsidR="00F76A63" w:rsidRDefault="00000000">
                  <w:pPr>
                    <w:pStyle w:val="000"/>
                  </w:pPr>
                  <w:r>
                    <w:t>42.19</w:t>
                  </w:r>
                </w:p>
              </w:tc>
              <w:tc>
                <w:tcPr>
                  <w:tcW w:w="685" w:type="dxa"/>
                  <w:tcBorders>
                    <w:top w:val="single" w:sz="6" w:space="0" w:color="000000"/>
                    <w:left w:val="single" w:sz="6" w:space="0" w:color="000000"/>
                    <w:bottom w:val="single" w:sz="6" w:space="0" w:color="000000"/>
                    <w:right w:val="single" w:sz="6" w:space="0" w:color="000000"/>
                  </w:tcBorders>
                  <w:vAlign w:val="center"/>
                </w:tcPr>
                <w:p w14:paraId="2D5307EC" w14:textId="77777777" w:rsidR="00F76A63" w:rsidRDefault="00000000">
                  <w:pPr>
                    <w:pStyle w:val="000"/>
                  </w:pPr>
                  <w:r>
                    <w:t>34.22</w:t>
                  </w:r>
                </w:p>
              </w:tc>
              <w:tc>
                <w:tcPr>
                  <w:tcW w:w="593" w:type="dxa"/>
                  <w:tcBorders>
                    <w:top w:val="single" w:sz="6" w:space="0" w:color="000000"/>
                    <w:left w:val="single" w:sz="6" w:space="0" w:color="000000"/>
                    <w:bottom w:val="single" w:sz="6" w:space="0" w:color="000000"/>
                    <w:right w:val="single" w:sz="6" w:space="0" w:color="000000"/>
                  </w:tcBorders>
                  <w:vAlign w:val="center"/>
                </w:tcPr>
                <w:p w14:paraId="6563BBAE" w14:textId="77777777" w:rsidR="00F76A63" w:rsidRDefault="00000000">
                  <w:pPr>
                    <w:pStyle w:val="000"/>
                  </w:pPr>
                  <w:r>
                    <w:t>254.615</w:t>
                  </w:r>
                </w:p>
              </w:tc>
              <w:tc>
                <w:tcPr>
                  <w:tcW w:w="604" w:type="dxa"/>
                  <w:tcBorders>
                    <w:top w:val="single" w:sz="6" w:space="0" w:color="000000"/>
                    <w:left w:val="single" w:sz="6" w:space="0" w:color="000000"/>
                    <w:bottom w:val="single" w:sz="6" w:space="0" w:color="000000"/>
                    <w:right w:val="single" w:sz="6" w:space="0" w:color="000000"/>
                  </w:tcBorders>
                  <w:vAlign w:val="center"/>
                </w:tcPr>
                <w:p w14:paraId="3E23DEF9" w14:textId="77777777" w:rsidR="00F76A63" w:rsidRDefault="00000000">
                  <w:pPr>
                    <w:widowControl/>
                    <w:jc w:val="center"/>
                    <w:rPr>
                      <w:kern w:val="0"/>
                      <w:szCs w:val="21"/>
                    </w:rPr>
                  </w:pPr>
                  <w:r>
                    <w:rPr>
                      <w:kern w:val="0"/>
                      <w:szCs w:val="21"/>
                    </w:rPr>
                    <w:t>50</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012DCB5B"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54DF0DD1"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C21E7C4"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0BC50B2B" w14:textId="77777777" w:rsidR="00F76A63" w:rsidRDefault="00F76A63">
                  <w:pPr>
                    <w:widowControl/>
                    <w:jc w:val="center"/>
                    <w:rPr>
                      <w:kern w:val="0"/>
                      <w:szCs w:val="21"/>
                    </w:rPr>
                  </w:pPr>
                </w:p>
              </w:tc>
            </w:tr>
            <w:tr w:rsidR="00F76A63" w14:paraId="3FB4EF89"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371DA4D0" w14:textId="77777777" w:rsidR="00F76A63" w:rsidRDefault="00000000">
                  <w:pPr>
                    <w:widowControl/>
                    <w:jc w:val="center"/>
                    <w:rPr>
                      <w:kern w:val="0"/>
                      <w:szCs w:val="21"/>
                    </w:rPr>
                  </w:pPr>
                  <w:r>
                    <w:rPr>
                      <w:kern w:val="0"/>
                      <w:szCs w:val="21"/>
                    </w:rPr>
                    <w:t>4</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07488480"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040FDA2D" w14:textId="77777777" w:rsidR="00F76A63" w:rsidRDefault="00000000">
                  <w:pPr>
                    <w:widowControl/>
                    <w:jc w:val="center"/>
                    <w:rPr>
                      <w:kern w:val="0"/>
                      <w:szCs w:val="21"/>
                    </w:rPr>
                  </w:pPr>
                  <w:r>
                    <w:rPr>
                      <w:kern w:val="0"/>
                      <w:szCs w:val="21"/>
                    </w:rPr>
                    <w:t>HCl</w:t>
                  </w:r>
                </w:p>
              </w:tc>
              <w:tc>
                <w:tcPr>
                  <w:tcW w:w="604" w:type="dxa"/>
                  <w:tcBorders>
                    <w:top w:val="single" w:sz="6" w:space="0" w:color="000000"/>
                    <w:left w:val="single" w:sz="6" w:space="0" w:color="000000"/>
                    <w:bottom w:val="single" w:sz="6" w:space="0" w:color="000000"/>
                    <w:right w:val="single" w:sz="6" w:space="0" w:color="000000"/>
                  </w:tcBorders>
                  <w:vAlign w:val="center"/>
                </w:tcPr>
                <w:p w14:paraId="6F31A23F" w14:textId="77777777" w:rsidR="00F76A63" w:rsidRDefault="00000000">
                  <w:pPr>
                    <w:pStyle w:val="000"/>
                  </w:pPr>
                  <w:r>
                    <w:t>204.16</w:t>
                  </w:r>
                </w:p>
              </w:tc>
              <w:tc>
                <w:tcPr>
                  <w:tcW w:w="651" w:type="dxa"/>
                  <w:tcBorders>
                    <w:top w:val="single" w:sz="6" w:space="0" w:color="000000"/>
                    <w:left w:val="single" w:sz="6" w:space="0" w:color="000000"/>
                    <w:bottom w:val="single" w:sz="6" w:space="0" w:color="000000"/>
                    <w:right w:val="single" w:sz="6" w:space="0" w:color="000000"/>
                  </w:tcBorders>
                  <w:vAlign w:val="center"/>
                </w:tcPr>
                <w:p w14:paraId="5E2A4A0A" w14:textId="77777777" w:rsidR="00F76A63" w:rsidRDefault="00000000">
                  <w:pPr>
                    <w:pStyle w:val="000"/>
                  </w:pPr>
                  <w:r>
                    <w:t>165.61</w:t>
                  </w:r>
                </w:p>
              </w:tc>
              <w:tc>
                <w:tcPr>
                  <w:tcW w:w="593" w:type="dxa"/>
                  <w:tcBorders>
                    <w:top w:val="single" w:sz="6" w:space="0" w:color="000000"/>
                    <w:left w:val="single" w:sz="6" w:space="0" w:color="000000"/>
                    <w:bottom w:val="single" w:sz="6" w:space="0" w:color="000000"/>
                    <w:right w:val="single" w:sz="6" w:space="0" w:color="000000"/>
                  </w:tcBorders>
                  <w:vAlign w:val="center"/>
                </w:tcPr>
                <w:p w14:paraId="176744EA" w14:textId="77777777" w:rsidR="00F76A63" w:rsidRDefault="00000000">
                  <w:pPr>
                    <w:pStyle w:val="000"/>
                  </w:pPr>
                  <w:r>
                    <w:t>1232.17</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6FCB9255"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6FB9B219" w14:textId="77777777" w:rsidR="00F76A63" w:rsidRDefault="00000000">
                  <w:pPr>
                    <w:pStyle w:val="000"/>
                  </w:pPr>
                  <w:r>
                    <w:t>98.80%</w:t>
                  </w:r>
                </w:p>
              </w:tc>
              <w:tc>
                <w:tcPr>
                  <w:tcW w:w="674" w:type="dxa"/>
                  <w:tcBorders>
                    <w:top w:val="single" w:sz="6" w:space="0" w:color="000000"/>
                    <w:left w:val="single" w:sz="6" w:space="0" w:color="000000"/>
                    <w:bottom w:val="single" w:sz="6" w:space="0" w:color="000000"/>
                    <w:right w:val="single" w:sz="6" w:space="0" w:color="000000"/>
                  </w:tcBorders>
                  <w:vAlign w:val="center"/>
                </w:tcPr>
                <w:p w14:paraId="41F26696" w14:textId="77777777" w:rsidR="00F76A63" w:rsidRDefault="00000000">
                  <w:pPr>
                    <w:pStyle w:val="000"/>
                  </w:pPr>
                  <w:r>
                    <w:t>2.45</w:t>
                  </w:r>
                </w:p>
              </w:tc>
              <w:tc>
                <w:tcPr>
                  <w:tcW w:w="685" w:type="dxa"/>
                  <w:tcBorders>
                    <w:top w:val="single" w:sz="6" w:space="0" w:color="000000"/>
                    <w:left w:val="single" w:sz="6" w:space="0" w:color="000000"/>
                    <w:bottom w:val="single" w:sz="6" w:space="0" w:color="000000"/>
                    <w:right w:val="single" w:sz="6" w:space="0" w:color="000000"/>
                  </w:tcBorders>
                  <w:vAlign w:val="center"/>
                </w:tcPr>
                <w:p w14:paraId="0B566BED" w14:textId="77777777" w:rsidR="00F76A63" w:rsidRDefault="00000000">
                  <w:pPr>
                    <w:pStyle w:val="000"/>
                  </w:pPr>
                  <w:r>
                    <w:t>2.096</w:t>
                  </w:r>
                </w:p>
              </w:tc>
              <w:tc>
                <w:tcPr>
                  <w:tcW w:w="593" w:type="dxa"/>
                  <w:tcBorders>
                    <w:top w:val="single" w:sz="6" w:space="0" w:color="000000"/>
                    <w:left w:val="single" w:sz="6" w:space="0" w:color="000000"/>
                    <w:bottom w:val="single" w:sz="6" w:space="0" w:color="000000"/>
                    <w:right w:val="single" w:sz="6" w:space="0" w:color="000000"/>
                  </w:tcBorders>
                  <w:vAlign w:val="center"/>
                </w:tcPr>
                <w:p w14:paraId="0D771800" w14:textId="77777777" w:rsidR="00F76A63" w:rsidRDefault="00000000">
                  <w:pPr>
                    <w:pStyle w:val="000"/>
                  </w:pPr>
                  <w:r>
                    <w:t>15.593</w:t>
                  </w:r>
                </w:p>
              </w:tc>
              <w:tc>
                <w:tcPr>
                  <w:tcW w:w="604" w:type="dxa"/>
                  <w:tcBorders>
                    <w:top w:val="single" w:sz="6" w:space="0" w:color="000000"/>
                    <w:left w:val="single" w:sz="6" w:space="0" w:color="000000"/>
                    <w:bottom w:val="single" w:sz="6" w:space="0" w:color="000000"/>
                    <w:right w:val="single" w:sz="6" w:space="0" w:color="000000"/>
                  </w:tcBorders>
                  <w:vAlign w:val="center"/>
                </w:tcPr>
                <w:p w14:paraId="2CE0749E" w14:textId="77777777" w:rsidR="00F76A63" w:rsidRDefault="00000000">
                  <w:pPr>
                    <w:widowControl/>
                    <w:jc w:val="center"/>
                    <w:rPr>
                      <w:kern w:val="0"/>
                      <w:szCs w:val="21"/>
                    </w:rPr>
                  </w:pPr>
                  <w:r>
                    <w:rPr>
                      <w:kern w:val="0"/>
                      <w:szCs w:val="21"/>
                    </w:rPr>
                    <w:t>10</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39E6A937"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60F67852"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6A72DDB8"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53B0C651" w14:textId="77777777" w:rsidR="00F76A63" w:rsidRDefault="00F76A63">
                  <w:pPr>
                    <w:widowControl/>
                    <w:jc w:val="center"/>
                    <w:rPr>
                      <w:kern w:val="0"/>
                      <w:szCs w:val="21"/>
                    </w:rPr>
                  </w:pPr>
                </w:p>
              </w:tc>
            </w:tr>
            <w:tr w:rsidR="00F76A63" w14:paraId="66095E9D"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1B563A02" w14:textId="77777777" w:rsidR="00F76A63" w:rsidRDefault="00000000">
                  <w:pPr>
                    <w:widowControl/>
                    <w:jc w:val="center"/>
                    <w:rPr>
                      <w:kern w:val="0"/>
                      <w:szCs w:val="21"/>
                    </w:rPr>
                  </w:pPr>
                  <w:r>
                    <w:rPr>
                      <w:kern w:val="0"/>
                      <w:szCs w:val="21"/>
                    </w:rPr>
                    <w:t>5</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55FC0D08"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418CCF7C" w14:textId="77777777" w:rsidR="00F76A63" w:rsidRDefault="00000000">
                  <w:pPr>
                    <w:widowControl/>
                    <w:jc w:val="center"/>
                    <w:rPr>
                      <w:kern w:val="0"/>
                      <w:szCs w:val="21"/>
                    </w:rPr>
                  </w:pPr>
                  <w:r>
                    <w:rPr>
                      <w:kern w:val="0"/>
                      <w:szCs w:val="21"/>
                    </w:rPr>
                    <w:t>HF</w:t>
                  </w:r>
                </w:p>
              </w:tc>
              <w:tc>
                <w:tcPr>
                  <w:tcW w:w="604" w:type="dxa"/>
                  <w:tcBorders>
                    <w:top w:val="single" w:sz="6" w:space="0" w:color="000000"/>
                    <w:left w:val="single" w:sz="6" w:space="0" w:color="000000"/>
                    <w:bottom w:val="single" w:sz="6" w:space="0" w:color="000000"/>
                    <w:right w:val="single" w:sz="6" w:space="0" w:color="000000"/>
                  </w:tcBorders>
                  <w:vAlign w:val="center"/>
                </w:tcPr>
                <w:p w14:paraId="5200B13F" w14:textId="77777777" w:rsidR="00F76A63" w:rsidRDefault="00000000">
                  <w:pPr>
                    <w:pStyle w:val="000"/>
                  </w:pPr>
                  <w:r>
                    <w:t>11.40</w:t>
                  </w:r>
                </w:p>
              </w:tc>
              <w:tc>
                <w:tcPr>
                  <w:tcW w:w="651" w:type="dxa"/>
                  <w:tcBorders>
                    <w:top w:val="single" w:sz="6" w:space="0" w:color="000000"/>
                    <w:left w:val="single" w:sz="6" w:space="0" w:color="000000"/>
                    <w:bottom w:val="single" w:sz="6" w:space="0" w:color="000000"/>
                    <w:right w:val="single" w:sz="6" w:space="0" w:color="000000"/>
                  </w:tcBorders>
                  <w:vAlign w:val="center"/>
                </w:tcPr>
                <w:p w14:paraId="7F9C989F" w14:textId="77777777" w:rsidR="00F76A63" w:rsidRDefault="00000000">
                  <w:pPr>
                    <w:pStyle w:val="000"/>
                  </w:pPr>
                  <w:r>
                    <w:t>9.25</w:t>
                  </w:r>
                </w:p>
              </w:tc>
              <w:tc>
                <w:tcPr>
                  <w:tcW w:w="593" w:type="dxa"/>
                  <w:tcBorders>
                    <w:top w:val="single" w:sz="6" w:space="0" w:color="000000"/>
                    <w:left w:val="single" w:sz="6" w:space="0" w:color="000000"/>
                    <w:bottom w:val="single" w:sz="6" w:space="0" w:color="000000"/>
                    <w:right w:val="single" w:sz="6" w:space="0" w:color="000000"/>
                  </w:tcBorders>
                  <w:vAlign w:val="center"/>
                </w:tcPr>
                <w:p w14:paraId="35980AB1" w14:textId="77777777" w:rsidR="00F76A63" w:rsidRDefault="00000000">
                  <w:pPr>
                    <w:pStyle w:val="000"/>
                  </w:pPr>
                  <w:r>
                    <w:t>68.8</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24DEF6C1"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18AD0469" w14:textId="77777777" w:rsidR="00F76A63" w:rsidRDefault="00000000">
                  <w:pPr>
                    <w:pStyle w:val="000"/>
                  </w:pPr>
                  <w:r>
                    <w:t>99.00%</w:t>
                  </w:r>
                </w:p>
              </w:tc>
              <w:tc>
                <w:tcPr>
                  <w:tcW w:w="674" w:type="dxa"/>
                  <w:tcBorders>
                    <w:top w:val="single" w:sz="6" w:space="0" w:color="000000"/>
                    <w:left w:val="single" w:sz="6" w:space="0" w:color="000000"/>
                    <w:bottom w:val="single" w:sz="6" w:space="0" w:color="000000"/>
                    <w:right w:val="single" w:sz="6" w:space="0" w:color="000000"/>
                  </w:tcBorders>
                  <w:vAlign w:val="center"/>
                </w:tcPr>
                <w:p w14:paraId="408EEFC2" w14:textId="77777777" w:rsidR="00F76A63" w:rsidRDefault="00000000">
                  <w:pPr>
                    <w:pStyle w:val="000"/>
                  </w:pPr>
                  <w:r>
                    <w:t>0.11</w:t>
                  </w:r>
                </w:p>
              </w:tc>
              <w:tc>
                <w:tcPr>
                  <w:tcW w:w="685" w:type="dxa"/>
                  <w:tcBorders>
                    <w:top w:val="single" w:sz="6" w:space="0" w:color="000000"/>
                    <w:left w:val="single" w:sz="6" w:space="0" w:color="000000"/>
                    <w:bottom w:val="single" w:sz="6" w:space="0" w:color="000000"/>
                    <w:right w:val="single" w:sz="6" w:space="0" w:color="000000"/>
                  </w:tcBorders>
                  <w:vAlign w:val="center"/>
                </w:tcPr>
                <w:p w14:paraId="4690C77C" w14:textId="77777777" w:rsidR="00F76A63" w:rsidRDefault="00000000">
                  <w:pPr>
                    <w:pStyle w:val="000"/>
                  </w:pPr>
                  <w:r>
                    <w:t>0.09</w:t>
                  </w:r>
                </w:p>
              </w:tc>
              <w:tc>
                <w:tcPr>
                  <w:tcW w:w="593" w:type="dxa"/>
                  <w:tcBorders>
                    <w:top w:val="single" w:sz="6" w:space="0" w:color="000000"/>
                    <w:left w:val="single" w:sz="6" w:space="0" w:color="000000"/>
                    <w:bottom w:val="single" w:sz="6" w:space="0" w:color="000000"/>
                    <w:right w:val="single" w:sz="6" w:space="0" w:color="000000"/>
                  </w:tcBorders>
                  <w:vAlign w:val="center"/>
                </w:tcPr>
                <w:p w14:paraId="3B41AA00" w14:textId="77777777" w:rsidR="00F76A63" w:rsidRDefault="00000000">
                  <w:pPr>
                    <w:pStyle w:val="000"/>
                  </w:pPr>
                  <w:r>
                    <w:t>0.687</w:t>
                  </w:r>
                </w:p>
              </w:tc>
              <w:tc>
                <w:tcPr>
                  <w:tcW w:w="604" w:type="dxa"/>
                  <w:tcBorders>
                    <w:top w:val="single" w:sz="6" w:space="0" w:color="000000"/>
                    <w:left w:val="single" w:sz="6" w:space="0" w:color="000000"/>
                    <w:bottom w:val="single" w:sz="6" w:space="0" w:color="000000"/>
                    <w:right w:val="single" w:sz="6" w:space="0" w:color="000000"/>
                  </w:tcBorders>
                  <w:vAlign w:val="center"/>
                </w:tcPr>
                <w:p w14:paraId="6123A68D" w14:textId="77777777" w:rsidR="00F76A63" w:rsidRDefault="00000000">
                  <w:pPr>
                    <w:widowControl/>
                    <w:jc w:val="center"/>
                    <w:rPr>
                      <w:kern w:val="0"/>
                      <w:szCs w:val="21"/>
                    </w:rPr>
                  </w:pPr>
                  <w:r>
                    <w:rPr>
                      <w:kern w:val="0"/>
                      <w:szCs w:val="21"/>
                    </w:rPr>
                    <w:t>1</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2FB96649"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7695CA0B"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6B750BCB"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04525812" w14:textId="77777777" w:rsidR="00F76A63" w:rsidRDefault="00F76A63">
                  <w:pPr>
                    <w:widowControl/>
                    <w:jc w:val="center"/>
                    <w:rPr>
                      <w:kern w:val="0"/>
                      <w:szCs w:val="21"/>
                    </w:rPr>
                  </w:pPr>
                </w:p>
              </w:tc>
            </w:tr>
            <w:tr w:rsidR="00F76A63" w14:paraId="52F4E8A9"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107F9018" w14:textId="77777777" w:rsidR="00F76A63" w:rsidRDefault="00000000">
                  <w:pPr>
                    <w:widowControl/>
                    <w:jc w:val="center"/>
                    <w:rPr>
                      <w:kern w:val="0"/>
                      <w:szCs w:val="21"/>
                    </w:rPr>
                  </w:pPr>
                  <w:r>
                    <w:rPr>
                      <w:kern w:val="0"/>
                      <w:szCs w:val="21"/>
                    </w:rPr>
                    <w:t>6</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08C7A125"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6D7DB34C" w14:textId="77777777" w:rsidR="00F76A63" w:rsidRDefault="00000000">
                  <w:pPr>
                    <w:widowControl/>
                    <w:jc w:val="center"/>
                    <w:rPr>
                      <w:kern w:val="0"/>
                      <w:szCs w:val="21"/>
                    </w:rPr>
                  </w:pPr>
                  <w:r>
                    <w:rPr>
                      <w:kern w:val="0"/>
                      <w:szCs w:val="21"/>
                    </w:rPr>
                    <w:t>NH</w:t>
                  </w:r>
                  <w:r>
                    <w:rPr>
                      <w:kern w:val="0"/>
                      <w:szCs w:val="21"/>
                      <w:vertAlign w:val="subscript"/>
                    </w:rPr>
                    <w:t>3</w:t>
                  </w:r>
                </w:p>
              </w:tc>
              <w:tc>
                <w:tcPr>
                  <w:tcW w:w="604" w:type="dxa"/>
                  <w:tcBorders>
                    <w:top w:val="single" w:sz="6" w:space="0" w:color="000000"/>
                    <w:left w:val="single" w:sz="6" w:space="0" w:color="000000"/>
                    <w:bottom w:val="single" w:sz="6" w:space="0" w:color="000000"/>
                    <w:right w:val="single" w:sz="6" w:space="0" w:color="000000"/>
                  </w:tcBorders>
                  <w:vAlign w:val="center"/>
                </w:tcPr>
                <w:p w14:paraId="0A5466EB" w14:textId="77777777" w:rsidR="00F76A63" w:rsidRDefault="00000000">
                  <w:pPr>
                    <w:pStyle w:val="000"/>
                  </w:pPr>
                  <w:r>
                    <w:t>4.58</w:t>
                  </w:r>
                </w:p>
              </w:tc>
              <w:tc>
                <w:tcPr>
                  <w:tcW w:w="651" w:type="dxa"/>
                  <w:tcBorders>
                    <w:top w:val="single" w:sz="6" w:space="0" w:color="000000"/>
                    <w:left w:val="single" w:sz="6" w:space="0" w:color="000000"/>
                    <w:bottom w:val="single" w:sz="6" w:space="0" w:color="000000"/>
                    <w:right w:val="single" w:sz="6" w:space="0" w:color="000000"/>
                  </w:tcBorders>
                  <w:vAlign w:val="center"/>
                </w:tcPr>
                <w:p w14:paraId="62FD0608" w14:textId="77777777" w:rsidR="00F76A63" w:rsidRDefault="00000000">
                  <w:pPr>
                    <w:pStyle w:val="000"/>
                  </w:pPr>
                  <w:r>
                    <w:t>3.72</w:t>
                  </w:r>
                </w:p>
              </w:tc>
              <w:tc>
                <w:tcPr>
                  <w:tcW w:w="593" w:type="dxa"/>
                  <w:tcBorders>
                    <w:top w:val="single" w:sz="6" w:space="0" w:color="000000"/>
                    <w:left w:val="single" w:sz="6" w:space="0" w:color="000000"/>
                    <w:bottom w:val="single" w:sz="6" w:space="0" w:color="000000"/>
                    <w:right w:val="single" w:sz="6" w:space="0" w:color="000000"/>
                  </w:tcBorders>
                  <w:vAlign w:val="center"/>
                </w:tcPr>
                <w:p w14:paraId="1FDD57BF" w14:textId="77777777" w:rsidR="00F76A63" w:rsidRDefault="00000000">
                  <w:pPr>
                    <w:pStyle w:val="000"/>
                  </w:pPr>
                  <w:r>
                    <w:t>27.66</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097BF103"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vAlign w:val="center"/>
                </w:tcPr>
                <w:p w14:paraId="72D9C386" w14:textId="77777777" w:rsidR="00F76A63" w:rsidRDefault="00000000">
                  <w:pPr>
                    <w:pStyle w:val="000"/>
                  </w:pPr>
                  <w:r>
                    <w:t>0</w:t>
                  </w:r>
                </w:p>
              </w:tc>
              <w:tc>
                <w:tcPr>
                  <w:tcW w:w="674" w:type="dxa"/>
                  <w:tcBorders>
                    <w:top w:val="single" w:sz="6" w:space="0" w:color="000000"/>
                    <w:left w:val="single" w:sz="6" w:space="0" w:color="000000"/>
                    <w:bottom w:val="single" w:sz="6" w:space="0" w:color="000000"/>
                    <w:right w:val="single" w:sz="6" w:space="0" w:color="000000"/>
                  </w:tcBorders>
                  <w:vAlign w:val="center"/>
                </w:tcPr>
                <w:p w14:paraId="272ED7CE" w14:textId="77777777" w:rsidR="00F76A63" w:rsidRDefault="00000000">
                  <w:pPr>
                    <w:pStyle w:val="000"/>
                  </w:pPr>
                  <w:r>
                    <w:t>4.58</w:t>
                  </w:r>
                </w:p>
              </w:tc>
              <w:tc>
                <w:tcPr>
                  <w:tcW w:w="685" w:type="dxa"/>
                  <w:tcBorders>
                    <w:top w:val="single" w:sz="6" w:space="0" w:color="000000"/>
                    <w:left w:val="single" w:sz="6" w:space="0" w:color="000000"/>
                    <w:bottom w:val="single" w:sz="6" w:space="0" w:color="000000"/>
                    <w:right w:val="single" w:sz="6" w:space="0" w:color="000000"/>
                  </w:tcBorders>
                  <w:vAlign w:val="center"/>
                </w:tcPr>
                <w:p w14:paraId="4B19B182" w14:textId="77777777" w:rsidR="00F76A63" w:rsidRDefault="00000000">
                  <w:pPr>
                    <w:pStyle w:val="000"/>
                  </w:pPr>
                  <w:r>
                    <w:t>3.72</w:t>
                  </w:r>
                </w:p>
              </w:tc>
              <w:tc>
                <w:tcPr>
                  <w:tcW w:w="593" w:type="dxa"/>
                  <w:tcBorders>
                    <w:top w:val="single" w:sz="6" w:space="0" w:color="000000"/>
                    <w:left w:val="single" w:sz="6" w:space="0" w:color="000000"/>
                    <w:bottom w:val="single" w:sz="6" w:space="0" w:color="000000"/>
                    <w:right w:val="single" w:sz="6" w:space="0" w:color="000000"/>
                  </w:tcBorders>
                  <w:vAlign w:val="center"/>
                </w:tcPr>
                <w:p w14:paraId="33BBA07E" w14:textId="77777777" w:rsidR="00F76A63" w:rsidRDefault="00000000">
                  <w:pPr>
                    <w:pStyle w:val="000"/>
                  </w:pPr>
                  <w:r>
                    <w:t>27.66</w:t>
                  </w:r>
                </w:p>
              </w:tc>
              <w:tc>
                <w:tcPr>
                  <w:tcW w:w="604" w:type="dxa"/>
                  <w:tcBorders>
                    <w:top w:val="single" w:sz="6" w:space="0" w:color="000000"/>
                    <w:left w:val="single" w:sz="6" w:space="0" w:color="000000"/>
                    <w:bottom w:val="single" w:sz="6" w:space="0" w:color="000000"/>
                    <w:right w:val="single" w:sz="6" w:space="0" w:color="000000"/>
                  </w:tcBorders>
                  <w:vAlign w:val="center"/>
                </w:tcPr>
                <w:p w14:paraId="4008DA90" w14:textId="77777777" w:rsidR="00F76A63" w:rsidRDefault="00000000">
                  <w:pPr>
                    <w:widowControl/>
                    <w:jc w:val="center"/>
                    <w:rPr>
                      <w:kern w:val="0"/>
                      <w:szCs w:val="21"/>
                    </w:rPr>
                  </w:pPr>
                  <w:r>
                    <w:rPr>
                      <w:kern w:val="0"/>
                      <w:szCs w:val="21"/>
                    </w:rPr>
                    <w:t>8</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2EB5A985"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0A3519AD"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3226CAD4"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153FFDB6" w14:textId="77777777" w:rsidR="00F76A63" w:rsidRDefault="00F76A63">
                  <w:pPr>
                    <w:widowControl/>
                    <w:jc w:val="center"/>
                    <w:rPr>
                      <w:kern w:val="0"/>
                      <w:szCs w:val="21"/>
                    </w:rPr>
                  </w:pPr>
                </w:p>
              </w:tc>
            </w:tr>
            <w:tr w:rsidR="00F76A63" w14:paraId="6096138D"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188E886B" w14:textId="77777777" w:rsidR="00F76A63" w:rsidRDefault="00000000">
                  <w:pPr>
                    <w:widowControl/>
                    <w:jc w:val="center"/>
                    <w:rPr>
                      <w:kern w:val="0"/>
                      <w:szCs w:val="21"/>
                    </w:rPr>
                  </w:pPr>
                  <w:r>
                    <w:rPr>
                      <w:kern w:val="0"/>
                      <w:szCs w:val="21"/>
                    </w:rPr>
                    <w:t>7</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2F142F5D"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3469C8FE" w14:textId="77777777" w:rsidR="00F76A63" w:rsidRDefault="00000000">
                  <w:pPr>
                    <w:widowControl/>
                    <w:jc w:val="center"/>
                    <w:rPr>
                      <w:kern w:val="0"/>
                      <w:szCs w:val="21"/>
                    </w:rPr>
                  </w:pPr>
                  <w:r>
                    <w:rPr>
                      <w:kern w:val="0"/>
                      <w:szCs w:val="21"/>
                    </w:rPr>
                    <w:t>汞及其化合物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595099AE" w14:textId="77777777" w:rsidR="00F76A63" w:rsidRDefault="00000000">
                  <w:pPr>
                    <w:pStyle w:val="000"/>
                  </w:pPr>
                  <w:r>
                    <w:t>3.31E-05</w:t>
                  </w:r>
                </w:p>
              </w:tc>
              <w:tc>
                <w:tcPr>
                  <w:tcW w:w="651" w:type="dxa"/>
                  <w:tcBorders>
                    <w:top w:val="single" w:sz="6" w:space="0" w:color="000000"/>
                    <w:left w:val="single" w:sz="6" w:space="0" w:color="000000"/>
                    <w:bottom w:val="single" w:sz="6" w:space="0" w:color="000000"/>
                    <w:right w:val="single" w:sz="6" w:space="0" w:color="000000"/>
                  </w:tcBorders>
                  <w:vAlign w:val="center"/>
                </w:tcPr>
                <w:p w14:paraId="04248726" w14:textId="77777777" w:rsidR="00F76A63" w:rsidRDefault="00000000">
                  <w:pPr>
                    <w:pStyle w:val="000"/>
                  </w:pPr>
                  <w:r>
                    <w:t>2.69E-05</w:t>
                  </w:r>
                </w:p>
              </w:tc>
              <w:tc>
                <w:tcPr>
                  <w:tcW w:w="593" w:type="dxa"/>
                  <w:tcBorders>
                    <w:top w:val="single" w:sz="6" w:space="0" w:color="000000"/>
                    <w:left w:val="single" w:sz="6" w:space="0" w:color="000000"/>
                    <w:bottom w:val="single" w:sz="6" w:space="0" w:color="000000"/>
                    <w:right w:val="single" w:sz="6" w:space="0" w:color="000000"/>
                  </w:tcBorders>
                  <w:vAlign w:val="center"/>
                </w:tcPr>
                <w:p w14:paraId="0861759B" w14:textId="77777777" w:rsidR="00F76A63" w:rsidRDefault="00000000">
                  <w:pPr>
                    <w:pStyle w:val="00-YO0"/>
                    <w:rPr>
                      <w:b w:val="0"/>
                      <w:bCs w:val="0"/>
                    </w:rPr>
                  </w:pPr>
                  <w:r>
                    <w:rPr>
                      <w:b w:val="0"/>
                      <w:bCs w:val="0"/>
                    </w:rPr>
                    <w:t>0.0002</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1DE962A6"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1D7A3BA5"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754EEB66" w14:textId="77777777" w:rsidR="00F76A63" w:rsidRDefault="00000000">
                  <w:pPr>
                    <w:pStyle w:val="000"/>
                  </w:pPr>
                  <w:r>
                    <w:t>1.66E-05</w:t>
                  </w:r>
                </w:p>
              </w:tc>
              <w:tc>
                <w:tcPr>
                  <w:tcW w:w="685" w:type="dxa"/>
                  <w:tcBorders>
                    <w:top w:val="single" w:sz="6" w:space="0" w:color="000000"/>
                    <w:left w:val="single" w:sz="6" w:space="0" w:color="000000"/>
                    <w:bottom w:val="single" w:sz="6" w:space="0" w:color="000000"/>
                    <w:right w:val="single" w:sz="6" w:space="0" w:color="000000"/>
                  </w:tcBorders>
                  <w:vAlign w:val="center"/>
                </w:tcPr>
                <w:p w14:paraId="6FA9ACAD" w14:textId="77777777" w:rsidR="00F76A63" w:rsidRDefault="00000000">
                  <w:pPr>
                    <w:pStyle w:val="000"/>
                  </w:pPr>
                  <w:r>
                    <w:t>1.34E-05</w:t>
                  </w:r>
                </w:p>
              </w:tc>
              <w:tc>
                <w:tcPr>
                  <w:tcW w:w="593" w:type="dxa"/>
                  <w:tcBorders>
                    <w:top w:val="single" w:sz="6" w:space="0" w:color="000000"/>
                    <w:left w:val="single" w:sz="6" w:space="0" w:color="000000"/>
                    <w:bottom w:val="single" w:sz="6" w:space="0" w:color="000000"/>
                    <w:right w:val="single" w:sz="6" w:space="0" w:color="000000"/>
                  </w:tcBorders>
                  <w:vAlign w:val="center"/>
                </w:tcPr>
                <w:p w14:paraId="5B52562B" w14:textId="77777777" w:rsidR="00F76A63" w:rsidRDefault="00000000">
                  <w:pPr>
                    <w:pStyle w:val="000"/>
                  </w:pPr>
                  <w:r>
                    <w:t>0.0001</w:t>
                  </w:r>
                </w:p>
              </w:tc>
              <w:tc>
                <w:tcPr>
                  <w:tcW w:w="604" w:type="dxa"/>
                  <w:tcBorders>
                    <w:top w:val="single" w:sz="6" w:space="0" w:color="000000"/>
                    <w:left w:val="single" w:sz="6" w:space="0" w:color="000000"/>
                    <w:bottom w:val="single" w:sz="6" w:space="0" w:color="000000"/>
                    <w:right w:val="single" w:sz="6" w:space="0" w:color="000000"/>
                  </w:tcBorders>
                  <w:vAlign w:val="center"/>
                </w:tcPr>
                <w:p w14:paraId="00C08A10" w14:textId="77777777" w:rsidR="00F76A63" w:rsidRDefault="00000000">
                  <w:pPr>
                    <w:widowControl/>
                    <w:jc w:val="center"/>
                    <w:rPr>
                      <w:kern w:val="0"/>
                      <w:szCs w:val="21"/>
                    </w:rPr>
                  </w:pPr>
                  <w:r>
                    <w:rPr>
                      <w:kern w:val="0"/>
                      <w:szCs w:val="21"/>
                    </w:rPr>
                    <w:t>0.05</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757D4480"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61B9E7A6"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33F8A824"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655748F0" w14:textId="77777777" w:rsidR="00F76A63" w:rsidRDefault="00F76A63">
                  <w:pPr>
                    <w:widowControl/>
                    <w:jc w:val="center"/>
                    <w:rPr>
                      <w:kern w:val="0"/>
                      <w:szCs w:val="21"/>
                    </w:rPr>
                  </w:pPr>
                </w:p>
              </w:tc>
            </w:tr>
            <w:tr w:rsidR="00F76A63" w14:paraId="58EBA398"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7878E56E" w14:textId="77777777" w:rsidR="00F76A63" w:rsidRDefault="00000000">
                  <w:pPr>
                    <w:widowControl/>
                    <w:jc w:val="center"/>
                    <w:rPr>
                      <w:kern w:val="0"/>
                      <w:szCs w:val="21"/>
                    </w:rPr>
                  </w:pPr>
                  <w:r>
                    <w:rPr>
                      <w:kern w:val="0"/>
                      <w:szCs w:val="21"/>
                    </w:rPr>
                    <w:t>8</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5106ABAA"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07F47898" w14:textId="77777777" w:rsidR="00F76A63" w:rsidRDefault="00000000">
                  <w:pPr>
                    <w:widowControl/>
                    <w:jc w:val="center"/>
                    <w:rPr>
                      <w:kern w:val="0"/>
                      <w:szCs w:val="21"/>
                    </w:rPr>
                  </w:pPr>
                  <w:r>
                    <w:rPr>
                      <w:kern w:val="0"/>
                      <w:szCs w:val="21"/>
                    </w:rPr>
                    <w:t>铊及其化合物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48C31EE8" w14:textId="77777777" w:rsidR="00F76A63" w:rsidRDefault="00000000">
                  <w:pPr>
                    <w:pStyle w:val="000"/>
                  </w:pPr>
                  <w:r>
                    <w:t>4.64E-04</w:t>
                  </w:r>
                </w:p>
              </w:tc>
              <w:tc>
                <w:tcPr>
                  <w:tcW w:w="651" w:type="dxa"/>
                  <w:tcBorders>
                    <w:top w:val="single" w:sz="6" w:space="0" w:color="000000"/>
                    <w:left w:val="single" w:sz="6" w:space="0" w:color="000000"/>
                    <w:bottom w:val="single" w:sz="6" w:space="0" w:color="000000"/>
                    <w:right w:val="single" w:sz="6" w:space="0" w:color="000000"/>
                  </w:tcBorders>
                  <w:vAlign w:val="center"/>
                </w:tcPr>
                <w:p w14:paraId="00859343" w14:textId="77777777" w:rsidR="00F76A63" w:rsidRDefault="00000000">
                  <w:pPr>
                    <w:pStyle w:val="000"/>
                  </w:pPr>
                  <w:r>
                    <w:t>3.76E-04</w:t>
                  </w:r>
                </w:p>
              </w:tc>
              <w:tc>
                <w:tcPr>
                  <w:tcW w:w="593" w:type="dxa"/>
                  <w:tcBorders>
                    <w:top w:val="single" w:sz="6" w:space="0" w:color="000000"/>
                    <w:left w:val="single" w:sz="6" w:space="0" w:color="000000"/>
                    <w:bottom w:val="single" w:sz="6" w:space="0" w:color="000000"/>
                    <w:right w:val="single" w:sz="6" w:space="0" w:color="000000"/>
                  </w:tcBorders>
                  <w:vAlign w:val="center"/>
                </w:tcPr>
                <w:p w14:paraId="1F6F10D0" w14:textId="77777777" w:rsidR="00F76A63" w:rsidRDefault="00000000">
                  <w:pPr>
                    <w:pStyle w:val="00-YO0"/>
                    <w:rPr>
                      <w:b w:val="0"/>
                      <w:bCs w:val="0"/>
                    </w:rPr>
                  </w:pPr>
                  <w:r>
                    <w:rPr>
                      <w:b w:val="0"/>
                      <w:bCs w:val="0"/>
                    </w:rPr>
                    <w:t>0.0028</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02E4BA22"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1BC55CAB"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7D80D1B1" w14:textId="77777777" w:rsidR="00F76A63" w:rsidRDefault="00000000">
                  <w:pPr>
                    <w:pStyle w:val="000"/>
                  </w:pPr>
                  <w:r>
                    <w:t>1.82E-04</w:t>
                  </w:r>
                </w:p>
              </w:tc>
              <w:tc>
                <w:tcPr>
                  <w:tcW w:w="685" w:type="dxa"/>
                  <w:tcBorders>
                    <w:top w:val="single" w:sz="6" w:space="0" w:color="000000"/>
                    <w:left w:val="single" w:sz="6" w:space="0" w:color="000000"/>
                    <w:bottom w:val="single" w:sz="6" w:space="0" w:color="000000"/>
                    <w:right w:val="single" w:sz="6" w:space="0" w:color="000000"/>
                  </w:tcBorders>
                  <w:vAlign w:val="center"/>
                </w:tcPr>
                <w:p w14:paraId="51F96A06" w14:textId="77777777" w:rsidR="00F76A63" w:rsidRDefault="00000000">
                  <w:pPr>
                    <w:pStyle w:val="000"/>
                  </w:pPr>
                  <w:r>
                    <w:t>1.48E-04</w:t>
                  </w:r>
                </w:p>
              </w:tc>
              <w:tc>
                <w:tcPr>
                  <w:tcW w:w="593" w:type="dxa"/>
                  <w:tcBorders>
                    <w:top w:val="single" w:sz="6" w:space="0" w:color="000000"/>
                    <w:left w:val="single" w:sz="6" w:space="0" w:color="000000"/>
                    <w:bottom w:val="single" w:sz="6" w:space="0" w:color="000000"/>
                    <w:right w:val="single" w:sz="6" w:space="0" w:color="000000"/>
                  </w:tcBorders>
                  <w:vAlign w:val="center"/>
                </w:tcPr>
                <w:p w14:paraId="68654E01" w14:textId="77777777" w:rsidR="00F76A63" w:rsidRDefault="00000000">
                  <w:pPr>
                    <w:pStyle w:val="000"/>
                  </w:pPr>
                  <w:r>
                    <w:t>0.0011</w:t>
                  </w:r>
                </w:p>
              </w:tc>
              <w:tc>
                <w:tcPr>
                  <w:tcW w:w="604" w:type="dxa"/>
                  <w:tcBorders>
                    <w:top w:val="single" w:sz="6" w:space="0" w:color="000000"/>
                    <w:left w:val="single" w:sz="6" w:space="0" w:color="000000"/>
                    <w:bottom w:val="single" w:sz="6" w:space="0" w:color="000000"/>
                    <w:right w:val="single" w:sz="6" w:space="0" w:color="000000"/>
                  </w:tcBorders>
                  <w:vAlign w:val="center"/>
                </w:tcPr>
                <w:p w14:paraId="116E76CD"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55D0424E"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318C8E24"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835D2D1"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43E590AA" w14:textId="77777777" w:rsidR="00F76A63" w:rsidRDefault="00F76A63">
                  <w:pPr>
                    <w:widowControl/>
                    <w:jc w:val="center"/>
                    <w:rPr>
                      <w:kern w:val="0"/>
                      <w:szCs w:val="21"/>
                    </w:rPr>
                  </w:pPr>
                </w:p>
              </w:tc>
            </w:tr>
            <w:tr w:rsidR="00F76A63" w14:paraId="27ACC3CB"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62EFF641" w14:textId="77777777" w:rsidR="00F76A63" w:rsidRDefault="00000000">
                  <w:pPr>
                    <w:widowControl/>
                    <w:jc w:val="center"/>
                    <w:rPr>
                      <w:kern w:val="0"/>
                      <w:szCs w:val="21"/>
                    </w:rPr>
                  </w:pPr>
                  <w:r>
                    <w:rPr>
                      <w:kern w:val="0"/>
                      <w:szCs w:val="21"/>
                    </w:rPr>
                    <w:t>9</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2AC6F501"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2DB1F597" w14:textId="77777777" w:rsidR="00F76A63" w:rsidRDefault="00000000">
                  <w:pPr>
                    <w:widowControl/>
                    <w:jc w:val="center"/>
                    <w:rPr>
                      <w:kern w:val="0"/>
                      <w:szCs w:val="21"/>
                    </w:rPr>
                  </w:pPr>
                  <w:r>
                    <w:rPr>
                      <w:kern w:val="0"/>
                      <w:szCs w:val="21"/>
                    </w:rPr>
                    <w:t>镉及其化合物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1F276D9C" w14:textId="77777777" w:rsidR="00F76A63" w:rsidRDefault="00000000">
                  <w:pPr>
                    <w:pStyle w:val="000"/>
                  </w:pPr>
                  <w:r>
                    <w:t>1.84E-03</w:t>
                  </w:r>
                </w:p>
              </w:tc>
              <w:tc>
                <w:tcPr>
                  <w:tcW w:w="651" w:type="dxa"/>
                  <w:tcBorders>
                    <w:top w:val="single" w:sz="6" w:space="0" w:color="000000"/>
                    <w:left w:val="single" w:sz="6" w:space="0" w:color="000000"/>
                    <w:bottom w:val="single" w:sz="6" w:space="0" w:color="000000"/>
                    <w:right w:val="single" w:sz="6" w:space="0" w:color="000000"/>
                  </w:tcBorders>
                  <w:vAlign w:val="center"/>
                </w:tcPr>
                <w:p w14:paraId="46A4C5A6" w14:textId="77777777" w:rsidR="00F76A63" w:rsidRDefault="00000000">
                  <w:pPr>
                    <w:pStyle w:val="000"/>
                  </w:pPr>
                  <w:r>
                    <w:t>1.49E-03</w:t>
                  </w:r>
                </w:p>
              </w:tc>
              <w:tc>
                <w:tcPr>
                  <w:tcW w:w="593" w:type="dxa"/>
                  <w:tcBorders>
                    <w:top w:val="single" w:sz="6" w:space="0" w:color="000000"/>
                    <w:left w:val="single" w:sz="6" w:space="0" w:color="000000"/>
                    <w:bottom w:val="single" w:sz="6" w:space="0" w:color="000000"/>
                    <w:right w:val="single" w:sz="6" w:space="0" w:color="000000"/>
                  </w:tcBorders>
                  <w:vAlign w:val="center"/>
                </w:tcPr>
                <w:p w14:paraId="3A3F5230" w14:textId="77777777" w:rsidR="00F76A63" w:rsidRDefault="00000000">
                  <w:pPr>
                    <w:pStyle w:val="00-YO0"/>
                    <w:rPr>
                      <w:b w:val="0"/>
                      <w:bCs w:val="0"/>
                    </w:rPr>
                  </w:pPr>
                  <w:r>
                    <w:rPr>
                      <w:b w:val="0"/>
                      <w:bCs w:val="0"/>
                    </w:rPr>
                    <w:t>0.0111</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2A40CFF5"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1376BFA6"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4DA30E62" w14:textId="77777777" w:rsidR="00F76A63" w:rsidRDefault="00000000">
                  <w:pPr>
                    <w:pStyle w:val="000"/>
                  </w:pPr>
                  <w:r>
                    <w:t>7.29E-04</w:t>
                  </w:r>
                </w:p>
              </w:tc>
              <w:tc>
                <w:tcPr>
                  <w:tcW w:w="685" w:type="dxa"/>
                  <w:tcBorders>
                    <w:top w:val="single" w:sz="6" w:space="0" w:color="000000"/>
                    <w:left w:val="single" w:sz="6" w:space="0" w:color="000000"/>
                    <w:bottom w:val="single" w:sz="6" w:space="0" w:color="000000"/>
                    <w:right w:val="single" w:sz="6" w:space="0" w:color="000000"/>
                  </w:tcBorders>
                  <w:vAlign w:val="center"/>
                </w:tcPr>
                <w:p w14:paraId="036B9F98" w14:textId="77777777" w:rsidR="00F76A63" w:rsidRDefault="00000000">
                  <w:pPr>
                    <w:pStyle w:val="000"/>
                  </w:pPr>
                  <w:r>
                    <w:t>5.91E-04</w:t>
                  </w:r>
                </w:p>
              </w:tc>
              <w:tc>
                <w:tcPr>
                  <w:tcW w:w="593" w:type="dxa"/>
                  <w:tcBorders>
                    <w:top w:val="single" w:sz="6" w:space="0" w:color="000000"/>
                    <w:left w:val="single" w:sz="6" w:space="0" w:color="000000"/>
                    <w:bottom w:val="single" w:sz="6" w:space="0" w:color="000000"/>
                    <w:right w:val="single" w:sz="6" w:space="0" w:color="000000"/>
                  </w:tcBorders>
                  <w:vAlign w:val="center"/>
                </w:tcPr>
                <w:p w14:paraId="52D64377" w14:textId="77777777" w:rsidR="00F76A63" w:rsidRDefault="00000000">
                  <w:pPr>
                    <w:pStyle w:val="000"/>
                  </w:pPr>
                  <w:r>
                    <w:t>0.0044</w:t>
                  </w:r>
                </w:p>
              </w:tc>
              <w:tc>
                <w:tcPr>
                  <w:tcW w:w="604" w:type="dxa"/>
                  <w:tcBorders>
                    <w:top w:val="single" w:sz="6" w:space="0" w:color="000000"/>
                    <w:left w:val="single" w:sz="6" w:space="0" w:color="000000"/>
                    <w:bottom w:val="single" w:sz="6" w:space="0" w:color="000000"/>
                    <w:right w:val="single" w:sz="6" w:space="0" w:color="000000"/>
                  </w:tcBorders>
                  <w:vAlign w:val="center"/>
                </w:tcPr>
                <w:p w14:paraId="00E6FD62"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38934137"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04399FB2"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31B01DE5"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4C77B6CD" w14:textId="77777777" w:rsidR="00F76A63" w:rsidRDefault="00F76A63">
                  <w:pPr>
                    <w:widowControl/>
                    <w:jc w:val="center"/>
                    <w:rPr>
                      <w:kern w:val="0"/>
                      <w:szCs w:val="21"/>
                    </w:rPr>
                  </w:pPr>
                </w:p>
              </w:tc>
            </w:tr>
            <w:tr w:rsidR="00F76A63" w14:paraId="3A235ED5"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29E01D1C" w14:textId="77777777" w:rsidR="00F76A63" w:rsidRDefault="00000000">
                  <w:pPr>
                    <w:widowControl/>
                    <w:jc w:val="center"/>
                    <w:rPr>
                      <w:kern w:val="0"/>
                      <w:szCs w:val="21"/>
                    </w:rPr>
                  </w:pPr>
                  <w:r>
                    <w:rPr>
                      <w:kern w:val="0"/>
                      <w:szCs w:val="21"/>
                    </w:rPr>
                    <w:t>10</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15C99743"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71BCA1E1" w14:textId="77777777" w:rsidR="00F76A63" w:rsidRDefault="00000000">
                  <w:pPr>
                    <w:widowControl/>
                    <w:jc w:val="center"/>
                    <w:rPr>
                      <w:kern w:val="0"/>
                      <w:szCs w:val="21"/>
                    </w:rPr>
                  </w:pPr>
                  <w:r>
                    <w:rPr>
                      <w:kern w:val="0"/>
                      <w:szCs w:val="21"/>
                    </w:rPr>
                    <w:t>铅及其化合物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6C9B2BF2" w14:textId="77777777" w:rsidR="00F76A63" w:rsidRDefault="00000000">
                  <w:pPr>
                    <w:pStyle w:val="000"/>
                  </w:pPr>
                  <w:r>
                    <w:t>3.11E-02</w:t>
                  </w:r>
                </w:p>
              </w:tc>
              <w:tc>
                <w:tcPr>
                  <w:tcW w:w="651" w:type="dxa"/>
                  <w:tcBorders>
                    <w:top w:val="single" w:sz="6" w:space="0" w:color="000000"/>
                    <w:left w:val="single" w:sz="6" w:space="0" w:color="000000"/>
                    <w:bottom w:val="single" w:sz="6" w:space="0" w:color="000000"/>
                    <w:right w:val="single" w:sz="6" w:space="0" w:color="000000"/>
                  </w:tcBorders>
                  <w:vAlign w:val="center"/>
                </w:tcPr>
                <w:p w14:paraId="17F1E2D2" w14:textId="77777777" w:rsidR="00F76A63" w:rsidRDefault="00000000">
                  <w:pPr>
                    <w:pStyle w:val="000"/>
                  </w:pPr>
                  <w:r>
                    <w:t>2.52E-02</w:t>
                  </w:r>
                </w:p>
              </w:tc>
              <w:tc>
                <w:tcPr>
                  <w:tcW w:w="593" w:type="dxa"/>
                  <w:tcBorders>
                    <w:top w:val="single" w:sz="6" w:space="0" w:color="000000"/>
                    <w:left w:val="single" w:sz="6" w:space="0" w:color="000000"/>
                    <w:bottom w:val="single" w:sz="6" w:space="0" w:color="000000"/>
                    <w:right w:val="single" w:sz="6" w:space="0" w:color="000000"/>
                  </w:tcBorders>
                  <w:vAlign w:val="center"/>
                </w:tcPr>
                <w:p w14:paraId="3597482A" w14:textId="77777777" w:rsidR="00F76A63" w:rsidRDefault="00000000">
                  <w:pPr>
                    <w:pStyle w:val="00-YO0"/>
                    <w:rPr>
                      <w:b w:val="0"/>
                      <w:bCs w:val="0"/>
                    </w:rPr>
                  </w:pPr>
                  <w:r>
                    <w:rPr>
                      <w:b w:val="0"/>
                      <w:bCs w:val="0"/>
                    </w:rPr>
                    <w:t>0.1878</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07B83DBE"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42254444"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2AB8BEEB" w14:textId="77777777" w:rsidR="00F76A63" w:rsidRDefault="00000000">
                  <w:pPr>
                    <w:pStyle w:val="000"/>
                  </w:pPr>
                  <w:r>
                    <w:t>1.24E-02</w:t>
                  </w:r>
                </w:p>
              </w:tc>
              <w:tc>
                <w:tcPr>
                  <w:tcW w:w="685" w:type="dxa"/>
                  <w:tcBorders>
                    <w:top w:val="single" w:sz="6" w:space="0" w:color="000000"/>
                    <w:left w:val="single" w:sz="6" w:space="0" w:color="000000"/>
                    <w:bottom w:val="single" w:sz="6" w:space="0" w:color="000000"/>
                    <w:right w:val="single" w:sz="6" w:space="0" w:color="000000"/>
                  </w:tcBorders>
                  <w:vAlign w:val="center"/>
                </w:tcPr>
                <w:p w14:paraId="0C810B86" w14:textId="77777777" w:rsidR="00F76A63" w:rsidRDefault="00000000">
                  <w:pPr>
                    <w:pStyle w:val="000"/>
                  </w:pPr>
                  <w:r>
                    <w:t>1.01E-02</w:t>
                  </w:r>
                </w:p>
              </w:tc>
              <w:tc>
                <w:tcPr>
                  <w:tcW w:w="593" w:type="dxa"/>
                  <w:tcBorders>
                    <w:top w:val="single" w:sz="6" w:space="0" w:color="000000"/>
                    <w:left w:val="single" w:sz="6" w:space="0" w:color="000000"/>
                    <w:bottom w:val="single" w:sz="6" w:space="0" w:color="000000"/>
                    <w:right w:val="single" w:sz="6" w:space="0" w:color="000000"/>
                  </w:tcBorders>
                  <w:vAlign w:val="center"/>
                </w:tcPr>
                <w:p w14:paraId="4DA3D877" w14:textId="77777777" w:rsidR="00F76A63" w:rsidRDefault="00000000">
                  <w:pPr>
                    <w:pStyle w:val="000"/>
                  </w:pPr>
                  <w:r>
                    <w:t>0.0751</w:t>
                  </w:r>
                </w:p>
              </w:tc>
              <w:tc>
                <w:tcPr>
                  <w:tcW w:w="604" w:type="dxa"/>
                  <w:tcBorders>
                    <w:top w:val="single" w:sz="6" w:space="0" w:color="000000"/>
                    <w:left w:val="single" w:sz="6" w:space="0" w:color="000000"/>
                    <w:bottom w:val="single" w:sz="6" w:space="0" w:color="000000"/>
                    <w:right w:val="single" w:sz="6" w:space="0" w:color="000000"/>
                  </w:tcBorders>
                  <w:vAlign w:val="center"/>
                </w:tcPr>
                <w:p w14:paraId="21B41D55"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15D60007"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4DCBBE38"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C4D5498"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5DB3146C" w14:textId="77777777" w:rsidR="00F76A63" w:rsidRDefault="00F76A63">
                  <w:pPr>
                    <w:widowControl/>
                    <w:jc w:val="center"/>
                    <w:rPr>
                      <w:kern w:val="0"/>
                      <w:szCs w:val="21"/>
                    </w:rPr>
                  </w:pPr>
                </w:p>
              </w:tc>
            </w:tr>
            <w:tr w:rsidR="00F76A63" w14:paraId="4F667985"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79F9E4EC" w14:textId="77777777" w:rsidR="00F76A63" w:rsidRDefault="00000000">
                  <w:pPr>
                    <w:widowControl/>
                    <w:jc w:val="center"/>
                    <w:rPr>
                      <w:kern w:val="0"/>
                      <w:szCs w:val="21"/>
                    </w:rPr>
                  </w:pPr>
                  <w:r>
                    <w:rPr>
                      <w:kern w:val="0"/>
                      <w:szCs w:val="21"/>
                    </w:rPr>
                    <w:t>11</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02D01FE2"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0563D52E" w14:textId="77777777" w:rsidR="00F76A63" w:rsidRDefault="00000000">
                  <w:pPr>
                    <w:widowControl/>
                    <w:jc w:val="center"/>
                    <w:rPr>
                      <w:kern w:val="0"/>
                      <w:szCs w:val="21"/>
                    </w:rPr>
                  </w:pPr>
                  <w:r>
                    <w:rPr>
                      <w:kern w:val="0"/>
                      <w:szCs w:val="21"/>
                    </w:rPr>
                    <w:t>砷及其化合物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61F60267" w14:textId="77777777" w:rsidR="00F76A63" w:rsidRDefault="00000000">
                  <w:pPr>
                    <w:pStyle w:val="000"/>
                  </w:pPr>
                  <w:r>
                    <w:t>4.32E-02</w:t>
                  </w:r>
                </w:p>
              </w:tc>
              <w:tc>
                <w:tcPr>
                  <w:tcW w:w="651" w:type="dxa"/>
                  <w:tcBorders>
                    <w:top w:val="single" w:sz="6" w:space="0" w:color="000000"/>
                    <w:left w:val="single" w:sz="6" w:space="0" w:color="000000"/>
                    <w:bottom w:val="single" w:sz="6" w:space="0" w:color="000000"/>
                    <w:right w:val="single" w:sz="6" w:space="0" w:color="000000"/>
                  </w:tcBorders>
                  <w:vAlign w:val="center"/>
                </w:tcPr>
                <w:p w14:paraId="35C71F32" w14:textId="77777777" w:rsidR="00F76A63" w:rsidRDefault="00000000">
                  <w:pPr>
                    <w:pStyle w:val="000"/>
                  </w:pPr>
                  <w:r>
                    <w:t>3.51E-02</w:t>
                  </w:r>
                </w:p>
              </w:tc>
              <w:tc>
                <w:tcPr>
                  <w:tcW w:w="593" w:type="dxa"/>
                  <w:tcBorders>
                    <w:top w:val="single" w:sz="6" w:space="0" w:color="000000"/>
                    <w:left w:val="single" w:sz="6" w:space="0" w:color="000000"/>
                    <w:bottom w:val="single" w:sz="6" w:space="0" w:color="000000"/>
                    <w:right w:val="single" w:sz="6" w:space="0" w:color="000000"/>
                  </w:tcBorders>
                  <w:vAlign w:val="center"/>
                </w:tcPr>
                <w:p w14:paraId="3304A066" w14:textId="77777777" w:rsidR="00F76A63" w:rsidRDefault="00000000">
                  <w:pPr>
                    <w:pStyle w:val="00-YO0"/>
                    <w:rPr>
                      <w:b w:val="0"/>
                      <w:bCs w:val="0"/>
                    </w:rPr>
                  </w:pPr>
                  <w:r>
                    <w:rPr>
                      <w:b w:val="0"/>
                      <w:bCs w:val="0"/>
                    </w:rPr>
                    <w:t>0.2608</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538A3DB9"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796EC5C9"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29A69938" w14:textId="77777777" w:rsidR="00F76A63" w:rsidRDefault="00000000">
                  <w:pPr>
                    <w:pStyle w:val="000"/>
                  </w:pPr>
                  <w:r>
                    <w:t>1.73E-02</w:t>
                  </w:r>
                </w:p>
              </w:tc>
              <w:tc>
                <w:tcPr>
                  <w:tcW w:w="685" w:type="dxa"/>
                  <w:tcBorders>
                    <w:top w:val="single" w:sz="6" w:space="0" w:color="000000"/>
                    <w:left w:val="single" w:sz="6" w:space="0" w:color="000000"/>
                    <w:bottom w:val="single" w:sz="6" w:space="0" w:color="000000"/>
                    <w:right w:val="single" w:sz="6" w:space="0" w:color="000000"/>
                  </w:tcBorders>
                  <w:vAlign w:val="center"/>
                </w:tcPr>
                <w:p w14:paraId="7750D414" w14:textId="77777777" w:rsidR="00F76A63" w:rsidRDefault="00000000">
                  <w:pPr>
                    <w:pStyle w:val="000"/>
                  </w:pPr>
                  <w:r>
                    <w:t>1.40E-02</w:t>
                  </w:r>
                </w:p>
              </w:tc>
              <w:tc>
                <w:tcPr>
                  <w:tcW w:w="593" w:type="dxa"/>
                  <w:tcBorders>
                    <w:top w:val="single" w:sz="6" w:space="0" w:color="000000"/>
                    <w:left w:val="single" w:sz="6" w:space="0" w:color="000000"/>
                    <w:bottom w:val="single" w:sz="6" w:space="0" w:color="000000"/>
                    <w:right w:val="single" w:sz="6" w:space="0" w:color="000000"/>
                  </w:tcBorders>
                  <w:vAlign w:val="center"/>
                </w:tcPr>
                <w:p w14:paraId="72E50231" w14:textId="77777777" w:rsidR="00F76A63" w:rsidRDefault="00000000">
                  <w:pPr>
                    <w:pStyle w:val="000"/>
                  </w:pPr>
                  <w:r>
                    <w:t>0.1043</w:t>
                  </w:r>
                </w:p>
              </w:tc>
              <w:tc>
                <w:tcPr>
                  <w:tcW w:w="604" w:type="dxa"/>
                  <w:tcBorders>
                    <w:top w:val="single" w:sz="6" w:space="0" w:color="000000"/>
                    <w:left w:val="single" w:sz="6" w:space="0" w:color="000000"/>
                    <w:bottom w:val="single" w:sz="6" w:space="0" w:color="000000"/>
                    <w:right w:val="single" w:sz="6" w:space="0" w:color="000000"/>
                  </w:tcBorders>
                  <w:vAlign w:val="center"/>
                </w:tcPr>
                <w:p w14:paraId="5692069D"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3B1495C5"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1FC26D27"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0E228B2"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7F3FD8A0" w14:textId="77777777" w:rsidR="00F76A63" w:rsidRDefault="00F76A63">
                  <w:pPr>
                    <w:widowControl/>
                    <w:jc w:val="center"/>
                    <w:rPr>
                      <w:kern w:val="0"/>
                      <w:szCs w:val="21"/>
                    </w:rPr>
                  </w:pPr>
                </w:p>
              </w:tc>
            </w:tr>
            <w:tr w:rsidR="00F76A63" w14:paraId="7DFB3042"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2950D163" w14:textId="77777777" w:rsidR="00F76A63" w:rsidRDefault="00000000">
                  <w:pPr>
                    <w:widowControl/>
                    <w:jc w:val="center"/>
                    <w:rPr>
                      <w:kern w:val="0"/>
                      <w:szCs w:val="21"/>
                    </w:rPr>
                  </w:pPr>
                  <w:r>
                    <w:rPr>
                      <w:kern w:val="0"/>
                      <w:szCs w:val="21"/>
                    </w:rPr>
                    <w:t>12</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1C7D964A"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18FB47C3" w14:textId="77777777" w:rsidR="00F76A63" w:rsidRDefault="00000000">
                  <w:pPr>
                    <w:widowControl/>
                    <w:jc w:val="center"/>
                    <w:rPr>
                      <w:kern w:val="0"/>
                      <w:szCs w:val="21"/>
                    </w:rPr>
                  </w:pPr>
                  <w:r>
                    <w:rPr>
                      <w:kern w:val="0"/>
                      <w:szCs w:val="21"/>
                    </w:rPr>
                    <w:t>铍及其化合物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7AFCC420" w14:textId="77777777" w:rsidR="00F76A63" w:rsidRDefault="00000000">
                  <w:pPr>
                    <w:pStyle w:val="000"/>
                  </w:pPr>
                  <w:r>
                    <w:t>8.28E-05</w:t>
                  </w:r>
                </w:p>
              </w:tc>
              <w:tc>
                <w:tcPr>
                  <w:tcW w:w="651" w:type="dxa"/>
                  <w:tcBorders>
                    <w:top w:val="single" w:sz="6" w:space="0" w:color="000000"/>
                    <w:left w:val="single" w:sz="6" w:space="0" w:color="000000"/>
                    <w:bottom w:val="single" w:sz="6" w:space="0" w:color="000000"/>
                    <w:right w:val="single" w:sz="6" w:space="0" w:color="000000"/>
                  </w:tcBorders>
                  <w:vAlign w:val="center"/>
                </w:tcPr>
                <w:p w14:paraId="4DFCF9FB" w14:textId="77777777" w:rsidR="00F76A63" w:rsidRDefault="00000000">
                  <w:pPr>
                    <w:pStyle w:val="000"/>
                  </w:pPr>
                  <w:r>
                    <w:t>6.72E-05</w:t>
                  </w:r>
                </w:p>
              </w:tc>
              <w:tc>
                <w:tcPr>
                  <w:tcW w:w="593" w:type="dxa"/>
                  <w:tcBorders>
                    <w:top w:val="single" w:sz="6" w:space="0" w:color="000000"/>
                    <w:left w:val="single" w:sz="6" w:space="0" w:color="000000"/>
                    <w:bottom w:val="single" w:sz="6" w:space="0" w:color="000000"/>
                    <w:right w:val="single" w:sz="6" w:space="0" w:color="000000"/>
                  </w:tcBorders>
                  <w:vAlign w:val="center"/>
                </w:tcPr>
                <w:p w14:paraId="7D0F03D9" w14:textId="77777777" w:rsidR="00F76A63" w:rsidRDefault="00000000">
                  <w:pPr>
                    <w:pStyle w:val="00-YO0"/>
                    <w:rPr>
                      <w:b w:val="0"/>
                      <w:bCs w:val="0"/>
                    </w:rPr>
                  </w:pPr>
                  <w:r>
                    <w:rPr>
                      <w:b w:val="0"/>
                      <w:bCs w:val="0"/>
                    </w:rPr>
                    <w:t>0.0005</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44138ABA"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3CBDD4D1"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599A2832" w14:textId="77777777" w:rsidR="00F76A63" w:rsidRDefault="00000000">
                  <w:pPr>
                    <w:pStyle w:val="000"/>
                  </w:pPr>
                  <w:r>
                    <w:t>3.31E-05</w:t>
                  </w:r>
                </w:p>
              </w:tc>
              <w:tc>
                <w:tcPr>
                  <w:tcW w:w="685" w:type="dxa"/>
                  <w:tcBorders>
                    <w:top w:val="single" w:sz="6" w:space="0" w:color="000000"/>
                    <w:left w:val="single" w:sz="6" w:space="0" w:color="000000"/>
                    <w:bottom w:val="single" w:sz="6" w:space="0" w:color="000000"/>
                    <w:right w:val="single" w:sz="6" w:space="0" w:color="000000"/>
                  </w:tcBorders>
                  <w:vAlign w:val="center"/>
                </w:tcPr>
                <w:p w14:paraId="0A04F0F1" w14:textId="77777777" w:rsidR="00F76A63" w:rsidRDefault="00000000">
                  <w:pPr>
                    <w:pStyle w:val="000"/>
                  </w:pPr>
                  <w:r>
                    <w:t>2.69E-05</w:t>
                  </w:r>
                </w:p>
              </w:tc>
              <w:tc>
                <w:tcPr>
                  <w:tcW w:w="593" w:type="dxa"/>
                  <w:tcBorders>
                    <w:top w:val="single" w:sz="6" w:space="0" w:color="000000"/>
                    <w:left w:val="single" w:sz="6" w:space="0" w:color="000000"/>
                    <w:bottom w:val="single" w:sz="6" w:space="0" w:color="000000"/>
                    <w:right w:val="single" w:sz="6" w:space="0" w:color="000000"/>
                  </w:tcBorders>
                  <w:vAlign w:val="center"/>
                </w:tcPr>
                <w:p w14:paraId="7A9BFACE" w14:textId="77777777" w:rsidR="00F76A63" w:rsidRDefault="00000000">
                  <w:pPr>
                    <w:pStyle w:val="000"/>
                  </w:pPr>
                  <w:r>
                    <w:t>0.0002</w:t>
                  </w:r>
                </w:p>
              </w:tc>
              <w:tc>
                <w:tcPr>
                  <w:tcW w:w="604" w:type="dxa"/>
                  <w:tcBorders>
                    <w:top w:val="single" w:sz="6" w:space="0" w:color="000000"/>
                    <w:left w:val="single" w:sz="6" w:space="0" w:color="000000"/>
                    <w:bottom w:val="single" w:sz="6" w:space="0" w:color="000000"/>
                    <w:right w:val="single" w:sz="6" w:space="0" w:color="000000"/>
                  </w:tcBorders>
                  <w:vAlign w:val="center"/>
                </w:tcPr>
                <w:p w14:paraId="4CF1A5F3"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6D783184"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371097C7"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29B8CD4"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74766B31" w14:textId="77777777" w:rsidR="00F76A63" w:rsidRDefault="00F76A63">
                  <w:pPr>
                    <w:widowControl/>
                    <w:jc w:val="center"/>
                    <w:rPr>
                      <w:kern w:val="0"/>
                      <w:szCs w:val="21"/>
                    </w:rPr>
                  </w:pPr>
                </w:p>
              </w:tc>
            </w:tr>
            <w:tr w:rsidR="00F76A63" w14:paraId="330B629A"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28773EC0" w14:textId="77777777" w:rsidR="00F76A63" w:rsidRDefault="00000000">
                  <w:pPr>
                    <w:widowControl/>
                    <w:jc w:val="center"/>
                    <w:rPr>
                      <w:kern w:val="0"/>
                      <w:szCs w:val="21"/>
                    </w:rPr>
                  </w:pPr>
                  <w:r>
                    <w:rPr>
                      <w:kern w:val="0"/>
                      <w:szCs w:val="21"/>
                    </w:rPr>
                    <w:t>13</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01AF1F73"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36562E22" w14:textId="77777777" w:rsidR="00F76A63" w:rsidRDefault="00000000">
                  <w:pPr>
                    <w:widowControl/>
                    <w:jc w:val="center"/>
                    <w:rPr>
                      <w:kern w:val="0"/>
                      <w:szCs w:val="21"/>
                    </w:rPr>
                  </w:pPr>
                  <w:r>
                    <w:rPr>
                      <w:kern w:val="0"/>
                      <w:szCs w:val="21"/>
                    </w:rPr>
                    <w:t>铬及其化合物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2334A067" w14:textId="77777777" w:rsidR="00F76A63" w:rsidRDefault="00000000">
                  <w:pPr>
                    <w:pStyle w:val="000"/>
                  </w:pPr>
                  <w:r>
                    <w:t>2.44E-03</w:t>
                  </w:r>
                </w:p>
              </w:tc>
              <w:tc>
                <w:tcPr>
                  <w:tcW w:w="651" w:type="dxa"/>
                  <w:tcBorders>
                    <w:top w:val="single" w:sz="6" w:space="0" w:color="000000"/>
                    <w:left w:val="single" w:sz="6" w:space="0" w:color="000000"/>
                    <w:bottom w:val="single" w:sz="6" w:space="0" w:color="000000"/>
                    <w:right w:val="single" w:sz="6" w:space="0" w:color="000000"/>
                  </w:tcBorders>
                  <w:vAlign w:val="center"/>
                </w:tcPr>
                <w:p w14:paraId="34FA55ED" w14:textId="77777777" w:rsidR="00F76A63" w:rsidRDefault="00000000">
                  <w:pPr>
                    <w:pStyle w:val="000"/>
                  </w:pPr>
                  <w:r>
                    <w:t>1.98E-03</w:t>
                  </w:r>
                </w:p>
              </w:tc>
              <w:tc>
                <w:tcPr>
                  <w:tcW w:w="593" w:type="dxa"/>
                  <w:tcBorders>
                    <w:top w:val="single" w:sz="6" w:space="0" w:color="000000"/>
                    <w:left w:val="single" w:sz="6" w:space="0" w:color="000000"/>
                    <w:bottom w:val="single" w:sz="6" w:space="0" w:color="000000"/>
                    <w:right w:val="single" w:sz="6" w:space="0" w:color="000000"/>
                  </w:tcBorders>
                  <w:vAlign w:val="center"/>
                </w:tcPr>
                <w:p w14:paraId="02BF3C05" w14:textId="77777777" w:rsidR="00F76A63" w:rsidRDefault="00000000">
                  <w:pPr>
                    <w:pStyle w:val="00-YO0"/>
                    <w:rPr>
                      <w:b w:val="0"/>
                      <w:bCs w:val="0"/>
                    </w:rPr>
                  </w:pPr>
                  <w:r>
                    <w:rPr>
                      <w:b w:val="0"/>
                      <w:bCs w:val="0"/>
                    </w:rPr>
                    <w:t>0.0147</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7D6E33E6"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07CA0595"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6C44D575" w14:textId="77777777" w:rsidR="00F76A63" w:rsidRDefault="00000000">
                  <w:pPr>
                    <w:pStyle w:val="000"/>
                  </w:pPr>
                  <w:r>
                    <w:t>9.78E-04</w:t>
                  </w:r>
                </w:p>
              </w:tc>
              <w:tc>
                <w:tcPr>
                  <w:tcW w:w="685" w:type="dxa"/>
                  <w:tcBorders>
                    <w:top w:val="single" w:sz="6" w:space="0" w:color="000000"/>
                    <w:left w:val="single" w:sz="6" w:space="0" w:color="000000"/>
                    <w:bottom w:val="single" w:sz="6" w:space="0" w:color="000000"/>
                    <w:right w:val="single" w:sz="6" w:space="0" w:color="000000"/>
                  </w:tcBorders>
                  <w:vAlign w:val="center"/>
                </w:tcPr>
                <w:p w14:paraId="27BDC96A" w14:textId="77777777" w:rsidR="00F76A63" w:rsidRDefault="00000000">
                  <w:pPr>
                    <w:pStyle w:val="000"/>
                  </w:pPr>
                  <w:r>
                    <w:t>7.93E-04</w:t>
                  </w:r>
                </w:p>
              </w:tc>
              <w:tc>
                <w:tcPr>
                  <w:tcW w:w="593" w:type="dxa"/>
                  <w:tcBorders>
                    <w:top w:val="single" w:sz="6" w:space="0" w:color="000000"/>
                    <w:left w:val="single" w:sz="6" w:space="0" w:color="000000"/>
                    <w:bottom w:val="single" w:sz="6" w:space="0" w:color="000000"/>
                    <w:right w:val="single" w:sz="6" w:space="0" w:color="000000"/>
                  </w:tcBorders>
                  <w:vAlign w:val="center"/>
                </w:tcPr>
                <w:p w14:paraId="36E4AE2B" w14:textId="77777777" w:rsidR="00F76A63" w:rsidRDefault="00000000">
                  <w:pPr>
                    <w:pStyle w:val="000"/>
                  </w:pPr>
                  <w:r>
                    <w:t>0.0059</w:t>
                  </w:r>
                </w:p>
              </w:tc>
              <w:tc>
                <w:tcPr>
                  <w:tcW w:w="604" w:type="dxa"/>
                  <w:tcBorders>
                    <w:top w:val="single" w:sz="6" w:space="0" w:color="000000"/>
                    <w:left w:val="single" w:sz="6" w:space="0" w:color="000000"/>
                    <w:bottom w:val="single" w:sz="6" w:space="0" w:color="000000"/>
                    <w:right w:val="single" w:sz="6" w:space="0" w:color="000000"/>
                  </w:tcBorders>
                  <w:vAlign w:val="center"/>
                </w:tcPr>
                <w:p w14:paraId="7DFA661C"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0A2C2CBF"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5BBD5681"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9AC78C5"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38A1D23E" w14:textId="77777777" w:rsidR="00F76A63" w:rsidRDefault="00F76A63">
                  <w:pPr>
                    <w:widowControl/>
                    <w:jc w:val="center"/>
                    <w:rPr>
                      <w:kern w:val="0"/>
                      <w:szCs w:val="21"/>
                    </w:rPr>
                  </w:pPr>
                </w:p>
              </w:tc>
            </w:tr>
            <w:tr w:rsidR="00F76A63" w14:paraId="1E4192AB"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56D26BC3" w14:textId="77777777" w:rsidR="00F76A63" w:rsidRDefault="00000000">
                  <w:pPr>
                    <w:widowControl/>
                    <w:jc w:val="center"/>
                    <w:rPr>
                      <w:kern w:val="0"/>
                      <w:szCs w:val="21"/>
                    </w:rPr>
                  </w:pPr>
                  <w:r>
                    <w:rPr>
                      <w:kern w:val="0"/>
                      <w:szCs w:val="21"/>
                    </w:rPr>
                    <w:lastRenderedPageBreak/>
                    <w:t>14</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617CEC0F"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1078DB96" w14:textId="77777777" w:rsidR="00F76A63" w:rsidRDefault="00000000">
                  <w:pPr>
                    <w:widowControl/>
                    <w:jc w:val="center"/>
                    <w:rPr>
                      <w:kern w:val="0"/>
                      <w:szCs w:val="21"/>
                    </w:rPr>
                  </w:pPr>
                  <w:r>
                    <w:rPr>
                      <w:kern w:val="0"/>
                      <w:szCs w:val="21"/>
                    </w:rPr>
                    <w:t>锡及其化合物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078CBEB2" w14:textId="77777777" w:rsidR="00F76A63" w:rsidRDefault="00000000">
                  <w:pPr>
                    <w:pStyle w:val="000"/>
                  </w:pPr>
                  <w:r>
                    <w:t>4.24E-03</w:t>
                  </w:r>
                </w:p>
              </w:tc>
              <w:tc>
                <w:tcPr>
                  <w:tcW w:w="651" w:type="dxa"/>
                  <w:tcBorders>
                    <w:top w:val="single" w:sz="6" w:space="0" w:color="000000"/>
                    <w:left w:val="single" w:sz="6" w:space="0" w:color="000000"/>
                    <w:bottom w:val="single" w:sz="6" w:space="0" w:color="000000"/>
                    <w:right w:val="single" w:sz="6" w:space="0" w:color="000000"/>
                  </w:tcBorders>
                  <w:vAlign w:val="center"/>
                </w:tcPr>
                <w:p w14:paraId="3D7C64CB" w14:textId="77777777" w:rsidR="00F76A63" w:rsidRDefault="00000000">
                  <w:pPr>
                    <w:pStyle w:val="000"/>
                  </w:pPr>
                  <w:r>
                    <w:t>3.44E-03</w:t>
                  </w:r>
                </w:p>
              </w:tc>
              <w:tc>
                <w:tcPr>
                  <w:tcW w:w="593" w:type="dxa"/>
                  <w:tcBorders>
                    <w:top w:val="single" w:sz="6" w:space="0" w:color="000000"/>
                    <w:left w:val="single" w:sz="6" w:space="0" w:color="000000"/>
                    <w:bottom w:val="single" w:sz="6" w:space="0" w:color="000000"/>
                    <w:right w:val="single" w:sz="6" w:space="0" w:color="000000"/>
                  </w:tcBorders>
                  <w:vAlign w:val="center"/>
                </w:tcPr>
                <w:p w14:paraId="68338713" w14:textId="77777777" w:rsidR="00F76A63" w:rsidRDefault="00000000">
                  <w:pPr>
                    <w:pStyle w:val="00-YO0"/>
                    <w:rPr>
                      <w:b w:val="0"/>
                      <w:bCs w:val="0"/>
                    </w:rPr>
                  </w:pPr>
                  <w:r>
                    <w:rPr>
                      <w:b w:val="0"/>
                      <w:bCs w:val="0"/>
                    </w:rPr>
                    <w:t>0.0256</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1BD1E11C"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5DB5B6A7"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1F2D0973" w14:textId="77777777" w:rsidR="00F76A63" w:rsidRDefault="00000000">
                  <w:pPr>
                    <w:pStyle w:val="000"/>
                  </w:pPr>
                  <w:r>
                    <w:t>1.71E-03</w:t>
                  </w:r>
                </w:p>
              </w:tc>
              <w:tc>
                <w:tcPr>
                  <w:tcW w:w="685" w:type="dxa"/>
                  <w:tcBorders>
                    <w:top w:val="single" w:sz="6" w:space="0" w:color="000000"/>
                    <w:left w:val="single" w:sz="6" w:space="0" w:color="000000"/>
                    <w:bottom w:val="single" w:sz="6" w:space="0" w:color="000000"/>
                    <w:right w:val="single" w:sz="6" w:space="0" w:color="000000"/>
                  </w:tcBorders>
                  <w:vAlign w:val="center"/>
                </w:tcPr>
                <w:p w14:paraId="1DD04005" w14:textId="77777777" w:rsidR="00F76A63" w:rsidRDefault="00000000">
                  <w:pPr>
                    <w:pStyle w:val="000"/>
                  </w:pPr>
                  <w:r>
                    <w:t>1.38E-03</w:t>
                  </w:r>
                </w:p>
              </w:tc>
              <w:tc>
                <w:tcPr>
                  <w:tcW w:w="593" w:type="dxa"/>
                  <w:tcBorders>
                    <w:top w:val="single" w:sz="6" w:space="0" w:color="000000"/>
                    <w:left w:val="single" w:sz="6" w:space="0" w:color="000000"/>
                    <w:bottom w:val="single" w:sz="6" w:space="0" w:color="000000"/>
                    <w:right w:val="single" w:sz="6" w:space="0" w:color="000000"/>
                  </w:tcBorders>
                  <w:vAlign w:val="center"/>
                </w:tcPr>
                <w:p w14:paraId="5934BEFB" w14:textId="77777777" w:rsidR="00F76A63" w:rsidRDefault="00000000">
                  <w:pPr>
                    <w:pStyle w:val="000"/>
                  </w:pPr>
                  <w:r>
                    <w:t>0.0103</w:t>
                  </w:r>
                </w:p>
              </w:tc>
              <w:tc>
                <w:tcPr>
                  <w:tcW w:w="604" w:type="dxa"/>
                  <w:tcBorders>
                    <w:top w:val="single" w:sz="6" w:space="0" w:color="000000"/>
                    <w:left w:val="single" w:sz="6" w:space="0" w:color="000000"/>
                    <w:bottom w:val="single" w:sz="6" w:space="0" w:color="000000"/>
                    <w:right w:val="single" w:sz="6" w:space="0" w:color="000000"/>
                  </w:tcBorders>
                  <w:vAlign w:val="center"/>
                </w:tcPr>
                <w:p w14:paraId="578F81BE"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377138B4"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0D9933B3"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4961197E"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2D1BCAD8" w14:textId="77777777" w:rsidR="00F76A63" w:rsidRDefault="00F76A63">
                  <w:pPr>
                    <w:widowControl/>
                    <w:jc w:val="center"/>
                    <w:rPr>
                      <w:kern w:val="0"/>
                      <w:szCs w:val="21"/>
                    </w:rPr>
                  </w:pPr>
                </w:p>
              </w:tc>
            </w:tr>
            <w:tr w:rsidR="00F76A63" w14:paraId="37D25779"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54A46790" w14:textId="77777777" w:rsidR="00F76A63" w:rsidRDefault="00000000">
                  <w:pPr>
                    <w:widowControl/>
                    <w:jc w:val="center"/>
                    <w:rPr>
                      <w:kern w:val="0"/>
                      <w:szCs w:val="21"/>
                    </w:rPr>
                  </w:pPr>
                  <w:r>
                    <w:rPr>
                      <w:kern w:val="0"/>
                      <w:szCs w:val="21"/>
                    </w:rPr>
                    <w:t>15</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4225D70E"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40B80276" w14:textId="77777777" w:rsidR="00F76A63" w:rsidRDefault="00000000">
                  <w:pPr>
                    <w:widowControl/>
                    <w:jc w:val="center"/>
                    <w:rPr>
                      <w:kern w:val="0"/>
                      <w:szCs w:val="21"/>
                    </w:rPr>
                  </w:pPr>
                  <w:r>
                    <w:rPr>
                      <w:kern w:val="0"/>
                      <w:szCs w:val="21"/>
                    </w:rPr>
                    <w:t>锑及其化合物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6E43428E" w14:textId="77777777" w:rsidR="00F76A63" w:rsidRDefault="00000000">
                  <w:pPr>
                    <w:pStyle w:val="000"/>
                  </w:pPr>
                  <w:r>
                    <w:t>9.07E-02</w:t>
                  </w:r>
                </w:p>
              </w:tc>
              <w:tc>
                <w:tcPr>
                  <w:tcW w:w="651" w:type="dxa"/>
                  <w:tcBorders>
                    <w:top w:val="single" w:sz="6" w:space="0" w:color="000000"/>
                    <w:left w:val="single" w:sz="6" w:space="0" w:color="000000"/>
                    <w:bottom w:val="single" w:sz="6" w:space="0" w:color="000000"/>
                    <w:right w:val="single" w:sz="6" w:space="0" w:color="000000"/>
                  </w:tcBorders>
                  <w:vAlign w:val="center"/>
                </w:tcPr>
                <w:p w14:paraId="255D2BB0" w14:textId="77777777" w:rsidR="00F76A63" w:rsidRDefault="00000000">
                  <w:pPr>
                    <w:pStyle w:val="000"/>
                  </w:pPr>
                  <w:r>
                    <w:t>7.36E-02</w:t>
                  </w:r>
                </w:p>
              </w:tc>
              <w:tc>
                <w:tcPr>
                  <w:tcW w:w="593" w:type="dxa"/>
                  <w:tcBorders>
                    <w:top w:val="single" w:sz="6" w:space="0" w:color="000000"/>
                    <w:left w:val="single" w:sz="6" w:space="0" w:color="000000"/>
                    <w:bottom w:val="single" w:sz="6" w:space="0" w:color="000000"/>
                    <w:right w:val="single" w:sz="6" w:space="0" w:color="000000"/>
                  </w:tcBorders>
                  <w:vAlign w:val="center"/>
                </w:tcPr>
                <w:p w14:paraId="0261BA36" w14:textId="77777777" w:rsidR="00F76A63" w:rsidRDefault="00000000">
                  <w:pPr>
                    <w:pStyle w:val="00-YO0"/>
                    <w:rPr>
                      <w:b w:val="0"/>
                      <w:bCs w:val="0"/>
                    </w:rPr>
                  </w:pPr>
                  <w:r>
                    <w:rPr>
                      <w:b w:val="0"/>
                      <w:bCs w:val="0"/>
                    </w:rPr>
                    <w:t>0.5474</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7A3150BA"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50F2E8BB"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11D733C4" w14:textId="77777777" w:rsidR="00F76A63" w:rsidRDefault="00000000">
                  <w:pPr>
                    <w:pStyle w:val="000"/>
                  </w:pPr>
                  <w:r>
                    <w:t>3.63E-02</w:t>
                  </w:r>
                </w:p>
              </w:tc>
              <w:tc>
                <w:tcPr>
                  <w:tcW w:w="685" w:type="dxa"/>
                  <w:tcBorders>
                    <w:top w:val="single" w:sz="6" w:space="0" w:color="000000"/>
                    <w:left w:val="single" w:sz="6" w:space="0" w:color="000000"/>
                    <w:bottom w:val="single" w:sz="6" w:space="0" w:color="000000"/>
                    <w:right w:val="single" w:sz="6" w:space="0" w:color="000000"/>
                  </w:tcBorders>
                  <w:vAlign w:val="center"/>
                </w:tcPr>
                <w:p w14:paraId="07E993EA" w14:textId="77777777" w:rsidR="00F76A63" w:rsidRDefault="00000000">
                  <w:pPr>
                    <w:pStyle w:val="000"/>
                  </w:pPr>
                  <w:r>
                    <w:t>2.94E-02</w:t>
                  </w:r>
                </w:p>
              </w:tc>
              <w:tc>
                <w:tcPr>
                  <w:tcW w:w="593" w:type="dxa"/>
                  <w:tcBorders>
                    <w:top w:val="single" w:sz="6" w:space="0" w:color="000000"/>
                    <w:left w:val="single" w:sz="6" w:space="0" w:color="000000"/>
                    <w:bottom w:val="single" w:sz="6" w:space="0" w:color="000000"/>
                    <w:right w:val="single" w:sz="6" w:space="0" w:color="000000"/>
                  </w:tcBorders>
                  <w:vAlign w:val="center"/>
                </w:tcPr>
                <w:p w14:paraId="26DC23D8" w14:textId="77777777" w:rsidR="00F76A63" w:rsidRDefault="00000000">
                  <w:pPr>
                    <w:pStyle w:val="000"/>
                  </w:pPr>
                  <w:r>
                    <w:t>0.2190</w:t>
                  </w:r>
                </w:p>
              </w:tc>
              <w:tc>
                <w:tcPr>
                  <w:tcW w:w="604" w:type="dxa"/>
                  <w:tcBorders>
                    <w:top w:val="single" w:sz="6" w:space="0" w:color="000000"/>
                    <w:left w:val="single" w:sz="6" w:space="0" w:color="000000"/>
                    <w:bottom w:val="single" w:sz="6" w:space="0" w:color="000000"/>
                    <w:right w:val="single" w:sz="6" w:space="0" w:color="000000"/>
                  </w:tcBorders>
                  <w:vAlign w:val="center"/>
                </w:tcPr>
                <w:p w14:paraId="6657D2E8"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52430C63"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713F0056"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8FCE34C"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38A89E6C" w14:textId="77777777" w:rsidR="00F76A63" w:rsidRDefault="00F76A63">
                  <w:pPr>
                    <w:widowControl/>
                    <w:jc w:val="center"/>
                    <w:rPr>
                      <w:kern w:val="0"/>
                      <w:szCs w:val="21"/>
                    </w:rPr>
                  </w:pPr>
                </w:p>
              </w:tc>
            </w:tr>
            <w:tr w:rsidR="00F76A63" w14:paraId="4AF6DF5C"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1B728650" w14:textId="77777777" w:rsidR="00F76A63" w:rsidRDefault="00000000">
                  <w:pPr>
                    <w:widowControl/>
                    <w:jc w:val="center"/>
                    <w:rPr>
                      <w:kern w:val="0"/>
                      <w:szCs w:val="21"/>
                    </w:rPr>
                  </w:pPr>
                  <w:r>
                    <w:rPr>
                      <w:kern w:val="0"/>
                      <w:szCs w:val="21"/>
                    </w:rPr>
                    <w:t>16</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13977E3C"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35D28F1A" w14:textId="77777777" w:rsidR="00F76A63" w:rsidRDefault="00000000">
                  <w:pPr>
                    <w:widowControl/>
                    <w:jc w:val="center"/>
                    <w:rPr>
                      <w:kern w:val="0"/>
                      <w:szCs w:val="21"/>
                    </w:rPr>
                  </w:pPr>
                  <w:r>
                    <w:rPr>
                      <w:kern w:val="0"/>
                      <w:szCs w:val="21"/>
                    </w:rPr>
                    <w:t>铜及其化合物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69C8A0F9" w14:textId="77777777" w:rsidR="00F76A63" w:rsidRDefault="00000000">
                  <w:pPr>
                    <w:pStyle w:val="000"/>
                  </w:pPr>
                  <w:r>
                    <w:t>3.05E-03</w:t>
                  </w:r>
                </w:p>
              </w:tc>
              <w:tc>
                <w:tcPr>
                  <w:tcW w:w="651" w:type="dxa"/>
                  <w:tcBorders>
                    <w:top w:val="single" w:sz="6" w:space="0" w:color="000000"/>
                    <w:left w:val="single" w:sz="6" w:space="0" w:color="000000"/>
                    <w:bottom w:val="single" w:sz="6" w:space="0" w:color="000000"/>
                    <w:right w:val="single" w:sz="6" w:space="0" w:color="000000"/>
                  </w:tcBorders>
                  <w:vAlign w:val="center"/>
                </w:tcPr>
                <w:p w14:paraId="50D46A11" w14:textId="77777777" w:rsidR="00F76A63" w:rsidRDefault="00000000">
                  <w:pPr>
                    <w:pStyle w:val="000"/>
                  </w:pPr>
                  <w:r>
                    <w:t>2.47E-03</w:t>
                  </w:r>
                </w:p>
              </w:tc>
              <w:tc>
                <w:tcPr>
                  <w:tcW w:w="593" w:type="dxa"/>
                  <w:tcBorders>
                    <w:top w:val="single" w:sz="6" w:space="0" w:color="000000"/>
                    <w:left w:val="single" w:sz="6" w:space="0" w:color="000000"/>
                    <w:bottom w:val="single" w:sz="6" w:space="0" w:color="000000"/>
                    <w:right w:val="single" w:sz="6" w:space="0" w:color="000000"/>
                  </w:tcBorders>
                  <w:vAlign w:val="center"/>
                </w:tcPr>
                <w:p w14:paraId="7FF5E072" w14:textId="77777777" w:rsidR="00F76A63" w:rsidRDefault="00000000">
                  <w:pPr>
                    <w:pStyle w:val="00-YO0"/>
                    <w:rPr>
                      <w:b w:val="0"/>
                      <w:bCs w:val="0"/>
                    </w:rPr>
                  </w:pPr>
                  <w:r>
                    <w:rPr>
                      <w:b w:val="0"/>
                      <w:bCs w:val="0"/>
                    </w:rPr>
                    <w:t>0.0184</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16B06031"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0766E523"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11711F13" w14:textId="77777777" w:rsidR="00F76A63" w:rsidRDefault="00000000">
                  <w:pPr>
                    <w:pStyle w:val="000"/>
                  </w:pPr>
                  <w:r>
                    <w:t>1.23E-03</w:t>
                  </w:r>
                </w:p>
              </w:tc>
              <w:tc>
                <w:tcPr>
                  <w:tcW w:w="685" w:type="dxa"/>
                  <w:tcBorders>
                    <w:top w:val="single" w:sz="6" w:space="0" w:color="000000"/>
                    <w:left w:val="single" w:sz="6" w:space="0" w:color="000000"/>
                    <w:bottom w:val="single" w:sz="6" w:space="0" w:color="000000"/>
                    <w:right w:val="single" w:sz="6" w:space="0" w:color="000000"/>
                  </w:tcBorders>
                  <w:vAlign w:val="center"/>
                </w:tcPr>
                <w:p w14:paraId="3BC1C796" w14:textId="77777777" w:rsidR="00F76A63" w:rsidRDefault="00000000">
                  <w:pPr>
                    <w:pStyle w:val="000"/>
                  </w:pPr>
                  <w:r>
                    <w:t>9.95E-04</w:t>
                  </w:r>
                </w:p>
              </w:tc>
              <w:tc>
                <w:tcPr>
                  <w:tcW w:w="593" w:type="dxa"/>
                  <w:tcBorders>
                    <w:top w:val="single" w:sz="6" w:space="0" w:color="000000"/>
                    <w:left w:val="single" w:sz="6" w:space="0" w:color="000000"/>
                    <w:bottom w:val="single" w:sz="6" w:space="0" w:color="000000"/>
                    <w:right w:val="single" w:sz="6" w:space="0" w:color="000000"/>
                  </w:tcBorders>
                  <w:vAlign w:val="center"/>
                </w:tcPr>
                <w:p w14:paraId="14129B5D" w14:textId="77777777" w:rsidR="00F76A63" w:rsidRDefault="00000000">
                  <w:pPr>
                    <w:pStyle w:val="000"/>
                  </w:pPr>
                  <w:r>
                    <w:t>0.0074</w:t>
                  </w:r>
                </w:p>
              </w:tc>
              <w:tc>
                <w:tcPr>
                  <w:tcW w:w="604" w:type="dxa"/>
                  <w:tcBorders>
                    <w:top w:val="single" w:sz="6" w:space="0" w:color="000000"/>
                    <w:left w:val="single" w:sz="6" w:space="0" w:color="000000"/>
                    <w:bottom w:val="single" w:sz="6" w:space="0" w:color="000000"/>
                    <w:right w:val="single" w:sz="6" w:space="0" w:color="000000"/>
                  </w:tcBorders>
                  <w:vAlign w:val="center"/>
                </w:tcPr>
                <w:p w14:paraId="28DEF868"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0CEC7B69"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67472583"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2F76FF89"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033608A9" w14:textId="77777777" w:rsidR="00F76A63" w:rsidRDefault="00F76A63">
                  <w:pPr>
                    <w:widowControl/>
                    <w:jc w:val="center"/>
                    <w:rPr>
                      <w:kern w:val="0"/>
                      <w:szCs w:val="21"/>
                    </w:rPr>
                  </w:pPr>
                </w:p>
              </w:tc>
            </w:tr>
            <w:tr w:rsidR="00F76A63" w14:paraId="71D718AF"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7BE3AD74" w14:textId="77777777" w:rsidR="00F76A63" w:rsidRDefault="00000000">
                  <w:pPr>
                    <w:widowControl/>
                    <w:jc w:val="center"/>
                    <w:rPr>
                      <w:kern w:val="0"/>
                      <w:szCs w:val="21"/>
                    </w:rPr>
                  </w:pPr>
                  <w:r>
                    <w:rPr>
                      <w:kern w:val="0"/>
                      <w:szCs w:val="21"/>
                    </w:rPr>
                    <w:t>17</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68823499"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6628BC5A" w14:textId="77777777" w:rsidR="00F76A63" w:rsidRDefault="00000000">
                  <w:pPr>
                    <w:widowControl/>
                    <w:jc w:val="center"/>
                    <w:rPr>
                      <w:kern w:val="0"/>
                      <w:szCs w:val="21"/>
                    </w:rPr>
                  </w:pPr>
                  <w:r>
                    <w:rPr>
                      <w:kern w:val="0"/>
                      <w:szCs w:val="21"/>
                    </w:rPr>
                    <w:t>锰及其化合物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43CEC2AE" w14:textId="77777777" w:rsidR="00F76A63" w:rsidRDefault="00000000">
                  <w:pPr>
                    <w:pStyle w:val="000"/>
                  </w:pPr>
                  <w:r>
                    <w:t>1.21E-02</w:t>
                  </w:r>
                </w:p>
              </w:tc>
              <w:tc>
                <w:tcPr>
                  <w:tcW w:w="651" w:type="dxa"/>
                  <w:tcBorders>
                    <w:top w:val="single" w:sz="6" w:space="0" w:color="000000"/>
                    <w:left w:val="single" w:sz="6" w:space="0" w:color="000000"/>
                    <w:bottom w:val="single" w:sz="6" w:space="0" w:color="000000"/>
                    <w:right w:val="single" w:sz="6" w:space="0" w:color="000000"/>
                  </w:tcBorders>
                  <w:vAlign w:val="center"/>
                </w:tcPr>
                <w:p w14:paraId="6E0F5BF5" w14:textId="77777777" w:rsidR="00F76A63" w:rsidRDefault="00000000">
                  <w:pPr>
                    <w:pStyle w:val="000"/>
                  </w:pPr>
                  <w:r>
                    <w:t>9.81E-03</w:t>
                  </w:r>
                </w:p>
              </w:tc>
              <w:tc>
                <w:tcPr>
                  <w:tcW w:w="593" w:type="dxa"/>
                  <w:tcBorders>
                    <w:top w:val="single" w:sz="6" w:space="0" w:color="000000"/>
                    <w:left w:val="single" w:sz="6" w:space="0" w:color="000000"/>
                    <w:bottom w:val="single" w:sz="6" w:space="0" w:color="000000"/>
                    <w:right w:val="single" w:sz="6" w:space="0" w:color="000000"/>
                  </w:tcBorders>
                  <w:vAlign w:val="center"/>
                </w:tcPr>
                <w:p w14:paraId="5E47C289" w14:textId="77777777" w:rsidR="00F76A63" w:rsidRDefault="00000000">
                  <w:pPr>
                    <w:pStyle w:val="00-YO0"/>
                    <w:rPr>
                      <w:b w:val="0"/>
                      <w:bCs w:val="0"/>
                    </w:rPr>
                  </w:pPr>
                  <w:r>
                    <w:rPr>
                      <w:b w:val="0"/>
                      <w:bCs w:val="0"/>
                    </w:rPr>
                    <w:t>0.0730</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01FED76B"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289AC896"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550DFC7C" w14:textId="77777777" w:rsidR="00F76A63" w:rsidRDefault="00000000">
                  <w:pPr>
                    <w:pStyle w:val="000"/>
                  </w:pPr>
                  <w:r>
                    <w:t>4.84E-03</w:t>
                  </w:r>
                </w:p>
              </w:tc>
              <w:tc>
                <w:tcPr>
                  <w:tcW w:w="685" w:type="dxa"/>
                  <w:tcBorders>
                    <w:top w:val="single" w:sz="6" w:space="0" w:color="000000"/>
                    <w:left w:val="single" w:sz="6" w:space="0" w:color="000000"/>
                    <w:bottom w:val="single" w:sz="6" w:space="0" w:color="000000"/>
                    <w:right w:val="single" w:sz="6" w:space="0" w:color="000000"/>
                  </w:tcBorders>
                  <w:vAlign w:val="center"/>
                </w:tcPr>
                <w:p w14:paraId="149BF14C" w14:textId="77777777" w:rsidR="00F76A63" w:rsidRDefault="00000000">
                  <w:pPr>
                    <w:pStyle w:val="000"/>
                  </w:pPr>
                  <w:r>
                    <w:t>3.92E-03</w:t>
                  </w:r>
                </w:p>
              </w:tc>
              <w:tc>
                <w:tcPr>
                  <w:tcW w:w="593" w:type="dxa"/>
                  <w:tcBorders>
                    <w:top w:val="single" w:sz="6" w:space="0" w:color="000000"/>
                    <w:left w:val="single" w:sz="6" w:space="0" w:color="000000"/>
                    <w:bottom w:val="single" w:sz="6" w:space="0" w:color="000000"/>
                    <w:right w:val="single" w:sz="6" w:space="0" w:color="000000"/>
                  </w:tcBorders>
                  <w:vAlign w:val="center"/>
                </w:tcPr>
                <w:p w14:paraId="3D84B8B1" w14:textId="77777777" w:rsidR="00F76A63" w:rsidRDefault="00000000">
                  <w:pPr>
                    <w:pStyle w:val="000"/>
                  </w:pPr>
                  <w:r>
                    <w:t>0.0292</w:t>
                  </w:r>
                </w:p>
              </w:tc>
              <w:tc>
                <w:tcPr>
                  <w:tcW w:w="604" w:type="dxa"/>
                  <w:tcBorders>
                    <w:top w:val="single" w:sz="6" w:space="0" w:color="000000"/>
                    <w:left w:val="single" w:sz="6" w:space="0" w:color="000000"/>
                    <w:bottom w:val="single" w:sz="6" w:space="0" w:color="000000"/>
                    <w:right w:val="single" w:sz="6" w:space="0" w:color="000000"/>
                  </w:tcBorders>
                  <w:vAlign w:val="center"/>
                </w:tcPr>
                <w:p w14:paraId="27AE2E1A"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602B6014"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7B11C7CA"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42A7921"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1C75E4CC" w14:textId="77777777" w:rsidR="00F76A63" w:rsidRDefault="00F76A63">
                  <w:pPr>
                    <w:widowControl/>
                    <w:jc w:val="center"/>
                    <w:rPr>
                      <w:kern w:val="0"/>
                      <w:szCs w:val="21"/>
                    </w:rPr>
                  </w:pPr>
                </w:p>
              </w:tc>
            </w:tr>
            <w:tr w:rsidR="00F76A63" w14:paraId="25872BF7"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63DAE2B7" w14:textId="77777777" w:rsidR="00F76A63" w:rsidRDefault="00000000">
                  <w:pPr>
                    <w:widowControl/>
                    <w:jc w:val="center"/>
                    <w:rPr>
                      <w:kern w:val="0"/>
                      <w:szCs w:val="21"/>
                    </w:rPr>
                  </w:pPr>
                  <w:r>
                    <w:rPr>
                      <w:kern w:val="0"/>
                      <w:szCs w:val="21"/>
                    </w:rPr>
                    <w:t>18</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5F386B1C"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1271E8D7" w14:textId="77777777" w:rsidR="00F76A63" w:rsidRDefault="00000000">
                  <w:pPr>
                    <w:widowControl/>
                    <w:jc w:val="center"/>
                    <w:rPr>
                      <w:kern w:val="0"/>
                      <w:szCs w:val="21"/>
                    </w:rPr>
                  </w:pPr>
                  <w:r>
                    <w:rPr>
                      <w:kern w:val="0"/>
                      <w:szCs w:val="21"/>
                    </w:rPr>
                    <w:t>镍及其化合物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36FE4783" w14:textId="77777777" w:rsidR="00F76A63" w:rsidRDefault="00000000">
                  <w:pPr>
                    <w:pStyle w:val="000"/>
                  </w:pPr>
                  <w:r>
                    <w:t>1.04E-02</w:t>
                  </w:r>
                </w:p>
              </w:tc>
              <w:tc>
                <w:tcPr>
                  <w:tcW w:w="651" w:type="dxa"/>
                  <w:tcBorders>
                    <w:top w:val="single" w:sz="6" w:space="0" w:color="000000"/>
                    <w:left w:val="single" w:sz="6" w:space="0" w:color="000000"/>
                    <w:bottom w:val="single" w:sz="6" w:space="0" w:color="000000"/>
                    <w:right w:val="single" w:sz="6" w:space="0" w:color="000000"/>
                  </w:tcBorders>
                  <w:vAlign w:val="center"/>
                </w:tcPr>
                <w:p w14:paraId="540A4A66" w14:textId="77777777" w:rsidR="00F76A63" w:rsidRDefault="00000000">
                  <w:pPr>
                    <w:pStyle w:val="000"/>
                  </w:pPr>
                  <w:r>
                    <w:t>8.41E-03</w:t>
                  </w:r>
                </w:p>
              </w:tc>
              <w:tc>
                <w:tcPr>
                  <w:tcW w:w="593" w:type="dxa"/>
                  <w:tcBorders>
                    <w:top w:val="single" w:sz="6" w:space="0" w:color="000000"/>
                    <w:left w:val="single" w:sz="6" w:space="0" w:color="000000"/>
                    <w:bottom w:val="single" w:sz="6" w:space="0" w:color="000000"/>
                    <w:right w:val="single" w:sz="6" w:space="0" w:color="000000"/>
                  </w:tcBorders>
                  <w:vAlign w:val="center"/>
                </w:tcPr>
                <w:p w14:paraId="29D514C8" w14:textId="77777777" w:rsidR="00F76A63" w:rsidRDefault="00000000">
                  <w:pPr>
                    <w:pStyle w:val="00-YO0"/>
                    <w:rPr>
                      <w:b w:val="0"/>
                      <w:bCs w:val="0"/>
                    </w:rPr>
                  </w:pPr>
                  <w:r>
                    <w:rPr>
                      <w:b w:val="0"/>
                      <w:bCs w:val="0"/>
                    </w:rPr>
                    <w:t>0.0626</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6E8AFB72"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64DD267E"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131AA723" w14:textId="77777777" w:rsidR="00F76A63" w:rsidRDefault="00000000">
                  <w:pPr>
                    <w:pStyle w:val="000"/>
                  </w:pPr>
                  <w:r>
                    <w:t>4.14E-03</w:t>
                  </w:r>
                </w:p>
              </w:tc>
              <w:tc>
                <w:tcPr>
                  <w:tcW w:w="685" w:type="dxa"/>
                  <w:tcBorders>
                    <w:top w:val="single" w:sz="6" w:space="0" w:color="000000"/>
                    <w:left w:val="single" w:sz="6" w:space="0" w:color="000000"/>
                    <w:bottom w:val="single" w:sz="6" w:space="0" w:color="000000"/>
                    <w:right w:val="single" w:sz="6" w:space="0" w:color="000000"/>
                  </w:tcBorders>
                  <w:vAlign w:val="center"/>
                </w:tcPr>
                <w:p w14:paraId="008AAAC2" w14:textId="77777777" w:rsidR="00F76A63" w:rsidRDefault="00000000">
                  <w:pPr>
                    <w:pStyle w:val="000"/>
                  </w:pPr>
                  <w:r>
                    <w:t>3.36E-03</w:t>
                  </w:r>
                </w:p>
              </w:tc>
              <w:tc>
                <w:tcPr>
                  <w:tcW w:w="593" w:type="dxa"/>
                  <w:tcBorders>
                    <w:top w:val="single" w:sz="6" w:space="0" w:color="000000"/>
                    <w:left w:val="single" w:sz="6" w:space="0" w:color="000000"/>
                    <w:bottom w:val="single" w:sz="6" w:space="0" w:color="000000"/>
                    <w:right w:val="single" w:sz="6" w:space="0" w:color="000000"/>
                  </w:tcBorders>
                  <w:vAlign w:val="center"/>
                </w:tcPr>
                <w:p w14:paraId="62C57B10" w14:textId="77777777" w:rsidR="00F76A63" w:rsidRDefault="00000000">
                  <w:pPr>
                    <w:pStyle w:val="000"/>
                  </w:pPr>
                  <w:r>
                    <w:t>0.0250</w:t>
                  </w:r>
                </w:p>
              </w:tc>
              <w:tc>
                <w:tcPr>
                  <w:tcW w:w="604" w:type="dxa"/>
                  <w:tcBorders>
                    <w:top w:val="single" w:sz="6" w:space="0" w:color="000000"/>
                    <w:left w:val="single" w:sz="6" w:space="0" w:color="000000"/>
                    <w:bottom w:val="single" w:sz="6" w:space="0" w:color="000000"/>
                    <w:right w:val="single" w:sz="6" w:space="0" w:color="000000"/>
                  </w:tcBorders>
                  <w:vAlign w:val="center"/>
                </w:tcPr>
                <w:p w14:paraId="4D0F038F"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540855B9"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5ECD6CB4"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9D00EB5"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0DD0FD04" w14:textId="77777777" w:rsidR="00F76A63" w:rsidRDefault="00F76A63">
                  <w:pPr>
                    <w:widowControl/>
                    <w:jc w:val="center"/>
                    <w:rPr>
                      <w:kern w:val="0"/>
                      <w:szCs w:val="21"/>
                    </w:rPr>
                  </w:pPr>
                </w:p>
              </w:tc>
            </w:tr>
            <w:tr w:rsidR="00F76A63" w14:paraId="67CBE12D"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4DAE6E55" w14:textId="77777777" w:rsidR="00F76A63" w:rsidRDefault="00000000">
                  <w:pPr>
                    <w:widowControl/>
                    <w:jc w:val="center"/>
                    <w:rPr>
                      <w:kern w:val="0"/>
                      <w:szCs w:val="21"/>
                    </w:rPr>
                  </w:pPr>
                  <w:r>
                    <w:rPr>
                      <w:kern w:val="0"/>
                      <w:szCs w:val="21"/>
                    </w:rPr>
                    <w:t>19</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37CB9749"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18778E49" w14:textId="77777777" w:rsidR="00F76A63" w:rsidRDefault="00000000">
                  <w:pPr>
                    <w:widowControl/>
                    <w:jc w:val="center"/>
                    <w:rPr>
                      <w:kern w:val="0"/>
                      <w:szCs w:val="21"/>
                    </w:rPr>
                  </w:pPr>
                  <w:r>
                    <w:rPr>
                      <w:kern w:val="0"/>
                      <w:szCs w:val="21"/>
                    </w:rPr>
                    <w:t>钒及其化合物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3D9A33ED" w14:textId="77777777" w:rsidR="00F76A63" w:rsidRDefault="00000000">
                  <w:pPr>
                    <w:pStyle w:val="000"/>
                  </w:pPr>
                  <w:r>
                    <w:t>1.35E-02</w:t>
                  </w:r>
                </w:p>
              </w:tc>
              <w:tc>
                <w:tcPr>
                  <w:tcW w:w="651" w:type="dxa"/>
                  <w:tcBorders>
                    <w:top w:val="single" w:sz="6" w:space="0" w:color="000000"/>
                    <w:left w:val="single" w:sz="6" w:space="0" w:color="000000"/>
                    <w:bottom w:val="single" w:sz="6" w:space="0" w:color="000000"/>
                    <w:right w:val="single" w:sz="6" w:space="0" w:color="000000"/>
                  </w:tcBorders>
                  <w:vAlign w:val="center"/>
                </w:tcPr>
                <w:p w14:paraId="5FC6E7C8" w14:textId="77777777" w:rsidR="00F76A63" w:rsidRDefault="00000000">
                  <w:pPr>
                    <w:pStyle w:val="000"/>
                  </w:pPr>
                  <w:r>
                    <w:t>1.09E-02</w:t>
                  </w:r>
                </w:p>
              </w:tc>
              <w:tc>
                <w:tcPr>
                  <w:tcW w:w="593" w:type="dxa"/>
                  <w:tcBorders>
                    <w:top w:val="single" w:sz="6" w:space="0" w:color="000000"/>
                    <w:left w:val="single" w:sz="6" w:space="0" w:color="000000"/>
                    <w:bottom w:val="single" w:sz="6" w:space="0" w:color="000000"/>
                    <w:right w:val="single" w:sz="6" w:space="0" w:color="000000"/>
                  </w:tcBorders>
                  <w:vAlign w:val="center"/>
                </w:tcPr>
                <w:p w14:paraId="6CB6D7F1" w14:textId="77777777" w:rsidR="00F76A63" w:rsidRDefault="00000000">
                  <w:pPr>
                    <w:pStyle w:val="00-YO0"/>
                    <w:rPr>
                      <w:b w:val="0"/>
                      <w:bCs w:val="0"/>
                    </w:rPr>
                  </w:pPr>
                  <w:r>
                    <w:rPr>
                      <w:b w:val="0"/>
                      <w:bCs w:val="0"/>
                    </w:rPr>
                    <w:t>0.0813</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3D873528"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070F1C12"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69B49E87" w14:textId="77777777" w:rsidR="00F76A63" w:rsidRDefault="00000000">
                  <w:pPr>
                    <w:pStyle w:val="000"/>
                  </w:pPr>
                  <w:r>
                    <w:t>5.38E-03</w:t>
                  </w:r>
                </w:p>
              </w:tc>
              <w:tc>
                <w:tcPr>
                  <w:tcW w:w="685" w:type="dxa"/>
                  <w:tcBorders>
                    <w:top w:val="single" w:sz="6" w:space="0" w:color="000000"/>
                    <w:left w:val="single" w:sz="6" w:space="0" w:color="000000"/>
                    <w:bottom w:val="single" w:sz="6" w:space="0" w:color="000000"/>
                    <w:right w:val="single" w:sz="6" w:space="0" w:color="000000"/>
                  </w:tcBorders>
                  <w:vAlign w:val="center"/>
                </w:tcPr>
                <w:p w14:paraId="51327F87" w14:textId="77777777" w:rsidR="00F76A63" w:rsidRDefault="00000000">
                  <w:pPr>
                    <w:pStyle w:val="000"/>
                  </w:pPr>
                  <w:r>
                    <w:t>4.37E-03</w:t>
                  </w:r>
                </w:p>
              </w:tc>
              <w:tc>
                <w:tcPr>
                  <w:tcW w:w="593" w:type="dxa"/>
                  <w:tcBorders>
                    <w:top w:val="single" w:sz="6" w:space="0" w:color="000000"/>
                    <w:left w:val="single" w:sz="6" w:space="0" w:color="000000"/>
                    <w:bottom w:val="single" w:sz="6" w:space="0" w:color="000000"/>
                    <w:right w:val="single" w:sz="6" w:space="0" w:color="000000"/>
                  </w:tcBorders>
                  <w:vAlign w:val="center"/>
                </w:tcPr>
                <w:p w14:paraId="195339C2" w14:textId="77777777" w:rsidR="00F76A63" w:rsidRDefault="00000000">
                  <w:pPr>
                    <w:pStyle w:val="000"/>
                  </w:pPr>
                  <w:r>
                    <w:t>0.0325</w:t>
                  </w:r>
                </w:p>
              </w:tc>
              <w:tc>
                <w:tcPr>
                  <w:tcW w:w="604" w:type="dxa"/>
                  <w:tcBorders>
                    <w:top w:val="single" w:sz="6" w:space="0" w:color="000000"/>
                    <w:left w:val="single" w:sz="6" w:space="0" w:color="000000"/>
                    <w:bottom w:val="single" w:sz="6" w:space="0" w:color="000000"/>
                    <w:right w:val="single" w:sz="6" w:space="0" w:color="000000"/>
                  </w:tcBorders>
                  <w:vAlign w:val="center"/>
                </w:tcPr>
                <w:p w14:paraId="28DB878B"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08EB9E97"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522FB815"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0BB5E46F"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5C0931E4" w14:textId="77777777" w:rsidR="00F76A63" w:rsidRDefault="00F76A63">
                  <w:pPr>
                    <w:widowControl/>
                    <w:jc w:val="center"/>
                    <w:rPr>
                      <w:kern w:val="0"/>
                      <w:szCs w:val="21"/>
                    </w:rPr>
                  </w:pPr>
                </w:p>
              </w:tc>
            </w:tr>
            <w:tr w:rsidR="00F76A63" w14:paraId="33487B55"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138A6407" w14:textId="77777777" w:rsidR="00F76A63" w:rsidRDefault="00000000">
                  <w:pPr>
                    <w:widowControl/>
                    <w:jc w:val="center"/>
                    <w:rPr>
                      <w:kern w:val="0"/>
                      <w:szCs w:val="21"/>
                    </w:rPr>
                  </w:pPr>
                  <w:r>
                    <w:rPr>
                      <w:kern w:val="0"/>
                      <w:szCs w:val="21"/>
                    </w:rPr>
                    <w:t>20</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3F2C0A81"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179BC5EA" w14:textId="77777777" w:rsidR="00F76A63" w:rsidRDefault="00000000">
                  <w:pPr>
                    <w:widowControl/>
                    <w:jc w:val="center"/>
                    <w:rPr>
                      <w:kern w:val="0"/>
                      <w:szCs w:val="21"/>
                    </w:rPr>
                  </w:pPr>
                  <w:r>
                    <w:rPr>
                      <w:kern w:val="0"/>
                      <w:szCs w:val="21"/>
                    </w:rPr>
                    <w:t>钴及其化合物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4E046DAF" w14:textId="77777777" w:rsidR="00F76A63" w:rsidRDefault="00000000">
                  <w:pPr>
                    <w:pStyle w:val="000"/>
                  </w:pPr>
                  <w:r>
                    <w:t>3.15E-03</w:t>
                  </w:r>
                </w:p>
              </w:tc>
              <w:tc>
                <w:tcPr>
                  <w:tcW w:w="651" w:type="dxa"/>
                  <w:tcBorders>
                    <w:top w:val="single" w:sz="6" w:space="0" w:color="000000"/>
                    <w:left w:val="single" w:sz="6" w:space="0" w:color="000000"/>
                    <w:bottom w:val="single" w:sz="6" w:space="0" w:color="000000"/>
                    <w:right w:val="single" w:sz="6" w:space="0" w:color="000000"/>
                  </w:tcBorders>
                  <w:vAlign w:val="center"/>
                </w:tcPr>
                <w:p w14:paraId="1AF0BDF3" w14:textId="77777777" w:rsidR="00F76A63" w:rsidRDefault="00000000">
                  <w:pPr>
                    <w:pStyle w:val="000"/>
                  </w:pPr>
                  <w:r>
                    <w:t>2.55E-03</w:t>
                  </w:r>
                </w:p>
              </w:tc>
              <w:tc>
                <w:tcPr>
                  <w:tcW w:w="593" w:type="dxa"/>
                  <w:tcBorders>
                    <w:top w:val="single" w:sz="6" w:space="0" w:color="000000"/>
                    <w:left w:val="single" w:sz="6" w:space="0" w:color="000000"/>
                    <w:bottom w:val="single" w:sz="6" w:space="0" w:color="000000"/>
                    <w:right w:val="single" w:sz="6" w:space="0" w:color="000000"/>
                  </w:tcBorders>
                  <w:vAlign w:val="center"/>
                </w:tcPr>
                <w:p w14:paraId="20B3D1EB" w14:textId="77777777" w:rsidR="00F76A63" w:rsidRDefault="00000000">
                  <w:pPr>
                    <w:pStyle w:val="00-YO0"/>
                    <w:rPr>
                      <w:b w:val="0"/>
                      <w:bCs w:val="0"/>
                    </w:rPr>
                  </w:pPr>
                  <w:r>
                    <w:rPr>
                      <w:b w:val="0"/>
                      <w:bCs w:val="0"/>
                    </w:rPr>
                    <w:t>0.0190</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2D88F884"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7AB2B91D"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35749395" w14:textId="77777777" w:rsidR="00F76A63" w:rsidRDefault="00000000">
                  <w:pPr>
                    <w:pStyle w:val="000"/>
                  </w:pPr>
                  <w:r>
                    <w:t>1.26E-03</w:t>
                  </w:r>
                </w:p>
              </w:tc>
              <w:tc>
                <w:tcPr>
                  <w:tcW w:w="685" w:type="dxa"/>
                  <w:tcBorders>
                    <w:top w:val="single" w:sz="6" w:space="0" w:color="000000"/>
                    <w:left w:val="single" w:sz="6" w:space="0" w:color="000000"/>
                    <w:bottom w:val="single" w:sz="6" w:space="0" w:color="000000"/>
                    <w:right w:val="single" w:sz="6" w:space="0" w:color="000000"/>
                  </w:tcBorders>
                  <w:vAlign w:val="center"/>
                </w:tcPr>
                <w:p w14:paraId="544E9352" w14:textId="77777777" w:rsidR="00F76A63" w:rsidRDefault="00000000">
                  <w:pPr>
                    <w:pStyle w:val="000"/>
                  </w:pPr>
                  <w:r>
                    <w:t>1.02E-03</w:t>
                  </w:r>
                </w:p>
              </w:tc>
              <w:tc>
                <w:tcPr>
                  <w:tcW w:w="593" w:type="dxa"/>
                  <w:tcBorders>
                    <w:top w:val="single" w:sz="6" w:space="0" w:color="000000"/>
                    <w:left w:val="single" w:sz="6" w:space="0" w:color="000000"/>
                    <w:bottom w:val="single" w:sz="6" w:space="0" w:color="000000"/>
                    <w:right w:val="single" w:sz="6" w:space="0" w:color="000000"/>
                  </w:tcBorders>
                  <w:vAlign w:val="center"/>
                </w:tcPr>
                <w:p w14:paraId="6576829C" w14:textId="77777777" w:rsidR="00F76A63" w:rsidRDefault="00000000">
                  <w:pPr>
                    <w:pStyle w:val="000"/>
                  </w:pPr>
                  <w:r>
                    <w:t>0.0076</w:t>
                  </w:r>
                </w:p>
              </w:tc>
              <w:tc>
                <w:tcPr>
                  <w:tcW w:w="604" w:type="dxa"/>
                  <w:tcBorders>
                    <w:top w:val="single" w:sz="6" w:space="0" w:color="000000"/>
                    <w:left w:val="single" w:sz="6" w:space="0" w:color="000000"/>
                    <w:bottom w:val="single" w:sz="6" w:space="0" w:color="000000"/>
                    <w:right w:val="single" w:sz="6" w:space="0" w:color="000000"/>
                  </w:tcBorders>
                  <w:vAlign w:val="center"/>
                </w:tcPr>
                <w:p w14:paraId="0E7D8200"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7FF0FFFB"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5B99330C"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1F483EBC"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319B70F0" w14:textId="77777777" w:rsidR="00F76A63" w:rsidRDefault="00F76A63">
                  <w:pPr>
                    <w:widowControl/>
                    <w:jc w:val="center"/>
                    <w:rPr>
                      <w:kern w:val="0"/>
                      <w:szCs w:val="21"/>
                    </w:rPr>
                  </w:pPr>
                </w:p>
              </w:tc>
            </w:tr>
            <w:tr w:rsidR="00F76A63" w14:paraId="3CB6AC00"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7EB0450A" w14:textId="77777777" w:rsidR="00F76A63" w:rsidRDefault="00000000">
                  <w:pPr>
                    <w:widowControl/>
                    <w:jc w:val="center"/>
                    <w:rPr>
                      <w:kern w:val="0"/>
                      <w:szCs w:val="21"/>
                    </w:rPr>
                  </w:pPr>
                  <w:r>
                    <w:rPr>
                      <w:kern w:val="0"/>
                      <w:szCs w:val="21"/>
                    </w:rPr>
                    <w:t>21</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4B5596AE"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2D826967" w14:textId="77777777" w:rsidR="00F76A63" w:rsidRDefault="00000000">
                  <w:pPr>
                    <w:widowControl/>
                    <w:jc w:val="center"/>
                    <w:rPr>
                      <w:kern w:val="0"/>
                      <w:szCs w:val="21"/>
                    </w:rPr>
                  </w:pPr>
                  <w:r>
                    <w:rPr>
                      <w:kern w:val="0"/>
                      <w:szCs w:val="21"/>
                    </w:rPr>
                    <w:t>锌及其化合物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7F12663C" w14:textId="77777777" w:rsidR="00F76A63" w:rsidRDefault="00000000">
                  <w:pPr>
                    <w:pStyle w:val="000"/>
                  </w:pPr>
                  <w:r>
                    <w:t>3.16E-02</w:t>
                  </w:r>
                </w:p>
              </w:tc>
              <w:tc>
                <w:tcPr>
                  <w:tcW w:w="651" w:type="dxa"/>
                  <w:tcBorders>
                    <w:top w:val="single" w:sz="6" w:space="0" w:color="000000"/>
                    <w:left w:val="single" w:sz="6" w:space="0" w:color="000000"/>
                    <w:bottom w:val="single" w:sz="6" w:space="0" w:color="000000"/>
                    <w:right w:val="single" w:sz="6" w:space="0" w:color="000000"/>
                  </w:tcBorders>
                  <w:vAlign w:val="center"/>
                </w:tcPr>
                <w:p w14:paraId="7FE9197C" w14:textId="77777777" w:rsidR="00F76A63" w:rsidRDefault="00000000">
                  <w:pPr>
                    <w:pStyle w:val="000"/>
                  </w:pPr>
                  <w:r>
                    <w:t>2.56E-02</w:t>
                  </w:r>
                </w:p>
              </w:tc>
              <w:tc>
                <w:tcPr>
                  <w:tcW w:w="593" w:type="dxa"/>
                  <w:tcBorders>
                    <w:top w:val="single" w:sz="6" w:space="0" w:color="000000"/>
                    <w:left w:val="single" w:sz="6" w:space="0" w:color="000000"/>
                    <w:bottom w:val="single" w:sz="6" w:space="0" w:color="000000"/>
                    <w:right w:val="single" w:sz="6" w:space="0" w:color="000000"/>
                  </w:tcBorders>
                  <w:vAlign w:val="center"/>
                </w:tcPr>
                <w:p w14:paraId="2C839678" w14:textId="77777777" w:rsidR="00F76A63" w:rsidRDefault="00000000">
                  <w:pPr>
                    <w:pStyle w:val="00-YO0"/>
                    <w:rPr>
                      <w:b w:val="0"/>
                      <w:bCs w:val="0"/>
                    </w:rPr>
                  </w:pPr>
                  <w:r>
                    <w:rPr>
                      <w:b w:val="0"/>
                      <w:bCs w:val="0"/>
                    </w:rPr>
                    <w:t>0.1908</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4F304D23"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0B0C25DD"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6C154335" w14:textId="77777777" w:rsidR="00F76A63" w:rsidRDefault="00000000">
                  <w:pPr>
                    <w:pStyle w:val="000"/>
                  </w:pPr>
                  <w:r>
                    <w:t>1.26E-02</w:t>
                  </w:r>
                </w:p>
              </w:tc>
              <w:tc>
                <w:tcPr>
                  <w:tcW w:w="685" w:type="dxa"/>
                  <w:tcBorders>
                    <w:top w:val="single" w:sz="6" w:space="0" w:color="000000"/>
                    <w:left w:val="single" w:sz="6" w:space="0" w:color="000000"/>
                    <w:bottom w:val="single" w:sz="6" w:space="0" w:color="000000"/>
                    <w:right w:val="single" w:sz="6" w:space="0" w:color="000000"/>
                  </w:tcBorders>
                  <w:vAlign w:val="center"/>
                </w:tcPr>
                <w:p w14:paraId="06C043BD" w14:textId="77777777" w:rsidR="00F76A63" w:rsidRDefault="00000000">
                  <w:pPr>
                    <w:pStyle w:val="000"/>
                  </w:pPr>
                  <w:r>
                    <w:t>1.03E-02</w:t>
                  </w:r>
                </w:p>
              </w:tc>
              <w:tc>
                <w:tcPr>
                  <w:tcW w:w="593" w:type="dxa"/>
                  <w:tcBorders>
                    <w:top w:val="single" w:sz="6" w:space="0" w:color="000000"/>
                    <w:left w:val="single" w:sz="6" w:space="0" w:color="000000"/>
                    <w:bottom w:val="single" w:sz="6" w:space="0" w:color="000000"/>
                    <w:right w:val="single" w:sz="6" w:space="0" w:color="000000"/>
                  </w:tcBorders>
                  <w:vAlign w:val="center"/>
                </w:tcPr>
                <w:p w14:paraId="18F36A53" w14:textId="77777777" w:rsidR="00F76A63" w:rsidRDefault="00000000">
                  <w:pPr>
                    <w:pStyle w:val="000"/>
                  </w:pPr>
                  <w:r>
                    <w:t>0.0763</w:t>
                  </w:r>
                </w:p>
              </w:tc>
              <w:tc>
                <w:tcPr>
                  <w:tcW w:w="604" w:type="dxa"/>
                  <w:tcBorders>
                    <w:top w:val="single" w:sz="6" w:space="0" w:color="000000"/>
                    <w:left w:val="single" w:sz="6" w:space="0" w:color="000000"/>
                    <w:bottom w:val="single" w:sz="6" w:space="0" w:color="000000"/>
                    <w:right w:val="single" w:sz="6" w:space="0" w:color="000000"/>
                  </w:tcBorders>
                  <w:vAlign w:val="center"/>
                </w:tcPr>
                <w:p w14:paraId="4D42C2A0"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1531511D"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200188F9"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75F07E36"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2626E1F1" w14:textId="77777777" w:rsidR="00F76A63" w:rsidRDefault="00F76A63">
                  <w:pPr>
                    <w:widowControl/>
                    <w:jc w:val="center"/>
                    <w:rPr>
                      <w:kern w:val="0"/>
                      <w:szCs w:val="21"/>
                    </w:rPr>
                  </w:pPr>
                </w:p>
              </w:tc>
            </w:tr>
            <w:tr w:rsidR="00F76A63" w14:paraId="5F0DD11E"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46F1407C" w14:textId="77777777" w:rsidR="00F76A63" w:rsidRDefault="00000000">
                  <w:pPr>
                    <w:widowControl/>
                    <w:jc w:val="center"/>
                    <w:rPr>
                      <w:kern w:val="0"/>
                      <w:szCs w:val="21"/>
                    </w:rPr>
                  </w:pPr>
                  <w:r>
                    <w:rPr>
                      <w:kern w:val="0"/>
                      <w:szCs w:val="21"/>
                    </w:rPr>
                    <w:t>22</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3043AFA3"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2FB5CAD8" w14:textId="77777777" w:rsidR="00F76A63" w:rsidRDefault="00000000">
                  <w:pPr>
                    <w:widowControl/>
                    <w:jc w:val="center"/>
                    <w:rPr>
                      <w:kern w:val="0"/>
                      <w:szCs w:val="21"/>
                    </w:rPr>
                  </w:pPr>
                  <w:r>
                    <w:rPr>
                      <w:kern w:val="0"/>
                      <w:szCs w:val="21"/>
                    </w:rPr>
                    <w:t>钼及其化合物</w:t>
                  </w:r>
                </w:p>
              </w:tc>
              <w:tc>
                <w:tcPr>
                  <w:tcW w:w="604" w:type="dxa"/>
                  <w:tcBorders>
                    <w:top w:val="single" w:sz="6" w:space="0" w:color="000000"/>
                    <w:left w:val="single" w:sz="6" w:space="0" w:color="000000"/>
                    <w:bottom w:val="single" w:sz="6" w:space="0" w:color="000000"/>
                    <w:right w:val="single" w:sz="6" w:space="0" w:color="000000"/>
                  </w:tcBorders>
                  <w:vAlign w:val="center"/>
                </w:tcPr>
                <w:p w14:paraId="6C339702" w14:textId="77777777" w:rsidR="00F76A63" w:rsidRDefault="00000000">
                  <w:pPr>
                    <w:pStyle w:val="000"/>
                  </w:pPr>
                  <w:r>
                    <w:t>3.98E-03</w:t>
                  </w:r>
                </w:p>
              </w:tc>
              <w:tc>
                <w:tcPr>
                  <w:tcW w:w="651" w:type="dxa"/>
                  <w:tcBorders>
                    <w:top w:val="single" w:sz="6" w:space="0" w:color="000000"/>
                    <w:left w:val="single" w:sz="6" w:space="0" w:color="000000"/>
                    <w:bottom w:val="single" w:sz="6" w:space="0" w:color="000000"/>
                    <w:right w:val="single" w:sz="6" w:space="0" w:color="000000"/>
                  </w:tcBorders>
                  <w:vAlign w:val="center"/>
                </w:tcPr>
                <w:p w14:paraId="12352011" w14:textId="77777777" w:rsidR="00F76A63" w:rsidRDefault="00000000">
                  <w:pPr>
                    <w:pStyle w:val="000"/>
                  </w:pPr>
                  <w:r>
                    <w:t>3.23E-03</w:t>
                  </w:r>
                </w:p>
              </w:tc>
              <w:tc>
                <w:tcPr>
                  <w:tcW w:w="593" w:type="dxa"/>
                  <w:tcBorders>
                    <w:top w:val="single" w:sz="6" w:space="0" w:color="000000"/>
                    <w:left w:val="single" w:sz="6" w:space="0" w:color="000000"/>
                    <w:bottom w:val="single" w:sz="6" w:space="0" w:color="000000"/>
                    <w:right w:val="single" w:sz="6" w:space="0" w:color="000000"/>
                  </w:tcBorders>
                  <w:vAlign w:val="center"/>
                </w:tcPr>
                <w:p w14:paraId="1B1BD4DD" w14:textId="77777777" w:rsidR="00F76A63" w:rsidRDefault="00000000">
                  <w:pPr>
                    <w:pStyle w:val="00-YO0"/>
                    <w:rPr>
                      <w:b w:val="0"/>
                      <w:bCs w:val="0"/>
                    </w:rPr>
                  </w:pPr>
                  <w:r>
                    <w:rPr>
                      <w:b w:val="0"/>
                      <w:bCs w:val="0"/>
                    </w:rPr>
                    <w:t>0.0240</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15C1EDF7"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4BD2E1BD"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742AF4A9" w14:textId="77777777" w:rsidR="00F76A63" w:rsidRDefault="00000000">
                  <w:pPr>
                    <w:pStyle w:val="000"/>
                  </w:pPr>
                  <w:r>
                    <w:t>1.59E-03</w:t>
                  </w:r>
                </w:p>
              </w:tc>
              <w:tc>
                <w:tcPr>
                  <w:tcW w:w="685" w:type="dxa"/>
                  <w:tcBorders>
                    <w:top w:val="single" w:sz="6" w:space="0" w:color="000000"/>
                    <w:left w:val="single" w:sz="6" w:space="0" w:color="000000"/>
                    <w:bottom w:val="single" w:sz="6" w:space="0" w:color="000000"/>
                    <w:right w:val="single" w:sz="6" w:space="0" w:color="000000"/>
                  </w:tcBorders>
                  <w:vAlign w:val="center"/>
                </w:tcPr>
                <w:p w14:paraId="2EF8F1E7" w14:textId="77777777" w:rsidR="00F76A63" w:rsidRDefault="00000000">
                  <w:pPr>
                    <w:pStyle w:val="000"/>
                  </w:pPr>
                  <w:r>
                    <w:t>1.29E-03</w:t>
                  </w:r>
                </w:p>
              </w:tc>
              <w:tc>
                <w:tcPr>
                  <w:tcW w:w="593" w:type="dxa"/>
                  <w:tcBorders>
                    <w:top w:val="single" w:sz="6" w:space="0" w:color="000000"/>
                    <w:left w:val="single" w:sz="6" w:space="0" w:color="000000"/>
                    <w:bottom w:val="single" w:sz="6" w:space="0" w:color="000000"/>
                    <w:right w:val="single" w:sz="6" w:space="0" w:color="000000"/>
                  </w:tcBorders>
                  <w:vAlign w:val="center"/>
                </w:tcPr>
                <w:p w14:paraId="1F650429" w14:textId="77777777" w:rsidR="00F76A63" w:rsidRDefault="00000000">
                  <w:pPr>
                    <w:pStyle w:val="000"/>
                  </w:pPr>
                  <w:r>
                    <w:t>0.0096</w:t>
                  </w:r>
                </w:p>
              </w:tc>
              <w:tc>
                <w:tcPr>
                  <w:tcW w:w="604" w:type="dxa"/>
                  <w:tcBorders>
                    <w:top w:val="single" w:sz="6" w:space="0" w:color="000000"/>
                    <w:left w:val="single" w:sz="6" w:space="0" w:color="000000"/>
                    <w:bottom w:val="single" w:sz="6" w:space="0" w:color="000000"/>
                    <w:right w:val="single" w:sz="6" w:space="0" w:color="000000"/>
                  </w:tcBorders>
                  <w:vAlign w:val="center"/>
                </w:tcPr>
                <w:p w14:paraId="015D5930" w14:textId="77777777" w:rsidR="00F76A63" w:rsidRDefault="00000000">
                  <w:pPr>
                    <w:widowControl/>
                    <w:jc w:val="center"/>
                    <w:rPr>
                      <w:kern w:val="0"/>
                      <w:szCs w:val="21"/>
                    </w:rPr>
                  </w:pPr>
                  <w:r>
                    <w:rPr>
                      <w:kern w:val="0"/>
                      <w:szCs w:val="21"/>
                    </w:rPr>
                    <w:t>/</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75333411"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486161C5"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AF08FAB"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59C46970" w14:textId="77777777" w:rsidR="00F76A63" w:rsidRDefault="00F76A63">
                  <w:pPr>
                    <w:widowControl/>
                    <w:jc w:val="center"/>
                    <w:rPr>
                      <w:kern w:val="0"/>
                      <w:szCs w:val="21"/>
                    </w:rPr>
                  </w:pPr>
                </w:p>
              </w:tc>
            </w:tr>
            <w:tr w:rsidR="00F76A63" w14:paraId="183E898C"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301C472A" w14:textId="77777777" w:rsidR="00F76A63" w:rsidRDefault="00000000">
                  <w:pPr>
                    <w:widowControl/>
                    <w:jc w:val="center"/>
                    <w:rPr>
                      <w:kern w:val="0"/>
                      <w:szCs w:val="21"/>
                    </w:rPr>
                  </w:pPr>
                  <w:r>
                    <w:rPr>
                      <w:kern w:val="0"/>
                      <w:szCs w:val="21"/>
                    </w:rPr>
                    <w:t>23</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47E2D2E0"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63C0B330" w14:textId="77777777" w:rsidR="00F76A63" w:rsidRDefault="00000000">
                  <w:pPr>
                    <w:widowControl/>
                    <w:jc w:val="center"/>
                    <w:rPr>
                      <w:kern w:val="0"/>
                      <w:szCs w:val="21"/>
                    </w:rPr>
                  </w:pPr>
                  <w:r>
                    <w:rPr>
                      <w:kern w:val="0"/>
                      <w:szCs w:val="21"/>
                    </w:rPr>
                    <w:t>Tl+Cd+Pb+As</w:t>
                  </w:r>
                </w:p>
              </w:tc>
              <w:tc>
                <w:tcPr>
                  <w:tcW w:w="604" w:type="dxa"/>
                  <w:tcBorders>
                    <w:top w:val="single" w:sz="6" w:space="0" w:color="000000"/>
                    <w:left w:val="single" w:sz="6" w:space="0" w:color="000000"/>
                    <w:bottom w:val="single" w:sz="6" w:space="0" w:color="000000"/>
                    <w:right w:val="single" w:sz="6" w:space="0" w:color="000000"/>
                  </w:tcBorders>
                  <w:vAlign w:val="center"/>
                </w:tcPr>
                <w:p w14:paraId="72A73424" w14:textId="77777777" w:rsidR="00F76A63" w:rsidRDefault="00000000">
                  <w:pPr>
                    <w:pStyle w:val="000"/>
                  </w:pPr>
                  <w:r>
                    <w:t>7.66E-02</w:t>
                  </w:r>
                </w:p>
              </w:tc>
              <w:tc>
                <w:tcPr>
                  <w:tcW w:w="651" w:type="dxa"/>
                  <w:tcBorders>
                    <w:top w:val="single" w:sz="6" w:space="0" w:color="000000"/>
                    <w:left w:val="single" w:sz="6" w:space="0" w:color="000000"/>
                    <w:bottom w:val="single" w:sz="6" w:space="0" w:color="000000"/>
                    <w:right w:val="single" w:sz="6" w:space="0" w:color="000000"/>
                  </w:tcBorders>
                  <w:vAlign w:val="center"/>
                </w:tcPr>
                <w:p w14:paraId="13884503" w14:textId="77777777" w:rsidR="00F76A63" w:rsidRDefault="00000000">
                  <w:pPr>
                    <w:pStyle w:val="000"/>
                  </w:pPr>
                  <w:r>
                    <w:t>6.22E-02</w:t>
                  </w:r>
                </w:p>
              </w:tc>
              <w:tc>
                <w:tcPr>
                  <w:tcW w:w="593" w:type="dxa"/>
                  <w:tcBorders>
                    <w:top w:val="single" w:sz="6" w:space="0" w:color="000000"/>
                    <w:left w:val="single" w:sz="6" w:space="0" w:color="000000"/>
                    <w:bottom w:val="single" w:sz="6" w:space="0" w:color="000000"/>
                    <w:right w:val="single" w:sz="6" w:space="0" w:color="000000"/>
                  </w:tcBorders>
                  <w:vAlign w:val="center"/>
                </w:tcPr>
                <w:p w14:paraId="6DCC4859" w14:textId="77777777" w:rsidR="00F76A63" w:rsidRDefault="00000000">
                  <w:pPr>
                    <w:pStyle w:val="00-YO0"/>
                    <w:rPr>
                      <w:b w:val="0"/>
                      <w:bCs w:val="0"/>
                    </w:rPr>
                  </w:pPr>
                  <w:r>
                    <w:rPr>
                      <w:b w:val="0"/>
                      <w:bCs w:val="0"/>
                    </w:rPr>
                    <w:t>0.4624</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51006A61"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17FDE262"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01E28699" w14:textId="77777777" w:rsidR="00F76A63" w:rsidRDefault="00000000">
                  <w:pPr>
                    <w:pStyle w:val="000"/>
                  </w:pPr>
                  <w:r>
                    <w:t>3.07E-02</w:t>
                  </w:r>
                </w:p>
              </w:tc>
              <w:tc>
                <w:tcPr>
                  <w:tcW w:w="685" w:type="dxa"/>
                  <w:tcBorders>
                    <w:top w:val="single" w:sz="6" w:space="0" w:color="000000"/>
                    <w:left w:val="single" w:sz="6" w:space="0" w:color="000000"/>
                    <w:bottom w:val="single" w:sz="6" w:space="0" w:color="000000"/>
                    <w:right w:val="single" w:sz="6" w:space="0" w:color="000000"/>
                  </w:tcBorders>
                  <w:vAlign w:val="center"/>
                </w:tcPr>
                <w:p w14:paraId="6A524983" w14:textId="77777777" w:rsidR="00F76A63" w:rsidRDefault="00000000">
                  <w:pPr>
                    <w:pStyle w:val="000"/>
                  </w:pPr>
                  <w:r>
                    <w:t>2.49E-02</w:t>
                  </w:r>
                </w:p>
              </w:tc>
              <w:tc>
                <w:tcPr>
                  <w:tcW w:w="593" w:type="dxa"/>
                  <w:tcBorders>
                    <w:top w:val="single" w:sz="6" w:space="0" w:color="000000"/>
                    <w:left w:val="single" w:sz="6" w:space="0" w:color="000000"/>
                    <w:bottom w:val="single" w:sz="6" w:space="0" w:color="000000"/>
                    <w:right w:val="single" w:sz="6" w:space="0" w:color="000000"/>
                  </w:tcBorders>
                  <w:vAlign w:val="center"/>
                </w:tcPr>
                <w:p w14:paraId="71DB0DB1" w14:textId="77777777" w:rsidR="00F76A63" w:rsidRDefault="00000000">
                  <w:pPr>
                    <w:pStyle w:val="000"/>
                  </w:pPr>
                  <w:r>
                    <w:t>0.1850</w:t>
                  </w:r>
                </w:p>
              </w:tc>
              <w:tc>
                <w:tcPr>
                  <w:tcW w:w="604" w:type="dxa"/>
                  <w:tcBorders>
                    <w:top w:val="single" w:sz="6" w:space="0" w:color="000000"/>
                    <w:left w:val="single" w:sz="6" w:space="0" w:color="000000"/>
                    <w:bottom w:val="single" w:sz="6" w:space="0" w:color="000000"/>
                    <w:right w:val="single" w:sz="6" w:space="0" w:color="000000"/>
                  </w:tcBorders>
                  <w:vAlign w:val="center"/>
                </w:tcPr>
                <w:p w14:paraId="7BA92DBE" w14:textId="77777777" w:rsidR="00F76A63" w:rsidRDefault="00000000">
                  <w:pPr>
                    <w:widowControl/>
                    <w:jc w:val="center"/>
                    <w:rPr>
                      <w:kern w:val="0"/>
                      <w:szCs w:val="21"/>
                    </w:rPr>
                  </w:pPr>
                  <w:r>
                    <w:rPr>
                      <w:kern w:val="0"/>
                      <w:szCs w:val="21"/>
                    </w:rPr>
                    <w:t>1</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244CC856"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30AE5DE4"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2C54B4B8"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48A5B5DC" w14:textId="77777777" w:rsidR="00F76A63" w:rsidRDefault="00F76A63">
                  <w:pPr>
                    <w:widowControl/>
                    <w:jc w:val="center"/>
                    <w:rPr>
                      <w:kern w:val="0"/>
                      <w:szCs w:val="21"/>
                    </w:rPr>
                  </w:pPr>
                </w:p>
              </w:tc>
            </w:tr>
            <w:tr w:rsidR="00F76A63" w14:paraId="1C270DFD" w14:textId="77777777">
              <w:trPr>
                <w:jc w:val="center"/>
              </w:trPr>
              <w:tc>
                <w:tcPr>
                  <w:tcW w:w="285" w:type="dxa"/>
                  <w:tcBorders>
                    <w:top w:val="single" w:sz="6" w:space="0" w:color="000000"/>
                    <w:left w:val="nil"/>
                    <w:bottom w:val="single" w:sz="6" w:space="0" w:color="000000"/>
                    <w:right w:val="single" w:sz="6" w:space="0" w:color="000000"/>
                  </w:tcBorders>
                  <w:vAlign w:val="center"/>
                </w:tcPr>
                <w:p w14:paraId="322F846C" w14:textId="77777777" w:rsidR="00F76A63" w:rsidRDefault="00000000">
                  <w:pPr>
                    <w:widowControl/>
                    <w:jc w:val="center"/>
                    <w:rPr>
                      <w:kern w:val="0"/>
                      <w:szCs w:val="21"/>
                    </w:rPr>
                  </w:pPr>
                  <w:r>
                    <w:rPr>
                      <w:kern w:val="0"/>
                      <w:szCs w:val="21"/>
                    </w:rPr>
                    <w:t>24</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63F7DE6D"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6" w:space="0" w:color="000000"/>
                    <w:right w:val="single" w:sz="6" w:space="0" w:color="000000"/>
                  </w:tcBorders>
                  <w:vAlign w:val="center"/>
                </w:tcPr>
                <w:p w14:paraId="371CE878" w14:textId="77777777" w:rsidR="00F76A63" w:rsidRDefault="00000000">
                  <w:pPr>
                    <w:widowControl/>
                    <w:jc w:val="center"/>
                    <w:rPr>
                      <w:kern w:val="0"/>
                      <w:szCs w:val="21"/>
                    </w:rPr>
                  </w:pPr>
                  <w:r>
                    <w:rPr>
                      <w:kern w:val="0"/>
                      <w:szCs w:val="21"/>
                    </w:rPr>
                    <w:t>Be+Cr+Sn+Sb+Cu+Co+Mn+Ni+V</w:t>
                  </w:r>
                </w:p>
              </w:tc>
              <w:tc>
                <w:tcPr>
                  <w:tcW w:w="604" w:type="dxa"/>
                  <w:tcBorders>
                    <w:top w:val="single" w:sz="6" w:space="0" w:color="000000"/>
                    <w:left w:val="single" w:sz="6" w:space="0" w:color="000000"/>
                    <w:bottom w:val="single" w:sz="6" w:space="0" w:color="000000"/>
                    <w:right w:val="single" w:sz="6" w:space="0" w:color="000000"/>
                  </w:tcBorders>
                  <w:vAlign w:val="center"/>
                </w:tcPr>
                <w:p w14:paraId="6B0F1A82" w14:textId="77777777" w:rsidR="00F76A63" w:rsidRDefault="00000000">
                  <w:pPr>
                    <w:pStyle w:val="000"/>
                  </w:pPr>
                  <w:r>
                    <w:t>1.40E-01</w:t>
                  </w:r>
                </w:p>
              </w:tc>
              <w:tc>
                <w:tcPr>
                  <w:tcW w:w="651" w:type="dxa"/>
                  <w:tcBorders>
                    <w:top w:val="single" w:sz="6" w:space="0" w:color="000000"/>
                    <w:left w:val="single" w:sz="6" w:space="0" w:color="000000"/>
                    <w:bottom w:val="single" w:sz="6" w:space="0" w:color="000000"/>
                    <w:right w:val="single" w:sz="6" w:space="0" w:color="000000"/>
                  </w:tcBorders>
                  <w:vAlign w:val="center"/>
                </w:tcPr>
                <w:p w14:paraId="3D78E20A" w14:textId="77777777" w:rsidR="00F76A63" w:rsidRDefault="00000000">
                  <w:pPr>
                    <w:pStyle w:val="000"/>
                  </w:pPr>
                  <w:r>
                    <w:t>1.13E-01</w:t>
                  </w:r>
                </w:p>
              </w:tc>
              <w:tc>
                <w:tcPr>
                  <w:tcW w:w="593" w:type="dxa"/>
                  <w:tcBorders>
                    <w:top w:val="single" w:sz="6" w:space="0" w:color="000000"/>
                    <w:left w:val="single" w:sz="6" w:space="0" w:color="000000"/>
                    <w:bottom w:val="single" w:sz="6" w:space="0" w:color="000000"/>
                    <w:right w:val="single" w:sz="6" w:space="0" w:color="000000"/>
                  </w:tcBorders>
                  <w:vAlign w:val="center"/>
                </w:tcPr>
                <w:p w14:paraId="61847A5D" w14:textId="77777777" w:rsidR="00F76A63" w:rsidRDefault="00000000">
                  <w:pPr>
                    <w:pStyle w:val="00-YO0"/>
                    <w:rPr>
                      <w:b w:val="0"/>
                      <w:bCs w:val="0"/>
                    </w:rPr>
                  </w:pPr>
                  <w:r>
                    <w:rPr>
                      <w:b w:val="0"/>
                      <w:bCs w:val="0"/>
                    </w:rPr>
                    <w:t>0.8424</w:t>
                  </w:r>
                </w:p>
              </w:tc>
              <w:tc>
                <w:tcPr>
                  <w:tcW w:w="647" w:type="dxa"/>
                  <w:vMerge/>
                  <w:tcBorders>
                    <w:top w:val="single" w:sz="6" w:space="0" w:color="000000"/>
                    <w:left w:val="single" w:sz="6" w:space="0" w:color="000000"/>
                    <w:bottom w:val="single" w:sz="6" w:space="0" w:color="000000"/>
                    <w:right w:val="single" w:sz="6" w:space="0" w:color="000000"/>
                  </w:tcBorders>
                  <w:vAlign w:val="center"/>
                </w:tcPr>
                <w:p w14:paraId="32572EBB" w14:textId="77777777" w:rsidR="00F76A63" w:rsidRDefault="00F76A63">
                  <w:pPr>
                    <w:widowControl/>
                    <w:jc w:val="center"/>
                    <w:rPr>
                      <w:bCs/>
                      <w:kern w:val="28"/>
                      <w:szCs w:val="21"/>
                    </w:rPr>
                  </w:pPr>
                </w:p>
              </w:tc>
              <w:tc>
                <w:tcPr>
                  <w:tcW w:w="430" w:type="dxa"/>
                  <w:tcBorders>
                    <w:top w:val="single" w:sz="6" w:space="0" w:color="000000"/>
                    <w:left w:val="single" w:sz="6" w:space="0" w:color="000000"/>
                    <w:bottom w:val="single" w:sz="6" w:space="0" w:color="000000"/>
                    <w:right w:val="single" w:sz="6" w:space="0" w:color="000000"/>
                  </w:tcBorders>
                  <w:noWrap/>
                  <w:vAlign w:val="center"/>
                </w:tcPr>
                <w:p w14:paraId="55A899D1" w14:textId="77777777" w:rsidR="00F76A63" w:rsidRDefault="00000000">
                  <w:pPr>
                    <w:pStyle w:val="000"/>
                  </w:pPr>
                  <w:r>
                    <w:t>60%</w:t>
                  </w:r>
                </w:p>
              </w:tc>
              <w:tc>
                <w:tcPr>
                  <w:tcW w:w="674" w:type="dxa"/>
                  <w:tcBorders>
                    <w:top w:val="single" w:sz="6" w:space="0" w:color="000000"/>
                    <w:left w:val="single" w:sz="6" w:space="0" w:color="000000"/>
                    <w:bottom w:val="single" w:sz="6" w:space="0" w:color="000000"/>
                    <w:right w:val="single" w:sz="6" w:space="0" w:color="000000"/>
                  </w:tcBorders>
                  <w:vAlign w:val="center"/>
                </w:tcPr>
                <w:p w14:paraId="4021D79E" w14:textId="77777777" w:rsidR="00F76A63" w:rsidRDefault="00000000">
                  <w:pPr>
                    <w:pStyle w:val="000"/>
                  </w:pPr>
                  <w:r>
                    <w:t>5.58E-02</w:t>
                  </w:r>
                </w:p>
              </w:tc>
              <w:tc>
                <w:tcPr>
                  <w:tcW w:w="685" w:type="dxa"/>
                  <w:tcBorders>
                    <w:top w:val="single" w:sz="6" w:space="0" w:color="000000"/>
                    <w:left w:val="single" w:sz="6" w:space="0" w:color="000000"/>
                    <w:bottom w:val="single" w:sz="6" w:space="0" w:color="000000"/>
                    <w:right w:val="single" w:sz="6" w:space="0" w:color="000000"/>
                  </w:tcBorders>
                  <w:vAlign w:val="center"/>
                </w:tcPr>
                <w:p w14:paraId="6D59A96E" w14:textId="77777777" w:rsidR="00F76A63" w:rsidRDefault="00000000">
                  <w:pPr>
                    <w:pStyle w:val="000"/>
                  </w:pPr>
                  <w:r>
                    <w:t>4.53E-02</w:t>
                  </w:r>
                </w:p>
              </w:tc>
              <w:tc>
                <w:tcPr>
                  <w:tcW w:w="593" w:type="dxa"/>
                  <w:tcBorders>
                    <w:top w:val="single" w:sz="6" w:space="0" w:color="000000"/>
                    <w:left w:val="single" w:sz="6" w:space="0" w:color="000000"/>
                    <w:bottom w:val="single" w:sz="6" w:space="0" w:color="000000"/>
                    <w:right w:val="single" w:sz="6" w:space="0" w:color="000000"/>
                  </w:tcBorders>
                  <w:vAlign w:val="center"/>
                </w:tcPr>
                <w:p w14:paraId="23C5C36B" w14:textId="77777777" w:rsidR="00F76A63" w:rsidRDefault="00000000">
                  <w:pPr>
                    <w:pStyle w:val="000"/>
                  </w:pPr>
                  <w:r>
                    <w:t>0.3370</w:t>
                  </w:r>
                </w:p>
              </w:tc>
              <w:tc>
                <w:tcPr>
                  <w:tcW w:w="604" w:type="dxa"/>
                  <w:tcBorders>
                    <w:top w:val="single" w:sz="6" w:space="0" w:color="000000"/>
                    <w:left w:val="single" w:sz="6" w:space="0" w:color="000000"/>
                    <w:bottom w:val="single" w:sz="6" w:space="0" w:color="000000"/>
                    <w:right w:val="single" w:sz="6" w:space="0" w:color="000000"/>
                  </w:tcBorders>
                  <w:vAlign w:val="center"/>
                </w:tcPr>
                <w:p w14:paraId="74E6AD6B" w14:textId="77777777" w:rsidR="00F76A63" w:rsidRDefault="00000000">
                  <w:pPr>
                    <w:widowControl/>
                    <w:jc w:val="center"/>
                    <w:rPr>
                      <w:kern w:val="0"/>
                      <w:szCs w:val="21"/>
                    </w:rPr>
                  </w:pPr>
                  <w:r>
                    <w:rPr>
                      <w:kern w:val="0"/>
                      <w:szCs w:val="21"/>
                    </w:rPr>
                    <w:t>0.5</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5097E1FF"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6DC5E4DA"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5BE96AA4"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24AD01B4" w14:textId="77777777" w:rsidR="00F76A63" w:rsidRDefault="00F76A63">
                  <w:pPr>
                    <w:widowControl/>
                    <w:jc w:val="center"/>
                    <w:rPr>
                      <w:kern w:val="0"/>
                      <w:szCs w:val="21"/>
                    </w:rPr>
                  </w:pPr>
                </w:p>
              </w:tc>
            </w:tr>
            <w:tr w:rsidR="00F76A63" w14:paraId="000E4D56" w14:textId="77777777">
              <w:trPr>
                <w:jc w:val="center"/>
              </w:trPr>
              <w:tc>
                <w:tcPr>
                  <w:tcW w:w="285" w:type="dxa"/>
                  <w:tcBorders>
                    <w:top w:val="single" w:sz="6" w:space="0" w:color="000000"/>
                    <w:left w:val="nil"/>
                    <w:bottom w:val="single" w:sz="12" w:space="0" w:color="000000"/>
                    <w:right w:val="single" w:sz="6" w:space="0" w:color="000000"/>
                  </w:tcBorders>
                  <w:vAlign w:val="center"/>
                </w:tcPr>
                <w:p w14:paraId="21507436" w14:textId="77777777" w:rsidR="00F76A63" w:rsidRDefault="00000000">
                  <w:pPr>
                    <w:widowControl/>
                    <w:jc w:val="center"/>
                    <w:rPr>
                      <w:kern w:val="0"/>
                      <w:szCs w:val="21"/>
                    </w:rPr>
                  </w:pPr>
                  <w:r>
                    <w:rPr>
                      <w:kern w:val="0"/>
                      <w:szCs w:val="21"/>
                    </w:rPr>
                    <w:t>25</w:t>
                  </w:r>
                </w:p>
              </w:tc>
              <w:tc>
                <w:tcPr>
                  <w:tcW w:w="285" w:type="dxa"/>
                  <w:vMerge/>
                  <w:tcBorders>
                    <w:top w:val="single" w:sz="6" w:space="0" w:color="000000"/>
                    <w:left w:val="single" w:sz="6" w:space="0" w:color="000000"/>
                    <w:bottom w:val="single" w:sz="6" w:space="0" w:color="000000"/>
                    <w:right w:val="single" w:sz="6" w:space="0" w:color="000000"/>
                  </w:tcBorders>
                  <w:vAlign w:val="center"/>
                </w:tcPr>
                <w:p w14:paraId="2686F22B" w14:textId="77777777" w:rsidR="00F76A63" w:rsidRDefault="00F76A63">
                  <w:pPr>
                    <w:widowControl/>
                    <w:jc w:val="center"/>
                    <w:rPr>
                      <w:kern w:val="0"/>
                      <w:szCs w:val="21"/>
                    </w:rPr>
                  </w:pPr>
                </w:p>
              </w:tc>
              <w:tc>
                <w:tcPr>
                  <w:tcW w:w="1202" w:type="dxa"/>
                  <w:tcBorders>
                    <w:top w:val="single" w:sz="6" w:space="0" w:color="000000"/>
                    <w:left w:val="single" w:sz="6" w:space="0" w:color="000000"/>
                    <w:bottom w:val="single" w:sz="12" w:space="0" w:color="000000"/>
                    <w:right w:val="single" w:sz="6" w:space="0" w:color="000000"/>
                  </w:tcBorders>
                  <w:vAlign w:val="center"/>
                </w:tcPr>
                <w:p w14:paraId="22051817" w14:textId="77777777" w:rsidR="00F76A63" w:rsidRDefault="00000000">
                  <w:pPr>
                    <w:widowControl/>
                    <w:jc w:val="center"/>
                    <w:rPr>
                      <w:kern w:val="0"/>
                      <w:szCs w:val="21"/>
                    </w:rPr>
                  </w:pPr>
                  <w:r>
                    <w:rPr>
                      <w:kern w:val="0"/>
                      <w:szCs w:val="21"/>
                    </w:rPr>
                    <w:t>二噁英（</w:t>
                  </w:r>
                  <w:r>
                    <w:rPr>
                      <w:kern w:val="0"/>
                      <w:szCs w:val="21"/>
                    </w:rPr>
                    <w:t>ngTEQ/m</w:t>
                  </w:r>
                  <w:r>
                    <w:rPr>
                      <w:kern w:val="0"/>
                      <w:szCs w:val="21"/>
                      <w:vertAlign w:val="superscript"/>
                    </w:rPr>
                    <w:t>3</w:t>
                  </w:r>
                  <w:r>
                    <w:rPr>
                      <w:kern w:val="0"/>
                      <w:szCs w:val="21"/>
                    </w:rPr>
                    <w:t>）</w:t>
                  </w:r>
                </w:p>
              </w:tc>
              <w:tc>
                <w:tcPr>
                  <w:tcW w:w="604" w:type="dxa"/>
                  <w:tcBorders>
                    <w:top w:val="single" w:sz="6" w:space="0" w:color="000000"/>
                    <w:left w:val="single" w:sz="6" w:space="0" w:color="000000"/>
                    <w:bottom w:val="single" w:sz="12" w:space="0" w:color="000000"/>
                    <w:right w:val="single" w:sz="6" w:space="0" w:color="000000"/>
                  </w:tcBorders>
                  <w:vAlign w:val="center"/>
                </w:tcPr>
                <w:p w14:paraId="3879F43C" w14:textId="77777777" w:rsidR="00F76A63" w:rsidRDefault="00000000">
                  <w:pPr>
                    <w:widowControl/>
                    <w:jc w:val="center"/>
                    <w:rPr>
                      <w:kern w:val="0"/>
                      <w:szCs w:val="21"/>
                    </w:rPr>
                  </w:pPr>
                  <w:r>
                    <w:rPr>
                      <w:kern w:val="0"/>
                      <w:szCs w:val="21"/>
                    </w:rPr>
                    <w:t>0.1ngTEQ/m</w:t>
                  </w:r>
                  <w:r>
                    <w:rPr>
                      <w:kern w:val="0"/>
                      <w:szCs w:val="21"/>
                      <w:vertAlign w:val="superscript"/>
                    </w:rPr>
                    <w:t>3</w:t>
                  </w:r>
                </w:p>
              </w:tc>
              <w:tc>
                <w:tcPr>
                  <w:tcW w:w="651" w:type="dxa"/>
                  <w:tcBorders>
                    <w:top w:val="single" w:sz="6" w:space="0" w:color="000000"/>
                    <w:left w:val="single" w:sz="6" w:space="0" w:color="000000"/>
                    <w:bottom w:val="single" w:sz="12" w:space="0" w:color="000000"/>
                    <w:right w:val="single" w:sz="6" w:space="0" w:color="000000"/>
                  </w:tcBorders>
                  <w:vAlign w:val="center"/>
                </w:tcPr>
                <w:p w14:paraId="399B7F62" w14:textId="77777777" w:rsidR="00F76A63" w:rsidRDefault="00000000">
                  <w:pPr>
                    <w:widowControl/>
                    <w:jc w:val="center"/>
                    <w:rPr>
                      <w:kern w:val="0"/>
                      <w:szCs w:val="21"/>
                    </w:rPr>
                  </w:pPr>
                  <w:r>
                    <w:rPr>
                      <w:kern w:val="0"/>
                      <w:szCs w:val="21"/>
                    </w:rPr>
                    <w:t>0.081mgTEQ/h</w:t>
                  </w:r>
                </w:p>
              </w:tc>
              <w:tc>
                <w:tcPr>
                  <w:tcW w:w="593" w:type="dxa"/>
                  <w:tcBorders>
                    <w:top w:val="single" w:sz="6" w:space="0" w:color="000000"/>
                    <w:left w:val="single" w:sz="6" w:space="0" w:color="000000"/>
                    <w:bottom w:val="single" w:sz="12" w:space="0" w:color="000000"/>
                    <w:right w:val="single" w:sz="6" w:space="0" w:color="000000"/>
                  </w:tcBorders>
                  <w:vAlign w:val="center"/>
                </w:tcPr>
                <w:p w14:paraId="1D72A76C" w14:textId="77777777" w:rsidR="00F76A63" w:rsidRDefault="00000000">
                  <w:pPr>
                    <w:widowControl/>
                    <w:jc w:val="center"/>
                    <w:rPr>
                      <w:kern w:val="0"/>
                      <w:szCs w:val="21"/>
                    </w:rPr>
                  </w:pPr>
                  <w:r>
                    <w:rPr>
                      <w:kern w:val="0"/>
                      <w:szCs w:val="21"/>
                    </w:rPr>
                    <w:t>0.603gTEQ/a</w:t>
                  </w:r>
                </w:p>
              </w:tc>
              <w:tc>
                <w:tcPr>
                  <w:tcW w:w="647" w:type="dxa"/>
                  <w:tcBorders>
                    <w:top w:val="single" w:sz="6" w:space="0" w:color="000000"/>
                    <w:left w:val="single" w:sz="6" w:space="0" w:color="000000"/>
                    <w:bottom w:val="single" w:sz="12" w:space="0" w:color="000000"/>
                    <w:right w:val="single" w:sz="6" w:space="0" w:color="000000"/>
                  </w:tcBorders>
                  <w:vAlign w:val="center"/>
                </w:tcPr>
                <w:p w14:paraId="528DA563" w14:textId="77777777" w:rsidR="00F76A63" w:rsidRDefault="00000000">
                  <w:pPr>
                    <w:widowControl/>
                    <w:jc w:val="center"/>
                    <w:rPr>
                      <w:kern w:val="0"/>
                      <w:szCs w:val="21"/>
                    </w:rPr>
                  </w:pPr>
                  <w:r>
                    <w:rPr>
                      <w:kern w:val="0"/>
                      <w:szCs w:val="21"/>
                    </w:rPr>
                    <w:t>满足</w:t>
                  </w:r>
                  <w:r>
                    <w:rPr>
                      <w:kern w:val="0"/>
                      <w:szCs w:val="21"/>
                    </w:rPr>
                    <w:t>“3T+E”</w:t>
                  </w:r>
                  <w:r>
                    <w:rPr>
                      <w:kern w:val="0"/>
                      <w:szCs w:val="21"/>
                    </w:rPr>
                    <w:t>控制要求</w:t>
                  </w:r>
                </w:p>
              </w:tc>
              <w:tc>
                <w:tcPr>
                  <w:tcW w:w="430" w:type="dxa"/>
                  <w:tcBorders>
                    <w:top w:val="single" w:sz="6" w:space="0" w:color="000000"/>
                    <w:left w:val="single" w:sz="6" w:space="0" w:color="000000"/>
                    <w:bottom w:val="single" w:sz="12" w:space="0" w:color="000000"/>
                    <w:right w:val="single" w:sz="6" w:space="0" w:color="000000"/>
                  </w:tcBorders>
                  <w:vAlign w:val="center"/>
                </w:tcPr>
                <w:p w14:paraId="1F0EA7ED" w14:textId="77777777" w:rsidR="00F76A63" w:rsidRDefault="00000000">
                  <w:pPr>
                    <w:widowControl/>
                    <w:jc w:val="center"/>
                    <w:rPr>
                      <w:kern w:val="0"/>
                      <w:szCs w:val="21"/>
                    </w:rPr>
                  </w:pPr>
                  <w:r>
                    <w:rPr>
                      <w:kern w:val="0"/>
                      <w:szCs w:val="21"/>
                    </w:rPr>
                    <w:t>15%</w:t>
                  </w:r>
                </w:p>
              </w:tc>
              <w:tc>
                <w:tcPr>
                  <w:tcW w:w="674" w:type="dxa"/>
                  <w:tcBorders>
                    <w:top w:val="single" w:sz="6" w:space="0" w:color="000000"/>
                    <w:left w:val="single" w:sz="6" w:space="0" w:color="000000"/>
                    <w:bottom w:val="single" w:sz="12" w:space="0" w:color="000000"/>
                    <w:right w:val="single" w:sz="6" w:space="0" w:color="000000"/>
                  </w:tcBorders>
                  <w:vAlign w:val="center"/>
                </w:tcPr>
                <w:p w14:paraId="104CE43A" w14:textId="77777777" w:rsidR="00F76A63" w:rsidRDefault="00000000">
                  <w:pPr>
                    <w:widowControl/>
                    <w:jc w:val="center"/>
                    <w:rPr>
                      <w:kern w:val="0"/>
                      <w:szCs w:val="21"/>
                    </w:rPr>
                  </w:pPr>
                  <w:r>
                    <w:rPr>
                      <w:kern w:val="0"/>
                      <w:szCs w:val="21"/>
                    </w:rPr>
                    <w:t>0.085ngTEQ/m</w:t>
                  </w:r>
                  <w:r>
                    <w:rPr>
                      <w:kern w:val="0"/>
                      <w:szCs w:val="21"/>
                      <w:vertAlign w:val="superscript"/>
                    </w:rPr>
                    <w:t>3</w:t>
                  </w:r>
                </w:p>
              </w:tc>
              <w:tc>
                <w:tcPr>
                  <w:tcW w:w="685" w:type="dxa"/>
                  <w:tcBorders>
                    <w:top w:val="single" w:sz="6" w:space="0" w:color="000000"/>
                    <w:left w:val="single" w:sz="6" w:space="0" w:color="000000"/>
                    <w:bottom w:val="single" w:sz="12" w:space="0" w:color="000000"/>
                    <w:right w:val="single" w:sz="6" w:space="0" w:color="000000"/>
                  </w:tcBorders>
                  <w:vAlign w:val="center"/>
                </w:tcPr>
                <w:p w14:paraId="70DC303A" w14:textId="77777777" w:rsidR="00F76A63" w:rsidRDefault="00000000">
                  <w:pPr>
                    <w:widowControl/>
                    <w:jc w:val="center"/>
                    <w:rPr>
                      <w:kern w:val="0"/>
                      <w:szCs w:val="21"/>
                    </w:rPr>
                  </w:pPr>
                  <w:r>
                    <w:rPr>
                      <w:kern w:val="0"/>
                      <w:szCs w:val="21"/>
                    </w:rPr>
                    <w:t>0.0690mgTEQ/h</w:t>
                  </w:r>
                </w:p>
              </w:tc>
              <w:tc>
                <w:tcPr>
                  <w:tcW w:w="593" w:type="dxa"/>
                  <w:tcBorders>
                    <w:top w:val="single" w:sz="6" w:space="0" w:color="000000"/>
                    <w:left w:val="single" w:sz="6" w:space="0" w:color="000000"/>
                    <w:bottom w:val="single" w:sz="12" w:space="0" w:color="000000"/>
                    <w:right w:val="single" w:sz="6" w:space="0" w:color="000000"/>
                  </w:tcBorders>
                  <w:vAlign w:val="center"/>
                </w:tcPr>
                <w:p w14:paraId="4A3312E3" w14:textId="77777777" w:rsidR="00F76A63" w:rsidRDefault="00000000">
                  <w:pPr>
                    <w:widowControl/>
                    <w:jc w:val="center"/>
                    <w:rPr>
                      <w:kern w:val="0"/>
                      <w:szCs w:val="21"/>
                    </w:rPr>
                  </w:pPr>
                  <w:r>
                    <w:rPr>
                      <w:kern w:val="0"/>
                      <w:szCs w:val="21"/>
                    </w:rPr>
                    <w:t>0.513gTEQ/a</w:t>
                  </w:r>
                </w:p>
              </w:tc>
              <w:tc>
                <w:tcPr>
                  <w:tcW w:w="604" w:type="dxa"/>
                  <w:tcBorders>
                    <w:top w:val="single" w:sz="6" w:space="0" w:color="000000"/>
                    <w:left w:val="single" w:sz="6" w:space="0" w:color="000000"/>
                    <w:bottom w:val="single" w:sz="12" w:space="0" w:color="000000"/>
                    <w:right w:val="single" w:sz="6" w:space="0" w:color="000000"/>
                  </w:tcBorders>
                  <w:vAlign w:val="center"/>
                </w:tcPr>
                <w:p w14:paraId="24686502" w14:textId="77777777" w:rsidR="00F76A63" w:rsidRDefault="00000000">
                  <w:pPr>
                    <w:widowControl/>
                    <w:jc w:val="center"/>
                    <w:rPr>
                      <w:kern w:val="0"/>
                      <w:szCs w:val="21"/>
                    </w:rPr>
                  </w:pPr>
                  <w:r>
                    <w:rPr>
                      <w:kern w:val="0"/>
                      <w:szCs w:val="21"/>
                    </w:rPr>
                    <w:t>0.1ngTEQ/m</w:t>
                  </w:r>
                  <w:r>
                    <w:rPr>
                      <w:kern w:val="0"/>
                      <w:szCs w:val="21"/>
                      <w:vertAlign w:val="superscript"/>
                    </w:rPr>
                    <w:t>3</w:t>
                  </w:r>
                </w:p>
              </w:tc>
              <w:tc>
                <w:tcPr>
                  <w:tcW w:w="425" w:type="dxa"/>
                  <w:vMerge/>
                  <w:tcBorders>
                    <w:top w:val="single" w:sz="6" w:space="0" w:color="000000"/>
                    <w:left w:val="single" w:sz="6" w:space="0" w:color="000000"/>
                    <w:bottom w:val="single" w:sz="6" w:space="0" w:color="000000"/>
                    <w:right w:val="single" w:sz="6" w:space="0" w:color="000000"/>
                  </w:tcBorders>
                  <w:vAlign w:val="center"/>
                </w:tcPr>
                <w:p w14:paraId="53F7CFB2" w14:textId="77777777" w:rsidR="00F76A63" w:rsidRDefault="00F76A63">
                  <w:pPr>
                    <w:widowControl/>
                    <w:jc w:val="center"/>
                    <w:rPr>
                      <w:kern w:val="0"/>
                      <w:szCs w:val="21"/>
                    </w:rPr>
                  </w:pPr>
                </w:p>
              </w:tc>
              <w:tc>
                <w:tcPr>
                  <w:tcW w:w="320" w:type="dxa"/>
                  <w:vMerge/>
                  <w:tcBorders>
                    <w:top w:val="single" w:sz="6" w:space="0" w:color="000000"/>
                    <w:left w:val="single" w:sz="6" w:space="0" w:color="000000"/>
                    <w:bottom w:val="single" w:sz="6" w:space="0" w:color="000000"/>
                    <w:right w:val="single" w:sz="6" w:space="0" w:color="000000"/>
                  </w:tcBorders>
                  <w:vAlign w:val="center"/>
                </w:tcPr>
                <w:p w14:paraId="64E7D4ED" w14:textId="77777777" w:rsidR="00F76A63" w:rsidRDefault="00F76A63">
                  <w:pPr>
                    <w:widowControl/>
                    <w:jc w:val="center"/>
                    <w:rPr>
                      <w:kern w:val="0"/>
                      <w:szCs w:val="21"/>
                    </w:rPr>
                  </w:pPr>
                </w:p>
              </w:tc>
              <w:tc>
                <w:tcPr>
                  <w:tcW w:w="286" w:type="dxa"/>
                  <w:vMerge/>
                  <w:tcBorders>
                    <w:top w:val="single" w:sz="6" w:space="0" w:color="000000"/>
                    <w:left w:val="single" w:sz="6" w:space="0" w:color="000000"/>
                    <w:bottom w:val="single" w:sz="6" w:space="0" w:color="000000"/>
                    <w:right w:val="single" w:sz="6" w:space="0" w:color="000000"/>
                  </w:tcBorders>
                  <w:vAlign w:val="center"/>
                </w:tcPr>
                <w:p w14:paraId="2CE06C34" w14:textId="77777777" w:rsidR="00F76A63" w:rsidRDefault="00F76A63">
                  <w:pPr>
                    <w:widowControl/>
                    <w:jc w:val="center"/>
                    <w:rPr>
                      <w:kern w:val="0"/>
                      <w:szCs w:val="21"/>
                    </w:rPr>
                  </w:pPr>
                </w:p>
              </w:tc>
              <w:tc>
                <w:tcPr>
                  <w:tcW w:w="356" w:type="dxa"/>
                  <w:vMerge/>
                  <w:tcBorders>
                    <w:top w:val="single" w:sz="6" w:space="0" w:color="000000"/>
                    <w:left w:val="single" w:sz="6" w:space="0" w:color="000000"/>
                    <w:bottom w:val="single" w:sz="6" w:space="0" w:color="000000"/>
                    <w:right w:val="nil"/>
                  </w:tcBorders>
                  <w:vAlign w:val="center"/>
                </w:tcPr>
                <w:p w14:paraId="38A3D424" w14:textId="77777777" w:rsidR="00F76A63" w:rsidRDefault="00F76A63">
                  <w:pPr>
                    <w:widowControl/>
                    <w:jc w:val="center"/>
                    <w:rPr>
                      <w:kern w:val="0"/>
                      <w:szCs w:val="21"/>
                    </w:rPr>
                  </w:pPr>
                </w:p>
              </w:tc>
            </w:tr>
          </w:tbl>
          <w:p w14:paraId="3FB99111" w14:textId="77777777" w:rsidR="00F76A63" w:rsidRDefault="00000000">
            <w:pPr>
              <w:spacing w:line="500" w:lineRule="exact"/>
              <w:jc w:val="center"/>
              <w:rPr>
                <w:b/>
                <w:bCs/>
                <w:sz w:val="24"/>
              </w:rPr>
            </w:pPr>
            <w:r>
              <w:rPr>
                <w:b/>
                <w:bCs/>
                <w:sz w:val="24"/>
              </w:rPr>
              <w:t>表</w:t>
            </w:r>
            <w:r>
              <w:rPr>
                <w:b/>
                <w:bCs/>
                <w:sz w:val="24"/>
              </w:rPr>
              <w:t>2-</w:t>
            </w:r>
            <w:r>
              <w:rPr>
                <w:rFonts w:hint="eastAsia"/>
                <w:b/>
                <w:bCs/>
                <w:sz w:val="24"/>
              </w:rPr>
              <w:t>59</w:t>
            </w:r>
            <w:r>
              <w:rPr>
                <w:b/>
                <w:bCs/>
                <w:sz w:val="24"/>
              </w:rPr>
              <w:t xml:space="preserve">  </w:t>
            </w:r>
            <w:r>
              <w:rPr>
                <w:b/>
                <w:bCs/>
                <w:sz w:val="24"/>
              </w:rPr>
              <w:t>其他有组织废气产生和排放情况</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500"/>
              <w:gridCol w:w="824"/>
              <w:gridCol w:w="908"/>
              <w:gridCol w:w="851"/>
              <w:gridCol w:w="844"/>
              <w:gridCol w:w="1088"/>
              <w:gridCol w:w="615"/>
              <w:gridCol w:w="839"/>
              <w:gridCol w:w="717"/>
              <w:gridCol w:w="714"/>
              <w:gridCol w:w="839"/>
              <w:gridCol w:w="826"/>
              <w:gridCol w:w="729"/>
              <w:gridCol w:w="488"/>
              <w:gridCol w:w="662"/>
            </w:tblGrid>
            <w:tr w:rsidR="00F76A63" w14:paraId="38D67BF9" w14:textId="77777777">
              <w:trPr>
                <w:trHeight w:val="340"/>
                <w:jc w:val="center"/>
              </w:trPr>
              <w:tc>
                <w:tcPr>
                  <w:tcW w:w="603" w:type="pct"/>
                  <w:vMerge w:val="restart"/>
                  <w:tcBorders>
                    <w:top w:val="single" w:sz="12" w:space="0" w:color="auto"/>
                    <w:left w:val="nil"/>
                    <w:bottom w:val="single" w:sz="4" w:space="0" w:color="auto"/>
                    <w:right w:val="single" w:sz="4" w:space="0" w:color="auto"/>
                  </w:tcBorders>
                  <w:vAlign w:val="center"/>
                </w:tcPr>
                <w:p w14:paraId="4CFF1530" w14:textId="77777777" w:rsidR="00F76A63" w:rsidRDefault="00000000">
                  <w:pPr>
                    <w:jc w:val="center"/>
                    <w:rPr>
                      <w:b/>
                      <w:szCs w:val="21"/>
                    </w:rPr>
                  </w:pPr>
                  <w:r>
                    <w:rPr>
                      <w:b/>
                      <w:szCs w:val="21"/>
                    </w:rPr>
                    <w:t>污染源</w:t>
                  </w:r>
                </w:p>
              </w:tc>
              <w:tc>
                <w:tcPr>
                  <w:tcW w:w="331" w:type="pct"/>
                  <w:vMerge w:val="restart"/>
                  <w:tcBorders>
                    <w:top w:val="single" w:sz="12" w:space="0" w:color="auto"/>
                    <w:left w:val="single" w:sz="4" w:space="0" w:color="auto"/>
                    <w:bottom w:val="single" w:sz="4" w:space="0" w:color="auto"/>
                    <w:right w:val="single" w:sz="4" w:space="0" w:color="auto"/>
                  </w:tcBorders>
                  <w:vAlign w:val="center"/>
                </w:tcPr>
                <w:p w14:paraId="70DCBC02" w14:textId="77777777" w:rsidR="00F76A63" w:rsidRDefault="00000000">
                  <w:pPr>
                    <w:jc w:val="center"/>
                    <w:rPr>
                      <w:b/>
                      <w:szCs w:val="21"/>
                    </w:rPr>
                  </w:pPr>
                  <w:r>
                    <w:rPr>
                      <w:b/>
                      <w:szCs w:val="21"/>
                    </w:rPr>
                    <w:t>污染物</w:t>
                  </w:r>
                </w:p>
              </w:tc>
              <w:tc>
                <w:tcPr>
                  <w:tcW w:w="1046" w:type="pct"/>
                  <w:gridSpan w:val="3"/>
                  <w:tcBorders>
                    <w:top w:val="single" w:sz="12" w:space="0" w:color="auto"/>
                    <w:left w:val="single" w:sz="4" w:space="0" w:color="auto"/>
                    <w:bottom w:val="single" w:sz="4" w:space="0" w:color="auto"/>
                    <w:right w:val="single" w:sz="4" w:space="0" w:color="auto"/>
                  </w:tcBorders>
                  <w:vAlign w:val="center"/>
                </w:tcPr>
                <w:p w14:paraId="5F25964E" w14:textId="77777777" w:rsidR="00F76A63" w:rsidRDefault="00000000">
                  <w:pPr>
                    <w:jc w:val="center"/>
                    <w:rPr>
                      <w:b/>
                      <w:szCs w:val="21"/>
                    </w:rPr>
                  </w:pPr>
                  <w:r>
                    <w:rPr>
                      <w:b/>
                      <w:szCs w:val="21"/>
                    </w:rPr>
                    <w:t>产生情况</w:t>
                  </w:r>
                </w:p>
              </w:tc>
              <w:tc>
                <w:tcPr>
                  <w:tcW w:w="437" w:type="pct"/>
                  <w:vMerge w:val="restart"/>
                  <w:tcBorders>
                    <w:top w:val="single" w:sz="12" w:space="0" w:color="auto"/>
                    <w:left w:val="single" w:sz="4" w:space="0" w:color="auto"/>
                    <w:bottom w:val="single" w:sz="4" w:space="0" w:color="auto"/>
                    <w:right w:val="single" w:sz="4" w:space="0" w:color="auto"/>
                  </w:tcBorders>
                  <w:vAlign w:val="center"/>
                </w:tcPr>
                <w:p w14:paraId="400418A9" w14:textId="77777777" w:rsidR="00F76A63" w:rsidRDefault="00000000">
                  <w:pPr>
                    <w:jc w:val="center"/>
                    <w:rPr>
                      <w:b/>
                      <w:szCs w:val="21"/>
                    </w:rPr>
                  </w:pPr>
                  <w:r>
                    <w:rPr>
                      <w:b/>
                      <w:szCs w:val="21"/>
                    </w:rPr>
                    <w:t>治理措施</w:t>
                  </w:r>
                </w:p>
              </w:tc>
              <w:tc>
                <w:tcPr>
                  <w:tcW w:w="247" w:type="pct"/>
                  <w:vMerge w:val="restart"/>
                  <w:tcBorders>
                    <w:top w:val="single" w:sz="12" w:space="0" w:color="auto"/>
                    <w:left w:val="single" w:sz="4" w:space="0" w:color="auto"/>
                    <w:bottom w:val="single" w:sz="4" w:space="0" w:color="auto"/>
                    <w:right w:val="single" w:sz="4" w:space="0" w:color="auto"/>
                  </w:tcBorders>
                  <w:vAlign w:val="center"/>
                </w:tcPr>
                <w:p w14:paraId="7832DB91" w14:textId="77777777" w:rsidR="00F76A63" w:rsidRDefault="00000000">
                  <w:pPr>
                    <w:jc w:val="center"/>
                    <w:rPr>
                      <w:b/>
                      <w:szCs w:val="21"/>
                    </w:rPr>
                  </w:pPr>
                  <w:r>
                    <w:rPr>
                      <w:b/>
                      <w:szCs w:val="21"/>
                    </w:rPr>
                    <w:t>去除率</w:t>
                  </w:r>
                </w:p>
              </w:tc>
              <w:tc>
                <w:tcPr>
                  <w:tcW w:w="912" w:type="pct"/>
                  <w:gridSpan w:val="3"/>
                  <w:tcBorders>
                    <w:top w:val="single" w:sz="12" w:space="0" w:color="auto"/>
                    <w:left w:val="single" w:sz="4" w:space="0" w:color="auto"/>
                    <w:bottom w:val="nil"/>
                    <w:right w:val="single" w:sz="4" w:space="0" w:color="auto"/>
                  </w:tcBorders>
                  <w:vAlign w:val="center"/>
                </w:tcPr>
                <w:p w14:paraId="521E3127" w14:textId="77777777" w:rsidR="00F76A63" w:rsidRDefault="00000000">
                  <w:pPr>
                    <w:jc w:val="center"/>
                    <w:rPr>
                      <w:b/>
                      <w:szCs w:val="21"/>
                    </w:rPr>
                  </w:pPr>
                  <w:r>
                    <w:rPr>
                      <w:b/>
                      <w:szCs w:val="21"/>
                    </w:rPr>
                    <w:t>排放情况</w:t>
                  </w:r>
                </w:p>
              </w:tc>
              <w:tc>
                <w:tcPr>
                  <w:tcW w:w="337" w:type="pct"/>
                  <w:tcBorders>
                    <w:top w:val="single" w:sz="12" w:space="0" w:color="auto"/>
                    <w:left w:val="single" w:sz="4" w:space="0" w:color="auto"/>
                    <w:bottom w:val="nil"/>
                    <w:right w:val="single" w:sz="4" w:space="0" w:color="auto"/>
                  </w:tcBorders>
                  <w:vAlign w:val="center"/>
                </w:tcPr>
                <w:p w14:paraId="6B507929" w14:textId="77777777" w:rsidR="00F76A63" w:rsidRDefault="00000000">
                  <w:pPr>
                    <w:jc w:val="center"/>
                    <w:rPr>
                      <w:b/>
                      <w:szCs w:val="21"/>
                    </w:rPr>
                  </w:pPr>
                  <w:r>
                    <w:rPr>
                      <w:b/>
                      <w:szCs w:val="21"/>
                    </w:rPr>
                    <w:t>标准</w:t>
                  </w:r>
                </w:p>
              </w:tc>
              <w:tc>
                <w:tcPr>
                  <w:tcW w:w="1087" w:type="pct"/>
                  <w:gridSpan w:val="4"/>
                  <w:tcBorders>
                    <w:top w:val="single" w:sz="12" w:space="0" w:color="auto"/>
                    <w:left w:val="single" w:sz="4" w:space="0" w:color="auto"/>
                    <w:bottom w:val="single" w:sz="4" w:space="0" w:color="auto"/>
                    <w:right w:val="nil"/>
                  </w:tcBorders>
                  <w:vAlign w:val="center"/>
                </w:tcPr>
                <w:p w14:paraId="09450B7D" w14:textId="77777777" w:rsidR="00F76A63" w:rsidRDefault="00000000">
                  <w:pPr>
                    <w:jc w:val="center"/>
                    <w:rPr>
                      <w:b/>
                      <w:szCs w:val="21"/>
                    </w:rPr>
                  </w:pPr>
                  <w:r>
                    <w:rPr>
                      <w:b/>
                      <w:szCs w:val="21"/>
                    </w:rPr>
                    <w:t>排放参数</w:t>
                  </w:r>
                </w:p>
              </w:tc>
            </w:tr>
            <w:tr w:rsidR="00F76A63" w14:paraId="385DCA51" w14:textId="77777777">
              <w:trPr>
                <w:trHeight w:val="340"/>
                <w:jc w:val="center"/>
              </w:trPr>
              <w:tc>
                <w:tcPr>
                  <w:tcW w:w="603" w:type="pct"/>
                  <w:vMerge/>
                  <w:tcBorders>
                    <w:top w:val="single" w:sz="12" w:space="0" w:color="auto"/>
                    <w:left w:val="nil"/>
                    <w:bottom w:val="single" w:sz="4" w:space="0" w:color="auto"/>
                    <w:right w:val="single" w:sz="4" w:space="0" w:color="auto"/>
                  </w:tcBorders>
                  <w:vAlign w:val="center"/>
                </w:tcPr>
                <w:p w14:paraId="175ED6D4" w14:textId="77777777" w:rsidR="00F76A63" w:rsidRDefault="00F76A63">
                  <w:pPr>
                    <w:jc w:val="center"/>
                    <w:rPr>
                      <w:b/>
                      <w:szCs w:val="21"/>
                    </w:rPr>
                  </w:pPr>
                </w:p>
              </w:tc>
              <w:tc>
                <w:tcPr>
                  <w:tcW w:w="331" w:type="pct"/>
                  <w:vMerge/>
                  <w:tcBorders>
                    <w:top w:val="single" w:sz="12" w:space="0" w:color="auto"/>
                    <w:left w:val="single" w:sz="4" w:space="0" w:color="auto"/>
                    <w:bottom w:val="single" w:sz="4" w:space="0" w:color="auto"/>
                    <w:right w:val="single" w:sz="4" w:space="0" w:color="auto"/>
                  </w:tcBorders>
                  <w:vAlign w:val="center"/>
                </w:tcPr>
                <w:p w14:paraId="2C642E8D" w14:textId="77777777" w:rsidR="00F76A63" w:rsidRDefault="00F76A63">
                  <w:pPr>
                    <w:jc w:val="center"/>
                    <w:rPr>
                      <w:b/>
                      <w:szCs w:val="21"/>
                    </w:rPr>
                  </w:pPr>
                </w:p>
              </w:tc>
              <w:tc>
                <w:tcPr>
                  <w:tcW w:w="365" w:type="pct"/>
                  <w:tcBorders>
                    <w:top w:val="single" w:sz="4" w:space="0" w:color="auto"/>
                    <w:left w:val="single" w:sz="4" w:space="0" w:color="auto"/>
                    <w:bottom w:val="single" w:sz="4" w:space="0" w:color="auto"/>
                    <w:right w:val="single" w:sz="4" w:space="0" w:color="auto"/>
                  </w:tcBorders>
                  <w:vAlign w:val="center"/>
                </w:tcPr>
                <w:p w14:paraId="1A5A9F28" w14:textId="77777777" w:rsidR="00F76A63" w:rsidRDefault="00000000">
                  <w:pPr>
                    <w:jc w:val="center"/>
                    <w:rPr>
                      <w:b/>
                      <w:szCs w:val="21"/>
                    </w:rPr>
                  </w:pPr>
                  <w:r>
                    <w:rPr>
                      <w:b/>
                      <w:szCs w:val="21"/>
                    </w:rPr>
                    <w:t>浓度</w:t>
                  </w:r>
                  <w:r>
                    <w:rPr>
                      <w:b/>
                      <w:szCs w:val="21"/>
                    </w:rPr>
                    <w:t>mg/m</w:t>
                  </w:r>
                  <w:r>
                    <w:rPr>
                      <w:b/>
                      <w:szCs w:val="21"/>
                      <w:vertAlign w:val="superscript"/>
                    </w:rPr>
                    <w:t>3</w:t>
                  </w:r>
                </w:p>
              </w:tc>
              <w:tc>
                <w:tcPr>
                  <w:tcW w:w="342" w:type="pct"/>
                  <w:tcBorders>
                    <w:top w:val="single" w:sz="4" w:space="0" w:color="auto"/>
                    <w:left w:val="single" w:sz="4" w:space="0" w:color="auto"/>
                    <w:bottom w:val="single" w:sz="4" w:space="0" w:color="auto"/>
                    <w:right w:val="single" w:sz="4" w:space="0" w:color="auto"/>
                  </w:tcBorders>
                  <w:vAlign w:val="center"/>
                </w:tcPr>
                <w:p w14:paraId="21988365" w14:textId="77777777" w:rsidR="00F76A63" w:rsidRDefault="00000000">
                  <w:pPr>
                    <w:jc w:val="center"/>
                    <w:rPr>
                      <w:b/>
                      <w:szCs w:val="21"/>
                    </w:rPr>
                  </w:pPr>
                  <w:r>
                    <w:rPr>
                      <w:b/>
                      <w:szCs w:val="21"/>
                    </w:rPr>
                    <w:t>速率</w:t>
                  </w:r>
                </w:p>
                <w:p w14:paraId="72F58691" w14:textId="77777777" w:rsidR="00F76A63" w:rsidRDefault="00000000">
                  <w:pPr>
                    <w:jc w:val="center"/>
                    <w:rPr>
                      <w:b/>
                      <w:szCs w:val="21"/>
                    </w:rPr>
                  </w:pPr>
                  <w:r>
                    <w:rPr>
                      <w:b/>
                      <w:szCs w:val="21"/>
                    </w:rPr>
                    <w:t>kg/h</w:t>
                  </w:r>
                </w:p>
              </w:tc>
              <w:tc>
                <w:tcPr>
                  <w:tcW w:w="339" w:type="pct"/>
                  <w:tcBorders>
                    <w:top w:val="single" w:sz="4" w:space="0" w:color="auto"/>
                    <w:left w:val="single" w:sz="4" w:space="0" w:color="auto"/>
                    <w:bottom w:val="single" w:sz="4" w:space="0" w:color="auto"/>
                    <w:right w:val="single" w:sz="4" w:space="0" w:color="auto"/>
                  </w:tcBorders>
                  <w:vAlign w:val="center"/>
                </w:tcPr>
                <w:p w14:paraId="50385073" w14:textId="77777777" w:rsidR="00F76A63" w:rsidRDefault="00000000">
                  <w:pPr>
                    <w:jc w:val="center"/>
                    <w:rPr>
                      <w:b/>
                      <w:szCs w:val="21"/>
                    </w:rPr>
                  </w:pPr>
                  <w:r>
                    <w:rPr>
                      <w:b/>
                      <w:szCs w:val="21"/>
                    </w:rPr>
                    <w:t>产生量</w:t>
                  </w:r>
                  <w:r>
                    <w:rPr>
                      <w:b/>
                      <w:szCs w:val="21"/>
                    </w:rPr>
                    <w:t>t/a</w:t>
                  </w:r>
                </w:p>
              </w:tc>
              <w:tc>
                <w:tcPr>
                  <w:tcW w:w="437" w:type="pct"/>
                  <w:vMerge/>
                  <w:tcBorders>
                    <w:top w:val="single" w:sz="12" w:space="0" w:color="auto"/>
                    <w:left w:val="single" w:sz="4" w:space="0" w:color="auto"/>
                    <w:bottom w:val="single" w:sz="4" w:space="0" w:color="auto"/>
                    <w:right w:val="single" w:sz="4" w:space="0" w:color="auto"/>
                  </w:tcBorders>
                  <w:vAlign w:val="center"/>
                </w:tcPr>
                <w:p w14:paraId="1B733BA6" w14:textId="77777777" w:rsidR="00F76A63" w:rsidRDefault="00F76A63">
                  <w:pPr>
                    <w:jc w:val="center"/>
                    <w:rPr>
                      <w:b/>
                      <w:szCs w:val="21"/>
                    </w:rPr>
                  </w:pPr>
                </w:p>
              </w:tc>
              <w:tc>
                <w:tcPr>
                  <w:tcW w:w="247" w:type="pct"/>
                  <w:vMerge/>
                  <w:tcBorders>
                    <w:top w:val="single" w:sz="12" w:space="0" w:color="auto"/>
                    <w:left w:val="single" w:sz="4" w:space="0" w:color="auto"/>
                    <w:bottom w:val="single" w:sz="4" w:space="0" w:color="auto"/>
                    <w:right w:val="single" w:sz="4" w:space="0" w:color="auto"/>
                  </w:tcBorders>
                  <w:vAlign w:val="center"/>
                </w:tcPr>
                <w:p w14:paraId="2EC40A0D" w14:textId="77777777" w:rsidR="00F76A63" w:rsidRDefault="00F76A63">
                  <w:pPr>
                    <w:jc w:val="center"/>
                    <w:rPr>
                      <w:b/>
                      <w:szCs w:val="21"/>
                    </w:rPr>
                  </w:pPr>
                </w:p>
              </w:tc>
              <w:tc>
                <w:tcPr>
                  <w:tcW w:w="337" w:type="pct"/>
                  <w:tcBorders>
                    <w:top w:val="single" w:sz="4" w:space="0" w:color="auto"/>
                    <w:left w:val="single" w:sz="4" w:space="0" w:color="auto"/>
                    <w:bottom w:val="single" w:sz="4" w:space="0" w:color="auto"/>
                    <w:right w:val="single" w:sz="4" w:space="0" w:color="auto"/>
                  </w:tcBorders>
                  <w:vAlign w:val="center"/>
                </w:tcPr>
                <w:p w14:paraId="31C257C9" w14:textId="77777777" w:rsidR="00F76A63" w:rsidRDefault="00000000">
                  <w:pPr>
                    <w:jc w:val="center"/>
                    <w:rPr>
                      <w:b/>
                      <w:szCs w:val="21"/>
                    </w:rPr>
                  </w:pPr>
                  <w:r>
                    <w:rPr>
                      <w:b/>
                      <w:szCs w:val="21"/>
                    </w:rPr>
                    <w:t>浓度</w:t>
                  </w:r>
                  <w:r>
                    <w:rPr>
                      <w:b/>
                      <w:szCs w:val="21"/>
                    </w:rPr>
                    <w:t>mg/m</w:t>
                  </w:r>
                  <w:r>
                    <w:rPr>
                      <w:b/>
                      <w:szCs w:val="21"/>
                      <w:vertAlign w:val="superscript"/>
                    </w:rPr>
                    <w:t>3</w:t>
                  </w:r>
                </w:p>
              </w:tc>
              <w:tc>
                <w:tcPr>
                  <w:tcW w:w="288" w:type="pct"/>
                  <w:tcBorders>
                    <w:top w:val="single" w:sz="4" w:space="0" w:color="auto"/>
                    <w:left w:val="single" w:sz="4" w:space="0" w:color="auto"/>
                    <w:bottom w:val="single" w:sz="4" w:space="0" w:color="auto"/>
                    <w:right w:val="single" w:sz="4" w:space="0" w:color="auto"/>
                  </w:tcBorders>
                  <w:vAlign w:val="center"/>
                </w:tcPr>
                <w:p w14:paraId="07AE834E" w14:textId="77777777" w:rsidR="00F76A63" w:rsidRDefault="00000000">
                  <w:pPr>
                    <w:jc w:val="center"/>
                    <w:rPr>
                      <w:b/>
                      <w:szCs w:val="21"/>
                    </w:rPr>
                  </w:pPr>
                  <w:r>
                    <w:rPr>
                      <w:b/>
                      <w:szCs w:val="21"/>
                    </w:rPr>
                    <w:t>速率</w:t>
                  </w:r>
                  <w:r>
                    <w:rPr>
                      <w:b/>
                      <w:szCs w:val="21"/>
                    </w:rPr>
                    <w:t>kg/h</w:t>
                  </w:r>
                </w:p>
              </w:tc>
              <w:tc>
                <w:tcPr>
                  <w:tcW w:w="287" w:type="pct"/>
                  <w:tcBorders>
                    <w:top w:val="single" w:sz="4" w:space="0" w:color="auto"/>
                    <w:left w:val="single" w:sz="4" w:space="0" w:color="auto"/>
                    <w:bottom w:val="single" w:sz="4" w:space="0" w:color="auto"/>
                    <w:right w:val="single" w:sz="4" w:space="0" w:color="auto"/>
                  </w:tcBorders>
                  <w:vAlign w:val="center"/>
                </w:tcPr>
                <w:p w14:paraId="4CEFED2D" w14:textId="77777777" w:rsidR="00F76A63" w:rsidRDefault="00000000">
                  <w:pPr>
                    <w:jc w:val="center"/>
                    <w:rPr>
                      <w:b/>
                      <w:szCs w:val="21"/>
                    </w:rPr>
                  </w:pPr>
                  <w:r>
                    <w:rPr>
                      <w:b/>
                      <w:szCs w:val="21"/>
                    </w:rPr>
                    <w:t>排放量</w:t>
                  </w:r>
                  <w:r>
                    <w:rPr>
                      <w:b/>
                      <w:szCs w:val="21"/>
                    </w:rPr>
                    <w:t>t/a</w:t>
                  </w:r>
                </w:p>
              </w:tc>
              <w:tc>
                <w:tcPr>
                  <w:tcW w:w="337" w:type="pct"/>
                  <w:tcBorders>
                    <w:top w:val="single" w:sz="4" w:space="0" w:color="auto"/>
                    <w:left w:val="single" w:sz="4" w:space="0" w:color="auto"/>
                    <w:bottom w:val="single" w:sz="4" w:space="0" w:color="auto"/>
                    <w:right w:val="single" w:sz="4" w:space="0" w:color="auto"/>
                  </w:tcBorders>
                  <w:vAlign w:val="center"/>
                </w:tcPr>
                <w:p w14:paraId="2B6AA6C6" w14:textId="77777777" w:rsidR="00F76A63" w:rsidRDefault="00000000">
                  <w:pPr>
                    <w:jc w:val="center"/>
                    <w:rPr>
                      <w:b/>
                      <w:szCs w:val="21"/>
                    </w:rPr>
                  </w:pPr>
                  <w:r>
                    <w:rPr>
                      <w:b/>
                      <w:szCs w:val="21"/>
                    </w:rPr>
                    <w:t>浓度</w:t>
                  </w:r>
                  <w:r>
                    <w:rPr>
                      <w:b/>
                      <w:szCs w:val="21"/>
                    </w:rPr>
                    <w:t>mg/m</w:t>
                  </w:r>
                  <w:r>
                    <w:rPr>
                      <w:b/>
                      <w:szCs w:val="21"/>
                      <w:vertAlign w:val="superscript"/>
                    </w:rPr>
                    <w:t>3</w:t>
                  </w:r>
                </w:p>
              </w:tc>
              <w:tc>
                <w:tcPr>
                  <w:tcW w:w="332" w:type="pct"/>
                  <w:tcBorders>
                    <w:top w:val="single" w:sz="4" w:space="0" w:color="auto"/>
                    <w:left w:val="single" w:sz="4" w:space="0" w:color="auto"/>
                    <w:bottom w:val="single" w:sz="4" w:space="0" w:color="auto"/>
                    <w:right w:val="single" w:sz="4" w:space="0" w:color="auto"/>
                  </w:tcBorders>
                  <w:vAlign w:val="center"/>
                </w:tcPr>
                <w:p w14:paraId="358CC216" w14:textId="77777777" w:rsidR="00F76A63" w:rsidRDefault="00000000">
                  <w:pPr>
                    <w:jc w:val="center"/>
                    <w:rPr>
                      <w:b/>
                      <w:szCs w:val="21"/>
                    </w:rPr>
                  </w:pPr>
                  <w:r>
                    <w:rPr>
                      <w:b/>
                      <w:szCs w:val="21"/>
                    </w:rPr>
                    <w:t>废气量</w:t>
                  </w:r>
                  <w:r>
                    <w:rPr>
                      <w:b/>
                      <w:szCs w:val="21"/>
                    </w:rPr>
                    <w:t>Nm</w:t>
                  </w:r>
                  <w:r>
                    <w:rPr>
                      <w:b/>
                      <w:szCs w:val="21"/>
                      <w:vertAlign w:val="superscript"/>
                    </w:rPr>
                    <w:t>3</w:t>
                  </w:r>
                  <w:r>
                    <w:rPr>
                      <w:b/>
                      <w:szCs w:val="21"/>
                    </w:rPr>
                    <w:t>/h</w:t>
                  </w:r>
                </w:p>
              </w:tc>
              <w:tc>
                <w:tcPr>
                  <w:tcW w:w="293" w:type="pct"/>
                  <w:tcBorders>
                    <w:top w:val="single" w:sz="4" w:space="0" w:color="auto"/>
                    <w:left w:val="single" w:sz="4" w:space="0" w:color="auto"/>
                    <w:bottom w:val="single" w:sz="4" w:space="0" w:color="auto"/>
                    <w:right w:val="single" w:sz="4" w:space="0" w:color="auto"/>
                  </w:tcBorders>
                  <w:vAlign w:val="center"/>
                </w:tcPr>
                <w:p w14:paraId="73FE9CC2" w14:textId="77777777" w:rsidR="00F76A63" w:rsidRDefault="00000000">
                  <w:pPr>
                    <w:jc w:val="center"/>
                    <w:rPr>
                      <w:b/>
                      <w:szCs w:val="21"/>
                    </w:rPr>
                  </w:pPr>
                  <w:r>
                    <w:rPr>
                      <w:b/>
                      <w:szCs w:val="21"/>
                    </w:rPr>
                    <w:t>高度</w:t>
                  </w:r>
                  <w:r>
                    <w:rPr>
                      <w:b/>
                      <w:szCs w:val="21"/>
                    </w:rPr>
                    <w:t>m</w:t>
                  </w:r>
                </w:p>
              </w:tc>
              <w:tc>
                <w:tcPr>
                  <w:tcW w:w="196" w:type="pct"/>
                  <w:tcBorders>
                    <w:top w:val="single" w:sz="4" w:space="0" w:color="auto"/>
                    <w:left w:val="single" w:sz="4" w:space="0" w:color="auto"/>
                    <w:bottom w:val="single" w:sz="4" w:space="0" w:color="auto"/>
                    <w:right w:val="single" w:sz="4" w:space="0" w:color="auto"/>
                  </w:tcBorders>
                  <w:vAlign w:val="center"/>
                </w:tcPr>
                <w:p w14:paraId="09D0A55B" w14:textId="77777777" w:rsidR="00F76A63" w:rsidRDefault="00000000">
                  <w:pPr>
                    <w:jc w:val="center"/>
                    <w:rPr>
                      <w:b/>
                      <w:szCs w:val="21"/>
                    </w:rPr>
                  </w:pPr>
                  <w:r>
                    <w:rPr>
                      <w:b/>
                      <w:szCs w:val="21"/>
                    </w:rPr>
                    <w:t>内径</w:t>
                  </w:r>
                  <w:r>
                    <w:rPr>
                      <w:b/>
                      <w:szCs w:val="21"/>
                    </w:rPr>
                    <w:t>m</w:t>
                  </w:r>
                </w:p>
              </w:tc>
              <w:tc>
                <w:tcPr>
                  <w:tcW w:w="266" w:type="pct"/>
                  <w:tcBorders>
                    <w:top w:val="single" w:sz="4" w:space="0" w:color="auto"/>
                    <w:left w:val="single" w:sz="4" w:space="0" w:color="auto"/>
                    <w:bottom w:val="single" w:sz="4" w:space="0" w:color="auto"/>
                    <w:right w:val="nil"/>
                  </w:tcBorders>
                  <w:vAlign w:val="center"/>
                </w:tcPr>
                <w:p w14:paraId="246456AC" w14:textId="77777777" w:rsidR="00F76A63" w:rsidRDefault="00000000">
                  <w:pPr>
                    <w:jc w:val="center"/>
                    <w:rPr>
                      <w:b/>
                      <w:szCs w:val="21"/>
                    </w:rPr>
                  </w:pPr>
                  <w:r>
                    <w:rPr>
                      <w:b/>
                      <w:szCs w:val="21"/>
                    </w:rPr>
                    <w:t>温度</w:t>
                  </w:r>
                  <w:r>
                    <w:rPr>
                      <w:b/>
                      <w:szCs w:val="21"/>
                    </w:rPr>
                    <w:t>℃</w:t>
                  </w:r>
                </w:p>
              </w:tc>
            </w:tr>
            <w:tr w:rsidR="00F76A63" w14:paraId="17DD244B" w14:textId="77777777">
              <w:trPr>
                <w:trHeight w:val="340"/>
                <w:jc w:val="center"/>
              </w:trPr>
              <w:tc>
                <w:tcPr>
                  <w:tcW w:w="603" w:type="pct"/>
                  <w:tcBorders>
                    <w:top w:val="single" w:sz="4" w:space="0" w:color="auto"/>
                    <w:left w:val="nil"/>
                    <w:bottom w:val="single" w:sz="4" w:space="0" w:color="auto"/>
                    <w:right w:val="single" w:sz="4" w:space="0" w:color="auto"/>
                  </w:tcBorders>
                  <w:vAlign w:val="center"/>
                </w:tcPr>
                <w:p w14:paraId="01276A5C" w14:textId="77777777" w:rsidR="00F76A63" w:rsidRDefault="00000000">
                  <w:pPr>
                    <w:jc w:val="center"/>
                    <w:rPr>
                      <w:bCs/>
                      <w:szCs w:val="21"/>
                    </w:rPr>
                  </w:pPr>
                  <w:r>
                    <w:rPr>
                      <w:bCs/>
                      <w:szCs w:val="21"/>
                    </w:rPr>
                    <w:t>1#</w:t>
                  </w:r>
                  <w:r>
                    <w:rPr>
                      <w:bCs/>
                      <w:szCs w:val="21"/>
                    </w:rPr>
                    <w:t>线转运废气</w:t>
                  </w:r>
                  <w:r>
                    <w:rPr>
                      <w:bCs/>
                      <w:szCs w:val="21"/>
                    </w:rPr>
                    <w:lastRenderedPageBreak/>
                    <w:t>（</w:t>
                  </w:r>
                  <w:r>
                    <w:rPr>
                      <w:bCs/>
                      <w:szCs w:val="21"/>
                    </w:rPr>
                    <w:t>DA052</w:t>
                  </w:r>
                  <w:r>
                    <w:rPr>
                      <w:bCs/>
                      <w:szCs w:val="21"/>
                    </w:rPr>
                    <w:t>）</w:t>
                  </w:r>
                </w:p>
              </w:tc>
              <w:tc>
                <w:tcPr>
                  <w:tcW w:w="331" w:type="pct"/>
                  <w:tcBorders>
                    <w:top w:val="single" w:sz="4" w:space="0" w:color="auto"/>
                    <w:left w:val="single" w:sz="4" w:space="0" w:color="auto"/>
                    <w:bottom w:val="single" w:sz="4" w:space="0" w:color="auto"/>
                    <w:right w:val="single" w:sz="4" w:space="0" w:color="auto"/>
                  </w:tcBorders>
                  <w:vAlign w:val="center"/>
                </w:tcPr>
                <w:p w14:paraId="6027F23C" w14:textId="77777777" w:rsidR="00F76A63" w:rsidRDefault="00000000">
                  <w:pPr>
                    <w:jc w:val="center"/>
                    <w:rPr>
                      <w:bCs/>
                      <w:szCs w:val="21"/>
                    </w:rPr>
                  </w:pPr>
                  <w:r>
                    <w:rPr>
                      <w:bCs/>
                      <w:szCs w:val="21"/>
                    </w:rPr>
                    <w:lastRenderedPageBreak/>
                    <w:t>颗粒</w:t>
                  </w:r>
                  <w:r>
                    <w:rPr>
                      <w:bCs/>
                      <w:szCs w:val="21"/>
                    </w:rPr>
                    <w:lastRenderedPageBreak/>
                    <w:t>物</w:t>
                  </w:r>
                </w:p>
              </w:tc>
              <w:tc>
                <w:tcPr>
                  <w:tcW w:w="365" w:type="pct"/>
                  <w:tcBorders>
                    <w:top w:val="single" w:sz="4" w:space="0" w:color="auto"/>
                    <w:left w:val="single" w:sz="4" w:space="0" w:color="auto"/>
                    <w:bottom w:val="single" w:sz="4" w:space="0" w:color="auto"/>
                    <w:right w:val="single" w:sz="4" w:space="0" w:color="auto"/>
                  </w:tcBorders>
                  <w:vAlign w:val="center"/>
                </w:tcPr>
                <w:p w14:paraId="7784C515" w14:textId="77777777" w:rsidR="00F76A63" w:rsidRDefault="00000000">
                  <w:pPr>
                    <w:jc w:val="center"/>
                    <w:rPr>
                      <w:bCs/>
                      <w:szCs w:val="21"/>
                    </w:rPr>
                  </w:pPr>
                  <w:r>
                    <w:rPr>
                      <w:bCs/>
                      <w:szCs w:val="21"/>
                    </w:rPr>
                    <w:lastRenderedPageBreak/>
                    <w:t>18.63</w:t>
                  </w:r>
                </w:p>
              </w:tc>
              <w:tc>
                <w:tcPr>
                  <w:tcW w:w="342" w:type="pct"/>
                  <w:tcBorders>
                    <w:top w:val="single" w:sz="4" w:space="0" w:color="auto"/>
                    <w:left w:val="single" w:sz="4" w:space="0" w:color="auto"/>
                    <w:bottom w:val="single" w:sz="4" w:space="0" w:color="auto"/>
                    <w:right w:val="single" w:sz="4" w:space="0" w:color="auto"/>
                  </w:tcBorders>
                  <w:vAlign w:val="center"/>
                </w:tcPr>
                <w:p w14:paraId="3B89A167" w14:textId="77777777" w:rsidR="00F76A63" w:rsidRDefault="00000000">
                  <w:pPr>
                    <w:jc w:val="center"/>
                    <w:rPr>
                      <w:bCs/>
                      <w:szCs w:val="21"/>
                    </w:rPr>
                  </w:pPr>
                  <w:r>
                    <w:rPr>
                      <w:bCs/>
                      <w:szCs w:val="21"/>
                    </w:rPr>
                    <w:t>0.37</w:t>
                  </w:r>
                </w:p>
              </w:tc>
              <w:tc>
                <w:tcPr>
                  <w:tcW w:w="339" w:type="pct"/>
                  <w:tcBorders>
                    <w:top w:val="single" w:sz="4" w:space="0" w:color="auto"/>
                    <w:left w:val="single" w:sz="4" w:space="0" w:color="auto"/>
                    <w:bottom w:val="single" w:sz="4" w:space="0" w:color="auto"/>
                    <w:right w:val="single" w:sz="4" w:space="0" w:color="auto"/>
                  </w:tcBorders>
                  <w:vAlign w:val="center"/>
                </w:tcPr>
                <w:p w14:paraId="2A01C01D" w14:textId="77777777" w:rsidR="00F76A63" w:rsidRDefault="00000000">
                  <w:pPr>
                    <w:jc w:val="center"/>
                    <w:rPr>
                      <w:bCs/>
                      <w:szCs w:val="21"/>
                    </w:rPr>
                  </w:pPr>
                  <w:r>
                    <w:rPr>
                      <w:bCs/>
                      <w:szCs w:val="21"/>
                    </w:rPr>
                    <w:t>2.77</w:t>
                  </w:r>
                </w:p>
              </w:tc>
              <w:tc>
                <w:tcPr>
                  <w:tcW w:w="437" w:type="pct"/>
                  <w:tcBorders>
                    <w:top w:val="single" w:sz="4" w:space="0" w:color="auto"/>
                    <w:left w:val="single" w:sz="4" w:space="0" w:color="auto"/>
                    <w:bottom w:val="single" w:sz="4" w:space="0" w:color="auto"/>
                    <w:right w:val="single" w:sz="4" w:space="0" w:color="auto"/>
                  </w:tcBorders>
                  <w:vAlign w:val="center"/>
                </w:tcPr>
                <w:p w14:paraId="2033EE41" w14:textId="77777777" w:rsidR="00F76A63" w:rsidRDefault="00000000">
                  <w:pPr>
                    <w:jc w:val="center"/>
                    <w:rPr>
                      <w:bCs/>
                      <w:szCs w:val="21"/>
                    </w:rPr>
                  </w:pPr>
                  <w:r>
                    <w:rPr>
                      <w:bCs/>
                      <w:szCs w:val="21"/>
                    </w:rPr>
                    <w:t>布袋除尘</w:t>
                  </w:r>
                  <w:r>
                    <w:rPr>
                      <w:bCs/>
                      <w:szCs w:val="21"/>
                    </w:rPr>
                    <w:lastRenderedPageBreak/>
                    <w:t>器</w:t>
                  </w:r>
                </w:p>
              </w:tc>
              <w:tc>
                <w:tcPr>
                  <w:tcW w:w="247" w:type="pct"/>
                  <w:tcBorders>
                    <w:top w:val="single" w:sz="4" w:space="0" w:color="auto"/>
                    <w:left w:val="single" w:sz="4" w:space="0" w:color="auto"/>
                    <w:bottom w:val="single" w:sz="4" w:space="0" w:color="auto"/>
                    <w:right w:val="single" w:sz="4" w:space="0" w:color="auto"/>
                  </w:tcBorders>
                  <w:vAlign w:val="center"/>
                </w:tcPr>
                <w:p w14:paraId="034805AA" w14:textId="77777777" w:rsidR="00F76A63" w:rsidRDefault="00000000">
                  <w:pPr>
                    <w:jc w:val="center"/>
                    <w:rPr>
                      <w:bCs/>
                      <w:szCs w:val="21"/>
                    </w:rPr>
                  </w:pPr>
                  <w:r>
                    <w:rPr>
                      <w:bCs/>
                      <w:szCs w:val="21"/>
                    </w:rPr>
                    <w:lastRenderedPageBreak/>
                    <w:t>99%</w:t>
                  </w:r>
                </w:p>
              </w:tc>
              <w:tc>
                <w:tcPr>
                  <w:tcW w:w="337" w:type="pct"/>
                  <w:tcBorders>
                    <w:top w:val="single" w:sz="4" w:space="0" w:color="auto"/>
                    <w:left w:val="single" w:sz="4" w:space="0" w:color="auto"/>
                    <w:bottom w:val="single" w:sz="4" w:space="0" w:color="auto"/>
                    <w:right w:val="single" w:sz="4" w:space="0" w:color="auto"/>
                  </w:tcBorders>
                  <w:vAlign w:val="center"/>
                </w:tcPr>
                <w:p w14:paraId="7D0DFA42" w14:textId="77777777" w:rsidR="00F76A63" w:rsidRDefault="00000000">
                  <w:pPr>
                    <w:jc w:val="center"/>
                    <w:rPr>
                      <w:bCs/>
                      <w:szCs w:val="21"/>
                    </w:rPr>
                  </w:pPr>
                  <w:r>
                    <w:rPr>
                      <w:bCs/>
                      <w:szCs w:val="21"/>
                    </w:rPr>
                    <w:t>0.19</w:t>
                  </w:r>
                </w:p>
              </w:tc>
              <w:tc>
                <w:tcPr>
                  <w:tcW w:w="288" w:type="pct"/>
                  <w:tcBorders>
                    <w:top w:val="single" w:sz="4" w:space="0" w:color="auto"/>
                    <w:left w:val="single" w:sz="4" w:space="0" w:color="auto"/>
                    <w:bottom w:val="single" w:sz="4" w:space="0" w:color="auto"/>
                    <w:right w:val="single" w:sz="4" w:space="0" w:color="auto"/>
                  </w:tcBorders>
                  <w:vAlign w:val="center"/>
                </w:tcPr>
                <w:p w14:paraId="1C46BC54" w14:textId="77777777" w:rsidR="00F76A63" w:rsidRDefault="00000000">
                  <w:pPr>
                    <w:jc w:val="center"/>
                    <w:rPr>
                      <w:bCs/>
                      <w:szCs w:val="21"/>
                    </w:rPr>
                  </w:pPr>
                  <w:r>
                    <w:rPr>
                      <w:bCs/>
                      <w:szCs w:val="21"/>
                    </w:rPr>
                    <w:t>0.004</w:t>
                  </w:r>
                </w:p>
              </w:tc>
              <w:tc>
                <w:tcPr>
                  <w:tcW w:w="287" w:type="pct"/>
                  <w:tcBorders>
                    <w:top w:val="single" w:sz="4" w:space="0" w:color="auto"/>
                    <w:left w:val="single" w:sz="4" w:space="0" w:color="auto"/>
                    <w:bottom w:val="single" w:sz="4" w:space="0" w:color="auto"/>
                    <w:right w:val="single" w:sz="4" w:space="0" w:color="auto"/>
                  </w:tcBorders>
                  <w:vAlign w:val="center"/>
                </w:tcPr>
                <w:p w14:paraId="60B3A0C8" w14:textId="77777777" w:rsidR="00F76A63" w:rsidRDefault="00000000">
                  <w:pPr>
                    <w:jc w:val="center"/>
                    <w:rPr>
                      <w:bCs/>
                      <w:szCs w:val="21"/>
                    </w:rPr>
                  </w:pPr>
                  <w:r>
                    <w:rPr>
                      <w:bCs/>
                      <w:szCs w:val="21"/>
                    </w:rPr>
                    <w:t>0.028</w:t>
                  </w:r>
                </w:p>
              </w:tc>
              <w:tc>
                <w:tcPr>
                  <w:tcW w:w="337" w:type="pct"/>
                  <w:tcBorders>
                    <w:top w:val="single" w:sz="4" w:space="0" w:color="auto"/>
                    <w:left w:val="single" w:sz="4" w:space="0" w:color="auto"/>
                    <w:bottom w:val="single" w:sz="4" w:space="0" w:color="auto"/>
                    <w:right w:val="single" w:sz="4" w:space="0" w:color="auto"/>
                  </w:tcBorders>
                  <w:vAlign w:val="center"/>
                </w:tcPr>
                <w:p w14:paraId="662BF052" w14:textId="77777777" w:rsidR="00F76A63" w:rsidRDefault="00000000">
                  <w:pPr>
                    <w:jc w:val="center"/>
                    <w:rPr>
                      <w:bCs/>
                      <w:szCs w:val="21"/>
                    </w:rPr>
                  </w:pPr>
                  <w:r>
                    <w:rPr>
                      <w:bCs/>
                      <w:szCs w:val="21"/>
                    </w:rPr>
                    <w:t>20</w:t>
                  </w:r>
                </w:p>
              </w:tc>
              <w:tc>
                <w:tcPr>
                  <w:tcW w:w="332" w:type="pct"/>
                  <w:tcBorders>
                    <w:top w:val="single" w:sz="4" w:space="0" w:color="auto"/>
                    <w:left w:val="single" w:sz="4" w:space="0" w:color="auto"/>
                    <w:bottom w:val="single" w:sz="4" w:space="0" w:color="auto"/>
                    <w:right w:val="single" w:sz="4" w:space="0" w:color="auto"/>
                  </w:tcBorders>
                  <w:vAlign w:val="center"/>
                </w:tcPr>
                <w:p w14:paraId="3EAF678F" w14:textId="77777777" w:rsidR="00F76A63" w:rsidRDefault="00000000">
                  <w:pPr>
                    <w:jc w:val="center"/>
                    <w:rPr>
                      <w:bCs/>
                      <w:szCs w:val="21"/>
                    </w:rPr>
                  </w:pPr>
                  <w:r>
                    <w:rPr>
                      <w:bCs/>
                      <w:szCs w:val="21"/>
                    </w:rPr>
                    <w:t>20000</w:t>
                  </w:r>
                </w:p>
              </w:tc>
              <w:tc>
                <w:tcPr>
                  <w:tcW w:w="293" w:type="pct"/>
                  <w:tcBorders>
                    <w:top w:val="single" w:sz="4" w:space="0" w:color="auto"/>
                    <w:left w:val="single" w:sz="4" w:space="0" w:color="auto"/>
                    <w:bottom w:val="single" w:sz="4" w:space="0" w:color="auto"/>
                    <w:right w:val="single" w:sz="4" w:space="0" w:color="auto"/>
                  </w:tcBorders>
                  <w:vAlign w:val="center"/>
                </w:tcPr>
                <w:p w14:paraId="6A24B6C2" w14:textId="77777777" w:rsidR="00F76A63" w:rsidRDefault="00000000">
                  <w:pPr>
                    <w:jc w:val="center"/>
                    <w:rPr>
                      <w:bCs/>
                      <w:szCs w:val="21"/>
                    </w:rPr>
                  </w:pPr>
                  <w:r>
                    <w:rPr>
                      <w:bCs/>
                      <w:szCs w:val="21"/>
                    </w:rPr>
                    <w:t>15</w:t>
                  </w:r>
                </w:p>
              </w:tc>
              <w:tc>
                <w:tcPr>
                  <w:tcW w:w="196" w:type="pct"/>
                  <w:tcBorders>
                    <w:top w:val="single" w:sz="4" w:space="0" w:color="auto"/>
                    <w:left w:val="single" w:sz="4" w:space="0" w:color="auto"/>
                    <w:bottom w:val="single" w:sz="4" w:space="0" w:color="auto"/>
                    <w:right w:val="single" w:sz="4" w:space="0" w:color="auto"/>
                  </w:tcBorders>
                  <w:vAlign w:val="center"/>
                </w:tcPr>
                <w:p w14:paraId="1D841A34" w14:textId="77777777" w:rsidR="00F76A63" w:rsidRDefault="00000000">
                  <w:pPr>
                    <w:jc w:val="center"/>
                    <w:rPr>
                      <w:bCs/>
                      <w:szCs w:val="21"/>
                    </w:rPr>
                  </w:pPr>
                  <w:r>
                    <w:rPr>
                      <w:bCs/>
                      <w:szCs w:val="21"/>
                    </w:rPr>
                    <w:t>0.8</w:t>
                  </w:r>
                </w:p>
              </w:tc>
              <w:tc>
                <w:tcPr>
                  <w:tcW w:w="266" w:type="pct"/>
                  <w:tcBorders>
                    <w:top w:val="single" w:sz="4" w:space="0" w:color="auto"/>
                    <w:left w:val="single" w:sz="4" w:space="0" w:color="auto"/>
                    <w:bottom w:val="single" w:sz="4" w:space="0" w:color="auto"/>
                    <w:right w:val="nil"/>
                  </w:tcBorders>
                  <w:vAlign w:val="center"/>
                </w:tcPr>
                <w:p w14:paraId="6FEDFBAE" w14:textId="77777777" w:rsidR="00F76A63" w:rsidRDefault="00000000">
                  <w:pPr>
                    <w:jc w:val="center"/>
                    <w:rPr>
                      <w:bCs/>
                      <w:szCs w:val="21"/>
                    </w:rPr>
                  </w:pPr>
                  <w:r>
                    <w:rPr>
                      <w:bCs/>
                      <w:szCs w:val="21"/>
                    </w:rPr>
                    <w:t>25</w:t>
                  </w:r>
                </w:p>
              </w:tc>
            </w:tr>
            <w:tr w:rsidR="00F76A63" w14:paraId="3DB5136F" w14:textId="77777777">
              <w:trPr>
                <w:trHeight w:val="340"/>
                <w:jc w:val="center"/>
              </w:trPr>
              <w:tc>
                <w:tcPr>
                  <w:tcW w:w="603" w:type="pct"/>
                  <w:tcBorders>
                    <w:top w:val="single" w:sz="4" w:space="0" w:color="auto"/>
                    <w:left w:val="nil"/>
                    <w:bottom w:val="single" w:sz="4" w:space="0" w:color="auto"/>
                    <w:right w:val="single" w:sz="4" w:space="0" w:color="auto"/>
                  </w:tcBorders>
                  <w:vAlign w:val="center"/>
                </w:tcPr>
                <w:p w14:paraId="19C6223F" w14:textId="77777777" w:rsidR="00F76A63" w:rsidRDefault="00000000">
                  <w:pPr>
                    <w:jc w:val="center"/>
                    <w:rPr>
                      <w:bCs/>
                      <w:szCs w:val="21"/>
                    </w:rPr>
                  </w:pPr>
                  <w:r>
                    <w:rPr>
                      <w:bCs/>
                      <w:szCs w:val="21"/>
                    </w:rPr>
                    <w:t>2#</w:t>
                  </w:r>
                  <w:r>
                    <w:rPr>
                      <w:bCs/>
                      <w:szCs w:val="21"/>
                    </w:rPr>
                    <w:t>线转运废气（</w:t>
                  </w:r>
                  <w:r>
                    <w:rPr>
                      <w:bCs/>
                      <w:szCs w:val="21"/>
                    </w:rPr>
                    <w:t>DA053</w:t>
                  </w:r>
                  <w:r>
                    <w:rPr>
                      <w:bCs/>
                      <w:szCs w:val="21"/>
                    </w:rPr>
                    <w:t>）</w:t>
                  </w:r>
                </w:p>
              </w:tc>
              <w:tc>
                <w:tcPr>
                  <w:tcW w:w="331" w:type="pct"/>
                  <w:tcBorders>
                    <w:top w:val="single" w:sz="4" w:space="0" w:color="auto"/>
                    <w:left w:val="single" w:sz="4" w:space="0" w:color="auto"/>
                    <w:bottom w:val="single" w:sz="4" w:space="0" w:color="auto"/>
                    <w:right w:val="single" w:sz="4" w:space="0" w:color="auto"/>
                  </w:tcBorders>
                  <w:vAlign w:val="center"/>
                </w:tcPr>
                <w:p w14:paraId="611C8BEC" w14:textId="77777777" w:rsidR="00F76A63" w:rsidRDefault="00000000">
                  <w:pPr>
                    <w:jc w:val="center"/>
                    <w:rPr>
                      <w:bCs/>
                      <w:szCs w:val="21"/>
                    </w:rPr>
                  </w:pPr>
                  <w:r>
                    <w:rPr>
                      <w:bCs/>
                      <w:szCs w:val="21"/>
                    </w:rPr>
                    <w:t>颗粒物</w:t>
                  </w:r>
                </w:p>
              </w:tc>
              <w:tc>
                <w:tcPr>
                  <w:tcW w:w="365" w:type="pct"/>
                  <w:tcBorders>
                    <w:top w:val="single" w:sz="4" w:space="0" w:color="auto"/>
                    <w:left w:val="single" w:sz="4" w:space="0" w:color="auto"/>
                    <w:bottom w:val="single" w:sz="4" w:space="0" w:color="auto"/>
                    <w:right w:val="single" w:sz="4" w:space="0" w:color="auto"/>
                  </w:tcBorders>
                  <w:vAlign w:val="center"/>
                </w:tcPr>
                <w:p w14:paraId="1F30D00D" w14:textId="77777777" w:rsidR="00F76A63" w:rsidRDefault="00000000">
                  <w:pPr>
                    <w:jc w:val="center"/>
                    <w:rPr>
                      <w:bCs/>
                      <w:szCs w:val="21"/>
                    </w:rPr>
                  </w:pPr>
                  <w:r>
                    <w:rPr>
                      <w:bCs/>
                      <w:szCs w:val="21"/>
                    </w:rPr>
                    <w:t>10.69</w:t>
                  </w:r>
                </w:p>
              </w:tc>
              <w:tc>
                <w:tcPr>
                  <w:tcW w:w="342" w:type="pct"/>
                  <w:tcBorders>
                    <w:top w:val="single" w:sz="4" w:space="0" w:color="auto"/>
                    <w:left w:val="single" w:sz="4" w:space="0" w:color="auto"/>
                    <w:bottom w:val="single" w:sz="4" w:space="0" w:color="auto"/>
                    <w:right w:val="single" w:sz="4" w:space="0" w:color="auto"/>
                  </w:tcBorders>
                  <w:vAlign w:val="center"/>
                </w:tcPr>
                <w:p w14:paraId="2EAA4B1B" w14:textId="77777777" w:rsidR="00F76A63" w:rsidRDefault="00000000">
                  <w:pPr>
                    <w:jc w:val="center"/>
                    <w:rPr>
                      <w:bCs/>
                      <w:szCs w:val="21"/>
                    </w:rPr>
                  </w:pPr>
                  <w:r>
                    <w:rPr>
                      <w:bCs/>
                      <w:szCs w:val="21"/>
                    </w:rPr>
                    <w:t>0.21</w:t>
                  </w:r>
                </w:p>
              </w:tc>
              <w:tc>
                <w:tcPr>
                  <w:tcW w:w="339" w:type="pct"/>
                  <w:tcBorders>
                    <w:top w:val="single" w:sz="4" w:space="0" w:color="auto"/>
                    <w:left w:val="single" w:sz="4" w:space="0" w:color="auto"/>
                    <w:bottom w:val="single" w:sz="4" w:space="0" w:color="auto"/>
                    <w:right w:val="single" w:sz="4" w:space="0" w:color="auto"/>
                  </w:tcBorders>
                  <w:vAlign w:val="center"/>
                </w:tcPr>
                <w:p w14:paraId="5610101E" w14:textId="77777777" w:rsidR="00F76A63" w:rsidRDefault="00000000">
                  <w:pPr>
                    <w:jc w:val="center"/>
                    <w:rPr>
                      <w:bCs/>
                      <w:szCs w:val="21"/>
                    </w:rPr>
                  </w:pPr>
                  <w:r>
                    <w:rPr>
                      <w:bCs/>
                      <w:szCs w:val="21"/>
                    </w:rPr>
                    <w:t>1.59</w:t>
                  </w:r>
                </w:p>
              </w:tc>
              <w:tc>
                <w:tcPr>
                  <w:tcW w:w="437" w:type="pct"/>
                  <w:tcBorders>
                    <w:top w:val="single" w:sz="4" w:space="0" w:color="auto"/>
                    <w:left w:val="single" w:sz="4" w:space="0" w:color="auto"/>
                    <w:bottom w:val="single" w:sz="4" w:space="0" w:color="auto"/>
                    <w:right w:val="single" w:sz="4" w:space="0" w:color="auto"/>
                  </w:tcBorders>
                  <w:vAlign w:val="center"/>
                </w:tcPr>
                <w:p w14:paraId="41472969" w14:textId="77777777" w:rsidR="00F76A63" w:rsidRDefault="00000000">
                  <w:pPr>
                    <w:jc w:val="center"/>
                    <w:rPr>
                      <w:bCs/>
                      <w:szCs w:val="21"/>
                    </w:rPr>
                  </w:pPr>
                  <w:r>
                    <w:rPr>
                      <w:bCs/>
                      <w:szCs w:val="21"/>
                    </w:rPr>
                    <w:t>布袋除尘器</w:t>
                  </w:r>
                </w:p>
              </w:tc>
              <w:tc>
                <w:tcPr>
                  <w:tcW w:w="247" w:type="pct"/>
                  <w:tcBorders>
                    <w:top w:val="single" w:sz="4" w:space="0" w:color="auto"/>
                    <w:left w:val="single" w:sz="4" w:space="0" w:color="auto"/>
                    <w:bottom w:val="single" w:sz="4" w:space="0" w:color="auto"/>
                    <w:right w:val="single" w:sz="4" w:space="0" w:color="auto"/>
                  </w:tcBorders>
                  <w:vAlign w:val="center"/>
                </w:tcPr>
                <w:p w14:paraId="620C8B2B" w14:textId="77777777" w:rsidR="00F76A63" w:rsidRDefault="00000000">
                  <w:pPr>
                    <w:jc w:val="center"/>
                    <w:rPr>
                      <w:bCs/>
                      <w:szCs w:val="21"/>
                    </w:rPr>
                  </w:pPr>
                  <w:r>
                    <w:rPr>
                      <w:bCs/>
                      <w:szCs w:val="21"/>
                    </w:rPr>
                    <w:t>99%</w:t>
                  </w:r>
                </w:p>
              </w:tc>
              <w:tc>
                <w:tcPr>
                  <w:tcW w:w="337" w:type="pct"/>
                  <w:tcBorders>
                    <w:top w:val="single" w:sz="4" w:space="0" w:color="auto"/>
                    <w:left w:val="single" w:sz="4" w:space="0" w:color="auto"/>
                    <w:bottom w:val="single" w:sz="4" w:space="0" w:color="auto"/>
                    <w:right w:val="single" w:sz="4" w:space="0" w:color="auto"/>
                  </w:tcBorders>
                  <w:vAlign w:val="center"/>
                </w:tcPr>
                <w:p w14:paraId="1643CB4A" w14:textId="77777777" w:rsidR="00F76A63" w:rsidRDefault="00000000">
                  <w:pPr>
                    <w:jc w:val="center"/>
                    <w:rPr>
                      <w:bCs/>
                      <w:szCs w:val="21"/>
                    </w:rPr>
                  </w:pPr>
                  <w:r>
                    <w:rPr>
                      <w:bCs/>
                      <w:szCs w:val="21"/>
                    </w:rPr>
                    <w:t>0.11</w:t>
                  </w:r>
                </w:p>
              </w:tc>
              <w:tc>
                <w:tcPr>
                  <w:tcW w:w="288" w:type="pct"/>
                  <w:tcBorders>
                    <w:top w:val="single" w:sz="4" w:space="0" w:color="auto"/>
                    <w:left w:val="single" w:sz="4" w:space="0" w:color="auto"/>
                    <w:bottom w:val="single" w:sz="4" w:space="0" w:color="auto"/>
                    <w:right w:val="single" w:sz="4" w:space="0" w:color="auto"/>
                  </w:tcBorders>
                  <w:vAlign w:val="center"/>
                </w:tcPr>
                <w:p w14:paraId="41DA811E" w14:textId="77777777" w:rsidR="00F76A63" w:rsidRDefault="00000000">
                  <w:pPr>
                    <w:jc w:val="center"/>
                    <w:rPr>
                      <w:bCs/>
                      <w:szCs w:val="21"/>
                    </w:rPr>
                  </w:pPr>
                  <w:r>
                    <w:rPr>
                      <w:bCs/>
                      <w:szCs w:val="21"/>
                    </w:rPr>
                    <w:t>0.002</w:t>
                  </w:r>
                </w:p>
              </w:tc>
              <w:tc>
                <w:tcPr>
                  <w:tcW w:w="287" w:type="pct"/>
                  <w:tcBorders>
                    <w:top w:val="single" w:sz="4" w:space="0" w:color="auto"/>
                    <w:left w:val="single" w:sz="4" w:space="0" w:color="auto"/>
                    <w:bottom w:val="single" w:sz="4" w:space="0" w:color="auto"/>
                    <w:right w:val="single" w:sz="4" w:space="0" w:color="auto"/>
                  </w:tcBorders>
                  <w:vAlign w:val="center"/>
                </w:tcPr>
                <w:p w14:paraId="76982E51" w14:textId="77777777" w:rsidR="00F76A63" w:rsidRDefault="00000000">
                  <w:pPr>
                    <w:jc w:val="center"/>
                    <w:rPr>
                      <w:bCs/>
                      <w:szCs w:val="21"/>
                    </w:rPr>
                  </w:pPr>
                  <w:r>
                    <w:rPr>
                      <w:bCs/>
                      <w:szCs w:val="21"/>
                    </w:rPr>
                    <w:t>0.016</w:t>
                  </w:r>
                </w:p>
              </w:tc>
              <w:tc>
                <w:tcPr>
                  <w:tcW w:w="337" w:type="pct"/>
                  <w:tcBorders>
                    <w:top w:val="single" w:sz="4" w:space="0" w:color="auto"/>
                    <w:left w:val="single" w:sz="4" w:space="0" w:color="auto"/>
                    <w:bottom w:val="single" w:sz="4" w:space="0" w:color="auto"/>
                    <w:right w:val="single" w:sz="4" w:space="0" w:color="auto"/>
                  </w:tcBorders>
                  <w:vAlign w:val="center"/>
                </w:tcPr>
                <w:p w14:paraId="4735D223" w14:textId="77777777" w:rsidR="00F76A63" w:rsidRDefault="00000000">
                  <w:pPr>
                    <w:jc w:val="center"/>
                    <w:rPr>
                      <w:bCs/>
                      <w:szCs w:val="21"/>
                    </w:rPr>
                  </w:pPr>
                  <w:r>
                    <w:rPr>
                      <w:bCs/>
                      <w:szCs w:val="21"/>
                    </w:rPr>
                    <w:t>20</w:t>
                  </w:r>
                </w:p>
              </w:tc>
              <w:tc>
                <w:tcPr>
                  <w:tcW w:w="332" w:type="pct"/>
                  <w:tcBorders>
                    <w:top w:val="single" w:sz="4" w:space="0" w:color="auto"/>
                    <w:left w:val="single" w:sz="4" w:space="0" w:color="auto"/>
                    <w:bottom w:val="single" w:sz="4" w:space="0" w:color="auto"/>
                    <w:right w:val="single" w:sz="4" w:space="0" w:color="auto"/>
                  </w:tcBorders>
                  <w:vAlign w:val="center"/>
                </w:tcPr>
                <w:p w14:paraId="76CB542A" w14:textId="77777777" w:rsidR="00F76A63" w:rsidRDefault="00000000">
                  <w:pPr>
                    <w:jc w:val="center"/>
                    <w:rPr>
                      <w:bCs/>
                      <w:szCs w:val="21"/>
                    </w:rPr>
                  </w:pPr>
                  <w:r>
                    <w:rPr>
                      <w:bCs/>
                      <w:szCs w:val="21"/>
                    </w:rPr>
                    <w:t>20000</w:t>
                  </w:r>
                </w:p>
              </w:tc>
              <w:tc>
                <w:tcPr>
                  <w:tcW w:w="293" w:type="pct"/>
                  <w:tcBorders>
                    <w:top w:val="single" w:sz="4" w:space="0" w:color="auto"/>
                    <w:left w:val="single" w:sz="4" w:space="0" w:color="auto"/>
                    <w:bottom w:val="single" w:sz="4" w:space="0" w:color="auto"/>
                    <w:right w:val="single" w:sz="4" w:space="0" w:color="auto"/>
                  </w:tcBorders>
                  <w:vAlign w:val="center"/>
                </w:tcPr>
                <w:p w14:paraId="7168CC16" w14:textId="77777777" w:rsidR="00F76A63" w:rsidRDefault="00000000">
                  <w:pPr>
                    <w:jc w:val="center"/>
                    <w:rPr>
                      <w:bCs/>
                      <w:szCs w:val="21"/>
                    </w:rPr>
                  </w:pPr>
                  <w:r>
                    <w:rPr>
                      <w:bCs/>
                      <w:szCs w:val="21"/>
                    </w:rPr>
                    <w:t>15</w:t>
                  </w:r>
                </w:p>
              </w:tc>
              <w:tc>
                <w:tcPr>
                  <w:tcW w:w="196" w:type="pct"/>
                  <w:tcBorders>
                    <w:top w:val="single" w:sz="4" w:space="0" w:color="auto"/>
                    <w:left w:val="single" w:sz="4" w:space="0" w:color="auto"/>
                    <w:bottom w:val="single" w:sz="4" w:space="0" w:color="auto"/>
                    <w:right w:val="single" w:sz="4" w:space="0" w:color="auto"/>
                  </w:tcBorders>
                  <w:vAlign w:val="center"/>
                </w:tcPr>
                <w:p w14:paraId="5C6A5982" w14:textId="77777777" w:rsidR="00F76A63" w:rsidRDefault="00000000">
                  <w:pPr>
                    <w:jc w:val="center"/>
                    <w:rPr>
                      <w:bCs/>
                      <w:szCs w:val="21"/>
                    </w:rPr>
                  </w:pPr>
                  <w:r>
                    <w:rPr>
                      <w:bCs/>
                      <w:szCs w:val="21"/>
                    </w:rPr>
                    <w:t>0.8</w:t>
                  </w:r>
                </w:p>
              </w:tc>
              <w:tc>
                <w:tcPr>
                  <w:tcW w:w="266" w:type="pct"/>
                  <w:tcBorders>
                    <w:top w:val="single" w:sz="4" w:space="0" w:color="auto"/>
                    <w:left w:val="single" w:sz="4" w:space="0" w:color="auto"/>
                    <w:bottom w:val="single" w:sz="4" w:space="0" w:color="auto"/>
                    <w:right w:val="nil"/>
                  </w:tcBorders>
                  <w:vAlign w:val="center"/>
                </w:tcPr>
                <w:p w14:paraId="76F8B141" w14:textId="77777777" w:rsidR="00F76A63" w:rsidRDefault="00000000">
                  <w:pPr>
                    <w:jc w:val="center"/>
                    <w:rPr>
                      <w:bCs/>
                      <w:szCs w:val="21"/>
                    </w:rPr>
                  </w:pPr>
                  <w:r>
                    <w:rPr>
                      <w:bCs/>
                      <w:szCs w:val="21"/>
                    </w:rPr>
                    <w:t>25</w:t>
                  </w:r>
                </w:p>
              </w:tc>
            </w:tr>
            <w:tr w:rsidR="00F76A63" w14:paraId="2B4CDD98" w14:textId="77777777">
              <w:trPr>
                <w:trHeight w:val="340"/>
                <w:jc w:val="center"/>
              </w:trPr>
              <w:tc>
                <w:tcPr>
                  <w:tcW w:w="603" w:type="pct"/>
                  <w:tcBorders>
                    <w:top w:val="single" w:sz="4" w:space="0" w:color="auto"/>
                    <w:left w:val="nil"/>
                    <w:bottom w:val="single" w:sz="4" w:space="0" w:color="auto"/>
                    <w:right w:val="single" w:sz="4" w:space="0" w:color="auto"/>
                  </w:tcBorders>
                  <w:vAlign w:val="center"/>
                </w:tcPr>
                <w:p w14:paraId="66B756DF" w14:textId="77777777" w:rsidR="00F76A63" w:rsidRDefault="00000000">
                  <w:pPr>
                    <w:jc w:val="center"/>
                    <w:rPr>
                      <w:bCs/>
                      <w:szCs w:val="21"/>
                    </w:rPr>
                  </w:pPr>
                  <w:r>
                    <w:rPr>
                      <w:bCs/>
                      <w:szCs w:val="21"/>
                    </w:rPr>
                    <w:t>飞灰料仓</w:t>
                  </w:r>
                </w:p>
              </w:tc>
              <w:tc>
                <w:tcPr>
                  <w:tcW w:w="331" w:type="pct"/>
                  <w:tcBorders>
                    <w:top w:val="single" w:sz="4" w:space="0" w:color="auto"/>
                    <w:left w:val="single" w:sz="4" w:space="0" w:color="auto"/>
                    <w:bottom w:val="single" w:sz="4" w:space="0" w:color="auto"/>
                    <w:right w:val="single" w:sz="4" w:space="0" w:color="auto"/>
                  </w:tcBorders>
                  <w:vAlign w:val="center"/>
                </w:tcPr>
                <w:p w14:paraId="228CA924" w14:textId="77777777" w:rsidR="00F76A63" w:rsidRDefault="00000000">
                  <w:pPr>
                    <w:jc w:val="center"/>
                    <w:rPr>
                      <w:bCs/>
                      <w:szCs w:val="21"/>
                    </w:rPr>
                  </w:pPr>
                  <w:r>
                    <w:rPr>
                      <w:bCs/>
                      <w:szCs w:val="21"/>
                    </w:rPr>
                    <w:t>颗粒物</w:t>
                  </w:r>
                </w:p>
              </w:tc>
              <w:tc>
                <w:tcPr>
                  <w:tcW w:w="365" w:type="pct"/>
                  <w:tcBorders>
                    <w:top w:val="single" w:sz="4" w:space="0" w:color="auto"/>
                    <w:left w:val="single" w:sz="4" w:space="0" w:color="auto"/>
                    <w:bottom w:val="single" w:sz="4" w:space="0" w:color="auto"/>
                    <w:right w:val="single" w:sz="4" w:space="0" w:color="auto"/>
                  </w:tcBorders>
                  <w:vAlign w:val="center"/>
                </w:tcPr>
                <w:p w14:paraId="094194C9" w14:textId="77777777" w:rsidR="00F76A63" w:rsidRDefault="00000000">
                  <w:pPr>
                    <w:jc w:val="center"/>
                    <w:rPr>
                      <w:bCs/>
                      <w:szCs w:val="21"/>
                    </w:rPr>
                  </w:pPr>
                  <w:r>
                    <w:rPr>
                      <w:bCs/>
                      <w:szCs w:val="21"/>
                    </w:rPr>
                    <w:t>288.6</w:t>
                  </w:r>
                </w:p>
              </w:tc>
              <w:tc>
                <w:tcPr>
                  <w:tcW w:w="342" w:type="pct"/>
                  <w:tcBorders>
                    <w:top w:val="single" w:sz="4" w:space="0" w:color="auto"/>
                    <w:left w:val="single" w:sz="4" w:space="0" w:color="auto"/>
                    <w:bottom w:val="single" w:sz="4" w:space="0" w:color="auto"/>
                    <w:right w:val="single" w:sz="4" w:space="0" w:color="auto"/>
                  </w:tcBorders>
                  <w:vAlign w:val="center"/>
                </w:tcPr>
                <w:p w14:paraId="33F59A2B" w14:textId="77777777" w:rsidR="00F76A63" w:rsidRDefault="00000000">
                  <w:pPr>
                    <w:jc w:val="center"/>
                    <w:rPr>
                      <w:bCs/>
                      <w:szCs w:val="21"/>
                    </w:rPr>
                  </w:pPr>
                  <w:r>
                    <w:rPr>
                      <w:bCs/>
                      <w:szCs w:val="21"/>
                    </w:rPr>
                    <w:t>1.44</w:t>
                  </w:r>
                </w:p>
              </w:tc>
              <w:tc>
                <w:tcPr>
                  <w:tcW w:w="339" w:type="pct"/>
                  <w:tcBorders>
                    <w:top w:val="single" w:sz="4" w:space="0" w:color="auto"/>
                    <w:left w:val="single" w:sz="4" w:space="0" w:color="auto"/>
                    <w:bottom w:val="single" w:sz="4" w:space="0" w:color="auto"/>
                    <w:right w:val="single" w:sz="4" w:space="0" w:color="auto"/>
                  </w:tcBorders>
                  <w:vAlign w:val="center"/>
                </w:tcPr>
                <w:p w14:paraId="70283178" w14:textId="77777777" w:rsidR="00F76A63" w:rsidRDefault="00000000">
                  <w:pPr>
                    <w:jc w:val="center"/>
                    <w:rPr>
                      <w:bCs/>
                      <w:szCs w:val="21"/>
                    </w:rPr>
                  </w:pPr>
                  <w:r>
                    <w:rPr>
                      <w:bCs/>
                      <w:szCs w:val="21"/>
                    </w:rPr>
                    <w:t>10.7</w:t>
                  </w:r>
                </w:p>
              </w:tc>
              <w:tc>
                <w:tcPr>
                  <w:tcW w:w="437" w:type="pct"/>
                  <w:tcBorders>
                    <w:top w:val="single" w:sz="4" w:space="0" w:color="auto"/>
                    <w:left w:val="single" w:sz="4" w:space="0" w:color="auto"/>
                    <w:bottom w:val="single" w:sz="4" w:space="0" w:color="auto"/>
                    <w:right w:val="single" w:sz="4" w:space="0" w:color="auto"/>
                  </w:tcBorders>
                  <w:vAlign w:val="center"/>
                </w:tcPr>
                <w:p w14:paraId="50FEBE3B" w14:textId="77777777" w:rsidR="00F76A63" w:rsidRDefault="00000000">
                  <w:pPr>
                    <w:jc w:val="center"/>
                    <w:rPr>
                      <w:bCs/>
                      <w:szCs w:val="21"/>
                    </w:rPr>
                  </w:pPr>
                  <w:r>
                    <w:rPr>
                      <w:bCs/>
                      <w:szCs w:val="21"/>
                    </w:rPr>
                    <w:t>布袋除尘器</w:t>
                  </w:r>
                </w:p>
              </w:tc>
              <w:tc>
                <w:tcPr>
                  <w:tcW w:w="247" w:type="pct"/>
                  <w:tcBorders>
                    <w:top w:val="single" w:sz="4" w:space="0" w:color="auto"/>
                    <w:left w:val="single" w:sz="4" w:space="0" w:color="auto"/>
                    <w:bottom w:val="single" w:sz="4" w:space="0" w:color="auto"/>
                    <w:right w:val="single" w:sz="4" w:space="0" w:color="auto"/>
                  </w:tcBorders>
                  <w:vAlign w:val="center"/>
                </w:tcPr>
                <w:p w14:paraId="57D4BE2A" w14:textId="77777777" w:rsidR="00F76A63" w:rsidRDefault="00000000">
                  <w:pPr>
                    <w:jc w:val="center"/>
                    <w:rPr>
                      <w:bCs/>
                      <w:szCs w:val="21"/>
                    </w:rPr>
                  </w:pPr>
                  <w:r>
                    <w:rPr>
                      <w:bCs/>
                      <w:szCs w:val="21"/>
                    </w:rPr>
                    <w:t>99%</w:t>
                  </w:r>
                </w:p>
              </w:tc>
              <w:tc>
                <w:tcPr>
                  <w:tcW w:w="337" w:type="pct"/>
                  <w:tcBorders>
                    <w:top w:val="single" w:sz="4" w:space="0" w:color="auto"/>
                    <w:left w:val="single" w:sz="4" w:space="0" w:color="auto"/>
                    <w:bottom w:val="single" w:sz="4" w:space="0" w:color="auto"/>
                    <w:right w:val="single" w:sz="4" w:space="0" w:color="auto"/>
                  </w:tcBorders>
                  <w:vAlign w:val="center"/>
                </w:tcPr>
                <w:p w14:paraId="17903E35" w14:textId="77777777" w:rsidR="00F76A63" w:rsidRDefault="00000000">
                  <w:pPr>
                    <w:jc w:val="center"/>
                    <w:rPr>
                      <w:bCs/>
                      <w:szCs w:val="21"/>
                    </w:rPr>
                  </w:pPr>
                  <w:r>
                    <w:rPr>
                      <w:bCs/>
                      <w:szCs w:val="21"/>
                    </w:rPr>
                    <w:t>2.87</w:t>
                  </w:r>
                </w:p>
              </w:tc>
              <w:tc>
                <w:tcPr>
                  <w:tcW w:w="288" w:type="pct"/>
                  <w:tcBorders>
                    <w:top w:val="single" w:sz="4" w:space="0" w:color="auto"/>
                    <w:left w:val="single" w:sz="4" w:space="0" w:color="auto"/>
                    <w:bottom w:val="single" w:sz="4" w:space="0" w:color="auto"/>
                    <w:right w:val="single" w:sz="4" w:space="0" w:color="auto"/>
                  </w:tcBorders>
                  <w:vAlign w:val="center"/>
                </w:tcPr>
                <w:p w14:paraId="13AF2EC7" w14:textId="77777777" w:rsidR="00F76A63" w:rsidRDefault="00000000">
                  <w:pPr>
                    <w:jc w:val="center"/>
                    <w:rPr>
                      <w:bCs/>
                      <w:szCs w:val="21"/>
                    </w:rPr>
                  </w:pPr>
                  <w:r>
                    <w:rPr>
                      <w:bCs/>
                      <w:szCs w:val="21"/>
                    </w:rPr>
                    <w:t>0.014</w:t>
                  </w:r>
                </w:p>
              </w:tc>
              <w:tc>
                <w:tcPr>
                  <w:tcW w:w="287" w:type="pct"/>
                  <w:tcBorders>
                    <w:top w:val="single" w:sz="4" w:space="0" w:color="auto"/>
                    <w:left w:val="single" w:sz="4" w:space="0" w:color="auto"/>
                    <w:bottom w:val="single" w:sz="4" w:space="0" w:color="auto"/>
                    <w:right w:val="single" w:sz="4" w:space="0" w:color="auto"/>
                  </w:tcBorders>
                  <w:vAlign w:val="center"/>
                </w:tcPr>
                <w:p w14:paraId="42A2529F" w14:textId="77777777" w:rsidR="00F76A63" w:rsidRDefault="00000000">
                  <w:pPr>
                    <w:jc w:val="center"/>
                    <w:rPr>
                      <w:bCs/>
                      <w:szCs w:val="21"/>
                    </w:rPr>
                  </w:pPr>
                  <w:r>
                    <w:rPr>
                      <w:bCs/>
                      <w:szCs w:val="21"/>
                    </w:rPr>
                    <w:t>0.107</w:t>
                  </w:r>
                </w:p>
              </w:tc>
              <w:tc>
                <w:tcPr>
                  <w:tcW w:w="337" w:type="pct"/>
                  <w:tcBorders>
                    <w:top w:val="single" w:sz="4" w:space="0" w:color="auto"/>
                    <w:left w:val="single" w:sz="4" w:space="0" w:color="auto"/>
                    <w:bottom w:val="single" w:sz="4" w:space="0" w:color="auto"/>
                    <w:right w:val="single" w:sz="4" w:space="0" w:color="auto"/>
                  </w:tcBorders>
                  <w:vAlign w:val="center"/>
                </w:tcPr>
                <w:p w14:paraId="68487ECB" w14:textId="77777777" w:rsidR="00F76A63" w:rsidRDefault="00000000">
                  <w:pPr>
                    <w:jc w:val="center"/>
                    <w:rPr>
                      <w:bCs/>
                      <w:szCs w:val="21"/>
                    </w:rPr>
                  </w:pPr>
                  <w:r>
                    <w:rPr>
                      <w:bCs/>
                      <w:szCs w:val="21"/>
                    </w:rPr>
                    <w:t>10</w:t>
                  </w:r>
                </w:p>
              </w:tc>
              <w:tc>
                <w:tcPr>
                  <w:tcW w:w="332" w:type="pct"/>
                  <w:tcBorders>
                    <w:top w:val="single" w:sz="4" w:space="0" w:color="auto"/>
                    <w:left w:val="single" w:sz="4" w:space="0" w:color="auto"/>
                    <w:bottom w:val="single" w:sz="4" w:space="0" w:color="auto"/>
                    <w:right w:val="single" w:sz="4" w:space="0" w:color="auto"/>
                  </w:tcBorders>
                  <w:vAlign w:val="center"/>
                </w:tcPr>
                <w:p w14:paraId="40351434" w14:textId="77777777" w:rsidR="00F76A63" w:rsidRDefault="00000000">
                  <w:pPr>
                    <w:jc w:val="center"/>
                    <w:rPr>
                      <w:bCs/>
                      <w:szCs w:val="21"/>
                    </w:rPr>
                  </w:pPr>
                  <w:r>
                    <w:rPr>
                      <w:bCs/>
                      <w:szCs w:val="21"/>
                    </w:rPr>
                    <w:t>5000</w:t>
                  </w:r>
                </w:p>
              </w:tc>
              <w:tc>
                <w:tcPr>
                  <w:tcW w:w="293" w:type="pct"/>
                  <w:tcBorders>
                    <w:top w:val="single" w:sz="4" w:space="0" w:color="auto"/>
                    <w:left w:val="single" w:sz="4" w:space="0" w:color="auto"/>
                    <w:bottom w:val="single" w:sz="4" w:space="0" w:color="auto"/>
                    <w:right w:val="single" w:sz="4" w:space="0" w:color="auto"/>
                  </w:tcBorders>
                  <w:vAlign w:val="center"/>
                </w:tcPr>
                <w:p w14:paraId="4F54DC4A" w14:textId="77777777" w:rsidR="00F76A63" w:rsidRDefault="00000000">
                  <w:pPr>
                    <w:jc w:val="center"/>
                    <w:rPr>
                      <w:bCs/>
                      <w:szCs w:val="21"/>
                    </w:rPr>
                  </w:pPr>
                  <w:r>
                    <w:rPr>
                      <w:bCs/>
                      <w:szCs w:val="21"/>
                    </w:rPr>
                    <w:t>28</w:t>
                  </w:r>
                </w:p>
              </w:tc>
              <w:tc>
                <w:tcPr>
                  <w:tcW w:w="196" w:type="pct"/>
                  <w:tcBorders>
                    <w:top w:val="single" w:sz="4" w:space="0" w:color="auto"/>
                    <w:left w:val="single" w:sz="4" w:space="0" w:color="auto"/>
                    <w:bottom w:val="single" w:sz="4" w:space="0" w:color="auto"/>
                    <w:right w:val="single" w:sz="4" w:space="0" w:color="auto"/>
                  </w:tcBorders>
                  <w:vAlign w:val="center"/>
                </w:tcPr>
                <w:p w14:paraId="0593F514" w14:textId="77777777" w:rsidR="00F76A63" w:rsidRDefault="00000000">
                  <w:pPr>
                    <w:jc w:val="center"/>
                    <w:rPr>
                      <w:bCs/>
                      <w:szCs w:val="21"/>
                    </w:rPr>
                  </w:pPr>
                  <w:r>
                    <w:rPr>
                      <w:bCs/>
                      <w:szCs w:val="21"/>
                    </w:rPr>
                    <w:t>0.6</w:t>
                  </w:r>
                </w:p>
              </w:tc>
              <w:tc>
                <w:tcPr>
                  <w:tcW w:w="266" w:type="pct"/>
                  <w:tcBorders>
                    <w:top w:val="single" w:sz="4" w:space="0" w:color="auto"/>
                    <w:left w:val="single" w:sz="4" w:space="0" w:color="auto"/>
                    <w:bottom w:val="single" w:sz="4" w:space="0" w:color="auto"/>
                    <w:right w:val="nil"/>
                  </w:tcBorders>
                  <w:vAlign w:val="center"/>
                </w:tcPr>
                <w:p w14:paraId="182DACDA" w14:textId="77777777" w:rsidR="00F76A63" w:rsidRDefault="00000000">
                  <w:pPr>
                    <w:jc w:val="center"/>
                    <w:rPr>
                      <w:bCs/>
                      <w:szCs w:val="21"/>
                    </w:rPr>
                  </w:pPr>
                  <w:r>
                    <w:rPr>
                      <w:bCs/>
                      <w:szCs w:val="21"/>
                    </w:rPr>
                    <w:t>25</w:t>
                  </w:r>
                </w:p>
              </w:tc>
            </w:tr>
            <w:tr w:rsidR="00F76A63" w14:paraId="35FE5FDC" w14:textId="77777777">
              <w:trPr>
                <w:trHeight w:val="340"/>
                <w:jc w:val="center"/>
              </w:trPr>
              <w:tc>
                <w:tcPr>
                  <w:tcW w:w="603" w:type="pct"/>
                  <w:tcBorders>
                    <w:top w:val="single" w:sz="4" w:space="0" w:color="auto"/>
                    <w:left w:val="nil"/>
                    <w:bottom w:val="single" w:sz="4" w:space="0" w:color="auto"/>
                    <w:right w:val="single" w:sz="4" w:space="0" w:color="auto"/>
                  </w:tcBorders>
                  <w:vAlign w:val="center"/>
                </w:tcPr>
                <w:p w14:paraId="3EDDE51D" w14:textId="77777777" w:rsidR="00F76A63" w:rsidRDefault="00000000">
                  <w:pPr>
                    <w:jc w:val="center"/>
                    <w:rPr>
                      <w:bCs/>
                      <w:szCs w:val="21"/>
                    </w:rPr>
                  </w:pPr>
                  <w:r>
                    <w:rPr>
                      <w:bCs/>
                      <w:szCs w:val="21"/>
                    </w:rPr>
                    <w:t>破碎粉尘（</w:t>
                  </w:r>
                  <w:r>
                    <w:rPr>
                      <w:bCs/>
                      <w:szCs w:val="21"/>
                    </w:rPr>
                    <w:t>DA125</w:t>
                  </w:r>
                  <w:r>
                    <w:rPr>
                      <w:bCs/>
                      <w:szCs w:val="21"/>
                    </w:rPr>
                    <w:t>）</w:t>
                  </w:r>
                </w:p>
              </w:tc>
              <w:tc>
                <w:tcPr>
                  <w:tcW w:w="331" w:type="pct"/>
                  <w:tcBorders>
                    <w:top w:val="single" w:sz="4" w:space="0" w:color="auto"/>
                    <w:left w:val="single" w:sz="4" w:space="0" w:color="auto"/>
                    <w:bottom w:val="single" w:sz="4" w:space="0" w:color="auto"/>
                    <w:right w:val="single" w:sz="4" w:space="0" w:color="auto"/>
                  </w:tcBorders>
                  <w:vAlign w:val="center"/>
                </w:tcPr>
                <w:p w14:paraId="61AB5BA8" w14:textId="77777777" w:rsidR="00F76A63" w:rsidRDefault="00000000">
                  <w:pPr>
                    <w:jc w:val="center"/>
                    <w:rPr>
                      <w:bCs/>
                      <w:szCs w:val="21"/>
                    </w:rPr>
                  </w:pPr>
                  <w:r>
                    <w:rPr>
                      <w:bCs/>
                      <w:szCs w:val="21"/>
                    </w:rPr>
                    <w:t>颗粒物</w:t>
                  </w:r>
                </w:p>
              </w:tc>
              <w:tc>
                <w:tcPr>
                  <w:tcW w:w="365" w:type="pct"/>
                  <w:tcBorders>
                    <w:top w:val="single" w:sz="4" w:space="0" w:color="auto"/>
                    <w:left w:val="single" w:sz="4" w:space="0" w:color="auto"/>
                    <w:bottom w:val="single" w:sz="4" w:space="0" w:color="auto"/>
                    <w:right w:val="single" w:sz="4" w:space="0" w:color="auto"/>
                  </w:tcBorders>
                  <w:vAlign w:val="center"/>
                </w:tcPr>
                <w:p w14:paraId="05E818DF" w14:textId="77777777" w:rsidR="00F76A63" w:rsidRDefault="00000000">
                  <w:pPr>
                    <w:jc w:val="center"/>
                    <w:rPr>
                      <w:bCs/>
                      <w:szCs w:val="21"/>
                    </w:rPr>
                  </w:pPr>
                  <w:r>
                    <w:rPr>
                      <w:bCs/>
                      <w:szCs w:val="21"/>
                    </w:rPr>
                    <w:t>124.1</w:t>
                  </w:r>
                </w:p>
              </w:tc>
              <w:tc>
                <w:tcPr>
                  <w:tcW w:w="342" w:type="pct"/>
                  <w:tcBorders>
                    <w:top w:val="single" w:sz="4" w:space="0" w:color="auto"/>
                    <w:left w:val="single" w:sz="4" w:space="0" w:color="auto"/>
                    <w:bottom w:val="single" w:sz="4" w:space="0" w:color="auto"/>
                    <w:right w:val="single" w:sz="4" w:space="0" w:color="auto"/>
                  </w:tcBorders>
                  <w:vAlign w:val="center"/>
                </w:tcPr>
                <w:p w14:paraId="340ED883" w14:textId="77777777" w:rsidR="00F76A63" w:rsidRDefault="00000000">
                  <w:pPr>
                    <w:jc w:val="center"/>
                    <w:rPr>
                      <w:bCs/>
                      <w:szCs w:val="21"/>
                    </w:rPr>
                  </w:pPr>
                  <w:r>
                    <w:rPr>
                      <w:bCs/>
                      <w:szCs w:val="21"/>
                    </w:rPr>
                    <w:t>2.482</w:t>
                  </w:r>
                </w:p>
              </w:tc>
              <w:tc>
                <w:tcPr>
                  <w:tcW w:w="339" w:type="pct"/>
                  <w:tcBorders>
                    <w:top w:val="single" w:sz="4" w:space="0" w:color="auto"/>
                    <w:left w:val="single" w:sz="4" w:space="0" w:color="auto"/>
                    <w:bottom w:val="single" w:sz="4" w:space="0" w:color="auto"/>
                    <w:right w:val="single" w:sz="4" w:space="0" w:color="auto"/>
                  </w:tcBorders>
                  <w:vAlign w:val="center"/>
                </w:tcPr>
                <w:p w14:paraId="3894E797" w14:textId="77777777" w:rsidR="00F76A63" w:rsidRDefault="00000000">
                  <w:pPr>
                    <w:jc w:val="center"/>
                    <w:rPr>
                      <w:bCs/>
                      <w:szCs w:val="21"/>
                    </w:rPr>
                  </w:pPr>
                  <w:r>
                    <w:rPr>
                      <w:bCs/>
                      <w:szCs w:val="21"/>
                    </w:rPr>
                    <w:t>18.467</w:t>
                  </w:r>
                </w:p>
              </w:tc>
              <w:tc>
                <w:tcPr>
                  <w:tcW w:w="437" w:type="pct"/>
                  <w:tcBorders>
                    <w:top w:val="single" w:sz="4" w:space="0" w:color="auto"/>
                    <w:left w:val="single" w:sz="4" w:space="0" w:color="auto"/>
                    <w:bottom w:val="single" w:sz="4" w:space="0" w:color="auto"/>
                    <w:right w:val="single" w:sz="4" w:space="0" w:color="auto"/>
                  </w:tcBorders>
                  <w:vAlign w:val="center"/>
                </w:tcPr>
                <w:p w14:paraId="43856911" w14:textId="77777777" w:rsidR="00F76A63" w:rsidRDefault="00000000">
                  <w:pPr>
                    <w:jc w:val="center"/>
                    <w:rPr>
                      <w:bCs/>
                      <w:szCs w:val="21"/>
                    </w:rPr>
                  </w:pPr>
                  <w:r>
                    <w:rPr>
                      <w:bCs/>
                      <w:szCs w:val="21"/>
                    </w:rPr>
                    <w:t>布袋除尘</w:t>
                  </w:r>
                </w:p>
              </w:tc>
              <w:tc>
                <w:tcPr>
                  <w:tcW w:w="247" w:type="pct"/>
                  <w:tcBorders>
                    <w:top w:val="single" w:sz="4" w:space="0" w:color="auto"/>
                    <w:left w:val="single" w:sz="4" w:space="0" w:color="auto"/>
                    <w:bottom w:val="single" w:sz="4" w:space="0" w:color="auto"/>
                    <w:right w:val="single" w:sz="4" w:space="0" w:color="auto"/>
                  </w:tcBorders>
                  <w:vAlign w:val="center"/>
                </w:tcPr>
                <w:p w14:paraId="701C8983" w14:textId="77777777" w:rsidR="00F76A63" w:rsidRDefault="00000000">
                  <w:pPr>
                    <w:jc w:val="center"/>
                    <w:rPr>
                      <w:bCs/>
                      <w:szCs w:val="21"/>
                    </w:rPr>
                  </w:pPr>
                  <w:r>
                    <w:rPr>
                      <w:bCs/>
                      <w:szCs w:val="21"/>
                    </w:rPr>
                    <w:t>99.5%</w:t>
                  </w:r>
                </w:p>
              </w:tc>
              <w:tc>
                <w:tcPr>
                  <w:tcW w:w="337" w:type="pct"/>
                  <w:tcBorders>
                    <w:top w:val="single" w:sz="4" w:space="0" w:color="auto"/>
                    <w:left w:val="single" w:sz="4" w:space="0" w:color="auto"/>
                    <w:bottom w:val="single" w:sz="4" w:space="0" w:color="auto"/>
                    <w:right w:val="single" w:sz="4" w:space="0" w:color="auto"/>
                  </w:tcBorders>
                  <w:vAlign w:val="center"/>
                </w:tcPr>
                <w:p w14:paraId="11D46CB7" w14:textId="77777777" w:rsidR="00F76A63" w:rsidRDefault="00000000">
                  <w:pPr>
                    <w:jc w:val="center"/>
                    <w:rPr>
                      <w:bCs/>
                      <w:szCs w:val="21"/>
                    </w:rPr>
                  </w:pPr>
                  <w:r>
                    <w:rPr>
                      <w:bCs/>
                      <w:szCs w:val="21"/>
                    </w:rPr>
                    <w:t>0.62</w:t>
                  </w:r>
                </w:p>
              </w:tc>
              <w:tc>
                <w:tcPr>
                  <w:tcW w:w="288" w:type="pct"/>
                  <w:tcBorders>
                    <w:top w:val="single" w:sz="4" w:space="0" w:color="auto"/>
                    <w:left w:val="single" w:sz="4" w:space="0" w:color="auto"/>
                    <w:bottom w:val="single" w:sz="4" w:space="0" w:color="auto"/>
                    <w:right w:val="single" w:sz="4" w:space="0" w:color="auto"/>
                  </w:tcBorders>
                  <w:vAlign w:val="center"/>
                </w:tcPr>
                <w:p w14:paraId="1D5B615A" w14:textId="77777777" w:rsidR="00F76A63" w:rsidRDefault="00000000">
                  <w:pPr>
                    <w:jc w:val="center"/>
                    <w:rPr>
                      <w:bCs/>
                      <w:szCs w:val="21"/>
                    </w:rPr>
                  </w:pPr>
                  <w:r>
                    <w:rPr>
                      <w:bCs/>
                      <w:szCs w:val="21"/>
                    </w:rPr>
                    <w:t>0.012</w:t>
                  </w:r>
                </w:p>
              </w:tc>
              <w:tc>
                <w:tcPr>
                  <w:tcW w:w="287" w:type="pct"/>
                  <w:tcBorders>
                    <w:top w:val="single" w:sz="4" w:space="0" w:color="auto"/>
                    <w:left w:val="single" w:sz="4" w:space="0" w:color="auto"/>
                    <w:bottom w:val="single" w:sz="4" w:space="0" w:color="auto"/>
                    <w:right w:val="single" w:sz="4" w:space="0" w:color="auto"/>
                  </w:tcBorders>
                  <w:vAlign w:val="center"/>
                </w:tcPr>
                <w:p w14:paraId="55B28E5D" w14:textId="77777777" w:rsidR="00F76A63" w:rsidRDefault="00000000">
                  <w:pPr>
                    <w:jc w:val="center"/>
                    <w:rPr>
                      <w:bCs/>
                      <w:szCs w:val="21"/>
                    </w:rPr>
                  </w:pPr>
                  <w:r>
                    <w:rPr>
                      <w:bCs/>
                      <w:szCs w:val="21"/>
                    </w:rPr>
                    <w:t>0.092</w:t>
                  </w:r>
                </w:p>
              </w:tc>
              <w:tc>
                <w:tcPr>
                  <w:tcW w:w="337" w:type="pct"/>
                  <w:tcBorders>
                    <w:top w:val="single" w:sz="4" w:space="0" w:color="auto"/>
                    <w:left w:val="single" w:sz="4" w:space="0" w:color="auto"/>
                    <w:bottom w:val="single" w:sz="4" w:space="0" w:color="auto"/>
                    <w:right w:val="single" w:sz="4" w:space="0" w:color="auto"/>
                  </w:tcBorders>
                  <w:vAlign w:val="center"/>
                </w:tcPr>
                <w:p w14:paraId="3E0C695E" w14:textId="77777777" w:rsidR="00F76A63" w:rsidRDefault="00000000">
                  <w:pPr>
                    <w:jc w:val="center"/>
                    <w:rPr>
                      <w:bCs/>
                      <w:szCs w:val="21"/>
                    </w:rPr>
                  </w:pPr>
                  <w:r>
                    <w:rPr>
                      <w:bCs/>
                      <w:szCs w:val="21"/>
                    </w:rPr>
                    <w:t>20</w:t>
                  </w:r>
                </w:p>
              </w:tc>
              <w:tc>
                <w:tcPr>
                  <w:tcW w:w="332" w:type="pct"/>
                  <w:tcBorders>
                    <w:top w:val="single" w:sz="4" w:space="0" w:color="auto"/>
                    <w:left w:val="single" w:sz="4" w:space="0" w:color="auto"/>
                    <w:bottom w:val="single" w:sz="4" w:space="0" w:color="auto"/>
                    <w:right w:val="single" w:sz="4" w:space="0" w:color="auto"/>
                  </w:tcBorders>
                  <w:vAlign w:val="center"/>
                </w:tcPr>
                <w:p w14:paraId="7D32FDFB" w14:textId="77777777" w:rsidR="00F76A63" w:rsidRDefault="00000000">
                  <w:pPr>
                    <w:jc w:val="center"/>
                    <w:rPr>
                      <w:bCs/>
                      <w:szCs w:val="21"/>
                    </w:rPr>
                  </w:pPr>
                  <w:r>
                    <w:rPr>
                      <w:bCs/>
                      <w:szCs w:val="21"/>
                    </w:rPr>
                    <w:t>20000</w:t>
                  </w:r>
                </w:p>
              </w:tc>
              <w:tc>
                <w:tcPr>
                  <w:tcW w:w="293" w:type="pct"/>
                  <w:tcBorders>
                    <w:top w:val="single" w:sz="4" w:space="0" w:color="auto"/>
                    <w:left w:val="single" w:sz="4" w:space="0" w:color="auto"/>
                    <w:bottom w:val="single" w:sz="4" w:space="0" w:color="auto"/>
                    <w:right w:val="single" w:sz="4" w:space="0" w:color="auto"/>
                  </w:tcBorders>
                  <w:vAlign w:val="center"/>
                </w:tcPr>
                <w:p w14:paraId="28468749" w14:textId="77777777" w:rsidR="00F76A63" w:rsidRDefault="00000000">
                  <w:pPr>
                    <w:jc w:val="center"/>
                    <w:rPr>
                      <w:bCs/>
                      <w:szCs w:val="21"/>
                    </w:rPr>
                  </w:pPr>
                  <w:r>
                    <w:rPr>
                      <w:bCs/>
                      <w:szCs w:val="21"/>
                    </w:rPr>
                    <w:t>15</w:t>
                  </w:r>
                </w:p>
              </w:tc>
              <w:tc>
                <w:tcPr>
                  <w:tcW w:w="196" w:type="pct"/>
                  <w:tcBorders>
                    <w:top w:val="single" w:sz="4" w:space="0" w:color="auto"/>
                    <w:left w:val="single" w:sz="4" w:space="0" w:color="auto"/>
                    <w:bottom w:val="single" w:sz="4" w:space="0" w:color="auto"/>
                    <w:right w:val="single" w:sz="4" w:space="0" w:color="auto"/>
                  </w:tcBorders>
                  <w:vAlign w:val="center"/>
                </w:tcPr>
                <w:p w14:paraId="34C0D429" w14:textId="77777777" w:rsidR="00F76A63" w:rsidRDefault="00000000">
                  <w:pPr>
                    <w:jc w:val="center"/>
                    <w:rPr>
                      <w:bCs/>
                      <w:szCs w:val="21"/>
                    </w:rPr>
                  </w:pPr>
                  <w:r>
                    <w:rPr>
                      <w:bCs/>
                      <w:szCs w:val="21"/>
                    </w:rPr>
                    <w:t>1.1</w:t>
                  </w:r>
                </w:p>
              </w:tc>
              <w:tc>
                <w:tcPr>
                  <w:tcW w:w="266" w:type="pct"/>
                  <w:tcBorders>
                    <w:top w:val="single" w:sz="4" w:space="0" w:color="auto"/>
                    <w:left w:val="single" w:sz="4" w:space="0" w:color="auto"/>
                    <w:bottom w:val="single" w:sz="4" w:space="0" w:color="auto"/>
                    <w:right w:val="nil"/>
                  </w:tcBorders>
                  <w:vAlign w:val="center"/>
                </w:tcPr>
                <w:p w14:paraId="6497FE29" w14:textId="77777777" w:rsidR="00F76A63" w:rsidRDefault="00000000">
                  <w:pPr>
                    <w:jc w:val="center"/>
                    <w:rPr>
                      <w:bCs/>
                      <w:szCs w:val="21"/>
                    </w:rPr>
                  </w:pPr>
                  <w:r>
                    <w:rPr>
                      <w:bCs/>
                      <w:szCs w:val="21"/>
                    </w:rPr>
                    <w:t>25</w:t>
                  </w:r>
                </w:p>
              </w:tc>
            </w:tr>
            <w:tr w:rsidR="00F76A63" w14:paraId="3B65035D" w14:textId="77777777">
              <w:trPr>
                <w:trHeight w:val="340"/>
                <w:jc w:val="center"/>
              </w:trPr>
              <w:tc>
                <w:tcPr>
                  <w:tcW w:w="603" w:type="pct"/>
                  <w:tcBorders>
                    <w:top w:val="single" w:sz="4" w:space="0" w:color="auto"/>
                    <w:left w:val="nil"/>
                    <w:bottom w:val="single" w:sz="4" w:space="0" w:color="auto"/>
                    <w:right w:val="single" w:sz="4" w:space="0" w:color="auto"/>
                  </w:tcBorders>
                  <w:vAlign w:val="center"/>
                </w:tcPr>
                <w:p w14:paraId="7AB04326" w14:textId="77777777" w:rsidR="00F76A63" w:rsidRDefault="00000000">
                  <w:pPr>
                    <w:jc w:val="center"/>
                    <w:rPr>
                      <w:bCs/>
                      <w:szCs w:val="21"/>
                    </w:rPr>
                  </w:pPr>
                  <w:r>
                    <w:rPr>
                      <w:bCs/>
                      <w:szCs w:val="21"/>
                    </w:rPr>
                    <w:t>破碎粉尘（</w:t>
                  </w:r>
                  <w:r>
                    <w:rPr>
                      <w:bCs/>
                      <w:szCs w:val="21"/>
                    </w:rPr>
                    <w:t>DA192</w:t>
                  </w:r>
                  <w:r>
                    <w:rPr>
                      <w:bCs/>
                      <w:szCs w:val="21"/>
                    </w:rPr>
                    <w:t>）</w:t>
                  </w:r>
                </w:p>
              </w:tc>
              <w:tc>
                <w:tcPr>
                  <w:tcW w:w="331" w:type="pct"/>
                  <w:tcBorders>
                    <w:top w:val="single" w:sz="4" w:space="0" w:color="auto"/>
                    <w:left w:val="single" w:sz="4" w:space="0" w:color="auto"/>
                    <w:bottom w:val="single" w:sz="4" w:space="0" w:color="auto"/>
                    <w:right w:val="single" w:sz="4" w:space="0" w:color="auto"/>
                  </w:tcBorders>
                  <w:vAlign w:val="center"/>
                </w:tcPr>
                <w:p w14:paraId="570D0CE7" w14:textId="77777777" w:rsidR="00F76A63" w:rsidRDefault="00000000">
                  <w:pPr>
                    <w:jc w:val="center"/>
                    <w:rPr>
                      <w:bCs/>
                      <w:szCs w:val="21"/>
                    </w:rPr>
                  </w:pPr>
                  <w:r>
                    <w:rPr>
                      <w:bCs/>
                      <w:szCs w:val="21"/>
                    </w:rPr>
                    <w:t>颗粒物</w:t>
                  </w:r>
                </w:p>
              </w:tc>
              <w:tc>
                <w:tcPr>
                  <w:tcW w:w="365" w:type="pct"/>
                  <w:tcBorders>
                    <w:top w:val="single" w:sz="4" w:space="0" w:color="auto"/>
                    <w:left w:val="single" w:sz="4" w:space="0" w:color="auto"/>
                    <w:bottom w:val="single" w:sz="4" w:space="0" w:color="auto"/>
                    <w:right w:val="single" w:sz="4" w:space="0" w:color="auto"/>
                  </w:tcBorders>
                  <w:vAlign w:val="center"/>
                </w:tcPr>
                <w:p w14:paraId="2AB4DCC0" w14:textId="77777777" w:rsidR="00F76A63" w:rsidRDefault="00000000">
                  <w:pPr>
                    <w:jc w:val="center"/>
                    <w:rPr>
                      <w:bCs/>
                      <w:szCs w:val="21"/>
                    </w:rPr>
                  </w:pPr>
                  <w:r>
                    <w:rPr>
                      <w:bCs/>
                      <w:szCs w:val="21"/>
                    </w:rPr>
                    <w:t>124.1</w:t>
                  </w:r>
                </w:p>
              </w:tc>
              <w:tc>
                <w:tcPr>
                  <w:tcW w:w="342" w:type="pct"/>
                  <w:tcBorders>
                    <w:top w:val="single" w:sz="4" w:space="0" w:color="auto"/>
                    <w:left w:val="single" w:sz="4" w:space="0" w:color="auto"/>
                    <w:bottom w:val="single" w:sz="4" w:space="0" w:color="auto"/>
                    <w:right w:val="single" w:sz="4" w:space="0" w:color="auto"/>
                  </w:tcBorders>
                  <w:vAlign w:val="center"/>
                </w:tcPr>
                <w:p w14:paraId="77857BA0" w14:textId="77777777" w:rsidR="00F76A63" w:rsidRDefault="00000000">
                  <w:pPr>
                    <w:jc w:val="center"/>
                    <w:rPr>
                      <w:bCs/>
                      <w:szCs w:val="21"/>
                    </w:rPr>
                  </w:pPr>
                  <w:r>
                    <w:rPr>
                      <w:bCs/>
                      <w:szCs w:val="21"/>
                    </w:rPr>
                    <w:t>2.482</w:t>
                  </w:r>
                </w:p>
              </w:tc>
              <w:tc>
                <w:tcPr>
                  <w:tcW w:w="339" w:type="pct"/>
                  <w:tcBorders>
                    <w:top w:val="single" w:sz="4" w:space="0" w:color="auto"/>
                    <w:left w:val="single" w:sz="4" w:space="0" w:color="auto"/>
                    <w:bottom w:val="single" w:sz="4" w:space="0" w:color="auto"/>
                    <w:right w:val="single" w:sz="4" w:space="0" w:color="auto"/>
                  </w:tcBorders>
                  <w:vAlign w:val="center"/>
                </w:tcPr>
                <w:p w14:paraId="56E4AD13" w14:textId="77777777" w:rsidR="00F76A63" w:rsidRDefault="00000000">
                  <w:pPr>
                    <w:jc w:val="center"/>
                    <w:rPr>
                      <w:bCs/>
                      <w:szCs w:val="21"/>
                    </w:rPr>
                  </w:pPr>
                  <w:r>
                    <w:rPr>
                      <w:bCs/>
                      <w:szCs w:val="21"/>
                    </w:rPr>
                    <w:t>18.467</w:t>
                  </w:r>
                </w:p>
              </w:tc>
              <w:tc>
                <w:tcPr>
                  <w:tcW w:w="437" w:type="pct"/>
                  <w:tcBorders>
                    <w:top w:val="single" w:sz="4" w:space="0" w:color="auto"/>
                    <w:left w:val="single" w:sz="4" w:space="0" w:color="auto"/>
                    <w:bottom w:val="single" w:sz="4" w:space="0" w:color="auto"/>
                    <w:right w:val="single" w:sz="4" w:space="0" w:color="auto"/>
                  </w:tcBorders>
                  <w:vAlign w:val="center"/>
                </w:tcPr>
                <w:p w14:paraId="1DD086CC" w14:textId="77777777" w:rsidR="00F76A63" w:rsidRDefault="00000000">
                  <w:pPr>
                    <w:jc w:val="center"/>
                    <w:rPr>
                      <w:bCs/>
                      <w:szCs w:val="21"/>
                    </w:rPr>
                  </w:pPr>
                  <w:r>
                    <w:rPr>
                      <w:bCs/>
                      <w:szCs w:val="21"/>
                    </w:rPr>
                    <w:t>布袋除尘</w:t>
                  </w:r>
                </w:p>
              </w:tc>
              <w:tc>
                <w:tcPr>
                  <w:tcW w:w="247" w:type="pct"/>
                  <w:tcBorders>
                    <w:top w:val="single" w:sz="4" w:space="0" w:color="auto"/>
                    <w:left w:val="single" w:sz="4" w:space="0" w:color="auto"/>
                    <w:bottom w:val="single" w:sz="4" w:space="0" w:color="auto"/>
                    <w:right w:val="single" w:sz="4" w:space="0" w:color="auto"/>
                  </w:tcBorders>
                  <w:vAlign w:val="center"/>
                </w:tcPr>
                <w:p w14:paraId="63D0123B" w14:textId="77777777" w:rsidR="00F76A63" w:rsidRDefault="00000000">
                  <w:pPr>
                    <w:jc w:val="center"/>
                    <w:rPr>
                      <w:bCs/>
                      <w:szCs w:val="21"/>
                    </w:rPr>
                  </w:pPr>
                  <w:r>
                    <w:rPr>
                      <w:bCs/>
                      <w:szCs w:val="21"/>
                    </w:rPr>
                    <w:t>99.5%</w:t>
                  </w:r>
                </w:p>
              </w:tc>
              <w:tc>
                <w:tcPr>
                  <w:tcW w:w="337" w:type="pct"/>
                  <w:tcBorders>
                    <w:top w:val="single" w:sz="4" w:space="0" w:color="auto"/>
                    <w:left w:val="single" w:sz="4" w:space="0" w:color="auto"/>
                    <w:bottom w:val="single" w:sz="4" w:space="0" w:color="auto"/>
                    <w:right w:val="single" w:sz="4" w:space="0" w:color="auto"/>
                  </w:tcBorders>
                  <w:vAlign w:val="center"/>
                </w:tcPr>
                <w:p w14:paraId="40583E45" w14:textId="77777777" w:rsidR="00F76A63" w:rsidRDefault="00000000">
                  <w:pPr>
                    <w:jc w:val="center"/>
                    <w:rPr>
                      <w:bCs/>
                      <w:szCs w:val="21"/>
                    </w:rPr>
                  </w:pPr>
                  <w:r>
                    <w:rPr>
                      <w:bCs/>
                      <w:szCs w:val="21"/>
                    </w:rPr>
                    <w:t>0.62</w:t>
                  </w:r>
                </w:p>
              </w:tc>
              <w:tc>
                <w:tcPr>
                  <w:tcW w:w="288" w:type="pct"/>
                  <w:tcBorders>
                    <w:top w:val="single" w:sz="4" w:space="0" w:color="auto"/>
                    <w:left w:val="single" w:sz="4" w:space="0" w:color="auto"/>
                    <w:bottom w:val="single" w:sz="4" w:space="0" w:color="auto"/>
                    <w:right w:val="single" w:sz="4" w:space="0" w:color="auto"/>
                  </w:tcBorders>
                  <w:vAlign w:val="center"/>
                </w:tcPr>
                <w:p w14:paraId="1459B8EE" w14:textId="77777777" w:rsidR="00F76A63" w:rsidRDefault="00000000">
                  <w:pPr>
                    <w:jc w:val="center"/>
                    <w:rPr>
                      <w:bCs/>
                      <w:szCs w:val="21"/>
                    </w:rPr>
                  </w:pPr>
                  <w:r>
                    <w:rPr>
                      <w:bCs/>
                      <w:szCs w:val="21"/>
                    </w:rPr>
                    <w:t>0.012</w:t>
                  </w:r>
                </w:p>
              </w:tc>
              <w:tc>
                <w:tcPr>
                  <w:tcW w:w="287" w:type="pct"/>
                  <w:tcBorders>
                    <w:top w:val="single" w:sz="4" w:space="0" w:color="auto"/>
                    <w:left w:val="single" w:sz="4" w:space="0" w:color="auto"/>
                    <w:bottom w:val="single" w:sz="4" w:space="0" w:color="auto"/>
                    <w:right w:val="single" w:sz="4" w:space="0" w:color="auto"/>
                  </w:tcBorders>
                  <w:vAlign w:val="center"/>
                </w:tcPr>
                <w:p w14:paraId="51185076" w14:textId="77777777" w:rsidR="00F76A63" w:rsidRDefault="00000000">
                  <w:pPr>
                    <w:jc w:val="center"/>
                    <w:rPr>
                      <w:bCs/>
                      <w:szCs w:val="21"/>
                    </w:rPr>
                  </w:pPr>
                  <w:r>
                    <w:rPr>
                      <w:bCs/>
                      <w:szCs w:val="21"/>
                    </w:rPr>
                    <w:t>0.092</w:t>
                  </w:r>
                </w:p>
              </w:tc>
              <w:tc>
                <w:tcPr>
                  <w:tcW w:w="337" w:type="pct"/>
                  <w:tcBorders>
                    <w:top w:val="single" w:sz="4" w:space="0" w:color="auto"/>
                    <w:left w:val="single" w:sz="4" w:space="0" w:color="auto"/>
                    <w:bottom w:val="single" w:sz="4" w:space="0" w:color="auto"/>
                    <w:right w:val="single" w:sz="4" w:space="0" w:color="auto"/>
                  </w:tcBorders>
                  <w:vAlign w:val="center"/>
                </w:tcPr>
                <w:p w14:paraId="2CD39C14" w14:textId="77777777" w:rsidR="00F76A63" w:rsidRDefault="00000000">
                  <w:pPr>
                    <w:jc w:val="center"/>
                    <w:rPr>
                      <w:bCs/>
                      <w:szCs w:val="21"/>
                    </w:rPr>
                  </w:pPr>
                  <w:r>
                    <w:rPr>
                      <w:bCs/>
                      <w:szCs w:val="21"/>
                    </w:rPr>
                    <w:t>20</w:t>
                  </w:r>
                </w:p>
              </w:tc>
              <w:tc>
                <w:tcPr>
                  <w:tcW w:w="332" w:type="pct"/>
                  <w:tcBorders>
                    <w:top w:val="single" w:sz="4" w:space="0" w:color="auto"/>
                    <w:left w:val="single" w:sz="4" w:space="0" w:color="auto"/>
                    <w:bottom w:val="single" w:sz="4" w:space="0" w:color="auto"/>
                    <w:right w:val="single" w:sz="4" w:space="0" w:color="auto"/>
                  </w:tcBorders>
                  <w:vAlign w:val="center"/>
                </w:tcPr>
                <w:p w14:paraId="4D17839B" w14:textId="77777777" w:rsidR="00F76A63" w:rsidRDefault="00000000">
                  <w:pPr>
                    <w:jc w:val="center"/>
                    <w:rPr>
                      <w:bCs/>
                      <w:szCs w:val="21"/>
                    </w:rPr>
                  </w:pPr>
                  <w:r>
                    <w:rPr>
                      <w:bCs/>
                      <w:szCs w:val="21"/>
                    </w:rPr>
                    <w:t>20000</w:t>
                  </w:r>
                </w:p>
              </w:tc>
              <w:tc>
                <w:tcPr>
                  <w:tcW w:w="293" w:type="pct"/>
                  <w:tcBorders>
                    <w:top w:val="single" w:sz="4" w:space="0" w:color="auto"/>
                    <w:left w:val="single" w:sz="4" w:space="0" w:color="auto"/>
                    <w:bottom w:val="single" w:sz="4" w:space="0" w:color="auto"/>
                    <w:right w:val="single" w:sz="4" w:space="0" w:color="auto"/>
                  </w:tcBorders>
                  <w:vAlign w:val="center"/>
                </w:tcPr>
                <w:p w14:paraId="1A20B112" w14:textId="77777777" w:rsidR="00F76A63" w:rsidRDefault="00000000">
                  <w:pPr>
                    <w:jc w:val="center"/>
                    <w:rPr>
                      <w:bCs/>
                      <w:szCs w:val="21"/>
                    </w:rPr>
                  </w:pPr>
                  <w:r>
                    <w:rPr>
                      <w:bCs/>
                      <w:szCs w:val="21"/>
                    </w:rPr>
                    <w:t>15</w:t>
                  </w:r>
                </w:p>
              </w:tc>
              <w:tc>
                <w:tcPr>
                  <w:tcW w:w="196" w:type="pct"/>
                  <w:tcBorders>
                    <w:top w:val="single" w:sz="4" w:space="0" w:color="auto"/>
                    <w:left w:val="single" w:sz="4" w:space="0" w:color="auto"/>
                    <w:bottom w:val="single" w:sz="4" w:space="0" w:color="auto"/>
                    <w:right w:val="single" w:sz="4" w:space="0" w:color="auto"/>
                  </w:tcBorders>
                  <w:vAlign w:val="center"/>
                </w:tcPr>
                <w:p w14:paraId="7335B842" w14:textId="77777777" w:rsidR="00F76A63" w:rsidRDefault="00000000">
                  <w:pPr>
                    <w:jc w:val="center"/>
                    <w:rPr>
                      <w:bCs/>
                      <w:szCs w:val="21"/>
                    </w:rPr>
                  </w:pPr>
                  <w:r>
                    <w:rPr>
                      <w:bCs/>
                      <w:szCs w:val="21"/>
                    </w:rPr>
                    <w:t>1.1</w:t>
                  </w:r>
                </w:p>
              </w:tc>
              <w:tc>
                <w:tcPr>
                  <w:tcW w:w="266" w:type="pct"/>
                  <w:tcBorders>
                    <w:top w:val="single" w:sz="4" w:space="0" w:color="auto"/>
                    <w:left w:val="single" w:sz="4" w:space="0" w:color="auto"/>
                    <w:bottom w:val="single" w:sz="4" w:space="0" w:color="auto"/>
                    <w:right w:val="nil"/>
                  </w:tcBorders>
                  <w:vAlign w:val="center"/>
                </w:tcPr>
                <w:p w14:paraId="6EEAA912" w14:textId="77777777" w:rsidR="00F76A63" w:rsidRDefault="00000000">
                  <w:pPr>
                    <w:jc w:val="center"/>
                    <w:rPr>
                      <w:bCs/>
                      <w:szCs w:val="21"/>
                    </w:rPr>
                  </w:pPr>
                  <w:r>
                    <w:rPr>
                      <w:bCs/>
                      <w:szCs w:val="21"/>
                    </w:rPr>
                    <w:t>25</w:t>
                  </w:r>
                </w:p>
              </w:tc>
            </w:tr>
            <w:tr w:rsidR="00F76A63" w14:paraId="3FFC17D6" w14:textId="77777777">
              <w:trPr>
                <w:trHeight w:val="340"/>
                <w:jc w:val="center"/>
              </w:trPr>
              <w:tc>
                <w:tcPr>
                  <w:tcW w:w="603" w:type="pct"/>
                  <w:tcBorders>
                    <w:top w:val="single" w:sz="4" w:space="0" w:color="auto"/>
                    <w:left w:val="nil"/>
                    <w:bottom w:val="single" w:sz="4" w:space="0" w:color="auto"/>
                    <w:right w:val="single" w:sz="4" w:space="0" w:color="auto"/>
                  </w:tcBorders>
                  <w:vAlign w:val="center"/>
                </w:tcPr>
                <w:p w14:paraId="2D3EC8F3" w14:textId="77777777" w:rsidR="00F76A63" w:rsidRDefault="00000000">
                  <w:pPr>
                    <w:jc w:val="center"/>
                    <w:rPr>
                      <w:bCs/>
                      <w:szCs w:val="21"/>
                    </w:rPr>
                  </w:pPr>
                  <w:r>
                    <w:rPr>
                      <w:bCs/>
                      <w:szCs w:val="21"/>
                    </w:rPr>
                    <w:t>破碎粉尘（</w:t>
                  </w:r>
                  <w:r>
                    <w:rPr>
                      <w:bCs/>
                      <w:szCs w:val="21"/>
                    </w:rPr>
                    <w:t>DA193</w:t>
                  </w:r>
                  <w:r>
                    <w:rPr>
                      <w:bCs/>
                      <w:szCs w:val="21"/>
                    </w:rPr>
                    <w:t>）</w:t>
                  </w:r>
                </w:p>
              </w:tc>
              <w:tc>
                <w:tcPr>
                  <w:tcW w:w="331" w:type="pct"/>
                  <w:tcBorders>
                    <w:top w:val="single" w:sz="4" w:space="0" w:color="auto"/>
                    <w:left w:val="single" w:sz="4" w:space="0" w:color="auto"/>
                    <w:bottom w:val="single" w:sz="4" w:space="0" w:color="auto"/>
                    <w:right w:val="single" w:sz="4" w:space="0" w:color="auto"/>
                  </w:tcBorders>
                  <w:vAlign w:val="center"/>
                </w:tcPr>
                <w:p w14:paraId="5CAFD4AA" w14:textId="77777777" w:rsidR="00F76A63" w:rsidRDefault="00000000">
                  <w:pPr>
                    <w:jc w:val="center"/>
                    <w:rPr>
                      <w:bCs/>
                      <w:szCs w:val="21"/>
                    </w:rPr>
                  </w:pPr>
                  <w:r>
                    <w:rPr>
                      <w:bCs/>
                      <w:szCs w:val="21"/>
                    </w:rPr>
                    <w:t>颗粒物</w:t>
                  </w:r>
                </w:p>
              </w:tc>
              <w:tc>
                <w:tcPr>
                  <w:tcW w:w="365" w:type="pct"/>
                  <w:tcBorders>
                    <w:top w:val="single" w:sz="4" w:space="0" w:color="auto"/>
                    <w:left w:val="single" w:sz="4" w:space="0" w:color="auto"/>
                    <w:bottom w:val="single" w:sz="4" w:space="0" w:color="auto"/>
                    <w:right w:val="single" w:sz="4" w:space="0" w:color="auto"/>
                  </w:tcBorders>
                  <w:vAlign w:val="center"/>
                </w:tcPr>
                <w:p w14:paraId="607E550C" w14:textId="77777777" w:rsidR="00F76A63" w:rsidRDefault="00000000">
                  <w:pPr>
                    <w:jc w:val="center"/>
                    <w:rPr>
                      <w:bCs/>
                      <w:szCs w:val="21"/>
                    </w:rPr>
                  </w:pPr>
                  <w:r>
                    <w:rPr>
                      <w:bCs/>
                      <w:szCs w:val="21"/>
                    </w:rPr>
                    <w:t>124.1</w:t>
                  </w:r>
                </w:p>
              </w:tc>
              <w:tc>
                <w:tcPr>
                  <w:tcW w:w="342" w:type="pct"/>
                  <w:tcBorders>
                    <w:top w:val="single" w:sz="4" w:space="0" w:color="auto"/>
                    <w:left w:val="single" w:sz="4" w:space="0" w:color="auto"/>
                    <w:bottom w:val="single" w:sz="4" w:space="0" w:color="auto"/>
                    <w:right w:val="single" w:sz="4" w:space="0" w:color="auto"/>
                  </w:tcBorders>
                  <w:vAlign w:val="center"/>
                </w:tcPr>
                <w:p w14:paraId="69919EA6" w14:textId="77777777" w:rsidR="00F76A63" w:rsidRDefault="00000000">
                  <w:pPr>
                    <w:jc w:val="center"/>
                    <w:rPr>
                      <w:bCs/>
                      <w:szCs w:val="21"/>
                    </w:rPr>
                  </w:pPr>
                  <w:r>
                    <w:rPr>
                      <w:bCs/>
                      <w:szCs w:val="21"/>
                    </w:rPr>
                    <w:t>2.482</w:t>
                  </w:r>
                </w:p>
              </w:tc>
              <w:tc>
                <w:tcPr>
                  <w:tcW w:w="339" w:type="pct"/>
                  <w:tcBorders>
                    <w:top w:val="single" w:sz="4" w:space="0" w:color="auto"/>
                    <w:left w:val="single" w:sz="4" w:space="0" w:color="auto"/>
                    <w:bottom w:val="single" w:sz="4" w:space="0" w:color="auto"/>
                    <w:right w:val="single" w:sz="4" w:space="0" w:color="auto"/>
                  </w:tcBorders>
                  <w:vAlign w:val="center"/>
                </w:tcPr>
                <w:p w14:paraId="128038B9" w14:textId="77777777" w:rsidR="00F76A63" w:rsidRDefault="00000000">
                  <w:pPr>
                    <w:jc w:val="center"/>
                    <w:rPr>
                      <w:bCs/>
                      <w:szCs w:val="21"/>
                    </w:rPr>
                  </w:pPr>
                  <w:r>
                    <w:rPr>
                      <w:bCs/>
                      <w:szCs w:val="21"/>
                    </w:rPr>
                    <w:t>18.467</w:t>
                  </w:r>
                </w:p>
              </w:tc>
              <w:tc>
                <w:tcPr>
                  <w:tcW w:w="437" w:type="pct"/>
                  <w:tcBorders>
                    <w:top w:val="single" w:sz="4" w:space="0" w:color="auto"/>
                    <w:left w:val="single" w:sz="4" w:space="0" w:color="auto"/>
                    <w:bottom w:val="single" w:sz="4" w:space="0" w:color="auto"/>
                    <w:right w:val="single" w:sz="4" w:space="0" w:color="auto"/>
                  </w:tcBorders>
                  <w:vAlign w:val="center"/>
                </w:tcPr>
                <w:p w14:paraId="5C0CD2B1" w14:textId="77777777" w:rsidR="00F76A63" w:rsidRDefault="00000000">
                  <w:pPr>
                    <w:jc w:val="center"/>
                    <w:rPr>
                      <w:bCs/>
                      <w:szCs w:val="21"/>
                    </w:rPr>
                  </w:pPr>
                  <w:r>
                    <w:rPr>
                      <w:bCs/>
                      <w:szCs w:val="21"/>
                    </w:rPr>
                    <w:t>布袋除尘</w:t>
                  </w:r>
                </w:p>
              </w:tc>
              <w:tc>
                <w:tcPr>
                  <w:tcW w:w="247" w:type="pct"/>
                  <w:tcBorders>
                    <w:top w:val="single" w:sz="4" w:space="0" w:color="auto"/>
                    <w:left w:val="single" w:sz="4" w:space="0" w:color="auto"/>
                    <w:bottom w:val="single" w:sz="4" w:space="0" w:color="auto"/>
                    <w:right w:val="single" w:sz="4" w:space="0" w:color="auto"/>
                  </w:tcBorders>
                  <w:vAlign w:val="center"/>
                </w:tcPr>
                <w:p w14:paraId="72FBC70F" w14:textId="77777777" w:rsidR="00F76A63" w:rsidRDefault="00000000">
                  <w:pPr>
                    <w:jc w:val="center"/>
                    <w:rPr>
                      <w:bCs/>
                      <w:szCs w:val="21"/>
                    </w:rPr>
                  </w:pPr>
                  <w:r>
                    <w:rPr>
                      <w:bCs/>
                      <w:szCs w:val="21"/>
                    </w:rPr>
                    <w:t>99.5%</w:t>
                  </w:r>
                </w:p>
              </w:tc>
              <w:tc>
                <w:tcPr>
                  <w:tcW w:w="337" w:type="pct"/>
                  <w:tcBorders>
                    <w:top w:val="single" w:sz="4" w:space="0" w:color="auto"/>
                    <w:left w:val="single" w:sz="4" w:space="0" w:color="auto"/>
                    <w:bottom w:val="single" w:sz="4" w:space="0" w:color="auto"/>
                    <w:right w:val="single" w:sz="4" w:space="0" w:color="auto"/>
                  </w:tcBorders>
                  <w:vAlign w:val="center"/>
                </w:tcPr>
                <w:p w14:paraId="401086D5" w14:textId="77777777" w:rsidR="00F76A63" w:rsidRDefault="00000000">
                  <w:pPr>
                    <w:jc w:val="center"/>
                    <w:rPr>
                      <w:bCs/>
                      <w:szCs w:val="21"/>
                    </w:rPr>
                  </w:pPr>
                  <w:r>
                    <w:rPr>
                      <w:bCs/>
                      <w:szCs w:val="21"/>
                    </w:rPr>
                    <w:t>0.62</w:t>
                  </w:r>
                </w:p>
              </w:tc>
              <w:tc>
                <w:tcPr>
                  <w:tcW w:w="288" w:type="pct"/>
                  <w:tcBorders>
                    <w:top w:val="single" w:sz="4" w:space="0" w:color="auto"/>
                    <w:left w:val="single" w:sz="4" w:space="0" w:color="auto"/>
                    <w:bottom w:val="single" w:sz="4" w:space="0" w:color="auto"/>
                    <w:right w:val="single" w:sz="4" w:space="0" w:color="auto"/>
                  </w:tcBorders>
                  <w:vAlign w:val="center"/>
                </w:tcPr>
                <w:p w14:paraId="551160EF" w14:textId="77777777" w:rsidR="00F76A63" w:rsidRDefault="00000000">
                  <w:pPr>
                    <w:jc w:val="center"/>
                    <w:rPr>
                      <w:bCs/>
                      <w:szCs w:val="21"/>
                    </w:rPr>
                  </w:pPr>
                  <w:r>
                    <w:rPr>
                      <w:bCs/>
                      <w:szCs w:val="21"/>
                    </w:rPr>
                    <w:t>0.012</w:t>
                  </w:r>
                </w:p>
              </w:tc>
              <w:tc>
                <w:tcPr>
                  <w:tcW w:w="287" w:type="pct"/>
                  <w:tcBorders>
                    <w:top w:val="single" w:sz="4" w:space="0" w:color="auto"/>
                    <w:left w:val="single" w:sz="4" w:space="0" w:color="auto"/>
                    <w:bottom w:val="single" w:sz="4" w:space="0" w:color="auto"/>
                    <w:right w:val="single" w:sz="4" w:space="0" w:color="auto"/>
                  </w:tcBorders>
                  <w:vAlign w:val="center"/>
                </w:tcPr>
                <w:p w14:paraId="16C09C93" w14:textId="77777777" w:rsidR="00F76A63" w:rsidRDefault="00000000">
                  <w:pPr>
                    <w:jc w:val="center"/>
                    <w:rPr>
                      <w:bCs/>
                      <w:szCs w:val="21"/>
                    </w:rPr>
                  </w:pPr>
                  <w:r>
                    <w:rPr>
                      <w:bCs/>
                      <w:szCs w:val="21"/>
                    </w:rPr>
                    <w:t>0.092</w:t>
                  </w:r>
                </w:p>
              </w:tc>
              <w:tc>
                <w:tcPr>
                  <w:tcW w:w="337" w:type="pct"/>
                  <w:tcBorders>
                    <w:top w:val="single" w:sz="4" w:space="0" w:color="auto"/>
                    <w:left w:val="single" w:sz="4" w:space="0" w:color="auto"/>
                    <w:bottom w:val="single" w:sz="4" w:space="0" w:color="auto"/>
                    <w:right w:val="single" w:sz="4" w:space="0" w:color="auto"/>
                  </w:tcBorders>
                  <w:vAlign w:val="center"/>
                </w:tcPr>
                <w:p w14:paraId="76436E85" w14:textId="77777777" w:rsidR="00F76A63" w:rsidRDefault="00000000">
                  <w:pPr>
                    <w:jc w:val="center"/>
                    <w:rPr>
                      <w:bCs/>
                      <w:szCs w:val="21"/>
                    </w:rPr>
                  </w:pPr>
                  <w:r>
                    <w:rPr>
                      <w:bCs/>
                      <w:szCs w:val="21"/>
                    </w:rPr>
                    <w:t>20</w:t>
                  </w:r>
                </w:p>
              </w:tc>
              <w:tc>
                <w:tcPr>
                  <w:tcW w:w="332" w:type="pct"/>
                  <w:tcBorders>
                    <w:top w:val="single" w:sz="4" w:space="0" w:color="auto"/>
                    <w:left w:val="single" w:sz="4" w:space="0" w:color="auto"/>
                    <w:bottom w:val="single" w:sz="4" w:space="0" w:color="auto"/>
                    <w:right w:val="single" w:sz="4" w:space="0" w:color="auto"/>
                  </w:tcBorders>
                  <w:vAlign w:val="center"/>
                </w:tcPr>
                <w:p w14:paraId="13F3CA39" w14:textId="77777777" w:rsidR="00F76A63" w:rsidRDefault="00000000">
                  <w:pPr>
                    <w:jc w:val="center"/>
                    <w:rPr>
                      <w:bCs/>
                      <w:szCs w:val="21"/>
                    </w:rPr>
                  </w:pPr>
                  <w:r>
                    <w:rPr>
                      <w:bCs/>
                      <w:szCs w:val="21"/>
                    </w:rPr>
                    <w:t>20000</w:t>
                  </w:r>
                </w:p>
              </w:tc>
              <w:tc>
                <w:tcPr>
                  <w:tcW w:w="293" w:type="pct"/>
                  <w:tcBorders>
                    <w:top w:val="single" w:sz="4" w:space="0" w:color="auto"/>
                    <w:left w:val="single" w:sz="4" w:space="0" w:color="auto"/>
                    <w:bottom w:val="single" w:sz="4" w:space="0" w:color="auto"/>
                    <w:right w:val="single" w:sz="4" w:space="0" w:color="auto"/>
                  </w:tcBorders>
                  <w:vAlign w:val="center"/>
                </w:tcPr>
                <w:p w14:paraId="0AA1A163" w14:textId="77777777" w:rsidR="00F76A63" w:rsidRDefault="00000000">
                  <w:pPr>
                    <w:jc w:val="center"/>
                    <w:rPr>
                      <w:bCs/>
                      <w:szCs w:val="21"/>
                    </w:rPr>
                  </w:pPr>
                  <w:r>
                    <w:rPr>
                      <w:bCs/>
                      <w:szCs w:val="21"/>
                    </w:rPr>
                    <w:t>15</w:t>
                  </w:r>
                </w:p>
              </w:tc>
              <w:tc>
                <w:tcPr>
                  <w:tcW w:w="196" w:type="pct"/>
                  <w:tcBorders>
                    <w:top w:val="single" w:sz="4" w:space="0" w:color="auto"/>
                    <w:left w:val="single" w:sz="4" w:space="0" w:color="auto"/>
                    <w:bottom w:val="single" w:sz="4" w:space="0" w:color="auto"/>
                    <w:right w:val="single" w:sz="4" w:space="0" w:color="auto"/>
                  </w:tcBorders>
                  <w:vAlign w:val="center"/>
                </w:tcPr>
                <w:p w14:paraId="75B8FAAD" w14:textId="77777777" w:rsidR="00F76A63" w:rsidRDefault="00000000">
                  <w:pPr>
                    <w:jc w:val="center"/>
                    <w:rPr>
                      <w:bCs/>
                      <w:szCs w:val="21"/>
                    </w:rPr>
                  </w:pPr>
                  <w:r>
                    <w:rPr>
                      <w:bCs/>
                      <w:szCs w:val="21"/>
                    </w:rPr>
                    <w:t>1.1</w:t>
                  </w:r>
                </w:p>
              </w:tc>
              <w:tc>
                <w:tcPr>
                  <w:tcW w:w="266" w:type="pct"/>
                  <w:tcBorders>
                    <w:top w:val="single" w:sz="4" w:space="0" w:color="auto"/>
                    <w:left w:val="single" w:sz="4" w:space="0" w:color="auto"/>
                    <w:bottom w:val="single" w:sz="4" w:space="0" w:color="auto"/>
                    <w:right w:val="nil"/>
                  </w:tcBorders>
                  <w:vAlign w:val="center"/>
                </w:tcPr>
                <w:p w14:paraId="5475A307" w14:textId="77777777" w:rsidR="00F76A63" w:rsidRDefault="00000000">
                  <w:pPr>
                    <w:jc w:val="center"/>
                    <w:rPr>
                      <w:bCs/>
                      <w:szCs w:val="21"/>
                    </w:rPr>
                  </w:pPr>
                  <w:r>
                    <w:rPr>
                      <w:bCs/>
                      <w:szCs w:val="21"/>
                    </w:rPr>
                    <w:t>25</w:t>
                  </w:r>
                </w:p>
              </w:tc>
            </w:tr>
            <w:tr w:rsidR="00F76A63" w14:paraId="3CD338D2" w14:textId="77777777">
              <w:trPr>
                <w:trHeight w:val="340"/>
                <w:jc w:val="center"/>
              </w:trPr>
              <w:tc>
                <w:tcPr>
                  <w:tcW w:w="603" w:type="pct"/>
                  <w:tcBorders>
                    <w:top w:val="single" w:sz="4" w:space="0" w:color="auto"/>
                    <w:left w:val="nil"/>
                    <w:bottom w:val="single" w:sz="4" w:space="0" w:color="auto"/>
                    <w:right w:val="single" w:sz="4" w:space="0" w:color="auto"/>
                  </w:tcBorders>
                  <w:vAlign w:val="center"/>
                </w:tcPr>
                <w:p w14:paraId="452B53D8" w14:textId="77777777" w:rsidR="00F76A63" w:rsidRDefault="00000000">
                  <w:pPr>
                    <w:jc w:val="center"/>
                    <w:rPr>
                      <w:bCs/>
                      <w:szCs w:val="21"/>
                    </w:rPr>
                  </w:pPr>
                  <w:r>
                    <w:rPr>
                      <w:bCs/>
                      <w:szCs w:val="21"/>
                    </w:rPr>
                    <w:t>破碎粉尘（</w:t>
                  </w:r>
                  <w:r>
                    <w:rPr>
                      <w:bCs/>
                      <w:szCs w:val="21"/>
                    </w:rPr>
                    <w:t>DA194</w:t>
                  </w:r>
                  <w:r>
                    <w:rPr>
                      <w:bCs/>
                      <w:szCs w:val="21"/>
                    </w:rPr>
                    <w:t>）</w:t>
                  </w:r>
                </w:p>
              </w:tc>
              <w:tc>
                <w:tcPr>
                  <w:tcW w:w="331" w:type="pct"/>
                  <w:tcBorders>
                    <w:top w:val="single" w:sz="4" w:space="0" w:color="auto"/>
                    <w:left w:val="single" w:sz="4" w:space="0" w:color="auto"/>
                    <w:bottom w:val="single" w:sz="4" w:space="0" w:color="auto"/>
                    <w:right w:val="single" w:sz="4" w:space="0" w:color="auto"/>
                  </w:tcBorders>
                  <w:vAlign w:val="center"/>
                </w:tcPr>
                <w:p w14:paraId="2A3C5CE9" w14:textId="77777777" w:rsidR="00F76A63" w:rsidRDefault="00000000">
                  <w:pPr>
                    <w:jc w:val="center"/>
                    <w:rPr>
                      <w:bCs/>
                      <w:szCs w:val="21"/>
                    </w:rPr>
                  </w:pPr>
                  <w:r>
                    <w:rPr>
                      <w:bCs/>
                      <w:szCs w:val="21"/>
                    </w:rPr>
                    <w:t>颗粒物</w:t>
                  </w:r>
                </w:p>
              </w:tc>
              <w:tc>
                <w:tcPr>
                  <w:tcW w:w="365" w:type="pct"/>
                  <w:tcBorders>
                    <w:top w:val="single" w:sz="4" w:space="0" w:color="auto"/>
                    <w:left w:val="single" w:sz="4" w:space="0" w:color="auto"/>
                    <w:bottom w:val="single" w:sz="4" w:space="0" w:color="auto"/>
                    <w:right w:val="single" w:sz="4" w:space="0" w:color="auto"/>
                  </w:tcBorders>
                  <w:vAlign w:val="center"/>
                </w:tcPr>
                <w:p w14:paraId="68C52F82" w14:textId="77777777" w:rsidR="00F76A63" w:rsidRDefault="00000000">
                  <w:pPr>
                    <w:jc w:val="center"/>
                    <w:rPr>
                      <w:bCs/>
                      <w:szCs w:val="21"/>
                    </w:rPr>
                  </w:pPr>
                  <w:r>
                    <w:rPr>
                      <w:bCs/>
                      <w:szCs w:val="21"/>
                    </w:rPr>
                    <w:t>124.1</w:t>
                  </w:r>
                </w:p>
              </w:tc>
              <w:tc>
                <w:tcPr>
                  <w:tcW w:w="342" w:type="pct"/>
                  <w:tcBorders>
                    <w:top w:val="single" w:sz="4" w:space="0" w:color="auto"/>
                    <w:left w:val="single" w:sz="4" w:space="0" w:color="auto"/>
                    <w:bottom w:val="single" w:sz="4" w:space="0" w:color="auto"/>
                    <w:right w:val="single" w:sz="4" w:space="0" w:color="auto"/>
                  </w:tcBorders>
                  <w:vAlign w:val="center"/>
                </w:tcPr>
                <w:p w14:paraId="6FBC7866" w14:textId="77777777" w:rsidR="00F76A63" w:rsidRDefault="00000000">
                  <w:pPr>
                    <w:jc w:val="center"/>
                    <w:rPr>
                      <w:bCs/>
                      <w:szCs w:val="21"/>
                    </w:rPr>
                  </w:pPr>
                  <w:r>
                    <w:rPr>
                      <w:bCs/>
                      <w:szCs w:val="21"/>
                    </w:rPr>
                    <w:t>2.482</w:t>
                  </w:r>
                </w:p>
              </w:tc>
              <w:tc>
                <w:tcPr>
                  <w:tcW w:w="339" w:type="pct"/>
                  <w:tcBorders>
                    <w:top w:val="single" w:sz="4" w:space="0" w:color="auto"/>
                    <w:left w:val="single" w:sz="4" w:space="0" w:color="auto"/>
                    <w:bottom w:val="single" w:sz="4" w:space="0" w:color="auto"/>
                    <w:right w:val="single" w:sz="4" w:space="0" w:color="auto"/>
                  </w:tcBorders>
                  <w:vAlign w:val="center"/>
                </w:tcPr>
                <w:p w14:paraId="2C63C9A8" w14:textId="77777777" w:rsidR="00F76A63" w:rsidRDefault="00000000">
                  <w:pPr>
                    <w:jc w:val="center"/>
                    <w:rPr>
                      <w:bCs/>
                      <w:szCs w:val="21"/>
                    </w:rPr>
                  </w:pPr>
                  <w:r>
                    <w:rPr>
                      <w:bCs/>
                      <w:szCs w:val="21"/>
                    </w:rPr>
                    <w:t>18.467</w:t>
                  </w:r>
                </w:p>
              </w:tc>
              <w:tc>
                <w:tcPr>
                  <w:tcW w:w="437" w:type="pct"/>
                  <w:tcBorders>
                    <w:top w:val="single" w:sz="4" w:space="0" w:color="auto"/>
                    <w:left w:val="single" w:sz="4" w:space="0" w:color="auto"/>
                    <w:bottom w:val="single" w:sz="4" w:space="0" w:color="auto"/>
                    <w:right w:val="single" w:sz="4" w:space="0" w:color="auto"/>
                  </w:tcBorders>
                  <w:vAlign w:val="center"/>
                </w:tcPr>
                <w:p w14:paraId="0B3BFB64" w14:textId="77777777" w:rsidR="00F76A63" w:rsidRDefault="00000000">
                  <w:pPr>
                    <w:jc w:val="center"/>
                    <w:rPr>
                      <w:bCs/>
                      <w:szCs w:val="21"/>
                    </w:rPr>
                  </w:pPr>
                  <w:r>
                    <w:rPr>
                      <w:bCs/>
                      <w:szCs w:val="21"/>
                    </w:rPr>
                    <w:t>布袋除尘</w:t>
                  </w:r>
                </w:p>
              </w:tc>
              <w:tc>
                <w:tcPr>
                  <w:tcW w:w="247" w:type="pct"/>
                  <w:tcBorders>
                    <w:top w:val="single" w:sz="4" w:space="0" w:color="auto"/>
                    <w:left w:val="single" w:sz="4" w:space="0" w:color="auto"/>
                    <w:bottom w:val="single" w:sz="4" w:space="0" w:color="auto"/>
                    <w:right w:val="single" w:sz="4" w:space="0" w:color="auto"/>
                  </w:tcBorders>
                  <w:vAlign w:val="center"/>
                </w:tcPr>
                <w:p w14:paraId="1727D823" w14:textId="77777777" w:rsidR="00F76A63" w:rsidRDefault="00000000">
                  <w:pPr>
                    <w:jc w:val="center"/>
                    <w:rPr>
                      <w:bCs/>
                      <w:szCs w:val="21"/>
                    </w:rPr>
                  </w:pPr>
                  <w:r>
                    <w:rPr>
                      <w:bCs/>
                      <w:szCs w:val="21"/>
                    </w:rPr>
                    <w:t>99.5%</w:t>
                  </w:r>
                </w:p>
              </w:tc>
              <w:tc>
                <w:tcPr>
                  <w:tcW w:w="337" w:type="pct"/>
                  <w:tcBorders>
                    <w:top w:val="single" w:sz="4" w:space="0" w:color="auto"/>
                    <w:left w:val="single" w:sz="4" w:space="0" w:color="auto"/>
                    <w:bottom w:val="single" w:sz="4" w:space="0" w:color="auto"/>
                    <w:right w:val="single" w:sz="4" w:space="0" w:color="auto"/>
                  </w:tcBorders>
                  <w:vAlign w:val="center"/>
                </w:tcPr>
                <w:p w14:paraId="6E9B8204" w14:textId="77777777" w:rsidR="00F76A63" w:rsidRDefault="00000000">
                  <w:pPr>
                    <w:jc w:val="center"/>
                    <w:rPr>
                      <w:bCs/>
                      <w:szCs w:val="21"/>
                    </w:rPr>
                  </w:pPr>
                  <w:r>
                    <w:rPr>
                      <w:bCs/>
                      <w:szCs w:val="21"/>
                    </w:rPr>
                    <w:t>0.62</w:t>
                  </w:r>
                </w:p>
              </w:tc>
              <w:tc>
                <w:tcPr>
                  <w:tcW w:w="288" w:type="pct"/>
                  <w:tcBorders>
                    <w:top w:val="single" w:sz="4" w:space="0" w:color="auto"/>
                    <w:left w:val="single" w:sz="4" w:space="0" w:color="auto"/>
                    <w:bottom w:val="single" w:sz="4" w:space="0" w:color="auto"/>
                    <w:right w:val="single" w:sz="4" w:space="0" w:color="auto"/>
                  </w:tcBorders>
                  <w:vAlign w:val="center"/>
                </w:tcPr>
                <w:p w14:paraId="5ED7C258" w14:textId="77777777" w:rsidR="00F76A63" w:rsidRDefault="00000000">
                  <w:pPr>
                    <w:jc w:val="center"/>
                    <w:rPr>
                      <w:bCs/>
                      <w:szCs w:val="21"/>
                    </w:rPr>
                  </w:pPr>
                  <w:r>
                    <w:rPr>
                      <w:bCs/>
                      <w:szCs w:val="21"/>
                    </w:rPr>
                    <w:t>0.012</w:t>
                  </w:r>
                </w:p>
              </w:tc>
              <w:tc>
                <w:tcPr>
                  <w:tcW w:w="287" w:type="pct"/>
                  <w:tcBorders>
                    <w:top w:val="single" w:sz="4" w:space="0" w:color="auto"/>
                    <w:left w:val="single" w:sz="4" w:space="0" w:color="auto"/>
                    <w:bottom w:val="single" w:sz="4" w:space="0" w:color="auto"/>
                    <w:right w:val="single" w:sz="4" w:space="0" w:color="auto"/>
                  </w:tcBorders>
                  <w:vAlign w:val="center"/>
                </w:tcPr>
                <w:p w14:paraId="1647A395" w14:textId="77777777" w:rsidR="00F76A63" w:rsidRDefault="00000000">
                  <w:pPr>
                    <w:jc w:val="center"/>
                    <w:rPr>
                      <w:bCs/>
                      <w:szCs w:val="21"/>
                    </w:rPr>
                  </w:pPr>
                  <w:r>
                    <w:rPr>
                      <w:bCs/>
                      <w:szCs w:val="21"/>
                    </w:rPr>
                    <w:t>0.092</w:t>
                  </w:r>
                </w:p>
              </w:tc>
              <w:tc>
                <w:tcPr>
                  <w:tcW w:w="337" w:type="pct"/>
                  <w:tcBorders>
                    <w:top w:val="single" w:sz="4" w:space="0" w:color="auto"/>
                    <w:left w:val="single" w:sz="4" w:space="0" w:color="auto"/>
                    <w:bottom w:val="single" w:sz="4" w:space="0" w:color="auto"/>
                    <w:right w:val="single" w:sz="4" w:space="0" w:color="auto"/>
                  </w:tcBorders>
                  <w:vAlign w:val="center"/>
                </w:tcPr>
                <w:p w14:paraId="555B3709" w14:textId="77777777" w:rsidR="00F76A63" w:rsidRDefault="00000000">
                  <w:pPr>
                    <w:jc w:val="center"/>
                    <w:rPr>
                      <w:bCs/>
                      <w:szCs w:val="21"/>
                    </w:rPr>
                  </w:pPr>
                  <w:r>
                    <w:rPr>
                      <w:bCs/>
                      <w:szCs w:val="21"/>
                    </w:rPr>
                    <w:t>20</w:t>
                  </w:r>
                </w:p>
              </w:tc>
              <w:tc>
                <w:tcPr>
                  <w:tcW w:w="332" w:type="pct"/>
                  <w:tcBorders>
                    <w:top w:val="single" w:sz="4" w:space="0" w:color="auto"/>
                    <w:left w:val="single" w:sz="4" w:space="0" w:color="auto"/>
                    <w:bottom w:val="single" w:sz="4" w:space="0" w:color="auto"/>
                    <w:right w:val="single" w:sz="4" w:space="0" w:color="auto"/>
                  </w:tcBorders>
                  <w:vAlign w:val="center"/>
                </w:tcPr>
                <w:p w14:paraId="275B3F0B" w14:textId="77777777" w:rsidR="00F76A63" w:rsidRDefault="00000000">
                  <w:pPr>
                    <w:jc w:val="center"/>
                    <w:rPr>
                      <w:bCs/>
                      <w:szCs w:val="21"/>
                    </w:rPr>
                  </w:pPr>
                  <w:r>
                    <w:rPr>
                      <w:bCs/>
                      <w:szCs w:val="21"/>
                    </w:rPr>
                    <w:t>20000</w:t>
                  </w:r>
                </w:p>
              </w:tc>
              <w:tc>
                <w:tcPr>
                  <w:tcW w:w="293" w:type="pct"/>
                  <w:tcBorders>
                    <w:top w:val="single" w:sz="4" w:space="0" w:color="auto"/>
                    <w:left w:val="single" w:sz="4" w:space="0" w:color="auto"/>
                    <w:bottom w:val="single" w:sz="4" w:space="0" w:color="auto"/>
                    <w:right w:val="single" w:sz="4" w:space="0" w:color="auto"/>
                  </w:tcBorders>
                  <w:vAlign w:val="center"/>
                </w:tcPr>
                <w:p w14:paraId="728E5C9D" w14:textId="77777777" w:rsidR="00F76A63" w:rsidRDefault="00000000">
                  <w:pPr>
                    <w:jc w:val="center"/>
                    <w:rPr>
                      <w:bCs/>
                      <w:szCs w:val="21"/>
                    </w:rPr>
                  </w:pPr>
                  <w:r>
                    <w:rPr>
                      <w:bCs/>
                      <w:szCs w:val="21"/>
                    </w:rPr>
                    <w:t>15</w:t>
                  </w:r>
                </w:p>
              </w:tc>
              <w:tc>
                <w:tcPr>
                  <w:tcW w:w="196" w:type="pct"/>
                  <w:tcBorders>
                    <w:top w:val="single" w:sz="4" w:space="0" w:color="auto"/>
                    <w:left w:val="single" w:sz="4" w:space="0" w:color="auto"/>
                    <w:bottom w:val="single" w:sz="4" w:space="0" w:color="auto"/>
                    <w:right w:val="single" w:sz="4" w:space="0" w:color="auto"/>
                  </w:tcBorders>
                  <w:vAlign w:val="center"/>
                </w:tcPr>
                <w:p w14:paraId="5A83E826" w14:textId="77777777" w:rsidR="00F76A63" w:rsidRDefault="00000000">
                  <w:pPr>
                    <w:jc w:val="center"/>
                    <w:rPr>
                      <w:bCs/>
                      <w:szCs w:val="21"/>
                    </w:rPr>
                  </w:pPr>
                  <w:r>
                    <w:rPr>
                      <w:bCs/>
                      <w:szCs w:val="21"/>
                    </w:rPr>
                    <w:t>1.1</w:t>
                  </w:r>
                </w:p>
              </w:tc>
              <w:tc>
                <w:tcPr>
                  <w:tcW w:w="266" w:type="pct"/>
                  <w:tcBorders>
                    <w:top w:val="single" w:sz="4" w:space="0" w:color="auto"/>
                    <w:left w:val="single" w:sz="4" w:space="0" w:color="auto"/>
                    <w:bottom w:val="single" w:sz="4" w:space="0" w:color="auto"/>
                    <w:right w:val="nil"/>
                  </w:tcBorders>
                  <w:vAlign w:val="center"/>
                </w:tcPr>
                <w:p w14:paraId="116DD00D" w14:textId="77777777" w:rsidR="00F76A63" w:rsidRDefault="00000000">
                  <w:pPr>
                    <w:jc w:val="center"/>
                    <w:rPr>
                      <w:bCs/>
                      <w:szCs w:val="21"/>
                    </w:rPr>
                  </w:pPr>
                  <w:r>
                    <w:rPr>
                      <w:bCs/>
                      <w:szCs w:val="21"/>
                    </w:rPr>
                    <w:t>25</w:t>
                  </w:r>
                </w:p>
              </w:tc>
            </w:tr>
            <w:tr w:rsidR="00F76A63" w14:paraId="3F54A3F5" w14:textId="77777777">
              <w:trPr>
                <w:trHeight w:val="340"/>
                <w:jc w:val="center"/>
              </w:trPr>
              <w:tc>
                <w:tcPr>
                  <w:tcW w:w="603" w:type="pct"/>
                  <w:tcBorders>
                    <w:top w:val="single" w:sz="4" w:space="0" w:color="auto"/>
                    <w:left w:val="nil"/>
                    <w:bottom w:val="single" w:sz="4" w:space="0" w:color="auto"/>
                    <w:right w:val="single" w:sz="4" w:space="0" w:color="auto"/>
                  </w:tcBorders>
                  <w:vAlign w:val="center"/>
                </w:tcPr>
                <w:p w14:paraId="0E37AFAD" w14:textId="77777777" w:rsidR="00F76A63" w:rsidRDefault="00000000">
                  <w:pPr>
                    <w:jc w:val="center"/>
                    <w:rPr>
                      <w:bCs/>
                      <w:szCs w:val="21"/>
                    </w:rPr>
                  </w:pPr>
                  <w:r>
                    <w:t>工艺仓废气</w:t>
                  </w:r>
                </w:p>
              </w:tc>
              <w:tc>
                <w:tcPr>
                  <w:tcW w:w="331" w:type="pct"/>
                  <w:tcBorders>
                    <w:top w:val="single" w:sz="4" w:space="0" w:color="auto"/>
                    <w:left w:val="single" w:sz="4" w:space="0" w:color="auto"/>
                    <w:bottom w:val="single" w:sz="4" w:space="0" w:color="auto"/>
                    <w:right w:val="single" w:sz="4" w:space="0" w:color="auto"/>
                  </w:tcBorders>
                  <w:vAlign w:val="center"/>
                </w:tcPr>
                <w:p w14:paraId="095B3C18" w14:textId="77777777" w:rsidR="00F76A63" w:rsidRDefault="00000000">
                  <w:pPr>
                    <w:jc w:val="center"/>
                    <w:rPr>
                      <w:bCs/>
                      <w:szCs w:val="21"/>
                    </w:rPr>
                  </w:pPr>
                  <w:r>
                    <w:t>颗粒物</w:t>
                  </w:r>
                </w:p>
              </w:tc>
              <w:tc>
                <w:tcPr>
                  <w:tcW w:w="365" w:type="pct"/>
                  <w:tcBorders>
                    <w:top w:val="single" w:sz="4" w:space="0" w:color="auto"/>
                    <w:left w:val="single" w:sz="4" w:space="0" w:color="auto"/>
                    <w:bottom w:val="single" w:sz="4" w:space="0" w:color="auto"/>
                    <w:right w:val="single" w:sz="4" w:space="0" w:color="auto"/>
                  </w:tcBorders>
                  <w:vAlign w:val="center"/>
                </w:tcPr>
                <w:p w14:paraId="0C1D19B2" w14:textId="77777777" w:rsidR="00F76A63" w:rsidRDefault="00000000">
                  <w:pPr>
                    <w:jc w:val="center"/>
                    <w:rPr>
                      <w:bCs/>
                      <w:szCs w:val="21"/>
                    </w:rPr>
                  </w:pPr>
                  <w:r>
                    <w:t>66.67</w:t>
                  </w:r>
                </w:p>
              </w:tc>
              <w:tc>
                <w:tcPr>
                  <w:tcW w:w="342" w:type="pct"/>
                  <w:tcBorders>
                    <w:top w:val="single" w:sz="4" w:space="0" w:color="auto"/>
                    <w:left w:val="single" w:sz="4" w:space="0" w:color="auto"/>
                    <w:bottom w:val="single" w:sz="4" w:space="0" w:color="auto"/>
                    <w:right w:val="single" w:sz="4" w:space="0" w:color="auto"/>
                  </w:tcBorders>
                  <w:vAlign w:val="center"/>
                </w:tcPr>
                <w:p w14:paraId="536F8540" w14:textId="77777777" w:rsidR="00F76A63" w:rsidRDefault="00000000">
                  <w:pPr>
                    <w:jc w:val="center"/>
                    <w:rPr>
                      <w:bCs/>
                      <w:szCs w:val="21"/>
                    </w:rPr>
                  </w:pPr>
                  <w:r>
                    <w:t>0.40</w:t>
                  </w:r>
                </w:p>
              </w:tc>
              <w:tc>
                <w:tcPr>
                  <w:tcW w:w="339" w:type="pct"/>
                  <w:tcBorders>
                    <w:top w:val="single" w:sz="4" w:space="0" w:color="auto"/>
                    <w:left w:val="single" w:sz="4" w:space="0" w:color="auto"/>
                    <w:bottom w:val="single" w:sz="4" w:space="0" w:color="auto"/>
                    <w:right w:val="single" w:sz="4" w:space="0" w:color="auto"/>
                  </w:tcBorders>
                  <w:vAlign w:val="center"/>
                </w:tcPr>
                <w:p w14:paraId="7857BBF1" w14:textId="77777777" w:rsidR="00F76A63" w:rsidRDefault="00000000">
                  <w:pPr>
                    <w:jc w:val="center"/>
                    <w:rPr>
                      <w:bCs/>
                      <w:szCs w:val="21"/>
                    </w:rPr>
                  </w:pPr>
                  <w:r>
                    <w:t>2.9</w:t>
                  </w:r>
                </w:p>
              </w:tc>
              <w:tc>
                <w:tcPr>
                  <w:tcW w:w="437" w:type="pct"/>
                  <w:tcBorders>
                    <w:top w:val="single" w:sz="4" w:space="0" w:color="auto"/>
                    <w:left w:val="single" w:sz="4" w:space="0" w:color="auto"/>
                    <w:bottom w:val="single" w:sz="4" w:space="0" w:color="auto"/>
                    <w:right w:val="single" w:sz="4" w:space="0" w:color="auto"/>
                  </w:tcBorders>
                  <w:vAlign w:val="center"/>
                </w:tcPr>
                <w:p w14:paraId="58D208A1" w14:textId="77777777" w:rsidR="00F76A63" w:rsidRDefault="00000000">
                  <w:pPr>
                    <w:jc w:val="center"/>
                    <w:rPr>
                      <w:bCs/>
                      <w:szCs w:val="21"/>
                    </w:rPr>
                  </w:pPr>
                  <w:r>
                    <w:t>布袋除尘</w:t>
                  </w:r>
                </w:p>
              </w:tc>
              <w:tc>
                <w:tcPr>
                  <w:tcW w:w="247" w:type="pct"/>
                  <w:tcBorders>
                    <w:top w:val="single" w:sz="4" w:space="0" w:color="auto"/>
                    <w:left w:val="single" w:sz="4" w:space="0" w:color="auto"/>
                    <w:bottom w:val="single" w:sz="4" w:space="0" w:color="auto"/>
                    <w:right w:val="single" w:sz="4" w:space="0" w:color="auto"/>
                  </w:tcBorders>
                  <w:vAlign w:val="center"/>
                </w:tcPr>
                <w:p w14:paraId="0CA200E7" w14:textId="77777777" w:rsidR="00F76A63" w:rsidRDefault="00000000">
                  <w:pPr>
                    <w:jc w:val="center"/>
                    <w:rPr>
                      <w:bCs/>
                      <w:szCs w:val="21"/>
                    </w:rPr>
                  </w:pPr>
                  <w:r>
                    <w:t>99%</w:t>
                  </w:r>
                </w:p>
              </w:tc>
              <w:tc>
                <w:tcPr>
                  <w:tcW w:w="337" w:type="pct"/>
                  <w:tcBorders>
                    <w:top w:val="single" w:sz="4" w:space="0" w:color="auto"/>
                    <w:left w:val="single" w:sz="4" w:space="0" w:color="auto"/>
                    <w:bottom w:val="single" w:sz="4" w:space="0" w:color="auto"/>
                    <w:right w:val="single" w:sz="4" w:space="0" w:color="auto"/>
                  </w:tcBorders>
                  <w:vAlign w:val="center"/>
                </w:tcPr>
                <w:p w14:paraId="3E094D6C" w14:textId="77777777" w:rsidR="00F76A63" w:rsidRDefault="00000000">
                  <w:pPr>
                    <w:jc w:val="center"/>
                    <w:rPr>
                      <w:bCs/>
                      <w:szCs w:val="21"/>
                    </w:rPr>
                  </w:pPr>
                  <w:r>
                    <w:t>6.67</w:t>
                  </w:r>
                </w:p>
              </w:tc>
              <w:tc>
                <w:tcPr>
                  <w:tcW w:w="288" w:type="pct"/>
                  <w:tcBorders>
                    <w:top w:val="single" w:sz="4" w:space="0" w:color="auto"/>
                    <w:left w:val="single" w:sz="4" w:space="0" w:color="auto"/>
                    <w:bottom w:val="single" w:sz="4" w:space="0" w:color="auto"/>
                    <w:right w:val="single" w:sz="4" w:space="0" w:color="auto"/>
                  </w:tcBorders>
                  <w:vAlign w:val="center"/>
                </w:tcPr>
                <w:p w14:paraId="05EC0839" w14:textId="77777777" w:rsidR="00F76A63" w:rsidRDefault="00000000">
                  <w:pPr>
                    <w:jc w:val="center"/>
                    <w:rPr>
                      <w:bCs/>
                      <w:szCs w:val="21"/>
                    </w:rPr>
                  </w:pPr>
                  <w:r>
                    <w:t>0.004</w:t>
                  </w:r>
                </w:p>
              </w:tc>
              <w:tc>
                <w:tcPr>
                  <w:tcW w:w="287" w:type="pct"/>
                  <w:tcBorders>
                    <w:top w:val="single" w:sz="4" w:space="0" w:color="auto"/>
                    <w:left w:val="single" w:sz="4" w:space="0" w:color="auto"/>
                    <w:bottom w:val="single" w:sz="4" w:space="0" w:color="auto"/>
                    <w:right w:val="single" w:sz="4" w:space="0" w:color="auto"/>
                  </w:tcBorders>
                  <w:vAlign w:val="center"/>
                </w:tcPr>
                <w:p w14:paraId="4B0419F8" w14:textId="77777777" w:rsidR="00F76A63" w:rsidRDefault="00000000">
                  <w:pPr>
                    <w:jc w:val="center"/>
                    <w:rPr>
                      <w:bCs/>
                      <w:szCs w:val="21"/>
                    </w:rPr>
                  </w:pPr>
                  <w:r>
                    <w:t>0.029</w:t>
                  </w:r>
                </w:p>
              </w:tc>
              <w:tc>
                <w:tcPr>
                  <w:tcW w:w="337" w:type="pct"/>
                  <w:tcBorders>
                    <w:top w:val="single" w:sz="4" w:space="0" w:color="auto"/>
                    <w:left w:val="single" w:sz="4" w:space="0" w:color="auto"/>
                    <w:bottom w:val="single" w:sz="4" w:space="0" w:color="auto"/>
                    <w:right w:val="single" w:sz="4" w:space="0" w:color="auto"/>
                  </w:tcBorders>
                  <w:vAlign w:val="center"/>
                </w:tcPr>
                <w:p w14:paraId="77651FD3" w14:textId="77777777" w:rsidR="00F76A63" w:rsidRDefault="00000000">
                  <w:pPr>
                    <w:jc w:val="center"/>
                    <w:rPr>
                      <w:bCs/>
                      <w:szCs w:val="21"/>
                    </w:rPr>
                  </w:pPr>
                  <w:r>
                    <w:t>20</w:t>
                  </w:r>
                </w:p>
              </w:tc>
              <w:tc>
                <w:tcPr>
                  <w:tcW w:w="332" w:type="pct"/>
                  <w:tcBorders>
                    <w:top w:val="single" w:sz="4" w:space="0" w:color="auto"/>
                    <w:left w:val="single" w:sz="4" w:space="0" w:color="auto"/>
                    <w:bottom w:val="single" w:sz="4" w:space="0" w:color="auto"/>
                    <w:right w:val="single" w:sz="4" w:space="0" w:color="auto"/>
                  </w:tcBorders>
                  <w:vAlign w:val="center"/>
                </w:tcPr>
                <w:p w14:paraId="7D82CE98" w14:textId="77777777" w:rsidR="00F76A63" w:rsidRDefault="00000000">
                  <w:pPr>
                    <w:jc w:val="center"/>
                    <w:rPr>
                      <w:bCs/>
                      <w:szCs w:val="21"/>
                    </w:rPr>
                  </w:pPr>
                  <w:r>
                    <w:t>6000</w:t>
                  </w:r>
                </w:p>
              </w:tc>
              <w:tc>
                <w:tcPr>
                  <w:tcW w:w="293" w:type="pct"/>
                  <w:tcBorders>
                    <w:top w:val="single" w:sz="4" w:space="0" w:color="auto"/>
                    <w:left w:val="single" w:sz="4" w:space="0" w:color="auto"/>
                    <w:bottom w:val="single" w:sz="4" w:space="0" w:color="auto"/>
                    <w:right w:val="single" w:sz="4" w:space="0" w:color="auto"/>
                  </w:tcBorders>
                  <w:vAlign w:val="center"/>
                </w:tcPr>
                <w:p w14:paraId="1E3CA19F" w14:textId="77777777" w:rsidR="00F76A63" w:rsidRDefault="00000000">
                  <w:pPr>
                    <w:jc w:val="center"/>
                    <w:rPr>
                      <w:bCs/>
                      <w:szCs w:val="21"/>
                    </w:rPr>
                  </w:pPr>
                  <w:r>
                    <w:t>25</w:t>
                  </w:r>
                </w:p>
              </w:tc>
              <w:tc>
                <w:tcPr>
                  <w:tcW w:w="196" w:type="pct"/>
                  <w:tcBorders>
                    <w:top w:val="single" w:sz="4" w:space="0" w:color="auto"/>
                    <w:left w:val="single" w:sz="4" w:space="0" w:color="auto"/>
                    <w:bottom w:val="single" w:sz="4" w:space="0" w:color="auto"/>
                    <w:right w:val="single" w:sz="4" w:space="0" w:color="auto"/>
                  </w:tcBorders>
                  <w:vAlign w:val="center"/>
                </w:tcPr>
                <w:p w14:paraId="171102BE" w14:textId="77777777" w:rsidR="00F76A63" w:rsidRDefault="00000000">
                  <w:pPr>
                    <w:jc w:val="center"/>
                    <w:rPr>
                      <w:bCs/>
                      <w:szCs w:val="21"/>
                    </w:rPr>
                  </w:pPr>
                  <w:r>
                    <w:t>0.5</w:t>
                  </w:r>
                </w:p>
              </w:tc>
              <w:tc>
                <w:tcPr>
                  <w:tcW w:w="266" w:type="pct"/>
                  <w:tcBorders>
                    <w:top w:val="single" w:sz="4" w:space="0" w:color="auto"/>
                    <w:left w:val="single" w:sz="4" w:space="0" w:color="auto"/>
                    <w:bottom w:val="single" w:sz="4" w:space="0" w:color="auto"/>
                    <w:right w:val="nil"/>
                  </w:tcBorders>
                  <w:vAlign w:val="center"/>
                </w:tcPr>
                <w:p w14:paraId="02A2EC6C" w14:textId="77777777" w:rsidR="00F76A63" w:rsidRDefault="00000000">
                  <w:pPr>
                    <w:jc w:val="center"/>
                    <w:rPr>
                      <w:bCs/>
                      <w:szCs w:val="21"/>
                    </w:rPr>
                  </w:pPr>
                  <w:r>
                    <w:t>25</w:t>
                  </w:r>
                </w:p>
              </w:tc>
            </w:tr>
            <w:tr w:rsidR="00F76A63" w14:paraId="717ED6E0" w14:textId="77777777">
              <w:trPr>
                <w:trHeight w:val="340"/>
                <w:jc w:val="center"/>
              </w:trPr>
              <w:tc>
                <w:tcPr>
                  <w:tcW w:w="603" w:type="pct"/>
                  <w:tcBorders>
                    <w:top w:val="single" w:sz="4" w:space="0" w:color="auto"/>
                    <w:left w:val="nil"/>
                    <w:bottom w:val="single" w:sz="4" w:space="0" w:color="auto"/>
                    <w:right w:val="single" w:sz="4" w:space="0" w:color="auto"/>
                  </w:tcBorders>
                  <w:vAlign w:val="center"/>
                </w:tcPr>
                <w:p w14:paraId="2D22B4BD" w14:textId="77777777" w:rsidR="00F76A63" w:rsidRDefault="00000000">
                  <w:pPr>
                    <w:jc w:val="center"/>
                    <w:rPr>
                      <w:bCs/>
                      <w:szCs w:val="21"/>
                    </w:rPr>
                  </w:pPr>
                  <w:r>
                    <w:t>盐酸储罐废气</w:t>
                  </w:r>
                </w:p>
              </w:tc>
              <w:tc>
                <w:tcPr>
                  <w:tcW w:w="331" w:type="pct"/>
                  <w:tcBorders>
                    <w:top w:val="single" w:sz="4" w:space="0" w:color="auto"/>
                    <w:left w:val="single" w:sz="4" w:space="0" w:color="auto"/>
                    <w:bottom w:val="single" w:sz="4" w:space="0" w:color="auto"/>
                    <w:right w:val="single" w:sz="4" w:space="0" w:color="auto"/>
                  </w:tcBorders>
                  <w:vAlign w:val="center"/>
                </w:tcPr>
                <w:p w14:paraId="277C9320" w14:textId="77777777" w:rsidR="00F76A63" w:rsidRDefault="00000000">
                  <w:pPr>
                    <w:jc w:val="center"/>
                    <w:rPr>
                      <w:bCs/>
                      <w:szCs w:val="21"/>
                    </w:rPr>
                  </w:pPr>
                  <w:r>
                    <w:t>HCl</w:t>
                  </w:r>
                </w:p>
              </w:tc>
              <w:tc>
                <w:tcPr>
                  <w:tcW w:w="365" w:type="pct"/>
                  <w:tcBorders>
                    <w:top w:val="single" w:sz="4" w:space="0" w:color="auto"/>
                    <w:left w:val="single" w:sz="4" w:space="0" w:color="auto"/>
                    <w:bottom w:val="single" w:sz="4" w:space="0" w:color="auto"/>
                    <w:right w:val="single" w:sz="4" w:space="0" w:color="auto"/>
                  </w:tcBorders>
                  <w:vAlign w:val="center"/>
                </w:tcPr>
                <w:p w14:paraId="7124EBA5" w14:textId="77777777" w:rsidR="00F76A63" w:rsidRDefault="00000000">
                  <w:pPr>
                    <w:jc w:val="center"/>
                    <w:rPr>
                      <w:bCs/>
                      <w:szCs w:val="21"/>
                    </w:rPr>
                  </w:pPr>
                  <w:r>
                    <w:t>20</w:t>
                  </w:r>
                </w:p>
              </w:tc>
              <w:tc>
                <w:tcPr>
                  <w:tcW w:w="342" w:type="pct"/>
                  <w:tcBorders>
                    <w:top w:val="single" w:sz="4" w:space="0" w:color="auto"/>
                    <w:left w:val="single" w:sz="4" w:space="0" w:color="auto"/>
                    <w:bottom w:val="single" w:sz="4" w:space="0" w:color="auto"/>
                    <w:right w:val="single" w:sz="4" w:space="0" w:color="auto"/>
                  </w:tcBorders>
                  <w:vAlign w:val="center"/>
                </w:tcPr>
                <w:p w14:paraId="3070FB8C" w14:textId="77777777" w:rsidR="00F76A63" w:rsidRDefault="00000000">
                  <w:pPr>
                    <w:jc w:val="center"/>
                    <w:rPr>
                      <w:bCs/>
                      <w:szCs w:val="21"/>
                    </w:rPr>
                  </w:pPr>
                  <w:r>
                    <w:t>0.012</w:t>
                  </w:r>
                </w:p>
              </w:tc>
              <w:tc>
                <w:tcPr>
                  <w:tcW w:w="339" w:type="pct"/>
                  <w:tcBorders>
                    <w:top w:val="single" w:sz="4" w:space="0" w:color="auto"/>
                    <w:left w:val="single" w:sz="4" w:space="0" w:color="auto"/>
                    <w:bottom w:val="single" w:sz="4" w:space="0" w:color="auto"/>
                    <w:right w:val="single" w:sz="4" w:space="0" w:color="auto"/>
                  </w:tcBorders>
                  <w:vAlign w:val="center"/>
                </w:tcPr>
                <w:p w14:paraId="796F0532" w14:textId="77777777" w:rsidR="00F76A63" w:rsidRDefault="00000000">
                  <w:pPr>
                    <w:jc w:val="center"/>
                    <w:rPr>
                      <w:bCs/>
                      <w:szCs w:val="21"/>
                    </w:rPr>
                  </w:pPr>
                  <w:r>
                    <w:t>0.086</w:t>
                  </w:r>
                </w:p>
              </w:tc>
              <w:tc>
                <w:tcPr>
                  <w:tcW w:w="437" w:type="pct"/>
                  <w:tcBorders>
                    <w:top w:val="single" w:sz="4" w:space="0" w:color="auto"/>
                    <w:left w:val="single" w:sz="4" w:space="0" w:color="auto"/>
                    <w:bottom w:val="single" w:sz="4" w:space="0" w:color="auto"/>
                    <w:right w:val="single" w:sz="4" w:space="0" w:color="auto"/>
                  </w:tcBorders>
                  <w:vAlign w:val="center"/>
                </w:tcPr>
                <w:p w14:paraId="3327391D" w14:textId="77777777" w:rsidR="00F76A63" w:rsidRDefault="00000000">
                  <w:pPr>
                    <w:jc w:val="center"/>
                    <w:rPr>
                      <w:bCs/>
                      <w:szCs w:val="21"/>
                    </w:rPr>
                  </w:pPr>
                  <w:r>
                    <w:t>喷淋塔</w:t>
                  </w:r>
                </w:p>
              </w:tc>
              <w:tc>
                <w:tcPr>
                  <w:tcW w:w="247" w:type="pct"/>
                  <w:tcBorders>
                    <w:top w:val="single" w:sz="4" w:space="0" w:color="auto"/>
                    <w:left w:val="single" w:sz="4" w:space="0" w:color="auto"/>
                    <w:bottom w:val="single" w:sz="4" w:space="0" w:color="auto"/>
                    <w:right w:val="single" w:sz="4" w:space="0" w:color="auto"/>
                  </w:tcBorders>
                  <w:vAlign w:val="center"/>
                </w:tcPr>
                <w:p w14:paraId="02C6E162" w14:textId="77777777" w:rsidR="00F76A63" w:rsidRDefault="00000000">
                  <w:pPr>
                    <w:jc w:val="center"/>
                    <w:rPr>
                      <w:bCs/>
                      <w:szCs w:val="21"/>
                    </w:rPr>
                  </w:pPr>
                  <w:r>
                    <w:t>90%</w:t>
                  </w:r>
                </w:p>
              </w:tc>
              <w:tc>
                <w:tcPr>
                  <w:tcW w:w="337" w:type="pct"/>
                  <w:tcBorders>
                    <w:top w:val="single" w:sz="4" w:space="0" w:color="auto"/>
                    <w:left w:val="single" w:sz="4" w:space="0" w:color="auto"/>
                    <w:bottom w:val="single" w:sz="4" w:space="0" w:color="auto"/>
                    <w:right w:val="single" w:sz="4" w:space="0" w:color="auto"/>
                  </w:tcBorders>
                  <w:vAlign w:val="center"/>
                </w:tcPr>
                <w:p w14:paraId="22C129E5" w14:textId="77777777" w:rsidR="00F76A63" w:rsidRDefault="00000000">
                  <w:pPr>
                    <w:jc w:val="center"/>
                    <w:rPr>
                      <w:bCs/>
                      <w:szCs w:val="21"/>
                    </w:rPr>
                  </w:pPr>
                  <w:r>
                    <w:t>2</w:t>
                  </w:r>
                </w:p>
              </w:tc>
              <w:tc>
                <w:tcPr>
                  <w:tcW w:w="288" w:type="pct"/>
                  <w:tcBorders>
                    <w:top w:val="single" w:sz="4" w:space="0" w:color="auto"/>
                    <w:left w:val="single" w:sz="4" w:space="0" w:color="auto"/>
                    <w:bottom w:val="single" w:sz="4" w:space="0" w:color="auto"/>
                    <w:right w:val="single" w:sz="4" w:space="0" w:color="auto"/>
                  </w:tcBorders>
                  <w:vAlign w:val="center"/>
                </w:tcPr>
                <w:p w14:paraId="6770FFFF" w14:textId="77777777" w:rsidR="00F76A63" w:rsidRDefault="00000000">
                  <w:pPr>
                    <w:jc w:val="center"/>
                    <w:rPr>
                      <w:bCs/>
                      <w:szCs w:val="21"/>
                    </w:rPr>
                  </w:pPr>
                  <w:r>
                    <w:t>0.0012</w:t>
                  </w:r>
                </w:p>
              </w:tc>
              <w:tc>
                <w:tcPr>
                  <w:tcW w:w="287" w:type="pct"/>
                  <w:tcBorders>
                    <w:top w:val="single" w:sz="4" w:space="0" w:color="auto"/>
                    <w:left w:val="single" w:sz="4" w:space="0" w:color="auto"/>
                    <w:bottom w:val="single" w:sz="4" w:space="0" w:color="auto"/>
                    <w:right w:val="single" w:sz="4" w:space="0" w:color="auto"/>
                  </w:tcBorders>
                  <w:vAlign w:val="center"/>
                </w:tcPr>
                <w:p w14:paraId="7519C741" w14:textId="77777777" w:rsidR="00F76A63" w:rsidRDefault="00000000">
                  <w:pPr>
                    <w:jc w:val="center"/>
                    <w:rPr>
                      <w:bCs/>
                      <w:szCs w:val="21"/>
                    </w:rPr>
                  </w:pPr>
                  <w:r>
                    <w:t>0.009</w:t>
                  </w:r>
                </w:p>
              </w:tc>
              <w:tc>
                <w:tcPr>
                  <w:tcW w:w="337" w:type="pct"/>
                  <w:tcBorders>
                    <w:top w:val="single" w:sz="4" w:space="0" w:color="auto"/>
                    <w:left w:val="single" w:sz="4" w:space="0" w:color="auto"/>
                    <w:bottom w:val="single" w:sz="4" w:space="0" w:color="auto"/>
                    <w:right w:val="single" w:sz="4" w:space="0" w:color="auto"/>
                  </w:tcBorders>
                  <w:vAlign w:val="center"/>
                </w:tcPr>
                <w:p w14:paraId="78FDFED9" w14:textId="77777777" w:rsidR="00F76A63" w:rsidRDefault="00000000">
                  <w:pPr>
                    <w:jc w:val="center"/>
                    <w:rPr>
                      <w:bCs/>
                      <w:szCs w:val="21"/>
                    </w:rPr>
                  </w:pPr>
                  <w:r>
                    <w:t>10</w:t>
                  </w:r>
                </w:p>
              </w:tc>
              <w:tc>
                <w:tcPr>
                  <w:tcW w:w="332" w:type="pct"/>
                  <w:tcBorders>
                    <w:top w:val="single" w:sz="4" w:space="0" w:color="auto"/>
                    <w:left w:val="single" w:sz="4" w:space="0" w:color="auto"/>
                    <w:bottom w:val="single" w:sz="4" w:space="0" w:color="auto"/>
                    <w:right w:val="single" w:sz="4" w:space="0" w:color="auto"/>
                  </w:tcBorders>
                  <w:vAlign w:val="center"/>
                </w:tcPr>
                <w:p w14:paraId="4326BCF3" w14:textId="77777777" w:rsidR="00F76A63" w:rsidRDefault="00000000">
                  <w:pPr>
                    <w:jc w:val="center"/>
                    <w:rPr>
                      <w:bCs/>
                      <w:szCs w:val="21"/>
                    </w:rPr>
                  </w:pPr>
                  <w:r>
                    <w:t>6000</w:t>
                  </w:r>
                </w:p>
              </w:tc>
              <w:tc>
                <w:tcPr>
                  <w:tcW w:w="293" w:type="pct"/>
                  <w:tcBorders>
                    <w:top w:val="single" w:sz="4" w:space="0" w:color="auto"/>
                    <w:left w:val="single" w:sz="4" w:space="0" w:color="auto"/>
                    <w:bottom w:val="single" w:sz="4" w:space="0" w:color="auto"/>
                    <w:right w:val="single" w:sz="4" w:space="0" w:color="auto"/>
                  </w:tcBorders>
                  <w:vAlign w:val="center"/>
                </w:tcPr>
                <w:p w14:paraId="402B8254" w14:textId="77777777" w:rsidR="00F76A63" w:rsidRDefault="00000000">
                  <w:pPr>
                    <w:jc w:val="center"/>
                    <w:rPr>
                      <w:bCs/>
                      <w:szCs w:val="21"/>
                    </w:rPr>
                  </w:pPr>
                  <w:r>
                    <w:t>15</w:t>
                  </w:r>
                </w:p>
              </w:tc>
              <w:tc>
                <w:tcPr>
                  <w:tcW w:w="196" w:type="pct"/>
                  <w:tcBorders>
                    <w:top w:val="single" w:sz="4" w:space="0" w:color="auto"/>
                    <w:left w:val="single" w:sz="4" w:space="0" w:color="auto"/>
                    <w:bottom w:val="single" w:sz="4" w:space="0" w:color="auto"/>
                    <w:right w:val="single" w:sz="4" w:space="0" w:color="auto"/>
                  </w:tcBorders>
                  <w:vAlign w:val="center"/>
                </w:tcPr>
                <w:p w14:paraId="6033B85D" w14:textId="77777777" w:rsidR="00F76A63" w:rsidRDefault="00000000">
                  <w:pPr>
                    <w:jc w:val="center"/>
                    <w:rPr>
                      <w:bCs/>
                      <w:szCs w:val="21"/>
                    </w:rPr>
                  </w:pPr>
                  <w:r>
                    <w:t>0.4</w:t>
                  </w:r>
                </w:p>
              </w:tc>
              <w:tc>
                <w:tcPr>
                  <w:tcW w:w="266" w:type="pct"/>
                  <w:tcBorders>
                    <w:top w:val="single" w:sz="4" w:space="0" w:color="auto"/>
                    <w:left w:val="single" w:sz="4" w:space="0" w:color="auto"/>
                    <w:bottom w:val="single" w:sz="4" w:space="0" w:color="auto"/>
                    <w:right w:val="nil"/>
                  </w:tcBorders>
                  <w:vAlign w:val="center"/>
                </w:tcPr>
                <w:p w14:paraId="3B34BE8C" w14:textId="77777777" w:rsidR="00F76A63" w:rsidRDefault="00000000">
                  <w:pPr>
                    <w:jc w:val="center"/>
                    <w:rPr>
                      <w:bCs/>
                      <w:szCs w:val="21"/>
                    </w:rPr>
                  </w:pPr>
                  <w:r>
                    <w:t>25</w:t>
                  </w:r>
                </w:p>
              </w:tc>
            </w:tr>
          </w:tbl>
          <w:p w14:paraId="2A063D4C" w14:textId="77777777" w:rsidR="00F76A63" w:rsidRDefault="00000000">
            <w:pPr>
              <w:spacing w:line="500" w:lineRule="exact"/>
              <w:jc w:val="center"/>
              <w:rPr>
                <w:b/>
                <w:bCs/>
                <w:sz w:val="24"/>
              </w:rPr>
            </w:pPr>
            <w:r>
              <w:rPr>
                <w:b/>
                <w:bCs/>
                <w:sz w:val="24"/>
              </w:rPr>
              <w:t>表</w:t>
            </w:r>
            <w:r>
              <w:rPr>
                <w:b/>
                <w:bCs/>
                <w:sz w:val="24"/>
              </w:rPr>
              <w:t>2-</w:t>
            </w:r>
            <w:r>
              <w:rPr>
                <w:rFonts w:hint="eastAsia"/>
                <w:b/>
                <w:bCs/>
                <w:sz w:val="24"/>
              </w:rPr>
              <w:t>60</w:t>
            </w:r>
            <w:r>
              <w:rPr>
                <w:b/>
                <w:bCs/>
                <w:sz w:val="24"/>
              </w:rPr>
              <w:t xml:space="preserve">  </w:t>
            </w:r>
            <w:r>
              <w:rPr>
                <w:b/>
                <w:bCs/>
                <w:sz w:val="24"/>
              </w:rPr>
              <w:t>无组织废气排放情况表</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0"/>
              <w:gridCol w:w="1213"/>
              <w:gridCol w:w="1224"/>
              <w:gridCol w:w="1227"/>
              <w:gridCol w:w="1180"/>
              <w:gridCol w:w="1180"/>
              <w:gridCol w:w="1180"/>
              <w:gridCol w:w="1180"/>
            </w:tblGrid>
            <w:tr w:rsidR="00F76A63" w14:paraId="163FE77D" w14:textId="77777777">
              <w:trPr>
                <w:trHeight w:val="50"/>
                <w:jc w:val="center"/>
              </w:trPr>
              <w:tc>
                <w:tcPr>
                  <w:tcW w:w="1631" w:type="pct"/>
                  <w:vAlign w:val="center"/>
                </w:tcPr>
                <w:p w14:paraId="4C6A5211" w14:textId="77777777" w:rsidR="00F76A63" w:rsidRDefault="00000000">
                  <w:pPr>
                    <w:jc w:val="center"/>
                    <w:rPr>
                      <w:bCs/>
                      <w:szCs w:val="21"/>
                    </w:rPr>
                  </w:pPr>
                  <w:r>
                    <w:rPr>
                      <w:bCs/>
                      <w:szCs w:val="21"/>
                    </w:rPr>
                    <w:t>污染物名称</w:t>
                  </w:r>
                </w:p>
              </w:tc>
              <w:tc>
                <w:tcPr>
                  <w:tcW w:w="487" w:type="pct"/>
                  <w:vAlign w:val="center"/>
                </w:tcPr>
                <w:p w14:paraId="25DB3EA1" w14:textId="77777777" w:rsidR="00F76A63" w:rsidRDefault="00000000">
                  <w:pPr>
                    <w:jc w:val="center"/>
                    <w:rPr>
                      <w:bCs/>
                      <w:szCs w:val="21"/>
                    </w:rPr>
                  </w:pPr>
                  <w:r>
                    <w:rPr>
                      <w:bCs/>
                      <w:szCs w:val="21"/>
                    </w:rPr>
                    <w:t>颗粒物</w:t>
                  </w:r>
                </w:p>
              </w:tc>
              <w:tc>
                <w:tcPr>
                  <w:tcW w:w="492" w:type="pct"/>
                  <w:vAlign w:val="center"/>
                </w:tcPr>
                <w:p w14:paraId="66FE61E8" w14:textId="77777777" w:rsidR="00F76A63" w:rsidRDefault="00000000">
                  <w:pPr>
                    <w:jc w:val="center"/>
                    <w:rPr>
                      <w:bCs/>
                      <w:szCs w:val="21"/>
                    </w:rPr>
                  </w:pPr>
                  <w:r>
                    <w:rPr>
                      <w:bCs/>
                      <w:szCs w:val="21"/>
                    </w:rPr>
                    <w:t>NH</w:t>
                  </w:r>
                  <w:r>
                    <w:rPr>
                      <w:bCs/>
                      <w:szCs w:val="21"/>
                      <w:vertAlign w:val="subscript"/>
                    </w:rPr>
                    <w:t>3</w:t>
                  </w:r>
                </w:p>
              </w:tc>
              <w:tc>
                <w:tcPr>
                  <w:tcW w:w="493" w:type="pct"/>
                  <w:vAlign w:val="center"/>
                </w:tcPr>
                <w:p w14:paraId="47FEDCB2" w14:textId="77777777" w:rsidR="00F76A63" w:rsidRDefault="00000000">
                  <w:pPr>
                    <w:jc w:val="center"/>
                    <w:rPr>
                      <w:bCs/>
                      <w:szCs w:val="21"/>
                    </w:rPr>
                  </w:pPr>
                  <w:r>
                    <w:rPr>
                      <w:bCs/>
                      <w:szCs w:val="21"/>
                    </w:rPr>
                    <w:t>H</w:t>
                  </w:r>
                  <w:r>
                    <w:rPr>
                      <w:bCs/>
                      <w:szCs w:val="21"/>
                      <w:vertAlign w:val="subscript"/>
                    </w:rPr>
                    <w:t>2</w:t>
                  </w:r>
                  <w:r>
                    <w:rPr>
                      <w:bCs/>
                      <w:szCs w:val="21"/>
                    </w:rPr>
                    <w:t>S</w:t>
                  </w:r>
                </w:p>
              </w:tc>
              <w:tc>
                <w:tcPr>
                  <w:tcW w:w="474" w:type="pct"/>
                  <w:noWrap/>
                  <w:vAlign w:val="center"/>
                </w:tcPr>
                <w:p w14:paraId="17656338" w14:textId="77777777" w:rsidR="00F76A63" w:rsidRDefault="00000000">
                  <w:pPr>
                    <w:jc w:val="center"/>
                    <w:rPr>
                      <w:bCs/>
                      <w:szCs w:val="21"/>
                    </w:rPr>
                  </w:pPr>
                  <w:r>
                    <w:rPr>
                      <w:bCs/>
                      <w:szCs w:val="21"/>
                    </w:rPr>
                    <w:t>NMHC</w:t>
                  </w:r>
                </w:p>
              </w:tc>
              <w:tc>
                <w:tcPr>
                  <w:tcW w:w="474" w:type="pct"/>
                  <w:vAlign w:val="center"/>
                </w:tcPr>
                <w:p w14:paraId="279C2AEB" w14:textId="77777777" w:rsidR="00F76A63" w:rsidRDefault="00000000">
                  <w:pPr>
                    <w:jc w:val="center"/>
                    <w:rPr>
                      <w:bCs/>
                      <w:szCs w:val="21"/>
                    </w:rPr>
                  </w:pPr>
                  <w:r>
                    <w:rPr>
                      <w:bCs/>
                      <w:szCs w:val="21"/>
                    </w:rPr>
                    <w:t>HCl</w:t>
                  </w:r>
                </w:p>
              </w:tc>
              <w:tc>
                <w:tcPr>
                  <w:tcW w:w="474" w:type="pct"/>
                  <w:noWrap/>
                  <w:vAlign w:val="center"/>
                </w:tcPr>
                <w:p w14:paraId="2D274F77" w14:textId="77777777" w:rsidR="00F76A63" w:rsidRDefault="00000000">
                  <w:pPr>
                    <w:jc w:val="center"/>
                    <w:rPr>
                      <w:bCs/>
                      <w:szCs w:val="21"/>
                    </w:rPr>
                  </w:pPr>
                  <w:r>
                    <w:rPr>
                      <w:bCs/>
                      <w:szCs w:val="21"/>
                    </w:rPr>
                    <w:t>面源高度</w:t>
                  </w:r>
                </w:p>
                <w:p w14:paraId="582056C1" w14:textId="77777777" w:rsidR="00F76A63" w:rsidRDefault="00000000">
                  <w:pPr>
                    <w:jc w:val="center"/>
                    <w:rPr>
                      <w:bCs/>
                      <w:szCs w:val="21"/>
                    </w:rPr>
                  </w:pPr>
                  <w:r>
                    <w:rPr>
                      <w:bCs/>
                      <w:szCs w:val="21"/>
                    </w:rPr>
                    <w:t>(m</w:t>
                  </w:r>
                  <w:bookmarkStart w:id="106" w:name="OLE_LINK10"/>
                  <w:r>
                    <w:rPr>
                      <w:bCs/>
                      <w:szCs w:val="21"/>
                    </w:rPr>
                    <w:t>)</w:t>
                  </w:r>
                  <w:bookmarkEnd w:id="106"/>
                </w:p>
              </w:tc>
              <w:tc>
                <w:tcPr>
                  <w:tcW w:w="474" w:type="pct"/>
                  <w:noWrap/>
                  <w:vAlign w:val="center"/>
                </w:tcPr>
                <w:p w14:paraId="6BAD11BD" w14:textId="77777777" w:rsidR="00F76A63" w:rsidRDefault="00000000">
                  <w:pPr>
                    <w:jc w:val="center"/>
                    <w:rPr>
                      <w:bCs/>
                      <w:szCs w:val="21"/>
                    </w:rPr>
                  </w:pPr>
                  <w:r>
                    <w:rPr>
                      <w:bCs/>
                      <w:szCs w:val="21"/>
                    </w:rPr>
                    <w:t>面源面积</w:t>
                  </w:r>
                </w:p>
                <w:p w14:paraId="698E6184" w14:textId="77777777" w:rsidR="00F76A63" w:rsidRDefault="00000000">
                  <w:pPr>
                    <w:jc w:val="center"/>
                    <w:rPr>
                      <w:bCs/>
                      <w:szCs w:val="21"/>
                    </w:rPr>
                  </w:pPr>
                  <w:r>
                    <w:rPr>
                      <w:bCs/>
                      <w:szCs w:val="21"/>
                    </w:rPr>
                    <w:t>(m</w:t>
                  </w:r>
                  <w:r>
                    <w:rPr>
                      <w:bCs/>
                      <w:szCs w:val="21"/>
                      <w:vertAlign w:val="superscript"/>
                    </w:rPr>
                    <w:t>2</w:t>
                  </w:r>
                  <w:r>
                    <w:rPr>
                      <w:bCs/>
                      <w:szCs w:val="21"/>
                    </w:rPr>
                    <w:t>)</w:t>
                  </w:r>
                </w:p>
              </w:tc>
            </w:tr>
            <w:tr w:rsidR="00F76A63" w14:paraId="15284CF3" w14:textId="77777777">
              <w:trPr>
                <w:trHeight w:val="70"/>
                <w:jc w:val="center"/>
              </w:trPr>
              <w:tc>
                <w:tcPr>
                  <w:tcW w:w="1631" w:type="pct"/>
                  <w:vAlign w:val="center"/>
                </w:tcPr>
                <w:p w14:paraId="2CA0546B" w14:textId="77777777" w:rsidR="00F76A63" w:rsidRDefault="00000000">
                  <w:pPr>
                    <w:jc w:val="center"/>
                    <w:rPr>
                      <w:bCs/>
                      <w:szCs w:val="21"/>
                    </w:rPr>
                  </w:pPr>
                  <w:r>
                    <w:rPr>
                      <w:bCs/>
                      <w:szCs w:val="21"/>
                    </w:rPr>
                    <w:t>1#</w:t>
                  </w:r>
                  <w:r>
                    <w:rPr>
                      <w:bCs/>
                      <w:szCs w:val="21"/>
                    </w:rPr>
                    <w:t>水泥窑配套一般固废仓库（</w:t>
                  </w:r>
                  <w:r>
                    <w:rPr>
                      <w:bCs/>
                      <w:szCs w:val="21"/>
                    </w:rPr>
                    <w:t>t/a</w:t>
                  </w:r>
                  <w:r>
                    <w:rPr>
                      <w:bCs/>
                      <w:szCs w:val="21"/>
                    </w:rPr>
                    <w:t>）</w:t>
                  </w:r>
                </w:p>
              </w:tc>
              <w:tc>
                <w:tcPr>
                  <w:tcW w:w="487" w:type="pct"/>
                  <w:vAlign w:val="center"/>
                </w:tcPr>
                <w:p w14:paraId="1DD35494" w14:textId="77777777" w:rsidR="00F76A63" w:rsidRDefault="00000000">
                  <w:pPr>
                    <w:jc w:val="center"/>
                    <w:rPr>
                      <w:bCs/>
                      <w:szCs w:val="21"/>
                    </w:rPr>
                  </w:pPr>
                  <w:r>
                    <w:rPr>
                      <w:bCs/>
                      <w:szCs w:val="21"/>
                    </w:rPr>
                    <w:t>0.624</w:t>
                  </w:r>
                </w:p>
              </w:tc>
              <w:tc>
                <w:tcPr>
                  <w:tcW w:w="492" w:type="pct"/>
                  <w:vAlign w:val="center"/>
                </w:tcPr>
                <w:p w14:paraId="4F608516" w14:textId="77777777" w:rsidR="00F76A63" w:rsidRDefault="00000000">
                  <w:pPr>
                    <w:jc w:val="center"/>
                    <w:rPr>
                      <w:bCs/>
                      <w:szCs w:val="21"/>
                    </w:rPr>
                  </w:pPr>
                  <w:r>
                    <w:rPr>
                      <w:bCs/>
                      <w:szCs w:val="21"/>
                    </w:rPr>
                    <w:t>0.192</w:t>
                  </w:r>
                </w:p>
              </w:tc>
              <w:tc>
                <w:tcPr>
                  <w:tcW w:w="493" w:type="pct"/>
                  <w:vAlign w:val="center"/>
                </w:tcPr>
                <w:p w14:paraId="44DE763B" w14:textId="77777777" w:rsidR="00F76A63" w:rsidRDefault="00000000">
                  <w:pPr>
                    <w:jc w:val="center"/>
                    <w:rPr>
                      <w:bCs/>
                      <w:szCs w:val="21"/>
                    </w:rPr>
                  </w:pPr>
                  <w:r>
                    <w:rPr>
                      <w:bCs/>
                      <w:szCs w:val="21"/>
                    </w:rPr>
                    <w:t>0.0077</w:t>
                  </w:r>
                </w:p>
              </w:tc>
              <w:tc>
                <w:tcPr>
                  <w:tcW w:w="474" w:type="pct"/>
                  <w:vAlign w:val="center"/>
                </w:tcPr>
                <w:p w14:paraId="256A9C16" w14:textId="77777777" w:rsidR="00F76A63" w:rsidRDefault="00000000">
                  <w:pPr>
                    <w:jc w:val="center"/>
                    <w:rPr>
                      <w:bCs/>
                      <w:szCs w:val="21"/>
                    </w:rPr>
                  </w:pPr>
                  <w:r>
                    <w:rPr>
                      <w:bCs/>
                      <w:szCs w:val="21"/>
                    </w:rPr>
                    <w:t>0.96</w:t>
                  </w:r>
                </w:p>
              </w:tc>
              <w:tc>
                <w:tcPr>
                  <w:tcW w:w="474" w:type="pct"/>
                  <w:vAlign w:val="center"/>
                </w:tcPr>
                <w:p w14:paraId="05F2CBFE" w14:textId="77777777" w:rsidR="00F76A63" w:rsidRDefault="00000000">
                  <w:pPr>
                    <w:jc w:val="center"/>
                    <w:rPr>
                      <w:bCs/>
                      <w:szCs w:val="21"/>
                    </w:rPr>
                  </w:pPr>
                  <w:r>
                    <w:rPr>
                      <w:bCs/>
                      <w:szCs w:val="21"/>
                    </w:rPr>
                    <w:t>/</w:t>
                  </w:r>
                </w:p>
              </w:tc>
              <w:tc>
                <w:tcPr>
                  <w:tcW w:w="474" w:type="pct"/>
                  <w:vAlign w:val="center"/>
                </w:tcPr>
                <w:p w14:paraId="4E887423" w14:textId="77777777" w:rsidR="00F76A63" w:rsidRDefault="00000000">
                  <w:pPr>
                    <w:jc w:val="center"/>
                    <w:rPr>
                      <w:bCs/>
                      <w:szCs w:val="21"/>
                    </w:rPr>
                  </w:pPr>
                  <w:r>
                    <w:rPr>
                      <w:bCs/>
                      <w:szCs w:val="21"/>
                    </w:rPr>
                    <w:t>15</w:t>
                  </w:r>
                </w:p>
              </w:tc>
              <w:tc>
                <w:tcPr>
                  <w:tcW w:w="474" w:type="pct"/>
                  <w:vAlign w:val="center"/>
                </w:tcPr>
                <w:p w14:paraId="63DC4AA3" w14:textId="77777777" w:rsidR="00F76A63" w:rsidRDefault="00000000">
                  <w:pPr>
                    <w:jc w:val="center"/>
                    <w:rPr>
                      <w:bCs/>
                      <w:szCs w:val="21"/>
                    </w:rPr>
                  </w:pPr>
                  <w:r>
                    <w:rPr>
                      <w:bCs/>
                      <w:szCs w:val="21"/>
                    </w:rPr>
                    <w:t>2100</w:t>
                  </w:r>
                </w:p>
              </w:tc>
            </w:tr>
            <w:tr w:rsidR="00F76A63" w14:paraId="22C49870" w14:textId="77777777">
              <w:trPr>
                <w:trHeight w:val="70"/>
                <w:jc w:val="center"/>
              </w:trPr>
              <w:tc>
                <w:tcPr>
                  <w:tcW w:w="1631" w:type="pct"/>
                  <w:vAlign w:val="center"/>
                </w:tcPr>
                <w:p w14:paraId="461CB1D0" w14:textId="77777777" w:rsidR="00F76A63" w:rsidRDefault="00000000">
                  <w:pPr>
                    <w:jc w:val="center"/>
                    <w:rPr>
                      <w:bCs/>
                      <w:szCs w:val="21"/>
                    </w:rPr>
                  </w:pPr>
                  <w:r>
                    <w:rPr>
                      <w:bCs/>
                      <w:szCs w:val="21"/>
                    </w:rPr>
                    <w:t>2#</w:t>
                  </w:r>
                  <w:r>
                    <w:rPr>
                      <w:bCs/>
                      <w:szCs w:val="21"/>
                    </w:rPr>
                    <w:t>水泥窑配套一般固废仓库（</w:t>
                  </w:r>
                  <w:r>
                    <w:rPr>
                      <w:bCs/>
                      <w:szCs w:val="21"/>
                    </w:rPr>
                    <w:t>t/a</w:t>
                  </w:r>
                  <w:r>
                    <w:rPr>
                      <w:bCs/>
                      <w:szCs w:val="21"/>
                    </w:rPr>
                    <w:t>）</w:t>
                  </w:r>
                </w:p>
              </w:tc>
              <w:tc>
                <w:tcPr>
                  <w:tcW w:w="487" w:type="pct"/>
                  <w:vAlign w:val="center"/>
                </w:tcPr>
                <w:p w14:paraId="55DE407E" w14:textId="77777777" w:rsidR="00F76A63" w:rsidRDefault="00000000">
                  <w:pPr>
                    <w:jc w:val="center"/>
                    <w:rPr>
                      <w:bCs/>
                      <w:szCs w:val="21"/>
                    </w:rPr>
                  </w:pPr>
                  <w:r>
                    <w:rPr>
                      <w:bCs/>
                      <w:szCs w:val="21"/>
                    </w:rPr>
                    <w:t>0.736</w:t>
                  </w:r>
                </w:p>
              </w:tc>
              <w:tc>
                <w:tcPr>
                  <w:tcW w:w="492" w:type="pct"/>
                  <w:vAlign w:val="center"/>
                </w:tcPr>
                <w:p w14:paraId="4A5D0A00" w14:textId="77777777" w:rsidR="00F76A63" w:rsidRDefault="00000000">
                  <w:pPr>
                    <w:jc w:val="center"/>
                    <w:rPr>
                      <w:bCs/>
                      <w:szCs w:val="21"/>
                    </w:rPr>
                  </w:pPr>
                  <w:r>
                    <w:rPr>
                      <w:bCs/>
                      <w:szCs w:val="21"/>
                    </w:rPr>
                    <w:t>0.288</w:t>
                  </w:r>
                </w:p>
              </w:tc>
              <w:tc>
                <w:tcPr>
                  <w:tcW w:w="493" w:type="pct"/>
                  <w:vAlign w:val="center"/>
                </w:tcPr>
                <w:p w14:paraId="6E556EE0" w14:textId="77777777" w:rsidR="00F76A63" w:rsidRDefault="00000000">
                  <w:pPr>
                    <w:jc w:val="center"/>
                    <w:rPr>
                      <w:bCs/>
                      <w:szCs w:val="21"/>
                    </w:rPr>
                  </w:pPr>
                  <w:r>
                    <w:rPr>
                      <w:bCs/>
                      <w:szCs w:val="21"/>
                    </w:rPr>
                    <w:t>0.0115</w:t>
                  </w:r>
                </w:p>
              </w:tc>
              <w:tc>
                <w:tcPr>
                  <w:tcW w:w="474" w:type="pct"/>
                  <w:vAlign w:val="center"/>
                </w:tcPr>
                <w:p w14:paraId="5E8B6F26" w14:textId="77777777" w:rsidR="00F76A63" w:rsidRDefault="00000000">
                  <w:pPr>
                    <w:jc w:val="center"/>
                    <w:rPr>
                      <w:bCs/>
                      <w:szCs w:val="21"/>
                    </w:rPr>
                  </w:pPr>
                  <w:r>
                    <w:rPr>
                      <w:bCs/>
                      <w:szCs w:val="21"/>
                    </w:rPr>
                    <w:t>1.44</w:t>
                  </w:r>
                </w:p>
              </w:tc>
              <w:tc>
                <w:tcPr>
                  <w:tcW w:w="474" w:type="pct"/>
                  <w:vAlign w:val="center"/>
                </w:tcPr>
                <w:p w14:paraId="2633F4AD" w14:textId="77777777" w:rsidR="00F76A63" w:rsidRDefault="00000000">
                  <w:pPr>
                    <w:jc w:val="center"/>
                    <w:rPr>
                      <w:bCs/>
                      <w:szCs w:val="21"/>
                    </w:rPr>
                  </w:pPr>
                  <w:r>
                    <w:rPr>
                      <w:bCs/>
                      <w:szCs w:val="21"/>
                    </w:rPr>
                    <w:t>/</w:t>
                  </w:r>
                </w:p>
              </w:tc>
              <w:tc>
                <w:tcPr>
                  <w:tcW w:w="474" w:type="pct"/>
                  <w:vAlign w:val="center"/>
                </w:tcPr>
                <w:p w14:paraId="323E4B98" w14:textId="77777777" w:rsidR="00F76A63" w:rsidRDefault="00000000">
                  <w:pPr>
                    <w:jc w:val="center"/>
                    <w:rPr>
                      <w:bCs/>
                      <w:szCs w:val="21"/>
                    </w:rPr>
                  </w:pPr>
                  <w:r>
                    <w:rPr>
                      <w:bCs/>
                      <w:szCs w:val="21"/>
                    </w:rPr>
                    <w:t>15</w:t>
                  </w:r>
                </w:p>
              </w:tc>
              <w:tc>
                <w:tcPr>
                  <w:tcW w:w="474" w:type="pct"/>
                  <w:vAlign w:val="center"/>
                </w:tcPr>
                <w:p w14:paraId="1AE6C948" w14:textId="77777777" w:rsidR="00F76A63" w:rsidRDefault="00000000">
                  <w:pPr>
                    <w:jc w:val="center"/>
                    <w:rPr>
                      <w:bCs/>
                      <w:szCs w:val="21"/>
                    </w:rPr>
                  </w:pPr>
                  <w:r>
                    <w:rPr>
                      <w:bCs/>
                      <w:szCs w:val="21"/>
                    </w:rPr>
                    <w:t>1300</w:t>
                  </w:r>
                </w:p>
              </w:tc>
            </w:tr>
            <w:tr w:rsidR="00F76A63" w14:paraId="443E0C66" w14:textId="77777777">
              <w:trPr>
                <w:trHeight w:val="70"/>
                <w:jc w:val="center"/>
              </w:trPr>
              <w:tc>
                <w:tcPr>
                  <w:tcW w:w="1631" w:type="pct"/>
                  <w:vAlign w:val="center"/>
                </w:tcPr>
                <w:p w14:paraId="6B18CCE3" w14:textId="77777777" w:rsidR="00F76A63" w:rsidRDefault="00000000">
                  <w:pPr>
                    <w:jc w:val="center"/>
                    <w:rPr>
                      <w:bCs/>
                      <w:szCs w:val="21"/>
                    </w:rPr>
                  </w:pPr>
                  <w:r>
                    <w:rPr>
                      <w:bCs/>
                      <w:szCs w:val="21"/>
                    </w:rPr>
                    <w:t>替代燃料堆棚（</w:t>
                  </w:r>
                  <w:r>
                    <w:rPr>
                      <w:bCs/>
                      <w:szCs w:val="21"/>
                    </w:rPr>
                    <w:t>t/a</w:t>
                  </w:r>
                  <w:r>
                    <w:rPr>
                      <w:bCs/>
                      <w:szCs w:val="21"/>
                    </w:rPr>
                    <w:t>）</w:t>
                  </w:r>
                </w:p>
              </w:tc>
              <w:tc>
                <w:tcPr>
                  <w:tcW w:w="487" w:type="pct"/>
                  <w:vAlign w:val="center"/>
                </w:tcPr>
                <w:p w14:paraId="31791641" w14:textId="77777777" w:rsidR="00F76A63" w:rsidRDefault="00000000">
                  <w:pPr>
                    <w:jc w:val="center"/>
                    <w:rPr>
                      <w:bCs/>
                      <w:szCs w:val="21"/>
                    </w:rPr>
                  </w:pPr>
                  <w:r>
                    <w:rPr>
                      <w:bCs/>
                      <w:szCs w:val="21"/>
                    </w:rPr>
                    <w:t>0.735</w:t>
                  </w:r>
                </w:p>
              </w:tc>
              <w:tc>
                <w:tcPr>
                  <w:tcW w:w="492" w:type="pct"/>
                  <w:vAlign w:val="center"/>
                </w:tcPr>
                <w:p w14:paraId="0D5783C6" w14:textId="77777777" w:rsidR="00F76A63" w:rsidRDefault="00000000">
                  <w:pPr>
                    <w:jc w:val="center"/>
                    <w:rPr>
                      <w:bCs/>
                      <w:szCs w:val="21"/>
                    </w:rPr>
                  </w:pPr>
                  <w:r>
                    <w:rPr>
                      <w:bCs/>
                      <w:szCs w:val="21"/>
                    </w:rPr>
                    <w:t>0.08</w:t>
                  </w:r>
                </w:p>
              </w:tc>
              <w:tc>
                <w:tcPr>
                  <w:tcW w:w="493" w:type="pct"/>
                  <w:vAlign w:val="center"/>
                </w:tcPr>
                <w:p w14:paraId="7166F355" w14:textId="77777777" w:rsidR="00F76A63" w:rsidRDefault="00000000">
                  <w:pPr>
                    <w:jc w:val="center"/>
                    <w:rPr>
                      <w:bCs/>
                      <w:szCs w:val="21"/>
                    </w:rPr>
                  </w:pPr>
                  <w:r>
                    <w:rPr>
                      <w:bCs/>
                      <w:szCs w:val="21"/>
                    </w:rPr>
                    <w:t>0.032</w:t>
                  </w:r>
                </w:p>
              </w:tc>
              <w:tc>
                <w:tcPr>
                  <w:tcW w:w="474" w:type="pct"/>
                  <w:vAlign w:val="center"/>
                </w:tcPr>
                <w:p w14:paraId="1591EAC2" w14:textId="77777777" w:rsidR="00F76A63" w:rsidRDefault="00000000">
                  <w:pPr>
                    <w:jc w:val="center"/>
                    <w:rPr>
                      <w:bCs/>
                      <w:szCs w:val="21"/>
                    </w:rPr>
                  </w:pPr>
                  <w:r>
                    <w:rPr>
                      <w:bCs/>
                      <w:szCs w:val="21"/>
                    </w:rPr>
                    <w:t>/</w:t>
                  </w:r>
                </w:p>
              </w:tc>
              <w:tc>
                <w:tcPr>
                  <w:tcW w:w="474" w:type="pct"/>
                  <w:vAlign w:val="center"/>
                </w:tcPr>
                <w:p w14:paraId="19E7D717" w14:textId="77777777" w:rsidR="00F76A63" w:rsidRDefault="00000000">
                  <w:pPr>
                    <w:jc w:val="center"/>
                    <w:rPr>
                      <w:bCs/>
                      <w:szCs w:val="21"/>
                    </w:rPr>
                  </w:pPr>
                  <w:r>
                    <w:rPr>
                      <w:bCs/>
                      <w:szCs w:val="21"/>
                    </w:rPr>
                    <w:t>/</w:t>
                  </w:r>
                </w:p>
              </w:tc>
              <w:tc>
                <w:tcPr>
                  <w:tcW w:w="474" w:type="pct"/>
                  <w:vAlign w:val="center"/>
                </w:tcPr>
                <w:p w14:paraId="6E335330" w14:textId="77777777" w:rsidR="00F76A63" w:rsidRDefault="00000000">
                  <w:pPr>
                    <w:jc w:val="center"/>
                    <w:rPr>
                      <w:bCs/>
                      <w:szCs w:val="21"/>
                    </w:rPr>
                  </w:pPr>
                  <w:r>
                    <w:rPr>
                      <w:bCs/>
                      <w:szCs w:val="21"/>
                    </w:rPr>
                    <w:t>15</w:t>
                  </w:r>
                </w:p>
              </w:tc>
              <w:tc>
                <w:tcPr>
                  <w:tcW w:w="474" w:type="pct"/>
                  <w:vAlign w:val="center"/>
                </w:tcPr>
                <w:p w14:paraId="420B3D5E" w14:textId="77777777" w:rsidR="00F76A63" w:rsidRDefault="00000000">
                  <w:pPr>
                    <w:jc w:val="center"/>
                    <w:rPr>
                      <w:bCs/>
                      <w:szCs w:val="21"/>
                    </w:rPr>
                  </w:pPr>
                  <w:r>
                    <w:rPr>
                      <w:bCs/>
                      <w:szCs w:val="21"/>
                    </w:rPr>
                    <w:t>13000</w:t>
                  </w:r>
                </w:p>
              </w:tc>
            </w:tr>
            <w:tr w:rsidR="00F76A63" w14:paraId="034867B7" w14:textId="77777777">
              <w:trPr>
                <w:trHeight w:val="70"/>
                <w:jc w:val="center"/>
              </w:trPr>
              <w:tc>
                <w:tcPr>
                  <w:tcW w:w="1631" w:type="pct"/>
                  <w:vAlign w:val="center"/>
                </w:tcPr>
                <w:p w14:paraId="1B6E8950" w14:textId="77777777" w:rsidR="00F76A63" w:rsidRDefault="00000000">
                  <w:pPr>
                    <w:jc w:val="center"/>
                    <w:rPr>
                      <w:bCs/>
                      <w:szCs w:val="21"/>
                    </w:rPr>
                  </w:pPr>
                  <w:r>
                    <w:rPr>
                      <w:bCs/>
                      <w:szCs w:val="21"/>
                    </w:rPr>
                    <w:t>破碎粉尘（</w:t>
                  </w:r>
                  <w:r>
                    <w:rPr>
                      <w:bCs/>
                      <w:szCs w:val="21"/>
                    </w:rPr>
                    <w:t>t/a</w:t>
                  </w:r>
                  <w:r>
                    <w:rPr>
                      <w:bCs/>
                      <w:szCs w:val="21"/>
                    </w:rPr>
                    <w:t>）</w:t>
                  </w:r>
                </w:p>
              </w:tc>
              <w:tc>
                <w:tcPr>
                  <w:tcW w:w="487" w:type="pct"/>
                  <w:vAlign w:val="center"/>
                </w:tcPr>
                <w:p w14:paraId="7A9676E2" w14:textId="77777777" w:rsidR="00F76A63" w:rsidRDefault="00000000">
                  <w:pPr>
                    <w:jc w:val="center"/>
                    <w:rPr>
                      <w:bCs/>
                      <w:szCs w:val="21"/>
                    </w:rPr>
                  </w:pPr>
                  <w:r>
                    <w:rPr>
                      <w:bCs/>
                      <w:szCs w:val="21"/>
                    </w:rPr>
                    <w:t>0.465</w:t>
                  </w:r>
                </w:p>
              </w:tc>
              <w:tc>
                <w:tcPr>
                  <w:tcW w:w="492" w:type="pct"/>
                  <w:vAlign w:val="center"/>
                </w:tcPr>
                <w:p w14:paraId="795BBE79" w14:textId="77777777" w:rsidR="00F76A63" w:rsidRDefault="00000000">
                  <w:pPr>
                    <w:jc w:val="center"/>
                    <w:rPr>
                      <w:bCs/>
                      <w:szCs w:val="21"/>
                    </w:rPr>
                  </w:pPr>
                  <w:r>
                    <w:rPr>
                      <w:bCs/>
                      <w:szCs w:val="21"/>
                    </w:rPr>
                    <w:t>/</w:t>
                  </w:r>
                </w:p>
              </w:tc>
              <w:tc>
                <w:tcPr>
                  <w:tcW w:w="493" w:type="pct"/>
                  <w:vAlign w:val="center"/>
                </w:tcPr>
                <w:p w14:paraId="4FA72A42" w14:textId="77777777" w:rsidR="00F76A63" w:rsidRDefault="00000000">
                  <w:pPr>
                    <w:jc w:val="center"/>
                    <w:rPr>
                      <w:bCs/>
                      <w:szCs w:val="21"/>
                    </w:rPr>
                  </w:pPr>
                  <w:r>
                    <w:rPr>
                      <w:bCs/>
                      <w:szCs w:val="21"/>
                    </w:rPr>
                    <w:t>/</w:t>
                  </w:r>
                </w:p>
              </w:tc>
              <w:tc>
                <w:tcPr>
                  <w:tcW w:w="474" w:type="pct"/>
                  <w:vAlign w:val="center"/>
                </w:tcPr>
                <w:p w14:paraId="5B0CFB05" w14:textId="77777777" w:rsidR="00F76A63" w:rsidRDefault="00000000">
                  <w:pPr>
                    <w:jc w:val="center"/>
                    <w:rPr>
                      <w:bCs/>
                      <w:szCs w:val="21"/>
                    </w:rPr>
                  </w:pPr>
                  <w:r>
                    <w:rPr>
                      <w:bCs/>
                      <w:szCs w:val="21"/>
                    </w:rPr>
                    <w:t>/</w:t>
                  </w:r>
                </w:p>
              </w:tc>
              <w:tc>
                <w:tcPr>
                  <w:tcW w:w="474" w:type="pct"/>
                  <w:vAlign w:val="center"/>
                </w:tcPr>
                <w:p w14:paraId="1C06CEE1" w14:textId="77777777" w:rsidR="00F76A63" w:rsidRDefault="00000000">
                  <w:pPr>
                    <w:jc w:val="center"/>
                    <w:rPr>
                      <w:bCs/>
                      <w:szCs w:val="21"/>
                    </w:rPr>
                  </w:pPr>
                  <w:r>
                    <w:rPr>
                      <w:bCs/>
                      <w:szCs w:val="21"/>
                    </w:rPr>
                    <w:t>/</w:t>
                  </w:r>
                </w:p>
              </w:tc>
              <w:tc>
                <w:tcPr>
                  <w:tcW w:w="474" w:type="pct"/>
                  <w:vAlign w:val="center"/>
                </w:tcPr>
                <w:p w14:paraId="4C3B3BF8" w14:textId="77777777" w:rsidR="00F76A63" w:rsidRDefault="00000000">
                  <w:pPr>
                    <w:jc w:val="center"/>
                    <w:rPr>
                      <w:bCs/>
                      <w:szCs w:val="21"/>
                    </w:rPr>
                  </w:pPr>
                  <w:r>
                    <w:rPr>
                      <w:bCs/>
                      <w:szCs w:val="21"/>
                    </w:rPr>
                    <w:t>12</w:t>
                  </w:r>
                </w:p>
              </w:tc>
              <w:tc>
                <w:tcPr>
                  <w:tcW w:w="474" w:type="pct"/>
                  <w:vAlign w:val="center"/>
                </w:tcPr>
                <w:p w14:paraId="177875B5" w14:textId="77777777" w:rsidR="00F76A63" w:rsidRDefault="00000000">
                  <w:pPr>
                    <w:jc w:val="center"/>
                    <w:rPr>
                      <w:bCs/>
                      <w:szCs w:val="21"/>
                    </w:rPr>
                  </w:pPr>
                  <w:r>
                    <w:rPr>
                      <w:bCs/>
                      <w:szCs w:val="21"/>
                    </w:rPr>
                    <w:t>7200</w:t>
                  </w:r>
                </w:p>
              </w:tc>
            </w:tr>
            <w:tr w:rsidR="00F76A63" w14:paraId="4C9F29EB" w14:textId="77777777">
              <w:trPr>
                <w:trHeight w:val="70"/>
                <w:jc w:val="center"/>
              </w:trPr>
              <w:tc>
                <w:tcPr>
                  <w:tcW w:w="1631" w:type="pct"/>
                  <w:vAlign w:val="center"/>
                </w:tcPr>
                <w:p w14:paraId="0BBF8B7C" w14:textId="77777777" w:rsidR="00F76A63" w:rsidRDefault="00000000">
                  <w:pPr>
                    <w:jc w:val="center"/>
                    <w:rPr>
                      <w:bCs/>
                      <w:szCs w:val="21"/>
                    </w:rPr>
                  </w:pPr>
                  <w:r>
                    <w:rPr>
                      <w:bCs/>
                      <w:szCs w:val="21"/>
                    </w:rPr>
                    <w:t>盐酸储罐废气（</w:t>
                  </w:r>
                  <w:r>
                    <w:rPr>
                      <w:bCs/>
                      <w:szCs w:val="21"/>
                    </w:rPr>
                    <w:t>t/a</w:t>
                  </w:r>
                  <w:r>
                    <w:rPr>
                      <w:bCs/>
                      <w:szCs w:val="21"/>
                    </w:rPr>
                    <w:t>）</w:t>
                  </w:r>
                </w:p>
              </w:tc>
              <w:tc>
                <w:tcPr>
                  <w:tcW w:w="487" w:type="pct"/>
                </w:tcPr>
                <w:p w14:paraId="4E56C9C6" w14:textId="77777777" w:rsidR="00F76A63" w:rsidRDefault="00000000">
                  <w:pPr>
                    <w:jc w:val="center"/>
                    <w:rPr>
                      <w:bCs/>
                      <w:szCs w:val="21"/>
                    </w:rPr>
                  </w:pPr>
                  <w:r>
                    <w:rPr>
                      <w:bCs/>
                      <w:szCs w:val="21"/>
                    </w:rPr>
                    <w:t>/</w:t>
                  </w:r>
                </w:p>
              </w:tc>
              <w:tc>
                <w:tcPr>
                  <w:tcW w:w="492" w:type="pct"/>
                </w:tcPr>
                <w:p w14:paraId="72878476" w14:textId="77777777" w:rsidR="00F76A63" w:rsidRDefault="00000000">
                  <w:pPr>
                    <w:jc w:val="center"/>
                    <w:rPr>
                      <w:bCs/>
                      <w:szCs w:val="21"/>
                    </w:rPr>
                  </w:pPr>
                  <w:r>
                    <w:rPr>
                      <w:bCs/>
                      <w:szCs w:val="21"/>
                    </w:rPr>
                    <w:t>/</w:t>
                  </w:r>
                </w:p>
              </w:tc>
              <w:tc>
                <w:tcPr>
                  <w:tcW w:w="493" w:type="pct"/>
                </w:tcPr>
                <w:p w14:paraId="53F1A817" w14:textId="77777777" w:rsidR="00F76A63" w:rsidRDefault="00000000">
                  <w:pPr>
                    <w:jc w:val="center"/>
                    <w:rPr>
                      <w:bCs/>
                      <w:szCs w:val="21"/>
                    </w:rPr>
                  </w:pPr>
                  <w:r>
                    <w:rPr>
                      <w:bCs/>
                      <w:szCs w:val="21"/>
                    </w:rPr>
                    <w:t>/</w:t>
                  </w:r>
                </w:p>
              </w:tc>
              <w:tc>
                <w:tcPr>
                  <w:tcW w:w="474" w:type="pct"/>
                </w:tcPr>
                <w:p w14:paraId="78CA52B1" w14:textId="77777777" w:rsidR="00F76A63" w:rsidRDefault="00000000">
                  <w:pPr>
                    <w:jc w:val="center"/>
                    <w:rPr>
                      <w:bCs/>
                      <w:szCs w:val="21"/>
                    </w:rPr>
                  </w:pPr>
                  <w:r>
                    <w:rPr>
                      <w:bCs/>
                      <w:szCs w:val="21"/>
                    </w:rPr>
                    <w:t>/</w:t>
                  </w:r>
                </w:p>
              </w:tc>
              <w:tc>
                <w:tcPr>
                  <w:tcW w:w="474" w:type="pct"/>
                  <w:vAlign w:val="center"/>
                </w:tcPr>
                <w:p w14:paraId="04D3566D" w14:textId="77777777" w:rsidR="00F76A63" w:rsidRDefault="00000000">
                  <w:pPr>
                    <w:jc w:val="center"/>
                    <w:rPr>
                      <w:bCs/>
                      <w:szCs w:val="21"/>
                    </w:rPr>
                  </w:pPr>
                  <w:r>
                    <w:rPr>
                      <w:bCs/>
                      <w:szCs w:val="21"/>
                    </w:rPr>
                    <w:t>0.002</w:t>
                  </w:r>
                </w:p>
              </w:tc>
              <w:tc>
                <w:tcPr>
                  <w:tcW w:w="474" w:type="pct"/>
                  <w:vAlign w:val="center"/>
                </w:tcPr>
                <w:p w14:paraId="3AA74C78" w14:textId="77777777" w:rsidR="00F76A63" w:rsidRDefault="00000000">
                  <w:pPr>
                    <w:jc w:val="center"/>
                    <w:rPr>
                      <w:bCs/>
                      <w:szCs w:val="21"/>
                    </w:rPr>
                  </w:pPr>
                  <w:r>
                    <w:rPr>
                      <w:bCs/>
                      <w:szCs w:val="21"/>
                    </w:rPr>
                    <w:t>3.0</w:t>
                  </w:r>
                </w:p>
              </w:tc>
              <w:tc>
                <w:tcPr>
                  <w:tcW w:w="474" w:type="pct"/>
                  <w:vAlign w:val="center"/>
                </w:tcPr>
                <w:p w14:paraId="3F2D6C43" w14:textId="77777777" w:rsidR="00F76A63" w:rsidRDefault="00000000">
                  <w:pPr>
                    <w:jc w:val="center"/>
                    <w:rPr>
                      <w:bCs/>
                      <w:szCs w:val="21"/>
                    </w:rPr>
                  </w:pPr>
                  <w:r>
                    <w:rPr>
                      <w:bCs/>
                      <w:szCs w:val="21"/>
                    </w:rPr>
                    <w:t>34.5</w:t>
                  </w:r>
                </w:p>
              </w:tc>
            </w:tr>
          </w:tbl>
          <w:p w14:paraId="11180593" w14:textId="77777777" w:rsidR="00F76A63" w:rsidRDefault="00F76A63">
            <w:pPr>
              <w:keepNext/>
              <w:keepLines/>
              <w:widowControl/>
              <w:tabs>
                <w:tab w:val="left" w:pos="2340"/>
              </w:tabs>
              <w:adjustRightInd w:val="0"/>
              <w:snapToGrid w:val="0"/>
              <w:spacing w:line="500" w:lineRule="exact"/>
              <w:ind w:firstLineChars="200" w:firstLine="482"/>
              <w:rPr>
                <w:b/>
                <w:bCs/>
                <w:kern w:val="0"/>
                <w:sz w:val="24"/>
              </w:rPr>
            </w:pPr>
          </w:p>
        </w:tc>
      </w:tr>
    </w:tbl>
    <w:p w14:paraId="011786DD" w14:textId="77777777" w:rsidR="00F76A63" w:rsidRDefault="00F76A63">
      <w:pPr>
        <w:adjustRightInd w:val="0"/>
        <w:snapToGrid w:val="0"/>
        <w:jc w:val="center"/>
        <w:rPr>
          <w:b/>
        </w:rPr>
      </w:pPr>
    </w:p>
    <w:p w14:paraId="7E9D7438" w14:textId="77777777" w:rsidR="00F76A63" w:rsidRDefault="00F76A63">
      <w:pPr>
        <w:ind w:firstLineChars="200" w:firstLine="422"/>
        <w:rPr>
          <w:b/>
        </w:rPr>
        <w:sectPr w:rsidR="00F76A63">
          <w:pgSz w:w="16838" w:h="11906" w:orient="landscape"/>
          <w:pgMar w:top="1531" w:right="1701" w:bottom="1531" w:left="1701" w:header="851" w:footer="851" w:gutter="0"/>
          <w:cols w:space="720"/>
          <w:docGrid w:linePitch="312"/>
        </w:sectPr>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97"/>
        <w:gridCol w:w="8327"/>
      </w:tblGrid>
      <w:tr w:rsidR="00F76A63" w14:paraId="219F85CF" w14:textId="77777777">
        <w:trPr>
          <w:trHeight w:val="13309"/>
          <w:jc w:val="center"/>
        </w:trPr>
        <w:tc>
          <w:tcPr>
            <w:tcW w:w="497" w:type="dxa"/>
            <w:vAlign w:val="center"/>
          </w:tcPr>
          <w:p w14:paraId="7980816D" w14:textId="77777777" w:rsidR="00F76A63" w:rsidRDefault="00F76A63">
            <w:pPr>
              <w:adjustRightInd w:val="0"/>
              <w:snapToGrid w:val="0"/>
              <w:jc w:val="center"/>
              <w:rPr>
                <w:b/>
              </w:rPr>
            </w:pPr>
          </w:p>
        </w:tc>
        <w:tc>
          <w:tcPr>
            <w:tcW w:w="8327" w:type="dxa"/>
          </w:tcPr>
          <w:p w14:paraId="51F22C5B" w14:textId="77777777" w:rsidR="00F76A63" w:rsidRDefault="00000000">
            <w:pPr>
              <w:pStyle w:val="1ff7"/>
              <w:spacing w:beforeLines="50" w:before="120" w:line="500" w:lineRule="exact"/>
              <w:ind w:firstLineChars="200" w:firstLine="482"/>
              <w:rPr>
                <w:rFonts w:ascii="Times New Roman" w:hAnsi="Times New Roman"/>
                <w:sz w:val="24"/>
              </w:rPr>
            </w:pPr>
            <w:r>
              <w:rPr>
                <w:rFonts w:ascii="Times New Roman" w:hAnsi="Times New Roman"/>
                <w:sz w:val="24"/>
              </w:rPr>
              <w:t>（</w:t>
            </w:r>
            <w:r>
              <w:rPr>
                <w:rFonts w:ascii="Times New Roman" w:hAnsi="Times New Roman"/>
                <w:sz w:val="24"/>
              </w:rPr>
              <w:t>2</w:t>
            </w:r>
            <w:r>
              <w:rPr>
                <w:rFonts w:ascii="Times New Roman" w:hAnsi="Times New Roman"/>
                <w:sz w:val="24"/>
              </w:rPr>
              <w:t>）废水</w:t>
            </w:r>
          </w:p>
          <w:p w14:paraId="529C7F57" w14:textId="77777777" w:rsidR="00F76A63" w:rsidRDefault="00000000">
            <w:pPr>
              <w:pStyle w:val="1ff7"/>
              <w:spacing w:beforeLines="50" w:before="120" w:line="500" w:lineRule="exact"/>
              <w:ind w:firstLineChars="200" w:firstLine="480"/>
              <w:rPr>
                <w:rFonts w:ascii="Times New Roman" w:hAnsi="Times New Roman"/>
                <w:b w:val="0"/>
                <w:bCs w:val="0"/>
                <w:sz w:val="24"/>
              </w:rPr>
            </w:pPr>
            <w:r>
              <w:rPr>
                <w:rFonts w:ascii="Times New Roman" w:hAnsi="Times New Roman"/>
                <w:b w:val="0"/>
                <w:bCs w:val="0"/>
                <w:sz w:val="24"/>
              </w:rPr>
              <w:t>在建项目不新增员工，不产生生活污水；仅水泥窑协同处置飞灰项目产生洗灰废水，污染因子为悬浮物、色度、生化需氧量（</w:t>
            </w:r>
            <w:r>
              <w:rPr>
                <w:rFonts w:ascii="Times New Roman" w:hAnsi="Times New Roman"/>
                <w:b w:val="0"/>
                <w:bCs w:val="0"/>
                <w:sz w:val="24"/>
              </w:rPr>
              <w:t>BOD</w:t>
            </w:r>
            <w:r>
              <w:rPr>
                <w:rFonts w:ascii="Times New Roman" w:hAnsi="Times New Roman"/>
                <w:b w:val="0"/>
                <w:bCs w:val="0"/>
                <w:sz w:val="24"/>
                <w:vertAlign w:val="subscript"/>
              </w:rPr>
              <w:t>5</w:t>
            </w:r>
            <w:r>
              <w:rPr>
                <w:rFonts w:ascii="Times New Roman" w:hAnsi="Times New Roman"/>
                <w:b w:val="0"/>
                <w:bCs w:val="0"/>
                <w:sz w:val="24"/>
              </w:rPr>
              <w:t>）、铁、锰、总碱度、硫酸盐、溶解性固体、粪大肠菌群、总余氯，采用</w:t>
            </w:r>
            <w:r>
              <w:rPr>
                <w:rFonts w:ascii="Times New Roman" w:hAnsi="Times New Roman"/>
                <w:b w:val="0"/>
                <w:bCs w:val="0"/>
                <w:sz w:val="24"/>
              </w:rPr>
              <w:t>“</w:t>
            </w:r>
            <w:r>
              <w:rPr>
                <w:rFonts w:ascii="Times New Roman" w:hAnsi="Times New Roman"/>
                <w:b w:val="0"/>
                <w:bCs w:val="0"/>
                <w:sz w:val="24"/>
              </w:rPr>
              <w:t>脱钙</w:t>
            </w:r>
            <w:r>
              <w:rPr>
                <w:rFonts w:ascii="Times New Roman" w:hAnsi="Times New Roman"/>
                <w:b w:val="0"/>
                <w:bCs w:val="0"/>
                <w:sz w:val="24"/>
              </w:rPr>
              <w:t>+</w:t>
            </w:r>
            <w:r>
              <w:rPr>
                <w:rFonts w:ascii="Times New Roman" w:hAnsi="Times New Roman"/>
                <w:b w:val="0"/>
                <w:bCs w:val="0"/>
                <w:sz w:val="24"/>
              </w:rPr>
              <w:t>过滤</w:t>
            </w:r>
            <w:r>
              <w:rPr>
                <w:rFonts w:ascii="Times New Roman" w:hAnsi="Times New Roman"/>
                <w:b w:val="0"/>
                <w:bCs w:val="0"/>
                <w:sz w:val="24"/>
              </w:rPr>
              <w:t>+</w:t>
            </w:r>
            <w:r>
              <w:rPr>
                <w:rFonts w:ascii="Times New Roman" w:hAnsi="Times New Roman"/>
                <w:b w:val="0"/>
                <w:bCs w:val="0"/>
                <w:sz w:val="24"/>
              </w:rPr>
              <w:t>中和</w:t>
            </w:r>
            <w:r>
              <w:rPr>
                <w:rFonts w:ascii="Times New Roman" w:hAnsi="Times New Roman"/>
                <w:b w:val="0"/>
                <w:bCs w:val="0"/>
                <w:sz w:val="24"/>
              </w:rPr>
              <w:t>+MVR</w:t>
            </w:r>
            <w:r>
              <w:rPr>
                <w:rFonts w:ascii="Times New Roman" w:hAnsi="Times New Roman"/>
                <w:b w:val="0"/>
                <w:bCs w:val="0"/>
                <w:sz w:val="24"/>
              </w:rPr>
              <w:t>蒸发结晶</w:t>
            </w:r>
            <w:r>
              <w:rPr>
                <w:rFonts w:ascii="Times New Roman" w:hAnsi="Times New Roman"/>
                <w:b w:val="0"/>
                <w:bCs w:val="0"/>
                <w:sz w:val="24"/>
              </w:rPr>
              <w:t>”</w:t>
            </w:r>
            <w:r>
              <w:rPr>
                <w:rFonts w:ascii="Times New Roman" w:hAnsi="Times New Roman"/>
                <w:b w:val="0"/>
                <w:bCs w:val="0"/>
                <w:sz w:val="24"/>
              </w:rPr>
              <w:t>的工艺处理，</w:t>
            </w:r>
            <w:r>
              <w:rPr>
                <w:rFonts w:ascii="Times New Roman" w:hAnsi="Times New Roman"/>
                <w:b w:val="0"/>
                <w:bCs w:val="0"/>
                <w:sz w:val="24"/>
              </w:rPr>
              <w:t>MVR</w:t>
            </w:r>
            <w:r>
              <w:rPr>
                <w:rFonts w:ascii="Times New Roman" w:hAnsi="Times New Roman"/>
                <w:b w:val="0"/>
                <w:bCs w:val="0"/>
                <w:sz w:val="24"/>
              </w:rPr>
              <w:t>蒸发结晶系统冷凝水全部回用飞灰水洗单元补水，不外排。</w:t>
            </w:r>
          </w:p>
          <w:p w14:paraId="58CE161A" w14:textId="77777777" w:rsidR="00F76A63" w:rsidRDefault="00000000">
            <w:pPr>
              <w:keepNext/>
              <w:keepLines/>
              <w:widowControl/>
              <w:tabs>
                <w:tab w:val="left" w:pos="2340"/>
              </w:tabs>
              <w:adjustRightInd w:val="0"/>
              <w:snapToGrid w:val="0"/>
              <w:spacing w:line="500" w:lineRule="exact"/>
              <w:ind w:firstLineChars="200" w:firstLine="480"/>
              <w:rPr>
                <w:sz w:val="24"/>
              </w:rPr>
            </w:pPr>
            <w:r>
              <w:rPr>
                <w:rFonts w:hint="eastAsia"/>
                <w:sz w:val="24"/>
              </w:rPr>
              <w:t>在建拟建后全厂水平衡图见图</w:t>
            </w:r>
            <w:r>
              <w:rPr>
                <w:rFonts w:hint="eastAsia"/>
                <w:sz w:val="24"/>
              </w:rPr>
              <w:t>2-12</w:t>
            </w:r>
            <w:r>
              <w:rPr>
                <w:sz w:val="24"/>
              </w:rPr>
              <w:t>。</w:t>
            </w:r>
          </w:p>
          <w:p w14:paraId="7532DA0E" w14:textId="77777777" w:rsidR="00F76A63" w:rsidRDefault="00000000">
            <w:pPr>
              <w:jc w:val="center"/>
            </w:pPr>
            <w:r>
              <w:rPr>
                <w:rFonts w:hint="eastAsia"/>
                <w:noProof/>
              </w:rPr>
              <w:drawing>
                <wp:inline distT="0" distB="0" distL="114300" distR="114300" wp14:anchorId="5C446A83" wp14:editId="47B6FD5B">
                  <wp:extent cx="5058410" cy="5791200"/>
                  <wp:effectExtent l="0" t="0" r="8890" b="0"/>
                  <wp:docPr id="1" name="图片 1" descr="4ba199e8-c0a6-445f-87ed-55f543a2d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ba199e8-c0a6-445f-87ed-55f543a2de33"/>
                          <pic:cNvPicPr>
                            <a:picLocks noChangeAspect="1"/>
                          </pic:cNvPicPr>
                        </pic:nvPicPr>
                        <pic:blipFill>
                          <a:blip r:embed="rId34"/>
                          <a:stretch>
                            <a:fillRect/>
                          </a:stretch>
                        </pic:blipFill>
                        <pic:spPr>
                          <a:xfrm>
                            <a:off x="0" y="0"/>
                            <a:ext cx="5058410" cy="5791200"/>
                          </a:xfrm>
                          <a:prstGeom prst="rect">
                            <a:avLst/>
                          </a:prstGeom>
                        </pic:spPr>
                      </pic:pic>
                    </a:graphicData>
                  </a:graphic>
                </wp:inline>
              </w:drawing>
            </w:r>
          </w:p>
          <w:p w14:paraId="3AE43988" w14:textId="77777777" w:rsidR="00F76A63" w:rsidRDefault="00000000">
            <w:pPr>
              <w:pStyle w:val="29"/>
              <w:spacing w:before="0" w:after="0" w:line="500" w:lineRule="exact"/>
              <w:ind w:firstLine="0"/>
              <w:jc w:val="center"/>
              <w:rPr>
                <w:b/>
                <w:sz w:val="24"/>
              </w:rPr>
            </w:pPr>
            <w:r>
              <w:rPr>
                <w:b/>
                <w:bCs/>
                <w:sz w:val="24"/>
              </w:rPr>
              <w:t>图</w:t>
            </w:r>
            <w:r>
              <w:rPr>
                <w:b/>
                <w:bCs/>
                <w:sz w:val="24"/>
              </w:rPr>
              <w:t>2-1</w:t>
            </w:r>
            <w:r>
              <w:rPr>
                <w:rFonts w:hint="eastAsia"/>
                <w:b/>
                <w:bCs/>
                <w:sz w:val="24"/>
              </w:rPr>
              <w:t>2</w:t>
            </w:r>
            <w:r>
              <w:rPr>
                <w:b/>
                <w:bCs/>
                <w:sz w:val="24"/>
              </w:rPr>
              <w:t xml:space="preserve">  </w:t>
            </w:r>
            <w:r>
              <w:rPr>
                <w:rFonts w:hint="eastAsia"/>
                <w:b/>
                <w:bCs/>
                <w:sz w:val="24"/>
              </w:rPr>
              <w:t>在建拟建后全厂水平衡图</w:t>
            </w:r>
            <w:r>
              <w:rPr>
                <w:b/>
                <w:sz w:val="24"/>
              </w:rPr>
              <w:t>（单位：</w:t>
            </w:r>
            <w:r>
              <w:rPr>
                <w:b/>
                <w:sz w:val="24"/>
              </w:rPr>
              <w:t>t/a</w:t>
            </w:r>
            <w:r>
              <w:rPr>
                <w:b/>
                <w:sz w:val="24"/>
              </w:rPr>
              <w:t>）</w:t>
            </w:r>
          </w:p>
          <w:p w14:paraId="607FE65A" w14:textId="77777777" w:rsidR="00F76A63" w:rsidRDefault="00000000">
            <w:pPr>
              <w:pStyle w:val="1ff7"/>
              <w:spacing w:line="500" w:lineRule="exact"/>
              <w:ind w:firstLineChars="200" w:firstLine="482"/>
              <w:rPr>
                <w:rFonts w:ascii="Times New Roman" w:hAnsi="Times New Roman"/>
                <w:sz w:val="24"/>
              </w:rPr>
            </w:pPr>
            <w:r>
              <w:rPr>
                <w:rFonts w:ascii="Times New Roman" w:hAnsi="Times New Roman"/>
                <w:sz w:val="24"/>
              </w:rPr>
              <w:lastRenderedPageBreak/>
              <w:t>（</w:t>
            </w:r>
            <w:r>
              <w:rPr>
                <w:rFonts w:ascii="Times New Roman" w:hAnsi="Times New Roman"/>
                <w:sz w:val="24"/>
              </w:rPr>
              <w:t>3</w:t>
            </w:r>
            <w:r>
              <w:rPr>
                <w:rFonts w:ascii="Times New Roman" w:hAnsi="Times New Roman"/>
                <w:sz w:val="24"/>
              </w:rPr>
              <w:t>）噪声</w:t>
            </w:r>
          </w:p>
          <w:p w14:paraId="25B503A2" w14:textId="77777777" w:rsidR="00F76A63" w:rsidRDefault="00000000">
            <w:pPr>
              <w:pStyle w:val="1ff7"/>
              <w:spacing w:line="500" w:lineRule="exact"/>
              <w:ind w:firstLineChars="200" w:firstLine="480"/>
              <w:rPr>
                <w:rFonts w:ascii="Times New Roman" w:hAnsi="Times New Roman"/>
                <w:b w:val="0"/>
                <w:bCs w:val="0"/>
                <w:sz w:val="24"/>
              </w:rPr>
            </w:pPr>
            <w:r>
              <w:rPr>
                <w:rFonts w:ascii="Times New Roman" w:hAnsi="Times New Roman"/>
                <w:b w:val="0"/>
                <w:bCs w:val="0"/>
                <w:sz w:val="24"/>
              </w:rPr>
              <w:t>在建项目生产过程中设备会产生一定的噪声，主要为辊压机、风机、烘干机等各类设备产生的噪声，噪声声级一般在</w:t>
            </w:r>
            <w:r>
              <w:rPr>
                <w:rFonts w:ascii="Times New Roman" w:hAnsi="Times New Roman"/>
                <w:b w:val="0"/>
                <w:bCs w:val="0"/>
                <w:sz w:val="24"/>
              </w:rPr>
              <w:t>95-105dB</w:t>
            </w:r>
            <w:r>
              <w:rPr>
                <w:rFonts w:ascii="Times New Roman" w:hAnsi="Times New Roman"/>
                <w:b w:val="0"/>
                <w:bCs w:val="0"/>
                <w:sz w:val="24"/>
              </w:rPr>
              <w:t>（</w:t>
            </w:r>
            <w:r>
              <w:rPr>
                <w:rFonts w:ascii="Times New Roman" w:hAnsi="Times New Roman"/>
                <w:b w:val="0"/>
                <w:bCs w:val="0"/>
                <w:sz w:val="24"/>
              </w:rPr>
              <w:t>A</w:t>
            </w:r>
            <w:r>
              <w:rPr>
                <w:rFonts w:ascii="Times New Roman" w:hAnsi="Times New Roman"/>
                <w:b w:val="0"/>
                <w:bCs w:val="0"/>
                <w:sz w:val="24"/>
              </w:rPr>
              <w:t>）。</w:t>
            </w:r>
          </w:p>
          <w:p w14:paraId="2C5917C6" w14:textId="77777777" w:rsidR="00F76A63" w:rsidRDefault="00000000">
            <w:pPr>
              <w:pStyle w:val="1ff7"/>
              <w:spacing w:line="500" w:lineRule="exact"/>
              <w:ind w:firstLineChars="200" w:firstLine="480"/>
              <w:rPr>
                <w:rFonts w:ascii="Times New Roman" w:hAnsi="Times New Roman"/>
                <w:b w:val="0"/>
                <w:bCs w:val="0"/>
                <w:sz w:val="24"/>
              </w:rPr>
            </w:pPr>
            <w:r>
              <w:rPr>
                <w:rFonts w:ascii="Times New Roman" w:hAnsi="Times New Roman"/>
                <w:b w:val="0"/>
                <w:bCs w:val="0"/>
                <w:sz w:val="24"/>
              </w:rPr>
              <w:t>对于风机、烘干机等产生气流噪声的设备，采用加装消声器的方式消声；对于其他产生机械噪声的设备，均设置减振基础；各设备置于室内，通过建筑隔声的措施降低噪声影响。</w:t>
            </w:r>
          </w:p>
          <w:p w14:paraId="70F1CA10" w14:textId="77777777" w:rsidR="00F76A63" w:rsidRDefault="00000000">
            <w:pPr>
              <w:pStyle w:val="1ff7"/>
              <w:spacing w:line="500" w:lineRule="exact"/>
              <w:ind w:firstLineChars="200" w:firstLine="482"/>
              <w:rPr>
                <w:rFonts w:ascii="Times New Roman" w:hAnsi="Times New Roman"/>
                <w:sz w:val="24"/>
              </w:rPr>
            </w:pPr>
            <w:r>
              <w:rPr>
                <w:rFonts w:ascii="Times New Roman" w:hAnsi="Times New Roman"/>
                <w:sz w:val="24"/>
              </w:rPr>
              <w:t>（</w:t>
            </w:r>
            <w:r>
              <w:rPr>
                <w:rFonts w:ascii="Times New Roman" w:hAnsi="Times New Roman"/>
                <w:sz w:val="24"/>
              </w:rPr>
              <w:t>4</w:t>
            </w:r>
            <w:r>
              <w:rPr>
                <w:rFonts w:ascii="Times New Roman" w:hAnsi="Times New Roman"/>
                <w:sz w:val="24"/>
              </w:rPr>
              <w:t>）固体废物</w:t>
            </w:r>
          </w:p>
          <w:p w14:paraId="06E1BE6E" w14:textId="77777777" w:rsidR="00F76A63" w:rsidRDefault="00000000">
            <w:pPr>
              <w:pStyle w:val="1ff7"/>
              <w:spacing w:line="500" w:lineRule="exact"/>
              <w:ind w:firstLineChars="200" w:firstLine="480"/>
              <w:rPr>
                <w:rFonts w:ascii="Times New Roman" w:hAnsi="Times New Roman"/>
                <w:b w:val="0"/>
                <w:bCs w:val="0"/>
                <w:sz w:val="24"/>
              </w:rPr>
            </w:pPr>
            <w:r>
              <w:rPr>
                <w:rFonts w:ascii="Times New Roman" w:hAnsi="Times New Roman"/>
                <w:b w:val="0"/>
                <w:bCs w:val="0"/>
                <w:sz w:val="24"/>
              </w:rPr>
              <w:t>协同处置一般固废项目（</w:t>
            </w:r>
            <w:r>
              <w:rPr>
                <w:rFonts w:ascii="Times New Roman" w:hAnsi="Times New Roman"/>
                <w:b w:val="0"/>
                <w:bCs w:val="0"/>
                <w:sz w:val="24"/>
              </w:rPr>
              <w:t>34</w:t>
            </w:r>
            <w:r>
              <w:rPr>
                <w:rFonts w:ascii="Times New Roman" w:hAnsi="Times New Roman"/>
                <w:b w:val="0"/>
                <w:bCs w:val="0"/>
                <w:sz w:val="24"/>
              </w:rPr>
              <w:t>万吨）生产过程中产生的各种固体废物主要有：废布袋、除尘灰、废机油和废机油桶；</w:t>
            </w:r>
          </w:p>
          <w:p w14:paraId="1D5323C2" w14:textId="77777777" w:rsidR="00F76A63" w:rsidRDefault="00000000">
            <w:pPr>
              <w:pStyle w:val="1ff7"/>
              <w:spacing w:line="500" w:lineRule="exact"/>
              <w:ind w:firstLineChars="200" w:firstLine="480"/>
              <w:rPr>
                <w:rFonts w:ascii="Times New Roman" w:hAnsi="Times New Roman"/>
                <w:b w:val="0"/>
                <w:bCs w:val="0"/>
                <w:sz w:val="24"/>
              </w:rPr>
            </w:pPr>
            <w:r>
              <w:rPr>
                <w:rFonts w:ascii="Times New Roman" w:hAnsi="Times New Roman"/>
                <w:b w:val="0"/>
                <w:bCs w:val="0"/>
                <w:sz w:val="24"/>
              </w:rPr>
              <w:t>协同处置污染土及一般固废项目生产过程中无固体废物产生；</w:t>
            </w:r>
          </w:p>
          <w:p w14:paraId="198F79E2" w14:textId="77777777" w:rsidR="00F76A63" w:rsidRDefault="00000000">
            <w:pPr>
              <w:pStyle w:val="1ff7"/>
              <w:spacing w:line="500" w:lineRule="exact"/>
              <w:ind w:firstLineChars="200" w:firstLine="480"/>
              <w:rPr>
                <w:rFonts w:ascii="Times New Roman" w:hAnsi="Times New Roman"/>
                <w:b w:val="0"/>
                <w:bCs w:val="0"/>
                <w:sz w:val="24"/>
              </w:rPr>
            </w:pPr>
            <w:r>
              <w:rPr>
                <w:rFonts w:ascii="Times New Roman" w:hAnsi="Times New Roman"/>
                <w:b w:val="0"/>
                <w:bCs w:val="0"/>
                <w:sz w:val="24"/>
              </w:rPr>
              <w:t>台泥水泥磨节能技改项目主要产生固体废物有废布袋、废机油和废机油桶，项目袋式除尘器收集的粉尘与原料成分相同，直接回用于生产中，不作为固体废物管理；</w:t>
            </w:r>
          </w:p>
          <w:p w14:paraId="3043939E" w14:textId="77777777" w:rsidR="00F76A63" w:rsidRDefault="00000000">
            <w:pPr>
              <w:pStyle w:val="1ff7"/>
              <w:spacing w:line="500" w:lineRule="exact"/>
              <w:ind w:firstLineChars="200" w:firstLine="480"/>
              <w:rPr>
                <w:rFonts w:ascii="Times New Roman" w:hAnsi="Times New Roman"/>
                <w:b w:val="0"/>
                <w:bCs w:val="0"/>
                <w:sz w:val="24"/>
              </w:rPr>
            </w:pPr>
            <w:r>
              <w:rPr>
                <w:rFonts w:ascii="Times New Roman" w:hAnsi="Times New Roman"/>
                <w:b w:val="0"/>
                <w:bCs w:val="0"/>
                <w:sz w:val="24"/>
              </w:rPr>
              <w:t>水泥窑协同处置飞灰项目产生固体废物包括：洗灰废水处理站污泥、洗灰废水处理站废弃过滤材料、除尘灰、飞灰吨包袋、飞灰除尘器滤袋、化验室废液、废矿物油和废矿物油桶。</w:t>
            </w:r>
          </w:p>
          <w:p w14:paraId="2B82D6F0" w14:textId="77777777" w:rsidR="00F76A63" w:rsidRDefault="00000000">
            <w:pPr>
              <w:pStyle w:val="1ff7"/>
              <w:spacing w:line="500" w:lineRule="exact"/>
              <w:jc w:val="center"/>
              <w:rPr>
                <w:rFonts w:ascii="Times New Roman" w:hAnsi="Times New Roman"/>
                <w:sz w:val="24"/>
              </w:rPr>
            </w:pPr>
            <w:r>
              <w:rPr>
                <w:rFonts w:ascii="Times New Roman" w:hAnsi="Times New Roman"/>
                <w:sz w:val="24"/>
              </w:rPr>
              <w:t>表</w:t>
            </w:r>
            <w:r>
              <w:rPr>
                <w:rFonts w:ascii="Times New Roman" w:hAnsi="Times New Roman"/>
                <w:sz w:val="24"/>
              </w:rPr>
              <w:t>2-</w:t>
            </w:r>
            <w:r>
              <w:rPr>
                <w:rFonts w:ascii="Times New Roman" w:hAnsi="Times New Roman" w:hint="eastAsia"/>
                <w:sz w:val="24"/>
              </w:rPr>
              <w:t>61</w:t>
            </w:r>
            <w:r>
              <w:rPr>
                <w:rFonts w:ascii="Times New Roman" w:hAnsi="Times New Roman"/>
                <w:sz w:val="24"/>
              </w:rPr>
              <w:t xml:space="preserve">  </w:t>
            </w:r>
            <w:r>
              <w:rPr>
                <w:rFonts w:ascii="Times New Roman" w:hAnsi="Times New Roman"/>
                <w:sz w:val="24"/>
              </w:rPr>
              <w:t>在建、拟建项目建成后固体废物产生及处置情况</w:t>
            </w:r>
          </w:p>
          <w:tbl>
            <w:tblPr>
              <w:tblW w:w="5000" w:type="pct"/>
              <w:jc w:val="center"/>
              <w:tblBorders>
                <w:top w:val="single" w:sz="12" w:space="0" w:color="000000"/>
                <w:bottom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46"/>
              <w:gridCol w:w="1424"/>
              <w:gridCol w:w="526"/>
              <w:gridCol w:w="882"/>
              <w:gridCol w:w="324"/>
              <w:gridCol w:w="858"/>
              <w:gridCol w:w="706"/>
              <w:gridCol w:w="696"/>
              <w:gridCol w:w="1196"/>
              <w:gridCol w:w="1153"/>
            </w:tblGrid>
            <w:tr w:rsidR="00F76A63" w14:paraId="75706F7E" w14:textId="77777777">
              <w:trPr>
                <w:jc w:val="center"/>
              </w:trPr>
              <w:tc>
                <w:tcPr>
                  <w:tcW w:w="213" w:type="pct"/>
                  <w:tcBorders>
                    <w:top w:val="single" w:sz="12" w:space="0" w:color="000000"/>
                    <w:left w:val="nil"/>
                    <w:bottom w:val="single" w:sz="6" w:space="0" w:color="000000"/>
                    <w:right w:val="single" w:sz="6" w:space="0" w:color="000000"/>
                  </w:tcBorders>
                  <w:vAlign w:val="center"/>
                </w:tcPr>
                <w:p w14:paraId="557C740D"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序号</w:t>
                  </w:r>
                </w:p>
              </w:tc>
              <w:tc>
                <w:tcPr>
                  <w:tcW w:w="878" w:type="pct"/>
                  <w:tcBorders>
                    <w:top w:val="single" w:sz="12" w:space="0" w:color="000000"/>
                    <w:left w:val="single" w:sz="6" w:space="0" w:color="000000"/>
                    <w:bottom w:val="single" w:sz="6" w:space="0" w:color="000000"/>
                    <w:right w:val="single" w:sz="6" w:space="0" w:color="000000"/>
                  </w:tcBorders>
                  <w:vAlign w:val="center"/>
                </w:tcPr>
                <w:p w14:paraId="227CFFC6"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固废名称</w:t>
                  </w:r>
                </w:p>
              </w:tc>
              <w:tc>
                <w:tcPr>
                  <w:tcW w:w="324" w:type="pct"/>
                  <w:tcBorders>
                    <w:top w:val="single" w:sz="12" w:space="0" w:color="000000"/>
                    <w:left w:val="single" w:sz="6" w:space="0" w:color="000000"/>
                    <w:bottom w:val="single" w:sz="6" w:space="0" w:color="000000"/>
                    <w:right w:val="single" w:sz="6" w:space="0" w:color="000000"/>
                  </w:tcBorders>
                  <w:vAlign w:val="center"/>
                </w:tcPr>
                <w:p w14:paraId="306D1BBC"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属性</w:t>
                  </w:r>
                </w:p>
              </w:tc>
              <w:tc>
                <w:tcPr>
                  <w:tcW w:w="544" w:type="pct"/>
                  <w:tcBorders>
                    <w:top w:val="single" w:sz="12" w:space="0" w:color="000000"/>
                    <w:left w:val="single" w:sz="6" w:space="0" w:color="000000"/>
                    <w:bottom w:val="single" w:sz="6" w:space="0" w:color="000000"/>
                    <w:right w:val="single" w:sz="6" w:space="0" w:color="000000"/>
                  </w:tcBorders>
                  <w:vAlign w:val="center"/>
                </w:tcPr>
                <w:p w14:paraId="64CDB5BD"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产生工序</w:t>
                  </w:r>
                </w:p>
              </w:tc>
              <w:tc>
                <w:tcPr>
                  <w:tcW w:w="200" w:type="pct"/>
                  <w:tcBorders>
                    <w:top w:val="single" w:sz="12" w:space="0" w:color="000000"/>
                    <w:left w:val="single" w:sz="6" w:space="0" w:color="000000"/>
                    <w:bottom w:val="single" w:sz="6" w:space="0" w:color="000000"/>
                    <w:right w:val="single" w:sz="6" w:space="0" w:color="000000"/>
                  </w:tcBorders>
                  <w:vAlign w:val="center"/>
                </w:tcPr>
                <w:p w14:paraId="42C20793"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形态</w:t>
                  </w:r>
                </w:p>
              </w:tc>
              <w:tc>
                <w:tcPr>
                  <w:tcW w:w="529" w:type="pct"/>
                  <w:tcBorders>
                    <w:top w:val="single" w:sz="12" w:space="0" w:color="000000"/>
                    <w:left w:val="single" w:sz="6" w:space="0" w:color="000000"/>
                    <w:bottom w:val="single" w:sz="6" w:space="0" w:color="000000"/>
                    <w:right w:val="single" w:sz="6" w:space="0" w:color="000000"/>
                  </w:tcBorders>
                  <w:vAlign w:val="center"/>
                </w:tcPr>
                <w:p w14:paraId="28A96C2B"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主要成分</w:t>
                  </w:r>
                </w:p>
              </w:tc>
              <w:tc>
                <w:tcPr>
                  <w:tcW w:w="435" w:type="pct"/>
                  <w:tcBorders>
                    <w:top w:val="single" w:sz="12" w:space="0" w:color="000000"/>
                    <w:left w:val="single" w:sz="6" w:space="0" w:color="000000"/>
                    <w:bottom w:val="single" w:sz="6" w:space="0" w:color="000000"/>
                    <w:right w:val="single" w:sz="6" w:space="0" w:color="000000"/>
                  </w:tcBorders>
                  <w:vAlign w:val="center"/>
                </w:tcPr>
                <w:p w14:paraId="06A77854"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废物类别</w:t>
                  </w:r>
                </w:p>
              </w:tc>
              <w:tc>
                <w:tcPr>
                  <w:tcW w:w="429" w:type="pct"/>
                  <w:tcBorders>
                    <w:top w:val="single" w:sz="12" w:space="0" w:color="000000"/>
                    <w:left w:val="single" w:sz="6" w:space="0" w:color="000000"/>
                    <w:bottom w:val="single" w:sz="6" w:space="0" w:color="000000"/>
                    <w:right w:val="single" w:sz="6" w:space="0" w:color="000000"/>
                  </w:tcBorders>
                  <w:vAlign w:val="center"/>
                </w:tcPr>
                <w:p w14:paraId="61BFE5A9"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废物代码</w:t>
                  </w:r>
                </w:p>
              </w:tc>
              <w:tc>
                <w:tcPr>
                  <w:tcW w:w="737" w:type="pct"/>
                  <w:tcBorders>
                    <w:top w:val="single" w:sz="12" w:space="0" w:color="000000"/>
                    <w:left w:val="single" w:sz="6" w:space="0" w:color="000000"/>
                    <w:bottom w:val="single" w:sz="6" w:space="0" w:color="000000"/>
                    <w:right w:val="single" w:sz="6" w:space="0" w:color="000000"/>
                  </w:tcBorders>
                  <w:vAlign w:val="center"/>
                </w:tcPr>
                <w:p w14:paraId="19DA789C"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估算产生量（吨</w:t>
                  </w:r>
                  <w:r>
                    <w:rPr>
                      <w:rFonts w:ascii="Times New Roman" w:hAnsi="Times New Roman"/>
                      <w:sz w:val="21"/>
                      <w:szCs w:val="21"/>
                    </w:rPr>
                    <w:t>/</w:t>
                  </w:r>
                  <w:r>
                    <w:rPr>
                      <w:rFonts w:ascii="Times New Roman" w:hAnsi="Times New Roman"/>
                      <w:sz w:val="21"/>
                      <w:szCs w:val="21"/>
                    </w:rPr>
                    <w:t>年）</w:t>
                  </w:r>
                </w:p>
              </w:tc>
              <w:tc>
                <w:tcPr>
                  <w:tcW w:w="711" w:type="pct"/>
                  <w:tcBorders>
                    <w:top w:val="single" w:sz="12" w:space="0" w:color="000000"/>
                    <w:left w:val="single" w:sz="6" w:space="0" w:color="000000"/>
                    <w:bottom w:val="single" w:sz="6" w:space="0" w:color="000000"/>
                    <w:right w:val="nil"/>
                  </w:tcBorders>
                  <w:vAlign w:val="center"/>
                </w:tcPr>
                <w:p w14:paraId="6D51C7F2" w14:textId="77777777" w:rsidR="00F76A63" w:rsidRDefault="00000000">
                  <w:pPr>
                    <w:pStyle w:val="1ff7"/>
                    <w:spacing w:beforeLines="50" w:before="120" w:line="240" w:lineRule="auto"/>
                    <w:jc w:val="center"/>
                    <w:rPr>
                      <w:rFonts w:ascii="Times New Roman" w:hAnsi="Times New Roman"/>
                      <w:sz w:val="21"/>
                      <w:szCs w:val="21"/>
                    </w:rPr>
                  </w:pPr>
                  <w:r>
                    <w:rPr>
                      <w:rFonts w:ascii="Times New Roman" w:hAnsi="Times New Roman"/>
                      <w:sz w:val="21"/>
                      <w:szCs w:val="21"/>
                    </w:rPr>
                    <w:t>拟采取的处理处置方式</w:t>
                  </w:r>
                </w:p>
              </w:tc>
            </w:tr>
            <w:tr w:rsidR="00F76A63" w14:paraId="0F775C15"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75723A3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w:t>
                  </w:r>
                </w:p>
              </w:tc>
              <w:tc>
                <w:tcPr>
                  <w:tcW w:w="878" w:type="pct"/>
                  <w:tcBorders>
                    <w:top w:val="single" w:sz="6" w:space="0" w:color="000000"/>
                    <w:left w:val="single" w:sz="6" w:space="0" w:color="000000"/>
                    <w:bottom w:val="single" w:sz="6" w:space="0" w:color="000000"/>
                    <w:right w:val="single" w:sz="6" w:space="0" w:color="000000"/>
                  </w:tcBorders>
                  <w:vAlign w:val="center"/>
                </w:tcPr>
                <w:p w14:paraId="3A306384"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废布袋</w:t>
                  </w:r>
                </w:p>
              </w:tc>
              <w:tc>
                <w:tcPr>
                  <w:tcW w:w="324" w:type="pct"/>
                  <w:vMerge w:val="restart"/>
                  <w:tcBorders>
                    <w:top w:val="single" w:sz="6" w:space="0" w:color="000000"/>
                    <w:left w:val="single" w:sz="6" w:space="0" w:color="000000"/>
                    <w:bottom w:val="single" w:sz="6" w:space="0" w:color="000000"/>
                    <w:right w:val="single" w:sz="6" w:space="0" w:color="000000"/>
                  </w:tcBorders>
                  <w:vAlign w:val="center"/>
                </w:tcPr>
                <w:p w14:paraId="6D668B74"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一般固废</w:t>
                  </w:r>
                </w:p>
              </w:tc>
              <w:tc>
                <w:tcPr>
                  <w:tcW w:w="544" w:type="pct"/>
                  <w:tcBorders>
                    <w:top w:val="single" w:sz="6" w:space="0" w:color="000000"/>
                    <w:left w:val="single" w:sz="6" w:space="0" w:color="000000"/>
                    <w:bottom w:val="single" w:sz="6" w:space="0" w:color="000000"/>
                    <w:right w:val="single" w:sz="6" w:space="0" w:color="000000"/>
                  </w:tcBorders>
                  <w:vAlign w:val="center"/>
                </w:tcPr>
                <w:p w14:paraId="1200CC71"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废气处理</w:t>
                  </w:r>
                </w:p>
              </w:tc>
              <w:tc>
                <w:tcPr>
                  <w:tcW w:w="200" w:type="pct"/>
                  <w:tcBorders>
                    <w:top w:val="single" w:sz="6" w:space="0" w:color="000000"/>
                    <w:left w:val="single" w:sz="6" w:space="0" w:color="000000"/>
                    <w:bottom w:val="single" w:sz="6" w:space="0" w:color="000000"/>
                    <w:right w:val="single" w:sz="6" w:space="0" w:color="000000"/>
                  </w:tcBorders>
                  <w:vAlign w:val="center"/>
                </w:tcPr>
                <w:p w14:paraId="43AFC2B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48CE0B7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布袋</w:t>
                  </w:r>
                </w:p>
              </w:tc>
              <w:tc>
                <w:tcPr>
                  <w:tcW w:w="435" w:type="pct"/>
                  <w:tcBorders>
                    <w:top w:val="single" w:sz="6" w:space="0" w:color="000000"/>
                    <w:left w:val="single" w:sz="6" w:space="0" w:color="000000"/>
                    <w:bottom w:val="single" w:sz="6" w:space="0" w:color="000000"/>
                    <w:right w:val="single" w:sz="6" w:space="0" w:color="000000"/>
                  </w:tcBorders>
                  <w:vAlign w:val="center"/>
                </w:tcPr>
                <w:p w14:paraId="239AF9C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w:t>
                  </w:r>
                </w:p>
              </w:tc>
              <w:tc>
                <w:tcPr>
                  <w:tcW w:w="429" w:type="pct"/>
                  <w:tcBorders>
                    <w:top w:val="single" w:sz="6" w:space="0" w:color="000000"/>
                    <w:left w:val="single" w:sz="6" w:space="0" w:color="000000"/>
                    <w:bottom w:val="single" w:sz="6" w:space="0" w:color="000000"/>
                    <w:right w:val="single" w:sz="6" w:space="0" w:color="000000"/>
                  </w:tcBorders>
                  <w:vAlign w:val="center"/>
                </w:tcPr>
                <w:p w14:paraId="0B6BF79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w:t>
                  </w:r>
                </w:p>
              </w:tc>
              <w:tc>
                <w:tcPr>
                  <w:tcW w:w="737" w:type="pct"/>
                  <w:tcBorders>
                    <w:top w:val="single" w:sz="6" w:space="0" w:color="000000"/>
                    <w:left w:val="single" w:sz="6" w:space="0" w:color="000000"/>
                    <w:bottom w:val="single" w:sz="6" w:space="0" w:color="000000"/>
                    <w:right w:val="single" w:sz="6" w:space="0" w:color="000000"/>
                  </w:tcBorders>
                  <w:vAlign w:val="center"/>
                </w:tcPr>
                <w:p w14:paraId="48064894"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4.69</w:t>
                  </w:r>
                </w:p>
              </w:tc>
              <w:tc>
                <w:tcPr>
                  <w:tcW w:w="711" w:type="pct"/>
                  <w:vMerge w:val="restart"/>
                  <w:tcBorders>
                    <w:top w:val="single" w:sz="6" w:space="0" w:color="000000"/>
                    <w:left w:val="single" w:sz="6" w:space="0" w:color="000000"/>
                    <w:bottom w:val="single" w:sz="6" w:space="0" w:color="000000"/>
                    <w:right w:val="nil"/>
                  </w:tcBorders>
                  <w:vAlign w:val="center"/>
                </w:tcPr>
                <w:p w14:paraId="341B1EBF"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进水泥窑焚烧处置</w:t>
                  </w:r>
                </w:p>
              </w:tc>
            </w:tr>
            <w:tr w:rsidR="00F76A63" w14:paraId="50305335"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71144B2C"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2</w:t>
                  </w:r>
                </w:p>
              </w:tc>
              <w:tc>
                <w:tcPr>
                  <w:tcW w:w="878" w:type="pct"/>
                  <w:tcBorders>
                    <w:top w:val="single" w:sz="6" w:space="0" w:color="000000"/>
                    <w:left w:val="single" w:sz="6" w:space="0" w:color="000000"/>
                    <w:bottom w:val="single" w:sz="6" w:space="0" w:color="000000"/>
                    <w:right w:val="single" w:sz="6" w:space="0" w:color="000000"/>
                  </w:tcBorders>
                  <w:vAlign w:val="center"/>
                </w:tcPr>
                <w:p w14:paraId="3294C402"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除尘灰</w:t>
                  </w:r>
                </w:p>
              </w:tc>
              <w:tc>
                <w:tcPr>
                  <w:tcW w:w="560" w:type="dxa"/>
                  <w:vMerge/>
                  <w:tcBorders>
                    <w:top w:val="single" w:sz="6" w:space="0" w:color="000000"/>
                    <w:left w:val="single" w:sz="6" w:space="0" w:color="000000"/>
                    <w:bottom w:val="single" w:sz="6" w:space="0" w:color="000000"/>
                    <w:right w:val="single" w:sz="6" w:space="0" w:color="000000"/>
                  </w:tcBorders>
                  <w:vAlign w:val="center"/>
                </w:tcPr>
                <w:p w14:paraId="10303F4C" w14:textId="77777777" w:rsidR="00F76A63" w:rsidRDefault="00F76A63">
                  <w:pPr>
                    <w:pStyle w:val="1ff7"/>
                    <w:spacing w:beforeLines="50" w:before="120" w:line="240" w:lineRule="auto"/>
                    <w:jc w:val="center"/>
                    <w:rPr>
                      <w:rFonts w:ascii="Times New Roman" w:hAnsi="Times New Roman"/>
                      <w:b w:val="0"/>
                      <w:bCs w:val="0"/>
                      <w:sz w:val="21"/>
                      <w:szCs w:val="21"/>
                    </w:rPr>
                  </w:pPr>
                </w:p>
              </w:tc>
              <w:tc>
                <w:tcPr>
                  <w:tcW w:w="544" w:type="pct"/>
                  <w:tcBorders>
                    <w:top w:val="single" w:sz="6" w:space="0" w:color="000000"/>
                    <w:left w:val="single" w:sz="6" w:space="0" w:color="000000"/>
                    <w:bottom w:val="single" w:sz="6" w:space="0" w:color="000000"/>
                    <w:right w:val="single" w:sz="6" w:space="0" w:color="000000"/>
                  </w:tcBorders>
                  <w:vAlign w:val="center"/>
                </w:tcPr>
                <w:p w14:paraId="25F8ED6D"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废气处理</w:t>
                  </w:r>
                </w:p>
              </w:tc>
              <w:tc>
                <w:tcPr>
                  <w:tcW w:w="200" w:type="pct"/>
                  <w:tcBorders>
                    <w:top w:val="single" w:sz="6" w:space="0" w:color="000000"/>
                    <w:left w:val="single" w:sz="6" w:space="0" w:color="000000"/>
                    <w:bottom w:val="single" w:sz="6" w:space="0" w:color="000000"/>
                    <w:right w:val="single" w:sz="6" w:space="0" w:color="000000"/>
                  </w:tcBorders>
                  <w:vAlign w:val="center"/>
                </w:tcPr>
                <w:p w14:paraId="59B92585"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2EE13EA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一般固废</w:t>
                  </w:r>
                </w:p>
              </w:tc>
              <w:tc>
                <w:tcPr>
                  <w:tcW w:w="435" w:type="pct"/>
                  <w:tcBorders>
                    <w:top w:val="single" w:sz="6" w:space="0" w:color="000000"/>
                    <w:left w:val="single" w:sz="6" w:space="0" w:color="000000"/>
                    <w:bottom w:val="single" w:sz="6" w:space="0" w:color="000000"/>
                    <w:right w:val="single" w:sz="6" w:space="0" w:color="000000"/>
                  </w:tcBorders>
                  <w:vAlign w:val="center"/>
                </w:tcPr>
                <w:p w14:paraId="122C5BC4"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w:t>
                  </w:r>
                </w:p>
              </w:tc>
              <w:tc>
                <w:tcPr>
                  <w:tcW w:w="429" w:type="pct"/>
                  <w:tcBorders>
                    <w:top w:val="single" w:sz="6" w:space="0" w:color="000000"/>
                    <w:left w:val="single" w:sz="6" w:space="0" w:color="000000"/>
                    <w:bottom w:val="single" w:sz="6" w:space="0" w:color="000000"/>
                    <w:right w:val="single" w:sz="6" w:space="0" w:color="000000"/>
                  </w:tcBorders>
                  <w:vAlign w:val="center"/>
                </w:tcPr>
                <w:p w14:paraId="4AC9274C"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w:t>
                  </w:r>
                </w:p>
              </w:tc>
              <w:tc>
                <w:tcPr>
                  <w:tcW w:w="737" w:type="pct"/>
                  <w:tcBorders>
                    <w:top w:val="single" w:sz="6" w:space="0" w:color="000000"/>
                    <w:left w:val="single" w:sz="6" w:space="0" w:color="000000"/>
                    <w:bottom w:val="single" w:sz="6" w:space="0" w:color="000000"/>
                    <w:right w:val="single" w:sz="6" w:space="0" w:color="000000"/>
                  </w:tcBorders>
                  <w:vAlign w:val="center"/>
                </w:tcPr>
                <w:p w14:paraId="21F5782F"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4.3</w:t>
                  </w:r>
                </w:p>
              </w:tc>
              <w:tc>
                <w:tcPr>
                  <w:tcW w:w="1229" w:type="dxa"/>
                  <w:vMerge/>
                  <w:tcBorders>
                    <w:top w:val="single" w:sz="6" w:space="0" w:color="000000"/>
                    <w:left w:val="single" w:sz="6" w:space="0" w:color="000000"/>
                    <w:bottom w:val="single" w:sz="6" w:space="0" w:color="000000"/>
                    <w:right w:val="nil"/>
                  </w:tcBorders>
                  <w:vAlign w:val="center"/>
                </w:tcPr>
                <w:p w14:paraId="61107A4A" w14:textId="77777777" w:rsidR="00F76A63" w:rsidRDefault="00F76A63">
                  <w:pPr>
                    <w:pStyle w:val="1ff7"/>
                    <w:spacing w:beforeLines="50" w:before="120" w:line="240" w:lineRule="auto"/>
                    <w:jc w:val="center"/>
                    <w:rPr>
                      <w:rFonts w:ascii="Times New Roman" w:hAnsi="Times New Roman"/>
                      <w:b w:val="0"/>
                      <w:bCs w:val="0"/>
                      <w:sz w:val="21"/>
                      <w:szCs w:val="21"/>
                    </w:rPr>
                  </w:pPr>
                </w:p>
              </w:tc>
            </w:tr>
            <w:tr w:rsidR="00F76A63" w14:paraId="104784E4"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68F4E86D"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3</w:t>
                  </w:r>
                </w:p>
              </w:tc>
              <w:tc>
                <w:tcPr>
                  <w:tcW w:w="878" w:type="pct"/>
                  <w:tcBorders>
                    <w:top w:val="single" w:sz="6" w:space="0" w:color="000000"/>
                    <w:left w:val="single" w:sz="6" w:space="0" w:color="000000"/>
                    <w:bottom w:val="single" w:sz="6" w:space="0" w:color="000000"/>
                    <w:right w:val="single" w:sz="6" w:space="0" w:color="000000"/>
                  </w:tcBorders>
                  <w:vAlign w:val="center"/>
                </w:tcPr>
                <w:p w14:paraId="16858514"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废包装袋</w:t>
                  </w:r>
                </w:p>
              </w:tc>
              <w:tc>
                <w:tcPr>
                  <w:tcW w:w="560" w:type="dxa"/>
                  <w:vMerge/>
                  <w:tcBorders>
                    <w:top w:val="single" w:sz="6" w:space="0" w:color="000000"/>
                    <w:left w:val="single" w:sz="6" w:space="0" w:color="000000"/>
                    <w:bottom w:val="single" w:sz="6" w:space="0" w:color="000000"/>
                    <w:right w:val="single" w:sz="6" w:space="0" w:color="000000"/>
                  </w:tcBorders>
                  <w:vAlign w:val="center"/>
                </w:tcPr>
                <w:p w14:paraId="1B4EFDD3" w14:textId="77777777" w:rsidR="00F76A63" w:rsidRDefault="00F76A63">
                  <w:pPr>
                    <w:pStyle w:val="1ff7"/>
                    <w:spacing w:beforeLines="50" w:before="120" w:line="240" w:lineRule="auto"/>
                    <w:jc w:val="center"/>
                    <w:rPr>
                      <w:rFonts w:ascii="Times New Roman" w:hAnsi="Times New Roman"/>
                      <w:b w:val="0"/>
                      <w:bCs w:val="0"/>
                      <w:sz w:val="21"/>
                      <w:szCs w:val="21"/>
                    </w:rPr>
                  </w:pPr>
                </w:p>
              </w:tc>
              <w:tc>
                <w:tcPr>
                  <w:tcW w:w="544" w:type="pct"/>
                  <w:tcBorders>
                    <w:top w:val="single" w:sz="6" w:space="0" w:color="000000"/>
                    <w:left w:val="single" w:sz="6" w:space="0" w:color="000000"/>
                    <w:bottom w:val="single" w:sz="6" w:space="0" w:color="000000"/>
                    <w:right w:val="single" w:sz="6" w:space="0" w:color="000000"/>
                  </w:tcBorders>
                  <w:vAlign w:val="center"/>
                </w:tcPr>
                <w:p w14:paraId="406C4BE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分拣、人工拆包</w:t>
                  </w:r>
                </w:p>
              </w:tc>
              <w:tc>
                <w:tcPr>
                  <w:tcW w:w="200" w:type="pct"/>
                  <w:tcBorders>
                    <w:top w:val="single" w:sz="6" w:space="0" w:color="000000"/>
                    <w:left w:val="single" w:sz="6" w:space="0" w:color="000000"/>
                    <w:bottom w:val="single" w:sz="6" w:space="0" w:color="000000"/>
                    <w:right w:val="single" w:sz="6" w:space="0" w:color="000000"/>
                  </w:tcBorders>
                  <w:vAlign w:val="center"/>
                </w:tcPr>
                <w:p w14:paraId="15A915B2"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12B1FE4C"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包装袋</w:t>
                  </w:r>
                </w:p>
              </w:tc>
              <w:tc>
                <w:tcPr>
                  <w:tcW w:w="435" w:type="pct"/>
                  <w:tcBorders>
                    <w:top w:val="single" w:sz="6" w:space="0" w:color="000000"/>
                    <w:left w:val="single" w:sz="6" w:space="0" w:color="000000"/>
                    <w:bottom w:val="single" w:sz="6" w:space="0" w:color="000000"/>
                    <w:right w:val="single" w:sz="6" w:space="0" w:color="000000"/>
                  </w:tcBorders>
                  <w:vAlign w:val="center"/>
                </w:tcPr>
                <w:p w14:paraId="517558A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w:t>
                  </w:r>
                </w:p>
              </w:tc>
              <w:tc>
                <w:tcPr>
                  <w:tcW w:w="429" w:type="pct"/>
                  <w:tcBorders>
                    <w:top w:val="single" w:sz="6" w:space="0" w:color="000000"/>
                    <w:left w:val="single" w:sz="6" w:space="0" w:color="000000"/>
                    <w:bottom w:val="single" w:sz="6" w:space="0" w:color="000000"/>
                    <w:right w:val="single" w:sz="6" w:space="0" w:color="000000"/>
                  </w:tcBorders>
                  <w:vAlign w:val="center"/>
                </w:tcPr>
                <w:p w14:paraId="1DD74E4C"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w:t>
                  </w:r>
                </w:p>
              </w:tc>
              <w:tc>
                <w:tcPr>
                  <w:tcW w:w="737" w:type="pct"/>
                  <w:tcBorders>
                    <w:top w:val="single" w:sz="6" w:space="0" w:color="000000"/>
                    <w:left w:val="single" w:sz="6" w:space="0" w:color="000000"/>
                    <w:bottom w:val="single" w:sz="6" w:space="0" w:color="000000"/>
                    <w:right w:val="single" w:sz="6" w:space="0" w:color="000000"/>
                  </w:tcBorders>
                  <w:vAlign w:val="center"/>
                </w:tcPr>
                <w:p w14:paraId="67E3799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2</w:t>
                  </w:r>
                </w:p>
              </w:tc>
              <w:tc>
                <w:tcPr>
                  <w:tcW w:w="1229" w:type="dxa"/>
                  <w:vMerge/>
                  <w:tcBorders>
                    <w:top w:val="single" w:sz="6" w:space="0" w:color="000000"/>
                    <w:left w:val="single" w:sz="6" w:space="0" w:color="000000"/>
                    <w:bottom w:val="single" w:sz="6" w:space="0" w:color="000000"/>
                    <w:right w:val="nil"/>
                  </w:tcBorders>
                  <w:vAlign w:val="center"/>
                </w:tcPr>
                <w:p w14:paraId="1CBCC112" w14:textId="77777777" w:rsidR="00F76A63" w:rsidRDefault="00F76A63">
                  <w:pPr>
                    <w:pStyle w:val="1ff7"/>
                    <w:spacing w:beforeLines="50" w:before="120" w:line="240" w:lineRule="auto"/>
                    <w:jc w:val="center"/>
                    <w:rPr>
                      <w:rFonts w:ascii="Times New Roman" w:hAnsi="Times New Roman"/>
                      <w:b w:val="0"/>
                      <w:bCs w:val="0"/>
                      <w:sz w:val="21"/>
                      <w:szCs w:val="21"/>
                    </w:rPr>
                  </w:pPr>
                </w:p>
              </w:tc>
            </w:tr>
            <w:tr w:rsidR="00F76A63" w14:paraId="1D74D492"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22C1DEE5"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4</w:t>
                  </w:r>
                </w:p>
              </w:tc>
              <w:tc>
                <w:tcPr>
                  <w:tcW w:w="878" w:type="pct"/>
                  <w:tcBorders>
                    <w:top w:val="single" w:sz="6" w:space="0" w:color="000000"/>
                    <w:left w:val="single" w:sz="6" w:space="0" w:color="000000"/>
                    <w:bottom w:val="single" w:sz="6" w:space="0" w:color="000000"/>
                    <w:right w:val="single" w:sz="6" w:space="0" w:color="000000"/>
                  </w:tcBorders>
                  <w:vAlign w:val="center"/>
                </w:tcPr>
                <w:p w14:paraId="0290B64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废机油</w:t>
                  </w:r>
                </w:p>
              </w:tc>
              <w:tc>
                <w:tcPr>
                  <w:tcW w:w="324" w:type="pct"/>
                  <w:tcBorders>
                    <w:top w:val="single" w:sz="6" w:space="0" w:color="000000"/>
                    <w:left w:val="single" w:sz="6" w:space="0" w:color="000000"/>
                    <w:bottom w:val="single" w:sz="6" w:space="0" w:color="000000"/>
                    <w:right w:val="single" w:sz="6" w:space="0" w:color="000000"/>
                  </w:tcBorders>
                  <w:vAlign w:val="center"/>
                </w:tcPr>
                <w:p w14:paraId="04ADBFC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18A1E932"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设备维修</w:t>
                  </w:r>
                </w:p>
              </w:tc>
              <w:tc>
                <w:tcPr>
                  <w:tcW w:w="200" w:type="pct"/>
                  <w:tcBorders>
                    <w:top w:val="single" w:sz="6" w:space="0" w:color="000000"/>
                    <w:left w:val="single" w:sz="6" w:space="0" w:color="000000"/>
                    <w:bottom w:val="single" w:sz="6" w:space="0" w:color="000000"/>
                    <w:right w:val="single" w:sz="6" w:space="0" w:color="000000"/>
                  </w:tcBorders>
                  <w:vAlign w:val="center"/>
                </w:tcPr>
                <w:p w14:paraId="167BCF5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液态</w:t>
                  </w:r>
                </w:p>
              </w:tc>
              <w:tc>
                <w:tcPr>
                  <w:tcW w:w="529" w:type="pct"/>
                  <w:tcBorders>
                    <w:top w:val="single" w:sz="6" w:space="0" w:color="000000"/>
                    <w:left w:val="single" w:sz="6" w:space="0" w:color="000000"/>
                    <w:bottom w:val="single" w:sz="6" w:space="0" w:color="000000"/>
                    <w:right w:val="single" w:sz="6" w:space="0" w:color="000000"/>
                  </w:tcBorders>
                  <w:vAlign w:val="center"/>
                </w:tcPr>
                <w:p w14:paraId="26CEF3D2"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润滑油</w:t>
                  </w:r>
                </w:p>
              </w:tc>
              <w:tc>
                <w:tcPr>
                  <w:tcW w:w="435" w:type="pct"/>
                  <w:tcBorders>
                    <w:top w:val="single" w:sz="6" w:space="0" w:color="000000"/>
                    <w:left w:val="single" w:sz="6" w:space="0" w:color="000000"/>
                    <w:bottom w:val="single" w:sz="6" w:space="0" w:color="000000"/>
                    <w:right w:val="single" w:sz="6" w:space="0" w:color="000000"/>
                  </w:tcBorders>
                  <w:vAlign w:val="center"/>
                </w:tcPr>
                <w:p w14:paraId="6C6C96F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HW08</w:t>
                  </w:r>
                </w:p>
              </w:tc>
              <w:tc>
                <w:tcPr>
                  <w:tcW w:w="429" w:type="pct"/>
                  <w:tcBorders>
                    <w:top w:val="single" w:sz="6" w:space="0" w:color="000000"/>
                    <w:left w:val="single" w:sz="6" w:space="0" w:color="000000"/>
                    <w:bottom w:val="single" w:sz="6" w:space="0" w:color="000000"/>
                    <w:right w:val="single" w:sz="6" w:space="0" w:color="000000"/>
                  </w:tcBorders>
                  <w:vAlign w:val="center"/>
                </w:tcPr>
                <w:p w14:paraId="1CE96C5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900-217-08</w:t>
                  </w:r>
                </w:p>
              </w:tc>
              <w:tc>
                <w:tcPr>
                  <w:tcW w:w="737" w:type="pct"/>
                  <w:tcBorders>
                    <w:top w:val="single" w:sz="6" w:space="0" w:color="000000"/>
                    <w:left w:val="single" w:sz="6" w:space="0" w:color="000000"/>
                    <w:bottom w:val="single" w:sz="6" w:space="0" w:color="000000"/>
                    <w:right w:val="single" w:sz="6" w:space="0" w:color="000000"/>
                  </w:tcBorders>
                  <w:vAlign w:val="center"/>
                </w:tcPr>
                <w:p w14:paraId="41EE5AF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1.24</w:t>
                  </w:r>
                </w:p>
              </w:tc>
              <w:tc>
                <w:tcPr>
                  <w:tcW w:w="711" w:type="pct"/>
                  <w:vMerge w:val="restart"/>
                  <w:tcBorders>
                    <w:top w:val="single" w:sz="6" w:space="0" w:color="000000"/>
                    <w:left w:val="single" w:sz="6" w:space="0" w:color="000000"/>
                    <w:bottom w:val="single" w:sz="6" w:space="0" w:color="000000"/>
                    <w:right w:val="nil"/>
                  </w:tcBorders>
                  <w:vAlign w:val="center"/>
                </w:tcPr>
                <w:p w14:paraId="70238366"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委托有资质单位处置</w:t>
                  </w:r>
                </w:p>
              </w:tc>
            </w:tr>
            <w:tr w:rsidR="00F76A63" w14:paraId="6A15AE45"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260BA9E6"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5</w:t>
                  </w:r>
                </w:p>
              </w:tc>
              <w:tc>
                <w:tcPr>
                  <w:tcW w:w="878" w:type="pct"/>
                  <w:tcBorders>
                    <w:top w:val="single" w:sz="6" w:space="0" w:color="000000"/>
                    <w:left w:val="single" w:sz="6" w:space="0" w:color="000000"/>
                    <w:bottom w:val="single" w:sz="6" w:space="0" w:color="000000"/>
                    <w:right w:val="single" w:sz="6" w:space="0" w:color="000000"/>
                  </w:tcBorders>
                  <w:vAlign w:val="center"/>
                </w:tcPr>
                <w:p w14:paraId="2881B3A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废机油桶</w:t>
                  </w:r>
                </w:p>
              </w:tc>
              <w:tc>
                <w:tcPr>
                  <w:tcW w:w="324" w:type="pct"/>
                  <w:tcBorders>
                    <w:top w:val="single" w:sz="6" w:space="0" w:color="000000"/>
                    <w:left w:val="single" w:sz="6" w:space="0" w:color="000000"/>
                    <w:bottom w:val="single" w:sz="6" w:space="0" w:color="000000"/>
                    <w:right w:val="single" w:sz="6" w:space="0" w:color="000000"/>
                  </w:tcBorders>
                  <w:vAlign w:val="center"/>
                </w:tcPr>
                <w:p w14:paraId="12D4B727"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0583053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盛装机油</w:t>
                  </w:r>
                </w:p>
              </w:tc>
              <w:tc>
                <w:tcPr>
                  <w:tcW w:w="200" w:type="pct"/>
                  <w:tcBorders>
                    <w:top w:val="single" w:sz="6" w:space="0" w:color="000000"/>
                    <w:left w:val="single" w:sz="6" w:space="0" w:color="000000"/>
                    <w:bottom w:val="single" w:sz="6" w:space="0" w:color="000000"/>
                    <w:right w:val="single" w:sz="6" w:space="0" w:color="000000"/>
                  </w:tcBorders>
                  <w:vAlign w:val="center"/>
                </w:tcPr>
                <w:p w14:paraId="0E6C1C13"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647DB98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润滑油、铁等</w:t>
                  </w:r>
                </w:p>
              </w:tc>
              <w:tc>
                <w:tcPr>
                  <w:tcW w:w="435" w:type="pct"/>
                  <w:tcBorders>
                    <w:top w:val="single" w:sz="6" w:space="0" w:color="000000"/>
                    <w:left w:val="single" w:sz="6" w:space="0" w:color="000000"/>
                    <w:bottom w:val="single" w:sz="6" w:space="0" w:color="000000"/>
                    <w:right w:val="single" w:sz="6" w:space="0" w:color="000000"/>
                  </w:tcBorders>
                  <w:vAlign w:val="center"/>
                </w:tcPr>
                <w:p w14:paraId="464250F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HW08</w:t>
                  </w:r>
                </w:p>
              </w:tc>
              <w:tc>
                <w:tcPr>
                  <w:tcW w:w="429" w:type="pct"/>
                  <w:tcBorders>
                    <w:top w:val="single" w:sz="6" w:space="0" w:color="000000"/>
                    <w:left w:val="single" w:sz="6" w:space="0" w:color="000000"/>
                    <w:bottom w:val="single" w:sz="6" w:space="0" w:color="000000"/>
                    <w:right w:val="single" w:sz="6" w:space="0" w:color="000000"/>
                  </w:tcBorders>
                  <w:vAlign w:val="center"/>
                </w:tcPr>
                <w:p w14:paraId="79292264"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900-249-08</w:t>
                  </w:r>
                </w:p>
              </w:tc>
              <w:tc>
                <w:tcPr>
                  <w:tcW w:w="737" w:type="pct"/>
                  <w:tcBorders>
                    <w:top w:val="single" w:sz="6" w:space="0" w:color="000000"/>
                    <w:left w:val="single" w:sz="6" w:space="0" w:color="000000"/>
                    <w:bottom w:val="single" w:sz="6" w:space="0" w:color="000000"/>
                    <w:right w:val="single" w:sz="6" w:space="0" w:color="000000"/>
                  </w:tcBorders>
                  <w:vAlign w:val="center"/>
                </w:tcPr>
                <w:p w14:paraId="3A19508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1.05</w:t>
                  </w:r>
                </w:p>
              </w:tc>
              <w:tc>
                <w:tcPr>
                  <w:tcW w:w="1229" w:type="dxa"/>
                  <w:vMerge/>
                  <w:tcBorders>
                    <w:top w:val="single" w:sz="6" w:space="0" w:color="000000"/>
                    <w:left w:val="single" w:sz="6" w:space="0" w:color="000000"/>
                    <w:bottom w:val="single" w:sz="6" w:space="0" w:color="000000"/>
                    <w:right w:val="nil"/>
                  </w:tcBorders>
                  <w:vAlign w:val="center"/>
                </w:tcPr>
                <w:p w14:paraId="78337B7F" w14:textId="77777777" w:rsidR="00F76A63" w:rsidRDefault="00F76A63">
                  <w:pPr>
                    <w:pStyle w:val="1ff7"/>
                    <w:spacing w:beforeLines="50" w:before="120" w:line="240" w:lineRule="auto"/>
                    <w:jc w:val="center"/>
                    <w:rPr>
                      <w:rFonts w:ascii="Times New Roman" w:hAnsi="Times New Roman"/>
                      <w:b w:val="0"/>
                      <w:bCs w:val="0"/>
                      <w:sz w:val="21"/>
                      <w:szCs w:val="21"/>
                    </w:rPr>
                  </w:pPr>
                </w:p>
              </w:tc>
            </w:tr>
            <w:tr w:rsidR="00F76A63" w14:paraId="23EF5A8D"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5CCB8613"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6</w:t>
                  </w:r>
                </w:p>
              </w:tc>
              <w:tc>
                <w:tcPr>
                  <w:tcW w:w="878" w:type="pct"/>
                  <w:tcBorders>
                    <w:top w:val="single" w:sz="6" w:space="0" w:color="000000"/>
                    <w:left w:val="single" w:sz="6" w:space="0" w:color="000000"/>
                    <w:bottom w:val="single" w:sz="6" w:space="0" w:color="000000"/>
                    <w:right w:val="single" w:sz="6" w:space="0" w:color="000000"/>
                  </w:tcBorders>
                  <w:vAlign w:val="center"/>
                </w:tcPr>
                <w:p w14:paraId="06E36E2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除尘灰</w:t>
                  </w:r>
                </w:p>
              </w:tc>
              <w:tc>
                <w:tcPr>
                  <w:tcW w:w="324" w:type="pct"/>
                  <w:tcBorders>
                    <w:top w:val="single" w:sz="6" w:space="0" w:color="000000"/>
                    <w:left w:val="single" w:sz="6" w:space="0" w:color="000000"/>
                    <w:bottom w:val="single" w:sz="6" w:space="0" w:color="000000"/>
                    <w:right w:val="single" w:sz="6" w:space="0" w:color="000000"/>
                  </w:tcBorders>
                  <w:vAlign w:val="center"/>
                </w:tcPr>
                <w:p w14:paraId="5E05B38B"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1BC5D27C"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料仓、烘干</w:t>
                  </w:r>
                </w:p>
              </w:tc>
              <w:tc>
                <w:tcPr>
                  <w:tcW w:w="200" w:type="pct"/>
                  <w:tcBorders>
                    <w:top w:val="single" w:sz="6" w:space="0" w:color="000000"/>
                    <w:left w:val="single" w:sz="6" w:space="0" w:color="000000"/>
                    <w:bottom w:val="single" w:sz="6" w:space="0" w:color="000000"/>
                    <w:right w:val="single" w:sz="6" w:space="0" w:color="000000"/>
                  </w:tcBorders>
                  <w:vAlign w:val="center"/>
                </w:tcPr>
                <w:p w14:paraId="0F28A39C"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251952D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除尘灰</w:t>
                  </w:r>
                </w:p>
              </w:tc>
              <w:tc>
                <w:tcPr>
                  <w:tcW w:w="435" w:type="pct"/>
                  <w:tcBorders>
                    <w:top w:val="single" w:sz="6" w:space="0" w:color="000000"/>
                    <w:left w:val="single" w:sz="6" w:space="0" w:color="000000"/>
                    <w:bottom w:val="single" w:sz="6" w:space="0" w:color="000000"/>
                    <w:right w:val="single" w:sz="6" w:space="0" w:color="000000"/>
                  </w:tcBorders>
                  <w:vAlign w:val="center"/>
                </w:tcPr>
                <w:p w14:paraId="578CD52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HW18</w:t>
                  </w:r>
                </w:p>
              </w:tc>
              <w:tc>
                <w:tcPr>
                  <w:tcW w:w="429" w:type="pct"/>
                  <w:tcBorders>
                    <w:top w:val="single" w:sz="6" w:space="0" w:color="000000"/>
                    <w:left w:val="single" w:sz="6" w:space="0" w:color="000000"/>
                    <w:bottom w:val="single" w:sz="6" w:space="0" w:color="000000"/>
                    <w:right w:val="single" w:sz="6" w:space="0" w:color="000000"/>
                  </w:tcBorders>
                  <w:vAlign w:val="center"/>
                </w:tcPr>
                <w:p w14:paraId="50DA3673"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772-002-18</w:t>
                  </w:r>
                </w:p>
              </w:tc>
              <w:tc>
                <w:tcPr>
                  <w:tcW w:w="737" w:type="pct"/>
                  <w:tcBorders>
                    <w:top w:val="single" w:sz="6" w:space="0" w:color="000000"/>
                    <w:left w:val="single" w:sz="6" w:space="0" w:color="000000"/>
                    <w:bottom w:val="single" w:sz="6" w:space="0" w:color="000000"/>
                    <w:right w:val="single" w:sz="6" w:space="0" w:color="000000"/>
                  </w:tcBorders>
                  <w:vAlign w:val="center"/>
                </w:tcPr>
                <w:p w14:paraId="5E67A83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3560</w:t>
                  </w:r>
                </w:p>
              </w:tc>
              <w:tc>
                <w:tcPr>
                  <w:tcW w:w="711" w:type="pct"/>
                  <w:vMerge w:val="restart"/>
                  <w:tcBorders>
                    <w:top w:val="single" w:sz="6" w:space="0" w:color="000000"/>
                    <w:left w:val="single" w:sz="6" w:space="0" w:color="000000"/>
                    <w:bottom w:val="single" w:sz="6" w:space="0" w:color="000000"/>
                    <w:right w:val="nil"/>
                  </w:tcBorders>
                  <w:vAlign w:val="center"/>
                </w:tcPr>
                <w:p w14:paraId="49AD99B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进回转窑协同处置</w:t>
                  </w:r>
                </w:p>
              </w:tc>
            </w:tr>
            <w:tr w:rsidR="00F76A63" w14:paraId="1E3458ED"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30718ED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lastRenderedPageBreak/>
                    <w:t>7</w:t>
                  </w:r>
                </w:p>
              </w:tc>
              <w:tc>
                <w:tcPr>
                  <w:tcW w:w="878" w:type="pct"/>
                  <w:tcBorders>
                    <w:top w:val="single" w:sz="6" w:space="0" w:color="000000"/>
                    <w:left w:val="single" w:sz="6" w:space="0" w:color="000000"/>
                    <w:bottom w:val="single" w:sz="6" w:space="0" w:color="000000"/>
                    <w:right w:val="single" w:sz="6" w:space="0" w:color="000000"/>
                  </w:tcBorders>
                  <w:vAlign w:val="center"/>
                </w:tcPr>
                <w:p w14:paraId="0F82A49B"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洗灰废水处理站污泥</w:t>
                  </w:r>
                </w:p>
              </w:tc>
              <w:tc>
                <w:tcPr>
                  <w:tcW w:w="324" w:type="pct"/>
                  <w:tcBorders>
                    <w:top w:val="single" w:sz="6" w:space="0" w:color="000000"/>
                    <w:left w:val="single" w:sz="6" w:space="0" w:color="000000"/>
                    <w:bottom w:val="single" w:sz="6" w:space="0" w:color="000000"/>
                    <w:right w:val="single" w:sz="6" w:space="0" w:color="000000"/>
                  </w:tcBorders>
                  <w:vAlign w:val="center"/>
                </w:tcPr>
                <w:p w14:paraId="21F18C8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4AA7DB33"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洗灰废水处理</w:t>
                  </w:r>
                </w:p>
              </w:tc>
              <w:tc>
                <w:tcPr>
                  <w:tcW w:w="200" w:type="pct"/>
                  <w:tcBorders>
                    <w:top w:val="single" w:sz="6" w:space="0" w:color="000000"/>
                    <w:left w:val="single" w:sz="6" w:space="0" w:color="000000"/>
                    <w:bottom w:val="single" w:sz="6" w:space="0" w:color="000000"/>
                    <w:right w:val="single" w:sz="6" w:space="0" w:color="000000"/>
                  </w:tcBorders>
                  <w:vAlign w:val="center"/>
                </w:tcPr>
                <w:p w14:paraId="2490FF0F"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69959985"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污泥</w:t>
                  </w:r>
                </w:p>
              </w:tc>
              <w:tc>
                <w:tcPr>
                  <w:tcW w:w="435" w:type="pct"/>
                  <w:tcBorders>
                    <w:top w:val="single" w:sz="6" w:space="0" w:color="000000"/>
                    <w:left w:val="single" w:sz="6" w:space="0" w:color="000000"/>
                    <w:bottom w:val="single" w:sz="6" w:space="0" w:color="000000"/>
                    <w:right w:val="single" w:sz="6" w:space="0" w:color="000000"/>
                  </w:tcBorders>
                  <w:vAlign w:val="center"/>
                </w:tcPr>
                <w:p w14:paraId="2B2F709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HW18</w:t>
                  </w:r>
                </w:p>
              </w:tc>
              <w:tc>
                <w:tcPr>
                  <w:tcW w:w="429" w:type="pct"/>
                  <w:tcBorders>
                    <w:top w:val="single" w:sz="6" w:space="0" w:color="000000"/>
                    <w:left w:val="single" w:sz="6" w:space="0" w:color="000000"/>
                    <w:bottom w:val="single" w:sz="6" w:space="0" w:color="000000"/>
                    <w:right w:val="single" w:sz="6" w:space="0" w:color="000000"/>
                  </w:tcBorders>
                  <w:vAlign w:val="center"/>
                </w:tcPr>
                <w:p w14:paraId="55FE17B5"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772-002-18</w:t>
                  </w:r>
                </w:p>
              </w:tc>
              <w:tc>
                <w:tcPr>
                  <w:tcW w:w="737" w:type="pct"/>
                  <w:tcBorders>
                    <w:top w:val="single" w:sz="6" w:space="0" w:color="000000"/>
                    <w:left w:val="single" w:sz="6" w:space="0" w:color="000000"/>
                    <w:bottom w:val="single" w:sz="6" w:space="0" w:color="000000"/>
                    <w:right w:val="single" w:sz="6" w:space="0" w:color="000000"/>
                  </w:tcBorders>
                  <w:vAlign w:val="center"/>
                </w:tcPr>
                <w:p w14:paraId="0FE05AF7"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20</w:t>
                  </w:r>
                </w:p>
              </w:tc>
              <w:tc>
                <w:tcPr>
                  <w:tcW w:w="1229" w:type="dxa"/>
                  <w:vMerge/>
                  <w:tcBorders>
                    <w:top w:val="single" w:sz="6" w:space="0" w:color="000000"/>
                    <w:left w:val="single" w:sz="6" w:space="0" w:color="000000"/>
                    <w:bottom w:val="single" w:sz="6" w:space="0" w:color="000000"/>
                    <w:right w:val="nil"/>
                  </w:tcBorders>
                  <w:vAlign w:val="center"/>
                </w:tcPr>
                <w:p w14:paraId="2D0E71E6" w14:textId="77777777" w:rsidR="00F76A63" w:rsidRDefault="00F76A63">
                  <w:pPr>
                    <w:pStyle w:val="1ff7"/>
                    <w:spacing w:beforeLines="50" w:before="120" w:line="240" w:lineRule="auto"/>
                    <w:jc w:val="center"/>
                    <w:rPr>
                      <w:rFonts w:ascii="Times New Roman" w:hAnsi="Times New Roman"/>
                      <w:b w:val="0"/>
                      <w:bCs w:val="0"/>
                      <w:sz w:val="21"/>
                      <w:szCs w:val="21"/>
                    </w:rPr>
                  </w:pPr>
                </w:p>
              </w:tc>
            </w:tr>
            <w:tr w:rsidR="00F76A63" w14:paraId="2463D160"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594443C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8</w:t>
                  </w:r>
                </w:p>
              </w:tc>
              <w:tc>
                <w:tcPr>
                  <w:tcW w:w="878" w:type="pct"/>
                  <w:tcBorders>
                    <w:top w:val="single" w:sz="6" w:space="0" w:color="000000"/>
                    <w:left w:val="single" w:sz="6" w:space="0" w:color="000000"/>
                    <w:bottom w:val="single" w:sz="6" w:space="0" w:color="000000"/>
                    <w:right w:val="single" w:sz="6" w:space="0" w:color="000000"/>
                  </w:tcBorders>
                  <w:vAlign w:val="center"/>
                </w:tcPr>
                <w:p w14:paraId="2AEA092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洗灰废水处理站废弃过滤材料</w:t>
                  </w:r>
                </w:p>
              </w:tc>
              <w:tc>
                <w:tcPr>
                  <w:tcW w:w="324" w:type="pct"/>
                  <w:tcBorders>
                    <w:top w:val="single" w:sz="6" w:space="0" w:color="000000"/>
                    <w:left w:val="single" w:sz="6" w:space="0" w:color="000000"/>
                    <w:bottom w:val="single" w:sz="6" w:space="0" w:color="000000"/>
                    <w:right w:val="single" w:sz="6" w:space="0" w:color="000000"/>
                  </w:tcBorders>
                  <w:vAlign w:val="center"/>
                </w:tcPr>
                <w:p w14:paraId="6F6E1CC5"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6E529837"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洗灰废水处理</w:t>
                  </w:r>
                </w:p>
              </w:tc>
              <w:tc>
                <w:tcPr>
                  <w:tcW w:w="200" w:type="pct"/>
                  <w:tcBorders>
                    <w:top w:val="single" w:sz="6" w:space="0" w:color="000000"/>
                    <w:left w:val="single" w:sz="6" w:space="0" w:color="000000"/>
                    <w:bottom w:val="single" w:sz="6" w:space="0" w:color="000000"/>
                    <w:right w:val="single" w:sz="6" w:space="0" w:color="000000"/>
                  </w:tcBorders>
                  <w:vAlign w:val="center"/>
                </w:tcPr>
                <w:p w14:paraId="71A6707C"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193644A7"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PP</w:t>
                  </w:r>
                  <w:r>
                    <w:rPr>
                      <w:rFonts w:ascii="Times New Roman" w:hAnsi="Times New Roman"/>
                      <w:b w:val="0"/>
                      <w:bCs w:val="0"/>
                      <w:sz w:val="21"/>
                      <w:szCs w:val="21"/>
                    </w:rPr>
                    <w:t>棉</w:t>
                  </w:r>
                </w:p>
              </w:tc>
              <w:tc>
                <w:tcPr>
                  <w:tcW w:w="435" w:type="pct"/>
                  <w:tcBorders>
                    <w:top w:val="single" w:sz="6" w:space="0" w:color="000000"/>
                    <w:left w:val="single" w:sz="6" w:space="0" w:color="000000"/>
                    <w:bottom w:val="single" w:sz="6" w:space="0" w:color="000000"/>
                    <w:right w:val="single" w:sz="6" w:space="0" w:color="000000"/>
                  </w:tcBorders>
                  <w:vAlign w:val="center"/>
                </w:tcPr>
                <w:p w14:paraId="51F47B0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HW18</w:t>
                  </w:r>
                </w:p>
              </w:tc>
              <w:tc>
                <w:tcPr>
                  <w:tcW w:w="429" w:type="pct"/>
                  <w:tcBorders>
                    <w:top w:val="single" w:sz="6" w:space="0" w:color="000000"/>
                    <w:left w:val="single" w:sz="6" w:space="0" w:color="000000"/>
                    <w:bottom w:val="single" w:sz="6" w:space="0" w:color="000000"/>
                    <w:right w:val="single" w:sz="6" w:space="0" w:color="000000"/>
                  </w:tcBorders>
                  <w:vAlign w:val="center"/>
                </w:tcPr>
                <w:p w14:paraId="2B20BCDF"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772-002-18</w:t>
                  </w:r>
                </w:p>
              </w:tc>
              <w:tc>
                <w:tcPr>
                  <w:tcW w:w="737" w:type="pct"/>
                  <w:tcBorders>
                    <w:top w:val="single" w:sz="6" w:space="0" w:color="000000"/>
                    <w:left w:val="single" w:sz="6" w:space="0" w:color="000000"/>
                    <w:bottom w:val="single" w:sz="6" w:space="0" w:color="000000"/>
                    <w:right w:val="single" w:sz="6" w:space="0" w:color="000000"/>
                  </w:tcBorders>
                  <w:vAlign w:val="center"/>
                </w:tcPr>
                <w:p w14:paraId="21FA7E1F"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w:t>
                  </w:r>
                </w:p>
              </w:tc>
              <w:tc>
                <w:tcPr>
                  <w:tcW w:w="1229" w:type="dxa"/>
                  <w:vMerge/>
                  <w:tcBorders>
                    <w:top w:val="single" w:sz="6" w:space="0" w:color="000000"/>
                    <w:left w:val="single" w:sz="6" w:space="0" w:color="000000"/>
                    <w:bottom w:val="single" w:sz="6" w:space="0" w:color="000000"/>
                    <w:right w:val="nil"/>
                  </w:tcBorders>
                  <w:vAlign w:val="center"/>
                </w:tcPr>
                <w:p w14:paraId="21C52D33" w14:textId="77777777" w:rsidR="00F76A63" w:rsidRDefault="00F76A63">
                  <w:pPr>
                    <w:pStyle w:val="1ff7"/>
                    <w:spacing w:beforeLines="50" w:before="120" w:line="240" w:lineRule="auto"/>
                    <w:jc w:val="center"/>
                    <w:rPr>
                      <w:rFonts w:ascii="Times New Roman" w:hAnsi="Times New Roman"/>
                      <w:b w:val="0"/>
                      <w:bCs w:val="0"/>
                      <w:sz w:val="21"/>
                      <w:szCs w:val="21"/>
                    </w:rPr>
                  </w:pPr>
                </w:p>
              </w:tc>
            </w:tr>
            <w:tr w:rsidR="00F76A63" w14:paraId="23E41373"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24640D2B"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9</w:t>
                  </w:r>
                </w:p>
              </w:tc>
              <w:tc>
                <w:tcPr>
                  <w:tcW w:w="878" w:type="pct"/>
                  <w:tcBorders>
                    <w:top w:val="single" w:sz="6" w:space="0" w:color="000000"/>
                    <w:left w:val="single" w:sz="6" w:space="0" w:color="000000"/>
                    <w:bottom w:val="single" w:sz="6" w:space="0" w:color="000000"/>
                    <w:right w:val="single" w:sz="6" w:space="0" w:color="000000"/>
                  </w:tcBorders>
                  <w:vAlign w:val="center"/>
                </w:tcPr>
                <w:p w14:paraId="2D59F46D"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飞灰吨包袋</w:t>
                  </w:r>
                </w:p>
              </w:tc>
              <w:tc>
                <w:tcPr>
                  <w:tcW w:w="324" w:type="pct"/>
                  <w:tcBorders>
                    <w:top w:val="single" w:sz="6" w:space="0" w:color="000000"/>
                    <w:left w:val="single" w:sz="6" w:space="0" w:color="000000"/>
                    <w:bottom w:val="single" w:sz="6" w:space="0" w:color="000000"/>
                    <w:right w:val="single" w:sz="6" w:space="0" w:color="000000"/>
                  </w:tcBorders>
                  <w:vAlign w:val="center"/>
                </w:tcPr>
                <w:p w14:paraId="6F02D036"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59FAA6EB"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飞灰预溶</w:t>
                  </w:r>
                </w:p>
              </w:tc>
              <w:tc>
                <w:tcPr>
                  <w:tcW w:w="200" w:type="pct"/>
                  <w:tcBorders>
                    <w:top w:val="single" w:sz="6" w:space="0" w:color="000000"/>
                    <w:left w:val="single" w:sz="6" w:space="0" w:color="000000"/>
                    <w:bottom w:val="single" w:sz="6" w:space="0" w:color="000000"/>
                    <w:right w:val="single" w:sz="6" w:space="0" w:color="000000"/>
                  </w:tcBorders>
                  <w:vAlign w:val="center"/>
                </w:tcPr>
                <w:p w14:paraId="7FE27696"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2DEC43F1"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飞灰</w:t>
                  </w:r>
                </w:p>
              </w:tc>
              <w:tc>
                <w:tcPr>
                  <w:tcW w:w="435" w:type="pct"/>
                  <w:tcBorders>
                    <w:top w:val="single" w:sz="6" w:space="0" w:color="000000"/>
                    <w:left w:val="single" w:sz="6" w:space="0" w:color="000000"/>
                    <w:bottom w:val="single" w:sz="6" w:space="0" w:color="000000"/>
                    <w:right w:val="single" w:sz="6" w:space="0" w:color="000000"/>
                  </w:tcBorders>
                  <w:vAlign w:val="center"/>
                </w:tcPr>
                <w:p w14:paraId="5BF73A4F"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HW49</w:t>
                  </w:r>
                </w:p>
              </w:tc>
              <w:tc>
                <w:tcPr>
                  <w:tcW w:w="429" w:type="pct"/>
                  <w:tcBorders>
                    <w:top w:val="single" w:sz="6" w:space="0" w:color="000000"/>
                    <w:left w:val="single" w:sz="6" w:space="0" w:color="000000"/>
                    <w:bottom w:val="single" w:sz="6" w:space="0" w:color="000000"/>
                    <w:right w:val="single" w:sz="6" w:space="0" w:color="000000"/>
                  </w:tcBorders>
                  <w:vAlign w:val="center"/>
                </w:tcPr>
                <w:p w14:paraId="3684C6A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900-041-49</w:t>
                  </w:r>
                </w:p>
              </w:tc>
              <w:tc>
                <w:tcPr>
                  <w:tcW w:w="737" w:type="pct"/>
                  <w:tcBorders>
                    <w:top w:val="single" w:sz="6" w:space="0" w:color="000000"/>
                    <w:left w:val="single" w:sz="6" w:space="0" w:color="000000"/>
                    <w:bottom w:val="single" w:sz="6" w:space="0" w:color="000000"/>
                    <w:right w:val="single" w:sz="6" w:space="0" w:color="000000"/>
                  </w:tcBorders>
                  <w:vAlign w:val="center"/>
                </w:tcPr>
                <w:p w14:paraId="1EC612B2"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1800</w:t>
                  </w:r>
                  <w:r>
                    <w:rPr>
                      <w:rFonts w:ascii="Times New Roman" w:hAnsi="Times New Roman"/>
                      <w:b w:val="0"/>
                      <w:bCs w:val="0"/>
                      <w:sz w:val="21"/>
                      <w:szCs w:val="21"/>
                    </w:rPr>
                    <w:t>只</w:t>
                  </w:r>
                  <w:r>
                    <w:rPr>
                      <w:rFonts w:ascii="Times New Roman" w:hAnsi="Times New Roman"/>
                      <w:b w:val="0"/>
                      <w:bCs w:val="0"/>
                      <w:sz w:val="21"/>
                      <w:szCs w:val="21"/>
                    </w:rPr>
                    <w:t>/a</w:t>
                  </w:r>
                </w:p>
              </w:tc>
              <w:tc>
                <w:tcPr>
                  <w:tcW w:w="1229" w:type="dxa"/>
                  <w:vMerge/>
                  <w:tcBorders>
                    <w:top w:val="single" w:sz="6" w:space="0" w:color="000000"/>
                    <w:left w:val="single" w:sz="6" w:space="0" w:color="000000"/>
                    <w:bottom w:val="single" w:sz="6" w:space="0" w:color="000000"/>
                    <w:right w:val="nil"/>
                  </w:tcBorders>
                  <w:vAlign w:val="center"/>
                </w:tcPr>
                <w:p w14:paraId="2FC7ED37" w14:textId="77777777" w:rsidR="00F76A63" w:rsidRDefault="00F76A63">
                  <w:pPr>
                    <w:pStyle w:val="1ff7"/>
                    <w:spacing w:beforeLines="50" w:before="120" w:line="240" w:lineRule="auto"/>
                    <w:jc w:val="center"/>
                    <w:rPr>
                      <w:rFonts w:ascii="Times New Roman" w:hAnsi="Times New Roman"/>
                      <w:b w:val="0"/>
                      <w:bCs w:val="0"/>
                      <w:sz w:val="21"/>
                      <w:szCs w:val="21"/>
                    </w:rPr>
                  </w:pPr>
                </w:p>
              </w:tc>
            </w:tr>
            <w:tr w:rsidR="00F76A63" w14:paraId="5F259900"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7FCAECA7"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10</w:t>
                  </w:r>
                </w:p>
              </w:tc>
              <w:tc>
                <w:tcPr>
                  <w:tcW w:w="878" w:type="pct"/>
                  <w:tcBorders>
                    <w:top w:val="single" w:sz="6" w:space="0" w:color="000000"/>
                    <w:left w:val="single" w:sz="6" w:space="0" w:color="000000"/>
                    <w:bottom w:val="single" w:sz="6" w:space="0" w:color="000000"/>
                    <w:right w:val="single" w:sz="6" w:space="0" w:color="000000"/>
                  </w:tcBorders>
                  <w:vAlign w:val="center"/>
                </w:tcPr>
                <w:p w14:paraId="26E5C69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飞灰除尘器滤袋</w:t>
                  </w:r>
                </w:p>
              </w:tc>
              <w:tc>
                <w:tcPr>
                  <w:tcW w:w="324" w:type="pct"/>
                  <w:tcBorders>
                    <w:top w:val="single" w:sz="6" w:space="0" w:color="000000"/>
                    <w:left w:val="single" w:sz="6" w:space="0" w:color="000000"/>
                    <w:bottom w:val="single" w:sz="6" w:space="0" w:color="000000"/>
                    <w:right w:val="single" w:sz="6" w:space="0" w:color="000000"/>
                  </w:tcBorders>
                  <w:vAlign w:val="center"/>
                </w:tcPr>
                <w:p w14:paraId="5801704B"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4A3DBF5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飞灰预处理</w:t>
                  </w:r>
                </w:p>
              </w:tc>
              <w:tc>
                <w:tcPr>
                  <w:tcW w:w="200" w:type="pct"/>
                  <w:tcBorders>
                    <w:top w:val="single" w:sz="6" w:space="0" w:color="000000"/>
                    <w:left w:val="single" w:sz="6" w:space="0" w:color="000000"/>
                    <w:bottom w:val="single" w:sz="6" w:space="0" w:color="000000"/>
                    <w:right w:val="single" w:sz="6" w:space="0" w:color="000000"/>
                  </w:tcBorders>
                  <w:vAlign w:val="center"/>
                </w:tcPr>
                <w:p w14:paraId="3DE355FC"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5566806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滤袋</w:t>
                  </w:r>
                </w:p>
              </w:tc>
              <w:tc>
                <w:tcPr>
                  <w:tcW w:w="435" w:type="pct"/>
                  <w:tcBorders>
                    <w:top w:val="single" w:sz="6" w:space="0" w:color="000000"/>
                    <w:left w:val="single" w:sz="6" w:space="0" w:color="000000"/>
                    <w:bottom w:val="single" w:sz="6" w:space="0" w:color="000000"/>
                    <w:right w:val="single" w:sz="6" w:space="0" w:color="000000"/>
                  </w:tcBorders>
                  <w:vAlign w:val="center"/>
                </w:tcPr>
                <w:p w14:paraId="58590A25"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HW49</w:t>
                  </w:r>
                </w:p>
              </w:tc>
              <w:tc>
                <w:tcPr>
                  <w:tcW w:w="429" w:type="pct"/>
                  <w:tcBorders>
                    <w:top w:val="single" w:sz="6" w:space="0" w:color="000000"/>
                    <w:left w:val="single" w:sz="6" w:space="0" w:color="000000"/>
                    <w:bottom w:val="single" w:sz="6" w:space="0" w:color="000000"/>
                    <w:right w:val="single" w:sz="6" w:space="0" w:color="000000"/>
                  </w:tcBorders>
                  <w:vAlign w:val="center"/>
                </w:tcPr>
                <w:p w14:paraId="6AE70AA6"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900-041-49</w:t>
                  </w:r>
                </w:p>
              </w:tc>
              <w:tc>
                <w:tcPr>
                  <w:tcW w:w="737" w:type="pct"/>
                  <w:tcBorders>
                    <w:top w:val="single" w:sz="6" w:space="0" w:color="000000"/>
                    <w:left w:val="single" w:sz="6" w:space="0" w:color="000000"/>
                    <w:bottom w:val="single" w:sz="6" w:space="0" w:color="000000"/>
                    <w:right w:val="single" w:sz="6" w:space="0" w:color="000000"/>
                  </w:tcBorders>
                  <w:vAlign w:val="center"/>
                </w:tcPr>
                <w:p w14:paraId="3C908102"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1098</w:t>
                  </w:r>
                  <w:r>
                    <w:rPr>
                      <w:rFonts w:ascii="Times New Roman" w:hAnsi="Times New Roman"/>
                      <w:b w:val="0"/>
                      <w:bCs w:val="0"/>
                      <w:sz w:val="21"/>
                      <w:szCs w:val="21"/>
                    </w:rPr>
                    <w:t>条</w:t>
                  </w:r>
                  <w:r>
                    <w:rPr>
                      <w:rFonts w:ascii="Times New Roman" w:hAnsi="Times New Roman"/>
                      <w:b w:val="0"/>
                      <w:bCs w:val="0"/>
                      <w:sz w:val="21"/>
                      <w:szCs w:val="21"/>
                    </w:rPr>
                    <w:t>/3a</w:t>
                  </w:r>
                </w:p>
              </w:tc>
              <w:tc>
                <w:tcPr>
                  <w:tcW w:w="1229" w:type="dxa"/>
                  <w:vMerge/>
                  <w:tcBorders>
                    <w:top w:val="single" w:sz="6" w:space="0" w:color="000000"/>
                    <w:left w:val="single" w:sz="6" w:space="0" w:color="000000"/>
                    <w:bottom w:val="single" w:sz="6" w:space="0" w:color="000000"/>
                    <w:right w:val="nil"/>
                  </w:tcBorders>
                  <w:vAlign w:val="center"/>
                </w:tcPr>
                <w:p w14:paraId="0EB20990" w14:textId="77777777" w:rsidR="00F76A63" w:rsidRDefault="00F76A63">
                  <w:pPr>
                    <w:pStyle w:val="1ff7"/>
                    <w:spacing w:beforeLines="50" w:before="120" w:line="240" w:lineRule="auto"/>
                    <w:jc w:val="center"/>
                    <w:rPr>
                      <w:rFonts w:ascii="Times New Roman" w:hAnsi="Times New Roman"/>
                      <w:b w:val="0"/>
                      <w:bCs w:val="0"/>
                      <w:sz w:val="21"/>
                      <w:szCs w:val="21"/>
                    </w:rPr>
                  </w:pPr>
                </w:p>
              </w:tc>
            </w:tr>
            <w:tr w:rsidR="00F76A63" w14:paraId="7D25BE2E"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406B7DF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11</w:t>
                  </w:r>
                </w:p>
              </w:tc>
              <w:tc>
                <w:tcPr>
                  <w:tcW w:w="878" w:type="pct"/>
                  <w:tcBorders>
                    <w:top w:val="single" w:sz="6" w:space="0" w:color="000000"/>
                    <w:left w:val="single" w:sz="6" w:space="0" w:color="000000"/>
                    <w:bottom w:val="single" w:sz="6" w:space="0" w:color="000000"/>
                    <w:right w:val="single" w:sz="6" w:space="0" w:color="000000"/>
                  </w:tcBorders>
                  <w:vAlign w:val="center"/>
                </w:tcPr>
                <w:p w14:paraId="76CCA5A7"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废矿物油</w:t>
                  </w:r>
                </w:p>
              </w:tc>
              <w:tc>
                <w:tcPr>
                  <w:tcW w:w="324" w:type="pct"/>
                  <w:tcBorders>
                    <w:top w:val="single" w:sz="6" w:space="0" w:color="000000"/>
                    <w:left w:val="single" w:sz="6" w:space="0" w:color="000000"/>
                    <w:bottom w:val="single" w:sz="6" w:space="0" w:color="000000"/>
                    <w:right w:val="single" w:sz="6" w:space="0" w:color="000000"/>
                  </w:tcBorders>
                  <w:vAlign w:val="center"/>
                </w:tcPr>
                <w:p w14:paraId="23FBDC9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104AA6D6"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设备润滑</w:t>
                  </w:r>
                </w:p>
              </w:tc>
              <w:tc>
                <w:tcPr>
                  <w:tcW w:w="200" w:type="pct"/>
                  <w:tcBorders>
                    <w:top w:val="single" w:sz="6" w:space="0" w:color="000000"/>
                    <w:left w:val="single" w:sz="6" w:space="0" w:color="000000"/>
                    <w:bottom w:val="single" w:sz="6" w:space="0" w:color="000000"/>
                    <w:right w:val="single" w:sz="6" w:space="0" w:color="000000"/>
                  </w:tcBorders>
                  <w:vAlign w:val="center"/>
                </w:tcPr>
                <w:p w14:paraId="1AEF1DA3"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液态</w:t>
                  </w:r>
                </w:p>
              </w:tc>
              <w:tc>
                <w:tcPr>
                  <w:tcW w:w="529" w:type="pct"/>
                  <w:tcBorders>
                    <w:top w:val="single" w:sz="6" w:space="0" w:color="000000"/>
                    <w:left w:val="single" w:sz="6" w:space="0" w:color="000000"/>
                    <w:bottom w:val="single" w:sz="6" w:space="0" w:color="000000"/>
                    <w:right w:val="single" w:sz="6" w:space="0" w:color="000000"/>
                  </w:tcBorders>
                  <w:vAlign w:val="center"/>
                </w:tcPr>
                <w:p w14:paraId="6250AB0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废矿物油</w:t>
                  </w:r>
                </w:p>
              </w:tc>
              <w:tc>
                <w:tcPr>
                  <w:tcW w:w="435" w:type="pct"/>
                  <w:tcBorders>
                    <w:top w:val="single" w:sz="6" w:space="0" w:color="000000"/>
                    <w:left w:val="single" w:sz="6" w:space="0" w:color="000000"/>
                    <w:bottom w:val="single" w:sz="6" w:space="0" w:color="000000"/>
                    <w:right w:val="single" w:sz="6" w:space="0" w:color="000000"/>
                  </w:tcBorders>
                  <w:vAlign w:val="center"/>
                </w:tcPr>
                <w:p w14:paraId="4BBE7AA5"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HW08</w:t>
                  </w:r>
                </w:p>
              </w:tc>
              <w:tc>
                <w:tcPr>
                  <w:tcW w:w="429" w:type="pct"/>
                  <w:tcBorders>
                    <w:top w:val="single" w:sz="6" w:space="0" w:color="000000"/>
                    <w:left w:val="single" w:sz="6" w:space="0" w:color="000000"/>
                    <w:bottom w:val="single" w:sz="6" w:space="0" w:color="000000"/>
                    <w:right w:val="single" w:sz="6" w:space="0" w:color="000000"/>
                  </w:tcBorders>
                  <w:vAlign w:val="center"/>
                </w:tcPr>
                <w:p w14:paraId="6573E7E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900-249-08</w:t>
                  </w:r>
                </w:p>
              </w:tc>
              <w:tc>
                <w:tcPr>
                  <w:tcW w:w="737" w:type="pct"/>
                  <w:tcBorders>
                    <w:top w:val="single" w:sz="6" w:space="0" w:color="000000"/>
                    <w:left w:val="single" w:sz="6" w:space="0" w:color="000000"/>
                    <w:bottom w:val="single" w:sz="6" w:space="0" w:color="000000"/>
                    <w:right w:val="single" w:sz="6" w:space="0" w:color="000000"/>
                  </w:tcBorders>
                  <w:vAlign w:val="center"/>
                </w:tcPr>
                <w:p w14:paraId="2A9377B5"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1.2t/2a</w:t>
                  </w:r>
                </w:p>
              </w:tc>
              <w:tc>
                <w:tcPr>
                  <w:tcW w:w="711" w:type="pct"/>
                  <w:vMerge w:val="restart"/>
                  <w:tcBorders>
                    <w:top w:val="single" w:sz="6" w:space="0" w:color="000000"/>
                    <w:left w:val="single" w:sz="6" w:space="0" w:color="000000"/>
                    <w:bottom w:val="single" w:sz="6" w:space="0" w:color="000000"/>
                    <w:right w:val="nil"/>
                  </w:tcBorders>
                  <w:vAlign w:val="center"/>
                </w:tcPr>
                <w:p w14:paraId="766433D7"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委托有资质单位处置</w:t>
                  </w:r>
                </w:p>
              </w:tc>
            </w:tr>
            <w:tr w:rsidR="00F76A63" w14:paraId="2CB1F67D"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2BFDED5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12</w:t>
                  </w:r>
                </w:p>
              </w:tc>
              <w:tc>
                <w:tcPr>
                  <w:tcW w:w="878" w:type="pct"/>
                  <w:tcBorders>
                    <w:top w:val="single" w:sz="6" w:space="0" w:color="000000"/>
                    <w:left w:val="single" w:sz="6" w:space="0" w:color="000000"/>
                    <w:bottom w:val="single" w:sz="6" w:space="0" w:color="000000"/>
                    <w:right w:val="single" w:sz="6" w:space="0" w:color="000000"/>
                  </w:tcBorders>
                  <w:vAlign w:val="center"/>
                </w:tcPr>
                <w:p w14:paraId="4785E09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废矿物油桶</w:t>
                  </w:r>
                </w:p>
              </w:tc>
              <w:tc>
                <w:tcPr>
                  <w:tcW w:w="324" w:type="pct"/>
                  <w:tcBorders>
                    <w:top w:val="single" w:sz="6" w:space="0" w:color="000000"/>
                    <w:left w:val="single" w:sz="6" w:space="0" w:color="000000"/>
                    <w:bottom w:val="single" w:sz="6" w:space="0" w:color="000000"/>
                    <w:right w:val="single" w:sz="6" w:space="0" w:color="000000"/>
                  </w:tcBorders>
                  <w:vAlign w:val="center"/>
                </w:tcPr>
                <w:p w14:paraId="7606DCF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0058128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设备润滑油容器</w:t>
                  </w:r>
                </w:p>
              </w:tc>
              <w:tc>
                <w:tcPr>
                  <w:tcW w:w="200" w:type="pct"/>
                  <w:tcBorders>
                    <w:top w:val="single" w:sz="6" w:space="0" w:color="000000"/>
                    <w:left w:val="single" w:sz="6" w:space="0" w:color="000000"/>
                    <w:bottom w:val="single" w:sz="6" w:space="0" w:color="000000"/>
                    <w:right w:val="single" w:sz="6" w:space="0" w:color="000000"/>
                  </w:tcBorders>
                  <w:vAlign w:val="center"/>
                </w:tcPr>
                <w:p w14:paraId="4DCC79D2"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6" w:space="0" w:color="000000"/>
                    <w:right w:val="single" w:sz="6" w:space="0" w:color="000000"/>
                  </w:tcBorders>
                  <w:vAlign w:val="center"/>
                </w:tcPr>
                <w:p w14:paraId="386A5BE3"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废矿物油</w:t>
                  </w:r>
                </w:p>
              </w:tc>
              <w:tc>
                <w:tcPr>
                  <w:tcW w:w="435" w:type="pct"/>
                  <w:tcBorders>
                    <w:top w:val="single" w:sz="6" w:space="0" w:color="000000"/>
                    <w:left w:val="single" w:sz="6" w:space="0" w:color="000000"/>
                    <w:bottom w:val="single" w:sz="6" w:space="0" w:color="000000"/>
                    <w:right w:val="single" w:sz="6" w:space="0" w:color="000000"/>
                  </w:tcBorders>
                  <w:vAlign w:val="center"/>
                </w:tcPr>
                <w:p w14:paraId="6353D93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HW08</w:t>
                  </w:r>
                </w:p>
              </w:tc>
              <w:tc>
                <w:tcPr>
                  <w:tcW w:w="429" w:type="pct"/>
                  <w:tcBorders>
                    <w:top w:val="single" w:sz="6" w:space="0" w:color="000000"/>
                    <w:left w:val="single" w:sz="6" w:space="0" w:color="000000"/>
                    <w:bottom w:val="single" w:sz="6" w:space="0" w:color="000000"/>
                    <w:right w:val="single" w:sz="6" w:space="0" w:color="000000"/>
                  </w:tcBorders>
                  <w:vAlign w:val="center"/>
                </w:tcPr>
                <w:p w14:paraId="22C13DAB"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900-249-08</w:t>
                  </w:r>
                </w:p>
              </w:tc>
              <w:tc>
                <w:tcPr>
                  <w:tcW w:w="737" w:type="pct"/>
                  <w:tcBorders>
                    <w:top w:val="single" w:sz="6" w:space="0" w:color="000000"/>
                    <w:left w:val="single" w:sz="6" w:space="0" w:color="000000"/>
                    <w:bottom w:val="single" w:sz="6" w:space="0" w:color="000000"/>
                    <w:right w:val="single" w:sz="6" w:space="0" w:color="000000"/>
                  </w:tcBorders>
                  <w:vAlign w:val="center"/>
                </w:tcPr>
                <w:p w14:paraId="6A679A6B"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12</w:t>
                  </w:r>
                  <w:r>
                    <w:rPr>
                      <w:rFonts w:ascii="Times New Roman" w:hAnsi="Times New Roman"/>
                      <w:b w:val="0"/>
                      <w:bCs w:val="0"/>
                      <w:sz w:val="21"/>
                      <w:szCs w:val="21"/>
                    </w:rPr>
                    <w:t>只</w:t>
                  </w:r>
                  <w:r>
                    <w:rPr>
                      <w:rFonts w:ascii="Times New Roman" w:hAnsi="Times New Roman"/>
                      <w:b w:val="0"/>
                      <w:bCs w:val="0"/>
                      <w:sz w:val="21"/>
                      <w:szCs w:val="21"/>
                    </w:rPr>
                    <w:t>/2a</w:t>
                  </w:r>
                </w:p>
              </w:tc>
              <w:tc>
                <w:tcPr>
                  <w:tcW w:w="1229" w:type="dxa"/>
                  <w:vMerge/>
                  <w:tcBorders>
                    <w:top w:val="single" w:sz="6" w:space="0" w:color="000000"/>
                    <w:left w:val="single" w:sz="6" w:space="0" w:color="000000"/>
                    <w:bottom w:val="single" w:sz="6" w:space="0" w:color="000000"/>
                    <w:right w:val="nil"/>
                  </w:tcBorders>
                  <w:vAlign w:val="center"/>
                </w:tcPr>
                <w:p w14:paraId="239BD7C9" w14:textId="77777777" w:rsidR="00F76A63" w:rsidRDefault="00F76A63">
                  <w:pPr>
                    <w:pStyle w:val="1ff7"/>
                    <w:spacing w:beforeLines="50" w:before="120" w:line="240" w:lineRule="auto"/>
                    <w:jc w:val="center"/>
                    <w:rPr>
                      <w:rFonts w:ascii="Times New Roman" w:hAnsi="Times New Roman"/>
                      <w:b w:val="0"/>
                      <w:bCs w:val="0"/>
                      <w:sz w:val="21"/>
                      <w:szCs w:val="21"/>
                    </w:rPr>
                  </w:pPr>
                </w:p>
              </w:tc>
            </w:tr>
            <w:tr w:rsidR="00F76A63" w14:paraId="4A3981EF" w14:textId="77777777">
              <w:trPr>
                <w:jc w:val="center"/>
              </w:trPr>
              <w:tc>
                <w:tcPr>
                  <w:tcW w:w="213" w:type="pct"/>
                  <w:tcBorders>
                    <w:top w:val="single" w:sz="6" w:space="0" w:color="000000"/>
                    <w:left w:val="nil"/>
                    <w:bottom w:val="single" w:sz="6" w:space="0" w:color="000000"/>
                    <w:right w:val="single" w:sz="6" w:space="0" w:color="000000"/>
                  </w:tcBorders>
                  <w:vAlign w:val="center"/>
                </w:tcPr>
                <w:p w14:paraId="4249E34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13</w:t>
                  </w:r>
                </w:p>
              </w:tc>
              <w:tc>
                <w:tcPr>
                  <w:tcW w:w="878" w:type="pct"/>
                  <w:tcBorders>
                    <w:top w:val="single" w:sz="6" w:space="0" w:color="000000"/>
                    <w:left w:val="single" w:sz="6" w:space="0" w:color="000000"/>
                    <w:bottom w:val="single" w:sz="6" w:space="0" w:color="000000"/>
                    <w:right w:val="single" w:sz="6" w:space="0" w:color="000000"/>
                  </w:tcBorders>
                  <w:vAlign w:val="center"/>
                </w:tcPr>
                <w:p w14:paraId="27A16B78"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化验室废液</w:t>
                  </w:r>
                </w:p>
              </w:tc>
              <w:tc>
                <w:tcPr>
                  <w:tcW w:w="324" w:type="pct"/>
                  <w:tcBorders>
                    <w:top w:val="single" w:sz="6" w:space="0" w:color="000000"/>
                    <w:left w:val="single" w:sz="6" w:space="0" w:color="000000"/>
                    <w:bottom w:val="single" w:sz="6" w:space="0" w:color="000000"/>
                    <w:right w:val="single" w:sz="6" w:space="0" w:color="000000"/>
                  </w:tcBorders>
                  <w:vAlign w:val="center"/>
                </w:tcPr>
                <w:p w14:paraId="76A4AF69"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6" w:space="0" w:color="000000"/>
                    <w:right w:val="single" w:sz="6" w:space="0" w:color="000000"/>
                  </w:tcBorders>
                  <w:vAlign w:val="center"/>
                </w:tcPr>
                <w:p w14:paraId="26EA40A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化验室</w:t>
                  </w:r>
                </w:p>
              </w:tc>
              <w:tc>
                <w:tcPr>
                  <w:tcW w:w="200" w:type="pct"/>
                  <w:tcBorders>
                    <w:top w:val="single" w:sz="6" w:space="0" w:color="000000"/>
                    <w:left w:val="single" w:sz="6" w:space="0" w:color="000000"/>
                    <w:bottom w:val="single" w:sz="6" w:space="0" w:color="000000"/>
                    <w:right w:val="single" w:sz="6" w:space="0" w:color="000000"/>
                  </w:tcBorders>
                  <w:vAlign w:val="center"/>
                </w:tcPr>
                <w:p w14:paraId="03BF746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液态</w:t>
                  </w:r>
                </w:p>
              </w:tc>
              <w:tc>
                <w:tcPr>
                  <w:tcW w:w="529" w:type="pct"/>
                  <w:tcBorders>
                    <w:top w:val="single" w:sz="6" w:space="0" w:color="000000"/>
                    <w:left w:val="single" w:sz="6" w:space="0" w:color="000000"/>
                    <w:bottom w:val="single" w:sz="6" w:space="0" w:color="000000"/>
                    <w:right w:val="single" w:sz="6" w:space="0" w:color="000000"/>
                  </w:tcBorders>
                  <w:vAlign w:val="center"/>
                </w:tcPr>
                <w:p w14:paraId="62E25C0D"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废试剂、飞灰</w:t>
                  </w:r>
                </w:p>
              </w:tc>
              <w:tc>
                <w:tcPr>
                  <w:tcW w:w="435" w:type="pct"/>
                  <w:tcBorders>
                    <w:top w:val="single" w:sz="6" w:space="0" w:color="000000"/>
                    <w:left w:val="single" w:sz="6" w:space="0" w:color="000000"/>
                    <w:bottom w:val="single" w:sz="6" w:space="0" w:color="000000"/>
                    <w:right w:val="single" w:sz="6" w:space="0" w:color="000000"/>
                  </w:tcBorders>
                  <w:vAlign w:val="center"/>
                </w:tcPr>
                <w:p w14:paraId="20F2527D"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HW49</w:t>
                  </w:r>
                </w:p>
              </w:tc>
              <w:tc>
                <w:tcPr>
                  <w:tcW w:w="429" w:type="pct"/>
                  <w:tcBorders>
                    <w:top w:val="single" w:sz="6" w:space="0" w:color="000000"/>
                    <w:left w:val="single" w:sz="6" w:space="0" w:color="000000"/>
                    <w:bottom w:val="single" w:sz="6" w:space="0" w:color="000000"/>
                    <w:right w:val="single" w:sz="6" w:space="0" w:color="000000"/>
                  </w:tcBorders>
                  <w:vAlign w:val="center"/>
                </w:tcPr>
                <w:p w14:paraId="0B53513E"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900-047-49</w:t>
                  </w:r>
                </w:p>
              </w:tc>
              <w:tc>
                <w:tcPr>
                  <w:tcW w:w="737" w:type="pct"/>
                  <w:tcBorders>
                    <w:top w:val="single" w:sz="6" w:space="0" w:color="000000"/>
                    <w:left w:val="single" w:sz="6" w:space="0" w:color="000000"/>
                    <w:bottom w:val="single" w:sz="6" w:space="0" w:color="000000"/>
                    <w:right w:val="single" w:sz="6" w:space="0" w:color="000000"/>
                  </w:tcBorders>
                  <w:vAlign w:val="center"/>
                </w:tcPr>
                <w:p w14:paraId="1660641C"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2.7</w:t>
                  </w:r>
                </w:p>
              </w:tc>
              <w:tc>
                <w:tcPr>
                  <w:tcW w:w="1229" w:type="dxa"/>
                  <w:vMerge/>
                  <w:tcBorders>
                    <w:top w:val="single" w:sz="6" w:space="0" w:color="000000"/>
                    <w:left w:val="single" w:sz="6" w:space="0" w:color="000000"/>
                    <w:bottom w:val="single" w:sz="6" w:space="0" w:color="000000"/>
                    <w:right w:val="nil"/>
                  </w:tcBorders>
                  <w:vAlign w:val="center"/>
                </w:tcPr>
                <w:p w14:paraId="0AED3C93" w14:textId="77777777" w:rsidR="00F76A63" w:rsidRDefault="00F76A63">
                  <w:pPr>
                    <w:pStyle w:val="1ff7"/>
                    <w:spacing w:beforeLines="50" w:before="120" w:line="240" w:lineRule="auto"/>
                    <w:jc w:val="center"/>
                    <w:rPr>
                      <w:rFonts w:ascii="Times New Roman" w:hAnsi="Times New Roman"/>
                      <w:b w:val="0"/>
                      <w:bCs w:val="0"/>
                      <w:sz w:val="21"/>
                      <w:szCs w:val="21"/>
                    </w:rPr>
                  </w:pPr>
                </w:p>
              </w:tc>
            </w:tr>
            <w:tr w:rsidR="00F76A63" w14:paraId="6A5360C3" w14:textId="77777777">
              <w:trPr>
                <w:jc w:val="center"/>
              </w:trPr>
              <w:tc>
                <w:tcPr>
                  <w:tcW w:w="213" w:type="pct"/>
                  <w:tcBorders>
                    <w:top w:val="single" w:sz="6" w:space="0" w:color="000000"/>
                    <w:left w:val="nil"/>
                    <w:bottom w:val="single" w:sz="12" w:space="0" w:color="000000"/>
                    <w:right w:val="single" w:sz="6" w:space="0" w:color="000000"/>
                  </w:tcBorders>
                  <w:vAlign w:val="center"/>
                </w:tcPr>
                <w:p w14:paraId="1B3A7FF3"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14</w:t>
                  </w:r>
                </w:p>
              </w:tc>
              <w:tc>
                <w:tcPr>
                  <w:tcW w:w="878" w:type="pct"/>
                  <w:tcBorders>
                    <w:top w:val="single" w:sz="6" w:space="0" w:color="000000"/>
                    <w:left w:val="single" w:sz="6" w:space="0" w:color="000000"/>
                    <w:bottom w:val="single" w:sz="12" w:space="0" w:color="000000"/>
                    <w:right w:val="single" w:sz="6" w:space="0" w:color="000000"/>
                  </w:tcBorders>
                  <w:vAlign w:val="center"/>
                </w:tcPr>
                <w:p w14:paraId="2E4B43C0"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废试剂瓶</w:t>
                  </w:r>
                </w:p>
              </w:tc>
              <w:tc>
                <w:tcPr>
                  <w:tcW w:w="324" w:type="pct"/>
                  <w:tcBorders>
                    <w:top w:val="single" w:sz="6" w:space="0" w:color="000000"/>
                    <w:left w:val="single" w:sz="6" w:space="0" w:color="000000"/>
                    <w:bottom w:val="single" w:sz="12" w:space="0" w:color="000000"/>
                    <w:right w:val="single" w:sz="6" w:space="0" w:color="000000"/>
                  </w:tcBorders>
                  <w:vAlign w:val="center"/>
                </w:tcPr>
                <w:p w14:paraId="1872F89D"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危险废物</w:t>
                  </w:r>
                </w:p>
              </w:tc>
              <w:tc>
                <w:tcPr>
                  <w:tcW w:w="544" w:type="pct"/>
                  <w:tcBorders>
                    <w:top w:val="single" w:sz="6" w:space="0" w:color="000000"/>
                    <w:left w:val="single" w:sz="6" w:space="0" w:color="000000"/>
                    <w:bottom w:val="single" w:sz="12" w:space="0" w:color="000000"/>
                    <w:right w:val="single" w:sz="6" w:space="0" w:color="000000"/>
                  </w:tcBorders>
                  <w:vAlign w:val="center"/>
                </w:tcPr>
                <w:p w14:paraId="0DB86D0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化验室</w:t>
                  </w:r>
                </w:p>
              </w:tc>
              <w:tc>
                <w:tcPr>
                  <w:tcW w:w="200" w:type="pct"/>
                  <w:tcBorders>
                    <w:top w:val="single" w:sz="6" w:space="0" w:color="000000"/>
                    <w:left w:val="single" w:sz="6" w:space="0" w:color="000000"/>
                    <w:bottom w:val="single" w:sz="12" w:space="0" w:color="000000"/>
                    <w:right w:val="single" w:sz="6" w:space="0" w:color="000000"/>
                  </w:tcBorders>
                  <w:vAlign w:val="center"/>
                </w:tcPr>
                <w:p w14:paraId="773BCF7A"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固态</w:t>
                  </w:r>
                </w:p>
              </w:tc>
              <w:tc>
                <w:tcPr>
                  <w:tcW w:w="529" w:type="pct"/>
                  <w:tcBorders>
                    <w:top w:val="single" w:sz="6" w:space="0" w:color="000000"/>
                    <w:left w:val="single" w:sz="6" w:space="0" w:color="000000"/>
                    <w:bottom w:val="single" w:sz="12" w:space="0" w:color="000000"/>
                    <w:right w:val="single" w:sz="6" w:space="0" w:color="000000"/>
                  </w:tcBorders>
                  <w:vAlign w:val="center"/>
                </w:tcPr>
                <w:p w14:paraId="4C937A06"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废试剂瓶</w:t>
                  </w:r>
                </w:p>
              </w:tc>
              <w:tc>
                <w:tcPr>
                  <w:tcW w:w="435" w:type="pct"/>
                  <w:tcBorders>
                    <w:top w:val="single" w:sz="6" w:space="0" w:color="000000"/>
                    <w:left w:val="single" w:sz="6" w:space="0" w:color="000000"/>
                    <w:bottom w:val="single" w:sz="12" w:space="0" w:color="000000"/>
                    <w:right w:val="single" w:sz="6" w:space="0" w:color="000000"/>
                  </w:tcBorders>
                  <w:vAlign w:val="center"/>
                </w:tcPr>
                <w:p w14:paraId="50BD1803"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HW49</w:t>
                  </w:r>
                </w:p>
              </w:tc>
              <w:tc>
                <w:tcPr>
                  <w:tcW w:w="429" w:type="pct"/>
                  <w:tcBorders>
                    <w:top w:val="single" w:sz="6" w:space="0" w:color="000000"/>
                    <w:left w:val="single" w:sz="6" w:space="0" w:color="000000"/>
                    <w:bottom w:val="single" w:sz="12" w:space="0" w:color="000000"/>
                    <w:right w:val="single" w:sz="6" w:space="0" w:color="000000"/>
                  </w:tcBorders>
                  <w:vAlign w:val="center"/>
                </w:tcPr>
                <w:p w14:paraId="014F1125"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900-041-49</w:t>
                  </w:r>
                </w:p>
              </w:tc>
              <w:tc>
                <w:tcPr>
                  <w:tcW w:w="737" w:type="pct"/>
                  <w:tcBorders>
                    <w:top w:val="single" w:sz="6" w:space="0" w:color="000000"/>
                    <w:left w:val="single" w:sz="6" w:space="0" w:color="000000"/>
                    <w:bottom w:val="single" w:sz="12" w:space="0" w:color="000000"/>
                    <w:right w:val="single" w:sz="6" w:space="0" w:color="000000"/>
                  </w:tcBorders>
                  <w:vAlign w:val="center"/>
                </w:tcPr>
                <w:p w14:paraId="51517B0D" w14:textId="77777777" w:rsidR="00F76A63" w:rsidRDefault="00000000">
                  <w:pPr>
                    <w:pStyle w:val="1ff7"/>
                    <w:spacing w:beforeLines="50" w:before="120" w:line="240" w:lineRule="auto"/>
                    <w:jc w:val="center"/>
                    <w:rPr>
                      <w:rFonts w:ascii="Times New Roman" w:hAnsi="Times New Roman"/>
                      <w:b w:val="0"/>
                      <w:bCs w:val="0"/>
                      <w:sz w:val="21"/>
                      <w:szCs w:val="21"/>
                    </w:rPr>
                  </w:pPr>
                  <w:r>
                    <w:rPr>
                      <w:rFonts w:ascii="Times New Roman" w:hAnsi="Times New Roman"/>
                      <w:b w:val="0"/>
                      <w:bCs w:val="0"/>
                      <w:sz w:val="21"/>
                      <w:szCs w:val="21"/>
                    </w:rPr>
                    <w:t>0.05</w:t>
                  </w:r>
                </w:p>
              </w:tc>
              <w:tc>
                <w:tcPr>
                  <w:tcW w:w="1229" w:type="dxa"/>
                  <w:vMerge/>
                  <w:tcBorders>
                    <w:top w:val="single" w:sz="6" w:space="0" w:color="000000"/>
                    <w:left w:val="single" w:sz="6" w:space="0" w:color="000000"/>
                    <w:bottom w:val="single" w:sz="6" w:space="0" w:color="000000"/>
                    <w:right w:val="nil"/>
                  </w:tcBorders>
                  <w:vAlign w:val="center"/>
                </w:tcPr>
                <w:p w14:paraId="3DEA8DEC" w14:textId="77777777" w:rsidR="00F76A63" w:rsidRDefault="00F76A63">
                  <w:pPr>
                    <w:pStyle w:val="1ff7"/>
                    <w:spacing w:beforeLines="50" w:before="120" w:line="240" w:lineRule="auto"/>
                    <w:jc w:val="center"/>
                    <w:rPr>
                      <w:rFonts w:ascii="Times New Roman" w:hAnsi="Times New Roman"/>
                      <w:b w:val="0"/>
                      <w:bCs w:val="0"/>
                      <w:sz w:val="21"/>
                      <w:szCs w:val="21"/>
                    </w:rPr>
                  </w:pPr>
                </w:p>
              </w:tc>
            </w:tr>
          </w:tbl>
          <w:p w14:paraId="1BB4045D" w14:textId="77777777" w:rsidR="00F76A63" w:rsidRDefault="00000000">
            <w:pPr>
              <w:pStyle w:val="1ff7"/>
              <w:spacing w:beforeLines="50" w:before="120" w:line="500" w:lineRule="exact"/>
              <w:ind w:firstLineChars="200" w:firstLine="482"/>
              <w:rPr>
                <w:rFonts w:ascii="Times New Roman" w:hAnsi="Times New Roman"/>
                <w:sz w:val="24"/>
              </w:rPr>
            </w:pPr>
            <w:r>
              <w:rPr>
                <w:rFonts w:ascii="Times New Roman" w:hAnsi="Times New Roman"/>
                <w:sz w:val="24"/>
              </w:rPr>
              <w:t>四、污染物排放汇总</w:t>
            </w:r>
          </w:p>
          <w:p w14:paraId="6418305C" w14:textId="77777777" w:rsidR="00F76A63" w:rsidRDefault="00000000">
            <w:pPr>
              <w:spacing w:line="500" w:lineRule="exact"/>
              <w:ind w:firstLineChars="200" w:firstLine="480"/>
              <w:rPr>
                <w:bCs/>
                <w:sz w:val="24"/>
              </w:rPr>
            </w:pPr>
            <w:r>
              <w:rPr>
                <w:bCs/>
                <w:sz w:val="24"/>
              </w:rPr>
              <w:t>根据《一二线窑旁路放风除氯及水洗综合利用技改项目环境影响报告表》，在建项目全部实施后全厂污染物排放详见</w:t>
            </w:r>
            <w:r>
              <w:rPr>
                <w:rFonts w:hint="eastAsia"/>
                <w:bCs/>
                <w:sz w:val="24"/>
              </w:rPr>
              <w:t>表</w:t>
            </w:r>
            <w:r>
              <w:rPr>
                <w:bCs/>
                <w:sz w:val="24"/>
              </w:rPr>
              <w:t>2-</w:t>
            </w:r>
            <w:r>
              <w:rPr>
                <w:rFonts w:hint="eastAsia"/>
                <w:bCs/>
                <w:sz w:val="24"/>
              </w:rPr>
              <w:t>62</w:t>
            </w:r>
            <w:r>
              <w:rPr>
                <w:bCs/>
                <w:sz w:val="24"/>
              </w:rPr>
              <w:t>。</w:t>
            </w:r>
          </w:p>
          <w:p w14:paraId="0F042BB1" w14:textId="77777777" w:rsidR="00F76A63" w:rsidRDefault="00000000">
            <w:pPr>
              <w:spacing w:line="500" w:lineRule="exact"/>
              <w:jc w:val="center"/>
              <w:rPr>
                <w:b/>
                <w:sz w:val="24"/>
              </w:rPr>
            </w:pPr>
            <w:r>
              <w:rPr>
                <w:b/>
                <w:sz w:val="24"/>
              </w:rPr>
              <w:t>表</w:t>
            </w:r>
            <w:r>
              <w:rPr>
                <w:b/>
                <w:sz w:val="24"/>
              </w:rPr>
              <w:t>2-</w:t>
            </w:r>
            <w:r>
              <w:rPr>
                <w:rFonts w:hint="eastAsia"/>
                <w:b/>
                <w:sz w:val="24"/>
              </w:rPr>
              <w:t xml:space="preserve">62 </w:t>
            </w:r>
            <w:r>
              <w:rPr>
                <w:b/>
                <w:sz w:val="24"/>
              </w:rPr>
              <w:t xml:space="preserve"> </w:t>
            </w:r>
            <w:r>
              <w:rPr>
                <w:b/>
                <w:sz w:val="24"/>
              </w:rPr>
              <w:t>全厂污染物排放情况表（单位：</w:t>
            </w:r>
            <w:r>
              <w:rPr>
                <w:b/>
                <w:sz w:val="24"/>
              </w:rPr>
              <w:t>t/a</w:t>
            </w:r>
            <w:r>
              <w:rPr>
                <w:b/>
                <w:sz w:val="24"/>
              </w:rPr>
              <w:t>）</w:t>
            </w:r>
          </w:p>
          <w:tbl>
            <w:tblPr>
              <w:tblW w:w="5000" w:type="pct"/>
              <w:jc w:val="center"/>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417"/>
              <w:gridCol w:w="417"/>
              <w:gridCol w:w="2094"/>
              <w:gridCol w:w="2075"/>
              <w:gridCol w:w="1666"/>
              <w:gridCol w:w="1442"/>
            </w:tblGrid>
            <w:tr w:rsidR="00F76A63" w14:paraId="151B0C25" w14:textId="77777777">
              <w:trPr>
                <w:trHeight w:val="340"/>
                <w:jc w:val="center"/>
              </w:trPr>
              <w:tc>
                <w:tcPr>
                  <w:tcW w:w="514" w:type="pct"/>
                  <w:gridSpan w:val="2"/>
                  <w:tcBorders>
                    <w:top w:val="single" w:sz="12" w:space="0" w:color="auto"/>
                    <w:left w:val="nil"/>
                    <w:bottom w:val="single" w:sz="6" w:space="0" w:color="auto"/>
                    <w:right w:val="single" w:sz="6" w:space="0" w:color="auto"/>
                  </w:tcBorders>
                  <w:vAlign w:val="center"/>
                </w:tcPr>
                <w:p w14:paraId="2E0CD8DA" w14:textId="77777777" w:rsidR="00F76A63" w:rsidRDefault="00000000">
                  <w:pPr>
                    <w:pStyle w:val="000"/>
                    <w:rPr>
                      <w:b/>
                      <w:bCs w:val="0"/>
                    </w:rPr>
                  </w:pPr>
                  <w:r>
                    <w:rPr>
                      <w:b/>
                      <w:bCs w:val="0"/>
                    </w:rPr>
                    <w:t>类别</w:t>
                  </w:r>
                </w:p>
              </w:tc>
              <w:tc>
                <w:tcPr>
                  <w:tcW w:w="1291" w:type="pct"/>
                  <w:tcBorders>
                    <w:top w:val="single" w:sz="12" w:space="0" w:color="auto"/>
                    <w:left w:val="single" w:sz="6" w:space="0" w:color="auto"/>
                    <w:bottom w:val="single" w:sz="6" w:space="0" w:color="auto"/>
                    <w:right w:val="single" w:sz="6" w:space="0" w:color="auto"/>
                  </w:tcBorders>
                  <w:vAlign w:val="center"/>
                </w:tcPr>
                <w:p w14:paraId="3DE7FBD6" w14:textId="77777777" w:rsidR="00F76A63" w:rsidRDefault="00000000">
                  <w:pPr>
                    <w:pStyle w:val="000"/>
                    <w:rPr>
                      <w:b/>
                      <w:bCs w:val="0"/>
                    </w:rPr>
                  </w:pPr>
                  <w:r>
                    <w:rPr>
                      <w:b/>
                      <w:bCs w:val="0"/>
                    </w:rPr>
                    <w:t>污染物</w:t>
                  </w:r>
                </w:p>
              </w:tc>
              <w:tc>
                <w:tcPr>
                  <w:tcW w:w="1279" w:type="pct"/>
                  <w:tcBorders>
                    <w:top w:val="single" w:sz="12" w:space="0" w:color="auto"/>
                    <w:left w:val="single" w:sz="6" w:space="0" w:color="auto"/>
                    <w:bottom w:val="single" w:sz="6" w:space="0" w:color="auto"/>
                    <w:right w:val="single" w:sz="6" w:space="0" w:color="auto"/>
                  </w:tcBorders>
                  <w:vAlign w:val="center"/>
                </w:tcPr>
                <w:p w14:paraId="07B51604" w14:textId="77777777" w:rsidR="00F76A63" w:rsidRDefault="00000000">
                  <w:pPr>
                    <w:pStyle w:val="000"/>
                    <w:rPr>
                      <w:b/>
                      <w:bCs w:val="0"/>
                    </w:rPr>
                  </w:pPr>
                  <w:r>
                    <w:rPr>
                      <w:b/>
                      <w:bCs w:val="0"/>
                    </w:rPr>
                    <w:t>在建项目实施后全厂污染物排放量</w:t>
                  </w:r>
                </w:p>
              </w:tc>
              <w:tc>
                <w:tcPr>
                  <w:tcW w:w="1027" w:type="pct"/>
                  <w:tcBorders>
                    <w:top w:val="single" w:sz="12" w:space="0" w:color="auto"/>
                    <w:left w:val="single" w:sz="6" w:space="0" w:color="auto"/>
                    <w:bottom w:val="single" w:sz="6" w:space="0" w:color="auto"/>
                    <w:right w:val="single" w:sz="6" w:space="0" w:color="auto"/>
                  </w:tcBorders>
                  <w:vAlign w:val="center"/>
                </w:tcPr>
                <w:p w14:paraId="491A3FB0" w14:textId="77777777" w:rsidR="00F76A63" w:rsidRDefault="00000000">
                  <w:pPr>
                    <w:pStyle w:val="000"/>
                    <w:rPr>
                      <w:b/>
                      <w:bCs w:val="0"/>
                    </w:rPr>
                  </w:pPr>
                  <w:r>
                    <w:rPr>
                      <w:b/>
                      <w:bCs w:val="0"/>
                    </w:rPr>
                    <w:t>排污许可证许可排放量</w:t>
                  </w:r>
                  <w:r>
                    <w:rPr>
                      <w:b/>
                      <w:bCs w:val="0"/>
                    </w:rPr>
                    <w:t>/</w:t>
                  </w:r>
                  <w:r>
                    <w:rPr>
                      <w:b/>
                      <w:bCs w:val="0"/>
                    </w:rPr>
                    <w:t>浓度</w:t>
                  </w:r>
                </w:p>
              </w:tc>
              <w:tc>
                <w:tcPr>
                  <w:tcW w:w="889" w:type="pct"/>
                  <w:tcBorders>
                    <w:top w:val="single" w:sz="12" w:space="0" w:color="auto"/>
                    <w:left w:val="single" w:sz="6" w:space="0" w:color="auto"/>
                    <w:bottom w:val="single" w:sz="6" w:space="0" w:color="auto"/>
                    <w:right w:val="nil"/>
                  </w:tcBorders>
                  <w:vAlign w:val="center"/>
                </w:tcPr>
                <w:p w14:paraId="0F0A3189" w14:textId="77777777" w:rsidR="00F76A63" w:rsidRDefault="00000000">
                  <w:pPr>
                    <w:pStyle w:val="000"/>
                    <w:rPr>
                      <w:b/>
                      <w:bCs w:val="0"/>
                    </w:rPr>
                  </w:pPr>
                  <w:r>
                    <w:rPr>
                      <w:b/>
                      <w:bCs w:val="0"/>
                    </w:rPr>
                    <w:t>批复量</w:t>
                  </w:r>
                  <w:r>
                    <w:rPr>
                      <w:b/>
                      <w:bCs w:val="0"/>
                    </w:rPr>
                    <w:t>*</w:t>
                  </w:r>
                </w:p>
              </w:tc>
            </w:tr>
            <w:tr w:rsidR="00F76A63" w14:paraId="62626B93" w14:textId="77777777">
              <w:trPr>
                <w:trHeight w:val="65"/>
                <w:jc w:val="center"/>
              </w:trPr>
              <w:tc>
                <w:tcPr>
                  <w:tcW w:w="257" w:type="pct"/>
                  <w:vMerge w:val="restart"/>
                  <w:tcBorders>
                    <w:top w:val="single" w:sz="6" w:space="0" w:color="auto"/>
                    <w:left w:val="nil"/>
                    <w:right w:val="single" w:sz="6" w:space="0" w:color="auto"/>
                  </w:tcBorders>
                  <w:vAlign w:val="center"/>
                </w:tcPr>
                <w:p w14:paraId="49ADA3D5" w14:textId="77777777" w:rsidR="00F76A63" w:rsidRDefault="00000000">
                  <w:pPr>
                    <w:pStyle w:val="000"/>
                    <w:rPr>
                      <w:rFonts w:eastAsia="仿宋_GB2312"/>
                    </w:rPr>
                  </w:pPr>
                  <w:r>
                    <w:t>废气</w:t>
                  </w:r>
                </w:p>
              </w:tc>
              <w:tc>
                <w:tcPr>
                  <w:tcW w:w="257" w:type="pct"/>
                  <w:vMerge w:val="restart"/>
                  <w:tcBorders>
                    <w:top w:val="single" w:sz="6" w:space="0" w:color="auto"/>
                    <w:left w:val="single" w:sz="6" w:space="0" w:color="auto"/>
                    <w:bottom w:val="single" w:sz="6" w:space="0" w:color="auto"/>
                    <w:right w:val="single" w:sz="6" w:space="0" w:color="auto"/>
                  </w:tcBorders>
                  <w:vAlign w:val="center"/>
                </w:tcPr>
                <w:p w14:paraId="25730BA8" w14:textId="77777777" w:rsidR="00F76A63" w:rsidRDefault="00000000">
                  <w:pPr>
                    <w:pStyle w:val="000"/>
                  </w:pPr>
                  <w:r>
                    <w:t>有组织</w:t>
                  </w:r>
                </w:p>
              </w:tc>
              <w:tc>
                <w:tcPr>
                  <w:tcW w:w="1291" w:type="pct"/>
                  <w:tcBorders>
                    <w:top w:val="single" w:sz="6" w:space="0" w:color="auto"/>
                    <w:left w:val="single" w:sz="6" w:space="0" w:color="auto"/>
                    <w:bottom w:val="single" w:sz="6" w:space="0" w:color="auto"/>
                    <w:right w:val="single" w:sz="6" w:space="0" w:color="auto"/>
                  </w:tcBorders>
                  <w:vAlign w:val="center"/>
                </w:tcPr>
                <w:p w14:paraId="4992E760" w14:textId="77777777" w:rsidR="00F76A63" w:rsidRDefault="00000000">
                  <w:pPr>
                    <w:pStyle w:val="000"/>
                  </w:pPr>
                  <w:r>
                    <w:t>颗粒物</w:t>
                  </w:r>
                </w:p>
              </w:tc>
              <w:tc>
                <w:tcPr>
                  <w:tcW w:w="1279" w:type="pct"/>
                  <w:tcBorders>
                    <w:top w:val="single" w:sz="6" w:space="0" w:color="auto"/>
                    <w:left w:val="single" w:sz="6" w:space="0" w:color="auto"/>
                    <w:bottom w:val="single" w:sz="6" w:space="0" w:color="auto"/>
                    <w:right w:val="single" w:sz="6" w:space="0" w:color="auto"/>
                  </w:tcBorders>
                  <w:vAlign w:val="center"/>
                </w:tcPr>
                <w:p w14:paraId="23C32252" w14:textId="77777777" w:rsidR="00F76A63" w:rsidRDefault="00000000">
                  <w:pPr>
                    <w:pStyle w:val="000"/>
                  </w:pPr>
                  <w:r>
                    <w:t>261.752</w:t>
                  </w:r>
                </w:p>
              </w:tc>
              <w:tc>
                <w:tcPr>
                  <w:tcW w:w="1027" w:type="pct"/>
                  <w:tcBorders>
                    <w:top w:val="single" w:sz="6" w:space="0" w:color="auto"/>
                    <w:left w:val="single" w:sz="6" w:space="0" w:color="auto"/>
                    <w:bottom w:val="single" w:sz="6" w:space="0" w:color="auto"/>
                    <w:right w:val="single" w:sz="6" w:space="0" w:color="auto"/>
                  </w:tcBorders>
                  <w:vAlign w:val="center"/>
                </w:tcPr>
                <w:p w14:paraId="10087278" w14:textId="77777777" w:rsidR="00F76A63" w:rsidRDefault="00000000">
                  <w:pPr>
                    <w:pStyle w:val="000"/>
                  </w:pPr>
                  <w:r>
                    <w:t>272.12</w:t>
                  </w:r>
                </w:p>
              </w:tc>
              <w:tc>
                <w:tcPr>
                  <w:tcW w:w="889" w:type="pct"/>
                  <w:tcBorders>
                    <w:top w:val="single" w:sz="6" w:space="0" w:color="auto"/>
                    <w:left w:val="single" w:sz="6" w:space="0" w:color="auto"/>
                    <w:bottom w:val="single" w:sz="6" w:space="0" w:color="auto"/>
                    <w:right w:val="nil"/>
                  </w:tcBorders>
                  <w:vAlign w:val="center"/>
                </w:tcPr>
                <w:p w14:paraId="2F1C0E6E" w14:textId="77777777" w:rsidR="00F76A63" w:rsidRDefault="00000000">
                  <w:pPr>
                    <w:pStyle w:val="000"/>
                  </w:pPr>
                  <w:r>
                    <w:t>261.752</w:t>
                  </w:r>
                </w:p>
              </w:tc>
            </w:tr>
            <w:tr w:rsidR="00F76A63" w14:paraId="32D9F031" w14:textId="77777777">
              <w:trPr>
                <w:trHeight w:val="340"/>
                <w:jc w:val="center"/>
              </w:trPr>
              <w:tc>
                <w:tcPr>
                  <w:tcW w:w="257" w:type="pct"/>
                  <w:vMerge/>
                  <w:tcBorders>
                    <w:left w:val="nil"/>
                    <w:right w:val="single" w:sz="6" w:space="0" w:color="auto"/>
                  </w:tcBorders>
                  <w:vAlign w:val="center"/>
                </w:tcPr>
                <w:p w14:paraId="74C5C988"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62D14C28"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12638E26" w14:textId="77777777" w:rsidR="00F76A63" w:rsidRDefault="00000000">
                  <w:pPr>
                    <w:pStyle w:val="000"/>
                    <w:rPr>
                      <w:rFonts w:eastAsia="仿宋_GB2312"/>
                    </w:rPr>
                  </w:pPr>
                  <w:r>
                    <w:t>SO</w:t>
                  </w:r>
                  <w:r>
                    <w:rPr>
                      <w:vertAlign w:val="subscript"/>
                    </w:rPr>
                    <w:t>2</w:t>
                  </w:r>
                </w:p>
              </w:tc>
              <w:tc>
                <w:tcPr>
                  <w:tcW w:w="1279" w:type="pct"/>
                  <w:tcBorders>
                    <w:top w:val="single" w:sz="6" w:space="0" w:color="auto"/>
                    <w:left w:val="single" w:sz="6" w:space="0" w:color="auto"/>
                    <w:bottom w:val="single" w:sz="6" w:space="0" w:color="auto"/>
                    <w:right w:val="single" w:sz="6" w:space="0" w:color="auto"/>
                  </w:tcBorders>
                  <w:vAlign w:val="center"/>
                </w:tcPr>
                <w:p w14:paraId="105105B3" w14:textId="77777777" w:rsidR="00F76A63" w:rsidRDefault="00000000">
                  <w:pPr>
                    <w:pStyle w:val="000"/>
                  </w:pPr>
                  <w:r>
                    <w:t>305.428</w:t>
                  </w:r>
                </w:p>
              </w:tc>
              <w:tc>
                <w:tcPr>
                  <w:tcW w:w="1027" w:type="pct"/>
                  <w:tcBorders>
                    <w:top w:val="single" w:sz="6" w:space="0" w:color="auto"/>
                    <w:left w:val="single" w:sz="6" w:space="0" w:color="auto"/>
                    <w:bottom w:val="single" w:sz="6" w:space="0" w:color="auto"/>
                    <w:right w:val="single" w:sz="6" w:space="0" w:color="auto"/>
                  </w:tcBorders>
                  <w:vAlign w:val="center"/>
                </w:tcPr>
                <w:p w14:paraId="0F5458DB" w14:textId="77777777" w:rsidR="00F76A63" w:rsidRDefault="00000000">
                  <w:pPr>
                    <w:pStyle w:val="000"/>
                  </w:pPr>
                  <w:r>
                    <w:t>323.039</w:t>
                  </w:r>
                </w:p>
              </w:tc>
              <w:tc>
                <w:tcPr>
                  <w:tcW w:w="889" w:type="pct"/>
                  <w:tcBorders>
                    <w:top w:val="single" w:sz="6" w:space="0" w:color="auto"/>
                    <w:left w:val="single" w:sz="6" w:space="0" w:color="auto"/>
                    <w:bottom w:val="single" w:sz="6" w:space="0" w:color="auto"/>
                    <w:right w:val="nil"/>
                  </w:tcBorders>
                  <w:vAlign w:val="center"/>
                </w:tcPr>
                <w:p w14:paraId="31E17F35" w14:textId="77777777" w:rsidR="00F76A63" w:rsidRDefault="00000000">
                  <w:pPr>
                    <w:pStyle w:val="000"/>
                  </w:pPr>
                  <w:r>
                    <w:t>305.428</w:t>
                  </w:r>
                </w:p>
              </w:tc>
            </w:tr>
            <w:tr w:rsidR="00F76A63" w14:paraId="66A1DE97" w14:textId="77777777">
              <w:trPr>
                <w:trHeight w:val="340"/>
                <w:jc w:val="center"/>
              </w:trPr>
              <w:tc>
                <w:tcPr>
                  <w:tcW w:w="257" w:type="pct"/>
                  <w:vMerge/>
                  <w:tcBorders>
                    <w:left w:val="nil"/>
                    <w:right w:val="single" w:sz="6" w:space="0" w:color="auto"/>
                  </w:tcBorders>
                  <w:vAlign w:val="center"/>
                </w:tcPr>
                <w:p w14:paraId="6DE05CC4"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5353CAA8"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509267D2" w14:textId="77777777" w:rsidR="00F76A63" w:rsidRDefault="00000000">
                  <w:pPr>
                    <w:pStyle w:val="000"/>
                    <w:rPr>
                      <w:rFonts w:eastAsia="仿宋_GB2312"/>
                    </w:rPr>
                  </w:pPr>
                  <w:r>
                    <w:t>NOx</w:t>
                  </w:r>
                </w:p>
              </w:tc>
              <w:tc>
                <w:tcPr>
                  <w:tcW w:w="1279" w:type="pct"/>
                  <w:tcBorders>
                    <w:top w:val="single" w:sz="6" w:space="0" w:color="auto"/>
                    <w:left w:val="single" w:sz="6" w:space="0" w:color="auto"/>
                    <w:bottom w:val="single" w:sz="6" w:space="0" w:color="auto"/>
                    <w:right w:val="single" w:sz="6" w:space="0" w:color="auto"/>
                  </w:tcBorders>
                  <w:vAlign w:val="center"/>
                </w:tcPr>
                <w:p w14:paraId="1BA5C67F" w14:textId="77777777" w:rsidR="00F76A63" w:rsidRDefault="00000000">
                  <w:pPr>
                    <w:pStyle w:val="000"/>
                  </w:pPr>
                  <w:r>
                    <w:t>459.95</w:t>
                  </w:r>
                </w:p>
              </w:tc>
              <w:tc>
                <w:tcPr>
                  <w:tcW w:w="1027" w:type="pct"/>
                  <w:tcBorders>
                    <w:top w:val="single" w:sz="6" w:space="0" w:color="auto"/>
                    <w:left w:val="single" w:sz="6" w:space="0" w:color="auto"/>
                    <w:bottom w:val="single" w:sz="6" w:space="0" w:color="auto"/>
                    <w:right w:val="single" w:sz="6" w:space="0" w:color="auto"/>
                  </w:tcBorders>
                  <w:vAlign w:val="center"/>
                </w:tcPr>
                <w:p w14:paraId="41BCBC7F" w14:textId="77777777" w:rsidR="00F76A63" w:rsidRDefault="00000000">
                  <w:pPr>
                    <w:pStyle w:val="000"/>
                  </w:pPr>
                  <w:r>
                    <w:t>461.484</w:t>
                  </w:r>
                </w:p>
              </w:tc>
              <w:tc>
                <w:tcPr>
                  <w:tcW w:w="889" w:type="pct"/>
                  <w:tcBorders>
                    <w:top w:val="single" w:sz="6" w:space="0" w:color="auto"/>
                    <w:left w:val="single" w:sz="6" w:space="0" w:color="auto"/>
                    <w:bottom w:val="single" w:sz="6" w:space="0" w:color="auto"/>
                    <w:right w:val="nil"/>
                  </w:tcBorders>
                  <w:vAlign w:val="center"/>
                </w:tcPr>
                <w:p w14:paraId="00981D1F" w14:textId="77777777" w:rsidR="00F76A63" w:rsidRDefault="00000000">
                  <w:pPr>
                    <w:pStyle w:val="000"/>
                  </w:pPr>
                  <w:r>
                    <w:t>459.95</w:t>
                  </w:r>
                </w:p>
              </w:tc>
            </w:tr>
            <w:tr w:rsidR="00F76A63" w14:paraId="5538F307" w14:textId="77777777">
              <w:trPr>
                <w:trHeight w:val="340"/>
                <w:jc w:val="center"/>
              </w:trPr>
              <w:tc>
                <w:tcPr>
                  <w:tcW w:w="257" w:type="pct"/>
                  <w:vMerge/>
                  <w:tcBorders>
                    <w:left w:val="nil"/>
                    <w:right w:val="single" w:sz="6" w:space="0" w:color="auto"/>
                  </w:tcBorders>
                  <w:vAlign w:val="center"/>
                </w:tcPr>
                <w:p w14:paraId="6AE526C3"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740CFF52"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31ABEFFD" w14:textId="77777777" w:rsidR="00F76A63" w:rsidRDefault="00000000">
                  <w:pPr>
                    <w:pStyle w:val="000"/>
                    <w:rPr>
                      <w:rFonts w:eastAsia="仿宋_GB2312"/>
                    </w:rPr>
                  </w:pPr>
                  <w:r>
                    <w:t>NH</w:t>
                  </w:r>
                  <w:r>
                    <w:rPr>
                      <w:vertAlign w:val="subscript"/>
                    </w:rPr>
                    <w:t>3</w:t>
                  </w:r>
                </w:p>
              </w:tc>
              <w:tc>
                <w:tcPr>
                  <w:tcW w:w="1279" w:type="pct"/>
                  <w:tcBorders>
                    <w:top w:val="single" w:sz="6" w:space="0" w:color="auto"/>
                    <w:left w:val="single" w:sz="6" w:space="0" w:color="auto"/>
                    <w:bottom w:val="single" w:sz="6" w:space="0" w:color="auto"/>
                    <w:right w:val="single" w:sz="6" w:space="0" w:color="auto"/>
                  </w:tcBorders>
                  <w:vAlign w:val="center"/>
                </w:tcPr>
                <w:p w14:paraId="2C2298D9" w14:textId="77777777" w:rsidR="00F76A63" w:rsidRDefault="00000000">
                  <w:pPr>
                    <w:pStyle w:val="000"/>
                  </w:pPr>
                  <w:r>
                    <w:t>23.373</w:t>
                  </w:r>
                </w:p>
              </w:tc>
              <w:tc>
                <w:tcPr>
                  <w:tcW w:w="1027" w:type="pct"/>
                  <w:tcBorders>
                    <w:top w:val="single" w:sz="6" w:space="0" w:color="auto"/>
                    <w:left w:val="single" w:sz="6" w:space="0" w:color="auto"/>
                    <w:bottom w:val="single" w:sz="6" w:space="0" w:color="auto"/>
                    <w:right w:val="single" w:sz="6" w:space="0" w:color="auto"/>
                  </w:tcBorders>
                  <w:vAlign w:val="center"/>
                </w:tcPr>
                <w:p w14:paraId="464E91CD" w14:textId="77777777" w:rsidR="00F76A63" w:rsidRDefault="00000000">
                  <w:pPr>
                    <w:pStyle w:val="000"/>
                    <w:rPr>
                      <w:rFonts w:eastAsia="仿宋_GB2312"/>
                    </w:rPr>
                  </w:pPr>
                  <w:r>
                    <w:t>8mg/Nm</w:t>
                  </w:r>
                  <w:r>
                    <w:rPr>
                      <w:vertAlign w:val="superscript"/>
                    </w:rPr>
                    <w:t>3</w:t>
                  </w:r>
                </w:p>
              </w:tc>
              <w:tc>
                <w:tcPr>
                  <w:tcW w:w="889" w:type="pct"/>
                  <w:tcBorders>
                    <w:top w:val="single" w:sz="6" w:space="0" w:color="auto"/>
                    <w:left w:val="single" w:sz="6" w:space="0" w:color="auto"/>
                    <w:bottom w:val="single" w:sz="6" w:space="0" w:color="auto"/>
                    <w:right w:val="nil"/>
                  </w:tcBorders>
                  <w:vAlign w:val="center"/>
                </w:tcPr>
                <w:p w14:paraId="4F3C3E90" w14:textId="77777777" w:rsidR="00F76A63" w:rsidRDefault="00000000">
                  <w:pPr>
                    <w:pStyle w:val="000"/>
                  </w:pPr>
                  <w:r>
                    <w:t>51.2</w:t>
                  </w:r>
                </w:p>
              </w:tc>
            </w:tr>
            <w:tr w:rsidR="00F76A63" w14:paraId="578BFBA1" w14:textId="77777777">
              <w:trPr>
                <w:trHeight w:val="340"/>
                <w:jc w:val="center"/>
              </w:trPr>
              <w:tc>
                <w:tcPr>
                  <w:tcW w:w="257" w:type="pct"/>
                  <w:vMerge/>
                  <w:tcBorders>
                    <w:left w:val="nil"/>
                    <w:right w:val="single" w:sz="6" w:space="0" w:color="auto"/>
                  </w:tcBorders>
                  <w:vAlign w:val="center"/>
                </w:tcPr>
                <w:p w14:paraId="04D02FC9"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41C5D623"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5DB4C552" w14:textId="77777777" w:rsidR="00F76A63" w:rsidRDefault="00000000">
                  <w:pPr>
                    <w:pStyle w:val="000"/>
                    <w:rPr>
                      <w:rFonts w:eastAsia="仿宋_GB2312"/>
                    </w:rPr>
                  </w:pPr>
                  <w:r>
                    <w:t>H</w:t>
                  </w:r>
                  <w:r>
                    <w:rPr>
                      <w:vertAlign w:val="subscript"/>
                    </w:rPr>
                    <w:t>2</w:t>
                  </w:r>
                  <w:r>
                    <w:t>S</w:t>
                  </w:r>
                </w:p>
              </w:tc>
              <w:tc>
                <w:tcPr>
                  <w:tcW w:w="1279" w:type="pct"/>
                  <w:tcBorders>
                    <w:top w:val="single" w:sz="6" w:space="0" w:color="auto"/>
                    <w:left w:val="single" w:sz="6" w:space="0" w:color="auto"/>
                    <w:bottom w:val="single" w:sz="6" w:space="0" w:color="auto"/>
                    <w:right w:val="single" w:sz="6" w:space="0" w:color="auto"/>
                  </w:tcBorders>
                  <w:vAlign w:val="center"/>
                </w:tcPr>
                <w:p w14:paraId="7B02B500" w14:textId="77777777" w:rsidR="00F76A63" w:rsidRDefault="00000000">
                  <w:pPr>
                    <w:pStyle w:val="000"/>
                  </w:pPr>
                  <w:r>
                    <w:t>1.249</w:t>
                  </w:r>
                </w:p>
              </w:tc>
              <w:tc>
                <w:tcPr>
                  <w:tcW w:w="1027" w:type="pct"/>
                  <w:tcBorders>
                    <w:top w:val="single" w:sz="6" w:space="0" w:color="auto"/>
                    <w:left w:val="single" w:sz="6" w:space="0" w:color="auto"/>
                    <w:bottom w:val="single" w:sz="6" w:space="0" w:color="auto"/>
                    <w:right w:val="single" w:sz="6" w:space="0" w:color="auto"/>
                  </w:tcBorders>
                  <w:vAlign w:val="center"/>
                </w:tcPr>
                <w:p w14:paraId="31E6B584" w14:textId="77777777" w:rsidR="00F76A63" w:rsidRDefault="00000000">
                  <w:pPr>
                    <w:pStyle w:val="000"/>
                  </w:pPr>
                  <w:r>
                    <w:t>/</w:t>
                  </w:r>
                </w:p>
              </w:tc>
              <w:tc>
                <w:tcPr>
                  <w:tcW w:w="889" w:type="pct"/>
                  <w:tcBorders>
                    <w:top w:val="single" w:sz="6" w:space="0" w:color="auto"/>
                    <w:left w:val="single" w:sz="6" w:space="0" w:color="auto"/>
                    <w:bottom w:val="single" w:sz="6" w:space="0" w:color="auto"/>
                    <w:right w:val="nil"/>
                  </w:tcBorders>
                  <w:vAlign w:val="center"/>
                </w:tcPr>
                <w:p w14:paraId="7ACE4DCF" w14:textId="77777777" w:rsidR="00F76A63" w:rsidRDefault="00000000">
                  <w:pPr>
                    <w:pStyle w:val="000"/>
                  </w:pPr>
                  <w:r>
                    <w:t>0.4782</w:t>
                  </w:r>
                </w:p>
              </w:tc>
            </w:tr>
            <w:tr w:rsidR="00F76A63" w14:paraId="0B535703" w14:textId="77777777">
              <w:trPr>
                <w:trHeight w:val="340"/>
                <w:jc w:val="center"/>
              </w:trPr>
              <w:tc>
                <w:tcPr>
                  <w:tcW w:w="257" w:type="pct"/>
                  <w:vMerge/>
                  <w:tcBorders>
                    <w:left w:val="nil"/>
                    <w:right w:val="single" w:sz="6" w:space="0" w:color="auto"/>
                  </w:tcBorders>
                  <w:vAlign w:val="center"/>
                </w:tcPr>
                <w:p w14:paraId="30412C07"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4F42C888"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5013E7E4" w14:textId="77777777" w:rsidR="00F76A63" w:rsidRDefault="00000000">
                  <w:pPr>
                    <w:pStyle w:val="000"/>
                  </w:pPr>
                  <w:r>
                    <w:t>HCl</w:t>
                  </w:r>
                </w:p>
              </w:tc>
              <w:tc>
                <w:tcPr>
                  <w:tcW w:w="1279" w:type="pct"/>
                  <w:tcBorders>
                    <w:top w:val="single" w:sz="6" w:space="0" w:color="auto"/>
                    <w:left w:val="single" w:sz="6" w:space="0" w:color="auto"/>
                    <w:bottom w:val="single" w:sz="6" w:space="0" w:color="auto"/>
                    <w:right w:val="single" w:sz="6" w:space="0" w:color="auto"/>
                  </w:tcBorders>
                  <w:vAlign w:val="center"/>
                </w:tcPr>
                <w:p w14:paraId="26B3F18B" w14:textId="77777777" w:rsidR="00F76A63" w:rsidRDefault="00000000">
                  <w:pPr>
                    <w:pStyle w:val="000"/>
                  </w:pPr>
                  <w:r>
                    <w:t>51.2</w:t>
                  </w:r>
                </w:p>
              </w:tc>
              <w:tc>
                <w:tcPr>
                  <w:tcW w:w="1027" w:type="pct"/>
                  <w:tcBorders>
                    <w:top w:val="single" w:sz="6" w:space="0" w:color="auto"/>
                    <w:left w:val="single" w:sz="6" w:space="0" w:color="auto"/>
                    <w:bottom w:val="single" w:sz="6" w:space="0" w:color="auto"/>
                    <w:right w:val="single" w:sz="6" w:space="0" w:color="auto"/>
                  </w:tcBorders>
                  <w:vAlign w:val="center"/>
                </w:tcPr>
                <w:p w14:paraId="6046218F" w14:textId="77777777" w:rsidR="00F76A63" w:rsidRDefault="00000000">
                  <w:pPr>
                    <w:pStyle w:val="000"/>
                  </w:pPr>
                  <w:r>
                    <w:t>10mg/Nm</w:t>
                  </w:r>
                  <w:r>
                    <w:rPr>
                      <w:vertAlign w:val="superscript"/>
                    </w:rPr>
                    <w:t>3</w:t>
                  </w:r>
                </w:p>
              </w:tc>
              <w:tc>
                <w:tcPr>
                  <w:tcW w:w="889" w:type="pct"/>
                  <w:tcBorders>
                    <w:top w:val="single" w:sz="6" w:space="0" w:color="auto"/>
                    <w:left w:val="single" w:sz="6" w:space="0" w:color="auto"/>
                    <w:bottom w:val="single" w:sz="6" w:space="0" w:color="auto"/>
                    <w:right w:val="nil"/>
                  </w:tcBorders>
                  <w:vAlign w:val="center"/>
                </w:tcPr>
                <w:p w14:paraId="7D825066" w14:textId="77777777" w:rsidR="00F76A63" w:rsidRDefault="00000000">
                  <w:pPr>
                    <w:pStyle w:val="000"/>
                  </w:pPr>
                  <w:r>
                    <w:t>23.373</w:t>
                  </w:r>
                </w:p>
              </w:tc>
            </w:tr>
            <w:tr w:rsidR="00F76A63" w14:paraId="62905A48" w14:textId="77777777">
              <w:trPr>
                <w:trHeight w:val="340"/>
                <w:jc w:val="center"/>
              </w:trPr>
              <w:tc>
                <w:tcPr>
                  <w:tcW w:w="257" w:type="pct"/>
                  <w:vMerge/>
                  <w:tcBorders>
                    <w:left w:val="nil"/>
                    <w:right w:val="single" w:sz="6" w:space="0" w:color="auto"/>
                  </w:tcBorders>
                  <w:vAlign w:val="center"/>
                </w:tcPr>
                <w:p w14:paraId="173DCE9B"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392BD2D8"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61448DB2" w14:textId="77777777" w:rsidR="00F76A63" w:rsidRDefault="00000000">
                  <w:pPr>
                    <w:pStyle w:val="000"/>
                    <w:rPr>
                      <w:rFonts w:eastAsia="仿宋_GB2312"/>
                    </w:rPr>
                  </w:pPr>
                  <w:r>
                    <w:t>HF</w:t>
                  </w:r>
                </w:p>
              </w:tc>
              <w:tc>
                <w:tcPr>
                  <w:tcW w:w="1279" w:type="pct"/>
                  <w:tcBorders>
                    <w:top w:val="single" w:sz="6" w:space="0" w:color="auto"/>
                    <w:left w:val="single" w:sz="6" w:space="0" w:color="auto"/>
                    <w:bottom w:val="single" w:sz="6" w:space="0" w:color="auto"/>
                    <w:right w:val="single" w:sz="6" w:space="0" w:color="auto"/>
                  </w:tcBorders>
                  <w:vAlign w:val="center"/>
                </w:tcPr>
                <w:p w14:paraId="1DFCCEB7" w14:textId="77777777" w:rsidR="00F76A63" w:rsidRDefault="00000000">
                  <w:pPr>
                    <w:pStyle w:val="000"/>
                  </w:pPr>
                  <w:r>
                    <w:t>0.4782</w:t>
                  </w:r>
                </w:p>
              </w:tc>
              <w:tc>
                <w:tcPr>
                  <w:tcW w:w="1027" w:type="pct"/>
                  <w:tcBorders>
                    <w:top w:val="single" w:sz="6" w:space="0" w:color="auto"/>
                    <w:left w:val="single" w:sz="6" w:space="0" w:color="auto"/>
                    <w:bottom w:val="single" w:sz="6" w:space="0" w:color="auto"/>
                    <w:right w:val="single" w:sz="6" w:space="0" w:color="auto"/>
                  </w:tcBorders>
                  <w:vAlign w:val="center"/>
                </w:tcPr>
                <w:p w14:paraId="06930F49" w14:textId="77777777" w:rsidR="00F76A63" w:rsidRDefault="00000000">
                  <w:pPr>
                    <w:pStyle w:val="000"/>
                    <w:rPr>
                      <w:rFonts w:eastAsia="仿宋_GB2312"/>
                    </w:rPr>
                  </w:pPr>
                  <w:r>
                    <w:t>1mg/Nm</w:t>
                  </w:r>
                  <w:r>
                    <w:rPr>
                      <w:vertAlign w:val="superscript"/>
                    </w:rPr>
                    <w:t>3</w:t>
                  </w:r>
                </w:p>
              </w:tc>
              <w:tc>
                <w:tcPr>
                  <w:tcW w:w="889" w:type="pct"/>
                  <w:tcBorders>
                    <w:top w:val="single" w:sz="6" w:space="0" w:color="auto"/>
                    <w:left w:val="single" w:sz="6" w:space="0" w:color="auto"/>
                    <w:bottom w:val="single" w:sz="6" w:space="0" w:color="auto"/>
                    <w:right w:val="nil"/>
                  </w:tcBorders>
                  <w:vAlign w:val="center"/>
                </w:tcPr>
                <w:p w14:paraId="52BE1DF6" w14:textId="77777777" w:rsidR="00F76A63" w:rsidRDefault="00000000">
                  <w:pPr>
                    <w:pStyle w:val="000"/>
                  </w:pPr>
                  <w:r>
                    <w:t>1.249</w:t>
                  </w:r>
                </w:p>
              </w:tc>
            </w:tr>
            <w:tr w:rsidR="00F76A63" w14:paraId="1464DDFF" w14:textId="77777777">
              <w:trPr>
                <w:trHeight w:val="340"/>
                <w:jc w:val="center"/>
              </w:trPr>
              <w:tc>
                <w:tcPr>
                  <w:tcW w:w="257" w:type="pct"/>
                  <w:vMerge/>
                  <w:tcBorders>
                    <w:left w:val="nil"/>
                    <w:right w:val="single" w:sz="6" w:space="0" w:color="auto"/>
                  </w:tcBorders>
                  <w:vAlign w:val="center"/>
                </w:tcPr>
                <w:p w14:paraId="56E455EB"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10C10971"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5893EB32" w14:textId="77777777" w:rsidR="00F76A63" w:rsidRDefault="00000000">
                  <w:pPr>
                    <w:pStyle w:val="000"/>
                    <w:rPr>
                      <w:rFonts w:eastAsia="仿宋_GB2312"/>
                    </w:rPr>
                  </w:pPr>
                  <w:r>
                    <w:t>汞及其化合物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3DB2D161" w14:textId="77777777" w:rsidR="00F76A63" w:rsidRDefault="00000000">
                  <w:pPr>
                    <w:pStyle w:val="000"/>
                  </w:pPr>
                  <w:r>
                    <w:t>0.0002</w:t>
                  </w:r>
                </w:p>
              </w:tc>
              <w:tc>
                <w:tcPr>
                  <w:tcW w:w="1027" w:type="pct"/>
                  <w:tcBorders>
                    <w:top w:val="single" w:sz="6" w:space="0" w:color="auto"/>
                    <w:left w:val="single" w:sz="6" w:space="0" w:color="auto"/>
                    <w:bottom w:val="single" w:sz="6" w:space="0" w:color="auto"/>
                    <w:right w:val="single" w:sz="6" w:space="0" w:color="auto"/>
                  </w:tcBorders>
                  <w:vAlign w:val="center"/>
                </w:tcPr>
                <w:p w14:paraId="10174584" w14:textId="77777777" w:rsidR="00F76A63" w:rsidRDefault="00000000">
                  <w:pPr>
                    <w:pStyle w:val="000"/>
                    <w:rPr>
                      <w:rFonts w:eastAsia="仿宋_GB2312"/>
                    </w:rPr>
                  </w:pPr>
                  <w:r>
                    <w:t>0.03mg/Nm</w:t>
                  </w:r>
                  <w:r>
                    <w:rPr>
                      <w:vertAlign w:val="superscript"/>
                    </w:rPr>
                    <w:t>3</w:t>
                  </w:r>
                </w:p>
              </w:tc>
              <w:tc>
                <w:tcPr>
                  <w:tcW w:w="889" w:type="pct"/>
                  <w:tcBorders>
                    <w:top w:val="single" w:sz="6" w:space="0" w:color="auto"/>
                    <w:left w:val="single" w:sz="6" w:space="0" w:color="auto"/>
                    <w:bottom w:val="single" w:sz="6" w:space="0" w:color="auto"/>
                    <w:right w:val="nil"/>
                  </w:tcBorders>
                  <w:vAlign w:val="center"/>
                </w:tcPr>
                <w:p w14:paraId="67D2932C" w14:textId="77777777" w:rsidR="00F76A63" w:rsidRDefault="00000000">
                  <w:pPr>
                    <w:pStyle w:val="000"/>
                  </w:pPr>
                  <w:r>
                    <w:t>0.0002</w:t>
                  </w:r>
                </w:p>
              </w:tc>
            </w:tr>
            <w:tr w:rsidR="00F76A63" w14:paraId="258CD672" w14:textId="77777777">
              <w:trPr>
                <w:trHeight w:val="340"/>
                <w:jc w:val="center"/>
              </w:trPr>
              <w:tc>
                <w:tcPr>
                  <w:tcW w:w="257" w:type="pct"/>
                  <w:vMerge/>
                  <w:tcBorders>
                    <w:left w:val="nil"/>
                    <w:right w:val="single" w:sz="6" w:space="0" w:color="auto"/>
                  </w:tcBorders>
                  <w:vAlign w:val="center"/>
                </w:tcPr>
                <w:p w14:paraId="7CA53F66"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6A7E1BFF"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0304EDDE" w14:textId="77777777" w:rsidR="00F76A63" w:rsidRDefault="00000000">
                  <w:pPr>
                    <w:pStyle w:val="000"/>
                    <w:rPr>
                      <w:rFonts w:eastAsia="仿宋_GB2312"/>
                    </w:rPr>
                  </w:pPr>
                  <w:r>
                    <w:t>Tl+Cd+Pb+As</w:t>
                  </w:r>
                </w:p>
              </w:tc>
              <w:tc>
                <w:tcPr>
                  <w:tcW w:w="1279" w:type="pct"/>
                  <w:tcBorders>
                    <w:top w:val="single" w:sz="6" w:space="0" w:color="auto"/>
                    <w:left w:val="single" w:sz="6" w:space="0" w:color="auto"/>
                    <w:bottom w:val="single" w:sz="6" w:space="0" w:color="auto"/>
                    <w:right w:val="single" w:sz="6" w:space="0" w:color="auto"/>
                  </w:tcBorders>
                  <w:vAlign w:val="center"/>
                </w:tcPr>
                <w:p w14:paraId="6F260429" w14:textId="77777777" w:rsidR="00F76A63" w:rsidRDefault="00000000">
                  <w:pPr>
                    <w:pStyle w:val="000"/>
                  </w:pPr>
                  <w:r>
                    <w:t>0.0019</w:t>
                  </w:r>
                </w:p>
              </w:tc>
              <w:tc>
                <w:tcPr>
                  <w:tcW w:w="1027" w:type="pct"/>
                  <w:tcBorders>
                    <w:top w:val="single" w:sz="6" w:space="0" w:color="auto"/>
                    <w:left w:val="single" w:sz="6" w:space="0" w:color="auto"/>
                    <w:bottom w:val="single" w:sz="6" w:space="0" w:color="auto"/>
                    <w:right w:val="single" w:sz="6" w:space="0" w:color="auto"/>
                  </w:tcBorders>
                  <w:vAlign w:val="center"/>
                </w:tcPr>
                <w:p w14:paraId="207A80AD" w14:textId="77777777" w:rsidR="00F76A63" w:rsidRDefault="00000000">
                  <w:pPr>
                    <w:pStyle w:val="000"/>
                  </w:pPr>
                  <w:r>
                    <w:t>1.0mg/Nm</w:t>
                  </w:r>
                  <w:r>
                    <w:rPr>
                      <w:vertAlign w:val="superscript"/>
                    </w:rPr>
                    <w:t>3</w:t>
                  </w:r>
                </w:p>
              </w:tc>
              <w:tc>
                <w:tcPr>
                  <w:tcW w:w="889" w:type="pct"/>
                  <w:tcBorders>
                    <w:top w:val="single" w:sz="6" w:space="0" w:color="auto"/>
                    <w:left w:val="single" w:sz="6" w:space="0" w:color="auto"/>
                    <w:bottom w:val="single" w:sz="6" w:space="0" w:color="auto"/>
                    <w:right w:val="nil"/>
                  </w:tcBorders>
                  <w:vAlign w:val="center"/>
                </w:tcPr>
                <w:p w14:paraId="16A726EC" w14:textId="77777777" w:rsidR="00F76A63" w:rsidRDefault="00000000">
                  <w:pPr>
                    <w:pStyle w:val="000"/>
                  </w:pPr>
                  <w:r>
                    <w:t>0.3258</w:t>
                  </w:r>
                </w:p>
              </w:tc>
            </w:tr>
            <w:tr w:rsidR="00F76A63" w14:paraId="6B719635" w14:textId="77777777">
              <w:trPr>
                <w:trHeight w:val="340"/>
                <w:jc w:val="center"/>
              </w:trPr>
              <w:tc>
                <w:tcPr>
                  <w:tcW w:w="257" w:type="pct"/>
                  <w:vMerge/>
                  <w:tcBorders>
                    <w:left w:val="nil"/>
                    <w:right w:val="single" w:sz="6" w:space="0" w:color="auto"/>
                  </w:tcBorders>
                  <w:vAlign w:val="center"/>
                </w:tcPr>
                <w:p w14:paraId="270B9B6C"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03564712"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1FF11FEF" w14:textId="77777777" w:rsidR="00F76A63" w:rsidRDefault="00000000">
                  <w:pPr>
                    <w:pStyle w:val="000"/>
                    <w:rPr>
                      <w:rFonts w:eastAsia="仿宋_GB2312"/>
                    </w:rPr>
                  </w:pPr>
                  <w:r>
                    <w:t>Be+Cr+Sn+Sb+</w:t>
                  </w:r>
                </w:p>
                <w:p w14:paraId="0062D59E" w14:textId="77777777" w:rsidR="00F76A63" w:rsidRDefault="00000000">
                  <w:pPr>
                    <w:pStyle w:val="000"/>
                  </w:pPr>
                  <w:r>
                    <w:t>Cu+Co+Mn+Ni+V</w:t>
                  </w:r>
                </w:p>
              </w:tc>
              <w:tc>
                <w:tcPr>
                  <w:tcW w:w="1279" w:type="pct"/>
                  <w:tcBorders>
                    <w:top w:val="single" w:sz="6" w:space="0" w:color="auto"/>
                    <w:left w:val="single" w:sz="6" w:space="0" w:color="auto"/>
                    <w:bottom w:val="single" w:sz="6" w:space="0" w:color="auto"/>
                    <w:right w:val="single" w:sz="6" w:space="0" w:color="auto"/>
                  </w:tcBorders>
                  <w:vAlign w:val="center"/>
                </w:tcPr>
                <w:p w14:paraId="6AA9ADF1" w14:textId="77777777" w:rsidR="00F76A63" w:rsidRDefault="00000000">
                  <w:pPr>
                    <w:pStyle w:val="000"/>
                  </w:pPr>
                  <w:r>
                    <w:t>0.0079</w:t>
                  </w:r>
                </w:p>
              </w:tc>
              <w:tc>
                <w:tcPr>
                  <w:tcW w:w="1027" w:type="pct"/>
                  <w:tcBorders>
                    <w:top w:val="single" w:sz="6" w:space="0" w:color="auto"/>
                    <w:left w:val="single" w:sz="6" w:space="0" w:color="auto"/>
                    <w:bottom w:val="single" w:sz="6" w:space="0" w:color="auto"/>
                    <w:right w:val="single" w:sz="6" w:space="0" w:color="auto"/>
                  </w:tcBorders>
                  <w:vAlign w:val="center"/>
                </w:tcPr>
                <w:p w14:paraId="0A82E274" w14:textId="77777777" w:rsidR="00F76A63" w:rsidRDefault="00000000">
                  <w:pPr>
                    <w:pStyle w:val="000"/>
                  </w:pPr>
                  <w:r>
                    <w:t>0.5mg/Nm</w:t>
                  </w:r>
                  <w:r>
                    <w:rPr>
                      <w:vertAlign w:val="superscript"/>
                    </w:rPr>
                    <w:t>3</w:t>
                  </w:r>
                </w:p>
              </w:tc>
              <w:tc>
                <w:tcPr>
                  <w:tcW w:w="889" w:type="pct"/>
                  <w:tcBorders>
                    <w:top w:val="single" w:sz="6" w:space="0" w:color="auto"/>
                    <w:left w:val="single" w:sz="6" w:space="0" w:color="auto"/>
                    <w:bottom w:val="single" w:sz="6" w:space="0" w:color="auto"/>
                    <w:right w:val="nil"/>
                  </w:tcBorders>
                  <w:vAlign w:val="center"/>
                </w:tcPr>
                <w:p w14:paraId="5A362D38" w14:textId="77777777" w:rsidR="00F76A63" w:rsidRDefault="00000000">
                  <w:pPr>
                    <w:pStyle w:val="000"/>
                  </w:pPr>
                  <w:r>
                    <w:t>0.6232</w:t>
                  </w:r>
                </w:p>
              </w:tc>
            </w:tr>
            <w:tr w:rsidR="00F76A63" w14:paraId="55A46789" w14:textId="77777777">
              <w:trPr>
                <w:trHeight w:val="340"/>
                <w:jc w:val="center"/>
              </w:trPr>
              <w:tc>
                <w:tcPr>
                  <w:tcW w:w="257" w:type="pct"/>
                  <w:vMerge/>
                  <w:tcBorders>
                    <w:left w:val="nil"/>
                    <w:right w:val="single" w:sz="6" w:space="0" w:color="auto"/>
                  </w:tcBorders>
                  <w:vAlign w:val="center"/>
                </w:tcPr>
                <w:p w14:paraId="7F9C596C"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2C1F9346"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5261B4D4" w14:textId="77777777" w:rsidR="00F76A63" w:rsidRDefault="00000000">
                  <w:pPr>
                    <w:pStyle w:val="000"/>
                    <w:rPr>
                      <w:rFonts w:eastAsia="仿宋_GB2312"/>
                    </w:rPr>
                  </w:pPr>
                  <w:r>
                    <w:t>铍及其化合物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0962FF09" w14:textId="77777777" w:rsidR="00F76A63" w:rsidRDefault="00000000">
                  <w:pPr>
                    <w:pStyle w:val="000"/>
                  </w:pPr>
                  <w:r>
                    <w:t>0.1318</w:t>
                  </w:r>
                </w:p>
              </w:tc>
              <w:tc>
                <w:tcPr>
                  <w:tcW w:w="1027" w:type="pct"/>
                  <w:tcBorders>
                    <w:top w:val="single" w:sz="6" w:space="0" w:color="auto"/>
                    <w:left w:val="single" w:sz="6" w:space="0" w:color="auto"/>
                    <w:bottom w:val="single" w:sz="6" w:space="0" w:color="auto"/>
                    <w:right w:val="single" w:sz="6" w:space="0" w:color="auto"/>
                  </w:tcBorders>
                  <w:vAlign w:val="center"/>
                </w:tcPr>
                <w:p w14:paraId="35DEC3D4"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3E0B6166" w14:textId="77777777" w:rsidR="00F76A63" w:rsidRDefault="00000000">
                  <w:pPr>
                    <w:pStyle w:val="000"/>
                  </w:pPr>
                  <w:r>
                    <w:t>0.0003</w:t>
                  </w:r>
                </w:p>
              </w:tc>
            </w:tr>
            <w:tr w:rsidR="00F76A63" w14:paraId="21C29C5A" w14:textId="77777777">
              <w:trPr>
                <w:trHeight w:val="340"/>
                <w:jc w:val="center"/>
              </w:trPr>
              <w:tc>
                <w:tcPr>
                  <w:tcW w:w="257" w:type="pct"/>
                  <w:vMerge/>
                  <w:tcBorders>
                    <w:left w:val="nil"/>
                    <w:right w:val="single" w:sz="6" w:space="0" w:color="auto"/>
                  </w:tcBorders>
                  <w:vAlign w:val="center"/>
                </w:tcPr>
                <w:p w14:paraId="1F24D8AD"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63991985"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0374F7C2" w14:textId="77777777" w:rsidR="00F76A63" w:rsidRDefault="00000000">
                  <w:pPr>
                    <w:pStyle w:val="000"/>
                    <w:rPr>
                      <w:rFonts w:eastAsia="仿宋_GB2312"/>
                    </w:rPr>
                  </w:pPr>
                  <w:r>
                    <w:t>铬及其化合物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39518B4B" w14:textId="77777777" w:rsidR="00F76A63" w:rsidRDefault="00000000">
                  <w:pPr>
                    <w:pStyle w:val="000"/>
                  </w:pPr>
                  <w:r>
                    <w:t>0.1841</w:t>
                  </w:r>
                </w:p>
              </w:tc>
              <w:tc>
                <w:tcPr>
                  <w:tcW w:w="1027" w:type="pct"/>
                  <w:tcBorders>
                    <w:top w:val="single" w:sz="6" w:space="0" w:color="auto"/>
                    <w:left w:val="single" w:sz="6" w:space="0" w:color="auto"/>
                    <w:bottom w:val="single" w:sz="6" w:space="0" w:color="auto"/>
                    <w:right w:val="single" w:sz="6" w:space="0" w:color="auto"/>
                  </w:tcBorders>
                  <w:vAlign w:val="center"/>
                </w:tcPr>
                <w:p w14:paraId="08599078"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6F08055C" w14:textId="77777777" w:rsidR="00F76A63" w:rsidRDefault="00000000">
                  <w:pPr>
                    <w:pStyle w:val="000"/>
                  </w:pPr>
                  <w:r>
                    <w:t>0.0107</w:t>
                  </w:r>
                </w:p>
              </w:tc>
            </w:tr>
            <w:tr w:rsidR="00F76A63" w14:paraId="51304612" w14:textId="77777777">
              <w:trPr>
                <w:trHeight w:val="340"/>
                <w:jc w:val="center"/>
              </w:trPr>
              <w:tc>
                <w:tcPr>
                  <w:tcW w:w="257" w:type="pct"/>
                  <w:vMerge/>
                  <w:tcBorders>
                    <w:left w:val="nil"/>
                    <w:right w:val="single" w:sz="6" w:space="0" w:color="auto"/>
                  </w:tcBorders>
                  <w:vAlign w:val="center"/>
                </w:tcPr>
                <w:p w14:paraId="41F4DAF9"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698157B9"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220F492C" w14:textId="77777777" w:rsidR="00F76A63" w:rsidRDefault="00000000">
                  <w:pPr>
                    <w:pStyle w:val="000"/>
                    <w:rPr>
                      <w:rFonts w:eastAsia="仿宋_GB2312"/>
                    </w:rPr>
                  </w:pPr>
                  <w:r>
                    <w:t>镍及其化合物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3F76E537" w14:textId="77777777" w:rsidR="00F76A63" w:rsidRDefault="00000000">
                  <w:pPr>
                    <w:pStyle w:val="000"/>
                  </w:pPr>
                  <w:r>
                    <w:t>0.0003</w:t>
                  </w:r>
                </w:p>
              </w:tc>
              <w:tc>
                <w:tcPr>
                  <w:tcW w:w="1027" w:type="pct"/>
                  <w:tcBorders>
                    <w:top w:val="single" w:sz="6" w:space="0" w:color="auto"/>
                    <w:left w:val="single" w:sz="6" w:space="0" w:color="auto"/>
                    <w:bottom w:val="single" w:sz="6" w:space="0" w:color="auto"/>
                    <w:right w:val="single" w:sz="6" w:space="0" w:color="auto"/>
                  </w:tcBorders>
                  <w:vAlign w:val="center"/>
                </w:tcPr>
                <w:p w14:paraId="4F444CB7"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0A3FEB3D" w14:textId="77777777" w:rsidR="00F76A63" w:rsidRDefault="00000000">
                  <w:pPr>
                    <w:pStyle w:val="000"/>
                  </w:pPr>
                  <w:r>
                    <w:t>0.0455</w:t>
                  </w:r>
                </w:p>
              </w:tc>
            </w:tr>
            <w:tr w:rsidR="00F76A63" w14:paraId="36DE1BF0" w14:textId="77777777">
              <w:trPr>
                <w:trHeight w:val="340"/>
                <w:jc w:val="center"/>
              </w:trPr>
              <w:tc>
                <w:tcPr>
                  <w:tcW w:w="257" w:type="pct"/>
                  <w:vMerge/>
                  <w:tcBorders>
                    <w:left w:val="nil"/>
                    <w:right w:val="single" w:sz="6" w:space="0" w:color="auto"/>
                  </w:tcBorders>
                  <w:vAlign w:val="center"/>
                </w:tcPr>
                <w:p w14:paraId="43FD023F"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5C4BFF54"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6A8F2E8D" w14:textId="77777777" w:rsidR="00F76A63" w:rsidRDefault="00000000">
                  <w:pPr>
                    <w:pStyle w:val="000"/>
                    <w:rPr>
                      <w:rFonts w:eastAsia="仿宋_GB2312"/>
                    </w:rPr>
                  </w:pPr>
                  <w:r>
                    <w:t>铜及其化合物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11F9CCCA" w14:textId="77777777" w:rsidR="00F76A63" w:rsidRDefault="00000000">
                  <w:pPr>
                    <w:pStyle w:val="000"/>
                  </w:pPr>
                  <w:r>
                    <w:t>0.0107</w:t>
                  </w:r>
                </w:p>
              </w:tc>
              <w:tc>
                <w:tcPr>
                  <w:tcW w:w="1027" w:type="pct"/>
                  <w:tcBorders>
                    <w:top w:val="single" w:sz="6" w:space="0" w:color="auto"/>
                    <w:left w:val="single" w:sz="6" w:space="0" w:color="auto"/>
                    <w:bottom w:val="single" w:sz="6" w:space="0" w:color="auto"/>
                    <w:right w:val="single" w:sz="6" w:space="0" w:color="auto"/>
                  </w:tcBorders>
                  <w:vAlign w:val="center"/>
                </w:tcPr>
                <w:p w14:paraId="373214A2"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174E6DFC" w14:textId="77777777" w:rsidR="00F76A63" w:rsidRDefault="00000000">
                  <w:pPr>
                    <w:pStyle w:val="000"/>
                  </w:pPr>
                  <w:r>
                    <w:t>0.0134</w:t>
                  </w:r>
                </w:p>
              </w:tc>
            </w:tr>
            <w:tr w:rsidR="00F76A63" w14:paraId="5BA336AE" w14:textId="77777777">
              <w:trPr>
                <w:trHeight w:val="340"/>
                <w:jc w:val="center"/>
              </w:trPr>
              <w:tc>
                <w:tcPr>
                  <w:tcW w:w="257" w:type="pct"/>
                  <w:vMerge/>
                  <w:tcBorders>
                    <w:left w:val="nil"/>
                    <w:right w:val="single" w:sz="6" w:space="0" w:color="auto"/>
                  </w:tcBorders>
                  <w:vAlign w:val="center"/>
                </w:tcPr>
                <w:p w14:paraId="01E2934B"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6C395433"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6E600BF5" w14:textId="77777777" w:rsidR="00F76A63" w:rsidRDefault="00000000">
                  <w:pPr>
                    <w:pStyle w:val="000"/>
                    <w:rPr>
                      <w:rFonts w:eastAsia="仿宋_GB2312"/>
                    </w:rPr>
                  </w:pPr>
                  <w:r>
                    <w:t>镉及其化合物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75B7A844" w14:textId="77777777" w:rsidR="00F76A63" w:rsidRDefault="00000000">
                  <w:pPr>
                    <w:pStyle w:val="000"/>
                  </w:pPr>
                  <w:r>
                    <w:t>0.0194</w:t>
                  </w:r>
                </w:p>
              </w:tc>
              <w:tc>
                <w:tcPr>
                  <w:tcW w:w="1027" w:type="pct"/>
                  <w:tcBorders>
                    <w:top w:val="single" w:sz="6" w:space="0" w:color="auto"/>
                    <w:left w:val="single" w:sz="6" w:space="0" w:color="auto"/>
                    <w:bottom w:val="single" w:sz="6" w:space="0" w:color="auto"/>
                    <w:right w:val="single" w:sz="6" w:space="0" w:color="auto"/>
                  </w:tcBorders>
                  <w:vAlign w:val="center"/>
                </w:tcPr>
                <w:p w14:paraId="21BF390F"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3FFCADC5" w14:textId="77777777" w:rsidR="00F76A63" w:rsidRDefault="00000000">
                  <w:pPr>
                    <w:pStyle w:val="000"/>
                  </w:pPr>
                  <w:r>
                    <w:t>0.0079</w:t>
                  </w:r>
                </w:p>
              </w:tc>
            </w:tr>
            <w:tr w:rsidR="00F76A63" w14:paraId="5D9FACE8" w14:textId="77777777">
              <w:trPr>
                <w:trHeight w:val="340"/>
                <w:jc w:val="center"/>
              </w:trPr>
              <w:tc>
                <w:tcPr>
                  <w:tcW w:w="257" w:type="pct"/>
                  <w:vMerge/>
                  <w:tcBorders>
                    <w:left w:val="nil"/>
                    <w:right w:val="single" w:sz="6" w:space="0" w:color="auto"/>
                  </w:tcBorders>
                  <w:vAlign w:val="center"/>
                </w:tcPr>
                <w:p w14:paraId="1F75A26E"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7EE51B0B"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364B60F8" w14:textId="77777777" w:rsidR="00F76A63" w:rsidRDefault="00000000">
                  <w:pPr>
                    <w:pStyle w:val="000"/>
                    <w:rPr>
                      <w:rFonts w:eastAsia="仿宋_GB2312"/>
                    </w:rPr>
                  </w:pPr>
                  <w:r>
                    <w:t>铅及其化合物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04D3DA32" w14:textId="77777777" w:rsidR="00F76A63" w:rsidRDefault="00000000">
                  <w:pPr>
                    <w:pStyle w:val="000"/>
                  </w:pPr>
                  <w:r>
                    <w:t>0.4121</w:t>
                  </w:r>
                </w:p>
              </w:tc>
              <w:tc>
                <w:tcPr>
                  <w:tcW w:w="1027" w:type="pct"/>
                  <w:tcBorders>
                    <w:top w:val="single" w:sz="6" w:space="0" w:color="auto"/>
                    <w:left w:val="single" w:sz="6" w:space="0" w:color="auto"/>
                    <w:bottom w:val="single" w:sz="6" w:space="0" w:color="auto"/>
                    <w:right w:val="single" w:sz="6" w:space="0" w:color="auto"/>
                  </w:tcBorders>
                  <w:vAlign w:val="center"/>
                </w:tcPr>
                <w:p w14:paraId="4E666A4F"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4A0930BD" w14:textId="77777777" w:rsidR="00F76A63" w:rsidRDefault="00000000">
                  <w:pPr>
                    <w:pStyle w:val="000"/>
                  </w:pPr>
                  <w:r>
                    <w:t>0.1318</w:t>
                  </w:r>
                </w:p>
              </w:tc>
            </w:tr>
            <w:tr w:rsidR="00F76A63" w14:paraId="3FBC7211" w14:textId="77777777">
              <w:trPr>
                <w:trHeight w:val="340"/>
                <w:jc w:val="center"/>
              </w:trPr>
              <w:tc>
                <w:tcPr>
                  <w:tcW w:w="257" w:type="pct"/>
                  <w:vMerge/>
                  <w:tcBorders>
                    <w:left w:val="nil"/>
                    <w:right w:val="single" w:sz="6" w:space="0" w:color="auto"/>
                  </w:tcBorders>
                  <w:vAlign w:val="center"/>
                </w:tcPr>
                <w:p w14:paraId="51B92FD9"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486D836E"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2C57E682" w14:textId="77777777" w:rsidR="00F76A63" w:rsidRDefault="00000000">
                  <w:pPr>
                    <w:pStyle w:val="000"/>
                    <w:rPr>
                      <w:rFonts w:eastAsia="仿宋_GB2312"/>
                    </w:rPr>
                  </w:pPr>
                  <w:r>
                    <w:t>锌及其化合物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4332D102" w14:textId="77777777" w:rsidR="00F76A63" w:rsidRDefault="00000000">
                  <w:pPr>
                    <w:pStyle w:val="000"/>
                  </w:pPr>
                  <w:r>
                    <w:t>0.0134</w:t>
                  </w:r>
                </w:p>
              </w:tc>
              <w:tc>
                <w:tcPr>
                  <w:tcW w:w="1027" w:type="pct"/>
                  <w:tcBorders>
                    <w:top w:val="single" w:sz="6" w:space="0" w:color="auto"/>
                    <w:left w:val="single" w:sz="6" w:space="0" w:color="auto"/>
                    <w:bottom w:val="single" w:sz="6" w:space="0" w:color="auto"/>
                    <w:right w:val="single" w:sz="6" w:space="0" w:color="auto"/>
                  </w:tcBorders>
                  <w:vAlign w:val="center"/>
                </w:tcPr>
                <w:p w14:paraId="0F891405" w14:textId="77777777" w:rsidR="00F76A63" w:rsidRDefault="00000000">
                  <w:pPr>
                    <w:pStyle w:val="000"/>
                  </w:pPr>
                  <w:r>
                    <w:t>/</w:t>
                  </w:r>
                </w:p>
              </w:tc>
              <w:tc>
                <w:tcPr>
                  <w:tcW w:w="889" w:type="pct"/>
                  <w:tcBorders>
                    <w:top w:val="single" w:sz="6" w:space="0" w:color="auto"/>
                    <w:left w:val="single" w:sz="6" w:space="0" w:color="auto"/>
                    <w:bottom w:val="single" w:sz="6" w:space="0" w:color="auto"/>
                    <w:right w:val="nil"/>
                  </w:tcBorders>
                  <w:vAlign w:val="center"/>
                </w:tcPr>
                <w:p w14:paraId="18D1B293" w14:textId="77777777" w:rsidR="00F76A63" w:rsidRDefault="00000000">
                  <w:pPr>
                    <w:pStyle w:val="000"/>
                  </w:pPr>
                  <w:r>
                    <w:t>0.1406</w:t>
                  </w:r>
                </w:p>
              </w:tc>
            </w:tr>
            <w:tr w:rsidR="00F76A63" w14:paraId="4BCCC554" w14:textId="77777777">
              <w:trPr>
                <w:trHeight w:val="340"/>
                <w:jc w:val="center"/>
              </w:trPr>
              <w:tc>
                <w:tcPr>
                  <w:tcW w:w="257" w:type="pct"/>
                  <w:vMerge/>
                  <w:tcBorders>
                    <w:left w:val="nil"/>
                    <w:right w:val="single" w:sz="6" w:space="0" w:color="auto"/>
                  </w:tcBorders>
                  <w:vAlign w:val="center"/>
                </w:tcPr>
                <w:p w14:paraId="3B70C6A6"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7081AB4A"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39951FAF" w14:textId="77777777" w:rsidR="00F76A63" w:rsidRDefault="00000000">
                  <w:pPr>
                    <w:pStyle w:val="000"/>
                    <w:rPr>
                      <w:rFonts w:eastAsia="仿宋_GB2312"/>
                    </w:rPr>
                  </w:pPr>
                  <w:r>
                    <w:t>锰及其化合物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28ED4256" w14:textId="77777777" w:rsidR="00F76A63" w:rsidRDefault="00000000">
                  <w:pPr>
                    <w:pStyle w:val="000"/>
                  </w:pPr>
                  <w:r>
                    <w:t>0.0512</w:t>
                  </w:r>
                </w:p>
              </w:tc>
              <w:tc>
                <w:tcPr>
                  <w:tcW w:w="1027" w:type="pct"/>
                  <w:tcBorders>
                    <w:top w:val="single" w:sz="6" w:space="0" w:color="auto"/>
                    <w:left w:val="single" w:sz="6" w:space="0" w:color="auto"/>
                    <w:bottom w:val="single" w:sz="6" w:space="0" w:color="auto"/>
                    <w:right w:val="single" w:sz="6" w:space="0" w:color="auto"/>
                  </w:tcBorders>
                  <w:vAlign w:val="center"/>
                </w:tcPr>
                <w:p w14:paraId="311694D7"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4A58CD67" w14:textId="77777777" w:rsidR="00F76A63" w:rsidRDefault="00000000">
                  <w:pPr>
                    <w:pStyle w:val="000"/>
                  </w:pPr>
                  <w:r>
                    <w:t>0.0512</w:t>
                  </w:r>
                </w:p>
              </w:tc>
            </w:tr>
            <w:tr w:rsidR="00F76A63" w14:paraId="7A312CAA" w14:textId="77777777">
              <w:trPr>
                <w:trHeight w:val="340"/>
                <w:jc w:val="center"/>
              </w:trPr>
              <w:tc>
                <w:tcPr>
                  <w:tcW w:w="257" w:type="pct"/>
                  <w:vMerge/>
                  <w:tcBorders>
                    <w:left w:val="nil"/>
                    <w:right w:val="single" w:sz="6" w:space="0" w:color="auto"/>
                  </w:tcBorders>
                  <w:vAlign w:val="center"/>
                </w:tcPr>
                <w:p w14:paraId="09BB0A5A"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6788C236"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048F6F35" w14:textId="77777777" w:rsidR="00F76A63" w:rsidRDefault="00000000">
                  <w:pPr>
                    <w:pStyle w:val="000"/>
                    <w:rPr>
                      <w:rFonts w:eastAsia="仿宋_GB2312"/>
                    </w:rPr>
                  </w:pPr>
                  <w:r>
                    <w:t>砷及其化合物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0DA9F2B6" w14:textId="77777777" w:rsidR="00F76A63" w:rsidRDefault="00000000">
                  <w:pPr>
                    <w:pStyle w:val="000"/>
                  </w:pPr>
                  <w:r>
                    <w:t>0.0455</w:t>
                  </w:r>
                </w:p>
              </w:tc>
              <w:tc>
                <w:tcPr>
                  <w:tcW w:w="1027" w:type="pct"/>
                  <w:tcBorders>
                    <w:top w:val="single" w:sz="6" w:space="0" w:color="auto"/>
                    <w:left w:val="single" w:sz="6" w:space="0" w:color="auto"/>
                    <w:bottom w:val="single" w:sz="6" w:space="0" w:color="auto"/>
                    <w:right w:val="single" w:sz="6" w:space="0" w:color="auto"/>
                  </w:tcBorders>
                  <w:vAlign w:val="center"/>
                </w:tcPr>
                <w:p w14:paraId="4BD0FB45" w14:textId="77777777" w:rsidR="00F76A63" w:rsidRDefault="00000000">
                  <w:pPr>
                    <w:pStyle w:val="000"/>
                  </w:pPr>
                  <w:r>
                    <w:t>/</w:t>
                  </w:r>
                </w:p>
              </w:tc>
              <w:tc>
                <w:tcPr>
                  <w:tcW w:w="889" w:type="pct"/>
                  <w:tcBorders>
                    <w:top w:val="single" w:sz="6" w:space="0" w:color="auto"/>
                    <w:left w:val="single" w:sz="6" w:space="0" w:color="auto"/>
                    <w:bottom w:val="single" w:sz="6" w:space="0" w:color="auto"/>
                    <w:right w:val="nil"/>
                  </w:tcBorders>
                  <w:vAlign w:val="center"/>
                </w:tcPr>
                <w:p w14:paraId="2B446706" w14:textId="77777777" w:rsidR="00F76A63" w:rsidRDefault="00000000">
                  <w:pPr>
                    <w:pStyle w:val="000"/>
                  </w:pPr>
                  <w:r>
                    <w:t>0.1841</w:t>
                  </w:r>
                </w:p>
              </w:tc>
            </w:tr>
            <w:tr w:rsidR="00F76A63" w14:paraId="4F181C20" w14:textId="77777777">
              <w:trPr>
                <w:trHeight w:val="340"/>
                <w:jc w:val="center"/>
              </w:trPr>
              <w:tc>
                <w:tcPr>
                  <w:tcW w:w="257" w:type="pct"/>
                  <w:vMerge/>
                  <w:tcBorders>
                    <w:left w:val="nil"/>
                    <w:right w:val="single" w:sz="6" w:space="0" w:color="auto"/>
                  </w:tcBorders>
                  <w:vAlign w:val="center"/>
                </w:tcPr>
                <w:p w14:paraId="4B8B6DA5"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3EFA1E65"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1C6CDF29" w14:textId="77777777" w:rsidR="00F76A63" w:rsidRDefault="00000000">
                  <w:pPr>
                    <w:pStyle w:val="000"/>
                    <w:rPr>
                      <w:rFonts w:eastAsia="仿宋_GB2312"/>
                    </w:rPr>
                  </w:pPr>
                  <w:r>
                    <w:t>锡及其化合物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17B9F2E7" w14:textId="77777777" w:rsidR="00F76A63" w:rsidRDefault="00000000">
                  <w:pPr>
                    <w:pStyle w:val="000"/>
                  </w:pPr>
                  <w:r>
                    <w:t>0.0574</w:t>
                  </w:r>
                </w:p>
              </w:tc>
              <w:tc>
                <w:tcPr>
                  <w:tcW w:w="1027" w:type="pct"/>
                  <w:tcBorders>
                    <w:top w:val="single" w:sz="6" w:space="0" w:color="auto"/>
                    <w:left w:val="single" w:sz="6" w:space="0" w:color="auto"/>
                    <w:bottom w:val="single" w:sz="6" w:space="0" w:color="auto"/>
                    <w:right w:val="single" w:sz="6" w:space="0" w:color="auto"/>
                  </w:tcBorders>
                  <w:vAlign w:val="center"/>
                </w:tcPr>
                <w:p w14:paraId="53A83493"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76F5CF21" w14:textId="77777777" w:rsidR="00F76A63" w:rsidRDefault="00000000">
                  <w:pPr>
                    <w:pStyle w:val="000"/>
                  </w:pPr>
                  <w:r>
                    <w:t>0.0194</w:t>
                  </w:r>
                </w:p>
              </w:tc>
            </w:tr>
            <w:tr w:rsidR="00F76A63" w14:paraId="2174A08F" w14:textId="77777777">
              <w:trPr>
                <w:trHeight w:val="340"/>
                <w:jc w:val="center"/>
              </w:trPr>
              <w:tc>
                <w:tcPr>
                  <w:tcW w:w="257" w:type="pct"/>
                  <w:vMerge/>
                  <w:tcBorders>
                    <w:left w:val="nil"/>
                    <w:right w:val="single" w:sz="6" w:space="0" w:color="auto"/>
                  </w:tcBorders>
                  <w:vAlign w:val="center"/>
                </w:tcPr>
                <w:p w14:paraId="6AFBCA45"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588BA051"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7F9228F3" w14:textId="77777777" w:rsidR="00F76A63" w:rsidRDefault="00000000">
                  <w:pPr>
                    <w:pStyle w:val="000"/>
                    <w:rPr>
                      <w:rFonts w:eastAsia="仿宋_GB2312"/>
                    </w:rPr>
                  </w:pPr>
                  <w:r>
                    <w:t>铊及其化合物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2539F734" w14:textId="77777777" w:rsidR="00F76A63" w:rsidRDefault="00000000">
                  <w:pPr>
                    <w:pStyle w:val="000"/>
                  </w:pPr>
                  <w:r>
                    <w:t>0.0134</w:t>
                  </w:r>
                </w:p>
              </w:tc>
              <w:tc>
                <w:tcPr>
                  <w:tcW w:w="1027" w:type="pct"/>
                  <w:tcBorders>
                    <w:top w:val="single" w:sz="6" w:space="0" w:color="auto"/>
                    <w:left w:val="single" w:sz="6" w:space="0" w:color="auto"/>
                    <w:bottom w:val="single" w:sz="6" w:space="0" w:color="auto"/>
                    <w:right w:val="single" w:sz="6" w:space="0" w:color="auto"/>
                  </w:tcBorders>
                  <w:vAlign w:val="center"/>
                </w:tcPr>
                <w:p w14:paraId="3BCD425C"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4C778D4D" w14:textId="77777777" w:rsidR="00F76A63" w:rsidRDefault="00000000">
                  <w:pPr>
                    <w:pStyle w:val="000"/>
                  </w:pPr>
                  <w:r>
                    <w:t>0.0019</w:t>
                  </w:r>
                </w:p>
              </w:tc>
            </w:tr>
            <w:tr w:rsidR="00F76A63" w14:paraId="75F5009F" w14:textId="77777777">
              <w:trPr>
                <w:trHeight w:val="340"/>
                <w:jc w:val="center"/>
              </w:trPr>
              <w:tc>
                <w:tcPr>
                  <w:tcW w:w="257" w:type="pct"/>
                  <w:vMerge/>
                  <w:tcBorders>
                    <w:left w:val="nil"/>
                    <w:right w:val="single" w:sz="6" w:space="0" w:color="auto"/>
                  </w:tcBorders>
                  <w:vAlign w:val="center"/>
                </w:tcPr>
                <w:p w14:paraId="124062C5"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4B19EAB8"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3C4E75CD" w14:textId="77777777" w:rsidR="00F76A63" w:rsidRDefault="00000000">
                  <w:pPr>
                    <w:pStyle w:val="000"/>
                    <w:rPr>
                      <w:rFonts w:eastAsia="仿宋_GB2312"/>
                    </w:rPr>
                  </w:pPr>
                  <w:r>
                    <w:t>锑及其化合物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290A14F6" w14:textId="77777777" w:rsidR="00F76A63" w:rsidRDefault="00000000">
                  <w:pPr>
                    <w:pStyle w:val="000"/>
                  </w:pPr>
                  <w:r>
                    <w:t>0.1406</w:t>
                  </w:r>
                </w:p>
              </w:tc>
              <w:tc>
                <w:tcPr>
                  <w:tcW w:w="1027" w:type="pct"/>
                  <w:tcBorders>
                    <w:top w:val="single" w:sz="6" w:space="0" w:color="auto"/>
                    <w:left w:val="single" w:sz="6" w:space="0" w:color="auto"/>
                    <w:bottom w:val="single" w:sz="6" w:space="0" w:color="auto"/>
                    <w:right w:val="single" w:sz="6" w:space="0" w:color="auto"/>
                  </w:tcBorders>
                  <w:vAlign w:val="center"/>
                </w:tcPr>
                <w:p w14:paraId="02D2F2E5" w14:textId="77777777" w:rsidR="00F76A63" w:rsidRDefault="00000000">
                  <w:pPr>
                    <w:pStyle w:val="000"/>
                    <w:rPr>
                      <w:rFonts w:eastAsia="仿宋_GB2312"/>
                    </w:rPr>
                  </w:pPr>
                  <w:r>
                    <w:t>/</w:t>
                  </w:r>
                </w:p>
              </w:tc>
              <w:tc>
                <w:tcPr>
                  <w:tcW w:w="889" w:type="pct"/>
                  <w:tcBorders>
                    <w:top w:val="single" w:sz="6" w:space="0" w:color="auto"/>
                    <w:left w:val="single" w:sz="6" w:space="0" w:color="auto"/>
                    <w:bottom w:val="single" w:sz="6" w:space="0" w:color="auto"/>
                    <w:right w:val="nil"/>
                  </w:tcBorders>
                  <w:vAlign w:val="center"/>
                </w:tcPr>
                <w:p w14:paraId="71BCE047" w14:textId="77777777" w:rsidR="00F76A63" w:rsidRDefault="00000000">
                  <w:pPr>
                    <w:pStyle w:val="000"/>
                  </w:pPr>
                  <w:r>
                    <w:t>0.4121</w:t>
                  </w:r>
                </w:p>
              </w:tc>
            </w:tr>
            <w:tr w:rsidR="00F76A63" w14:paraId="25613F44" w14:textId="77777777">
              <w:trPr>
                <w:trHeight w:val="340"/>
                <w:jc w:val="center"/>
              </w:trPr>
              <w:tc>
                <w:tcPr>
                  <w:tcW w:w="257" w:type="pct"/>
                  <w:vMerge/>
                  <w:tcBorders>
                    <w:left w:val="nil"/>
                    <w:right w:val="single" w:sz="6" w:space="0" w:color="auto"/>
                  </w:tcBorders>
                  <w:vAlign w:val="center"/>
                </w:tcPr>
                <w:p w14:paraId="5325DC35"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6E7DAE40"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6692B4A6" w14:textId="77777777" w:rsidR="00F76A63" w:rsidRDefault="00000000">
                  <w:pPr>
                    <w:pStyle w:val="000"/>
                    <w:rPr>
                      <w:rFonts w:eastAsia="仿宋_GB2312"/>
                    </w:rPr>
                  </w:pPr>
                  <w:r>
                    <w:t>钒及其化合物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2529379F" w14:textId="77777777" w:rsidR="00F76A63" w:rsidRDefault="00000000">
                  <w:pPr>
                    <w:pStyle w:val="000"/>
                  </w:pPr>
                  <w:r>
                    <w:t>0.0171</w:t>
                  </w:r>
                </w:p>
              </w:tc>
              <w:tc>
                <w:tcPr>
                  <w:tcW w:w="1027" w:type="pct"/>
                  <w:tcBorders>
                    <w:top w:val="single" w:sz="6" w:space="0" w:color="auto"/>
                    <w:left w:val="single" w:sz="6" w:space="0" w:color="auto"/>
                    <w:bottom w:val="single" w:sz="6" w:space="0" w:color="auto"/>
                    <w:right w:val="single" w:sz="6" w:space="0" w:color="auto"/>
                  </w:tcBorders>
                  <w:vAlign w:val="center"/>
                </w:tcPr>
                <w:p w14:paraId="39479725" w14:textId="77777777" w:rsidR="00F76A63" w:rsidRDefault="00000000">
                  <w:pPr>
                    <w:pStyle w:val="000"/>
                  </w:pPr>
                  <w:r>
                    <w:t>/</w:t>
                  </w:r>
                </w:p>
              </w:tc>
              <w:tc>
                <w:tcPr>
                  <w:tcW w:w="889" w:type="pct"/>
                  <w:tcBorders>
                    <w:top w:val="single" w:sz="6" w:space="0" w:color="auto"/>
                    <w:left w:val="single" w:sz="6" w:space="0" w:color="auto"/>
                    <w:bottom w:val="single" w:sz="6" w:space="0" w:color="auto"/>
                    <w:right w:val="nil"/>
                  </w:tcBorders>
                  <w:vAlign w:val="center"/>
                </w:tcPr>
                <w:p w14:paraId="0A7E2BC1" w14:textId="77777777" w:rsidR="00F76A63" w:rsidRDefault="00000000">
                  <w:pPr>
                    <w:pStyle w:val="000"/>
                  </w:pPr>
                  <w:r>
                    <w:t>0.0574</w:t>
                  </w:r>
                </w:p>
              </w:tc>
            </w:tr>
            <w:tr w:rsidR="00F76A63" w14:paraId="735D465E" w14:textId="77777777">
              <w:trPr>
                <w:trHeight w:val="340"/>
                <w:jc w:val="center"/>
              </w:trPr>
              <w:tc>
                <w:tcPr>
                  <w:tcW w:w="257" w:type="pct"/>
                  <w:vMerge/>
                  <w:tcBorders>
                    <w:left w:val="nil"/>
                    <w:right w:val="single" w:sz="6" w:space="0" w:color="auto"/>
                  </w:tcBorders>
                  <w:vAlign w:val="center"/>
                </w:tcPr>
                <w:p w14:paraId="1EC4D75E"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0086E574"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521D3E60" w14:textId="77777777" w:rsidR="00F76A63" w:rsidRDefault="00000000">
                  <w:pPr>
                    <w:pStyle w:val="000"/>
                    <w:rPr>
                      <w:rFonts w:eastAsia="仿宋_GB2312"/>
                    </w:rPr>
                  </w:pPr>
                  <w:r>
                    <w:t>钼及其化合物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46EEBB4C" w14:textId="77777777" w:rsidR="00F76A63" w:rsidRDefault="00000000">
                  <w:pPr>
                    <w:pStyle w:val="000"/>
                  </w:pPr>
                  <w:r>
                    <w:t>0.3258</w:t>
                  </w:r>
                </w:p>
              </w:tc>
              <w:tc>
                <w:tcPr>
                  <w:tcW w:w="1027" w:type="pct"/>
                  <w:tcBorders>
                    <w:top w:val="single" w:sz="6" w:space="0" w:color="auto"/>
                    <w:left w:val="single" w:sz="6" w:space="0" w:color="auto"/>
                    <w:bottom w:val="single" w:sz="6" w:space="0" w:color="auto"/>
                    <w:right w:val="single" w:sz="6" w:space="0" w:color="auto"/>
                  </w:tcBorders>
                  <w:vAlign w:val="center"/>
                </w:tcPr>
                <w:p w14:paraId="4F94306B" w14:textId="77777777" w:rsidR="00F76A63" w:rsidRDefault="00000000">
                  <w:pPr>
                    <w:pStyle w:val="000"/>
                  </w:pPr>
                  <w:r>
                    <w:t>/</w:t>
                  </w:r>
                </w:p>
              </w:tc>
              <w:tc>
                <w:tcPr>
                  <w:tcW w:w="889" w:type="pct"/>
                  <w:tcBorders>
                    <w:top w:val="single" w:sz="6" w:space="0" w:color="auto"/>
                    <w:left w:val="single" w:sz="6" w:space="0" w:color="auto"/>
                    <w:bottom w:val="single" w:sz="6" w:space="0" w:color="auto"/>
                    <w:right w:val="nil"/>
                  </w:tcBorders>
                  <w:vAlign w:val="center"/>
                </w:tcPr>
                <w:p w14:paraId="03126299" w14:textId="77777777" w:rsidR="00F76A63" w:rsidRDefault="00000000">
                  <w:pPr>
                    <w:pStyle w:val="000"/>
                  </w:pPr>
                  <w:r>
                    <w:t>0.0171</w:t>
                  </w:r>
                </w:p>
              </w:tc>
            </w:tr>
            <w:tr w:rsidR="00F76A63" w14:paraId="1D30E24E" w14:textId="77777777">
              <w:trPr>
                <w:trHeight w:val="340"/>
                <w:jc w:val="center"/>
              </w:trPr>
              <w:tc>
                <w:tcPr>
                  <w:tcW w:w="257" w:type="pct"/>
                  <w:vMerge/>
                  <w:tcBorders>
                    <w:left w:val="nil"/>
                    <w:right w:val="single" w:sz="6" w:space="0" w:color="auto"/>
                  </w:tcBorders>
                  <w:vAlign w:val="center"/>
                </w:tcPr>
                <w:p w14:paraId="5C618C98"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255B8B25"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43F5E1CF" w14:textId="77777777" w:rsidR="00F76A63" w:rsidRDefault="00000000">
                  <w:pPr>
                    <w:pStyle w:val="000"/>
                    <w:rPr>
                      <w:rFonts w:eastAsia="仿宋_GB2312"/>
                    </w:rPr>
                  </w:pPr>
                  <w:r>
                    <w:t>钴及其化合物</w:t>
                  </w:r>
                </w:p>
              </w:tc>
              <w:tc>
                <w:tcPr>
                  <w:tcW w:w="1279" w:type="pct"/>
                  <w:tcBorders>
                    <w:top w:val="single" w:sz="6" w:space="0" w:color="auto"/>
                    <w:left w:val="single" w:sz="6" w:space="0" w:color="auto"/>
                    <w:bottom w:val="single" w:sz="6" w:space="0" w:color="auto"/>
                    <w:right w:val="single" w:sz="6" w:space="0" w:color="auto"/>
                  </w:tcBorders>
                  <w:vAlign w:val="center"/>
                </w:tcPr>
                <w:p w14:paraId="4AE49418" w14:textId="77777777" w:rsidR="00F76A63" w:rsidRDefault="00000000">
                  <w:pPr>
                    <w:pStyle w:val="000"/>
                  </w:pPr>
                  <w:r>
                    <w:t>0.6232</w:t>
                  </w:r>
                </w:p>
              </w:tc>
              <w:tc>
                <w:tcPr>
                  <w:tcW w:w="1027" w:type="pct"/>
                  <w:tcBorders>
                    <w:top w:val="single" w:sz="6" w:space="0" w:color="auto"/>
                    <w:left w:val="single" w:sz="6" w:space="0" w:color="auto"/>
                    <w:bottom w:val="single" w:sz="6" w:space="0" w:color="auto"/>
                    <w:right w:val="single" w:sz="6" w:space="0" w:color="auto"/>
                  </w:tcBorders>
                  <w:vAlign w:val="center"/>
                </w:tcPr>
                <w:p w14:paraId="3E124B03" w14:textId="77777777" w:rsidR="00F76A63" w:rsidRDefault="00F76A63">
                  <w:pPr>
                    <w:pStyle w:val="000"/>
                  </w:pPr>
                </w:p>
              </w:tc>
              <w:tc>
                <w:tcPr>
                  <w:tcW w:w="889" w:type="pct"/>
                  <w:tcBorders>
                    <w:top w:val="single" w:sz="6" w:space="0" w:color="auto"/>
                    <w:left w:val="single" w:sz="6" w:space="0" w:color="auto"/>
                    <w:bottom w:val="single" w:sz="6" w:space="0" w:color="auto"/>
                    <w:right w:val="nil"/>
                  </w:tcBorders>
                  <w:vAlign w:val="center"/>
                </w:tcPr>
                <w:p w14:paraId="5ED49A50" w14:textId="77777777" w:rsidR="00F76A63" w:rsidRDefault="00000000">
                  <w:pPr>
                    <w:pStyle w:val="000"/>
                    <w:rPr>
                      <w:rFonts w:eastAsia="仿宋_GB2312"/>
                    </w:rPr>
                  </w:pPr>
                  <w:r>
                    <w:t>0.0134</w:t>
                  </w:r>
                </w:p>
              </w:tc>
            </w:tr>
            <w:tr w:rsidR="00F76A63" w14:paraId="2531EE4A" w14:textId="77777777">
              <w:trPr>
                <w:trHeight w:val="340"/>
                <w:jc w:val="center"/>
              </w:trPr>
              <w:tc>
                <w:tcPr>
                  <w:tcW w:w="257" w:type="pct"/>
                  <w:vMerge/>
                  <w:tcBorders>
                    <w:left w:val="nil"/>
                    <w:right w:val="single" w:sz="6" w:space="0" w:color="auto"/>
                  </w:tcBorders>
                  <w:vAlign w:val="center"/>
                </w:tcPr>
                <w:p w14:paraId="77668BBF" w14:textId="77777777" w:rsidR="00F76A63" w:rsidRDefault="00F76A63">
                  <w:pPr>
                    <w:jc w:val="center"/>
                    <w:rPr>
                      <w:rFonts w:eastAsia="仿宋_GB2312"/>
                      <w:bCs/>
                      <w:kern w:val="28"/>
                      <w:szCs w:val="21"/>
                    </w:rPr>
                  </w:pPr>
                </w:p>
              </w:tc>
              <w:tc>
                <w:tcPr>
                  <w:tcW w:w="257" w:type="pct"/>
                  <w:vMerge/>
                  <w:tcBorders>
                    <w:top w:val="single" w:sz="6" w:space="0" w:color="auto"/>
                    <w:left w:val="single" w:sz="6" w:space="0" w:color="auto"/>
                    <w:bottom w:val="single" w:sz="6" w:space="0" w:color="auto"/>
                    <w:right w:val="single" w:sz="6" w:space="0" w:color="auto"/>
                  </w:tcBorders>
                  <w:vAlign w:val="center"/>
                </w:tcPr>
                <w:p w14:paraId="340C0E2E"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4D88D4D9" w14:textId="77777777" w:rsidR="00F76A63" w:rsidRDefault="00000000">
                  <w:pPr>
                    <w:pStyle w:val="000"/>
                  </w:pPr>
                  <w:r>
                    <w:t>二噁英（</w:t>
                  </w:r>
                  <w:r>
                    <w:t>mgTEQ/a</w:t>
                  </w:r>
                  <w:r>
                    <w:t>）</w:t>
                  </w:r>
                </w:p>
              </w:tc>
              <w:tc>
                <w:tcPr>
                  <w:tcW w:w="1279" w:type="pct"/>
                  <w:tcBorders>
                    <w:top w:val="single" w:sz="6" w:space="0" w:color="auto"/>
                    <w:left w:val="single" w:sz="6" w:space="0" w:color="auto"/>
                    <w:bottom w:val="single" w:sz="6" w:space="0" w:color="auto"/>
                    <w:right w:val="single" w:sz="6" w:space="0" w:color="auto"/>
                  </w:tcBorders>
                  <w:vAlign w:val="center"/>
                </w:tcPr>
                <w:p w14:paraId="155A7661" w14:textId="77777777" w:rsidR="00F76A63" w:rsidRDefault="00000000">
                  <w:pPr>
                    <w:pStyle w:val="000"/>
                  </w:pPr>
                  <w:r>
                    <w:t>985</w:t>
                  </w:r>
                </w:p>
              </w:tc>
              <w:tc>
                <w:tcPr>
                  <w:tcW w:w="1027" w:type="pct"/>
                  <w:tcBorders>
                    <w:top w:val="single" w:sz="6" w:space="0" w:color="auto"/>
                    <w:left w:val="single" w:sz="6" w:space="0" w:color="auto"/>
                    <w:bottom w:val="single" w:sz="6" w:space="0" w:color="auto"/>
                    <w:right w:val="single" w:sz="6" w:space="0" w:color="auto"/>
                  </w:tcBorders>
                  <w:vAlign w:val="center"/>
                </w:tcPr>
                <w:p w14:paraId="4A7C3025" w14:textId="77777777" w:rsidR="00F76A63" w:rsidRDefault="00000000">
                  <w:pPr>
                    <w:pStyle w:val="000"/>
                    <w:rPr>
                      <w:rFonts w:eastAsia="仿宋_GB2312"/>
                    </w:rPr>
                  </w:pPr>
                  <w:r>
                    <w:t>0.1ng-TEQ/m</w:t>
                  </w:r>
                  <w:r>
                    <w:rPr>
                      <w:vertAlign w:val="superscript"/>
                    </w:rPr>
                    <w:t>3</w:t>
                  </w:r>
                </w:p>
              </w:tc>
              <w:tc>
                <w:tcPr>
                  <w:tcW w:w="889" w:type="pct"/>
                  <w:tcBorders>
                    <w:top w:val="single" w:sz="6" w:space="0" w:color="auto"/>
                    <w:left w:val="single" w:sz="6" w:space="0" w:color="auto"/>
                    <w:bottom w:val="single" w:sz="6" w:space="0" w:color="auto"/>
                    <w:right w:val="nil"/>
                  </w:tcBorders>
                  <w:vAlign w:val="center"/>
                </w:tcPr>
                <w:p w14:paraId="194FCB2B" w14:textId="77777777" w:rsidR="00F76A63" w:rsidRDefault="00000000">
                  <w:pPr>
                    <w:pStyle w:val="000"/>
                  </w:pPr>
                  <w:r>
                    <w:t>985</w:t>
                  </w:r>
                </w:p>
              </w:tc>
            </w:tr>
            <w:tr w:rsidR="00F76A63" w14:paraId="2888C1C3" w14:textId="77777777">
              <w:trPr>
                <w:trHeight w:val="340"/>
                <w:jc w:val="center"/>
              </w:trPr>
              <w:tc>
                <w:tcPr>
                  <w:tcW w:w="257" w:type="pct"/>
                  <w:vMerge/>
                  <w:tcBorders>
                    <w:left w:val="nil"/>
                    <w:right w:val="single" w:sz="6" w:space="0" w:color="auto"/>
                  </w:tcBorders>
                  <w:vAlign w:val="center"/>
                </w:tcPr>
                <w:p w14:paraId="078F532B" w14:textId="77777777" w:rsidR="00F76A63" w:rsidRDefault="00F76A63">
                  <w:pPr>
                    <w:jc w:val="center"/>
                    <w:rPr>
                      <w:rFonts w:eastAsia="仿宋_GB2312"/>
                      <w:bCs/>
                      <w:kern w:val="28"/>
                      <w:szCs w:val="21"/>
                    </w:rPr>
                  </w:pPr>
                </w:p>
              </w:tc>
              <w:tc>
                <w:tcPr>
                  <w:tcW w:w="257" w:type="pct"/>
                  <w:vMerge w:val="restart"/>
                  <w:tcBorders>
                    <w:top w:val="single" w:sz="6" w:space="0" w:color="auto"/>
                    <w:left w:val="single" w:sz="6" w:space="0" w:color="auto"/>
                    <w:right w:val="single" w:sz="6" w:space="0" w:color="auto"/>
                  </w:tcBorders>
                  <w:vAlign w:val="center"/>
                </w:tcPr>
                <w:p w14:paraId="20765AA3" w14:textId="77777777" w:rsidR="00F76A63" w:rsidRDefault="00000000">
                  <w:pPr>
                    <w:pStyle w:val="000"/>
                    <w:rPr>
                      <w:rFonts w:eastAsia="仿宋_GB2312"/>
                    </w:rPr>
                  </w:pPr>
                  <w:r>
                    <w:t>无组织</w:t>
                  </w:r>
                </w:p>
              </w:tc>
              <w:tc>
                <w:tcPr>
                  <w:tcW w:w="1291" w:type="pct"/>
                  <w:tcBorders>
                    <w:top w:val="single" w:sz="6" w:space="0" w:color="auto"/>
                    <w:left w:val="single" w:sz="6" w:space="0" w:color="auto"/>
                    <w:bottom w:val="single" w:sz="6" w:space="0" w:color="auto"/>
                    <w:right w:val="single" w:sz="6" w:space="0" w:color="auto"/>
                  </w:tcBorders>
                  <w:vAlign w:val="center"/>
                </w:tcPr>
                <w:p w14:paraId="777FD3A9" w14:textId="77777777" w:rsidR="00F76A63" w:rsidRDefault="00000000">
                  <w:pPr>
                    <w:pStyle w:val="000"/>
                  </w:pPr>
                  <w:r>
                    <w:t>颗粒物</w:t>
                  </w:r>
                </w:p>
              </w:tc>
              <w:tc>
                <w:tcPr>
                  <w:tcW w:w="1279" w:type="pct"/>
                  <w:tcBorders>
                    <w:top w:val="single" w:sz="6" w:space="0" w:color="auto"/>
                    <w:left w:val="single" w:sz="6" w:space="0" w:color="auto"/>
                    <w:bottom w:val="single" w:sz="6" w:space="0" w:color="auto"/>
                    <w:right w:val="single" w:sz="6" w:space="0" w:color="auto"/>
                  </w:tcBorders>
                  <w:vAlign w:val="center"/>
                </w:tcPr>
                <w:p w14:paraId="7DE8004A" w14:textId="77777777" w:rsidR="00F76A63" w:rsidRDefault="00000000">
                  <w:pPr>
                    <w:pStyle w:val="000"/>
                  </w:pPr>
                  <w:r>
                    <w:t>0.885</w:t>
                  </w:r>
                </w:p>
              </w:tc>
              <w:tc>
                <w:tcPr>
                  <w:tcW w:w="1027" w:type="pct"/>
                  <w:tcBorders>
                    <w:top w:val="single" w:sz="6" w:space="0" w:color="auto"/>
                    <w:left w:val="single" w:sz="6" w:space="0" w:color="auto"/>
                    <w:bottom w:val="single" w:sz="6" w:space="0" w:color="auto"/>
                    <w:right w:val="single" w:sz="6" w:space="0" w:color="auto"/>
                  </w:tcBorders>
                  <w:vAlign w:val="center"/>
                </w:tcPr>
                <w:p w14:paraId="48600780" w14:textId="77777777" w:rsidR="00F76A63" w:rsidRDefault="00000000">
                  <w:pPr>
                    <w:pStyle w:val="000"/>
                  </w:pPr>
                  <w:r>
                    <w:t>/</w:t>
                  </w:r>
                </w:p>
              </w:tc>
              <w:tc>
                <w:tcPr>
                  <w:tcW w:w="889" w:type="pct"/>
                  <w:tcBorders>
                    <w:top w:val="single" w:sz="6" w:space="0" w:color="auto"/>
                    <w:left w:val="single" w:sz="6" w:space="0" w:color="auto"/>
                    <w:bottom w:val="single" w:sz="6" w:space="0" w:color="auto"/>
                    <w:right w:val="nil"/>
                  </w:tcBorders>
                  <w:vAlign w:val="center"/>
                </w:tcPr>
                <w:p w14:paraId="270C93A4" w14:textId="77777777" w:rsidR="00F76A63" w:rsidRDefault="00000000">
                  <w:pPr>
                    <w:pStyle w:val="000"/>
                    <w:rPr>
                      <w:rFonts w:eastAsia="仿宋_GB2312"/>
                    </w:rPr>
                  </w:pPr>
                  <w:r>
                    <w:t>1.20</w:t>
                  </w:r>
                </w:p>
              </w:tc>
            </w:tr>
            <w:tr w:rsidR="00F76A63" w14:paraId="4043BD89" w14:textId="77777777">
              <w:trPr>
                <w:trHeight w:val="340"/>
                <w:jc w:val="center"/>
              </w:trPr>
              <w:tc>
                <w:tcPr>
                  <w:tcW w:w="257" w:type="pct"/>
                  <w:vMerge/>
                  <w:tcBorders>
                    <w:left w:val="nil"/>
                    <w:right w:val="single" w:sz="6" w:space="0" w:color="auto"/>
                  </w:tcBorders>
                  <w:vAlign w:val="center"/>
                </w:tcPr>
                <w:p w14:paraId="217E1EBF" w14:textId="77777777" w:rsidR="00F76A63" w:rsidRDefault="00F76A63">
                  <w:pPr>
                    <w:jc w:val="center"/>
                    <w:rPr>
                      <w:rFonts w:eastAsia="仿宋_GB2312"/>
                      <w:bCs/>
                      <w:kern w:val="28"/>
                      <w:szCs w:val="21"/>
                    </w:rPr>
                  </w:pPr>
                </w:p>
              </w:tc>
              <w:tc>
                <w:tcPr>
                  <w:tcW w:w="257" w:type="pct"/>
                  <w:vMerge/>
                  <w:tcBorders>
                    <w:left w:val="single" w:sz="6" w:space="0" w:color="auto"/>
                    <w:right w:val="single" w:sz="6" w:space="0" w:color="auto"/>
                  </w:tcBorders>
                  <w:vAlign w:val="center"/>
                </w:tcPr>
                <w:p w14:paraId="7E6E551B"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69C3F733" w14:textId="77777777" w:rsidR="00F76A63" w:rsidRDefault="00000000">
                  <w:pPr>
                    <w:pStyle w:val="000"/>
                  </w:pPr>
                  <w:r>
                    <w:t>氨</w:t>
                  </w:r>
                </w:p>
              </w:tc>
              <w:tc>
                <w:tcPr>
                  <w:tcW w:w="1279" w:type="pct"/>
                  <w:tcBorders>
                    <w:top w:val="single" w:sz="6" w:space="0" w:color="auto"/>
                    <w:left w:val="single" w:sz="6" w:space="0" w:color="auto"/>
                    <w:bottom w:val="single" w:sz="6" w:space="0" w:color="auto"/>
                    <w:right w:val="single" w:sz="6" w:space="0" w:color="auto"/>
                  </w:tcBorders>
                  <w:vAlign w:val="center"/>
                </w:tcPr>
                <w:p w14:paraId="1DEF4C40" w14:textId="77777777" w:rsidR="00F76A63" w:rsidRDefault="00000000">
                  <w:pPr>
                    <w:pStyle w:val="000"/>
                  </w:pPr>
                  <w:r>
                    <w:t>0.686</w:t>
                  </w:r>
                </w:p>
              </w:tc>
              <w:tc>
                <w:tcPr>
                  <w:tcW w:w="1027" w:type="pct"/>
                  <w:tcBorders>
                    <w:top w:val="single" w:sz="6" w:space="0" w:color="auto"/>
                    <w:left w:val="single" w:sz="6" w:space="0" w:color="auto"/>
                    <w:bottom w:val="single" w:sz="6" w:space="0" w:color="auto"/>
                    <w:right w:val="single" w:sz="6" w:space="0" w:color="auto"/>
                  </w:tcBorders>
                  <w:vAlign w:val="center"/>
                </w:tcPr>
                <w:p w14:paraId="004CFC3C" w14:textId="77777777" w:rsidR="00F76A63" w:rsidRDefault="00000000">
                  <w:pPr>
                    <w:pStyle w:val="000"/>
                  </w:pPr>
                  <w:r>
                    <w:t>/</w:t>
                  </w:r>
                </w:p>
              </w:tc>
              <w:tc>
                <w:tcPr>
                  <w:tcW w:w="889" w:type="pct"/>
                  <w:tcBorders>
                    <w:top w:val="single" w:sz="6" w:space="0" w:color="auto"/>
                    <w:left w:val="single" w:sz="6" w:space="0" w:color="auto"/>
                    <w:bottom w:val="single" w:sz="6" w:space="0" w:color="auto"/>
                    <w:right w:val="nil"/>
                  </w:tcBorders>
                  <w:vAlign w:val="center"/>
                </w:tcPr>
                <w:p w14:paraId="24753A21" w14:textId="77777777" w:rsidR="00F76A63" w:rsidRDefault="00000000">
                  <w:pPr>
                    <w:pStyle w:val="000"/>
                    <w:rPr>
                      <w:rFonts w:eastAsia="仿宋_GB2312"/>
                    </w:rPr>
                  </w:pPr>
                  <w:r>
                    <w:t>0.08</w:t>
                  </w:r>
                </w:p>
              </w:tc>
            </w:tr>
            <w:tr w:rsidR="00F76A63" w14:paraId="53A5F5D8" w14:textId="77777777">
              <w:trPr>
                <w:trHeight w:val="340"/>
                <w:jc w:val="center"/>
              </w:trPr>
              <w:tc>
                <w:tcPr>
                  <w:tcW w:w="257" w:type="pct"/>
                  <w:vMerge/>
                  <w:tcBorders>
                    <w:left w:val="nil"/>
                    <w:right w:val="single" w:sz="6" w:space="0" w:color="auto"/>
                  </w:tcBorders>
                  <w:vAlign w:val="center"/>
                </w:tcPr>
                <w:p w14:paraId="01CB05D1" w14:textId="77777777" w:rsidR="00F76A63" w:rsidRDefault="00F76A63">
                  <w:pPr>
                    <w:jc w:val="center"/>
                    <w:rPr>
                      <w:rFonts w:eastAsia="仿宋_GB2312"/>
                      <w:bCs/>
                      <w:kern w:val="28"/>
                      <w:szCs w:val="21"/>
                    </w:rPr>
                  </w:pPr>
                </w:p>
              </w:tc>
              <w:tc>
                <w:tcPr>
                  <w:tcW w:w="257" w:type="pct"/>
                  <w:vMerge/>
                  <w:tcBorders>
                    <w:left w:val="single" w:sz="6" w:space="0" w:color="auto"/>
                    <w:right w:val="single" w:sz="6" w:space="0" w:color="auto"/>
                  </w:tcBorders>
                  <w:vAlign w:val="center"/>
                </w:tcPr>
                <w:p w14:paraId="64AADC9E"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09DE945D" w14:textId="77777777" w:rsidR="00F76A63" w:rsidRDefault="00000000">
                  <w:pPr>
                    <w:pStyle w:val="000"/>
                  </w:pPr>
                  <w:r>
                    <w:t>硫化氢</w:t>
                  </w:r>
                </w:p>
              </w:tc>
              <w:tc>
                <w:tcPr>
                  <w:tcW w:w="1279" w:type="pct"/>
                  <w:tcBorders>
                    <w:top w:val="single" w:sz="6" w:space="0" w:color="auto"/>
                    <w:left w:val="single" w:sz="6" w:space="0" w:color="auto"/>
                    <w:bottom w:val="single" w:sz="6" w:space="0" w:color="auto"/>
                    <w:right w:val="single" w:sz="6" w:space="0" w:color="auto"/>
                  </w:tcBorders>
                  <w:vAlign w:val="center"/>
                </w:tcPr>
                <w:p w14:paraId="3AEE5AAC" w14:textId="77777777" w:rsidR="00F76A63" w:rsidRDefault="00000000">
                  <w:pPr>
                    <w:pStyle w:val="000"/>
                  </w:pPr>
                  <w:r>
                    <w:t>0.094</w:t>
                  </w:r>
                </w:p>
              </w:tc>
              <w:tc>
                <w:tcPr>
                  <w:tcW w:w="1027" w:type="pct"/>
                  <w:tcBorders>
                    <w:top w:val="single" w:sz="6" w:space="0" w:color="auto"/>
                    <w:left w:val="single" w:sz="6" w:space="0" w:color="auto"/>
                    <w:bottom w:val="single" w:sz="6" w:space="0" w:color="auto"/>
                    <w:right w:val="single" w:sz="6" w:space="0" w:color="auto"/>
                  </w:tcBorders>
                  <w:vAlign w:val="center"/>
                </w:tcPr>
                <w:p w14:paraId="65195CBD" w14:textId="77777777" w:rsidR="00F76A63" w:rsidRDefault="00000000">
                  <w:pPr>
                    <w:pStyle w:val="000"/>
                  </w:pPr>
                  <w:r>
                    <w:t>/</w:t>
                  </w:r>
                </w:p>
              </w:tc>
              <w:tc>
                <w:tcPr>
                  <w:tcW w:w="889" w:type="pct"/>
                  <w:tcBorders>
                    <w:top w:val="single" w:sz="6" w:space="0" w:color="auto"/>
                    <w:left w:val="single" w:sz="6" w:space="0" w:color="auto"/>
                    <w:bottom w:val="single" w:sz="6" w:space="0" w:color="auto"/>
                    <w:right w:val="nil"/>
                  </w:tcBorders>
                  <w:vAlign w:val="center"/>
                </w:tcPr>
                <w:p w14:paraId="190799DA" w14:textId="77777777" w:rsidR="00F76A63" w:rsidRDefault="00000000">
                  <w:pPr>
                    <w:pStyle w:val="000"/>
                    <w:rPr>
                      <w:rFonts w:eastAsia="仿宋_GB2312"/>
                    </w:rPr>
                  </w:pPr>
                  <w:r>
                    <w:t>0.032</w:t>
                  </w:r>
                </w:p>
              </w:tc>
            </w:tr>
            <w:tr w:rsidR="00F76A63" w14:paraId="4F85D549" w14:textId="77777777">
              <w:trPr>
                <w:trHeight w:val="340"/>
                <w:jc w:val="center"/>
              </w:trPr>
              <w:tc>
                <w:tcPr>
                  <w:tcW w:w="257" w:type="pct"/>
                  <w:vMerge/>
                  <w:tcBorders>
                    <w:left w:val="nil"/>
                    <w:bottom w:val="single" w:sz="6" w:space="0" w:color="auto"/>
                    <w:right w:val="single" w:sz="6" w:space="0" w:color="auto"/>
                  </w:tcBorders>
                  <w:vAlign w:val="center"/>
                </w:tcPr>
                <w:p w14:paraId="20D53B68" w14:textId="77777777" w:rsidR="00F76A63" w:rsidRDefault="00F76A63">
                  <w:pPr>
                    <w:jc w:val="center"/>
                    <w:rPr>
                      <w:rFonts w:eastAsia="仿宋_GB2312"/>
                      <w:bCs/>
                      <w:kern w:val="28"/>
                      <w:szCs w:val="21"/>
                    </w:rPr>
                  </w:pPr>
                </w:p>
              </w:tc>
              <w:tc>
                <w:tcPr>
                  <w:tcW w:w="257" w:type="pct"/>
                  <w:vMerge/>
                  <w:tcBorders>
                    <w:left w:val="single" w:sz="6" w:space="0" w:color="auto"/>
                    <w:bottom w:val="single" w:sz="6" w:space="0" w:color="auto"/>
                    <w:right w:val="single" w:sz="6" w:space="0" w:color="auto"/>
                  </w:tcBorders>
                  <w:vAlign w:val="center"/>
                </w:tcPr>
                <w:p w14:paraId="2F54D9C0"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653273D6" w14:textId="77777777" w:rsidR="00F76A63" w:rsidRDefault="00000000">
                  <w:pPr>
                    <w:pStyle w:val="000"/>
                  </w:pPr>
                  <w:r>
                    <w:t>氯化氢</w:t>
                  </w:r>
                </w:p>
              </w:tc>
              <w:tc>
                <w:tcPr>
                  <w:tcW w:w="1279" w:type="pct"/>
                  <w:tcBorders>
                    <w:top w:val="single" w:sz="6" w:space="0" w:color="auto"/>
                    <w:left w:val="single" w:sz="6" w:space="0" w:color="auto"/>
                    <w:bottom w:val="single" w:sz="6" w:space="0" w:color="auto"/>
                    <w:right w:val="single" w:sz="6" w:space="0" w:color="auto"/>
                  </w:tcBorders>
                  <w:vAlign w:val="center"/>
                </w:tcPr>
                <w:p w14:paraId="5B92D7D2" w14:textId="77777777" w:rsidR="00F76A63" w:rsidRDefault="00000000">
                  <w:pPr>
                    <w:pStyle w:val="000"/>
                  </w:pPr>
                  <w:r>
                    <w:t>0.002</w:t>
                  </w:r>
                </w:p>
              </w:tc>
              <w:tc>
                <w:tcPr>
                  <w:tcW w:w="1027" w:type="pct"/>
                  <w:tcBorders>
                    <w:top w:val="single" w:sz="6" w:space="0" w:color="auto"/>
                    <w:left w:val="single" w:sz="6" w:space="0" w:color="auto"/>
                    <w:bottom w:val="single" w:sz="6" w:space="0" w:color="auto"/>
                    <w:right w:val="single" w:sz="6" w:space="0" w:color="auto"/>
                  </w:tcBorders>
                  <w:vAlign w:val="center"/>
                </w:tcPr>
                <w:p w14:paraId="2B6E6F87" w14:textId="77777777" w:rsidR="00F76A63" w:rsidRDefault="00000000">
                  <w:pPr>
                    <w:pStyle w:val="000"/>
                  </w:pPr>
                  <w:r>
                    <w:t>/</w:t>
                  </w:r>
                </w:p>
              </w:tc>
              <w:tc>
                <w:tcPr>
                  <w:tcW w:w="889" w:type="pct"/>
                  <w:tcBorders>
                    <w:top w:val="single" w:sz="6" w:space="0" w:color="auto"/>
                    <w:left w:val="single" w:sz="6" w:space="0" w:color="auto"/>
                    <w:bottom w:val="single" w:sz="6" w:space="0" w:color="auto"/>
                    <w:right w:val="nil"/>
                  </w:tcBorders>
                  <w:vAlign w:val="center"/>
                </w:tcPr>
                <w:p w14:paraId="46B95886" w14:textId="77777777" w:rsidR="00F76A63" w:rsidRDefault="00000000">
                  <w:pPr>
                    <w:pStyle w:val="000"/>
                  </w:pPr>
                  <w:r>
                    <w:t>0.002</w:t>
                  </w:r>
                </w:p>
              </w:tc>
            </w:tr>
            <w:tr w:rsidR="00F76A63" w14:paraId="65A6F7B6" w14:textId="77777777">
              <w:trPr>
                <w:trHeight w:val="340"/>
                <w:jc w:val="center"/>
              </w:trPr>
              <w:tc>
                <w:tcPr>
                  <w:tcW w:w="514" w:type="pct"/>
                  <w:gridSpan w:val="2"/>
                  <w:vMerge w:val="restart"/>
                  <w:tcBorders>
                    <w:top w:val="single" w:sz="6" w:space="0" w:color="auto"/>
                    <w:left w:val="nil"/>
                    <w:bottom w:val="single" w:sz="6" w:space="0" w:color="auto"/>
                    <w:right w:val="single" w:sz="6" w:space="0" w:color="auto"/>
                  </w:tcBorders>
                  <w:vAlign w:val="center"/>
                </w:tcPr>
                <w:p w14:paraId="5C542BBB" w14:textId="77777777" w:rsidR="00F76A63" w:rsidRDefault="00000000">
                  <w:pPr>
                    <w:pStyle w:val="000"/>
                  </w:pPr>
                  <w:r>
                    <w:t>废水</w:t>
                  </w:r>
                </w:p>
              </w:tc>
              <w:tc>
                <w:tcPr>
                  <w:tcW w:w="1291" w:type="pct"/>
                  <w:tcBorders>
                    <w:top w:val="single" w:sz="6" w:space="0" w:color="auto"/>
                    <w:left w:val="single" w:sz="6" w:space="0" w:color="auto"/>
                    <w:bottom w:val="single" w:sz="6" w:space="0" w:color="auto"/>
                    <w:right w:val="single" w:sz="6" w:space="0" w:color="auto"/>
                  </w:tcBorders>
                  <w:vAlign w:val="center"/>
                </w:tcPr>
                <w:p w14:paraId="241E9973" w14:textId="77777777" w:rsidR="00F76A63" w:rsidRDefault="00000000">
                  <w:pPr>
                    <w:pStyle w:val="000"/>
                  </w:pPr>
                  <w:r>
                    <w:t>废水量（</w:t>
                  </w:r>
                  <w:r>
                    <w:t>m</w:t>
                  </w:r>
                  <w:r>
                    <w:rPr>
                      <w:vertAlign w:val="superscript"/>
                    </w:rPr>
                    <w:t>3</w:t>
                  </w:r>
                  <w:r>
                    <w:t>/a</w:t>
                  </w:r>
                  <w:r>
                    <w:t>）</w:t>
                  </w:r>
                </w:p>
              </w:tc>
              <w:tc>
                <w:tcPr>
                  <w:tcW w:w="1279" w:type="pct"/>
                  <w:tcBorders>
                    <w:top w:val="single" w:sz="6" w:space="0" w:color="auto"/>
                    <w:left w:val="single" w:sz="6" w:space="0" w:color="auto"/>
                    <w:bottom w:val="single" w:sz="6" w:space="0" w:color="auto"/>
                    <w:right w:val="single" w:sz="6" w:space="0" w:color="auto"/>
                  </w:tcBorders>
                  <w:vAlign w:val="center"/>
                </w:tcPr>
                <w:p w14:paraId="44F19590" w14:textId="77777777" w:rsidR="00F76A63" w:rsidRDefault="00000000">
                  <w:pPr>
                    <w:pStyle w:val="000"/>
                  </w:pPr>
                  <w:r>
                    <w:t>52539</w:t>
                  </w:r>
                </w:p>
              </w:tc>
              <w:tc>
                <w:tcPr>
                  <w:tcW w:w="1027" w:type="pct"/>
                  <w:tcBorders>
                    <w:top w:val="single" w:sz="6" w:space="0" w:color="auto"/>
                    <w:left w:val="single" w:sz="6" w:space="0" w:color="auto"/>
                    <w:bottom w:val="single" w:sz="6" w:space="0" w:color="auto"/>
                    <w:right w:val="single" w:sz="6" w:space="0" w:color="auto"/>
                  </w:tcBorders>
                  <w:vAlign w:val="center"/>
                </w:tcPr>
                <w:p w14:paraId="0303856A" w14:textId="77777777" w:rsidR="00F76A63" w:rsidRDefault="00000000">
                  <w:pPr>
                    <w:pStyle w:val="000"/>
                  </w:pPr>
                  <w:r>
                    <w:t>52539</w:t>
                  </w:r>
                </w:p>
              </w:tc>
              <w:tc>
                <w:tcPr>
                  <w:tcW w:w="889" w:type="pct"/>
                  <w:tcBorders>
                    <w:top w:val="single" w:sz="6" w:space="0" w:color="auto"/>
                    <w:left w:val="single" w:sz="6" w:space="0" w:color="auto"/>
                    <w:bottom w:val="single" w:sz="6" w:space="0" w:color="auto"/>
                    <w:right w:val="nil"/>
                  </w:tcBorders>
                  <w:vAlign w:val="center"/>
                </w:tcPr>
                <w:p w14:paraId="3921EDA7" w14:textId="77777777" w:rsidR="00F76A63" w:rsidRDefault="00000000">
                  <w:pPr>
                    <w:pStyle w:val="000"/>
                  </w:pPr>
                  <w:r>
                    <w:t>52539</w:t>
                  </w:r>
                </w:p>
              </w:tc>
            </w:tr>
            <w:tr w:rsidR="00F76A63" w14:paraId="451AFE41" w14:textId="77777777">
              <w:trPr>
                <w:trHeight w:val="340"/>
                <w:jc w:val="center"/>
              </w:trPr>
              <w:tc>
                <w:tcPr>
                  <w:tcW w:w="514" w:type="pct"/>
                  <w:gridSpan w:val="2"/>
                  <w:vMerge/>
                  <w:tcBorders>
                    <w:top w:val="single" w:sz="6" w:space="0" w:color="auto"/>
                    <w:left w:val="nil"/>
                    <w:bottom w:val="single" w:sz="6" w:space="0" w:color="auto"/>
                    <w:right w:val="single" w:sz="6" w:space="0" w:color="auto"/>
                  </w:tcBorders>
                  <w:vAlign w:val="center"/>
                </w:tcPr>
                <w:p w14:paraId="5179DC01"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4AF9F8DD" w14:textId="77777777" w:rsidR="00F76A63" w:rsidRDefault="00000000">
                  <w:pPr>
                    <w:pStyle w:val="000"/>
                  </w:pPr>
                  <w:r>
                    <w:t>COD</w:t>
                  </w:r>
                </w:p>
              </w:tc>
              <w:tc>
                <w:tcPr>
                  <w:tcW w:w="1279" w:type="pct"/>
                  <w:tcBorders>
                    <w:top w:val="single" w:sz="6" w:space="0" w:color="auto"/>
                    <w:left w:val="single" w:sz="6" w:space="0" w:color="auto"/>
                    <w:bottom w:val="single" w:sz="6" w:space="0" w:color="auto"/>
                    <w:right w:val="single" w:sz="6" w:space="0" w:color="auto"/>
                  </w:tcBorders>
                  <w:vAlign w:val="center"/>
                </w:tcPr>
                <w:p w14:paraId="72CD22B4" w14:textId="77777777" w:rsidR="00F76A63" w:rsidRDefault="00000000">
                  <w:pPr>
                    <w:pStyle w:val="000"/>
                  </w:pPr>
                  <w:r>
                    <w:t>20.8964</w:t>
                  </w:r>
                </w:p>
              </w:tc>
              <w:tc>
                <w:tcPr>
                  <w:tcW w:w="1027" w:type="pct"/>
                  <w:tcBorders>
                    <w:top w:val="single" w:sz="6" w:space="0" w:color="auto"/>
                    <w:left w:val="single" w:sz="6" w:space="0" w:color="auto"/>
                    <w:bottom w:val="single" w:sz="6" w:space="0" w:color="auto"/>
                    <w:right w:val="single" w:sz="6" w:space="0" w:color="auto"/>
                  </w:tcBorders>
                  <w:vAlign w:val="center"/>
                </w:tcPr>
                <w:p w14:paraId="42B94D39" w14:textId="77777777" w:rsidR="00F76A63" w:rsidRDefault="00000000">
                  <w:pPr>
                    <w:pStyle w:val="000"/>
                  </w:pPr>
                  <w:r>
                    <w:t>20.8964</w:t>
                  </w:r>
                </w:p>
              </w:tc>
              <w:tc>
                <w:tcPr>
                  <w:tcW w:w="889" w:type="pct"/>
                  <w:tcBorders>
                    <w:top w:val="single" w:sz="6" w:space="0" w:color="auto"/>
                    <w:left w:val="single" w:sz="6" w:space="0" w:color="auto"/>
                    <w:bottom w:val="single" w:sz="6" w:space="0" w:color="auto"/>
                    <w:right w:val="nil"/>
                  </w:tcBorders>
                  <w:vAlign w:val="center"/>
                </w:tcPr>
                <w:p w14:paraId="59D46B08" w14:textId="77777777" w:rsidR="00F76A63" w:rsidRDefault="00000000">
                  <w:pPr>
                    <w:pStyle w:val="000"/>
                  </w:pPr>
                  <w:r>
                    <w:t>20.8964</w:t>
                  </w:r>
                </w:p>
              </w:tc>
            </w:tr>
            <w:tr w:rsidR="00F76A63" w14:paraId="28860DF1" w14:textId="77777777">
              <w:trPr>
                <w:trHeight w:val="340"/>
                <w:jc w:val="center"/>
              </w:trPr>
              <w:tc>
                <w:tcPr>
                  <w:tcW w:w="514" w:type="pct"/>
                  <w:gridSpan w:val="2"/>
                  <w:vMerge/>
                  <w:tcBorders>
                    <w:top w:val="single" w:sz="6" w:space="0" w:color="auto"/>
                    <w:left w:val="nil"/>
                    <w:bottom w:val="single" w:sz="6" w:space="0" w:color="auto"/>
                    <w:right w:val="single" w:sz="6" w:space="0" w:color="auto"/>
                  </w:tcBorders>
                  <w:vAlign w:val="center"/>
                </w:tcPr>
                <w:p w14:paraId="3798D01E"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7C74D3D4" w14:textId="77777777" w:rsidR="00F76A63" w:rsidRDefault="00000000">
                  <w:pPr>
                    <w:pStyle w:val="000"/>
                  </w:pPr>
                  <w:r>
                    <w:t>SS</w:t>
                  </w:r>
                </w:p>
              </w:tc>
              <w:tc>
                <w:tcPr>
                  <w:tcW w:w="1279" w:type="pct"/>
                  <w:tcBorders>
                    <w:top w:val="single" w:sz="6" w:space="0" w:color="auto"/>
                    <w:left w:val="single" w:sz="6" w:space="0" w:color="auto"/>
                    <w:bottom w:val="single" w:sz="6" w:space="0" w:color="auto"/>
                    <w:right w:val="single" w:sz="6" w:space="0" w:color="auto"/>
                  </w:tcBorders>
                  <w:vAlign w:val="center"/>
                </w:tcPr>
                <w:p w14:paraId="28EF706A" w14:textId="77777777" w:rsidR="00F76A63" w:rsidRDefault="00000000">
                  <w:pPr>
                    <w:pStyle w:val="000"/>
                  </w:pPr>
                  <w:r>
                    <w:t>10.4532</w:t>
                  </w:r>
                </w:p>
              </w:tc>
              <w:tc>
                <w:tcPr>
                  <w:tcW w:w="1027" w:type="pct"/>
                  <w:tcBorders>
                    <w:top w:val="single" w:sz="6" w:space="0" w:color="auto"/>
                    <w:left w:val="single" w:sz="6" w:space="0" w:color="auto"/>
                    <w:bottom w:val="single" w:sz="6" w:space="0" w:color="auto"/>
                    <w:right w:val="single" w:sz="6" w:space="0" w:color="auto"/>
                  </w:tcBorders>
                  <w:vAlign w:val="center"/>
                </w:tcPr>
                <w:p w14:paraId="04B86ADA" w14:textId="77777777" w:rsidR="00F76A63" w:rsidRDefault="00000000">
                  <w:pPr>
                    <w:pStyle w:val="000"/>
                  </w:pPr>
                  <w:r>
                    <w:t>10.4532</w:t>
                  </w:r>
                </w:p>
              </w:tc>
              <w:tc>
                <w:tcPr>
                  <w:tcW w:w="889" w:type="pct"/>
                  <w:tcBorders>
                    <w:top w:val="single" w:sz="6" w:space="0" w:color="auto"/>
                    <w:left w:val="single" w:sz="6" w:space="0" w:color="auto"/>
                    <w:bottom w:val="single" w:sz="6" w:space="0" w:color="auto"/>
                    <w:right w:val="nil"/>
                  </w:tcBorders>
                  <w:vAlign w:val="center"/>
                </w:tcPr>
                <w:p w14:paraId="31E7E697" w14:textId="77777777" w:rsidR="00F76A63" w:rsidRDefault="00000000">
                  <w:pPr>
                    <w:pStyle w:val="000"/>
                  </w:pPr>
                  <w:r>
                    <w:t>10.4532</w:t>
                  </w:r>
                </w:p>
              </w:tc>
            </w:tr>
            <w:tr w:rsidR="00F76A63" w14:paraId="0C210C72" w14:textId="77777777">
              <w:trPr>
                <w:trHeight w:val="340"/>
                <w:jc w:val="center"/>
              </w:trPr>
              <w:tc>
                <w:tcPr>
                  <w:tcW w:w="514" w:type="pct"/>
                  <w:gridSpan w:val="2"/>
                  <w:vMerge/>
                  <w:tcBorders>
                    <w:top w:val="single" w:sz="6" w:space="0" w:color="auto"/>
                    <w:left w:val="nil"/>
                    <w:bottom w:val="single" w:sz="6" w:space="0" w:color="auto"/>
                    <w:right w:val="single" w:sz="6" w:space="0" w:color="auto"/>
                  </w:tcBorders>
                  <w:vAlign w:val="center"/>
                </w:tcPr>
                <w:p w14:paraId="39D19D49"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398BBEFB" w14:textId="77777777" w:rsidR="00F76A63" w:rsidRDefault="00000000">
                  <w:pPr>
                    <w:pStyle w:val="000"/>
                  </w:pPr>
                  <w:r>
                    <w:t>氨氮</w:t>
                  </w:r>
                </w:p>
              </w:tc>
              <w:tc>
                <w:tcPr>
                  <w:tcW w:w="1279" w:type="pct"/>
                  <w:tcBorders>
                    <w:top w:val="single" w:sz="6" w:space="0" w:color="auto"/>
                    <w:left w:val="single" w:sz="6" w:space="0" w:color="auto"/>
                    <w:bottom w:val="single" w:sz="6" w:space="0" w:color="auto"/>
                    <w:right w:val="single" w:sz="6" w:space="0" w:color="auto"/>
                  </w:tcBorders>
                  <w:vAlign w:val="center"/>
                </w:tcPr>
                <w:p w14:paraId="412A6545" w14:textId="77777777" w:rsidR="00F76A63" w:rsidRDefault="00000000">
                  <w:pPr>
                    <w:pStyle w:val="000"/>
                  </w:pPr>
                  <w:r>
                    <w:t>1.8382</w:t>
                  </w:r>
                </w:p>
              </w:tc>
              <w:tc>
                <w:tcPr>
                  <w:tcW w:w="1027" w:type="pct"/>
                  <w:tcBorders>
                    <w:top w:val="single" w:sz="6" w:space="0" w:color="auto"/>
                    <w:left w:val="single" w:sz="6" w:space="0" w:color="auto"/>
                    <w:bottom w:val="single" w:sz="6" w:space="0" w:color="auto"/>
                    <w:right w:val="single" w:sz="6" w:space="0" w:color="auto"/>
                  </w:tcBorders>
                  <w:vAlign w:val="center"/>
                </w:tcPr>
                <w:p w14:paraId="127BE9DA" w14:textId="77777777" w:rsidR="00F76A63" w:rsidRDefault="00000000">
                  <w:pPr>
                    <w:pStyle w:val="000"/>
                  </w:pPr>
                  <w:r>
                    <w:t>1.8382</w:t>
                  </w:r>
                </w:p>
              </w:tc>
              <w:tc>
                <w:tcPr>
                  <w:tcW w:w="889" w:type="pct"/>
                  <w:tcBorders>
                    <w:top w:val="single" w:sz="6" w:space="0" w:color="auto"/>
                    <w:left w:val="single" w:sz="6" w:space="0" w:color="auto"/>
                    <w:bottom w:val="single" w:sz="6" w:space="0" w:color="auto"/>
                    <w:right w:val="nil"/>
                  </w:tcBorders>
                  <w:vAlign w:val="center"/>
                </w:tcPr>
                <w:p w14:paraId="36C7053F" w14:textId="77777777" w:rsidR="00F76A63" w:rsidRDefault="00000000">
                  <w:pPr>
                    <w:pStyle w:val="000"/>
                  </w:pPr>
                  <w:r>
                    <w:t>1.8382</w:t>
                  </w:r>
                </w:p>
              </w:tc>
            </w:tr>
            <w:tr w:rsidR="00F76A63" w14:paraId="4FFB0E1A" w14:textId="77777777">
              <w:trPr>
                <w:trHeight w:val="340"/>
                <w:jc w:val="center"/>
              </w:trPr>
              <w:tc>
                <w:tcPr>
                  <w:tcW w:w="514" w:type="pct"/>
                  <w:gridSpan w:val="2"/>
                  <w:vMerge/>
                  <w:tcBorders>
                    <w:top w:val="single" w:sz="6" w:space="0" w:color="auto"/>
                    <w:left w:val="nil"/>
                    <w:bottom w:val="single" w:sz="6" w:space="0" w:color="auto"/>
                    <w:right w:val="single" w:sz="6" w:space="0" w:color="auto"/>
                  </w:tcBorders>
                  <w:vAlign w:val="center"/>
                </w:tcPr>
                <w:p w14:paraId="6AE71A9F"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3EF54238" w14:textId="77777777" w:rsidR="00F76A63" w:rsidRDefault="00000000">
                  <w:pPr>
                    <w:pStyle w:val="000"/>
                  </w:pPr>
                  <w:r>
                    <w:t>总氮</w:t>
                  </w:r>
                </w:p>
              </w:tc>
              <w:tc>
                <w:tcPr>
                  <w:tcW w:w="1279" w:type="pct"/>
                  <w:tcBorders>
                    <w:top w:val="single" w:sz="6" w:space="0" w:color="auto"/>
                    <w:left w:val="single" w:sz="6" w:space="0" w:color="auto"/>
                    <w:bottom w:val="single" w:sz="6" w:space="0" w:color="auto"/>
                    <w:right w:val="single" w:sz="6" w:space="0" w:color="auto"/>
                  </w:tcBorders>
                  <w:vAlign w:val="center"/>
                </w:tcPr>
                <w:p w14:paraId="61FA2CF1" w14:textId="77777777" w:rsidR="00F76A63" w:rsidRDefault="00000000">
                  <w:pPr>
                    <w:pStyle w:val="000"/>
                  </w:pPr>
                  <w:r>
                    <w:t>2.6228</w:t>
                  </w:r>
                </w:p>
              </w:tc>
              <w:tc>
                <w:tcPr>
                  <w:tcW w:w="1027" w:type="pct"/>
                  <w:tcBorders>
                    <w:top w:val="single" w:sz="6" w:space="0" w:color="auto"/>
                    <w:left w:val="single" w:sz="6" w:space="0" w:color="auto"/>
                    <w:bottom w:val="single" w:sz="6" w:space="0" w:color="auto"/>
                    <w:right w:val="single" w:sz="6" w:space="0" w:color="auto"/>
                  </w:tcBorders>
                  <w:vAlign w:val="center"/>
                </w:tcPr>
                <w:p w14:paraId="559B0825" w14:textId="77777777" w:rsidR="00F76A63" w:rsidRDefault="00000000">
                  <w:pPr>
                    <w:pStyle w:val="000"/>
                  </w:pPr>
                  <w:r>
                    <w:t>2.6228</w:t>
                  </w:r>
                </w:p>
              </w:tc>
              <w:tc>
                <w:tcPr>
                  <w:tcW w:w="889" w:type="pct"/>
                  <w:tcBorders>
                    <w:top w:val="single" w:sz="6" w:space="0" w:color="auto"/>
                    <w:left w:val="single" w:sz="6" w:space="0" w:color="auto"/>
                    <w:bottom w:val="single" w:sz="6" w:space="0" w:color="auto"/>
                    <w:right w:val="nil"/>
                  </w:tcBorders>
                  <w:vAlign w:val="center"/>
                </w:tcPr>
                <w:p w14:paraId="3794512D" w14:textId="77777777" w:rsidR="00F76A63" w:rsidRDefault="00000000">
                  <w:pPr>
                    <w:pStyle w:val="000"/>
                  </w:pPr>
                  <w:r>
                    <w:t>2.6228</w:t>
                  </w:r>
                </w:p>
              </w:tc>
            </w:tr>
            <w:tr w:rsidR="00F76A63" w14:paraId="1822DC51" w14:textId="77777777">
              <w:trPr>
                <w:trHeight w:val="340"/>
                <w:jc w:val="center"/>
              </w:trPr>
              <w:tc>
                <w:tcPr>
                  <w:tcW w:w="514" w:type="pct"/>
                  <w:gridSpan w:val="2"/>
                  <w:vMerge/>
                  <w:tcBorders>
                    <w:top w:val="single" w:sz="6" w:space="0" w:color="auto"/>
                    <w:left w:val="nil"/>
                    <w:bottom w:val="single" w:sz="6" w:space="0" w:color="auto"/>
                    <w:right w:val="single" w:sz="6" w:space="0" w:color="auto"/>
                  </w:tcBorders>
                  <w:vAlign w:val="center"/>
                </w:tcPr>
                <w:p w14:paraId="6D58E4B8"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064B488E" w14:textId="77777777" w:rsidR="00F76A63" w:rsidRDefault="00000000">
                  <w:pPr>
                    <w:pStyle w:val="000"/>
                  </w:pPr>
                  <w:r>
                    <w:t>总磷</w:t>
                  </w:r>
                </w:p>
              </w:tc>
              <w:tc>
                <w:tcPr>
                  <w:tcW w:w="1279" w:type="pct"/>
                  <w:tcBorders>
                    <w:top w:val="single" w:sz="6" w:space="0" w:color="auto"/>
                    <w:left w:val="single" w:sz="6" w:space="0" w:color="auto"/>
                    <w:bottom w:val="single" w:sz="6" w:space="0" w:color="auto"/>
                    <w:right w:val="single" w:sz="6" w:space="0" w:color="auto"/>
                  </w:tcBorders>
                  <w:vAlign w:val="center"/>
                </w:tcPr>
                <w:p w14:paraId="112B1DAC" w14:textId="77777777" w:rsidR="00F76A63" w:rsidRDefault="00000000">
                  <w:pPr>
                    <w:pStyle w:val="000"/>
                  </w:pPr>
                  <w:r>
                    <w:t>0.1545</w:t>
                  </w:r>
                </w:p>
              </w:tc>
              <w:tc>
                <w:tcPr>
                  <w:tcW w:w="1027" w:type="pct"/>
                  <w:tcBorders>
                    <w:top w:val="single" w:sz="6" w:space="0" w:color="auto"/>
                    <w:left w:val="single" w:sz="6" w:space="0" w:color="auto"/>
                    <w:bottom w:val="single" w:sz="6" w:space="0" w:color="auto"/>
                    <w:right w:val="single" w:sz="6" w:space="0" w:color="auto"/>
                  </w:tcBorders>
                  <w:vAlign w:val="center"/>
                </w:tcPr>
                <w:p w14:paraId="3E1DF7CC" w14:textId="77777777" w:rsidR="00F76A63" w:rsidRDefault="00000000">
                  <w:pPr>
                    <w:pStyle w:val="000"/>
                  </w:pPr>
                  <w:r>
                    <w:t>0.1545</w:t>
                  </w:r>
                </w:p>
              </w:tc>
              <w:tc>
                <w:tcPr>
                  <w:tcW w:w="889" w:type="pct"/>
                  <w:tcBorders>
                    <w:top w:val="single" w:sz="6" w:space="0" w:color="auto"/>
                    <w:left w:val="single" w:sz="6" w:space="0" w:color="auto"/>
                    <w:bottom w:val="single" w:sz="6" w:space="0" w:color="auto"/>
                    <w:right w:val="nil"/>
                  </w:tcBorders>
                  <w:vAlign w:val="center"/>
                </w:tcPr>
                <w:p w14:paraId="1EB81C50" w14:textId="77777777" w:rsidR="00F76A63" w:rsidRDefault="00000000">
                  <w:pPr>
                    <w:pStyle w:val="000"/>
                  </w:pPr>
                  <w:r>
                    <w:t>0.1545</w:t>
                  </w:r>
                </w:p>
              </w:tc>
            </w:tr>
            <w:tr w:rsidR="00F76A63" w14:paraId="6324DB26" w14:textId="77777777">
              <w:trPr>
                <w:trHeight w:val="340"/>
                <w:jc w:val="center"/>
              </w:trPr>
              <w:tc>
                <w:tcPr>
                  <w:tcW w:w="514" w:type="pct"/>
                  <w:gridSpan w:val="2"/>
                  <w:vMerge w:val="restart"/>
                  <w:tcBorders>
                    <w:top w:val="single" w:sz="6" w:space="0" w:color="auto"/>
                    <w:left w:val="nil"/>
                    <w:bottom w:val="single" w:sz="6" w:space="0" w:color="auto"/>
                    <w:right w:val="single" w:sz="6" w:space="0" w:color="auto"/>
                  </w:tcBorders>
                  <w:vAlign w:val="center"/>
                </w:tcPr>
                <w:p w14:paraId="0C6ACC32" w14:textId="77777777" w:rsidR="00F76A63" w:rsidRDefault="00000000">
                  <w:pPr>
                    <w:pStyle w:val="000"/>
                  </w:pPr>
                  <w:r>
                    <w:t>固废</w:t>
                  </w:r>
                </w:p>
              </w:tc>
              <w:tc>
                <w:tcPr>
                  <w:tcW w:w="1291" w:type="pct"/>
                  <w:tcBorders>
                    <w:top w:val="single" w:sz="6" w:space="0" w:color="auto"/>
                    <w:left w:val="single" w:sz="6" w:space="0" w:color="auto"/>
                    <w:bottom w:val="single" w:sz="6" w:space="0" w:color="auto"/>
                    <w:right w:val="single" w:sz="6" w:space="0" w:color="auto"/>
                  </w:tcBorders>
                  <w:vAlign w:val="center"/>
                </w:tcPr>
                <w:p w14:paraId="7828598D" w14:textId="77777777" w:rsidR="00F76A63" w:rsidRDefault="00000000">
                  <w:pPr>
                    <w:pStyle w:val="000"/>
                  </w:pPr>
                  <w:r>
                    <w:t>危险固废</w:t>
                  </w:r>
                </w:p>
              </w:tc>
              <w:tc>
                <w:tcPr>
                  <w:tcW w:w="1279" w:type="pct"/>
                  <w:tcBorders>
                    <w:top w:val="single" w:sz="6" w:space="0" w:color="auto"/>
                    <w:left w:val="single" w:sz="6" w:space="0" w:color="auto"/>
                    <w:bottom w:val="single" w:sz="6" w:space="0" w:color="auto"/>
                    <w:right w:val="single" w:sz="6" w:space="0" w:color="auto"/>
                  </w:tcBorders>
                  <w:vAlign w:val="center"/>
                </w:tcPr>
                <w:p w14:paraId="3F0069B0" w14:textId="77777777" w:rsidR="00F76A63" w:rsidRDefault="00000000">
                  <w:pPr>
                    <w:pStyle w:val="000"/>
                  </w:pPr>
                  <w:r>
                    <w:t>0</w:t>
                  </w:r>
                </w:p>
              </w:tc>
              <w:tc>
                <w:tcPr>
                  <w:tcW w:w="1027" w:type="pct"/>
                  <w:tcBorders>
                    <w:top w:val="single" w:sz="6" w:space="0" w:color="auto"/>
                    <w:left w:val="single" w:sz="6" w:space="0" w:color="auto"/>
                    <w:bottom w:val="single" w:sz="6" w:space="0" w:color="auto"/>
                    <w:right w:val="single" w:sz="6" w:space="0" w:color="auto"/>
                  </w:tcBorders>
                  <w:vAlign w:val="center"/>
                </w:tcPr>
                <w:p w14:paraId="0DE35B55" w14:textId="77777777" w:rsidR="00F76A63" w:rsidRDefault="00000000">
                  <w:pPr>
                    <w:pStyle w:val="000"/>
                  </w:pPr>
                  <w:r>
                    <w:t>0</w:t>
                  </w:r>
                </w:p>
              </w:tc>
              <w:tc>
                <w:tcPr>
                  <w:tcW w:w="889" w:type="pct"/>
                  <w:tcBorders>
                    <w:top w:val="single" w:sz="6" w:space="0" w:color="auto"/>
                    <w:left w:val="single" w:sz="6" w:space="0" w:color="auto"/>
                    <w:bottom w:val="single" w:sz="6" w:space="0" w:color="auto"/>
                    <w:right w:val="nil"/>
                  </w:tcBorders>
                  <w:vAlign w:val="center"/>
                </w:tcPr>
                <w:p w14:paraId="66338FE9" w14:textId="77777777" w:rsidR="00F76A63" w:rsidRDefault="00000000">
                  <w:pPr>
                    <w:pStyle w:val="000"/>
                  </w:pPr>
                  <w:r>
                    <w:t>0</w:t>
                  </w:r>
                </w:p>
              </w:tc>
            </w:tr>
            <w:tr w:rsidR="00F76A63" w14:paraId="2D7EFD07" w14:textId="77777777">
              <w:trPr>
                <w:trHeight w:val="340"/>
                <w:jc w:val="center"/>
              </w:trPr>
              <w:tc>
                <w:tcPr>
                  <w:tcW w:w="514" w:type="pct"/>
                  <w:gridSpan w:val="2"/>
                  <w:vMerge/>
                  <w:tcBorders>
                    <w:top w:val="single" w:sz="6" w:space="0" w:color="auto"/>
                    <w:left w:val="nil"/>
                    <w:bottom w:val="single" w:sz="6" w:space="0" w:color="auto"/>
                    <w:right w:val="single" w:sz="6" w:space="0" w:color="auto"/>
                  </w:tcBorders>
                  <w:vAlign w:val="center"/>
                </w:tcPr>
                <w:p w14:paraId="17F8242A"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6" w:space="0" w:color="auto"/>
                    <w:right w:val="single" w:sz="6" w:space="0" w:color="auto"/>
                  </w:tcBorders>
                  <w:vAlign w:val="center"/>
                </w:tcPr>
                <w:p w14:paraId="25900D31" w14:textId="77777777" w:rsidR="00F76A63" w:rsidRDefault="00000000">
                  <w:pPr>
                    <w:pStyle w:val="000"/>
                    <w:rPr>
                      <w:rFonts w:eastAsia="仿宋_GB2312"/>
                    </w:rPr>
                  </w:pPr>
                  <w:r>
                    <w:t>一般固废</w:t>
                  </w:r>
                </w:p>
              </w:tc>
              <w:tc>
                <w:tcPr>
                  <w:tcW w:w="1279" w:type="pct"/>
                  <w:tcBorders>
                    <w:top w:val="single" w:sz="6" w:space="0" w:color="auto"/>
                    <w:left w:val="single" w:sz="6" w:space="0" w:color="auto"/>
                    <w:bottom w:val="single" w:sz="6" w:space="0" w:color="auto"/>
                    <w:right w:val="single" w:sz="6" w:space="0" w:color="auto"/>
                  </w:tcBorders>
                  <w:vAlign w:val="center"/>
                </w:tcPr>
                <w:p w14:paraId="2256D18A" w14:textId="77777777" w:rsidR="00F76A63" w:rsidRDefault="00000000">
                  <w:pPr>
                    <w:pStyle w:val="000"/>
                  </w:pPr>
                  <w:r>
                    <w:t>0</w:t>
                  </w:r>
                </w:p>
              </w:tc>
              <w:tc>
                <w:tcPr>
                  <w:tcW w:w="1027" w:type="pct"/>
                  <w:tcBorders>
                    <w:top w:val="single" w:sz="6" w:space="0" w:color="auto"/>
                    <w:left w:val="single" w:sz="6" w:space="0" w:color="auto"/>
                    <w:bottom w:val="single" w:sz="6" w:space="0" w:color="auto"/>
                    <w:right w:val="single" w:sz="6" w:space="0" w:color="auto"/>
                  </w:tcBorders>
                  <w:vAlign w:val="center"/>
                </w:tcPr>
                <w:p w14:paraId="77B17292" w14:textId="77777777" w:rsidR="00F76A63" w:rsidRDefault="00000000">
                  <w:pPr>
                    <w:pStyle w:val="000"/>
                  </w:pPr>
                  <w:r>
                    <w:t>0</w:t>
                  </w:r>
                </w:p>
              </w:tc>
              <w:tc>
                <w:tcPr>
                  <w:tcW w:w="889" w:type="pct"/>
                  <w:tcBorders>
                    <w:top w:val="single" w:sz="6" w:space="0" w:color="auto"/>
                    <w:left w:val="single" w:sz="6" w:space="0" w:color="auto"/>
                    <w:bottom w:val="single" w:sz="6" w:space="0" w:color="auto"/>
                    <w:right w:val="nil"/>
                  </w:tcBorders>
                  <w:vAlign w:val="center"/>
                </w:tcPr>
                <w:p w14:paraId="6D854A44" w14:textId="77777777" w:rsidR="00F76A63" w:rsidRDefault="00000000">
                  <w:pPr>
                    <w:pStyle w:val="000"/>
                  </w:pPr>
                  <w:r>
                    <w:t>0</w:t>
                  </w:r>
                </w:p>
              </w:tc>
            </w:tr>
            <w:tr w:rsidR="00F76A63" w14:paraId="7A74171C" w14:textId="77777777">
              <w:trPr>
                <w:trHeight w:val="340"/>
                <w:jc w:val="center"/>
              </w:trPr>
              <w:tc>
                <w:tcPr>
                  <w:tcW w:w="514" w:type="pct"/>
                  <w:gridSpan w:val="2"/>
                  <w:vMerge/>
                  <w:tcBorders>
                    <w:top w:val="single" w:sz="6" w:space="0" w:color="auto"/>
                    <w:left w:val="nil"/>
                    <w:bottom w:val="single" w:sz="6" w:space="0" w:color="auto"/>
                    <w:right w:val="single" w:sz="6" w:space="0" w:color="auto"/>
                  </w:tcBorders>
                  <w:vAlign w:val="center"/>
                </w:tcPr>
                <w:p w14:paraId="7BBDC5CA" w14:textId="77777777" w:rsidR="00F76A63" w:rsidRDefault="00F76A63">
                  <w:pPr>
                    <w:jc w:val="center"/>
                    <w:rPr>
                      <w:rFonts w:eastAsia="仿宋_GB2312"/>
                      <w:bCs/>
                      <w:kern w:val="28"/>
                      <w:szCs w:val="21"/>
                    </w:rPr>
                  </w:pPr>
                </w:p>
              </w:tc>
              <w:tc>
                <w:tcPr>
                  <w:tcW w:w="1291" w:type="pct"/>
                  <w:tcBorders>
                    <w:top w:val="single" w:sz="6" w:space="0" w:color="auto"/>
                    <w:left w:val="single" w:sz="6" w:space="0" w:color="auto"/>
                    <w:bottom w:val="single" w:sz="12" w:space="0" w:color="auto"/>
                    <w:right w:val="single" w:sz="6" w:space="0" w:color="auto"/>
                  </w:tcBorders>
                  <w:vAlign w:val="center"/>
                </w:tcPr>
                <w:p w14:paraId="3A59C4D4" w14:textId="77777777" w:rsidR="00F76A63" w:rsidRDefault="00000000">
                  <w:pPr>
                    <w:pStyle w:val="000"/>
                  </w:pPr>
                  <w:r>
                    <w:t>生活垃圾</w:t>
                  </w:r>
                </w:p>
              </w:tc>
              <w:tc>
                <w:tcPr>
                  <w:tcW w:w="1279" w:type="pct"/>
                  <w:tcBorders>
                    <w:top w:val="single" w:sz="6" w:space="0" w:color="auto"/>
                    <w:left w:val="single" w:sz="6" w:space="0" w:color="auto"/>
                    <w:bottom w:val="single" w:sz="12" w:space="0" w:color="auto"/>
                    <w:right w:val="single" w:sz="6" w:space="0" w:color="auto"/>
                  </w:tcBorders>
                  <w:vAlign w:val="center"/>
                </w:tcPr>
                <w:p w14:paraId="20E0C8F7" w14:textId="77777777" w:rsidR="00F76A63" w:rsidRDefault="00000000">
                  <w:pPr>
                    <w:pStyle w:val="000"/>
                  </w:pPr>
                  <w:r>
                    <w:t>0</w:t>
                  </w:r>
                </w:p>
              </w:tc>
              <w:tc>
                <w:tcPr>
                  <w:tcW w:w="1027" w:type="pct"/>
                  <w:tcBorders>
                    <w:top w:val="single" w:sz="6" w:space="0" w:color="auto"/>
                    <w:left w:val="single" w:sz="6" w:space="0" w:color="auto"/>
                    <w:bottom w:val="single" w:sz="12" w:space="0" w:color="auto"/>
                    <w:right w:val="single" w:sz="6" w:space="0" w:color="auto"/>
                  </w:tcBorders>
                  <w:vAlign w:val="center"/>
                </w:tcPr>
                <w:p w14:paraId="6A8A7E4D" w14:textId="77777777" w:rsidR="00F76A63" w:rsidRDefault="00000000">
                  <w:pPr>
                    <w:pStyle w:val="000"/>
                  </w:pPr>
                  <w:r>
                    <w:t>0</w:t>
                  </w:r>
                </w:p>
              </w:tc>
              <w:tc>
                <w:tcPr>
                  <w:tcW w:w="889" w:type="pct"/>
                  <w:tcBorders>
                    <w:top w:val="single" w:sz="6" w:space="0" w:color="auto"/>
                    <w:left w:val="single" w:sz="6" w:space="0" w:color="auto"/>
                    <w:bottom w:val="single" w:sz="12" w:space="0" w:color="auto"/>
                    <w:right w:val="nil"/>
                  </w:tcBorders>
                  <w:vAlign w:val="center"/>
                </w:tcPr>
                <w:p w14:paraId="5E1C3041" w14:textId="77777777" w:rsidR="00F76A63" w:rsidRDefault="00000000">
                  <w:pPr>
                    <w:pStyle w:val="000"/>
                    <w:rPr>
                      <w:rFonts w:eastAsia="仿宋_GB2312"/>
                    </w:rPr>
                  </w:pPr>
                  <w:r>
                    <w:t>0</w:t>
                  </w:r>
                </w:p>
              </w:tc>
            </w:tr>
          </w:tbl>
          <w:p w14:paraId="52A783C8" w14:textId="77777777" w:rsidR="00F76A63" w:rsidRDefault="00000000">
            <w:pPr>
              <w:rPr>
                <w:b/>
                <w:sz w:val="18"/>
                <w:szCs w:val="18"/>
              </w:rPr>
            </w:pPr>
            <w:r>
              <w:rPr>
                <w:b/>
                <w:sz w:val="18"/>
                <w:szCs w:val="18"/>
              </w:rPr>
              <w:t>注：</w:t>
            </w:r>
            <w:r>
              <w:rPr>
                <w:b/>
                <w:sz w:val="18"/>
                <w:szCs w:val="18"/>
              </w:rPr>
              <w:t>*</w:t>
            </w:r>
            <w:r>
              <w:rPr>
                <w:b/>
                <w:sz w:val="18"/>
                <w:szCs w:val="18"/>
              </w:rPr>
              <w:t>批复量根据镇江市生态环境局关于对《一二线窑旁路放风除氯及水洗综合利用技改项目》（镇句环审</w:t>
            </w:r>
            <w:r>
              <w:rPr>
                <w:b/>
                <w:sz w:val="18"/>
                <w:szCs w:val="18"/>
              </w:rPr>
              <w:t>[2026]8</w:t>
            </w:r>
            <w:r>
              <w:rPr>
                <w:b/>
                <w:sz w:val="18"/>
                <w:szCs w:val="18"/>
              </w:rPr>
              <w:t>号）确定。</w:t>
            </w:r>
          </w:p>
          <w:p w14:paraId="7F777E2C" w14:textId="77777777" w:rsidR="00F76A63" w:rsidRDefault="00000000">
            <w:pPr>
              <w:pStyle w:val="1ff7"/>
              <w:spacing w:line="500" w:lineRule="exact"/>
              <w:ind w:firstLineChars="200" w:firstLine="482"/>
              <w:rPr>
                <w:rFonts w:ascii="Times New Roman" w:hAnsi="Times New Roman"/>
                <w:sz w:val="24"/>
                <w:szCs w:val="24"/>
              </w:rPr>
            </w:pPr>
            <w:r>
              <w:rPr>
                <w:rFonts w:ascii="Times New Roman" w:hAnsi="Times New Roman"/>
                <w:sz w:val="24"/>
                <w:szCs w:val="24"/>
              </w:rPr>
              <w:t>五、现有项目环境问题及解决方案</w:t>
            </w:r>
          </w:p>
          <w:p w14:paraId="26305B1E" w14:textId="77777777" w:rsidR="00F76A63" w:rsidRDefault="00000000">
            <w:pPr>
              <w:spacing w:line="500" w:lineRule="exact"/>
              <w:ind w:firstLineChars="200" w:firstLine="480"/>
              <w:rPr>
                <w:b/>
                <w:sz w:val="18"/>
                <w:szCs w:val="18"/>
              </w:rPr>
            </w:pPr>
            <w:r>
              <w:rPr>
                <w:sz w:val="24"/>
              </w:rPr>
              <w:t>本项目依托工程现有一期年产</w:t>
            </w:r>
            <w:r>
              <w:rPr>
                <w:sz w:val="24"/>
              </w:rPr>
              <w:t>150</w:t>
            </w:r>
            <w:r>
              <w:rPr>
                <w:sz w:val="24"/>
              </w:rPr>
              <w:t>万吨熟料和二期日产</w:t>
            </w:r>
            <w:r>
              <w:rPr>
                <w:sz w:val="24"/>
              </w:rPr>
              <w:t>6000</w:t>
            </w:r>
            <w:r>
              <w:rPr>
                <w:sz w:val="24"/>
              </w:rPr>
              <w:t>吨熟料新型干法水泥生产线。一期年产</w:t>
            </w:r>
            <w:r>
              <w:rPr>
                <w:sz w:val="24"/>
              </w:rPr>
              <w:t>150</w:t>
            </w:r>
            <w:r>
              <w:rPr>
                <w:sz w:val="24"/>
              </w:rPr>
              <w:t>万吨熟料新型干法水泥生产线，于</w:t>
            </w:r>
            <w:r>
              <w:rPr>
                <w:sz w:val="24"/>
              </w:rPr>
              <w:t>2005</w:t>
            </w:r>
            <w:r>
              <w:rPr>
                <w:sz w:val="24"/>
              </w:rPr>
              <w:t>年通过项目竣工环保验收，脱硝工程技改项目于</w:t>
            </w:r>
            <w:r>
              <w:rPr>
                <w:sz w:val="24"/>
              </w:rPr>
              <w:t>2013</w:t>
            </w:r>
            <w:r>
              <w:rPr>
                <w:sz w:val="24"/>
              </w:rPr>
              <w:t>年</w:t>
            </w:r>
            <w:r>
              <w:rPr>
                <w:sz w:val="24"/>
              </w:rPr>
              <w:t>12</w:t>
            </w:r>
            <w:r>
              <w:rPr>
                <w:sz w:val="24"/>
              </w:rPr>
              <w:t>月通过竣工环保验收，窑头、窑尾袋式收尘技改项目于</w:t>
            </w:r>
            <w:r>
              <w:rPr>
                <w:sz w:val="24"/>
              </w:rPr>
              <w:t>2015</w:t>
            </w:r>
            <w:r>
              <w:rPr>
                <w:sz w:val="24"/>
              </w:rPr>
              <w:t>年</w:t>
            </w:r>
            <w:r>
              <w:rPr>
                <w:sz w:val="24"/>
              </w:rPr>
              <w:t>11</w:t>
            </w:r>
            <w:r>
              <w:rPr>
                <w:sz w:val="24"/>
              </w:rPr>
              <w:t>月通过竣工环保验收。二期日产</w:t>
            </w:r>
            <w:r>
              <w:rPr>
                <w:sz w:val="24"/>
              </w:rPr>
              <w:t>6000</w:t>
            </w:r>
            <w:r>
              <w:rPr>
                <w:sz w:val="24"/>
              </w:rPr>
              <w:t>吨熟料新型干法水泥生产线于</w:t>
            </w:r>
            <w:r>
              <w:rPr>
                <w:sz w:val="24"/>
              </w:rPr>
              <w:t>2012</w:t>
            </w:r>
            <w:r>
              <w:rPr>
                <w:sz w:val="24"/>
              </w:rPr>
              <w:t>年</w:t>
            </w:r>
            <w:r>
              <w:rPr>
                <w:sz w:val="24"/>
              </w:rPr>
              <w:t>11</w:t>
            </w:r>
            <w:r>
              <w:rPr>
                <w:sz w:val="24"/>
              </w:rPr>
              <w:t>月通过项目竣工环保验收，窑</w:t>
            </w:r>
            <w:r>
              <w:rPr>
                <w:sz w:val="24"/>
              </w:rPr>
              <w:lastRenderedPageBreak/>
              <w:t>尾脱硝技改工程于</w:t>
            </w:r>
            <w:r>
              <w:rPr>
                <w:sz w:val="24"/>
              </w:rPr>
              <w:t>2011</w:t>
            </w:r>
            <w:r>
              <w:rPr>
                <w:sz w:val="24"/>
              </w:rPr>
              <w:t>年</w:t>
            </w:r>
            <w:r>
              <w:rPr>
                <w:sz w:val="24"/>
              </w:rPr>
              <w:t>5</w:t>
            </w:r>
            <w:r>
              <w:rPr>
                <w:sz w:val="24"/>
              </w:rPr>
              <w:t>月、</w:t>
            </w:r>
            <w:r>
              <w:rPr>
                <w:sz w:val="24"/>
              </w:rPr>
              <w:t>2017</w:t>
            </w:r>
            <w:r>
              <w:rPr>
                <w:sz w:val="24"/>
              </w:rPr>
              <w:t>年</w:t>
            </w:r>
            <w:r>
              <w:rPr>
                <w:sz w:val="24"/>
              </w:rPr>
              <w:t>1</w:t>
            </w:r>
            <w:r>
              <w:rPr>
                <w:sz w:val="24"/>
              </w:rPr>
              <w:t>月分别通过第一阶段及第二阶段竣工环保验收，脱硝工程技改项目于</w:t>
            </w:r>
            <w:r>
              <w:rPr>
                <w:sz w:val="24"/>
              </w:rPr>
              <w:t>2013</w:t>
            </w:r>
            <w:r>
              <w:rPr>
                <w:sz w:val="24"/>
              </w:rPr>
              <w:t>年</w:t>
            </w:r>
            <w:r>
              <w:rPr>
                <w:sz w:val="24"/>
              </w:rPr>
              <w:t>12</w:t>
            </w:r>
            <w:r>
              <w:rPr>
                <w:sz w:val="24"/>
              </w:rPr>
              <w:t>月通过竣工环保验收，窑头、窑尾袋式收尘技改项目于</w:t>
            </w:r>
            <w:r>
              <w:rPr>
                <w:sz w:val="24"/>
              </w:rPr>
              <w:t>2015</w:t>
            </w:r>
            <w:r>
              <w:rPr>
                <w:sz w:val="24"/>
              </w:rPr>
              <w:t>年</w:t>
            </w:r>
            <w:r>
              <w:rPr>
                <w:sz w:val="24"/>
              </w:rPr>
              <w:t>11</w:t>
            </w:r>
            <w:r>
              <w:rPr>
                <w:sz w:val="24"/>
              </w:rPr>
              <w:t>月通过竣工环保验收。从近年来的日常监督监测和在线数据分析，现有一期年产</w:t>
            </w:r>
            <w:r>
              <w:rPr>
                <w:sz w:val="24"/>
              </w:rPr>
              <w:t>150</w:t>
            </w:r>
            <w:r>
              <w:rPr>
                <w:sz w:val="24"/>
              </w:rPr>
              <w:t>万吨熟料和二期日产</w:t>
            </w:r>
            <w:r>
              <w:rPr>
                <w:sz w:val="24"/>
              </w:rPr>
              <w:t>6000</w:t>
            </w:r>
            <w:r>
              <w:rPr>
                <w:sz w:val="24"/>
              </w:rPr>
              <w:t>吨熟料新型干法水泥生产线废水、</w:t>
            </w:r>
            <w:r>
              <w:rPr>
                <w:rFonts w:hint="eastAsia"/>
                <w:sz w:val="24"/>
              </w:rPr>
              <w:t>窑头废气、无组织废气、</w:t>
            </w:r>
            <w:r>
              <w:rPr>
                <w:sz w:val="24"/>
              </w:rPr>
              <w:t>噪声排放指标基本能够符合达标排放要求。</w:t>
            </w:r>
          </w:p>
          <w:p w14:paraId="28244E90" w14:textId="77777777" w:rsidR="00F76A63" w:rsidRDefault="00000000">
            <w:pPr>
              <w:keepNext/>
              <w:keepLines/>
              <w:widowControl/>
              <w:tabs>
                <w:tab w:val="left" w:pos="2340"/>
              </w:tabs>
              <w:adjustRightInd w:val="0"/>
              <w:snapToGrid w:val="0"/>
              <w:spacing w:line="500" w:lineRule="exact"/>
              <w:ind w:firstLineChars="200" w:firstLine="480"/>
              <w:rPr>
                <w:kern w:val="0"/>
                <w:sz w:val="24"/>
              </w:rPr>
            </w:pPr>
            <w:bookmarkStart w:id="107" w:name="OLE_LINK88"/>
            <w:r>
              <w:rPr>
                <w:kern w:val="0"/>
                <w:sz w:val="24"/>
              </w:rPr>
              <w:t>根据</w:t>
            </w:r>
            <w:r>
              <w:rPr>
                <w:rFonts w:hint="eastAsia"/>
                <w:kern w:val="0"/>
                <w:sz w:val="24"/>
              </w:rPr>
              <w:t>现有项目信访投诉情况及企业环保脸谱管理系统</w:t>
            </w:r>
            <w:r>
              <w:rPr>
                <w:kern w:val="0"/>
                <w:sz w:val="24"/>
              </w:rPr>
              <w:t>调查，近三年句容台泥</w:t>
            </w:r>
            <w:r>
              <w:rPr>
                <w:rFonts w:hint="eastAsia"/>
                <w:kern w:val="0"/>
                <w:sz w:val="24"/>
              </w:rPr>
              <w:t>暂无信访投诉，</w:t>
            </w:r>
            <w:r>
              <w:rPr>
                <w:kern w:val="0"/>
                <w:sz w:val="24"/>
              </w:rPr>
              <w:t>未发生重大环境污染事故，无污染物排放违法违规行为、无自行监测弄虚作假情况。现有项目按照环评批复要求建设运营至今，在公司严格管控下，未收到附近居民关于环保方面的投诉，也未受到环保处罚，</w:t>
            </w:r>
            <w:r>
              <w:rPr>
                <w:rFonts w:hint="eastAsia"/>
                <w:kern w:val="0"/>
                <w:sz w:val="24"/>
              </w:rPr>
              <w:t>根据现场踏勘发现目前企业存在排放口设置不规范等问题：</w:t>
            </w:r>
          </w:p>
          <w:p w14:paraId="13E6BACA" w14:textId="77777777" w:rsidR="00F76A63" w:rsidRDefault="00000000">
            <w:pPr>
              <w:keepNext/>
              <w:keepLines/>
              <w:widowControl/>
              <w:tabs>
                <w:tab w:val="left" w:pos="2340"/>
              </w:tabs>
              <w:adjustRightInd w:val="0"/>
              <w:snapToGrid w:val="0"/>
              <w:spacing w:line="500" w:lineRule="exact"/>
              <w:ind w:firstLineChars="200" w:firstLine="480"/>
              <w:rPr>
                <w:kern w:val="0"/>
                <w:sz w:val="24"/>
              </w:rPr>
            </w:pPr>
            <w:r>
              <w:rPr>
                <w:rFonts w:hint="eastAsia"/>
                <w:kern w:val="0"/>
                <w:sz w:val="24"/>
              </w:rPr>
              <w:t>（</w:t>
            </w:r>
            <w:r>
              <w:rPr>
                <w:rFonts w:hint="eastAsia"/>
                <w:kern w:val="0"/>
                <w:sz w:val="24"/>
              </w:rPr>
              <w:t>1</w:t>
            </w:r>
            <w:r>
              <w:rPr>
                <w:rFonts w:hint="eastAsia"/>
                <w:kern w:val="0"/>
                <w:sz w:val="24"/>
              </w:rPr>
              <w:t>）</w:t>
            </w:r>
            <w:r>
              <w:rPr>
                <w:rFonts w:hint="eastAsia"/>
                <w:kern w:val="0"/>
                <w:sz w:val="24"/>
              </w:rPr>
              <w:t>#1</w:t>
            </w:r>
            <w:r>
              <w:rPr>
                <w:rFonts w:hint="eastAsia"/>
                <w:kern w:val="0"/>
                <w:sz w:val="24"/>
              </w:rPr>
              <w:t>熟料窑尾</w:t>
            </w:r>
            <w:r>
              <w:rPr>
                <w:rFonts w:hint="eastAsia"/>
                <w:kern w:val="0"/>
                <w:sz w:val="24"/>
              </w:rPr>
              <w:t>DA057</w:t>
            </w:r>
            <w:r>
              <w:rPr>
                <w:rFonts w:hint="eastAsia"/>
                <w:kern w:val="0"/>
                <w:sz w:val="24"/>
              </w:rPr>
              <w:t>排气筒二维码与原有排口标识牌不对应；仅设置</w:t>
            </w:r>
            <w:r>
              <w:rPr>
                <w:rFonts w:hint="eastAsia"/>
                <w:kern w:val="0"/>
                <w:sz w:val="24"/>
              </w:rPr>
              <w:t>2</w:t>
            </w:r>
            <w:r>
              <w:rPr>
                <w:rFonts w:hint="eastAsia"/>
                <w:kern w:val="0"/>
                <w:sz w:val="24"/>
              </w:rPr>
              <w:t>个手工监测孔且监测孔未封闭；监测孔距工作平台</w:t>
            </w:r>
            <w:r>
              <w:rPr>
                <w:rFonts w:hint="eastAsia"/>
                <w:kern w:val="0"/>
                <w:sz w:val="24"/>
              </w:rPr>
              <w:t>0.8m</w:t>
            </w:r>
            <w:r>
              <w:rPr>
                <w:rFonts w:hint="eastAsia"/>
                <w:kern w:val="0"/>
                <w:sz w:val="24"/>
              </w:rPr>
              <w:t>不满足规范要求；配电设施不全；梯架宽度</w:t>
            </w:r>
            <w:r>
              <w:rPr>
                <w:rFonts w:hint="eastAsia"/>
                <w:kern w:val="0"/>
                <w:sz w:val="24"/>
              </w:rPr>
              <w:t>0.7m</w:t>
            </w:r>
            <w:r>
              <w:rPr>
                <w:rFonts w:hint="eastAsia"/>
                <w:kern w:val="0"/>
                <w:sz w:val="24"/>
              </w:rPr>
              <w:t>不满足规范要求。</w:t>
            </w:r>
          </w:p>
          <w:p w14:paraId="15988E02" w14:textId="77777777" w:rsidR="00F76A63" w:rsidRDefault="00000000">
            <w:pPr>
              <w:keepNext/>
              <w:keepLines/>
              <w:widowControl/>
              <w:tabs>
                <w:tab w:val="left" w:pos="2340"/>
              </w:tabs>
              <w:adjustRightInd w:val="0"/>
              <w:snapToGrid w:val="0"/>
              <w:spacing w:line="500" w:lineRule="exact"/>
              <w:ind w:firstLineChars="200" w:firstLine="480"/>
              <w:rPr>
                <w:kern w:val="0"/>
                <w:sz w:val="24"/>
              </w:rPr>
            </w:pPr>
            <w:r>
              <w:rPr>
                <w:rFonts w:hint="eastAsia"/>
                <w:kern w:val="0"/>
                <w:sz w:val="24"/>
              </w:rPr>
              <w:t>（</w:t>
            </w:r>
            <w:r>
              <w:rPr>
                <w:rFonts w:hint="eastAsia"/>
                <w:kern w:val="0"/>
                <w:sz w:val="24"/>
              </w:rPr>
              <w:t>2</w:t>
            </w:r>
            <w:r>
              <w:rPr>
                <w:rFonts w:hint="eastAsia"/>
                <w:kern w:val="0"/>
                <w:sz w:val="24"/>
              </w:rPr>
              <w:t>）</w:t>
            </w:r>
            <w:r>
              <w:rPr>
                <w:rFonts w:hint="eastAsia"/>
                <w:kern w:val="0"/>
                <w:sz w:val="24"/>
              </w:rPr>
              <w:t>#2</w:t>
            </w:r>
            <w:r>
              <w:rPr>
                <w:rFonts w:hint="eastAsia"/>
                <w:kern w:val="0"/>
                <w:sz w:val="24"/>
              </w:rPr>
              <w:t>熟料窑尾</w:t>
            </w:r>
            <w:r>
              <w:rPr>
                <w:rFonts w:hint="eastAsia"/>
                <w:kern w:val="0"/>
                <w:sz w:val="24"/>
              </w:rPr>
              <w:t>DA014</w:t>
            </w:r>
            <w:r>
              <w:rPr>
                <w:rFonts w:hint="eastAsia"/>
                <w:kern w:val="0"/>
                <w:sz w:val="24"/>
              </w:rPr>
              <w:t>排气筒仅设置</w:t>
            </w:r>
            <w:r>
              <w:rPr>
                <w:rFonts w:hint="eastAsia"/>
                <w:kern w:val="0"/>
                <w:sz w:val="24"/>
              </w:rPr>
              <w:t>2</w:t>
            </w:r>
            <w:r>
              <w:rPr>
                <w:rFonts w:hint="eastAsia"/>
                <w:kern w:val="0"/>
                <w:sz w:val="24"/>
              </w:rPr>
              <w:t>个手工监测孔且监测孔未封闭；测量手工监测孔外沿距离排气筒外壁距离为</w:t>
            </w:r>
            <w:r>
              <w:rPr>
                <w:rFonts w:hint="eastAsia"/>
                <w:kern w:val="0"/>
                <w:sz w:val="24"/>
              </w:rPr>
              <w:t>100mm</w:t>
            </w:r>
            <w:r>
              <w:rPr>
                <w:rFonts w:hint="eastAsia"/>
                <w:kern w:val="0"/>
                <w:sz w:val="24"/>
              </w:rPr>
              <w:t>不满足规范要求；配电设施不全。</w:t>
            </w:r>
          </w:p>
          <w:p w14:paraId="188CA62A" w14:textId="77777777" w:rsidR="00F76A63" w:rsidRDefault="00000000">
            <w:pPr>
              <w:keepNext/>
              <w:keepLines/>
              <w:widowControl/>
              <w:tabs>
                <w:tab w:val="left" w:pos="2340"/>
              </w:tabs>
              <w:adjustRightInd w:val="0"/>
              <w:snapToGrid w:val="0"/>
              <w:spacing w:line="500" w:lineRule="exact"/>
              <w:ind w:firstLineChars="200" w:firstLine="480"/>
              <w:rPr>
                <w:kern w:val="0"/>
                <w:sz w:val="24"/>
              </w:rPr>
            </w:pPr>
            <w:r>
              <w:rPr>
                <w:rFonts w:hint="eastAsia"/>
                <w:kern w:val="0"/>
                <w:sz w:val="24"/>
              </w:rPr>
              <w:t>对窑尾排气筒整改方案如下：</w:t>
            </w:r>
          </w:p>
          <w:p w14:paraId="66CF5F04" w14:textId="77777777" w:rsidR="00F76A63" w:rsidRDefault="00000000">
            <w:pPr>
              <w:keepNext/>
              <w:keepLines/>
              <w:widowControl/>
              <w:tabs>
                <w:tab w:val="left" w:pos="2340"/>
              </w:tabs>
              <w:adjustRightInd w:val="0"/>
              <w:snapToGrid w:val="0"/>
              <w:spacing w:line="500" w:lineRule="exact"/>
              <w:ind w:firstLineChars="200" w:firstLine="480"/>
              <w:rPr>
                <w:kern w:val="0"/>
                <w:sz w:val="24"/>
              </w:rPr>
            </w:pPr>
            <w:r>
              <w:rPr>
                <w:rFonts w:hint="eastAsia"/>
                <w:kern w:val="0"/>
                <w:sz w:val="24"/>
              </w:rPr>
              <w:t>（</w:t>
            </w:r>
            <w:r>
              <w:rPr>
                <w:rFonts w:hint="eastAsia"/>
                <w:kern w:val="0"/>
                <w:sz w:val="24"/>
              </w:rPr>
              <w:t>1</w:t>
            </w:r>
            <w:r>
              <w:rPr>
                <w:rFonts w:hint="eastAsia"/>
                <w:kern w:val="0"/>
                <w:sz w:val="24"/>
              </w:rPr>
              <w:t>）</w:t>
            </w:r>
            <w:r>
              <w:rPr>
                <w:rFonts w:hint="eastAsia"/>
                <w:kern w:val="0"/>
                <w:sz w:val="24"/>
              </w:rPr>
              <w:t>#1</w:t>
            </w:r>
            <w:r>
              <w:rPr>
                <w:rFonts w:hint="eastAsia"/>
                <w:kern w:val="0"/>
                <w:sz w:val="24"/>
              </w:rPr>
              <w:t>熟料窑尾</w:t>
            </w:r>
            <w:r>
              <w:rPr>
                <w:rFonts w:hint="eastAsia"/>
                <w:kern w:val="0"/>
                <w:sz w:val="24"/>
              </w:rPr>
              <w:t>DA057</w:t>
            </w:r>
            <w:r>
              <w:rPr>
                <w:rFonts w:hint="eastAsia"/>
                <w:kern w:val="0"/>
                <w:sz w:val="24"/>
              </w:rPr>
              <w:t>排气筒修改原有排口标识牌；</w:t>
            </w:r>
            <w:r>
              <w:rPr>
                <w:rFonts w:hint="eastAsia"/>
                <w:kern w:val="0"/>
                <w:sz w:val="24"/>
              </w:rPr>
              <w:t>D</w:t>
            </w:r>
            <w:r>
              <w:rPr>
                <w:rFonts w:hint="eastAsia"/>
                <w:kern w:val="0"/>
                <w:sz w:val="24"/>
              </w:rPr>
              <w:t>＞</w:t>
            </w:r>
            <w:r>
              <w:rPr>
                <w:rFonts w:hint="eastAsia"/>
                <w:kern w:val="0"/>
                <w:sz w:val="24"/>
              </w:rPr>
              <w:t>3.5m</w:t>
            </w:r>
            <w:r>
              <w:rPr>
                <w:rFonts w:hint="eastAsia"/>
                <w:kern w:val="0"/>
                <w:sz w:val="24"/>
              </w:rPr>
              <w:t>，至少设置相互垂直的</w:t>
            </w:r>
            <w:r>
              <w:rPr>
                <w:rFonts w:hint="eastAsia"/>
                <w:kern w:val="0"/>
                <w:sz w:val="24"/>
              </w:rPr>
              <w:t>4</w:t>
            </w:r>
            <w:r>
              <w:rPr>
                <w:rFonts w:hint="eastAsia"/>
                <w:kern w:val="0"/>
                <w:sz w:val="24"/>
              </w:rPr>
              <w:t>个手工监测孔且手工监测孔应符合排气筒</w:t>
            </w:r>
            <w:r>
              <w:rPr>
                <w:rFonts w:hint="eastAsia"/>
                <w:kern w:val="0"/>
                <w:sz w:val="24"/>
              </w:rPr>
              <w:t>/</w:t>
            </w:r>
            <w:r>
              <w:rPr>
                <w:rFonts w:hint="eastAsia"/>
                <w:kern w:val="0"/>
                <w:sz w:val="24"/>
              </w:rPr>
              <w:t>烟道的密封要求；工作平台设置在监测孔的正下方</w:t>
            </w:r>
            <w:r>
              <w:rPr>
                <w:rFonts w:hint="eastAsia"/>
                <w:kern w:val="0"/>
                <w:sz w:val="24"/>
              </w:rPr>
              <w:t>1.2m</w:t>
            </w:r>
            <w:r>
              <w:rPr>
                <w:rFonts w:hint="eastAsia"/>
                <w:kern w:val="0"/>
                <w:sz w:val="24"/>
              </w:rPr>
              <w:t>～</w:t>
            </w:r>
            <w:r>
              <w:rPr>
                <w:rFonts w:hint="eastAsia"/>
                <w:kern w:val="0"/>
                <w:sz w:val="24"/>
              </w:rPr>
              <w:t>1.3m</w:t>
            </w:r>
            <w:r>
              <w:rPr>
                <w:rFonts w:hint="eastAsia"/>
                <w:kern w:val="0"/>
                <w:sz w:val="24"/>
              </w:rPr>
              <w:t>处；按规范要求设置电源；梯架无障碍宽度应不小于</w:t>
            </w:r>
            <w:r>
              <w:rPr>
                <w:rFonts w:hint="eastAsia"/>
                <w:kern w:val="0"/>
                <w:sz w:val="24"/>
              </w:rPr>
              <w:t>0.8m</w:t>
            </w:r>
            <w:r>
              <w:rPr>
                <w:rFonts w:hint="eastAsia"/>
                <w:kern w:val="0"/>
                <w:sz w:val="24"/>
              </w:rPr>
              <w:t>。</w:t>
            </w:r>
          </w:p>
          <w:p w14:paraId="3C7CFA6A" w14:textId="77777777" w:rsidR="00F76A63" w:rsidRDefault="00000000">
            <w:pPr>
              <w:keepNext/>
              <w:keepLines/>
              <w:widowControl/>
              <w:tabs>
                <w:tab w:val="left" w:pos="2340"/>
              </w:tabs>
              <w:adjustRightInd w:val="0"/>
              <w:snapToGrid w:val="0"/>
              <w:spacing w:line="500" w:lineRule="exact"/>
              <w:ind w:firstLineChars="200" w:firstLine="480"/>
              <w:rPr>
                <w:kern w:val="0"/>
                <w:sz w:val="24"/>
              </w:rPr>
            </w:pPr>
            <w:r>
              <w:rPr>
                <w:rFonts w:hint="eastAsia"/>
                <w:kern w:val="0"/>
                <w:sz w:val="24"/>
              </w:rPr>
              <w:t>（</w:t>
            </w:r>
            <w:r>
              <w:rPr>
                <w:rFonts w:hint="eastAsia"/>
                <w:kern w:val="0"/>
                <w:sz w:val="24"/>
              </w:rPr>
              <w:t>2</w:t>
            </w:r>
            <w:r>
              <w:rPr>
                <w:rFonts w:hint="eastAsia"/>
                <w:kern w:val="0"/>
                <w:sz w:val="24"/>
              </w:rPr>
              <w:t>）</w:t>
            </w:r>
            <w:r>
              <w:rPr>
                <w:rFonts w:hint="eastAsia"/>
                <w:kern w:val="0"/>
                <w:sz w:val="24"/>
              </w:rPr>
              <w:t>#2</w:t>
            </w:r>
            <w:r>
              <w:rPr>
                <w:rFonts w:hint="eastAsia"/>
                <w:kern w:val="0"/>
                <w:sz w:val="24"/>
              </w:rPr>
              <w:t>熟料窑尾</w:t>
            </w:r>
            <w:r>
              <w:rPr>
                <w:rFonts w:hint="eastAsia"/>
                <w:kern w:val="0"/>
                <w:sz w:val="24"/>
              </w:rPr>
              <w:t>DA014</w:t>
            </w:r>
            <w:r>
              <w:rPr>
                <w:rFonts w:hint="eastAsia"/>
                <w:kern w:val="0"/>
                <w:sz w:val="24"/>
              </w:rPr>
              <w:t>排气筒</w:t>
            </w:r>
            <w:r>
              <w:rPr>
                <w:rFonts w:hint="eastAsia"/>
                <w:kern w:val="0"/>
                <w:sz w:val="24"/>
              </w:rPr>
              <w:t>D</w:t>
            </w:r>
            <w:r>
              <w:rPr>
                <w:rFonts w:hint="eastAsia"/>
                <w:kern w:val="0"/>
                <w:sz w:val="24"/>
              </w:rPr>
              <w:t>＞</w:t>
            </w:r>
            <w:r>
              <w:rPr>
                <w:rFonts w:hint="eastAsia"/>
                <w:kern w:val="0"/>
                <w:sz w:val="24"/>
              </w:rPr>
              <w:t>3.5m</w:t>
            </w:r>
            <w:r>
              <w:rPr>
                <w:rFonts w:hint="eastAsia"/>
                <w:kern w:val="0"/>
                <w:sz w:val="24"/>
              </w:rPr>
              <w:t>，至少设置相互垂直的</w:t>
            </w:r>
            <w:r>
              <w:rPr>
                <w:rFonts w:hint="eastAsia"/>
                <w:kern w:val="0"/>
                <w:sz w:val="24"/>
              </w:rPr>
              <w:t>4</w:t>
            </w:r>
            <w:r>
              <w:rPr>
                <w:rFonts w:hint="eastAsia"/>
                <w:kern w:val="0"/>
                <w:sz w:val="24"/>
              </w:rPr>
              <w:t>个手工监测孔；监测孔外沿距离排气筒</w:t>
            </w:r>
            <w:r>
              <w:rPr>
                <w:rFonts w:hint="eastAsia"/>
                <w:kern w:val="0"/>
                <w:sz w:val="24"/>
              </w:rPr>
              <w:t>/</w:t>
            </w:r>
            <w:r>
              <w:rPr>
                <w:rFonts w:hint="eastAsia"/>
                <w:kern w:val="0"/>
                <w:sz w:val="24"/>
              </w:rPr>
              <w:t>烟道或保温层外壁距离应≤</w:t>
            </w:r>
            <w:r>
              <w:rPr>
                <w:rFonts w:hint="eastAsia"/>
                <w:kern w:val="0"/>
                <w:sz w:val="24"/>
              </w:rPr>
              <w:t>50mm</w:t>
            </w:r>
            <w:r>
              <w:rPr>
                <w:rFonts w:hint="eastAsia"/>
                <w:kern w:val="0"/>
                <w:sz w:val="24"/>
              </w:rPr>
              <w:t>；按规范要求设置电源。</w:t>
            </w:r>
            <w:bookmarkEnd w:id="107"/>
          </w:p>
        </w:tc>
      </w:tr>
    </w:tbl>
    <w:p w14:paraId="7FDD0CBE" w14:textId="77777777" w:rsidR="00F76A63" w:rsidRDefault="00F76A63">
      <w:pPr>
        <w:sectPr w:rsidR="00F76A63">
          <w:pgSz w:w="11906" w:h="16838"/>
          <w:pgMar w:top="1701" w:right="1531" w:bottom="1701" w:left="1531" w:header="851" w:footer="851" w:gutter="0"/>
          <w:cols w:space="720"/>
          <w:docGrid w:linePitch="312"/>
        </w:sectPr>
      </w:pPr>
    </w:p>
    <w:p w14:paraId="5E3EDE37" w14:textId="77777777" w:rsidR="00F76A63" w:rsidRDefault="00000000">
      <w:pPr>
        <w:jc w:val="center"/>
        <w:outlineLvl w:val="0"/>
        <w:rPr>
          <w:b/>
          <w:bCs/>
          <w:snapToGrid w:val="0"/>
          <w:sz w:val="30"/>
          <w:szCs w:val="30"/>
        </w:rPr>
      </w:pPr>
      <w:r>
        <w:rPr>
          <w:b/>
          <w:bCs/>
          <w:snapToGrid w:val="0"/>
          <w:sz w:val="30"/>
          <w:szCs w:val="30"/>
        </w:rPr>
        <w:lastRenderedPageBreak/>
        <w:t>三、区域环境质量现状、环境保护目标及评价标准</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27"/>
        <w:gridCol w:w="8398"/>
      </w:tblGrid>
      <w:tr w:rsidR="00F76A63" w14:paraId="7F63368D" w14:textId="77777777">
        <w:trPr>
          <w:trHeight w:val="5796"/>
          <w:jc w:val="center"/>
        </w:trPr>
        <w:tc>
          <w:tcPr>
            <w:tcW w:w="427" w:type="dxa"/>
            <w:vAlign w:val="center"/>
          </w:tcPr>
          <w:p w14:paraId="2CDFD44D" w14:textId="77777777" w:rsidR="00F76A63" w:rsidRDefault="00000000">
            <w:pPr>
              <w:adjustRightInd w:val="0"/>
              <w:snapToGrid w:val="0"/>
              <w:jc w:val="center"/>
              <w:rPr>
                <w:b/>
                <w:bCs/>
                <w:kern w:val="0"/>
                <w:szCs w:val="21"/>
              </w:rPr>
            </w:pPr>
            <w:r>
              <w:rPr>
                <w:b/>
                <w:bCs/>
                <w:kern w:val="0"/>
                <w:szCs w:val="21"/>
              </w:rPr>
              <w:t>区域</w:t>
            </w:r>
          </w:p>
          <w:p w14:paraId="21E04C2A" w14:textId="77777777" w:rsidR="00F76A63" w:rsidRDefault="00000000">
            <w:pPr>
              <w:adjustRightInd w:val="0"/>
              <w:snapToGrid w:val="0"/>
              <w:jc w:val="center"/>
              <w:rPr>
                <w:b/>
                <w:bCs/>
                <w:kern w:val="0"/>
                <w:szCs w:val="21"/>
              </w:rPr>
            </w:pPr>
            <w:r>
              <w:rPr>
                <w:b/>
                <w:bCs/>
                <w:kern w:val="0"/>
                <w:szCs w:val="21"/>
              </w:rPr>
              <w:t>环境</w:t>
            </w:r>
          </w:p>
          <w:p w14:paraId="34D6B7F5" w14:textId="77777777" w:rsidR="00F76A63" w:rsidRDefault="00000000">
            <w:pPr>
              <w:adjustRightInd w:val="0"/>
              <w:snapToGrid w:val="0"/>
              <w:jc w:val="center"/>
              <w:rPr>
                <w:b/>
                <w:bCs/>
                <w:kern w:val="0"/>
                <w:szCs w:val="21"/>
              </w:rPr>
            </w:pPr>
            <w:r>
              <w:rPr>
                <w:b/>
                <w:bCs/>
                <w:kern w:val="0"/>
                <w:szCs w:val="21"/>
              </w:rPr>
              <w:t>质量</w:t>
            </w:r>
          </w:p>
          <w:p w14:paraId="2C5BFD88" w14:textId="77777777" w:rsidR="00F76A63" w:rsidRDefault="00000000">
            <w:pPr>
              <w:adjustRightInd w:val="0"/>
              <w:snapToGrid w:val="0"/>
              <w:jc w:val="center"/>
              <w:rPr>
                <w:kern w:val="0"/>
                <w:szCs w:val="21"/>
              </w:rPr>
            </w:pPr>
            <w:r>
              <w:rPr>
                <w:b/>
                <w:bCs/>
                <w:kern w:val="0"/>
                <w:szCs w:val="21"/>
              </w:rPr>
              <w:t>现状</w:t>
            </w:r>
          </w:p>
        </w:tc>
        <w:tc>
          <w:tcPr>
            <w:tcW w:w="8398" w:type="dxa"/>
            <w:vAlign w:val="center"/>
          </w:tcPr>
          <w:p w14:paraId="601A27D7" w14:textId="77777777" w:rsidR="00F76A63" w:rsidRDefault="00000000">
            <w:pPr>
              <w:adjustRightInd w:val="0"/>
              <w:snapToGrid w:val="0"/>
              <w:spacing w:line="500" w:lineRule="exact"/>
              <w:ind w:firstLineChars="200" w:firstLine="482"/>
              <w:rPr>
                <w:b/>
                <w:bCs/>
                <w:sz w:val="24"/>
              </w:rPr>
            </w:pPr>
            <w:r>
              <w:rPr>
                <w:b/>
                <w:bCs/>
                <w:sz w:val="24"/>
              </w:rPr>
              <w:t>1</w:t>
            </w:r>
            <w:r>
              <w:rPr>
                <w:b/>
                <w:bCs/>
                <w:sz w:val="24"/>
              </w:rPr>
              <w:t>、大气环境质量</w:t>
            </w:r>
          </w:p>
          <w:p w14:paraId="66775059" w14:textId="77777777" w:rsidR="00F76A63" w:rsidRDefault="00000000">
            <w:pPr>
              <w:adjustRightInd w:val="0"/>
              <w:snapToGrid w:val="0"/>
              <w:spacing w:line="500" w:lineRule="exact"/>
              <w:ind w:firstLineChars="200" w:firstLine="482"/>
              <w:rPr>
                <w:kern w:val="0"/>
                <w:sz w:val="24"/>
              </w:rPr>
            </w:pPr>
            <w:bookmarkStart w:id="108" w:name="_Hlk200895794"/>
            <w:r>
              <w:rPr>
                <w:b/>
                <w:kern w:val="0"/>
                <w:sz w:val="24"/>
              </w:rPr>
              <w:t>（</w:t>
            </w:r>
            <w:r>
              <w:rPr>
                <w:b/>
                <w:kern w:val="0"/>
                <w:sz w:val="24"/>
              </w:rPr>
              <w:t>1</w:t>
            </w:r>
            <w:r>
              <w:rPr>
                <w:b/>
                <w:kern w:val="0"/>
                <w:sz w:val="24"/>
              </w:rPr>
              <w:t>）项目所在区域达标判断及基本污染物环境质量现状</w:t>
            </w:r>
          </w:p>
          <w:p w14:paraId="0A526018" w14:textId="77777777" w:rsidR="00F76A63" w:rsidRDefault="00000000">
            <w:pPr>
              <w:adjustRightInd w:val="0"/>
              <w:snapToGrid w:val="0"/>
              <w:spacing w:line="500" w:lineRule="exact"/>
              <w:ind w:firstLineChars="200" w:firstLine="480"/>
              <w:rPr>
                <w:bCs/>
                <w:kern w:val="0"/>
                <w:sz w:val="24"/>
              </w:rPr>
            </w:pPr>
            <w:bookmarkStart w:id="109" w:name="_Hlk200895757"/>
            <w:bookmarkStart w:id="110" w:name="_Hlk227333160"/>
            <w:bookmarkEnd w:id="108"/>
            <w:r>
              <w:rPr>
                <w:bCs/>
                <w:kern w:val="0"/>
                <w:sz w:val="24"/>
              </w:rPr>
              <w:t>根据《环境影响评价技术导则</w:t>
            </w:r>
            <w:r>
              <w:rPr>
                <w:bCs/>
                <w:kern w:val="0"/>
                <w:sz w:val="24"/>
              </w:rPr>
              <w:t xml:space="preserve"> </w:t>
            </w:r>
            <w:r>
              <w:rPr>
                <w:bCs/>
                <w:kern w:val="0"/>
                <w:sz w:val="24"/>
              </w:rPr>
              <w:t>大气环境》（</w:t>
            </w:r>
            <w:r>
              <w:rPr>
                <w:bCs/>
                <w:kern w:val="0"/>
                <w:sz w:val="24"/>
              </w:rPr>
              <w:t>HJ 2.2-2018</w:t>
            </w:r>
            <w:r>
              <w:rPr>
                <w:bCs/>
                <w:kern w:val="0"/>
                <w:sz w:val="24"/>
              </w:rPr>
              <w:t>），项目所在区域达标情况判定优先采用国家或地方生态环境主管部门公开发布的环境质量公告或环境质量报告中的数据或结论。</w:t>
            </w:r>
          </w:p>
          <w:p w14:paraId="153D3291" w14:textId="77777777" w:rsidR="00F76A63" w:rsidRDefault="00000000">
            <w:pPr>
              <w:adjustRightInd w:val="0"/>
              <w:snapToGrid w:val="0"/>
              <w:spacing w:line="500" w:lineRule="exact"/>
              <w:ind w:firstLineChars="200" w:firstLine="480"/>
              <w:rPr>
                <w:bCs/>
                <w:kern w:val="0"/>
                <w:sz w:val="24"/>
              </w:rPr>
            </w:pPr>
            <w:bookmarkStart w:id="111" w:name="OLE_LINK38"/>
            <w:bookmarkStart w:id="112" w:name="_Hlk172568706"/>
            <w:r>
              <w:rPr>
                <w:bCs/>
                <w:kern w:val="0"/>
                <w:sz w:val="24"/>
              </w:rPr>
              <w:t>根据《</w:t>
            </w:r>
            <w:r>
              <w:rPr>
                <w:bCs/>
                <w:kern w:val="0"/>
                <w:sz w:val="24"/>
              </w:rPr>
              <w:t>202</w:t>
            </w:r>
            <w:r>
              <w:rPr>
                <w:rFonts w:hint="eastAsia"/>
                <w:bCs/>
                <w:kern w:val="0"/>
                <w:sz w:val="24"/>
              </w:rPr>
              <w:t>5</w:t>
            </w:r>
            <w:r>
              <w:rPr>
                <w:bCs/>
                <w:kern w:val="0"/>
                <w:sz w:val="24"/>
              </w:rPr>
              <w:t>年度镇江市生态环境状况公报》，</w:t>
            </w:r>
            <w:r>
              <w:rPr>
                <w:bCs/>
                <w:kern w:val="0"/>
                <w:sz w:val="24"/>
              </w:rPr>
              <w:t>202</w:t>
            </w:r>
            <w:r>
              <w:rPr>
                <w:rFonts w:hint="eastAsia"/>
                <w:bCs/>
                <w:kern w:val="0"/>
                <w:sz w:val="24"/>
              </w:rPr>
              <w:t>5</w:t>
            </w:r>
            <w:r>
              <w:rPr>
                <w:bCs/>
                <w:kern w:val="0"/>
                <w:sz w:val="24"/>
              </w:rPr>
              <w:t>年度，镇江市空气污染物指标监测结果见下表：</w:t>
            </w:r>
          </w:p>
          <w:p w14:paraId="67C9A0D7" w14:textId="77777777" w:rsidR="00F76A63" w:rsidRDefault="00000000">
            <w:pPr>
              <w:keepNext/>
              <w:widowControl/>
              <w:adjustRightInd w:val="0"/>
              <w:snapToGrid w:val="0"/>
              <w:spacing w:line="500" w:lineRule="exact"/>
              <w:jc w:val="center"/>
              <w:outlineLvl w:val="7"/>
              <w:rPr>
                <w:b/>
                <w:sz w:val="24"/>
              </w:rPr>
            </w:pPr>
            <w:bookmarkStart w:id="113" w:name="_Hlk200895782"/>
            <w:bookmarkStart w:id="114" w:name="_Hlk206081698"/>
            <w:bookmarkEnd w:id="109"/>
            <w:bookmarkEnd w:id="111"/>
            <w:r>
              <w:rPr>
                <w:b/>
                <w:sz w:val="24"/>
              </w:rPr>
              <w:t>表</w:t>
            </w:r>
            <w:r>
              <w:rPr>
                <w:b/>
                <w:sz w:val="24"/>
              </w:rPr>
              <w:t xml:space="preserve">3-1  </w:t>
            </w:r>
            <w:r>
              <w:rPr>
                <w:b/>
                <w:sz w:val="24"/>
              </w:rPr>
              <w:t>环境空气质量现状（对照</w:t>
            </w:r>
            <w:r>
              <w:rPr>
                <w:b/>
                <w:kern w:val="0"/>
                <w:sz w:val="24"/>
              </w:rPr>
              <w:t>GB3095-2026</w:t>
            </w:r>
            <w:r>
              <w:rPr>
                <w:b/>
                <w:sz w:val="24"/>
              </w:rPr>
              <w:t>）</w:t>
            </w:r>
            <w:r>
              <w:rPr>
                <w:rFonts w:hint="eastAsia"/>
                <w:b/>
                <w:sz w:val="24"/>
              </w:rPr>
              <w:t>过渡阶段浓度限值</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063"/>
              <w:gridCol w:w="2177"/>
              <w:gridCol w:w="1544"/>
              <w:gridCol w:w="1316"/>
              <w:gridCol w:w="1145"/>
              <w:gridCol w:w="937"/>
            </w:tblGrid>
            <w:tr w:rsidR="00F76A63" w14:paraId="69080CAF" w14:textId="77777777">
              <w:trPr>
                <w:trHeight w:val="168"/>
                <w:jc w:val="center"/>
              </w:trPr>
              <w:tc>
                <w:tcPr>
                  <w:tcW w:w="1066" w:type="dxa"/>
                  <w:tcBorders>
                    <w:tl2br w:val="nil"/>
                    <w:tr2bl w:val="nil"/>
                  </w:tcBorders>
                  <w:vAlign w:val="center"/>
                </w:tcPr>
                <w:p w14:paraId="3D2C52D7" w14:textId="77777777" w:rsidR="00F76A63" w:rsidRDefault="00000000">
                  <w:pPr>
                    <w:adjustRightInd w:val="0"/>
                    <w:snapToGrid w:val="0"/>
                    <w:jc w:val="center"/>
                    <w:rPr>
                      <w:b/>
                      <w:bCs/>
                      <w:kern w:val="0"/>
                      <w:szCs w:val="21"/>
                    </w:rPr>
                  </w:pPr>
                  <w:r>
                    <w:rPr>
                      <w:b/>
                      <w:bCs/>
                      <w:kern w:val="0"/>
                      <w:szCs w:val="21"/>
                    </w:rPr>
                    <w:t>污染物</w:t>
                  </w:r>
                </w:p>
              </w:tc>
              <w:tc>
                <w:tcPr>
                  <w:tcW w:w="2187" w:type="dxa"/>
                  <w:tcBorders>
                    <w:tl2br w:val="nil"/>
                    <w:tr2bl w:val="nil"/>
                  </w:tcBorders>
                  <w:vAlign w:val="center"/>
                </w:tcPr>
                <w:p w14:paraId="6872C9CF" w14:textId="77777777" w:rsidR="00F76A63" w:rsidRDefault="00000000">
                  <w:pPr>
                    <w:adjustRightInd w:val="0"/>
                    <w:snapToGrid w:val="0"/>
                    <w:jc w:val="center"/>
                    <w:rPr>
                      <w:b/>
                      <w:bCs/>
                      <w:kern w:val="0"/>
                      <w:szCs w:val="21"/>
                    </w:rPr>
                  </w:pPr>
                  <w:r>
                    <w:rPr>
                      <w:b/>
                      <w:bCs/>
                      <w:kern w:val="0"/>
                      <w:szCs w:val="21"/>
                    </w:rPr>
                    <w:t>平均时段</w:t>
                  </w:r>
                </w:p>
              </w:tc>
              <w:tc>
                <w:tcPr>
                  <w:tcW w:w="1551" w:type="dxa"/>
                  <w:tcBorders>
                    <w:tl2br w:val="nil"/>
                    <w:tr2bl w:val="nil"/>
                  </w:tcBorders>
                  <w:vAlign w:val="center"/>
                </w:tcPr>
                <w:p w14:paraId="16B503E3" w14:textId="77777777" w:rsidR="00F76A63" w:rsidRDefault="00000000">
                  <w:pPr>
                    <w:adjustRightInd w:val="0"/>
                    <w:snapToGrid w:val="0"/>
                    <w:jc w:val="center"/>
                    <w:rPr>
                      <w:b/>
                      <w:bCs/>
                      <w:kern w:val="0"/>
                      <w:szCs w:val="21"/>
                    </w:rPr>
                  </w:pPr>
                  <w:r>
                    <w:rPr>
                      <w:b/>
                      <w:bCs/>
                      <w:kern w:val="0"/>
                      <w:szCs w:val="21"/>
                    </w:rPr>
                    <w:t>现状浓度（</w:t>
                  </w:r>
                  <w:r>
                    <w:rPr>
                      <w:b/>
                      <w:bCs/>
                      <w:kern w:val="0"/>
                      <w:szCs w:val="21"/>
                    </w:rPr>
                    <w:t>μg/m</w:t>
                  </w:r>
                  <w:r>
                    <w:rPr>
                      <w:b/>
                      <w:bCs/>
                      <w:kern w:val="0"/>
                      <w:szCs w:val="21"/>
                      <w:vertAlign w:val="superscript"/>
                    </w:rPr>
                    <w:t>3</w:t>
                  </w:r>
                  <w:r>
                    <w:rPr>
                      <w:b/>
                      <w:bCs/>
                      <w:kern w:val="0"/>
                      <w:szCs w:val="21"/>
                    </w:rPr>
                    <w:t>）</w:t>
                  </w:r>
                </w:p>
              </w:tc>
              <w:tc>
                <w:tcPr>
                  <w:tcW w:w="1322" w:type="dxa"/>
                  <w:tcBorders>
                    <w:tl2br w:val="nil"/>
                    <w:tr2bl w:val="nil"/>
                  </w:tcBorders>
                  <w:vAlign w:val="center"/>
                </w:tcPr>
                <w:p w14:paraId="3962CE58" w14:textId="77777777" w:rsidR="00F76A63" w:rsidRDefault="00000000">
                  <w:pPr>
                    <w:adjustRightInd w:val="0"/>
                    <w:snapToGrid w:val="0"/>
                    <w:jc w:val="center"/>
                    <w:rPr>
                      <w:b/>
                      <w:bCs/>
                      <w:kern w:val="0"/>
                      <w:szCs w:val="21"/>
                    </w:rPr>
                  </w:pPr>
                  <w:r>
                    <w:rPr>
                      <w:b/>
                      <w:bCs/>
                      <w:kern w:val="0"/>
                      <w:szCs w:val="21"/>
                    </w:rPr>
                    <w:t>标准值（</w:t>
                  </w:r>
                  <w:r>
                    <w:rPr>
                      <w:b/>
                      <w:bCs/>
                      <w:kern w:val="0"/>
                      <w:szCs w:val="21"/>
                    </w:rPr>
                    <w:t>μg/m</w:t>
                  </w:r>
                  <w:r>
                    <w:rPr>
                      <w:b/>
                      <w:bCs/>
                      <w:kern w:val="0"/>
                      <w:szCs w:val="21"/>
                      <w:vertAlign w:val="superscript"/>
                    </w:rPr>
                    <w:t>3</w:t>
                  </w:r>
                  <w:r>
                    <w:rPr>
                      <w:b/>
                      <w:bCs/>
                      <w:kern w:val="0"/>
                      <w:szCs w:val="21"/>
                    </w:rPr>
                    <w:t>）</w:t>
                  </w:r>
                </w:p>
              </w:tc>
              <w:tc>
                <w:tcPr>
                  <w:tcW w:w="1150" w:type="dxa"/>
                  <w:tcBorders>
                    <w:tl2br w:val="nil"/>
                    <w:tr2bl w:val="nil"/>
                  </w:tcBorders>
                  <w:vAlign w:val="center"/>
                </w:tcPr>
                <w:p w14:paraId="1E92C642" w14:textId="77777777" w:rsidR="00F76A63" w:rsidRDefault="00000000">
                  <w:pPr>
                    <w:adjustRightInd w:val="0"/>
                    <w:snapToGrid w:val="0"/>
                    <w:jc w:val="center"/>
                    <w:rPr>
                      <w:b/>
                      <w:bCs/>
                      <w:kern w:val="0"/>
                      <w:szCs w:val="21"/>
                    </w:rPr>
                  </w:pPr>
                  <w:r>
                    <w:rPr>
                      <w:b/>
                      <w:bCs/>
                      <w:kern w:val="0"/>
                      <w:szCs w:val="21"/>
                    </w:rPr>
                    <w:t>占标率（</w:t>
                  </w:r>
                  <w:r>
                    <w:rPr>
                      <w:b/>
                      <w:bCs/>
                      <w:kern w:val="0"/>
                      <w:szCs w:val="21"/>
                    </w:rPr>
                    <w:t>%</w:t>
                  </w:r>
                  <w:r>
                    <w:rPr>
                      <w:b/>
                      <w:bCs/>
                      <w:kern w:val="0"/>
                      <w:szCs w:val="21"/>
                    </w:rPr>
                    <w:t>）</w:t>
                  </w:r>
                </w:p>
              </w:tc>
              <w:tc>
                <w:tcPr>
                  <w:tcW w:w="941" w:type="dxa"/>
                  <w:tcBorders>
                    <w:tl2br w:val="nil"/>
                    <w:tr2bl w:val="nil"/>
                  </w:tcBorders>
                  <w:vAlign w:val="center"/>
                </w:tcPr>
                <w:p w14:paraId="7FCCA5F8" w14:textId="77777777" w:rsidR="00F76A63" w:rsidRDefault="00000000">
                  <w:pPr>
                    <w:adjustRightInd w:val="0"/>
                    <w:snapToGrid w:val="0"/>
                    <w:jc w:val="center"/>
                    <w:rPr>
                      <w:b/>
                      <w:bCs/>
                      <w:kern w:val="0"/>
                      <w:szCs w:val="21"/>
                    </w:rPr>
                  </w:pPr>
                  <w:r>
                    <w:rPr>
                      <w:b/>
                      <w:bCs/>
                      <w:kern w:val="0"/>
                      <w:szCs w:val="21"/>
                    </w:rPr>
                    <w:t>达标情况</w:t>
                  </w:r>
                </w:p>
              </w:tc>
            </w:tr>
            <w:tr w:rsidR="00F76A63" w14:paraId="2A57D560" w14:textId="77777777">
              <w:trPr>
                <w:trHeight w:val="80"/>
                <w:jc w:val="center"/>
              </w:trPr>
              <w:tc>
                <w:tcPr>
                  <w:tcW w:w="1066" w:type="dxa"/>
                  <w:tcBorders>
                    <w:tl2br w:val="nil"/>
                    <w:tr2bl w:val="nil"/>
                  </w:tcBorders>
                  <w:vAlign w:val="center"/>
                </w:tcPr>
                <w:p w14:paraId="74DB7D7F" w14:textId="77777777" w:rsidR="00F76A63" w:rsidRDefault="00000000">
                  <w:pPr>
                    <w:adjustRightInd w:val="0"/>
                    <w:snapToGrid w:val="0"/>
                    <w:jc w:val="center"/>
                    <w:rPr>
                      <w:bCs/>
                      <w:kern w:val="0"/>
                      <w:szCs w:val="21"/>
                    </w:rPr>
                  </w:pPr>
                  <w:r>
                    <w:rPr>
                      <w:bCs/>
                      <w:kern w:val="0"/>
                      <w:szCs w:val="21"/>
                    </w:rPr>
                    <w:t>SO</w:t>
                  </w:r>
                  <w:r>
                    <w:rPr>
                      <w:bCs/>
                      <w:kern w:val="0"/>
                      <w:szCs w:val="21"/>
                      <w:vertAlign w:val="subscript"/>
                    </w:rPr>
                    <w:t>2</w:t>
                  </w:r>
                </w:p>
              </w:tc>
              <w:tc>
                <w:tcPr>
                  <w:tcW w:w="2187" w:type="dxa"/>
                  <w:vMerge w:val="restart"/>
                  <w:tcBorders>
                    <w:tl2br w:val="nil"/>
                    <w:tr2bl w:val="nil"/>
                  </w:tcBorders>
                  <w:vAlign w:val="center"/>
                </w:tcPr>
                <w:p w14:paraId="236A6EDE" w14:textId="77777777" w:rsidR="00F76A63" w:rsidRDefault="00000000">
                  <w:pPr>
                    <w:adjustRightInd w:val="0"/>
                    <w:snapToGrid w:val="0"/>
                    <w:jc w:val="center"/>
                    <w:rPr>
                      <w:bCs/>
                      <w:kern w:val="0"/>
                      <w:szCs w:val="21"/>
                    </w:rPr>
                  </w:pPr>
                  <w:r>
                    <w:rPr>
                      <w:bCs/>
                      <w:kern w:val="0"/>
                      <w:szCs w:val="21"/>
                    </w:rPr>
                    <w:t>年平均质量浓度</w:t>
                  </w:r>
                </w:p>
              </w:tc>
              <w:tc>
                <w:tcPr>
                  <w:tcW w:w="1551" w:type="dxa"/>
                  <w:tcBorders>
                    <w:tl2br w:val="nil"/>
                    <w:tr2bl w:val="nil"/>
                  </w:tcBorders>
                  <w:vAlign w:val="center"/>
                </w:tcPr>
                <w:p w14:paraId="452C0CB2" w14:textId="77777777" w:rsidR="00F76A63" w:rsidRDefault="00000000">
                  <w:pPr>
                    <w:adjustRightInd w:val="0"/>
                    <w:snapToGrid w:val="0"/>
                    <w:jc w:val="center"/>
                    <w:rPr>
                      <w:bCs/>
                      <w:kern w:val="0"/>
                      <w:szCs w:val="21"/>
                    </w:rPr>
                  </w:pPr>
                  <w:r>
                    <w:rPr>
                      <w:szCs w:val="21"/>
                    </w:rPr>
                    <w:t>6</w:t>
                  </w:r>
                </w:p>
              </w:tc>
              <w:tc>
                <w:tcPr>
                  <w:tcW w:w="1322" w:type="dxa"/>
                  <w:tcBorders>
                    <w:tl2br w:val="nil"/>
                    <w:tr2bl w:val="nil"/>
                  </w:tcBorders>
                  <w:vAlign w:val="center"/>
                </w:tcPr>
                <w:p w14:paraId="45EFDE88" w14:textId="77777777" w:rsidR="00F76A63" w:rsidRDefault="00000000">
                  <w:pPr>
                    <w:adjustRightInd w:val="0"/>
                    <w:snapToGrid w:val="0"/>
                    <w:jc w:val="center"/>
                    <w:rPr>
                      <w:bCs/>
                      <w:kern w:val="0"/>
                      <w:szCs w:val="21"/>
                    </w:rPr>
                  </w:pPr>
                  <w:r>
                    <w:rPr>
                      <w:bCs/>
                      <w:kern w:val="0"/>
                      <w:szCs w:val="21"/>
                    </w:rPr>
                    <w:t>60</w:t>
                  </w:r>
                </w:p>
              </w:tc>
              <w:tc>
                <w:tcPr>
                  <w:tcW w:w="1150" w:type="dxa"/>
                  <w:tcBorders>
                    <w:tl2br w:val="nil"/>
                    <w:tr2bl w:val="nil"/>
                  </w:tcBorders>
                  <w:vAlign w:val="center"/>
                </w:tcPr>
                <w:p w14:paraId="1E38E764" w14:textId="77777777" w:rsidR="00F76A63" w:rsidRDefault="00000000">
                  <w:pPr>
                    <w:widowControl/>
                    <w:jc w:val="center"/>
                    <w:textAlignment w:val="center"/>
                    <w:rPr>
                      <w:bCs/>
                      <w:kern w:val="0"/>
                      <w:szCs w:val="21"/>
                    </w:rPr>
                  </w:pPr>
                  <w:r>
                    <w:rPr>
                      <w:szCs w:val="21"/>
                    </w:rPr>
                    <w:t>10</w:t>
                  </w:r>
                  <w:r>
                    <w:rPr>
                      <w:rFonts w:hint="eastAsia"/>
                      <w:szCs w:val="21"/>
                    </w:rPr>
                    <w:t>.0</w:t>
                  </w:r>
                </w:p>
              </w:tc>
              <w:tc>
                <w:tcPr>
                  <w:tcW w:w="941" w:type="dxa"/>
                  <w:tcBorders>
                    <w:tl2br w:val="nil"/>
                    <w:tr2bl w:val="nil"/>
                  </w:tcBorders>
                  <w:vAlign w:val="center"/>
                </w:tcPr>
                <w:p w14:paraId="0811B4F5" w14:textId="77777777" w:rsidR="00F76A63" w:rsidRDefault="00000000">
                  <w:pPr>
                    <w:adjustRightInd w:val="0"/>
                    <w:snapToGrid w:val="0"/>
                    <w:jc w:val="center"/>
                    <w:rPr>
                      <w:bCs/>
                      <w:kern w:val="0"/>
                      <w:szCs w:val="21"/>
                    </w:rPr>
                  </w:pPr>
                  <w:r>
                    <w:rPr>
                      <w:rFonts w:ascii="宋体" w:hAnsi="宋体" w:hint="eastAsia"/>
                      <w:szCs w:val="21"/>
                    </w:rPr>
                    <w:t>达标</w:t>
                  </w:r>
                </w:p>
              </w:tc>
            </w:tr>
            <w:tr w:rsidR="00F76A63" w14:paraId="5603F729" w14:textId="77777777">
              <w:trPr>
                <w:trHeight w:val="20"/>
                <w:jc w:val="center"/>
              </w:trPr>
              <w:tc>
                <w:tcPr>
                  <w:tcW w:w="1066" w:type="dxa"/>
                  <w:tcBorders>
                    <w:tl2br w:val="nil"/>
                    <w:tr2bl w:val="nil"/>
                  </w:tcBorders>
                  <w:vAlign w:val="center"/>
                </w:tcPr>
                <w:p w14:paraId="06A18A76" w14:textId="77777777" w:rsidR="00F76A63" w:rsidRDefault="00000000">
                  <w:pPr>
                    <w:adjustRightInd w:val="0"/>
                    <w:snapToGrid w:val="0"/>
                    <w:jc w:val="center"/>
                    <w:rPr>
                      <w:bCs/>
                      <w:kern w:val="0"/>
                      <w:szCs w:val="21"/>
                    </w:rPr>
                  </w:pPr>
                  <w:r>
                    <w:rPr>
                      <w:bCs/>
                      <w:kern w:val="0"/>
                      <w:szCs w:val="21"/>
                    </w:rPr>
                    <w:t>NO</w:t>
                  </w:r>
                  <w:r>
                    <w:rPr>
                      <w:bCs/>
                      <w:kern w:val="0"/>
                      <w:szCs w:val="21"/>
                      <w:vertAlign w:val="subscript"/>
                    </w:rPr>
                    <w:t>2</w:t>
                  </w:r>
                </w:p>
              </w:tc>
              <w:tc>
                <w:tcPr>
                  <w:tcW w:w="2187" w:type="dxa"/>
                  <w:vMerge/>
                  <w:tcBorders>
                    <w:tl2br w:val="nil"/>
                    <w:tr2bl w:val="nil"/>
                  </w:tcBorders>
                  <w:vAlign w:val="center"/>
                </w:tcPr>
                <w:p w14:paraId="7E498863" w14:textId="77777777" w:rsidR="00F76A63" w:rsidRDefault="00F76A63">
                  <w:pPr>
                    <w:adjustRightInd w:val="0"/>
                    <w:snapToGrid w:val="0"/>
                    <w:jc w:val="center"/>
                    <w:rPr>
                      <w:bCs/>
                      <w:kern w:val="0"/>
                      <w:szCs w:val="21"/>
                    </w:rPr>
                  </w:pPr>
                </w:p>
              </w:tc>
              <w:tc>
                <w:tcPr>
                  <w:tcW w:w="1551" w:type="dxa"/>
                  <w:tcBorders>
                    <w:tl2br w:val="nil"/>
                    <w:tr2bl w:val="nil"/>
                  </w:tcBorders>
                  <w:vAlign w:val="center"/>
                </w:tcPr>
                <w:p w14:paraId="66022EA8" w14:textId="77777777" w:rsidR="00F76A63" w:rsidRDefault="00000000">
                  <w:pPr>
                    <w:adjustRightInd w:val="0"/>
                    <w:snapToGrid w:val="0"/>
                    <w:jc w:val="center"/>
                    <w:rPr>
                      <w:bCs/>
                      <w:kern w:val="0"/>
                      <w:szCs w:val="21"/>
                    </w:rPr>
                  </w:pPr>
                  <w:r>
                    <w:rPr>
                      <w:szCs w:val="21"/>
                    </w:rPr>
                    <w:t>27</w:t>
                  </w:r>
                </w:p>
              </w:tc>
              <w:tc>
                <w:tcPr>
                  <w:tcW w:w="1322" w:type="dxa"/>
                  <w:tcBorders>
                    <w:tl2br w:val="nil"/>
                    <w:tr2bl w:val="nil"/>
                  </w:tcBorders>
                  <w:vAlign w:val="center"/>
                </w:tcPr>
                <w:p w14:paraId="7CC4C40F" w14:textId="77777777" w:rsidR="00F76A63" w:rsidRDefault="00000000">
                  <w:pPr>
                    <w:adjustRightInd w:val="0"/>
                    <w:snapToGrid w:val="0"/>
                    <w:jc w:val="center"/>
                    <w:rPr>
                      <w:bCs/>
                      <w:kern w:val="0"/>
                      <w:szCs w:val="21"/>
                    </w:rPr>
                  </w:pPr>
                  <w:r>
                    <w:rPr>
                      <w:bCs/>
                      <w:kern w:val="0"/>
                      <w:szCs w:val="21"/>
                    </w:rPr>
                    <w:t>40</w:t>
                  </w:r>
                </w:p>
              </w:tc>
              <w:tc>
                <w:tcPr>
                  <w:tcW w:w="1150" w:type="dxa"/>
                  <w:tcBorders>
                    <w:tl2br w:val="nil"/>
                    <w:tr2bl w:val="nil"/>
                  </w:tcBorders>
                  <w:vAlign w:val="center"/>
                </w:tcPr>
                <w:p w14:paraId="23A27C45" w14:textId="77777777" w:rsidR="00F76A63" w:rsidRDefault="00000000">
                  <w:pPr>
                    <w:widowControl/>
                    <w:jc w:val="center"/>
                    <w:textAlignment w:val="center"/>
                    <w:rPr>
                      <w:bCs/>
                      <w:kern w:val="0"/>
                      <w:szCs w:val="21"/>
                    </w:rPr>
                  </w:pPr>
                  <w:r>
                    <w:rPr>
                      <w:szCs w:val="21"/>
                    </w:rPr>
                    <w:t>67.5</w:t>
                  </w:r>
                </w:p>
              </w:tc>
              <w:tc>
                <w:tcPr>
                  <w:tcW w:w="941" w:type="dxa"/>
                  <w:tcBorders>
                    <w:tl2br w:val="nil"/>
                    <w:tr2bl w:val="nil"/>
                  </w:tcBorders>
                  <w:vAlign w:val="center"/>
                </w:tcPr>
                <w:p w14:paraId="2B86309E" w14:textId="77777777" w:rsidR="00F76A63" w:rsidRDefault="00000000">
                  <w:pPr>
                    <w:adjustRightInd w:val="0"/>
                    <w:snapToGrid w:val="0"/>
                    <w:jc w:val="center"/>
                    <w:rPr>
                      <w:bCs/>
                      <w:kern w:val="0"/>
                      <w:szCs w:val="21"/>
                    </w:rPr>
                  </w:pPr>
                  <w:r>
                    <w:rPr>
                      <w:rFonts w:ascii="宋体" w:hAnsi="宋体" w:hint="eastAsia"/>
                      <w:szCs w:val="21"/>
                    </w:rPr>
                    <w:t>达标</w:t>
                  </w:r>
                </w:p>
              </w:tc>
            </w:tr>
            <w:tr w:rsidR="00F76A63" w14:paraId="39FF9B7D" w14:textId="77777777">
              <w:trPr>
                <w:trHeight w:val="90"/>
                <w:jc w:val="center"/>
              </w:trPr>
              <w:tc>
                <w:tcPr>
                  <w:tcW w:w="1066" w:type="dxa"/>
                  <w:tcBorders>
                    <w:tl2br w:val="nil"/>
                    <w:tr2bl w:val="nil"/>
                  </w:tcBorders>
                  <w:vAlign w:val="center"/>
                </w:tcPr>
                <w:p w14:paraId="712DD0F5" w14:textId="77777777" w:rsidR="00F76A63" w:rsidRDefault="00000000">
                  <w:pPr>
                    <w:adjustRightInd w:val="0"/>
                    <w:snapToGrid w:val="0"/>
                    <w:jc w:val="center"/>
                    <w:rPr>
                      <w:bCs/>
                      <w:kern w:val="0"/>
                      <w:szCs w:val="21"/>
                    </w:rPr>
                  </w:pPr>
                  <w:r>
                    <w:rPr>
                      <w:bCs/>
                      <w:kern w:val="0"/>
                      <w:szCs w:val="21"/>
                    </w:rPr>
                    <w:t>PM</w:t>
                  </w:r>
                  <w:r>
                    <w:rPr>
                      <w:bCs/>
                      <w:kern w:val="0"/>
                      <w:szCs w:val="21"/>
                      <w:vertAlign w:val="subscript"/>
                    </w:rPr>
                    <w:t>10</w:t>
                  </w:r>
                </w:p>
              </w:tc>
              <w:tc>
                <w:tcPr>
                  <w:tcW w:w="2187" w:type="dxa"/>
                  <w:vMerge/>
                  <w:tcBorders>
                    <w:tl2br w:val="nil"/>
                    <w:tr2bl w:val="nil"/>
                  </w:tcBorders>
                  <w:vAlign w:val="center"/>
                </w:tcPr>
                <w:p w14:paraId="05B64AE2" w14:textId="77777777" w:rsidR="00F76A63" w:rsidRDefault="00F76A63">
                  <w:pPr>
                    <w:adjustRightInd w:val="0"/>
                    <w:snapToGrid w:val="0"/>
                    <w:jc w:val="center"/>
                    <w:rPr>
                      <w:bCs/>
                      <w:kern w:val="0"/>
                      <w:szCs w:val="21"/>
                    </w:rPr>
                  </w:pPr>
                </w:p>
              </w:tc>
              <w:tc>
                <w:tcPr>
                  <w:tcW w:w="1551" w:type="dxa"/>
                  <w:tcBorders>
                    <w:tl2br w:val="nil"/>
                    <w:tr2bl w:val="nil"/>
                  </w:tcBorders>
                  <w:vAlign w:val="center"/>
                </w:tcPr>
                <w:p w14:paraId="3D636797" w14:textId="77777777" w:rsidR="00F76A63" w:rsidRDefault="00000000">
                  <w:pPr>
                    <w:adjustRightInd w:val="0"/>
                    <w:snapToGrid w:val="0"/>
                    <w:jc w:val="center"/>
                    <w:rPr>
                      <w:rFonts w:eastAsiaTheme="minorEastAsia"/>
                      <w:bCs/>
                      <w:kern w:val="0"/>
                      <w:szCs w:val="21"/>
                    </w:rPr>
                  </w:pPr>
                  <w:r>
                    <w:rPr>
                      <w:szCs w:val="21"/>
                    </w:rPr>
                    <w:t>51</w:t>
                  </w:r>
                </w:p>
              </w:tc>
              <w:tc>
                <w:tcPr>
                  <w:tcW w:w="1322" w:type="dxa"/>
                  <w:tcBorders>
                    <w:tl2br w:val="nil"/>
                    <w:tr2bl w:val="nil"/>
                  </w:tcBorders>
                  <w:vAlign w:val="center"/>
                </w:tcPr>
                <w:p w14:paraId="2989DB22" w14:textId="77777777" w:rsidR="00F76A63" w:rsidRDefault="00000000">
                  <w:pPr>
                    <w:adjustRightInd w:val="0"/>
                    <w:snapToGrid w:val="0"/>
                    <w:jc w:val="center"/>
                    <w:rPr>
                      <w:bCs/>
                      <w:kern w:val="0"/>
                      <w:szCs w:val="21"/>
                    </w:rPr>
                  </w:pPr>
                  <w:r>
                    <w:rPr>
                      <w:bCs/>
                      <w:kern w:val="0"/>
                      <w:szCs w:val="21"/>
                    </w:rPr>
                    <w:t>60</w:t>
                  </w:r>
                </w:p>
              </w:tc>
              <w:tc>
                <w:tcPr>
                  <w:tcW w:w="1150" w:type="dxa"/>
                  <w:tcBorders>
                    <w:tl2br w:val="nil"/>
                    <w:tr2bl w:val="nil"/>
                  </w:tcBorders>
                  <w:vAlign w:val="center"/>
                </w:tcPr>
                <w:p w14:paraId="28A86193" w14:textId="77777777" w:rsidR="00F76A63" w:rsidRDefault="00000000">
                  <w:pPr>
                    <w:widowControl/>
                    <w:jc w:val="center"/>
                    <w:textAlignment w:val="center"/>
                    <w:rPr>
                      <w:bCs/>
                      <w:kern w:val="0"/>
                      <w:szCs w:val="21"/>
                    </w:rPr>
                  </w:pPr>
                  <w:r>
                    <w:rPr>
                      <w:rFonts w:hint="eastAsia"/>
                      <w:bCs/>
                      <w:kern w:val="0"/>
                      <w:szCs w:val="21"/>
                    </w:rPr>
                    <w:t>85.0</w:t>
                  </w:r>
                </w:p>
              </w:tc>
              <w:tc>
                <w:tcPr>
                  <w:tcW w:w="941" w:type="dxa"/>
                  <w:tcBorders>
                    <w:tl2br w:val="nil"/>
                    <w:tr2bl w:val="nil"/>
                  </w:tcBorders>
                  <w:vAlign w:val="center"/>
                </w:tcPr>
                <w:p w14:paraId="5EB3FD0C" w14:textId="77777777" w:rsidR="00F76A63" w:rsidRDefault="00000000">
                  <w:pPr>
                    <w:adjustRightInd w:val="0"/>
                    <w:snapToGrid w:val="0"/>
                    <w:jc w:val="center"/>
                    <w:rPr>
                      <w:bCs/>
                      <w:kern w:val="0"/>
                      <w:szCs w:val="21"/>
                    </w:rPr>
                  </w:pPr>
                  <w:r>
                    <w:rPr>
                      <w:rFonts w:ascii="宋体" w:hAnsi="宋体" w:hint="eastAsia"/>
                      <w:szCs w:val="21"/>
                    </w:rPr>
                    <w:t>达标</w:t>
                  </w:r>
                </w:p>
              </w:tc>
            </w:tr>
            <w:tr w:rsidR="00F76A63" w14:paraId="53A270FA" w14:textId="77777777">
              <w:trPr>
                <w:trHeight w:val="90"/>
                <w:jc w:val="center"/>
              </w:trPr>
              <w:tc>
                <w:tcPr>
                  <w:tcW w:w="1066" w:type="dxa"/>
                  <w:tcBorders>
                    <w:tl2br w:val="nil"/>
                    <w:tr2bl w:val="nil"/>
                  </w:tcBorders>
                  <w:vAlign w:val="center"/>
                </w:tcPr>
                <w:p w14:paraId="1DFCD3FE" w14:textId="77777777" w:rsidR="00F76A63" w:rsidRDefault="00000000">
                  <w:pPr>
                    <w:adjustRightInd w:val="0"/>
                    <w:snapToGrid w:val="0"/>
                    <w:jc w:val="center"/>
                    <w:rPr>
                      <w:bCs/>
                      <w:kern w:val="0"/>
                      <w:szCs w:val="21"/>
                    </w:rPr>
                  </w:pPr>
                  <w:r>
                    <w:rPr>
                      <w:bCs/>
                      <w:kern w:val="0"/>
                      <w:szCs w:val="21"/>
                    </w:rPr>
                    <w:t>PM</w:t>
                  </w:r>
                  <w:r>
                    <w:rPr>
                      <w:bCs/>
                      <w:kern w:val="0"/>
                      <w:szCs w:val="21"/>
                      <w:vertAlign w:val="subscript"/>
                    </w:rPr>
                    <w:t>2.5</w:t>
                  </w:r>
                </w:p>
              </w:tc>
              <w:tc>
                <w:tcPr>
                  <w:tcW w:w="2187" w:type="dxa"/>
                  <w:vMerge/>
                  <w:tcBorders>
                    <w:tl2br w:val="nil"/>
                    <w:tr2bl w:val="nil"/>
                  </w:tcBorders>
                  <w:vAlign w:val="center"/>
                </w:tcPr>
                <w:p w14:paraId="075D78FD" w14:textId="77777777" w:rsidR="00F76A63" w:rsidRDefault="00F76A63">
                  <w:pPr>
                    <w:adjustRightInd w:val="0"/>
                    <w:snapToGrid w:val="0"/>
                    <w:jc w:val="center"/>
                    <w:rPr>
                      <w:bCs/>
                      <w:kern w:val="0"/>
                      <w:szCs w:val="21"/>
                    </w:rPr>
                  </w:pPr>
                </w:p>
              </w:tc>
              <w:tc>
                <w:tcPr>
                  <w:tcW w:w="1551" w:type="dxa"/>
                  <w:tcBorders>
                    <w:tl2br w:val="nil"/>
                    <w:tr2bl w:val="nil"/>
                  </w:tcBorders>
                  <w:vAlign w:val="center"/>
                </w:tcPr>
                <w:p w14:paraId="27F740DA" w14:textId="77777777" w:rsidR="00F76A63" w:rsidRDefault="00000000">
                  <w:pPr>
                    <w:adjustRightInd w:val="0"/>
                    <w:snapToGrid w:val="0"/>
                    <w:jc w:val="center"/>
                    <w:rPr>
                      <w:bCs/>
                      <w:kern w:val="0"/>
                      <w:szCs w:val="21"/>
                    </w:rPr>
                  </w:pPr>
                  <w:r>
                    <w:rPr>
                      <w:szCs w:val="21"/>
                    </w:rPr>
                    <w:t>3</w:t>
                  </w:r>
                  <w:r>
                    <w:rPr>
                      <w:rFonts w:hint="eastAsia"/>
                      <w:szCs w:val="21"/>
                    </w:rPr>
                    <w:t>4</w:t>
                  </w:r>
                </w:p>
              </w:tc>
              <w:tc>
                <w:tcPr>
                  <w:tcW w:w="1322" w:type="dxa"/>
                  <w:tcBorders>
                    <w:tl2br w:val="nil"/>
                    <w:tr2bl w:val="nil"/>
                  </w:tcBorders>
                  <w:vAlign w:val="center"/>
                </w:tcPr>
                <w:p w14:paraId="537FB4D9" w14:textId="77777777" w:rsidR="00F76A63" w:rsidRDefault="00000000">
                  <w:pPr>
                    <w:adjustRightInd w:val="0"/>
                    <w:snapToGrid w:val="0"/>
                    <w:jc w:val="center"/>
                    <w:rPr>
                      <w:bCs/>
                      <w:kern w:val="0"/>
                      <w:szCs w:val="21"/>
                    </w:rPr>
                  </w:pPr>
                  <w:r>
                    <w:rPr>
                      <w:bCs/>
                      <w:kern w:val="0"/>
                      <w:szCs w:val="21"/>
                    </w:rPr>
                    <w:t>30</w:t>
                  </w:r>
                </w:p>
              </w:tc>
              <w:tc>
                <w:tcPr>
                  <w:tcW w:w="1150" w:type="dxa"/>
                  <w:tcBorders>
                    <w:tl2br w:val="nil"/>
                    <w:tr2bl w:val="nil"/>
                  </w:tcBorders>
                  <w:vAlign w:val="center"/>
                </w:tcPr>
                <w:p w14:paraId="6549D7E0" w14:textId="77777777" w:rsidR="00F76A63" w:rsidRDefault="00000000">
                  <w:pPr>
                    <w:widowControl/>
                    <w:jc w:val="center"/>
                    <w:textAlignment w:val="center"/>
                    <w:rPr>
                      <w:b/>
                      <w:kern w:val="0"/>
                      <w:szCs w:val="21"/>
                    </w:rPr>
                  </w:pPr>
                  <w:r>
                    <w:rPr>
                      <w:rFonts w:hint="eastAsia"/>
                      <w:b/>
                      <w:kern w:val="0"/>
                      <w:szCs w:val="21"/>
                    </w:rPr>
                    <w:t>113.3</w:t>
                  </w:r>
                </w:p>
              </w:tc>
              <w:tc>
                <w:tcPr>
                  <w:tcW w:w="941" w:type="dxa"/>
                  <w:tcBorders>
                    <w:tl2br w:val="nil"/>
                    <w:tr2bl w:val="nil"/>
                  </w:tcBorders>
                  <w:vAlign w:val="center"/>
                </w:tcPr>
                <w:p w14:paraId="5CEB8D8E" w14:textId="77777777" w:rsidR="00F76A63" w:rsidRDefault="00000000">
                  <w:pPr>
                    <w:adjustRightInd w:val="0"/>
                    <w:snapToGrid w:val="0"/>
                    <w:jc w:val="center"/>
                    <w:rPr>
                      <w:bCs/>
                      <w:kern w:val="0"/>
                      <w:szCs w:val="21"/>
                    </w:rPr>
                  </w:pPr>
                  <w:r>
                    <w:rPr>
                      <w:rFonts w:ascii="宋体" w:hAnsi="宋体" w:hint="eastAsia"/>
                      <w:b/>
                      <w:szCs w:val="21"/>
                    </w:rPr>
                    <w:t>超标</w:t>
                  </w:r>
                </w:p>
              </w:tc>
            </w:tr>
            <w:tr w:rsidR="00F76A63" w14:paraId="3D178D34" w14:textId="77777777">
              <w:trPr>
                <w:trHeight w:val="90"/>
                <w:jc w:val="center"/>
              </w:trPr>
              <w:tc>
                <w:tcPr>
                  <w:tcW w:w="1066" w:type="dxa"/>
                  <w:tcBorders>
                    <w:tl2br w:val="nil"/>
                    <w:tr2bl w:val="nil"/>
                  </w:tcBorders>
                  <w:vAlign w:val="center"/>
                </w:tcPr>
                <w:p w14:paraId="19D51258" w14:textId="77777777" w:rsidR="00F76A63" w:rsidRDefault="00000000">
                  <w:pPr>
                    <w:adjustRightInd w:val="0"/>
                    <w:snapToGrid w:val="0"/>
                    <w:jc w:val="center"/>
                    <w:rPr>
                      <w:bCs/>
                      <w:kern w:val="0"/>
                      <w:szCs w:val="21"/>
                    </w:rPr>
                  </w:pPr>
                  <w:r>
                    <w:rPr>
                      <w:bCs/>
                      <w:kern w:val="0"/>
                      <w:szCs w:val="21"/>
                    </w:rPr>
                    <w:t>CO</w:t>
                  </w:r>
                </w:p>
              </w:tc>
              <w:tc>
                <w:tcPr>
                  <w:tcW w:w="2187" w:type="dxa"/>
                  <w:tcBorders>
                    <w:tl2br w:val="nil"/>
                    <w:tr2bl w:val="nil"/>
                  </w:tcBorders>
                  <w:vAlign w:val="center"/>
                </w:tcPr>
                <w:p w14:paraId="1E2D868C" w14:textId="77777777" w:rsidR="00F76A63" w:rsidRDefault="00000000">
                  <w:pPr>
                    <w:adjustRightInd w:val="0"/>
                    <w:snapToGrid w:val="0"/>
                    <w:jc w:val="center"/>
                    <w:rPr>
                      <w:bCs/>
                      <w:kern w:val="0"/>
                      <w:szCs w:val="21"/>
                    </w:rPr>
                  </w:pPr>
                  <w:r>
                    <w:rPr>
                      <w:bCs/>
                      <w:kern w:val="0"/>
                      <w:szCs w:val="21"/>
                    </w:rPr>
                    <w:t>24</w:t>
                  </w:r>
                  <w:r>
                    <w:rPr>
                      <w:bCs/>
                      <w:kern w:val="0"/>
                      <w:szCs w:val="21"/>
                    </w:rPr>
                    <w:t>小时平均第</w:t>
                  </w:r>
                  <w:r>
                    <w:rPr>
                      <w:bCs/>
                      <w:kern w:val="0"/>
                      <w:szCs w:val="21"/>
                    </w:rPr>
                    <w:t>95</w:t>
                  </w:r>
                  <w:r>
                    <w:rPr>
                      <w:bCs/>
                      <w:kern w:val="0"/>
                      <w:szCs w:val="21"/>
                    </w:rPr>
                    <w:t>百分位数</w:t>
                  </w:r>
                </w:p>
              </w:tc>
              <w:tc>
                <w:tcPr>
                  <w:tcW w:w="1551" w:type="dxa"/>
                  <w:tcBorders>
                    <w:tl2br w:val="nil"/>
                    <w:tr2bl w:val="nil"/>
                  </w:tcBorders>
                  <w:vAlign w:val="center"/>
                </w:tcPr>
                <w:p w14:paraId="538F74C3" w14:textId="77777777" w:rsidR="00F76A63" w:rsidRDefault="00000000">
                  <w:pPr>
                    <w:adjustRightInd w:val="0"/>
                    <w:snapToGrid w:val="0"/>
                    <w:jc w:val="center"/>
                    <w:rPr>
                      <w:rFonts w:eastAsiaTheme="minorEastAsia"/>
                      <w:bCs/>
                      <w:kern w:val="0"/>
                      <w:szCs w:val="21"/>
                    </w:rPr>
                  </w:pPr>
                  <w:r>
                    <w:rPr>
                      <w:rFonts w:hint="eastAsia"/>
                      <w:szCs w:val="21"/>
                    </w:rPr>
                    <w:t>1000</w:t>
                  </w:r>
                </w:p>
              </w:tc>
              <w:tc>
                <w:tcPr>
                  <w:tcW w:w="1322" w:type="dxa"/>
                  <w:tcBorders>
                    <w:tl2br w:val="nil"/>
                    <w:tr2bl w:val="nil"/>
                  </w:tcBorders>
                  <w:vAlign w:val="center"/>
                </w:tcPr>
                <w:p w14:paraId="417F36C1" w14:textId="77777777" w:rsidR="00F76A63" w:rsidRDefault="00000000">
                  <w:pPr>
                    <w:adjustRightInd w:val="0"/>
                    <w:snapToGrid w:val="0"/>
                    <w:jc w:val="center"/>
                    <w:rPr>
                      <w:bCs/>
                      <w:kern w:val="0"/>
                      <w:szCs w:val="21"/>
                    </w:rPr>
                  </w:pPr>
                  <w:r>
                    <w:rPr>
                      <w:bCs/>
                      <w:kern w:val="0"/>
                      <w:szCs w:val="21"/>
                    </w:rPr>
                    <w:t>4000</w:t>
                  </w:r>
                </w:p>
              </w:tc>
              <w:tc>
                <w:tcPr>
                  <w:tcW w:w="1150" w:type="dxa"/>
                  <w:tcBorders>
                    <w:tl2br w:val="nil"/>
                    <w:tr2bl w:val="nil"/>
                  </w:tcBorders>
                  <w:vAlign w:val="center"/>
                </w:tcPr>
                <w:p w14:paraId="486462C1" w14:textId="77777777" w:rsidR="00F76A63" w:rsidRDefault="00000000">
                  <w:pPr>
                    <w:widowControl/>
                    <w:jc w:val="center"/>
                    <w:textAlignment w:val="center"/>
                    <w:rPr>
                      <w:bCs/>
                      <w:kern w:val="0"/>
                      <w:szCs w:val="21"/>
                    </w:rPr>
                  </w:pPr>
                  <w:r>
                    <w:rPr>
                      <w:rFonts w:hint="eastAsia"/>
                      <w:szCs w:val="21"/>
                    </w:rPr>
                    <w:t>25</w:t>
                  </w:r>
                </w:p>
              </w:tc>
              <w:tc>
                <w:tcPr>
                  <w:tcW w:w="941" w:type="dxa"/>
                  <w:tcBorders>
                    <w:tl2br w:val="nil"/>
                    <w:tr2bl w:val="nil"/>
                  </w:tcBorders>
                  <w:vAlign w:val="center"/>
                </w:tcPr>
                <w:p w14:paraId="4E2D5B62" w14:textId="77777777" w:rsidR="00F76A63" w:rsidRDefault="00000000">
                  <w:pPr>
                    <w:adjustRightInd w:val="0"/>
                    <w:snapToGrid w:val="0"/>
                    <w:jc w:val="center"/>
                    <w:rPr>
                      <w:bCs/>
                      <w:kern w:val="0"/>
                      <w:szCs w:val="21"/>
                    </w:rPr>
                  </w:pPr>
                  <w:r>
                    <w:rPr>
                      <w:rFonts w:ascii="宋体" w:hAnsi="宋体" w:hint="eastAsia"/>
                      <w:szCs w:val="21"/>
                    </w:rPr>
                    <w:t>达标</w:t>
                  </w:r>
                </w:p>
              </w:tc>
            </w:tr>
            <w:tr w:rsidR="00F76A63" w14:paraId="698484F8" w14:textId="77777777">
              <w:trPr>
                <w:trHeight w:val="300"/>
                <w:jc w:val="center"/>
              </w:trPr>
              <w:tc>
                <w:tcPr>
                  <w:tcW w:w="1066" w:type="dxa"/>
                  <w:tcBorders>
                    <w:tl2br w:val="nil"/>
                    <w:tr2bl w:val="nil"/>
                  </w:tcBorders>
                  <w:vAlign w:val="center"/>
                </w:tcPr>
                <w:p w14:paraId="4B90CC1F" w14:textId="77777777" w:rsidR="00F76A63" w:rsidRDefault="00000000">
                  <w:pPr>
                    <w:adjustRightInd w:val="0"/>
                    <w:snapToGrid w:val="0"/>
                    <w:jc w:val="center"/>
                    <w:rPr>
                      <w:bCs/>
                      <w:kern w:val="0"/>
                      <w:szCs w:val="21"/>
                    </w:rPr>
                  </w:pPr>
                  <w:r>
                    <w:rPr>
                      <w:bCs/>
                      <w:kern w:val="0"/>
                      <w:szCs w:val="21"/>
                    </w:rPr>
                    <w:t>O</w:t>
                  </w:r>
                  <w:r>
                    <w:rPr>
                      <w:bCs/>
                      <w:kern w:val="0"/>
                      <w:szCs w:val="21"/>
                      <w:vertAlign w:val="subscript"/>
                    </w:rPr>
                    <w:t>3</w:t>
                  </w:r>
                </w:p>
              </w:tc>
              <w:tc>
                <w:tcPr>
                  <w:tcW w:w="2187" w:type="dxa"/>
                  <w:tcBorders>
                    <w:tl2br w:val="nil"/>
                    <w:tr2bl w:val="nil"/>
                  </w:tcBorders>
                  <w:vAlign w:val="center"/>
                </w:tcPr>
                <w:p w14:paraId="0CF39F00" w14:textId="77777777" w:rsidR="00F76A63" w:rsidRDefault="00000000">
                  <w:pPr>
                    <w:adjustRightInd w:val="0"/>
                    <w:snapToGrid w:val="0"/>
                    <w:jc w:val="center"/>
                    <w:rPr>
                      <w:bCs/>
                      <w:kern w:val="0"/>
                      <w:szCs w:val="21"/>
                    </w:rPr>
                  </w:pPr>
                  <w:r>
                    <w:rPr>
                      <w:bCs/>
                      <w:kern w:val="0"/>
                      <w:szCs w:val="21"/>
                    </w:rPr>
                    <w:t>日最大</w:t>
                  </w:r>
                  <w:r>
                    <w:rPr>
                      <w:bCs/>
                      <w:kern w:val="0"/>
                      <w:szCs w:val="21"/>
                    </w:rPr>
                    <w:t>8</w:t>
                  </w:r>
                  <w:r>
                    <w:rPr>
                      <w:bCs/>
                      <w:kern w:val="0"/>
                      <w:szCs w:val="21"/>
                    </w:rPr>
                    <w:t>小时滑动平均值第</w:t>
                  </w:r>
                  <w:r>
                    <w:rPr>
                      <w:bCs/>
                      <w:kern w:val="0"/>
                      <w:szCs w:val="21"/>
                    </w:rPr>
                    <w:t>90</w:t>
                  </w:r>
                  <w:r>
                    <w:rPr>
                      <w:bCs/>
                      <w:kern w:val="0"/>
                      <w:szCs w:val="21"/>
                    </w:rPr>
                    <w:t>百分位数</w:t>
                  </w:r>
                </w:p>
              </w:tc>
              <w:tc>
                <w:tcPr>
                  <w:tcW w:w="1551" w:type="dxa"/>
                  <w:tcBorders>
                    <w:tl2br w:val="nil"/>
                    <w:tr2bl w:val="nil"/>
                  </w:tcBorders>
                  <w:vAlign w:val="center"/>
                </w:tcPr>
                <w:p w14:paraId="79277F64" w14:textId="77777777" w:rsidR="00F76A63" w:rsidRDefault="00000000">
                  <w:pPr>
                    <w:adjustRightInd w:val="0"/>
                    <w:snapToGrid w:val="0"/>
                    <w:jc w:val="center"/>
                    <w:rPr>
                      <w:rFonts w:eastAsiaTheme="minorEastAsia"/>
                      <w:bCs/>
                      <w:kern w:val="0"/>
                      <w:szCs w:val="21"/>
                    </w:rPr>
                  </w:pPr>
                  <w:r>
                    <w:rPr>
                      <w:szCs w:val="21"/>
                    </w:rPr>
                    <w:t>16</w:t>
                  </w:r>
                  <w:r>
                    <w:rPr>
                      <w:rFonts w:hint="eastAsia"/>
                      <w:szCs w:val="21"/>
                    </w:rPr>
                    <w:t>8</w:t>
                  </w:r>
                </w:p>
              </w:tc>
              <w:tc>
                <w:tcPr>
                  <w:tcW w:w="1322" w:type="dxa"/>
                  <w:tcBorders>
                    <w:tl2br w:val="nil"/>
                    <w:tr2bl w:val="nil"/>
                  </w:tcBorders>
                  <w:vAlign w:val="center"/>
                </w:tcPr>
                <w:p w14:paraId="7B4F0899" w14:textId="77777777" w:rsidR="00F76A63" w:rsidRDefault="00000000">
                  <w:pPr>
                    <w:adjustRightInd w:val="0"/>
                    <w:snapToGrid w:val="0"/>
                    <w:jc w:val="center"/>
                    <w:rPr>
                      <w:bCs/>
                      <w:kern w:val="0"/>
                      <w:szCs w:val="21"/>
                    </w:rPr>
                  </w:pPr>
                  <w:r>
                    <w:rPr>
                      <w:bCs/>
                      <w:kern w:val="0"/>
                      <w:szCs w:val="21"/>
                    </w:rPr>
                    <w:t>160</w:t>
                  </w:r>
                </w:p>
              </w:tc>
              <w:tc>
                <w:tcPr>
                  <w:tcW w:w="1150" w:type="dxa"/>
                  <w:tcBorders>
                    <w:tl2br w:val="nil"/>
                    <w:tr2bl w:val="nil"/>
                  </w:tcBorders>
                  <w:vAlign w:val="center"/>
                </w:tcPr>
                <w:p w14:paraId="2209DDBB" w14:textId="77777777" w:rsidR="00F76A63" w:rsidRDefault="00000000">
                  <w:pPr>
                    <w:widowControl/>
                    <w:jc w:val="center"/>
                    <w:textAlignment w:val="center"/>
                    <w:rPr>
                      <w:b/>
                      <w:bCs/>
                      <w:kern w:val="0"/>
                      <w:szCs w:val="21"/>
                    </w:rPr>
                  </w:pPr>
                  <w:r>
                    <w:rPr>
                      <w:b/>
                      <w:bCs/>
                      <w:szCs w:val="21"/>
                    </w:rPr>
                    <w:t>10</w:t>
                  </w:r>
                  <w:r>
                    <w:rPr>
                      <w:rFonts w:hint="eastAsia"/>
                      <w:b/>
                      <w:bCs/>
                      <w:szCs w:val="21"/>
                    </w:rPr>
                    <w:t>5</w:t>
                  </w:r>
                </w:p>
              </w:tc>
              <w:tc>
                <w:tcPr>
                  <w:tcW w:w="941" w:type="dxa"/>
                  <w:tcBorders>
                    <w:tl2br w:val="nil"/>
                    <w:tr2bl w:val="nil"/>
                  </w:tcBorders>
                  <w:vAlign w:val="center"/>
                </w:tcPr>
                <w:p w14:paraId="6F8C040E" w14:textId="77777777" w:rsidR="00F76A63" w:rsidRDefault="00000000">
                  <w:pPr>
                    <w:adjustRightInd w:val="0"/>
                    <w:snapToGrid w:val="0"/>
                    <w:jc w:val="center"/>
                    <w:rPr>
                      <w:b/>
                      <w:kern w:val="0"/>
                      <w:szCs w:val="21"/>
                    </w:rPr>
                  </w:pPr>
                  <w:r>
                    <w:rPr>
                      <w:rFonts w:ascii="宋体" w:hAnsi="宋体" w:hint="eastAsia"/>
                      <w:b/>
                      <w:szCs w:val="21"/>
                    </w:rPr>
                    <w:t>超标</w:t>
                  </w:r>
                </w:p>
              </w:tc>
            </w:tr>
          </w:tbl>
          <w:p w14:paraId="1BEE0FEA" w14:textId="77777777" w:rsidR="00F76A63" w:rsidRDefault="00000000">
            <w:pPr>
              <w:adjustRightInd w:val="0"/>
              <w:snapToGrid w:val="0"/>
              <w:spacing w:line="500" w:lineRule="exact"/>
              <w:ind w:firstLineChars="200" w:firstLine="480"/>
              <w:rPr>
                <w:bCs/>
                <w:kern w:val="0"/>
                <w:sz w:val="24"/>
              </w:rPr>
            </w:pPr>
            <w:bookmarkStart w:id="115" w:name="_Hlk227333355"/>
            <w:r>
              <w:rPr>
                <w:bCs/>
                <w:kern w:val="0"/>
                <w:sz w:val="24"/>
              </w:rPr>
              <w:t>对照《环境空气质量标准》（</w:t>
            </w:r>
            <w:r>
              <w:rPr>
                <w:bCs/>
                <w:kern w:val="0"/>
                <w:sz w:val="24"/>
              </w:rPr>
              <w:t>GB3095-2026</w:t>
            </w:r>
            <w:r>
              <w:rPr>
                <w:bCs/>
                <w:kern w:val="0"/>
                <w:sz w:val="24"/>
              </w:rPr>
              <w:t>）</w:t>
            </w:r>
            <w:r>
              <w:rPr>
                <w:rFonts w:hint="eastAsia"/>
                <w:bCs/>
                <w:kern w:val="0"/>
                <w:sz w:val="24"/>
              </w:rPr>
              <w:t>过渡阶段浓度限值二级标准</w:t>
            </w:r>
            <w:r>
              <w:rPr>
                <w:bCs/>
                <w:kern w:val="0"/>
                <w:sz w:val="24"/>
              </w:rPr>
              <w:t>，除臭氧、</w:t>
            </w:r>
            <w:r>
              <w:rPr>
                <w:bCs/>
                <w:kern w:val="0"/>
                <w:sz w:val="24"/>
              </w:rPr>
              <w:t>PM</w:t>
            </w:r>
            <w:r>
              <w:rPr>
                <w:bCs/>
                <w:kern w:val="0"/>
                <w:sz w:val="24"/>
                <w:vertAlign w:val="subscript"/>
              </w:rPr>
              <w:t>2.5</w:t>
            </w:r>
            <w:r>
              <w:rPr>
                <w:bCs/>
                <w:kern w:val="0"/>
                <w:sz w:val="24"/>
              </w:rPr>
              <w:t>外，各污染物均达到标准。</w:t>
            </w:r>
          </w:p>
          <w:p w14:paraId="16E5341D" w14:textId="77777777" w:rsidR="00F76A63" w:rsidRDefault="00000000">
            <w:pPr>
              <w:adjustRightInd w:val="0"/>
              <w:snapToGrid w:val="0"/>
              <w:spacing w:line="500" w:lineRule="exact"/>
              <w:ind w:firstLineChars="200" w:firstLine="480"/>
              <w:rPr>
                <w:bCs/>
                <w:kern w:val="0"/>
                <w:sz w:val="24"/>
              </w:rPr>
            </w:pPr>
            <w:r>
              <w:rPr>
                <w:bCs/>
                <w:kern w:val="0"/>
                <w:sz w:val="24"/>
              </w:rPr>
              <w:t>综上所述，判断项目所在区域为不达标区。</w:t>
            </w:r>
          </w:p>
          <w:bookmarkEnd w:id="110"/>
          <w:bookmarkEnd w:id="112"/>
          <w:bookmarkEnd w:id="115"/>
          <w:p w14:paraId="720D0789" w14:textId="77777777" w:rsidR="00F76A63" w:rsidRDefault="00000000">
            <w:pPr>
              <w:adjustRightInd w:val="0"/>
              <w:snapToGrid w:val="0"/>
              <w:spacing w:line="500" w:lineRule="exact"/>
              <w:ind w:firstLineChars="200" w:firstLine="480"/>
              <w:rPr>
                <w:bCs/>
                <w:kern w:val="0"/>
                <w:sz w:val="24"/>
              </w:rPr>
            </w:pPr>
            <w:r>
              <w:rPr>
                <w:bCs/>
                <w:kern w:val="0"/>
                <w:sz w:val="24"/>
              </w:rPr>
              <w:t>根据《关于印发</w:t>
            </w:r>
            <w:r>
              <w:rPr>
                <w:bCs/>
                <w:kern w:val="0"/>
                <w:sz w:val="24"/>
              </w:rPr>
              <w:t>&lt;</w:t>
            </w:r>
            <w:r>
              <w:rPr>
                <w:bCs/>
                <w:kern w:val="0"/>
                <w:sz w:val="24"/>
              </w:rPr>
              <w:t>镇江市</w:t>
            </w:r>
            <w:r>
              <w:rPr>
                <w:bCs/>
                <w:kern w:val="0"/>
                <w:sz w:val="24"/>
              </w:rPr>
              <w:t>2025</w:t>
            </w:r>
            <w:r>
              <w:rPr>
                <w:bCs/>
                <w:kern w:val="0"/>
                <w:sz w:val="24"/>
              </w:rPr>
              <w:t>年大气污染防治工作计划</w:t>
            </w:r>
            <w:r>
              <w:rPr>
                <w:bCs/>
                <w:kern w:val="0"/>
                <w:sz w:val="24"/>
              </w:rPr>
              <w:t>&gt;</w:t>
            </w:r>
            <w:r>
              <w:rPr>
                <w:bCs/>
                <w:kern w:val="0"/>
                <w:sz w:val="24"/>
              </w:rPr>
              <w:t>的通知》</w:t>
            </w:r>
            <w:r>
              <w:rPr>
                <w:bCs/>
                <w:kern w:val="0"/>
                <w:sz w:val="24"/>
              </w:rPr>
              <w:t>(</w:t>
            </w:r>
            <w:r>
              <w:rPr>
                <w:bCs/>
                <w:kern w:val="0"/>
                <w:sz w:val="24"/>
              </w:rPr>
              <w:t>镇污治指办</w:t>
            </w:r>
            <w:r>
              <w:rPr>
                <w:bCs/>
                <w:kern w:val="0"/>
                <w:sz w:val="24"/>
              </w:rPr>
              <w:t>(2025 19</w:t>
            </w:r>
            <w:r>
              <w:rPr>
                <w:bCs/>
                <w:kern w:val="0"/>
                <w:sz w:val="24"/>
              </w:rPr>
              <w:t>号</w:t>
            </w:r>
            <w:r>
              <w:rPr>
                <w:bCs/>
                <w:kern w:val="0"/>
                <w:sz w:val="24"/>
              </w:rPr>
              <w:t>)</w:t>
            </w:r>
            <w:r>
              <w:rPr>
                <w:bCs/>
                <w:kern w:val="0"/>
                <w:sz w:val="24"/>
              </w:rPr>
              <w:t>，</w:t>
            </w:r>
            <w:r>
              <w:rPr>
                <w:bCs/>
                <w:kern w:val="0"/>
                <w:sz w:val="24"/>
              </w:rPr>
              <w:t>2025</w:t>
            </w:r>
            <w:r>
              <w:rPr>
                <w:bCs/>
                <w:kern w:val="0"/>
                <w:sz w:val="24"/>
              </w:rPr>
              <w:t>年，市区</w:t>
            </w:r>
            <w:r>
              <w:rPr>
                <w:bCs/>
                <w:kern w:val="0"/>
                <w:sz w:val="24"/>
              </w:rPr>
              <w:t>PM</w:t>
            </w:r>
            <w:r>
              <w:rPr>
                <w:bCs/>
                <w:kern w:val="0"/>
                <w:sz w:val="24"/>
                <w:vertAlign w:val="subscript"/>
              </w:rPr>
              <w:t>2.5</w:t>
            </w:r>
            <w:r>
              <w:rPr>
                <w:bCs/>
                <w:kern w:val="0"/>
                <w:sz w:val="24"/>
              </w:rPr>
              <w:t>浓度不高于</w:t>
            </w:r>
            <w:r>
              <w:rPr>
                <w:bCs/>
                <w:kern w:val="0"/>
                <w:sz w:val="24"/>
              </w:rPr>
              <w:t>340</w:t>
            </w:r>
            <w:r>
              <w:rPr>
                <w:bCs/>
                <w:kern w:val="0"/>
                <w:sz w:val="24"/>
              </w:rPr>
              <w:t>微克立方米，优良天数比率</w:t>
            </w:r>
            <w:r>
              <w:rPr>
                <w:bCs/>
                <w:kern w:val="0"/>
                <w:sz w:val="24"/>
              </w:rPr>
              <w:t>81.2%</w:t>
            </w:r>
            <w:r>
              <w:rPr>
                <w:bCs/>
                <w:kern w:val="0"/>
                <w:sz w:val="24"/>
              </w:rPr>
              <w:t>左右，全面消除重污染天气；</w:t>
            </w:r>
            <w:r>
              <w:rPr>
                <w:bCs/>
                <w:kern w:val="0"/>
                <w:sz w:val="24"/>
              </w:rPr>
              <w:t>3</w:t>
            </w:r>
            <w:r>
              <w:rPr>
                <w:bCs/>
                <w:kern w:val="0"/>
                <w:sz w:val="24"/>
              </w:rPr>
              <w:t>个省控站点空气质量持续改善，丹阳市</w:t>
            </w:r>
            <w:r>
              <w:rPr>
                <w:bCs/>
                <w:kern w:val="0"/>
                <w:sz w:val="24"/>
              </w:rPr>
              <w:t>PM</w:t>
            </w:r>
            <w:r>
              <w:rPr>
                <w:bCs/>
                <w:kern w:val="0"/>
                <w:sz w:val="24"/>
                <w:vertAlign w:val="subscript"/>
              </w:rPr>
              <w:t>2.5</w:t>
            </w:r>
            <w:r>
              <w:rPr>
                <w:bCs/>
                <w:kern w:val="0"/>
                <w:sz w:val="24"/>
              </w:rPr>
              <w:t>浓度不高于</w:t>
            </w:r>
            <w:r>
              <w:rPr>
                <w:bCs/>
                <w:kern w:val="0"/>
                <w:sz w:val="24"/>
              </w:rPr>
              <w:t>330</w:t>
            </w:r>
            <w:r>
              <w:rPr>
                <w:bCs/>
                <w:kern w:val="0"/>
                <w:sz w:val="24"/>
              </w:rPr>
              <w:t>微克立方米，句容市、扬中市</w:t>
            </w:r>
            <w:r>
              <w:rPr>
                <w:bCs/>
                <w:kern w:val="0"/>
                <w:sz w:val="24"/>
              </w:rPr>
              <w:t>PM</w:t>
            </w:r>
            <w:r>
              <w:rPr>
                <w:bCs/>
                <w:kern w:val="0"/>
                <w:sz w:val="24"/>
                <w:vertAlign w:val="subscript"/>
              </w:rPr>
              <w:t>2.5</w:t>
            </w:r>
            <w:r>
              <w:rPr>
                <w:bCs/>
                <w:kern w:val="0"/>
                <w:sz w:val="24"/>
              </w:rPr>
              <w:t>浓度不高于</w:t>
            </w:r>
            <w:r>
              <w:rPr>
                <w:bCs/>
                <w:kern w:val="0"/>
                <w:sz w:val="24"/>
              </w:rPr>
              <w:t>320</w:t>
            </w:r>
            <w:r>
              <w:rPr>
                <w:bCs/>
                <w:kern w:val="0"/>
                <w:sz w:val="24"/>
              </w:rPr>
              <w:t>微克立方米；全市氮氧化物、挥发性有机物重点工程减排量完成省下达的指标要求。坚决遏制高耗能、高排放、低水平项目盲目上马；加快退出重点行业落后</w:t>
            </w:r>
            <w:r>
              <w:rPr>
                <w:bCs/>
                <w:kern w:val="0"/>
                <w:sz w:val="24"/>
              </w:rPr>
              <w:lastRenderedPageBreak/>
              <w:t>产能；推动园区、产业集群绿色化改造；推进能源结构调整优化；高质量推进超低排放改造工作；实施重点行业大气污染深度治理；持</w:t>
            </w:r>
            <w:bookmarkStart w:id="116" w:name="_Hlk200895813"/>
            <w:bookmarkEnd w:id="113"/>
            <w:r>
              <w:rPr>
                <w:bCs/>
                <w:kern w:val="0"/>
                <w:sz w:val="24"/>
              </w:rPr>
              <w:t>续优化重点行业排放水平；加快实施低</w:t>
            </w:r>
            <w:r>
              <w:rPr>
                <w:bCs/>
                <w:kern w:val="0"/>
                <w:sz w:val="24"/>
              </w:rPr>
              <w:t>VOCs</w:t>
            </w:r>
            <w:r>
              <w:rPr>
                <w:bCs/>
                <w:kern w:val="0"/>
                <w:sz w:val="24"/>
              </w:rPr>
              <w:t>含量原辅材料替代；强化</w:t>
            </w:r>
            <w:r>
              <w:rPr>
                <w:bCs/>
                <w:kern w:val="0"/>
                <w:sz w:val="24"/>
              </w:rPr>
              <w:t>VOCs</w:t>
            </w:r>
            <w:r>
              <w:rPr>
                <w:bCs/>
                <w:kern w:val="0"/>
                <w:sz w:val="24"/>
              </w:rPr>
              <w:t>综合治理；推进油品</w:t>
            </w:r>
            <w:r>
              <w:rPr>
                <w:bCs/>
                <w:kern w:val="0"/>
                <w:sz w:val="24"/>
              </w:rPr>
              <w:t>VOCs</w:t>
            </w:r>
            <w:r>
              <w:rPr>
                <w:bCs/>
                <w:kern w:val="0"/>
                <w:sz w:val="24"/>
              </w:rPr>
              <w:t>综合管控等。通过上述大气污染防治工作计划的实施，预计镇江市大气环境质量状况可以得到进一步改善。</w:t>
            </w:r>
          </w:p>
          <w:p w14:paraId="78E70C26" w14:textId="77777777" w:rsidR="00F76A63" w:rsidRDefault="00000000">
            <w:pPr>
              <w:adjustRightInd w:val="0"/>
              <w:snapToGrid w:val="0"/>
              <w:spacing w:line="500" w:lineRule="exact"/>
              <w:ind w:firstLineChars="200" w:firstLine="482"/>
              <w:rPr>
                <w:b/>
                <w:bCs/>
                <w:kern w:val="0"/>
                <w:sz w:val="24"/>
              </w:rPr>
            </w:pPr>
            <w:bookmarkStart w:id="117" w:name="OLE_LINK47"/>
            <w:bookmarkEnd w:id="114"/>
            <w:r>
              <w:rPr>
                <w:b/>
                <w:bCs/>
                <w:kern w:val="0"/>
                <w:sz w:val="24"/>
              </w:rPr>
              <w:t>（</w:t>
            </w:r>
            <w:r>
              <w:rPr>
                <w:b/>
                <w:bCs/>
                <w:kern w:val="0"/>
                <w:sz w:val="24"/>
              </w:rPr>
              <w:t>2</w:t>
            </w:r>
            <w:r>
              <w:rPr>
                <w:b/>
                <w:bCs/>
                <w:kern w:val="0"/>
                <w:sz w:val="24"/>
              </w:rPr>
              <w:t>）特征污染物环境质量现状</w:t>
            </w:r>
          </w:p>
          <w:p w14:paraId="52CA17E6" w14:textId="77777777" w:rsidR="00F76A63" w:rsidRDefault="00000000">
            <w:pPr>
              <w:adjustRightInd w:val="0"/>
              <w:snapToGrid w:val="0"/>
              <w:spacing w:line="500" w:lineRule="exact"/>
              <w:ind w:firstLineChars="200" w:firstLine="480"/>
              <w:rPr>
                <w:kern w:val="0"/>
                <w:sz w:val="24"/>
              </w:rPr>
            </w:pPr>
            <w:bookmarkStart w:id="118" w:name="OLE_LINK21"/>
            <w:bookmarkStart w:id="119" w:name="OLE_LINK79"/>
            <w:r>
              <w:rPr>
                <w:kern w:val="0"/>
                <w:sz w:val="24"/>
              </w:rPr>
              <w:t>区域环境现状调查设置</w:t>
            </w:r>
            <w:r>
              <w:rPr>
                <w:kern w:val="0"/>
                <w:sz w:val="24"/>
              </w:rPr>
              <w:t>1</w:t>
            </w:r>
            <w:r>
              <w:rPr>
                <w:kern w:val="0"/>
                <w:sz w:val="24"/>
              </w:rPr>
              <w:t>个监测点位，为建设项目所在地西南方向</w:t>
            </w:r>
            <w:r>
              <w:rPr>
                <w:kern w:val="0"/>
                <w:sz w:val="24"/>
              </w:rPr>
              <w:t>G1</w:t>
            </w:r>
            <w:r>
              <w:rPr>
                <w:kern w:val="0"/>
                <w:sz w:val="24"/>
              </w:rPr>
              <w:t>下蜀镇临港工业区住宿区，大气环境质量委托江苏迈斯特环境检测有限公司、江苏国析检测技术有限公司实测，监测日期为</w:t>
            </w:r>
            <w:r>
              <w:rPr>
                <w:kern w:val="0"/>
                <w:sz w:val="24"/>
              </w:rPr>
              <w:t>2025</w:t>
            </w:r>
            <w:r>
              <w:rPr>
                <w:kern w:val="0"/>
                <w:sz w:val="24"/>
              </w:rPr>
              <w:t>年</w:t>
            </w:r>
            <w:r>
              <w:rPr>
                <w:kern w:val="0"/>
                <w:sz w:val="24"/>
              </w:rPr>
              <w:t>8</w:t>
            </w:r>
            <w:r>
              <w:rPr>
                <w:kern w:val="0"/>
                <w:sz w:val="24"/>
              </w:rPr>
              <w:t>月</w:t>
            </w:r>
            <w:r>
              <w:rPr>
                <w:kern w:val="0"/>
                <w:sz w:val="24"/>
              </w:rPr>
              <w:t>21</w:t>
            </w:r>
            <w:r>
              <w:rPr>
                <w:kern w:val="0"/>
                <w:sz w:val="24"/>
              </w:rPr>
              <w:t>日</w:t>
            </w:r>
            <w:r>
              <w:rPr>
                <w:kern w:val="0"/>
                <w:sz w:val="24"/>
              </w:rPr>
              <w:t>~2025</w:t>
            </w:r>
            <w:r>
              <w:rPr>
                <w:kern w:val="0"/>
                <w:sz w:val="24"/>
              </w:rPr>
              <w:t>年</w:t>
            </w:r>
            <w:r>
              <w:rPr>
                <w:kern w:val="0"/>
                <w:sz w:val="24"/>
              </w:rPr>
              <w:t>8</w:t>
            </w:r>
            <w:r>
              <w:rPr>
                <w:kern w:val="0"/>
                <w:sz w:val="24"/>
              </w:rPr>
              <w:t>月</w:t>
            </w:r>
            <w:r>
              <w:rPr>
                <w:kern w:val="0"/>
                <w:sz w:val="24"/>
              </w:rPr>
              <w:t>28</w:t>
            </w:r>
            <w:r>
              <w:rPr>
                <w:kern w:val="0"/>
                <w:sz w:val="24"/>
              </w:rPr>
              <w:t>日</w:t>
            </w:r>
            <w:r>
              <w:rPr>
                <w:rFonts w:hint="eastAsia"/>
                <w:kern w:val="0"/>
                <w:sz w:val="24"/>
              </w:rPr>
              <w:t>、</w:t>
            </w:r>
            <w:r>
              <w:rPr>
                <w:rFonts w:hint="eastAsia"/>
                <w:kern w:val="0"/>
                <w:sz w:val="24"/>
              </w:rPr>
              <w:t>2026</w:t>
            </w:r>
            <w:r>
              <w:rPr>
                <w:rFonts w:hint="eastAsia"/>
                <w:kern w:val="0"/>
                <w:sz w:val="24"/>
              </w:rPr>
              <w:t>年</w:t>
            </w:r>
            <w:r>
              <w:rPr>
                <w:rFonts w:hint="eastAsia"/>
                <w:kern w:val="0"/>
                <w:sz w:val="24"/>
              </w:rPr>
              <w:t>5</w:t>
            </w:r>
            <w:r>
              <w:rPr>
                <w:rFonts w:hint="eastAsia"/>
                <w:kern w:val="0"/>
                <w:sz w:val="24"/>
              </w:rPr>
              <w:t>月</w:t>
            </w:r>
            <w:r>
              <w:rPr>
                <w:rFonts w:hint="eastAsia"/>
                <w:kern w:val="0"/>
                <w:sz w:val="24"/>
              </w:rPr>
              <w:t>26</w:t>
            </w:r>
            <w:r>
              <w:rPr>
                <w:rFonts w:hint="eastAsia"/>
                <w:kern w:val="0"/>
                <w:sz w:val="24"/>
              </w:rPr>
              <w:t>日</w:t>
            </w:r>
            <w:r>
              <w:rPr>
                <w:rFonts w:hint="eastAsia"/>
                <w:kern w:val="0"/>
                <w:sz w:val="24"/>
              </w:rPr>
              <w:t>~2026</w:t>
            </w:r>
            <w:r>
              <w:rPr>
                <w:rFonts w:hint="eastAsia"/>
                <w:kern w:val="0"/>
                <w:sz w:val="24"/>
              </w:rPr>
              <w:t>年</w:t>
            </w:r>
            <w:r>
              <w:rPr>
                <w:rFonts w:hint="eastAsia"/>
                <w:kern w:val="0"/>
                <w:sz w:val="24"/>
              </w:rPr>
              <w:t>5</w:t>
            </w:r>
            <w:r>
              <w:rPr>
                <w:rFonts w:hint="eastAsia"/>
                <w:kern w:val="0"/>
                <w:sz w:val="24"/>
              </w:rPr>
              <w:t>月</w:t>
            </w:r>
            <w:r>
              <w:rPr>
                <w:rFonts w:hint="eastAsia"/>
                <w:kern w:val="0"/>
                <w:sz w:val="24"/>
              </w:rPr>
              <w:t>28</w:t>
            </w:r>
            <w:r>
              <w:rPr>
                <w:rFonts w:hint="eastAsia"/>
                <w:kern w:val="0"/>
                <w:sz w:val="24"/>
              </w:rPr>
              <w:t>日</w:t>
            </w:r>
            <w:r>
              <w:rPr>
                <w:kern w:val="0"/>
                <w:sz w:val="24"/>
              </w:rPr>
              <w:t>，报告编号</w:t>
            </w:r>
            <w:r>
              <w:rPr>
                <w:kern w:val="0"/>
                <w:sz w:val="24"/>
              </w:rPr>
              <w:t>MST20250819011</w:t>
            </w:r>
            <w:r>
              <w:rPr>
                <w:kern w:val="0"/>
                <w:sz w:val="24"/>
              </w:rPr>
              <w:t>、江苏全威第</w:t>
            </w:r>
            <w:r>
              <w:rPr>
                <w:kern w:val="0"/>
                <w:sz w:val="24"/>
              </w:rPr>
              <w:t>20250453</w:t>
            </w:r>
            <w:r>
              <w:rPr>
                <w:kern w:val="0"/>
                <w:sz w:val="24"/>
              </w:rPr>
              <w:t>号、</w:t>
            </w:r>
            <w:r>
              <w:rPr>
                <w:kern w:val="0"/>
                <w:sz w:val="24"/>
              </w:rPr>
              <w:t>R2508149</w:t>
            </w:r>
            <w:r>
              <w:rPr>
                <w:rFonts w:hint="eastAsia"/>
                <w:kern w:val="0"/>
                <w:sz w:val="24"/>
              </w:rPr>
              <w:t>、</w:t>
            </w:r>
            <w:r>
              <w:rPr>
                <w:rFonts w:hint="eastAsia"/>
                <w:kern w:val="0"/>
                <w:sz w:val="24"/>
              </w:rPr>
              <w:t>Timi-JCBG-Q0328</w:t>
            </w:r>
            <w:r>
              <w:rPr>
                <w:rFonts w:hint="eastAsia"/>
                <w:kern w:val="0"/>
                <w:sz w:val="24"/>
              </w:rPr>
              <w:t>【</w:t>
            </w:r>
            <w:r>
              <w:rPr>
                <w:rFonts w:hint="eastAsia"/>
                <w:kern w:val="0"/>
                <w:sz w:val="24"/>
              </w:rPr>
              <w:t>2026</w:t>
            </w:r>
            <w:r>
              <w:rPr>
                <w:rFonts w:hint="eastAsia"/>
                <w:kern w:val="0"/>
                <w:sz w:val="24"/>
              </w:rPr>
              <w:t>】</w:t>
            </w:r>
            <w:r>
              <w:rPr>
                <w:kern w:val="0"/>
                <w:sz w:val="24"/>
              </w:rPr>
              <w:t>。</w:t>
            </w:r>
          </w:p>
          <w:bookmarkEnd w:id="118"/>
          <w:p w14:paraId="2E03A367" w14:textId="77777777" w:rsidR="00F76A63" w:rsidRDefault="00000000">
            <w:pPr>
              <w:adjustRightInd w:val="0"/>
              <w:snapToGrid w:val="0"/>
              <w:spacing w:line="500" w:lineRule="exact"/>
              <w:ind w:firstLineChars="200" w:firstLine="480"/>
              <w:rPr>
                <w:kern w:val="0"/>
                <w:sz w:val="24"/>
              </w:rPr>
            </w:pPr>
            <w:r>
              <w:rPr>
                <w:kern w:val="0"/>
                <w:sz w:val="24"/>
              </w:rPr>
              <w:t>监测内容如下：</w:t>
            </w:r>
          </w:p>
          <w:p w14:paraId="5CA07FE2" w14:textId="77777777" w:rsidR="00F76A63" w:rsidRDefault="00000000">
            <w:pPr>
              <w:adjustRightInd w:val="0"/>
              <w:snapToGrid w:val="0"/>
              <w:spacing w:line="500" w:lineRule="exact"/>
              <w:ind w:firstLineChars="200" w:firstLine="480"/>
              <w:rPr>
                <w:kern w:val="0"/>
                <w:sz w:val="24"/>
              </w:rPr>
            </w:pPr>
            <w:r>
              <w:rPr>
                <w:kern w:val="0"/>
                <w:sz w:val="24"/>
              </w:rPr>
              <w:t>（</w:t>
            </w:r>
            <w:r>
              <w:rPr>
                <w:kern w:val="0"/>
                <w:sz w:val="24"/>
              </w:rPr>
              <w:t>1</w:t>
            </w:r>
            <w:r>
              <w:rPr>
                <w:kern w:val="0"/>
                <w:sz w:val="24"/>
              </w:rPr>
              <w:t>）监测布点</w:t>
            </w:r>
          </w:p>
          <w:p w14:paraId="1456D64C" w14:textId="77777777" w:rsidR="00F76A63" w:rsidRDefault="00000000">
            <w:pPr>
              <w:adjustRightInd w:val="0"/>
              <w:snapToGrid w:val="0"/>
              <w:spacing w:line="500" w:lineRule="exact"/>
              <w:ind w:firstLineChars="200" w:firstLine="480"/>
              <w:rPr>
                <w:bCs/>
                <w:kern w:val="0"/>
                <w:sz w:val="24"/>
              </w:rPr>
            </w:pPr>
            <w:r>
              <w:rPr>
                <w:kern w:val="0"/>
                <w:sz w:val="24"/>
              </w:rPr>
              <w:t>考虑到环境空气污染源的特点、评价等级、保护对象和评价区特点等多方面因素，在评价区域内布设</w:t>
            </w:r>
            <w:r>
              <w:rPr>
                <w:kern w:val="0"/>
                <w:sz w:val="24"/>
              </w:rPr>
              <w:t>1</w:t>
            </w:r>
            <w:r>
              <w:rPr>
                <w:kern w:val="0"/>
                <w:sz w:val="24"/>
              </w:rPr>
              <w:t>个大气监测点。</w:t>
            </w:r>
            <w:r>
              <w:rPr>
                <w:bCs/>
                <w:kern w:val="0"/>
                <w:sz w:val="24"/>
              </w:rPr>
              <w:t>监测点位均位于本项目评价范围，满足本项目评价要求。</w:t>
            </w:r>
          </w:p>
          <w:p w14:paraId="6267E93D" w14:textId="77777777" w:rsidR="00F76A63" w:rsidRDefault="00000000">
            <w:pPr>
              <w:adjustRightInd w:val="0"/>
              <w:snapToGrid w:val="0"/>
              <w:spacing w:line="500" w:lineRule="exact"/>
              <w:jc w:val="center"/>
              <w:rPr>
                <w:b/>
                <w:bCs/>
                <w:kern w:val="0"/>
                <w:sz w:val="24"/>
              </w:rPr>
            </w:pPr>
            <w:r>
              <w:rPr>
                <w:b/>
                <w:bCs/>
                <w:kern w:val="0"/>
                <w:sz w:val="24"/>
              </w:rPr>
              <w:t>表</w:t>
            </w:r>
            <w:r>
              <w:rPr>
                <w:b/>
                <w:bCs/>
                <w:kern w:val="0"/>
                <w:sz w:val="24"/>
              </w:rPr>
              <w:t xml:space="preserve">3-2  </w:t>
            </w:r>
            <w:r>
              <w:rPr>
                <w:b/>
                <w:bCs/>
                <w:kern w:val="0"/>
                <w:sz w:val="24"/>
              </w:rPr>
              <w:t>环境空气质量现状监测点位和监测项目</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689"/>
              <w:gridCol w:w="1404"/>
              <w:gridCol w:w="2198"/>
              <w:gridCol w:w="2208"/>
              <w:gridCol w:w="770"/>
              <w:gridCol w:w="913"/>
            </w:tblGrid>
            <w:tr w:rsidR="00F76A63" w14:paraId="3654AC8F" w14:textId="77777777">
              <w:trPr>
                <w:trHeight w:val="340"/>
                <w:jc w:val="center"/>
              </w:trPr>
              <w:tc>
                <w:tcPr>
                  <w:tcW w:w="692" w:type="dxa"/>
                  <w:vMerge w:val="restart"/>
                  <w:tcBorders>
                    <w:top w:val="single" w:sz="12" w:space="0" w:color="auto"/>
                    <w:left w:val="nil"/>
                    <w:bottom w:val="single" w:sz="4" w:space="0" w:color="auto"/>
                    <w:right w:val="single" w:sz="4" w:space="0" w:color="auto"/>
                  </w:tcBorders>
                  <w:vAlign w:val="center"/>
                </w:tcPr>
                <w:p w14:paraId="476BBBE0" w14:textId="77777777" w:rsidR="00F76A63" w:rsidRDefault="00000000">
                  <w:pPr>
                    <w:jc w:val="center"/>
                    <w:rPr>
                      <w:b/>
                      <w:kern w:val="0"/>
                      <w:szCs w:val="21"/>
                    </w:rPr>
                  </w:pPr>
                  <w:r>
                    <w:rPr>
                      <w:b/>
                      <w:kern w:val="0"/>
                    </w:rPr>
                    <w:t>序号</w:t>
                  </w:r>
                </w:p>
              </w:tc>
              <w:tc>
                <w:tcPr>
                  <w:tcW w:w="1410" w:type="dxa"/>
                  <w:vMerge w:val="restart"/>
                  <w:tcBorders>
                    <w:top w:val="single" w:sz="12" w:space="0" w:color="auto"/>
                    <w:left w:val="single" w:sz="4" w:space="0" w:color="auto"/>
                    <w:bottom w:val="single" w:sz="4" w:space="0" w:color="auto"/>
                    <w:right w:val="single" w:sz="4" w:space="0" w:color="auto"/>
                  </w:tcBorders>
                  <w:vAlign w:val="center"/>
                </w:tcPr>
                <w:p w14:paraId="0B135DBD" w14:textId="77777777" w:rsidR="00F76A63" w:rsidRDefault="00000000">
                  <w:pPr>
                    <w:jc w:val="center"/>
                    <w:rPr>
                      <w:b/>
                      <w:kern w:val="0"/>
                    </w:rPr>
                  </w:pPr>
                  <w:r>
                    <w:rPr>
                      <w:b/>
                      <w:kern w:val="0"/>
                    </w:rPr>
                    <w:t>监测点位置</w:t>
                  </w:r>
                </w:p>
              </w:tc>
              <w:tc>
                <w:tcPr>
                  <w:tcW w:w="2208" w:type="dxa"/>
                  <w:vMerge w:val="restart"/>
                  <w:tcBorders>
                    <w:top w:val="single" w:sz="12" w:space="0" w:color="auto"/>
                    <w:left w:val="single" w:sz="4" w:space="0" w:color="auto"/>
                    <w:bottom w:val="single" w:sz="4" w:space="0" w:color="auto"/>
                    <w:right w:val="single" w:sz="4" w:space="0" w:color="auto"/>
                  </w:tcBorders>
                  <w:vAlign w:val="center"/>
                </w:tcPr>
                <w:p w14:paraId="00FFDB94" w14:textId="77777777" w:rsidR="00F76A63" w:rsidRDefault="00000000">
                  <w:pPr>
                    <w:jc w:val="center"/>
                    <w:rPr>
                      <w:b/>
                      <w:kern w:val="0"/>
                    </w:rPr>
                  </w:pPr>
                  <w:r>
                    <w:rPr>
                      <w:b/>
                      <w:kern w:val="0"/>
                    </w:rPr>
                    <w:t>监测因子</w:t>
                  </w:r>
                </w:p>
              </w:tc>
              <w:tc>
                <w:tcPr>
                  <w:tcW w:w="2218" w:type="dxa"/>
                  <w:vMerge w:val="restart"/>
                  <w:tcBorders>
                    <w:top w:val="single" w:sz="12" w:space="0" w:color="auto"/>
                    <w:left w:val="single" w:sz="4" w:space="0" w:color="auto"/>
                    <w:bottom w:val="single" w:sz="4" w:space="0" w:color="auto"/>
                    <w:right w:val="single" w:sz="4" w:space="0" w:color="auto"/>
                  </w:tcBorders>
                  <w:vAlign w:val="center"/>
                </w:tcPr>
                <w:p w14:paraId="72976DEA" w14:textId="77777777" w:rsidR="00F76A63" w:rsidRDefault="00000000">
                  <w:pPr>
                    <w:jc w:val="center"/>
                    <w:rPr>
                      <w:b/>
                      <w:kern w:val="0"/>
                    </w:rPr>
                  </w:pPr>
                  <w:r>
                    <w:rPr>
                      <w:b/>
                      <w:kern w:val="0"/>
                    </w:rPr>
                    <w:t>监测时段</w:t>
                  </w:r>
                </w:p>
              </w:tc>
              <w:tc>
                <w:tcPr>
                  <w:tcW w:w="1689" w:type="dxa"/>
                  <w:gridSpan w:val="2"/>
                  <w:tcBorders>
                    <w:top w:val="single" w:sz="12" w:space="0" w:color="auto"/>
                    <w:left w:val="single" w:sz="4" w:space="0" w:color="auto"/>
                    <w:bottom w:val="nil"/>
                    <w:right w:val="nil"/>
                  </w:tcBorders>
                  <w:vAlign w:val="center"/>
                </w:tcPr>
                <w:p w14:paraId="3660B035" w14:textId="77777777" w:rsidR="00F76A63" w:rsidRDefault="00000000">
                  <w:pPr>
                    <w:jc w:val="center"/>
                    <w:rPr>
                      <w:b/>
                      <w:kern w:val="0"/>
                    </w:rPr>
                  </w:pPr>
                  <w:r>
                    <w:rPr>
                      <w:b/>
                      <w:kern w:val="0"/>
                    </w:rPr>
                    <w:t>相对厂界位置</w:t>
                  </w:r>
                </w:p>
              </w:tc>
            </w:tr>
            <w:tr w:rsidR="00F76A63" w14:paraId="65054D2E" w14:textId="77777777">
              <w:trPr>
                <w:trHeight w:val="340"/>
                <w:jc w:val="center"/>
              </w:trPr>
              <w:tc>
                <w:tcPr>
                  <w:tcW w:w="692" w:type="dxa"/>
                  <w:vMerge/>
                  <w:tcBorders>
                    <w:top w:val="single" w:sz="12" w:space="0" w:color="auto"/>
                    <w:left w:val="nil"/>
                    <w:bottom w:val="single" w:sz="4" w:space="0" w:color="auto"/>
                    <w:right w:val="single" w:sz="4" w:space="0" w:color="auto"/>
                  </w:tcBorders>
                  <w:vAlign w:val="center"/>
                </w:tcPr>
                <w:p w14:paraId="696CB27A" w14:textId="77777777" w:rsidR="00F76A63" w:rsidRDefault="00F76A63">
                  <w:pPr>
                    <w:widowControl/>
                    <w:jc w:val="left"/>
                    <w:rPr>
                      <w:b/>
                      <w:kern w:val="0"/>
                      <w:szCs w:val="21"/>
                    </w:rPr>
                  </w:pPr>
                </w:p>
              </w:tc>
              <w:tc>
                <w:tcPr>
                  <w:tcW w:w="1410" w:type="dxa"/>
                  <w:vMerge/>
                  <w:tcBorders>
                    <w:top w:val="single" w:sz="12" w:space="0" w:color="auto"/>
                    <w:left w:val="single" w:sz="4" w:space="0" w:color="auto"/>
                    <w:bottom w:val="single" w:sz="4" w:space="0" w:color="auto"/>
                    <w:right w:val="single" w:sz="4" w:space="0" w:color="auto"/>
                  </w:tcBorders>
                  <w:vAlign w:val="center"/>
                </w:tcPr>
                <w:p w14:paraId="0A07EBEF" w14:textId="77777777" w:rsidR="00F76A63" w:rsidRDefault="00F76A63">
                  <w:pPr>
                    <w:widowControl/>
                    <w:jc w:val="left"/>
                    <w:rPr>
                      <w:b/>
                      <w:kern w:val="0"/>
                    </w:rPr>
                  </w:pPr>
                </w:p>
              </w:tc>
              <w:tc>
                <w:tcPr>
                  <w:tcW w:w="2208" w:type="dxa"/>
                  <w:vMerge/>
                  <w:tcBorders>
                    <w:top w:val="single" w:sz="12" w:space="0" w:color="auto"/>
                    <w:left w:val="single" w:sz="4" w:space="0" w:color="auto"/>
                    <w:bottom w:val="single" w:sz="4" w:space="0" w:color="auto"/>
                    <w:right w:val="single" w:sz="4" w:space="0" w:color="auto"/>
                  </w:tcBorders>
                  <w:vAlign w:val="center"/>
                </w:tcPr>
                <w:p w14:paraId="6CF2DBBB" w14:textId="77777777" w:rsidR="00F76A63" w:rsidRDefault="00F76A63">
                  <w:pPr>
                    <w:widowControl/>
                    <w:jc w:val="left"/>
                    <w:rPr>
                      <w:b/>
                      <w:kern w:val="0"/>
                    </w:rPr>
                  </w:pPr>
                </w:p>
              </w:tc>
              <w:tc>
                <w:tcPr>
                  <w:tcW w:w="2218" w:type="dxa"/>
                  <w:vMerge/>
                  <w:tcBorders>
                    <w:top w:val="single" w:sz="12" w:space="0" w:color="auto"/>
                    <w:left w:val="single" w:sz="4" w:space="0" w:color="auto"/>
                    <w:bottom w:val="single" w:sz="4" w:space="0" w:color="auto"/>
                    <w:right w:val="single" w:sz="4" w:space="0" w:color="auto"/>
                  </w:tcBorders>
                  <w:vAlign w:val="center"/>
                </w:tcPr>
                <w:p w14:paraId="3BE47FB5" w14:textId="77777777" w:rsidR="00F76A63" w:rsidRDefault="00F76A63">
                  <w:pPr>
                    <w:widowControl/>
                    <w:jc w:val="left"/>
                    <w:rPr>
                      <w:b/>
                      <w:kern w:val="0"/>
                    </w:rPr>
                  </w:pPr>
                </w:p>
              </w:tc>
              <w:tc>
                <w:tcPr>
                  <w:tcW w:w="773" w:type="dxa"/>
                  <w:tcBorders>
                    <w:top w:val="single" w:sz="4" w:space="0" w:color="auto"/>
                    <w:left w:val="single" w:sz="4" w:space="0" w:color="auto"/>
                    <w:bottom w:val="single" w:sz="4" w:space="0" w:color="auto"/>
                    <w:right w:val="single" w:sz="4" w:space="0" w:color="auto"/>
                  </w:tcBorders>
                  <w:vAlign w:val="center"/>
                </w:tcPr>
                <w:p w14:paraId="48041673" w14:textId="77777777" w:rsidR="00F76A63" w:rsidRDefault="00000000">
                  <w:pPr>
                    <w:jc w:val="center"/>
                    <w:rPr>
                      <w:b/>
                      <w:kern w:val="0"/>
                    </w:rPr>
                  </w:pPr>
                  <w:r>
                    <w:rPr>
                      <w:b/>
                      <w:kern w:val="0"/>
                    </w:rPr>
                    <w:t>方位</w:t>
                  </w:r>
                </w:p>
              </w:tc>
              <w:tc>
                <w:tcPr>
                  <w:tcW w:w="916" w:type="dxa"/>
                  <w:tcBorders>
                    <w:top w:val="single" w:sz="4" w:space="0" w:color="auto"/>
                    <w:left w:val="single" w:sz="4" w:space="0" w:color="auto"/>
                    <w:bottom w:val="single" w:sz="4" w:space="0" w:color="auto"/>
                    <w:right w:val="nil"/>
                  </w:tcBorders>
                  <w:vAlign w:val="center"/>
                </w:tcPr>
                <w:p w14:paraId="5FDE0F7E" w14:textId="77777777" w:rsidR="00F76A63" w:rsidRDefault="00000000">
                  <w:pPr>
                    <w:jc w:val="center"/>
                    <w:rPr>
                      <w:b/>
                      <w:kern w:val="0"/>
                    </w:rPr>
                  </w:pPr>
                  <w:r>
                    <w:rPr>
                      <w:b/>
                      <w:kern w:val="0"/>
                    </w:rPr>
                    <w:t>距离</w:t>
                  </w:r>
                  <w:r>
                    <w:rPr>
                      <w:b/>
                      <w:kern w:val="0"/>
                    </w:rPr>
                    <w:t>/m</w:t>
                  </w:r>
                </w:p>
              </w:tc>
            </w:tr>
            <w:tr w:rsidR="00F76A63" w14:paraId="513B0BE9" w14:textId="77777777">
              <w:trPr>
                <w:trHeight w:val="353"/>
                <w:jc w:val="center"/>
              </w:trPr>
              <w:tc>
                <w:tcPr>
                  <w:tcW w:w="692" w:type="dxa"/>
                  <w:vMerge w:val="restart"/>
                  <w:tcBorders>
                    <w:top w:val="single" w:sz="4" w:space="0" w:color="auto"/>
                    <w:left w:val="nil"/>
                    <w:right w:val="single" w:sz="4" w:space="0" w:color="auto"/>
                  </w:tcBorders>
                  <w:vAlign w:val="center"/>
                </w:tcPr>
                <w:p w14:paraId="176ED9F2" w14:textId="77777777" w:rsidR="00F76A63" w:rsidRDefault="00000000">
                  <w:pPr>
                    <w:jc w:val="center"/>
                    <w:rPr>
                      <w:kern w:val="0"/>
                    </w:rPr>
                  </w:pPr>
                  <w:r>
                    <w:rPr>
                      <w:kern w:val="0"/>
                    </w:rPr>
                    <w:t>G1</w:t>
                  </w:r>
                </w:p>
              </w:tc>
              <w:tc>
                <w:tcPr>
                  <w:tcW w:w="1410" w:type="dxa"/>
                  <w:vMerge w:val="restart"/>
                  <w:tcBorders>
                    <w:top w:val="single" w:sz="4" w:space="0" w:color="auto"/>
                    <w:left w:val="single" w:sz="4" w:space="0" w:color="auto"/>
                    <w:right w:val="single" w:sz="4" w:space="0" w:color="auto"/>
                  </w:tcBorders>
                  <w:vAlign w:val="center"/>
                </w:tcPr>
                <w:p w14:paraId="12ABD289" w14:textId="77777777" w:rsidR="00F76A63" w:rsidRDefault="00000000">
                  <w:pPr>
                    <w:jc w:val="center"/>
                    <w:rPr>
                      <w:kern w:val="0"/>
                    </w:rPr>
                  </w:pPr>
                  <w:r>
                    <w:rPr>
                      <w:kern w:val="0"/>
                    </w:rPr>
                    <w:t>下蜀镇临港工业区住宿区</w:t>
                  </w:r>
                </w:p>
              </w:tc>
              <w:tc>
                <w:tcPr>
                  <w:tcW w:w="2208" w:type="dxa"/>
                  <w:tcBorders>
                    <w:top w:val="single" w:sz="4" w:space="0" w:color="auto"/>
                    <w:left w:val="single" w:sz="4" w:space="0" w:color="auto"/>
                    <w:bottom w:val="single" w:sz="4" w:space="0" w:color="auto"/>
                    <w:right w:val="single" w:sz="4" w:space="0" w:color="auto"/>
                  </w:tcBorders>
                  <w:vAlign w:val="center"/>
                </w:tcPr>
                <w:p w14:paraId="64B89F65" w14:textId="77777777" w:rsidR="00F76A63" w:rsidRDefault="00000000">
                  <w:pPr>
                    <w:jc w:val="center"/>
                    <w:rPr>
                      <w:bCs/>
                      <w:kern w:val="0"/>
                    </w:rPr>
                  </w:pPr>
                  <w:r>
                    <w:rPr>
                      <w:bCs/>
                      <w:kern w:val="0"/>
                    </w:rPr>
                    <w:t>HCl</w:t>
                  </w:r>
                  <w:r>
                    <w:rPr>
                      <w:bCs/>
                      <w:kern w:val="0"/>
                    </w:rPr>
                    <w:t>、氟化物、</w:t>
                  </w:r>
                  <w:r>
                    <w:rPr>
                      <w:bCs/>
                      <w:kern w:val="0"/>
                    </w:rPr>
                    <w:t>NH</w:t>
                  </w:r>
                  <w:r>
                    <w:rPr>
                      <w:bCs/>
                      <w:kern w:val="0"/>
                      <w:vertAlign w:val="subscript"/>
                    </w:rPr>
                    <w:t>3</w:t>
                  </w:r>
                  <w:r>
                    <w:rPr>
                      <w:bCs/>
                      <w:kern w:val="0"/>
                    </w:rPr>
                    <w:t>、</w:t>
                  </w:r>
                  <w:r>
                    <w:rPr>
                      <w:bCs/>
                      <w:kern w:val="0"/>
                    </w:rPr>
                    <w:t>H</w:t>
                  </w:r>
                  <w:r>
                    <w:rPr>
                      <w:bCs/>
                      <w:kern w:val="0"/>
                      <w:vertAlign w:val="subscript"/>
                    </w:rPr>
                    <w:t>2</w:t>
                  </w:r>
                  <w:r>
                    <w:rPr>
                      <w:bCs/>
                      <w:kern w:val="0"/>
                    </w:rPr>
                    <w:t>S</w:t>
                  </w:r>
                  <w:r>
                    <w:rPr>
                      <w:rFonts w:hint="eastAsia"/>
                      <w:bCs/>
                      <w:kern w:val="0"/>
                    </w:rPr>
                    <w:t>、</w:t>
                  </w:r>
                  <w:r>
                    <w:rPr>
                      <w:rFonts w:hint="eastAsia"/>
                      <w:bCs/>
                      <w:kern w:val="0"/>
                    </w:rPr>
                    <w:t>NO</w:t>
                  </w:r>
                  <w:r>
                    <w:rPr>
                      <w:rFonts w:hint="eastAsia"/>
                      <w:bCs/>
                      <w:kern w:val="0"/>
                      <w:vertAlign w:val="subscript"/>
                    </w:rPr>
                    <w:t>X</w:t>
                  </w:r>
                </w:p>
              </w:tc>
              <w:tc>
                <w:tcPr>
                  <w:tcW w:w="2218" w:type="dxa"/>
                  <w:tcBorders>
                    <w:top w:val="single" w:sz="4" w:space="0" w:color="auto"/>
                    <w:left w:val="single" w:sz="4" w:space="0" w:color="auto"/>
                    <w:right w:val="single" w:sz="4" w:space="0" w:color="auto"/>
                  </w:tcBorders>
                  <w:vAlign w:val="center"/>
                </w:tcPr>
                <w:p w14:paraId="19C7C66D" w14:textId="77777777" w:rsidR="00F76A63" w:rsidRDefault="00000000">
                  <w:pPr>
                    <w:jc w:val="center"/>
                    <w:rPr>
                      <w:kern w:val="0"/>
                    </w:rPr>
                  </w:pPr>
                  <w:r>
                    <w:rPr>
                      <w:kern w:val="0"/>
                    </w:rPr>
                    <w:t>2025</w:t>
                  </w:r>
                  <w:r>
                    <w:rPr>
                      <w:kern w:val="0"/>
                    </w:rPr>
                    <w:t>年</w:t>
                  </w:r>
                  <w:r>
                    <w:rPr>
                      <w:kern w:val="0"/>
                    </w:rPr>
                    <w:t>8</w:t>
                  </w:r>
                  <w:r>
                    <w:rPr>
                      <w:kern w:val="0"/>
                    </w:rPr>
                    <w:t>月</w:t>
                  </w:r>
                  <w:r>
                    <w:rPr>
                      <w:kern w:val="0"/>
                    </w:rPr>
                    <w:t>21</w:t>
                  </w:r>
                  <w:r>
                    <w:rPr>
                      <w:kern w:val="0"/>
                    </w:rPr>
                    <w:t>日</w:t>
                  </w:r>
                  <w:r>
                    <w:rPr>
                      <w:kern w:val="0"/>
                    </w:rPr>
                    <w:t>~2025</w:t>
                  </w:r>
                  <w:r>
                    <w:rPr>
                      <w:kern w:val="0"/>
                    </w:rPr>
                    <w:t>年</w:t>
                  </w:r>
                  <w:r>
                    <w:rPr>
                      <w:kern w:val="0"/>
                    </w:rPr>
                    <w:t>8</w:t>
                  </w:r>
                  <w:r>
                    <w:rPr>
                      <w:kern w:val="0"/>
                    </w:rPr>
                    <w:t>月</w:t>
                  </w:r>
                  <w:r>
                    <w:rPr>
                      <w:kern w:val="0"/>
                    </w:rPr>
                    <w:t>28</w:t>
                  </w:r>
                  <w:r>
                    <w:rPr>
                      <w:kern w:val="0"/>
                    </w:rPr>
                    <w:t>日，小时值，连续监测</w:t>
                  </w:r>
                  <w:r>
                    <w:rPr>
                      <w:kern w:val="0"/>
                    </w:rPr>
                    <w:t>7</w:t>
                  </w:r>
                  <w:r>
                    <w:rPr>
                      <w:kern w:val="0"/>
                    </w:rPr>
                    <w:t>天，每天监测</w:t>
                  </w:r>
                  <w:r>
                    <w:rPr>
                      <w:kern w:val="0"/>
                    </w:rPr>
                    <w:t>4</w:t>
                  </w:r>
                  <w:r>
                    <w:rPr>
                      <w:kern w:val="0"/>
                    </w:rPr>
                    <w:t>次</w:t>
                  </w:r>
                  <w:r>
                    <w:rPr>
                      <w:rFonts w:hint="eastAsia"/>
                      <w:kern w:val="0"/>
                    </w:rPr>
                    <w:t>；</w:t>
                  </w:r>
                  <w:r>
                    <w:rPr>
                      <w:rFonts w:hint="eastAsia"/>
                      <w:kern w:val="0"/>
                    </w:rPr>
                    <w:t>2026</w:t>
                  </w:r>
                  <w:r>
                    <w:rPr>
                      <w:rFonts w:hint="eastAsia"/>
                      <w:kern w:val="0"/>
                    </w:rPr>
                    <w:t>年</w:t>
                  </w:r>
                  <w:r>
                    <w:rPr>
                      <w:rFonts w:hint="eastAsia"/>
                      <w:kern w:val="0"/>
                    </w:rPr>
                    <w:t>5</w:t>
                  </w:r>
                  <w:r>
                    <w:rPr>
                      <w:rFonts w:hint="eastAsia"/>
                      <w:kern w:val="0"/>
                    </w:rPr>
                    <w:t>月</w:t>
                  </w:r>
                  <w:r>
                    <w:rPr>
                      <w:rFonts w:hint="eastAsia"/>
                      <w:kern w:val="0"/>
                    </w:rPr>
                    <w:t>26</w:t>
                  </w:r>
                  <w:r>
                    <w:rPr>
                      <w:rFonts w:hint="eastAsia"/>
                      <w:kern w:val="0"/>
                    </w:rPr>
                    <w:t>日</w:t>
                  </w:r>
                  <w:r>
                    <w:rPr>
                      <w:rFonts w:hint="eastAsia"/>
                      <w:kern w:val="0"/>
                    </w:rPr>
                    <w:t>~2026</w:t>
                  </w:r>
                  <w:r>
                    <w:rPr>
                      <w:rFonts w:hint="eastAsia"/>
                      <w:kern w:val="0"/>
                    </w:rPr>
                    <w:t>年</w:t>
                  </w:r>
                  <w:r>
                    <w:rPr>
                      <w:rFonts w:hint="eastAsia"/>
                      <w:kern w:val="0"/>
                    </w:rPr>
                    <w:t>5</w:t>
                  </w:r>
                  <w:r>
                    <w:rPr>
                      <w:rFonts w:hint="eastAsia"/>
                      <w:kern w:val="0"/>
                    </w:rPr>
                    <w:t>月</w:t>
                  </w:r>
                  <w:r>
                    <w:rPr>
                      <w:rFonts w:hint="eastAsia"/>
                      <w:kern w:val="0"/>
                    </w:rPr>
                    <w:t>28</w:t>
                  </w:r>
                  <w:r>
                    <w:rPr>
                      <w:rFonts w:hint="eastAsia"/>
                      <w:kern w:val="0"/>
                    </w:rPr>
                    <w:t>日</w:t>
                  </w:r>
                  <w:r>
                    <w:rPr>
                      <w:rFonts w:hint="eastAsia"/>
                      <w:bCs/>
                      <w:kern w:val="0"/>
                    </w:rPr>
                    <w:t>NO</w:t>
                  </w:r>
                  <w:r>
                    <w:rPr>
                      <w:rFonts w:hint="eastAsia"/>
                      <w:bCs/>
                      <w:kern w:val="0"/>
                      <w:vertAlign w:val="subscript"/>
                    </w:rPr>
                    <w:t>X</w:t>
                  </w:r>
                  <w:r>
                    <w:rPr>
                      <w:rFonts w:hint="eastAsia"/>
                      <w:kern w:val="0"/>
                    </w:rPr>
                    <w:t>连续</w:t>
                  </w:r>
                  <w:r>
                    <w:rPr>
                      <w:rFonts w:hint="eastAsia"/>
                      <w:kern w:val="0"/>
                    </w:rPr>
                    <w:t>3</w:t>
                  </w:r>
                  <w:r>
                    <w:rPr>
                      <w:rFonts w:hint="eastAsia"/>
                      <w:kern w:val="0"/>
                    </w:rPr>
                    <w:t>天</w:t>
                  </w:r>
                </w:p>
              </w:tc>
              <w:tc>
                <w:tcPr>
                  <w:tcW w:w="773" w:type="dxa"/>
                  <w:vMerge w:val="restart"/>
                  <w:tcBorders>
                    <w:top w:val="single" w:sz="4" w:space="0" w:color="auto"/>
                    <w:left w:val="single" w:sz="4" w:space="0" w:color="auto"/>
                    <w:right w:val="single" w:sz="4" w:space="0" w:color="auto"/>
                  </w:tcBorders>
                  <w:vAlign w:val="center"/>
                </w:tcPr>
                <w:p w14:paraId="20140A2F" w14:textId="77777777" w:rsidR="00F76A63" w:rsidRDefault="00000000">
                  <w:pPr>
                    <w:jc w:val="center"/>
                    <w:rPr>
                      <w:b/>
                      <w:kern w:val="0"/>
                    </w:rPr>
                  </w:pPr>
                  <w:r>
                    <w:rPr>
                      <w:bCs/>
                      <w:kern w:val="0"/>
                    </w:rPr>
                    <w:t>SW</w:t>
                  </w:r>
                </w:p>
              </w:tc>
              <w:tc>
                <w:tcPr>
                  <w:tcW w:w="916" w:type="dxa"/>
                  <w:vMerge w:val="restart"/>
                  <w:tcBorders>
                    <w:top w:val="single" w:sz="4" w:space="0" w:color="auto"/>
                    <w:left w:val="single" w:sz="4" w:space="0" w:color="auto"/>
                    <w:right w:val="nil"/>
                  </w:tcBorders>
                  <w:vAlign w:val="center"/>
                </w:tcPr>
                <w:p w14:paraId="3BD76499" w14:textId="77777777" w:rsidR="00F76A63" w:rsidRDefault="00000000">
                  <w:pPr>
                    <w:jc w:val="center"/>
                    <w:rPr>
                      <w:bCs/>
                      <w:kern w:val="0"/>
                    </w:rPr>
                  </w:pPr>
                  <w:r>
                    <w:rPr>
                      <w:bCs/>
                      <w:kern w:val="0"/>
                    </w:rPr>
                    <w:t>896</w:t>
                  </w:r>
                </w:p>
              </w:tc>
            </w:tr>
            <w:tr w:rsidR="00F76A63" w14:paraId="1192EE56" w14:textId="77777777">
              <w:trPr>
                <w:trHeight w:val="353"/>
                <w:jc w:val="center"/>
              </w:trPr>
              <w:tc>
                <w:tcPr>
                  <w:tcW w:w="692" w:type="dxa"/>
                  <w:vMerge/>
                  <w:tcBorders>
                    <w:left w:val="nil"/>
                    <w:bottom w:val="single" w:sz="4" w:space="0" w:color="auto"/>
                    <w:right w:val="single" w:sz="4" w:space="0" w:color="auto"/>
                  </w:tcBorders>
                  <w:vAlign w:val="center"/>
                </w:tcPr>
                <w:p w14:paraId="6144CAAD" w14:textId="77777777" w:rsidR="00F76A63" w:rsidRDefault="00F76A63">
                  <w:pPr>
                    <w:jc w:val="center"/>
                    <w:rPr>
                      <w:kern w:val="0"/>
                    </w:rPr>
                  </w:pPr>
                </w:p>
              </w:tc>
              <w:tc>
                <w:tcPr>
                  <w:tcW w:w="1410" w:type="dxa"/>
                  <w:vMerge/>
                  <w:tcBorders>
                    <w:left w:val="single" w:sz="4" w:space="0" w:color="auto"/>
                    <w:bottom w:val="single" w:sz="4" w:space="0" w:color="auto"/>
                    <w:right w:val="single" w:sz="4" w:space="0" w:color="auto"/>
                  </w:tcBorders>
                  <w:vAlign w:val="center"/>
                </w:tcPr>
                <w:p w14:paraId="2720314E" w14:textId="77777777" w:rsidR="00F76A63" w:rsidRDefault="00F76A63">
                  <w:pPr>
                    <w:jc w:val="center"/>
                    <w:rPr>
                      <w:kern w:val="0"/>
                    </w:rPr>
                  </w:pPr>
                </w:p>
              </w:tc>
              <w:tc>
                <w:tcPr>
                  <w:tcW w:w="2208" w:type="dxa"/>
                  <w:tcBorders>
                    <w:top w:val="single" w:sz="4" w:space="0" w:color="auto"/>
                    <w:left w:val="single" w:sz="4" w:space="0" w:color="auto"/>
                    <w:bottom w:val="single" w:sz="4" w:space="0" w:color="auto"/>
                    <w:right w:val="single" w:sz="4" w:space="0" w:color="auto"/>
                  </w:tcBorders>
                  <w:vAlign w:val="center"/>
                </w:tcPr>
                <w:p w14:paraId="19104ABD" w14:textId="77777777" w:rsidR="00F76A63" w:rsidRDefault="00000000">
                  <w:pPr>
                    <w:jc w:val="center"/>
                    <w:rPr>
                      <w:bCs/>
                      <w:kern w:val="0"/>
                    </w:rPr>
                  </w:pPr>
                  <w:r>
                    <w:rPr>
                      <w:bCs/>
                      <w:kern w:val="0"/>
                    </w:rPr>
                    <w:t>铅、砷、镉、汞、六价铬、锰及其化合物、二噁英</w:t>
                  </w:r>
                  <w:r>
                    <w:rPr>
                      <w:rFonts w:hint="eastAsia"/>
                      <w:bCs/>
                      <w:kern w:val="0"/>
                    </w:rPr>
                    <w:t>、</w:t>
                  </w:r>
                  <w:r>
                    <w:rPr>
                      <w:rFonts w:hint="eastAsia"/>
                      <w:bCs/>
                      <w:kern w:val="0"/>
                    </w:rPr>
                    <w:t>TSP</w:t>
                  </w:r>
                </w:p>
              </w:tc>
              <w:tc>
                <w:tcPr>
                  <w:tcW w:w="2218" w:type="dxa"/>
                  <w:tcBorders>
                    <w:left w:val="single" w:sz="4" w:space="0" w:color="auto"/>
                    <w:bottom w:val="single" w:sz="4" w:space="0" w:color="auto"/>
                    <w:right w:val="single" w:sz="4" w:space="0" w:color="auto"/>
                  </w:tcBorders>
                  <w:vAlign w:val="center"/>
                </w:tcPr>
                <w:p w14:paraId="2110007D" w14:textId="77777777" w:rsidR="00F76A63" w:rsidRDefault="00000000">
                  <w:pPr>
                    <w:jc w:val="center"/>
                    <w:rPr>
                      <w:kern w:val="0"/>
                    </w:rPr>
                  </w:pPr>
                  <w:r>
                    <w:rPr>
                      <w:kern w:val="0"/>
                    </w:rPr>
                    <w:t>2025</w:t>
                  </w:r>
                  <w:r>
                    <w:rPr>
                      <w:kern w:val="0"/>
                    </w:rPr>
                    <w:t>年</w:t>
                  </w:r>
                  <w:r>
                    <w:rPr>
                      <w:kern w:val="0"/>
                    </w:rPr>
                    <w:t>8</w:t>
                  </w:r>
                  <w:r>
                    <w:rPr>
                      <w:kern w:val="0"/>
                    </w:rPr>
                    <w:t>月</w:t>
                  </w:r>
                  <w:r>
                    <w:rPr>
                      <w:kern w:val="0"/>
                    </w:rPr>
                    <w:t>21</w:t>
                  </w:r>
                  <w:r>
                    <w:rPr>
                      <w:kern w:val="0"/>
                    </w:rPr>
                    <w:t>日</w:t>
                  </w:r>
                  <w:r>
                    <w:rPr>
                      <w:kern w:val="0"/>
                    </w:rPr>
                    <w:t>~2025</w:t>
                  </w:r>
                  <w:r>
                    <w:rPr>
                      <w:kern w:val="0"/>
                    </w:rPr>
                    <w:t>年</w:t>
                  </w:r>
                  <w:r>
                    <w:rPr>
                      <w:kern w:val="0"/>
                    </w:rPr>
                    <w:t>8</w:t>
                  </w:r>
                  <w:r>
                    <w:rPr>
                      <w:kern w:val="0"/>
                    </w:rPr>
                    <w:t>月</w:t>
                  </w:r>
                  <w:r>
                    <w:rPr>
                      <w:kern w:val="0"/>
                    </w:rPr>
                    <w:t>28</w:t>
                  </w:r>
                  <w:r>
                    <w:rPr>
                      <w:kern w:val="0"/>
                    </w:rPr>
                    <w:t>日，日均值，连续</w:t>
                  </w:r>
                  <w:r>
                    <w:rPr>
                      <w:kern w:val="0"/>
                    </w:rPr>
                    <w:t>7</w:t>
                  </w:r>
                  <w:r>
                    <w:rPr>
                      <w:kern w:val="0"/>
                    </w:rPr>
                    <w:t>天</w:t>
                  </w:r>
                  <w:r>
                    <w:rPr>
                      <w:rFonts w:hint="eastAsia"/>
                      <w:kern w:val="0"/>
                    </w:rPr>
                    <w:t>；</w:t>
                  </w:r>
                  <w:r>
                    <w:rPr>
                      <w:rFonts w:hint="eastAsia"/>
                      <w:kern w:val="0"/>
                    </w:rPr>
                    <w:t>2026</w:t>
                  </w:r>
                  <w:r>
                    <w:rPr>
                      <w:rFonts w:hint="eastAsia"/>
                      <w:kern w:val="0"/>
                    </w:rPr>
                    <w:t>年</w:t>
                  </w:r>
                  <w:r>
                    <w:rPr>
                      <w:rFonts w:hint="eastAsia"/>
                      <w:kern w:val="0"/>
                    </w:rPr>
                    <w:t>5</w:t>
                  </w:r>
                  <w:r>
                    <w:rPr>
                      <w:rFonts w:hint="eastAsia"/>
                      <w:kern w:val="0"/>
                    </w:rPr>
                    <w:t>月</w:t>
                  </w:r>
                  <w:r>
                    <w:rPr>
                      <w:rFonts w:hint="eastAsia"/>
                      <w:kern w:val="0"/>
                    </w:rPr>
                    <w:t>26</w:t>
                  </w:r>
                  <w:r>
                    <w:rPr>
                      <w:rFonts w:hint="eastAsia"/>
                      <w:kern w:val="0"/>
                    </w:rPr>
                    <w:t>日</w:t>
                  </w:r>
                  <w:r>
                    <w:rPr>
                      <w:rFonts w:hint="eastAsia"/>
                      <w:kern w:val="0"/>
                    </w:rPr>
                    <w:t>~2026</w:t>
                  </w:r>
                  <w:r>
                    <w:rPr>
                      <w:rFonts w:hint="eastAsia"/>
                      <w:kern w:val="0"/>
                    </w:rPr>
                    <w:t>年</w:t>
                  </w:r>
                  <w:r>
                    <w:rPr>
                      <w:rFonts w:hint="eastAsia"/>
                      <w:kern w:val="0"/>
                    </w:rPr>
                    <w:t>5</w:t>
                  </w:r>
                  <w:r>
                    <w:rPr>
                      <w:rFonts w:hint="eastAsia"/>
                      <w:kern w:val="0"/>
                    </w:rPr>
                    <w:t>月</w:t>
                  </w:r>
                  <w:r>
                    <w:rPr>
                      <w:rFonts w:hint="eastAsia"/>
                      <w:kern w:val="0"/>
                    </w:rPr>
                    <w:t>28</w:t>
                  </w:r>
                  <w:r>
                    <w:rPr>
                      <w:rFonts w:hint="eastAsia"/>
                      <w:kern w:val="0"/>
                    </w:rPr>
                    <w:t>日</w:t>
                  </w:r>
                  <w:r>
                    <w:rPr>
                      <w:rFonts w:hint="eastAsia"/>
                      <w:kern w:val="0"/>
                    </w:rPr>
                    <w:t>TSP</w:t>
                  </w:r>
                  <w:r>
                    <w:rPr>
                      <w:rFonts w:hint="eastAsia"/>
                      <w:kern w:val="0"/>
                    </w:rPr>
                    <w:t>连续</w:t>
                  </w:r>
                  <w:r>
                    <w:rPr>
                      <w:rFonts w:hint="eastAsia"/>
                      <w:kern w:val="0"/>
                    </w:rPr>
                    <w:t>3</w:t>
                  </w:r>
                  <w:r>
                    <w:rPr>
                      <w:rFonts w:hint="eastAsia"/>
                      <w:kern w:val="0"/>
                    </w:rPr>
                    <w:t>天</w:t>
                  </w:r>
                </w:p>
              </w:tc>
              <w:tc>
                <w:tcPr>
                  <w:tcW w:w="773" w:type="dxa"/>
                  <w:vMerge/>
                  <w:tcBorders>
                    <w:left w:val="single" w:sz="4" w:space="0" w:color="auto"/>
                    <w:bottom w:val="single" w:sz="4" w:space="0" w:color="auto"/>
                    <w:right w:val="single" w:sz="4" w:space="0" w:color="auto"/>
                  </w:tcBorders>
                  <w:vAlign w:val="center"/>
                </w:tcPr>
                <w:p w14:paraId="7DEF8E5A" w14:textId="77777777" w:rsidR="00F76A63" w:rsidRDefault="00F76A63">
                  <w:pPr>
                    <w:jc w:val="center"/>
                    <w:rPr>
                      <w:bCs/>
                      <w:kern w:val="0"/>
                    </w:rPr>
                  </w:pPr>
                </w:p>
              </w:tc>
              <w:tc>
                <w:tcPr>
                  <w:tcW w:w="916" w:type="dxa"/>
                  <w:vMerge/>
                  <w:tcBorders>
                    <w:left w:val="single" w:sz="4" w:space="0" w:color="auto"/>
                    <w:bottom w:val="single" w:sz="4" w:space="0" w:color="auto"/>
                    <w:right w:val="nil"/>
                  </w:tcBorders>
                  <w:vAlign w:val="center"/>
                </w:tcPr>
                <w:p w14:paraId="6A3515D1" w14:textId="77777777" w:rsidR="00F76A63" w:rsidRDefault="00F76A63">
                  <w:pPr>
                    <w:jc w:val="center"/>
                    <w:rPr>
                      <w:bCs/>
                      <w:kern w:val="0"/>
                    </w:rPr>
                  </w:pPr>
                </w:p>
              </w:tc>
            </w:tr>
          </w:tbl>
          <w:p w14:paraId="4CCE12F0" w14:textId="77777777" w:rsidR="00F76A63" w:rsidRDefault="00000000">
            <w:pPr>
              <w:adjustRightInd w:val="0"/>
              <w:snapToGrid w:val="0"/>
              <w:spacing w:line="500" w:lineRule="exact"/>
              <w:ind w:firstLineChars="200" w:firstLine="480"/>
              <w:rPr>
                <w:bCs/>
                <w:kern w:val="0"/>
                <w:sz w:val="24"/>
              </w:rPr>
            </w:pPr>
            <w:r>
              <w:rPr>
                <w:bCs/>
                <w:kern w:val="0"/>
                <w:sz w:val="24"/>
              </w:rPr>
              <w:lastRenderedPageBreak/>
              <w:t>（</w:t>
            </w:r>
            <w:r>
              <w:rPr>
                <w:bCs/>
                <w:kern w:val="0"/>
                <w:sz w:val="24"/>
              </w:rPr>
              <w:t>2</w:t>
            </w:r>
            <w:r>
              <w:rPr>
                <w:bCs/>
                <w:kern w:val="0"/>
                <w:sz w:val="24"/>
              </w:rPr>
              <w:t>）监测时间</w:t>
            </w:r>
          </w:p>
          <w:p w14:paraId="18B955C9" w14:textId="77777777" w:rsidR="00F76A63" w:rsidRDefault="00000000">
            <w:pPr>
              <w:adjustRightInd w:val="0"/>
              <w:snapToGrid w:val="0"/>
              <w:spacing w:line="500" w:lineRule="exact"/>
              <w:ind w:firstLineChars="200" w:firstLine="480"/>
              <w:rPr>
                <w:bCs/>
                <w:kern w:val="0"/>
                <w:sz w:val="24"/>
              </w:rPr>
            </w:pPr>
            <w:r>
              <w:rPr>
                <w:bCs/>
                <w:kern w:val="0"/>
                <w:sz w:val="24"/>
              </w:rPr>
              <w:t>G1</w:t>
            </w:r>
            <w:r>
              <w:rPr>
                <w:bCs/>
                <w:kern w:val="0"/>
                <w:sz w:val="24"/>
              </w:rPr>
              <w:t>、点位监测因子采样时间为</w:t>
            </w:r>
            <w:r>
              <w:rPr>
                <w:bCs/>
                <w:kern w:val="0"/>
                <w:sz w:val="24"/>
              </w:rPr>
              <w:t>2025</w:t>
            </w:r>
            <w:r>
              <w:rPr>
                <w:bCs/>
                <w:kern w:val="0"/>
                <w:sz w:val="24"/>
              </w:rPr>
              <w:t>年</w:t>
            </w:r>
            <w:r>
              <w:rPr>
                <w:bCs/>
                <w:kern w:val="0"/>
                <w:sz w:val="24"/>
              </w:rPr>
              <w:t>8</w:t>
            </w:r>
            <w:r>
              <w:rPr>
                <w:bCs/>
                <w:kern w:val="0"/>
                <w:sz w:val="24"/>
              </w:rPr>
              <w:t>月</w:t>
            </w:r>
            <w:r>
              <w:rPr>
                <w:bCs/>
                <w:kern w:val="0"/>
                <w:sz w:val="24"/>
              </w:rPr>
              <w:t>21</w:t>
            </w:r>
            <w:r>
              <w:rPr>
                <w:bCs/>
                <w:kern w:val="0"/>
                <w:sz w:val="24"/>
              </w:rPr>
              <w:t>日</w:t>
            </w:r>
            <w:r>
              <w:rPr>
                <w:bCs/>
                <w:kern w:val="0"/>
                <w:sz w:val="24"/>
              </w:rPr>
              <w:t>-2025</w:t>
            </w:r>
            <w:r>
              <w:rPr>
                <w:bCs/>
                <w:kern w:val="0"/>
                <w:sz w:val="24"/>
              </w:rPr>
              <w:t>年</w:t>
            </w:r>
            <w:r>
              <w:rPr>
                <w:bCs/>
                <w:kern w:val="0"/>
                <w:sz w:val="24"/>
              </w:rPr>
              <w:t>8</w:t>
            </w:r>
            <w:r>
              <w:rPr>
                <w:bCs/>
                <w:kern w:val="0"/>
                <w:sz w:val="24"/>
              </w:rPr>
              <w:t>月</w:t>
            </w:r>
            <w:r>
              <w:rPr>
                <w:bCs/>
                <w:kern w:val="0"/>
                <w:sz w:val="24"/>
              </w:rPr>
              <w:t>28</w:t>
            </w:r>
            <w:r>
              <w:rPr>
                <w:bCs/>
                <w:kern w:val="0"/>
                <w:sz w:val="24"/>
              </w:rPr>
              <w:t>日连续监测</w:t>
            </w:r>
            <w:r>
              <w:rPr>
                <w:bCs/>
                <w:kern w:val="0"/>
                <w:sz w:val="24"/>
              </w:rPr>
              <w:t>7</w:t>
            </w:r>
            <w:r>
              <w:rPr>
                <w:bCs/>
                <w:kern w:val="0"/>
                <w:sz w:val="24"/>
              </w:rPr>
              <w:t>天</w:t>
            </w:r>
            <w:r>
              <w:rPr>
                <w:rFonts w:hint="eastAsia"/>
                <w:bCs/>
                <w:kern w:val="0"/>
                <w:sz w:val="24"/>
              </w:rPr>
              <w:t>；</w:t>
            </w:r>
            <w:r>
              <w:rPr>
                <w:rFonts w:hint="eastAsia"/>
                <w:bCs/>
                <w:kern w:val="0"/>
                <w:sz w:val="24"/>
              </w:rPr>
              <w:t>2026</w:t>
            </w:r>
            <w:r>
              <w:rPr>
                <w:rFonts w:hint="eastAsia"/>
                <w:bCs/>
                <w:kern w:val="0"/>
                <w:sz w:val="24"/>
              </w:rPr>
              <w:t>年</w:t>
            </w:r>
            <w:r>
              <w:rPr>
                <w:rFonts w:hint="eastAsia"/>
                <w:bCs/>
                <w:kern w:val="0"/>
                <w:sz w:val="24"/>
              </w:rPr>
              <w:t>5</w:t>
            </w:r>
            <w:r>
              <w:rPr>
                <w:rFonts w:hint="eastAsia"/>
                <w:bCs/>
                <w:kern w:val="0"/>
                <w:sz w:val="24"/>
              </w:rPr>
              <w:t>月</w:t>
            </w:r>
            <w:r>
              <w:rPr>
                <w:rFonts w:hint="eastAsia"/>
                <w:bCs/>
                <w:kern w:val="0"/>
                <w:sz w:val="24"/>
              </w:rPr>
              <w:t>26</w:t>
            </w:r>
            <w:r>
              <w:rPr>
                <w:rFonts w:hint="eastAsia"/>
                <w:bCs/>
                <w:kern w:val="0"/>
                <w:sz w:val="24"/>
              </w:rPr>
              <w:t>日</w:t>
            </w:r>
            <w:r>
              <w:rPr>
                <w:rFonts w:hint="eastAsia"/>
                <w:bCs/>
                <w:kern w:val="0"/>
                <w:sz w:val="24"/>
              </w:rPr>
              <w:t>~2026</w:t>
            </w:r>
            <w:r>
              <w:rPr>
                <w:rFonts w:hint="eastAsia"/>
                <w:bCs/>
                <w:kern w:val="0"/>
                <w:sz w:val="24"/>
              </w:rPr>
              <w:t>年</w:t>
            </w:r>
            <w:r>
              <w:rPr>
                <w:rFonts w:hint="eastAsia"/>
                <w:bCs/>
                <w:kern w:val="0"/>
                <w:sz w:val="24"/>
              </w:rPr>
              <w:t>5</w:t>
            </w:r>
            <w:r>
              <w:rPr>
                <w:rFonts w:hint="eastAsia"/>
                <w:bCs/>
                <w:kern w:val="0"/>
                <w:sz w:val="24"/>
              </w:rPr>
              <w:t>月</w:t>
            </w:r>
            <w:r>
              <w:rPr>
                <w:rFonts w:hint="eastAsia"/>
                <w:bCs/>
                <w:kern w:val="0"/>
                <w:sz w:val="24"/>
              </w:rPr>
              <w:t>28</w:t>
            </w:r>
            <w:r>
              <w:rPr>
                <w:rFonts w:hint="eastAsia"/>
                <w:bCs/>
                <w:kern w:val="0"/>
                <w:sz w:val="24"/>
              </w:rPr>
              <w:t>日连续监测</w:t>
            </w:r>
            <w:r>
              <w:rPr>
                <w:rFonts w:hint="eastAsia"/>
                <w:bCs/>
                <w:kern w:val="0"/>
                <w:sz w:val="24"/>
              </w:rPr>
              <w:t>3</w:t>
            </w:r>
            <w:r>
              <w:rPr>
                <w:rFonts w:hint="eastAsia"/>
                <w:bCs/>
                <w:kern w:val="0"/>
                <w:sz w:val="24"/>
              </w:rPr>
              <w:t>天</w:t>
            </w:r>
            <w:r>
              <w:rPr>
                <w:bCs/>
                <w:kern w:val="0"/>
                <w:sz w:val="24"/>
              </w:rPr>
              <w:t>。监测时同步进行风向、风速、气温、气压等气象要素的观测。</w:t>
            </w:r>
          </w:p>
          <w:p w14:paraId="191CB645" w14:textId="77777777" w:rsidR="00F76A63" w:rsidRDefault="00000000">
            <w:pPr>
              <w:adjustRightInd w:val="0"/>
              <w:snapToGrid w:val="0"/>
              <w:spacing w:line="500" w:lineRule="exact"/>
              <w:ind w:firstLineChars="200" w:firstLine="480"/>
              <w:rPr>
                <w:bCs/>
                <w:kern w:val="0"/>
                <w:sz w:val="24"/>
              </w:rPr>
            </w:pPr>
            <w:r>
              <w:rPr>
                <w:bCs/>
                <w:kern w:val="0"/>
                <w:sz w:val="24"/>
              </w:rPr>
              <w:t>（</w:t>
            </w:r>
            <w:r>
              <w:rPr>
                <w:bCs/>
                <w:kern w:val="0"/>
                <w:sz w:val="24"/>
              </w:rPr>
              <w:t>3</w:t>
            </w:r>
            <w:r>
              <w:rPr>
                <w:bCs/>
                <w:kern w:val="0"/>
                <w:sz w:val="24"/>
              </w:rPr>
              <w:t>）监测结果</w:t>
            </w:r>
          </w:p>
          <w:p w14:paraId="7D893C05" w14:textId="77777777" w:rsidR="00F76A63" w:rsidRDefault="00000000">
            <w:pPr>
              <w:adjustRightInd w:val="0"/>
              <w:snapToGrid w:val="0"/>
              <w:spacing w:line="500" w:lineRule="exact"/>
              <w:ind w:firstLineChars="200" w:firstLine="480"/>
              <w:rPr>
                <w:bCs/>
                <w:kern w:val="0"/>
                <w:sz w:val="24"/>
              </w:rPr>
            </w:pPr>
            <w:r>
              <w:rPr>
                <w:bCs/>
                <w:kern w:val="0"/>
                <w:sz w:val="24"/>
              </w:rPr>
              <w:t>气象观测以及环境空气质量监测结果见表</w:t>
            </w:r>
            <w:r>
              <w:rPr>
                <w:bCs/>
                <w:kern w:val="0"/>
                <w:sz w:val="24"/>
              </w:rPr>
              <w:t>3-3</w:t>
            </w:r>
            <w:r>
              <w:rPr>
                <w:bCs/>
                <w:kern w:val="0"/>
                <w:sz w:val="24"/>
              </w:rPr>
              <w:t>和表</w:t>
            </w:r>
            <w:r>
              <w:rPr>
                <w:bCs/>
                <w:kern w:val="0"/>
                <w:sz w:val="24"/>
              </w:rPr>
              <w:t>3-4</w:t>
            </w:r>
            <w:r>
              <w:rPr>
                <w:bCs/>
                <w:kern w:val="0"/>
                <w:sz w:val="24"/>
              </w:rPr>
              <w:t>。</w:t>
            </w:r>
          </w:p>
          <w:p w14:paraId="14D08C8C" w14:textId="77777777" w:rsidR="00F76A63" w:rsidRDefault="00000000">
            <w:pPr>
              <w:adjustRightInd w:val="0"/>
              <w:snapToGrid w:val="0"/>
              <w:spacing w:line="500" w:lineRule="exact"/>
              <w:ind w:firstLineChars="200" w:firstLine="482"/>
              <w:jc w:val="center"/>
              <w:rPr>
                <w:b/>
                <w:bCs/>
                <w:kern w:val="0"/>
                <w:sz w:val="24"/>
              </w:rPr>
            </w:pPr>
            <w:r>
              <w:rPr>
                <w:b/>
                <w:bCs/>
                <w:kern w:val="0"/>
                <w:sz w:val="24"/>
              </w:rPr>
              <w:t>表</w:t>
            </w:r>
            <w:r>
              <w:rPr>
                <w:b/>
                <w:bCs/>
                <w:kern w:val="0"/>
                <w:sz w:val="24"/>
              </w:rPr>
              <w:t xml:space="preserve">3-3  </w:t>
            </w:r>
            <w:r>
              <w:rPr>
                <w:b/>
                <w:bCs/>
                <w:kern w:val="0"/>
                <w:sz w:val="24"/>
              </w:rPr>
              <w:t>观测结果表</w:t>
            </w:r>
          </w:p>
          <w:p w14:paraId="0F02B335" w14:textId="77777777" w:rsidR="0097066E" w:rsidRPr="0097066E" w:rsidRDefault="0097066E" w:rsidP="0097066E">
            <w:pPr>
              <w:adjustRightInd w:val="0"/>
              <w:snapToGrid w:val="0"/>
              <w:spacing w:line="500" w:lineRule="exact"/>
              <w:ind w:firstLineChars="200" w:firstLine="482"/>
              <w:jc w:val="center"/>
              <w:rPr>
                <w:b/>
                <w:bCs/>
                <w:i/>
                <w:iCs/>
                <w:kern w:val="0"/>
                <w:sz w:val="24"/>
              </w:rPr>
            </w:pPr>
            <w:r w:rsidRPr="0097066E">
              <w:rPr>
                <w:b/>
                <w:bCs/>
                <w:i/>
                <w:iCs/>
                <w:kern w:val="0"/>
                <w:sz w:val="24"/>
              </w:rPr>
              <w:t>（涉密已删除）</w:t>
            </w:r>
          </w:p>
          <w:p w14:paraId="5E1E1884" w14:textId="77777777" w:rsidR="00F76A63" w:rsidRDefault="00000000">
            <w:pPr>
              <w:adjustRightInd w:val="0"/>
              <w:snapToGrid w:val="0"/>
              <w:spacing w:line="500" w:lineRule="exact"/>
              <w:ind w:firstLineChars="200" w:firstLine="482"/>
              <w:jc w:val="center"/>
              <w:rPr>
                <w:b/>
                <w:bCs/>
                <w:kern w:val="0"/>
                <w:sz w:val="24"/>
              </w:rPr>
            </w:pPr>
            <w:r>
              <w:rPr>
                <w:b/>
                <w:bCs/>
                <w:kern w:val="0"/>
                <w:sz w:val="24"/>
              </w:rPr>
              <w:t>表</w:t>
            </w:r>
            <w:r>
              <w:rPr>
                <w:b/>
                <w:bCs/>
                <w:kern w:val="0"/>
                <w:sz w:val="24"/>
              </w:rPr>
              <w:t xml:space="preserve">3-4  </w:t>
            </w:r>
            <w:r>
              <w:rPr>
                <w:b/>
                <w:bCs/>
                <w:kern w:val="0"/>
                <w:sz w:val="24"/>
              </w:rPr>
              <w:t>大气环境质量现状监测与评价结果</w:t>
            </w:r>
          </w:p>
          <w:p w14:paraId="2FC096A2" w14:textId="591881BD" w:rsidR="0097066E" w:rsidRPr="0097066E" w:rsidRDefault="0097066E" w:rsidP="0097066E">
            <w:pPr>
              <w:adjustRightInd w:val="0"/>
              <w:snapToGrid w:val="0"/>
              <w:spacing w:line="500" w:lineRule="exact"/>
              <w:ind w:firstLineChars="200" w:firstLine="482"/>
              <w:jc w:val="center"/>
              <w:rPr>
                <w:b/>
                <w:bCs/>
                <w:i/>
                <w:iCs/>
                <w:kern w:val="0"/>
                <w:sz w:val="24"/>
              </w:rPr>
            </w:pPr>
            <w:r w:rsidRPr="0097066E">
              <w:rPr>
                <w:b/>
                <w:bCs/>
                <w:i/>
                <w:iCs/>
                <w:kern w:val="0"/>
                <w:sz w:val="24"/>
              </w:rPr>
              <w:t>（涉密已删除）</w:t>
            </w:r>
          </w:p>
          <w:p w14:paraId="2AE04FA7" w14:textId="77777777" w:rsidR="00F76A63" w:rsidRDefault="00000000">
            <w:pPr>
              <w:adjustRightInd w:val="0"/>
              <w:snapToGrid w:val="0"/>
              <w:spacing w:line="500" w:lineRule="exact"/>
              <w:ind w:firstLineChars="200" w:firstLine="480"/>
              <w:rPr>
                <w:bCs/>
                <w:kern w:val="0"/>
                <w:sz w:val="24"/>
              </w:rPr>
            </w:pPr>
            <w:r>
              <w:rPr>
                <w:bCs/>
                <w:kern w:val="0"/>
                <w:sz w:val="24"/>
              </w:rPr>
              <w:t>由表</w:t>
            </w:r>
            <w:r>
              <w:rPr>
                <w:bCs/>
                <w:kern w:val="0"/>
                <w:sz w:val="24"/>
              </w:rPr>
              <w:t>3-4</w:t>
            </w:r>
            <w:r>
              <w:rPr>
                <w:bCs/>
                <w:kern w:val="0"/>
                <w:sz w:val="24"/>
              </w:rPr>
              <w:t>监测结果可见：</w:t>
            </w:r>
            <w:bookmarkStart w:id="120" w:name="_Hlk227333233"/>
            <w:r>
              <w:rPr>
                <w:bCs/>
                <w:kern w:val="0"/>
                <w:sz w:val="24"/>
              </w:rPr>
              <w:t>监测因子</w:t>
            </w:r>
            <w:r>
              <w:rPr>
                <w:rFonts w:hint="eastAsia"/>
                <w:bCs/>
                <w:kern w:val="0"/>
                <w:sz w:val="24"/>
              </w:rPr>
              <w:t>TSP</w:t>
            </w:r>
            <w:r>
              <w:rPr>
                <w:rFonts w:hint="eastAsia"/>
                <w:bCs/>
                <w:kern w:val="0"/>
                <w:sz w:val="24"/>
              </w:rPr>
              <w:t>、</w:t>
            </w:r>
            <w:r>
              <w:rPr>
                <w:rFonts w:hint="eastAsia"/>
                <w:bCs/>
                <w:kern w:val="0"/>
                <w:sz w:val="24"/>
              </w:rPr>
              <w:t>NO</w:t>
            </w:r>
            <w:r>
              <w:rPr>
                <w:rFonts w:hint="eastAsia"/>
                <w:bCs/>
                <w:kern w:val="0"/>
                <w:sz w:val="24"/>
                <w:vertAlign w:val="subscript"/>
              </w:rPr>
              <w:t>X</w:t>
            </w:r>
            <w:r>
              <w:rPr>
                <w:rFonts w:hint="eastAsia"/>
                <w:bCs/>
                <w:kern w:val="0"/>
                <w:sz w:val="24"/>
              </w:rPr>
              <w:t>、</w:t>
            </w:r>
            <w:r>
              <w:rPr>
                <w:bCs/>
                <w:kern w:val="0"/>
                <w:sz w:val="24"/>
              </w:rPr>
              <w:t>氟化物、汞、镉、砷、铜、铅、</w:t>
            </w:r>
            <w:r>
              <w:rPr>
                <w:bCs/>
                <w:kern w:val="0"/>
                <w:sz w:val="24"/>
              </w:rPr>
              <w:t>Cr</w:t>
            </w:r>
            <w:r>
              <w:rPr>
                <w:bCs/>
                <w:kern w:val="0"/>
                <w:sz w:val="24"/>
                <w:vertAlign w:val="superscript"/>
              </w:rPr>
              <w:t>6+</w:t>
            </w:r>
            <w:r>
              <w:rPr>
                <w:bCs/>
                <w:kern w:val="0"/>
                <w:sz w:val="24"/>
              </w:rPr>
              <w:t>小时平均浓度满足《环境空气质量标准》（</w:t>
            </w:r>
            <w:r>
              <w:rPr>
                <w:bCs/>
                <w:kern w:val="0"/>
                <w:sz w:val="24"/>
              </w:rPr>
              <w:t>GB3095-2026</w:t>
            </w:r>
            <w:r>
              <w:rPr>
                <w:bCs/>
                <w:kern w:val="0"/>
                <w:sz w:val="24"/>
              </w:rPr>
              <w:t>）</w:t>
            </w:r>
            <w:r>
              <w:rPr>
                <w:rFonts w:hint="eastAsia"/>
                <w:bCs/>
                <w:kern w:val="0"/>
                <w:sz w:val="24"/>
              </w:rPr>
              <w:t>过渡阶段浓度限值</w:t>
            </w:r>
            <w:r>
              <w:rPr>
                <w:bCs/>
                <w:kern w:val="0"/>
                <w:sz w:val="24"/>
              </w:rPr>
              <w:t>中二级标准；氯化氢、硫化氢、氨、锰及其化合物、</w:t>
            </w:r>
            <w:r>
              <w:rPr>
                <w:bCs/>
                <w:kern w:val="0"/>
                <w:sz w:val="24"/>
              </w:rPr>
              <w:t>TVOC</w:t>
            </w:r>
            <w:r>
              <w:rPr>
                <w:bCs/>
                <w:kern w:val="0"/>
                <w:sz w:val="24"/>
              </w:rPr>
              <w:t>浓度满足《环境影响评价技术导则</w:t>
            </w:r>
            <w:r>
              <w:rPr>
                <w:bCs/>
                <w:kern w:val="0"/>
                <w:sz w:val="24"/>
              </w:rPr>
              <w:t xml:space="preserve"> </w:t>
            </w:r>
            <w:r>
              <w:rPr>
                <w:bCs/>
                <w:kern w:val="0"/>
                <w:sz w:val="24"/>
              </w:rPr>
              <w:t>大气环境》（</w:t>
            </w:r>
            <w:r>
              <w:rPr>
                <w:bCs/>
                <w:kern w:val="0"/>
                <w:sz w:val="24"/>
              </w:rPr>
              <w:t>HJ2.2-2018</w:t>
            </w:r>
            <w:r>
              <w:rPr>
                <w:bCs/>
                <w:kern w:val="0"/>
                <w:sz w:val="24"/>
              </w:rPr>
              <w:t>）附录</w:t>
            </w:r>
            <w:r>
              <w:rPr>
                <w:bCs/>
                <w:kern w:val="0"/>
                <w:sz w:val="24"/>
              </w:rPr>
              <w:t>D</w:t>
            </w:r>
            <w:r>
              <w:rPr>
                <w:bCs/>
                <w:kern w:val="0"/>
                <w:sz w:val="24"/>
              </w:rPr>
              <w:t>表</w:t>
            </w:r>
            <w:r>
              <w:rPr>
                <w:bCs/>
                <w:kern w:val="0"/>
                <w:sz w:val="24"/>
              </w:rPr>
              <w:t>D.1</w:t>
            </w:r>
            <w:r>
              <w:rPr>
                <w:bCs/>
                <w:kern w:val="0"/>
                <w:sz w:val="24"/>
              </w:rPr>
              <w:t>其它污染物空气质量浓度限值；二噁英类满足日本环境厅中央环境审议会制定的环境标准。</w:t>
            </w:r>
          </w:p>
          <w:bookmarkEnd w:id="116"/>
          <w:bookmarkEnd w:id="117"/>
          <w:bookmarkEnd w:id="119"/>
          <w:bookmarkEnd w:id="120"/>
          <w:p w14:paraId="7A5C93CE" w14:textId="77777777" w:rsidR="00F76A63" w:rsidRDefault="00000000">
            <w:pPr>
              <w:adjustRightInd w:val="0"/>
              <w:snapToGrid w:val="0"/>
              <w:spacing w:line="500" w:lineRule="exact"/>
              <w:ind w:firstLineChars="200" w:firstLine="482"/>
              <w:rPr>
                <w:b/>
                <w:bCs/>
                <w:sz w:val="24"/>
              </w:rPr>
            </w:pPr>
            <w:r>
              <w:rPr>
                <w:b/>
                <w:bCs/>
                <w:sz w:val="24"/>
              </w:rPr>
              <w:t>2</w:t>
            </w:r>
            <w:r>
              <w:rPr>
                <w:b/>
                <w:bCs/>
                <w:sz w:val="24"/>
              </w:rPr>
              <w:t>、地表水环境质量</w:t>
            </w:r>
          </w:p>
          <w:p w14:paraId="4C9F3361" w14:textId="77777777" w:rsidR="00F76A63" w:rsidRDefault="00000000">
            <w:pPr>
              <w:adjustRightInd w:val="0"/>
              <w:snapToGrid w:val="0"/>
              <w:spacing w:line="500" w:lineRule="exact"/>
              <w:ind w:firstLineChars="200" w:firstLine="480"/>
              <w:rPr>
                <w:sz w:val="24"/>
                <w:szCs w:val="32"/>
              </w:rPr>
            </w:pPr>
            <w:r>
              <w:rPr>
                <w:sz w:val="24"/>
                <w:szCs w:val="32"/>
              </w:rPr>
              <w:t>本项目无废水产生及排放，现有项目生活污水经台泥厂区化粪池预处理后接管句容市下蜀污水处理有限公司集中处理，处理达标后排入老便民河。</w:t>
            </w:r>
          </w:p>
          <w:p w14:paraId="1282FFA9" w14:textId="77777777" w:rsidR="00F76A63" w:rsidRDefault="00000000">
            <w:pPr>
              <w:spacing w:line="500" w:lineRule="exact"/>
              <w:ind w:firstLineChars="200" w:firstLine="480"/>
              <w:rPr>
                <w:sz w:val="24"/>
                <w:szCs w:val="32"/>
              </w:rPr>
            </w:pPr>
            <w:r>
              <w:rPr>
                <w:sz w:val="24"/>
                <w:szCs w:val="32"/>
              </w:rPr>
              <w:t>根据</w:t>
            </w:r>
            <w:r>
              <w:rPr>
                <w:bCs/>
                <w:kern w:val="0"/>
                <w:sz w:val="24"/>
              </w:rPr>
              <w:t>《</w:t>
            </w:r>
            <w:r>
              <w:rPr>
                <w:bCs/>
                <w:kern w:val="0"/>
                <w:sz w:val="24"/>
              </w:rPr>
              <w:t>202</w:t>
            </w:r>
            <w:r>
              <w:rPr>
                <w:rFonts w:hint="eastAsia"/>
                <w:bCs/>
                <w:kern w:val="0"/>
                <w:sz w:val="24"/>
              </w:rPr>
              <w:t>5</w:t>
            </w:r>
            <w:r>
              <w:rPr>
                <w:bCs/>
                <w:kern w:val="0"/>
                <w:sz w:val="24"/>
              </w:rPr>
              <w:t>年度镇江市生态环境状况公报》</w:t>
            </w:r>
            <w:r>
              <w:rPr>
                <w:sz w:val="24"/>
                <w:szCs w:val="32"/>
              </w:rPr>
              <w:t>，</w:t>
            </w:r>
            <w:r>
              <w:rPr>
                <w:sz w:val="24"/>
                <w:szCs w:val="32"/>
              </w:rPr>
              <w:t>2025</w:t>
            </w:r>
            <w:r>
              <w:rPr>
                <w:sz w:val="24"/>
                <w:szCs w:val="32"/>
              </w:rPr>
              <w:t>年，镇江市地表水环境质量总体为优。列入《江苏省水污染防治工作计划》地表水环境质量考核的</w:t>
            </w:r>
            <w:r>
              <w:rPr>
                <w:sz w:val="24"/>
                <w:szCs w:val="32"/>
              </w:rPr>
              <w:t>10</w:t>
            </w:r>
            <w:r>
              <w:rPr>
                <w:sz w:val="24"/>
                <w:szCs w:val="32"/>
              </w:rPr>
              <w:t>个国考断面中，水质符合《地表水环境质量标准》（</w:t>
            </w:r>
            <w:r>
              <w:rPr>
                <w:sz w:val="24"/>
                <w:szCs w:val="32"/>
              </w:rPr>
              <w:t>GB 3838-2002</w:t>
            </w:r>
            <w:r>
              <w:rPr>
                <w:sz w:val="24"/>
                <w:szCs w:val="32"/>
              </w:rPr>
              <w:t>）优</w:t>
            </w:r>
            <w:r>
              <w:rPr>
                <w:sz w:val="24"/>
                <w:szCs w:val="32"/>
              </w:rPr>
              <w:t>Ⅲ</w:t>
            </w:r>
            <w:r>
              <w:rPr>
                <w:sz w:val="24"/>
                <w:szCs w:val="32"/>
              </w:rPr>
              <w:t>类断面比例为</w:t>
            </w:r>
            <w:r>
              <w:rPr>
                <w:sz w:val="24"/>
                <w:szCs w:val="32"/>
              </w:rPr>
              <w:t>100%</w:t>
            </w:r>
            <w:r>
              <w:rPr>
                <w:sz w:val="24"/>
                <w:szCs w:val="32"/>
              </w:rPr>
              <w:t>，优</w:t>
            </w:r>
            <w:r>
              <w:rPr>
                <w:sz w:val="24"/>
                <w:szCs w:val="32"/>
              </w:rPr>
              <w:t>Ⅱ</w:t>
            </w:r>
            <w:r>
              <w:rPr>
                <w:sz w:val="24"/>
                <w:szCs w:val="32"/>
              </w:rPr>
              <w:t>类断面比例为</w:t>
            </w:r>
            <w:r>
              <w:rPr>
                <w:sz w:val="24"/>
                <w:szCs w:val="32"/>
              </w:rPr>
              <w:t>70%</w:t>
            </w:r>
            <w:r>
              <w:rPr>
                <w:sz w:val="24"/>
                <w:szCs w:val="32"/>
              </w:rPr>
              <w:t>。省考</w:t>
            </w:r>
            <w:r>
              <w:rPr>
                <w:sz w:val="24"/>
                <w:szCs w:val="32"/>
              </w:rPr>
              <w:t>45</w:t>
            </w:r>
            <w:r>
              <w:rPr>
                <w:sz w:val="24"/>
                <w:szCs w:val="32"/>
              </w:rPr>
              <w:t>个断面中，优</w:t>
            </w:r>
            <w:r>
              <w:rPr>
                <w:sz w:val="24"/>
                <w:szCs w:val="32"/>
              </w:rPr>
              <w:t>Ⅲ</w:t>
            </w:r>
            <w:r>
              <w:rPr>
                <w:sz w:val="24"/>
                <w:szCs w:val="32"/>
              </w:rPr>
              <w:t>类断面比例为</w:t>
            </w:r>
            <w:r>
              <w:rPr>
                <w:sz w:val="24"/>
                <w:szCs w:val="32"/>
              </w:rPr>
              <w:t>100%</w:t>
            </w:r>
            <w:r>
              <w:rPr>
                <w:sz w:val="24"/>
                <w:szCs w:val="32"/>
              </w:rPr>
              <w:t>，优</w:t>
            </w:r>
            <w:r>
              <w:rPr>
                <w:sz w:val="24"/>
                <w:szCs w:val="32"/>
              </w:rPr>
              <w:t>Ⅱ</w:t>
            </w:r>
            <w:r>
              <w:rPr>
                <w:sz w:val="24"/>
                <w:szCs w:val="32"/>
              </w:rPr>
              <w:t>类断面比例为</w:t>
            </w:r>
            <w:r>
              <w:rPr>
                <w:sz w:val="24"/>
                <w:szCs w:val="32"/>
              </w:rPr>
              <w:t>71.1%</w:t>
            </w:r>
            <w:r>
              <w:rPr>
                <w:sz w:val="24"/>
                <w:szCs w:val="32"/>
              </w:rPr>
              <w:t>。与上年相比，国考断面优</w:t>
            </w:r>
            <w:r>
              <w:rPr>
                <w:sz w:val="24"/>
                <w:szCs w:val="32"/>
              </w:rPr>
              <w:t>Ⅲ</w:t>
            </w:r>
            <w:r>
              <w:rPr>
                <w:sz w:val="24"/>
                <w:szCs w:val="32"/>
              </w:rPr>
              <w:t>类断面占比持平，优</w:t>
            </w:r>
            <w:r>
              <w:rPr>
                <w:sz w:val="24"/>
                <w:szCs w:val="32"/>
              </w:rPr>
              <w:t>Ⅱ</w:t>
            </w:r>
            <w:r>
              <w:rPr>
                <w:sz w:val="24"/>
                <w:szCs w:val="32"/>
              </w:rPr>
              <w:t>类断面占比上升</w:t>
            </w:r>
            <w:r>
              <w:rPr>
                <w:sz w:val="24"/>
                <w:szCs w:val="32"/>
              </w:rPr>
              <w:t>10</w:t>
            </w:r>
            <w:r>
              <w:rPr>
                <w:sz w:val="24"/>
                <w:szCs w:val="32"/>
              </w:rPr>
              <w:t>百分点。省考断面优</w:t>
            </w:r>
            <w:r>
              <w:rPr>
                <w:sz w:val="24"/>
                <w:szCs w:val="32"/>
              </w:rPr>
              <w:t>Ⅲ</w:t>
            </w:r>
            <w:r>
              <w:rPr>
                <w:sz w:val="24"/>
                <w:szCs w:val="32"/>
              </w:rPr>
              <w:t>类断面占比持平，优</w:t>
            </w:r>
            <w:r>
              <w:rPr>
                <w:sz w:val="24"/>
                <w:szCs w:val="32"/>
              </w:rPr>
              <w:t>Ⅱ</w:t>
            </w:r>
            <w:r>
              <w:rPr>
                <w:sz w:val="24"/>
                <w:szCs w:val="32"/>
              </w:rPr>
              <w:t>类断面占比持平。</w:t>
            </w:r>
          </w:p>
          <w:p w14:paraId="4696ADB1" w14:textId="77777777" w:rsidR="00F76A63" w:rsidRDefault="00000000">
            <w:pPr>
              <w:spacing w:line="500" w:lineRule="exact"/>
              <w:ind w:firstLineChars="200" w:firstLine="480"/>
              <w:rPr>
                <w:sz w:val="24"/>
                <w:szCs w:val="32"/>
              </w:rPr>
            </w:pPr>
            <w:r>
              <w:rPr>
                <w:sz w:val="24"/>
                <w:szCs w:val="32"/>
              </w:rPr>
              <w:lastRenderedPageBreak/>
              <w:t>镇江市区金西、金山水厂共用的长江征润洲取水口是市区主要饮用水源地；丹阳市城市（城镇）集中式饮用水源地是长江丹阳江心洲水源地和九曲河荆林应急水源地（备用）；扬中市城市（城镇）集中式饮用水源地是长江（主江）二墩港水源地和铁皮港应急水源地（备用）；句容市的城市（城镇）集中式饮用水主要取自北山水库和句容水库（备用）。</w:t>
            </w:r>
          </w:p>
          <w:p w14:paraId="1D923B17" w14:textId="77777777" w:rsidR="00F76A63" w:rsidRDefault="00000000">
            <w:pPr>
              <w:spacing w:line="500" w:lineRule="exact"/>
              <w:ind w:firstLineChars="200" w:firstLine="480"/>
              <w:rPr>
                <w:sz w:val="24"/>
                <w:szCs w:val="32"/>
              </w:rPr>
            </w:pPr>
            <w:r>
              <w:rPr>
                <w:sz w:val="24"/>
                <w:szCs w:val="32"/>
              </w:rPr>
              <w:t>2025</w:t>
            </w:r>
            <w:r>
              <w:rPr>
                <w:sz w:val="24"/>
                <w:szCs w:val="32"/>
              </w:rPr>
              <w:t>年，全市</w:t>
            </w:r>
            <w:r>
              <w:rPr>
                <w:sz w:val="24"/>
                <w:szCs w:val="32"/>
              </w:rPr>
              <w:t>7</w:t>
            </w:r>
            <w:r>
              <w:rPr>
                <w:sz w:val="24"/>
                <w:szCs w:val="32"/>
              </w:rPr>
              <w:t>个县级以上集中式饮用水水源地（含备用）水质达标率为</w:t>
            </w:r>
            <w:r>
              <w:rPr>
                <w:sz w:val="24"/>
                <w:szCs w:val="32"/>
              </w:rPr>
              <w:t>100%</w:t>
            </w:r>
            <w:r>
              <w:rPr>
                <w:sz w:val="24"/>
                <w:szCs w:val="32"/>
              </w:rPr>
              <w:t>。与上年相比，水质保持稳定。太湖流域：</w:t>
            </w:r>
            <w:r>
              <w:rPr>
                <w:sz w:val="24"/>
                <w:szCs w:val="32"/>
              </w:rPr>
              <w:t>2024</w:t>
            </w:r>
            <w:r>
              <w:rPr>
                <w:sz w:val="24"/>
                <w:szCs w:val="32"/>
              </w:rPr>
              <w:t>年，镇江市太湖流域</w:t>
            </w:r>
            <w:r>
              <w:rPr>
                <w:sz w:val="24"/>
                <w:szCs w:val="32"/>
              </w:rPr>
              <w:t>Ⅰ~Ⅲ</w:t>
            </w:r>
            <w:r>
              <w:rPr>
                <w:sz w:val="24"/>
                <w:szCs w:val="32"/>
              </w:rPr>
              <w:t>类断面比例为</w:t>
            </w:r>
            <w:r>
              <w:rPr>
                <w:sz w:val="24"/>
                <w:szCs w:val="32"/>
              </w:rPr>
              <w:t>100%</w:t>
            </w:r>
            <w:r>
              <w:rPr>
                <w:sz w:val="24"/>
                <w:szCs w:val="32"/>
              </w:rPr>
              <w:t>，</w:t>
            </w:r>
            <w:r>
              <w:rPr>
                <w:sz w:val="24"/>
                <w:szCs w:val="32"/>
              </w:rPr>
              <w:t>Ⅰ~Ⅱ</w:t>
            </w:r>
            <w:r>
              <w:rPr>
                <w:sz w:val="24"/>
                <w:szCs w:val="32"/>
              </w:rPr>
              <w:t>类断面比例为</w:t>
            </w:r>
            <w:r>
              <w:rPr>
                <w:sz w:val="24"/>
                <w:szCs w:val="32"/>
              </w:rPr>
              <w:t>52.3%</w:t>
            </w:r>
            <w:r>
              <w:rPr>
                <w:sz w:val="24"/>
                <w:szCs w:val="32"/>
              </w:rPr>
              <w:t>，总体水质为优。与上年相比，</w:t>
            </w:r>
            <w:r>
              <w:rPr>
                <w:sz w:val="24"/>
                <w:szCs w:val="32"/>
              </w:rPr>
              <w:t>Ⅰ~Ⅱ</w:t>
            </w:r>
            <w:r>
              <w:rPr>
                <w:sz w:val="24"/>
                <w:szCs w:val="32"/>
              </w:rPr>
              <w:t>类断面比例上升</w:t>
            </w:r>
            <w:r>
              <w:rPr>
                <w:sz w:val="24"/>
                <w:szCs w:val="32"/>
              </w:rPr>
              <w:t>19</w:t>
            </w:r>
            <w:r>
              <w:rPr>
                <w:sz w:val="24"/>
                <w:szCs w:val="32"/>
              </w:rPr>
              <w:t>个百分点。</w:t>
            </w:r>
          </w:p>
          <w:p w14:paraId="0DF1A864" w14:textId="77777777" w:rsidR="00F76A63" w:rsidRDefault="00000000">
            <w:pPr>
              <w:spacing w:line="500" w:lineRule="exact"/>
              <w:ind w:firstLineChars="200" w:firstLine="480"/>
              <w:rPr>
                <w:sz w:val="24"/>
                <w:szCs w:val="32"/>
              </w:rPr>
            </w:pPr>
            <w:r>
              <w:rPr>
                <w:sz w:val="24"/>
                <w:szCs w:val="32"/>
              </w:rPr>
              <w:t>长江流域：</w:t>
            </w:r>
            <w:r>
              <w:rPr>
                <w:sz w:val="24"/>
                <w:szCs w:val="32"/>
              </w:rPr>
              <w:t>2025</w:t>
            </w:r>
            <w:r>
              <w:rPr>
                <w:sz w:val="24"/>
                <w:szCs w:val="32"/>
              </w:rPr>
              <w:t>年，镇江市长江干流</w:t>
            </w:r>
            <w:r>
              <w:rPr>
                <w:sz w:val="24"/>
                <w:szCs w:val="32"/>
              </w:rPr>
              <w:t>3</w:t>
            </w:r>
            <w:r>
              <w:rPr>
                <w:sz w:val="24"/>
                <w:szCs w:val="32"/>
              </w:rPr>
              <w:t>个监测断面水质类别达到</w:t>
            </w:r>
            <w:r>
              <w:rPr>
                <w:sz w:val="24"/>
                <w:szCs w:val="32"/>
              </w:rPr>
              <w:t>Ⅱ</w:t>
            </w:r>
            <w:r>
              <w:rPr>
                <w:sz w:val="24"/>
                <w:szCs w:val="32"/>
              </w:rPr>
              <w:t>类，达标率为</w:t>
            </w:r>
            <w:r>
              <w:rPr>
                <w:sz w:val="24"/>
                <w:szCs w:val="32"/>
              </w:rPr>
              <w:t>100%</w:t>
            </w:r>
            <w:r>
              <w:rPr>
                <w:sz w:val="24"/>
                <w:szCs w:val="32"/>
              </w:rPr>
              <w:t>。主要入江支流断面年均水质全部达到</w:t>
            </w:r>
            <w:r>
              <w:rPr>
                <w:sz w:val="24"/>
                <w:szCs w:val="32"/>
              </w:rPr>
              <w:t>Ⅲ</w:t>
            </w:r>
            <w:r>
              <w:rPr>
                <w:sz w:val="24"/>
                <w:szCs w:val="32"/>
              </w:rPr>
              <w:t>类及以上，</w:t>
            </w:r>
            <w:r>
              <w:rPr>
                <w:sz w:val="24"/>
                <w:szCs w:val="32"/>
              </w:rPr>
              <w:t>Ⅰ~Ⅱ</w:t>
            </w:r>
            <w:r>
              <w:rPr>
                <w:sz w:val="24"/>
                <w:szCs w:val="32"/>
              </w:rPr>
              <w:t>类断面比例为</w:t>
            </w:r>
            <w:r>
              <w:rPr>
                <w:sz w:val="24"/>
                <w:szCs w:val="32"/>
              </w:rPr>
              <w:t>93.8%</w:t>
            </w:r>
            <w:r>
              <w:rPr>
                <w:sz w:val="24"/>
                <w:szCs w:val="32"/>
              </w:rPr>
              <w:t>。</w:t>
            </w:r>
          </w:p>
          <w:p w14:paraId="0AD5BF4D" w14:textId="77777777" w:rsidR="00F76A63" w:rsidRDefault="00000000">
            <w:pPr>
              <w:adjustRightInd w:val="0"/>
              <w:snapToGrid w:val="0"/>
              <w:spacing w:line="500" w:lineRule="exact"/>
              <w:ind w:firstLineChars="200" w:firstLine="482"/>
              <w:rPr>
                <w:b/>
                <w:bCs/>
                <w:sz w:val="24"/>
              </w:rPr>
            </w:pPr>
            <w:r>
              <w:rPr>
                <w:b/>
                <w:bCs/>
                <w:sz w:val="24"/>
              </w:rPr>
              <w:t>3</w:t>
            </w:r>
            <w:r>
              <w:rPr>
                <w:b/>
                <w:bCs/>
                <w:sz w:val="24"/>
              </w:rPr>
              <w:t>、声环境质量</w:t>
            </w:r>
          </w:p>
          <w:p w14:paraId="45189E93" w14:textId="77777777" w:rsidR="00F76A63" w:rsidRDefault="00000000">
            <w:pPr>
              <w:spacing w:line="500" w:lineRule="exact"/>
              <w:ind w:firstLineChars="200" w:firstLine="480"/>
              <w:rPr>
                <w:sz w:val="24"/>
              </w:rPr>
            </w:pPr>
            <w:r>
              <w:rPr>
                <w:sz w:val="24"/>
              </w:rPr>
              <w:t>根据《</w:t>
            </w:r>
            <w:r>
              <w:rPr>
                <w:bCs/>
                <w:kern w:val="0"/>
                <w:sz w:val="24"/>
              </w:rPr>
              <w:t>202</w:t>
            </w:r>
            <w:r>
              <w:rPr>
                <w:rFonts w:hint="eastAsia"/>
                <w:bCs/>
                <w:kern w:val="0"/>
                <w:sz w:val="24"/>
              </w:rPr>
              <w:t>5</w:t>
            </w:r>
            <w:r>
              <w:rPr>
                <w:bCs/>
                <w:kern w:val="0"/>
                <w:sz w:val="24"/>
              </w:rPr>
              <w:t>年度镇江市生态环境状况公报</w:t>
            </w:r>
            <w:r>
              <w:rPr>
                <w:sz w:val="24"/>
              </w:rPr>
              <w:t>》，</w:t>
            </w:r>
            <w:r>
              <w:rPr>
                <w:rFonts w:hint="eastAsia"/>
                <w:sz w:val="24"/>
              </w:rPr>
              <w:t>2025</w:t>
            </w:r>
            <w:r>
              <w:rPr>
                <w:rFonts w:hint="eastAsia"/>
                <w:sz w:val="24"/>
              </w:rPr>
              <w:t>年，镇江市区域环境噪声平均等效声级为</w:t>
            </w:r>
            <w:r>
              <w:rPr>
                <w:rFonts w:hint="eastAsia"/>
                <w:sz w:val="24"/>
              </w:rPr>
              <w:t>59.1</w:t>
            </w:r>
            <w:r>
              <w:rPr>
                <w:rFonts w:hint="eastAsia"/>
                <w:sz w:val="24"/>
              </w:rPr>
              <w:t>分贝，与上年相比，上升</w:t>
            </w:r>
            <w:r>
              <w:rPr>
                <w:rFonts w:hint="eastAsia"/>
                <w:sz w:val="24"/>
              </w:rPr>
              <w:t>2.3</w:t>
            </w:r>
            <w:r>
              <w:rPr>
                <w:rFonts w:hint="eastAsia"/>
                <w:sz w:val="24"/>
              </w:rPr>
              <w:t>分贝。按照《环境噪声监测技术规范</w:t>
            </w:r>
            <w:r>
              <w:rPr>
                <w:rFonts w:hint="eastAsia"/>
                <w:sz w:val="24"/>
              </w:rPr>
              <w:t xml:space="preserve"> </w:t>
            </w:r>
            <w:r>
              <w:rPr>
                <w:rFonts w:hint="eastAsia"/>
                <w:sz w:val="24"/>
              </w:rPr>
              <w:t>城市声环境常规监测》（</w:t>
            </w:r>
            <w:r>
              <w:rPr>
                <w:rFonts w:hint="eastAsia"/>
                <w:sz w:val="24"/>
              </w:rPr>
              <w:t>HJ 640-2012</w:t>
            </w:r>
            <w:r>
              <w:rPr>
                <w:rFonts w:hint="eastAsia"/>
                <w:sz w:val="24"/>
              </w:rPr>
              <w:t>）标准，全市区域声环境质量等级为三级，处于“一般”水平。根据城市噪声来源，统计</w:t>
            </w:r>
            <w:r>
              <w:rPr>
                <w:rFonts w:hint="eastAsia"/>
                <w:sz w:val="24"/>
              </w:rPr>
              <w:t>2025</w:t>
            </w:r>
            <w:r>
              <w:rPr>
                <w:rFonts w:hint="eastAsia"/>
                <w:sz w:val="24"/>
              </w:rPr>
              <w:t>年镇江市不同声源类型的区域噪声，其平均等效声级大小排序为道路交通噪声（</w:t>
            </w:r>
            <w:r>
              <w:rPr>
                <w:rFonts w:hint="eastAsia"/>
                <w:sz w:val="24"/>
              </w:rPr>
              <w:t>62.0</w:t>
            </w:r>
            <w:r>
              <w:rPr>
                <w:rFonts w:hint="eastAsia"/>
                <w:sz w:val="24"/>
              </w:rPr>
              <w:t>分贝）</w:t>
            </w:r>
            <w:r>
              <w:rPr>
                <w:rFonts w:hint="eastAsia"/>
                <w:sz w:val="24"/>
              </w:rPr>
              <w:t>&gt;</w:t>
            </w:r>
            <w:r>
              <w:rPr>
                <w:rFonts w:hint="eastAsia"/>
                <w:sz w:val="24"/>
              </w:rPr>
              <w:t>工业噪声（</w:t>
            </w:r>
            <w:r>
              <w:rPr>
                <w:rFonts w:hint="eastAsia"/>
                <w:sz w:val="24"/>
              </w:rPr>
              <w:t>60.7</w:t>
            </w:r>
            <w:r>
              <w:rPr>
                <w:rFonts w:hint="eastAsia"/>
                <w:sz w:val="24"/>
              </w:rPr>
              <w:t>分贝）</w:t>
            </w:r>
            <w:r>
              <w:rPr>
                <w:rFonts w:hint="eastAsia"/>
                <w:sz w:val="24"/>
              </w:rPr>
              <w:t>&gt;</w:t>
            </w:r>
            <w:r>
              <w:rPr>
                <w:rFonts w:hint="eastAsia"/>
                <w:sz w:val="24"/>
              </w:rPr>
              <w:t>社会生活噪声（</w:t>
            </w:r>
            <w:r>
              <w:rPr>
                <w:rFonts w:hint="eastAsia"/>
                <w:sz w:val="24"/>
              </w:rPr>
              <w:t>57.6</w:t>
            </w:r>
            <w:r>
              <w:rPr>
                <w:rFonts w:hint="eastAsia"/>
                <w:sz w:val="24"/>
              </w:rPr>
              <w:t>分贝），影响城市声环境质量的主要声源是社会生活噪声（占比为</w:t>
            </w:r>
            <w:r>
              <w:rPr>
                <w:rFonts w:hint="eastAsia"/>
                <w:sz w:val="24"/>
              </w:rPr>
              <w:t>57.8%</w:t>
            </w:r>
            <w:r>
              <w:rPr>
                <w:rFonts w:hint="eastAsia"/>
                <w:sz w:val="24"/>
              </w:rPr>
              <w:t>），其次是工业噪声（占比</w:t>
            </w:r>
            <w:r>
              <w:rPr>
                <w:rFonts w:hint="eastAsia"/>
                <w:sz w:val="24"/>
              </w:rPr>
              <w:t xml:space="preserve"> 26.6%</w:t>
            </w:r>
            <w:r>
              <w:rPr>
                <w:rFonts w:hint="eastAsia"/>
                <w:sz w:val="24"/>
              </w:rPr>
              <w:t>），最后是道路交通噪声（占比</w:t>
            </w:r>
            <w:r>
              <w:rPr>
                <w:rFonts w:hint="eastAsia"/>
                <w:sz w:val="24"/>
              </w:rPr>
              <w:t>15.6%</w:t>
            </w:r>
            <w:r>
              <w:rPr>
                <w:rFonts w:hint="eastAsia"/>
                <w:sz w:val="24"/>
              </w:rPr>
              <w:t>）。</w:t>
            </w:r>
          </w:p>
          <w:p w14:paraId="5C8850AE" w14:textId="77777777" w:rsidR="00F76A63" w:rsidRDefault="00000000">
            <w:pPr>
              <w:spacing w:line="500" w:lineRule="exact"/>
              <w:ind w:firstLineChars="200" w:firstLine="480"/>
              <w:rPr>
                <w:sz w:val="24"/>
              </w:rPr>
            </w:pPr>
            <w:r>
              <w:rPr>
                <w:rFonts w:hint="eastAsia"/>
                <w:sz w:val="24"/>
              </w:rPr>
              <w:t>根据《声环境质量标准》（</w:t>
            </w:r>
            <w:r>
              <w:rPr>
                <w:rFonts w:hint="eastAsia"/>
                <w:sz w:val="24"/>
              </w:rPr>
              <w:t>GB 3096-2008</w:t>
            </w:r>
            <w:r>
              <w:rPr>
                <w:rFonts w:hint="eastAsia"/>
                <w:sz w:val="24"/>
              </w:rPr>
              <w:t>）标准，句容市全年昼间达标率</w:t>
            </w:r>
          </w:p>
          <w:p w14:paraId="748C16E6" w14:textId="77777777" w:rsidR="00F76A63" w:rsidRDefault="00000000">
            <w:pPr>
              <w:spacing w:line="500" w:lineRule="exact"/>
              <w:ind w:firstLineChars="200" w:firstLine="480"/>
              <w:rPr>
                <w:sz w:val="24"/>
              </w:rPr>
            </w:pPr>
            <w:r>
              <w:rPr>
                <w:rFonts w:hint="eastAsia"/>
                <w:sz w:val="24"/>
              </w:rPr>
              <w:t>100%</w:t>
            </w:r>
            <w:r>
              <w:rPr>
                <w:rFonts w:hint="eastAsia"/>
                <w:sz w:val="24"/>
              </w:rPr>
              <w:t>，夜间达标率</w:t>
            </w:r>
            <w:r>
              <w:rPr>
                <w:rFonts w:hint="eastAsia"/>
                <w:sz w:val="24"/>
              </w:rPr>
              <w:t>100%</w:t>
            </w:r>
            <w:r>
              <w:rPr>
                <w:rFonts w:hint="eastAsia"/>
                <w:sz w:val="24"/>
              </w:rPr>
              <w:t>；根据《环境噪声监测技术规范</w:t>
            </w:r>
            <w:r>
              <w:rPr>
                <w:rFonts w:hint="eastAsia"/>
                <w:sz w:val="24"/>
              </w:rPr>
              <w:t xml:space="preserve"> </w:t>
            </w:r>
            <w:r>
              <w:rPr>
                <w:rFonts w:hint="eastAsia"/>
                <w:sz w:val="24"/>
              </w:rPr>
              <w:t>城市声环境常规监测》（</w:t>
            </w:r>
            <w:r>
              <w:rPr>
                <w:rFonts w:hint="eastAsia"/>
                <w:sz w:val="24"/>
              </w:rPr>
              <w:t>HJ 640-2012</w:t>
            </w:r>
            <w:r>
              <w:rPr>
                <w:rFonts w:hint="eastAsia"/>
                <w:sz w:val="24"/>
              </w:rPr>
              <w:t>），全市道路交通噪声强度等级为一级，处于“好”水平。昼间平均等效声级为</w:t>
            </w:r>
            <w:r>
              <w:rPr>
                <w:rFonts w:hint="eastAsia"/>
                <w:sz w:val="24"/>
              </w:rPr>
              <w:t>65.3</w:t>
            </w:r>
            <w:r>
              <w:rPr>
                <w:rFonts w:hint="eastAsia"/>
                <w:sz w:val="24"/>
              </w:rPr>
              <w:t>分贝，与上年相比略有上升。</w:t>
            </w:r>
          </w:p>
          <w:p w14:paraId="3D5760C7" w14:textId="77777777" w:rsidR="00F76A63" w:rsidRDefault="00000000">
            <w:pPr>
              <w:spacing w:line="500" w:lineRule="exact"/>
              <w:ind w:firstLineChars="200" w:firstLine="480"/>
              <w:rPr>
                <w:sz w:val="24"/>
              </w:rPr>
            </w:pPr>
            <w:r>
              <w:rPr>
                <w:sz w:val="24"/>
              </w:rPr>
              <w:lastRenderedPageBreak/>
              <w:t>2024</w:t>
            </w:r>
            <w:r>
              <w:rPr>
                <w:sz w:val="24"/>
              </w:rPr>
              <w:t>年，全市</w:t>
            </w:r>
            <w:r>
              <w:rPr>
                <w:sz w:val="24"/>
              </w:rPr>
              <w:t>1~4</w:t>
            </w:r>
            <w:r>
              <w:rPr>
                <w:sz w:val="24"/>
              </w:rPr>
              <w:t>类功能区声环境昼间和夜间等效声级年均值均达到国家标准。与上年相比，</w:t>
            </w:r>
            <w:r>
              <w:rPr>
                <w:sz w:val="24"/>
              </w:rPr>
              <w:t>1</w:t>
            </w:r>
            <w:r>
              <w:rPr>
                <w:sz w:val="24"/>
              </w:rPr>
              <w:t>类功能区昼间和夜间等效声级均略有下降，</w:t>
            </w:r>
            <w:r>
              <w:rPr>
                <w:sz w:val="24"/>
              </w:rPr>
              <w:t>2</w:t>
            </w:r>
            <w:r>
              <w:rPr>
                <w:sz w:val="24"/>
              </w:rPr>
              <w:t>类、</w:t>
            </w:r>
            <w:r>
              <w:rPr>
                <w:sz w:val="24"/>
              </w:rPr>
              <w:t>3</w:t>
            </w:r>
            <w:r>
              <w:rPr>
                <w:sz w:val="24"/>
              </w:rPr>
              <w:t>类、</w:t>
            </w:r>
            <w:r>
              <w:rPr>
                <w:sz w:val="24"/>
              </w:rPr>
              <w:t>4</w:t>
            </w:r>
            <w:r>
              <w:rPr>
                <w:sz w:val="24"/>
              </w:rPr>
              <w:t>类功能区昼间和夜间等效声级均略有上升。</w:t>
            </w:r>
          </w:p>
          <w:p w14:paraId="5C28896F" w14:textId="77777777" w:rsidR="00F76A63" w:rsidRDefault="00000000">
            <w:pPr>
              <w:adjustRightInd w:val="0"/>
              <w:snapToGrid w:val="0"/>
              <w:spacing w:line="500" w:lineRule="exact"/>
              <w:ind w:firstLine="420"/>
              <w:rPr>
                <w:sz w:val="24"/>
              </w:rPr>
            </w:pPr>
            <w:r>
              <w:rPr>
                <w:sz w:val="24"/>
              </w:rPr>
              <w:t>本项目厂界周边</w:t>
            </w:r>
            <w:r>
              <w:rPr>
                <w:sz w:val="24"/>
              </w:rPr>
              <w:t>50m</w:t>
            </w:r>
            <w:r>
              <w:rPr>
                <w:sz w:val="24"/>
              </w:rPr>
              <w:t>范围内无声环境保护目标，根据《建设项目环境影响报告表编制技术指南（污染影响类）（试行）》，本评价不进行声环境质量现状监测。</w:t>
            </w:r>
          </w:p>
          <w:p w14:paraId="1A2D4AAF" w14:textId="77777777" w:rsidR="00F76A63" w:rsidRDefault="00000000">
            <w:pPr>
              <w:adjustRightInd w:val="0"/>
              <w:snapToGrid w:val="0"/>
              <w:spacing w:line="500" w:lineRule="exact"/>
              <w:ind w:firstLine="420"/>
              <w:rPr>
                <w:b/>
                <w:bCs/>
                <w:sz w:val="24"/>
              </w:rPr>
            </w:pPr>
            <w:r>
              <w:rPr>
                <w:b/>
                <w:bCs/>
                <w:sz w:val="24"/>
              </w:rPr>
              <w:t>4</w:t>
            </w:r>
            <w:r>
              <w:rPr>
                <w:b/>
                <w:bCs/>
                <w:sz w:val="24"/>
              </w:rPr>
              <w:t>、生态环境质量状况</w:t>
            </w:r>
          </w:p>
          <w:p w14:paraId="5696C981" w14:textId="77777777" w:rsidR="00F76A63" w:rsidRDefault="00000000">
            <w:pPr>
              <w:adjustRightInd w:val="0"/>
              <w:snapToGrid w:val="0"/>
              <w:spacing w:line="500" w:lineRule="exact"/>
              <w:ind w:firstLine="420"/>
              <w:rPr>
                <w:sz w:val="24"/>
              </w:rPr>
            </w:pPr>
            <w:r>
              <w:rPr>
                <w:sz w:val="24"/>
              </w:rPr>
              <w:t>本项目位于句容下蜀高新技术产业园规划内，且在句容台泥水泥有限公司现有厂区内进行改造，不新增用地且用地范围内不含生态环境保护目标，根据《建设项目环境影响报告表编制技术指南（污染影响类）（试行）》，不开展生态现状调查。</w:t>
            </w:r>
          </w:p>
          <w:p w14:paraId="71BD40F6" w14:textId="77777777" w:rsidR="00F76A63" w:rsidRDefault="00000000">
            <w:pPr>
              <w:spacing w:line="500" w:lineRule="exact"/>
              <w:ind w:firstLineChars="200" w:firstLine="482"/>
              <w:rPr>
                <w:b/>
                <w:bCs/>
                <w:sz w:val="24"/>
              </w:rPr>
            </w:pPr>
            <w:bookmarkStart w:id="121" w:name="OLE_LINK60"/>
            <w:r>
              <w:rPr>
                <w:b/>
                <w:bCs/>
                <w:sz w:val="24"/>
              </w:rPr>
              <w:t>5</w:t>
            </w:r>
            <w:r>
              <w:rPr>
                <w:b/>
                <w:bCs/>
                <w:sz w:val="24"/>
              </w:rPr>
              <w:t>、土壤、地下水环境</w:t>
            </w:r>
          </w:p>
          <w:p w14:paraId="04721B2D" w14:textId="77777777" w:rsidR="00F76A63" w:rsidRDefault="00000000">
            <w:pPr>
              <w:spacing w:line="500" w:lineRule="exact"/>
              <w:ind w:firstLineChars="200" w:firstLine="480"/>
              <w:rPr>
                <w:sz w:val="24"/>
              </w:rPr>
            </w:pPr>
            <w:r>
              <w:rPr>
                <w:rFonts w:hint="eastAsia"/>
                <w:sz w:val="24"/>
              </w:rPr>
              <w:t>2025</w:t>
            </w:r>
            <w:r>
              <w:rPr>
                <w:rFonts w:hint="eastAsia"/>
                <w:sz w:val="24"/>
              </w:rPr>
              <w:t>年，对全市省控土壤监测网</w:t>
            </w:r>
            <w:r>
              <w:rPr>
                <w:rFonts w:hint="eastAsia"/>
                <w:sz w:val="24"/>
              </w:rPr>
              <w:t>10</w:t>
            </w:r>
            <w:r>
              <w:rPr>
                <w:rFonts w:hint="eastAsia"/>
                <w:sz w:val="24"/>
              </w:rPr>
              <w:t>个地块的</w:t>
            </w:r>
            <w:r>
              <w:rPr>
                <w:rFonts w:hint="eastAsia"/>
                <w:sz w:val="24"/>
              </w:rPr>
              <w:t>32</w:t>
            </w:r>
            <w:r>
              <w:rPr>
                <w:rFonts w:hint="eastAsia"/>
                <w:sz w:val="24"/>
              </w:rPr>
              <w:t>个风险监控点开展土壤环境质量监测。监测结果表明：土壤环境质量总体良好，属于清洁水平。</w:t>
            </w:r>
          </w:p>
          <w:p w14:paraId="28893FED" w14:textId="77777777" w:rsidR="00F76A63" w:rsidRDefault="00000000">
            <w:pPr>
              <w:spacing w:line="500" w:lineRule="exact"/>
              <w:ind w:firstLineChars="200" w:firstLine="480"/>
              <w:rPr>
                <w:sz w:val="24"/>
              </w:rPr>
            </w:pPr>
            <w:r>
              <w:rPr>
                <w:sz w:val="24"/>
              </w:rPr>
              <w:t>企业按要求落实防渗措施、正常运营</w:t>
            </w:r>
            <w:r>
              <w:rPr>
                <w:rFonts w:hint="eastAsia"/>
                <w:sz w:val="24"/>
              </w:rPr>
              <w:t>，</w:t>
            </w:r>
            <w:r>
              <w:rPr>
                <w:sz w:val="24"/>
              </w:rPr>
              <w:t>不属于存在土壤、地下水环境污染途径的项目，对照《建设项目环境影响报告表编制技术指南</w:t>
            </w:r>
            <w:r>
              <w:rPr>
                <w:sz w:val="24"/>
              </w:rPr>
              <w:t>(</w:t>
            </w:r>
            <w:r>
              <w:rPr>
                <w:sz w:val="24"/>
              </w:rPr>
              <w:t>污染影响类</w:t>
            </w:r>
            <w:r>
              <w:rPr>
                <w:sz w:val="24"/>
              </w:rPr>
              <w:t>)(</w:t>
            </w:r>
            <w:r>
              <w:rPr>
                <w:sz w:val="24"/>
              </w:rPr>
              <w:t>试行</w:t>
            </w:r>
            <w:r>
              <w:rPr>
                <w:sz w:val="24"/>
              </w:rPr>
              <w:t>)</w:t>
            </w:r>
            <w:r>
              <w:rPr>
                <w:sz w:val="24"/>
              </w:rPr>
              <w:t>》原则上不开展地下水、土壤环境质量现状调查。</w:t>
            </w:r>
            <w:bookmarkEnd w:id="121"/>
          </w:p>
          <w:p w14:paraId="346631E1" w14:textId="77777777" w:rsidR="00F76A63" w:rsidRDefault="00000000">
            <w:pPr>
              <w:spacing w:line="500" w:lineRule="exact"/>
              <w:ind w:firstLineChars="200" w:firstLine="480"/>
              <w:rPr>
                <w:sz w:val="24"/>
              </w:rPr>
            </w:pPr>
            <w:r>
              <w:rPr>
                <w:sz w:val="24"/>
              </w:rPr>
              <w:t>根据企业例行检测报告</w:t>
            </w:r>
            <w:r>
              <w:rPr>
                <w:sz w:val="24"/>
              </w:rPr>
              <w:t>A2240389635102C-1</w:t>
            </w:r>
            <w:r>
              <w:rPr>
                <w:sz w:val="24"/>
              </w:rPr>
              <w:t>、</w:t>
            </w:r>
            <w:r>
              <w:rPr>
                <w:sz w:val="24"/>
              </w:rPr>
              <w:t>A2240389635102C-2</w:t>
            </w:r>
            <w:r>
              <w:rPr>
                <w:sz w:val="24"/>
              </w:rPr>
              <w:t>、</w:t>
            </w:r>
            <w:r>
              <w:rPr>
                <w:sz w:val="24"/>
              </w:rPr>
              <w:t>A2240389635101C-3</w:t>
            </w:r>
            <w:r>
              <w:rPr>
                <w:sz w:val="24"/>
              </w:rPr>
              <w:t>，企业土壤上风向及下风向监测结果见下表。</w:t>
            </w:r>
          </w:p>
          <w:p w14:paraId="4F9442DA" w14:textId="77777777" w:rsidR="00F76A63" w:rsidRDefault="00000000">
            <w:pPr>
              <w:keepNext/>
              <w:widowControl/>
              <w:adjustRightInd w:val="0"/>
              <w:snapToGrid w:val="0"/>
              <w:spacing w:line="500" w:lineRule="exact"/>
              <w:jc w:val="center"/>
              <w:outlineLvl w:val="7"/>
              <w:rPr>
                <w:b/>
                <w:sz w:val="24"/>
              </w:rPr>
            </w:pPr>
            <w:r>
              <w:rPr>
                <w:b/>
                <w:sz w:val="24"/>
              </w:rPr>
              <w:t>表</w:t>
            </w:r>
            <w:r>
              <w:rPr>
                <w:b/>
                <w:sz w:val="24"/>
              </w:rPr>
              <w:t xml:space="preserve">3-5  </w:t>
            </w:r>
            <w:r>
              <w:rPr>
                <w:b/>
                <w:sz w:val="24"/>
              </w:rPr>
              <w:t>土壤环境例行监测结果表（上风向、下风向）</w:t>
            </w:r>
          </w:p>
          <w:tbl>
            <w:tblPr>
              <w:tblW w:w="5000" w:type="pct"/>
              <w:jc w:val="center"/>
              <w:tblBorders>
                <w:top w:val="single" w:sz="12" w:space="0" w:color="000000"/>
                <w:bottom w:val="single" w:sz="1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93"/>
              <w:gridCol w:w="2568"/>
              <w:gridCol w:w="2283"/>
              <w:gridCol w:w="2238"/>
            </w:tblGrid>
            <w:tr w:rsidR="00F76A63" w14:paraId="6DA6C977" w14:textId="77777777">
              <w:trPr>
                <w:trHeight w:val="340"/>
                <w:jc w:val="center"/>
              </w:trPr>
              <w:tc>
                <w:tcPr>
                  <w:tcW w:w="3662" w:type="dxa"/>
                  <w:gridSpan w:val="2"/>
                  <w:tcBorders>
                    <w:top w:val="single" w:sz="12" w:space="0" w:color="000000"/>
                    <w:left w:val="nil"/>
                    <w:bottom w:val="single" w:sz="4" w:space="0" w:color="000000"/>
                    <w:right w:val="single" w:sz="4" w:space="0" w:color="000000"/>
                  </w:tcBorders>
                  <w:vAlign w:val="center"/>
                </w:tcPr>
                <w:p w14:paraId="05D5954B" w14:textId="77777777" w:rsidR="00F76A63" w:rsidRDefault="00000000">
                  <w:pPr>
                    <w:jc w:val="center"/>
                    <w:rPr>
                      <w:b/>
                      <w:bCs/>
                      <w:szCs w:val="21"/>
                    </w:rPr>
                  </w:pPr>
                  <w:r>
                    <w:rPr>
                      <w:b/>
                      <w:bCs/>
                      <w:szCs w:val="21"/>
                    </w:rPr>
                    <w:t>采样日期</w:t>
                  </w:r>
                </w:p>
              </w:tc>
              <w:tc>
                <w:tcPr>
                  <w:tcW w:w="4523" w:type="dxa"/>
                  <w:gridSpan w:val="2"/>
                  <w:tcBorders>
                    <w:top w:val="single" w:sz="12" w:space="0" w:color="000000"/>
                    <w:left w:val="single" w:sz="4" w:space="0" w:color="000000"/>
                    <w:bottom w:val="single" w:sz="4" w:space="0" w:color="000000"/>
                    <w:right w:val="nil"/>
                  </w:tcBorders>
                  <w:vAlign w:val="center"/>
                </w:tcPr>
                <w:p w14:paraId="6DCD0787" w14:textId="77777777" w:rsidR="00F76A63" w:rsidRDefault="00000000">
                  <w:pPr>
                    <w:jc w:val="center"/>
                    <w:rPr>
                      <w:b/>
                      <w:bCs/>
                      <w:szCs w:val="21"/>
                    </w:rPr>
                  </w:pPr>
                  <w:r>
                    <w:rPr>
                      <w:b/>
                      <w:bCs/>
                      <w:szCs w:val="21"/>
                    </w:rPr>
                    <w:t>2024.10.29</w:t>
                  </w:r>
                </w:p>
              </w:tc>
            </w:tr>
            <w:tr w:rsidR="00F76A63" w14:paraId="2082B84C" w14:textId="77777777">
              <w:trPr>
                <w:trHeight w:val="340"/>
                <w:jc w:val="center"/>
              </w:trPr>
              <w:tc>
                <w:tcPr>
                  <w:tcW w:w="3662" w:type="dxa"/>
                  <w:gridSpan w:val="2"/>
                  <w:tcBorders>
                    <w:top w:val="single" w:sz="4" w:space="0" w:color="000000"/>
                    <w:left w:val="nil"/>
                    <w:bottom w:val="single" w:sz="4" w:space="0" w:color="000000"/>
                    <w:right w:val="single" w:sz="4" w:space="0" w:color="000000"/>
                  </w:tcBorders>
                  <w:vAlign w:val="center"/>
                </w:tcPr>
                <w:p w14:paraId="328BCB26" w14:textId="77777777" w:rsidR="00F76A63" w:rsidRDefault="00000000">
                  <w:pPr>
                    <w:jc w:val="center"/>
                    <w:rPr>
                      <w:szCs w:val="21"/>
                    </w:rPr>
                  </w:pPr>
                  <w:r>
                    <w:rPr>
                      <w:szCs w:val="21"/>
                    </w:rPr>
                    <w:t>采样点位</w:t>
                  </w:r>
                </w:p>
              </w:tc>
              <w:tc>
                <w:tcPr>
                  <w:tcW w:w="2284" w:type="dxa"/>
                  <w:tcBorders>
                    <w:top w:val="single" w:sz="4" w:space="0" w:color="000000"/>
                    <w:left w:val="single" w:sz="4" w:space="0" w:color="000000"/>
                    <w:bottom w:val="single" w:sz="4" w:space="0" w:color="000000"/>
                    <w:right w:val="single" w:sz="4" w:space="0" w:color="000000"/>
                  </w:tcBorders>
                  <w:vAlign w:val="center"/>
                </w:tcPr>
                <w:p w14:paraId="37FD4074" w14:textId="77777777" w:rsidR="00F76A63" w:rsidRDefault="00000000">
                  <w:pPr>
                    <w:jc w:val="center"/>
                    <w:rPr>
                      <w:szCs w:val="21"/>
                    </w:rPr>
                  </w:pPr>
                  <w:r>
                    <w:rPr>
                      <w:szCs w:val="21"/>
                    </w:rPr>
                    <w:t>上风向</w:t>
                  </w:r>
                </w:p>
              </w:tc>
              <w:tc>
                <w:tcPr>
                  <w:tcW w:w="2239" w:type="dxa"/>
                  <w:tcBorders>
                    <w:top w:val="single" w:sz="4" w:space="0" w:color="000000"/>
                    <w:left w:val="single" w:sz="4" w:space="0" w:color="000000"/>
                    <w:bottom w:val="single" w:sz="4" w:space="0" w:color="000000"/>
                    <w:right w:val="nil"/>
                  </w:tcBorders>
                  <w:vAlign w:val="center"/>
                </w:tcPr>
                <w:p w14:paraId="099E7F35" w14:textId="77777777" w:rsidR="00F76A63" w:rsidRDefault="00000000">
                  <w:pPr>
                    <w:jc w:val="center"/>
                    <w:rPr>
                      <w:szCs w:val="21"/>
                    </w:rPr>
                  </w:pPr>
                  <w:r>
                    <w:rPr>
                      <w:szCs w:val="21"/>
                    </w:rPr>
                    <w:t>下风向</w:t>
                  </w:r>
                </w:p>
              </w:tc>
            </w:tr>
            <w:tr w:rsidR="00F76A63" w14:paraId="50E84D5A" w14:textId="77777777">
              <w:trPr>
                <w:trHeight w:val="340"/>
                <w:jc w:val="center"/>
              </w:trPr>
              <w:tc>
                <w:tcPr>
                  <w:tcW w:w="3662" w:type="dxa"/>
                  <w:gridSpan w:val="2"/>
                  <w:tcBorders>
                    <w:top w:val="single" w:sz="4" w:space="0" w:color="000000"/>
                    <w:left w:val="nil"/>
                    <w:bottom w:val="single" w:sz="4" w:space="0" w:color="000000"/>
                    <w:right w:val="single" w:sz="4" w:space="0" w:color="000000"/>
                  </w:tcBorders>
                  <w:vAlign w:val="center"/>
                </w:tcPr>
                <w:p w14:paraId="51E4FD3F" w14:textId="77777777" w:rsidR="00F76A63" w:rsidRDefault="00000000">
                  <w:pPr>
                    <w:jc w:val="center"/>
                    <w:rPr>
                      <w:szCs w:val="21"/>
                    </w:rPr>
                  </w:pPr>
                  <w:r>
                    <w:rPr>
                      <w:szCs w:val="21"/>
                    </w:rPr>
                    <w:t>采样深度（</w:t>
                  </w:r>
                  <w:r>
                    <w:rPr>
                      <w:szCs w:val="21"/>
                    </w:rPr>
                    <w:t>m</w:t>
                  </w:r>
                  <w:r>
                    <w:rPr>
                      <w:szCs w:val="21"/>
                    </w:rPr>
                    <w:t>）</w:t>
                  </w:r>
                </w:p>
              </w:tc>
              <w:tc>
                <w:tcPr>
                  <w:tcW w:w="2284" w:type="dxa"/>
                  <w:tcBorders>
                    <w:top w:val="single" w:sz="4" w:space="0" w:color="000000"/>
                    <w:left w:val="single" w:sz="4" w:space="0" w:color="000000"/>
                    <w:bottom w:val="single" w:sz="4" w:space="0" w:color="000000"/>
                    <w:right w:val="single" w:sz="4" w:space="0" w:color="000000"/>
                  </w:tcBorders>
                  <w:vAlign w:val="center"/>
                </w:tcPr>
                <w:p w14:paraId="58D43838" w14:textId="77777777" w:rsidR="00F76A63" w:rsidRDefault="00000000">
                  <w:pPr>
                    <w:jc w:val="center"/>
                    <w:rPr>
                      <w:szCs w:val="21"/>
                    </w:rPr>
                  </w:pPr>
                  <w:r>
                    <w:rPr>
                      <w:szCs w:val="21"/>
                    </w:rPr>
                    <w:t>0~0.2</w:t>
                  </w:r>
                </w:p>
              </w:tc>
              <w:tc>
                <w:tcPr>
                  <w:tcW w:w="2239" w:type="dxa"/>
                  <w:tcBorders>
                    <w:top w:val="single" w:sz="4" w:space="0" w:color="000000"/>
                    <w:left w:val="single" w:sz="4" w:space="0" w:color="000000"/>
                    <w:bottom w:val="single" w:sz="4" w:space="0" w:color="000000"/>
                    <w:right w:val="nil"/>
                  </w:tcBorders>
                  <w:vAlign w:val="center"/>
                </w:tcPr>
                <w:p w14:paraId="607DB07B" w14:textId="77777777" w:rsidR="00F76A63" w:rsidRDefault="00000000">
                  <w:pPr>
                    <w:jc w:val="center"/>
                    <w:rPr>
                      <w:szCs w:val="21"/>
                    </w:rPr>
                  </w:pPr>
                  <w:r>
                    <w:rPr>
                      <w:szCs w:val="21"/>
                    </w:rPr>
                    <w:t>0~0.2</w:t>
                  </w:r>
                </w:p>
              </w:tc>
            </w:tr>
            <w:tr w:rsidR="00F76A63" w14:paraId="4C41C2F1" w14:textId="77777777">
              <w:trPr>
                <w:trHeight w:val="340"/>
                <w:jc w:val="center"/>
              </w:trPr>
              <w:tc>
                <w:tcPr>
                  <w:tcW w:w="1093" w:type="dxa"/>
                  <w:vMerge w:val="restart"/>
                  <w:tcBorders>
                    <w:top w:val="single" w:sz="4" w:space="0" w:color="000000"/>
                    <w:left w:val="nil"/>
                    <w:bottom w:val="single" w:sz="4" w:space="0" w:color="000000"/>
                    <w:right w:val="single" w:sz="4" w:space="0" w:color="000000"/>
                  </w:tcBorders>
                  <w:vAlign w:val="center"/>
                </w:tcPr>
                <w:p w14:paraId="7AEC5A65" w14:textId="77777777" w:rsidR="00F76A63" w:rsidRDefault="00000000">
                  <w:pPr>
                    <w:jc w:val="center"/>
                    <w:rPr>
                      <w:szCs w:val="21"/>
                    </w:rPr>
                  </w:pPr>
                  <w:r>
                    <w:rPr>
                      <w:szCs w:val="21"/>
                    </w:rPr>
                    <w:t>检测因子（单位：</w:t>
                  </w:r>
                  <w:r>
                    <w:rPr>
                      <w:szCs w:val="21"/>
                    </w:rPr>
                    <w:t>mg/kg</w:t>
                  </w:r>
                  <w:r>
                    <w:rPr>
                      <w:szCs w:val="21"/>
                    </w:rPr>
                    <w:t>）</w:t>
                  </w:r>
                </w:p>
              </w:tc>
              <w:tc>
                <w:tcPr>
                  <w:tcW w:w="2569" w:type="dxa"/>
                  <w:tcBorders>
                    <w:top w:val="single" w:sz="4" w:space="0" w:color="000000"/>
                    <w:left w:val="single" w:sz="4" w:space="0" w:color="000000"/>
                    <w:bottom w:val="single" w:sz="4" w:space="0" w:color="000000"/>
                    <w:right w:val="single" w:sz="4" w:space="0" w:color="000000"/>
                  </w:tcBorders>
                  <w:vAlign w:val="center"/>
                </w:tcPr>
                <w:p w14:paraId="5854D9B0" w14:textId="77777777" w:rsidR="00F76A63" w:rsidRDefault="00000000">
                  <w:pPr>
                    <w:jc w:val="center"/>
                    <w:rPr>
                      <w:szCs w:val="21"/>
                    </w:rPr>
                  </w:pPr>
                  <w:r>
                    <w:rPr>
                      <w:szCs w:val="21"/>
                    </w:rPr>
                    <w:t>pH</w:t>
                  </w:r>
                  <w:r>
                    <w:rPr>
                      <w:szCs w:val="21"/>
                    </w:rPr>
                    <w:t>（无量纲）</w:t>
                  </w:r>
                </w:p>
              </w:tc>
              <w:tc>
                <w:tcPr>
                  <w:tcW w:w="2284" w:type="dxa"/>
                  <w:tcBorders>
                    <w:top w:val="single" w:sz="4" w:space="0" w:color="000000"/>
                    <w:left w:val="single" w:sz="4" w:space="0" w:color="000000"/>
                    <w:bottom w:val="single" w:sz="4" w:space="0" w:color="000000"/>
                    <w:right w:val="single" w:sz="4" w:space="0" w:color="000000"/>
                  </w:tcBorders>
                  <w:vAlign w:val="center"/>
                </w:tcPr>
                <w:p w14:paraId="4A301EA9" w14:textId="77777777" w:rsidR="00F76A63" w:rsidRDefault="00000000">
                  <w:pPr>
                    <w:jc w:val="center"/>
                    <w:rPr>
                      <w:szCs w:val="21"/>
                    </w:rPr>
                  </w:pPr>
                  <w:r>
                    <w:rPr>
                      <w:szCs w:val="21"/>
                    </w:rPr>
                    <w:t>7.77</w:t>
                  </w:r>
                </w:p>
              </w:tc>
              <w:tc>
                <w:tcPr>
                  <w:tcW w:w="2239" w:type="dxa"/>
                  <w:tcBorders>
                    <w:top w:val="single" w:sz="4" w:space="0" w:color="000000"/>
                    <w:left w:val="single" w:sz="4" w:space="0" w:color="000000"/>
                    <w:bottom w:val="single" w:sz="4" w:space="0" w:color="000000"/>
                    <w:right w:val="nil"/>
                  </w:tcBorders>
                  <w:vAlign w:val="center"/>
                </w:tcPr>
                <w:p w14:paraId="33151E8D" w14:textId="77777777" w:rsidR="00F76A63" w:rsidRDefault="00000000">
                  <w:pPr>
                    <w:jc w:val="center"/>
                    <w:rPr>
                      <w:szCs w:val="21"/>
                    </w:rPr>
                  </w:pPr>
                  <w:r>
                    <w:rPr>
                      <w:szCs w:val="21"/>
                    </w:rPr>
                    <w:t>7.72</w:t>
                  </w:r>
                </w:p>
              </w:tc>
            </w:tr>
            <w:tr w:rsidR="00F76A63" w14:paraId="2FEC006E" w14:textId="77777777">
              <w:trPr>
                <w:trHeight w:val="340"/>
                <w:jc w:val="center"/>
              </w:trPr>
              <w:tc>
                <w:tcPr>
                  <w:tcW w:w="1093" w:type="dxa"/>
                  <w:vMerge/>
                  <w:tcBorders>
                    <w:top w:val="single" w:sz="4" w:space="0" w:color="000000"/>
                    <w:left w:val="nil"/>
                    <w:bottom w:val="single" w:sz="4" w:space="0" w:color="000000"/>
                    <w:right w:val="single" w:sz="4" w:space="0" w:color="000000"/>
                  </w:tcBorders>
                  <w:vAlign w:val="center"/>
                </w:tcPr>
                <w:p w14:paraId="11E0687A" w14:textId="77777777" w:rsidR="00F76A63" w:rsidRDefault="00F76A63">
                  <w:pPr>
                    <w:jc w:val="center"/>
                    <w:rPr>
                      <w:szCs w:val="21"/>
                    </w:rPr>
                  </w:pPr>
                </w:p>
              </w:tc>
              <w:tc>
                <w:tcPr>
                  <w:tcW w:w="2569" w:type="dxa"/>
                  <w:tcBorders>
                    <w:top w:val="single" w:sz="4" w:space="0" w:color="000000"/>
                    <w:left w:val="single" w:sz="4" w:space="0" w:color="000000"/>
                    <w:bottom w:val="single" w:sz="4" w:space="0" w:color="000000"/>
                    <w:right w:val="single" w:sz="4" w:space="0" w:color="000000"/>
                  </w:tcBorders>
                  <w:vAlign w:val="center"/>
                </w:tcPr>
                <w:p w14:paraId="6914CA63" w14:textId="77777777" w:rsidR="00F76A63" w:rsidRDefault="00000000">
                  <w:pPr>
                    <w:jc w:val="center"/>
                    <w:rPr>
                      <w:szCs w:val="21"/>
                    </w:rPr>
                  </w:pPr>
                  <w:r>
                    <w:rPr>
                      <w:szCs w:val="21"/>
                    </w:rPr>
                    <w:t>二噁英（</w:t>
                  </w:r>
                  <w:r>
                    <w:rPr>
                      <w:szCs w:val="21"/>
                    </w:rPr>
                    <w:t>ng TEQ/kg</w:t>
                  </w:r>
                  <w:r>
                    <w:rPr>
                      <w:szCs w:val="21"/>
                    </w:rPr>
                    <w:t>）</w:t>
                  </w:r>
                </w:p>
              </w:tc>
              <w:tc>
                <w:tcPr>
                  <w:tcW w:w="2284" w:type="dxa"/>
                  <w:tcBorders>
                    <w:top w:val="single" w:sz="4" w:space="0" w:color="000000"/>
                    <w:left w:val="single" w:sz="4" w:space="0" w:color="000000"/>
                    <w:bottom w:val="single" w:sz="4" w:space="0" w:color="000000"/>
                    <w:right w:val="single" w:sz="4" w:space="0" w:color="000000"/>
                  </w:tcBorders>
                  <w:vAlign w:val="center"/>
                </w:tcPr>
                <w:p w14:paraId="5DA52F66" w14:textId="77777777" w:rsidR="00F76A63" w:rsidRDefault="00000000">
                  <w:pPr>
                    <w:jc w:val="center"/>
                    <w:rPr>
                      <w:szCs w:val="21"/>
                    </w:rPr>
                  </w:pPr>
                  <w:r>
                    <w:rPr>
                      <w:szCs w:val="21"/>
                    </w:rPr>
                    <w:t>3.2</w:t>
                  </w:r>
                </w:p>
              </w:tc>
              <w:tc>
                <w:tcPr>
                  <w:tcW w:w="2239" w:type="dxa"/>
                  <w:tcBorders>
                    <w:top w:val="single" w:sz="4" w:space="0" w:color="000000"/>
                    <w:left w:val="single" w:sz="4" w:space="0" w:color="000000"/>
                    <w:bottom w:val="single" w:sz="4" w:space="0" w:color="000000"/>
                    <w:right w:val="nil"/>
                  </w:tcBorders>
                  <w:vAlign w:val="center"/>
                </w:tcPr>
                <w:p w14:paraId="25184A6D" w14:textId="77777777" w:rsidR="00F76A63" w:rsidRDefault="00000000">
                  <w:pPr>
                    <w:jc w:val="center"/>
                    <w:rPr>
                      <w:szCs w:val="21"/>
                    </w:rPr>
                  </w:pPr>
                  <w:r>
                    <w:rPr>
                      <w:szCs w:val="21"/>
                    </w:rPr>
                    <w:t>6.5</w:t>
                  </w:r>
                </w:p>
              </w:tc>
            </w:tr>
            <w:tr w:rsidR="00F76A63" w14:paraId="2F2905EE" w14:textId="77777777">
              <w:trPr>
                <w:trHeight w:val="340"/>
                <w:jc w:val="center"/>
              </w:trPr>
              <w:tc>
                <w:tcPr>
                  <w:tcW w:w="1093" w:type="dxa"/>
                  <w:vMerge/>
                  <w:tcBorders>
                    <w:top w:val="single" w:sz="4" w:space="0" w:color="000000"/>
                    <w:left w:val="nil"/>
                    <w:bottom w:val="single" w:sz="4" w:space="0" w:color="000000"/>
                    <w:right w:val="single" w:sz="4" w:space="0" w:color="000000"/>
                  </w:tcBorders>
                  <w:vAlign w:val="center"/>
                </w:tcPr>
                <w:p w14:paraId="0BD944B8" w14:textId="77777777" w:rsidR="00F76A63" w:rsidRDefault="00F76A63">
                  <w:pPr>
                    <w:jc w:val="center"/>
                    <w:rPr>
                      <w:szCs w:val="21"/>
                    </w:rPr>
                  </w:pPr>
                </w:p>
              </w:tc>
              <w:tc>
                <w:tcPr>
                  <w:tcW w:w="2569" w:type="dxa"/>
                  <w:tcBorders>
                    <w:top w:val="single" w:sz="4" w:space="0" w:color="000000"/>
                    <w:left w:val="single" w:sz="4" w:space="0" w:color="000000"/>
                    <w:bottom w:val="single" w:sz="4" w:space="0" w:color="000000"/>
                    <w:right w:val="single" w:sz="4" w:space="0" w:color="000000"/>
                  </w:tcBorders>
                  <w:vAlign w:val="center"/>
                </w:tcPr>
                <w:p w14:paraId="292E08A2" w14:textId="77777777" w:rsidR="00F76A63" w:rsidRDefault="00000000">
                  <w:pPr>
                    <w:jc w:val="center"/>
                    <w:rPr>
                      <w:szCs w:val="21"/>
                    </w:rPr>
                  </w:pPr>
                  <w:r>
                    <w:rPr>
                      <w:szCs w:val="21"/>
                    </w:rPr>
                    <w:t>砷</w:t>
                  </w:r>
                </w:p>
              </w:tc>
              <w:tc>
                <w:tcPr>
                  <w:tcW w:w="2284" w:type="dxa"/>
                  <w:tcBorders>
                    <w:top w:val="single" w:sz="4" w:space="0" w:color="000000"/>
                    <w:left w:val="single" w:sz="4" w:space="0" w:color="000000"/>
                    <w:bottom w:val="single" w:sz="4" w:space="0" w:color="000000"/>
                    <w:right w:val="single" w:sz="4" w:space="0" w:color="000000"/>
                  </w:tcBorders>
                  <w:vAlign w:val="center"/>
                </w:tcPr>
                <w:p w14:paraId="660DF4C2" w14:textId="77777777" w:rsidR="00F76A63" w:rsidRDefault="00000000">
                  <w:pPr>
                    <w:jc w:val="center"/>
                    <w:rPr>
                      <w:szCs w:val="21"/>
                    </w:rPr>
                  </w:pPr>
                  <w:r>
                    <w:rPr>
                      <w:szCs w:val="21"/>
                    </w:rPr>
                    <w:t>12.4</w:t>
                  </w:r>
                </w:p>
              </w:tc>
              <w:tc>
                <w:tcPr>
                  <w:tcW w:w="2239" w:type="dxa"/>
                  <w:tcBorders>
                    <w:top w:val="single" w:sz="4" w:space="0" w:color="000000"/>
                    <w:left w:val="single" w:sz="4" w:space="0" w:color="000000"/>
                    <w:bottom w:val="single" w:sz="4" w:space="0" w:color="000000"/>
                    <w:right w:val="nil"/>
                  </w:tcBorders>
                  <w:vAlign w:val="center"/>
                </w:tcPr>
                <w:p w14:paraId="4073A260" w14:textId="77777777" w:rsidR="00F76A63" w:rsidRDefault="00000000">
                  <w:pPr>
                    <w:jc w:val="center"/>
                    <w:rPr>
                      <w:szCs w:val="21"/>
                    </w:rPr>
                  </w:pPr>
                  <w:r>
                    <w:rPr>
                      <w:szCs w:val="21"/>
                    </w:rPr>
                    <w:t>18.6</w:t>
                  </w:r>
                </w:p>
              </w:tc>
            </w:tr>
            <w:tr w:rsidR="00F76A63" w14:paraId="40FBD561" w14:textId="77777777">
              <w:trPr>
                <w:trHeight w:val="340"/>
                <w:jc w:val="center"/>
              </w:trPr>
              <w:tc>
                <w:tcPr>
                  <w:tcW w:w="1093" w:type="dxa"/>
                  <w:vMerge/>
                  <w:tcBorders>
                    <w:top w:val="single" w:sz="4" w:space="0" w:color="000000"/>
                    <w:left w:val="nil"/>
                    <w:bottom w:val="single" w:sz="4" w:space="0" w:color="000000"/>
                    <w:right w:val="single" w:sz="4" w:space="0" w:color="000000"/>
                  </w:tcBorders>
                  <w:vAlign w:val="center"/>
                </w:tcPr>
                <w:p w14:paraId="53D5591F" w14:textId="77777777" w:rsidR="00F76A63" w:rsidRDefault="00F76A63">
                  <w:pPr>
                    <w:jc w:val="center"/>
                    <w:rPr>
                      <w:szCs w:val="21"/>
                    </w:rPr>
                  </w:pPr>
                </w:p>
              </w:tc>
              <w:tc>
                <w:tcPr>
                  <w:tcW w:w="2569" w:type="dxa"/>
                  <w:tcBorders>
                    <w:top w:val="single" w:sz="4" w:space="0" w:color="000000"/>
                    <w:left w:val="single" w:sz="4" w:space="0" w:color="000000"/>
                    <w:bottom w:val="single" w:sz="4" w:space="0" w:color="000000"/>
                    <w:right w:val="single" w:sz="4" w:space="0" w:color="000000"/>
                  </w:tcBorders>
                  <w:vAlign w:val="center"/>
                </w:tcPr>
                <w:p w14:paraId="3AC8D60D" w14:textId="77777777" w:rsidR="00F76A63" w:rsidRDefault="00000000">
                  <w:pPr>
                    <w:jc w:val="center"/>
                    <w:rPr>
                      <w:szCs w:val="21"/>
                    </w:rPr>
                  </w:pPr>
                  <w:r>
                    <w:rPr>
                      <w:szCs w:val="21"/>
                    </w:rPr>
                    <w:t>镉</w:t>
                  </w:r>
                </w:p>
              </w:tc>
              <w:tc>
                <w:tcPr>
                  <w:tcW w:w="2284" w:type="dxa"/>
                  <w:tcBorders>
                    <w:top w:val="single" w:sz="4" w:space="0" w:color="000000"/>
                    <w:left w:val="single" w:sz="4" w:space="0" w:color="000000"/>
                    <w:bottom w:val="single" w:sz="4" w:space="0" w:color="000000"/>
                    <w:right w:val="single" w:sz="4" w:space="0" w:color="000000"/>
                  </w:tcBorders>
                  <w:vAlign w:val="center"/>
                </w:tcPr>
                <w:p w14:paraId="45C877C1" w14:textId="77777777" w:rsidR="00F76A63" w:rsidRDefault="00000000">
                  <w:pPr>
                    <w:jc w:val="center"/>
                    <w:rPr>
                      <w:szCs w:val="21"/>
                    </w:rPr>
                  </w:pPr>
                  <w:r>
                    <w:rPr>
                      <w:szCs w:val="21"/>
                    </w:rPr>
                    <w:t>0.27</w:t>
                  </w:r>
                </w:p>
              </w:tc>
              <w:tc>
                <w:tcPr>
                  <w:tcW w:w="2239" w:type="dxa"/>
                  <w:tcBorders>
                    <w:top w:val="single" w:sz="4" w:space="0" w:color="000000"/>
                    <w:left w:val="single" w:sz="4" w:space="0" w:color="000000"/>
                    <w:bottom w:val="single" w:sz="4" w:space="0" w:color="000000"/>
                    <w:right w:val="nil"/>
                  </w:tcBorders>
                  <w:vAlign w:val="center"/>
                </w:tcPr>
                <w:p w14:paraId="36A70872" w14:textId="77777777" w:rsidR="00F76A63" w:rsidRDefault="00000000">
                  <w:pPr>
                    <w:jc w:val="center"/>
                    <w:rPr>
                      <w:szCs w:val="21"/>
                    </w:rPr>
                  </w:pPr>
                  <w:r>
                    <w:rPr>
                      <w:szCs w:val="21"/>
                    </w:rPr>
                    <w:t>0.43</w:t>
                  </w:r>
                </w:p>
              </w:tc>
            </w:tr>
            <w:tr w:rsidR="00F76A63" w14:paraId="35C76FAC" w14:textId="77777777">
              <w:trPr>
                <w:trHeight w:val="340"/>
                <w:jc w:val="center"/>
              </w:trPr>
              <w:tc>
                <w:tcPr>
                  <w:tcW w:w="1093" w:type="dxa"/>
                  <w:vMerge/>
                  <w:tcBorders>
                    <w:top w:val="single" w:sz="4" w:space="0" w:color="000000"/>
                    <w:left w:val="nil"/>
                    <w:bottom w:val="single" w:sz="4" w:space="0" w:color="000000"/>
                    <w:right w:val="single" w:sz="4" w:space="0" w:color="000000"/>
                  </w:tcBorders>
                  <w:vAlign w:val="center"/>
                </w:tcPr>
                <w:p w14:paraId="1835CD85" w14:textId="77777777" w:rsidR="00F76A63" w:rsidRDefault="00F76A63">
                  <w:pPr>
                    <w:jc w:val="center"/>
                    <w:rPr>
                      <w:szCs w:val="21"/>
                    </w:rPr>
                  </w:pPr>
                </w:p>
              </w:tc>
              <w:tc>
                <w:tcPr>
                  <w:tcW w:w="2569" w:type="dxa"/>
                  <w:tcBorders>
                    <w:top w:val="single" w:sz="4" w:space="0" w:color="000000"/>
                    <w:left w:val="single" w:sz="4" w:space="0" w:color="000000"/>
                    <w:bottom w:val="single" w:sz="4" w:space="0" w:color="000000"/>
                    <w:right w:val="single" w:sz="4" w:space="0" w:color="000000"/>
                  </w:tcBorders>
                  <w:vAlign w:val="center"/>
                </w:tcPr>
                <w:p w14:paraId="631A34A4" w14:textId="77777777" w:rsidR="00F76A63" w:rsidRDefault="00000000">
                  <w:pPr>
                    <w:jc w:val="center"/>
                    <w:rPr>
                      <w:szCs w:val="21"/>
                    </w:rPr>
                  </w:pPr>
                  <w:r>
                    <w:rPr>
                      <w:szCs w:val="21"/>
                    </w:rPr>
                    <w:t>铜</w:t>
                  </w:r>
                </w:p>
              </w:tc>
              <w:tc>
                <w:tcPr>
                  <w:tcW w:w="2284" w:type="dxa"/>
                  <w:tcBorders>
                    <w:top w:val="single" w:sz="4" w:space="0" w:color="000000"/>
                    <w:left w:val="single" w:sz="4" w:space="0" w:color="000000"/>
                    <w:bottom w:val="single" w:sz="4" w:space="0" w:color="000000"/>
                    <w:right w:val="single" w:sz="4" w:space="0" w:color="000000"/>
                  </w:tcBorders>
                  <w:vAlign w:val="center"/>
                </w:tcPr>
                <w:p w14:paraId="7F6262CC" w14:textId="77777777" w:rsidR="00F76A63" w:rsidRDefault="00000000">
                  <w:pPr>
                    <w:jc w:val="center"/>
                    <w:rPr>
                      <w:szCs w:val="21"/>
                    </w:rPr>
                  </w:pPr>
                  <w:r>
                    <w:rPr>
                      <w:szCs w:val="21"/>
                    </w:rPr>
                    <w:t>54</w:t>
                  </w:r>
                </w:p>
              </w:tc>
              <w:tc>
                <w:tcPr>
                  <w:tcW w:w="2239" w:type="dxa"/>
                  <w:tcBorders>
                    <w:top w:val="single" w:sz="4" w:space="0" w:color="000000"/>
                    <w:left w:val="single" w:sz="4" w:space="0" w:color="000000"/>
                    <w:bottom w:val="single" w:sz="4" w:space="0" w:color="000000"/>
                    <w:right w:val="nil"/>
                  </w:tcBorders>
                  <w:vAlign w:val="center"/>
                </w:tcPr>
                <w:p w14:paraId="7C752989" w14:textId="77777777" w:rsidR="00F76A63" w:rsidRDefault="00000000">
                  <w:pPr>
                    <w:jc w:val="center"/>
                    <w:rPr>
                      <w:szCs w:val="21"/>
                    </w:rPr>
                  </w:pPr>
                  <w:r>
                    <w:rPr>
                      <w:szCs w:val="21"/>
                    </w:rPr>
                    <w:t>68</w:t>
                  </w:r>
                </w:p>
              </w:tc>
            </w:tr>
            <w:tr w:rsidR="00F76A63" w14:paraId="1A45D366" w14:textId="77777777">
              <w:trPr>
                <w:trHeight w:val="340"/>
                <w:jc w:val="center"/>
              </w:trPr>
              <w:tc>
                <w:tcPr>
                  <w:tcW w:w="1093" w:type="dxa"/>
                  <w:vMerge/>
                  <w:tcBorders>
                    <w:top w:val="single" w:sz="4" w:space="0" w:color="000000"/>
                    <w:left w:val="nil"/>
                    <w:bottom w:val="single" w:sz="4" w:space="0" w:color="000000"/>
                    <w:right w:val="single" w:sz="4" w:space="0" w:color="000000"/>
                  </w:tcBorders>
                  <w:vAlign w:val="center"/>
                </w:tcPr>
                <w:p w14:paraId="3F13D98C" w14:textId="77777777" w:rsidR="00F76A63" w:rsidRDefault="00F76A63">
                  <w:pPr>
                    <w:jc w:val="center"/>
                    <w:rPr>
                      <w:szCs w:val="21"/>
                    </w:rPr>
                  </w:pPr>
                </w:p>
              </w:tc>
              <w:tc>
                <w:tcPr>
                  <w:tcW w:w="2569" w:type="dxa"/>
                  <w:tcBorders>
                    <w:top w:val="single" w:sz="4" w:space="0" w:color="000000"/>
                    <w:left w:val="single" w:sz="4" w:space="0" w:color="000000"/>
                    <w:bottom w:val="single" w:sz="4" w:space="0" w:color="000000"/>
                    <w:right w:val="single" w:sz="4" w:space="0" w:color="000000"/>
                  </w:tcBorders>
                  <w:vAlign w:val="center"/>
                </w:tcPr>
                <w:p w14:paraId="778DB54F" w14:textId="77777777" w:rsidR="00F76A63" w:rsidRDefault="00000000">
                  <w:pPr>
                    <w:jc w:val="center"/>
                    <w:rPr>
                      <w:szCs w:val="21"/>
                    </w:rPr>
                  </w:pPr>
                  <w:r>
                    <w:rPr>
                      <w:szCs w:val="21"/>
                    </w:rPr>
                    <w:t>铅</w:t>
                  </w:r>
                </w:p>
              </w:tc>
              <w:tc>
                <w:tcPr>
                  <w:tcW w:w="2284" w:type="dxa"/>
                  <w:tcBorders>
                    <w:top w:val="single" w:sz="4" w:space="0" w:color="000000"/>
                    <w:left w:val="single" w:sz="4" w:space="0" w:color="000000"/>
                    <w:bottom w:val="single" w:sz="4" w:space="0" w:color="000000"/>
                    <w:right w:val="single" w:sz="4" w:space="0" w:color="000000"/>
                  </w:tcBorders>
                  <w:vAlign w:val="center"/>
                </w:tcPr>
                <w:p w14:paraId="127195A8" w14:textId="77777777" w:rsidR="00F76A63" w:rsidRDefault="00000000">
                  <w:pPr>
                    <w:jc w:val="center"/>
                    <w:rPr>
                      <w:szCs w:val="21"/>
                    </w:rPr>
                  </w:pPr>
                  <w:r>
                    <w:rPr>
                      <w:szCs w:val="21"/>
                    </w:rPr>
                    <w:t>58</w:t>
                  </w:r>
                </w:p>
              </w:tc>
              <w:tc>
                <w:tcPr>
                  <w:tcW w:w="2239" w:type="dxa"/>
                  <w:tcBorders>
                    <w:top w:val="single" w:sz="4" w:space="0" w:color="000000"/>
                    <w:left w:val="single" w:sz="4" w:space="0" w:color="000000"/>
                    <w:bottom w:val="single" w:sz="4" w:space="0" w:color="000000"/>
                    <w:right w:val="nil"/>
                  </w:tcBorders>
                  <w:vAlign w:val="center"/>
                </w:tcPr>
                <w:p w14:paraId="2A870E8C" w14:textId="77777777" w:rsidR="00F76A63" w:rsidRDefault="00000000">
                  <w:pPr>
                    <w:jc w:val="center"/>
                    <w:rPr>
                      <w:szCs w:val="21"/>
                    </w:rPr>
                  </w:pPr>
                  <w:r>
                    <w:rPr>
                      <w:szCs w:val="21"/>
                    </w:rPr>
                    <w:t>69</w:t>
                  </w:r>
                </w:p>
              </w:tc>
            </w:tr>
            <w:tr w:rsidR="00F76A63" w14:paraId="0CE068D2" w14:textId="77777777">
              <w:trPr>
                <w:trHeight w:val="340"/>
                <w:jc w:val="center"/>
              </w:trPr>
              <w:tc>
                <w:tcPr>
                  <w:tcW w:w="1093" w:type="dxa"/>
                  <w:vMerge/>
                  <w:tcBorders>
                    <w:top w:val="single" w:sz="4" w:space="0" w:color="000000"/>
                    <w:left w:val="nil"/>
                    <w:bottom w:val="single" w:sz="4" w:space="0" w:color="000000"/>
                    <w:right w:val="single" w:sz="4" w:space="0" w:color="000000"/>
                  </w:tcBorders>
                  <w:vAlign w:val="center"/>
                </w:tcPr>
                <w:p w14:paraId="03CBAEEC" w14:textId="77777777" w:rsidR="00F76A63" w:rsidRDefault="00F76A63">
                  <w:pPr>
                    <w:jc w:val="center"/>
                    <w:rPr>
                      <w:szCs w:val="21"/>
                    </w:rPr>
                  </w:pPr>
                </w:p>
              </w:tc>
              <w:tc>
                <w:tcPr>
                  <w:tcW w:w="2569" w:type="dxa"/>
                  <w:tcBorders>
                    <w:top w:val="single" w:sz="4" w:space="0" w:color="000000"/>
                    <w:left w:val="single" w:sz="4" w:space="0" w:color="000000"/>
                    <w:bottom w:val="single" w:sz="4" w:space="0" w:color="000000"/>
                    <w:right w:val="single" w:sz="4" w:space="0" w:color="000000"/>
                  </w:tcBorders>
                  <w:vAlign w:val="center"/>
                </w:tcPr>
                <w:p w14:paraId="3802566C" w14:textId="77777777" w:rsidR="00F76A63" w:rsidRDefault="00000000">
                  <w:pPr>
                    <w:jc w:val="center"/>
                    <w:rPr>
                      <w:szCs w:val="21"/>
                    </w:rPr>
                  </w:pPr>
                  <w:r>
                    <w:rPr>
                      <w:szCs w:val="21"/>
                    </w:rPr>
                    <w:t>汞</w:t>
                  </w:r>
                </w:p>
              </w:tc>
              <w:tc>
                <w:tcPr>
                  <w:tcW w:w="2284" w:type="dxa"/>
                  <w:tcBorders>
                    <w:top w:val="single" w:sz="4" w:space="0" w:color="000000"/>
                    <w:left w:val="single" w:sz="4" w:space="0" w:color="000000"/>
                    <w:bottom w:val="single" w:sz="4" w:space="0" w:color="000000"/>
                    <w:right w:val="single" w:sz="4" w:space="0" w:color="000000"/>
                  </w:tcBorders>
                  <w:vAlign w:val="center"/>
                </w:tcPr>
                <w:p w14:paraId="4CBA3A09" w14:textId="77777777" w:rsidR="00F76A63" w:rsidRDefault="00000000">
                  <w:pPr>
                    <w:jc w:val="center"/>
                    <w:rPr>
                      <w:szCs w:val="21"/>
                    </w:rPr>
                  </w:pPr>
                  <w:r>
                    <w:rPr>
                      <w:szCs w:val="21"/>
                    </w:rPr>
                    <w:t>0.122</w:t>
                  </w:r>
                </w:p>
              </w:tc>
              <w:tc>
                <w:tcPr>
                  <w:tcW w:w="2239" w:type="dxa"/>
                  <w:tcBorders>
                    <w:top w:val="single" w:sz="4" w:space="0" w:color="000000"/>
                    <w:left w:val="single" w:sz="4" w:space="0" w:color="000000"/>
                    <w:bottom w:val="single" w:sz="4" w:space="0" w:color="000000"/>
                    <w:right w:val="nil"/>
                  </w:tcBorders>
                  <w:vAlign w:val="center"/>
                </w:tcPr>
                <w:p w14:paraId="1F514C14" w14:textId="77777777" w:rsidR="00F76A63" w:rsidRDefault="00000000">
                  <w:pPr>
                    <w:jc w:val="center"/>
                    <w:rPr>
                      <w:szCs w:val="21"/>
                    </w:rPr>
                  </w:pPr>
                  <w:r>
                    <w:rPr>
                      <w:szCs w:val="21"/>
                    </w:rPr>
                    <w:t>0.265</w:t>
                  </w:r>
                </w:p>
              </w:tc>
            </w:tr>
            <w:tr w:rsidR="00F76A63" w14:paraId="30FF5659" w14:textId="77777777">
              <w:trPr>
                <w:trHeight w:val="340"/>
                <w:jc w:val="center"/>
              </w:trPr>
              <w:tc>
                <w:tcPr>
                  <w:tcW w:w="1093" w:type="dxa"/>
                  <w:vMerge/>
                  <w:tcBorders>
                    <w:top w:val="single" w:sz="4" w:space="0" w:color="000000"/>
                    <w:left w:val="nil"/>
                    <w:bottom w:val="single" w:sz="4" w:space="0" w:color="000000"/>
                    <w:right w:val="single" w:sz="4" w:space="0" w:color="000000"/>
                  </w:tcBorders>
                  <w:vAlign w:val="center"/>
                </w:tcPr>
                <w:p w14:paraId="1821F3B1" w14:textId="77777777" w:rsidR="00F76A63" w:rsidRDefault="00F76A63">
                  <w:pPr>
                    <w:jc w:val="center"/>
                    <w:rPr>
                      <w:szCs w:val="21"/>
                    </w:rPr>
                  </w:pPr>
                </w:p>
              </w:tc>
              <w:tc>
                <w:tcPr>
                  <w:tcW w:w="2569" w:type="dxa"/>
                  <w:tcBorders>
                    <w:top w:val="single" w:sz="4" w:space="0" w:color="000000"/>
                    <w:left w:val="single" w:sz="4" w:space="0" w:color="000000"/>
                    <w:bottom w:val="single" w:sz="4" w:space="0" w:color="000000"/>
                    <w:right w:val="single" w:sz="4" w:space="0" w:color="000000"/>
                  </w:tcBorders>
                  <w:vAlign w:val="center"/>
                </w:tcPr>
                <w:p w14:paraId="698E9801" w14:textId="77777777" w:rsidR="00F76A63" w:rsidRDefault="00000000">
                  <w:pPr>
                    <w:jc w:val="center"/>
                    <w:rPr>
                      <w:szCs w:val="21"/>
                    </w:rPr>
                  </w:pPr>
                  <w:r>
                    <w:rPr>
                      <w:szCs w:val="21"/>
                    </w:rPr>
                    <w:t>镍</w:t>
                  </w:r>
                </w:p>
              </w:tc>
              <w:tc>
                <w:tcPr>
                  <w:tcW w:w="2284" w:type="dxa"/>
                  <w:tcBorders>
                    <w:top w:val="single" w:sz="4" w:space="0" w:color="000000"/>
                    <w:left w:val="single" w:sz="4" w:space="0" w:color="000000"/>
                    <w:bottom w:val="single" w:sz="4" w:space="0" w:color="000000"/>
                    <w:right w:val="single" w:sz="4" w:space="0" w:color="000000"/>
                  </w:tcBorders>
                  <w:vAlign w:val="center"/>
                </w:tcPr>
                <w:p w14:paraId="1E6A3BE0" w14:textId="77777777" w:rsidR="00F76A63" w:rsidRDefault="00000000">
                  <w:pPr>
                    <w:jc w:val="center"/>
                    <w:rPr>
                      <w:szCs w:val="21"/>
                    </w:rPr>
                  </w:pPr>
                  <w:r>
                    <w:rPr>
                      <w:szCs w:val="21"/>
                    </w:rPr>
                    <w:t>63</w:t>
                  </w:r>
                </w:p>
              </w:tc>
              <w:tc>
                <w:tcPr>
                  <w:tcW w:w="2239" w:type="dxa"/>
                  <w:tcBorders>
                    <w:top w:val="single" w:sz="4" w:space="0" w:color="000000"/>
                    <w:left w:val="single" w:sz="4" w:space="0" w:color="000000"/>
                    <w:bottom w:val="single" w:sz="4" w:space="0" w:color="000000"/>
                    <w:right w:val="nil"/>
                  </w:tcBorders>
                  <w:vAlign w:val="center"/>
                </w:tcPr>
                <w:p w14:paraId="6C87CE39" w14:textId="77777777" w:rsidR="00F76A63" w:rsidRDefault="00000000">
                  <w:pPr>
                    <w:jc w:val="center"/>
                    <w:rPr>
                      <w:szCs w:val="21"/>
                    </w:rPr>
                  </w:pPr>
                  <w:r>
                    <w:rPr>
                      <w:szCs w:val="21"/>
                    </w:rPr>
                    <w:t>65</w:t>
                  </w:r>
                </w:p>
              </w:tc>
            </w:tr>
            <w:tr w:rsidR="00F76A63" w14:paraId="79437D82" w14:textId="77777777">
              <w:trPr>
                <w:trHeight w:val="340"/>
                <w:jc w:val="center"/>
              </w:trPr>
              <w:tc>
                <w:tcPr>
                  <w:tcW w:w="1093" w:type="dxa"/>
                  <w:vMerge/>
                  <w:tcBorders>
                    <w:top w:val="single" w:sz="4" w:space="0" w:color="000000"/>
                    <w:left w:val="nil"/>
                    <w:bottom w:val="single" w:sz="4" w:space="0" w:color="000000"/>
                    <w:right w:val="single" w:sz="4" w:space="0" w:color="000000"/>
                  </w:tcBorders>
                  <w:vAlign w:val="center"/>
                </w:tcPr>
                <w:p w14:paraId="4EA04EB3" w14:textId="77777777" w:rsidR="00F76A63" w:rsidRDefault="00F76A63">
                  <w:pPr>
                    <w:jc w:val="center"/>
                    <w:rPr>
                      <w:szCs w:val="21"/>
                    </w:rPr>
                  </w:pPr>
                </w:p>
              </w:tc>
              <w:tc>
                <w:tcPr>
                  <w:tcW w:w="2569" w:type="dxa"/>
                  <w:tcBorders>
                    <w:top w:val="single" w:sz="4" w:space="0" w:color="000000"/>
                    <w:left w:val="single" w:sz="4" w:space="0" w:color="000000"/>
                    <w:bottom w:val="single" w:sz="4" w:space="0" w:color="000000"/>
                    <w:right w:val="single" w:sz="4" w:space="0" w:color="000000"/>
                  </w:tcBorders>
                  <w:vAlign w:val="center"/>
                </w:tcPr>
                <w:p w14:paraId="76F815F8" w14:textId="77777777" w:rsidR="00F76A63" w:rsidRDefault="00000000">
                  <w:pPr>
                    <w:jc w:val="center"/>
                    <w:rPr>
                      <w:szCs w:val="21"/>
                    </w:rPr>
                  </w:pPr>
                  <w:r>
                    <w:rPr>
                      <w:szCs w:val="21"/>
                    </w:rPr>
                    <w:t>锌</w:t>
                  </w:r>
                </w:p>
              </w:tc>
              <w:tc>
                <w:tcPr>
                  <w:tcW w:w="2284" w:type="dxa"/>
                  <w:tcBorders>
                    <w:top w:val="single" w:sz="4" w:space="0" w:color="000000"/>
                    <w:left w:val="single" w:sz="4" w:space="0" w:color="000000"/>
                    <w:bottom w:val="single" w:sz="4" w:space="0" w:color="000000"/>
                    <w:right w:val="single" w:sz="4" w:space="0" w:color="000000"/>
                  </w:tcBorders>
                  <w:vAlign w:val="center"/>
                </w:tcPr>
                <w:p w14:paraId="266FCF58" w14:textId="77777777" w:rsidR="00F76A63" w:rsidRDefault="00000000">
                  <w:pPr>
                    <w:jc w:val="center"/>
                    <w:rPr>
                      <w:szCs w:val="21"/>
                    </w:rPr>
                  </w:pPr>
                  <w:r>
                    <w:rPr>
                      <w:szCs w:val="21"/>
                    </w:rPr>
                    <w:t>120</w:t>
                  </w:r>
                </w:p>
              </w:tc>
              <w:tc>
                <w:tcPr>
                  <w:tcW w:w="2239" w:type="dxa"/>
                  <w:tcBorders>
                    <w:top w:val="single" w:sz="4" w:space="0" w:color="000000"/>
                    <w:left w:val="single" w:sz="4" w:space="0" w:color="000000"/>
                    <w:bottom w:val="single" w:sz="4" w:space="0" w:color="000000"/>
                    <w:right w:val="nil"/>
                  </w:tcBorders>
                  <w:vAlign w:val="center"/>
                </w:tcPr>
                <w:p w14:paraId="2A722D60" w14:textId="77777777" w:rsidR="00F76A63" w:rsidRDefault="00000000">
                  <w:pPr>
                    <w:jc w:val="center"/>
                    <w:rPr>
                      <w:szCs w:val="21"/>
                    </w:rPr>
                  </w:pPr>
                  <w:r>
                    <w:rPr>
                      <w:szCs w:val="21"/>
                    </w:rPr>
                    <w:t>273</w:t>
                  </w:r>
                </w:p>
              </w:tc>
            </w:tr>
            <w:tr w:rsidR="00F76A63" w14:paraId="2687D8D9" w14:textId="77777777">
              <w:trPr>
                <w:trHeight w:val="340"/>
                <w:jc w:val="center"/>
              </w:trPr>
              <w:tc>
                <w:tcPr>
                  <w:tcW w:w="1093" w:type="dxa"/>
                  <w:vMerge/>
                  <w:tcBorders>
                    <w:top w:val="single" w:sz="4" w:space="0" w:color="000000"/>
                    <w:left w:val="nil"/>
                    <w:bottom w:val="single" w:sz="4" w:space="0" w:color="000000"/>
                    <w:right w:val="single" w:sz="4" w:space="0" w:color="000000"/>
                  </w:tcBorders>
                  <w:vAlign w:val="center"/>
                </w:tcPr>
                <w:p w14:paraId="2D32E8ED" w14:textId="77777777" w:rsidR="00F76A63" w:rsidRDefault="00F76A63">
                  <w:pPr>
                    <w:jc w:val="center"/>
                    <w:rPr>
                      <w:szCs w:val="21"/>
                    </w:rPr>
                  </w:pPr>
                </w:p>
              </w:tc>
              <w:tc>
                <w:tcPr>
                  <w:tcW w:w="2569" w:type="dxa"/>
                  <w:tcBorders>
                    <w:top w:val="single" w:sz="4" w:space="0" w:color="000000"/>
                    <w:left w:val="single" w:sz="4" w:space="0" w:color="000000"/>
                    <w:bottom w:val="single" w:sz="12" w:space="0" w:color="000000"/>
                    <w:right w:val="single" w:sz="4" w:space="0" w:color="000000"/>
                  </w:tcBorders>
                  <w:vAlign w:val="center"/>
                </w:tcPr>
                <w:p w14:paraId="151E99F3" w14:textId="77777777" w:rsidR="00F76A63" w:rsidRDefault="00000000">
                  <w:pPr>
                    <w:jc w:val="center"/>
                    <w:rPr>
                      <w:szCs w:val="21"/>
                    </w:rPr>
                  </w:pPr>
                  <w:r>
                    <w:rPr>
                      <w:szCs w:val="21"/>
                    </w:rPr>
                    <w:t>六价铬</w:t>
                  </w:r>
                </w:p>
              </w:tc>
              <w:tc>
                <w:tcPr>
                  <w:tcW w:w="2284" w:type="dxa"/>
                  <w:tcBorders>
                    <w:top w:val="single" w:sz="4" w:space="0" w:color="000000"/>
                    <w:left w:val="single" w:sz="4" w:space="0" w:color="000000"/>
                    <w:bottom w:val="single" w:sz="12" w:space="0" w:color="000000"/>
                    <w:right w:val="single" w:sz="4" w:space="0" w:color="000000"/>
                  </w:tcBorders>
                  <w:vAlign w:val="center"/>
                </w:tcPr>
                <w:p w14:paraId="5204CE8D" w14:textId="77777777" w:rsidR="00F76A63" w:rsidRDefault="00000000">
                  <w:pPr>
                    <w:jc w:val="center"/>
                    <w:rPr>
                      <w:szCs w:val="21"/>
                    </w:rPr>
                  </w:pPr>
                  <w:r>
                    <w:rPr>
                      <w:szCs w:val="21"/>
                    </w:rPr>
                    <w:t>61</w:t>
                  </w:r>
                </w:p>
              </w:tc>
              <w:tc>
                <w:tcPr>
                  <w:tcW w:w="2239" w:type="dxa"/>
                  <w:tcBorders>
                    <w:top w:val="single" w:sz="4" w:space="0" w:color="000000"/>
                    <w:left w:val="single" w:sz="4" w:space="0" w:color="000000"/>
                    <w:bottom w:val="single" w:sz="12" w:space="0" w:color="000000"/>
                    <w:right w:val="nil"/>
                  </w:tcBorders>
                  <w:vAlign w:val="center"/>
                </w:tcPr>
                <w:p w14:paraId="1D74D7CF" w14:textId="77777777" w:rsidR="00F76A63" w:rsidRDefault="00000000">
                  <w:pPr>
                    <w:jc w:val="center"/>
                    <w:rPr>
                      <w:szCs w:val="21"/>
                    </w:rPr>
                  </w:pPr>
                  <w:r>
                    <w:rPr>
                      <w:szCs w:val="21"/>
                    </w:rPr>
                    <w:t>83</w:t>
                  </w:r>
                </w:p>
              </w:tc>
            </w:tr>
          </w:tbl>
          <w:p w14:paraId="4496BC99" w14:textId="77777777" w:rsidR="00F76A63" w:rsidRDefault="00000000">
            <w:pPr>
              <w:spacing w:line="500" w:lineRule="exact"/>
              <w:ind w:firstLineChars="200" w:firstLine="480"/>
              <w:rPr>
                <w:bCs/>
                <w:sz w:val="24"/>
              </w:rPr>
            </w:pPr>
            <w:r>
              <w:rPr>
                <w:bCs/>
                <w:sz w:val="24"/>
              </w:rPr>
              <w:t>土壤监测点监测项目中，建设项目所在地各监测因子均符合土壤执行《土壤环境质量</w:t>
            </w:r>
            <w:r>
              <w:rPr>
                <w:bCs/>
                <w:sz w:val="24"/>
              </w:rPr>
              <w:t xml:space="preserve"> </w:t>
            </w:r>
            <w:r>
              <w:rPr>
                <w:bCs/>
                <w:sz w:val="24"/>
              </w:rPr>
              <w:t>建设用地土壤污染风险管控标准（试行）》（</w:t>
            </w:r>
            <w:r>
              <w:rPr>
                <w:bCs/>
                <w:sz w:val="24"/>
              </w:rPr>
              <w:t>GB36600-2018</w:t>
            </w:r>
            <w:r>
              <w:rPr>
                <w:bCs/>
                <w:sz w:val="24"/>
              </w:rPr>
              <w:t>）表</w:t>
            </w:r>
            <w:r>
              <w:rPr>
                <w:bCs/>
                <w:sz w:val="24"/>
              </w:rPr>
              <w:t>1</w:t>
            </w:r>
            <w:r>
              <w:rPr>
                <w:bCs/>
                <w:sz w:val="24"/>
              </w:rPr>
              <w:t>中第二类用地的筛选值和管制值，对人体健康的风险可以忽略，项目周边土壤质量良好。</w:t>
            </w:r>
          </w:p>
          <w:p w14:paraId="65CE0329" w14:textId="77777777" w:rsidR="00F76A63" w:rsidRDefault="00000000">
            <w:pPr>
              <w:keepNext/>
              <w:widowControl/>
              <w:adjustRightInd w:val="0"/>
              <w:snapToGrid w:val="0"/>
              <w:spacing w:line="500" w:lineRule="exact"/>
              <w:jc w:val="center"/>
              <w:outlineLvl w:val="7"/>
              <w:rPr>
                <w:b/>
                <w:sz w:val="24"/>
              </w:rPr>
            </w:pPr>
            <w:r>
              <w:rPr>
                <w:b/>
                <w:sz w:val="24"/>
              </w:rPr>
              <w:t>表</w:t>
            </w:r>
            <w:r>
              <w:rPr>
                <w:b/>
                <w:sz w:val="24"/>
              </w:rPr>
              <w:t xml:space="preserve">3-6  </w:t>
            </w:r>
            <w:r>
              <w:rPr>
                <w:b/>
                <w:sz w:val="24"/>
              </w:rPr>
              <w:t>地下水水质例行监测结果表（单位：</w:t>
            </w:r>
            <w:r>
              <w:rPr>
                <w:b/>
                <w:sz w:val="24"/>
              </w:rPr>
              <w:t>mg/L</w:t>
            </w:r>
            <w:r>
              <w:rPr>
                <w:b/>
                <w:sz w:val="24"/>
              </w:rPr>
              <w:t>）</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4221"/>
              <w:gridCol w:w="3961"/>
            </w:tblGrid>
            <w:tr w:rsidR="00F76A63" w14:paraId="18B400B6" w14:textId="77777777">
              <w:trPr>
                <w:trHeight w:val="295"/>
                <w:jc w:val="center"/>
              </w:trPr>
              <w:tc>
                <w:tcPr>
                  <w:tcW w:w="4221" w:type="dxa"/>
                  <w:vMerge w:val="restart"/>
                  <w:tcBorders>
                    <w:top w:val="single" w:sz="12" w:space="0" w:color="auto"/>
                    <w:left w:val="nil"/>
                    <w:bottom w:val="single" w:sz="4" w:space="0" w:color="auto"/>
                    <w:right w:val="single" w:sz="4" w:space="0" w:color="auto"/>
                  </w:tcBorders>
                  <w:vAlign w:val="center"/>
                </w:tcPr>
                <w:p w14:paraId="2B5C23F9" w14:textId="77777777" w:rsidR="00F76A63" w:rsidRDefault="00000000">
                  <w:pPr>
                    <w:jc w:val="center"/>
                    <w:rPr>
                      <w:b/>
                      <w:bCs/>
                      <w:szCs w:val="21"/>
                    </w:rPr>
                  </w:pPr>
                  <w:r>
                    <w:rPr>
                      <w:b/>
                      <w:bCs/>
                      <w:szCs w:val="21"/>
                    </w:rPr>
                    <w:t>检测项目</w:t>
                  </w:r>
                </w:p>
              </w:tc>
              <w:tc>
                <w:tcPr>
                  <w:tcW w:w="3961" w:type="dxa"/>
                  <w:tcBorders>
                    <w:top w:val="single" w:sz="12" w:space="0" w:color="auto"/>
                    <w:left w:val="nil"/>
                    <w:bottom w:val="single" w:sz="4" w:space="0" w:color="auto"/>
                    <w:right w:val="nil"/>
                  </w:tcBorders>
                  <w:vAlign w:val="center"/>
                </w:tcPr>
                <w:p w14:paraId="08DCC667" w14:textId="77777777" w:rsidR="00F76A63" w:rsidRDefault="00000000">
                  <w:pPr>
                    <w:jc w:val="center"/>
                    <w:rPr>
                      <w:b/>
                      <w:bCs/>
                      <w:szCs w:val="21"/>
                    </w:rPr>
                  </w:pPr>
                  <w:r>
                    <w:rPr>
                      <w:b/>
                      <w:bCs/>
                      <w:szCs w:val="21"/>
                    </w:rPr>
                    <w:t>结果（</w:t>
                  </w:r>
                  <w:r>
                    <w:rPr>
                      <w:b/>
                      <w:bCs/>
                      <w:szCs w:val="21"/>
                    </w:rPr>
                    <w:t>2024.12.23</w:t>
                  </w:r>
                  <w:r>
                    <w:rPr>
                      <w:b/>
                      <w:bCs/>
                      <w:szCs w:val="21"/>
                    </w:rPr>
                    <w:t>）</w:t>
                  </w:r>
                </w:p>
              </w:tc>
            </w:tr>
            <w:tr w:rsidR="00F76A63" w14:paraId="5F3FCC46" w14:textId="77777777">
              <w:trPr>
                <w:trHeight w:val="312"/>
                <w:jc w:val="center"/>
              </w:trPr>
              <w:tc>
                <w:tcPr>
                  <w:tcW w:w="4226" w:type="dxa"/>
                  <w:vMerge/>
                  <w:tcBorders>
                    <w:top w:val="single" w:sz="12" w:space="0" w:color="auto"/>
                    <w:left w:val="nil"/>
                    <w:bottom w:val="single" w:sz="4" w:space="0" w:color="auto"/>
                    <w:right w:val="single" w:sz="4" w:space="0" w:color="auto"/>
                  </w:tcBorders>
                  <w:vAlign w:val="center"/>
                </w:tcPr>
                <w:p w14:paraId="4C8C0ECC" w14:textId="77777777" w:rsidR="00F76A63" w:rsidRDefault="00F76A63">
                  <w:pPr>
                    <w:jc w:val="center"/>
                    <w:rPr>
                      <w:b/>
                      <w:bCs/>
                      <w:szCs w:val="21"/>
                    </w:rPr>
                  </w:pPr>
                </w:p>
              </w:tc>
              <w:tc>
                <w:tcPr>
                  <w:tcW w:w="3961" w:type="dxa"/>
                  <w:tcBorders>
                    <w:top w:val="single" w:sz="4" w:space="0" w:color="auto"/>
                    <w:left w:val="nil"/>
                    <w:bottom w:val="single" w:sz="4" w:space="0" w:color="auto"/>
                    <w:right w:val="nil"/>
                  </w:tcBorders>
                  <w:vAlign w:val="center"/>
                </w:tcPr>
                <w:p w14:paraId="3420894B" w14:textId="77777777" w:rsidR="00F76A63" w:rsidRDefault="00000000">
                  <w:pPr>
                    <w:jc w:val="center"/>
                    <w:rPr>
                      <w:b/>
                      <w:bCs/>
                      <w:szCs w:val="21"/>
                    </w:rPr>
                  </w:pPr>
                  <w:r>
                    <w:rPr>
                      <w:b/>
                      <w:bCs/>
                      <w:szCs w:val="21"/>
                    </w:rPr>
                    <w:t>飞灰料仓</w:t>
                  </w:r>
                </w:p>
              </w:tc>
            </w:tr>
            <w:tr w:rsidR="00F76A63" w14:paraId="4C999D3F" w14:textId="77777777">
              <w:trPr>
                <w:trHeight w:val="264"/>
                <w:jc w:val="center"/>
              </w:trPr>
              <w:tc>
                <w:tcPr>
                  <w:tcW w:w="4221" w:type="dxa"/>
                  <w:tcBorders>
                    <w:top w:val="single" w:sz="4" w:space="0" w:color="auto"/>
                    <w:left w:val="nil"/>
                    <w:bottom w:val="single" w:sz="4" w:space="0" w:color="auto"/>
                    <w:right w:val="single" w:sz="4" w:space="0" w:color="auto"/>
                  </w:tcBorders>
                  <w:vAlign w:val="center"/>
                </w:tcPr>
                <w:p w14:paraId="2D8C84F4" w14:textId="77777777" w:rsidR="00F76A63" w:rsidRDefault="00000000">
                  <w:pPr>
                    <w:jc w:val="center"/>
                    <w:rPr>
                      <w:bCs/>
                      <w:szCs w:val="21"/>
                    </w:rPr>
                  </w:pPr>
                  <w:r>
                    <w:rPr>
                      <w:bCs/>
                      <w:szCs w:val="21"/>
                    </w:rPr>
                    <w:t>pH</w:t>
                  </w:r>
                  <w:r>
                    <w:rPr>
                      <w:bCs/>
                      <w:szCs w:val="21"/>
                    </w:rPr>
                    <w:t>（无量纲）</w:t>
                  </w:r>
                </w:p>
              </w:tc>
              <w:tc>
                <w:tcPr>
                  <w:tcW w:w="3961" w:type="dxa"/>
                  <w:tcBorders>
                    <w:top w:val="single" w:sz="4" w:space="0" w:color="auto"/>
                    <w:left w:val="nil"/>
                    <w:bottom w:val="single" w:sz="4" w:space="0" w:color="auto"/>
                    <w:right w:val="nil"/>
                  </w:tcBorders>
                  <w:vAlign w:val="center"/>
                </w:tcPr>
                <w:p w14:paraId="02D55139" w14:textId="77777777" w:rsidR="00F76A63" w:rsidRDefault="00000000">
                  <w:pPr>
                    <w:jc w:val="center"/>
                    <w:rPr>
                      <w:bCs/>
                      <w:szCs w:val="21"/>
                    </w:rPr>
                  </w:pPr>
                  <w:r>
                    <w:rPr>
                      <w:bCs/>
                      <w:szCs w:val="21"/>
                    </w:rPr>
                    <w:t>8.1</w:t>
                  </w:r>
                </w:p>
              </w:tc>
            </w:tr>
            <w:tr w:rsidR="00F76A63" w14:paraId="4CA77E1A" w14:textId="77777777">
              <w:trPr>
                <w:trHeight w:val="264"/>
                <w:jc w:val="center"/>
              </w:trPr>
              <w:tc>
                <w:tcPr>
                  <w:tcW w:w="4221" w:type="dxa"/>
                  <w:tcBorders>
                    <w:top w:val="single" w:sz="4" w:space="0" w:color="auto"/>
                    <w:left w:val="nil"/>
                    <w:bottom w:val="single" w:sz="4" w:space="0" w:color="auto"/>
                    <w:right w:val="single" w:sz="4" w:space="0" w:color="auto"/>
                  </w:tcBorders>
                  <w:vAlign w:val="center"/>
                </w:tcPr>
                <w:p w14:paraId="3C3253CE" w14:textId="77777777" w:rsidR="00F76A63" w:rsidRDefault="00000000">
                  <w:pPr>
                    <w:jc w:val="center"/>
                    <w:rPr>
                      <w:bCs/>
                      <w:szCs w:val="21"/>
                    </w:rPr>
                  </w:pPr>
                  <w:r>
                    <w:rPr>
                      <w:bCs/>
                      <w:szCs w:val="21"/>
                    </w:rPr>
                    <w:t>总硬度</w:t>
                  </w:r>
                </w:p>
              </w:tc>
              <w:tc>
                <w:tcPr>
                  <w:tcW w:w="3961" w:type="dxa"/>
                  <w:tcBorders>
                    <w:top w:val="single" w:sz="4" w:space="0" w:color="auto"/>
                    <w:left w:val="nil"/>
                    <w:bottom w:val="single" w:sz="4" w:space="0" w:color="auto"/>
                    <w:right w:val="nil"/>
                  </w:tcBorders>
                  <w:vAlign w:val="center"/>
                </w:tcPr>
                <w:p w14:paraId="71C5CF1D" w14:textId="77777777" w:rsidR="00F76A63" w:rsidRDefault="00000000">
                  <w:pPr>
                    <w:jc w:val="center"/>
                    <w:rPr>
                      <w:bCs/>
                      <w:szCs w:val="21"/>
                    </w:rPr>
                  </w:pPr>
                  <w:r>
                    <w:rPr>
                      <w:bCs/>
                      <w:szCs w:val="21"/>
                    </w:rPr>
                    <w:t>520</w:t>
                  </w:r>
                </w:p>
              </w:tc>
            </w:tr>
            <w:tr w:rsidR="00F76A63" w14:paraId="596B0347" w14:textId="77777777">
              <w:trPr>
                <w:trHeight w:val="264"/>
                <w:jc w:val="center"/>
              </w:trPr>
              <w:tc>
                <w:tcPr>
                  <w:tcW w:w="4221" w:type="dxa"/>
                  <w:tcBorders>
                    <w:top w:val="single" w:sz="4" w:space="0" w:color="auto"/>
                    <w:left w:val="nil"/>
                    <w:bottom w:val="single" w:sz="4" w:space="0" w:color="auto"/>
                    <w:right w:val="single" w:sz="4" w:space="0" w:color="auto"/>
                  </w:tcBorders>
                  <w:vAlign w:val="center"/>
                </w:tcPr>
                <w:p w14:paraId="509D7AF2" w14:textId="77777777" w:rsidR="00F76A63" w:rsidRDefault="00000000">
                  <w:pPr>
                    <w:jc w:val="center"/>
                    <w:rPr>
                      <w:bCs/>
                      <w:szCs w:val="21"/>
                    </w:rPr>
                  </w:pPr>
                  <w:r>
                    <w:rPr>
                      <w:bCs/>
                      <w:szCs w:val="21"/>
                    </w:rPr>
                    <w:t>溶解性总固体</w:t>
                  </w:r>
                </w:p>
              </w:tc>
              <w:tc>
                <w:tcPr>
                  <w:tcW w:w="3961" w:type="dxa"/>
                  <w:tcBorders>
                    <w:top w:val="single" w:sz="4" w:space="0" w:color="auto"/>
                    <w:left w:val="nil"/>
                    <w:bottom w:val="single" w:sz="4" w:space="0" w:color="auto"/>
                    <w:right w:val="nil"/>
                  </w:tcBorders>
                  <w:vAlign w:val="center"/>
                </w:tcPr>
                <w:p w14:paraId="4482650A" w14:textId="77777777" w:rsidR="00F76A63" w:rsidRDefault="00000000">
                  <w:pPr>
                    <w:jc w:val="center"/>
                    <w:rPr>
                      <w:bCs/>
                      <w:szCs w:val="21"/>
                    </w:rPr>
                  </w:pPr>
                  <w:r>
                    <w:rPr>
                      <w:bCs/>
                      <w:szCs w:val="21"/>
                    </w:rPr>
                    <w:t>1380</w:t>
                  </w:r>
                </w:p>
              </w:tc>
            </w:tr>
            <w:tr w:rsidR="00F76A63" w14:paraId="468FE493" w14:textId="77777777">
              <w:trPr>
                <w:trHeight w:val="264"/>
                <w:jc w:val="center"/>
              </w:trPr>
              <w:tc>
                <w:tcPr>
                  <w:tcW w:w="4221" w:type="dxa"/>
                  <w:tcBorders>
                    <w:top w:val="single" w:sz="4" w:space="0" w:color="auto"/>
                    <w:left w:val="nil"/>
                    <w:bottom w:val="single" w:sz="4" w:space="0" w:color="auto"/>
                    <w:right w:val="single" w:sz="4" w:space="0" w:color="auto"/>
                  </w:tcBorders>
                  <w:vAlign w:val="center"/>
                </w:tcPr>
                <w:p w14:paraId="7969A20A" w14:textId="77777777" w:rsidR="00F76A63" w:rsidRDefault="00000000">
                  <w:pPr>
                    <w:jc w:val="center"/>
                    <w:rPr>
                      <w:bCs/>
                      <w:szCs w:val="21"/>
                    </w:rPr>
                  </w:pPr>
                  <w:r>
                    <w:rPr>
                      <w:bCs/>
                      <w:szCs w:val="21"/>
                    </w:rPr>
                    <w:t>氨氮</w:t>
                  </w:r>
                </w:p>
              </w:tc>
              <w:tc>
                <w:tcPr>
                  <w:tcW w:w="3961" w:type="dxa"/>
                  <w:tcBorders>
                    <w:top w:val="single" w:sz="4" w:space="0" w:color="auto"/>
                    <w:left w:val="nil"/>
                    <w:bottom w:val="single" w:sz="4" w:space="0" w:color="auto"/>
                    <w:right w:val="nil"/>
                  </w:tcBorders>
                  <w:vAlign w:val="center"/>
                </w:tcPr>
                <w:p w14:paraId="647A655F" w14:textId="77777777" w:rsidR="00F76A63" w:rsidRDefault="00000000">
                  <w:pPr>
                    <w:jc w:val="center"/>
                    <w:rPr>
                      <w:bCs/>
                      <w:szCs w:val="21"/>
                    </w:rPr>
                  </w:pPr>
                  <w:r>
                    <w:rPr>
                      <w:bCs/>
                      <w:szCs w:val="21"/>
                    </w:rPr>
                    <w:t>5.08</w:t>
                  </w:r>
                </w:p>
              </w:tc>
            </w:tr>
            <w:tr w:rsidR="00F76A63" w14:paraId="182A9F71" w14:textId="77777777">
              <w:trPr>
                <w:trHeight w:val="264"/>
                <w:jc w:val="center"/>
              </w:trPr>
              <w:tc>
                <w:tcPr>
                  <w:tcW w:w="4221" w:type="dxa"/>
                  <w:tcBorders>
                    <w:top w:val="single" w:sz="4" w:space="0" w:color="auto"/>
                    <w:left w:val="nil"/>
                    <w:bottom w:val="single" w:sz="4" w:space="0" w:color="auto"/>
                    <w:right w:val="single" w:sz="4" w:space="0" w:color="auto"/>
                  </w:tcBorders>
                  <w:vAlign w:val="center"/>
                </w:tcPr>
                <w:p w14:paraId="1940A6EF" w14:textId="77777777" w:rsidR="00F76A63" w:rsidRDefault="00000000">
                  <w:pPr>
                    <w:jc w:val="center"/>
                    <w:rPr>
                      <w:bCs/>
                      <w:szCs w:val="21"/>
                    </w:rPr>
                  </w:pPr>
                  <w:r>
                    <w:rPr>
                      <w:bCs/>
                      <w:szCs w:val="21"/>
                    </w:rPr>
                    <w:t>亚硝酸盐</w:t>
                  </w:r>
                </w:p>
              </w:tc>
              <w:tc>
                <w:tcPr>
                  <w:tcW w:w="3961" w:type="dxa"/>
                  <w:tcBorders>
                    <w:top w:val="single" w:sz="4" w:space="0" w:color="auto"/>
                    <w:left w:val="nil"/>
                    <w:bottom w:val="single" w:sz="4" w:space="0" w:color="auto"/>
                    <w:right w:val="nil"/>
                  </w:tcBorders>
                  <w:vAlign w:val="center"/>
                </w:tcPr>
                <w:p w14:paraId="6050D5E5" w14:textId="77777777" w:rsidR="00F76A63" w:rsidRDefault="00000000">
                  <w:pPr>
                    <w:jc w:val="center"/>
                    <w:rPr>
                      <w:bCs/>
                      <w:szCs w:val="21"/>
                    </w:rPr>
                  </w:pPr>
                  <w:r>
                    <w:rPr>
                      <w:bCs/>
                      <w:szCs w:val="21"/>
                    </w:rPr>
                    <w:t>0.005L</w:t>
                  </w:r>
                </w:p>
              </w:tc>
            </w:tr>
            <w:tr w:rsidR="00F76A63" w14:paraId="2D355C46" w14:textId="77777777">
              <w:trPr>
                <w:trHeight w:val="264"/>
                <w:jc w:val="center"/>
              </w:trPr>
              <w:tc>
                <w:tcPr>
                  <w:tcW w:w="4221" w:type="dxa"/>
                  <w:tcBorders>
                    <w:top w:val="single" w:sz="4" w:space="0" w:color="auto"/>
                    <w:left w:val="nil"/>
                    <w:bottom w:val="single" w:sz="4" w:space="0" w:color="auto"/>
                    <w:right w:val="single" w:sz="4" w:space="0" w:color="auto"/>
                  </w:tcBorders>
                  <w:vAlign w:val="center"/>
                </w:tcPr>
                <w:p w14:paraId="36335F15" w14:textId="77777777" w:rsidR="00F76A63" w:rsidRDefault="00000000">
                  <w:pPr>
                    <w:jc w:val="center"/>
                    <w:rPr>
                      <w:bCs/>
                      <w:szCs w:val="21"/>
                    </w:rPr>
                  </w:pPr>
                  <w:r>
                    <w:rPr>
                      <w:bCs/>
                      <w:szCs w:val="21"/>
                    </w:rPr>
                    <w:t>硝酸盐</w:t>
                  </w:r>
                </w:p>
              </w:tc>
              <w:tc>
                <w:tcPr>
                  <w:tcW w:w="3961" w:type="dxa"/>
                  <w:tcBorders>
                    <w:top w:val="single" w:sz="4" w:space="0" w:color="auto"/>
                    <w:left w:val="nil"/>
                    <w:bottom w:val="single" w:sz="4" w:space="0" w:color="auto"/>
                    <w:right w:val="nil"/>
                  </w:tcBorders>
                  <w:vAlign w:val="center"/>
                </w:tcPr>
                <w:p w14:paraId="6BD388D6" w14:textId="77777777" w:rsidR="00F76A63" w:rsidRDefault="00000000">
                  <w:pPr>
                    <w:jc w:val="center"/>
                    <w:rPr>
                      <w:bCs/>
                      <w:szCs w:val="21"/>
                    </w:rPr>
                  </w:pPr>
                  <w:r>
                    <w:rPr>
                      <w:bCs/>
                      <w:szCs w:val="21"/>
                    </w:rPr>
                    <w:t>0.189</w:t>
                  </w:r>
                </w:p>
              </w:tc>
            </w:tr>
            <w:tr w:rsidR="00F76A63" w14:paraId="2E2E0713" w14:textId="77777777">
              <w:trPr>
                <w:trHeight w:val="295"/>
                <w:jc w:val="center"/>
              </w:trPr>
              <w:tc>
                <w:tcPr>
                  <w:tcW w:w="4221" w:type="dxa"/>
                  <w:tcBorders>
                    <w:top w:val="single" w:sz="4" w:space="0" w:color="auto"/>
                    <w:left w:val="nil"/>
                    <w:bottom w:val="single" w:sz="4" w:space="0" w:color="auto"/>
                    <w:right w:val="single" w:sz="4" w:space="0" w:color="auto"/>
                  </w:tcBorders>
                  <w:vAlign w:val="center"/>
                </w:tcPr>
                <w:p w14:paraId="7321BDDF" w14:textId="77777777" w:rsidR="00F76A63" w:rsidRDefault="00000000">
                  <w:pPr>
                    <w:jc w:val="center"/>
                    <w:rPr>
                      <w:bCs/>
                      <w:szCs w:val="21"/>
                    </w:rPr>
                  </w:pPr>
                  <w:r>
                    <w:rPr>
                      <w:bCs/>
                      <w:szCs w:val="21"/>
                    </w:rPr>
                    <w:t>挥发酚</w:t>
                  </w:r>
                </w:p>
              </w:tc>
              <w:tc>
                <w:tcPr>
                  <w:tcW w:w="3961" w:type="dxa"/>
                  <w:tcBorders>
                    <w:top w:val="single" w:sz="4" w:space="0" w:color="auto"/>
                    <w:left w:val="nil"/>
                    <w:bottom w:val="single" w:sz="4" w:space="0" w:color="auto"/>
                    <w:right w:val="nil"/>
                  </w:tcBorders>
                  <w:vAlign w:val="center"/>
                </w:tcPr>
                <w:p w14:paraId="707E090C" w14:textId="77777777" w:rsidR="00F76A63" w:rsidRDefault="00000000">
                  <w:pPr>
                    <w:jc w:val="center"/>
                    <w:rPr>
                      <w:bCs/>
                      <w:szCs w:val="21"/>
                    </w:rPr>
                  </w:pPr>
                  <w:r>
                    <w:rPr>
                      <w:bCs/>
                      <w:szCs w:val="21"/>
                    </w:rPr>
                    <w:t>0.0003L</w:t>
                  </w:r>
                </w:p>
              </w:tc>
            </w:tr>
            <w:tr w:rsidR="00F76A63" w14:paraId="1506A0EB" w14:textId="77777777">
              <w:trPr>
                <w:trHeight w:val="295"/>
                <w:jc w:val="center"/>
              </w:trPr>
              <w:tc>
                <w:tcPr>
                  <w:tcW w:w="4221" w:type="dxa"/>
                  <w:tcBorders>
                    <w:top w:val="single" w:sz="4" w:space="0" w:color="auto"/>
                    <w:left w:val="nil"/>
                    <w:bottom w:val="single" w:sz="4" w:space="0" w:color="auto"/>
                    <w:right w:val="single" w:sz="4" w:space="0" w:color="auto"/>
                  </w:tcBorders>
                  <w:vAlign w:val="center"/>
                </w:tcPr>
                <w:p w14:paraId="36D2252A" w14:textId="77777777" w:rsidR="00F76A63" w:rsidRDefault="00000000">
                  <w:pPr>
                    <w:jc w:val="center"/>
                    <w:rPr>
                      <w:bCs/>
                      <w:szCs w:val="21"/>
                    </w:rPr>
                  </w:pPr>
                  <w:r>
                    <w:rPr>
                      <w:bCs/>
                      <w:szCs w:val="21"/>
                    </w:rPr>
                    <w:t>六价铬</w:t>
                  </w:r>
                </w:p>
              </w:tc>
              <w:tc>
                <w:tcPr>
                  <w:tcW w:w="3961" w:type="dxa"/>
                  <w:tcBorders>
                    <w:top w:val="single" w:sz="4" w:space="0" w:color="auto"/>
                    <w:left w:val="nil"/>
                    <w:bottom w:val="single" w:sz="4" w:space="0" w:color="auto"/>
                    <w:right w:val="nil"/>
                  </w:tcBorders>
                  <w:vAlign w:val="center"/>
                </w:tcPr>
                <w:p w14:paraId="36E89E1D" w14:textId="77777777" w:rsidR="00F76A63" w:rsidRDefault="00000000">
                  <w:pPr>
                    <w:jc w:val="center"/>
                    <w:rPr>
                      <w:bCs/>
                      <w:szCs w:val="21"/>
                    </w:rPr>
                  </w:pPr>
                  <w:r>
                    <w:rPr>
                      <w:bCs/>
                      <w:szCs w:val="21"/>
                    </w:rPr>
                    <w:t>0.00162</w:t>
                  </w:r>
                </w:p>
              </w:tc>
            </w:tr>
            <w:tr w:rsidR="00F76A63" w14:paraId="7574EC96" w14:textId="77777777">
              <w:trPr>
                <w:trHeight w:val="295"/>
                <w:jc w:val="center"/>
              </w:trPr>
              <w:tc>
                <w:tcPr>
                  <w:tcW w:w="4221" w:type="dxa"/>
                  <w:tcBorders>
                    <w:top w:val="single" w:sz="4" w:space="0" w:color="auto"/>
                    <w:left w:val="nil"/>
                    <w:bottom w:val="single" w:sz="4" w:space="0" w:color="auto"/>
                    <w:right w:val="single" w:sz="4" w:space="0" w:color="auto"/>
                  </w:tcBorders>
                  <w:vAlign w:val="center"/>
                </w:tcPr>
                <w:p w14:paraId="3A581DCE" w14:textId="77777777" w:rsidR="00F76A63" w:rsidRDefault="00000000">
                  <w:pPr>
                    <w:jc w:val="center"/>
                    <w:rPr>
                      <w:bCs/>
                      <w:szCs w:val="21"/>
                    </w:rPr>
                  </w:pPr>
                  <w:r>
                    <w:rPr>
                      <w:bCs/>
                      <w:szCs w:val="21"/>
                    </w:rPr>
                    <w:t>砷</w:t>
                  </w:r>
                </w:p>
              </w:tc>
              <w:tc>
                <w:tcPr>
                  <w:tcW w:w="3961" w:type="dxa"/>
                  <w:tcBorders>
                    <w:top w:val="single" w:sz="4" w:space="0" w:color="auto"/>
                    <w:left w:val="nil"/>
                    <w:bottom w:val="single" w:sz="4" w:space="0" w:color="auto"/>
                    <w:right w:val="nil"/>
                  </w:tcBorders>
                  <w:vAlign w:val="center"/>
                </w:tcPr>
                <w:p w14:paraId="617C37C8" w14:textId="77777777" w:rsidR="00F76A63" w:rsidRDefault="00000000">
                  <w:pPr>
                    <w:jc w:val="center"/>
                    <w:rPr>
                      <w:bCs/>
                      <w:szCs w:val="21"/>
                    </w:rPr>
                  </w:pPr>
                  <w:r>
                    <w:rPr>
                      <w:bCs/>
                      <w:szCs w:val="21"/>
                    </w:rPr>
                    <w:t>0.0049</w:t>
                  </w:r>
                </w:p>
              </w:tc>
            </w:tr>
            <w:tr w:rsidR="00F76A63" w14:paraId="0E665B1A" w14:textId="77777777">
              <w:trPr>
                <w:trHeight w:val="295"/>
                <w:jc w:val="center"/>
              </w:trPr>
              <w:tc>
                <w:tcPr>
                  <w:tcW w:w="4221" w:type="dxa"/>
                  <w:tcBorders>
                    <w:top w:val="single" w:sz="4" w:space="0" w:color="auto"/>
                    <w:left w:val="nil"/>
                    <w:bottom w:val="single" w:sz="4" w:space="0" w:color="auto"/>
                    <w:right w:val="single" w:sz="4" w:space="0" w:color="auto"/>
                  </w:tcBorders>
                  <w:vAlign w:val="center"/>
                </w:tcPr>
                <w:p w14:paraId="21A53D24" w14:textId="77777777" w:rsidR="00F76A63" w:rsidRDefault="00000000">
                  <w:pPr>
                    <w:jc w:val="center"/>
                    <w:rPr>
                      <w:bCs/>
                      <w:szCs w:val="21"/>
                    </w:rPr>
                  </w:pPr>
                  <w:r>
                    <w:rPr>
                      <w:bCs/>
                      <w:szCs w:val="21"/>
                    </w:rPr>
                    <w:t>铅</w:t>
                  </w:r>
                </w:p>
              </w:tc>
              <w:tc>
                <w:tcPr>
                  <w:tcW w:w="3961" w:type="dxa"/>
                  <w:tcBorders>
                    <w:top w:val="single" w:sz="4" w:space="0" w:color="auto"/>
                    <w:left w:val="nil"/>
                    <w:bottom w:val="single" w:sz="4" w:space="0" w:color="auto"/>
                    <w:right w:val="nil"/>
                  </w:tcBorders>
                  <w:vAlign w:val="center"/>
                </w:tcPr>
                <w:p w14:paraId="5B27514A" w14:textId="77777777" w:rsidR="00F76A63" w:rsidRDefault="00000000">
                  <w:pPr>
                    <w:jc w:val="center"/>
                    <w:rPr>
                      <w:bCs/>
                      <w:szCs w:val="21"/>
                    </w:rPr>
                  </w:pPr>
                  <w:r>
                    <w:rPr>
                      <w:bCs/>
                      <w:szCs w:val="21"/>
                    </w:rPr>
                    <w:t>0.00044</w:t>
                  </w:r>
                </w:p>
              </w:tc>
            </w:tr>
            <w:tr w:rsidR="00F76A63" w14:paraId="0F71A11F" w14:textId="77777777">
              <w:trPr>
                <w:trHeight w:val="295"/>
                <w:jc w:val="center"/>
              </w:trPr>
              <w:tc>
                <w:tcPr>
                  <w:tcW w:w="4221" w:type="dxa"/>
                  <w:tcBorders>
                    <w:top w:val="single" w:sz="4" w:space="0" w:color="auto"/>
                    <w:left w:val="nil"/>
                    <w:bottom w:val="single" w:sz="4" w:space="0" w:color="auto"/>
                    <w:right w:val="single" w:sz="4" w:space="0" w:color="auto"/>
                  </w:tcBorders>
                  <w:vAlign w:val="center"/>
                </w:tcPr>
                <w:p w14:paraId="07C1B869" w14:textId="77777777" w:rsidR="00F76A63" w:rsidRDefault="00000000">
                  <w:pPr>
                    <w:jc w:val="center"/>
                    <w:rPr>
                      <w:bCs/>
                      <w:szCs w:val="21"/>
                    </w:rPr>
                  </w:pPr>
                  <w:r>
                    <w:rPr>
                      <w:bCs/>
                      <w:szCs w:val="21"/>
                    </w:rPr>
                    <w:t>镉</w:t>
                  </w:r>
                </w:p>
              </w:tc>
              <w:tc>
                <w:tcPr>
                  <w:tcW w:w="3961" w:type="dxa"/>
                  <w:tcBorders>
                    <w:top w:val="single" w:sz="4" w:space="0" w:color="auto"/>
                    <w:left w:val="nil"/>
                    <w:bottom w:val="single" w:sz="4" w:space="0" w:color="auto"/>
                    <w:right w:val="nil"/>
                  </w:tcBorders>
                  <w:vAlign w:val="center"/>
                </w:tcPr>
                <w:p w14:paraId="2DCC3DF5" w14:textId="77777777" w:rsidR="00F76A63" w:rsidRDefault="00000000">
                  <w:pPr>
                    <w:jc w:val="center"/>
                    <w:rPr>
                      <w:bCs/>
                      <w:szCs w:val="21"/>
                    </w:rPr>
                  </w:pPr>
                  <w:r>
                    <w:rPr>
                      <w:bCs/>
                      <w:szCs w:val="21"/>
                    </w:rPr>
                    <w:t>0.00005L</w:t>
                  </w:r>
                </w:p>
              </w:tc>
            </w:tr>
            <w:tr w:rsidR="00F76A63" w14:paraId="093F39E9" w14:textId="77777777">
              <w:trPr>
                <w:trHeight w:val="348"/>
                <w:jc w:val="center"/>
              </w:trPr>
              <w:tc>
                <w:tcPr>
                  <w:tcW w:w="4221" w:type="dxa"/>
                  <w:tcBorders>
                    <w:top w:val="single" w:sz="4" w:space="0" w:color="auto"/>
                    <w:left w:val="nil"/>
                    <w:bottom w:val="single" w:sz="4" w:space="0" w:color="auto"/>
                    <w:right w:val="single" w:sz="4" w:space="0" w:color="auto"/>
                  </w:tcBorders>
                  <w:vAlign w:val="center"/>
                </w:tcPr>
                <w:p w14:paraId="153ECFD2" w14:textId="77777777" w:rsidR="00F76A63" w:rsidRDefault="00000000">
                  <w:pPr>
                    <w:jc w:val="center"/>
                    <w:rPr>
                      <w:bCs/>
                      <w:szCs w:val="21"/>
                    </w:rPr>
                  </w:pPr>
                  <w:r>
                    <w:rPr>
                      <w:bCs/>
                      <w:szCs w:val="21"/>
                    </w:rPr>
                    <w:t>镍</w:t>
                  </w:r>
                </w:p>
              </w:tc>
              <w:tc>
                <w:tcPr>
                  <w:tcW w:w="3961" w:type="dxa"/>
                  <w:tcBorders>
                    <w:top w:val="single" w:sz="4" w:space="0" w:color="auto"/>
                    <w:left w:val="nil"/>
                    <w:bottom w:val="single" w:sz="4" w:space="0" w:color="auto"/>
                    <w:right w:val="nil"/>
                  </w:tcBorders>
                  <w:vAlign w:val="center"/>
                </w:tcPr>
                <w:p w14:paraId="25B76F8D" w14:textId="77777777" w:rsidR="00F76A63" w:rsidRDefault="00000000">
                  <w:pPr>
                    <w:jc w:val="center"/>
                    <w:rPr>
                      <w:bCs/>
                      <w:szCs w:val="21"/>
                    </w:rPr>
                  </w:pPr>
                  <w:r>
                    <w:rPr>
                      <w:bCs/>
                      <w:szCs w:val="21"/>
                    </w:rPr>
                    <w:t>0.00087</w:t>
                  </w:r>
                </w:p>
              </w:tc>
            </w:tr>
            <w:tr w:rsidR="00F76A63" w14:paraId="1965FB5F" w14:textId="77777777">
              <w:trPr>
                <w:trHeight w:val="398"/>
                <w:jc w:val="center"/>
              </w:trPr>
              <w:tc>
                <w:tcPr>
                  <w:tcW w:w="4221" w:type="dxa"/>
                  <w:tcBorders>
                    <w:top w:val="single" w:sz="4" w:space="0" w:color="auto"/>
                    <w:left w:val="nil"/>
                    <w:bottom w:val="single" w:sz="12" w:space="0" w:color="auto"/>
                    <w:right w:val="single" w:sz="4" w:space="0" w:color="auto"/>
                  </w:tcBorders>
                  <w:vAlign w:val="center"/>
                </w:tcPr>
                <w:p w14:paraId="599D5046" w14:textId="77777777" w:rsidR="00F76A63" w:rsidRDefault="00000000">
                  <w:pPr>
                    <w:jc w:val="center"/>
                    <w:rPr>
                      <w:bCs/>
                      <w:szCs w:val="21"/>
                    </w:rPr>
                  </w:pPr>
                  <w:r>
                    <w:rPr>
                      <w:bCs/>
                      <w:szCs w:val="21"/>
                    </w:rPr>
                    <w:t>SO</w:t>
                  </w:r>
                  <w:r>
                    <w:rPr>
                      <w:bCs/>
                      <w:szCs w:val="21"/>
                      <w:vertAlign w:val="subscript"/>
                    </w:rPr>
                    <w:t>4</w:t>
                  </w:r>
                  <w:r>
                    <w:rPr>
                      <w:bCs/>
                      <w:szCs w:val="21"/>
                      <w:vertAlign w:val="superscript"/>
                    </w:rPr>
                    <w:t>2-</w:t>
                  </w:r>
                </w:p>
              </w:tc>
              <w:tc>
                <w:tcPr>
                  <w:tcW w:w="3961" w:type="dxa"/>
                  <w:tcBorders>
                    <w:top w:val="single" w:sz="4" w:space="0" w:color="auto"/>
                    <w:left w:val="nil"/>
                    <w:bottom w:val="single" w:sz="12" w:space="0" w:color="auto"/>
                    <w:right w:val="nil"/>
                  </w:tcBorders>
                  <w:vAlign w:val="center"/>
                </w:tcPr>
                <w:p w14:paraId="031D62DA" w14:textId="77777777" w:rsidR="00F76A63" w:rsidRDefault="00000000">
                  <w:pPr>
                    <w:jc w:val="center"/>
                    <w:rPr>
                      <w:bCs/>
                      <w:szCs w:val="21"/>
                    </w:rPr>
                  </w:pPr>
                  <w:r>
                    <w:rPr>
                      <w:bCs/>
                      <w:szCs w:val="21"/>
                    </w:rPr>
                    <w:t>237</w:t>
                  </w:r>
                </w:p>
              </w:tc>
            </w:tr>
          </w:tbl>
          <w:p w14:paraId="78692B80" w14:textId="77777777" w:rsidR="00F76A63" w:rsidRDefault="00000000">
            <w:pPr>
              <w:rPr>
                <w:b/>
                <w:bCs/>
                <w:sz w:val="18"/>
                <w:szCs w:val="18"/>
              </w:rPr>
            </w:pPr>
            <w:r>
              <w:rPr>
                <w:b/>
                <w:bCs/>
                <w:sz w:val="18"/>
                <w:szCs w:val="18"/>
              </w:rPr>
              <w:t>备注：结果有</w:t>
            </w:r>
            <w:r>
              <w:rPr>
                <w:b/>
                <w:bCs/>
                <w:sz w:val="18"/>
                <w:szCs w:val="18"/>
              </w:rPr>
              <w:t>"L"</w:t>
            </w:r>
            <w:r>
              <w:rPr>
                <w:b/>
                <w:bCs/>
                <w:sz w:val="18"/>
                <w:szCs w:val="18"/>
              </w:rPr>
              <w:t>表示未检出，其数值为该项目的检出限。</w:t>
            </w:r>
          </w:p>
          <w:p w14:paraId="75B6C2FC" w14:textId="77777777" w:rsidR="00F76A63" w:rsidRDefault="00000000">
            <w:pPr>
              <w:spacing w:line="500" w:lineRule="exact"/>
              <w:ind w:firstLineChars="200" w:firstLine="480"/>
              <w:rPr>
                <w:bCs/>
                <w:sz w:val="24"/>
              </w:rPr>
            </w:pPr>
            <w:r>
              <w:rPr>
                <w:bCs/>
                <w:sz w:val="24"/>
              </w:rPr>
              <w:t>监测结果表明：该地下水监测点位均满足《地下水质量标准》（</w:t>
            </w:r>
            <w:r>
              <w:rPr>
                <w:bCs/>
                <w:sz w:val="24"/>
              </w:rPr>
              <w:t>GB/T14848-2017</w:t>
            </w:r>
            <w:r>
              <w:rPr>
                <w:bCs/>
                <w:sz w:val="24"/>
              </w:rPr>
              <w:t>）中的</w:t>
            </w:r>
            <w:r>
              <w:rPr>
                <w:bCs/>
                <w:sz w:val="24"/>
              </w:rPr>
              <w:t>Ⅲ</w:t>
            </w:r>
            <w:r>
              <w:rPr>
                <w:bCs/>
                <w:sz w:val="24"/>
              </w:rPr>
              <w:t>类标准要求。</w:t>
            </w:r>
          </w:p>
        </w:tc>
      </w:tr>
      <w:tr w:rsidR="00F76A63" w14:paraId="75AEBDF8" w14:textId="77777777">
        <w:trPr>
          <w:trHeight w:val="561"/>
          <w:jc w:val="center"/>
        </w:trPr>
        <w:tc>
          <w:tcPr>
            <w:tcW w:w="427" w:type="dxa"/>
            <w:vAlign w:val="center"/>
          </w:tcPr>
          <w:p w14:paraId="1C30CCEA" w14:textId="77777777" w:rsidR="00F76A63" w:rsidRDefault="00000000">
            <w:pPr>
              <w:adjustRightInd w:val="0"/>
              <w:snapToGrid w:val="0"/>
              <w:jc w:val="center"/>
              <w:rPr>
                <w:b/>
                <w:bCs/>
                <w:kern w:val="0"/>
                <w:szCs w:val="21"/>
              </w:rPr>
            </w:pPr>
            <w:r>
              <w:rPr>
                <w:b/>
                <w:bCs/>
                <w:kern w:val="0"/>
                <w:szCs w:val="21"/>
              </w:rPr>
              <w:lastRenderedPageBreak/>
              <w:t>环境</w:t>
            </w:r>
          </w:p>
          <w:p w14:paraId="1731F312" w14:textId="77777777" w:rsidR="00F76A63" w:rsidRDefault="00000000">
            <w:pPr>
              <w:adjustRightInd w:val="0"/>
              <w:snapToGrid w:val="0"/>
              <w:jc w:val="center"/>
              <w:rPr>
                <w:b/>
                <w:bCs/>
                <w:kern w:val="0"/>
                <w:szCs w:val="21"/>
              </w:rPr>
            </w:pPr>
            <w:r>
              <w:rPr>
                <w:b/>
                <w:bCs/>
                <w:kern w:val="0"/>
                <w:szCs w:val="21"/>
              </w:rPr>
              <w:t>保护</w:t>
            </w:r>
          </w:p>
          <w:p w14:paraId="7246A6A5" w14:textId="77777777" w:rsidR="00F76A63" w:rsidRDefault="00000000">
            <w:pPr>
              <w:adjustRightInd w:val="0"/>
              <w:snapToGrid w:val="0"/>
              <w:jc w:val="center"/>
              <w:rPr>
                <w:kern w:val="0"/>
                <w:szCs w:val="21"/>
              </w:rPr>
            </w:pPr>
            <w:r>
              <w:rPr>
                <w:b/>
                <w:bCs/>
                <w:kern w:val="0"/>
                <w:szCs w:val="21"/>
              </w:rPr>
              <w:t>目标</w:t>
            </w:r>
          </w:p>
        </w:tc>
        <w:tc>
          <w:tcPr>
            <w:tcW w:w="8398" w:type="dxa"/>
            <w:vAlign w:val="center"/>
          </w:tcPr>
          <w:p w14:paraId="1B73EF1F" w14:textId="77777777" w:rsidR="00F76A63" w:rsidRDefault="00000000">
            <w:pPr>
              <w:adjustRightInd w:val="0"/>
              <w:snapToGrid w:val="0"/>
              <w:spacing w:beforeLines="50" w:before="120" w:line="360" w:lineRule="auto"/>
              <w:ind w:firstLineChars="200" w:firstLine="480"/>
              <w:rPr>
                <w:sz w:val="24"/>
                <w:szCs w:val="32"/>
              </w:rPr>
            </w:pPr>
            <w:r>
              <w:rPr>
                <w:sz w:val="24"/>
                <w:szCs w:val="32"/>
              </w:rPr>
              <w:t>经实地调查，评价区内无风景名胜、自然景观等特殊保护对象，该评价的环境保护对象主要有附近的村庄等，根据现场踏勘及拟建项目周边情况，确定本项目的环境保护目标见下表。</w:t>
            </w:r>
          </w:p>
          <w:p w14:paraId="49A93062" w14:textId="77777777" w:rsidR="00F76A63" w:rsidRDefault="00000000">
            <w:pPr>
              <w:keepNext/>
              <w:widowControl/>
              <w:adjustRightInd w:val="0"/>
              <w:snapToGrid w:val="0"/>
              <w:spacing w:line="500" w:lineRule="exact"/>
              <w:jc w:val="center"/>
              <w:outlineLvl w:val="7"/>
              <w:rPr>
                <w:b/>
                <w:sz w:val="24"/>
              </w:rPr>
            </w:pPr>
            <w:r>
              <w:rPr>
                <w:b/>
                <w:sz w:val="24"/>
              </w:rPr>
              <w:t>表</w:t>
            </w:r>
            <w:r>
              <w:rPr>
                <w:b/>
                <w:sz w:val="24"/>
              </w:rPr>
              <w:t xml:space="preserve">3-7  </w:t>
            </w:r>
            <w:r>
              <w:rPr>
                <w:b/>
                <w:sz w:val="24"/>
              </w:rPr>
              <w:t>建设项目大气环境保护目标</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10"/>
              <w:gridCol w:w="618"/>
              <w:gridCol w:w="771"/>
              <w:gridCol w:w="859"/>
              <w:gridCol w:w="1510"/>
              <w:gridCol w:w="1037"/>
              <w:gridCol w:w="656"/>
              <w:gridCol w:w="656"/>
              <w:gridCol w:w="965"/>
            </w:tblGrid>
            <w:tr w:rsidR="00F76A63" w14:paraId="7775C7A0" w14:textId="77777777">
              <w:trPr>
                <w:trHeight w:val="340"/>
                <w:jc w:val="center"/>
              </w:trPr>
              <w:tc>
                <w:tcPr>
                  <w:tcW w:w="678" w:type="pct"/>
                  <w:vMerge w:val="restart"/>
                  <w:tcBorders>
                    <w:top w:val="single" w:sz="12" w:space="0" w:color="auto"/>
                    <w:left w:val="nil"/>
                    <w:bottom w:val="single" w:sz="4" w:space="0" w:color="auto"/>
                    <w:right w:val="single" w:sz="4" w:space="0" w:color="auto"/>
                  </w:tcBorders>
                  <w:vAlign w:val="center"/>
                </w:tcPr>
                <w:p w14:paraId="7AB1FB4F" w14:textId="77777777" w:rsidR="00F76A63" w:rsidRDefault="00000000">
                  <w:pPr>
                    <w:pStyle w:val="00-YO0"/>
                  </w:pPr>
                  <w:r>
                    <w:t>名称</w:t>
                  </w:r>
                </w:p>
              </w:tc>
              <w:tc>
                <w:tcPr>
                  <w:tcW w:w="848" w:type="pct"/>
                  <w:gridSpan w:val="2"/>
                  <w:tcBorders>
                    <w:top w:val="single" w:sz="12" w:space="0" w:color="auto"/>
                    <w:left w:val="single" w:sz="4" w:space="0" w:color="auto"/>
                    <w:bottom w:val="single" w:sz="4" w:space="0" w:color="auto"/>
                    <w:right w:val="single" w:sz="4" w:space="0" w:color="auto"/>
                  </w:tcBorders>
                  <w:vAlign w:val="center"/>
                </w:tcPr>
                <w:p w14:paraId="1903127E" w14:textId="77777777" w:rsidR="00F76A63" w:rsidRDefault="00000000">
                  <w:pPr>
                    <w:pStyle w:val="00-YO0"/>
                  </w:pPr>
                  <w:r>
                    <w:t>坐标</w:t>
                  </w:r>
                  <w:r>
                    <w:t>/m</w:t>
                  </w:r>
                </w:p>
              </w:tc>
              <w:tc>
                <w:tcPr>
                  <w:tcW w:w="525" w:type="pct"/>
                  <w:vMerge w:val="restart"/>
                  <w:tcBorders>
                    <w:top w:val="single" w:sz="12" w:space="0" w:color="auto"/>
                    <w:left w:val="single" w:sz="4" w:space="0" w:color="auto"/>
                    <w:bottom w:val="single" w:sz="4" w:space="0" w:color="auto"/>
                    <w:right w:val="single" w:sz="4" w:space="0" w:color="auto"/>
                  </w:tcBorders>
                  <w:vAlign w:val="center"/>
                </w:tcPr>
                <w:p w14:paraId="25E92AF1" w14:textId="77777777" w:rsidR="00F76A63" w:rsidRDefault="00000000">
                  <w:pPr>
                    <w:pStyle w:val="00-YO0"/>
                  </w:pPr>
                  <w:r>
                    <w:t>保护对象</w:t>
                  </w:r>
                </w:p>
              </w:tc>
              <w:tc>
                <w:tcPr>
                  <w:tcW w:w="923" w:type="pct"/>
                  <w:vMerge w:val="restart"/>
                  <w:tcBorders>
                    <w:top w:val="single" w:sz="12" w:space="0" w:color="auto"/>
                    <w:left w:val="single" w:sz="4" w:space="0" w:color="auto"/>
                    <w:bottom w:val="single" w:sz="4" w:space="0" w:color="auto"/>
                    <w:right w:val="single" w:sz="4" w:space="0" w:color="auto"/>
                  </w:tcBorders>
                  <w:vAlign w:val="center"/>
                </w:tcPr>
                <w:p w14:paraId="7D2117BE" w14:textId="77777777" w:rsidR="00F76A63" w:rsidRDefault="00000000">
                  <w:pPr>
                    <w:pStyle w:val="00-YO0"/>
                  </w:pPr>
                  <w:r>
                    <w:t>保护内容</w:t>
                  </w:r>
                </w:p>
              </w:tc>
              <w:tc>
                <w:tcPr>
                  <w:tcW w:w="634" w:type="pct"/>
                  <w:vMerge w:val="restart"/>
                  <w:tcBorders>
                    <w:top w:val="single" w:sz="12" w:space="0" w:color="auto"/>
                    <w:left w:val="single" w:sz="4" w:space="0" w:color="auto"/>
                    <w:bottom w:val="single" w:sz="4" w:space="0" w:color="auto"/>
                    <w:right w:val="single" w:sz="4" w:space="0" w:color="auto"/>
                  </w:tcBorders>
                  <w:vAlign w:val="center"/>
                </w:tcPr>
                <w:p w14:paraId="7998DD10" w14:textId="77777777" w:rsidR="00F76A63" w:rsidRDefault="00000000">
                  <w:pPr>
                    <w:pStyle w:val="00-YO0"/>
                  </w:pPr>
                  <w:r>
                    <w:t>规模</w:t>
                  </w:r>
                  <w:r>
                    <w:lastRenderedPageBreak/>
                    <w:t>（人）</w:t>
                  </w:r>
                </w:p>
              </w:tc>
              <w:tc>
                <w:tcPr>
                  <w:tcW w:w="401" w:type="pct"/>
                  <w:vMerge w:val="restart"/>
                  <w:tcBorders>
                    <w:top w:val="single" w:sz="12" w:space="0" w:color="auto"/>
                    <w:left w:val="single" w:sz="4" w:space="0" w:color="auto"/>
                    <w:bottom w:val="single" w:sz="4" w:space="0" w:color="auto"/>
                    <w:right w:val="single" w:sz="4" w:space="0" w:color="auto"/>
                  </w:tcBorders>
                  <w:vAlign w:val="center"/>
                </w:tcPr>
                <w:p w14:paraId="7865B78E" w14:textId="77777777" w:rsidR="00F76A63" w:rsidRDefault="00000000">
                  <w:pPr>
                    <w:pStyle w:val="00-YO0"/>
                  </w:pPr>
                  <w:r>
                    <w:lastRenderedPageBreak/>
                    <w:t>环境功</w:t>
                  </w:r>
                  <w:r>
                    <w:lastRenderedPageBreak/>
                    <w:t>能区</w:t>
                  </w:r>
                </w:p>
              </w:tc>
              <w:tc>
                <w:tcPr>
                  <w:tcW w:w="401" w:type="pct"/>
                  <w:vMerge w:val="restart"/>
                  <w:tcBorders>
                    <w:top w:val="single" w:sz="12" w:space="0" w:color="auto"/>
                    <w:left w:val="single" w:sz="4" w:space="0" w:color="auto"/>
                    <w:bottom w:val="single" w:sz="4" w:space="0" w:color="auto"/>
                    <w:right w:val="single" w:sz="4" w:space="0" w:color="auto"/>
                  </w:tcBorders>
                  <w:vAlign w:val="center"/>
                </w:tcPr>
                <w:p w14:paraId="713FAF74" w14:textId="77777777" w:rsidR="00F76A63" w:rsidRDefault="00000000">
                  <w:pPr>
                    <w:pStyle w:val="00-YO0"/>
                  </w:pPr>
                  <w:r>
                    <w:lastRenderedPageBreak/>
                    <w:t>相对厂</w:t>
                  </w:r>
                  <w:r>
                    <w:lastRenderedPageBreak/>
                    <w:t>址方位</w:t>
                  </w:r>
                </w:p>
              </w:tc>
              <w:tc>
                <w:tcPr>
                  <w:tcW w:w="590" w:type="pct"/>
                  <w:vMerge w:val="restart"/>
                  <w:tcBorders>
                    <w:top w:val="single" w:sz="12" w:space="0" w:color="auto"/>
                    <w:left w:val="single" w:sz="4" w:space="0" w:color="auto"/>
                    <w:bottom w:val="single" w:sz="4" w:space="0" w:color="auto"/>
                    <w:right w:val="nil"/>
                  </w:tcBorders>
                  <w:vAlign w:val="center"/>
                </w:tcPr>
                <w:p w14:paraId="333AF27F" w14:textId="77777777" w:rsidR="00F76A63" w:rsidRDefault="00000000">
                  <w:pPr>
                    <w:pStyle w:val="00-YO0"/>
                  </w:pPr>
                  <w:r>
                    <w:lastRenderedPageBreak/>
                    <w:t>距厂界最</w:t>
                  </w:r>
                  <w:r>
                    <w:lastRenderedPageBreak/>
                    <w:t>近距离（</w:t>
                  </w:r>
                  <w:r>
                    <w:t>m</w:t>
                  </w:r>
                  <w:r>
                    <w:t>）</w:t>
                  </w:r>
                </w:p>
              </w:tc>
            </w:tr>
            <w:tr w:rsidR="00F76A63" w14:paraId="6F109C4F" w14:textId="77777777">
              <w:trPr>
                <w:trHeight w:val="340"/>
                <w:jc w:val="center"/>
              </w:trPr>
              <w:tc>
                <w:tcPr>
                  <w:tcW w:w="1095" w:type="dxa"/>
                  <w:vMerge/>
                  <w:tcBorders>
                    <w:top w:val="single" w:sz="12" w:space="0" w:color="auto"/>
                    <w:left w:val="nil"/>
                    <w:bottom w:val="single" w:sz="4" w:space="0" w:color="auto"/>
                    <w:right w:val="single" w:sz="4" w:space="0" w:color="auto"/>
                  </w:tcBorders>
                  <w:vAlign w:val="center"/>
                </w:tcPr>
                <w:p w14:paraId="7C784EFD" w14:textId="77777777" w:rsidR="00F76A63" w:rsidRDefault="00F76A63">
                  <w:pPr>
                    <w:widowControl/>
                    <w:jc w:val="center"/>
                    <w:rPr>
                      <w:b/>
                      <w:bCs/>
                      <w:kern w:val="28"/>
                      <w:szCs w:val="21"/>
                    </w:rPr>
                  </w:pPr>
                </w:p>
              </w:tc>
              <w:tc>
                <w:tcPr>
                  <w:tcW w:w="377" w:type="pct"/>
                  <w:tcBorders>
                    <w:top w:val="single" w:sz="4" w:space="0" w:color="auto"/>
                    <w:left w:val="single" w:sz="4" w:space="0" w:color="auto"/>
                    <w:bottom w:val="single" w:sz="4" w:space="0" w:color="auto"/>
                    <w:right w:val="single" w:sz="4" w:space="0" w:color="auto"/>
                  </w:tcBorders>
                  <w:vAlign w:val="center"/>
                </w:tcPr>
                <w:p w14:paraId="2E7B4881" w14:textId="77777777" w:rsidR="00F76A63" w:rsidRDefault="00000000">
                  <w:pPr>
                    <w:pStyle w:val="00-YO0"/>
                  </w:pPr>
                  <w:r>
                    <w:t>X</w:t>
                  </w:r>
                </w:p>
              </w:tc>
              <w:tc>
                <w:tcPr>
                  <w:tcW w:w="471" w:type="pct"/>
                  <w:tcBorders>
                    <w:top w:val="single" w:sz="4" w:space="0" w:color="auto"/>
                    <w:left w:val="single" w:sz="4" w:space="0" w:color="auto"/>
                    <w:bottom w:val="single" w:sz="4" w:space="0" w:color="auto"/>
                    <w:right w:val="single" w:sz="4" w:space="0" w:color="auto"/>
                  </w:tcBorders>
                  <w:vAlign w:val="center"/>
                </w:tcPr>
                <w:p w14:paraId="4A995BCC" w14:textId="77777777" w:rsidR="00F76A63" w:rsidRDefault="00000000">
                  <w:pPr>
                    <w:pStyle w:val="00-YO0"/>
                  </w:pPr>
                  <w:r>
                    <w:t>Y</w:t>
                  </w:r>
                </w:p>
              </w:tc>
              <w:tc>
                <w:tcPr>
                  <w:tcW w:w="845" w:type="dxa"/>
                  <w:vMerge/>
                  <w:tcBorders>
                    <w:top w:val="single" w:sz="12" w:space="0" w:color="auto"/>
                    <w:left w:val="single" w:sz="4" w:space="0" w:color="auto"/>
                    <w:bottom w:val="single" w:sz="4" w:space="0" w:color="auto"/>
                    <w:right w:val="single" w:sz="4" w:space="0" w:color="auto"/>
                  </w:tcBorders>
                  <w:vAlign w:val="center"/>
                </w:tcPr>
                <w:p w14:paraId="78638044" w14:textId="77777777" w:rsidR="00F76A63" w:rsidRDefault="00F76A63">
                  <w:pPr>
                    <w:widowControl/>
                    <w:jc w:val="center"/>
                    <w:rPr>
                      <w:b/>
                      <w:bCs/>
                      <w:kern w:val="28"/>
                      <w:szCs w:val="21"/>
                    </w:rPr>
                  </w:pPr>
                </w:p>
              </w:tc>
              <w:tc>
                <w:tcPr>
                  <w:tcW w:w="1632" w:type="dxa"/>
                  <w:vMerge/>
                  <w:tcBorders>
                    <w:top w:val="single" w:sz="12" w:space="0" w:color="auto"/>
                    <w:left w:val="single" w:sz="4" w:space="0" w:color="auto"/>
                    <w:bottom w:val="single" w:sz="4" w:space="0" w:color="auto"/>
                    <w:right w:val="single" w:sz="4" w:space="0" w:color="auto"/>
                  </w:tcBorders>
                  <w:vAlign w:val="center"/>
                </w:tcPr>
                <w:p w14:paraId="1C3CA4C5" w14:textId="77777777" w:rsidR="00F76A63" w:rsidRDefault="00F76A63">
                  <w:pPr>
                    <w:widowControl/>
                    <w:jc w:val="center"/>
                    <w:rPr>
                      <w:b/>
                      <w:bCs/>
                      <w:kern w:val="28"/>
                      <w:szCs w:val="21"/>
                    </w:rPr>
                  </w:pPr>
                </w:p>
              </w:tc>
              <w:tc>
                <w:tcPr>
                  <w:tcW w:w="1024" w:type="dxa"/>
                  <w:vMerge/>
                  <w:tcBorders>
                    <w:top w:val="single" w:sz="12" w:space="0" w:color="auto"/>
                    <w:left w:val="single" w:sz="4" w:space="0" w:color="auto"/>
                    <w:bottom w:val="single" w:sz="4" w:space="0" w:color="auto"/>
                    <w:right w:val="single" w:sz="4" w:space="0" w:color="auto"/>
                  </w:tcBorders>
                  <w:vAlign w:val="center"/>
                </w:tcPr>
                <w:p w14:paraId="5D89DAFA" w14:textId="77777777" w:rsidR="00F76A63" w:rsidRDefault="00F76A63">
                  <w:pPr>
                    <w:widowControl/>
                    <w:jc w:val="center"/>
                    <w:rPr>
                      <w:b/>
                      <w:bCs/>
                      <w:kern w:val="28"/>
                      <w:szCs w:val="21"/>
                    </w:rPr>
                  </w:pPr>
                </w:p>
              </w:tc>
              <w:tc>
                <w:tcPr>
                  <w:tcW w:w="642" w:type="dxa"/>
                  <w:vMerge/>
                  <w:tcBorders>
                    <w:top w:val="single" w:sz="12" w:space="0" w:color="auto"/>
                    <w:left w:val="single" w:sz="4" w:space="0" w:color="auto"/>
                    <w:bottom w:val="single" w:sz="4" w:space="0" w:color="auto"/>
                    <w:right w:val="single" w:sz="4" w:space="0" w:color="auto"/>
                  </w:tcBorders>
                  <w:vAlign w:val="center"/>
                </w:tcPr>
                <w:p w14:paraId="0CA2989E" w14:textId="77777777" w:rsidR="00F76A63" w:rsidRDefault="00F76A63">
                  <w:pPr>
                    <w:widowControl/>
                    <w:jc w:val="center"/>
                    <w:rPr>
                      <w:b/>
                      <w:bCs/>
                      <w:kern w:val="28"/>
                      <w:szCs w:val="21"/>
                    </w:rPr>
                  </w:pPr>
                </w:p>
              </w:tc>
              <w:tc>
                <w:tcPr>
                  <w:tcW w:w="642" w:type="dxa"/>
                  <w:vMerge/>
                  <w:tcBorders>
                    <w:top w:val="single" w:sz="12" w:space="0" w:color="auto"/>
                    <w:left w:val="single" w:sz="4" w:space="0" w:color="auto"/>
                    <w:bottom w:val="single" w:sz="4" w:space="0" w:color="auto"/>
                    <w:right w:val="single" w:sz="4" w:space="0" w:color="auto"/>
                  </w:tcBorders>
                  <w:vAlign w:val="center"/>
                </w:tcPr>
                <w:p w14:paraId="54C5992C" w14:textId="77777777" w:rsidR="00F76A63" w:rsidRDefault="00F76A63">
                  <w:pPr>
                    <w:widowControl/>
                    <w:jc w:val="center"/>
                    <w:rPr>
                      <w:b/>
                      <w:bCs/>
                      <w:kern w:val="28"/>
                      <w:szCs w:val="21"/>
                    </w:rPr>
                  </w:pPr>
                </w:p>
              </w:tc>
              <w:tc>
                <w:tcPr>
                  <w:tcW w:w="952" w:type="dxa"/>
                  <w:vMerge/>
                  <w:tcBorders>
                    <w:top w:val="single" w:sz="12" w:space="0" w:color="auto"/>
                    <w:left w:val="single" w:sz="4" w:space="0" w:color="auto"/>
                    <w:bottom w:val="single" w:sz="4" w:space="0" w:color="auto"/>
                    <w:right w:val="nil"/>
                  </w:tcBorders>
                  <w:vAlign w:val="center"/>
                </w:tcPr>
                <w:p w14:paraId="3B921A88" w14:textId="77777777" w:rsidR="00F76A63" w:rsidRDefault="00F76A63">
                  <w:pPr>
                    <w:widowControl/>
                    <w:jc w:val="center"/>
                    <w:rPr>
                      <w:b/>
                      <w:bCs/>
                      <w:kern w:val="28"/>
                      <w:szCs w:val="21"/>
                    </w:rPr>
                  </w:pPr>
                </w:p>
              </w:tc>
            </w:tr>
            <w:tr w:rsidR="00F76A63" w14:paraId="5025005E"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6B4978C9" w14:textId="77777777" w:rsidR="00F76A63" w:rsidRDefault="00000000">
                  <w:pPr>
                    <w:pStyle w:val="00-YO1"/>
                    <w:rPr>
                      <w:rFonts w:ascii="Times New Roman" w:hAnsi="Times New Roman" w:cs="Times New Roman"/>
                    </w:rPr>
                  </w:pPr>
                  <w:r>
                    <w:rPr>
                      <w:rFonts w:ascii="Times New Roman" w:hAnsi="Times New Roman" w:cs="Times New Roman"/>
                    </w:rPr>
                    <w:t>王圩</w:t>
                  </w:r>
                </w:p>
              </w:tc>
              <w:tc>
                <w:tcPr>
                  <w:tcW w:w="377" w:type="pct"/>
                  <w:tcBorders>
                    <w:top w:val="single" w:sz="4" w:space="0" w:color="auto"/>
                    <w:left w:val="single" w:sz="4" w:space="0" w:color="auto"/>
                    <w:bottom w:val="single" w:sz="4" w:space="0" w:color="auto"/>
                    <w:right w:val="single" w:sz="4" w:space="0" w:color="auto"/>
                  </w:tcBorders>
                  <w:vAlign w:val="center"/>
                </w:tcPr>
                <w:p w14:paraId="7CAB9B0C" w14:textId="77777777" w:rsidR="00F76A63" w:rsidRDefault="00000000">
                  <w:pPr>
                    <w:pStyle w:val="00-YO1"/>
                    <w:rPr>
                      <w:rFonts w:ascii="Times New Roman" w:hAnsi="Times New Roman" w:cs="Times New Roman"/>
                    </w:rPr>
                  </w:pPr>
                  <w:r>
                    <w:rPr>
                      <w:rFonts w:ascii="Times New Roman" w:hAnsi="Times New Roman" w:cs="Times New Roman"/>
                    </w:rPr>
                    <w:t>-691</w:t>
                  </w:r>
                </w:p>
              </w:tc>
              <w:tc>
                <w:tcPr>
                  <w:tcW w:w="471" w:type="pct"/>
                  <w:tcBorders>
                    <w:top w:val="single" w:sz="4" w:space="0" w:color="auto"/>
                    <w:left w:val="single" w:sz="4" w:space="0" w:color="auto"/>
                    <w:bottom w:val="single" w:sz="4" w:space="0" w:color="auto"/>
                    <w:right w:val="single" w:sz="4" w:space="0" w:color="auto"/>
                  </w:tcBorders>
                  <w:vAlign w:val="center"/>
                </w:tcPr>
                <w:p w14:paraId="5E680814" w14:textId="77777777" w:rsidR="00F76A63" w:rsidRDefault="00000000">
                  <w:pPr>
                    <w:pStyle w:val="00-YO1"/>
                    <w:rPr>
                      <w:rFonts w:ascii="Times New Roman" w:hAnsi="Times New Roman" w:cs="Times New Roman"/>
                    </w:rPr>
                  </w:pPr>
                  <w:r>
                    <w:rPr>
                      <w:rFonts w:ascii="Times New Roman" w:hAnsi="Times New Roman" w:cs="Times New Roman"/>
                    </w:rPr>
                    <w:t>-790</w:t>
                  </w:r>
                </w:p>
              </w:tc>
              <w:tc>
                <w:tcPr>
                  <w:tcW w:w="525" w:type="pct"/>
                  <w:vMerge w:val="restart"/>
                  <w:tcBorders>
                    <w:top w:val="single" w:sz="4" w:space="0" w:color="auto"/>
                    <w:left w:val="single" w:sz="4" w:space="0" w:color="auto"/>
                    <w:bottom w:val="single" w:sz="4" w:space="0" w:color="auto"/>
                    <w:right w:val="single" w:sz="4" w:space="0" w:color="auto"/>
                  </w:tcBorders>
                  <w:vAlign w:val="center"/>
                </w:tcPr>
                <w:p w14:paraId="580AD6AF" w14:textId="77777777" w:rsidR="00F76A63" w:rsidRDefault="00000000">
                  <w:pPr>
                    <w:pStyle w:val="00-YO1"/>
                    <w:rPr>
                      <w:rFonts w:ascii="Times New Roman" w:hAnsi="Times New Roman" w:cs="Times New Roman"/>
                    </w:rPr>
                  </w:pPr>
                  <w:r>
                    <w:rPr>
                      <w:rFonts w:ascii="Times New Roman" w:hAnsi="Times New Roman" w:cs="Times New Roman"/>
                    </w:rPr>
                    <w:t>居民</w:t>
                  </w:r>
                </w:p>
              </w:tc>
              <w:tc>
                <w:tcPr>
                  <w:tcW w:w="923" w:type="pct"/>
                  <w:vMerge w:val="restart"/>
                  <w:tcBorders>
                    <w:top w:val="single" w:sz="4" w:space="0" w:color="auto"/>
                    <w:left w:val="single" w:sz="4" w:space="0" w:color="auto"/>
                    <w:bottom w:val="single" w:sz="4" w:space="0" w:color="auto"/>
                    <w:right w:val="single" w:sz="4" w:space="0" w:color="auto"/>
                  </w:tcBorders>
                  <w:vAlign w:val="center"/>
                </w:tcPr>
                <w:p w14:paraId="32DAD53C" w14:textId="77777777" w:rsidR="00F76A63" w:rsidRDefault="00000000">
                  <w:pPr>
                    <w:pStyle w:val="00-YO1"/>
                    <w:rPr>
                      <w:rFonts w:ascii="Times New Roman" w:hAnsi="Times New Roman" w:cs="Times New Roman"/>
                    </w:rPr>
                  </w:pPr>
                  <w:r>
                    <w:rPr>
                      <w:rFonts w:ascii="Times New Roman" w:hAnsi="Times New Roman" w:cs="Times New Roman"/>
                    </w:rPr>
                    <w:t>《环境空气质量标准》（</w:t>
                  </w:r>
                  <w:r>
                    <w:rPr>
                      <w:rFonts w:ascii="Times New Roman" w:hAnsi="Times New Roman" w:cs="Times New Roman"/>
                    </w:rPr>
                    <w:t>GB3095-20</w:t>
                  </w:r>
                  <w:r>
                    <w:rPr>
                      <w:rFonts w:ascii="Times New Roman" w:hAnsi="Times New Roman" w:cs="Times New Roman" w:hint="eastAsia"/>
                    </w:rPr>
                    <w:t>26</w:t>
                  </w:r>
                  <w:r>
                    <w:rPr>
                      <w:rFonts w:ascii="Times New Roman" w:hAnsi="Times New Roman" w:cs="Times New Roman"/>
                    </w:rPr>
                    <w:t>）</w:t>
                  </w:r>
                  <w:r>
                    <w:rPr>
                      <w:rFonts w:ascii="Times New Roman" w:hAnsi="Times New Roman" w:cs="Times New Roman" w:hint="eastAsia"/>
                    </w:rPr>
                    <w:t>过渡阶段浓度限值中</w:t>
                  </w:r>
                  <w:r>
                    <w:rPr>
                      <w:rFonts w:ascii="Times New Roman" w:hAnsi="Times New Roman" w:cs="Times New Roman"/>
                    </w:rPr>
                    <w:t>二级标准</w:t>
                  </w:r>
                </w:p>
              </w:tc>
              <w:tc>
                <w:tcPr>
                  <w:tcW w:w="634" w:type="pct"/>
                  <w:tcBorders>
                    <w:top w:val="single" w:sz="4" w:space="0" w:color="auto"/>
                    <w:left w:val="single" w:sz="4" w:space="0" w:color="auto"/>
                    <w:bottom w:val="single" w:sz="4" w:space="0" w:color="auto"/>
                    <w:right w:val="single" w:sz="4" w:space="0" w:color="auto"/>
                  </w:tcBorders>
                  <w:vAlign w:val="center"/>
                </w:tcPr>
                <w:p w14:paraId="10333A96" w14:textId="77777777" w:rsidR="00F76A63" w:rsidRDefault="00000000">
                  <w:pPr>
                    <w:pStyle w:val="00-YO1"/>
                    <w:rPr>
                      <w:rFonts w:ascii="Times New Roman" w:hAnsi="Times New Roman" w:cs="Times New Roman"/>
                    </w:rPr>
                  </w:pPr>
                  <w:r>
                    <w:rPr>
                      <w:rFonts w:ascii="Times New Roman" w:hAnsi="Times New Roman" w:cs="Times New Roman"/>
                    </w:rPr>
                    <w:t>190</w:t>
                  </w:r>
                </w:p>
              </w:tc>
              <w:tc>
                <w:tcPr>
                  <w:tcW w:w="401" w:type="pct"/>
                  <w:vMerge w:val="restart"/>
                  <w:tcBorders>
                    <w:top w:val="single" w:sz="4" w:space="0" w:color="auto"/>
                    <w:left w:val="single" w:sz="4" w:space="0" w:color="auto"/>
                    <w:bottom w:val="single" w:sz="4" w:space="0" w:color="auto"/>
                    <w:right w:val="single" w:sz="4" w:space="0" w:color="auto"/>
                  </w:tcBorders>
                  <w:vAlign w:val="center"/>
                </w:tcPr>
                <w:p w14:paraId="185B5387" w14:textId="77777777" w:rsidR="00F76A63" w:rsidRDefault="00000000">
                  <w:pPr>
                    <w:pStyle w:val="00-YO1"/>
                    <w:rPr>
                      <w:rFonts w:ascii="Times New Roman" w:hAnsi="Times New Roman" w:cs="Times New Roman"/>
                    </w:rPr>
                  </w:pPr>
                  <w:r>
                    <w:rPr>
                      <w:rFonts w:ascii="Times New Roman" w:hAnsi="Times New Roman" w:cs="Times New Roman"/>
                    </w:rPr>
                    <w:t>二类区</w:t>
                  </w:r>
                </w:p>
              </w:tc>
              <w:tc>
                <w:tcPr>
                  <w:tcW w:w="401" w:type="pct"/>
                  <w:tcBorders>
                    <w:top w:val="single" w:sz="4" w:space="0" w:color="auto"/>
                    <w:left w:val="single" w:sz="4" w:space="0" w:color="auto"/>
                    <w:bottom w:val="single" w:sz="4" w:space="0" w:color="auto"/>
                    <w:right w:val="single" w:sz="4" w:space="0" w:color="auto"/>
                  </w:tcBorders>
                  <w:vAlign w:val="center"/>
                </w:tcPr>
                <w:p w14:paraId="02A01D04" w14:textId="77777777" w:rsidR="00F76A63" w:rsidRDefault="00000000">
                  <w:pPr>
                    <w:pStyle w:val="00-YO1"/>
                    <w:rPr>
                      <w:rFonts w:ascii="Times New Roman" w:hAnsi="Times New Roman" w:cs="Times New Roman"/>
                    </w:rPr>
                  </w:pPr>
                  <w:r>
                    <w:rPr>
                      <w:rFonts w:ascii="Times New Roman" w:hAnsi="Times New Roman" w:cs="Times New Roman"/>
                    </w:rPr>
                    <w:t>SW</w:t>
                  </w:r>
                </w:p>
              </w:tc>
              <w:tc>
                <w:tcPr>
                  <w:tcW w:w="590" w:type="pct"/>
                  <w:tcBorders>
                    <w:top w:val="single" w:sz="4" w:space="0" w:color="auto"/>
                    <w:left w:val="single" w:sz="4" w:space="0" w:color="auto"/>
                    <w:bottom w:val="single" w:sz="4" w:space="0" w:color="auto"/>
                    <w:right w:val="nil"/>
                  </w:tcBorders>
                  <w:vAlign w:val="center"/>
                </w:tcPr>
                <w:p w14:paraId="5385D40E" w14:textId="77777777" w:rsidR="00F76A63" w:rsidRDefault="00000000">
                  <w:pPr>
                    <w:pStyle w:val="00-YO1"/>
                    <w:rPr>
                      <w:rFonts w:ascii="Times New Roman" w:hAnsi="Times New Roman" w:cs="Times New Roman"/>
                    </w:rPr>
                  </w:pPr>
                  <w:r>
                    <w:rPr>
                      <w:rFonts w:ascii="Times New Roman" w:hAnsi="Times New Roman" w:cs="Times New Roman"/>
                    </w:rPr>
                    <w:t>475</w:t>
                  </w:r>
                </w:p>
              </w:tc>
            </w:tr>
            <w:tr w:rsidR="00F76A63" w14:paraId="25C38DC5"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368BFA7A" w14:textId="77777777" w:rsidR="00F76A63" w:rsidRDefault="00000000">
                  <w:pPr>
                    <w:pStyle w:val="00-YO1"/>
                    <w:rPr>
                      <w:rFonts w:ascii="Times New Roman" w:hAnsi="Times New Roman" w:cs="Times New Roman"/>
                    </w:rPr>
                  </w:pPr>
                  <w:r>
                    <w:rPr>
                      <w:rFonts w:ascii="Times New Roman" w:hAnsi="Times New Roman" w:cs="Times New Roman"/>
                    </w:rPr>
                    <w:t>下蜀镇临港工业区住宿区</w:t>
                  </w:r>
                </w:p>
              </w:tc>
              <w:tc>
                <w:tcPr>
                  <w:tcW w:w="377" w:type="pct"/>
                  <w:tcBorders>
                    <w:top w:val="single" w:sz="4" w:space="0" w:color="auto"/>
                    <w:left w:val="single" w:sz="4" w:space="0" w:color="auto"/>
                    <w:bottom w:val="single" w:sz="4" w:space="0" w:color="auto"/>
                    <w:right w:val="single" w:sz="4" w:space="0" w:color="auto"/>
                  </w:tcBorders>
                  <w:vAlign w:val="center"/>
                </w:tcPr>
                <w:p w14:paraId="3314FC7A" w14:textId="77777777" w:rsidR="00F76A63" w:rsidRDefault="00000000">
                  <w:pPr>
                    <w:pStyle w:val="00-YO1"/>
                    <w:rPr>
                      <w:rFonts w:ascii="Times New Roman" w:hAnsi="Times New Roman" w:cs="Times New Roman"/>
                    </w:rPr>
                  </w:pPr>
                  <w:r>
                    <w:rPr>
                      <w:rFonts w:ascii="Times New Roman" w:hAnsi="Times New Roman" w:cs="Times New Roman"/>
                    </w:rPr>
                    <w:t>-820</w:t>
                  </w:r>
                </w:p>
              </w:tc>
              <w:tc>
                <w:tcPr>
                  <w:tcW w:w="471" w:type="pct"/>
                  <w:tcBorders>
                    <w:top w:val="single" w:sz="4" w:space="0" w:color="auto"/>
                    <w:left w:val="single" w:sz="4" w:space="0" w:color="auto"/>
                    <w:bottom w:val="single" w:sz="4" w:space="0" w:color="auto"/>
                    <w:right w:val="single" w:sz="4" w:space="0" w:color="auto"/>
                  </w:tcBorders>
                  <w:vAlign w:val="center"/>
                </w:tcPr>
                <w:p w14:paraId="4726AC36" w14:textId="77777777" w:rsidR="00F76A63" w:rsidRDefault="00000000">
                  <w:pPr>
                    <w:pStyle w:val="00-YO1"/>
                    <w:rPr>
                      <w:rFonts w:ascii="Times New Roman" w:hAnsi="Times New Roman" w:cs="Times New Roman"/>
                    </w:rPr>
                  </w:pPr>
                  <w:r>
                    <w:rPr>
                      <w:rFonts w:ascii="Times New Roman" w:hAnsi="Times New Roman" w:cs="Times New Roman"/>
                    </w:rPr>
                    <w:t>-804</w:t>
                  </w:r>
                </w:p>
              </w:tc>
              <w:tc>
                <w:tcPr>
                  <w:tcW w:w="845" w:type="dxa"/>
                  <w:vMerge/>
                  <w:tcBorders>
                    <w:top w:val="single" w:sz="4" w:space="0" w:color="auto"/>
                    <w:left w:val="single" w:sz="4" w:space="0" w:color="auto"/>
                    <w:bottom w:val="single" w:sz="4" w:space="0" w:color="auto"/>
                    <w:right w:val="single" w:sz="4" w:space="0" w:color="auto"/>
                  </w:tcBorders>
                  <w:vAlign w:val="center"/>
                </w:tcPr>
                <w:p w14:paraId="31A96FEE"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4C37CEE8"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14098522" w14:textId="77777777" w:rsidR="00F76A63" w:rsidRDefault="00000000">
                  <w:pPr>
                    <w:pStyle w:val="00-YO1"/>
                    <w:rPr>
                      <w:rFonts w:ascii="Times New Roman" w:hAnsi="Times New Roman" w:cs="Times New Roman"/>
                    </w:rPr>
                  </w:pPr>
                  <w:r>
                    <w:rPr>
                      <w:rFonts w:ascii="Times New Roman" w:hAnsi="Times New Roman" w:cs="Times New Roman"/>
                    </w:rPr>
                    <w:t>500</w:t>
                  </w:r>
                </w:p>
              </w:tc>
              <w:tc>
                <w:tcPr>
                  <w:tcW w:w="642" w:type="dxa"/>
                  <w:vMerge/>
                  <w:tcBorders>
                    <w:top w:val="single" w:sz="4" w:space="0" w:color="auto"/>
                    <w:left w:val="single" w:sz="4" w:space="0" w:color="auto"/>
                    <w:bottom w:val="single" w:sz="4" w:space="0" w:color="auto"/>
                    <w:right w:val="single" w:sz="4" w:space="0" w:color="auto"/>
                  </w:tcBorders>
                  <w:vAlign w:val="center"/>
                </w:tcPr>
                <w:p w14:paraId="4C451D93"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128C8166" w14:textId="77777777" w:rsidR="00F76A63" w:rsidRDefault="00000000">
                  <w:pPr>
                    <w:pStyle w:val="00-YO1"/>
                    <w:rPr>
                      <w:rFonts w:ascii="Times New Roman" w:hAnsi="Times New Roman" w:cs="Times New Roman"/>
                    </w:rPr>
                  </w:pPr>
                  <w:r>
                    <w:rPr>
                      <w:rFonts w:ascii="Times New Roman" w:hAnsi="Times New Roman" w:cs="Times New Roman"/>
                    </w:rPr>
                    <w:t>SW</w:t>
                  </w:r>
                </w:p>
              </w:tc>
              <w:tc>
                <w:tcPr>
                  <w:tcW w:w="590" w:type="pct"/>
                  <w:tcBorders>
                    <w:top w:val="single" w:sz="4" w:space="0" w:color="auto"/>
                    <w:left w:val="single" w:sz="4" w:space="0" w:color="auto"/>
                    <w:bottom w:val="single" w:sz="4" w:space="0" w:color="auto"/>
                    <w:right w:val="nil"/>
                  </w:tcBorders>
                  <w:vAlign w:val="center"/>
                </w:tcPr>
                <w:p w14:paraId="334CD63C" w14:textId="77777777" w:rsidR="00F76A63" w:rsidRDefault="00000000">
                  <w:pPr>
                    <w:pStyle w:val="00-YO1"/>
                    <w:rPr>
                      <w:rFonts w:ascii="Times New Roman" w:hAnsi="Times New Roman" w:cs="Times New Roman"/>
                    </w:rPr>
                  </w:pPr>
                  <w:r>
                    <w:rPr>
                      <w:rFonts w:ascii="Times New Roman" w:hAnsi="Times New Roman" w:cs="Times New Roman"/>
                    </w:rPr>
                    <w:t>896</w:t>
                  </w:r>
                </w:p>
              </w:tc>
            </w:tr>
            <w:tr w:rsidR="00F76A63" w14:paraId="0E18E51D"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5A228D77" w14:textId="77777777" w:rsidR="00F76A63" w:rsidRDefault="00000000">
                  <w:pPr>
                    <w:pStyle w:val="00-YO1"/>
                    <w:rPr>
                      <w:rFonts w:ascii="Times New Roman" w:hAnsi="Times New Roman" w:cs="Times New Roman"/>
                    </w:rPr>
                  </w:pPr>
                  <w:r>
                    <w:rPr>
                      <w:rFonts w:ascii="Times New Roman" w:hAnsi="Times New Roman" w:cs="Times New Roman"/>
                    </w:rPr>
                    <w:t>大吕庄</w:t>
                  </w:r>
                </w:p>
              </w:tc>
              <w:tc>
                <w:tcPr>
                  <w:tcW w:w="377" w:type="pct"/>
                  <w:tcBorders>
                    <w:top w:val="single" w:sz="4" w:space="0" w:color="auto"/>
                    <w:left w:val="single" w:sz="4" w:space="0" w:color="auto"/>
                    <w:bottom w:val="single" w:sz="4" w:space="0" w:color="auto"/>
                    <w:right w:val="single" w:sz="4" w:space="0" w:color="auto"/>
                  </w:tcBorders>
                  <w:vAlign w:val="center"/>
                </w:tcPr>
                <w:p w14:paraId="7A99F255" w14:textId="77777777" w:rsidR="00F76A63" w:rsidRDefault="00000000">
                  <w:pPr>
                    <w:pStyle w:val="00-YO1"/>
                    <w:rPr>
                      <w:rFonts w:ascii="Times New Roman" w:hAnsi="Times New Roman" w:cs="Times New Roman"/>
                    </w:rPr>
                  </w:pPr>
                  <w:r>
                    <w:rPr>
                      <w:rFonts w:ascii="Times New Roman" w:hAnsi="Times New Roman" w:cs="Times New Roman"/>
                    </w:rPr>
                    <w:t>-886</w:t>
                  </w:r>
                </w:p>
              </w:tc>
              <w:tc>
                <w:tcPr>
                  <w:tcW w:w="471" w:type="pct"/>
                  <w:tcBorders>
                    <w:top w:val="single" w:sz="4" w:space="0" w:color="auto"/>
                    <w:left w:val="single" w:sz="4" w:space="0" w:color="auto"/>
                    <w:bottom w:val="single" w:sz="4" w:space="0" w:color="auto"/>
                    <w:right w:val="single" w:sz="4" w:space="0" w:color="auto"/>
                  </w:tcBorders>
                  <w:vAlign w:val="center"/>
                </w:tcPr>
                <w:p w14:paraId="7EF29A7D" w14:textId="77777777" w:rsidR="00F76A63" w:rsidRDefault="00000000">
                  <w:pPr>
                    <w:pStyle w:val="00-YO1"/>
                    <w:rPr>
                      <w:rFonts w:ascii="Times New Roman" w:hAnsi="Times New Roman" w:cs="Times New Roman"/>
                    </w:rPr>
                  </w:pPr>
                  <w:r>
                    <w:rPr>
                      <w:rFonts w:ascii="Times New Roman" w:hAnsi="Times New Roman" w:cs="Times New Roman"/>
                    </w:rPr>
                    <w:t>-1564</w:t>
                  </w:r>
                </w:p>
              </w:tc>
              <w:tc>
                <w:tcPr>
                  <w:tcW w:w="845" w:type="dxa"/>
                  <w:vMerge/>
                  <w:tcBorders>
                    <w:top w:val="single" w:sz="4" w:space="0" w:color="auto"/>
                    <w:left w:val="single" w:sz="4" w:space="0" w:color="auto"/>
                    <w:bottom w:val="single" w:sz="4" w:space="0" w:color="auto"/>
                    <w:right w:val="single" w:sz="4" w:space="0" w:color="auto"/>
                  </w:tcBorders>
                  <w:vAlign w:val="center"/>
                </w:tcPr>
                <w:p w14:paraId="3C1DB81A"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5B2C9FAD"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59F68EB5" w14:textId="77777777" w:rsidR="00F76A63" w:rsidRDefault="00000000">
                  <w:pPr>
                    <w:pStyle w:val="00-YO1"/>
                    <w:rPr>
                      <w:rFonts w:ascii="Times New Roman" w:hAnsi="Times New Roman" w:cs="Times New Roman"/>
                    </w:rPr>
                  </w:pPr>
                  <w:r>
                    <w:rPr>
                      <w:rFonts w:ascii="Times New Roman" w:hAnsi="Times New Roman" w:cs="Times New Roman"/>
                    </w:rPr>
                    <w:t>220</w:t>
                  </w:r>
                </w:p>
              </w:tc>
              <w:tc>
                <w:tcPr>
                  <w:tcW w:w="642" w:type="dxa"/>
                  <w:vMerge/>
                  <w:tcBorders>
                    <w:top w:val="single" w:sz="4" w:space="0" w:color="auto"/>
                    <w:left w:val="single" w:sz="4" w:space="0" w:color="auto"/>
                    <w:bottom w:val="single" w:sz="4" w:space="0" w:color="auto"/>
                    <w:right w:val="single" w:sz="4" w:space="0" w:color="auto"/>
                  </w:tcBorders>
                  <w:vAlign w:val="center"/>
                </w:tcPr>
                <w:p w14:paraId="62CD8DF1"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02CB4EBD" w14:textId="77777777" w:rsidR="00F76A63" w:rsidRDefault="00000000">
                  <w:pPr>
                    <w:pStyle w:val="00-YO1"/>
                    <w:rPr>
                      <w:rFonts w:ascii="Times New Roman" w:hAnsi="Times New Roman" w:cs="Times New Roman"/>
                    </w:rPr>
                  </w:pPr>
                  <w:r>
                    <w:rPr>
                      <w:rFonts w:ascii="Times New Roman" w:hAnsi="Times New Roman" w:cs="Times New Roman"/>
                    </w:rPr>
                    <w:t>SW</w:t>
                  </w:r>
                </w:p>
              </w:tc>
              <w:tc>
                <w:tcPr>
                  <w:tcW w:w="590" w:type="pct"/>
                  <w:tcBorders>
                    <w:top w:val="single" w:sz="4" w:space="0" w:color="auto"/>
                    <w:left w:val="single" w:sz="4" w:space="0" w:color="auto"/>
                    <w:bottom w:val="single" w:sz="4" w:space="0" w:color="auto"/>
                    <w:right w:val="nil"/>
                  </w:tcBorders>
                  <w:vAlign w:val="center"/>
                </w:tcPr>
                <w:p w14:paraId="4C98699F" w14:textId="77777777" w:rsidR="00F76A63" w:rsidRDefault="00000000">
                  <w:pPr>
                    <w:pStyle w:val="00-YO1"/>
                    <w:rPr>
                      <w:rFonts w:ascii="Times New Roman" w:hAnsi="Times New Roman" w:cs="Times New Roman"/>
                    </w:rPr>
                  </w:pPr>
                  <w:r>
                    <w:rPr>
                      <w:rFonts w:ascii="Times New Roman" w:hAnsi="Times New Roman" w:cs="Times New Roman"/>
                    </w:rPr>
                    <w:t>1248</w:t>
                  </w:r>
                </w:p>
              </w:tc>
            </w:tr>
            <w:tr w:rsidR="00F76A63" w14:paraId="62A10748"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6C1A46AD" w14:textId="77777777" w:rsidR="00F76A63" w:rsidRDefault="00000000">
                  <w:pPr>
                    <w:pStyle w:val="00-YO1"/>
                    <w:rPr>
                      <w:rFonts w:ascii="Times New Roman" w:hAnsi="Times New Roman" w:cs="Times New Roman"/>
                    </w:rPr>
                  </w:pPr>
                  <w:r>
                    <w:rPr>
                      <w:rFonts w:ascii="Times New Roman" w:hAnsi="Times New Roman" w:cs="Times New Roman"/>
                    </w:rPr>
                    <w:t>陈岗</w:t>
                  </w:r>
                </w:p>
              </w:tc>
              <w:tc>
                <w:tcPr>
                  <w:tcW w:w="377" w:type="pct"/>
                  <w:tcBorders>
                    <w:top w:val="single" w:sz="4" w:space="0" w:color="auto"/>
                    <w:left w:val="single" w:sz="4" w:space="0" w:color="auto"/>
                    <w:bottom w:val="single" w:sz="4" w:space="0" w:color="auto"/>
                    <w:right w:val="single" w:sz="4" w:space="0" w:color="auto"/>
                  </w:tcBorders>
                  <w:vAlign w:val="center"/>
                </w:tcPr>
                <w:p w14:paraId="47163D14" w14:textId="77777777" w:rsidR="00F76A63" w:rsidRDefault="00000000">
                  <w:pPr>
                    <w:pStyle w:val="00-YO1"/>
                    <w:rPr>
                      <w:rFonts w:ascii="Times New Roman" w:hAnsi="Times New Roman" w:cs="Times New Roman"/>
                    </w:rPr>
                  </w:pPr>
                  <w:r>
                    <w:rPr>
                      <w:rFonts w:ascii="Times New Roman" w:hAnsi="Times New Roman" w:cs="Times New Roman"/>
                    </w:rPr>
                    <w:t>-438</w:t>
                  </w:r>
                </w:p>
              </w:tc>
              <w:tc>
                <w:tcPr>
                  <w:tcW w:w="471" w:type="pct"/>
                  <w:tcBorders>
                    <w:top w:val="single" w:sz="4" w:space="0" w:color="auto"/>
                    <w:left w:val="single" w:sz="4" w:space="0" w:color="auto"/>
                    <w:bottom w:val="single" w:sz="4" w:space="0" w:color="auto"/>
                    <w:right w:val="single" w:sz="4" w:space="0" w:color="auto"/>
                  </w:tcBorders>
                  <w:vAlign w:val="center"/>
                </w:tcPr>
                <w:p w14:paraId="3B320733" w14:textId="77777777" w:rsidR="00F76A63" w:rsidRDefault="00000000">
                  <w:pPr>
                    <w:pStyle w:val="00-YO1"/>
                    <w:rPr>
                      <w:rFonts w:ascii="Times New Roman" w:hAnsi="Times New Roman" w:cs="Times New Roman"/>
                    </w:rPr>
                  </w:pPr>
                  <w:r>
                    <w:rPr>
                      <w:rFonts w:ascii="Times New Roman" w:hAnsi="Times New Roman" w:cs="Times New Roman"/>
                    </w:rPr>
                    <w:t>-2499</w:t>
                  </w:r>
                </w:p>
              </w:tc>
              <w:tc>
                <w:tcPr>
                  <w:tcW w:w="845" w:type="dxa"/>
                  <w:vMerge/>
                  <w:tcBorders>
                    <w:top w:val="single" w:sz="4" w:space="0" w:color="auto"/>
                    <w:left w:val="single" w:sz="4" w:space="0" w:color="auto"/>
                    <w:bottom w:val="single" w:sz="4" w:space="0" w:color="auto"/>
                    <w:right w:val="single" w:sz="4" w:space="0" w:color="auto"/>
                  </w:tcBorders>
                  <w:vAlign w:val="center"/>
                </w:tcPr>
                <w:p w14:paraId="094B0EB1"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1F7F43A4"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7052ABEA" w14:textId="77777777" w:rsidR="00F76A63" w:rsidRDefault="00000000">
                  <w:pPr>
                    <w:pStyle w:val="00-YO1"/>
                    <w:rPr>
                      <w:rFonts w:ascii="Times New Roman" w:hAnsi="Times New Roman" w:cs="Times New Roman"/>
                    </w:rPr>
                  </w:pPr>
                  <w:r>
                    <w:rPr>
                      <w:rFonts w:ascii="Times New Roman" w:hAnsi="Times New Roman" w:cs="Times New Roman"/>
                    </w:rPr>
                    <w:t>131</w:t>
                  </w:r>
                </w:p>
              </w:tc>
              <w:tc>
                <w:tcPr>
                  <w:tcW w:w="642" w:type="dxa"/>
                  <w:vMerge/>
                  <w:tcBorders>
                    <w:top w:val="single" w:sz="4" w:space="0" w:color="auto"/>
                    <w:left w:val="single" w:sz="4" w:space="0" w:color="auto"/>
                    <w:bottom w:val="single" w:sz="4" w:space="0" w:color="auto"/>
                    <w:right w:val="single" w:sz="4" w:space="0" w:color="auto"/>
                  </w:tcBorders>
                  <w:vAlign w:val="center"/>
                </w:tcPr>
                <w:p w14:paraId="2E9A18D5"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68B781B6" w14:textId="77777777" w:rsidR="00F76A63" w:rsidRDefault="00000000">
                  <w:pPr>
                    <w:pStyle w:val="00-YO1"/>
                    <w:rPr>
                      <w:rFonts w:ascii="Times New Roman" w:hAnsi="Times New Roman" w:cs="Times New Roman"/>
                    </w:rPr>
                  </w:pPr>
                  <w:r>
                    <w:rPr>
                      <w:rFonts w:ascii="Times New Roman" w:hAnsi="Times New Roman" w:cs="Times New Roman"/>
                    </w:rPr>
                    <w:t>S</w:t>
                  </w:r>
                </w:p>
              </w:tc>
              <w:tc>
                <w:tcPr>
                  <w:tcW w:w="590" w:type="pct"/>
                  <w:tcBorders>
                    <w:top w:val="single" w:sz="4" w:space="0" w:color="auto"/>
                    <w:left w:val="single" w:sz="4" w:space="0" w:color="auto"/>
                    <w:bottom w:val="single" w:sz="4" w:space="0" w:color="auto"/>
                    <w:right w:val="nil"/>
                  </w:tcBorders>
                  <w:vAlign w:val="center"/>
                </w:tcPr>
                <w:p w14:paraId="62F81741" w14:textId="77777777" w:rsidR="00F76A63" w:rsidRDefault="00000000">
                  <w:pPr>
                    <w:pStyle w:val="00-YO1"/>
                    <w:rPr>
                      <w:rFonts w:ascii="Times New Roman" w:hAnsi="Times New Roman" w:cs="Times New Roman"/>
                    </w:rPr>
                  </w:pPr>
                  <w:r>
                    <w:rPr>
                      <w:rFonts w:ascii="Times New Roman" w:hAnsi="Times New Roman" w:cs="Times New Roman"/>
                    </w:rPr>
                    <w:t>2052</w:t>
                  </w:r>
                </w:p>
              </w:tc>
            </w:tr>
            <w:tr w:rsidR="00F76A63" w14:paraId="5093EAA6"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56A139DC" w14:textId="77777777" w:rsidR="00F76A63" w:rsidRDefault="00000000">
                  <w:pPr>
                    <w:pStyle w:val="00-YO1"/>
                    <w:rPr>
                      <w:rFonts w:ascii="Times New Roman" w:hAnsi="Times New Roman" w:cs="Times New Roman"/>
                    </w:rPr>
                  </w:pPr>
                  <w:r>
                    <w:rPr>
                      <w:rFonts w:ascii="Times New Roman" w:hAnsi="Times New Roman" w:cs="Times New Roman"/>
                    </w:rPr>
                    <w:t>坝北</w:t>
                  </w:r>
                </w:p>
              </w:tc>
              <w:tc>
                <w:tcPr>
                  <w:tcW w:w="377" w:type="pct"/>
                  <w:tcBorders>
                    <w:top w:val="single" w:sz="4" w:space="0" w:color="auto"/>
                    <w:left w:val="single" w:sz="4" w:space="0" w:color="auto"/>
                    <w:bottom w:val="single" w:sz="4" w:space="0" w:color="auto"/>
                    <w:right w:val="single" w:sz="4" w:space="0" w:color="auto"/>
                  </w:tcBorders>
                  <w:vAlign w:val="center"/>
                </w:tcPr>
                <w:p w14:paraId="02358B8F" w14:textId="77777777" w:rsidR="00F76A63" w:rsidRDefault="00000000">
                  <w:pPr>
                    <w:pStyle w:val="00-YO1"/>
                    <w:rPr>
                      <w:rFonts w:ascii="Times New Roman" w:hAnsi="Times New Roman" w:cs="Times New Roman"/>
                    </w:rPr>
                  </w:pPr>
                  <w:r>
                    <w:rPr>
                      <w:rFonts w:ascii="Times New Roman" w:hAnsi="Times New Roman" w:cs="Times New Roman"/>
                    </w:rPr>
                    <w:t>-44</w:t>
                  </w:r>
                </w:p>
              </w:tc>
              <w:tc>
                <w:tcPr>
                  <w:tcW w:w="471" w:type="pct"/>
                  <w:tcBorders>
                    <w:top w:val="single" w:sz="4" w:space="0" w:color="auto"/>
                    <w:left w:val="single" w:sz="4" w:space="0" w:color="auto"/>
                    <w:bottom w:val="single" w:sz="4" w:space="0" w:color="auto"/>
                    <w:right w:val="single" w:sz="4" w:space="0" w:color="auto"/>
                  </w:tcBorders>
                  <w:vAlign w:val="center"/>
                </w:tcPr>
                <w:p w14:paraId="5B37B03C" w14:textId="77777777" w:rsidR="00F76A63" w:rsidRDefault="00000000">
                  <w:pPr>
                    <w:pStyle w:val="00-YO1"/>
                    <w:rPr>
                      <w:rFonts w:ascii="Times New Roman" w:hAnsi="Times New Roman" w:cs="Times New Roman"/>
                    </w:rPr>
                  </w:pPr>
                  <w:r>
                    <w:rPr>
                      <w:rFonts w:ascii="Times New Roman" w:hAnsi="Times New Roman" w:cs="Times New Roman"/>
                    </w:rPr>
                    <w:t>-2265</w:t>
                  </w:r>
                </w:p>
              </w:tc>
              <w:tc>
                <w:tcPr>
                  <w:tcW w:w="845" w:type="dxa"/>
                  <w:vMerge/>
                  <w:tcBorders>
                    <w:top w:val="single" w:sz="4" w:space="0" w:color="auto"/>
                    <w:left w:val="single" w:sz="4" w:space="0" w:color="auto"/>
                    <w:bottom w:val="single" w:sz="4" w:space="0" w:color="auto"/>
                    <w:right w:val="single" w:sz="4" w:space="0" w:color="auto"/>
                  </w:tcBorders>
                  <w:vAlign w:val="center"/>
                </w:tcPr>
                <w:p w14:paraId="0270CBFD"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3C4E5964"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24C818D0" w14:textId="77777777" w:rsidR="00F76A63" w:rsidRDefault="00000000">
                  <w:pPr>
                    <w:pStyle w:val="00-YO1"/>
                    <w:rPr>
                      <w:rFonts w:ascii="Times New Roman" w:hAnsi="Times New Roman" w:cs="Times New Roman"/>
                    </w:rPr>
                  </w:pPr>
                  <w:r>
                    <w:rPr>
                      <w:rFonts w:ascii="Times New Roman" w:hAnsi="Times New Roman" w:cs="Times New Roman"/>
                    </w:rPr>
                    <w:t>121</w:t>
                  </w:r>
                </w:p>
              </w:tc>
              <w:tc>
                <w:tcPr>
                  <w:tcW w:w="642" w:type="dxa"/>
                  <w:vMerge/>
                  <w:tcBorders>
                    <w:top w:val="single" w:sz="4" w:space="0" w:color="auto"/>
                    <w:left w:val="single" w:sz="4" w:space="0" w:color="auto"/>
                    <w:bottom w:val="single" w:sz="4" w:space="0" w:color="auto"/>
                    <w:right w:val="single" w:sz="4" w:space="0" w:color="auto"/>
                  </w:tcBorders>
                  <w:vAlign w:val="center"/>
                </w:tcPr>
                <w:p w14:paraId="2B6CB8FB"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050151B9" w14:textId="77777777" w:rsidR="00F76A63" w:rsidRDefault="00000000">
                  <w:pPr>
                    <w:pStyle w:val="00-YO1"/>
                    <w:rPr>
                      <w:rFonts w:ascii="Times New Roman" w:hAnsi="Times New Roman" w:cs="Times New Roman"/>
                    </w:rPr>
                  </w:pPr>
                  <w:r>
                    <w:rPr>
                      <w:rFonts w:ascii="Times New Roman" w:hAnsi="Times New Roman" w:cs="Times New Roman"/>
                    </w:rPr>
                    <w:t>S</w:t>
                  </w:r>
                </w:p>
              </w:tc>
              <w:tc>
                <w:tcPr>
                  <w:tcW w:w="590" w:type="pct"/>
                  <w:tcBorders>
                    <w:top w:val="single" w:sz="4" w:space="0" w:color="auto"/>
                    <w:left w:val="single" w:sz="4" w:space="0" w:color="auto"/>
                    <w:bottom w:val="single" w:sz="4" w:space="0" w:color="auto"/>
                    <w:right w:val="nil"/>
                  </w:tcBorders>
                  <w:vAlign w:val="center"/>
                </w:tcPr>
                <w:p w14:paraId="1EA8E633" w14:textId="77777777" w:rsidR="00F76A63" w:rsidRDefault="00000000">
                  <w:pPr>
                    <w:pStyle w:val="00-YO1"/>
                    <w:rPr>
                      <w:rFonts w:ascii="Times New Roman" w:hAnsi="Times New Roman" w:cs="Times New Roman"/>
                    </w:rPr>
                  </w:pPr>
                  <w:r>
                    <w:rPr>
                      <w:rFonts w:ascii="Times New Roman" w:hAnsi="Times New Roman" w:cs="Times New Roman"/>
                    </w:rPr>
                    <w:t>1761</w:t>
                  </w:r>
                </w:p>
              </w:tc>
            </w:tr>
            <w:tr w:rsidR="00F76A63" w14:paraId="12AA0280"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559DBE04" w14:textId="77777777" w:rsidR="00F76A63" w:rsidRDefault="00000000">
                  <w:pPr>
                    <w:pStyle w:val="00-YO1"/>
                    <w:rPr>
                      <w:rFonts w:ascii="Times New Roman" w:hAnsi="Times New Roman" w:cs="Times New Roman"/>
                    </w:rPr>
                  </w:pPr>
                  <w:r>
                    <w:rPr>
                      <w:rFonts w:ascii="Times New Roman" w:hAnsi="Times New Roman" w:cs="Times New Roman"/>
                    </w:rPr>
                    <w:t>沙地</w:t>
                  </w:r>
                </w:p>
              </w:tc>
              <w:tc>
                <w:tcPr>
                  <w:tcW w:w="377" w:type="pct"/>
                  <w:tcBorders>
                    <w:top w:val="single" w:sz="4" w:space="0" w:color="auto"/>
                    <w:left w:val="single" w:sz="4" w:space="0" w:color="auto"/>
                    <w:bottom w:val="single" w:sz="4" w:space="0" w:color="auto"/>
                    <w:right w:val="single" w:sz="4" w:space="0" w:color="auto"/>
                  </w:tcBorders>
                  <w:vAlign w:val="center"/>
                </w:tcPr>
                <w:p w14:paraId="1F8F85E2" w14:textId="77777777" w:rsidR="00F76A63" w:rsidRDefault="00000000">
                  <w:pPr>
                    <w:pStyle w:val="00-YO1"/>
                    <w:rPr>
                      <w:rFonts w:ascii="Times New Roman" w:hAnsi="Times New Roman" w:cs="Times New Roman"/>
                    </w:rPr>
                  </w:pPr>
                  <w:r>
                    <w:rPr>
                      <w:rFonts w:ascii="Times New Roman" w:hAnsi="Times New Roman" w:cs="Times New Roman"/>
                    </w:rPr>
                    <w:t>153</w:t>
                  </w:r>
                </w:p>
              </w:tc>
              <w:tc>
                <w:tcPr>
                  <w:tcW w:w="471" w:type="pct"/>
                  <w:tcBorders>
                    <w:top w:val="single" w:sz="4" w:space="0" w:color="auto"/>
                    <w:left w:val="single" w:sz="4" w:space="0" w:color="auto"/>
                    <w:bottom w:val="single" w:sz="4" w:space="0" w:color="auto"/>
                    <w:right w:val="single" w:sz="4" w:space="0" w:color="auto"/>
                  </w:tcBorders>
                  <w:vAlign w:val="center"/>
                </w:tcPr>
                <w:p w14:paraId="600FEE31" w14:textId="77777777" w:rsidR="00F76A63" w:rsidRDefault="00000000">
                  <w:pPr>
                    <w:pStyle w:val="00-YO1"/>
                    <w:rPr>
                      <w:rFonts w:ascii="Times New Roman" w:hAnsi="Times New Roman" w:cs="Times New Roman"/>
                    </w:rPr>
                  </w:pPr>
                  <w:r>
                    <w:rPr>
                      <w:rFonts w:ascii="Times New Roman" w:hAnsi="Times New Roman" w:cs="Times New Roman"/>
                    </w:rPr>
                    <w:t>-2420</w:t>
                  </w:r>
                </w:p>
              </w:tc>
              <w:tc>
                <w:tcPr>
                  <w:tcW w:w="845" w:type="dxa"/>
                  <w:vMerge/>
                  <w:tcBorders>
                    <w:top w:val="single" w:sz="4" w:space="0" w:color="auto"/>
                    <w:left w:val="single" w:sz="4" w:space="0" w:color="auto"/>
                    <w:bottom w:val="single" w:sz="4" w:space="0" w:color="auto"/>
                    <w:right w:val="single" w:sz="4" w:space="0" w:color="auto"/>
                  </w:tcBorders>
                  <w:vAlign w:val="center"/>
                </w:tcPr>
                <w:p w14:paraId="5E31A564"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31A2D422"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4EB0D7EB" w14:textId="77777777" w:rsidR="00F76A63" w:rsidRDefault="00000000">
                  <w:pPr>
                    <w:pStyle w:val="00-YO1"/>
                    <w:rPr>
                      <w:rFonts w:ascii="Times New Roman" w:hAnsi="Times New Roman" w:cs="Times New Roman"/>
                    </w:rPr>
                  </w:pPr>
                  <w:r>
                    <w:rPr>
                      <w:rFonts w:ascii="Times New Roman" w:hAnsi="Times New Roman" w:cs="Times New Roman"/>
                    </w:rPr>
                    <w:t>252</w:t>
                  </w:r>
                </w:p>
              </w:tc>
              <w:tc>
                <w:tcPr>
                  <w:tcW w:w="642" w:type="dxa"/>
                  <w:vMerge/>
                  <w:tcBorders>
                    <w:top w:val="single" w:sz="4" w:space="0" w:color="auto"/>
                    <w:left w:val="single" w:sz="4" w:space="0" w:color="auto"/>
                    <w:bottom w:val="single" w:sz="4" w:space="0" w:color="auto"/>
                    <w:right w:val="single" w:sz="4" w:space="0" w:color="auto"/>
                  </w:tcBorders>
                  <w:vAlign w:val="center"/>
                </w:tcPr>
                <w:p w14:paraId="71583BB8"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60F7EA84" w14:textId="77777777" w:rsidR="00F76A63" w:rsidRDefault="00000000">
                  <w:pPr>
                    <w:pStyle w:val="00-YO1"/>
                    <w:rPr>
                      <w:rFonts w:ascii="Times New Roman" w:hAnsi="Times New Roman" w:cs="Times New Roman"/>
                    </w:rPr>
                  </w:pPr>
                  <w:r>
                    <w:rPr>
                      <w:rFonts w:ascii="Times New Roman" w:hAnsi="Times New Roman" w:cs="Times New Roman"/>
                    </w:rPr>
                    <w:t>S</w:t>
                  </w:r>
                </w:p>
              </w:tc>
              <w:tc>
                <w:tcPr>
                  <w:tcW w:w="590" w:type="pct"/>
                  <w:tcBorders>
                    <w:top w:val="single" w:sz="4" w:space="0" w:color="auto"/>
                    <w:left w:val="single" w:sz="4" w:space="0" w:color="auto"/>
                    <w:bottom w:val="single" w:sz="4" w:space="0" w:color="auto"/>
                    <w:right w:val="nil"/>
                  </w:tcBorders>
                  <w:vAlign w:val="center"/>
                </w:tcPr>
                <w:p w14:paraId="21ECC0B7" w14:textId="77777777" w:rsidR="00F76A63" w:rsidRDefault="00000000">
                  <w:pPr>
                    <w:pStyle w:val="00-YO1"/>
                    <w:rPr>
                      <w:rFonts w:ascii="Times New Roman" w:hAnsi="Times New Roman" w:cs="Times New Roman"/>
                    </w:rPr>
                  </w:pPr>
                  <w:r>
                    <w:rPr>
                      <w:rFonts w:ascii="Times New Roman" w:hAnsi="Times New Roman" w:cs="Times New Roman"/>
                    </w:rPr>
                    <w:t>1910</w:t>
                  </w:r>
                </w:p>
              </w:tc>
            </w:tr>
            <w:tr w:rsidR="00F76A63" w14:paraId="77D4FD27"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1F2EB00F" w14:textId="77777777" w:rsidR="00F76A63" w:rsidRDefault="00000000">
                  <w:pPr>
                    <w:pStyle w:val="00-YO1"/>
                    <w:rPr>
                      <w:rFonts w:ascii="Times New Roman" w:hAnsi="Times New Roman" w:cs="Times New Roman"/>
                    </w:rPr>
                  </w:pPr>
                  <w:r>
                    <w:rPr>
                      <w:rFonts w:ascii="Times New Roman" w:hAnsi="Times New Roman" w:cs="Times New Roman"/>
                    </w:rPr>
                    <w:t>张家圩</w:t>
                  </w:r>
                </w:p>
              </w:tc>
              <w:tc>
                <w:tcPr>
                  <w:tcW w:w="377" w:type="pct"/>
                  <w:tcBorders>
                    <w:top w:val="single" w:sz="4" w:space="0" w:color="auto"/>
                    <w:left w:val="single" w:sz="4" w:space="0" w:color="auto"/>
                    <w:bottom w:val="single" w:sz="4" w:space="0" w:color="auto"/>
                    <w:right w:val="single" w:sz="4" w:space="0" w:color="auto"/>
                  </w:tcBorders>
                  <w:vAlign w:val="center"/>
                </w:tcPr>
                <w:p w14:paraId="5D24F4D5" w14:textId="77777777" w:rsidR="00F76A63" w:rsidRDefault="00000000">
                  <w:pPr>
                    <w:pStyle w:val="00-YO1"/>
                    <w:rPr>
                      <w:rFonts w:ascii="Times New Roman" w:hAnsi="Times New Roman" w:cs="Times New Roman"/>
                    </w:rPr>
                  </w:pPr>
                  <w:r>
                    <w:rPr>
                      <w:rFonts w:ascii="Times New Roman" w:hAnsi="Times New Roman" w:cs="Times New Roman"/>
                    </w:rPr>
                    <w:t>-15</w:t>
                  </w:r>
                </w:p>
              </w:tc>
              <w:tc>
                <w:tcPr>
                  <w:tcW w:w="471" w:type="pct"/>
                  <w:tcBorders>
                    <w:top w:val="single" w:sz="4" w:space="0" w:color="auto"/>
                    <w:left w:val="single" w:sz="4" w:space="0" w:color="auto"/>
                    <w:bottom w:val="single" w:sz="4" w:space="0" w:color="auto"/>
                    <w:right w:val="single" w:sz="4" w:space="0" w:color="auto"/>
                  </w:tcBorders>
                  <w:vAlign w:val="center"/>
                </w:tcPr>
                <w:p w14:paraId="6DD170DC" w14:textId="77777777" w:rsidR="00F76A63" w:rsidRDefault="00000000">
                  <w:pPr>
                    <w:pStyle w:val="00-YO1"/>
                    <w:rPr>
                      <w:rFonts w:ascii="Times New Roman" w:hAnsi="Times New Roman" w:cs="Times New Roman"/>
                    </w:rPr>
                  </w:pPr>
                  <w:r>
                    <w:rPr>
                      <w:rFonts w:ascii="Times New Roman" w:hAnsi="Times New Roman" w:cs="Times New Roman"/>
                    </w:rPr>
                    <w:t>-2763</w:t>
                  </w:r>
                </w:p>
              </w:tc>
              <w:tc>
                <w:tcPr>
                  <w:tcW w:w="845" w:type="dxa"/>
                  <w:vMerge/>
                  <w:tcBorders>
                    <w:top w:val="single" w:sz="4" w:space="0" w:color="auto"/>
                    <w:left w:val="single" w:sz="4" w:space="0" w:color="auto"/>
                    <w:bottom w:val="single" w:sz="4" w:space="0" w:color="auto"/>
                    <w:right w:val="single" w:sz="4" w:space="0" w:color="auto"/>
                  </w:tcBorders>
                  <w:vAlign w:val="center"/>
                </w:tcPr>
                <w:p w14:paraId="16E38DD4"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32C4B2B1"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3F07FE60" w14:textId="77777777" w:rsidR="00F76A63" w:rsidRDefault="00000000">
                  <w:pPr>
                    <w:pStyle w:val="00-YO1"/>
                    <w:rPr>
                      <w:rFonts w:ascii="Times New Roman" w:hAnsi="Times New Roman" w:cs="Times New Roman"/>
                    </w:rPr>
                  </w:pPr>
                  <w:r>
                    <w:rPr>
                      <w:rFonts w:ascii="Times New Roman" w:hAnsi="Times New Roman" w:cs="Times New Roman"/>
                    </w:rPr>
                    <w:t>178</w:t>
                  </w:r>
                </w:p>
              </w:tc>
              <w:tc>
                <w:tcPr>
                  <w:tcW w:w="642" w:type="dxa"/>
                  <w:vMerge/>
                  <w:tcBorders>
                    <w:top w:val="single" w:sz="4" w:space="0" w:color="auto"/>
                    <w:left w:val="single" w:sz="4" w:space="0" w:color="auto"/>
                    <w:bottom w:val="single" w:sz="4" w:space="0" w:color="auto"/>
                    <w:right w:val="single" w:sz="4" w:space="0" w:color="auto"/>
                  </w:tcBorders>
                  <w:vAlign w:val="center"/>
                </w:tcPr>
                <w:p w14:paraId="30B68D0E"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664E264E" w14:textId="77777777" w:rsidR="00F76A63" w:rsidRDefault="00000000">
                  <w:pPr>
                    <w:pStyle w:val="00-YO1"/>
                    <w:rPr>
                      <w:rFonts w:ascii="Times New Roman" w:hAnsi="Times New Roman" w:cs="Times New Roman"/>
                    </w:rPr>
                  </w:pPr>
                  <w:r>
                    <w:rPr>
                      <w:rFonts w:ascii="Times New Roman" w:hAnsi="Times New Roman" w:cs="Times New Roman"/>
                    </w:rPr>
                    <w:t>S</w:t>
                  </w:r>
                </w:p>
              </w:tc>
              <w:tc>
                <w:tcPr>
                  <w:tcW w:w="590" w:type="pct"/>
                  <w:tcBorders>
                    <w:top w:val="single" w:sz="4" w:space="0" w:color="auto"/>
                    <w:left w:val="single" w:sz="4" w:space="0" w:color="auto"/>
                    <w:bottom w:val="single" w:sz="4" w:space="0" w:color="auto"/>
                    <w:right w:val="nil"/>
                  </w:tcBorders>
                  <w:vAlign w:val="center"/>
                </w:tcPr>
                <w:p w14:paraId="5F205E78" w14:textId="77777777" w:rsidR="00F76A63" w:rsidRDefault="00000000">
                  <w:pPr>
                    <w:pStyle w:val="00-YO1"/>
                    <w:rPr>
                      <w:rFonts w:ascii="Times New Roman" w:hAnsi="Times New Roman" w:cs="Times New Roman"/>
                    </w:rPr>
                  </w:pPr>
                  <w:r>
                    <w:rPr>
                      <w:rFonts w:ascii="Times New Roman" w:hAnsi="Times New Roman" w:cs="Times New Roman"/>
                    </w:rPr>
                    <w:t>2293</w:t>
                  </w:r>
                </w:p>
              </w:tc>
            </w:tr>
            <w:tr w:rsidR="00F76A63" w14:paraId="6E8D8D2C"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4100C006" w14:textId="77777777" w:rsidR="00F76A63" w:rsidRDefault="00000000">
                  <w:pPr>
                    <w:pStyle w:val="00-YO1"/>
                    <w:rPr>
                      <w:rFonts w:ascii="Times New Roman" w:hAnsi="Times New Roman" w:cs="Times New Roman"/>
                    </w:rPr>
                  </w:pPr>
                  <w:r>
                    <w:rPr>
                      <w:rFonts w:ascii="Times New Roman" w:hAnsi="Times New Roman" w:cs="Times New Roman"/>
                    </w:rPr>
                    <w:t>大侯家庄</w:t>
                  </w:r>
                </w:p>
              </w:tc>
              <w:tc>
                <w:tcPr>
                  <w:tcW w:w="377" w:type="pct"/>
                  <w:tcBorders>
                    <w:top w:val="single" w:sz="4" w:space="0" w:color="auto"/>
                    <w:left w:val="single" w:sz="4" w:space="0" w:color="auto"/>
                    <w:bottom w:val="single" w:sz="4" w:space="0" w:color="auto"/>
                    <w:right w:val="single" w:sz="4" w:space="0" w:color="auto"/>
                  </w:tcBorders>
                  <w:vAlign w:val="center"/>
                </w:tcPr>
                <w:p w14:paraId="54D36D96" w14:textId="77777777" w:rsidR="00F76A63" w:rsidRDefault="00000000">
                  <w:pPr>
                    <w:pStyle w:val="00-YO1"/>
                    <w:rPr>
                      <w:rFonts w:ascii="Times New Roman" w:hAnsi="Times New Roman" w:cs="Times New Roman"/>
                    </w:rPr>
                  </w:pPr>
                  <w:r>
                    <w:rPr>
                      <w:rFonts w:ascii="Times New Roman" w:hAnsi="Times New Roman" w:cs="Times New Roman"/>
                    </w:rPr>
                    <w:t>1082</w:t>
                  </w:r>
                </w:p>
              </w:tc>
              <w:tc>
                <w:tcPr>
                  <w:tcW w:w="471" w:type="pct"/>
                  <w:tcBorders>
                    <w:top w:val="single" w:sz="4" w:space="0" w:color="auto"/>
                    <w:left w:val="single" w:sz="4" w:space="0" w:color="auto"/>
                    <w:bottom w:val="single" w:sz="4" w:space="0" w:color="auto"/>
                    <w:right w:val="single" w:sz="4" w:space="0" w:color="auto"/>
                  </w:tcBorders>
                  <w:vAlign w:val="center"/>
                </w:tcPr>
                <w:p w14:paraId="4E1FF14D" w14:textId="77777777" w:rsidR="00F76A63" w:rsidRDefault="00000000">
                  <w:pPr>
                    <w:pStyle w:val="00-YO1"/>
                    <w:rPr>
                      <w:rFonts w:ascii="Times New Roman" w:hAnsi="Times New Roman" w:cs="Times New Roman"/>
                    </w:rPr>
                  </w:pPr>
                  <w:r>
                    <w:rPr>
                      <w:rFonts w:ascii="Times New Roman" w:hAnsi="Times New Roman" w:cs="Times New Roman"/>
                    </w:rPr>
                    <w:t>-1738</w:t>
                  </w:r>
                </w:p>
              </w:tc>
              <w:tc>
                <w:tcPr>
                  <w:tcW w:w="845" w:type="dxa"/>
                  <w:vMerge/>
                  <w:tcBorders>
                    <w:top w:val="single" w:sz="4" w:space="0" w:color="auto"/>
                    <w:left w:val="single" w:sz="4" w:space="0" w:color="auto"/>
                    <w:bottom w:val="single" w:sz="4" w:space="0" w:color="auto"/>
                    <w:right w:val="single" w:sz="4" w:space="0" w:color="auto"/>
                  </w:tcBorders>
                  <w:vAlign w:val="center"/>
                </w:tcPr>
                <w:p w14:paraId="3A7900B2"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4F1C91D1"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1612E103" w14:textId="77777777" w:rsidR="00F76A63" w:rsidRDefault="00000000">
                  <w:pPr>
                    <w:pStyle w:val="00-YO1"/>
                    <w:rPr>
                      <w:rFonts w:ascii="Times New Roman" w:hAnsi="Times New Roman" w:cs="Times New Roman"/>
                    </w:rPr>
                  </w:pPr>
                  <w:r>
                    <w:rPr>
                      <w:rFonts w:ascii="Times New Roman" w:hAnsi="Times New Roman" w:cs="Times New Roman"/>
                    </w:rPr>
                    <w:t>179</w:t>
                  </w:r>
                </w:p>
              </w:tc>
              <w:tc>
                <w:tcPr>
                  <w:tcW w:w="642" w:type="dxa"/>
                  <w:vMerge/>
                  <w:tcBorders>
                    <w:top w:val="single" w:sz="4" w:space="0" w:color="auto"/>
                    <w:left w:val="single" w:sz="4" w:space="0" w:color="auto"/>
                    <w:bottom w:val="single" w:sz="4" w:space="0" w:color="auto"/>
                    <w:right w:val="single" w:sz="4" w:space="0" w:color="auto"/>
                  </w:tcBorders>
                  <w:vAlign w:val="center"/>
                </w:tcPr>
                <w:p w14:paraId="6D4EDAA6"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0526F2BE" w14:textId="77777777" w:rsidR="00F76A63" w:rsidRDefault="00000000">
                  <w:pPr>
                    <w:pStyle w:val="00-YO1"/>
                    <w:rPr>
                      <w:rFonts w:ascii="Times New Roman" w:hAnsi="Times New Roman" w:cs="Times New Roman"/>
                    </w:rPr>
                  </w:pPr>
                  <w:r>
                    <w:rPr>
                      <w:rFonts w:ascii="Times New Roman" w:hAnsi="Times New Roman" w:cs="Times New Roman"/>
                    </w:rPr>
                    <w:t>SE</w:t>
                  </w:r>
                </w:p>
              </w:tc>
              <w:tc>
                <w:tcPr>
                  <w:tcW w:w="590" w:type="pct"/>
                  <w:tcBorders>
                    <w:top w:val="single" w:sz="4" w:space="0" w:color="auto"/>
                    <w:left w:val="single" w:sz="4" w:space="0" w:color="auto"/>
                    <w:bottom w:val="single" w:sz="4" w:space="0" w:color="auto"/>
                    <w:right w:val="nil"/>
                  </w:tcBorders>
                  <w:vAlign w:val="center"/>
                </w:tcPr>
                <w:p w14:paraId="423B0DCF" w14:textId="77777777" w:rsidR="00F76A63" w:rsidRDefault="00000000">
                  <w:pPr>
                    <w:pStyle w:val="00-YO1"/>
                    <w:rPr>
                      <w:rFonts w:ascii="Times New Roman" w:hAnsi="Times New Roman" w:cs="Times New Roman"/>
                    </w:rPr>
                  </w:pPr>
                  <w:r>
                    <w:rPr>
                      <w:rFonts w:ascii="Times New Roman" w:hAnsi="Times New Roman" w:cs="Times New Roman"/>
                    </w:rPr>
                    <w:t>1753</w:t>
                  </w:r>
                </w:p>
              </w:tc>
            </w:tr>
            <w:tr w:rsidR="00F76A63" w14:paraId="79815B15"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476DBC0F" w14:textId="77777777" w:rsidR="00F76A63" w:rsidRDefault="00000000">
                  <w:pPr>
                    <w:pStyle w:val="00-YO1"/>
                    <w:rPr>
                      <w:rFonts w:ascii="Times New Roman" w:hAnsi="Times New Roman" w:cs="Times New Roman"/>
                    </w:rPr>
                  </w:pPr>
                  <w:r>
                    <w:rPr>
                      <w:rFonts w:ascii="Times New Roman" w:hAnsi="Times New Roman" w:cs="Times New Roman"/>
                    </w:rPr>
                    <w:t>小侯家庄</w:t>
                  </w:r>
                </w:p>
              </w:tc>
              <w:tc>
                <w:tcPr>
                  <w:tcW w:w="377" w:type="pct"/>
                  <w:tcBorders>
                    <w:top w:val="single" w:sz="4" w:space="0" w:color="auto"/>
                    <w:left w:val="single" w:sz="4" w:space="0" w:color="auto"/>
                    <w:bottom w:val="single" w:sz="4" w:space="0" w:color="auto"/>
                    <w:right w:val="single" w:sz="4" w:space="0" w:color="auto"/>
                  </w:tcBorders>
                  <w:vAlign w:val="center"/>
                </w:tcPr>
                <w:p w14:paraId="57D454A7" w14:textId="77777777" w:rsidR="00F76A63" w:rsidRDefault="00000000">
                  <w:pPr>
                    <w:pStyle w:val="00-YO1"/>
                    <w:rPr>
                      <w:rFonts w:ascii="Times New Roman" w:hAnsi="Times New Roman" w:cs="Times New Roman"/>
                    </w:rPr>
                  </w:pPr>
                  <w:r>
                    <w:rPr>
                      <w:rFonts w:ascii="Times New Roman" w:hAnsi="Times New Roman" w:cs="Times New Roman"/>
                    </w:rPr>
                    <w:t>844</w:t>
                  </w:r>
                </w:p>
              </w:tc>
              <w:tc>
                <w:tcPr>
                  <w:tcW w:w="471" w:type="pct"/>
                  <w:tcBorders>
                    <w:top w:val="single" w:sz="4" w:space="0" w:color="auto"/>
                    <w:left w:val="single" w:sz="4" w:space="0" w:color="auto"/>
                    <w:bottom w:val="single" w:sz="4" w:space="0" w:color="auto"/>
                    <w:right w:val="single" w:sz="4" w:space="0" w:color="auto"/>
                  </w:tcBorders>
                  <w:vAlign w:val="center"/>
                </w:tcPr>
                <w:p w14:paraId="07C07645" w14:textId="77777777" w:rsidR="00F76A63" w:rsidRDefault="00000000">
                  <w:pPr>
                    <w:pStyle w:val="00-YO1"/>
                    <w:rPr>
                      <w:rFonts w:ascii="Times New Roman" w:hAnsi="Times New Roman" w:cs="Times New Roman"/>
                    </w:rPr>
                  </w:pPr>
                  <w:r>
                    <w:rPr>
                      <w:rFonts w:ascii="Times New Roman" w:hAnsi="Times New Roman" w:cs="Times New Roman"/>
                    </w:rPr>
                    <w:t>-2185</w:t>
                  </w:r>
                </w:p>
              </w:tc>
              <w:tc>
                <w:tcPr>
                  <w:tcW w:w="845" w:type="dxa"/>
                  <w:vMerge/>
                  <w:tcBorders>
                    <w:top w:val="single" w:sz="4" w:space="0" w:color="auto"/>
                    <w:left w:val="single" w:sz="4" w:space="0" w:color="auto"/>
                    <w:bottom w:val="single" w:sz="4" w:space="0" w:color="auto"/>
                    <w:right w:val="single" w:sz="4" w:space="0" w:color="auto"/>
                  </w:tcBorders>
                  <w:vAlign w:val="center"/>
                </w:tcPr>
                <w:p w14:paraId="7D85E23F"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14457909"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48410258" w14:textId="77777777" w:rsidR="00F76A63" w:rsidRDefault="00000000">
                  <w:pPr>
                    <w:pStyle w:val="00-YO1"/>
                    <w:rPr>
                      <w:rFonts w:ascii="Times New Roman" w:hAnsi="Times New Roman" w:cs="Times New Roman"/>
                    </w:rPr>
                  </w:pPr>
                  <w:r>
                    <w:rPr>
                      <w:rFonts w:ascii="Times New Roman" w:hAnsi="Times New Roman" w:cs="Times New Roman"/>
                    </w:rPr>
                    <w:t>165</w:t>
                  </w:r>
                </w:p>
              </w:tc>
              <w:tc>
                <w:tcPr>
                  <w:tcW w:w="642" w:type="dxa"/>
                  <w:vMerge/>
                  <w:tcBorders>
                    <w:top w:val="single" w:sz="4" w:space="0" w:color="auto"/>
                    <w:left w:val="single" w:sz="4" w:space="0" w:color="auto"/>
                    <w:bottom w:val="single" w:sz="4" w:space="0" w:color="auto"/>
                    <w:right w:val="single" w:sz="4" w:space="0" w:color="auto"/>
                  </w:tcBorders>
                  <w:vAlign w:val="center"/>
                </w:tcPr>
                <w:p w14:paraId="0103CD07"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09DD3DF8" w14:textId="77777777" w:rsidR="00F76A63" w:rsidRDefault="00000000">
                  <w:pPr>
                    <w:pStyle w:val="00-YO1"/>
                    <w:rPr>
                      <w:rFonts w:ascii="Times New Roman" w:hAnsi="Times New Roman" w:cs="Times New Roman"/>
                    </w:rPr>
                  </w:pPr>
                  <w:r>
                    <w:rPr>
                      <w:rFonts w:ascii="Times New Roman" w:hAnsi="Times New Roman" w:cs="Times New Roman"/>
                    </w:rPr>
                    <w:t>SE</w:t>
                  </w:r>
                </w:p>
              </w:tc>
              <w:tc>
                <w:tcPr>
                  <w:tcW w:w="590" w:type="pct"/>
                  <w:tcBorders>
                    <w:top w:val="single" w:sz="4" w:space="0" w:color="auto"/>
                    <w:left w:val="single" w:sz="4" w:space="0" w:color="auto"/>
                    <w:bottom w:val="single" w:sz="4" w:space="0" w:color="auto"/>
                    <w:right w:val="nil"/>
                  </w:tcBorders>
                  <w:vAlign w:val="center"/>
                </w:tcPr>
                <w:p w14:paraId="079EFDF5" w14:textId="77777777" w:rsidR="00F76A63" w:rsidRDefault="00000000">
                  <w:pPr>
                    <w:pStyle w:val="00-YO1"/>
                    <w:rPr>
                      <w:rFonts w:ascii="Times New Roman" w:hAnsi="Times New Roman" w:cs="Times New Roman"/>
                    </w:rPr>
                  </w:pPr>
                  <w:r>
                    <w:rPr>
                      <w:rFonts w:ascii="Times New Roman" w:hAnsi="Times New Roman" w:cs="Times New Roman"/>
                    </w:rPr>
                    <w:t>1843</w:t>
                  </w:r>
                </w:p>
              </w:tc>
            </w:tr>
            <w:tr w:rsidR="00F76A63" w14:paraId="550E333B"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72902A3A" w14:textId="77777777" w:rsidR="00F76A63" w:rsidRDefault="00000000">
                  <w:pPr>
                    <w:pStyle w:val="00-YO1"/>
                    <w:rPr>
                      <w:rFonts w:ascii="Times New Roman" w:hAnsi="Times New Roman" w:cs="Times New Roman"/>
                    </w:rPr>
                  </w:pPr>
                  <w:r>
                    <w:rPr>
                      <w:rFonts w:ascii="Times New Roman" w:hAnsi="Times New Roman" w:cs="Times New Roman"/>
                    </w:rPr>
                    <w:t>红峰村</w:t>
                  </w:r>
                </w:p>
              </w:tc>
              <w:tc>
                <w:tcPr>
                  <w:tcW w:w="377" w:type="pct"/>
                  <w:tcBorders>
                    <w:top w:val="single" w:sz="4" w:space="0" w:color="auto"/>
                    <w:left w:val="single" w:sz="4" w:space="0" w:color="auto"/>
                    <w:bottom w:val="single" w:sz="4" w:space="0" w:color="auto"/>
                    <w:right w:val="single" w:sz="4" w:space="0" w:color="auto"/>
                  </w:tcBorders>
                  <w:vAlign w:val="center"/>
                </w:tcPr>
                <w:p w14:paraId="1FB0E364" w14:textId="77777777" w:rsidR="00F76A63" w:rsidRDefault="00000000">
                  <w:pPr>
                    <w:pStyle w:val="00-YO1"/>
                    <w:rPr>
                      <w:rFonts w:ascii="Times New Roman" w:hAnsi="Times New Roman" w:cs="Times New Roman"/>
                    </w:rPr>
                  </w:pPr>
                  <w:r>
                    <w:rPr>
                      <w:rFonts w:ascii="Times New Roman" w:hAnsi="Times New Roman" w:cs="Times New Roman"/>
                    </w:rPr>
                    <w:t>1564</w:t>
                  </w:r>
                </w:p>
              </w:tc>
              <w:tc>
                <w:tcPr>
                  <w:tcW w:w="471" w:type="pct"/>
                  <w:tcBorders>
                    <w:top w:val="single" w:sz="4" w:space="0" w:color="auto"/>
                    <w:left w:val="single" w:sz="4" w:space="0" w:color="auto"/>
                    <w:bottom w:val="single" w:sz="4" w:space="0" w:color="auto"/>
                    <w:right w:val="single" w:sz="4" w:space="0" w:color="auto"/>
                  </w:tcBorders>
                  <w:vAlign w:val="center"/>
                </w:tcPr>
                <w:p w14:paraId="60103198" w14:textId="77777777" w:rsidR="00F76A63" w:rsidRDefault="00000000">
                  <w:pPr>
                    <w:pStyle w:val="00-YO1"/>
                    <w:rPr>
                      <w:rFonts w:ascii="Times New Roman" w:hAnsi="Times New Roman" w:cs="Times New Roman"/>
                    </w:rPr>
                  </w:pPr>
                  <w:r>
                    <w:rPr>
                      <w:rFonts w:ascii="Times New Roman" w:hAnsi="Times New Roman" w:cs="Times New Roman"/>
                    </w:rPr>
                    <w:t>-1813</w:t>
                  </w:r>
                </w:p>
              </w:tc>
              <w:tc>
                <w:tcPr>
                  <w:tcW w:w="845" w:type="dxa"/>
                  <w:vMerge/>
                  <w:tcBorders>
                    <w:top w:val="single" w:sz="4" w:space="0" w:color="auto"/>
                    <w:left w:val="single" w:sz="4" w:space="0" w:color="auto"/>
                    <w:bottom w:val="single" w:sz="4" w:space="0" w:color="auto"/>
                    <w:right w:val="single" w:sz="4" w:space="0" w:color="auto"/>
                  </w:tcBorders>
                  <w:vAlign w:val="center"/>
                </w:tcPr>
                <w:p w14:paraId="684B6BE2"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3076AADF"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53860AD2" w14:textId="77777777" w:rsidR="00F76A63" w:rsidRDefault="00000000">
                  <w:pPr>
                    <w:pStyle w:val="00-YO1"/>
                    <w:rPr>
                      <w:rFonts w:ascii="Times New Roman" w:hAnsi="Times New Roman" w:cs="Times New Roman"/>
                    </w:rPr>
                  </w:pPr>
                  <w:r>
                    <w:rPr>
                      <w:rFonts w:ascii="Times New Roman" w:hAnsi="Times New Roman" w:cs="Times New Roman"/>
                    </w:rPr>
                    <w:t>159</w:t>
                  </w:r>
                </w:p>
              </w:tc>
              <w:tc>
                <w:tcPr>
                  <w:tcW w:w="642" w:type="dxa"/>
                  <w:vMerge/>
                  <w:tcBorders>
                    <w:top w:val="single" w:sz="4" w:space="0" w:color="auto"/>
                    <w:left w:val="single" w:sz="4" w:space="0" w:color="auto"/>
                    <w:bottom w:val="single" w:sz="4" w:space="0" w:color="auto"/>
                    <w:right w:val="single" w:sz="4" w:space="0" w:color="auto"/>
                  </w:tcBorders>
                  <w:vAlign w:val="center"/>
                </w:tcPr>
                <w:p w14:paraId="585A0403"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1058CC3F" w14:textId="77777777" w:rsidR="00F76A63" w:rsidRDefault="00000000">
                  <w:pPr>
                    <w:pStyle w:val="00-YO1"/>
                    <w:rPr>
                      <w:rFonts w:ascii="Times New Roman" w:hAnsi="Times New Roman" w:cs="Times New Roman"/>
                    </w:rPr>
                  </w:pPr>
                  <w:r>
                    <w:rPr>
                      <w:rFonts w:ascii="Times New Roman" w:hAnsi="Times New Roman" w:cs="Times New Roman"/>
                    </w:rPr>
                    <w:t>SE</w:t>
                  </w:r>
                </w:p>
              </w:tc>
              <w:tc>
                <w:tcPr>
                  <w:tcW w:w="590" w:type="pct"/>
                  <w:tcBorders>
                    <w:top w:val="single" w:sz="4" w:space="0" w:color="auto"/>
                    <w:left w:val="single" w:sz="4" w:space="0" w:color="auto"/>
                    <w:bottom w:val="single" w:sz="4" w:space="0" w:color="auto"/>
                    <w:right w:val="nil"/>
                  </w:tcBorders>
                  <w:vAlign w:val="center"/>
                </w:tcPr>
                <w:p w14:paraId="39A0489B" w14:textId="77777777" w:rsidR="00F76A63" w:rsidRDefault="00000000">
                  <w:pPr>
                    <w:pStyle w:val="00-YO1"/>
                    <w:rPr>
                      <w:rFonts w:ascii="Times New Roman" w:hAnsi="Times New Roman" w:cs="Times New Roman"/>
                    </w:rPr>
                  </w:pPr>
                  <w:r>
                    <w:rPr>
                      <w:rFonts w:ascii="Times New Roman" w:hAnsi="Times New Roman" w:cs="Times New Roman"/>
                    </w:rPr>
                    <w:t>1953</w:t>
                  </w:r>
                </w:p>
              </w:tc>
            </w:tr>
            <w:tr w:rsidR="00F76A63" w14:paraId="2DC46B7F"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1CD03EDE" w14:textId="77777777" w:rsidR="00F76A63" w:rsidRDefault="00000000">
                  <w:pPr>
                    <w:pStyle w:val="00-YO1"/>
                    <w:rPr>
                      <w:rFonts w:ascii="Times New Roman" w:hAnsi="Times New Roman" w:cs="Times New Roman"/>
                    </w:rPr>
                  </w:pPr>
                  <w:r>
                    <w:rPr>
                      <w:rFonts w:ascii="Times New Roman" w:hAnsi="Times New Roman" w:cs="Times New Roman"/>
                    </w:rPr>
                    <w:t>小蔡家庄</w:t>
                  </w:r>
                </w:p>
              </w:tc>
              <w:tc>
                <w:tcPr>
                  <w:tcW w:w="377" w:type="pct"/>
                  <w:tcBorders>
                    <w:top w:val="single" w:sz="4" w:space="0" w:color="auto"/>
                    <w:left w:val="single" w:sz="4" w:space="0" w:color="auto"/>
                    <w:bottom w:val="single" w:sz="4" w:space="0" w:color="auto"/>
                    <w:right w:val="single" w:sz="4" w:space="0" w:color="auto"/>
                  </w:tcBorders>
                  <w:vAlign w:val="center"/>
                </w:tcPr>
                <w:p w14:paraId="7C089BB8" w14:textId="77777777" w:rsidR="00F76A63" w:rsidRDefault="00000000">
                  <w:pPr>
                    <w:pStyle w:val="00-YO1"/>
                    <w:rPr>
                      <w:rFonts w:ascii="Times New Roman" w:hAnsi="Times New Roman" w:cs="Times New Roman"/>
                    </w:rPr>
                  </w:pPr>
                  <w:r>
                    <w:rPr>
                      <w:rFonts w:ascii="Times New Roman" w:hAnsi="Times New Roman" w:cs="Times New Roman"/>
                    </w:rPr>
                    <w:t>1698</w:t>
                  </w:r>
                </w:p>
              </w:tc>
              <w:tc>
                <w:tcPr>
                  <w:tcW w:w="471" w:type="pct"/>
                  <w:tcBorders>
                    <w:top w:val="single" w:sz="4" w:space="0" w:color="auto"/>
                    <w:left w:val="single" w:sz="4" w:space="0" w:color="auto"/>
                    <w:bottom w:val="single" w:sz="4" w:space="0" w:color="auto"/>
                    <w:right w:val="single" w:sz="4" w:space="0" w:color="auto"/>
                  </w:tcBorders>
                  <w:vAlign w:val="center"/>
                </w:tcPr>
                <w:p w14:paraId="714AD036" w14:textId="77777777" w:rsidR="00F76A63" w:rsidRDefault="00000000">
                  <w:pPr>
                    <w:pStyle w:val="00-YO1"/>
                    <w:rPr>
                      <w:rFonts w:ascii="Times New Roman" w:hAnsi="Times New Roman" w:cs="Times New Roman"/>
                    </w:rPr>
                  </w:pPr>
                  <w:r>
                    <w:rPr>
                      <w:rFonts w:ascii="Times New Roman" w:hAnsi="Times New Roman" w:cs="Times New Roman"/>
                    </w:rPr>
                    <w:t>-1976</w:t>
                  </w:r>
                </w:p>
              </w:tc>
              <w:tc>
                <w:tcPr>
                  <w:tcW w:w="845" w:type="dxa"/>
                  <w:vMerge/>
                  <w:tcBorders>
                    <w:top w:val="single" w:sz="4" w:space="0" w:color="auto"/>
                    <w:left w:val="single" w:sz="4" w:space="0" w:color="auto"/>
                    <w:bottom w:val="single" w:sz="4" w:space="0" w:color="auto"/>
                    <w:right w:val="single" w:sz="4" w:space="0" w:color="auto"/>
                  </w:tcBorders>
                  <w:vAlign w:val="center"/>
                </w:tcPr>
                <w:p w14:paraId="5E2296E2"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70035243"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4A77BF56" w14:textId="77777777" w:rsidR="00F76A63" w:rsidRDefault="00000000">
                  <w:pPr>
                    <w:pStyle w:val="00-YO1"/>
                    <w:rPr>
                      <w:rFonts w:ascii="Times New Roman" w:hAnsi="Times New Roman" w:cs="Times New Roman"/>
                    </w:rPr>
                  </w:pPr>
                  <w:r>
                    <w:rPr>
                      <w:rFonts w:ascii="Times New Roman" w:hAnsi="Times New Roman" w:cs="Times New Roman"/>
                    </w:rPr>
                    <w:t>396</w:t>
                  </w:r>
                </w:p>
              </w:tc>
              <w:tc>
                <w:tcPr>
                  <w:tcW w:w="642" w:type="dxa"/>
                  <w:vMerge/>
                  <w:tcBorders>
                    <w:top w:val="single" w:sz="4" w:space="0" w:color="auto"/>
                    <w:left w:val="single" w:sz="4" w:space="0" w:color="auto"/>
                    <w:bottom w:val="single" w:sz="4" w:space="0" w:color="auto"/>
                    <w:right w:val="single" w:sz="4" w:space="0" w:color="auto"/>
                  </w:tcBorders>
                  <w:vAlign w:val="center"/>
                </w:tcPr>
                <w:p w14:paraId="6EF42EC4"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28B2FDF4" w14:textId="77777777" w:rsidR="00F76A63" w:rsidRDefault="00000000">
                  <w:pPr>
                    <w:pStyle w:val="00-YO1"/>
                    <w:rPr>
                      <w:rFonts w:ascii="Times New Roman" w:hAnsi="Times New Roman" w:cs="Times New Roman"/>
                    </w:rPr>
                  </w:pPr>
                  <w:r>
                    <w:rPr>
                      <w:rFonts w:ascii="Times New Roman" w:hAnsi="Times New Roman" w:cs="Times New Roman"/>
                    </w:rPr>
                    <w:t>SE</w:t>
                  </w:r>
                </w:p>
              </w:tc>
              <w:tc>
                <w:tcPr>
                  <w:tcW w:w="590" w:type="pct"/>
                  <w:tcBorders>
                    <w:top w:val="single" w:sz="4" w:space="0" w:color="auto"/>
                    <w:left w:val="single" w:sz="4" w:space="0" w:color="auto"/>
                    <w:bottom w:val="single" w:sz="4" w:space="0" w:color="auto"/>
                    <w:right w:val="nil"/>
                  </w:tcBorders>
                  <w:vAlign w:val="center"/>
                </w:tcPr>
                <w:p w14:paraId="75C55114" w14:textId="77777777" w:rsidR="00F76A63" w:rsidRDefault="00000000">
                  <w:pPr>
                    <w:pStyle w:val="00-YO1"/>
                    <w:rPr>
                      <w:rFonts w:ascii="Times New Roman" w:hAnsi="Times New Roman" w:cs="Times New Roman"/>
                    </w:rPr>
                  </w:pPr>
                  <w:r>
                    <w:rPr>
                      <w:rFonts w:ascii="Times New Roman" w:hAnsi="Times New Roman" w:cs="Times New Roman"/>
                    </w:rPr>
                    <w:t>2155</w:t>
                  </w:r>
                </w:p>
              </w:tc>
            </w:tr>
            <w:tr w:rsidR="00F76A63" w14:paraId="662757DC"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635CAB18" w14:textId="77777777" w:rsidR="00F76A63" w:rsidRDefault="00000000">
                  <w:pPr>
                    <w:pStyle w:val="00-YO1"/>
                    <w:rPr>
                      <w:rFonts w:ascii="Times New Roman" w:hAnsi="Times New Roman" w:cs="Times New Roman"/>
                    </w:rPr>
                  </w:pPr>
                  <w:r>
                    <w:rPr>
                      <w:rFonts w:ascii="Times New Roman" w:hAnsi="Times New Roman" w:cs="Times New Roman"/>
                    </w:rPr>
                    <w:t>桥头村</w:t>
                  </w:r>
                </w:p>
              </w:tc>
              <w:tc>
                <w:tcPr>
                  <w:tcW w:w="377" w:type="pct"/>
                  <w:tcBorders>
                    <w:top w:val="single" w:sz="4" w:space="0" w:color="auto"/>
                    <w:left w:val="single" w:sz="4" w:space="0" w:color="auto"/>
                    <w:bottom w:val="single" w:sz="4" w:space="0" w:color="auto"/>
                    <w:right w:val="single" w:sz="4" w:space="0" w:color="auto"/>
                  </w:tcBorders>
                  <w:vAlign w:val="center"/>
                </w:tcPr>
                <w:p w14:paraId="751CAE41" w14:textId="77777777" w:rsidR="00F76A63" w:rsidRDefault="00000000">
                  <w:pPr>
                    <w:pStyle w:val="00-YO1"/>
                    <w:rPr>
                      <w:rFonts w:ascii="Times New Roman" w:hAnsi="Times New Roman" w:cs="Times New Roman"/>
                    </w:rPr>
                  </w:pPr>
                  <w:r>
                    <w:rPr>
                      <w:rFonts w:ascii="Times New Roman" w:hAnsi="Times New Roman" w:cs="Times New Roman"/>
                    </w:rPr>
                    <w:t>-2163</w:t>
                  </w:r>
                </w:p>
              </w:tc>
              <w:tc>
                <w:tcPr>
                  <w:tcW w:w="471" w:type="pct"/>
                  <w:tcBorders>
                    <w:top w:val="single" w:sz="4" w:space="0" w:color="auto"/>
                    <w:left w:val="single" w:sz="4" w:space="0" w:color="auto"/>
                    <w:bottom w:val="single" w:sz="4" w:space="0" w:color="auto"/>
                    <w:right w:val="single" w:sz="4" w:space="0" w:color="auto"/>
                  </w:tcBorders>
                  <w:vAlign w:val="center"/>
                </w:tcPr>
                <w:p w14:paraId="6855DB16" w14:textId="77777777" w:rsidR="00F76A63" w:rsidRDefault="00000000">
                  <w:pPr>
                    <w:pStyle w:val="00-YO1"/>
                    <w:rPr>
                      <w:rFonts w:ascii="Times New Roman" w:hAnsi="Times New Roman" w:cs="Times New Roman"/>
                    </w:rPr>
                  </w:pPr>
                  <w:r>
                    <w:rPr>
                      <w:rFonts w:ascii="Times New Roman" w:hAnsi="Times New Roman" w:cs="Times New Roman"/>
                    </w:rPr>
                    <w:t>-1583</w:t>
                  </w:r>
                </w:p>
              </w:tc>
              <w:tc>
                <w:tcPr>
                  <w:tcW w:w="845" w:type="dxa"/>
                  <w:vMerge/>
                  <w:tcBorders>
                    <w:top w:val="single" w:sz="4" w:space="0" w:color="auto"/>
                    <w:left w:val="single" w:sz="4" w:space="0" w:color="auto"/>
                    <w:bottom w:val="single" w:sz="4" w:space="0" w:color="auto"/>
                    <w:right w:val="single" w:sz="4" w:space="0" w:color="auto"/>
                  </w:tcBorders>
                  <w:vAlign w:val="center"/>
                </w:tcPr>
                <w:p w14:paraId="40C2D55A"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0D7FA8ED"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75804DA8" w14:textId="77777777" w:rsidR="00F76A63" w:rsidRDefault="00000000">
                  <w:pPr>
                    <w:pStyle w:val="00-YO1"/>
                    <w:rPr>
                      <w:rFonts w:ascii="Times New Roman" w:hAnsi="Times New Roman" w:cs="Times New Roman"/>
                    </w:rPr>
                  </w:pPr>
                  <w:r>
                    <w:rPr>
                      <w:rFonts w:ascii="Times New Roman" w:hAnsi="Times New Roman" w:cs="Times New Roman"/>
                    </w:rPr>
                    <w:t>1500</w:t>
                  </w:r>
                </w:p>
              </w:tc>
              <w:tc>
                <w:tcPr>
                  <w:tcW w:w="642" w:type="dxa"/>
                  <w:vMerge/>
                  <w:tcBorders>
                    <w:top w:val="single" w:sz="4" w:space="0" w:color="auto"/>
                    <w:left w:val="single" w:sz="4" w:space="0" w:color="auto"/>
                    <w:bottom w:val="single" w:sz="4" w:space="0" w:color="auto"/>
                    <w:right w:val="single" w:sz="4" w:space="0" w:color="auto"/>
                  </w:tcBorders>
                  <w:vAlign w:val="center"/>
                </w:tcPr>
                <w:p w14:paraId="563023C3"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0FD8C1E4" w14:textId="77777777" w:rsidR="00F76A63" w:rsidRDefault="00000000">
                  <w:pPr>
                    <w:pStyle w:val="00-YO1"/>
                    <w:rPr>
                      <w:rFonts w:ascii="Times New Roman" w:hAnsi="Times New Roman" w:cs="Times New Roman"/>
                    </w:rPr>
                  </w:pPr>
                  <w:r>
                    <w:rPr>
                      <w:rFonts w:ascii="Times New Roman" w:hAnsi="Times New Roman" w:cs="Times New Roman"/>
                    </w:rPr>
                    <w:t>SW</w:t>
                  </w:r>
                </w:p>
              </w:tc>
              <w:tc>
                <w:tcPr>
                  <w:tcW w:w="590" w:type="pct"/>
                  <w:tcBorders>
                    <w:top w:val="single" w:sz="4" w:space="0" w:color="auto"/>
                    <w:left w:val="single" w:sz="4" w:space="0" w:color="auto"/>
                    <w:bottom w:val="single" w:sz="4" w:space="0" w:color="auto"/>
                    <w:right w:val="nil"/>
                  </w:tcBorders>
                  <w:vAlign w:val="center"/>
                </w:tcPr>
                <w:p w14:paraId="0992F756" w14:textId="77777777" w:rsidR="00F76A63" w:rsidRDefault="00000000">
                  <w:pPr>
                    <w:pStyle w:val="00-YO1"/>
                    <w:rPr>
                      <w:rFonts w:ascii="Times New Roman" w:hAnsi="Times New Roman" w:cs="Times New Roman"/>
                    </w:rPr>
                  </w:pPr>
                  <w:r>
                    <w:rPr>
                      <w:rFonts w:ascii="Times New Roman" w:hAnsi="Times New Roman" w:cs="Times New Roman"/>
                    </w:rPr>
                    <w:t>2183</w:t>
                  </w:r>
                </w:p>
              </w:tc>
            </w:tr>
            <w:tr w:rsidR="00F76A63" w14:paraId="27317A1F"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0E6286EA" w14:textId="77777777" w:rsidR="00F76A63" w:rsidRDefault="00000000">
                  <w:pPr>
                    <w:pStyle w:val="00-YO1"/>
                    <w:rPr>
                      <w:rFonts w:ascii="Times New Roman" w:hAnsi="Times New Roman" w:cs="Times New Roman"/>
                    </w:rPr>
                  </w:pPr>
                  <w:r>
                    <w:rPr>
                      <w:rFonts w:ascii="Times New Roman" w:hAnsi="Times New Roman" w:cs="Times New Roman"/>
                    </w:rPr>
                    <w:t>涧东村</w:t>
                  </w:r>
                </w:p>
              </w:tc>
              <w:tc>
                <w:tcPr>
                  <w:tcW w:w="377" w:type="pct"/>
                  <w:tcBorders>
                    <w:top w:val="single" w:sz="4" w:space="0" w:color="auto"/>
                    <w:left w:val="single" w:sz="4" w:space="0" w:color="auto"/>
                    <w:bottom w:val="single" w:sz="4" w:space="0" w:color="auto"/>
                    <w:right w:val="single" w:sz="4" w:space="0" w:color="auto"/>
                  </w:tcBorders>
                  <w:vAlign w:val="center"/>
                </w:tcPr>
                <w:p w14:paraId="74DE7960" w14:textId="77777777" w:rsidR="00F76A63" w:rsidRDefault="00000000">
                  <w:pPr>
                    <w:pStyle w:val="00-YO1"/>
                    <w:rPr>
                      <w:rFonts w:ascii="Times New Roman" w:hAnsi="Times New Roman" w:cs="Times New Roman"/>
                    </w:rPr>
                  </w:pPr>
                  <w:r>
                    <w:rPr>
                      <w:rFonts w:ascii="Times New Roman" w:hAnsi="Times New Roman" w:cs="Times New Roman"/>
                    </w:rPr>
                    <w:t>-1572</w:t>
                  </w:r>
                </w:p>
              </w:tc>
              <w:tc>
                <w:tcPr>
                  <w:tcW w:w="471" w:type="pct"/>
                  <w:tcBorders>
                    <w:top w:val="single" w:sz="4" w:space="0" w:color="auto"/>
                    <w:left w:val="single" w:sz="4" w:space="0" w:color="auto"/>
                    <w:bottom w:val="single" w:sz="4" w:space="0" w:color="auto"/>
                    <w:right w:val="single" w:sz="4" w:space="0" w:color="auto"/>
                  </w:tcBorders>
                  <w:vAlign w:val="center"/>
                </w:tcPr>
                <w:p w14:paraId="15E344D3" w14:textId="77777777" w:rsidR="00F76A63" w:rsidRDefault="00000000">
                  <w:pPr>
                    <w:pStyle w:val="00-YO1"/>
                    <w:rPr>
                      <w:rFonts w:ascii="Times New Roman" w:hAnsi="Times New Roman" w:cs="Times New Roman"/>
                    </w:rPr>
                  </w:pPr>
                  <w:r>
                    <w:rPr>
                      <w:rFonts w:ascii="Times New Roman" w:hAnsi="Times New Roman" w:cs="Times New Roman"/>
                    </w:rPr>
                    <w:t>-2730</w:t>
                  </w:r>
                </w:p>
              </w:tc>
              <w:tc>
                <w:tcPr>
                  <w:tcW w:w="845" w:type="dxa"/>
                  <w:vMerge/>
                  <w:tcBorders>
                    <w:top w:val="single" w:sz="4" w:space="0" w:color="auto"/>
                    <w:left w:val="single" w:sz="4" w:space="0" w:color="auto"/>
                    <w:bottom w:val="single" w:sz="4" w:space="0" w:color="auto"/>
                    <w:right w:val="single" w:sz="4" w:space="0" w:color="auto"/>
                  </w:tcBorders>
                  <w:vAlign w:val="center"/>
                </w:tcPr>
                <w:p w14:paraId="4AD40A53"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439CEA6B"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75D9E3A8" w14:textId="77777777" w:rsidR="00F76A63" w:rsidRDefault="00000000">
                  <w:pPr>
                    <w:pStyle w:val="00-YO1"/>
                    <w:rPr>
                      <w:rFonts w:ascii="Times New Roman" w:hAnsi="Times New Roman" w:cs="Times New Roman"/>
                    </w:rPr>
                  </w:pPr>
                  <w:r>
                    <w:rPr>
                      <w:rFonts w:ascii="Times New Roman" w:hAnsi="Times New Roman" w:cs="Times New Roman"/>
                    </w:rPr>
                    <w:t>280</w:t>
                  </w:r>
                </w:p>
              </w:tc>
              <w:tc>
                <w:tcPr>
                  <w:tcW w:w="642" w:type="dxa"/>
                  <w:vMerge/>
                  <w:tcBorders>
                    <w:top w:val="single" w:sz="4" w:space="0" w:color="auto"/>
                    <w:left w:val="single" w:sz="4" w:space="0" w:color="auto"/>
                    <w:bottom w:val="single" w:sz="4" w:space="0" w:color="auto"/>
                    <w:right w:val="single" w:sz="4" w:space="0" w:color="auto"/>
                  </w:tcBorders>
                  <w:vAlign w:val="center"/>
                </w:tcPr>
                <w:p w14:paraId="42FFAD9A"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65B3B34D" w14:textId="77777777" w:rsidR="00F76A63" w:rsidRDefault="00000000">
                  <w:pPr>
                    <w:pStyle w:val="00-YO1"/>
                    <w:rPr>
                      <w:rFonts w:ascii="Times New Roman" w:hAnsi="Times New Roman" w:cs="Times New Roman"/>
                    </w:rPr>
                  </w:pPr>
                  <w:r>
                    <w:rPr>
                      <w:rFonts w:ascii="Times New Roman" w:hAnsi="Times New Roman" w:cs="Times New Roman"/>
                    </w:rPr>
                    <w:t>SW</w:t>
                  </w:r>
                </w:p>
              </w:tc>
              <w:tc>
                <w:tcPr>
                  <w:tcW w:w="590" w:type="pct"/>
                  <w:tcBorders>
                    <w:top w:val="single" w:sz="4" w:space="0" w:color="auto"/>
                    <w:left w:val="single" w:sz="4" w:space="0" w:color="auto"/>
                    <w:bottom w:val="single" w:sz="4" w:space="0" w:color="auto"/>
                    <w:right w:val="nil"/>
                  </w:tcBorders>
                  <w:vAlign w:val="center"/>
                </w:tcPr>
                <w:p w14:paraId="39F28051" w14:textId="77777777" w:rsidR="00F76A63" w:rsidRDefault="00000000">
                  <w:pPr>
                    <w:pStyle w:val="00-YO1"/>
                    <w:rPr>
                      <w:rFonts w:ascii="Times New Roman" w:hAnsi="Times New Roman" w:cs="Times New Roman"/>
                    </w:rPr>
                  </w:pPr>
                  <w:r>
                    <w:rPr>
                      <w:rFonts w:ascii="Times New Roman" w:hAnsi="Times New Roman" w:cs="Times New Roman"/>
                    </w:rPr>
                    <w:t>2675</w:t>
                  </w:r>
                </w:p>
              </w:tc>
            </w:tr>
            <w:tr w:rsidR="00F76A63" w14:paraId="77CA9D77"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3026B0CF" w14:textId="77777777" w:rsidR="00F76A63" w:rsidRDefault="00000000">
                  <w:pPr>
                    <w:pStyle w:val="00-YO1"/>
                    <w:rPr>
                      <w:rFonts w:ascii="Times New Roman" w:hAnsi="Times New Roman" w:cs="Times New Roman"/>
                    </w:rPr>
                  </w:pPr>
                  <w:r>
                    <w:rPr>
                      <w:rFonts w:ascii="Times New Roman" w:hAnsi="Times New Roman" w:cs="Times New Roman"/>
                    </w:rPr>
                    <w:t>新民</w:t>
                  </w:r>
                </w:p>
              </w:tc>
              <w:tc>
                <w:tcPr>
                  <w:tcW w:w="377" w:type="pct"/>
                  <w:tcBorders>
                    <w:top w:val="single" w:sz="4" w:space="0" w:color="auto"/>
                    <w:left w:val="single" w:sz="4" w:space="0" w:color="auto"/>
                    <w:bottom w:val="single" w:sz="4" w:space="0" w:color="auto"/>
                    <w:right w:val="single" w:sz="4" w:space="0" w:color="auto"/>
                  </w:tcBorders>
                  <w:vAlign w:val="center"/>
                </w:tcPr>
                <w:p w14:paraId="5759BBDB" w14:textId="77777777" w:rsidR="00F76A63" w:rsidRDefault="00000000">
                  <w:pPr>
                    <w:pStyle w:val="00-YO1"/>
                    <w:rPr>
                      <w:rFonts w:ascii="Times New Roman" w:hAnsi="Times New Roman" w:cs="Times New Roman"/>
                    </w:rPr>
                  </w:pPr>
                  <w:r>
                    <w:rPr>
                      <w:rFonts w:ascii="Times New Roman" w:hAnsi="Times New Roman" w:cs="Times New Roman"/>
                    </w:rPr>
                    <w:t>-1920</w:t>
                  </w:r>
                </w:p>
              </w:tc>
              <w:tc>
                <w:tcPr>
                  <w:tcW w:w="471" w:type="pct"/>
                  <w:tcBorders>
                    <w:top w:val="single" w:sz="4" w:space="0" w:color="auto"/>
                    <w:left w:val="single" w:sz="4" w:space="0" w:color="auto"/>
                    <w:bottom w:val="single" w:sz="4" w:space="0" w:color="auto"/>
                    <w:right w:val="single" w:sz="4" w:space="0" w:color="auto"/>
                  </w:tcBorders>
                  <w:vAlign w:val="center"/>
                </w:tcPr>
                <w:p w14:paraId="2888A56A" w14:textId="77777777" w:rsidR="00F76A63" w:rsidRDefault="00000000">
                  <w:pPr>
                    <w:pStyle w:val="00-YO1"/>
                    <w:rPr>
                      <w:rFonts w:ascii="Times New Roman" w:hAnsi="Times New Roman" w:cs="Times New Roman"/>
                    </w:rPr>
                  </w:pPr>
                  <w:r>
                    <w:rPr>
                      <w:rFonts w:ascii="Times New Roman" w:hAnsi="Times New Roman" w:cs="Times New Roman"/>
                    </w:rPr>
                    <w:t>443</w:t>
                  </w:r>
                </w:p>
              </w:tc>
              <w:tc>
                <w:tcPr>
                  <w:tcW w:w="845" w:type="dxa"/>
                  <w:vMerge/>
                  <w:tcBorders>
                    <w:top w:val="single" w:sz="4" w:space="0" w:color="auto"/>
                    <w:left w:val="single" w:sz="4" w:space="0" w:color="auto"/>
                    <w:bottom w:val="single" w:sz="4" w:space="0" w:color="auto"/>
                    <w:right w:val="single" w:sz="4" w:space="0" w:color="auto"/>
                  </w:tcBorders>
                  <w:vAlign w:val="center"/>
                </w:tcPr>
                <w:p w14:paraId="1D3E99B8"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059BE2E4"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485BFD66" w14:textId="77777777" w:rsidR="00F76A63" w:rsidRDefault="00000000">
                  <w:pPr>
                    <w:pStyle w:val="00-YO1"/>
                    <w:rPr>
                      <w:rFonts w:ascii="Times New Roman" w:hAnsi="Times New Roman" w:cs="Times New Roman"/>
                    </w:rPr>
                  </w:pPr>
                  <w:r>
                    <w:rPr>
                      <w:rFonts w:ascii="Times New Roman" w:hAnsi="Times New Roman" w:cs="Times New Roman"/>
                    </w:rPr>
                    <w:t>350</w:t>
                  </w:r>
                </w:p>
              </w:tc>
              <w:tc>
                <w:tcPr>
                  <w:tcW w:w="642" w:type="dxa"/>
                  <w:vMerge/>
                  <w:tcBorders>
                    <w:top w:val="single" w:sz="4" w:space="0" w:color="auto"/>
                    <w:left w:val="single" w:sz="4" w:space="0" w:color="auto"/>
                    <w:bottom w:val="single" w:sz="4" w:space="0" w:color="auto"/>
                    <w:right w:val="single" w:sz="4" w:space="0" w:color="auto"/>
                  </w:tcBorders>
                  <w:vAlign w:val="center"/>
                </w:tcPr>
                <w:p w14:paraId="0C151138"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1F4238AF" w14:textId="77777777" w:rsidR="00F76A63" w:rsidRDefault="00000000">
                  <w:pPr>
                    <w:pStyle w:val="00-YO1"/>
                    <w:rPr>
                      <w:rFonts w:ascii="Times New Roman" w:hAnsi="Times New Roman" w:cs="Times New Roman"/>
                    </w:rPr>
                  </w:pPr>
                  <w:r>
                    <w:rPr>
                      <w:rFonts w:ascii="Times New Roman" w:hAnsi="Times New Roman" w:cs="Times New Roman"/>
                    </w:rPr>
                    <w:t>W</w:t>
                  </w:r>
                </w:p>
              </w:tc>
              <w:tc>
                <w:tcPr>
                  <w:tcW w:w="590" w:type="pct"/>
                  <w:tcBorders>
                    <w:top w:val="single" w:sz="4" w:space="0" w:color="auto"/>
                    <w:left w:val="single" w:sz="4" w:space="0" w:color="auto"/>
                    <w:bottom w:val="single" w:sz="4" w:space="0" w:color="auto"/>
                    <w:right w:val="nil"/>
                  </w:tcBorders>
                  <w:vAlign w:val="center"/>
                </w:tcPr>
                <w:p w14:paraId="4A8552E9" w14:textId="77777777" w:rsidR="00F76A63" w:rsidRDefault="00000000">
                  <w:pPr>
                    <w:pStyle w:val="00-YO1"/>
                    <w:rPr>
                      <w:rFonts w:ascii="Times New Roman" w:hAnsi="Times New Roman" w:cs="Times New Roman"/>
                    </w:rPr>
                  </w:pPr>
                  <w:r>
                    <w:rPr>
                      <w:rFonts w:ascii="Times New Roman" w:hAnsi="Times New Roman" w:cs="Times New Roman"/>
                    </w:rPr>
                    <w:t>1759</w:t>
                  </w:r>
                </w:p>
              </w:tc>
            </w:tr>
            <w:tr w:rsidR="00F76A63" w14:paraId="44045E7C" w14:textId="77777777">
              <w:trPr>
                <w:trHeight w:val="340"/>
                <w:jc w:val="center"/>
              </w:trPr>
              <w:tc>
                <w:tcPr>
                  <w:tcW w:w="678" w:type="pct"/>
                  <w:tcBorders>
                    <w:top w:val="single" w:sz="4" w:space="0" w:color="auto"/>
                    <w:left w:val="nil"/>
                    <w:bottom w:val="single" w:sz="4" w:space="0" w:color="auto"/>
                    <w:right w:val="single" w:sz="4" w:space="0" w:color="auto"/>
                  </w:tcBorders>
                  <w:vAlign w:val="center"/>
                </w:tcPr>
                <w:p w14:paraId="3307E2DB" w14:textId="77777777" w:rsidR="00F76A63" w:rsidRDefault="00000000">
                  <w:pPr>
                    <w:pStyle w:val="00-YO1"/>
                    <w:rPr>
                      <w:rFonts w:ascii="Times New Roman" w:hAnsi="Times New Roman" w:cs="Times New Roman"/>
                    </w:rPr>
                  </w:pPr>
                  <w:r>
                    <w:rPr>
                      <w:rFonts w:ascii="Times New Roman" w:hAnsi="Times New Roman" w:cs="Times New Roman"/>
                    </w:rPr>
                    <w:t>农场村</w:t>
                  </w:r>
                </w:p>
              </w:tc>
              <w:tc>
                <w:tcPr>
                  <w:tcW w:w="377" w:type="pct"/>
                  <w:tcBorders>
                    <w:top w:val="single" w:sz="4" w:space="0" w:color="auto"/>
                    <w:left w:val="single" w:sz="4" w:space="0" w:color="auto"/>
                    <w:bottom w:val="single" w:sz="4" w:space="0" w:color="auto"/>
                    <w:right w:val="single" w:sz="4" w:space="0" w:color="auto"/>
                  </w:tcBorders>
                  <w:vAlign w:val="center"/>
                </w:tcPr>
                <w:p w14:paraId="5096B284" w14:textId="77777777" w:rsidR="00F76A63" w:rsidRDefault="00000000">
                  <w:pPr>
                    <w:pStyle w:val="00-YO1"/>
                    <w:rPr>
                      <w:rFonts w:ascii="Times New Roman" w:hAnsi="Times New Roman" w:cs="Times New Roman"/>
                    </w:rPr>
                  </w:pPr>
                  <w:r>
                    <w:rPr>
                      <w:rFonts w:ascii="Times New Roman" w:hAnsi="Times New Roman" w:cs="Times New Roman"/>
                    </w:rPr>
                    <w:t>1878</w:t>
                  </w:r>
                </w:p>
              </w:tc>
              <w:tc>
                <w:tcPr>
                  <w:tcW w:w="471" w:type="pct"/>
                  <w:tcBorders>
                    <w:top w:val="single" w:sz="4" w:space="0" w:color="auto"/>
                    <w:left w:val="single" w:sz="4" w:space="0" w:color="auto"/>
                    <w:bottom w:val="single" w:sz="4" w:space="0" w:color="auto"/>
                    <w:right w:val="single" w:sz="4" w:space="0" w:color="auto"/>
                  </w:tcBorders>
                  <w:vAlign w:val="center"/>
                </w:tcPr>
                <w:p w14:paraId="404B4C51" w14:textId="77777777" w:rsidR="00F76A63" w:rsidRDefault="00000000">
                  <w:pPr>
                    <w:pStyle w:val="00-YO1"/>
                    <w:rPr>
                      <w:rFonts w:ascii="Times New Roman" w:hAnsi="Times New Roman" w:cs="Times New Roman"/>
                    </w:rPr>
                  </w:pPr>
                  <w:r>
                    <w:rPr>
                      <w:rFonts w:ascii="Times New Roman" w:hAnsi="Times New Roman" w:cs="Times New Roman"/>
                    </w:rPr>
                    <w:t>2200</w:t>
                  </w:r>
                </w:p>
              </w:tc>
              <w:tc>
                <w:tcPr>
                  <w:tcW w:w="845" w:type="dxa"/>
                  <w:vMerge/>
                  <w:tcBorders>
                    <w:top w:val="single" w:sz="4" w:space="0" w:color="auto"/>
                    <w:left w:val="single" w:sz="4" w:space="0" w:color="auto"/>
                    <w:bottom w:val="single" w:sz="4" w:space="0" w:color="auto"/>
                    <w:right w:val="single" w:sz="4" w:space="0" w:color="auto"/>
                  </w:tcBorders>
                  <w:vAlign w:val="center"/>
                </w:tcPr>
                <w:p w14:paraId="23BB9B84"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6F49D37E"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4" w:space="0" w:color="auto"/>
                    <w:right w:val="single" w:sz="4" w:space="0" w:color="auto"/>
                  </w:tcBorders>
                  <w:vAlign w:val="center"/>
                </w:tcPr>
                <w:p w14:paraId="7E437FFB" w14:textId="77777777" w:rsidR="00F76A63" w:rsidRDefault="00000000">
                  <w:pPr>
                    <w:pStyle w:val="00-YO1"/>
                    <w:rPr>
                      <w:rFonts w:ascii="Times New Roman" w:hAnsi="Times New Roman" w:cs="Times New Roman"/>
                    </w:rPr>
                  </w:pPr>
                  <w:r>
                    <w:rPr>
                      <w:rFonts w:ascii="Times New Roman" w:hAnsi="Times New Roman" w:cs="Times New Roman"/>
                    </w:rPr>
                    <w:t>200</w:t>
                  </w:r>
                </w:p>
              </w:tc>
              <w:tc>
                <w:tcPr>
                  <w:tcW w:w="642" w:type="dxa"/>
                  <w:vMerge/>
                  <w:tcBorders>
                    <w:top w:val="single" w:sz="4" w:space="0" w:color="auto"/>
                    <w:left w:val="single" w:sz="4" w:space="0" w:color="auto"/>
                    <w:bottom w:val="single" w:sz="4" w:space="0" w:color="auto"/>
                    <w:right w:val="single" w:sz="4" w:space="0" w:color="auto"/>
                  </w:tcBorders>
                  <w:vAlign w:val="center"/>
                </w:tcPr>
                <w:p w14:paraId="7E91C015"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3882E83B" w14:textId="77777777" w:rsidR="00F76A63" w:rsidRDefault="00000000">
                  <w:pPr>
                    <w:pStyle w:val="00-YO1"/>
                    <w:rPr>
                      <w:rFonts w:ascii="Times New Roman" w:hAnsi="Times New Roman" w:cs="Times New Roman"/>
                    </w:rPr>
                  </w:pPr>
                  <w:r>
                    <w:rPr>
                      <w:rFonts w:ascii="Times New Roman" w:hAnsi="Times New Roman" w:cs="Times New Roman"/>
                    </w:rPr>
                    <w:t>NE</w:t>
                  </w:r>
                </w:p>
              </w:tc>
              <w:tc>
                <w:tcPr>
                  <w:tcW w:w="590" w:type="pct"/>
                  <w:tcBorders>
                    <w:top w:val="single" w:sz="4" w:space="0" w:color="auto"/>
                    <w:left w:val="single" w:sz="4" w:space="0" w:color="auto"/>
                    <w:bottom w:val="single" w:sz="4" w:space="0" w:color="auto"/>
                    <w:right w:val="nil"/>
                  </w:tcBorders>
                  <w:vAlign w:val="center"/>
                </w:tcPr>
                <w:p w14:paraId="1113E9FE" w14:textId="77777777" w:rsidR="00F76A63" w:rsidRDefault="00000000">
                  <w:pPr>
                    <w:pStyle w:val="00-YO1"/>
                    <w:rPr>
                      <w:rFonts w:ascii="Times New Roman" w:hAnsi="Times New Roman" w:cs="Times New Roman"/>
                    </w:rPr>
                  </w:pPr>
                  <w:r>
                    <w:rPr>
                      <w:rFonts w:ascii="Times New Roman" w:hAnsi="Times New Roman" w:cs="Times New Roman"/>
                    </w:rPr>
                    <w:t>2090</w:t>
                  </w:r>
                </w:p>
              </w:tc>
            </w:tr>
            <w:tr w:rsidR="00F76A63" w14:paraId="57AC49A2" w14:textId="77777777">
              <w:trPr>
                <w:trHeight w:val="340"/>
                <w:jc w:val="center"/>
              </w:trPr>
              <w:tc>
                <w:tcPr>
                  <w:tcW w:w="678" w:type="pct"/>
                  <w:tcBorders>
                    <w:top w:val="single" w:sz="4" w:space="0" w:color="auto"/>
                    <w:left w:val="nil"/>
                    <w:bottom w:val="single" w:sz="12" w:space="0" w:color="auto"/>
                    <w:right w:val="single" w:sz="4" w:space="0" w:color="auto"/>
                  </w:tcBorders>
                  <w:vAlign w:val="center"/>
                </w:tcPr>
                <w:p w14:paraId="76A99123" w14:textId="77777777" w:rsidR="00F76A63" w:rsidRDefault="00000000">
                  <w:pPr>
                    <w:pStyle w:val="00-YO1"/>
                    <w:rPr>
                      <w:rFonts w:ascii="Times New Roman" w:hAnsi="Times New Roman" w:cs="Times New Roman"/>
                    </w:rPr>
                  </w:pPr>
                  <w:r>
                    <w:rPr>
                      <w:rFonts w:ascii="Times New Roman" w:hAnsi="Times New Roman" w:cs="Times New Roman"/>
                    </w:rPr>
                    <w:t>沙窝</w:t>
                  </w:r>
                </w:p>
              </w:tc>
              <w:tc>
                <w:tcPr>
                  <w:tcW w:w="377" w:type="pct"/>
                  <w:tcBorders>
                    <w:top w:val="single" w:sz="4" w:space="0" w:color="auto"/>
                    <w:left w:val="single" w:sz="4" w:space="0" w:color="auto"/>
                    <w:bottom w:val="single" w:sz="12" w:space="0" w:color="auto"/>
                    <w:right w:val="single" w:sz="4" w:space="0" w:color="auto"/>
                  </w:tcBorders>
                  <w:vAlign w:val="center"/>
                </w:tcPr>
                <w:p w14:paraId="6231E09A" w14:textId="77777777" w:rsidR="00F76A63" w:rsidRDefault="00000000">
                  <w:pPr>
                    <w:pStyle w:val="00-YO1"/>
                    <w:rPr>
                      <w:rFonts w:ascii="Times New Roman" w:hAnsi="Times New Roman" w:cs="Times New Roman"/>
                    </w:rPr>
                  </w:pPr>
                  <w:r>
                    <w:rPr>
                      <w:rFonts w:ascii="Times New Roman" w:hAnsi="Times New Roman" w:cs="Times New Roman"/>
                    </w:rPr>
                    <w:t>2552</w:t>
                  </w:r>
                </w:p>
              </w:tc>
              <w:tc>
                <w:tcPr>
                  <w:tcW w:w="471" w:type="pct"/>
                  <w:tcBorders>
                    <w:top w:val="single" w:sz="4" w:space="0" w:color="auto"/>
                    <w:left w:val="single" w:sz="4" w:space="0" w:color="auto"/>
                    <w:bottom w:val="single" w:sz="12" w:space="0" w:color="auto"/>
                    <w:right w:val="single" w:sz="4" w:space="0" w:color="auto"/>
                  </w:tcBorders>
                  <w:vAlign w:val="center"/>
                </w:tcPr>
                <w:p w14:paraId="2E825B93" w14:textId="77777777" w:rsidR="00F76A63" w:rsidRDefault="00000000">
                  <w:pPr>
                    <w:pStyle w:val="00-YO1"/>
                    <w:rPr>
                      <w:rFonts w:ascii="Times New Roman" w:hAnsi="Times New Roman" w:cs="Times New Roman"/>
                    </w:rPr>
                  </w:pPr>
                  <w:r>
                    <w:rPr>
                      <w:rFonts w:ascii="Times New Roman" w:hAnsi="Times New Roman" w:cs="Times New Roman"/>
                    </w:rPr>
                    <w:t>1539</w:t>
                  </w:r>
                </w:p>
              </w:tc>
              <w:tc>
                <w:tcPr>
                  <w:tcW w:w="845" w:type="dxa"/>
                  <w:vMerge/>
                  <w:tcBorders>
                    <w:top w:val="single" w:sz="4" w:space="0" w:color="auto"/>
                    <w:left w:val="single" w:sz="4" w:space="0" w:color="auto"/>
                    <w:bottom w:val="single" w:sz="4" w:space="0" w:color="auto"/>
                    <w:right w:val="single" w:sz="4" w:space="0" w:color="auto"/>
                  </w:tcBorders>
                  <w:vAlign w:val="center"/>
                </w:tcPr>
                <w:p w14:paraId="59FFD1E5" w14:textId="77777777" w:rsidR="00F76A63" w:rsidRDefault="00F76A63">
                  <w:pPr>
                    <w:widowControl/>
                    <w:jc w:val="center"/>
                    <w:rPr>
                      <w:bCs/>
                      <w:kern w:val="28"/>
                      <w:szCs w:val="21"/>
                    </w:rPr>
                  </w:pPr>
                </w:p>
              </w:tc>
              <w:tc>
                <w:tcPr>
                  <w:tcW w:w="1632" w:type="dxa"/>
                  <w:vMerge/>
                  <w:tcBorders>
                    <w:top w:val="single" w:sz="4" w:space="0" w:color="auto"/>
                    <w:left w:val="single" w:sz="4" w:space="0" w:color="auto"/>
                    <w:bottom w:val="single" w:sz="4" w:space="0" w:color="auto"/>
                    <w:right w:val="single" w:sz="4" w:space="0" w:color="auto"/>
                  </w:tcBorders>
                  <w:vAlign w:val="center"/>
                </w:tcPr>
                <w:p w14:paraId="46242092" w14:textId="77777777" w:rsidR="00F76A63" w:rsidRDefault="00F76A63">
                  <w:pPr>
                    <w:widowControl/>
                    <w:jc w:val="center"/>
                    <w:rPr>
                      <w:bCs/>
                      <w:kern w:val="28"/>
                      <w:szCs w:val="21"/>
                    </w:rPr>
                  </w:pPr>
                </w:p>
              </w:tc>
              <w:tc>
                <w:tcPr>
                  <w:tcW w:w="634" w:type="pct"/>
                  <w:tcBorders>
                    <w:top w:val="single" w:sz="4" w:space="0" w:color="auto"/>
                    <w:left w:val="single" w:sz="4" w:space="0" w:color="auto"/>
                    <w:bottom w:val="single" w:sz="12" w:space="0" w:color="auto"/>
                    <w:right w:val="single" w:sz="4" w:space="0" w:color="auto"/>
                  </w:tcBorders>
                  <w:vAlign w:val="center"/>
                </w:tcPr>
                <w:p w14:paraId="73026DD5" w14:textId="77777777" w:rsidR="00F76A63" w:rsidRDefault="00000000">
                  <w:pPr>
                    <w:pStyle w:val="00-YO1"/>
                    <w:rPr>
                      <w:rFonts w:ascii="Times New Roman" w:hAnsi="Times New Roman" w:cs="Times New Roman"/>
                    </w:rPr>
                  </w:pPr>
                  <w:r>
                    <w:rPr>
                      <w:rFonts w:ascii="Times New Roman" w:hAnsi="Times New Roman" w:cs="Times New Roman"/>
                    </w:rPr>
                    <w:t>220</w:t>
                  </w:r>
                </w:p>
              </w:tc>
              <w:tc>
                <w:tcPr>
                  <w:tcW w:w="642" w:type="dxa"/>
                  <w:vMerge/>
                  <w:tcBorders>
                    <w:top w:val="single" w:sz="4" w:space="0" w:color="auto"/>
                    <w:left w:val="single" w:sz="4" w:space="0" w:color="auto"/>
                    <w:bottom w:val="single" w:sz="4" w:space="0" w:color="auto"/>
                    <w:right w:val="single" w:sz="4" w:space="0" w:color="auto"/>
                  </w:tcBorders>
                  <w:vAlign w:val="center"/>
                </w:tcPr>
                <w:p w14:paraId="3F3C7AB1" w14:textId="77777777" w:rsidR="00F76A63" w:rsidRDefault="00F76A63">
                  <w:pPr>
                    <w:widowControl/>
                    <w:jc w:val="center"/>
                    <w:rPr>
                      <w:bCs/>
                      <w:kern w:val="28"/>
                      <w:szCs w:val="21"/>
                    </w:rPr>
                  </w:pPr>
                </w:p>
              </w:tc>
              <w:tc>
                <w:tcPr>
                  <w:tcW w:w="401" w:type="pct"/>
                  <w:tcBorders>
                    <w:top w:val="single" w:sz="4" w:space="0" w:color="auto"/>
                    <w:left w:val="single" w:sz="4" w:space="0" w:color="auto"/>
                    <w:bottom w:val="single" w:sz="12" w:space="0" w:color="auto"/>
                    <w:right w:val="single" w:sz="4" w:space="0" w:color="auto"/>
                  </w:tcBorders>
                  <w:vAlign w:val="center"/>
                </w:tcPr>
                <w:p w14:paraId="0E3BAAF3" w14:textId="77777777" w:rsidR="00F76A63" w:rsidRDefault="00000000">
                  <w:pPr>
                    <w:pStyle w:val="00-YO1"/>
                    <w:rPr>
                      <w:rFonts w:ascii="Times New Roman" w:hAnsi="Times New Roman" w:cs="Times New Roman"/>
                    </w:rPr>
                  </w:pPr>
                  <w:r>
                    <w:rPr>
                      <w:rFonts w:ascii="Times New Roman" w:hAnsi="Times New Roman" w:cs="Times New Roman"/>
                    </w:rPr>
                    <w:t>NE</w:t>
                  </w:r>
                </w:p>
              </w:tc>
              <w:tc>
                <w:tcPr>
                  <w:tcW w:w="590" w:type="pct"/>
                  <w:tcBorders>
                    <w:top w:val="single" w:sz="4" w:space="0" w:color="auto"/>
                    <w:left w:val="single" w:sz="4" w:space="0" w:color="auto"/>
                    <w:bottom w:val="single" w:sz="12" w:space="0" w:color="auto"/>
                    <w:right w:val="nil"/>
                  </w:tcBorders>
                  <w:vAlign w:val="center"/>
                </w:tcPr>
                <w:p w14:paraId="2219ED2B" w14:textId="77777777" w:rsidR="00F76A63" w:rsidRDefault="00000000">
                  <w:pPr>
                    <w:pStyle w:val="00-YO1"/>
                    <w:rPr>
                      <w:rFonts w:ascii="Times New Roman" w:hAnsi="Times New Roman" w:cs="Times New Roman"/>
                    </w:rPr>
                  </w:pPr>
                  <w:r>
                    <w:rPr>
                      <w:rFonts w:ascii="Times New Roman" w:hAnsi="Times New Roman" w:cs="Times New Roman"/>
                    </w:rPr>
                    <w:t>2170</w:t>
                  </w:r>
                </w:p>
              </w:tc>
            </w:tr>
          </w:tbl>
          <w:p w14:paraId="0791C2D7" w14:textId="77777777" w:rsidR="00F76A63" w:rsidRDefault="00000000">
            <w:pPr>
              <w:pStyle w:val="afc"/>
              <w:rPr>
                <w:b/>
                <w:bCs/>
                <w:sz w:val="18"/>
                <w:szCs w:val="21"/>
              </w:rPr>
            </w:pPr>
            <w:r>
              <w:rPr>
                <w:b/>
                <w:bCs/>
                <w:sz w:val="18"/>
                <w:szCs w:val="21"/>
              </w:rPr>
              <w:t>注：</w:t>
            </w:r>
            <w:r>
              <w:rPr>
                <w:b/>
                <w:bCs/>
                <w:sz w:val="18"/>
                <w:szCs w:val="21"/>
              </w:rPr>
              <w:t>1</w:t>
            </w:r>
            <w:r>
              <w:rPr>
                <w:b/>
                <w:bCs/>
                <w:sz w:val="18"/>
                <w:szCs w:val="21"/>
              </w:rPr>
              <w:t>、以本项目所在厂区中心点为（</w:t>
            </w:r>
            <w:r>
              <w:rPr>
                <w:b/>
                <w:bCs/>
                <w:sz w:val="18"/>
                <w:szCs w:val="21"/>
              </w:rPr>
              <w:t>0</w:t>
            </w:r>
            <w:r>
              <w:rPr>
                <w:b/>
                <w:bCs/>
                <w:sz w:val="18"/>
                <w:szCs w:val="21"/>
              </w:rPr>
              <w:t>，</w:t>
            </w:r>
            <w:r>
              <w:rPr>
                <w:b/>
                <w:bCs/>
                <w:sz w:val="18"/>
                <w:szCs w:val="21"/>
              </w:rPr>
              <w:t>0</w:t>
            </w:r>
            <w:r>
              <w:rPr>
                <w:b/>
                <w:bCs/>
                <w:sz w:val="18"/>
                <w:szCs w:val="21"/>
              </w:rPr>
              <w:t>）点，东西向为</w:t>
            </w:r>
            <w:r>
              <w:rPr>
                <w:b/>
                <w:bCs/>
                <w:sz w:val="18"/>
                <w:szCs w:val="21"/>
              </w:rPr>
              <w:t>X</w:t>
            </w:r>
            <w:r>
              <w:rPr>
                <w:b/>
                <w:bCs/>
                <w:sz w:val="18"/>
                <w:szCs w:val="21"/>
              </w:rPr>
              <w:t>轴，南北向为</w:t>
            </w:r>
            <w:r>
              <w:rPr>
                <w:b/>
                <w:bCs/>
                <w:sz w:val="18"/>
                <w:szCs w:val="21"/>
              </w:rPr>
              <w:t>Y</w:t>
            </w:r>
            <w:r>
              <w:rPr>
                <w:b/>
                <w:bCs/>
                <w:sz w:val="18"/>
                <w:szCs w:val="21"/>
              </w:rPr>
              <w:t>轴</w:t>
            </w:r>
          </w:p>
          <w:p w14:paraId="7DEC76A9" w14:textId="77777777" w:rsidR="00F76A63" w:rsidRDefault="00000000">
            <w:pPr>
              <w:keepNext/>
              <w:widowControl/>
              <w:adjustRightInd w:val="0"/>
              <w:snapToGrid w:val="0"/>
              <w:spacing w:line="500" w:lineRule="exact"/>
              <w:jc w:val="center"/>
              <w:outlineLvl w:val="7"/>
              <w:rPr>
                <w:b/>
                <w:sz w:val="24"/>
              </w:rPr>
            </w:pPr>
            <w:r>
              <w:rPr>
                <w:b/>
                <w:sz w:val="24"/>
              </w:rPr>
              <w:t>表</w:t>
            </w:r>
            <w:r>
              <w:rPr>
                <w:b/>
                <w:sz w:val="24"/>
              </w:rPr>
              <w:t xml:space="preserve">3-8  </w:t>
            </w:r>
            <w:r>
              <w:rPr>
                <w:b/>
                <w:sz w:val="24"/>
              </w:rPr>
              <w:t>建设项目其他主要保护目标</w:t>
            </w:r>
          </w:p>
          <w:tbl>
            <w:tblPr>
              <w:tblW w:w="4998"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022"/>
              <w:gridCol w:w="1417"/>
              <w:gridCol w:w="708"/>
              <w:gridCol w:w="1276"/>
              <w:gridCol w:w="1559"/>
              <w:gridCol w:w="422"/>
              <w:gridCol w:w="1775"/>
            </w:tblGrid>
            <w:tr w:rsidR="00F76A63" w14:paraId="3A90DD47" w14:textId="77777777">
              <w:trPr>
                <w:trHeight w:val="300"/>
                <w:jc w:val="center"/>
              </w:trPr>
              <w:tc>
                <w:tcPr>
                  <w:tcW w:w="625" w:type="pct"/>
                  <w:tcBorders>
                    <w:tl2br w:val="nil"/>
                    <w:tr2bl w:val="nil"/>
                  </w:tcBorders>
                  <w:tcMar>
                    <w:left w:w="57" w:type="dxa"/>
                    <w:right w:w="57" w:type="dxa"/>
                  </w:tcMar>
                  <w:vAlign w:val="center"/>
                </w:tcPr>
                <w:p w14:paraId="73913950" w14:textId="77777777" w:rsidR="00F76A63" w:rsidRDefault="00000000">
                  <w:pPr>
                    <w:adjustRightInd w:val="0"/>
                    <w:snapToGrid w:val="0"/>
                    <w:jc w:val="center"/>
                    <w:rPr>
                      <w:b/>
                      <w:bCs/>
                      <w:szCs w:val="21"/>
                    </w:rPr>
                  </w:pPr>
                  <w:r>
                    <w:rPr>
                      <w:b/>
                      <w:bCs/>
                      <w:szCs w:val="21"/>
                    </w:rPr>
                    <w:t>环境要素</w:t>
                  </w:r>
                </w:p>
              </w:tc>
              <w:tc>
                <w:tcPr>
                  <w:tcW w:w="866" w:type="pct"/>
                  <w:tcBorders>
                    <w:tl2br w:val="nil"/>
                    <w:tr2bl w:val="nil"/>
                  </w:tcBorders>
                  <w:tcMar>
                    <w:left w:w="57" w:type="dxa"/>
                    <w:right w:w="57" w:type="dxa"/>
                  </w:tcMar>
                  <w:vAlign w:val="center"/>
                </w:tcPr>
                <w:p w14:paraId="25509F16" w14:textId="77777777" w:rsidR="00F76A63" w:rsidRDefault="00000000">
                  <w:pPr>
                    <w:adjustRightInd w:val="0"/>
                    <w:snapToGrid w:val="0"/>
                    <w:jc w:val="center"/>
                    <w:rPr>
                      <w:b/>
                      <w:bCs/>
                      <w:szCs w:val="21"/>
                    </w:rPr>
                  </w:pPr>
                  <w:r>
                    <w:rPr>
                      <w:b/>
                      <w:bCs/>
                      <w:szCs w:val="21"/>
                    </w:rPr>
                    <w:t>环境保护目标</w:t>
                  </w:r>
                </w:p>
              </w:tc>
              <w:tc>
                <w:tcPr>
                  <w:tcW w:w="433" w:type="pct"/>
                  <w:tcBorders>
                    <w:tl2br w:val="nil"/>
                    <w:tr2bl w:val="nil"/>
                  </w:tcBorders>
                  <w:vAlign w:val="center"/>
                </w:tcPr>
                <w:p w14:paraId="20F3CD8F" w14:textId="77777777" w:rsidR="00F76A63" w:rsidRDefault="00000000">
                  <w:pPr>
                    <w:adjustRightInd w:val="0"/>
                    <w:snapToGrid w:val="0"/>
                    <w:jc w:val="center"/>
                    <w:rPr>
                      <w:b/>
                      <w:bCs/>
                      <w:szCs w:val="21"/>
                    </w:rPr>
                  </w:pPr>
                  <w:r>
                    <w:rPr>
                      <w:b/>
                      <w:bCs/>
                      <w:szCs w:val="21"/>
                    </w:rPr>
                    <w:t>方位</w:t>
                  </w:r>
                </w:p>
              </w:tc>
              <w:tc>
                <w:tcPr>
                  <w:tcW w:w="780" w:type="pct"/>
                  <w:tcBorders>
                    <w:tl2br w:val="nil"/>
                    <w:tr2bl w:val="nil"/>
                  </w:tcBorders>
                  <w:vAlign w:val="center"/>
                </w:tcPr>
                <w:p w14:paraId="4421B420" w14:textId="77777777" w:rsidR="00F76A63" w:rsidRDefault="00000000">
                  <w:pPr>
                    <w:adjustRightInd w:val="0"/>
                    <w:snapToGrid w:val="0"/>
                    <w:jc w:val="center"/>
                    <w:rPr>
                      <w:b/>
                      <w:bCs/>
                      <w:szCs w:val="21"/>
                    </w:rPr>
                  </w:pPr>
                  <w:r>
                    <w:rPr>
                      <w:b/>
                      <w:bCs/>
                      <w:szCs w:val="21"/>
                    </w:rPr>
                    <w:t>距厂界最近距离</w:t>
                  </w:r>
                  <w:r>
                    <w:rPr>
                      <w:b/>
                      <w:bCs/>
                      <w:szCs w:val="21"/>
                    </w:rPr>
                    <w:t>(m)</w:t>
                  </w:r>
                </w:p>
              </w:tc>
              <w:tc>
                <w:tcPr>
                  <w:tcW w:w="953" w:type="pct"/>
                  <w:tcBorders>
                    <w:tl2br w:val="nil"/>
                    <w:tr2bl w:val="nil"/>
                  </w:tcBorders>
                  <w:vAlign w:val="center"/>
                </w:tcPr>
                <w:p w14:paraId="5C080CE9" w14:textId="77777777" w:rsidR="00F76A63" w:rsidRDefault="00000000">
                  <w:pPr>
                    <w:adjustRightInd w:val="0"/>
                    <w:snapToGrid w:val="0"/>
                    <w:jc w:val="center"/>
                    <w:rPr>
                      <w:b/>
                      <w:bCs/>
                      <w:szCs w:val="21"/>
                    </w:rPr>
                  </w:pPr>
                  <w:r>
                    <w:rPr>
                      <w:b/>
                      <w:bCs/>
                      <w:szCs w:val="21"/>
                    </w:rPr>
                    <w:t>功能区划</w:t>
                  </w:r>
                </w:p>
              </w:tc>
              <w:tc>
                <w:tcPr>
                  <w:tcW w:w="1343" w:type="pct"/>
                  <w:gridSpan w:val="2"/>
                  <w:tcBorders>
                    <w:tl2br w:val="nil"/>
                    <w:tr2bl w:val="nil"/>
                  </w:tcBorders>
                  <w:tcMar>
                    <w:left w:w="57" w:type="dxa"/>
                    <w:right w:w="57" w:type="dxa"/>
                  </w:tcMar>
                  <w:vAlign w:val="center"/>
                </w:tcPr>
                <w:p w14:paraId="3BE425F4" w14:textId="77777777" w:rsidR="00F76A63" w:rsidRDefault="00000000">
                  <w:pPr>
                    <w:adjustRightInd w:val="0"/>
                    <w:snapToGrid w:val="0"/>
                    <w:jc w:val="center"/>
                    <w:rPr>
                      <w:b/>
                      <w:bCs/>
                      <w:szCs w:val="21"/>
                    </w:rPr>
                  </w:pPr>
                  <w:r>
                    <w:rPr>
                      <w:b/>
                      <w:bCs/>
                      <w:szCs w:val="21"/>
                    </w:rPr>
                    <w:t>环境功能</w:t>
                  </w:r>
                </w:p>
              </w:tc>
            </w:tr>
            <w:tr w:rsidR="00F76A63" w14:paraId="77CD1FED" w14:textId="77777777">
              <w:trPr>
                <w:trHeight w:val="348"/>
                <w:jc w:val="center"/>
              </w:trPr>
              <w:tc>
                <w:tcPr>
                  <w:tcW w:w="625" w:type="pct"/>
                  <w:vMerge w:val="restart"/>
                  <w:tcBorders>
                    <w:tl2br w:val="nil"/>
                    <w:tr2bl w:val="nil"/>
                  </w:tcBorders>
                  <w:tcMar>
                    <w:left w:w="57" w:type="dxa"/>
                    <w:right w:w="57" w:type="dxa"/>
                  </w:tcMar>
                  <w:vAlign w:val="center"/>
                </w:tcPr>
                <w:p w14:paraId="6285CC40" w14:textId="77777777" w:rsidR="00F76A63" w:rsidRDefault="00000000">
                  <w:pPr>
                    <w:adjustRightInd w:val="0"/>
                    <w:snapToGrid w:val="0"/>
                    <w:jc w:val="center"/>
                    <w:rPr>
                      <w:szCs w:val="21"/>
                    </w:rPr>
                  </w:pPr>
                  <w:r>
                    <w:rPr>
                      <w:szCs w:val="21"/>
                    </w:rPr>
                    <w:t>水环境</w:t>
                  </w:r>
                </w:p>
              </w:tc>
              <w:tc>
                <w:tcPr>
                  <w:tcW w:w="866" w:type="pct"/>
                  <w:tcBorders>
                    <w:tl2br w:val="nil"/>
                    <w:tr2bl w:val="nil"/>
                  </w:tcBorders>
                  <w:tcMar>
                    <w:left w:w="57" w:type="dxa"/>
                    <w:right w:w="57" w:type="dxa"/>
                  </w:tcMar>
                  <w:vAlign w:val="center"/>
                </w:tcPr>
                <w:p w14:paraId="41F99CD3" w14:textId="77777777" w:rsidR="00F76A63" w:rsidRDefault="00000000">
                  <w:pPr>
                    <w:adjustRightInd w:val="0"/>
                    <w:snapToGrid w:val="0"/>
                    <w:jc w:val="center"/>
                    <w:rPr>
                      <w:szCs w:val="21"/>
                    </w:rPr>
                  </w:pPr>
                  <w:r>
                    <w:rPr>
                      <w:szCs w:val="21"/>
                    </w:rPr>
                    <w:t>老便民河</w:t>
                  </w:r>
                </w:p>
              </w:tc>
              <w:tc>
                <w:tcPr>
                  <w:tcW w:w="433" w:type="pct"/>
                  <w:tcBorders>
                    <w:tl2br w:val="nil"/>
                    <w:tr2bl w:val="nil"/>
                  </w:tcBorders>
                  <w:vAlign w:val="center"/>
                </w:tcPr>
                <w:p w14:paraId="200221DF" w14:textId="77777777" w:rsidR="00F76A63" w:rsidRDefault="00000000">
                  <w:pPr>
                    <w:adjustRightInd w:val="0"/>
                    <w:snapToGrid w:val="0"/>
                    <w:jc w:val="center"/>
                    <w:rPr>
                      <w:szCs w:val="21"/>
                    </w:rPr>
                  </w:pPr>
                  <w:r>
                    <w:rPr>
                      <w:szCs w:val="21"/>
                    </w:rPr>
                    <w:t>S</w:t>
                  </w:r>
                </w:p>
              </w:tc>
              <w:tc>
                <w:tcPr>
                  <w:tcW w:w="780" w:type="pct"/>
                  <w:tcBorders>
                    <w:tl2br w:val="nil"/>
                    <w:tr2bl w:val="nil"/>
                  </w:tcBorders>
                  <w:vAlign w:val="center"/>
                </w:tcPr>
                <w:p w14:paraId="0CDA2BFA" w14:textId="77777777" w:rsidR="00F76A63" w:rsidRDefault="00000000">
                  <w:pPr>
                    <w:adjustRightInd w:val="0"/>
                    <w:snapToGrid w:val="0"/>
                    <w:jc w:val="center"/>
                    <w:rPr>
                      <w:szCs w:val="21"/>
                    </w:rPr>
                  </w:pPr>
                  <w:r>
                    <w:rPr>
                      <w:szCs w:val="21"/>
                    </w:rPr>
                    <w:t>30</w:t>
                  </w:r>
                </w:p>
              </w:tc>
              <w:tc>
                <w:tcPr>
                  <w:tcW w:w="953" w:type="pct"/>
                  <w:tcBorders>
                    <w:tl2br w:val="nil"/>
                    <w:tr2bl w:val="nil"/>
                  </w:tcBorders>
                  <w:vAlign w:val="center"/>
                </w:tcPr>
                <w:p w14:paraId="28D5BFA2" w14:textId="77777777" w:rsidR="00F76A63" w:rsidRDefault="00000000">
                  <w:pPr>
                    <w:adjustRightInd w:val="0"/>
                    <w:snapToGrid w:val="0"/>
                    <w:jc w:val="center"/>
                    <w:rPr>
                      <w:szCs w:val="21"/>
                    </w:rPr>
                  </w:pPr>
                  <w:r>
                    <w:t>渔业、工业、农业用水</w:t>
                  </w:r>
                </w:p>
              </w:tc>
              <w:tc>
                <w:tcPr>
                  <w:tcW w:w="258" w:type="pct"/>
                  <w:tcBorders>
                    <w:tl2br w:val="nil"/>
                    <w:tr2bl w:val="nil"/>
                  </w:tcBorders>
                  <w:tcMar>
                    <w:left w:w="57" w:type="dxa"/>
                    <w:right w:w="57" w:type="dxa"/>
                  </w:tcMar>
                  <w:vAlign w:val="center"/>
                </w:tcPr>
                <w:p w14:paraId="2B256AF7" w14:textId="77777777" w:rsidR="00F76A63" w:rsidRDefault="00000000">
                  <w:pPr>
                    <w:adjustRightInd w:val="0"/>
                    <w:snapToGrid w:val="0"/>
                    <w:jc w:val="center"/>
                    <w:rPr>
                      <w:b/>
                      <w:szCs w:val="21"/>
                    </w:rPr>
                  </w:pPr>
                  <w:r>
                    <w:rPr>
                      <w:szCs w:val="21"/>
                    </w:rPr>
                    <w:t>Ⅲ</w:t>
                  </w:r>
                  <w:r>
                    <w:rPr>
                      <w:szCs w:val="21"/>
                    </w:rPr>
                    <w:t>类</w:t>
                  </w:r>
                </w:p>
              </w:tc>
              <w:tc>
                <w:tcPr>
                  <w:tcW w:w="1085" w:type="pct"/>
                  <w:vMerge w:val="restart"/>
                  <w:tcBorders>
                    <w:tl2br w:val="nil"/>
                    <w:tr2bl w:val="nil"/>
                  </w:tcBorders>
                  <w:tcMar>
                    <w:left w:w="57" w:type="dxa"/>
                    <w:right w:w="57" w:type="dxa"/>
                  </w:tcMar>
                  <w:vAlign w:val="center"/>
                </w:tcPr>
                <w:p w14:paraId="558559A6" w14:textId="77777777" w:rsidR="00F76A63" w:rsidRDefault="00000000">
                  <w:pPr>
                    <w:adjustRightInd w:val="0"/>
                    <w:snapToGrid w:val="0"/>
                    <w:jc w:val="center"/>
                    <w:rPr>
                      <w:szCs w:val="21"/>
                    </w:rPr>
                  </w:pPr>
                  <w:r>
                    <w:rPr>
                      <w:szCs w:val="21"/>
                    </w:rPr>
                    <w:t>《地表水环境质量标准》（</w:t>
                  </w:r>
                  <w:r>
                    <w:rPr>
                      <w:szCs w:val="21"/>
                    </w:rPr>
                    <w:t>GB3838-2002</w:t>
                  </w:r>
                  <w:r>
                    <w:rPr>
                      <w:szCs w:val="21"/>
                    </w:rPr>
                    <w:t>）</w:t>
                  </w:r>
                </w:p>
              </w:tc>
            </w:tr>
            <w:tr w:rsidR="00F76A63" w14:paraId="546465EB" w14:textId="77777777">
              <w:trPr>
                <w:trHeight w:val="300"/>
                <w:jc w:val="center"/>
              </w:trPr>
              <w:tc>
                <w:tcPr>
                  <w:tcW w:w="625" w:type="pct"/>
                  <w:vMerge/>
                  <w:tcBorders>
                    <w:tl2br w:val="nil"/>
                    <w:tr2bl w:val="nil"/>
                  </w:tcBorders>
                  <w:tcMar>
                    <w:left w:w="57" w:type="dxa"/>
                    <w:right w:w="57" w:type="dxa"/>
                  </w:tcMar>
                  <w:vAlign w:val="center"/>
                </w:tcPr>
                <w:p w14:paraId="134EB326" w14:textId="77777777" w:rsidR="00F76A63" w:rsidRDefault="00F76A63">
                  <w:pPr>
                    <w:adjustRightInd w:val="0"/>
                    <w:snapToGrid w:val="0"/>
                    <w:jc w:val="center"/>
                    <w:rPr>
                      <w:szCs w:val="21"/>
                    </w:rPr>
                  </w:pPr>
                </w:p>
              </w:tc>
              <w:tc>
                <w:tcPr>
                  <w:tcW w:w="866" w:type="pct"/>
                  <w:tcBorders>
                    <w:tl2br w:val="nil"/>
                    <w:tr2bl w:val="nil"/>
                  </w:tcBorders>
                  <w:tcMar>
                    <w:left w:w="57" w:type="dxa"/>
                    <w:right w:w="57" w:type="dxa"/>
                  </w:tcMar>
                  <w:vAlign w:val="center"/>
                </w:tcPr>
                <w:p w14:paraId="4D3B6995" w14:textId="77777777" w:rsidR="00F76A63" w:rsidRDefault="00000000">
                  <w:pPr>
                    <w:adjustRightInd w:val="0"/>
                    <w:snapToGrid w:val="0"/>
                    <w:jc w:val="center"/>
                    <w:rPr>
                      <w:szCs w:val="21"/>
                    </w:rPr>
                  </w:pPr>
                  <w:r>
                    <w:rPr>
                      <w:szCs w:val="21"/>
                    </w:rPr>
                    <w:t>长江</w:t>
                  </w:r>
                </w:p>
              </w:tc>
              <w:tc>
                <w:tcPr>
                  <w:tcW w:w="433" w:type="pct"/>
                  <w:tcBorders>
                    <w:tl2br w:val="nil"/>
                    <w:tr2bl w:val="nil"/>
                  </w:tcBorders>
                  <w:vAlign w:val="center"/>
                </w:tcPr>
                <w:p w14:paraId="7B4E5C7B" w14:textId="77777777" w:rsidR="00F76A63" w:rsidRDefault="00000000">
                  <w:pPr>
                    <w:adjustRightInd w:val="0"/>
                    <w:snapToGrid w:val="0"/>
                    <w:jc w:val="center"/>
                    <w:rPr>
                      <w:kern w:val="0"/>
                      <w:szCs w:val="21"/>
                    </w:rPr>
                  </w:pPr>
                  <w:r>
                    <w:rPr>
                      <w:szCs w:val="21"/>
                    </w:rPr>
                    <w:t>N</w:t>
                  </w:r>
                </w:p>
              </w:tc>
              <w:tc>
                <w:tcPr>
                  <w:tcW w:w="780" w:type="pct"/>
                  <w:tcBorders>
                    <w:tl2br w:val="nil"/>
                    <w:tr2bl w:val="nil"/>
                  </w:tcBorders>
                  <w:vAlign w:val="center"/>
                </w:tcPr>
                <w:p w14:paraId="083ED558" w14:textId="77777777" w:rsidR="00F76A63" w:rsidRDefault="00000000">
                  <w:pPr>
                    <w:adjustRightInd w:val="0"/>
                    <w:snapToGrid w:val="0"/>
                    <w:jc w:val="center"/>
                    <w:rPr>
                      <w:szCs w:val="21"/>
                    </w:rPr>
                  </w:pPr>
                  <w:r>
                    <w:rPr>
                      <w:szCs w:val="21"/>
                    </w:rPr>
                    <w:t>北侧相邻</w:t>
                  </w:r>
                </w:p>
              </w:tc>
              <w:tc>
                <w:tcPr>
                  <w:tcW w:w="953" w:type="pct"/>
                  <w:tcBorders>
                    <w:tl2br w:val="nil"/>
                    <w:tr2bl w:val="nil"/>
                  </w:tcBorders>
                  <w:vAlign w:val="center"/>
                </w:tcPr>
                <w:p w14:paraId="6D8B51C7" w14:textId="77777777" w:rsidR="00F76A63" w:rsidRDefault="00000000">
                  <w:pPr>
                    <w:adjustRightInd w:val="0"/>
                    <w:snapToGrid w:val="0"/>
                    <w:jc w:val="center"/>
                    <w:rPr>
                      <w:szCs w:val="21"/>
                    </w:rPr>
                  </w:pPr>
                  <w:r>
                    <w:t>渔业、饮用水、工业用水</w:t>
                  </w:r>
                </w:p>
              </w:tc>
              <w:tc>
                <w:tcPr>
                  <w:tcW w:w="258" w:type="pct"/>
                  <w:tcBorders>
                    <w:tl2br w:val="nil"/>
                    <w:tr2bl w:val="nil"/>
                  </w:tcBorders>
                  <w:tcMar>
                    <w:left w:w="57" w:type="dxa"/>
                    <w:right w:w="57" w:type="dxa"/>
                  </w:tcMar>
                  <w:vAlign w:val="center"/>
                </w:tcPr>
                <w:p w14:paraId="14CD4412" w14:textId="77777777" w:rsidR="00F76A63" w:rsidRDefault="00000000">
                  <w:pPr>
                    <w:adjustRightInd w:val="0"/>
                    <w:snapToGrid w:val="0"/>
                    <w:jc w:val="center"/>
                    <w:rPr>
                      <w:szCs w:val="21"/>
                    </w:rPr>
                  </w:pPr>
                  <w:r>
                    <w:rPr>
                      <w:szCs w:val="21"/>
                    </w:rPr>
                    <w:t>II</w:t>
                  </w:r>
                  <w:r>
                    <w:rPr>
                      <w:szCs w:val="21"/>
                    </w:rPr>
                    <w:t>类</w:t>
                  </w:r>
                </w:p>
              </w:tc>
              <w:tc>
                <w:tcPr>
                  <w:tcW w:w="1085" w:type="pct"/>
                  <w:vMerge/>
                  <w:tcBorders>
                    <w:tl2br w:val="nil"/>
                    <w:tr2bl w:val="nil"/>
                  </w:tcBorders>
                  <w:tcMar>
                    <w:left w:w="57" w:type="dxa"/>
                    <w:right w:w="57" w:type="dxa"/>
                  </w:tcMar>
                  <w:vAlign w:val="center"/>
                </w:tcPr>
                <w:p w14:paraId="21B914EC" w14:textId="77777777" w:rsidR="00F76A63" w:rsidRDefault="00F76A63">
                  <w:pPr>
                    <w:adjustRightInd w:val="0"/>
                    <w:snapToGrid w:val="0"/>
                    <w:jc w:val="center"/>
                    <w:rPr>
                      <w:szCs w:val="21"/>
                    </w:rPr>
                  </w:pPr>
                </w:p>
              </w:tc>
            </w:tr>
            <w:tr w:rsidR="00F76A63" w14:paraId="6390EEFC" w14:textId="77777777">
              <w:trPr>
                <w:trHeight w:val="365"/>
                <w:jc w:val="center"/>
              </w:trPr>
              <w:tc>
                <w:tcPr>
                  <w:tcW w:w="625" w:type="pct"/>
                  <w:tcBorders>
                    <w:tl2br w:val="nil"/>
                    <w:tr2bl w:val="nil"/>
                  </w:tcBorders>
                  <w:tcMar>
                    <w:left w:w="57" w:type="dxa"/>
                    <w:right w:w="57" w:type="dxa"/>
                  </w:tcMar>
                  <w:vAlign w:val="center"/>
                </w:tcPr>
                <w:p w14:paraId="2AA6CD73" w14:textId="77777777" w:rsidR="00F76A63" w:rsidRDefault="00000000">
                  <w:pPr>
                    <w:adjustRightInd w:val="0"/>
                    <w:snapToGrid w:val="0"/>
                    <w:jc w:val="center"/>
                    <w:rPr>
                      <w:szCs w:val="21"/>
                    </w:rPr>
                  </w:pPr>
                  <w:r>
                    <w:rPr>
                      <w:szCs w:val="21"/>
                    </w:rPr>
                    <w:t>声环境</w:t>
                  </w:r>
                </w:p>
              </w:tc>
              <w:tc>
                <w:tcPr>
                  <w:tcW w:w="866" w:type="pct"/>
                  <w:tcBorders>
                    <w:tl2br w:val="nil"/>
                    <w:tr2bl w:val="nil"/>
                  </w:tcBorders>
                  <w:tcMar>
                    <w:left w:w="57" w:type="dxa"/>
                    <w:right w:w="57" w:type="dxa"/>
                  </w:tcMar>
                  <w:vAlign w:val="center"/>
                </w:tcPr>
                <w:p w14:paraId="5C248FE4" w14:textId="77777777" w:rsidR="00F76A63" w:rsidRDefault="00000000">
                  <w:pPr>
                    <w:adjustRightInd w:val="0"/>
                    <w:snapToGrid w:val="0"/>
                    <w:jc w:val="center"/>
                    <w:rPr>
                      <w:szCs w:val="21"/>
                    </w:rPr>
                  </w:pPr>
                  <w:r>
                    <w:rPr>
                      <w:kern w:val="0"/>
                      <w:szCs w:val="21"/>
                      <w:lang w:bidi="ar"/>
                    </w:rPr>
                    <w:t>/</w:t>
                  </w:r>
                </w:p>
              </w:tc>
              <w:tc>
                <w:tcPr>
                  <w:tcW w:w="433" w:type="pct"/>
                  <w:tcBorders>
                    <w:tl2br w:val="nil"/>
                    <w:tr2bl w:val="nil"/>
                  </w:tcBorders>
                  <w:tcMar>
                    <w:left w:w="57" w:type="dxa"/>
                    <w:right w:w="57" w:type="dxa"/>
                  </w:tcMar>
                  <w:vAlign w:val="center"/>
                </w:tcPr>
                <w:p w14:paraId="01B0F2E0" w14:textId="77777777" w:rsidR="00F76A63" w:rsidRDefault="00000000">
                  <w:pPr>
                    <w:pStyle w:val="afffffffffffff7"/>
                    <w:adjustRightInd w:val="0"/>
                    <w:snapToGrid w:val="0"/>
                    <w:spacing w:line="240" w:lineRule="auto"/>
                    <w:rPr>
                      <w:rFonts w:ascii="Times New Roman" w:eastAsia="宋体" w:hAnsi="Times New Roman"/>
                      <w:bCs w:val="0"/>
                      <w:kern w:val="0"/>
                      <w:lang w:val="en-US"/>
                    </w:rPr>
                  </w:pPr>
                  <w:r>
                    <w:rPr>
                      <w:rFonts w:ascii="Times New Roman" w:eastAsia="宋体" w:hAnsi="Times New Roman"/>
                      <w:bCs w:val="0"/>
                      <w:kern w:val="0"/>
                      <w:lang w:val="en-US"/>
                    </w:rPr>
                    <w:t>/</w:t>
                  </w:r>
                </w:p>
              </w:tc>
              <w:tc>
                <w:tcPr>
                  <w:tcW w:w="780" w:type="pct"/>
                  <w:tcBorders>
                    <w:tl2br w:val="nil"/>
                    <w:tr2bl w:val="nil"/>
                  </w:tcBorders>
                  <w:tcMar>
                    <w:left w:w="57" w:type="dxa"/>
                    <w:right w:w="57" w:type="dxa"/>
                  </w:tcMar>
                  <w:vAlign w:val="center"/>
                </w:tcPr>
                <w:p w14:paraId="7C623511" w14:textId="77777777" w:rsidR="00F76A63" w:rsidRDefault="00000000">
                  <w:pPr>
                    <w:pStyle w:val="afffffffffffff7"/>
                    <w:adjustRightInd w:val="0"/>
                    <w:snapToGrid w:val="0"/>
                    <w:spacing w:line="240" w:lineRule="auto"/>
                    <w:rPr>
                      <w:rFonts w:ascii="Times New Roman" w:eastAsia="宋体" w:hAnsi="Times New Roman"/>
                      <w:bCs w:val="0"/>
                      <w:kern w:val="0"/>
                      <w:lang w:val="en-US"/>
                    </w:rPr>
                  </w:pPr>
                  <w:r>
                    <w:rPr>
                      <w:rFonts w:ascii="Times New Roman" w:hAnsi="Times New Roman"/>
                    </w:rPr>
                    <w:t>/</w:t>
                  </w:r>
                </w:p>
              </w:tc>
              <w:tc>
                <w:tcPr>
                  <w:tcW w:w="953" w:type="pct"/>
                  <w:tcBorders>
                    <w:tl2br w:val="nil"/>
                    <w:tr2bl w:val="nil"/>
                  </w:tcBorders>
                  <w:vAlign w:val="center"/>
                </w:tcPr>
                <w:p w14:paraId="5E9AC822" w14:textId="77777777" w:rsidR="00F76A63" w:rsidRDefault="00000000">
                  <w:pPr>
                    <w:adjustRightInd w:val="0"/>
                    <w:snapToGrid w:val="0"/>
                    <w:jc w:val="center"/>
                    <w:rPr>
                      <w:kern w:val="0"/>
                      <w:szCs w:val="21"/>
                    </w:rPr>
                  </w:pPr>
                  <w:r>
                    <w:rPr>
                      <w:kern w:val="0"/>
                      <w:szCs w:val="21"/>
                    </w:rPr>
                    <w:t>/</w:t>
                  </w:r>
                </w:p>
              </w:tc>
              <w:tc>
                <w:tcPr>
                  <w:tcW w:w="1343" w:type="pct"/>
                  <w:gridSpan w:val="2"/>
                  <w:tcBorders>
                    <w:tl2br w:val="nil"/>
                    <w:tr2bl w:val="nil"/>
                  </w:tcBorders>
                  <w:tcMar>
                    <w:left w:w="57" w:type="dxa"/>
                    <w:right w:w="57" w:type="dxa"/>
                  </w:tcMar>
                  <w:vAlign w:val="center"/>
                </w:tcPr>
                <w:p w14:paraId="72FCB3F7" w14:textId="77777777" w:rsidR="00F76A63" w:rsidRDefault="00000000">
                  <w:pPr>
                    <w:adjustRightInd w:val="0"/>
                    <w:snapToGrid w:val="0"/>
                    <w:jc w:val="center"/>
                    <w:rPr>
                      <w:szCs w:val="21"/>
                    </w:rPr>
                  </w:pPr>
                  <w:r>
                    <w:rPr>
                      <w:szCs w:val="21"/>
                    </w:rPr>
                    <w:t>/</w:t>
                  </w:r>
                </w:p>
              </w:tc>
            </w:tr>
            <w:tr w:rsidR="00F76A63" w14:paraId="1E086001" w14:textId="77777777">
              <w:trPr>
                <w:trHeight w:val="365"/>
                <w:jc w:val="center"/>
              </w:trPr>
              <w:tc>
                <w:tcPr>
                  <w:tcW w:w="625" w:type="pct"/>
                  <w:tcBorders>
                    <w:tl2br w:val="nil"/>
                    <w:tr2bl w:val="nil"/>
                  </w:tcBorders>
                  <w:tcMar>
                    <w:left w:w="57" w:type="dxa"/>
                    <w:right w:w="57" w:type="dxa"/>
                  </w:tcMar>
                  <w:vAlign w:val="center"/>
                </w:tcPr>
                <w:p w14:paraId="4A2D14E2" w14:textId="77777777" w:rsidR="00F76A63" w:rsidRDefault="00000000">
                  <w:pPr>
                    <w:adjustRightInd w:val="0"/>
                    <w:snapToGrid w:val="0"/>
                    <w:jc w:val="center"/>
                    <w:rPr>
                      <w:szCs w:val="21"/>
                    </w:rPr>
                  </w:pPr>
                  <w:r>
                    <w:rPr>
                      <w:szCs w:val="21"/>
                    </w:rPr>
                    <w:t>地下水</w:t>
                  </w:r>
                </w:p>
              </w:tc>
              <w:tc>
                <w:tcPr>
                  <w:tcW w:w="866" w:type="pct"/>
                  <w:tcBorders>
                    <w:tl2br w:val="nil"/>
                    <w:tr2bl w:val="nil"/>
                  </w:tcBorders>
                  <w:tcMar>
                    <w:left w:w="57" w:type="dxa"/>
                    <w:right w:w="57" w:type="dxa"/>
                  </w:tcMar>
                  <w:vAlign w:val="center"/>
                </w:tcPr>
                <w:p w14:paraId="3E870C0D" w14:textId="77777777" w:rsidR="00F76A63" w:rsidRDefault="00000000">
                  <w:pPr>
                    <w:adjustRightInd w:val="0"/>
                    <w:snapToGrid w:val="0"/>
                    <w:jc w:val="center"/>
                    <w:rPr>
                      <w:szCs w:val="21"/>
                    </w:rPr>
                  </w:pPr>
                  <w:r>
                    <w:rPr>
                      <w:szCs w:val="21"/>
                    </w:rPr>
                    <w:t>/</w:t>
                  </w:r>
                </w:p>
              </w:tc>
              <w:tc>
                <w:tcPr>
                  <w:tcW w:w="433" w:type="pct"/>
                  <w:tcBorders>
                    <w:tl2br w:val="nil"/>
                    <w:tr2bl w:val="nil"/>
                  </w:tcBorders>
                  <w:tcMar>
                    <w:left w:w="57" w:type="dxa"/>
                    <w:right w:w="57" w:type="dxa"/>
                  </w:tcMar>
                  <w:vAlign w:val="center"/>
                </w:tcPr>
                <w:p w14:paraId="5DE6226B" w14:textId="77777777" w:rsidR="00F76A63" w:rsidRDefault="00000000">
                  <w:pPr>
                    <w:adjustRightInd w:val="0"/>
                    <w:snapToGrid w:val="0"/>
                    <w:jc w:val="center"/>
                    <w:rPr>
                      <w:szCs w:val="21"/>
                    </w:rPr>
                  </w:pPr>
                  <w:r>
                    <w:rPr>
                      <w:szCs w:val="21"/>
                    </w:rPr>
                    <w:t>/</w:t>
                  </w:r>
                </w:p>
              </w:tc>
              <w:tc>
                <w:tcPr>
                  <w:tcW w:w="780" w:type="pct"/>
                  <w:tcBorders>
                    <w:tl2br w:val="nil"/>
                    <w:tr2bl w:val="nil"/>
                  </w:tcBorders>
                  <w:tcMar>
                    <w:left w:w="57" w:type="dxa"/>
                    <w:right w:w="57" w:type="dxa"/>
                  </w:tcMar>
                  <w:vAlign w:val="center"/>
                </w:tcPr>
                <w:p w14:paraId="60C33896" w14:textId="77777777" w:rsidR="00F76A63" w:rsidRDefault="00000000">
                  <w:pPr>
                    <w:adjustRightInd w:val="0"/>
                    <w:snapToGrid w:val="0"/>
                    <w:jc w:val="center"/>
                    <w:rPr>
                      <w:szCs w:val="21"/>
                    </w:rPr>
                  </w:pPr>
                  <w:r>
                    <w:rPr>
                      <w:szCs w:val="21"/>
                    </w:rPr>
                    <w:t>/</w:t>
                  </w:r>
                </w:p>
              </w:tc>
              <w:tc>
                <w:tcPr>
                  <w:tcW w:w="953" w:type="pct"/>
                  <w:tcBorders>
                    <w:tl2br w:val="nil"/>
                    <w:tr2bl w:val="nil"/>
                  </w:tcBorders>
                  <w:vAlign w:val="center"/>
                </w:tcPr>
                <w:p w14:paraId="3C5ECAE7" w14:textId="77777777" w:rsidR="00F76A63" w:rsidRDefault="00000000">
                  <w:pPr>
                    <w:adjustRightInd w:val="0"/>
                    <w:snapToGrid w:val="0"/>
                    <w:jc w:val="center"/>
                    <w:rPr>
                      <w:kern w:val="0"/>
                      <w:szCs w:val="21"/>
                    </w:rPr>
                  </w:pPr>
                  <w:r>
                    <w:rPr>
                      <w:kern w:val="0"/>
                      <w:szCs w:val="21"/>
                    </w:rPr>
                    <w:t>/</w:t>
                  </w:r>
                </w:p>
              </w:tc>
              <w:tc>
                <w:tcPr>
                  <w:tcW w:w="1343" w:type="pct"/>
                  <w:gridSpan w:val="2"/>
                  <w:tcBorders>
                    <w:tl2br w:val="nil"/>
                    <w:tr2bl w:val="nil"/>
                  </w:tcBorders>
                  <w:tcMar>
                    <w:left w:w="57" w:type="dxa"/>
                    <w:right w:w="57" w:type="dxa"/>
                  </w:tcMar>
                  <w:vAlign w:val="center"/>
                </w:tcPr>
                <w:p w14:paraId="1B9AD5CA" w14:textId="77777777" w:rsidR="00F76A63" w:rsidRDefault="00000000">
                  <w:pPr>
                    <w:adjustRightInd w:val="0"/>
                    <w:snapToGrid w:val="0"/>
                    <w:jc w:val="center"/>
                    <w:rPr>
                      <w:szCs w:val="21"/>
                    </w:rPr>
                  </w:pPr>
                  <w:r>
                    <w:rPr>
                      <w:szCs w:val="21"/>
                    </w:rPr>
                    <w:t>/</w:t>
                  </w:r>
                </w:p>
              </w:tc>
            </w:tr>
            <w:tr w:rsidR="00F76A63" w14:paraId="195FD43A" w14:textId="77777777">
              <w:trPr>
                <w:trHeight w:val="340"/>
                <w:jc w:val="center"/>
              </w:trPr>
              <w:tc>
                <w:tcPr>
                  <w:tcW w:w="625" w:type="pct"/>
                  <w:tcBorders>
                    <w:tl2br w:val="nil"/>
                    <w:tr2bl w:val="nil"/>
                  </w:tcBorders>
                  <w:tcMar>
                    <w:left w:w="57" w:type="dxa"/>
                    <w:right w:w="57" w:type="dxa"/>
                  </w:tcMar>
                  <w:vAlign w:val="center"/>
                </w:tcPr>
                <w:p w14:paraId="4257D3FD" w14:textId="77777777" w:rsidR="00F76A63" w:rsidRDefault="00000000">
                  <w:pPr>
                    <w:adjustRightInd w:val="0"/>
                    <w:snapToGrid w:val="0"/>
                    <w:jc w:val="center"/>
                    <w:rPr>
                      <w:szCs w:val="21"/>
                    </w:rPr>
                  </w:pPr>
                  <w:r>
                    <w:rPr>
                      <w:szCs w:val="21"/>
                    </w:rPr>
                    <w:t>生态环境</w:t>
                  </w:r>
                </w:p>
              </w:tc>
              <w:tc>
                <w:tcPr>
                  <w:tcW w:w="866" w:type="pct"/>
                  <w:tcBorders>
                    <w:tl2br w:val="nil"/>
                    <w:tr2bl w:val="nil"/>
                  </w:tcBorders>
                  <w:tcMar>
                    <w:left w:w="57" w:type="dxa"/>
                    <w:right w:w="57" w:type="dxa"/>
                  </w:tcMar>
                  <w:vAlign w:val="center"/>
                </w:tcPr>
                <w:p w14:paraId="3E6C71A5" w14:textId="77777777" w:rsidR="00F76A63" w:rsidRDefault="00000000">
                  <w:pPr>
                    <w:adjustRightInd w:val="0"/>
                    <w:snapToGrid w:val="0"/>
                    <w:jc w:val="center"/>
                    <w:rPr>
                      <w:szCs w:val="21"/>
                    </w:rPr>
                  </w:pPr>
                  <w:r>
                    <w:rPr>
                      <w:szCs w:val="21"/>
                    </w:rPr>
                    <w:t>/</w:t>
                  </w:r>
                </w:p>
              </w:tc>
              <w:tc>
                <w:tcPr>
                  <w:tcW w:w="433" w:type="pct"/>
                  <w:tcBorders>
                    <w:tl2br w:val="nil"/>
                    <w:tr2bl w:val="nil"/>
                  </w:tcBorders>
                  <w:tcMar>
                    <w:left w:w="57" w:type="dxa"/>
                    <w:right w:w="57" w:type="dxa"/>
                  </w:tcMar>
                  <w:vAlign w:val="center"/>
                </w:tcPr>
                <w:p w14:paraId="61508D86" w14:textId="77777777" w:rsidR="00F76A63" w:rsidRDefault="00000000">
                  <w:pPr>
                    <w:adjustRightInd w:val="0"/>
                    <w:snapToGrid w:val="0"/>
                    <w:jc w:val="center"/>
                    <w:rPr>
                      <w:szCs w:val="21"/>
                    </w:rPr>
                  </w:pPr>
                  <w:r>
                    <w:rPr>
                      <w:szCs w:val="21"/>
                    </w:rPr>
                    <w:t>/</w:t>
                  </w:r>
                </w:p>
              </w:tc>
              <w:tc>
                <w:tcPr>
                  <w:tcW w:w="780" w:type="pct"/>
                  <w:tcBorders>
                    <w:tl2br w:val="nil"/>
                    <w:tr2bl w:val="nil"/>
                  </w:tcBorders>
                  <w:tcMar>
                    <w:left w:w="57" w:type="dxa"/>
                    <w:right w:w="57" w:type="dxa"/>
                  </w:tcMar>
                  <w:vAlign w:val="center"/>
                </w:tcPr>
                <w:p w14:paraId="6A522B90" w14:textId="77777777" w:rsidR="00F76A63" w:rsidRDefault="00000000">
                  <w:pPr>
                    <w:adjustRightInd w:val="0"/>
                    <w:snapToGrid w:val="0"/>
                    <w:jc w:val="center"/>
                    <w:rPr>
                      <w:szCs w:val="21"/>
                    </w:rPr>
                  </w:pPr>
                  <w:r>
                    <w:rPr>
                      <w:szCs w:val="21"/>
                    </w:rPr>
                    <w:t>/</w:t>
                  </w:r>
                </w:p>
              </w:tc>
              <w:tc>
                <w:tcPr>
                  <w:tcW w:w="953" w:type="pct"/>
                  <w:tcBorders>
                    <w:tl2br w:val="nil"/>
                    <w:tr2bl w:val="nil"/>
                  </w:tcBorders>
                  <w:vAlign w:val="center"/>
                </w:tcPr>
                <w:p w14:paraId="6D5E2401" w14:textId="77777777" w:rsidR="00F76A63" w:rsidRDefault="00000000">
                  <w:pPr>
                    <w:adjustRightInd w:val="0"/>
                    <w:snapToGrid w:val="0"/>
                    <w:jc w:val="center"/>
                    <w:rPr>
                      <w:kern w:val="0"/>
                      <w:szCs w:val="21"/>
                    </w:rPr>
                  </w:pPr>
                  <w:r>
                    <w:rPr>
                      <w:kern w:val="0"/>
                      <w:szCs w:val="21"/>
                    </w:rPr>
                    <w:t>/</w:t>
                  </w:r>
                </w:p>
              </w:tc>
              <w:tc>
                <w:tcPr>
                  <w:tcW w:w="1343" w:type="pct"/>
                  <w:gridSpan w:val="2"/>
                  <w:tcBorders>
                    <w:tl2br w:val="nil"/>
                    <w:tr2bl w:val="nil"/>
                  </w:tcBorders>
                  <w:tcMar>
                    <w:left w:w="57" w:type="dxa"/>
                    <w:right w:w="57" w:type="dxa"/>
                  </w:tcMar>
                  <w:vAlign w:val="center"/>
                </w:tcPr>
                <w:p w14:paraId="4F981B65" w14:textId="77777777" w:rsidR="00F76A63" w:rsidRDefault="00000000">
                  <w:pPr>
                    <w:adjustRightInd w:val="0"/>
                    <w:snapToGrid w:val="0"/>
                    <w:jc w:val="center"/>
                    <w:rPr>
                      <w:kern w:val="0"/>
                      <w:szCs w:val="21"/>
                    </w:rPr>
                  </w:pPr>
                  <w:r>
                    <w:rPr>
                      <w:szCs w:val="21"/>
                    </w:rPr>
                    <w:t>/</w:t>
                  </w:r>
                </w:p>
              </w:tc>
            </w:tr>
          </w:tbl>
          <w:p w14:paraId="0C5D6314" w14:textId="77777777" w:rsidR="00F76A63" w:rsidRDefault="00F76A63">
            <w:pPr>
              <w:rPr>
                <w:kern w:val="0"/>
                <w:szCs w:val="21"/>
              </w:rPr>
            </w:pPr>
          </w:p>
        </w:tc>
      </w:tr>
      <w:tr w:rsidR="00F76A63" w14:paraId="50FC842E" w14:textId="77777777">
        <w:trPr>
          <w:trHeight w:val="829"/>
          <w:jc w:val="center"/>
        </w:trPr>
        <w:tc>
          <w:tcPr>
            <w:tcW w:w="427" w:type="dxa"/>
            <w:tcMar>
              <w:left w:w="28" w:type="dxa"/>
              <w:right w:w="28" w:type="dxa"/>
            </w:tcMar>
            <w:vAlign w:val="center"/>
          </w:tcPr>
          <w:p w14:paraId="4BBACCC7" w14:textId="77777777" w:rsidR="00F76A63" w:rsidRDefault="00000000">
            <w:pPr>
              <w:adjustRightInd w:val="0"/>
              <w:snapToGrid w:val="0"/>
              <w:jc w:val="center"/>
              <w:rPr>
                <w:b/>
                <w:bCs/>
                <w:kern w:val="0"/>
                <w:szCs w:val="21"/>
              </w:rPr>
            </w:pPr>
            <w:r>
              <w:rPr>
                <w:b/>
                <w:bCs/>
                <w:kern w:val="0"/>
                <w:szCs w:val="21"/>
              </w:rPr>
              <w:lastRenderedPageBreak/>
              <w:t>污染</w:t>
            </w:r>
          </w:p>
          <w:p w14:paraId="584EC788" w14:textId="77777777" w:rsidR="00F76A63" w:rsidRDefault="00000000">
            <w:pPr>
              <w:adjustRightInd w:val="0"/>
              <w:snapToGrid w:val="0"/>
              <w:jc w:val="center"/>
              <w:rPr>
                <w:b/>
                <w:bCs/>
                <w:kern w:val="0"/>
                <w:szCs w:val="21"/>
              </w:rPr>
            </w:pPr>
            <w:r>
              <w:rPr>
                <w:b/>
                <w:bCs/>
                <w:kern w:val="0"/>
                <w:szCs w:val="21"/>
              </w:rPr>
              <w:t>物排</w:t>
            </w:r>
          </w:p>
          <w:p w14:paraId="6149930E" w14:textId="77777777" w:rsidR="00F76A63" w:rsidRDefault="00000000">
            <w:pPr>
              <w:adjustRightInd w:val="0"/>
              <w:snapToGrid w:val="0"/>
              <w:jc w:val="center"/>
              <w:rPr>
                <w:b/>
                <w:bCs/>
                <w:kern w:val="0"/>
                <w:szCs w:val="21"/>
              </w:rPr>
            </w:pPr>
            <w:r>
              <w:rPr>
                <w:b/>
                <w:bCs/>
                <w:kern w:val="0"/>
                <w:szCs w:val="21"/>
              </w:rPr>
              <w:t>放控</w:t>
            </w:r>
          </w:p>
          <w:p w14:paraId="5E9B7A71" w14:textId="77777777" w:rsidR="00F76A63" w:rsidRDefault="00000000">
            <w:pPr>
              <w:adjustRightInd w:val="0"/>
              <w:snapToGrid w:val="0"/>
              <w:jc w:val="center"/>
              <w:rPr>
                <w:b/>
                <w:bCs/>
                <w:kern w:val="0"/>
                <w:szCs w:val="21"/>
              </w:rPr>
            </w:pPr>
            <w:r>
              <w:rPr>
                <w:b/>
                <w:bCs/>
                <w:kern w:val="0"/>
                <w:szCs w:val="21"/>
              </w:rPr>
              <w:t>制标</w:t>
            </w:r>
          </w:p>
          <w:p w14:paraId="0DB532A5" w14:textId="77777777" w:rsidR="00F76A63" w:rsidRDefault="00000000">
            <w:pPr>
              <w:adjustRightInd w:val="0"/>
              <w:snapToGrid w:val="0"/>
              <w:jc w:val="center"/>
              <w:rPr>
                <w:kern w:val="0"/>
                <w:szCs w:val="21"/>
              </w:rPr>
            </w:pPr>
            <w:r>
              <w:rPr>
                <w:b/>
                <w:bCs/>
                <w:kern w:val="0"/>
                <w:szCs w:val="21"/>
              </w:rPr>
              <w:t>准</w:t>
            </w:r>
          </w:p>
        </w:tc>
        <w:tc>
          <w:tcPr>
            <w:tcW w:w="8398" w:type="dxa"/>
            <w:vAlign w:val="center"/>
          </w:tcPr>
          <w:p w14:paraId="7B64A580" w14:textId="77777777" w:rsidR="00F76A63" w:rsidRDefault="00000000">
            <w:pPr>
              <w:spacing w:line="500" w:lineRule="exact"/>
              <w:ind w:firstLineChars="200" w:firstLine="482"/>
              <w:rPr>
                <w:b/>
                <w:sz w:val="24"/>
              </w:rPr>
            </w:pPr>
            <w:r>
              <w:rPr>
                <w:b/>
                <w:sz w:val="24"/>
              </w:rPr>
              <w:t>1</w:t>
            </w:r>
            <w:r>
              <w:rPr>
                <w:b/>
                <w:sz w:val="24"/>
              </w:rPr>
              <w:t>、废气排放标准</w:t>
            </w:r>
          </w:p>
          <w:p w14:paraId="5F2E1D3A" w14:textId="77777777" w:rsidR="00F76A63" w:rsidRDefault="00000000">
            <w:pPr>
              <w:pStyle w:val="affff6"/>
              <w:spacing w:line="500" w:lineRule="exact"/>
              <w:ind w:firstLine="480"/>
            </w:pPr>
            <w:r>
              <w:t>有组织废气：本项目产生的窑尾废气中颗粒物、二氧化硫、氮氧化物、汞及其化合物和氨的排放限值执行《水泥工业大气污染物排放标准》（</w:t>
            </w:r>
            <w:r>
              <w:t>DB32/4149-2021</w:t>
            </w:r>
            <w:r>
              <w:t>）表</w:t>
            </w:r>
            <w:r>
              <w:t>1</w:t>
            </w:r>
            <w:r>
              <w:t>中</w:t>
            </w:r>
            <w:r>
              <w:t>II</w:t>
            </w:r>
            <w:r>
              <w:t>阶段规定的大气污染物排放浓度限值，详见表</w:t>
            </w:r>
            <w:r>
              <w:t>3-10</w:t>
            </w:r>
            <w:r>
              <w:t>；氯化氢、氟化氢、铊、镉、铅、砷及其化合物（以</w:t>
            </w:r>
            <w:r>
              <w:t>Tl+Cd+Pb+As</w:t>
            </w:r>
            <w:r>
              <w:t>计）、铍、铬、锡、锑、</w:t>
            </w:r>
            <w:r>
              <w:lastRenderedPageBreak/>
              <w:t>铜、钴、锰、镍、钒及其化合物（</w:t>
            </w:r>
            <w:r>
              <w:t>Be+Cr+Sn+Sb+Cu+Co+Mn+Ni+V</w:t>
            </w:r>
            <w:r>
              <w:t>计）、二噁英类等执行《水泥窑协同处置固体废物污染控制标准》（</w:t>
            </w:r>
            <w:r>
              <w:t>GB30485-2013</w:t>
            </w:r>
            <w:r>
              <w:t>）表</w:t>
            </w:r>
            <w:r>
              <w:t>1</w:t>
            </w:r>
            <w:r>
              <w:t>规定的大气污染物最高允许排放浓度，详见表</w:t>
            </w:r>
            <w:r>
              <w:t>3-10</w:t>
            </w:r>
            <w:r>
              <w:t>。</w:t>
            </w:r>
          </w:p>
          <w:p w14:paraId="0724327C" w14:textId="77777777" w:rsidR="00F76A63" w:rsidRDefault="00000000">
            <w:pPr>
              <w:pStyle w:val="affff6"/>
              <w:spacing w:line="500" w:lineRule="exact"/>
              <w:ind w:firstLine="480"/>
            </w:pPr>
            <w:r>
              <w:t>水泥窑及窑尾余热利用系统排气筒总有机碳（</w:t>
            </w:r>
            <w:r>
              <w:t>TOC</w:t>
            </w:r>
            <w:r>
              <w:t>）因协同处置固体废物增加的浓度不应超过</w:t>
            </w:r>
            <w:r>
              <w:t>10mg/m</w:t>
            </w:r>
            <w:r>
              <w:rPr>
                <w:vertAlign w:val="superscript"/>
              </w:rPr>
              <w:t>3</w:t>
            </w:r>
            <w:r>
              <w:t>；有机标识物的焚毁率（</w:t>
            </w:r>
            <w:r>
              <w:t>DRE</w:t>
            </w:r>
            <w:r>
              <w:t>）不小</w:t>
            </w:r>
            <w:r>
              <w:t>99.9999%</w:t>
            </w:r>
            <w:r>
              <w:t>。</w:t>
            </w:r>
          </w:p>
          <w:p w14:paraId="12B16E8E" w14:textId="77777777" w:rsidR="00F76A63" w:rsidRDefault="00000000">
            <w:pPr>
              <w:pStyle w:val="affff6"/>
              <w:spacing w:line="500" w:lineRule="exact"/>
              <w:ind w:firstLine="480"/>
            </w:pPr>
            <w:r>
              <w:t>无组织废气：</w:t>
            </w:r>
            <w:r>
              <w:rPr>
                <w:bCs/>
              </w:rPr>
              <w:t>厂界无组织废气主要为原料、污染土堆棚贮存污染土及污泥时产生的颗粒物、氨、硫化氢、臭气浓度等，其中颗粒物、氨执行《水泥工业大气污染物排放标准》（</w:t>
            </w:r>
            <w:r>
              <w:rPr>
                <w:bCs/>
              </w:rPr>
              <w:t>DB32/4149-2021</w:t>
            </w:r>
            <w:r>
              <w:rPr>
                <w:bCs/>
              </w:rPr>
              <w:t>）表</w:t>
            </w:r>
            <w:r>
              <w:rPr>
                <w:bCs/>
              </w:rPr>
              <w:t>3</w:t>
            </w:r>
            <w:r>
              <w:rPr>
                <w:bCs/>
              </w:rPr>
              <w:t>标准，硫化氢、臭气浓度执行《恶臭污染物排放标准》（</w:t>
            </w:r>
            <w:r>
              <w:rPr>
                <w:bCs/>
              </w:rPr>
              <w:t>GB14554-93</w:t>
            </w:r>
            <w:r>
              <w:rPr>
                <w:bCs/>
              </w:rPr>
              <w:t>）表</w:t>
            </w:r>
            <w:r>
              <w:rPr>
                <w:bCs/>
              </w:rPr>
              <w:t>1</w:t>
            </w:r>
            <w:r>
              <w:rPr>
                <w:bCs/>
              </w:rPr>
              <w:t>新改扩建二级标准；厂区内无组织颗粒物排放执行《水泥工业大气污染物排放标准》（</w:t>
            </w:r>
            <w:r>
              <w:rPr>
                <w:bCs/>
              </w:rPr>
              <w:t>DB32/4149-2021</w:t>
            </w:r>
            <w:r>
              <w:rPr>
                <w:bCs/>
              </w:rPr>
              <w:t>）表</w:t>
            </w:r>
            <w:r>
              <w:rPr>
                <w:bCs/>
              </w:rPr>
              <w:t>2</w:t>
            </w:r>
            <w:r>
              <w:rPr>
                <w:bCs/>
              </w:rPr>
              <w:t>标准</w:t>
            </w:r>
            <w:r>
              <w:t>。</w:t>
            </w:r>
          </w:p>
          <w:p w14:paraId="3BEAF735" w14:textId="77777777" w:rsidR="00F76A63" w:rsidRDefault="00000000">
            <w:pPr>
              <w:pStyle w:val="affff6"/>
              <w:adjustRightInd/>
              <w:spacing w:line="500" w:lineRule="exact"/>
              <w:ind w:firstLine="480"/>
              <w:rPr>
                <w:szCs w:val="24"/>
              </w:rPr>
            </w:pPr>
            <w:r>
              <w:rPr>
                <w:szCs w:val="24"/>
              </w:rPr>
              <w:t>废气排放标准见下表。</w:t>
            </w:r>
          </w:p>
          <w:p w14:paraId="401A79E1" w14:textId="77777777" w:rsidR="00F76A63" w:rsidRDefault="00000000">
            <w:pPr>
              <w:pStyle w:val="affff6"/>
              <w:adjustRightInd/>
              <w:spacing w:line="500" w:lineRule="exact"/>
              <w:ind w:firstLineChars="0" w:firstLine="0"/>
              <w:jc w:val="center"/>
              <w:rPr>
                <w:b/>
                <w:bCs/>
                <w:szCs w:val="24"/>
              </w:rPr>
            </w:pPr>
            <w:r>
              <w:rPr>
                <w:b/>
                <w:bCs/>
                <w:szCs w:val="24"/>
              </w:rPr>
              <w:t>表</w:t>
            </w:r>
            <w:r>
              <w:rPr>
                <w:b/>
                <w:bCs/>
                <w:szCs w:val="24"/>
              </w:rPr>
              <w:t xml:space="preserve">3-9  </w:t>
            </w:r>
            <w:r>
              <w:rPr>
                <w:b/>
                <w:bCs/>
                <w:szCs w:val="24"/>
              </w:rPr>
              <w:t>窑尾废气污染物排放标准（单位：</w:t>
            </w:r>
            <w:r>
              <w:rPr>
                <w:b/>
                <w:bCs/>
                <w:szCs w:val="24"/>
              </w:rPr>
              <w:t>mg/m</w:t>
            </w:r>
            <w:r>
              <w:rPr>
                <w:b/>
                <w:bCs/>
                <w:szCs w:val="24"/>
                <w:vertAlign w:val="superscript"/>
              </w:rPr>
              <w:t>3</w:t>
            </w:r>
            <w:r>
              <w:rPr>
                <w:b/>
                <w:bCs/>
                <w:szCs w:val="24"/>
              </w:rPr>
              <w:t>）</w:t>
            </w:r>
          </w:p>
          <w:tbl>
            <w:tblPr>
              <w:tblStyle w:val="afffd"/>
              <w:tblW w:w="5000" w:type="pct"/>
              <w:jc w:val="center"/>
              <w:tblBorders>
                <w:top w:val="single" w:sz="12" w:space="0" w:color="auto"/>
                <w:left w:val="none" w:sz="0" w:space="0" w:color="auto"/>
                <w:bottom w:val="single" w:sz="12" w:space="0" w:color="auto"/>
                <w:right w:val="none" w:sz="0" w:space="0" w:color="auto"/>
              </w:tblBorders>
              <w:tblLayout w:type="fixed"/>
              <w:tblLook w:val="04A0" w:firstRow="1" w:lastRow="0" w:firstColumn="1" w:lastColumn="0" w:noHBand="0" w:noVBand="1"/>
            </w:tblPr>
            <w:tblGrid>
              <w:gridCol w:w="870"/>
              <w:gridCol w:w="852"/>
              <w:gridCol w:w="1020"/>
              <w:gridCol w:w="1017"/>
              <w:gridCol w:w="850"/>
              <w:gridCol w:w="1517"/>
              <w:gridCol w:w="1186"/>
              <w:gridCol w:w="870"/>
            </w:tblGrid>
            <w:tr w:rsidR="00F76A63" w14:paraId="16112D1C" w14:textId="77777777">
              <w:trPr>
                <w:jc w:val="center"/>
              </w:trPr>
              <w:tc>
                <w:tcPr>
                  <w:tcW w:w="893" w:type="dxa"/>
                  <w:tcBorders>
                    <w:tl2br w:val="nil"/>
                    <w:tr2bl w:val="nil"/>
                  </w:tcBorders>
                  <w:vAlign w:val="center"/>
                </w:tcPr>
                <w:p w14:paraId="52C28D78" w14:textId="77777777" w:rsidR="00F76A63" w:rsidRDefault="00000000">
                  <w:pPr>
                    <w:pStyle w:val="affff6"/>
                    <w:adjustRightInd/>
                    <w:spacing w:line="240" w:lineRule="auto"/>
                    <w:ind w:firstLineChars="0" w:firstLine="0"/>
                    <w:jc w:val="center"/>
                    <w:rPr>
                      <w:b/>
                      <w:bCs/>
                      <w:sz w:val="21"/>
                      <w:szCs w:val="21"/>
                    </w:rPr>
                  </w:pPr>
                  <w:r>
                    <w:rPr>
                      <w:b/>
                      <w:bCs/>
                      <w:spacing w:val="9"/>
                      <w:sz w:val="21"/>
                      <w:szCs w:val="21"/>
                    </w:rPr>
                    <w:t>生产过程</w:t>
                  </w:r>
                </w:p>
              </w:tc>
              <w:tc>
                <w:tcPr>
                  <w:tcW w:w="874" w:type="dxa"/>
                  <w:tcBorders>
                    <w:tl2br w:val="nil"/>
                    <w:tr2bl w:val="nil"/>
                  </w:tcBorders>
                  <w:vAlign w:val="center"/>
                </w:tcPr>
                <w:p w14:paraId="0CBA218B" w14:textId="77777777" w:rsidR="00F76A63" w:rsidRDefault="00000000">
                  <w:pPr>
                    <w:pStyle w:val="affff6"/>
                    <w:adjustRightInd/>
                    <w:spacing w:line="240" w:lineRule="auto"/>
                    <w:ind w:firstLineChars="0" w:firstLine="0"/>
                    <w:jc w:val="center"/>
                    <w:rPr>
                      <w:b/>
                      <w:bCs/>
                      <w:sz w:val="21"/>
                      <w:szCs w:val="21"/>
                    </w:rPr>
                  </w:pPr>
                  <w:r>
                    <w:rPr>
                      <w:b/>
                      <w:bCs/>
                      <w:spacing w:val="9"/>
                      <w:sz w:val="21"/>
                      <w:szCs w:val="21"/>
                    </w:rPr>
                    <w:t>生产设备</w:t>
                  </w:r>
                </w:p>
              </w:tc>
              <w:tc>
                <w:tcPr>
                  <w:tcW w:w="1048" w:type="dxa"/>
                  <w:tcBorders>
                    <w:tl2br w:val="nil"/>
                    <w:tr2bl w:val="nil"/>
                  </w:tcBorders>
                  <w:vAlign w:val="center"/>
                </w:tcPr>
                <w:p w14:paraId="5BA58904" w14:textId="77777777" w:rsidR="00F76A63" w:rsidRDefault="00000000">
                  <w:pPr>
                    <w:pStyle w:val="affff6"/>
                    <w:adjustRightInd/>
                    <w:spacing w:line="240" w:lineRule="auto"/>
                    <w:ind w:firstLineChars="0" w:firstLine="0"/>
                    <w:jc w:val="center"/>
                    <w:rPr>
                      <w:b/>
                      <w:bCs/>
                      <w:sz w:val="21"/>
                      <w:szCs w:val="21"/>
                    </w:rPr>
                  </w:pPr>
                  <w:r>
                    <w:rPr>
                      <w:b/>
                      <w:bCs/>
                      <w:spacing w:val="1"/>
                      <w:sz w:val="21"/>
                      <w:szCs w:val="21"/>
                    </w:rPr>
                    <w:t>时段</w:t>
                  </w:r>
                </w:p>
              </w:tc>
              <w:tc>
                <w:tcPr>
                  <w:tcW w:w="1045" w:type="dxa"/>
                  <w:tcBorders>
                    <w:tl2br w:val="nil"/>
                    <w:tr2bl w:val="nil"/>
                  </w:tcBorders>
                  <w:vAlign w:val="center"/>
                </w:tcPr>
                <w:p w14:paraId="78864F24" w14:textId="77777777" w:rsidR="00F76A63" w:rsidRDefault="00000000">
                  <w:pPr>
                    <w:pStyle w:val="affff6"/>
                    <w:adjustRightInd/>
                    <w:spacing w:line="240" w:lineRule="auto"/>
                    <w:ind w:firstLineChars="0" w:firstLine="0"/>
                    <w:jc w:val="center"/>
                    <w:rPr>
                      <w:b/>
                      <w:bCs/>
                      <w:sz w:val="21"/>
                      <w:szCs w:val="21"/>
                    </w:rPr>
                  </w:pPr>
                  <w:r>
                    <w:rPr>
                      <w:b/>
                      <w:bCs/>
                      <w:spacing w:val="6"/>
                      <w:sz w:val="21"/>
                      <w:szCs w:val="21"/>
                    </w:rPr>
                    <w:t>颗粒</w:t>
                  </w:r>
                  <w:r>
                    <w:rPr>
                      <w:b/>
                      <w:bCs/>
                      <w:spacing w:val="-2"/>
                      <w:sz w:val="21"/>
                      <w:szCs w:val="21"/>
                    </w:rPr>
                    <w:t>物</w:t>
                  </w:r>
                </w:p>
              </w:tc>
              <w:tc>
                <w:tcPr>
                  <w:tcW w:w="872" w:type="dxa"/>
                  <w:tcBorders>
                    <w:tl2br w:val="nil"/>
                    <w:tr2bl w:val="nil"/>
                  </w:tcBorders>
                  <w:vAlign w:val="center"/>
                </w:tcPr>
                <w:p w14:paraId="53971F79" w14:textId="77777777" w:rsidR="00F76A63" w:rsidRDefault="00000000">
                  <w:pPr>
                    <w:pStyle w:val="affff6"/>
                    <w:adjustRightInd/>
                    <w:spacing w:line="240" w:lineRule="auto"/>
                    <w:ind w:firstLineChars="0" w:firstLine="0"/>
                    <w:jc w:val="center"/>
                    <w:rPr>
                      <w:b/>
                      <w:bCs/>
                      <w:sz w:val="21"/>
                      <w:szCs w:val="21"/>
                    </w:rPr>
                  </w:pPr>
                  <w:r>
                    <w:rPr>
                      <w:b/>
                      <w:bCs/>
                      <w:spacing w:val="6"/>
                      <w:sz w:val="21"/>
                      <w:szCs w:val="21"/>
                    </w:rPr>
                    <w:t>二氧化</w:t>
                  </w:r>
                  <w:r>
                    <w:rPr>
                      <w:b/>
                      <w:bCs/>
                      <w:spacing w:val="-1"/>
                      <w:sz w:val="21"/>
                      <w:szCs w:val="21"/>
                    </w:rPr>
                    <w:t>硫</w:t>
                  </w:r>
                </w:p>
              </w:tc>
              <w:tc>
                <w:tcPr>
                  <w:tcW w:w="1563" w:type="dxa"/>
                  <w:tcBorders>
                    <w:tl2br w:val="nil"/>
                    <w:tr2bl w:val="nil"/>
                  </w:tcBorders>
                  <w:vAlign w:val="center"/>
                </w:tcPr>
                <w:p w14:paraId="679F477C" w14:textId="77777777" w:rsidR="00F76A63" w:rsidRDefault="00000000">
                  <w:pPr>
                    <w:pStyle w:val="affff6"/>
                    <w:adjustRightInd/>
                    <w:spacing w:line="240" w:lineRule="auto"/>
                    <w:ind w:firstLineChars="0" w:firstLine="0"/>
                    <w:jc w:val="center"/>
                    <w:rPr>
                      <w:b/>
                      <w:bCs/>
                      <w:sz w:val="21"/>
                      <w:szCs w:val="21"/>
                    </w:rPr>
                  </w:pPr>
                  <w:r>
                    <w:rPr>
                      <w:b/>
                      <w:bCs/>
                      <w:spacing w:val="9"/>
                      <w:sz w:val="21"/>
                      <w:szCs w:val="21"/>
                    </w:rPr>
                    <w:t>氮氧化物</w:t>
                  </w:r>
                  <w:r>
                    <w:rPr>
                      <w:b/>
                      <w:bCs/>
                      <w:spacing w:val="6"/>
                      <w:sz w:val="21"/>
                      <w:szCs w:val="21"/>
                    </w:rPr>
                    <w:t>(</w:t>
                  </w:r>
                  <w:r>
                    <w:rPr>
                      <w:b/>
                      <w:bCs/>
                      <w:spacing w:val="6"/>
                      <w:sz w:val="21"/>
                      <w:szCs w:val="21"/>
                    </w:rPr>
                    <w:t>以</w:t>
                  </w:r>
                  <w:r>
                    <w:rPr>
                      <w:b/>
                      <w:bCs/>
                      <w:sz w:val="21"/>
                      <w:szCs w:val="21"/>
                    </w:rPr>
                    <w:t>NO</w:t>
                  </w:r>
                  <w:r>
                    <w:rPr>
                      <w:b/>
                      <w:bCs/>
                      <w:spacing w:val="6"/>
                      <w:position w:val="-1"/>
                      <w:sz w:val="21"/>
                      <w:szCs w:val="21"/>
                      <w:vertAlign w:val="subscript"/>
                    </w:rPr>
                    <w:t>2</w:t>
                  </w:r>
                  <w:r>
                    <w:rPr>
                      <w:b/>
                      <w:bCs/>
                      <w:spacing w:val="6"/>
                      <w:sz w:val="21"/>
                      <w:szCs w:val="21"/>
                    </w:rPr>
                    <w:t>计</w:t>
                  </w:r>
                  <w:r>
                    <w:rPr>
                      <w:b/>
                      <w:bCs/>
                      <w:spacing w:val="6"/>
                      <w:sz w:val="21"/>
                      <w:szCs w:val="21"/>
                    </w:rPr>
                    <w:t>)</w:t>
                  </w:r>
                </w:p>
              </w:tc>
              <w:tc>
                <w:tcPr>
                  <w:tcW w:w="1220" w:type="dxa"/>
                  <w:tcBorders>
                    <w:tl2br w:val="nil"/>
                    <w:tr2bl w:val="nil"/>
                  </w:tcBorders>
                  <w:vAlign w:val="center"/>
                </w:tcPr>
                <w:p w14:paraId="64865AC7" w14:textId="77777777" w:rsidR="00F76A63" w:rsidRDefault="00000000">
                  <w:pPr>
                    <w:pStyle w:val="affff6"/>
                    <w:adjustRightInd/>
                    <w:spacing w:line="240" w:lineRule="auto"/>
                    <w:ind w:firstLineChars="0" w:firstLine="0"/>
                    <w:jc w:val="center"/>
                    <w:rPr>
                      <w:b/>
                      <w:bCs/>
                      <w:sz w:val="21"/>
                      <w:szCs w:val="21"/>
                    </w:rPr>
                  </w:pPr>
                  <w:r>
                    <w:rPr>
                      <w:b/>
                      <w:bCs/>
                      <w:spacing w:val="9"/>
                      <w:sz w:val="21"/>
                      <w:szCs w:val="21"/>
                    </w:rPr>
                    <w:t>汞及其化</w:t>
                  </w:r>
                  <w:r>
                    <w:rPr>
                      <w:b/>
                      <w:bCs/>
                      <w:spacing w:val="5"/>
                      <w:sz w:val="21"/>
                      <w:szCs w:val="21"/>
                    </w:rPr>
                    <w:t>合物</w:t>
                  </w:r>
                </w:p>
              </w:tc>
              <w:tc>
                <w:tcPr>
                  <w:tcW w:w="893" w:type="dxa"/>
                  <w:tcBorders>
                    <w:tl2br w:val="nil"/>
                    <w:tr2bl w:val="nil"/>
                  </w:tcBorders>
                  <w:vAlign w:val="center"/>
                </w:tcPr>
                <w:p w14:paraId="1155725E" w14:textId="77777777" w:rsidR="00F76A63" w:rsidRDefault="00000000">
                  <w:pPr>
                    <w:pStyle w:val="affff6"/>
                    <w:adjustRightInd/>
                    <w:spacing w:line="240" w:lineRule="auto"/>
                    <w:ind w:firstLineChars="0" w:firstLine="0"/>
                    <w:jc w:val="center"/>
                    <w:rPr>
                      <w:b/>
                      <w:bCs/>
                      <w:sz w:val="21"/>
                      <w:szCs w:val="21"/>
                    </w:rPr>
                  </w:pPr>
                  <w:r>
                    <w:rPr>
                      <w:b/>
                      <w:bCs/>
                      <w:spacing w:val="-2"/>
                      <w:sz w:val="21"/>
                      <w:szCs w:val="21"/>
                    </w:rPr>
                    <w:t>氨</w:t>
                  </w:r>
                </w:p>
              </w:tc>
            </w:tr>
            <w:tr w:rsidR="00F76A63" w14:paraId="0B590C72" w14:textId="77777777">
              <w:trPr>
                <w:trHeight w:val="541"/>
                <w:jc w:val="center"/>
              </w:trPr>
              <w:tc>
                <w:tcPr>
                  <w:tcW w:w="893" w:type="dxa"/>
                  <w:tcBorders>
                    <w:tl2br w:val="nil"/>
                    <w:tr2bl w:val="nil"/>
                  </w:tcBorders>
                  <w:vAlign w:val="center"/>
                </w:tcPr>
                <w:p w14:paraId="2BFC3E0D" w14:textId="77777777" w:rsidR="00F76A63" w:rsidRDefault="00000000">
                  <w:pPr>
                    <w:pStyle w:val="affff6"/>
                    <w:adjustRightInd/>
                    <w:spacing w:line="240" w:lineRule="auto"/>
                    <w:ind w:firstLineChars="0" w:firstLine="0"/>
                    <w:jc w:val="center"/>
                    <w:rPr>
                      <w:sz w:val="21"/>
                      <w:szCs w:val="21"/>
                    </w:rPr>
                  </w:pPr>
                  <w:r>
                    <w:rPr>
                      <w:spacing w:val="9"/>
                      <w:sz w:val="21"/>
                      <w:szCs w:val="21"/>
                    </w:rPr>
                    <w:t>水泥制造</w:t>
                  </w:r>
                </w:p>
              </w:tc>
              <w:tc>
                <w:tcPr>
                  <w:tcW w:w="874" w:type="dxa"/>
                  <w:tcBorders>
                    <w:tl2br w:val="nil"/>
                    <w:tr2bl w:val="nil"/>
                  </w:tcBorders>
                  <w:vAlign w:val="center"/>
                </w:tcPr>
                <w:p w14:paraId="06E53904" w14:textId="77777777" w:rsidR="00F76A63" w:rsidRDefault="00000000">
                  <w:pPr>
                    <w:pStyle w:val="affff6"/>
                    <w:adjustRightInd/>
                    <w:spacing w:line="240" w:lineRule="auto"/>
                    <w:ind w:firstLineChars="0" w:firstLine="0"/>
                    <w:jc w:val="center"/>
                    <w:rPr>
                      <w:sz w:val="21"/>
                      <w:szCs w:val="21"/>
                    </w:rPr>
                  </w:pPr>
                  <w:r>
                    <w:rPr>
                      <w:spacing w:val="11"/>
                      <w:sz w:val="21"/>
                      <w:szCs w:val="21"/>
                    </w:rPr>
                    <w:t>水泥窑及窑尾余热系统</w:t>
                  </w:r>
                </w:p>
              </w:tc>
              <w:tc>
                <w:tcPr>
                  <w:tcW w:w="1048" w:type="dxa"/>
                  <w:tcBorders>
                    <w:tl2br w:val="nil"/>
                    <w:tr2bl w:val="nil"/>
                  </w:tcBorders>
                  <w:vAlign w:val="center"/>
                </w:tcPr>
                <w:p w14:paraId="22C8FC16" w14:textId="77777777" w:rsidR="00F76A63" w:rsidRDefault="00000000">
                  <w:pPr>
                    <w:pStyle w:val="affff6"/>
                    <w:adjustRightInd/>
                    <w:spacing w:line="240" w:lineRule="auto"/>
                    <w:ind w:firstLineChars="0" w:firstLine="0"/>
                    <w:jc w:val="center"/>
                    <w:rPr>
                      <w:sz w:val="21"/>
                      <w:szCs w:val="21"/>
                    </w:rPr>
                  </w:pPr>
                  <w:r>
                    <w:rPr>
                      <w:sz w:val="21"/>
                      <w:szCs w:val="21"/>
                    </w:rPr>
                    <w:t>Ⅱ</w:t>
                  </w:r>
                  <w:r>
                    <w:rPr>
                      <w:spacing w:val="3"/>
                      <w:sz w:val="21"/>
                      <w:szCs w:val="21"/>
                    </w:rPr>
                    <w:t>阶段</w:t>
                  </w:r>
                </w:p>
              </w:tc>
              <w:tc>
                <w:tcPr>
                  <w:tcW w:w="1045" w:type="dxa"/>
                  <w:tcBorders>
                    <w:tl2br w:val="nil"/>
                    <w:tr2bl w:val="nil"/>
                  </w:tcBorders>
                  <w:vAlign w:val="center"/>
                </w:tcPr>
                <w:p w14:paraId="137BA339" w14:textId="77777777" w:rsidR="00F76A63" w:rsidRDefault="00000000">
                  <w:pPr>
                    <w:pStyle w:val="affff6"/>
                    <w:adjustRightInd/>
                    <w:spacing w:line="240" w:lineRule="auto"/>
                    <w:ind w:firstLineChars="0" w:firstLine="0"/>
                    <w:jc w:val="center"/>
                    <w:rPr>
                      <w:sz w:val="21"/>
                      <w:szCs w:val="21"/>
                    </w:rPr>
                  </w:pPr>
                  <w:r>
                    <w:rPr>
                      <w:spacing w:val="-5"/>
                      <w:sz w:val="21"/>
                      <w:szCs w:val="21"/>
                    </w:rPr>
                    <w:t>10</w:t>
                  </w:r>
                </w:p>
              </w:tc>
              <w:tc>
                <w:tcPr>
                  <w:tcW w:w="872" w:type="dxa"/>
                  <w:tcBorders>
                    <w:tl2br w:val="nil"/>
                    <w:tr2bl w:val="nil"/>
                  </w:tcBorders>
                  <w:vAlign w:val="center"/>
                </w:tcPr>
                <w:p w14:paraId="09318346" w14:textId="77777777" w:rsidR="00F76A63" w:rsidRDefault="00000000">
                  <w:pPr>
                    <w:pStyle w:val="affff6"/>
                    <w:adjustRightInd/>
                    <w:spacing w:line="240" w:lineRule="auto"/>
                    <w:ind w:firstLineChars="0" w:firstLine="0"/>
                    <w:jc w:val="center"/>
                    <w:rPr>
                      <w:sz w:val="21"/>
                      <w:szCs w:val="21"/>
                    </w:rPr>
                  </w:pPr>
                  <w:r>
                    <w:rPr>
                      <w:spacing w:val="1"/>
                      <w:sz w:val="21"/>
                      <w:szCs w:val="21"/>
                    </w:rPr>
                    <w:t>35</w:t>
                  </w:r>
                </w:p>
              </w:tc>
              <w:tc>
                <w:tcPr>
                  <w:tcW w:w="1563" w:type="dxa"/>
                  <w:tcBorders>
                    <w:tl2br w:val="nil"/>
                    <w:tr2bl w:val="nil"/>
                  </w:tcBorders>
                  <w:vAlign w:val="center"/>
                </w:tcPr>
                <w:p w14:paraId="4B85C56F" w14:textId="77777777" w:rsidR="00F76A63" w:rsidRDefault="00000000">
                  <w:pPr>
                    <w:pStyle w:val="affff6"/>
                    <w:adjustRightInd/>
                    <w:spacing w:line="240" w:lineRule="auto"/>
                    <w:ind w:firstLineChars="0" w:firstLine="0"/>
                    <w:jc w:val="center"/>
                    <w:rPr>
                      <w:sz w:val="21"/>
                      <w:szCs w:val="21"/>
                    </w:rPr>
                  </w:pPr>
                  <w:r>
                    <w:rPr>
                      <w:spacing w:val="1"/>
                      <w:sz w:val="21"/>
                      <w:szCs w:val="21"/>
                    </w:rPr>
                    <w:t>50</w:t>
                  </w:r>
                </w:p>
              </w:tc>
              <w:tc>
                <w:tcPr>
                  <w:tcW w:w="1220" w:type="dxa"/>
                  <w:tcBorders>
                    <w:tl2br w:val="nil"/>
                    <w:tr2bl w:val="nil"/>
                  </w:tcBorders>
                  <w:vAlign w:val="center"/>
                </w:tcPr>
                <w:p w14:paraId="65F40538" w14:textId="77777777" w:rsidR="00F76A63" w:rsidRDefault="00000000">
                  <w:pPr>
                    <w:pStyle w:val="affff6"/>
                    <w:adjustRightInd/>
                    <w:spacing w:line="240" w:lineRule="auto"/>
                    <w:ind w:firstLineChars="0" w:firstLine="0"/>
                    <w:jc w:val="center"/>
                    <w:rPr>
                      <w:sz w:val="21"/>
                      <w:szCs w:val="21"/>
                    </w:rPr>
                  </w:pPr>
                  <w:r>
                    <w:rPr>
                      <w:spacing w:val="5"/>
                      <w:sz w:val="21"/>
                      <w:szCs w:val="21"/>
                    </w:rPr>
                    <w:t>0.03</w:t>
                  </w:r>
                </w:p>
              </w:tc>
              <w:tc>
                <w:tcPr>
                  <w:tcW w:w="893" w:type="dxa"/>
                  <w:tcBorders>
                    <w:tl2br w:val="nil"/>
                    <w:tr2bl w:val="nil"/>
                  </w:tcBorders>
                  <w:vAlign w:val="center"/>
                </w:tcPr>
                <w:p w14:paraId="5D7923A3" w14:textId="77777777" w:rsidR="00F76A63" w:rsidRDefault="00000000">
                  <w:pPr>
                    <w:pStyle w:val="affff6"/>
                    <w:adjustRightInd/>
                    <w:spacing w:line="240" w:lineRule="auto"/>
                    <w:ind w:firstLineChars="0" w:firstLine="0"/>
                    <w:jc w:val="center"/>
                    <w:rPr>
                      <w:sz w:val="21"/>
                      <w:szCs w:val="21"/>
                    </w:rPr>
                  </w:pPr>
                  <w:r>
                    <w:rPr>
                      <w:spacing w:val="-9"/>
                      <w:position w:val="-1"/>
                      <w:sz w:val="21"/>
                      <w:szCs w:val="21"/>
                    </w:rPr>
                    <w:t>8</w:t>
                  </w:r>
                  <w:r>
                    <w:rPr>
                      <w:spacing w:val="-9"/>
                      <w:position w:val="-1"/>
                      <w:sz w:val="21"/>
                      <w:szCs w:val="21"/>
                      <w:vertAlign w:val="superscript"/>
                    </w:rPr>
                    <w:t>(a)</w:t>
                  </w:r>
                </w:p>
              </w:tc>
            </w:tr>
          </w:tbl>
          <w:p w14:paraId="723F17ED" w14:textId="77777777" w:rsidR="00F76A63" w:rsidRDefault="00000000">
            <w:pPr>
              <w:pStyle w:val="affff6"/>
              <w:adjustRightInd/>
              <w:spacing w:line="240" w:lineRule="auto"/>
              <w:ind w:firstLineChars="0" w:firstLine="0"/>
              <w:rPr>
                <w:b/>
                <w:bCs/>
                <w:sz w:val="18"/>
                <w:szCs w:val="18"/>
              </w:rPr>
            </w:pPr>
            <w:r>
              <w:rPr>
                <w:b/>
                <w:bCs/>
                <w:sz w:val="18"/>
                <w:szCs w:val="18"/>
              </w:rPr>
              <w:t>注：（</w:t>
            </w:r>
            <w:r>
              <w:rPr>
                <w:b/>
                <w:bCs/>
                <w:sz w:val="18"/>
                <w:szCs w:val="18"/>
              </w:rPr>
              <w:t>a</w:t>
            </w:r>
            <w:r>
              <w:rPr>
                <w:b/>
                <w:bCs/>
                <w:sz w:val="18"/>
                <w:szCs w:val="18"/>
              </w:rPr>
              <w:t>）适用于使用氨水、尿素等含氮物质作为还原剂，去除烟气中氮氧化物。</w:t>
            </w:r>
          </w:p>
          <w:p w14:paraId="7985C6DF" w14:textId="77777777" w:rsidR="00F76A63" w:rsidRDefault="00000000">
            <w:pPr>
              <w:pStyle w:val="affff6"/>
              <w:adjustRightInd/>
              <w:spacing w:line="500" w:lineRule="exact"/>
              <w:ind w:firstLineChars="0" w:firstLine="0"/>
              <w:jc w:val="center"/>
              <w:rPr>
                <w:b/>
                <w:bCs/>
                <w:szCs w:val="24"/>
              </w:rPr>
            </w:pPr>
            <w:bookmarkStart w:id="122" w:name="_Ref35426485"/>
            <w:r>
              <w:rPr>
                <w:b/>
                <w:bCs/>
                <w:szCs w:val="24"/>
              </w:rPr>
              <w:t>表</w:t>
            </w:r>
            <w:bookmarkEnd w:id="122"/>
            <w:r>
              <w:rPr>
                <w:b/>
                <w:bCs/>
                <w:szCs w:val="24"/>
              </w:rPr>
              <w:t xml:space="preserve">3-10  </w:t>
            </w:r>
            <w:r>
              <w:rPr>
                <w:b/>
                <w:bCs/>
                <w:szCs w:val="24"/>
              </w:rPr>
              <w:t>水泥窑协同处置大气污染物排放标准</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889"/>
              <w:gridCol w:w="4189"/>
              <w:gridCol w:w="1455"/>
              <w:gridCol w:w="1649"/>
            </w:tblGrid>
            <w:tr w:rsidR="00F76A63" w14:paraId="59522F5C" w14:textId="77777777">
              <w:trPr>
                <w:trHeight w:val="300"/>
                <w:jc w:val="center"/>
              </w:trPr>
              <w:tc>
                <w:tcPr>
                  <w:tcW w:w="543" w:type="pct"/>
                  <w:tcBorders>
                    <w:tl2br w:val="nil"/>
                    <w:tr2bl w:val="nil"/>
                  </w:tcBorders>
                  <w:vAlign w:val="center"/>
                </w:tcPr>
                <w:p w14:paraId="1C2B48E2" w14:textId="77777777" w:rsidR="00F76A63" w:rsidRDefault="00000000">
                  <w:pPr>
                    <w:adjustRightInd w:val="0"/>
                    <w:snapToGrid w:val="0"/>
                    <w:jc w:val="center"/>
                    <w:rPr>
                      <w:b/>
                      <w:kern w:val="44"/>
                      <w:szCs w:val="21"/>
                    </w:rPr>
                  </w:pPr>
                  <w:r>
                    <w:rPr>
                      <w:b/>
                      <w:kern w:val="44"/>
                      <w:szCs w:val="21"/>
                    </w:rPr>
                    <w:t>污染源</w:t>
                  </w:r>
                </w:p>
              </w:tc>
              <w:tc>
                <w:tcPr>
                  <w:tcW w:w="2560" w:type="pct"/>
                  <w:tcBorders>
                    <w:tl2br w:val="nil"/>
                    <w:tr2bl w:val="nil"/>
                  </w:tcBorders>
                  <w:vAlign w:val="center"/>
                </w:tcPr>
                <w:p w14:paraId="4397C0EC" w14:textId="77777777" w:rsidR="00F76A63" w:rsidRDefault="00000000">
                  <w:pPr>
                    <w:adjustRightInd w:val="0"/>
                    <w:snapToGrid w:val="0"/>
                    <w:jc w:val="center"/>
                    <w:rPr>
                      <w:b/>
                      <w:kern w:val="44"/>
                      <w:szCs w:val="21"/>
                    </w:rPr>
                  </w:pPr>
                  <w:r>
                    <w:rPr>
                      <w:b/>
                      <w:kern w:val="44"/>
                      <w:szCs w:val="21"/>
                    </w:rPr>
                    <w:t>污染物</w:t>
                  </w:r>
                </w:p>
              </w:tc>
              <w:tc>
                <w:tcPr>
                  <w:tcW w:w="889" w:type="pct"/>
                  <w:tcBorders>
                    <w:tl2br w:val="nil"/>
                    <w:tr2bl w:val="nil"/>
                  </w:tcBorders>
                  <w:vAlign w:val="center"/>
                </w:tcPr>
                <w:p w14:paraId="2FD0E7C4" w14:textId="77777777" w:rsidR="00F76A63" w:rsidRDefault="00000000">
                  <w:pPr>
                    <w:adjustRightInd w:val="0"/>
                    <w:snapToGrid w:val="0"/>
                    <w:jc w:val="center"/>
                    <w:rPr>
                      <w:b/>
                      <w:kern w:val="44"/>
                      <w:szCs w:val="21"/>
                    </w:rPr>
                  </w:pPr>
                  <w:r>
                    <w:rPr>
                      <w:b/>
                      <w:bCs/>
                      <w:kern w:val="44"/>
                      <w:szCs w:val="21"/>
                    </w:rPr>
                    <w:t>排放限值</w:t>
                  </w:r>
                  <w:r>
                    <w:rPr>
                      <w:b/>
                      <w:kern w:val="44"/>
                      <w:szCs w:val="21"/>
                    </w:rPr>
                    <w:t xml:space="preserve"> </w:t>
                  </w:r>
                  <w:r>
                    <w:rPr>
                      <w:b/>
                      <w:bCs/>
                      <w:kern w:val="44"/>
                      <w:szCs w:val="21"/>
                    </w:rPr>
                    <w:t>（</w:t>
                  </w:r>
                  <w:r>
                    <w:rPr>
                      <w:b/>
                      <w:bCs/>
                      <w:kern w:val="44"/>
                      <w:szCs w:val="21"/>
                    </w:rPr>
                    <w:t>mg/m</w:t>
                  </w:r>
                  <w:r>
                    <w:rPr>
                      <w:b/>
                      <w:bCs/>
                      <w:kern w:val="44"/>
                      <w:szCs w:val="21"/>
                      <w:vertAlign w:val="superscript"/>
                    </w:rPr>
                    <w:t>3</w:t>
                  </w:r>
                  <w:r>
                    <w:rPr>
                      <w:b/>
                      <w:bCs/>
                      <w:kern w:val="44"/>
                      <w:szCs w:val="21"/>
                    </w:rPr>
                    <w:t>）</w:t>
                  </w:r>
                </w:p>
              </w:tc>
              <w:tc>
                <w:tcPr>
                  <w:tcW w:w="1008" w:type="pct"/>
                  <w:tcBorders>
                    <w:tl2br w:val="nil"/>
                    <w:tr2bl w:val="nil"/>
                  </w:tcBorders>
                  <w:vAlign w:val="center"/>
                </w:tcPr>
                <w:p w14:paraId="7C580F5C" w14:textId="77777777" w:rsidR="00F76A63" w:rsidRDefault="00000000">
                  <w:pPr>
                    <w:adjustRightInd w:val="0"/>
                    <w:snapToGrid w:val="0"/>
                    <w:jc w:val="center"/>
                    <w:rPr>
                      <w:b/>
                      <w:kern w:val="44"/>
                      <w:szCs w:val="21"/>
                    </w:rPr>
                  </w:pPr>
                  <w:r>
                    <w:rPr>
                      <w:b/>
                      <w:kern w:val="44"/>
                      <w:szCs w:val="21"/>
                    </w:rPr>
                    <w:t>标准来源</w:t>
                  </w:r>
                </w:p>
              </w:tc>
            </w:tr>
            <w:tr w:rsidR="00F76A63" w14:paraId="2CB09E6C" w14:textId="77777777">
              <w:trPr>
                <w:trHeight w:val="413"/>
                <w:jc w:val="center"/>
              </w:trPr>
              <w:tc>
                <w:tcPr>
                  <w:tcW w:w="543" w:type="pct"/>
                  <w:vMerge w:val="restart"/>
                  <w:tcBorders>
                    <w:tl2br w:val="nil"/>
                    <w:tr2bl w:val="nil"/>
                  </w:tcBorders>
                  <w:vAlign w:val="center"/>
                </w:tcPr>
                <w:p w14:paraId="40EFCED6" w14:textId="77777777" w:rsidR="00F76A63" w:rsidRDefault="00000000">
                  <w:pPr>
                    <w:adjustRightInd w:val="0"/>
                    <w:snapToGrid w:val="0"/>
                    <w:jc w:val="center"/>
                    <w:textAlignment w:val="bottom"/>
                    <w:rPr>
                      <w:kern w:val="0"/>
                      <w:szCs w:val="21"/>
                      <w:lang w:bidi="ar"/>
                    </w:rPr>
                  </w:pPr>
                  <w:r>
                    <w:rPr>
                      <w:kern w:val="0"/>
                      <w:szCs w:val="21"/>
                      <w:lang w:bidi="ar"/>
                    </w:rPr>
                    <w:t>窑尾</w:t>
                  </w:r>
                </w:p>
                <w:p w14:paraId="4ADECF98" w14:textId="77777777" w:rsidR="00F76A63" w:rsidRDefault="00000000">
                  <w:pPr>
                    <w:adjustRightInd w:val="0"/>
                    <w:snapToGrid w:val="0"/>
                    <w:jc w:val="center"/>
                    <w:textAlignment w:val="bottom"/>
                    <w:rPr>
                      <w:kern w:val="0"/>
                      <w:szCs w:val="21"/>
                      <w:lang w:bidi="ar"/>
                    </w:rPr>
                  </w:pPr>
                  <w:r>
                    <w:rPr>
                      <w:kern w:val="0"/>
                      <w:szCs w:val="21"/>
                      <w:lang w:bidi="ar"/>
                    </w:rPr>
                    <w:t>废气</w:t>
                  </w:r>
                </w:p>
              </w:tc>
              <w:tc>
                <w:tcPr>
                  <w:tcW w:w="2560" w:type="pct"/>
                  <w:tcBorders>
                    <w:tl2br w:val="nil"/>
                    <w:tr2bl w:val="nil"/>
                  </w:tcBorders>
                  <w:vAlign w:val="center"/>
                </w:tcPr>
                <w:p w14:paraId="60CECA9D" w14:textId="77777777" w:rsidR="00F76A63" w:rsidRDefault="00000000">
                  <w:pPr>
                    <w:widowControl/>
                    <w:adjustRightInd w:val="0"/>
                    <w:snapToGrid w:val="0"/>
                    <w:jc w:val="center"/>
                    <w:textAlignment w:val="bottom"/>
                    <w:rPr>
                      <w:spacing w:val="5"/>
                      <w:szCs w:val="21"/>
                    </w:rPr>
                  </w:pPr>
                  <w:r>
                    <w:rPr>
                      <w:spacing w:val="5"/>
                      <w:szCs w:val="21"/>
                    </w:rPr>
                    <w:t>HCl</w:t>
                  </w:r>
                </w:p>
              </w:tc>
              <w:tc>
                <w:tcPr>
                  <w:tcW w:w="889" w:type="pct"/>
                  <w:tcBorders>
                    <w:tl2br w:val="nil"/>
                    <w:tr2bl w:val="nil"/>
                  </w:tcBorders>
                  <w:vAlign w:val="center"/>
                </w:tcPr>
                <w:p w14:paraId="783FE56A" w14:textId="77777777" w:rsidR="00F76A63" w:rsidRDefault="00000000">
                  <w:pPr>
                    <w:adjustRightInd w:val="0"/>
                    <w:snapToGrid w:val="0"/>
                    <w:jc w:val="center"/>
                    <w:rPr>
                      <w:spacing w:val="-6"/>
                      <w:szCs w:val="21"/>
                    </w:rPr>
                  </w:pPr>
                  <w:r>
                    <w:rPr>
                      <w:spacing w:val="-6"/>
                      <w:szCs w:val="21"/>
                    </w:rPr>
                    <w:t>10</w:t>
                  </w:r>
                </w:p>
              </w:tc>
              <w:tc>
                <w:tcPr>
                  <w:tcW w:w="1008" w:type="pct"/>
                  <w:vMerge w:val="restart"/>
                  <w:tcBorders>
                    <w:tl2br w:val="nil"/>
                    <w:tr2bl w:val="nil"/>
                  </w:tcBorders>
                  <w:vAlign w:val="center"/>
                </w:tcPr>
                <w:p w14:paraId="4651016D" w14:textId="77777777" w:rsidR="00F76A63" w:rsidRDefault="00000000">
                  <w:pPr>
                    <w:adjustRightInd w:val="0"/>
                    <w:snapToGrid w:val="0"/>
                    <w:jc w:val="center"/>
                    <w:rPr>
                      <w:szCs w:val="21"/>
                    </w:rPr>
                  </w:pPr>
                  <w:r>
                    <w:rPr>
                      <w:szCs w:val="21"/>
                    </w:rPr>
                    <w:t>《水泥窑协同处置固体废物污染控制标准》（</w:t>
                  </w:r>
                  <w:r>
                    <w:rPr>
                      <w:szCs w:val="21"/>
                    </w:rPr>
                    <w:t>GB30485-2013</w:t>
                  </w:r>
                  <w:r>
                    <w:rPr>
                      <w:szCs w:val="21"/>
                    </w:rPr>
                    <w:t>）表</w:t>
                  </w:r>
                  <w:r>
                    <w:rPr>
                      <w:szCs w:val="21"/>
                    </w:rPr>
                    <w:t>1</w:t>
                  </w:r>
                </w:p>
              </w:tc>
            </w:tr>
            <w:tr w:rsidR="00F76A63" w14:paraId="27EEF23D" w14:textId="77777777">
              <w:trPr>
                <w:trHeight w:val="413"/>
                <w:jc w:val="center"/>
              </w:trPr>
              <w:tc>
                <w:tcPr>
                  <w:tcW w:w="543" w:type="pct"/>
                  <w:vMerge/>
                  <w:tcBorders>
                    <w:tl2br w:val="nil"/>
                    <w:tr2bl w:val="nil"/>
                  </w:tcBorders>
                  <w:vAlign w:val="center"/>
                </w:tcPr>
                <w:p w14:paraId="0EBA5753" w14:textId="77777777" w:rsidR="00F76A63" w:rsidRDefault="00F76A63">
                  <w:pPr>
                    <w:adjustRightInd w:val="0"/>
                    <w:snapToGrid w:val="0"/>
                    <w:jc w:val="center"/>
                    <w:textAlignment w:val="bottom"/>
                    <w:rPr>
                      <w:kern w:val="0"/>
                      <w:szCs w:val="21"/>
                      <w:lang w:bidi="ar"/>
                    </w:rPr>
                  </w:pPr>
                </w:p>
              </w:tc>
              <w:tc>
                <w:tcPr>
                  <w:tcW w:w="2560" w:type="pct"/>
                  <w:tcBorders>
                    <w:tl2br w:val="nil"/>
                    <w:tr2bl w:val="nil"/>
                  </w:tcBorders>
                  <w:vAlign w:val="center"/>
                </w:tcPr>
                <w:p w14:paraId="1DB4C693" w14:textId="77777777" w:rsidR="00F76A63" w:rsidRDefault="00000000">
                  <w:pPr>
                    <w:widowControl/>
                    <w:adjustRightInd w:val="0"/>
                    <w:snapToGrid w:val="0"/>
                    <w:jc w:val="center"/>
                    <w:textAlignment w:val="bottom"/>
                    <w:rPr>
                      <w:kern w:val="0"/>
                      <w:szCs w:val="21"/>
                      <w:lang w:bidi="ar"/>
                    </w:rPr>
                  </w:pPr>
                  <w:r>
                    <w:rPr>
                      <w:spacing w:val="5"/>
                      <w:szCs w:val="21"/>
                    </w:rPr>
                    <w:t>HF</w:t>
                  </w:r>
                </w:p>
              </w:tc>
              <w:tc>
                <w:tcPr>
                  <w:tcW w:w="889" w:type="pct"/>
                  <w:tcBorders>
                    <w:tl2br w:val="nil"/>
                    <w:tr2bl w:val="nil"/>
                  </w:tcBorders>
                  <w:vAlign w:val="center"/>
                </w:tcPr>
                <w:p w14:paraId="3B32AA74" w14:textId="77777777" w:rsidR="00F76A63" w:rsidRDefault="00000000">
                  <w:pPr>
                    <w:adjustRightInd w:val="0"/>
                    <w:snapToGrid w:val="0"/>
                    <w:jc w:val="center"/>
                    <w:rPr>
                      <w:kern w:val="44"/>
                      <w:szCs w:val="21"/>
                    </w:rPr>
                  </w:pPr>
                  <w:r>
                    <w:rPr>
                      <w:szCs w:val="21"/>
                    </w:rPr>
                    <w:t>1</w:t>
                  </w:r>
                </w:p>
              </w:tc>
              <w:tc>
                <w:tcPr>
                  <w:tcW w:w="1008" w:type="pct"/>
                  <w:vMerge/>
                  <w:tcBorders>
                    <w:tl2br w:val="nil"/>
                    <w:tr2bl w:val="nil"/>
                  </w:tcBorders>
                  <w:vAlign w:val="center"/>
                </w:tcPr>
                <w:p w14:paraId="21C1EEB2" w14:textId="77777777" w:rsidR="00F76A63" w:rsidRDefault="00F76A63">
                  <w:pPr>
                    <w:adjustRightInd w:val="0"/>
                    <w:snapToGrid w:val="0"/>
                    <w:jc w:val="center"/>
                    <w:rPr>
                      <w:szCs w:val="21"/>
                    </w:rPr>
                  </w:pPr>
                </w:p>
              </w:tc>
            </w:tr>
            <w:tr w:rsidR="00F76A63" w14:paraId="78FEA63F" w14:textId="77777777">
              <w:trPr>
                <w:trHeight w:val="421"/>
                <w:jc w:val="center"/>
              </w:trPr>
              <w:tc>
                <w:tcPr>
                  <w:tcW w:w="543" w:type="pct"/>
                  <w:vMerge/>
                  <w:tcBorders>
                    <w:tl2br w:val="nil"/>
                    <w:tr2bl w:val="nil"/>
                  </w:tcBorders>
                  <w:vAlign w:val="center"/>
                </w:tcPr>
                <w:p w14:paraId="14CFE441" w14:textId="77777777" w:rsidR="00F76A63" w:rsidRDefault="00F76A63">
                  <w:pPr>
                    <w:adjustRightInd w:val="0"/>
                    <w:snapToGrid w:val="0"/>
                    <w:jc w:val="center"/>
                    <w:textAlignment w:val="bottom"/>
                    <w:rPr>
                      <w:kern w:val="0"/>
                      <w:szCs w:val="21"/>
                      <w:lang w:bidi="ar"/>
                    </w:rPr>
                  </w:pPr>
                </w:p>
              </w:tc>
              <w:tc>
                <w:tcPr>
                  <w:tcW w:w="2560" w:type="pct"/>
                  <w:tcBorders>
                    <w:tl2br w:val="nil"/>
                    <w:tr2bl w:val="nil"/>
                  </w:tcBorders>
                  <w:vAlign w:val="center"/>
                </w:tcPr>
                <w:p w14:paraId="06746024" w14:textId="77777777" w:rsidR="00F76A63" w:rsidRDefault="00000000">
                  <w:pPr>
                    <w:widowControl/>
                    <w:jc w:val="center"/>
                    <w:rPr>
                      <w:kern w:val="0"/>
                      <w:szCs w:val="21"/>
                      <w:lang w:bidi="ar"/>
                    </w:rPr>
                  </w:pPr>
                  <w:r>
                    <w:rPr>
                      <w:spacing w:val="9"/>
                      <w:szCs w:val="21"/>
                    </w:rPr>
                    <w:t>二噁英类</w:t>
                  </w:r>
                </w:p>
              </w:tc>
              <w:tc>
                <w:tcPr>
                  <w:tcW w:w="889" w:type="pct"/>
                  <w:tcBorders>
                    <w:tl2br w:val="nil"/>
                    <w:tr2bl w:val="nil"/>
                  </w:tcBorders>
                  <w:vAlign w:val="center"/>
                </w:tcPr>
                <w:p w14:paraId="39990657" w14:textId="77777777" w:rsidR="00F76A63" w:rsidRDefault="00000000">
                  <w:pPr>
                    <w:adjustRightInd w:val="0"/>
                    <w:snapToGrid w:val="0"/>
                    <w:jc w:val="center"/>
                    <w:rPr>
                      <w:kern w:val="44"/>
                      <w:szCs w:val="21"/>
                    </w:rPr>
                  </w:pPr>
                  <w:r>
                    <w:rPr>
                      <w:szCs w:val="21"/>
                    </w:rPr>
                    <w:t>0.1ngTEQ</w:t>
                  </w:r>
                  <w:r>
                    <w:rPr>
                      <w:spacing w:val="22"/>
                      <w:szCs w:val="21"/>
                    </w:rPr>
                    <w:t>/m</w:t>
                  </w:r>
                  <w:r>
                    <w:rPr>
                      <w:spacing w:val="22"/>
                      <w:szCs w:val="21"/>
                      <w:vertAlign w:val="superscript"/>
                    </w:rPr>
                    <w:t>3</w:t>
                  </w:r>
                </w:p>
              </w:tc>
              <w:tc>
                <w:tcPr>
                  <w:tcW w:w="1008" w:type="pct"/>
                  <w:vMerge/>
                  <w:tcBorders>
                    <w:tl2br w:val="nil"/>
                    <w:tr2bl w:val="nil"/>
                  </w:tcBorders>
                  <w:vAlign w:val="center"/>
                </w:tcPr>
                <w:p w14:paraId="3E951976" w14:textId="77777777" w:rsidR="00F76A63" w:rsidRDefault="00F76A63">
                  <w:pPr>
                    <w:adjustRightInd w:val="0"/>
                    <w:snapToGrid w:val="0"/>
                    <w:jc w:val="center"/>
                    <w:rPr>
                      <w:szCs w:val="21"/>
                    </w:rPr>
                  </w:pPr>
                </w:p>
              </w:tc>
            </w:tr>
            <w:tr w:rsidR="00F76A63" w14:paraId="4074ACE8" w14:textId="77777777">
              <w:trPr>
                <w:trHeight w:val="412"/>
                <w:jc w:val="center"/>
              </w:trPr>
              <w:tc>
                <w:tcPr>
                  <w:tcW w:w="543" w:type="pct"/>
                  <w:vMerge/>
                  <w:tcBorders>
                    <w:tl2br w:val="nil"/>
                    <w:tr2bl w:val="nil"/>
                  </w:tcBorders>
                  <w:vAlign w:val="center"/>
                </w:tcPr>
                <w:p w14:paraId="5C3CABAE" w14:textId="77777777" w:rsidR="00F76A63" w:rsidRDefault="00F76A63">
                  <w:pPr>
                    <w:adjustRightInd w:val="0"/>
                    <w:snapToGrid w:val="0"/>
                    <w:jc w:val="center"/>
                    <w:textAlignment w:val="bottom"/>
                    <w:rPr>
                      <w:kern w:val="0"/>
                      <w:szCs w:val="21"/>
                      <w:lang w:bidi="ar"/>
                    </w:rPr>
                  </w:pPr>
                </w:p>
              </w:tc>
              <w:tc>
                <w:tcPr>
                  <w:tcW w:w="2560" w:type="pct"/>
                  <w:tcBorders>
                    <w:tl2br w:val="nil"/>
                    <w:tr2bl w:val="nil"/>
                  </w:tcBorders>
                  <w:vAlign w:val="center"/>
                </w:tcPr>
                <w:p w14:paraId="1E932886" w14:textId="77777777" w:rsidR="00F76A63" w:rsidRDefault="00000000">
                  <w:pPr>
                    <w:widowControl/>
                    <w:jc w:val="center"/>
                    <w:rPr>
                      <w:kern w:val="0"/>
                      <w:szCs w:val="21"/>
                      <w:lang w:bidi="ar"/>
                    </w:rPr>
                  </w:pPr>
                  <w:r>
                    <w:rPr>
                      <w:spacing w:val="13"/>
                      <w:szCs w:val="21"/>
                    </w:rPr>
                    <w:t>铊、镉、铅、砷及其化合物（以</w:t>
                  </w:r>
                  <w:r>
                    <w:rPr>
                      <w:szCs w:val="21"/>
                    </w:rPr>
                    <w:t>Tl</w:t>
                  </w:r>
                  <w:r>
                    <w:rPr>
                      <w:spacing w:val="16"/>
                      <w:szCs w:val="21"/>
                    </w:rPr>
                    <w:t>+</w:t>
                  </w:r>
                  <w:r>
                    <w:rPr>
                      <w:szCs w:val="21"/>
                    </w:rPr>
                    <w:t>Cd</w:t>
                  </w:r>
                  <w:r>
                    <w:rPr>
                      <w:spacing w:val="16"/>
                      <w:szCs w:val="21"/>
                    </w:rPr>
                    <w:t>+</w:t>
                  </w:r>
                  <w:r>
                    <w:rPr>
                      <w:szCs w:val="21"/>
                    </w:rPr>
                    <w:t>Pb</w:t>
                  </w:r>
                  <w:r>
                    <w:rPr>
                      <w:spacing w:val="16"/>
                      <w:szCs w:val="21"/>
                    </w:rPr>
                    <w:t>+</w:t>
                  </w:r>
                  <w:r>
                    <w:rPr>
                      <w:szCs w:val="21"/>
                    </w:rPr>
                    <w:t>As</w:t>
                  </w:r>
                  <w:r>
                    <w:rPr>
                      <w:spacing w:val="16"/>
                      <w:szCs w:val="21"/>
                    </w:rPr>
                    <w:t>计）</w:t>
                  </w:r>
                </w:p>
              </w:tc>
              <w:tc>
                <w:tcPr>
                  <w:tcW w:w="889" w:type="pct"/>
                  <w:tcBorders>
                    <w:tl2br w:val="nil"/>
                    <w:tr2bl w:val="nil"/>
                  </w:tcBorders>
                  <w:vAlign w:val="center"/>
                </w:tcPr>
                <w:p w14:paraId="0E866F41" w14:textId="77777777" w:rsidR="00F76A63" w:rsidRDefault="00000000">
                  <w:pPr>
                    <w:adjustRightInd w:val="0"/>
                    <w:snapToGrid w:val="0"/>
                    <w:jc w:val="center"/>
                    <w:rPr>
                      <w:kern w:val="44"/>
                      <w:szCs w:val="21"/>
                    </w:rPr>
                  </w:pPr>
                  <w:r>
                    <w:rPr>
                      <w:spacing w:val="-3"/>
                      <w:szCs w:val="21"/>
                    </w:rPr>
                    <w:t>1.0</w:t>
                  </w:r>
                </w:p>
              </w:tc>
              <w:tc>
                <w:tcPr>
                  <w:tcW w:w="1008" w:type="pct"/>
                  <w:vMerge/>
                  <w:tcBorders>
                    <w:tl2br w:val="nil"/>
                    <w:tr2bl w:val="nil"/>
                  </w:tcBorders>
                  <w:vAlign w:val="center"/>
                </w:tcPr>
                <w:p w14:paraId="5666CA88" w14:textId="77777777" w:rsidR="00F76A63" w:rsidRDefault="00F76A63">
                  <w:pPr>
                    <w:adjustRightInd w:val="0"/>
                    <w:snapToGrid w:val="0"/>
                    <w:jc w:val="center"/>
                    <w:rPr>
                      <w:szCs w:val="21"/>
                    </w:rPr>
                  </w:pPr>
                </w:p>
              </w:tc>
            </w:tr>
            <w:tr w:rsidR="00F76A63" w14:paraId="281A6BC7" w14:textId="77777777">
              <w:trPr>
                <w:trHeight w:val="338"/>
                <w:jc w:val="center"/>
              </w:trPr>
              <w:tc>
                <w:tcPr>
                  <w:tcW w:w="543" w:type="pct"/>
                  <w:vMerge/>
                  <w:tcBorders>
                    <w:tl2br w:val="nil"/>
                    <w:tr2bl w:val="nil"/>
                  </w:tcBorders>
                  <w:vAlign w:val="center"/>
                </w:tcPr>
                <w:p w14:paraId="571A1087" w14:textId="77777777" w:rsidR="00F76A63" w:rsidRDefault="00F76A63">
                  <w:pPr>
                    <w:adjustRightInd w:val="0"/>
                    <w:snapToGrid w:val="0"/>
                    <w:jc w:val="center"/>
                    <w:textAlignment w:val="bottom"/>
                    <w:rPr>
                      <w:kern w:val="0"/>
                      <w:szCs w:val="21"/>
                      <w:lang w:bidi="ar"/>
                    </w:rPr>
                  </w:pPr>
                </w:p>
              </w:tc>
              <w:tc>
                <w:tcPr>
                  <w:tcW w:w="2560" w:type="pct"/>
                  <w:tcBorders>
                    <w:tl2br w:val="nil"/>
                    <w:tr2bl w:val="nil"/>
                  </w:tcBorders>
                  <w:vAlign w:val="center"/>
                </w:tcPr>
                <w:p w14:paraId="1DF8F97D" w14:textId="77777777" w:rsidR="00F76A63" w:rsidRDefault="00000000">
                  <w:pPr>
                    <w:widowControl/>
                    <w:jc w:val="center"/>
                    <w:rPr>
                      <w:kern w:val="0"/>
                      <w:szCs w:val="21"/>
                      <w:lang w:bidi="ar"/>
                    </w:rPr>
                  </w:pPr>
                  <w:r>
                    <w:rPr>
                      <w:spacing w:val="10"/>
                      <w:szCs w:val="21"/>
                    </w:rPr>
                    <w:t>铍、铬、锡、锑、铜、钴、锰、</w:t>
                  </w:r>
                  <w:r>
                    <w:rPr>
                      <w:spacing w:val="12"/>
                      <w:szCs w:val="21"/>
                    </w:rPr>
                    <w:t>镍、钒及其化合物（以</w:t>
                  </w:r>
                  <w:r>
                    <w:rPr>
                      <w:szCs w:val="21"/>
                    </w:rPr>
                    <w:t>Be</w:t>
                  </w:r>
                  <w:r>
                    <w:rPr>
                      <w:spacing w:val="26"/>
                      <w:szCs w:val="21"/>
                    </w:rPr>
                    <w:t>+</w:t>
                  </w:r>
                  <w:r>
                    <w:rPr>
                      <w:szCs w:val="21"/>
                    </w:rPr>
                    <w:t>Cr</w:t>
                  </w:r>
                  <w:r>
                    <w:rPr>
                      <w:spacing w:val="26"/>
                      <w:szCs w:val="21"/>
                    </w:rPr>
                    <w:t>+</w:t>
                  </w:r>
                  <w:r>
                    <w:rPr>
                      <w:szCs w:val="21"/>
                    </w:rPr>
                    <w:t>Sn</w:t>
                  </w:r>
                  <w:r>
                    <w:rPr>
                      <w:spacing w:val="26"/>
                      <w:szCs w:val="21"/>
                    </w:rPr>
                    <w:t>+</w:t>
                  </w:r>
                  <w:r>
                    <w:rPr>
                      <w:szCs w:val="21"/>
                    </w:rPr>
                    <w:t>Sb</w:t>
                  </w:r>
                  <w:r>
                    <w:rPr>
                      <w:spacing w:val="26"/>
                      <w:szCs w:val="21"/>
                    </w:rPr>
                    <w:t>+</w:t>
                  </w:r>
                  <w:r>
                    <w:rPr>
                      <w:szCs w:val="21"/>
                    </w:rPr>
                    <w:t>Cu</w:t>
                  </w:r>
                  <w:r>
                    <w:rPr>
                      <w:spacing w:val="26"/>
                      <w:szCs w:val="21"/>
                    </w:rPr>
                    <w:t>+</w:t>
                  </w:r>
                  <w:r>
                    <w:rPr>
                      <w:szCs w:val="21"/>
                    </w:rPr>
                    <w:t>Co</w:t>
                  </w:r>
                  <w:r>
                    <w:rPr>
                      <w:spacing w:val="26"/>
                      <w:szCs w:val="21"/>
                    </w:rPr>
                    <w:t>+</w:t>
                  </w:r>
                  <w:r>
                    <w:rPr>
                      <w:szCs w:val="21"/>
                    </w:rPr>
                    <w:t>Mn</w:t>
                  </w:r>
                  <w:r>
                    <w:rPr>
                      <w:spacing w:val="26"/>
                      <w:szCs w:val="21"/>
                    </w:rPr>
                    <w:t>+</w:t>
                  </w:r>
                  <w:r>
                    <w:rPr>
                      <w:szCs w:val="21"/>
                    </w:rPr>
                    <w:t>Ni</w:t>
                  </w:r>
                  <w:r>
                    <w:rPr>
                      <w:spacing w:val="26"/>
                      <w:szCs w:val="21"/>
                    </w:rPr>
                    <w:t>+V</w:t>
                  </w:r>
                  <w:r>
                    <w:rPr>
                      <w:szCs w:val="21"/>
                    </w:rPr>
                    <w:t>计）</w:t>
                  </w:r>
                </w:p>
              </w:tc>
              <w:tc>
                <w:tcPr>
                  <w:tcW w:w="889" w:type="pct"/>
                  <w:tcBorders>
                    <w:tl2br w:val="nil"/>
                    <w:tr2bl w:val="nil"/>
                  </w:tcBorders>
                  <w:vAlign w:val="center"/>
                </w:tcPr>
                <w:p w14:paraId="73880035" w14:textId="77777777" w:rsidR="00F76A63" w:rsidRDefault="00000000">
                  <w:pPr>
                    <w:spacing w:before="111"/>
                    <w:jc w:val="center"/>
                    <w:rPr>
                      <w:szCs w:val="21"/>
                    </w:rPr>
                  </w:pPr>
                  <w:r>
                    <w:rPr>
                      <w:spacing w:val="3"/>
                      <w:szCs w:val="21"/>
                    </w:rPr>
                    <w:t>0.5</w:t>
                  </w:r>
                </w:p>
              </w:tc>
              <w:tc>
                <w:tcPr>
                  <w:tcW w:w="1008" w:type="pct"/>
                  <w:vMerge/>
                  <w:tcBorders>
                    <w:tl2br w:val="nil"/>
                    <w:tr2bl w:val="nil"/>
                  </w:tcBorders>
                  <w:vAlign w:val="center"/>
                </w:tcPr>
                <w:p w14:paraId="437CDC40" w14:textId="77777777" w:rsidR="00F76A63" w:rsidRDefault="00F76A63">
                  <w:pPr>
                    <w:adjustRightInd w:val="0"/>
                    <w:snapToGrid w:val="0"/>
                    <w:jc w:val="center"/>
                    <w:rPr>
                      <w:szCs w:val="21"/>
                    </w:rPr>
                  </w:pPr>
                </w:p>
              </w:tc>
            </w:tr>
          </w:tbl>
          <w:p w14:paraId="18A573AF" w14:textId="77777777" w:rsidR="00F76A63" w:rsidRDefault="00000000">
            <w:pPr>
              <w:pStyle w:val="affff6"/>
              <w:adjustRightInd/>
              <w:spacing w:line="500" w:lineRule="exact"/>
              <w:ind w:firstLineChars="0" w:firstLine="0"/>
              <w:jc w:val="center"/>
              <w:rPr>
                <w:b/>
                <w:bCs/>
                <w:szCs w:val="24"/>
              </w:rPr>
            </w:pPr>
            <w:r>
              <w:rPr>
                <w:b/>
                <w:bCs/>
                <w:szCs w:val="24"/>
              </w:rPr>
              <w:lastRenderedPageBreak/>
              <w:t>表</w:t>
            </w:r>
            <w:r>
              <w:rPr>
                <w:b/>
                <w:bCs/>
                <w:szCs w:val="24"/>
              </w:rPr>
              <w:t xml:space="preserve">3-11  </w:t>
            </w:r>
            <w:r>
              <w:rPr>
                <w:b/>
                <w:bCs/>
                <w:szCs w:val="24"/>
              </w:rPr>
              <w:t>厂界无组织废气污染物排放标准</w:t>
            </w:r>
          </w:p>
          <w:tbl>
            <w:tblPr>
              <w:tblW w:w="5000" w:type="pct"/>
              <w:jc w:val="center"/>
              <w:tblBorders>
                <w:top w:val="single" w:sz="12" w:space="0" w:color="auto"/>
                <w:bottom w:val="single" w:sz="12" w:space="0" w:color="auto"/>
                <w:insideH w:val="single" w:sz="2" w:space="0" w:color="auto"/>
                <w:insideV w:val="single" w:sz="2" w:space="0" w:color="auto"/>
              </w:tblBorders>
              <w:tblLayout w:type="fixed"/>
              <w:tblCellMar>
                <w:top w:w="57" w:type="dxa"/>
                <w:bottom w:w="57" w:type="dxa"/>
              </w:tblCellMar>
              <w:tblLook w:val="04A0" w:firstRow="1" w:lastRow="0" w:firstColumn="1" w:lastColumn="0" w:noHBand="0" w:noVBand="1"/>
            </w:tblPr>
            <w:tblGrid>
              <w:gridCol w:w="1081"/>
              <w:gridCol w:w="1262"/>
              <w:gridCol w:w="2021"/>
              <w:gridCol w:w="1818"/>
              <w:gridCol w:w="2000"/>
            </w:tblGrid>
            <w:tr w:rsidR="00F76A63" w14:paraId="79544E38" w14:textId="77777777">
              <w:trPr>
                <w:cantSplit/>
                <w:trHeight w:val="340"/>
                <w:jc w:val="center"/>
              </w:trPr>
              <w:tc>
                <w:tcPr>
                  <w:tcW w:w="661" w:type="pct"/>
                  <w:tcBorders>
                    <w:top w:val="single" w:sz="12" w:space="0" w:color="auto"/>
                    <w:left w:val="nil"/>
                    <w:bottom w:val="single" w:sz="2" w:space="0" w:color="auto"/>
                    <w:right w:val="single" w:sz="2" w:space="0" w:color="auto"/>
                  </w:tcBorders>
                  <w:vAlign w:val="center"/>
                </w:tcPr>
                <w:p w14:paraId="1E53B181" w14:textId="77777777" w:rsidR="00F76A63" w:rsidRDefault="00000000">
                  <w:pPr>
                    <w:jc w:val="center"/>
                    <w:rPr>
                      <w:b/>
                      <w:bCs/>
                      <w:szCs w:val="21"/>
                    </w:rPr>
                  </w:pPr>
                  <w:r>
                    <w:rPr>
                      <w:b/>
                      <w:bCs/>
                      <w:szCs w:val="21"/>
                    </w:rPr>
                    <w:t>项目</w:t>
                  </w:r>
                </w:p>
              </w:tc>
              <w:tc>
                <w:tcPr>
                  <w:tcW w:w="771" w:type="pct"/>
                  <w:tcBorders>
                    <w:top w:val="single" w:sz="12" w:space="0" w:color="auto"/>
                    <w:left w:val="single" w:sz="2" w:space="0" w:color="auto"/>
                    <w:bottom w:val="single" w:sz="2" w:space="0" w:color="auto"/>
                    <w:right w:val="single" w:sz="2" w:space="0" w:color="auto"/>
                  </w:tcBorders>
                  <w:vAlign w:val="center"/>
                </w:tcPr>
                <w:p w14:paraId="0BCD6CCC" w14:textId="77777777" w:rsidR="00F76A63" w:rsidRDefault="00000000">
                  <w:pPr>
                    <w:jc w:val="center"/>
                    <w:rPr>
                      <w:b/>
                      <w:bCs/>
                      <w:szCs w:val="21"/>
                    </w:rPr>
                  </w:pPr>
                  <w:r>
                    <w:rPr>
                      <w:b/>
                      <w:bCs/>
                      <w:szCs w:val="21"/>
                    </w:rPr>
                    <w:t>无组织排放限值（</w:t>
                  </w:r>
                  <w:r>
                    <w:rPr>
                      <w:b/>
                      <w:bCs/>
                      <w:szCs w:val="21"/>
                    </w:rPr>
                    <w:t>mg/m</w:t>
                  </w:r>
                  <w:r>
                    <w:rPr>
                      <w:b/>
                      <w:bCs/>
                      <w:szCs w:val="21"/>
                      <w:vertAlign w:val="superscript"/>
                    </w:rPr>
                    <w:t>3</w:t>
                  </w:r>
                  <w:r>
                    <w:rPr>
                      <w:b/>
                      <w:bCs/>
                      <w:szCs w:val="21"/>
                    </w:rPr>
                    <w:t>）</w:t>
                  </w:r>
                </w:p>
              </w:tc>
              <w:tc>
                <w:tcPr>
                  <w:tcW w:w="1235" w:type="pct"/>
                  <w:tcBorders>
                    <w:top w:val="single" w:sz="12" w:space="0" w:color="auto"/>
                    <w:left w:val="single" w:sz="2" w:space="0" w:color="auto"/>
                    <w:bottom w:val="single" w:sz="2" w:space="0" w:color="auto"/>
                    <w:right w:val="single" w:sz="2" w:space="0" w:color="auto"/>
                  </w:tcBorders>
                  <w:vAlign w:val="center"/>
                </w:tcPr>
                <w:p w14:paraId="62D373CC" w14:textId="77777777" w:rsidR="00F76A63" w:rsidRDefault="00000000">
                  <w:pPr>
                    <w:jc w:val="center"/>
                    <w:rPr>
                      <w:b/>
                      <w:bCs/>
                      <w:szCs w:val="21"/>
                    </w:rPr>
                  </w:pPr>
                  <w:r>
                    <w:rPr>
                      <w:b/>
                      <w:bCs/>
                      <w:szCs w:val="21"/>
                    </w:rPr>
                    <w:t>限值含义</w:t>
                  </w:r>
                </w:p>
              </w:tc>
              <w:tc>
                <w:tcPr>
                  <w:tcW w:w="1111" w:type="pct"/>
                  <w:tcBorders>
                    <w:top w:val="single" w:sz="12" w:space="0" w:color="auto"/>
                    <w:left w:val="single" w:sz="2" w:space="0" w:color="auto"/>
                    <w:bottom w:val="single" w:sz="2" w:space="0" w:color="auto"/>
                    <w:right w:val="single" w:sz="2" w:space="0" w:color="auto"/>
                  </w:tcBorders>
                  <w:vAlign w:val="center"/>
                </w:tcPr>
                <w:p w14:paraId="650E40F5" w14:textId="77777777" w:rsidR="00F76A63" w:rsidRDefault="00000000">
                  <w:pPr>
                    <w:jc w:val="center"/>
                    <w:rPr>
                      <w:b/>
                      <w:bCs/>
                      <w:szCs w:val="21"/>
                    </w:rPr>
                  </w:pPr>
                  <w:r>
                    <w:rPr>
                      <w:b/>
                      <w:bCs/>
                      <w:szCs w:val="21"/>
                    </w:rPr>
                    <w:t>无组织排放监控位置</w:t>
                  </w:r>
                </w:p>
              </w:tc>
              <w:tc>
                <w:tcPr>
                  <w:tcW w:w="1222" w:type="pct"/>
                  <w:tcBorders>
                    <w:top w:val="single" w:sz="12" w:space="0" w:color="auto"/>
                    <w:left w:val="single" w:sz="2" w:space="0" w:color="auto"/>
                    <w:bottom w:val="single" w:sz="2" w:space="0" w:color="auto"/>
                    <w:right w:val="nil"/>
                  </w:tcBorders>
                  <w:vAlign w:val="center"/>
                </w:tcPr>
                <w:p w14:paraId="6EDEEDC3" w14:textId="77777777" w:rsidR="00F76A63" w:rsidRDefault="00000000">
                  <w:pPr>
                    <w:jc w:val="center"/>
                    <w:rPr>
                      <w:b/>
                      <w:bCs/>
                      <w:szCs w:val="21"/>
                    </w:rPr>
                  </w:pPr>
                  <w:r>
                    <w:rPr>
                      <w:b/>
                      <w:bCs/>
                      <w:szCs w:val="21"/>
                    </w:rPr>
                    <w:t>标准来源</w:t>
                  </w:r>
                </w:p>
              </w:tc>
            </w:tr>
            <w:tr w:rsidR="00F76A63" w14:paraId="6CED8ACF" w14:textId="77777777">
              <w:trPr>
                <w:cantSplit/>
                <w:trHeight w:val="340"/>
                <w:jc w:val="center"/>
              </w:trPr>
              <w:tc>
                <w:tcPr>
                  <w:tcW w:w="661" w:type="pct"/>
                  <w:tcBorders>
                    <w:top w:val="single" w:sz="2" w:space="0" w:color="auto"/>
                    <w:left w:val="nil"/>
                    <w:bottom w:val="single" w:sz="2" w:space="0" w:color="auto"/>
                    <w:right w:val="single" w:sz="2" w:space="0" w:color="auto"/>
                  </w:tcBorders>
                  <w:vAlign w:val="center"/>
                </w:tcPr>
                <w:p w14:paraId="3249A844" w14:textId="77777777" w:rsidR="00F76A63" w:rsidRDefault="00000000">
                  <w:pPr>
                    <w:jc w:val="center"/>
                    <w:rPr>
                      <w:bCs/>
                      <w:szCs w:val="21"/>
                    </w:rPr>
                  </w:pPr>
                  <w:r>
                    <w:rPr>
                      <w:bCs/>
                      <w:szCs w:val="21"/>
                    </w:rPr>
                    <w:t>NH</w:t>
                  </w:r>
                  <w:r>
                    <w:rPr>
                      <w:bCs/>
                      <w:szCs w:val="21"/>
                      <w:vertAlign w:val="subscript"/>
                    </w:rPr>
                    <w:t>3</w:t>
                  </w:r>
                </w:p>
              </w:tc>
              <w:tc>
                <w:tcPr>
                  <w:tcW w:w="771" w:type="pct"/>
                  <w:tcBorders>
                    <w:top w:val="single" w:sz="2" w:space="0" w:color="auto"/>
                    <w:left w:val="single" w:sz="2" w:space="0" w:color="auto"/>
                    <w:bottom w:val="single" w:sz="2" w:space="0" w:color="auto"/>
                    <w:right w:val="single" w:sz="2" w:space="0" w:color="auto"/>
                  </w:tcBorders>
                  <w:vAlign w:val="center"/>
                </w:tcPr>
                <w:p w14:paraId="4EC8FE29" w14:textId="77777777" w:rsidR="00F76A63" w:rsidRDefault="00000000">
                  <w:pPr>
                    <w:jc w:val="center"/>
                    <w:rPr>
                      <w:bCs/>
                      <w:szCs w:val="21"/>
                    </w:rPr>
                  </w:pPr>
                  <w:r>
                    <w:rPr>
                      <w:bCs/>
                      <w:szCs w:val="21"/>
                    </w:rPr>
                    <w:t>0.5</w:t>
                  </w:r>
                </w:p>
              </w:tc>
              <w:tc>
                <w:tcPr>
                  <w:tcW w:w="1235" w:type="pct"/>
                  <w:tcBorders>
                    <w:top w:val="single" w:sz="2" w:space="0" w:color="auto"/>
                    <w:left w:val="single" w:sz="2" w:space="0" w:color="auto"/>
                    <w:bottom w:val="single" w:sz="2" w:space="0" w:color="auto"/>
                    <w:right w:val="single" w:sz="2" w:space="0" w:color="auto"/>
                  </w:tcBorders>
                  <w:vAlign w:val="center"/>
                </w:tcPr>
                <w:p w14:paraId="0FCB5359" w14:textId="77777777" w:rsidR="00F76A63" w:rsidRDefault="00000000">
                  <w:pPr>
                    <w:jc w:val="center"/>
                    <w:rPr>
                      <w:bCs/>
                      <w:szCs w:val="21"/>
                    </w:rPr>
                  </w:pPr>
                  <w:r>
                    <w:rPr>
                      <w:bCs/>
                      <w:szCs w:val="21"/>
                    </w:rPr>
                    <w:t>监控点处</w:t>
                  </w:r>
                  <w:r>
                    <w:rPr>
                      <w:bCs/>
                      <w:szCs w:val="21"/>
                    </w:rPr>
                    <w:t>1</w:t>
                  </w:r>
                  <w:r>
                    <w:rPr>
                      <w:bCs/>
                      <w:szCs w:val="21"/>
                    </w:rPr>
                    <w:t>小时浓度平均值</w:t>
                  </w:r>
                </w:p>
              </w:tc>
              <w:tc>
                <w:tcPr>
                  <w:tcW w:w="1111" w:type="pct"/>
                  <w:tcBorders>
                    <w:top w:val="single" w:sz="2" w:space="0" w:color="auto"/>
                    <w:left w:val="single" w:sz="2" w:space="0" w:color="auto"/>
                    <w:bottom w:val="single" w:sz="2" w:space="0" w:color="auto"/>
                    <w:right w:val="single" w:sz="2" w:space="0" w:color="auto"/>
                  </w:tcBorders>
                  <w:vAlign w:val="center"/>
                </w:tcPr>
                <w:p w14:paraId="064938C1" w14:textId="77777777" w:rsidR="00F76A63" w:rsidRDefault="00000000">
                  <w:pPr>
                    <w:jc w:val="center"/>
                    <w:rPr>
                      <w:bCs/>
                      <w:szCs w:val="21"/>
                    </w:rPr>
                  </w:pPr>
                  <w:r>
                    <w:rPr>
                      <w:bCs/>
                      <w:szCs w:val="21"/>
                    </w:rPr>
                    <w:t>监控点设在下风向厂界外</w:t>
                  </w:r>
                  <w:r>
                    <w:rPr>
                      <w:bCs/>
                      <w:szCs w:val="21"/>
                    </w:rPr>
                    <w:t xml:space="preserve">10 m </w:t>
                  </w:r>
                  <w:r>
                    <w:rPr>
                      <w:bCs/>
                      <w:szCs w:val="21"/>
                    </w:rPr>
                    <w:t>范围内浓度最高点</w:t>
                  </w:r>
                </w:p>
              </w:tc>
              <w:tc>
                <w:tcPr>
                  <w:tcW w:w="1222" w:type="pct"/>
                  <w:vMerge w:val="restart"/>
                  <w:tcBorders>
                    <w:top w:val="single" w:sz="2" w:space="0" w:color="auto"/>
                    <w:left w:val="single" w:sz="2" w:space="0" w:color="auto"/>
                    <w:bottom w:val="single" w:sz="2" w:space="0" w:color="auto"/>
                    <w:right w:val="nil"/>
                  </w:tcBorders>
                  <w:vAlign w:val="center"/>
                </w:tcPr>
                <w:p w14:paraId="4212F92A" w14:textId="77777777" w:rsidR="00F76A63" w:rsidRDefault="00000000">
                  <w:pPr>
                    <w:jc w:val="center"/>
                    <w:rPr>
                      <w:bCs/>
                      <w:szCs w:val="21"/>
                    </w:rPr>
                  </w:pPr>
                  <w:r>
                    <w:rPr>
                      <w:bCs/>
                      <w:szCs w:val="21"/>
                    </w:rPr>
                    <w:t>《水泥工业大气污染物排放标准》（</w:t>
                  </w:r>
                  <w:r>
                    <w:rPr>
                      <w:bCs/>
                      <w:szCs w:val="21"/>
                    </w:rPr>
                    <w:t>DB32/4149-2021</w:t>
                  </w:r>
                  <w:r>
                    <w:rPr>
                      <w:bCs/>
                      <w:szCs w:val="21"/>
                    </w:rPr>
                    <w:t>）表</w:t>
                  </w:r>
                  <w:r>
                    <w:rPr>
                      <w:bCs/>
                      <w:szCs w:val="21"/>
                    </w:rPr>
                    <w:t>3</w:t>
                  </w:r>
                  <w:r>
                    <w:rPr>
                      <w:bCs/>
                      <w:szCs w:val="21"/>
                    </w:rPr>
                    <w:t>标准</w:t>
                  </w:r>
                </w:p>
              </w:tc>
            </w:tr>
            <w:tr w:rsidR="00F76A63" w14:paraId="533D441E" w14:textId="77777777">
              <w:trPr>
                <w:cantSplit/>
                <w:trHeight w:val="340"/>
                <w:jc w:val="center"/>
              </w:trPr>
              <w:tc>
                <w:tcPr>
                  <w:tcW w:w="661" w:type="pct"/>
                  <w:tcBorders>
                    <w:top w:val="single" w:sz="2" w:space="0" w:color="auto"/>
                    <w:left w:val="nil"/>
                    <w:bottom w:val="single" w:sz="2" w:space="0" w:color="auto"/>
                    <w:right w:val="single" w:sz="2" w:space="0" w:color="auto"/>
                  </w:tcBorders>
                  <w:vAlign w:val="center"/>
                </w:tcPr>
                <w:p w14:paraId="6FF31D22" w14:textId="77777777" w:rsidR="00F76A63" w:rsidRDefault="00000000">
                  <w:pPr>
                    <w:jc w:val="center"/>
                    <w:rPr>
                      <w:bCs/>
                      <w:szCs w:val="21"/>
                    </w:rPr>
                  </w:pPr>
                  <w:r>
                    <w:rPr>
                      <w:bCs/>
                      <w:szCs w:val="21"/>
                    </w:rPr>
                    <w:t>颗粒物</w:t>
                  </w:r>
                </w:p>
              </w:tc>
              <w:tc>
                <w:tcPr>
                  <w:tcW w:w="771" w:type="pct"/>
                  <w:tcBorders>
                    <w:top w:val="single" w:sz="2" w:space="0" w:color="auto"/>
                    <w:left w:val="single" w:sz="2" w:space="0" w:color="auto"/>
                    <w:bottom w:val="single" w:sz="2" w:space="0" w:color="auto"/>
                    <w:right w:val="single" w:sz="2" w:space="0" w:color="auto"/>
                  </w:tcBorders>
                  <w:vAlign w:val="center"/>
                </w:tcPr>
                <w:p w14:paraId="5CB19DF5" w14:textId="77777777" w:rsidR="00F76A63" w:rsidRDefault="00000000">
                  <w:pPr>
                    <w:jc w:val="center"/>
                    <w:rPr>
                      <w:bCs/>
                      <w:szCs w:val="21"/>
                    </w:rPr>
                  </w:pPr>
                  <w:r>
                    <w:rPr>
                      <w:bCs/>
                      <w:szCs w:val="21"/>
                    </w:rPr>
                    <w:t>0.5</w:t>
                  </w:r>
                </w:p>
              </w:tc>
              <w:tc>
                <w:tcPr>
                  <w:tcW w:w="1235" w:type="pct"/>
                  <w:tcBorders>
                    <w:top w:val="single" w:sz="2" w:space="0" w:color="auto"/>
                    <w:left w:val="single" w:sz="2" w:space="0" w:color="auto"/>
                    <w:bottom w:val="single" w:sz="2" w:space="0" w:color="auto"/>
                    <w:right w:val="single" w:sz="2" w:space="0" w:color="auto"/>
                  </w:tcBorders>
                  <w:vAlign w:val="center"/>
                </w:tcPr>
                <w:p w14:paraId="25059C8B" w14:textId="77777777" w:rsidR="00F76A63" w:rsidRDefault="00000000">
                  <w:pPr>
                    <w:jc w:val="center"/>
                    <w:rPr>
                      <w:bCs/>
                      <w:szCs w:val="21"/>
                    </w:rPr>
                  </w:pPr>
                  <w:r>
                    <w:rPr>
                      <w:bCs/>
                      <w:szCs w:val="21"/>
                    </w:rPr>
                    <w:t>监控点与参照点总悬浮颗粒物（</w:t>
                  </w:r>
                  <w:r>
                    <w:rPr>
                      <w:bCs/>
                      <w:szCs w:val="21"/>
                    </w:rPr>
                    <w:t>TSP</w:t>
                  </w:r>
                  <w:r>
                    <w:rPr>
                      <w:bCs/>
                      <w:szCs w:val="21"/>
                    </w:rPr>
                    <w:t>）</w:t>
                  </w:r>
                  <w:r>
                    <w:rPr>
                      <w:bCs/>
                      <w:szCs w:val="21"/>
                    </w:rPr>
                    <w:t>1</w:t>
                  </w:r>
                  <w:r>
                    <w:rPr>
                      <w:bCs/>
                      <w:szCs w:val="21"/>
                    </w:rPr>
                    <w:t>小时浓度值的差值</w:t>
                  </w:r>
                </w:p>
              </w:tc>
              <w:tc>
                <w:tcPr>
                  <w:tcW w:w="1111" w:type="pct"/>
                  <w:tcBorders>
                    <w:top w:val="single" w:sz="2" w:space="0" w:color="auto"/>
                    <w:left w:val="single" w:sz="2" w:space="0" w:color="auto"/>
                    <w:bottom w:val="single" w:sz="2" w:space="0" w:color="auto"/>
                    <w:right w:val="single" w:sz="2" w:space="0" w:color="auto"/>
                  </w:tcBorders>
                  <w:vAlign w:val="center"/>
                </w:tcPr>
                <w:p w14:paraId="6353407C" w14:textId="77777777" w:rsidR="00F76A63" w:rsidRDefault="00000000">
                  <w:pPr>
                    <w:jc w:val="center"/>
                    <w:rPr>
                      <w:bCs/>
                      <w:szCs w:val="21"/>
                    </w:rPr>
                  </w:pPr>
                  <w:r>
                    <w:rPr>
                      <w:bCs/>
                      <w:szCs w:val="21"/>
                    </w:rPr>
                    <w:t>厂界外</w:t>
                  </w:r>
                  <w:r>
                    <w:rPr>
                      <w:bCs/>
                      <w:szCs w:val="21"/>
                    </w:rPr>
                    <w:t xml:space="preserve"> 20 m </w:t>
                  </w:r>
                  <w:r>
                    <w:rPr>
                      <w:bCs/>
                      <w:szCs w:val="21"/>
                    </w:rPr>
                    <w:t>处上风向设参照点，下风向设监控点</w:t>
                  </w:r>
                </w:p>
              </w:tc>
              <w:tc>
                <w:tcPr>
                  <w:tcW w:w="2106" w:type="dxa"/>
                  <w:vMerge/>
                  <w:tcBorders>
                    <w:top w:val="single" w:sz="2" w:space="0" w:color="auto"/>
                    <w:left w:val="single" w:sz="2" w:space="0" w:color="auto"/>
                    <w:bottom w:val="single" w:sz="2" w:space="0" w:color="auto"/>
                    <w:right w:val="nil"/>
                  </w:tcBorders>
                  <w:vAlign w:val="center"/>
                </w:tcPr>
                <w:p w14:paraId="0BDDB389" w14:textId="77777777" w:rsidR="00F76A63" w:rsidRDefault="00F76A63">
                  <w:pPr>
                    <w:jc w:val="center"/>
                    <w:rPr>
                      <w:bCs/>
                      <w:szCs w:val="21"/>
                    </w:rPr>
                  </w:pPr>
                </w:p>
              </w:tc>
            </w:tr>
            <w:tr w:rsidR="00F76A63" w14:paraId="3CFC14AA" w14:textId="77777777">
              <w:trPr>
                <w:cantSplit/>
                <w:trHeight w:val="340"/>
                <w:jc w:val="center"/>
              </w:trPr>
              <w:tc>
                <w:tcPr>
                  <w:tcW w:w="661" w:type="pct"/>
                  <w:tcBorders>
                    <w:top w:val="single" w:sz="2" w:space="0" w:color="auto"/>
                    <w:left w:val="nil"/>
                    <w:bottom w:val="single" w:sz="2" w:space="0" w:color="auto"/>
                    <w:right w:val="single" w:sz="2" w:space="0" w:color="auto"/>
                  </w:tcBorders>
                  <w:vAlign w:val="center"/>
                </w:tcPr>
                <w:p w14:paraId="706B1953" w14:textId="77777777" w:rsidR="00F76A63" w:rsidRDefault="00000000">
                  <w:pPr>
                    <w:jc w:val="center"/>
                    <w:rPr>
                      <w:bCs/>
                      <w:szCs w:val="21"/>
                    </w:rPr>
                  </w:pPr>
                  <w:r>
                    <w:rPr>
                      <w:bCs/>
                      <w:szCs w:val="21"/>
                    </w:rPr>
                    <w:t>H</w:t>
                  </w:r>
                  <w:r>
                    <w:rPr>
                      <w:bCs/>
                      <w:szCs w:val="21"/>
                      <w:vertAlign w:val="subscript"/>
                    </w:rPr>
                    <w:t>2</w:t>
                  </w:r>
                  <w:r>
                    <w:rPr>
                      <w:bCs/>
                      <w:szCs w:val="21"/>
                    </w:rPr>
                    <w:t>S</w:t>
                  </w:r>
                </w:p>
              </w:tc>
              <w:tc>
                <w:tcPr>
                  <w:tcW w:w="771" w:type="pct"/>
                  <w:tcBorders>
                    <w:top w:val="single" w:sz="2" w:space="0" w:color="auto"/>
                    <w:left w:val="single" w:sz="2" w:space="0" w:color="auto"/>
                    <w:bottom w:val="single" w:sz="2" w:space="0" w:color="auto"/>
                    <w:right w:val="single" w:sz="2" w:space="0" w:color="auto"/>
                  </w:tcBorders>
                  <w:vAlign w:val="center"/>
                </w:tcPr>
                <w:p w14:paraId="57B76A9B" w14:textId="77777777" w:rsidR="00F76A63" w:rsidRDefault="00000000">
                  <w:pPr>
                    <w:jc w:val="center"/>
                    <w:rPr>
                      <w:bCs/>
                      <w:szCs w:val="21"/>
                    </w:rPr>
                  </w:pPr>
                  <w:r>
                    <w:rPr>
                      <w:bCs/>
                      <w:szCs w:val="21"/>
                    </w:rPr>
                    <w:t>0.06</w:t>
                  </w:r>
                </w:p>
              </w:tc>
              <w:tc>
                <w:tcPr>
                  <w:tcW w:w="1235" w:type="pct"/>
                  <w:tcBorders>
                    <w:top w:val="single" w:sz="2" w:space="0" w:color="auto"/>
                    <w:left w:val="single" w:sz="2" w:space="0" w:color="auto"/>
                    <w:bottom w:val="single" w:sz="2" w:space="0" w:color="auto"/>
                    <w:right w:val="single" w:sz="2" w:space="0" w:color="auto"/>
                  </w:tcBorders>
                  <w:vAlign w:val="center"/>
                </w:tcPr>
                <w:p w14:paraId="3281940D" w14:textId="77777777" w:rsidR="00F76A63" w:rsidRDefault="00000000">
                  <w:pPr>
                    <w:jc w:val="center"/>
                    <w:rPr>
                      <w:bCs/>
                      <w:szCs w:val="21"/>
                    </w:rPr>
                  </w:pPr>
                  <w:r>
                    <w:rPr>
                      <w:bCs/>
                      <w:szCs w:val="21"/>
                    </w:rPr>
                    <w:t>/</w:t>
                  </w:r>
                </w:p>
              </w:tc>
              <w:tc>
                <w:tcPr>
                  <w:tcW w:w="1111" w:type="pct"/>
                  <w:tcBorders>
                    <w:top w:val="single" w:sz="2" w:space="0" w:color="auto"/>
                    <w:left w:val="single" w:sz="2" w:space="0" w:color="auto"/>
                    <w:bottom w:val="single" w:sz="2" w:space="0" w:color="auto"/>
                    <w:right w:val="single" w:sz="2" w:space="0" w:color="auto"/>
                  </w:tcBorders>
                  <w:vAlign w:val="center"/>
                </w:tcPr>
                <w:p w14:paraId="30198519" w14:textId="77777777" w:rsidR="00F76A63" w:rsidRDefault="00000000">
                  <w:pPr>
                    <w:jc w:val="center"/>
                    <w:rPr>
                      <w:bCs/>
                      <w:szCs w:val="21"/>
                    </w:rPr>
                  </w:pPr>
                  <w:r>
                    <w:rPr>
                      <w:bCs/>
                      <w:szCs w:val="21"/>
                    </w:rPr>
                    <w:t>厂界</w:t>
                  </w:r>
                </w:p>
              </w:tc>
              <w:tc>
                <w:tcPr>
                  <w:tcW w:w="1222" w:type="pct"/>
                  <w:vMerge w:val="restart"/>
                  <w:tcBorders>
                    <w:top w:val="single" w:sz="2" w:space="0" w:color="auto"/>
                    <w:left w:val="single" w:sz="2" w:space="0" w:color="auto"/>
                    <w:bottom w:val="single" w:sz="2" w:space="0" w:color="auto"/>
                    <w:right w:val="nil"/>
                  </w:tcBorders>
                  <w:vAlign w:val="center"/>
                </w:tcPr>
                <w:p w14:paraId="5E13E9C5" w14:textId="77777777" w:rsidR="00F76A63" w:rsidRDefault="00000000">
                  <w:pPr>
                    <w:jc w:val="center"/>
                    <w:rPr>
                      <w:bCs/>
                      <w:szCs w:val="21"/>
                    </w:rPr>
                  </w:pPr>
                  <w:r>
                    <w:rPr>
                      <w:bCs/>
                      <w:szCs w:val="21"/>
                    </w:rPr>
                    <w:t>《恶臭污染物排放标准》（</w:t>
                  </w:r>
                  <w:r>
                    <w:rPr>
                      <w:bCs/>
                      <w:szCs w:val="21"/>
                    </w:rPr>
                    <w:t>GB14554-93</w:t>
                  </w:r>
                  <w:r>
                    <w:rPr>
                      <w:bCs/>
                      <w:szCs w:val="21"/>
                    </w:rPr>
                    <w:t>）表</w:t>
                  </w:r>
                  <w:r>
                    <w:rPr>
                      <w:bCs/>
                      <w:szCs w:val="21"/>
                    </w:rPr>
                    <w:t>1</w:t>
                  </w:r>
                </w:p>
              </w:tc>
            </w:tr>
            <w:tr w:rsidR="00F76A63" w14:paraId="62A2D7FE" w14:textId="77777777">
              <w:trPr>
                <w:cantSplit/>
                <w:trHeight w:val="340"/>
                <w:jc w:val="center"/>
              </w:trPr>
              <w:tc>
                <w:tcPr>
                  <w:tcW w:w="661" w:type="pct"/>
                  <w:tcBorders>
                    <w:top w:val="single" w:sz="2" w:space="0" w:color="auto"/>
                    <w:left w:val="nil"/>
                    <w:bottom w:val="single" w:sz="12" w:space="0" w:color="auto"/>
                    <w:right w:val="single" w:sz="2" w:space="0" w:color="auto"/>
                  </w:tcBorders>
                  <w:vAlign w:val="center"/>
                </w:tcPr>
                <w:p w14:paraId="2DB19F64" w14:textId="77777777" w:rsidR="00F76A63" w:rsidRDefault="00000000">
                  <w:pPr>
                    <w:jc w:val="center"/>
                    <w:rPr>
                      <w:bCs/>
                      <w:szCs w:val="21"/>
                    </w:rPr>
                  </w:pPr>
                  <w:r>
                    <w:rPr>
                      <w:bCs/>
                      <w:szCs w:val="21"/>
                    </w:rPr>
                    <w:t>臭气浓度</w:t>
                  </w:r>
                </w:p>
              </w:tc>
              <w:tc>
                <w:tcPr>
                  <w:tcW w:w="771" w:type="pct"/>
                  <w:tcBorders>
                    <w:top w:val="single" w:sz="2" w:space="0" w:color="auto"/>
                    <w:left w:val="single" w:sz="2" w:space="0" w:color="auto"/>
                    <w:bottom w:val="single" w:sz="12" w:space="0" w:color="auto"/>
                    <w:right w:val="single" w:sz="2" w:space="0" w:color="auto"/>
                  </w:tcBorders>
                  <w:vAlign w:val="center"/>
                </w:tcPr>
                <w:p w14:paraId="123C8CCF" w14:textId="77777777" w:rsidR="00F76A63" w:rsidRDefault="00000000">
                  <w:pPr>
                    <w:jc w:val="center"/>
                    <w:rPr>
                      <w:bCs/>
                      <w:szCs w:val="21"/>
                    </w:rPr>
                  </w:pPr>
                  <w:r>
                    <w:rPr>
                      <w:bCs/>
                      <w:szCs w:val="21"/>
                    </w:rPr>
                    <w:t>20</w:t>
                  </w:r>
                </w:p>
              </w:tc>
              <w:tc>
                <w:tcPr>
                  <w:tcW w:w="1235" w:type="pct"/>
                  <w:tcBorders>
                    <w:top w:val="single" w:sz="2" w:space="0" w:color="auto"/>
                    <w:left w:val="single" w:sz="2" w:space="0" w:color="auto"/>
                    <w:bottom w:val="single" w:sz="12" w:space="0" w:color="auto"/>
                    <w:right w:val="single" w:sz="2" w:space="0" w:color="auto"/>
                  </w:tcBorders>
                  <w:vAlign w:val="center"/>
                </w:tcPr>
                <w:p w14:paraId="37F28DA2" w14:textId="77777777" w:rsidR="00F76A63" w:rsidRDefault="00000000">
                  <w:pPr>
                    <w:jc w:val="center"/>
                    <w:rPr>
                      <w:bCs/>
                      <w:szCs w:val="21"/>
                    </w:rPr>
                  </w:pPr>
                  <w:r>
                    <w:rPr>
                      <w:bCs/>
                      <w:szCs w:val="21"/>
                    </w:rPr>
                    <w:t>/</w:t>
                  </w:r>
                </w:p>
              </w:tc>
              <w:tc>
                <w:tcPr>
                  <w:tcW w:w="1111" w:type="pct"/>
                  <w:tcBorders>
                    <w:top w:val="single" w:sz="2" w:space="0" w:color="auto"/>
                    <w:left w:val="single" w:sz="2" w:space="0" w:color="auto"/>
                    <w:bottom w:val="single" w:sz="12" w:space="0" w:color="auto"/>
                    <w:right w:val="single" w:sz="2" w:space="0" w:color="auto"/>
                  </w:tcBorders>
                  <w:vAlign w:val="center"/>
                </w:tcPr>
                <w:p w14:paraId="6F304EAC" w14:textId="77777777" w:rsidR="00F76A63" w:rsidRDefault="00000000">
                  <w:pPr>
                    <w:jc w:val="center"/>
                    <w:rPr>
                      <w:bCs/>
                      <w:szCs w:val="21"/>
                    </w:rPr>
                  </w:pPr>
                  <w:r>
                    <w:rPr>
                      <w:bCs/>
                      <w:szCs w:val="21"/>
                    </w:rPr>
                    <w:t>厂界</w:t>
                  </w:r>
                </w:p>
              </w:tc>
              <w:tc>
                <w:tcPr>
                  <w:tcW w:w="2106" w:type="dxa"/>
                  <w:vMerge/>
                  <w:tcBorders>
                    <w:top w:val="single" w:sz="2" w:space="0" w:color="auto"/>
                    <w:left w:val="single" w:sz="2" w:space="0" w:color="auto"/>
                    <w:bottom w:val="single" w:sz="2" w:space="0" w:color="auto"/>
                    <w:right w:val="nil"/>
                  </w:tcBorders>
                  <w:vAlign w:val="center"/>
                </w:tcPr>
                <w:p w14:paraId="2B471FFC" w14:textId="77777777" w:rsidR="00F76A63" w:rsidRDefault="00F76A63">
                  <w:pPr>
                    <w:jc w:val="center"/>
                    <w:rPr>
                      <w:b/>
                      <w:szCs w:val="21"/>
                    </w:rPr>
                  </w:pPr>
                </w:p>
              </w:tc>
            </w:tr>
          </w:tbl>
          <w:p w14:paraId="1C451620" w14:textId="77777777" w:rsidR="00F76A63" w:rsidRDefault="00000000">
            <w:pPr>
              <w:pStyle w:val="affff6"/>
              <w:adjustRightInd/>
              <w:spacing w:line="500" w:lineRule="exact"/>
              <w:ind w:firstLineChars="0" w:firstLine="0"/>
              <w:jc w:val="center"/>
              <w:rPr>
                <w:b/>
                <w:bCs/>
                <w:szCs w:val="24"/>
              </w:rPr>
            </w:pPr>
            <w:r>
              <w:rPr>
                <w:b/>
                <w:bCs/>
                <w:szCs w:val="24"/>
              </w:rPr>
              <w:t>表</w:t>
            </w:r>
            <w:r>
              <w:rPr>
                <w:b/>
                <w:bCs/>
                <w:szCs w:val="24"/>
              </w:rPr>
              <w:t xml:space="preserve">3-12  </w:t>
            </w:r>
            <w:r>
              <w:rPr>
                <w:b/>
                <w:bCs/>
                <w:szCs w:val="24"/>
              </w:rPr>
              <w:t>厂区内无组织废气污染物排放标准</w:t>
            </w:r>
          </w:p>
          <w:tbl>
            <w:tblPr>
              <w:tblW w:w="5000" w:type="pct"/>
              <w:jc w:val="center"/>
              <w:tblBorders>
                <w:top w:val="single" w:sz="12" w:space="0" w:color="auto"/>
                <w:bottom w:val="single" w:sz="12" w:space="0" w:color="auto"/>
                <w:insideH w:val="single" w:sz="2" w:space="0" w:color="auto"/>
                <w:insideV w:val="single" w:sz="2" w:space="0" w:color="auto"/>
              </w:tblBorders>
              <w:tblLayout w:type="fixed"/>
              <w:tblCellMar>
                <w:top w:w="57" w:type="dxa"/>
                <w:bottom w:w="57" w:type="dxa"/>
              </w:tblCellMar>
              <w:tblLook w:val="04A0" w:firstRow="1" w:lastRow="0" w:firstColumn="1" w:lastColumn="0" w:noHBand="0" w:noVBand="1"/>
            </w:tblPr>
            <w:tblGrid>
              <w:gridCol w:w="1081"/>
              <w:gridCol w:w="1262"/>
              <w:gridCol w:w="1640"/>
              <w:gridCol w:w="2201"/>
              <w:gridCol w:w="1998"/>
            </w:tblGrid>
            <w:tr w:rsidR="00F76A63" w14:paraId="6A2F7B23" w14:textId="77777777">
              <w:trPr>
                <w:cantSplit/>
                <w:trHeight w:val="340"/>
                <w:jc w:val="center"/>
              </w:trPr>
              <w:tc>
                <w:tcPr>
                  <w:tcW w:w="661" w:type="pct"/>
                  <w:tcBorders>
                    <w:top w:val="single" w:sz="12" w:space="0" w:color="auto"/>
                    <w:left w:val="nil"/>
                    <w:bottom w:val="single" w:sz="2" w:space="0" w:color="auto"/>
                    <w:right w:val="single" w:sz="2" w:space="0" w:color="auto"/>
                  </w:tcBorders>
                  <w:vAlign w:val="center"/>
                </w:tcPr>
                <w:p w14:paraId="216E7DDA" w14:textId="77777777" w:rsidR="00F76A63" w:rsidRDefault="00000000">
                  <w:pPr>
                    <w:jc w:val="center"/>
                    <w:rPr>
                      <w:b/>
                      <w:bCs/>
                      <w:szCs w:val="21"/>
                    </w:rPr>
                  </w:pPr>
                  <w:r>
                    <w:rPr>
                      <w:b/>
                      <w:bCs/>
                      <w:szCs w:val="21"/>
                    </w:rPr>
                    <w:t>项目</w:t>
                  </w:r>
                </w:p>
              </w:tc>
              <w:tc>
                <w:tcPr>
                  <w:tcW w:w="771" w:type="pct"/>
                  <w:tcBorders>
                    <w:top w:val="single" w:sz="12" w:space="0" w:color="auto"/>
                    <w:left w:val="single" w:sz="2" w:space="0" w:color="auto"/>
                    <w:bottom w:val="single" w:sz="2" w:space="0" w:color="auto"/>
                    <w:right w:val="single" w:sz="2" w:space="0" w:color="auto"/>
                  </w:tcBorders>
                  <w:vAlign w:val="center"/>
                </w:tcPr>
                <w:p w14:paraId="26DEDED3" w14:textId="77777777" w:rsidR="00F76A63" w:rsidRDefault="00000000">
                  <w:pPr>
                    <w:jc w:val="center"/>
                    <w:rPr>
                      <w:b/>
                      <w:bCs/>
                      <w:szCs w:val="21"/>
                    </w:rPr>
                  </w:pPr>
                  <w:r>
                    <w:rPr>
                      <w:b/>
                      <w:bCs/>
                      <w:szCs w:val="21"/>
                    </w:rPr>
                    <w:t>无组织排放限值（</w:t>
                  </w:r>
                  <w:r>
                    <w:rPr>
                      <w:b/>
                      <w:bCs/>
                      <w:szCs w:val="21"/>
                    </w:rPr>
                    <w:t>mg/m3</w:t>
                  </w:r>
                  <w:r>
                    <w:rPr>
                      <w:b/>
                      <w:bCs/>
                      <w:szCs w:val="21"/>
                    </w:rPr>
                    <w:t>）</w:t>
                  </w:r>
                </w:p>
              </w:tc>
              <w:tc>
                <w:tcPr>
                  <w:tcW w:w="1002" w:type="pct"/>
                  <w:tcBorders>
                    <w:top w:val="single" w:sz="12" w:space="0" w:color="auto"/>
                    <w:left w:val="single" w:sz="2" w:space="0" w:color="auto"/>
                    <w:bottom w:val="single" w:sz="2" w:space="0" w:color="auto"/>
                    <w:right w:val="single" w:sz="2" w:space="0" w:color="auto"/>
                  </w:tcBorders>
                  <w:vAlign w:val="center"/>
                </w:tcPr>
                <w:p w14:paraId="4F171B32" w14:textId="77777777" w:rsidR="00F76A63" w:rsidRDefault="00000000">
                  <w:pPr>
                    <w:jc w:val="center"/>
                    <w:rPr>
                      <w:b/>
                      <w:bCs/>
                      <w:szCs w:val="21"/>
                    </w:rPr>
                  </w:pPr>
                  <w:r>
                    <w:rPr>
                      <w:b/>
                      <w:bCs/>
                      <w:szCs w:val="21"/>
                    </w:rPr>
                    <w:t>限值含义</w:t>
                  </w:r>
                </w:p>
              </w:tc>
              <w:tc>
                <w:tcPr>
                  <w:tcW w:w="1345" w:type="pct"/>
                  <w:tcBorders>
                    <w:top w:val="single" w:sz="12" w:space="0" w:color="auto"/>
                    <w:left w:val="single" w:sz="2" w:space="0" w:color="auto"/>
                    <w:bottom w:val="single" w:sz="2" w:space="0" w:color="auto"/>
                    <w:right w:val="single" w:sz="2" w:space="0" w:color="auto"/>
                  </w:tcBorders>
                  <w:vAlign w:val="center"/>
                </w:tcPr>
                <w:p w14:paraId="447B1F23" w14:textId="77777777" w:rsidR="00F76A63" w:rsidRDefault="00000000">
                  <w:pPr>
                    <w:jc w:val="center"/>
                    <w:rPr>
                      <w:b/>
                      <w:bCs/>
                      <w:szCs w:val="21"/>
                    </w:rPr>
                  </w:pPr>
                  <w:r>
                    <w:rPr>
                      <w:b/>
                      <w:bCs/>
                      <w:szCs w:val="21"/>
                    </w:rPr>
                    <w:t>无组织排放监控位置</w:t>
                  </w:r>
                </w:p>
              </w:tc>
              <w:tc>
                <w:tcPr>
                  <w:tcW w:w="1221" w:type="pct"/>
                  <w:tcBorders>
                    <w:top w:val="single" w:sz="12" w:space="0" w:color="auto"/>
                    <w:left w:val="single" w:sz="2" w:space="0" w:color="auto"/>
                    <w:bottom w:val="single" w:sz="2" w:space="0" w:color="auto"/>
                    <w:right w:val="nil"/>
                  </w:tcBorders>
                  <w:vAlign w:val="center"/>
                </w:tcPr>
                <w:p w14:paraId="4266509D" w14:textId="77777777" w:rsidR="00F76A63" w:rsidRDefault="00000000">
                  <w:pPr>
                    <w:jc w:val="center"/>
                    <w:rPr>
                      <w:b/>
                      <w:bCs/>
                      <w:szCs w:val="21"/>
                    </w:rPr>
                  </w:pPr>
                  <w:r>
                    <w:rPr>
                      <w:b/>
                      <w:bCs/>
                      <w:szCs w:val="21"/>
                    </w:rPr>
                    <w:t>标准来源</w:t>
                  </w:r>
                </w:p>
              </w:tc>
            </w:tr>
            <w:tr w:rsidR="00F76A63" w14:paraId="18A5E35C" w14:textId="77777777">
              <w:trPr>
                <w:cantSplit/>
                <w:trHeight w:val="340"/>
                <w:jc w:val="center"/>
              </w:trPr>
              <w:tc>
                <w:tcPr>
                  <w:tcW w:w="661" w:type="pct"/>
                  <w:tcBorders>
                    <w:top w:val="single" w:sz="2" w:space="0" w:color="auto"/>
                    <w:left w:val="nil"/>
                    <w:bottom w:val="single" w:sz="12" w:space="0" w:color="auto"/>
                    <w:right w:val="single" w:sz="2" w:space="0" w:color="auto"/>
                  </w:tcBorders>
                  <w:vAlign w:val="center"/>
                </w:tcPr>
                <w:p w14:paraId="3A93E154" w14:textId="77777777" w:rsidR="00F76A63" w:rsidRDefault="00000000">
                  <w:pPr>
                    <w:jc w:val="center"/>
                    <w:rPr>
                      <w:bCs/>
                      <w:szCs w:val="21"/>
                    </w:rPr>
                  </w:pPr>
                  <w:r>
                    <w:rPr>
                      <w:bCs/>
                      <w:szCs w:val="21"/>
                    </w:rPr>
                    <w:t>颗粒物</w:t>
                  </w:r>
                </w:p>
              </w:tc>
              <w:tc>
                <w:tcPr>
                  <w:tcW w:w="771" w:type="pct"/>
                  <w:tcBorders>
                    <w:top w:val="single" w:sz="2" w:space="0" w:color="auto"/>
                    <w:left w:val="single" w:sz="2" w:space="0" w:color="auto"/>
                    <w:bottom w:val="single" w:sz="12" w:space="0" w:color="auto"/>
                    <w:right w:val="single" w:sz="2" w:space="0" w:color="auto"/>
                  </w:tcBorders>
                  <w:vAlign w:val="center"/>
                </w:tcPr>
                <w:p w14:paraId="563837C5" w14:textId="77777777" w:rsidR="00F76A63" w:rsidRDefault="00000000">
                  <w:pPr>
                    <w:jc w:val="center"/>
                    <w:rPr>
                      <w:bCs/>
                      <w:szCs w:val="21"/>
                    </w:rPr>
                  </w:pPr>
                  <w:r>
                    <w:rPr>
                      <w:bCs/>
                      <w:szCs w:val="21"/>
                    </w:rPr>
                    <w:t>0.5</w:t>
                  </w:r>
                </w:p>
              </w:tc>
              <w:tc>
                <w:tcPr>
                  <w:tcW w:w="1002" w:type="pct"/>
                  <w:tcBorders>
                    <w:top w:val="single" w:sz="2" w:space="0" w:color="auto"/>
                    <w:left w:val="single" w:sz="2" w:space="0" w:color="auto"/>
                    <w:bottom w:val="single" w:sz="12" w:space="0" w:color="auto"/>
                    <w:right w:val="single" w:sz="2" w:space="0" w:color="auto"/>
                  </w:tcBorders>
                  <w:vAlign w:val="center"/>
                </w:tcPr>
                <w:p w14:paraId="45C05BC1" w14:textId="77777777" w:rsidR="00F76A63" w:rsidRDefault="00000000">
                  <w:pPr>
                    <w:jc w:val="center"/>
                    <w:rPr>
                      <w:bCs/>
                      <w:szCs w:val="21"/>
                    </w:rPr>
                  </w:pPr>
                  <w:r>
                    <w:rPr>
                      <w:bCs/>
                      <w:szCs w:val="21"/>
                    </w:rPr>
                    <w:t>监控点处</w:t>
                  </w:r>
                  <w:r>
                    <w:rPr>
                      <w:bCs/>
                      <w:szCs w:val="21"/>
                    </w:rPr>
                    <w:t>1h</w:t>
                  </w:r>
                  <w:r>
                    <w:rPr>
                      <w:bCs/>
                      <w:szCs w:val="21"/>
                    </w:rPr>
                    <w:t>平均浓度值</w:t>
                  </w:r>
                </w:p>
              </w:tc>
              <w:tc>
                <w:tcPr>
                  <w:tcW w:w="1345" w:type="pct"/>
                  <w:tcBorders>
                    <w:top w:val="single" w:sz="2" w:space="0" w:color="auto"/>
                    <w:left w:val="single" w:sz="2" w:space="0" w:color="auto"/>
                    <w:bottom w:val="single" w:sz="12" w:space="0" w:color="auto"/>
                    <w:right w:val="single" w:sz="2" w:space="0" w:color="auto"/>
                  </w:tcBorders>
                  <w:vAlign w:val="center"/>
                </w:tcPr>
                <w:p w14:paraId="7F8CD71F" w14:textId="77777777" w:rsidR="00F76A63" w:rsidRDefault="00000000">
                  <w:pPr>
                    <w:jc w:val="center"/>
                    <w:rPr>
                      <w:bCs/>
                      <w:szCs w:val="21"/>
                    </w:rPr>
                  </w:pPr>
                  <w:r>
                    <w:rPr>
                      <w:bCs/>
                      <w:szCs w:val="21"/>
                    </w:rPr>
                    <w:t>物料储存与输送，破碎、粉磨、烘干和煅烧，包装和运输</w:t>
                  </w:r>
                </w:p>
              </w:tc>
              <w:tc>
                <w:tcPr>
                  <w:tcW w:w="1221" w:type="pct"/>
                  <w:tcBorders>
                    <w:top w:val="single" w:sz="2" w:space="0" w:color="auto"/>
                    <w:left w:val="single" w:sz="2" w:space="0" w:color="auto"/>
                    <w:bottom w:val="single" w:sz="12" w:space="0" w:color="auto"/>
                    <w:right w:val="nil"/>
                  </w:tcBorders>
                  <w:vAlign w:val="center"/>
                </w:tcPr>
                <w:p w14:paraId="5925C290" w14:textId="77777777" w:rsidR="00F76A63" w:rsidRDefault="00000000">
                  <w:pPr>
                    <w:jc w:val="center"/>
                    <w:rPr>
                      <w:bCs/>
                      <w:szCs w:val="21"/>
                    </w:rPr>
                  </w:pPr>
                  <w:r>
                    <w:rPr>
                      <w:bCs/>
                      <w:szCs w:val="21"/>
                    </w:rPr>
                    <w:t>水泥工业大气污染物排放标准》（</w:t>
                  </w:r>
                  <w:r>
                    <w:rPr>
                      <w:bCs/>
                      <w:szCs w:val="21"/>
                    </w:rPr>
                    <w:t>DB32/4149-2021</w:t>
                  </w:r>
                  <w:r>
                    <w:rPr>
                      <w:bCs/>
                      <w:szCs w:val="21"/>
                    </w:rPr>
                    <w:t>）表</w:t>
                  </w:r>
                  <w:r>
                    <w:rPr>
                      <w:bCs/>
                      <w:szCs w:val="21"/>
                    </w:rPr>
                    <w:t>2</w:t>
                  </w:r>
                  <w:r>
                    <w:rPr>
                      <w:bCs/>
                      <w:szCs w:val="21"/>
                    </w:rPr>
                    <w:t>标准</w:t>
                  </w:r>
                </w:p>
              </w:tc>
            </w:tr>
          </w:tbl>
          <w:p w14:paraId="2F0FFA1E" w14:textId="77777777" w:rsidR="00F76A63" w:rsidRDefault="00000000">
            <w:pPr>
              <w:spacing w:line="500" w:lineRule="exact"/>
              <w:ind w:firstLineChars="200" w:firstLine="482"/>
              <w:rPr>
                <w:b/>
                <w:sz w:val="24"/>
              </w:rPr>
            </w:pPr>
            <w:r>
              <w:rPr>
                <w:b/>
                <w:sz w:val="24"/>
              </w:rPr>
              <w:t>2</w:t>
            </w:r>
            <w:r>
              <w:rPr>
                <w:b/>
                <w:sz w:val="24"/>
              </w:rPr>
              <w:t>、废水排放标准</w:t>
            </w:r>
          </w:p>
          <w:p w14:paraId="12FB257F" w14:textId="77777777" w:rsidR="00F76A63" w:rsidRDefault="00000000">
            <w:pPr>
              <w:spacing w:line="500" w:lineRule="exact"/>
              <w:ind w:firstLineChars="200" w:firstLine="480"/>
              <w:rPr>
                <w:sz w:val="24"/>
                <w:szCs w:val="32"/>
              </w:rPr>
            </w:pPr>
            <w:r>
              <w:rPr>
                <w:sz w:val="24"/>
                <w:szCs w:val="32"/>
              </w:rPr>
              <w:t>本项目</w:t>
            </w:r>
            <w:r>
              <w:rPr>
                <w:rFonts w:hint="eastAsia"/>
                <w:sz w:val="24"/>
                <w:szCs w:val="32"/>
              </w:rPr>
              <w:t>污泥贮存过程产生的少量</w:t>
            </w:r>
            <w:bookmarkStart w:id="123" w:name="OLE_LINK91"/>
            <w:r>
              <w:rPr>
                <w:rFonts w:hint="eastAsia"/>
                <w:sz w:val="24"/>
                <w:szCs w:val="32"/>
              </w:rPr>
              <w:t>渗滤液</w:t>
            </w:r>
            <w:bookmarkEnd w:id="123"/>
            <w:r>
              <w:rPr>
                <w:rFonts w:hint="eastAsia"/>
                <w:sz w:val="24"/>
                <w:szCs w:val="32"/>
              </w:rPr>
              <w:t>，经集水沟统一收集至渗滤液收集池和生产废水一起经中水处理系统处理，不外排，全部回用。</w:t>
            </w:r>
          </w:p>
          <w:p w14:paraId="47DA2F62" w14:textId="77777777" w:rsidR="00F76A63" w:rsidRDefault="00000000">
            <w:pPr>
              <w:spacing w:line="500" w:lineRule="exact"/>
              <w:ind w:firstLineChars="200" w:firstLine="480"/>
              <w:rPr>
                <w:sz w:val="24"/>
                <w:szCs w:val="32"/>
              </w:rPr>
            </w:pPr>
            <w:r>
              <w:rPr>
                <w:sz w:val="24"/>
                <w:szCs w:val="32"/>
              </w:rPr>
              <w:t>现有项目生活污水经台泥厂区化粪池预处理后接管句容市下蜀污水处理有限公司集中处理，处理达标后排入老便民河，污水处理厂出水水质标准执行</w:t>
            </w:r>
            <w:r>
              <w:rPr>
                <w:rFonts w:hint="eastAsia"/>
                <w:sz w:val="24"/>
                <w:szCs w:val="32"/>
              </w:rPr>
              <w:t>《城镇污水处理厂污染物排放标准》（</w:t>
            </w:r>
            <w:r>
              <w:rPr>
                <w:rFonts w:hint="eastAsia"/>
                <w:sz w:val="24"/>
                <w:szCs w:val="32"/>
              </w:rPr>
              <w:t>DB32/4440-2022</w:t>
            </w:r>
            <w:r>
              <w:rPr>
                <w:rFonts w:hint="eastAsia"/>
                <w:sz w:val="24"/>
                <w:szCs w:val="32"/>
              </w:rPr>
              <w:t>）</w:t>
            </w:r>
            <w:r>
              <w:rPr>
                <w:sz w:val="24"/>
                <w:szCs w:val="32"/>
              </w:rPr>
              <w:t>表</w:t>
            </w:r>
            <w:r>
              <w:rPr>
                <w:sz w:val="24"/>
                <w:szCs w:val="32"/>
              </w:rPr>
              <w:t>1</w:t>
            </w:r>
            <w:r>
              <w:rPr>
                <w:sz w:val="24"/>
                <w:szCs w:val="32"/>
              </w:rPr>
              <w:t>中</w:t>
            </w:r>
            <w:r>
              <w:rPr>
                <w:rFonts w:hint="eastAsia"/>
                <w:sz w:val="24"/>
                <w:szCs w:val="32"/>
              </w:rPr>
              <w:t>C</w:t>
            </w:r>
            <w:r>
              <w:rPr>
                <w:sz w:val="24"/>
                <w:szCs w:val="32"/>
              </w:rPr>
              <w:t>标准。具体见下表。</w:t>
            </w:r>
          </w:p>
          <w:p w14:paraId="1858AFED" w14:textId="77777777" w:rsidR="00F76A63" w:rsidRDefault="00000000">
            <w:pPr>
              <w:pStyle w:val="afc"/>
              <w:spacing w:after="0" w:line="500" w:lineRule="exact"/>
              <w:jc w:val="center"/>
              <w:rPr>
                <w:b/>
                <w:bCs/>
                <w:sz w:val="24"/>
              </w:rPr>
            </w:pPr>
            <w:r>
              <w:rPr>
                <w:b/>
                <w:bCs/>
                <w:sz w:val="24"/>
              </w:rPr>
              <w:t>表</w:t>
            </w:r>
            <w:r>
              <w:rPr>
                <w:b/>
                <w:bCs/>
                <w:sz w:val="24"/>
              </w:rPr>
              <w:t xml:space="preserve">3-13  </w:t>
            </w:r>
            <w:r>
              <w:rPr>
                <w:b/>
                <w:bCs/>
                <w:sz w:val="24"/>
              </w:rPr>
              <w:t>句容市下蜀污水处理有限公司接管和排放标准</w:t>
            </w:r>
          </w:p>
          <w:tbl>
            <w:tblPr>
              <w:tblStyle w:val="TableNormal"/>
              <w:tblW w:w="4998" w:type="pct"/>
              <w:tblInd w:w="2" w:type="dxa"/>
              <w:tblBorders>
                <w:top w:val="single" w:sz="12" w:space="0" w:color="000000"/>
                <w:bottom w:val="single" w:sz="12" w:space="0" w:color="000000"/>
                <w:insideH w:val="single" w:sz="2" w:space="0" w:color="000000"/>
                <w:insideV w:val="single" w:sz="4" w:space="0" w:color="000000"/>
              </w:tblBorders>
              <w:tblLayout w:type="fixed"/>
              <w:tblLook w:val="04A0" w:firstRow="1" w:lastRow="0" w:firstColumn="1" w:lastColumn="0" w:noHBand="0" w:noVBand="1"/>
            </w:tblPr>
            <w:tblGrid>
              <w:gridCol w:w="1297"/>
              <w:gridCol w:w="2694"/>
              <w:gridCol w:w="2127"/>
              <w:gridCol w:w="2061"/>
            </w:tblGrid>
            <w:tr w:rsidR="00F76A63" w14:paraId="07F1B94C" w14:textId="77777777">
              <w:trPr>
                <w:trHeight w:val="290"/>
              </w:trPr>
              <w:tc>
                <w:tcPr>
                  <w:tcW w:w="793" w:type="pct"/>
                  <w:tcBorders>
                    <w:tl2br w:val="nil"/>
                    <w:tr2bl w:val="nil"/>
                  </w:tcBorders>
                  <w:vAlign w:val="center"/>
                </w:tcPr>
                <w:p w14:paraId="1D61CB1A" w14:textId="77777777" w:rsidR="00F76A63" w:rsidRDefault="00000000">
                  <w:pPr>
                    <w:jc w:val="center"/>
                    <w:rPr>
                      <w:b/>
                      <w:bCs/>
                      <w:szCs w:val="21"/>
                    </w:rPr>
                  </w:pPr>
                  <w:r>
                    <w:rPr>
                      <w:b/>
                      <w:bCs/>
                      <w:szCs w:val="21"/>
                    </w:rPr>
                    <w:t>序号</w:t>
                  </w:r>
                </w:p>
              </w:tc>
              <w:tc>
                <w:tcPr>
                  <w:tcW w:w="1647" w:type="pct"/>
                  <w:tcBorders>
                    <w:tl2br w:val="nil"/>
                    <w:tr2bl w:val="nil"/>
                  </w:tcBorders>
                  <w:vAlign w:val="center"/>
                </w:tcPr>
                <w:p w14:paraId="4BB95A2B" w14:textId="77777777" w:rsidR="00F76A63" w:rsidRDefault="00000000">
                  <w:pPr>
                    <w:jc w:val="center"/>
                    <w:rPr>
                      <w:b/>
                      <w:bCs/>
                      <w:szCs w:val="21"/>
                    </w:rPr>
                  </w:pPr>
                  <w:r>
                    <w:rPr>
                      <w:b/>
                      <w:bCs/>
                      <w:szCs w:val="21"/>
                    </w:rPr>
                    <w:t>项目</w:t>
                  </w:r>
                </w:p>
              </w:tc>
              <w:tc>
                <w:tcPr>
                  <w:tcW w:w="1300" w:type="pct"/>
                  <w:tcBorders>
                    <w:tl2br w:val="nil"/>
                    <w:tr2bl w:val="nil"/>
                  </w:tcBorders>
                  <w:vAlign w:val="center"/>
                </w:tcPr>
                <w:p w14:paraId="20C50687" w14:textId="77777777" w:rsidR="00F76A63" w:rsidRDefault="00000000">
                  <w:pPr>
                    <w:jc w:val="center"/>
                    <w:rPr>
                      <w:b/>
                      <w:bCs/>
                      <w:szCs w:val="21"/>
                    </w:rPr>
                  </w:pPr>
                  <w:r>
                    <w:rPr>
                      <w:b/>
                      <w:bCs/>
                      <w:szCs w:val="21"/>
                    </w:rPr>
                    <w:t>接管标准</w:t>
                  </w:r>
                  <w:r>
                    <w:rPr>
                      <w:b/>
                      <w:bCs/>
                      <w:szCs w:val="21"/>
                    </w:rPr>
                    <w:t>mg/L</w:t>
                  </w:r>
                </w:p>
              </w:tc>
              <w:tc>
                <w:tcPr>
                  <w:tcW w:w="1260" w:type="pct"/>
                  <w:tcBorders>
                    <w:tl2br w:val="nil"/>
                    <w:tr2bl w:val="nil"/>
                  </w:tcBorders>
                  <w:vAlign w:val="center"/>
                </w:tcPr>
                <w:p w14:paraId="419839E4" w14:textId="77777777" w:rsidR="00F76A63" w:rsidRDefault="00000000">
                  <w:pPr>
                    <w:jc w:val="center"/>
                    <w:rPr>
                      <w:b/>
                      <w:bCs/>
                      <w:szCs w:val="21"/>
                    </w:rPr>
                  </w:pPr>
                  <w:r>
                    <w:rPr>
                      <w:b/>
                      <w:bCs/>
                      <w:szCs w:val="21"/>
                    </w:rPr>
                    <w:t>排放标准</w:t>
                  </w:r>
                  <w:r>
                    <w:rPr>
                      <w:b/>
                      <w:bCs/>
                      <w:szCs w:val="21"/>
                    </w:rPr>
                    <w:t>mg/L</w:t>
                  </w:r>
                </w:p>
              </w:tc>
            </w:tr>
            <w:tr w:rsidR="00F76A63" w14:paraId="6FB91DC7" w14:textId="77777777">
              <w:trPr>
                <w:trHeight w:val="283"/>
              </w:trPr>
              <w:tc>
                <w:tcPr>
                  <w:tcW w:w="793" w:type="pct"/>
                  <w:tcBorders>
                    <w:tl2br w:val="nil"/>
                    <w:tr2bl w:val="nil"/>
                  </w:tcBorders>
                  <w:vAlign w:val="center"/>
                </w:tcPr>
                <w:p w14:paraId="5F5E4770" w14:textId="77777777" w:rsidR="00F76A63" w:rsidRDefault="00000000">
                  <w:pPr>
                    <w:jc w:val="center"/>
                    <w:rPr>
                      <w:szCs w:val="21"/>
                    </w:rPr>
                  </w:pPr>
                  <w:r>
                    <w:rPr>
                      <w:szCs w:val="21"/>
                    </w:rPr>
                    <w:t>1</w:t>
                  </w:r>
                </w:p>
              </w:tc>
              <w:tc>
                <w:tcPr>
                  <w:tcW w:w="1647" w:type="pct"/>
                  <w:tcBorders>
                    <w:tl2br w:val="nil"/>
                    <w:tr2bl w:val="nil"/>
                  </w:tcBorders>
                  <w:vAlign w:val="center"/>
                </w:tcPr>
                <w:p w14:paraId="3EE781AF" w14:textId="77777777" w:rsidR="00F76A63" w:rsidRDefault="00000000">
                  <w:pPr>
                    <w:jc w:val="center"/>
                    <w:rPr>
                      <w:szCs w:val="21"/>
                    </w:rPr>
                  </w:pPr>
                  <w:r>
                    <w:rPr>
                      <w:szCs w:val="21"/>
                    </w:rPr>
                    <w:t>pH</w:t>
                  </w:r>
                  <w:r>
                    <w:rPr>
                      <w:szCs w:val="21"/>
                    </w:rPr>
                    <w:t>（无量纲）</w:t>
                  </w:r>
                </w:p>
              </w:tc>
              <w:tc>
                <w:tcPr>
                  <w:tcW w:w="1300" w:type="pct"/>
                  <w:tcBorders>
                    <w:tl2br w:val="nil"/>
                    <w:tr2bl w:val="nil"/>
                  </w:tcBorders>
                  <w:vAlign w:val="center"/>
                </w:tcPr>
                <w:p w14:paraId="5266E2ED" w14:textId="77777777" w:rsidR="00F76A63" w:rsidRDefault="00000000">
                  <w:pPr>
                    <w:jc w:val="center"/>
                    <w:rPr>
                      <w:szCs w:val="21"/>
                    </w:rPr>
                  </w:pPr>
                  <w:r>
                    <w:rPr>
                      <w:szCs w:val="21"/>
                    </w:rPr>
                    <w:t>6~9</w:t>
                  </w:r>
                </w:p>
              </w:tc>
              <w:tc>
                <w:tcPr>
                  <w:tcW w:w="1260" w:type="pct"/>
                  <w:tcBorders>
                    <w:tl2br w:val="nil"/>
                    <w:tr2bl w:val="nil"/>
                  </w:tcBorders>
                  <w:vAlign w:val="center"/>
                </w:tcPr>
                <w:p w14:paraId="501C7B75" w14:textId="77777777" w:rsidR="00F76A63" w:rsidRDefault="00000000">
                  <w:pPr>
                    <w:jc w:val="center"/>
                    <w:rPr>
                      <w:szCs w:val="21"/>
                    </w:rPr>
                  </w:pPr>
                  <w:r>
                    <w:rPr>
                      <w:szCs w:val="21"/>
                    </w:rPr>
                    <w:t>6~9</w:t>
                  </w:r>
                </w:p>
              </w:tc>
            </w:tr>
            <w:tr w:rsidR="00F76A63" w14:paraId="488D05F1" w14:textId="77777777">
              <w:trPr>
                <w:trHeight w:val="283"/>
              </w:trPr>
              <w:tc>
                <w:tcPr>
                  <w:tcW w:w="793" w:type="pct"/>
                  <w:tcBorders>
                    <w:tl2br w:val="nil"/>
                    <w:tr2bl w:val="nil"/>
                  </w:tcBorders>
                  <w:vAlign w:val="center"/>
                </w:tcPr>
                <w:p w14:paraId="2BB8592D" w14:textId="77777777" w:rsidR="00F76A63" w:rsidRDefault="00000000">
                  <w:pPr>
                    <w:jc w:val="center"/>
                    <w:rPr>
                      <w:szCs w:val="21"/>
                    </w:rPr>
                  </w:pPr>
                  <w:r>
                    <w:rPr>
                      <w:szCs w:val="21"/>
                    </w:rPr>
                    <w:t>2</w:t>
                  </w:r>
                </w:p>
              </w:tc>
              <w:tc>
                <w:tcPr>
                  <w:tcW w:w="1647" w:type="pct"/>
                  <w:tcBorders>
                    <w:tl2br w:val="nil"/>
                    <w:tr2bl w:val="nil"/>
                  </w:tcBorders>
                  <w:vAlign w:val="center"/>
                </w:tcPr>
                <w:p w14:paraId="5A41CCD1" w14:textId="77777777" w:rsidR="00F76A63" w:rsidRDefault="00000000">
                  <w:pPr>
                    <w:jc w:val="center"/>
                    <w:rPr>
                      <w:szCs w:val="21"/>
                    </w:rPr>
                  </w:pPr>
                  <w:r>
                    <w:rPr>
                      <w:szCs w:val="21"/>
                    </w:rPr>
                    <w:t>COD</w:t>
                  </w:r>
                </w:p>
              </w:tc>
              <w:tc>
                <w:tcPr>
                  <w:tcW w:w="1300" w:type="pct"/>
                  <w:tcBorders>
                    <w:tl2br w:val="nil"/>
                    <w:tr2bl w:val="nil"/>
                  </w:tcBorders>
                  <w:vAlign w:val="center"/>
                </w:tcPr>
                <w:p w14:paraId="295B53FB" w14:textId="77777777" w:rsidR="00F76A63" w:rsidRDefault="00000000">
                  <w:pPr>
                    <w:jc w:val="center"/>
                    <w:rPr>
                      <w:szCs w:val="21"/>
                    </w:rPr>
                  </w:pPr>
                  <w:r>
                    <w:rPr>
                      <w:szCs w:val="21"/>
                    </w:rPr>
                    <w:t>≤600</w:t>
                  </w:r>
                </w:p>
              </w:tc>
              <w:tc>
                <w:tcPr>
                  <w:tcW w:w="1260" w:type="pct"/>
                  <w:tcBorders>
                    <w:tl2br w:val="nil"/>
                    <w:tr2bl w:val="nil"/>
                  </w:tcBorders>
                  <w:vAlign w:val="center"/>
                </w:tcPr>
                <w:p w14:paraId="2FB186CC" w14:textId="77777777" w:rsidR="00F76A63" w:rsidRDefault="00000000">
                  <w:pPr>
                    <w:jc w:val="center"/>
                    <w:rPr>
                      <w:szCs w:val="21"/>
                    </w:rPr>
                  </w:pPr>
                  <w:r>
                    <w:rPr>
                      <w:szCs w:val="21"/>
                    </w:rPr>
                    <w:t>≤</w:t>
                  </w:r>
                  <w:r>
                    <w:rPr>
                      <w:rFonts w:hint="eastAsia"/>
                      <w:szCs w:val="21"/>
                    </w:rPr>
                    <w:t>40</w:t>
                  </w:r>
                </w:p>
              </w:tc>
            </w:tr>
            <w:tr w:rsidR="00F76A63" w14:paraId="7A8DA6F2" w14:textId="77777777">
              <w:trPr>
                <w:trHeight w:val="283"/>
              </w:trPr>
              <w:tc>
                <w:tcPr>
                  <w:tcW w:w="793" w:type="pct"/>
                  <w:tcBorders>
                    <w:tl2br w:val="nil"/>
                    <w:tr2bl w:val="nil"/>
                  </w:tcBorders>
                  <w:vAlign w:val="center"/>
                </w:tcPr>
                <w:p w14:paraId="6529D37A" w14:textId="77777777" w:rsidR="00F76A63" w:rsidRDefault="00000000">
                  <w:pPr>
                    <w:jc w:val="center"/>
                    <w:rPr>
                      <w:szCs w:val="21"/>
                    </w:rPr>
                  </w:pPr>
                  <w:r>
                    <w:rPr>
                      <w:szCs w:val="21"/>
                    </w:rPr>
                    <w:t>3</w:t>
                  </w:r>
                </w:p>
              </w:tc>
              <w:tc>
                <w:tcPr>
                  <w:tcW w:w="1647" w:type="pct"/>
                  <w:tcBorders>
                    <w:tl2br w:val="nil"/>
                    <w:tr2bl w:val="nil"/>
                  </w:tcBorders>
                  <w:vAlign w:val="center"/>
                </w:tcPr>
                <w:p w14:paraId="10A2E2DD" w14:textId="77777777" w:rsidR="00F76A63" w:rsidRDefault="00000000">
                  <w:pPr>
                    <w:jc w:val="center"/>
                    <w:rPr>
                      <w:szCs w:val="21"/>
                    </w:rPr>
                  </w:pPr>
                  <w:r>
                    <w:rPr>
                      <w:szCs w:val="21"/>
                    </w:rPr>
                    <w:t>SS</w:t>
                  </w:r>
                </w:p>
              </w:tc>
              <w:tc>
                <w:tcPr>
                  <w:tcW w:w="1300" w:type="pct"/>
                  <w:tcBorders>
                    <w:tl2br w:val="nil"/>
                    <w:tr2bl w:val="nil"/>
                  </w:tcBorders>
                  <w:vAlign w:val="center"/>
                </w:tcPr>
                <w:p w14:paraId="53E5EF35" w14:textId="77777777" w:rsidR="00F76A63" w:rsidRDefault="00000000">
                  <w:pPr>
                    <w:jc w:val="center"/>
                    <w:rPr>
                      <w:szCs w:val="21"/>
                    </w:rPr>
                  </w:pPr>
                  <w:r>
                    <w:rPr>
                      <w:szCs w:val="21"/>
                    </w:rPr>
                    <w:t>≤250</w:t>
                  </w:r>
                </w:p>
              </w:tc>
              <w:tc>
                <w:tcPr>
                  <w:tcW w:w="1260" w:type="pct"/>
                  <w:tcBorders>
                    <w:tl2br w:val="nil"/>
                    <w:tr2bl w:val="nil"/>
                  </w:tcBorders>
                  <w:vAlign w:val="center"/>
                </w:tcPr>
                <w:p w14:paraId="3716A390" w14:textId="77777777" w:rsidR="00F76A63" w:rsidRDefault="00000000">
                  <w:pPr>
                    <w:jc w:val="center"/>
                    <w:rPr>
                      <w:szCs w:val="21"/>
                    </w:rPr>
                  </w:pPr>
                  <w:r>
                    <w:rPr>
                      <w:szCs w:val="21"/>
                    </w:rPr>
                    <w:t>≤10</w:t>
                  </w:r>
                </w:p>
              </w:tc>
            </w:tr>
            <w:tr w:rsidR="00F76A63" w14:paraId="4F7D2403" w14:textId="77777777">
              <w:trPr>
                <w:trHeight w:val="283"/>
              </w:trPr>
              <w:tc>
                <w:tcPr>
                  <w:tcW w:w="793" w:type="pct"/>
                  <w:tcBorders>
                    <w:tl2br w:val="nil"/>
                    <w:tr2bl w:val="nil"/>
                  </w:tcBorders>
                  <w:vAlign w:val="center"/>
                </w:tcPr>
                <w:p w14:paraId="274A97BD" w14:textId="77777777" w:rsidR="00F76A63" w:rsidRDefault="00000000">
                  <w:pPr>
                    <w:jc w:val="center"/>
                    <w:rPr>
                      <w:szCs w:val="21"/>
                    </w:rPr>
                  </w:pPr>
                  <w:r>
                    <w:rPr>
                      <w:szCs w:val="21"/>
                    </w:rPr>
                    <w:lastRenderedPageBreak/>
                    <w:t>4</w:t>
                  </w:r>
                </w:p>
              </w:tc>
              <w:tc>
                <w:tcPr>
                  <w:tcW w:w="1647" w:type="pct"/>
                  <w:tcBorders>
                    <w:tl2br w:val="nil"/>
                    <w:tr2bl w:val="nil"/>
                  </w:tcBorders>
                  <w:vAlign w:val="center"/>
                </w:tcPr>
                <w:p w14:paraId="73ABF105" w14:textId="77777777" w:rsidR="00F76A63" w:rsidRDefault="00000000">
                  <w:pPr>
                    <w:jc w:val="center"/>
                    <w:rPr>
                      <w:szCs w:val="21"/>
                    </w:rPr>
                  </w:pPr>
                  <w:r>
                    <w:rPr>
                      <w:szCs w:val="21"/>
                    </w:rPr>
                    <w:t>BOD</w:t>
                  </w:r>
                  <w:r>
                    <w:rPr>
                      <w:szCs w:val="21"/>
                      <w:vertAlign w:val="subscript"/>
                    </w:rPr>
                    <w:t>5</w:t>
                  </w:r>
                </w:p>
              </w:tc>
              <w:tc>
                <w:tcPr>
                  <w:tcW w:w="1300" w:type="pct"/>
                  <w:tcBorders>
                    <w:tl2br w:val="nil"/>
                    <w:tr2bl w:val="nil"/>
                  </w:tcBorders>
                  <w:vAlign w:val="center"/>
                </w:tcPr>
                <w:p w14:paraId="264A31F9" w14:textId="77777777" w:rsidR="00F76A63" w:rsidRDefault="00000000">
                  <w:pPr>
                    <w:jc w:val="center"/>
                    <w:rPr>
                      <w:szCs w:val="21"/>
                    </w:rPr>
                  </w:pPr>
                  <w:r>
                    <w:rPr>
                      <w:szCs w:val="21"/>
                    </w:rPr>
                    <w:t>150-200</w:t>
                  </w:r>
                </w:p>
              </w:tc>
              <w:tc>
                <w:tcPr>
                  <w:tcW w:w="1260" w:type="pct"/>
                  <w:tcBorders>
                    <w:tl2br w:val="nil"/>
                    <w:tr2bl w:val="nil"/>
                  </w:tcBorders>
                  <w:vAlign w:val="center"/>
                </w:tcPr>
                <w:p w14:paraId="076BD954" w14:textId="77777777" w:rsidR="00F76A63" w:rsidRDefault="00000000">
                  <w:pPr>
                    <w:jc w:val="center"/>
                    <w:rPr>
                      <w:szCs w:val="21"/>
                    </w:rPr>
                  </w:pPr>
                  <w:r>
                    <w:rPr>
                      <w:szCs w:val="21"/>
                    </w:rPr>
                    <w:t>≤10</w:t>
                  </w:r>
                </w:p>
              </w:tc>
            </w:tr>
            <w:tr w:rsidR="00F76A63" w14:paraId="585BB109" w14:textId="77777777">
              <w:trPr>
                <w:trHeight w:val="283"/>
              </w:trPr>
              <w:tc>
                <w:tcPr>
                  <w:tcW w:w="793" w:type="pct"/>
                  <w:tcBorders>
                    <w:tl2br w:val="nil"/>
                    <w:tr2bl w:val="nil"/>
                  </w:tcBorders>
                  <w:vAlign w:val="center"/>
                </w:tcPr>
                <w:p w14:paraId="0EDB5F49" w14:textId="77777777" w:rsidR="00F76A63" w:rsidRDefault="00000000">
                  <w:pPr>
                    <w:jc w:val="center"/>
                    <w:rPr>
                      <w:szCs w:val="21"/>
                    </w:rPr>
                  </w:pPr>
                  <w:r>
                    <w:rPr>
                      <w:szCs w:val="21"/>
                    </w:rPr>
                    <w:t>5</w:t>
                  </w:r>
                </w:p>
              </w:tc>
              <w:tc>
                <w:tcPr>
                  <w:tcW w:w="1647" w:type="pct"/>
                  <w:tcBorders>
                    <w:tl2br w:val="nil"/>
                    <w:tr2bl w:val="nil"/>
                  </w:tcBorders>
                  <w:vAlign w:val="center"/>
                </w:tcPr>
                <w:p w14:paraId="10E31EFB" w14:textId="77777777" w:rsidR="00F76A63" w:rsidRDefault="00000000">
                  <w:pPr>
                    <w:jc w:val="center"/>
                    <w:rPr>
                      <w:szCs w:val="21"/>
                    </w:rPr>
                  </w:pPr>
                  <w:r>
                    <w:rPr>
                      <w:szCs w:val="21"/>
                    </w:rPr>
                    <w:t>NH</w:t>
                  </w:r>
                  <w:r>
                    <w:rPr>
                      <w:szCs w:val="21"/>
                      <w:vertAlign w:val="subscript"/>
                    </w:rPr>
                    <w:t>3</w:t>
                  </w:r>
                  <w:r>
                    <w:rPr>
                      <w:szCs w:val="21"/>
                    </w:rPr>
                    <w:t>-N</w:t>
                  </w:r>
                </w:p>
              </w:tc>
              <w:tc>
                <w:tcPr>
                  <w:tcW w:w="1300" w:type="pct"/>
                  <w:tcBorders>
                    <w:tl2br w:val="nil"/>
                    <w:tr2bl w:val="nil"/>
                  </w:tcBorders>
                  <w:vAlign w:val="center"/>
                </w:tcPr>
                <w:p w14:paraId="74284425" w14:textId="77777777" w:rsidR="00F76A63" w:rsidRDefault="00000000">
                  <w:pPr>
                    <w:jc w:val="center"/>
                    <w:rPr>
                      <w:szCs w:val="21"/>
                    </w:rPr>
                  </w:pPr>
                  <w:r>
                    <w:rPr>
                      <w:szCs w:val="21"/>
                    </w:rPr>
                    <w:t>≤40</w:t>
                  </w:r>
                </w:p>
              </w:tc>
              <w:tc>
                <w:tcPr>
                  <w:tcW w:w="1260" w:type="pct"/>
                  <w:tcBorders>
                    <w:tl2br w:val="nil"/>
                    <w:tr2bl w:val="nil"/>
                  </w:tcBorders>
                  <w:vAlign w:val="center"/>
                </w:tcPr>
                <w:p w14:paraId="47CB2BCA" w14:textId="77777777" w:rsidR="00F76A63" w:rsidRDefault="00000000">
                  <w:pPr>
                    <w:jc w:val="center"/>
                    <w:rPr>
                      <w:szCs w:val="21"/>
                    </w:rPr>
                  </w:pPr>
                  <w:r>
                    <w:rPr>
                      <w:szCs w:val="21"/>
                    </w:rPr>
                    <w:t>≤</w:t>
                  </w:r>
                  <w:r>
                    <w:rPr>
                      <w:rFonts w:hint="eastAsia"/>
                      <w:szCs w:val="21"/>
                    </w:rPr>
                    <w:t>3</w:t>
                  </w:r>
                  <w:r>
                    <w:rPr>
                      <w:szCs w:val="21"/>
                    </w:rPr>
                    <w:t>（</w:t>
                  </w:r>
                  <w:r>
                    <w:rPr>
                      <w:rFonts w:hint="eastAsia"/>
                      <w:szCs w:val="21"/>
                    </w:rPr>
                    <w:t>5</w:t>
                  </w:r>
                  <w:r>
                    <w:rPr>
                      <w:szCs w:val="21"/>
                    </w:rPr>
                    <w:t>）</w:t>
                  </w:r>
                </w:p>
              </w:tc>
            </w:tr>
            <w:tr w:rsidR="00F76A63" w14:paraId="076CEC52" w14:textId="77777777">
              <w:trPr>
                <w:trHeight w:val="283"/>
              </w:trPr>
              <w:tc>
                <w:tcPr>
                  <w:tcW w:w="793" w:type="pct"/>
                  <w:tcBorders>
                    <w:tl2br w:val="nil"/>
                    <w:tr2bl w:val="nil"/>
                  </w:tcBorders>
                  <w:vAlign w:val="center"/>
                </w:tcPr>
                <w:p w14:paraId="50A37924" w14:textId="77777777" w:rsidR="00F76A63" w:rsidRDefault="00000000">
                  <w:pPr>
                    <w:jc w:val="center"/>
                    <w:rPr>
                      <w:szCs w:val="21"/>
                    </w:rPr>
                  </w:pPr>
                  <w:r>
                    <w:rPr>
                      <w:szCs w:val="21"/>
                    </w:rPr>
                    <w:t>6</w:t>
                  </w:r>
                </w:p>
              </w:tc>
              <w:tc>
                <w:tcPr>
                  <w:tcW w:w="1647" w:type="pct"/>
                  <w:tcBorders>
                    <w:tl2br w:val="nil"/>
                    <w:tr2bl w:val="nil"/>
                  </w:tcBorders>
                  <w:vAlign w:val="center"/>
                </w:tcPr>
                <w:p w14:paraId="2A6B2FDF" w14:textId="77777777" w:rsidR="00F76A63" w:rsidRDefault="00000000">
                  <w:pPr>
                    <w:jc w:val="center"/>
                    <w:rPr>
                      <w:szCs w:val="21"/>
                    </w:rPr>
                  </w:pPr>
                  <w:r>
                    <w:rPr>
                      <w:szCs w:val="21"/>
                    </w:rPr>
                    <w:t>TN</w:t>
                  </w:r>
                </w:p>
              </w:tc>
              <w:tc>
                <w:tcPr>
                  <w:tcW w:w="1300" w:type="pct"/>
                  <w:tcBorders>
                    <w:tl2br w:val="nil"/>
                    <w:tr2bl w:val="nil"/>
                  </w:tcBorders>
                  <w:vAlign w:val="center"/>
                </w:tcPr>
                <w:p w14:paraId="6D185706" w14:textId="77777777" w:rsidR="00F76A63" w:rsidRDefault="00000000">
                  <w:pPr>
                    <w:jc w:val="center"/>
                    <w:rPr>
                      <w:szCs w:val="21"/>
                    </w:rPr>
                  </w:pPr>
                  <w:r>
                    <w:rPr>
                      <w:szCs w:val="21"/>
                    </w:rPr>
                    <w:t>≤50</w:t>
                  </w:r>
                </w:p>
              </w:tc>
              <w:tc>
                <w:tcPr>
                  <w:tcW w:w="1260" w:type="pct"/>
                  <w:tcBorders>
                    <w:tl2br w:val="nil"/>
                    <w:tr2bl w:val="nil"/>
                  </w:tcBorders>
                  <w:vAlign w:val="center"/>
                </w:tcPr>
                <w:p w14:paraId="59CF794A" w14:textId="77777777" w:rsidR="00F76A63" w:rsidRDefault="00000000">
                  <w:pPr>
                    <w:jc w:val="center"/>
                    <w:rPr>
                      <w:szCs w:val="21"/>
                    </w:rPr>
                  </w:pPr>
                  <w:r>
                    <w:rPr>
                      <w:szCs w:val="21"/>
                    </w:rPr>
                    <w:t>≤1</w:t>
                  </w:r>
                  <w:r>
                    <w:rPr>
                      <w:rFonts w:hint="eastAsia"/>
                      <w:szCs w:val="21"/>
                    </w:rPr>
                    <w:t>0</w:t>
                  </w:r>
                  <w:r>
                    <w:rPr>
                      <w:szCs w:val="21"/>
                    </w:rPr>
                    <w:t>（</w:t>
                  </w:r>
                  <w:r>
                    <w:rPr>
                      <w:rFonts w:hint="eastAsia"/>
                      <w:szCs w:val="21"/>
                    </w:rPr>
                    <w:t>12</w:t>
                  </w:r>
                  <w:r>
                    <w:rPr>
                      <w:szCs w:val="21"/>
                    </w:rPr>
                    <w:t>）</w:t>
                  </w:r>
                </w:p>
              </w:tc>
            </w:tr>
            <w:tr w:rsidR="00F76A63" w14:paraId="240EC6CE" w14:textId="77777777">
              <w:trPr>
                <w:trHeight w:val="283"/>
              </w:trPr>
              <w:tc>
                <w:tcPr>
                  <w:tcW w:w="793" w:type="pct"/>
                  <w:tcBorders>
                    <w:tl2br w:val="nil"/>
                    <w:tr2bl w:val="nil"/>
                  </w:tcBorders>
                  <w:vAlign w:val="center"/>
                </w:tcPr>
                <w:p w14:paraId="78B2B07F" w14:textId="77777777" w:rsidR="00F76A63" w:rsidRDefault="00000000">
                  <w:pPr>
                    <w:jc w:val="center"/>
                    <w:rPr>
                      <w:szCs w:val="21"/>
                    </w:rPr>
                  </w:pPr>
                  <w:r>
                    <w:rPr>
                      <w:szCs w:val="21"/>
                    </w:rPr>
                    <w:t>7</w:t>
                  </w:r>
                </w:p>
              </w:tc>
              <w:tc>
                <w:tcPr>
                  <w:tcW w:w="1647" w:type="pct"/>
                  <w:tcBorders>
                    <w:tl2br w:val="nil"/>
                    <w:tr2bl w:val="nil"/>
                  </w:tcBorders>
                  <w:vAlign w:val="center"/>
                </w:tcPr>
                <w:p w14:paraId="7A29E681" w14:textId="77777777" w:rsidR="00F76A63" w:rsidRDefault="00000000">
                  <w:pPr>
                    <w:jc w:val="center"/>
                    <w:rPr>
                      <w:szCs w:val="21"/>
                    </w:rPr>
                  </w:pPr>
                  <w:r>
                    <w:rPr>
                      <w:szCs w:val="21"/>
                    </w:rPr>
                    <w:t>TP</w:t>
                  </w:r>
                </w:p>
              </w:tc>
              <w:tc>
                <w:tcPr>
                  <w:tcW w:w="1300" w:type="pct"/>
                  <w:tcBorders>
                    <w:tl2br w:val="nil"/>
                    <w:tr2bl w:val="nil"/>
                  </w:tcBorders>
                  <w:vAlign w:val="center"/>
                </w:tcPr>
                <w:p w14:paraId="347CD222" w14:textId="77777777" w:rsidR="00F76A63" w:rsidRDefault="00000000">
                  <w:pPr>
                    <w:jc w:val="center"/>
                    <w:rPr>
                      <w:szCs w:val="21"/>
                    </w:rPr>
                  </w:pPr>
                  <w:r>
                    <w:rPr>
                      <w:szCs w:val="21"/>
                    </w:rPr>
                    <w:t>≤3</w:t>
                  </w:r>
                </w:p>
              </w:tc>
              <w:tc>
                <w:tcPr>
                  <w:tcW w:w="1260" w:type="pct"/>
                  <w:tcBorders>
                    <w:tl2br w:val="nil"/>
                    <w:tr2bl w:val="nil"/>
                  </w:tcBorders>
                  <w:vAlign w:val="center"/>
                </w:tcPr>
                <w:p w14:paraId="33963227" w14:textId="77777777" w:rsidR="00F76A63" w:rsidRDefault="00000000">
                  <w:pPr>
                    <w:jc w:val="center"/>
                    <w:rPr>
                      <w:szCs w:val="21"/>
                    </w:rPr>
                  </w:pPr>
                  <w:r>
                    <w:rPr>
                      <w:szCs w:val="21"/>
                    </w:rPr>
                    <w:t>≤0.</w:t>
                  </w:r>
                  <w:r>
                    <w:rPr>
                      <w:rFonts w:hint="eastAsia"/>
                      <w:szCs w:val="21"/>
                    </w:rPr>
                    <w:t>3</w:t>
                  </w:r>
                </w:p>
              </w:tc>
            </w:tr>
          </w:tbl>
          <w:p w14:paraId="65ED8EFF" w14:textId="77777777" w:rsidR="00F76A63" w:rsidRDefault="00000000">
            <w:pPr>
              <w:rPr>
                <w:b/>
                <w:sz w:val="18"/>
                <w:szCs w:val="18"/>
              </w:rPr>
            </w:pPr>
            <w:r>
              <w:rPr>
                <w:b/>
                <w:sz w:val="18"/>
                <w:szCs w:val="18"/>
              </w:rPr>
              <w:t>注：</w:t>
            </w:r>
            <w:r>
              <w:rPr>
                <w:rFonts w:hint="eastAsia"/>
                <w:b/>
                <w:sz w:val="18"/>
                <w:szCs w:val="18"/>
              </w:rPr>
              <w:t>每年</w:t>
            </w:r>
            <w:r>
              <w:rPr>
                <w:rFonts w:hint="eastAsia"/>
                <w:b/>
                <w:sz w:val="18"/>
                <w:szCs w:val="18"/>
              </w:rPr>
              <w:t>11</w:t>
            </w:r>
            <w:r>
              <w:rPr>
                <w:rFonts w:hint="eastAsia"/>
                <w:b/>
                <w:sz w:val="18"/>
                <w:szCs w:val="18"/>
              </w:rPr>
              <w:t>月</w:t>
            </w:r>
            <w:r>
              <w:rPr>
                <w:rFonts w:hint="eastAsia"/>
                <w:b/>
                <w:sz w:val="18"/>
                <w:szCs w:val="18"/>
              </w:rPr>
              <w:t>1</w:t>
            </w:r>
            <w:r>
              <w:rPr>
                <w:rFonts w:hint="eastAsia"/>
                <w:b/>
                <w:sz w:val="18"/>
                <w:szCs w:val="18"/>
              </w:rPr>
              <w:t>日至次年</w:t>
            </w:r>
            <w:r>
              <w:rPr>
                <w:rFonts w:hint="eastAsia"/>
                <w:b/>
                <w:sz w:val="18"/>
                <w:szCs w:val="18"/>
              </w:rPr>
              <w:t>3</w:t>
            </w:r>
            <w:r>
              <w:rPr>
                <w:rFonts w:hint="eastAsia"/>
                <w:b/>
                <w:sz w:val="18"/>
                <w:szCs w:val="18"/>
              </w:rPr>
              <w:t>月</w:t>
            </w:r>
            <w:r>
              <w:rPr>
                <w:rFonts w:hint="eastAsia"/>
                <w:b/>
                <w:sz w:val="18"/>
                <w:szCs w:val="18"/>
              </w:rPr>
              <w:t>31</w:t>
            </w:r>
            <w:r>
              <w:rPr>
                <w:rFonts w:hint="eastAsia"/>
                <w:b/>
                <w:sz w:val="18"/>
                <w:szCs w:val="18"/>
              </w:rPr>
              <w:t>日执行括号内排放限值</w:t>
            </w:r>
            <w:r>
              <w:rPr>
                <w:b/>
                <w:sz w:val="18"/>
                <w:szCs w:val="18"/>
              </w:rPr>
              <w:t>。</w:t>
            </w:r>
          </w:p>
          <w:p w14:paraId="6593B562" w14:textId="77777777" w:rsidR="00F76A63" w:rsidRDefault="00000000">
            <w:pPr>
              <w:spacing w:line="500" w:lineRule="exact"/>
              <w:ind w:firstLineChars="200" w:firstLine="482"/>
              <w:rPr>
                <w:b/>
                <w:sz w:val="24"/>
              </w:rPr>
            </w:pPr>
            <w:r>
              <w:rPr>
                <w:b/>
                <w:sz w:val="24"/>
              </w:rPr>
              <w:t>3</w:t>
            </w:r>
            <w:r>
              <w:rPr>
                <w:b/>
                <w:sz w:val="24"/>
              </w:rPr>
              <w:t>、噪声排放标准</w:t>
            </w:r>
          </w:p>
          <w:p w14:paraId="6EA26E41" w14:textId="77777777" w:rsidR="00F76A63" w:rsidRDefault="00000000">
            <w:pPr>
              <w:spacing w:line="440" w:lineRule="exact"/>
              <w:ind w:firstLineChars="200" w:firstLine="480"/>
              <w:rPr>
                <w:sz w:val="24"/>
              </w:rPr>
            </w:pPr>
            <w:r>
              <w:rPr>
                <w:sz w:val="24"/>
              </w:rPr>
              <w:t>本项目营运期厂界噪声执行《工业企业厂界环境噪声排放标准》（</w:t>
            </w:r>
            <w:r>
              <w:rPr>
                <w:sz w:val="24"/>
              </w:rPr>
              <w:t>GB12348-2008</w:t>
            </w:r>
            <w:r>
              <w:rPr>
                <w:sz w:val="24"/>
              </w:rPr>
              <w:t>）</w:t>
            </w:r>
            <w:r>
              <w:rPr>
                <w:sz w:val="24"/>
              </w:rPr>
              <w:t>3</w:t>
            </w:r>
            <w:r>
              <w:rPr>
                <w:sz w:val="24"/>
              </w:rPr>
              <w:t>类标准。</w:t>
            </w:r>
          </w:p>
          <w:p w14:paraId="686CA4E7" w14:textId="77777777" w:rsidR="00F76A63" w:rsidRDefault="00000000">
            <w:pPr>
              <w:spacing w:line="440" w:lineRule="exact"/>
              <w:ind w:firstLineChars="200" w:firstLine="482"/>
              <w:jc w:val="center"/>
              <w:rPr>
                <w:sz w:val="24"/>
              </w:rPr>
            </w:pPr>
            <w:r>
              <w:rPr>
                <w:b/>
                <w:sz w:val="24"/>
              </w:rPr>
              <w:t>表</w:t>
            </w:r>
            <w:r>
              <w:rPr>
                <w:b/>
                <w:sz w:val="24"/>
              </w:rPr>
              <w:t xml:space="preserve">3-14  </w:t>
            </w:r>
            <w:r>
              <w:rPr>
                <w:b/>
                <w:sz w:val="24"/>
              </w:rPr>
              <w:t>本项目运营期环境噪声排放标准限值</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300"/>
              <w:gridCol w:w="1419"/>
              <w:gridCol w:w="1559"/>
              <w:gridCol w:w="3904"/>
            </w:tblGrid>
            <w:tr w:rsidR="00F76A63" w14:paraId="5F9BE71C" w14:textId="77777777">
              <w:trPr>
                <w:trHeight w:val="23"/>
                <w:jc w:val="center"/>
              </w:trPr>
              <w:tc>
                <w:tcPr>
                  <w:tcW w:w="794" w:type="pct"/>
                  <w:tcBorders>
                    <w:top w:val="single" w:sz="12" w:space="0" w:color="auto"/>
                    <w:left w:val="nil"/>
                    <w:bottom w:val="single" w:sz="4" w:space="0" w:color="auto"/>
                    <w:right w:val="single" w:sz="4" w:space="0" w:color="auto"/>
                  </w:tcBorders>
                </w:tcPr>
                <w:p w14:paraId="2AFF2456" w14:textId="77777777" w:rsidR="00F76A63" w:rsidRDefault="00000000">
                  <w:pPr>
                    <w:snapToGrid w:val="0"/>
                    <w:jc w:val="center"/>
                    <w:rPr>
                      <w:b/>
                      <w:szCs w:val="21"/>
                    </w:rPr>
                  </w:pPr>
                  <w:r>
                    <w:rPr>
                      <w:b/>
                      <w:szCs w:val="21"/>
                    </w:rPr>
                    <w:t>类别</w:t>
                  </w:r>
                </w:p>
              </w:tc>
              <w:tc>
                <w:tcPr>
                  <w:tcW w:w="867" w:type="pct"/>
                  <w:tcBorders>
                    <w:top w:val="single" w:sz="12" w:space="0" w:color="auto"/>
                    <w:left w:val="nil"/>
                    <w:bottom w:val="single" w:sz="4" w:space="0" w:color="auto"/>
                    <w:right w:val="single" w:sz="4" w:space="0" w:color="auto"/>
                  </w:tcBorders>
                  <w:vAlign w:val="center"/>
                </w:tcPr>
                <w:p w14:paraId="1921B8BB" w14:textId="77777777" w:rsidR="00F76A63" w:rsidRDefault="00000000">
                  <w:pPr>
                    <w:snapToGrid w:val="0"/>
                    <w:jc w:val="center"/>
                    <w:rPr>
                      <w:b/>
                      <w:szCs w:val="21"/>
                    </w:rPr>
                  </w:pPr>
                  <w:r>
                    <w:rPr>
                      <w:b/>
                      <w:szCs w:val="21"/>
                    </w:rPr>
                    <w:t>昼间</w:t>
                  </w:r>
                </w:p>
              </w:tc>
              <w:tc>
                <w:tcPr>
                  <w:tcW w:w="953" w:type="pct"/>
                  <w:tcBorders>
                    <w:top w:val="single" w:sz="12" w:space="0" w:color="auto"/>
                    <w:left w:val="single" w:sz="4" w:space="0" w:color="auto"/>
                    <w:bottom w:val="single" w:sz="4" w:space="0" w:color="auto"/>
                    <w:right w:val="single" w:sz="4" w:space="0" w:color="auto"/>
                  </w:tcBorders>
                  <w:vAlign w:val="center"/>
                </w:tcPr>
                <w:p w14:paraId="3DB8AE55" w14:textId="77777777" w:rsidR="00F76A63" w:rsidRDefault="00000000">
                  <w:pPr>
                    <w:snapToGrid w:val="0"/>
                    <w:jc w:val="center"/>
                    <w:rPr>
                      <w:b/>
                      <w:szCs w:val="21"/>
                    </w:rPr>
                  </w:pPr>
                  <w:r>
                    <w:rPr>
                      <w:b/>
                      <w:szCs w:val="21"/>
                    </w:rPr>
                    <w:t>夜间</w:t>
                  </w:r>
                </w:p>
              </w:tc>
              <w:tc>
                <w:tcPr>
                  <w:tcW w:w="2386" w:type="pct"/>
                  <w:tcBorders>
                    <w:top w:val="single" w:sz="12" w:space="0" w:color="auto"/>
                    <w:left w:val="single" w:sz="4" w:space="0" w:color="auto"/>
                    <w:bottom w:val="single" w:sz="4" w:space="0" w:color="auto"/>
                    <w:right w:val="nil"/>
                  </w:tcBorders>
                  <w:vAlign w:val="center"/>
                </w:tcPr>
                <w:p w14:paraId="7104C8E5" w14:textId="77777777" w:rsidR="00F76A63" w:rsidRDefault="00000000">
                  <w:pPr>
                    <w:snapToGrid w:val="0"/>
                    <w:jc w:val="center"/>
                    <w:rPr>
                      <w:b/>
                      <w:szCs w:val="21"/>
                    </w:rPr>
                  </w:pPr>
                  <w:r>
                    <w:rPr>
                      <w:b/>
                      <w:szCs w:val="21"/>
                    </w:rPr>
                    <w:t>标准来源</w:t>
                  </w:r>
                </w:p>
              </w:tc>
            </w:tr>
            <w:tr w:rsidR="00F76A63" w14:paraId="7546C95B" w14:textId="77777777">
              <w:trPr>
                <w:trHeight w:val="23"/>
                <w:jc w:val="center"/>
              </w:trPr>
              <w:tc>
                <w:tcPr>
                  <w:tcW w:w="794" w:type="pct"/>
                  <w:tcBorders>
                    <w:top w:val="single" w:sz="4" w:space="0" w:color="auto"/>
                    <w:left w:val="nil"/>
                    <w:bottom w:val="single" w:sz="12" w:space="0" w:color="auto"/>
                    <w:right w:val="single" w:sz="4" w:space="0" w:color="auto"/>
                  </w:tcBorders>
                  <w:vAlign w:val="center"/>
                </w:tcPr>
                <w:p w14:paraId="7AFE08FE" w14:textId="77777777" w:rsidR="00F76A63" w:rsidRDefault="00000000">
                  <w:pPr>
                    <w:snapToGrid w:val="0"/>
                    <w:jc w:val="center"/>
                    <w:rPr>
                      <w:szCs w:val="21"/>
                    </w:rPr>
                  </w:pPr>
                  <w:r>
                    <w:rPr>
                      <w:szCs w:val="21"/>
                    </w:rPr>
                    <w:t>3</w:t>
                  </w:r>
                  <w:r>
                    <w:rPr>
                      <w:szCs w:val="21"/>
                    </w:rPr>
                    <w:t>类</w:t>
                  </w:r>
                </w:p>
              </w:tc>
              <w:tc>
                <w:tcPr>
                  <w:tcW w:w="867" w:type="pct"/>
                  <w:tcBorders>
                    <w:top w:val="single" w:sz="4" w:space="0" w:color="auto"/>
                    <w:left w:val="nil"/>
                    <w:bottom w:val="single" w:sz="12" w:space="0" w:color="auto"/>
                    <w:right w:val="single" w:sz="4" w:space="0" w:color="auto"/>
                  </w:tcBorders>
                  <w:vAlign w:val="center"/>
                </w:tcPr>
                <w:p w14:paraId="7EABE0B8" w14:textId="77777777" w:rsidR="00F76A63" w:rsidRDefault="00000000">
                  <w:pPr>
                    <w:snapToGrid w:val="0"/>
                    <w:jc w:val="center"/>
                    <w:rPr>
                      <w:szCs w:val="21"/>
                    </w:rPr>
                  </w:pPr>
                  <w:r>
                    <w:rPr>
                      <w:szCs w:val="21"/>
                    </w:rPr>
                    <w:t>65dB</w:t>
                  </w:r>
                  <w:r>
                    <w:rPr>
                      <w:szCs w:val="21"/>
                    </w:rPr>
                    <w:t>（</w:t>
                  </w:r>
                  <w:r>
                    <w:rPr>
                      <w:szCs w:val="21"/>
                    </w:rPr>
                    <w:t>A</w:t>
                  </w:r>
                  <w:r>
                    <w:rPr>
                      <w:szCs w:val="21"/>
                    </w:rPr>
                    <w:t>）</w:t>
                  </w:r>
                </w:p>
              </w:tc>
              <w:tc>
                <w:tcPr>
                  <w:tcW w:w="953" w:type="pct"/>
                  <w:tcBorders>
                    <w:top w:val="single" w:sz="4" w:space="0" w:color="auto"/>
                    <w:left w:val="single" w:sz="4" w:space="0" w:color="auto"/>
                    <w:bottom w:val="single" w:sz="12" w:space="0" w:color="auto"/>
                    <w:right w:val="single" w:sz="4" w:space="0" w:color="auto"/>
                  </w:tcBorders>
                  <w:vAlign w:val="center"/>
                </w:tcPr>
                <w:p w14:paraId="22D8FB24" w14:textId="77777777" w:rsidR="00F76A63" w:rsidRDefault="00000000">
                  <w:pPr>
                    <w:snapToGrid w:val="0"/>
                    <w:jc w:val="center"/>
                    <w:rPr>
                      <w:szCs w:val="21"/>
                    </w:rPr>
                  </w:pPr>
                  <w:r>
                    <w:rPr>
                      <w:szCs w:val="21"/>
                    </w:rPr>
                    <w:t>55dB</w:t>
                  </w:r>
                  <w:r>
                    <w:rPr>
                      <w:szCs w:val="21"/>
                    </w:rPr>
                    <w:t>（</w:t>
                  </w:r>
                  <w:r>
                    <w:rPr>
                      <w:szCs w:val="21"/>
                    </w:rPr>
                    <w:t>A</w:t>
                  </w:r>
                  <w:r>
                    <w:rPr>
                      <w:szCs w:val="21"/>
                    </w:rPr>
                    <w:t>）</w:t>
                  </w:r>
                </w:p>
              </w:tc>
              <w:tc>
                <w:tcPr>
                  <w:tcW w:w="2386" w:type="pct"/>
                  <w:tcBorders>
                    <w:top w:val="single" w:sz="4" w:space="0" w:color="auto"/>
                    <w:left w:val="single" w:sz="4" w:space="0" w:color="auto"/>
                    <w:bottom w:val="single" w:sz="12" w:space="0" w:color="auto"/>
                    <w:right w:val="nil"/>
                  </w:tcBorders>
                  <w:vAlign w:val="center"/>
                </w:tcPr>
                <w:p w14:paraId="79275723" w14:textId="77777777" w:rsidR="00F76A63" w:rsidRDefault="00000000">
                  <w:pPr>
                    <w:snapToGrid w:val="0"/>
                    <w:jc w:val="center"/>
                    <w:rPr>
                      <w:szCs w:val="21"/>
                    </w:rPr>
                  </w:pPr>
                  <w:r>
                    <w:rPr>
                      <w:szCs w:val="21"/>
                    </w:rPr>
                    <w:t>《工业企业厂界环境噪声排放标准》（</w:t>
                  </w:r>
                  <w:r>
                    <w:rPr>
                      <w:szCs w:val="21"/>
                    </w:rPr>
                    <w:t>GB12348-2008</w:t>
                  </w:r>
                  <w:r>
                    <w:rPr>
                      <w:szCs w:val="21"/>
                    </w:rPr>
                    <w:t>）</w:t>
                  </w:r>
                </w:p>
              </w:tc>
            </w:tr>
          </w:tbl>
          <w:p w14:paraId="37A79AC6" w14:textId="77777777" w:rsidR="00F76A63" w:rsidRDefault="00000000">
            <w:pPr>
              <w:spacing w:line="500" w:lineRule="exact"/>
              <w:ind w:firstLineChars="200" w:firstLine="482"/>
              <w:rPr>
                <w:b/>
                <w:bCs/>
                <w:sz w:val="24"/>
              </w:rPr>
            </w:pPr>
            <w:r>
              <w:rPr>
                <w:b/>
                <w:bCs/>
                <w:sz w:val="24"/>
              </w:rPr>
              <w:t>4</w:t>
            </w:r>
            <w:r>
              <w:rPr>
                <w:b/>
                <w:bCs/>
                <w:sz w:val="24"/>
              </w:rPr>
              <w:t>、固废排放标准</w:t>
            </w:r>
          </w:p>
          <w:p w14:paraId="33E97B5E" w14:textId="77777777" w:rsidR="00F76A63" w:rsidRDefault="00000000">
            <w:pPr>
              <w:spacing w:line="500" w:lineRule="exact"/>
              <w:ind w:firstLineChars="200" w:firstLine="480"/>
              <w:rPr>
                <w:sz w:val="24"/>
              </w:rPr>
            </w:pPr>
            <w:r>
              <w:rPr>
                <w:sz w:val="24"/>
              </w:rPr>
              <w:t>危险废物分类执行《国家危险废物名录（</w:t>
            </w:r>
            <w:r>
              <w:rPr>
                <w:sz w:val="24"/>
              </w:rPr>
              <w:t>2025</w:t>
            </w:r>
            <w:r>
              <w:rPr>
                <w:sz w:val="24"/>
              </w:rPr>
              <w:t>年版）》，危险废物暂存场所执行《危险废物贮存污染控制标准》（</w:t>
            </w:r>
            <w:r>
              <w:rPr>
                <w:sz w:val="24"/>
              </w:rPr>
              <w:t>GB18597-2023</w:t>
            </w:r>
            <w:r>
              <w:rPr>
                <w:sz w:val="24"/>
              </w:rPr>
              <w:t>）相关要求；</w:t>
            </w:r>
          </w:p>
          <w:p w14:paraId="1F2E8C08" w14:textId="77777777" w:rsidR="00F76A63" w:rsidRDefault="00000000">
            <w:pPr>
              <w:spacing w:line="500" w:lineRule="exact"/>
              <w:ind w:firstLineChars="200" w:firstLine="480"/>
              <w:rPr>
                <w:sz w:val="24"/>
              </w:rPr>
            </w:pPr>
            <w:r>
              <w:rPr>
                <w:sz w:val="24"/>
              </w:rPr>
              <w:t>一般工业固体废物暂存场所执行《一般工业固体废物贮存和填埋污染控制标准》（</w:t>
            </w:r>
            <w:r>
              <w:rPr>
                <w:sz w:val="24"/>
              </w:rPr>
              <w:t>GB18599-2020</w:t>
            </w:r>
            <w:r>
              <w:rPr>
                <w:sz w:val="24"/>
              </w:rPr>
              <w:t>）、《水泥窑协同处置固体废物污染控制标准》（</w:t>
            </w:r>
            <w:r>
              <w:rPr>
                <w:sz w:val="24"/>
              </w:rPr>
              <w:t>GB30485-2013</w:t>
            </w:r>
            <w:r>
              <w:rPr>
                <w:sz w:val="24"/>
              </w:rPr>
              <w:t>）中相关要求；</w:t>
            </w:r>
          </w:p>
          <w:p w14:paraId="57BEE24D" w14:textId="77777777" w:rsidR="00F76A63" w:rsidRDefault="00000000">
            <w:pPr>
              <w:spacing w:line="500" w:lineRule="exact"/>
              <w:ind w:firstLineChars="200" w:firstLine="480"/>
              <w:rPr>
                <w:sz w:val="24"/>
              </w:rPr>
            </w:pPr>
            <w:r>
              <w:rPr>
                <w:sz w:val="24"/>
              </w:rPr>
              <w:t>生活垃圾处理执行《城市生活垃圾处理及污染防治技术政策》（建城</w:t>
            </w:r>
            <w:r>
              <w:rPr>
                <w:sz w:val="24"/>
              </w:rPr>
              <w:t>[2000]120</w:t>
            </w:r>
            <w:r>
              <w:rPr>
                <w:sz w:val="24"/>
              </w:rPr>
              <w:t>号）和《生活垃圾处理技术指南》（建城</w:t>
            </w:r>
            <w:r>
              <w:rPr>
                <w:sz w:val="24"/>
              </w:rPr>
              <w:t>[2010]61</w:t>
            </w:r>
            <w:r>
              <w:rPr>
                <w:sz w:val="24"/>
              </w:rPr>
              <w:t>号）以及国家、省市关于固体废物污染环境防治的法律法规。</w:t>
            </w:r>
          </w:p>
        </w:tc>
      </w:tr>
      <w:tr w:rsidR="00F76A63" w14:paraId="7DB673EA" w14:textId="77777777">
        <w:trPr>
          <w:trHeight w:val="5874"/>
          <w:jc w:val="center"/>
        </w:trPr>
        <w:tc>
          <w:tcPr>
            <w:tcW w:w="427" w:type="dxa"/>
            <w:vAlign w:val="center"/>
          </w:tcPr>
          <w:p w14:paraId="0267BB3F" w14:textId="77777777" w:rsidR="00F76A63" w:rsidRDefault="00000000">
            <w:pPr>
              <w:adjustRightInd w:val="0"/>
              <w:snapToGrid w:val="0"/>
              <w:jc w:val="center"/>
              <w:rPr>
                <w:b/>
                <w:bCs/>
                <w:kern w:val="0"/>
                <w:szCs w:val="21"/>
              </w:rPr>
            </w:pPr>
            <w:r>
              <w:rPr>
                <w:b/>
                <w:bCs/>
                <w:kern w:val="0"/>
                <w:szCs w:val="21"/>
              </w:rPr>
              <w:lastRenderedPageBreak/>
              <w:t>总量</w:t>
            </w:r>
          </w:p>
          <w:p w14:paraId="60870DE4" w14:textId="77777777" w:rsidR="00F76A63" w:rsidRDefault="00000000">
            <w:pPr>
              <w:adjustRightInd w:val="0"/>
              <w:snapToGrid w:val="0"/>
              <w:jc w:val="center"/>
              <w:rPr>
                <w:b/>
                <w:bCs/>
                <w:kern w:val="0"/>
                <w:szCs w:val="21"/>
              </w:rPr>
            </w:pPr>
            <w:r>
              <w:rPr>
                <w:b/>
                <w:bCs/>
                <w:kern w:val="0"/>
                <w:szCs w:val="21"/>
              </w:rPr>
              <w:t>控制</w:t>
            </w:r>
          </w:p>
          <w:p w14:paraId="382CD1E7" w14:textId="77777777" w:rsidR="00F76A63" w:rsidRDefault="00000000">
            <w:pPr>
              <w:adjustRightInd w:val="0"/>
              <w:snapToGrid w:val="0"/>
              <w:jc w:val="center"/>
              <w:rPr>
                <w:kern w:val="0"/>
                <w:szCs w:val="21"/>
              </w:rPr>
            </w:pPr>
            <w:r>
              <w:rPr>
                <w:b/>
                <w:bCs/>
                <w:kern w:val="0"/>
                <w:szCs w:val="21"/>
              </w:rPr>
              <w:t>指标</w:t>
            </w:r>
          </w:p>
        </w:tc>
        <w:tc>
          <w:tcPr>
            <w:tcW w:w="8398" w:type="dxa"/>
            <w:vAlign w:val="center"/>
          </w:tcPr>
          <w:p w14:paraId="2A7D4EE1" w14:textId="77777777" w:rsidR="00F76A63" w:rsidRDefault="00000000">
            <w:pPr>
              <w:adjustRightInd w:val="0"/>
              <w:snapToGrid w:val="0"/>
              <w:spacing w:line="500" w:lineRule="exact"/>
              <w:ind w:firstLineChars="200" w:firstLine="482"/>
              <w:rPr>
                <w:b/>
                <w:sz w:val="24"/>
                <w:szCs w:val="28"/>
              </w:rPr>
            </w:pPr>
            <w:bookmarkStart w:id="124" w:name="_Hlk73450518"/>
            <w:r>
              <w:rPr>
                <w:b/>
                <w:sz w:val="24"/>
                <w:szCs w:val="28"/>
              </w:rPr>
              <w:t>1</w:t>
            </w:r>
            <w:r>
              <w:rPr>
                <w:b/>
                <w:sz w:val="24"/>
                <w:szCs w:val="28"/>
              </w:rPr>
              <w:t>、总量控制因子</w:t>
            </w:r>
          </w:p>
          <w:p w14:paraId="2447DDEA" w14:textId="77777777" w:rsidR="00F76A63" w:rsidRDefault="00000000">
            <w:pPr>
              <w:adjustRightInd w:val="0"/>
              <w:snapToGrid w:val="0"/>
              <w:spacing w:line="500" w:lineRule="exact"/>
              <w:ind w:firstLineChars="200" w:firstLine="480"/>
              <w:rPr>
                <w:bCs/>
                <w:sz w:val="24"/>
                <w:szCs w:val="28"/>
              </w:rPr>
            </w:pPr>
            <w:r>
              <w:rPr>
                <w:bCs/>
                <w:sz w:val="24"/>
                <w:szCs w:val="28"/>
              </w:rPr>
              <w:t>按照国家总量控制规定，本项目大气污染物排放总量控制因子为颗粒物、</w:t>
            </w:r>
            <w:r>
              <w:rPr>
                <w:bCs/>
                <w:sz w:val="24"/>
                <w:szCs w:val="28"/>
              </w:rPr>
              <w:t>SO</w:t>
            </w:r>
            <w:r>
              <w:rPr>
                <w:bCs/>
                <w:sz w:val="24"/>
                <w:szCs w:val="28"/>
                <w:vertAlign w:val="subscript"/>
              </w:rPr>
              <w:t>2</w:t>
            </w:r>
            <w:r>
              <w:rPr>
                <w:bCs/>
                <w:sz w:val="24"/>
                <w:szCs w:val="28"/>
              </w:rPr>
              <w:t>、</w:t>
            </w:r>
            <w:r>
              <w:rPr>
                <w:bCs/>
                <w:sz w:val="24"/>
                <w:szCs w:val="28"/>
              </w:rPr>
              <w:t>NO</w:t>
            </w:r>
            <w:r>
              <w:rPr>
                <w:bCs/>
                <w:sz w:val="24"/>
                <w:szCs w:val="28"/>
                <w:vertAlign w:val="subscript"/>
              </w:rPr>
              <w:t>x</w:t>
            </w:r>
            <w:r>
              <w:rPr>
                <w:bCs/>
                <w:sz w:val="24"/>
                <w:szCs w:val="28"/>
              </w:rPr>
              <w:t>。其它污染物考核指标：废气中氨、</w:t>
            </w:r>
            <w:r>
              <w:rPr>
                <w:bCs/>
                <w:sz w:val="24"/>
                <w:szCs w:val="28"/>
              </w:rPr>
              <w:t>HCl</w:t>
            </w:r>
            <w:r>
              <w:rPr>
                <w:bCs/>
                <w:sz w:val="24"/>
                <w:szCs w:val="28"/>
              </w:rPr>
              <w:t>、</w:t>
            </w:r>
            <w:r>
              <w:rPr>
                <w:bCs/>
                <w:sz w:val="24"/>
                <w:szCs w:val="28"/>
              </w:rPr>
              <w:t>HF</w:t>
            </w:r>
            <w:r>
              <w:rPr>
                <w:bCs/>
                <w:sz w:val="24"/>
                <w:szCs w:val="28"/>
              </w:rPr>
              <w:t>、</w:t>
            </w:r>
            <w:r>
              <w:rPr>
                <w:bCs/>
                <w:sz w:val="24"/>
                <w:szCs w:val="28"/>
              </w:rPr>
              <w:t>Tl+Cd+Pb+As</w:t>
            </w:r>
            <w:r>
              <w:rPr>
                <w:bCs/>
                <w:sz w:val="24"/>
                <w:szCs w:val="28"/>
              </w:rPr>
              <w:t>、</w:t>
            </w:r>
            <w:r>
              <w:rPr>
                <w:bCs/>
                <w:sz w:val="24"/>
                <w:szCs w:val="28"/>
              </w:rPr>
              <w:t>Be+Cr+Sn+Sb+Cu+Co+Mn+Ni+V</w:t>
            </w:r>
            <w:r>
              <w:rPr>
                <w:bCs/>
                <w:sz w:val="24"/>
                <w:szCs w:val="28"/>
              </w:rPr>
              <w:t>、汞及其化合物、铬及其化合物、镍及其化合物、铜及其化合物、镉及其化合物、铅及其化合物、锌及其化合物、锰及其化合物、砷及其化合物、二噁英等；本项目不新增生产废水和生活污水，无水污染物排放总量控制因子；本项目不新增固废。</w:t>
            </w:r>
          </w:p>
          <w:p w14:paraId="74191B1E" w14:textId="77777777" w:rsidR="00F76A63" w:rsidRDefault="00000000">
            <w:pPr>
              <w:adjustRightInd w:val="0"/>
              <w:snapToGrid w:val="0"/>
              <w:spacing w:line="500" w:lineRule="exact"/>
              <w:ind w:firstLineChars="200" w:firstLine="480"/>
              <w:rPr>
                <w:bCs/>
                <w:sz w:val="24"/>
                <w:szCs w:val="28"/>
              </w:rPr>
            </w:pPr>
            <w:r>
              <w:rPr>
                <w:bCs/>
                <w:sz w:val="24"/>
                <w:szCs w:val="28"/>
              </w:rPr>
              <w:t>根据大气专项，项目建成后本次项目涉及的</w:t>
            </w:r>
            <w:r>
              <w:rPr>
                <w:bCs/>
                <w:sz w:val="24"/>
                <w:szCs w:val="28"/>
              </w:rPr>
              <w:t>1#</w:t>
            </w:r>
            <w:r>
              <w:rPr>
                <w:bCs/>
                <w:sz w:val="24"/>
                <w:szCs w:val="28"/>
              </w:rPr>
              <w:t>窑窑尾、</w:t>
            </w:r>
            <w:r>
              <w:rPr>
                <w:bCs/>
                <w:sz w:val="24"/>
                <w:szCs w:val="28"/>
              </w:rPr>
              <w:t>2#</w:t>
            </w:r>
            <w:r>
              <w:rPr>
                <w:bCs/>
                <w:sz w:val="24"/>
                <w:szCs w:val="28"/>
              </w:rPr>
              <w:t>窑窑尾及原料、污染土堆棚污染物排放总量见表</w:t>
            </w:r>
            <w:r>
              <w:rPr>
                <w:bCs/>
                <w:sz w:val="24"/>
                <w:szCs w:val="28"/>
              </w:rPr>
              <w:t>3-15</w:t>
            </w:r>
            <w:r>
              <w:rPr>
                <w:bCs/>
                <w:sz w:val="24"/>
                <w:szCs w:val="28"/>
              </w:rPr>
              <w:t>。</w:t>
            </w:r>
          </w:p>
          <w:p w14:paraId="0232482F" w14:textId="77777777" w:rsidR="00F76A63" w:rsidRDefault="00000000">
            <w:pPr>
              <w:adjustRightInd w:val="0"/>
              <w:snapToGrid w:val="0"/>
              <w:spacing w:line="500" w:lineRule="exact"/>
              <w:jc w:val="center"/>
              <w:rPr>
                <w:b/>
                <w:sz w:val="24"/>
                <w:szCs w:val="22"/>
              </w:rPr>
            </w:pPr>
            <w:bookmarkStart w:id="125" w:name="OLE_LINK62"/>
            <w:r>
              <w:rPr>
                <w:b/>
                <w:sz w:val="24"/>
                <w:szCs w:val="22"/>
              </w:rPr>
              <w:t>表</w:t>
            </w:r>
            <w:r>
              <w:rPr>
                <w:b/>
                <w:sz w:val="24"/>
                <w:szCs w:val="22"/>
              </w:rPr>
              <w:t xml:space="preserve">3-15  </w:t>
            </w:r>
            <w:r>
              <w:rPr>
                <w:b/>
                <w:sz w:val="24"/>
                <w:szCs w:val="22"/>
              </w:rPr>
              <w:t>本项目污染物排放情况</w:t>
            </w:r>
            <w:bookmarkEnd w:id="124"/>
            <w:r>
              <w:rPr>
                <w:b/>
                <w:sz w:val="24"/>
                <w:szCs w:val="22"/>
              </w:rPr>
              <w:t>（单位：</w:t>
            </w:r>
            <w:r>
              <w:rPr>
                <w:b/>
                <w:sz w:val="24"/>
                <w:szCs w:val="22"/>
              </w:rPr>
              <w:t>t/a</w:t>
            </w:r>
            <w:r>
              <w:rPr>
                <w:b/>
                <w:sz w:val="24"/>
                <w:szCs w:val="22"/>
              </w:rPr>
              <w:t>）</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343"/>
              <w:gridCol w:w="2298"/>
              <w:gridCol w:w="1640"/>
              <w:gridCol w:w="1625"/>
              <w:gridCol w:w="1276"/>
            </w:tblGrid>
            <w:tr w:rsidR="00F76A63" w14:paraId="6DD7B1E6" w14:textId="77777777">
              <w:trPr>
                <w:jc w:val="center"/>
              </w:trPr>
              <w:tc>
                <w:tcPr>
                  <w:tcW w:w="2223" w:type="pct"/>
                  <w:gridSpan w:val="2"/>
                  <w:tcBorders>
                    <w:top w:val="single" w:sz="12" w:space="0" w:color="auto"/>
                    <w:left w:val="nil"/>
                    <w:bottom w:val="single" w:sz="4" w:space="0" w:color="auto"/>
                    <w:right w:val="single" w:sz="4" w:space="0" w:color="auto"/>
                  </w:tcBorders>
                  <w:vAlign w:val="center"/>
                </w:tcPr>
                <w:p w14:paraId="5E07F755" w14:textId="77777777" w:rsidR="00F76A63" w:rsidRDefault="00000000">
                  <w:pPr>
                    <w:pStyle w:val="000"/>
                    <w:rPr>
                      <w:b/>
                      <w:bCs w:val="0"/>
                    </w:rPr>
                  </w:pPr>
                  <w:r>
                    <w:rPr>
                      <w:b/>
                      <w:bCs w:val="0"/>
                    </w:rPr>
                    <w:t>污染物</w:t>
                  </w:r>
                </w:p>
              </w:tc>
              <w:tc>
                <w:tcPr>
                  <w:tcW w:w="1002" w:type="pct"/>
                  <w:tcBorders>
                    <w:top w:val="single" w:sz="12" w:space="0" w:color="auto"/>
                    <w:left w:val="single" w:sz="4" w:space="0" w:color="auto"/>
                    <w:bottom w:val="single" w:sz="4" w:space="0" w:color="auto"/>
                    <w:right w:val="single" w:sz="4" w:space="0" w:color="auto"/>
                  </w:tcBorders>
                  <w:noWrap/>
                  <w:vAlign w:val="center"/>
                </w:tcPr>
                <w:p w14:paraId="72A863ED" w14:textId="77777777" w:rsidR="00F76A63" w:rsidRDefault="00000000">
                  <w:pPr>
                    <w:pStyle w:val="000"/>
                    <w:rPr>
                      <w:b/>
                      <w:bCs w:val="0"/>
                    </w:rPr>
                  </w:pPr>
                  <w:r>
                    <w:rPr>
                      <w:rFonts w:hint="eastAsia"/>
                      <w:b/>
                      <w:bCs w:val="0"/>
                    </w:rPr>
                    <w:t>本项目窑尾</w:t>
                  </w:r>
                  <w:r>
                    <w:rPr>
                      <w:b/>
                      <w:bCs w:val="0"/>
                    </w:rPr>
                    <w:t>废气排放量</w:t>
                  </w:r>
                </w:p>
              </w:tc>
              <w:tc>
                <w:tcPr>
                  <w:tcW w:w="993" w:type="pct"/>
                  <w:tcBorders>
                    <w:top w:val="single" w:sz="12" w:space="0" w:color="auto"/>
                    <w:left w:val="single" w:sz="4" w:space="0" w:color="auto"/>
                    <w:bottom w:val="single" w:sz="4" w:space="0" w:color="auto"/>
                    <w:right w:val="single" w:sz="4" w:space="0" w:color="auto"/>
                  </w:tcBorders>
                </w:tcPr>
                <w:p w14:paraId="410E6918" w14:textId="77777777" w:rsidR="00F76A63" w:rsidRDefault="00000000">
                  <w:pPr>
                    <w:pStyle w:val="000"/>
                    <w:rPr>
                      <w:b/>
                      <w:bCs w:val="0"/>
                    </w:rPr>
                  </w:pPr>
                  <w:r>
                    <w:rPr>
                      <w:b/>
                      <w:bCs w:val="0"/>
                    </w:rPr>
                    <w:t>现有项目窑尾废气排放量</w:t>
                  </w:r>
                </w:p>
              </w:tc>
              <w:tc>
                <w:tcPr>
                  <w:tcW w:w="780" w:type="pct"/>
                  <w:tcBorders>
                    <w:top w:val="single" w:sz="12" w:space="0" w:color="auto"/>
                    <w:left w:val="single" w:sz="4" w:space="0" w:color="auto"/>
                    <w:bottom w:val="single" w:sz="4" w:space="0" w:color="auto"/>
                    <w:right w:val="nil"/>
                  </w:tcBorders>
                </w:tcPr>
                <w:p w14:paraId="60E28A12" w14:textId="77777777" w:rsidR="00F76A63" w:rsidRDefault="00000000">
                  <w:pPr>
                    <w:pStyle w:val="000"/>
                    <w:rPr>
                      <w:b/>
                      <w:bCs w:val="0"/>
                    </w:rPr>
                  </w:pPr>
                  <w:r>
                    <w:rPr>
                      <w:b/>
                      <w:bCs w:val="0"/>
                    </w:rPr>
                    <w:t>本项目废气增减量</w:t>
                  </w:r>
                </w:p>
              </w:tc>
            </w:tr>
            <w:tr w:rsidR="00F76A63" w14:paraId="2766FE59" w14:textId="77777777">
              <w:trPr>
                <w:trHeight w:val="143"/>
                <w:jc w:val="center"/>
              </w:trPr>
              <w:tc>
                <w:tcPr>
                  <w:tcW w:w="820" w:type="pct"/>
                  <w:vMerge w:val="restart"/>
                  <w:tcBorders>
                    <w:top w:val="single" w:sz="4" w:space="0" w:color="auto"/>
                    <w:left w:val="nil"/>
                    <w:bottom w:val="single" w:sz="4" w:space="0" w:color="auto"/>
                    <w:right w:val="single" w:sz="4" w:space="0" w:color="auto"/>
                  </w:tcBorders>
                  <w:vAlign w:val="center"/>
                </w:tcPr>
                <w:p w14:paraId="06D0AAD6" w14:textId="77777777" w:rsidR="00F76A63" w:rsidRDefault="00000000">
                  <w:pPr>
                    <w:pStyle w:val="000"/>
                  </w:pPr>
                  <w:r>
                    <w:t>有组织废气</w:t>
                  </w:r>
                </w:p>
              </w:tc>
              <w:tc>
                <w:tcPr>
                  <w:tcW w:w="1403" w:type="pct"/>
                  <w:tcBorders>
                    <w:top w:val="single" w:sz="4" w:space="0" w:color="auto"/>
                    <w:left w:val="single" w:sz="4" w:space="0" w:color="auto"/>
                    <w:bottom w:val="single" w:sz="4" w:space="0" w:color="auto"/>
                    <w:right w:val="single" w:sz="4" w:space="0" w:color="auto"/>
                  </w:tcBorders>
                  <w:vAlign w:val="center"/>
                </w:tcPr>
                <w:p w14:paraId="0E3684F9" w14:textId="77777777" w:rsidR="00F76A63" w:rsidRDefault="00000000">
                  <w:pPr>
                    <w:pStyle w:val="000"/>
                  </w:pPr>
                  <w:r>
                    <w:t>颗粒物</w:t>
                  </w:r>
                </w:p>
              </w:tc>
              <w:tc>
                <w:tcPr>
                  <w:tcW w:w="1002" w:type="pct"/>
                  <w:tcBorders>
                    <w:top w:val="single" w:sz="4" w:space="0" w:color="auto"/>
                    <w:left w:val="single" w:sz="4" w:space="0" w:color="auto"/>
                    <w:bottom w:val="single" w:sz="4" w:space="0" w:color="auto"/>
                    <w:right w:val="single" w:sz="4" w:space="0" w:color="auto"/>
                  </w:tcBorders>
                  <w:vAlign w:val="center"/>
                </w:tcPr>
                <w:p w14:paraId="5C9804E5" w14:textId="77777777" w:rsidR="00F76A63" w:rsidRDefault="00000000">
                  <w:pPr>
                    <w:pStyle w:val="000"/>
                  </w:pPr>
                  <w:r>
                    <w:t>81.62</w:t>
                  </w:r>
                </w:p>
              </w:tc>
              <w:tc>
                <w:tcPr>
                  <w:tcW w:w="993" w:type="pct"/>
                  <w:tcBorders>
                    <w:top w:val="single" w:sz="4" w:space="0" w:color="auto"/>
                    <w:left w:val="single" w:sz="4" w:space="0" w:color="auto"/>
                    <w:bottom w:val="single" w:sz="4" w:space="0" w:color="auto"/>
                    <w:right w:val="single" w:sz="4" w:space="0" w:color="auto"/>
                  </w:tcBorders>
                  <w:vAlign w:val="center"/>
                </w:tcPr>
                <w:p w14:paraId="4F00A71F" w14:textId="77777777" w:rsidR="00F76A63" w:rsidRDefault="00000000">
                  <w:pPr>
                    <w:pStyle w:val="000"/>
                  </w:pPr>
                  <w:r>
                    <w:t>81.62</w:t>
                  </w:r>
                </w:p>
              </w:tc>
              <w:tc>
                <w:tcPr>
                  <w:tcW w:w="780" w:type="pct"/>
                  <w:tcBorders>
                    <w:top w:val="single" w:sz="4" w:space="0" w:color="auto"/>
                    <w:left w:val="single" w:sz="4" w:space="0" w:color="auto"/>
                    <w:bottom w:val="single" w:sz="4" w:space="0" w:color="auto"/>
                    <w:right w:val="nil"/>
                  </w:tcBorders>
                  <w:vAlign w:val="center"/>
                </w:tcPr>
                <w:p w14:paraId="6718399C" w14:textId="77777777" w:rsidR="00F76A63" w:rsidRDefault="00000000">
                  <w:pPr>
                    <w:pStyle w:val="000"/>
                  </w:pPr>
                  <w:r>
                    <w:t>0</w:t>
                  </w:r>
                </w:p>
              </w:tc>
            </w:tr>
            <w:tr w:rsidR="00F76A63" w14:paraId="2C967A9F"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35386CA8"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50AD3814" w14:textId="77777777" w:rsidR="00F76A63" w:rsidRDefault="00000000">
                  <w:pPr>
                    <w:pStyle w:val="000"/>
                  </w:pPr>
                  <w:r>
                    <w:rPr>
                      <w:kern w:val="0"/>
                    </w:rPr>
                    <w:t>SO</w:t>
                  </w:r>
                  <w:r>
                    <w:rPr>
                      <w:kern w:val="0"/>
                      <w:vertAlign w:val="subscript"/>
                    </w:rPr>
                    <w:t>2</w:t>
                  </w:r>
                </w:p>
              </w:tc>
              <w:tc>
                <w:tcPr>
                  <w:tcW w:w="1002" w:type="pct"/>
                  <w:tcBorders>
                    <w:top w:val="single" w:sz="4" w:space="0" w:color="auto"/>
                    <w:left w:val="single" w:sz="4" w:space="0" w:color="auto"/>
                    <w:bottom w:val="single" w:sz="4" w:space="0" w:color="auto"/>
                    <w:right w:val="single" w:sz="4" w:space="0" w:color="auto"/>
                  </w:tcBorders>
                  <w:vAlign w:val="center"/>
                </w:tcPr>
                <w:p w14:paraId="204D494F" w14:textId="77777777" w:rsidR="00F76A63" w:rsidRDefault="00000000">
                  <w:pPr>
                    <w:widowControl/>
                    <w:jc w:val="center"/>
                    <w:rPr>
                      <w:kern w:val="0"/>
                      <w:szCs w:val="21"/>
                    </w:rPr>
                  </w:pPr>
                  <w:r>
                    <w:rPr>
                      <w:szCs w:val="21"/>
                    </w:rPr>
                    <w:t>308.312</w:t>
                  </w:r>
                </w:p>
              </w:tc>
              <w:tc>
                <w:tcPr>
                  <w:tcW w:w="993" w:type="pct"/>
                  <w:tcBorders>
                    <w:top w:val="single" w:sz="4" w:space="0" w:color="auto"/>
                    <w:left w:val="single" w:sz="4" w:space="0" w:color="auto"/>
                    <w:bottom w:val="single" w:sz="4" w:space="0" w:color="auto"/>
                    <w:right w:val="single" w:sz="4" w:space="0" w:color="auto"/>
                  </w:tcBorders>
                  <w:vAlign w:val="center"/>
                </w:tcPr>
                <w:p w14:paraId="500220B5" w14:textId="77777777" w:rsidR="00F76A63" w:rsidRDefault="00000000">
                  <w:pPr>
                    <w:pStyle w:val="000"/>
                  </w:pPr>
                  <w:r>
                    <w:t>305.504</w:t>
                  </w:r>
                </w:p>
              </w:tc>
              <w:tc>
                <w:tcPr>
                  <w:tcW w:w="780" w:type="pct"/>
                  <w:tcBorders>
                    <w:top w:val="single" w:sz="4" w:space="0" w:color="auto"/>
                    <w:left w:val="single" w:sz="4" w:space="0" w:color="auto"/>
                    <w:bottom w:val="single" w:sz="4" w:space="0" w:color="auto"/>
                    <w:right w:val="nil"/>
                  </w:tcBorders>
                  <w:vAlign w:val="center"/>
                </w:tcPr>
                <w:p w14:paraId="7CADA4C1" w14:textId="77777777" w:rsidR="00F76A63" w:rsidRDefault="00000000">
                  <w:pPr>
                    <w:pStyle w:val="000"/>
                  </w:pPr>
                  <w:r>
                    <w:t>+2.808</w:t>
                  </w:r>
                </w:p>
              </w:tc>
            </w:tr>
            <w:tr w:rsidR="00F76A63" w14:paraId="43199766"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23EAFF01"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094589A8" w14:textId="77777777" w:rsidR="00F76A63" w:rsidRDefault="00000000">
                  <w:pPr>
                    <w:pStyle w:val="000"/>
                  </w:pPr>
                  <w:r>
                    <w:rPr>
                      <w:kern w:val="0"/>
                    </w:rPr>
                    <w:t>NOx</w:t>
                  </w:r>
                </w:p>
              </w:tc>
              <w:tc>
                <w:tcPr>
                  <w:tcW w:w="1002" w:type="pct"/>
                  <w:tcBorders>
                    <w:top w:val="single" w:sz="4" w:space="0" w:color="auto"/>
                    <w:left w:val="single" w:sz="4" w:space="0" w:color="auto"/>
                    <w:bottom w:val="single" w:sz="4" w:space="0" w:color="auto"/>
                    <w:right w:val="single" w:sz="4" w:space="0" w:color="auto"/>
                  </w:tcBorders>
                  <w:vAlign w:val="center"/>
                </w:tcPr>
                <w:p w14:paraId="4BBE9FAA" w14:textId="77777777" w:rsidR="00F76A63" w:rsidRDefault="00000000">
                  <w:pPr>
                    <w:pStyle w:val="000"/>
                  </w:pPr>
                  <w:r>
                    <w:t>459.95</w:t>
                  </w:r>
                </w:p>
              </w:tc>
              <w:tc>
                <w:tcPr>
                  <w:tcW w:w="993" w:type="pct"/>
                  <w:tcBorders>
                    <w:top w:val="single" w:sz="4" w:space="0" w:color="auto"/>
                    <w:left w:val="single" w:sz="4" w:space="0" w:color="auto"/>
                    <w:bottom w:val="single" w:sz="4" w:space="0" w:color="auto"/>
                    <w:right w:val="single" w:sz="4" w:space="0" w:color="auto"/>
                  </w:tcBorders>
                  <w:vAlign w:val="center"/>
                </w:tcPr>
                <w:p w14:paraId="6B0007FC" w14:textId="77777777" w:rsidR="00F76A63" w:rsidRDefault="00000000">
                  <w:pPr>
                    <w:pStyle w:val="000"/>
                  </w:pPr>
                  <w:r>
                    <w:t>459.95</w:t>
                  </w:r>
                </w:p>
              </w:tc>
              <w:tc>
                <w:tcPr>
                  <w:tcW w:w="780" w:type="pct"/>
                  <w:tcBorders>
                    <w:top w:val="single" w:sz="4" w:space="0" w:color="auto"/>
                    <w:left w:val="single" w:sz="4" w:space="0" w:color="auto"/>
                    <w:bottom w:val="single" w:sz="4" w:space="0" w:color="auto"/>
                    <w:right w:val="nil"/>
                  </w:tcBorders>
                  <w:vAlign w:val="center"/>
                </w:tcPr>
                <w:p w14:paraId="7B3F3678" w14:textId="77777777" w:rsidR="00F76A63" w:rsidRDefault="00000000">
                  <w:pPr>
                    <w:pStyle w:val="000"/>
                  </w:pPr>
                  <w:r>
                    <w:t>0</w:t>
                  </w:r>
                </w:p>
              </w:tc>
            </w:tr>
            <w:tr w:rsidR="00F76A63" w14:paraId="63130B21"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47D1FCFF"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5DE38D6A" w14:textId="77777777" w:rsidR="00F76A63" w:rsidRDefault="00000000">
                  <w:pPr>
                    <w:pStyle w:val="000"/>
                  </w:pPr>
                  <w:r>
                    <w:rPr>
                      <w:kern w:val="0"/>
                    </w:rPr>
                    <w:t>HCl</w:t>
                  </w:r>
                </w:p>
              </w:tc>
              <w:tc>
                <w:tcPr>
                  <w:tcW w:w="1002" w:type="pct"/>
                  <w:tcBorders>
                    <w:top w:val="single" w:sz="4" w:space="0" w:color="auto"/>
                    <w:left w:val="single" w:sz="4" w:space="0" w:color="auto"/>
                    <w:bottom w:val="single" w:sz="4" w:space="0" w:color="auto"/>
                    <w:right w:val="single" w:sz="4" w:space="0" w:color="auto"/>
                  </w:tcBorders>
                  <w:vAlign w:val="center"/>
                </w:tcPr>
                <w:p w14:paraId="7DB4FFFC" w14:textId="77777777" w:rsidR="00F76A63" w:rsidRDefault="00000000">
                  <w:pPr>
                    <w:pStyle w:val="000"/>
                  </w:pPr>
                  <w:r>
                    <w:t>23.501</w:t>
                  </w:r>
                </w:p>
              </w:tc>
              <w:tc>
                <w:tcPr>
                  <w:tcW w:w="993" w:type="pct"/>
                  <w:tcBorders>
                    <w:top w:val="single" w:sz="4" w:space="0" w:color="auto"/>
                    <w:left w:val="single" w:sz="4" w:space="0" w:color="auto"/>
                    <w:bottom w:val="single" w:sz="4" w:space="0" w:color="auto"/>
                    <w:right w:val="single" w:sz="4" w:space="0" w:color="auto"/>
                  </w:tcBorders>
                  <w:vAlign w:val="center"/>
                </w:tcPr>
                <w:p w14:paraId="23CD56A4" w14:textId="77777777" w:rsidR="00F76A63" w:rsidRDefault="00000000">
                  <w:pPr>
                    <w:pStyle w:val="000"/>
                  </w:pPr>
                  <w:r>
                    <w:t>23.3</w:t>
                  </w:r>
                  <w:r>
                    <w:rPr>
                      <w:rFonts w:hint="eastAsia"/>
                    </w:rPr>
                    <w:t>63</w:t>
                  </w:r>
                </w:p>
              </w:tc>
              <w:tc>
                <w:tcPr>
                  <w:tcW w:w="780" w:type="pct"/>
                  <w:tcBorders>
                    <w:top w:val="single" w:sz="4" w:space="0" w:color="auto"/>
                    <w:left w:val="single" w:sz="4" w:space="0" w:color="auto"/>
                    <w:bottom w:val="single" w:sz="4" w:space="0" w:color="auto"/>
                    <w:right w:val="nil"/>
                  </w:tcBorders>
                  <w:vAlign w:val="center"/>
                </w:tcPr>
                <w:p w14:paraId="1781A13B" w14:textId="77777777" w:rsidR="00F76A63" w:rsidRDefault="00000000">
                  <w:pPr>
                    <w:pStyle w:val="000"/>
                  </w:pPr>
                  <w:r>
                    <w:t>+0.138</w:t>
                  </w:r>
                </w:p>
              </w:tc>
            </w:tr>
            <w:tr w:rsidR="00F76A63" w14:paraId="43A564A4"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6C9EE1C1"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2647911E" w14:textId="77777777" w:rsidR="00F76A63" w:rsidRDefault="00000000">
                  <w:pPr>
                    <w:pStyle w:val="000"/>
                  </w:pPr>
                  <w:r>
                    <w:rPr>
                      <w:kern w:val="0"/>
                    </w:rPr>
                    <w:t>HF</w:t>
                  </w:r>
                </w:p>
              </w:tc>
              <w:tc>
                <w:tcPr>
                  <w:tcW w:w="1002" w:type="pct"/>
                  <w:tcBorders>
                    <w:top w:val="single" w:sz="4" w:space="0" w:color="auto"/>
                    <w:left w:val="single" w:sz="4" w:space="0" w:color="auto"/>
                    <w:bottom w:val="single" w:sz="4" w:space="0" w:color="auto"/>
                    <w:right w:val="single" w:sz="4" w:space="0" w:color="auto"/>
                  </w:tcBorders>
                  <w:vAlign w:val="center"/>
                </w:tcPr>
                <w:p w14:paraId="2296E3DF" w14:textId="77777777" w:rsidR="00F76A63" w:rsidRDefault="00000000">
                  <w:pPr>
                    <w:pStyle w:val="000"/>
                  </w:pPr>
                  <w:r>
                    <w:t>1.249</w:t>
                  </w:r>
                </w:p>
              </w:tc>
              <w:tc>
                <w:tcPr>
                  <w:tcW w:w="993" w:type="pct"/>
                  <w:tcBorders>
                    <w:top w:val="single" w:sz="4" w:space="0" w:color="auto"/>
                    <w:left w:val="single" w:sz="4" w:space="0" w:color="auto"/>
                    <w:bottom w:val="single" w:sz="4" w:space="0" w:color="auto"/>
                    <w:right w:val="single" w:sz="4" w:space="0" w:color="auto"/>
                  </w:tcBorders>
                  <w:vAlign w:val="center"/>
                </w:tcPr>
                <w:p w14:paraId="11B0AFCA" w14:textId="77777777" w:rsidR="00F76A63" w:rsidRDefault="00000000">
                  <w:pPr>
                    <w:pStyle w:val="000"/>
                  </w:pPr>
                  <w:r>
                    <w:t>1.249</w:t>
                  </w:r>
                </w:p>
              </w:tc>
              <w:tc>
                <w:tcPr>
                  <w:tcW w:w="780" w:type="pct"/>
                  <w:tcBorders>
                    <w:top w:val="single" w:sz="4" w:space="0" w:color="auto"/>
                    <w:left w:val="single" w:sz="4" w:space="0" w:color="auto"/>
                    <w:bottom w:val="single" w:sz="4" w:space="0" w:color="auto"/>
                    <w:right w:val="nil"/>
                  </w:tcBorders>
                  <w:vAlign w:val="center"/>
                </w:tcPr>
                <w:p w14:paraId="4254A0B0" w14:textId="77777777" w:rsidR="00F76A63" w:rsidRDefault="00000000">
                  <w:pPr>
                    <w:pStyle w:val="000"/>
                  </w:pPr>
                  <w:r>
                    <w:t>0</w:t>
                  </w:r>
                </w:p>
              </w:tc>
            </w:tr>
            <w:tr w:rsidR="00F76A63" w14:paraId="0F0E5314"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3B12C637"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5A4AEF44" w14:textId="77777777" w:rsidR="00F76A63" w:rsidRDefault="00000000">
                  <w:pPr>
                    <w:pStyle w:val="000"/>
                  </w:pPr>
                  <w:r>
                    <w:rPr>
                      <w:kern w:val="0"/>
                    </w:rPr>
                    <w:t>NH</w:t>
                  </w:r>
                  <w:r>
                    <w:rPr>
                      <w:kern w:val="0"/>
                      <w:vertAlign w:val="subscript"/>
                    </w:rPr>
                    <w:t>3</w:t>
                  </w:r>
                </w:p>
              </w:tc>
              <w:tc>
                <w:tcPr>
                  <w:tcW w:w="1002" w:type="pct"/>
                  <w:tcBorders>
                    <w:top w:val="single" w:sz="4" w:space="0" w:color="auto"/>
                    <w:left w:val="single" w:sz="4" w:space="0" w:color="auto"/>
                    <w:bottom w:val="single" w:sz="4" w:space="0" w:color="auto"/>
                    <w:right w:val="single" w:sz="4" w:space="0" w:color="auto"/>
                  </w:tcBorders>
                  <w:vAlign w:val="center"/>
                </w:tcPr>
                <w:p w14:paraId="07C9E1E4" w14:textId="77777777" w:rsidR="00F76A63" w:rsidRDefault="00000000">
                  <w:pPr>
                    <w:pStyle w:val="000"/>
                  </w:pPr>
                  <w:r>
                    <w:t>50.72</w:t>
                  </w:r>
                </w:p>
              </w:tc>
              <w:tc>
                <w:tcPr>
                  <w:tcW w:w="993" w:type="pct"/>
                  <w:tcBorders>
                    <w:top w:val="single" w:sz="4" w:space="0" w:color="auto"/>
                    <w:left w:val="single" w:sz="4" w:space="0" w:color="auto"/>
                    <w:bottom w:val="single" w:sz="4" w:space="0" w:color="auto"/>
                    <w:right w:val="single" w:sz="4" w:space="0" w:color="auto"/>
                  </w:tcBorders>
                  <w:vAlign w:val="center"/>
                </w:tcPr>
                <w:p w14:paraId="66EBA7AA" w14:textId="77777777" w:rsidR="00F76A63" w:rsidRDefault="00000000">
                  <w:pPr>
                    <w:pStyle w:val="000"/>
                  </w:pPr>
                  <w:r>
                    <w:t>50.72</w:t>
                  </w:r>
                </w:p>
              </w:tc>
              <w:tc>
                <w:tcPr>
                  <w:tcW w:w="780" w:type="pct"/>
                  <w:tcBorders>
                    <w:top w:val="single" w:sz="4" w:space="0" w:color="auto"/>
                    <w:left w:val="single" w:sz="4" w:space="0" w:color="auto"/>
                    <w:bottom w:val="single" w:sz="4" w:space="0" w:color="auto"/>
                    <w:right w:val="nil"/>
                  </w:tcBorders>
                  <w:vAlign w:val="center"/>
                </w:tcPr>
                <w:p w14:paraId="798C1BAA" w14:textId="77777777" w:rsidR="00F76A63" w:rsidRDefault="00000000">
                  <w:pPr>
                    <w:pStyle w:val="000"/>
                  </w:pPr>
                  <w:r>
                    <w:t>0</w:t>
                  </w:r>
                </w:p>
              </w:tc>
            </w:tr>
            <w:tr w:rsidR="00F76A63" w14:paraId="280BE2EF"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3395E5BB"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189B0B02" w14:textId="77777777" w:rsidR="00F76A63" w:rsidRDefault="00000000">
                  <w:pPr>
                    <w:pStyle w:val="000"/>
                  </w:pPr>
                  <w:r>
                    <w:rPr>
                      <w:kern w:val="0"/>
                    </w:rPr>
                    <w:t>汞及其化合物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0F01F790" w14:textId="77777777" w:rsidR="00F76A63" w:rsidRDefault="00000000">
                  <w:pPr>
                    <w:pStyle w:val="000"/>
                  </w:pPr>
                  <w:r>
                    <w:t>0.0002</w:t>
                  </w:r>
                </w:p>
              </w:tc>
              <w:tc>
                <w:tcPr>
                  <w:tcW w:w="993" w:type="pct"/>
                  <w:tcBorders>
                    <w:top w:val="single" w:sz="4" w:space="0" w:color="auto"/>
                    <w:left w:val="single" w:sz="4" w:space="0" w:color="auto"/>
                    <w:bottom w:val="single" w:sz="4" w:space="0" w:color="auto"/>
                    <w:right w:val="single" w:sz="4" w:space="0" w:color="auto"/>
                  </w:tcBorders>
                  <w:vAlign w:val="center"/>
                </w:tcPr>
                <w:p w14:paraId="59830CC1" w14:textId="77777777" w:rsidR="00F76A63" w:rsidRDefault="00000000">
                  <w:pPr>
                    <w:pStyle w:val="000"/>
                  </w:pPr>
                  <w:r>
                    <w:t>0.0002</w:t>
                  </w:r>
                </w:p>
              </w:tc>
              <w:tc>
                <w:tcPr>
                  <w:tcW w:w="780" w:type="pct"/>
                  <w:tcBorders>
                    <w:top w:val="single" w:sz="4" w:space="0" w:color="auto"/>
                    <w:left w:val="single" w:sz="4" w:space="0" w:color="auto"/>
                    <w:bottom w:val="single" w:sz="4" w:space="0" w:color="auto"/>
                    <w:right w:val="nil"/>
                  </w:tcBorders>
                  <w:vAlign w:val="center"/>
                </w:tcPr>
                <w:p w14:paraId="138D1FDB" w14:textId="77777777" w:rsidR="00F76A63" w:rsidRDefault="00000000">
                  <w:pPr>
                    <w:pStyle w:val="000"/>
                  </w:pPr>
                  <w:r>
                    <w:t>0</w:t>
                  </w:r>
                </w:p>
              </w:tc>
            </w:tr>
            <w:tr w:rsidR="00F76A63" w14:paraId="5A475893"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6B0DC483"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0A38BFB1" w14:textId="77777777" w:rsidR="00F76A63" w:rsidRDefault="00000000">
                  <w:pPr>
                    <w:pStyle w:val="000"/>
                  </w:pPr>
                  <w:r>
                    <w:rPr>
                      <w:kern w:val="0"/>
                    </w:rPr>
                    <w:t>铊及其化合物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3E1EA492" w14:textId="77777777" w:rsidR="00F76A63" w:rsidRDefault="00000000">
                  <w:pPr>
                    <w:pStyle w:val="000"/>
                  </w:pPr>
                  <w:r>
                    <w:t>0.0021</w:t>
                  </w:r>
                </w:p>
              </w:tc>
              <w:tc>
                <w:tcPr>
                  <w:tcW w:w="993" w:type="pct"/>
                  <w:tcBorders>
                    <w:top w:val="single" w:sz="4" w:space="0" w:color="auto"/>
                    <w:left w:val="single" w:sz="4" w:space="0" w:color="auto"/>
                    <w:bottom w:val="single" w:sz="4" w:space="0" w:color="auto"/>
                    <w:right w:val="single" w:sz="4" w:space="0" w:color="auto"/>
                  </w:tcBorders>
                  <w:vAlign w:val="center"/>
                </w:tcPr>
                <w:p w14:paraId="389C4284" w14:textId="77777777" w:rsidR="00F76A63" w:rsidRDefault="00000000">
                  <w:pPr>
                    <w:pStyle w:val="000"/>
                  </w:pPr>
                  <w:r>
                    <w:t>0.0019</w:t>
                  </w:r>
                </w:p>
              </w:tc>
              <w:tc>
                <w:tcPr>
                  <w:tcW w:w="780" w:type="pct"/>
                  <w:tcBorders>
                    <w:top w:val="single" w:sz="4" w:space="0" w:color="auto"/>
                    <w:left w:val="single" w:sz="4" w:space="0" w:color="auto"/>
                    <w:bottom w:val="single" w:sz="4" w:space="0" w:color="auto"/>
                    <w:right w:val="nil"/>
                  </w:tcBorders>
                  <w:vAlign w:val="center"/>
                </w:tcPr>
                <w:p w14:paraId="5DB094BF" w14:textId="77777777" w:rsidR="00F76A63" w:rsidRDefault="00000000">
                  <w:pPr>
                    <w:pStyle w:val="000"/>
                  </w:pPr>
                  <w:r>
                    <w:t>+0.0002</w:t>
                  </w:r>
                </w:p>
              </w:tc>
            </w:tr>
            <w:tr w:rsidR="00F76A63" w14:paraId="68D7BBB1"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7E1DDC89"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5AA26B81" w14:textId="77777777" w:rsidR="00F76A63" w:rsidRDefault="00000000">
                  <w:pPr>
                    <w:pStyle w:val="000"/>
                  </w:pPr>
                  <w:r>
                    <w:rPr>
                      <w:kern w:val="0"/>
                    </w:rPr>
                    <w:t>镉及其化合物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240317E5" w14:textId="77777777" w:rsidR="00F76A63" w:rsidRDefault="00000000">
                  <w:pPr>
                    <w:pStyle w:val="000"/>
                  </w:pPr>
                  <w:r>
                    <w:t>0.0092</w:t>
                  </w:r>
                </w:p>
              </w:tc>
              <w:tc>
                <w:tcPr>
                  <w:tcW w:w="993" w:type="pct"/>
                  <w:tcBorders>
                    <w:top w:val="single" w:sz="4" w:space="0" w:color="auto"/>
                    <w:left w:val="single" w:sz="4" w:space="0" w:color="auto"/>
                    <w:bottom w:val="single" w:sz="4" w:space="0" w:color="auto"/>
                    <w:right w:val="single" w:sz="4" w:space="0" w:color="auto"/>
                  </w:tcBorders>
                  <w:vAlign w:val="center"/>
                </w:tcPr>
                <w:p w14:paraId="25B8727A" w14:textId="77777777" w:rsidR="00F76A63" w:rsidRDefault="00000000">
                  <w:pPr>
                    <w:pStyle w:val="000"/>
                  </w:pPr>
                  <w:r>
                    <w:t>0.0079</w:t>
                  </w:r>
                </w:p>
              </w:tc>
              <w:tc>
                <w:tcPr>
                  <w:tcW w:w="780" w:type="pct"/>
                  <w:tcBorders>
                    <w:top w:val="single" w:sz="4" w:space="0" w:color="auto"/>
                    <w:left w:val="single" w:sz="4" w:space="0" w:color="auto"/>
                    <w:bottom w:val="single" w:sz="4" w:space="0" w:color="auto"/>
                    <w:right w:val="nil"/>
                  </w:tcBorders>
                  <w:vAlign w:val="center"/>
                </w:tcPr>
                <w:p w14:paraId="300C7455" w14:textId="77777777" w:rsidR="00F76A63" w:rsidRDefault="00000000">
                  <w:pPr>
                    <w:pStyle w:val="000"/>
                  </w:pPr>
                  <w:r>
                    <w:t>+0.0013</w:t>
                  </w:r>
                </w:p>
              </w:tc>
            </w:tr>
            <w:tr w:rsidR="00F76A63" w14:paraId="0085F01E"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374854D6"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6CEB5FEB" w14:textId="77777777" w:rsidR="00F76A63" w:rsidRDefault="00000000">
                  <w:pPr>
                    <w:pStyle w:val="000"/>
                  </w:pPr>
                  <w:r>
                    <w:rPr>
                      <w:kern w:val="0"/>
                    </w:rPr>
                    <w:t>铅及其化合物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1CCBB3D5" w14:textId="77777777" w:rsidR="00F76A63" w:rsidRDefault="00000000">
                  <w:pPr>
                    <w:pStyle w:val="000"/>
                  </w:pPr>
                  <w:r>
                    <w:t>0.1769</w:t>
                  </w:r>
                </w:p>
              </w:tc>
              <w:tc>
                <w:tcPr>
                  <w:tcW w:w="993" w:type="pct"/>
                  <w:tcBorders>
                    <w:top w:val="single" w:sz="4" w:space="0" w:color="auto"/>
                    <w:left w:val="single" w:sz="4" w:space="0" w:color="auto"/>
                    <w:bottom w:val="single" w:sz="4" w:space="0" w:color="auto"/>
                    <w:right w:val="single" w:sz="4" w:space="0" w:color="auto"/>
                  </w:tcBorders>
                  <w:vAlign w:val="center"/>
                </w:tcPr>
                <w:p w14:paraId="4DBEB6CA" w14:textId="77777777" w:rsidR="00F76A63" w:rsidRDefault="00000000">
                  <w:pPr>
                    <w:pStyle w:val="000"/>
                  </w:pPr>
                  <w:r>
                    <w:t>0.1318</w:t>
                  </w:r>
                </w:p>
              </w:tc>
              <w:tc>
                <w:tcPr>
                  <w:tcW w:w="780" w:type="pct"/>
                  <w:tcBorders>
                    <w:top w:val="single" w:sz="4" w:space="0" w:color="auto"/>
                    <w:left w:val="single" w:sz="4" w:space="0" w:color="auto"/>
                    <w:bottom w:val="single" w:sz="4" w:space="0" w:color="auto"/>
                    <w:right w:val="nil"/>
                  </w:tcBorders>
                  <w:vAlign w:val="center"/>
                </w:tcPr>
                <w:p w14:paraId="28773701" w14:textId="77777777" w:rsidR="00F76A63" w:rsidRDefault="00000000">
                  <w:pPr>
                    <w:pStyle w:val="000"/>
                  </w:pPr>
                  <w:r>
                    <w:t>+0.0451</w:t>
                  </w:r>
                </w:p>
              </w:tc>
            </w:tr>
            <w:tr w:rsidR="00F76A63" w14:paraId="62269BA5"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2D595EB4"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5892F4E2" w14:textId="77777777" w:rsidR="00F76A63" w:rsidRDefault="00000000">
                  <w:pPr>
                    <w:pStyle w:val="000"/>
                  </w:pPr>
                  <w:r>
                    <w:rPr>
                      <w:kern w:val="0"/>
                    </w:rPr>
                    <w:t>砷及其化合物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18C9711C" w14:textId="77777777" w:rsidR="00F76A63" w:rsidRDefault="00000000">
                  <w:pPr>
                    <w:pStyle w:val="000"/>
                  </w:pPr>
                  <w:r>
                    <w:t>0.2602</w:t>
                  </w:r>
                </w:p>
              </w:tc>
              <w:tc>
                <w:tcPr>
                  <w:tcW w:w="993" w:type="pct"/>
                  <w:tcBorders>
                    <w:top w:val="single" w:sz="4" w:space="0" w:color="auto"/>
                    <w:left w:val="single" w:sz="4" w:space="0" w:color="auto"/>
                    <w:bottom w:val="single" w:sz="4" w:space="0" w:color="auto"/>
                    <w:right w:val="single" w:sz="4" w:space="0" w:color="auto"/>
                  </w:tcBorders>
                  <w:vAlign w:val="center"/>
                </w:tcPr>
                <w:p w14:paraId="030509A8" w14:textId="77777777" w:rsidR="00F76A63" w:rsidRDefault="00000000">
                  <w:pPr>
                    <w:pStyle w:val="000"/>
                  </w:pPr>
                  <w:r>
                    <w:t>0.1841</w:t>
                  </w:r>
                </w:p>
              </w:tc>
              <w:tc>
                <w:tcPr>
                  <w:tcW w:w="780" w:type="pct"/>
                  <w:tcBorders>
                    <w:top w:val="single" w:sz="4" w:space="0" w:color="auto"/>
                    <w:left w:val="single" w:sz="4" w:space="0" w:color="auto"/>
                    <w:bottom w:val="single" w:sz="4" w:space="0" w:color="auto"/>
                    <w:right w:val="nil"/>
                  </w:tcBorders>
                  <w:vAlign w:val="center"/>
                </w:tcPr>
                <w:p w14:paraId="73501445" w14:textId="77777777" w:rsidR="00F76A63" w:rsidRDefault="00000000">
                  <w:pPr>
                    <w:pStyle w:val="000"/>
                  </w:pPr>
                  <w:r>
                    <w:t>+0.0761</w:t>
                  </w:r>
                </w:p>
              </w:tc>
            </w:tr>
            <w:tr w:rsidR="00F76A63" w14:paraId="4FA22258"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7E2DEE2B"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4316D0AC" w14:textId="77777777" w:rsidR="00F76A63" w:rsidRDefault="00000000">
                  <w:pPr>
                    <w:pStyle w:val="000"/>
                  </w:pPr>
                  <w:r>
                    <w:rPr>
                      <w:kern w:val="0"/>
                    </w:rPr>
                    <w:t>铍及其化合物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5D50236F" w14:textId="77777777" w:rsidR="00F76A63" w:rsidRDefault="00000000">
                  <w:pPr>
                    <w:pStyle w:val="000"/>
                  </w:pPr>
                  <w:r>
                    <w:t>0.0003</w:t>
                  </w:r>
                </w:p>
              </w:tc>
              <w:tc>
                <w:tcPr>
                  <w:tcW w:w="993" w:type="pct"/>
                  <w:tcBorders>
                    <w:top w:val="single" w:sz="4" w:space="0" w:color="auto"/>
                    <w:left w:val="single" w:sz="4" w:space="0" w:color="auto"/>
                    <w:bottom w:val="single" w:sz="4" w:space="0" w:color="auto"/>
                    <w:right w:val="single" w:sz="4" w:space="0" w:color="auto"/>
                  </w:tcBorders>
                  <w:vAlign w:val="center"/>
                </w:tcPr>
                <w:p w14:paraId="666C4811" w14:textId="77777777" w:rsidR="00F76A63" w:rsidRDefault="00000000">
                  <w:pPr>
                    <w:pStyle w:val="000"/>
                  </w:pPr>
                  <w:r>
                    <w:t>0.0003</w:t>
                  </w:r>
                </w:p>
              </w:tc>
              <w:tc>
                <w:tcPr>
                  <w:tcW w:w="780" w:type="pct"/>
                  <w:tcBorders>
                    <w:top w:val="single" w:sz="4" w:space="0" w:color="auto"/>
                    <w:left w:val="single" w:sz="4" w:space="0" w:color="auto"/>
                    <w:bottom w:val="single" w:sz="4" w:space="0" w:color="auto"/>
                    <w:right w:val="nil"/>
                  </w:tcBorders>
                  <w:vAlign w:val="center"/>
                </w:tcPr>
                <w:p w14:paraId="63159FD9" w14:textId="77777777" w:rsidR="00F76A63" w:rsidRDefault="00000000">
                  <w:pPr>
                    <w:pStyle w:val="000"/>
                  </w:pPr>
                  <w:r>
                    <w:t>0</w:t>
                  </w:r>
                </w:p>
              </w:tc>
            </w:tr>
            <w:tr w:rsidR="00F76A63" w14:paraId="7E641D31"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1A0C73FF"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6ACAB1EF" w14:textId="77777777" w:rsidR="00F76A63" w:rsidRDefault="00000000">
                  <w:pPr>
                    <w:pStyle w:val="000"/>
                  </w:pPr>
                  <w:r>
                    <w:rPr>
                      <w:kern w:val="0"/>
                    </w:rPr>
                    <w:t>铬及其化合物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7D1915C8" w14:textId="77777777" w:rsidR="00F76A63" w:rsidRDefault="00000000">
                  <w:pPr>
                    <w:pStyle w:val="000"/>
                  </w:pPr>
                  <w:r>
                    <w:t>0.0119</w:t>
                  </w:r>
                </w:p>
              </w:tc>
              <w:tc>
                <w:tcPr>
                  <w:tcW w:w="993" w:type="pct"/>
                  <w:tcBorders>
                    <w:top w:val="single" w:sz="4" w:space="0" w:color="auto"/>
                    <w:left w:val="single" w:sz="4" w:space="0" w:color="auto"/>
                    <w:bottom w:val="single" w:sz="4" w:space="0" w:color="auto"/>
                    <w:right w:val="single" w:sz="4" w:space="0" w:color="auto"/>
                  </w:tcBorders>
                  <w:vAlign w:val="center"/>
                </w:tcPr>
                <w:p w14:paraId="46659284" w14:textId="77777777" w:rsidR="00F76A63" w:rsidRDefault="00000000">
                  <w:pPr>
                    <w:pStyle w:val="000"/>
                  </w:pPr>
                  <w:r>
                    <w:t>0.0107</w:t>
                  </w:r>
                </w:p>
              </w:tc>
              <w:tc>
                <w:tcPr>
                  <w:tcW w:w="780" w:type="pct"/>
                  <w:tcBorders>
                    <w:top w:val="single" w:sz="4" w:space="0" w:color="auto"/>
                    <w:left w:val="single" w:sz="4" w:space="0" w:color="auto"/>
                    <w:bottom w:val="single" w:sz="4" w:space="0" w:color="auto"/>
                    <w:right w:val="nil"/>
                  </w:tcBorders>
                  <w:vAlign w:val="center"/>
                </w:tcPr>
                <w:p w14:paraId="41B2AB58" w14:textId="77777777" w:rsidR="00F76A63" w:rsidRDefault="00000000">
                  <w:pPr>
                    <w:pStyle w:val="000"/>
                  </w:pPr>
                  <w:r>
                    <w:t>+0.0012</w:t>
                  </w:r>
                </w:p>
              </w:tc>
            </w:tr>
            <w:tr w:rsidR="00F76A63" w14:paraId="0D5EB3E4"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61C0D2EA"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3D684D6C" w14:textId="77777777" w:rsidR="00F76A63" w:rsidRDefault="00000000">
                  <w:pPr>
                    <w:pStyle w:val="000"/>
                  </w:pPr>
                  <w:r>
                    <w:rPr>
                      <w:kern w:val="0"/>
                    </w:rPr>
                    <w:t>锡及其化合物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656F1015" w14:textId="77777777" w:rsidR="00F76A63" w:rsidRDefault="00000000">
                  <w:pPr>
                    <w:pStyle w:val="000"/>
                  </w:pPr>
                  <w:r>
                    <w:t>0.0197</w:t>
                  </w:r>
                </w:p>
              </w:tc>
              <w:tc>
                <w:tcPr>
                  <w:tcW w:w="993" w:type="pct"/>
                  <w:tcBorders>
                    <w:top w:val="single" w:sz="4" w:space="0" w:color="auto"/>
                    <w:left w:val="single" w:sz="4" w:space="0" w:color="auto"/>
                    <w:bottom w:val="single" w:sz="4" w:space="0" w:color="auto"/>
                    <w:right w:val="single" w:sz="4" w:space="0" w:color="auto"/>
                  </w:tcBorders>
                  <w:vAlign w:val="center"/>
                </w:tcPr>
                <w:p w14:paraId="70C8EC63" w14:textId="77777777" w:rsidR="00F76A63" w:rsidRDefault="00000000">
                  <w:pPr>
                    <w:pStyle w:val="000"/>
                  </w:pPr>
                  <w:r>
                    <w:t>0.0194</w:t>
                  </w:r>
                </w:p>
              </w:tc>
              <w:tc>
                <w:tcPr>
                  <w:tcW w:w="780" w:type="pct"/>
                  <w:tcBorders>
                    <w:top w:val="single" w:sz="4" w:space="0" w:color="auto"/>
                    <w:left w:val="single" w:sz="4" w:space="0" w:color="auto"/>
                    <w:bottom w:val="single" w:sz="4" w:space="0" w:color="auto"/>
                    <w:right w:val="nil"/>
                  </w:tcBorders>
                  <w:vAlign w:val="center"/>
                </w:tcPr>
                <w:p w14:paraId="67218E58" w14:textId="77777777" w:rsidR="00F76A63" w:rsidRDefault="00000000">
                  <w:pPr>
                    <w:pStyle w:val="000"/>
                  </w:pPr>
                  <w:r>
                    <w:t>+0.0003</w:t>
                  </w:r>
                </w:p>
              </w:tc>
            </w:tr>
            <w:tr w:rsidR="00F76A63" w14:paraId="302CFCDB"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0527F737"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6943B419" w14:textId="77777777" w:rsidR="00F76A63" w:rsidRDefault="00000000">
                  <w:pPr>
                    <w:pStyle w:val="000"/>
                  </w:pPr>
                  <w:r>
                    <w:rPr>
                      <w:kern w:val="0"/>
                    </w:rPr>
                    <w:t>锑及其化合物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656108FC" w14:textId="77777777" w:rsidR="00F76A63" w:rsidRDefault="00000000">
                  <w:pPr>
                    <w:pStyle w:val="000"/>
                  </w:pPr>
                  <w:r>
                    <w:t>0.2359</w:t>
                  </w:r>
                </w:p>
              </w:tc>
              <w:tc>
                <w:tcPr>
                  <w:tcW w:w="993" w:type="pct"/>
                  <w:tcBorders>
                    <w:top w:val="single" w:sz="4" w:space="0" w:color="auto"/>
                    <w:left w:val="single" w:sz="4" w:space="0" w:color="auto"/>
                    <w:bottom w:val="single" w:sz="4" w:space="0" w:color="auto"/>
                    <w:right w:val="single" w:sz="4" w:space="0" w:color="auto"/>
                  </w:tcBorders>
                  <w:vAlign w:val="center"/>
                </w:tcPr>
                <w:p w14:paraId="56A28695" w14:textId="77777777" w:rsidR="00F76A63" w:rsidRDefault="00000000">
                  <w:pPr>
                    <w:pStyle w:val="000"/>
                  </w:pPr>
                  <w:r>
                    <w:t>0.4121</w:t>
                  </w:r>
                </w:p>
              </w:tc>
              <w:tc>
                <w:tcPr>
                  <w:tcW w:w="780" w:type="pct"/>
                  <w:tcBorders>
                    <w:top w:val="single" w:sz="4" w:space="0" w:color="auto"/>
                    <w:left w:val="single" w:sz="4" w:space="0" w:color="auto"/>
                    <w:bottom w:val="single" w:sz="4" w:space="0" w:color="auto"/>
                    <w:right w:val="nil"/>
                  </w:tcBorders>
                  <w:vAlign w:val="center"/>
                </w:tcPr>
                <w:p w14:paraId="3411F692" w14:textId="77777777" w:rsidR="00F76A63" w:rsidRDefault="00000000">
                  <w:pPr>
                    <w:pStyle w:val="000"/>
                  </w:pPr>
                  <w:r>
                    <w:t>-0.1762</w:t>
                  </w:r>
                </w:p>
              </w:tc>
            </w:tr>
            <w:tr w:rsidR="00F76A63" w14:paraId="6D058C73"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48ED31C7"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4E9B7F6D" w14:textId="77777777" w:rsidR="00F76A63" w:rsidRDefault="00000000">
                  <w:pPr>
                    <w:pStyle w:val="000"/>
                  </w:pPr>
                  <w:r>
                    <w:rPr>
                      <w:kern w:val="0"/>
                    </w:rPr>
                    <w:t>铜及其化合物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3E745429" w14:textId="77777777" w:rsidR="00F76A63" w:rsidRDefault="00000000">
                  <w:pPr>
                    <w:pStyle w:val="000"/>
                  </w:pPr>
                  <w:r>
                    <w:t>0.0137</w:t>
                  </w:r>
                </w:p>
              </w:tc>
              <w:tc>
                <w:tcPr>
                  <w:tcW w:w="993" w:type="pct"/>
                  <w:tcBorders>
                    <w:top w:val="single" w:sz="4" w:space="0" w:color="auto"/>
                    <w:left w:val="single" w:sz="4" w:space="0" w:color="auto"/>
                    <w:bottom w:val="single" w:sz="4" w:space="0" w:color="auto"/>
                    <w:right w:val="single" w:sz="4" w:space="0" w:color="auto"/>
                  </w:tcBorders>
                  <w:vAlign w:val="center"/>
                </w:tcPr>
                <w:p w14:paraId="0FCD8163" w14:textId="77777777" w:rsidR="00F76A63" w:rsidRDefault="00000000">
                  <w:pPr>
                    <w:pStyle w:val="000"/>
                  </w:pPr>
                  <w:r>
                    <w:t>0.0134</w:t>
                  </w:r>
                </w:p>
              </w:tc>
              <w:tc>
                <w:tcPr>
                  <w:tcW w:w="780" w:type="pct"/>
                  <w:tcBorders>
                    <w:top w:val="single" w:sz="4" w:space="0" w:color="auto"/>
                    <w:left w:val="single" w:sz="4" w:space="0" w:color="auto"/>
                    <w:bottom w:val="single" w:sz="4" w:space="0" w:color="auto"/>
                    <w:right w:val="nil"/>
                  </w:tcBorders>
                  <w:vAlign w:val="center"/>
                </w:tcPr>
                <w:p w14:paraId="59E97A4C" w14:textId="77777777" w:rsidR="00F76A63" w:rsidRDefault="00000000">
                  <w:pPr>
                    <w:pStyle w:val="000"/>
                  </w:pPr>
                  <w:r>
                    <w:t>+0.0003</w:t>
                  </w:r>
                </w:p>
              </w:tc>
            </w:tr>
            <w:tr w:rsidR="00F76A63" w14:paraId="52B102E8"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08EA05A0"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14E689B1" w14:textId="77777777" w:rsidR="00F76A63" w:rsidRDefault="00000000">
                  <w:pPr>
                    <w:pStyle w:val="000"/>
                  </w:pPr>
                  <w:r>
                    <w:rPr>
                      <w:kern w:val="0"/>
                    </w:rPr>
                    <w:t>锰及其化合物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6B3D187A" w14:textId="77777777" w:rsidR="00F76A63" w:rsidRDefault="00000000">
                  <w:pPr>
                    <w:pStyle w:val="000"/>
                  </w:pPr>
                  <w:r>
                    <w:t>0.0473</w:t>
                  </w:r>
                </w:p>
              </w:tc>
              <w:tc>
                <w:tcPr>
                  <w:tcW w:w="993" w:type="pct"/>
                  <w:tcBorders>
                    <w:top w:val="single" w:sz="4" w:space="0" w:color="auto"/>
                    <w:left w:val="single" w:sz="4" w:space="0" w:color="auto"/>
                    <w:bottom w:val="single" w:sz="4" w:space="0" w:color="auto"/>
                    <w:right w:val="single" w:sz="4" w:space="0" w:color="auto"/>
                  </w:tcBorders>
                  <w:vAlign w:val="center"/>
                </w:tcPr>
                <w:p w14:paraId="21E0DD9C" w14:textId="77777777" w:rsidR="00F76A63" w:rsidRDefault="00000000">
                  <w:pPr>
                    <w:pStyle w:val="000"/>
                  </w:pPr>
                  <w:r>
                    <w:t>0.0512</w:t>
                  </w:r>
                </w:p>
              </w:tc>
              <w:tc>
                <w:tcPr>
                  <w:tcW w:w="780" w:type="pct"/>
                  <w:tcBorders>
                    <w:top w:val="single" w:sz="4" w:space="0" w:color="auto"/>
                    <w:left w:val="single" w:sz="4" w:space="0" w:color="auto"/>
                    <w:bottom w:val="single" w:sz="4" w:space="0" w:color="auto"/>
                    <w:right w:val="nil"/>
                  </w:tcBorders>
                  <w:vAlign w:val="center"/>
                </w:tcPr>
                <w:p w14:paraId="4AA262B1" w14:textId="77777777" w:rsidR="00F76A63" w:rsidRDefault="00000000">
                  <w:pPr>
                    <w:pStyle w:val="000"/>
                  </w:pPr>
                  <w:r>
                    <w:t>-0.0039</w:t>
                  </w:r>
                </w:p>
              </w:tc>
            </w:tr>
            <w:tr w:rsidR="00F76A63" w14:paraId="7621283C"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6BC9599E"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267FEC59" w14:textId="77777777" w:rsidR="00F76A63" w:rsidRDefault="00000000">
                  <w:pPr>
                    <w:pStyle w:val="000"/>
                  </w:pPr>
                  <w:r>
                    <w:rPr>
                      <w:kern w:val="0"/>
                    </w:rPr>
                    <w:t>镍及其化合物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149AE62E" w14:textId="77777777" w:rsidR="00F76A63" w:rsidRDefault="00000000">
                  <w:pPr>
                    <w:pStyle w:val="000"/>
                  </w:pPr>
                  <w:r>
                    <w:t>0.0468</w:t>
                  </w:r>
                </w:p>
              </w:tc>
              <w:tc>
                <w:tcPr>
                  <w:tcW w:w="993" w:type="pct"/>
                  <w:tcBorders>
                    <w:top w:val="single" w:sz="4" w:space="0" w:color="auto"/>
                    <w:left w:val="single" w:sz="4" w:space="0" w:color="auto"/>
                    <w:bottom w:val="single" w:sz="4" w:space="0" w:color="auto"/>
                    <w:right w:val="single" w:sz="4" w:space="0" w:color="auto"/>
                  </w:tcBorders>
                  <w:vAlign w:val="center"/>
                </w:tcPr>
                <w:p w14:paraId="157D3001" w14:textId="77777777" w:rsidR="00F76A63" w:rsidRDefault="00000000">
                  <w:pPr>
                    <w:pStyle w:val="000"/>
                  </w:pPr>
                  <w:r>
                    <w:t>0.0455</w:t>
                  </w:r>
                </w:p>
              </w:tc>
              <w:tc>
                <w:tcPr>
                  <w:tcW w:w="780" w:type="pct"/>
                  <w:tcBorders>
                    <w:top w:val="single" w:sz="4" w:space="0" w:color="auto"/>
                    <w:left w:val="single" w:sz="4" w:space="0" w:color="auto"/>
                    <w:bottom w:val="single" w:sz="4" w:space="0" w:color="auto"/>
                    <w:right w:val="nil"/>
                  </w:tcBorders>
                  <w:vAlign w:val="center"/>
                </w:tcPr>
                <w:p w14:paraId="7EA7602A" w14:textId="77777777" w:rsidR="00F76A63" w:rsidRDefault="00000000">
                  <w:pPr>
                    <w:pStyle w:val="000"/>
                  </w:pPr>
                  <w:r>
                    <w:t>+0.0013</w:t>
                  </w:r>
                </w:p>
              </w:tc>
            </w:tr>
            <w:tr w:rsidR="00F76A63" w14:paraId="221F07C7"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71118519"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482C014C" w14:textId="77777777" w:rsidR="00F76A63" w:rsidRDefault="00000000">
                  <w:pPr>
                    <w:pStyle w:val="000"/>
                  </w:pPr>
                  <w:r>
                    <w:rPr>
                      <w:kern w:val="0"/>
                    </w:rPr>
                    <w:t>钒及其化合物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5B3AAC21" w14:textId="77777777" w:rsidR="00F76A63" w:rsidRDefault="00000000">
                  <w:pPr>
                    <w:pStyle w:val="000"/>
                  </w:pPr>
                  <w:r>
                    <w:t>0.0518</w:t>
                  </w:r>
                </w:p>
              </w:tc>
              <w:tc>
                <w:tcPr>
                  <w:tcW w:w="993" w:type="pct"/>
                  <w:tcBorders>
                    <w:top w:val="single" w:sz="4" w:space="0" w:color="auto"/>
                    <w:left w:val="single" w:sz="4" w:space="0" w:color="auto"/>
                    <w:bottom w:val="single" w:sz="4" w:space="0" w:color="auto"/>
                    <w:right w:val="single" w:sz="4" w:space="0" w:color="auto"/>
                  </w:tcBorders>
                  <w:vAlign w:val="center"/>
                </w:tcPr>
                <w:p w14:paraId="74EA60ED" w14:textId="77777777" w:rsidR="00F76A63" w:rsidRDefault="00000000">
                  <w:pPr>
                    <w:pStyle w:val="000"/>
                  </w:pPr>
                  <w:r>
                    <w:t>0.0574</w:t>
                  </w:r>
                </w:p>
              </w:tc>
              <w:tc>
                <w:tcPr>
                  <w:tcW w:w="780" w:type="pct"/>
                  <w:tcBorders>
                    <w:top w:val="single" w:sz="4" w:space="0" w:color="auto"/>
                    <w:left w:val="single" w:sz="4" w:space="0" w:color="auto"/>
                    <w:bottom w:val="single" w:sz="4" w:space="0" w:color="auto"/>
                    <w:right w:val="nil"/>
                  </w:tcBorders>
                  <w:vAlign w:val="center"/>
                </w:tcPr>
                <w:p w14:paraId="5E95565D" w14:textId="77777777" w:rsidR="00F76A63" w:rsidRDefault="00000000">
                  <w:pPr>
                    <w:pStyle w:val="000"/>
                  </w:pPr>
                  <w:r>
                    <w:t>-0.0056</w:t>
                  </w:r>
                </w:p>
              </w:tc>
            </w:tr>
            <w:tr w:rsidR="00F76A63" w14:paraId="2356472E"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1B7A168A"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35BF7D48" w14:textId="77777777" w:rsidR="00F76A63" w:rsidRDefault="00000000">
                  <w:pPr>
                    <w:pStyle w:val="000"/>
                  </w:pPr>
                  <w:r>
                    <w:rPr>
                      <w:kern w:val="0"/>
                    </w:rPr>
                    <w:t>钴及其化合物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0E360222" w14:textId="77777777" w:rsidR="00F76A63" w:rsidRDefault="00000000">
                  <w:pPr>
                    <w:pStyle w:val="000"/>
                  </w:pPr>
                  <w:r>
                    <w:t>0.012</w:t>
                  </w:r>
                </w:p>
              </w:tc>
              <w:tc>
                <w:tcPr>
                  <w:tcW w:w="993" w:type="pct"/>
                  <w:tcBorders>
                    <w:top w:val="single" w:sz="4" w:space="0" w:color="auto"/>
                    <w:left w:val="single" w:sz="4" w:space="0" w:color="auto"/>
                    <w:bottom w:val="single" w:sz="4" w:space="0" w:color="auto"/>
                    <w:right w:val="single" w:sz="4" w:space="0" w:color="auto"/>
                  </w:tcBorders>
                  <w:vAlign w:val="center"/>
                </w:tcPr>
                <w:p w14:paraId="48FC9710" w14:textId="77777777" w:rsidR="00F76A63" w:rsidRDefault="00000000">
                  <w:pPr>
                    <w:pStyle w:val="000"/>
                  </w:pPr>
                  <w:r>
                    <w:t>0.0134</w:t>
                  </w:r>
                </w:p>
              </w:tc>
              <w:tc>
                <w:tcPr>
                  <w:tcW w:w="780" w:type="pct"/>
                  <w:tcBorders>
                    <w:top w:val="single" w:sz="4" w:space="0" w:color="auto"/>
                    <w:left w:val="single" w:sz="4" w:space="0" w:color="auto"/>
                    <w:bottom w:val="single" w:sz="4" w:space="0" w:color="auto"/>
                    <w:right w:val="nil"/>
                  </w:tcBorders>
                  <w:vAlign w:val="center"/>
                </w:tcPr>
                <w:p w14:paraId="1D3C09F2" w14:textId="77777777" w:rsidR="00F76A63" w:rsidRDefault="00000000">
                  <w:pPr>
                    <w:pStyle w:val="000"/>
                  </w:pPr>
                  <w:r>
                    <w:t>-0.0014</w:t>
                  </w:r>
                </w:p>
              </w:tc>
            </w:tr>
            <w:tr w:rsidR="00F76A63" w14:paraId="7BF04440"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3FF58761"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49575BA5" w14:textId="77777777" w:rsidR="00F76A63" w:rsidRDefault="00000000">
                  <w:pPr>
                    <w:pStyle w:val="000"/>
                  </w:pPr>
                  <w:r>
                    <w:rPr>
                      <w:kern w:val="0"/>
                    </w:rPr>
                    <w:t>锌及其化合物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3763A6C1" w14:textId="77777777" w:rsidR="00F76A63" w:rsidRDefault="00000000">
                  <w:pPr>
                    <w:pStyle w:val="000"/>
                  </w:pPr>
                  <w:r>
                    <w:t>0.1342</w:t>
                  </w:r>
                </w:p>
              </w:tc>
              <w:tc>
                <w:tcPr>
                  <w:tcW w:w="993" w:type="pct"/>
                  <w:tcBorders>
                    <w:top w:val="single" w:sz="4" w:space="0" w:color="auto"/>
                    <w:left w:val="single" w:sz="4" w:space="0" w:color="auto"/>
                    <w:bottom w:val="single" w:sz="4" w:space="0" w:color="auto"/>
                    <w:right w:val="single" w:sz="4" w:space="0" w:color="auto"/>
                  </w:tcBorders>
                  <w:vAlign w:val="center"/>
                </w:tcPr>
                <w:p w14:paraId="0500FD7A" w14:textId="77777777" w:rsidR="00F76A63" w:rsidRDefault="00000000">
                  <w:pPr>
                    <w:pStyle w:val="000"/>
                  </w:pPr>
                  <w:r>
                    <w:t>0.1406</w:t>
                  </w:r>
                </w:p>
              </w:tc>
              <w:tc>
                <w:tcPr>
                  <w:tcW w:w="780" w:type="pct"/>
                  <w:tcBorders>
                    <w:top w:val="single" w:sz="4" w:space="0" w:color="auto"/>
                    <w:left w:val="single" w:sz="4" w:space="0" w:color="auto"/>
                    <w:bottom w:val="single" w:sz="4" w:space="0" w:color="auto"/>
                    <w:right w:val="nil"/>
                  </w:tcBorders>
                  <w:vAlign w:val="center"/>
                </w:tcPr>
                <w:p w14:paraId="1208F01D" w14:textId="77777777" w:rsidR="00F76A63" w:rsidRDefault="00000000">
                  <w:pPr>
                    <w:pStyle w:val="000"/>
                  </w:pPr>
                  <w:r>
                    <w:t>-0.0064</w:t>
                  </w:r>
                </w:p>
              </w:tc>
            </w:tr>
            <w:tr w:rsidR="00F76A63" w14:paraId="6B87C566"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4B774289"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39406234" w14:textId="77777777" w:rsidR="00F76A63" w:rsidRDefault="00000000">
                  <w:pPr>
                    <w:pStyle w:val="000"/>
                  </w:pPr>
                  <w:r>
                    <w:rPr>
                      <w:kern w:val="0"/>
                    </w:rPr>
                    <w:t>钼及其化合物</w:t>
                  </w:r>
                </w:p>
              </w:tc>
              <w:tc>
                <w:tcPr>
                  <w:tcW w:w="1002" w:type="pct"/>
                  <w:tcBorders>
                    <w:top w:val="single" w:sz="4" w:space="0" w:color="auto"/>
                    <w:left w:val="single" w:sz="4" w:space="0" w:color="auto"/>
                    <w:bottom w:val="single" w:sz="4" w:space="0" w:color="auto"/>
                    <w:right w:val="single" w:sz="4" w:space="0" w:color="auto"/>
                  </w:tcBorders>
                  <w:vAlign w:val="center"/>
                </w:tcPr>
                <w:p w14:paraId="760435F6" w14:textId="77777777" w:rsidR="00F76A63" w:rsidRDefault="00000000">
                  <w:pPr>
                    <w:pStyle w:val="000"/>
                  </w:pPr>
                  <w:r>
                    <w:t>0.0154</w:t>
                  </w:r>
                </w:p>
              </w:tc>
              <w:tc>
                <w:tcPr>
                  <w:tcW w:w="993" w:type="pct"/>
                  <w:tcBorders>
                    <w:top w:val="single" w:sz="4" w:space="0" w:color="auto"/>
                    <w:left w:val="single" w:sz="4" w:space="0" w:color="auto"/>
                    <w:bottom w:val="single" w:sz="4" w:space="0" w:color="auto"/>
                    <w:right w:val="single" w:sz="4" w:space="0" w:color="auto"/>
                  </w:tcBorders>
                  <w:vAlign w:val="center"/>
                </w:tcPr>
                <w:p w14:paraId="1A970CBD" w14:textId="77777777" w:rsidR="00F76A63" w:rsidRDefault="00000000">
                  <w:pPr>
                    <w:pStyle w:val="000"/>
                  </w:pPr>
                  <w:r>
                    <w:t>0.0171</w:t>
                  </w:r>
                </w:p>
              </w:tc>
              <w:tc>
                <w:tcPr>
                  <w:tcW w:w="780" w:type="pct"/>
                  <w:tcBorders>
                    <w:top w:val="single" w:sz="4" w:space="0" w:color="auto"/>
                    <w:left w:val="single" w:sz="4" w:space="0" w:color="auto"/>
                    <w:bottom w:val="single" w:sz="4" w:space="0" w:color="auto"/>
                    <w:right w:val="nil"/>
                  </w:tcBorders>
                  <w:vAlign w:val="center"/>
                </w:tcPr>
                <w:p w14:paraId="2FD07791" w14:textId="77777777" w:rsidR="00F76A63" w:rsidRDefault="00000000">
                  <w:pPr>
                    <w:pStyle w:val="000"/>
                  </w:pPr>
                  <w:r>
                    <w:t>-0.0017</w:t>
                  </w:r>
                </w:p>
              </w:tc>
            </w:tr>
            <w:tr w:rsidR="00F76A63" w14:paraId="22F50EA8"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52ACBE15"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4805185A" w14:textId="77777777" w:rsidR="00F76A63" w:rsidRDefault="00000000">
                  <w:pPr>
                    <w:pStyle w:val="000"/>
                  </w:pPr>
                  <w:r>
                    <w:rPr>
                      <w:kern w:val="0"/>
                    </w:rPr>
                    <w:t>Tl+Cd+Pb+As</w:t>
                  </w:r>
                </w:p>
              </w:tc>
              <w:tc>
                <w:tcPr>
                  <w:tcW w:w="1002" w:type="pct"/>
                  <w:tcBorders>
                    <w:top w:val="single" w:sz="4" w:space="0" w:color="auto"/>
                    <w:left w:val="single" w:sz="4" w:space="0" w:color="auto"/>
                    <w:bottom w:val="single" w:sz="4" w:space="0" w:color="auto"/>
                    <w:right w:val="single" w:sz="4" w:space="0" w:color="auto"/>
                  </w:tcBorders>
                  <w:vAlign w:val="center"/>
                </w:tcPr>
                <w:p w14:paraId="0683FDAE" w14:textId="77777777" w:rsidR="00F76A63" w:rsidRDefault="00000000">
                  <w:pPr>
                    <w:pStyle w:val="000"/>
                  </w:pPr>
                  <w:r>
                    <w:t>0.4485</w:t>
                  </w:r>
                </w:p>
              </w:tc>
              <w:tc>
                <w:tcPr>
                  <w:tcW w:w="993" w:type="pct"/>
                  <w:tcBorders>
                    <w:top w:val="single" w:sz="4" w:space="0" w:color="auto"/>
                    <w:left w:val="single" w:sz="4" w:space="0" w:color="auto"/>
                    <w:bottom w:val="single" w:sz="4" w:space="0" w:color="auto"/>
                    <w:right w:val="single" w:sz="4" w:space="0" w:color="auto"/>
                  </w:tcBorders>
                  <w:vAlign w:val="center"/>
                </w:tcPr>
                <w:p w14:paraId="10A7AC8B" w14:textId="77777777" w:rsidR="00F76A63" w:rsidRDefault="00000000">
                  <w:pPr>
                    <w:pStyle w:val="000"/>
                  </w:pPr>
                  <w:r>
                    <w:t>0.3258</w:t>
                  </w:r>
                </w:p>
              </w:tc>
              <w:tc>
                <w:tcPr>
                  <w:tcW w:w="780" w:type="pct"/>
                  <w:tcBorders>
                    <w:top w:val="single" w:sz="4" w:space="0" w:color="auto"/>
                    <w:left w:val="single" w:sz="4" w:space="0" w:color="auto"/>
                    <w:bottom w:val="single" w:sz="4" w:space="0" w:color="auto"/>
                    <w:right w:val="nil"/>
                  </w:tcBorders>
                  <w:vAlign w:val="center"/>
                </w:tcPr>
                <w:p w14:paraId="0B930A0B" w14:textId="77777777" w:rsidR="00F76A63" w:rsidRDefault="00000000">
                  <w:pPr>
                    <w:pStyle w:val="000"/>
                  </w:pPr>
                  <w:r>
                    <w:t>+0.1227</w:t>
                  </w:r>
                </w:p>
              </w:tc>
            </w:tr>
            <w:tr w:rsidR="00F76A63" w14:paraId="7ED011A4" w14:textId="77777777">
              <w:trPr>
                <w:trHeight w:val="70"/>
                <w:jc w:val="center"/>
              </w:trPr>
              <w:tc>
                <w:tcPr>
                  <w:tcW w:w="820" w:type="pct"/>
                  <w:vMerge/>
                  <w:tcBorders>
                    <w:top w:val="single" w:sz="4" w:space="0" w:color="auto"/>
                    <w:left w:val="nil"/>
                    <w:bottom w:val="single" w:sz="4" w:space="0" w:color="auto"/>
                    <w:right w:val="single" w:sz="4" w:space="0" w:color="auto"/>
                  </w:tcBorders>
                  <w:vAlign w:val="center"/>
                </w:tcPr>
                <w:p w14:paraId="2E400186"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688737E3" w14:textId="77777777" w:rsidR="00F76A63" w:rsidRDefault="00000000">
                  <w:pPr>
                    <w:pStyle w:val="000"/>
                    <w:rPr>
                      <w:kern w:val="0"/>
                    </w:rPr>
                  </w:pPr>
                  <w:r>
                    <w:rPr>
                      <w:kern w:val="0"/>
                    </w:rPr>
                    <w:t>Be+Cr+Sn+Sb+Cu+</w:t>
                  </w:r>
                </w:p>
                <w:p w14:paraId="2677E0E0" w14:textId="77777777" w:rsidR="00F76A63" w:rsidRDefault="00000000">
                  <w:pPr>
                    <w:pStyle w:val="000"/>
                  </w:pPr>
                  <w:r>
                    <w:rPr>
                      <w:kern w:val="0"/>
                    </w:rPr>
                    <w:t>Co+Mn+Ni+V</w:t>
                  </w:r>
                </w:p>
              </w:tc>
              <w:tc>
                <w:tcPr>
                  <w:tcW w:w="1002" w:type="pct"/>
                  <w:tcBorders>
                    <w:top w:val="single" w:sz="4" w:space="0" w:color="auto"/>
                    <w:left w:val="single" w:sz="4" w:space="0" w:color="auto"/>
                    <w:bottom w:val="single" w:sz="4" w:space="0" w:color="auto"/>
                    <w:right w:val="single" w:sz="4" w:space="0" w:color="auto"/>
                  </w:tcBorders>
                  <w:vAlign w:val="center"/>
                </w:tcPr>
                <w:p w14:paraId="5FFAA9F2" w14:textId="77777777" w:rsidR="00F76A63" w:rsidRDefault="00000000">
                  <w:pPr>
                    <w:pStyle w:val="000"/>
                  </w:pPr>
                  <w:r>
                    <w:t>0.4393</w:t>
                  </w:r>
                </w:p>
              </w:tc>
              <w:tc>
                <w:tcPr>
                  <w:tcW w:w="993" w:type="pct"/>
                  <w:tcBorders>
                    <w:top w:val="single" w:sz="4" w:space="0" w:color="auto"/>
                    <w:left w:val="single" w:sz="4" w:space="0" w:color="auto"/>
                    <w:bottom w:val="single" w:sz="4" w:space="0" w:color="auto"/>
                    <w:right w:val="single" w:sz="4" w:space="0" w:color="auto"/>
                  </w:tcBorders>
                  <w:vAlign w:val="center"/>
                </w:tcPr>
                <w:p w14:paraId="2E568813" w14:textId="77777777" w:rsidR="00F76A63" w:rsidRDefault="00000000">
                  <w:pPr>
                    <w:pStyle w:val="000"/>
                  </w:pPr>
                  <w:r>
                    <w:t>0.6232</w:t>
                  </w:r>
                </w:p>
              </w:tc>
              <w:tc>
                <w:tcPr>
                  <w:tcW w:w="780" w:type="pct"/>
                  <w:tcBorders>
                    <w:top w:val="single" w:sz="4" w:space="0" w:color="auto"/>
                    <w:left w:val="single" w:sz="4" w:space="0" w:color="auto"/>
                    <w:bottom w:val="single" w:sz="4" w:space="0" w:color="auto"/>
                    <w:right w:val="nil"/>
                  </w:tcBorders>
                  <w:vAlign w:val="center"/>
                </w:tcPr>
                <w:p w14:paraId="48AF0E9A" w14:textId="77777777" w:rsidR="00F76A63" w:rsidRDefault="00000000">
                  <w:pPr>
                    <w:pStyle w:val="000"/>
                  </w:pPr>
                  <w:r>
                    <w:t>-0.1839</w:t>
                  </w:r>
                </w:p>
              </w:tc>
            </w:tr>
            <w:tr w:rsidR="00F76A63" w14:paraId="09D03E9A" w14:textId="77777777">
              <w:trPr>
                <w:jc w:val="center"/>
              </w:trPr>
              <w:tc>
                <w:tcPr>
                  <w:tcW w:w="820" w:type="pct"/>
                  <w:vMerge/>
                  <w:tcBorders>
                    <w:top w:val="single" w:sz="4" w:space="0" w:color="auto"/>
                    <w:left w:val="nil"/>
                    <w:bottom w:val="single" w:sz="4" w:space="0" w:color="auto"/>
                    <w:right w:val="single" w:sz="4" w:space="0" w:color="auto"/>
                  </w:tcBorders>
                  <w:vAlign w:val="center"/>
                </w:tcPr>
                <w:p w14:paraId="0F41CFC5" w14:textId="77777777" w:rsidR="00F76A63" w:rsidRDefault="00F76A63">
                  <w:pPr>
                    <w:rPr>
                      <w:bCs/>
                      <w:kern w:val="28"/>
                      <w:szCs w:val="21"/>
                    </w:rPr>
                  </w:pPr>
                </w:p>
              </w:tc>
              <w:tc>
                <w:tcPr>
                  <w:tcW w:w="1403" w:type="pct"/>
                  <w:tcBorders>
                    <w:top w:val="single" w:sz="4" w:space="0" w:color="auto"/>
                    <w:left w:val="single" w:sz="4" w:space="0" w:color="auto"/>
                    <w:bottom w:val="single" w:sz="4" w:space="0" w:color="auto"/>
                    <w:right w:val="single" w:sz="4" w:space="0" w:color="auto"/>
                  </w:tcBorders>
                  <w:vAlign w:val="center"/>
                </w:tcPr>
                <w:p w14:paraId="6ACC7089" w14:textId="77777777" w:rsidR="00F76A63" w:rsidRDefault="00000000">
                  <w:pPr>
                    <w:pStyle w:val="000"/>
                  </w:pPr>
                  <w:r>
                    <w:rPr>
                      <w:kern w:val="0"/>
                    </w:rPr>
                    <w:t>二噁英（</w:t>
                  </w:r>
                  <w:r>
                    <w:rPr>
                      <w:kern w:val="0"/>
                    </w:rPr>
                    <w:t>mgTEQ/a</w:t>
                  </w:r>
                  <w:r>
                    <w:rPr>
                      <w:kern w:val="0"/>
                    </w:rPr>
                    <w:t>）</w:t>
                  </w:r>
                </w:p>
              </w:tc>
              <w:tc>
                <w:tcPr>
                  <w:tcW w:w="1002" w:type="pct"/>
                  <w:tcBorders>
                    <w:top w:val="single" w:sz="4" w:space="0" w:color="auto"/>
                    <w:left w:val="single" w:sz="4" w:space="0" w:color="auto"/>
                    <w:bottom w:val="single" w:sz="4" w:space="0" w:color="auto"/>
                    <w:right w:val="single" w:sz="4" w:space="0" w:color="auto"/>
                  </w:tcBorders>
                  <w:vAlign w:val="center"/>
                </w:tcPr>
                <w:p w14:paraId="40062BE9" w14:textId="77777777" w:rsidR="00F76A63" w:rsidRDefault="00000000">
                  <w:pPr>
                    <w:pStyle w:val="000"/>
                  </w:pPr>
                  <w:r>
                    <w:t>985</w:t>
                  </w:r>
                </w:p>
              </w:tc>
              <w:tc>
                <w:tcPr>
                  <w:tcW w:w="993" w:type="pct"/>
                  <w:tcBorders>
                    <w:top w:val="single" w:sz="4" w:space="0" w:color="auto"/>
                    <w:left w:val="single" w:sz="4" w:space="0" w:color="auto"/>
                    <w:bottom w:val="single" w:sz="4" w:space="0" w:color="auto"/>
                    <w:right w:val="single" w:sz="4" w:space="0" w:color="auto"/>
                  </w:tcBorders>
                  <w:vAlign w:val="center"/>
                </w:tcPr>
                <w:p w14:paraId="47CF521A" w14:textId="77777777" w:rsidR="00F76A63" w:rsidRDefault="00000000">
                  <w:pPr>
                    <w:pStyle w:val="000"/>
                  </w:pPr>
                  <w:r>
                    <w:t>985</w:t>
                  </w:r>
                </w:p>
              </w:tc>
              <w:tc>
                <w:tcPr>
                  <w:tcW w:w="780" w:type="pct"/>
                  <w:tcBorders>
                    <w:top w:val="single" w:sz="4" w:space="0" w:color="auto"/>
                    <w:left w:val="single" w:sz="4" w:space="0" w:color="auto"/>
                    <w:bottom w:val="single" w:sz="4" w:space="0" w:color="auto"/>
                    <w:right w:val="nil"/>
                  </w:tcBorders>
                </w:tcPr>
                <w:p w14:paraId="778D7BB8" w14:textId="77777777" w:rsidR="00F76A63" w:rsidRDefault="00000000">
                  <w:pPr>
                    <w:pStyle w:val="000"/>
                  </w:pPr>
                  <w:r>
                    <w:t>0</w:t>
                  </w:r>
                </w:p>
              </w:tc>
            </w:tr>
            <w:tr w:rsidR="00F76A63" w14:paraId="5001611C" w14:textId="77777777">
              <w:trPr>
                <w:jc w:val="center"/>
              </w:trPr>
              <w:tc>
                <w:tcPr>
                  <w:tcW w:w="820" w:type="pct"/>
                  <w:vMerge w:val="restart"/>
                  <w:tcBorders>
                    <w:top w:val="single" w:sz="4" w:space="0" w:color="auto"/>
                    <w:left w:val="nil"/>
                    <w:right w:val="single" w:sz="4" w:space="0" w:color="auto"/>
                  </w:tcBorders>
                  <w:vAlign w:val="center"/>
                </w:tcPr>
                <w:p w14:paraId="14FE5E0F" w14:textId="77777777" w:rsidR="00F76A63" w:rsidRDefault="00000000">
                  <w:pPr>
                    <w:pStyle w:val="000"/>
                  </w:pPr>
                  <w:r>
                    <w:t>无组织废气</w:t>
                  </w:r>
                </w:p>
              </w:tc>
              <w:tc>
                <w:tcPr>
                  <w:tcW w:w="1403" w:type="pct"/>
                  <w:tcBorders>
                    <w:top w:val="single" w:sz="4" w:space="0" w:color="auto"/>
                    <w:left w:val="single" w:sz="4" w:space="0" w:color="auto"/>
                    <w:bottom w:val="single" w:sz="4" w:space="0" w:color="auto"/>
                    <w:right w:val="single" w:sz="4" w:space="0" w:color="auto"/>
                  </w:tcBorders>
                  <w:vAlign w:val="center"/>
                </w:tcPr>
                <w:p w14:paraId="7D6B1D31" w14:textId="77777777" w:rsidR="00F76A63" w:rsidRDefault="00000000">
                  <w:pPr>
                    <w:pStyle w:val="000"/>
                    <w:rPr>
                      <w:kern w:val="0"/>
                    </w:rPr>
                  </w:pPr>
                  <w:r>
                    <w:rPr>
                      <w:bCs w:val="0"/>
                    </w:rPr>
                    <w:t>颗粒物</w:t>
                  </w:r>
                </w:p>
              </w:tc>
              <w:tc>
                <w:tcPr>
                  <w:tcW w:w="1002" w:type="pct"/>
                  <w:tcBorders>
                    <w:top w:val="single" w:sz="4" w:space="0" w:color="auto"/>
                    <w:left w:val="single" w:sz="4" w:space="0" w:color="auto"/>
                    <w:bottom w:val="single" w:sz="4" w:space="0" w:color="auto"/>
                    <w:right w:val="single" w:sz="4" w:space="0" w:color="auto"/>
                  </w:tcBorders>
                  <w:vAlign w:val="center"/>
                </w:tcPr>
                <w:p w14:paraId="114BE667" w14:textId="77777777" w:rsidR="00F76A63" w:rsidRDefault="00000000">
                  <w:pPr>
                    <w:pStyle w:val="000"/>
                  </w:pPr>
                  <w:r>
                    <w:rPr>
                      <w:bCs w:val="0"/>
                    </w:rPr>
                    <w:t>0.15</w:t>
                  </w:r>
                </w:p>
              </w:tc>
              <w:tc>
                <w:tcPr>
                  <w:tcW w:w="993" w:type="pct"/>
                  <w:tcBorders>
                    <w:top w:val="single" w:sz="4" w:space="0" w:color="auto"/>
                    <w:left w:val="single" w:sz="4" w:space="0" w:color="auto"/>
                    <w:bottom w:val="single" w:sz="4" w:space="0" w:color="auto"/>
                    <w:right w:val="single" w:sz="4" w:space="0" w:color="auto"/>
                  </w:tcBorders>
                  <w:vAlign w:val="center"/>
                </w:tcPr>
                <w:p w14:paraId="27D2ABCD" w14:textId="77777777" w:rsidR="00F76A63" w:rsidRDefault="00000000">
                  <w:pPr>
                    <w:pStyle w:val="000"/>
                  </w:pPr>
                  <w:r>
                    <w:t>1.2</w:t>
                  </w:r>
                </w:p>
              </w:tc>
              <w:tc>
                <w:tcPr>
                  <w:tcW w:w="780" w:type="pct"/>
                  <w:tcBorders>
                    <w:top w:val="single" w:sz="4" w:space="0" w:color="auto"/>
                    <w:left w:val="single" w:sz="4" w:space="0" w:color="auto"/>
                    <w:bottom w:val="single" w:sz="4" w:space="0" w:color="auto"/>
                    <w:right w:val="nil"/>
                  </w:tcBorders>
                  <w:vAlign w:val="center"/>
                </w:tcPr>
                <w:p w14:paraId="58159BA8" w14:textId="77777777" w:rsidR="00F76A63" w:rsidRDefault="00000000">
                  <w:pPr>
                    <w:pStyle w:val="000"/>
                  </w:pPr>
                  <w:r>
                    <w:rPr>
                      <w:bCs w:val="0"/>
                    </w:rPr>
                    <w:t>+0.15</w:t>
                  </w:r>
                </w:p>
              </w:tc>
            </w:tr>
            <w:tr w:rsidR="00F76A63" w14:paraId="00BD3232" w14:textId="77777777">
              <w:trPr>
                <w:jc w:val="center"/>
              </w:trPr>
              <w:tc>
                <w:tcPr>
                  <w:tcW w:w="820" w:type="pct"/>
                  <w:vMerge/>
                  <w:tcBorders>
                    <w:left w:val="nil"/>
                    <w:right w:val="single" w:sz="4" w:space="0" w:color="auto"/>
                  </w:tcBorders>
                  <w:vAlign w:val="center"/>
                </w:tcPr>
                <w:p w14:paraId="5FF74A48" w14:textId="77777777" w:rsidR="00F76A63" w:rsidRDefault="00F76A63">
                  <w:pPr>
                    <w:pStyle w:val="000"/>
                  </w:pPr>
                </w:p>
              </w:tc>
              <w:tc>
                <w:tcPr>
                  <w:tcW w:w="1403" w:type="pct"/>
                  <w:tcBorders>
                    <w:top w:val="single" w:sz="4" w:space="0" w:color="auto"/>
                    <w:left w:val="single" w:sz="4" w:space="0" w:color="auto"/>
                    <w:bottom w:val="single" w:sz="4" w:space="0" w:color="auto"/>
                    <w:right w:val="single" w:sz="4" w:space="0" w:color="auto"/>
                  </w:tcBorders>
                  <w:vAlign w:val="center"/>
                </w:tcPr>
                <w:p w14:paraId="2CE9A791" w14:textId="77777777" w:rsidR="00F76A63" w:rsidRDefault="00000000">
                  <w:pPr>
                    <w:pStyle w:val="000"/>
                    <w:rPr>
                      <w:kern w:val="0"/>
                    </w:rPr>
                  </w:pPr>
                  <w:r>
                    <w:rPr>
                      <w:bCs w:val="0"/>
                    </w:rPr>
                    <w:t>NH</w:t>
                  </w:r>
                  <w:r>
                    <w:rPr>
                      <w:bCs w:val="0"/>
                      <w:vertAlign w:val="subscript"/>
                    </w:rPr>
                    <w:t>3</w:t>
                  </w:r>
                </w:p>
              </w:tc>
              <w:tc>
                <w:tcPr>
                  <w:tcW w:w="1002" w:type="pct"/>
                  <w:tcBorders>
                    <w:top w:val="single" w:sz="4" w:space="0" w:color="auto"/>
                    <w:left w:val="single" w:sz="4" w:space="0" w:color="auto"/>
                    <w:bottom w:val="single" w:sz="4" w:space="0" w:color="auto"/>
                    <w:right w:val="single" w:sz="4" w:space="0" w:color="auto"/>
                  </w:tcBorders>
                  <w:vAlign w:val="center"/>
                </w:tcPr>
                <w:p w14:paraId="1ACE1F60" w14:textId="77777777" w:rsidR="00F76A63" w:rsidRDefault="00000000">
                  <w:pPr>
                    <w:pStyle w:val="000"/>
                  </w:pPr>
                  <w:r>
                    <w:rPr>
                      <w:bCs w:val="0"/>
                    </w:rPr>
                    <w:t>0.606</w:t>
                  </w:r>
                </w:p>
              </w:tc>
              <w:tc>
                <w:tcPr>
                  <w:tcW w:w="993" w:type="pct"/>
                  <w:tcBorders>
                    <w:top w:val="single" w:sz="4" w:space="0" w:color="auto"/>
                    <w:left w:val="single" w:sz="4" w:space="0" w:color="auto"/>
                    <w:bottom w:val="single" w:sz="4" w:space="0" w:color="auto"/>
                    <w:right w:val="single" w:sz="4" w:space="0" w:color="auto"/>
                  </w:tcBorders>
                  <w:vAlign w:val="center"/>
                </w:tcPr>
                <w:p w14:paraId="7096541A" w14:textId="77777777" w:rsidR="00F76A63" w:rsidRDefault="00000000">
                  <w:pPr>
                    <w:pStyle w:val="000"/>
                  </w:pPr>
                  <w:r>
                    <w:t>0.08</w:t>
                  </w:r>
                </w:p>
              </w:tc>
              <w:tc>
                <w:tcPr>
                  <w:tcW w:w="780" w:type="pct"/>
                  <w:tcBorders>
                    <w:top w:val="single" w:sz="4" w:space="0" w:color="auto"/>
                    <w:left w:val="single" w:sz="4" w:space="0" w:color="auto"/>
                    <w:bottom w:val="single" w:sz="4" w:space="0" w:color="auto"/>
                    <w:right w:val="nil"/>
                  </w:tcBorders>
                  <w:vAlign w:val="center"/>
                </w:tcPr>
                <w:p w14:paraId="52256C6B" w14:textId="77777777" w:rsidR="00F76A63" w:rsidRDefault="00000000">
                  <w:pPr>
                    <w:pStyle w:val="000"/>
                  </w:pPr>
                  <w:r>
                    <w:rPr>
                      <w:bCs w:val="0"/>
                    </w:rPr>
                    <w:t>+0.606</w:t>
                  </w:r>
                </w:p>
              </w:tc>
            </w:tr>
            <w:tr w:rsidR="00F76A63" w14:paraId="65CC6BD1" w14:textId="77777777">
              <w:trPr>
                <w:jc w:val="center"/>
              </w:trPr>
              <w:tc>
                <w:tcPr>
                  <w:tcW w:w="820" w:type="pct"/>
                  <w:vMerge/>
                  <w:tcBorders>
                    <w:left w:val="nil"/>
                    <w:bottom w:val="single" w:sz="12" w:space="0" w:color="auto"/>
                    <w:right w:val="single" w:sz="4" w:space="0" w:color="auto"/>
                  </w:tcBorders>
                  <w:vAlign w:val="center"/>
                </w:tcPr>
                <w:p w14:paraId="753B5C29" w14:textId="77777777" w:rsidR="00F76A63" w:rsidRDefault="00F76A63">
                  <w:pPr>
                    <w:pStyle w:val="000"/>
                  </w:pPr>
                </w:p>
              </w:tc>
              <w:tc>
                <w:tcPr>
                  <w:tcW w:w="1403" w:type="pct"/>
                  <w:tcBorders>
                    <w:top w:val="single" w:sz="4" w:space="0" w:color="auto"/>
                    <w:left w:val="single" w:sz="4" w:space="0" w:color="auto"/>
                    <w:bottom w:val="single" w:sz="12" w:space="0" w:color="auto"/>
                    <w:right w:val="single" w:sz="4" w:space="0" w:color="auto"/>
                  </w:tcBorders>
                  <w:vAlign w:val="center"/>
                </w:tcPr>
                <w:p w14:paraId="014B935A" w14:textId="77777777" w:rsidR="00F76A63" w:rsidRDefault="00000000">
                  <w:pPr>
                    <w:pStyle w:val="000"/>
                    <w:rPr>
                      <w:kern w:val="0"/>
                    </w:rPr>
                  </w:pPr>
                  <w:r>
                    <w:rPr>
                      <w:bCs w:val="0"/>
                    </w:rPr>
                    <w:t>H</w:t>
                  </w:r>
                  <w:r>
                    <w:rPr>
                      <w:bCs w:val="0"/>
                      <w:vertAlign w:val="subscript"/>
                    </w:rPr>
                    <w:t>2</w:t>
                  </w:r>
                  <w:r>
                    <w:rPr>
                      <w:bCs w:val="0"/>
                    </w:rPr>
                    <w:t>S</w:t>
                  </w:r>
                </w:p>
              </w:tc>
              <w:tc>
                <w:tcPr>
                  <w:tcW w:w="1002" w:type="pct"/>
                  <w:tcBorders>
                    <w:top w:val="single" w:sz="4" w:space="0" w:color="auto"/>
                    <w:left w:val="single" w:sz="4" w:space="0" w:color="auto"/>
                    <w:bottom w:val="single" w:sz="12" w:space="0" w:color="auto"/>
                    <w:right w:val="single" w:sz="4" w:space="0" w:color="auto"/>
                  </w:tcBorders>
                  <w:vAlign w:val="center"/>
                </w:tcPr>
                <w:p w14:paraId="4B60857D" w14:textId="77777777" w:rsidR="00F76A63" w:rsidRDefault="00000000">
                  <w:pPr>
                    <w:pStyle w:val="000"/>
                  </w:pPr>
                  <w:r>
                    <w:rPr>
                      <w:bCs w:val="0"/>
                    </w:rPr>
                    <w:t>0.062</w:t>
                  </w:r>
                </w:p>
              </w:tc>
              <w:tc>
                <w:tcPr>
                  <w:tcW w:w="993" w:type="pct"/>
                  <w:tcBorders>
                    <w:top w:val="single" w:sz="4" w:space="0" w:color="auto"/>
                    <w:left w:val="single" w:sz="4" w:space="0" w:color="auto"/>
                    <w:bottom w:val="single" w:sz="12" w:space="0" w:color="auto"/>
                    <w:right w:val="single" w:sz="4" w:space="0" w:color="auto"/>
                  </w:tcBorders>
                  <w:vAlign w:val="center"/>
                </w:tcPr>
                <w:p w14:paraId="50EDE32D" w14:textId="77777777" w:rsidR="00F76A63" w:rsidRDefault="00000000">
                  <w:pPr>
                    <w:pStyle w:val="000"/>
                  </w:pPr>
                  <w:r>
                    <w:t>0.032</w:t>
                  </w:r>
                </w:p>
              </w:tc>
              <w:tc>
                <w:tcPr>
                  <w:tcW w:w="780" w:type="pct"/>
                  <w:tcBorders>
                    <w:top w:val="single" w:sz="4" w:space="0" w:color="auto"/>
                    <w:left w:val="single" w:sz="4" w:space="0" w:color="auto"/>
                    <w:bottom w:val="single" w:sz="12" w:space="0" w:color="auto"/>
                    <w:right w:val="nil"/>
                  </w:tcBorders>
                  <w:vAlign w:val="center"/>
                </w:tcPr>
                <w:p w14:paraId="513127B0" w14:textId="77777777" w:rsidR="00F76A63" w:rsidRDefault="00000000">
                  <w:pPr>
                    <w:pStyle w:val="000"/>
                  </w:pPr>
                  <w:r>
                    <w:rPr>
                      <w:bCs w:val="0"/>
                    </w:rPr>
                    <w:t>+0.062</w:t>
                  </w:r>
                </w:p>
              </w:tc>
            </w:tr>
          </w:tbl>
          <w:bookmarkEnd w:id="125"/>
          <w:p w14:paraId="6E512BCE" w14:textId="77777777" w:rsidR="00F76A63" w:rsidRDefault="00000000">
            <w:pPr>
              <w:adjustRightInd w:val="0"/>
              <w:snapToGrid w:val="0"/>
              <w:spacing w:line="500" w:lineRule="exact"/>
              <w:ind w:firstLineChars="200" w:firstLine="482"/>
              <w:jc w:val="center"/>
              <w:rPr>
                <w:b/>
                <w:sz w:val="24"/>
                <w:szCs w:val="32"/>
              </w:rPr>
            </w:pPr>
            <w:r>
              <w:rPr>
                <w:b/>
                <w:sz w:val="24"/>
                <w:szCs w:val="32"/>
              </w:rPr>
              <w:t>表</w:t>
            </w:r>
            <w:r>
              <w:rPr>
                <w:b/>
                <w:sz w:val="24"/>
                <w:szCs w:val="32"/>
              </w:rPr>
              <w:t xml:space="preserve">3-16  </w:t>
            </w:r>
            <w:r>
              <w:rPr>
                <w:b/>
                <w:sz w:val="24"/>
                <w:szCs w:val="32"/>
              </w:rPr>
              <w:t>本项目建成后全厂</w:t>
            </w:r>
            <w:r>
              <w:rPr>
                <w:b/>
                <w:sz w:val="24"/>
                <w:szCs w:val="32"/>
              </w:rPr>
              <w:t>“</w:t>
            </w:r>
            <w:r>
              <w:rPr>
                <w:b/>
                <w:sz w:val="24"/>
                <w:szCs w:val="32"/>
              </w:rPr>
              <w:t>三本账</w:t>
            </w:r>
            <w:r>
              <w:rPr>
                <w:b/>
                <w:sz w:val="24"/>
                <w:szCs w:val="32"/>
              </w:rPr>
              <w:t>”</w:t>
            </w:r>
            <w:r>
              <w:rPr>
                <w:b/>
                <w:sz w:val="24"/>
                <w:szCs w:val="32"/>
              </w:rPr>
              <w:t>核算一览表（单位：</w:t>
            </w:r>
            <w:r>
              <w:rPr>
                <w:b/>
                <w:sz w:val="24"/>
                <w:szCs w:val="32"/>
              </w:rPr>
              <w:t>t/a</w:t>
            </w:r>
            <w:r>
              <w:rPr>
                <w:b/>
                <w:sz w:val="24"/>
                <w:szCs w:val="32"/>
              </w:rPr>
              <w:t>）</w:t>
            </w:r>
          </w:p>
          <w:tbl>
            <w:tblPr>
              <w:tblW w:w="5000" w:type="pct"/>
              <w:jc w:val="center"/>
              <w:tblBorders>
                <w:top w:val="single" w:sz="12" w:space="0" w:color="000000"/>
                <w:bottom w:val="single" w:sz="12" w:space="0" w:color="000000"/>
                <w:insideH w:val="single" w:sz="6" w:space="0" w:color="000000"/>
                <w:insideV w:val="single" w:sz="6" w:space="0" w:color="000000"/>
              </w:tblBorders>
              <w:tblLayout w:type="fixed"/>
              <w:tblLook w:val="04A0" w:firstRow="1" w:lastRow="0" w:firstColumn="1" w:lastColumn="0" w:noHBand="0" w:noVBand="1"/>
            </w:tblPr>
            <w:tblGrid>
              <w:gridCol w:w="380"/>
              <w:gridCol w:w="380"/>
              <w:gridCol w:w="957"/>
              <w:gridCol w:w="928"/>
              <w:gridCol w:w="1050"/>
              <w:gridCol w:w="1104"/>
              <w:gridCol w:w="1309"/>
              <w:gridCol w:w="1105"/>
              <w:gridCol w:w="969"/>
            </w:tblGrid>
            <w:tr w:rsidR="00F76A63" w14:paraId="6833E0F5" w14:textId="77777777">
              <w:trPr>
                <w:trHeight w:val="90"/>
                <w:jc w:val="center"/>
              </w:trPr>
              <w:tc>
                <w:tcPr>
                  <w:tcW w:w="760" w:type="dxa"/>
                  <w:gridSpan w:val="2"/>
                  <w:tcBorders>
                    <w:top w:val="single" w:sz="12" w:space="0" w:color="000000"/>
                    <w:left w:val="nil"/>
                    <w:bottom w:val="single" w:sz="6" w:space="0" w:color="000000"/>
                    <w:right w:val="single" w:sz="6" w:space="0" w:color="000000"/>
                  </w:tcBorders>
                  <w:vAlign w:val="center"/>
                </w:tcPr>
                <w:p w14:paraId="3B0A79D8" w14:textId="77777777" w:rsidR="00F76A63" w:rsidRDefault="00000000">
                  <w:pPr>
                    <w:pStyle w:val="001"/>
                  </w:pPr>
                  <w:r>
                    <w:t>类别</w:t>
                  </w:r>
                </w:p>
              </w:tc>
              <w:tc>
                <w:tcPr>
                  <w:tcW w:w="957" w:type="dxa"/>
                  <w:tcBorders>
                    <w:top w:val="single" w:sz="12" w:space="0" w:color="000000"/>
                    <w:left w:val="single" w:sz="6" w:space="0" w:color="000000"/>
                    <w:bottom w:val="single" w:sz="6" w:space="0" w:color="000000"/>
                    <w:right w:val="single" w:sz="6" w:space="0" w:color="000000"/>
                  </w:tcBorders>
                  <w:vAlign w:val="center"/>
                </w:tcPr>
                <w:p w14:paraId="1BF11EA0" w14:textId="77777777" w:rsidR="00F76A63" w:rsidRDefault="00000000">
                  <w:pPr>
                    <w:pStyle w:val="001"/>
                  </w:pPr>
                  <w:r>
                    <w:t>污染物</w:t>
                  </w:r>
                </w:p>
              </w:tc>
              <w:tc>
                <w:tcPr>
                  <w:tcW w:w="928" w:type="dxa"/>
                  <w:tcBorders>
                    <w:top w:val="single" w:sz="12" w:space="0" w:color="000000"/>
                    <w:left w:val="single" w:sz="6" w:space="0" w:color="000000"/>
                    <w:bottom w:val="single" w:sz="6" w:space="0" w:color="000000"/>
                    <w:right w:val="single" w:sz="6" w:space="0" w:color="000000"/>
                  </w:tcBorders>
                  <w:vAlign w:val="center"/>
                </w:tcPr>
                <w:p w14:paraId="0C309AB9" w14:textId="77777777" w:rsidR="00F76A63" w:rsidRDefault="00000000">
                  <w:pPr>
                    <w:pStyle w:val="001"/>
                  </w:pPr>
                  <w:r>
                    <w:t>排污证许可排放量</w:t>
                  </w:r>
                  <w:r>
                    <w:rPr>
                      <w:rFonts w:ascii="Cambria Math" w:hAnsi="Cambria Math" w:cs="Cambria Math" w:hint="eastAsia"/>
                    </w:rPr>
                    <w:t>①</w:t>
                  </w:r>
                </w:p>
              </w:tc>
              <w:tc>
                <w:tcPr>
                  <w:tcW w:w="1050" w:type="dxa"/>
                  <w:tcBorders>
                    <w:top w:val="single" w:sz="12" w:space="0" w:color="000000"/>
                    <w:left w:val="single" w:sz="6" w:space="0" w:color="000000"/>
                    <w:bottom w:val="single" w:sz="6" w:space="0" w:color="000000"/>
                    <w:right w:val="single" w:sz="6" w:space="0" w:color="000000"/>
                  </w:tcBorders>
                  <w:vAlign w:val="center"/>
                </w:tcPr>
                <w:p w14:paraId="3FAC6055" w14:textId="77777777" w:rsidR="00F76A63" w:rsidRDefault="00000000">
                  <w:pPr>
                    <w:pStyle w:val="001"/>
                  </w:pPr>
                  <w:r>
                    <w:t>现有项目排放量</w:t>
                  </w:r>
                  <w:r>
                    <w:rPr>
                      <w:rFonts w:ascii="Cambria Math" w:hAnsi="Cambria Math" w:cs="Cambria Math"/>
                    </w:rPr>
                    <w:t>②</w:t>
                  </w:r>
                </w:p>
              </w:tc>
              <w:tc>
                <w:tcPr>
                  <w:tcW w:w="1104" w:type="dxa"/>
                  <w:tcBorders>
                    <w:top w:val="single" w:sz="12" w:space="0" w:color="000000"/>
                    <w:left w:val="single" w:sz="6" w:space="0" w:color="000000"/>
                    <w:bottom w:val="single" w:sz="6" w:space="0" w:color="000000"/>
                    <w:right w:val="single" w:sz="6" w:space="0" w:color="000000"/>
                  </w:tcBorders>
                  <w:vAlign w:val="center"/>
                </w:tcPr>
                <w:p w14:paraId="52F86E66" w14:textId="77777777" w:rsidR="00F76A63" w:rsidRDefault="00000000">
                  <w:pPr>
                    <w:pStyle w:val="001"/>
                  </w:pPr>
                  <w:r>
                    <w:t>本项目排放量</w:t>
                  </w:r>
                </w:p>
              </w:tc>
              <w:tc>
                <w:tcPr>
                  <w:tcW w:w="1309" w:type="dxa"/>
                  <w:tcBorders>
                    <w:top w:val="single" w:sz="12" w:space="0" w:color="000000"/>
                    <w:left w:val="single" w:sz="6" w:space="0" w:color="000000"/>
                    <w:bottom w:val="single" w:sz="6" w:space="0" w:color="000000"/>
                    <w:right w:val="single" w:sz="6" w:space="0" w:color="000000"/>
                  </w:tcBorders>
                  <w:vAlign w:val="center"/>
                </w:tcPr>
                <w:p w14:paraId="1FB030E0" w14:textId="77777777" w:rsidR="00F76A63" w:rsidRDefault="00000000">
                  <w:pPr>
                    <w:pStyle w:val="001"/>
                  </w:pPr>
                  <w:r>
                    <w:t>“</w:t>
                  </w:r>
                  <w:r>
                    <w:t>以新带老</w:t>
                  </w:r>
                  <w:r>
                    <w:t>”</w:t>
                  </w:r>
                  <w:r>
                    <w:t>削减量</w:t>
                  </w:r>
                </w:p>
              </w:tc>
              <w:tc>
                <w:tcPr>
                  <w:tcW w:w="1105" w:type="dxa"/>
                  <w:tcBorders>
                    <w:top w:val="single" w:sz="12" w:space="0" w:color="000000"/>
                    <w:left w:val="single" w:sz="6" w:space="0" w:color="000000"/>
                    <w:bottom w:val="single" w:sz="6" w:space="0" w:color="000000"/>
                    <w:right w:val="single" w:sz="6" w:space="0" w:color="000000"/>
                  </w:tcBorders>
                  <w:vAlign w:val="center"/>
                </w:tcPr>
                <w:p w14:paraId="454FB17B" w14:textId="77777777" w:rsidR="00F76A63" w:rsidRDefault="00000000">
                  <w:pPr>
                    <w:pStyle w:val="001"/>
                  </w:pPr>
                  <w:r>
                    <w:t>改建后</w:t>
                  </w:r>
                  <w:r>
                    <w:rPr>
                      <w:rFonts w:hint="eastAsia"/>
                    </w:rPr>
                    <w:t>全厂</w:t>
                  </w:r>
                  <w:r>
                    <w:t>排放量</w:t>
                  </w:r>
                </w:p>
              </w:tc>
              <w:tc>
                <w:tcPr>
                  <w:tcW w:w="969" w:type="dxa"/>
                  <w:tcBorders>
                    <w:top w:val="single" w:sz="12" w:space="0" w:color="000000"/>
                    <w:left w:val="single" w:sz="6" w:space="0" w:color="000000"/>
                    <w:bottom w:val="single" w:sz="6" w:space="0" w:color="000000"/>
                    <w:right w:val="nil"/>
                  </w:tcBorders>
                  <w:vAlign w:val="center"/>
                </w:tcPr>
                <w:p w14:paraId="1D5886B0" w14:textId="77777777" w:rsidR="00F76A63" w:rsidRDefault="00000000">
                  <w:pPr>
                    <w:pStyle w:val="001"/>
                  </w:pPr>
                  <w:r>
                    <w:rPr>
                      <w:rFonts w:hint="eastAsia"/>
                    </w:rPr>
                    <w:t>相较于许可排放量</w:t>
                  </w:r>
                  <w:r>
                    <w:t>增减量</w:t>
                  </w:r>
                </w:p>
              </w:tc>
            </w:tr>
            <w:tr w:rsidR="00F76A63" w14:paraId="4ED69CE6" w14:textId="77777777">
              <w:trPr>
                <w:trHeight w:val="134"/>
                <w:jc w:val="center"/>
              </w:trPr>
              <w:tc>
                <w:tcPr>
                  <w:tcW w:w="380" w:type="dxa"/>
                  <w:vMerge w:val="restart"/>
                  <w:tcBorders>
                    <w:top w:val="single" w:sz="6" w:space="0" w:color="000000"/>
                    <w:left w:val="nil"/>
                    <w:bottom w:val="single" w:sz="6" w:space="0" w:color="000000"/>
                    <w:right w:val="single" w:sz="6" w:space="0" w:color="000000"/>
                  </w:tcBorders>
                  <w:vAlign w:val="center"/>
                </w:tcPr>
                <w:p w14:paraId="2949FABC" w14:textId="77777777" w:rsidR="00F76A63" w:rsidRDefault="00000000">
                  <w:pPr>
                    <w:pStyle w:val="000"/>
                  </w:pPr>
                  <w:r>
                    <w:t>废气</w:t>
                  </w:r>
                </w:p>
              </w:tc>
              <w:tc>
                <w:tcPr>
                  <w:tcW w:w="380" w:type="dxa"/>
                  <w:vMerge w:val="restart"/>
                  <w:tcBorders>
                    <w:top w:val="single" w:sz="6" w:space="0" w:color="000000"/>
                    <w:left w:val="single" w:sz="6" w:space="0" w:color="000000"/>
                    <w:bottom w:val="single" w:sz="6" w:space="0" w:color="000000"/>
                    <w:right w:val="single" w:sz="6" w:space="0" w:color="000000"/>
                  </w:tcBorders>
                  <w:vAlign w:val="center"/>
                </w:tcPr>
                <w:p w14:paraId="1624CF13" w14:textId="77777777" w:rsidR="00F76A63" w:rsidRDefault="00000000">
                  <w:pPr>
                    <w:pStyle w:val="000"/>
                  </w:pPr>
                  <w:r>
                    <w:t>有组织</w:t>
                  </w:r>
                </w:p>
              </w:tc>
              <w:tc>
                <w:tcPr>
                  <w:tcW w:w="957" w:type="dxa"/>
                  <w:tcBorders>
                    <w:top w:val="single" w:sz="6" w:space="0" w:color="000000"/>
                    <w:left w:val="single" w:sz="6" w:space="0" w:color="000000"/>
                    <w:bottom w:val="single" w:sz="6" w:space="0" w:color="000000"/>
                    <w:right w:val="single" w:sz="6" w:space="0" w:color="000000"/>
                  </w:tcBorders>
                  <w:vAlign w:val="center"/>
                </w:tcPr>
                <w:p w14:paraId="1D28B80A" w14:textId="77777777" w:rsidR="00F76A63" w:rsidRDefault="00000000">
                  <w:pPr>
                    <w:pStyle w:val="000"/>
                  </w:pPr>
                  <w:r>
                    <w:t>颗粒物</w:t>
                  </w:r>
                </w:p>
              </w:tc>
              <w:tc>
                <w:tcPr>
                  <w:tcW w:w="928" w:type="dxa"/>
                  <w:tcBorders>
                    <w:top w:val="single" w:sz="6" w:space="0" w:color="000000"/>
                    <w:left w:val="single" w:sz="6" w:space="0" w:color="000000"/>
                    <w:bottom w:val="single" w:sz="6" w:space="0" w:color="000000"/>
                    <w:right w:val="single" w:sz="6" w:space="0" w:color="000000"/>
                  </w:tcBorders>
                  <w:vAlign w:val="center"/>
                </w:tcPr>
                <w:p w14:paraId="3E290A96" w14:textId="77777777" w:rsidR="00F76A63" w:rsidRDefault="00000000">
                  <w:pPr>
                    <w:pStyle w:val="000"/>
                  </w:pPr>
                  <w:r>
                    <w:t>272.12</w:t>
                  </w:r>
                </w:p>
              </w:tc>
              <w:tc>
                <w:tcPr>
                  <w:tcW w:w="1050" w:type="dxa"/>
                  <w:tcBorders>
                    <w:top w:val="single" w:sz="6" w:space="0" w:color="000000"/>
                    <w:left w:val="single" w:sz="6" w:space="0" w:color="000000"/>
                    <w:bottom w:val="single" w:sz="6" w:space="0" w:color="000000"/>
                    <w:right w:val="single" w:sz="6" w:space="0" w:color="000000"/>
                  </w:tcBorders>
                  <w:vAlign w:val="center"/>
                </w:tcPr>
                <w:p w14:paraId="4787E3C0" w14:textId="77777777" w:rsidR="00F76A63" w:rsidRDefault="00000000">
                  <w:pPr>
                    <w:pStyle w:val="000"/>
                  </w:pPr>
                  <w:r>
                    <w:rPr>
                      <w:rFonts w:hint="eastAsia"/>
                    </w:rPr>
                    <w:t>261.752</w:t>
                  </w:r>
                </w:p>
              </w:tc>
              <w:tc>
                <w:tcPr>
                  <w:tcW w:w="1104" w:type="dxa"/>
                  <w:tcBorders>
                    <w:top w:val="single" w:sz="6" w:space="0" w:color="000000"/>
                    <w:left w:val="single" w:sz="6" w:space="0" w:color="000000"/>
                    <w:bottom w:val="single" w:sz="6" w:space="0" w:color="000000"/>
                    <w:right w:val="single" w:sz="6" w:space="0" w:color="000000"/>
                  </w:tcBorders>
                  <w:vAlign w:val="center"/>
                </w:tcPr>
                <w:p w14:paraId="43390CA0" w14:textId="77777777" w:rsidR="00F76A63" w:rsidRDefault="00000000">
                  <w:pPr>
                    <w:pStyle w:val="000"/>
                  </w:pPr>
                  <w:r>
                    <w:t>81.62</w:t>
                  </w:r>
                </w:p>
              </w:tc>
              <w:tc>
                <w:tcPr>
                  <w:tcW w:w="1309" w:type="dxa"/>
                  <w:tcBorders>
                    <w:top w:val="single" w:sz="6" w:space="0" w:color="000000"/>
                    <w:left w:val="single" w:sz="6" w:space="0" w:color="000000"/>
                    <w:bottom w:val="single" w:sz="6" w:space="0" w:color="000000"/>
                    <w:right w:val="single" w:sz="6" w:space="0" w:color="000000"/>
                  </w:tcBorders>
                  <w:vAlign w:val="center"/>
                </w:tcPr>
                <w:p w14:paraId="7EA621B9" w14:textId="77777777" w:rsidR="00F76A63" w:rsidRDefault="00000000">
                  <w:pPr>
                    <w:pStyle w:val="000"/>
                  </w:pPr>
                  <w:r>
                    <w:t>81.62</w:t>
                  </w:r>
                </w:p>
              </w:tc>
              <w:tc>
                <w:tcPr>
                  <w:tcW w:w="1105" w:type="dxa"/>
                  <w:tcBorders>
                    <w:top w:val="single" w:sz="6" w:space="0" w:color="000000"/>
                    <w:left w:val="single" w:sz="6" w:space="0" w:color="000000"/>
                    <w:bottom w:val="single" w:sz="6" w:space="0" w:color="000000"/>
                    <w:right w:val="single" w:sz="6" w:space="0" w:color="000000"/>
                  </w:tcBorders>
                  <w:vAlign w:val="center"/>
                </w:tcPr>
                <w:p w14:paraId="4668C0F9" w14:textId="77777777" w:rsidR="00F76A63" w:rsidRDefault="00000000">
                  <w:pPr>
                    <w:pStyle w:val="000"/>
                  </w:pPr>
                  <w:r>
                    <w:rPr>
                      <w:rFonts w:hint="eastAsia"/>
                    </w:rPr>
                    <w:t>261.752</w:t>
                  </w:r>
                </w:p>
              </w:tc>
              <w:tc>
                <w:tcPr>
                  <w:tcW w:w="969" w:type="dxa"/>
                  <w:tcBorders>
                    <w:top w:val="single" w:sz="6" w:space="0" w:color="000000"/>
                    <w:left w:val="single" w:sz="6" w:space="0" w:color="000000"/>
                    <w:bottom w:val="single" w:sz="6" w:space="0" w:color="000000"/>
                    <w:right w:val="nil"/>
                  </w:tcBorders>
                  <w:vAlign w:val="center"/>
                </w:tcPr>
                <w:p w14:paraId="3BBFF995" w14:textId="77777777" w:rsidR="00F76A63" w:rsidRDefault="00000000">
                  <w:pPr>
                    <w:pStyle w:val="000"/>
                  </w:pPr>
                  <w:r>
                    <w:t>-</w:t>
                  </w:r>
                  <w:r>
                    <w:rPr>
                      <w:rFonts w:hint="eastAsia"/>
                    </w:rPr>
                    <w:t>10.368</w:t>
                  </w:r>
                </w:p>
              </w:tc>
            </w:tr>
            <w:tr w:rsidR="00F76A63" w14:paraId="242AE6DF"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1A4E003E"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3D6C1873"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76F2CA04" w14:textId="77777777" w:rsidR="00F76A63" w:rsidRDefault="00000000">
                  <w:pPr>
                    <w:pStyle w:val="000"/>
                  </w:pPr>
                  <w:r>
                    <w:t>SO</w:t>
                  </w:r>
                  <w:r>
                    <w:rPr>
                      <w:vertAlign w:val="subscript"/>
                    </w:rPr>
                    <w:t>2</w:t>
                  </w:r>
                </w:p>
              </w:tc>
              <w:tc>
                <w:tcPr>
                  <w:tcW w:w="928" w:type="dxa"/>
                  <w:tcBorders>
                    <w:top w:val="single" w:sz="6" w:space="0" w:color="000000"/>
                    <w:left w:val="single" w:sz="6" w:space="0" w:color="000000"/>
                    <w:bottom w:val="single" w:sz="6" w:space="0" w:color="000000"/>
                    <w:right w:val="single" w:sz="6" w:space="0" w:color="000000"/>
                  </w:tcBorders>
                  <w:vAlign w:val="center"/>
                </w:tcPr>
                <w:p w14:paraId="5B3CFE47" w14:textId="77777777" w:rsidR="00F76A63" w:rsidRDefault="00000000">
                  <w:pPr>
                    <w:pStyle w:val="000"/>
                  </w:pPr>
                  <w:r>
                    <w:t>323.039</w:t>
                  </w:r>
                </w:p>
              </w:tc>
              <w:tc>
                <w:tcPr>
                  <w:tcW w:w="1050" w:type="dxa"/>
                  <w:tcBorders>
                    <w:top w:val="single" w:sz="6" w:space="0" w:color="000000"/>
                    <w:left w:val="single" w:sz="6" w:space="0" w:color="000000"/>
                    <w:bottom w:val="single" w:sz="6" w:space="0" w:color="000000"/>
                    <w:right w:val="single" w:sz="6" w:space="0" w:color="000000"/>
                  </w:tcBorders>
                  <w:vAlign w:val="center"/>
                </w:tcPr>
                <w:p w14:paraId="4DF3C953" w14:textId="77777777" w:rsidR="00F76A63" w:rsidRDefault="00000000">
                  <w:pPr>
                    <w:pStyle w:val="000"/>
                  </w:pPr>
                  <w:r>
                    <w:t>305.</w:t>
                  </w:r>
                  <w:r>
                    <w:rPr>
                      <w:rFonts w:hint="eastAsia"/>
                    </w:rPr>
                    <w:t>428</w:t>
                  </w:r>
                </w:p>
              </w:tc>
              <w:tc>
                <w:tcPr>
                  <w:tcW w:w="1104" w:type="dxa"/>
                  <w:tcBorders>
                    <w:top w:val="single" w:sz="6" w:space="0" w:color="000000"/>
                    <w:left w:val="single" w:sz="6" w:space="0" w:color="000000"/>
                    <w:bottom w:val="single" w:sz="6" w:space="0" w:color="000000"/>
                    <w:right w:val="single" w:sz="6" w:space="0" w:color="000000"/>
                  </w:tcBorders>
                  <w:vAlign w:val="center"/>
                </w:tcPr>
                <w:p w14:paraId="1C7F65B2" w14:textId="77777777" w:rsidR="00F76A63" w:rsidRDefault="00000000">
                  <w:pPr>
                    <w:widowControl/>
                    <w:jc w:val="center"/>
                    <w:rPr>
                      <w:szCs w:val="21"/>
                    </w:rPr>
                  </w:pPr>
                  <w:r>
                    <w:rPr>
                      <w:szCs w:val="21"/>
                    </w:rPr>
                    <w:t>308.312</w:t>
                  </w:r>
                </w:p>
              </w:tc>
              <w:tc>
                <w:tcPr>
                  <w:tcW w:w="1309" w:type="dxa"/>
                  <w:tcBorders>
                    <w:top w:val="single" w:sz="6" w:space="0" w:color="000000"/>
                    <w:left w:val="single" w:sz="6" w:space="0" w:color="000000"/>
                    <w:bottom w:val="single" w:sz="6" w:space="0" w:color="000000"/>
                    <w:right w:val="single" w:sz="6" w:space="0" w:color="000000"/>
                  </w:tcBorders>
                  <w:vAlign w:val="center"/>
                </w:tcPr>
                <w:p w14:paraId="5E6D30C2" w14:textId="77777777" w:rsidR="00F76A63" w:rsidRDefault="00000000">
                  <w:pPr>
                    <w:pStyle w:val="000"/>
                  </w:pPr>
                  <w:r>
                    <w:t>305.504</w:t>
                  </w:r>
                </w:p>
              </w:tc>
              <w:tc>
                <w:tcPr>
                  <w:tcW w:w="1105" w:type="dxa"/>
                  <w:tcBorders>
                    <w:top w:val="single" w:sz="6" w:space="0" w:color="000000"/>
                    <w:left w:val="single" w:sz="6" w:space="0" w:color="000000"/>
                    <w:bottom w:val="single" w:sz="6" w:space="0" w:color="000000"/>
                    <w:right w:val="single" w:sz="6" w:space="0" w:color="000000"/>
                  </w:tcBorders>
                  <w:vAlign w:val="center"/>
                </w:tcPr>
                <w:p w14:paraId="1DF46D2D" w14:textId="77777777" w:rsidR="00F76A63" w:rsidRDefault="00000000">
                  <w:pPr>
                    <w:pStyle w:val="000"/>
                  </w:pPr>
                  <w:r>
                    <w:t>308.312</w:t>
                  </w:r>
                </w:p>
              </w:tc>
              <w:tc>
                <w:tcPr>
                  <w:tcW w:w="969" w:type="dxa"/>
                  <w:tcBorders>
                    <w:top w:val="single" w:sz="6" w:space="0" w:color="000000"/>
                    <w:left w:val="single" w:sz="6" w:space="0" w:color="000000"/>
                    <w:bottom w:val="single" w:sz="6" w:space="0" w:color="000000"/>
                    <w:right w:val="nil"/>
                  </w:tcBorders>
                  <w:vAlign w:val="center"/>
                </w:tcPr>
                <w:p w14:paraId="450D2400" w14:textId="77777777" w:rsidR="00F76A63" w:rsidRDefault="00000000">
                  <w:pPr>
                    <w:pStyle w:val="000"/>
                  </w:pPr>
                  <w:r>
                    <w:t>-</w:t>
                  </w:r>
                  <w:r>
                    <w:rPr>
                      <w:rFonts w:hint="eastAsia"/>
                    </w:rPr>
                    <w:t>14.727</w:t>
                  </w:r>
                </w:p>
              </w:tc>
            </w:tr>
            <w:tr w:rsidR="00F76A63" w14:paraId="2DCF3444"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1CE7CECF"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03F58DDB"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7E4FB5F0" w14:textId="77777777" w:rsidR="00F76A63" w:rsidRDefault="00000000">
                  <w:pPr>
                    <w:pStyle w:val="000"/>
                  </w:pPr>
                  <w:r>
                    <w:t>NOx</w:t>
                  </w:r>
                </w:p>
              </w:tc>
              <w:tc>
                <w:tcPr>
                  <w:tcW w:w="928" w:type="dxa"/>
                  <w:tcBorders>
                    <w:top w:val="single" w:sz="6" w:space="0" w:color="000000"/>
                    <w:left w:val="single" w:sz="6" w:space="0" w:color="000000"/>
                    <w:bottom w:val="single" w:sz="6" w:space="0" w:color="000000"/>
                    <w:right w:val="single" w:sz="6" w:space="0" w:color="000000"/>
                  </w:tcBorders>
                  <w:vAlign w:val="center"/>
                </w:tcPr>
                <w:p w14:paraId="5303BEE8" w14:textId="77777777" w:rsidR="00F76A63" w:rsidRDefault="00000000">
                  <w:pPr>
                    <w:pStyle w:val="000"/>
                  </w:pPr>
                  <w:r>
                    <w:t>461.484</w:t>
                  </w:r>
                </w:p>
              </w:tc>
              <w:tc>
                <w:tcPr>
                  <w:tcW w:w="1050" w:type="dxa"/>
                  <w:tcBorders>
                    <w:top w:val="single" w:sz="6" w:space="0" w:color="000000"/>
                    <w:left w:val="single" w:sz="6" w:space="0" w:color="000000"/>
                    <w:bottom w:val="single" w:sz="6" w:space="0" w:color="000000"/>
                    <w:right w:val="single" w:sz="6" w:space="0" w:color="000000"/>
                  </w:tcBorders>
                  <w:vAlign w:val="center"/>
                </w:tcPr>
                <w:p w14:paraId="51BFBAE6" w14:textId="77777777" w:rsidR="00F76A63" w:rsidRDefault="00000000">
                  <w:pPr>
                    <w:pStyle w:val="000"/>
                  </w:pPr>
                  <w:r>
                    <w:t>459.95</w:t>
                  </w:r>
                </w:p>
              </w:tc>
              <w:tc>
                <w:tcPr>
                  <w:tcW w:w="1104" w:type="dxa"/>
                  <w:tcBorders>
                    <w:top w:val="single" w:sz="6" w:space="0" w:color="000000"/>
                    <w:left w:val="single" w:sz="6" w:space="0" w:color="000000"/>
                    <w:bottom w:val="single" w:sz="6" w:space="0" w:color="000000"/>
                    <w:right w:val="single" w:sz="6" w:space="0" w:color="000000"/>
                  </w:tcBorders>
                  <w:vAlign w:val="center"/>
                </w:tcPr>
                <w:p w14:paraId="4371E39E" w14:textId="77777777" w:rsidR="00F76A63" w:rsidRDefault="00000000">
                  <w:pPr>
                    <w:pStyle w:val="000"/>
                  </w:pPr>
                  <w:r>
                    <w:t>459.95</w:t>
                  </w:r>
                </w:p>
              </w:tc>
              <w:tc>
                <w:tcPr>
                  <w:tcW w:w="1309" w:type="dxa"/>
                  <w:tcBorders>
                    <w:top w:val="single" w:sz="6" w:space="0" w:color="000000"/>
                    <w:left w:val="single" w:sz="6" w:space="0" w:color="000000"/>
                    <w:bottom w:val="single" w:sz="6" w:space="0" w:color="000000"/>
                    <w:right w:val="single" w:sz="6" w:space="0" w:color="000000"/>
                  </w:tcBorders>
                  <w:vAlign w:val="center"/>
                </w:tcPr>
                <w:p w14:paraId="03360AFB" w14:textId="77777777" w:rsidR="00F76A63" w:rsidRDefault="00000000">
                  <w:pPr>
                    <w:pStyle w:val="000"/>
                  </w:pPr>
                  <w:r>
                    <w:t>459.95</w:t>
                  </w:r>
                </w:p>
              </w:tc>
              <w:tc>
                <w:tcPr>
                  <w:tcW w:w="1105" w:type="dxa"/>
                  <w:tcBorders>
                    <w:top w:val="single" w:sz="6" w:space="0" w:color="000000"/>
                    <w:left w:val="single" w:sz="6" w:space="0" w:color="000000"/>
                    <w:bottom w:val="single" w:sz="6" w:space="0" w:color="000000"/>
                    <w:right w:val="single" w:sz="6" w:space="0" w:color="000000"/>
                  </w:tcBorders>
                  <w:vAlign w:val="center"/>
                </w:tcPr>
                <w:p w14:paraId="4B4FE5D9" w14:textId="77777777" w:rsidR="00F76A63" w:rsidRDefault="00000000">
                  <w:pPr>
                    <w:pStyle w:val="000"/>
                  </w:pPr>
                  <w:r>
                    <w:t>459.95</w:t>
                  </w:r>
                </w:p>
              </w:tc>
              <w:tc>
                <w:tcPr>
                  <w:tcW w:w="969" w:type="dxa"/>
                  <w:tcBorders>
                    <w:top w:val="single" w:sz="6" w:space="0" w:color="000000"/>
                    <w:left w:val="single" w:sz="6" w:space="0" w:color="000000"/>
                    <w:bottom w:val="single" w:sz="6" w:space="0" w:color="000000"/>
                    <w:right w:val="nil"/>
                  </w:tcBorders>
                  <w:vAlign w:val="center"/>
                </w:tcPr>
                <w:p w14:paraId="5331852F" w14:textId="77777777" w:rsidR="00F76A63" w:rsidRDefault="00000000">
                  <w:pPr>
                    <w:pStyle w:val="000"/>
                  </w:pPr>
                  <w:r>
                    <w:t>-1.534</w:t>
                  </w:r>
                </w:p>
              </w:tc>
            </w:tr>
            <w:tr w:rsidR="00F76A63" w14:paraId="327B18B6"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0114E687"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19DC8A02"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3CA734B6" w14:textId="77777777" w:rsidR="00F76A63" w:rsidRDefault="00000000">
                  <w:pPr>
                    <w:pStyle w:val="000"/>
                  </w:pPr>
                  <w:r>
                    <w:t>HCl</w:t>
                  </w:r>
                </w:p>
              </w:tc>
              <w:tc>
                <w:tcPr>
                  <w:tcW w:w="928" w:type="dxa"/>
                  <w:tcBorders>
                    <w:top w:val="single" w:sz="6" w:space="0" w:color="000000"/>
                    <w:left w:val="single" w:sz="6" w:space="0" w:color="000000"/>
                    <w:bottom w:val="single" w:sz="6" w:space="0" w:color="000000"/>
                    <w:right w:val="single" w:sz="6" w:space="0" w:color="000000"/>
                  </w:tcBorders>
                  <w:vAlign w:val="center"/>
                </w:tcPr>
                <w:p w14:paraId="759E021E" w14:textId="77777777" w:rsidR="00F76A63" w:rsidRDefault="00000000">
                  <w:pPr>
                    <w:pStyle w:val="000"/>
                  </w:pPr>
                  <w:r>
                    <w:rPr>
                      <w:rFonts w:hint="eastAsia"/>
                    </w:rPr>
                    <w:t>23.373</w:t>
                  </w:r>
                </w:p>
              </w:tc>
              <w:tc>
                <w:tcPr>
                  <w:tcW w:w="1050" w:type="dxa"/>
                  <w:tcBorders>
                    <w:top w:val="single" w:sz="6" w:space="0" w:color="000000"/>
                    <w:left w:val="single" w:sz="6" w:space="0" w:color="000000"/>
                    <w:bottom w:val="single" w:sz="6" w:space="0" w:color="000000"/>
                    <w:right w:val="single" w:sz="6" w:space="0" w:color="000000"/>
                  </w:tcBorders>
                  <w:vAlign w:val="center"/>
                </w:tcPr>
                <w:p w14:paraId="49C432E2" w14:textId="77777777" w:rsidR="00F76A63" w:rsidRDefault="00000000">
                  <w:pPr>
                    <w:pStyle w:val="000"/>
                  </w:pPr>
                  <w:r>
                    <w:t>23.3</w:t>
                  </w:r>
                  <w:r>
                    <w:rPr>
                      <w:rFonts w:hint="eastAsia"/>
                    </w:rPr>
                    <w:t>63</w:t>
                  </w:r>
                </w:p>
              </w:tc>
              <w:tc>
                <w:tcPr>
                  <w:tcW w:w="1104" w:type="dxa"/>
                  <w:tcBorders>
                    <w:top w:val="single" w:sz="6" w:space="0" w:color="000000"/>
                    <w:left w:val="single" w:sz="6" w:space="0" w:color="000000"/>
                    <w:bottom w:val="single" w:sz="6" w:space="0" w:color="000000"/>
                    <w:right w:val="single" w:sz="6" w:space="0" w:color="000000"/>
                  </w:tcBorders>
                  <w:vAlign w:val="center"/>
                </w:tcPr>
                <w:p w14:paraId="06E0D6DB" w14:textId="77777777" w:rsidR="00F76A63" w:rsidRDefault="00000000">
                  <w:pPr>
                    <w:pStyle w:val="000"/>
                  </w:pPr>
                  <w:r>
                    <w:t>23.501</w:t>
                  </w:r>
                </w:p>
              </w:tc>
              <w:tc>
                <w:tcPr>
                  <w:tcW w:w="1309" w:type="dxa"/>
                  <w:tcBorders>
                    <w:top w:val="single" w:sz="6" w:space="0" w:color="000000"/>
                    <w:left w:val="single" w:sz="6" w:space="0" w:color="000000"/>
                    <w:bottom w:val="single" w:sz="6" w:space="0" w:color="000000"/>
                    <w:right w:val="single" w:sz="6" w:space="0" w:color="000000"/>
                  </w:tcBorders>
                  <w:vAlign w:val="center"/>
                </w:tcPr>
                <w:p w14:paraId="7A9F3F5C" w14:textId="77777777" w:rsidR="00F76A63" w:rsidRDefault="00000000">
                  <w:pPr>
                    <w:pStyle w:val="000"/>
                  </w:pPr>
                  <w:r>
                    <w:t>23.3</w:t>
                  </w:r>
                  <w:r>
                    <w:rPr>
                      <w:rFonts w:hint="eastAsia"/>
                    </w:rPr>
                    <w:t>63</w:t>
                  </w:r>
                </w:p>
              </w:tc>
              <w:tc>
                <w:tcPr>
                  <w:tcW w:w="1105" w:type="dxa"/>
                  <w:tcBorders>
                    <w:top w:val="single" w:sz="6" w:space="0" w:color="000000"/>
                    <w:left w:val="single" w:sz="6" w:space="0" w:color="000000"/>
                    <w:bottom w:val="single" w:sz="6" w:space="0" w:color="000000"/>
                    <w:right w:val="single" w:sz="6" w:space="0" w:color="000000"/>
                  </w:tcBorders>
                  <w:vAlign w:val="center"/>
                </w:tcPr>
                <w:p w14:paraId="4A4EA847" w14:textId="77777777" w:rsidR="00F76A63" w:rsidRDefault="00000000">
                  <w:pPr>
                    <w:pStyle w:val="000"/>
                  </w:pPr>
                  <w:r>
                    <w:t>23.501</w:t>
                  </w:r>
                </w:p>
              </w:tc>
              <w:tc>
                <w:tcPr>
                  <w:tcW w:w="969" w:type="dxa"/>
                  <w:tcBorders>
                    <w:top w:val="single" w:sz="6" w:space="0" w:color="000000"/>
                    <w:left w:val="single" w:sz="6" w:space="0" w:color="000000"/>
                    <w:bottom w:val="single" w:sz="6" w:space="0" w:color="000000"/>
                    <w:right w:val="nil"/>
                  </w:tcBorders>
                  <w:vAlign w:val="center"/>
                </w:tcPr>
                <w:p w14:paraId="469A8F5F" w14:textId="77777777" w:rsidR="00F76A63" w:rsidRDefault="00000000">
                  <w:pPr>
                    <w:pStyle w:val="000"/>
                  </w:pPr>
                  <w:r>
                    <w:rPr>
                      <w:rFonts w:hint="eastAsia"/>
                    </w:rPr>
                    <w:t>0</w:t>
                  </w:r>
                </w:p>
              </w:tc>
            </w:tr>
            <w:tr w:rsidR="00F76A63" w14:paraId="156B1B4B"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376FD8DB"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58DF221F"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032CF3EE" w14:textId="77777777" w:rsidR="00F76A63" w:rsidRDefault="00000000">
                  <w:pPr>
                    <w:pStyle w:val="000"/>
                  </w:pPr>
                  <w:r>
                    <w:t>HF</w:t>
                  </w:r>
                </w:p>
              </w:tc>
              <w:tc>
                <w:tcPr>
                  <w:tcW w:w="928" w:type="dxa"/>
                  <w:tcBorders>
                    <w:top w:val="single" w:sz="6" w:space="0" w:color="000000"/>
                    <w:left w:val="single" w:sz="6" w:space="0" w:color="000000"/>
                    <w:bottom w:val="single" w:sz="6" w:space="0" w:color="000000"/>
                    <w:right w:val="single" w:sz="6" w:space="0" w:color="000000"/>
                  </w:tcBorders>
                  <w:vAlign w:val="center"/>
                </w:tcPr>
                <w:p w14:paraId="6E969DD1" w14:textId="77777777" w:rsidR="00F76A63" w:rsidRDefault="00000000">
                  <w:pPr>
                    <w:pStyle w:val="000"/>
                  </w:pPr>
                  <w:r>
                    <w:rPr>
                      <w:rFonts w:hint="eastAsia"/>
                    </w:rPr>
                    <w:t>1.249</w:t>
                  </w:r>
                </w:p>
              </w:tc>
              <w:tc>
                <w:tcPr>
                  <w:tcW w:w="1050" w:type="dxa"/>
                  <w:tcBorders>
                    <w:top w:val="single" w:sz="6" w:space="0" w:color="000000"/>
                    <w:left w:val="single" w:sz="6" w:space="0" w:color="000000"/>
                    <w:bottom w:val="single" w:sz="6" w:space="0" w:color="000000"/>
                    <w:right w:val="single" w:sz="6" w:space="0" w:color="000000"/>
                  </w:tcBorders>
                  <w:vAlign w:val="center"/>
                </w:tcPr>
                <w:p w14:paraId="23314926" w14:textId="77777777" w:rsidR="00F76A63" w:rsidRDefault="00000000">
                  <w:pPr>
                    <w:pStyle w:val="000"/>
                  </w:pPr>
                  <w:r>
                    <w:t>1.249</w:t>
                  </w:r>
                </w:p>
              </w:tc>
              <w:tc>
                <w:tcPr>
                  <w:tcW w:w="1104" w:type="dxa"/>
                  <w:tcBorders>
                    <w:top w:val="single" w:sz="6" w:space="0" w:color="000000"/>
                    <w:left w:val="single" w:sz="6" w:space="0" w:color="000000"/>
                    <w:bottom w:val="single" w:sz="6" w:space="0" w:color="000000"/>
                    <w:right w:val="single" w:sz="6" w:space="0" w:color="000000"/>
                  </w:tcBorders>
                  <w:vAlign w:val="center"/>
                </w:tcPr>
                <w:p w14:paraId="34D008B4" w14:textId="77777777" w:rsidR="00F76A63" w:rsidRDefault="00000000">
                  <w:pPr>
                    <w:pStyle w:val="000"/>
                  </w:pPr>
                  <w:r>
                    <w:t>1.249</w:t>
                  </w:r>
                </w:p>
              </w:tc>
              <w:tc>
                <w:tcPr>
                  <w:tcW w:w="1309" w:type="dxa"/>
                  <w:tcBorders>
                    <w:top w:val="single" w:sz="6" w:space="0" w:color="000000"/>
                    <w:left w:val="single" w:sz="6" w:space="0" w:color="000000"/>
                    <w:bottom w:val="single" w:sz="6" w:space="0" w:color="000000"/>
                    <w:right w:val="single" w:sz="6" w:space="0" w:color="000000"/>
                  </w:tcBorders>
                  <w:vAlign w:val="center"/>
                </w:tcPr>
                <w:p w14:paraId="2BEAA953" w14:textId="77777777" w:rsidR="00F76A63" w:rsidRDefault="00000000">
                  <w:pPr>
                    <w:pStyle w:val="000"/>
                  </w:pPr>
                  <w:r>
                    <w:t>1.249</w:t>
                  </w:r>
                </w:p>
              </w:tc>
              <w:tc>
                <w:tcPr>
                  <w:tcW w:w="1105" w:type="dxa"/>
                  <w:tcBorders>
                    <w:top w:val="single" w:sz="6" w:space="0" w:color="000000"/>
                    <w:left w:val="single" w:sz="6" w:space="0" w:color="000000"/>
                    <w:bottom w:val="single" w:sz="6" w:space="0" w:color="000000"/>
                    <w:right w:val="single" w:sz="6" w:space="0" w:color="000000"/>
                  </w:tcBorders>
                  <w:vAlign w:val="center"/>
                </w:tcPr>
                <w:p w14:paraId="646E9703" w14:textId="77777777" w:rsidR="00F76A63" w:rsidRDefault="00000000">
                  <w:pPr>
                    <w:pStyle w:val="000"/>
                  </w:pPr>
                  <w:r>
                    <w:t>1.249</w:t>
                  </w:r>
                </w:p>
              </w:tc>
              <w:tc>
                <w:tcPr>
                  <w:tcW w:w="969" w:type="dxa"/>
                  <w:tcBorders>
                    <w:top w:val="single" w:sz="6" w:space="0" w:color="000000"/>
                    <w:left w:val="single" w:sz="6" w:space="0" w:color="000000"/>
                    <w:bottom w:val="single" w:sz="6" w:space="0" w:color="000000"/>
                    <w:right w:val="nil"/>
                  </w:tcBorders>
                  <w:vAlign w:val="center"/>
                </w:tcPr>
                <w:p w14:paraId="01A44155" w14:textId="77777777" w:rsidR="00F76A63" w:rsidRDefault="00000000">
                  <w:pPr>
                    <w:pStyle w:val="000"/>
                  </w:pPr>
                  <w:r>
                    <w:rPr>
                      <w:rFonts w:hint="eastAsia"/>
                    </w:rPr>
                    <w:t>0</w:t>
                  </w:r>
                </w:p>
              </w:tc>
            </w:tr>
            <w:tr w:rsidR="00F76A63" w14:paraId="184DF037"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4902D5AD"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0CCC337E"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10E01848" w14:textId="77777777" w:rsidR="00F76A63" w:rsidRDefault="00000000">
                  <w:pPr>
                    <w:pStyle w:val="000"/>
                  </w:pPr>
                  <w:r>
                    <w:t>NH</w:t>
                  </w:r>
                  <w:r>
                    <w:rPr>
                      <w:vertAlign w:val="subscript"/>
                    </w:rPr>
                    <w:t>3</w:t>
                  </w:r>
                </w:p>
              </w:tc>
              <w:tc>
                <w:tcPr>
                  <w:tcW w:w="928" w:type="dxa"/>
                  <w:tcBorders>
                    <w:top w:val="single" w:sz="6" w:space="0" w:color="000000"/>
                    <w:left w:val="single" w:sz="6" w:space="0" w:color="000000"/>
                    <w:bottom w:val="single" w:sz="6" w:space="0" w:color="000000"/>
                    <w:right w:val="single" w:sz="6" w:space="0" w:color="000000"/>
                  </w:tcBorders>
                  <w:vAlign w:val="center"/>
                </w:tcPr>
                <w:p w14:paraId="00103BC8" w14:textId="77777777" w:rsidR="00F76A63" w:rsidRDefault="00000000">
                  <w:pPr>
                    <w:pStyle w:val="000"/>
                    <w:tabs>
                      <w:tab w:val="left" w:pos="315"/>
                    </w:tabs>
                  </w:pPr>
                  <w:r>
                    <w:rPr>
                      <w:rFonts w:hint="eastAsia"/>
                    </w:rPr>
                    <w:t>51.2</w:t>
                  </w:r>
                </w:p>
              </w:tc>
              <w:tc>
                <w:tcPr>
                  <w:tcW w:w="1050" w:type="dxa"/>
                  <w:tcBorders>
                    <w:top w:val="single" w:sz="6" w:space="0" w:color="000000"/>
                    <w:left w:val="single" w:sz="6" w:space="0" w:color="000000"/>
                    <w:bottom w:val="single" w:sz="6" w:space="0" w:color="000000"/>
                    <w:right w:val="single" w:sz="6" w:space="0" w:color="000000"/>
                  </w:tcBorders>
                  <w:vAlign w:val="center"/>
                </w:tcPr>
                <w:p w14:paraId="09D20EEC" w14:textId="77777777" w:rsidR="00F76A63" w:rsidRDefault="00000000">
                  <w:pPr>
                    <w:pStyle w:val="000"/>
                  </w:pPr>
                  <w:r>
                    <w:rPr>
                      <w:rFonts w:hint="eastAsia"/>
                    </w:rPr>
                    <w:t>51.2</w:t>
                  </w:r>
                </w:p>
              </w:tc>
              <w:tc>
                <w:tcPr>
                  <w:tcW w:w="1104" w:type="dxa"/>
                  <w:tcBorders>
                    <w:top w:val="single" w:sz="6" w:space="0" w:color="000000"/>
                    <w:left w:val="single" w:sz="6" w:space="0" w:color="000000"/>
                    <w:bottom w:val="single" w:sz="6" w:space="0" w:color="000000"/>
                    <w:right w:val="single" w:sz="6" w:space="0" w:color="000000"/>
                  </w:tcBorders>
                  <w:vAlign w:val="center"/>
                </w:tcPr>
                <w:p w14:paraId="5A932E1B" w14:textId="77777777" w:rsidR="00F76A63" w:rsidRDefault="00000000">
                  <w:pPr>
                    <w:pStyle w:val="000"/>
                  </w:pPr>
                  <w:r>
                    <w:t>50.72</w:t>
                  </w:r>
                </w:p>
              </w:tc>
              <w:tc>
                <w:tcPr>
                  <w:tcW w:w="1309" w:type="dxa"/>
                  <w:tcBorders>
                    <w:top w:val="single" w:sz="6" w:space="0" w:color="000000"/>
                    <w:left w:val="single" w:sz="6" w:space="0" w:color="000000"/>
                    <w:bottom w:val="single" w:sz="6" w:space="0" w:color="000000"/>
                    <w:right w:val="single" w:sz="6" w:space="0" w:color="000000"/>
                  </w:tcBorders>
                  <w:vAlign w:val="center"/>
                </w:tcPr>
                <w:p w14:paraId="5B5C960C" w14:textId="77777777" w:rsidR="00F76A63" w:rsidRDefault="00000000">
                  <w:pPr>
                    <w:pStyle w:val="000"/>
                  </w:pPr>
                  <w:r>
                    <w:t>50.72</w:t>
                  </w:r>
                </w:p>
              </w:tc>
              <w:tc>
                <w:tcPr>
                  <w:tcW w:w="1105" w:type="dxa"/>
                  <w:tcBorders>
                    <w:top w:val="single" w:sz="6" w:space="0" w:color="000000"/>
                    <w:left w:val="single" w:sz="6" w:space="0" w:color="000000"/>
                    <w:bottom w:val="single" w:sz="6" w:space="0" w:color="000000"/>
                    <w:right w:val="single" w:sz="6" w:space="0" w:color="000000"/>
                  </w:tcBorders>
                  <w:vAlign w:val="center"/>
                </w:tcPr>
                <w:p w14:paraId="09F522A1" w14:textId="77777777" w:rsidR="00F76A63" w:rsidRDefault="00000000">
                  <w:pPr>
                    <w:pStyle w:val="000"/>
                  </w:pPr>
                  <w:r>
                    <w:rPr>
                      <w:rFonts w:hint="eastAsia"/>
                    </w:rPr>
                    <w:t>51.2</w:t>
                  </w:r>
                </w:p>
              </w:tc>
              <w:tc>
                <w:tcPr>
                  <w:tcW w:w="969" w:type="dxa"/>
                  <w:tcBorders>
                    <w:top w:val="single" w:sz="6" w:space="0" w:color="000000"/>
                    <w:left w:val="single" w:sz="6" w:space="0" w:color="000000"/>
                    <w:bottom w:val="single" w:sz="6" w:space="0" w:color="000000"/>
                    <w:right w:val="nil"/>
                  </w:tcBorders>
                  <w:vAlign w:val="center"/>
                </w:tcPr>
                <w:p w14:paraId="1C3E2CEB" w14:textId="77777777" w:rsidR="00F76A63" w:rsidRDefault="00000000">
                  <w:pPr>
                    <w:pStyle w:val="000"/>
                  </w:pPr>
                  <w:r>
                    <w:rPr>
                      <w:rFonts w:hint="eastAsia"/>
                    </w:rPr>
                    <w:t>0</w:t>
                  </w:r>
                </w:p>
              </w:tc>
            </w:tr>
            <w:tr w:rsidR="00F76A63" w14:paraId="2D549272"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01053458"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3FB5B696"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392A6F30" w14:textId="77777777" w:rsidR="00F76A63" w:rsidRDefault="00000000">
                  <w:pPr>
                    <w:pStyle w:val="000"/>
                  </w:pPr>
                  <w:r>
                    <w:t>H</w:t>
                  </w:r>
                  <w:r>
                    <w:rPr>
                      <w:vertAlign w:val="subscript"/>
                    </w:rPr>
                    <w:t>2</w:t>
                  </w:r>
                  <w:r>
                    <w:t>S</w:t>
                  </w:r>
                </w:p>
              </w:tc>
              <w:tc>
                <w:tcPr>
                  <w:tcW w:w="928" w:type="dxa"/>
                  <w:tcBorders>
                    <w:top w:val="single" w:sz="6" w:space="0" w:color="000000"/>
                    <w:left w:val="single" w:sz="6" w:space="0" w:color="000000"/>
                    <w:bottom w:val="single" w:sz="6" w:space="0" w:color="000000"/>
                    <w:right w:val="single" w:sz="6" w:space="0" w:color="000000"/>
                  </w:tcBorders>
                  <w:vAlign w:val="center"/>
                </w:tcPr>
                <w:p w14:paraId="2BF84973" w14:textId="77777777" w:rsidR="00F76A63" w:rsidRDefault="00000000">
                  <w:pPr>
                    <w:pStyle w:val="000"/>
                  </w:pPr>
                  <w:r>
                    <w:t>0.4782</w:t>
                  </w:r>
                </w:p>
              </w:tc>
              <w:tc>
                <w:tcPr>
                  <w:tcW w:w="1050" w:type="dxa"/>
                  <w:tcBorders>
                    <w:top w:val="single" w:sz="6" w:space="0" w:color="000000"/>
                    <w:left w:val="single" w:sz="6" w:space="0" w:color="000000"/>
                    <w:bottom w:val="single" w:sz="6" w:space="0" w:color="000000"/>
                    <w:right w:val="single" w:sz="6" w:space="0" w:color="000000"/>
                  </w:tcBorders>
                  <w:vAlign w:val="center"/>
                </w:tcPr>
                <w:p w14:paraId="6F267F6A" w14:textId="77777777" w:rsidR="00F76A63" w:rsidRDefault="00000000">
                  <w:pPr>
                    <w:pStyle w:val="000"/>
                  </w:pPr>
                  <w:r>
                    <w:t>0.4782</w:t>
                  </w:r>
                </w:p>
              </w:tc>
              <w:tc>
                <w:tcPr>
                  <w:tcW w:w="1104" w:type="dxa"/>
                  <w:tcBorders>
                    <w:top w:val="single" w:sz="6" w:space="0" w:color="000000"/>
                    <w:left w:val="single" w:sz="6" w:space="0" w:color="000000"/>
                    <w:bottom w:val="single" w:sz="6" w:space="0" w:color="000000"/>
                    <w:right w:val="single" w:sz="6" w:space="0" w:color="000000"/>
                  </w:tcBorders>
                  <w:vAlign w:val="center"/>
                </w:tcPr>
                <w:p w14:paraId="32F30004" w14:textId="77777777" w:rsidR="00F76A63" w:rsidRDefault="00000000">
                  <w:pPr>
                    <w:pStyle w:val="000"/>
                  </w:pPr>
                  <w: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2F5472B2"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55C0D6F4" w14:textId="77777777" w:rsidR="00F76A63" w:rsidRDefault="00000000">
                  <w:pPr>
                    <w:pStyle w:val="000"/>
                  </w:pPr>
                  <w:r>
                    <w:t>0.4782</w:t>
                  </w:r>
                </w:p>
              </w:tc>
              <w:tc>
                <w:tcPr>
                  <w:tcW w:w="969" w:type="dxa"/>
                  <w:tcBorders>
                    <w:top w:val="single" w:sz="6" w:space="0" w:color="000000"/>
                    <w:left w:val="single" w:sz="6" w:space="0" w:color="000000"/>
                    <w:bottom w:val="single" w:sz="6" w:space="0" w:color="000000"/>
                    <w:right w:val="nil"/>
                  </w:tcBorders>
                  <w:vAlign w:val="center"/>
                </w:tcPr>
                <w:p w14:paraId="620322A2" w14:textId="77777777" w:rsidR="00F76A63" w:rsidRDefault="00000000">
                  <w:pPr>
                    <w:pStyle w:val="000"/>
                  </w:pPr>
                  <w:r>
                    <w:rPr>
                      <w:rFonts w:hint="eastAsia"/>
                    </w:rPr>
                    <w:t>0</w:t>
                  </w:r>
                </w:p>
              </w:tc>
            </w:tr>
            <w:tr w:rsidR="00F76A63" w14:paraId="7DB34145"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2082E0FB"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57FDAE30"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3A103956" w14:textId="77777777" w:rsidR="00F76A63" w:rsidRDefault="00000000">
                  <w:pPr>
                    <w:pStyle w:val="000"/>
                  </w:pPr>
                  <w:r>
                    <w:t>汞及其化合物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1B74602D" w14:textId="77777777" w:rsidR="00F76A63" w:rsidRDefault="00000000">
                  <w:pPr>
                    <w:pStyle w:val="000"/>
                  </w:pPr>
                  <w:r>
                    <w:t>0.0002</w:t>
                  </w:r>
                </w:p>
              </w:tc>
              <w:tc>
                <w:tcPr>
                  <w:tcW w:w="1050" w:type="dxa"/>
                  <w:tcBorders>
                    <w:top w:val="single" w:sz="6" w:space="0" w:color="000000"/>
                    <w:left w:val="single" w:sz="6" w:space="0" w:color="000000"/>
                    <w:bottom w:val="single" w:sz="6" w:space="0" w:color="000000"/>
                    <w:right w:val="single" w:sz="6" w:space="0" w:color="000000"/>
                  </w:tcBorders>
                  <w:vAlign w:val="center"/>
                </w:tcPr>
                <w:p w14:paraId="5A9A6035" w14:textId="77777777" w:rsidR="00F76A63" w:rsidRDefault="00000000">
                  <w:pPr>
                    <w:pStyle w:val="000"/>
                  </w:pPr>
                  <w:r>
                    <w:t>0.0002</w:t>
                  </w:r>
                </w:p>
              </w:tc>
              <w:tc>
                <w:tcPr>
                  <w:tcW w:w="1104" w:type="dxa"/>
                  <w:tcBorders>
                    <w:top w:val="single" w:sz="6" w:space="0" w:color="000000"/>
                    <w:left w:val="single" w:sz="6" w:space="0" w:color="000000"/>
                    <w:bottom w:val="single" w:sz="6" w:space="0" w:color="000000"/>
                    <w:right w:val="single" w:sz="6" w:space="0" w:color="000000"/>
                  </w:tcBorders>
                  <w:vAlign w:val="center"/>
                </w:tcPr>
                <w:p w14:paraId="6F69C47E" w14:textId="77777777" w:rsidR="00F76A63" w:rsidRDefault="00000000">
                  <w:pPr>
                    <w:pStyle w:val="000"/>
                  </w:pPr>
                  <w:r>
                    <w:t>0.0002</w:t>
                  </w:r>
                </w:p>
              </w:tc>
              <w:tc>
                <w:tcPr>
                  <w:tcW w:w="1309" w:type="dxa"/>
                  <w:tcBorders>
                    <w:top w:val="single" w:sz="6" w:space="0" w:color="000000"/>
                    <w:left w:val="single" w:sz="6" w:space="0" w:color="000000"/>
                    <w:bottom w:val="single" w:sz="6" w:space="0" w:color="000000"/>
                    <w:right w:val="single" w:sz="6" w:space="0" w:color="000000"/>
                  </w:tcBorders>
                  <w:vAlign w:val="center"/>
                </w:tcPr>
                <w:p w14:paraId="47A3FD8D" w14:textId="77777777" w:rsidR="00F76A63" w:rsidRDefault="00000000">
                  <w:pPr>
                    <w:pStyle w:val="000"/>
                  </w:pPr>
                  <w:r>
                    <w:t>0.0002</w:t>
                  </w:r>
                </w:p>
              </w:tc>
              <w:tc>
                <w:tcPr>
                  <w:tcW w:w="1105" w:type="dxa"/>
                  <w:tcBorders>
                    <w:top w:val="single" w:sz="6" w:space="0" w:color="000000"/>
                    <w:left w:val="single" w:sz="6" w:space="0" w:color="000000"/>
                    <w:bottom w:val="single" w:sz="6" w:space="0" w:color="000000"/>
                    <w:right w:val="single" w:sz="6" w:space="0" w:color="000000"/>
                  </w:tcBorders>
                  <w:vAlign w:val="center"/>
                </w:tcPr>
                <w:p w14:paraId="7942D3B9" w14:textId="77777777" w:rsidR="00F76A63" w:rsidRDefault="00000000">
                  <w:pPr>
                    <w:pStyle w:val="000"/>
                  </w:pPr>
                  <w:r>
                    <w:t>0.0002</w:t>
                  </w:r>
                </w:p>
              </w:tc>
              <w:tc>
                <w:tcPr>
                  <w:tcW w:w="969" w:type="dxa"/>
                  <w:tcBorders>
                    <w:top w:val="single" w:sz="6" w:space="0" w:color="000000"/>
                    <w:left w:val="single" w:sz="6" w:space="0" w:color="000000"/>
                    <w:bottom w:val="single" w:sz="6" w:space="0" w:color="000000"/>
                    <w:right w:val="nil"/>
                  </w:tcBorders>
                  <w:vAlign w:val="center"/>
                </w:tcPr>
                <w:p w14:paraId="13C167AE" w14:textId="77777777" w:rsidR="00F76A63" w:rsidRDefault="00000000">
                  <w:pPr>
                    <w:pStyle w:val="000"/>
                  </w:pPr>
                  <w:r>
                    <w:rPr>
                      <w:rFonts w:hint="eastAsia"/>
                    </w:rPr>
                    <w:t>0</w:t>
                  </w:r>
                </w:p>
              </w:tc>
            </w:tr>
            <w:tr w:rsidR="00F76A63" w14:paraId="54685935"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60DBE3B5"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6EBB8977"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2B959DF5" w14:textId="77777777" w:rsidR="00F76A63" w:rsidRDefault="00000000">
                  <w:pPr>
                    <w:pStyle w:val="000"/>
                  </w:pPr>
                  <w:r>
                    <w:t>铊及其化合物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25D98012" w14:textId="77777777" w:rsidR="00F76A63" w:rsidRDefault="00000000">
                  <w:pPr>
                    <w:pStyle w:val="000"/>
                  </w:pPr>
                  <w:r>
                    <w:rPr>
                      <w:rFonts w:hint="eastAsia"/>
                    </w:rPr>
                    <w:t>0.0019</w:t>
                  </w:r>
                </w:p>
              </w:tc>
              <w:tc>
                <w:tcPr>
                  <w:tcW w:w="1050" w:type="dxa"/>
                  <w:tcBorders>
                    <w:top w:val="single" w:sz="6" w:space="0" w:color="000000"/>
                    <w:left w:val="single" w:sz="6" w:space="0" w:color="000000"/>
                    <w:bottom w:val="single" w:sz="6" w:space="0" w:color="000000"/>
                    <w:right w:val="single" w:sz="6" w:space="0" w:color="000000"/>
                  </w:tcBorders>
                  <w:vAlign w:val="center"/>
                </w:tcPr>
                <w:p w14:paraId="2412F1A1" w14:textId="77777777" w:rsidR="00F76A63" w:rsidRDefault="00000000">
                  <w:pPr>
                    <w:pStyle w:val="000"/>
                  </w:pPr>
                  <w:r>
                    <w:t>0.0019</w:t>
                  </w:r>
                </w:p>
              </w:tc>
              <w:tc>
                <w:tcPr>
                  <w:tcW w:w="1104" w:type="dxa"/>
                  <w:tcBorders>
                    <w:top w:val="single" w:sz="6" w:space="0" w:color="000000"/>
                    <w:left w:val="single" w:sz="6" w:space="0" w:color="000000"/>
                    <w:bottom w:val="single" w:sz="6" w:space="0" w:color="000000"/>
                    <w:right w:val="single" w:sz="6" w:space="0" w:color="000000"/>
                  </w:tcBorders>
                  <w:vAlign w:val="center"/>
                </w:tcPr>
                <w:p w14:paraId="05CC8515" w14:textId="77777777" w:rsidR="00F76A63" w:rsidRDefault="00000000">
                  <w:pPr>
                    <w:pStyle w:val="000"/>
                  </w:pPr>
                  <w:r>
                    <w:t>0.0021</w:t>
                  </w:r>
                </w:p>
              </w:tc>
              <w:tc>
                <w:tcPr>
                  <w:tcW w:w="1309" w:type="dxa"/>
                  <w:tcBorders>
                    <w:top w:val="single" w:sz="6" w:space="0" w:color="000000"/>
                    <w:left w:val="single" w:sz="6" w:space="0" w:color="000000"/>
                    <w:bottom w:val="single" w:sz="6" w:space="0" w:color="000000"/>
                    <w:right w:val="single" w:sz="6" w:space="0" w:color="000000"/>
                  </w:tcBorders>
                  <w:vAlign w:val="center"/>
                </w:tcPr>
                <w:p w14:paraId="121A3712" w14:textId="77777777" w:rsidR="00F76A63" w:rsidRDefault="00000000">
                  <w:pPr>
                    <w:pStyle w:val="000"/>
                  </w:pPr>
                  <w:r>
                    <w:t>0.0019</w:t>
                  </w:r>
                </w:p>
              </w:tc>
              <w:tc>
                <w:tcPr>
                  <w:tcW w:w="1105" w:type="dxa"/>
                  <w:tcBorders>
                    <w:top w:val="single" w:sz="6" w:space="0" w:color="000000"/>
                    <w:left w:val="single" w:sz="6" w:space="0" w:color="000000"/>
                    <w:bottom w:val="single" w:sz="6" w:space="0" w:color="000000"/>
                    <w:right w:val="single" w:sz="6" w:space="0" w:color="000000"/>
                  </w:tcBorders>
                  <w:vAlign w:val="center"/>
                </w:tcPr>
                <w:p w14:paraId="12BF691C" w14:textId="77777777" w:rsidR="00F76A63" w:rsidRDefault="00000000">
                  <w:pPr>
                    <w:pStyle w:val="000"/>
                  </w:pPr>
                  <w:r>
                    <w:t>0.0021</w:t>
                  </w:r>
                </w:p>
              </w:tc>
              <w:tc>
                <w:tcPr>
                  <w:tcW w:w="969" w:type="dxa"/>
                  <w:tcBorders>
                    <w:top w:val="single" w:sz="6" w:space="0" w:color="000000"/>
                    <w:left w:val="single" w:sz="6" w:space="0" w:color="000000"/>
                    <w:bottom w:val="single" w:sz="6" w:space="0" w:color="000000"/>
                    <w:right w:val="nil"/>
                  </w:tcBorders>
                  <w:vAlign w:val="center"/>
                </w:tcPr>
                <w:p w14:paraId="54301A28" w14:textId="77777777" w:rsidR="00F76A63" w:rsidRDefault="00000000">
                  <w:pPr>
                    <w:pStyle w:val="000"/>
                  </w:pPr>
                  <w:r>
                    <w:t>+0.0002</w:t>
                  </w:r>
                </w:p>
              </w:tc>
            </w:tr>
            <w:tr w:rsidR="00F76A63" w14:paraId="51A4FE44"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42331694"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3CF5FAD1"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43A3EF9A" w14:textId="77777777" w:rsidR="00F76A63" w:rsidRDefault="00000000">
                  <w:pPr>
                    <w:pStyle w:val="000"/>
                  </w:pPr>
                  <w:r>
                    <w:t>镉及其化合物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032BD252" w14:textId="77777777" w:rsidR="00F76A63" w:rsidRDefault="00000000">
                  <w:pPr>
                    <w:pStyle w:val="000"/>
                  </w:pPr>
                  <w:r>
                    <w:t>0.0079</w:t>
                  </w:r>
                </w:p>
              </w:tc>
              <w:tc>
                <w:tcPr>
                  <w:tcW w:w="1050" w:type="dxa"/>
                  <w:tcBorders>
                    <w:top w:val="single" w:sz="6" w:space="0" w:color="000000"/>
                    <w:left w:val="single" w:sz="6" w:space="0" w:color="000000"/>
                    <w:bottom w:val="single" w:sz="6" w:space="0" w:color="000000"/>
                    <w:right w:val="single" w:sz="6" w:space="0" w:color="000000"/>
                  </w:tcBorders>
                  <w:vAlign w:val="center"/>
                </w:tcPr>
                <w:p w14:paraId="4330526E" w14:textId="77777777" w:rsidR="00F76A63" w:rsidRDefault="00000000">
                  <w:pPr>
                    <w:pStyle w:val="000"/>
                  </w:pPr>
                  <w:r>
                    <w:t>0.0079</w:t>
                  </w:r>
                </w:p>
              </w:tc>
              <w:tc>
                <w:tcPr>
                  <w:tcW w:w="1104" w:type="dxa"/>
                  <w:tcBorders>
                    <w:top w:val="single" w:sz="6" w:space="0" w:color="000000"/>
                    <w:left w:val="single" w:sz="6" w:space="0" w:color="000000"/>
                    <w:bottom w:val="single" w:sz="6" w:space="0" w:color="000000"/>
                    <w:right w:val="single" w:sz="6" w:space="0" w:color="000000"/>
                  </w:tcBorders>
                  <w:vAlign w:val="center"/>
                </w:tcPr>
                <w:p w14:paraId="2FD71A1C" w14:textId="77777777" w:rsidR="00F76A63" w:rsidRDefault="00000000">
                  <w:pPr>
                    <w:pStyle w:val="000"/>
                  </w:pPr>
                  <w:r>
                    <w:t>0.0092</w:t>
                  </w:r>
                </w:p>
              </w:tc>
              <w:tc>
                <w:tcPr>
                  <w:tcW w:w="1309" w:type="dxa"/>
                  <w:tcBorders>
                    <w:top w:val="single" w:sz="6" w:space="0" w:color="000000"/>
                    <w:left w:val="single" w:sz="6" w:space="0" w:color="000000"/>
                    <w:bottom w:val="single" w:sz="6" w:space="0" w:color="000000"/>
                    <w:right w:val="single" w:sz="6" w:space="0" w:color="000000"/>
                  </w:tcBorders>
                  <w:vAlign w:val="center"/>
                </w:tcPr>
                <w:p w14:paraId="6A116DF9" w14:textId="77777777" w:rsidR="00F76A63" w:rsidRDefault="00000000">
                  <w:pPr>
                    <w:pStyle w:val="000"/>
                  </w:pPr>
                  <w:r>
                    <w:t>0.0079</w:t>
                  </w:r>
                </w:p>
              </w:tc>
              <w:tc>
                <w:tcPr>
                  <w:tcW w:w="1105" w:type="dxa"/>
                  <w:tcBorders>
                    <w:top w:val="single" w:sz="6" w:space="0" w:color="000000"/>
                    <w:left w:val="single" w:sz="6" w:space="0" w:color="000000"/>
                    <w:bottom w:val="single" w:sz="6" w:space="0" w:color="000000"/>
                    <w:right w:val="single" w:sz="6" w:space="0" w:color="000000"/>
                  </w:tcBorders>
                  <w:vAlign w:val="center"/>
                </w:tcPr>
                <w:p w14:paraId="39B4E670" w14:textId="77777777" w:rsidR="00F76A63" w:rsidRDefault="00000000">
                  <w:pPr>
                    <w:pStyle w:val="000"/>
                  </w:pPr>
                  <w:r>
                    <w:t>0.0092</w:t>
                  </w:r>
                </w:p>
              </w:tc>
              <w:tc>
                <w:tcPr>
                  <w:tcW w:w="969" w:type="dxa"/>
                  <w:tcBorders>
                    <w:top w:val="single" w:sz="6" w:space="0" w:color="000000"/>
                    <w:left w:val="single" w:sz="6" w:space="0" w:color="000000"/>
                    <w:bottom w:val="single" w:sz="6" w:space="0" w:color="000000"/>
                    <w:right w:val="nil"/>
                  </w:tcBorders>
                  <w:vAlign w:val="center"/>
                </w:tcPr>
                <w:p w14:paraId="6BF92FA0" w14:textId="77777777" w:rsidR="00F76A63" w:rsidRDefault="00000000">
                  <w:pPr>
                    <w:pStyle w:val="000"/>
                  </w:pPr>
                  <w:r>
                    <w:t>+0.0013</w:t>
                  </w:r>
                </w:p>
              </w:tc>
            </w:tr>
            <w:tr w:rsidR="00F76A63" w14:paraId="7B433501"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41BB5B55"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4BABA38B"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12ADF945" w14:textId="77777777" w:rsidR="00F76A63" w:rsidRDefault="00000000">
                  <w:pPr>
                    <w:pStyle w:val="000"/>
                  </w:pPr>
                  <w:r>
                    <w:t>铅及其化合物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37408384" w14:textId="77777777" w:rsidR="00F76A63" w:rsidRDefault="00000000">
                  <w:pPr>
                    <w:pStyle w:val="000"/>
                  </w:pPr>
                  <w:r>
                    <w:t>0.1318</w:t>
                  </w:r>
                </w:p>
              </w:tc>
              <w:tc>
                <w:tcPr>
                  <w:tcW w:w="1050" w:type="dxa"/>
                  <w:tcBorders>
                    <w:top w:val="single" w:sz="6" w:space="0" w:color="000000"/>
                    <w:left w:val="single" w:sz="6" w:space="0" w:color="000000"/>
                    <w:bottom w:val="single" w:sz="6" w:space="0" w:color="000000"/>
                    <w:right w:val="single" w:sz="6" w:space="0" w:color="000000"/>
                  </w:tcBorders>
                  <w:vAlign w:val="center"/>
                </w:tcPr>
                <w:p w14:paraId="41022250" w14:textId="77777777" w:rsidR="00F76A63" w:rsidRDefault="00000000">
                  <w:pPr>
                    <w:pStyle w:val="000"/>
                  </w:pPr>
                  <w:r>
                    <w:t>0.1318</w:t>
                  </w:r>
                </w:p>
              </w:tc>
              <w:tc>
                <w:tcPr>
                  <w:tcW w:w="1104" w:type="dxa"/>
                  <w:tcBorders>
                    <w:top w:val="single" w:sz="6" w:space="0" w:color="000000"/>
                    <w:left w:val="single" w:sz="6" w:space="0" w:color="000000"/>
                    <w:bottom w:val="single" w:sz="6" w:space="0" w:color="000000"/>
                    <w:right w:val="single" w:sz="6" w:space="0" w:color="000000"/>
                  </w:tcBorders>
                  <w:vAlign w:val="center"/>
                </w:tcPr>
                <w:p w14:paraId="09EB3C38" w14:textId="77777777" w:rsidR="00F76A63" w:rsidRDefault="00000000">
                  <w:pPr>
                    <w:pStyle w:val="000"/>
                  </w:pPr>
                  <w:r>
                    <w:t>0.1769</w:t>
                  </w:r>
                </w:p>
              </w:tc>
              <w:tc>
                <w:tcPr>
                  <w:tcW w:w="1309" w:type="dxa"/>
                  <w:tcBorders>
                    <w:top w:val="single" w:sz="6" w:space="0" w:color="000000"/>
                    <w:left w:val="single" w:sz="6" w:space="0" w:color="000000"/>
                    <w:bottom w:val="single" w:sz="6" w:space="0" w:color="000000"/>
                    <w:right w:val="single" w:sz="6" w:space="0" w:color="000000"/>
                  </w:tcBorders>
                  <w:vAlign w:val="center"/>
                </w:tcPr>
                <w:p w14:paraId="2071EC10" w14:textId="77777777" w:rsidR="00F76A63" w:rsidRDefault="00000000">
                  <w:pPr>
                    <w:pStyle w:val="000"/>
                  </w:pPr>
                  <w:r>
                    <w:t>0.1318</w:t>
                  </w:r>
                </w:p>
              </w:tc>
              <w:tc>
                <w:tcPr>
                  <w:tcW w:w="1105" w:type="dxa"/>
                  <w:tcBorders>
                    <w:top w:val="single" w:sz="6" w:space="0" w:color="000000"/>
                    <w:left w:val="single" w:sz="6" w:space="0" w:color="000000"/>
                    <w:bottom w:val="single" w:sz="6" w:space="0" w:color="000000"/>
                    <w:right w:val="single" w:sz="6" w:space="0" w:color="000000"/>
                  </w:tcBorders>
                  <w:vAlign w:val="center"/>
                </w:tcPr>
                <w:p w14:paraId="4D79F2BC" w14:textId="77777777" w:rsidR="00F76A63" w:rsidRDefault="00000000">
                  <w:pPr>
                    <w:pStyle w:val="000"/>
                  </w:pPr>
                  <w:r>
                    <w:t>0.1769</w:t>
                  </w:r>
                </w:p>
              </w:tc>
              <w:tc>
                <w:tcPr>
                  <w:tcW w:w="969" w:type="dxa"/>
                  <w:tcBorders>
                    <w:top w:val="single" w:sz="6" w:space="0" w:color="000000"/>
                    <w:left w:val="single" w:sz="6" w:space="0" w:color="000000"/>
                    <w:bottom w:val="single" w:sz="6" w:space="0" w:color="000000"/>
                    <w:right w:val="nil"/>
                  </w:tcBorders>
                  <w:vAlign w:val="center"/>
                </w:tcPr>
                <w:p w14:paraId="5A61F6BA" w14:textId="77777777" w:rsidR="00F76A63" w:rsidRDefault="00000000">
                  <w:pPr>
                    <w:pStyle w:val="000"/>
                  </w:pPr>
                  <w:r>
                    <w:t>+0.0451</w:t>
                  </w:r>
                </w:p>
              </w:tc>
            </w:tr>
            <w:tr w:rsidR="00F76A63" w14:paraId="5AFC77EC"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5C5555BB"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50C6D634"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7714589C" w14:textId="77777777" w:rsidR="00F76A63" w:rsidRDefault="00000000">
                  <w:pPr>
                    <w:pStyle w:val="000"/>
                  </w:pPr>
                  <w:r>
                    <w:t>砷及其化合物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62986310" w14:textId="77777777" w:rsidR="00F76A63" w:rsidRDefault="00000000">
                  <w:pPr>
                    <w:pStyle w:val="000"/>
                  </w:pPr>
                  <w:r>
                    <w:t>0.1841</w:t>
                  </w:r>
                </w:p>
              </w:tc>
              <w:tc>
                <w:tcPr>
                  <w:tcW w:w="1050" w:type="dxa"/>
                  <w:tcBorders>
                    <w:top w:val="single" w:sz="6" w:space="0" w:color="000000"/>
                    <w:left w:val="single" w:sz="6" w:space="0" w:color="000000"/>
                    <w:bottom w:val="single" w:sz="6" w:space="0" w:color="000000"/>
                    <w:right w:val="single" w:sz="6" w:space="0" w:color="000000"/>
                  </w:tcBorders>
                  <w:vAlign w:val="center"/>
                </w:tcPr>
                <w:p w14:paraId="0B1D4989" w14:textId="77777777" w:rsidR="00F76A63" w:rsidRDefault="00000000">
                  <w:pPr>
                    <w:pStyle w:val="000"/>
                  </w:pPr>
                  <w:r>
                    <w:t>0.1841</w:t>
                  </w:r>
                </w:p>
              </w:tc>
              <w:tc>
                <w:tcPr>
                  <w:tcW w:w="1104" w:type="dxa"/>
                  <w:tcBorders>
                    <w:top w:val="single" w:sz="6" w:space="0" w:color="000000"/>
                    <w:left w:val="single" w:sz="6" w:space="0" w:color="000000"/>
                    <w:bottom w:val="single" w:sz="6" w:space="0" w:color="000000"/>
                    <w:right w:val="single" w:sz="6" w:space="0" w:color="000000"/>
                  </w:tcBorders>
                  <w:vAlign w:val="center"/>
                </w:tcPr>
                <w:p w14:paraId="7D9AD5BF" w14:textId="77777777" w:rsidR="00F76A63" w:rsidRDefault="00000000">
                  <w:pPr>
                    <w:pStyle w:val="000"/>
                  </w:pPr>
                  <w:r>
                    <w:t>0.2602</w:t>
                  </w:r>
                </w:p>
              </w:tc>
              <w:tc>
                <w:tcPr>
                  <w:tcW w:w="1309" w:type="dxa"/>
                  <w:tcBorders>
                    <w:top w:val="single" w:sz="6" w:space="0" w:color="000000"/>
                    <w:left w:val="single" w:sz="6" w:space="0" w:color="000000"/>
                    <w:bottom w:val="single" w:sz="6" w:space="0" w:color="000000"/>
                    <w:right w:val="single" w:sz="6" w:space="0" w:color="000000"/>
                  </w:tcBorders>
                  <w:vAlign w:val="center"/>
                </w:tcPr>
                <w:p w14:paraId="3806FD71" w14:textId="77777777" w:rsidR="00F76A63" w:rsidRDefault="00000000">
                  <w:pPr>
                    <w:pStyle w:val="000"/>
                  </w:pPr>
                  <w:r>
                    <w:t>0.1841</w:t>
                  </w:r>
                </w:p>
              </w:tc>
              <w:tc>
                <w:tcPr>
                  <w:tcW w:w="1105" w:type="dxa"/>
                  <w:tcBorders>
                    <w:top w:val="single" w:sz="6" w:space="0" w:color="000000"/>
                    <w:left w:val="single" w:sz="6" w:space="0" w:color="000000"/>
                    <w:bottom w:val="single" w:sz="6" w:space="0" w:color="000000"/>
                    <w:right w:val="single" w:sz="6" w:space="0" w:color="000000"/>
                  </w:tcBorders>
                  <w:vAlign w:val="center"/>
                </w:tcPr>
                <w:p w14:paraId="7F35B808" w14:textId="77777777" w:rsidR="00F76A63" w:rsidRDefault="00000000">
                  <w:pPr>
                    <w:pStyle w:val="000"/>
                  </w:pPr>
                  <w:r>
                    <w:t>0.2602</w:t>
                  </w:r>
                </w:p>
              </w:tc>
              <w:tc>
                <w:tcPr>
                  <w:tcW w:w="969" w:type="dxa"/>
                  <w:tcBorders>
                    <w:top w:val="single" w:sz="6" w:space="0" w:color="000000"/>
                    <w:left w:val="single" w:sz="6" w:space="0" w:color="000000"/>
                    <w:bottom w:val="single" w:sz="6" w:space="0" w:color="000000"/>
                    <w:right w:val="nil"/>
                  </w:tcBorders>
                  <w:vAlign w:val="center"/>
                </w:tcPr>
                <w:p w14:paraId="4AE1FEE5" w14:textId="77777777" w:rsidR="00F76A63" w:rsidRDefault="00000000">
                  <w:pPr>
                    <w:pStyle w:val="000"/>
                  </w:pPr>
                  <w:r>
                    <w:t>+0.0761</w:t>
                  </w:r>
                </w:p>
              </w:tc>
            </w:tr>
            <w:tr w:rsidR="00F76A63" w14:paraId="38AF1B8E"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229185AF"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43C24219"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0E6E836A" w14:textId="77777777" w:rsidR="00F76A63" w:rsidRDefault="00000000">
                  <w:pPr>
                    <w:pStyle w:val="000"/>
                  </w:pPr>
                  <w:r>
                    <w:t>铍及其化合物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40B4342D" w14:textId="77777777" w:rsidR="00F76A63" w:rsidRDefault="00000000">
                  <w:pPr>
                    <w:pStyle w:val="000"/>
                  </w:pPr>
                  <w:r>
                    <w:t>0.0003</w:t>
                  </w:r>
                </w:p>
              </w:tc>
              <w:tc>
                <w:tcPr>
                  <w:tcW w:w="1050" w:type="dxa"/>
                  <w:tcBorders>
                    <w:top w:val="single" w:sz="6" w:space="0" w:color="000000"/>
                    <w:left w:val="single" w:sz="6" w:space="0" w:color="000000"/>
                    <w:bottom w:val="single" w:sz="6" w:space="0" w:color="000000"/>
                    <w:right w:val="single" w:sz="6" w:space="0" w:color="000000"/>
                  </w:tcBorders>
                  <w:vAlign w:val="center"/>
                </w:tcPr>
                <w:p w14:paraId="5C4284CD" w14:textId="77777777" w:rsidR="00F76A63" w:rsidRDefault="00000000">
                  <w:pPr>
                    <w:pStyle w:val="000"/>
                  </w:pPr>
                  <w:r>
                    <w:t>0.0003</w:t>
                  </w:r>
                </w:p>
              </w:tc>
              <w:tc>
                <w:tcPr>
                  <w:tcW w:w="1104" w:type="dxa"/>
                  <w:tcBorders>
                    <w:top w:val="single" w:sz="6" w:space="0" w:color="000000"/>
                    <w:left w:val="single" w:sz="6" w:space="0" w:color="000000"/>
                    <w:bottom w:val="single" w:sz="6" w:space="0" w:color="000000"/>
                    <w:right w:val="single" w:sz="6" w:space="0" w:color="000000"/>
                  </w:tcBorders>
                  <w:vAlign w:val="center"/>
                </w:tcPr>
                <w:p w14:paraId="7EEDA03C" w14:textId="77777777" w:rsidR="00F76A63" w:rsidRDefault="00000000">
                  <w:pPr>
                    <w:pStyle w:val="000"/>
                  </w:pPr>
                  <w:r>
                    <w:t>0.0003</w:t>
                  </w:r>
                </w:p>
              </w:tc>
              <w:tc>
                <w:tcPr>
                  <w:tcW w:w="1309" w:type="dxa"/>
                  <w:tcBorders>
                    <w:top w:val="single" w:sz="6" w:space="0" w:color="000000"/>
                    <w:left w:val="single" w:sz="6" w:space="0" w:color="000000"/>
                    <w:bottom w:val="single" w:sz="6" w:space="0" w:color="000000"/>
                    <w:right w:val="single" w:sz="6" w:space="0" w:color="000000"/>
                  </w:tcBorders>
                  <w:vAlign w:val="center"/>
                </w:tcPr>
                <w:p w14:paraId="7D290FFC" w14:textId="77777777" w:rsidR="00F76A63" w:rsidRDefault="00000000">
                  <w:pPr>
                    <w:pStyle w:val="000"/>
                  </w:pPr>
                  <w:r>
                    <w:t>0.0003</w:t>
                  </w:r>
                </w:p>
              </w:tc>
              <w:tc>
                <w:tcPr>
                  <w:tcW w:w="1105" w:type="dxa"/>
                  <w:tcBorders>
                    <w:top w:val="single" w:sz="6" w:space="0" w:color="000000"/>
                    <w:left w:val="single" w:sz="6" w:space="0" w:color="000000"/>
                    <w:bottom w:val="single" w:sz="6" w:space="0" w:color="000000"/>
                    <w:right w:val="single" w:sz="6" w:space="0" w:color="000000"/>
                  </w:tcBorders>
                  <w:vAlign w:val="center"/>
                </w:tcPr>
                <w:p w14:paraId="2B572FDB" w14:textId="77777777" w:rsidR="00F76A63" w:rsidRDefault="00000000">
                  <w:pPr>
                    <w:pStyle w:val="000"/>
                  </w:pPr>
                  <w:r>
                    <w:t>0.0003</w:t>
                  </w:r>
                </w:p>
              </w:tc>
              <w:tc>
                <w:tcPr>
                  <w:tcW w:w="969" w:type="dxa"/>
                  <w:tcBorders>
                    <w:top w:val="single" w:sz="6" w:space="0" w:color="000000"/>
                    <w:left w:val="single" w:sz="6" w:space="0" w:color="000000"/>
                    <w:bottom w:val="single" w:sz="6" w:space="0" w:color="000000"/>
                    <w:right w:val="nil"/>
                  </w:tcBorders>
                  <w:vAlign w:val="center"/>
                </w:tcPr>
                <w:p w14:paraId="4AD3C165" w14:textId="77777777" w:rsidR="00F76A63" w:rsidRDefault="00000000">
                  <w:pPr>
                    <w:pStyle w:val="000"/>
                  </w:pPr>
                  <w:r>
                    <w:t>0</w:t>
                  </w:r>
                </w:p>
              </w:tc>
            </w:tr>
            <w:tr w:rsidR="00F76A63" w14:paraId="42D24539"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30C0E496"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730E2BB3"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01AF70BC" w14:textId="77777777" w:rsidR="00F76A63" w:rsidRDefault="00000000">
                  <w:pPr>
                    <w:pStyle w:val="000"/>
                  </w:pPr>
                  <w:r>
                    <w:t>铬及其化合物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428495C4" w14:textId="77777777" w:rsidR="00F76A63" w:rsidRDefault="00000000">
                  <w:pPr>
                    <w:pStyle w:val="000"/>
                  </w:pPr>
                  <w:r>
                    <w:t>0.0107</w:t>
                  </w:r>
                </w:p>
              </w:tc>
              <w:tc>
                <w:tcPr>
                  <w:tcW w:w="1050" w:type="dxa"/>
                  <w:tcBorders>
                    <w:top w:val="single" w:sz="6" w:space="0" w:color="000000"/>
                    <w:left w:val="single" w:sz="6" w:space="0" w:color="000000"/>
                    <w:bottom w:val="single" w:sz="6" w:space="0" w:color="000000"/>
                    <w:right w:val="single" w:sz="6" w:space="0" w:color="000000"/>
                  </w:tcBorders>
                  <w:vAlign w:val="center"/>
                </w:tcPr>
                <w:p w14:paraId="73726641" w14:textId="77777777" w:rsidR="00F76A63" w:rsidRDefault="00000000">
                  <w:pPr>
                    <w:pStyle w:val="000"/>
                  </w:pPr>
                  <w:r>
                    <w:t>0.0107</w:t>
                  </w:r>
                </w:p>
              </w:tc>
              <w:tc>
                <w:tcPr>
                  <w:tcW w:w="1104" w:type="dxa"/>
                  <w:tcBorders>
                    <w:top w:val="single" w:sz="6" w:space="0" w:color="000000"/>
                    <w:left w:val="single" w:sz="6" w:space="0" w:color="000000"/>
                    <w:bottom w:val="single" w:sz="6" w:space="0" w:color="000000"/>
                    <w:right w:val="single" w:sz="6" w:space="0" w:color="000000"/>
                  </w:tcBorders>
                  <w:vAlign w:val="center"/>
                </w:tcPr>
                <w:p w14:paraId="06C9CB98" w14:textId="77777777" w:rsidR="00F76A63" w:rsidRDefault="00000000">
                  <w:pPr>
                    <w:pStyle w:val="000"/>
                  </w:pPr>
                  <w:r>
                    <w:t>0.0119</w:t>
                  </w:r>
                </w:p>
              </w:tc>
              <w:tc>
                <w:tcPr>
                  <w:tcW w:w="1309" w:type="dxa"/>
                  <w:tcBorders>
                    <w:top w:val="single" w:sz="6" w:space="0" w:color="000000"/>
                    <w:left w:val="single" w:sz="6" w:space="0" w:color="000000"/>
                    <w:bottom w:val="single" w:sz="6" w:space="0" w:color="000000"/>
                    <w:right w:val="single" w:sz="6" w:space="0" w:color="000000"/>
                  </w:tcBorders>
                  <w:vAlign w:val="center"/>
                </w:tcPr>
                <w:p w14:paraId="069442FD" w14:textId="77777777" w:rsidR="00F76A63" w:rsidRDefault="00000000">
                  <w:pPr>
                    <w:pStyle w:val="000"/>
                  </w:pPr>
                  <w:r>
                    <w:t>0.0107</w:t>
                  </w:r>
                </w:p>
              </w:tc>
              <w:tc>
                <w:tcPr>
                  <w:tcW w:w="1105" w:type="dxa"/>
                  <w:tcBorders>
                    <w:top w:val="single" w:sz="6" w:space="0" w:color="000000"/>
                    <w:left w:val="single" w:sz="6" w:space="0" w:color="000000"/>
                    <w:bottom w:val="single" w:sz="6" w:space="0" w:color="000000"/>
                    <w:right w:val="single" w:sz="6" w:space="0" w:color="000000"/>
                  </w:tcBorders>
                  <w:vAlign w:val="center"/>
                </w:tcPr>
                <w:p w14:paraId="00DAA34E" w14:textId="77777777" w:rsidR="00F76A63" w:rsidRDefault="00000000">
                  <w:pPr>
                    <w:pStyle w:val="000"/>
                  </w:pPr>
                  <w:r>
                    <w:t>0.0119</w:t>
                  </w:r>
                </w:p>
              </w:tc>
              <w:tc>
                <w:tcPr>
                  <w:tcW w:w="969" w:type="dxa"/>
                  <w:tcBorders>
                    <w:top w:val="single" w:sz="6" w:space="0" w:color="000000"/>
                    <w:left w:val="single" w:sz="6" w:space="0" w:color="000000"/>
                    <w:bottom w:val="single" w:sz="6" w:space="0" w:color="000000"/>
                    <w:right w:val="nil"/>
                  </w:tcBorders>
                  <w:vAlign w:val="center"/>
                </w:tcPr>
                <w:p w14:paraId="5EB78E13" w14:textId="77777777" w:rsidR="00F76A63" w:rsidRDefault="00000000">
                  <w:pPr>
                    <w:pStyle w:val="000"/>
                  </w:pPr>
                  <w:r>
                    <w:t>+0.0012</w:t>
                  </w:r>
                </w:p>
              </w:tc>
            </w:tr>
            <w:tr w:rsidR="00F76A63" w14:paraId="4B66BE8A"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17B6643E"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4B304B68"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16C9A70E" w14:textId="77777777" w:rsidR="00F76A63" w:rsidRDefault="00000000">
                  <w:pPr>
                    <w:pStyle w:val="000"/>
                  </w:pPr>
                  <w:r>
                    <w:t>锡及其化合物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511A887F" w14:textId="77777777" w:rsidR="00F76A63" w:rsidRDefault="00000000">
                  <w:pPr>
                    <w:pStyle w:val="000"/>
                  </w:pPr>
                  <w:r>
                    <w:t>0.0194</w:t>
                  </w:r>
                </w:p>
              </w:tc>
              <w:tc>
                <w:tcPr>
                  <w:tcW w:w="1050" w:type="dxa"/>
                  <w:tcBorders>
                    <w:top w:val="single" w:sz="6" w:space="0" w:color="000000"/>
                    <w:left w:val="single" w:sz="6" w:space="0" w:color="000000"/>
                    <w:bottom w:val="single" w:sz="6" w:space="0" w:color="000000"/>
                    <w:right w:val="single" w:sz="6" w:space="0" w:color="000000"/>
                  </w:tcBorders>
                  <w:vAlign w:val="center"/>
                </w:tcPr>
                <w:p w14:paraId="01F343C3" w14:textId="77777777" w:rsidR="00F76A63" w:rsidRDefault="00000000">
                  <w:pPr>
                    <w:pStyle w:val="000"/>
                  </w:pPr>
                  <w:r>
                    <w:t>0.0194</w:t>
                  </w:r>
                </w:p>
              </w:tc>
              <w:tc>
                <w:tcPr>
                  <w:tcW w:w="1104" w:type="dxa"/>
                  <w:tcBorders>
                    <w:top w:val="single" w:sz="6" w:space="0" w:color="000000"/>
                    <w:left w:val="single" w:sz="6" w:space="0" w:color="000000"/>
                    <w:bottom w:val="single" w:sz="6" w:space="0" w:color="000000"/>
                    <w:right w:val="single" w:sz="6" w:space="0" w:color="000000"/>
                  </w:tcBorders>
                  <w:vAlign w:val="center"/>
                </w:tcPr>
                <w:p w14:paraId="6C7B3839" w14:textId="77777777" w:rsidR="00F76A63" w:rsidRDefault="00000000">
                  <w:pPr>
                    <w:pStyle w:val="000"/>
                  </w:pPr>
                  <w:r>
                    <w:t>0.0197</w:t>
                  </w:r>
                </w:p>
              </w:tc>
              <w:tc>
                <w:tcPr>
                  <w:tcW w:w="1309" w:type="dxa"/>
                  <w:tcBorders>
                    <w:top w:val="single" w:sz="6" w:space="0" w:color="000000"/>
                    <w:left w:val="single" w:sz="6" w:space="0" w:color="000000"/>
                    <w:bottom w:val="single" w:sz="6" w:space="0" w:color="000000"/>
                    <w:right w:val="single" w:sz="6" w:space="0" w:color="000000"/>
                  </w:tcBorders>
                  <w:vAlign w:val="center"/>
                </w:tcPr>
                <w:p w14:paraId="4E28DF3D" w14:textId="77777777" w:rsidR="00F76A63" w:rsidRDefault="00000000">
                  <w:pPr>
                    <w:pStyle w:val="000"/>
                  </w:pPr>
                  <w:r>
                    <w:t>0.0194</w:t>
                  </w:r>
                </w:p>
              </w:tc>
              <w:tc>
                <w:tcPr>
                  <w:tcW w:w="1105" w:type="dxa"/>
                  <w:tcBorders>
                    <w:top w:val="single" w:sz="6" w:space="0" w:color="000000"/>
                    <w:left w:val="single" w:sz="6" w:space="0" w:color="000000"/>
                    <w:bottom w:val="single" w:sz="6" w:space="0" w:color="000000"/>
                    <w:right w:val="single" w:sz="6" w:space="0" w:color="000000"/>
                  </w:tcBorders>
                  <w:vAlign w:val="center"/>
                </w:tcPr>
                <w:p w14:paraId="110913BC" w14:textId="77777777" w:rsidR="00F76A63" w:rsidRDefault="00000000">
                  <w:pPr>
                    <w:pStyle w:val="000"/>
                  </w:pPr>
                  <w:r>
                    <w:t>0.0197</w:t>
                  </w:r>
                </w:p>
              </w:tc>
              <w:tc>
                <w:tcPr>
                  <w:tcW w:w="969" w:type="dxa"/>
                  <w:tcBorders>
                    <w:top w:val="single" w:sz="6" w:space="0" w:color="000000"/>
                    <w:left w:val="single" w:sz="6" w:space="0" w:color="000000"/>
                    <w:bottom w:val="single" w:sz="6" w:space="0" w:color="000000"/>
                    <w:right w:val="nil"/>
                  </w:tcBorders>
                  <w:vAlign w:val="center"/>
                </w:tcPr>
                <w:p w14:paraId="2446CE58" w14:textId="77777777" w:rsidR="00F76A63" w:rsidRDefault="00000000">
                  <w:pPr>
                    <w:pStyle w:val="000"/>
                  </w:pPr>
                  <w:r>
                    <w:t>+0.0003</w:t>
                  </w:r>
                </w:p>
              </w:tc>
            </w:tr>
            <w:tr w:rsidR="00F76A63" w14:paraId="4F203503"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3FA8934B"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412771F2"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214B389E" w14:textId="77777777" w:rsidR="00F76A63" w:rsidRDefault="00000000">
                  <w:pPr>
                    <w:pStyle w:val="000"/>
                  </w:pPr>
                  <w:r>
                    <w:t>锑及其化合物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5DC7C7DC" w14:textId="77777777" w:rsidR="00F76A63" w:rsidRDefault="00000000">
                  <w:pPr>
                    <w:pStyle w:val="000"/>
                  </w:pPr>
                  <w:r>
                    <w:t>0.4121</w:t>
                  </w:r>
                </w:p>
              </w:tc>
              <w:tc>
                <w:tcPr>
                  <w:tcW w:w="1050" w:type="dxa"/>
                  <w:tcBorders>
                    <w:top w:val="single" w:sz="6" w:space="0" w:color="000000"/>
                    <w:left w:val="single" w:sz="6" w:space="0" w:color="000000"/>
                    <w:bottom w:val="single" w:sz="6" w:space="0" w:color="000000"/>
                    <w:right w:val="single" w:sz="6" w:space="0" w:color="000000"/>
                  </w:tcBorders>
                  <w:vAlign w:val="center"/>
                </w:tcPr>
                <w:p w14:paraId="544B212E" w14:textId="77777777" w:rsidR="00F76A63" w:rsidRDefault="00000000">
                  <w:pPr>
                    <w:pStyle w:val="000"/>
                  </w:pPr>
                  <w:r>
                    <w:t>0.4121</w:t>
                  </w:r>
                </w:p>
              </w:tc>
              <w:tc>
                <w:tcPr>
                  <w:tcW w:w="1104" w:type="dxa"/>
                  <w:tcBorders>
                    <w:top w:val="single" w:sz="6" w:space="0" w:color="000000"/>
                    <w:left w:val="single" w:sz="6" w:space="0" w:color="000000"/>
                    <w:bottom w:val="single" w:sz="6" w:space="0" w:color="000000"/>
                    <w:right w:val="single" w:sz="6" w:space="0" w:color="000000"/>
                  </w:tcBorders>
                  <w:vAlign w:val="center"/>
                </w:tcPr>
                <w:p w14:paraId="6144CEE1" w14:textId="77777777" w:rsidR="00F76A63" w:rsidRDefault="00000000">
                  <w:pPr>
                    <w:pStyle w:val="000"/>
                  </w:pPr>
                  <w:r>
                    <w:t>0.2359</w:t>
                  </w:r>
                </w:p>
              </w:tc>
              <w:tc>
                <w:tcPr>
                  <w:tcW w:w="1309" w:type="dxa"/>
                  <w:tcBorders>
                    <w:top w:val="single" w:sz="6" w:space="0" w:color="000000"/>
                    <w:left w:val="single" w:sz="6" w:space="0" w:color="000000"/>
                    <w:bottom w:val="single" w:sz="6" w:space="0" w:color="000000"/>
                    <w:right w:val="single" w:sz="6" w:space="0" w:color="000000"/>
                  </w:tcBorders>
                  <w:vAlign w:val="center"/>
                </w:tcPr>
                <w:p w14:paraId="27C18088" w14:textId="77777777" w:rsidR="00F76A63" w:rsidRDefault="00000000">
                  <w:pPr>
                    <w:pStyle w:val="000"/>
                  </w:pPr>
                  <w:r>
                    <w:t>0.4121</w:t>
                  </w:r>
                </w:p>
              </w:tc>
              <w:tc>
                <w:tcPr>
                  <w:tcW w:w="1105" w:type="dxa"/>
                  <w:tcBorders>
                    <w:top w:val="single" w:sz="6" w:space="0" w:color="000000"/>
                    <w:left w:val="single" w:sz="6" w:space="0" w:color="000000"/>
                    <w:bottom w:val="single" w:sz="6" w:space="0" w:color="000000"/>
                    <w:right w:val="single" w:sz="6" w:space="0" w:color="000000"/>
                  </w:tcBorders>
                  <w:vAlign w:val="center"/>
                </w:tcPr>
                <w:p w14:paraId="456C9F5F" w14:textId="77777777" w:rsidR="00F76A63" w:rsidRDefault="00000000">
                  <w:pPr>
                    <w:pStyle w:val="000"/>
                  </w:pPr>
                  <w:r>
                    <w:t>0.2359</w:t>
                  </w:r>
                </w:p>
              </w:tc>
              <w:tc>
                <w:tcPr>
                  <w:tcW w:w="969" w:type="dxa"/>
                  <w:tcBorders>
                    <w:top w:val="single" w:sz="6" w:space="0" w:color="000000"/>
                    <w:left w:val="single" w:sz="6" w:space="0" w:color="000000"/>
                    <w:bottom w:val="single" w:sz="6" w:space="0" w:color="000000"/>
                    <w:right w:val="nil"/>
                  </w:tcBorders>
                  <w:vAlign w:val="center"/>
                </w:tcPr>
                <w:p w14:paraId="732AE1AA" w14:textId="77777777" w:rsidR="00F76A63" w:rsidRDefault="00000000">
                  <w:pPr>
                    <w:pStyle w:val="000"/>
                  </w:pPr>
                  <w:r>
                    <w:t>-0.1762</w:t>
                  </w:r>
                </w:p>
              </w:tc>
            </w:tr>
            <w:tr w:rsidR="00F76A63" w14:paraId="7DB44B03" w14:textId="77777777">
              <w:trPr>
                <w:trHeight w:val="439"/>
                <w:jc w:val="center"/>
              </w:trPr>
              <w:tc>
                <w:tcPr>
                  <w:tcW w:w="380" w:type="dxa"/>
                  <w:vMerge/>
                  <w:tcBorders>
                    <w:top w:val="single" w:sz="6" w:space="0" w:color="000000"/>
                    <w:left w:val="nil"/>
                    <w:bottom w:val="single" w:sz="6" w:space="0" w:color="000000"/>
                    <w:right w:val="single" w:sz="6" w:space="0" w:color="000000"/>
                  </w:tcBorders>
                  <w:vAlign w:val="center"/>
                </w:tcPr>
                <w:p w14:paraId="219E907B"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5B1970BC"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7A06C305" w14:textId="77777777" w:rsidR="00F76A63" w:rsidRDefault="00000000">
                  <w:pPr>
                    <w:pStyle w:val="000"/>
                  </w:pPr>
                  <w:r>
                    <w:t>铜及其化合物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70749824" w14:textId="77777777" w:rsidR="00F76A63" w:rsidRDefault="00000000">
                  <w:pPr>
                    <w:pStyle w:val="000"/>
                  </w:pPr>
                  <w:r>
                    <w:t>0.0134</w:t>
                  </w:r>
                </w:p>
              </w:tc>
              <w:tc>
                <w:tcPr>
                  <w:tcW w:w="1050" w:type="dxa"/>
                  <w:tcBorders>
                    <w:top w:val="single" w:sz="6" w:space="0" w:color="000000"/>
                    <w:left w:val="single" w:sz="6" w:space="0" w:color="000000"/>
                    <w:bottom w:val="single" w:sz="6" w:space="0" w:color="000000"/>
                    <w:right w:val="single" w:sz="6" w:space="0" w:color="000000"/>
                  </w:tcBorders>
                  <w:vAlign w:val="center"/>
                </w:tcPr>
                <w:p w14:paraId="43FD8AB3" w14:textId="77777777" w:rsidR="00F76A63" w:rsidRDefault="00000000">
                  <w:pPr>
                    <w:pStyle w:val="000"/>
                  </w:pPr>
                  <w:r>
                    <w:t>0.0134</w:t>
                  </w:r>
                </w:p>
              </w:tc>
              <w:tc>
                <w:tcPr>
                  <w:tcW w:w="1104" w:type="dxa"/>
                  <w:tcBorders>
                    <w:top w:val="single" w:sz="6" w:space="0" w:color="000000"/>
                    <w:left w:val="single" w:sz="6" w:space="0" w:color="000000"/>
                    <w:bottom w:val="single" w:sz="6" w:space="0" w:color="000000"/>
                    <w:right w:val="single" w:sz="6" w:space="0" w:color="000000"/>
                  </w:tcBorders>
                  <w:vAlign w:val="center"/>
                </w:tcPr>
                <w:p w14:paraId="70BEC4F9" w14:textId="77777777" w:rsidR="00F76A63" w:rsidRDefault="00000000">
                  <w:pPr>
                    <w:pStyle w:val="000"/>
                  </w:pPr>
                  <w:r>
                    <w:t>0.0137</w:t>
                  </w:r>
                </w:p>
              </w:tc>
              <w:tc>
                <w:tcPr>
                  <w:tcW w:w="1309" w:type="dxa"/>
                  <w:tcBorders>
                    <w:top w:val="single" w:sz="6" w:space="0" w:color="000000"/>
                    <w:left w:val="single" w:sz="6" w:space="0" w:color="000000"/>
                    <w:bottom w:val="single" w:sz="6" w:space="0" w:color="000000"/>
                    <w:right w:val="single" w:sz="6" w:space="0" w:color="000000"/>
                  </w:tcBorders>
                  <w:vAlign w:val="center"/>
                </w:tcPr>
                <w:p w14:paraId="61977D64" w14:textId="77777777" w:rsidR="00F76A63" w:rsidRDefault="00000000">
                  <w:pPr>
                    <w:pStyle w:val="000"/>
                  </w:pPr>
                  <w:r>
                    <w:t>0.0134</w:t>
                  </w:r>
                </w:p>
              </w:tc>
              <w:tc>
                <w:tcPr>
                  <w:tcW w:w="1105" w:type="dxa"/>
                  <w:tcBorders>
                    <w:top w:val="single" w:sz="6" w:space="0" w:color="000000"/>
                    <w:left w:val="single" w:sz="6" w:space="0" w:color="000000"/>
                    <w:bottom w:val="single" w:sz="6" w:space="0" w:color="000000"/>
                    <w:right w:val="single" w:sz="6" w:space="0" w:color="000000"/>
                  </w:tcBorders>
                  <w:vAlign w:val="center"/>
                </w:tcPr>
                <w:p w14:paraId="0BB245C4" w14:textId="77777777" w:rsidR="00F76A63" w:rsidRDefault="00000000">
                  <w:pPr>
                    <w:pStyle w:val="000"/>
                  </w:pPr>
                  <w:r>
                    <w:t>0.0137</w:t>
                  </w:r>
                </w:p>
              </w:tc>
              <w:tc>
                <w:tcPr>
                  <w:tcW w:w="969" w:type="dxa"/>
                  <w:tcBorders>
                    <w:top w:val="single" w:sz="6" w:space="0" w:color="000000"/>
                    <w:left w:val="single" w:sz="6" w:space="0" w:color="000000"/>
                    <w:bottom w:val="single" w:sz="6" w:space="0" w:color="000000"/>
                    <w:right w:val="nil"/>
                  </w:tcBorders>
                  <w:vAlign w:val="center"/>
                </w:tcPr>
                <w:p w14:paraId="512B1AE9" w14:textId="77777777" w:rsidR="00F76A63" w:rsidRDefault="00000000">
                  <w:pPr>
                    <w:pStyle w:val="000"/>
                  </w:pPr>
                  <w:r>
                    <w:t>+0.0003</w:t>
                  </w:r>
                </w:p>
              </w:tc>
            </w:tr>
            <w:tr w:rsidR="00F76A63" w14:paraId="6DDA9B60"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08AEA14A"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2E6E3647"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55250394" w14:textId="77777777" w:rsidR="00F76A63" w:rsidRDefault="00000000">
                  <w:pPr>
                    <w:pStyle w:val="000"/>
                  </w:pPr>
                  <w:r>
                    <w:t>锰及其化合物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0807310A" w14:textId="77777777" w:rsidR="00F76A63" w:rsidRDefault="00000000">
                  <w:pPr>
                    <w:pStyle w:val="000"/>
                  </w:pPr>
                  <w:r>
                    <w:t>0.0512</w:t>
                  </w:r>
                </w:p>
              </w:tc>
              <w:tc>
                <w:tcPr>
                  <w:tcW w:w="1050" w:type="dxa"/>
                  <w:tcBorders>
                    <w:top w:val="single" w:sz="6" w:space="0" w:color="000000"/>
                    <w:left w:val="single" w:sz="6" w:space="0" w:color="000000"/>
                    <w:bottom w:val="single" w:sz="6" w:space="0" w:color="000000"/>
                    <w:right w:val="single" w:sz="6" w:space="0" w:color="000000"/>
                  </w:tcBorders>
                  <w:vAlign w:val="center"/>
                </w:tcPr>
                <w:p w14:paraId="16F1122B" w14:textId="77777777" w:rsidR="00F76A63" w:rsidRDefault="00000000">
                  <w:pPr>
                    <w:pStyle w:val="000"/>
                  </w:pPr>
                  <w:r>
                    <w:t>0.0512</w:t>
                  </w:r>
                </w:p>
              </w:tc>
              <w:tc>
                <w:tcPr>
                  <w:tcW w:w="1104" w:type="dxa"/>
                  <w:tcBorders>
                    <w:top w:val="single" w:sz="6" w:space="0" w:color="000000"/>
                    <w:left w:val="single" w:sz="6" w:space="0" w:color="000000"/>
                    <w:bottom w:val="single" w:sz="6" w:space="0" w:color="000000"/>
                    <w:right w:val="single" w:sz="6" w:space="0" w:color="000000"/>
                  </w:tcBorders>
                  <w:vAlign w:val="center"/>
                </w:tcPr>
                <w:p w14:paraId="3952C4AD" w14:textId="77777777" w:rsidR="00F76A63" w:rsidRDefault="00000000">
                  <w:pPr>
                    <w:pStyle w:val="000"/>
                  </w:pPr>
                  <w:r>
                    <w:t>0.0473</w:t>
                  </w:r>
                </w:p>
              </w:tc>
              <w:tc>
                <w:tcPr>
                  <w:tcW w:w="1309" w:type="dxa"/>
                  <w:tcBorders>
                    <w:top w:val="single" w:sz="6" w:space="0" w:color="000000"/>
                    <w:left w:val="single" w:sz="6" w:space="0" w:color="000000"/>
                    <w:bottom w:val="single" w:sz="6" w:space="0" w:color="000000"/>
                    <w:right w:val="single" w:sz="6" w:space="0" w:color="000000"/>
                  </w:tcBorders>
                  <w:vAlign w:val="center"/>
                </w:tcPr>
                <w:p w14:paraId="374FFE82" w14:textId="77777777" w:rsidR="00F76A63" w:rsidRDefault="00000000">
                  <w:pPr>
                    <w:pStyle w:val="000"/>
                  </w:pPr>
                  <w:r>
                    <w:t>0.0512</w:t>
                  </w:r>
                </w:p>
              </w:tc>
              <w:tc>
                <w:tcPr>
                  <w:tcW w:w="1105" w:type="dxa"/>
                  <w:tcBorders>
                    <w:top w:val="single" w:sz="6" w:space="0" w:color="000000"/>
                    <w:left w:val="single" w:sz="6" w:space="0" w:color="000000"/>
                    <w:bottom w:val="single" w:sz="6" w:space="0" w:color="000000"/>
                    <w:right w:val="single" w:sz="6" w:space="0" w:color="000000"/>
                  </w:tcBorders>
                  <w:vAlign w:val="center"/>
                </w:tcPr>
                <w:p w14:paraId="12E39D04" w14:textId="77777777" w:rsidR="00F76A63" w:rsidRDefault="00000000">
                  <w:pPr>
                    <w:pStyle w:val="000"/>
                  </w:pPr>
                  <w:r>
                    <w:t>0.0473</w:t>
                  </w:r>
                </w:p>
              </w:tc>
              <w:tc>
                <w:tcPr>
                  <w:tcW w:w="969" w:type="dxa"/>
                  <w:tcBorders>
                    <w:top w:val="single" w:sz="6" w:space="0" w:color="000000"/>
                    <w:left w:val="single" w:sz="6" w:space="0" w:color="000000"/>
                    <w:bottom w:val="single" w:sz="6" w:space="0" w:color="000000"/>
                    <w:right w:val="nil"/>
                  </w:tcBorders>
                  <w:vAlign w:val="center"/>
                </w:tcPr>
                <w:p w14:paraId="410B697C" w14:textId="77777777" w:rsidR="00F76A63" w:rsidRDefault="00000000">
                  <w:pPr>
                    <w:pStyle w:val="000"/>
                  </w:pPr>
                  <w:r>
                    <w:t>-0.0039</w:t>
                  </w:r>
                </w:p>
              </w:tc>
            </w:tr>
            <w:tr w:rsidR="00F76A63" w14:paraId="454AA913"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7687B033"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4E7F9E52"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10E98B21" w14:textId="77777777" w:rsidR="00F76A63" w:rsidRDefault="00000000">
                  <w:pPr>
                    <w:pStyle w:val="000"/>
                  </w:pPr>
                  <w:r>
                    <w:t>镍及其化合物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6A8B3492" w14:textId="77777777" w:rsidR="00F76A63" w:rsidRDefault="00000000">
                  <w:pPr>
                    <w:pStyle w:val="000"/>
                  </w:pPr>
                  <w:r>
                    <w:t>0.0455</w:t>
                  </w:r>
                </w:p>
              </w:tc>
              <w:tc>
                <w:tcPr>
                  <w:tcW w:w="1050" w:type="dxa"/>
                  <w:tcBorders>
                    <w:top w:val="single" w:sz="6" w:space="0" w:color="000000"/>
                    <w:left w:val="single" w:sz="6" w:space="0" w:color="000000"/>
                    <w:bottom w:val="single" w:sz="6" w:space="0" w:color="000000"/>
                    <w:right w:val="single" w:sz="6" w:space="0" w:color="000000"/>
                  </w:tcBorders>
                  <w:vAlign w:val="center"/>
                </w:tcPr>
                <w:p w14:paraId="796CBF18" w14:textId="77777777" w:rsidR="00F76A63" w:rsidRDefault="00000000">
                  <w:pPr>
                    <w:pStyle w:val="000"/>
                  </w:pPr>
                  <w:r>
                    <w:t>0.0455</w:t>
                  </w:r>
                </w:p>
              </w:tc>
              <w:tc>
                <w:tcPr>
                  <w:tcW w:w="1104" w:type="dxa"/>
                  <w:tcBorders>
                    <w:top w:val="single" w:sz="6" w:space="0" w:color="000000"/>
                    <w:left w:val="single" w:sz="6" w:space="0" w:color="000000"/>
                    <w:bottom w:val="single" w:sz="6" w:space="0" w:color="000000"/>
                    <w:right w:val="single" w:sz="6" w:space="0" w:color="000000"/>
                  </w:tcBorders>
                  <w:vAlign w:val="center"/>
                </w:tcPr>
                <w:p w14:paraId="5BEBF7CC" w14:textId="77777777" w:rsidR="00F76A63" w:rsidRDefault="00000000">
                  <w:pPr>
                    <w:pStyle w:val="000"/>
                  </w:pPr>
                  <w:r>
                    <w:t>0.0468</w:t>
                  </w:r>
                </w:p>
              </w:tc>
              <w:tc>
                <w:tcPr>
                  <w:tcW w:w="1309" w:type="dxa"/>
                  <w:tcBorders>
                    <w:top w:val="single" w:sz="6" w:space="0" w:color="000000"/>
                    <w:left w:val="single" w:sz="6" w:space="0" w:color="000000"/>
                    <w:bottom w:val="single" w:sz="6" w:space="0" w:color="000000"/>
                    <w:right w:val="single" w:sz="6" w:space="0" w:color="000000"/>
                  </w:tcBorders>
                  <w:vAlign w:val="center"/>
                </w:tcPr>
                <w:p w14:paraId="068E4586" w14:textId="77777777" w:rsidR="00F76A63" w:rsidRDefault="00000000">
                  <w:pPr>
                    <w:pStyle w:val="000"/>
                  </w:pPr>
                  <w:r>
                    <w:t>0.0455</w:t>
                  </w:r>
                </w:p>
              </w:tc>
              <w:tc>
                <w:tcPr>
                  <w:tcW w:w="1105" w:type="dxa"/>
                  <w:tcBorders>
                    <w:top w:val="single" w:sz="6" w:space="0" w:color="000000"/>
                    <w:left w:val="single" w:sz="6" w:space="0" w:color="000000"/>
                    <w:bottom w:val="single" w:sz="6" w:space="0" w:color="000000"/>
                    <w:right w:val="single" w:sz="6" w:space="0" w:color="000000"/>
                  </w:tcBorders>
                  <w:vAlign w:val="center"/>
                </w:tcPr>
                <w:p w14:paraId="1B0DD530" w14:textId="77777777" w:rsidR="00F76A63" w:rsidRDefault="00000000">
                  <w:pPr>
                    <w:pStyle w:val="000"/>
                  </w:pPr>
                  <w:r>
                    <w:t>0.0468</w:t>
                  </w:r>
                </w:p>
              </w:tc>
              <w:tc>
                <w:tcPr>
                  <w:tcW w:w="969" w:type="dxa"/>
                  <w:tcBorders>
                    <w:top w:val="single" w:sz="6" w:space="0" w:color="000000"/>
                    <w:left w:val="single" w:sz="6" w:space="0" w:color="000000"/>
                    <w:bottom w:val="single" w:sz="6" w:space="0" w:color="000000"/>
                    <w:right w:val="nil"/>
                  </w:tcBorders>
                  <w:vAlign w:val="center"/>
                </w:tcPr>
                <w:p w14:paraId="7CB84C0E" w14:textId="77777777" w:rsidR="00F76A63" w:rsidRDefault="00000000">
                  <w:pPr>
                    <w:pStyle w:val="000"/>
                  </w:pPr>
                  <w:r>
                    <w:t>+0.0013</w:t>
                  </w:r>
                </w:p>
              </w:tc>
            </w:tr>
            <w:tr w:rsidR="00F76A63" w14:paraId="34E1A214"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5C451EA2"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62B519CC"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58AB84FE" w14:textId="77777777" w:rsidR="00F76A63" w:rsidRDefault="00000000">
                  <w:pPr>
                    <w:pStyle w:val="000"/>
                  </w:pPr>
                  <w:r>
                    <w:t>钒及其化合物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4719F4F7" w14:textId="77777777" w:rsidR="00F76A63" w:rsidRDefault="00000000">
                  <w:pPr>
                    <w:pStyle w:val="000"/>
                  </w:pPr>
                  <w:r>
                    <w:t>0.0574</w:t>
                  </w:r>
                </w:p>
              </w:tc>
              <w:tc>
                <w:tcPr>
                  <w:tcW w:w="1050" w:type="dxa"/>
                  <w:tcBorders>
                    <w:top w:val="single" w:sz="6" w:space="0" w:color="000000"/>
                    <w:left w:val="single" w:sz="6" w:space="0" w:color="000000"/>
                    <w:bottom w:val="single" w:sz="6" w:space="0" w:color="000000"/>
                    <w:right w:val="single" w:sz="6" w:space="0" w:color="000000"/>
                  </w:tcBorders>
                  <w:vAlign w:val="center"/>
                </w:tcPr>
                <w:p w14:paraId="49D788C3" w14:textId="77777777" w:rsidR="00F76A63" w:rsidRDefault="00000000">
                  <w:pPr>
                    <w:pStyle w:val="000"/>
                  </w:pPr>
                  <w:r>
                    <w:t>0.0574</w:t>
                  </w:r>
                </w:p>
              </w:tc>
              <w:tc>
                <w:tcPr>
                  <w:tcW w:w="1104" w:type="dxa"/>
                  <w:tcBorders>
                    <w:top w:val="single" w:sz="6" w:space="0" w:color="000000"/>
                    <w:left w:val="single" w:sz="6" w:space="0" w:color="000000"/>
                    <w:bottom w:val="single" w:sz="6" w:space="0" w:color="000000"/>
                    <w:right w:val="single" w:sz="6" w:space="0" w:color="000000"/>
                  </w:tcBorders>
                  <w:vAlign w:val="center"/>
                </w:tcPr>
                <w:p w14:paraId="6CA6834B" w14:textId="77777777" w:rsidR="00F76A63" w:rsidRDefault="00000000">
                  <w:pPr>
                    <w:pStyle w:val="000"/>
                  </w:pPr>
                  <w:r>
                    <w:t>0.0518</w:t>
                  </w:r>
                </w:p>
              </w:tc>
              <w:tc>
                <w:tcPr>
                  <w:tcW w:w="1309" w:type="dxa"/>
                  <w:tcBorders>
                    <w:top w:val="single" w:sz="6" w:space="0" w:color="000000"/>
                    <w:left w:val="single" w:sz="6" w:space="0" w:color="000000"/>
                    <w:bottom w:val="single" w:sz="6" w:space="0" w:color="000000"/>
                    <w:right w:val="single" w:sz="6" w:space="0" w:color="000000"/>
                  </w:tcBorders>
                  <w:vAlign w:val="center"/>
                </w:tcPr>
                <w:p w14:paraId="4B07C803" w14:textId="77777777" w:rsidR="00F76A63" w:rsidRDefault="00000000">
                  <w:pPr>
                    <w:pStyle w:val="000"/>
                  </w:pPr>
                  <w:r>
                    <w:t>0.0574</w:t>
                  </w:r>
                </w:p>
              </w:tc>
              <w:tc>
                <w:tcPr>
                  <w:tcW w:w="1105" w:type="dxa"/>
                  <w:tcBorders>
                    <w:top w:val="single" w:sz="6" w:space="0" w:color="000000"/>
                    <w:left w:val="single" w:sz="6" w:space="0" w:color="000000"/>
                    <w:bottom w:val="single" w:sz="6" w:space="0" w:color="000000"/>
                    <w:right w:val="single" w:sz="6" w:space="0" w:color="000000"/>
                  </w:tcBorders>
                  <w:vAlign w:val="center"/>
                </w:tcPr>
                <w:p w14:paraId="0490E6FF" w14:textId="77777777" w:rsidR="00F76A63" w:rsidRDefault="00000000">
                  <w:pPr>
                    <w:pStyle w:val="000"/>
                  </w:pPr>
                  <w:r>
                    <w:t>0.0518</w:t>
                  </w:r>
                </w:p>
              </w:tc>
              <w:tc>
                <w:tcPr>
                  <w:tcW w:w="969" w:type="dxa"/>
                  <w:tcBorders>
                    <w:top w:val="single" w:sz="6" w:space="0" w:color="000000"/>
                    <w:left w:val="single" w:sz="6" w:space="0" w:color="000000"/>
                    <w:bottom w:val="single" w:sz="6" w:space="0" w:color="000000"/>
                    <w:right w:val="nil"/>
                  </w:tcBorders>
                  <w:vAlign w:val="center"/>
                </w:tcPr>
                <w:p w14:paraId="45FA7830" w14:textId="77777777" w:rsidR="00F76A63" w:rsidRDefault="00000000">
                  <w:pPr>
                    <w:pStyle w:val="000"/>
                  </w:pPr>
                  <w:r>
                    <w:t>-0.0056</w:t>
                  </w:r>
                </w:p>
              </w:tc>
            </w:tr>
            <w:tr w:rsidR="00F76A63" w14:paraId="63336121"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4F13AE89"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411B8C5F"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58E4E0BE" w14:textId="77777777" w:rsidR="00F76A63" w:rsidRDefault="00000000">
                  <w:pPr>
                    <w:pStyle w:val="000"/>
                  </w:pPr>
                  <w:r>
                    <w:t>钴及其化合物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5F8EB6C2" w14:textId="77777777" w:rsidR="00F76A63" w:rsidRDefault="00000000">
                  <w:pPr>
                    <w:pStyle w:val="000"/>
                  </w:pPr>
                  <w:r>
                    <w:t>0.0134</w:t>
                  </w:r>
                </w:p>
              </w:tc>
              <w:tc>
                <w:tcPr>
                  <w:tcW w:w="1050" w:type="dxa"/>
                  <w:tcBorders>
                    <w:top w:val="single" w:sz="6" w:space="0" w:color="000000"/>
                    <w:left w:val="single" w:sz="6" w:space="0" w:color="000000"/>
                    <w:bottom w:val="single" w:sz="6" w:space="0" w:color="000000"/>
                    <w:right w:val="single" w:sz="6" w:space="0" w:color="000000"/>
                  </w:tcBorders>
                  <w:vAlign w:val="center"/>
                </w:tcPr>
                <w:p w14:paraId="0106133C" w14:textId="77777777" w:rsidR="00F76A63" w:rsidRDefault="00000000">
                  <w:pPr>
                    <w:pStyle w:val="000"/>
                  </w:pPr>
                  <w:r>
                    <w:t>0.0134</w:t>
                  </w:r>
                </w:p>
              </w:tc>
              <w:tc>
                <w:tcPr>
                  <w:tcW w:w="1104" w:type="dxa"/>
                  <w:tcBorders>
                    <w:top w:val="single" w:sz="6" w:space="0" w:color="000000"/>
                    <w:left w:val="single" w:sz="6" w:space="0" w:color="000000"/>
                    <w:bottom w:val="single" w:sz="6" w:space="0" w:color="000000"/>
                    <w:right w:val="single" w:sz="6" w:space="0" w:color="000000"/>
                  </w:tcBorders>
                  <w:vAlign w:val="center"/>
                </w:tcPr>
                <w:p w14:paraId="611CA7B5" w14:textId="77777777" w:rsidR="00F76A63" w:rsidRDefault="00000000">
                  <w:pPr>
                    <w:pStyle w:val="000"/>
                  </w:pPr>
                  <w:r>
                    <w:t>0.012</w:t>
                  </w:r>
                </w:p>
              </w:tc>
              <w:tc>
                <w:tcPr>
                  <w:tcW w:w="1309" w:type="dxa"/>
                  <w:tcBorders>
                    <w:top w:val="single" w:sz="6" w:space="0" w:color="000000"/>
                    <w:left w:val="single" w:sz="6" w:space="0" w:color="000000"/>
                    <w:bottom w:val="single" w:sz="6" w:space="0" w:color="000000"/>
                    <w:right w:val="single" w:sz="6" w:space="0" w:color="000000"/>
                  </w:tcBorders>
                  <w:vAlign w:val="center"/>
                </w:tcPr>
                <w:p w14:paraId="235AAC77" w14:textId="77777777" w:rsidR="00F76A63" w:rsidRDefault="00000000">
                  <w:pPr>
                    <w:pStyle w:val="000"/>
                  </w:pPr>
                  <w:r>
                    <w:t>0.0134</w:t>
                  </w:r>
                </w:p>
              </w:tc>
              <w:tc>
                <w:tcPr>
                  <w:tcW w:w="1105" w:type="dxa"/>
                  <w:tcBorders>
                    <w:top w:val="single" w:sz="6" w:space="0" w:color="000000"/>
                    <w:left w:val="single" w:sz="6" w:space="0" w:color="000000"/>
                    <w:bottom w:val="single" w:sz="6" w:space="0" w:color="000000"/>
                    <w:right w:val="single" w:sz="6" w:space="0" w:color="000000"/>
                  </w:tcBorders>
                  <w:vAlign w:val="center"/>
                </w:tcPr>
                <w:p w14:paraId="68970AC6" w14:textId="77777777" w:rsidR="00F76A63" w:rsidRDefault="00000000">
                  <w:pPr>
                    <w:pStyle w:val="000"/>
                  </w:pPr>
                  <w:r>
                    <w:t>0.012</w:t>
                  </w:r>
                </w:p>
              </w:tc>
              <w:tc>
                <w:tcPr>
                  <w:tcW w:w="969" w:type="dxa"/>
                  <w:tcBorders>
                    <w:top w:val="single" w:sz="6" w:space="0" w:color="000000"/>
                    <w:left w:val="single" w:sz="6" w:space="0" w:color="000000"/>
                    <w:bottom w:val="single" w:sz="6" w:space="0" w:color="000000"/>
                    <w:right w:val="nil"/>
                  </w:tcBorders>
                  <w:vAlign w:val="center"/>
                </w:tcPr>
                <w:p w14:paraId="05853AF4" w14:textId="77777777" w:rsidR="00F76A63" w:rsidRDefault="00000000">
                  <w:pPr>
                    <w:pStyle w:val="000"/>
                  </w:pPr>
                  <w:r>
                    <w:t>-0.0014</w:t>
                  </w:r>
                </w:p>
              </w:tc>
            </w:tr>
            <w:tr w:rsidR="00F76A63" w14:paraId="5DBC330B"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45221B8F"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48881E5B"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290167FF" w14:textId="77777777" w:rsidR="00F76A63" w:rsidRDefault="00000000">
                  <w:pPr>
                    <w:pStyle w:val="000"/>
                  </w:pPr>
                  <w:r>
                    <w:t>锌及其化合物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35FF5A6F" w14:textId="77777777" w:rsidR="00F76A63" w:rsidRDefault="00000000">
                  <w:pPr>
                    <w:pStyle w:val="000"/>
                  </w:pPr>
                  <w:r>
                    <w:t>0.1406</w:t>
                  </w:r>
                </w:p>
              </w:tc>
              <w:tc>
                <w:tcPr>
                  <w:tcW w:w="1050" w:type="dxa"/>
                  <w:tcBorders>
                    <w:top w:val="single" w:sz="6" w:space="0" w:color="000000"/>
                    <w:left w:val="single" w:sz="6" w:space="0" w:color="000000"/>
                    <w:bottom w:val="single" w:sz="6" w:space="0" w:color="000000"/>
                    <w:right w:val="single" w:sz="6" w:space="0" w:color="000000"/>
                  </w:tcBorders>
                  <w:vAlign w:val="center"/>
                </w:tcPr>
                <w:p w14:paraId="203D2207" w14:textId="77777777" w:rsidR="00F76A63" w:rsidRDefault="00000000">
                  <w:pPr>
                    <w:pStyle w:val="000"/>
                  </w:pPr>
                  <w:r>
                    <w:t>0.1406</w:t>
                  </w:r>
                </w:p>
              </w:tc>
              <w:tc>
                <w:tcPr>
                  <w:tcW w:w="1104" w:type="dxa"/>
                  <w:tcBorders>
                    <w:top w:val="single" w:sz="6" w:space="0" w:color="000000"/>
                    <w:left w:val="single" w:sz="6" w:space="0" w:color="000000"/>
                    <w:bottom w:val="single" w:sz="6" w:space="0" w:color="000000"/>
                    <w:right w:val="single" w:sz="6" w:space="0" w:color="000000"/>
                  </w:tcBorders>
                  <w:vAlign w:val="center"/>
                </w:tcPr>
                <w:p w14:paraId="644F27E1" w14:textId="77777777" w:rsidR="00F76A63" w:rsidRDefault="00000000">
                  <w:pPr>
                    <w:pStyle w:val="000"/>
                  </w:pPr>
                  <w:r>
                    <w:t>0.1342</w:t>
                  </w:r>
                </w:p>
              </w:tc>
              <w:tc>
                <w:tcPr>
                  <w:tcW w:w="1309" w:type="dxa"/>
                  <w:tcBorders>
                    <w:top w:val="single" w:sz="6" w:space="0" w:color="000000"/>
                    <w:left w:val="single" w:sz="6" w:space="0" w:color="000000"/>
                    <w:bottom w:val="single" w:sz="6" w:space="0" w:color="000000"/>
                    <w:right w:val="single" w:sz="6" w:space="0" w:color="000000"/>
                  </w:tcBorders>
                  <w:vAlign w:val="center"/>
                </w:tcPr>
                <w:p w14:paraId="4BB9CB90" w14:textId="77777777" w:rsidR="00F76A63" w:rsidRDefault="00000000">
                  <w:pPr>
                    <w:pStyle w:val="000"/>
                  </w:pPr>
                  <w:r>
                    <w:t>0.1406</w:t>
                  </w:r>
                </w:p>
              </w:tc>
              <w:tc>
                <w:tcPr>
                  <w:tcW w:w="1105" w:type="dxa"/>
                  <w:tcBorders>
                    <w:top w:val="single" w:sz="6" w:space="0" w:color="000000"/>
                    <w:left w:val="single" w:sz="6" w:space="0" w:color="000000"/>
                    <w:bottom w:val="single" w:sz="6" w:space="0" w:color="000000"/>
                    <w:right w:val="single" w:sz="6" w:space="0" w:color="000000"/>
                  </w:tcBorders>
                  <w:vAlign w:val="center"/>
                </w:tcPr>
                <w:p w14:paraId="31C33193" w14:textId="77777777" w:rsidR="00F76A63" w:rsidRDefault="00000000">
                  <w:pPr>
                    <w:pStyle w:val="000"/>
                  </w:pPr>
                  <w:r>
                    <w:t>0.1342</w:t>
                  </w:r>
                </w:p>
              </w:tc>
              <w:tc>
                <w:tcPr>
                  <w:tcW w:w="969" w:type="dxa"/>
                  <w:tcBorders>
                    <w:top w:val="single" w:sz="6" w:space="0" w:color="000000"/>
                    <w:left w:val="single" w:sz="6" w:space="0" w:color="000000"/>
                    <w:bottom w:val="single" w:sz="6" w:space="0" w:color="000000"/>
                    <w:right w:val="nil"/>
                  </w:tcBorders>
                  <w:vAlign w:val="center"/>
                </w:tcPr>
                <w:p w14:paraId="28519B36" w14:textId="77777777" w:rsidR="00F76A63" w:rsidRDefault="00000000">
                  <w:pPr>
                    <w:pStyle w:val="000"/>
                  </w:pPr>
                  <w:r>
                    <w:t>-0.0064</w:t>
                  </w:r>
                </w:p>
              </w:tc>
            </w:tr>
            <w:tr w:rsidR="00F76A63" w14:paraId="6DDFF79D"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17FF1154"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2F487F4F"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0B48D198" w14:textId="77777777" w:rsidR="00F76A63" w:rsidRDefault="00000000">
                  <w:pPr>
                    <w:pStyle w:val="000"/>
                  </w:pPr>
                  <w:r>
                    <w:t>钼及其化合物</w:t>
                  </w:r>
                </w:p>
              </w:tc>
              <w:tc>
                <w:tcPr>
                  <w:tcW w:w="928" w:type="dxa"/>
                  <w:tcBorders>
                    <w:top w:val="single" w:sz="6" w:space="0" w:color="000000"/>
                    <w:left w:val="single" w:sz="6" w:space="0" w:color="000000"/>
                    <w:bottom w:val="single" w:sz="6" w:space="0" w:color="000000"/>
                    <w:right w:val="single" w:sz="6" w:space="0" w:color="000000"/>
                  </w:tcBorders>
                  <w:vAlign w:val="center"/>
                </w:tcPr>
                <w:p w14:paraId="039D6A2C" w14:textId="77777777" w:rsidR="00F76A63" w:rsidRDefault="00000000">
                  <w:pPr>
                    <w:pStyle w:val="000"/>
                  </w:pPr>
                  <w:r>
                    <w:t>0.0171</w:t>
                  </w:r>
                </w:p>
              </w:tc>
              <w:tc>
                <w:tcPr>
                  <w:tcW w:w="1050" w:type="dxa"/>
                  <w:tcBorders>
                    <w:top w:val="single" w:sz="6" w:space="0" w:color="000000"/>
                    <w:left w:val="single" w:sz="6" w:space="0" w:color="000000"/>
                    <w:bottom w:val="single" w:sz="6" w:space="0" w:color="000000"/>
                    <w:right w:val="single" w:sz="6" w:space="0" w:color="000000"/>
                  </w:tcBorders>
                  <w:vAlign w:val="center"/>
                </w:tcPr>
                <w:p w14:paraId="48FEC511" w14:textId="77777777" w:rsidR="00F76A63" w:rsidRDefault="00000000">
                  <w:pPr>
                    <w:pStyle w:val="000"/>
                  </w:pPr>
                  <w:r>
                    <w:t>0.0171</w:t>
                  </w:r>
                </w:p>
              </w:tc>
              <w:tc>
                <w:tcPr>
                  <w:tcW w:w="1104" w:type="dxa"/>
                  <w:tcBorders>
                    <w:top w:val="single" w:sz="6" w:space="0" w:color="000000"/>
                    <w:left w:val="single" w:sz="6" w:space="0" w:color="000000"/>
                    <w:bottom w:val="single" w:sz="6" w:space="0" w:color="000000"/>
                    <w:right w:val="single" w:sz="6" w:space="0" w:color="000000"/>
                  </w:tcBorders>
                  <w:vAlign w:val="center"/>
                </w:tcPr>
                <w:p w14:paraId="70DB0805" w14:textId="77777777" w:rsidR="00F76A63" w:rsidRDefault="00000000">
                  <w:pPr>
                    <w:pStyle w:val="000"/>
                  </w:pPr>
                  <w:r>
                    <w:t>0.0154</w:t>
                  </w:r>
                </w:p>
              </w:tc>
              <w:tc>
                <w:tcPr>
                  <w:tcW w:w="1309" w:type="dxa"/>
                  <w:tcBorders>
                    <w:top w:val="single" w:sz="6" w:space="0" w:color="000000"/>
                    <w:left w:val="single" w:sz="6" w:space="0" w:color="000000"/>
                    <w:bottom w:val="single" w:sz="6" w:space="0" w:color="000000"/>
                    <w:right w:val="single" w:sz="6" w:space="0" w:color="000000"/>
                  </w:tcBorders>
                  <w:vAlign w:val="center"/>
                </w:tcPr>
                <w:p w14:paraId="1DCFA8C5" w14:textId="77777777" w:rsidR="00F76A63" w:rsidRDefault="00000000">
                  <w:pPr>
                    <w:pStyle w:val="000"/>
                  </w:pPr>
                  <w:r>
                    <w:t>0.0171</w:t>
                  </w:r>
                </w:p>
              </w:tc>
              <w:tc>
                <w:tcPr>
                  <w:tcW w:w="1105" w:type="dxa"/>
                  <w:tcBorders>
                    <w:top w:val="single" w:sz="6" w:space="0" w:color="000000"/>
                    <w:left w:val="single" w:sz="6" w:space="0" w:color="000000"/>
                    <w:bottom w:val="single" w:sz="6" w:space="0" w:color="000000"/>
                    <w:right w:val="single" w:sz="6" w:space="0" w:color="000000"/>
                  </w:tcBorders>
                  <w:vAlign w:val="center"/>
                </w:tcPr>
                <w:p w14:paraId="428A5845" w14:textId="77777777" w:rsidR="00F76A63" w:rsidRDefault="00000000">
                  <w:pPr>
                    <w:pStyle w:val="000"/>
                  </w:pPr>
                  <w:r>
                    <w:t>0.0154</w:t>
                  </w:r>
                </w:p>
              </w:tc>
              <w:tc>
                <w:tcPr>
                  <w:tcW w:w="969" w:type="dxa"/>
                  <w:tcBorders>
                    <w:top w:val="single" w:sz="6" w:space="0" w:color="000000"/>
                    <w:left w:val="single" w:sz="6" w:space="0" w:color="000000"/>
                    <w:bottom w:val="single" w:sz="6" w:space="0" w:color="000000"/>
                    <w:right w:val="nil"/>
                  </w:tcBorders>
                  <w:vAlign w:val="center"/>
                </w:tcPr>
                <w:p w14:paraId="50692C94" w14:textId="77777777" w:rsidR="00F76A63" w:rsidRDefault="00000000">
                  <w:pPr>
                    <w:pStyle w:val="000"/>
                  </w:pPr>
                  <w:r>
                    <w:t>-0.0017</w:t>
                  </w:r>
                </w:p>
              </w:tc>
            </w:tr>
            <w:tr w:rsidR="00F76A63" w14:paraId="0F27E4CF"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442B37AC"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4903A237"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2B7304EE" w14:textId="77777777" w:rsidR="00F76A63" w:rsidRDefault="00000000">
                  <w:pPr>
                    <w:pStyle w:val="000"/>
                  </w:pPr>
                  <w:r>
                    <w:t>Tl+Cd+Pb+As</w:t>
                  </w:r>
                </w:p>
              </w:tc>
              <w:tc>
                <w:tcPr>
                  <w:tcW w:w="928" w:type="dxa"/>
                  <w:tcBorders>
                    <w:top w:val="single" w:sz="6" w:space="0" w:color="000000"/>
                    <w:left w:val="single" w:sz="6" w:space="0" w:color="000000"/>
                    <w:bottom w:val="single" w:sz="6" w:space="0" w:color="000000"/>
                    <w:right w:val="single" w:sz="6" w:space="0" w:color="000000"/>
                  </w:tcBorders>
                  <w:vAlign w:val="center"/>
                </w:tcPr>
                <w:p w14:paraId="7690D5FB" w14:textId="77777777" w:rsidR="00F76A63" w:rsidRDefault="00000000">
                  <w:pPr>
                    <w:pStyle w:val="000"/>
                  </w:pPr>
                  <w:r>
                    <w:t>0.3258</w:t>
                  </w:r>
                </w:p>
              </w:tc>
              <w:tc>
                <w:tcPr>
                  <w:tcW w:w="1050" w:type="dxa"/>
                  <w:tcBorders>
                    <w:top w:val="single" w:sz="6" w:space="0" w:color="000000"/>
                    <w:left w:val="single" w:sz="6" w:space="0" w:color="000000"/>
                    <w:bottom w:val="single" w:sz="6" w:space="0" w:color="000000"/>
                    <w:right w:val="single" w:sz="6" w:space="0" w:color="000000"/>
                  </w:tcBorders>
                  <w:vAlign w:val="center"/>
                </w:tcPr>
                <w:p w14:paraId="2D6DEEE1" w14:textId="77777777" w:rsidR="00F76A63" w:rsidRDefault="00000000">
                  <w:pPr>
                    <w:pStyle w:val="000"/>
                  </w:pPr>
                  <w:r>
                    <w:t>0.3258</w:t>
                  </w:r>
                </w:p>
              </w:tc>
              <w:tc>
                <w:tcPr>
                  <w:tcW w:w="1104" w:type="dxa"/>
                  <w:tcBorders>
                    <w:top w:val="single" w:sz="6" w:space="0" w:color="000000"/>
                    <w:left w:val="single" w:sz="6" w:space="0" w:color="000000"/>
                    <w:bottom w:val="single" w:sz="6" w:space="0" w:color="000000"/>
                    <w:right w:val="single" w:sz="6" w:space="0" w:color="000000"/>
                  </w:tcBorders>
                  <w:vAlign w:val="center"/>
                </w:tcPr>
                <w:p w14:paraId="6D71E868" w14:textId="77777777" w:rsidR="00F76A63" w:rsidRDefault="00000000">
                  <w:pPr>
                    <w:pStyle w:val="000"/>
                  </w:pPr>
                  <w:r>
                    <w:t>0.4485</w:t>
                  </w:r>
                </w:p>
              </w:tc>
              <w:tc>
                <w:tcPr>
                  <w:tcW w:w="1309" w:type="dxa"/>
                  <w:tcBorders>
                    <w:top w:val="single" w:sz="6" w:space="0" w:color="000000"/>
                    <w:left w:val="single" w:sz="6" w:space="0" w:color="000000"/>
                    <w:bottom w:val="single" w:sz="6" w:space="0" w:color="000000"/>
                    <w:right w:val="single" w:sz="6" w:space="0" w:color="000000"/>
                  </w:tcBorders>
                  <w:vAlign w:val="center"/>
                </w:tcPr>
                <w:p w14:paraId="45EDC03D" w14:textId="77777777" w:rsidR="00F76A63" w:rsidRDefault="00000000">
                  <w:pPr>
                    <w:pStyle w:val="000"/>
                  </w:pPr>
                  <w:r>
                    <w:t>0.3258</w:t>
                  </w:r>
                </w:p>
              </w:tc>
              <w:tc>
                <w:tcPr>
                  <w:tcW w:w="1105" w:type="dxa"/>
                  <w:tcBorders>
                    <w:top w:val="single" w:sz="6" w:space="0" w:color="000000"/>
                    <w:left w:val="single" w:sz="6" w:space="0" w:color="000000"/>
                    <w:bottom w:val="single" w:sz="6" w:space="0" w:color="000000"/>
                    <w:right w:val="single" w:sz="6" w:space="0" w:color="000000"/>
                  </w:tcBorders>
                  <w:vAlign w:val="center"/>
                </w:tcPr>
                <w:p w14:paraId="4CF4B1B6" w14:textId="77777777" w:rsidR="00F76A63" w:rsidRDefault="00000000">
                  <w:pPr>
                    <w:pStyle w:val="000"/>
                  </w:pPr>
                  <w:r>
                    <w:t>0.4485</w:t>
                  </w:r>
                </w:p>
              </w:tc>
              <w:tc>
                <w:tcPr>
                  <w:tcW w:w="969" w:type="dxa"/>
                  <w:tcBorders>
                    <w:top w:val="single" w:sz="6" w:space="0" w:color="000000"/>
                    <w:left w:val="single" w:sz="6" w:space="0" w:color="000000"/>
                    <w:bottom w:val="single" w:sz="6" w:space="0" w:color="000000"/>
                    <w:right w:val="nil"/>
                  </w:tcBorders>
                  <w:vAlign w:val="center"/>
                </w:tcPr>
                <w:p w14:paraId="62526CE1" w14:textId="77777777" w:rsidR="00F76A63" w:rsidRDefault="00000000">
                  <w:pPr>
                    <w:pStyle w:val="000"/>
                  </w:pPr>
                  <w:r>
                    <w:t>+0.1227</w:t>
                  </w:r>
                </w:p>
              </w:tc>
            </w:tr>
            <w:tr w:rsidR="00F76A63" w14:paraId="265160E7"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0881905A"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6D8B742E"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19F4FE5A" w14:textId="77777777" w:rsidR="00F76A63" w:rsidRDefault="00000000">
                  <w:pPr>
                    <w:pStyle w:val="000"/>
                  </w:pPr>
                  <w:r>
                    <w:t>Be+Cr+Sn+Sb+Cu+Co+Mn+Ni+V</w:t>
                  </w:r>
                </w:p>
              </w:tc>
              <w:tc>
                <w:tcPr>
                  <w:tcW w:w="928" w:type="dxa"/>
                  <w:tcBorders>
                    <w:top w:val="single" w:sz="6" w:space="0" w:color="000000"/>
                    <w:left w:val="single" w:sz="6" w:space="0" w:color="000000"/>
                    <w:bottom w:val="single" w:sz="6" w:space="0" w:color="000000"/>
                    <w:right w:val="single" w:sz="6" w:space="0" w:color="000000"/>
                  </w:tcBorders>
                  <w:vAlign w:val="center"/>
                </w:tcPr>
                <w:p w14:paraId="66CE7D10" w14:textId="77777777" w:rsidR="00F76A63" w:rsidRDefault="00000000">
                  <w:pPr>
                    <w:pStyle w:val="000"/>
                  </w:pPr>
                  <w:r>
                    <w:t>0.6232</w:t>
                  </w:r>
                </w:p>
              </w:tc>
              <w:tc>
                <w:tcPr>
                  <w:tcW w:w="1050" w:type="dxa"/>
                  <w:tcBorders>
                    <w:top w:val="single" w:sz="6" w:space="0" w:color="000000"/>
                    <w:left w:val="single" w:sz="6" w:space="0" w:color="000000"/>
                    <w:bottom w:val="single" w:sz="6" w:space="0" w:color="000000"/>
                    <w:right w:val="single" w:sz="6" w:space="0" w:color="000000"/>
                  </w:tcBorders>
                  <w:vAlign w:val="center"/>
                </w:tcPr>
                <w:p w14:paraId="1AA0BBC3" w14:textId="77777777" w:rsidR="00F76A63" w:rsidRDefault="00000000">
                  <w:pPr>
                    <w:pStyle w:val="000"/>
                  </w:pPr>
                  <w:r>
                    <w:t>0.6232</w:t>
                  </w:r>
                </w:p>
              </w:tc>
              <w:tc>
                <w:tcPr>
                  <w:tcW w:w="1104" w:type="dxa"/>
                  <w:tcBorders>
                    <w:top w:val="single" w:sz="6" w:space="0" w:color="000000"/>
                    <w:left w:val="single" w:sz="6" w:space="0" w:color="000000"/>
                    <w:bottom w:val="single" w:sz="6" w:space="0" w:color="000000"/>
                    <w:right w:val="single" w:sz="6" w:space="0" w:color="000000"/>
                  </w:tcBorders>
                  <w:vAlign w:val="center"/>
                </w:tcPr>
                <w:p w14:paraId="234FDF5D" w14:textId="77777777" w:rsidR="00F76A63" w:rsidRDefault="00000000">
                  <w:pPr>
                    <w:pStyle w:val="000"/>
                  </w:pPr>
                  <w:r>
                    <w:t>0.4393</w:t>
                  </w:r>
                </w:p>
              </w:tc>
              <w:tc>
                <w:tcPr>
                  <w:tcW w:w="1309" w:type="dxa"/>
                  <w:tcBorders>
                    <w:top w:val="single" w:sz="6" w:space="0" w:color="000000"/>
                    <w:left w:val="single" w:sz="6" w:space="0" w:color="000000"/>
                    <w:bottom w:val="single" w:sz="6" w:space="0" w:color="000000"/>
                    <w:right w:val="single" w:sz="6" w:space="0" w:color="000000"/>
                  </w:tcBorders>
                  <w:vAlign w:val="center"/>
                </w:tcPr>
                <w:p w14:paraId="4A38BD1D" w14:textId="77777777" w:rsidR="00F76A63" w:rsidRDefault="00000000">
                  <w:pPr>
                    <w:pStyle w:val="000"/>
                  </w:pPr>
                  <w:r>
                    <w:t>0.6232</w:t>
                  </w:r>
                </w:p>
              </w:tc>
              <w:tc>
                <w:tcPr>
                  <w:tcW w:w="1105" w:type="dxa"/>
                  <w:tcBorders>
                    <w:top w:val="single" w:sz="6" w:space="0" w:color="000000"/>
                    <w:left w:val="single" w:sz="6" w:space="0" w:color="000000"/>
                    <w:bottom w:val="single" w:sz="6" w:space="0" w:color="000000"/>
                    <w:right w:val="single" w:sz="6" w:space="0" w:color="000000"/>
                  </w:tcBorders>
                  <w:vAlign w:val="center"/>
                </w:tcPr>
                <w:p w14:paraId="7DBBE290" w14:textId="77777777" w:rsidR="00F76A63" w:rsidRDefault="00000000">
                  <w:pPr>
                    <w:pStyle w:val="000"/>
                  </w:pPr>
                  <w:r>
                    <w:t>0.4393</w:t>
                  </w:r>
                </w:p>
              </w:tc>
              <w:tc>
                <w:tcPr>
                  <w:tcW w:w="969" w:type="dxa"/>
                  <w:tcBorders>
                    <w:top w:val="single" w:sz="6" w:space="0" w:color="000000"/>
                    <w:left w:val="single" w:sz="6" w:space="0" w:color="000000"/>
                    <w:bottom w:val="single" w:sz="6" w:space="0" w:color="000000"/>
                    <w:right w:val="nil"/>
                  </w:tcBorders>
                  <w:vAlign w:val="center"/>
                </w:tcPr>
                <w:p w14:paraId="2BEFB722" w14:textId="77777777" w:rsidR="00F76A63" w:rsidRDefault="00000000">
                  <w:pPr>
                    <w:pStyle w:val="000"/>
                  </w:pPr>
                  <w:r>
                    <w:t>-0.1839</w:t>
                  </w:r>
                </w:p>
              </w:tc>
            </w:tr>
            <w:tr w:rsidR="00F76A63" w14:paraId="1DE471CD"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1AFF57AF"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50D39F47"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6192444D" w14:textId="77777777" w:rsidR="00F76A63" w:rsidRDefault="00000000">
                  <w:pPr>
                    <w:pStyle w:val="000"/>
                  </w:pPr>
                  <w:r>
                    <w:t>二噁英（</w:t>
                  </w:r>
                  <w:r>
                    <w:t>mgTEQ/a</w:t>
                  </w:r>
                  <w:r>
                    <w:t>）</w:t>
                  </w:r>
                </w:p>
              </w:tc>
              <w:tc>
                <w:tcPr>
                  <w:tcW w:w="928" w:type="dxa"/>
                  <w:tcBorders>
                    <w:top w:val="single" w:sz="6" w:space="0" w:color="000000"/>
                    <w:left w:val="single" w:sz="6" w:space="0" w:color="000000"/>
                    <w:bottom w:val="single" w:sz="6" w:space="0" w:color="000000"/>
                    <w:right w:val="single" w:sz="6" w:space="0" w:color="000000"/>
                  </w:tcBorders>
                  <w:vAlign w:val="center"/>
                </w:tcPr>
                <w:p w14:paraId="43533230" w14:textId="77777777" w:rsidR="00F76A63" w:rsidRDefault="00000000">
                  <w:pPr>
                    <w:pStyle w:val="000"/>
                  </w:pPr>
                  <w:r>
                    <w:t>985</w:t>
                  </w:r>
                </w:p>
              </w:tc>
              <w:tc>
                <w:tcPr>
                  <w:tcW w:w="1050" w:type="dxa"/>
                  <w:tcBorders>
                    <w:top w:val="single" w:sz="6" w:space="0" w:color="000000"/>
                    <w:left w:val="single" w:sz="6" w:space="0" w:color="000000"/>
                    <w:bottom w:val="single" w:sz="6" w:space="0" w:color="000000"/>
                    <w:right w:val="single" w:sz="6" w:space="0" w:color="000000"/>
                  </w:tcBorders>
                  <w:vAlign w:val="center"/>
                </w:tcPr>
                <w:p w14:paraId="69B92AB6" w14:textId="77777777" w:rsidR="00F76A63" w:rsidRDefault="00000000">
                  <w:pPr>
                    <w:pStyle w:val="000"/>
                  </w:pPr>
                  <w:r>
                    <w:t>985</w:t>
                  </w:r>
                </w:p>
              </w:tc>
              <w:tc>
                <w:tcPr>
                  <w:tcW w:w="1104" w:type="dxa"/>
                  <w:tcBorders>
                    <w:top w:val="single" w:sz="6" w:space="0" w:color="000000"/>
                    <w:left w:val="single" w:sz="6" w:space="0" w:color="000000"/>
                    <w:bottom w:val="single" w:sz="6" w:space="0" w:color="000000"/>
                    <w:right w:val="single" w:sz="6" w:space="0" w:color="000000"/>
                  </w:tcBorders>
                  <w:vAlign w:val="center"/>
                </w:tcPr>
                <w:p w14:paraId="7FA868B2" w14:textId="77777777" w:rsidR="00F76A63" w:rsidRDefault="00000000">
                  <w:pPr>
                    <w:pStyle w:val="000"/>
                  </w:pPr>
                  <w:r>
                    <w:t>985</w:t>
                  </w:r>
                </w:p>
              </w:tc>
              <w:tc>
                <w:tcPr>
                  <w:tcW w:w="1309" w:type="dxa"/>
                  <w:tcBorders>
                    <w:top w:val="single" w:sz="6" w:space="0" w:color="000000"/>
                    <w:left w:val="single" w:sz="6" w:space="0" w:color="000000"/>
                    <w:bottom w:val="single" w:sz="6" w:space="0" w:color="000000"/>
                    <w:right w:val="single" w:sz="6" w:space="0" w:color="000000"/>
                  </w:tcBorders>
                  <w:vAlign w:val="center"/>
                </w:tcPr>
                <w:p w14:paraId="7AC57A08" w14:textId="77777777" w:rsidR="00F76A63" w:rsidRDefault="00000000">
                  <w:pPr>
                    <w:pStyle w:val="000"/>
                  </w:pPr>
                  <w:r>
                    <w:t>985</w:t>
                  </w:r>
                </w:p>
              </w:tc>
              <w:tc>
                <w:tcPr>
                  <w:tcW w:w="1105" w:type="dxa"/>
                  <w:tcBorders>
                    <w:top w:val="single" w:sz="6" w:space="0" w:color="000000"/>
                    <w:left w:val="single" w:sz="6" w:space="0" w:color="000000"/>
                    <w:bottom w:val="single" w:sz="6" w:space="0" w:color="000000"/>
                    <w:right w:val="single" w:sz="6" w:space="0" w:color="000000"/>
                  </w:tcBorders>
                  <w:vAlign w:val="center"/>
                </w:tcPr>
                <w:p w14:paraId="04E79167" w14:textId="77777777" w:rsidR="00F76A63" w:rsidRDefault="00000000">
                  <w:pPr>
                    <w:pStyle w:val="000"/>
                  </w:pPr>
                  <w:r>
                    <w:t>985</w:t>
                  </w:r>
                </w:p>
              </w:tc>
              <w:tc>
                <w:tcPr>
                  <w:tcW w:w="969" w:type="dxa"/>
                  <w:tcBorders>
                    <w:top w:val="single" w:sz="6" w:space="0" w:color="000000"/>
                    <w:left w:val="single" w:sz="6" w:space="0" w:color="000000"/>
                    <w:bottom w:val="single" w:sz="6" w:space="0" w:color="000000"/>
                    <w:right w:val="nil"/>
                  </w:tcBorders>
                  <w:vAlign w:val="center"/>
                </w:tcPr>
                <w:p w14:paraId="42C1BFB6" w14:textId="77777777" w:rsidR="00F76A63" w:rsidRDefault="00000000">
                  <w:pPr>
                    <w:pStyle w:val="000"/>
                  </w:pPr>
                  <w:r>
                    <w:rPr>
                      <w:rFonts w:hint="eastAsia"/>
                    </w:rPr>
                    <w:t>0</w:t>
                  </w:r>
                </w:p>
              </w:tc>
            </w:tr>
            <w:tr w:rsidR="00F76A63" w14:paraId="497B5BF5" w14:textId="77777777">
              <w:trPr>
                <w:trHeight w:val="111"/>
                <w:jc w:val="center"/>
              </w:trPr>
              <w:tc>
                <w:tcPr>
                  <w:tcW w:w="380" w:type="dxa"/>
                  <w:vMerge/>
                  <w:tcBorders>
                    <w:top w:val="single" w:sz="6" w:space="0" w:color="000000"/>
                    <w:left w:val="nil"/>
                    <w:bottom w:val="single" w:sz="6" w:space="0" w:color="000000"/>
                    <w:right w:val="single" w:sz="6" w:space="0" w:color="000000"/>
                  </w:tcBorders>
                  <w:vAlign w:val="center"/>
                </w:tcPr>
                <w:p w14:paraId="5FEE804A" w14:textId="77777777" w:rsidR="00F76A63" w:rsidRDefault="00F76A63">
                  <w:pPr>
                    <w:jc w:val="center"/>
                    <w:rPr>
                      <w:bCs/>
                      <w:kern w:val="28"/>
                      <w:szCs w:val="21"/>
                    </w:rPr>
                  </w:pPr>
                </w:p>
              </w:tc>
              <w:tc>
                <w:tcPr>
                  <w:tcW w:w="380" w:type="dxa"/>
                  <w:vMerge w:val="restart"/>
                  <w:tcBorders>
                    <w:top w:val="single" w:sz="6" w:space="0" w:color="000000"/>
                    <w:left w:val="single" w:sz="6" w:space="0" w:color="000000"/>
                    <w:bottom w:val="single" w:sz="6" w:space="0" w:color="000000"/>
                    <w:right w:val="single" w:sz="6" w:space="0" w:color="000000"/>
                  </w:tcBorders>
                  <w:vAlign w:val="center"/>
                </w:tcPr>
                <w:p w14:paraId="5BBC8746" w14:textId="77777777" w:rsidR="00F76A63" w:rsidRDefault="00000000">
                  <w:pPr>
                    <w:pStyle w:val="000"/>
                  </w:pPr>
                  <w:r>
                    <w:t>无组织</w:t>
                  </w:r>
                </w:p>
              </w:tc>
              <w:tc>
                <w:tcPr>
                  <w:tcW w:w="957" w:type="dxa"/>
                  <w:tcBorders>
                    <w:top w:val="single" w:sz="6" w:space="0" w:color="000000"/>
                    <w:left w:val="single" w:sz="6" w:space="0" w:color="000000"/>
                    <w:bottom w:val="single" w:sz="6" w:space="0" w:color="000000"/>
                    <w:right w:val="single" w:sz="6" w:space="0" w:color="000000"/>
                  </w:tcBorders>
                  <w:vAlign w:val="center"/>
                </w:tcPr>
                <w:p w14:paraId="6A9E73F3" w14:textId="77777777" w:rsidR="00F76A63" w:rsidRDefault="00000000">
                  <w:pPr>
                    <w:pStyle w:val="000"/>
                  </w:pPr>
                  <w:r>
                    <w:t>颗粒物</w:t>
                  </w:r>
                  <w:r>
                    <w:rPr>
                      <w:rFonts w:hint="eastAsia"/>
                      <w:b/>
                    </w:rPr>
                    <w:t>③</w:t>
                  </w:r>
                </w:p>
              </w:tc>
              <w:tc>
                <w:tcPr>
                  <w:tcW w:w="928" w:type="dxa"/>
                  <w:tcBorders>
                    <w:top w:val="single" w:sz="6" w:space="0" w:color="000000"/>
                    <w:left w:val="single" w:sz="6" w:space="0" w:color="000000"/>
                    <w:bottom w:val="single" w:sz="6" w:space="0" w:color="000000"/>
                    <w:right w:val="single" w:sz="6" w:space="0" w:color="000000"/>
                  </w:tcBorders>
                  <w:vAlign w:val="center"/>
                </w:tcPr>
                <w:p w14:paraId="5BD32437" w14:textId="77777777" w:rsidR="00F76A63" w:rsidRDefault="00000000">
                  <w:pPr>
                    <w:pStyle w:val="000"/>
                  </w:pPr>
                  <w:r>
                    <w:t>1.2</w:t>
                  </w:r>
                </w:p>
              </w:tc>
              <w:tc>
                <w:tcPr>
                  <w:tcW w:w="1050" w:type="dxa"/>
                  <w:tcBorders>
                    <w:top w:val="single" w:sz="6" w:space="0" w:color="000000"/>
                    <w:left w:val="single" w:sz="6" w:space="0" w:color="000000"/>
                    <w:bottom w:val="single" w:sz="6" w:space="0" w:color="000000"/>
                    <w:right w:val="single" w:sz="6" w:space="0" w:color="000000"/>
                  </w:tcBorders>
                  <w:vAlign w:val="center"/>
                </w:tcPr>
                <w:p w14:paraId="4E21443F" w14:textId="77777777" w:rsidR="00F76A63" w:rsidRDefault="00000000">
                  <w:pPr>
                    <w:pStyle w:val="000"/>
                  </w:pPr>
                  <w:r>
                    <w:t>1.2</w:t>
                  </w:r>
                </w:p>
              </w:tc>
              <w:tc>
                <w:tcPr>
                  <w:tcW w:w="1104" w:type="dxa"/>
                  <w:tcBorders>
                    <w:top w:val="single" w:sz="6" w:space="0" w:color="000000"/>
                    <w:left w:val="single" w:sz="6" w:space="0" w:color="000000"/>
                    <w:bottom w:val="single" w:sz="6" w:space="0" w:color="000000"/>
                    <w:right w:val="single" w:sz="6" w:space="0" w:color="000000"/>
                  </w:tcBorders>
                  <w:vAlign w:val="center"/>
                </w:tcPr>
                <w:p w14:paraId="6D43FECC" w14:textId="77777777" w:rsidR="00F76A63" w:rsidRDefault="00000000">
                  <w:pPr>
                    <w:pStyle w:val="000"/>
                  </w:pPr>
                  <w:r>
                    <w:rPr>
                      <w:bCs w:val="0"/>
                    </w:rPr>
                    <w:t>0.15</w:t>
                  </w:r>
                </w:p>
              </w:tc>
              <w:tc>
                <w:tcPr>
                  <w:tcW w:w="1309" w:type="dxa"/>
                  <w:tcBorders>
                    <w:top w:val="single" w:sz="6" w:space="0" w:color="000000"/>
                    <w:left w:val="single" w:sz="6" w:space="0" w:color="000000"/>
                    <w:bottom w:val="single" w:sz="6" w:space="0" w:color="000000"/>
                    <w:right w:val="single" w:sz="6" w:space="0" w:color="000000"/>
                  </w:tcBorders>
                  <w:vAlign w:val="center"/>
                </w:tcPr>
                <w:p w14:paraId="6492D71C"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705348E0" w14:textId="77777777" w:rsidR="00F76A63" w:rsidRDefault="00000000">
                  <w:pPr>
                    <w:pStyle w:val="000"/>
                  </w:pPr>
                  <w:r>
                    <w:t>1.35</w:t>
                  </w:r>
                </w:p>
              </w:tc>
              <w:tc>
                <w:tcPr>
                  <w:tcW w:w="969" w:type="dxa"/>
                  <w:tcBorders>
                    <w:top w:val="single" w:sz="6" w:space="0" w:color="000000"/>
                    <w:left w:val="single" w:sz="6" w:space="0" w:color="000000"/>
                    <w:bottom w:val="single" w:sz="6" w:space="0" w:color="000000"/>
                    <w:right w:val="nil"/>
                  </w:tcBorders>
                  <w:vAlign w:val="center"/>
                </w:tcPr>
                <w:p w14:paraId="461FB54E" w14:textId="77777777" w:rsidR="00F76A63" w:rsidRDefault="00000000">
                  <w:pPr>
                    <w:pStyle w:val="000"/>
                  </w:pPr>
                  <w:r>
                    <w:rPr>
                      <w:bCs w:val="0"/>
                    </w:rPr>
                    <w:t>+0.15</w:t>
                  </w:r>
                </w:p>
              </w:tc>
            </w:tr>
            <w:tr w:rsidR="00F76A63" w14:paraId="2A4FDBD2"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1C83B20E"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035273B8"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0D2E08E7" w14:textId="77777777" w:rsidR="00F76A63" w:rsidRDefault="00000000">
                  <w:pPr>
                    <w:pStyle w:val="000"/>
                  </w:pPr>
                  <w:r>
                    <w:t>氨</w:t>
                  </w:r>
                </w:p>
              </w:tc>
              <w:tc>
                <w:tcPr>
                  <w:tcW w:w="928" w:type="dxa"/>
                  <w:tcBorders>
                    <w:top w:val="single" w:sz="6" w:space="0" w:color="000000"/>
                    <w:left w:val="single" w:sz="6" w:space="0" w:color="000000"/>
                    <w:bottom w:val="single" w:sz="6" w:space="0" w:color="000000"/>
                    <w:right w:val="single" w:sz="6" w:space="0" w:color="000000"/>
                  </w:tcBorders>
                  <w:vAlign w:val="center"/>
                </w:tcPr>
                <w:p w14:paraId="3A183C18" w14:textId="77777777" w:rsidR="00F76A63" w:rsidRDefault="00000000">
                  <w:pPr>
                    <w:pStyle w:val="000"/>
                  </w:pPr>
                  <w:r>
                    <w:t>0.08</w:t>
                  </w:r>
                </w:p>
              </w:tc>
              <w:tc>
                <w:tcPr>
                  <w:tcW w:w="1050" w:type="dxa"/>
                  <w:tcBorders>
                    <w:top w:val="single" w:sz="6" w:space="0" w:color="000000"/>
                    <w:left w:val="single" w:sz="6" w:space="0" w:color="000000"/>
                    <w:bottom w:val="single" w:sz="6" w:space="0" w:color="000000"/>
                    <w:right w:val="single" w:sz="6" w:space="0" w:color="000000"/>
                  </w:tcBorders>
                  <w:vAlign w:val="center"/>
                </w:tcPr>
                <w:p w14:paraId="4EC63BB3" w14:textId="77777777" w:rsidR="00F76A63" w:rsidRDefault="00000000">
                  <w:pPr>
                    <w:pStyle w:val="000"/>
                  </w:pPr>
                  <w:r>
                    <w:t>0.08</w:t>
                  </w:r>
                </w:p>
              </w:tc>
              <w:tc>
                <w:tcPr>
                  <w:tcW w:w="1104" w:type="dxa"/>
                  <w:tcBorders>
                    <w:top w:val="single" w:sz="6" w:space="0" w:color="000000"/>
                    <w:left w:val="single" w:sz="6" w:space="0" w:color="000000"/>
                    <w:bottom w:val="single" w:sz="6" w:space="0" w:color="000000"/>
                    <w:right w:val="single" w:sz="6" w:space="0" w:color="000000"/>
                  </w:tcBorders>
                  <w:vAlign w:val="center"/>
                </w:tcPr>
                <w:p w14:paraId="25ED2E87" w14:textId="77777777" w:rsidR="00F76A63" w:rsidRDefault="00000000">
                  <w:pPr>
                    <w:pStyle w:val="000"/>
                  </w:pPr>
                  <w:r>
                    <w:rPr>
                      <w:bCs w:val="0"/>
                    </w:rPr>
                    <w:t>0.606</w:t>
                  </w:r>
                </w:p>
              </w:tc>
              <w:tc>
                <w:tcPr>
                  <w:tcW w:w="1309" w:type="dxa"/>
                  <w:tcBorders>
                    <w:top w:val="single" w:sz="6" w:space="0" w:color="000000"/>
                    <w:left w:val="single" w:sz="6" w:space="0" w:color="000000"/>
                    <w:bottom w:val="single" w:sz="6" w:space="0" w:color="000000"/>
                    <w:right w:val="single" w:sz="6" w:space="0" w:color="000000"/>
                  </w:tcBorders>
                  <w:vAlign w:val="center"/>
                </w:tcPr>
                <w:p w14:paraId="171EA51F"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0DB152F5" w14:textId="77777777" w:rsidR="00F76A63" w:rsidRDefault="00000000">
                  <w:pPr>
                    <w:pStyle w:val="000"/>
                  </w:pPr>
                  <w:r>
                    <w:t>0.686</w:t>
                  </w:r>
                </w:p>
              </w:tc>
              <w:tc>
                <w:tcPr>
                  <w:tcW w:w="969" w:type="dxa"/>
                  <w:tcBorders>
                    <w:top w:val="single" w:sz="6" w:space="0" w:color="000000"/>
                    <w:left w:val="single" w:sz="6" w:space="0" w:color="000000"/>
                    <w:bottom w:val="single" w:sz="6" w:space="0" w:color="000000"/>
                    <w:right w:val="nil"/>
                  </w:tcBorders>
                  <w:vAlign w:val="center"/>
                </w:tcPr>
                <w:p w14:paraId="66C8396C" w14:textId="77777777" w:rsidR="00F76A63" w:rsidRDefault="00000000">
                  <w:pPr>
                    <w:pStyle w:val="000"/>
                  </w:pPr>
                  <w:r>
                    <w:rPr>
                      <w:bCs w:val="0"/>
                    </w:rPr>
                    <w:t>+0.606</w:t>
                  </w:r>
                </w:p>
              </w:tc>
            </w:tr>
            <w:tr w:rsidR="00F76A63" w14:paraId="23AD5125"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54B0DD3B"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20240763"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213C2A79" w14:textId="77777777" w:rsidR="00F76A63" w:rsidRDefault="00000000">
                  <w:pPr>
                    <w:pStyle w:val="000"/>
                  </w:pPr>
                  <w:r>
                    <w:t>硫化氢</w:t>
                  </w:r>
                </w:p>
              </w:tc>
              <w:tc>
                <w:tcPr>
                  <w:tcW w:w="928" w:type="dxa"/>
                  <w:tcBorders>
                    <w:top w:val="single" w:sz="6" w:space="0" w:color="000000"/>
                    <w:left w:val="single" w:sz="6" w:space="0" w:color="000000"/>
                    <w:bottom w:val="single" w:sz="6" w:space="0" w:color="000000"/>
                    <w:right w:val="single" w:sz="6" w:space="0" w:color="000000"/>
                  </w:tcBorders>
                  <w:vAlign w:val="center"/>
                </w:tcPr>
                <w:p w14:paraId="1C361EB4" w14:textId="77777777" w:rsidR="00F76A63" w:rsidRDefault="00000000">
                  <w:pPr>
                    <w:pStyle w:val="000"/>
                  </w:pPr>
                  <w:r>
                    <w:t>0.032</w:t>
                  </w:r>
                </w:p>
              </w:tc>
              <w:tc>
                <w:tcPr>
                  <w:tcW w:w="1050" w:type="dxa"/>
                  <w:tcBorders>
                    <w:top w:val="single" w:sz="6" w:space="0" w:color="000000"/>
                    <w:left w:val="single" w:sz="6" w:space="0" w:color="000000"/>
                    <w:bottom w:val="single" w:sz="6" w:space="0" w:color="000000"/>
                    <w:right w:val="single" w:sz="6" w:space="0" w:color="000000"/>
                  </w:tcBorders>
                  <w:vAlign w:val="center"/>
                </w:tcPr>
                <w:p w14:paraId="6344A273" w14:textId="77777777" w:rsidR="00F76A63" w:rsidRDefault="00000000">
                  <w:pPr>
                    <w:pStyle w:val="000"/>
                  </w:pPr>
                  <w:r>
                    <w:t>0.032</w:t>
                  </w:r>
                </w:p>
              </w:tc>
              <w:tc>
                <w:tcPr>
                  <w:tcW w:w="1104" w:type="dxa"/>
                  <w:tcBorders>
                    <w:top w:val="single" w:sz="6" w:space="0" w:color="000000"/>
                    <w:left w:val="single" w:sz="6" w:space="0" w:color="000000"/>
                    <w:bottom w:val="single" w:sz="6" w:space="0" w:color="000000"/>
                    <w:right w:val="single" w:sz="6" w:space="0" w:color="000000"/>
                  </w:tcBorders>
                  <w:vAlign w:val="center"/>
                </w:tcPr>
                <w:p w14:paraId="5B19056B" w14:textId="77777777" w:rsidR="00F76A63" w:rsidRDefault="00000000">
                  <w:pPr>
                    <w:pStyle w:val="000"/>
                  </w:pPr>
                  <w:r>
                    <w:rPr>
                      <w:bCs w:val="0"/>
                    </w:rPr>
                    <w:t>0.062</w:t>
                  </w:r>
                </w:p>
              </w:tc>
              <w:tc>
                <w:tcPr>
                  <w:tcW w:w="1309" w:type="dxa"/>
                  <w:tcBorders>
                    <w:top w:val="single" w:sz="6" w:space="0" w:color="000000"/>
                    <w:left w:val="single" w:sz="6" w:space="0" w:color="000000"/>
                    <w:bottom w:val="single" w:sz="6" w:space="0" w:color="000000"/>
                    <w:right w:val="single" w:sz="6" w:space="0" w:color="000000"/>
                  </w:tcBorders>
                  <w:vAlign w:val="center"/>
                </w:tcPr>
                <w:p w14:paraId="69F1CC6F"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7C3CB41C" w14:textId="77777777" w:rsidR="00F76A63" w:rsidRDefault="00000000">
                  <w:pPr>
                    <w:pStyle w:val="000"/>
                  </w:pPr>
                  <w:r>
                    <w:t>0.094</w:t>
                  </w:r>
                </w:p>
              </w:tc>
              <w:tc>
                <w:tcPr>
                  <w:tcW w:w="969" w:type="dxa"/>
                  <w:tcBorders>
                    <w:top w:val="single" w:sz="6" w:space="0" w:color="000000"/>
                    <w:left w:val="single" w:sz="6" w:space="0" w:color="000000"/>
                    <w:bottom w:val="single" w:sz="6" w:space="0" w:color="000000"/>
                    <w:right w:val="nil"/>
                  </w:tcBorders>
                  <w:vAlign w:val="center"/>
                </w:tcPr>
                <w:p w14:paraId="3FD684B1" w14:textId="77777777" w:rsidR="00F76A63" w:rsidRDefault="00000000">
                  <w:pPr>
                    <w:pStyle w:val="000"/>
                  </w:pPr>
                  <w:r>
                    <w:rPr>
                      <w:bCs w:val="0"/>
                    </w:rPr>
                    <w:t>+0.062</w:t>
                  </w:r>
                </w:p>
              </w:tc>
            </w:tr>
            <w:tr w:rsidR="00F76A63" w14:paraId="65FA2BA1" w14:textId="77777777">
              <w:trPr>
                <w:jc w:val="center"/>
              </w:trPr>
              <w:tc>
                <w:tcPr>
                  <w:tcW w:w="380" w:type="dxa"/>
                  <w:vMerge/>
                  <w:tcBorders>
                    <w:top w:val="single" w:sz="6" w:space="0" w:color="000000"/>
                    <w:left w:val="nil"/>
                    <w:bottom w:val="single" w:sz="6" w:space="0" w:color="000000"/>
                    <w:right w:val="single" w:sz="6" w:space="0" w:color="000000"/>
                  </w:tcBorders>
                  <w:vAlign w:val="center"/>
                </w:tcPr>
                <w:p w14:paraId="4B0EBFEC" w14:textId="77777777" w:rsidR="00F76A63" w:rsidRDefault="00F76A63">
                  <w:pPr>
                    <w:jc w:val="center"/>
                    <w:rPr>
                      <w:bCs/>
                      <w:kern w:val="28"/>
                      <w:szCs w:val="21"/>
                    </w:rPr>
                  </w:pPr>
                </w:p>
              </w:tc>
              <w:tc>
                <w:tcPr>
                  <w:tcW w:w="380" w:type="dxa"/>
                  <w:vMerge/>
                  <w:tcBorders>
                    <w:top w:val="single" w:sz="6" w:space="0" w:color="000000"/>
                    <w:left w:val="single" w:sz="6" w:space="0" w:color="000000"/>
                    <w:bottom w:val="single" w:sz="6" w:space="0" w:color="000000"/>
                    <w:right w:val="single" w:sz="6" w:space="0" w:color="000000"/>
                  </w:tcBorders>
                  <w:vAlign w:val="center"/>
                </w:tcPr>
                <w:p w14:paraId="0FE5A584"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780B7831" w14:textId="77777777" w:rsidR="00F76A63" w:rsidRDefault="00000000">
                  <w:pPr>
                    <w:pStyle w:val="000"/>
                  </w:pPr>
                  <w:r>
                    <w:t>HCl</w:t>
                  </w:r>
                </w:p>
              </w:tc>
              <w:tc>
                <w:tcPr>
                  <w:tcW w:w="928" w:type="dxa"/>
                  <w:tcBorders>
                    <w:top w:val="single" w:sz="6" w:space="0" w:color="000000"/>
                    <w:left w:val="single" w:sz="6" w:space="0" w:color="000000"/>
                    <w:bottom w:val="single" w:sz="6" w:space="0" w:color="000000"/>
                    <w:right w:val="single" w:sz="6" w:space="0" w:color="000000"/>
                  </w:tcBorders>
                  <w:vAlign w:val="center"/>
                </w:tcPr>
                <w:p w14:paraId="6B0ED554" w14:textId="77777777" w:rsidR="00F76A63" w:rsidRDefault="00000000">
                  <w:pPr>
                    <w:pStyle w:val="000"/>
                  </w:pPr>
                  <w:r>
                    <w:t>0.002</w:t>
                  </w:r>
                </w:p>
              </w:tc>
              <w:tc>
                <w:tcPr>
                  <w:tcW w:w="1050" w:type="dxa"/>
                  <w:tcBorders>
                    <w:top w:val="single" w:sz="6" w:space="0" w:color="000000"/>
                    <w:left w:val="single" w:sz="6" w:space="0" w:color="000000"/>
                    <w:bottom w:val="single" w:sz="6" w:space="0" w:color="000000"/>
                    <w:right w:val="single" w:sz="6" w:space="0" w:color="000000"/>
                  </w:tcBorders>
                  <w:vAlign w:val="center"/>
                </w:tcPr>
                <w:p w14:paraId="331AD627" w14:textId="77777777" w:rsidR="00F76A63" w:rsidRDefault="00000000">
                  <w:pPr>
                    <w:pStyle w:val="000"/>
                  </w:pPr>
                  <w:r>
                    <w:t>0.002</w:t>
                  </w:r>
                </w:p>
              </w:tc>
              <w:tc>
                <w:tcPr>
                  <w:tcW w:w="1104" w:type="dxa"/>
                  <w:tcBorders>
                    <w:top w:val="single" w:sz="6" w:space="0" w:color="000000"/>
                    <w:left w:val="single" w:sz="6" w:space="0" w:color="000000"/>
                    <w:bottom w:val="single" w:sz="6" w:space="0" w:color="000000"/>
                    <w:right w:val="single" w:sz="6" w:space="0" w:color="000000"/>
                  </w:tcBorders>
                  <w:vAlign w:val="center"/>
                </w:tcPr>
                <w:p w14:paraId="27965988" w14:textId="77777777" w:rsidR="00F76A63" w:rsidRDefault="00000000">
                  <w:pPr>
                    <w:pStyle w:val="000"/>
                  </w:pPr>
                  <w:r>
                    <w:rPr>
                      <w:bCs w:val="0"/>
                    </w:rP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4DF57532"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5C9DE13E" w14:textId="77777777" w:rsidR="00F76A63" w:rsidRDefault="00000000">
                  <w:pPr>
                    <w:pStyle w:val="000"/>
                  </w:pPr>
                  <w:r>
                    <w:t>0.002</w:t>
                  </w:r>
                </w:p>
              </w:tc>
              <w:tc>
                <w:tcPr>
                  <w:tcW w:w="969" w:type="dxa"/>
                  <w:tcBorders>
                    <w:top w:val="single" w:sz="6" w:space="0" w:color="000000"/>
                    <w:left w:val="single" w:sz="6" w:space="0" w:color="000000"/>
                    <w:bottom w:val="single" w:sz="6" w:space="0" w:color="000000"/>
                    <w:right w:val="nil"/>
                  </w:tcBorders>
                  <w:vAlign w:val="center"/>
                </w:tcPr>
                <w:p w14:paraId="2FD6FED0" w14:textId="77777777" w:rsidR="00F76A63" w:rsidRDefault="00000000">
                  <w:pPr>
                    <w:pStyle w:val="000"/>
                  </w:pPr>
                  <w:r>
                    <w:rPr>
                      <w:rFonts w:hint="eastAsia"/>
                    </w:rPr>
                    <w:t>0</w:t>
                  </w:r>
                </w:p>
              </w:tc>
            </w:tr>
            <w:tr w:rsidR="00F76A63" w14:paraId="6BBCA464" w14:textId="77777777">
              <w:trPr>
                <w:jc w:val="center"/>
              </w:trPr>
              <w:tc>
                <w:tcPr>
                  <w:tcW w:w="760" w:type="dxa"/>
                  <w:gridSpan w:val="2"/>
                  <w:vMerge w:val="restart"/>
                  <w:tcBorders>
                    <w:top w:val="single" w:sz="6" w:space="0" w:color="000000"/>
                    <w:left w:val="nil"/>
                    <w:bottom w:val="single" w:sz="6" w:space="0" w:color="000000"/>
                    <w:right w:val="single" w:sz="6" w:space="0" w:color="000000"/>
                  </w:tcBorders>
                  <w:vAlign w:val="center"/>
                </w:tcPr>
                <w:p w14:paraId="4968B6EC" w14:textId="77777777" w:rsidR="00F76A63" w:rsidRDefault="00000000">
                  <w:pPr>
                    <w:pStyle w:val="000"/>
                  </w:pPr>
                  <w:r>
                    <w:t>废水</w:t>
                  </w:r>
                </w:p>
              </w:tc>
              <w:tc>
                <w:tcPr>
                  <w:tcW w:w="957" w:type="dxa"/>
                  <w:tcBorders>
                    <w:top w:val="single" w:sz="6" w:space="0" w:color="000000"/>
                    <w:left w:val="single" w:sz="6" w:space="0" w:color="000000"/>
                    <w:bottom w:val="single" w:sz="6" w:space="0" w:color="000000"/>
                    <w:right w:val="single" w:sz="6" w:space="0" w:color="000000"/>
                  </w:tcBorders>
                  <w:vAlign w:val="center"/>
                </w:tcPr>
                <w:p w14:paraId="513E6A1A" w14:textId="77777777" w:rsidR="00F76A63" w:rsidRDefault="00000000">
                  <w:pPr>
                    <w:pStyle w:val="000"/>
                  </w:pPr>
                  <w:r>
                    <w:t>废水量（</w:t>
                  </w:r>
                  <w:r>
                    <w:t>m</w:t>
                  </w:r>
                  <w:r>
                    <w:rPr>
                      <w:vertAlign w:val="superscript"/>
                    </w:rPr>
                    <w:t>3</w:t>
                  </w:r>
                  <w:r>
                    <w:t>/a</w:t>
                  </w:r>
                  <w:r>
                    <w:t>）</w:t>
                  </w:r>
                </w:p>
              </w:tc>
              <w:tc>
                <w:tcPr>
                  <w:tcW w:w="928" w:type="dxa"/>
                  <w:tcBorders>
                    <w:top w:val="single" w:sz="6" w:space="0" w:color="000000"/>
                    <w:left w:val="single" w:sz="6" w:space="0" w:color="000000"/>
                    <w:bottom w:val="single" w:sz="6" w:space="0" w:color="000000"/>
                    <w:right w:val="single" w:sz="6" w:space="0" w:color="000000"/>
                  </w:tcBorders>
                  <w:vAlign w:val="center"/>
                </w:tcPr>
                <w:p w14:paraId="627956A3" w14:textId="77777777" w:rsidR="00F76A63" w:rsidRDefault="00000000">
                  <w:pPr>
                    <w:pStyle w:val="000"/>
                  </w:pPr>
                  <w:r>
                    <w:t>52539</w:t>
                  </w:r>
                </w:p>
              </w:tc>
              <w:tc>
                <w:tcPr>
                  <w:tcW w:w="1050" w:type="dxa"/>
                  <w:tcBorders>
                    <w:top w:val="single" w:sz="6" w:space="0" w:color="000000"/>
                    <w:left w:val="single" w:sz="6" w:space="0" w:color="000000"/>
                    <w:bottom w:val="single" w:sz="6" w:space="0" w:color="000000"/>
                    <w:right w:val="single" w:sz="6" w:space="0" w:color="000000"/>
                  </w:tcBorders>
                  <w:vAlign w:val="center"/>
                </w:tcPr>
                <w:p w14:paraId="63FD9A55" w14:textId="77777777" w:rsidR="00F76A63" w:rsidRDefault="00000000">
                  <w:pPr>
                    <w:pStyle w:val="000"/>
                  </w:pPr>
                  <w:r>
                    <w:t>52539</w:t>
                  </w:r>
                </w:p>
              </w:tc>
              <w:tc>
                <w:tcPr>
                  <w:tcW w:w="1104" w:type="dxa"/>
                  <w:tcBorders>
                    <w:top w:val="single" w:sz="6" w:space="0" w:color="000000"/>
                    <w:left w:val="single" w:sz="6" w:space="0" w:color="000000"/>
                    <w:bottom w:val="single" w:sz="6" w:space="0" w:color="000000"/>
                    <w:right w:val="single" w:sz="6" w:space="0" w:color="000000"/>
                  </w:tcBorders>
                  <w:vAlign w:val="center"/>
                </w:tcPr>
                <w:p w14:paraId="13169708" w14:textId="77777777" w:rsidR="00F76A63" w:rsidRDefault="00000000">
                  <w:pPr>
                    <w:pStyle w:val="000"/>
                  </w:pPr>
                  <w: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64ACD3D0"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5546BE75" w14:textId="77777777" w:rsidR="00F76A63" w:rsidRDefault="00000000">
                  <w:pPr>
                    <w:pStyle w:val="000"/>
                  </w:pPr>
                  <w:r>
                    <w:t>0</w:t>
                  </w:r>
                </w:p>
              </w:tc>
              <w:tc>
                <w:tcPr>
                  <w:tcW w:w="969" w:type="dxa"/>
                  <w:tcBorders>
                    <w:top w:val="single" w:sz="6" w:space="0" w:color="000000"/>
                    <w:left w:val="single" w:sz="6" w:space="0" w:color="000000"/>
                    <w:bottom w:val="single" w:sz="6" w:space="0" w:color="000000"/>
                    <w:right w:val="nil"/>
                  </w:tcBorders>
                  <w:vAlign w:val="center"/>
                </w:tcPr>
                <w:p w14:paraId="16057DED" w14:textId="77777777" w:rsidR="00F76A63" w:rsidRDefault="00000000">
                  <w:pPr>
                    <w:pStyle w:val="000"/>
                  </w:pPr>
                  <w:r>
                    <w:rPr>
                      <w:rFonts w:hint="eastAsia"/>
                    </w:rPr>
                    <w:t>0</w:t>
                  </w:r>
                </w:p>
              </w:tc>
            </w:tr>
            <w:tr w:rsidR="00F76A63" w14:paraId="47FA6DB2" w14:textId="77777777">
              <w:trPr>
                <w:jc w:val="center"/>
              </w:trPr>
              <w:tc>
                <w:tcPr>
                  <w:tcW w:w="760" w:type="dxa"/>
                  <w:gridSpan w:val="2"/>
                  <w:vMerge/>
                  <w:tcBorders>
                    <w:top w:val="single" w:sz="6" w:space="0" w:color="000000"/>
                    <w:left w:val="nil"/>
                    <w:bottom w:val="single" w:sz="6" w:space="0" w:color="000000"/>
                    <w:right w:val="single" w:sz="6" w:space="0" w:color="000000"/>
                  </w:tcBorders>
                  <w:vAlign w:val="center"/>
                </w:tcPr>
                <w:p w14:paraId="3EFB927B"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542F3FCA" w14:textId="77777777" w:rsidR="00F76A63" w:rsidRDefault="00000000">
                  <w:pPr>
                    <w:pStyle w:val="000"/>
                  </w:pPr>
                  <w:r>
                    <w:t>COD</w:t>
                  </w:r>
                </w:p>
              </w:tc>
              <w:tc>
                <w:tcPr>
                  <w:tcW w:w="928" w:type="dxa"/>
                  <w:tcBorders>
                    <w:top w:val="single" w:sz="6" w:space="0" w:color="000000"/>
                    <w:left w:val="single" w:sz="6" w:space="0" w:color="000000"/>
                    <w:bottom w:val="single" w:sz="6" w:space="0" w:color="000000"/>
                    <w:right w:val="single" w:sz="6" w:space="0" w:color="000000"/>
                  </w:tcBorders>
                  <w:vAlign w:val="center"/>
                </w:tcPr>
                <w:p w14:paraId="33AF10AF" w14:textId="77777777" w:rsidR="00F76A63" w:rsidRDefault="00000000">
                  <w:pPr>
                    <w:pStyle w:val="000"/>
                  </w:pPr>
                  <w:r>
                    <w:t>20.8964</w:t>
                  </w:r>
                </w:p>
              </w:tc>
              <w:tc>
                <w:tcPr>
                  <w:tcW w:w="1050" w:type="dxa"/>
                  <w:tcBorders>
                    <w:top w:val="single" w:sz="6" w:space="0" w:color="000000"/>
                    <w:left w:val="single" w:sz="6" w:space="0" w:color="000000"/>
                    <w:bottom w:val="single" w:sz="6" w:space="0" w:color="000000"/>
                    <w:right w:val="single" w:sz="6" w:space="0" w:color="000000"/>
                  </w:tcBorders>
                  <w:vAlign w:val="center"/>
                </w:tcPr>
                <w:p w14:paraId="5E1FDD6B" w14:textId="77777777" w:rsidR="00F76A63" w:rsidRDefault="00000000">
                  <w:pPr>
                    <w:pStyle w:val="000"/>
                  </w:pPr>
                  <w:r>
                    <w:t>20.8964</w:t>
                  </w:r>
                </w:p>
              </w:tc>
              <w:tc>
                <w:tcPr>
                  <w:tcW w:w="1104" w:type="dxa"/>
                  <w:tcBorders>
                    <w:top w:val="single" w:sz="6" w:space="0" w:color="000000"/>
                    <w:left w:val="single" w:sz="6" w:space="0" w:color="000000"/>
                    <w:bottom w:val="single" w:sz="6" w:space="0" w:color="000000"/>
                    <w:right w:val="single" w:sz="6" w:space="0" w:color="000000"/>
                  </w:tcBorders>
                  <w:vAlign w:val="center"/>
                </w:tcPr>
                <w:p w14:paraId="077E3588" w14:textId="77777777" w:rsidR="00F76A63" w:rsidRDefault="00000000">
                  <w:pPr>
                    <w:pStyle w:val="000"/>
                  </w:pPr>
                  <w: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0FD845DA"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76FC6C72" w14:textId="77777777" w:rsidR="00F76A63" w:rsidRDefault="00000000">
                  <w:pPr>
                    <w:pStyle w:val="000"/>
                  </w:pPr>
                  <w:r>
                    <w:t>0</w:t>
                  </w:r>
                </w:p>
              </w:tc>
              <w:tc>
                <w:tcPr>
                  <w:tcW w:w="969" w:type="dxa"/>
                  <w:tcBorders>
                    <w:top w:val="single" w:sz="6" w:space="0" w:color="000000"/>
                    <w:left w:val="single" w:sz="6" w:space="0" w:color="000000"/>
                    <w:bottom w:val="single" w:sz="6" w:space="0" w:color="000000"/>
                    <w:right w:val="nil"/>
                  </w:tcBorders>
                  <w:vAlign w:val="center"/>
                </w:tcPr>
                <w:p w14:paraId="4CD950B7" w14:textId="77777777" w:rsidR="00F76A63" w:rsidRDefault="00000000">
                  <w:pPr>
                    <w:pStyle w:val="000"/>
                  </w:pPr>
                  <w:r>
                    <w:rPr>
                      <w:rFonts w:hint="eastAsia"/>
                    </w:rPr>
                    <w:t>0</w:t>
                  </w:r>
                </w:p>
              </w:tc>
            </w:tr>
            <w:tr w:rsidR="00F76A63" w14:paraId="5CBF065E" w14:textId="77777777">
              <w:trPr>
                <w:jc w:val="center"/>
              </w:trPr>
              <w:tc>
                <w:tcPr>
                  <w:tcW w:w="760" w:type="dxa"/>
                  <w:gridSpan w:val="2"/>
                  <w:vMerge/>
                  <w:tcBorders>
                    <w:top w:val="single" w:sz="6" w:space="0" w:color="000000"/>
                    <w:left w:val="nil"/>
                    <w:bottom w:val="single" w:sz="6" w:space="0" w:color="000000"/>
                    <w:right w:val="single" w:sz="6" w:space="0" w:color="000000"/>
                  </w:tcBorders>
                  <w:vAlign w:val="center"/>
                </w:tcPr>
                <w:p w14:paraId="6D4F311C"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121BEB26" w14:textId="77777777" w:rsidR="00F76A63" w:rsidRDefault="00000000">
                  <w:pPr>
                    <w:pStyle w:val="000"/>
                  </w:pPr>
                  <w:r>
                    <w:t>SS</w:t>
                  </w:r>
                </w:p>
              </w:tc>
              <w:tc>
                <w:tcPr>
                  <w:tcW w:w="928" w:type="dxa"/>
                  <w:tcBorders>
                    <w:top w:val="single" w:sz="6" w:space="0" w:color="000000"/>
                    <w:left w:val="single" w:sz="6" w:space="0" w:color="000000"/>
                    <w:bottom w:val="single" w:sz="6" w:space="0" w:color="000000"/>
                    <w:right w:val="single" w:sz="6" w:space="0" w:color="000000"/>
                  </w:tcBorders>
                  <w:vAlign w:val="center"/>
                </w:tcPr>
                <w:p w14:paraId="5418BA8A" w14:textId="77777777" w:rsidR="00F76A63" w:rsidRDefault="00000000">
                  <w:pPr>
                    <w:pStyle w:val="000"/>
                  </w:pPr>
                  <w:r>
                    <w:t>10.4532</w:t>
                  </w:r>
                </w:p>
              </w:tc>
              <w:tc>
                <w:tcPr>
                  <w:tcW w:w="1050" w:type="dxa"/>
                  <w:tcBorders>
                    <w:top w:val="single" w:sz="6" w:space="0" w:color="000000"/>
                    <w:left w:val="single" w:sz="6" w:space="0" w:color="000000"/>
                    <w:bottom w:val="single" w:sz="6" w:space="0" w:color="000000"/>
                    <w:right w:val="single" w:sz="6" w:space="0" w:color="000000"/>
                  </w:tcBorders>
                  <w:vAlign w:val="center"/>
                </w:tcPr>
                <w:p w14:paraId="53B920A4" w14:textId="77777777" w:rsidR="00F76A63" w:rsidRDefault="00000000">
                  <w:pPr>
                    <w:pStyle w:val="000"/>
                  </w:pPr>
                  <w:r>
                    <w:t>10.4532</w:t>
                  </w:r>
                </w:p>
              </w:tc>
              <w:tc>
                <w:tcPr>
                  <w:tcW w:w="1104" w:type="dxa"/>
                  <w:tcBorders>
                    <w:top w:val="single" w:sz="6" w:space="0" w:color="000000"/>
                    <w:left w:val="single" w:sz="6" w:space="0" w:color="000000"/>
                    <w:bottom w:val="single" w:sz="6" w:space="0" w:color="000000"/>
                    <w:right w:val="single" w:sz="6" w:space="0" w:color="000000"/>
                  </w:tcBorders>
                  <w:vAlign w:val="center"/>
                </w:tcPr>
                <w:p w14:paraId="00260BA0" w14:textId="77777777" w:rsidR="00F76A63" w:rsidRDefault="00000000">
                  <w:pPr>
                    <w:pStyle w:val="000"/>
                  </w:pPr>
                  <w: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4E9896A5"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4ED82783" w14:textId="77777777" w:rsidR="00F76A63" w:rsidRDefault="00000000">
                  <w:pPr>
                    <w:pStyle w:val="000"/>
                  </w:pPr>
                  <w:r>
                    <w:t>0</w:t>
                  </w:r>
                </w:p>
              </w:tc>
              <w:tc>
                <w:tcPr>
                  <w:tcW w:w="969" w:type="dxa"/>
                  <w:tcBorders>
                    <w:top w:val="single" w:sz="6" w:space="0" w:color="000000"/>
                    <w:left w:val="single" w:sz="6" w:space="0" w:color="000000"/>
                    <w:bottom w:val="single" w:sz="6" w:space="0" w:color="000000"/>
                    <w:right w:val="nil"/>
                  </w:tcBorders>
                  <w:vAlign w:val="center"/>
                </w:tcPr>
                <w:p w14:paraId="5570A035" w14:textId="77777777" w:rsidR="00F76A63" w:rsidRDefault="00000000">
                  <w:pPr>
                    <w:pStyle w:val="000"/>
                  </w:pPr>
                  <w:r>
                    <w:t>0</w:t>
                  </w:r>
                </w:p>
              </w:tc>
            </w:tr>
            <w:tr w:rsidR="00F76A63" w14:paraId="137C1C86" w14:textId="77777777">
              <w:trPr>
                <w:jc w:val="center"/>
              </w:trPr>
              <w:tc>
                <w:tcPr>
                  <w:tcW w:w="760" w:type="dxa"/>
                  <w:gridSpan w:val="2"/>
                  <w:vMerge/>
                  <w:tcBorders>
                    <w:top w:val="single" w:sz="6" w:space="0" w:color="000000"/>
                    <w:left w:val="nil"/>
                    <w:bottom w:val="single" w:sz="6" w:space="0" w:color="000000"/>
                    <w:right w:val="single" w:sz="6" w:space="0" w:color="000000"/>
                  </w:tcBorders>
                  <w:vAlign w:val="center"/>
                </w:tcPr>
                <w:p w14:paraId="27641A51"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46526AEB" w14:textId="77777777" w:rsidR="00F76A63" w:rsidRDefault="00000000">
                  <w:pPr>
                    <w:pStyle w:val="000"/>
                  </w:pPr>
                  <w:r>
                    <w:t>氨氮</w:t>
                  </w:r>
                </w:p>
              </w:tc>
              <w:tc>
                <w:tcPr>
                  <w:tcW w:w="928" w:type="dxa"/>
                  <w:tcBorders>
                    <w:top w:val="single" w:sz="6" w:space="0" w:color="000000"/>
                    <w:left w:val="single" w:sz="6" w:space="0" w:color="000000"/>
                    <w:bottom w:val="single" w:sz="6" w:space="0" w:color="000000"/>
                    <w:right w:val="single" w:sz="6" w:space="0" w:color="000000"/>
                  </w:tcBorders>
                  <w:vAlign w:val="center"/>
                </w:tcPr>
                <w:p w14:paraId="62DC9CE0" w14:textId="77777777" w:rsidR="00F76A63" w:rsidRDefault="00000000">
                  <w:pPr>
                    <w:pStyle w:val="000"/>
                  </w:pPr>
                  <w:r>
                    <w:t>1.8382</w:t>
                  </w:r>
                </w:p>
              </w:tc>
              <w:tc>
                <w:tcPr>
                  <w:tcW w:w="1050" w:type="dxa"/>
                  <w:tcBorders>
                    <w:top w:val="single" w:sz="6" w:space="0" w:color="000000"/>
                    <w:left w:val="single" w:sz="6" w:space="0" w:color="000000"/>
                    <w:bottom w:val="single" w:sz="6" w:space="0" w:color="000000"/>
                    <w:right w:val="single" w:sz="6" w:space="0" w:color="000000"/>
                  </w:tcBorders>
                  <w:vAlign w:val="center"/>
                </w:tcPr>
                <w:p w14:paraId="447B1F9B" w14:textId="77777777" w:rsidR="00F76A63" w:rsidRDefault="00000000">
                  <w:pPr>
                    <w:pStyle w:val="000"/>
                  </w:pPr>
                  <w:r>
                    <w:t>1.8382</w:t>
                  </w:r>
                </w:p>
              </w:tc>
              <w:tc>
                <w:tcPr>
                  <w:tcW w:w="1104" w:type="dxa"/>
                  <w:tcBorders>
                    <w:top w:val="single" w:sz="6" w:space="0" w:color="000000"/>
                    <w:left w:val="single" w:sz="6" w:space="0" w:color="000000"/>
                    <w:bottom w:val="single" w:sz="6" w:space="0" w:color="000000"/>
                    <w:right w:val="single" w:sz="6" w:space="0" w:color="000000"/>
                  </w:tcBorders>
                  <w:vAlign w:val="center"/>
                </w:tcPr>
                <w:p w14:paraId="42785C2B" w14:textId="77777777" w:rsidR="00F76A63" w:rsidRDefault="00000000">
                  <w:pPr>
                    <w:pStyle w:val="000"/>
                  </w:pPr>
                  <w: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1E74B5D0"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7E6FBE61" w14:textId="77777777" w:rsidR="00F76A63" w:rsidRDefault="00000000">
                  <w:pPr>
                    <w:pStyle w:val="000"/>
                  </w:pPr>
                  <w:r>
                    <w:t>0</w:t>
                  </w:r>
                </w:p>
              </w:tc>
              <w:tc>
                <w:tcPr>
                  <w:tcW w:w="969" w:type="dxa"/>
                  <w:tcBorders>
                    <w:top w:val="single" w:sz="6" w:space="0" w:color="000000"/>
                    <w:left w:val="single" w:sz="6" w:space="0" w:color="000000"/>
                    <w:bottom w:val="single" w:sz="6" w:space="0" w:color="000000"/>
                    <w:right w:val="nil"/>
                  </w:tcBorders>
                  <w:vAlign w:val="center"/>
                </w:tcPr>
                <w:p w14:paraId="1FE79CEE" w14:textId="77777777" w:rsidR="00F76A63" w:rsidRDefault="00000000">
                  <w:pPr>
                    <w:pStyle w:val="000"/>
                  </w:pPr>
                  <w:r>
                    <w:t>0</w:t>
                  </w:r>
                </w:p>
              </w:tc>
            </w:tr>
            <w:tr w:rsidR="00F76A63" w14:paraId="65D3D03A" w14:textId="77777777">
              <w:trPr>
                <w:jc w:val="center"/>
              </w:trPr>
              <w:tc>
                <w:tcPr>
                  <w:tcW w:w="760" w:type="dxa"/>
                  <w:gridSpan w:val="2"/>
                  <w:vMerge/>
                  <w:tcBorders>
                    <w:top w:val="single" w:sz="6" w:space="0" w:color="000000"/>
                    <w:left w:val="nil"/>
                    <w:bottom w:val="single" w:sz="6" w:space="0" w:color="000000"/>
                    <w:right w:val="single" w:sz="6" w:space="0" w:color="000000"/>
                  </w:tcBorders>
                  <w:vAlign w:val="center"/>
                </w:tcPr>
                <w:p w14:paraId="1B5EEDCA"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23D51F33" w14:textId="77777777" w:rsidR="00F76A63" w:rsidRDefault="00000000">
                  <w:pPr>
                    <w:pStyle w:val="000"/>
                  </w:pPr>
                  <w:r>
                    <w:t>总氮</w:t>
                  </w:r>
                </w:p>
              </w:tc>
              <w:tc>
                <w:tcPr>
                  <w:tcW w:w="928" w:type="dxa"/>
                  <w:tcBorders>
                    <w:top w:val="single" w:sz="6" w:space="0" w:color="000000"/>
                    <w:left w:val="single" w:sz="6" w:space="0" w:color="000000"/>
                    <w:bottom w:val="single" w:sz="6" w:space="0" w:color="000000"/>
                    <w:right w:val="single" w:sz="6" w:space="0" w:color="000000"/>
                  </w:tcBorders>
                  <w:vAlign w:val="center"/>
                </w:tcPr>
                <w:p w14:paraId="421A9F93" w14:textId="77777777" w:rsidR="00F76A63" w:rsidRDefault="00000000">
                  <w:pPr>
                    <w:pStyle w:val="000"/>
                  </w:pPr>
                  <w:r>
                    <w:t>2.6228</w:t>
                  </w:r>
                </w:p>
              </w:tc>
              <w:tc>
                <w:tcPr>
                  <w:tcW w:w="1050" w:type="dxa"/>
                  <w:tcBorders>
                    <w:top w:val="single" w:sz="6" w:space="0" w:color="000000"/>
                    <w:left w:val="single" w:sz="6" w:space="0" w:color="000000"/>
                    <w:bottom w:val="single" w:sz="6" w:space="0" w:color="000000"/>
                    <w:right w:val="single" w:sz="6" w:space="0" w:color="000000"/>
                  </w:tcBorders>
                  <w:vAlign w:val="center"/>
                </w:tcPr>
                <w:p w14:paraId="12689F26" w14:textId="77777777" w:rsidR="00F76A63" w:rsidRDefault="00000000">
                  <w:pPr>
                    <w:pStyle w:val="000"/>
                  </w:pPr>
                  <w:r>
                    <w:t>2.6228</w:t>
                  </w:r>
                </w:p>
              </w:tc>
              <w:tc>
                <w:tcPr>
                  <w:tcW w:w="1104" w:type="dxa"/>
                  <w:tcBorders>
                    <w:top w:val="single" w:sz="6" w:space="0" w:color="000000"/>
                    <w:left w:val="single" w:sz="6" w:space="0" w:color="000000"/>
                    <w:bottom w:val="single" w:sz="6" w:space="0" w:color="000000"/>
                    <w:right w:val="single" w:sz="6" w:space="0" w:color="000000"/>
                  </w:tcBorders>
                  <w:vAlign w:val="center"/>
                </w:tcPr>
                <w:p w14:paraId="52AE38FD" w14:textId="77777777" w:rsidR="00F76A63" w:rsidRDefault="00000000">
                  <w:pPr>
                    <w:pStyle w:val="000"/>
                  </w:pPr>
                  <w: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00CD26FE"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595D9306" w14:textId="77777777" w:rsidR="00F76A63" w:rsidRDefault="00000000">
                  <w:pPr>
                    <w:pStyle w:val="000"/>
                  </w:pPr>
                  <w:r>
                    <w:t>0</w:t>
                  </w:r>
                </w:p>
              </w:tc>
              <w:tc>
                <w:tcPr>
                  <w:tcW w:w="969" w:type="dxa"/>
                  <w:tcBorders>
                    <w:top w:val="single" w:sz="6" w:space="0" w:color="000000"/>
                    <w:left w:val="single" w:sz="6" w:space="0" w:color="000000"/>
                    <w:bottom w:val="single" w:sz="6" w:space="0" w:color="000000"/>
                    <w:right w:val="nil"/>
                  </w:tcBorders>
                  <w:vAlign w:val="center"/>
                </w:tcPr>
                <w:p w14:paraId="75DE2239" w14:textId="77777777" w:rsidR="00F76A63" w:rsidRDefault="00000000">
                  <w:pPr>
                    <w:pStyle w:val="000"/>
                  </w:pPr>
                  <w:r>
                    <w:t>0</w:t>
                  </w:r>
                </w:p>
              </w:tc>
            </w:tr>
            <w:tr w:rsidR="00F76A63" w14:paraId="683698C1" w14:textId="77777777">
              <w:trPr>
                <w:jc w:val="center"/>
              </w:trPr>
              <w:tc>
                <w:tcPr>
                  <w:tcW w:w="760" w:type="dxa"/>
                  <w:gridSpan w:val="2"/>
                  <w:vMerge/>
                  <w:tcBorders>
                    <w:top w:val="single" w:sz="6" w:space="0" w:color="000000"/>
                    <w:left w:val="nil"/>
                    <w:bottom w:val="single" w:sz="6" w:space="0" w:color="000000"/>
                    <w:right w:val="single" w:sz="6" w:space="0" w:color="000000"/>
                  </w:tcBorders>
                  <w:vAlign w:val="center"/>
                </w:tcPr>
                <w:p w14:paraId="09E83417"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2C2302DD" w14:textId="77777777" w:rsidR="00F76A63" w:rsidRDefault="00000000">
                  <w:pPr>
                    <w:pStyle w:val="000"/>
                  </w:pPr>
                  <w:r>
                    <w:t>总磷</w:t>
                  </w:r>
                </w:p>
              </w:tc>
              <w:tc>
                <w:tcPr>
                  <w:tcW w:w="928" w:type="dxa"/>
                  <w:tcBorders>
                    <w:top w:val="single" w:sz="6" w:space="0" w:color="000000"/>
                    <w:left w:val="single" w:sz="6" w:space="0" w:color="000000"/>
                    <w:bottom w:val="single" w:sz="6" w:space="0" w:color="000000"/>
                    <w:right w:val="single" w:sz="6" w:space="0" w:color="000000"/>
                  </w:tcBorders>
                  <w:vAlign w:val="center"/>
                </w:tcPr>
                <w:p w14:paraId="5631AE14" w14:textId="77777777" w:rsidR="00F76A63" w:rsidRDefault="00000000">
                  <w:pPr>
                    <w:pStyle w:val="000"/>
                  </w:pPr>
                  <w:r>
                    <w:t>0.1545</w:t>
                  </w:r>
                </w:p>
              </w:tc>
              <w:tc>
                <w:tcPr>
                  <w:tcW w:w="1050" w:type="dxa"/>
                  <w:tcBorders>
                    <w:top w:val="single" w:sz="6" w:space="0" w:color="000000"/>
                    <w:left w:val="single" w:sz="6" w:space="0" w:color="000000"/>
                    <w:bottom w:val="single" w:sz="6" w:space="0" w:color="000000"/>
                    <w:right w:val="single" w:sz="6" w:space="0" w:color="000000"/>
                  </w:tcBorders>
                  <w:vAlign w:val="center"/>
                </w:tcPr>
                <w:p w14:paraId="4AF00E48" w14:textId="77777777" w:rsidR="00F76A63" w:rsidRDefault="00000000">
                  <w:pPr>
                    <w:pStyle w:val="000"/>
                  </w:pPr>
                  <w:r>
                    <w:t>0.1545</w:t>
                  </w:r>
                </w:p>
              </w:tc>
              <w:tc>
                <w:tcPr>
                  <w:tcW w:w="1104" w:type="dxa"/>
                  <w:tcBorders>
                    <w:top w:val="single" w:sz="6" w:space="0" w:color="000000"/>
                    <w:left w:val="single" w:sz="6" w:space="0" w:color="000000"/>
                    <w:bottom w:val="single" w:sz="6" w:space="0" w:color="000000"/>
                    <w:right w:val="single" w:sz="6" w:space="0" w:color="000000"/>
                  </w:tcBorders>
                  <w:vAlign w:val="center"/>
                </w:tcPr>
                <w:p w14:paraId="7660B1E6" w14:textId="77777777" w:rsidR="00F76A63" w:rsidRDefault="00000000">
                  <w:pPr>
                    <w:pStyle w:val="000"/>
                  </w:pPr>
                  <w: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7695CB46"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6BA42D0B" w14:textId="77777777" w:rsidR="00F76A63" w:rsidRDefault="00000000">
                  <w:pPr>
                    <w:pStyle w:val="000"/>
                  </w:pPr>
                  <w:r>
                    <w:t>0</w:t>
                  </w:r>
                </w:p>
              </w:tc>
              <w:tc>
                <w:tcPr>
                  <w:tcW w:w="969" w:type="dxa"/>
                  <w:tcBorders>
                    <w:top w:val="single" w:sz="6" w:space="0" w:color="000000"/>
                    <w:left w:val="single" w:sz="6" w:space="0" w:color="000000"/>
                    <w:bottom w:val="single" w:sz="6" w:space="0" w:color="000000"/>
                    <w:right w:val="nil"/>
                  </w:tcBorders>
                  <w:vAlign w:val="center"/>
                </w:tcPr>
                <w:p w14:paraId="1460FF80" w14:textId="77777777" w:rsidR="00F76A63" w:rsidRDefault="00000000">
                  <w:pPr>
                    <w:pStyle w:val="000"/>
                  </w:pPr>
                  <w:r>
                    <w:t>0</w:t>
                  </w:r>
                </w:p>
              </w:tc>
            </w:tr>
            <w:tr w:rsidR="00F76A63" w14:paraId="069A9042" w14:textId="77777777">
              <w:trPr>
                <w:jc w:val="center"/>
              </w:trPr>
              <w:tc>
                <w:tcPr>
                  <w:tcW w:w="760" w:type="dxa"/>
                  <w:gridSpan w:val="2"/>
                  <w:vMerge w:val="restart"/>
                  <w:tcBorders>
                    <w:top w:val="single" w:sz="6" w:space="0" w:color="000000"/>
                    <w:left w:val="nil"/>
                    <w:bottom w:val="single" w:sz="6" w:space="0" w:color="000000"/>
                    <w:right w:val="single" w:sz="6" w:space="0" w:color="000000"/>
                  </w:tcBorders>
                  <w:vAlign w:val="center"/>
                </w:tcPr>
                <w:p w14:paraId="118F1A5A" w14:textId="77777777" w:rsidR="00F76A63" w:rsidRDefault="00000000">
                  <w:pPr>
                    <w:pStyle w:val="000"/>
                  </w:pPr>
                  <w:r>
                    <w:t>固废</w:t>
                  </w:r>
                </w:p>
              </w:tc>
              <w:tc>
                <w:tcPr>
                  <w:tcW w:w="957" w:type="dxa"/>
                  <w:tcBorders>
                    <w:top w:val="single" w:sz="6" w:space="0" w:color="000000"/>
                    <w:left w:val="single" w:sz="6" w:space="0" w:color="000000"/>
                    <w:bottom w:val="single" w:sz="6" w:space="0" w:color="000000"/>
                    <w:right w:val="single" w:sz="6" w:space="0" w:color="000000"/>
                  </w:tcBorders>
                  <w:vAlign w:val="center"/>
                </w:tcPr>
                <w:p w14:paraId="39F2BA4C" w14:textId="77777777" w:rsidR="00F76A63" w:rsidRDefault="00000000">
                  <w:pPr>
                    <w:pStyle w:val="000"/>
                  </w:pPr>
                  <w:r>
                    <w:t>危险固废</w:t>
                  </w:r>
                </w:p>
              </w:tc>
              <w:tc>
                <w:tcPr>
                  <w:tcW w:w="928" w:type="dxa"/>
                  <w:tcBorders>
                    <w:top w:val="single" w:sz="6" w:space="0" w:color="000000"/>
                    <w:left w:val="single" w:sz="6" w:space="0" w:color="000000"/>
                    <w:bottom w:val="single" w:sz="6" w:space="0" w:color="000000"/>
                    <w:right w:val="single" w:sz="6" w:space="0" w:color="000000"/>
                  </w:tcBorders>
                  <w:vAlign w:val="center"/>
                </w:tcPr>
                <w:p w14:paraId="2FE1DA04" w14:textId="77777777" w:rsidR="00F76A63" w:rsidRDefault="00000000">
                  <w:pPr>
                    <w:pStyle w:val="000"/>
                  </w:pPr>
                  <w:r>
                    <w:t>0</w:t>
                  </w:r>
                </w:p>
              </w:tc>
              <w:tc>
                <w:tcPr>
                  <w:tcW w:w="1050" w:type="dxa"/>
                  <w:tcBorders>
                    <w:top w:val="single" w:sz="6" w:space="0" w:color="000000"/>
                    <w:left w:val="single" w:sz="6" w:space="0" w:color="000000"/>
                    <w:bottom w:val="single" w:sz="6" w:space="0" w:color="000000"/>
                    <w:right w:val="single" w:sz="6" w:space="0" w:color="000000"/>
                  </w:tcBorders>
                  <w:vAlign w:val="center"/>
                </w:tcPr>
                <w:p w14:paraId="06758E38" w14:textId="77777777" w:rsidR="00F76A63" w:rsidRDefault="00000000">
                  <w:pPr>
                    <w:pStyle w:val="000"/>
                  </w:pPr>
                  <w:r>
                    <w:t>0</w:t>
                  </w:r>
                </w:p>
              </w:tc>
              <w:tc>
                <w:tcPr>
                  <w:tcW w:w="1104" w:type="dxa"/>
                  <w:tcBorders>
                    <w:top w:val="single" w:sz="6" w:space="0" w:color="000000"/>
                    <w:left w:val="single" w:sz="6" w:space="0" w:color="000000"/>
                    <w:bottom w:val="single" w:sz="6" w:space="0" w:color="000000"/>
                    <w:right w:val="single" w:sz="6" w:space="0" w:color="000000"/>
                  </w:tcBorders>
                  <w:vAlign w:val="center"/>
                </w:tcPr>
                <w:p w14:paraId="66DDA7C0" w14:textId="77777777" w:rsidR="00F76A63" w:rsidRDefault="00000000">
                  <w:pPr>
                    <w:pStyle w:val="000"/>
                  </w:pPr>
                  <w: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60794D6F"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289C8F9D" w14:textId="77777777" w:rsidR="00F76A63" w:rsidRDefault="00000000">
                  <w:pPr>
                    <w:pStyle w:val="000"/>
                  </w:pPr>
                  <w:r>
                    <w:t>0</w:t>
                  </w:r>
                </w:p>
              </w:tc>
              <w:tc>
                <w:tcPr>
                  <w:tcW w:w="969" w:type="dxa"/>
                  <w:tcBorders>
                    <w:top w:val="single" w:sz="6" w:space="0" w:color="000000"/>
                    <w:left w:val="single" w:sz="6" w:space="0" w:color="000000"/>
                    <w:bottom w:val="single" w:sz="6" w:space="0" w:color="000000"/>
                    <w:right w:val="nil"/>
                  </w:tcBorders>
                  <w:vAlign w:val="center"/>
                </w:tcPr>
                <w:p w14:paraId="193E5048" w14:textId="77777777" w:rsidR="00F76A63" w:rsidRDefault="00000000">
                  <w:pPr>
                    <w:pStyle w:val="000"/>
                  </w:pPr>
                  <w:r>
                    <w:t>0</w:t>
                  </w:r>
                </w:p>
              </w:tc>
            </w:tr>
            <w:tr w:rsidR="00F76A63" w14:paraId="01725029" w14:textId="77777777">
              <w:trPr>
                <w:jc w:val="center"/>
              </w:trPr>
              <w:tc>
                <w:tcPr>
                  <w:tcW w:w="760" w:type="dxa"/>
                  <w:gridSpan w:val="2"/>
                  <w:vMerge/>
                  <w:tcBorders>
                    <w:top w:val="single" w:sz="6" w:space="0" w:color="000000"/>
                    <w:left w:val="nil"/>
                    <w:bottom w:val="single" w:sz="6" w:space="0" w:color="000000"/>
                    <w:right w:val="single" w:sz="6" w:space="0" w:color="000000"/>
                  </w:tcBorders>
                  <w:vAlign w:val="center"/>
                </w:tcPr>
                <w:p w14:paraId="729CECFF" w14:textId="77777777" w:rsidR="00F76A63" w:rsidRDefault="00F76A63">
                  <w:pPr>
                    <w:jc w:val="center"/>
                    <w:rPr>
                      <w:bCs/>
                      <w:kern w:val="28"/>
                      <w:szCs w:val="21"/>
                    </w:rPr>
                  </w:pPr>
                </w:p>
              </w:tc>
              <w:tc>
                <w:tcPr>
                  <w:tcW w:w="957" w:type="dxa"/>
                  <w:tcBorders>
                    <w:top w:val="single" w:sz="6" w:space="0" w:color="000000"/>
                    <w:left w:val="single" w:sz="6" w:space="0" w:color="000000"/>
                    <w:bottom w:val="single" w:sz="6" w:space="0" w:color="000000"/>
                    <w:right w:val="single" w:sz="6" w:space="0" w:color="000000"/>
                  </w:tcBorders>
                  <w:vAlign w:val="center"/>
                </w:tcPr>
                <w:p w14:paraId="093CD53F" w14:textId="77777777" w:rsidR="00F76A63" w:rsidRDefault="00000000">
                  <w:pPr>
                    <w:pStyle w:val="000"/>
                  </w:pPr>
                  <w:r>
                    <w:t>一般固废</w:t>
                  </w:r>
                </w:p>
              </w:tc>
              <w:tc>
                <w:tcPr>
                  <w:tcW w:w="928" w:type="dxa"/>
                  <w:tcBorders>
                    <w:top w:val="single" w:sz="6" w:space="0" w:color="000000"/>
                    <w:left w:val="single" w:sz="6" w:space="0" w:color="000000"/>
                    <w:bottom w:val="single" w:sz="6" w:space="0" w:color="000000"/>
                    <w:right w:val="single" w:sz="6" w:space="0" w:color="000000"/>
                  </w:tcBorders>
                  <w:vAlign w:val="center"/>
                </w:tcPr>
                <w:p w14:paraId="7DCD86DC" w14:textId="77777777" w:rsidR="00F76A63" w:rsidRDefault="00000000">
                  <w:pPr>
                    <w:pStyle w:val="000"/>
                  </w:pPr>
                  <w:r>
                    <w:t>0</w:t>
                  </w:r>
                </w:p>
              </w:tc>
              <w:tc>
                <w:tcPr>
                  <w:tcW w:w="1050" w:type="dxa"/>
                  <w:tcBorders>
                    <w:top w:val="single" w:sz="6" w:space="0" w:color="000000"/>
                    <w:left w:val="single" w:sz="6" w:space="0" w:color="000000"/>
                    <w:bottom w:val="single" w:sz="6" w:space="0" w:color="000000"/>
                    <w:right w:val="single" w:sz="6" w:space="0" w:color="000000"/>
                  </w:tcBorders>
                  <w:vAlign w:val="center"/>
                </w:tcPr>
                <w:p w14:paraId="50BB8FDF" w14:textId="77777777" w:rsidR="00F76A63" w:rsidRDefault="00000000">
                  <w:pPr>
                    <w:pStyle w:val="000"/>
                  </w:pPr>
                  <w:r>
                    <w:t>0</w:t>
                  </w:r>
                </w:p>
              </w:tc>
              <w:tc>
                <w:tcPr>
                  <w:tcW w:w="1104" w:type="dxa"/>
                  <w:tcBorders>
                    <w:top w:val="single" w:sz="6" w:space="0" w:color="000000"/>
                    <w:left w:val="single" w:sz="6" w:space="0" w:color="000000"/>
                    <w:bottom w:val="single" w:sz="6" w:space="0" w:color="000000"/>
                    <w:right w:val="single" w:sz="6" w:space="0" w:color="000000"/>
                  </w:tcBorders>
                  <w:vAlign w:val="center"/>
                </w:tcPr>
                <w:p w14:paraId="468B31DB" w14:textId="77777777" w:rsidR="00F76A63" w:rsidRDefault="00000000">
                  <w:pPr>
                    <w:pStyle w:val="000"/>
                  </w:pPr>
                  <w:r>
                    <w:t>0</w:t>
                  </w:r>
                </w:p>
              </w:tc>
              <w:tc>
                <w:tcPr>
                  <w:tcW w:w="1309" w:type="dxa"/>
                  <w:tcBorders>
                    <w:top w:val="single" w:sz="6" w:space="0" w:color="000000"/>
                    <w:left w:val="single" w:sz="6" w:space="0" w:color="000000"/>
                    <w:bottom w:val="single" w:sz="6" w:space="0" w:color="000000"/>
                    <w:right w:val="single" w:sz="6" w:space="0" w:color="000000"/>
                  </w:tcBorders>
                  <w:vAlign w:val="center"/>
                </w:tcPr>
                <w:p w14:paraId="65048236" w14:textId="77777777" w:rsidR="00F76A63" w:rsidRDefault="00000000">
                  <w:pPr>
                    <w:pStyle w:val="000"/>
                  </w:pPr>
                  <w:r>
                    <w:t>0</w:t>
                  </w:r>
                </w:p>
              </w:tc>
              <w:tc>
                <w:tcPr>
                  <w:tcW w:w="1105" w:type="dxa"/>
                  <w:tcBorders>
                    <w:top w:val="single" w:sz="6" w:space="0" w:color="000000"/>
                    <w:left w:val="single" w:sz="6" w:space="0" w:color="000000"/>
                    <w:bottom w:val="single" w:sz="6" w:space="0" w:color="000000"/>
                    <w:right w:val="single" w:sz="6" w:space="0" w:color="000000"/>
                  </w:tcBorders>
                  <w:vAlign w:val="center"/>
                </w:tcPr>
                <w:p w14:paraId="790441C8" w14:textId="77777777" w:rsidR="00F76A63" w:rsidRDefault="00000000">
                  <w:pPr>
                    <w:pStyle w:val="000"/>
                  </w:pPr>
                  <w:r>
                    <w:t>0</w:t>
                  </w:r>
                </w:p>
              </w:tc>
              <w:tc>
                <w:tcPr>
                  <w:tcW w:w="969" w:type="dxa"/>
                  <w:tcBorders>
                    <w:top w:val="single" w:sz="6" w:space="0" w:color="000000"/>
                    <w:left w:val="single" w:sz="6" w:space="0" w:color="000000"/>
                    <w:bottom w:val="single" w:sz="6" w:space="0" w:color="000000"/>
                    <w:right w:val="nil"/>
                  </w:tcBorders>
                  <w:vAlign w:val="center"/>
                </w:tcPr>
                <w:p w14:paraId="335C92A3" w14:textId="77777777" w:rsidR="00F76A63" w:rsidRDefault="00000000">
                  <w:pPr>
                    <w:pStyle w:val="000"/>
                  </w:pPr>
                  <w:r>
                    <w:t>0</w:t>
                  </w:r>
                </w:p>
              </w:tc>
            </w:tr>
            <w:tr w:rsidR="00F76A63" w14:paraId="73EE238A" w14:textId="77777777">
              <w:trPr>
                <w:jc w:val="center"/>
              </w:trPr>
              <w:tc>
                <w:tcPr>
                  <w:tcW w:w="760" w:type="dxa"/>
                  <w:gridSpan w:val="2"/>
                  <w:vMerge/>
                  <w:tcBorders>
                    <w:top w:val="single" w:sz="6" w:space="0" w:color="000000"/>
                    <w:left w:val="nil"/>
                    <w:bottom w:val="single" w:sz="6" w:space="0" w:color="000000"/>
                    <w:right w:val="single" w:sz="6" w:space="0" w:color="000000"/>
                  </w:tcBorders>
                  <w:vAlign w:val="center"/>
                </w:tcPr>
                <w:p w14:paraId="1979D950" w14:textId="77777777" w:rsidR="00F76A63" w:rsidRDefault="00F76A63">
                  <w:pPr>
                    <w:jc w:val="center"/>
                    <w:rPr>
                      <w:bCs/>
                      <w:kern w:val="28"/>
                      <w:szCs w:val="21"/>
                    </w:rPr>
                  </w:pPr>
                </w:p>
              </w:tc>
              <w:tc>
                <w:tcPr>
                  <w:tcW w:w="957" w:type="dxa"/>
                  <w:tcBorders>
                    <w:top w:val="single" w:sz="6" w:space="0" w:color="000000"/>
                    <w:left w:val="single" w:sz="6" w:space="0" w:color="000000"/>
                    <w:bottom w:val="single" w:sz="12" w:space="0" w:color="000000"/>
                    <w:right w:val="single" w:sz="6" w:space="0" w:color="000000"/>
                  </w:tcBorders>
                  <w:vAlign w:val="center"/>
                </w:tcPr>
                <w:p w14:paraId="7292902D" w14:textId="77777777" w:rsidR="00F76A63" w:rsidRDefault="00000000">
                  <w:pPr>
                    <w:pStyle w:val="000"/>
                  </w:pPr>
                  <w:r>
                    <w:t>生活垃圾</w:t>
                  </w:r>
                </w:p>
              </w:tc>
              <w:tc>
                <w:tcPr>
                  <w:tcW w:w="928" w:type="dxa"/>
                  <w:tcBorders>
                    <w:top w:val="single" w:sz="6" w:space="0" w:color="000000"/>
                    <w:left w:val="single" w:sz="6" w:space="0" w:color="000000"/>
                    <w:bottom w:val="single" w:sz="12" w:space="0" w:color="000000"/>
                    <w:right w:val="single" w:sz="6" w:space="0" w:color="000000"/>
                  </w:tcBorders>
                  <w:vAlign w:val="center"/>
                </w:tcPr>
                <w:p w14:paraId="7BB209F0" w14:textId="77777777" w:rsidR="00F76A63" w:rsidRDefault="00000000">
                  <w:pPr>
                    <w:pStyle w:val="000"/>
                  </w:pPr>
                  <w:r>
                    <w:t>0</w:t>
                  </w:r>
                </w:p>
              </w:tc>
              <w:tc>
                <w:tcPr>
                  <w:tcW w:w="1050" w:type="dxa"/>
                  <w:tcBorders>
                    <w:top w:val="single" w:sz="6" w:space="0" w:color="000000"/>
                    <w:left w:val="single" w:sz="6" w:space="0" w:color="000000"/>
                    <w:bottom w:val="single" w:sz="12" w:space="0" w:color="000000"/>
                    <w:right w:val="single" w:sz="6" w:space="0" w:color="000000"/>
                  </w:tcBorders>
                  <w:vAlign w:val="center"/>
                </w:tcPr>
                <w:p w14:paraId="783440E2" w14:textId="77777777" w:rsidR="00F76A63" w:rsidRDefault="00000000">
                  <w:pPr>
                    <w:pStyle w:val="000"/>
                  </w:pPr>
                  <w:r>
                    <w:t>0</w:t>
                  </w:r>
                </w:p>
              </w:tc>
              <w:tc>
                <w:tcPr>
                  <w:tcW w:w="1104" w:type="dxa"/>
                  <w:tcBorders>
                    <w:top w:val="single" w:sz="6" w:space="0" w:color="000000"/>
                    <w:left w:val="single" w:sz="6" w:space="0" w:color="000000"/>
                    <w:bottom w:val="single" w:sz="12" w:space="0" w:color="000000"/>
                    <w:right w:val="single" w:sz="6" w:space="0" w:color="000000"/>
                  </w:tcBorders>
                  <w:vAlign w:val="center"/>
                </w:tcPr>
                <w:p w14:paraId="07AA1252" w14:textId="77777777" w:rsidR="00F76A63" w:rsidRDefault="00000000">
                  <w:pPr>
                    <w:pStyle w:val="000"/>
                  </w:pPr>
                  <w:r>
                    <w:t>0</w:t>
                  </w:r>
                </w:p>
              </w:tc>
              <w:tc>
                <w:tcPr>
                  <w:tcW w:w="1309" w:type="dxa"/>
                  <w:tcBorders>
                    <w:top w:val="single" w:sz="6" w:space="0" w:color="000000"/>
                    <w:left w:val="single" w:sz="6" w:space="0" w:color="000000"/>
                    <w:bottom w:val="single" w:sz="12" w:space="0" w:color="000000"/>
                    <w:right w:val="single" w:sz="6" w:space="0" w:color="000000"/>
                  </w:tcBorders>
                  <w:vAlign w:val="center"/>
                </w:tcPr>
                <w:p w14:paraId="228D7CC7" w14:textId="77777777" w:rsidR="00F76A63" w:rsidRDefault="00000000">
                  <w:pPr>
                    <w:pStyle w:val="000"/>
                  </w:pPr>
                  <w:r>
                    <w:t>0</w:t>
                  </w:r>
                </w:p>
              </w:tc>
              <w:tc>
                <w:tcPr>
                  <w:tcW w:w="1105" w:type="dxa"/>
                  <w:tcBorders>
                    <w:top w:val="single" w:sz="6" w:space="0" w:color="000000"/>
                    <w:left w:val="single" w:sz="6" w:space="0" w:color="000000"/>
                    <w:bottom w:val="single" w:sz="12" w:space="0" w:color="000000"/>
                    <w:right w:val="single" w:sz="6" w:space="0" w:color="000000"/>
                  </w:tcBorders>
                  <w:vAlign w:val="center"/>
                </w:tcPr>
                <w:p w14:paraId="28F89F7B" w14:textId="77777777" w:rsidR="00F76A63" w:rsidRDefault="00000000">
                  <w:pPr>
                    <w:pStyle w:val="000"/>
                  </w:pPr>
                  <w:r>
                    <w:t>0</w:t>
                  </w:r>
                </w:p>
              </w:tc>
              <w:tc>
                <w:tcPr>
                  <w:tcW w:w="969" w:type="dxa"/>
                  <w:tcBorders>
                    <w:top w:val="single" w:sz="6" w:space="0" w:color="000000"/>
                    <w:left w:val="single" w:sz="6" w:space="0" w:color="000000"/>
                    <w:bottom w:val="single" w:sz="12" w:space="0" w:color="000000"/>
                    <w:right w:val="nil"/>
                  </w:tcBorders>
                  <w:vAlign w:val="center"/>
                </w:tcPr>
                <w:p w14:paraId="650B0C92" w14:textId="77777777" w:rsidR="00F76A63" w:rsidRDefault="00000000">
                  <w:pPr>
                    <w:pStyle w:val="000"/>
                  </w:pPr>
                  <w:r>
                    <w:t>0</w:t>
                  </w:r>
                </w:p>
              </w:tc>
            </w:tr>
          </w:tbl>
          <w:p w14:paraId="11D6518F" w14:textId="77777777" w:rsidR="00F76A63" w:rsidRDefault="00000000">
            <w:pPr>
              <w:adjustRightInd w:val="0"/>
              <w:snapToGrid w:val="0"/>
              <w:rPr>
                <w:b/>
                <w:bCs/>
                <w:sz w:val="18"/>
                <w:szCs w:val="18"/>
              </w:rPr>
            </w:pPr>
            <w:r>
              <w:rPr>
                <w:b/>
                <w:sz w:val="18"/>
                <w:szCs w:val="18"/>
              </w:rPr>
              <w:t>注：</w:t>
            </w:r>
            <w:r>
              <w:rPr>
                <w:rFonts w:ascii="Cambria Math" w:hAnsi="Cambria Math" w:cs="Cambria Math"/>
                <w:b/>
                <w:sz w:val="18"/>
                <w:szCs w:val="18"/>
              </w:rPr>
              <w:t>①</w:t>
            </w:r>
            <w:r>
              <w:rPr>
                <w:rFonts w:ascii="Cambria Math" w:hAnsi="Cambria Math" w:cs="Cambria Math" w:hint="eastAsia"/>
                <w:b/>
                <w:sz w:val="18"/>
                <w:szCs w:val="18"/>
              </w:rPr>
              <w:t>排污证许可排放量中颗粒物、二氧化硫、氮氧化物数据来源于排污许可证，其他污染物排放量来源于最新的环评批复（</w:t>
            </w:r>
            <w:r>
              <w:rPr>
                <w:b/>
                <w:sz w:val="18"/>
                <w:szCs w:val="18"/>
              </w:rPr>
              <w:t>镇句环审</w:t>
            </w:r>
            <w:r>
              <w:rPr>
                <w:b/>
                <w:sz w:val="18"/>
                <w:szCs w:val="18"/>
              </w:rPr>
              <w:t>[2026]</w:t>
            </w:r>
            <w:r>
              <w:rPr>
                <w:rFonts w:ascii="Cambria Math" w:hAnsi="Cambria Math" w:cs="Cambria Math" w:hint="eastAsia"/>
                <w:b/>
                <w:sz w:val="18"/>
                <w:szCs w:val="18"/>
              </w:rPr>
              <w:t>8</w:t>
            </w:r>
            <w:r>
              <w:rPr>
                <w:rFonts w:ascii="Cambria Math" w:hAnsi="Cambria Math" w:cs="Cambria Math" w:hint="eastAsia"/>
                <w:b/>
                <w:sz w:val="18"/>
                <w:szCs w:val="18"/>
              </w:rPr>
              <w:t>号）；</w:t>
            </w:r>
            <w:r>
              <w:rPr>
                <w:rFonts w:ascii="Cambria Math" w:hAnsi="Cambria Math" w:cs="Cambria Math"/>
                <w:b/>
                <w:sz w:val="18"/>
                <w:szCs w:val="18"/>
              </w:rPr>
              <w:t>②</w:t>
            </w:r>
            <w:r>
              <w:rPr>
                <w:b/>
                <w:sz w:val="18"/>
                <w:szCs w:val="18"/>
              </w:rPr>
              <w:t>现有项目排放量数据来源于《一二线窑旁路放风除氯及水洗综合利用技改项目》批复（镇句环审</w:t>
            </w:r>
            <w:r>
              <w:rPr>
                <w:b/>
                <w:sz w:val="18"/>
                <w:szCs w:val="18"/>
              </w:rPr>
              <w:t>[2026]8</w:t>
            </w:r>
            <w:r>
              <w:rPr>
                <w:b/>
                <w:sz w:val="18"/>
                <w:szCs w:val="18"/>
              </w:rPr>
              <w:t>号）；</w:t>
            </w:r>
            <w:r>
              <w:rPr>
                <w:rFonts w:hint="eastAsia"/>
                <w:b/>
                <w:sz w:val="18"/>
                <w:szCs w:val="18"/>
              </w:rPr>
              <w:t>③</w:t>
            </w:r>
            <w:r>
              <w:rPr>
                <w:b/>
                <w:sz w:val="18"/>
                <w:szCs w:val="18"/>
              </w:rPr>
              <w:t>本项目新增</w:t>
            </w:r>
            <w:r>
              <w:rPr>
                <w:rFonts w:hint="eastAsia"/>
                <w:b/>
                <w:sz w:val="18"/>
                <w:szCs w:val="18"/>
              </w:rPr>
              <w:t>无组织颗粒物</w:t>
            </w:r>
            <w:r>
              <w:rPr>
                <w:b/>
                <w:sz w:val="18"/>
                <w:szCs w:val="18"/>
              </w:rPr>
              <w:t>排放量</w:t>
            </w:r>
            <w:r>
              <w:rPr>
                <w:rFonts w:hint="eastAsia"/>
                <w:b/>
                <w:sz w:val="18"/>
                <w:szCs w:val="18"/>
              </w:rPr>
              <w:t>，但未突破现有许可排放量，无需申请总量。</w:t>
            </w:r>
          </w:p>
          <w:p w14:paraId="66038821" w14:textId="77777777" w:rsidR="00F76A63" w:rsidRDefault="00000000">
            <w:pPr>
              <w:adjustRightInd w:val="0"/>
              <w:snapToGrid w:val="0"/>
              <w:spacing w:line="500" w:lineRule="exact"/>
              <w:ind w:firstLineChars="200" w:firstLine="482"/>
              <w:rPr>
                <w:b/>
                <w:sz w:val="24"/>
                <w:szCs w:val="32"/>
              </w:rPr>
            </w:pPr>
            <w:r>
              <w:rPr>
                <w:b/>
                <w:sz w:val="24"/>
                <w:szCs w:val="32"/>
              </w:rPr>
              <w:t>2</w:t>
            </w:r>
            <w:r>
              <w:rPr>
                <w:b/>
                <w:sz w:val="24"/>
                <w:szCs w:val="32"/>
              </w:rPr>
              <w:t>、总量平衡途径</w:t>
            </w:r>
          </w:p>
          <w:p w14:paraId="308A4822" w14:textId="77777777" w:rsidR="00F76A63" w:rsidRDefault="00000000">
            <w:pPr>
              <w:pStyle w:val="TableText"/>
              <w:spacing w:line="500" w:lineRule="exact"/>
              <w:ind w:firstLineChars="200" w:firstLine="480"/>
              <w:rPr>
                <w:rFonts w:ascii="Times New Roman" w:hAnsi="Times New Roman" w:cs="Times New Roman"/>
                <w:color w:val="auto"/>
                <w:spacing w:val="-1"/>
              </w:rPr>
            </w:pPr>
            <w:r>
              <w:rPr>
                <w:rFonts w:ascii="Times New Roman" w:hAnsi="Times New Roman" w:cs="Times New Roman"/>
                <w:color w:val="auto"/>
                <w:szCs w:val="32"/>
              </w:rPr>
              <w:t>（</w:t>
            </w:r>
            <w:r>
              <w:rPr>
                <w:rFonts w:ascii="Times New Roman" w:hAnsi="Times New Roman" w:cs="Times New Roman"/>
                <w:color w:val="auto"/>
                <w:szCs w:val="32"/>
              </w:rPr>
              <w:t>1</w:t>
            </w:r>
            <w:r>
              <w:rPr>
                <w:rFonts w:ascii="Times New Roman" w:hAnsi="Times New Roman" w:cs="Times New Roman"/>
                <w:color w:val="auto"/>
                <w:szCs w:val="32"/>
              </w:rPr>
              <w:t>）废水：</w:t>
            </w:r>
            <w:r>
              <w:rPr>
                <w:rFonts w:ascii="Times New Roman" w:hAnsi="Times New Roman" w:cs="Times New Roman"/>
                <w:color w:val="auto"/>
                <w:spacing w:val="-1"/>
              </w:rPr>
              <w:t>本项目不新增生产废水和生活污水，不需要申请废水污染物总量指标。</w:t>
            </w:r>
          </w:p>
          <w:p w14:paraId="43FE1AA4" w14:textId="77777777" w:rsidR="00F76A63" w:rsidRDefault="00000000">
            <w:pPr>
              <w:pStyle w:val="TableText"/>
              <w:spacing w:line="500" w:lineRule="exact"/>
              <w:ind w:firstLineChars="200" w:firstLine="480"/>
              <w:rPr>
                <w:rStyle w:val="NormalCharacter"/>
                <w:rFonts w:ascii="Times New Roman" w:hAnsi="Times New Roman" w:cs="Times New Roman"/>
                <w:color w:val="auto"/>
                <w:szCs w:val="32"/>
              </w:rPr>
            </w:pPr>
            <w:r>
              <w:rPr>
                <w:rStyle w:val="NormalCharacter"/>
                <w:rFonts w:ascii="Times New Roman" w:hAnsi="Times New Roman" w:cs="Times New Roman"/>
                <w:color w:val="auto"/>
                <w:szCs w:val="32"/>
              </w:rPr>
              <w:t>（</w:t>
            </w:r>
            <w:r>
              <w:rPr>
                <w:rStyle w:val="NormalCharacter"/>
                <w:rFonts w:ascii="Times New Roman" w:hAnsi="Times New Roman" w:cs="Times New Roman"/>
                <w:color w:val="auto"/>
                <w:szCs w:val="32"/>
              </w:rPr>
              <w:t>2</w:t>
            </w:r>
            <w:r>
              <w:rPr>
                <w:rStyle w:val="NormalCharacter"/>
                <w:rFonts w:ascii="Times New Roman" w:hAnsi="Times New Roman" w:cs="Times New Roman"/>
                <w:color w:val="auto"/>
                <w:szCs w:val="32"/>
              </w:rPr>
              <w:t>）废气：</w:t>
            </w:r>
            <w:r>
              <w:rPr>
                <w:rStyle w:val="NormalCharacter"/>
                <w:rFonts w:ascii="Times New Roman" w:hAnsi="Times New Roman" w:cs="Times New Roman" w:hint="eastAsia"/>
                <w:color w:val="auto"/>
                <w:szCs w:val="32"/>
              </w:rPr>
              <w:t>本项目建设前后全厂废气主要污染物未突破现有许可排放量，废气污染物在现有总量内平衡，无需申请总量。</w:t>
            </w:r>
          </w:p>
          <w:p w14:paraId="0650DAB3" w14:textId="77777777" w:rsidR="00F76A63" w:rsidRDefault="00000000">
            <w:pPr>
              <w:adjustRightInd w:val="0"/>
              <w:snapToGrid w:val="0"/>
              <w:spacing w:line="500" w:lineRule="exact"/>
              <w:ind w:firstLineChars="200" w:firstLine="480"/>
              <w:rPr>
                <w:bCs/>
                <w:sz w:val="24"/>
                <w:szCs w:val="32"/>
              </w:rPr>
            </w:pPr>
            <w:r>
              <w:rPr>
                <w:bCs/>
                <w:sz w:val="24"/>
                <w:szCs w:val="32"/>
              </w:rPr>
              <w:t>（</w:t>
            </w:r>
            <w:r>
              <w:rPr>
                <w:bCs/>
                <w:sz w:val="24"/>
                <w:szCs w:val="32"/>
              </w:rPr>
              <w:t>3</w:t>
            </w:r>
            <w:r>
              <w:rPr>
                <w:bCs/>
                <w:sz w:val="24"/>
                <w:szCs w:val="32"/>
              </w:rPr>
              <w:t>）固废：项目固废均得到无害化处理处置，实现</w:t>
            </w:r>
            <w:r>
              <w:rPr>
                <w:bCs/>
                <w:sz w:val="24"/>
                <w:szCs w:val="32"/>
              </w:rPr>
              <w:t>“</w:t>
            </w:r>
            <w:r>
              <w:rPr>
                <w:bCs/>
                <w:sz w:val="24"/>
                <w:szCs w:val="32"/>
              </w:rPr>
              <w:t>零排放</w:t>
            </w:r>
            <w:r>
              <w:rPr>
                <w:bCs/>
                <w:sz w:val="24"/>
                <w:szCs w:val="32"/>
              </w:rPr>
              <w:t>”</w:t>
            </w:r>
            <w:r>
              <w:rPr>
                <w:bCs/>
                <w:sz w:val="24"/>
                <w:szCs w:val="32"/>
              </w:rPr>
              <w:t>。</w:t>
            </w:r>
          </w:p>
          <w:p w14:paraId="66E2C5B0" w14:textId="77777777" w:rsidR="00F76A63" w:rsidRDefault="00F76A63">
            <w:pPr>
              <w:adjustRightInd w:val="0"/>
              <w:snapToGrid w:val="0"/>
              <w:spacing w:line="500" w:lineRule="exact"/>
              <w:ind w:firstLineChars="200" w:firstLine="480"/>
              <w:rPr>
                <w:bCs/>
                <w:sz w:val="24"/>
                <w:szCs w:val="32"/>
              </w:rPr>
            </w:pPr>
          </w:p>
          <w:p w14:paraId="24C6E7C7" w14:textId="77777777" w:rsidR="00F76A63" w:rsidRDefault="00F76A63">
            <w:pPr>
              <w:spacing w:line="500" w:lineRule="exact"/>
              <w:rPr>
                <w:sz w:val="24"/>
              </w:rPr>
            </w:pPr>
          </w:p>
        </w:tc>
      </w:tr>
    </w:tbl>
    <w:p w14:paraId="5B89C1CE" w14:textId="77777777" w:rsidR="00F76A63" w:rsidRDefault="00F76A63">
      <w:pPr>
        <w:outlineLvl w:val="0"/>
        <w:rPr>
          <w:snapToGrid w:val="0"/>
          <w:sz w:val="36"/>
          <w:szCs w:val="36"/>
        </w:rPr>
        <w:sectPr w:rsidR="00F76A63">
          <w:pgSz w:w="11907" w:h="16840"/>
          <w:pgMar w:top="1701" w:right="1531" w:bottom="2127" w:left="1531" w:header="851" w:footer="851" w:gutter="0"/>
          <w:cols w:space="720"/>
          <w:docGrid w:linePitch="312"/>
        </w:sectPr>
      </w:pPr>
    </w:p>
    <w:p w14:paraId="4EDCE7F5" w14:textId="77777777" w:rsidR="00F76A63" w:rsidRDefault="00000000">
      <w:pPr>
        <w:jc w:val="center"/>
        <w:outlineLvl w:val="0"/>
        <w:rPr>
          <w:b/>
          <w:bCs/>
          <w:snapToGrid w:val="0"/>
          <w:sz w:val="30"/>
          <w:szCs w:val="30"/>
        </w:rPr>
      </w:pPr>
      <w:r>
        <w:rPr>
          <w:b/>
          <w:bCs/>
          <w:snapToGrid w:val="0"/>
          <w:sz w:val="30"/>
          <w:szCs w:val="30"/>
        </w:rPr>
        <w:lastRenderedPageBreak/>
        <w:t>四、主要环境影响和保护措施</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416"/>
        <w:gridCol w:w="8409"/>
      </w:tblGrid>
      <w:tr w:rsidR="00F76A63" w14:paraId="6DA477B6" w14:textId="77777777">
        <w:trPr>
          <w:trHeight w:val="4749"/>
          <w:jc w:val="center"/>
        </w:trPr>
        <w:tc>
          <w:tcPr>
            <w:tcW w:w="416" w:type="dxa"/>
            <w:tcMar>
              <w:left w:w="28" w:type="dxa"/>
              <w:right w:w="28" w:type="dxa"/>
            </w:tcMar>
            <w:vAlign w:val="center"/>
          </w:tcPr>
          <w:p w14:paraId="0BBB7FF8" w14:textId="77777777" w:rsidR="00F76A63" w:rsidRDefault="00000000">
            <w:pPr>
              <w:adjustRightInd w:val="0"/>
              <w:snapToGrid w:val="0"/>
              <w:jc w:val="center"/>
              <w:rPr>
                <w:b/>
                <w:bCs/>
                <w:szCs w:val="21"/>
              </w:rPr>
            </w:pPr>
            <w:r>
              <w:rPr>
                <w:b/>
                <w:bCs/>
                <w:szCs w:val="21"/>
              </w:rPr>
              <w:t>施工</w:t>
            </w:r>
          </w:p>
          <w:p w14:paraId="3328F807" w14:textId="77777777" w:rsidR="00F76A63" w:rsidRDefault="00000000">
            <w:pPr>
              <w:adjustRightInd w:val="0"/>
              <w:snapToGrid w:val="0"/>
              <w:jc w:val="center"/>
              <w:rPr>
                <w:b/>
                <w:bCs/>
                <w:szCs w:val="21"/>
              </w:rPr>
            </w:pPr>
            <w:r>
              <w:rPr>
                <w:b/>
                <w:bCs/>
                <w:szCs w:val="21"/>
              </w:rPr>
              <w:t>期环</w:t>
            </w:r>
          </w:p>
          <w:p w14:paraId="45C00174" w14:textId="77777777" w:rsidR="00F76A63" w:rsidRDefault="00000000">
            <w:pPr>
              <w:adjustRightInd w:val="0"/>
              <w:snapToGrid w:val="0"/>
              <w:jc w:val="center"/>
              <w:rPr>
                <w:b/>
                <w:bCs/>
                <w:szCs w:val="21"/>
              </w:rPr>
            </w:pPr>
            <w:r>
              <w:rPr>
                <w:b/>
                <w:bCs/>
                <w:szCs w:val="21"/>
              </w:rPr>
              <w:t>境保</w:t>
            </w:r>
          </w:p>
          <w:p w14:paraId="7204A1F8" w14:textId="77777777" w:rsidR="00F76A63" w:rsidRDefault="00000000">
            <w:pPr>
              <w:adjustRightInd w:val="0"/>
              <w:snapToGrid w:val="0"/>
              <w:jc w:val="center"/>
              <w:rPr>
                <w:b/>
                <w:bCs/>
                <w:szCs w:val="21"/>
              </w:rPr>
            </w:pPr>
            <w:r>
              <w:rPr>
                <w:b/>
                <w:bCs/>
                <w:szCs w:val="21"/>
              </w:rPr>
              <w:t>护措</w:t>
            </w:r>
          </w:p>
          <w:p w14:paraId="36C69756" w14:textId="77777777" w:rsidR="00F76A63" w:rsidRDefault="00000000">
            <w:pPr>
              <w:adjustRightInd w:val="0"/>
              <w:snapToGrid w:val="0"/>
              <w:jc w:val="center"/>
              <w:rPr>
                <w:bCs/>
                <w:szCs w:val="21"/>
              </w:rPr>
            </w:pPr>
            <w:r>
              <w:rPr>
                <w:b/>
                <w:bCs/>
                <w:szCs w:val="21"/>
              </w:rPr>
              <w:t>施</w:t>
            </w:r>
          </w:p>
        </w:tc>
        <w:tc>
          <w:tcPr>
            <w:tcW w:w="8409" w:type="dxa"/>
            <w:vAlign w:val="center"/>
          </w:tcPr>
          <w:p w14:paraId="7BA89BF9" w14:textId="77777777" w:rsidR="00F76A63" w:rsidRDefault="00000000">
            <w:pPr>
              <w:adjustRightInd w:val="0"/>
              <w:snapToGrid w:val="0"/>
              <w:spacing w:line="500" w:lineRule="exact"/>
              <w:ind w:firstLineChars="200" w:firstLine="480"/>
              <w:rPr>
                <w:sz w:val="24"/>
              </w:rPr>
            </w:pPr>
            <w:r>
              <w:rPr>
                <w:sz w:val="24"/>
              </w:rPr>
              <w:t>施工期主要环境影响来自土石方和建筑材料运输产生的道路扬尘、大型设备运行时产生的噪声、生产废水、施工工人生活污水、废弃土方、建筑垃圾和生活垃圾等。环境保护措施如下：</w:t>
            </w:r>
          </w:p>
          <w:p w14:paraId="0E74A894" w14:textId="77777777" w:rsidR="00F76A63" w:rsidRDefault="00000000">
            <w:pPr>
              <w:adjustRightInd w:val="0"/>
              <w:snapToGrid w:val="0"/>
              <w:spacing w:line="500" w:lineRule="exact"/>
              <w:ind w:firstLineChars="200" w:firstLine="480"/>
              <w:rPr>
                <w:sz w:val="24"/>
              </w:rPr>
            </w:pPr>
            <w:r>
              <w:rPr>
                <w:sz w:val="24"/>
              </w:rPr>
              <w:t>1</w:t>
            </w:r>
            <w:r>
              <w:rPr>
                <w:sz w:val="24"/>
              </w:rPr>
              <w:t>、施工扬尘污染防治措施</w:t>
            </w:r>
          </w:p>
          <w:p w14:paraId="2C73F8D4" w14:textId="77777777" w:rsidR="00F76A63" w:rsidRDefault="00000000">
            <w:pPr>
              <w:adjustRightInd w:val="0"/>
              <w:snapToGrid w:val="0"/>
              <w:spacing w:line="500" w:lineRule="exact"/>
              <w:ind w:firstLineChars="200" w:firstLine="480"/>
              <w:rPr>
                <w:sz w:val="24"/>
              </w:rPr>
            </w:pPr>
            <w:r>
              <w:rPr>
                <w:sz w:val="24"/>
              </w:rPr>
              <w:t>对整个施工期而言，施工产生的扬尘主要集中在土建施工阶段。本项目施工期四周设置高度</w:t>
            </w:r>
            <w:r>
              <w:rPr>
                <w:sz w:val="24"/>
              </w:rPr>
              <w:t>2.5m</w:t>
            </w:r>
            <w:r>
              <w:rPr>
                <w:sz w:val="24"/>
              </w:rPr>
              <w:t>以上围挡；施工现场出入口均配备车辆冲洗设施；施工现场采取洒水、覆盖等降尘措施；开挖土方采取分区、分段的作业方式，对已完成的作业面进行复垦。</w:t>
            </w:r>
          </w:p>
          <w:p w14:paraId="781DA64B" w14:textId="77777777" w:rsidR="00F76A63" w:rsidRDefault="00000000">
            <w:pPr>
              <w:adjustRightInd w:val="0"/>
              <w:snapToGrid w:val="0"/>
              <w:spacing w:line="500" w:lineRule="exact"/>
              <w:ind w:firstLineChars="200" w:firstLine="480"/>
              <w:rPr>
                <w:sz w:val="24"/>
              </w:rPr>
            </w:pPr>
            <w:r>
              <w:rPr>
                <w:sz w:val="24"/>
              </w:rPr>
              <w:t>车辆行驶产生扬尘量与路面清洁程度、车辆行驶速度等因素有关，相同条件下路面愈洁净、车辆行驶速度愈慢，车辆行驶产生的</w:t>
            </w:r>
            <w:r>
              <w:rPr>
                <w:rFonts w:hint="eastAsia"/>
                <w:sz w:val="24"/>
              </w:rPr>
              <w:t>扬尘</w:t>
            </w:r>
            <w:r>
              <w:rPr>
                <w:sz w:val="24"/>
              </w:rPr>
              <w:t>就越少。</w:t>
            </w:r>
          </w:p>
          <w:p w14:paraId="24817DD0" w14:textId="77777777" w:rsidR="00F76A63" w:rsidRDefault="00000000">
            <w:pPr>
              <w:adjustRightInd w:val="0"/>
              <w:snapToGrid w:val="0"/>
              <w:spacing w:line="500" w:lineRule="exact"/>
              <w:ind w:firstLineChars="200" w:firstLine="480"/>
              <w:rPr>
                <w:sz w:val="24"/>
              </w:rPr>
            </w:pPr>
            <w:r>
              <w:rPr>
                <w:sz w:val="24"/>
              </w:rPr>
              <w:t>综上所述，粉尘是建设施工阶段大气污染源的主要来源，因此建设期间需要采取以下措施以减少影响：</w:t>
            </w:r>
          </w:p>
          <w:p w14:paraId="16C46410" w14:textId="77777777" w:rsidR="00F76A63" w:rsidRDefault="00000000">
            <w:pPr>
              <w:adjustRightInd w:val="0"/>
              <w:snapToGrid w:val="0"/>
              <w:spacing w:line="500" w:lineRule="exact"/>
              <w:ind w:firstLineChars="200" w:firstLine="480"/>
              <w:rPr>
                <w:sz w:val="24"/>
              </w:rPr>
            </w:pPr>
            <w:r>
              <w:rPr>
                <w:sz w:val="24"/>
              </w:rPr>
              <w:t>（</w:t>
            </w:r>
            <w:r>
              <w:rPr>
                <w:sz w:val="24"/>
              </w:rPr>
              <w:t>1</w:t>
            </w:r>
            <w:r>
              <w:rPr>
                <w:sz w:val="24"/>
              </w:rPr>
              <w:t>）施工场地周围按照规定设置围挡或者围墙。</w:t>
            </w:r>
          </w:p>
          <w:p w14:paraId="073F88F1" w14:textId="77777777" w:rsidR="00F76A63" w:rsidRDefault="00000000">
            <w:pPr>
              <w:adjustRightInd w:val="0"/>
              <w:snapToGrid w:val="0"/>
              <w:spacing w:line="500" w:lineRule="exact"/>
              <w:ind w:firstLineChars="200" w:firstLine="480"/>
              <w:rPr>
                <w:sz w:val="24"/>
              </w:rPr>
            </w:pPr>
            <w:r>
              <w:rPr>
                <w:sz w:val="24"/>
              </w:rPr>
              <w:t>（</w:t>
            </w:r>
            <w:r>
              <w:rPr>
                <w:sz w:val="24"/>
              </w:rPr>
              <w:t>2</w:t>
            </w:r>
            <w:r>
              <w:rPr>
                <w:sz w:val="24"/>
              </w:rPr>
              <w:t>）施工现场实行合理化管理，少量的砂、石料应统一堆放、保存，以尽可能减少堆场数量，并加棚布等覆盖；白灰等粉状材料运输应袋装或罐装，禁止散装，应设专门的库房堆放，并具备可靠的预防扬尘措施，尽量减少搬运环节。</w:t>
            </w:r>
          </w:p>
          <w:p w14:paraId="2B7531D6" w14:textId="77777777" w:rsidR="00F76A63" w:rsidRDefault="00000000">
            <w:pPr>
              <w:adjustRightInd w:val="0"/>
              <w:snapToGrid w:val="0"/>
              <w:spacing w:line="500" w:lineRule="exact"/>
              <w:ind w:firstLineChars="200" w:firstLine="480"/>
              <w:rPr>
                <w:sz w:val="24"/>
              </w:rPr>
            </w:pPr>
            <w:r>
              <w:rPr>
                <w:sz w:val="24"/>
              </w:rPr>
              <w:t>（</w:t>
            </w:r>
            <w:r>
              <w:rPr>
                <w:sz w:val="24"/>
              </w:rPr>
              <w:t>3</w:t>
            </w:r>
            <w:r>
              <w:rPr>
                <w:sz w:val="24"/>
              </w:rPr>
              <w:t>）施工场地内裸露泥地、土方以及砂石等易产生扬尘的物料，采取覆盖密闭式防尘网或者防尘布、喷洒抑尘剂或者洒水等有效措施。</w:t>
            </w:r>
          </w:p>
          <w:p w14:paraId="4A059FA1" w14:textId="77777777" w:rsidR="00F76A63" w:rsidRDefault="00000000">
            <w:pPr>
              <w:adjustRightInd w:val="0"/>
              <w:snapToGrid w:val="0"/>
              <w:spacing w:line="500" w:lineRule="exact"/>
              <w:ind w:firstLineChars="200" w:firstLine="480"/>
              <w:rPr>
                <w:sz w:val="24"/>
              </w:rPr>
            </w:pPr>
            <w:r>
              <w:rPr>
                <w:sz w:val="24"/>
              </w:rPr>
              <w:t>（</w:t>
            </w:r>
            <w:r>
              <w:rPr>
                <w:sz w:val="24"/>
              </w:rPr>
              <w:t>4</w:t>
            </w:r>
            <w:r>
              <w:rPr>
                <w:sz w:val="24"/>
              </w:rPr>
              <w:t>）施工工地车行道路进行硬化处理，并及时清扫、冲洗；在出入口内侧安装冲洗设施，车辆冲洗干净后方可驶出工地。</w:t>
            </w:r>
          </w:p>
          <w:p w14:paraId="54C9C8DE" w14:textId="77777777" w:rsidR="00F76A63" w:rsidRDefault="00000000">
            <w:pPr>
              <w:adjustRightInd w:val="0"/>
              <w:snapToGrid w:val="0"/>
              <w:spacing w:line="500" w:lineRule="exact"/>
              <w:ind w:firstLineChars="200" w:firstLine="480"/>
              <w:rPr>
                <w:sz w:val="24"/>
              </w:rPr>
            </w:pPr>
            <w:r>
              <w:rPr>
                <w:sz w:val="24"/>
              </w:rPr>
              <w:t>（</w:t>
            </w:r>
            <w:r>
              <w:rPr>
                <w:sz w:val="24"/>
              </w:rPr>
              <w:t>5</w:t>
            </w:r>
            <w:r>
              <w:rPr>
                <w:sz w:val="24"/>
              </w:rPr>
              <w:t>）开挖土方时采取分区、分段作业，对已完成的作业面及时回填或者覆盖。</w:t>
            </w:r>
          </w:p>
          <w:p w14:paraId="5C2BBD45" w14:textId="77777777" w:rsidR="00F76A63" w:rsidRDefault="00000000">
            <w:pPr>
              <w:adjustRightInd w:val="0"/>
              <w:snapToGrid w:val="0"/>
              <w:spacing w:line="500" w:lineRule="exact"/>
              <w:ind w:firstLineChars="200" w:firstLine="480"/>
              <w:rPr>
                <w:sz w:val="24"/>
              </w:rPr>
            </w:pPr>
            <w:r>
              <w:rPr>
                <w:sz w:val="24"/>
              </w:rPr>
              <w:t>（</w:t>
            </w:r>
            <w:r>
              <w:rPr>
                <w:sz w:val="24"/>
              </w:rPr>
              <w:t>6</w:t>
            </w:r>
            <w:r>
              <w:rPr>
                <w:sz w:val="24"/>
              </w:rPr>
              <w:t>）施工作业产生扬尘的，采用喷淋、洒水、外挂密闭式防尘网或者防尘布等有效防尘措施；产生泥浆的，设置泥浆池、泥浆沟，并采用密封式罐车清</w:t>
            </w:r>
            <w:r>
              <w:rPr>
                <w:sz w:val="24"/>
              </w:rPr>
              <w:lastRenderedPageBreak/>
              <w:t>运。</w:t>
            </w:r>
          </w:p>
          <w:p w14:paraId="1508EAFE" w14:textId="77777777" w:rsidR="00F76A63" w:rsidRDefault="00000000">
            <w:pPr>
              <w:adjustRightInd w:val="0"/>
              <w:snapToGrid w:val="0"/>
              <w:spacing w:line="500" w:lineRule="exact"/>
              <w:ind w:firstLineChars="200" w:firstLine="480"/>
              <w:rPr>
                <w:sz w:val="24"/>
              </w:rPr>
            </w:pPr>
            <w:r>
              <w:rPr>
                <w:sz w:val="24"/>
              </w:rPr>
              <w:t>（</w:t>
            </w:r>
            <w:r>
              <w:rPr>
                <w:sz w:val="24"/>
              </w:rPr>
              <w:t>7</w:t>
            </w:r>
            <w:r>
              <w:rPr>
                <w:sz w:val="24"/>
              </w:rPr>
              <w:t>）集中堆放、覆盖建筑垃圾，并及时密封清运。</w:t>
            </w:r>
          </w:p>
          <w:p w14:paraId="122BCD78" w14:textId="77777777" w:rsidR="00F76A63" w:rsidRDefault="00000000">
            <w:pPr>
              <w:adjustRightInd w:val="0"/>
              <w:snapToGrid w:val="0"/>
              <w:spacing w:line="500" w:lineRule="exact"/>
              <w:ind w:firstLineChars="200" w:firstLine="480"/>
              <w:rPr>
                <w:sz w:val="24"/>
              </w:rPr>
            </w:pPr>
            <w:r>
              <w:rPr>
                <w:sz w:val="24"/>
              </w:rPr>
              <w:t>（</w:t>
            </w:r>
            <w:r>
              <w:rPr>
                <w:sz w:val="24"/>
              </w:rPr>
              <w:t>8</w:t>
            </w:r>
            <w:r>
              <w:rPr>
                <w:sz w:val="24"/>
              </w:rPr>
              <w:t>）建筑面积超过一定规模建筑工地应当按照有关要求安装扬尘视频监控设备、颗粒物在线监测设备，并与住房和城乡建设、城市管理等主管部门联网，保证其正常运行和数据真实有效、实时传输。</w:t>
            </w:r>
          </w:p>
          <w:p w14:paraId="35763B1A" w14:textId="77777777" w:rsidR="00F76A63" w:rsidRDefault="00000000">
            <w:pPr>
              <w:adjustRightInd w:val="0"/>
              <w:snapToGrid w:val="0"/>
              <w:spacing w:line="500" w:lineRule="exact"/>
              <w:ind w:firstLineChars="200" w:firstLine="480"/>
              <w:rPr>
                <w:sz w:val="24"/>
              </w:rPr>
            </w:pPr>
            <w:r>
              <w:rPr>
                <w:sz w:val="24"/>
              </w:rPr>
              <w:t>2</w:t>
            </w:r>
            <w:r>
              <w:rPr>
                <w:sz w:val="24"/>
              </w:rPr>
              <w:t>、废水污染防治措施</w:t>
            </w:r>
          </w:p>
          <w:p w14:paraId="13C62B5D" w14:textId="77777777" w:rsidR="00F76A63" w:rsidRDefault="00000000">
            <w:pPr>
              <w:adjustRightInd w:val="0"/>
              <w:snapToGrid w:val="0"/>
              <w:spacing w:line="500" w:lineRule="exact"/>
              <w:ind w:firstLineChars="200" w:firstLine="480"/>
              <w:rPr>
                <w:sz w:val="24"/>
              </w:rPr>
            </w:pPr>
            <w:r>
              <w:rPr>
                <w:sz w:val="24"/>
              </w:rPr>
              <w:t>（</w:t>
            </w:r>
            <w:r>
              <w:rPr>
                <w:sz w:val="24"/>
              </w:rPr>
              <w:t>1</w:t>
            </w:r>
            <w:r>
              <w:rPr>
                <w:sz w:val="24"/>
              </w:rPr>
              <w:t>）生产废水</w:t>
            </w:r>
          </w:p>
          <w:p w14:paraId="347A5D3C" w14:textId="77777777" w:rsidR="00F76A63" w:rsidRDefault="00000000">
            <w:pPr>
              <w:adjustRightInd w:val="0"/>
              <w:snapToGrid w:val="0"/>
              <w:spacing w:line="500" w:lineRule="exact"/>
              <w:ind w:firstLineChars="200" w:firstLine="480"/>
              <w:rPr>
                <w:sz w:val="24"/>
              </w:rPr>
            </w:pPr>
            <w:r>
              <w:rPr>
                <w:sz w:val="24"/>
              </w:rPr>
              <w:t>施工生产废水主要为施工机械设备运转的冷却、洗涤排水和施工现场清洗、建材清洗、混凝土养护等排水，主要污染因子为</w:t>
            </w:r>
            <w:r>
              <w:rPr>
                <w:sz w:val="24"/>
              </w:rPr>
              <w:t>SS</w:t>
            </w:r>
            <w:r>
              <w:rPr>
                <w:sz w:val="24"/>
              </w:rPr>
              <w:t>。可利用临时沉淀池进行沉淀处理后回用。</w:t>
            </w:r>
          </w:p>
          <w:p w14:paraId="5557A774" w14:textId="77777777" w:rsidR="00F76A63" w:rsidRDefault="00000000">
            <w:pPr>
              <w:adjustRightInd w:val="0"/>
              <w:snapToGrid w:val="0"/>
              <w:spacing w:line="500" w:lineRule="exact"/>
              <w:ind w:firstLineChars="200" w:firstLine="480"/>
              <w:rPr>
                <w:sz w:val="24"/>
              </w:rPr>
            </w:pPr>
            <w:r>
              <w:rPr>
                <w:sz w:val="24"/>
              </w:rPr>
              <w:t>（</w:t>
            </w:r>
            <w:r>
              <w:rPr>
                <w:sz w:val="24"/>
              </w:rPr>
              <w:t>2</w:t>
            </w:r>
            <w:r>
              <w:rPr>
                <w:sz w:val="24"/>
              </w:rPr>
              <w:t>）生活污水</w:t>
            </w:r>
          </w:p>
          <w:p w14:paraId="1EBFF31F" w14:textId="77777777" w:rsidR="00F76A63" w:rsidRDefault="00000000">
            <w:pPr>
              <w:adjustRightInd w:val="0"/>
              <w:snapToGrid w:val="0"/>
              <w:spacing w:line="500" w:lineRule="exact"/>
              <w:ind w:firstLineChars="200" w:firstLine="480"/>
              <w:rPr>
                <w:sz w:val="24"/>
              </w:rPr>
            </w:pPr>
            <w:r>
              <w:rPr>
                <w:sz w:val="24"/>
              </w:rPr>
              <w:t>生活污水主要由施工队伍的生活活动造成的，拟由化粪池处理后接管至下蜀镇污水处理厂。</w:t>
            </w:r>
          </w:p>
          <w:p w14:paraId="44DEA7E8" w14:textId="77777777" w:rsidR="00F76A63" w:rsidRDefault="00000000">
            <w:pPr>
              <w:adjustRightInd w:val="0"/>
              <w:snapToGrid w:val="0"/>
              <w:spacing w:line="500" w:lineRule="exact"/>
              <w:ind w:firstLineChars="200" w:firstLine="480"/>
              <w:rPr>
                <w:sz w:val="24"/>
              </w:rPr>
            </w:pPr>
            <w:r>
              <w:rPr>
                <w:sz w:val="24"/>
              </w:rPr>
              <w:t>3</w:t>
            </w:r>
            <w:r>
              <w:rPr>
                <w:sz w:val="24"/>
              </w:rPr>
              <w:t>、噪声污染防治措施</w:t>
            </w:r>
          </w:p>
          <w:p w14:paraId="2CDC393D" w14:textId="77777777" w:rsidR="00F76A63" w:rsidRDefault="00000000">
            <w:pPr>
              <w:adjustRightInd w:val="0"/>
              <w:snapToGrid w:val="0"/>
              <w:spacing w:line="500" w:lineRule="exact"/>
              <w:ind w:firstLineChars="200" w:firstLine="480"/>
              <w:rPr>
                <w:sz w:val="24"/>
              </w:rPr>
            </w:pPr>
            <w:r>
              <w:rPr>
                <w:sz w:val="24"/>
              </w:rPr>
              <w:t>（</w:t>
            </w:r>
            <w:r>
              <w:rPr>
                <w:sz w:val="24"/>
              </w:rPr>
              <w:t>1</w:t>
            </w:r>
            <w:r>
              <w:rPr>
                <w:sz w:val="24"/>
              </w:rPr>
              <w:t>）合理安排施工进度和作业时间，对主要噪声设备应采取相应的限时作业，在高噪声设备周围设置挡墙或者屏障，同时加强施工管理，合理安排施工作业时间，禁止夜间</w:t>
            </w:r>
            <w:r>
              <w:rPr>
                <w:sz w:val="24"/>
              </w:rPr>
              <w:t>22:00</w:t>
            </w:r>
            <w:r>
              <w:rPr>
                <w:sz w:val="24"/>
              </w:rPr>
              <w:t>至次日</w:t>
            </w:r>
            <w:r>
              <w:rPr>
                <w:sz w:val="24"/>
              </w:rPr>
              <w:t>6:00</w:t>
            </w:r>
            <w:r>
              <w:rPr>
                <w:sz w:val="24"/>
              </w:rPr>
              <w:t>进行高噪声施工作业。如果需要在规定时间外施工，应得到当地环保部门的批准并进行公示。</w:t>
            </w:r>
          </w:p>
          <w:p w14:paraId="178C975A" w14:textId="77777777" w:rsidR="00F76A63" w:rsidRDefault="00000000">
            <w:pPr>
              <w:adjustRightInd w:val="0"/>
              <w:snapToGrid w:val="0"/>
              <w:spacing w:line="500" w:lineRule="exact"/>
              <w:ind w:firstLineChars="200" w:firstLine="480"/>
              <w:rPr>
                <w:sz w:val="24"/>
              </w:rPr>
            </w:pPr>
            <w:r>
              <w:rPr>
                <w:sz w:val="24"/>
              </w:rPr>
              <w:t>（</w:t>
            </w:r>
            <w:r>
              <w:rPr>
                <w:sz w:val="24"/>
              </w:rPr>
              <w:t>2</w:t>
            </w:r>
            <w:r>
              <w:rPr>
                <w:sz w:val="24"/>
              </w:rPr>
              <w:t>）合理安排施工机械安放位置，尽可能放置于场地中间及对场界外造成影响最小的地点。</w:t>
            </w:r>
          </w:p>
          <w:p w14:paraId="07972866" w14:textId="77777777" w:rsidR="00F76A63" w:rsidRDefault="00000000">
            <w:pPr>
              <w:adjustRightInd w:val="0"/>
              <w:snapToGrid w:val="0"/>
              <w:spacing w:line="500" w:lineRule="exact"/>
              <w:ind w:firstLineChars="200" w:firstLine="480"/>
              <w:rPr>
                <w:sz w:val="24"/>
              </w:rPr>
            </w:pPr>
            <w:r>
              <w:rPr>
                <w:sz w:val="24"/>
              </w:rPr>
              <w:t>（</w:t>
            </w:r>
            <w:r>
              <w:rPr>
                <w:sz w:val="24"/>
              </w:rPr>
              <w:t>3</w:t>
            </w:r>
            <w:r>
              <w:rPr>
                <w:sz w:val="24"/>
              </w:rPr>
              <w:t>）优先选用低噪声设备，对高噪声设备采取隔声、隔震或消声措施，如在高噪声设备周围设置掩蔽物、加隔振垫、安装消声器等。</w:t>
            </w:r>
          </w:p>
          <w:p w14:paraId="4CF57638" w14:textId="77777777" w:rsidR="00F76A63" w:rsidRDefault="00000000">
            <w:pPr>
              <w:adjustRightInd w:val="0"/>
              <w:snapToGrid w:val="0"/>
              <w:spacing w:line="500" w:lineRule="exact"/>
              <w:ind w:firstLineChars="200" w:firstLine="480"/>
              <w:rPr>
                <w:sz w:val="24"/>
              </w:rPr>
            </w:pPr>
            <w:r>
              <w:rPr>
                <w:sz w:val="24"/>
              </w:rPr>
              <w:t>4</w:t>
            </w:r>
            <w:r>
              <w:rPr>
                <w:sz w:val="24"/>
              </w:rPr>
              <w:t>、固废污染防治措施</w:t>
            </w:r>
          </w:p>
          <w:p w14:paraId="7FC51FC7" w14:textId="77777777" w:rsidR="00F76A63" w:rsidRDefault="00000000">
            <w:pPr>
              <w:adjustRightInd w:val="0"/>
              <w:snapToGrid w:val="0"/>
              <w:spacing w:line="500" w:lineRule="exact"/>
              <w:ind w:firstLineChars="200" w:firstLine="480"/>
              <w:rPr>
                <w:sz w:val="24"/>
              </w:rPr>
            </w:pPr>
            <w:r>
              <w:rPr>
                <w:sz w:val="24"/>
              </w:rPr>
              <w:t>建设项目施工期的固废主要有施工过程中挖出的土方，建筑垃圾以及施工人员产生的生活垃圾。</w:t>
            </w:r>
          </w:p>
          <w:p w14:paraId="4861028A" w14:textId="77777777" w:rsidR="00F76A63" w:rsidRDefault="00000000">
            <w:pPr>
              <w:adjustRightInd w:val="0"/>
              <w:snapToGrid w:val="0"/>
              <w:spacing w:line="500" w:lineRule="exact"/>
              <w:ind w:firstLineChars="200" w:firstLine="480"/>
              <w:rPr>
                <w:sz w:val="24"/>
              </w:rPr>
            </w:pPr>
            <w:r>
              <w:rPr>
                <w:sz w:val="24"/>
              </w:rPr>
              <w:lastRenderedPageBreak/>
              <w:t>（</w:t>
            </w:r>
            <w:r>
              <w:rPr>
                <w:sz w:val="24"/>
              </w:rPr>
              <w:t>1</w:t>
            </w:r>
            <w:r>
              <w:rPr>
                <w:sz w:val="24"/>
              </w:rPr>
              <w:t>）项目施工期设置临时堆场，能够做到施工期间产生的建筑垃圾不随意倾倒。</w:t>
            </w:r>
          </w:p>
          <w:p w14:paraId="4CAB3BAD" w14:textId="77777777" w:rsidR="00F76A63" w:rsidRDefault="00000000">
            <w:pPr>
              <w:adjustRightInd w:val="0"/>
              <w:snapToGrid w:val="0"/>
              <w:spacing w:line="500" w:lineRule="exact"/>
              <w:ind w:firstLineChars="200" w:firstLine="480"/>
              <w:rPr>
                <w:sz w:val="24"/>
              </w:rPr>
            </w:pPr>
            <w:r>
              <w:rPr>
                <w:sz w:val="24"/>
              </w:rPr>
              <w:t>（</w:t>
            </w:r>
            <w:r>
              <w:rPr>
                <w:sz w:val="24"/>
              </w:rPr>
              <w:t>2</w:t>
            </w:r>
            <w:r>
              <w:rPr>
                <w:sz w:val="24"/>
              </w:rPr>
              <w:t>）在运输过程中散落在路面上的垃圾，设专人及时进行清理，以免二次污染。</w:t>
            </w:r>
          </w:p>
          <w:p w14:paraId="601D49FE" w14:textId="77777777" w:rsidR="00F76A63" w:rsidRDefault="00000000">
            <w:pPr>
              <w:adjustRightInd w:val="0"/>
              <w:snapToGrid w:val="0"/>
              <w:spacing w:line="500" w:lineRule="exact"/>
              <w:ind w:firstLineChars="200" w:firstLine="480"/>
              <w:rPr>
                <w:sz w:val="24"/>
              </w:rPr>
            </w:pPr>
            <w:r>
              <w:rPr>
                <w:sz w:val="24"/>
              </w:rPr>
              <w:t>（</w:t>
            </w:r>
            <w:r>
              <w:rPr>
                <w:sz w:val="24"/>
              </w:rPr>
              <w:t>3</w:t>
            </w:r>
            <w:r>
              <w:rPr>
                <w:sz w:val="24"/>
              </w:rPr>
              <w:t>）项目施工过程中挖出的土方以及建筑垃圾可回用于项目的地基填方和内部规划道路建设工程填方，多余的弃土和建筑垃圾由专业土方公司回收用于市政道路施工。</w:t>
            </w:r>
          </w:p>
          <w:p w14:paraId="5EAC6F8F" w14:textId="77777777" w:rsidR="00F76A63" w:rsidRDefault="00000000">
            <w:pPr>
              <w:adjustRightInd w:val="0"/>
              <w:snapToGrid w:val="0"/>
              <w:spacing w:line="500" w:lineRule="exact"/>
              <w:ind w:firstLineChars="200" w:firstLine="480"/>
              <w:rPr>
                <w:sz w:val="24"/>
              </w:rPr>
            </w:pPr>
            <w:r>
              <w:rPr>
                <w:sz w:val="24"/>
              </w:rPr>
              <w:t>（</w:t>
            </w:r>
            <w:r>
              <w:rPr>
                <w:sz w:val="24"/>
              </w:rPr>
              <w:t>4</w:t>
            </w:r>
            <w:r>
              <w:rPr>
                <w:sz w:val="24"/>
              </w:rPr>
              <w:t>）施工期生活垃圾要收集到指定的垃圾箱内，由环卫部门统一处理。</w:t>
            </w:r>
          </w:p>
          <w:p w14:paraId="1840BC6F" w14:textId="77777777" w:rsidR="00F76A63" w:rsidRDefault="00000000">
            <w:pPr>
              <w:adjustRightInd w:val="0"/>
              <w:snapToGrid w:val="0"/>
              <w:spacing w:line="500" w:lineRule="exact"/>
              <w:ind w:firstLineChars="200" w:firstLine="480"/>
              <w:rPr>
                <w:sz w:val="24"/>
              </w:rPr>
            </w:pPr>
            <w:r>
              <w:rPr>
                <w:sz w:val="24"/>
              </w:rPr>
              <w:t>综上所述，采取相应的污染防治措施后，施工建设期对周围环境影响不明显。</w:t>
            </w:r>
          </w:p>
          <w:p w14:paraId="0689AEFE" w14:textId="77777777" w:rsidR="00F76A63" w:rsidRDefault="00F76A63">
            <w:pPr>
              <w:adjustRightInd w:val="0"/>
              <w:snapToGrid w:val="0"/>
              <w:spacing w:line="500" w:lineRule="exact"/>
              <w:ind w:firstLineChars="200" w:firstLine="480"/>
              <w:rPr>
                <w:sz w:val="24"/>
              </w:rPr>
            </w:pPr>
          </w:p>
          <w:p w14:paraId="6B0AF061" w14:textId="77777777" w:rsidR="00F76A63" w:rsidRDefault="00F76A63">
            <w:pPr>
              <w:adjustRightInd w:val="0"/>
              <w:snapToGrid w:val="0"/>
              <w:spacing w:line="500" w:lineRule="exact"/>
              <w:ind w:firstLineChars="200" w:firstLine="480"/>
              <w:rPr>
                <w:sz w:val="24"/>
              </w:rPr>
            </w:pPr>
          </w:p>
          <w:p w14:paraId="1DB4BC97" w14:textId="77777777" w:rsidR="00F76A63" w:rsidRDefault="00F76A63">
            <w:pPr>
              <w:adjustRightInd w:val="0"/>
              <w:snapToGrid w:val="0"/>
              <w:spacing w:line="500" w:lineRule="exact"/>
              <w:ind w:firstLineChars="200" w:firstLine="480"/>
              <w:rPr>
                <w:sz w:val="24"/>
              </w:rPr>
            </w:pPr>
          </w:p>
          <w:p w14:paraId="39B3B05E" w14:textId="77777777" w:rsidR="00F76A63" w:rsidRDefault="00F76A63">
            <w:pPr>
              <w:adjustRightInd w:val="0"/>
              <w:snapToGrid w:val="0"/>
              <w:spacing w:line="500" w:lineRule="exact"/>
              <w:ind w:firstLineChars="200" w:firstLine="480"/>
              <w:rPr>
                <w:sz w:val="24"/>
              </w:rPr>
            </w:pPr>
          </w:p>
          <w:p w14:paraId="3D81D2E0" w14:textId="77777777" w:rsidR="00F76A63" w:rsidRDefault="00F76A63">
            <w:pPr>
              <w:adjustRightInd w:val="0"/>
              <w:snapToGrid w:val="0"/>
              <w:spacing w:line="500" w:lineRule="exact"/>
              <w:ind w:firstLineChars="200" w:firstLine="480"/>
              <w:rPr>
                <w:sz w:val="24"/>
              </w:rPr>
            </w:pPr>
          </w:p>
          <w:p w14:paraId="3883B537" w14:textId="77777777" w:rsidR="00F76A63" w:rsidRDefault="00F76A63">
            <w:pPr>
              <w:adjustRightInd w:val="0"/>
              <w:snapToGrid w:val="0"/>
              <w:spacing w:line="500" w:lineRule="exact"/>
              <w:ind w:firstLineChars="200" w:firstLine="480"/>
              <w:rPr>
                <w:sz w:val="24"/>
              </w:rPr>
            </w:pPr>
          </w:p>
          <w:p w14:paraId="2FCBD0A7" w14:textId="77777777" w:rsidR="00F76A63" w:rsidRDefault="00F76A63">
            <w:pPr>
              <w:spacing w:line="360" w:lineRule="auto"/>
            </w:pPr>
          </w:p>
          <w:p w14:paraId="3910700F" w14:textId="77777777" w:rsidR="00F76A63" w:rsidRDefault="00F76A63">
            <w:pPr>
              <w:pStyle w:val="afc"/>
            </w:pPr>
          </w:p>
          <w:p w14:paraId="46A7BDAD" w14:textId="77777777" w:rsidR="00F76A63" w:rsidRDefault="00F76A63"/>
          <w:p w14:paraId="2C24619A" w14:textId="77777777" w:rsidR="00F76A63" w:rsidRDefault="00F76A63">
            <w:pPr>
              <w:pStyle w:val="afc"/>
            </w:pPr>
          </w:p>
          <w:p w14:paraId="0AC11CED" w14:textId="77777777" w:rsidR="00F76A63" w:rsidRDefault="00F76A63"/>
          <w:p w14:paraId="2D7F6A9E" w14:textId="77777777" w:rsidR="00F76A63" w:rsidRDefault="00F76A63">
            <w:pPr>
              <w:pStyle w:val="afc"/>
            </w:pPr>
          </w:p>
          <w:p w14:paraId="0C2A03EC" w14:textId="77777777" w:rsidR="00F76A63" w:rsidRDefault="00F76A63"/>
          <w:p w14:paraId="42E52404" w14:textId="77777777" w:rsidR="00F76A63" w:rsidRDefault="00F76A63">
            <w:pPr>
              <w:pStyle w:val="afc"/>
            </w:pPr>
          </w:p>
          <w:p w14:paraId="6BA37887" w14:textId="77777777" w:rsidR="00F76A63" w:rsidRDefault="00F76A63"/>
          <w:p w14:paraId="7953D364" w14:textId="77777777" w:rsidR="00F76A63" w:rsidRDefault="00F76A63">
            <w:pPr>
              <w:pStyle w:val="afc"/>
              <w:spacing w:line="360" w:lineRule="auto"/>
            </w:pPr>
          </w:p>
          <w:p w14:paraId="1FE1A961" w14:textId="77777777" w:rsidR="00F76A63" w:rsidRDefault="00F76A63">
            <w:pPr>
              <w:spacing w:line="360" w:lineRule="auto"/>
            </w:pPr>
          </w:p>
          <w:p w14:paraId="2F2BA011" w14:textId="77777777" w:rsidR="00F76A63" w:rsidRDefault="00F76A63">
            <w:pPr>
              <w:pStyle w:val="afc"/>
              <w:spacing w:line="360" w:lineRule="auto"/>
            </w:pPr>
          </w:p>
          <w:p w14:paraId="37A87E00" w14:textId="77777777" w:rsidR="00F76A63" w:rsidRDefault="00F76A63">
            <w:pPr>
              <w:spacing w:line="360" w:lineRule="auto"/>
            </w:pPr>
          </w:p>
          <w:p w14:paraId="55F686F6" w14:textId="77777777" w:rsidR="00F76A63" w:rsidRDefault="00F76A63"/>
        </w:tc>
      </w:tr>
      <w:tr w:rsidR="00F76A63" w14:paraId="5AA95374" w14:textId="77777777">
        <w:trPr>
          <w:trHeight w:val="12884"/>
          <w:jc w:val="center"/>
        </w:trPr>
        <w:tc>
          <w:tcPr>
            <w:tcW w:w="416" w:type="dxa"/>
            <w:tcMar>
              <w:left w:w="28" w:type="dxa"/>
              <w:right w:w="28" w:type="dxa"/>
            </w:tcMar>
            <w:vAlign w:val="center"/>
          </w:tcPr>
          <w:p w14:paraId="599173FB" w14:textId="77777777" w:rsidR="00F76A63" w:rsidRDefault="00000000">
            <w:pPr>
              <w:adjustRightInd w:val="0"/>
              <w:snapToGrid w:val="0"/>
              <w:jc w:val="center"/>
              <w:rPr>
                <w:b/>
                <w:szCs w:val="21"/>
              </w:rPr>
            </w:pPr>
            <w:r>
              <w:rPr>
                <w:b/>
                <w:szCs w:val="21"/>
              </w:rPr>
              <w:lastRenderedPageBreak/>
              <w:t>运营</w:t>
            </w:r>
          </w:p>
          <w:p w14:paraId="3C1B4F8E" w14:textId="77777777" w:rsidR="00F76A63" w:rsidRDefault="00000000">
            <w:pPr>
              <w:adjustRightInd w:val="0"/>
              <w:snapToGrid w:val="0"/>
              <w:jc w:val="center"/>
              <w:rPr>
                <w:b/>
                <w:szCs w:val="21"/>
              </w:rPr>
            </w:pPr>
            <w:r>
              <w:rPr>
                <w:b/>
                <w:szCs w:val="21"/>
              </w:rPr>
              <w:t>期环</w:t>
            </w:r>
          </w:p>
          <w:p w14:paraId="7EC7DF96" w14:textId="77777777" w:rsidR="00F76A63" w:rsidRDefault="00000000">
            <w:pPr>
              <w:adjustRightInd w:val="0"/>
              <w:snapToGrid w:val="0"/>
              <w:jc w:val="center"/>
              <w:rPr>
                <w:b/>
                <w:szCs w:val="21"/>
              </w:rPr>
            </w:pPr>
            <w:r>
              <w:rPr>
                <w:b/>
                <w:szCs w:val="21"/>
              </w:rPr>
              <w:t>境影</w:t>
            </w:r>
          </w:p>
          <w:p w14:paraId="54D97800" w14:textId="77777777" w:rsidR="00F76A63" w:rsidRDefault="00000000">
            <w:pPr>
              <w:adjustRightInd w:val="0"/>
              <w:snapToGrid w:val="0"/>
              <w:jc w:val="center"/>
              <w:rPr>
                <w:b/>
                <w:szCs w:val="21"/>
              </w:rPr>
            </w:pPr>
            <w:r>
              <w:rPr>
                <w:b/>
                <w:szCs w:val="21"/>
              </w:rPr>
              <w:t>响和</w:t>
            </w:r>
          </w:p>
          <w:p w14:paraId="35DD713E" w14:textId="77777777" w:rsidR="00F76A63" w:rsidRDefault="00000000">
            <w:pPr>
              <w:adjustRightInd w:val="0"/>
              <w:snapToGrid w:val="0"/>
              <w:jc w:val="center"/>
              <w:rPr>
                <w:b/>
                <w:szCs w:val="21"/>
              </w:rPr>
            </w:pPr>
            <w:r>
              <w:rPr>
                <w:b/>
                <w:szCs w:val="21"/>
              </w:rPr>
              <w:t>保护</w:t>
            </w:r>
          </w:p>
          <w:p w14:paraId="0B4E17D1" w14:textId="77777777" w:rsidR="00F76A63" w:rsidRDefault="00000000">
            <w:pPr>
              <w:adjustRightInd w:val="0"/>
              <w:snapToGrid w:val="0"/>
              <w:jc w:val="center"/>
              <w:rPr>
                <w:bCs/>
                <w:szCs w:val="21"/>
              </w:rPr>
            </w:pPr>
            <w:r>
              <w:rPr>
                <w:b/>
                <w:szCs w:val="21"/>
              </w:rPr>
              <w:t>措施</w:t>
            </w:r>
          </w:p>
        </w:tc>
        <w:tc>
          <w:tcPr>
            <w:tcW w:w="8409" w:type="dxa"/>
            <w:vAlign w:val="center"/>
          </w:tcPr>
          <w:p w14:paraId="4DF45A8E" w14:textId="77777777" w:rsidR="00F76A63" w:rsidRDefault="00000000">
            <w:pPr>
              <w:adjustRightInd w:val="0"/>
              <w:snapToGrid w:val="0"/>
              <w:spacing w:line="500" w:lineRule="exact"/>
              <w:ind w:firstLineChars="200" w:firstLine="482"/>
              <w:rPr>
                <w:b/>
                <w:bCs/>
                <w:sz w:val="24"/>
              </w:rPr>
            </w:pPr>
            <w:r>
              <w:rPr>
                <w:b/>
                <w:bCs/>
                <w:sz w:val="24"/>
              </w:rPr>
              <w:t>1</w:t>
            </w:r>
            <w:r>
              <w:rPr>
                <w:b/>
                <w:bCs/>
                <w:sz w:val="24"/>
              </w:rPr>
              <w:t>、废气</w:t>
            </w:r>
          </w:p>
          <w:p w14:paraId="3242EB2E" w14:textId="77777777" w:rsidR="00F76A63" w:rsidRDefault="00000000">
            <w:pPr>
              <w:spacing w:line="500" w:lineRule="exact"/>
              <w:ind w:firstLineChars="200" w:firstLine="480"/>
              <w:rPr>
                <w:sz w:val="24"/>
              </w:rPr>
            </w:pPr>
            <w:r>
              <w:rPr>
                <w:sz w:val="24"/>
              </w:rPr>
              <w:t>本项目建成后产生的大气污染物主要来自回转窑窑尾废气、污染土。污泥贮存废气，产生的污染物种类包括颗粒物、</w:t>
            </w:r>
            <w:r>
              <w:rPr>
                <w:sz w:val="24"/>
              </w:rPr>
              <w:t>SO</w:t>
            </w:r>
            <w:r>
              <w:rPr>
                <w:sz w:val="24"/>
                <w:vertAlign w:val="subscript"/>
              </w:rPr>
              <w:t>2</w:t>
            </w:r>
            <w:r>
              <w:rPr>
                <w:sz w:val="24"/>
              </w:rPr>
              <w:t>、</w:t>
            </w:r>
            <w:r>
              <w:rPr>
                <w:sz w:val="24"/>
              </w:rPr>
              <w:t>NOx</w:t>
            </w:r>
            <w:r>
              <w:rPr>
                <w:sz w:val="24"/>
              </w:rPr>
              <w:t>、</w:t>
            </w:r>
            <w:r>
              <w:rPr>
                <w:sz w:val="24"/>
              </w:rPr>
              <w:t>HCl</w:t>
            </w:r>
            <w:r>
              <w:rPr>
                <w:sz w:val="24"/>
              </w:rPr>
              <w:t>、氟化物、</w:t>
            </w:r>
            <w:r>
              <w:rPr>
                <w:sz w:val="24"/>
              </w:rPr>
              <w:t>NH</w:t>
            </w:r>
            <w:r>
              <w:rPr>
                <w:sz w:val="24"/>
                <w:vertAlign w:val="subscript"/>
              </w:rPr>
              <w:t>3</w:t>
            </w:r>
            <w:r>
              <w:rPr>
                <w:sz w:val="24"/>
              </w:rPr>
              <w:t>、重金属、二噁英类等</w:t>
            </w:r>
            <w:r>
              <w:rPr>
                <w:rFonts w:hint="eastAsia"/>
                <w:sz w:val="24"/>
              </w:rPr>
              <w:t>。</w:t>
            </w:r>
          </w:p>
          <w:p w14:paraId="4C450546" w14:textId="77777777" w:rsidR="00F76A63" w:rsidRDefault="00000000">
            <w:pPr>
              <w:adjustRightInd w:val="0"/>
              <w:snapToGrid w:val="0"/>
              <w:spacing w:line="500" w:lineRule="exact"/>
              <w:ind w:firstLineChars="200" w:firstLine="480"/>
              <w:rPr>
                <w:sz w:val="24"/>
              </w:rPr>
            </w:pPr>
            <w:r>
              <w:rPr>
                <w:rFonts w:hint="eastAsia"/>
                <w:sz w:val="24"/>
              </w:rPr>
              <w:t>（</w:t>
            </w:r>
            <w:r>
              <w:rPr>
                <w:sz w:val="24"/>
              </w:rPr>
              <w:t>1</w:t>
            </w:r>
            <w:r>
              <w:rPr>
                <w:rFonts w:hint="eastAsia"/>
                <w:sz w:val="24"/>
              </w:rPr>
              <w:t>）环境空气质量现状及环境影响评价</w:t>
            </w:r>
          </w:p>
          <w:p w14:paraId="0EE825CD" w14:textId="77777777" w:rsidR="00F76A63" w:rsidRDefault="00000000">
            <w:pPr>
              <w:adjustRightInd w:val="0"/>
              <w:snapToGrid w:val="0"/>
              <w:spacing w:line="500" w:lineRule="exact"/>
              <w:ind w:firstLineChars="200" w:firstLine="480"/>
              <w:rPr>
                <w:bCs/>
                <w:kern w:val="0"/>
                <w:sz w:val="24"/>
              </w:rPr>
            </w:pPr>
            <w:r>
              <w:rPr>
                <w:rFonts w:hint="eastAsia"/>
                <w:sz w:val="24"/>
              </w:rPr>
              <w:t>根据《</w:t>
            </w:r>
            <w:r>
              <w:rPr>
                <w:sz w:val="24"/>
              </w:rPr>
              <w:t>202</w:t>
            </w:r>
            <w:r>
              <w:rPr>
                <w:rFonts w:hint="eastAsia"/>
                <w:sz w:val="24"/>
              </w:rPr>
              <w:t>5</w:t>
            </w:r>
            <w:r>
              <w:rPr>
                <w:rFonts w:hint="eastAsia"/>
                <w:sz w:val="24"/>
              </w:rPr>
              <w:t>年度镇江市生态环境状况公报》，</w:t>
            </w:r>
            <w:r>
              <w:rPr>
                <w:bCs/>
                <w:kern w:val="0"/>
                <w:sz w:val="24"/>
              </w:rPr>
              <w:t>对照《环境空气质量标准》（</w:t>
            </w:r>
            <w:r>
              <w:rPr>
                <w:bCs/>
                <w:kern w:val="0"/>
                <w:sz w:val="24"/>
              </w:rPr>
              <w:t>GB3095-20</w:t>
            </w:r>
            <w:r>
              <w:rPr>
                <w:rFonts w:hint="eastAsia"/>
                <w:bCs/>
                <w:kern w:val="0"/>
                <w:sz w:val="24"/>
              </w:rPr>
              <w:t>26</w:t>
            </w:r>
            <w:r>
              <w:rPr>
                <w:bCs/>
                <w:kern w:val="0"/>
                <w:sz w:val="24"/>
              </w:rPr>
              <w:t>）</w:t>
            </w:r>
            <w:r>
              <w:rPr>
                <w:rFonts w:hint="eastAsia"/>
                <w:bCs/>
                <w:kern w:val="0"/>
                <w:sz w:val="24"/>
              </w:rPr>
              <w:t>过渡阶段浓度限值二级标准</w:t>
            </w:r>
            <w:r>
              <w:rPr>
                <w:bCs/>
                <w:kern w:val="0"/>
                <w:sz w:val="24"/>
              </w:rPr>
              <w:t>，</w:t>
            </w:r>
            <w:r>
              <w:rPr>
                <w:rFonts w:hint="eastAsia"/>
                <w:bCs/>
                <w:kern w:val="0"/>
                <w:sz w:val="24"/>
              </w:rPr>
              <w:t>除臭氧、</w:t>
            </w:r>
            <w:r>
              <w:rPr>
                <w:rFonts w:hint="eastAsia"/>
                <w:bCs/>
                <w:kern w:val="0"/>
                <w:sz w:val="24"/>
              </w:rPr>
              <w:t>PM</w:t>
            </w:r>
            <w:r>
              <w:rPr>
                <w:rFonts w:hint="eastAsia"/>
                <w:bCs/>
                <w:kern w:val="0"/>
                <w:sz w:val="24"/>
                <w:vertAlign w:val="subscript"/>
              </w:rPr>
              <w:t>2.5</w:t>
            </w:r>
            <w:r>
              <w:rPr>
                <w:rFonts w:hint="eastAsia"/>
                <w:bCs/>
                <w:kern w:val="0"/>
                <w:sz w:val="24"/>
              </w:rPr>
              <w:t>外，</w:t>
            </w:r>
            <w:r>
              <w:rPr>
                <w:bCs/>
                <w:kern w:val="0"/>
                <w:sz w:val="24"/>
              </w:rPr>
              <w:t>各污染物均达到标准。</w:t>
            </w:r>
            <w:r>
              <w:rPr>
                <w:rFonts w:hint="eastAsia"/>
                <w:bCs/>
                <w:kern w:val="0"/>
                <w:sz w:val="24"/>
              </w:rPr>
              <w:t>综上所述，</w:t>
            </w:r>
            <w:r>
              <w:rPr>
                <w:bCs/>
                <w:kern w:val="0"/>
                <w:sz w:val="24"/>
              </w:rPr>
              <w:t>判断项目所在区域为</w:t>
            </w:r>
            <w:r>
              <w:rPr>
                <w:rFonts w:hint="eastAsia"/>
                <w:bCs/>
                <w:kern w:val="0"/>
                <w:sz w:val="24"/>
              </w:rPr>
              <w:t>不</w:t>
            </w:r>
            <w:r>
              <w:rPr>
                <w:bCs/>
                <w:kern w:val="0"/>
                <w:sz w:val="24"/>
              </w:rPr>
              <w:t>达标区。</w:t>
            </w:r>
          </w:p>
          <w:p w14:paraId="7AFED501" w14:textId="77777777" w:rsidR="00F76A63" w:rsidRDefault="00000000">
            <w:pPr>
              <w:adjustRightInd w:val="0"/>
              <w:snapToGrid w:val="0"/>
              <w:spacing w:line="500" w:lineRule="exact"/>
              <w:ind w:firstLineChars="200" w:firstLine="480"/>
              <w:rPr>
                <w:sz w:val="24"/>
              </w:rPr>
            </w:pPr>
            <w:r>
              <w:rPr>
                <w:rFonts w:hint="eastAsia"/>
                <w:sz w:val="24"/>
              </w:rPr>
              <w:t>（</w:t>
            </w:r>
            <w:r>
              <w:rPr>
                <w:sz w:val="24"/>
              </w:rPr>
              <w:t>2</w:t>
            </w:r>
            <w:r>
              <w:rPr>
                <w:rFonts w:hint="eastAsia"/>
                <w:sz w:val="24"/>
              </w:rPr>
              <w:t>）废气污染物达标排放的可行性</w:t>
            </w:r>
          </w:p>
          <w:p w14:paraId="1D3E75A9" w14:textId="77777777" w:rsidR="00F76A63" w:rsidRDefault="00000000">
            <w:pPr>
              <w:adjustRightInd w:val="0"/>
              <w:snapToGrid w:val="0"/>
              <w:spacing w:line="500" w:lineRule="exact"/>
              <w:ind w:firstLineChars="200" w:firstLine="480"/>
              <w:rPr>
                <w:sz w:val="24"/>
              </w:rPr>
            </w:pPr>
            <w:r>
              <w:rPr>
                <w:rFonts w:hint="eastAsia"/>
                <w:sz w:val="24"/>
              </w:rPr>
              <w:t>根据大气污染物影响预测结论：项目废气正常排放时污染物的厂界预测浓度小于空气环境质量标准。因此，项目废气排放不会改变区域空气环境功能，对周围空气环境影响较小。</w:t>
            </w:r>
          </w:p>
          <w:p w14:paraId="00349643" w14:textId="77777777" w:rsidR="00F76A63" w:rsidRDefault="00000000">
            <w:pPr>
              <w:spacing w:line="500" w:lineRule="exact"/>
              <w:ind w:firstLineChars="200" w:firstLine="480"/>
              <w:rPr>
                <w:sz w:val="24"/>
              </w:rPr>
            </w:pPr>
            <w:r>
              <w:rPr>
                <w:sz w:val="24"/>
              </w:rPr>
              <w:t>具体详见大气专项评价。</w:t>
            </w:r>
          </w:p>
          <w:p w14:paraId="7C752EDA" w14:textId="77777777" w:rsidR="00F76A63" w:rsidRDefault="00000000">
            <w:pPr>
              <w:adjustRightInd w:val="0"/>
              <w:snapToGrid w:val="0"/>
              <w:spacing w:line="500" w:lineRule="exact"/>
              <w:ind w:firstLineChars="200" w:firstLine="482"/>
              <w:rPr>
                <w:b/>
                <w:bCs/>
                <w:sz w:val="24"/>
              </w:rPr>
            </w:pPr>
            <w:r>
              <w:rPr>
                <w:b/>
                <w:bCs/>
                <w:sz w:val="24"/>
              </w:rPr>
              <w:t>2</w:t>
            </w:r>
            <w:r>
              <w:rPr>
                <w:b/>
                <w:bCs/>
                <w:sz w:val="24"/>
              </w:rPr>
              <w:t>、废水</w:t>
            </w:r>
          </w:p>
          <w:p w14:paraId="369348F9" w14:textId="77777777" w:rsidR="00F76A63" w:rsidRDefault="00000000">
            <w:pPr>
              <w:adjustRightInd w:val="0"/>
              <w:snapToGrid w:val="0"/>
              <w:spacing w:line="500" w:lineRule="exact"/>
              <w:ind w:firstLineChars="200" w:firstLine="482"/>
              <w:rPr>
                <w:b/>
                <w:bCs/>
                <w:sz w:val="24"/>
              </w:rPr>
            </w:pPr>
            <w:r>
              <w:rPr>
                <w:rFonts w:hint="eastAsia"/>
                <w:b/>
                <w:bCs/>
                <w:sz w:val="24"/>
              </w:rPr>
              <w:t>（</w:t>
            </w:r>
            <w:r>
              <w:rPr>
                <w:rFonts w:hint="eastAsia"/>
                <w:b/>
                <w:bCs/>
                <w:sz w:val="24"/>
              </w:rPr>
              <w:t>1</w:t>
            </w:r>
            <w:r>
              <w:rPr>
                <w:rFonts w:hint="eastAsia"/>
                <w:b/>
                <w:bCs/>
                <w:sz w:val="24"/>
              </w:rPr>
              <w:t>）废水产生情况</w:t>
            </w:r>
          </w:p>
          <w:p w14:paraId="4B635059" w14:textId="77777777" w:rsidR="00F76A63" w:rsidRDefault="00000000">
            <w:pPr>
              <w:adjustRightInd w:val="0"/>
              <w:snapToGrid w:val="0"/>
              <w:spacing w:line="500" w:lineRule="exact"/>
              <w:ind w:firstLineChars="200" w:firstLine="480"/>
              <w:rPr>
                <w:sz w:val="24"/>
              </w:rPr>
            </w:pPr>
            <w:r>
              <w:rPr>
                <w:sz w:val="24"/>
              </w:rPr>
              <w:t>本项目为水泥窑协同处置一般工业固废，不新增生产设施、不新增劳动定员、不新增生产用水与生活污水。</w:t>
            </w:r>
          </w:p>
          <w:p w14:paraId="3C0E42A5" w14:textId="77777777" w:rsidR="00F76A63" w:rsidRDefault="00000000">
            <w:pPr>
              <w:adjustRightInd w:val="0"/>
              <w:snapToGrid w:val="0"/>
              <w:spacing w:line="500" w:lineRule="exact"/>
              <w:ind w:firstLineChars="200" w:firstLine="480"/>
              <w:rPr>
                <w:sz w:val="24"/>
              </w:rPr>
            </w:pPr>
            <w:r>
              <w:rPr>
                <w:sz w:val="24"/>
              </w:rPr>
              <w:t>本项目选址于现有厂区内，不新增建设用地，厂区</w:t>
            </w:r>
            <w:r>
              <w:rPr>
                <w:rFonts w:hint="eastAsia"/>
                <w:sz w:val="24"/>
              </w:rPr>
              <w:t>初期雨水已于现有项目计算</w:t>
            </w:r>
            <w:r>
              <w:rPr>
                <w:sz w:val="24"/>
              </w:rPr>
              <w:t>，本次不再重复计算。本次新增废水仅</w:t>
            </w:r>
            <w:r>
              <w:rPr>
                <w:rFonts w:hint="eastAsia"/>
                <w:sz w:val="24"/>
              </w:rPr>
              <w:t>为</w:t>
            </w:r>
            <w:r>
              <w:rPr>
                <w:sz w:val="24"/>
              </w:rPr>
              <w:t>原料、污染土堆棚物料贮存</w:t>
            </w:r>
            <w:r>
              <w:rPr>
                <w:rFonts w:hint="eastAsia"/>
                <w:sz w:val="24"/>
              </w:rPr>
              <w:t>污泥时产生的</w:t>
            </w:r>
            <w:r>
              <w:rPr>
                <w:sz w:val="24"/>
              </w:rPr>
              <w:t>渗滤液</w:t>
            </w:r>
            <w:r>
              <w:rPr>
                <w:rFonts w:hint="eastAsia"/>
                <w:sz w:val="24"/>
              </w:rPr>
              <w:t>W1</w:t>
            </w:r>
            <w:r>
              <w:rPr>
                <w:rFonts w:hint="eastAsia"/>
                <w:sz w:val="24"/>
              </w:rPr>
              <w:t>，原料、污染土</w:t>
            </w:r>
            <w:r>
              <w:rPr>
                <w:sz w:val="24"/>
              </w:rPr>
              <w:t>堆棚为全封闭、防雨、防渗结构，渗滤液仅来源于污泥自身游离水自然析出。</w:t>
            </w:r>
          </w:p>
          <w:p w14:paraId="0A1F8564" w14:textId="77777777" w:rsidR="00F76A63" w:rsidRDefault="00000000">
            <w:pPr>
              <w:adjustRightInd w:val="0"/>
              <w:snapToGrid w:val="0"/>
              <w:spacing w:line="500" w:lineRule="exact"/>
              <w:ind w:firstLineChars="200" w:firstLine="480"/>
              <w:rPr>
                <w:sz w:val="24"/>
              </w:rPr>
            </w:pPr>
            <w:r>
              <w:rPr>
                <w:rFonts w:hint="eastAsia"/>
                <w:sz w:val="24"/>
              </w:rPr>
              <w:t>根据企业提供数据，本项目协同处置的污泥含水率为</w:t>
            </w:r>
            <w:r>
              <w:rPr>
                <w:rFonts w:hint="eastAsia"/>
                <w:sz w:val="24"/>
              </w:rPr>
              <w:t>60~70%</w:t>
            </w:r>
            <w:r>
              <w:rPr>
                <w:rFonts w:hint="eastAsia"/>
                <w:sz w:val="24"/>
              </w:rPr>
              <w:t>，处置规模为</w:t>
            </w:r>
            <w:r>
              <w:rPr>
                <w:rFonts w:hint="eastAsia"/>
                <w:sz w:val="24"/>
              </w:rPr>
              <w:t>50000t/a</w:t>
            </w:r>
            <w:r>
              <w:rPr>
                <w:rFonts w:hint="eastAsia"/>
                <w:sz w:val="24"/>
              </w:rPr>
              <w:t>，按最不利情况下取污泥含水率为</w:t>
            </w:r>
            <w:r>
              <w:rPr>
                <w:rFonts w:hint="eastAsia"/>
                <w:sz w:val="24"/>
              </w:rPr>
              <w:t>70%</w:t>
            </w:r>
            <w:r>
              <w:rPr>
                <w:rFonts w:hint="eastAsia"/>
                <w:sz w:val="24"/>
              </w:rPr>
              <w:t>，参考</w:t>
            </w:r>
            <w:r>
              <w:rPr>
                <w:sz w:val="24"/>
              </w:rPr>
              <w:t>国内大量水泥窑协同处置污泥析水系数</w:t>
            </w:r>
            <w:r>
              <w:rPr>
                <w:rFonts w:hint="eastAsia"/>
                <w:sz w:val="24"/>
              </w:rPr>
              <w:t>，</w:t>
            </w:r>
            <w:r>
              <w:rPr>
                <w:sz w:val="24"/>
              </w:rPr>
              <w:t>密闭暂存、无雨水淋溶条件下</w:t>
            </w:r>
            <w:r>
              <w:rPr>
                <w:rFonts w:hint="eastAsia"/>
                <w:sz w:val="24"/>
              </w:rPr>
              <w:t>污泥</w:t>
            </w:r>
            <w:r>
              <w:rPr>
                <w:sz w:val="24"/>
              </w:rPr>
              <w:t>析水系数保守取值</w:t>
            </w:r>
            <w:r>
              <w:rPr>
                <w:rFonts w:hint="eastAsia"/>
                <w:sz w:val="24"/>
              </w:rPr>
              <w:t>0.1</w:t>
            </w:r>
            <w:r>
              <w:rPr>
                <w:rFonts w:hint="eastAsia"/>
                <w:sz w:val="24"/>
              </w:rPr>
              <w:t>，则</w:t>
            </w:r>
            <w:r>
              <w:rPr>
                <w:sz w:val="24"/>
              </w:rPr>
              <w:t>年渗滤液产生量</w:t>
            </w:r>
            <w:r>
              <w:rPr>
                <w:rFonts w:hint="eastAsia"/>
                <w:sz w:val="24"/>
              </w:rPr>
              <w:t>为</w:t>
            </w:r>
            <w:r>
              <w:rPr>
                <w:rFonts w:hint="eastAsia"/>
                <w:sz w:val="24"/>
              </w:rPr>
              <w:t>50000*0.7*0.1=3500t/a</w:t>
            </w:r>
            <w:r>
              <w:rPr>
                <w:rFonts w:hint="eastAsia"/>
                <w:sz w:val="24"/>
              </w:rPr>
              <w:t>。</w:t>
            </w:r>
          </w:p>
          <w:p w14:paraId="764D11CF" w14:textId="77777777" w:rsidR="00F76A63" w:rsidRDefault="00000000">
            <w:pPr>
              <w:adjustRightInd w:val="0"/>
              <w:snapToGrid w:val="0"/>
              <w:spacing w:line="500" w:lineRule="exact"/>
              <w:ind w:firstLineChars="200" w:firstLine="480"/>
              <w:rPr>
                <w:sz w:val="24"/>
              </w:rPr>
            </w:pPr>
            <w:r>
              <w:rPr>
                <w:rFonts w:hint="eastAsia"/>
                <w:sz w:val="24"/>
              </w:rPr>
              <w:lastRenderedPageBreak/>
              <w:t>渗滤液污染物产生情况表见表</w:t>
            </w:r>
            <w:r>
              <w:rPr>
                <w:rFonts w:hint="eastAsia"/>
                <w:sz w:val="24"/>
              </w:rPr>
              <w:t>4-1</w:t>
            </w:r>
            <w:r>
              <w:rPr>
                <w:rFonts w:hint="eastAsia"/>
                <w:sz w:val="24"/>
              </w:rPr>
              <w:t>。</w:t>
            </w:r>
          </w:p>
          <w:p w14:paraId="05B13328" w14:textId="77777777" w:rsidR="00F76A63" w:rsidRDefault="00000000">
            <w:pPr>
              <w:adjustRightInd w:val="0"/>
              <w:snapToGrid w:val="0"/>
              <w:spacing w:line="500" w:lineRule="exact"/>
              <w:jc w:val="center"/>
              <w:rPr>
                <w:b/>
                <w:bCs/>
                <w:sz w:val="24"/>
              </w:rPr>
            </w:pPr>
            <w:r>
              <w:rPr>
                <w:b/>
                <w:bCs/>
                <w:sz w:val="24"/>
              </w:rPr>
              <w:t>表</w:t>
            </w:r>
            <w:r>
              <w:rPr>
                <w:b/>
                <w:bCs/>
                <w:sz w:val="24"/>
              </w:rPr>
              <w:t>4-</w:t>
            </w:r>
            <w:r>
              <w:rPr>
                <w:rFonts w:hint="eastAsia"/>
                <w:b/>
                <w:bCs/>
                <w:sz w:val="24"/>
              </w:rPr>
              <w:t>1</w:t>
            </w:r>
            <w:r>
              <w:rPr>
                <w:b/>
                <w:bCs/>
                <w:sz w:val="24"/>
              </w:rPr>
              <w:t xml:space="preserve">  </w:t>
            </w:r>
            <w:r>
              <w:rPr>
                <w:rFonts w:hint="eastAsia"/>
                <w:b/>
                <w:bCs/>
                <w:sz w:val="24"/>
              </w:rPr>
              <w:t>渗滤液</w:t>
            </w:r>
            <w:r>
              <w:rPr>
                <w:b/>
                <w:bCs/>
                <w:sz w:val="24"/>
              </w:rPr>
              <w:t>污染物产生情况一览表</w:t>
            </w:r>
          </w:p>
          <w:tbl>
            <w:tblPr>
              <w:tblW w:w="5000" w:type="pct"/>
              <w:jc w:val="center"/>
              <w:tblBorders>
                <w:top w:val="single" w:sz="12" w:space="0" w:color="auto"/>
                <w:bottom w:val="single" w:sz="12" w:space="0" w:color="auto"/>
                <w:insideH w:val="single" w:sz="4" w:space="0" w:color="auto"/>
                <w:insideV w:val="single" w:sz="8" w:space="0" w:color="auto"/>
              </w:tblBorders>
              <w:tblLook w:val="04A0" w:firstRow="1" w:lastRow="0" w:firstColumn="1" w:lastColumn="0" w:noHBand="0" w:noVBand="1"/>
            </w:tblPr>
            <w:tblGrid>
              <w:gridCol w:w="773"/>
              <w:gridCol w:w="993"/>
              <w:gridCol w:w="1559"/>
              <w:gridCol w:w="1417"/>
              <w:gridCol w:w="1321"/>
              <w:gridCol w:w="1005"/>
              <w:gridCol w:w="1125"/>
            </w:tblGrid>
            <w:tr w:rsidR="00F76A63" w14:paraId="30C86FFF" w14:textId="77777777">
              <w:trPr>
                <w:trHeight w:val="90"/>
                <w:jc w:val="center"/>
              </w:trPr>
              <w:tc>
                <w:tcPr>
                  <w:tcW w:w="1116" w:type="dxa"/>
                  <w:vMerge w:val="restart"/>
                  <w:vAlign w:val="center"/>
                </w:tcPr>
                <w:p w14:paraId="7A0429DE" w14:textId="77777777" w:rsidR="00F76A63" w:rsidRDefault="00000000">
                  <w:pPr>
                    <w:adjustRightInd w:val="0"/>
                    <w:snapToGrid w:val="0"/>
                    <w:jc w:val="center"/>
                    <w:rPr>
                      <w:szCs w:val="21"/>
                    </w:rPr>
                  </w:pPr>
                  <w:r>
                    <w:rPr>
                      <w:b/>
                      <w:bCs/>
                      <w:szCs w:val="21"/>
                    </w:rPr>
                    <w:t>废水名称及编号</w:t>
                  </w:r>
                </w:p>
              </w:tc>
              <w:tc>
                <w:tcPr>
                  <w:tcW w:w="993" w:type="dxa"/>
                  <w:vMerge w:val="restart"/>
                  <w:vAlign w:val="center"/>
                </w:tcPr>
                <w:p w14:paraId="0CC72D87" w14:textId="77777777" w:rsidR="00F76A63" w:rsidRDefault="00000000">
                  <w:pPr>
                    <w:adjustRightInd w:val="0"/>
                    <w:snapToGrid w:val="0"/>
                    <w:jc w:val="center"/>
                    <w:rPr>
                      <w:szCs w:val="21"/>
                    </w:rPr>
                  </w:pPr>
                  <w:r>
                    <w:rPr>
                      <w:b/>
                      <w:bCs/>
                      <w:szCs w:val="21"/>
                    </w:rPr>
                    <w:t>废水量</w:t>
                  </w:r>
                </w:p>
                <w:p w14:paraId="502A3B88" w14:textId="77777777" w:rsidR="00F76A63" w:rsidRDefault="00000000">
                  <w:pPr>
                    <w:adjustRightInd w:val="0"/>
                    <w:snapToGrid w:val="0"/>
                    <w:jc w:val="center"/>
                    <w:rPr>
                      <w:szCs w:val="21"/>
                    </w:rPr>
                  </w:pPr>
                  <w:r>
                    <w:rPr>
                      <w:b/>
                      <w:bCs/>
                      <w:szCs w:val="21"/>
                    </w:rPr>
                    <w:t>（</w:t>
                  </w:r>
                  <w:r>
                    <w:rPr>
                      <w:rFonts w:hint="eastAsia"/>
                      <w:b/>
                      <w:bCs/>
                      <w:szCs w:val="21"/>
                    </w:rPr>
                    <w:t>t</w:t>
                  </w:r>
                  <w:r>
                    <w:rPr>
                      <w:b/>
                      <w:bCs/>
                      <w:szCs w:val="21"/>
                    </w:rPr>
                    <w:t>/a</w:t>
                  </w:r>
                  <w:r>
                    <w:rPr>
                      <w:b/>
                      <w:bCs/>
                      <w:szCs w:val="21"/>
                    </w:rPr>
                    <w:t>）</w:t>
                  </w:r>
                </w:p>
              </w:tc>
              <w:tc>
                <w:tcPr>
                  <w:tcW w:w="1559" w:type="dxa"/>
                  <w:vMerge w:val="restart"/>
                  <w:vAlign w:val="center"/>
                </w:tcPr>
                <w:p w14:paraId="7F3A9FAD" w14:textId="77777777" w:rsidR="00F76A63" w:rsidRDefault="00000000">
                  <w:pPr>
                    <w:adjustRightInd w:val="0"/>
                    <w:snapToGrid w:val="0"/>
                    <w:jc w:val="center"/>
                    <w:rPr>
                      <w:szCs w:val="21"/>
                    </w:rPr>
                  </w:pPr>
                  <w:r>
                    <w:rPr>
                      <w:b/>
                      <w:bCs/>
                      <w:szCs w:val="21"/>
                    </w:rPr>
                    <w:t>污染物</w:t>
                  </w:r>
                </w:p>
              </w:tc>
              <w:tc>
                <w:tcPr>
                  <w:tcW w:w="2738" w:type="dxa"/>
                  <w:gridSpan w:val="2"/>
                  <w:vAlign w:val="center"/>
                </w:tcPr>
                <w:p w14:paraId="070CB6CC" w14:textId="77777777" w:rsidR="00F76A63" w:rsidRDefault="00000000">
                  <w:pPr>
                    <w:adjustRightInd w:val="0"/>
                    <w:snapToGrid w:val="0"/>
                    <w:jc w:val="center"/>
                    <w:rPr>
                      <w:szCs w:val="21"/>
                    </w:rPr>
                  </w:pPr>
                  <w:r>
                    <w:rPr>
                      <w:b/>
                      <w:bCs/>
                      <w:szCs w:val="21"/>
                    </w:rPr>
                    <w:t>污染物</w:t>
                  </w:r>
                </w:p>
              </w:tc>
              <w:tc>
                <w:tcPr>
                  <w:tcW w:w="1787" w:type="dxa"/>
                  <w:vMerge w:val="restart"/>
                  <w:vAlign w:val="center"/>
                </w:tcPr>
                <w:p w14:paraId="0DCD68D5" w14:textId="77777777" w:rsidR="00F76A63" w:rsidRDefault="00000000">
                  <w:pPr>
                    <w:adjustRightInd w:val="0"/>
                    <w:snapToGrid w:val="0"/>
                    <w:jc w:val="center"/>
                    <w:rPr>
                      <w:b/>
                      <w:bCs/>
                      <w:szCs w:val="21"/>
                    </w:rPr>
                  </w:pPr>
                  <w:r>
                    <w:rPr>
                      <w:rFonts w:hint="eastAsia"/>
                      <w:b/>
                      <w:bCs/>
                      <w:szCs w:val="21"/>
                    </w:rPr>
                    <w:t>治理措施</w:t>
                  </w:r>
                </w:p>
              </w:tc>
              <w:tc>
                <w:tcPr>
                  <w:tcW w:w="1787" w:type="dxa"/>
                  <w:vMerge w:val="restart"/>
                  <w:vAlign w:val="center"/>
                </w:tcPr>
                <w:p w14:paraId="1C3B7A1D" w14:textId="77777777" w:rsidR="00F76A63" w:rsidRDefault="00000000">
                  <w:pPr>
                    <w:adjustRightInd w:val="0"/>
                    <w:snapToGrid w:val="0"/>
                    <w:jc w:val="center"/>
                    <w:rPr>
                      <w:b/>
                      <w:bCs/>
                      <w:szCs w:val="21"/>
                    </w:rPr>
                  </w:pPr>
                  <w:r>
                    <w:rPr>
                      <w:rFonts w:hint="eastAsia"/>
                      <w:b/>
                      <w:bCs/>
                      <w:szCs w:val="21"/>
                    </w:rPr>
                    <w:t>排放去向</w:t>
                  </w:r>
                </w:p>
              </w:tc>
            </w:tr>
            <w:tr w:rsidR="00F76A63" w14:paraId="0E82DBCB" w14:textId="77777777">
              <w:trPr>
                <w:trHeight w:val="90"/>
                <w:jc w:val="center"/>
              </w:trPr>
              <w:tc>
                <w:tcPr>
                  <w:tcW w:w="1116" w:type="dxa"/>
                  <w:vMerge/>
                  <w:vAlign w:val="center"/>
                </w:tcPr>
                <w:p w14:paraId="147D4BBA" w14:textId="77777777" w:rsidR="00F76A63" w:rsidRDefault="00F76A63">
                  <w:pPr>
                    <w:adjustRightInd w:val="0"/>
                    <w:snapToGrid w:val="0"/>
                    <w:jc w:val="center"/>
                    <w:rPr>
                      <w:szCs w:val="21"/>
                    </w:rPr>
                  </w:pPr>
                </w:p>
              </w:tc>
              <w:tc>
                <w:tcPr>
                  <w:tcW w:w="993" w:type="dxa"/>
                  <w:vMerge/>
                  <w:vAlign w:val="center"/>
                </w:tcPr>
                <w:p w14:paraId="25CED9FE" w14:textId="77777777" w:rsidR="00F76A63" w:rsidRDefault="00F76A63">
                  <w:pPr>
                    <w:adjustRightInd w:val="0"/>
                    <w:snapToGrid w:val="0"/>
                    <w:jc w:val="center"/>
                    <w:rPr>
                      <w:szCs w:val="21"/>
                    </w:rPr>
                  </w:pPr>
                </w:p>
              </w:tc>
              <w:tc>
                <w:tcPr>
                  <w:tcW w:w="1559" w:type="dxa"/>
                  <w:vMerge/>
                  <w:vAlign w:val="center"/>
                </w:tcPr>
                <w:p w14:paraId="0B8D9A54" w14:textId="77777777" w:rsidR="00F76A63" w:rsidRDefault="00F76A63">
                  <w:pPr>
                    <w:adjustRightInd w:val="0"/>
                    <w:snapToGrid w:val="0"/>
                    <w:jc w:val="center"/>
                    <w:rPr>
                      <w:szCs w:val="21"/>
                    </w:rPr>
                  </w:pPr>
                </w:p>
              </w:tc>
              <w:tc>
                <w:tcPr>
                  <w:tcW w:w="1417" w:type="dxa"/>
                  <w:vAlign w:val="center"/>
                </w:tcPr>
                <w:p w14:paraId="52662CB5" w14:textId="77777777" w:rsidR="00F76A63" w:rsidRDefault="00000000">
                  <w:pPr>
                    <w:adjustRightInd w:val="0"/>
                    <w:snapToGrid w:val="0"/>
                    <w:jc w:val="center"/>
                    <w:rPr>
                      <w:szCs w:val="21"/>
                    </w:rPr>
                  </w:pPr>
                  <w:r>
                    <w:rPr>
                      <w:b/>
                      <w:bCs/>
                      <w:szCs w:val="21"/>
                    </w:rPr>
                    <w:t>浓度（</w:t>
                  </w:r>
                  <w:r>
                    <w:rPr>
                      <w:b/>
                      <w:bCs/>
                      <w:szCs w:val="21"/>
                    </w:rPr>
                    <w:t>mg/L</w:t>
                  </w:r>
                  <w:r>
                    <w:rPr>
                      <w:b/>
                      <w:bCs/>
                      <w:szCs w:val="21"/>
                    </w:rPr>
                    <w:t>）</w:t>
                  </w:r>
                </w:p>
              </w:tc>
              <w:tc>
                <w:tcPr>
                  <w:tcW w:w="1321" w:type="dxa"/>
                  <w:vAlign w:val="center"/>
                </w:tcPr>
                <w:p w14:paraId="34CDEB54" w14:textId="77777777" w:rsidR="00F76A63" w:rsidRDefault="00000000">
                  <w:pPr>
                    <w:adjustRightInd w:val="0"/>
                    <w:snapToGrid w:val="0"/>
                    <w:jc w:val="center"/>
                    <w:rPr>
                      <w:szCs w:val="21"/>
                    </w:rPr>
                  </w:pPr>
                  <w:r>
                    <w:rPr>
                      <w:b/>
                      <w:bCs/>
                      <w:szCs w:val="21"/>
                    </w:rPr>
                    <w:t>产生量（</w:t>
                  </w:r>
                  <w:r>
                    <w:rPr>
                      <w:b/>
                      <w:bCs/>
                      <w:szCs w:val="21"/>
                    </w:rPr>
                    <w:t>t/a</w:t>
                  </w:r>
                  <w:r>
                    <w:rPr>
                      <w:b/>
                      <w:bCs/>
                      <w:szCs w:val="21"/>
                    </w:rPr>
                    <w:t>）</w:t>
                  </w:r>
                </w:p>
              </w:tc>
              <w:tc>
                <w:tcPr>
                  <w:tcW w:w="1787" w:type="dxa"/>
                  <w:vMerge/>
                  <w:vAlign w:val="center"/>
                </w:tcPr>
                <w:p w14:paraId="5AC9CB9B" w14:textId="77777777" w:rsidR="00F76A63" w:rsidRDefault="00F76A63">
                  <w:pPr>
                    <w:adjustRightInd w:val="0"/>
                    <w:snapToGrid w:val="0"/>
                    <w:jc w:val="center"/>
                    <w:rPr>
                      <w:b/>
                      <w:bCs/>
                      <w:szCs w:val="21"/>
                    </w:rPr>
                  </w:pPr>
                </w:p>
              </w:tc>
              <w:tc>
                <w:tcPr>
                  <w:tcW w:w="1787" w:type="dxa"/>
                  <w:vMerge/>
                  <w:vAlign w:val="center"/>
                </w:tcPr>
                <w:p w14:paraId="0A94EE33" w14:textId="77777777" w:rsidR="00F76A63" w:rsidRDefault="00F76A63">
                  <w:pPr>
                    <w:adjustRightInd w:val="0"/>
                    <w:snapToGrid w:val="0"/>
                    <w:jc w:val="center"/>
                    <w:rPr>
                      <w:b/>
                      <w:bCs/>
                      <w:szCs w:val="21"/>
                    </w:rPr>
                  </w:pPr>
                </w:p>
              </w:tc>
            </w:tr>
            <w:tr w:rsidR="00F76A63" w14:paraId="2C3D55DB" w14:textId="77777777">
              <w:trPr>
                <w:trHeight w:val="300"/>
                <w:jc w:val="center"/>
              </w:trPr>
              <w:tc>
                <w:tcPr>
                  <w:tcW w:w="1116" w:type="dxa"/>
                  <w:vMerge w:val="restart"/>
                  <w:vAlign w:val="center"/>
                </w:tcPr>
                <w:p w14:paraId="4D36B63D" w14:textId="77777777" w:rsidR="00F76A63" w:rsidRDefault="00000000">
                  <w:pPr>
                    <w:adjustRightInd w:val="0"/>
                    <w:snapToGrid w:val="0"/>
                    <w:jc w:val="center"/>
                    <w:rPr>
                      <w:szCs w:val="21"/>
                    </w:rPr>
                  </w:pPr>
                  <w:r>
                    <w:rPr>
                      <w:rFonts w:hint="eastAsia"/>
                      <w:szCs w:val="21"/>
                    </w:rPr>
                    <w:t>污泥贮存渗滤液</w:t>
                  </w:r>
                  <w:r>
                    <w:rPr>
                      <w:rFonts w:hint="eastAsia"/>
                      <w:szCs w:val="21"/>
                    </w:rPr>
                    <w:t>W1</w:t>
                  </w:r>
                </w:p>
              </w:tc>
              <w:tc>
                <w:tcPr>
                  <w:tcW w:w="993" w:type="dxa"/>
                  <w:vMerge w:val="restart"/>
                  <w:noWrap/>
                  <w:vAlign w:val="center"/>
                </w:tcPr>
                <w:p w14:paraId="46FA248A" w14:textId="77777777" w:rsidR="00F76A63" w:rsidRDefault="00000000">
                  <w:pPr>
                    <w:adjustRightInd w:val="0"/>
                    <w:snapToGrid w:val="0"/>
                    <w:jc w:val="center"/>
                    <w:rPr>
                      <w:szCs w:val="21"/>
                    </w:rPr>
                  </w:pPr>
                  <w:r>
                    <w:rPr>
                      <w:rFonts w:hint="eastAsia"/>
                      <w:szCs w:val="21"/>
                    </w:rPr>
                    <w:t>3500</w:t>
                  </w:r>
                </w:p>
              </w:tc>
              <w:tc>
                <w:tcPr>
                  <w:tcW w:w="1559" w:type="dxa"/>
                  <w:noWrap/>
                  <w:vAlign w:val="center"/>
                </w:tcPr>
                <w:p w14:paraId="0558AEEF" w14:textId="77777777" w:rsidR="00F76A63" w:rsidRDefault="00000000">
                  <w:pPr>
                    <w:adjustRightInd w:val="0"/>
                    <w:snapToGrid w:val="0"/>
                    <w:jc w:val="center"/>
                    <w:rPr>
                      <w:szCs w:val="21"/>
                    </w:rPr>
                  </w:pPr>
                  <w:r>
                    <w:rPr>
                      <w:szCs w:val="21"/>
                    </w:rPr>
                    <w:t>pH</w:t>
                  </w:r>
                </w:p>
              </w:tc>
              <w:tc>
                <w:tcPr>
                  <w:tcW w:w="1417" w:type="dxa"/>
                  <w:noWrap/>
                  <w:vAlign w:val="center"/>
                </w:tcPr>
                <w:p w14:paraId="363BB069" w14:textId="77777777" w:rsidR="00F76A63" w:rsidRDefault="00000000">
                  <w:pPr>
                    <w:adjustRightInd w:val="0"/>
                    <w:snapToGrid w:val="0"/>
                    <w:jc w:val="center"/>
                    <w:rPr>
                      <w:szCs w:val="21"/>
                    </w:rPr>
                  </w:pPr>
                  <w:r>
                    <w:rPr>
                      <w:rFonts w:hint="eastAsia"/>
                      <w:szCs w:val="21"/>
                    </w:rPr>
                    <w:t>6.5~8.5</w:t>
                  </w:r>
                  <w:r>
                    <w:rPr>
                      <w:szCs w:val="21"/>
                    </w:rPr>
                    <w:t>(</w:t>
                  </w:r>
                  <w:r>
                    <w:rPr>
                      <w:szCs w:val="21"/>
                      <w:vertAlign w:val="subscript"/>
                    </w:rPr>
                    <w:t>无量纲</w:t>
                  </w:r>
                  <w:r>
                    <w:rPr>
                      <w:szCs w:val="21"/>
                    </w:rPr>
                    <w:t>)</w:t>
                  </w:r>
                </w:p>
              </w:tc>
              <w:tc>
                <w:tcPr>
                  <w:tcW w:w="1321" w:type="dxa"/>
                  <w:noWrap/>
                  <w:vAlign w:val="center"/>
                </w:tcPr>
                <w:p w14:paraId="2AEB7EB8" w14:textId="77777777" w:rsidR="00F76A63" w:rsidRDefault="00000000">
                  <w:pPr>
                    <w:adjustRightInd w:val="0"/>
                    <w:snapToGrid w:val="0"/>
                    <w:jc w:val="center"/>
                    <w:rPr>
                      <w:szCs w:val="21"/>
                    </w:rPr>
                  </w:pPr>
                  <w:r>
                    <w:rPr>
                      <w:szCs w:val="21"/>
                    </w:rPr>
                    <w:t>/</w:t>
                  </w:r>
                </w:p>
              </w:tc>
              <w:tc>
                <w:tcPr>
                  <w:tcW w:w="1787" w:type="dxa"/>
                  <w:vMerge w:val="restart"/>
                  <w:vAlign w:val="center"/>
                </w:tcPr>
                <w:p w14:paraId="276912C4" w14:textId="77777777" w:rsidR="00F76A63" w:rsidRDefault="00000000">
                  <w:pPr>
                    <w:adjustRightInd w:val="0"/>
                    <w:snapToGrid w:val="0"/>
                    <w:jc w:val="center"/>
                    <w:rPr>
                      <w:szCs w:val="21"/>
                    </w:rPr>
                  </w:pPr>
                  <w:r>
                    <w:rPr>
                      <w:rFonts w:hint="eastAsia"/>
                      <w:szCs w:val="21"/>
                    </w:rPr>
                    <w:t>中水处理系统处理</w:t>
                  </w:r>
                </w:p>
              </w:tc>
              <w:tc>
                <w:tcPr>
                  <w:tcW w:w="1787" w:type="dxa"/>
                  <w:vMerge w:val="restart"/>
                  <w:vAlign w:val="center"/>
                </w:tcPr>
                <w:p w14:paraId="0501AC58" w14:textId="77777777" w:rsidR="00F76A63" w:rsidRDefault="00000000">
                  <w:pPr>
                    <w:adjustRightInd w:val="0"/>
                    <w:snapToGrid w:val="0"/>
                    <w:jc w:val="center"/>
                    <w:rPr>
                      <w:szCs w:val="21"/>
                    </w:rPr>
                  </w:pPr>
                  <w:r>
                    <w:rPr>
                      <w:rFonts w:hint="eastAsia"/>
                      <w:szCs w:val="21"/>
                    </w:rPr>
                    <w:t>回用于生产，不外排</w:t>
                  </w:r>
                </w:p>
              </w:tc>
            </w:tr>
            <w:tr w:rsidR="00F76A63" w14:paraId="04129254" w14:textId="77777777">
              <w:trPr>
                <w:trHeight w:val="60"/>
                <w:jc w:val="center"/>
              </w:trPr>
              <w:tc>
                <w:tcPr>
                  <w:tcW w:w="1116" w:type="dxa"/>
                  <w:vMerge/>
                  <w:vAlign w:val="center"/>
                </w:tcPr>
                <w:p w14:paraId="48137AA4" w14:textId="77777777" w:rsidR="00F76A63" w:rsidRDefault="00F76A63">
                  <w:pPr>
                    <w:adjustRightInd w:val="0"/>
                    <w:snapToGrid w:val="0"/>
                    <w:jc w:val="center"/>
                    <w:rPr>
                      <w:szCs w:val="21"/>
                    </w:rPr>
                  </w:pPr>
                </w:p>
              </w:tc>
              <w:tc>
                <w:tcPr>
                  <w:tcW w:w="993" w:type="dxa"/>
                  <w:vMerge/>
                  <w:vAlign w:val="center"/>
                </w:tcPr>
                <w:p w14:paraId="2E54B561" w14:textId="77777777" w:rsidR="00F76A63" w:rsidRDefault="00F76A63">
                  <w:pPr>
                    <w:adjustRightInd w:val="0"/>
                    <w:snapToGrid w:val="0"/>
                    <w:jc w:val="center"/>
                    <w:rPr>
                      <w:szCs w:val="21"/>
                    </w:rPr>
                  </w:pPr>
                </w:p>
              </w:tc>
              <w:tc>
                <w:tcPr>
                  <w:tcW w:w="1559" w:type="dxa"/>
                  <w:noWrap/>
                  <w:vAlign w:val="center"/>
                </w:tcPr>
                <w:p w14:paraId="02BF0EE0" w14:textId="77777777" w:rsidR="00F76A63" w:rsidRDefault="00000000">
                  <w:pPr>
                    <w:adjustRightInd w:val="0"/>
                    <w:snapToGrid w:val="0"/>
                    <w:jc w:val="center"/>
                    <w:rPr>
                      <w:szCs w:val="21"/>
                    </w:rPr>
                  </w:pPr>
                  <w:r>
                    <w:rPr>
                      <w:szCs w:val="21"/>
                    </w:rPr>
                    <w:t>SS</w:t>
                  </w:r>
                </w:p>
              </w:tc>
              <w:tc>
                <w:tcPr>
                  <w:tcW w:w="1417" w:type="dxa"/>
                  <w:noWrap/>
                  <w:vAlign w:val="center"/>
                </w:tcPr>
                <w:p w14:paraId="76AA6989" w14:textId="77777777" w:rsidR="00F76A63" w:rsidRDefault="00000000">
                  <w:pPr>
                    <w:adjustRightInd w:val="0"/>
                    <w:snapToGrid w:val="0"/>
                    <w:jc w:val="center"/>
                    <w:rPr>
                      <w:szCs w:val="21"/>
                    </w:rPr>
                  </w:pPr>
                  <w:r>
                    <w:rPr>
                      <w:szCs w:val="21"/>
                    </w:rPr>
                    <w:t>1200</w:t>
                  </w:r>
                </w:p>
              </w:tc>
              <w:tc>
                <w:tcPr>
                  <w:tcW w:w="1321" w:type="dxa"/>
                  <w:noWrap/>
                  <w:vAlign w:val="center"/>
                </w:tcPr>
                <w:p w14:paraId="029F9587" w14:textId="77777777" w:rsidR="00F76A63" w:rsidRDefault="00000000">
                  <w:pPr>
                    <w:adjustRightInd w:val="0"/>
                    <w:snapToGrid w:val="0"/>
                    <w:jc w:val="center"/>
                    <w:rPr>
                      <w:szCs w:val="21"/>
                    </w:rPr>
                  </w:pPr>
                  <w:r>
                    <w:rPr>
                      <w:szCs w:val="21"/>
                    </w:rPr>
                    <w:t>4.200</w:t>
                  </w:r>
                </w:p>
              </w:tc>
              <w:tc>
                <w:tcPr>
                  <w:tcW w:w="1787" w:type="dxa"/>
                  <w:vMerge/>
                  <w:vAlign w:val="center"/>
                </w:tcPr>
                <w:p w14:paraId="3F37FDB0" w14:textId="77777777" w:rsidR="00F76A63" w:rsidRDefault="00F76A63">
                  <w:pPr>
                    <w:adjustRightInd w:val="0"/>
                    <w:snapToGrid w:val="0"/>
                    <w:jc w:val="center"/>
                    <w:rPr>
                      <w:szCs w:val="21"/>
                    </w:rPr>
                  </w:pPr>
                </w:p>
              </w:tc>
              <w:tc>
                <w:tcPr>
                  <w:tcW w:w="1787" w:type="dxa"/>
                  <w:vMerge/>
                  <w:vAlign w:val="center"/>
                </w:tcPr>
                <w:p w14:paraId="620C11C5" w14:textId="77777777" w:rsidR="00F76A63" w:rsidRDefault="00F76A63">
                  <w:pPr>
                    <w:adjustRightInd w:val="0"/>
                    <w:snapToGrid w:val="0"/>
                    <w:jc w:val="center"/>
                    <w:rPr>
                      <w:szCs w:val="21"/>
                    </w:rPr>
                  </w:pPr>
                </w:p>
              </w:tc>
            </w:tr>
            <w:tr w:rsidR="00F76A63" w14:paraId="7F4905B1" w14:textId="77777777">
              <w:trPr>
                <w:trHeight w:val="60"/>
                <w:jc w:val="center"/>
              </w:trPr>
              <w:tc>
                <w:tcPr>
                  <w:tcW w:w="1116" w:type="dxa"/>
                  <w:vMerge/>
                  <w:vAlign w:val="center"/>
                </w:tcPr>
                <w:p w14:paraId="5784593C" w14:textId="77777777" w:rsidR="00F76A63" w:rsidRDefault="00F76A63">
                  <w:pPr>
                    <w:adjustRightInd w:val="0"/>
                    <w:snapToGrid w:val="0"/>
                    <w:jc w:val="center"/>
                    <w:rPr>
                      <w:szCs w:val="21"/>
                    </w:rPr>
                  </w:pPr>
                </w:p>
              </w:tc>
              <w:tc>
                <w:tcPr>
                  <w:tcW w:w="993" w:type="dxa"/>
                  <w:vMerge/>
                  <w:vAlign w:val="center"/>
                </w:tcPr>
                <w:p w14:paraId="0B603FE5" w14:textId="77777777" w:rsidR="00F76A63" w:rsidRDefault="00F76A63">
                  <w:pPr>
                    <w:adjustRightInd w:val="0"/>
                    <w:snapToGrid w:val="0"/>
                    <w:jc w:val="center"/>
                    <w:rPr>
                      <w:szCs w:val="21"/>
                    </w:rPr>
                  </w:pPr>
                </w:p>
              </w:tc>
              <w:tc>
                <w:tcPr>
                  <w:tcW w:w="1559" w:type="dxa"/>
                  <w:noWrap/>
                  <w:vAlign w:val="center"/>
                </w:tcPr>
                <w:p w14:paraId="067FF9A7" w14:textId="77777777" w:rsidR="00F76A63" w:rsidRDefault="00000000">
                  <w:pPr>
                    <w:adjustRightInd w:val="0"/>
                    <w:snapToGrid w:val="0"/>
                    <w:jc w:val="center"/>
                    <w:rPr>
                      <w:szCs w:val="21"/>
                    </w:rPr>
                  </w:pPr>
                  <w:r>
                    <w:rPr>
                      <w:szCs w:val="21"/>
                    </w:rPr>
                    <w:t>COD</w:t>
                  </w:r>
                </w:p>
              </w:tc>
              <w:tc>
                <w:tcPr>
                  <w:tcW w:w="1417" w:type="dxa"/>
                  <w:noWrap/>
                  <w:vAlign w:val="center"/>
                </w:tcPr>
                <w:p w14:paraId="76993DC0" w14:textId="77777777" w:rsidR="00F76A63" w:rsidRDefault="00000000">
                  <w:pPr>
                    <w:adjustRightInd w:val="0"/>
                    <w:snapToGrid w:val="0"/>
                    <w:jc w:val="center"/>
                    <w:rPr>
                      <w:szCs w:val="21"/>
                    </w:rPr>
                  </w:pPr>
                  <w:r>
                    <w:rPr>
                      <w:szCs w:val="21"/>
                    </w:rPr>
                    <w:t>600</w:t>
                  </w:r>
                </w:p>
              </w:tc>
              <w:tc>
                <w:tcPr>
                  <w:tcW w:w="1321" w:type="dxa"/>
                  <w:noWrap/>
                  <w:vAlign w:val="center"/>
                </w:tcPr>
                <w:p w14:paraId="6FE2F6E4" w14:textId="77777777" w:rsidR="00F76A63" w:rsidRDefault="00000000">
                  <w:pPr>
                    <w:adjustRightInd w:val="0"/>
                    <w:snapToGrid w:val="0"/>
                    <w:jc w:val="center"/>
                    <w:rPr>
                      <w:szCs w:val="21"/>
                    </w:rPr>
                  </w:pPr>
                  <w:r>
                    <w:rPr>
                      <w:szCs w:val="21"/>
                    </w:rPr>
                    <w:t>2.100</w:t>
                  </w:r>
                </w:p>
              </w:tc>
              <w:tc>
                <w:tcPr>
                  <w:tcW w:w="1787" w:type="dxa"/>
                  <w:vMerge/>
                  <w:vAlign w:val="center"/>
                </w:tcPr>
                <w:p w14:paraId="71268AAD" w14:textId="77777777" w:rsidR="00F76A63" w:rsidRDefault="00F76A63">
                  <w:pPr>
                    <w:adjustRightInd w:val="0"/>
                    <w:snapToGrid w:val="0"/>
                    <w:jc w:val="center"/>
                    <w:rPr>
                      <w:szCs w:val="21"/>
                    </w:rPr>
                  </w:pPr>
                </w:p>
              </w:tc>
              <w:tc>
                <w:tcPr>
                  <w:tcW w:w="1787" w:type="dxa"/>
                  <w:vMerge/>
                  <w:vAlign w:val="center"/>
                </w:tcPr>
                <w:p w14:paraId="6EA306CE" w14:textId="77777777" w:rsidR="00F76A63" w:rsidRDefault="00F76A63">
                  <w:pPr>
                    <w:adjustRightInd w:val="0"/>
                    <w:snapToGrid w:val="0"/>
                    <w:jc w:val="center"/>
                    <w:rPr>
                      <w:szCs w:val="21"/>
                    </w:rPr>
                  </w:pPr>
                </w:p>
              </w:tc>
            </w:tr>
            <w:tr w:rsidR="00F76A63" w14:paraId="2B97B063" w14:textId="77777777">
              <w:trPr>
                <w:trHeight w:val="60"/>
                <w:jc w:val="center"/>
              </w:trPr>
              <w:tc>
                <w:tcPr>
                  <w:tcW w:w="1116" w:type="dxa"/>
                  <w:vMerge/>
                  <w:vAlign w:val="center"/>
                </w:tcPr>
                <w:p w14:paraId="2F6C570E" w14:textId="77777777" w:rsidR="00F76A63" w:rsidRDefault="00F76A63">
                  <w:pPr>
                    <w:adjustRightInd w:val="0"/>
                    <w:snapToGrid w:val="0"/>
                    <w:jc w:val="center"/>
                    <w:rPr>
                      <w:szCs w:val="21"/>
                    </w:rPr>
                  </w:pPr>
                </w:p>
              </w:tc>
              <w:tc>
                <w:tcPr>
                  <w:tcW w:w="993" w:type="dxa"/>
                  <w:vMerge/>
                  <w:vAlign w:val="center"/>
                </w:tcPr>
                <w:p w14:paraId="6A548262" w14:textId="77777777" w:rsidR="00F76A63" w:rsidRDefault="00F76A63">
                  <w:pPr>
                    <w:adjustRightInd w:val="0"/>
                    <w:snapToGrid w:val="0"/>
                    <w:jc w:val="center"/>
                    <w:rPr>
                      <w:szCs w:val="21"/>
                    </w:rPr>
                  </w:pPr>
                </w:p>
              </w:tc>
              <w:tc>
                <w:tcPr>
                  <w:tcW w:w="1559" w:type="dxa"/>
                  <w:noWrap/>
                  <w:vAlign w:val="center"/>
                </w:tcPr>
                <w:p w14:paraId="471AE2B0" w14:textId="77777777" w:rsidR="00F76A63" w:rsidRDefault="00000000">
                  <w:pPr>
                    <w:adjustRightInd w:val="0"/>
                    <w:snapToGrid w:val="0"/>
                    <w:jc w:val="center"/>
                    <w:rPr>
                      <w:szCs w:val="21"/>
                    </w:rPr>
                  </w:pPr>
                  <w:r>
                    <w:rPr>
                      <w:szCs w:val="21"/>
                    </w:rPr>
                    <w:t>BOD₅</w:t>
                  </w:r>
                </w:p>
              </w:tc>
              <w:tc>
                <w:tcPr>
                  <w:tcW w:w="1417" w:type="dxa"/>
                  <w:noWrap/>
                  <w:vAlign w:val="center"/>
                </w:tcPr>
                <w:p w14:paraId="6D7741CB" w14:textId="77777777" w:rsidR="00F76A63" w:rsidRDefault="00000000">
                  <w:pPr>
                    <w:adjustRightInd w:val="0"/>
                    <w:snapToGrid w:val="0"/>
                    <w:jc w:val="center"/>
                    <w:rPr>
                      <w:szCs w:val="21"/>
                    </w:rPr>
                  </w:pPr>
                  <w:r>
                    <w:rPr>
                      <w:szCs w:val="21"/>
                    </w:rPr>
                    <w:t>180</w:t>
                  </w:r>
                </w:p>
              </w:tc>
              <w:tc>
                <w:tcPr>
                  <w:tcW w:w="1321" w:type="dxa"/>
                  <w:noWrap/>
                  <w:vAlign w:val="center"/>
                </w:tcPr>
                <w:p w14:paraId="1323EA02" w14:textId="77777777" w:rsidR="00F76A63" w:rsidRDefault="00000000">
                  <w:pPr>
                    <w:adjustRightInd w:val="0"/>
                    <w:snapToGrid w:val="0"/>
                    <w:jc w:val="center"/>
                    <w:rPr>
                      <w:szCs w:val="21"/>
                    </w:rPr>
                  </w:pPr>
                  <w:r>
                    <w:rPr>
                      <w:szCs w:val="21"/>
                    </w:rPr>
                    <w:t>0.630</w:t>
                  </w:r>
                </w:p>
              </w:tc>
              <w:tc>
                <w:tcPr>
                  <w:tcW w:w="1787" w:type="dxa"/>
                  <w:vMerge/>
                  <w:vAlign w:val="center"/>
                </w:tcPr>
                <w:p w14:paraId="63D4F982" w14:textId="77777777" w:rsidR="00F76A63" w:rsidRDefault="00F76A63">
                  <w:pPr>
                    <w:adjustRightInd w:val="0"/>
                    <w:snapToGrid w:val="0"/>
                    <w:jc w:val="center"/>
                    <w:rPr>
                      <w:szCs w:val="21"/>
                    </w:rPr>
                  </w:pPr>
                </w:p>
              </w:tc>
              <w:tc>
                <w:tcPr>
                  <w:tcW w:w="1787" w:type="dxa"/>
                  <w:vMerge/>
                  <w:vAlign w:val="center"/>
                </w:tcPr>
                <w:p w14:paraId="7C74E590" w14:textId="77777777" w:rsidR="00F76A63" w:rsidRDefault="00F76A63">
                  <w:pPr>
                    <w:adjustRightInd w:val="0"/>
                    <w:snapToGrid w:val="0"/>
                    <w:jc w:val="center"/>
                    <w:rPr>
                      <w:szCs w:val="21"/>
                    </w:rPr>
                  </w:pPr>
                </w:p>
              </w:tc>
            </w:tr>
            <w:tr w:rsidR="00F76A63" w14:paraId="02C3E661" w14:textId="77777777">
              <w:trPr>
                <w:trHeight w:val="70"/>
                <w:jc w:val="center"/>
              </w:trPr>
              <w:tc>
                <w:tcPr>
                  <w:tcW w:w="1116" w:type="dxa"/>
                  <w:vMerge/>
                  <w:vAlign w:val="center"/>
                </w:tcPr>
                <w:p w14:paraId="75568F2B" w14:textId="77777777" w:rsidR="00F76A63" w:rsidRDefault="00F76A63">
                  <w:pPr>
                    <w:adjustRightInd w:val="0"/>
                    <w:snapToGrid w:val="0"/>
                    <w:jc w:val="center"/>
                    <w:rPr>
                      <w:szCs w:val="21"/>
                    </w:rPr>
                  </w:pPr>
                </w:p>
              </w:tc>
              <w:tc>
                <w:tcPr>
                  <w:tcW w:w="993" w:type="dxa"/>
                  <w:vMerge/>
                  <w:vAlign w:val="center"/>
                </w:tcPr>
                <w:p w14:paraId="14BF5039" w14:textId="77777777" w:rsidR="00F76A63" w:rsidRDefault="00F76A63">
                  <w:pPr>
                    <w:adjustRightInd w:val="0"/>
                    <w:snapToGrid w:val="0"/>
                    <w:jc w:val="center"/>
                    <w:rPr>
                      <w:szCs w:val="21"/>
                    </w:rPr>
                  </w:pPr>
                </w:p>
              </w:tc>
              <w:tc>
                <w:tcPr>
                  <w:tcW w:w="1559" w:type="dxa"/>
                  <w:noWrap/>
                  <w:vAlign w:val="center"/>
                </w:tcPr>
                <w:p w14:paraId="0A7547E4" w14:textId="77777777" w:rsidR="00F76A63" w:rsidRDefault="00000000">
                  <w:pPr>
                    <w:adjustRightInd w:val="0"/>
                    <w:snapToGrid w:val="0"/>
                    <w:jc w:val="center"/>
                    <w:rPr>
                      <w:szCs w:val="21"/>
                    </w:rPr>
                  </w:pPr>
                  <w:r>
                    <w:rPr>
                      <w:szCs w:val="21"/>
                    </w:rPr>
                    <w:t>氨氮</w:t>
                  </w:r>
                </w:p>
              </w:tc>
              <w:tc>
                <w:tcPr>
                  <w:tcW w:w="1417" w:type="dxa"/>
                  <w:noWrap/>
                  <w:vAlign w:val="center"/>
                </w:tcPr>
                <w:p w14:paraId="5053BD9C" w14:textId="77777777" w:rsidR="00F76A63" w:rsidRDefault="00000000">
                  <w:pPr>
                    <w:adjustRightInd w:val="0"/>
                    <w:snapToGrid w:val="0"/>
                    <w:jc w:val="center"/>
                    <w:rPr>
                      <w:szCs w:val="21"/>
                    </w:rPr>
                  </w:pPr>
                  <w:r>
                    <w:rPr>
                      <w:szCs w:val="21"/>
                    </w:rPr>
                    <w:t>60</w:t>
                  </w:r>
                </w:p>
              </w:tc>
              <w:tc>
                <w:tcPr>
                  <w:tcW w:w="1321" w:type="dxa"/>
                  <w:noWrap/>
                  <w:vAlign w:val="center"/>
                </w:tcPr>
                <w:p w14:paraId="379DE3F6" w14:textId="77777777" w:rsidR="00F76A63" w:rsidRDefault="00000000">
                  <w:pPr>
                    <w:adjustRightInd w:val="0"/>
                    <w:snapToGrid w:val="0"/>
                    <w:jc w:val="center"/>
                    <w:rPr>
                      <w:szCs w:val="21"/>
                    </w:rPr>
                  </w:pPr>
                  <w:r>
                    <w:rPr>
                      <w:szCs w:val="21"/>
                    </w:rPr>
                    <w:t>0.210</w:t>
                  </w:r>
                </w:p>
              </w:tc>
              <w:tc>
                <w:tcPr>
                  <w:tcW w:w="1787" w:type="dxa"/>
                  <w:vMerge/>
                  <w:vAlign w:val="center"/>
                </w:tcPr>
                <w:p w14:paraId="3F3F297C" w14:textId="77777777" w:rsidR="00F76A63" w:rsidRDefault="00F76A63">
                  <w:pPr>
                    <w:adjustRightInd w:val="0"/>
                    <w:snapToGrid w:val="0"/>
                    <w:jc w:val="center"/>
                    <w:rPr>
                      <w:szCs w:val="21"/>
                    </w:rPr>
                  </w:pPr>
                </w:p>
              </w:tc>
              <w:tc>
                <w:tcPr>
                  <w:tcW w:w="1787" w:type="dxa"/>
                  <w:vMerge/>
                  <w:vAlign w:val="center"/>
                </w:tcPr>
                <w:p w14:paraId="75276112" w14:textId="77777777" w:rsidR="00F76A63" w:rsidRDefault="00F76A63">
                  <w:pPr>
                    <w:adjustRightInd w:val="0"/>
                    <w:snapToGrid w:val="0"/>
                    <w:jc w:val="center"/>
                    <w:rPr>
                      <w:szCs w:val="21"/>
                    </w:rPr>
                  </w:pPr>
                </w:p>
              </w:tc>
            </w:tr>
            <w:tr w:rsidR="00F76A63" w14:paraId="5C031C2E" w14:textId="77777777">
              <w:trPr>
                <w:trHeight w:val="60"/>
                <w:jc w:val="center"/>
              </w:trPr>
              <w:tc>
                <w:tcPr>
                  <w:tcW w:w="1116" w:type="dxa"/>
                  <w:vMerge/>
                  <w:noWrap/>
                  <w:vAlign w:val="center"/>
                </w:tcPr>
                <w:p w14:paraId="3069CE03" w14:textId="77777777" w:rsidR="00F76A63" w:rsidRDefault="00F76A63">
                  <w:pPr>
                    <w:adjustRightInd w:val="0"/>
                    <w:snapToGrid w:val="0"/>
                    <w:jc w:val="center"/>
                    <w:rPr>
                      <w:szCs w:val="21"/>
                    </w:rPr>
                  </w:pPr>
                </w:p>
              </w:tc>
              <w:tc>
                <w:tcPr>
                  <w:tcW w:w="993" w:type="dxa"/>
                  <w:vMerge/>
                  <w:noWrap/>
                  <w:vAlign w:val="center"/>
                </w:tcPr>
                <w:p w14:paraId="66111A76" w14:textId="77777777" w:rsidR="00F76A63" w:rsidRDefault="00F76A63">
                  <w:pPr>
                    <w:adjustRightInd w:val="0"/>
                    <w:snapToGrid w:val="0"/>
                    <w:jc w:val="center"/>
                    <w:rPr>
                      <w:szCs w:val="21"/>
                    </w:rPr>
                  </w:pPr>
                </w:p>
              </w:tc>
              <w:tc>
                <w:tcPr>
                  <w:tcW w:w="1559" w:type="dxa"/>
                  <w:noWrap/>
                  <w:vAlign w:val="center"/>
                </w:tcPr>
                <w:p w14:paraId="39311BC0" w14:textId="77777777" w:rsidR="00F76A63" w:rsidRDefault="00000000">
                  <w:pPr>
                    <w:adjustRightInd w:val="0"/>
                    <w:snapToGrid w:val="0"/>
                    <w:jc w:val="center"/>
                    <w:rPr>
                      <w:szCs w:val="21"/>
                    </w:rPr>
                  </w:pPr>
                  <w:r>
                    <w:rPr>
                      <w:szCs w:val="21"/>
                    </w:rPr>
                    <w:t>总氮</w:t>
                  </w:r>
                </w:p>
              </w:tc>
              <w:tc>
                <w:tcPr>
                  <w:tcW w:w="1417" w:type="dxa"/>
                  <w:noWrap/>
                  <w:vAlign w:val="center"/>
                </w:tcPr>
                <w:p w14:paraId="2C026A65" w14:textId="77777777" w:rsidR="00F76A63" w:rsidRDefault="00000000">
                  <w:pPr>
                    <w:adjustRightInd w:val="0"/>
                    <w:snapToGrid w:val="0"/>
                    <w:jc w:val="center"/>
                    <w:rPr>
                      <w:szCs w:val="21"/>
                    </w:rPr>
                  </w:pPr>
                  <w:r>
                    <w:rPr>
                      <w:szCs w:val="21"/>
                    </w:rPr>
                    <w:t>90</w:t>
                  </w:r>
                </w:p>
              </w:tc>
              <w:tc>
                <w:tcPr>
                  <w:tcW w:w="1321" w:type="dxa"/>
                  <w:noWrap/>
                  <w:vAlign w:val="center"/>
                </w:tcPr>
                <w:p w14:paraId="73B86FC4" w14:textId="77777777" w:rsidR="00F76A63" w:rsidRDefault="00000000">
                  <w:pPr>
                    <w:adjustRightInd w:val="0"/>
                    <w:snapToGrid w:val="0"/>
                    <w:jc w:val="center"/>
                    <w:rPr>
                      <w:szCs w:val="21"/>
                    </w:rPr>
                  </w:pPr>
                  <w:r>
                    <w:rPr>
                      <w:szCs w:val="21"/>
                    </w:rPr>
                    <w:t>0.315</w:t>
                  </w:r>
                </w:p>
              </w:tc>
              <w:tc>
                <w:tcPr>
                  <w:tcW w:w="1787" w:type="dxa"/>
                  <w:vMerge/>
                  <w:vAlign w:val="center"/>
                </w:tcPr>
                <w:p w14:paraId="05A4B28F" w14:textId="77777777" w:rsidR="00F76A63" w:rsidRDefault="00F76A63">
                  <w:pPr>
                    <w:adjustRightInd w:val="0"/>
                    <w:snapToGrid w:val="0"/>
                    <w:jc w:val="center"/>
                    <w:rPr>
                      <w:szCs w:val="21"/>
                    </w:rPr>
                  </w:pPr>
                </w:p>
              </w:tc>
              <w:tc>
                <w:tcPr>
                  <w:tcW w:w="1787" w:type="dxa"/>
                  <w:vMerge/>
                  <w:vAlign w:val="center"/>
                </w:tcPr>
                <w:p w14:paraId="1A62D146" w14:textId="77777777" w:rsidR="00F76A63" w:rsidRDefault="00F76A63">
                  <w:pPr>
                    <w:adjustRightInd w:val="0"/>
                    <w:snapToGrid w:val="0"/>
                    <w:jc w:val="center"/>
                    <w:rPr>
                      <w:szCs w:val="21"/>
                    </w:rPr>
                  </w:pPr>
                </w:p>
              </w:tc>
            </w:tr>
            <w:tr w:rsidR="00F76A63" w14:paraId="4B5833CB" w14:textId="77777777">
              <w:trPr>
                <w:trHeight w:val="315"/>
                <w:jc w:val="center"/>
              </w:trPr>
              <w:tc>
                <w:tcPr>
                  <w:tcW w:w="1116" w:type="dxa"/>
                  <w:vMerge/>
                  <w:vAlign w:val="center"/>
                </w:tcPr>
                <w:p w14:paraId="7E5D01ED" w14:textId="77777777" w:rsidR="00F76A63" w:rsidRDefault="00F76A63">
                  <w:pPr>
                    <w:adjustRightInd w:val="0"/>
                    <w:snapToGrid w:val="0"/>
                    <w:jc w:val="center"/>
                    <w:rPr>
                      <w:szCs w:val="21"/>
                    </w:rPr>
                  </w:pPr>
                </w:p>
              </w:tc>
              <w:tc>
                <w:tcPr>
                  <w:tcW w:w="993" w:type="dxa"/>
                  <w:vMerge/>
                  <w:vAlign w:val="center"/>
                </w:tcPr>
                <w:p w14:paraId="511FCC8B" w14:textId="77777777" w:rsidR="00F76A63" w:rsidRDefault="00F76A63">
                  <w:pPr>
                    <w:adjustRightInd w:val="0"/>
                    <w:snapToGrid w:val="0"/>
                    <w:jc w:val="center"/>
                    <w:rPr>
                      <w:szCs w:val="21"/>
                    </w:rPr>
                  </w:pPr>
                </w:p>
              </w:tc>
              <w:tc>
                <w:tcPr>
                  <w:tcW w:w="1559" w:type="dxa"/>
                  <w:noWrap/>
                  <w:vAlign w:val="center"/>
                </w:tcPr>
                <w:p w14:paraId="4BF6DC9E" w14:textId="77777777" w:rsidR="00F76A63" w:rsidRDefault="00000000">
                  <w:pPr>
                    <w:adjustRightInd w:val="0"/>
                    <w:snapToGrid w:val="0"/>
                    <w:jc w:val="center"/>
                    <w:rPr>
                      <w:szCs w:val="21"/>
                    </w:rPr>
                  </w:pPr>
                  <w:r>
                    <w:rPr>
                      <w:szCs w:val="21"/>
                    </w:rPr>
                    <w:t>总磷</w:t>
                  </w:r>
                </w:p>
              </w:tc>
              <w:tc>
                <w:tcPr>
                  <w:tcW w:w="1417" w:type="dxa"/>
                  <w:noWrap/>
                  <w:vAlign w:val="center"/>
                </w:tcPr>
                <w:p w14:paraId="587A775B" w14:textId="77777777" w:rsidR="00F76A63" w:rsidRDefault="00000000">
                  <w:pPr>
                    <w:adjustRightInd w:val="0"/>
                    <w:snapToGrid w:val="0"/>
                    <w:jc w:val="center"/>
                    <w:rPr>
                      <w:szCs w:val="21"/>
                    </w:rPr>
                  </w:pPr>
                  <w:r>
                    <w:rPr>
                      <w:szCs w:val="21"/>
                    </w:rPr>
                    <w:t>8</w:t>
                  </w:r>
                </w:p>
              </w:tc>
              <w:tc>
                <w:tcPr>
                  <w:tcW w:w="1321" w:type="dxa"/>
                  <w:noWrap/>
                  <w:vAlign w:val="center"/>
                </w:tcPr>
                <w:p w14:paraId="6D41D5B7" w14:textId="77777777" w:rsidR="00F76A63" w:rsidRDefault="00000000">
                  <w:pPr>
                    <w:adjustRightInd w:val="0"/>
                    <w:snapToGrid w:val="0"/>
                    <w:jc w:val="center"/>
                    <w:rPr>
                      <w:szCs w:val="21"/>
                    </w:rPr>
                  </w:pPr>
                  <w:r>
                    <w:rPr>
                      <w:szCs w:val="21"/>
                    </w:rPr>
                    <w:t>0.028</w:t>
                  </w:r>
                </w:p>
              </w:tc>
              <w:tc>
                <w:tcPr>
                  <w:tcW w:w="1787" w:type="dxa"/>
                  <w:vMerge/>
                  <w:vAlign w:val="center"/>
                </w:tcPr>
                <w:p w14:paraId="11B0D0C2" w14:textId="77777777" w:rsidR="00F76A63" w:rsidRDefault="00F76A63">
                  <w:pPr>
                    <w:adjustRightInd w:val="0"/>
                    <w:snapToGrid w:val="0"/>
                    <w:jc w:val="center"/>
                    <w:rPr>
                      <w:szCs w:val="21"/>
                    </w:rPr>
                  </w:pPr>
                </w:p>
              </w:tc>
              <w:tc>
                <w:tcPr>
                  <w:tcW w:w="1787" w:type="dxa"/>
                  <w:vMerge/>
                  <w:vAlign w:val="center"/>
                </w:tcPr>
                <w:p w14:paraId="47455EF2" w14:textId="77777777" w:rsidR="00F76A63" w:rsidRDefault="00F76A63">
                  <w:pPr>
                    <w:adjustRightInd w:val="0"/>
                    <w:snapToGrid w:val="0"/>
                    <w:jc w:val="center"/>
                    <w:rPr>
                      <w:szCs w:val="21"/>
                    </w:rPr>
                  </w:pPr>
                </w:p>
              </w:tc>
            </w:tr>
            <w:tr w:rsidR="00F76A63" w14:paraId="718605DD" w14:textId="77777777">
              <w:trPr>
                <w:trHeight w:val="60"/>
                <w:jc w:val="center"/>
              </w:trPr>
              <w:tc>
                <w:tcPr>
                  <w:tcW w:w="1116" w:type="dxa"/>
                  <w:vMerge/>
                  <w:vAlign w:val="center"/>
                </w:tcPr>
                <w:p w14:paraId="11C7D056" w14:textId="77777777" w:rsidR="00F76A63" w:rsidRDefault="00F76A63">
                  <w:pPr>
                    <w:adjustRightInd w:val="0"/>
                    <w:snapToGrid w:val="0"/>
                    <w:jc w:val="center"/>
                    <w:rPr>
                      <w:szCs w:val="21"/>
                    </w:rPr>
                  </w:pPr>
                </w:p>
              </w:tc>
              <w:tc>
                <w:tcPr>
                  <w:tcW w:w="993" w:type="dxa"/>
                  <w:vMerge/>
                  <w:vAlign w:val="center"/>
                </w:tcPr>
                <w:p w14:paraId="399021B3" w14:textId="77777777" w:rsidR="00F76A63" w:rsidRDefault="00F76A63">
                  <w:pPr>
                    <w:adjustRightInd w:val="0"/>
                    <w:snapToGrid w:val="0"/>
                    <w:jc w:val="center"/>
                    <w:rPr>
                      <w:szCs w:val="21"/>
                    </w:rPr>
                  </w:pPr>
                </w:p>
              </w:tc>
              <w:tc>
                <w:tcPr>
                  <w:tcW w:w="1559" w:type="dxa"/>
                  <w:noWrap/>
                  <w:vAlign w:val="center"/>
                </w:tcPr>
                <w:p w14:paraId="69699B2E" w14:textId="77777777" w:rsidR="00F76A63" w:rsidRDefault="00000000">
                  <w:pPr>
                    <w:adjustRightInd w:val="0"/>
                    <w:snapToGrid w:val="0"/>
                    <w:jc w:val="center"/>
                    <w:rPr>
                      <w:szCs w:val="21"/>
                    </w:rPr>
                  </w:pPr>
                  <w:r>
                    <w:rPr>
                      <w:szCs w:val="21"/>
                    </w:rPr>
                    <w:t>氯离子</w:t>
                  </w:r>
                </w:p>
              </w:tc>
              <w:tc>
                <w:tcPr>
                  <w:tcW w:w="1417" w:type="dxa"/>
                  <w:noWrap/>
                  <w:vAlign w:val="center"/>
                </w:tcPr>
                <w:p w14:paraId="137314AC" w14:textId="77777777" w:rsidR="00F76A63" w:rsidRDefault="00000000">
                  <w:pPr>
                    <w:adjustRightInd w:val="0"/>
                    <w:snapToGrid w:val="0"/>
                    <w:jc w:val="center"/>
                    <w:rPr>
                      <w:szCs w:val="21"/>
                    </w:rPr>
                  </w:pPr>
                  <w:r>
                    <w:rPr>
                      <w:szCs w:val="21"/>
                    </w:rPr>
                    <w:t>200</w:t>
                  </w:r>
                </w:p>
              </w:tc>
              <w:tc>
                <w:tcPr>
                  <w:tcW w:w="1321" w:type="dxa"/>
                  <w:noWrap/>
                  <w:vAlign w:val="center"/>
                </w:tcPr>
                <w:p w14:paraId="40ECBF9C" w14:textId="77777777" w:rsidR="00F76A63" w:rsidRDefault="00000000">
                  <w:pPr>
                    <w:adjustRightInd w:val="0"/>
                    <w:snapToGrid w:val="0"/>
                    <w:jc w:val="center"/>
                    <w:rPr>
                      <w:szCs w:val="21"/>
                    </w:rPr>
                  </w:pPr>
                  <w:r>
                    <w:rPr>
                      <w:szCs w:val="21"/>
                    </w:rPr>
                    <w:t>0.700</w:t>
                  </w:r>
                </w:p>
              </w:tc>
              <w:tc>
                <w:tcPr>
                  <w:tcW w:w="1787" w:type="dxa"/>
                  <w:vMerge/>
                  <w:vAlign w:val="center"/>
                </w:tcPr>
                <w:p w14:paraId="557F9531" w14:textId="77777777" w:rsidR="00F76A63" w:rsidRDefault="00F76A63">
                  <w:pPr>
                    <w:adjustRightInd w:val="0"/>
                    <w:snapToGrid w:val="0"/>
                    <w:jc w:val="center"/>
                    <w:rPr>
                      <w:szCs w:val="21"/>
                    </w:rPr>
                  </w:pPr>
                </w:p>
              </w:tc>
              <w:tc>
                <w:tcPr>
                  <w:tcW w:w="1787" w:type="dxa"/>
                  <w:vMerge/>
                  <w:vAlign w:val="center"/>
                </w:tcPr>
                <w:p w14:paraId="1A8B6A9F" w14:textId="77777777" w:rsidR="00F76A63" w:rsidRDefault="00F76A63">
                  <w:pPr>
                    <w:adjustRightInd w:val="0"/>
                    <w:snapToGrid w:val="0"/>
                    <w:jc w:val="center"/>
                    <w:rPr>
                      <w:szCs w:val="21"/>
                    </w:rPr>
                  </w:pPr>
                </w:p>
              </w:tc>
            </w:tr>
            <w:tr w:rsidR="00F76A63" w14:paraId="13A71AC5" w14:textId="77777777">
              <w:trPr>
                <w:trHeight w:val="60"/>
                <w:jc w:val="center"/>
              </w:trPr>
              <w:tc>
                <w:tcPr>
                  <w:tcW w:w="1116" w:type="dxa"/>
                  <w:vMerge/>
                  <w:vAlign w:val="center"/>
                </w:tcPr>
                <w:p w14:paraId="3D9BE0A7" w14:textId="77777777" w:rsidR="00F76A63" w:rsidRDefault="00F76A63">
                  <w:pPr>
                    <w:adjustRightInd w:val="0"/>
                    <w:snapToGrid w:val="0"/>
                    <w:jc w:val="center"/>
                    <w:rPr>
                      <w:szCs w:val="21"/>
                    </w:rPr>
                  </w:pPr>
                </w:p>
              </w:tc>
              <w:tc>
                <w:tcPr>
                  <w:tcW w:w="993" w:type="dxa"/>
                  <w:vMerge/>
                  <w:vAlign w:val="center"/>
                </w:tcPr>
                <w:p w14:paraId="200639C4" w14:textId="77777777" w:rsidR="00F76A63" w:rsidRDefault="00F76A63">
                  <w:pPr>
                    <w:adjustRightInd w:val="0"/>
                    <w:snapToGrid w:val="0"/>
                    <w:jc w:val="center"/>
                    <w:rPr>
                      <w:szCs w:val="21"/>
                    </w:rPr>
                  </w:pPr>
                </w:p>
              </w:tc>
              <w:tc>
                <w:tcPr>
                  <w:tcW w:w="1559" w:type="dxa"/>
                  <w:noWrap/>
                  <w:vAlign w:val="center"/>
                </w:tcPr>
                <w:p w14:paraId="29E2D88A" w14:textId="77777777" w:rsidR="00F76A63" w:rsidRDefault="00000000">
                  <w:pPr>
                    <w:adjustRightInd w:val="0"/>
                    <w:snapToGrid w:val="0"/>
                    <w:jc w:val="center"/>
                    <w:rPr>
                      <w:szCs w:val="21"/>
                    </w:rPr>
                  </w:pPr>
                  <w:r>
                    <w:rPr>
                      <w:szCs w:val="21"/>
                    </w:rPr>
                    <w:t>硫酸盐</w:t>
                  </w:r>
                </w:p>
              </w:tc>
              <w:tc>
                <w:tcPr>
                  <w:tcW w:w="1417" w:type="dxa"/>
                  <w:noWrap/>
                  <w:vAlign w:val="center"/>
                </w:tcPr>
                <w:p w14:paraId="7E99F2C8" w14:textId="77777777" w:rsidR="00F76A63" w:rsidRDefault="00000000">
                  <w:pPr>
                    <w:adjustRightInd w:val="0"/>
                    <w:snapToGrid w:val="0"/>
                    <w:jc w:val="center"/>
                    <w:rPr>
                      <w:szCs w:val="21"/>
                    </w:rPr>
                  </w:pPr>
                  <w:r>
                    <w:rPr>
                      <w:szCs w:val="21"/>
                    </w:rPr>
                    <w:t>500</w:t>
                  </w:r>
                </w:p>
              </w:tc>
              <w:tc>
                <w:tcPr>
                  <w:tcW w:w="1321" w:type="dxa"/>
                  <w:noWrap/>
                  <w:vAlign w:val="center"/>
                </w:tcPr>
                <w:p w14:paraId="7303DBE3" w14:textId="77777777" w:rsidR="00F76A63" w:rsidRDefault="00000000">
                  <w:pPr>
                    <w:adjustRightInd w:val="0"/>
                    <w:snapToGrid w:val="0"/>
                    <w:jc w:val="center"/>
                    <w:rPr>
                      <w:szCs w:val="21"/>
                    </w:rPr>
                  </w:pPr>
                  <w:r>
                    <w:rPr>
                      <w:szCs w:val="21"/>
                    </w:rPr>
                    <w:t>1.750</w:t>
                  </w:r>
                </w:p>
              </w:tc>
              <w:tc>
                <w:tcPr>
                  <w:tcW w:w="1787" w:type="dxa"/>
                  <w:vMerge/>
                  <w:vAlign w:val="center"/>
                </w:tcPr>
                <w:p w14:paraId="76178FC5" w14:textId="77777777" w:rsidR="00F76A63" w:rsidRDefault="00F76A63">
                  <w:pPr>
                    <w:adjustRightInd w:val="0"/>
                    <w:snapToGrid w:val="0"/>
                    <w:jc w:val="center"/>
                    <w:rPr>
                      <w:szCs w:val="21"/>
                    </w:rPr>
                  </w:pPr>
                </w:p>
              </w:tc>
              <w:tc>
                <w:tcPr>
                  <w:tcW w:w="1787" w:type="dxa"/>
                  <w:vMerge/>
                  <w:vAlign w:val="center"/>
                </w:tcPr>
                <w:p w14:paraId="00F35F99" w14:textId="77777777" w:rsidR="00F76A63" w:rsidRDefault="00F76A63">
                  <w:pPr>
                    <w:adjustRightInd w:val="0"/>
                    <w:snapToGrid w:val="0"/>
                    <w:jc w:val="center"/>
                    <w:rPr>
                      <w:szCs w:val="21"/>
                    </w:rPr>
                  </w:pPr>
                </w:p>
              </w:tc>
            </w:tr>
            <w:tr w:rsidR="00F76A63" w14:paraId="2E0E6E52" w14:textId="77777777">
              <w:trPr>
                <w:trHeight w:val="60"/>
                <w:jc w:val="center"/>
              </w:trPr>
              <w:tc>
                <w:tcPr>
                  <w:tcW w:w="1116" w:type="dxa"/>
                  <w:vMerge/>
                  <w:vAlign w:val="center"/>
                </w:tcPr>
                <w:p w14:paraId="0CBAB529" w14:textId="77777777" w:rsidR="00F76A63" w:rsidRDefault="00F76A63">
                  <w:pPr>
                    <w:adjustRightInd w:val="0"/>
                    <w:snapToGrid w:val="0"/>
                    <w:jc w:val="center"/>
                    <w:rPr>
                      <w:szCs w:val="21"/>
                    </w:rPr>
                  </w:pPr>
                </w:p>
              </w:tc>
              <w:tc>
                <w:tcPr>
                  <w:tcW w:w="993" w:type="dxa"/>
                  <w:vMerge/>
                  <w:vAlign w:val="center"/>
                </w:tcPr>
                <w:p w14:paraId="71C4B0B5" w14:textId="77777777" w:rsidR="00F76A63" w:rsidRDefault="00F76A63">
                  <w:pPr>
                    <w:adjustRightInd w:val="0"/>
                    <w:snapToGrid w:val="0"/>
                    <w:jc w:val="center"/>
                    <w:rPr>
                      <w:szCs w:val="21"/>
                    </w:rPr>
                  </w:pPr>
                </w:p>
              </w:tc>
              <w:tc>
                <w:tcPr>
                  <w:tcW w:w="1559" w:type="dxa"/>
                  <w:noWrap/>
                  <w:vAlign w:val="center"/>
                </w:tcPr>
                <w:p w14:paraId="21BC0AE7" w14:textId="77777777" w:rsidR="00F76A63" w:rsidRDefault="00000000">
                  <w:pPr>
                    <w:adjustRightInd w:val="0"/>
                    <w:snapToGrid w:val="0"/>
                    <w:jc w:val="center"/>
                    <w:rPr>
                      <w:szCs w:val="21"/>
                    </w:rPr>
                  </w:pPr>
                  <w:r>
                    <w:rPr>
                      <w:szCs w:val="21"/>
                    </w:rPr>
                    <w:t>总铅</w:t>
                  </w:r>
                </w:p>
              </w:tc>
              <w:tc>
                <w:tcPr>
                  <w:tcW w:w="1417" w:type="dxa"/>
                  <w:noWrap/>
                  <w:vAlign w:val="center"/>
                </w:tcPr>
                <w:p w14:paraId="45FAF471" w14:textId="77777777" w:rsidR="00F76A63" w:rsidRDefault="00000000">
                  <w:pPr>
                    <w:adjustRightInd w:val="0"/>
                    <w:snapToGrid w:val="0"/>
                    <w:jc w:val="center"/>
                    <w:rPr>
                      <w:szCs w:val="21"/>
                    </w:rPr>
                  </w:pPr>
                  <w:r>
                    <w:rPr>
                      <w:szCs w:val="21"/>
                    </w:rPr>
                    <w:t>0.3</w:t>
                  </w:r>
                </w:p>
              </w:tc>
              <w:tc>
                <w:tcPr>
                  <w:tcW w:w="1321" w:type="dxa"/>
                  <w:noWrap/>
                  <w:vAlign w:val="center"/>
                </w:tcPr>
                <w:p w14:paraId="4780798D" w14:textId="77777777" w:rsidR="00F76A63" w:rsidRDefault="00000000">
                  <w:pPr>
                    <w:adjustRightInd w:val="0"/>
                    <w:snapToGrid w:val="0"/>
                    <w:jc w:val="center"/>
                    <w:rPr>
                      <w:szCs w:val="21"/>
                    </w:rPr>
                  </w:pPr>
                  <w:r>
                    <w:rPr>
                      <w:szCs w:val="21"/>
                    </w:rPr>
                    <w:t>0.0011</w:t>
                  </w:r>
                </w:p>
              </w:tc>
              <w:tc>
                <w:tcPr>
                  <w:tcW w:w="1787" w:type="dxa"/>
                  <w:vMerge/>
                  <w:vAlign w:val="center"/>
                </w:tcPr>
                <w:p w14:paraId="26C402A5" w14:textId="77777777" w:rsidR="00F76A63" w:rsidRDefault="00F76A63">
                  <w:pPr>
                    <w:adjustRightInd w:val="0"/>
                    <w:snapToGrid w:val="0"/>
                    <w:jc w:val="center"/>
                    <w:rPr>
                      <w:szCs w:val="21"/>
                    </w:rPr>
                  </w:pPr>
                </w:p>
              </w:tc>
              <w:tc>
                <w:tcPr>
                  <w:tcW w:w="1787" w:type="dxa"/>
                  <w:vMerge/>
                  <w:vAlign w:val="center"/>
                </w:tcPr>
                <w:p w14:paraId="48A64769" w14:textId="77777777" w:rsidR="00F76A63" w:rsidRDefault="00F76A63">
                  <w:pPr>
                    <w:adjustRightInd w:val="0"/>
                    <w:snapToGrid w:val="0"/>
                    <w:jc w:val="center"/>
                    <w:rPr>
                      <w:szCs w:val="21"/>
                    </w:rPr>
                  </w:pPr>
                </w:p>
              </w:tc>
            </w:tr>
            <w:tr w:rsidR="00F76A63" w14:paraId="39F56A43" w14:textId="77777777">
              <w:trPr>
                <w:trHeight w:val="60"/>
                <w:jc w:val="center"/>
              </w:trPr>
              <w:tc>
                <w:tcPr>
                  <w:tcW w:w="1116" w:type="dxa"/>
                  <w:vMerge/>
                  <w:vAlign w:val="center"/>
                </w:tcPr>
                <w:p w14:paraId="7AAB1E32" w14:textId="77777777" w:rsidR="00F76A63" w:rsidRDefault="00F76A63">
                  <w:pPr>
                    <w:adjustRightInd w:val="0"/>
                    <w:snapToGrid w:val="0"/>
                    <w:jc w:val="center"/>
                    <w:rPr>
                      <w:szCs w:val="21"/>
                    </w:rPr>
                  </w:pPr>
                </w:p>
              </w:tc>
              <w:tc>
                <w:tcPr>
                  <w:tcW w:w="993" w:type="dxa"/>
                  <w:vMerge/>
                  <w:vAlign w:val="center"/>
                </w:tcPr>
                <w:p w14:paraId="11B25F46" w14:textId="77777777" w:rsidR="00F76A63" w:rsidRDefault="00F76A63">
                  <w:pPr>
                    <w:adjustRightInd w:val="0"/>
                    <w:snapToGrid w:val="0"/>
                    <w:jc w:val="center"/>
                    <w:rPr>
                      <w:szCs w:val="21"/>
                    </w:rPr>
                  </w:pPr>
                </w:p>
              </w:tc>
              <w:tc>
                <w:tcPr>
                  <w:tcW w:w="1559" w:type="dxa"/>
                  <w:noWrap/>
                  <w:vAlign w:val="center"/>
                </w:tcPr>
                <w:p w14:paraId="02FDC4B2" w14:textId="77777777" w:rsidR="00F76A63" w:rsidRDefault="00000000">
                  <w:pPr>
                    <w:adjustRightInd w:val="0"/>
                    <w:snapToGrid w:val="0"/>
                    <w:jc w:val="center"/>
                    <w:rPr>
                      <w:szCs w:val="21"/>
                    </w:rPr>
                  </w:pPr>
                  <w:r>
                    <w:rPr>
                      <w:szCs w:val="21"/>
                    </w:rPr>
                    <w:t>总砷</w:t>
                  </w:r>
                </w:p>
              </w:tc>
              <w:tc>
                <w:tcPr>
                  <w:tcW w:w="1417" w:type="dxa"/>
                  <w:noWrap/>
                  <w:vAlign w:val="center"/>
                </w:tcPr>
                <w:p w14:paraId="5C6F7FFC" w14:textId="77777777" w:rsidR="00F76A63" w:rsidRDefault="00000000">
                  <w:pPr>
                    <w:adjustRightInd w:val="0"/>
                    <w:snapToGrid w:val="0"/>
                    <w:jc w:val="center"/>
                    <w:rPr>
                      <w:szCs w:val="21"/>
                    </w:rPr>
                  </w:pPr>
                  <w:r>
                    <w:rPr>
                      <w:szCs w:val="21"/>
                    </w:rPr>
                    <w:t>0.2</w:t>
                  </w:r>
                </w:p>
              </w:tc>
              <w:tc>
                <w:tcPr>
                  <w:tcW w:w="1321" w:type="dxa"/>
                  <w:noWrap/>
                  <w:vAlign w:val="center"/>
                </w:tcPr>
                <w:p w14:paraId="3C8DBD8B" w14:textId="77777777" w:rsidR="00F76A63" w:rsidRDefault="00000000">
                  <w:pPr>
                    <w:adjustRightInd w:val="0"/>
                    <w:snapToGrid w:val="0"/>
                    <w:jc w:val="center"/>
                    <w:rPr>
                      <w:szCs w:val="21"/>
                    </w:rPr>
                  </w:pPr>
                  <w:r>
                    <w:rPr>
                      <w:szCs w:val="21"/>
                    </w:rPr>
                    <w:t>0.0007</w:t>
                  </w:r>
                </w:p>
              </w:tc>
              <w:tc>
                <w:tcPr>
                  <w:tcW w:w="1787" w:type="dxa"/>
                  <w:vMerge/>
                  <w:vAlign w:val="center"/>
                </w:tcPr>
                <w:p w14:paraId="24AD438E" w14:textId="77777777" w:rsidR="00F76A63" w:rsidRDefault="00F76A63">
                  <w:pPr>
                    <w:adjustRightInd w:val="0"/>
                    <w:snapToGrid w:val="0"/>
                    <w:jc w:val="center"/>
                    <w:rPr>
                      <w:szCs w:val="21"/>
                    </w:rPr>
                  </w:pPr>
                </w:p>
              </w:tc>
              <w:tc>
                <w:tcPr>
                  <w:tcW w:w="1787" w:type="dxa"/>
                  <w:vMerge/>
                  <w:vAlign w:val="center"/>
                </w:tcPr>
                <w:p w14:paraId="2605720F" w14:textId="77777777" w:rsidR="00F76A63" w:rsidRDefault="00F76A63">
                  <w:pPr>
                    <w:adjustRightInd w:val="0"/>
                    <w:snapToGrid w:val="0"/>
                    <w:jc w:val="center"/>
                    <w:rPr>
                      <w:szCs w:val="21"/>
                    </w:rPr>
                  </w:pPr>
                </w:p>
              </w:tc>
            </w:tr>
            <w:tr w:rsidR="00F76A63" w14:paraId="59BEF57D" w14:textId="77777777">
              <w:trPr>
                <w:trHeight w:val="60"/>
                <w:jc w:val="center"/>
              </w:trPr>
              <w:tc>
                <w:tcPr>
                  <w:tcW w:w="1116" w:type="dxa"/>
                  <w:vMerge/>
                  <w:vAlign w:val="center"/>
                </w:tcPr>
                <w:p w14:paraId="16FA6AC1" w14:textId="77777777" w:rsidR="00F76A63" w:rsidRDefault="00F76A63">
                  <w:pPr>
                    <w:adjustRightInd w:val="0"/>
                    <w:snapToGrid w:val="0"/>
                    <w:jc w:val="center"/>
                    <w:rPr>
                      <w:szCs w:val="21"/>
                    </w:rPr>
                  </w:pPr>
                </w:p>
              </w:tc>
              <w:tc>
                <w:tcPr>
                  <w:tcW w:w="993" w:type="dxa"/>
                  <w:vMerge/>
                  <w:vAlign w:val="center"/>
                </w:tcPr>
                <w:p w14:paraId="1FDE1C7F" w14:textId="77777777" w:rsidR="00F76A63" w:rsidRDefault="00F76A63">
                  <w:pPr>
                    <w:adjustRightInd w:val="0"/>
                    <w:snapToGrid w:val="0"/>
                    <w:jc w:val="center"/>
                    <w:rPr>
                      <w:szCs w:val="21"/>
                    </w:rPr>
                  </w:pPr>
                </w:p>
              </w:tc>
              <w:tc>
                <w:tcPr>
                  <w:tcW w:w="1559" w:type="dxa"/>
                  <w:noWrap/>
                  <w:vAlign w:val="center"/>
                </w:tcPr>
                <w:p w14:paraId="26F7F853" w14:textId="77777777" w:rsidR="00F76A63" w:rsidRDefault="00000000">
                  <w:pPr>
                    <w:adjustRightInd w:val="0"/>
                    <w:snapToGrid w:val="0"/>
                    <w:jc w:val="center"/>
                    <w:rPr>
                      <w:szCs w:val="21"/>
                    </w:rPr>
                  </w:pPr>
                  <w:r>
                    <w:rPr>
                      <w:szCs w:val="21"/>
                    </w:rPr>
                    <w:t>总镉</w:t>
                  </w:r>
                </w:p>
              </w:tc>
              <w:tc>
                <w:tcPr>
                  <w:tcW w:w="1417" w:type="dxa"/>
                  <w:noWrap/>
                  <w:vAlign w:val="center"/>
                </w:tcPr>
                <w:p w14:paraId="11FE46DF" w14:textId="77777777" w:rsidR="00F76A63" w:rsidRDefault="00000000">
                  <w:pPr>
                    <w:adjustRightInd w:val="0"/>
                    <w:snapToGrid w:val="0"/>
                    <w:jc w:val="center"/>
                    <w:rPr>
                      <w:szCs w:val="21"/>
                    </w:rPr>
                  </w:pPr>
                  <w:r>
                    <w:rPr>
                      <w:szCs w:val="21"/>
                    </w:rPr>
                    <w:t>0.05</w:t>
                  </w:r>
                </w:p>
              </w:tc>
              <w:tc>
                <w:tcPr>
                  <w:tcW w:w="1321" w:type="dxa"/>
                  <w:noWrap/>
                  <w:vAlign w:val="center"/>
                </w:tcPr>
                <w:p w14:paraId="62F18DC2" w14:textId="77777777" w:rsidR="00F76A63" w:rsidRDefault="00000000">
                  <w:pPr>
                    <w:adjustRightInd w:val="0"/>
                    <w:snapToGrid w:val="0"/>
                    <w:jc w:val="center"/>
                    <w:rPr>
                      <w:szCs w:val="21"/>
                    </w:rPr>
                  </w:pPr>
                  <w:r>
                    <w:rPr>
                      <w:szCs w:val="21"/>
                    </w:rPr>
                    <w:t>0.0002</w:t>
                  </w:r>
                </w:p>
              </w:tc>
              <w:tc>
                <w:tcPr>
                  <w:tcW w:w="1787" w:type="dxa"/>
                  <w:vMerge/>
                  <w:vAlign w:val="center"/>
                </w:tcPr>
                <w:p w14:paraId="67D846E2" w14:textId="77777777" w:rsidR="00F76A63" w:rsidRDefault="00F76A63">
                  <w:pPr>
                    <w:adjustRightInd w:val="0"/>
                    <w:snapToGrid w:val="0"/>
                    <w:jc w:val="center"/>
                    <w:rPr>
                      <w:szCs w:val="21"/>
                    </w:rPr>
                  </w:pPr>
                </w:p>
              </w:tc>
              <w:tc>
                <w:tcPr>
                  <w:tcW w:w="1787" w:type="dxa"/>
                  <w:vMerge/>
                  <w:vAlign w:val="center"/>
                </w:tcPr>
                <w:p w14:paraId="6F242C28" w14:textId="77777777" w:rsidR="00F76A63" w:rsidRDefault="00F76A63">
                  <w:pPr>
                    <w:adjustRightInd w:val="0"/>
                    <w:snapToGrid w:val="0"/>
                    <w:jc w:val="center"/>
                    <w:rPr>
                      <w:szCs w:val="21"/>
                    </w:rPr>
                  </w:pPr>
                </w:p>
              </w:tc>
            </w:tr>
            <w:tr w:rsidR="00F76A63" w14:paraId="13B9EBBD" w14:textId="77777777">
              <w:trPr>
                <w:trHeight w:val="60"/>
                <w:jc w:val="center"/>
              </w:trPr>
              <w:tc>
                <w:tcPr>
                  <w:tcW w:w="1116" w:type="dxa"/>
                  <w:vMerge/>
                  <w:vAlign w:val="center"/>
                </w:tcPr>
                <w:p w14:paraId="0DDC991A" w14:textId="77777777" w:rsidR="00F76A63" w:rsidRDefault="00F76A63">
                  <w:pPr>
                    <w:adjustRightInd w:val="0"/>
                    <w:snapToGrid w:val="0"/>
                    <w:jc w:val="center"/>
                    <w:rPr>
                      <w:szCs w:val="21"/>
                    </w:rPr>
                  </w:pPr>
                </w:p>
              </w:tc>
              <w:tc>
                <w:tcPr>
                  <w:tcW w:w="993" w:type="dxa"/>
                  <w:vMerge/>
                  <w:vAlign w:val="center"/>
                </w:tcPr>
                <w:p w14:paraId="62EA2201" w14:textId="77777777" w:rsidR="00F76A63" w:rsidRDefault="00F76A63">
                  <w:pPr>
                    <w:adjustRightInd w:val="0"/>
                    <w:snapToGrid w:val="0"/>
                    <w:jc w:val="center"/>
                    <w:rPr>
                      <w:szCs w:val="21"/>
                    </w:rPr>
                  </w:pPr>
                </w:p>
              </w:tc>
              <w:tc>
                <w:tcPr>
                  <w:tcW w:w="1559" w:type="dxa"/>
                  <w:noWrap/>
                  <w:vAlign w:val="center"/>
                </w:tcPr>
                <w:p w14:paraId="4B277CF8" w14:textId="77777777" w:rsidR="00F76A63" w:rsidRDefault="00000000">
                  <w:pPr>
                    <w:adjustRightInd w:val="0"/>
                    <w:snapToGrid w:val="0"/>
                    <w:jc w:val="center"/>
                    <w:rPr>
                      <w:szCs w:val="21"/>
                    </w:rPr>
                  </w:pPr>
                  <w:r>
                    <w:rPr>
                      <w:szCs w:val="21"/>
                    </w:rPr>
                    <w:t>总铬</w:t>
                  </w:r>
                </w:p>
              </w:tc>
              <w:tc>
                <w:tcPr>
                  <w:tcW w:w="1417" w:type="dxa"/>
                  <w:noWrap/>
                  <w:vAlign w:val="center"/>
                </w:tcPr>
                <w:p w14:paraId="44F2128E" w14:textId="77777777" w:rsidR="00F76A63" w:rsidRDefault="00000000">
                  <w:pPr>
                    <w:adjustRightInd w:val="0"/>
                    <w:snapToGrid w:val="0"/>
                    <w:jc w:val="center"/>
                    <w:rPr>
                      <w:szCs w:val="21"/>
                    </w:rPr>
                  </w:pPr>
                  <w:r>
                    <w:rPr>
                      <w:szCs w:val="21"/>
                    </w:rPr>
                    <w:t>0.4</w:t>
                  </w:r>
                </w:p>
              </w:tc>
              <w:tc>
                <w:tcPr>
                  <w:tcW w:w="1321" w:type="dxa"/>
                  <w:noWrap/>
                  <w:vAlign w:val="center"/>
                </w:tcPr>
                <w:p w14:paraId="15BEB0F9" w14:textId="77777777" w:rsidR="00F76A63" w:rsidRDefault="00000000">
                  <w:pPr>
                    <w:adjustRightInd w:val="0"/>
                    <w:snapToGrid w:val="0"/>
                    <w:jc w:val="center"/>
                    <w:rPr>
                      <w:szCs w:val="21"/>
                    </w:rPr>
                  </w:pPr>
                  <w:r>
                    <w:rPr>
                      <w:szCs w:val="21"/>
                    </w:rPr>
                    <w:t>0.0014</w:t>
                  </w:r>
                </w:p>
              </w:tc>
              <w:tc>
                <w:tcPr>
                  <w:tcW w:w="1787" w:type="dxa"/>
                  <w:vMerge/>
                  <w:vAlign w:val="center"/>
                </w:tcPr>
                <w:p w14:paraId="4F97FCB3" w14:textId="77777777" w:rsidR="00F76A63" w:rsidRDefault="00F76A63">
                  <w:pPr>
                    <w:adjustRightInd w:val="0"/>
                    <w:snapToGrid w:val="0"/>
                    <w:jc w:val="center"/>
                    <w:rPr>
                      <w:szCs w:val="21"/>
                    </w:rPr>
                  </w:pPr>
                </w:p>
              </w:tc>
              <w:tc>
                <w:tcPr>
                  <w:tcW w:w="1787" w:type="dxa"/>
                  <w:vMerge/>
                  <w:vAlign w:val="center"/>
                </w:tcPr>
                <w:p w14:paraId="14C63A5E" w14:textId="77777777" w:rsidR="00F76A63" w:rsidRDefault="00F76A63">
                  <w:pPr>
                    <w:adjustRightInd w:val="0"/>
                    <w:snapToGrid w:val="0"/>
                    <w:jc w:val="center"/>
                    <w:rPr>
                      <w:szCs w:val="21"/>
                    </w:rPr>
                  </w:pPr>
                </w:p>
              </w:tc>
            </w:tr>
            <w:tr w:rsidR="00F76A63" w14:paraId="57E1E295" w14:textId="77777777">
              <w:trPr>
                <w:trHeight w:val="60"/>
                <w:jc w:val="center"/>
              </w:trPr>
              <w:tc>
                <w:tcPr>
                  <w:tcW w:w="1116" w:type="dxa"/>
                  <w:vMerge/>
                  <w:vAlign w:val="center"/>
                </w:tcPr>
                <w:p w14:paraId="5E955EFE" w14:textId="77777777" w:rsidR="00F76A63" w:rsidRDefault="00F76A63">
                  <w:pPr>
                    <w:adjustRightInd w:val="0"/>
                    <w:snapToGrid w:val="0"/>
                    <w:jc w:val="center"/>
                    <w:rPr>
                      <w:szCs w:val="21"/>
                    </w:rPr>
                  </w:pPr>
                </w:p>
              </w:tc>
              <w:tc>
                <w:tcPr>
                  <w:tcW w:w="993" w:type="dxa"/>
                  <w:vMerge/>
                  <w:vAlign w:val="center"/>
                </w:tcPr>
                <w:p w14:paraId="236A0BFE" w14:textId="77777777" w:rsidR="00F76A63" w:rsidRDefault="00F76A63">
                  <w:pPr>
                    <w:adjustRightInd w:val="0"/>
                    <w:snapToGrid w:val="0"/>
                    <w:jc w:val="center"/>
                    <w:rPr>
                      <w:szCs w:val="21"/>
                    </w:rPr>
                  </w:pPr>
                </w:p>
              </w:tc>
              <w:tc>
                <w:tcPr>
                  <w:tcW w:w="1559" w:type="dxa"/>
                  <w:noWrap/>
                  <w:vAlign w:val="center"/>
                </w:tcPr>
                <w:p w14:paraId="365AE152" w14:textId="77777777" w:rsidR="00F76A63" w:rsidRDefault="00000000">
                  <w:pPr>
                    <w:adjustRightInd w:val="0"/>
                    <w:snapToGrid w:val="0"/>
                    <w:jc w:val="center"/>
                    <w:rPr>
                      <w:szCs w:val="21"/>
                    </w:rPr>
                  </w:pPr>
                  <w:r>
                    <w:rPr>
                      <w:szCs w:val="21"/>
                    </w:rPr>
                    <w:t>总汞</w:t>
                  </w:r>
                </w:p>
              </w:tc>
              <w:tc>
                <w:tcPr>
                  <w:tcW w:w="1417" w:type="dxa"/>
                  <w:noWrap/>
                  <w:vAlign w:val="center"/>
                </w:tcPr>
                <w:p w14:paraId="5782DCA8" w14:textId="77777777" w:rsidR="00F76A63" w:rsidRDefault="00000000">
                  <w:pPr>
                    <w:adjustRightInd w:val="0"/>
                    <w:snapToGrid w:val="0"/>
                    <w:jc w:val="center"/>
                    <w:rPr>
                      <w:szCs w:val="21"/>
                    </w:rPr>
                  </w:pPr>
                  <w:r>
                    <w:rPr>
                      <w:szCs w:val="21"/>
                    </w:rPr>
                    <w:t>0.005</w:t>
                  </w:r>
                </w:p>
              </w:tc>
              <w:tc>
                <w:tcPr>
                  <w:tcW w:w="1321" w:type="dxa"/>
                  <w:noWrap/>
                  <w:vAlign w:val="center"/>
                </w:tcPr>
                <w:p w14:paraId="5257F903" w14:textId="77777777" w:rsidR="00F76A63" w:rsidRDefault="00000000">
                  <w:pPr>
                    <w:adjustRightInd w:val="0"/>
                    <w:snapToGrid w:val="0"/>
                    <w:jc w:val="center"/>
                    <w:rPr>
                      <w:szCs w:val="21"/>
                    </w:rPr>
                  </w:pPr>
                  <w:r>
                    <w:rPr>
                      <w:szCs w:val="21"/>
                    </w:rPr>
                    <w:t>0.00002</w:t>
                  </w:r>
                </w:p>
              </w:tc>
              <w:tc>
                <w:tcPr>
                  <w:tcW w:w="1787" w:type="dxa"/>
                  <w:vMerge/>
                  <w:vAlign w:val="center"/>
                </w:tcPr>
                <w:p w14:paraId="13F8DC15" w14:textId="77777777" w:rsidR="00F76A63" w:rsidRDefault="00F76A63">
                  <w:pPr>
                    <w:adjustRightInd w:val="0"/>
                    <w:snapToGrid w:val="0"/>
                    <w:jc w:val="center"/>
                    <w:rPr>
                      <w:szCs w:val="21"/>
                    </w:rPr>
                  </w:pPr>
                </w:p>
              </w:tc>
              <w:tc>
                <w:tcPr>
                  <w:tcW w:w="1787" w:type="dxa"/>
                  <w:vMerge/>
                  <w:vAlign w:val="center"/>
                </w:tcPr>
                <w:p w14:paraId="4D1FCBFF" w14:textId="77777777" w:rsidR="00F76A63" w:rsidRDefault="00F76A63">
                  <w:pPr>
                    <w:adjustRightInd w:val="0"/>
                    <w:snapToGrid w:val="0"/>
                    <w:jc w:val="center"/>
                    <w:rPr>
                      <w:szCs w:val="21"/>
                    </w:rPr>
                  </w:pPr>
                </w:p>
              </w:tc>
            </w:tr>
          </w:tbl>
          <w:p w14:paraId="0FBE4C04" w14:textId="77777777" w:rsidR="00F76A63" w:rsidRDefault="00000000">
            <w:pPr>
              <w:adjustRightInd w:val="0"/>
              <w:snapToGrid w:val="0"/>
              <w:spacing w:line="500" w:lineRule="exact"/>
              <w:ind w:firstLineChars="200" w:firstLine="482"/>
              <w:rPr>
                <w:b/>
                <w:bCs/>
                <w:sz w:val="24"/>
              </w:rPr>
            </w:pPr>
            <w:r>
              <w:rPr>
                <w:rFonts w:hint="eastAsia"/>
                <w:b/>
                <w:bCs/>
                <w:sz w:val="24"/>
              </w:rPr>
              <w:t>（二）废水污染防治措施</w:t>
            </w:r>
          </w:p>
          <w:p w14:paraId="1276FFC9" w14:textId="77777777" w:rsidR="00F76A63" w:rsidRDefault="00000000">
            <w:pPr>
              <w:adjustRightInd w:val="0"/>
              <w:snapToGrid w:val="0"/>
              <w:spacing w:line="500" w:lineRule="exact"/>
              <w:ind w:firstLineChars="200" w:firstLine="480"/>
              <w:rPr>
                <w:sz w:val="24"/>
              </w:rPr>
            </w:pPr>
            <w:r>
              <w:rPr>
                <w:rFonts w:hint="eastAsia"/>
                <w:sz w:val="24"/>
              </w:rPr>
              <w:t>本项目新建原料、污染土堆棚为全封闭、防渗硬化地面，地面设置导流坡度及环形集水沟，污泥贮存过程产生的渗滤液，经集水沟统一收集至原水池和生产废水一起经中水处理系统处理，不外排，全部回用。</w:t>
            </w:r>
            <w:r>
              <w:rPr>
                <w:sz w:val="24"/>
              </w:rPr>
              <w:t>本项目依托现有厂区及生产设施</w:t>
            </w:r>
            <w:r>
              <w:rPr>
                <w:rFonts w:hint="eastAsia"/>
                <w:sz w:val="24"/>
              </w:rPr>
              <w:t>，不</w:t>
            </w:r>
            <w:r>
              <w:rPr>
                <w:sz w:val="24"/>
              </w:rPr>
              <w:t>会对区域地表水环境造成不利影响。</w:t>
            </w:r>
          </w:p>
          <w:p w14:paraId="7A3F7CAF" w14:textId="77777777" w:rsidR="00F76A63" w:rsidRDefault="00000000">
            <w:pPr>
              <w:adjustRightInd w:val="0"/>
              <w:snapToGrid w:val="0"/>
              <w:spacing w:line="500" w:lineRule="exact"/>
              <w:ind w:firstLineChars="200" w:firstLine="480"/>
              <w:rPr>
                <w:sz w:val="24"/>
              </w:rPr>
            </w:pPr>
            <w:r>
              <w:rPr>
                <w:sz w:val="24"/>
              </w:rPr>
              <w:t>建设单位现有工程生产废水自行处理后回用，生活污水经化粪池预处理后接入句容市下蜀污水处理有限公司处理，根据厂区例行监测数据，项目生活污水排放满足句容市下蜀污水处理有限公司接管标准。</w:t>
            </w:r>
          </w:p>
          <w:p w14:paraId="709F4E64" w14:textId="77777777" w:rsidR="00F76A63" w:rsidRDefault="00000000">
            <w:pPr>
              <w:adjustRightInd w:val="0"/>
              <w:snapToGrid w:val="0"/>
              <w:spacing w:line="500" w:lineRule="exact"/>
              <w:ind w:firstLineChars="200" w:firstLine="482"/>
              <w:rPr>
                <w:b/>
                <w:bCs/>
                <w:sz w:val="24"/>
              </w:rPr>
            </w:pPr>
            <w:r>
              <w:rPr>
                <w:rFonts w:hint="eastAsia"/>
                <w:b/>
                <w:bCs/>
                <w:sz w:val="24"/>
              </w:rPr>
              <w:t>（三）废水回用可行性分析</w:t>
            </w:r>
          </w:p>
          <w:p w14:paraId="2A8F463E" w14:textId="77777777" w:rsidR="00F76A63" w:rsidRDefault="00000000">
            <w:pPr>
              <w:adjustRightInd w:val="0"/>
              <w:snapToGrid w:val="0"/>
              <w:jc w:val="center"/>
              <w:rPr>
                <w:sz w:val="24"/>
              </w:rPr>
            </w:pPr>
            <w:r>
              <w:rPr>
                <w:noProof/>
                <w:sz w:val="24"/>
              </w:rPr>
              <w:lastRenderedPageBreak/>
              <w:drawing>
                <wp:inline distT="0" distB="0" distL="0" distR="0" wp14:anchorId="522256C3" wp14:editId="0A67545B">
                  <wp:extent cx="5029200" cy="1824355"/>
                  <wp:effectExtent l="0" t="0" r="0" b="4445"/>
                  <wp:docPr id="17169938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93895" name="图片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034311" cy="1826528"/>
                          </a:xfrm>
                          <a:prstGeom prst="rect">
                            <a:avLst/>
                          </a:prstGeom>
                          <a:noFill/>
                          <a:ln>
                            <a:noFill/>
                          </a:ln>
                        </pic:spPr>
                      </pic:pic>
                    </a:graphicData>
                  </a:graphic>
                </wp:inline>
              </w:drawing>
            </w:r>
          </w:p>
          <w:p w14:paraId="5586925D" w14:textId="77777777" w:rsidR="00F76A63" w:rsidRDefault="00000000">
            <w:pPr>
              <w:adjustRightInd w:val="0"/>
              <w:snapToGrid w:val="0"/>
              <w:spacing w:line="500" w:lineRule="exact"/>
              <w:jc w:val="center"/>
              <w:rPr>
                <w:b/>
                <w:bCs/>
                <w:sz w:val="24"/>
              </w:rPr>
            </w:pPr>
            <w:r>
              <w:rPr>
                <w:rFonts w:hint="eastAsia"/>
                <w:b/>
                <w:bCs/>
                <w:sz w:val="24"/>
              </w:rPr>
              <w:t>图</w:t>
            </w:r>
            <w:r>
              <w:rPr>
                <w:rFonts w:hint="eastAsia"/>
                <w:b/>
                <w:bCs/>
                <w:sz w:val="24"/>
              </w:rPr>
              <w:t xml:space="preserve">4-1  </w:t>
            </w:r>
            <w:r>
              <w:rPr>
                <w:rFonts w:hint="eastAsia"/>
                <w:b/>
                <w:bCs/>
                <w:sz w:val="24"/>
              </w:rPr>
              <w:t>中水回用工艺流程图</w:t>
            </w:r>
          </w:p>
          <w:p w14:paraId="26A9CB75" w14:textId="77777777" w:rsidR="00F76A63" w:rsidRDefault="00000000">
            <w:pPr>
              <w:adjustRightInd w:val="0"/>
              <w:snapToGrid w:val="0"/>
              <w:spacing w:line="500" w:lineRule="exact"/>
              <w:jc w:val="center"/>
              <w:rPr>
                <w:b/>
                <w:bCs/>
                <w:sz w:val="24"/>
              </w:rPr>
            </w:pPr>
            <w:r>
              <w:rPr>
                <w:b/>
                <w:bCs/>
                <w:sz w:val="24"/>
              </w:rPr>
              <w:t>表</w:t>
            </w:r>
            <w:r>
              <w:rPr>
                <w:b/>
                <w:bCs/>
                <w:sz w:val="24"/>
              </w:rPr>
              <w:t>4-</w:t>
            </w:r>
            <w:r>
              <w:rPr>
                <w:rFonts w:hint="eastAsia"/>
                <w:b/>
                <w:bCs/>
                <w:sz w:val="24"/>
              </w:rPr>
              <w:t>2</w:t>
            </w:r>
            <w:r>
              <w:rPr>
                <w:b/>
                <w:bCs/>
                <w:sz w:val="24"/>
              </w:rPr>
              <w:t xml:space="preserve">  </w:t>
            </w:r>
            <w:r>
              <w:rPr>
                <w:rFonts w:hint="eastAsia"/>
                <w:b/>
                <w:bCs/>
                <w:sz w:val="24"/>
              </w:rPr>
              <w:t>中水系统设备技术参数</w:t>
            </w:r>
            <w:r>
              <w:rPr>
                <w:b/>
                <w:bCs/>
                <w:sz w:val="24"/>
              </w:rPr>
              <w:t>一览表</w:t>
            </w:r>
          </w:p>
          <w:tbl>
            <w:tblPr>
              <w:tblStyle w:val="afffd"/>
              <w:tblW w:w="5000" w:type="pct"/>
              <w:jc w:val="center"/>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4095"/>
              <w:gridCol w:w="2049"/>
              <w:gridCol w:w="2049"/>
            </w:tblGrid>
            <w:tr w:rsidR="00F76A63" w14:paraId="4A3537A0" w14:textId="77777777">
              <w:trPr>
                <w:jc w:val="center"/>
              </w:trPr>
              <w:tc>
                <w:tcPr>
                  <w:tcW w:w="4095" w:type="dxa"/>
                  <w:vAlign w:val="center"/>
                </w:tcPr>
                <w:p w14:paraId="5AEF20E4" w14:textId="77777777" w:rsidR="00F76A63" w:rsidRDefault="00000000">
                  <w:pPr>
                    <w:adjustRightInd w:val="0"/>
                    <w:snapToGrid w:val="0"/>
                    <w:jc w:val="center"/>
                    <w:rPr>
                      <w:b/>
                      <w:bCs/>
                      <w:szCs w:val="21"/>
                    </w:rPr>
                  </w:pPr>
                  <w:r>
                    <w:rPr>
                      <w:rFonts w:hint="eastAsia"/>
                      <w:b/>
                      <w:bCs/>
                      <w:szCs w:val="21"/>
                    </w:rPr>
                    <w:t>名称</w:t>
                  </w:r>
                </w:p>
              </w:tc>
              <w:tc>
                <w:tcPr>
                  <w:tcW w:w="4098" w:type="dxa"/>
                  <w:gridSpan w:val="2"/>
                  <w:vAlign w:val="center"/>
                </w:tcPr>
                <w:p w14:paraId="22CDBF6B" w14:textId="77777777" w:rsidR="00F76A63" w:rsidRDefault="00000000">
                  <w:pPr>
                    <w:adjustRightInd w:val="0"/>
                    <w:snapToGrid w:val="0"/>
                    <w:jc w:val="center"/>
                    <w:rPr>
                      <w:b/>
                      <w:bCs/>
                      <w:szCs w:val="21"/>
                    </w:rPr>
                  </w:pPr>
                  <w:r>
                    <w:rPr>
                      <w:rFonts w:hint="eastAsia"/>
                      <w:b/>
                      <w:bCs/>
                      <w:szCs w:val="21"/>
                    </w:rPr>
                    <w:t>参数</w:t>
                  </w:r>
                </w:p>
              </w:tc>
            </w:tr>
            <w:tr w:rsidR="00F76A63" w14:paraId="78A4E21B" w14:textId="77777777">
              <w:trPr>
                <w:jc w:val="center"/>
              </w:trPr>
              <w:tc>
                <w:tcPr>
                  <w:tcW w:w="4095" w:type="dxa"/>
                  <w:vAlign w:val="center"/>
                </w:tcPr>
                <w:p w14:paraId="76A3C119" w14:textId="77777777" w:rsidR="00F76A63" w:rsidRDefault="00000000">
                  <w:pPr>
                    <w:adjustRightInd w:val="0"/>
                    <w:snapToGrid w:val="0"/>
                    <w:jc w:val="center"/>
                    <w:rPr>
                      <w:szCs w:val="21"/>
                    </w:rPr>
                  </w:pPr>
                  <w:r>
                    <w:rPr>
                      <w:rFonts w:hint="eastAsia"/>
                      <w:szCs w:val="21"/>
                    </w:rPr>
                    <w:t>来水量</w:t>
                  </w:r>
                </w:p>
              </w:tc>
              <w:tc>
                <w:tcPr>
                  <w:tcW w:w="4098" w:type="dxa"/>
                  <w:gridSpan w:val="2"/>
                  <w:vAlign w:val="center"/>
                </w:tcPr>
                <w:p w14:paraId="0333E355" w14:textId="77777777" w:rsidR="00F76A63" w:rsidRDefault="00000000">
                  <w:pPr>
                    <w:adjustRightInd w:val="0"/>
                    <w:snapToGrid w:val="0"/>
                    <w:jc w:val="center"/>
                    <w:rPr>
                      <w:szCs w:val="21"/>
                    </w:rPr>
                  </w:pPr>
                  <w:r>
                    <w:rPr>
                      <w:rFonts w:hint="eastAsia"/>
                      <w:szCs w:val="21"/>
                    </w:rPr>
                    <w:t>900</w:t>
                  </w:r>
                  <w:r>
                    <w:rPr>
                      <w:szCs w:val="21"/>
                    </w:rPr>
                    <w:t>m</w:t>
                  </w:r>
                  <w:r>
                    <w:rPr>
                      <w:szCs w:val="21"/>
                      <w:vertAlign w:val="superscript"/>
                    </w:rPr>
                    <w:t>3</w:t>
                  </w:r>
                  <w:r>
                    <w:rPr>
                      <w:szCs w:val="21"/>
                    </w:rPr>
                    <w:t>/d</w:t>
                  </w:r>
                </w:p>
              </w:tc>
            </w:tr>
            <w:tr w:rsidR="00F76A63" w14:paraId="16BD425B" w14:textId="77777777">
              <w:trPr>
                <w:jc w:val="center"/>
              </w:trPr>
              <w:tc>
                <w:tcPr>
                  <w:tcW w:w="4095" w:type="dxa"/>
                  <w:vAlign w:val="center"/>
                </w:tcPr>
                <w:p w14:paraId="688328C9" w14:textId="77777777" w:rsidR="00F76A63" w:rsidRDefault="00000000">
                  <w:pPr>
                    <w:adjustRightInd w:val="0"/>
                    <w:snapToGrid w:val="0"/>
                    <w:jc w:val="center"/>
                    <w:rPr>
                      <w:szCs w:val="21"/>
                    </w:rPr>
                  </w:pPr>
                  <w:r>
                    <w:rPr>
                      <w:rFonts w:hint="eastAsia"/>
                      <w:szCs w:val="21"/>
                    </w:rPr>
                    <w:t>产水量</w:t>
                  </w:r>
                </w:p>
              </w:tc>
              <w:tc>
                <w:tcPr>
                  <w:tcW w:w="4098" w:type="dxa"/>
                  <w:gridSpan w:val="2"/>
                  <w:vAlign w:val="center"/>
                </w:tcPr>
                <w:p w14:paraId="0AC0850F" w14:textId="77777777" w:rsidR="00F76A63" w:rsidRDefault="00000000">
                  <w:pPr>
                    <w:adjustRightInd w:val="0"/>
                    <w:snapToGrid w:val="0"/>
                    <w:jc w:val="center"/>
                    <w:rPr>
                      <w:szCs w:val="21"/>
                    </w:rPr>
                  </w:pPr>
                  <w:r>
                    <w:rPr>
                      <w:rFonts w:hint="eastAsia"/>
                      <w:szCs w:val="21"/>
                    </w:rPr>
                    <w:t>760</w:t>
                  </w:r>
                  <w:r>
                    <w:rPr>
                      <w:szCs w:val="21"/>
                    </w:rPr>
                    <w:t>m</w:t>
                  </w:r>
                  <w:r>
                    <w:rPr>
                      <w:szCs w:val="21"/>
                      <w:vertAlign w:val="superscript"/>
                    </w:rPr>
                    <w:t>3</w:t>
                  </w:r>
                  <w:r>
                    <w:rPr>
                      <w:szCs w:val="21"/>
                    </w:rPr>
                    <w:t>/d</w:t>
                  </w:r>
                </w:p>
              </w:tc>
            </w:tr>
            <w:tr w:rsidR="00F76A63" w14:paraId="780522F8" w14:textId="77777777">
              <w:trPr>
                <w:jc w:val="center"/>
              </w:trPr>
              <w:tc>
                <w:tcPr>
                  <w:tcW w:w="4095" w:type="dxa"/>
                  <w:vAlign w:val="center"/>
                </w:tcPr>
                <w:p w14:paraId="75A74F7B" w14:textId="77777777" w:rsidR="00F76A63" w:rsidRDefault="00000000">
                  <w:pPr>
                    <w:adjustRightInd w:val="0"/>
                    <w:snapToGrid w:val="0"/>
                    <w:jc w:val="center"/>
                    <w:rPr>
                      <w:szCs w:val="21"/>
                    </w:rPr>
                  </w:pPr>
                  <w:r>
                    <w:rPr>
                      <w:rFonts w:hint="eastAsia"/>
                      <w:szCs w:val="21"/>
                    </w:rPr>
                    <w:t>排污量</w:t>
                  </w:r>
                </w:p>
              </w:tc>
              <w:tc>
                <w:tcPr>
                  <w:tcW w:w="4098" w:type="dxa"/>
                  <w:gridSpan w:val="2"/>
                  <w:vAlign w:val="center"/>
                </w:tcPr>
                <w:p w14:paraId="2EA12B41" w14:textId="77777777" w:rsidR="00F76A63" w:rsidRDefault="00000000">
                  <w:pPr>
                    <w:adjustRightInd w:val="0"/>
                    <w:snapToGrid w:val="0"/>
                    <w:jc w:val="center"/>
                    <w:rPr>
                      <w:szCs w:val="21"/>
                    </w:rPr>
                  </w:pPr>
                  <w:r>
                    <w:rPr>
                      <w:rFonts w:hint="eastAsia"/>
                      <w:szCs w:val="21"/>
                    </w:rPr>
                    <w:t>140</w:t>
                  </w:r>
                  <w:r>
                    <w:rPr>
                      <w:szCs w:val="21"/>
                    </w:rPr>
                    <w:t>m</w:t>
                  </w:r>
                  <w:r>
                    <w:rPr>
                      <w:szCs w:val="21"/>
                      <w:vertAlign w:val="superscript"/>
                    </w:rPr>
                    <w:t>3</w:t>
                  </w:r>
                  <w:r>
                    <w:rPr>
                      <w:szCs w:val="21"/>
                    </w:rPr>
                    <w:t>/d</w:t>
                  </w:r>
                </w:p>
              </w:tc>
            </w:tr>
            <w:tr w:rsidR="00F76A63" w14:paraId="3F33671D" w14:textId="77777777">
              <w:trPr>
                <w:jc w:val="center"/>
              </w:trPr>
              <w:tc>
                <w:tcPr>
                  <w:tcW w:w="4095" w:type="dxa"/>
                  <w:vMerge w:val="restart"/>
                  <w:vAlign w:val="center"/>
                </w:tcPr>
                <w:p w14:paraId="781B736F" w14:textId="77777777" w:rsidR="00F76A63" w:rsidRDefault="00000000">
                  <w:pPr>
                    <w:adjustRightInd w:val="0"/>
                    <w:snapToGrid w:val="0"/>
                    <w:jc w:val="center"/>
                    <w:rPr>
                      <w:szCs w:val="21"/>
                    </w:rPr>
                  </w:pPr>
                  <w:r>
                    <w:rPr>
                      <w:rFonts w:hint="eastAsia"/>
                      <w:szCs w:val="21"/>
                    </w:rPr>
                    <w:t>综合水池</w:t>
                  </w:r>
                </w:p>
              </w:tc>
              <w:tc>
                <w:tcPr>
                  <w:tcW w:w="2049" w:type="dxa"/>
                  <w:vAlign w:val="center"/>
                </w:tcPr>
                <w:p w14:paraId="50286687" w14:textId="77777777" w:rsidR="00F76A63" w:rsidRDefault="00000000">
                  <w:pPr>
                    <w:adjustRightInd w:val="0"/>
                    <w:snapToGrid w:val="0"/>
                    <w:jc w:val="center"/>
                    <w:rPr>
                      <w:szCs w:val="21"/>
                    </w:rPr>
                  </w:pPr>
                  <w:r>
                    <w:rPr>
                      <w:rFonts w:hint="eastAsia"/>
                      <w:szCs w:val="21"/>
                    </w:rPr>
                    <w:t>调节池</w:t>
                  </w:r>
                </w:p>
              </w:tc>
              <w:tc>
                <w:tcPr>
                  <w:tcW w:w="2049" w:type="dxa"/>
                  <w:vAlign w:val="center"/>
                </w:tcPr>
                <w:p w14:paraId="38F236F7" w14:textId="77777777" w:rsidR="00F76A63" w:rsidRDefault="00000000">
                  <w:pPr>
                    <w:adjustRightInd w:val="0"/>
                    <w:snapToGrid w:val="0"/>
                    <w:jc w:val="center"/>
                    <w:rPr>
                      <w:szCs w:val="21"/>
                    </w:rPr>
                  </w:pPr>
                  <w:r>
                    <w:rPr>
                      <w:rFonts w:hint="eastAsia"/>
                      <w:szCs w:val="21"/>
                    </w:rPr>
                    <w:t>270</w:t>
                  </w:r>
                  <w:r>
                    <w:rPr>
                      <w:szCs w:val="21"/>
                    </w:rPr>
                    <w:t>m</w:t>
                  </w:r>
                  <w:r>
                    <w:rPr>
                      <w:szCs w:val="21"/>
                      <w:vertAlign w:val="superscript"/>
                    </w:rPr>
                    <w:t>3</w:t>
                  </w:r>
                </w:p>
              </w:tc>
            </w:tr>
            <w:tr w:rsidR="00F76A63" w14:paraId="49CE4328" w14:textId="77777777">
              <w:trPr>
                <w:jc w:val="center"/>
              </w:trPr>
              <w:tc>
                <w:tcPr>
                  <w:tcW w:w="4095" w:type="dxa"/>
                  <w:vMerge/>
                  <w:vAlign w:val="center"/>
                </w:tcPr>
                <w:p w14:paraId="3207A505" w14:textId="77777777" w:rsidR="00F76A63" w:rsidRDefault="00F76A63">
                  <w:pPr>
                    <w:adjustRightInd w:val="0"/>
                    <w:snapToGrid w:val="0"/>
                    <w:jc w:val="center"/>
                    <w:rPr>
                      <w:szCs w:val="21"/>
                    </w:rPr>
                  </w:pPr>
                </w:p>
              </w:tc>
              <w:tc>
                <w:tcPr>
                  <w:tcW w:w="2049" w:type="dxa"/>
                  <w:vAlign w:val="center"/>
                </w:tcPr>
                <w:p w14:paraId="6A52705A" w14:textId="77777777" w:rsidR="00F76A63" w:rsidRDefault="00000000">
                  <w:pPr>
                    <w:adjustRightInd w:val="0"/>
                    <w:snapToGrid w:val="0"/>
                    <w:jc w:val="center"/>
                    <w:rPr>
                      <w:szCs w:val="21"/>
                    </w:rPr>
                  </w:pPr>
                  <w:r>
                    <w:rPr>
                      <w:rFonts w:hint="eastAsia"/>
                      <w:szCs w:val="21"/>
                    </w:rPr>
                    <w:t>缓冲池</w:t>
                  </w:r>
                </w:p>
              </w:tc>
              <w:tc>
                <w:tcPr>
                  <w:tcW w:w="2049" w:type="dxa"/>
                  <w:vAlign w:val="center"/>
                </w:tcPr>
                <w:p w14:paraId="77AD2E18" w14:textId="77777777" w:rsidR="00F76A63" w:rsidRDefault="00000000">
                  <w:pPr>
                    <w:adjustRightInd w:val="0"/>
                    <w:snapToGrid w:val="0"/>
                    <w:jc w:val="center"/>
                    <w:rPr>
                      <w:szCs w:val="21"/>
                    </w:rPr>
                  </w:pPr>
                  <w:r>
                    <w:rPr>
                      <w:rFonts w:hint="eastAsia"/>
                      <w:szCs w:val="21"/>
                    </w:rPr>
                    <w:t>50</w:t>
                  </w:r>
                  <w:r>
                    <w:rPr>
                      <w:szCs w:val="21"/>
                    </w:rPr>
                    <w:t>m</w:t>
                  </w:r>
                  <w:r>
                    <w:rPr>
                      <w:szCs w:val="21"/>
                      <w:vertAlign w:val="superscript"/>
                    </w:rPr>
                    <w:t>3</w:t>
                  </w:r>
                </w:p>
              </w:tc>
            </w:tr>
            <w:tr w:rsidR="00F76A63" w14:paraId="4CF83CEB" w14:textId="77777777">
              <w:trPr>
                <w:jc w:val="center"/>
              </w:trPr>
              <w:tc>
                <w:tcPr>
                  <w:tcW w:w="4095" w:type="dxa"/>
                  <w:vMerge/>
                  <w:vAlign w:val="center"/>
                </w:tcPr>
                <w:p w14:paraId="08F339DD" w14:textId="77777777" w:rsidR="00F76A63" w:rsidRDefault="00F76A63">
                  <w:pPr>
                    <w:adjustRightInd w:val="0"/>
                    <w:snapToGrid w:val="0"/>
                    <w:jc w:val="center"/>
                    <w:rPr>
                      <w:szCs w:val="21"/>
                    </w:rPr>
                  </w:pPr>
                </w:p>
              </w:tc>
              <w:tc>
                <w:tcPr>
                  <w:tcW w:w="2049" w:type="dxa"/>
                  <w:vAlign w:val="center"/>
                </w:tcPr>
                <w:p w14:paraId="75FF8F13" w14:textId="77777777" w:rsidR="00F76A63" w:rsidRDefault="00000000">
                  <w:pPr>
                    <w:adjustRightInd w:val="0"/>
                    <w:snapToGrid w:val="0"/>
                    <w:jc w:val="center"/>
                    <w:rPr>
                      <w:szCs w:val="21"/>
                    </w:rPr>
                  </w:pPr>
                  <w:r>
                    <w:rPr>
                      <w:rFonts w:hint="eastAsia"/>
                      <w:szCs w:val="21"/>
                    </w:rPr>
                    <w:t>浓水池</w:t>
                  </w:r>
                </w:p>
              </w:tc>
              <w:tc>
                <w:tcPr>
                  <w:tcW w:w="2049" w:type="dxa"/>
                  <w:vAlign w:val="center"/>
                </w:tcPr>
                <w:p w14:paraId="6820CA28" w14:textId="77777777" w:rsidR="00F76A63" w:rsidRDefault="00000000">
                  <w:pPr>
                    <w:adjustRightInd w:val="0"/>
                    <w:snapToGrid w:val="0"/>
                    <w:jc w:val="center"/>
                    <w:rPr>
                      <w:szCs w:val="21"/>
                    </w:rPr>
                  </w:pPr>
                  <w:r>
                    <w:rPr>
                      <w:rFonts w:hint="eastAsia"/>
                      <w:szCs w:val="21"/>
                    </w:rPr>
                    <w:t>50</w:t>
                  </w:r>
                  <w:r>
                    <w:rPr>
                      <w:szCs w:val="21"/>
                    </w:rPr>
                    <w:t>m</w:t>
                  </w:r>
                  <w:r>
                    <w:rPr>
                      <w:szCs w:val="21"/>
                      <w:vertAlign w:val="superscript"/>
                    </w:rPr>
                    <w:t>3</w:t>
                  </w:r>
                </w:p>
              </w:tc>
            </w:tr>
            <w:tr w:rsidR="00F76A63" w14:paraId="1B34C9CE" w14:textId="77777777">
              <w:trPr>
                <w:jc w:val="center"/>
              </w:trPr>
              <w:tc>
                <w:tcPr>
                  <w:tcW w:w="4095" w:type="dxa"/>
                  <w:vMerge/>
                  <w:vAlign w:val="center"/>
                </w:tcPr>
                <w:p w14:paraId="6A45DBC9" w14:textId="77777777" w:rsidR="00F76A63" w:rsidRDefault="00F76A63">
                  <w:pPr>
                    <w:adjustRightInd w:val="0"/>
                    <w:snapToGrid w:val="0"/>
                    <w:jc w:val="center"/>
                    <w:rPr>
                      <w:szCs w:val="21"/>
                    </w:rPr>
                  </w:pPr>
                </w:p>
              </w:tc>
              <w:tc>
                <w:tcPr>
                  <w:tcW w:w="2049" w:type="dxa"/>
                  <w:vAlign w:val="center"/>
                </w:tcPr>
                <w:p w14:paraId="150D94C0" w14:textId="77777777" w:rsidR="00F76A63" w:rsidRDefault="00000000">
                  <w:pPr>
                    <w:adjustRightInd w:val="0"/>
                    <w:snapToGrid w:val="0"/>
                    <w:jc w:val="center"/>
                    <w:rPr>
                      <w:szCs w:val="21"/>
                    </w:rPr>
                  </w:pPr>
                  <w:r>
                    <w:rPr>
                      <w:rFonts w:hint="eastAsia"/>
                      <w:szCs w:val="21"/>
                    </w:rPr>
                    <w:t>废水池</w:t>
                  </w:r>
                </w:p>
              </w:tc>
              <w:tc>
                <w:tcPr>
                  <w:tcW w:w="2049" w:type="dxa"/>
                  <w:vAlign w:val="center"/>
                </w:tcPr>
                <w:p w14:paraId="45103E5A" w14:textId="77777777" w:rsidR="00F76A63" w:rsidRDefault="00000000">
                  <w:pPr>
                    <w:adjustRightInd w:val="0"/>
                    <w:snapToGrid w:val="0"/>
                    <w:jc w:val="center"/>
                    <w:rPr>
                      <w:szCs w:val="21"/>
                    </w:rPr>
                  </w:pPr>
                  <w:r>
                    <w:rPr>
                      <w:rFonts w:hint="eastAsia"/>
                      <w:szCs w:val="21"/>
                    </w:rPr>
                    <w:t>100</w:t>
                  </w:r>
                  <w:r>
                    <w:rPr>
                      <w:szCs w:val="21"/>
                    </w:rPr>
                    <w:t>m</w:t>
                  </w:r>
                  <w:r>
                    <w:rPr>
                      <w:szCs w:val="21"/>
                      <w:vertAlign w:val="superscript"/>
                    </w:rPr>
                    <w:t>3</w:t>
                  </w:r>
                </w:p>
              </w:tc>
            </w:tr>
            <w:tr w:rsidR="00F76A63" w14:paraId="4FC5274C" w14:textId="77777777">
              <w:trPr>
                <w:trHeight w:val="70"/>
                <w:jc w:val="center"/>
              </w:trPr>
              <w:tc>
                <w:tcPr>
                  <w:tcW w:w="4095" w:type="dxa"/>
                  <w:vMerge/>
                  <w:vAlign w:val="center"/>
                </w:tcPr>
                <w:p w14:paraId="532EA5C6" w14:textId="77777777" w:rsidR="00F76A63" w:rsidRDefault="00F76A63">
                  <w:pPr>
                    <w:adjustRightInd w:val="0"/>
                    <w:snapToGrid w:val="0"/>
                    <w:jc w:val="center"/>
                    <w:rPr>
                      <w:szCs w:val="21"/>
                    </w:rPr>
                  </w:pPr>
                </w:p>
              </w:tc>
              <w:tc>
                <w:tcPr>
                  <w:tcW w:w="2049" w:type="dxa"/>
                  <w:vAlign w:val="center"/>
                </w:tcPr>
                <w:p w14:paraId="3F9A70C6" w14:textId="77777777" w:rsidR="00F76A63" w:rsidRDefault="00000000">
                  <w:pPr>
                    <w:adjustRightInd w:val="0"/>
                    <w:snapToGrid w:val="0"/>
                    <w:jc w:val="center"/>
                    <w:rPr>
                      <w:szCs w:val="21"/>
                    </w:rPr>
                  </w:pPr>
                  <w:r>
                    <w:rPr>
                      <w:rFonts w:hint="eastAsia"/>
                      <w:szCs w:val="21"/>
                    </w:rPr>
                    <w:t>污泥池</w:t>
                  </w:r>
                </w:p>
              </w:tc>
              <w:tc>
                <w:tcPr>
                  <w:tcW w:w="2049" w:type="dxa"/>
                  <w:vAlign w:val="center"/>
                </w:tcPr>
                <w:p w14:paraId="22E53F96" w14:textId="77777777" w:rsidR="00F76A63" w:rsidRDefault="00000000">
                  <w:pPr>
                    <w:adjustRightInd w:val="0"/>
                    <w:snapToGrid w:val="0"/>
                    <w:jc w:val="center"/>
                    <w:rPr>
                      <w:szCs w:val="21"/>
                    </w:rPr>
                  </w:pPr>
                  <w:r>
                    <w:rPr>
                      <w:rFonts w:hint="eastAsia"/>
                      <w:szCs w:val="21"/>
                    </w:rPr>
                    <w:t>25</w:t>
                  </w:r>
                  <w:r>
                    <w:rPr>
                      <w:szCs w:val="21"/>
                    </w:rPr>
                    <w:t>m</w:t>
                  </w:r>
                  <w:r>
                    <w:rPr>
                      <w:szCs w:val="21"/>
                      <w:vertAlign w:val="superscript"/>
                    </w:rPr>
                    <w:t>3</w:t>
                  </w:r>
                </w:p>
              </w:tc>
            </w:tr>
            <w:tr w:rsidR="00F76A63" w14:paraId="1C45A521" w14:textId="77777777">
              <w:trPr>
                <w:jc w:val="center"/>
              </w:trPr>
              <w:tc>
                <w:tcPr>
                  <w:tcW w:w="4095" w:type="dxa"/>
                </w:tcPr>
                <w:p w14:paraId="5981653A" w14:textId="77777777" w:rsidR="00F76A63" w:rsidRDefault="00000000">
                  <w:pPr>
                    <w:adjustRightInd w:val="0"/>
                    <w:snapToGrid w:val="0"/>
                    <w:jc w:val="center"/>
                    <w:rPr>
                      <w:szCs w:val="21"/>
                    </w:rPr>
                  </w:pPr>
                  <w:r>
                    <w:rPr>
                      <w:rFonts w:hint="eastAsia"/>
                    </w:rPr>
                    <w:t>综合房</w:t>
                  </w:r>
                </w:p>
              </w:tc>
              <w:tc>
                <w:tcPr>
                  <w:tcW w:w="2049" w:type="dxa"/>
                  <w:vAlign w:val="center"/>
                </w:tcPr>
                <w:p w14:paraId="54153B02" w14:textId="77777777" w:rsidR="00F76A63" w:rsidRDefault="00000000">
                  <w:pPr>
                    <w:adjustRightInd w:val="0"/>
                    <w:snapToGrid w:val="0"/>
                    <w:jc w:val="center"/>
                    <w:rPr>
                      <w:szCs w:val="21"/>
                    </w:rPr>
                  </w:pPr>
                  <w:r>
                    <w:rPr>
                      <w:rFonts w:hint="eastAsia"/>
                      <w:szCs w:val="21"/>
                    </w:rPr>
                    <w:t>滤后水箱</w:t>
                  </w:r>
                </w:p>
              </w:tc>
              <w:tc>
                <w:tcPr>
                  <w:tcW w:w="2049" w:type="dxa"/>
                  <w:vAlign w:val="center"/>
                </w:tcPr>
                <w:p w14:paraId="4D85ACDE" w14:textId="77777777" w:rsidR="00F76A63" w:rsidRDefault="00000000">
                  <w:pPr>
                    <w:adjustRightInd w:val="0"/>
                    <w:snapToGrid w:val="0"/>
                    <w:jc w:val="center"/>
                    <w:rPr>
                      <w:szCs w:val="21"/>
                    </w:rPr>
                  </w:pPr>
                  <w:r>
                    <w:rPr>
                      <w:rFonts w:hint="eastAsia"/>
                      <w:szCs w:val="21"/>
                    </w:rPr>
                    <w:t>50</w:t>
                  </w:r>
                  <w:r>
                    <w:rPr>
                      <w:szCs w:val="21"/>
                    </w:rPr>
                    <w:t>m</w:t>
                  </w:r>
                  <w:r>
                    <w:rPr>
                      <w:szCs w:val="21"/>
                      <w:vertAlign w:val="superscript"/>
                    </w:rPr>
                    <w:t>3</w:t>
                  </w:r>
                </w:p>
              </w:tc>
            </w:tr>
            <w:tr w:rsidR="00F76A63" w14:paraId="29A73026" w14:textId="77777777">
              <w:trPr>
                <w:jc w:val="center"/>
              </w:trPr>
              <w:tc>
                <w:tcPr>
                  <w:tcW w:w="4095" w:type="dxa"/>
                </w:tcPr>
                <w:p w14:paraId="36DCACB8" w14:textId="77777777" w:rsidR="00F76A63" w:rsidRDefault="00000000">
                  <w:pPr>
                    <w:adjustRightInd w:val="0"/>
                    <w:snapToGrid w:val="0"/>
                    <w:jc w:val="center"/>
                    <w:rPr>
                      <w:szCs w:val="21"/>
                    </w:rPr>
                  </w:pPr>
                  <w:r>
                    <w:rPr>
                      <w:rFonts w:hint="eastAsia"/>
                    </w:rPr>
                    <w:t>工艺设备回收率</w:t>
                  </w:r>
                </w:p>
              </w:tc>
              <w:tc>
                <w:tcPr>
                  <w:tcW w:w="2049" w:type="dxa"/>
                  <w:vAlign w:val="center"/>
                </w:tcPr>
                <w:p w14:paraId="4ADADE7E" w14:textId="77777777" w:rsidR="00F76A63" w:rsidRDefault="00000000">
                  <w:pPr>
                    <w:adjustRightInd w:val="0"/>
                    <w:snapToGrid w:val="0"/>
                    <w:jc w:val="center"/>
                    <w:rPr>
                      <w:szCs w:val="21"/>
                    </w:rPr>
                  </w:pPr>
                  <w:r>
                    <w:rPr>
                      <w:rFonts w:hint="eastAsia"/>
                      <w:szCs w:val="21"/>
                    </w:rPr>
                    <w:t>回用水箱</w:t>
                  </w:r>
                </w:p>
              </w:tc>
              <w:tc>
                <w:tcPr>
                  <w:tcW w:w="2049" w:type="dxa"/>
                  <w:vAlign w:val="center"/>
                </w:tcPr>
                <w:p w14:paraId="499664D6" w14:textId="77777777" w:rsidR="00F76A63" w:rsidRDefault="00000000">
                  <w:pPr>
                    <w:adjustRightInd w:val="0"/>
                    <w:snapToGrid w:val="0"/>
                    <w:jc w:val="center"/>
                    <w:rPr>
                      <w:szCs w:val="21"/>
                    </w:rPr>
                  </w:pPr>
                  <w:r>
                    <w:rPr>
                      <w:rFonts w:hint="eastAsia"/>
                      <w:szCs w:val="21"/>
                    </w:rPr>
                    <w:t>50</w:t>
                  </w:r>
                  <w:r>
                    <w:rPr>
                      <w:szCs w:val="21"/>
                    </w:rPr>
                    <w:t>m</w:t>
                  </w:r>
                  <w:r>
                    <w:rPr>
                      <w:szCs w:val="21"/>
                      <w:vertAlign w:val="superscript"/>
                    </w:rPr>
                    <w:t>3</w:t>
                  </w:r>
                </w:p>
              </w:tc>
            </w:tr>
            <w:tr w:rsidR="00F76A63" w14:paraId="0C8457BE" w14:textId="77777777">
              <w:trPr>
                <w:jc w:val="center"/>
              </w:trPr>
              <w:tc>
                <w:tcPr>
                  <w:tcW w:w="4095" w:type="dxa"/>
                </w:tcPr>
                <w:p w14:paraId="0DEEE372" w14:textId="77777777" w:rsidR="00F76A63" w:rsidRDefault="00000000">
                  <w:pPr>
                    <w:adjustRightInd w:val="0"/>
                    <w:snapToGrid w:val="0"/>
                    <w:jc w:val="center"/>
                    <w:rPr>
                      <w:szCs w:val="21"/>
                    </w:rPr>
                  </w:pPr>
                  <w:r>
                    <w:rPr>
                      <w:rFonts w:hint="eastAsia"/>
                    </w:rPr>
                    <w:t>设备形式</w:t>
                  </w:r>
                </w:p>
              </w:tc>
              <w:tc>
                <w:tcPr>
                  <w:tcW w:w="4098" w:type="dxa"/>
                  <w:gridSpan w:val="2"/>
                </w:tcPr>
                <w:p w14:paraId="20984463" w14:textId="77777777" w:rsidR="00F76A63" w:rsidRDefault="00000000">
                  <w:pPr>
                    <w:adjustRightInd w:val="0"/>
                    <w:snapToGrid w:val="0"/>
                    <w:jc w:val="center"/>
                    <w:rPr>
                      <w:szCs w:val="21"/>
                    </w:rPr>
                  </w:pPr>
                  <w:r>
                    <w:t>18x8.0x6.0m</w:t>
                  </w:r>
                </w:p>
              </w:tc>
            </w:tr>
            <w:tr w:rsidR="00F76A63" w14:paraId="5A87ADFA" w14:textId="77777777">
              <w:trPr>
                <w:jc w:val="center"/>
              </w:trPr>
              <w:tc>
                <w:tcPr>
                  <w:tcW w:w="4095" w:type="dxa"/>
                </w:tcPr>
                <w:p w14:paraId="4C26DC54" w14:textId="77777777" w:rsidR="00F76A63" w:rsidRDefault="00000000">
                  <w:pPr>
                    <w:adjustRightInd w:val="0"/>
                    <w:snapToGrid w:val="0"/>
                    <w:jc w:val="center"/>
                    <w:rPr>
                      <w:szCs w:val="21"/>
                    </w:rPr>
                  </w:pPr>
                  <w:r>
                    <w:rPr>
                      <w:rFonts w:hint="eastAsia"/>
                    </w:rPr>
                    <w:t>运行方式</w:t>
                  </w:r>
                </w:p>
              </w:tc>
              <w:tc>
                <w:tcPr>
                  <w:tcW w:w="4098" w:type="dxa"/>
                  <w:gridSpan w:val="2"/>
                </w:tcPr>
                <w:p w14:paraId="09DF6739" w14:textId="77777777" w:rsidR="00F76A63" w:rsidRDefault="00000000">
                  <w:pPr>
                    <w:adjustRightInd w:val="0"/>
                    <w:snapToGrid w:val="0"/>
                    <w:jc w:val="center"/>
                    <w:rPr>
                      <w:szCs w:val="21"/>
                    </w:rPr>
                  </w:pPr>
                  <w:r>
                    <w:t>80-85%</w:t>
                  </w:r>
                </w:p>
              </w:tc>
            </w:tr>
            <w:tr w:rsidR="00F76A63" w14:paraId="0FD14E80" w14:textId="77777777">
              <w:trPr>
                <w:jc w:val="center"/>
              </w:trPr>
              <w:tc>
                <w:tcPr>
                  <w:tcW w:w="4095" w:type="dxa"/>
                </w:tcPr>
                <w:p w14:paraId="222A3979" w14:textId="77777777" w:rsidR="00F76A63" w:rsidRDefault="00000000">
                  <w:pPr>
                    <w:adjustRightInd w:val="0"/>
                    <w:snapToGrid w:val="0"/>
                    <w:jc w:val="center"/>
                  </w:pPr>
                  <w:r>
                    <w:rPr>
                      <w:rFonts w:hint="eastAsia"/>
                    </w:rPr>
                    <w:t>装机功率</w:t>
                  </w:r>
                </w:p>
              </w:tc>
              <w:tc>
                <w:tcPr>
                  <w:tcW w:w="4098" w:type="dxa"/>
                  <w:gridSpan w:val="2"/>
                </w:tcPr>
                <w:p w14:paraId="48EB8EC7" w14:textId="77777777" w:rsidR="00F76A63" w:rsidRDefault="00000000">
                  <w:pPr>
                    <w:adjustRightInd w:val="0"/>
                    <w:snapToGrid w:val="0"/>
                    <w:jc w:val="center"/>
                    <w:rPr>
                      <w:szCs w:val="21"/>
                    </w:rPr>
                  </w:pPr>
                  <w:r>
                    <w:rPr>
                      <w:rFonts w:hint="eastAsia"/>
                    </w:rPr>
                    <w:t>撬装一体化，现场组装</w:t>
                  </w:r>
                </w:p>
              </w:tc>
            </w:tr>
            <w:tr w:rsidR="00F76A63" w14:paraId="5B23C7DF" w14:textId="77777777">
              <w:trPr>
                <w:jc w:val="center"/>
              </w:trPr>
              <w:tc>
                <w:tcPr>
                  <w:tcW w:w="4095" w:type="dxa"/>
                </w:tcPr>
                <w:p w14:paraId="6BBD2EAF" w14:textId="77777777" w:rsidR="00F76A63" w:rsidRDefault="00000000">
                  <w:pPr>
                    <w:adjustRightInd w:val="0"/>
                    <w:snapToGrid w:val="0"/>
                    <w:jc w:val="center"/>
                  </w:pPr>
                  <w:r>
                    <w:rPr>
                      <w:rFonts w:hint="eastAsia"/>
                    </w:rPr>
                    <w:t>运行成本</w:t>
                  </w:r>
                </w:p>
              </w:tc>
              <w:tc>
                <w:tcPr>
                  <w:tcW w:w="4098" w:type="dxa"/>
                  <w:gridSpan w:val="2"/>
                </w:tcPr>
                <w:p w14:paraId="53B4D387" w14:textId="77777777" w:rsidR="00F76A63" w:rsidRDefault="00000000">
                  <w:pPr>
                    <w:adjustRightInd w:val="0"/>
                    <w:snapToGrid w:val="0"/>
                    <w:jc w:val="center"/>
                    <w:rPr>
                      <w:szCs w:val="21"/>
                    </w:rPr>
                  </w:pPr>
                  <w:r>
                    <w:rPr>
                      <w:rFonts w:hint="eastAsia"/>
                    </w:rPr>
                    <w:t>全自动</w:t>
                  </w:r>
                </w:p>
              </w:tc>
            </w:tr>
            <w:tr w:rsidR="00F76A63" w14:paraId="0BA09776" w14:textId="77777777">
              <w:trPr>
                <w:jc w:val="center"/>
              </w:trPr>
              <w:tc>
                <w:tcPr>
                  <w:tcW w:w="4095" w:type="dxa"/>
                </w:tcPr>
                <w:p w14:paraId="06B78A16" w14:textId="77777777" w:rsidR="00F76A63" w:rsidRDefault="00000000">
                  <w:pPr>
                    <w:adjustRightInd w:val="0"/>
                    <w:snapToGrid w:val="0"/>
                    <w:jc w:val="center"/>
                  </w:pPr>
                  <w:r>
                    <w:rPr>
                      <w:rFonts w:hint="eastAsia"/>
                    </w:rPr>
                    <w:t>安装位置</w:t>
                  </w:r>
                </w:p>
              </w:tc>
              <w:tc>
                <w:tcPr>
                  <w:tcW w:w="4098" w:type="dxa"/>
                  <w:gridSpan w:val="2"/>
                </w:tcPr>
                <w:p w14:paraId="4A3919D3" w14:textId="77777777" w:rsidR="00F76A63" w:rsidRDefault="00000000">
                  <w:pPr>
                    <w:adjustRightInd w:val="0"/>
                    <w:snapToGrid w:val="0"/>
                    <w:jc w:val="center"/>
                    <w:rPr>
                      <w:szCs w:val="21"/>
                    </w:rPr>
                  </w:pPr>
                  <w:r>
                    <w:t>85kW</w:t>
                  </w:r>
                </w:p>
              </w:tc>
            </w:tr>
          </w:tbl>
          <w:p w14:paraId="2ADF3B3F" w14:textId="77777777" w:rsidR="00F76A63" w:rsidRDefault="00000000">
            <w:pPr>
              <w:adjustRightInd w:val="0"/>
              <w:snapToGrid w:val="0"/>
              <w:spacing w:line="500" w:lineRule="exact"/>
              <w:ind w:firstLineChars="200" w:firstLine="480"/>
              <w:rPr>
                <w:sz w:val="24"/>
              </w:rPr>
            </w:pPr>
            <w:r>
              <w:rPr>
                <w:sz w:val="24"/>
              </w:rPr>
              <w:t>本项目渗滤液产生量</w:t>
            </w:r>
            <w:r>
              <w:rPr>
                <w:rFonts w:hint="eastAsia"/>
                <w:sz w:val="24"/>
              </w:rPr>
              <w:t>较小</w:t>
            </w:r>
            <w:r>
              <w:rPr>
                <w:sz w:val="24"/>
              </w:rPr>
              <w:t>（</w:t>
            </w:r>
            <w:r>
              <w:rPr>
                <w:rFonts w:hint="eastAsia"/>
                <w:sz w:val="24"/>
              </w:rPr>
              <w:t>9.6m</w:t>
            </w:r>
            <w:r>
              <w:rPr>
                <w:rFonts w:hint="eastAsia"/>
                <w:sz w:val="24"/>
                <w:vertAlign w:val="superscript"/>
              </w:rPr>
              <w:t>3</w:t>
            </w:r>
            <w:r>
              <w:rPr>
                <w:rFonts w:hint="eastAsia"/>
                <w:sz w:val="24"/>
              </w:rPr>
              <w:t>/d</w:t>
            </w:r>
            <w:r>
              <w:rPr>
                <w:sz w:val="24"/>
              </w:rPr>
              <w:t>）；厂区现有</w:t>
            </w:r>
            <w:r>
              <w:rPr>
                <w:rFonts w:hint="eastAsia"/>
                <w:sz w:val="24"/>
              </w:rPr>
              <w:t>中水回用系统</w:t>
            </w:r>
            <w:r>
              <w:rPr>
                <w:sz w:val="24"/>
              </w:rPr>
              <w:t>处理能力富余，可稳定接纳并处理；水泥生产连续用水、调节能力强，能够确保渗滤液随产随用、不积存、不溢流，回用系统长期稳定可靠。</w:t>
            </w:r>
          </w:p>
          <w:p w14:paraId="50F0AE43" w14:textId="77777777" w:rsidR="00F76A63" w:rsidRDefault="00000000">
            <w:pPr>
              <w:adjustRightInd w:val="0"/>
              <w:snapToGrid w:val="0"/>
              <w:spacing w:line="500" w:lineRule="exact"/>
              <w:ind w:firstLineChars="200" w:firstLine="480"/>
              <w:rPr>
                <w:sz w:val="24"/>
              </w:rPr>
            </w:pPr>
            <w:r>
              <w:rPr>
                <w:sz w:val="24"/>
              </w:rPr>
              <w:t>污泥渗滤液主要污染物为</w:t>
            </w:r>
            <w:r>
              <w:rPr>
                <w:sz w:val="24"/>
              </w:rPr>
              <w:t>SS</w:t>
            </w:r>
            <w:r>
              <w:rPr>
                <w:sz w:val="24"/>
              </w:rPr>
              <w:t>、</w:t>
            </w:r>
            <w:r>
              <w:rPr>
                <w:sz w:val="24"/>
              </w:rPr>
              <w:t>COD</w:t>
            </w:r>
            <w:r>
              <w:rPr>
                <w:sz w:val="24"/>
              </w:rPr>
              <w:t>、氨氮、总氮、总磷、</w:t>
            </w:r>
            <w:r>
              <w:rPr>
                <w:sz w:val="24"/>
              </w:rPr>
              <w:t>Cl⁻</w:t>
            </w:r>
            <w:r>
              <w:rPr>
                <w:sz w:val="24"/>
              </w:rPr>
              <w:t>、</w:t>
            </w:r>
            <w:r>
              <w:rPr>
                <w:sz w:val="24"/>
              </w:rPr>
              <w:t>SO</w:t>
            </w:r>
            <w:r>
              <w:rPr>
                <w:rFonts w:hint="eastAsia"/>
                <w:sz w:val="24"/>
                <w:vertAlign w:val="subscript"/>
              </w:rPr>
              <w:t>4</w:t>
            </w:r>
            <w:r>
              <w:rPr>
                <w:rFonts w:hint="eastAsia"/>
                <w:sz w:val="24"/>
                <w:vertAlign w:val="superscript"/>
              </w:rPr>
              <w:t>2-</w:t>
            </w:r>
            <w:r>
              <w:rPr>
                <w:sz w:val="24"/>
              </w:rPr>
              <w:t>及微量重金属，经厂区现有</w:t>
            </w:r>
            <w:r>
              <w:rPr>
                <w:rFonts w:hint="eastAsia"/>
                <w:sz w:val="24"/>
              </w:rPr>
              <w:t>中水回用系统</w:t>
            </w:r>
            <w:r>
              <w:rPr>
                <w:sz w:val="24"/>
              </w:rPr>
              <w:t>处理后，出水水质可满足《城市污水再生利用工业用水水质》（</w:t>
            </w:r>
            <w:r>
              <w:rPr>
                <w:sz w:val="24"/>
              </w:rPr>
              <w:t>GB/T19923-2024</w:t>
            </w:r>
            <w:r>
              <w:rPr>
                <w:sz w:val="24"/>
              </w:rPr>
              <w:t>）表</w:t>
            </w:r>
            <w:r>
              <w:rPr>
                <w:sz w:val="24"/>
              </w:rPr>
              <w:t>1</w:t>
            </w:r>
            <w:r>
              <w:rPr>
                <w:sz w:val="24"/>
              </w:rPr>
              <w:t>工艺回用水要求，且水中重金属含量较低，可全部回用。</w:t>
            </w:r>
          </w:p>
          <w:p w14:paraId="3C5A1A08" w14:textId="77777777" w:rsidR="00F76A63" w:rsidRDefault="00F76A63">
            <w:pPr>
              <w:adjustRightInd w:val="0"/>
              <w:snapToGrid w:val="0"/>
              <w:spacing w:line="500" w:lineRule="exact"/>
              <w:ind w:firstLineChars="200" w:firstLine="480"/>
              <w:rPr>
                <w:sz w:val="24"/>
              </w:rPr>
            </w:pPr>
          </w:p>
          <w:p w14:paraId="67A568A4" w14:textId="77777777" w:rsidR="00F76A63" w:rsidRDefault="00F76A63">
            <w:pPr>
              <w:adjustRightInd w:val="0"/>
              <w:snapToGrid w:val="0"/>
              <w:spacing w:line="500" w:lineRule="exact"/>
              <w:ind w:firstLineChars="200" w:firstLine="480"/>
              <w:rPr>
                <w:sz w:val="24"/>
              </w:rPr>
            </w:pPr>
          </w:p>
          <w:p w14:paraId="4FAC3D36" w14:textId="77777777" w:rsidR="00F76A63" w:rsidRDefault="00000000">
            <w:pPr>
              <w:adjustRightInd w:val="0"/>
              <w:snapToGrid w:val="0"/>
              <w:spacing w:line="500" w:lineRule="exact"/>
              <w:ind w:firstLineChars="200" w:firstLine="482"/>
              <w:rPr>
                <w:b/>
                <w:bCs/>
                <w:sz w:val="24"/>
              </w:rPr>
            </w:pPr>
            <w:r>
              <w:rPr>
                <w:b/>
                <w:bCs/>
                <w:sz w:val="24"/>
              </w:rPr>
              <w:lastRenderedPageBreak/>
              <w:t>3</w:t>
            </w:r>
            <w:r>
              <w:rPr>
                <w:b/>
                <w:bCs/>
                <w:sz w:val="24"/>
              </w:rPr>
              <w:t>、噪声</w:t>
            </w:r>
          </w:p>
          <w:p w14:paraId="1DB50E18" w14:textId="77777777" w:rsidR="00F76A63" w:rsidRDefault="00000000">
            <w:pPr>
              <w:pStyle w:val="lqq1"/>
              <w:ind w:firstLine="482"/>
              <w:rPr>
                <w:b/>
              </w:rPr>
            </w:pPr>
            <w:r>
              <w:rPr>
                <w:rFonts w:hint="eastAsia"/>
                <w:b/>
              </w:rPr>
              <w:t>（</w:t>
            </w:r>
            <w:r>
              <w:rPr>
                <w:rFonts w:hint="eastAsia"/>
                <w:b/>
              </w:rPr>
              <w:t>1</w:t>
            </w:r>
            <w:r>
              <w:rPr>
                <w:rFonts w:hint="eastAsia"/>
                <w:b/>
              </w:rPr>
              <w:t>）噪声源强分析</w:t>
            </w:r>
          </w:p>
          <w:p w14:paraId="45EA8184" w14:textId="77777777" w:rsidR="00F76A63" w:rsidRDefault="00000000">
            <w:pPr>
              <w:pStyle w:val="lqq1"/>
              <w:ind w:firstLine="480"/>
            </w:pPr>
            <w:r>
              <w:rPr>
                <w:rFonts w:hint="eastAsia"/>
              </w:rPr>
              <w:t>本项目生产过程中设备会产生一定的噪声，主要为高压雾化喷淋系统设备产生的噪声，约</w:t>
            </w:r>
            <w:r>
              <w:rPr>
                <w:rFonts w:hint="eastAsia"/>
              </w:rPr>
              <w:t>70dB</w:t>
            </w:r>
            <w:r>
              <w:rPr>
                <w:rFonts w:hint="eastAsia"/>
              </w:rPr>
              <w:t>（</w:t>
            </w:r>
            <w:r>
              <w:rPr>
                <w:rFonts w:hint="eastAsia"/>
              </w:rPr>
              <w:t>A</w:t>
            </w:r>
            <w:r>
              <w:rPr>
                <w:rFonts w:hint="eastAsia"/>
              </w:rPr>
              <w:t>）。高噪声设备，采取设置减震基础、安装消声装置等措施来减轻其对外环境的影响。具体设备噪声源强见表</w:t>
            </w:r>
            <w:r>
              <w:rPr>
                <w:rFonts w:hint="eastAsia"/>
              </w:rPr>
              <w:t>4-3</w:t>
            </w:r>
            <w:r>
              <w:rPr>
                <w:rFonts w:hint="eastAsia"/>
              </w:rPr>
              <w:t>。</w:t>
            </w:r>
          </w:p>
          <w:p w14:paraId="507773C7" w14:textId="77777777" w:rsidR="00F76A63" w:rsidRDefault="00000000">
            <w:pPr>
              <w:pStyle w:val="lqq1"/>
              <w:ind w:firstLineChars="0" w:firstLine="0"/>
              <w:jc w:val="center"/>
              <w:rPr>
                <w:b/>
                <w:bCs/>
              </w:rPr>
            </w:pPr>
            <w:r>
              <w:rPr>
                <w:rFonts w:hint="eastAsia"/>
                <w:b/>
                <w:bCs/>
              </w:rPr>
              <w:t>表</w:t>
            </w:r>
            <w:r>
              <w:rPr>
                <w:rFonts w:hint="eastAsia"/>
                <w:b/>
                <w:bCs/>
              </w:rPr>
              <w:t>4-3</w:t>
            </w:r>
            <w:r>
              <w:rPr>
                <w:rFonts w:hint="eastAsia"/>
                <w:b/>
                <w:bCs/>
              </w:rPr>
              <w:t>项目主要设备噪声声压级单位：</w:t>
            </w:r>
            <w:r>
              <w:rPr>
                <w:rFonts w:hint="eastAsia"/>
                <w:b/>
                <w:bCs/>
              </w:rPr>
              <w:t>dB</w:t>
            </w:r>
            <w:r>
              <w:rPr>
                <w:rFonts w:hint="eastAsia"/>
                <w:b/>
                <w:bCs/>
              </w:rPr>
              <w:t>（</w:t>
            </w:r>
            <w:r>
              <w:rPr>
                <w:rFonts w:hint="eastAsia"/>
                <w:b/>
                <w:bCs/>
              </w:rPr>
              <w:t>A</w:t>
            </w:r>
            <w:r>
              <w:rPr>
                <w:rFonts w:hint="eastAsia"/>
                <w:b/>
                <w:bCs/>
              </w:rPr>
              <w:t>）</w:t>
            </w:r>
          </w:p>
          <w:tbl>
            <w:tblPr>
              <w:tblW w:w="5000" w:type="pct"/>
              <w:jc w:val="center"/>
              <w:tblBorders>
                <w:top w:val="single" w:sz="12" w:space="0" w:color="000000"/>
                <w:bottom w:val="single" w:sz="12" w:space="0" w:color="000000"/>
                <w:insideH w:val="single" w:sz="4" w:space="0" w:color="000000"/>
                <w:insideV w:val="single" w:sz="6" w:space="0" w:color="000000"/>
              </w:tblBorders>
              <w:tblCellMar>
                <w:left w:w="0" w:type="dxa"/>
                <w:right w:w="0" w:type="dxa"/>
              </w:tblCellMar>
              <w:tblLook w:val="04A0" w:firstRow="1" w:lastRow="0" w:firstColumn="1" w:lastColumn="0" w:noHBand="0" w:noVBand="1"/>
            </w:tblPr>
            <w:tblGrid>
              <w:gridCol w:w="906"/>
              <w:gridCol w:w="1080"/>
              <w:gridCol w:w="742"/>
              <w:gridCol w:w="742"/>
              <w:gridCol w:w="570"/>
              <w:gridCol w:w="1462"/>
              <w:gridCol w:w="802"/>
              <w:gridCol w:w="973"/>
              <w:gridCol w:w="916"/>
            </w:tblGrid>
            <w:tr w:rsidR="00F76A63" w14:paraId="0F08AD2F" w14:textId="77777777">
              <w:trPr>
                <w:jc w:val="center"/>
              </w:trPr>
              <w:tc>
                <w:tcPr>
                  <w:tcW w:w="0" w:type="auto"/>
                  <w:vMerge w:val="restart"/>
                  <w:vAlign w:val="center"/>
                </w:tcPr>
                <w:p w14:paraId="11A1766F" w14:textId="77777777" w:rsidR="00F76A63" w:rsidRDefault="00000000">
                  <w:pPr>
                    <w:pStyle w:val="lqq1"/>
                    <w:spacing w:line="240" w:lineRule="auto"/>
                    <w:ind w:firstLineChars="0" w:firstLine="0"/>
                    <w:jc w:val="center"/>
                    <w:rPr>
                      <w:b/>
                      <w:bCs/>
                      <w:sz w:val="21"/>
                      <w:szCs w:val="21"/>
                    </w:rPr>
                  </w:pPr>
                  <w:r>
                    <w:rPr>
                      <w:b/>
                      <w:bCs/>
                      <w:sz w:val="21"/>
                      <w:szCs w:val="21"/>
                    </w:rPr>
                    <w:t>建筑物名称</w:t>
                  </w:r>
                </w:p>
              </w:tc>
              <w:tc>
                <w:tcPr>
                  <w:tcW w:w="0" w:type="auto"/>
                  <w:vMerge w:val="restart"/>
                  <w:vAlign w:val="center"/>
                </w:tcPr>
                <w:p w14:paraId="7A492B54" w14:textId="77777777" w:rsidR="00F76A63" w:rsidRDefault="00000000">
                  <w:pPr>
                    <w:pStyle w:val="lqq1"/>
                    <w:spacing w:line="240" w:lineRule="auto"/>
                    <w:ind w:firstLineChars="0" w:firstLine="0"/>
                    <w:jc w:val="center"/>
                    <w:rPr>
                      <w:b/>
                      <w:bCs/>
                      <w:sz w:val="21"/>
                      <w:szCs w:val="21"/>
                    </w:rPr>
                  </w:pPr>
                  <w:r>
                    <w:rPr>
                      <w:b/>
                      <w:bCs/>
                      <w:sz w:val="21"/>
                      <w:szCs w:val="21"/>
                    </w:rPr>
                    <w:t>装置</w:t>
                  </w:r>
                  <w:r>
                    <w:rPr>
                      <w:b/>
                      <w:bCs/>
                      <w:sz w:val="21"/>
                      <w:szCs w:val="21"/>
                    </w:rPr>
                    <w:t>/</w:t>
                  </w:r>
                  <w:r>
                    <w:rPr>
                      <w:b/>
                      <w:bCs/>
                      <w:sz w:val="21"/>
                      <w:szCs w:val="21"/>
                    </w:rPr>
                    <w:t>噪声源</w:t>
                  </w:r>
                </w:p>
              </w:tc>
              <w:tc>
                <w:tcPr>
                  <w:tcW w:w="0" w:type="auto"/>
                  <w:vMerge w:val="restart"/>
                  <w:vAlign w:val="center"/>
                </w:tcPr>
                <w:p w14:paraId="64103FC2" w14:textId="77777777" w:rsidR="00F76A63" w:rsidRDefault="00000000">
                  <w:pPr>
                    <w:pStyle w:val="lqq1"/>
                    <w:spacing w:line="240" w:lineRule="auto"/>
                    <w:ind w:firstLineChars="0" w:firstLine="0"/>
                    <w:jc w:val="center"/>
                    <w:rPr>
                      <w:b/>
                      <w:bCs/>
                      <w:sz w:val="21"/>
                      <w:szCs w:val="21"/>
                    </w:rPr>
                  </w:pPr>
                  <w:r>
                    <w:rPr>
                      <w:b/>
                      <w:bCs/>
                      <w:sz w:val="21"/>
                      <w:szCs w:val="21"/>
                    </w:rPr>
                    <w:t>声源类型</w:t>
                  </w:r>
                </w:p>
              </w:tc>
              <w:tc>
                <w:tcPr>
                  <w:tcW w:w="0" w:type="auto"/>
                  <w:gridSpan w:val="2"/>
                  <w:vAlign w:val="center"/>
                </w:tcPr>
                <w:p w14:paraId="5E6AD442" w14:textId="77777777" w:rsidR="00F76A63" w:rsidRDefault="00000000">
                  <w:pPr>
                    <w:pStyle w:val="lqq1"/>
                    <w:spacing w:line="240" w:lineRule="auto"/>
                    <w:ind w:firstLineChars="0" w:firstLine="0"/>
                    <w:jc w:val="center"/>
                    <w:rPr>
                      <w:b/>
                      <w:bCs/>
                      <w:sz w:val="21"/>
                      <w:szCs w:val="21"/>
                    </w:rPr>
                  </w:pPr>
                  <w:r>
                    <w:rPr>
                      <w:b/>
                      <w:bCs/>
                      <w:sz w:val="21"/>
                      <w:szCs w:val="21"/>
                    </w:rPr>
                    <w:t>噪声源强</w:t>
                  </w:r>
                </w:p>
              </w:tc>
              <w:tc>
                <w:tcPr>
                  <w:tcW w:w="0" w:type="auto"/>
                  <w:gridSpan w:val="2"/>
                  <w:vAlign w:val="center"/>
                </w:tcPr>
                <w:p w14:paraId="435DDF90" w14:textId="77777777" w:rsidR="00F76A63" w:rsidRDefault="00000000">
                  <w:pPr>
                    <w:pStyle w:val="lqq1"/>
                    <w:spacing w:line="240" w:lineRule="auto"/>
                    <w:ind w:firstLineChars="0" w:firstLine="0"/>
                    <w:jc w:val="center"/>
                    <w:rPr>
                      <w:b/>
                      <w:bCs/>
                      <w:sz w:val="21"/>
                      <w:szCs w:val="21"/>
                    </w:rPr>
                  </w:pPr>
                  <w:r>
                    <w:rPr>
                      <w:b/>
                      <w:bCs/>
                      <w:sz w:val="21"/>
                      <w:szCs w:val="21"/>
                    </w:rPr>
                    <w:t>降噪措施</w:t>
                  </w:r>
                </w:p>
              </w:tc>
              <w:tc>
                <w:tcPr>
                  <w:tcW w:w="0" w:type="auto"/>
                  <w:vMerge w:val="restart"/>
                  <w:vAlign w:val="center"/>
                </w:tcPr>
                <w:p w14:paraId="03566D42" w14:textId="77777777" w:rsidR="00F76A63" w:rsidRDefault="00000000">
                  <w:pPr>
                    <w:pStyle w:val="lqq1"/>
                    <w:spacing w:line="240" w:lineRule="auto"/>
                    <w:ind w:firstLineChars="0" w:firstLine="0"/>
                    <w:jc w:val="center"/>
                    <w:rPr>
                      <w:b/>
                      <w:bCs/>
                      <w:sz w:val="21"/>
                      <w:szCs w:val="21"/>
                    </w:rPr>
                  </w:pPr>
                  <w:r>
                    <w:rPr>
                      <w:b/>
                      <w:bCs/>
                      <w:sz w:val="21"/>
                      <w:szCs w:val="21"/>
                    </w:rPr>
                    <w:t>噪声排放值</w:t>
                  </w:r>
                </w:p>
              </w:tc>
              <w:tc>
                <w:tcPr>
                  <w:tcW w:w="0" w:type="auto"/>
                  <w:vMerge w:val="restart"/>
                  <w:vAlign w:val="center"/>
                </w:tcPr>
                <w:p w14:paraId="25AA3D91" w14:textId="77777777" w:rsidR="00F76A63" w:rsidRDefault="00000000">
                  <w:pPr>
                    <w:pStyle w:val="lqq1"/>
                    <w:spacing w:line="240" w:lineRule="auto"/>
                    <w:ind w:firstLineChars="0" w:firstLine="0"/>
                    <w:jc w:val="center"/>
                    <w:rPr>
                      <w:b/>
                      <w:bCs/>
                      <w:sz w:val="21"/>
                      <w:szCs w:val="21"/>
                    </w:rPr>
                  </w:pPr>
                  <w:r>
                    <w:rPr>
                      <w:b/>
                      <w:bCs/>
                      <w:sz w:val="21"/>
                      <w:szCs w:val="21"/>
                    </w:rPr>
                    <w:t>持续时间</w:t>
                  </w:r>
                  <w:r>
                    <w:rPr>
                      <w:b/>
                      <w:bCs/>
                      <w:sz w:val="21"/>
                      <w:szCs w:val="21"/>
                    </w:rPr>
                    <w:t>/h</w:t>
                  </w:r>
                </w:p>
              </w:tc>
            </w:tr>
            <w:tr w:rsidR="00F76A63" w14:paraId="53C386A3" w14:textId="77777777">
              <w:trPr>
                <w:jc w:val="center"/>
              </w:trPr>
              <w:tc>
                <w:tcPr>
                  <w:tcW w:w="0" w:type="auto"/>
                  <w:vMerge/>
                  <w:vAlign w:val="center"/>
                </w:tcPr>
                <w:p w14:paraId="5AE89ED1" w14:textId="77777777" w:rsidR="00F76A63" w:rsidRDefault="00F76A63">
                  <w:pPr>
                    <w:pStyle w:val="lqq1"/>
                    <w:spacing w:line="240" w:lineRule="auto"/>
                    <w:ind w:firstLineChars="0" w:firstLine="0"/>
                    <w:jc w:val="center"/>
                    <w:rPr>
                      <w:sz w:val="21"/>
                      <w:szCs w:val="21"/>
                    </w:rPr>
                  </w:pPr>
                </w:p>
              </w:tc>
              <w:tc>
                <w:tcPr>
                  <w:tcW w:w="0" w:type="auto"/>
                  <w:vMerge/>
                  <w:vAlign w:val="center"/>
                </w:tcPr>
                <w:p w14:paraId="2921A15A" w14:textId="77777777" w:rsidR="00F76A63" w:rsidRDefault="00F76A63">
                  <w:pPr>
                    <w:pStyle w:val="lqq1"/>
                    <w:spacing w:line="240" w:lineRule="auto"/>
                    <w:ind w:firstLineChars="0" w:firstLine="0"/>
                    <w:jc w:val="center"/>
                    <w:rPr>
                      <w:sz w:val="21"/>
                      <w:szCs w:val="21"/>
                    </w:rPr>
                  </w:pPr>
                </w:p>
              </w:tc>
              <w:tc>
                <w:tcPr>
                  <w:tcW w:w="0" w:type="auto"/>
                  <w:vMerge/>
                  <w:vAlign w:val="center"/>
                </w:tcPr>
                <w:p w14:paraId="0A37C2FB" w14:textId="77777777" w:rsidR="00F76A63" w:rsidRDefault="00F76A63">
                  <w:pPr>
                    <w:pStyle w:val="lqq1"/>
                    <w:spacing w:line="240" w:lineRule="auto"/>
                    <w:ind w:firstLineChars="0" w:firstLine="0"/>
                    <w:jc w:val="center"/>
                    <w:rPr>
                      <w:sz w:val="21"/>
                      <w:szCs w:val="21"/>
                    </w:rPr>
                  </w:pPr>
                </w:p>
              </w:tc>
              <w:tc>
                <w:tcPr>
                  <w:tcW w:w="0" w:type="auto"/>
                  <w:vAlign w:val="center"/>
                </w:tcPr>
                <w:p w14:paraId="183FBD06" w14:textId="77777777" w:rsidR="00F76A63" w:rsidRDefault="00000000">
                  <w:pPr>
                    <w:pStyle w:val="lqq1"/>
                    <w:spacing w:line="240" w:lineRule="auto"/>
                    <w:ind w:firstLineChars="0" w:firstLine="0"/>
                    <w:jc w:val="center"/>
                    <w:rPr>
                      <w:b/>
                      <w:bCs/>
                      <w:sz w:val="21"/>
                      <w:szCs w:val="21"/>
                    </w:rPr>
                  </w:pPr>
                  <w:r>
                    <w:rPr>
                      <w:b/>
                      <w:bCs/>
                      <w:sz w:val="21"/>
                      <w:szCs w:val="21"/>
                    </w:rPr>
                    <w:t>核算方法</w:t>
                  </w:r>
                </w:p>
              </w:tc>
              <w:tc>
                <w:tcPr>
                  <w:tcW w:w="0" w:type="auto"/>
                  <w:vAlign w:val="center"/>
                </w:tcPr>
                <w:p w14:paraId="60435E9A" w14:textId="77777777" w:rsidR="00F76A63" w:rsidRDefault="00000000">
                  <w:pPr>
                    <w:pStyle w:val="lqq1"/>
                    <w:spacing w:line="240" w:lineRule="auto"/>
                    <w:ind w:firstLineChars="0" w:firstLine="0"/>
                    <w:jc w:val="center"/>
                    <w:rPr>
                      <w:b/>
                      <w:bCs/>
                      <w:sz w:val="21"/>
                      <w:szCs w:val="21"/>
                    </w:rPr>
                  </w:pPr>
                  <w:r>
                    <w:rPr>
                      <w:b/>
                      <w:bCs/>
                      <w:sz w:val="21"/>
                      <w:szCs w:val="21"/>
                    </w:rPr>
                    <w:t>噪声值</w:t>
                  </w:r>
                </w:p>
              </w:tc>
              <w:tc>
                <w:tcPr>
                  <w:tcW w:w="0" w:type="auto"/>
                  <w:vAlign w:val="center"/>
                </w:tcPr>
                <w:p w14:paraId="13912878" w14:textId="77777777" w:rsidR="00F76A63" w:rsidRDefault="00000000">
                  <w:pPr>
                    <w:pStyle w:val="lqq1"/>
                    <w:spacing w:line="240" w:lineRule="auto"/>
                    <w:ind w:firstLineChars="0" w:firstLine="0"/>
                    <w:jc w:val="center"/>
                    <w:rPr>
                      <w:b/>
                      <w:bCs/>
                      <w:sz w:val="21"/>
                      <w:szCs w:val="21"/>
                    </w:rPr>
                  </w:pPr>
                  <w:r>
                    <w:rPr>
                      <w:b/>
                      <w:bCs/>
                      <w:sz w:val="21"/>
                      <w:szCs w:val="21"/>
                    </w:rPr>
                    <w:t>工艺</w:t>
                  </w:r>
                </w:p>
              </w:tc>
              <w:tc>
                <w:tcPr>
                  <w:tcW w:w="0" w:type="auto"/>
                  <w:vAlign w:val="center"/>
                </w:tcPr>
                <w:p w14:paraId="42CA33FF" w14:textId="77777777" w:rsidR="00F76A63" w:rsidRDefault="00000000">
                  <w:pPr>
                    <w:pStyle w:val="lqq1"/>
                    <w:spacing w:line="240" w:lineRule="auto"/>
                    <w:ind w:firstLineChars="0" w:firstLine="0"/>
                    <w:jc w:val="center"/>
                    <w:rPr>
                      <w:b/>
                      <w:bCs/>
                      <w:sz w:val="21"/>
                      <w:szCs w:val="21"/>
                    </w:rPr>
                  </w:pPr>
                  <w:r>
                    <w:rPr>
                      <w:b/>
                      <w:bCs/>
                      <w:sz w:val="21"/>
                      <w:szCs w:val="21"/>
                    </w:rPr>
                    <w:t>降噪效果</w:t>
                  </w:r>
                </w:p>
              </w:tc>
              <w:tc>
                <w:tcPr>
                  <w:tcW w:w="0" w:type="auto"/>
                  <w:vMerge/>
                  <w:vAlign w:val="center"/>
                </w:tcPr>
                <w:p w14:paraId="6239A483" w14:textId="77777777" w:rsidR="00F76A63" w:rsidRDefault="00F76A63">
                  <w:pPr>
                    <w:pStyle w:val="lqq1"/>
                    <w:spacing w:line="240" w:lineRule="auto"/>
                    <w:ind w:firstLineChars="0" w:firstLine="0"/>
                    <w:jc w:val="center"/>
                    <w:rPr>
                      <w:sz w:val="21"/>
                      <w:szCs w:val="21"/>
                    </w:rPr>
                  </w:pPr>
                </w:p>
              </w:tc>
              <w:tc>
                <w:tcPr>
                  <w:tcW w:w="0" w:type="auto"/>
                  <w:vMerge/>
                  <w:vAlign w:val="center"/>
                </w:tcPr>
                <w:p w14:paraId="58691E7D" w14:textId="77777777" w:rsidR="00F76A63" w:rsidRDefault="00F76A63">
                  <w:pPr>
                    <w:pStyle w:val="lqq1"/>
                    <w:spacing w:line="240" w:lineRule="auto"/>
                    <w:ind w:firstLineChars="0" w:firstLine="0"/>
                    <w:jc w:val="center"/>
                    <w:rPr>
                      <w:sz w:val="21"/>
                      <w:szCs w:val="21"/>
                    </w:rPr>
                  </w:pPr>
                </w:p>
              </w:tc>
            </w:tr>
            <w:tr w:rsidR="00F76A63" w14:paraId="7D97C138" w14:textId="77777777">
              <w:trPr>
                <w:jc w:val="center"/>
              </w:trPr>
              <w:tc>
                <w:tcPr>
                  <w:tcW w:w="0" w:type="auto"/>
                  <w:vMerge w:val="restart"/>
                  <w:vAlign w:val="center"/>
                </w:tcPr>
                <w:p w14:paraId="0F110445" w14:textId="77777777" w:rsidR="00F76A63" w:rsidRDefault="00000000">
                  <w:pPr>
                    <w:pStyle w:val="lqq1"/>
                    <w:spacing w:line="240" w:lineRule="auto"/>
                    <w:ind w:firstLineChars="0" w:firstLine="0"/>
                    <w:jc w:val="center"/>
                    <w:rPr>
                      <w:sz w:val="21"/>
                      <w:szCs w:val="21"/>
                    </w:rPr>
                  </w:pPr>
                  <w:r>
                    <w:rPr>
                      <w:sz w:val="21"/>
                      <w:szCs w:val="21"/>
                    </w:rPr>
                    <w:t>室</w:t>
                  </w:r>
                  <w:r>
                    <w:rPr>
                      <w:rFonts w:hint="eastAsia"/>
                      <w:sz w:val="21"/>
                      <w:szCs w:val="21"/>
                    </w:rPr>
                    <w:t>内</w:t>
                  </w:r>
                </w:p>
              </w:tc>
              <w:tc>
                <w:tcPr>
                  <w:tcW w:w="0" w:type="auto"/>
                  <w:vAlign w:val="center"/>
                </w:tcPr>
                <w:p w14:paraId="1ADD7182" w14:textId="77777777" w:rsidR="00F76A63" w:rsidRDefault="00000000">
                  <w:pPr>
                    <w:pStyle w:val="lqq1"/>
                    <w:spacing w:line="240" w:lineRule="auto"/>
                    <w:ind w:firstLineChars="0" w:firstLine="0"/>
                    <w:jc w:val="center"/>
                    <w:rPr>
                      <w:sz w:val="21"/>
                      <w:szCs w:val="21"/>
                    </w:rPr>
                  </w:pPr>
                  <w:r>
                    <w:rPr>
                      <w:rFonts w:hint="eastAsia"/>
                      <w:sz w:val="21"/>
                      <w:szCs w:val="21"/>
                    </w:rPr>
                    <w:t>高压喷淋主机</w:t>
                  </w:r>
                </w:p>
              </w:tc>
              <w:tc>
                <w:tcPr>
                  <w:tcW w:w="0" w:type="auto"/>
                  <w:vAlign w:val="center"/>
                </w:tcPr>
                <w:p w14:paraId="3C5842AC" w14:textId="77777777" w:rsidR="00F76A63" w:rsidRDefault="00000000">
                  <w:pPr>
                    <w:pStyle w:val="lqq1"/>
                    <w:spacing w:line="240" w:lineRule="auto"/>
                    <w:ind w:firstLineChars="0" w:firstLine="0"/>
                    <w:jc w:val="center"/>
                    <w:rPr>
                      <w:sz w:val="21"/>
                      <w:szCs w:val="21"/>
                    </w:rPr>
                  </w:pPr>
                  <w:r>
                    <w:rPr>
                      <w:sz w:val="21"/>
                      <w:szCs w:val="21"/>
                    </w:rPr>
                    <w:t>频发</w:t>
                  </w:r>
                </w:p>
              </w:tc>
              <w:tc>
                <w:tcPr>
                  <w:tcW w:w="0" w:type="auto"/>
                  <w:vAlign w:val="center"/>
                </w:tcPr>
                <w:p w14:paraId="21028E0A" w14:textId="77777777" w:rsidR="00F76A63" w:rsidRDefault="00000000">
                  <w:pPr>
                    <w:pStyle w:val="lqq1"/>
                    <w:spacing w:line="240" w:lineRule="auto"/>
                    <w:ind w:firstLineChars="0" w:firstLine="0"/>
                    <w:jc w:val="center"/>
                    <w:rPr>
                      <w:sz w:val="21"/>
                      <w:szCs w:val="21"/>
                    </w:rPr>
                  </w:pPr>
                  <w:r>
                    <w:rPr>
                      <w:sz w:val="21"/>
                      <w:szCs w:val="21"/>
                    </w:rPr>
                    <w:t>类比法</w:t>
                  </w:r>
                </w:p>
              </w:tc>
              <w:tc>
                <w:tcPr>
                  <w:tcW w:w="0" w:type="auto"/>
                  <w:vAlign w:val="center"/>
                </w:tcPr>
                <w:p w14:paraId="7A0FC908" w14:textId="77777777" w:rsidR="00F76A63" w:rsidRDefault="00000000">
                  <w:pPr>
                    <w:pStyle w:val="lqq1"/>
                    <w:spacing w:line="240" w:lineRule="auto"/>
                    <w:ind w:firstLineChars="0" w:firstLine="0"/>
                    <w:jc w:val="center"/>
                    <w:rPr>
                      <w:sz w:val="21"/>
                      <w:szCs w:val="21"/>
                    </w:rPr>
                  </w:pPr>
                  <w:r>
                    <w:rPr>
                      <w:rFonts w:hint="eastAsia"/>
                      <w:sz w:val="21"/>
                      <w:szCs w:val="21"/>
                    </w:rPr>
                    <w:t>70</w:t>
                  </w:r>
                </w:p>
              </w:tc>
              <w:tc>
                <w:tcPr>
                  <w:tcW w:w="0" w:type="auto"/>
                  <w:vAlign w:val="center"/>
                </w:tcPr>
                <w:p w14:paraId="4AA028F9" w14:textId="77777777" w:rsidR="00F76A63" w:rsidRDefault="00000000">
                  <w:pPr>
                    <w:pStyle w:val="lqq1"/>
                    <w:spacing w:line="240" w:lineRule="auto"/>
                    <w:ind w:firstLineChars="0" w:firstLine="0"/>
                    <w:jc w:val="center"/>
                    <w:rPr>
                      <w:sz w:val="21"/>
                      <w:szCs w:val="21"/>
                    </w:rPr>
                  </w:pPr>
                  <w:r>
                    <w:rPr>
                      <w:sz w:val="21"/>
                      <w:szCs w:val="21"/>
                    </w:rPr>
                    <w:t>选低噪设备、减振</w:t>
                  </w:r>
                </w:p>
              </w:tc>
              <w:tc>
                <w:tcPr>
                  <w:tcW w:w="0" w:type="auto"/>
                  <w:vAlign w:val="center"/>
                </w:tcPr>
                <w:p w14:paraId="7D50B60A" w14:textId="77777777" w:rsidR="00F76A63" w:rsidRDefault="00000000">
                  <w:pPr>
                    <w:pStyle w:val="lqq1"/>
                    <w:spacing w:line="240" w:lineRule="auto"/>
                    <w:ind w:firstLineChars="0" w:firstLine="0"/>
                    <w:jc w:val="center"/>
                    <w:rPr>
                      <w:sz w:val="21"/>
                      <w:szCs w:val="21"/>
                    </w:rPr>
                  </w:pPr>
                  <w:r>
                    <w:rPr>
                      <w:sz w:val="21"/>
                      <w:szCs w:val="21"/>
                    </w:rPr>
                    <w:t>15~20</w:t>
                  </w:r>
                </w:p>
              </w:tc>
              <w:tc>
                <w:tcPr>
                  <w:tcW w:w="0" w:type="auto"/>
                  <w:vAlign w:val="center"/>
                </w:tcPr>
                <w:p w14:paraId="1C6498D1" w14:textId="77777777" w:rsidR="00F76A63" w:rsidRDefault="00000000">
                  <w:pPr>
                    <w:pStyle w:val="lqq1"/>
                    <w:spacing w:line="240" w:lineRule="auto"/>
                    <w:ind w:firstLineChars="0" w:firstLine="0"/>
                    <w:jc w:val="center"/>
                    <w:rPr>
                      <w:sz w:val="21"/>
                      <w:szCs w:val="21"/>
                    </w:rPr>
                  </w:pPr>
                  <w:r>
                    <w:rPr>
                      <w:rFonts w:hint="eastAsia"/>
                      <w:sz w:val="21"/>
                      <w:szCs w:val="21"/>
                    </w:rPr>
                    <w:t>50~55</w:t>
                  </w:r>
                </w:p>
              </w:tc>
              <w:tc>
                <w:tcPr>
                  <w:tcW w:w="0" w:type="auto"/>
                  <w:vAlign w:val="center"/>
                </w:tcPr>
                <w:p w14:paraId="5A475514" w14:textId="77777777" w:rsidR="00F76A63" w:rsidRDefault="00000000">
                  <w:pPr>
                    <w:pStyle w:val="lqq1"/>
                    <w:spacing w:line="240" w:lineRule="auto"/>
                    <w:ind w:firstLineChars="0" w:firstLine="0"/>
                    <w:jc w:val="center"/>
                    <w:rPr>
                      <w:sz w:val="21"/>
                      <w:szCs w:val="21"/>
                    </w:rPr>
                  </w:pPr>
                  <w:r>
                    <w:rPr>
                      <w:sz w:val="21"/>
                      <w:szCs w:val="21"/>
                    </w:rPr>
                    <w:t>7</w:t>
                  </w:r>
                  <w:r>
                    <w:rPr>
                      <w:rFonts w:hint="eastAsia"/>
                      <w:sz w:val="21"/>
                      <w:szCs w:val="21"/>
                    </w:rPr>
                    <w:t>44</w:t>
                  </w:r>
                  <w:r>
                    <w:rPr>
                      <w:sz w:val="21"/>
                      <w:szCs w:val="21"/>
                    </w:rPr>
                    <w:t>0</w:t>
                  </w:r>
                </w:p>
              </w:tc>
            </w:tr>
            <w:tr w:rsidR="00F76A63" w14:paraId="643DBCE6" w14:textId="77777777">
              <w:trPr>
                <w:jc w:val="center"/>
              </w:trPr>
              <w:tc>
                <w:tcPr>
                  <w:tcW w:w="0" w:type="auto"/>
                  <w:vMerge/>
                  <w:vAlign w:val="center"/>
                </w:tcPr>
                <w:p w14:paraId="41DC8332" w14:textId="77777777" w:rsidR="00F76A63" w:rsidRDefault="00F76A63">
                  <w:pPr>
                    <w:pStyle w:val="lqq1"/>
                    <w:spacing w:line="240" w:lineRule="auto"/>
                    <w:ind w:firstLineChars="0" w:firstLine="0"/>
                    <w:jc w:val="center"/>
                    <w:rPr>
                      <w:sz w:val="21"/>
                      <w:szCs w:val="21"/>
                    </w:rPr>
                  </w:pPr>
                </w:p>
              </w:tc>
              <w:tc>
                <w:tcPr>
                  <w:tcW w:w="0" w:type="auto"/>
                  <w:vAlign w:val="center"/>
                </w:tcPr>
                <w:p w14:paraId="43A1E6C3" w14:textId="77777777" w:rsidR="00F76A63" w:rsidRDefault="00000000">
                  <w:pPr>
                    <w:pStyle w:val="lqq1"/>
                    <w:spacing w:line="240" w:lineRule="auto"/>
                    <w:ind w:firstLineChars="0" w:firstLine="0"/>
                    <w:jc w:val="center"/>
                    <w:rPr>
                      <w:sz w:val="21"/>
                      <w:szCs w:val="21"/>
                    </w:rPr>
                  </w:pPr>
                  <w:r>
                    <w:rPr>
                      <w:sz w:val="21"/>
                      <w:szCs w:val="21"/>
                    </w:rPr>
                    <w:t>离心泵</w:t>
                  </w:r>
                </w:p>
              </w:tc>
              <w:tc>
                <w:tcPr>
                  <w:tcW w:w="0" w:type="auto"/>
                  <w:vAlign w:val="center"/>
                </w:tcPr>
                <w:p w14:paraId="351E9943" w14:textId="77777777" w:rsidR="00F76A63" w:rsidRDefault="00000000">
                  <w:pPr>
                    <w:pStyle w:val="lqq1"/>
                    <w:spacing w:line="240" w:lineRule="auto"/>
                    <w:ind w:firstLineChars="0" w:firstLine="0"/>
                    <w:jc w:val="center"/>
                    <w:rPr>
                      <w:sz w:val="21"/>
                      <w:szCs w:val="21"/>
                    </w:rPr>
                  </w:pPr>
                  <w:r>
                    <w:rPr>
                      <w:sz w:val="21"/>
                      <w:szCs w:val="21"/>
                    </w:rPr>
                    <w:t>频发</w:t>
                  </w:r>
                </w:p>
              </w:tc>
              <w:tc>
                <w:tcPr>
                  <w:tcW w:w="0" w:type="auto"/>
                  <w:vAlign w:val="center"/>
                </w:tcPr>
                <w:p w14:paraId="71EA71AF" w14:textId="77777777" w:rsidR="00F76A63" w:rsidRDefault="00000000">
                  <w:pPr>
                    <w:pStyle w:val="lqq1"/>
                    <w:spacing w:line="240" w:lineRule="auto"/>
                    <w:ind w:firstLineChars="0" w:firstLine="0"/>
                    <w:jc w:val="center"/>
                    <w:rPr>
                      <w:sz w:val="21"/>
                      <w:szCs w:val="21"/>
                    </w:rPr>
                  </w:pPr>
                  <w:r>
                    <w:rPr>
                      <w:sz w:val="21"/>
                      <w:szCs w:val="21"/>
                    </w:rPr>
                    <w:t>类比法</w:t>
                  </w:r>
                </w:p>
              </w:tc>
              <w:tc>
                <w:tcPr>
                  <w:tcW w:w="0" w:type="auto"/>
                  <w:vAlign w:val="center"/>
                </w:tcPr>
                <w:p w14:paraId="4A183851" w14:textId="77777777" w:rsidR="00F76A63" w:rsidRDefault="00000000">
                  <w:pPr>
                    <w:pStyle w:val="lqq1"/>
                    <w:spacing w:line="240" w:lineRule="auto"/>
                    <w:ind w:firstLineChars="0" w:firstLine="0"/>
                    <w:jc w:val="center"/>
                    <w:rPr>
                      <w:sz w:val="21"/>
                      <w:szCs w:val="21"/>
                    </w:rPr>
                  </w:pPr>
                  <w:r>
                    <w:rPr>
                      <w:rFonts w:hint="eastAsia"/>
                      <w:sz w:val="21"/>
                      <w:szCs w:val="21"/>
                    </w:rPr>
                    <w:t>50</w:t>
                  </w:r>
                </w:p>
              </w:tc>
              <w:tc>
                <w:tcPr>
                  <w:tcW w:w="0" w:type="auto"/>
                  <w:vAlign w:val="center"/>
                </w:tcPr>
                <w:p w14:paraId="1E354B14" w14:textId="77777777" w:rsidR="00F76A63" w:rsidRDefault="00000000">
                  <w:pPr>
                    <w:pStyle w:val="lqq1"/>
                    <w:spacing w:line="240" w:lineRule="auto"/>
                    <w:ind w:firstLineChars="0" w:firstLine="0"/>
                    <w:jc w:val="center"/>
                    <w:rPr>
                      <w:sz w:val="21"/>
                      <w:szCs w:val="21"/>
                    </w:rPr>
                  </w:pPr>
                  <w:r>
                    <w:rPr>
                      <w:sz w:val="21"/>
                      <w:szCs w:val="21"/>
                    </w:rPr>
                    <w:t>选低噪设备、减振</w:t>
                  </w:r>
                </w:p>
              </w:tc>
              <w:tc>
                <w:tcPr>
                  <w:tcW w:w="0" w:type="auto"/>
                  <w:vAlign w:val="center"/>
                </w:tcPr>
                <w:p w14:paraId="7D8DF4F6" w14:textId="77777777" w:rsidR="00F76A63" w:rsidRDefault="00000000">
                  <w:pPr>
                    <w:pStyle w:val="lqq1"/>
                    <w:spacing w:line="240" w:lineRule="auto"/>
                    <w:ind w:firstLineChars="0" w:firstLine="0"/>
                    <w:jc w:val="center"/>
                    <w:rPr>
                      <w:sz w:val="21"/>
                      <w:szCs w:val="21"/>
                    </w:rPr>
                  </w:pPr>
                  <w:r>
                    <w:rPr>
                      <w:sz w:val="21"/>
                      <w:szCs w:val="21"/>
                    </w:rPr>
                    <w:t>15~20</w:t>
                  </w:r>
                </w:p>
              </w:tc>
              <w:tc>
                <w:tcPr>
                  <w:tcW w:w="0" w:type="auto"/>
                  <w:vAlign w:val="center"/>
                </w:tcPr>
                <w:p w14:paraId="49FB7222" w14:textId="77777777" w:rsidR="00F76A63" w:rsidRDefault="00000000">
                  <w:pPr>
                    <w:pStyle w:val="lqq1"/>
                    <w:spacing w:line="240" w:lineRule="auto"/>
                    <w:ind w:firstLineChars="0" w:firstLine="0"/>
                    <w:jc w:val="center"/>
                    <w:rPr>
                      <w:sz w:val="21"/>
                      <w:szCs w:val="21"/>
                    </w:rPr>
                  </w:pPr>
                  <w:r>
                    <w:rPr>
                      <w:rFonts w:hint="eastAsia"/>
                      <w:sz w:val="21"/>
                      <w:szCs w:val="21"/>
                    </w:rPr>
                    <w:t>30~35</w:t>
                  </w:r>
                </w:p>
              </w:tc>
              <w:tc>
                <w:tcPr>
                  <w:tcW w:w="0" w:type="auto"/>
                  <w:vAlign w:val="center"/>
                </w:tcPr>
                <w:p w14:paraId="4E566A6D" w14:textId="77777777" w:rsidR="00F76A63" w:rsidRDefault="00000000">
                  <w:pPr>
                    <w:pStyle w:val="lqq1"/>
                    <w:spacing w:line="240" w:lineRule="auto"/>
                    <w:ind w:firstLineChars="0" w:firstLine="0"/>
                    <w:jc w:val="center"/>
                    <w:rPr>
                      <w:sz w:val="21"/>
                      <w:szCs w:val="21"/>
                    </w:rPr>
                  </w:pPr>
                  <w:r>
                    <w:rPr>
                      <w:sz w:val="21"/>
                      <w:szCs w:val="21"/>
                    </w:rPr>
                    <w:t>7</w:t>
                  </w:r>
                  <w:r>
                    <w:rPr>
                      <w:rFonts w:hint="eastAsia"/>
                      <w:sz w:val="21"/>
                      <w:szCs w:val="21"/>
                    </w:rPr>
                    <w:t>44</w:t>
                  </w:r>
                  <w:r>
                    <w:rPr>
                      <w:sz w:val="21"/>
                      <w:szCs w:val="21"/>
                    </w:rPr>
                    <w:t>0</w:t>
                  </w:r>
                </w:p>
              </w:tc>
            </w:tr>
            <w:tr w:rsidR="00F76A63" w14:paraId="618E93B6" w14:textId="77777777">
              <w:trPr>
                <w:jc w:val="center"/>
              </w:trPr>
              <w:tc>
                <w:tcPr>
                  <w:tcW w:w="0" w:type="auto"/>
                  <w:vMerge/>
                  <w:vAlign w:val="center"/>
                </w:tcPr>
                <w:p w14:paraId="2F84B393" w14:textId="77777777" w:rsidR="00F76A63" w:rsidRDefault="00F76A63">
                  <w:pPr>
                    <w:pStyle w:val="lqq1"/>
                    <w:spacing w:line="240" w:lineRule="auto"/>
                    <w:ind w:firstLineChars="0" w:firstLine="0"/>
                    <w:jc w:val="center"/>
                    <w:rPr>
                      <w:sz w:val="21"/>
                      <w:szCs w:val="21"/>
                    </w:rPr>
                  </w:pPr>
                </w:p>
              </w:tc>
              <w:tc>
                <w:tcPr>
                  <w:tcW w:w="0" w:type="auto"/>
                  <w:vAlign w:val="center"/>
                </w:tcPr>
                <w:p w14:paraId="10E9D716" w14:textId="77777777" w:rsidR="00F76A63" w:rsidRDefault="00000000">
                  <w:pPr>
                    <w:pStyle w:val="lqq1"/>
                    <w:spacing w:line="240" w:lineRule="auto"/>
                    <w:ind w:firstLineChars="0" w:firstLine="0"/>
                    <w:jc w:val="center"/>
                    <w:rPr>
                      <w:sz w:val="21"/>
                      <w:szCs w:val="21"/>
                    </w:rPr>
                  </w:pPr>
                  <w:r>
                    <w:rPr>
                      <w:sz w:val="21"/>
                      <w:szCs w:val="21"/>
                    </w:rPr>
                    <w:t>加药泵</w:t>
                  </w:r>
                </w:p>
              </w:tc>
              <w:tc>
                <w:tcPr>
                  <w:tcW w:w="0" w:type="auto"/>
                  <w:vAlign w:val="center"/>
                </w:tcPr>
                <w:p w14:paraId="75ED21CF" w14:textId="77777777" w:rsidR="00F76A63" w:rsidRDefault="00000000">
                  <w:pPr>
                    <w:pStyle w:val="lqq1"/>
                    <w:spacing w:line="240" w:lineRule="auto"/>
                    <w:ind w:firstLineChars="0" w:firstLine="0"/>
                    <w:jc w:val="center"/>
                    <w:rPr>
                      <w:sz w:val="21"/>
                      <w:szCs w:val="21"/>
                    </w:rPr>
                  </w:pPr>
                  <w:r>
                    <w:rPr>
                      <w:sz w:val="21"/>
                      <w:szCs w:val="21"/>
                    </w:rPr>
                    <w:t>频发</w:t>
                  </w:r>
                </w:p>
              </w:tc>
              <w:tc>
                <w:tcPr>
                  <w:tcW w:w="0" w:type="auto"/>
                  <w:vAlign w:val="center"/>
                </w:tcPr>
                <w:p w14:paraId="2536F298" w14:textId="77777777" w:rsidR="00F76A63" w:rsidRDefault="00000000">
                  <w:pPr>
                    <w:pStyle w:val="lqq1"/>
                    <w:spacing w:line="240" w:lineRule="auto"/>
                    <w:ind w:firstLineChars="0" w:firstLine="0"/>
                    <w:jc w:val="center"/>
                    <w:rPr>
                      <w:sz w:val="21"/>
                      <w:szCs w:val="21"/>
                    </w:rPr>
                  </w:pPr>
                  <w:r>
                    <w:rPr>
                      <w:sz w:val="21"/>
                      <w:szCs w:val="21"/>
                    </w:rPr>
                    <w:t>类比法</w:t>
                  </w:r>
                </w:p>
              </w:tc>
              <w:tc>
                <w:tcPr>
                  <w:tcW w:w="0" w:type="auto"/>
                  <w:vAlign w:val="center"/>
                </w:tcPr>
                <w:p w14:paraId="48057661" w14:textId="77777777" w:rsidR="00F76A63" w:rsidRDefault="00000000">
                  <w:pPr>
                    <w:pStyle w:val="lqq1"/>
                    <w:spacing w:line="240" w:lineRule="auto"/>
                    <w:ind w:firstLineChars="0" w:firstLine="0"/>
                    <w:jc w:val="center"/>
                    <w:rPr>
                      <w:sz w:val="21"/>
                      <w:szCs w:val="21"/>
                    </w:rPr>
                  </w:pPr>
                  <w:r>
                    <w:rPr>
                      <w:rFonts w:hint="eastAsia"/>
                      <w:sz w:val="21"/>
                      <w:szCs w:val="21"/>
                    </w:rPr>
                    <w:t>50</w:t>
                  </w:r>
                </w:p>
              </w:tc>
              <w:tc>
                <w:tcPr>
                  <w:tcW w:w="0" w:type="auto"/>
                  <w:vAlign w:val="center"/>
                </w:tcPr>
                <w:p w14:paraId="149B33D1" w14:textId="77777777" w:rsidR="00F76A63" w:rsidRDefault="00000000">
                  <w:pPr>
                    <w:pStyle w:val="lqq1"/>
                    <w:spacing w:line="240" w:lineRule="auto"/>
                    <w:ind w:firstLineChars="0" w:firstLine="0"/>
                    <w:jc w:val="center"/>
                    <w:rPr>
                      <w:sz w:val="21"/>
                      <w:szCs w:val="21"/>
                    </w:rPr>
                  </w:pPr>
                  <w:r>
                    <w:rPr>
                      <w:sz w:val="21"/>
                      <w:szCs w:val="21"/>
                    </w:rPr>
                    <w:t>选低噪设备、减振</w:t>
                  </w:r>
                </w:p>
              </w:tc>
              <w:tc>
                <w:tcPr>
                  <w:tcW w:w="0" w:type="auto"/>
                  <w:vAlign w:val="center"/>
                </w:tcPr>
                <w:p w14:paraId="211FA4D5" w14:textId="77777777" w:rsidR="00F76A63" w:rsidRDefault="00000000">
                  <w:pPr>
                    <w:pStyle w:val="lqq1"/>
                    <w:spacing w:line="240" w:lineRule="auto"/>
                    <w:ind w:firstLineChars="0" w:firstLine="0"/>
                    <w:jc w:val="center"/>
                    <w:rPr>
                      <w:sz w:val="21"/>
                      <w:szCs w:val="21"/>
                    </w:rPr>
                  </w:pPr>
                  <w:r>
                    <w:rPr>
                      <w:sz w:val="21"/>
                      <w:szCs w:val="21"/>
                    </w:rPr>
                    <w:t>15~20</w:t>
                  </w:r>
                </w:p>
              </w:tc>
              <w:tc>
                <w:tcPr>
                  <w:tcW w:w="0" w:type="auto"/>
                  <w:vAlign w:val="center"/>
                </w:tcPr>
                <w:p w14:paraId="560332EE" w14:textId="77777777" w:rsidR="00F76A63" w:rsidRDefault="00000000">
                  <w:pPr>
                    <w:pStyle w:val="lqq1"/>
                    <w:spacing w:line="240" w:lineRule="auto"/>
                    <w:ind w:firstLineChars="0" w:firstLine="0"/>
                    <w:jc w:val="center"/>
                    <w:rPr>
                      <w:sz w:val="21"/>
                      <w:szCs w:val="21"/>
                    </w:rPr>
                  </w:pPr>
                  <w:r>
                    <w:rPr>
                      <w:rFonts w:hint="eastAsia"/>
                      <w:sz w:val="21"/>
                      <w:szCs w:val="21"/>
                    </w:rPr>
                    <w:t>30~35</w:t>
                  </w:r>
                </w:p>
              </w:tc>
              <w:tc>
                <w:tcPr>
                  <w:tcW w:w="0" w:type="auto"/>
                  <w:vAlign w:val="center"/>
                </w:tcPr>
                <w:p w14:paraId="53C5AD1A" w14:textId="77777777" w:rsidR="00F76A63" w:rsidRDefault="00000000">
                  <w:pPr>
                    <w:pStyle w:val="lqq1"/>
                    <w:spacing w:line="240" w:lineRule="auto"/>
                    <w:ind w:firstLineChars="0" w:firstLine="0"/>
                    <w:jc w:val="center"/>
                    <w:rPr>
                      <w:sz w:val="21"/>
                      <w:szCs w:val="21"/>
                    </w:rPr>
                  </w:pPr>
                  <w:r>
                    <w:rPr>
                      <w:sz w:val="21"/>
                      <w:szCs w:val="21"/>
                    </w:rPr>
                    <w:t>7</w:t>
                  </w:r>
                  <w:r>
                    <w:rPr>
                      <w:rFonts w:hint="eastAsia"/>
                      <w:sz w:val="21"/>
                      <w:szCs w:val="21"/>
                    </w:rPr>
                    <w:t>44</w:t>
                  </w:r>
                  <w:r>
                    <w:rPr>
                      <w:sz w:val="21"/>
                      <w:szCs w:val="21"/>
                    </w:rPr>
                    <w:t>0</w:t>
                  </w:r>
                </w:p>
              </w:tc>
            </w:tr>
          </w:tbl>
          <w:p w14:paraId="35C5A215" w14:textId="77777777" w:rsidR="00F76A63" w:rsidRDefault="00000000">
            <w:pPr>
              <w:pStyle w:val="lqq1"/>
              <w:ind w:firstLine="482"/>
              <w:rPr>
                <w:b/>
                <w:bCs/>
              </w:rPr>
            </w:pPr>
            <w:r>
              <w:rPr>
                <w:rFonts w:hint="eastAsia"/>
                <w:b/>
                <w:bCs/>
              </w:rPr>
              <w:t>（</w:t>
            </w:r>
            <w:r>
              <w:rPr>
                <w:rFonts w:hint="eastAsia"/>
                <w:b/>
                <w:bCs/>
              </w:rPr>
              <w:t>2</w:t>
            </w:r>
            <w:r>
              <w:rPr>
                <w:rFonts w:hint="eastAsia"/>
                <w:b/>
                <w:bCs/>
              </w:rPr>
              <w:t>）噪声污染防治措施</w:t>
            </w:r>
          </w:p>
          <w:p w14:paraId="79E7C7DB" w14:textId="77777777" w:rsidR="00F76A63" w:rsidRDefault="00000000">
            <w:pPr>
              <w:spacing w:line="500" w:lineRule="exact"/>
              <w:ind w:firstLineChars="200" w:firstLine="480"/>
              <w:rPr>
                <w:sz w:val="24"/>
              </w:rPr>
            </w:pPr>
            <w:r>
              <w:rPr>
                <w:rFonts w:hint="eastAsia"/>
                <w:sz w:val="24"/>
              </w:rPr>
              <w:t>本</w:t>
            </w:r>
            <w:r>
              <w:rPr>
                <w:sz w:val="24"/>
              </w:rPr>
              <w:t>项目采取了以下降噪措施：</w:t>
            </w:r>
          </w:p>
          <w:p w14:paraId="4BEB20A8" w14:textId="77777777" w:rsidR="00F76A63" w:rsidRDefault="00000000">
            <w:pPr>
              <w:spacing w:line="500" w:lineRule="exact"/>
              <w:ind w:firstLineChars="200" w:firstLine="480"/>
              <w:rPr>
                <w:sz w:val="24"/>
              </w:rPr>
            </w:pPr>
            <w:r>
              <w:rPr>
                <w:rFonts w:ascii="Cambria Math" w:hAnsi="Cambria Math" w:cs="Cambria Math"/>
                <w:sz w:val="24"/>
              </w:rPr>
              <w:t>①</w:t>
            </w:r>
            <w:r>
              <w:rPr>
                <w:sz w:val="24"/>
              </w:rPr>
              <w:t>企业在选购设备时购置了符合国家颁布的各类机械噪声标准的低噪声设备，保证运行时能符合工业企业车间噪声卫生标准，同时能保证达到厂界噪声控制值。</w:t>
            </w:r>
          </w:p>
          <w:p w14:paraId="1650AFDD" w14:textId="77777777" w:rsidR="00F76A63" w:rsidRDefault="00000000">
            <w:pPr>
              <w:spacing w:line="500" w:lineRule="exact"/>
              <w:ind w:firstLineChars="200" w:firstLine="480"/>
              <w:rPr>
                <w:sz w:val="24"/>
              </w:rPr>
            </w:pPr>
            <w:r>
              <w:rPr>
                <w:rFonts w:ascii="Cambria Math" w:hAnsi="Cambria Math" w:cs="Cambria Math"/>
                <w:sz w:val="24"/>
              </w:rPr>
              <w:t>②</w:t>
            </w:r>
            <w:r>
              <w:rPr>
                <w:sz w:val="24"/>
              </w:rPr>
              <w:t>在噪声传播途径上采取措施加以控制，强噪声源车间的建筑围护结构均以封闭为主，同时采取车间外及厂界的绿化，利用建筑物与树木阻隔声音的传播。</w:t>
            </w:r>
          </w:p>
          <w:p w14:paraId="30777B2A" w14:textId="77777777" w:rsidR="00F76A63" w:rsidRDefault="00000000">
            <w:pPr>
              <w:spacing w:line="500" w:lineRule="exact"/>
              <w:ind w:firstLineChars="200" w:firstLine="480"/>
              <w:rPr>
                <w:sz w:val="24"/>
              </w:rPr>
            </w:pPr>
            <w:r>
              <w:rPr>
                <w:rFonts w:ascii="Cambria Math" w:hAnsi="Cambria Math" w:cs="Cambria Math"/>
                <w:sz w:val="24"/>
              </w:rPr>
              <w:t>③</w:t>
            </w:r>
            <w:r>
              <w:rPr>
                <w:sz w:val="24"/>
              </w:rPr>
              <w:t>对噪声污染大的设备，如风机等配置减振装置，安装隔声罩或消声器。</w:t>
            </w:r>
          </w:p>
          <w:p w14:paraId="72BCD7D7" w14:textId="77777777" w:rsidR="00F76A63" w:rsidRDefault="00000000">
            <w:pPr>
              <w:spacing w:line="500" w:lineRule="exact"/>
              <w:ind w:firstLineChars="200" w:firstLine="480"/>
              <w:rPr>
                <w:sz w:val="24"/>
              </w:rPr>
            </w:pPr>
            <w:r>
              <w:rPr>
                <w:rFonts w:ascii="Cambria Math" w:hAnsi="Cambria Math" w:cs="Cambria Math"/>
                <w:sz w:val="24"/>
              </w:rPr>
              <w:t>④</w:t>
            </w:r>
            <w:r>
              <w:rPr>
                <w:sz w:val="24"/>
              </w:rPr>
              <w:t>项目噪声污染防治工作执行</w:t>
            </w:r>
            <w:r>
              <w:rPr>
                <w:sz w:val="24"/>
              </w:rPr>
              <w:t>“</w:t>
            </w:r>
            <w:r>
              <w:rPr>
                <w:sz w:val="24"/>
              </w:rPr>
              <w:t>三同时</w:t>
            </w:r>
            <w:r>
              <w:rPr>
                <w:sz w:val="24"/>
              </w:rPr>
              <w:t>”</w:t>
            </w:r>
            <w:r>
              <w:rPr>
                <w:sz w:val="24"/>
              </w:rPr>
              <w:t>制度。对防震垫、隔声、吸声等降</w:t>
            </w:r>
            <w:r>
              <w:rPr>
                <w:sz w:val="24"/>
              </w:rPr>
              <w:t xml:space="preserve"> </w:t>
            </w:r>
            <w:r>
              <w:rPr>
                <w:sz w:val="24"/>
              </w:rPr>
              <w:t>噪设备应进行定期检查、维修，对不符合要求的及时更换，防止机械噪声的升高。</w:t>
            </w:r>
          </w:p>
          <w:p w14:paraId="51B14E49" w14:textId="77777777" w:rsidR="00F76A63" w:rsidRDefault="00000000">
            <w:pPr>
              <w:spacing w:line="500" w:lineRule="exact"/>
              <w:ind w:firstLineChars="200" w:firstLine="480"/>
              <w:rPr>
                <w:sz w:val="24"/>
              </w:rPr>
            </w:pPr>
            <w:r>
              <w:rPr>
                <w:rFonts w:ascii="Cambria Math" w:hAnsi="Cambria Math" w:cs="Cambria Math"/>
                <w:sz w:val="24"/>
              </w:rPr>
              <w:t>⑤</w:t>
            </w:r>
            <w:r>
              <w:rPr>
                <w:sz w:val="24"/>
              </w:rPr>
              <w:t>强化生产管理：确保降噪设施的有效运行，并加强对生产设备的保养、检修与润滑，保证设备处于良好地运转状态。</w:t>
            </w:r>
          </w:p>
          <w:p w14:paraId="1A15380A" w14:textId="77777777" w:rsidR="00F76A63" w:rsidRDefault="00000000">
            <w:pPr>
              <w:spacing w:line="500" w:lineRule="exact"/>
              <w:ind w:firstLineChars="200" w:firstLine="482"/>
              <w:rPr>
                <w:b/>
                <w:sz w:val="24"/>
              </w:rPr>
            </w:pPr>
            <w:r>
              <w:rPr>
                <w:rFonts w:hint="eastAsia"/>
                <w:b/>
                <w:sz w:val="24"/>
              </w:rPr>
              <w:lastRenderedPageBreak/>
              <w:t>（</w:t>
            </w:r>
            <w:r>
              <w:rPr>
                <w:rFonts w:hint="eastAsia"/>
                <w:b/>
                <w:sz w:val="24"/>
              </w:rPr>
              <w:t>3</w:t>
            </w:r>
            <w:r>
              <w:rPr>
                <w:rFonts w:hint="eastAsia"/>
                <w:b/>
                <w:sz w:val="24"/>
              </w:rPr>
              <w:t>）噪声环境影响分析</w:t>
            </w:r>
          </w:p>
          <w:p w14:paraId="3B13923A" w14:textId="77777777" w:rsidR="00F76A63" w:rsidRDefault="00000000">
            <w:pPr>
              <w:spacing w:line="500" w:lineRule="exact"/>
              <w:ind w:firstLineChars="200" w:firstLine="480"/>
              <w:rPr>
                <w:sz w:val="24"/>
              </w:rPr>
            </w:pPr>
            <w:r>
              <w:rPr>
                <w:rFonts w:hint="eastAsia"/>
                <w:bCs/>
                <w:sz w:val="24"/>
              </w:rPr>
              <w:t>目位于句容下蜀高新技术产业园，本次评价区域声环境功能为《声环境质量标准》（</w:t>
            </w:r>
            <w:r>
              <w:rPr>
                <w:rFonts w:hint="eastAsia"/>
                <w:bCs/>
                <w:sz w:val="24"/>
              </w:rPr>
              <w:t>3096-2008</w:t>
            </w:r>
            <w:r>
              <w:rPr>
                <w:rFonts w:hint="eastAsia"/>
                <w:bCs/>
                <w:sz w:val="24"/>
              </w:rPr>
              <w:t>）</w:t>
            </w:r>
            <w:r>
              <w:rPr>
                <w:rFonts w:hint="eastAsia"/>
                <w:bCs/>
                <w:sz w:val="24"/>
              </w:rPr>
              <w:t>3</w:t>
            </w:r>
            <w:r>
              <w:rPr>
                <w:rFonts w:hint="eastAsia"/>
                <w:bCs/>
                <w:sz w:val="24"/>
              </w:rPr>
              <w:t>类区，周边</w:t>
            </w:r>
            <w:r>
              <w:rPr>
                <w:rFonts w:hint="eastAsia"/>
                <w:bCs/>
                <w:sz w:val="24"/>
              </w:rPr>
              <w:t>50m</w:t>
            </w:r>
            <w:r>
              <w:rPr>
                <w:rFonts w:hint="eastAsia"/>
                <w:bCs/>
                <w:sz w:val="24"/>
              </w:rPr>
              <w:t>内无声环境敏感目标，项目建设后评价范围内敏感目标噪声级贡献值较小。</w:t>
            </w:r>
          </w:p>
          <w:p w14:paraId="78DD968E" w14:textId="77777777" w:rsidR="00F76A63" w:rsidRDefault="00000000">
            <w:pPr>
              <w:spacing w:line="500" w:lineRule="exact"/>
              <w:ind w:firstLineChars="200" w:firstLine="480"/>
              <w:rPr>
                <w:sz w:val="24"/>
              </w:rPr>
            </w:pPr>
            <w:r>
              <w:rPr>
                <w:rFonts w:hint="eastAsia"/>
                <w:sz w:val="24"/>
              </w:rPr>
              <w:t>1</w:t>
            </w:r>
            <w:r>
              <w:rPr>
                <w:rFonts w:hint="eastAsia"/>
                <w:sz w:val="24"/>
              </w:rPr>
              <w:t>）源项分析</w:t>
            </w:r>
          </w:p>
          <w:p w14:paraId="67E5BD78" w14:textId="77777777" w:rsidR="00F76A63" w:rsidRDefault="00000000">
            <w:pPr>
              <w:spacing w:line="500" w:lineRule="exact"/>
              <w:ind w:firstLineChars="200" w:firstLine="480"/>
              <w:rPr>
                <w:sz w:val="24"/>
              </w:rPr>
            </w:pPr>
            <w:r>
              <w:rPr>
                <w:rFonts w:hint="eastAsia"/>
                <w:sz w:val="24"/>
              </w:rPr>
              <w:t>本项目噪声源主要为设备运行时产生的噪声，对产生噪声的设备采取减振、隔声等措施，确保厂界噪声达标。</w:t>
            </w:r>
          </w:p>
          <w:p w14:paraId="73A29668" w14:textId="77777777" w:rsidR="00F76A63" w:rsidRDefault="00000000">
            <w:pPr>
              <w:spacing w:line="500" w:lineRule="exact"/>
              <w:ind w:firstLineChars="200" w:firstLine="480"/>
              <w:rPr>
                <w:sz w:val="24"/>
              </w:rPr>
            </w:pPr>
            <w:r>
              <w:rPr>
                <w:rFonts w:hint="eastAsia"/>
                <w:sz w:val="24"/>
              </w:rPr>
              <w:t>2</w:t>
            </w:r>
            <w:r>
              <w:rPr>
                <w:rFonts w:hint="eastAsia"/>
                <w:sz w:val="24"/>
              </w:rPr>
              <w:t>）达标情况分析</w:t>
            </w:r>
          </w:p>
          <w:p w14:paraId="3F71109D" w14:textId="77777777" w:rsidR="00F76A63" w:rsidRDefault="00000000">
            <w:pPr>
              <w:spacing w:line="500" w:lineRule="exact"/>
              <w:ind w:firstLineChars="200" w:firstLine="480"/>
              <w:rPr>
                <w:sz w:val="24"/>
              </w:rPr>
            </w:pPr>
            <w:r>
              <w:rPr>
                <w:rFonts w:hint="eastAsia"/>
                <w:sz w:val="24"/>
              </w:rPr>
              <w:t>根据项目建设内容及《环境影响评价技术导则</w:t>
            </w:r>
            <w:r>
              <w:rPr>
                <w:rFonts w:hint="eastAsia"/>
                <w:sz w:val="24"/>
              </w:rPr>
              <w:t xml:space="preserve"> </w:t>
            </w:r>
            <w:r>
              <w:rPr>
                <w:rFonts w:hint="eastAsia"/>
                <w:sz w:val="24"/>
              </w:rPr>
              <w:t>声环境》（</w:t>
            </w:r>
            <w:r>
              <w:rPr>
                <w:rFonts w:hint="eastAsia"/>
                <w:sz w:val="24"/>
              </w:rPr>
              <w:t>HJ2.4-2021</w:t>
            </w:r>
            <w:r>
              <w:rPr>
                <w:rFonts w:hint="eastAsia"/>
                <w:sz w:val="24"/>
              </w:rPr>
              <w:t>）的要求，项目环评采用的模型为《环境影响评价技术导则</w:t>
            </w:r>
            <w:r>
              <w:rPr>
                <w:rFonts w:hint="eastAsia"/>
                <w:sz w:val="24"/>
              </w:rPr>
              <w:t xml:space="preserve"> </w:t>
            </w:r>
            <w:r>
              <w:rPr>
                <w:rFonts w:hint="eastAsia"/>
                <w:sz w:val="24"/>
              </w:rPr>
              <w:t>声环境》（</w:t>
            </w:r>
            <w:r>
              <w:rPr>
                <w:rFonts w:hint="eastAsia"/>
                <w:sz w:val="24"/>
              </w:rPr>
              <w:t>HJ2.4-2021</w:t>
            </w:r>
            <w:r>
              <w:rPr>
                <w:rFonts w:hint="eastAsia"/>
                <w:sz w:val="24"/>
              </w:rPr>
              <w:t>）附录</w:t>
            </w:r>
            <w:r>
              <w:rPr>
                <w:rFonts w:hint="eastAsia"/>
                <w:sz w:val="24"/>
              </w:rPr>
              <w:t>A</w:t>
            </w:r>
            <w:r>
              <w:rPr>
                <w:rFonts w:hint="eastAsia"/>
                <w:sz w:val="24"/>
              </w:rPr>
              <w:t>（规范性附录）户外声传播的衰减和附录</w:t>
            </w:r>
            <w:r>
              <w:rPr>
                <w:rFonts w:hint="eastAsia"/>
                <w:sz w:val="24"/>
              </w:rPr>
              <w:t>B</w:t>
            </w:r>
            <w:r>
              <w:rPr>
                <w:rFonts w:hint="eastAsia"/>
                <w:sz w:val="24"/>
              </w:rPr>
              <w:t>（规范性附录）中“</w:t>
            </w:r>
            <w:r>
              <w:rPr>
                <w:rFonts w:hint="eastAsia"/>
                <w:sz w:val="24"/>
              </w:rPr>
              <w:t>B.1</w:t>
            </w:r>
            <w:r>
              <w:rPr>
                <w:rFonts w:hint="eastAsia"/>
                <w:sz w:val="24"/>
              </w:rPr>
              <w:t>工业噪声预测计算模型”。</w:t>
            </w:r>
          </w:p>
          <w:p w14:paraId="6F972230" w14:textId="77777777" w:rsidR="00F76A63" w:rsidRDefault="00000000">
            <w:pPr>
              <w:spacing w:line="500" w:lineRule="exact"/>
              <w:ind w:firstLineChars="200" w:firstLine="480"/>
              <w:rPr>
                <w:sz w:val="24"/>
              </w:rPr>
            </w:pPr>
            <w:r>
              <w:rPr>
                <w:rFonts w:hint="eastAsia"/>
                <w:sz w:val="24"/>
              </w:rPr>
              <w:t>①室外声源在预测点产生的声级计算模型</w:t>
            </w:r>
          </w:p>
          <w:p w14:paraId="14076C66" w14:textId="77777777" w:rsidR="00F76A63" w:rsidRDefault="00000000">
            <w:pPr>
              <w:spacing w:line="500" w:lineRule="exact"/>
              <w:ind w:firstLineChars="200" w:firstLine="480"/>
              <w:rPr>
                <w:sz w:val="24"/>
              </w:rPr>
            </w:pPr>
            <w:r>
              <w:rPr>
                <w:rFonts w:hint="eastAsia"/>
                <w:sz w:val="24"/>
              </w:rPr>
              <w:t>本次评价室外声源在预测点产生的声级计算模型，按照《环境影响评价技术导则</w:t>
            </w:r>
            <w:r>
              <w:rPr>
                <w:rFonts w:hint="eastAsia"/>
                <w:sz w:val="24"/>
              </w:rPr>
              <w:t xml:space="preserve"> </w:t>
            </w:r>
            <w:r>
              <w:rPr>
                <w:rFonts w:hint="eastAsia"/>
                <w:sz w:val="24"/>
              </w:rPr>
              <w:t>声环境》（</w:t>
            </w:r>
            <w:r>
              <w:rPr>
                <w:rFonts w:hint="eastAsia"/>
                <w:sz w:val="24"/>
              </w:rPr>
              <w:t>HJ2.4-2021</w:t>
            </w:r>
            <w:r>
              <w:rPr>
                <w:rFonts w:hint="eastAsia"/>
                <w:sz w:val="24"/>
              </w:rPr>
              <w:t>）附录</w:t>
            </w:r>
            <w:r>
              <w:rPr>
                <w:rFonts w:hint="eastAsia"/>
                <w:sz w:val="24"/>
              </w:rPr>
              <w:t>A</w:t>
            </w:r>
            <w:r>
              <w:rPr>
                <w:rFonts w:hint="eastAsia"/>
                <w:sz w:val="24"/>
              </w:rPr>
              <w:t>的有关要求进行计算，应用过程中将根据具体情况做必要简化。</w:t>
            </w:r>
          </w:p>
          <w:p w14:paraId="7BD63A53" w14:textId="77777777" w:rsidR="00F76A63" w:rsidRDefault="00000000">
            <w:pPr>
              <w:spacing w:line="500" w:lineRule="exact"/>
              <w:ind w:firstLineChars="200" w:firstLine="480"/>
              <w:rPr>
                <w:sz w:val="24"/>
              </w:rPr>
            </w:pPr>
            <w:r>
              <w:rPr>
                <w:rFonts w:hint="eastAsia"/>
                <w:sz w:val="24"/>
              </w:rPr>
              <w:t>根据声源声功率级或参考位置处的声压级、户外声传播衰减，计算预测点的声级，按下列公式计算：</w:t>
            </w:r>
          </w:p>
          <w:p w14:paraId="648887F9" w14:textId="77777777" w:rsidR="00F76A63" w:rsidRDefault="00000000">
            <w:pPr>
              <w:jc w:val="center"/>
              <w:rPr>
                <w:sz w:val="24"/>
              </w:rPr>
            </w:pPr>
            <w:r>
              <w:rPr>
                <w:noProof/>
                <w:sz w:val="24"/>
              </w:rPr>
              <w:drawing>
                <wp:inline distT="0" distB="0" distL="0" distR="0" wp14:anchorId="391BCE8C" wp14:editId="7ACFA021">
                  <wp:extent cx="3600450" cy="285750"/>
                  <wp:effectExtent l="0" t="0" r="0" b="0"/>
                  <wp:docPr id="1131582674"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82674" name="图片 1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3600450" cy="285750"/>
                          </a:xfrm>
                          <a:prstGeom prst="rect">
                            <a:avLst/>
                          </a:prstGeom>
                          <a:noFill/>
                          <a:ln>
                            <a:noFill/>
                          </a:ln>
                        </pic:spPr>
                      </pic:pic>
                    </a:graphicData>
                  </a:graphic>
                </wp:inline>
              </w:drawing>
            </w:r>
          </w:p>
          <w:p w14:paraId="64D5452E" w14:textId="77777777" w:rsidR="00F76A63" w:rsidRDefault="00000000">
            <w:pPr>
              <w:spacing w:line="500" w:lineRule="exact"/>
              <w:ind w:firstLineChars="200" w:firstLine="480"/>
              <w:rPr>
                <w:sz w:val="24"/>
              </w:rPr>
            </w:pPr>
            <w:r>
              <w:rPr>
                <w:sz w:val="24"/>
              </w:rPr>
              <w:t>式中：</w:t>
            </w:r>
            <w:r>
              <w:rPr>
                <w:noProof/>
                <w:sz w:val="24"/>
              </w:rPr>
              <w:drawing>
                <wp:inline distT="0" distB="0" distL="0" distR="0" wp14:anchorId="0A3F18F0" wp14:editId="31AC67E9">
                  <wp:extent cx="171450" cy="266700"/>
                  <wp:effectExtent l="0" t="0" r="0" b="0"/>
                  <wp:docPr id="967945195"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45195" name="图片 1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71450" cy="266700"/>
                          </a:xfrm>
                          <a:prstGeom prst="rect">
                            <a:avLst/>
                          </a:prstGeom>
                          <a:noFill/>
                          <a:ln>
                            <a:noFill/>
                          </a:ln>
                        </pic:spPr>
                      </pic:pic>
                    </a:graphicData>
                  </a:graphic>
                </wp:inline>
              </w:drawing>
            </w:r>
            <w:r>
              <w:rPr>
                <w:noProof/>
                <w:sz w:val="24"/>
              </w:rPr>
              <w:drawing>
                <wp:inline distT="0" distB="0" distL="0" distR="0" wp14:anchorId="3E1B1C61" wp14:editId="311C7AB3">
                  <wp:extent cx="180975" cy="266700"/>
                  <wp:effectExtent l="0" t="0" r="9525" b="0"/>
                  <wp:docPr id="775661585"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61585" name="图片 1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80975" cy="266700"/>
                          </a:xfrm>
                          <a:prstGeom prst="rect">
                            <a:avLst/>
                          </a:prstGeom>
                          <a:noFill/>
                          <a:ln>
                            <a:noFill/>
                          </a:ln>
                        </pic:spPr>
                      </pic:pic>
                    </a:graphicData>
                  </a:graphic>
                </wp:inline>
              </w:drawing>
            </w:r>
            <w:r>
              <w:rPr>
                <w:sz w:val="24"/>
              </w:rPr>
              <w:t>——</w:t>
            </w:r>
            <w:r>
              <w:rPr>
                <w:sz w:val="24"/>
              </w:rPr>
              <w:t>由点声源产生的声功率级（</w:t>
            </w:r>
            <w:r>
              <w:rPr>
                <w:sz w:val="24"/>
              </w:rPr>
              <w:t>A</w:t>
            </w:r>
            <w:r>
              <w:rPr>
                <w:sz w:val="24"/>
              </w:rPr>
              <w:t>计权或倍频带），</w:t>
            </w:r>
            <w:r>
              <w:rPr>
                <w:sz w:val="24"/>
              </w:rPr>
              <w:t>dB</w:t>
            </w:r>
            <w:r>
              <w:rPr>
                <w:sz w:val="24"/>
              </w:rPr>
              <w:t>；</w:t>
            </w:r>
          </w:p>
          <w:p w14:paraId="64CBDADD" w14:textId="77777777" w:rsidR="00F76A63" w:rsidRDefault="00000000">
            <w:pPr>
              <w:spacing w:line="500" w:lineRule="exact"/>
              <w:ind w:firstLineChars="200" w:firstLine="480"/>
              <w:rPr>
                <w:sz w:val="24"/>
              </w:rPr>
            </w:pPr>
            <w:r>
              <w:rPr>
                <w:noProof/>
                <w:sz w:val="24"/>
              </w:rPr>
              <w:drawing>
                <wp:inline distT="0" distB="0" distL="0" distR="0" wp14:anchorId="2C9BE71E" wp14:editId="73FE2550">
                  <wp:extent cx="171450" cy="266700"/>
                  <wp:effectExtent l="0" t="0" r="0" b="0"/>
                  <wp:docPr id="693763934"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63934" name="图片 14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71450" cy="266700"/>
                          </a:xfrm>
                          <a:prstGeom prst="rect">
                            <a:avLst/>
                          </a:prstGeom>
                          <a:noFill/>
                          <a:ln>
                            <a:noFill/>
                          </a:ln>
                        </pic:spPr>
                      </pic:pic>
                    </a:graphicData>
                  </a:graphic>
                </wp:inline>
              </w:drawing>
            </w:r>
            <w:r>
              <w:rPr>
                <w:noProof/>
                <w:sz w:val="24"/>
              </w:rPr>
              <w:drawing>
                <wp:inline distT="0" distB="0" distL="0" distR="0" wp14:anchorId="77EA6FD6" wp14:editId="77D155A8">
                  <wp:extent cx="171450" cy="266700"/>
                  <wp:effectExtent l="0" t="0" r="0" b="0"/>
                  <wp:docPr id="702517291"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17291" name="图片 1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71450" cy="266700"/>
                          </a:xfrm>
                          <a:prstGeom prst="rect">
                            <a:avLst/>
                          </a:prstGeom>
                          <a:noFill/>
                          <a:ln>
                            <a:noFill/>
                          </a:ln>
                        </pic:spPr>
                      </pic:pic>
                    </a:graphicData>
                  </a:graphic>
                </wp:inline>
              </w:drawing>
            </w:r>
            <w:r>
              <w:rPr>
                <w:sz w:val="24"/>
              </w:rPr>
              <w:t>——</w:t>
            </w:r>
            <w:r>
              <w:rPr>
                <w:sz w:val="24"/>
              </w:rPr>
              <w:t>指向性校正，它描述点声源的等效连续声压级与产生声功率级</w:t>
            </w:r>
            <w:r>
              <w:rPr>
                <w:noProof/>
                <w:sz w:val="24"/>
              </w:rPr>
              <w:drawing>
                <wp:inline distT="0" distB="0" distL="0" distR="0" wp14:anchorId="34D0040B" wp14:editId="2B37F722">
                  <wp:extent cx="171450" cy="266700"/>
                  <wp:effectExtent l="0" t="0" r="0" b="0"/>
                  <wp:docPr id="1875312164"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12164" name="图片 1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71450" cy="266700"/>
                          </a:xfrm>
                          <a:prstGeom prst="rect">
                            <a:avLst/>
                          </a:prstGeom>
                          <a:noFill/>
                          <a:ln>
                            <a:noFill/>
                          </a:ln>
                        </pic:spPr>
                      </pic:pic>
                    </a:graphicData>
                  </a:graphic>
                </wp:inline>
              </w:drawing>
            </w:r>
            <w:r>
              <w:rPr>
                <w:noProof/>
                <w:sz w:val="24"/>
              </w:rPr>
              <w:drawing>
                <wp:inline distT="0" distB="0" distL="0" distR="0" wp14:anchorId="1D10A4BA" wp14:editId="228C3117">
                  <wp:extent cx="180975" cy="266700"/>
                  <wp:effectExtent l="0" t="0" r="9525" b="0"/>
                  <wp:docPr id="103643049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30494" name="图片 14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80975" cy="266700"/>
                          </a:xfrm>
                          <a:prstGeom prst="rect">
                            <a:avLst/>
                          </a:prstGeom>
                          <a:noFill/>
                          <a:ln>
                            <a:noFill/>
                          </a:ln>
                        </pic:spPr>
                      </pic:pic>
                    </a:graphicData>
                  </a:graphic>
                </wp:inline>
              </w:drawing>
            </w:r>
            <w:r>
              <w:rPr>
                <w:sz w:val="24"/>
              </w:rPr>
              <w:t>的全向点声源在规定方向的声级的偏差程度，</w:t>
            </w:r>
            <w:r>
              <w:rPr>
                <w:sz w:val="24"/>
              </w:rPr>
              <w:t>dB</w:t>
            </w:r>
            <w:r>
              <w:rPr>
                <w:sz w:val="24"/>
              </w:rPr>
              <w:t>。</w:t>
            </w:r>
          </w:p>
          <w:p w14:paraId="7B98325D" w14:textId="77777777" w:rsidR="00F76A63" w:rsidRDefault="00000000">
            <w:pPr>
              <w:spacing w:line="500" w:lineRule="exact"/>
              <w:ind w:firstLineChars="200" w:firstLine="480"/>
              <w:rPr>
                <w:sz w:val="24"/>
              </w:rPr>
            </w:pPr>
            <w:r>
              <w:rPr>
                <w:noProof/>
                <w:sz w:val="24"/>
              </w:rPr>
              <w:drawing>
                <wp:inline distT="0" distB="0" distL="0" distR="0" wp14:anchorId="7743F7B3" wp14:editId="05827EA6">
                  <wp:extent cx="266700" cy="266700"/>
                  <wp:effectExtent l="0" t="0" r="0" b="0"/>
                  <wp:docPr id="1977423546"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23546" name="图片 1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66700" cy="266700"/>
                          </a:xfrm>
                          <a:prstGeom prst="rect">
                            <a:avLst/>
                          </a:prstGeom>
                          <a:noFill/>
                          <a:ln>
                            <a:noFill/>
                          </a:ln>
                        </pic:spPr>
                      </pic:pic>
                    </a:graphicData>
                  </a:graphic>
                </wp:inline>
              </w:drawing>
            </w:r>
            <w:r>
              <w:rPr>
                <w:noProof/>
                <w:sz w:val="24"/>
              </w:rPr>
              <w:drawing>
                <wp:inline distT="0" distB="0" distL="0" distR="0" wp14:anchorId="7A415A14" wp14:editId="38299ED0">
                  <wp:extent cx="276225" cy="266700"/>
                  <wp:effectExtent l="0" t="0" r="9525" b="0"/>
                  <wp:docPr id="988473383"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73383" name="图片 1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76225" cy="266700"/>
                          </a:xfrm>
                          <a:prstGeom prst="rect">
                            <a:avLst/>
                          </a:prstGeom>
                          <a:noFill/>
                          <a:ln>
                            <a:noFill/>
                          </a:ln>
                        </pic:spPr>
                      </pic:pic>
                    </a:graphicData>
                  </a:graphic>
                </wp:inline>
              </w:drawing>
            </w:r>
            <w:r>
              <w:rPr>
                <w:sz w:val="24"/>
              </w:rPr>
              <w:t>——</w:t>
            </w:r>
            <w:r>
              <w:rPr>
                <w:sz w:val="24"/>
              </w:rPr>
              <w:t>几何发散引起的衰减，</w:t>
            </w:r>
            <w:r>
              <w:rPr>
                <w:sz w:val="24"/>
              </w:rPr>
              <w:t>dB</w:t>
            </w:r>
            <w:r>
              <w:rPr>
                <w:sz w:val="24"/>
              </w:rPr>
              <w:t>；</w:t>
            </w:r>
          </w:p>
          <w:p w14:paraId="18D11113" w14:textId="77777777" w:rsidR="00F76A63" w:rsidRDefault="00000000">
            <w:pPr>
              <w:spacing w:line="500" w:lineRule="exact"/>
              <w:ind w:firstLineChars="200" w:firstLine="480"/>
              <w:rPr>
                <w:sz w:val="24"/>
              </w:rPr>
            </w:pPr>
            <w:r>
              <w:rPr>
                <w:noProof/>
                <w:sz w:val="24"/>
              </w:rPr>
              <w:drawing>
                <wp:inline distT="0" distB="0" distL="0" distR="0" wp14:anchorId="2FBE5A9E" wp14:editId="34A73D0F">
                  <wp:extent cx="314325" cy="266700"/>
                  <wp:effectExtent l="0" t="0" r="9525" b="0"/>
                  <wp:docPr id="1231258476"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58476" name="图片 1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314325" cy="266700"/>
                          </a:xfrm>
                          <a:prstGeom prst="rect">
                            <a:avLst/>
                          </a:prstGeom>
                          <a:noFill/>
                          <a:ln>
                            <a:noFill/>
                          </a:ln>
                        </pic:spPr>
                      </pic:pic>
                    </a:graphicData>
                  </a:graphic>
                </wp:inline>
              </w:drawing>
            </w:r>
            <w:r>
              <w:rPr>
                <w:noProof/>
                <w:sz w:val="24"/>
              </w:rPr>
              <w:drawing>
                <wp:inline distT="0" distB="0" distL="0" distR="0" wp14:anchorId="0EDE443D" wp14:editId="7FEC9F30">
                  <wp:extent cx="323850" cy="266700"/>
                  <wp:effectExtent l="0" t="0" r="0" b="0"/>
                  <wp:docPr id="1011832982"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32982" name="图片 1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23850" cy="266700"/>
                          </a:xfrm>
                          <a:prstGeom prst="rect">
                            <a:avLst/>
                          </a:prstGeom>
                          <a:noFill/>
                          <a:ln>
                            <a:noFill/>
                          </a:ln>
                        </pic:spPr>
                      </pic:pic>
                    </a:graphicData>
                  </a:graphic>
                </wp:inline>
              </w:drawing>
            </w:r>
            <w:r>
              <w:rPr>
                <w:sz w:val="24"/>
              </w:rPr>
              <w:t>——</w:t>
            </w:r>
            <w:r>
              <w:rPr>
                <w:sz w:val="24"/>
              </w:rPr>
              <w:t>大气吸收引起的衰减，</w:t>
            </w:r>
            <w:r>
              <w:rPr>
                <w:sz w:val="24"/>
              </w:rPr>
              <w:t>dB</w:t>
            </w:r>
            <w:r>
              <w:rPr>
                <w:sz w:val="24"/>
              </w:rPr>
              <w:t>；</w:t>
            </w:r>
          </w:p>
          <w:p w14:paraId="2788BFF9" w14:textId="77777777" w:rsidR="00F76A63" w:rsidRDefault="00000000">
            <w:pPr>
              <w:spacing w:line="500" w:lineRule="exact"/>
              <w:ind w:firstLineChars="200" w:firstLine="480"/>
              <w:rPr>
                <w:sz w:val="24"/>
              </w:rPr>
            </w:pPr>
            <w:r>
              <w:rPr>
                <w:noProof/>
                <w:sz w:val="24"/>
              </w:rPr>
              <w:drawing>
                <wp:inline distT="0" distB="0" distL="0" distR="0" wp14:anchorId="33A3FC22" wp14:editId="350C7C65">
                  <wp:extent cx="228600" cy="285750"/>
                  <wp:effectExtent l="0" t="0" r="0" b="0"/>
                  <wp:docPr id="1351104844"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04844" name="图片 1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28600" cy="285750"/>
                          </a:xfrm>
                          <a:prstGeom prst="rect">
                            <a:avLst/>
                          </a:prstGeom>
                          <a:noFill/>
                          <a:ln>
                            <a:noFill/>
                          </a:ln>
                        </pic:spPr>
                      </pic:pic>
                    </a:graphicData>
                  </a:graphic>
                </wp:inline>
              </w:drawing>
            </w:r>
            <w:r>
              <w:rPr>
                <w:noProof/>
                <w:sz w:val="24"/>
              </w:rPr>
              <w:drawing>
                <wp:inline distT="0" distB="0" distL="0" distR="0" wp14:anchorId="3B0CF294" wp14:editId="7AC2E0F8">
                  <wp:extent cx="228600" cy="285750"/>
                  <wp:effectExtent l="0" t="0" r="0" b="0"/>
                  <wp:docPr id="2067621867"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21867" name="图片 1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28600" cy="285750"/>
                          </a:xfrm>
                          <a:prstGeom prst="rect">
                            <a:avLst/>
                          </a:prstGeom>
                          <a:noFill/>
                          <a:ln>
                            <a:noFill/>
                          </a:ln>
                        </pic:spPr>
                      </pic:pic>
                    </a:graphicData>
                  </a:graphic>
                </wp:inline>
              </w:drawing>
            </w:r>
            <w:r>
              <w:rPr>
                <w:sz w:val="24"/>
              </w:rPr>
              <w:t>——</w:t>
            </w:r>
            <w:r>
              <w:rPr>
                <w:sz w:val="24"/>
              </w:rPr>
              <w:t>地面效应引起的衰减，</w:t>
            </w:r>
            <w:r>
              <w:rPr>
                <w:sz w:val="24"/>
              </w:rPr>
              <w:t>dB</w:t>
            </w:r>
            <w:r>
              <w:rPr>
                <w:sz w:val="24"/>
              </w:rPr>
              <w:t>；</w:t>
            </w:r>
          </w:p>
          <w:p w14:paraId="44398488" w14:textId="77777777" w:rsidR="00F76A63" w:rsidRDefault="00000000">
            <w:pPr>
              <w:spacing w:line="500" w:lineRule="exact"/>
              <w:ind w:firstLineChars="200" w:firstLine="480"/>
              <w:rPr>
                <w:sz w:val="24"/>
              </w:rPr>
            </w:pPr>
            <w:r>
              <w:rPr>
                <w:noProof/>
                <w:sz w:val="24"/>
              </w:rPr>
              <w:drawing>
                <wp:inline distT="0" distB="0" distL="0" distR="0" wp14:anchorId="213D75B1" wp14:editId="4DD8DAD8">
                  <wp:extent cx="295275" cy="266700"/>
                  <wp:effectExtent l="0" t="0" r="9525" b="0"/>
                  <wp:docPr id="1922341622"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41622" name="图片 1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95275" cy="266700"/>
                          </a:xfrm>
                          <a:prstGeom prst="rect">
                            <a:avLst/>
                          </a:prstGeom>
                          <a:noFill/>
                          <a:ln>
                            <a:noFill/>
                          </a:ln>
                        </pic:spPr>
                      </pic:pic>
                    </a:graphicData>
                  </a:graphic>
                </wp:inline>
              </w:drawing>
            </w:r>
            <w:r>
              <w:rPr>
                <w:noProof/>
                <w:sz w:val="24"/>
              </w:rPr>
              <w:drawing>
                <wp:inline distT="0" distB="0" distL="0" distR="0" wp14:anchorId="13507E9E" wp14:editId="12162754">
                  <wp:extent cx="304800" cy="266700"/>
                  <wp:effectExtent l="0" t="0" r="0" b="0"/>
                  <wp:docPr id="1057501707"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01707" name="图片 1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304800" cy="266700"/>
                          </a:xfrm>
                          <a:prstGeom prst="rect">
                            <a:avLst/>
                          </a:prstGeom>
                          <a:noFill/>
                          <a:ln>
                            <a:noFill/>
                          </a:ln>
                        </pic:spPr>
                      </pic:pic>
                    </a:graphicData>
                  </a:graphic>
                </wp:inline>
              </w:drawing>
            </w:r>
            <w:r>
              <w:rPr>
                <w:sz w:val="24"/>
              </w:rPr>
              <w:t>——</w:t>
            </w:r>
            <w:r>
              <w:rPr>
                <w:sz w:val="24"/>
              </w:rPr>
              <w:t>障碍物屏蔽引起的衰减，</w:t>
            </w:r>
            <w:r>
              <w:rPr>
                <w:sz w:val="24"/>
              </w:rPr>
              <w:t>dB</w:t>
            </w:r>
            <w:r>
              <w:rPr>
                <w:sz w:val="24"/>
              </w:rPr>
              <w:t>；</w:t>
            </w:r>
          </w:p>
          <w:p w14:paraId="6D9E1D69" w14:textId="77777777" w:rsidR="00F76A63" w:rsidRDefault="00000000">
            <w:pPr>
              <w:spacing w:line="500" w:lineRule="exact"/>
              <w:ind w:firstLineChars="200" w:firstLine="480"/>
              <w:rPr>
                <w:sz w:val="24"/>
              </w:rPr>
            </w:pPr>
            <w:r>
              <w:rPr>
                <w:noProof/>
                <w:sz w:val="24"/>
              </w:rPr>
              <w:lastRenderedPageBreak/>
              <w:drawing>
                <wp:inline distT="0" distB="0" distL="0" distR="0" wp14:anchorId="76EF7045" wp14:editId="5AB2EE17">
                  <wp:extent cx="342900" cy="266700"/>
                  <wp:effectExtent l="0" t="0" r="0" b="0"/>
                  <wp:docPr id="247681057"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81057" name="图片 1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342900" cy="266700"/>
                          </a:xfrm>
                          <a:prstGeom prst="rect">
                            <a:avLst/>
                          </a:prstGeom>
                          <a:noFill/>
                          <a:ln>
                            <a:noFill/>
                          </a:ln>
                        </pic:spPr>
                      </pic:pic>
                    </a:graphicData>
                  </a:graphic>
                </wp:inline>
              </w:drawing>
            </w:r>
            <w:r>
              <w:rPr>
                <w:noProof/>
                <w:sz w:val="24"/>
              </w:rPr>
              <w:drawing>
                <wp:inline distT="0" distB="0" distL="0" distR="0" wp14:anchorId="1D64DF45" wp14:editId="41D617A8">
                  <wp:extent cx="352425" cy="266700"/>
                  <wp:effectExtent l="0" t="0" r="9525" b="0"/>
                  <wp:docPr id="359300575"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00575" name="图片 1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352425" cy="266700"/>
                          </a:xfrm>
                          <a:prstGeom prst="rect">
                            <a:avLst/>
                          </a:prstGeom>
                          <a:noFill/>
                          <a:ln>
                            <a:noFill/>
                          </a:ln>
                        </pic:spPr>
                      </pic:pic>
                    </a:graphicData>
                  </a:graphic>
                </wp:inline>
              </w:drawing>
            </w:r>
            <w:r>
              <w:rPr>
                <w:sz w:val="24"/>
              </w:rPr>
              <w:t>——</w:t>
            </w:r>
            <w:r>
              <w:rPr>
                <w:sz w:val="24"/>
              </w:rPr>
              <w:t>其他多方面效应引起的衰减，</w:t>
            </w:r>
            <w:r>
              <w:rPr>
                <w:sz w:val="24"/>
              </w:rPr>
              <w:t>dB</w:t>
            </w:r>
            <w:r>
              <w:rPr>
                <w:sz w:val="24"/>
              </w:rPr>
              <w:t>。</w:t>
            </w:r>
          </w:p>
          <w:p w14:paraId="65DB3456" w14:textId="77777777" w:rsidR="00F76A63" w:rsidRDefault="00000000">
            <w:pPr>
              <w:spacing w:line="500" w:lineRule="exact"/>
              <w:ind w:firstLineChars="200" w:firstLine="480"/>
              <w:rPr>
                <w:sz w:val="24"/>
              </w:rPr>
            </w:pPr>
            <w:r>
              <w:rPr>
                <w:rFonts w:hint="eastAsia"/>
                <w:sz w:val="24"/>
              </w:rPr>
              <w:t>②室内声源等效室外声源声功率级计算方法</w:t>
            </w:r>
          </w:p>
          <w:p w14:paraId="2573B65D" w14:textId="77777777" w:rsidR="00F76A63" w:rsidRDefault="00000000">
            <w:pPr>
              <w:spacing w:line="500" w:lineRule="exact"/>
              <w:ind w:firstLineChars="200" w:firstLine="480"/>
              <w:rPr>
                <w:sz w:val="24"/>
              </w:rPr>
            </w:pPr>
            <w:r>
              <w:rPr>
                <w:sz w:val="24"/>
              </w:rPr>
              <w:t>声源位于室内，室内声源可采用等效室外声源声功率级法进行计算。设靠近开口处（或窗户）室内、室外某倍频带的声压级或</w:t>
            </w:r>
            <w:r>
              <w:rPr>
                <w:sz w:val="24"/>
              </w:rPr>
              <w:t>A</w:t>
            </w:r>
            <w:r>
              <w:rPr>
                <w:sz w:val="24"/>
              </w:rPr>
              <w:t>声级分别为</w:t>
            </w:r>
            <w:r>
              <w:rPr>
                <w:noProof/>
                <w:sz w:val="24"/>
              </w:rPr>
              <w:drawing>
                <wp:inline distT="0" distB="0" distL="0" distR="0" wp14:anchorId="4D566DB5" wp14:editId="07BBA541">
                  <wp:extent cx="209550" cy="285750"/>
                  <wp:effectExtent l="0" t="0" r="0" b="0"/>
                  <wp:docPr id="2068252544"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52544" name="图片 1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209550" cy="285750"/>
                          </a:xfrm>
                          <a:prstGeom prst="rect">
                            <a:avLst/>
                          </a:prstGeom>
                          <a:noFill/>
                          <a:ln>
                            <a:noFill/>
                          </a:ln>
                        </pic:spPr>
                      </pic:pic>
                    </a:graphicData>
                  </a:graphic>
                </wp:inline>
              </w:drawing>
            </w:r>
            <w:r>
              <w:rPr>
                <w:noProof/>
                <w:sz w:val="24"/>
              </w:rPr>
              <w:drawing>
                <wp:inline distT="0" distB="0" distL="0" distR="0" wp14:anchorId="44BF62B0" wp14:editId="7D39DCFD">
                  <wp:extent cx="219075" cy="285750"/>
                  <wp:effectExtent l="0" t="0" r="9525" b="0"/>
                  <wp:docPr id="162885328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53282" name="图片 1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19075" cy="285750"/>
                          </a:xfrm>
                          <a:prstGeom prst="rect">
                            <a:avLst/>
                          </a:prstGeom>
                          <a:noFill/>
                          <a:ln>
                            <a:noFill/>
                          </a:ln>
                        </pic:spPr>
                      </pic:pic>
                    </a:graphicData>
                  </a:graphic>
                </wp:inline>
              </w:drawing>
            </w:r>
            <w:r>
              <w:rPr>
                <w:sz w:val="24"/>
              </w:rPr>
              <w:t>和</w:t>
            </w:r>
            <w:r>
              <w:rPr>
                <w:noProof/>
                <w:sz w:val="24"/>
              </w:rPr>
              <w:drawing>
                <wp:inline distT="0" distB="0" distL="0" distR="0" wp14:anchorId="2FDFDB0F" wp14:editId="39E39FBF">
                  <wp:extent cx="209550" cy="285750"/>
                  <wp:effectExtent l="0" t="0" r="0" b="0"/>
                  <wp:docPr id="182445519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55191" name="图片 1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09550" cy="285750"/>
                          </a:xfrm>
                          <a:prstGeom prst="rect">
                            <a:avLst/>
                          </a:prstGeom>
                          <a:noFill/>
                          <a:ln>
                            <a:noFill/>
                          </a:ln>
                        </pic:spPr>
                      </pic:pic>
                    </a:graphicData>
                  </a:graphic>
                </wp:inline>
              </w:drawing>
            </w:r>
            <w:r>
              <w:rPr>
                <w:noProof/>
                <w:sz w:val="24"/>
              </w:rPr>
              <w:drawing>
                <wp:inline distT="0" distB="0" distL="0" distR="0" wp14:anchorId="6C743F4C" wp14:editId="42AD2971">
                  <wp:extent cx="219075" cy="285750"/>
                  <wp:effectExtent l="0" t="0" r="9525" b="0"/>
                  <wp:docPr id="690685212"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85212" name="图片 1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19075" cy="285750"/>
                          </a:xfrm>
                          <a:prstGeom prst="rect">
                            <a:avLst/>
                          </a:prstGeom>
                          <a:noFill/>
                          <a:ln>
                            <a:noFill/>
                          </a:ln>
                        </pic:spPr>
                      </pic:pic>
                    </a:graphicData>
                  </a:graphic>
                </wp:inline>
              </w:drawing>
            </w:r>
            <w:r>
              <w:rPr>
                <w:sz w:val="24"/>
              </w:rPr>
              <w:t>。若声源所在室内声场为近似扩散声场，则室外的倍频带声压级可按下式近似求出：</w:t>
            </w:r>
          </w:p>
          <w:p w14:paraId="6327CF92" w14:textId="77777777" w:rsidR="00F76A63" w:rsidRDefault="00000000">
            <w:pPr>
              <w:spacing w:line="500" w:lineRule="exact"/>
              <w:ind w:firstLineChars="200" w:firstLine="480"/>
              <w:rPr>
                <w:sz w:val="24"/>
              </w:rPr>
            </w:pPr>
            <w:r>
              <w:rPr>
                <w:noProof/>
                <w:sz w:val="24"/>
              </w:rPr>
              <w:drawing>
                <wp:inline distT="0" distB="0" distL="0" distR="0" wp14:anchorId="081B9E02" wp14:editId="268970EB">
                  <wp:extent cx="1390650" cy="285750"/>
                  <wp:effectExtent l="0" t="0" r="0" b="0"/>
                  <wp:docPr id="374222563"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22563" name="图片 1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390650" cy="285750"/>
                          </a:xfrm>
                          <a:prstGeom prst="rect">
                            <a:avLst/>
                          </a:prstGeom>
                          <a:noFill/>
                          <a:ln>
                            <a:noFill/>
                          </a:ln>
                        </pic:spPr>
                      </pic:pic>
                    </a:graphicData>
                  </a:graphic>
                </wp:inline>
              </w:drawing>
            </w:r>
            <w:r>
              <w:rPr>
                <w:sz w:val="24"/>
              </w:rPr>
              <w:t xml:space="preserve"> </w:t>
            </w:r>
          </w:p>
          <w:p w14:paraId="09530050" w14:textId="77777777" w:rsidR="00F76A63" w:rsidRDefault="00000000">
            <w:pPr>
              <w:spacing w:line="500" w:lineRule="exact"/>
              <w:ind w:firstLineChars="200" w:firstLine="480"/>
              <w:rPr>
                <w:sz w:val="24"/>
              </w:rPr>
            </w:pPr>
            <w:r>
              <w:rPr>
                <w:sz w:val="24"/>
              </w:rPr>
              <w:t>式中：</w:t>
            </w:r>
            <w:r>
              <w:rPr>
                <w:noProof/>
                <w:sz w:val="24"/>
              </w:rPr>
              <w:drawing>
                <wp:inline distT="0" distB="0" distL="0" distR="0" wp14:anchorId="01BDB813" wp14:editId="664B5611">
                  <wp:extent cx="171450" cy="266700"/>
                  <wp:effectExtent l="0" t="0" r="0" b="0"/>
                  <wp:docPr id="1767308093"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08093" name="图片 1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71450" cy="266700"/>
                          </a:xfrm>
                          <a:prstGeom prst="rect">
                            <a:avLst/>
                          </a:prstGeom>
                          <a:noFill/>
                          <a:ln>
                            <a:noFill/>
                          </a:ln>
                        </pic:spPr>
                      </pic:pic>
                    </a:graphicData>
                  </a:graphic>
                </wp:inline>
              </w:drawing>
            </w:r>
            <w:r>
              <w:rPr>
                <w:noProof/>
                <w:sz w:val="24"/>
              </w:rPr>
              <w:drawing>
                <wp:inline distT="0" distB="0" distL="0" distR="0" wp14:anchorId="7331A79C" wp14:editId="52F80FEB">
                  <wp:extent cx="180975" cy="266700"/>
                  <wp:effectExtent l="0" t="0" r="9525" b="0"/>
                  <wp:docPr id="1314103934"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03934" name="图片 1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80975" cy="266700"/>
                          </a:xfrm>
                          <a:prstGeom prst="rect">
                            <a:avLst/>
                          </a:prstGeom>
                          <a:noFill/>
                          <a:ln>
                            <a:noFill/>
                          </a:ln>
                        </pic:spPr>
                      </pic:pic>
                    </a:graphicData>
                  </a:graphic>
                </wp:inline>
              </w:drawing>
            </w:r>
            <w:r>
              <w:rPr>
                <w:sz w:val="24"/>
              </w:rPr>
              <w:t>——</w:t>
            </w:r>
            <w:r>
              <w:rPr>
                <w:sz w:val="24"/>
              </w:rPr>
              <w:t>隔墙（或窗户）倍频带或</w:t>
            </w:r>
            <w:r>
              <w:rPr>
                <w:sz w:val="24"/>
              </w:rPr>
              <w:t>A</w:t>
            </w:r>
            <w:r>
              <w:rPr>
                <w:sz w:val="24"/>
              </w:rPr>
              <w:t>声级的隔声量，</w:t>
            </w:r>
            <w:r>
              <w:rPr>
                <w:sz w:val="24"/>
              </w:rPr>
              <w:t>dB</w:t>
            </w:r>
            <w:r>
              <w:rPr>
                <w:sz w:val="24"/>
              </w:rPr>
              <w:t>。</w:t>
            </w:r>
          </w:p>
          <w:p w14:paraId="503FC298" w14:textId="77777777" w:rsidR="00F76A63" w:rsidRDefault="00000000">
            <w:pPr>
              <w:spacing w:line="500" w:lineRule="exact"/>
              <w:ind w:firstLineChars="200" w:firstLine="480"/>
              <w:rPr>
                <w:sz w:val="24"/>
              </w:rPr>
            </w:pPr>
            <w:r>
              <w:rPr>
                <w:sz w:val="24"/>
              </w:rPr>
              <w:t>也可按下列公式计算某一室内声源靠近围护结构处产生的倍频带声压级：</w:t>
            </w:r>
          </w:p>
          <w:p w14:paraId="391930A3" w14:textId="77777777" w:rsidR="00F76A63" w:rsidRDefault="00000000">
            <w:pPr>
              <w:jc w:val="center"/>
              <w:rPr>
                <w:sz w:val="24"/>
              </w:rPr>
            </w:pPr>
            <w:r>
              <w:rPr>
                <w:noProof/>
                <w:sz w:val="24"/>
              </w:rPr>
              <w:drawing>
                <wp:inline distT="0" distB="0" distL="0" distR="0" wp14:anchorId="11879B24" wp14:editId="1A5775B8">
                  <wp:extent cx="1828800" cy="438150"/>
                  <wp:effectExtent l="0" t="0" r="0" b="0"/>
                  <wp:docPr id="1697261768"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61768" name="图片 1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828800" cy="438150"/>
                          </a:xfrm>
                          <a:prstGeom prst="rect">
                            <a:avLst/>
                          </a:prstGeom>
                          <a:noFill/>
                          <a:ln>
                            <a:noFill/>
                          </a:ln>
                        </pic:spPr>
                      </pic:pic>
                    </a:graphicData>
                  </a:graphic>
                </wp:inline>
              </w:drawing>
            </w:r>
          </w:p>
          <w:p w14:paraId="166BBAE1" w14:textId="77777777" w:rsidR="00F76A63" w:rsidRDefault="00000000">
            <w:pPr>
              <w:spacing w:line="500" w:lineRule="exact"/>
              <w:ind w:firstLineChars="200" w:firstLine="480"/>
              <w:rPr>
                <w:sz w:val="24"/>
              </w:rPr>
            </w:pPr>
            <w:r>
              <w:rPr>
                <w:sz w:val="24"/>
              </w:rPr>
              <w:t>式中：</w:t>
            </w:r>
            <w:r>
              <w:rPr>
                <w:noProof/>
                <w:sz w:val="24"/>
              </w:rPr>
              <w:drawing>
                <wp:inline distT="0" distB="0" distL="0" distR="0" wp14:anchorId="284BCBD1" wp14:editId="7ED6DEB3">
                  <wp:extent cx="171450" cy="266700"/>
                  <wp:effectExtent l="0" t="0" r="0" b="0"/>
                  <wp:docPr id="1170500791"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00791" name="图片 1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71450" cy="266700"/>
                          </a:xfrm>
                          <a:prstGeom prst="rect">
                            <a:avLst/>
                          </a:prstGeom>
                          <a:noFill/>
                          <a:ln>
                            <a:noFill/>
                          </a:ln>
                        </pic:spPr>
                      </pic:pic>
                    </a:graphicData>
                  </a:graphic>
                </wp:inline>
              </w:drawing>
            </w:r>
            <w:r>
              <w:rPr>
                <w:noProof/>
                <w:sz w:val="24"/>
              </w:rPr>
              <w:drawing>
                <wp:inline distT="0" distB="0" distL="0" distR="0" wp14:anchorId="142A67B3" wp14:editId="39D8FC71">
                  <wp:extent cx="180975" cy="266700"/>
                  <wp:effectExtent l="0" t="0" r="9525" b="0"/>
                  <wp:docPr id="1590364556"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64556" name="图片 1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80975" cy="266700"/>
                          </a:xfrm>
                          <a:prstGeom prst="rect">
                            <a:avLst/>
                          </a:prstGeom>
                          <a:noFill/>
                          <a:ln>
                            <a:noFill/>
                          </a:ln>
                        </pic:spPr>
                      </pic:pic>
                    </a:graphicData>
                  </a:graphic>
                </wp:inline>
              </w:drawing>
            </w:r>
            <w:r>
              <w:rPr>
                <w:sz w:val="24"/>
              </w:rPr>
              <w:t>——</w:t>
            </w:r>
            <w:r>
              <w:rPr>
                <w:sz w:val="24"/>
              </w:rPr>
              <w:t>点声源声功率级（</w:t>
            </w:r>
            <w:r>
              <w:rPr>
                <w:sz w:val="24"/>
              </w:rPr>
              <w:t>A</w:t>
            </w:r>
            <w:r>
              <w:rPr>
                <w:sz w:val="24"/>
              </w:rPr>
              <w:t>计权或倍频带），</w:t>
            </w:r>
            <w:r>
              <w:rPr>
                <w:sz w:val="24"/>
              </w:rPr>
              <w:t>dB</w:t>
            </w:r>
            <w:r>
              <w:rPr>
                <w:sz w:val="24"/>
              </w:rPr>
              <w:t>；</w:t>
            </w:r>
          </w:p>
          <w:p w14:paraId="3DECFF2A" w14:textId="77777777" w:rsidR="00F76A63" w:rsidRDefault="00000000">
            <w:pPr>
              <w:spacing w:line="500" w:lineRule="exact"/>
              <w:ind w:firstLineChars="200" w:firstLine="480"/>
              <w:rPr>
                <w:sz w:val="24"/>
              </w:rPr>
            </w:pPr>
            <w:r>
              <w:rPr>
                <w:rFonts w:ascii="Cambria Math" w:hAnsi="Cambria Math" w:cs="Cambria Math"/>
                <w:sz w:val="24"/>
              </w:rPr>
              <w:t>𝑄</w:t>
            </w:r>
            <w:r>
              <w:rPr>
                <w:sz w:val="24"/>
              </w:rPr>
              <w:t>——</w:t>
            </w:r>
            <w:r>
              <w:rPr>
                <w:sz w:val="24"/>
              </w:rPr>
              <w:t>指向性因数；通常对无指向性声源，当声源放在房间中心时，</w:t>
            </w:r>
            <w:r>
              <w:rPr>
                <w:sz w:val="24"/>
              </w:rPr>
              <w:t>Q=1</w:t>
            </w:r>
            <w:r>
              <w:rPr>
                <w:sz w:val="24"/>
              </w:rPr>
              <w:t>；当放在一面墙的中心时，</w:t>
            </w:r>
            <w:r>
              <w:rPr>
                <w:sz w:val="24"/>
              </w:rPr>
              <w:t>Q=2</w:t>
            </w:r>
            <w:r>
              <w:rPr>
                <w:sz w:val="24"/>
              </w:rPr>
              <w:t>；当放在两面墙夹角处时，</w:t>
            </w:r>
            <w:r>
              <w:rPr>
                <w:sz w:val="24"/>
              </w:rPr>
              <w:t>Q=4</w:t>
            </w:r>
            <w:r>
              <w:rPr>
                <w:sz w:val="24"/>
              </w:rPr>
              <w:t>；当放在三面墙夹角处时，</w:t>
            </w:r>
            <w:r>
              <w:rPr>
                <w:sz w:val="24"/>
              </w:rPr>
              <w:t>Q=8</w:t>
            </w:r>
            <w:r>
              <w:rPr>
                <w:sz w:val="24"/>
              </w:rPr>
              <w:t>。</w:t>
            </w:r>
          </w:p>
          <w:p w14:paraId="4805B54A" w14:textId="77777777" w:rsidR="00F76A63" w:rsidRDefault="00000000">
            <w:pPr>
              <w:spacing w:line="500" w:lineRule="exact"/>
              <w:ind w:firstLineChars="200" w:firstLine="480"/>
              <w:rPr>
                <w:sz w:val="24"/>
              </w:rPr>
            </w:pPr>
            <w:r>
              <w:rPr>
                <w:rFonts w:ascii="Cambria Math" w:hAnsi="Cambria Math" w:cs="Cambria Math"/>
                <w:sz w:val="24"/>
              </w:rPr>
              <w:t>𝑅</w:t>
            </w:r>
            <w:r>
              <w:rPr>
                <w:sz w:val="24"/>
              </w:rPr>
              <w:t>——</w:t>
            </w:r>
            <w:r>
              <w:rPr>
                <w:sz w:val="24"/>
              </w:rPr>
              <w:t>房间常数；</w:t>
            </w:r>
            <w:r>
              <w:rPr>
                <w:rFonts w:ascii="Cambria Math" w:hAnsi="Cambria Math" w:cs="Cambria Math"/>
                <w:sz w:val="24"/>
              </w:rPr>
              <w:t>𝑅</w:t>
            </w:r>
            <w:r>
              <w:rPr>
                <w:sz w:val="24"/>
              </w:rPr>
              <w:t>=</w:t>
            </w:r>
            <w:r>
              <w:rPr>
                <w:rFonts w:ascii="Cambria Math" w:hAnsi="Cambria Math" w:cs="Cambria Math"/>
                <w:sz w:val="24"/>
              </w:rPr>
              <w:t>𝑆𝛼</w:t>
            </w:r>
            <w:r>
              <w:rPr>
                <w:sz w:val="24"/>
              </w:rPr>
              <w:t>/</w:t>
            </w:r>
            <w:r>
              <w:rPr>
                <w:sz w:val="24"/>
              </w:rPr>
              <w:t>（</w:t>
            </w:r>
            <w:r>
              <w:rPr>
                <w:sz w:val="24"/>
              </w:rPr>
              <w:t>1−</w:t>
            </w:r>
            <w:r>
              <w:rPr>
                <w:rFonts w:ascii="Cambria Math" w:hAnsi="Cambria Math" w:cs="Cambria Math"/>
                <w:sz w:val="24"/>
              </w:rPr>
              <w:t>𝛼</w:t>
            </w:r>
            <w:r>
              <w:rPr>
                <w:sz w:val="24"/>
              </w:rPr>
              <w:t>），</w:t>
            </w:r>
            <w:r>
              <w:rPr>
                <w:rFonts w:ascii="Cambria Math" w:hAnsi="Cambria Math" w:cs="Cambria Math"/>
                <w:sz w:val="24"/>
              </w:rPr>
              <w:t>𝑆</w:t>
            </w:r>
            <w:r>
              <w:rPr>
                <w:sz w:val="24"/>
              </w:rPr>
              <w:t>为房间内表面面积，</w:t>
            </w:r>
            <w:r>
              <w:rPr>
                <w:sz w:val="24"/>
              </w:rPr>
              <w:t>m</w:t>
            </w:r>
            <w:r>
              <w:rPr>
                <w:sz w:val="24"/>
                <w:vertAlign w:val="superscript"/>
              </w:rPr>
              <w:t>2</w:t>
            </w:r>
            <w:r>
              <w:rPr>
                <w:sz w:val="24"/>
              </w:rPr>
              <w:t>；</w:t>
            </w:r>
            <w:r>
              <w:rPr>
                <w:rFonts w:ascii="Cambria Math" w:hAnsi="Cambria Math" w:cs="Cambria Math"/>
                <w:sz w:val="24"/>
              </w:rPr>
              <w:t>𝛼</w:t>
            </w:r>
            <w:r>
              <w:rPr>
                <w:sz w:val="24"/>
              </w:rPr>
              <w:t>为平均吸声系数。</w:t>
            </w:r>
          </w:p>
          <w:p w14:paraId="1E08B938" w14:textId="77777777" w:rsidR="00F76A63" w:rsidRDefault="00000000">
            <w:pPr>
              <w:spacing w:line="500" w:lineRule="exact"/>
              <w:ind w:firstLineChars="200" w:firstLine="480"/>
              <w:rPr>
                <w:sz w:val="24"/>
              </w:rPr>
            </w:pPr>
            <w:r>
              <w:rPr>
                <w:rFonts w:ascii="Cambria Math" w:hAnsi="Cambria Math" w:cs="Cambria Math"/>
                <w:sz w:val="24"/>
              </w:rPr>
              <w:t>𝑟</w:t>
            </w:r>
            <w:r>
              <w:rPr>
                <w:sz w:val="24"/>
              </w:rPr>
              <w:t>——</w:t>
            </w:r>
            <w:r>
              <w:rPr>
                <w:sz w:val="24"/>
              </w:rPr>
              <w:t>声源到靠近围护结构某点处的距离，</w:t>
            </w:r>
            <w:r>
              <w:rPr>
                <w:sz w:val="24"/>
              </w:rPr>
              <w:t>m</w:t>
            </w:r>
            <w:r>
              <w:rPr>
                <w:sz w:val="24"/>
              </w:rPr>
              <w:t>。</w:t>
            </w:r>
          </w:p>
          <w:p w14:paraId="4FB64AF2" w14:textId="77777777" w:rsidR="00F76A63" w:rsidRDefault="00000000">
            <w:pPr>
              <w:spacing w:line="500" w:lineRule="exact"/>
              <w:ind w:firstLineChars="200" w:firstLine="480"/>
              <w:rPr>
                <w:sz w:val="24"/>
              </w:rPr>
            </w:pPr>
            <w:r>
              <w:rPr>
                <w:rFonts w:hint="eastAsia"/>
                <w:sz w:val="24"/>
              </w:rPr>
              <w:t>③</w:t>
            </w:r>
            <w:r>
              <w:rPr>
                <w:sz w:val="24"/>
              </w:rPr>
              <w:t>计算所有室内声源在围护结构处产生的</w:t>
            </w:r>
            <w:r>
              <w:rPr>
                <w:sz w:val="24"/>
              </w:rPr>
              <w:t>i</w:t>
            </w:r>
            <w:r>
              <w:rPr>
                <w:sz w:val="24"/>
              </w:rPr>
              <w:t>倍频带叠加声压级</w:t>
            </w:r>
          </w:p>
          <w:p w14:paraId="1F660932" w14:textId="77777777" w:rsidR="00F76A63" w:rsidRDefault="00000000">
            <w:pPr>
              <w:spacing w:line="500" w:lineRule="exact"/>
              <w:ind w:firstLineChars="200" w:firstLine="480"/>
              <w:rPr>
                <w:sz w:val="24"/>
              </w:rPr>
            </w:pPr>
            <w:r>
              <w:rPr>
                <w:sz w:val="24"/>
              </w:rPr>
              <w:t>按下列公式计算出所有室内声源在围护结构处产生的</w:t>
            </w:r>
            <w:r>
              <w:rPr>
                <w:sz w:val="24"/>
              </w:rPr>
              <w:t>i</w:t>
            </w:r>
            <w:r>
              <w:rPr>
                <w:sz w:val="24"/>
              </w:rPr>
              <w:t>倍频带叠加声压级：</w:t>
            </w:r>
          </w:p>
          <w:p w14:paraId="287B907E" w14:textId="77777777" w:rsidR="00F76A63" w:rsidRDefault="00000000">
            <w:pPr>
              <w:jc w:val="center"/>
              <w:rPr>
                <w:sz w:val="24"/>
              </w:rPr>
            </w:pPr>
            <w:r>
              <w:rPr>
                <w:noProof/>
                <w:sz w:val="24"/>
              </w:rPr>
              <w:drawing>
                <wp:inline distT="0" distB="0" distL="0" distR="0" wp14:anchorId="545960A7" wp14:editId="03DDCC33">
                  <wp:extent cx="2362200" cy="628650"/>
                  <wp:effectExtent l="0" t="0" r="0" b="0"/>
                  <wp:docPr id="563622156"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22156" name="图片 1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362200" cy="628650"/>
                          </a:xfrm>
                          <a:prstGeom prst="rect">
                            <a:avLst/>
                          </a:prstGeom>
                          <a:noFill/>
                          <a:ln>
                            <a:noFill/>
                          </a:ln>
                        </pic:spPr>
                      </pic:pic>
                    </a:graphicData>
                  </a:graphic>
                </wp:inline>
              </w:drawing>
            </w:r>
          </w:p>
          <w:p w14:paraId="2762F6A2" w14:textId="77777777" w:rsidR="00F76A63" w:rsidRDefault="00000000">
            <w:pPr>
              <w:spacing w:line="500" w:lineRule="exact"/>
              <w:ind w:firstLineChars="200" w:firstLine="480"/>
              <w:rPr>
                <w:sz w:val="24"/>
              </w:rPr>
            </w:pPr>
            <w:r>
              <w:rPr>
                <w:sz w:val="24"/>
              </w:rPr>
              <w:t>式中：</w:t>
            </w:r>
            <w:r>
              <w:rPr>
                <w:noProof/>
                <w:sz w:val="24"/>
              </w:rPr>
              <w:drawing>
                <wp:inline distT="0" distB="0" distL="0" distR="0" wp14:anchorId="6EEF78B9" wp14:editId="73F733E2">
                  <wp:extent cx="647700" cy="314325"/>
                  <wp:effectExtent l="0" t="0" r="0" b="9525"/>
                  <wp:docPr id="1904037964"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37964" name="图片 1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647700" cy="314325"/>
                          </a:xfrm>
                          <a:prstGeom prst="rect">
                            <a:avLst/>
                          </a:prstGeom>
                          <a:noFill/>
                          <a:ln>
                            <a:noFill/>
                          </a:ln>
                        </pic:spPr>
                      </pic:pic>
                    </a:graphicData>
                  </a:graphic>
                </wp:inline>
              </w:drawing>
            </w:r>
            <w:r>
              <w:rPr>
                <w:noProof/>
                <w:sz w:val="24"/>
              </w:rPr>
              <w:drawing>
                <wp:inline distT="0" distB="0" distL="0" distR="0" wp14:anchorId="6D8E6DD8" wp14:editId="0C18E458">
                  <wp:extent cx="657225" cy="323850"/>
                  <wp:effectExtent l="0" t="0" r="9525" b="0"/>
                  <wp:docPr id="2123841736"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841736" name="图片 1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657225" cy="323850"/>
                          </a:xfrm>
                          <a:prstGeom prst="rect">
                            <a:avLst/>
                          </a:prstGeom>
                          <a:noFill/>
                          <a:ln>
                            <a:noFill/>
                          </a:ln>
                        </pic:spPr>
                      </pic:pic>
                    </a:graphicData>
                  </a:graphic>
                </wp:inline>
              </w:drawing>
            </w:r>
            <w:r>
              <w:rPr>
                <w:sz w:val="24"/>
              </w:rPr>
              <w:t>——</w:t>
            </w:r>
            <w:r>
              <w:rPr>
                <w:sz w:val="24"/>
              </w:rPr>
              <w:t>靠近围护结构处室内</w:t>
            </w:r>
            <w:r>
              <w:rPr>
                <w:sz w:val="24"/>
              </w:rPr>
              <w:t>N</w:t>
            </w:r>
            <w:r>
              <w:rPr>
                <w:sz w:val="24"/>
              </w:rPr>
              <w:t>个声源</w:t>
            </w:r>
            <w:r>
              <w:rPr>
                <w:sz w:val="24"/>
              </w:rPr>
              <w:t>i</w:t>
            </w:r>
            <w:r>
              <w:rPr>
                <w:sz w:val="24"/>
              </w:rPr>
              <w:t>倍频带的叠加声压级，</w:t>
            </w:r>
            <w:r>
              <w:rPr>
                <w:sz w:val="24"/>
              </w:rPr>
              <w:t>dB</w:t>
            </w:r>
            <w:r>
              <w:rPr>
                <w:sz w:val="24"/>
              </w:rPr>
              <w:t>；</w:t>
            </w:r>
          </w:p>
          <w:p w14:paraId="1A9C7BEC" w14:textId="77777777" w:rsidR="00F76A63" w:rsidRDefault="00000000">
            <w:pPr>
              <w:spacing w:line="500" w:lineRule="exact"/>
              <w:ind w:firstLineChars="200" w:firstLine="480"/>
              <w:rPr>
                <w:sz w:val="24"/>
              </w:rPr>
            </w:pPr>
            <w:r>
              <w:rPr>
                <w:noProof/>
                <w:sz w:val="24"/>
              </w:rPr>
              <w:drawing>
                <wp:inline distT="0" distB="0" distL="0" distR="0" wp14:anchorId="31FCB499" wp14:editId="46A92700">
                  <wp:extent cx="304800" cy="285750"/>
                  <wp:effectExtent l="0" t="0" r="0" b="0"/>
                  <wp:docPr id="1248689078"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89078" name="图片 1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304800" cy="285750"/>
                          </a:xfrm>
                          <a:prstGeom prst="rect">
                            <a:avLst/>
                          </a:prstGeom>
                          <a:noFill/>
                          <a:ln>
                            <a:noFill/>
                          </a:ln>
                        </pic:spPr>
                      </pic:pic>
                    </a:graphicData>
                  </a:graphic>
                </wp:inline>
              </w:drawing>
            </w:r>
            <w:r>
              <w:rPr>
                <w:noProof/>
                <w:sz w:val="24"/>
              </w:rPr>
              <w:drawing>
                <wp:inline distT="0" distB="0" distL="0" distR="0" wp14:anchorId="624A0789" wp14:editId="4D0FF91F">
                  <wp:extent cx="314325" cy="285750"/>
                  <wp:effectExtent l="0" t="0" r="9525" b="0"/>
                  <wp:docPr id="894735617"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735617" name="图片 1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14325" cy="285750"/>
                          </a:xfrm>
                          <a:prstGeom prst="rect">
                            <a:avLst/>
                          </a:prstGeom>
                          <a:noFill/>
                          <a:ln>
                            <a:noFill/>
                          </a:ln>
                        </pic:spPr>
                      </pic:pic>
                    </a:graphicData>
                  </a:graphic>
                </wp:inline>
              </w:drawing>
            </w:r>
            <w:r>
              <w:rPr>
                <w:sz w:val="24"/>
              </w:rPr>
              <w:t>——</w:t>
            </w:r>
            <w:r>
              <w:rPr>
                <w:sz w:val="24"/>
              </w:rPr>
              <w:t>室内</w:t>
            </w:r>
            <w:r>
              <w:rPr>
                <w:sz w:val="24"/>
              </w:rPr>
              <w:t>j</w:t>
            </w:r>
            <w:r>
              <w:rPr>
                <w:sz w:val="24"/>
              </w:rPr>
              <w:t>声源</w:t>
            </w:r>
            <w:r>
              <w:rPr>
                <w:sz w:val="24"/>
              </w:rPr>
              <w:t>i</w:t>
            </w:r>
            <w:r>
              <w:rPr>
                <w:sz w:val="24"/>
              </w:rPr>
              <w:t>倍频带的声压级，</w:t>
            </w:r>
            <w:r>
              <w:rPr>
                <w:sz w:val="24"/>
              </w:rPr>
              <w:t>dB</w:t>
            </w:r>
            <w:r>
              <w:rPr>
                <w:sz w:val="24"/>
              </w:rPr>
              <w:t>；</w:t>
            </w:r>
            <w:r>
              <w:rPr>
                <w:sz w:val="24"/>
              </w:rPr>
              <w:t xml:space="preserve"> </w:t>
            </w:r>
          </w:p>
          <w:p w14:paraId="004AC2C3" w14:textId="77777777" w:rsidR="00F76A63" w:rsidRDefault="00000000">
            <w:pPr>
              <w:spacing w:line="500" w:lineRule="exact"/>
              <w:ind w:firstLineChars="200" w:firstLine="480"/>
              <w:rPr>
                <w:sz w:val="24"/>
              </w:rPr>
            </w:pPr>
            <w:r>
              <w:rPr>
                <w:sz w:val="24"/>
              </w:rPr>
              <w:t>N——</w:t>
            </w:r>
            <w:r>
              <w:rPr>
                <w:sz w:val="24"/>
              </w:rPr>
              <w:t>室内声源总数。</w:t>
            </w:r>
          </w:p>
          <w:p w14:paraId="4F1E64E4" w14:textId="77777777" w:rsidR="00F76A63" w:rsidRDefault="00000000">
            <w:pPr>
              <w:spacing w:line="500" w:lineRule="exact"/>
              <w:ind w:firstLineChars="200" w:firstLine="480"/>
              <w:rPr>
                <w:sz w:val="24"/>
              </w:rPr>
            </w:pPr>
            <w:r>
              <w:rPr>
                <w:sz w:val="24"/>
              </w:rPr>
              <w:lastRenderedPageBreak/>
              <w:t>在室内近似为扩散声场时，按下列公式计算出靠近室外围护结构处的声压级：</w:t>
            </w:r>
          </w:p>
          <w:p w14:paraId="5C11658E" w14:textId="77777777" w:rsidR="00F76A63" w:rsidRDefault="00000000">
            <w:pPr>
              <w:jc w:val="center"/>
              <w:rPr>
                <w:sz w:val="24"/>
              </w:rPr>
            </w:pPr>
            <w:r>
              <w:rPr>
                <w:noProof/>
                <w:sz w:val="24"/>
              </w:rPr>
              <w:drawing>
                <wp:inline distT="0" distB="0" distL="0" distR="0" wp14:anchorId="78D4F8BE" wp14:editId="1D57931A">
                  <wp:extent cx="1962150" cy="285750"/>
                  <wp:effectExtent l="0" t="0" r="0" b="0"/>
                  <wp:docPr id="448137295"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37295" name="图片 1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962150" cy="285750"/>
                          </a:xfrm>
                          <a:prstGeom prst="rect">
                            <a:avLst/>
                          </a:prstGeom>
                          <a:noFill/>
                          <a:ln>
                            <a:noFill/>
                          </a:ln>
                        </pic:spPr>
                      </pic:pic>
                    </a:graphicData>
                  </a:graphic>
                </wp:inline>
              </w:drawing>
            </w:r>
          </w:p>
          <w:p w14:paraId="2271E1F0" w14:textId="77777777" w:rsidR="00F76A63" w:rsidRDefault="00000000">
            <w:pPr>
              <w:spacing w:line="500" w:lineRule="exact"/>
              <w:ind w:firstLineChars="200" w:firstLine="480"/>
              <w:rPr>
                <w:sz w:val="24"/>
              </w:rPr>
            </w:pPr>
            <w:r>
              <w:rPr>
                <w:sz w:val="24"/>
              </w:rPr>
              <w:t>式中：</w:t>
            </w:r>
            <w:r>
              <w:rPr>
                <w:noProof/>
                <w:sz w:val="24"/>
              </w:rPr>
              <w:drawing>
                <wp:inline distT="0" distB="0" distL="0" distR="0" wp14:anchorId="43B30C82" wp14:editId="46F3BCAE">
                  <wp:extent cx="647700" cy="314325"/>
                  <wp:effectExtent l="0" t="0" r="0" b="9525"/>
                  <wp:docPr id="1633301145"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01145" name="图片 1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647700" cy="314325"/>
                          </a:xfrm>
                          <a:prstGeom prst="rect">
                            <a:avLst/>
                          </a:prstGeom>
                          <a:noFill/>
                          <a:ln>
                            <a:noFill/>
                          </a:ln>
                        </pic:spPr>
                      </pic:pic>
                    </a:graphicData>
                  </a:graphic>
                </wp:inline>
              </w:drawing>
            </w:r>
            <w:r>
              <w:rPr>
                <w:noProof/>
                <w:sz w:val="24"/>
              </w:rPr>
              <w:drawing>
                <wp:inline distT="0" distB="0" distL="0" distR="0" wp14:anchorId="0F9A36CE" wp14:editId="2A353D47">
                  <wp:extent cx="657225" cy="323850"/>
                  <wp:effectExtent l="0" t="0" r="9525" b="0"/>
                  <wp:docPr id="2117197638"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97638" name="图片 1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657225" cy="323850"/>
                          </a:xfrm>
                          <a:prstGeom prst="rect">
                            <a:avLst/>
                          </a:prstGeom>
                          <a:noFill/>
                          <a:ln>
                            <a:noFill/>
                          </a:ln>
                        </pic:spPr>
                      </pic:pic>
                    </a:graphicData>
                  </a:graphic>
                </wp:inline>
              </w:drawing>
            </w:r>
            <w:r>
              <w:rPr>
                <w:sz w:val="24"/>
              </w:rPr>
              <w:t>——</w:t>
            </w:r>
            <w:r>
              <w:rPr>
                <w:sz w:val="24"/>
              </w:rPr>
              <w:t>靠近围护结构处室外</w:t>
            </w:r>
            <w:r>
              <w:rPr>
                <w:sz w:val="24"/>
              </w:rPr>
              <w:t>N</w:t>
            </w:r>
            <w:r>
              <w:rPr>
                <w:sz w:val="24"/>
              </w:rPr>
              <w:t>个声源</w:t>
            </w:r>
            <w:r>
              <w:rPr>
                <w:sz w:val="24"/>
              </w:rPr>
              <w:t>i</w:t>
            </w:r>
            <w:r>
              <w:rPr>
                <w:sz w:val="24"/>
              </w:rPr>
              <w:t>倍频带的叠加声压级，</w:t>
            </w:r>
            <w:r>
              <w:rPr>
                <w:sz w:val="24"/>
              </w:rPr>
              <w:t>dB</w:t>
            </w:r>
            <w:r>
              <w:rPr>
                <w:sz w:val="24"/>
              </w:rPr>
              <w:t>；</w:t>
            </w:r>
          </w:p>
          <w:p w14:paraId="05F57681" w14:textId="77777777" w:rsidR="00F76A63" w:rsidRDefault="00000000">
            <w:pPr>
              <w:spacing w:line="500" w:lineRule="exact"/>
              <w:ind w:firstLineChars="200" w:firstLine="480"/>
              <w:rPr>
                <w:sz w:val="24"/>
              </w:rPr>
            </w:pPr>
            <w:r>
              <w:rPr>
                <w:noProof/>
                <w:sz w:val="24"/>
              </w:rPr>
              <w:drawing>
                <wp:inline distT="0" distB="0" distL="0" distR="0" wp14:anchorId="577C885C" wp14:editId="5F881AC5">
                  <wp:extent cx="219075" cy="266700"/>
                  <wp:effectExtent l="0" t="0" r="9525" b="0"/>
                  <wp:docPr id="1018005742"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05742" name="图片 1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19075" cy="266700"/>
                          </a:xfrm>
                          <a:prstGeom prst="rect">
                            <a:avLst/>
                          </a:prstGeom>
                          <a:noFill/>
                          <a:ln>
                            <a:noFill/>
                          </a:ln>
                        </pic:spPr>
                      </pic:pic>
                    </a:graphicData>
                  </a:graphic>
                </wp:inline>
              </w:drawing>
            </w:r>
            <w:r>
              <w:rPr>
                <w:noProof/>
                <w:sz w:val="24"/>
              </w:rPr>
              <w:drawing>
                <wp:inline distT="0" distB="0" distL="0" distR="0" wp14:anchorId="0377E03F" wp14:editId="28E27AD9">
                  <wp:extent cx="228600" cy="266700"/>
                  <wp:effectExtent l="0" t="0" r="0" b="0"/>
                  <wp:docPr id="987869951"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69951" name="图片 1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sz w:val="24"/>
              </w:rPr>
              <w:t>——</w:t>
            </w:r>
            <w:r>
              <w:rPr>
                <w:sz w:val="24"/>
              </w:rPr>
              <w:t>围护结构</w:t>
            </w:r>
            <w:r>
              <w:rPr>
                <w:sz w:val="24"/>
              </w:rPr>
              <w:t>i</w:t>
            </w:r>
            <w:r>
              <w:rPr>
                <w:sz w:val="24"/>
              </w:rPr>
              <w:t>倍频带的隔声量，</w:t>
            </w:r>
            <w:r>
              <w:rPr>
                <w:sz w:val="24"/>
              </w:rPr>
              <w:t>dB</w:t>
            </w:r>
            <w:r>
              <w:rPr>
                <w:sz w:val="24"/>
              </w:rPr>
              <w:t>。</w:t>
            </w:r>
          </w:p>
          <w:p w14:paraId="34CFDCD3" w14:textId="77777777" w:rsidR="00F76A63" w:rsidRDefault="00000000">
            <w:pPr>
              <w:spacing w:line="500" w:lineRule="exact"/>
              <w:ind w:firstLineChars="200" w:firstLine="480"/>
              <w:rPr>
                <w:sz w:val="24"/>
              </w:rPr>
            </w:pPr>
            <w:r>
              <w:rPr>
                <w:sz w:val="24"/>
              </w:rPr>
              <w:t>D</w:t>
            </w:r>
            <w:r>
              <w:rPr>
                <w:sz w:val="24"/>
              </w:rPr>
              <w:t>、计算中心位置位于透声面积（</w:t>
            </w:r>
            <w:r>
              <w:rPr>
                <w:sz w:val="24"/>
              </w:rPr>
              <w:t>S</w:t>
            </w:r>
            <w:r>
              <w:rPr>
                <w:sz w:val="24"/>
              </w:rPr>
              <w:t>）处的等效声源的倍频带声功率级</w:t>
            </w:r>
          </w:p>
          <w:p w14:paraId="255759B4" w14:textId="77777777" w:rsidR="00F76A63" w:rsidRDefault="00000000">
            <w:pPr>
              <w:spacing w:line="500" w:lineRule="exact"/>
              <w:ind w:firstLineChars="200" w:firstLine="480"/>
              <w:rPr>
                <w:sz w:val="24"/>
              </w:rPr>
            </w:pPr>
            <w:r>
              <w:rPr>
                <w:sz w:val="24"/>
              </w:rPr>
              <w:t>然后按下列公式将室外声源的声压级和透过面积换算成等效的室外声源，计算出中心位置位于透声面积（</w:t>
            </w:r>
            <w:r>
              <w:rPr>
                <w:sz w:val="24"/>
              </w:rPr>
              <w:t>S</w:t>
            </w:r>
            <w:r>
              <w:rPr>
                <w:sz w:val="24"/>
              </w:rPr>
              <w:t>）处的等效声源的倍频带声功率级。</w:t>
            </w:r>
          </w:p>
          <w:p w14:paraId="23191A12" w14:textId="77777777" w:rsidR="00F76A63" w:rsidRDefault="00000000">
            <w:pPr>
              <w:spacing w:line="500" w:lineRule="exact"/>
              <w:ind w:firstLineChars="200" w:firstLine="480"/>
              <w:rPr>
                <w:sz w:val="24"/>
              </w:rPr>
            </w:pPr>
            <w:r>
              <w:rPr>
                <w:noProof/>
                <w:sz w:val="24"/>
              </w:rPr>
              <w:drawing>
                <wp:inline distT="0" distB="0" distL="0" distR="0" wp14:anchorId="138FA5E2" wp14:editId="08DB9AC8">
                  <wp:extent cx="1381125" cy="285750"/>
                  <wp:effectExtent l="0" t="0" r="9525" b="0"/>
                  <wp:docPr id="96762018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20189" name="图片 1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381125" cy="285750"/>
                          </a:xfrm>
                          <a:prstGeom prst="rect">
                            <a:avLst/>
                          </a:prstGeom>
                          <a:noFill/>
                          <a:ln>
                            <a:noFill/>
                          </a:ln>
                        </pic:spPr>
                      </pic:pic>
                    </a:graphicData>
                  </a:graphic>
                </wp:inline>
              </w:drawing>
            </w:r>
            <w:r>
              <w:rPr>
                <w:sz w:val="24"/>
              </w:rPr>
              <w:t xml:space="preserve"> </w:t>
            </w:r>
          </w:p>
          <w:p w14:paraId="1509E98D" w14:textId="77777777" w:rsidR="00F76A63" w:rsidRDefault="00000000">
            <w:pPr>
              <w:spacing w:line="500" w:lineRule="exact"/>
              <w:ind w:firstLineChars="200" w:firstLine="480"/>
              <w:rPr>
                <w:sz w:val="24"/>
              </w:rPr>
            </w:pPr>
            <w:r>
              <w:rPr>
                <w:rFonts w:hint="eastAsia"/>
                <w:sz w:val="24"/>
              </w:rPr>
              <w:t>④</w:t>
            </w:r>
            <w:r>
              <w:rPr>
                <w:sz w:val="24"/>
              </w:rPr>
              <w:t>计算预测点处的</w:t>
            </w:r>
            <w:r>
              <w:rPr>
                <w:sz w:val="24"/>
              </w:rPr>
              <w:t>A</w:t>
            </w:r>
            <w:r>
              <w:rPr>
                <w:sz w:val="24"/>
              </w:rPr>
              <w:t>声级</w:t>
            </w:r>
          </w:p>
          <w:p w14:paraId="385184DD" w14:textId="77777777" w:rsidR="00F76A63" w:rsidRDefault="00000000">
            <w:pPr>
              <w:spacing w:line="500" w:lineRule="exact"/>
              <w:ind w:firstLineChars="200" w:firstLine="480"/>
              <w:rPr>
                <w:sz w:val="24"/>
              </w:rPr>
            </w:pPr>
            <w:r>
              <w:rPr>
                <w:sz w:val="24"/>
              </w:rPr>
              <w:t>然后按室外声源预测方法计算预测点处的</w:t>
            </w:r>
            <w:r>
              <w:rPr>
                <w:sz w:val="24"/>
              </w:rPr>
              <w:t>A</w:t>
            </w:r>
            <w:r>
              <w:rPr>
                <w:sz w:val="24"/>
              </w:rPr>
              <w:t>声级。</w:t>
            </w:r>
          </w:p>
          <w:p w14:paraId="2A62E66E" w14:textId="77777777" w:rsidR="00F76A63" w:rsidRDefault="00000000">
            <w:pPr>
              <w:jc w:val="center"/>
              <w:rPr>
                <w:sz w:val="24"/>
              </w:rPr>
            </w:pPr>
            <w:r>
              <w:rPr>
                <w:noProof/>
                <w:sz w:val="24"/>
              </w:rPr>
              <w:drawing>
                <wp:inline distT="0" distB="0" distL="0" distR="0" wp14:anchorId="6BCDAFAA" wp14:editId="4CD8F1C3">
                  <wp:extent cx="2333625" cy="609600"/>
                  <wp:effectExtent l="0" t="0" r="9525" b="0"/>
                  <wp:docPr id="213735152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51522" name="图片 1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333625" cy="609600"/>
                          </a:xfrm>
                          <a:prstGeom prst="rect">
                            <a:avLst/>
                          </a:prstGeom>
                          <a:noFill/>
                          <a:ln>
                            <a:noFill/>
                          </a:ln>
                        </pic:spPr>
                      </pic:pic>
                    </a:graphicData>
                  </a:graphic>
                </wp:inline>
              </w:drawing>
            </w:r>
          </w:p>
          <w:p w14:paraId="2F2EE321" w14:textId="77777777" w:rsidR="00F76A63" w:rsidRDefault="00000000">
            <w:pPr>
              <w:spacing w:line="500" w:lineRule="exact"/>
              <w:ind w:firstLineChars="200" w:firstLine="480"/>
              <w:rPr>
                <w:sz w:val="24"/>
              </w:rPr>
            </w:pPr>
            <w:r>
              <w:rPr>
                <w:sz w:val="24"/>
              </w:rPr>
              <w:t>式中：</w:t>
            </w:r>
            <w:r>
              <w:rPr>
                <w:noProof/>
                <w:sz w:val="24"/>
              </w:rPr>
              <w:drawing>
                <wp:inline distT="0" distB="0" distL="0" distR="0" wp14:anchorId="39BF99FC" wp14:editId="068331B7">
                  <wp:extent cx="514350" cy="304800"/>
                  <wp:effectExtent l="0" t="0" r="0" b="0"/>
                  <wp:docPr id="2074934754"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34754" name="图片 1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14350" cy="304800"/>
                          </a:xfrm>
                          <a:prstGeom prst="rect">
                            <a:avLst/>
                          </a:prstGeom>
                          <a:noFill/>
                          <a:ln>
                            <a:noFill/>
                          </a:ln>
                        </pic:spPr>
                      </pic:pic>
                    </a:graphicData>
                  </a:graphic>
                </wp:inline>
              </w:drawing>
            </w:r>
            <w:r>
              <w:rPr>
                <w:noProof/>
                <w:sz w:val="24"/>
              </w:rPr>
              <w:drawing>
                <wp:inline distT="0" distB="0" distL="0" distR="0" wp14:anchorId="7216F2CC" wp14:editId="756D7A96">
                  <wp:extent cx="523875" cy="314325"/>
                  <wp:effectExtent l="0" t="0" r="9525" b="9525"/>
                  <wp:docPr id="831867099"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67099" name="图片 1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23875" cy="314325"/>
                          </a:xfrm>
                          <a:prstGeom prst="rect">
                            <a:avLst/>
                          </a:prstGeom>
                          <a:noFill/>
                          <a:ln>
                            <a:noFill/>
                          </a:ln>
                        </pic:spPr>
                      </pic:pic>
                    </a:graphicData>
                  </a:graphic>
                </wp:inline>
              </w:drawing>
            </w:r>
            <w:r>
              <w:rPr>
                <w:sz w:val="24"/>
              </w:rPr>
              <w:t>——</w:t>
            </w:r>
            <w:r>
              <w:rPr>
                <w:sz w:val="24"/>
              </w:rPr>
              <w:t>距声源</w:t>
            </w:r>
            <w:r>
              <w:rPr>
                <w:sz w:val="24"/>
              </w:rPr>
              <w:t>r</w:t>
            </w:r>
            <w:r>
              <w:rPr>
                <w:sz w:val="24"/>
              </w:rPr>
              <w:t>处的</w:t>
            </w:r>
            <w:r>
              <w:rPr>
                <w:sz w:val="24"/>
              </w:rPr>
              <w:t>A</w:t>
            </w:r>
            <w:r>
              <w:rPr>
                <w:sz w:val="24"/>
              </w:rPr>
              <w:t>声级，</w:t>
            </w:r>
            <w:r>
              <w:rPr>
                <w:sz w:val="24"/>
              </w:rPr>
              <w:t>dB(A)</w:t>
            </w:r>
            <w:r>
              <w:rPr>
                <w:sz w:val="24"/>
              </w:rPr>
              <w:t>；</w:t>
            </w:r>
          </w:p>
          <w:p w14:paraId="34CC224F" w14:textId="77777777" w:rsidR="00F76A63" w:rsidRDefault="00000000">
            <w:pPr>
              <w:spacing w:line="500" w:lineRule="exact"/>
              <w:ind w:firstLineChars="200" w:firstLine="480"/>
              <w:rPr>
                <w:sz w:val="24"/>
              </w:rPr>
            </w:pPr>
            <w:r>
              <w:rPr>
                <w:noProof/>
                <w:sz w:val="24"/>
              </w:rPr>
              <w:drawing>
                <wp:inline distT="0" distB="0" distL="0" distR="0" wp14:anchorId="0404BDB6" wp14:editId="44EEB447">
                  <wp:extent cx="400050" cy="285750"/>
                  <wp:effectExtent l="0" t="0" r="0" b="0"/>
                  <wp:docPr id="2083238742"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38742" name="图片 10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noProof/>
                <w:sz w:val="24"/>
              </w:rPr>
              <w:drawing>
                <wp:inline distT="0" distB="0" distL="0" distR="0" wp14:anchorId="1486D45F" wp14:editId="138E0C6B">
                  <wp:extent cx="400050" cy="285750"/>
                  <wp:effectExtent l="0" t="0" r="0" b="0"/>
                  <wp:docPr id="1063598470"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98470" name="图片 10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sz w:val="24"/>
              </w:rPr>
              <w:t>——</w:t>
            </w:r>
            <w:r>
              <w:rPr>
                <w:sz w:val="24"/>
              </w:rPr>
              <w:t>预测点（</w:t>
            </w:r>
            <w:r>
              <w:rPr>
                <w:sz w:val="24"/>
              </w:rPr>
              <w:t>r</w:t>
            </w:r>
            <w:r>
              <w:rPr>
                <w:sz w:val="24"/>
              </w:rPr>
              <w:t>）处，第</w:t>
            </w:r>
            <w:r>
              <w:rPr>
                <w:sz w:val="24"/>
              </w:rPr>
              <w:t>i</w:t>
            </w:r>
            <w:r>
              <w:rPr>
                <w:sz w:val="24"/>
              </w:rPr>
              <w:t>倍频带声压级，</w:t>
            </w:r>
            <w:r>
              <w:rPr>
                <w:sz w:val="24"/>
              </w:rPr>
              <w:t>dB</w:t>
            </w:r>
            <w:r>
              <w:rPr>
                <w:sz w:val="24"/>
              </w:rPr>
              <w:t>；</w:t>
            </w:r>
          </w:p>
          <w:p w14:paraId="164D08D1" w14:textId="77777777" w:rsidR="00F76A63" w:rsidRDefault="00000000">
            <w:pPr>
              <w:spacing w:line="500" w:lineRule="exact"/>
              <w:ind w:firstLineChars="200" w:firstLine="480"/>
              <w:rPr>
                <w:sz w:val="24"/>
              </w:rPr>
            </w:pPr>
            <w:r>
              <w:rPr>
                <w:noProof/>
                <w:sz w:val="24"/>
              </w:rPr>
              <w:drawing>
                <wp:inline distT="0" distB="0" distL="0" distR="0" wp14:anchorId="4B7F186C" wp14:editId="65D8BFDF">
                  <wp:extent cx="219075" cy="266700"/>
                  <wp:effectExtent l="0" t="0" r="9525" b="0"/>
                  <wp:docPr id="2131094030"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094030" name="图片 10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19075" cy="266700"/>
                          </a:xfrm>
                          <a:prstGeom prst="rect">
                            <a:avLst/>
                          </a:prstGeom>
                          <a:noFill/>
                          <a:ln>
                            <a:noFill/>
                          </a:ln>
                        </pic:spPr>
                      </pic:pic>
                    </a:graphicData>
                  </a:graphic>
                </wp:inline>
              </w:drawing>
            </w:r>
            <w:r>
              <w:rPr>
                <w:noProof/>
                <w:sz w:val="24"/>
              </w:rPr>
              <w:drawing>
                <wp:inline distT="0" distB="0" distL="0" distR="0" wp14:anchorId="4745C9A5" wp14:editId="5B558D8A">
                  <wp:extent cx="228600" cy="266700"/>
                  <wp:effectExtent l="0" t="0" r="0" b="0"/>
                  <wp:docPr id="922651705"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51705" name="图片 10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sz w:val="24"/>
              </w:rPr>
              <w:t>——</w:t>
            </w:r>
            <w:r>
              <w:rPr>
                <w:sz w:val="24"/>
              </w:rPr>
              <w:t>第</w:t>
            </w:r>
            <w:r>
              <w:rPr>
                <w:sz w:val="24"/>
              </w:rPr>
              <w:t>i</w:t>
            </w:r>
            <w:r>
              <w:rPr>
                <w:sz w:val="24"/>
              </w:rPr>
              <w:t>倍频带的</w:t>
            </w:r>
            <w:r>
              <w:rPr>
                <w:sz w:val="24"/>
              </w:rPr>
              <w:t>A</w:t>
            </w:r>
            <w:r>
              <w:rPr>
                <w:sz w:val="24"/>
              </w:rPr>
              <w:t>计权网络修正值，</w:t>
            </w:r>
            <w:r>
              <w:rPr>
                <w:sz w:val="24"/>
              </w:rPr>
              <w:t>dB</w:t>
            </w:r>
            <w:r>
              <w:rPr>
                <w:sz w:val="24"/>
              </w:rPr>
              <w:t>。</w:t>
            </w:r>
          </w:p>
          <w:p w14:paraId="245804C8" w14:textId="77777777" w:rsidR="00F76A63" w:rsidRDefault="00000000">
            <w:pPr>
              <w:spacing w:line="500" w:lineRule="exact"/>
              <w:ind w:firstLineChars="200" w:firstLine="480"/>
              <w:rPr>
                <w:sz w:val="24"/>
              </w:rPr>
            </w:pPr>
            <w:r>
              <w:rPr>
                <w:rFonts w:hint="eastAsia"/>
                <w:sz w:val="24"/>
              </w:rPr>
              <w:t>⑤</w:t>
            </w:r>
            <w:r>
              <w:rPr>
                <w:sz w:val="24"/>
              </w:rPr>
              <w:t>靠近声源处的预测点噪声预测模型</w:t>
            </w:r>
          </w:p>
          <w:p w14:paraId="5FBC31BD" w14:textId="77777777" w:rsidR="00F76A63" w:rsidRDefault="00000000">
            <w:pPr>
              <w:spacing w:line="500" w:lineRule="exact"/>
              <w:ind w:firstLineChars="200" w:firstLine="480"/>
              <w:rPr>
                <w:sz w:val="24"/>
              </w:rPr>
            </w:pPr>
            <w:r>
              <w:rPr>
                <w:sz w:val="24"/>
              </w:rPr>
              <w:t>如预测点在靠近声源处，但不能满足点声源条件时，需按线声源或面声源模型计算。</w:t>
            </w:r>
          </w:p>
          <w:p w14:paraId="51CD0BA2" w14:textId="77777777" w:rsidR="00F76A63" w:rsidRDefault="00000000">
            <w:pPr>
              <w:spacing w:line="500" w:lineRule="exact"/>
              <w:ind w:firstLineChars="200" w:firstLine="480"/>
              <w:rPr>
                <w:sz w:val="24"/>
              </w:rPr>
            </w:pPr>
            <w:r>
              <w:rPr>
                <w:rFonts w:hint="eastAsia"/>
                <w:sz w:val="24"/>
              </w:rPr>
              <w:t>⑥</w:t>
            </w:r>
            <w:r>
              <w:rPr>
                <w:sz w:val="24"/>
              </w:rPr>
              <w:t>工业企业噪声计算</w:t>
            </w:r>
          </w:p>
          <w:p w14:paraId="424415E0" w14:textId="77777777" w:rsidR="00F76A63" w:rsidRDefault="00000000">
            <w:pPr>
              <w:spacing w:line="500" w:lineRule="exact"/>
              <w:ind w:firstLineChars="200" w:firstLine="480"/>
              <w:rPr>
                <w:sz w:val="24"/>
              </w:rPr>
            </w:pPr>
            <w:r>
              <w:rPr>
                <w:sz w:val="24"/>
              </w:rPr>
              <w:t>设第</w:t>
            </w:r>
            <w:r>
              <w:rPr>
                <w:sz w:val="24"/>
              </w:rPr>
              <w:t>i</w:t>
            </w:r>
            <w:r>
              <w:rPr>
                <w:sz w:val="24"/>
              </w:rPr>
              <w:t>个室外声源在预测点产生的</w:t>
            </w:r>
            <w:r>
              <w:rPr>
                <w:sz w:val="24"/>
              </w:rPr>
              <w:t>A</w:t>
            </w:r>
            <w:r>
              <w:rPr>
                <w:sz w:val="24"/>
              </w:rPr>
              <w:t>声级为</w:t>
            </w:r>
            <w:r>
              <w:rPr>
                <w:noProof/>
                <w:sz w:val="24"/>
              </w:rPr>
              <w:drawing>
                <wp:inline distT="0" distB="0" distL="0" distR="0" wp14:anchorId="7C23D5B9" wp14:editId="05CB1E4F">
                  <wp:extent cx="190500" cy="266700"/>
                  <wp:effectExtent l="0" t="0" r="0" b="0"/>
                  <wp:docPr id="315838870"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38870" name="图片 10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90500" cy="266700"/>
                          </a:xfrm>
                          <a:prstGeom prst="rect">
                            <a:avLst/>
                          </a:prstGeom>
                          <a:noFill/>
                          <a:ln>
                            <a:noFill/>
                          </a:ln>
                        </pic:spPr>
                      </pic:pic>
                    </a:graphicData>
                  </a:graphic>
                </wp:inline>
              </w:drawing>
            </w:r>
            <w:r>
              <w:rPr>
                <w:noProof/>
                <w:sz w:val="24"/>
              </w:rPr>
              <w:drawing>
                <wp:inline distT="0" distB="0" distL="0" distR="0" wp14:anchorId="5C56792A" wp14:editId="7C73307F">
                  <wp:extent cx="190500" cy="266700"/>
                  <wp:effectExtent l="0" t="0" r="0" b="0"/>
                  <wp:docPr id="96503046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30464" name="图片 10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190500" cy="266700"/>
                          </a:xfrm>
                          <a:prstGeom prst="rect">
                            <a:avLst/>
                          </a:prstGeom>
                          <a:noFill/>
                          <a:ln>
                            <a:noFill/>
                          </a:ln>
                        </pic:spPr>
                      </pic:pic>
                    </a:graphicData>
                  </a:graphic>
                </wp:inline>
              </w:drawing>
            </w:r>
            <w:r>
              <w:rPr>
                <w:sz w:val="24"/>
              </w:rPr>
              <w:t>，在</w:t>
            </w:r>
            <w:r>
              <w:rPr>
                <w:sz w:val="24"/>
              </w:rPr>
              <w:t>T</w:t>
            </w:r>
            <w:r>
              <w:rPr>
                <w:sz w:val="24"/>
              </w:rPr>
              <w:t>时间内该声源工作时间为</w:t>
            </w:r>
            <w:r>
              <w:rPr>
                <w:noProof/>
                <w:sz w:val="24"/>
              </w:rPr>
              <w:drawing>
                <wp:inline distT="0" distB="0" distL="0" distR="0" wp14:anchorId="6A187C15" wp14:editId="485D2CE3">
                  <wp:extent cx="104775" cy="266700"/>
                  <wp:effectExtent l="0" t="0" r="9525" b="0"/>
                  <wp:docPr id="360559294"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59294" name="图片 10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04775" cy="266700"/>
                          </a:xfrm>
                          <a:prstGeom prst="rect">
                            <a:avLst/>
                          </a:prstGeom>
                          <a:noFill/>
                          <a:ln>
                            <a:noFill/>
                          </a:ln>
                        </pic:spPr>
                      </pic:pic>
                    </a:graphicData>
                  </a:graphic>
                </wp:inline>
              </w:drawing>
            </w:r>
            <w:r>
              <w:rPr>
                <w:noProof/>
                <w:sz w:val="24"/>
              </w:rPr>
              <w:drawing>
                <wp:inline distT="0" distB="0" distL="0" distR="0" wp14:anchorId="398FD296" wp14:editId="5D8EA154">
                  <wp:extent cx="114300" cy="266700"/>
                  <wp:effectExtent l="0" t="0" r="0" b="0"/>
                  <wp:docPr id="205411046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110462" name="图片 10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14300" cy="266700"/>
                          </a:xfrm>
                          <a:prstGeom prst="rect">
                            <a:avLst/>
                          </a:prstGeom>
                          <a:noFill/>
                          <a:ln>
                            <a:noFill/>
                          </a:ln>
                        </pic:spPr>
                      </pic:pic>
                    </a:graphicData>
                  </a:graphic>
                </wp:inline>
              </w:drawing>
            </w:r>
            <w:r>
              <w:rPr>
                <w:sz w:val="24"/>
              </w:rPr>
              <w:t>；第</w:t>
            </w:r>
            <w:r>
              <w:rPr>
                <w:sz w:val="24"/>
              </w:rPr>
              <w:t>j</w:t>
            </w:r>
            <w:r>
              <w:rPr>
                <w:sz w:val="24"/>
              </w:rPr>
              <w:t>个等效室外声源在预测点产生的</w:t>
            </w:r>
            <w:r>
              <w:rPr>
                <w:sz w:val="24"/>
              </w:rPr>
              <w:t>A</w:t>
            </w:r>
            <w:r>
              <w:rPr>
                <w:sz w:val="24"/>
              </w:rPr>
              <w:t>声级为</w:t>
            </w:r>
            <w:r>
              <w:rPr>
                <w:noProof/>
                <w:sz w:val="24"/>
              </w:rPr>
              <w:drawing>
                <wp:inline distT="0" distB="0" distL="0" distR="0" wp14:anchorId="43CFEF61" wp14:editId="1B1F2A3E">
                  <wp:extent cx="200025" cy="285750"/>
                  <wp:effectExtent l="0" t="0" r="9525" b="0"/>
                  <wp:docPr id="486605146"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05146" name="图片 10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200025" cy="285750"/>
                          </a:xfrm>
                          <a:prstGeom prst="rect">
                            <a:avLst/>
                          </a:prstGeom>
                          <a:noFill/>
                          <a:ln>
                            <a:noFill/>
                          </a:ln>
                        </pic:spPr>
                      </pic:pic>
                    </a:graphicData>
                  </a:graphic>
                </wp:inline>
              </w:drawing>
            </w:r>
            <w:r>
              <w:rPr>
                <w:noProof/>
                <w:sz w:val="24"/>
              </w:rPr>
              <w:drawing>
                <wp:inline distT="0" distB="0" distL="0" distR="0" wp14:anchorId="15A44360" wp14:editId="59B96BDA">
                  <wp:extent cx="209550" cy="285750"/>
                  <wp:effectExtent l="0" t="0" r="0" b="0"/>
                  <wp:docPr id="560291075"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91075" name="图片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209550" cy="285750"/>
                          </a:xfrm>
                          <a:prstGeom prst="rect">
                            <a:avLst/>
                          </a:prstGeom>
                          <a:noFill/>
                          <a:ln>
                            <a:noFill/>
                          </a:ln>
                        </pic:spPr>
                      </pic:pic>
                    </a:graphicData>
                  </a:graphic>
                </wp:inline>
              </w:drawing>
            </w:r>
            <w:r>
              <w:rPr>
                <w:sz w:val="24"/>
              </w:rPr>
              <w:t>，在</w:t>
            </w:r>
            <w:r>
              <w:rPr>
                <w:sz w:val="24"/>
              </w:rPr>
              <w:t>T</w:t>
            </w:r>
            <w:r>
              <w:rPr>
                <w:sz w:val="24"/>
              </w:rPr>
              <w:t>时间内该声源工作时间为</w:t>
            </w:r>
            <w:r>
              <w:rPr>
                <w:noProof/>
                <w:sz w:val="24"/>
              </w:rPr>
              <w:drawing>
                <wp:inline distT="0" distB="0" distL="0" distR="0" wp14:anchorId="396B69F4" wp14:editId="68CC94B9">
                  <wp:extent cx="104775" cy="285750"/>
                  <wp:effectExtent l="0" t="0" r="9525" b="0"/>
                  <wp:docPr id="1431673472"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73472" name="图片 9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104775" cy="285750"/>
                          </a:xfrm>
                          <a:prstGeom prst="rect">
                            <a:avLst/>
                          </a:prstGeom>
                          <a:noFill/>
                          <a:ln>
                            <a:noFill/>
                          </a:ln>
                        </pic:spPr>
                      </pic:pic>
                    </a:graphicData>
                  </a:graphic>
                </wp:inline>
              </w:drawing>
            </w:r>
            <w:r>
              <w:rPr>
                <w:noProof/>
                <w:sz w:val="24"/>
              </w:rPr>
              <w:drawing>
                <wp:inline distT="0" distB="0" distL="0" distR="0" wp14:anchorId="0B726A4E" wp14:editId="3F64F7CB">
                  <wp:extent cx="114300" cy="285750"/>
                  <wp:effectExtent l="0" t="0" r="0" b="0"/>
                  <wp:docPr id="1031154563"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54563" name="图片 9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114300" cy="285750"/>
                          </a:xfrm>
                          <a:prstGeom prst="rect">
                            <a:avLst/>
                          </a:prstGeom>
                          <a:noFill/>
                          <a:ln>
                            <a:noFill/>
                          </a:ln>
                        </pic:spPr>
                      </pic:pic>
                    </a:graphicData>
                  </a:graphic>
                </wp:inline>
              </w:drawing>
            </w:r>
            <w:r>
              <w:rPr>
                <w:sz w:val="24"/>
              </w:rPr>
              <w:t>，则拟建工程声源对预测点产生的贡献值（</w:t>
            </w:r>
            <w:r>
              <w:rPr>
                <w:noProof/>
                <w:sz w:val="24"/>
              </w:rPr>
              <w:drawing>
                <wp:inline distT="0" distB="0" distL="0" distR="0" wp14:anchorId="1F830F33" wp14:editId="01EAD2F3">
                  <wp:extent cx="285750" cy="285750"/>
                  <wp:effectExtent l="0" t="0" r="0" b="0"/>
                  <wp:docPr id="1262057888"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57888" name="图片 9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r>
              <w:rPr>
                <w:noProof/>
                <w:sz w:val="24"/>
              </w:rPr>
              <w:drawing>
                <wp:inline distT="0" distB="0" distL="0" distR="0" wp14:anchorId="28AB6954" wp14:editId="52F48612">
                  <wp:extent cx="285750" cy="285750"/>
                  <wp:effectExtent l="0" t="0" r="0" b="0"/>
                  <wp:docPr id="1693100961"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00961" name="图片 9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r>
              <w:rPr>
                <w:sz w:val="24"/>
              </w:rPr>
              <w:t>）为：</w:t>
            </w:r>
          </w:p>
          <w:p w14:paraId="49080BEA" w14:textId="77777777" w:rsidR="00F76A63" w:rsidRDefault="00000000">
            <w:pPr>
              <w:jc w:val="center"/>
              <w:rPr>
                <w:sz w:val="24"/>
              </w:rPr>
            </w:pPr>
            <w:r>
              <w:rPr>
                <w:noProof/>
                <w:sz w:val="24"/>
              </w:rPr>
              <w:lastRenderedPageBreak/>
              <w:drawing>
                <wp:inline distT="0" distB="0" distL="0" distR="0" wp14:anchorId="09C8471F" wp14:editId="635D16EC">
                  <wp:extent cx="3048000" cy="609600"/>
                  <wp:effectExtent l="0" t="0" r="0" b="0"/>
                  <wp:docPr id="1519260313"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260313" name="图片 9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3048000" cy="609600"/>
                          </a:xfrm>
                          <a:prstGeom prst="rect">
                            <a:avLst/>
                          </a:prstGeom>
                          <a:noFill/>
                          <a:ln>
                            <a:noFill/>
                          </a:ln>
                        </pic:spPr>
                      </pic:pic>
                    </a:graphicData>
                  </a:graphic>
                </wp:inline>
              </w:drawing>
            </w:r>
          </w:p>
          <w:p w14:paraId="54BDEC2B" w14:textId="77777777" w:rsidR="00F76A63" w:rsidRDefault="00000000">
            <w:pPr>
              <w:spacing w:line="500" w:lineRule="exact"/>
              <w:ind w:firstLineChars="200" w:firstLine="480"/>
              <w:rPr>
                <w:sz w:val="24"/>
              </w:rPr>
            </w:pPr>
            <w:r>
              <w:rPr>
                <w:sz w:val="24"/>
              </w:rPr>
              <w:t>式中：</w:t>
            </w:r>
            <w:r>
              <w:rPr>
                <w:noProof/>
                <w:sz w:val="24"/>
              </w:rPr>
              <w:drawing>
                <wp:inline distT="0" distB="0" distL="0" distR="0" wp14:anchorId="05455173" wp14:editId="4F5269F7">
                  <wp:extent cx="285750" cy="285750"/>
                  <wp:effectExtent l="0" t="0" r="0" b="0"/>
                  <wp:docPr id="1911683931"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83931" name="图片 9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r>
              <w:rPr>
                <w:noProof/>
                <w:sz w:val="24"/>
              </w:rPr>
              <w:drawing>
                <wp:inline distT="0" distB="0" distL="0" distR="0" wp14:anchorId="27B8039F" wp14:editId="596FAAE6">
                  <wp:extent cx="285750" cy="285750"/>
                  <wp:effectExtent l="0" t="0" r="0" b="0"/>
                  <wp:docPr id="658904765"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04765" name="图片 9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r>
              <w:rPr>
                <w:sz w:val="24"/>
              </w:rPr>
              <w:t>——</w:t>
            </w:r>
            <w:r>
              <w:rPr>
                <w:sz w:val="24"/>
              </w:rPr>
              <w:t>建设项目声源在预测点产生的噪声贡献值，</w:t>
            </w:r>
            <w:r>
              <w:rPr>
                <w:sz w:val="24"/>
              </w:rPr>
              <w:t>dB</w:t>
            </w:r>
            <w:r>
              <w:rPr>
                <w:sz w:val="24"/>
              </w:rPr>
              <w:t>；</w:t>
            </w:r>
          </w:p>
          <w:p w14:paraId="151A177F" w14:textId="77777777" w:rsidR="00F76A63" w:rsidRDefault="00000000">
            <w:pPr>
              <w:spacing w:line="500" w:lineRule="exact"/>
              <w:ind w:firstLineChars="200" w:firstLine="480"/>
              <w:rPr>
                <w:sz w:val="24"/>
              </w:rPr>
            </w:pPr>
            <w:r>
              <w:rPr>
                <w:noProof/>
                <w:sz w:val="24"/>
              </w:rPr>
              <w:drawing>
                <wp:inline distT="0" distB="0" distL="0" distR="0" wp14:anchorId="2BFC25FA" wp14:editId="0349BB4B">
                  <wp:extent cx="95250" cy="266700"/>
                  <wp:effectExtent l="0" t="0" r="0" b="0"/>
                  <wp:docPr id="772255989"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55989" name="图片 9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95250" cy="266700"/>
                          </a:xfrm>
                          <a:prstGeom prst="rect">
                            <a:avLst/>
                          </a:prstGeom>
                          <a:noFill/>
                          <a:ln>
                            <a:noFill/>
                          </a:ln>
                        </pic:spPr>
                      </pic:pic>
                    </a:graphicData>
                  </a:graphic>
                </wp:inline>
              </w:drawing>
            </w:r>
            <w:r>
              <w:rPr>
                <w:noProof/>
                <w:sz w:val="24"/>
              </w:rPr>
              <w:drawing>
                <wp:inline distT="0" distB="0" distL="0" distR="0" wp14:anchorId="3EA2ED0F" wp14:editId="0B6D36DD">
                  <wp:extent cx="95250" cy="266700"/>
                  <wp:effectExtent l="0" t="0" r="0" b="0"/>
                  <wp:docPr id="1114833935"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33935" name="图片 9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95250" cy="266700"/>
                          </a:xfrm>
                          <a:prstGeom prst="rect">
                            <a:avLst/>
                          </a:prstGeom>
                          <a:noFill/>
                          <a:ln>
                            <a:noFill/>
                          </a:ln>
                        </pic:spPr>
                      </pic:pic>
                    </a:graphicData>
                  </a:graphic>
                </wp:inline>
              </w:drawing>
            </w:r>
            <w:r>
              <w:rPr>
                <w:sz w:val="24"/>
              </w:rPr>
              <w:t>——</w:t>
            </w:r>
            <w:r>
              <w:rPr>
                <w:sz w:val="24"/>
              </w:rPr>
              <w:t>用于计算等效声级的时间，</w:t>
            </w:r>
            <w:r>
              <w:rPr>
                <w:sz w:val="24"/>
              </w:rPr>
              <w:t>s</w:t>
            </w:r>
            <w:r>
              <w:rPr>
                <w:sz w:val="24"/>
              </w:rPr>
              <w:t>；</w:t>
            </w:r>
          </w:p>
          <w:p w14:paraId="25042FDE" w14:textId="77777777" w:rsidR="00F76A63" w:rsidRDefault="00000000">
            <w:pPr>
              <w:spacing w:line="500" w:lineRule="exact"/>
              <w:ind w:firstLineChars="200" w:firstLine="480"/>
              <w:rPr>
                <w:sz w:val="24"/>
              </w:rPr>
            </w:pPr>
            <w:r>
              <w:rPr>
                <w:noProof/>
                <w:sz w:val="24"/>
              </w:rPr>
              <w:drawing>
                <wp:inline distT="0" distB="0" distL="0" distR="0" wp14:anchorId="77DE81AA" wp14:editId="2E215E9B">
                  <wp:extent cx="114300" cy="266700"/>
                  <wp:effectExtent l="0" t="0" r="0" b="0"/>
                  <wp:docPr id="587550913"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50913" name="图片 9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114300" cy="266700"/>
                          </a:xfrm>
                          <a:prstGeom prst="rect">
                            <a:avLst/>
                          </a:prstGeom>
                          <a:noFill/>
                          <a:ln>
                            <a:noFill/>
                          </a:ln>
                        </pic:spPr>
                      </pic:pic>
                    </a:graphicData>
                  </a:graphic>
                </wp:inline>
              </w:drawing>
            </w:r>
            <w:r>
              <w:rPr>
                <w:noProof/>
                <w:sz w:val="24"/>
              </w:rPr>
              <w:drawing>
                <wp:inline distT="0" distB="0" distL="0" distR="0" wp14:anchorId="51371FEC" wp14:editId="4AD082BE">
                  <wp:extent cx="114300" cy="266700"/>
                  <wp:effectExtent l="0" t="0" r="0" b="0"/>
                  <wp:docPr id="1123756213"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56213" name="图片 8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114300" cy="266700"/>
                          </a:xfrm>
                          <a:prstGeom prst="rect">
                            <a:avLst/>
                          </a:prstGeom>
                          <a:noFill/>
                          <a:ln>
                            <a:noFill/>
                          </a:ln>
                        </pic:spPr>
                      </pic:pic>
                    </a:graphicData>
                  </a:graphic>
                </wp:inline>
              </w:drawing>
            </w:r>
            <w:r>
              <w:rPr>
                <w:sz w:val="24"/>
              </w:rPr>
              <w:t>——</w:t>
            </w:r>
            <w:r>
              <w:rPr>
                <w:sz w:val="24"/>
              </w:rPr>
              <w:t>室外声源个数；</w:t>
            </w:r>
          </w:p>
          <w:p w14:paraId="2CAD0B20" w14:textId="77777777" w:rsidR="00F76A63" w:rsidRDefault="00000000">
            <w:pPr>
              <w:spacing w:line="500" w:lineRule="exact"/>
              <w:ind w:firstLineChars="200" w:firstLine="480"/>
              <w:rPr>
                <w:sz w:val="24"/>
              </w:rPr>
            </w:pPr>
            <w:r>
              <w:rPr>
                <w:noProof/>
                <w:sz w:val="24"/>
              </w:rPr>
              <w:drawing>
                <wp:inline distT="0" distB="0" distL="0" distR="0" wp14:anchorId="3C347CFA" wp14:editId="44AB6760">
                  <wp:extent cx="104775" cy="266700"/>
                  <wp:effectExtent l="0" t="0" r="9525" b="0"/>
                  <wp:docPr id="9850689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6898" name="图片 8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04775" cy="266700"/>
                          </a:xfrm>
                          <a:prstGeom prst="rect">
                            <a:avLst/>
                          </a:prstGeom>
                          <a:noFill/>
                          <a:ln>
                            <a:noFill/>
                          </a:ln>
                        </pic:spPr>
                      </pic:pic>
                    </a:graphicData>
                  </a:graphic>
                </wp:inline>
              </w:drawing>
            </w:r>
            <w:r>
              <w:rPr>
                <w:noProof/>
                <w:sz w:val="24"/>
              </w:rPr>
              <w:drawing>
                <wp:inline distT="0" distB="0" distL="0" distR="0" wp14:anchorId="7EA99E92" wp14:editId="4C3538EE">
                  <wp:extent cx="114300" cy="266700"/>
                  <wp:effectExtent l="0" t="0" r="0" b="0"/>
                  <wp:docPr id="1077554865"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54865" name="图片 8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14300" cy="266700"/>
                          </a:xfrm>
                          <a:prstGeom prst="rect">
                            <a:avLst/>
                          </a:prstGeom>
                          <a:noFill/>
                          <a:ln>
                            <a:noFill/>
                          </a:ln>
                        </pic:spPr>
                      </pic:pic>
                    </a:graphicData>
                  </a:graphic>
                </wp:inline>
              </w:drawing>
            </w:r>
            <w:r>
              <w:rPr>
                <w:sz w:val="24"/>
              </w:rPr>
              <w:t>——</w:t>
            </w:r>
            <w:r>
              <w:rPr>
                <w:sz w:val="24"/>
              </w:rPr>
              <w:t>在</w:t>
            </w:r>
            <w:r>
              <w:rPr>
                <w:sz w:val="24"/>
              </w:rPr>
              <w:t>T</w:t>
            </w:r>
            <w:r>
              <w:rPr>
                <w:sz w:val="24"/>
              </w:rPr>
              <w:t>时间内</w:t>
            </w:r>
            <w:r>
              <w:rPr>
                <w:sz w:val="24"/>
              </w:rPr>
              <w:t>i</w:t>
            </w:r>
            <w:r>
              <w:rPr>
                <w:sz w:val="24"/>
              </w:rPr>
              <w:t>声源工作时间，</w:t>
            </w:r>
            <w:r>
              <w:rPr>
                <w:sz w:val="24"/>
              </w:rPr>
              <w:t>s</w:t>
            </w:r>
            <w:r>
              <w:rPr>
                <w:sz w:val="24"/>
              </w:rPr>
              <w:t>；</w:t>
            </w:r>
          </w:p>
          <w:p w14:paraId="05909C4D" w14:textId="77777777" w:rsidR="00F76A63" w:rsidRDefault="00000000">
            <w:pPr>
              <w:spacing w:line="500" w:lineRule="exact"/>
              <w:ind w:firstLineChars="200" w:firstLine="480"/>
              <w:rPr>
                <w:sz w:val="24"/>
              </w:rPr>
            </w:pPr>
            <w:r>
              <w:rPr>
                <w:noProof/>
                <w:sz w:val="24"/>
              </w:rPr>
              <w:drawing>
                <wp:inline distT="0" distB="0" distL="0" distR="0" wp14:anchorId="30D5DFE6" wp14:editId="17FB4171">
                  <wp:extent cx="133350" cy="266700"/>
                  <wp:effectExtent l="0" t="0" r="0" b="0"/>
                  <wp:docPr id="1200473510"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73510" name="图片 8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133350" cy="266700"/>
                          </a:xfrm>
                          <a:prstGeom prst="rect">
                            <a:avLst/>
                          </a:prstGeom>
                          <a:noFill/>
                          <a:ln>
                            <a:noFill/>
                          </a:ln>
                        </pic:spPr>
                      </pic:pic>
                    </a:graphicData>
                  </a:graphic>
                </wp:inline>
              </w:drawing>
            </w:r>
            <w:r>
              <w:rPr>
                <w:noProof/>
                <w:sz w:val="24"/>
              </w:rPr>
              <w:drawing>
                <wp:inline distT="0" distB="0" distL="0" distR="0" wp14:anchorId="1D0A3916" wp14:editId="2C3CBAD7">
                  <wp:extent cx="133350" cy="266700"/>
                  <wp:effectExtent l="0" t="0" r="0" b="0"/>
                  <wp:docPr id="1171715330"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15330" name="图片 8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133350" cy="266700"/>
                          </a:xfrm>
                          <a:prstGeom prst="rect">
                            <a:avLst/>
                          </a:prstGeom>
                          <a:noFill/>
                          <a:ln>
                            <a:noFill/>
                          </a:ln>
                        </pic:spPr>
                      </pic:pic>
                    </a:graphicData>
                  </a:graphic>
                </wp:inline>
              </w:drawing>
            </w:r>
            <w:r>
              <w:rPr>
                <w:sz w:val="24"/>
              </w:rPr>
              <w:t>——</w:t>
            </w:r>
            <w:r>
              <w:rPr>
                <w:sz w:val="24"/>
              </w:rPr>
              <w:t>等效室外声源个数；</w:t>
            </w:r>
          </w:p>
          <w:p w14:paraId="17C8E900" w14:textId="77777777" w:rsidR="00F76A63" w:rsidRDefault="00000000">
            <w:pPr>
              <w:spacing w:line="500" w:lineRule="exact"/>
              <w:ind w:firstLineChars="200" w:firstLine="480"/>
              <w:rPr>
                <w:sz w:val="24"/>
              </w:rPr>
            </w:pPr>
            <w:r>
              <w:rPr>
                <w:noProof/>
                <w:sz w:val="24"/>
              </w:rPr>
              <w:drawing>
                <wp:inline distT="0" distB="0" distL="0" distR="0" wp14:anchorId="30D88646" wp14:editId="7DA3FFCC">
                  <wp:extent cx="104775" cy="285750"/>
                  <wp:effectExtent l="0" t="0" r="9525" b="0"/>
                  <wp:docPr id="1151066936"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66936" name="图片 8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104775" cy="285750"/>
                          </a:xfrm>
                          <a:prstGeom prst="rect">
                            <a:avLst/>
                          </a:prstGeom>
                          <a:noFill/>
                          <a:ln>
                            <a:noFill/>
                          </a:ln>
                        </pic:spPr>
                      </pic:pic>
                    </a:graphicData>
                  </a:graphic>
                </wp:inline>
              </w:drawing>
            </w:r>
            <w:r>
              <w:rPr>
                <w:noProof/>
                <w:sz w:val="24"/>
              </w:rPr>
              <w:drawing>
                <wp:inline distT="0" distB="0" distL="0" distR="0" wp14:anchorId="1799232F" wp14:editId="68E76F1B">
                  <wp:extent cx="114300" cy="285750"/>
                  <wp:effectExtent l="0" t="0" r="0" b="0"/>
                  <wp:docPr id="1691937636"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37636" name="图片 8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114300" cy="285750"/>
                          </a:xfrm>
                          <a:prstGeom prst="rect">
                            <a:avLst/>
                          </a:prstGeom>
                          <a:noFill/>
                          <a:ln>
                            <a:noFill/>
                          </a:ln>
                        </pic:spPr>
                      </pic:pic>
                    </a:graphicData>
                  </a:graphic>
                </wp:inline>
              </w:drawing>
            </w:r>
            <w:r>
              <w:rPr>
                <w:sz w:val="24"/>
              </w:rPr>
              <w:t>——</w:t>
            </w:r>
            <w:r>
              <w:rPr>
                <w:sz w:val="24"/>
              </w:rPr>
              <w:t>在</w:t>
            </w:r>
            <w:r>
              <w:rPr>
                <w:sz w:val="24"/>
              </w:rPr>
              <w:t>T</w:t>
            </w:r>
            <w:r>
              <w:rPr>
                <w:sz w:val="24"/>
              </w:rPr>
              <w:t>时间内</w:t>
            </w:r>
            <w:r>
              <w:rPr>
                <w:sz w:val="24"/>
              </w:rPr>
              <w:t>j</w:t>
            </w:r>
            <w:r>
              <w:rPr>
                <w:sz w:val="24"/>
              </w:rPr>
              <w:t>声源工作时间，</w:t>
            </w:r>
            <w:r>
              <w:rPr>
                <w:sz w:val="24"/>
              </w:rPr>
              <w:t>s</w:t>
            </w:r>
            <w:r>
              <w:rPr>
                <w:sz w:val="24"/>
              </w:rPr>
              <w:t>。</w:t>
            </w:r>
          </w:p>
          <w:p w14:paraId="119F733A" w14:textId="77777777" w:rsidR="00F76A63" w:rsidRDefault="00000000">
            <w:pPr>
              <w:spacing w:line="500" w:lineRule="exact"/>
              <w:ind w:firstLineChars="200" w:firstLine="480"/>
              <w:rPr>
                <w:sz w:val="24"/>
              </w:rPr>
            </w:pPr>
            <w:r>
              <w:rPr>
                <w:rFonts w:hint="eastAsia"/>
                <w:sz w:val="24"/>
              </w:rPr>
              <w:t>⑦</w:t>
            </w:r>
            <w:r>
              <w:rPr>
                <w:sz w:val="24"/>
              </w:rPr>
              <w:t>预测值计算</w:t>
            </w:r>
          </w:p>
          <w:p w14:paraId="2D1443D3" w14:textId="77777777" w:rsidR="00F76A63" w:rsidRDefault="00000000">
            <w:pPr>
              <w:spacing w:line="500" w:lineRule="exact"/>
              <w:ind w:firstLineChars="200" w:firstLine="480"/>
              <w:rPr>
                <w:sz w:val="24"/>
              </w:rPr>
            </w:pPr>
            <w:r>
              <w:rPr>
                <w:sz w:val="24"/>
              </w:rPr>
              <w:t>预测点的贡献值和背景值按能量叠加方法计算得到噪声预测值（</w:t>
            </w:r>
            <w:r>
              <w:rPr>
                <w:sz w:val="24"/>
              </w:rPr>
              <w:t>Leq</w:t>
            </w:r>
            <w:r>
              <w:rPr>
                <w:sz w:val="24"/>
              </w:rPr>
              <w:t>）：</w:t>
            </w:r>
          </w:p>
          <w:p w14:paraId="7D7AC1A0" w14:textId="77777777" w:rsidR="00F76A63" w:rsidRDefault="00000000">
            <w:pPr>
              <w:jc w:val="center"/>
              <w:rPr>
                <w:sz w:val="24"/>
              </w:rPr>
            </w:pPr>
            <w:r>
              <w:rPr>
                <w:noProof/>
                <w:sz w:val="24"/>
              </w:rPr>
              <w:drawing>
                <wp:inline distT="0" distB="0" distL="0" distR="0" wp14:anchorId="119E3F05" wp14:editId="7EE45EFB">
                  <wp:extent cx="2143125" cy="295275"/>
                  <wp:effectExtent l="0" t="0" r="9525" b="9525"/>
                  <wp:docPr id="1904627937"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627937" name="图片 8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2143125" cy="295275"/>
                          </a:xfrm>
                          <a:prstGeom prst="rect">
                            <a:avLst/>
                          </a:prstGeom>
                          <a:noFill/>
                          <a:ln>
                            <a:noFill/>
                          </a:ln>
                        </pic:spPr>
                      </pic:pic>
                    </a:graphicData>
                  </a:graphic>
                </wp:inline>
              </w:drawing>
            </w:r>
          </w:p>
          <w:p w14:paraId="69631E5E" w14:textId="77777777" w:rsidR="00F76A63" w:rsidRDefault="00000000">
            <w:pPr>
              <w:spacing w:line="500" w:lineRule="exact"/>
              <w:ind w:firstLineChars="200" w:firstLine="480"/>
              <w:rPr>
                <w:sz w:val="24"/>
              </w:rPr>
            </w:pPr>
            <w:r>
              <w:rPr>
                <w:sz w:val="24"/>
              </w:rPr>
              <w:t>式中：</w:t>
            </w:r>
            <w:r>
              <w:rPr>
                <w:noProof/>
                <w:sz w:val="24"/>
              </w:rPr>
              <w:drawing>
                <wp:inline distT="0" distB="0" distL="0" distR="0" wp14:anchorId="1A1CBDEB" wp14:editId="5BAEA83A">
                  <wp:extent cx="209550" cy="285750"/>
                  <wp:effectExtent l="0" t="0" r="0" b="0"/>
                  <wp:docPr id="10452313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31381" name="图片 8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209550" cy="285750"/>
                          </a:xfrm>
                          <a:prstGeom prst="rect">
                            <a:avLst/>
                          </a:prstGeom>
                          <a:noFill/>
                          <a:ln>
                            <a:noFill/>
                          </a:ln>
                        </pic:spPr>
                      </pic:pic>
                    </a:graphicData>
                  </a:graphic>
                </wp:inline>
              </w:drawing>
            </w:r>
            <w:r>
              <w:rPr>
                <w:noProof/>
                <w:sz w:val="24"/>
              </w:rPr>
              <w:drawing>
                <wp:inline distT="0" distB="0" distL="0" distR="0" wp14:anchorId="56789A54" wp14:editId="6BC55983">
                  <wp:extent cx="219075" cy="285750"/>
                  <wp:effectExtent l="0" t="0" r="9525" b="0"/>
                  <wp:docPr id="653915293"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15293" name="图片 8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219075" cy="285750"/>
                          </a:xfrm>
                          <a:prstGeom prst="rect">
                            <a:avLst/>
                          </a:prstGeom>
                          <a:noFill/>
                          <a:ln>
                            <a:noFill/>
                          </a:ln>
                        </pic:spPr>
                      </pic:pic>
                    </a:graphicData>
                  </a:graphic>
                </wp:inline>
              </w:drawing>
            </w:r>
            <w:r>
              <w:rPr>
                <w:sz w:val="24"/>
              </w:rPr>
              <w:t>——</w:t>
            </w:r>
            <w:r>
              <w:rPr>
                <w:sz w:val="24"/>
              </w:rPr>
              <w:t>预测点的噪声预测值，</w:t>
            </w:r>
            <w:r>
              <w:rPr>
                <w:sz w:val="24"/>
              </w:rPr>
              <w:t>dB</w:t>
            </w:r>
            <w:r>
              <w:rPr>
                <w:sz w:val="24"/>
              </w:rPr>
              <w:t>；</w:t>
            </w:r>
          </w:p>
          <w:p w14:paraId="1A90F71C" w14:textId="77777777" w:rsidR="00F76A63" w:rsidRDefault="00000000">
            <w:pPr>
              <w:spacing w:line="500" w:lineRule="exact"/>
              <w:ind w:firstLineChars="200" w:firstLine="480"/>
              <w:rPr>
                <w:sz w:val="24"/>
              </w:rPr>
            </w:pPr>
            <w:r>
              <w:rPr>
                <w:noProof/>
                <w:sz w:val="24"/>
              </w:rPr>
              <w:drawing>
                <wp:inline distT="0" distB="0" distL="0" distR="0" wp14:anchorId="0D07DDFF" wp14:editId="01DC263B">
                  <wp:extent cx="285750" cy="285750"/>
                  <wp:effectExtent l="0" t="0" r="0" b="0"/>
                  <wp:docPr id="2105204216"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04216" name="图片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r>
              <w:rPr>
                <w:noProof/>
                <w:sz w:val="24"/>
              </w:rPr>
              <w:drawing>
                <wp:inline distT="0" distB="0" distL="0" distR="0" wp14:anchorId="75B34773" wp14:editId="79C8F273">
                  <wp:extent cx="285750" cy="285750"/>
                  <wp:effectExtent l="0" t="0" r="0" b="0"/>
                  <wp:docPr id="453291767"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91767" name="图片 7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r>
              <w:rPr>
                <w:sz w:val="24"/>
              </w:rPr>
              <w:t>——</w:t>
            </w:r>
            <w:r>
              <w:rPr>
                <w:sz w:val="24"/>
              </w:rPr>
              <w:t>建设项目声源在预测点产生的噪声贡献值，</w:t>
            </w:r>
            <w:r>
              <w:rPr>
                <w:sz w:val="24"/>
              </w:rPr>
              <w:t>dB</w:t>
            </w:r>
            <w:r>
              <w:rPr>
                <w:sz w:val="24"/>
              </w:rPr>
              <w:t>；</w:t>
            </w:r>
          </w:p>
          <w:p w14:paraId="4664A36B" w14:textId="77777777" w:rsidR="00F76A63" w:rsidRDefault="00000000">
            <w:pPr>
              <w:spacing w:line="500" w:lineRule="exact"/>
              <w:ind w:firstLineChars="200" w:firstLine="480"/>
              <w:rPr>
                <w:sz w:val="24"/>
              </w:rPr>
            </w:pPr>
            <w:r>
              <w:rPr>
                <w:noProof/>
                <w:sz w:val="24"/>
              </w:rPr>
              <w:drawing>
                <wp:inline distT="0" distB="0" distL="0" distR="0" wp14:anchorId="2D0A174C" wp14:editId="772C7946">
                  <wp:extent cx="276225" cy="285750"/>
                  <wp:effectExtent l="0" t="0" r="9525" b="0"/>
                  <wp:docPr id="1338432530"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32530" name="图片 7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276225" cy="285750"/>
                          </a:xfrm>
                          <a:prstGeom prst="rect">
                            <a:avLst/>
                          </a:prstGeom>
                          <a:noFill/>
                          <a:ln>
                            <a:noFill/>
                          </a:ln>
                        </pic:spPr>
                      </pic:pic>
                    </a:graphicData>
                  </a:graphic>
                </wp:inline>
              </w:drawing>
            </w:r>
            <w:r>
              <w:rPr>
                <w:noProof/>
                <w:sz w:val="24"/>
              </w:rPr>
              <w:drawing>
                <wp:inline distT="0" distB="0" distL="0" distR="0" wp14:anchorId="00357B41" wp14:editId="1EC613CE">
                  <wp:extent cx="285750" cy="285750"/>
                  <wp:effectExtent l="0" t="0" r="0" b="0"/>
                  <wp:docPr id="1306239718"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39718" name="图片 7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r>
              <w:rPr>
                <w:sz w:val="24"/>
              </w:rPr>
              <w:t>——</w:t>
            </w:r>
            <w:r>
              <w:rPr>
                <w:sz w:val="24"/>
              </w:rPr>
              <w:t>预测点的背景噪声值，</w:t>
            </w:r>
            <w:r>
              <w:rPr>
                <w:sz w:val="24"/>
              </w:rPr>
              <w:t>dB</w:t>
            </w:r>
            <w:r>
              <w:rPr>
                <w:sz w:val="24"/>
              </w:rPr>
              <w:t>。</w:t>
            </w:r>
          </w:p>
          <w:p w14:paraId="1DDE2D32" w14:textId="77777777" w:rsidR="00F76A63" w:rsidRDefault="00000000">
            <w:pPr>
              <w:spacing w:line="500" w:lineRule="exact"/>
              <w:ind w:firstLineChars="200" w:firstLine="480"/>
              <w:rPr>
                <w:sz w:val="24"/>
              </w:rPr>
            </w:pPr>
            <w:r>
              <w:rPr>
                <w:rFonts w:hint="eastAsia"/>
                <w:sz w:val="24"/>
              </w:rPr>
              <w:t>在建设项目的平面图上，将东、南、西、北厂界作为关心点，考虑噪声距离衰减、合理布局等措施，预测厂界四周噪声影响情况。</w:t>
            </w:r>
          </w:p>
          <w:p w14:paraId="6F788B29" w14:textId="77777777" w:rsidR="00F76A63" w:rsidRDefault="00000000">
            <w:pPr>
              <w:spacing w:line="500" w:lineRule="exact"/>
              <w:ind w:firstLineChars="200" w:firstLine="480"/>
              <w:rPr>
                <w:sz w:val="24"/>
              </w:rPr>
            </w:pPr>
            <w:r>
              <w:rPr>
                <w:rFonts w:hint="eastAsia"/>
                <w:sz w:val="24"/>
              </w:rPr>
              <w:t>3</w:t>
            </w:r>
            <w:r>
              <w:rPr>
                <w:rFonts w:hint="eastAsia"/>
                <w:sz w:val="24"/>
              </w:rPr>
              <w:t>）达标情况分析</w:t>
            </w:r>
          </w:p>
          <w:p w14:paraId="7E7FA657" w14:textId="77777777" w:rsidR="00F76A63" w:rsidRDefault="00000000">
            <w:pPr>
              <w:spacing w:line="500" w:lineRule="exact"/>
              <w:ind w:firstLineChars="200" w:firstLine="480"/>
              <w:rPr>
                <w:sz w:val="24"/>
              </w:rPr>
            </w:pPr>
            <w:r>
              <w:rPr>
                <w:rFonts w:hint="eastAsia"/>
                <w:sz w:val="24"/>
              </w:rPr>
              <w:t>项目厂界噪声执行《工业企业厂界环境噪声排放标准》（</w:t>
            </w:r>
            <w:r>
              <w:rPr>
                <w:rFonts w:hint="eastAsia"/>
                <w:sz w:val="24"/>
              </w:rPr>
              <w:t>GB12348-2008</w:t>
            </w:r>
            <w:r>
              <w:rPr>
                <w:rFonts w:hint="eastAsia"/>
                <w:sz w:val="24"/>
              </w:rPr>
              <w:t>）中的</w:t>
            </w:r>
            <w:r>
              <w:rPr>
                <w:rFonts w:hint="eastAsia"/>
                <w:sz w:val="24"/>
              </w:rPr>
              <w:t>3</w:t>
            </w:r>
            <w:r>
              <w:rPr>
                <w:rFonts w:hint="eastAsia"/>
                <w:sz w:val="24"/>
              </w:rPr>
              <w:t>类标准，即昼间</w:t>
            </w:r>
            <w:r>
              <w:rPr>
                <w:rFonts w:hint="eastAsia"/>
                <w:sz w:val="24"/>
              </w:rPr>
              <w:t>65dB(A)</w:t>
            </w:r>
            <w:r>
              <w:rPr>
                <w:rFonts w:hint="eastAsia"/>
                <w:sz w:val="24"/>
              </w:rPr>
              <w:t>、夜间≤</w:t>
            </w:r>
            <w:r>
              <w:rPr>
                <w:rFonts w:hint="eastAsia"/>
                <w:sz w:val="24"/>
              </w:rPr>
              <w:t>55dB(A)</w:t>
            </w:r>
            <w:r>
              <w:rPr>
                <w:rFonts w:hint="eastAsia"/>
                <w:sz w:val="24"/>
              </w:rPr>
              <w:t>。</w:t>
            </w:r>
          </w:p>
          <w:p w14:paraId="021D60F4" w14:textId="77777777" w:rsidR="00F76A63" w:rsidRDefault="00000000">
            <w:pPr>
              <w:spacing w:line="500" w:lineRule="exact"/>
              <w:ind w:firstLineChars="200" w:firstLine="480"/>
              <w:rPr>
                <w:sz w:val="24"/>
              </w:rPr>
            </w:pPr>
            <w:r>
              <w:rPr>
                <w:rFonts w:hint="eastAsia"/>
                <w:sz w:val="24"/>
              </w:rPr>
              <w:t>4</w:t>
            </w:r>
            <w:r>
              <w:rPr>
                <w:rFonts w:hint="eastAsia"/>
                <w:sz w:val="24"/>
              </w:rPr>
              <w:t>）预测结果及分析</w:t>
            </w:r>
          </w:p>
          <w:p w14:paraId="3C1D222B" w14:textId="77777777" w:rsidR="00F76A63" w:rsidRDefault="00000000">
            <w:pPr>
              <w:spacing w:line="500" w:lineRule="exact"/>
              <w:ind w:firstLineChars="200" w:firstLine="480"/>
              <w:rPr>
                <w:sz w:val="24"/>
              </w:rPr>
            </w:pPr>
            <w:r>
              <w:rPr>
                <w:rFonts w:hint="eastAsia"/>
                <w:sz w:val="24"/>
              </w:rPr>
              <w:t>利用上述的预测评价数学模型，将有关参数代入公式计算，预测出本工程厂界各向噪声，预测结果见表</w:t>
            </w:r>
            <w:r>
              <w:rPr>
                <w:rFonts w:hint="eastAsia"/>
                <w:sz w:val="24"/>
              </w:rPr>
              <w:t>4-4</w:t>
            </w:r>
            <w:r>
              <w:rPr>
                <w:rFonts w:hint="eastAsia"/>
                <w:sz w:val="24"/>
              </w:rPr>
              <w:t>。</w:t>
            </w:r>
          </w:p>
          <w:p w14:paraId="44B4A7EF" w14:textId="77777777" w:rsidR="00F76A63" w:rsidRDefault="00000000">
            <w:pPr>
              <w:spacing w:line="500" w:lineRule="exact"/>
              <w:jc w:val="center"/>
              <w:rPr>
                <w:b/>
                <w:sz w:val="24"/>
              </w:rPr>
            </w:pPr>
            <w:r>
              <w:rPr>
                <w:rFonts w:hint="eastAsia"/>
                <w:b/>
                <w:sz w:val="24"/>
              </w:rPr>
              <w:t>表</w:t>
            </w:r>
            <w:r>
              <w:rPr>
                <w:rFonts w:hint="eastAsia"/>
                <w:b/>
                <w:sz w:val="24"/>
              </w:rPr>
              <w:t>4-4</w:t>
            </w:r>
            <w:r>
              <w:rPr>
                <w:rFonts w:hint="eastAsia"/>
                <w:b/>
                <w:sz w:val="24"/>
              </w:rPr>
              <w:t>噪声预测结果一览表单位：</w:t>
            </w:r>
            <w:r>
              <w:rPr>
                <w:rFonts w:hint="eastAsia"/>
                <w:b/>
                <w:sz w:val="24"/>
              </w:rPr>
              <w:t>dB(A)</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767"/>
              <w:gridCol w:w="603"/>
              <w:gridCol w:w="1329"/>
              <w:gridCol w:w="1373"/>
              <w:gridCol w:w="1373"/>
              <w:gridCol w:w="1373"/>
              <w:gridCol w:w="1375"/>
            </w:tblGrid>
            <w:tr w:rsidR="00F76A63" w14:paraId="23B8E3F8" w14:textId="77777777">
              <w:trPr>
                <w:jc w:val="center"/>
              </w:trPr>
              <w:tc>
                <w:tcPr>
                  <w:tcW w:w="836" w:type="pct"/>
                  <w:gridSpan w:val="2"/>
                  <w:vAlign w:val="center"/>
                </w:tcPr>
                <w:p w14:paraId="619B6446" w14:textId="77777777" w:rsidR="00F76A63" w:rsidRDefault="00000000">
                  <w:pPr>
                    <w:jc w:val="center"/>
                    <w:rPr>
                      <w:b/>
                      <w:bCs/>
                      <w:szCs w:val="21"/>
                    </w:rPr>
                  </w:pPr>
                  <w:r>
                    <w:rPr>
                      <w:b/>
                      <w:bCs/>
                      <w:szCs w:val="21"/>
                    </w:rPr>
                    <w:t>关心点</w:t>
                  </w:r>
                </w:p>
              </w:tc>
              <w:tc>
                <w:tcPr>
                  <w:tcW w:w="811" w:type="pct"/>
                  <w:vAlign w:val="center"/>
                </w:tcPr>
                <w:p w14:paraId="2162B337" w14:textId="77777777" w:rsidR="00F76A63" w:rsidRDefault="00000000">
                  <w:pPr>
                    <w:jc w:val="center"/>
                    <w:rPr>
                      <w:b/>
                      <w:bCs/>
                      <w:szCs w:val="21"/>
                    </w:rPr>
                  </w:pPr>
                  <w:r>
                    <w:rPr>
                      <w:b/>
                      <w:bCs/>
                      <w:szCs w:val="21"/>
                    </w:rPr>
                    <w:t>贡献值</w:t>
                  </w:r>
                </w:p>
              </w:tc>
              <w:tc>
                <w:tcPr>
                  <w:tcW w:w="838" w:type="pct"/>
                  <w:vAlign w:val="center"/>
                </w:tcPr>
                <w:p w14:paraId="6281FA07" w14:textId="77777777" w:rsidR="00F76A63" w:rsidRDefault="00000000">
                  <w:pPr>
                    <w:jc w:val="center"/>
                    <w:rPr>
                      <w:b/>
                      <w:bCs/>
                      <w:szCs w:val="21"/>
                    </w:rPr>
                  </w:pPr>
                  <w:r>
                    <w:rPr>
                      <w:b/>
                      <w:bCs/>
                      <w:szCs w:val="21"/>
                    </w:rPr>
                    <w:t>背景值</w:t>
                  </w:r>
                </w:p>
              </w:tc>
              <w:tc>
                <w:tcPr>
                  <w:tcW w:w="838" w:type="pct"/>
                  <w:vAlign w:val="center"/>
                </w:tcPr>
                <w:p w14:paraId="2F61CF76" w14:textId="77777777" w:rsidR="00F76A63" w:rsidRDefault="00000000">
                  <w:pPr>
                    <w:jc w:val="center"/>
                    <w:rPr>
                      <w:b/>
                      <w:bCs/>
                      <w:szCs w:val="21"/>
                    </w:rPr>
                  </w:pPr>
                  <w:r>
                    <w:rPr>
                      <w:b/>
                      <w:bCs/>
                      <w:szCs w:val="21"/>
                    </w:rPr>
                    <w:t>叠加值</w:t>
                  </w:r>
                </w:p>
              </w:tc>
              <w:tc>
                <w:tcPr>
                  <w:tcW w:w="838" w:type="pct"/>
                  <w:vAlign w:val="center"/>
                </w:tcPr>
                <w:p w14:paraId="5660B171" w14:textId="77777777" w:rsidR="00F76A63" w:rsidRDefault="00000000">
                  <w:pPr>
                    <w:jc w:val="center"/>
                    <w:rPr>
                      <w:b/>
                      <w:bCs/>
                      <w:szCs w:val="21"/>
                    </w:rPr>
                  </w:pPr>
                  <w:r>
                    <w:rPr>
                      <w:b/>
                      <w:bCs/>
                      <w:szCs w:val="21"/>
                    </w:rPr>
                    <w:t>标准限值</w:t>
                  </w:r>
                </w:p>
              </w:tc>
              <w:tc>
                <w:tcPr>
                  <w:tcW w:w="839" w:type="pct"/>
                  <w:vAlign w:val="center"/>
                </w:tcPr>
                <w:p w14:paraId="56841224" w14:textId="77777777" w:rsidR="00F76A63" w:rsidRDefault="00000000">
                  <w:pPr>
                    <w:jc w:val="center"/>
                    <w:rPr>
                      <w:b/>
                      <w:bCs/>
                      <w:szCs w:val="21"/>
                    </w:rPr>
                  </w:pPr>
                  <w:r>
                    <w:rPr>
                      <w:b/>
                      <w:bCs/>
                      <w:szCs w:val="21"/>
                    </w:rPr>
                    <w:t>达标情况</w:t>
                  </w:r>
                </w:p>
              </w:tc>
            </w:tr>
            <w:tr w:rsidR="00F76A63" w14:paraId="788034F9" w14:textId="77777777">
              <w:trPr>
                <w:jc w:val="center"/>
              </w:trPr>
              <w:tc>
                <w:tcPr>
                  <w:tcW w:w="468" w:type="pct"/>
                  <w:vMerge w:val="restart"/>
                  <w:vAlign w:val="center"/>
                </w:tcPr>
                <w:p w14:paraId="070E625C" w14:textId="77777777" w:rsidR="00F76A63" w:rsidRDefault="00000000">
                  <w:pPr>
                    <w:jc w:val="center"/>
                    <w:rPr>
                      <w:szCs w:val="21"/>
                    </w:rPr>
                  </w:pPr>
                  <w:r>
                    <w:rPr>
                      <w:szCs w:val="21"/>
                    </w:rPr>
                    <w:t>东厂界</w:t>
                  </w:r>
                </w:p>
              </w:tc>
              <w:tc>
                <w:tcPr>
                  <w:tcW w:w="368" w:type="pct"/>
                  <w:vAlign w:val="center"/>
                </w:tcPr>
                <w:p w14:paraId="4DE01EEA" w14:textId="77777777" w:rsidR="00F76A63" w:rsidRDefault="00000000">
                  <w:pPr>
                    <w:jc w:val="center"/>
                    <w:rPr>
                      <w:szCs w:val="21"/>
                    </w:rPr>
                  </w:pPr>
                  <w:r>
                    <w:rPr>
                      <w:szCs w:val="21"/>
                    </w:rPr>
                    <w:t>昼</w:t>
                  </w:r>
                </w:p>
              </w:tc>
              <w:tc>
                <w:tcPr>
                  <w:tcW w:w="811" w:type="pct"/>
                </w:tcPr>
                <w:p w14:paraId="2A0ED964" w14:textId="77777777" w:rsidR="00F76A63" w:rsidRDefault="00000000">
                  <w:pPr>
                    <w:jc w:val="center"/>
                    <w:rPr>
                      <w:szCs w:val="21"/>
                    </w:rPr>
                  </w:pPr>
                  <w:r>
                    <w:t>20.25</w:t>
                  </w:r>
                </w:p>
              </w:tc>
              <w:tc>
                <w:tcPr>
                  <w:tcW w:w="838" w:type="pct"/>
                  <w:vAlign w:val="center"/>
                </w:tcPr>
                <w:p w14:paraId="16B697C3" w14:textId="77777777" w:rsidR="00F76A63" w:rsidRDefault="00000000">
                  <w:pPr>
                    <w:jc w:val="center"/>
                    <w:rPr>
                      <w:szCs w:val="21"/>
                    </w:rPr>
                  </w:pPr>
                  <w:r>
                    <w:rPr>
                      <w:rFonts w:hint="eastAsia"/>
                    </w:rPr>
                    <w:t>58.0</w:t>
                  </w:r>
                </w:p>
              </w:tc>
              <w:tc>
                <w:tcPr>
                  <w:tcW w:w="838" w:type="pct"/>
                </w:tcPr>
                <w:p w14:paraId="75E8E3C9" w14:textId="77777777" w:rsidR="00F76A63" w:rsidRDefault="00000000">
                  <w:pPr>
                    <w:jc w:val="center"/>
                    <w:rPr>
                      <w:szCs w:val="21"/>
                    </w:rPr>
                  </w:pPr>
                  <w:r>
                    <w:t>58.00</w:t>
                  </w:r>
                </w:p>
              </w:tc>
              <w:tc>
                <w:tcPr>
                  <w:tcW w:w="838" w:type="pct"/>
                  <w:vAlign w:val="center"/>
                </w:tcPr>
                <w:p w14:paraId="02778EF5" w14:textId="77777777" w:rsidR="00F76A63" w:rsidRDefault="00000000">
                  <w:pPr>
                    <w:jc w:val="center"/>
                    <w:rPr>
                      <w:szCs w:val="21"/>
                    </w:rPr>
                  </w:pPr>
                  <w:r>
                    <w:rPr>
                      <w:szCs w:val="21"/>
                    </w:rPr>
                    <w:t>65</w:t>
                  </w:r>
                </w:p>
              </w:tc>
              <w:tc>
                <w:tcPr>
                  <w:tcW w:w="839" w:type="pct"/>
                  <w:vAlign w:val="center"/>
                </w:tcPr>
                <w:p w14:paraId="3FB40713" w14:textId="77777777" w:rsidR="00F76A63" w:rsidRDefault="00000000">
                  <w:pPr>
                    <w:jc w:val="center"/>
                    <w:rPr>
                      <w:szCs w:val="21"/>
                    </w:rPr>
                  </w:pPr>
                  <w:r>
                    <w:rPr>
                      <w:szCs w:val="21"/>
                    </w:rPr>
                    <w:t>达标</w:t>
                  </w:r>
                </w:p>
              </w:tc>
            </w:tr>
            <w:tr w:rsidR="00F76A63" w14:paraId="452F41F7" w14:textId="77777777">
              <w:trPr>
                <w:jc w:val="center"/>
              </w:trPr>
              <w:tc>
                <w:tcPr>
                  <w:tcW w:w="0" w:type="auto"/>
                  <w:vMerge/>
                  <w:vAlign w:val="center"/>
                </w:tcPr>
                <w:p w14:paraId="697D39D4" w14:textId="77777777" w:rsidR="00F76A63" w:rsidRDefault="00F76A63">
                  <w:pPr>
                    <w:jc w:val="center"/>
                    <w:rPr>
                      <w:szCs w:val="21"/>
                    </w:rPr>
                  </w:pPr>
                </w:p>
              </w:tc>
              <w:tc>
                <w:tcPr>
                  <w:tcW w:w="368" w:type="pct"/>
                  <w:vAlign w:val="center"/>
                </w:tcPr>
                <w:p w14:paraId="04206026" w14:textId="77777777" w:rsidR="00F76A63" w:rsidRDefault="00000000">
                  <w:pPr>
                    <w:jc w:val="center"/>
                    <w:rPr>
                      <w:szCs w:val="21"/>
                    </w:rPr>
                  </w:pPr>
                  <w:r>
                    <w:rPr>
                      <w:szCs w:val="21"/>
                    </w:rPr>
                    <w:t>夜</w:t>
                  </w:r>
                </w:p>
              </w:tc>
              <w:tc>
                <w:tcPr>
                  <w:tcW w:w="811" w:type="pct"/>
                </w:tcPr>
                <w:p w14:paraId="69153505" w14:textId="77777777" w:rsidR="00F76A63" w:rsidRDefault="00000000">
                  <w:pPr>
                    <w:jc w:val="center"/>
                    <w:rPr>
                      <w:szCs w:val="21"/>
                    </w:rPr>
                  </w:pPr>
                  <w:r>
                    <w:t>20.25</w:t>
                  </w:r>
                </w:p>
              </w:tc>
              <w:tc>
                <w:tcPr>
                  <w:tcW w:w="838" w:type="pct"/>
                  <w:vAlign w:val="center"/>
                </w:tcPr>
                <w:p w14:paraId="6D9FE8E4" w14:textId="77777777" w:rsidR="00F76A63" w:rsidRDefault="00000000">
                  <w:pPr>
                    <w:jc w:val="center"/>
                    <w:rPr>
                      <w:szCs w:val="21"/>
                    </w:rPr>
                  </w:pPr>
                  <w:r>
                    <w:rPr>
                      <w:rFonts w:hint="eastAsia"/>
                    </w:rPr>
                    <w:t>48.3</w:t>
                  </w:r>
                </w:p>
              </w:tc>
              <w:tc>
                <w:tcPr>
                  <w:tcW w:w="838" w:type="pct"/>
                </w:tcPr>
                <w:p w14:paraId="2AB65822" w14:textId="77777777" w:rsidR="00F76A63" w:rsidRDefault="00000000">
                  <w:pPr>
                    <w:jc w:val="center"/>
                    <w:rPr>
                      <w:szCs w:val="21"/>
                    </w:rPr>
                  </w:pPr>
                  <w:r>
                    <w:rPr>
                      <w:szCs w:val="21"/>
                    </w:rPr>
                    <w:t>48.31</w:t>
                  </w:r>
                </w:p>
              </w:tc>
              <w:tc>
                <w:tcPr>
                  <w:tcW w:w="838" w:type="pct"/>
                  <w:vAlign w:val="center"/>
                </w:tcPr>
                <w:p w14:paraId="305FDA02" w14:textId="77777777" w:rsidR="00F76A63" w:rsidRDefault="00000000">
                  <w:pPr>
                    <w:jc w:val="center"/>
                    <w:rPr>
                      <w:szCs w:val="21"/>
                    </w:rPr>
                  </w:pPr>
                  <w:r>
                    <w:rPr>
                      <w:szCs w:val="21"/>
                    </w:rPr>
                    <w:t>55</w:t>
                  </w:r>
                </w:p>
              </w:tc>
              <w:tc>
                <w:tcPr>
                  <w:tcW w:w="839" w:type="pct"/>
                  <w:vAlign w:val="center"/>
                </w:tcPr>
                <w:p w14:paraId="683B4768" w14:textId="77777777" w:rsidR="00F76A63" w:rsidRDefault="00000000">
                  <w:pPr>
                    <w:jc w:val="center"/>
                    <w:rPr>
                      <w:szCs w:val="21"/>
                    </w:rPr>
                  </w:pPr>
                  <w:r>
                    <w:rPr>
                      <w:szCs w:val="21"/>
                    </w:rPr>
                    <w:t>达标</w:t>
                  </w:r>
                </w:p>
              </w:tc>
            </w:tr>
            <w:tr w:rsidR="00F76A63" w14:paraId="400BC29C" w14:textId="77777777">
              <w:trPr>
                <w:jc w:val="center"/>
              </w:trPr>
              <w:tc>
                <w:tcPr>
                  <w:tcW w:w="468" w:type="pct"/>
                  <w:vMerge w:val="restart"/>
                  <w:vAlign w:val="center"/>
                </w:tcPr>
                <w:p w14:paraId="41026AC3" w14:textId="77777777" w:rsidR="00F76A63" w:rsidRDefault="00000000">
                  <w:pPr>
                    <w:jc w:val="center"/>
                    <w:rPr>
                      <w:szCs w:val="21"/>
                    </w:rPr>
                  </w:pPr>
                  <w:r>
                    <w:rPr>
                      <w:szCs w:val="21"/>
                    </w:rPr>
                    <w:t>南厂界</w:t>
                  </w:r>
                </w:p>
              </w:tc>
              <w:tc>
                <w:tcPr>
                  <w:tcW w:w="368" w:type="pct"/>
                  <w:vAlign w:val="center"/>
                </w:tcPr>
                <w:p w14:paraId="14C68000" w14:textId="77777777" w:rsidR="00F76A63" w:rsidRDefault="00000000">
                  <w:pPr>
                    <w:jc w:val="center"/>
                    <w:rPr>
                      <w:szCs w:val="21"/>
                    </w:rPr>
                  </w:pPr>
                  <w:r>
                    <w:rPr>
                      <w:szCs w:val="21"/>
                    </w:rPr>
                    <w:t>昼</w:t>
                  </w:r>
                </w:p>
              </w:tc>
              <w:tc>
                <w:tcPr>
                  <w:tcW w:w="811" w:type="pct"/>
                </w:tcPr>
                <w:p w14:paraId="1E294C94" w14:textId="77777777" w:rsidR="00F76A63" w:rsidRDefault="00000000">
                  <w:pPr>
                    <w:jc w:val="center"/>
                    <w:rPr>
                      <w:szCs w:val="21"/>
                    </w:rPr>
                  </w:pPr>
                  <w:r>
                    <w:t>16.52</w:t>
                  </w:r>
                </w:p>
              </w:tc>
              <w:tc>
                <w:tcPr>
                  <w:tcW w:w="838" w:type="pct"/>
                  <w:vAlign w:val="center"/>
                </w:tcPr>
                <w:p w14:paraId="316B95AB" w14:textId="77777777" w:rsidR="00F76A63" w:rsidRDefault="00000000">
                  <w:pPr>
                    <w:jc w:val="center"/>
                    <w:rPr>
                      <w:szCs w:val="21"/>
                    </w:rPr>
                  </w:pPr>
                  <w:r>
                    <w:rPr>
                      <w:rFonts w:hint="eastAsia"/>
                    </w:rPr>
                    <w:t>58.7</w:t>
                  </w:r>
                </w:p>
              </w:tc>
              <w:tc>
                <w:tcPr>
                  <w:tcW w:w="838" w:type="pct"/>
                </w:tcPr>
                <w:p w14:paraId="07599B0A" w14:textId="77777777" w:rsidR="00F76A63" w:rsidRDefault="00000000">
                  <w:pPr>
                    <w:jc w:val="center"/>
                    <w:rPr>
                      <w:szCs w:val="21"/>
                    </w:rPr>
                  </w:pPr>
                  <w:r>
                    <w:t>58.70</w:t>
                  </w:r>
                </w:p>
              </w:tc>
              <w:tc>
                <w:tcPr>
                  <w:tcW w:w="838" w:type="pct"/>
                  <w:vAlign w:val="center"/>
                </w:tcPr>
                <w:p w14:paraId="139D80EA" w14:textId="77777777" w:rsidR="00F76A63" w:rsidRDefault="00000000">
                  <w:pPr>
                    <w:jc w:val="center"/>
                    <w:rPr>
                      <w:szCs w:val="21"/>
                    </w:rPr>
                  </w:pPr>
                  <w:r>
                    <w:rPr>
                      <w:szCs w:val="21"/>
                    </w:rPr>
                    <w:t>65</w:t>
                  </w:r>
                </w:p>
              </w:tc>
              <w:tc>
                <w:tcPr>
                  <w:tcW w:w="839" w:type="pct"/>
                  <w:vAlign w:val="center"/>
                </w:tcPr>
                <w:p w14:paraId="1C673FEA" w14:textId="77777777" w:rsidR="00F76A63" w:rsidRDefault="00000000">
                  <w:pPr>
                    <w:jc w:val="center"/>
                    <w:rPr>
                      <w:szCs w:val="21"/>
                    </w:rPr>
                  </w:pPr>
                  <w:r>
                    <w:rPr>
                      <w:szCs w:val="21"/>
                    </w:rPr>
                    <w:t>达标</w:t>
                  </w:r>
                </w:p>
              </w:tc>
            </w:tr>
            <w:tr w:rsidR="00F76A63" w14:paraId="3C28AC39" w14:textId="77777777">
              <w:trPr>
                <w:jc w:val="center"/>
              </w:trPr>
              <w:tc>
                <w:tcPr>
                  <w:tcW w:w="0" w:type="auto"/>
                  <w:vMerge/>
                  <w:vAlign w:val="center"/>
                </w:tcPr>
                <w:p w14:paraId="1E35A2E8" w14:textId="77777777" w:rsidR="00F76A63" w:rsidRDefault="00F76A63">
                  <w:pPr>
                    <w:jc w:val="center"/>
                    <w:rPr>
                      <w:szCs w:val="21"/>
                    </w:rPr>
                  </w:pPr>
                </w:p>
              </w:tc>
              <w:tc>
                <w:tcPr>
                  <w:tcW w:w="368" w:type="pct"/>
                  <w:vAlign w:val="center"/>
                </w:tcPr>
                <w:p w14:paraId="0AB755A8" w14:textId="77777777" w:rsidR="00F76A63" w:rsidRDefault="00000000">
                  <w:pPr>
                    <w:jc w:val="center"/>
                    <w:rPr>
                      <w:szCs w:val="21"/>
                    </w:rPr>
                  </w:pPr>
                  <w:r>
                    <w:rPr>
                      <w:szCs w:val="21"/>
                    </w:rPr>
                    <w:t>夜</w:t>
                  </w:r>
                </w:p>
              </w:tc>
              <w:tc>
                <w:tcPr>
                  <w:tcW w:w="811" w:type="pct"/>
                </w:tcPr>
                <w:p w14:paraId="365DCA6D" w14:textId="77777777" w:rsidR="00F76A63" w:rsidRDefault="00000000">
                  <w:pPr>
                    <w:jc w:val="center"/>
                    <w:rPr>
                      <w:szCs w:val="21"/>
                    </w:rPr>
                  </w:pPr>
                  <w:r>
                    <w:t>16.52</w:t>
                  </w:r>
                </w:p>
              </w:tc>
              <w:tc>
                <w:tcPr>
                  <w:tcW w:w="838" w:type="pct"/>
                  <w:vAlign w:val="center"/>
                </w:tcPr>
                <w:p w14:paraId="472B7A82" w14:textId="77777777" w:rsidR="00F76A63" w:rsidRDefault="00000000">
                  <w:pPr>
                    <w:jc w:val="center"/>
                    <w:rPr>
                      <w:szCs w:val="21"/>
                    </w:rPr>
                  </w:pPr>
                  <w:r>
                    <w:rPr>
                      <w:rFonts w:hint="eastAsia"/>
                    </w:rPr>
                    <w:t>49.0</w:t>
                  </w:r>
                </w:p>
              </w:tc>
              <w:tc>
                <w:tcPr>
                  <w:tcW w:w="838" w:type="pct"/>
                </w:tcPr>
                <w:p w14:paraId="6A07AEEE" w14:textId="77777777" w:rsidR="00F76A63" w:rsidRDefault="00000000">
                  <w:pPr>
                    <w:jc w:val="center"/>
                    <w:rPr>
                      <w:szCs w:val="21"/>
                    </w:rPr>
                  </w:pPr>
                  <w:r>
                    <w:rPr>
                      <w:szCs w:val="21"/>
                    </w:rPr>
                    <w:t>49.00</w:t>
                  </w:r>
                </w:p>
              </w:tc>
              <w:tc>
                <w:tcPr>
                  <w:tcW w:w="838" w:type="pct"/>
                  <w:vAlign w:val="center"/>
                </w:tcPr>
                <w:p w14:paraId="43CEDB45" w14:textId="77777777" w:rsidR="00F76A63" w:rsidRDefault="00000000">
                  <w:pPr>
                    <w:jc w:val="center"/>
                    <w:rPr>
                      <w:szCs w:val="21"/>
                    </w:rPr>
                  </w:pPr>
                  <w:r>
                    <w:rPr>
                      <w:szCs w:val="21"/>
                    </w:rPr>
                    <w:t>55</w:t>
                  </w:r>
                </w:p>
              </w:tc>
              <w:tc>
                <w:tcPr>
                  <w:tcW w:w="839" w:type="pct"/>
                  <w:vAlign w:val="center"/>
                </w:tcPr>
                <w:p w14:paraId="71BEB4BD" w14:textId="77777777" w:rsidR="00F76A63" w:rsidRDefault="00000000">
                  <w:pPr>
                    <w:jc w:val="center"/>
                    <w:rPr>
                      <w:szCs w:val="21"/>
                    </w:rPr>
                  </w:pPr>
                  <w:r>
                    <w:rPr>
                      <w:szCs w:val="21"/>
                    </w:rPr>
                    <w:t>达标</w:t>
                  </w:r>
                </w:p>
              </w:tc>
            </w:tr>
            <w:tr w:rsidR="00F76A63" w14:paraId="302C7D57" w14:textId="77777777">
              <w:trPr>
                <w:trHeight w:val="312"/>
                <w:jc w:val="center"/>
              </w:trPr>
              <w:tc>
                <w:tcPr>
                  <w:tcW w:w="468" w:type="pct"/>
                  <w:vMerge w:val="restart"/>
                  <w:vAlign w:val="center"/>
                </w:tcPr>
                <w:p w14:paraId="7F63E065" w14:textId="77777777" w:rsidR="00F76A63" w:rsidRDefault="00000000">
                  <w:pPr>
                    <w:jc w:val="center"/>
                    <w:rPr>
                      <w:szCs w:val="21"/>
                    </w:rPr>
                  </w:pPr>
                  <w:r>
                    <w:rPr>
                      <w:szCs w:val="21"/>
                    </w:rPr>
                    <w:lastRenderedPageBreak/>
                    <w:t>西厂界</w:t>
                  </w:r>
                </w:p>
              </w:tc>
              <w:tc>
                <w:tcPr>
                  <w:tcW w:w="368" w:type="pct"/>
                  <w:vAlign w:val="center"/>
                </w:tcPr>
                <w:p w14:paraId="35A46CCA" w14:textId="77777777" w:rsidR="00F76A63" w:rsidRDefault="00000000">
                  <w:pPr>
                    <w:jc w:val="center"/>
                    <w:rPr>
                      <w:szCs w:val="21"/>
                    </w:rPr>
                  </w:pPr>
                  <w:r>
                    <w:rPr>
                      <w:szCs w:val="21"/>
                    </w:rPr>
                    <w:t>昼</w:t>
                  </w:r>
                </w:p>
              </w:tc>
              <w:tc>
                <w:tcPr>
                  <w:tcW w:w="811" w:type="pct"/>
                  <w:vAlign w:val="center"/>
                </w:tcPr>
                <w:p w14:paraId="7FEE6303" w14:textId="77777777" w:rsidR="00F76A63" w:rsidRDefault="00000000">
                  <w:pPr>
                    <w:jc w:val="center"/>
                    <w:rPr>
                      <w:szCs w:val="21"/>
                    </w:rPr>
                  </w:pPr>
                  <w:r>
                    <w:t>31.95</w:t>
                  </w:r>
                </w:p>
              </w:tc>
              <w:tc>
                <w:tcPr>
                  <w:tcW w:w="838" w:type="pct"/>
                  <w:vAlign w:val="center"/>
                </w:tcPr>
                <w:p w14:paraId="77595DED" w14:textId="77777777" w:rsidR="00F76A63" w:rsidRDefault="00000000">
                  <w:pPr>
                    <w:jc w:val="center"/>
                    <w:rPr>
                      <w:szCs w:val="21"/>
                    </w:rPr>
                  </w:pPr>
                  <w:r>
                    <w:rPr>
                      <w:rFonts w:hint="eastAsia"/>
                    </w:rPr>
                    <w:t>57.6</w:t>
                  </w:r>
                </w:p>
              </w:tc>
              <w:tc>
                <w:tcPr>
                  <w:tcW w:w="838" w:type="pct"/>
                  <w:vAlign w:val="center"/>
                </w:tcPr>
                <w:p w14:paraId="3A754668" w14:textId="77777777" w:rsidR="00F76A63" w:rsidRDefault="00000000">
                  <w:pPr>
                    <w:jc w:val="center"/>
                    <w:rPr>
                      <w:szCs w:val="21"/>
                    </w:rPr>
                  </w:pPr>
                  <w:r>
                    <w:t>57.61</w:t>
                  </w:r>
                </w:p>
              </w:tc>
              <w:tc>
                <w:tcPr>
                  <w:tcW w:w="838" w:type="pct"/>
                  <w:vAlign w:val="center"/>
                </w:tcPr>
                <w:p w14:paraId="401AE09E" w14:textId="77777777" w:rsidR="00F76A63" w:rsidRDefault="00000000">
                  <w:pPr>
                    <w:jc w:val="center"/>
                    <w:rPr>
                      <w:szCs w:val="21"/>
                    </w:rPr>
                  </w:pPr>
                  <w:r>
                    <w:rPr>
                      <w:szCs w:val="21"/>
                    </w:rPr>
                    <w:t>65</w:t>
                  </w:r>
                </w:p>
              </w:tc>
              <w:tc>
                <w:tcPr>
                  <w:tcW w:w="839" w:type="pct"/>
                  <w:vAlign w:val="center"/>
                </w:tcPr>
                <w:p w14:paraId="6227E942" w14:textId="77777777" w:rsidR="00F76A63" w:rsidRDefault="00000000">
                  <w:pPr>
                    <w:jc w:val="center"/>
                    <w:rPr>
                      <w:szCs w:val="21"/>
                    </w:rPr>
                  </w:pPr>
                  <w:r>
                    <w:rPr>
                      <w:szCs w:val="21"/>
                    </w:rPr>
                    <w:t>达标</w:t>
                  </w:r>
                </w:p>
              </w:tc>
            </w:tr>
            <w:tr w:rsidR="00F76A63" w14:paraId="0774064D" w14:textId="77777777">
              <w:trPr>
                <w:jc w:val="center"/>
              </w:trPr>
              <w:tc>
                <w:tcPr>
                  <w:tcW w:w="0" w:type="auto"/>
                  <w:vMerge/>
                  <w:vAlign w:val="center"/>
                </w:tcPr>
                <w:p w14:paraId="35D14FD1" w14:textId="77777777" w:rsidR="00F76A63" w:rsidRDefault="00F76A63">
                  <w:pPr>
                    <w:jc w:val="center"/>
                    <w:rPr>
                      <w:szCs w:val="21"/>
                    </w:rPr>
                  </w:pPr>
                </w:p>
              </w:tc>
              <w:tc>
                <w:tcPr>
                  <w:tcW w:w="368" w:type="pct"/>
                  <w:vAlign w:val="center"/>
                </w:tcPr>
                <w:p w14:paraId="39EFDD44" w14:textId="77777777" w:rsidR="00F76A63" w:rsidRDefault="00000000">
                  <w:pPr>
                    <w:jc w:val="center"/>
                    <w:rPr>
                      <w:szCs w:val="21"/>
                    </w:rPr>
                  </w:pPr>
                  <w:r>
                    <w:rPr>
                      <w:szCs w:val="21"/>
                    </w:rPr>
                    <w:t>夜</w:t>
                  </w:r>
                </w:p>
              </w:tc>
              <w:tc>
                <w:tcPr>
                  <w:tcW w:w="811" w:type="pct"/>
                  <w:vAlign w:val="center"/>
                </w:tcPr>
                <w:p w14:paraId="42085976" w14:textId="77777777" w:rsidR="00F76A63" w:rsidRDefault="00000000">
                  <w:pPr>
                    <w:jc w:val="center"/>
                    <w:rPr>
                      <w:szCs w:val="21"/>
                    </w:rPr>
                  </w:pPr>
                  <w:r>
                    <w:t>31.95</w:t>
                  </w:r>
                </w:p>
              </w:tc>
              <w:tc>
                <w:tcPr>
                  <w:tcW w:w="838" w:type="pct"/>
                  <w:vAlign w:val="center"/>
                </w:tcPr>
                <w:p w14:paraId="555CE2F3" w14:textId="77777777" w:rsidR="00F76A63" w:rsidRDefault="00000000">
                  <w:pPr>
                    <w:jc w:val="center"/>
                    <w:rPr>
                      <w:szCs w:val="21"/>
                    </w:rPr>
                  </w:pPr>
                  <w:r>
                    <w:rPr>
                      <w:rFonts w:hint="eastAsia"/>
                    </w:rPr>
                    <w:t>48.0</w:t>
                  </w:r>
                </w:p>
              </w:tc>
              <w:tc>
                <w:tcPr>
                  <w:tcW w:w="838" w:type="pct"/>
                  <w:vAlign w:val="center"/>
                </w:tcPr>
                <w:p w14:paraId="677B715F" w14:textId="77777777" w:rsidR="00F76A63" w:rsidRDefault="00000000">
                  <w:pPr>
                    <w:jc w:val="center"/>
                    <w:rPr>
                      <w:szCs w:val="21"/>
                    </w:rPr>
                  </w:pPr>
                  <w:r>
                    <w:rPr>
                      <w:szCs w:val="21"/>
                    </w:rPr>
                    <w:t>48.11</w:t>
                  </w:r>
                </w:p>
              </w:tc>
              <w:tc>
                <w:tcPr>
                  <w:tcW w:w="838" w:type="pct"/>
                  <w:vAlign w:val="center"/>
                </w:tcPr>
                <w:p w14:paraId="05B93556" w14:textId="77777777" w:rsidR="00F76A63" w:rsidRDefault="00000000">
                  <w:pPr>
                    <w:jc w:val="center"/>
                    <w:rPr>
                      <w:szCs w:val="21"/>
                    </w:rPr>
                  </w:pPr>
                  <w:r>
                    <w:rPr>
                      <w:szCs w:val="21"/>
                    </w:rPr>
                    <w:t>55</w:t>
                  </w:r>
                </w:p>
              </w:tc>
              <w:tc>
                <w:tcPr>
                  <w:tcW w:w="839" w:type="pct"/>
                  <w:vAlign w:val="center"/>
                </w:tcPr>
                <w:p w14:paraId="2D3FE655" w14:textId="77777777" w:rsidR="00F76A63" w:rsidRDefault="00000000">
                  <w:pPr>
                    <w:jc w:val="center"/>
                    <w:rPr>
                      <w:szCs w:val="21"/>
                    </w:rPr>
                  </w:pPr>
                  <w:r>
                    <w:rPr>
                      <w:szCs w:val="21"/>
                    </w:rPr>
                    <w:t>达标</w:t>
                  </w:r>
                </w:p>
              </w:tc>
            </w:tr>
            <w:tr w:rsidR="00F76A63" w14:paraId="05B4AA3A" w14:textId="77777777">
              <w:trPr>
                <w:jc w:val="center"/>
              </w:trPr>
              <w:tc>
                <w:tcPr>
                  <w:tcW w:w="468" w:type="pct"/>
                  <w:vMerge w:val="restart"/>
                  <w:vAlign w:val="center"/>
                </w:tcPr>
                <w:p w14:paraId="09226D07" w14:textId="77777777" w:rsidR="00F76A63" w:rsidRDefault="00000000">
                  <w:pPr>
                    <w:jc w:val="center"/>
                    <w:rPr>
                      <w:szCs w:val="21"/>
                    </w:rPr>
                  </w:pPr>
                  <w:r>
                    <w:rPr>
                      <w:szCs w:val="21"/>
                    </w:rPr>
                    <w:t>北厂界</w:t>
                  </w:r>
                </w:p>
              </w:tc>
              <w:tc>
                <w:tcPr>
                  <w:tcW w:w="368" w:type="pct"/>
                  <w:vAlign w:val="center"/>
                </w:tcPr>
                <w:p w14:paraId="08BD49BD" w14:textId="77777777" w:rsidR="00F76A63" w:rsidRDefault="00000000">
                  <w:pPr>
                    <w:jc w:val="center"/>
                    <w:rPr>
                      <w:szCs w:val="21"/>
                    </w:rPr>
                  </w:pPr>
                  <w:r>
                    <w:rPr>
                      <w:szCs w:val="21"/>
                    </w:rPr>
                    <w:t>昼</w:t>
                  </w:r>
                </w:p>
              </w:tc>
              <w:tc>
                <w:tcPr>
                  <w:tcW w:w="811" w:type="pct"/>
                  <w:vAlign w:val="center"/>
                </w:tcPr>
                <w:p w14:paraId="60C280DE" w14:textId="77777777" w:rsidR="00F76A63" w:rsidRDefault="00000000">
                  <w:pPr>
                    <w:jc w:val="center"/>
                    <w:rPr>
                      <w:szCs w:val="21"/>
                    </w:rPr>
                  </w:pPr>
                  <w:r>
                    <w:t>18.34</w:t>
                  </w:r>
                </w:p>
              </w:tc>
              <w:tc>
                <w:tcPr>
                  <w:tcW w:w="838" w:type="pct"/>
                  <w:vAlign w:val="center"/>
                </w:tcPr>
                <w:p w14:paraId="20D6C11B" w14:textId="77777777" w:rsidR="00F76A63" w:rsidRDefault="00000000">
                  <w:pPr>
                    <w:jc w:val="center"/>
                    <w:rPr>
                      <w:szCs w:val="21"/>
                    </w:rPr>
                  </w:pPr>
                  <w:r>
                    <w:rPr>
                      <w:rFonts w:hint="eastAsia"/>
                    </w:rPr>
                    <w:t>57.2</w:t>
                  </w:r>
                </w:p>
              </w:tc>
              <w:tc>
                <w:tcPr>
                  <w:tcW w:w="838" w:type="pct"/>
                  <w:vAlign w:val="center"/>
                </w:tcPr>
                <w:p w14:paraId="69BAF755" w14:textId="77777777" w:rsidR="00F76A63" w:rsidRDefault="00000000">
                  <w:pPr>
                    <w:jc w:val="center"/>
                    <w:rPr>
                      <w:szCs w:val="21"/>
                    </w:rPr>
                  </w:pPr>
                  <w:r>
                    <w:t>57.20</w:t>
                  </w:r>
                </w:p>
              </w:tc>
              <w:tc>
                <w:tcPr>
                  <w:tcW w:w="838" w:type="pct"/>
                  <w:vAlign w:val="center"/>
                </w:tcPr>
                <w:p w14:paraId="44AF5F81" w14:textId="77777777" w:rsidR="00F76A63" w:rsidRDefault="00000000">
                  <w:pPr>
                    <w:jc w:val="center"/>
                    <w:rPr>
                      <w:szCs w:val="21"/>
                    </w:rPr>
                  </w:pPr>
                  <w:r>
                    <w:rPr>
                      <w:szCs w:val="21"/>
                    </w:rPr>
                    <w:t>65</w:t>
                  </w:r>
                </w:p>
              </w:tc>
              <w:tc>
                <w:tcPr>
                  <w:tcW w:w="839" w:type="pct"/>
                  <w:vAlign w:val="center"/>
                </w:tcPr>
                <w:p w14:paraId="16EFB9B9" w14:textId="77777777" w:rsidR="00F76A63" w:rsidRDefault="00000000">
                  <w:pPr>
                    <w:jc w:val="center"/>
                    <w:rPr>
                      <w:szCs w:val="21"/>
                    </w:rPr>
                  </w:pPr>
                  <w:r>
                    <w:rPr>
                      <w:szCs w:val="21"/>
                    </w:rPr>
                    <w:t>达标</w:t>
                  </w:r>
                </w:p>
              </w:tc>
            </w:tr>
            <w:tr w:rsidR="00F76A63" w14:paraId="2A7B1E5A" w14:textId="77777777">
              <w:trPr>
                <w:jc w:val="center"/>
              </w:trPr>
              <w:tc>
                <w:tcPr>
                  <w:tcW w:w="0" w:type="auto"/>
                  <w:vMerge/>
                  <w:vAlign w:val="center"/>
                </w:tcPr>
                <w:p w14:paraId="7EF33980" w14:textId="77777777" w:rsidR="00F76A63" w:rsidRDefault="00F76A63">
                  <w:pPr>
                    <w:jc w:val="center"/>
                    <w:rPr>
                      <w:szCs w:val="21"/>
                    </w:rPr>
                  </w:pPr>
                </w:p>
              </w:tc>
              <w:tc>
                <w:tcPr>
                  <w:tcW w:w="368" w:type="pct"/>
                  <w:vAlign w:val="center"/>
                </w:tcPr>
                <w:p w14:paraId="53F1D9D0" w14:textId="77777777" w:rsidR="00F76A63" w:rsidRDefault="00000000">
                  <w:pPr>
                    <w:jc w:val="center"/>
                    <w:rPr>
                      <w:szCs w:val="21"/>
                    </w:rPr>
                  </w:pPr>
                  <w:r>
                    <w:rPr>
                      <w:szCs w:val="21"/>
                    </w:rPr>
                    <w:t>夜</w:t>
                  </w:r>
                </w:p>
              </w:tc>
              <w:tc>
                <w:tcPr>
                  <w:tcW w:w="811" w:type="pct"/>
                  <w:vAlign w:val="center"/>
                </w:tcPr>
                <w:p w14:paraId="003DD336" w14:textId="77777777" w:rsidR="00F76A63" w:rsidRDefault="00000000">
                  <w:pPr>
                    <w:jc w:val="center"/>
                    <w:rPr>
                      <w:szCs w:val="21"/>
                    </w:rPr>
                  </w:pPr>
                  <w:r>
                    <w:t>18.34</w:t>
                  </w:r>
                </w:p>
              </w:tc>
              <w:tc>
                <w:tcPr>
                  <w:tcW w:w="838" w:type="pct"/>
                  <w:vAlign w:val="center"/>
                </w:tcPr>
                <w:p w14:paraId="5EDC7F81" w14:textId="77777777" w:rsidR="00F76A63" w:rsidRDefault="00000000">
                  <w:pPr>
                    <w:jc w:val="center"/>
                    <w:rPr>
                      <w:szCs w:val="21"/>
                    </w:rPr>
                  </w:pPr>
                  <w:r>
                    <w:rPr>
                      <w:rFonts w:hint="eastAsia"/>
                    </w:rPr>
                    <w:t>47.8</w:t>
                  </w:r>
                </w:p>
              </w:tc>
              <w:tc>
                <w:tcPr>
                  <w:tcW w:w="838" w:type="pct"/>
                  <w:vAlign w:val="center"/>
                </w:tcPr>
                <w:p w14:paraId="4C145D3E" w14:textId="77777777" w:rsidR="00F76A63" w:rsidRDefault="00000000">
                  <w:pPr>
                    <w:jc w:val="center"/>
                    <w:rPr>
                      <w:szCs w:val="21"/>
                    </w:rPr>
                  </w:pPr>
                  <w:r>
                    <w:rPr>
                      <w:szCs w:val="21"/>
                    </w:rPr>
                    <w:t>47.80</w:t>
                  </w:r>
                </w:p>
              </w:tc>
              <w:tc>
                <w:tcPr>
                  <w:tcW w:w="838" w:type="pct"/>
                  <w:vAlign w:val="center"/>
                </w:tcPr>
                <w:p w14:paraId="4449F288" w14:textId="77777777" w:rsidR="00F76A63" w:rsidRDefault="00000000">
                  <w:pPr>
                    <w:jc w:val="center"/>
                    <w:rPr>
                      <w:szCs w:val="21"/>
                    </w:rPr>
                  </w:pPr>
                  <w:r>
                    <w:rPr>
                      <w:szCs w:val="21"/>
                    </w:rPr>
                    <w:t>55</w:t>
                  </w:r>
                </w:p>
              </w:tc>
              <w:tc>
                <w:tcPr>
                  <w:tcW w:w="839" w:type="pct"/>
                  <w:vAlign w:val="center"/>
                </w:tcPr>
                <w:p w14:paraId="63EA3188" w14:textId="77777777" w:rsidR="00F76A63" w:rsidRDefault="00000000">
                  <w:pPr>
                    <w:jc w:val="center"/>
                    <w:rPr>
                      <w:szCs w:val="21"/>
                    </w:rPr>
                  </w:pPr>
                  <w:r>
                    <w:rPr>
                      <w:szCs w:val="21"/>
                    </w:rPr>
                    <w:t>达标</w:t>
                  </w:r>
                </w:p>
              </w:tc>
            </w:tr>
          </w:tbl>
          <w:p w14:paraId="50482468" w14:textId="77777777" w:rsidR="00F76A63" w:rsidRDefault="00000000">
            <w:pPr>
              <w:spacing w:line="500" w:lineRule="exact"/>
              <w:ind w:firstLineChars="200" w:firstLine="480"/>
              <w:rPr>
                <w:sz w:val="24"/>
              </w:rPr>
            </w:pPr>
            <w:r>
              <w:rPr>
                <w:rFonts w:hint="eastAsia"/>
                <w:sz w:val="24"/>
              </w:rPr>
              <w:t>据预测结果可知，正常情况下，项目实施后，工程运行过程中产生的各种噪声对厂界四周环境的贡献值很小，叠加值达标，即对周围声环境影响较小。</w:t>
            </w:r>
          </w:p>
          <w:p w14:paraId="7AA98F15" w14:textId="77777777" w:rsidR="00F76A63" w:rsidRDefault="00000000">
            <w:pPr>
              <w:spacing w:line="500" w:lineRule="exact"/>
              <w:ind w:firstLineChars="200" w:firstLine="480"/>
              <w:rPr>
                <w:sz w:val="24"/>
              </w:rPr>
            </w:pPr>
            <w:r>
              <w:rPr>
                <w:rFonts w:hint="eastAsia"/>
                <w:sz w:val="24"/>
              </w:rPr>
              <w:t>建议建设单位选用优良的机械设备并做到及时维护防止机械老化带来的噪声污染。在生产车间的布局方面，应尽量将噪声巨大的设备远离敏感点摆放，合理规划车间内的设备布局。</w:t>
            </w:r>
          </w:p>
          <w:p w14:paraId="55E308A5" w14:textId="77777777" w:rsidR="00F76A63" w:rsidRDefault="00000000">
            <w:pPr>
              <w:spacing w:line="500" w:lineRule="exact"/>
              <w:ind w:firstLineChars="200" w:firstLine="480"/>
              <w:rPr>
                <w:sz w:val="24"/>
              </w:rPr>
            </w:pPr>
            <w:r>
              <w:rPr>
                <w:rFonts w:hint="eastAsia"/>
                <w:sz w:val="24"/>
              </w:rPr>
              <w:t>综上所述，建设项目噪声设备经距离衰减及厂房隔声，对周围声环境影响较小。</w:t>
            </w:r>
          </w:p>
          <w:p w14:paraId="01CF9110" w14:textId="77777777" w:rsidR="00F76A63" w:rsidRDefault="00000000">
            <w:pPr>
              <w:spacing w:line="500" w:lineRule="exact"/>
              <w:ind w:firstLineChars="200" w:firstLine="480"/>
              <w:rPr>
                <w:sz w:val="24"/>
              </w:rPr>
            </w:pPr>
            <w:r>
              <w:rPr>
                <w:rFonts w:hint="eastAsia"/>
                <w:sz w:val="24"/>
              </w:rPr>
              <w:t>因此，建设项目对周围环境影响较小，噪声防治措施可行。</w:t>
            </w:r>
          </w:p>
          <w:p w14:paraId="12FCD49A" w14:textId="77777777" w:rsidR="00F76A63" w:rsidRDefault="00000000">
            <w:pPr>
              <w:spacing w:line="500" w:lineRule="exact"/>
              <w:ind w:firstLineChars="200" w:firstLine="482"/>
              <w:rPr>
                <w:b/>
                <w:bCs/>
                <w:sz w:val="24"/>
              </w:rPr>
            </w:pPr>
            <w:r>
              <w:rPr>
                <w:rFonts w:hint="eastAsia"/>
                <w:b/>
                <w:bCs/>
                <w:sz w:val="24"/>
              </w:rPr>
              <w:t>（</w:t>
            </w:r>
            <w:r>
              <w:rPr>
                <w:rFonts w:hint="eastAsia"/>
                <w:b/>
                <w:bCs/>
                <w:sz w:val="24"/>
              </w:rPr>
              <w:t>4</w:t>
            </w:r>
            <w:r>
              <w:rPr>
                <w:rFonts w:hint="eastAsia"/>
                <w:b/>
                <w:bCs/>
                <w:sz w:val="24"/>
              </w:rPr>
              <w:t>）噪声监测计划</w:t>
            </w:r>
          </w:p>
          <w:p w14:paraId="0874DDDC" w14:textId="77777777" w:rsidR="00F76A63" w:rsidRDefault="00000000">
            <w:pPr>
              <w:spacing w:line="500" w:lineRule="exact"/>
              <w:ind w:firstLineChars="200" w:firstLine="480"/>
              <w:rPr>
                <w:sz w:val="24"/>
              </w:rPr>
            </w:pPr>
            <w:r>
              <w:rPr>
                <w:rFonts w:hint="eastAsia"/>
                <w:sz w:val="24"/>
              </w:rPr>
              <w:t>根据《排污单位自行监测技术指南</w:t>
            </w:r>
            <w:r>
              <w:rPr>
                <w:rFonts w:hint="eastAsia"/>
                <w:sz w:val="24"/>
              </w:rPr>
              <w:t xml:space="preserve"> </w:t>
            </w:r>
            <w:r>
              <w:rPr>
                <w:rFonts w:hint="eastAsia"/>
                <w:sz w:val="24"/>
              </w:rPr>
              <w:t>水泥工业》（</w:t>
            </w:r>
            <w:r>
              <w:rPr>
                <w:rFonts w:hint="eastAsia"/>
                <w:sz w:val="24"/>
              </w:rPr>
              <w:t>HJ848-2017</w:t>
            </w:r>
            <w:r>
              <w:rPr>
                <w:rFonts w:hint="eastAsia"/>
                <w:sz w:val="24"/>
              </w:rPr>
              <w:t>），厂界噪声最低监测频次为季度，厂界噪声监测频次为一季度开展一次，并在噪声监测点附近醒目处设置环境保护图形标志牌。</w:t>
            </w:r>
          </w:p>
          <w:p w14:paraId="066FF719" w14:textId="77777777" w:rsidR="00F76A63" w:rsidRDefault="00000000">
            <w:pPr>
              <w:adjustRightInd w:val="0"/>
              <w:snapToGrid w:val="0"/>
              <w:spacing w:line="500" w:lineRule="exact"/>
              <w:ind w:firstLineChars="200" w:firstLine="480"/>
              <w:rPr>
                <w:sz w:val="24"/>
              </w:rPr>
            </w:pPr>
            <w:r>
              <w:rPr>
                <w:sz w:val="24"/>
              </w:rPr>
              <w:t>噪声污染源监测一览表见表</w:t>
            </w:r>
            <w:r>
              <w:rPr>
                <w:sz w:val="24"/>
              </w:rPr>
              <w:t>4-</w:t>
            </w:r>
            <w:r>
              <w:rPr>
                <w:rFonts w:hint="eastAsia"/>
                <w:sz w:val="24"/>
              </w:rPr>
              <w:t>5</w:t>
            </w:r>
            <w:r>
              <w:rPr>
                <w:sz w:val="24"/>
              </w:rPr>
              <w:t>。</w:t>
            </w:r>
          </w:p>
          <w:p w14:paraId="10673A13" w14:textId="77777777" w:rsidR="00F76A63" w:rsidRDefault="00000000">
            <w:pPr>
              <w:spacing w:line="500" w:lineRule="exact"/>
              <w:jc w:val="center"/>
              <w:rPr>
                <w:b/>
                <w:sz w:val="24"/>
              </w:rPr>
            </w:pPr>
            <w:r>
              <w:rPr>
                <w:b/>
                <w:sz w:val="24"/>
              </w:rPr>
              <w:t>表</w:t>
            </w:r>
            <w:r>
              <w:rPr>
                <w:b/>
                <w:sz w:val="24"/>
              </w:rPr>
              <w:t>4-</w:t>
            </w:r>
            <w:r>
              <w:rPr>
                <w:rFonts w:hint="eastAsia"/>
                <w:b/>
                <w:sz w:val="24"/>
              </w:rPr>
              <w:t>5</w:t>
            </w:r>
            <w:r>
              <w:rPr>
                <w:b/>
                <w:sz w:val="24"/>
              </w:rPr>
              <w:t xml:space="preserve">  </w:t>
            </w:r>
            <w:r>
              <w:rPr>
                <w:b/>
                <w:sz w:val="24"/>
              </w:rPr>
              <w:t>噪声污染源监测一览表</w:t>
            </w:r>
          </w:p>
          <w:tbl>
            <w:tblPr>
              <w:tblW w:w="5000" w:type="pct"/>
              <w:jc w:val="center"/>
              <w:tblBorders>
                <w:top w:val="single" w:sz="12" w:space="0" w:color="000000"/>
                <w:bottom w:val="single" w:sz="12" w:space="0" w:color="auto"/>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746"/>
              <w:gridCol w:w="832"/>
              <w:gridCol w:w="731"/>
              <w:gridCol w:w="1399"/>
              <w:gridCol w:w="796"/>
              <w:gridCol w:w="3689"/>
            </w:tblGrid>
            <w:tr w:rsidR="00F76A63" w14:paraId="2F2FD94C" w14:textId="77777777">
              <w:trPr>
                <w:trHeight w:val="23"/>
                <w:jc w:val="center"/>
              </w:trPr>
              <w:tc>
                <w:tcPr>
                  <w:tcW w:w="723" w:type="dxa"/>
                  <w:vAlign w:val="center"/>
                </w:tcPr>
                <w:p w14:paraId="632BA306" w14:textId="77777777" w:rsidR="00F76A63" w:rsidRDefault="00000000">
                  <w:pPr>
                    <w:jc w:val="center"/>
                    <w:rPr>
                      <w:b/>
                      <w:szCs w:val="21"/>
                    </w:rPr>
                  </w:pPr>
                  <w:r>
                    <w:rPr>
                      <w:b/>
                      <w:szCs w:val="21"/>
                    </w:rPr>
                    <w:t>类别</w:t>
                  </w:r>
                </w:p>
              </w:tc>
              <w:tc>
                <w:tcPr>
                  <w:tcW w:w="807" w:type="dxa"/>
                  <w:vAlign w:val="center"/>
                </w:tcPr>
                <w:p w14:paraId="1C19F8E5" w14:textId="77777777" w:rsidR="00F76A63" w:rsidRDefault="00000000">
                  <w:pPr>
                    <w:jc w:val="center"/>
                    <w:rPr>
                      <w:b/>
                      <w:szCs w:val="21"/>
                    </w:rPr>
                  </w:pPr>
                  <w:r>
                    <w:rPr>
                      <w:b/>
                      <w:szCs w:val="21"/>
                    </w:rPr>
                    <w:t>监测点位</w:t>
                  </w:r>
                </w:p>
              </w:tc>
              <w:tc>
                <w:tcPr>
                  <w:tcW w:w="709" w:type="dxa"/>
                  <w:vAlign w:val="center"/>
                </w:tcPr>
                <w:p w14:paraId="2B6E2942" w14:textId="77777777" w:rsidR="00F76A63" w:rsidRDefault="00000000">
                  <w:pPr>
                    <w:jc w:val="center"/>
                    <w:rPr>
                      <w:b/>
                      <w:szCs w:val="21"/>
                    </w:rPr>
                  </w:pPr>
                  <w:r>
                    <w:rPr>
                      <w:b/>
                      <w:szCs w:val="21"/>
                    </w:rPr>
                    <w:t>测点数</w:t>
                  </w:r>
                </w:p>
              </w:tc>
              <w:tc>
                <w:tcPr>
                  <w:tcW w:w="1357" w:type="dxa"/>
                  <w:vAlign w:val="center"/>
                </w:tcPr>
                <w:p w14:paraId="3C318811" w14:textId="77777777" w:rsidR="00F76A63" w:rsidRDefault="00000000">
                  <w:pPr>
                    <w:jc w:val="center"/>
                    <w:rPr>
                      <w:b/>
                      <w:szCs w:val="21"/>
                    </w:rPr>
                  </w:pPr>
                  <w:r>
                    <w:rPr>
                      <w:b/>
                      <w:szCs w:val="21"/>
                    </w:rPr>
                    <w:t>污染物名称</w:t>
                  </w:r>
                </w:p>
              </w:tc>
              <w:tc>
                <w:tcPr>
                  <w:tcW w:w="772" w:type="dxa"/>
                  <w:vAlign w:val="center"/>
                </w:tcPr>
                <w:p w14:paraId="533DCBC4" w14:textId="77777777" w:rsidR="00F76A63" w:rsidRDefault="00000000">
                  <w:pPr>
                    <w:jc w:val="center"/>
                    <w:rPr>
                      <w:b/>
                      <w:szCs w:val="21"/>
                    </w:rPr>
                  </w:pPr>
                  <w:r>
                    <w:rPr>
                      <w:b/>
                      <w:szCs w:val="21"/>
                    </w:rPr>
                    <w:t>监测频次</w:t>
                  </w:r>
                </w:p>
              </w:tc>
              <w:tc>
                <w:tcPr>
                  <w:tcW w:w="3578" w:type="dxa"/>
                  <w:vAlign w:val="center"/>
                </w:tcPr>
                <w:p w14:paraId="04BF0502" w14:textId="77777777" w:rsidR="00F76A63" w:rsidRDefault="00000000">
                  <w:pPr>
                    <w:jc w:val="center"/>
                    <w:rPr>
                      <w:b/>
                      <w:szCs w:val="21"/>
                    </w:rPr>
                  </w:pPr>
                  <w:r>
                    <w:rPr>
                      <w:b/>
                      <w:szCs w:val="21"/>
                    </w:rPr>
                    <w:t>执行标准</w:t>
                  </w:r>
                </w:p>
              </w:tc>
            </w:tr>
            <w:tr w:rsidR="00F76A63" w14:paraId="1308565F" w14:textId="77777777">
              <w:trPr>
                <w:trHeight w:val="23"/>
                <w:jc w:val="center"/>
              </w:trPr>
              <w:tc>
                <w:tcPr>
                  <w:tcW w:w="723" w:type="dxa"/>
                  <w:vAlign w:val="center"/>
                </w:tcPr>
                <w:p w14:paraId="59AFFB98" w14:textId="77777777" w:rsidR="00F76A63" w:rsidRDefault="00000000">
                  <w:pPr>
                    <w:jc w:val="center"/>
                    <w:rPr>
                      <w:szCs w:val="21"/>
                    </w:rPr>
                  </w:pPr>
                  <w:r>
                    <w:rPr>
                      <w:szCs w:val="21"/>
                    </w:rPr>
                    <w:t>噪声</w:t>
                  </w:r>
                </w:p>
              </w:tc>
              <w:tc>
                <w:tcPr>
                  <w:tcW w:w="807" w:type="dxa"/>
                  <w:vAlign w:val="center"/>
                </w:tcPr>
                <w:p w14:paraId="4F53DEE5" w14:textId="77777777" w:rsidR="00F76A63" w:rsidRDefault="00000000">
                  <w:pPr>
                    <w:jc w:val="center"/>
                    <w:rPr>
                      <w:szCs w:val="21"/>
                    </w:rPr>
                  </w:pPr>
                  <w:r>
                    <w:rPr>
                      <w:szCs w:val="21"/>
                    </w:rPr>
                    <w:t>厂界噪声</w:t>
                  </w:r>
                </w:p>
              </w:tc>
              <w:tc>
                <w:tcPr>
                  <w:tcW w:w="709" w:type="dxa"/>
                  <w:vAlign w:val="center"/>
                </w:tcPr>
                <w:p w14:paraId="5F9AC783" w14:textId="77777777" w:rsidR="00F76A63" w:rsidRDefault="00000000">
                  <w:pPr>
                    <w:jc w:val="center"/>
                    <w:rPr>
                      <w:szCs w:val="21"/>
                    </w:rPr>
                  </w:pPr>
                  <w:r>
                    <w:rPr>
                      <w:szCs w:val="21"/>
                    </w:rPr>
                    <w:t>4</w:t>
                  </w:r>
                </w:p>
              </w:tc>
              <w:tc>
                <w:tcPr>
                  <w:tcW w:w="1357" w:type="dxa"/>
                  <w:vAlign w:val="center"/>
                </w:tcPr>
                <w:p w14:paraId="4FE4E200" w14:textId="77777777" w:rsidR="00F76A63" w:rsidRDefault="00000000">
                  <w:pPr>
                    <w:jc w:val="center"/>
                    <w:rPr>
                      <w:szCs w:val="21"/>
                    </w:rPr>
                  </w:pPr>
                  <w:r>
                    <w:rPr>
                      <w:szCs w:val="21"/>
                    </w:rPr>
                    <w:t>厂界声环境</w:t>
                  </w:r>
                </w:p>
              </w:tc>
              <w:tc>
                <w:tcPr>
                  <w:tcW w:w="772" w:type="dxa"/>
                  <w:vAlign w:val="center"/>
                </w:tcPr>
                <w:p w14:paraId="1ABF0C0B" w14:textId="77777777" w:rsidR="00F76A63" w:rsidRDefault="00000000">
                  <w:pPr>
                    <w:jc w:val="center"/>
                    <w:rPr>
                      <w:szCs w:val="21"/>
                    </w:rPr>
                  </w:pPr>
                  <w:r>
                    <w:rPr>
                      <w:szCs w:val="21"/>
                    </w:rPr>
                    <w:t>1</w:t>
                  </w:r>
                  <w:r>
                    <w:rPr>
                      <w:szCs w:val="21"/>
                    </w:rPr>
                    <w:t>次</w:t>
                  </w:r>
                  <w:r>
                    <w:rPr>
                      <w:szCs w:val="21"/>
                    </w:rPr>
                    <w:t>/</w:t>
                  </w:r>
                  <w:r>
                    <w:rPr>
                      <w:szCs w:val="21"/>
                    </w:rPr>
                    <w:t>季</w:t>
                  </w:r>
                </w:p>
              </w:tc>
              <w:tc>
                <w:tcPr>
                  <w:tcW w:w="3578" w:type="dxa"/>
                  <w:vAlign w:val="center"/>
                </w:tcPr>
                <w:p w14:paraId="2E3DC702" w14:textId="77777777" w:rsidR="00F76A63" w:rsidRDefault="00000000">
                  <w:pPr>
                    <w:jc w:val="center"/>
                    <w:rPr>
                      <w:bCs/>
                      <w:szCs w:val="21"/>
                    </w:rPr>
                  </w:pPr>
                  <w:r>
                    <w:rPr>
                      <w:bCs/>
                      <w:szCs w:val="21"/>
                    </w:rPr>
                    <w:t>《工业企业厂界环境噪声排放标准》（</w:t>
                  </w:r>
                  <w:r>
                    <w:rPr>
                      <w:bCs/>
                      <w:szCs w:val="21"/>
                    </w:rPr>
                    <w:t>GB12348-2008</w:t>
                  </w:r>
                  <w:r>
                    <w:rPr>
                      <w:bCs/>
                      <w:szCs w:val="21"/>
                    </w:rPr>
                    <w:t>）</w:t>
                  </w:r>
                  <w:r>
                    <w:rPr>
                      <w:bCs/>
                      <w:szCs w:val="21"/>
                    </w:rPr>
                    <w:t>3</w:t>
                  </w:r>
                  <w:r>
                    <w:rPr>
                      <w:bCs/>
                      <w:szCs w:val="21"/>
                    </w:rPr>
                    <w:t>类标准</w:t>
                  </w:r>
                </w:p>
              </w:tc>
            </w:tr>
          </w:tbl>
          <w:p w14:paraId="41E6284B" w14:textId="77777777" w:rsidR="00F76A63" w:rsidRDefault="00000000">
            <w:pPr>
              <w:adjustRightInd w:val="0"/>
              <w:snapToGrid w:val="0"/>
              <w:spacing w:line="500" w:lineRule="exact"/>
              <w:ind w:firstLineChars="200" w:firstLine="482"/>
              <w:rPr>
                <w:b/>
                <w:bCs/>
                <w:sz w:val="24"/>
              </w:rPr>
            </w:pPr>
            <w:r>
              <w:rPr>
                <w:b/>
                <w:bCs/>
                <w:sz w:val="24"/>
              </w:rPr>
              <w:t>4</w:t>
            </w:r>
            <w:r>
              <w:rPr>
                <w:b/>
                <w:bCs/>
                <w:sz w:val="24"/>
              </w:rPr>
              <w:t>、固体废物</w:t>
            </w:r>
          </w:p>
          <w:p w14:paraId="35A49E69" w14:textId="77777777" w:rsidR="00F76A63" w:rsidRDefault="00000000">
            <w:pPr>
              <w:snapToGrid w:val="0"/>
              <w:spacing w:line="500" w:lineRule="exact"/>
              <w:ind w:firstLineChars="200" w:firstLine="480"/>
              <w:rPr>
                <w:sz w:val="24"/>
                <w:szCs w:val="22"/>
              </w:rPr>
            </w:pPr>
            <w:r>
              <w:rPr>
                <w:sz w:val="24"/>
                <w:szCs w:val="22"/>
              </w:rPr>
              <w:t>根据企业提供，本项目无固体废物产生，项目建设前后全厂固废产生情况不变。</w:t>
            </w:r>
          </w:p>
          <w:p w14:paraId="075E01D5" w14:textId="77777777" w:rsidR="00F76A63" w:rsidRDefault="00000000">
            <w:pPr>
              <w:snapToGrid w:val="0"/>
              <w:spacing w:line="500" w:lineRule="exact"/>
              <w:ind w:firstLineChars="200" w:firstLine="480"/>
              <w:rPr>
                <w:bCs/>
                <w:sz w:val="24"/>
                <w:szCs w:val="22"/>
              </w:rPr>
            </w:pPr>
            <w:r>
              <w:rPr>
                <w:bCs/>
                <w:sz w:val="24"/>
                <w:szCs w:val="22"/>
              </w:rPr>
              <w:t>公司建设有一处建筑面积</w:t>
            </w:r>
            <w:r>
              <w:rPr>
                <w:bCs/>
                <w:sz w:val="24"/>
                <w:szCs w:val="22"/>
              </w:rPr>
              <w:t>90m</w:t>
            </w:r>
            <w:r>
              <w:rPr>
                <w:bCs/>
                <w:sz w:val="24"/>
                <w:szCs w:val="22"/>
                <w:vertAlign w:val="superscript"/>
              </w:rPr>
              <w:t>2</w:t>
            </w:r>
            <w:r>
              <w:rPr>
                <w:bCs/>
                <w:sz w:val="24"/>
                <w:szCs w:val="22"/>
              </w:rPr>
              <w:t>的危废仓库，危废仓库污染防治措施符合《危险废物贮存污染控制》（</w:t>
            </w:r>
            <w:r>
              <w:rPr>
                <w:bCs/>
                <w:sz w:val="24"/>
                <w:szCs w:val="22"/>
              </w:rPr>
              <w:t>GB18597-20</w:t>
            </w:r>
            <w:r>
              <w:rPr>
                <w:rFonts w:hint="eastAsia"/>
                <w:bCs/>
                <w:sz w:val="24"/>
                <w:szCs w:val="22"/>
              </w:rPr>
              <w:t>23</w:t>
            </w:r>
            <w:r>
              <w:rPr>
                <w:bCs/>
                <w:sz w:val="24"/>
                <w:szCs w:val="22"/>
              </w:rPr>
              <w:t>）要求：</w:t>
            </w:r>
          </w:p>
          <w:p w14:paraId="3C78FA22" w14:textId="77777777" w:rsidR="00F76A63" w:rsidRDefault="00000000">
            <w:pPr>
              <w:snapToGrid w:val="0"/>
              <w:spacing w:line="500" w:lineRule="exact"/>
              <w:ind w:firstLineChars="200" w:firstLine="480"/>
              <w:rPr>
                <w:bCs/>
                <w:sz w:val="24"/>
                <w:szCs w:val="22"/>
              </w:rPr>
            </w:pPr>
            <w:r>
              <w:rPr>
                <w:rFonts w:ascii="Cambria Math" w:hAnsi="Cambria Math" w:cs="Cambria Math"/>
                <w:bCs/>
                <w:sz w:val="24"/>
                <w:szCs w:val="22"/>
              </w:rPr>
              <w:t>①</w:t>
            </w:r>
            <w:r>
              <w:rPr>
                <w:bCs/>
                <w:sz w:val="24"/>
                <w:szCs w:val="22"/>
              </w:rPr>
              <w:t>危险废物装在相应的容器内，盛装危险废物的容器上粘贴有相应标签；</w:t>
            </w:r>
          </w:p>
          <w:p w14:paraId="0820B535" w14:textId="77777777" w:rsidR="00F76A63" w:rsidRDefault="00000000">
            <w:pPr>
              <w:snapToGrid w:val="0"/>
              <w:spacing w:line="500" w:lineRule="exact"/>
              <w:ind w:firstLineChars="200" w:firstLine="480"/>
              <w:rPr>
                <w:bCs/>
                <w:sz w:val="24"/>
                <w:szCs w:val="22"/>
              </w:rPr>
            </w:pPr>
            <w:r>
              <w:rPr>
                <w:rFonts w:ascii="Cambria Math" w:hAnsi="Cambria Math" w:cs="Cambria Math"/>
                <w:bCs/>
                <w:sz w:val="24"/>
                <w:szCs w:val="22"/>
              </w:rPr>
              <w:lastRenderedPageBreak/>
              <w:t>②</w:t>
            </w:r>
            <w:r>
              <w:rPr>
                <w:bCs/>
                <w:sz w:val="24"/>
                <w:szCs w:val="22"/>
              </w:rPr>
              <w:t>危废仓库设有耐腐蚀的硬化地面，且表面无裂隙，且危废仓库内设有收集池和导流槽；</w:t>
            </w:r>
          </w:p>
          <w:p w14:paraId="69D47756" w14:textId="77777777" w:rsidR="00F76A63" w:rsidRDefault="00000000">
            <w:pPr>
              <w:snapToGrid w:val="0"/>
              <w:spacing w:line="500" w:lineRule="exact"/>
              <w:ind w:firstLineChars="200" w:firstLine="480"/>
              <w:rPr>
                <w:bCs/>
                <w:sz w:val="24"/>
                <w:szCs w:val="22"/>
              </w:rPr>
            </w:pPr>
            <w:r>
              <w:rPr>
                <w:rFonts w:ascii="Cambria Math" w:hAnsi="Cambria Math" w:cs="Cambria Math"/>
                <w:bCs/>
                <w:sz w:val="24"/>
                <w:szCs w:val="22"/>
              </w:rPr>
              <w:t>③</w:t>
            </w:r>
            <w:r>
              <w:rPr>
                <w:bCs/>
                <w:sz w:val="24"/>
                <w:szCs w:val="22"/>
              </w:rPr>
              <w:t>危险废物做到了防风、防雨、防晒，基础做好了防渗；</w:t>
            </w:r>
          </w:p>
          <w:p w14:paraId="16F30A37" w14:textId="77777777" w:rsidR="00F76A63" w:rsidRDefault="00000000">
            <w:pPr>
              <w:snapToGrid w:val="0"/>
              <w:spacing w:line="500" w:lineRule="exact"/>
              <w:ind w:firstLineChars="200" w:firstLine="480"/>
              <w:rPr>
                <w:bCs/>
                <w:sz w:val="24"/>
                <w:szCs w:val="22"/>
              </w:rPr>
            </w:pPr>
            <w:r>
              <w:rPr>
                <w:rFonts w:ascii="Cambria Math" w:hAnsi="Cambria Math" w:cs="Cambria Math"/>
                <w:bCs/>
                <w:sz w:val="24"/>
                <w:szCs w:val="22"/>
              </w:rPr>
              <w:t>④</w:t>
            </w:r>
            <w:r>
              <w:rPr>
                <w:bCs/>
                <w:sz w:val="24"/>
                <w:szCs w:val="22"/>
              </w:rPr>
              <w:t>危险废物台账清晰，台账上注明了危险废物的名称、来源、数量、特性和包装容器的类别、入库日期、存放库位、废物出库日期及接收单位名称。危险废物的记录和货单保留三年以上；</w:t>
            </w:r>
          </w:p>
          <w:p w14:paraId="04DBB002" w14:textId="77777777" w:rsidR="00F76A63" w:rsidRDefault="00000000">
            <w:pPr>
              <w:snapToGrid w:val="0"/>
              <w:spacing w:line="500" w:lineRule="exact"/>
              <w:ind w:firstLineChars="200" w:firstLine="480"/>
              <w:rPr>
                <w:bCs/>
                <w:sz w:val="24"/>
                <w:szCs w:val="22"/>
              </w:rPr>
            </w:pPr>
            <w:r>
              <w:rPr>
                <w:rFonts w:ascii="Cambria Math" w:hAnsi="Cambria Math" w:cs="Cambria Math"/>
                <w:bCs/>
                <w:sz w:val="24"/>
                <w:szCs w:val="22"/>
              </w:rPr>
              <w:t>⑤</w:t>
            </w:r>
            <w:r>
              <w:rPr>
                <w:bCs/>
                <w:sz w:val="24"/>
                <w:szCs w:val="22"/>
              </w:rPr>
              <w:t>危废委托有资质单位处置，执行危险废物转移联单制度；</w:t>
            </w:r>
          </w:p>
          <w:p w14:paraId="7AFBEFE6" w14:textId="77777777" w:rsidR="00F76A63" w:rsidRDefault="00000000">
            <w:pPr>
              <w:snapToGrid w:val="0"/>
              <w:spacing w:line="500" w:lineRule="exact"/>
              <w:ind w:firstLineChars="200" w:firstLine="480"/>
              <w:rPr>
                <w:bCs/>
                <w:sz w:val="24"/>
                <w:szCs w:val="22"/>
              </w:rPr>
            </w:pPr>
            <w:r>
              <w:rPr>
                <w:rFonts w:ascii="Cambria Math" w:hAnsi="Cambria Math" w:cs="Cambria Math"/>
                <w:bCs/>
                <w:sz w:val="24"/>
                <w:szCs w:val="22"/>
              </w:rPr>
              <w:t>⑥</w:t>
            </w:r>
            <w:r>
              <w:rPr>
                <w:bCs/>
                <w:sz w:val="24"/>
                <w:szCs w:val="22"/>
              </w:rPr>
              <w:t>危废仓库按规定设置了警示标志。仓库内配备有照明设施、安全防护工具，并设有应急防护设施。危废仓库内清理出来的泄漏物，一律按危险废物处理。</w:t>
            </w:r>
          </w:p>
          <w:p w14:paraId="2E2F4D15" w14:textId="77777777" w:rsidR="00F76A63" w:rsidRDefault="00000000">
            <w:pPr>
              <w:snapToGrid w:val="0"/>
              <w:spacing w:line="500" w:lineRule="exact"/>
              <w:ind w:firstLineChars="200" w:firstLine="480"/>
              <w:rPr>
                <w:bCs/>
                <w:sz w:val="24"/>
                <w:szCs w:val="22"/>
              </w:rPr>
            </w:pPr>
            <w:r>
              <w:rPr>
                <w:rFonts w:ascii="Cambria Math" w:hAnsi="Cambria Math" w:cs="Cambria Math"/>
                <w:bCs/>
                <w:sz w:val="24"/>
                <w:szCs w:val="22"/>
              </w:rPr>
              <w:t>⑦</w:t>
            </w:r>
            <w:r>
              <w:rPr>
                <w:bCs/>
                <w:sz w:val="24"/>
                <w:szCs w:val="22"/>
              </w:rPr>
              <w:t>危废仓库设置有监控设施，对危废仓库进行实时监控，监控视频保存</w:t>
            </w:r>
            <w:r>
              <w:rPr>
                <w:bCs/>
                <w:sz w:val="24"/>
                <w:szCs w:val="22"/>
              </w:rPr>
              <w:t>3</w:t>
            </w:r>
            <w:r>
              <w:rPr>
                <w:bCs/>
                <w:sz w:val="24"/>
                <w:szCs w:val="22"/>
              </w:rPr>
              <w:t>个月以上。</w:t>
            </w:r>
          </w:p>
          <w:p w14:paraId="67ACE249" w14:textId="77777777" w:rsidR="00F76A63" w:rsidRDefault="00000000">
            <w:pPr>
              <w:snapToGrid w:val="0"/>
              <w:spacing w:line="500" w:lineRule="exact"/>
              <w:ind w:firstLineChars="200" w:firstLine="480"/>
              <w:rPr>
                <w:bCs/>
                <w:sz w:val="24"/>
                <w:szCs w:val="22"/>
              </w:rPr>
            </w:pPr>
            <w:r>
              <w:rPr>
                <w:bCs/>
                <w:sz w:val="24"/>
                <w:szCs w:val="22"/>
              </w:rPr>
              <w:t>危废仓库设有防腐防渗措施，不会有有害成分泄漏，不会使土壤碱化、酸化、毒化，破坏土壤中微生物的生存条件，影响动植物生长发育，不会对周围环境产生二次污染。</w:t>
            </w:r>
          </w:p>
          <w:p w14:paraId="6E720B8B" w14:textId="77777777" w:rsidR="00F76A63" w:rsidRDefault="00000000">
            <w:pPr>
              <w:snapToGrid w:val="0"/>
              <w:spacing w:line="500" w:lineRule="exact"/>
              <w:ind w:firstLineChars="200" w:firstLine="482"/>
              <w:rPr>
                <w:b/>
                <w:bCs/>
                <w:sz w:val="24"/>
                <w:szCs w:val="22"/>
              </w:rPr>
            </w:pPr>
            <w:r>
              <w:rPr>
                <w:b/>
                <w:bCs/>
                <w:sz w:val="24"/>
                <w:szCs w:val="22"/>
              </w:rPr>
              <w:t>5</w:t>
            </w:r>
            <w:r>
              <w:rPr>
                <w:b/>
                <w:bCs/>
                <w:sz w:val="24"/>
                <w:szCs w:val="22"/>
              </w:rPr>
              <w:t>、地下水、土壤</w:t>
            </w:r>
          </w:p>
          <w:p w14:paraId="2831CB75" w14:textId="77777777" w:rsidR="00F76A63" w:rsidRDefault="00000000">
            <w:pPr>
              <w:snapToGrid w:val="0"/>
              <w:spacing w:line="500" w:lineRule="exact"/>
              <w:ind w:firstLineChars="200" w:firstLine="482"/>
              <w:rPr>
                <w:b/>
                <w:bCs/>
                <w:sz w:val="24"/>
                <w:szCs w:val="22"/>
              </w:rPr>
            </w:pPr>
            <w:r>
              <w:rPr>
                <w:b/>
                <w:bCs/>
                <w:sz w:val="24"/>
                <w:szCs w:val="22"/>
              </w:rPr>
              <w:t>（</w:t>
            </w:r>
            <w:r>
              <w:rPr>
                <w:b/>
                <w:bCs/>
                <w:sz w:val="24"/>
                <w:szCs w:val="22"/>
              </w:rPr>
              <w:t>1</w:t>
            </w:r>
            <w:r>
              <w:rPr>
                <w:b/>
                <w:bCs/>
                <w:sz w:val="24"/>
                <w:szCs w:val="22"/>
              </w:rPr>
              <w:t>）地下水影响途径</w:t>
            </w:r>
          </w:p>
          <w:p w14:paraId="19571A01" w14:textId="77777777" w:rsidR="00F76A63" w:rsidRDefault="00000000">
            <w:pPr>
              <w:snapToGrid w:val="0"/>
              <w:spacing w:line="500" w:lineRule="exact"/>
              <w:ind w:firstLineChars="200" w:firstLine="480"/>
              <w:rPr>
                <w:sz w:val="24"/>
                <w:szCs w:val="22"/>
              </w:rPr>
            </w:pPr>
            <w:r>
              <w:rPr>
                <w:sz w:val="24"/>
                <w:szCs w:val="22"/>
              </w:rPr>
              <w:t>污染物对地下水的影响主要是由于降雨或废水排放等通过垂直渗透进入包气带，进入包气带的污染物在物理、化学和生物作用下经吸附、转化、迁移和分解后进入地下水。因此，包气带是联结地表污染物与地下含水层的主要通道和过渡带，既是污染物媒介体，又是污染物的净化场所和防护层。一般来说，土壤粒细而紧密，则污染物渗透性差，污染速度也就慢，污染程度也就相对轻点，反之则污染速度快，污染程度重。</w:t>
            </w:r>
          </w:p>
          <w:p w14:paraId="3D8D4B51" w14:textId="77777777" w:rsidR="00F76A63" w:rsidRDefault="00000000">
            <w:pPr>
              <w:snapToGrid w:val="0"/>
              <w:spacing w:line="500" w:lineRule="exact"/>
              <w:ind w:firstLineChars="200" w:firstLine="480"/>
              <w:rPr>
                <w:sz w:val="24"/>
                <w:szCs w:val="22"/>
              </w:rPr>
            </w:pPr>
            <w:r>
              <w:rPr>
                <w:sz w:val="24"/>
                <w:szCs w:val="22"/>
              </w:rPr>
              <w:t>结合项目特点，分析本项目地下水被污染的可能途径为废物得不到及时处置，在处置场所因各种因素造成流失，危废暂存间物料贮存、使用过程发生容</w:t>
            </w:r>
            <w:r>
              <w:rPr>
                <w:sz w:val="24"/>
                <w:szCs w:val="22"/>
              </w:rPr>
              <w:lastRenderedPageBreak/>
              <w:t>器破裂及打翻情况时进入土壤，污染地下水。</w:t>
            </w:r>
          </w:p>
          <w:p w14:paraId="708F29AE" w14:textId="77777777" w:rsidR="00F76A63" w:rsidRDefault="00000000">
            <w:pPr>
              <w:snapToGrid w:val="0"/>
              <w:spacing w:line="500" w:lineRule="exact"/>
              <w:ind w:firstLineChars="200" w:firstLine="480"/>
              <w:rPr>
                <w:sz w:val="24"/>
                <w:szCs w:val="22"/>
              </w:rPr>
            </w:pPr>
            <w:r>
              <w:rPr>
                <w:sz w:val="24"/>
                <w:szCs w:val="22"/>
              </w:rPr>
              <w:t>项目车间、仓库等均采用钢筋混凝土浇筑。钢筋混凝土渗透系数小于</w:t>
            </w:r>
            <w:r>
              <w:rPr>
                <w:sz w:val="24"/>
                <w:szCs w:val="22"/>
              </w:rPr>
              <w:t>10</w:t>
            </w:r>
            <w:r>
              <w:rPr>
                <w:sz w:val="24"/>
                <w:szCs w:val="22"/>
                <w:vertAlign w:val="superscript"/>
              </w:rPr>
              <w:t>-7</w:t>
            </w:r>
            <w:r>
              <w:rPr>
                <w:sz w:val="24"/>
                <w:szCs w:val="22"/>
              </w:rPr>
              <w:t>cm/s</w:t>
            </w:r>
            <w:r>
              <w:rPr>
                <w:sz w:val="24"/>
                <w:szCs w:val="22"/>
              </w:rPr>
              <w:t>，其防渗性能良好，可有效防止废水下渗。同时，开挖的地基采用水泥土分层铺填，逐层夯实的办法，加强了地基的防渗能力。一般非人为破坏，发生渗漏的可能性较小。</w:t>
            </w:r>
          </w:p>
          <w:p w14:paraId="3F3EEE73" w14:textId="77777777" w:rsidR="00F76A63" w:rsidRDefault="00000000">
            <w:pPr>
              <w:snapToGrid w:val="0"/>
              <w:spacing w:line="500" w:lineRule="exact"/>
              <w:ind w:firstLineChars="200" w:firstLine="480"/>
              <w:rPr>
                <w:sz w:val="24"/>
                <w:szCs w:val="22"/>
              </w:rPr>
            </w:pPr>
            <w:r>
              <w:rPr>
                <w:sz w:val="24"/>
                <w:szCs w:val="22"/>
              </w:rPr>
              <w:t>项目生产车间地面均硬化，并设有良好的排水系统，因此污染物仅可能通过绿化场地进入土壤，经土壤的吸附和微生物分解作用，污染物渗入地下水的可能性很小。项目的原辅料、产品等均堆放厂房内，且分区堆存，因此不会受到雨水作用而发生污染物流失情况。</w:t>
            </w:r>
          </w:p>
          <w:p w14:paraId="6C4E7D87" w14:textId="77777777" w:rsidR="00F76A63" w:rsidRDefault="00000000">
            <w:pPr>
              <w:snapToGrid w:val="0"/>
              <w:spacing w:line="500" w:lineRule="exact"/>
              <w:ind w:firstLineChars="200" w:firstLine="480"/>
              <w:rPr>
                <w:sz w:val="24"/>
                <w:szCs w:val="22"/>
              </w:rPr>
            </w:pPr>
            <w:r>
              <w:rPr>
                <w:sz w:val="24"/>
                <w:szCs w:val="22"/>
              </w:rPr>
              <w:t>项目不新增废水，现有项目废水主要为生活污水，水质简单，主要是</w:t>
            </w:r>
            <w:r>
              <w:rPr>
                <w:sz w:val="24"/>
                <w:szCs w:val="22"/>
              </w:rPr>
              <w:t>COD</w:t>
            </w:r>
            <w:r>
              <w:rPr>
                <w:sz w:val="24"/>
                <w:szCs w:val="22"/>
              </w:rPr>
              <w:t>、</w:t>
            </w:r>
            <w:r>
              <w:rPr>
                <w:sz w:val="24"/>
                <w:szCs w:val="22"/>
              </w:rPr>
              <w:t>NH</w:t>
            </w:r>
            <w:r>
              <w:rPr>
                <w:sz w:val="24"/>
                <w:szCs w:val="22"/>
                <w:vertAlign w:val="subscript"/>
              </w:rPr>
              <w:t>3</w:t>
            </w:r>
            <w:r>
              <w:rPr>
                <w:sz w:val="24"/>
                <w:szCs w:val="22"/>
              </w:rPr>
              <w:t>-N</w:t>
            </w:r>
            <w:r>
              <w:rPr>
                <w:sz w:val="24"/>
                <w:szCs w:val="22"/>
              </w:rPr>
              <w:t>、</w:t>
            </w:r>
            <w:r>
              <w:rPr>
                <w:sz w:val="24"/>
                <w:szCs w:val="22"/>
              </w:rPr>
              <w:t>SS</w:t>
            </w:r>
            <w:r>
              <w:rPr>
                <w:sz w:val="24"/>
                <w:szCs w:val="22"/>
              </w:rPr>
              <w:t>等非持久性有机污染物，不存在有毒有害等持久性污染物。因此，一旦发生废水泄漏，侵入地下，不会对地下水水质产生明显有害影响。</w:t>
            </w:r>
          </w:p>
          <w:p w14:paraId="1A329663" w14:textId="77777777" w:rsidR="00F76A63" w:rsidRDefault="00000000">
            <w:pPr>
              <w:snapToGrid w:val="0"/>
              <w:spacing w:line="500" w:lineRule="exact"/>
              <w:ind w:firstLineChars="200" w:firstLine="480"/>
              <w:rPr>
                <w:sz w:val="24"/>
                <w:szCs w:val="22"/>
              </w:rPr>
            </w:pPr>
            <w:r>
              <w:rPr>
                <w:sz w:val="24"/>
                <w:szCs w:val="22"/>
              </w:rPr>
              <w:t>一旦发生废水渗漏应立即采取应急措施，停止生产，对已经污染地下水的，应将废水抽出，抽上来的废水不得直接排放至环境中，应暂存在封闭的容器中，待废水处理设施修复后，再将该部分废水进行处理，杜绝生产废水污染浅层地下水。</w:t>
            </w:r>
          </w:p>
          <w:p w14:paraId="21C00EA3" w14:textId="77777777" w:rsidR="00F76A63" w:rsidRDefault="00000000">
            <w:pPr>
              <w:snapToGrid w:val="0"/>
              <w:spacing w:line="500" w:lineRule="exact"/>
              <w:ind w:firstLineChars="200" w:firstLine="480"/>
              <w:rPr>
                <w:sz w:val="24"/>
                <w:szCs w:val="22"/>
              </w:rPr>
            </w:pPr>
            <w:r>
              <w:rPr>
                <w:sz w:val="24"/>
                <w:szCs w:val="22"/>
              </w:rPr>
              <w:t>综合以上地下水污染途径和相应的防护措施分析可知，在确保各项防渗措施得以落实的前提下，可有效控制废水下渗，避免污染地下水。因此，本项目建设，不会对区域地下水环境产生明显不利影响。</w:t>
            </w:r>
          </w:p>
          <w:p w14:paraId="5FFE3F4E" w14:textId="77777777" w:rsidR="00F76A63" w:rsidRDefault="00000000">
            <w:pPr>
              <w:snapToGrid w:val="0"/>
              <w:spacing w:line="500" w:lineRule="exact"/>
              <w:ind w:firstLineChars="200" w:firstLine="482"/>
              <w:rPr>
                <w:b/>
                <w:bCs/>
                <w:sz w:val="24"/>
                <w:szCs w:val="22"/>
              </w:rPr>
            </w:pPr>
            <w:r>
              <w:rPr>
                <w:b/>
                <w:bCs/>
                <w:sz w:val="24"/>
                <w:szCs w:val="22"/>
              </w:rPr>
              <w:t>（</w:t>
            </w:r>
            <w:r>
              <w:rPr>
                <w:b/>
                <w:bCs/>
                <w:sz w:val="24"/>
                <w:szCs w:val="22"/>
              </w:rPr>
              <w:t>2</w:t>
            </w:r>
            <w:r>
              <w:rPr>
                <w:b/>
                <w:bCs/>
                <w:sz w:val="24"/>
                <w:szCs w:val="22"/>
              </w:rPr>
              <w:t>）土壤影响途径</w:t>
            </w:r>
          </w:p>
          <w:p w14:paraId="37CF871A" w14:textId="77777777" w:rsidR="00F76A63" w:rsidRDefault="00000000">
            <w:pPr>
              <w:snapToGrid w:val="0"/>
              <w:spacing w:line="500" w:lineRule="exact"/>
              <w:ind w:firstLineChars="200" w:firstLine="480"/>
              <w:rPr>
                <w:sz w:val="24"/>
                <w:szCs w:val="22"/>
              </w:rPr>
            </w:pPr>
            <w:r>
              <w:rPr>
                <w:sz w:val="24"/>
                <w:szCs w:val="22"/>
              </w:rPr>
              <w:t>土壤污染与大气、水体污染有所不同，它是以食物链方式通过粮食、蔬菜、水果、茶叶、草食动物（如家禽家畜）乃至肉食性动物等最后进入人体而影响人群健康，是一个逐步累积的过程，具有隐蔽性和潜伏性。根据土壤污染物的来源不同，可将土壤污染分为废水污染型、废气污染型、固体废物污染型、农业污染型和生物污染型。</w:t>
            </w:r>
          </w:p>
          <w:p w14:paraId="2F7EBC46" w14:textId="77777777" w:rsidR="00F76A63" w:rsidRDefault="00000000">
            <w:pPr>
              <w:snapToGrid w:val="0"/>
              <w:spacing w:line="500" w:lineRule="exact"/>
              <w:ind w:firstLineChars="200" w:firstLine="480"/>
              <w:rPr>
                <w:sz w:val="24"/>
                <w:szCs w:val="22"/>
              </w:rPr>
            </w:pPr>
            <w:r>
              <w:rPr>
                <w:sz w:val="24"/>
                <w:szCs w:val="22"/>
              </w:rPr>
              <w:lastRenderedPageBreak/>
              <w:t>1</w:t>
            </w:r>
            <w:r>
              <w:rPr>
                <w:sz w:val="24"/>
                <w:szCs w:val="22"/>
              </w:rPr>
              <w:t>）本项目为利用水泥窑协同处置污染土项目，不新增废水产生及排放，现有生活污水经台泥厂区现有化粪池预处理后接管句容市下蜀污水处理有限公司集中处理，处理达标后排入老便民河，通过废水泄漏污染土壤可能性很小。</w:t>
            </w:r>
          </w:p>
          <w:p w14:paraId="2C099C60" w14:textId="77777777" w:rsidR="00F76A63" w:rsidRDefault="00000000">
            <w:pPr>
              <w:snapToGrid w:val="0"/>
              <w:spacing w:line="500" w:lineRule="exact"/>
              <w:ind w:firstLineChars="200" w:firstLine="480"/>
              <w:rPr>
                <w:sz w:val="24"/>
                <w:szCs w:val="22"/>
              </w:rPr>
            </w:pPr>
            <w:r>
              <w:rPr>
                <w:sz w:val="24"/>
                <w:szCs w:val="22"/>
              </w:rPr>
              <w:t>2</w:t>
            </w:r>
            <w:r>
              <w:rPr>
                <w:sz w:val="24"/>
                <w:szCs w:val="22"/>
              </w:rPr>
              <w:t>）从固体废物中主要有害成分来看，固废中含有重金属类物质，若不考虑设专门的固废储存仓库或者仓库没有适当的防漏措施，废物中的有害组分经过风化、雨水淋溶、地表径流的侵蚀，产生高温和有毒液体渗入土壤，杀死土壤中的微生物，破坏微生物与周围环境构成系统的平衡，将影响土壤生态系统，导致植被的生长和农作物的减产。同时污染物经土壤渗入地下水，对地下水水质也造成污染。</w:t>
            </w:r>
          </w:p>
          <w:p w14:paraId="07C0EBA4" w14:textId="77777777" w:rsidR="00F76A63" w:rsidRDefault="00000000">
            <w:pPr>
              <w:snapToGrid w:val="0"/>
              <w:spacing w:line="500" w:lineRule="exact"/>
              <w:ind w:firstLineChars="200" w:firstLine="480"/>
              <w:rPr>
                <w:sz w:val="24"/>
                <w:szCs w:val="22"/>
              </w:rPr>
            </w:pPr>
            <w:r>
              <w:rPr>
                <w:sz w:val="24"/>
                <w:szCs w:val="22"/>
              </w:rPr>
              <w:t>本次将拟协同处置的污染土贮存于储存仓库内，并严格按照《一般工业固体废物贮存和填埋污染控制标准》</w:t>
            </w:r>
            <w:r>
              <w:rPr>
                <w:sz w:val="24"/>
                <w:szCs w:val="22"/>
              </w:rPr>
              <w:t>(GB18599-2020)</w:t>
            </w:r>
            <w:r>
              <w:rPr>
                <w:sz w:val="24"/>
                <w:szCs w:val="22"/>
              </w:rPr>
              <w:t>要求设置和管理储存仓库，固废不在厂内长期贮存。本项目固体废物的贮存所采取的防范或治理措施是可行的，正常运营工况下，不会对土壤环境造成显著影响。</w:t>
            </w:r>
          </w:p>
          <w:p w14:paraId="0F1CA11D" w14:textId="77777777" w:rsidR="00F76A63" w:rsidRDefault="00000000">
            <w:pPr>
              <w:snapToGrid w:val="0"/>
              <w:spacing w:line="500" w:lineRule="exact"/>
              <w:ind w:firstLineChars="200" w:firstLine="480"/>
              <w:rPr>
                <w:sz w:val="24"/>
                <w:szCs w:val="22"/>
              </w:rPr>
            </w:pPr>
            <w:r>
              <w:rPr>
                <w:sz w:val="24"/>
                <w:szCs w:val="22"/>
              </w:rPr>
              <w:t>3</w:t>
            </w:r>
            <w:r>
              <w:rPr>
                <w:sz w:val="24"/>
                <w:szCs w:val="22"/>
              </w:rPr>
              <w:t>）另一方面，项目营运期焚烧系统产生的焚烧尾气，其中含有的微量重金属、二噁英类，可能沉降至项目周边土壤地面。重金属会在土壤中积累，导致土壤理化性质改变，肥力下降，并有可能通过作物进入食物链，影响人群健康。二噁英类有机物沉降至土壤中，其中暴露在土壤表层，阳光照射下易分解；埋藏在土壤中二噁英类有机物其半衰期为</w:t>
            </w:r>
            <w:r>
              <w:rPr>
                <w:sz w:val="24"/>
                <w:szCs w:val="22"/>
              </w:rPr>
              <w:t>10</w:t>
            </w:r>
            <w:r>
              <w:rPr>
                <w:sz w:val="24"/>
                <w:szCs w:val="22"/>
              </w:rPr>
              <w:t>年以上，有可能污染土壤。</w:t>
            </w:r>
          </w:p>
          <w:p w14:paraId="585D814B" w14:textId="77777777" w:rsidR="00F76A63" w:rsidRDefault="00000000">
            <w:pPr>
              <w:snapToGrid w:val="0"/>
              <w:spacing w:line="500" w:lineRule="exact"/>
              <w:ind w:firstLineChars="200" w:firstLine="480"/>
              <w:rPr>
                <w:sz w:val="24"/>
                <w:szCs w:val="22"/>
              </w:rPr>
            </w:pPr>
            <w:r>
              <w:rPr>
                <w:sz w:val="24"/>
                <w:szCs w:val="22"/>
              </w:rPr>
              <w:t>因此，本项目土壤污染以废气污染型为主。水泥窑的热稳定性很强，在焚烧少量的一般固废时不会改变炉内的燃烧工况，废物中的重金属元素绝大部分进入水泥熟料中，并被固化在水泥矿物中。窑尾尾气经</w:t>
            </w:r>
            <w:r>
              <w:rPr>
                <w:sz w:val="24"/>
                <w:szCs w:val="22"/>
              </w:rPr>
              <w:t>“</w:t>
            </w:r>
            <w:r>
              <w:rPr>
                <w:sz w:val="24"/>
                <w:szCs w:val="22"/>
              </w:rPr>
              <w:t>高温焚烧</w:t>
            </w:r>
            <w:r>
              <w:rPr>
                <w:sz w:val="24"/>
                <w:szCs w:val="22"/>
              </w:rPr>
              <w:t>+</w:t>
            </w:r>
            <w:r>
              <w:rPr>
                <w:sz w:val="24"/>
                <w:szCs w:val="22"/>
              </w:rPr>
              <w:t>碱性环境</w:t>
            </w:r>
            <w:r>
              <w:rPr>
                <w:sz w:val="24"/>
                <w:szCs w:val="22"/>
              </w:rPr>
              <w:t>+</w:t>
            </w:r>
            <w:r>
              <w:rPr>
                <w:sz w:val="24"/>
                <w:szCs w:val="22"/>
              </w:rPr>
              <w:t>脱硝</w:t>
            </w:r>
            <w:r>
              <w:rPr>
                <w:sz w:val="24"/>
                <w:szCs w:val="22"/>
              </w:rPr>
              <w:t>+</w:t>
            </w:r>
            <w:r>
              <w:rPr>
                <w:sz w:val="24"/>
                <w:szCs w:val="22"/>
              </w:rPr>
              <w:t>除尘</w:t>
            </w:r>
            <w:r>
              <w:rPr>
                <w:sz w:val="24"/>
                <w:szCs w:val="22"/>
              </w:rPr>
              <w:t>”</w:t>
            </w:r>
            <w:r>
              <w:rPr>
                <w:sz w:val="24"/>
                <w:szCs w:val="22"/>
              </w:rPr>
              <w:t>处理后，可满足《水泥工业大气污染物排放标准》（</w:t>
            </w:r>
            <w:r>
              <w:rPr>
                <w:sz w:val="24"/>
                <w:szCs w:val="22"/>
              </w:rPr>
              <w:t>DB32/4149-2021</w:t>
            </w:r>
            <w:r>
              <w:rPr>
                <w:sz w:val="24"/>
                <w:szCs w:val="22"/>
              </w:rPr>
              <w:t>）、《水泥窑协同处置固体废物污染控制标准》（</w:t>
            </w:r>
            <w:r>
              <w:rPr>
                <w:sz w:val="24"/>
                <w:szCs w:val="22"/>
              </w:rPr>
              <w:t>GB30485-2013</w:t>
            </w:r>
            <w:r>
              <w:rPr>
                <w:sz w:val="24"/>
                <w:szCs w:val="22"/>
              </w:rPr>
              <w:t>）等要求。水泥窑处置固体废物的优越性，可将重金属、二噁英类对土壤的影响降至最低。</w:t>
            </w:r>
          </w:p>
          <w:p w14:paraId="1635F716" w14:textId="77777777" w:rsidR="00F76A63" w:rsidRDefault="00000000">
            <w:pPr>
              <w:snapToGrid w:val="0"/>
              <w:spacing w:line="500" w:lineRule="exact"/>
              <w:ind w:firstLineChars="200" w:firstLine="480"/>
              <w:rPr>
                <w:sz w:val="24"/>
                <w:szCs w:val="22"/>
              </w:rPr>
            </w:pPr>
            <w:r>
              <w:rPr>
                <w:sz w:val="24"/>
                <w:szCs w:val="22"/>
              </w:rPr>
              <w:t>正常工况下，危险废物包装完好，危废仓库地面防渗良好，不会对地下水、</w:t>
            </w:r>
            <w:r>
              <w:rPr>
                <w:sz w:val="24"/>
                <w:szCs w:val="22"/>
              </w:rPr>
              <w:lastRenderedPageBreak/>
              <w:t>土壤环境造成影响。事故状态下，本项目对地下水、土壤污染途径主要有贮存的危险废物包装以及地面防渗层破损，导致危险废物泄漏至土壤和地下水中以及消防水外溢，对地下水和土壤造成影响。</w:t>
            </w:r>
          </w:p>
          <w:p w14:paraId="2F54BC7E" w14:textId="77777777" w:rsidR="00F76A63" w:rsidRDefault="00000000">
            <w:pPr>
              <w:snapToGrid w:val="0"/>
              <w:spacing w:line="500" w:lineRule="exact"/>
              <w:ind w:firstLineChars="200" w:firstLine="482"/>
              <w:jc w:val="center"/>
              <w:rPr>
                <w:b/>
                <w:sz w:val="24"/>
                <w:szCs w:val="22"/>
              </w:rPr>
            </w:pPr>
            <w:r>
              <w:rPr>
                <w:b/>
                <w:sz w:val="24"/>
                <w:szCs w:val="22"/>
              </w:rPr>
              <w:t>表</w:t>
            </w:r>
            <w:r>
              <w:rPr>
                <w:b/>
                <w:sz w:val="24"/>
                <w:szCs w:val="22"/>
              </w:rPr>
              <w:t xml:space="preserve">4-2  </w:t>
            </w:r>
            <w:r>
              <w:rPr>
                <w:b/>
                <w:sz w:val="24"/>
                <w:szCs w:val="22"/>
              </w:rPr>
              <w:t>建设项目土壤环境影响类型与影响途径表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638"/>
              <w:gridCol w:w="1638"/>
              <w:gridCol w:w="1639"/>
              <w:gridCol w:w="1639"/>
              <w:gridCol w:w="1639"/>
            </w:tblGrid>
            <w:tr w:rsidR="00F76A63" w14:paraId="1E77156C" w14:textId="77777777">
              <w:trPr>
                <w:trHeight w:val="340"/>
                <w:jc w:val="center"/>
              </w:trPr>
              <w:tc>
                <w:tcPr>
                  <w:tcW w:w="1000" w:type="pct"/>
                  <w:vMerge w:val="restart"/>
                  <w:tcBorders>
                    <w:top w:val="single" w:sz="12" w:space="0" w:color="auto"/>
                    <w:left w:val="nil"/>
                    <w:bottom w:val="single" w:sz="4" w:space="0" w:color="auto"/>
                    <w:right w:val="single" w:sz="4" w:space="0" w:color="auto"/>
                  </w:tcBorders>
                  <w:vAlign w:val="center"/>
                </w:tcPr>
                <w:p w14:paraId="60CFFBC6" w14:textId="77777777" w:rsidR="00F76A63" w:rsidRDefault="00000000">
                  <w:pPr>
                    <w:pStyle w:val="affff8"/>
                    <w:rPr>
                      <w:rFonts w:cs="Times New Roman"/>
                      <w:szCs w:val="21"/>
                    </w:rPr>
                  </w:pPr>
                  <w:r>
                    <w:rPr>
                      <w:rFonts w:cs="Times New Roman"/>
                    </w:rPr>
                    <w:t>时段</w:t>
                  </w:r>
                </w:p>
              </w:tc>
              <w:tc>
                <w:tcPr>
                  <w:tcW w:w="4000" w:type="pct"/>
                  <w:gridSpan w:val="4"/>
                  <w:tcBorders>
                    <w:top w:val="single" w:sz="12" w:space="0" w:color="auto"/>
                    <w:left w:val="single" w:sz="4" w:space="0" w:color="auto"/>
                    <w:bottom w:val="single" w:sz="4" w:space="0" w:color="auto"/>
                    <w:right w:val="nil"/>
                  </w:tcBorders>
                  <w:vAlign w:val="center"/>
                </w:tcPr>
                <w:p w14:paraId="25FAB824" w14:textId="77777777" w:rsidR="00F76A63" w:rsidRDefault="00000000">
                  <w:pPr>
                    <w:pStyle w:val="affff8"/>
                    <w:rPr>
                      <w:rFonts w:cs="Times New Roman"/>
                    </w:rPr>
                  </w:pPr>
                  <w:r>
                    <w:rPr>
                      <w:rFonts w:cs="Times New Roman"/>
                    </w:rPr>
                    <w:t>污染影响型</w:t>
                  </w:r>
                </w:p>
              </w:tc>
            </w:tr>
            <w:tr w:rsidR="00F76A63" w14:paraId="768B321A" w14:textId="77777777">
              <w:trPr>
                <w:trHeight w:val="340"/>
                <w:jc w:val="center"/>
              </w:trPr>
              <w:tc>
                <w:tcPr>
                  <w:tcW w:w="1677" w:type="dxa"/>
                  <w:vMerge/>
                  <w:tcBorders>
                    <w:top w:val="single" w:sz="12" w:space="0" w:color="auto"/>
                    <w:left w:val="nil"/>
                    <w:bottom w:val="single" w:sz="4" w:space="0" w:color="auto"/>
                    <w:right w:val="single" w:sz="4" w:space="0" w:color="auto"/>
                  </w:tcBorders>
                  <w:vAlign w:val="center"/>
                </w:tcPr>
                <w:p w14:paraId="597D89A1" w14:textId="77777777" w:rsidR="00F76A63" w:rsidRDefault="00F76A63">
                  <w:pPr>
                    <w:widowControl/>
                    <w:rPr>
                      <w:spacing w:val="4"/>
                      <w:kern w:val="0"/>
                      <w:szCs w:val="21"/>
                    </w:rPr>
                  </w:pPr>
                </w:p>
              </w:tc>
              <w:tc>
                <w:tcPr>
                  <w:tcW w:w="1000" w:type="pct"/>
                  <w:tcBorders>
                    <w:top w:val="single" w:sz="4" w:space="0" w:color="auto"/>
                    <w:left w:val="single" w:sz="4" w:space="0" w:color="auto"/>
                    <w:bottom w:val="single" w:sz="4" w:space="0" w:color="auto"/>
                    <w:right w:val="single" w:sz="4" w:space="0" w:color="auto"/>
                  </w:tcBorders>
                  <w:vAlign w:val="center"/>
                </w:tcPr>
                <w:p w14:paraId="4015C493" w14:textId="77777777" w:rsidR="00F76A63" w:rsidRDefault="00000000">
                  <w:pPr>
                    <w:pStyle w:val="affff8"/>
                    <w:rPr>
                      <w:rFonts w:cs="Times New Roman"/>
                      <w:b/>
                      <w:bCs/>
                    </w:rPr>
                  </w:pPr>
                  <w:r>
                    <w:rPr>
                      <w:rFonts w:cs="Times New Roman"/>
                      <w:b/>
                      <w:bCs/>
                    </w:rPr>
                    <w:t>大气沉降</w:t>
                  </w:r>
                </w:p>
              </w:tc>
              <w:tc>
                <w:tcPr>
                  <w:tcW w:w="1000" w:type="pct"/>
                  <w:tcBorders>
                    <w:top w:val="single" w:sz="4" w:space="0" w:color="auto"/>
                    <w:left w:val="single" w:sz="4" w:space="0" w:color="auto"/>
                    <w:bottom w:val="single" w:sz="4" w:space="0" w:color="auto"/>
                    <w:right w:val="single" w:sz="4" w:space="0" w:color="auto"/>
                  </w:tcBorders>
                  <w:vAlign w:val="center"/>
                </w:tcPr>
                <w:p w14:paraId="1E230223" w14:textId="77777777" w:rsidR="00F76A63" w:rsidRDefault="00000000">
                  <w:pPr>
                    <w:pStyle w:val="affff8"/>
                    <w:rPr>
                      <w:rFonts w:cs="Times New Roman"/>
                    </w:rPr>
                  </w:pPr>
                  <w:r>
                    <w:rPr>
                      <w:rFonts w:cs="Times New Roman"/>
                    </w:rPr>
                    <w:t>地面漫流</w:t>
                  </w:r>
                </w:p>
              </w:tc>
              <w:tc>
                <w:tcPr>
                  <w:tcW w:w="1000" w:type="pct"/>
                  <w:tcBorders>
                    <w:top w:val="single" w:sz="4" w:space="0" w:color="auto"/>
                    <w:left w:val="single" w:sz="4" w:space="0" w:color="auto"/>
                    <w:bottom w:val="single" w:sz="4" w:space="0" w:color="auto"/>
                    <w:right w:val="single" w:sz="4" w:space="0" w:color="auto"/>
                  </w:tcBorders>
                  <w:vAlign w:val="center"/>
                </w:tcPr>
                <w:p w14:paraId="4015BE2C" w14:textId="77777777" w:rsidR="00F76A63" w:rsidRDefault="00000000">
                  <w:pPr>
                    <w:pStyle w:val="affff8"/>
                    <w:rPr>
                      <w:rFonts w:cs="Times New Roman"/>
                    </w:rPr>
                  </w:pPr>
                  <w:r>
                    <w:rPr>
                      <w:rFonts w:cs="Times New Roman"/>
                    </w:rPr>
                    <w:t>垂直入渗</w:t>
                  </w:r>
                </w:p>
              </w:tc>
              <w:tc>
                <w:tcPr>
                  <w:tcW w:w="1000" w:type="pct"/>
                  <w:tcBorders>
                    <w:top w:val="single" w:sz="4" w:space="0" w:color="auto"/>
                    <w:left w:val="single" w:sz="4" w:space="0" w:color="auto"/>
                    <w:bottom w:val="single" w:sz="4" w:space="0" w:color="auto"/>
                    <w:right w:val="nil"/>
                  </w:tcBorders>
                  <w:vAlign w:val="center"/>
                </w:tcPr>
                <w:p w14:paraId="1D2D8670" w14:textId="77777777" w:rsidR="00F76A63" w:rsidRDefault="00000000">
                  <w:pPr>
                    <w:pStyle w:val="affff8"/>
                    <w:rPr>
                      <w:rFonts w:cs="Times New Roman"/>
                    </w:rPr>
                  </w:pPr>
                  <w:r>
                    <w:rPr>
                      <w:rFonts w:cs="Times New Roman"/>
                    </w:rPr>
                    <w:t>其他</w:t>
                  </w:r>
                </w:p>
              </w:tc>
            </w:tr>
            <w:tr w:rsidR="00F76A63" w14:paraId="2818B6AB" w14:textId="77777777">
              <w:trPr>
                <w:trHeight w:val="340"/>
                <w:jc w:val="center"/>
              </w:trPr>
              <w:tc>
                <w:tcPr>
                  <w:tcW w:w="1000" w:type="pct"/>
                  <w:tcBorders>
                    <w:top w:val="single" w:sz="4" w:space="0" w:color="auto"/>
                    <w:left w:val="nil"/>
                    <w:bottom w:val="single" w:sz="4" w:space="0" w:color="auto"/>
                    <w:right w:val="single" w:sz="4" w:space="0" w:color="auto"/>
                  </w:tcBorders>
                  <w:vAlign w:val="center"/>
                </w:tcPr>
                <w:p w14:paraId="550E1138" w14:textId="77777777" w:rsidR="00F76A63" w:rsidRDefault="00000000">
                  <w:pPr>
                    <w:pStyle w:val="affff8"/>
                    <w:rPr>
                      <w:rFonts w:cs="Times New Roman"/>
                    </w:rPr>
                  </w:pPr>
                  <w:r>
                    <w:rPr>
                      <w:rFonts w:cs="Times New Roman"/>
                    </w:rPr>
                    <w:t>运营期</w:t>
                  </w:r>
                </w:p>
              </w:tc>
              <w:tc>
                <w:tcPr>
                  <w:tcW w:w="1000" w:type="pct"/>
                  <w:tcBorders>
                    <w:top w:val="single" w:sz="4" w:space="0" w:color="auto"/>
                    <w:left w:val="single" w:sz="4" w:space="0" w:color="auto"/>
                    <w:bottom w:val="single" w:sz="4" w:space="0" w:color="auto"/>
                    <w:right w:val="single" w:sz="4" w:space="0" w:color="auto"/>
                  </w:tcBorders>
                  <w:vAlign w:val="center"/>
                </w:tcPr>
                <w:p w14:paraId="17B78243" w14:textId="77777777" w:rsidR="00F76A63" w:rsidRDefault="00000000">
                  <w:pPr>
                    <w:pStyle w:val="affff8"/>
                    <w:rPr>
                      <w:rFonts w:cs="Times New Roman"/>
                    </w:rPr>
                  </w:pPr>
                  <w:r>
                    <w:rPr>
                      <w:rFonts w:cs="Times New Roman"/>
                    </w:rPr>
                    <w:t></w:t>
                  </w:r>
                </w:p>
              </w:tc>
              <w:tc>
                <w:tcPr>
                  <w:tcW w:w="1000" w:type="pct"/>
                  <w:tcBorders>
                    <w:top w:val="single" w:sz="4" w:space="0" w:color="auto"/>
                    <w:left w:val="single" w:sz="4" w:space="0" w:color="auto"/>
                    <w:bottom w:val="single" w:sz="4" w:space="0" w:color="auto"/>
                    <w:right w:val="single" w:sz="4" w:space="0" w:color="auto"/>
                  </w:tcBorders>
                  <w:vAlign w:val="center"/>
                </w:tcPr>
                <w:p w14:paraId="760D13E9" w14:textId="77777777" w:rsidR="00F76A63" w:rsidRDefault="00F76A63">
                  <w:pPr>
                    <w:pStyle w:val="affff8"/>
                    <w:rPr>
                      <w:rFonts w:cs="Times New Roman"/>
                    </w:rPr>
                  </w:pPr>
                </w:p>
              </w:tc>
              <w:tc>
                <w:tcPr>
                  <w:tcW w:w="1000" w:type="pct"/>
                  <w:tcBorders>
                    <w:top w:val="single" w:sz="4" w:space="0" w:color="auto"/>
                    <w:left w:val="single" w:sz="4" w:space="0" w:color="auto"/>
                    <w:bottom w:val="single" w:sz="4" w:space="0" w:color="auto"/>
                    <w:right w:val="single" w:sz="4" w:space="0" w:color="auto"/>
                  </w:tcBorders>
                  <w:vAlign w:val="center"/>
                </w:tcPr>
                <w:p w14:paraId="6EC1CE19" w14:textId="77777777" w:rsidR="00F76A63" w:rsidRDefault="00F76A63">
                  <w:pPr>
                    <w:pStyle w:val="affff8"/>
                    <w:rPr>
                      <w:rFonts w:cs="Times New Roman"/>
                    </w:rPr>
                  </w:pPr>
                </w:p>
              </w:tc>
              <w:tc>
                <w:tcPr>
                  <w:tcW w:w="1000" w:type="pct"/>
                  <w:tcBorders>
                    <w:top w:val="single" w:sz="4" w:space="0" w:color="auto"/>
                    <w:left w:val="single" w:sz="4" w:space="0" w:color="auto"/>
                    <w:bottom w:val="single" w:sz="4" w:space="0" w:color="auto"/>
                    <w:right w:val="nil"/>
                  </w:tcBorders>
                  <w:vAlign w:val="center"/>
                </w:tcPr>
                <w:p w14:paraId="1C0C8A0C" w14:textId="77777777" w:rsidR="00F76A63" w:rsidRDefault="00F76A63">
                  <w:pPr>
                    <w:pStyle w:val="affff8"/>
                    <w:rPr>
                      <w:rFonts w:cs="Times New Roman"/>
                    </w:rPr>
                  </w:pPr>
                </w:p>
              </w:tc>
            </w:tr>
            <w:tr w:rsidR="00F76A63" w14:paraId="2DC79981" w14:textId="77777777">
              <w:trPr>
                <w:trHeight w:val="340"/>
                <w:jc w:val="center"/>
              </w:trPr>
              <w:tc>
                <w:tcPr>
                  <w:tcW w:w="5000" w:type="pct"/>
                  <w:gridSpan w:val="5"/>
                  <w:tcBorders>
                    <w:top w:val="single" w:sz="4" w:space="0" w:color="auto"/>
                    <w:left w:val="nil"/>
                    <w:bottom w:val="single" w:sz="12" w:space="0" w:color="auto"/>
                    <w:right w:val="nil"/>
                  </w:tcBorders>
                  <w:vAlign w:val="center"/>
                </w:tcPr>
                <w:p w14:paraId="57247C76" w14:textId="77777777" w:rsidR="00F76A63" w:rsidRDefault="00000000">
                  <w:pPr>
                    <w:pStyle w:val="affff8"/>
                    <w:rPr>
                      <w:rFonts w:cs="Times New Roman"/>
                    </w:rPr>
                  </w:pPr>
                  <w:r>
                    <w:rPr>
                      <w:rFonts w:cs="Times New Roman"/>
                    </w:rPr>
                    <w:t>注：在可能产生的土壤环境影响类型处打</w:t>
                  </w:r>
                  <w:r>
                    <w:rPr>
                      <w:rFonts w:cs="Times New Roman"/>
                    </w:rPr>
                    <w:t>“</w:t>
                  </w:r>
                  <w:r>
                    <w:rPr>
                      <w:rFonts w:cs="Times New Roman"/>
                    </w:rPr>
                    <w:t>”</w:t>
                  </w:r>
                </w:p>
              </w:tc>
            </w:tr>
          </w:tbl>
          <w:p w14:paraId="5D58AD26" w14:textId="77777777" w:rsidR="00F76A63" w:rsidRDefault="00000000">
            <w:pPr>
              <w:snapToGrid w:val="0"/>
              <w:spacing w:line="500" w:lineRule="exact"/>
              <w:ind w:firstLineChars="200" w:firstLine="482"/>
              <w:rPr>
                <w:b/>
                <w:sz w:val="24"/>
                <w:szCs w:val="22"/>
              </w:rPr>
            </w:pPr>
            <w:r>
              <w:rPr>
                <w:b/>
                <w:sz w:val="24"/>
                <w:szCs w:val="22"/>
              </w:rPr>
              <w:t>（</w:t>
            </w:r>
            <w:r>
              <w:rPr>
                <w:b/>
                <w:sz w:val="24"/>
                <w:szCs w:val="22"/>
              </w:rPr>
              <w:t>3</w:t>
            </w:r>
            <w:r>
              <w:rPr>
                <w:b/>
                <w:sz w:val="24"/>
                <w:szCs w:val="22"/>
              </w:rPr>
              <w:t>）土壤及地下水防治措施</w:t>
            </w:r>
          </w:p>
          <w:p w14:paraId="2DF768FE" w14:textId="77777777" w:rsidR="00F76A63" w:rsidRDefault="00000000">
            <w:pPr>
              <w:snapToGrid w:val="0"/>
              <w:spacing w:line="500" w:lineRule="exact"/>
              <w:ind w:firstLineChars="200" w:firstLine="480"/>
              <w:rPr>
                <w:sz w:val="24"/>
                <w:szCs w:val="22"/>
              </w:rPr>
            </w:pPr>
            <w:r>
              <w:rPr>
                <w:sz w:val="24"/>
                <w:szCs w:val="22"/>
              </w:rPr>
              <w:t>1</w:t>
            </w:r>
            <w:r>
              <w:rPr>
                <w:sz w:val="24"/>
                <w:szCs w:val="22"/>
              </w:rPr>
              <w:t>）源头控制：项目所有排水管道等必须采取防渗措施，杜绝各类废水下渗的通道。另外，应严格废水的管理，强调节约用水，防止污水</w:t>
            </w:r>
            <w:r>
              <w:rPr>
                <w:sz w:val="24"/>
                <w:szCs w:val="22"/>
              </w:rPr>
              <w:t>“</w:t>
            </w:r>
            <w:r>
              <w:rPr>
                <w:sz w:val="24"/>
                <w:szCs w:val="22"/>
              </w:rPr>
              <w:t>跑、冒、滴、漏</w:t>
            </w:r>
            <w:r>
              <w:rPr>
                <w:sz w:val="24"/>
                <w:szCs w:val="22"/>
              </w:rPr>
              <w:t>”</w:t>
            </w:r>
            <w:r>
              <w:rPr>
                <w:sz w:val="24"/>
                <w:szCs w:val="22"/>
              </w:rPr>
              <w:t>，确保污水处理系统的正常运行。污水的转移运输管线敷设尽量采用</w:t>
            </w:r>
            <w:r>
              <w:rPr>
                <w:sz w:val="24"/>
                <w:szCs w:val="22"/>
              </w:rPr>
              <w:t>“</w:t>
            </w:r>
            <w:r>
              <w:rPr>
                <w:sz w:val="24"/>
                <w:szCs w:val="22"/>
              </w:rPr>
              <w:t>可视化</w:t>
            </w:r>
            <w:r>
              <w:rPr>
                <w:sz w:val="24"/>
                <w:szCs w:val="22"/>
              </w:rPr>
              <w:t>”</w:t>
            </w:r>
            <w:r>
              <w:rPr>
                <w:sz w:val="24"/>
                <w:szCs w:val="22"/>
              </w:rPr>
              <w:t>原则，即管道尽可能地上敷设，做到污染物</w:t>
            </w:r>
            <w:r>
              <w:rPr>
                <w:sz w:val="24"/>
                <w:szCs w:val="22"/>
              </w:rPr>
              <w:t>“</w:t>
            </w:r>
            <w:r>
              <w:rPr>
                <w:sz w:val="24"/>
                <w:szCs w:val="22"/>
              </w:rPr>
              <w:t>早发现、早处理</w:t>
            </w:r>
            <w:r>
              <w:rPr>
                <w:sz w:val="24"/>
                <w:szCs w:val="22"/>
              </w:rPr>
              <w:t>”</w:t>
            </w:r>
            <w:r>
              <w:rPr>
                <w:sz w:val="24"/>
                <w:szCs w:val="22"/>
              </w:rPr>
              <w:t>，以减少由于埋地管道泄漏而可能造成土壤和地下水污染。并且接口处要定期检查以免漏水。</w:t>
            </w:r>
          </w:p>
          <w:p w14:paraId="0783981E" w14:textId="77777777" w:rsidR="00F76A63" w:rsidRDefault="00000000">
            <w:pPr>
              <w:snapToGrid w:val="0"/>
              <w:spacing w:line="500" w:lineRule="exact"/>
              <w:ind w:firstLineChars="200" w:firstLine="480"/>
              <w:rPr>
                <w:sz w:val="24"/>
                <w:szCs w:val="22"/>
              </w:rPr>
            </w:pPr>
            <w:r>
              <w:rPr>
                <w:sz w:val="24"/>
                <w:szCs w:val="22"/>
              </w:rPr>
              <w:t>2</w:t>
            </w:r>
            <w:r>
              <w:rPr>
                <w:sz w:val="24"/>
                <w:szCs w:val="22"/>
              </w:rPr>
              <w:t>）末端控制：分区防控。主要包括厂内污染区地面的防渗措施和泄漏、渗漏污染物收集措施，即在污染区地面进行防渗处理，防止洒落地面的污染物渗入地下，并把滞留在地面的污染物收集起来，集中处理，从而避免对土壤和地下水的污染。结合建设项目各生产设备、管廊或管线、贮存、运输装置等因素，根据可能进入土壤和地下水环境的各种有毒有害污染物的性质、产生量和排放量，将污染</w:t>
            </w:r>
            <w:r>
              <w:rPr>
                <w:rFonts w:hint="eastAsia"/>
                <w:sz w:val="24"/>
                <w:szCs w:val="22"/>
              </w:rPr>
              <w:t>防渗</w:t>
            </w:r>
            <w:r>
              <w:rPr>
                <w:sz w:val="24"/>
                <w:szCs w:val="22"/>
              </w:rPr>
              <w:t>区划分为重点防渗区、一般防渗区和简单防渗区。</w:t>
            </w:r>
          </w:p>
          <w:p w14:paraId="5E6F6115" w14:textId="77777777" w:rsidR="00F76A63" w:rsidRDefault="00000000">
            <w:pPr>
              <w:snapToGrid w:val="0"/>
              <w:spacing w:line="500" w:lineRule="exact"/>
              <w:ind w:firstLineChars="200" w:firstLine="480"/>
              <w:rPr>
                <w:sz w:val="24"/>
                <w:szCs w:val="22"/>
              </w:rPr>
            </w:pPr>
            <w:r>
              <w:rPr>
                <w:sz w:val="24"/>
                <w:szCs w:val="22"/>
              </w:rPr>
              <w:t>本项目采取分区防渗措施，避免污染物对土壤及地下水造成污染。本项目防渗分区见下表。</w:t>
            </w:r>
          </w:p>
          <w:p w14:paraId="71EC4695" w14:textId="77777777" w:rsidR="00F76A63" w:rsidRDefault="00000000">
            <w:pPr>
              <w:snapToGrid w:val="0"/>
              <w:spacing w:line="500" w:lineRule="exact"/>
              <w:ind w:firstLineChars="200" w:firstLine="482"/>
              <w:jc w:val="center"/>
              <w:rPr>
                <w:b/>
                <w:sz w:val="24"/>
                <w:szCs w:val="22"/>
              </w:rPr>
            </w:pPr>
            <w:r>
              <w:rPr>
                <w:b/>
                <w:sz w:val="24"/>
                <w:szCs w:val="22"/>
              </w:rPr>
              <w:t>表</w:t>
            </w:r>
            <w:r>
              <w:rPr>
                <w:b/>
                <w:sz w:val="24"/>
                <w:szCs w:val="22"/>
              </w:rPr>
              <w:t xml:space="preserve">4-3  </w:t>
            </w:r>
            <w:r>
              <w:rPr>
                <w:b/>
                <w:sz w:val="24"/>
                <w:szCs w:val="22"/>
              </w:rPr>
              <w:t>项目污染区划分及防渗等级一览表</w:t>
            </w:r>
          </w:p>
          <w:tbl>
            <w:tblPr>
              <w:tblW w:w="5000" w:type="pct"/>
              <w:jc w:val="center"/>
              <w:tblBorders>
                <w:top w:val="single" w:sz="12" w:space="0" w:color="000000"/>
                <w:bottom w:val="single" w:sz="12" w:space="0" w:color="000000"/>
                <w:insideH w:val="single" w:sz="4" w:space="0" w:color="auto"/>
                <w:insideV w:val="single" w:sz="4" w:space="0" w:color="auto"/>
              </w:tblBorders>
              <w:tblLook w:val="04A0" w:firstRow="1" w:lastRow="0" w:firstColumn="1" w:lastColumn="0" w:noHBand="0" w:noVBand="1"/>
            </w:tblPr>
            <w:tblGrid>
              <w:gridCol w:w="802"/>
              <w:gridCol w:w="1516"/>
              <w:gridCol w:w="2091"/>
              <w:gridCol w:w="1310"/>
              <w:gridCol w:w="2474"/>
            </w:tblGrid>
            <w:tr w:rsidR="00F76A63" w14:paraId="35F09C30" w14:textId="77777777">
              <w:trPr>
                <w:trHeight w:val="340"/>
                <w:jc w:val="center"/>
              </w:trPr>
              <w:tc>
                <w:tcPr>
                  <w:tcW w:w="781" w:type="dxa"/>
                  <w:tcBorders>
                    <w:top w:val="single" w:sz="12" w:space="0" w:color="000000"/>
                    <w:left w:val="nil"/>
                    <w:bottom w:val="single" w:sz="4" w:space="0" w:color="auto"/>
                    <w:right w:val="single" w:sz="4" w:space="0" w:color="auto"/>
                  </w:tcBorders>
                  <w:vAlign w:val="center"/>
                </w:tcPr>
                <w:p w14:paraId="105CA7CF" w14:textId="77777777" w:rsidR="00F76A63" w:rsidRDefault="00000000">
                  <w:pPr>
                    <w:pStyle w:val="affff8"/>
                    <w:rPr>
                      <w:rFonts w:cs="Times New Roman"/>
                      <w:b/>
                      <w:bCs/>
                      <w:szCs w:val="21"/>
                    </w:rPr>
                  </w:pPr>
                  <w:r>
                    <w:rPr>
                      <w:rFonts w:cs="Times New Roman"/>
                      <w:b/>
                      <w:bCs/>
                    </w:rPr>
                    <w:t>序号</w:t>
                  </w:r>
                </w:p>
              </w:tc>
              <w:tc>
                <w:tcPr>
                  <w:tcW w:w="1476" w:type="dxa"/>
                  <w:tcBorders>
                    <w:top w:val="single" w:sz="12" w:space="0" w:color="000000"/>
                    <w:left w:val="single" w:sz="4" w:space="0" w:color="auto"/>
                    <w:bottom w:val="single" w:sz="4" w:space="0" w:color="auto"/>
                    <w:right w:val="single" w:sz="4" w:space="0" w:color="auto"/>
                  </w:tcBorders>
                  <w:vAlign w:val="center"/>
                </w:tcPr>
                <w:p w14:paraId="4D9E7668" w14:textId="77777777" w:rsidR="00F76A63" w:rsidRDefault="00000000">
                  <w:pPr>
                    <w:pStyle w:val="affff8"/>
                    <w:rPr>
                      <w:rFonts w:cs="Times New Roman"/>
                      <w:b/>
                      <w:bCs/>
                    </w:rPr>
                  </w:pPr>
                  <w:r>
                    <w:rPr>
                      <w:rFonts w:cs="Times New Roman"/>
                      <w:b/>
                      <w:bCs/>
                    </w:rPr>
                    <w:t>名称</w:t>
                  </w:r>
                </w:p>
              </w:tc>
              <w:tc>
                <w:tcPr>
                  <w:tcW w:w="2036" w:type="dxa"/>
                  <w:tcBorders>
                    <w:top w:val="single" w:sz="12" w:space="0" w:color="000000"/>
                    <w:left w:val="single" w:sz="4" w:space="0" w:color="auto"/>
                    <w:bottom w:val="single" w:sz="4" w:space="0" w:color="auto"/>
                    <w:right w:val="single" w:sz="4" w:space="0" w:color="auto"/>
                  </w:tcBorders>
                  <w:vAlign w:val="center"/>
                </w:tcPr>
                <w:p w14:paraId="53315530" w14:textId="77777777" w:rsidR="00F76A63" w:rsidRDefault="00000000">
                  <w:pPr>
                    <w:pStyle w:val="affff8"/>
                    <w:rPr>
                      <w:rFonts w:cs="Times New Roman"/>
                      <w:b/>
                      <w:bCs/>
                    </w:rPr>
                  </w:pPr>
                  <w:r>
                    <w:rPr>
                      <w:rFonts w:cs="Times New Roman"/>
                      <w:b/>
                      <w:bCs/>
                    </w:rPr>
                    <w:t>污染控制难易程度</w:t>
                  </w:r>
                </w:p>
              </w:tc>
              <w:tc>
                <w:tcPr>
                  <w:tcW w:w="1276" w:type="dxa"/>
                  <w:tcBorders>
                    <w:top w:val="single" w:sz="12" w:space="0" w:color="000000"/>
                    <w:left w:val="single" w:sz="4" w:space="0" w:color="auto"/>
                    <w:bottom w:val="single" w:sz="4" w:space="0" w:color="auto"/>
                    <w:right w:val="single" w:sz="4" w:space="0" w:color="auto"/>
                  </w:tcBorders>
                  <w:vAlign w:val="center"/>
                </w:tcPr>
                <w:p w14:paraId="269DF160" w14:textId="77777777" w:rsidR="00F76A63" w:rsidRDefault="00000000">
                  <w:pPr>
                    <w:pStyle w:val="affff8"/>
                    <w:rPr>
                      <w:rFonts w:cs="Times New Roman"/>
                      <w:b/>
                      <w:bCs/>
                    </w:rPr>
                  </w:pPr>
                  <w:r>
                    <w:rPr>
                      <w:rFonts w:cs="Times New Roman"/>
                      <w:b/>
                      <w:bCs/>
                    </w:rPr>
                    <w:t>防渗分区</w:t>
                  </w:r>
                </w:p>
              </w:tc>
              <w:tc>
                <w:tcPr>
                  <w:tcW w:w="2409" w:type="dxa"/>
                  <w:tcBorders>
                    <w:top w:val="single" w:sz="12" w:space="0" w:color="000000"/>
                    <w:left w:val="single" w:sz="4" w:space="0" w:color="auto"/>
                    <w:bottom w:val="single" w:sz="4" w:space="0" w:color="auto"/>
                    <w:right w:val="nil"/>
                  </w:tcBorders>
                  <w:vAlign w:val="center"/>
                </w:tcPr>
                <w:p w14:paraId="1441A8AC" w14:textId="77777777" w:rsidR="00F76A63" w:rsidRDefault="00000000">
                  <w:pPr>
                    <w:pStyle w:val="affff8"/>
                    <w:rPr>
                      <w:rFonts w:cs="Times New Roman"/>
                      <w:b/>
                      <w:bCs/>
                    </w:rPr>
                  </w:pPr>
                  <w:r>
                    <w:rPr>
                      <w:rFonts w:cs="Times New Roman"/>
                      <w:b/>
                      <w:bCs/>
                    </w:rPr>
                    <w:t>防渗技术要求</w:t>
                  </w:r>
                </w:p>
              </w:tc>
            </w:tr>
            <w:tr w:rsidR="00F76A63" w14:paraId="2D172F33" w14:textId="77777777">
              <w:trPr>
                <w:trHeight w:val="340"/>
                <w:jc w:val="center"/>
              </w:trPr>
              <w:tc>
                <w:tcPr>
                  <w:tcW w:w="781" w:type="dxa"/>
                  <w:tcBorders>
                    <w:top w:val="single" w:sz="4" w:space="0" w:color="auto"/>
                    <w:left w:val="nil"/>
                    <w:bottom w:val="single" w:sz="4" w:space="0" w:color="auto"/>
                    <w:right w:val="single" w:sz="4" w:space="0" w:color="auto"/>
                  </w:tcBorders>
                  <w:vAlign w:val="center"/>
                </w:tcPr>
                <w:p w14:paraId="6AA49EC6" w14:textId="77777777" w:rsidR="00F76A63" w:rsidRDefault="00000000">
                  <w:pPr>
                    <w:pStyle w:val="affff8"/>
                    <w:rPr>
                      <w:rFonts w:cs="Times New Roman"/>
                    </w:rPr>
                  </w:pPr>
                  <w:r>
                    <w:rPr>
                      <w:rFonts w:cs="Times New Roman"/>
                    </w:rPr>
                    <w:t>1</w:t>
                  </w:r>
                </w:p>
              </w:tc>
              <w:tc>
                <w:tcPr>
                  <w:tcW w:w="1476" w:type="dxa"/>
                  <w:tcBorders>
                    <w:top w:val="single" w:sz="4" w:space="0" w:color="auto"/>
                    <w:left w:val="single" w:sz="4" w:space="0" w:color="auto"/>
                    <w:bottom w:val="single" w:sz="4" w:space="0" w:color="auto"/>
                    <w:right w:val="single" w:sz="4" w:space="0" w:color="auto"/>
                  </w:tcBorders>
                  <w:vAlign w:val="center"/>
                </w:tcPr>
                <w:p w14:paraId="486BFAC1" w14:textId="77777777" w:rsidR="00F76A63" w:rsidRDefault="00000000">
                  <w:pPr>
                    <w:pStyle w:val="affff8"/>
                    <w:rPr>
                      <w:rFonts w:cs="Times New Roman"/>
                    </w:rPr>
                  </w:pPr>
                  <w:r>
                    <w:rPr>
                      <w:rFonts w:cs="Times New Roman"/>
                    </w:rPr>
                    <w:t>办公区域</w:t>
                  </w:r>
                </w:p>
              </w:tc>
              <w:tc>
                <w:tcPr>
                  <w:tcW w:w="2036" w:type="dxa"/>
                  <w:tcBorders>
                    <w:top w:val="single" w:sz="4" w:space="0" w:color="auto"/>
                    <w:left w:val="single" w:sz="4" w:space="0" w:color="auto"/>
                    <w:bottom w:val="single" w:sz="4" w:space="0" w:color="auto"/>
                    <w:right w:val="single" w:sz="4" w:space="0" w:color="auto"/>
                  </w:tcBorders>
                  <w:vAlign w:val="center"/>
                </w:tcPr>
                <w:p w14:paraId="717F9C5F" w14:textId="77777777" w:rsidR="00F76A63" w:rsidRDefault="00000000">
                  <w:pPr>
                    <w:pStyle w:val="affff8"/>
                    <w:rPr>
                      <w:rFonts w:cs="Times New Roman"/>
                    </w:rPr>
                  </w:pPr>
                  <w:r>
                    <w:rPr>
                      <w:rFonts w:cs="Times New Roman"/>
                    </w:rPr>
                    <w:t>易</w:t>
                  </w:r>
                </w:p>
              </w:tc>
              <w:tc>
                <w:tcPr>
                  <w:tcW w:w="1276" w:type="dxa"/>
                  <w:tcBorders>
                    <w:top w:val="single" w:sz="4" w:space="0" w:color="auto"/>
                    <w:left w:val="single" w:sz="4" w:space="0" w:color="auto"/>
                    <w:bottom w:val="single" w:sz="4" w:space="0" w:color="auto"/>
                    <w:right w:val="single" w:sz="4" w:space="0" w:color="auto"/>
                  </w:tcBorders>
                  <w:vAlign w:val="center"/>
                </w:tcPr>
                <w:p w14:paraId="479ED5AF" w14:textId="77777777" w:rsidR="00F76A63" w:rsidRDefault="00000000">
                  <w:pPr>
                    <w:pStyle w:val="affff8"/>
                    <w:rPr>
                      <w:rFonts w:cs="Times New Roman"/>
                    </w:rPr>
                  </w:pPr>
                  <w:r>
                    <w:rPr>
                      <w:rFonts w:cs="Times New Roman"/>
                    </w:rPr>
                    <w:t>简单防渗区</w:t>
                  </w:r>
                </w:p>
              </w:tc>
              <w:tc>
                <w:tcPr>
                  <w:tcW w:w="2409" w:type="dxa"/>
                  <w:tcBorders>
                    <w:top w:val="single" w:sz="4" w:space="0" w:color="auto"/>
                    <w:left w:val="single" w:sz="4" w:space="0" w:color="auto"/>
                    <w:bottom w:val="single" w:sz="4" w:space="0" w:color="auto"/>
                    <w:right w:val="nil"/>
                  </w:tcBorders>
                  <w:vAlign w:val="center"/>
                </w:tcPr>
                <w:p w14:paraId="33786714" w14:textId="77777777" w:rsidR="00F76A63" w:rsidRDefault="00000000">
                  <w:pPr>
                    <w:pStyle w:val="affff8"/>
                    <w:rPr>
                      <w:rFonts w:cs="Times New Roman"/>
                    </w:rPr>
                  </w:pPr>
                  <w:r>
                    <w:rPr>
                      <w:rFonts w:cs="Times New Roman"/>
                    </w:rPr>
                    <w:t>一般地面硬化</w:t>
                  </w:r>
                </w:p>
              </w:tc>
            </w:tr>
            <w:tr w:rsidR="00F76A63" w14:paraId="4370D432" w14:textId="77777777">
              <w:trPr>
                <w:trHeight w:val="340"/>
                <w:jc w:val="center"/>
              </w:trPr>
              <w:tc>
                <w:tcPr>
                  <w:tcW w:w="781" w:type="dxa"/>
                  <w:tcBorders>
                    <w:top w:val="single" w:sz="4" w:space="0" w:color="auto"/>
                    <w:left w:val="nil"/>
                    <w:bottom w:val="single" w:sz="4" w:space="0" w:color="auto"/>
                    <w:right w:val="single" w:sz="4" w:space="0" w:color="auto"/>
                  </w:tcBorders>
                  <w:vAlign w:val="center"/>
                </w:tcPr>
                <w:p w14:paraId="6D7A958F" w14:textId="77777777" w:rsidR="00F76A63" w:rsidRDefault="00000000">
                  <w:pPr>
                    <w:pStyle w:val="affff8"/>
                    <w:rPr>
                      <w:rFonts w:cs="Times New Roman"/>
                    </w:rPr>
                  </w:pPr>
                  <w:r>
                    <w:rPr>
                      <w:rFonts w:cs="Times New Roman"/>
                    </w:rPr>
                    <w:t>2</w:t>
                  </w:r>
                </w:p>
              </w:tc>
              <w:tc>
                <w:tcPr>
                  <w:tcW w:w="1476" w:type="dxa"/>
                  <w:tcBorders>
                    <w:top w:val="single" w:sz="4" w:space="0" w:color="auto"/>
                    <w:left w:val="single" w:sz="4" w:space="0" w:color="auto"/>
                    <w:bottom w:val="single" w:sz="4" w:space="0" w:color="auto"/>
                    <w:right w:val="single" w:sz="4" w:space="0" w:color="auto"/>
                  </w:tcBorders>
                  <w:vAlign w:val="center"/>
                </w:tcPr>
                <w:p w14:paraId="12C88D95" w14:textId="77777777" w:rsidR="00F76A63" w:rsidRDefault="00000000">
                  <w:pPr>
                    <w:pStyle w:val="affff8"/>
                    <w:rPr>
                      <w:rFonts w:cs="Times New Roman"/>
                    </w:rPr>
                  </w:pPr>
                  <w:r>
                    <w:rPr>
                      <w:rFonts w:cs="Times New Roman"/>
                    </w:rPr>
                    <w:t>一般固废仓库</w:t>
                  </w:r>
                </w:p>
              </w:tc>
              <w:tc>
                <w:tcPr>
                  <w:tcW w:w="2036" w:type="dxa"/>
                  <w:tcBorders>
                    <w:top w:val="single" w:sz="4" w:space="0" w:color="auto"/>
                    <w:left w:val="single" w:sz="4" w:space="0" w:color="auto"/>
                    <w:bottom w:val="single" w:sz="4" w:space="0" w:color="auto"/>
                    <w:right w:val="single" w:sz="4" w:space="0" w:color="auto"/>
                  </w:tcBorders>
                  <w:vAlign w:val="center"/>
                </w:tcPr>
                <w:p w14:paraId="32EC3FB5" w14:textId="77777777" w:rsidR="00F76A63" w:rsidRDefault="00000000">
                  <w:pPr>
                    <w:pStyle w:val="affff8"/>
                    <w:rPr>
                      <w:rFonts w:cs="Times New Roman"/>
                    </w:rPr>
                  </w:pPr>
                  <w:r>
                    <w:rPr>
                      <w:rFonts w:cs="Times New Roman"/>
                    </w:rPr>
                    <w:t>易</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C54CD89" w14:textId="77777777" w:rsidR="00F76A63" w:rsidRDefault="00000000">
                  <w:pPr>
                    <w:pStyle w:val="affff8"/>
                    <w:rPr>
                      <w:rFonts w:cs="Times New Roman"/>
                    </w:rPr>
                  </w:pPr>
                  <w:r>
                    <w:rPr>
                      <w:rFonts w:cs="Times New Roman"/>
                    </w:rPr>
                    <w:t>一般防渗区</w:t>
                  </w:r>
                </w:p>
              </w:tc>
              <w:tc>
                <w:tcPr>
                  <w:tcW w:w="2409" w:type="dxa"/>
                  <w:vMerge w:val="restart"/>
                  <w:tcBorders>
                    <w:top w:val="single" w:sz="4" w:space="0" w:color="auto"/>
                    <w:left w:val="single" w:sz="4" w:space="0" w:color="auto"/>
                    <w:bottom w:val="single" w:sz="4" w:space="0" w:color="auto"/>
                    <w:right w:val="nil"/>
                  </w:tcBorders>
                  <w:vAlign w:val="center"/>
                </w:tcPr>
                <w:p w14:paraId="4C5DBEE2" w14:textId="77777777" w:rsidR="00F76A63" w:rsidRDefault="00000000">
                  <w:pPr>
                    <w:pStyle w:val="affff8"/>
                    <w:rPr>
                      <w:rFonts w:cs="Times New Roman"/>
                    </w:rPr>
                  </w:pPr>
                  <w:r>
                    <w:rPr>
                      <w:rFonts w:cs="Times New Roman"/>
                    </w:rPr>
                    <w:t>等效粘土防渗层</w:t>
                  </w:r>
                  <w:r>
                    <w:rPr>
                      <w:rFonts w:cs="Times New Roman"/>
                    </w:rPr>
                    <w:t>Mb≥1.5m</w:t>
                  </w:r>
                  <w:r>
                    <w:rPr>
                      <w:rFonts w:cs="Times New Roman"/>
                    </w:rPr>
                    <w:t>，</w:t>
                  </w:r>
                  <w:r>
                    <w:rPr>
                      <w:rFonts w:cs="Times New Roman"/>
                    </w:rPr>
                    <w:t>K≤10</w:t>
                  </w:r>
                  <w:r>
                    <w:rPr>
                      <w:rFonts w:cs="Times New Roman"/>
                      <w:vertAlign w:val="superscript"/>
                    </w:rPr>
                    <w:t>-7</w:t>
                  </w:r>
                  <w:r>
                    <w:rPr>
                      <w:rFonts w:cs="Times New Roman"/>
                    </w:rPr>
                    <w:t>cm/s</w:t>
                  </w:r>
                </w:p>
              </w:tc>
            </w:tr>
            <w:tr w:rsidR="00F76A63" w14:paraId="617152A7" w14:textId="77777777">
              <w:trPr>
                <w:trHeight w:val="563"/>
                <w:jc w:val="center"/>
              </w:trPr>
              <w:tc>
                <w:tcPr>
                  <w:tcW w:w="781" w:type="dxa"/>
                  <w:tcBorders>
                    <w:top w:val="single" w:sz="4" w:space="0" w:color="auto"/>
                    <w:left w:val="nil"/>
                    <w:bottom w:val="single" w:sz="4" w:space="0" w:color="auto"/>
                    <w:right w:val="single" w:sz="4" w:space="0" w:color="auto"/>
                  </w:tcBorders>
                  <w:vAlign w:val="center"/>
                </w:tcPr>
                <w:p w14:paraId="5A8951D0" w14:textId="77777777" w:rsidR="00F76A63" w:rsidRDefault="00000000">
                  <w:pPr>
                    <w:pStyle w:val="affff8"/>
                    <w:rPr>
                      <w:rFonts w:cs="Times New Roman"/>
                    </w:rPr>
                  </w:pPr>
                  <w:r>
                    <w:rPr>
                      <w:rFonts w:cs="Times New Roman"/>
                    </w:rPr>
                    <w:t>3</w:t>
                  </w:r>
                </w:p>
              </w:tc>
              <w:tc>
                <w:tcPr>
                  <w:tcW w:w="1476" w:type="dxa"/>
                  <w:tcBorders>
                    <w:top w:val="single" w:sz="4" w:space="0" w:color="auto"/>
                    <w:left w:val="single" w:sz="4" w:space="0" w:color="auto"/>
                    <w:bottom w:val="single" w:sz="4" w:space="0" w:color="auto"/>
                    <w:right w:val="single" w:sz="4" w:space="0" w:color="auto"/>
                  </w:tcBorders>
                  <w:vAlign w:val="center"/>
                </w:tcPr>
                <w:p w14:paraId="6114759F" w14:textId="77777777" w:rsidR="00F76A63" w:rsidRDefault="00000000">
                  <w:pPr>
                    <w:pStyle w:val="affff8"/>
                    <w:rPr>
                      <w:rFonts w:cs="Times New Roman"/>
                    </w:rPr>
                  </w:pPr>
                  <w:r>
                    <w:rPr>
                      <w:rFonts w:cs="Times New Roman"/>
                    </w:rPr>
                    <w:t>生产车间</w:t>
                  </w:r>
                </w:p>
              </w:tc>
              <w:tc>
                <w:tcPr>
                  <w:tcW w:w="2036" w:type="dxa"/>
                  <w:tcBorders>
                    <w:top w:val="single" w:sz="4" w:space="0" w:color="auto"/>
                    <w:left w:val="single" w:sz="4" w:space="0" w:color="auto"/>
                    <w:bottom w:val="single" w:sz="4" w:space="0" w:color="auto"/>
                    <w:right w:val="single" w:sz="4" w:space="0" w:color="auto"/>
                  </w:tcBorders>
                  <w:vAlign w:val="center"/>
                </w:tcPr>
                <w:p w14:paraId="68F14587" w14:textId="77777777" w:rsidR="00F76A63" w:rsidRDefault="00000000">
                  <w:pPr>
                    <w:pStyle w:val="affff8"/>
                    <w:rPr>
                      <w:rFonts w:cs="Times New Roman"/>
                    </w:rPr>
                  </w:pPr>
                  <w:r>
                    <w:rPr>
                      <w:rFonts w:cs="Times New Roman"/>
                    </w:rPr>
                    <w:t>易</w:t>
                  </w:r>
                </w:p>
              </w:tc>
              <w:tc>
                <w:tcPr>
                  <w:tcW w:w="1341" w:type="dxa"/>
                  <w:vMerge/>
                  <w:tcBorders>
                    <w:top w:val="single" w:sz="4" w:space="0" w:color="auto"/>
                    <w:left w:val="single" w:sz="4" w:space="0" w:color="auto"/>
                    <w:bottom w:val="single" w:sz="4" w:space="0" w:color="auto"/>
                    <w:right w:val="single" w:sz="4" w:space="0" w:color="auto"/>
                  </w:tcBorders>
                  <w:vAlign w:val="center"/>
                </w:tcPr>
                <w:p w14:paraId="0B05340C" w14:textId="77777777" w:rsidR="00F76A63" w:rsidRDefault="00F76A63">
                  <w:pPr>
                    <w:widowControl/>
                    <w:rPr>
                      <w:spacing w:val="4"/>
                      <w:kern w:val="0"/>
                      <w:szCs w:val="21"/>
                    </w:rPr>
                  </w:pPr>
                </w:p>
              </w:tc>
              <w:tc>
                <w:tcPr>
                  <w:tcW w:w="2532" w:type="dxa"/>
                  <w:vMerge/>
                  <w:tcBorders>
                    <w:top w:val="single" w:sz="4" w:space="0" w:color="auto"/>
                    <w:left w:val="single" w:sz="4" w:space="0" w:color="auto"/>
                    <w:bottom w:val="single" w:sz="4" w:space="0" w:color="auto"/>
                    <w:right w:val="nil"/>
                  </w:tcBorders>
                  <w:vAlign w:val="center"/>
                </w:tcPr>
                <w:p w14:paraId="61AA6854" w14:textId="77777777" w:rsidR="00F76A63" w:rsidRDefault="00F76A63">
                  <w:pPr>
                    <w:widowControl/>
                    <w:rPr>
                      <w:spacing w:val="4"/>
                      <w:kern w:val="0"/>
                      <w:szCs w:val="21"/>
                    </w:rPr>
                  </w:pPr>
                </w:p>
              </w:tc>
            </w:tr>
            <w:tr w:rsidR="00F76A63" w14:paraId="28AF391C" w14:textId="77777777">
              <w:trPr>
                <w:trHeight w:val="340"/>
                <w:jc w:val="center"/>
              </w:trPr>
              <w:tc>
                <w:tcPr>
                  <w:tcW w:w="781" w:type="dxa"/>
                  <w:tcBorders>
                    <w:top w:val="single" w:sz="4" w:space="0" w:color="auto"/>
                    <w:left w:val="nil"/>
                    <w:bottom w:val="single" w:sz="4" w:space="0" w:color="auto"/>
                    <w:right w:val="single" w:sz="4" w:space="0" w:color="auto"/>
                  </w:tcBorders>
                  <w:vAlign w:val="center"/>
                </w:tcPr>
                <w:p w14:paraId="537CBF56" w14:textId="77777777" w:rsidR="00F76A63" w:rsidRDefault="00000000">
                  <w:pPr>
                    <w:pStyle w:val="affff8"/>
                    <w:rPr>
                      <w:rFonts w:cs="Times New Roman"/>
                    </w:rPr>
                  </w:pPr>
                  <w:r>
                    <w:rPr>
                      <w:rFonts w:cs="Times New Roman"/>
                    </w:rPr>
                    <w:lastRenderedPageBreak/>
                    <w:t>4</w:t>
                  </w:r>
                </w:p>
              </w:tc>
              <w:tc>
                <w:tcPr>
                  <w:tcW w:w="1476" w:type="dxa"/>
                  <w:tcBorders>
                    <w:top w:val="single" w:sz="4" w:space="0" w:color="auto"/>
                    <w:left w:val="single" w:sz="4" w:space="0" w:color="auto"/>
                    <w:bottom w:val="single" w:sz="4" w:space="0" w:color="auto"/>
                    <w:right w:val="single" w:sz="4" w:space="0" w:color="auto"/>
                  </w:tcBorders>
                  <w:vAlign w:val="center"/>
                </w:tcPr>
                <w:p w14:paraId="73C52AF1" w14:textId="77777777" w:rsidR="00F76A63" w:rsidRDefault="00000000">
                  <w:pPr>
                    <w:pStyle w:val="affff8"/>
                    <w:rPr>
                      <w:rFonts w:cs="Times New Roman"/>
                    </w:rPr>
                  </w:pPr>
                  <w:r>
                    <w:rPr>
                      <w:rFonts w:cs="Times New Roman"/>
                    </w:rPr>
                    <w:t>危废仓库</w:t>
                  </w:r>
                </w:p>
              </w:tc>
              <w:tc>
                <w:tcPr>
                  <w:tcW w:w="2036" w:type="dxa"/>
                  <w:vMerge w:val="restart"/>
                  <w:tcBorders>
                    <w:top w:val="single" w:sz="4" w:space="0" w:color="auto"/>
                    <w:left w:val="single" w:sz="4" w:space="0" w:color="auto"/>
                    <w:bottom w:val="single" w:sz="12" w:space="0" w:color="auto"/>
                    <w:right w:val="single" w:sz="4" w:space="0" w:color="auto"/>
                  </w:tcBorders>
                  <w:vAlign w:val="center"/>
                </w:tcPr>
                <w:p w14:paraId="6E0D648C" w14:textId="77777777" w:rsidR="00F76A63" w:rsidRDefault="00000000">
                  <w:pPr>
                    <w:pStyle w:val="affff8"/>
                    <w:rPr>
                      <w:rFonts w:cs="Times New Roman"/>
                      <w:b/>
                      <w:bCs/>
                    </w:rPr>
                  </w:pPr>
                  <w:r>
                    <w:rPr>
                      <w:rFonts w:cs="Times New Roman"/>
                      <w:b/>
                      <w:bCs/>
                    </w:rPr>
                    <w:t>难</w:t>
                  </w:r>
                </w:p>
              </w:tc>
              <w:tc>
                <w:tcPr>
                  <w:tcW w:w="1276" w:type="dxa"/>
                  <w:vMerge w:val="restart"/>
                  <w:tcBorders>
                    <w:top w:val="single" w:sz="4" w:space="0" w:color="auto"/>
                    <w:left w:val="single" w:sz="4" w:space="0" w:color="auto"/>
                    <w:bottom w:val="single" w:sz="12" w:space="0" w:color="auto"/>
                    <w:right w:val="single" w:sz="4" w:space="0" w:color="auto"/>
                  </w:tcBorders>
                  <w:vAlign w:val="center"/>
                </w:tcPr>
                <w:p w14:paraId="12D73896" w14:textId="77777777" w:rsidR="00F76A63" w:rsidRDefault="00000000">
                  <w:pPr>
                    <w:pStyle w:val="affff8"/>
                    <w:rPr>
                      <w:rFonts w:cs="Times New Roman"/>
                    </w:rPr>
                  </w:pPr>
                  <w:r>
                    <w:rPr>
                      <w:rFonts w:cs="Times New Roman"/>
                    </w:rPr>
                    <w:t>重点防渗区</w:t>
                  </w:r>
                </w:p>
              </w:tc>
              <w:tc>
                <w:tcPr>
                  <w:tcW w:w="2409" w:type="dxa"/>
                  <w:vMerge w:val="restart"/>
                  <w:tcBorders>
                    <w:top w:val="single" w:sz="4" w:space="0" w:color="auto"/>
                    <w:left w:val="single" w:sz="4" w:space="0" w:color="auto"/>
                    <w:bottom w:val="single" w:sz="12" w:space="0" w:color="auto"/>
                    <w:right w:val="nil"/>
                  </w:tcBorders>
                  <w:vAlign w:val="center"/>
                </w:tcPr>
                <w:p w14:paraId="65A2915B" w14:textId="77777777" w:rsidR="00F76A63" w:rsidRDefault="00000000">
                  <w:pPr>
                    <w:pStyle w:val="affff8"/>
                    <w:rPr>
                      <w:rFonts w:cs="Times New Roman"/>
                    </w:rPr>
                  </w:pPr>
                  <w:r>
                    <w:rPr>
                      <w:rFonts w:cs="Times New Roman"/>
                    </w:rPr>
                    <w:t>等效粘土防渗层</w:t>
                  </w:r>
                  <w:r>
                    <w:rPr>
                      <w:rFonts w:cs="Times New Roman"/>
                    </w:rPr>
                    <w:t>Mb≥6.0m</w:t>
                  </w:r>
                  <w:r>
                    <w:rPr>
                      <w:rFonts w:cs="Times New Roman"/>
                    </w:rPr>
                    <w:t>，</w:t>
                  </w:r>
                  <w:r>
                    <w:rPr>
                      <w:rFonts w:cs="Times New Roman"/>
                    </w:rPr>
                    <w:t>K≤10</w:t>
                  </w:r>
                  <w:r>
                    <w:rPr>
                      <w:rFonts w:cs="Times New Roman"/>
                      <w:vertAlign w:val="superscript"/>
                    </w:rPr>
                    <w:t>-7</w:t>
                  </w:r>
                  <w:r>
                    <w:rPr>
                      <w:rFonts w:cs="Times New Roman"/>
                    </w:rPr>
                    <w:t>cm/s</w:t>
                  </w:r>
                </w:p>
              </w:tc>
            </w:tr>
            <w:tr w:rsidR="00F76A63" w14:paraId="1CEB5F10" w14:textId="77777777">
              <w:trPr>
                <w:trHeight w:val="340"/>
                <w:jc w:val="center"/>
              </w:trPr>
              <w:tc>
                <w:tcPr>
                  <w:tcW w:w="781" w:type="dxa"/>
                  <w:tcBorders>
                    <w:top w:val="single" w:sz="4" w:space="0" w:color="auto"/>
                    <w:left w:val="nil"/>
                    <w:bottom w:val="single" w:sz="12" w:space="0" w:color="000000"/>
                    <w:right w:val="single" w:sz="4" w:space="0" w:color="auto"/>
                  </w:tcBorders>
                  <w:vAlign w:val="center"/>
                </w:tcPr>
                <w:p w14:paraId="652EB3F9" w14:textId="77777777" w:rsidR="00F76A63" w:rsidRDefault="00000000">
                  <w:pPr>
                    <w:pStyle w:val="affff8"/>
                    <w:rPr>
                      <w:rFonts w:cs="Times New Roman"/>
                    </w:rPr>
                  </w:pPr>
                  <w:r>
                    <w:rPr>
                      <w:rFonts w:cs="Times New Roman"/>
                    </w:rPr>
                    <w:t>5</w:t>
                  </w:r>
                </w:p>
              </w:tc>
              <w:tc>
                <w:tcPr>
                  <w:tcW w:w="1476" w:type="dxa"/>
                  <w:tcBorders>
                    <w:top w:val="single" w:sz="4" w:space="0" w:color="auto"/>
                    <w:left w:val="single" w:sz="4" w:space="0" w:color="auto"/>
                    <w:bottom w:val="single" w:sz="12" w:space="0" w:color="000000"/>
                    <w:right w:val="single" w:sz="4" w:space="0" w:color="auto"/>
                  </w:tcBorders>
                  <w:vAlign w:val="center"/>
                </w:tcPr>
                <w:p w14:paraId="4BBB3844" w14:textId="77777777" w:rsidR="00F76A63" w:rsidRDefault="00000000">
                  <w:pPr>
                    <w:pStyle w:val="affff8"/>
                    <w:rPr>
                      <w:rFonts w:cs="Times New Roman"/>
                    </w:rPr>
                  </w:pPr>
                  <w:r>
                    <w:rPr>
                      <w:rFonts w:cs="Times New Roman"/>
                    </w:rPr>
                    <w:t>污水输送、收集管道、水池</w:t>
                  </w:r>
                </w:p>
              </w:tc>
              <w:tc>
                <w:tcPr>
                  <w:tcW w:w="2140" w:type="dxa"/>
                  <w:vMerge/>
                  <w:tcBorders>
                    <w:top w:val="single" w:sz="4" w:space="0" w:color="auto"/>
                    <w:left w:val="single" w:sz="4" w:space="0" w:color="auto"/>
                    <w:bottom w:val="single" w:sz="12" w:space="0" w:color="auto"/>
                    <w:right w:val="single" w:sz="4" w:space="0" w:color="auto"/>
                  </w:tcBorders>
                  <w:vAlign w:val="center"/>
                </w:tcPr>
                <w:p w14:paraId="686A5640" w14:textId="77777777" w:rsidR="00F76A63" w:rsidRDefault="00F76A63">
                  <w:pPr>
                    <w:widowControl/>
                    <w:rPr>
                      <w:spacing w:val="4"/>
                      <w:kern w:val="0"/>
                      <w:szCs w:val="21"/>
                    </w:rPr>
                  </w:pPr>
                </w:p>
              </w:tc>
              <w:tc>
                <w:tcPr>
                  <w:tcW w:w="1341" w:type="dxa"/>
                  <w:vMerge/>
                  <w:tcBorders>
                    <w:top w:val="single" w:sz="4" w:space="0" w:color="auto"/>
                    <w:left w:val="single" w:sz="4" w:space="0" w:color="auto"/>
                    <w:bottom w:val="single" w:sz="12" w:space="0" w:color="auto"/>
                    <w:right w:val="single" w:sz="4" w:space="0" w:color="auto"/>
                  </w:tcBorders>
                  <w:vAlign w:val="center"/>
                </w:tcPr>
                <w:p w14:paraId="527BD560" w14:textId="77777777" w:rsidR="00F76A63" w:rsidRDefault="00F76A63">
                  <w:pPr>
                    <w:widowControl/>
                    <w:rPr>
                      <w:spacing w:val="4"/>
                      <w:kern w:val="0"/>
                      <w:szCs w:val="21"/>
                    </w:rPr>
                  </w:pPr>
                </w:p>
              </w:tc>
              <w:tc>
                <w:tcPr>
                  <w:tcW w:w="2532" w:type="dxa"/>
                  <w:vMerge/>
                  <w:tcBorders>
                    <w:top w:val="single" w:sz="4" w:space="0" w:color="auto"/>
                    <w:left w:val="single" w:sz="4" w:space="0" w:color="auto"/>
                    <w:bottom w:val="single" w:sz="12" w:space="0" w:color="auto"/>
                    <w:right w:val="nil"/>
                  </w:tcBorders>
                  <w:vAlign w:val="center"/>
                </w:tcPr>
                <w:p w14:paraId="73B5B4F0" w14:textId="77777777" w:rsidR="00F76A63" w:rsidRDefault="00F76A63">
                  <w:pPr>
                    <w:widowControl/>
                    <w:rPr>
                      <w:spacing w:val="4"/>
                      <w:kern w:val="0"/>
                      <w:szCs w:val="21"/>
                    </w:rPr>
                  </w:pPr>
                </w:p>
              </w:tc>
            </w:tr>
          </w:tbl>
          <w:p w14:paraId="0CAAB6AB" w14:textId="77777777" w:rsidR="00F76A63" w:rsidRDefault="00000000">
            <w:pPr>
              <w:snapToGrid w:val="0"/>
              <w:spacing w:line="500" w:lineRule="exact"/>
              <w:ind w:firstLineChars="200" w:firstLine="482"/>
              <w:jc w:val="center"/>
              <w:rPr>
                <w:b/>
                <w:sz w:val="24"/>
                <w:szCs w:val="22"/>
              </w:rPr>
            </w:pPr>
            <w:r>
              <w:rPr>
                <w:b/>
                <w:sz w:val="24"/>
                <w:szCs w:val="22"/>
              </w:rPr>
              <w:t>表</w:t>
            </w:r>
            <w:r>
              <w:rPr>
                <w:b/>
                <w:sz w:val="24"/>
                <w:szCs w:val="22"/>
              </w:rPr>
              <w:t xml:space="preserve">4-4  </w:t>
            </w:r>
            <w:r>
              <w:rPr>
                <w:b/>
                <w:sz w:val="24"/>
                <w:szCs w:val="22"/>
              </w:rPr>
              <w:t>本项目拟采取的防渗处理措施一览表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568"/>
              <w:gridCol w:w="1367"/>
              <w:gridCol w:w="1417"/>
              <w:gridCol w:w="4841"/>
            </w:tblGrid>
            <w:tr w:rsidR="00F76A63" w14:paraId="72FCFC94" w14:textId="77777777">
              <w:trPr>
                <w:trHeight w:val="340"/>
                <w:jc w:val="center"/>
              </w:trPr>
              <w:tc>
                <w:tcPr>
                  <w:tcW w:w="553" w:type="dxa"/>
                  <w:tcBorders>
                    <w:top w:val="single" w:sz="12" w:space="0" w:color="auto"/>
                    <w:left w:val="nil"/>
                    <w:bottom w:val="single" w:sz="4" w:space="0" w:color="auto"/>
                    <w:right w:val="single" w:sz="4" w:space="0" w:color="auto"/>
                  </w:tcBorders>
                  <w:tcMar>
                    <w:top w:w="0" w:type="dxa"/>
                    <w:left w:w="0" w:type="dxa"/>
                    <w:bottom w:w="0" w:type="dxa"/>
                    <w:right w:w="0" w:type="dxa"/>
                  </w:tcMar>
                  <w:vAlign w:val="center"/>
                </w:tcPr>
                <w:p w14:paraId="0C2E6709" w14:textId="77777777" w:rsidR="00F76A63" w:rsidRDefault="00000000">
                  <w:pPr>
                    <w:pStyle w:val="affff8"/>
                    <w:rPr>
                      <w:rFonts w:cs="Times New Roman"/>
                      <w:b/>
                      <w:bCs/>
                      <w:szCs w:val="21"/>
                    </w:rPr>
                  </w:pPr>
                  <w:r>
                    <w:rPr>
                      <w:rFonts w:cs="Times New Roman"/>
                      <w:b/>
                      <w:bCs/>
                    </w:rPr>
                    <w:t>序号</w:t>
                  </w:r>
                </w:p>
              </w:tc>
              <w:tc>
                <w:tcPr>
                  <w:tcW w:w="1331" w:type="dxa"/>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337E7D" w14:textId="77777777" w:rsidR="00F76A63" w:rsidRDefault="00000000">
                  <w:pPr>
                    <w:pStyle w:val="affff8"/>
                    <w:rPr>
                      <w:rFonts w:cs="Times New Roman"/>
                      <w:b/>
                      <w:bCs/>
                    </w:rPr>
                  </w:pPr>
                  <w:r>
                    <w:rPr>
                      <w:rFonts w:cs="Times New Roman"/>
                      <w:b/>
                      <w:bCs/>
                    </w:rPr>
                    <w:t>防渗分区</w:t>
                  </w:r>
                </w:p>
              </w:tc>
              <w:tc>
                <w:tcPr>
                  <w:tcW w:w="1380" w:type="dxa"/>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88606C" w14:textId="77777777" w:rsidR="00F76A63" w:rsidRDefault="00000000">
                  <w:pPr>
                    <w:pStyle w:val="affff8"/>
                    <w:rPr>
                      <w:rFonts w:cs="Times New Roman"/>
                      <w:b/>
                      <w:bCs/>
                    </w:rPr>
                  </w:pPr>
                  <w:r>
                    <w:rPr>
                      <w:rFonts w:cs="Times New Roman"/>
                      <w:b/>
                      <w:bCs/>
                    </w:rPr>
                    <w:t>名称</w:t>
                  </w:r>
                </w:p>
              </w:tc>
              <w:tc>
                <w:tcPr>
                  <w:tcW w:w="4714" w:type="dxa"/>
                  <w:tcBorders>
                    <w:top w:val="single" w:sz="12" w:space="0" w:color="auto"/>
                    <w:left w:val="single" w:sz="4" w:space="0" w:color="auto"/>
                    <w:bottom w:val="single" w:sz="4" w:space="0" w:color="auto"/>
                    <w:right w:val="nil"/>
                  </w:tcBorders>
                  <w:tcMar>
                    <w:top w:w="0" w:type="dxa"/>
                    <w:left w:w="0" w:type="dxa"/>
                    <w:bottom w:w="0" w:type="dxa"/>
                    <w:right w:w="0" w:type="dxa"/>
                  </w:tcMar>
                  <w:vAlign w:val="center"/>
                </w:tcPr>
                <w:p w14:paraId="57E7CEFF" w14:textId="77777777" w:rsidR="00F76A63" w:rsidRDefault="00000000">
                  <w:pPr>
                    <w:pStyle w:val="affff8"/>
                    <w:rPr>
                      <w:rFonts w:cs="Times New Roman"/>
                      <w:b/>
                      <w:bCs/>
                    </w:rPr>
                  </w:pPr>
                  <w:r>
                    <w:rPr>
                      <w:rFonts w:cs="Times New Roman"/>
                      <w:b/>
                      <w:bCs/>
                    </w:rPr>
                    <w:t>防渗技术要求</w:t>
                  </w:r>
                </w:p>
              </w:tc>
            </w:tr>
            <w:tr w:rsidR="00F76A63" w14:paraId="0B14BF72" w14:textId="77777777">
              <w:trPr>
                <w:trHeight w:val="340"/>
                <w:jc w:val="center"/>
              </w:trPr>
              <w:tc>
                <w:tcPr>
                  <w:tcW w:w="553" w:type="dxa"/>
                  <w:vMerge w:val="restart"/>
                  <w:tcBorders>
                    <w:top w:val="single" w:sz="4" w:space="0" w:color="auto"/>
                    <w:left w:val="nil"/>
                    <w:bottom w:val="single" w:sz="4" w:space="0" w:color="auto"/>
                    <w:right w:val="single" w:sz="4" w:space="0" w:color="auto"/>
                  </w:tcBorders>
                  <w:vAlign w:val="center"/>
                </w:tcPr>
                <w:p w14:paraId="6E72A1D7" w14:textId="77777777" w:rsidR="00F76A63" w:rsidRDefault="00000000">
                  <w:pPr>
                    <w:pStyle w:val="affff8"/>
                    <w:rPr>
                      <w:rFonts w:cs="Times New Roman"/>
                    </w:rPr>
                  </w:pPr>
                  <w:r>
                    <w:rPr>
                      <w:rFonts w:cs="Times New Roman"/>
                    </w:rPr>
                    <w:t>1</w:t>
                  </w:r>
                </w:p>
              </w:tc>
              <w:tc>
                <w:tcPr>
                  <w:tcW w:w="1331" w:type="dxa"/>
                  <w:vMerge w:val="restart"/>
                  <w:tcBorders>
                    <w:top w:val="single" w:sz="4" w:space="0" w:color="auto"/>
                    <w:left w:val="single" w:sz="4" w:space="0" w:color="auto"/>
                    <w:bottom w:val="single" w:sz="4" w:space="0" w:color="auto"/>
                    <w:right w:val="single" w:sz="4" w:space="0" w:color="auto"/>
                  </w:tcBorders>
                  <w:vAlign w:val="center"/>
                </w:tcPr>
                <w:p w14:paraId="3EB79A7C" w14:textId="77777777" w:rsidR="00F76A63" w:rsidRDefault="00000000">
                  <w:pPr>
                    <w:pStyle w:val="affff8"/>
                    <w:rPr>
                      <w:rFonts w:cs="Times New Roman"/>
                    </w:rPr>
                  </w:pPr>
                  <w:r>
                    <w:rPr>
                      <w:rFonts w:cs="Times New Roman"/>
                    </w:rPr>
                    <w:t>重点防渗区</w:t>
                  </w:r>
                </w:p>
              </w:tc>
              <w:tc>
                <w:tcPr>
                  <w:tcW w:w="1380" w:type="dxa"/>
                  <w:tcBorders>
                    <w:top w:val="single" w:sz="4" w:space="0" w:color="auto"/>
                    <w:left w:val="single" w:sz="4" w:space="0" w:color="auto"/>
                    <w:bottom w:val="single" w:sz="4" w:space="0" w:color="auto"/>
                    <w:right w:val="single" w:sz="4" w:space="0" w:color="auto"/>
                  </w:tcBorders>
                  <w:vAlign w:val="center"/>
                </w:tcPr>
                <w:p w14:paraId="24AE57BF" w14:textId="77777777" w:rsidR="00F76A63" w:rsidRDefault="00000000">
                  <w:pPr>
                    <w:pStyle w:val="affff8"/>
                    <w:rPr>
                      <w:rFonts w:cs="Times New Roman"/>
                    </w:rPr>
                  </w:pPr>
                  <w:r>
                    <w:rPr>
                      <w:rFonts w:cs="Times New Roman"/>
                    </w:rPr>
                    <w:t>污水输送、收集管道、水池</w:t>
                  </w:r>
                </w:p>
              </w:tc>
              <w:tc>
                <w:tcPr>
                  <w:tcW w:w="4714" w:type="dxa"/>
                  <w:tcBorders>
                    <w:top w:val="single" w:sz="4" w:space="0" w:color="auto"/>
                    <w:left w:val="single" w:sz="4" w:space="0" w:color="auto"/>
                    <w:bottom w:val="single" w:sz="4" w:space="0" w:color="auto"/>
                    <w:right w:val="nil"/>
                  </w:tcBorders>
                  <w:vAlign w:val="center"/>
                </w:tcPr>
                <w:p w14:paraId="4F6905EA" w14:textId="77777777" w:rsidR="00F76A63" w:rsidRDefault="00000000">
                  <w:pPr>
                    <w:pStyle w:val="affff8"/>
                    <w:rPr>
                      <w:rFonts w:cs="Times New Roman"/>
                    </w:rPr>
                  </w:pPr>
                  <w:r>
                    <w:rPr>
                      <w:rFonts w:cs="Times New Roman"/>
                    </w:rPr>
                    <w:t>对废水收集沟渠、管网、阀门严格质量管理，如发现问题，应及时解决。管沟、污水渠与污水集水井相连，并设计不低于</w:t>
                  </w:r>
                  <w:r>
                    <w:rPr>
                      <w:rFonts w:cs="Times New Roman"/>
                    </w:rPr>
                    <w:t>5‰</w:t>
                  </w:r>
                  <w:r>
                    <w:rPr>
                      <w:rFonts w:cs="Times New Roman"/>
                    </w:rPr>
                    <w:t>的排水坡度，便于废水排至集水井统一处理。要做好沿途污水管网的防渗工作。工程管道</w:t>
                  </w:r>
                  <w:r>
                    <w:rPr>
                      <w:rFonts w:cs="Times New Roman"/>
                    </w:rPr>
                    <w:t>DN500</w:t>
                  </w:r>
                  <w:r>
                    <w:rPr>
                      <w:rFonts w:cs="Times New Roman"/>
                    </w:rPr>
                    <w:t>及以上管道采用钢筋混凝土管，管径小于</w:t>
                  </w:r>
                  <w:r>
                    <w:rPr>
                      <w:rFonts w:cs="Times New Roman"/>
                    </w:rPr>
                    <w:t>DN500</w:t>
                  </w:r>
                  <w:r>
                    <w:rPr>
                      <w:rFonts w:cs="Times New Roman"/>
                    </w:rPr>
                    <w:t>的管道采用</w:t>
                  </w:r>
                  <w:r>
                    <w:rPr>
                      <w:rFonts w:cs="Times New Roman"/>
                    </w:rPr>
                    <w:t>HDPE</w:t>
                  </w:r>
                  <w:r>
                    <w:rPr>
                      <w:rFonts w:cs="Times New Roman"/>
                    </w:rPr>
                    <w:t>管。两种管材防水性均较好。</w:t>
                  </w:r>
                </w:p>
              </w:tc>
            </w:tr>
            <w:tr w:rsidR="00F76A63" w14:paraId="332BC469" w14:textId="77777777">
              <w:trPr>
                <w:trHeight w:val="340"/>
                <w:jc w:val="center"/>
              </w:trPr>
              <w:tc>
                <w:tcPr>
                  <w:tcW w:w="582" w:type="dxa"/>
                  <w:vMerge/>
                  <w:tcBorders>
                    <w:top w:val="single" w:sz="4" w:space="0" w:color="auto"/>
                    <w:left w:val="nil"/>
                    <w:bottom w:val="single" w:sz="4" w:space="0" w:color="auto"/>
                    <w:right w:val="single" w:sz="4" w:space="0" w:color="auto"/>
                  </w:tcBorders>
                  <w:vAlign w:val="center"/>
                </w:tcPr>
                <w:p w14:paraId="36013F4C" w14:textId="77777777" w:rsidR="00F76A63" w:rsidRDefault="00F76A63">
                  <w:pPr>
                    <w:widowControl/>
                    <w:rPr>
                      <w:spacing w:val="4"/>
                      <w:kern w:val="0"/>
                      <w:szCs w:val="21"/>
                    </w:rPr>
                  </w:pPr>
                </w:p>
              </w:tc>
              <w:tc>
                <w:tcPr>
                  <w:tcW w:w="1399" w:type="dxa"/>
                  <w:vMerge/>
                  <w:tcBorders>
                    <w:top w:val="single" w:sz="4" w:space="0" w:color="auto"/>
                    <w:left w:val="single" w:sz="4" w:space="0" w:color="auto"/>
                    <w:bottom w:val="single" w:sz="4" w:space="0" w:color="auto"/>
                    <w:right w:val="single" w:sz="4" w:space="0" w:color="auto"/>
                  </w:tcBorders>
                  <w:vAlign w:val="center"/>
                </w:tcPr>
                <w:p w14:paraId="68E61A01" w14:textId="77777777" w:rsidR="00F76A63" w:rsidRDefault="00F76A63">
                  <w:pPr>
                    <w:widowControl/>
                    <w:rPr>
                      <w:spacing w:val="4"/>
                      <w:kern w:val="0"/>
                      <w:szCs w:val="21"/>
                    </w:rPr>
                  </w:pPr>
                </w:p>
              </w:tc>
              <w:tc>
                <w:tcPr>
                  <w:tcW w:w="1380" w:type="dxa"/>
                  <w:tcBorders>
                    <w:top w:val="single" w:sz="4" w:space="0" w:color="auto"/>
                    <w:left w:val="single" w:sz="4" w:space="0" w:color="auto"/>
                    <w:bottom w:val="single" w:sz="4" w:space="0" w:color="auto"/>
                    <w:right w:val="single" w:sz="4" w:space="0" w:color="auto"/>
                  </w:tcBorders>
                  <w:vAlign w:val="center"/>
                </w:tcPr>
                <w:p w14:paraId="5E807892" w14:textId="77777777" w:rsidR="00F76A63" w:rsidRDefault="00000000">
                  <w:pPr>
                    <w:pStyle w:val="affff8"/>
                    <w:rPr>
                      <w:rFonts w:cs="Times New Roman"/>
                    </w:rPr>
                  </w:pPr>
                  <w:r>
                    <w:rPr>
                      <w:rFonts w:cs="Times New Roman"/>
                    </w:rPr>
                    <w:t>危废仓库</w:t>
                  </w:r>
                </w:p>
              </w:tc>
              <w:tc>
                <w:tcPr>
                  <w:tcW w:w="4714" w:type="dxa"/>
                  <w:tcBorders>
                    <w:top w:val="single" w:sz="4" w:space="0" w:color="auto"/>
                    <w:left w:val="single" w:sz="4" w:space="0" w:color="auto"/>
                    <w:bottom w:val="single" w:sz="4" w:space="0" w:color="auto"/>
                    <w:right w:val="nil"/>
                  </w:tcBorders>
                  <w:vAlign w:val="center"/>
                </w:tcPr>
                <w:p w14:paraId="019E5B93" w14:textId="77777777" w:rsidR="00F76A63" w:rsidRDefault="00000000">
                  <w:pPr>
                    <w:pStyle w:val="affff8"/>
                    <w:rPr>
                      <w:rFonts w:cs="Times New Roman"/>
                    </w:rPr>
                  </w:pPr>
                  <w:r>
                    <w:rPr>
                      <w:rFonts w:cs="Times New Roman"/>
                    </w:rPr>
                    <w:t>生产装置区及仓库地面防渗方案自上而下：</w:t>
                  </w:r>
                  <w:r>
                    <w:rPr>
                      <w:rFonts w:ascii="Cambria Math" w:hAnsi="Cambria Math" w:cs="Cambria Math"/>
                    </w:rPr>
                    <w:t>①</w:t>
                  </w:r>
                  <w:r>
                    <w:rPr>
                      <w:rFonts w:cs="Times New Roman"/>
                    </w:rPr>
                    <w:t>40mm</w:t>
                  </w:r>
                  <w:r>
                    <w:rPr>
                      <w:rFonts w:cs="Times New Roman"/>
                    </w:rPr>
                    <w:t>厚细石砼；</w:t>
                  </w:r>
                  <w:r>
                    <w:rPr>
                      <w:rFonts w:ascii="Cambria Math" w:hAnsi="Cambria Math" w:cs="Cambria Math"/>
                    </w:rPr>
                    <w:t>②</w:t>
                  </w:r>
                  <w:r>
                    <w:rPr>
                      <w:rFonts w:cs="Times New Roman"/>
                    </w:rPr>
                    <w:t>水泥砂浆结合层一道；</w:t>
                  </w:r>
                  <w:r>
                    <w:rPr>
                      <w:rFonts w:ascii="Cambria Math" w:hAnsi="Cambria Math" w:cs="Cambria Math"/>
                    </w:rPr>
                    <w:t>③</w:t>
                  </w:r>
                  <w:r>
                    <w:rPr>
                      <w:rFonts w:cs="Times New Roman"/>
                    </w:rPr>
                    <w:t>100mm</w:t>
                  </w:r>
                  <w:r>
                    <w:rPr>
                      <w:rFonts w:cs="Times New Roman"/>
                    </w:rPr>
                    <w:t>厚</w:t>
                  </w:r>
                  <w:r>
                    <w:rPr>
                      <w:rFonts w:cs="Times New Roman"/>
                    </w:rPr>
                    <w:t>C15</w:t>
                  </w:r>
                  <w:r>
                    <w:rPr>
                      <w:rFonts w:cs="Times New Roman"/>
                    </w:rPr>
                    <w:t>混凝土随打随抹光；</w:t>
                  </w:r>
                  <w:r>
                    <w:rPr>
                      <w:rFonts w:ascii="Cambria Math" w:hAnsi="Cambria Math" w:cs="Cambria Math"/>
                    </w:rPr>
                    <w:t>④</w:t>
                  </w:r>
                  <w:r>
                    <w:rPr>
                      <w:rFonts w:cs="Times New Roman"/>
                    </w:rPr>
                    <w:t>50mm</w:t>
                  </w:r>
                  <w:r>
                    <w:rPr>
                      <w:rFonts w:cs="Times New Roman"/>
                    </w:rPr>
                    <w:t>厚级配砂石垫层；</w:t>
                  </w:r>
                  <w:r>
                    <w:rPr>
                      <w:rFonts w:ascii="Cambria Math" w:hAnsi="Cambria Math" w:cs="Cambria Math"/>
                    </w:rPr>
                    <w:t>⑤</w:t>
                  </w:r>
                  <w:r>
                    <w:rPr>
                      <w:rFonts w:cs="Times New Roman"/>
                    </w:rPr>
                    <w:t>3</w:t>
                  </w:r>
                  <w:r>
                    <w:rPr>
                      <w:rFonts w:ascii="Cambria Math" w:hAnsi="Cambria Math" w:cs="Cambria Math"/>
                    </w:rPr>
                    <w:t>∶</w:t>
                  </w:r>
                  <w:r>
                    <w:rPr>
                      <w:rFonts w:cs="Times New Roman"/>
                    </w:rPr>
                    <w:t>7</w:t>
                  </w:r>
                  <w:r>
                    <w:rPr>
                      <w:rFonts w:cs="Times New Roman"/>
                    </w:rPr>
                    <w:t>水泥土夯实</w:t>
                  </w:r>
                </w:p>
              </w:tc>
            </w:tr>
            <w:tr w:rsidR="00F76A63" w14:paraId="522F8932" w14:textId="77777777">
              <w:trPr>
                <w:trHeight w:val="340"/>
                <w:jc w:val="center"/>
              </w:trPr>
              <w:tc>
                <w:tcPr>
                  <w:tcW w:w="553" w:type="dxa"/>
                  <w:tcBorders>
                    <w:top w:val="single" w:sz="4" w:space="0" w:color="auto"/>
                    <w:left w:val="nil"/>
                    <w:bottom w:val="single" w:sz="4" w:space="0" w:color="auto"/>
                    <w:right w:val="single" w:sz="4" w:space="0" w:color="auto"/>
                  </w:tcBorders>
                  <w:vAlign w:val="center"/>
                </w:tcPr>
                <w:p w14:paraId="311AB7DA" w14:textId="77777777" w:rsidR="00F76A63" w:rsidRDefault="00000000">
                  <w:pPr>
                    <w:pStyle w:val="affff8"/>
                    <w:rPr>
                      <w:rFonts w:cs="Times New Roman"/>
                    </w:rPr>
                  </w:pPr>
                  <w:r>
                    <w:rPr>
                      <w:rFonts w:cs="Times New Roman"/>
                    </w:rPr>
                    <w:t>2</w:t>
                  </w:r>
                </w:p>
              </w:tc>
              <w:tc>
                <w:tcPr>
                  <w:tcW w:w="1331" w:type="dxa"/>
                  <w:vMerge w:val="restart"/>
                  <w:tcBorders>
                    <w:top w:val="single" w:sz="4" w:space="0" w:color="auto"/>
                    <w:left w:val="single" w:sz="4" w:space="0" w:color="auto"/>
                    <w:bottom w:val="single" w:sz="4" w:space="0" w:color="auto"/>
                    <w:right w:val="single" w:sz="4" w:space="0" w:color="auto"/>
                  </w:tcBorders>
                  <w:vAlign w:val="center"/>
                </w:tcPr>
                <w:p w14:paraId="690C0504" w14:textId="77777777" w:rsidR="00F76A63" w:rsidRDefault="00000000">
                  <w:pPr>
                    <w:pStyle w:val="affff8"/>
                    <w:rPr>
                      <w:rFonts w:cs="Times New Roman"/>
                    </w:rPr>
                  </w:pPr>
                  <w:r>
                    <w:rPr>
                      <w:rFonts w:cs="Times New Roman"/>
                    </w:rPr>
                    <w:t>一般防渗区</w:t>
                  </w:r>
                </w:p>
              </w:tc>
              <w:tc>
                <w:tcPr>
                  <w:tcW w:w="1380" w:type="dxa"/>
                  <w:tcBorders>
                    <w:top w:val="single" w:sz="4" w:space="0" w:color="auto"/>
                    <w:left w:val="single" w:sz="4" w:space="0" w:color="auto"/>
                    <w:bottom w:val="single" w:sz="4" w:space="0" w:color="auto"/>
                    <w:right w:val="single" w:sz="4" w:space="0" w:color="auto"/>
                  </w:tcBorders>
                  <w:vAlign w:val="center"/>
                </w:tcPr>
                <w:p w14:paraId="0D295258" w14:textId="77777777" w:rsidR="00F76A63" w:rsidRDefault="00000000">
                  <w:pPr>
                    <w:pStyle w:val="affff8"/>
                    <w:rPr>
                      <w:rFonts w:cs="Times New Roman"/>
                    </w:rPr>
                  </w:pPr>
                  <w:r>
                    <w:rPr>
                      <w:rFonts w:cs="Times New Roman"/>
                    </w:rPr>
                    <w:t>生产车间</w:t>
                  </w:r>
                </w:p>
              </w:tc>
              <w:tc>
                <w:tcPr>
                  <w:tcW w:w="4714" w:type="dxa"/>
                  <w:vMerge w:val="restart"/>
                  <w:tcBorders>
                    <w:top w:val="single" w:sz="4" w:space="0" w:color="auto"/>
                    <w:left w:val="single" w:sz="4" w:space="0" w:color="auto"/>
                    <w:bottom w:val="single" w:sz="4" w:space="0" w:color="auto"/>
                    <w:right w:val="nil"/>
                  </w:tcBorders>
                  <w:vAlign w:val="center"/>
                </w:tcPr>
                <w:p w14:paraId="0548BAB6" w14:textId="77777777" w:rsidR="00F76A63" w:rsidRDefault="00000000">
                  <w:pPr>
                    <w:pStyle w:val="affff8"/>
                    <w:rPr>
                      <w:rFonts w:cs="Times New Roman"/>
                    </w:rPr>
                  </w:pPr>
                  <w:r>
                    <w:rPr>
                      <w:rFonts w:ascii="Cambria Math" w:hAnsi="Cambria Math" w:cs="Cambria Math"/>
                    </w:rPr>
                    <w:t>①</w:t>
                  </w:r>
                  <w:r>
                    <w:rPr>
                      <w:rFonts w:cs="Times New Roman"/>
                    </w:rPr>
                    <w:t>50mm</w:t>
                  </w:r>
                  <w:r>
                    <w:rPr>
                      <w:rFonts w:cs="Times New Roman"/>
                    </w:rPr>
                    <w:t>厚水泥面随打随抹光；</w:t>
                  </w:r>
                  <w:r>
                    <w:rPr>
                      <w:rFonts w:ascii="Cambria Math" w:hAnsi="Cambria Math" w:cs="Cambria Math"/>
                    </w:rPr>
                    <w:t>②</w:t>
                  </w:r>
                  <w:r>
                    <w:rPr>
                      <w:rFonts w:cs="Times New Roman"/>
                    </w:rPr>
                    <w:t>50mm</w:t>
                  </w:r>
                  <w:r>
                    <w:rPr>
                      <w:rFonts w:cs="Times New Roman"/>
                    </w:rPr>
                    <w:t>厚</w:t>
                  </w:r>
                  <w:r>
                    <w:rPr>
                      <w:rFonts w:cs="Times New Roman"/>
                    </w:rPr>
                    <w:t>C15</w:t>
                  </w:r>
                  <w:r>
                    <w:rPr>
                      <w:rFonts w:cs="Times New Roman"/>
                    </w:rPr>
                    <w:t>砼垫层随打随抹光；</w:t>
                  </w:r>
                  <w:r>
                    <w:rPr>
                      <w:rFonts w:ascii="Cambria Math" w:hAnsi="Cambria Math" w:cs="Cambria Math"/>
                    </w:rPr>
                    <w:t>③</w:t>
                  </w:r>
                  <w:r>
                    <w:rPr>
                      <w:rFonts w:cs="Times New Roman"/>
                    </w:rPr>
                    <w:t>50mm</w:t>
                  </w:r>
                  <w:r>
                    <w:rPr>
                      <w:rFonts w:cs="Times New Roman"/>
                    </w:rPr>
                    <w:t>厚</w:t>
                  </w:r>
                  <w:r>
                    <w:rPr>
                      <w:rFonts w:cs="Times New Roman"/>
                    </w:rPr>
                    <w:t>C15</w:t>
                  </w:r>
                  <w:r>
                    <w:rPr>
                      <w:rFonts w:cs="Times New Roman"/>
                    </w:rPr>
                    <w:t>混凝土随打随抹光；</w:t>
                  </w:r>
                  <w:r>
                    <w:rPr>
                      <w:rFonts w:ascii="Cambria Math" w:hAnsi="Cambria Math" w:cs="Cambria Math"/>
                    </w:rPr>
                    <w:t>④</w:t>
                  </w:r>
                  <w:r>
                    <w:rPr>
                      <w:rFonts w:cs="Times New Roman"/>
                    </w:rPr>
                    <w:t>50mm</w:t>
                  </w:r>
                  <w:r>
                    <w:rPr>
                      <w:rFonts w:cs="Times New Roman"/>
                    </w:rPr>
                    <w:t>厚级配砂石垫层；</w:t>
                  </w:r>
                  <w:r>
                    <w:rPr>
                      <w:rFonts w:ascii="Cambria Math" w:hAnsi="Cambria Math" w:cs="Cambria Math"/>
                    </w:rPr>
                    <w:t>⑤</w:t>
                  </w:r>
                  <w:r>
                    <w:rPr>
                      <w:rFonts w:cs="Times New Roman"/>
                    </w:rPr>
                    <w:t>3</w:t>
                  </w:r>
                  <w:r>
                    <w:rPr>
                      <w:rFonts w:cs="Times New Roman"/>
                    </w:rPr>
                    <w:t>：</w:t>
                  </w:r>
                  <w:r>
                    <w:rPr>
                      <w:rFonts w:cs="Times New Roman"/>
                    </w:rPr>
                    <w:t>7</w:t>
                  </w:r>
                  <w:r>
                    <w:rPr>
                      <w:rFonts w:cs="Times New Roman"/>
                    </w:rPr>
                    <w:t>水泥土夯实</w:t>
                  </w:r>
                </w:p>
              </w:tc>
            </w:tr>
            <w:tr w:rsidR="00F76A63" w14:paraId="4A6B73B8" w14:textId="77777777">
              <w:trPr>
                <w:trHeight w:val="340"/>
                <w:jc w:val="center"/>
              </w:trPr>
              <w:tc>
                <w:tcPr>
                  <w:tcW w:w="553" w:type="dxa"/>
                  <w:tcBorders>
                    <w:top w:val="single" w:sz="4" w:space="0" w:color="auto"/>
                    <w:left w:val="nil"/>
                    <w:bottom w:val="single" w:sz="4" w:space="0" w:color="auto"/>
                    <w:right w:val="single" w:sz="4" w:space="0" w:color="auto"/>
                  </w:tcBorders>
                  <w:vAlign w:val="center"/>
                </w:tcPr>
                <w:p w14:paraId="04AF1C08" w14:textId="77777777" w:rsidR="00F76A63" w:rsidRDefault="00000000">
                  <w:pPr>
                    <w:pStyle w:val="affff8"/>
                    <w:rPr>
                      <w:rFonts w:cs="Times New Roman"/>
                    </w:rPr>
                  </w:pPr>
                  <w:r>
                    <w:rPr>
                      <w:rFonts w:cs="Times New Roman"/>
                    </w:rPr>
                    <w:t>3</w:t>
                  </w:r>
                </w:p>
              </w:tc>
              <w:tc>
                <w:tcPr>
                  <w:tcW w:w="1399" w:type="dxa"/>
                  <w:vMerge/>
                  <w:tcBorders>
                    <w:top w:val="single" w:sz="4" w:space="0" w:color="auto"/>
                    <w:left w:val="single" w:sz="4" w:space="0" w:color="auto"/>
                    <w:bottom w:val="single" w:sz="4" w:space="0" w:color="auto"/>
                    <w:right w:val="single" w:sz="4" w:space="0" w:color="auto"/>
                  </w:tcBorders>
                  <w:vAlign w:val="center"/>
                </w:tcPr>
                <w:p w14:paraId="4CD322B7" w14:textId="77777777" w:rsidR="00F76A63" w:rsidRDefault="00F76A63">
                  <w:pPr>
                    <w:widowControl/>
                    <w:rPr>
                      <w:spacing w:val="4"/>
                      <w:kern w:val="0"/>
                      <w:szCs w:val="21"/>
                    </w:rPr>
                  </w:pPr>
                </w:p>
              </w:tc>
              <w:tc>
                <w:tcPr>
                  <w:tcW w:w="1380" w:type="dxa"/>
                  <w:tcBorders>
                    <w:top w:val="single" w:sz="4" w:space="0" w:color="auto"/>
                    <w:left w:val="single" w:sz="4" w:space="0" w:color="auto"/>
                    <w:bottom w:val="single" w:sz="4" w:space="0" w:color="auto"/>
                    <w:right w:val="single" w:sz="4" w:space="0" w:color="auto"/>
                  </w:tcBorders>
                  <w:vAlign w:val="center"/>
                </w:tcPr>
                <w:p w14:paraId="5AE7AF14" w14:textId="77777777" w:rsidR="00F76A63" w:rsidRDefault="00000000">
                  <w:pPr>
                    <w:pStyle w:val="affff8"/>
                    <w:rPr>
                      <w:rFonts w:cs="Times New Roman"/>
                    </w:rPr>
                  </w:pPr>
                  <w:r>
                    <w:rPr>
                      <w:rFonts w:cs="Times New Roman"/>
                    </w:rPr>
                    <w:t>一般固废仓库</w:t>
                  </w:r>
                </w:p>
              </w:tc>
              <w:tc>
                <w:tcPr>
                  <w:tcW w:w="4954" w:type="dxa"/>
                  <w:vMerge/>
                  <w:tcBorders>
                    <w:top w:val="single" w:sz="4" w:space="0" w:color="auto"/>
                    <w:left w:val="single" w:sz="4" w:space="0" w:color="auto"/>
                    <w:bottom w:val="single" w:sz="4" w:space="0" w:color="auto"/>
                    <w:right w:val="nil"/>
                  </w:tcBorders>
                  <w:vAlign w:val="center"/>
                </w:tcPr>
                <w:p w14:paraId="053481FD" w14:textId="77777777" w:rsidR="00F76A63" w:rsidRDefault="00F76A63">
                  <w:pPr>
                    <w:widowControl/>
                    <w:rPr>
                      <w:spacing w:val="4"/>
                      <w:kern w:val="0"/>
                      <w:szCs w:val="21"/>
                    </w:rPr>
                  </w:pPr>
                </w:p>
              </w:tc>
            </w:tr>
            <w:tr w:rsidR="00F76A63" w14:paraId="5779B3FC" w14:textId="77777777">
              <w:trPr>
                <w:trHeight w:val="340"/>
                <w:jc w:val="center"/>
              </w:trPr>
              <w:tc>
                <w:tcPr>
                  <w:tcW w:w="553" w:type="dxa"/>
                  <w:tcBorders>
                    <w:top w:val="single" w:sz="4" w:space="0" w:color="auto"/>
                    <w:left w:val="nil"/>
                    <w:bottom w:val="single" w:sz="12" w:space="0" w:color="auto"/>
                    <w:right w:val="single" w:sz="4" w:space="0" w:color="auto"/>
                  </w:tcBorders>
                  <w:vAlign w:val="center"/>
                </w:tcPr>
                <w:p w14:paraId="17432526" w14:textId="77777777" w:rsidR="00F76A63" w:rsidRDefault="00000000">
                  <w:pPr>
                    <w:pStyle w:val="affff8"/>
                    <w:rPr>
                      <w:rFonts w:cs="Times New Roman"/>
                    </w:rPr>
                  </w:pPr>
                  <w:r>
                    <w:rPr>
                      <w:rFonts w:cs="Times New Roman"/>
                    </w:rPr>
                    <w:t>4</w:t>
                  </w:r>
                </w:p>
              </w:tc>
              <w:tc>
                <w:tcPr>
                  <w:tcW w:w="1331" w:type="dxa"/>
                  <w:tcBorders>
                    <w:top w:val="single" w:sz="4" w:space="0" w:color="auto"/>
                    <w:left w:val="single" w:sz="4" w:space="0" w:color="auto"/>
                    <w:bottom w:val="single" w:sz="12" w:space="0" w:color="auto"/>
                    <w:right w:val="single" w:sz="4" w:space="0" w:color="auto"/>
                  </w:tcBorders>
                  <w:vAlign w:val="center"/>
                </w:tcPr>
                <w:p w14:paraId="05F4EB57" w14:textId="77777777" w:rsidR="00F76A63" w:rsidRDefault="00000000">
                  <w:pPr>
                    <w:pStyle w:val="affff8"/>
                    <w:rPr>
                      <w:rFonts w:cs="Times New Roman"/>
                    </w:rPr>
                  </w:pPr>
                  <w:r>
                    <w:rPr>
                      <w:rFonts w:cs="Times New Roman"/>
                    </w:rPr>
                    <w:t>简单防渗区</w:t>
                  </w:r>
                </w:p>
              </w:tc>
              <w:tc>
                <w:tcPr>
                  <w:tcW w:w="1380" w:type="dxa"/>
                  <w:tcBorders>
                    <w:top w:val="single" w:sz="4" w:space="0" w:color="auto"/>
                    <w:left w:val="single" w:sz="4" w:space="0" w:color="auto"/>
                    <w:bottom w:val="single" w:sz="12" w:space="0" w:color="auto"/>
                    <w:right w:val="single" w:sz="4" w:space="0" w:color="auto"/>
                  </w:tcBorders>
                  <w:vAlign w:val="center"/>
                </w:tcPr>
                <w:p w14:paraId="1FF5157D" w14:textId="77777777" w:rsidR="00F76A63" w:rsidRDefault="00000000">
                  <w:pPr>
                    <w:pStyle w:val="affff8"/>
                    <w:rPr>
                      <w:rFonts w:cs="Times New Roman"/>
                    </w:rPr>
                  </w:pPr>
                  <w:r>
                    <w:rPr>
                      <w:rFonts w:cs="Times New Roman"/>
                    </w:rPr>
                    <w:t>办公楼</w:t>
                  </w:r>
                </w:p>
              </w:tc>
              <w:tc>
                <w:tcPr>
                  <w:tcW w:w="4714" w:type="dxa"/>
                  <w:tcBorders>
                    <w:top w:val="single" w:sz="4" w:space="0" w:color="auto"/>
                    <w:left w:val="single" w:sz="4" w:space="0" w:color="auto"/>
                    <w:bottom w:val="single" w:sz="12" w:space="0" w:color="auto"/>
                    <w:right w:val="nil"/>
                  </w:tcBorders>
                  <w:vAlign w:val="center"/>
                </w:tcPr>
                <w:p w14:paraId="18462EAF" w14:textId="77777777" w:rsidR="00F76A63" w:rsidRDefault="00000000">
                  <w:pPr>
                    <w:pStyle w:val="affff8"/>
                    <w:rPr>
                      <w:rFonts w:cs="Times New Roman"/>
                    </w:rPr>
                  </w:pPr>
                  <w:r>
                    <w:rPr>
                      <w:rFonts w:cs="Times New Roman"/>
                    </w:rPr>
                    <w:t>一般地面硬化</w:t>
                  </w:r>
                </w:p>
              </w:tc>
            </w:tr>
          </w:tbl>
          <w:p w14:paraId="72FA9E2A" w14:textId="77777777" w:rsidR="00F76A63" w:rsidRDefault="00000000">
            <w:pPr>
              <w:snapToGrid w:val="0"/>
              <w:spacing w:line="500" w:lineRule="exact"/>
              <w:ind w:firstLineChars="200" w:firstLine="480"/>
              <w:rPr>
                <w:sz w:val="24"/>
                <w:szCs w:val="22"/>
              </w:rPr>
            </w:pPr>
            <w:r>
              <w:rPr>
                <w:sz w:val="24"/>
                <w:szCs w:val="22"/>
              </w:rPr>
              <w:t>各类固废在产生、收集和运输过程中应采取有效的措施防止固废散失，危废仓库等应按《危险废物贮存污染控制标准》（</w:t>
            </w:r>
            <w:r>
              <w:rPr>
                <w:sz w:val="24"/>
                <w:szCs w:val="22"/>
              </w:rPr>
              <w:t>GB18597-20</w:t>
            </w:r>
            <w:r>
              <w:rPr>
                <w:rFonts w:hint="eastAsia"/>
                <w:sz w:val="24"/>
                <w:szCs w:val="22"/>
              </w:rPr>
              <w:t>23</w:t>
            </w:r>
            <w:r>
              <w:rPr>
                <w:sz w:val="24"/>
                <w:szCs w:val="22"/>
              </w:rPr>
              <w:t>）及修改单中要求设置防漏、防渗措施，确保危险废物不泄漏或者渗透进入地下水。此外，严格实施雨污分流，确保废水不混入雨水，进而渗透进入地下水。</w:t>
            </w:r>
          </w:p>
          <w:p w14:paraId="1392A660" w14:textId="77777777" w:rsidR="00F76A63" w:rsidRDefault="00000000">
            <w:pPr>
              <w:snapToGrid w:val="0"/>
              <w:spacing w:line="500" w:lineRule="exact"/>
              <w:ind w:firstLineChars="200" w:firstLine="482"/>
              <w:rPr>
                <w:sz w:val="24"/>
                <w:szCs w:val="22"/>
              </w:rPr>
            </w:pPr>
            <w:r>
              <w:rPr>
                <w:b/>
                <w:bCs/>
                <w:sz w:val="24"/>
                <w:szCs w:val="22"/>
              </w:rPr>
              <w:t>地下水环境影响分析：</w:t>
            </w:r>
            <w:r>
              <w:rPr>
                <w:sz w:val="24"/>
                <w:szCs w:val="22"/>
              </w:rPr>
              <w:t>正常状况下，污染物无超标范围，改建项目正常工况对地下水无影响。在非正常工况发生初期雨水渗漏情况下，污染物对地下水的影响范围和距离大小主要取决于污染物渗漏量的大小、污染因子的浓度、地下水径流的方向、水力梯度、含水层的渗透性和富水性，以及弥散度的大小。项目对地下水影响较小，但仍需加强地下水环境监测及保护措施，在厂区下游布设地下水监测点，一旦监测到污染物超标，需启动应急预案，进行污染物迁移的控制和修复，防止污染物迁移。</w:t>
            </w:r>
          </w:p>
          <w:p w14:paraId="7C0560C0" w14:textId="77777777" w:rsidR="00F76A63" w:rsidRDefault="00000000">
            <w:pPr>
              <w:snapToGrid w:val="0"/>
              <w:spacing w:line="500" w:lineRule="exact"/>
              <w:ind w:firstLineChars="200" w:firstLine="482"/>
              <w:rPr>
                <w:sz w:val="24"/>
                <w:szCs w:val="22"/>
              </w:rPr>
            </w:pPr>
            <w:r>
              <w:rPr>
                <w:b/>
                <w:bCs/>
                <w:sz w:val="24"/>
                <w:szCs w:val="22"/>
              </w:rPr>
              <w:t>土壤环境影响分析：</w:t>
            </w:r>
            <w:r>
              <w:rPr>
                <w:sz w:val="24"/>
                <w:szCs w:val="22"/>
              </w:rPr>
              <w:t>二噁英类在空气中的形态可能是气体、气溶胶或颗粒物，广泛分布于环境中，为微水溶性，比较容易吸附于沉积物中，而且易于在</w:t>
            </w:r>
            <w:r>
              <w:rPr>
                <w:sz w:val="24"/>
                <w:szCs w:val="22"/>
              </w:rPr>
              <w:lastRenderedPageBreak/>
              <w:t>水生生物体中积累，其化学降解过程和生物降解过程相当缓慢，在环境中滞留时间较长，成为持久性污染物，由于二噁英类在自然环境分解的速度极为缓慢，因此可积聚在植被和被动物及水生生物吸入体内。二噁英类被动物吸入体内后，往往积聚在脂肪内。二噁英类多透过食物链累积，而动物会较植物、水、泥土或沉积物累积较高浓度的二噁英类。因此，项目排放的二噁英类降于周围耕地中，被土壤矿物表面吸附，在土壤中积累，并随土壤迁移，对土壤理化性质有一定的影响。</w:t>
            </w:r>
          </w:p>
          <w:p w14:paraId="755DA892" w14:textId="77777777" w:rsidR="00F76A63" w:rsidRDefault="00000000">
            <w:pPr>
              <w:snapToGrid w:val="0"/>
              <w:spacing w:line="500" w:lineRule="exact"/>
              <w:ind w:firstLineChars="200" w:firstLine="480"/>
              <w:rPr>
                <w:sz w:val="24"/>
                <w:szCs w:val="22"/>
              </w:rPr>
            </w:pPr>
            <w:r>
              <w:rPr>
                <w:sz w:val="24"/>
                <w:szCs w:val="22"/>
              </w:rPr>
              <w:t>项目焚烧烟气二噁英类排入空气后经重力沉降和雨水冲刷等综合作用，可能在周边土壤沉积。根据</w:t>
            </w:r>
            <w:r>
              <w:rPr>
                <w:sz w:val="24"/>
                <w:szCs w:val="22"/>
              </w:rPr>
              <w:t>Nadal</w:t>
            </w:r>
            <w:r>
              <w:rPr>
                <w:sz w:val="24"/>
                <w:szCs w:val="22"/>
              </w:rPr>
              <w:t>等人对西班牙塔拉戈纳的</w:t>
            </w:r>
            <w:r>
              <w:rPr>
                <w:sz w:val="24"/>
                <w:szCs w:val="22"/>
              </w:rPr>
              <w:t>Montcada</w:t>
            </w:r>
            <w:r>
              <w:rPr>
                <w:sz w:val="24"/>
                <w:szCs w:val="22"/>
              </w:rPr>
              <w:t>生活垃圾焚烧厂周边土壤二噁英类浓度研究，该焚烧厂在采取相应措施实现欧盟</w:t>
            </w:r>
            <w:r>
              <w:rPr>
                <w:sz w:val="24"/>
                <w:szCs w:val="22"/>
              </w:rPr>
              <w:t>0.1ngTEQ/m</w:t>
            </w:r>
            <w:r>
              <w:rPr>
                <w:sz w:val="24"/>
                <w:szCs w:val="22"/>
                <w:vertAlign w:val="superscript"/>
              </w:rPr>
              <w:t>3</w:t>
            </w:r>
            <w:r>
              <w:rPr>
                <w:sz w:val="24"/>
                <w:szCs w:val="22"/>
              </w:rPr>
              <w:t>的排放浓度限值后，周边土壤中的二噁英类含量与之前没有显著差异。技改项目对固废焚烧过程进行良好有计划的控制，通过采取一系列措施后，可使排放烟气中的二噁英类浓度保持在</w:t>
            </w:r>
            <w:r>
              <w:rPr>
                <w:sz w:val="24"/>
                <w:szCs w:val="22"/>
              </w:rPr>
              <w:t>0.1TEQng/Nm</w:t>
            </w:r>
            <w:r>
              <w:rPr>
                <w:sz w:val="24"/>
                <w:szCs w:val="22"/>
                <w:vertAlign w:val="superscript"/>
              </w:rPr>
              <w:t>3</w:t>
            </w:r>
            <w:r>
              <w:rPr>
                <w:sz w:val="24"/>
                <w:szCs w:val="22"/>
              </w:rPr>
              <w:t>以下。参考西班牙</w:t>
            </w:r>
            <w:r>
              <w:rPr>
                <w:sz w:val="24"/>
                <w:szCs w:val="22"/>
              </w:rPr>
              <w:t>Montcada</w:t>
            </w:r>
            <w:r>
              <w:rPr>
                <w:sz w:val="24"/>
                <w:szCs w:val="22"/>
              </w:rPr>
              <w:t>生活垃圾焚烧厂的有关研究，在保证处理效率和正常排放的情况下，基本不会引起土壤二噁英类浓度的显著积累，但仍建议项目在厂址周边多植树，尽可能减轻二噁英类沉降对土壤造成的不利影响，同时改善项目周边生态环境。因此，项目建设投产后，只要严格按照工艺设计操作，就可以防止二噁英类产量和排放量，对周边环境影响较小。综上，工程对焚烧烟气采取了严格的治理措施，可将重金属、二噁英类对土壤的影响降至最低，确保土壤环境质量不会出现显著恶化。</w:t>
            </w:r>
          </w:p>
          <w:p w14:paraId="2518EEF0" w14:textId="77777777" w:rsidR="00F76A63" w:rsidRDefault="00000000">
            <w:pPr>
              <w:snapToGrid w:val="0"/>
              <w:spacing w:line="500" w:lineRule="exact"/>
              <w:ind w:firstLineChars="200" w:firstLine="480"/>
              <w:rPr>
                <w:sz w:val="24"/>
                <w:szCs w:val="22"/>
              </w:rPr>
            </w:pPr>
            <w:r>
              <w:rPr>
                <w:sz w:val="24"/>
                <w:szCs w:val="22"/>
              </w:rPr>
              <w:t>3</w:t>
            </w:r>
            <w:r>
              <w:rPr>
                <w:sz w:val="24"/>
                <w:szCs w:val="22"/>
              </w:rPr>
              <w:t>）应急处置措施</w:t>
            </w:r>
          </w:p>
          <w:p w14:paraId="48933771" w14:textId="77777777" w:rsidR="00F76A63" w:rsidRDefault="00000000">
            <w:pPr>
              <w:snapToGrid w:val="0"/>
              <w:spacing w:line="500" w:lineRule="exact"/>
              <w:ind w:firstLineChars="200" w:firstLine="480"/>
              <w:rPr>
                <w:sz w:val="24"/>
                <w:szCs w:val="22"/>
              </w:rPr>
            </w:pPr>
            <w:r>
              <w:rPr>
                <w:sz w:val="24"/>
                <w:szCs w:val="22"/>
              </w:rPr>
              <w:t>Ⅰ</w:t>
            </w:r>
            <w:r>
              <w:rPr>
                <w:sz w:val="24"/>
                <w:szCs w:val="22"/>
              </w:rPr>
              <w:t>、应急措施</w:t>
            </w:r>
          </w:p>
          <w:p w14:paraId="52C2C41D" w14:textId="77777777" w:rsidR="00F76A63" w:rsidRDefault="00000000">
            <w:pPr>
              <w:snapToGrid w:val="0"/>
              <w:spacing w:line="500" w:lineRule="exact"/>
              <w:ind w:firstLineChars="200" w:firstLine="480"/>
              <w:rPr>
                <w:sz w:val="24"/>
                <w:szCs w:val="22"/>
              </w:rPr>
            </w:pPr>
            <w:r>
              <w:rPr>
                <w:sz w:val="24"/>
                <w:szCs w:val="22"/>
              </w:rPr>
              <w:t>一旦发现地下水发生异常情况，必须按照应急预案马上采取紧急措施：</w:t>
            </w:r>
          </w:p>
          <w:p w14:paraId="14EA731D"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①</w:t>
            </w:r>
            <w:r>
              <w:rPr>
                <w:sz w:val="24"/>
                <w:szCs w:val="22"/>
              </w:rPr>
              <w:t>当发生异常情况时，按照项目制定的环境事故应急预案，启动应急预案：采取减低事故后果的手段，包括切断生产装置或设施，采取紧急措施制止事故</w:t>
            </w:r>
            <w:r>
              <w:rPr>
                <w:sz w:val="24"/>
                <w:szCs w:val="22"/>
              </w:rPr>
              <w:lastRenderedPageBreak/>
              <w:t>的扩散、扩大；</w:t>
            </w:r>
          </w:p>
          <w:p w14:paraId="014EEC91"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②</w:t>
            </w:r>
            <w:r>
              <w:rPr>
                <w:sz w:val="24"/>
                <w:szCs w:val="22"/>
              </w:rPr>
              <w:t>组织专业队伍负责查找环境事故发生地点，分析事故原因，尽量将紧急事件局部化，如可能应予以消除，尽量缩小环境事故对人和财产的影响；</w:t>
            </w:r>
          </w:p>
          <w:p w14:paraId="4BD61FA9"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③</w:t>
            </w:r>
            <w:r>
              <w:rPr>
                <w:sz w:val="24"/>
                <w:szCs w:val="22"/>
              </w:rPr>
              <w:t>如果本公司力量不足，需要请求社会应急力量协助，在第一时间内尽快上报主管领导，启动周围社会预案；</w:t>
            </w:r>
          </w:p>
          <w:p w14:paraId="70897DF2"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④</w:t>
            </w:r>
            <w:r>
              <w:rPr>
                <w:sz w:val="24"/>
                <w:szCs w:val="22"/>
              </w:rPr>
              <w:t>对事故现场进行调查、监测、跟踪处理，密切关注地下水水质变化情况；</w:t>
            </w:r>
          </w:p>
          <w:p w14:paraId="65B19344"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⑤</w:t>
            </w:r>
            <w:r>
              <w:rPr>
                <w:sz w:val="24"/>
                <w:szCs w:val="22"/>
              </w:rPr>
              <w:t>对事故后果进行评估，并制定防止类似事件发生的措施。</w:t>
            </w:r>
          </w:p>
          <w:p w14:paraId="686B7656" w14:textId="77777777" w:rsidR="00F76A63" w:rsidRDefault="00000000">
            <w:pPr>
              <w:snapToGrid w:val="0"/>
              <w:spacing w:line="500" w:lineRule="exact"/>
              <w:ind w:firstLineChars="200" w:firstLine="480"/>
              <w:rPr>
                <w:sz w:val="24"/>
                <w:szCs w:val="22"/>
              </w:rPr>
            </w:pPr>
            <w:r>
              <w:rPr>
                <w:sz w:val="24"/>
                <w:szCs w:val="22"/>
              </w:rPr>
              <w:t>地下水污染的治理相对于地表水来说更加复杂，在进行具体的治理时，还需要考虑以下因素：</w:t>
            </w:r>
          </w:p>
          <w:p w14:paraId="7DA7AAE3"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①</w:t>
            </w:r>
            <w:r>
              <w:rPr>
                <w:sz w:val="24"/>
                <w:szCs w:val="22"/>
              </w:rPr>
              <w:t>在具体的地下水污染治理中，往往要多种技术结合使用。一般在治理初期，先使用物理法或水动力控制法将污染区封闭，然后尽量收集纯污染物如油类等，最后再使用抽出处理法或原位法进行治理。</w:t>
            </w:r>
          </w:p>
          <w:p w14:paraId="2453CB04"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②</w:t>
            </w:r>
            <w:r>
              <w:rPr>
                <w:sz w:val="24"/>
                <w:szCs w:val="22"/>
              </w:rPr>
              <w:t>因为污染区域的水文地质条件和地球化学特性都会影响到地下水污染的治理，因此地下水污染的治理通常要以水文地质工作为前提。</w:t>
            </w:r>
          </w:p>
          <w:p w14:paraId="3DA0185E"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③</w:t>
            </w:r>
            <w:r>
              <w:rPr>
                <w:sz w:val="24"/>
                <w:szCs w:val="22"/>
              </w:rPr>
              <w:t>受污染地下水的修复往往还要包括土壤的修复。地下水和土壤是相互作用的，如果只治理了受污染的地下水而不治理土壤，由于雨水的淋滤或地下水位的波动，污染物会再次进入地下水体，形成交叉污染，使地下水的治理前功尽弃。</w:t>
            </w:r>
          </w:p>
          <w:p w14:paraId="41D3A5AA" w14:textId="77777777" w:rsidR="00F76A63" w:rsidRDefault="00000000">
            <w:pPr>
              <w:snapToGrid w:val="0"/>
              <w:spacing w:line="500" w:lineRule="exact"/>
              <w:ind w:firstLineChars="200" w:firstLine="480"/>
              <w:rPr>
                <w:sz w:val="24"/>
                <w:szCs w:val="22"/>
              </w:rPr>
            </w:pPr>
            <w:r>
              <w:rPr>
                <w:sz w:val="24"/>
                <w:szCs w:val="22"/>
              </w:rPr>
              <w:t>Ⅱ</w:t>
            </w:r>
            <w:r>
              <w:rPr>
                <w:sz w:val="24"/>
                <w:szCs w:val="22"/>
              </w:rPr>
              <w:t>、应急预案</w:t>
            </w:r>
          </w:p>
          <w:p w14:paraId="6F874A97"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①</w:t>
            </w:r>
            <w:r>
              <w:rPr>
                <w:sz w:val="24"/>
                <w:szCs w:val="22"/>
              </w:rPr>
              <w:t>地下水污染事故的应急措施应在制定的安全管理体制的基础上，与其它应急预案相协调，制定企业、丹徒区及镇江市三级响应应急预案。</w:t>
            </w:r>
          </w:p>
          <w:p w14:paraId="344568E9" w14:textId="77777777" w:rsidR="00F76A63" w:rsidRDefault="00000000">
            <w:pPr>
              <w:snapToGrid w:val="0"/>
              <w:spacing w:line="500" w:lineRule="exact"/>
              <w:ind w:firstLineChars="200" w:firstLine="480"/>
              <w:rPr>
                <w:sz w:val="24"/>
                <w:szCs w:val="22"/>
              </w:rPr>
            </w:pPr>
            <w:r>
              <w:rPr>
                <w:rFonts w:ascii="Cambria Math" w:hAnsi="Cambria Math" w:cs="Cambria Math"/>
                <w:sz w:val="24"/>
                <w:szCs w:val="22"/>
              </w:rPr>
              <w:t>②</w:t>
            </w:r>
            <w:r>
              <w:rPr>
                <w:sz w:val="24"/>
                <w:szCs w:val="22"/>
              </w:rPr>
              <w:t>应急预案应包括以下内容：</w:t>
            </w:r>
          </w:p>
          <w:p w14:paraId="65D67567" w14:textId="77777777" w:rsidR="00F76A63" w:rsidRDefault="00000000">
            <w:pPr>
              <w:snapToGrid w:val="0"/>
              <w:spacing w:line="500" w:lineRule="exact"/>
              <w:ind w:firstLineChars="200" w:firstLine="480"/>
              <w:rPr>
                <w:sz w:val="24"/>
                <w:szCs w:val="22"/>
              </w:rPr>
            </w:pPr>
            <w:r>
              <w:rPr>
                <w:sz w:val="24"/>
                <w:szCs w:val="22"/>
              </w:rPr>
              <w:t>应急预案的制定机构：应急预案的日常协调和指挥机构；相关部门在应急预案中的职责和分工；地下水环境保护目标的确定和潜在污染可能性评估；应急救援组织状况和人员，装备情况。应急救援组织的训练和演习；特大环境事</w:t>
            </w:r>
            <w:r>
              <w:rPr>
                <w:sz w:val="24"/>
                <w:szCs w:val="22"/>
              </w:rPr>
              <w:lastRenderedPageBreak/>
              <w:t>故的紧急处置措施，人员疏散措施，工程抢险措施，现场医疗急救措施。特大环境事故的社会支持和援助；特大环境事故应急救援的经费保障。</w:t>
            </w:r>
          </w:p>
          <w:p w14:paraId="6F62EA8C" w14:textId="77777777" w:rsidR="00F76A63" w:rsidRDefault="00000000">
            <w:pPr>
              <w:snapToGrid w:val="0"/>
              <w:spacing w:line="500" w:lineRule="exact"/>
              <w:ind w:firstLineChars="200" w:firstLine="480"/>
              <w:rPr>
                <w:sz w:val="24"/>
                <w:szCs w:val="22"/>
              </w:rPr>
            </w:pPr>
            <w:r>
              <w:rPr>
                <w:sz w:val="24"/>
                <w:szCs w:val="22"/>
              </w:rPr>
              <w:t>由污染途径及对应措施分析可知，项目对可能产生地下水影响的各项途径均进行有效预防，在确保各项防渗措施得以落实，并加强维护和厂区环境管理的前提下，可有效控制厂区内的废水污染物下渗现象，避免污染地下水，因此项目正常运行不会对区域地下水环境产生明显影响。</w:t>
            </w:r>
          </w:p>
          <w:p w14:paraId="40CCFFE9" w14:textId="77777777" w:rsidR="00F76A63" w:rsidRDefault="00000000">
            <w:pPr>
              <w:snapToGrid w:val="0"/>
              <w:spacing w:line="500" w:lineRule="exact"/>
              <w:ind w:firstLineChars="200" w:firstLine="480"/>
              <w:rPr>
                <w:sz w:val="24"/>
                <w:szCs w:val="22"/>
              </w:rPr>
            </w:pPr>
            <w:r>
              <w:rPr>
                <w:sz w:val="24"/>
                <w:szCs w:val="22"/>
              </w:rPr>
              <w:t>针对可能发生的地下水污染，技改项目运行期地下水污染防治措施将按照</w:t>
            </w:r>
            <w:r>
              <w:rPr>
                <w:sz w:val="24"/>
                <w:szCs w:val="22"/>
              </w:rPr>
              <w:t>“</w:t>
            </w:r>
            <w:r>
              <w:rPr>
                <w:sz w:val="24"/>
                <w:szCs w:val="22"/>
              </w:rPr>
              <w:t>源头控制、分区防治、污染监控、应急响应</w:t>
            </w:r>
            <w:r>
              <w:rPr>
                <w:sz w:val="24"/>
                <w:szCs w:val="22"/>
              </w:rPr>
              <w:t>”</w:t>
            </w:r>
            <w:r>
              <w:rPr>
                <w:sz w:val="24"/>
                <w:szCs w:val="22"/>
              </w:rPr>
              <w:t>相结合的原则，从污染物的产生、入渗、扩散、应急响应全方位进行监控。综上，采取以上措施能有效防止项目废水或废液下渗污染地下水及土壤。</w:t>
            </w:r>
          </w:p>
          <w:p w14:paraId="13825BA6" w14:textId="77777777" w:rsidR="00F76A63" w:rsidRDefault="00000000">
            <w:pPr>
              <w:snapToGrid w:val="0"/>
              <w:spacing w:line="500" w:lineRule="exact"/>
              <w:ind w:firstLineChars="200" w:firstLine="480"/>
              <w:rPr>
                <w:sz w:val="24"/>
                <w:szCs w:val="22"/>
              </w:rPr>
            </w:pPr>
            <w:r>
              <w:rPr>
                <w:sz w:val="24"/>
                <w:szCs w:val="22"/>
              </w:rPr>
              <w:t>跟踪监测计划：</w:t>
            </w:r>
          </w:p>
          <w:p w14:paraId="0B02A628" w14:textId="77777777" w:rsidR="00F76A63" w:rsidRDefault="00000000">
            <w:pPr>
              <w:snapToGrid w:val="0"/>
              <w:spacing w:line="500" w:lineRule="exact"/>
              <w:ind w:firstLineChars="200" w:firstLine="482"/>
              <w:jc w:val="center"/>
              <w:rPr>
                <w:b/>
                <w:sz w:val="24"/>
                <w:szCs w:val="22"/>
              </w:rPr>
            </w:pPr>
            <w:r>
              <w:rPr>
                <w:b/>
                <w:sz w:val="24"/>
                <w:szCs w:val="22"/>
              </w:rPr>
              <w:t>表</w:t>
            </w:r>
            <w:r>
              <w:rPr>
                <w:b/>
                <w:sz w:val="24"/>
                <w:szCs w:val="22"/>
              </w:rPr>
              <w:t xml:space="preserve">4-5  </w:t>
            </w:r>
            <w:r>
              <w:rPr>
                <w:b/>
                <w:sz w:val="24"/>
                <w:szCs w:val="22"/>
              </w:rPr>
              <w:t>地下水、土壤跟踪监测计划表</w:t>
            </w:r>
          </w:p>
          <w:tbl>
            <w:tblPr>
              <w:tblW w:w="4998"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2"/>
              <w:gridCol w:w="697"/>
              <w:gridCol w:w="1463"/>
              <w:gridCol w:w="4159"/>
              <w:gridCol w:w="1179"/>
            </w:tblGrid>
            <w:tr w:rsidR="00F76A63" w14:paraId="3C665417" w14:textId="77777777">
              <w:trPr>
                <w:trHeight w:val="340"/>
                <w:jc w:val="center"/>
              </w:trPr>
              <w:tc>
                <w:tcPr>
                  <w:tcW w:w="422" w:type="pct"/>
                  <w:tcBorders>
                    <w:top w:val="single" w:sz="12" w:space="0" w:color="auto"/>
                    <w:left w:val="nil"/>
                    <w:bottom w:val="single" w:sz="4" w:space="0" w:color="auto"/>
                    <w:right w:val="single" w:sz="4" w:space="0" w:color="auto"/>
                  </w:tcBorders>
                  <w:vAlign w:val="center"/>
                </w:tcPr>
                <w:p w14:paraId="7FACFE81" w14:textId="77777777" w:rsidR="00F76A63" w:rsidRDefault="00000000">
                  <w:pPr>
                    <w:pStyle w:val="affff8"/>
                    <w:rPr>
                      <w:rFonts w:cs="Times New Roman"/>
                      <w:b/>
                      <w:bCs/>
                      <w:szCs w:val="21"/>
                    </w:rPr>
                  </w:pPr>
                  <w:bookmarkStart w:id="126" w:name="_Hlk103675029"/>
                  <w:r>
                    <w:rPr>
                      <w:rFonts w:cs="Times New Roman"/>
                      <w:b/>
                      <w:bCs/>
                    </w:rPr>
                    <w:t>监测</w:t>
                  </w:r>
                  <w:bookmarkEnd w:id="126"/>
                </w:p>
                <w:p w14:paraId="2AACA0FD" w14:textId="77777777" w:rsidR="00F76A63" w:rsidRDefault="00000000">
                  <w:pPr>
                    <w:pStyle w:val="affff8"/>
                    <w:rPr>
                      <w:rFonts w:cs="Times New Roman"/>
                      <w:b/>
                      <w:bCs/>
                    </w:rPr>
                  </w:pPr>
                  <w:r>
                    <w:rPr>
                      <w:rFonts w:cs="Times New Roman"/>
                      <w:b/>
                      <w:bCs/>
                    </w:rPr>
                    <w:t>类别</w:t>
                  </w:r>
                </w:p>
              </w:tc>
              <w:tc>
                <w:tcPr>
                  <w:tcW w:w="425" w:type="pct"/>
                  <w:tcBorders>
                    <w:top w:val="single" w:sz="12" w:space="0" w:color="auto"/>
                    <w:left w:val="nil"/>
                    <w:bottom w:val="single" w:sz="4" w:space="0" w:color="auto"/>
                    <w:right w:val="single" w:sz="4" w:space="0" w:color="auto"/>
                  </w:tcBorders>
                  <w:vAlign w:val="center"/>
                </w:tcPr>
                <w:p w14:paraId="3BA8C2C8" w14:textId="77777777" w:rsidR="00F76A63" w:rsidRDefault="00000000">
                  <w:pPr>
                    <w:pStyle w:val="affff8"/>
                    <w:rPr>
                      <w:rFonts w:cs="Times New Roman"/>
                      <w:b/>
                      <w:bCs/>
                    </w:rPr>
                  </w:pPr>
                  <w:r>
                    <w:rPr>
                      <w:rFonts w:cs="Times New Roman"/>
                      <w:b/>
                      <w:bCs/>
                    </w:rPr>
                    <w:t>类别</w:t>
                  </w:r>
                </w:p>
              </w:tc>
              <w:tc>
                <w:tcPr>
                  <w:tcW w:w="893" w:type="pct"/>
                  <w:tcBorders>
                    <w:top w:val="single" w:sz="12" w:space="0" w:color="auto"/>
                    <w:left w:val="nil"/>
                    <w:bottom w:val="single" w:sz="4" w:space="0" w:color="auto"/>
                    <w:right w:val="single" w:sz="4" w:space="0" w:color="auto"/>
                  </w:tcBorders>
                  <w:vAlign w:val="center"/>
                </w:tcPr>
                <w:p w14:paraId="54454753" w14:textId="77777777" w:rsidR="00F76A63" w:rsidRDefault="00000000">
                  <w:pPr>
                    <w:pStyle w:val="affff8"/>
                    <w:rPr>
                      <w:rFonts w:cs="Times New Roman"/>
                      <w:b/>
                      <w:bCs/>
                    </w:rPr>
                  </w:pPr>
                  <w:r>
                    <w:rPr>
                      <w:rFonts w:cs="Times New Roman"/>
                      <w:b/>
                      <w:bCs/>
                    </w:rPr>
                    <w:t>监测点</w:t>
                  </w:r>
                </w:p>
              </w:tc>
              <w:tc>
                <w:tcPr>
                  <w:tcW w:w="2538" w:type="pct"/>
                  <w:tcBorders>
                    <w:top w:val="single" w:sz="12" w:space="0" w:color="auto"/>
                    <w:left w:val="nil"/>
                    <w:bottom w:val="single" w:sz="4" w:space="0" w:color="auto"/>
                    <w:right w:val="single" w:sz="4" w:space="0" w:color="auto"/>
                  </w:tcBorders>
                  <w:vAlign w:val="center"/>
                </w:tcPr>
                <w:p w14:paraId="00CE1EBC" w14:textId="77777777" w:rsidR="00F76A63" w:rsidRDefault="00000000">
                  <w:pPr>
                    <w:pStyle w:val="affff8"/>
                    <w:rPr>
                      <w:rFonts w:cs="Times New Roman"/>
                      <w:b/>
                      <w:bCs/>
                    </w:rPr>
                  </w:pPr>
                  <w:r>
                    <w:rPr>
                      <w:rFonts w:cs="Times New Roman"/>
                      <w:b/>
                      <w:bCs/>
                    </w:rPr>
                    <w:t>监测因子</w:t>
                  </w:r>
                </w:p>
              </w:tc>
              <w:tc>
                <w:tcPr>
                  <w:tcW w:w="720" w:type="pct"/>
                  <w:tcBorders>
                    <w:top w:val="single" w:sz="12" w:space="0" w:color="auto"/>
                    <w:left w:val="nil"/>
                    <w:bottom w:val="single" w:sz="4" w:space="0" w:color="auto"/>
                    <w:right w:val="nil"/>
                  </w:tcBorders>
                  <w:vAlign w:val="center"/>
                </w:tcPr>
                <w:p w14:paraId="7E7DD521" w14:textId="77777777" w:rsidR="00F76A63" w:rsidRDefault="00000000">
                  <w:pPr>
                    <w:pStyle w:val="affff8"/>
                    <w:rPr>
                      <w:rFonts w:cs="Times New Roman"/>
                      <w:b/>
                      <w:bCs/>
                    </w:rPr>
                  </w:pPr>
                  <w:r>
                    <w:rPr>
                      <w:rFonts w:cs="Times New Roman"/>
                      <w:b/>
                      <w:bCs/>
                    </w:rPr>
                    <w:t>监测频次</w:t>
                  </w:r>
                </w:p>
              </w:tc>
            </w:tr>
            <w:tr w:rsidR="00F76A63" w14:paraId="2CCBA222" w14:textId="77777777">
              <w:trPr>
                <w:trHeight w:val="340"/>
                <w:jc w:val="center"/>
              </w:trPr>
              <w:tc>
                <w:tcPr>
                  <w:tcW w:w="422" w:type="pct"/>
                  <w:vMerge w:val="restart"/>
                  <w:tcBorders>
                    <w:top w:val="nil"/>
                    <w:left w:val="nil"/>
                    <w:bottom w:val="single" w:sz="4" w:space="0" w:color="auto"/>
                    <w:right w:val="single" w:sz="4" w:space="0" w:color="auto"/>
                  </w:tcBorders>
                  <w:vAlign w:val="center"/>
                </w:tcPr>
                <w:p w14:paraId="3CB4DA89" w14:textId="77777777" w:rsidR="00F76A63" w:rsidRDefault="00000000">
                  <w:pPr>
                    <w:pStyle w:val="affff8"/>
                    <w:rPr>
                      <w:rFonts w:cs="Times New Roman"/>
                    </w:rPr>
                  </w:pPr>
                  <w:r>
                    <w:rPr>
                      <w:rFonts w:cs="Times New Roman"/>
                    </w:rPr>
                    <w:t>环境</w:t>
                  </w:r>
                </w:p>
                <w:p w14:paraId="01308DFE" w14:textId="77777777" w:rsidR="00F76A63" w:rsidRDefault="00000000">
                  <w:pPr>
                    <w:pStyle w:val="affff8"/>
                    <w:rPr>
                      <w:rFonts w:cs="Times New Roman"/>
                    </w:rPr>
                  </w:pPr>
                  <w:r>
                    <w:rPr>
                      <w:rFonts w:cs="Times New Roman"/>
                    </w:rPr>
                    <w:t>质量</w:t>
                  </w:r>
                </w:p>
                <w:p w14:paraId="3EC4030B" w14:textId="77777777" w:rsidR="00F76A63" w:rsidRDefault="00000000">
                  <w:pPr>
                    <w:pStyle w:val="affff8"/>
                    <w:rPr>
                      <w:rFonts w:cs="Times New Roman"/>
                    </w:rPr>
                  </w:pPr>
                  <w:r>
                    <w:rPr>
                      <w:rFonts w:cs="Times New Roman"/>
                    </w:rPr>
                    <w:t>检测</w:t>
                  </w:r>
                </w:p>
              </w:tc>
              <w:tc>
                <w:tcPr>
                  <w:tcW w:w="425" w:type="pct"/>
                  <w:tcBorders>
                    <w:top w:val="single" w:sz="4" w:space="0" w:color="auto"/>
                    <w:left w:val="nil"/>
                    <w:bottom w:val="single" w:sz="4" w:space="0" w:color="auto"/>
                    <w:right w:val="single" w:sz="4" w:space="0" w:color="auto"/>
                  </w:tcBorders>
                  <w:vAlign w:val="center"/>
                </w:tcPr>
                <w:p w14:paraId="00B59890" w14:textId="77777777" w:rsidR="00F76A63" w:rsidRDefault="00000000">
                  <w:pPr>
                    <w:pStyle w:val="affff8"/>
                    <w:rPr>
                      <w:rFonts w:cs="Times New Roman"/>
                    </w:rPr>
                  </w:pPr>
                  <w:r>
                    <w:rPr>
                      <w:rFonts w:cs="Times New Roman"/>
                    </w:rPr>
                    <w:t>地下水环境</w:t>
                  </w:r>
                </w:p>
              </w:tc>
              <w:tc>
                <w:tcPr>
                  <w:tcW w:w="893" w:type="pct"/>
                  <w:tcBorders>
                    <w:top w:val="single" w:sz="4" w:space="0" w:color="auto"/>
                    <w:left w:val="nil"/>
                    <w:bottom w:val="single" w:sz="4" w:space="0" w:color="auto"/>
                    <w:right w:val="single" w:sz="4" w:space="0" w:color="auto"/>
                  </w:tcBorders>
                  <w:vAlign w:val="center"/>
                </w:tcPr>
                <w:p w14:paraId="51AA89E7" w14:textId="77777777" w:rsidR="00F76A63" w:rsidRDefault="00000000">
                  <w:pPr>
                    <w:pStyle w:val="affff8"/>
                    <w:rPr>
                      <w:rFonts w:cs="Times New Roman"/>
                    </w:rPr>
                  </w:pPr>
                  <w:r>
                    <w:rPr>
                      <w:rFonts w:cs="Times New Roman"/>
                    </w:rPr>
                    <w:t>项目所在地，上、下游各</w:t>
                  </w:r>
                  <w:r>
                    <w:rPr>
                      <w:rFonts w:cs="Times New Roman"/>
                    </w:rPr>
                    <w:t>1</w:t>
                  </w:r>
                  <w:r>
                    <w:rPr>
                      <w:rFonts w:cs="Times New Roman"/>
                    </w:rPr>
                    <w:t>个，共</w:t>
                  </w:r>
                  <w:r>
                    <w:rPr>
                      <w:rFonts w:cs="Times New Roman"/>
                    </w:rPr>
                    <w:t>3</w:t>
                  </w:r>
                  <w:r>
                    <w:rPr>
                      <w:rFonts w:cs="Times New Roman"/>
                    </w:rPr>
                    <w:t>个点位</w:t>
                  </w:r>
                </w:p>
              </w:tc>
              <w:tc>
                <w:tcPr>
                  <w:tcW w:w="2538" w:type="pct"/>
                  <w:tcBorders>
                    <w:top w:val="single" w:sz="4" w:space="0" w:color="auto"/>
                    <w:left w:val="nil"/>
                    <w:bottom w:val="single" w:sz="4" w:space="0" w:color="auto"/>
                    <w:right w:val="single" w:sz="4" w:space="0" w:color="auto"/>
                  </w:tcBorders>
                  <w:vAlign w:val="center"/>
                </w:tcPr>
                <w:p w14:paraId="1679489A" w14:textId="77777777" w:rsidR="00F76A63" w:rsidRDefault="00000000">
                  <w:pPr>
                    <w:pStyle w:val="affff8"/>
                    <w:rPr>
                      <w:rFonts w:cs="Times New Roman"/>
                    </w:rPr>
                  </w:pPr>
                  <w:r>
                    <w:rPr>
                      <w:rFonts w:cs="Times New Roman"/>
                    </w:rPr>
                    <w:t>pH</w:t>
                  </w:r>
                  <w:r>
                    <w:rPr>
                      <w:rFonts w:cs="Times New Roman"/>
                    </w:rPr>
                    <w:t>、溶解性总固体、总硬度、硝酸盐氮、亚硝酸盐氮、硫酸盐、氯化物、挥发酚、总大肠菌群、石油类、高锰酸盐指数、氨氮、总镉、总铬、六价铬、铅、镍、砷</w:t>
                  </w:r>
                </w:p>
              </w:tc>
              <w:tc>
                <w:tcPr>
                  <w:tcW w:w="720" w:type="pct"/>
                  <w:tcBorders>
                    <w:top w:val="single" w:sz="4" w:space="0" w:color="auto"/>
                    <w:left w:val="nil"/>
                    <w:bottom w:val="single" w:sz="4" w:space="0" w:color="auto"/>
                    <w:right w:val="nil"/>
                  </w:tcBorders>
                  <w:vAlign w:val="center"/>
                </w:tcPr>
                <w:p w14:paraId="45E2E72E" w14:textId="77777777" w:rsidR="00F76A63" w:rsidRDefault="00000000">
                  <w:pPr>
                    <w:pStyle w:val="affff8"/>
                    <w:rPr>
                      <w:rFonts w:cs="Times New Roman"/>
                    </w:rPr>
                  </w:pPr>
                  <w:r>
                    <w:rPr>
                      <w:rFonts w:cs="Times New Roman"/>
                    </w:rPr>
                    <w:t>每年丰水、枯水期各</w:t>
                  </w:r>
                  <w:r>
                    <w:rPr>
                      <w:rFonts w:cs="Times New Roman"/>
                    </w:rPr>
                    <w:t>1</w:t>
                  </w:r>
                  <w:r>
                    <w:rPr>
                      <w:rFonts w:cs="Times New Roman"/>
                    </w:rPr>
                    <w:t>次</w:t>
                  </w:r>
                </w:p>
              </w:tc>
            </w:tr>
            <w:tr w:rsidR="00F76A63" w14:paraId="37B409DD" w14:textId="77777777">
              <w:trPr>
                <w:trHeight w:val="340"/>
                <w:jc w:val="center"/>
              </w:trPr>
              <w:tc>
                <w:tcPr>
                  <w:tcW w:w="708" w:type="dxa"/>
                  <w:vMerge/>
                  <w:tcBorders>
                    <w:top w:val="nil"/>
                    <w:left w:val="nil"/>
                    <w:bottom w:val="single" w:sz="4" w:space="0" w:color="auto"/>
                    <w:right w:val="single" w:sz="4" w:space="0" w:color="auto"/>
                  </w:tcBorders>
                  <w:vAlign w:val="center"/>
                </w:tcPr>
                <w:p w14:paraId="1B17C4B3" w14:textId="77777777" w:rsidR="00F76A63" w:rsidRDefault="00F76A63">
                  <w:pPr>
                    <w:widowControl/>
                    <w:rPr>
                      <w:spacing w:val="4"/>
                      <w:kern w:val="0"/>
                      <w:szCs w:val="21"/>
                    </w:rPr>
                  </w:pPr>
                </w:p>
              </w:tc>
              <w:tc>
                <w:tcPr>
                  <w:tcW w:w="425" w:type="pct"/>
                  <w:tcBorders>
                    <w:top w:val="single" w:sz="4" w:space="0" w:color="auto"/>
                    <w:left w:val="nil"/>
                    <w:bottom w:val="single" w:sz="12" w:space="0" w:color="auto"/>
                    <w:right w:val="single" w:sz="4" w:space="0" w:color="auto"/>
                  </w:tcBorders>
                  <w:vAlign w:val="center"/>
                </w:tcPr>
                <w:p w14:paraId="79E1D267" w14:textId="77777777" w:rsidR="00F76A63" w:rsidRDefault="00000000">
                  <w:pPr>
                    <w:pStyle w:val="affff8"/>
                    <w:rPr>
                      <w:rFonts w:cs="Times New Roman"/>
                    </w:rPr>
                  </w:pPr>
                  <w:r>
                    <w:rPr>
                      <w:rFonts w:cs="Times New Roman"/>
                    </w:rPr>
                    <w:t>土壤</w:t>
                  </w:r>
                </w:p>
                <w:p w14:paraId="6751AF47" w14:textId="77777777" w:rsidR="00F76A63" w:rsidRDefault="00000000">
                  <w:pPr>
                    <w:pStyle w:val="affff8"/>
                    <w:rPr>
                      <w:rFonts w:cs="Times New Roman"/>
                    </w:rPr>
                  </w:pPr>
                  <w:r>
                    <w:rPr>
                      <w:rFonts w:cs="Times New Roman"/>
                    </w:rPr>
                    <w:t>环境</w:t>
                  </w:r>
                </w:p>
              </w:tc>
              <w:tc>
                <w:tcPr>
                  <w:tcW w:w="893" w:type="pct"/>
                  <w:tcBorders>
                    <w:top w:val="single" w:sz="4" w:space="0" w:color="auto"/>
                    <w:left w:val="nil"/>
                    <w:bottom w:val="single" w:sz="12" w:space="0" w:color="auto"/>
                    <w:right w:val="single" w:sz="4" w:space="0" w:color="auto"/>
                  </w:tcBorders>
                  <w:vAlign w:val="center"/>
                </w:tcPr>
                <w:p w14:paraId="43BE2C5B" w14:textId="77777777" w:rsidR="00F76A63" w:rsidRDefault="00000000">
                  <w:pPr>
                    <w:pStyle w:val="affff8"/>
                    <w:rPr>
                      <w:rFonts w:cs="Times New Roman"/>
                    </w:rPr>
                  </w:pPr>
                  <w:r>
                    <w:rPr>
                      <w:rFonts w:cs="Times New Roman"/>
                    </w:rPr>
                    <w:t>下风向布设一个监测点</w:t>
                  </w:r>
                </w:p>
              </w:tc>
              <w:tc>
                <w:tcPr>
                  <w:tcW w:w="2538" w:type="pct"/>
                  <w:tcBorders>
                    <w:top w:val="single" w:sz="4" w:space="0" w:color="auto"/>
                    <w:left w:val="nil"/>
                    <w:bottom w:val="single" w:sz="12" w:space="0" w:color="auto"/>
                    <w:right w:val="single" w:sz="4" w:space="0" w:color="auto"/>
                  </w:tcBorders>
                  <w:vAlign w:val="center"/>
                </w:tcPr>
                <w:p w14:paraId="71B878AC" w14:textId="77777777" w:rsidR="00F76A63" w:rsidRDefault="00000000">
                  <w:pPr>
                    <w:pStyle w:val="affff8"/>
                    <w:rPr>
                      <w:rFonts w:cs="Times New Roman"/>
                    </w:rPr>
                  </w:pPr>
                  <w:r>
                    <w:rPr>
                      <w:rFonts w:cs="Times New Roman"/>
                    </w:rPr>
                    <w:t>pH</w:t>
                  </w:r>
                  <w:r>
                    <w:rPr>
                      <w:rFonts w:cs="Times New Roman"/>
                    </w:rPr>
                    <w:t>、铜、锌、铅、镉、砷、汞、总铬、镍、二噁英类</w:t>
                  </w:r>
                </w:p>
              </w:tc>
              <w:tc>
                <w:tcPr>
                  <w:tcW w:w="720" w:type="pct"/>
                  <w:tcBorders>
                    <w:top w:val="single" w:sz="4" w:space="0" w:color="auto"/>
                    <w:left w:val="nil"/>
                    <w:bottom w:val="single" w:sz="12" w:space="0" w:color="auto"/>
                    <w:right w:val="nil"/>
                  </w:tcBorders>
                  <w:vAlign w:val="center"/>
                </w:tcPr>
                <w:p w14:paraId="4CFA419D" w14:textId="77777777" w:rsidR="00F76A63" w:rsidRDefault="00000000">
                  <w:pPr>
                    <w:pStyle w:val="affff8"/>
                    <w:rPr>
                      <w:rFonts w:cs="Times New Roman"/>
                    </w:rPr>
                  </w:pPr>
                  <w:r>
                    <w:rPr>
                      <w:rFonts w:cs="Times New Roman"/>
                    </w:rPr>
                    <w:t>每</w:t>
                  </w:r>
                  <w:r>
                    <w:rPr>
                      <w:rFonts w:cs="Times New Roman"/>
                    </w:rPr>
                    <w:t>5</w:t>
                  </w:r>
                  <w:r>
                    <w:rPr>
                      <w:rFonts w:cs="Times New Roman"/>
                    </w:rPr>
                    <w:t>年</w:t>
                  </w:r>
                  <w:r>
                    <w:rPr>
                      <w:rFonts w:cs="Times New Roman"/>
                    </w:rPr>
                    <w:t>1</w:t>
                  </w:r>
                  <w:r>
                    <w:rPr>
                      <w:rFonts w:cs="Times New Roman"/>
                    </w:rPr>
                    <w:t>次</w:t>
                  </w:r>
                </w:p>
              </w:tc>
            </w:tr>
          </w:tbl>
          <w:p w14:paraId="10EB375C" w14:textId="77777777" w:rsidR="00F76A63" w:rsidRDefault="00000000">
            <w:pPr>
              <w:snapToGrid w:val="0"/>
              <w:spacing w:line="500" w:lineRule="exact"/>
              <w:ind w:firstLineChars="200" w:firstLine="482"/>
              <w:rPr>
                <w:b/>
                <w:sz w:val="24"/>
                <w:szCs w:val="22"/>
              </w:rPr>
            </w:pPr>
            <w:r>
              <w:rPr>
                <w:b/>
                <w:sz w:val="24"/>
                <w:szCs w:val="22"/>
              </w:rPr>
              <w:t>6</w:t>
            </w:r>
            <w:r>
              <w:rPr>
                <w:b/>
                <w:sz w:val="24"/>
                <w:szCs w:val="22"/>
              </w:rPr>
              <w:t>、生态环境影响</w:t>
            </w:r>
          </w:p>
          <w:p w14:paraId="2AB77042" w14:textId="77777777" w:rsidR="00F76A63" w:rsidRDefault="00000000">
            <w:pPr>
              <w:snapToGrid w:val="0"/>
              <w:spacing w:line="500" w:lineRule="exact"/>
              <w:ind w:firstLineChars="200" w:firstLine="480"/>
              <w:rPr>
                <w:sz w:val="24"/>
                <w:szCs w:val="22"/>
              </w:rPr>
            </w:pPr>
            <w:r>
              <w:rPr>
                <w:sz w:val="24"/>
                <w:szCs w:val="22"/>
              </w:rPr>
              <w:t>本项目为技改项目，在现有厂区内进行改造，不新增用地，不涉及周边生态破坏，对生态环境影响较小。</w:t>
            </w:r>
          </w:p>
          <w:p w14:paraId="5A5A516B" w14:textId="77777777" w:rsidR="00F76A63" w:rsidRDefault="00000000">
            <w:pPr>
              <w:snapToGrid w:val="0"/>
              <w:spacing w:line="500" w:lineRule="exact"/>
              <w:ind w:firstLineChars="200" w:firstLine="482"/>
              <w:rPr>
                <w:b/>
                <w:bCs/>
                <w:sz w:val="24"/>
                <w:szCs w:val="22"/>
              </w:rPr>
            </w:pPr>
            <w:r>
              <w:rPr>
                <w:b/>
                <w:bCs/>
                <w:sz w:val="24"/>
                <w:szCs w:val="22"/>
              </w:rPr>
              <w:t>7</w:t>
            </w:r>
            <w:r>
              <w:rPr>
                <w:b/>
                <w:bCs/>
                <w:sz w:val="24"/>
                <w:szCs w:val="22"/>
              </w:rPr>
              <w:t>、环境风险</w:t>
            </w:r>
          </w:p>
          <w:p w14:paraId="55F24D9C" w14:textId="77777777" w:rsidR="00F76A63" w:rsidRDefault="00000000">
            <w:pPr>
              <w:snapToGrid w:val="0"/>
              <w:spacing w:line="500" w:lineRule="exact"/>
              <w:ind w:firstLineChars="200" w:firstLine="480"/>
              <w:rPr>
                <w:sz w:val="24"/>
                <w:szCs w:val="22"/>
              </w:rPr>
            </w:pPr>
            <w:r>
              <w:rPr>
                <w:sz w:val="24"/>
                <w:szCs w:val="22"/>
              </w:rPr>
              <w:t>本项目设置环境风险专项评价，环境风险影响和防治措施等内容在专项评价报告中单独进行分析，此处引用环境风险专项评价结论：</w:t>
            </w:r>
          </w:p>
          <w:p w14:paraId="4B984E69" w14:textId="77777777" w:rsidR="00F76A63" w:rsidRDefault="00000000">
            <w:pPr>
              <w:snapToGrid w:val="0"/>
              <w:spacing w:line="500" w:lineRule="exact"/>
              <w:ind w:firstLineChars="200" w:firstLine="480"/>
              <w:rPr>
                <w:sz w:val="24"/>
                <w:szCs w:val="22"/>
              </w:rPr>
            </w:pPr>
            <w:r>
              <w:rPr>
                <w:sz w:val="24"/>
                <w:szCs w:val="22"/>
              </w:rPr>
              <w:t>本项目为利用现有水泥窑协同处置一般固废项目，属于固体废物治理项目，涉及的主要风险物质为氨水、柴油、盐酸、硫酸、危险废物等。项目最大可信事故为氨水泄漏事故。</w:t>
            </w:r>
          </w:p>
          <w:p w14:paraId="2D04EBD6" w14:textId="77777777" w:rsidR="00F76A63" w:rsidRDefault="00000000">
            <w:pPr>
              <w:snapToGrid w:val="0"/>
              <w:spacing w:line="500" w:lineRule="exact"/>
              <w:ind w:firstLineChars="200" w:firstLine="480"/>
              <w:rPr>
                <w:sz w:val="24"/>
                <w:szCs w:val="22"/>
              </w:rPr>
            </w:pPr>
            <w:r>
              <w:rPr>
                <w:sz w:val="24"/>
                <w:szCs w:val="22"/>
              </w:rPr>
              <w:lastRenderedPageBreak/>
              <w:t>本项目在采取本环评提出的风险防范措施及建议基础上，员工应严格遵守国家相关管理规定，对工作本着认真负责的态度，在发生事故后能正确采取相应的安全措施和及时启动事故应急预案，本项目可能发生的泄漏事故风险是可以预防和控制的。企业环保设施所涉及安全方面的工作应按照相关管理部门的要求执行。</w:t>
            </w:r>
          </w:p>
          <w:p w14:paraId="30D8347B" w14:textId="77777777" w:rsidR="00F76A63" w:rsidRDefault="00000000">
            <w:pPr>
              <w:snapToGrid w:val="0"/>
              <w:spacing w:line="500" w:lineRule="exact"/>
              <w:ind w:firstLineChars="200" w:firstLine="480"/>
              <w:rPr>
                <w:sz w:val="24"/>
                <w:szCs w:val="22"/>
              </w:rPr>
            </w:pPr>
            <w:r>
              <w:rPr>
                <w:sz w:val="24"/>
                <w:szCs w:val="22"/>
              </w:rPr>
              <w:t>本项目可能发生事故的类型主要为泄漏事故，采取相应的预防措施并加强管理后，预计本项目发生各类事故的概率很小，项目的环境风险可防控。</w:t>
            </w:r>
          </w:p>
          <w:p w14:paraId="71620DF3" w14:textId="77777777" w:rsidR="00F76A63" w:rsidRDefault="00000000">
            <w:pPr>
              <w:snapToGrid w:val="0"/>
              <w:spacing w:line="500" w:lineRule="exact"/>
              <w:ind w:firstLineChars="200" w:firstLine="482"/>
              <w:rPr>
                <w:b/>
                <w:bCs/>
                <w:sz w:val="24"/>
                <w:szCs w:val="22"/>
              </w:rPr>
            </w:pPr>
            <w:r>
              <w:rPr>
                <w:rFonts w:hint="eastAsia"/>
                <w:b/>
                <w:bCs/>
                <w:sz w:val="24"/>
                <w:szCs w:val="22"/>
              </w:rPr>
              <w:t>8</w:t>
            </w:r>
            <w:r>
              <w:rPr>
                <w:b/>
                <w:bCs/>
                <w:sz w:val="24"/>
                <w:szCs w:val="22"/>
              </w:rPr>
              <w:t>、</w:t>
            </w:r>
            <w:r>
              <w:rPr>
                <w:rFonts w:hint="eastAsia"/>
                <w:b/>
                <w:bCs/>
                <w:sz w:val="24"/>
                <w:szCs w:val="22"/>
              </w:rPr>
              <w:t>清洁生产</w:t>
            </w:r>
          </w:p>
          <w:p w14:paraId="59BE171E" w14:textId="77777777" w:rsidR="00F76A63" w:rsidRDefault="00000000">
            <w:pPr>
              <w:snapToGrid w:val="0"/>
              <w:spacing w:line="500" w:lineRule="exact"/>
              <w:ind w:firstLineChars="200" w:firstLine="480"/>
              <w:rPr>
                <w:sz w:val="24"/>
                <w:szCs w:val="22"/>
              </w:rPr>
            </w:pPr>
            <w:r>
              <w:rPr>
                <w:sz w:val="24"/>
                <w:szCs w:val="22"/>
              </w:rPr>
              <w:t>本项目依托现有水泥熟料生产线，利用污染土、污泥作为水泥生料替代原料，不新增熟料产能、不新增生产设备、不新增燃料消耗，从原料利用、生产工艺、污染物控制、资源循环、全过程管理等方面均满足清洁生产要求，清洁生产水平处于行业较先进水平。</w:t>
            </w:r>
          </w:p>
          <w:p w14:paraId="6C89ACD7" w14:textId="77777777" w:rsidR="00F76A63" w:rsidRDefault="00000000">
            <w:pPr>
              <w:snapToGrid w:val="0"/>
              <w:spacing w:line="500" w:lineRule="exact"/>
              <w:ind w:firstLineChars="200" w:firstLine="480"/>
              <w:rPr>
                <w:sz w:val="24"/>
                <w:szCs w:val="22"/>
              </w:rPr>
            </w:pPr>
            <w:r>
              <w:rPr>
                <w:rFonts w:hint="eastAsia"/>
                <w:sz w:val="24"/>
                <w:szCs w:val="22"/>
              </w:rPr>
              <w:t>本项目以一般工业固废（污染土、污泥）替代天然原料（砂岩、湿粉煤灰），实现固废减量化、无害化、资源化，减少矿产资源开采与生态破坏，符合循环经济与清洁生产理念。</w:t>
            </w:r>
          </w:p>
          <w:p w14:paraId="78B8B73A" w14:textId="77777777" w:rsidR="00F76A63" w:rsidRDefault="00000000">
            <w:pPr>
              <w:snapToGrid w:val="0"/>
              <w:spacing w:line="500" w:lineRule="exact"/>
              <w:ind w:firstLineChars="200" w:firstLine="480"/>
              <w:rPr>
                <w:sz w:val="24"/>
                <w:szCs w:val="22"/>
              </w:rPr>
            </w:pPr>
            <w:r>
              <w:rPr>
                <w:rFonts w:hint="eastAsia"/>
                <w:sz w:val="24"/>
                <w:szCs w:val="22"/>
              </w:rPr>
              <w:t>本项目依托现有新型干法水泥熟料生产线，工艺成熟、装备先进、自动化程度高，不新增窑系统及燃烧设备，不改变原有的热工制度与生产工况，生产过程稳定、能耗不增加，清洁生产工艺水平保持先进。</w:t>
            </w:r>
            <w:r>
              <w:rPr>
                <w:sz w:val="24"/>
                <w:szCs w:val="22"/>
              </w:rPr>
              <w:t>项目仅作为生料替代，不增加热耗、电耗及煤耗，不提高资源消耗强度；物料密闭输送、全流程抑尘、渗滤液全收集，资源利用率高，无浪费与流失。</w:t>
            </w:r>
          </w:p>
          <w:p w14:paraId="615A277A" w14:textId="77777777" w:rsidR="00F76A63" w:rsidRDefault="00000000">
            <w:pPr>
              <w:snapToGrid w:val="0"/>
              <w:spacing w:line="500" w:lineRule="exact"/>
              <w:ind w:firstLineChars="200" w:firstLine="480"/>
              <w:rPr>
                <w:sz w:val="24"/>
                <w:szCs w:val="22"/>
              </w:rPr>
            </w:pPr>
            <w:r>
              <w:rPr>
                <w:rFonts w:hint="eastAsia"/>
                <w:sz w:val="24"/>
                <w:szCs w:val="22"/>
              </w:rPr>
              <w:t>本</w:t>
            </w:r>
            <w:r>
              <w:rPr>
                <w:sz w:val="24"/>
                <w:szCs w:val="22"/>
              </w:rPr>
              <w:t>项目从源头控制原料中重金属、氯、氟、硫等有毒有害成分，污染物产生量低；依托现有高效</w:t>
            </w:r>
            <w:r>
              <w:rPr>
                <w:rFonts w:hint="eastAsia"/>
                <w:sz w:val="24"/>
                <w:szCs w:val="22"/>
              </w:rPr>
              <w:t>废气治理</w:t>
            </w:r>
            <w:r>
              <w:rPr>
                <w:sz w:val="24"/>
                <w:szCs w:val="22"/>
              </w:rPr>
              <w:t>措施，废气稳定达标；无生产废水排放，</w:t>
            </w:r>
            <w:r>
              <w:rPr>
                <w:rFonts w:hint="eastAsia"/>
                <w:sz w:val="24"/>
                <w:szCs w:val="22"/>
              </w:rPr>
              <w:t>不新增固废</w:t>
            </w:r>
            <w:r>
              <w:rPr>
                <w:sz w:val="24"/>
                <w:szCs w:val="22"/>
              </w:rPr>
              <w:t>，全过程符合清洁生产</w:t>
            </w:r>
            <w:r>
              <w:rPr>
                <w:rFonts w:hint="eastAsia"/>
                <w:sz w:val="24"/>
                <w:szCs w:val="22"/>
              </w:rPr>
              <w:t>“</w:t>
            </w:r>
            <w:r>
              <w:rPr>
                <w:sz w:val="24"/>
                <w:szCs w:val="22"/>
              </w:rPr>
              <w:t>节能、降耗、减污、增效</w:t>
            </w:r>
            <w:r>
              <w:rPr>
                <w:rFonts w:hint="eastAsia"/>
                <w:sz w:val="24"/>
                <w:szCs w:val="22"/>
              </w:rPr>
              <w:t>”</w:t>
            </w:r>
            <w:r>
              <w:rPr>
                <w:sz w:val="24"/>
                <w:szCs w:val="22"/>
              </w:rPr>
              <w:t>的原则。企业建立完善的进厂检测、贮存管控、密闭输送、计量投料、应急防控制度，实现固废全过程可追溯、可管控，环境管理水平满足清洁生产要求。综上所述，本项目符</w:t>
            </w:r>
            <w:r>
              <w:rPr>
                <w:sz w:val="24"/>
                <w:szCs w:val="22"/>
              </w:rPr>
              <w:lastRenderedPageBreak/>
              <w:t>合水泥行业清洁生产标准与先进指标要求，清洁生产水平处于行业较先进水平。</w:t>
            </w:r>
          </w:p>
        </w:tc>
      </w:tr>
    </w:tbl>
    <w:p w14:paraId="2CF364B4" w14:textId="77777777" w:rsidR="00F76A63" w:rsidRDefault="00F76A63">
      <w:pPr>
        <w:adjustRightInd w:val="0"/>
        <w:snapToGrid w:val="0"/>
        <w:jc w:val="center"/>
        <w:rPr>
          <w:b/>
          <w:szCs w:val="21"/>
        </w:rPr>
        <w:sectPr w:rsidR="00F76A63">
          <w:pgSz w:w="11907" w:h="16840"/>
          <w:pgMar w:top="1701" w:right="1531" w:bottom="2127" w:left="1531" w:header="851" w:footer="851" w:gutter="0"/>
          <w:cols w:space="720"/>
          <w:docGrid w:linePitch="312"/>
        </w:sectPr>
      </w:pPr>
    </w:p>
    <w:p w14:paraId="106B25E2" w14:textId="77777777" w:rsidR="00F76A63" w:rsidRDefault="00000000">
      <w:pPr>
        <w:jc w:val="center"/>
        <w:outlineLvl w:val="0"/>
        <w:rPr>
          <w:b/>
          <w:bCs/>
          <w:snapToGrid w:val="0"/>
          <w:sz w:val="30"/>
          <w:szCs w:val="30"/>
        </w:rPr>
      </w:pPr>
      <w:r>
        <w:rPr>
          <w:b/>
          <w:bCs/>
          <w:snapToGrid w:val="0"/>
          <w:sz w:val="30"/>
          <w:szCs w:val="30"/>
        </w:rPr>
        <w:lastRenderedPageBreak/>
        <w:t>五、</w:t>
      </w:r>
      <w:bookmarkStart w:id="127" w:name="_Hlk54167917"/>
      <w:r>
        <w:rPr>
          <w:b/>
          <w:bCs/>
          <w:snapToGrid w:val="0"/>
          <w:sz w:val="30"/>
          <w:szCs w:val="30"/>
        </w:rPr>
        <w:t>环境保护措施监督检查清单</w:t>
      </w:r>
      <w:bookmarkEnd w:id="127"/>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ayout w:type="fixed"/>
        <w:tblLook w:val="04A0" w:firstRow="1" w:lastRow="0" w:firstColumn="1" w:lastColumn="0" w:noHBand="0" w:noVBand="1"/>
      </w:tblPr>
      <w:tblGrid>
        <w:gridCol w:w="1238"/>
        <w:gridCol w:w="1800"/>
        <w:gridCol w:w="1485"/>
        <w:gridCol w:w="1755"/>
        <w:gridCol w:w="2522"/>
      </w:tblGrid>
      <w:tr w:rsidR="00F76A63" w14:paraId="7D854218" w14:textId="77777777">
        <w:trPr>
          <w:trHeight w:val="425"/>
        </w:trPr>
        <w:tc>
          <w:tcPr>
            <w:tcW w:w="1238" w:type="dxa"/>
            <w:tcBorders>
              <w:tl2br w:val="nil"/>
              <w:tr2bl w:val="nil"/>
            </w:tcBorders>
            <w:vAlign w:val="center"/>
          </w:tcPr>
          <w:p w14:paraId="7999166E" w14:textId="77777777" w:rsidR="00F76A63" w:rsidRDefault="00000000">
            <w:pPr>
              <w:adjustRightInd w:val="0"/>
              <w:snapToGrid w:val="0"/>
              <w:jc w:val="center"/>
              <w:rPr>
                <w:b/>
                <w:bCs/>
                <w:sz w:val="24"/>
              </w:rPr>
            </w:pPr>
            <w:r>
              <w:rPr>
                <w:b/>
                <w:bCs/>
                <w:sz w:val="24"/>
              </w:rPr>
              <w:t>内容</w:t>
            </w:r>
          </w:p>
          <w:p w14:paraId="00FE772C" w14:textId="77777777" w:rsidR="00F76A63" w:rsidRDefault="00000000">
            <w:pPr>
              <w:adjustRightInd w:val="0"/>
              <w:snapToGrid w:val="0"/>
              <w:jc w:val="center"/>
              <w:rPr>
                <w:b/>
                <w:bCs/>
                <w:sz w:val="24"/>
              </w:rPr>
            </w:pPr>
            <w:r>
              <w:rPr>
                <w:b/>
                <w:bCs/>
                <w:sz w:val="24"/>
              </w:rPr>
              <w:t>要素</w:t>
            </w:r>
          </w:p>
        </w:tc>
        <w:tc>
          <w:tcPr>
            <w:tcW w:w="1800" w:type="dxa"/>
            <w:tcBorders>
              <w:tl2br w:val="nil"/>
              <w:tr2bl w:val="nil"/>
            </w:tcBorders>
            <w:vAlign w:val="center"/>
          </w:tcPr>
          <w:p w14:paraId="3D2E742E" w14:textId="77777777" w:rsidR="00F76A63" w:rsidRDefault="00000000">
            <w:pPr>
              <w:adjustRightInd w:val="0"/>
              <w:snapToGrid w:val="0"/>
              <w:jc w:val="center"/>
              <w:rPr>
                <w:b/>
                <w:bCs/>
                <w:sz w:val="24"/>
              </w:rPr>
            </w:pPr>
            <w:r>
              <w:rPr>
                <w:b/>
                <w:bCs/>
                <w:sz w:val="24"/>
              </w:rPr>
              <w:t>排放口（编号、</w:t>
            </w:r>
          </w:p>
          <w:p w14:paraId="3A2BCE19" w14:textId="77777777" w:rsidR="00F76A63" w:rsidRDefault="00000000">
            <w:pPr>
              <w:adjustRightInd w:val="0"/>
              <w:snapToGrid w:val="0"/>
              <w:jc w:val="center"/>
              <w:rPr>
                <w:b/>
                <w:bCs/>
                <w:sz w:val="24"/>
              </w:rPr>
            </w:pPr>
            <w:r>
              <w:rPr>
                <w:b/>
                <w:bCs/>
                <w:sz w:val="24"/>
              </w:rPr>
              <w:t>名称）</w:t>
            </w:r>
            <w:r>
              <w:rPr>
                <w:b/>
                <w:bCs/>
                <w:sz w:val="24"/>
              </w:rPr>
              <w:t>/</w:t>
            </w:r>
            <w:r>
              <w:rPr>
                <w:b/>
                <w:bCs/>
                <w:sz w:val="24"/>
              </w:rPr>
              <w:t>污染源</w:t>
            </w:r>
          </w:p>
        </w:tc>
        <w:tc>
          <w:tcPr>
            <w:tcW w:w="1485" w:type="dxa"/>
            <w:tcBorders>
              <w:tl2br w:val="nil"/>
              <w:tr2bl w:val="nil"/>
            </w:tcBorders>
            <w:vAlign w:val="center"/>
          </w:tcPr>
          <w:p w14:paraId="3D8E5BAA" w14:textId="77777777" w:rsidR="00F76A63" w:rsidRDefault="00000000">
            <w:pPr>
              <w:adjustRightInd w:val="0"/>
              <w:snapToGrid w:val="0"/>
              <w:jc w:val="center"/>
              <w:rPr>
                <w:b/>
                <w:bCs/>
                <w:sz w:val="24"/>
              </w:rPr>
            </w:pPr>
            <w:r>
              <w:rPr>
                <w:b/>
                <w:bCs/>
                <w:sz w:val="24"/>
              </w:rPr>
              <w:t>污染物项目</w:t>
            </w:r>
          </w:p>
        </w:tc>
        <w:tc>
          <w:tcPr>
            <w:tcW w:w="1755" w:type="dxa"/>
            <w:tcBorders>
              <w:tl2br w:val="nil"/>
              <w:tr2bl w:val="nil"/>
            </w:tcBorders>
            <w:vAlign w:val="center"/>
          </w:tcPr>
          <w:p w14:paraId="195F66A5" w14:textId="77777777" w:rsidR="00F76A63" w:rsidRDefault="00000000">
            <w:pPr>
              <w:adjustRightInd w:val="0"/>
              <w:snapToGrid w:val="0"/>
              <w:jc w:val="center"/>
              <w:rPr>
                <w:b/>
                <w:bCs/>
                <w:sz w:val="24"/>
              </w:rPr>
            </w:pPr>
            <w:r>
              <w:rPr>
                <w:b/>
                <w:bCs/>
                <w:sz w:val="24"/>
              </w:rPr>
              <w:t>环境保护措施</w:t>
            </w:r>
          </w:p>
        </w:tc>
        <w:tc>
          <w:tcPr>
            <w:tcW w:w="2522" w:type="dxa"/>
            <w:tcBorders>
              <w:tl2br w:val="nil"/>
              <w:tr2bl w:val="nil"/>
            </w:tcBorders>
            <w:vAlign w:val="center"/>
          </w:tcPr>
          <w:p w14:paraId="7BF19244" w14:textId="77777777" w:rsidR="00F76A63" w:rsidRDefault="00000000">
            <w:pPr>
              <w:adjustRightInd w:val="0"/>
              <w:snapToGrid w:val="0"/>
              <w:jc w:val="center"/>
              <w:rPr>
                <w:b/>
                <w:bCs/>
                <w:sz w:val="24"/>
              </w:rPr>
            </w:pPr>
            <w:r>
              <w:rPr>
                <w:b/>
                <w:bCs/>
                <w:sz w:val="24"/>
              </w:rPr>
              <w:t>执行标准</w:t>
            </w:r>
          </w:p>
        </w:tc>
      </w:tr>
      <w:tr w:rsidR="00F76A63" w14:paraId="225B81F4" w14:textId="77777777">
        <w:trPr>
          <w:trHeight w:val="1362"/>
        </w:trPr>
        <w:tc>
          <w:tcPr>
            <w:tcW w:w="1238" w:type="dxa"/>
            <w:vMerge w:val="restart"/>
            <w:tcBorders>
              <w:tl2br w:val="nil"/>
              <w:tr2bl w:val="nil"/>
            </w:tcBorders>
            <w:vAlign w:val="center"/>
          </w:tcPr>
          <w:p w14:paraId="7C459B9C" w14:textId="77777777" w:rsidR="00F76A63" w:rsidRDefault="00000000">
            <w:pPr>
              <w:adjustRightInd w:val="0"/>
              <w:snapToGrid w:val="0"/>
              <w:jc w:val="center"/>
              <w:rPr>
                <w:b/>
                <w:bCs/>
                <w:sz w:val="24"/>
              </w:rPr>
            </w:pPr>
            <w:r>
              <w:rPr>
                <w:b/>
                <w:bCs/>
                <w:sz w:val="24"/>
              </w:rPr>
              <w:t>大气环境</w:t>
            </w:r>
          </w:p>
        </w:tc>
        <w:tc>
          <w:tcPr>
            <w:tcW w:w="1800" w:type="dxa"/>
            <w:tcBorders>
              <w:tl2br w:val="nil"/>
              <w:tr2bl w:val="nil"/>
            </w:tcBorders>
            <w:vAlign w:val="center"/>
          </w:tcPr>
          <w:p w14:paraId="156FAA7B" w14:textId="77777777" w:rsidR="00F76A63" w:rsidRDefault="00000000">
            <w:pPr>
              <w:widowControl/>
              <w:adjustRightInd w:val="0"/>
              <w:snapToGrid w:val="0"/>
              <w:jc w:val="center"/>
              <w:textAlignment w:val="center"/>
              <w:rPr>
                <w:sz w:val="24"/>
              </w:rPr>
            </w:pPr>
            <w:r>
              <w:rPr>
                <w:sz w:val="24"/>
              </w:rPr>
              <w:t>1#</w:t>
            </w:r>
            <w:r>
              <w:rPr>
                <w:sz w:val="24"/>
              </w:rPr>
              <w:t>线水泥窑窑尾</w:t>
            </w:r>
          </w:p>
        </w:tc>
        <w:tc>
          <w:tcPr>
            <w:tcW w:w="1485" w:type="dxa"/>
            <w:tcBorders>
              <w:tl2br w:val="nil"/>
              <w:tr2bl w:val="nil"/>
            </w:tcBorders>
            <w:vAlign w:val="center"/>
          </w:tcPr>
          <w:p w14:paraId="77EBFF6E" w14:textId="77777777" w:rsidR="00F76A63" w:rsidRDefault="00000000">
            <w:pPr>
              <w:widowControl/>
              <w:adjustRightInd w:val="0"/>
              <w:snapToGrid w:val="0"/>
              <w:jc w:val="center"/>
              <w:textAlignment w:val="bottom"/>
              <w:rPr>
                <w:sz w:val="24"/>
              </w:rPr>
            </w:pPr>
            <w:r>
              <w:rPr>
                <w:sz w:val="24"/>
              </w:rPr>
              <w:t>烟尘、</w:t>
            </w:r>
            <w:r>
              <w:rPr>
                <w:sz w:val="24"/>
              </w:rPr>
              <w:t>SO</w:t>
            </w:r>
            <w:r>
              <w:rPr>
                <w:sz w:val="24"/>
                <w:vertAlign w:val="subscript"/>
              </w:rPr>
              <w:t>2</w:t>
            </w:r>
            <w:r>
              <w:rPr>
                <w:sz w:val="24"/>
              </w:rPr>
              <w:t>、</w:t>
            </w:r>
            <w:r>
              <w:rPr>
                <w:sz w:val="24"/>
              </w:rPr>
              <w:t>NO</w:t>
            </w:r>
            <w:r>
              <w:rPr>
                <w:sz w:val="24"/>
                <w:vertAlign w:val="subscript"/>
              </w:rPr>
              <w:t>X</w:t>
            </w:r>
            <w:r>
              <w:rPr>
                <w:sz w:val="24"/>
              </w:rPr>
              <w:t>、</w:t>
            </w:r>
            <w:r>
              <w:rPr>
                <w:sz w:val="24"/>
              </w:rPr>
              <w:t>HCl</w:t>
            </w:r>
            <w:r>
              <w:rPr>
                <w:sz w:val="24"/>
              </w:rPr>
              <w:t>、</w:t>
            </w:r>
            <w:r>
              <w:rPr>
                <w:sz w:val="24"/>
              </w:rPr>
              <w:t>HF</w:t>
            </w:r>
            <w:r>
              <w:rPr>
                <w:sz w:val="24"/>
              </w:rPr>
              <w:t>、重金属及其化合物、二噁英</w:t>
            </w:r>
          </w:p>
        </w:tc>
        <w:tc>
          <w:tcPr>
            <w:tcW w:w="1755" w:type="dxa"/>
            <w:tcBorders>
              <w:tl2br w:val="nil"/>
              <w:tr2bl w:val="nil"/>
            </w:tcBorders>
            <w:vAlign w:val="center"/>
          </w:tcPr>
          <w:p w14:paraId="33B31B7E" w14:textId="77777777" w:rsidR="00F76A63" w:rsidRDefault="00000000">
            <w:pPr>
              <w:widowControl/>
              <w:adjustRightInd w:val="0"/>
              <w:snapToGrid w:val="0"/>
              <w:jc w:val="center"/>
              <w:textAlignment w:val="top"/>
              <w:rPr>
                <w:sz w:val="24"/>
              </w:rPr>
            </w:pPr>
            <w:r>
              <w:rPr>
                <w:sz w:val="24"/>
              </w:rPr>
              <w:t>高温焚烧</w:t>
            </w:r>
            <w:r>
              <w:rPr>
                <w:sz w:val="24"/>
              </w:rPr>
              <w:t>+</w:t>
            </w:r>
            <w:r>
              <w:rPr>
                <w:sz w:val="24"/>
              </w:rPr>
              <w:t>碱性环境</w:t>
            </w:r>
            <w:r>
              <w:rPr>
                <w:sz w:val="24"/>
              </w:rPr>
              <w:t>+HSNCR+SCR+</w:t>
            </w:r>
            <w:r>
              <w:rPr>
                <w:sz w:val="24"/>
              </w:rPr>
              <w:t>布袋除尘器、烟囱</w:t>
            </w:r>
          </w:p>
        </w:tc>
        <w:tc>
          <w:tcPr>
            <w:tcW w:w="2522" w:type="dxa"/>
            <w:vMerge w:val="restart"/>
            <w:tcBorders>
              <w:tl2br w:val="nil"/>
              <w:tr2bl w:val="nil"/>
            </w:tcBorders>
            <w:vAlign w:val="center"/>
          </w:tcPr>
          <w:p w14:paraId="7932866A" w14:textId="77777777" w:rsidR="00F76A63" w:rsidRDefault="00000000">
            <w:pPr>
              <w:adjustRightInd w:val="0"/>
              <w:snapToGrid w:val="0"/>
              <w:jc w:val="center"/>
              <w:rPr>
                <w:sz w:val="24"/>
              </w:rPr>
            </w:pPr>
            <w:r>
              <w:rPr>
                <w:sz w:val="24"/>
              </w:rPr>
              <w:t>《水泥工业大气污染物排放标准》（</w:t>
            </w:r>
            <w:r>
              <w:rPr>
                <w:sz w:val="24"/>
              </w:rPr>
              <w:t>DB32/4149-2021</w:t>
            </w:r>
            <w:r>
              <w:rPr>
                <w:sz w:val="24"/>
              </w:rPr>
              <w:t>）表</w:t>
            </w:r>
            <w:r>
              <w:rPr>
                <w:sz w:val="24"/>
              </w:rPr>
              <w:t>1</w:t>
            </w:r>
            <w:r>
              <w:rPr>
                <w:sz w:val="24"/>
              </w:rPr>
              <w:t>中</w:t>
            </w:r>
            <w:r>
              <w:rPr>
                <w:sz w:val="24"/>
              </w:rPr>
              <w:t>Ⅱ</w:t>
            </w:r>
            <w:r>
              <w:rPr>
                <w:sz w:val="24"/>
              </w:rPr>
              <w:t>阶段标准、</w:t>
            </w:r>
            <w:r>
              <w:rPr>
                <w:rFonts w:hint="eastAsia"/>
                <w:sz w:val="24"/>
              </w:rPr>
              <w:t>《</w:t>
            </w:r>
            <w:r>
              <w:rPr>
                <w:sz w:val="24"/>
              </w:rPr>
              <w:t>水泥窑协同处置固体废物污染控制标准》（</w:t>
            </w:r>
            <w:r>
              <w:rPr>
                <w:sz w:val="24"/>
              </w:rPr>
              <w:t>GB30485-2013</w:t>
            </w:r>
            <w:r>
              <w:rPr>
                <w:sz w:val="24"/>
              </w:rPr>
              <w:t>）表</w:t>
            </w:r>
            <w:r>
              <w:rPr>
                <w:sz w:val="24"/>
              </w:rPr>
              <w:t>1</w:t>
            </w:r>
          </w:p>
        </w:tc>
      </w:tr>
      <w:tr w:rsidR="00F76A63" w14:paraId="7CBAB17A" w14:textId="77777777">
        <w:trPr>
          <w:trHeight w:val="1362"/>
        </w:trPr>
        <w:tc>
          <w:tcPr>
            <w:tcW w:w="1238" w:type="dxa"/>
            <w:vMerge/>
            <w:tcBorders>
              <w:tl2br w:val="nil"/>
              <w:tr2bl w:val="nil"/>
            </w:tcBorders>
            <w:vAlign w:val="center"/>
          </w:tcPr>
          <w:p w14:paraId="2B95216B" w14:textId="77777777" w:rsidR="00F76A63" w:rsidRDefault="00F76A63">
            <w:pPr>
              <w:adjustRightInd w:val="0"/>
              <w:snapToGrid w:val="0"/>
              <w:jc w:val="center"/>
              <w:rPr>
                <w:b/>
                <w:bCs/>
                <w:sz w:val="24"/>
              </w:rPr>
            </w:pPr>
          </w:p>
        </w:tc>
        <w:tc>
          <w:tcPr>
            <w:tcW w:w="1800" w:type="dxa"/>
            <w:tcBorders>
              <w:tl2br w:val="nil"/>
              <w:tr2bl w:val="nil"/>
            </w:tcBorders>
            <w:vAlign w:val="center"/>
          </w:tcPr>
          <w:p w14:paraId="132FCD0E" w14:textId="77777777" w:rsidR="00F76A63" w:rsidRDefault="00000000">
            <w:pPr>
              <w:widowControl/>
              <w:adjustRightInd w:val="0"/>
              <w:snapToGrid w:val="0"/>
              <w:jc w:val="center"/>
              <w:rPr>
                <w:sz w:val="24"/>
              </w:rPr>
            </w:pPr>
            <w:r>
              <w:rPr>
                <w:sz w:val="24"/>
              </w:rPr>
              <w:t>2#</w:t>
            </w:r>
            <w:r>
              <w:rPr>
                <w:sz w:val="24"/>
              </w:rPr>
              <w:t>线水泥窑窑尾</w:t>
            </w:r>
          </w:p>
        </w:tc>
        <w:tc>
          <w:tcPr>
            <w:tcW w:w="1485" w:type="dxa"/>
            <w:tcBorders>
              <w:tl2br w:val="nil"/>
              <w:tr2bl w:val="nil"/>
            </w:tcBorders>
            <w:vAlign w:val="center"/>
          </w:tcPr>
          <w:p w14:paraId="2BDA5AFE" w14:textId="77777777" w:rsidR="00F76A63" w:rsidRDefault="00000000">
            <w:pPr>
              <w:widowControl/>
              <w:adjustRightInd w:val="0"/>
              <w:snapToGrid w:val="0"/>
              <w:jc w:val="center"/>
              <w:textAlignment w:val="bottom"/>
              <w:rPr>
                <w:sz w:val="24"/>
              </w:rPr>
            </w:pPr>
            <w:r>
              <w:rPr>
                <w:sz w:val="24"/>
              </w:rPr>
              <w:t>烟尘、</w:t>
            </w:r>
            <w:r>
              <w:rPr>
                <w:sz w:val="24"/>
              </w:rPr>
              <w:t>SO</w:t>
            </w:r>
            <w:r>
              <w:rPr>
                <w:sz w:val="24"/>
                <w:vertAlign w:val="subscript"/>
              </w:rPr>
              <w:t>2</w:t>
            </w:r>
            <w:r>
              <w:rPr>
                <w:sz w:val="24"/>
              </w:rPr>
              <w:t>、</w:t>
            </w:r>
            <w:r>
              <w:rPr>
                <w:sz w:val="24"/>
              </w:rPr>
              <w:t>NO</w:t>
            </w:r>
            <w:r>
              <w:rPr>
                <w:sz w:val="24"/>
                <w:vertAlign w:val="subscript"/>
              </w:rPr>
              <w:t>X</w:t>
            </w:r>
            <w:r>
              <w:rPr>
                <w:sz w:val="24"/>
              </w:rPr>
              <w:t>、</w:t>
            </w:r>
            <w:r>
              <w:rPr>
                <w:sz w:val="24"/>
              </w:rPr>
              <w:t>HCl</w:t>
            </w:r>
            <w:r>
              <w:rPr>
                <w:sz w:val="24"/>
              </w:rPr>
              <w:t>、</w:t>
            </w:r>
            <w:r>
              <w:rPr>
                <w:sz w:val="24"/>
              </w:rPr>
              <w:t>HF</w:t>
            </w:r>
            <w:r>
              <w:rPr>
                <w:sz w:val="24"/>
              </w:rPr>
              <w:t>、重金属及其化合物、二噁英</w:t>
            </w:r>
          </w:p>
        </w:tc>
        <w:tc>
          <w:tcPr>
            <w:tcW w:w="1755" w:type="dxa"/>
            <w:tcBorders>
              <w:tl2br w:val="nil"/>
              <w:tr2bl w:val="nil"/>
            </w:tcBorders>
            <w:vAlign w:val="center"/>
          </w:tcPr>
          <w:p w14:paraId="72E191FF" w14:textId="77777777" w:rsidR="00F76A63" w:rsidRDefault="00000000">
            <w:pPr>
              <w:widowControl/>
              <w:adjustRightInd w:val="0"/>
              <w:snapToGrid w:val="0"/>
              <w:jc w:val="center"/>
              <w:rPr>
                <w:sz w:val="24"/>
              </w:rPr>
            </w:pPr>
            <w:r>
              <w:rPr>
                <w:sz w:val="24"/>
              </w:rPr>
              <w:t>高温焚烧</w:t>
            </w:r>
            <w:r>
              <w:rPr>
                <w:sz w:val="24"/>
              </w:rPr>
              <w:t>+</w:t>
            </w:r>
            <w:r>
              <w:rPr>
                <w:sz w:val="24"/>
              </w:rPr>
              <w:t>碱性环境</w:t>
            </w:r>
            <w:r>
              <w:rPr>
                <w:sz w:val="24"/>
              </w:rPr>
              <w:t>+HSNCR+SCR+</w:t>
            </w:r>
            <w:r>
              <w:rPr>
                <w:sz w:val="24"/>
              </w:rPr>
              <w:t>电袋复合（</w:t>
            </w:r>
            <w:r>
              <w:rPr>
                <w:sz w:val="24"/>
              </w:rPr>
              <w:t>1</w:t>
            </w:r>
            <w:r>
              <w:rPr>
                <w:sz w:val="24"/>
              </w:rPr>
              <w:t>电</w:t>
            </w:r>
            <w:r>
              <w:rPr>
                <w:sz w:val="24"/>
              </w:rPr>
              <w:t>3</w:t>
            </w:r>
            <w:r>
              <w:rPr>
                <w:sz w:val="24"/>
              </w:rPr>
              <w:t>布袋）除尘器、烟囱</w:t>
            </w:r>
          </w:p>
        </w:tc>
        <w:tc>
          <w:tcPr>
            <w:tcW w:w="2522" w:type="dxa"/>
            <w:vMerge/>
            <w:tcBorders>
              <w:tl2br w:val="nil"/>
              <w:tr2bl w:val="nil"/>
            </w:tcBorders>
            <w:vAlign w:val="center"/>
          </w:tcPr>
          <w:p w14:paraId="52AAC7AA" w14:textId="77777777" w:rsidR="00F76A63" w:rsidRDefault="00F76A63">
            <w:pPr>
              <w:adjustRightInd w:val="0"/>
              <w:snapToGrid w:val="0"/>
              <w:jc w:val="center"/>
              <w:rPr>
                <w:sz w:val="24"/>
              </w:rPr>
            </w:pPr>
          </w:p>
        </w:tc>
      </w:tr>
      <w:tr w:rsidR="00F76A63" w14:paraId="71065002" w14:textId="77777777">
        <w:trPr>
          <w:trHeight w:val="425"/>
        </w:trPr>
        <w:tc>
          <w:tcPr>
            <w:tcW w:w="1238" w:type="dxa"/>
            <w:vMerge/>
            <w:tcBorders>
              <w:tl2br w:val="nil"/>
              <w:tr2bl w:val="nil"/>
            </w:tcBorders>
            <w:vAlign w:val="center"/>
          </w:tcPr>
          <w:p w14:paraId="213784AA" w14:textId="77777777" w:rsidR="00F76A63" w:rsidRDefault="00F76A63">
            <w:pPr>
              <w:adjustRightInd w:val="0"/>
              <w:snapToGrid w:val="0"/>
              <w:jc w:val="center"/>
              <w:rPr>
                <w:b/>
                <w:bCs/>
                <w:sz w:val="24"/>
              </w:rPr>
            </w:pPr>
          </w:p>
        </w:tc>
        <w:tc>
          <w:tcPr>
            <w:tcW w:w="1800" w:type="dxa"/>
            <w:tcBorders>
              <w:tl2br w:val="nil"/>
              <w:tr2bl w:val="nil"/>
            </w:tcBorders>
            <w:vAlign w:val="center"/>
          </w:tcPr>
          <w:p w14:paraId="69E94499" w14:textId="77777777" w:rsidR="00F76A63" w:rsidRDefault="00000000">
            <w:pPr>
              <w:adjustRightInd w:val="0"/>
              <w:snapToGrid w:val="0"/>
              <w:jc w:val="center"/>
              <w:rPr>
                <w:sz w:val="24"/>
              </w:rPr>
            </w:pPr>
            <w:r>
              <w:rPr>
                <w:sz w:val="24"/>
              </w:rPr>
              <w:t>原料、污染土堆棚</w:t>
            </w:r>
          </w:p>
        </w:tc>
        <w:tc>
          <w:tcPr>
            <w:tcW w:w="1485" w:type="dxa"/>
            <w:tcBorders>
              <w:tl2br w:val="nil"/>
              <w:tr2bl w:val="nil"/>
            </w:tcBorders>
            <w:vAlign w:val="center"/>
          </w:tcPr>
          <w:p w14:paraId="34F98F6E" w14:textId="77777777" w:rsidR="00F76A63" w:rsidRDefault="00000000">
            <w:pPr>
              <w:adjustRightInd w:val="0"/>
              <w:snapToGrid w:val="0"/>
              <w:jc w:val="center"/>
              <w:rPr>
                <w:sz w:val="24"/>
              </w:rPr>
            </w:pPr>
            <w:r>
              <w:rPr>
                <w:sz w:val="24"/>
              </w:rPr>
              <w:t>颗粒物</w:t>
            </w:r>
          </w:p>
          <w:p w14:paraId="65002D60" w14:textId="77777777" w:rsidR="00F76A63" w:rsidRDefault="00000000">
            <w:pPr>
              <w:adjustRightInd w:val="0"/>
              <w:snapToGrid w:val="0"/>
              <w:jc w:val="center"/>
              <w:rPr>
                <w:sz w:val="24"/>
              </w:rPr>
            </w:pPr>
            <w:r>
              <w:rPr>
                <w:sz w:val="24"/>
              </w:rPr>
              <w:t>NH</w:t>
            </w:r>
            <w:r>
              <w:rPr>
                <w:sz w:val="24"/>
                <w:vertAlign w:val="subscript"/>
              </w:rPr>
              <w:t>3</w:t>
            </w:r>
          </w:p>
          <w:p w14:paraId="52D9A17A" w14:textId="77777777" w:rsidR="00F76A63" w:rsidRDefault="00000000">
            <w:pPr>
              <w:adjustRightInd w:val="0"/>
              <w:snapToGrid w:val="0"/>
              <w:jc w:val="center"/>
              <w:rPr>
                <w:sz w:val="24"/>
              </w:rPr>
            </w:pPr>
            <w:r>
              <w:rPr>
                <w:sz w:val="24"/>
              </w:rPr>
              <w:t>H</w:t>
            </w:r>
            <w:r>
              <w:rPr>
                <w:sz w:val="24"/>
                <w:vertAlign w:val="subscript"/>
              </w:rPr>
              <w:t>2</w:t>
            </w:r>
            <w:r>
              <w:rPr>
                <w:sz w:val="24"/>
              </w:rPr>
              <w:t>S</w:t>
            </w:r>
          </w:p>
        </w:tc>
        <w:tc>
          <w:tcPr>
            <w:tcW w:w="1755" w:type="dxa"/>
            <w:tcBorders>
              <w:tl2br w:val="nil"/>
              <w:tr2bl w:val="nil"/>
            </w:tcBorders>
            <w:vAlign w:val="center"/>
          </w:tcPr>
          <w:p w14:paraId="0214AADA" w14:textId="77777777" w:rsidR="00F76A63" w:rsidRDefault="00000000">
            <w:pPr>
              <w:adjustRightInd w:val="0"/>
              <w:snapToGrid w:val="0"/>
              <w:jc w:val="center"/>
              <w:rPr>
                <w:sz w:val="24"/>
              </w:rPr>
            </w:pPr>
            <w:r>
              <w:rPr>
                <w:sz w:val="24"/>
              </w:rPr>
              <w:t>高压雾化喷淋系统</w:t>
            </w:r>
          </w:p>
        </w:tc>
        <w:tc>
          <w:tcPr>
            <w:tcW w:w="2522" w:type="dxa"/>
            <w:tcBorders>
              <w:tl2br w:val="nil"/>
              <w:tr2bl w:val="nil"/>
            </w:tcBorders>
            <w:vAlign w:val="center"/>
          </w:tcPr>
          <w:p w14:paraId="6DEB2564" w14:textId="77777777" w:rsidR="00F76A63" w:rsidRDefault="00000000">
            <w:pPr>
              <w:adjustRightInd w:val="0"/>
              <w:snapToGrid w:val="0"/>
              <w:jc w:val="center"/>
              <w:rPr>
                <w:sz w:val="24"/>
              </w:rPr>
            </w:pPr>
            <w:r>
              <w:rPr>
                <w:sz w:val="24"/>
              </w:rPr>
              <w:t>《水泥工业大气污染物排放标准》（</w:t>
            </w:r>
            <w:r>
              <w:rPr>
                <w:sz w:val="24"/>
              </w:rPr>
              <w:t>DB32/4149-2021</w:t>
            </w:r>
            <w:r>
              <w:rPr>
                <w:sz w:val="24"/>
              </w:rPr>
              <w:t>）表</w:t>
            </w:r>
            <w:r>
              <w:rPr>
                <w:sz w:val="24"/>
              </w:rPr>
              <w:t>3</w:t>
            </w:r>
            <w:r>
              <w:rPr>
                <w:sz w:val="24"/>
              </w:rPr>
              <w:t>标准、《恶臭污染物排放标准》（</w:t>
            </w:r>
            <w:r>
              <w:rPr>
                <w:sz w:val="24"/>
              </w:rPr>
              <w:t>GB14554-93</w:t>
            </w:r>
            <w:r>
              <w:rPr>
                <w:sz w:val="24"/>
              </w:rPr>
              <w:t>）</w:t>
            </w:r>
            <w:r>
              <w:rPr>
                <w:rFonts w:hint="eastAsia"/>
                <w:sz w:val="24"/>
              </w:rPr>
              <w:t>、</w:t>
            </w:r>
          </w:p>
        </w:tc>
      </w:tr>
      <w:tr w:rsidR="00F76A63" w14:paraId="7DFA6518" w14:textId="77777777">
        <w:trPr>
          <w:trHeight w:val="425"/>
        </w:trPr>
        <w:tc>
          <w:tcPr>
            <w:tcW w:w="1238" w:type="dxa"/>
            <w:tcBorders>
              <w:tl2br w:val="nil"/>
              <w:tr2bl w:val="nil"/>
            </w:tcBorders>
            <w:vAlign w:val="center"/>
          </w:tcPr>
          <w:p w14:paraId="1A38560A" w14:textId="77777777" w:rsidR="00F76A63" w:rsidRDefault="00000000">
            <w:pPr>
              <w:adjustRightInd w:val="0"/>
              <w:snapToGrid w:val="0"/>
              <w:jc w:val="center"/>
              <w:rPr>
                <w:b/>
                <w:bCs/>
                <w:sz w:val="24"/>
              </w:rPr>
            </w:pPr>
            <w:r>
              <w:rPr>
                <w:b/>
                <w:bCs/>
                <w:sz w:val="24"/>
              </w:rPr>
              <w:t>地表水环境</w:t>
            </w:r>
          </w:p>
        </w:tc>
        <w:tc>
          <w:tcPr>
            <w:tcW w:w="1800" w:type="dxa"/>
            <w:tcBorders>
              <w:tl2br w:val="nil"/>
              <w:tr2bl w:val="nil"/>
            </w:tcBorders>
            <w:vAlign w:val="center"/>
          </w:tcPr>
          <w:p w14:paraId="7E49741A" w14:textId="77777777" w:rsidR="00F76A63" w:rsidRDefault="00000000">
            <w:pPr>
              <w:adjustRightInd w:val="0"/>
              <w:snapToGrid w:val="0"/>
              <w:jc w:val="center"/>
              <w:rPr>
                <w:sz w:val="24"/>
              </w:rPr>
            </w:pPr>
            <w:r>
              <w:rPr>
                <w:sz w:val="24"/>
              </w:rPr>
              <w:t>/</w:t>
            </w:r>
          </w:p>
        </w:tc>
        <w:tc>
          <w:tcPr>
            <w:tcW w:w="1485" w:type="dxa"/>
            <w:tcBorders>
              <w:tl2br w:val="nil"/>
              <w:tr2bl w:val="nil"/>
            </w:tcBorders>
            <w:vAlign w:val="center"/>
          </w:tcPr>
          <w:p w14:paraId="62F80BAB" w14:textId="77777777" w:rsidR="00F76A63" w:rsidRDefault="00000000">
            <w:pPr>
              <w:adjustRightInd w:val="0"/>
              <w:snapToGrid w:val="0"/>
              <w:jc w:val="center"/>
              <w:rPr>
                <w:sz w:val="24"/>
              </w:rPr>
            </w:pPr>
            <w:r>
              <w:rPr>
                <w:sz w:val="24"/>
              </w:rPr>
              <w:t>/</w:t>
            </w:r>
          </w:p>
        </w:tc>
        <w:tc>
          <w:tcPr>
            <w:tcW w:w="1755" w:type="dxa"/>
            <w:tcBorders>
              <w:tl2br w:val="nil"/>
              <w:tr2bl w:val="nil"/>
            </w:tcBorders>
            <w:vAlign w:val="center"/>
          </w:tcPr>
          <w:p w14:paraId="60E493A2" w14:textId="77777777" w:rsidR="00F76A63" w:rsidRDefault="00000000">
            <w:pPr>
              <w:adjustRightInd w:val="0"/>
              <w:snapToGrid w:val="0"/>
              <w:jc w:val="center"/>
              <w:rPr>
                <w:sz w:val="24"/>
              </w:rPr>
            </w:pPr>
            <w:r>
              <w:rPr>
                <w:sz w:val="24"/>
              </w:rPr>
              <w:t>/</w:t>
            </w:r>
          </w:p>
        </w:tc>
        <w:tc>
          <w:tcPr>
            <w:tcW w:w="2522" w:type="dxa"/>
            <w:tcBorders>
              <w:tl2br w:val="nil"/>
              <w:tr2bl w:val="nil"/>
            </w:tcBorders>
            <w:vAlign w:val="center"/>
          </w:tcPr>
          <w:p w14:paraId="3C009900" w14:textId="77777777" w:rsidR="00F76A63" w:rsidRDefault="00000000">
            <w:pPr>
              <w:adjustRightInd w:val="0"/>
              <w:snapToGrid w:val="0"/>
              <w:jc w:val="center"/>
              <w:rPr>
                <w:sz w:val="24"/>
              </w:rPr>
            </w:pPr>
            <w:r>
              <w:rPr>
                <w:sz w:val="24"/>
              </w:rPr>
              <w:t>/</w:t>
            </w:r>
          </w:p>
        </w:tc>
      </w:tr>
      <w:tr w:rsidR="00F76A63" w14:paraId="5C7FF729" w14:textId="77777777">
        <w:trPr>
          <w:trHeight w:val="425"/>
        </w:trPr>
        <w:tc>
          <w:tcPr>
            <w:tcW w:w="1238" w:type="dxa"/>
            <w:tcBorders>
              <w:tl2br w:val="nil"/>
              <w:tr2bl w:val="nil"/>
            </w:tcBorders>
            <w:vAlign w:val="center"/>
          </w:tcPr>
          <w:p w14:paraId="0A055098" w14:textId="77777777" w:rsidR="00F76A63" w:rsidRDefault="00000000">
            <w:pPr>
              <w:adjustRightInd w:val="0"/>
              <w:snapToGrid w:val="0"/>
              <w:jc w:val="center"/>
              <w:rPr>
                <w:b/>
                <w:bCs/>
                <w:sz w:val="24"/>
              </w:rPr>
            </w:pPr>
            <w:r>
              <w:rPr>
                <w:b/>
                <w:bCs/>
                <w:sz w:val="24"/>
              </w:rPr>
              <w:t>声环境</w:t>
            </w:r>
          </w:p>
        </w:tc>
        <w:tc>
          <w:tcPr>
            <w:tcW w:w="1800" w:type="dxa"/>
            <w:tcBorders>
              <w:tl2br w:val="nil"/>
              <w:tr2bl w:val="nil"/>
            </w:tcBorders>
            <w:vAlign w:val="center"/>
          </w:tcPr>
          <w:p w14:paraId="08F188E6" w14:textId="77777777" w:rsidR="00F76A63" w:rsidRDefault="00000000">
            <w:pPr>
              <w:adjustRightInd w:val="0"/>
              <w:snapToGrid w:val="0"/>
              <w:jc w:val="center"/>
              <w:rPr>
                <w:sz w:val="24"/>
              </w:rPr>
            </w:pPr>
            <w:r>
              <w:rPr>
                <w:sz w:val="24"/>
              </w:rPr>
              <w:t>/</w:t>
            </w:r>
          </w:p>
        </w:tc>
        <w:tc>
          <w:tcPr>
            <w:tcW w:w="1485" w:type="dxa"/>
            <w:tcBorders>
              <w:tl2br w:val="nil"/>
              <w:tr2bl w:val="nil"/>
            </w:tcBorders>
            <w:vAlign w:val="center"/>
          </w:tcPr>
          <w:p w14:paraId="351DA371" w14:textId="77777777" w:rsidR="00F76A63" w:rsidRDefault="00000000">
            <w:pPr>
              <w:adjustRightInd w:val="0"/>
              <w:snapToGrid w:val="0"/>
              <w:jc w:val="center"/>
              <w:rPr>
                <w:sz w:val="24"/>
              </w:rPr>
            </w:pPr>
            <w:r>
              <w:rPr>
                <w:sz w:val="24"/>
              </w:rPr>
              <w:t>/</w:t>
            </w:r>
          </w:p>
        </w:tc>
        <w:tc>
          <w:tcPr>
            <w:tcW w:w="1755" w:type="dxa"/>
            <w:tcBorders>
              <w:tl2br w:val="nil"/>
              <w:tr2bl w:val="nil"/>
            </w:tcBorders>
            <w:vAlign w:val="center"/>
          </w:tcPr>
          <w:p w14:paraId="4D13EF41" w14:textId="77777777" w:rsidR="00F76A63" w:rsidRDefault="00000000">
            <w:pPr>
              <w:adjustRightInd w:val="0"/>
              <w:snapToGrid w:val="0"/>
              <w:jc w:val="center"/>
              <w:rPr>
                <w:sz w:val="24"/>
              </w:rPr>
            </w:pPr>
            <w:r>
              <w:rPr>
                <w:sz w:val="24"/>
              </w:rPr>
              <w:t>/</w:t>
            </w:r>
          </w:p>
        </w:tc>
        <w:tc>
          <w:tcPr>
            <w:tcW w:w="2522" w:type="dxa"/>
            <w:tcBorders>
              <w:tl2br w:val="nil"/>
              <w:tr2bl w:val="nil"/>
            </w:tcBorders>
            <w:vAlign w:val="center"/>
          </w:tcPr>
          <w:p w14:paraId="10CE7C37" w14:textId="77777777" w:rsidR="00F76A63" w:rsidRDefault="00000000">
            <w:pPr>
              <w:adjustRightInd w:val="0"/>
              <w:snapToGrid w:val="0"/>
              <w:jc w:val="center"/>
              <w:rPr>
                <w:sz w:val="24"/>
              </w:rPr>
            </w:pPr>
            <w:r>
              <w:rPr>
                <w:sz w:val="24"/>
              </w:rPr>
              <w:t>/</w:t>
            </w:r>
          </w:p>
        </w:tc>
      </w:tr>
      <w:tr w:rsidR="00F76A63" w14:paraId="393EAB92" w14:textId="77777777">
        <w:trPr>
          <w:trHeight w:val="425"/>
        </w:trPr>
        <w:tc>
          <w:tcPr>
            <w:tcW w:w="1238" w:type="dxa"/>
            <w:tcBorders>
              <w:tl2br w:val="nil"/>
              <w:tr2bl w:val="nil"/>
            </w:tcBorders>
            <w:vAlign w:val="center"/>
          </w:tcPr>
          <w:p w14:paraId="3439CE0A" w14:textId="77777777" w:rsidR="00F76A63" w:rsidRDefault="00000000">
            <w:pPr>
              <w:adjustRightInd w:val="0"/>
              <w:snapToGrid w:val="0"/>
              <w:jc w:val="center"/>
              <w:rPr>
                <w:b/>
                <w:bCs/>
                <w:sz w:val="24"/>
              </w:rPr>
            </w:pPr>
            <w:r>
              <w:rPr>
                <w:b/>
                <w:bCs/>
                <w:sz w:val="24"/>
              </w:rPr>
              <w:t>电磁辐射</w:t>
            </w:r>
          </w:p>
        </w:tc>
        <w:tc>
          <w:tcPr>
            <w:tcW w:w="1800" w:type="dxa"/>
            <w:tcBorders>
              <w:tl2br w:val="nil"/>
              <w:tr2bl w:val="nil"/>
            </w:tcBorders>
            <w:vAlign w:val="center"/>
          </w:tcPr>
          <w:p w14:paraId="28A22FEC" w14:textId="77777777" w:rsidR="00F76A63" w:rsidRDefault="00000000">
            <w:pPr>
              <w:adjustRightInd w:val="0"/>
              <w:snapToGrid w:val="0"/>
              <w:jc w:val="center"/>
              <w:rPr>
                <w:sz w:val="24"/>
              </w:rPr>
            </w:pPr>
            <w:r>
              <w:rPr>
                <w:sz w:val="24"/>
              </w:rPr>
              <w:t>/</w:t>
            </w:r>
          </w:p>
        </w:tc>
        <w:tc>
          <w:tcPr>
            <w:tcW w:w="1485" w:type="dxa"/>
            <w:tcBorders>
              <w:tl2br w:val="nil"/>
              <w:tr2bl w:val="nil"/>
            </w:tcBorders>
            <w:vAlign w:val="center"/>
          </w:tcPr>
          <w:p w14:paraId="711545DA" w14:textId="77777777" w:rsidR="00F76A63" w:rsidRDefault="00000000">
            <w:pPr>
              <w:adjustRightInd w:val="0"/>
              <w:snapToGrid w:val="0"/>
              <w:jc w:val="center"/>
              <w:rPr>
                <w:szCs w:val="21"/>
              </w:rPr>
            </w:pPr>
            <w:r>
              <w:rPr>
                <w:szCs w:val="21"/>
              </w:rPr>
              <w:t>/</w:t>
            </w:r>
          </w:p>
        </w:tc>
        <w:tc>
          <w:tcPr>
            <w:tcW w:w="1755" w:type="dxa"/>
            <w:tcBorders>
              <w:tl2br w:val="nil"/>
              <w:tr2bl w:val="nil"/>
            </w:tcBorders>
            <w:vAlign w:val="center"/>
          </w:tcPr>
          <w:p w14:paraId="5825A338" w14:textId="77777777" w:rsidR="00F76A63" w:rsidRDefault="00000000">
            <w:pPr>
              <w:adjustRightInd w:val="0"/>
              <w:snapToGrid w:val="0"/>
              <w:jc w:val="center"/>
              <w:rPr>
                <w:szCs w:val="21"/>
              </w:rPr>
            </w:pPr>
            <w:r>
              <w:rPr>
                <w:szCs w:val="21"/>
              </w:rPr>
              <w:t>/</w:t>
            </w:r>
          </w:p>
        </w:tc>
        <w:tc>
          <w:tcPr>
            <w:tcW w:w="2522" w:type="dxa"/>
            <w:tcBorders>
              <w:tl2br w:val="nil"/>
              <w:tr2bl w:val="nil"/>
            </w:tcBorders>
            <w:vAlign w:val="center"/>
          </w:tcPr>
          <w:p w14:paraId="36F39241" w14:textId="77777777" w:rsidR="00F76A63" w:rsidRDefault="00000000">
            <w:pPr>
              <w:adjustRightInd w:val="0"/>
              <w:snapToGrid w:val="0"/>
              <w:jc w:val="center"/>
              <w:rPr>
                <w:szCs w:val="21"/>
              </w:rPr>
            </w:pPr>
            <w:r>
              <w:rPr>
                <w:szCs w:val="21"/>
              </w:rPr>
              <w:t>/</w:t>
            </w:r>
          </w:p>
        </w:tc>
      </w:tr>
      <w:tr w:rsidR="00F76A63" w14:paraId="22634E3E" w14:textId="77777777">
        <w:trPr>
          <w:trHeight w:val="1276"/>
        </w:trPr>
        <w:tc>
          <w:tcPr>
            <w:tcW w:w="1238" w:type="dxa"/>
            <w:tcBorders>
              <w:tl2br w:val="nil"/>
              <w:tr2bl w:val="nil"/>
            </w:tcBorders>
            <w:vAlign w:val="center"/>
          </w:tcPr>
          <w:p w14:paraId="3448BF5B" w14:textId="77777777" w:rsidR="00F76A63" w:rsidRDefault="00000000">
            <w:pPr>
              <w:adjustRightInd w:val="0"/>
              <w:snapToGrid w:val="0"/>
              <w:jc w:val="center"/>
              <w:rPr>
                <w:b/>
                <w:bCs/>
                <w:sz w:val="24"/>
              </w:rPr>
            </w:pPr>
            <w:r>
              <w:rPr>
                <w:b/>
                <w:bCs/>
                <w:sz w:val="24"/>
              </w:rPr>
              <w:t>固体废物</w:t>
            </w:r>
          </w:p>
        </w:tc>
        <w:tc>
          <w:tcPr>
            <w:tcW w:w="7562" w:type="dxa"/>
            <w:gridSpan w:val="4"/>
            <w:tcBorders>
              <w:tl2br w:val="nil"/>
              <w:tr2bl w:val="nil"/>
            </w:tcBorders>
            <w:vAlign w:val="center"/>
          </w:tcPr>
          <w:p w14:paraId="65E1CC31" w14:textId="77777777" w:rsidR="00F76A63" w:rsidRDefault="00000000">
            <w:pPr>
              <w:adjustRightInd w:val="0"/>
              <w:snapToGrid w:val="0"/>
              <w:jc w:val="center"/>
              <w:rPr>
                <w:sz w:val="24"/>
              </w:rPr>
            </w:pPr>
            <w:r>
              <w:rPr>
                <w:sz w:val="24"/>
              </w:rPr>
              <w:t>设置一间</w:t>
            </w:r>
            <w:r>
              <w:rPr>
                <w:sz w:val="24"/>
              </w:rPr>
              <w:t>90m</w:t>
            </w:r>
            <w:r>
              <w:rPr>
                <w:sz w:val="24"/>
                <w:vertAlign w:val="superscript"/>
              </w:rPr>
              <w:t>2</w:t>
            </w:r>
            <w:r>
              <w:rPr>
                <w:sz w:val="24"/>
              </w:rPr>
              <w:t>的危险废物贮存场所，危险废物贮存按照《危险废物贮存污染控制标准》（</w:t>
            </w:r>
            <w:r>
              <w:rPr>
                <w:sz w:val="24"/>
              </w:rPr>
              <w:t>GB18597—2023</w:t>
            </w:r>
            <w:r>
              <w:rPr>
                <w:sz w:val="24"/>
              </w:rPr>
              <w:t>）、《危险废物收集储存运输技术规范》（</w:t>
            </w:r>
            <w:r>
              <w:rPr>
                <w:sz w:val="24"/>
              </w:rPr>
              <w:t>HJ2025-2012</w:t>
            </w:r>
            <w:r>
              <w:rPr>
                <w:sz w:val="24"/>
              </w:rPr>
              <w:t>）相关规定要求进行危险废物的贮存。</w:t>
            </w:r>
          </w:p>
        </w:tc>
      </w:tr>
      <w:tr w:rsidR="00F76A63" w14:paraId="432A688A" w14:textId="77777777">
        <w:trPr>
          <w:trHeight w:val="1276"/>
        </w:trPr>
        <w:tc>
          <w:tcPr>
            <w:tcW w:w="1238" w:type="dxa"/>
            <w:tcBorders>
              <w:tl2br w:val="nil"/>
              <w:tr2bl w:val="nil"/>
            </w:tcBorders>
            <w:vAlign w:val="center"/>
          </w:tcPr>
          <w:p w14:paraId="56BD5D37" w14:textId="77777777" w:rsidR="00F76A63" w:rsidRDefault="00000000">
            <w:pPr>
              <w:adjustRightInd w:val="0"/>
              <w:snapToGrid w:val="0"/>
              <w:jc w:val="center"/>
              <w:rPr>
                <w:b/>
                <w:bCs/>
                <w:sz w:val="24"/>
              </w:rPr>
            </w:pPr>
            <w:r>
              <w:rPr>
                <w:b/>
                <w:bCs/>
                <w:sz w:val="24"/>
              </w:rPr>
              <w:t>土壤及地下水</w:t>
            </w:r>
          </w:p>
          <w:p w14:paraId="39ADE5C4" w14:textId="77777777" w:rsidR="00F76A63" w:rsidRDefault="00000000">
            <w:pPr>
              <w:adjustRightInd w:val="0"/>
              <w:snapToGrid w:val="0"/>
              <w:jc w:val="center"/>
              <w:rPr>
                <w:b/>
                <w:bCs/>
                <w:sz w:val="24"/>
              </w:rPr>
            </w:pPr>
            <w:r>
              <w:rPr>
                <w:b/>
                <w:bCs/>
                <w:sz w:val="24"/>
              </w:rPr>
              <w:t>污染防治措施</w:t>
            </w:r>
          </w:p>
        </w:tc>
        <w:tc>
          <w:tcPr>
            <w:tcW w:w="7562" w:type="dxa"/>
            <w:gridSpan w:val="4"/>
            <w:tcBorders>
              <w:tl2br w:val="nil"/>
              <w:tr2bl w:val="nil"/>
            </w:tcBorders>
            <w:vAlign w:val="center"/>
          </w:tcPr>
          <w:p w14:paraId="5F54616C" w14:textId="77777777" w:rsidR="00F76A63" w:rsidRDefault="00000000">
            <w:pPr>
              <w:adjustRightInd w:val="0"/>
              <w:snapToGrid w:val="0"/>
              <w:jc w:val="center"/>
              <w:rPr>
                <w:sz w:val="24"/>
              </w:rPr>
            </w:pPr>
            <w:r>
              <w:rPr>
                <w:sz w:val="24"/>
              </w:rPr>
              <w:t>各防渗区采取相应防渗措施，有效防止土壤、地下水污染</w:t>
            </w:r>
          </w:p>
        </w:tc>
      </w:tr>
      <w:tr w:rsidR="00F76A63" w14:paraId="3F888F3E" w14:textId="77777777">
        <w:trPr>
          <w:trHeight w:val="719"/>
        </w:trPr>
        <w:tc>
          <w:tcPr>
            <w:tcW w:w="1238" w:type="dxa"/>
            <w:tcBorders>
              <w:tl2br w:val="nil"/>
              <w:tr2bl w:val="nil"/>
            </w:tcBorders>
            <w:vAlign w:val="center"/>
          </w:tcPr>
          <w:p w14:paraId="4CF95D15" w14:textId="77777777" w:rsidR="00F76A63" w:rsidRDefault="00000000">
            <w:pPr>
              <w:adjustRightInd w:val="0"/>
              <w:snapToGrid w:val="0"/>
              <w:jc w:val="center"/>
              <w:rPr>
                <w:b/>
                <w:bCs/>
                <w:sz w:val="24"/>
              </w:rPr>
            </w:pPr>
            <w:r>
              <w:rPr>
                <w:b/>
                <w:bCs/>
                <w:sz w:val="24"/>
              </w:rPr>
              <w:t>生态保护措施</w:t>
            </w:r>
          </w:p>
        </w:tc>
        <w:tc>
          <w:tcPr>
            <w:tcW w:w="7562" w:type="dxa"/>
            <w:gridSpan w:val="4"/>
            <w:tcBorders>
              <w:tl2br w:val="nil"/>
              <w:tr2bl w:val="nil"/>
            </w:tcBorders>
            <w:vAlign w:val="center"/>
          </w:tcPr>
          <w:p w14:paraId="1574DE80" w14:textId="77777777" w:rsidR="00F76A63" w:rsidRDefault="00000000">
            <w:pPr>
              <w:adjustRightInd w:val="0"/>
              <w:snapToGrid w:val="0"/>
              <w:jc w:val="center"/>
              <w:rPr>
                <w:sz w:val="24"/>
              </w:rPr>
            </w:pPr>
            <w:r>
              <w:rPr>
                <w:sz w:val="24"/>
              </w:rPr>
              <w:t>不涉及</w:t>
            </w:r>
          </w:p>
        </w:tc>
      </w:tr>
      <w:tr w:rsidR="00F76A63" w14:paraId="5CB84255" w14:textId="77777777">
        <w:trPr>
          <w:trHeight w:val="1276"/>
        </w:trPr>
        <w:tc>
          <w:tcPr>
            <w:tcW w:w="1238" w:type="dxa"/>
            <w:tcBorders>
              <w:tl2br w:val="nil"/>
              <w:tr2bl w:val="nil"/>
            </w:tcBorders>
            <w:vAlign w:val="center"/>
          </w:tcPr>
          <w:p w14:paraId="74EC26F2" w14:textId="77777777" w:rsidR="00F76A63" w:rsidRDefault="00000000">
            <w:pPr>
              <w:adjustRightInd w:val="0"/>
              <w:snapToGrid w:val="0"/>
              <w:jc w:val="center"/>
              <w:rPr>
                <w:b/>
                <w:bCs/>
                <w:spacing w:val="-8"/>
                <w:sz w:val="24"/>
              </w:rPr>
            </w:pPr>
            <w:r>
              <w:rPr>
                <w:b/>
                <w:bCs/>
                <w:spacing w:val="-8"/>
                <w:sz w:val="24"/>
              </w:rPr>
              <w:lastRenderedPageBreak/>
              <w:t>环境风险</w:t>
            </w:r>
          </w:p>
          <w:p w14:paraId="229F018F" w14:textId="77777777" w:rsidR="00F76A63" w:rsidRDefault="00000000">
            <w:pPr>
              <w:adjustRightInd w:val="0"/>
              <w:snapToGrid w:val="0"/>
              <w:jc w:val="center"/>
              <w:rPr>
                <w:b/>
                <w:bCs/>
                <w:spacing w:val="-8"/>
                <w:sz w:val="24"/>
              </w:rPr>
            </w:pPr>
            <w:r>
              <w:rPr>
                <w:b/>
                <w:bCs/>
                <w:spacing w:val="-8"/>
                <w:sz w:val="24"/>
              </w:rPr>
              <w:t>防范措施</w:t>
            </w:r>
          </w:p>
        </w:tc>
        <w:tc>
          <w:tcPr>
            <w:tcW w:w="7562" w:type="dxa"/>
            <w:gridSpan w:val="4"/>
            <w:tcBorders>
              <w:tl2br w:val="nil"/>
              <w:tr2bl w:val="nil"/>
            </w:tcBorders>
            <w:vAlign w:val="center"/>
          </w:tcPr>
          <w:p w14:paraId="490B974D" w14:textId="77777777" w:rsidR="00F76A63" w:rsidRDefault="00000000">
            <w:pPr>
              <w:adjustRightInd w:val="0"/>
              <w:snapToGrid w:val="0"/>
              <w:jc w:val="center"/>
              <w:rPr>
                <w:sz w:val="24"/>
              </w:rPr>
            </w:pPr>
            <w:r>
              <w:rPr>
                <w:sz w:val="24"/>
              </w:rPr>
              <w:t>制定管理措施，有效防范风险事故的发生，对现有应急预案进行修编，按要求补充事故风险防范措施，配备事故应急设施、材料能保证有效的事故应急，降低事故环境风险。</w:t>
            </w:r>
          </w:p>
        </w:tc>
      </w:tr>
      <w:tr w:rsidR="00F76A63" w14:paraId="405EE823" w14:textId="77777777">
        <w:trPr>
          <w:trHeight w:val="1002"/>
        </w:trPr>
        <w:tc>
          <w:tcPr>
            <w:tcW w:w="1238" w:type="dxa"/>
            <w:tcBorders>
              <w:tl2br w:val="nil"/>
              <w:tr2bl w:val="nil"/>
            </w:tcBorders>
            <w:vAlign w:val="center"/>
          </w:tcPr>
          <w:p w14:paraId="23D59D28" w14:textId="77777777" w:rsidR="00F76A63" w:rsidRDefault="00000000">
            <w:pPr>
              <w:adjustRightInd w:val="0"/>
              <w:snapToGrid w:val="0"/>
              <w:jc w:val="center"/>
              <w:rPr>
                <w:b/>
                <w:bCs/>
                <w:spacing w:val="-8"/>
                <w:sz w:val="24"/>
              </w:rPr>
            </w:pPr>
            <w:r>
              <w:rPr>
                <w:b/>
                <w:bCs/>
                <w:spacing w:val="-8"/>
                <w:sz w:val="24"/>
              </w:rPr>
              <w:t>其他环境</w:t>
            </w:r>
          </w:p>
          <w:p w14:paraId="54FADF0C" w14:textId="77777777" w:rsidR="00F76A63" w:rsidRDefault="00000000">
            <w:pPr>
              <w:adjustRightInd w:val="0"/>
              <w:snapToGrid w:val="0"/>
              <w:jc w:val="center"/>
              <w:rPr>
                <w:spacing w:val="-8"/>
                <w:sz w:val="24"/>
              </w:rPr>
            </w:pPr>
            <w:r>
              <w:rPr>
                <w:b/>
                <w:bCs/>
                <w:spacing w:val="-8"/>
                <w:sz w:val="24"/>
              </w:rPr>
              <w:t>管理要求</w:t>
            </w:r>
          </w:p>
        </w:tc>
        <w:tc>
          <w:tcPr>
            <w:tcW w:w="7562" w:type="dxa"/>
            <w:gridSpan w:val="4"/>
            <w:tcBorders>
              <w:tl2br w:val="nil"/>
              <w:tr2bl w:val="nil"/>
            </w:tcBorders>
            <w:vAlign w:val="center"/>
          </w:tcPr>
          <w:p w14:paraId="374BAF32" w14:textId="77777777" w:rsidR="00F76A63" w:rsidRDefault="00000000">
            <w:pPr>
              <w:adjustRightInd w:val="0"/>
              <w:snapToGrid w:val="0"/>
              <w:jc w:val="center"/>
              <w:rPr>
                <w:sz w:val="24"/>
              </w:rPr>
            </w:pPr>
            <w:r>
              <w:rPr>
                <w:rFonts w:ascii="Cambria Math" w:hAnsi="Cambria Math" w:cs="Cambria Math"/>
                <w:sz w:val="24"/>
              </w:rPr>
              <w:t>①</w:t>
            </w:r>
            <w:r>
              <w:rPr>
                <w:sz w:val="24"/>
              </w:rPr>
              <w:t>严格执行</w:t>
            </w:r>
            <w:r>
              <w:rPr>
                <w:rFonts w:hint="eastAsia"/>
                <w:sz w:val="24"/>
              </w:rPr>
              <w:t>“</w:t>
            </w:r>
            <w:r>
              <w:rPr>
                <w:sz w:val="24"/>
              </w:rPr>
              <w:t>三同时</w:t>
            </w:r>
            <w:r>
              <w:rPr>
                <w:rFonts w:hint="eastAsia"/>
                <w:sz w:val="24"/>
              </w:rPr>
              <w:t>”</w:t>
            </w:r>
            <w:r>
              <w:rPr>
                <w:sz w:val="24"/>
              </w:rPr>
              <w:t>制度</w:t>
            </w:r>
          </w:p>
          <w:p w14:paraId="6D8CD0DA" w14:textId="77777777" w:rsidR="00F76A63" w:rsidRDefault="00000000">
            <w:pPr>
              <w:adjustRightInd w:val="0"/>
              <w:snapToGrid w:val="0"/>
              <w:jc w:val="center"/>
              <w:rPr>
                <w:sz w:val="24"/>
              </w:rPr>
            </w:pPr>
            <w:r>
              <w:rPr>
                <w:sz w:val="24"/>
              </w:rPr>
              <w:t>在项目筹备、设计和施工建设不同阶段，均应严格执行</w:t>
            </w:r>
            <w:r>
              <w:rPr>
                <w:rFonts w:hint="eastAsia"/>
                <w:sz w:val="24"/>
              </w:rPr>
              <w:t>“</w:t>
            </w:r>
            <w:r>
              <w:rPr>
                <w:sz w:val="24"/>
              </w:rPr>
              <w:t>三同时</w:t>
            </w:r>
            <w:r>
              <w:rPr>
                <w:rFonts w:hint="eastAsia"/>
                <w:sz w:val="24"/>
              </w:rPr>
              <w:t>”</w:t>
            </w:r>
            <w:r>
              <w:rPr>
                <w:sz w:val="24"/>
              </w:rPr>
              <w:t>制度，确保污染治理设施能够与生产工艺设施</w:t>
            </w:r>
            <w:r>
              <w:rPr>
                <w:rFonts w:hint="eastAsia"/>
                <w:sz w:val="24"/>
              </w:rPr>
              <w:t>“</w:t>
            </w:r>
            <w:r>
              <w:rPr>
                <w:sz w:val="24"/>
              </w:rPr>
              <w:t>同时设计、同时施工、同时竣工</w:t>
            </w:r>
            <w:r>
              <w:rPr>
                <w:rFonts w:hint="eastAsia"/>
                <w:sz w:val="24"/>
              </w:rPr>
              <w:t>”</w:t>
            </w:r>
            <w:r>
              <w:rPr>
                <w:sz w:val="24"/>
              </w:rPr>
              <w:t>。</w:t>
            </w:r>
          </w:p>
          <w:p w14:paraId="4E35242B" w14:textId="77777777" w:rsidR="00F76A63" w:rsidRDefault="00000000">
            <w:pPr>
              <w:adjustRightInd w:val="0"/>
              <w:snapToGrid w:val="0"/>
              <w:jc w:val="center"/>
              <w:rPr>
                <w:sz w:val="24"/>
              </w:rPr>
            </w:pPr>
            <w:r>
              <w:rPr>
                <w:rFonts w:ascii="Cambria Math" w:hAnsi="Cambria Math" w:cs="Cambria Math"/>
                <w:sz w:val="24"/>
              </w:rPr>
              <w:t>②</w:t>
            </w:r>
            <w:r>
              <w:rPr>
                <w:sz w:val="24"/>
              </w:rPr>
              <w:t>建立环境报告制度</w:t>
            </w:r>
          </w:p>
          <w:p w14:paraId="67B971E4" w14:textId="77777777" w:rsidR="00F76A63" w:rsidRDefault="00000000">
            <w:pPr>
              <w:adjustRightInd w:val="0"/>
              <w:snapToGrid w:val="0"/>
              <w:jc w:val="center"/>
              <w:rPr>
                <w:sz w:val="24"/>
              </w:rPr>
            </w:pPr>
            <w:r>
              <w:rPr>
                <w:sz w:val="24"/>
              </w:rPr>
              <w:t>应按有关法规的要求，严格执行排污申报制度；此外，在项目工程排污发生重大变化、污染治理设施发生重大改变或拟实施新、改、扩建项目时必须及时向相关环保行政主管部门申报。</w:t>
            </w:r>
          </w:p>
          <w:p w14:paraId="505323B9" w14:textId="77777777" w:rsidR="00F76A63" w:rsidRDefault="00000000">
            <w:pPr>
              <w:adjustRightInd w:val="0"/>
              <w:snapToGrid w:val="0"/>
              <w:jc w:val="center"/>
              <w:rPr>
                <w:sz w:val="24"/>
              </w:rPr>
            </w:pPr>
            <w:r>
              <w:rPr>
                <w:rFonts w:ascii="Cambria Math" w:hAnsi="Cambria Math" w:cs="Cambria Math"/>
                <w:sz w:val="24"/>
              </w:rPr>
              <w:t>③</w:t>
            </w:r>
            <w:r>
              <w:rPr>
                <w:sz w:val="24"/>
              </w:rPr>
              <w:t>健全污染治理设施管理制度</w:t>
            </w:r>
          </w:p>
          <w:p w14:paraId="208E5FA1" w14:textId="77777777" w:rsidR="00F76A63" w:rsidRDefault="00000000">
            <w:pPr>
              <w:adjustRightInd w:val="0"/>
              <w:snapToGrid w:val="0"/>
              <w:jc w:val="center"/>
              <w:rPr>
                <w:sz w:val="24"/>
              </w:rPr>
            </w:pPr>
            <w:r>
              <w:rPr>
                <w:sz w:val="24"/>
              </w:rPr>
              <w:t>建立健全污染治理设施的运行、检修、维护保养的作业规程和管理制度，将污染治理设施的管理与生产经营管理一同纳入公司日常管理工作的范畴，落实责任人，建立管理台账。避免擅自拆除或闲置现有的污水处理设施现象的发生，严禁故意不正常使用污染治理设施。</w:t>
            </w:r>
          </w:p>
          <w:p w14:paraId="10F75ACA" w14:textId="77777777" w:rsidR="00F76A63" w:rsidRDefault="00000000">
            <w:pPr>
              <w:adjustRightInd w:val="0"/>
              <w:snapToGrid w:val="0"/>
              <w:jc w:val="center"/>
              <w:rPr>
                <w:sz w:val="24"/>
              </w:rPr>
            </w:pPr>
            <w:r>
              <w:rPr>
                <w:rFonts w:ascii="Cambria Math" w:hAnsi="Cambria Math" w:cs="Cambria Math"/>
                <w:sz w:val="24"/>
              </w:rPr>
              <w:t>④</w:t>
            </w:r>
            <w:r>
              <w:rPr>
                <w:sz w:val="24"/>
              </w:rPr>
              <w:t>建立环境目标管理责任制和奖惩条例</w:t>
            </w:r>
          </w:p>
          <w:p w14:paraId="7C62ACCE" w14:textId="77777777" w:rsidR="00F76A63" w:rsidRDefault="00000000">
            <w:pPr>
              <w:adjustRightInd w:val="0"/>
              <w:snapToGrid w:val="0"/>
              <w:jc w:val="center"/>
              <w:rPr>
                <w:sz w:val="24"/>
              </w:rPr>
            </w:pPr>
            <w:r>
              <w:rPr>
                <w:sz w:val="24"/>
              </w:rPr>
              <w:t>建立并实施各级人员的环境目标管理责任制，把环境目标责任完成情况与奖惩制度结合起来。设置环境保护奖惩条例，对爱护环保设施、节能降耗、减少污染物排放、改善环境绩效者给予适当的奖励；对环保观念淡薄，不按环保要求管理和操作，造成环保设施非正常损坏、发生污染事故以及浪费资源者予以相应的处罚。在公司内部形成注重环境管理，持续改进环境绩效的氛围。</w:t>
            </w:r>
          </w:p>
          <w:p w14:paraId="708C483B" w14:textId="77777777" w:rsidR="00F76A63" w:rsidRDefault="00000000">
            <w:pPr>
              <w:adjustRightInd w:val="0"/>
              <w:snapToGrid w:val="0"/>
              <w:jc w:val="center"/>
              <w:rPr>
                <w:sz w:val="24"/>
              </w:rPr>
            </w:pPr>
            <w:r>
              <w:rPr>
                <w:rFonts w:ascii="Cambria Math" w:hAnsi="Cambria Math" w:cs="Cambria Math"/>
                <w:sz w:val="24"/>
              </w:rPr>
              <w:t>⑤</w:t>
            </w:r>
            <w:r>
              <w:rPr>
                <w:sz w:val="24"/>
              </w:rPr>
              <w:t>排污口规范化设置</w:t>
            </w:r>
          </w:p>
          <w:p w14:paraId="50BBE0C4" w14:textId="77777777" w:rsidR="00F76A63" w:rsidRDefault="00000000">
            <w:pPr>
              <w:adjustRightInd w:val="0"/>
              <w:snapToGrid w:val="0"/>
              <w:jc w:val="center"/>
              <w:rPr>
                <w:sz w:val="24"/>
              </w:rPr>
            </w:pPr>
            <w:r>
              <w:rPr>
                <w:sz w:val="24"/>
              </w:rPr>
              <w:t>按照《江苏省排污口设置及规范化整治管理办法》（苏环控〔</w:t>
            </w:r>
            <w:r>
              <w:rPr>
                <w:sz w:val="24"/>
              </w:rPr>
              <w:t>1997</w:t>
            </w:r>
            <w:r>
              <w:rPr>
                <w:sz w:val="24"/>
              </w:rPr>
              <w:t>〕</w:t>
            </w:r>
            <w:r>
              <w:rPr>
                <w:sz w:val="24"/>
              </w:rPr>
              <w:t>122</w:t>
            </w:r>
            <w:r>
              <w:rPr>
                <w:sz w:val="24"/>
              </w:rPr>
              <w:t>号）的要求设置排污口。本项目废气处理装置及排气筒，应按照《固定源废气监测技术规范》规范设置便于采样、监测的采样口和采样监测平台。在排气筒附近醒目处置环保图形标志牌，标明排气筒高度、出口内径、排放污染物种类等信息。</w:t>
            </w:r>
          </w:p>
          <w:p w14:paraId="52AA973E" w14:textId="77777777" w:rsidR="00F76A63" w:rsidRDefault="00000000">
            <w:pPr>
              <w:adjustRightInd w:val="0"/>
              <w:snapToGrid w:val="0"/>
              <w:jc w:val="center"/>
              <w:rPr>
                <w:sz w:val="24"/>
              </w:rPr>
            </w:pPr>
            <w:r>
              <w:rPr>
                <w:rFonts w:ascii="Cambria Math" w:hAnsi="Cambria Math" w:cs="Cambria Math"/>
                <w:sz w:val="24"/>
              </w:rPr>
              <w:t>⑥</w:t>
            </w:r>
            <w:r>
              <w:rPr>
                <w:sz w:val="24"/>
              </w:rPr>
              <w:t>按照要求开展自行监测并公示</w:t>
            </w:r>
          </w:p>
          <w:p w14:paraId="75790FC5" w14:textId="77777777" w:rsidR="00F76A63" w:rsidRDefault="00000000">
            <w:pPr>
              <w:adjustRightInd w:val="0"/>
              <w:snapToGrid w:val="0"/>
              <w:jc w:val="center"/>
              <w:rPr>
                <w:sz w:val="24"/>
              </w:rPr>
            </w:pPr>
            <w:r>
              <w:rPr>
                <w:sz w:val="24"/>
              </w:rPr>
              <w:t>废气监测记录信息包括监测时间、排放口编码、污染因子、监测设施、许可排放浓度限值、浓度监测结果、是否超标、数据来源、其他。监测数据所有记录均由专人建档保管。记录形式：电子台账</w:t>
            </w:r>
            <w:r>
              <w:rPr>
                <w:sz w:val="24"/>
              </w:rPr>
              <w:t>+</w:t>
            </w:r>
            <w:r>
              <w:rPr>
                <w:sz w:val="24"/>
              </w:rPr>
              <w:t>纸质台账。台账保存期限不小于</w:t>
            </w:r>
            <w:r>
              <w:rPr>
                <w:sz w:val="24"/>
              </w:rPr>
              <w:t>5</w:t>
            </w:r>
            <w:r>
              <w:rPr>
                <w:sz w:val="24"/>
              </w:rPr>
              <w:t>年。</w:t>
            </w:r>
          </w:p>
        </w:tc>
      </w:tr>
    </w:tbl>
    <w:p w14:paraId="13FC4C07" w14:textId="77777777" w:rsidR="00F76A63" w:rsidRDefault="00000000">
      <w:pPr>
        <w:jc w:val="center"/>
        <w:outlineLvl w:val="0"/>
        <w:rPr>
          <w:b/>
          <w:bCs/>
          <w:snapToGrid w:val="0"/>
          <w:sz w:val="30"/>
          <w:szCs w:val="30"/>
        </w:rPr>
      </w:pPr>
      <w:r>
        <w:rPr>
          <w:snapToGrid w:val="0"/>
        </w:rPr>
        <w:br w:type="page"/>
      </w:r>
      <w:r>
        <w:rPr>
          <w:b/>
          <w:bCs/>
          <w:snapToGrid w:val="0"/>
          <w:sz w:val="30"/>
          <w:szCs w:val="30"/>
        </w:rPr>
        <w:lastRenderedPageBreak/>
        <w:t>六、结论</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865"/>
      </w:tblGrid>
      <w:tr w:rsidR="00F76A63" w14:paraId="22D9DC54" w14:textId="77777777">
        <w:trPr>
          <w:trHeight w:val="11991"/>
          <w:jc w:val="center"/>
        </w:trPr>
        <w:tc>
          <w:tcPr>
            <w:tcW w:w="8865" w:type="dxa"/>
            <w:vAlign w:val="center"/>
          </w:tcPr>
          <w:p w14:paraId="50FD5CB1" w14:textId="77777777" w:rsidR="00F76A63" w:rsidRDefault="00000000">
            <w:pPr>
              <w:spacing w:line="500" w:lineRule="exact"/>
              <w:ind w:firstLineChars="200" w:firstLine="480"/>
              <w:rPr>
                <w:sz w:val="24"/>
              </w:rPr>
            </w:pPr>
            <w:r>
              <w:rPr>
                <w:sz w:val="24"/>
              </w:rPr>
              <w:t>环评单位通过调查、分析和综合评价后认为：项目符合国家和地方有关环境保护法律法规、标准、政策、规范及相关规划要求；生产过程中遵循清洁生产理念，所采用的各项污染防治措施技术可行、经济合理，能保证各类污染物长期稳定达标排放；预测结果表明项目所排放的污染物对周围环境和环境保护目标影响较小；通过采取有针对性的风险防范措施并落实应急预案，项目的环境风险可防控。综上所述，在落实本报告表中的各项环保措施以及各级环保主管部门管理要求的前提下，从环保角度分析，本项目的建设具有环境可行性。同时，本项目在运行全过程中还必须满足消防、安全、职业卫生等相关管理要求。</w:t>
            </w:r>
          </w:p>
        </w:tc>
      </w:tr>
    </w:tbl>
    <w:p w14:paraId="1AE636D1" w14:textId="77777777" w:rsidR="00F76A63" w:rsidRDefault="00F76A63">
      <w:pPr>
        <w:sectPr w:rsidR="00F76A63">
          <w:pgSz w:w="11906" w:h="16838"/>
          <w:pgMar w:top="1701" w:right="1531" w:bottom="1701" w:left="1531" w:header="851" w:footer="851" w:gutter="0"/>
          <w:cols w:space="720"/>
          <w:docGrid w:linePitch="312"/>
        </w:sectPr>
      </w:pPr>
    </w:p>
    <w:p w14:paraId="0CD1C187" w14:textId="77777777" w:rsidR="00F76A63" w:rsidRDefault="00000000">
      <w:pPr>
        <w:adjustRightInd w:val="0"/>
        <w:snapToGrid w:val="0"/>
        <w:spacing w:line="648" w:lineRule="auto"/>
        <w:outlineLvl w:val="0"/>
        <w:rPr>
          <w:snapToGrid w:val="0"/>
          <w:sz w:val="32"/>
          <w:szCs w:val="32"/>
        </w:rPr>
      </w:pPr>
      <w:r>
        <w:rPr>
          <w:snapToGrid w:val="0"/>
          <w:sz w:val="32"/>
          <w:szCs w:val="32"/>
        </w:rPr>
        <w:lastRenderedPageBreak/>
        <w:t>附表</w:t>
      </w:r>
    </w:p>
    <w:p w14:paraId="65FA0419" w14:textId="77777777" w:rsidR="00F76A63" w:rsidRDefault="00000000">
      <w:pPr>
        <w:adjustRightInd w:val="0"/>
        <w:snapToGrid w:val="0"/>
        <w:spacing w:line="552" w:lineRule="auto"/>
        <w:jc w:val="center"/>
        <w:outlineLvl w:val="0"/>
        <w:rPr>
          <w:snapToGrid w:val="0"/>
          <w:sz w:val="38"/>
          <w:szCs w:val="38"/>
        </w:rPr>
      </w:pPr>
      <w:r>
        <w:rPr>
          <w:snapToGrid w:val="0"/>
          <w:sz w:val="38"/>
          <w:szCs w:val="38"/>
        </w:rPr>
        <w:t>建设项目污染物排放量汇总表（单位：</w:t>
      </w:r>
      <w:r>
        <w:rPr>
          <w:snapToGrid w:val="0"/>
          <w:sz w:val="38"/>
          <w:szCs w:val="38"/>
        </w:rPr>
        <w:t>t/a</w:t>
      </w:r>
      <w:r>
        <w:rPr>
          <w:snapToGrid w:val="0"/>
          <w:sz w:val="38"/>
          <w:szCs w:val="38"/>
        </w:rPr>
        <w:t>）</w:t>
      </w:r>
    </w:p>
    <w:tbl>
      <w:tblPr>
        <w:tblW w:w="1421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32"/>
        <w:gridCol w:w="633"/>
        <w:gridCol w:w="1563"/>
        <w:gridCol w:w="1701"/>
        <w:gridCol w:w="1418"/>
        <w:gridCol w:w="1559"/>
        <w:gridCol w:w="1736"/>
        <w:gridCol w:w="1761"/>
        <w:gridCol w:w="1890"/>
        <w:gridCol w:w="1324"/>
      </w:tblGrid>
      <w:tr w:rsidR="00F76A63" w14:paraId="25DEDB19" w14:textId="77777777">
        <w:trPr>
          <w:trHeight w:val="369"/>
          <w:jc w:val="center"/>
        </w:trPr>
        <w:tc>
          <w:tcPr>
            <w:tcW w:w="1265" w:type="dxa"/>
            <w:gridSpan w:val="2"/>
            <w:tcBorders>
              <w:top w:val="single" w:sz="8" w:space="0" w:color="auto"/>
              <w:left w:val="single" w:sz="8" w:space="0" w:color="auto"/>
              <w:bottom w:val="single" w:sz="4" w:space="0" w:color="auto"/>
              <w:right w:val="single" w:sz="4" w:space="0" w:color="auto"/>
            </w:tcBorders>
            <w:tcMar>
              <w:top w:w="0" w:type="dxa"/>
              <w:left w:w="28" w:type="dxa"/>
              <w:bottom w:w="0" w:type="dxa"/>
              <w:right w:w="28" w:type="dxa"/>
            </w:tcMar>
            <w:vAlign w:val="center"/>
          </w:tcPr>
          <w:bookmarkEnd w:id="0"/>
          <w:p w14:paraId="437C2BCB" w14:textId="77777777" w:rsidR="00F76A63" w:rsidRDefault="00000000">
            <w:pPr>
              <w:jc w:val="center"/>
              <w:rPr>
                <w:b/>
                <w:bCs/>
              </w:rPr>
            </w:pPr>
            <w:r>
              <w:rPr>
                <w:b/>
                <w:bCs/>
              </w:rPr>
              <w:t>项目</w:t>
            </w:r>
          </w:p>
          <w:p w14:paraId="0DA8D621" w14:textId="77777777" w:rsidR="00F76A63" w:rsidRDefault="00000000">
            <w:pPr>
              <w:jc w:val="center"/>
              <w:rPr>
                <w:b/>
                <w:bCs/>
              </w:rPr>
            </w:pPr>
            <w:r>
              <w:rPr>
                <w:b/>
                <w:bCs/>
              </w:rPr>
              <w:t>分类</w:t>
            </w:r>
          </w:p>
        </w:tc>
        <w:tc>
          <w:tcPr>
            <w:tcW w:w="1563"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12B5920" w14:textId="77777777" w:rsidR="00F76A63" w:rsidRDefault="00000000">
            <w:pPr>
              <w:jc w:val="center"/>
              <w:rPr>
                <w:b/>
                <w:bCs/>
              </w:rPr>
            </w:pPr>
            <w:r>
              <w:rPr>
                <w:b/>
                <w:bCs/>
              </w:rPr>
              <w:t>污染物名称</w:t>
            </w:r>
          </w:p>
        </w:tc>
        <w:tc>
          <w:tcPr>
            <w:tcW w:w="1701"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06EFC1" w14:textId="77777777" w:rsidR="00F76A63" w:rsidRDefault="00000000">
            <w:pPr>
              <w:jc w:val="center"/>
              <w:rPr>
                <w:b/>
                <w:bCs/>
              </w:rPr>
            </w:pPr>
            <w:r>
              <w:rPr>
                <w:b/>
                <w:bCs/>
              </w:rPr>
              <w:t>现有工程排放量（固体废物产生量）（</w:t>
            </w:r>
            <w:r>
              <w:rPr>
                <w:b/>
                <w:bCs/>
              </w:rPr>
              <w:t>t/a</w:t>
            </w:r>
            <w:r>
              <w:rPr>
                <w:b/>
                <w:bCs/>
              </w:rPr>
              <w:t>）</w:t>
            </w:r>
            <w:r>
              <w:rPr>
                <w:rFonts w:ascii="Cambria Math" w:hAnsi="Cambria Math" w:cs="Cambria Math"/>
                <w:b/>
                <w:bCs/>
              </w:rPr>
              <w:t>①</w:t>
            </w:r>
          </w:p>
        </w:tc>
        <w:tc>
          <w:tcPr>
            <w:tcW w:w="1418"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286B66" w14:textId="77777777" w:rsidR="00F76A63" w:rsidRDefault="00000000">
            <w:pPr>
              <w:jc w:val="center"/>
              <w:rPr>
                <w:b/>
                <w:bCs/>
              </w:rPr>
            </w:pPr>
            <w:r>
              <w:rPr>
                <w:b/>
                <w:bCs/>
              </w:rPr>
              <w:t>现有工程许可排放量（</w:t>
            </w:r>
            <w:r>
              <w:rPr>
                <w:b/>
                <w:bCs/>
              </w:rPr>
              <w:t>t/a</w:t>
            </w:r>
            <w:r>
              <w:rPr>
                <w:b/>
                <w:bCs/>
              </w:rPr>
              <w:t>）</w:t>
            </w:r>
            <w:r>
              <w:rPr>
                <w:rFonts w:ascii="Cambria Math" w:hAnsi="Cambria Math" w:cs="Cambria Math"/>
                <w:b/>
                <w:bCs/>
              </w:rPr>
              <w:t>②</w:t>
            </w:r>
          </w:p>
        </w:tc>
        <w:tc>
          <w:tcPr>
            <w:tcW w:w="1559"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9ACE8F2" w14:textId="77777777" w:rsidR="00F76A63" w:rsidRDefault="00000000">
            <w:pPr>
              <w:jc w:val="center"/>
              <w:rPr>
                <w:b/>
                <w:bCs/>
              </w:rPr>
            </w:pPr>
            <w:r>
              <w:rPr>
                <w:b/>
                <w:bCs/>
              </w:rPr>
              <w:t>在建工程排放量（固体废物产生量）（</w:t>
            </w:r>
            <w:r>
              <w:rPr>
                <w:b/>
                <w:bCs/>
              </w:rPr>
              <w:t>t/a</w:t>
            </w:r>
            <w:r>
              <w:rPr>
                <w:b/>
                <w:bCs/>
              </w:rPr>
              <w:t>）</w:t>
            </w:r>
            <w:r>
              <w:rPr>
                <w:rFonts w:ascii="Cambria Math" w:hAnsi="Cambria Math" w:cs="Cambria Math"/>
                <w:b/>
                <w:bCs/>
              </w:rPr>
              <w:t>③</w:t>
            </w:r>
          </w:p>
        </w:tc>
        <w:tc>
          <w:tcPr>
            <w:tcW w:w="1736"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9714AEE" w14:textId="77777777" w:rsidR="00F76A63" w:rsidRDefault="00000000">
            <w:pPr>
              <w:jc w:val="center"/>
              <w:rPr>
                <w:b/>
                <w:bCs/>
              </w:rPr>
            </w:pPr>
            <w:r>
              <w:rPr>
                <w:b/>
                <w:bCs/>
              </w:rPr>
              <w:t>本项目排放量（固体废物产生量）（</w:t>
            </w:r>
            <w:r>
              <w:rPr>
                <w:b/>
                <w:bCs/>
              </w:rPr>
              <w:t>t/a</w:t>
            </w:r>
            <w:r>
              <w:rPr>
                <w:b/>
                <w:bCs/>
              </w:rPr>
              <w:t>）</w:t>
            </w:r>
            <w:r>
              <w:rPr>
                <w:rFonts w:ascii="Cambria Math" w:hAnsi="Cambria Math" w:cs="Cambria Math"/>
                <w:b/>
                <w:bCs/>
              </w:rPr>
              <w:t>④</w:t>
            </w:r>
          </w:p>
        </w:tc>
        <w:tc>
          <w:tcPr>
            <w:tcW w:w="1761"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A546B78" w14:textId="77777777" w:rsidR="00F76A63" w:rsidRDefault="00000000">
            <w:pPr>
              <w:jc w:val="center"/>
              <w:rPr>
                <w:b/>
                <w:bCs/>
              </w:rPr>
            </w:pPr>
            <w:r>
              <w:rPr>
                <w:b/>
                <w:bCs/>
              </w:rPr>
              <w:t>以新带老削减量（新建项目不填）（</w:t>
            </w:r>
            <w:r>
              <w:rPr>
                <w:b/>
                <w:bCs/>
              </w:rPr>
              <w:t>t/a</w:t>
            </w:r>
            <w:r>
              <w:rPr>
                <w:b/>
                <w:bCs/>
              </w:rPr>
              <w:t>）</w:t>
            </w:r>
            <w:r>
              <w:rPr>
                <w:rFonts w:ascii="Cambria Math" w:hAnsi="Cambria Math" w:cs="Cambria Math"/>
                <w:b/>
                <w:bCs/>
              </w:rPr>
              <w:t>⑤</w:t>
            </w:r>
          </w:p>
        </w:tc>
        <w:tc>
          <w:tcPr>
            <w:tcW w:w="1890" w:type="dxa"/>
            <w:tcBorders>
              <w:top w:val="single" w:sz="8"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3ABC0B8" w14:textId="77777777" w:rsidR="00F76A63" w:rsidRDefault="00000000">
            <w:pPr>
              <w:jc w:val="center"/>
              <w:rPr>
                <w:b/>
                <w:bCs/>
              </w:rPr>
            </w:pPr>
            <w:r>
              <w:rPr>
                <w:b/>
                <w:bCs/>
              </w:rPr>
              <w:t>本项目建成后全厂排放量（固体废物产生量）（</w:t>
            </w:r>
            <w:r>
              <w:rPr>
                <w:b/>
                <w:bCs/>
              </w:rPr>
              <w:t>t/a</w:t>
            </w:r>
            <w:r>
              <w:rPr>
                <w:b/>
                <w:bCs/>
              </w:rPr>
              <w:t>）</w:t>
            </w:r>
            <w:r>
              <w:rPr>
                <w:rFonts w:ascii="Cambria Math" w:hAnsi="Cambria Math" w:cs="Cambria Math"/>
                <w:b/>
                <w:bCs/>
              </w:rPr>
              <w:t>⑥</w:t>
            </w:r>
          </w:p>
        </w:tc>
        <w:tc>
          <w:tcPr>
            <w:tcW w:w="1324" w:type="dxa"/>
            <w:tcBorders>
              <w:top w:val="single" w:sz="8"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14:paraId="7F0D42C8" w14:textId="77777777" w:rsidR="00F76A63" w:rsidRDefault="00000000">
            <w:pPr>
              <w:jc w:val="center"/>
              <w:rPr>
                <w:b/>
                <w:bCs/>
              </w:rPr>
            </w:pPr>
            <w:r>
              <w:rPr>
                <w:b/>
                <w:bCs/>
              </w:rPr>
              <w:t>变化量</w:t>
            </w:r>
          </w:p>
          <w:p w14:paraId="3AC80118" w14:textId="77777777" w:rsidR="00F76A63" w:rsidRDefault="00000000">
            <w:pPr>
              <w:jc w:val="center"/>
              <w:rPr>
                <w:b/>
                <w:bCs/>
              </w:rPr>
            </w:pPr>
            <w:r>
              <w:rPr>
                <w:rFonts w:ascii="Cambria Math" w:hAnsi="Cambria Math" w:cs="Cambria Math"/>
                <w:b/>
                <w:bCs/>
              </w:rPr>
              <w:t>⑦</w:t>
            </w:r>
          </w:p>
        </w:tc>
      </w:tr>
      <w:tr w:rsidR="00F76A63" w14:paraId="5631D0AD" w14:textId="77777777">
        <w:trPr>
          <w:trHeight w:val="70"/>
          <w:jc w:val="center"/>
        </w:trPr>
        <w:tc>
          <w:tcPr>
            <w:tcW w:w="632" w:type="dxa"/>
            <w:vMerge w:val="restart"/>
            <w:tcBorders>
              <w:top w:val="single" w:sz="4" w:space="0" w:color="auto"/>
              <w:left w:val="single" w:sz="8" w:space="0" w:color="auto"/>
              <w:bottom w:val="single" w:sz="4" w:space="0" w:color="auto"/>
              <w:right w:val="single" w:sz="4" w:space="0" w:color="auto"/>
            </w:tcBorders>
            <w:vAlign w:val="center"/>
          </w:tcPr>
          <w:p w14:paraId="71881EB4" w14:textId="77777777" w:rsidR="00F76A63" w:rsidRDefault="00000000">
            <w:pPr>
              <w:jc w:val="center"/>
              <w:rPr>
                <w:b/>
                <w:bCs/>
              </w:rPr>
            </w:pPr>
            <w:r>
              <w:rPr>
                <w:b/>
                <w:bCs/>
              </w:rPr>
              <w:t>废气</w:t>
            </w:r>
          </w:p>
        </w:tc>
        <w:tc>
          <w:tcPr>
            <w:tcW w:w="633" w:type="dxa"/>
            <w:vMerge w:val="restart"/>
            <w:tcBorders>
              <w:top w:val="single" w:sz="4" w:space="0" w:color="auto"/>
              <w:left w:val="single" w:sz="4" w:space="0" w:color="auto"/>
              <w:bottom w:val="single" w:sz="4" w:space="0" w:color="auto"/>
              <w:right w:val="single" w:sz="4" w:space="0" w:color="auto"/>
            </w:tcBorders>
            <w:vAlign w:val="center"/>
          </w:tcPr>
          <w:p w14:paraId="0E0ECA51" w14:textId="77777777" w:rsidR="00F76A63" w:rsidRDefault="00000000">
            <w:pPr>
              <w:jc w:val="center"/>
              <w:rPr>
                <w:b/>
                <w:bCs/>
              </w:rPr>
            </w:pPr>
            <w:r>
              <w:rPr>
                <w:b/>
                <w:bCs/>
              </w:rPr>
              <w:t>有组织废气</w:t>
            </w:r>
          </w:p>
        </w:tc>
        <w:tc>
          <w:tcPr>
            <w:tcW w:w="1563" w:type="dxa"/>
            <w:tcBorders>
              <w:top w:val="single" w:sz="4" w:space="0" w:color="auto"/>
              <w:left w:val="single" w:sz="4" w:space="0" w:color="auto"/>
              <w:bottom w:val="single" w:sz="4" w:space="0" w:color="auto"/>
              <w:right w:val="single" w:sz="4" w:space="0" w:color="auto"/>
            </w:tcBorders>
            <w:vAlign w:val="center"/>
          </w:tcPr>
          <w:p w14:paraId="687440B1" w14:textId="77777777" w:rsidR="00F76A63" w:rsidRDefault="00000000">
            <w:pPr>
              <w:jc w:val="center"/>
              <w:rPr>
                <w:bCs/>
              </w:rPr>
            </w:pPr>
            <w:r>
              <w:rPr>
                <w:bCs/>
              </w:rPr>
              <w:t>颗粒物</w:t>
            </w:r>
            <w:r>
              <w:rPr>
                <w:rFonts w:ascii="Cambria Math" w:hAnsi="Cambria Math" w:cs="Cambria Math"/>
                <w:bCs/>
              </w:rPr>
              <w:t>③</w:t>
            </w:r>
          </w:p>
        </w:tc>
        <w:tc>
          <w:tcPr>
            <w:tcW w:w="1701" w:type="dxa"/>
            <w:tcBorders>
              <w:top w:val="single" w:sz="4" w:space="0" w:color="auto"/>
              <w:left w:val="single" w:sz="4" w:space="0" w:color="auto"/>
              <w:bottom w:val="single" w:sz="4" w:space="0" w:color="auto"/>
              <w:right w:val="single" w:sz="4" w:space="0" w:color="auto"/>
            </w:tcBorders>
            <w:vAlign w:val="center"/>
          </w:tcPr>
          <w:p w14:paraId="4EE2BA24" w14:textId="77777777" w:rsidR="00F76A63" w:rsidRDefault="00000000">
            <w:pPr>
              <w:jc w:val="center"/>
              <w:rPr>
                <w:bCs/>
              </w:rPr>
            </w:pPr>
            <w:r>
              <w:t>261.752</w:t>
            </w:r>
          </w:p>
        </w:tc>
        <w:tc>
          <w:tcPr>
            <w:tcW w:w="1418" w:type="dxa"/>
            <w:tcBorders>
              <w:top w:val="single" w:sz="4" w:space="0" w:color="auto"/>
              <w:left w:val="single" w:sz="4" w:space="0" w:color="auto"/>
              <w:bottom w:val="single" w:sz="4" w:space="0" w:color="auto"/>
              <w:right w:val="single" w:sz="4" w:space="0" w:color="auto"/>
            </w:tcBorders>
            <w:vAlign w:val="center"/>
          </w:tcPr>
          <w:p w14:paraId="6B0BC9DF" w14:textId="77777777" w:rsidR="00F76A63" w:rsidRDefault="00000000">
            <w:pPr>
              <w:jc w:val="center"/>
              <w:rPr>
                <w:bCs/>
              </w:rPr>
            </w:pPr>
            <w:r>
              <w:rPr>
                <w:bCs/>
              </w:rPr>
              <w:t>272.12</w:t>
            </w:r>
          </w:p>
        </w:tc>
        <w:tc>
          <w:tcPr>
            <w:tcW w:w="1559" w:type="dxa"/>
            <w:tcBorders>
              <w:top w:val="single" w:sz="4" w:space="0" w:color="auto"/>
              <w:left w:val="single" w:sz="4" w:space="0" w:color="auto"/>
              <w:bottom w:val="single" w:sz="4" w:space="0" w:color="auto"/>
              <w:right w:val="single" w:sz="4" w:space="0" w:color="auto"/>
            </w:tcBorders>
            <w:vAlign w:val="center"/>
          </w:tcPr>
          <w:p w14:paraId="3E4C6533"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13D332AB" w14:textId="77777777" w:rsidR="00F76A63" w:rsidRDefault="00000000">
            <w:pPr>
              <w:jc w:val="center"/>
              <w:rPr>
                <w:bCs/>
              </w:rPr>
            </w:pPr>
            <w:r>
              <w:t>81.62</w:t>
            </w:r>
          </w:p>
        </w:tc>
        <w:tc>
          <w:tcPr>
            <w:tcW w:w="1761" w:type="dxa"/>
            <w:tcBorders>
              <w:top w:val="single" w:sz="4" w:space="0" w:color="auto"/>
              <w:left w:val="single" w:sz="4" w:space="0" w:color="auto"/>
              <w:bottom w:val="single" w:sz="4" w:space="0" w:color="auto"/>
              <w:right w:val="single" w:sz="4" w:space="0" w:color="auto"/>
            </w:tcBorders>
            <w:vAlign w:val="center"/>
          </w:tcPr>
          <w:p w14:paraId="284B7522" w14:textId="77777777" w:rsidR="00F76A63" w:rsidRDefault="00000000">
            <w:pPr>
              <w:jc w:val="center"/>
              <w:rPr>
                <w:bCs/>
              </w:rPr>
            </w:pPr>
            <w:r>
              <w:t>81.62</w:t>
            </w:r>
          </w:p>
        </w:tc>
        <w:tc>
          <w:tcPr>
            <w:tcW w:w="1890" w:type="dxa"/>
            <w:tcBorders>
              <w:top w:val="single" w:sz="4" w:space="0" w:color="auto"/>
              <w:left w:val="single" w:sz="4" w:space="0" w:color="auto"/>
              <w:bottom w:val="single" w:sz="4" w:space="0" w:color="auto"/>
              <w:right w:val="single" w:sz="4" w:space="0" w:color="auto"/>
            </w:tcBorders>
            <w:vAlign w:val="center"/>
          </w:tcPr>
          <w:p w14:paraId="71D956DD" w14:textId="77777777" w:rsidR="00F76A63" w:rsidRDefault="00000000">
            <w:pPr>
              <w:jc w:val="center"/>
              <w:rPr>
                <w:bCs/>
              </w:rPr>
            </w:pPr>
            <w:r>
              <w:rPr>
                <w:szCs w:val="21"/>
              </w:rPr>
              <w:t>261.752</w:t>
            </w:r>
          </w:p>
        </w:tc>
        <w:tc>
          <w:tcPr>
            <w:tcW w:w="1324" w:type="dxa"/>
            <w:tcBorders>
              <w:top w:val="single" w:sz="4" w:space="0" w:color="auto"/>
              <w:left w:val="single" w:sz="4" w:space="0" w:color="auto"/>
              <w:bottom w:val="single" w:sz="4" w:space="0" w:color="auto"/>
              <w:right w:val="single" w:sz="8" w:space="0" w:color="auto"/>
            </w:tcBorders>
            <w:vAlign w:val="center"/>
          </w:tcPr>
          <w:p w14:paraId="39E6615C" w14:textId="77777777" w:rsidR="00F76A63" w:rsidRDefault="00000000">
            <w:pPr>
              <w:jc w:val="center"/>
              <w:rPr>
                <w:bCs/>
              </w:rPr>
            </w:pPr>
            <w:r>
              <w:t>0</w:t>
            </w:r>
          </w:p>
        </w:tc>
      </w:tr>
      <w:tr w:rsidR="00F76A63" w14:paraId="7551FC03" w14:textId="77777777">
        <w:trPr>
          <w:trHeight w:val="74"/>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501F56E9"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5D560F38"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4992CABC" w14:textId="77777777" w:rsidR="00F76A63" w:rsidRDefault="00000000">
            <w:pPr>
              <w:jc w:val="center"/>
              <w:rPr>
                <w:bCs/>
              </w:rPr>
            </w:pPr>
            <w:r>
              <w:rPr>
                <w:bCs/>
              </w:rPr>
              <w:t>SO</w:t>
            </w:r>
            <w:r>
              <w:rPr>
                <w:bCs/>
                <w:vertAlign w:val="subscript"/>
              </w:rPr>
              <w:t>2</w:t>
            </w:r>
          </w:p>
        </w:tc>
        <w:tc>
          <w:tcPr>
            <w:tcW w:w="1701" w:type="dxa"/>
            <w:tcBorders>
              <w:top w:val="single" w:sz="4" w:space="0" w:color="auto"/>
              <w:left w:val="single" w:sz="4" w:space="0" w:color="auto"/>
              <w:bottom w:val="single" w:sz="4" w:space="0" w:color="auto"/>
              <w:right w:val="single" w:sz="4" w:space="0" w:color="auto"/>
            </w:tcBorders>
            <w:vAlign w:val="center"/>
          </w:tcPr>
          <w:p w14:paraId="1F785DA6" w14:textId="77777777" w:rsidR="00F76A63" w:rsidRDefault="00000000">
            <w:pPr>
              <w:jc w:val="center"/>
              <w:rPr>
                <w:bCs/>
              </w:rPr>
            </w:pPr>
            <w:r>
              <w:t>305.504</w:t>
            </w:r>
          </w:p>
        </w:tc>
        <w:tc>
          <w:tcPr>
            <w:tcW w:w="1418" w:type="dxa"/>
            <w:tcBorders>
              <w:top w:val="single" w:sz="4" w:space="0" w:color="auto"/>
              <w:left w:val="single" w:sz="4" w:space="0" w:color="auto"/>
              <w:bottom w:val="single" w:sz="4" w:space="0" w:color="auto"/>
              <w:right w:val="single" w:sz="4" w:space="0" w:color="auto"/>
            </w:tcBorders>
            <w:vAlign w:val="center"/>
          </w:tcPr>
          <w:p w14:paraId="67AD6A7D" w14:textId="77777777" w:rsidR="00F76A63" w:rsidRDefault="00000000">
            <w:pPr>
              <w:jc w:val="center"/>
              <w:rPr>
                <w:bCs/>
              </w:rPr>
            </w:pPr>
            <w:r>
              <w:rPr>
                <w:bCs/>
              </w:rPr>
              <w:t>323.039</w:t>
            </w:r>
          </w:p>
        </w:tc>
        <w:tc>
          <w:tcPr>
            <w:tcW w:w="1559" w:type="dxa"/>
            <w:tcBorders>
              <w:top w:val="single" w:sz="4" w:space="0" w:color="auto"/>
              <w:left w:val="single" w:sz="4" w:space="0" w:color="auto"/>
              <w:bottom w:val="single" w:sz="4" w:space="0" w:color="auto"/>
              <w:right w:val="single" w:sz="4" w:space="0" w:color="auto"/>
            </w:tcBorders>
            <w:vAlign w:val="center"/>
          </w:tcPr>
          <w:p w14:paraId="02DB3EAA"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2FFFBFE6" w14:textId="77777777" w:rsidR="00F76A63" w:rsidRDefault="00000000">
            <w:pPr>
              <w:jc w:val="center"/>
              <w:rPr>
                <w:bCs/>
              </w:rPr>
            </w:pPr>
            <w:r>
              <w:rPr>
                <w:szCs w:val="21"/>
              </w:rPr>
              <w:t>308.312</w:t>
            </w:r>
          </w:p>
        </w:tc>
        <w:tc>
          <w:tcPr>
            <w:tcW w:w="1761" w:type="dxa"/>
            <w:tcBorders>
              <w:top w:val="single" w:sz="4" w:space="0" w:color="auto"/>
              <w:left w:val="single" w:sz="4" w:space="0" w:color="auto"/>
              <w:bottom w:val="single" w:sz="4" w:space="0" w:color="auto"/>
              <w:right w:val="single" w:sz="4" w:space="0" w:color="auto"/>
            </w:tcBorders>
            <w:vAlign w:val="center"/>
          </w:tcPr>
          <w:p w14:paraId="0171A09E" w14:textId="77777777" w:rsidR="00F76A63" w:rsidRDefault="00000000">
            <w:pPr>
              <w:jc w:val="center"/>
              <w:rPr>
                <w:bCs/>
              </w:rPr>
            </w:pPr>
            <w:r>
              <w:t>305.504</w:t>
            </w:r>
          </w:p>
        </w:tc>
        <w:tc>
          <w:tcPr>
            <w:tcW w:w="1890" w:type="dxa"/>
            <w:tcBorders>
              <w:top w:val="single" w:sz="4" w:space="0" w:color="auto"/>
              <w:left w:val="single" w:sz="4" w:space="0" w:color="auto"/>
              <w:bottom w:val="single" w:sz="4" w:space="0" w:color="auto"/>
              <w:right w:val="single" w:sz="4" w:space="0" w:color="auto"/>
            </w:tcBorders>
            <w:vAlign w:val="center"/>
          </w:tcPr>
          <w:p w14:paraId="7F2B9181" w14:textId="77777777" w:rsidR="00F76A63" w:rsidRDefault="00000000">
            <w:pPr>
              <w:jc w:val="center"/>
              <w:rPr>
                <w:bCs/>
              </w:rPr>
            </w:pPr>
            <w:r>
              <w:rPr>
                <w:szCs w:val="21"/>
              </w:rPr>
              <w:t>308.312</w:t>
            </w:r>
          </w:p>
        </w:tc>
        <w:tc>
          <w:tcPr>
            <w:tcW w:w="1324" w:type="dxa"/>
            <w:tcBorders>
              <w:top w:val="single" w:sz="4" w:space="0" w:color="auto"/>
              <w:left w:val="single" w:sz="4" w:space="0" w:color="auto"/>
              <w:bottom w:val="single" w:sz="4" w:space="0" w:color="auto"/>
              <w:right w:val="single" w:sz="8" w:space="0" w:color="auto"/>
            </w:tcBorders>
            <w:vAlign w:val="center"/>
          </w:tcPr>
          <w:p w14:paraId="457A0656" w14:textId="77777777" w:rsidR="00F76A63" w:rsidRDefault="00000000">
            <w:pPr>
              <w:jc w:val="center"/>
              <w:rPr>
                <w:bCs/>
              </w:rPr>
            </w:pPr>
            <w:r>
              <w:rPr>
                <w:szCs w:val="21"/>
              </w:rPr>
              <w:t>+2.8</w:t>
            </w:r>
            <w:r>
              <w:rPr>
                <w:rFonts w:hint="eastAsia"/>
                <w:szCs w:val="21"/>
              </w:rPr>
              <w:t>08</w:t>
            </w:r>
          </w:p>
        </w:tc>
      </w:tr>
      <w:tr w:rsidR="00F76A63" w14:paraId="268DBFFB" w14:textId="77777777">
        <w:trPr>
          <w:trHeight w:val="70"/>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653DF912"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15891CA8"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481D08D6" w14:textId="77777777" w:rsidR="00F76A63" w:rsidRDefault="00000000">
            <w:pPr>
              <w:jc w:val="center"/>
              <w:rPr>
                <w:bCs/>
              </w:rPr>
            </w:pPr>
            <w:r>
              <w:rPr>
                <w:bCs/>
              </w:rPr>
              <w:t>NOx</w:t>
            </w:r>
          </w:p>
        </w:tc>
        <w:tc>
          <w:tcPr>
            <w:tcW w:w="1701" w:type="dxa"/>
            <w:tcBorders>
              <w:top w:val="single" w:sz="4" w:space="0" w:color="auto"/>
              <w:left w:val="single" w:sz="4" w:space="0" w:color="auto"/>
              <w:bottom w:val="single" w:sz="4" w:space="0" w:color="auto"/>
              <w:right w:val="single" w:sz="4" w:space="0" w:color="auto"/>
            </w:tcBorders>
            <w:vAlign w:val="center"/>
          </w:tcPr>
          <w:p w14:paraId="1CE8CF3D" w14:textId="77777777" w:rsidR="00F76A63" w:rsidRDefault="00000000">
            <w:pPr>
              <w:jc w:val="center"/>
              <w:rPr>
                <w:bCs/>
              </w:rPr>
            </w:pPr>
            <w:r>
              <w:t>459.95</w:t>
            </w:r>
          </w:p>
        </w:tc>
        <w:tc>
          <w:tcPr>
            <w:tcW w:w="1418" w:type="dxa"/>
            <w:tcBorders>
              <w:top w:val="single" w:sz="4" w:space="0" w:color="auto"/>
              <w:left w:val="single" w:sz="4" w:space="0" w:color="auto"/>
              <w:bottom w:val="single" w:sz="4" w:space="0" w:color="auto"/>
              <w:right w:val="single" w:sz="4" w:space="0" w:color="auto"/>
            </w:tcBorders>
            <w:vAlign w:val="center"/>
          </w:tcPr>
          <w:p w14:paraId="2A63144E" w14:textId="77777777" w:rsidR="00F76A63" w:rsidRDefault="00000000">
            <w:pPr>
              <w:jc w:val="center"/>
              <w:rPr>
                <w:bCs/>
              </w:rPr>
            </w:pPr>
            <w:r>
              <w:rPr>
                <w:bCs/>
              </w:rPr>
              <w:t>461.484</w:t>
            </w:r>
          </w:p>
        </w:tc>
        <w:tc>
          <w:tcPr>
            <w:tcW w:w="1559" w:type="dxa"/>
            <w:tcBorders>
              <w:top w:val="single" w:sz="4" w:space="0" w:color="auto"/>
              <w:left w:val="single" w:sz="4" w:space="0" w:color="auto"/>
              <w:bottom w:val="single" w:sz="4" w:space="0" w:color="auto"/>
              <w:right w:val="single" w:sz="4" w:space="0" w:color="auto"/>
            </w:tcBorders>
            <w:vAlign w:val="center"/>
          </w:tcPr>
          <w:p w14:paraId="360EB034"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6C8A99BF" w14:textId="77777777" w:rsidR="00F76A63" w:rsidRDefault="00000000">
            <w:pPr>
              <w:jc w:val="center"/>
              <w:rPr>
                <w:bCs/>
              </w:rPr>
            </w:pPr>
            <w:r>
              <w:rPr>
                <w:szCs w:val="21"/>
              </w:rPr>
              <w:t>459.95</w:t>
            </w:r>
          </w:p>
        </w:tc>
        <w:tc>
          <w:tcPr>
            <w:tcW w:w="1761" w:type="dxa"/>
            <w:tcBorders>
              <w:top w:val="single" w:sz="4" w:space="0" w:color="auto"/>
              <w:left w:val="single" w:sz="4" w:space="0" w:color="auto"/>
              <w:bottom w:val="single" w:sz="4" w:space="0" w:color="auto"/>
              <w:right w:val="single" w:sz="4" w:space="0" w:color="auto"/>
            </w:tcBorders>
            <w:vAlign w:val="center"/>
          </w:tcPr>
          <w:p w14:paraId="1C3932F1" w14:textId="77777777" w:rsidR="00F76A63" w:rsidRDefault="00000000">
            <w:pPr>
              <w:jc w:val="center"/>
              <w:rPr>
                <w:bCs/>
              </w:rPr>
            </w:pPr>
            <w:r>
              <w:t>459.95</w:t>
            </w:r>
          </w:p>
        </w:tc>
        <w:tc>
          <w:tcPr>
            <w:tcW w:w="1890" w:type="dxa"/>
            <w:tcBorders>
              <w:top w:val="single" w:sz="4" w:space="0" w:color="auto"/>
              <w:left w:val="single" w:sz="4" w:space="0" w:color="auto"/>
              <w:bottom w:val="single" w:sz="4" w:space="0" w:color="auto"/>
              <w:right w:val="single" w:sz="4" w:space="0" w:color="auto"/>
            </w:tcBorders>
            <w:vAlign w:val="center"/>
          </w:tcPr>
          <w:p w14:paraId="59641972" w14:textId="77777777" w:rsidR="00F76A63" w:rsidRDefault="00000000">
            <w:pPr>
              <w:jc w:val="center"/>
              <w:rPr>
                <w:bCs/>
              </w:rPr>
            </w:pPr>
            <w:r>
              <w:rPr>
                <w:szCs w:val="21"/>
              </w:rPr>
              <w:t>459.95</w:t>
            </w:r>
          </w:p>
        </w:tc>
        <w:tc>
          <w:tcPr>
            <w:tcW w:w="1324" w:type="dxa"/>
            <w:tcBorders>
              <w:top w:val="single" w:sz="4" w:space="0" w:color="auto"/>
              <w:left w:val="single" w:sz="4" w:space="0" w:color="auto"/>
              <w:bottom w:val="single" w:sz="4" w:space="0" w:color="auto"/>
              <w:right w:val="single" w:sz="8" w:space="0" w:color="auto"/>
            </w:tcBorders>
            <w:vAlign w:val="center"/>
          </w:tcPr>
          <w:p w14:paraId="703118B5" w14:textId="77777777" w:rsidR="00F76A63" w:rsidRDefault="00000000">
            <w:pPr>
              <w:jc w:val="center"/>
              <w:rPr>
                <w:bCs/>
              </w:rPr>
            </w:pPr>
            <w:r>
              <w:rPr>
                <w:szCs w:val="21"/>
              </w:rPr>
              <w:t>0</w:t>
            </w:r>
          </w:p>
        </w:tc>
      </w:tr>
      <w:tr w:rsidR="00F76A63" w14:paraId="141D7C1D" w14:textId="77777777">
        <w:trPr>
          <w:trHeight w:val="70"/>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270ACD23"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646C8018"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317B0464" w14:textId="77777777" w:rsidR="00F76A63" w:rsidRDefault="00000000">
            <w:pPr>
              <w:jc w:val="center"/>
              <w:rPr>
                <w:bCs/>
              </w:rPr>
            </w:pPr>
            <w:r>
              <w:rPr>
                <w:bCs/>
              </w:rPr>
              <w:t>HCl</w:t>
            </w:r>
          </w:p>
        </w:tc>
        <w:tc>
          <w:tcPr>
            <w:tcW w:w="1701" w:type="dxa"/>
            <w:tcBorders>
              <w:top w:val="single" w:sz="4" w:space="0" w:color="auto"/>
              <w:left w:val="single" w:sz="4" w:space="0" w:color="auto"/>
              <w:bottom w:val="single" w:sz="4" w:space="0" w:color="auto"/>
              <w:right w:val="single" w:sz="4" w:space="0" w:color="auto"/>
            </w:tcBorders>
            <w:vAlign w:val="center"/>
          </w:tcPr>
          <w:p w14:paraId="57644AD7" w14:textId="77777777" w:rsidR="00F76A63" w:rsidRDefault="00000000">
            <w:pPr>
              <w:jc w:val="center"/>
              <w:rPr>
                <w:bCs/>
              </w:rPr>
            </w:pPr>
            <w:r>
              <w:t>23.3</w:t>
            </w:r>
            <w:r>
              <w:rPr>
                <w:rFonts w:hint="eastAsia"/>
              </w:rPr>
              <w:t>63</w:t>
            </w:r>
          </w:p>
        </w:tc>
        <w:tc>
          <w:tcPr>
            <w:tcW w:w="1418" w:type="dxa"/>
            <w:tcBorders>
              <w:top w:val="single" w:sz="4" w:space="0" w:color="auto"/>
              <w:left w:val="single" w:sz="4" w:space="0" w:color="auto"/>
              <w:bottom w:val="single" w:sz="4" w:space="0" w:color="auto"/>
              <w:right w:val="single" w:sz="4" w:space="0" w:color="auto"/>
            </w:tcBorders>
            <w:vAlign w:val="center"/>
          </w:tcPr>
          <w:p w14:paraId="3D980421" w14:textId="77777777" w:rsidR="00F76A63" w:rsidRDefault="00000000">
            <w:pPr>
              <w:jc w:val="center"/>
              <w:rPr>
                <w:bCs/>
              </w:rPr>
            </w:pPr>
            <w:r>
              <w:t>10mg/Nm</w:t>
            </w:r>
            <w:r>
              <w:rPr>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tcPr>
          <w:p w14:paraId="0BE340A8"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28341844" w14:textId="77777777" w:rsidR="00F76A63" w:rsidRDefault="00000000">
            <w:pPr>
              <w:jc w:val="center"/>
              <w:rPr>
                <w:bCs/>
              </w:rPr>
            </w:pPr>
            <w:r>
              <w:rPr>
                <w:szCs w:val="21"/>
              </w:rPr>
              <w:t>23.501</w:t>
            </w:r>
          </w:p>
        </w:tc>
        <w:tc>
          <w:tcPr>
            <w:tcW w:w="1761" w:type="dxa"/>
            <w:tcBorders>
              <w:top w:val="single" w:sz="4" w:space="0" w:color="auto"/>
              <w:left w:val="single" w:sz="4" w:space="0" w:color="auto"/>
              <w:bottom w:val="single" w:sz="4" w:space="0" w:color="auto"/>
              <w:right w:val="single" w:sz="4" w:space="0" w:color="auto"/>
            </w:tcBorders>
            <w:vAlign w:val="center"/>
          </w:tcPr>
          <w:p w14:paraId="7193BB1F" w14:textId="77777777" w:rsidR="00F76A63" w:rsidRDefault="00000000">
            <w:pPr>
              <w:jc w:val="center"/>
              <w:rPr>
                <w:bCs/>
              </w:rPr>
            </w:pPr>
            <w:r>
              <w:t>23.363</w:t>
            </w:r>
          </w:p>
        </w:tc>
        <w:tc>
          <w:tcPr>
            <w:tcW w:w="1890" w:type="dxa"/>
            <w:tcBorders>
              <w:top w:val="single" w:sz="4" w:space="0" w:color="auto"/>
              <w:left w:val="single" w:sz="4" w:space="0" w:color="auto"/>
              <w:bottom w:val="single" w:sz="4" w:space="0" w:color="auto"/>
              <w:right w:val="single" w:sz="4" w:space="0" w:color="auto"/>
            </w:tcBorders>
            <w:vAlign w:val="center"/>
          </w:tcPr>
          <w:p w14:paraId="4B7E8CF9" w14:textId="77777777" w:rsidR="00F76A63" w:rsidRDefault="00000000">
            <w:pPr>
              <w:jc w:val="center"/>
              <w:rPr>
                <w:bCs/>
              </w:rPr>
            </w:pPr>
            <w:r>
              <w:rPr>
                <w:szCs w:val="21"/>
              </w:rPr>
              <w:t>23.501</w:t>
            </w:r>
          </w:p>
        </w:tc>
        <w:tc>
          <w:tcPr>
            <w:tcW w:w="1324" w:type="dxa"/>
            <w:tcBorders>
              <w:top w:val="single" w:sz="4" w:space="0" w:color="auto"/>
              <w:left w:val="single" w:sz="4" w:space="0" w:color="auto"/>
              <w:bottom w:val="single" w:sz="4" w:space="0" w:color="auto"/>
              <w:right w:val="single" w:sz="8" w:space="0" w:color="auto"/>
            </w:tcBorders>
            <w:vAlign w:val="center"/>
          </w:tcPr>
          <w:p w14:paraId="50F2F7E9" w14:textId="77777777" w:rsidR="00F76A63" w:rsidRDefault="00000000">
            <w:pPr>
              <w:jc w:val="center"/>
              <w:rPr>
                <w:bCs/>
              </w:rPr>
            </w:pPr>
            <w:r>
              <w:rPr>
                <w:szCs w:val="21"/>
              </w:rPr>
              <w:t>+0.1</w:t>
            </w:r>
            <w:r>
              <w:rPr>
                <w:rFonts w:hint="eastAsia"/>
                <w:szCs w:val="21"/>
              </w:rPr>
              <w:t>3</w:t>
            </w:r>
            <w:r>
              <w:rPr>
                <w:szCs w:val="21"/>
              </w:rPr>
              <w:t>8</w:t>
            </w:r>
          </w:p>
        </w:tc>
      </w:tr>
      <w:tr w:rsidR="00F76A63" w14:paraId="310EBEC8" w14:textId="77777777">
        <w:trPr>
          <w:trHeight w:val="70"/>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4A2F2F8A"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0F3F9428"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5237FE7" w14:textId="77777777" w:rsidR="00F76A63" w:rsidRDefault="00000000">
            <w:pPr>
              <w:jc w:val="center"/>
              <w:rPr>
                <w:bCs/>
              </w:rPr>
            </w:pPr>
            <w:r>
              <w:rPr>
                <w:bCs/>
              </w:rPr>
              <w:t>HF</w:t>
            </w:r>
          </w:p>
        </w:tc>
        <w:tc>
          <w:tcPr>
            <w:tcW w:w="1701" w:type="dxa"/>
            <w:tcBorders>
              <w:top w:val="single" w:sz="4" w:space="0" w:color="auto"/>
              <w:left w:val="single" w:sz="4" w:space="0" w:color="auto"/>
              <w:bottom w:val="single" w:sz="4" w:space="0" w:color="auto"/>
              <w:right w:val="single" w:sz="4" w:space="0" w:color="auto"/>
            </w:tcBorders>
            <w:vAlign w:val="center"/>
          </w:tcPr>
          <w:p w14:paraId="0DEE6B55" w14:textId="77777777" w:rsidR="00F76A63" w:rsidRDefault="00000000">
            <w:pPr>
              <w:jc w:val="center"/>
              <w:rPr>
                <w:bCs/>
              </w:rPr>
            </w:pPr>
            <w:r>
              <w:t>1.249</w:t>
            </w:r>
          </w:p>
        </w:tc>
        <w:tc>
          <w:tcPr>
            <w:tcW w:w="1418" w:type="dxa"/>
            <w:tcBorders>
              <w:top w:val="single" w:sz="4" w:space="0" w:color="auto"/>
              <w:left w:val="single" w:sz="4" w:space="0" w:color="auto"/>
              <w:bottom w:val="single" w:sz="4" w:space="0" w:color="auto"/>
              <w:right w:val="single" w:sz="4" w:space="0" w:color="auto"/>
            </w:tcBorders>
            <w:vAlign w:val="center"/>
          </w:tcPr>
          <w:p w14:paraId="0E984804" w14:textId="77777777" w:rsidR="00F76A63" w:rsidRDefault="00000000">
            <w:pPr>
              <w:jc w:val="center"/>
              <w:rPr>
                <w:bCs/>
              </w:rPr>
            </w:pPr>
            <w:r>
              <w:t>1mg/Nm</w:t>
            </w:r>
            <w:r>
              <w:rPr>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tcPr>
          <w:p w14:paraId="030F7469"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02F1810B" w14:textId="77777777" w:rsidR="00F76A63" w:rsidRDefault="00000000">
            <w:pPr>
              <w:jc w:val="center"/>
              <w:rPr>
                <w:bCs/>
              </w:rPr>
            </w:pPr>
            <w:r>
              <w:rPr>
                <w:szCs w:val="21"/>
              </w:rPr>
              <w:t>1.249</w:t>
            </w:r>
          </w:p>
        </w:tc>
        <w:tc>
          <w:tcPr>
            <w:tcW w:w="1761" w:type="dxa"/>
            <w:tcBorders>
              <w:top w:val="single" w:sz="4" w:space="0" w:color="auto"/>
              <w:left w:val="single" w:sz="4" w:space="0" w:color="auto"/>
              <w:bottom w:val="single" w:sz="4" w:space="0" w:color="auto"/>
              <w:right w:val="single" w:sz="4" w:space="0" w:color="auto"/>
            </w:tcBorders>
            <w:vAlign w:val="center"/>
          </w:tcPr>
          <w:p w14:paraId="05F02C83" w14:textId="77777777" w:rsidR="00F76A63" w:rsidRDefault="00000000">
            <w:pPr>
              <w:jc w:val="center"/>
              <w:rPr>
                <w:bCs/>
              </w:rPr>
            </w:pPr>
            <w:r>
              <w:t>1.249</w:t>
            </w:r>
          </w:p>
        </w:tc>
        <w:tc>
          <w:tcPr>
            <w:tcW w:w="1890" w:type="dxa"/>
            <w:tcBorders>
              <w:top w:val="single" w:sz="4" w:space="0" w:color="auto"/>
              <w:left w:val="single" w:sz="4" w:space="0" w:color="auto"/>
              <w:bottom w:val="single" w:sz="4" w:space="0" w:color="auto"/>
              <w:right w:val="single" w:sz="4" w:space="0" w:color="auto"/>
            </w:tcBorders>
            <w:vAlign w:val="center"/>
          </w:tcPr>
          <w:p w14:paraId="69E859D3" w14:textId="77777777" w:rsidR="00F76A63" w:rsidRDefault="00000000">
            <w:pPr>
              <w:jc w:val="center"/>
              <w:rPr>
                <w:bCs/>
              </w:rPr>
            </w:pPr>
            <w:r>
              <w:rPr>
                <w:szCs w:val="21"/>
              </w:rPr>
              <w:t>1.249</w:t>
            </w:r>
          </w:p>
        </w:tc>
        <w:tc>
          <w:tcPr>
            <w:tcW w:w="1324" w:type="dxa"/>
            <w:tcBorders>
              <w:top w:val="single" w:sz="4" w:space="0" w:color="auto"/>
              <w:left w:val="single" w:sz="4" w:space="0" w:color="auto"/>
              <w:bottom w:val="single" w:sz="4" w:space="0" w:color="auto"/>
              <w:right w:val="single" w:sz="8" w:space="0" w:color="auto"/>
            </w:tcBorders>
            <w:vAlign w:val="center"/>
          </w:tcPr>
          <w:p w14:paraId="11CAEDBA" w14:textId="77777777" w:rsidR="00F76A63" w:rsidRDefault="00000000">
            <w:pPr>
              <w:jc w:val="center"/>
              <w:rPr>
                <w:bCs/>
              </w:rPr>
            </w:pPr>
            <w:r>
              <w:rPr>
                <w:szCs w:val="21"/>
              </w:rPr>
              <w:t>0</w:t>
            </w:r>
          </w:p>
        </w:tc>
      </w:tr>
      <w:tr w:rsidR="00F76A63" w14:paraId="7175183F" w14:textId="77777777">
        <w:trPr>
          <w:trHeight w:val="70"/>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1DB9B9B4"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7915E6F5"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584A4A86" w14:textId="77777777" w:rsidR="00F76A63" w:rsidRDefault="00000000">
            <w:pPr>
              <w:jc w:val="center"/>
              <w:rPr>
                <w:bCs/>
              </w:rPr>
            </w:pPr>
            <w:r>
              <w:rPr>
                <w:bCs/>
              </w:rPr>
              <w:t>NH</w:t>
            </w:r>
            <w:r>
              <w:rPr>
                <w:bCs/>
                <w:vertAlign w:val="subscript"/>
              </w:rPr>
              <w:t>3</w:t>
            </w:r>
          </w:p>
        </w:tc>
        <w:tc>
          <w:tcPr>
            <w:tcW w:w="1701" w:type="dxa"/>
            <w:tcBorders>
              <w:top w:val="single" w:sz="4" w:space="0" w:color="auto"/>
              <w:left w:val="single" w:sz="4" w:space="0" w:color="auto"/>
              <w:bottom w:val="single" w:sz="4" w:space="0" w:color="auto"/>
              <w:right w:val="single" w:sz="4" w:space="0" w:color="auto"/>
            </w:tcBorders>
            <w:vAlign w:val="center"/>
          </w:tcPr>
          <w:p w14:paraId="3519EAE5" w14:textId="77777777" w:rsidR="00F76A63" w:rsidRDefault="00000000">
            <w:pPr>
              <w:jc w:val="center"/>
              <w:rPr>
                <w:bCs/>
              </w:rPr>
            </w:pPr>
            <w:r>
              <w:t>51.2</w:t>
            </w:r>
          </w:p>
        </w:tc>
        <w:tc>
          <w:tcPr>
            <w:tcW w:w="1418" w:type="dxa"/>
            <w:tcBorders>
              <w:top w:val="single" w:sz="4" w:space="0" w:color="auto"/>
              <w:left w:val="single" w:sz="4" w:space="0" w:color="auto"/>
              <w:bottom w:val="single" w:sz="4" w:space="0" w:color="auto"/>
              <w:right w:val="single" w:sz="4" w:space="0" w:color="auto"/>
            </w:tcBorders>
            <w:vAlign w:val="center"/>
          </w:tcPr>
          <w:p w14:paraId="3E552277" w14:textId="77777777" w:rsidR="00F76A63" w:rsidRDefault="00000000">
            <w:pPr>
              <w:jc w:val="center"/>
              <w:rPr>
                <w:bCs/>
              </w:rPr>
            </w:pPr>
            <w:r>
              <w:t>8mg/Nm</w:t>
            </w:r>
            <w:r>
              <w:rPr>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tcPr>
          <w:p w14:paraId="63180FD0"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2D237D93" w14:textId="77777777" w:rsidR="00F76A63" w:rsidRDefault="00000000">
            <w:pPr>
              <w:jc w:val="center"/>
              <w:rPr>
                <w:bCs/>
              </w:rPr>
            </w:pPr>
            <w:r>
              <w:t>50.72</w:t>
            </w:r>
          </w:p>
        </w:tc>
        <w:tc>
          <w:tcPr>
            <w:tcW w:w="1761" w:type="dxa"/>
            <w:tcBorders>
              <w:top w:val="single" w:sz="4" w:space="0" w:color="auto"/>
              <w:left w:val="single" w:sz="4" w:space="0" w:color="auto"/>
              <w:bottom w:val="single" w:sz="4" w:space="0" w:color="auto"/>
              <w:right w:val="single" w:sz="4" w:space="0" w:color="auto"/>
            </w:tcBorders>
            <w:vAlign w:val="center"/>
          </w:tcPr>
          <w:p w14:paraId="4595302B" w14:textId="77777777" w:rsidR="00F76A63" w:rsidRDefault="00000000">
            <w:pPr>
              <w:jc w:val="center"/>
              <w:rPr>
                <w:bCs/>
              </w:rPr>
            </w:pPr>
            <w:r>
              <w:t>50.72</w:t>
            </w:r>
          </w:p>
        </w:tc>
        <w:tc>
          <w:tcPr>
            <w:tcW w:w="1890" w:type="dxa"/>
            <w:tcBorders>
              <w:top w:val="single" w:sz="4" w:space="0" w:color="auto"/>
              <w:left w:val="single" w:sz="4" w:space="0" w:color="auto"/>
              <w:bottom w:val="single" w:sz="4" w:space="0" w:color="auto"/>
              <w:right w:val="single" w:sz="4" w:space="0" w:color="auto"/>
            </w:tcBorders>
            <w:vAlign w:val="center"/>
          </w:tcPr>
          <w:p w14:paraId="0765AB34" w14:textId="77777777" w:rsidR="00F76A63" w:rsidRDefault="00000000">
            <w:pPr>
              <w:jc w:val="center"/>
              <w:rPr>
                <w:bCs/>
              </w:rPr>
            </w:pPr>
            <w:r>
              <w:rPr>
                <w:szCs w:val="21"/>
              </w:rPr>
              <w:t>51.2</w:t>
            </w:r>
          </w:p>
        </w:tc>
        <w:tc>
          <w:tcPr>
            <w:tcW w:w="1324" w:type="dxa"/>
            <w:tcBorders>
              <w:top w:val="single" w:sz="4" w:space="0" w:color="auto"/>
              <w:left w:val="single" w:sz="4" w:space="0" w:color="auto"/>
              <w:bottom w:val="single" w:sz="4" w:space="0" w:color="auto"/>
              <w:right w:val="single" w:sz="8" w:space="0" w:color="auto"/>
            </w:tcBorders>
            <w:vAlign w:val="center"/>
          </w:tcPr>
          <w:p w14:paraId="6265AB9A" w14:textId="77777777" w:rsidR="00F76A63" w:rsidRDefault="00000000">
            <w:pPr>
              <w:jc w:val="center"/>
              <w:rPr>
                <w:bCs/>
              </w:rPr>
            </w:pPr>
            <w:r>
              <w:t>0</w:t>
            </w:r>
          </w:p>
        </w:tc>
      </w:tr>
      <w:tr w:rsidR="00F76A63" w14:paraId="3A37415B" w14:textId="77777777">
        <w:trPr>
          <w:trHeight w:val="70"/>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343018E8"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3438450A"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6DBD526B" w14:textId="77777777" w:rsidR="00F76A63" w:rsidRDefault="00000000">
            <w:pPr>
              <w:jc w:val="center"/>
              <w:rPr>
                <w:bCs/>
              </w:rPr>
            </w:pPr>
            <w:r>
              <w:rPr>
                <w:bCs/>
              </w:rPr>
              <w:t>H</w:t>
            </w:r>
            <w:r>
              <w:rPr>
                <w:bCs/>
                <w:vertAlign w:val="subscript"/>
              </w:rPr>
              <w:t>2</w:t>
            </w:r>
            <w:r>
              <w:rPr>
                <w:bCs/>
              </w:rPr>
              <w:t>S</w:t>
            </w:r>
          </w:p>
        </w:tc>
        <w:tc>
          <w:tcPr>
            <w:tcW w:w="1701" w:type="dxa"/>
            <w:tcBorders>
              <w:top w:val="single" w:sz="4" w:space="0" w:color="auto"/>
              <w:left w:val="single" w:sz="4" w:space="0" w:color="auto"/>
              <w:bottom w:val="single" w:sz="4" w:space="0" w:color="auto"/>
              <w:right w:val="single" w:sz="4" w:space="0" w:color="auto"/>
            </w:tcBorders>
            <w:vAlign w:val="center"/>
          </w:tcPr>
          <w:p w14:paraId="130FBF25" w14:textId="77777777" w:rsidR="00F76A63" w:rsidRDefault="00000000">
            <w:pPr>
              <w:jc w:val="center"/>
              <w:rPr>
                <w:bCs/>
              </w:rPr>
            </w:pPr>
            <w:r>
              <w:t>0.4782</w:t>
            </w:r>
          </w:p>
        </w:tc>
        <w:tc>
          <w:tcPr>
            <w:tcW w:w="1418" w:type="dxa"/>
            <w:tcBorders>
              <w:top w:val="single" w:sz="4" w:space="0" w:color="auto"/>
              <w:left w:val="single" w:sz="4" w:space="0" w:color="auto"/>
              <w:bottom w:val="single" w:sz="4" w:space="0" w:color="auto"/>
              <w:right w:val="single" w:sz="4" w:space="0" w:color="auto"/>
            </w:tcBorders>
            <w:vAlign w:val="center"/>
          </w:tcPr>
          <w:p w14:paraId="5E24B40C"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411C26BF"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700746EC"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6238CE42"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384DA400" w14:textId="77777777" w:rsidR="00F76A63" w:rsidRDefault="00000000">
            <w:pPr>
              <w:jc w:val="center"/>
              <w:rPr>
                <w:bCs/>
              </w:rPr>
            </w:pPr>
            <w:r>
              <w:rPr>
                <w:szCs w:val="21"/>
              </w:rPr>
              <w:t>0.4782</w:t>
            </w:r>
          </w:p>
        </w:tc>
        <w:tc>
          <w:tcPr>
            <w:tcW w:w="1324" w:type="dxa"/>
            <w:tcBorders>
              <w:top w:val="single" w:sz="4" w:space="0" w:color="auto"/>
              <w:left w:val="single" w:sz="4" w:space="0" w:color="auto"/>
              <w:bottom w:val="single" w:sz="4" w:space="0" w:color="auto"/>
              <w:right w:val="single" w:sz="8" w:space="0" w:color="auto"/>
            </w:tcBorders>
            <w:vAlign w:val="center"/>
          </w:tcPr>
          <w:p w14:paraId="15996EAB" w14:textId="77777777" w:rsidR="00F76A63" w:rsidRDefault="00000000">
            <w:pPr>
              <w:jc w:val="center"/>
              <w:rPr>
                <w:bCs/>
              </w:rPr>
            </w:pPr>
            <w:r>
              <w:rPr>
                <w:bCs/>
              </w:rPr>
              <w:t>0</w:t>
            </w:r>
          </w:p>
        </w:tc>
      </w:tr>
      <w:tr w:rsidR="00F76A63" w14:paraId="62DFB65C" w14:textId="77777777">
        <w:trPr>
          <w:trHeight w:val="70"/>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74D3127A"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6078CB07"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511BD5D" w14:textId="77777777" w:rsidR="00F76A63" w:rsidRDefault="00000000">
            <w:pPr>
              <w:jc w:val="center"/>
              <w:rPr>
                <w:bCs/>
              </w:rPr>
            </w:pPr>
            <w:r>
              <w:rPr>
                <w:bCs/>
              </w:rPr>
              <w:t>汞及其化合物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649A48E3" w14:textId="77777777" w:rsidR="00F76A63" w:rsidRDefault="00000000">
            <w:pPr>
              <w:jc w:val="center"/>
              <w:rPr>
                <w:bCs/>
              </w:rPr>
            </w:pPr>
            <w:r>
              <w:t>0.0002</w:t>
            </w:r>
          </w:p>
        </w:tc>
        <w:tc>
          <w:tcPr>
            <w:tcW w:w="1418" w:type="dxa"/>
            <w:tcBorders>
              <w:top w:val="single" w:sz="4" w:space="0" w:color="auto"/>
              <w:left w:val="single" w:sz="4" w:space="0" w:color="auto"/>
              <w:bottom w:val="single" w:sz="4" w:space="0" w:color="auto"/>
              <w:right w:val="single" w:sz="4" w:space="0" w:color="auto"/>
            </w:tcBorders>
            <w:vAlign w:val="center"/>
          </w:tcPr>
          <w:p w14:paraId="0DEB1DD6" w14:textId="77777777" w:rsidR="00F76A63" w:rsidRDefault="00000000">
            <w:pPr>
              <w:pStyle w:val="000"/>
            </w:pPr>
            <w:r>
              <w:t>0.03mg/Nm</w:t>
            </w:r>
            <w:r>
              <w:rPr>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tcPr>
          <w:p w14:paraId="0FE44767"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4393F7C9" w14:textId="77777777" w:rsidR="00F76A63" w:rsidRDefault="00000000">
            <w:pPr>
              <w:jc w:val="center"/>
              <w:rPr>
                <w:bCs/>
              </w:rPr>
            </w:pPr>
            <w:r>
              <w:rPr>
                <w:sz w:val="22"/>
                <w:szCs w:val="22"/>
              </w:rPr>
              <w:t>0.0002</w:t>
            </w:r>
          </w:p>
        </w:tc>
        <w:tc>
          <w:tcPr>
            <w:tcW w:w="1761" w:type="dxa"/>
            <w:tcBorders>
              <w:top w:val="single" w:sz="4" w:space="0" w:color="auto"/>
              <w:left w:val="single" w:sz="4" w:space="0" w:color="auto"/>
              <w:bottom w:val="single" w:sz="4" w:space="0" w:color="auto"/>
              <w:right w:val="single" w:sz="4" w:space="0" w:color="auto"/>
            </w:tcBorders>
            <w:vAlign w:val="center"/>
          </w:tcPr>
          <w:p w14:paraId="1E95AACB" w14:textId="77777777" w:rsidR="00F76A63" w:rsidRDefault="00000000">
            <w:pPr>
              <w:jc w:val="center"/>
              <w:rPr>
                <w:bCs/>
              </w:rPr>
            </w:pPr>
            <w:r>
              <w:t>0.0002</w:t>
            </w:r>
          </w:p>
        </w:tc>
        <w:tc>
          <w:tcPr>
            <w:tcW w:w="1890" w:type="dxa"/>
            <w:tcBorders>
              <w:top w:val="single" w:sz="4" w:space="0" w:color="auto"/>
              <w:left w:val="single" w:sz="4" w:space="0" w:color="auto"/>
              <w:bottom w:val="single" w:sz="4" w:space="0" w:color="auto"/>
              <w:right w:val="single" w:sz="4" w:space="0" w:color="auto"/>
            </w:tcBorders>
            <w:vAlign w:val="center"/>
          </w:tcPr>
          <w:p w14:paraId="6EC6003D" w14:textId="77777777" w:rsidR="00F76A63" w:rsidRDefault="00000000">
            <w:pPr>
              <w:jc w:val="center"/>
              <w:rPr>
                <w:bCs/>
              </w:rPr>
            </w:pPr>
            <w:r>
              <w:rPr>
                <w:szCs w:val="21"/>
              </w:rPr>
              <w:t>0.0002</w:t>
            </w:r>
          </w:p>
        </w:tc>
        <w:tc>
          <w:tcPr>
            <w:tcW w:w="1324" w:type="dxa"/>
            <w:tcBorders>
              <w:top w:val="single" w:sz="4" w:space="0" w:color="auto"/>
              <w:left w:val="single" w:sz="4" w:space="0" w:color="auto"/>
              <w:bottom w:val="single" w:sz="4" w:space="0" w:color="auto"/>
              <w:right w:val="single" w:sz="8" w:space="0" w:color="auto"/>
            </w:tcBorders>
            <w:vAlign w:val="center"/>
          </w:tcPr>
          <w:p w14:paraId="3D0423D7" w14:textId="77777777" w:rsidR="00F76A63" w:rsidRDefault="00000000">
            <w:pPr>
              <w:jc w:val="center"/>
              <w:rPr>
                <w:bCs/>
              </w:rPr>
            </w:pPr>
            <w:r>
              <w:rPr>
                <w:szCs w:val="21"/>
              </w:rPr>
              <w:t>0</w:t>
            </w:r>
          </w:p>
        </w:tc>
      </w:tr>
      <w:tr w:rsidR="00F76A63" w14:paraId="2636A526" w14:textId="77777777">
        <w:trPr>
          <w:trHeight w:val="70"/>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3B63DDA9"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013B6800"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5F11860A" w14:textId="77777777" w:rsidR="00F76A63" w:rsidRDefault="00000000">
            <w:pPr>
              <w:jc w:val="center"/>
              <w:rPr>
                <w:bCs/>
              </w:rPr>
            </w:pPr>
            <w:r>
              <w:rPr>
                <w:bCs/>
              </w:rPr>
              <w:t>铊及其化合物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3E5016C2" w14:textId="77777777" w:rsidR="00F76A63" w:rsidRDefault="00000000">
            <w:pPr>
              <w:jc w:val="center"/>
              <w:rPr>
                <w:bCs/>
              </w:rPr>
            </w:pPr>
            <w:r>
              <w:t>0.0019</w:t>
            </w:r>
          </w:p>
        </w:tc>
        <w:tc>
          <w:tcPr>
            <w:tcW w:w="1418" w:type="dxa"/>
            <w:tcBorders>
              <w:top w:val="single" w:sz="4" w:space="0" w:color="auto"/>
              <w:left w:val="single" w:sz="4" w:space="0" w:color="auto"/>
              <w:bottom w:val="single" w:sz="4" w:space="0" w:color="auto"/>
              <w:right w:val="single" w:sz="4" w:space="0" w:color="auto"/>
            </w:tcBorders>
            <w:vAlign w:val="center"/>
          </w:tcPr>
          <w:p w14:paraId="2185EFB6"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2A49EDCA"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71341B99" w14:textId="77777777" w:rsidR="00F76A63" w:rsidRDefault="00000000">
            <w:pPr>
              <w:jc w:val="center"/>
              <w:rPr>
                <w:bCs/>
              </w:rPr>
            </w:pPr>
            <w:r>
              <w:rPr>
                <w:sz w:val="22"/>
                <w:szCs w:val="22"/>
              </w:rPr>
              <w:t>0.0021</w:t>
            </w:r>
          </w:p>
        </w:tc>
        <w:tc>
          <w:tcPr>
            <w:tcW w:w="1761" w:type="dxa"/>
            <w:tcBorders>
              <w:top w:val="single" w:sz="4" w:space="0" w:color="auto"/>
              <w:left w:val="single" w:sz="4" w:space="0" w:color="auto"/>
              <w:bottom w:val="single" w:sz="4" w:space="0" w:color="auto"/>
              <w:right w:val="single" w:sz="4" w:space="0" w:color="auto"/>
            </w:tcBorders>
            <w:vAlign w:val="center"/>
          </w:tcPr>
          <w:p w14:paraId="7713A5C7" w14:textId="77777777" w:rsidR="00F76A63" w:rsidRDefault="00000000">
            <w:pPr>
              <w:jc w:val="center"/>
              <w:rPr>
                <w:bCs/>
              </w:rPr>
            </w:pPr>
            <w:r>
              <w:t>0.0019</w:t>
            </w:r>
          </w:p>
        </w:tc>
        <w:tc>
          <w:tcPr>
            <w:tcW w:w="1890" w:type="dxa"/>
            <w:tcBorders>
              <w:top w:val="single" w:sz="4" w:space="0" w:color="auto"/>
              <w:left w:val="single" w:sz="4" w:space="0" w:color="auto"/>
              <w:bottom w:val="single" w:sz="4" w:space="0" w:color="auto"/>
              <w:right w:val="single" w:sz="4" w:space="0" w:color="auto"/>
            </w:tcBorders>
            <w:vAlign w:val="center"/>
          </w:tcPr>
          <w:p w14:paraId="47CBC465" w14:textId="77777777" w:rsidR="00F76A63" w:rsidRDefault="00000000">
            <w:pPr>
              <w:jc w:val="center"/>
              <w:rPr>
                <w:bCs/>
              </w:rPr>
            </w:pPr>
            <w:r>
              <w:rPr>
                <w:szCs w:val="21"/>
              </w:rPr>
              <w:t>0.0021</w:t>
            </w:r>
          </w:p>
        </w:tc>
        <w:tc>
          <w:tcPr>
            <w:tcW w:w="1324" w:type="dxa"/>
            <w:tcBorders>
              <w:top w:val="single" w:sz="4" w:space="0" w:color="auto"/>
              <w:left w:val="single" w:sz="4" w:space="0" w:color="auto"/>
              <w:bottom w:val="single" w:sz="4" w:space="0" w:color="auto"/>
              <w:right w:val="single" w:sz="8" w:space="0" w:color="auto"/>
            </w:tcBorders>
            <w:vAlign w:val="center"/>
          </w:tcPr>
          <w:p w14:paraId="6F3A2F54" w14:textId="77777777" w:rsidR="00F76A63" w:rsidRDefault="00000000">
            <w:pPr>
              <w:jc w:val="center"/>
              <w:rPr>
                <w:bCs/>
              </w:rPr>
            </w:pPr>
            <w:r>
              <w:t>+</w:t>
            </w:r>
            <w:r>
              <w:rPr>
                <w:szCs w:val="21"/>
              </w:rPr>
              <w:t>0.0002</w:t>
            </w:r>
          </w:p>
        </w:tc>
      </w:tr>
      <w:tr w:rsidR="00F76A63" w14:paraId="28E994C1" w14:textId="77777777">
        <w:trPr>
          <w:trHeight w:val="70"/>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196A718F"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23932AC1"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5FDC039B" w14:textId="77777777" w:rsidR="00F76A63" w:rsidRDefault="00000000">
            <w:pPr>
              <w:jc w:val="center"/>
              <w:rPr>
                <w:bCs/>
              </w:rPr>
            </w:pPr>
            <w:r>
              <w:rPr>
                <w:bCs/>
              </w:rPr>
              <w:t>镉及其化合物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168334D1" w14:textId="77777777" w:rsidR="00F76A63" w:rsidRDefault="00000000">
            <w:pPr>
              <w:jc w:val="center"/>
              <w:rPr>
                <w:bCs/>
              </w:rPr>
            </w:pPr>
            <w:r>
              <w:t>0.0079</w:t>
            </w:r>
          </w:p>
        </w:tc>
        <w:tc>
          <w:tcPr>
            <w:tcW w:w="1418" w:type="dxa"/>
            <w:tcBorders>
              <w:top w:val="single" w:sz="4" w:space="0" w:color="auto"/>
              <w:left w:val="single" w:sz="4" w:space="0" w:color="auto"/>
              <w:bottom w:val="single" w:sz="4" w:space="0" w:color="auto"/>
              <w:right w:val="single" w:sz="4" w:space="0" w:color="auto"/>
            </w:tcBorders>
            <w:vAlign w:val="center"/>
          </w:tcPr>
          <w:p w14:paraId="428DF1CB"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5A81D79B"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42392D80" w14:textId="77777777" w:rsidR="00F76A63" w:rsidRDefault="00000000">
            <w:pPr>
              <w:jc w:val="center"/>
              <w:rPr>
                <w:bCs/>
              </w:rPr>
            </w:pPr>
            <w:r>
              <w:rPr>
                <w:sz w:val="22"/>
                <w:szCs w:val="22"/>
              </w:rPr>
              <w:t>0.0092</w:t>
            </w:r>
          </w:p>
        </w:tc>
        <w:tc>
          <w:tcPr>
            <w:tcW w:w="1761" w:type="dxa"/>
            <w:tcBorders>
              <w:top w:val="single" w:sz="4" w:space="0" w:color="auto"/>
              <w:left w:val="single" w:sz="4" w:space="0" w:color="auto"/>
              <w:bottom w:val="single" w:sz="4" w:space="0" w:color="auto"/>
              <w:right w:val="single" w:sz="4" w:space="0" w:color="auto"/>
            </w:tcBorders>
            <w:vAlign w:val="center"/>
          </w:tcPr>
          <w:p w14:paraId="26935953" w14:textId="77777777" w:rsidR="00F76A63" w:rsidRDefault="00000000">
            <w:pPr>
              <w:jc w:val="center"/>
              <w:rPr>
                <w:bCs/>
              </w:rPr>
            </w:pPr>
            <w:r>
              <w:t>0.0079</w:t>
            </w:r>
          </w:p>
        </w:tc>
        <w:tc>
          <w:tcPr>
            <w:tcW w:w="1890" w:type="dxa"/>
            <w:tcBorders>
              <w:top w:val="single" w:sz="4" w:space="0" w:color="auto"/>
              <w:left w:val="single" w:sz="4" w:space="0" w:color="auto"/>
              <w:bottom w:val="single" w:sz="4" w:space="0" w:color="auto"/>
              <w:right w:val="single" w:sz="4" w:space="0" w:color="auto"/>
            </w:tcBorders>
            <w:vAlign w:val="center"/>
          </w:tcPr>
          <w:p w14:paraId="7DD6861D" w14:textId="77777777" w:rsidR="00F76A63" w:rsidRDefault="00000000">
            <w:pPr>
              <w:jc w:val="center"/>
              <w:rPr>
                <w:bCs/>
              </w:rPr>
            </w:pPr>
            <w:r>
              <w:rPr>
                <w:szCs w:val="21"/>
              </w:rPr>
              <w:t>0.0092</w:t>
            </w:r>
          </w:p>
        </w:tc>
        <w:tc>
          <w:tcPr>
            <w:tcW w:w="1324" w:type="dxa"/>
            <w:tcBorders>
              <w:top w:val="single" w:sz="4" w:space="0" w:color="auto"/>
              <w:left w:val="single" w:sz="4" w:space="0" w:color="auto"/>
              <w:bottom w:val="single" w:sz="4" w:space="0" w:color="auto"/>
              <w:right w:val="single" w:sz="8" w:space="0" w:color="auto"/>
            </w:tcBorders>
            <w:vAlign w:val="center"/>
          </w:tcPr>
          <w:p w14:paraId="29E3F2E2" w14:textId="77777777" w:rsidR="00F76A63" w:rsidRDefault="00000000">
            <w:pPr>
              <w:jc w:val="center"/>
              <w:rPr>
                <w:bCs/>
              </w:rPr>
            </w:pPr>
            <w:r>
              <w:t>+</w:t>
            </w:r>
            <w:r>
              <w:rPr>
                <w:szCs w:val="21"/>
              </w:rPr>
              <w:t>0.0013</w:t>
            </w:r>
          </w:p>
        </w:tc>
      </w:tr>
      <w:tr w:rsidR="00F76A63" w14:paraId="6D632657"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23FC82FC"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2939D357"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2A6D899F" w14:textId="77777777" w:rsidR="00F76A63" w:rsidRDefault="00000000">
            <w:pPr>
              <w:jc w:val="center"/>
              <w:rPr>
                <w:bCs/>
              </w:rPr>
            </w:pPr>
            <w:r>
              <w:rPr>
                <w:bCs/>
              </w:rPr>
              <w:t>铅及其化合物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47456A82" w14:textId="77777777" w:rsidR="00F76A63" w:rsidRDefault="00000000">
            <w:pPr>
              <w:jc w:val="center"/>
              <w:rPr>
                <w:bCs/>
              </w:rPr>
            </w:pPr>
            <w:r>
              <w:t>0.1318</w:t>
            </w:r>
          </w:p>
        </w:tc>
        <w:tc>
          <w:tcPr>
            <w:tcW w:w="1418" w:type="dxa"/>
            <w:tcBorders>
              <w:top w:val="single" w:sz="4" w:space="0" w:color="auto"/>
              <w:left w:val="single" w:sz="4" w:space="0" w:color="auto"/>
              <w:bottom w:val="single" w:sz="4" w:space="0" w:color="auto"/>
              <w:right w:val="single" w:sz="4" w:space="0" w:color="auto"/>
            </w:tcBorders>
            <w:vAlign w:val="center"/>
          </w:tcPr>
          <w:p w14:paraId="4D13DD95"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0E288D9A"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44CCF2B6" w14:textId="77777777" w:rsidR="00F76A63" w:rsidRDefault="00000000">
            <w:pPr>
              <w:jc w:val="center"/>
              <w:rPr>
                <w:bCs/>
              </w:rPr>
            </w:pPr>
            <w:r>
              <w:rPr>
                <w:sz w:val="22"/>
                <w:szCs w:val="22"/>
              </w:rPr>
              <w:t>0.1769</w:t>
            </w:r>
          </w:p>
        </w:tc>
        <w:tc>
          <w:tcPr>
            <w:tcW w:w="1761" w:type="dxa"/>
            <w:tcBorders>
              <w:top w:val="single" w:sz="4" w:space="0" w:color="auto"/>
              <w:left w:val="single" w:sz="4" w:space="0" w:color="auto"/>
              <w:bottom w:val="single" w:sz="4" w:space="0" w:color="auto"/>
              <w:right w:val="single" w:sz="4" w:space="0" w:color="auto"/>
            </w:tcBorders>
            <w:vAlign w:val="center"/>
          </w:tcPr>
          <w:p w14:paraId="0587F894" w14:textId="77777777" w:rsidR="00F76A63" w:rsidRDefault="00000000">
            <w:pPr>
              <w:jc w:val="center"/>
              <w:rPr>
                <w:bCs/>
              </w:rPr>
            </w:pPr>
            <w:r>
              <w:t>0.1318</w:t>
            </w:r>
          </w:p>
        </w:tc>
        <w:tc>
          <w:tcPr>
            <w:tcW w:w="1890" w:type="dxa"/>
            <w:tcBorders>
              <w:top w:val="single" w:sz="4" w:space="0" w:color="auto"/>
              <w:left w:val="single" w:sz="4" w:space="0" w:color="auto"/>
              <w:bottom w:val="single" w:sz="4" w:space="0" w:color="auto"/>
              <w:right w:val="single" w:sz="4" w:space="0" w:color="auto"/>
            </w:tcBorders>
            <w:vAlign w:val="center"/>
          </w:tcPr>
          <w:p w14:paraId="4C57EBAE" w14:textId="77777777" w:rsidR="00F76A63" w:rsidRDefault="00000000">
            <w:pPr>
              <w:jc w:val="center"/>
              <w:rPr>
                <w:bCs/>
              </w:rPr>
            </w:pPr>
            <w:r>
              <w:rPr>
                <w:szCs w:val="21"/>
              </w:rPr>
              <w:t>0.1769</w:t>
            </w:r>
          </w:p>
        </w:tc>
        <w:tc>
          <w:tcPr>
            <w:tcW w:w="1324" w:type="dxa"/>
            <w:tcBorders>
              <w:top w:val="single" w:sz="4" w:space="0" w:color="auto"/>
              <w:left w:val="single" w:sz="4" w:space="0" w:color="auto"/>
              <w:bottom w:val="single" w:sz="4" w:space="0" w:color="auto"/>
              <w:right w:val="single" w:sz="8" w:space="0" w:color="auto"/>
            </w:tcBorders>
            <w:vAlign w:val="center"/>
          </w:tcPr>
          <w:p w14:paraId="63F9489A" w14:textId="77777777" w:rsidR="00F76A63" w:rsidRDefault="00000000">
            <w:pPr>
              <w:jc w:val="center"/>
              <w:rPr>
                <w:bCs/>
              </w:rPr>
            </w:pPr>
            <w:r>
              <w:t>+</w:t>
            </w:r>
            <w:r>
              <w:rPr>
                <w:szCs w:val="21"/>
              </w:rPr>
              <w:t>0.0451</w:t>
            </w:r>
          </w:p>
        </w:tc>
      </w:tr>
      <w:tr w:rsidR="00F76A63" w14:paraId="02F293FF"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0FC2D51D"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4076769A"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BB0CD36" w14:textId="77777777" w:rsidR="00F76A63" w:rsidRDefault="00000000">
            <w:pPr>
              <w:jc w:val="center"/>
              <w:rPr>
                <w:bCs/>
              </w:rPr>
            </w:pPr>
            <w:r>
              <w:rPr>
                <w:bCs/>
              </w:rPr>
              <w:t>砷及其化合物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68BD4D3B" w14:textId="77777777" w:rsidR="00F76A63" w:rsidRDefault="00000000">
            <w:pPr>
              <w:jc w:val="center"/>
              <w:rPr>
                <w:bCs/>
              </w:rPr>
            </w:pPr>
            <w:r>
              <w:t>0.1841</w:t>
            </w:r>
          </w:p>
        </w:tc>
        <w:tc>
          <w:tcPr>
            <w:tcW w:w="1418" w:type="dxa"/>
            <w:tcBorders>
              <w:top w:val="single" w:sz="4" w:space="0" w:color="auto"/>
              <w:left w:val="single" w:sz="4" w:space="0" w:color="auto"/>
              <w:bottom w:val="single" w:sz="4" w:space="0" w:color="auto"/>
              <w:right w:val="single" w:sz="4" w:space="0" w:color="auto"/>
            </w:tcBorders>
            <w:vAlign w:val="center"/>
          </w:tcPr>
          <w:p w14:paraId="4148CE9D"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212B3261"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113888CF" w14:textId="77777777" w:rsidR="00F76A63" w:rsidRDefault="00000000">
            <w:pPr>
              <w:jc w:val="center"/>
              <w:rPr>
                <w:bCs/>
              </w:rPr>
            </w:pPr>
            <w:r>
              <w:rPr>
                <w:sz w:val="22"/>
                <w:szCs w:val="22"/>
              </w:rPr>
              <w:t>0.2602</w:t>
            </w:r>
          </w:p>
        </w:tc>
        <w:tc>
          <w:tcPr>
            <w:tcW w:w="1761" w:type="dxa"/>
            <w:tcBorders>
              <w:top w:val="single" w:sz="4" w:space="0" w:color="auto"/>
              <w:left w:val="single" w:sz="4" w:space="0" w:color="auto"/>
              <w:bottom w:val="single" w:sz="4" w:space="0" w:color="auto"/>
              <w:right w:val="single" w:sz="4" w:space="0" w:color="auto"/>
            </w:tcBorders>
            <w:vAlign w:val="center"/>
          </w:tcPr>
          <w:p w14:paraId="40E5314F" w14:textId="77777777" w:rsidR="00F76A63" w:rsidRDefault="00000000">
            <w:pPr>
              <w:jc w:val="center"/>
              <w:rPr>
                <w:bCs/>
              </w:rPr>
            </w:pPr>
            <w:r>
              <w:t>0.1841</w:t>
            </w:r>
          </w:p>
        </w:tc>
        <w:tc>
          <w:tcPr>
            <w:tcW w:w="1890" w:type="dxa"/>
            <w:tcBorders>
              <w:top w:val="single" w:sz="4" w:space="0" w:color="auto"/>
              <w:left w:val="single" w:sz="4" w:space="0" w:color="auto"/>
              <w:bottom w:val="single" w:sz="4" w:space="0" w:color="auto"/>
              <w:right w:val="single" w:sz="4" w:space="0" w:color="auto"/>
            </w:tcBorders>
            <w:vAlign w:val="center"/>
          </w:tcPr>
          <w:p w14:paraId="33A181CF" w14:textId="77777777" w:rsidR="00F76A63" w:rsidRDefault="00000000">
            <w:pPr>
              <w:jc w:val="center"/>
              <w:rPr>
                <w:bCs/>
              </w:rPr>
            </w:pPr>
            <w:r>
              <w:rPr>
                <w:szCs w:val="21"/>
              </w:rPr>
              <w:t>0.2602</w:t>
            </w:r>
          </w:p>
        </w:tc>
        <w:tc>
          <w:tcPr>
            <w:tcW w:w="1324" w:type="dxa"/>
            <w:tcBorders>
              <w:top w:val="single" w:sz="4" w:space="0" w:color="auto"/>
              <w:left w:val="single" w:sz="4" w:space="0" w:color="auto"/>
              <w:bottom w:val="single" w:sz="4" w:space="0" w:color="auto"/>
              <w:right w:val="single" w:sz="8" w:space="0" w:color="auto"/>
            </w:tcBorders>
            <w:vAlign w:val="center"/>
          </w:tcPr>
          <w:p w14:paraId="55FDC16F" w14:textId="77777777" w:rsidR="00F76A63" w:rsidRDefault="00000000">
            <w:pPr>
              <w:jc w:val="center"/>
              <w:rPr>
                <w:bCs/>
              </w:rPr>
            </w:pPr>
            <w:r>
              <w:t>+</w:t>
            </w:r>
            <w:r>
              <w:rPr>
                <w:szCs w:val="21"/>
              </w:rPr>
              <w:t>0.0761</w:t>
            </w:r>
          </w:p>
        </w:tc>
      </w:tr>
      <w:tr w:rsidR="00F76A63" w14:paraId="1D80475B"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2F245ADB"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20BE4666"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3E9F826F" w14:textId="77777777" w:rsidR="00F76A63" w:rsidRDefault="00000000">
            <w:pPr>
              <w:jc w:val="center"/>
              <w:rPr>
                <w:bCs/>
              </w:rPr>
            </w:pPr>
            <w:r>
              <w:rPr>
                <w:bCs/>
              </w:rPr>
              <w:t>铍及其化合物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085BABD4" w14:textId="77777777" w:rsidR="00F76A63" w:rsidRDefault="00000000">
            <w:pPr>
              <w:jc w:val="center"/>
              <w:rPr>
                <w:bCs/>
              </w:rPr>
            </w:pPr>
            <w:r>
              <w:t>0.0003</w:t>
            </w:r>
          </w:p>
        </w:tc>
        <w:tc>
          <w:tcPr>
            <w:tcW w:w="1418" w:type="dxa"/>
            <w:tcBorders>
              <w:top w:val="single" w:sz="4" w:space="0" w:color="auto"/>
              <w:left w:val="single" w:sz="4" w:space="0" w:color="auto"/>
              <w:bottom w:val="single" w:sz="4" w:space="0" w:color="auto"/>
              <w:right w:val="single" w:sz="4" w:space="0" w:color="auto"/>
            </w:tcBorders>
            <w:vAlign w:val="center"/>
          </w:tcPr>
          <w:p w14:paraId="3FDB8CC7"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64B480F0"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7BC35E6F" w14:textId="77777777" w:rsidR="00F76A63" w:rsidRDefault="00000000">
            <w:pPr>
              <w:jc w:val="center"/>
              <w:rPr>
                <w:bCs/>
              </w:rPr>
            </w:pPr>
            <w:r>
              <w:rPr>
                <w:sz w:val="22"/>
                <w:szCs w:val="22"/>
              </w:rPr>
              <w:t>0.0003</w:t>
            </w:r>
          </w:p>
        </w:tc>
        <w:tc>
          <w:tcPr>
            <w:tcW w:w="1761" w:type="dxa"/>
            <w:tcBorders>
              <w:top w:val="single" w:sz="4" w:space="0" w:color="auto"/>
              <w:left w:val="single" w:sz="4" w:space="0" w:color="auto"/>
              <w:bottom w:val="single" w:sz="4" w:space="0" w:color="auto"/>
              <w:right w:val="single" w:sz="4" w:space="0" w:color="auto"/>
            </w:tcBorders>
            <w:vAlign w:val="center"/>
          </w:tcPr>
          <w:p w14:paraId="110AD412" w14:textId="77777777" w:rsidR="00F76A63" w:rsidRDefault="00000000">
            <w:pPr>
              <w:jc w:val="center"/>
              <w:rPr>
                <w:bCs/>
              </w:rPr>
            </w:pPr>
            <w:r>
              <w:t>0.0003</w:t>
            </w:r>
          </w:p>
        </w:tc>
        <w:tc>
          <w:tcPr>
            <w:tcW w:w="1890" w:type="dxa"/>
            <w:tcBorders>
              <w:top w:val="single" w:sz="4" w:space="0" w:color="auto"/>
              <w:left w:val="single" w:sz="4" w:space="0" w:color="auto"/>
              <w:bottom w:val="single" w:sz="4" w:space="0" w:color="auto"/>
              <w:right w:val="single" w:sz="4" w:space="0" w:color="auto"/>
            </w:tcBorders>
            <w:vAlign w:val="center"/>
          </w:tcPr>
          <w:p w14:paraId="677660DF" w14:textId="77777777" w:rsidR="00F76A63" w:rsidRDefault="00000000">
            <w:pPr>
              <w:jc w:val="center"/>
              <w:rPr>
                <w:bCs/>
              </w:rPr>
            </w:pPr>
            <w:r>
              <w:rPr>
                <w:szCs w:val="21"/>
              </w:rPr>
              <w:t>0.0003</w:t>
            </w:r>
          </w:p>
        </w:tc>
        <w:tc>
          <w:tcPr>
            <w:tcW w:w="1324" w:type="dxa"/>
            <w:tcBorders>
              <w:top w:val="single" w:sz="4" w:space="0" w:color="auto"/>
              <w:left w:val="single" w:sz="4" w:space="0" w:color="auto"/>
              <w:bottom w:val="single" w:sz="4" w:space="0" w:color="auto"/>
              <w:right w:val="single" w:sz="8" w:space="0" w:color="auto"/>
            </w:tcBorders>
            <w:vAlign w:val="center"/>
          </w:tcPr>
          <w:p w14:paraId="436F3CE7" w14:textId="77777777" w:rsidR="00F76A63" w:rsidRDefault="00000000">
            <w:pPr>
              <w:jc w:val="center"/>
              <w:rPr>
                <w:bCs/>
              </w:rPr>
            </w:pPr>
            <w:r>
              <w:rPr>
                <w:szCs w:val="21"/>
              </w:rPr>
              <w:t>0</w:t>
            </w:r>
          </w:p>
        </w:tc>
      </w:tr>
      <w:tr w:rsidR="00F76A63" w14:paraId="163F239F"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5D3E34F0"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3681D4F2"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2DD32820" w14:textId="77777777" w:rsidR="00F76A63" w:rsidRDefault="00000000">
            <w:pPr>
              <w:jc w:val="center"/>
              <w:rPr>
                <w:bCs/>
              </w:rPr>
            </w:pPr>
            <w:r>
              <w:rPr>
                <w:bCs/>
              </w:rPr>
              <w:t>铬及其化合物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18B70FCC" w14:textId="77777777" w:rsidR="00F76A63" w:rsidRDefault="00000000">
            <w:pPr>
              <w:jc w:val="center"/>
              <w:rPr>
                <w:bCs/>
              </w:rPr>
            </w:pPr>
            <w:r>
              <w:t>0.0107</w:t>
            </w:r>
          </w:p>
        </w:tc>
        <w:tc>
          <w:tcPr>
            <w:tcW w:w="1418" w:type="dxa"/>
            <w:tcBorders>
              <w:top w:val="single" w:sz="4" w:space="0" w:color="auto"/>
              <w:left w:val="single" w:sz="4" w:space="0" w:color="auto"/>
              <w:bottom w:val="single" w:sz="4" w:space="0" w:color="auto"/>
              <w:right w:val="single" w:sz="4" w:space="0" w:color="auto"/>
            </w:tcBorders>
            <w:vAlign w:val="center"/>
          </w:tcPr>
          <w:p w14:paraId="41E5B31E"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24154D9B"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604F06A1" w14:textId="77777777" w:rsidR="00F76A63" w:rsidRDefault="00000000">
            <w:pPr>
              <w:jc w:val="center"/>
              <w:rPr>
                <w:bCs/>
              </w:rPr>
            </w:pPr>
            <w:r>
              <w:rPr>
                <w:sz w:val="22"/>
                <w:szCs w:val="22"/>
              </w:rPr>
              <w:t>0.0119</w:t>
            </w:r>
          </w:p>
        </w:tc>
        <w:tc>
          <w:tcPr>
            <w:tcW w:w="1761" w:type="dxa"/>
            <w:tcBorders>
              <w:top w:val="single" w:sz="4" w:space="0" w:color="auto"/>
              <w:left w:val="single" w:sz="4" w:space="0" w:color="auto"/>
              <w:bottom w:val="single" w:sz="4" w:space="0" w:color="auto"/>
              <w:right w:val="single" w:sz="4" w:space="0" w:color="auto"/>
            </w:tcBorders>
            <w:vAlign w:val="center"/>
          </w:tcPr>
          <w:p w14:paraId="52BE27BA" w14:textId="77777777" w:rsidR="00F76A63" w:rsidRDefault="00000000">
            <w:pPr>
              <w:jc w:val="center"/>
              <w:rPr>
                <w:bCs/>
              </w:rPr>
            </w:pPr>
            <w:r>
              <w:t>0.0107</w:t>
            </w:r>
          </w:p>
        </w:tc>
        <w:tc>
          <w:tcPr>
            <w:tcW w:w="1890" w:type="dxa"/>
            <w:tcBorders>
              <w:top w:val="single" w:sz="4" w:space="0" w:color="auto"/>
              <w:left w:val="single" w:sz="4" w:space="0" w:color="auto"/>
              <w:bottom w:val="single" w:sz="4" w:space="0" w:color="auto"/>
              <w:right w:val="single" w:sz="4" w:space="0" w:color="auto"/>
            </w:tcBorders>
            <w:vAlign w:val="center"/>
          </w:tcPr>
          <w:p w14:paraId="6406F138" w14:textId="77777777" w:rsidR="00F76A63" w:rsidRDefault="00000000">
            <w:pPr>
              <w:jc w:val="center"/>
              <w:rPr>
                <w:bCs/>
              </w:rPr>
            </w:pPr>
            <w:r>
              <w:rPr>
                <w:szCs w:val="21"/>
              </w:rPr>
              <w:t>0.0119</w:t>
            </w:r>
          </w:p>
        </w:tc>
        <w:tc>
          <w:tcPr>
            <w:tcW w:w="1324" w:type="dxa"/>
            <w:tcBorders>
              <w:top w:val="single" w:sz="4" w:space="0" w:color="auto"/>
              <w:left w:val="single" w:sz="4" w:space="0" w:color="auto"/>
              <w:bottom w:val="single" w:sz="4" w:space="0" w:color="auto"/>
              <w:right w:val="single" w:sz="8" w:space="0" w:color="auto"/>
            </w:tcBorders>
            <w:vAlign w:val="center"/>
          </w:tcPr>
          <w:p w14:paraId="7960EBB3" w14:textId="77777777" w:rsidR="00F76A63" w:rsidRDefault="00000000">
            <w:pPr>
              <w:jc w:val="center"/>
              <w:rPr>
                <w:bCs/>
              </w:rPr>
            </w:pPr>
            <w:r>
              <w:t>+</w:t>
            </w:r>
            <w:r>
              <w:rPr>
                <w:szCs w:val="21"/>
              </w:rPr>
              <w:t>0.0012</w:t>
            </w:r>
          </w:p>
        </w:tc>
      </w:tr>
      <w:tr w:rsidR="00F76A63" w14:paraId="26741603"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0F464C54"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16EAE386"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4C273736" w14:textId="77777777" w:rsidR="00F76A63" w:rsidRDefault="00000000">
            <w:pPr>
              <w:jc w:val="center"/>
              <w:rPr>
                <w:bCs/>
              </w:rPr>
            </w:pPr>
            <w:r>
              <w:rPr>
                <w:bCs/>
              </w:rPr>
              <w:t>锡及其化合物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177E00EA" w14:textId="77777777" w:rsidR="00F76A63" w:rsidRDefault="00000000">
            <w:pPr>
              <w:jc w:val="center"/>
              <w:rPr>
                <w:bCs/>
              </w:rPr>
            </w:pPr>
            <w:r>
              <w:t>0.0194</w:t>
            </w:r>
          </w:p>
        </w:tc>
        <w:tc>
          <w:tcPr>
            <w:tcW w:w="1418" w:type="dxa"/>
            <w:tcBorders>
              <w:top w:val="single" w:sz="4" w:space="0" w:color="auto"/>
              <w:left w:val="single" w:sz="4" w:space="0" w:color="auto"/>
              <w:bottom w:val="single" w:sz="4" w:space="0" w:color="auto"/>
              <w:right w:val="single" w:sz="4" w:space="0" w:color="auto"/>
            </w:tcBorders>
            <w:vAlign w:val="center"/>
          </w:tcPr>
          <w:p w14:paraId="57F5D2DE"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0CA781E4"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112EC93E" w14:textId="77777777" w:rsidR="00F76A63" w:rsidRDefault="00000000">
            <w:pPr>
              <w:jc w:val="center"/>
              <w:rPr>
                <w:bCs/>
              </w:rPr>
            </w:pPr>
            <w:r>
              <w:rPr>
                <w:sz w:val="22"/>
                <w:szCs w:val="22"/>
              </w:rPr>
              <w:t>0.0197</w:t>
            </w:r>
          </w:p>
        </w:tc>
        <w:tc>
          <w:tcPr>
            <w:tcW w:w="1761" w:type="dxa"/>
            <w:tcBorders>
              <w:top w:val="single" w:sz="4" w:space="0" w:color="auto"/>
              <w:left w:val="single" w:sz="4" w:space="0" w:color="auto"/>
              <w:bottom w:val="single" w:sz="4" w:space="0" w:color="auto"/>
              <w:right w:val="single" w:sz="4" w:space="0" w:color="auto"/>
            </w:tcBorders>
            <w:vAlign w:val="center"/>
          </w:tcPr>
          <w:p w14:paraId="4AEB18F4" w14:textId="77777777" w:rsidR="00F76A63" w:rsidRDefault="00000000">
            <w:pPr>
              <w:jc w:val="center"/>
              <w:rPr>
                <w:bCs/>
              </w:rPr>
            </w:pPr>
            <w:r>
              <w:t>0.0194</w:t>
            </w:r>
          </w:p>
        </w:tc>
        <w:tc>
          <w:tcPr>
            <w:tcW w:w="1890" w:type="dxa"/>
            <w:tcBorders>
              <w:top w:val="single" w:sz="4" w:space="0" w:color="auto"/>
              <w:left w:val="single" w:sz="4" w:space="0" w:color="auto"/>
              <w:bottom w:val="single" w:sz="4" w:space="0" w:color="auto"/>
              <w:right w:val="single" w:sz="4" w:space="0" w:color="auto"/>
            </w:tcBorders>
            <w:vAlign w:val="center"/>
          </w:tcPr>
          <w:p w14:paraId="382922C8" w14:textId="77777777" w:rsidR="00F76A63" w:rsidRDefault="00000000">
            <w:pPr>
              <w:jc w:val="center"/>
              <w:rPr>
                <w:bCs/>
              </w:rPr>
            </w:pPr>
            <w:r>
              <w:rPr>
                <w:szCs w:val="21"/>
              </w:rPr>
              <w:t>0.0197</w:t>
            </w:r>
          </w:p>
        </w:tc>
        <w:tc>
          <w:tcPr>
            <w:tcW w:w="1324" w:type="dxa"/>
            <w:tcBorders>
              <w:top w:val="single" w:sz="4" w:space="0" w:color="auto"/>
              <w:left w:val="single" w:sz="4" w:space="0" w:color="auto"/>
              <w:bottom w:val="single" w:sz="4" w:space="0" w:color="auto"/>
              <w:right w:val="single" w:sz="8" w:space="0" w:color="auto"/>
            </w:tcBorders>
            <w:vAlign w:val="center"/>
          </w:tcPr>
          <w:p w14:paraId="1D2819D7" w14:textId="77777777" w:rsidR="00F76A63" w:rsidRDefault="00000000">
            <w:pPr>
              <w:jc w:val="center"/>
              <w:rPr>
                <w:bCs/>
              </w:rPr>
            </w:pPr>
            <w:r>
              <w:t>+</w:t>
            </w:r>
            <w:r>
              <w:rPr>
                <w:szCs w:val="21"/>
              </w:rPr>
              <w:t>0.0003</w:t>
            </w:r>
          </w:p>
        </w:tc>
      </w:tr>
      <w:tr w:rsidR="00F76A63" w14:paraId="6F63009F"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4E7D40D0"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362C4F98"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5CF64080" w14:textId="77777777" w:rsidR="00F76A63" w:rsidRDefault="00000000">
            <w:pPr>
              <w:jc w:val="center"/>
              <w:rPr>
                <w:bCs/>
              </w:rPr>
            </w:pPr>
            <w:r>
              <w:rPr>
                <w:bCs/>
              </w:rPr>
              <w:t>锑及其化合物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6E1556DF" w14:textId="77777777" w:rsidR="00F76A63" w:rsidRDefault="00000000">
            <w:pPr>
              <w:jc w:val="center"/>
              <w:rPr>
                <w:bCs/>
              </w:rPr>
            </w:pPr>
            <w:r>
              <w:t>0.4121</w:t>
            </w:r>
          </w:p>
        </w:tc>
        <w:tc>
          <w:tcPr>
            <w:tcW w:w="1418" w:type="dxa"/>
            <w:tcBorders>
              <w:top w:val="single" w:sz="4" w:space="0" w:color="auto"/>
              <w:left w:val="single" w:sz="4" w:space="0" w:color="auto"/>
              <w:bottom w:val="single" w:sz="4" w:space="0" w:color="auto"/>
              <w:right w:val="single" w:sz="4" w:space="0" w:color="auto"/>
            </w:tcBorders>
            <w:vAlign w:val="center"/>
          </w:tcPr>
          <w:p w14:paraId="43B2AA30"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3837D2F9"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50A564A3" w14:textId="77777777" w:rsidR="00F76A63" w:rsidRDefault="00000000">
            <w:pPr>
              <w:jc w:val="center"/>
              <w:rPr>
                <w:bCs/>
              </w:rPr>
            </w:pPr>
            <w:r>
              <w:rPr>
                <w:sz w:val="22"/>
                <w:szCs w:val="22"/>
              </w:rPr>
              <w:t>0.2359</w:t>
            </w:r>
          </w:p>
        </w:tc>
        <w:tc>
          <w:tcPr>
            <w:tcW w:w="1761" w:type="dxa"/>
            <w:tcBorders>
              <w:top w:val="single" w:sz="4" w:space="0" w:color="auto"/>
              <w:left w:val="single" w:sz="4" w:space="0" w:color="auto"/>
              <w:bottom w:val="single" w:sz="4" w:space="0" w:color="auto"/>
              <w:right w:val="single" w:sz="4" w:space="0" w:color="auto"/>
            </w:tcBorders>
            <w:vAlign w:val="center"/>
          </w:tcPr>
          <w:p w14:paraId="7412944F" w14:textId="77777777" w:rsidR="00F76A63" w:rsidRDefault="00000000">
            <w:pPr>
              <w:jc w:val="center"/>
              <w:rPr>
                <w:bCs/>
              </w:rPr>
            </w:pPr>
            <w:r>
              <w:t>0.4121</w:t>
            </w:r>
          </w:p>
        </w:tc>
        <w:tc>
          <w:tcPr>
            <w:tcW w:w="1890" w:type="dxa"/>
            <w:tcBorders>
              <w:top w:val="single" w:sz="4" w:space="0" w:color="auto"/>
              <w:left w:val="single" w:sz="4" w:space="0" w:color="auto"/>
              <w:bottom w:val="single" w:sz="4" w:space="0" w:color="auto"/>
              <w:right w:val="single" w:sz="4" w:space="0" w:color="auto"/>
            </w:tcBorders>
            <w:vAlign w:val="center"/>
          </w:tcPr>
          <w:p w14:paraId="07D08567" w14:textId="77777777" w:rsidR="00F76A63" w:rsidRDefault="00000000">
            <w:pPr>
              <w:jc w:val="center"/>
              <w:rPr>
                <w:bCs/>
              </w:rPr>
            </w:pPr>
            <w:r>
              <w:rPr>
                <w:szCs w:val="21"/>
              </w:rPr>
              <w:t>0.2359</w:t>
            </w:r>
          </w:p>
        </w:tc>
        <w:tc>
          <w:tcPr>
            <w:tcW w:w="1324" w:type="dxa"/>
            <w:tcBorders>
              <w:top w:val="single" w:sz="4" w:space="0" w:color="auto"/>
              <w:left w:val="single" w:sz="4" w:space="0" w:color="auto"/>
              <w:bottom w:val="single" w:sz="4" w:space="0" w:color="auto"/>
              <w:right w:val="single" w:sz="8" w:space="0" w:color="auto"/>
            </w:tcBorders>
            <w:vAlign w:val="center"/>
          </w:tcPr>
          <w:p w14:paraId="659A66B4" w14:textId="77777777" w:rsidR="00F76A63" w:rsidRDefault="00000000">
            <w:pPr>
              <w:jc w:val="center"/>
              <w:rPr>
                <w:bCs/>
              </w:rPr>
            </w:pPr>
            <w:r>
              <w:t>-</w:t>
            </w:r>
            <w:r>
              <w:rPr>
                <w:szCs w:val="21"/>
              </w:rPr>
              <w:t>0.1762</w:t>
            </w:r>
          </w:p>
        </w:tc>
      </w:tr>
      <w:tr w:rsidR="00F76A63" w14:paraId="11BC3C1B"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441BCFEB"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7A044375"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09CDE96" w14:textId="77777777" w:rsidR="00F76A63" w:rsidRDefault="00000000">
            <w:pPr>
              <w:jc w:val="center"/>
              <w:rPr>
                <w:bCs/>
              </w:rPr>
            </w:pPr>
            <w:r>
              <w:rPr>
                <w:bCs/>
              </w:rPr>
              <w:t>铜及其化合物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6D13D65D" w14:textId="77777777" w:rsidR="00F76A63" w:rsidRDefault="00000000">
            <w:pPr>
              <w:jc w:val="center"/>
              <w:rPr>
                <w:bCs/>
              </w:rPr>
            </w:pPr>
            <w:r>
              <w:t>0.0134</w:t>
            </w:r>
          </w:p>
        </w:tc>
        <w:tc>
          <w:tcPr>
            <w:tcW w:w="1418" w:type="dxa"/>
            <w:tcBorders>
              <w:top w:val="single" w:sz="4" w:space="0" w:color="auto"/>
              <w:left w:val="single" w:sz="4" w:space="0" w:color="auto"/>
              <w:bottom w:val="single" w:sz="4" w:space="0" w:color="auto"/>
              <w:right w:val="single" w:sz="4" w:space="0" w:color="auto"/>
            </w:tcBorders>
            <w:vAlign w:val="center"/>
          </w:tcPr>
          <w:p w14:paraId="2D139EA1"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64B94F3E"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3421E5AD" w14:textId="77777777" w:rsidR="00F76A63" w:rsidRDefault="00000000">
            <w:pPr>
              <w:jc w:val="center"/>
              <w:rPr>
                <w:bCs/>
              </w:rPr>
            </w:pPr>
            <w:r>
              <w:rPr>
                <w:sz w:val="22"/>
                <w:szCs w:val="22"/>
              </w:rPr>
              <w:t>0.0137</w:t>
            </w:r>
          </w:p>
        </w:tc>
        <w:tc>
          <w:tcPr>
            <w:tcW w:w="1761" w:type="dxa"/>
            <w:tcBorders>
              <w:top w:val="single" w:sz="4" w:space="0" w:color="auto"/>
              <w:left w:val="single" w:sz="4" w:space="0" w:color="auto"/>
              <w:bottom w:val="single" w:sz="4" w:space="0" w:color="auto"/>
              <w:right w:val="single" w:sz="4" w:space="0" w:color="auto"/>
            </w:tcBorders>
            <w:vAlign w:val="center"/>
          </w:tcPr>
          <w:p w14:paraId="1374E3C2" w14:textId="77777777" w:rsidR="00F76A63" w:rsidRDefault="00000000">
            <w:pPr>
              <w:jc w:val="center"/>
              <w:rPr>
                <w:bCs/>
              </w:rPr>
            </w:pPr>
            <w:r>
              <w:t>0.0134</w:t>
            </w:r>
          </w:p>
        </w:tc>
        <w:tc>
          <w:tcPr>
            <w:tcW w:w="1890" w:type="dxa"/>
            <w:tcBorders>
              <w:top w:val="single" w:sz="4" w:space="0" w:color="auto"/>
              <w:left w:val="single" w:sz="4" w:space="0" w:color="auto"/>
              <w:bottom w:val="single" w:sz="4" w:space="0" w:color="auto"/>
              <w:right w:val="single" w:sz="4" w:space="0" w:color="auto"/>
            </w:tcBorders>
            <w:vAlign w:val="center"/>
          </w:tcPr>
          <w:p w14:paraId="06524F04" w14:textId="77777777" w:rsidR="00F76A63" w:rsidRDefault="00000000">
            <w:pPr>
              <w:jc w:val="center"/>
              <w:rPr>
                <w:bCs/>
              </w:rPr>
            </w:pPr>
            <w:r>
              <w:rPr>
                <w:szCs w:val="21"/>
              </w:rPr>
              <w:t>0.0137</w:t>
            </w:r>
          </w:p>
        </w:tc>
        <w:tc>
          <w:tcPr>
            <w:tcW w:w="1324" w:type="dxa"/>
            <w:tcBorders>
              <w:top w:val="single" w:sz="4" w:space="0" w:color="auto"/>
              <w:left w:val="single" w:sz="4" w:space="0" w:color="auto"/>
              <w:bottom w:val="single" w:sz="4" w:space="0" w:color="auto"/>
              <w:right w:val="single" w:sz="8" w:space="0" w:color="auto"/>
            </w:tcBorders>
            <w:vAlign w:val="center"/>
          </w:tcPr>
          <w:p w14:paraId="1EADEF26" w14:textId="77777777" w:rsidR="00F76A63" w:rsidRDefault="00000000">
            <w:pPr>
              <w:jc w:val="center"/>
              <w:rPr>
                <w:bCs/>
              </w:rPr>
            </w:pPr>
            <w:r>
              <w:t>+</w:t>
            </w:r>
            <w:r>
              <w:rPr>
                <w:szCs w:val="21"/>
              </w:rPr>
              <w:t>0.0003</w:t>
            </w:r>
          </w:p>
        </w:tc>
      </w:tr>
      <w:tr w:rsidR="00F76A63" w14:paraId="19D81125"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7D5A8D3B"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15E8FDD5"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265E8F59" w14:textId="77777777" w:rsidR="00F76A63" w:rsidRDefault="00000000">
            <w:pPr>
              <w:jc w:val="center"/>
              <w:rPr>
                <w:bCs/>
              </w:rPr>
            </w:pPr>
            <w:r>
              <w:rPr>
                <w:bCs/>
              </w:rPr>
              <w:t>锰及其化合物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14AE214D" w14:textId="77777777" w:rsidR="00F76A63" w:rsidRDefault="00000000">
            <w:pPr>
              <w:jc w:val="center"/>
              <w:rPr>
                <w:bCs/>
              </w:rPr>
            </w:pPr>
            <w:r>
              <w:t>0.0512</w:t>
            </w:r>
          </w:p>
        </w:tc>
        <w:tc>
          <w:tcPr>
            <w:tcW w:w="1418" w:type="dxa"/>
            <w:tcBorders>
              <w:top w:val="single" w:sz="4" w:space="0" w:color="auto"/>
              <w:left w:val="single" w:sz="4" w:space="0" w:color="auto"/>
              <w:bottom w:val="single" w:sz="4" w:space="0" w:color="auto"/>
              <w:right w:val="single" w:sz="4" w:space="0" w:color="auto"/>
            </w:tcBorders>
            <w:vAlign w:val="center"/>
          </w:tcPr>
          <w:p w14:paraId="774043E3"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77794F27"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03DE7665" w14:textId="77777777" w:rsidR="00F76A63" w:rsidRDefault="00000000">
            <w:pPr>
              <w:jc w:val="center"/>
              <w:rPr>
                <w:bCs/>
              </w:rPr>
            </w:pPr>
            <w:r>
              <w:rPr>
                <w:sz w:val="22"/>
                <w:szCs w:val="22"/>
              </w:rPr>
              <w:t>0.0473</w:t>
            </w:r>
          </w:p>
        </w:tc>
        <w:tc>
          <w:tcPr>
            <w:tcW w:w="1761" w:type="dxa"/>
            <w:tcBorders>
              <w:top w:val="single" w:sz="4" w:space="0" w:color="auto"/>
              <w:left w:val="single" w:sz="4" w:space="0" w:color="auto"/>
              <w:bottom w:val="single" w:sz="4" w:space="0" w:color="auto"/>
              <w:right w:val="single" w:sz="4" w:space="0" w:color="auto"/>
            </w:tcBorders>
            <w:vAlign w:val="center"/>
          </w:tcPr>
          <w:p w14:paraId="0870B179" w14:textId="77777777" w:rsidR="00F76A63" w:rsidRDefault="00000000">
            <w:pPr>
              <w:jc w:val="center"/>
              <w:rPr>
                <w:bCs/>
              </w:rPr>
            </w:pPr>
            <w:r>
              <w:t>0.0512</w:t>
            </w:r>
          </w:p>
        </w:tc>
        <w:tc>
          <w:tcPr>
            <w:tcW w:w="1890" w:type="dxa"/>
            <w:tcBorders>
              <w:top w:val="single" w:sz="4" w:space="0" w:color="auto"/>
              <w:left w:val="single" w:sz="4" w:space="0" w:color="auto"/>
              <w:bottom w:val="single" w:sz="4" w:space="0" w:color="auto"/>
              <w:right w:val="single" w:sz="4" w:space="0" w:color="auto"/>
            </w:tcBorders>
            <w:vAlign w:val="center"/>
          </w:tcPr>
          <w:p w14:paraId="66552BF2" w14:textId="77777777" w:rsidR="00F76A63" w:rsidRDefault="00000000">
            <w:pPr>
              <w:jc w:val="center"/>
              <w:rPr>
                <w:bCs/>
              </w:rPr>
            </w:pPr>
            <w:r>
              <w:rPr>
                <w:szCs w:val="21"/>
              </w:rPr>
              <w:t>0.0473</w:t>
            </w:r>
          </w:p>
        </w:tc>
        <w:tc>
          <w:tcPr>
            <w:tcW w:w="1324" w:type="dxa"/>
            <w:tcBorders>
              <w:top w:val="single" w:sz="4" w:space="0" w:color="auto"/>
              <w:left w:val="single" w:sz="4" w:space="0" w:color="auto"/>
              <w:bottom w:val="single" w:sz="4" w:space="0" w:color="auto"/>
              <w:right w:val="single" w:sz="8" w:space="0" w:color="auto"/>
            </w:tcBorders>
            <w:vAlign w:val="center"/>
          </w:tcPr>
          <w:p w14:paraId="6C83DD92" w14:textId="77777777" w:rsidR="00F76A63" w:rsidRDefault="00000000">
            <w:pPr>
              <w:jc w:val="center"/>
              <w:rPr>
                <w:bCs/>
              </w:rPr>
            </w:pPr>
            <w:r>
              <w:t>-</w:t>
            </w:r>
            <w:r>
              <w:rPr>
                <w:szCs w:val="21"/>
              </w:rPr>
              <w:t>0.0039</w:t>
            </w:r>
          </w:p>
        </w:tc>
      </w:tr>
      <w:tr w:rsidR="00F76A63" w14:paraId="531A4B3D"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11166986"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23DAEC2F"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20A38AE3" w14:textId="77777777" w:rsidR="00F76A63" w:rsidRDefault="00000000">
            <w:pPr>
              <w:jc w:val="center"/>
              <w:rPr>
                <w:bCs/>
              </w:rPr>
            </w:pPr>
            <w:r>
              <w:rPr>
                <w:bCs/>
              </w:rPr>
              <w:t>镍及其化合物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3D13E8B4" w14:textId="77777777" w:rsidR="00F76A63" w:rsidRDefault="00000000">
            <w:pPr>
              <w:jc w:val="center"/>
              <w:rPr>
                <w:bCs/>
              </w:rPr>
            </w:pPr>
            <w:r>
              <w:t>0.0455</w:t>
            </w:r>
          </w:p>
        </w:tc>
        <w:tc>
          <w:tcPr>
            <w:tcW w:w="1418" w:type="dxa"/>
            <w:tcBorders>
              <w:top w:val="single" w:sz="4" w:space="0" w:color="auto"/>
              <w:left w:val="single" w:sz="4" w:space="0" w:color="auto"/>
              <w:bottom w:val="single" w:sz="4" w:space="0" w:color="auto"/>
              <w:right w:val="single" w:sz="4" w:space="0" w:color="auto"/>
            </w:tcBorders>
            <w:vAlign w:val="center"/>
          </w:tcPr>
          <w:p w14:paraId="3FD30ABF"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1E50148F"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01317D42" w14:textId="77777777" w:rsidR="00F76A63" w:rsidRDefault="00000000">
            <w:pPr>
              <w:jc w:val="center"/>
              <w:rPr>
                <w:bCs/>
              </w:rPr>
            </w:pPr>
            <w:r>
              <w:rPr>
                <w:sz w:val="22"/>
                <w:szCs w:val="22"/>
              </w:rPr>
              <w:t>0.0468</w:t>
            </w:r>
          </w:p>
        </w:tc>
        <w:tc>
          <w:tcPr>
            <w:tcW w:w="1761" w:type="dxa"/>
            <w:tcBorders>
              <w:top w:val="single" w:sz="4" w:space="0" w:color="auto"/>
              <w:left w:val="single" w:sz="4" w:space="0" w:color="auto"/>
              <w:bottom w:val="single" w:sz="4" w:space="0" w:color="auto"/>
              <w:right w:val="single" w:sz="4" w:space="0" w:color="auto"/>
            </w:tcBorders>
            <w:vAlign w:val="center"/>
          </w:tcPr>
          <w:p w14:paraId="629EEF24" w14:textId="77777777" w:rsidR="00F76A63" w:rsidRDefault="00000000">
            <w:pPr>
              <w:jc w:val="center"/>
              <w:rPr>
                <w:bCs/>
              </w:rPr>
            </w:pPr>
            <w:r>
              <w:t>0.0455</w:t>
            </w:r>
          </w:p>
        </w:tc>
        <w:tc>
          <w:tcPr>
            <w:tcW w:w="1890" w:type="dxa"/>
            <w:tcBorders>
              <w:top w:val="single" w:sz="4" w:space="0" w:color="auto"/>
              <w:left w:val="single" w:sz="4" w:space="0" w:color="auto"/>
              <w:bottom w:val="single" w:sz="4" w:space="0" w:color="auto"/>
              <w:right w:val="single" w:sz="4" w:space="0" w:color="auto"/>
            </w:tcBorders>
            <w:vAlign w:val="center"/>
          </w:tcPr>
          <w:p w14:paraId="064931B1" w14:textId="77777777" w:rsidR="00F76A63" w:rsidRDefault="00000000">
            <w:pPr>
              <w:jc w:val="center"/>
              <w:rPr>
                <w:bCs/>
              </w:rPr>
            </w:pPr>
            <w:r>
              <w:rPr>
                <w:szCs w:val="21"/>
              </w:rPr>
              <w:t>0.0468</w:t>
            </w:r>
          </w:p>
        </w:tc>
        <w:tc>
          <w:tcPr>
            <w:tcW w:w="1324" w:type="dxa"/>
            <w:tcBorders>
              <w:top w:val="single" w:sz="4" w:space="0" w:color="auto"/>
              <w:left w:val="single" w:sz="4" w:space="0" w:color="auto"/>
              <w:bottom w:val="single" w:sz="4" w:space="0" w:color="auto"/>
              <w:right w:val="single" w:sz="8" w:space="0" w:color="auto"/>
            </w:tcBorders>
            <w:vAlign w:val="center"/>
          </w:tcPr>
          <w:p w14:paraId="41040AAC" w14:textId="77777777" w:rsidR="00F76A63" w:rsidRDefault="00000000">
            <w:pPr>
              <w:jc w:val="center"/>
              <w:rPr>
                <w:bCs/>
              </w:rPr>
            </w:pPr>
            <w:r>
              <w:t>+</w:t>
            </w:r>
            <w:r>
              <w:rPr>
                <w:szCs w:val="21"/>
              </w:rPr>
              <w:t>0.0013</w:t>
            </w:r>
          </w:p>
        </w:tc>
      </w:tr>
      <w:tr w:rsidR="00F76A63" w14:paraId="2F0E3F4E"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32C54C6F"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56122008"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063A75B" w14:textId="77777777" w:rsidR="00F76A63" w:rsidRDefault="00000000">
            <w:pPr>
              <w:jc w:val="center"/>
              <w:rPr>
                <w:bCs/>
              </w:rPr>
            </w:pPr>
            <w:r>
              <w:rPr>
                <w:bCs/>
              </w:rPr>
              <w:t>钒及其化合物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5A17F65E" w14:textId="77777777" w:rsidR="00F76A63" w:rsidRDefault="00000000">
            <w:pPr>
              <w:jc w:val="center"/>
              <w:rPr>
                <w:bCs/>
              </w:rPr>
            </w:pPr>
            <w:r>
              <w:t>0.0574</w:t>
            </w:r>
          </w:p>
        </w:tc>
        <w:tc>
          <w:tcPr>
            <w:tcW w:w="1418" w:type="dxa"/>
            <w:tcBorders>
              <w:top w:val="single" w:sz="4" w:space="0" w:color="auto"/>
              <w:left w:val="single" w:sz="4" w:space="0" w:color="auto"/>
              <w:bottom w:val="single" w:sz="4" w:space="0" w:color="auto"/>
              <w:right w:val="single" w:sz="4" w:space="0" w:color="auto"/>
            </w:tcBorders>
            <w:vAlign w:val="center"/>
          </w:tcPr>
          <w:p w14:paraId="645369B6"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6F0B44BB"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1E589D11" w14:textId="77777777" w:rsidR="00F76A63" w:rsidRDefault="00000000">
            <w:pPr>
              <w:jc w:val="center"/>
              <w:rPr>
                <w:bCs/>
              </w:rPr>
            </w:pPr>
            <w:r>
              <w:rPr>
                <w:sz w:val="22"/>
                <w:szCs w:val="22"/>
              </w:rPr>
              <w:t>0.0518</w:t>
            </w:r>
          </w:p>
        </w:tc>
        <w:tc>
          <w:tcPr>
            <w:tcW w:w="1761" w:type="dxa"/>
            <w:tcBorders>
              <w:top w:val="single" w:sz="4" w:space="0" w:color="auto"/>
              <w:left w:val="single" w:sz="4" w:space="0" w:color="auto"/>
              <w:bottom w:val="single" w:sz="4" w:space="0" w:color="auto"/>
              <w:right w:val="single" w:sz="4" w:space="0" w:color="auto"/>
            </w:tcBorders>
            <w:vAlign w:val="center"/>
          </w:tcPr>
          <w:p w14:paraId="488E54A4" w14:textId="77777777" w:rsidR="00F76A63" w:rsidRDefault="00000000">
            <w:pPr>
              <w:jc w:val="center"/>
              <w:rPr>
                <w:bCs/>
              </w:rPr>
            </w:pPr>
            <w:r>
              <w:t>0.0574</w:t>
            </w:r>
          </w:p>
        </w:tc>
        <w:tc>
          <w:tcPr>
            <w:tcW w:w="1890" w:type="dxa"/>
            <w:tcBorders>
              <w:top w:val="single" w:sz="4" w:space="0" w:color="auto"/>
              <w:left w:val="single" w:sz="4" w:space="0" w:color="auto"/>
              <w:bottom w:val="single" w:sz="4" w:space="0" w:color="auto"/>
              <w:right w:val="single" w:sz="4" w:space="0" w:color="auto"/>
            </w:tcBorders>
            <w:vAlign w:val="center"/>
          </w:tcPr>
          <w:p w14:paraId="1751EBA7" w14:textId="77777777" w:rsidR="00F76A63" w:rsidRDefault="00000000">
            <w:pPr>
              <w:jc w:val="center"/>
              <w:rPr>
                <w:bCs/>
              </w:rPr>
            </w:pPr>
            <w:r>
              <w:rPr>
                <w:szCs w:val="21"/>
              </w:rPr>
              <w:t>0.0518</w:t>
            </w:r>
          </w:p>
        </w:tc>
        <w:tc>
          <w:tcPr>
            <w:tcW w:w="1324" w:type="dxa"/>
            <w:tcBorders>
              <w:top w:val="single" w:sz="4" w:space="0" w:color="auto"/>
              <w:left w:val="single" w:sz="4" w:space="0" w:color="auto"/>
              <w:bottom w:val="single" w:sz="4" w:space="0" w:color="auto"/>
              <w:right w:val="single" w:sz="8" w:space="0" w:color="auto"/>
            </w:tcBorders>
            <w:vAlign w:val="center"/>
          </w:tcPr>
          <w:p w14:paraId="3CCA1180" w14:textId="77777777" w:rsidR="00F76A63" w:rsidRDefault="00000000">
            <w:pPr>
              <w:jc w:val="center"/>
              <w:rPr>
                <w:bCs/>
              </w:rPr>
            </w:pPr>
            <w:r>
              <w:t>-</w:t>
            </w:r>
            <w:r>
              <w:rPr>
                <w:szCs w:val="21"/>
              </w:rPr>
              <w:t>0.0056</w:t>
            </w:r>
          </w:p>
        </w:tc>
      </w:tr>
      <w:tr w:rsidR="00F76A63" w14:paraId="76C30D1E"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509F6B14"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0EDBACA5"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C7AE945" w14:textId="77777777" w:rsidR="00F76A63" w:rsidRDefault="00000000">
            <w:pPr>
              <w:jc w:val="center"/>
              <w:rPr>
                <w:bCs/>
              </w:rPr>
            </w:pPr>
            <w:r>
              <w:rPr>
                <w:bCs/>
              </w:rPr>
              <w:t>钴及其化合物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3253BFCE" w14:textId="77777777" w:rsidR="00F76A63" w:rsidRDefault="00000000">
            <w:pPr>
              <w:jc w:val="center"/>
              <w:rPr>
                <w:bCs/>
              </w:rPr>
            </w:pPr>
            <w:r>
              <w:t>0.0134</w:t>
            </w:r>
          </w:p>
        </w:tc>
        <w:tc>
          <w:tcPr>
            <w:tcW w:w="1418" w:type="dxa"/>
            <w:tcBorders>
              <w:top w:val="single" w:sz="4" w:space="0" w:color="auto"/>
              <w:left w:val="single" w:sz="4" w:space="0" w:color="auto"/>
              <w:bottom w:val="single" w:sz="4" w:space="0" w:color="auto"/>
              <w:right w:val="single" w:sz="4" w:space="0" w:color="auto"/>
            </w:tcBorders>
            <w:vAlign w:val="center"/>
          </w:tcPr>
          <w:p w14:paraId="51F1FD1A"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4B87C249"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32353D51" w14:textId="77777777" w:rsidR="00F76A63" w:rsidRDefault="00000000">
            <w:pPr>
              <w:jc w:val="center"/>
              <w:rPr>
                <w:bCs/>
              </w:rPr>
            </w:pPr>
            <w:r>
              <w:rPr>
                <w:sz w:val="22"/>
                <w:szCs w:val="22"/>
              </w:rPr>
              <w:t>0.012</w:t>
            </w:r>
          </w:p>
        </w:tc>
        <w:tc>
          <w:tcPr>
            <w:tcW w:w="1761" w:type="dxa"/>
            <w:tcBorders>
              <w:top w:val="single" w:sz="4" w:space="0" w:color="auto"/>
              <w:left w:val="single" w:sz="4" w:space="0" w:color="auto"/>
              <w:bottom w:val="single" w:sz="4" w:space="0" w:color="auto"/>
              <w:right w:val="single" w:sz="4" w:space="0" w:color="auto"/>
            </w:tcBorders>
            <w:vAlign w:val="center"/>
          </w:tcPr>
          <w:p w14:paraId="3F7E1B40" w14:textId="77777777" w:rsidR="00F76A63" w:rsidRDefault="00000000">
            <w:pPr>
              <w:jc w:val="center"/>
              <w:rPr>
                <w:bCs/>
              </w:rPr>
            </w:pPr>
            <w:r>
              <w:t>0.0134</w:t>
            </w:r>
          </w:p>
        </w:tc>
        <w:tc>
          <w:tcPr>
            <w:tcW w:w="1890" w:type="dxa"/>
            <w:tcBorders>
              <w:top w:val="single" w:sz="4" w:space="0" w:color="auto"/>
              <w:left w:val="single" w:sz="4" w:space="0" w:color="auto"/>
              <w:bottom w:val="single" w:sz="4" w:space="0" w:color="auto"/>
              <w:right w:val="single" w:sz="4" w:space="0" w:color="auto"/>
            </w:tcBorders>
            <w:vAlign w:val="center"/>
          </w:tcPr>
          <w:p w14:paraId="63E84362" w14:textId="77777777" w:rsidR="00F76A63" w:rsidRDefault="00000000">
            <w:pPr>
              <w:jc w:val="center"/>
              <w:rPr>
                <w:bCs/>
              </w:rPr>
            </w:pPr>
            <w:r>
              <w:rPr>
                <w:szCs w:val="21"/>
              </w:rPr>
              <w:t>0.012</w:t>
            </w:r>
          </w:p>
        </w:tc>
        <w:tc>
          <w:tcPr>
            <w:tcW w:w="1324" w:type="dxa"/>
            <w:tcBorders>
              <w:top w:val="single" w:sz="4" w:space="0" w:color="auto"/>
              <w:left w:val="single" w:sz="4" w:space="0" w:color="auto"/>
              <w:bottom w:val="single" w:sz="4" w:space="0" w:color="auto"/>
              <w:right w:val="single" w:sz="8" w:space="0" w:color="auto"/>
            </w:tcBorders>
            <w:vAlign w:val="center"/>
          </w:tcPr>
          <w:p w14:paraId="606DFE56" w14:textId="77777777" w:rsidR="00F76A63" w:rsidRDefault="00000000">
            <w:pPr>
              <w:jc w:val="center"/>
              <w:rPr>
                <w:bCs/>
              </w:rPr>
            </w:pPr>
            <w:r>
              <w:t>-</w:t>
            </w:r>
            <w:r>
              <w:rPr>
                <w:szCs w:val="21"/>
              </w:rPr>
              <w:t>0.0014</w:t>
            </w:r>
          </w:p>
        </w:tc>
      </w:tr>
      <w:tr w:rsidR="00F76A63" w14:paraId="15AD58A4"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33DB3CF9"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7CBEE6B5"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42A5AE2E" w14:textId="77777777" w:rsidR="00F76A63" w:rsidRDefault="00000000">
            <w:pPr>
              <w:jc w:val="center"/>
              <w:rPr>
                <w:bCs/>
              </w:rPr>
            </w:pPr>
            <w:r>
              <w:rPr>
                <w:bCs/>
              </w:rPr>
              <w:t>锌及其化合物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6918016F" w14:textId="77777777" w:rsidR="00F76A63" w:rsidRDefault="00000000">
            <w:pPr>
              <w:jc w:val="center"/>
              <w:rPr>
                <w:bCs/>
              </w:rPr>
            </w:pPr>
            <w:r>
              <w:t>0.1406</w:t>
            </w:r>
          </w:p>
        </w:tc>
        <w:tc>
          <w:tcPr>
            <w:tcW w:w="1418" w:type="dxa"/>
            <w:tcBorders>
              <w:top w:val="single" w:sz="4" w:space="0" w:color="auto"/>
              <w:left w:val="single" w:sz="4" w:space="0" w:color="auto"/>
              <w:bottom w:val="single" w:sz="4" w:space="0" w:color="auto"/>
              <w:right w:val="single" w:sz="4" w:space="0" w:color="auto"/>
            </w:tcBorders>
            <w:vAlign w:val="center"/>
          </w:tcPr>
          <w:p w14:paraId="58FC00A6"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56B1CDC6"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7E300D3A" w14:textId="77777777" w:rsidR="00F76A63" w:rsidRDefault="00000000">
            <w:pPr>
              <w:jc w:val="center"/>
              <w:rPr>
                <w:bCs/>
              </w:rPr>
            </w:pPr>
            <w:r>
              <w:rPr>
                <w:sz w:val="22"/>
                <w:szCs w:val="22"/>
              </w:rPr>
              <w:t>0.1342</w:t>
            </w:r>
          </w:p>
        </w:tc>
        <w:tc>
          <w:tcPr>
            <w:tcW w:w="1761" w:type="dxa"/>
            <w:tcBorders>
              <w:top w:val="single" w:sz="4" w:space="0" w:color="auto"/>
              <w:left w:val="single" w:sz="4" w:space="0" w:color="auto"/>
              <w:bottom w:val="single" w:sz="4" w:space="0" w:color="auto"/>
              <w:right w:val="single" w:sz="4" w:space="0" w:color="auto"/>
            </w:tcBorders>
            <w:vAlign w:val="center"/>
          </w:tcPr>
          <w:p w14:paraId="14786448" w14:textId="77777777" w:rsidR="00F76A63" w:rsidRDefault="00000000">
            <w:pPr>
              <w:jc w:val="center"/>
              <w:rPr>
                <w:bCs/>
              </w:rPr>
            </w:pPr>
            <w:r>
              <w:t>0.1406</w:t>
            </w:r>
          </w:p>
        </w:tc>
        <w:tc>
          <w:tcPr>
            <w:tcW w:w="1890" w:type="dxa"/>
            <w:tcBorders>
              <w:top w:val="single" w:sz="4" w:space="0" w:color="auto"/>
              <w:left w:val="single" w:sz="4" w:space="0" w:color="auto"/>
              <w:bottom w:val="single" w:sz="4" w:space="0" w:color="auto"/>
              <w:right w:val="single" w:sz="4" w:space="0" w:color="auto"/>
            </w:tcBorders>
            <w:vAlign w:val="center"/>
          </w:tcPr>
          <w:p w14:paraId="69ABDB85" w14:textId="77777777" w:rsidR="00F76A63" w:rsidRDefault="00000000">
            <w:pPr>
              <w:jc w:val="center"/>
              <w:rPr>
                <w:bCs/>
              </w:rPr>
            </w:pPr>
            <w:r>
              <w:rPr>
                <w:szCs w:val="21"/>
              </w:rPr>
              <w:t>0.1342</w:t>
            </w:r>
          </w:p>
        </w:tc>
        <w:tc>
          <w:tcPr>
            <w:tcW w:w="1324" w:type="dxa"/>
            <w:tcBorders>
              <w:top w:val="single" w:sz="4" w:space="0" w:color="auto"/>
              <w:left w:val="single" w:sz="4" w:space="0" w:color="auto"/>
              <w:bottom w:val="single" w:sz="4" w:space="0" w:color="auto"/>
              <w:right w:val="single" w:sz="8" w:space="0" w:color="auto"/>
            </w:tcBorders>
            <w:vAlign w:val="center"/>
          </w:tcPr>
          <w:p w14:paraId="01117475" w14:textId="77777777" w:rsidR="00F76A63" w:rsidRDefault="00000000">
            <w:pPr>
              <w:jc w:val="center"/>
              <w:rPr>
                <w:bCs/>
              </w:rPr>
            </w:pPr>
            <w:r>
              <w:t>-</w:t>
            </w:r>
            <w:r>
              <w:rPr>
                <w:szCs w:val="21"/>
              </w:rPr>
              <w:t>0.0064</w:t>
            </w:r>
          </w:p>
        </w:tc>
      </w:tr>
      <w:tr w:rsidR="00F76A63" w14:paraId="31EAE014"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362E3E88"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2721BA2B"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53EFBBD1" w14:textId="77777777" w:rsidR="00F76A63" w:rsidRDefault="00000000">
            <w:pPr>
              <w:jc w:val="center"/>
              <w:rPr>
                <w:bCs/>
              </w:rPr>
            </w:pPr>
            <w:r>
              <w:rPr>
                <w:bCs/>
              </w:rPr>
              <w:t>钼及其化合物</w:t>
            </w:r>
          </w:p>
        </w:tc>
        <w:tc>
          <w:tcPr>
            <w:tcW w:w="1701" w:type="dxa"/>
            <w:tcBorders>
              <w:top w:val="single" w:sz="4" w:space="0" w:color="auto"/>
              <w:left w:val="single" w:sz="4" w:space="0" w:color="auto"/>
              <w:bottom w:val="single" w:sz="4" w:space="0" w:color="auto"/>
              <w:right w:val="single" w:sz="4" w:space="0" w:color="auto"/>
            </w:tcBorders>
            <w:vAlign w:val="center"/>
          </w:tcPr>
          <w:p w14:paraId="2F05239C" w14:textId="77777777" w:rsidR="00F76A63" w:rsidRDefault="00000000">
            <w:pPr>
              <w:jc w:val="center"/>
              <w:rPr>
                <w:bCs/>
              </w:rPr>
            </w:pPr>
            <w:r>
              <w:t>0.0171</w:t>
            </w:r>
          </w:p>
        </w:tc>
        <w:tc>
          <w:tcPr>
            <w:tcW w:w="1418" w:type="dxa"/>
            <w:tcBorders>
              <w:top w:val="single" w:sz="4" w:space="0" w:color="auto"/>
              <w:left w:val="single" w:sz="4" w:space="0" w:color="auto"/>
              <w:bottom w:val="single" w:sz="4" w:space="0" w:color="auto"/>
              <w:right w:val="single" w:sz="4" w:space="0" w:color="auto"/>
            </w:tcBorders>
            <w:vAlign w:val="center"/>
          </w:tcPr>
          <w:p w14:paraId="7333D39D"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264A13DD"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02E8D96F" w14:textId="77777777" w:rsidR="00F76A63" w:rsidRDefault="00000000">
            <w:pPr>
              <w:jc w:val="center"/>
              <w:rPr>
                <w:bCs/>
              </w:rPr>
            </w:pPr>
            <w:r>
              <w:rPr>
                <w:sz w:val="22"/>
                <w:szCs w:val="22"/>
              </w:rPr>
              <w:t>0.0154</w:t>
            </w:r>
          </w:p>
        </w:tc>
        <w:tc>
          <w:tcPr>
            <w:tcW w:w="1761" w:type="dxa"/>
            <w:tcBorders>
              <w:top w:val="single" w:sz="4" w:space="0" w:color="auto"/>
              <w:left w:val="single" w:sz="4" w:space="0" w:color="auto"/>
              <w:bottom w:val="single" w:sz="4" w:space="0" w:color="auto"/>
              <w:right w:val="single" w:sz="4" w:space="0" w:color="auto"/>
            </w:tcBorders>
            <w:vAlign w:val="center"/>
          </w:tcPr>
          <w:p w14:paraId="39EA2A20" w14:textId="77777777" w:rsidR="00F76A63" w:rsidRDefault="00000000">
            <w:pPr>
              <w:jc w:val="center"/>
              <w:rPr>
                <w:bCs/>
              </w:rPr>
            </w:pPr>
            <w:r>
              <w:t>0.0171</w:t>
            </w:r>
          </w:p>
        </w:tc>
        <w:tc>
          <w:tcPr>
            <w:tcW w:w="1890" w:type="dxa"/>
            <w:tcBorders>
              <w:top w:val="single" w:sz="4" w:space="0" w:color="auto"/>
              <w:left w:val="single" w:sz="4" w:space="0" w:color="auto"/>
              <w:bottom w:val="single" w:sz="4" w:space="0" w:color="auto"/>
              <w:right w:val="single" w:sz="4" w:space="0" w:color="auto"/>
            </w:tcBorders>
            <w:vAlign w:val="center"/>
          </w:tcPr>
          <w:p w14:paraId="675EED4F" w14:textId="77777777" w:rsidR="00F76A63" w:rsidRDefault="00000000">
            <w:pPr>
              <w:jc w:val="center"/>
              <w:rPr>
                <w:bCs/>
              </w:rPr>
            </w:pPr>
            <w:r>
              <w:rPr>
                <w:szCs w:val="21"/>
              </w:rPr>
              <w:t>0.0154</w:t>
            </w:r>
          </w:p>
        </w:tc>
        <w:tc>
          <w:tcPr>
            <w:tcW w:w="1324" w:type="dxa"/>
            <w:tcBorders>
              <w:top w:val="single" w:sz="4" w:space="0" w:color="auto"/>
              <w:left w:val="single" w:sz="4" w:space="0" w:color="auto"/>
              <w:bottom w:val="single" w:sz="4" w:space="0" w:color="auto"/>
              <w:right w:val="single" w:sz="8" w:space="0" w:color="auto"/>
            </w:tcBorders>
            <w:vAlign w:val="center"/>
          </w:tcPr>
          <w:p w14:paraId="3FC2DED1" w14:textId="77777777" w:rsidR="00F76A63" w:rsidRDefault="00000000">
            <w:pPr>
              <w:jc w:val="center"/>
              <w:rPr>
                <w:bCs/>
              </w:rPr>
            </w:pPr>
            <w:r>
              <w:t>-</w:t>
            </w:r>
            <w:r>
              <w:rPr>
                <w:szCs w:val="21"/>
              </w:rPr>
              <w:t>0.0017</w:t>
            </w:r>
          </w:p>
        </w:tc>
      </w:tr>
      <w:tr w:rsidR="00F76A63" w14:paraId="7D878946"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1AA3252D"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7FD5F4E1"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4E204B28" w14:textId="77777777" w:rsidR="00F76A63" w:rsidRDefault="00000000">
            <w:pPr>
              <w:jc w:val="center"/>
              <w:rPr>
                <w:bCs/>
              </w:rPr>
            </w:pPr>
            <w:r>
              <w:rPr>
                <w:bCs/>
              </w:rPr>
              <w:t>Tl+Cd+Pb+As</w:t>
            </w:r>
          </w:p>
        </w:tc>
        <w:tc>
          <w:tcPr>
            <w:tcW w:w="1701" w:type="dxa"/>
            <w:tcBorders>
              <w:top w:val="single" w:sz="4" w:space="0" w:color="auto"/>
              <w:left w:val="single" w:sz="4" w:space="0" w:color="auto"/>
              <w:bottom w:val="single" w:sz="4" w:space="0" w:color="auto"/>
              <w:right w:val="single" w:sz="4" w:space="0" w:color="auto"/>
            </w:tcBorders>
            <w:vAlign w:val="center"/>
          </w:tcPr>
          <w:p w14:paraId="47F01B44" w14:textId="77777777" w:rsidR="00F76A63" w:rsidRDefault="00000000">
            <w:pPr>
              <w:jc w:val="center"/>
              <w:rPr>
                <w:bCs/>
              </w:rPr>
            </w:pPr>
            <w:r>
              <w:t>0.3258</w:t>
            </w:r>
          </w:p>
        </w:tc>
        <w:tc>
          <w:tcPr>
            <w:tcW w:w="1418" w:type="dxa"/>
            <w:tcBorders>
              <w:top w:val="single" w:sz="4" w:space="0" w:color="auto"/>
              <w:left w:val="single" w:sz="4" w:space="0" w:color="auto"/>
              <w:bottom w:val="single" w:sz="4" w:space="0" w:color="auto"/>
              <w:right w:val="single" w:sz="4" w:space="0" w:color="auto"/>
            </w:tcBorders>
            <w:vAlign w:val="center"/>
          </w:tcPr>
          <w:p w14:paraId="6152E275" w14:textId="77777777" w:rsidR="00F76A63" w:rsidRDefault="00000000">
            <w:pPr>
              <w:jc w:val="center"/>
            </w:pPr>
            <w:r>
              <w:t>1.0mg/Nm</w:t>
            </w:r>
            <w:r>
              <w:rPr>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tcPr>
          <w:p w14:paraId="43C68BC7"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32ED3300" w14:textId="77777777" w:rsidR="00F76A63" w:rsidRDefault="00000000">
            <w:pPr>
              <w:jc w:val="center"/>
              <w:rPr>
                <w:bCs/>
              </w:rPr>
            </w:pPr>
            <w:r>
              <w:rPr>
                <w:sz w:val="22"/>
                <w:szCs w:val="22"/>
              </w:rPr>
              <w:t>0.4485</w:t>
            </w:r>
          </w:p>
        </w:tc>
        <w:tc>
          <w:tcPr>
            <w:tcW w:w="1761" w:type="dxa"/>
            <w:tcBorders>
              <w:top w:val="single" w:sz="4" w:space="0" w:color="auto"/>
              <w:left w:val="single" w:sz="4" w:space="0" w:color="auto"/>
              <w:bottom w:val="single" w:sz="4" w:space="0" w:color="auto"/>
              <w:right w:val="single" w:sz="4" w:space="0" w:color="auto"/>
            </w:tcBorders>
            <w:vAlign w:val="center"/>
          </w:tcPr>
          <w:p w14:paraId="50CA5B72" w14:textId="77777777" w:rsidR="00F76A63" w:rsidRDefault="00000000">
            <w:pPr>
              <w:jc w:val="center"/>
              <w:rPr>
                <w:bCs/>
              </w:rPr>
            </w:pPr>
            <w:r>
              <w:t>0.3258</w:t>
            </w:r>
          </w:p>
        </w:tc>
        <w:tc>
          <w:tcPr>
            <w:tcW w:w="1890" w:type="dxa"/>
            <w:tcBorders>
              <w:top w:val="single" w:sz="4" w:space="0" w:color="auto"/>
              <w:left w:val="single" w:sz="4" w:space="0" w:color="auto"/>
              <w:bottom w:val="single" w:sz="4" w:space="0" w:color="auto"/>
              <w:right w:val="single" w:sz="4" w:space="0" w:color="auto"/>
            </w:tcBorders>
            <w:vAlign w:val="center"/>
          </w:tcPr>
          <w:p w14:paraId="7E22F316" w14:textId="77777777" w:rsidR="00F76A63" w:rsidRDefault="00000000">
            <w:pPr>
              <w:jc w:val="center"/>
              <w:rPr>
                <w:bCs/>
              </w:rPr>
            </w:pPr>
            <w:r>
              <w:rPr>
                <w:szCs w:val="21"/>
              </w:rPr>
              <w:t>0.4485</w:t>
            </w:r>
          </w:p>
        </w:tc>
        <w:tc>
          <w:tcPr>
            <w:tcW w:w="1324" w:type="dxa"/>
            <w:tcBorders>
              <w:top w:val="single" w:sz="4" w:space="0" w:color="auto"/>
              <w:left w:val="single" w:sz="4" w:space="0" w:color="auto"/>
              <w:bottom w:val="single" w:sz="4" w:space="0" w:color="auto"/>
              <w:right w:val="single" w:sz="8" w:space="0" w:color="auto"/>
            </w:tcBorders>
            <w:vAlign w:val="center"/>
          </w:tcPr>
          <w:p w14:paraId="1DD4888F" w14:textId="77777777" w:rsidR="00F76A63" w:rsidRDefault="00000000">
            <w:pPr>
              <w:jc w:val="center"/>
              <w:rPr>
                <w:bCs/>
              </w:rPr>
            </w:pPr>
            <w:r>
              <w:t>+</w:t>
            </w:r>
            <w:r>
              <w:rPr>
                <w:szCs w:val="21"/>
              </w:rPr>
              <w:t>0.1227</w:t>
            </w:r>
          </w:p>
        </w:tc>
      </w:tr>
      <w:tr w:rsidR="00F76A63" w14:paraId="732FE62B"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53AA2C87"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427B18AD"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076E7254" w14:textId="77777777" w:rsidR="00F76A63" w:rsidRDefault="00000000">
            <w:pPr>
              <w:jc w:val="center"/>
              <w:rPr>
                <w:bCs/>
              </w:rPr>
            </w:pPr>
            <w:r>
              <w:rPr>
                <w:bCs/>
              </w:rPr>
              <w:t>Be+Cr+Sn+Sb+Cu+</w:t>
            </w:r>
          </w:p>
          <w:p w14:paraId="3324ACF3" w14:textId="77777777" w:rsidR="00F76A63" w:rsidRDefault="00000000">
            <w:pPr>
              <w:jc w:val="center"/>
              <w:rPr>
                <w:bCs/>
              </w:rPr>
            </w:pPr>
            <w:r>
              <w:rPr>
                <w:bCs/>
              </w:rPr>
              <w:t>Co+Mn+Ni+V</w:t>
            </w:r>
          </w:p>
        </w:tc>
        <w:tc>
          <w:tcPr>
            <w:tcW w:w="1701" w:type="dxa"/>
            <w:tcBorders>
              <w:top w:val="single" w:sz="4" w:space="0" w:color="auto"/>
              <w:left w:val="single" w:sz="4" w:space="0" w:color="auto"/>
              <w:bottom w:val="single" w:sz="4" w:space="0" w:color="auto"/>
              <w:right w:val="single" w:sz="4" w:space="0" w:color="auto"/>
            </w:tcBorders>
            <w:vAlign w:val="center"/>
          </w:tcPr>
          <w:p w14:paraId="210BB51B" w14:textId="77777777" w:rsidR="00F76A63" w:rsidRDefault="00000000">
            <w:pPr>
              <w:jc w:val="center"/>
              <w:rPr>
                <w:bCs/>
              </w:rPr>
            </w:pPr>
            <w:r>
              <w:t>0.6232</w:t>
            </w:r>
          </w:p>
        </w:tc>
        <w:tc>
          <w:tcPr>
            <w:tcW w:w="1418" w:type="dxa"/>
            <w:tcBorders>
              <w:top w:val="single" w:sz="4" w:space="0" w:color="auto"/>
              <w:left w:val="single" w:sz="4" w:space="0" w:color="auto"/>
              <w:bottom w:val="single" w:sz="4" w:space="0" w:color="auto"/>
              <w:right w:val="single" w:sz="4" w:space="0" w:color="auto"/>
            </w:tcBorders>
            <w:vAlign w:val="center"/>
          </w:tcPr>
          <w:p w14:paraId="592F8394" w14:textId="77777777" w:rsidR="00F76A63" w:rsidRDefault="00000000">
            <w:pPr>
              <w:jc w:val="center"/>
              <w:rPr>
                <w:bCs/>
              </w:rPr>
            </w:pPr>
            <w:r>
              <w:t>0.5mg/Nm</w:t>
            </w:r>
            <w:r>
              <w:rPr>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tcPr>
          <w:p w14:paraId="0ED7BC81"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05675E62" w14:textId="77777777" w:rsidR="00F76A63" w:rsidRDefault="00000000">
            <w:pPr>
              <w:jc w:val="center"/>
              <w:rPr>
                <w:bCs/>
              </w:rPr>
            </w:pPr>
            <w:r>
              <w:rPr>
                <w:sz w:val="22"/>
                <w:szCs w:val="22"/>
              </w:rPr>
              <w:t>0.4393</w:t>
            </w:r>
          </w:p>
        </w:tc>
        <w:tc>
          <w:tcPr>
            <w:tcW w:w="1761" w:type="dxa"/>
            <w:tcBorders>
              <w:top w:val="single" w:sz="4" w:space="0" w:color="auto"/>
              <w:left w:val="single" w:sz="4" w:space="0" w:color="auto"/>
              <w:bottom w:val="single" w:sz="4" w:space="0" w:color="auto"/>
              <w:right w:val="single" w:sz="4" w:space="0" w:color="auto"/>
            </w:tcBorders>
            <w:vAlign w:val="center"/>
          </w:tcPr>
          <w:p w14:paraId="699C8DF2" w14:textId="77777777" w:rsidR="00F76A63" w:rsidRDefault="00000000">
            <w:pPr>
              <w:jc w:val="center"/>
              <w:rPr>
                <w:bCs/>
              </w:rPr>
            </w:pPr>
            <w:r>
              <w:t>0.6232</w:t>
            </w:r>
          </w:p>
        </w:tc>
        <w:tc>
          <w:tcPr>
            <w:tcW w:w="1890" w:type="dxa"/>
            <w:tcBorders>
              <w:top w:val="single" w:sz="4" w:space="0" w:color="auto"/>
              <w:left w:val="single" w:sz="4" w:space="0" w:color="auto"/>
              <w:bottom w:val="single" w:sz="4" w:space="0" w:color="auto"/>
              <w:right w:val="single" w:sz="4" w:space="0" w:color="auto"/>
            </w:tcBorders>
            <w:vAlign w:val="center"/>
          </w:tcPr>
          <w:p w14:paraId="35FE6D88" w14:textId="77777777" w:rsidR="00F76A63" w:rsidRDefault="00000000">
            <w:pPr>
              <w:jc w:val="center"/>
              <w:rPr>
                <w:bCs/>
              </w:rPr>
            </w:pPr>
            <w:r>
              <w:rPr>
                <w:szCs w:val="21"/>
              </w:rPr>
              <w:t>0.4393</w:t>
            </w:r>
          </w:p>
        </w:tc>
        <w:tc>
          <w:tcPr>
            <w:tcW w:w="1324" w:type="dxa"/>
            <w:tcBorders>
              <w:top w:val="single" w:sz="4" w:space="0" w:color="auto"/>
              <w:left w:val="single" w:sz="4" w:space="0" w:color="auto"/>
              <w:bottom w:val="single" w:sz="4" w:space="0" w:color="auto"/>
              <w:right w:val="single" w:sz="8" w:space="0" w:color="auto"/>
            </w:tcBorders>
            <w:vAlign w:val="center"/>
          </w:tcPr>
          <w:p w14:paraId="7CBCD477" w14:textId="77777777" w:rsidR="00F76A63" w:rsidRDefault="00000000">
            <w:pPr>
              <w:jc w:val="center"/>
              <w:rPr>
                <w:bCs/>
              </w:rPr>
            </w:pPr>
            <w:r>
              <w:t>-</w:t>
            </w:r>
            <w:r>
              <w:rPr>
                <w:szCs w:val="21"/>
              </w:rPr>
              <w:t>0.1839</w:t>
            </w:r>
          </w:p>
        </w:tc>
      </w:tr>
      <w:tr w:rsidR="00F76A63" w14:paraId="00F2BCA3"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0F9DF317"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39836963"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016EBF01" w14:textId="77777777" w:rsidR="00F76A63" w:rsidRDefault="00000000">
            <w:pPr>
              <w:jc w:val="center"/>
              <w:rPr>
                <w:bCs/>
              </w:rPr>
            </w:pPr>
            <w:r>
              <w:rPr>
                <w:bCs/>
              </w:rPr>
              <w:t>二噁英（</w:t>
            </w:r>
            <w:r>
              <w:rPr>
                <w:bCs/>
              </w:rPr>
              <w:t>mgTEQ/a</w:t>
            </w:r>
            <w:r>
              <w:rPr>
                <w:bCs/>
              </w:rPr>
              <w:t>）</w:t>
            </w:r>
          </w:p>
        </w:tc>
        <w:tc>
          <w:tcPr>
            <w:tcW w:w="1701" w:type="dxa"/>
            <w:tcBorders>
              <w:top w:val="single" w:sz="4" w:space="0" w:color="auto"/>
              <w:left w:val="single" w:sz="4" w:space="0" w:color="auto"/>
              <w:bottom w:val="single" w:sz="4" w:space="0" w:color="auto"/>
              <w:right w:val="single" w:sz="4" w:space="0" w:color="auto"/>
            </w:tcBorders>
            <w:vAlign w:val="center"/>
          </w:tcPr>
          <w:p w14:paraId="10A23A25" w14:textId="77777777" w:rsidR="00F76A63" w:rsidRDefault="00000000">
            <w:pPr>
              <w:jc w:val="center"/>
              <w:rPr>
                <w:bCs/>
              </w:rPr>
            </w:pPr>
            <w:r>
              <w:t>985</w:t>
            </w:r>
          </w:p>
        </w:tc>
        <w:tc>
          <w:tcPr>
            <w:tcW w:w="1418" w:type="dxa"/>
            <w:tcBorders>
              <w:top w:val="single" w:sz="4" w:space="0" w:color="auto"/>
              <w:left w:val="single" w:sz="4" w:space="0" w:color="auto"/>
              <w:bottom w:val="single" w:sz="4" w:space="0" w:color="auto"/>
              <w:right w:val="single" w:sz="4" w:space="0" w:color="auto"/>
            </w:tcBorders>
            <w:vAlign w:val="center"/>
          </w:tcPr>
          <w:p w14:paraId="3A9D5A6F" w14:textId="77777777" w:rsidR="00F76A63" w:rsidRDefault="00000000">
            <w:pPr>
              <w:jc w:val="center"/>
              <w:rPr>
                <w:bCs/>
              </w:rPr>
            </w:pPr>
            <w:r>
              <w:t>0.1ng-TEQ/m</w:t>
            </w:r>
            <w:r>
              <w:rPr>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tcPr>
          <w:p w14:paraId="41A3341F"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2D1358B0" w14:textId="77777777" w:rsidR="00F76A63" w:rsidRDefault="00000000">
            <w:pPr>
              <w:jc w:val="center"/>
              <w:rPr>
                <w:bCs/>
              </w:rPr>
            </w:pPr>
            <w:r>
              <w:rPr>
                <w:sz w:val="22"/>
                <w:szCs w:val="22"/>
              </w:rPr>
              <w:t>985</w:t>
            </w:r>
          </w:p>
        </w:tc>
        <w:tc>
          <w:tcPr>
            <w:tcW w:w="1761" w:type="dxa"/>
            <w:tcBorders>
              <w:top w:val="single" w:sz="4" w:space="0" w:color="auto"/>
              <w:left w:val="single" w:sz="4" w:space="0" w:color="auto"/>
              <w:bottom w:val="single" w:sz="4" w:space="0" w:color="auto"/>
              <w:right w:val="single" w:sz="4" w:space="0" w:color="auto"/>
            </w:tcBorders>
            <w:vAlign w:val="center"/>
          </w:tcPr>
          <w:p w14:paraId="5A3E2018" w14:textId="77777777" w:rsidR="00F76A63" w:rsidRDefault="00000000">
            <w:pPr>
              <w:jc w:val="center"/>
              <w:rPr>
                <w:bCs/>
              </w:rPr>
            </w:pPr>
            <w:r>
              <w:t>985</w:t>
            </w:r>
          </w:p>
        </w:tc>
        <w:tc>
          <w:tcPr>
            <w:tcW w:w="1890" w:type="dxa"/>
            <w:tcBorders>
              <w:top w:val="single" w:sz="4" w:space="0" w:color="auto"/>
              <w:left w:val="single" w:sz="4" w:space="0" w:color="auto"/>
              <w:bottom w:val="single" w:sz="4" w:space="0" w:color="auto"/>
              <w:right w:val="single" w:sz="4" w:space="0" w:color="auto"/>
            </w:tcBorders>
            <w:vAlign w:val="center"/>
          </w:tcPr>
          <w:p w14:paraId="1C620F7D" w14:textId="77777777" w:rsidR="00F76A63" w:rsidRDefault="00000000">
            <w:pPr>
              <w:jc w:val="center"/>
              <w:rPr>
                <w:bCs/>
              </w:rPr>
            </w:pPr>
            <w:r>
              <w:t>985</w:t>
            </w:r>
          </w:p>
        </w:tc>
        <w:tc>
          <w:tcPr>
            <w:tcW w:w="1324" w:type="dxa"/>
            <w:tcBorders>
              <w:top w:val="single" w:sz="4" w:space="0" w:color="auto"/>
              <w:left w:val="single" w:sz="4" w:space="0" w:color="auto"/>
              <w:bottom w:val="single" w:sz="4" w:space="0" w:color="auto"/>
              <w:right w:val="single" w:sz="8" w:space="0" w:color="auto"/>
            </w:tcBorders>
            <w:vAlign w:val="center"/>
          </w:tcPr>
          <w:p w14:paraId="78F8EEEC" w14:textId="77777777" w:rsidR="00F76A63" w:rsidRDefault="00000000">
            <w:pPr>
              <w:jc w:val="center"/>
              <w:rPr>
                <w:bCs/>
              </w:rPr>
            </w:pPr>
            <w:r>
              <w:rPr>
                <w:bCs/>
              </w:rPr>
              <w:t>0</w:t>
            </w:r>
          </w:p>
        </w:tc>
      </w:tr>
      <w:tr w:rsidR="00F76A63" w14:paraId="2E9DFB10"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7B3B7814" w14:textId="77777777" w:rsidR="00F76A63" w:rsidRDefault="00F76A63">
            <w:pPr>
              <w:jc w:val="center"/>
              <w:rPr>
                <w:b/>
                <w:bCs/>
              </w:rPr>
            </w:pPr>
          </w:p>
        </w:tc>
        <w:tc>
          <w:tcPr>
            <w:tcW w:w="633" w:type="dxa"/>
            <w:vMerge w:val="restart"/>
            <w:tcBorders>
              <w:top w:val="single" w:sz="4" w:space="0" w:color="auto"/>
              <w:left w:val="single" w:sz="4" w:space="0" w:color="auto"/>
              <w:bottom w:val="single" w:sz="4" w:space="0" w:color="auto"/>
              <w:right w:val="single" w:sz="4" w:space="0" w:color="auto"/>
            </w:tcBorders>
            <w:vAlign w:val="center"/>
          </w:tcPr>
          <w:p w14:paraId="337A8051" w14:textId="77777777" w:rsidR="00F76A63" w:rsidRDefault="00000000">
            <w:pPr>
              <w:jc w:val="center"/>
              <w:rPr>
                <w:b/>
                <w:bCs/>
              </w:rPr>
            </w:pPr>
            <w:r>
              <w:rPr>
                <w:b/>
                <w:bCs/>
              </w:rPr>
              <w:t>无组织废气</w:t>
            </w:r>
          </w:p>
        </w:tc>
        <w:tc>
          <w:tcPr>
            <w:tcW w:w="1563" w:type="dxa"/>
            <w:tcBorders>
              <w:top w:val="single" w:sz="4" w:space="0" w:color="auto"/>
              <w:left w:val="single" w:sz="4" w:space="0" w:color="auto"/>
              <w:bottom w:val="single" w:sz="4" w:space="0" w:color="auto"/>
              <w:right w:val="single" w:sz="4" w:space="0" w:color="auto"/>
            </w:tcBorders>
            <w:vAlign w:val="center"/>
          </w:tcPr>
          <w:p w14:paraId="7D997BC3" w14:textId="77777777" w:rsidR="00F76A63" w:rsidRDefault="00000000">
            <w:pPr>
              <w:jc w:val="center"/>
              <w:rPr>
                <w:bCs/>
              </w:rPr>
            </w:pPr>
            <w:r>
              <w:rPr>
                <w:bCs/>
              </w:rPr>
              <w:t>颗粒物</w:t>
            </w:r>
          </w:p>
        </w:tc>
        <w:tc>
          <w:tcPr>
            <w:tcW w:w="1701" w:type="dxa"/>
            <w:tcBorders>
              <w:top w:val="single" w:sz="4" w:space="0" w:color="auto"/>
              <w:left w:val="single" w:sz="4" w:space="0" w:color="auto"/>
              <w:bottom w:val="single" w:sz="4" w:space="0" w:color="auto"/>
              <w:right w:val="single" w:sz="4" w:space="0" w:color="auto"/>
            </w:tcBorders>
            <w:vAlign w:val="center"/>
          </w:tcPr>
          <w:p w14:paraId="042DEDF7" w14:textId="77777777" w:rsidR="00F76A63" w:rsidRDefault="00000000">
            <w:pPr>
              <w:jc w:val="center"/>
              <w:rPr>
                <w:bCs/>
              </w:rPr>
            </w:pPr>
            <w:r>
              <w:t>1.2</w:t>
            </w:r>
          </w:p>
        </w:tc>
        <w:tc>
          <w:tcPr>
            <w:tcW w:w="1418" w:type="dxa"/>
            <w:tcBorders>
              <w:top w:val="single" w:sz="4" w:space="0" w:color="auto"/>
              <w:left w:val="single" w:sz="4" w:space="0" w:color="auto"/>
              <w:bottom w:val="single" w:sz="4" w:space="0" w:color="auto"/>
              <w:right w:val="single" w:sz="4" w:space="0" w:color="auto"/>
            </w:tcBorders>
            <w:vAlign w:val="center"/>
          </w:tcPr>
          <w:p w14:paraId="710ED599"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6125499D"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6E85EFC3"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234C02FA"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361B0378" w14:textId="77777777" w:rsidR="00F76A63" w:rsidRDefault="00000000">
            <w:pPr>
              <w:jc w:val="center"/>
              <w:rPr>
                <w:bCs/>
              </w:rPr>
            </w:pPr>
            <w:r>
              <w:rPr>
                <w:bCs/>
              </w:rPr>
              <w:t>0.885</w:t>
            </w:r>
          </w:p>
        </w:tc>
        <w:tc>
          <w:tcPr>
            <w:tcW w:w="1324" w:type="dxa"/>
            <w:tcBorders>
              <w:top w:val="single" w:sz="4" w:space="0" w:color="auto"/>
              <w:left w:val="single" w:sz="4" w:space="0" w:color="auto"/>
              <w:bottom w:val="single" w:sz="4" w:space="0" w:color="auto"/>
              <w:right w:val="single" w:sz="8" w:space="0" w:color="auto"/>
            </w:tcBorders>
            <w:vAlign w:val="center"/>
          </w:tcPr>
          <w:p w14:paraId="4560D37B" w14:textId="77777777" w:rsidR="00F76A63" w:rsidRDefault="00000000">
            <w:pPr>
              <w:jc w:val="center"/>
              <w:rPr>
                <w:bCs/>
              </w:rPr>
            </w:pPr>
            <w:r>
              <w:rPr>
                <w:bCs/>
              </w:rPr>
              <w:t>+</w:t>
            </w:r>
            <w:r>
              <w:rPr>
                <w:bCs/>
                <w:szCs w:val="21"/>
              </w:rPr>
              <w:t>0.15</w:t>
            </w:r>
          </w:p>
        </w:tc>
      </w:tr>
      <w:tr w:rsidR="00F76A63" w14:paraId="43559748"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7DB5656F"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33013E3F"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51BDD884" w14:textId="77777777" w:rsidR="00F76A63" w:rsidRDefault="00000000">
            <w:pPr>
              <w:jc w:val="center"/>
              <w:rPr>
                <w:bCs/>
              </w:rPr>
            </w:pPr>
            <w:r>
              <w:rPr>
                <w:bCs/>
              </w:rPr>
              <w:t>氨</w:t>
            </w:r>
          </w:p>
        </w:tc>
        <w:tc>
          <w:tcPr>
            <w:tcW w:w="1701" w:type="dxa"/>
            <w:tcBorders>
              <w:top w:val="single" w:sz="4" w:space="0" w:color="auto"/>
              <w:left w:val="single" w:sz="4" w:space="0" w:color="auto"/>
              <w:bottom w:val="single" w:sz="4" w:space="0" w:color="auto"/>
              <w:right w:val="single" w:sz="4" w:space="0" w:color="auto"/>
            </w:tcBorders>
            <w:vAlign w:val="center"/>
          </w:tcPr>
          <w:p w14:paraId="7B2833CA" w14:textId="77777777" w:rsidR="00F76A63" w:rsidRDefault="00000000">
            <w:pPr>
              <w:jc w:val="center"/>
              <w:rPr>
                <w:bCs/>
              </w:rPr>
            </w:pPr>
            <w:r>
              <w:t>0.08</w:t>
            </w:r>
          </w:p>
        </w:tc>
        <w:tc>
          <w:tcPr>
            <w:tcW w:w="1418" w:type="dxa"/>
            <w:tcBorders>
              <w:top w:val="single" w:sz="4" w:space="0" w:color="auto"/>
              <w:left w:val="single" w:sz="4" w:space="0" w:color="auto"/>
              <w:bottom w:val="single" w:sz="4" w:space="0" w:color="auto"/>
              <w:right w:val="single" w:sz="4" w:space="0" w:color="auto"/>
            </w:tcBorders>
            <w:vAlign w:val="center"/>
          </w:tcPr>
          <w:p w14:paraId="5057C58B"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52423465"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50E0EACB"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5F9C615C"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0D4FEAAE" w14:textId="77777777" w:rsidR="00F76A63" w:rsidRDefault="00000000">
            <w:pPr>
              <w:jc w:val="center"/>
              <w:rPr>
                <w:bCs/>
              </w:rPr>
            </w:pPr>
            <w:r>
              <w:rPr>
                <w:bCs/>
              </w:rPr>
              <w:t>0.686</w:t>
            </w:r>
          </w:p>
        </w:tc>
        <w:tc>
          <w:tcPr>
            <w:tcW w:w="1324" w:type="dxa"/>
            <w:tcBorders>
              <w:top w:val="single" w:sz="4" w:space="0" w:color="auto"/>
              <w:left w:val="single" w:sz="4" w:space="0" w:color="auto"/>
              <w:bottom w:val="single" w:sz="4" w:space="0" w:color="auto"/>
              <w:right w:val="single" w:sz="8" w:space="0" w:color="auto"/>
            </w:tcBorders>
            <w:vAlign w:val="center"/>
          </w:tcPr>
          <w:p w14:paraId="4DEACA09" w14:textId="77777777" w:rsidR="00F76A63" w:rsidRDefault="00000000">
            <w:pPr>
              <w:jc w:val="center"/>
              <w:rPr>
                <w:bCs/>
              </w:rPr>
            </w:pPr>
            <w:r>
              <w:rPr>
                <w:bCs/>
              </w:rPr>
              <w:t>+</w:t>
            </w:r>
            <w:r>
              <w:rPr>
                <w:bCs/>
                <w:szCs w:val="21"/>
              </w:rPr>
              <w:t>0.606</w:t>
            </w:r>
          </w:p>
        </w:tc>
      </w:tr>
      <w:tr w:rsidR="00F76A63" w14:paraId="7E3F73DE"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45998118"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2CFA4AB0"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9101B08" w14:textId="77777777" w:rsidR="00F76A63" w:rsidRDefault="00000000">
            <w:pPr>
              <w:jc w:val="center"/>
              <w:rPr>
                <w:bCs/>
              </w:rPr>
            </w:pPr>
            <w:r>
              <w:rPr>
                <w:bCs/>
              </w:rPr>
              <w:t>硫化氢</w:t>
            </w:r>
          </w:p>
        </w:tc>
        <w:tc>
          <w:tcPr>
            <w:tcW w:w="1701" w:type="dxa"/>
            <w:tcBorders>
              <w:top w:val="single" w:sz="4" w:space="0" w:color="auto"/>
              <w:left w:val="single" w:sz="4" w:space="0" w:color="auto"/>
              <w:bottom w:val="single" w:sz="4" w:space="0" w:color="auto"/>
              <w:right w:val="single" w:sz="4" w:space="0" w:color="auto"/>
            </w:tcBorders>
            <w:vAlign w:val="center"/>
          </w:tcPr>
          <w:p w14:paraId="19E9B443" w14:textId="77777777" w:rsidR="00F76A63" w:rsidRDefault="00000000">
            <w:pPr>
              <w:jc w:val="center"/>
              <w:rPr>
                <w:bCs/>
              </w:rPr>
            </w:pPr>
            <w:r>
              <w:t>0.032</w:t>
            </w:r>
          </w:p>
        </w:tc>
        <w:tc>
          <w:tcPr>
            <w:tcW w:w="1418" w:type="dxa"/>
            <w:tcBorders>
              <w:top w:val="single" w:sz="4" w:space="0" w:color="auto"/>
              <w:left w:val="single" w:sz="4" w:space="0" w:color="auto"/>
              <w:bottom w:val="single" w:sz="4" w:space="0" w:color="auto"/>
              <w:right w:val="single" w:sz="4" w:space="0" w:color="auto"/>
            </w:tcBorders>
            <w:vAlign w:val="center"/>
          </w:tcPr>
          <w:p w14:paraId="35B52437"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013B1C77"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53BFA379"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79EF332B"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688AF899" w14:textId="77777777" w:rsidR="00F76A63" w:rsidRDefault="00000000">
            <w:pPr>
              <w:jc w:val="center"/>
              <w:rPr>
                <w:bCs/>
              </w:rPr>
            </w:pPr>
            <w:r>
              <w:rPr>
                <w:bCs/>
              </w:rPr>
              <w:t>0.094</w:t>
            </w:r>
          </w:p>
        </w:tc>
        <w:tc>
          <w:tcPr>
            <w:tcW w:w="1324" w:type="dxa"/>
            <w:tcBorders>
              <w:top w:val="single" w:sz="4" w:space="0" w:color="auto"/>
              <w:left w:val="single" w:sz="4" w:space="0" w:color="auto"/>
              <w:bottom w:val="single" w:sz="4" w:space="0" w:color="auto"/>
              <w:right w:val="single" w:sz="8" w:space="0" w:color="auto"/>
            </w:tcBorders>
            <w:vAlign w:val="center"/>
          </w:tcPr>
          <w:p w14:paraId="366FE8B7" w14:textId="77777777" w:rsidR="00F76A63" w:rsidRDefault="00000000">
            <w:pPr>
              <w:jc w:val="center"/>
              <w:rPr>
                <w:bCs/>
              </w:rPr>
            </w:pPr>
            <w:r>
              <w:rPr>
                <w:bCs/>
              </w:rPr>
              <w:t>+</w:t>
            </w:r>
            <w:r>
              <w:rPr>
                <w:bCs/>
                <w:szCs w:val="21"/>
              </w:rPr>
              <w:t>0.062</w:t>
            </w:r>
          </w:p>
        </w:tc>
      </w:tr>
      <w:tr w:rsidR="00F76A63" w14:paraId="34AFC6AF" w14:textId="77777777">
        <w:trPr>
          <w:trHeight w:val="369"/>
          <w:jc w:val="center"/>
        </w:trPr>
        <w:tc>
          <w:tcPr>
            <w:tcW w:w="632" w:type="dxa"/>
            <w:vMerge/>
            <w:tcBorders>
              <w:top w:val="single" w:sz="4" w:space="0" w:color="auto"/>
              <w:left w:val="single" w:sz="8" w:space="0" w:color="auto"/>
              <w:bottom w:val="single" w:sz="4" w:space="0" w:color="auto"/>
              <w:right w:val="single" w:sz="4" w:space="0" w:color="auto"/>
            </w:tcBorders>
            <w:vAlign w:val="center"/>
          </w:tcPr>
          <w:p w14:paraId="634CFF1C" w14:textId="77777777" w:rsidR="00F76A63" w:rsidRDefault="00F76A63">
            <w:pPr>
              <w:jc w:val="center"/>
              <w:rPr>
                <w:b/>
                <w:bCs/>
              </w:rPr>
            </w:pPr>
          </w:p>
        </w:tc>
        <w:tc>
          <w:tcPr>
            <w:tcW w:w="633" w:type="dxa"/>
            <w:vMerge/>
            <w:tcBorders>
              <w:top w:val="single" w:sz="4" w:space="0" w:color="auto"/>
              <w:left w:val="single" w:sz="4" w:space="0" w:color="auto"/>
              <w:bottom w:val="single" w:sz="4" w:space="0" w:color="auto"/>
              <w:right w:val="single" w:sz="4" w:space="0" w:color="auto"/>
            </w:tcBorders>
            <w:vAlign w:val="center"/>
          </w:tcPr>
          <w:p w14:paraId="1BE3D1EE"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0DF95B80" w14:textId="77777777" w:rsidR="00F76A63" w:rsidRDefault="00000000">
            <w:pPr>
              <w:jc w:val="center"/>
              <w:rPr>
                <w:bCs/>
              </w:rPr>
            </w:pPr>
            <w:r>
              <w:rPr>
                <w:bCs/>
              </w:rPr>
              <w:t>HCl</w:t>
            </w:r>
          </w:p>
        </w:tc>
        <w:tc>
          <w:tcPr>
            <w:tcW w:w="1701" w:type="dxa"/>
            <w:tcBorders>
              <w:top w:val="single" w:sz="4" w:space="0" w:color="auto"/>
              <w:left w:val="single" w:sz="4" w:space="0" w:color="auto"/>
              <w:bottom w:val="single" w:sz="4" w:space="0" w:color="auto"/>
              <w:right w:val="single" w:sz="4" w:space="0" w:color="auto"/>
            </w:tcBorders>
            <w:vAlign w:val="center"/>
          </w:tcPr>
          <w:p w14:paraId="3237EE48" w14:textId="77777777" w:rsidR="00F76A63" w:rsidRDefault="00000000">
            <w:pPr>
              <w:jc w:val="center"/>
              <w:rPr>
                <w:bCs/>
              </w:rPr>
            </w:pPr>
            <w:r>
              <w:rPr>
                <w:bCs/>
              </w:rPr>
              <w:t>0.002</w:t>
            </w:r>
          </w:p>
        </w:tc>
        <w:tc>
          <w:tcPr>
            <w:tcW w:w="1418" w:type="dxa"/>
            <w:tcBorders>
              <w:top w:val="single" w:sz="4" w:space="0" w:color="auto"/>
              <w:left w:val="single" w:sz="4" w:space="0" w:color="auto"/>
              <w:bottom w:val="single" w:sz="4" w:space="0" w:color="auto"/>
              <w:right w:val="single" w:sz="4" w:space="0" w:color="auto"/>
            </w:tcBorders>
            <w:vAlign w:val="center"/>
          </w:tcPr>
          <w:p w14:paraId="26BCFD26" w14:textId="77777777" w:rsidR="00F76A63" w:rsidRDefault="00000000">
            <w:pPr>
              <w:jc w:val="center"/>
              <w:rPr>
                <w:bCs/>
              </w:rPr>
            </w:pPr>
            <w:r>
              <w:t>/</w:t>
            </w:r>
          </w:p>
        </w:tc>
        <w:tc>
          <w:tcPr>
            <w:tcW w:w="1559" w:type="dxa"/>
            <w:tcBorders>
              <w:top w:val="single" w:sz="4" w:space="0" w:color="auto"/>
              <w:left w:val="single" w:sz="4" w:space="0" w:color="auto"/>
              <w:bottom w:val="single" w:sz="4" w:space="0" w:color="auto"/>
              <w:right w:val="single" w:sz="4" w:space="0" w:color="auto"/>
            </w:tcBorders>
            <w:vAlign w:val="center"/>
          </w:tcPr>
          <w:p w14:paraId="3B486F1A"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64DAF92E" w14:textId="77777777" w:rsidR="00F76A63" w:rsidRDefault="00000000">
            <w:pPr>
              <w:jc w:val="center"/>
              <w:rPr>
                <w:bCs/>
              </w:rPr>
            </w:pPr>
            <w:r>
              <w:rPr>
                <w:bCs/>
              </w:rPr>
              <w:t>0.002</w:t>
            </w:r>
          </w:p>
        </w:tc>
        <w:tc>
          <w:tcPr>
            <w:tcW w:w="1761" w:type="dxa"/>
            <w:tcBorders>
              <w:top w:val="single" w:sz="4" w:space="0" w:color="auto"/>
              <w:left w:val="single" w:sz="4" w:space="0" w:color="auto"/>
              <w:bottom w:val="single" w:sz="4" w:space="0" w:color="auto"/>
              <w:right w:val="single" w:sz="4" w:space="0" w:color="auto"/>
            </w:tcBorders>
            <w:vAlign w:val="center"/>
          </w:tcPr>
          <w:p w14:paraId="3F965784"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05A83BD2" w14:textId="77777777" w:rsidR="00F76A63" w:rsidRDefault="00000000">
            <w:pPr>
              <w:jc w:val="center"/>
              <w:rPr>
                <w:bCs/>
              </w:rPr>
            </w:pPr>
            <w:r>
              <w:rPr>
                <w:bCs/>
              </w:rPr>
              <w:t>0.002</w:t>
            </w:r>
          </w:p>
        </w:tc>
        <w:tc>
          <w:tcPr>
            <w:tcW w:w="1324" w:type="dxa"/>
            <w:tcBorders>
              <w:top w:val="single" w:sz="4" w:space="0" w:color="auto"/>
              <w:left w:val="single" w:sz="4" w:space="0" w:color="auto"/>
              <w:bottom w:val="single" w:sz="4" w:space="0" w:color="auto"/>
              <w:right w:val="single" w:sz="8" w:space="0" w:color="auto"/>
            </w:tcBorders>
            <w:vAlign w:val="center"/>
          </w:tcPr>
          <w:p w14:paraId="220BAB1A" w14:textId="77777777" w:rsidR="00F76A63" w:rsidRDefault="00000000">
            <w:pPr>
              <w:jc w:val="center"/>
              <w:rPr>
                <w:bCs/>
              </w:rPr>
            </w:pPr>
            <w:r>
              <w:rPr>
                <w:bCs/>
              </w:rPr>
              <w:t>0</w:t>
            </w:r>
          </w:p>
        </w:tc>
      </w:tr>
      <w:tr w:rsidR="00F76A63" w14:paraId="4537869B" w14:textId="77777777">
        <w:trPr>
          <w:trHeight w:val="369"/>
          <w:jc w:val="center"/>
        </w:trPr>
        <w:tc>
          <w:tcPr>
            <w:tcW w:w="1265" w:type="dxa"/>
            <w:gridSpan w:val="2"/>
            <w:vMerge w:val="restart"/>
            <w:tcBorders>
              <w:top w:val="single" w:sz="4" w:space="0" w:color="auto"/>
              <w:left w:val="single" w:sz="8" w:space="0" w:color="auto"/>
              <w:bottom w:val="single" w:sz="4" w:space="0" w:color="auto"/>
              <w:right w:val="single" w:sz="4" w:space="0" w:color="auto"/>
            </w:tcBorders>
            <w:vAlign w:val="center"/>
          </w:tcPr>
          <w:p w14:paraId="5665F0EE" w14:textId="77777777" w:rsidR="00F76A63" w:rsidRDefault="00000000">
            <w:pPr>
              <w:jc w:val="center"/>
              <w:rPr>
                <w:b/>
                <w:bCs/>
              </w:rPr>
            </w:pPr>
            <w:r>
              <w:rPr>
                <w:b/>
                <w:bCs/>
              </w:rPr>
              <w:t>废水</w:t>
            </w:r>
          </w:p>
        </w:tc>
        <w:tc>
          <w:tcPr>
            <w:tcW w:w="1563" w:type="dxa"/>
            <w:tcBorders>
              <w:top w:val="single" w:sz="4" w:space="0" w:color="auto"/>
              <w:left w:val="single" w:sz="4" w:space="0" w:color="auto"/>
              <w:bottom w:val="single" w:sz="4" w:space="0" w:color="auto"/>
              <w:right w:val="single" w:sz="4" w:space="0" w:color="auto"/>
            </w:tcBorders>
            <w:vAlign w:val="center"/>
          </w:tcPr>
          <w:p w14:paraId="1FD8ADA2" w14:textId="77777777" w:rsidR="00F76A63" w:rsidRDefault="00000000">
            <w:pPr>
              <w:jc w:val="center"/>
              <w:rPr>
                <w:bCs/>
              </w:rPr>
            </w:pPr>
            <w:r>
              <w:rPr>
                <w:bCs/>
              </w:rPr>
              <w:t>废水量（</w:t>
            </w:r>
            <w:r>
              <w:rPr>
                <w:bCs/>
              </w:rPr>
              <w:t>m</w:t>
            </w:r>
            <w:r>
              <w:rPr>
                <w:bCs/>
                <w:vertAlign w:val="superscript"/>
              </w:rPr>
              <w:t>3</w:t>
            </w:r>
            <w:r>
              <w:rPr>
                <w:bCs/>
              </w:rPr>
              <w:t>/a</w:t>
            </w:r>
            <w:r>
              <w:rPr>
                <w:bCs/>
              </w:rPr>
              <w:t>）</w:t>
            </w:r>
          </w:p>
        </w:tc>
        <w:tc>
          <w:tcPr>
            <w:tcW w:w="1701" w:type="dxa"/>
            <w:tcBorders>
              <w:top w:val="single" w:sz="4" w:space="0" w:color="auto"/>
              <w:left w:val="single" w:sz="4" w:space="0" w:color="auto"/>
              <w:bottom w:val="single" w:sz="4" w:space="0" w:color="auto"/>
              <w:right w:val="single" w:sz="4" w:space="0" w:color="auto"/>
            </w:tcBorders>
            <w:vAlign w:val="center"/>
          </w:tcPr>
          <w:p w14:paraId="5689EB27" w14:textId="77777777" w:rsidR="00F76A63" w:rsidRDefault="00000000">
            <w:pPr>
              <w:jc w:val="center"/>
              <w:rPr>
                <w:bCs/>
              </w:rPr>
            </w:pPr>
            <w:r>
              <w:rPr>
                <w:bCs/>
              </w:rPr>
              <w:t>52539</w:t>
            </w:r>
          </w:p>
        </w:tc>
        <w:tc>
          <w:tcPr>
            <w:tcW w:w="1418" w:type="dxa"/>
            <w:tcBorders>
              <w:top w:val="single" w:sz="4" w:space="0" w:color="auto"/>
              <w:left w:val="single" w:sz="4" w:space="0" w:color="auto"/>
              <w:bottom w:val="single" w:sz="4" w:space="0" w:color="auto"/>
              <w:right w:val="single" w:sz="4" w:space="0" w:color="auto"/>
            </w:tcBorders>
            <w:vAlign w:val="center"/>
          </w:tcPr>
          <w:p w14:paraId="040F2611" w14:textId="77777777" w:rsidR="00F76A63" w:rsidRDefault="00000000">
            <w:pPr>
              <w:jc w:val="center"/>
              <w:rPr>
                <w:bCs/>
              </w:rPr>
            </w:pPr>
            <w:r>
              <w:rPr>
                <w:bCs/>
              </w:rPr>
              <w:t>52539</w:t>
            </w:r>
          </w:p>
        </w:tc>
        <w:tc>
          <w:tcPr>
            <w:tcW w:w="1559" w:type="dxa"/>
            <w:tcBorders>
              <w:top w:val="single" w:sz="4" w:space="0" w:color="auto"/>
              <w:left w:val="single" w:sz="4" w:space="0" w:color="auto"/>
              <w:bottom w:val="single" w:sz="4" w:space="0" w:color="auto"/>
              <w:right w:val="single" w:sz="4" w:space="0" w:color="auto"/>
            </w:tcBorders>
            <w:vAlign w:val="center"/>
          </w:tcPr>
          <w:p w14:paraId="5434070F"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6AFF9CB8"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6B2C299D"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18456619" w14:textId="77777777" w:rsidR="00F76A63" w:rsidRDefault="00000000">
            <w:pPr>
              <w:jc w:val="center"/>
              <w:rPr>
                <w:bCs/>
              </w:rPr>
            </w:pPr>
            <w:r>
              <w:rPr>
                <w:bCs/>
              </w:rPr>
              <w:t>52539</w:t>
            </w:r>
          </w:p>
        </w:tc>
        <w:tc>
          <w:tcPr>
            <w:tcW w:w="1324" w:type="dxa"/>
            <w:tcBorders>
              <w:top w:val="single" w:sz="4" w:space="0" w:color="auto"/>
              <w:left w:val="single" w:sz="4" w:space="0" w:color="auto"/>
              <w:bottom w:val="single" w:sz="4" w:space="0" w:color="auto"/>
              <w:right w:val="single" w:sz="8" w:space="0" w:color="auto"/>
            </w:tcBorders>
            <w:vAlign w:val="center"/>
          </w:tcPr>
          <w:p w14:paraId="396A7C83" w14:textId="77777777" w:rsidR="00F76A63" w:rsidRDefault="00000000">
            <w:pPr>
              <w:jc w:val="center"/>
              <w:rPr>
                <w:bCs/>
              </w:rPr>
            </w:pPr>
            <w:r>
              <w:rPr>
                <w:bCs/>
              </w:rPr>
              <w:t>0</w:t>
            </w:r>
          </w:p>
        </w:tc>
      </w:tr>
      <w:tr w:rsidR="00F76A63" w14:paraId="6831C7BB"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7E33BA0D"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21758B72" w14:textId="77777777" w:rsidR="00F76A63" w:rsidRDefault="00000000">
            <w:pPr>
              <w:jc w:val="center"/>
              <w:rPr>
                <w:bCs/>
              </w:rPr>
            </w:pPr>
            <w:r>
              <w:rPr>
                <w:bCs/>
              </w:rPr>
              <w:t>COD</w:t>
            </w:r>
          </w:p>
        </w:tc>
        <w:tc>
          <w:tcPr>
            <w:tcW w:w="1701" w:type="dxa"/>
            <w:tcBorders>
              <w:top w:val="single" w:sz="4" w:space="0" w:color="auto"/>
              <w:left w:val="single" w:sz="4" w:space="0" w:color="auto"/>
              <w:bottom w:val="single" w:sz="4" w:space="0" w:color="auto"/>
              <w:right w:val="single" w:sz="4" w:space="0" w:color="auto"/>
            </w:tcBorders>
            <w:vAlign w:val="center"/>
          </w:tcPr>
          <w:p w14:paraId="35735EAB" w14:textId="77777777" w:rsidR="00F76A63" w:rsidRDefault="00000000">
            <w:pPr>
              <w:jc w:val="center"/>
              <w:rPr>
                <w:bCs/>
              </w:rPr>
            </w:pPr>
            <w:r>
              <w:rPr>
                <w:bCs/>
              </w:rPr>
              <w:t>20.8964</w:t>
            </w:r>
          </w:p>
        </w:tc>
        <w:tc>
          <w:tcPr>
            <w:tcW w:w="1418" w:type="dxa"/>
            <w:tcBorders>
              <w:top w:val="single" w:sz="4" w:space="0" w:color="auto"/>
              <w:left w:val="single" w:sz="4" w:space="0" w:color="auto"/>
              <w:bottom w:val="single" w:sz="4" w:space="0" w:color="auto"/>
              <w:right w:val="single" w:sz="4" w:space="0" w:color="auto"/>
            </w:tcBorders>
            <w:vAlign w:val="center"/>
          </w:tcPr>
          <w:p w14:paraId="2603A030" w14:textId="77777777" w:rsidR="00F76A63" w:rsidRDefault="00000000">
            <w:pPr>
              <w:jc w:val="center"/>
              <w:rPr>
                <w:bCs/>
              </w:rPr>
            </w:pPr>
            <w:r>
              <w:rPr>
                <w:bCs/>
              </w:rPr>
              <w:t>20.8964</w:t>
            </w:r>
          </w:p>
        </w:tc>
        <w:tc>
          <w:tcPr>
            <w:tcW w:w="1559" w:type="dxa"/>
            <w:tcBorders>
              <w:top w:val="single" w:sz="4" w:space="0" w:color="auto"/>
              <w:left w:val="single" w:sz="4" w:space="0" w:color="auto"/>
              <w:bottom w:val="single" w:sz="4" w:space="0" w:color="auto"/>
              <w:right w:val="single" w:sz="4" w:space="0" w:color="auto"/>
            </w:tcBorders>
            <w:vAlign w:val="center"/>
          </w:tcPr>
          <w:p w14:paraId="742511A6"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4D2300B2"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52DE7C03"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3C4866A4" w14:textId="77777777" w:rsidR="00F76A63" w:rsidRDefault="00000000">
            <w:pPr>
              <w:jc w:val="center"/>
              <w:rPr>
                <w:bCs/>
              </w:rPr>
            </w:pPr>
            <w:r>
              <w:rPr>
                <w:bCs/>
              </w:rPr>
              <w:t>20.8964</w:t>
            </w:r>
          </w:p>
        </w:tc>
        <w:tc>
          <w:tcPr>
            <w:tcW w:w="1324" w:type="dxa"/>
            <w:tcBorders>
              <w:top w:val="single" w:sz="4" w:space="0" w:color="auto"/>
              <w:left w:val="single" w:sz="4" w:space="0" w:color="auto"/>
              <w:bottom w:val="single" w:sz="4" w:space="0" w:color="auto"/>
              <w:right w:val="single" w:sz="8" w:space="0" w:color="auto"/>
            </w:tcBorders>
            <w:vAlign w:val="center"/>
          </w:tcPr>
          <w:p w14:paraId="40967C77" w14:textId="77777777" w:rsidR="00F76A63" w:rsidRDefault="00000000">
            <w:pPr>
              <w:jc w:val="center"/>
              <w:rPr>
                <w:bCs/>
              </w:rPr>
            </w:pPr>
            <w:r>
              <w:rPr>
                <w:bCs/>
              </w:rPr>
              <w:t>0</w:t>
            </w:r>
          </w:p>
        </w:tc>
      </w:tr>
      <w:tr w:rsidR="00F76A63" w14:paraId="1F30DD42"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58C83D5B"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4E69F88" w14:textId="77777777" w:rsidR="00F76A63" w:rsidRDefault="00000000">
            <w:pPr>
              <w:jc w:val="center"/>
              <w:rPr>
                <w:bCs/>
              </w:rPr>
            </w:pPr>
            <w:r>
              <w:rPr>
                <w:bCs/>
              </w:rPr>
              <w:t>SS</w:t>
            </w:r>
          </w:p>
        </w:tc>
        <w:tc>
          <w:tcPr>
            <w:tcW w:w="1701" w:type="dxa"/>
            <w:tcBorders>
              <w:top w:val="single" w:sz="4" w:space="0" w:color="auto"/>
              <w:left w:val="single" w:sz="4" w:space="0" w:color="auto"/>
              <w:bottom w:val="single" w:sz="4" w:space="0" w:color="auto"/>
              <w:right w:val="single" w:sz="4" w:space="0" w:color="auto"/>
            </w:tcBorders>
            <w:vAlign w:val="center"/>
          </w:tcPr>
          <w:p w14:paraId="6E82E537" w14:textId="77777777" w:rsidR="00F76A63" w:rsidRDefault="00000000">
            <w:pPr>
              <w:jc w:val="center"/>
              <w:rPr>
                <w:bCs/>
              </w:rPr>
            </w:pPr>
            <w:r>
              <w:rPr>
                <w:bCs/>
              </w:rPr>
              <w:t>10.4532</w:t>
            </w:r>
          </w:p>
        </w:tc>
        <w:tc>
          <w:tcPr>
            <w:tcW w:w="1418" w:type="dxa"/>
            <w:tcBorders>
              <w:top w:val="single" w:sz="4" w:space="0" w:color="auto"/>
              <w:left w:val="single" w:sz="4" w:space="0" w:color="auto"/>
              <w:bottom w:val="single" w:sz="4" w:space="0" w:color="auto"/>
              <w:right w:val="single" w:sz="4" w:space="0" w:color="auto"/>
            </w:tcBorders>
            <w:vAlign w:val="center"/>
          </w:tcPr>
          <w:p w14:paraId="2EA073C1" w14:textId="77777777" w:rsidR="00F76A63" w:rsidRDefault="00000000">
            <w:pPr>
              <w:jc w:val="center"/>
              <w:rPr>
                <w:bCs/>
              </w:rPr>
            </w:pPr>
            <w:r>
              <w:rPr>
                <w:bCs/>
              </w:rPr>
              <w:t>10.4532</w:t>
            </w:r>
          </w:p>
        </w:tc>
        <w:tc>
          <w:tcPr>
            <w:tcW w:w="1559" w:type="dxa"/>
            <w:tcBorders>
              <w:top w:val="single" w:sz="4" w:space="0" w:color="auto"/>
              <w:left w:val="single" w:sz="4" w:space="0" w:color="auto"/>
              <w:bottom w:val="single" w:sz="4" w:space="0" w:color="auto"/>
              <w:right w:val="single" w:sz="4" w:space="0" w:color="auto"/>
            </w:tcBorders>
            <w:vAlign w:val="center"/>
          </w:tcPr>
          <w:p w14:paraId="5C8587DB"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09B9C71C"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37183BE3"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37BE4E94" w14:textId="77777777" w:rsidR="00F76A63" w:rsidRDefault="00000000">
            <w:pPr>
              <w:jc w:val="center"/>
              <w:rPr>
                <w:bCs/>
              </w:rPr>
            </w:pPr>
            <w:r>
              <w:rPr>
                <w:bCs/>
              </w:rPr>
              <w:t>10.4532</w:t>
            </w:r>
          </w:p>
        </w:tc>
        <w:tc>
          <w:tcPr>
            <w:tcW w:w="1324" w:type="dxa"/>
            <w:tcBorders>
              <w:top w:val="single" w:sz="4" w:space="0" w:color="auto"/>
              <w:left w:val="single" w:sz="4" w:space="0" w:color="auto"/>
              <w:bottom w:val="single" w:sz="4" w:space="0" w:color="auto"/>
              <w:right w:val="single" w:sz="8" w:space="0" w:color="auto"/>
            </w:tcBorders>
            <w:vAlign w:val="center"/>
          </w:tcPr>
          <w:p w14:paraId="1AD958D0" w14:textId="77777777" w:rsidR="00F76A63" w:rsidRDefault="00000000">
            <w:pPr>
              <w:jc w:val="center"/>
              <w:rPr>
                <w:bCs/>
              </w:rPr>
            </w:pPr>
            <w:r>
              <w:rPr>
                <w:bCs/>
              </w:rPr>
              <w:t>0</w:t>
            </w:r>
          </w:p>
        </w:tc>
      </w:tr>
      <w:tr w:rsidR="00F76A63" w14:paraId="7BA92135"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30A50192"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453A1AA7" w14:textId="77777777" w:rsidR="00F76A63" w:rsidRDefault="00000000">
            <w:pPr>
              <w:jc w:val="center"/>
              <w:rPr>
                <w:bCs/>
              </w:rPr>
            </w:pPr>
            <w:r>
              <w:rPr>
                <w:bCs/>
              </w:rPr>
              <w:t>氨氮</w:t>
            </w:r>
          </w:p>
        </w:tc>
        <w:tc>
          <w:tcPr>
            <w:tcW w:w="1701" w:type="dxa"/>
            <w:tcBorders>
              <w:top w:val="single" w:sz="4" w:space="0" w:color="auto"/>
              <w:left w:val="single" w:sz="4" w:space="0" w:color="auto"/>
              <w:bottom w:val="single" w:sz="4" w:space="0" w:color="auto"/>
              <w:right w:val="single" w:sz="4" w:space="0" w:color="auto"/>
            </w:tcBorders>
            <w:vAlign w:val="center"/>
          </w:tcPr>
          <w:p w14:paraId="611D3FA0" w14:textId="77777777" w:rsidR="00F76A63" w:rsidRDefault="00000000">
            <w:pPr>
              <w:jc w:val="center"/>
              <w:rPr>
                <w:bCs/>
              </w:rPr>
            </w:pPr>
            <w:r>
              <w:rPr>
                <w:bCs/>
              </w:rPr>
              <w:t>1.8382</w:t>
            </w:r>
          </w:p>
        </w:tc>
        <w:tc>
          <w:tcPr>
            <w:tcW w:w="1418" w:type="dxa"/>
            <w:tcBorders>
              <w:top w:val="single" w:sz="4" w:space="0" w:color="auto"/>
              <w:left w:val="single" w:sz="4" w:space="0" w:color="auto"/>
              <w:bottom w:val="single" w:sz="4" w:space="0" w:color="auto"/>
              <w:right w:val="single" w:sz="4" w:space="0" w:color="auto"/>
            </w:tcBorders>
            <w:vAlign w:val="center"/>
          </w:tcPr>
          <w:p w14:paraId="3A1EB77D" w14:textId="77777777" w:rsidR="00F76A63" w:rsidRDefault="00000000">
            <w:pPr>
              <w:jc w:val="center"/>
              <w:rPr>
                <w:bCs/>
              </w:rPr>
            </w:pPr>
            <w:r>
              <w:rPr>
                <w:bCs/>
              </w:rPr>
              <w:t>1.8382</w:t>
            </w:r>
          </w:p>
        </w:tc>
        <w:tc>
          <w:tcPr>
            <w:tcW w:w="1559" w:type="dxa"/>
            <w:tcBorders>
              <w:top w:val="single" w:sz="4" w:space="0" w:color="auto"/>
              <w:left w:val="single" w:sz="4" w:space="0" w:color="auto"/>
              <w:bottom w:val="single" w:sz="4" w:space="0" w:color="auto"/>
              <w:right w:val="single" w:sz="4" w:space="0" w:color="auto"/>
            </w:tcBorders>
            <w:vAlign w:val="center"/>
          </w:tcPr>
          <w:p w14:paraId="4772127F"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7E3C750A"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7062F7D7"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1FCAF303" w14:textId="77777777" w:rsidR="00F76A63" w:rsidRDefault="00000000">
            <w:pPr>
              <w:jc w:val="center"/>
              <w:rPr>
                <w:bCs/>
              </w:rPr>
            </w:pPr>
            <w:r>
              <w:rPr>
                <w:bCs/>
              </w:rPr>
              <w:t>1.8382</w:t>
            </w:r>
          </w:p>
        </w:tc>
        <w:tc>
          <w:tcPr>
            <w:tcW w:w="1324" w:type="dxa"/>
            <w:tcBorders>
              <w:top w:val="single" w:sz="4" w:space="0" w:color="auto"/>
              <w:left w:val="single" w:sz="4" w:space="0" w:color="auto"/>
              <w:bottom w:val="single" w:sz="4" w:space="0" w:color="auto"/>
              <w:right w:val="single" w:sz="8" w:space="0" w:color="auto"/>
            </w:tcBorders>
            <w:vAlign w:val="center"/>
          </w:tcPr>
          <w:p w14:paraId="47D96FF7" w14:textId="77777777" w:rsidR="00F76A63" w:rsidRDefault="00000000">
            <w:pPr>
              <w:jc w:val="center"/>
              <w:rPr>
                <w:bCs/>
              </w:rPr>
            </w:pPr>
            <w:r>
              <w:rPr>
                <w:bCs/>
              </w:rPr>
              <w:t>0</w:t>
            </w:r>
          </w:p>
        </w:tc>
      </w:tr>
      <w:tr w:rsidR="00F76A63" w14:paraId="17116C69"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226BDD3A"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F12ADFF" w14:textId="77777777" w:rsidR="00F76A63" w:rsidRDefault="00000000">
            <w:pPr>
              <w:jc w:val="center"/>
              <w:rPr>
                <w:bCs/>
              </w:rPr>
            </w:pPr>
            <w:r>
              <w:rPr>
                <w:bCs/>
              </w:rPr>
              <w:t>总氮</w:t>
            </w:r>
          </w:p>
        </w:tc>
        <w:tc>
          <w:tcPr>
            <w:tcW w:w="1701" w:type="dxa"/>
            <w:tcBorders>
              <w:top w:val="single" w:sz="4" w:space="0" w:color="auto"/>
              <w:left w:val="single" w:sz="4" w:space="0" w:color="auto"/>
              <w:bottom w:val="single" w:sz="4" w:space="0" w:color="auto"/>
              <w:right w:val="single" w:sz="4" w:space="0" w:color="auto"/>
            </w:tcBorders>
            <w:vAlign w:val="center"/>
          </w:tcPr>
          <w:p w14:paraId="2AA9E4C2" w14:textId="77777777" w:rsidR="00F76A63" w:rsidRDefault="00000000">
            <w:pPr>
              <w:jc w:val="center"/>
              <w:rPr>
                <w:bCs/>
              </w:rPr>
            </w:pPr>
            <w:r>
              <w:rPr>
                <w:bCs/>
              </w:rPr>
              <w:t>2.6228</w:t>
            </w:r>
          </w:p>
        </w:tc>
        <w:tc>
          <w:tcPr>
            <w:tcW w:w="1418" w:type="dxa"/>
            <w:tcBorders>
              <w:top w:val="single" w:sz="4" w:space="0" w:color="auto"/>
              <w:left w:val="single" w:sz="4" w:space="0" w:color="auto"/>
              <w:bottom w:val="single" w:sz="4" w:space="0" w:color="auto"/>
              <w:right w:val="single" w:sz="4" w:space="0" w:color="auto"/>
            </w:tcBorders>
            <w:vAlign w:val="center"/>
          </w:tcPr>
          <w:p w14:paraId="52B9A724" w14:textId="77777777" w:rsidR="00F76A63" w:rsidRDefault="00000000">
            <w:pPr>
              <w:jc w:val="center"/>
              <w:rPr>
                <w:bCs/>
              </w:rPr>
            </w:pPr>
            <w:r>
              <w:rPr>
                <w:bCs/>
              </w:rPr>
              <w:t>2.6228</w:t>
            </w:r>
          </w:p>
        </w:tc>
        <w:tc>
          <w:tcPr>
            <w:tcW w:w="1559" w:type="dxa"/>
            <w:tcBorders>
              <w:top w:val="single" w:sz="4" w:space="0" w:color="auto"/>
              <w:left w:val="single" w:sz="4" w:space="0" w:color="auto"/>
              <w:bottom w:val="single" w:sz="4" w:space="0" w:color="auto"/>
              <w:right w:val="single" w:sz="4" w:space="0" w:color="auto"/>
            </w:tcBorders>
            <w:vAlign w:val="center"/>
          </w:tcPr>
          <w:p w14:paraId="374DE08D"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41AC5E35"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0CA7010E"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7DE03BD7" w14:textId="77777777" w:rsidR="00F76A63" w:rsidRDefault="00000000">
            <w:pPr>
              <w:jc w:val="center"/>
              <w:rPr>
                <w:bCs/>
              </w:rPr>
            </w:pPr>
            <w:r>
              <w:rPr>
                <w:bCs/>
              </w:rPr>
              <w:t>2.6228</w:t>
            </w:r>
          </w:p>
        </w:tc>
        <w:tc>
          <w:tcPr>
            <w:tcW w:w="1324" w:type="dxa"/>
            <w:tcBorders>
              <w:top w:val="single" w:sz="4" w:space="0" w:color="auto"/>
              <w:left w:val="single" w:sz="4" w:space="0" w:color="auto"/>
              <w:bottom w:val="single" w:sz="4" w:space="0" w:color="auto"/>
              <w:right w:val="single" w:sz="8" w:space="0" w:color="auto"/>
            </w:tcBorders>
            <w:vAlign w:val="center"/>
          </w:tcPr>
          <w:p w14:paraId="1E64AB6E" w14:textId="77777777" w:rsidR="00F76A63" w:rsidRDefault="00000000">
            <w:pPr>
              <w:jc w:val="center"/>
              <w:rPr>
                <w:bCs/>
              </w:rPr>
            </w:pPr>
            <w:r>
              <w:rPr>
                <w:bCs/>
              </w:rPr>
              <w:t>0</w:t>
            </w:r>
          </w:p>
        </w:tc>
      </w:tr>
      <w:tr w:rsidR="00F76A63" w14:paraId="22EBD962"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1278BCA2"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3CE94714" w14:textId="77777777" w:rsidR="00F76A63" w:rsidRDefault="00000000">
            <w:pPr>
              <w:jc w:val="center"/>
              <w:rPr>
                <w:bCs/>
              </w:rPr>
            </w:pPr>
            <w:r>
              <w:rPr>
                <w:bCs/>
              </w:rPr>
              <w:t>总磷</w:t>
            </w:r>
          </w:p>
        </w:tc>
        <w:tc>
          <w:tcPr>
            <w:tcW w:w="1701" w:type="dxa"/>
            <w:tcBorders>
              <w:top w:val="single" w:sz="4" w:space="0" w:color="auto"/>
              <w:left w:val="single" w:sz="4" w:space="0" w:color="auto"/>
              <w:bottom w:val="single" w:sz="4" w:space="0" w:color="auto"/>
              <w:right w:val="single" w:sz="4" w:space="0" w:color="auto"/>
            </w:tcBorders>
            <w:vAlign w:val="center"/>
          </w:tcPr>
          <w:p w14:paraId="5C5894E5" w14:textId="77777777" w:rsidR="00F76A63" w:rsidRDefault="00000000">
            <w:pPr>
              <w:jc w:val="center"/>
              <w:rPr>
                <w:bCs/>
              </w:rPr>
            </w:pPr>
            <w:r>
              <w:rPr>
                <w:bCs/>
              </w:rPr>
              <w:t>0.1545</w:t>
            </w:r>
          </w:p>
        </w:tc>
        <w:tc>
          <w:tcPr>
            <w:tcW w:w="1418" w:type="dxa"/>
            <w:tcBorders>
              <w:top w:val="single" w:sz="4" w:space="0" w:color="auto"/>
              <w:left w:val="single" w:sz="4" w:space="0" w:color="auto"/>
              <w:bottom w:val="single" w:sz="4" w:space="0" w:color="auto"/>
              <w:right w:val="single" w:sz="4" w:space="0" w:color="auto"/>
            </w:tcBorders>
            <w:vAlign w:val="center"/>
          </w:tcPr>
          <w:p w14:paraId="4D54EBBC" w14:textId="77777777" w:rsidR="00F76A63" w:rsidRDefault="00000000">
            <w:pPr>
              <w:jc w:val="center"/>
              <w:rPr>
                <w:bCs/>
              </w:rPr>
            </w:pPr>
            <w:r>
              <w:rPr>
                <w:bCs/>
              </w:rPr>
              <w:t>0.1545</w:t>
            </w:r>
          </w:p>
        </w:tc>
        <w:tc>
          <w:tcPr>
            <w:tcW w:w="1559" w:type="dxa"/>
            <w:tcBorders>
              <w:top w:val="single" w:sz="4" w:space="0" w:color="auto"/>
              <w:left w:val="single" w:sz="4" w:space="0" w:color="auto"/>
              <w:bottom w:val="single" w:sz="4" w:space="0" w:color="auto"/>
              <w:right w:val="single" w:sz="4" w:space="0" w:color="auto"/>
            </w:tcBorders>
            <w:vAlign w:val="center"/>
          </w:tcPr>
          <w:p w14:paraId="4DE45D45"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4CDAEEF7"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060E5DD7"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7032A7FE" w14:textId="77777777" w:rsidR="00F76A63" w:rsidRDefault="00000000">
            <w:pPr>
              <w:jc w:val="center"/>
              <w:rPr>
                <w:bCs/>
              </w:rPr>
            </w:pPr>
            <w:r>
              <w:rPr>
                <w:bCs/>
              </w:rPr>
              <w:t>0.1545</w:t>
            </w:r>
          </w:p>
        </w:tc>
        <w:tc>
          <w:tcPr>
            <w:tcW w:w="1324" w:type="dxa"/>
            <w:tcBorders>
              <w:top w:val="single" w:sz="4" w:space="0" w:color="auto"/>
              <w:left w:val="single" w:sz="4" w:space="0" w:color="auto"/>
              <w:bottom w:val="single" w:sz="4" w:space="0" w:color="auto"/>
              <w:right w:val="single" w:sz="8" w:space="0" w:color="auto"/>
            </w:tcBorders>
            <w:vAlign w:val="center"/>
          </w:tcPr>
          <w:p w14:paraId="62639F87" w14:textId="77777777" w:rsidR="00F76A63" w:rsidRDefault="00000000">
            <w:pPr>
              <w:jc w:val="center"/>
              <w:rPr>
                <w:bCs/>
              </w:rPr>
            </w:pPr>
            <w:r>
              <w:rPr>
                <w:bCs/>
              </w:rPr>
              <w:t>0</w:t>
            </w:r>
          </w:p>
        </w:tc>
      </w:tr>
      <w:tr w:rsidR="00F76A63" w14:paraId="59803086" w14:textId="77777777">
        <w:trPr>
          <w:trHeight w:val="369"/>
          <w:jc w:val="center"/>
        </w:trPr>
        <w:tc>
          <w:tcPr>
            <w:tcW w:w="1265" w:type="dxa"/>
            <w:gridSpan w:val="2"/>
            <w:vMerge w:val="restart"/>
            <w:tcBorders>
              <w:top w:val="single" w:sz="4" w:space="0" w:color="auto"/>
              <w:left w:val="single" w:sz="8" w:space="0" w:color="auto"/>
              <w:bottom w:val="single" w:sz="4" w:space="0" w:color="auto"/>
              <w:right w:val="single" w:sz="4" w:space="0" w:color="auto"/>
            </w:tcBorders>
            <w:vAlign w:val="center"/>
          </w:tcPr>
          <w:p w14:paraId="4CFF4830" w14:textId="77777777" w:rsidR="00F76A63" w:rsidRDefault="00000000">
            <w:pPr>
              <w:jc w:val="center"/>
              <w:rPr>
                <w:b/>
                <w:bCs/>
              </w:rPr>
            </w:pPr>
            <w:r>
              <w:rPr>
                <w:b/>
                <w:bCs/>
              </w:rPr>
              <w:t>一般工业固体废物</w:t>
            </w:r>
          </w:p>
        </w:tc>
        <w:tc>
          <w:tcPr>
            <w:tcW w:w="1563" w:type="dxa"/>
            <w:tcBorders>
              <w:top w:val="single" w:sz="4" w:space="0" w:color="auto"/>
              <w:left w:val="single" w:sz="4" w:space="0" w:color="auto"/>
              <w:bottom w:val="single" w:sz="4" w:space="0" w:color="auto"/>
              <w:right w:val="single" w:sz="4" w:space="0" w:color="auto"/>
            </w:tcBorders>
            <w:vAlign w:val="center"/>
          </w:tcPr>
          <w:p w14:paraId="78812D21" w14:textId="77777777" w:rsidR="00F76A63" w:rsidRDefault="00000000">
            <w:pPr>
              <w:jc w:val="center"/>
              <w:rPr>
                <w:bCs/>
              </w:rPr>
            </w:pPr>
            <w:r>
              <w:rPr>
                <w:bCs/>
              </w:rPr>
              <w:t>废铁</w:t>
            </w:r>
          </w:p>
        </w:tc>
        <w:tc>
          <w:tcPr>
            <w:tcW w:w="1701" w:type="dxa"/>
            <w:tcBorders>
              <w:top w:val="single" w:sz="4" w:space="0" w:color="auto"/>
              <w:left w:val="single" w:sz="4" w:space="0" w:color="auto"/>
              <w:bottom w:val="single" w:sz="4" w:space="0" w:color="auto"/>
              <w:right w:val="single" w:sz="4" w:space="0" w:color="auto"/>
            </w:tcBorders>
            <w:vAlign w:val="center"/>
          </w:tcPr>
          <w:p w14:paraId="0EAD4713" w14:textId="77777777" w:rsidR="00F76A63" w:rsidRDefault="00000000">
            <w:pPr>
              <w:jc w:val="center"/>
              <w:rPr>
                <w:bCs/>
              </w:rPr>
            </w:pPr>
            <w:r>
              <w:rPr>
                <w:bCs/>
              </w:rPr>
              <w:t>660</w:t>
            </w:r>
          </w:p>
        </w:tc>
        <w:tc>
          <w:tcPr>
            <w:tcW w:w="1418" w:type="dxa"/>
            <w:tcBorders>
              <w:top w:val="single" w:sz="4" w:space="0" w:color="auto"/>
              <w:left w:val="single" w:sz="4" w:space="0" w:color="auto"/>
              <w:bottom w:val="single" w:sz="4" w:space="0" w:color="auto"/>
              <w:right w:val="single" w:sz="4" w:space="0" w:color="auto"/>
            </w:tcBorders>
            <w:vAlign w:val="center"/>
          </w:tcPr>
          <w:p w14:paraId="288C4F96" w14:textId="77777777" w:rsidR="00F76A63" w:rsidRDefault="00000000">
            <w:pPr>
              <w:jc w:val="center"/>
              <w:rPr>
                <w:bCs/>
              </w:rPr>
            </w:pPr>
            <w:r>
              <w:rPr>
                <w:bCs/>
              </w:rPr>
              <w:t>660</w:t>
            </w:r>
          </w:p>
        </w:tc>
        <w:tc>
          <w:tcPr>
            <w:tcW w:w="1559" w:type="dxa"/>
            <w:tcBorders>
              <w:top w:val="single" w:sz="4" w:space="0" w:color="auto"/>
              <w:left w:val="single" w:sz="4" w:space="0" w:color="auto"/>
              <w:bottom w:val="single" w:sz="4" w:space="0" w:color="auto"/>
              <w:right w:val="single" w:sz="4" w:space="0" w:color="auto"/>
            </w:tcBorders>
            <w:vAlign w:val="center"/>
          </w:tcPr>
          <w:p w14:paraId="29D6035D"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124BC068"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7F212367"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35582D84" w14:textId="77777777" w:rsidR="00F76A63" w:rsidRDefault="00000000">
            <w:pPr>
              <w:jc w:val="center"/>
              <w:rPr>
                <w:bCs/>
              </w:rPr>
            </w:pPr>
            <w:r>
              <w:rPr>
                <w:bCs/>
              </w:rPr>
              <w:t>660</w:t>
            </w:r>
          </w:p>
        </w:tc>
        <w:tc>
          <w:tcPr>
            <w:tcW w:w="1324" w:type="dxa"/>
            <w:tcBorders>
              <w:top w:val="single" w:sz="4" w:space="0" w:color="auto"/>
              <w:left w:val="single" w:sz="4" w:space="0" w:color="auto"/>
              <w:bottom w:val="single" w:sz="4" w:space="0" w:color="auto"/>
              <w:right w:val="single" w:sz="8" w:space="0" w:color="auto"/>
            </w:tcBorders>
            <w:vAlign w:val="center"/>
          </w:tcPr>
          <w:p w14:paraId="12D6E79D" w14:textId="77777777" w:rsidR="00F76A63" w:rsidRDefault="00000000">
            <w:pPr>
              <w:jc w:val="center"/>
              <w:rPr>
                <w:bCs/>
              </w:rPr>
            </w:pPr>
            <w:r>
              <w:rPr>
                <w:bCs/>
              </w:rPr>
              <w:t>0</w:t>
            </w:r>
          </w:p>
        </w:tc>
      </w:tr>
      <w:tr w:rsidR="00F76A63" w14:paraId="23122279"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25D27141"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54F85A9" w14:textId="77777777" w:rsidR="00F76A63" w:rsidRDefault="00000000">
            <w:pPr>
              <w:jc w:val="center"/>
              <w:rPr>
                <w:bCs/>
              </w:rPr>
            </w:pPr>
            <w:r>
              <w:rPr>
                <w:bCs/>
              </w:rPr>
              <w:t>废耐火砖</w:t>
            </w:r>
          </w:p>
        </w:tc>
        <w:tc>
          <w:tcPr>
            <w:tcW w:w="1701" w:type="dxa"/>
            <w:tcBorders>
              <w:top w:val="single" w:sz="4" w:space="0" w:color="auto"/>
              <w:left w:val="single" w:sz="4" w:space="0" w:color="auto"/>
              <w:bottom w:val="single" w:sz="4" w:space="0" w:color="auto"/>
              <w:right w:val="single" w:sz="4" w:space="0" w:color="auto"/>
            </w:tcBorders>
            <w:vAlign w:val="center"/>
          </w:tcPr>
          <w:p w14:paraId="26C75CF8" w14:textId="77777777" w:rsidR="00F76A63" w:rsidRDefault="00000000">
            <w:pPr>
              <w:jc w:val="center"/>
              <w:rPr>
                <w:bCs/>
              </w:rPr>
            </w:pPr>
            <w:r>
              <w:rPr>
                <w:bCs/>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49464EE4" w14:textId="77777777" w:rsidR="00F76A63" w:rsidRDefault="00000000">
            <w:pPr>
              <w:jc w:val="center"/>
              <w:rPr>
                <w:bCs/>
              </w:rPr>
            </w:pPr>
            <w:r>
              <w:rPr>
                <w:bCs/>
              </w:rPr>
              <w:t>800</w:t>
            </w:r>
          </w:p>
        </w:tc>
        <w:tc>
          <w:tcPr>
            <w:tcW w:w="1559" w:type="dxa"/>
            <w:tcBorders>
              <w:top w:val="single" w:sz="4" w:space="0" w:color="auto"/>
              <w:left w:val="single" w:sz="4" w:space="0" w:color="auto"/>
              <w:bottom w:val="single" w:sz="4" w:space="0" w:color="auto"/>
              <w:right w:val="single" w:sz="4" w:space="0" w:color="auto"/>
            </w:tcBorders>
            <w:vAlign w:val="center"/>
          </w:tcPr>
          <w:p w14:paraId="294D4E88"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15CA78BF"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1386F9DA"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3C2BD818" w14:textId="77777777" w:rsidR="00F76A63" w:rsidRDefault="00000000">
            <w:pPr>
              <w:jc w:val="center"/>
              <w:rPr>
                <w:bCs/>
              </w:rPr>
            </w:pPr>
            <w:r>
              <w:rPr>
                <w:bCs/>
              </w:rPr>
              <w:t>800</w:t>
            </w:r>
          </w:p>
        </w:tc>
        <w:tc>
          <w:tcPr>
            <w:tcW w:w="1324" w:type="dxa"/>
            <w:tcBorders>
              <w:top w:val="single" w:sz="4" w:space="0" w:color="auto"/>
              <w:left w:val="single" w:sz="4" w:space="0" w:color="auto"/>
              <w:bottom w:val="single" w:sz="4" w:space="0" w:color="auto"/>
              <w:right w:val="single" w:sz="8" w:space="0" w:color="auto"/>
            </w:tcBorders>
            <w:vAlign w:val="center"/>
          </w:tcPr>
          <w:p w14:paraId="790DD786" w14:textId="77777777" w:rsidR="00F76A63" w:rsidRDefault="00000000">
            <w:pPr>
              <w:jc w:val="center"/>
              <w:rPr>
                <w:bCs/>
              </w:rPr>
            </w:pPr>
            <w:r>
              <w:rPr>
                <w:bCs/>
              </w:rPr>
              <w:t>0</w:t>
            </w:r>
          </w:p>
        </w:tc>
      </w:tr>
      <w:tr w:rsidR="00F76A63" w14:paraId="1C739895"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09C139ED"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54D7F4E4" w14:textId="77777777" w:rsidR="00F76A63" w:rsidRDefault="00000000">
            <w:pPr>
              <w:jc w:val="center"/>
              <w:rPr>
                <w:bCs/>
              </w:rPr>
            </w:pPr>
            <w:r>
              <w:rPr>
                <w:bCs/>
              </w:rPr>
              <w:t>废包装材料</w:t>
            </w:r>
          </w:p>
        </w:tc>
        <w:tc>
          <w:tcPr>
            <w:tcW w:w="1701" w:type="dxa"/>
            <w:tcBorders>
              <w:top w:val="single" w:sz="4" w:space="0" w:color="auto"/>
              <w:left w:val="single" w:sz="4" w:space="0" w:color="auto"/>
              <w:bottom w:val="single" w:sz="4" w:space="0" w:color="auto"/>
              <w:right w:val="single" w:sz="4" w:space="0" w:color="auto"/>
            </w:tcBorders>
            <w:vAlign w:val="center"/>
          </w:tcPr>
          <w:p w14:paraId="7BDAA6B7" w14:textId="77777777" w:rsidR="00F76A63" w:rsidRDefault="00000000">
            <w:pPr>
              <w:jc w:val="center"/>
              <w:rPr>
                <w:bCs/>
              </w:rPr>
            </w:pPr>
            <w:r>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14:paraId="0E3ABD29" w14:textId="77777777" w:rsidR="00F76A63" w:rsidRDefault="00000000">
            <w:pPr>
              <w:jc w:val="center"/>
              <w:rPr>
                <w:bCs/>
              </w:rPr>
            </w:pPr>
            <w:r>
              <w:rPr>
                <w:bCs/>
              </w:rPr>
              <w:t>2.2</w:t>
            </w:r>
          </w:p>
        </w:tc>
        <w:tc>
          <w:tcPr>
            <w:tcW w:w="1559" w:type="dxa"/>
            <w:tcBorders>
              <w:top w:val="single" w:sz="4" w:space="0" w:color="auto"/>
              <w:left w:val="single" w:sz="4" w:space="0" w:color="auto"/>
              <w:bottom w:val="single" w:sz="4" w:space="0" w:color="auto"/>
              <w:right w:val="single" w:sz="4" w:space="0" w:color="auto"/>
            </w:tcBorders>
            <w:vAlign w:val="center"/>
          </w:tcPr>
          <w:p w14:paraId="7E7778FA"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4868F9AB"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7E3EEFDB"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4F84A37D" w14:textId="77777777" w:rsidR="00F76A63" w:rsidRDefault="00000000">
            <w:pPr>
              <w:jc w:val="center"/>
              <w:rPr>
                <w:bCs/>
              </w:rPr>
            </w:pPr>
            <w:r>
              <w:rPr>
                <w:bCs/>
              </w:rPr>
              <w:t>2.2</w:t>
            </w:r>
          </w:p>
        </w:tc>
        <w:tc>
          <w:tcPr>
            <w:tcW w:w="1324" w:type="dxa"/>
            <w:tcBorders>
              <w:top w:val="single" w:sz="4" w:space="0" w:color="auto"/>
              <w:left w:val="single" w:sz="4" w:space="0" w:color="auto"/>
              <w:bottom w:val="single" w:sz="4" w:space="0" w:color="auto"/>
              <w:right w:val="single" w:sz="8" w:space="0" w:color="auto"/>
            </w:tcBorders>
            <w:vAlign w:val="center"/>
          </w:tcPr>
          <w:p w14:paraId="2E80C0DD" w14:textId="77777777" w:rsidR="00F76A63" w:rsidRDefault="00000000">
            <w:pPr>
              <w:jc w:val="center"/>
              <w:rPr>
                <w:bCs/>
              </w:rPr>
            </w:pPr>
            <w:r>
              <w:rPr>
                <w:bCs/>
              </w:rPr>
              <w:t>0</w:t>
            </w:r>
          </w:p>
        </w:tc>
      </w:tr>
      <w:tr w:rsidR="00F76A63" w14:paraId="1B6ED061"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19B14BBF"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41B39A08" w14:textId="77777777" w:rsidR="00F76A63" w:rsidRDefault="00000000">
            <w:pPr>
              <w:jc w:val="center"/>
              <w:rPr>
                <w:bCs/>
              </w:rPr>
            </w:pPr>
            <w:r>
              <w:rPr>
                <w:bCs/>
              </w:rPr>
              <w:t>收尘滤袋</w:t>
            </w:r>
          </w:p>
        </w:tc>
        <w:tc>
          <w:tcPr>
            <w:tcW w:w="1701" w:type="dxa"/>
            <w:tcBorders>
              <w:top w:val="single" w:sz="4" w:space="0" w:color="auto"/>
              <w:left w:val="single" w:sz="4" w:space="0" w:color="auto"/>
              <w:bottom w:val="single" w:sz="4" w:space="0" w:color="auto"/>
              <w:right w:val="single" w:sz="4" w:space="0" w:color="auto"/>
            </w:tcBorders>
            <w:vAlign w:val="center"/>
          </w:tcPr>
          <w:p w14:paraId="2228EEDD" w14:textId="77777777" w:rsidR="00F76A63" w:rsidRDefault="00000000">
            <w:pPr>
              <w:jc w:val="center"/>
              <w:rPr>
                <w:bCs/>
              </w:rPr>
            </w:pPr>
            <w:r>
              <w:rPr>
                <w:bCs/>
              </w:rPr>
              <w:t>15.69</w:t>
            </w:r>
          </w:p>
        </w:tc>
        <w:tc>
          <w:tcPr>
            <w:tcW w:w="1418" w:type="dxa"/>
            <w:tcBorders>
              <w:top w:val="single" w:sz="4" w:space="0" w:color="auto"/>
              <w:left w:val="single" w:sz="4" w:space="0" w:color="auto"/>
              <w:bottom w:val="single" w:sz="4" w:space="0" w:color="auto"/>
              <w:right w:val="single" w:sz="4" w:space="0" w:color="auto"/>
            </w:tcBorders>
            <w:vAlign w:val="center"/>
          </w:tcPr>
          <w:p w14:paraId="1760527A" w14:textId="77777777" w:rsidR="00F76A63" w:rsidRDefault="00000000">
            <w:pPr>
              <w:jc w:val="center"/>
              <w:rPr>
                <w:bCs/>
              </w:rPr>
            </w:pPr>
            <w:r>
              <w:rPr>
                <w:bCs/>
              </w:rPr>
              <w:t>15.69</w:t>
            </w:r>
          </w:p>
        </w:tc>
        <w:tc>
          <w:tcPr>
            <w:tcW w:w="1559" w:type="dxa"/>
            <w:tcBorders>
              <w:top w:val="single" w:sz="4" w:space="0" w:color="auto"/>
              <w:left w:val="single" w:sz="4" w:space="0" w:color="auto"/>
              <w:bottom w:val="single" w:sz="4" w:space="0" w:color="auto"/>
              <w:right w:val="single" w:sz="4" w:space="0" w:color="auto"/>
            </w:tcBorders>
            <w:vAlign w:val="center"/>
          </w:tcPr>
          <w:p w14:paraId="6548E304"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383A0258"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2478C768"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4886A7AA" w14:textId="77777777" w:rsidR="00F76A63" w:rsidRDefault="00000000">
            <w:pPr>
              <w:jc w:val="center"/>
              <w:rPr>
                <w:bCs/>
              </w:rPr>
            </w:pPr>
            <w:r>
              <w:rPr>
                <w:bCs/>
              </w:rPr>
              <w:t>15.69</w:t>
            </w:r>
          </w:p>
        </w:tc>
        <w:tc>
          <w:tcPr>
            <w:tcW w:w="1324" w:type="dxa"/>
            <w:tcBorders>
              <w:top w:val="single" w:sz="4" w:space="0" w:color="auto"/>
              <w:left w:val="single" w:sz="4" w:space="0" w:color="auto"/>
              <w:bottom w:val="single" w:sz="4" w:space="0" w:color="auto"/>
              <w:right w:val="single" w:sz="8" w:space="0" w:color="auto"/>
            </w:tcBorders>
          </w:tcPr>
          <w:p w14:paraId="70DAF826" w14:textId="77777777" w:rsidR="00F76A63" w:rsidRDefault="00000000">
            <w:pPr>
              <w:jc w:val="center"/>
              <w:rPr>
                <w:bCs/>
              </w:rPr>
            </w:pPr>
            <w:r>
              <w:rPr>
                <w:bCs/>
              </w:rPr>
              <w:t>0</w:t>
            </w:r>
          </w:p>
        </w:tc>
      </w:tr>
      <w:tr w:rsidR="00F76A63" w14:paraId="30A93996"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053CD569"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09D3CB27" w14:textId="77777777" w:rsidR="00F76A63" w:rsidRDefault="00000000">
            <w:pPr>
              <w:jc w:val="center"/>
              <w:rPr>
                <w:bCs/>
              </w:rPr>
            </w:pPr>
            <w:r>
              <w:rPr>
                <w:bCs/>
              </w:rPr>
              <w:t>收集粉尘</w:t>
            </w:r>
          </w:p>
        </w:tc>
        <w:tc>
          <w:tcPr>
            <w:tcW w:w="1701" w:type="dxa"/>
            <w:tcBorders>
              <w:top w:val="single" w:sz="4" w:space="0" w:color="auto"/>
              <w:left w:val="single" w:sz="4" w:space="0" w:color="auto"/>
              <w:bottom w:val="single" w:sz="4" w:space="0" w:color="auto"/>
              <w:right w:val="single" w:sz="4" w:space="0" w:color="auto"/>
            </w:tcBorders>
            <w:vAlign w:val="center"/>
          </w:tcPr>
          <w:p w14:paraId="1D255EE0" w14:textId="77777777" w:rsidR="00F76A63" w:rsidRDefault="00000000">
            <w:pPr>
              <w:jc w:val="center"/>
              <w:rPr>
                <w:bCs/>
              </w:rPr>
            </w:pPr>
            <w:r>
              <w:rPr>
                <w:bCs/>
              </w:rPr>
              <w:t>102.11</w:t>
            </w:r>
          </w:p>
        </w:tc>
        <w:tc>
          <w:tcPr>
            <w:tcW w:w="1418" w:type="dxa"/>
            <w:tcBorders>
              <w:top w:val="single" w:sz="4" w:space="0" w:color="auto"/>
              <w:left w:val="single" w:sz="4" w:space="0" w:color="auto"/>
              <w:bottom w:val="single" w:sz="4" w:space="0" w:color="auto"/>
              <w:right w:val="single" w:sz="4" w:space="0" w:color="auto"/>
            </w:tcBorders>
            <w:vAlign w:val="center"/>
          </w:tcPr>
          <w:p w14:paraId="3DB58AB2" w14:textId="77777777" w:rsidR="00F76A63" w:rsidRDefault="00000000">
            <w:pPr>
              <w:jc w:val="center"/>
              <w:rPr>
                <w:bCs/>
              </w:rPr>
            </w:pPr>
            <w:r>
              <w:rPr>
                <w:bCs/>
              </w:rPr>
              <w:t>102.11</w:t>
            </w:r>
          </w:p>
        </w:tc>
        <w:tc>
          <w:tcPr>
            <w:tcW w:w="1559" w:type="dxa"/>
            <w:tcBorders>
              <w:top w:val="single" w:sz="4" w:space="0" w:color="auto"/>
              <w:left w:val="single" w:sz="4" w:space="0" w:color="auto"/>
              <w:bottom w:val="single" w:sz="4" w:space="0" w:color="auto"/>
              <w:right w:val="single" w:sz="4" w:space="0" w:color="auto"/>
            </w:tcBorders>
            <w:vAlign w:val="center"/>
          </w:tcPr>
          <w:p w14:paraId="7896A7E7"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46B42F92"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0991C830"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38B98C3D" w14:textId="77777777" w:rsidR="00F76A63" w:rsidRDefault="00000000">
            <w:pPr>
              <w:jc w:val="center"/>
              <w:rPr>
                <w:bCs/>
              </w:rPr>
            </w:pPr>
            <w:r>
              <w:rPr>
                <w:bCs/>
              </w:rPr>
              <w:t>102.11</w:t>
            </w:r>
          </w:p>
        </w:tc>
        <w:tc>
          <w:tcPr>
            <w:tcW w:w="1324" w:type="dxa"/>
            <w:tcBorders>
              <w:top w:val="single" w:sz="4" w:space="0" w:color="auto"/>
              <w:left w:val="single" w:sz="4" w:space="0" w:color="auto"/>
              <w:bottom w:val="single" w:sz="4" w:space="0" w:color="auto"/>
              <w:right w:val="single" w:sz="8" w:space="0" w:color="auto"/>
            </w:tcBorders>
          </w:tcPr>
          <w:p w14:paraId="4145DFD8" w14:textId="77777777" w:rsidR="00F76A63" w:rsidRDefault="00000000">
            <w:pPr>
              <w:jc w:val="center"/>
              <w:rPr>
                <w:bCs/>
              </w:rPr>
            </w:pPr>
            <w:r>
              <w:rPr>
                <w:bCs/>
              </w:rPr>
              <w:t>0</w:t>
            </w:r>
          </w:p>
        </w:tc>
      </w:tr>
      <w:tr w:rsidR="00F76A63" w14:paraId="1FA39C1A"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6712FA58"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5E1AED6A" w14:textId="77777777" w:rsidR="00F76A63" w:rsidRDefault="00000000">
            <w:pPr>
              <w:jc w:val="center"/>
              <w:rPr>
                <w:bCs/>
              </w:rPr>
            </w:pPr>
            <w:r>
              <w:rPr>
                <w:bCs/>
              </w:rPr>
              <w:t>废橡胶皮带</w:t>
            </w:r>
          </w:p>
        </w:tc>
        <w:tc>
          <w:tcPr>
            <w:tcW w:w="1701" w:type="dxa"/>
            <w:tcBorders>
              <w:top w:val="single" w:sz="4" w:space="0" w:color="auto"/>
              <w:left w:val="single" w:sz="4" w:space="0" w:color="auto"/>
              <w:bottom w:val="single" w:sz="4" w:space="0" w:color="auto"/>
              <w:right w:val="single" w:sz="4" w:space="0" w:color="auto"/>
            </w:tcBorders>
            <w:vAlign w:val="center"/>
          </w:tcPr>
          <w:p w14:paraId="4A12E77B" w14:textId="77777777" w:rsidR="00F76A63" w:rsidRDefault="00000000">
            <w:pPr>
              <w:jc w:val="center"/>
              <w:rPr>
                <w:bCs/>
              </w:rPr>
            </w:pPr>
            <w:r>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14:paraId="524729B5" w14:textId="77777777" w:rsidR="00F76A63" w:rsidRDefault="00000000">
            <w:pPr>
              <w:jc w:val="center"/>
              <w:rPr>
                <w:bCs/>
              </w:rPr>
            </w:pPr>
            <w:r>
              <w:rPr>
                <w:bCs/>
              </w:rPr>
              <w:t>25</w:t>
            </w:r>
          </w:p>
        </w:tc>
        <w:tc>
          <w:tcPr>
            <w:tcW w:w="1559" w:type="dxa"/>
            <w:tcBorders>
              <w:top w:val="single" w:sz="4" w:space="0" w:color="auto"/>
              <w:left w:val="single" w:sz="4" w:space="0" w:color="auto"/>
              <w:bottom w:val="single" w:sz="4" w:space="0" w:color="auto"/>
              <w:right w:val="single" w:sz="4" w:space="0" w:color="auto"/>
            </w:tcBorders>
            <w:vAlign w:val="center"/>
          </w:tcPr>
          <w:p w14:paraId="0F17DE4C"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21B7BF69"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2136E2A8"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51A213C2" w14:textId="77777777" w:rsidR="00F76A63" w:rsidRDefault="00000000">
            <w:pPr>
              <w:jc w:val="center"/>
              <w:rPr>
                <w:bCs/>
              </w:rPr>
            </w:pPr>
            <w:r>
              <w:rPr>
                <w:bCs/>
              </w:rPr>
              <w:t>25</w:t>
            </w:r>
          </w:p>
        </w:tc>
        <w:tc>
          <w:tcPr>
            <w:tcW w:w="1324" w:type="dxa"/>
            <w:tcBorders>
              <w:top w:val="single" w:sz="4" w:space="0" w:color="auto"/>
              <w:left w:val="single" w:sz="4" w:space="0" w:color="auto"/>
              <w:bottom w:val="single" w:sz="4" w:space="0" w:color="auto"/>
              <w:right w:val="single" w:sz="8" w:space="0" w:color="auto"/>
            </w:tcBorders>
          </w:tcPr>
          <w:p w14:paraId="51DCD351" w14:textId="77777777" w:rsidR="00F76A63" w:rsidRDefault="00000000">
            <w:pPr>
              <w:jc w:val="center"/>
              <w:rPr>
                <w:bCs/>
              </w:rPr>
            </w:pPr>
            <w:r>
              <w:rPr>
                <w:bCs/>
              </w:rPr>
              <w:t>0</w:t>
            </w:r>
          </w:p>
        </w:tc>
      </w:tr>
      <w:tr w:rsidR="00F76A63" w14:paraId="694AB443" w14:textId="77777777">
        <w:trPr>
          <w:trHeight w:val="369"/>
          <w:jc w:val="center"/>
        </w:trPr>
        <w:tc>
          <w:tcPr>
            <w:tcW w:w="1265" w:type="dxa"/>
            <w:gridSpan w:val="2"/>
            <w:vMerge w:val="restart"/>
            <w:tcBorders>
              <w:top w:val="single" w:sz="4" w:space="0" w:color="auto"/>
              <w:left w:val="single" w:sz="8" w:space="0" w:color="auto"/>
              <w:bottom w:val="single" w:sz="4" w:space="0" w:color="auto"/>
              <w:right w:val="single" w:sz="4" w:space="0" w:color="auto"/>
            </w:tcBorders>
            <w:vAlign w:val="center"/>
          </w:tcPr>
          <w:p w14:paraId="62A84478" w14:textId="77777777" w:rsidR="00F76A63" w:rsidRDefault="00000000">
            <w:pPr>
              <w:jc w:val="center"/>
              <w:rPr>
                <w:b/>
                <w:bCs/>
              </w:rPr>
            </w:pPr>
            <w:r>
              <w:rPr>
                <w:b/>
                <w:bCs/>
              </w:rPr>
              <w:t>危险废物</w:t>
            </w:r>
          </w:p>
        </w:tc>
        <w:tc>
          <w:tcPr>
            <w:tcW w:w="1563" w:type="dxa"/>
            <w:tcBorders>
              <w:top w:val="single" w:sz="4" w:space="0" w:color="auto"/>
              <w:left w:val="single" w:sz="4" w:space="0" w:color="auto"/>
              <w:bottom w:val="single" w:sz="4" w:space="0" w:color="auto"/>
              <w:right w:val="single" w:sz="4" w:space="0" w:color="auto"/>
            </w:tcBorders>
            <w:vAlign w:val="center"/>
          </w:tcPr>
          <w:p w14:paraId="6C57A42E" w14:textId="77777777" w:rsidR="00F76A63" w:rsidRDefault="00000000">
            <w:pPr>
              <w:jc w:val="center"/>
              <w:rPr>
                <w:bCs/>
              </w:rPr>
            </w:pPr>
            <w:r>
              <w:rPr>
                <w:bCs/>
              </w:rPr>
              <w:t>废机油</w:t>
            </w:r>
          </w:p>
        </w:tc>
        <w:tc>
          <w:tcPr>
            <w:tcW w:w="1701" w:type="dxa"/>
            <w:tcBorders>
              <w:top w:val="single" w:sz="4" w:space="0" w:color="auto"/>
              <w:left w:val="single" w:sz="4" w:space="0" w:color="auto"/>
              <w:bottom w:val="single" w:sz="4" w:space="0" w:color="auto"/>
              <w:right w:val="single" w:sz="4" w:space="0" w:color="auto"/>
            </w:tcBorders>
            <w:vAlign w:val="center"/>
          </w:tcPr>
          <w:p w14:paraId="79426AD3" w14:textId="77777777" w:rsidR="00F76A63" w:rsidRDefault="00000000">
            <w:pPr>
              <w:jc w:val="center"/>
              <w:rPr>
                <w:bCs/>
              </w:rPr>
            </w:pPr>
            <w:r>
              <w:rPr>
                <w:bCs/>
              </w:rPr>
              <w:t>27.14</w:t>
            </w:r>
          </w:p>
        </w:tc>
        <w:tc>
          <w:tcPr>
            <w:tcW w:w="1418" w:type="dxa"/>
            <w:tcBorders>
              <w:top w:val="single" w:sz="4" w:space="0" w:color="auto"/>
              <w:left w:val="single" w:sz="4" w:space="0" w:color="auto"/>
              <w:bottom w:val="single" w:sz="4" w:space="0" w:color="auto"/>
              <w:right w:val="single" w:sz="4" w:space="0" w:color="auto"/>
            </w:tcBorders>
            <w:vAlign w:val="center"/>
          </w:tcPr>
          <w:p w14:paraId="04091312" w14:textId="77777777" w:rsidR="00F76A63" w:rsidRDefault="00000000">
            <w:pPr>
              <w:jc w:val="center"/>
              <w:rPr>
                <w:bCs/>
              </w:rPr>
            </w:pPr>
            <w:r>
              <w:rPr>
                <w:bCs/>
              </w:rPr>
              <w:t>27.14</w:t>
            </w:r>
          </w:p>
        </w:tc>
        <w:tc>
          <w:tcPr>
            <w:tcW w:w="1559" w:type="dxa"/>
            <w:tcBorders>
              <w:top w:val="single" w:sz="4" w:space="0" w:color="auto"/>
              <w:left w:val="single" w:sz="4" w:space="0" w:color="auto"/>
              <w:bottom w:val="single" w:sz="4" w:space="0" w:color="auto"/>
              <w:right w:val="single" w:sz="4" w:space="0" w:color="auto"/>
            </w:tcBorders>
            <w:vAlign w:val="center"/>
          </w:tcPr>
          <w:p w14:paraId="6B2D5B19"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460CCBD0"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73F3BC9B"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6897828A" w14:textId="77777777" w:rsidR="00F76A63" w:rsidRDefault="00000000">
            <w:pPr>
              <w:jc w:val="center"/>
              <w:rPr>
                <w:bCs/>
              </w:rPr>
            </w:pPr>
            <w:r>
              <w:rPr>
                <w:bCs/>
              </w:rPr>
              <w:t>27.14</w:t>
            </w:r>
          </w:p>
        </w:tc>
        <w:tc>
          <w:tcPr>
            <w:tcW w:w="1324" w:type="dxa"/>
            <w:tcBorders>
              <w:top w:val="single" w:sz="4" w:space="0" w:color="auto"/>
              <w:left w:val="single" w:sz="4" w:space="0" w:color="auto"/>
              <w:bottom w:val="single" w:sz="4" w:space="0" w:color="auto"/>
              <w:right w:val="single" w:sz="8" w:space="0" w:color="auto"/>
            </w:tcBorders>
          </w:tcPr>
          <w:p w14:paraId="1777C845" w14:textId="77777777" w:rsidR="00F76A63" w:rsidRDefault="00000000">
            <w:pPr>
              <w:jc w:val="center"/>
              <w:rPr>
                <w:bCs/>
              </w:rPr>
            </w:pPr>
            <w:r>
              <w:rPr>
                <w:bCs/>
              </w:rPr>
              <w:t>0</w:t>
            </w:r>
          </w:p>
        </w:tc>
      </w:tr>
      <w:tr w:rsidR="00F76A63" w14:paraId="53FA3625"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71F26D31"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7C53DE7E" w14:textId="77777777" w:rsidR="00F76A63" w:rsidRDefault="00000000">
            <w:pPr>
              <w:jc w:val="center"/>
              <w:rPr>
                <w:bCs/>
              </w:rPr>
            </w:pPr>
            <w:r>
              <w:rPr>
                <w:bCs/>
              </w:rPr>
              <w:t>化验室废液</w:t>
            </w:r>
          </w:p>
        </w:tc>
        <w:tc>
          <w:tcPr>
            <w:tcW w:w="1701" w:type="dxa"/>
            <w:tcBorders>
              <w:top w:val="single" w:sz="4" w:space="0" w:color="auto"/>
              <w:left w:val="single" w:sz="4" w:space="0" w:color="auto"/>
              <w:bottom w:val="single" w:sz="4" w:space="0" w:color="auto"/>
              <w:right w:val="single" w:sz="4" w:space="0" w:color="auto"/>
            </w:tcBorders>
            <w:vAlign w:val="center"/>
          </w:tcPr>
          <w:p w14:paraId="388B84FB" w14:textId="77777777" w:rsidR="00F76A63" w:rsidRDefault="00000000">
            <w:pPr>
              <w:jc w:val="center"/>
              <w:rPr>
                <w:bCs/>
              </w:rPr>
            </w:pPr>
            <w:r>
              <w:rPr>
                <w:bCs/>
              </w:rPr>
              <w:t>4.5</w:t>
            </w:r>
            <w:r>
              <w:rPr>
                <w:bCs/>
              </w:rPr>
              <w:t>（含</w:t>
            </w:r>
            <w:r>
              <w:rPr>
                <w:bCs/>
              </w:rPr>
              <w:t>0.1t/a</w:t>
            </w:r>
            <w:r>
              <w:rPr>
                <w:bCs/>
              </w:rPr>
              <w:t>废试剂瓶）</w:t>
            </w:r>
          </w:p>
        </w:tc>
        <w:tc>
          <w:tcPr>
            <w:tcW w:w="1418" w:type="dxa"/>
            <w:tcBorders>
              <w:top w:val="single" w:sz="4" w:space="0" w:color="auto"/>
              <w:left w:val="single" w:sz="4" w:space="0" w:color="auto"/>
              <w:bottom w:val="single" w:sz="4" w:space="0" w:color="auto"/>
              <w:right w:val="single" w:sz="4" w:space="0" w:color="auto"/>
            </w:tcBorders>
            <w:vAlign w:val="center"/>
          </w:tcPr>
          <w:p w14:paraId="5B7958BD" w14:textId="77777777" w:rsidR="00F76A63" w:rsidRDefault="00000000">
            <w:pPr>
              <w:jc w:val="center"/>
              <w:rPr>
                <w:bCs/>
              </w:rPr>
            </w:pPr>
            <w:r>
              <w:rPr>
                <w:bCs/>
              </w:rPr>
              <w:t>4.5</w:t>
            </w:r>
            <w:r>
              <w:rPr>
                <w:bCs/>
              </w:rPr>
              <w:t>（含</w:t>
            </w:r>
            <w:r>
              <w:rPr>
                <w:bCs/>
              </w:rPr>
              <w:t>0.1t/a</w:t>
            </w:r>
            <w:r>
              <w:rPr>
                <w:bCs/>
              </w:rPr>
              <w:t>废试剂瓶）</w:t>
            </w:r>
          </w:p>
        </w:tc>
        <w:tc>
          <w:tcPr>
            <w:tcW w:w="1559" w:type="dxa"/>
            <w:tcBorders>
              <w:top w:val="single" w:sz="4" w:space="0" w:color="auto"/>
              <w:left w:val="single" w:sz="4" w:space="0" w:color="auto"/>
              <w:bottom w:val="single" w:sz="4" w:space="0" w:color="auto"/>
              <w:right w:val="single" w:sz="4" w:space="0" w:color="auto"/>
            </w:tcBorders>
            <w:vAlign w:val="center"/>
          </w:tcPr>
          <w:p w14:paraId="594E3668"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288A1544"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545E913E"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4AF6D290" w14:textId="77777777" w:rsidR="00F76A63" w:rsidRDefault="00000000">
            <w:pPr>
              <w:jc w:val="center"/>
              <w:rPr>
                <w:bCs/>
              </w:rPr>
            </w:pPr>
            <w:r>
              <w:rPr>
                <w:bCs/>
              </w:rPr>
              <w:t>4.5</w:t>
            </w:r>
            <w:r>
              <w:rPr>
                <w:bCs/>
              </w:rPr>
              <w:t>（含</w:t>
            </w:r>
            <w:r>
              <w:rPr>
                <w:bCs/>
              </w:rPr>
              <w:t>0.1t/a</w:t>
            </w:r>
            <w:r>
              <w:rPr>
                <w:bCs/>
              </w:rPr>
              <w:t>废试剂瓶）</w:t>
            </w:r>
          </w:p>
        </w:tc>
        <w:tc>
          <w:tcPr>
            <w:tcW w:w="1324" w:type="dxa"/>
            <w:tcBorders>
              <w:top w:val="single" w:sz="4" w:space="0" w:color="auto"/>
              <w:left w:val="single" w:sz="4" w:space="0" w:color="auto"/>
              <w:bottom w:val="single" w:sz="4" w:space="0" w:color="auto"/>
              <w:right w:val="single" w:sz="8" w:space="0" w:color="auto"/>
            </w:tcBorders>
          </w:tcPr>
          <w:p w14:paraId="79F8AC62" w14:textId="77777777" w:rsidR="00F76A63" w:rsidRDefault="00000000">
            <w:pPr>
              <w:jc w:val="center"/>
              <w:rPr>
                <w:bCs/>
              </w:rPr>
            </w:pPr>
            <w:r>
              <w:rPr>
                <w:bCs/>
              </w:rPr>
              <w:t>0</w:t>
            </w:r>
          </w:p>
        </w:tc>
      </w:tr>
      <w:tr w:rsidR="00F76A63" w14:paraId="4FAD93BA"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40FBFDBC"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1E41FC67" w14:textId="77777777" w:rsidR="00F76A63" w:rsidRDefault="00000000">
            <w:pPr>
              <w:jc w:val="center"/>
              <w:rPr>
                <w:bCs/>
              </w:rPr>
            </w:pPr>
            <w:r>
              <w:rPr>
                <w:bCs/>
              </w:rPr>
              <w:t>废油桶</w:t>
            </w:r>
          </w:p>
        </w:tc>
        <w:tc>
          <w:tcPr>
            <w:tcW w:w="1701" w:type="dxa"/>
            <w:tcBorders>
              <w:top w:val="single" w:sz="4" w:space="0" w:color="auto"/>
              <w:left w:val="single" w:sz="4" w:space="0" w:color="auto"/>
              <w:bottom w:val="single" w:sz="4" w:space="0" w:color="auto"/>
              <w:right w:val="single" w:sz="4" w:space="0" w:color="auto"/>
            </w:tcBorders>
            <w:vAlign w:val="center"/>
          </w:tcPr>
          <w:p w14:paraId="647CAC7E" w14:textId="77777777" w:rsidR="00F76A63" w:rsidRDefault="00000000">
            <w:pPr>
              <w:jc w:val="center"/>
              <w:rPr>
                <w:bCs/>
              </w:rPr>
            </w:pPr>
            <w:r>
              <w:rPr>
                <w:bCs/>
              </w:rPr>
              <w:t>17.65</w:t>
            </w:r>
          </w:p>
        </w:tc>
        <w:tc>
          <w:tcPr>
            <w:tcW w:w="1418" w:type="dxa"/>
            <w:tcBorders>
              <w:top w:val="single" w:sz="4" w:space="0" w:color="auto"/>
              <w:left w:val="single" w:sz="4" w:space="0" w:color="auto"/>
              <w:bottom w:val="single" w:sz="4" w:space="0" w:color="auto"/>
              <w:right w:val="single" w:sz="4" w:space="0" w:color="auto"/>
            </w:tcBorders>
            <w:vAlign w:val="center"/>
          </w:tcPr>
          <w:p w14:paraId="1DF25D01" w14:textId="77777777" w:rsidR="00F76A63" w:rsidRDefault="00000000">
            <w:pPr>
              <w:jc w:val="center"/>
              <w:rPr>
                <w:bCs/>
              </w:rPr>
            </w:pPr>
            <w:r>
              <w:rPr>
                <w:bCs/>
              </w:rPr>
              <w:t>17.65</w:t>
            </w:r>
          </w:p>
        </w:tc>
        <w:tc>
          <w:tcPr>
            <w:tcW w:w="1559" w:type="dxa"/>
            <w:tcBorders>
              <w:top w:val="single" w:sz="4" w:space="0" w:color="auto"/>
              <w:left w:val="single" w:sz="4" w:space="0" w:color="auto"/>
              <w:bottom w:val="single" w:sz="4" w:space="0" w:color="auto"/>
              <w:right w:val="single" w:sz="4" w:space="0" w:color="auto"/>
            </w:tcBorders>
            <w:vAlign w:val="center"/>
          </w:tcPr>
          <w:p w14:paraId="75E6B32C"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2E748796"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47824ED9"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6D17AE00" w14:textId="77777777" w:rsidR="00F76A63" w:rsidRDefault="00000000">
            <w:pPr>
              <w:jc w:val="center"/>
              <w:rPr>
                <w:bCs/>
              </w:rPr>
            </w:pPr>
            <w:r>
              <w:rPr>
                <w:bCs/>
              </w:rPr>
              <w:t>17.65</w:t>
            </w:r>
          </w:p>
        </w:tc>
        <w:tc>
          <w:tcPr>
            <w:tcW w:w="1324" w:type="dxa"/>
            <w:tcBorders>
              <w:top w:val="single" w:sz="4" w:space="0" w:color="auto"/>
              <w:left w:val="single" w:sz="4" w:space="0" w:color="auto"/>
              <w:bottom w:val="single" w:sz="4" w:space="0" w:color="auto"/>
              <w:right w:val="single" w:sz="8" w:space="0" w:color="auto"/>
            </w:tcBorders>
          </w:tcPr>
          <w:p w14:paraId="407B27AB" w14:textId="77777777" w:rsidR="00F76A63" w:rsidRDefault="00000000">
            <w:pPr>
              <w:jc w:val="center"/>
              <w:rPr>
                <w:bCs/>
              </w:rPr>
            </w:pPr>
            <w:r>
              <w:rPr>
                <w:bCs/>
              </w:rPr>
              <w:t>0</w:t>
            </w:r>
          </w:p>
        </w:tc>
      </w:tr>
      <w:tr w:rsidR="00F76A63" w14:paraId="725F7E52"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510920C9"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663B8D2B" w14:textId="77777777" w:rsidR="00F76A63" w:rsidRDefault="00000000">
            <w:pPr>
              <w:jc w:val="center"/>
              <w:rPr>
                <w:bCs/>
              </w:rPr>
            </w:pPr>
            <w:r>
              <w:rPr>
                <w:bCs/>
              </w:rPr>
              <w:t>除尘灰</w:t>
            </w:r>
          </w:p>
        </w:tc>
        <w:tc>
          <w:tcPr>
            <w:tcW w:w="1701" w:type="dxa"/>
            <w:tcBorders>
              <w:top w:val="single" w:sz="4" w:space="0" w:color="auto"/>
              <w:left w:val="single" w:sz="4" w:space="0" w:color="auto"/>
              <w:bottom w:val="single" w:sz="4" w:space="0" w:color="auto"/>
              <w:right w:val="single" w:sz="4" w:space="0" w:color="auto"/>
            </w:tcBorders>
            <w:vAlign w:val="center"/>
          </w:tcPr>
          <w:p w14:paraId="15A395C5" w14:textId="77777777" w:rsidR="00F76A63" w:rsidRDefault="00000000">
            <w:pPr>
              <w:jc w:val="center"/>
              <w:rPr>
                <w:bCs/>
              </w:rPr>
            </w:pPr>
            <w:r>
              <w:rPr>
                <w:bCs/>
              </w:rPr>
              <w:t>3560</w:t>
            </w:r>
          </w:p>
        </w:tc>
        <w:tc>
          <w:tcPr>
            <w:tcW w:w="1418" w:type="dxa"/>
            <w:tcBorders>
              <w:top w:val="single" w:sz="4" w:space="0" w:color="auto"/>
              <w:left w:val="single" w:sz="4" w:space="0" w:color="auto"/>
              <w:bottom w:val="single" w:sz="4" w:space="0" w:color="auto"/>
              <w:right w:val="single" w:sz="4" w:space="0" w:color="auto"/>
            </w:tcBorders>
            <w:vAlign w:val="center"/>
          </w:tcPr>
          <w:p w14:paraId="3FB576AA" w14:textId="77777777" w:rsidR="00F76A63" w:rsidRDefault="00000000">
            <w:pPr>
              <w:jc w:val="center"/>
              <w:rPr>
                <w:bCs/>
              </w:rPr>
            </w:pPr>
            <w:r>
              <w:rPr>
                <w:bCs/>
              </w:rPr>
              <w:t>3560</w:t>
            </w:r>
          </w:p>
        </w:tc>
        <w:tc>
          <w:tcPr>
            <w:tcW w:w="1559" w:type="dxa"/>
            <w:tcBorders>
              <w:top w:val="single" w:sz="4" w:space="0" w:color="auto"/>
              <w:left w:val="single" w:sz="4" w:space="0" w:color="auto"/>
              <w:bottom w:val="single" w:sz="4" w:space="0" w:color="auto"/>
              <w:right w:val="single" w:sz="4" w:space="0" w:color="auto"/>
            </w:tcBorders>
            <w:vAlign w:val="center"/>
          </w:tcPr>
          <w:p w14:paraId="2F963844"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30F960BF"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6A014345"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4D7E9DA2" w14:textId="77777777" w:rsidR="00F76A63" w:rsidRDefault="00000000">
            <w:pPr>
              <w:jc w:val="center"/>
              <w:rPr>
                <w:bCs/>
              </w:rPr>
            </w:pPr>
            <w:r>
              <w:rPr>
                <w:bCs/>
              </w:rPr>
              <w:t>3560</w:t>
            </w:r>
          </w:p>
        </w:tc>
        <w:tc>
          <w:tcPr>
            <w:tcW w:w="1324" w:type="dxa"/>
            <w:tcBorders>
              <w:top w:val="single" w:sz="4" w:space="0" w:color="auto"/>
              <w:left w:val="single" w:sz="4" w:space="0" w:color="auto"/>
              <w:bottom w:val="single" w:sz="4" w:space="0" w:color="auto"/>
              <w:right w:val="single" w:sz="8" w:space="0" w:color="auto"/>
            </w:tcBorders>
          </w:tcPr>
          <w:p w14:paraId="0D723B74" w14:textId="77777777" w:rsidR="00F76A63" w:rsidRDefault="00000000">
            <w:pPr>
              <w:jc w:val="center"/>
              <w:rPr>
                <w:bCs/>
              </w:rPr>
            </w:pPr>
            <w:r>
              <w:rPr>
                <w:bCs/>
              </w:rPr>
              <w:t>0</w:t>
            </w:r>
          </w:p>
        </w:tc>
      </w:tr>
      <w:tr w:rsidR="00F76A63" w14:paraId="27C7A74D"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547DFDEF"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00839444" w14:textId="77777777" w:rsidR="00F76A63" w:rsidRDefault="00000000">
            <w:pPr>
              <w:jc w:val="center"/>
              <w:rPr>
                <w:bCs/>
              </w:rPr>
            </w:pPr>
            <w:r>
              <w:rPr>
                <w:bCs/>
              </w:rPr>
              <w:t>洗灰废水处理站污泥</w:t>
            </w:r>
          </w:p>
        </w:tc>
        <w:tc>
          <w:tcPr>
            <w:tcW w:w="1701" w:type="dxa"/>
            <w:tcBorders>
              <w:top w:val="single" w:sz="4" w:space="0" w:color="auto"/>
              <w:left w:val="single" w:sz="4" w:space="0" w:color="auto"/>
              <w:bottom w:val="single" w:sz="4" w:space="0" w:color="auto"/>
              <w:right w:val="single" w:sz="4" w:space="0" w:color="auto"/>
            </w:tcBorders>
            <w:vAlign w:val="center"/>
          </w:tcPr>
          <w:p w14:paraId="52DBB165" w14:textId="77777777" w:rsidR="00F76A63" w:rsidRDefault="00000000">
            <w:pPr>
              <w:jc w:val="center"/>
              <w:rPr>
                <w:bCs/>
              </w:rPr>
            </w:pPr>
            <w:r>
              <w:rPr>
                <w:bCs/>
              </w:rPr>
              <w:t>20</w:t>
            </w:r>
          </w:p>
        </w:tc>
        <w:tc>
          <w:tcPr>
            <w:tcW w:w="1418" w:type="dxa"/>
            <w:tcBorders>
              <w:top w:val="single" w:sz="4" w:space="0" w:color="auto"/>
              <w:left w:val="single" w:sz="4" w:space="0" w:color="auto"/>
              <w:bottom w:val="single" w:sz="4" w:space="0" w:color="auto"/>
              <w:right w:val="single" w:sz="4" w:space="0" w:color="auto"/>
            </w:tcBorders>
            <w:vAlign w:val="center"/>
          </w:tcPr>
          <w:p w14:paraId="51314E7A" w14:textId="77777777" w:rsidR="00F76A63" w:rsidRDefault="00000000">
            <w:pPr>
              <w:jc w:val="center"/>
              <w:rPr>
                <w:bCs/>
              </w:rPr>
            </w:pPr>
            <w:r>
              <w:rPr>
                <w:bCs/>
              </w:rPr>
              <w:t>20</w:t>
            </w:r>
          </w:p>
        </w:tc>
        <w:tc>
          <w:tcPr>
            <w:tcW w:w="1559" w:type="dxa"/>
            <w:tcBorders>
              <w:top w:val="single" w:sz="4" w:space="0" w:color="auto"/>
              <w:left w:val="single" w:sz="4" w:space="0" w:color="auto"/>
              <w:bottom w:val="single" w:sz="4" w:space="0" w:color="auto"/>
              <w:right w:val="single" w:sz="4" w:space="0" w:color="auto"/>
            </w:tcBorders>
            <w:vAlign w:val="center"/>
          </w:tcPr>
          <w:p w14:paraId="6B9C7B01"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6D27C9A6"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2A6FE1E9"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213A842F" w14:textId="77777777" w:rsidR="00F76A63" w:rsidRDefault="00000000">
            <w:pPr>
              <w:jc w:val="center"/>
              <w:rPr>
                <w:bCs/>
              </w:rPr>
            </w:pPr>
            <w:r>
              <w:rPr>
                <w:bCs/>
              </w:rPr>
              <w:t>20</w:t>
            </w:r>
          </w:p>
        </w:tc>
        <w:tc>
          <w:tcPr>
            <w:tcW w:w="1324" w:type="dxa"/>
            <w:tcBorders>
              <w:top w:val="single" w:sz="4" w:space="0" w:color="auto"/>
              <w:left w:val="single" w:sz="4" w:space="0" w:color="auto"/>
              <w:bottom w:val="single" w:sz="4" w:space="0" w:color="auto"/>
              <w:right w:val="single" w:sz="8" w:space="0" w:color="auto"/>
            </w:tcBorders>
          </w:tcPr>
          <w:p w14:paraId="5CEDBF10" w14:textId="77777777" w:rsidR="00F76A63" w:rsidRDefault="00000000">
            <w:pPr>
              <w:jc w:val="center"/>
              <w:rPr>
                <w:bCs/>
              </w:rPr>
            </w:pPr>
            <w:r>
              <w:rPr>
                <w:bCs/>
              </w:rPr>
              <w:t>0</w:t>
            </w:r>
          </w:p>
        </w:tc>
      </w:tr>
      <w:tr w:rsidR="00F76A63" w14:paraId="1F83F496"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3169EA53"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474F3237" w14:textId="77777777" w:rsidR="00F76A63" w:rsidRDefault="00000000">
            <w:pPr>
              <w:jc w:val="center"/>
              <w:rPr>
                <w:bCs/>
              </w:rPr>
            </w:pPr>
            <w:r>
              <w:rPr>
                <w:bCs/>
              </w:rPr>
              <w:t>洗灰废水处理站废弃过滤材料</w:t>
            </w:r>
          </w:p>
        </w:tc>
        <w:tc>
          <w:tcPr>
            <w:tcW w:w="1701" w:type="dxa"/>
            <w:tcBorders>
              <w:top w:val="single" w:sz="4" w:space="0" w:color="auto"/>
              <w:left w:val="single" w:sz="4" w:space="0" w:color="auto"/>
              <w:bottom w:val="single" w:sz="4" w:space="0" w:color="auto"/>
              <w:right w:val="single" w:sz="4" w:space="0" w:color="auto"/>
            </w:tcBorders>
            <w:vAlign w:val="center"/>
          </w:tcPr>
          <w:p w14:paraId="44464D6F" w14:textId="77777777" w:rsidR="00F76A63" w:rsidRDefault="00000000">
            <w:pPr>
              <w:jc w:val="center"/>
              <w:rPr>
                <w:bCs/>
              </w:rPr>
            </w:pPr>
            <w:r>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14:paraId="581572EA" w14:textId="77777777" w:rsidR="00F76A63" w:rsidRDefault="00000000">
            <w:pPr>
              <w:jc w:val="center"/>
              <w:rPr>
                <w:bCs/>
              </w:rPr>
            </w:pPr>
            <w:r>
              <w:rPr>
                <w:bCs/>
              </w:rPr>
              <w:t>1</w:t>
            </w:r>
          </w:p>
        </w:tc>
        <w:tc>
          <w:tcPr>
            <w:tcW w:w="1559" w:type="dxa"/>
            <w:tcBorders>
              <w:top w:val="single" w:sz="4" w:space="0" w:color="auto"/>
              <w:left w:val="single" w:sz="4" w:space="0" w:color="auto"/>
              <w:bottom w:val="single" w:sz="4" w:space="0" w:color="auto"/>
              <w:right w:val="single" w:sz="4" w:space="0" w:color="auto"/>
            </w:tcBorders>
            <w:vAlign w:val="center"/>
          </w:tcPr>
          <w:p w14:paraId="49E661CF"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26432422"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78CDEF56"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0F639EEC" w14:textId="77777777" w:rsidR="00F76A63" w:rsidRDefault="00000000">
            <w:pPr>
              <w:jc w:val="center"/>
              <w:rPr>
                <w:bCs/>
              </w:rPr>
            </w:pPr>
            <w:r>
              <w:rPr>
                <w:bCs/>
              </w:rPr>
              <w:t>1</w:t>
            </w:r>
          </w:p>
        </w:tc>
        <w:tc>
          <w:tcPr>
            <w:tcW w:w="1324" w:type="dxa"/>
            <w:tcBorders>
              <w:top w:val="single" w:sz="4" w:space="0" w:color="auto"/>
              <w:left w:val="single" w:sz="4" w:space="0" w:color="auto"/>
              <w:bottom w:val="single" w:sz="4" w:space="0" w:color="auto"/>
              <w:right w:val="single" w:sz="8" w:space="0" w:color="auto"/>
            </w:tcBorders>
          </w:tcPr>
          <w:p w14:paraId="7BD46DC4" w14:textId="77777777" w:rsidR="00F76A63" w:rsidRDefault="00000000">
            <w:pPr>
              <w:jc w:val="center"/>
              <w:rPr>
                <w:bCs/>
              </w:rPr>
            </w:pPr>
            <w:r>
              <w:rPr>
                <w:bCs/>
              </w:rPr>
              <w:t>0</w:t>
            </w:r>
          </w:p>
        </w:tc>
      </w:tr>
      <w:tr w:rsidR="00F76A63" w14:paraId="15142A2F"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244AE60D"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6868461B" w14:textId="77777777" w:rsidR="00F76A63" w:rsidRDefault="00000000">
            <w:pPr>
              <w:jc w:val="center"/>
              <w:rPr>
                <w:bCs/>
              </w:rPr>
            </w:pPr>
            <w:r>
              <w:rPr>
                <w:bCs/>
              </w:rPr>
              <w:t>飞灰吨包袋</w:t>
            </w:r>
          </w:p>
        </w:tc>
        <w:tc>
          <w:tcPr>
            <w:tcW w:w="1701" w:type="dxa"/>
            <w:tcBorders>
              <w:top w:val="single" w:sz="4" w:space="0" w:color="auto"/>
              <w:left w:val="single" w:sz="4" w:space="0" w:color="auto"/>
              <w:bottom w:val="single" w:sz="4" w:space="0" w:color="auto"/>
              <w:right w:val="single" w:sz="4" w:space="0" w:color="auto"/>
            </w:tcBorders>
            <w:vAlign w:val="center"/>
          </w:tcPr>
          <w:p w14:paraId="03565B4B" w14:textId="77777777" w:rsidR="00F76A63" w:rsidRDefault="00000000">
            <w:pPr>
              <w:jc w:val="center"/>
              <w:rPr>
                <w:bCs/>
              </w:rPr>
            </w:pPr>
            <w:r>
              <w:rPr>
                <w:bCs/>
              </w:rPr>
              <w:t>1800</w:t>
            </w:r>
            <w:r>
              <w:rPr>
                <w:bCs/>
              </w:rPr>
              <w:t>只</w:t>
            </w:r>
            <w:r>
              <w:rPr>
                <w:bCs/>
              </w:rPr>
              <w:t>/a</w:t>
            </w:r>
          </w:p>
        </w:tc>
        <w:tc>
          <w:tcPr>
            <w:tcW w:w="1418" w:type="dxa"/>
            <w:tcBorders>
              <w:top w:val="single" w:sz="4" w:space="0" w:color="auto"/>
              <w:left w:val="single" w:sz="4" w:space="0" w:color="auto"/>
              <w:bottom w:val="single" w:sz="4" w:space="0" w:color="auto"/>
              <w:right w:val="single" w:sz="4" w:space="0" w:color="auto"/>
            </w:tcBorders>
            <w:vAlign w:val="center"/>
          </w:tcPr>
          <w:p w14:paraId="22F90BCA" w14:textId="77777777" w:rsidR="00F76A63" w:rsidRDefault="00000000">
            <w:pPr>
              <w:jc w:val="center"/>
              <w:rPr>
                <w:bCs/>
              </w:rPr>
            </w:pPr>
            <w:r>
              <w:rPr>
                <w:bCs/>
              </w:rPr>
              <w:t>1800</w:t>
            </w:r>
            <w:r>
              <w:rPr>
                <w:bCs/>
              </w:rPr>
              <w:t>只</w:t>
            </w:r>
            <w:r>
              <w:rPr>
                <w:bCs/>
              </w:rPr>
              <w:t>/a</w:t>
            </w:r>
          </w:p>
        </w:tc>
        <w:tc>
          <w:tcPr>
            <w:tcW w:w="1559" w:type="dxa"/>
            <w:tcBorders>
              <w:top w:val="single" w:sz="4" w:space="0" w:color="auto"/>
              <w:left w:val="single" w:sz="4" w:space="0" w:color="auto"/>
              <w:bottom w:val="single" w:sz="4" w:space="0" w:color="auto"/>
              <w:right w:val="single" w:sz="4" w:space="0" w:color="auto"/>
            </w:tcBorders>
            <w:vAlign w:val="center"/>
          </w:tcPr>
          <w:p w14:paraId="4745F90F"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62708286"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114C32DD"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3347F624" w14:textId="77777777" w:rsidR="00F76A63" w:rsidRDefault="00000000">
            <w:pPr>
              <w:jc w:val="center"/>
              <w:rPr>
                <w:bCs/>
              </w:rPr>
            </w:pPr>
            <w:r>
              <w:rPr>
                <w:bCs/>
              </w:rPr>
              <w:t>1800</w:t>
            </w:r>
            <w:r>
              <w:rPr>
                <w:bCs/>
              </w:rPr>
              <w:t>只</w:t>
            </w:r>
            <w:r>
              <w:rPr>
                <w:bCs/>
              </w:rPr>
              <w:t>/a</w:t>
            </w:r>
          </w:p>
        </w:tc>
        <w:tc>
          <w:tcPr>
            <w:tcW w:w="1324" w:type="dxa"/>
            <w:tcBorders>
              <w:top w:val="single" w:sz="4" w:space="0" w:color="auto"/>
              <w:left w:val="single" w:sz="4" w:space="0" w:color="auto"/>
              <w:bottom w:val="single" w:sz="4" w:space="0" w:color="auto"/>
              <w:right w:val="single" w:sz="8" w:space="0" w:color="auto"/>
            </w:tcBorders>
          </w:tcPr>
          <w:p w14:paraId="6ABAA335" w14:textId="77777777" w:rsidR="00F76A63" w:rsidRDefault="00000000">
            <w:pPr>
              <w:jc w:val="center"/>
              <w:rPr>
                <w:bCs/>
              </w:rPr>
            </w:pPr>
            <w:r>
              <w:rPr>
                <w:bCs/>
              </w:rPr>
              <w:t>0</w:t>
            </w:r>
          </w:p>
        </w:tc>
      </w:tr>
      <w:tr w:rsidR="00F76A63" w14:paraId="40AA71DC"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41A2FF34"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25253539" w14:textId="77777777" w:rsidR="00F76A63" w:rsidRDefault="00000000">
            <w:pPr>
              <w:jc w:val="center"/>
              <w:rPr>
                <w:bCs/>
              </w:rPr>
            </w:pPr>
            <w:r>
              <w:rPr>
                <w:bCs/>
              </w:rPr>
              <w:t>飞灰除尘器滤袋</w:t>
            </w:r>
          </w:p>
        </w:tc>
        <w:tc>
          <w:tcPr>
            <w:tcW w:w="1701" w:type="dxa"/>
            <w:tcBorders>
              <w:top w:val="single" w:sz="4" w:space="0" w:color="auto"/>
              <w:left w:val="single" w:sz="4" w:space="0" w:color="auto"/>
              <w:bottom w:val="single" w:sz="4" w:space="0" w:color="auto"/>
              <w:right w:val="single" w:sz="4" w:space="0" w:color="auto"/>
            </w:tcBorders>
            <w:vAlign w:val="center"/>
          </w:tcPr>
          <w:p w14:paraId="1F77A28D" w14:textId="77777777" w:rsidR="00F76A63" w:rsidRDefault="00000000">
            <w:pPr>
              <w:jc w:val="center"/>
              <w:rPr>
                <w:bCs/>
              </w:rPr>
            </w:pPr>
            <w:r>
              <w:rPr>
                <w:bCs/>
              </w:rPr>
              <w:t>1098</w:t>
            </w:r>
            <w:r>
              <w:rPr>
                <w:bCs/>
              </w:rPr>
              <w:t>条</w:t>
            </w:r>
            <w:r>
              <w:rPr>
                <w:bCs/>
              </w:rPr>
              <w:t>/3a</w:t>
            </w:r>
          </w:p>
        </w:tc>
        <w:tc>
          <w:tcPr>
            <w:tcW w:w="1418" w:type="dxa"/>
            <w:tcBorders>
              <w:top w:val="single" w:sz="4" w:space="0" w:color="auto"/>
              <w:left w:val="single" w:sz="4" w:space="0" w:color="auto"/>
              <w:bottom w:val="single" w:sz="4" w:space="0" w:color="auto"/>
              <w:right w:val="single" w:sz="4" w:space="0" w:color="auto"/>
            </w:tcBorders>
            <w:vAlign w:val="center"/>
          </w:tcPr>
          <w:p w14:paraId="4BA3C2B4" w14:textId="77777777" w:rsidR="00F76A63" w:rsidRDefault="00000000">
            <w:pPr>
              <w:jc w:val="center"/>
              <w:rPr>
                <w:bCs/>
              </w:rPr>
            </w:pPr>
            <w:r>
              <w:rPr>
                <w:bCs/>
              </w:rPr>
              <w:t>1098</w:t>
            </w:r>
            <w:r>
              <w:rPr>
                <w:bCs/>
              </w:rPr>
              <w:t>条</w:t>
            </w:r>
            <w:r>
              <w:rPr>
                <w:bCs/>
              </w:rPr>
              <w:t>/3a</w:t>
            </w:r>
          </w:p>
        </w:tc>
        <w:tc>
          <w:tcPr>
            <w:tcW w:w="1559" w:type="dxa"/>
            <w:tcBorders>
              <w:top w:val="single" w:sz="4" w:space="0" w:color="auto"/>
              <w:left w:val="single" w:sz="4" w:space="0" w:color="auto"/>
              <w:bottom w:val="single" w:sz="4" w:space="0" w:color="auto"/>
              <w:right w:val="single" w:sz="4" w:space="0" w:color="auto"/>
            </w:tcBorders>
            <w:vAlign w:val="center"/>
          </w:tcPr>
          <w:p w14:paraId="6471582B"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6B504F39"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02FC233D"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1DE0936F" w14:textId="77777777" w:rsidR="00F76A63" w:rsidRDefault="00000000">
            <w:pPr>
              <w:jc w:val="center"/>
              <w:rPr>
                <w:bCs/>
              </w:rPr>
            </w:pPr>
            <w:r>
              <w:rPr>
                <w:bCs/>
              </w:rPr>
              <w:t>1098</w:t>
            </w:r>
            <w:r>
              <w:rPr>
                <w:bCs/>
              </w:rPr>
              <w:t>条</w:t>
            </w:r>
            <w:r>
              <w:rPr>
                <w:bCs/>
              </w:rPr>
              <w:t>/3a</w:t>
            </w:r>
          </w:p>
        </w:tc>
        <w:tc>
          <w:tcPr>
            <w:tcW w:w="1324" w:type="dxa"/>
            <w:tcBorders>
              <w:top w:val="single" w:sz="4" w:space="0" w:color="auto"/>
              <w:left w:val="single" w:sz="4" w:space="0" w:color="auto"/>
              <w:bottom w:val="single" w:sz="4" w:space="0" w:color="auto"/>
              <w:right w:val="single" w:sz="8" w:space="0" w:color="auto"/>
            </w:tcBorders>
          </w:tcPr>
          <w:p w14:paraId="4B84CC9D" w14:textId="77777777" w:rsidR="00F76A63" w:rsidRDefault="00000000">
            <w:pPr>
              <w:jc w:val="center"/>
              <w:rPr>
                <w:bCs/>
              </w:rPr>
            </w:pPr>
            <w:r>
              <w:rPr>
                <w:bCs/>
              </w:rPr>
              <w:t>0</w:t>
            </w:r>
          </w:p>
        </w:tc>
      </w:tr>
      <w:tr w:rsidR="00F76A63" w14:paraId="799D06E1"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65DEE20E"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32932AD3" w14:textId="77777777" w:rsidR="00F76A63" w:rsidRDefault="00000000">
            <w:pPr>
              <w:jc w:val="center"/>
              <w:rPr>
                <w:bCs/>
              </w:rPr>
            </w:pPr>
            <w:r>
              <w:rPr>
                <w:bCs/>
              </w:rPr>
              <w:t>废矿物油</w:t>
            </w:r>
          </w:p>
        </w:tc>
        <w:tc>
          <w:tcPr>
            <w:tcW w:w="1701" w:type="dxa"/>
            <w:tcBorders>
              <w:top w:val="single" w:sz="4" w:space="0" w:color="auto"/>
              <w:left w:val="single" w:sz="4" w:space="0" w:color="auto"/>
              <w:bottom w:val="single" w:sz="4" w:space="0" w:color="auto"/>
              <w:right w:val="single" w:sz="4" w:space="0" w:color="auto"/>
            </w:tcBorders>
            <w:vAlign w:val="center"/>
          </w:tcPr>
          <w:p w14:paraId="52DE9E2B" w14:textId="77777777" w:rsidR="00F76A63" w:rsidRDefault="00000000">
            <w:pPr>
              <w:jc w:val="center"/>
              <w:rPr>
                <w:bCs/>
              </w:rPr>
            </w:pPr>
            <w:r>
              <w:rPr>
                <w:bCs/>
              </w:rPr>
              <w:t>1.2t/2a</w:t>
            </w:r>
          </w:p>
        </w:tc>
        <w:tc>
          <w:tcPr>
            <w:tcW w:w="1418" w:type="dxa"/>
            <w:tcBorders>
              <w:top w:val="single" w:sz="4" w:space="0" w:color="auto"/>
              <w:left w:val="single" w:sz="4" w:space="0" w:color="auto"/>
              <w:bottom w:val="single" w:sz="4" w:space="0" w:color="auto"/>
              <w:right w:val="single" w:sz="4" w:space="0" w:color="auto"/>
            </w:tcBorders>
            <w:vAlign w:val="center"/>
          </w:tcPr>
          <w:p w14:paraId="4166B655" w14:textId="77777777" w:rsidR="00F76A63" w:rsidRDefault="00000000">
            <w:pPr>
              <w:jc w:val="center"/>
              <w:rPr>
                <w:bCs/>
              </w:rPr>
            </w:pPr>
            <w:r>
              <w:rPr>
                <w:bCs/>
              </w:rPr>
              <w:t>1.2t/2a</w:t>
            </w:r>
          </w:p>
        </w:tc>
        <w:tc>
          <w:tcPr>
            <w:tcW w:w="1559" w:type="dxa"/>
            <w:tcBorders>
              <w:top w:val="single" w:sz="4" w:space="0" w:color="auto"/>
              <w:left w:val="single" w:sz="4" w:space="0" w:color="auto"/>
              <w:bottom w:val="single" w:sz="4" w:space="0" w:color="auto"/>
              <w:right w:val="single" w:sz="4" w:space="0" w:color="auto"/>
            </w:tcBorders>
            <w:vAlign w:val="center"/>
          </w:tcPr>
          <w:p w14:paraId="1C6DA523"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3564E36B"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7A754015"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7F285904" w14:textId="77777777" w:rsidR="00F76A63" w:rsidRDefault="00000000">
            <w:pPr>
              <w:jc w:val="center"/>
              <w:rPr>
                <w:bCs/>
              </w:rPr>
            </w:pPr>
            <w:r>
              <w:rPr>
                <w:bCs/>
              </w:rPr>
              <w:t>1.2t/2a</w:t>
            </w:r>
          </w:p>
        </w:tc>
        <w:tc>
          <w:tcPr>
            <w:tcW w:w="1324" w:type="dxa"/>
            <w:tcBorders>
              <w:top w:val="single" w:sz="4" w:space="0" w:color="auto"/>
              <w:left w:val="single" w:sz="4" w:space="0" w:color="auto"/>
              <w:bottom w:val="single" w:sz="4" w:space="0" w:color="auto"/>
              <w:right w:val="single" w:sz="8" w:space="0" w:color="auto"/>
            </w:tcBorders>
          </w:tcPr>
          <w:p w14:paraId="49EBE42A" w14:textId="77777777" w:rsidR="00F76A63" w:rsidRDefault="00000000">
            <w:pPr>
              <w:jc w:val="center"/>
              <w:rPr>
                <w:bCs/>
              </w:rPr>
            </w:pPr>
            <w:r>
              <w:rPr>
                <w:bCs/>
              </w:rPr>
              <w:t>0</w:t>
            </w:r>
          </w:p>
        </w:tc>
      </w:tr>
      <w:tr w:rsidR="00F76A63" w14:paraId="5384B00F" w14:textId="77777777">
        <w:trPr>
          <w:trHeight w:val="369"/>
          <w:jc w:val="center"/>
        </w:trPr>
        <w:tc>
          <w:tcPr>
            <w:tcW w:w="1265" w:type="dxa"/>
            <w:gridSpan w:val="2"/>
            <w:vMerge/>
            <w:tcBorders>
              <w:top w:val="single" w:sz="4" w:space="0" w:color="auto"/>
              <w:left w:val="single" w:sz="8" w:space="0" w:color="auto"/>
              <w:bottom w:val="single" w:sz="4" w:space="0" w:color="auto"/>
              <w:right w:val="single" w:sz="4" w:space="0" w:color="auto"/>
            </w:tcBorders>
            <w:vAlign w:val="center"/>
          </w:tcPr>
          <w:p w14:paraId="181DEDF6" w14:textId="77777777" w:rsidR="00F76A63" w:rsidRDefault="00F76A63">
            <w:pPr>
              <w:jc w:val="center"/>
              <w:rPr>
                <w:b/>
                <w:bCs/>
              </w:rPr>
            </w:pPr>
          </w:p>
        </w:tc>
        <w:tc>
          <w:tcPr>
            <w:tcW w:w="1563" w:type="dxa"/>
            <w:tcBorders>
              <w:top w:val="single" w:sz="4" w:space="0" w:color="auto"/>
              <w:left w:val="single" w:sz="4" w:space="0" w:color="auto"/>
              <w:bottom w:val="single" w:sz="4" w:space="0" w:color="auto"/>
              <w:right w:val="single" w:sz="4" w:space="0" w:color="auto"/>
            </w:tcBorders>
            <w:vAlign w:val="center"/>
          </w:tcPr>
          <w:p w14:paraId="4F3EB289" w14:textId="77777777" w:rsidR="00F76A63" w:rsidRDefault="00000000">
            <w:pPr>
              <w:jc w:val="center"/>
              <w:rPr>
                <w:bCs/>
              </w:rPr>
            </w:pPr>
            <w:r>
              <w:rPr>
                <w:bCs/>
              </w:rPr>
              <w:t>废矿物油桶</w:t>
            </w:r>
          </w:p>
        </w:tc>
        <w:tc>
          <w:tcPr>
            <w:tcW w:w="1701" w:type="dxa"/>
            <w:tcBorders>
              <w:top w:val="single" w:sz="4" w:space="0" w:color="auto"/>
              <w:left w:val="single" w:sz="4" w:space="0" w:color="auto"/>
              <w:bottom w:val="single" w:sz="4" w:space="0" w:color="auto"/>
              <w:right w:val="single" w:sz="4" w:space="0" w:color="auto"/>
            </w:tcBorders>
            <w:vAlign w:val="center"/>
          </w:tcPr>
          <w:p w14:paraId="33540624" w14:textId="77777777" w:rsidR="00F76A63" w:rsidRDefault="00000000">
            <w:pPr>
              <w:jc w:val="center"/>
              <w:rPr>
                <w:bCs/>
              </w:rPr>
            </w:pPr>
            <w:r>
              <w:rPr>
                <w:bCs/>
              </w:rPr>
              <w:t>12</w:t>
            </w:r>
            <w:r>
              <w:rPr>
                <w:bCs/>
              </w:rPr>
              <w:t>只</w:t>
            </w:r>
            <w:r>
              <w:rPr>
                <w:bCs/>
              </w:rPr>
              <w:t>/2a</w:t>
            </w:r>
          </w:p>
        </w:tc>
        <w:tc>
          <w:tcPr>
            <w:tcW w:w="1418" w:type="dxa"/>
            <w:tcBorders>
              <w:top w:val="single" w:sz="4" w:space="0" w:color="auto"/>
              <w:left w:val="single" w:sz="4" w:space="0" w:color="auto"/>
              <w:bottom w:val="single" w:sz="4" w:space="0" w:color="auto"/>
              <w:right w:val="single" w:sz="4" w:space="0" w:color="auto"/>
            </w:tcBorders>
            <w:vAlign w:val="center"/>
          </w:tcPr>
          <w:p w14:paraId="397C5AC9" w14:textId="77777777" w:rsidR="00F76A63" w:rsidRDefault="00000000">
            <w:pPr>
              <w:jc w:val="center"/>
              <w:rPr>
                <w:bCs/>
              </w:rPr>
            </w:pPr>
            <w:r>
              <w:rPr>
                <w:bCs/>
              </w:rPr>
              <w:t>12</w:t>
            </w:r>
            <w:r>
              <w:rPr>
                <w:bCs/>
              </w:rPr>
              <w:t>只</w:t>
            </w:r>
            <w:r>
              <w:rPr>
                <w:bCs/>
              </w:rPr>
              <w:t>/2a</w:t>
            </w:r>
          </w:p>
        </w:tc>
        <w:tc>
          <w:tcPr>
            <w:tcW w:w="1559" w:type="dxa"/>
            <w:tcBorders>
              <w:top w:val="single" w:sz="4" w:space="0" w:color="auto"/>
              <w:left w:val="single" w:sz="4" w:space="0" w:color="auto"/>
              <w:bottom w:val="single" w:sz="4" w:space="0" w:color="auto"/>
              <w:right w:val="single" w:sz="4" w:space="0" w:color="auto"/>
            </w:tcBorders>
            <w:vAlign w:val="center"/>
          </w:tcPr>
          <w:p w14:paraId="72B3A456" w14:textId="77777777" w:rsidR="00F76A63" w:rsidRDefault="00000000">
            <w:pPr>
              <w:jc w:val="center"/>
              <w:rPr>
                <w:bCs/>
              </w:rPr>
            </w:pPr>
            <w:r>
              <w:rPr>
                <w:bCs/>
              </w:rPr>
              <w:t>0</w:t>
            </w:r>
          </w:p>
        </w:tc>
        <w:tc>
          <w:tcPr>
            <w:tcW w:w="1736" w:type="dxa"/>
            <w:tcBorders>
              <w:top w:val="single" w:sz="4" w:space="0" w:color="auto"/>
              <w:left w:val="single" w:sz="4" w:space="0" w:color="auto"/>
              <w:bottom w:val="single" w:sz="4" w:space="0" w:color="auto"/>
              <w:right w:val="single" w:sz="4" w:space="0" w:color="auto"/>
            </w:tcBorders>
            <w:vAlign w:val="center"/>
          </w:tcPr>
          <w:p w14:paraId="70B476D8" w14:textId="77777777" w:rsidR="00F76A63" w:rsidRDefault="00000000">
            <w:pPr>
              <w:jc w:val="center"/>
              <w:rPr>
                <w:bCs/>
              </w:rPr>
            </w:pPr>
            <w:r>
              <w:rPr>
                <w:bCs/>
              </w:rPr>
              <w:t>0</w:t>
            </w:r>
          </w:p>
        </w:tc>
        <w:tc>
          <w:tcPr>
            <w:tcW w:w="1761" w:type="dxa"/>
            <w:tcBorders>
              <w:top w:val="single" w:sz="4" w:space="0" w:color="auto"/>
              <w:left w:val="single" w:sz="4" w:space="0" w:color="auto"/>
              <w:bottom w:val="single" w:sz="4" w:space="0" w:color="auto"/>
              <w:right w:val="single" w:sz="4" w:space="0" w:color="auto"/>
            </w:tcBorders>
            <w:vAlign w:val="center"/>
          </w:tcPr>
          <w:p w14:paraId="56402332" w14:textId="77777777" w:rsidR="00F76A63" w:rsidRDefault="00000000">
            <w:pPr>
              <w:jc w:val="center"/>
              <w:rPr>
                <w:bCs/>
              </w:rPr>
            </w:pPr>
            <w:r>
              <w:rPr>
                <w:bCs/>
              </w:rPr>
              <w:t>0</w:t>
            </w:r>
          </w:p>
        </w:tc>
        <w:tc>
          <w:tcPr>
            <w:tcW w:w="1890" w:type="dxa"/>
            <w:tcBorders>
              <w:top w:val="single" w:sz="4" w:space="0" w:color="auto"/>
              <w:left w:val="single" w:sz="4" w:space="0" w:color="auto"/>
              <w:bottom w:val="single" w:sz="4" w:space="0" w:color="auto"/>
              <w:right w:val="single" w:sz="4" w:space="0" w:color="auto"/>
            </w:tcBorders>
            <w:vAlign w:val="center"/>
          </w:tcPr>
          <w:p w14:paraId="75931033" w14:textId="77777777" w:rsidR="00F76A63" w:rsidRDefault="00000000">
            <w:pPr>
              <w:jc w:val="center"/>
              <w:rPr>
                <w:bCs/>
              </w:rPr>
            </w:pPr>
            <w:r>
              <w:rPr>
                <w:bCs/>
              </w:rPr>
              <w:t>12</w:t>
            </w:r>
            <w:r>
              <w:rPr>
                <w:bCs/>
              </w:rPr>
              <w:t>只</w:t>
            </w:r>
            <w:r>
              <w:rPr>
                <w:bCs/>
              </w:rPr>
              <w:t>/2a</w:t>
            </w:r>
          </w:p>
        </w:tc>
        <w:tc>
          <w:tcPr>
            <w:tcW w:w="1324" w:type="dxa"/>
            <w:tcBorders>
              <w:top w:val="single" w:sz="4" w:space="0" w:color="auto"/>
              <w:left w:val="single" w:sz="4" w:space="0" w:color="auto"/>
              <w:bottom w:val="single" w:sz="4" w:space="0" w:color="auto"/>
              <w:right w:val="single" w:sz="8" w:space="0" w:color="auto"/>
            </w:tcBorders>
          </w:tcPr>
          <w:p w14:paraId="25E168F8" w14:textId="77777777" w:rsidR="00F76A63" w:rsidRDefault="00000000">
            <w:pPr>
              <w:jc w:val="center"/>
              <w:rPr>
                <w:bCs/>
              </w:rPr>
            </w:pPr>
            <w:r>
              <w:rPr>
                <w:bCs/>
              </w:rPr>
              <w:t>0</w:t>
            </w:r>
          </w:p>
        </w:tc>
      </w:tr>
      <w:tr w:rsidR="00F76A63" w14:paraId="313B2552" w14:textId="77777777">
        <w:trPr>
          <w:trHeight w:val="369"/>
          <w:jc w:val="center"/>
        </w:trPr>
        <w:tc>
          <w:tcPr>
            <w:tcW w:w="1265" w:type="dxa"/>
            <w:gridSpan w:val="2"/>
            <w:tcBorders>
              <w:top w:val="single" w:sz="4" w:space="0" w:color="auto"/>
              <w:left w:val="single" w:sz="8" w:space="0" w:color="auto"/>
              <w:bottom w:val="single" w:sz="8" w:space="0" w:color="auto"/>
              <w:right w:val="single" w:sz="4" w:space="0" w:color="auto"/>
            </w:tcBorders>
            <w:vAlign w:val="center"/>
          </w:tcPr>
          <w:p w14:paraId="2463119B" w14:textId="77777777" w:rsidR="00F76A63" w:rsidRDefault="00000000">
            <w:pPr>
              <w:jc w:val="center"/>
              <w:rPr>
                <w:b/>
                <w:bCs/>
              </w:rPr>
            </w:pPr>
            <w:r>
              <w:rPr>
                <w:b/>
                <w:bCs/>
              </w:rPr>
              <w:t>生活垃圾</w:t>
            </w:r>
          </w:p>
        </w:tc>
        <w:tc>
          <w:tcPr>
            <w:tcW w:w="1563" w:type="dxa"/>
            <w:tcBorders>
              <w:top w:val="single" w:sz="4" w:space="0" w:color="auto"/>
              <w:left w:val="single" w:sz="4" w:space="0" w:color="auto"/>
              <w:bottom w:val="single" w:sz="8" w:space="0" w:color="auto"/>
              <w:right w:val="single" w:sz="4" w:space="0" w:color="auto"/>
            </w:tcBorders>
            <w:vAlign w:val="center"/>
          </w:tcPr>
          <w:p w14:paraId="07A73F34" w14:textId="77777777" w:rsidR="00F76A63" w:rsidRDefault="00000000">
            <w:pPr>
              <w:jc w:val="center"/>
              <w:rPr>
                <w:bCs/>
              </w:rPr>
            </w:pPr>
            <w:r>
              <w:rPr>
                <w:bCs/>
              </w:rPr>
              <w:t>生活垃圾</w:t>
            </w:r>
          </w:p>
        </w:tc>
        <w:tc>
          <w:tcPr>
            <w:tcW w:w="1701" w:type="dxa"/>
            <w:tcBorders>
              <w:top w:val="single" w:sz="4" w:space="0" w:color="auto"/>
              <w:left w:val="single" w:sz="4" w:space="0" w:color="auto"/>
              <w:bottom w:val="single" w:sz="8" w:space="0" w:color="auto"/>
              <w:right w:val="single" w:sz="4" w:space="0" w:color="auto"/>
            </w:tcBorders>
            <w:vAlign w:val="center"/>
          </w:tcPr>
          <w:p w14:paraId="363063D7" w14:textId="77777777" w:rsidR="00F76A63" w:rsidRDefault="00000000">
            <w:pPr>
              <w:jc w:val="center"/>
              <w:rPr>
                <w:bCs/>
              </w:rPr>
            </w:pPr>
            <w:r>
              <w:rPr>
                <w:bCs/>
              </w:rPr>
              <w:t>154.75</w:t>
            </w:r>
          </w:p>
        </w:tc>
        <w:tc>
          <w:tcPr>
            <w:tcW w:w="1418" w:type="dxa"/>
            <w:tcBorders>
              <w:top w:val="single" w:sz="4" w:space="0" w:color="auto"/>
              <w:left w:val="single" w:sz="4" w:space="0" w:color="auto"/>
              <w:bottom w:val="single" w:sz="8" w:space="0" w:color="auto"/>
              <w:right w:val="single" w:sz="4" w:space="0" w:color="auto"/>
            </w:tcBorders>
            <w:vAlign w:val="center"/>
          </w:tcPr>
          <w:p w14:paraId="7973008D" w14:textId="77777777" w:rsidR="00F76A63" w:rsidRDefault="00000000">
            <w:pPr>
              <w:jc w:val="center"/>
              <w:rPr>
                <w:bCs/>
              </w:rPr>
            </w:pPr>
            <w:r>
              <w:rPr>
                <w:bCs/>
              </w:rPr>
              <w:t>154.75</w:t>
            </w:r>
          </w:p>
        </w:tc>
        <w:tc>
          <w:tcPr>
            <w:tcW w:w="1559" w:type="dxa"/>
            <w:tcBorders>
              <w:top w:val="single" w:sz="4" w:space="0" w:color="auto"/>
              <w:left w:val="single" w:sz="4" w:space="0" w:color="auto"/>
              <w:bottom w:val="single" w:sz="8" w:space="0" w:color="auto"/>
              <w:right w:val="single" w:sz="4" w:space="0" w:color="auto"/>
            </w:tcBorders>
            <w:vAlign w:val="center"/>
          </w:tcPr>
          <w:p w14:paraId="4BE90C12" w14:textId="77777777" w:rsidR="00F76A63" w:rsidRDefault="00000000">
            <w:pPr>
              <w:jc w:val="center"/>
              <w:rPr>
                <w:bCs/>
              </w:rPr>
            </w:pPr>
            <w:r>
              <w:rPr>
                <w:bCs/>
              </w:rPr>
              <w:t>0</w:t>
            </w:r>
          </w:p>
        </w:tc>
        <w:tc>
          <w:tcPr>
            <w:tcW w:w="1736" w:type="dxa"/>
            <w:tcBorders>
              <w:top w:val="single" w:sz="4" w:space="0" w:color="auto"/>
              <w:left w:val="single" w:sz="4" w:space="0" w:color="auto"/>
              <w:bottom w:val="single" w:sz="8" w:space="0" w:color="auto"/>
              <w:right w:val="single" w:sz="4" w:space="0" w:color="auto"/>
            </w:tcBorders>
            <w:vAlign w:val="center"/>
          </w:tcPr>
          <w:p w14:paraId="4680E947" w14:textId="77777777" w:rsidR="00F76A63" w:rsidRDefault="00000000">
            <w:pPr>
              <w:jc w:val="center"/>
              <w:rPr>
                <w:bCs/>
              </w:rPr>
            </w:pPr>
            <w:r>
              <w:rPr>
                <w:bCs/>
              </w:rPr>
              <w:t>0</w:t>
            </w:r>
          </w:p>
        </w:tc>
        <w:tc>
          <w:tcPr>
            <w:tcW w:w="1761" w:type="dxa"/>
            <w:tcBorders>
              <w:top w:val="single" w:sz="4" w:space="0" w:color="auto"/>
              <w:left w:val="single" w:sz="4" w:space="0" w:color="auto"/>
              <w:bottom w:val="single" w:sz="8" w:space="0" w:color="auto"/>
              <w:right w:val="single" w:sz="4" w:space="0" w:color="auto"/>
            </w:tcBorders>
            <w:vAlign w:val="center"/>
          </w:tcPr>
          <w:p w14:paraId="5A82215B" w14:textId="77777777" w:rsidR="00F76A63" w:rsidRDefault="00000000">
            <w:pPr>
              <w:jc w:val="center"/>
              <w:rPr>
                <w:bCs/>
              </w:rPr>
            </w:pPr>
            <w:r>
              <w:rPr>
                <w:bCs/>
              </w:rPr>
              <w:t>0</w:t>
            </w:r>
          </w:p>
        </w:tc>
        <w:tc>
          <w:tcPr>
            <w:tcW w:w="1890" w:type="dxa"/>
            <w:tcBorders>
              <w:top w:val="single" w:sz="4" w:space="0" w:color="auto"/>
              <w:left w:val="single" w:sz="4" w:space="0" w:color="auto"/>
              <w:bottom w:val="single" w:sz="8" w:space="0" w:color="auto"/>
              <w:right w:val="single" w:sz="4" w:space="0" w:color="auto"/>
            </w:tcBorders>
            <w:vAlign w:val="center"/>
          </w:tcPr>
          <w:p w14:paraId="4D4694B9" w14:textId="77777777" w:rsidR="00F76A63" w:rsidRDefault="00000000">
            <w:pPr>
              <w:jc w:val="center"/>
              <w:rPr>
                <w:bCs/>
              </w:rPr>
            </w:pPr>
            <w:r>
              <w:rPr>
                <w:bCs/>
              </w:rPr>
              <w:t>154.75</w:t>
            </w:r>
          </w:p>
        </w:tc>
        <w:tc>
          <w:tcPr>
            <w:tcW w:w="1324" w:type="dxa"/>
            <w:tcBorders>
              <w:top w:val="single" w:sz="4" w:space="0" w:color="auto"/>
              <w:left w:val="single" w:sz="4" w:space="0" w:color="auto"/>
              <w:bottom w:val="single" w:sz="8" w:space="0" w:color="auto"/>
              <w:right w:val="single" w:sz="8" w:space="0" w:color="auto"/>
            </w:tcBorders>
          </w:tcPr>
          <w:p w14:paraId="27C44FEE" w14:textId="77777777" w:rsidR="00F76A63" w:rsidRDefault="00000000">
            <w:pPr>
              <w:jc w:val="center"/>
              <w:rPr>
                <w:bCs/>
              </w:rPr>
            </w:pPr>
            <w:r>
              <w:rPr>
                <w:bCs/>
              </w:rPr>
              <w:t>0</w:t>
            </w:r>
          </w:p>
        </w:tc>
      </w:tr>
    </w:tbl>
    <w:p w14:paraId="451375AF" w14:textId="77777777" w:rsidR="00F76A63" w:rsidRDefault="00000000">
      <w:r>
        <w:rPr>
          <w:sz w:val="18"/>
          <w:szCs w:val="21"/>
        </w:rPr>
        <w:t>注：</w:t>
      </w:r>
      <w:r>
        <w:rPr>
          <w:rFonts w:ascii="Cambria Math" w:hAnsi="Cambria Math" w:cs="Cambria Math"/>
          <w:sz w:val="18"/>
          <w:szCs w:val="21"/>
        </w:rPr>
        <w:t>⑥</w:t>
      </w:r>
      <w:r>
        <w:rPr>
          <w:sz w:val="18"/>
          <w:szCs w:val="21"/>
        </w:rPr>
        <w:t>=</w:t>
      </w:r>
      <w:r>
        <w:rPr>
          <w:rFonts w:ascii="Cambria Math" w:hAnsi="Cambria Math" w:cs="Cambria Math"/>
          <w:sz w:val="18"/>
          <w:szCs w:val="21"/>
        </w:rPr>
        <w:t>①</w:t>
      </w:r>
      <w:r>
        <w:rPr>
          <w:sz w:val="18"/>
          <w:szCs w:val="21"/>
        </w:rPr>
        <w:t>+</w:t>
      </w:r>
      <w:r>
        <w:rPr>
          <w:rFonts w:ascii="Cambria Math" w:hAnsi="Cambria Math" w:cs="Cambria Math"/>
          <w:sz w:val="18"/>
          <w:szCs w:val="21"/>
        </w:rPr>
        <w:t>③</w:t>
      </w:r>
      <w:r>
        <w:rPr>
          <w:sz w:val="18"/>
          <w:szCs w:val="21"/>
        </w:rPr>
        <w:t>+</w:t>
      </w:r>
      <w:r>
        <w:rPr>
          <w:rFonts w:ascii="Cambria Math" w:hAnsi="Cambria Math" w:cs="Cambria Math"/>
          <w:sz w:val="18"/>
          <w:szCs w:val="21"/>
        </w:rPr>
        <w:t>④</w:t>
      </w:r>
      <w:r>
        <w:rPr>
          <w:sz w:val="18"/>
          <w:szCs w:val="21"/>
        </w:rPr>
        <w:t>-</w:t>
      </w:r>
      <w:r>
        <w:rPr>
          <w:rFonts w:ascii="Cambria Math" w:hAnsi="Cambria Math" w:cs="Cambria Math"/>
          <w:sz w:val="18"/>
          <w:szCs w:val="21"/>
        </w:rPr>
        <w:t>⑤</w:t>
      </w:r>
      <w:r>
        <w:rPr>
          <w:sz w:val="18"/>
          <w:szCs w:val="21"/>
        </w:rPr>
        <w:t>；</w:t>
      </w:r>
      <w:r>
        <w:rPr>
          <w:rFonts w:ascii="Cambria Math" w:hAnsi="Cambria Math" w:cs="Cambria Math"/>
          <w:sz w:val="18"/>
          <w:szCs w:val="21"/>
        </w:rPr>
        <w:t>⑦</w:t>
      </w:r>
      <w:r>
        <w:rPr>
          <w:sz w:val="18"/>
          <w:szCs w:val="21"/>
        </w:rPr>
        <w:t>=</w:t>
      </w:r>
      <w:r>
        <w:rPr>
          <w:rFonts w:ascii="Cambria Math" w:hAnsi="Cambria Math" w:cs="Cambria Math"/>
          <w:sz w:val="18"/>
          <w:szCs w:val="21"/>
        </w:rPr>
        <w:t>⑥</w:t>
      </w:r>
      <w:r>
        <w:rPr>
          <w:sz w:val="18"/>
          <w:szCs w:val="21"/>
        </w:rPr>
        <w:t>-</w:t>
      </w:r>
      <w:r>
        <w:rPr>
          <w:rFonts w:ascii="Cambria Math" w:hAnsi="Cambria Math" w:cs="Cambria Math"/>
          <w:sz w:val="18"/>
          <w:szCs w:val="21"/>
        </w:rPr>
        <w:t>①</w:t>
      </w:r>
    </w:p>
    <w:p w14:paraId="16968B93" w14:textId="77777777" w:rsidR="00F76A63" w:rsidRDefault="00F76A63">
      <w:pPr>
        <w:ind w:firstLineChars="200" w:firstLine="420"/>
      </w:pPr>
    </w:p>
    <w:sectPr w:rsidR="00F76A63">
      <w:footerReference w:type="default" r:id="rId99"/>
      <w:pgSz w:w="16838" w:h="11906" w:orient="landscape"/>
      <w:pgMar w:top="1531" w:right="1701" w:bottom="1531" w:left="1701" w:header="851" w:footer="850"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B5459" w14:textId="77777777" w:rsidR="005465DB" w:rsidRDefault="005465DB">
      <w:r>
        <w:separator/>
      </w:r>
    </w:p>
  </w:endnote>
  <w:endnote w:type="continuationSeparator" w:id="0">
    <w:p w14:paraId="13D675AE" w14:textId="77777777" w:rsidR="005465DB" w:rsidRDefault="00546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Roman">
    <w:altName w:val="Times New Roman"/>
    <w:charset w:val="00"/>
    <w:family w:val="roman"/>
    <w:pitch w:val="default"/>
    <w:sig w:usb0="00000000" w:usb1="00000000" w:usb2="00000000" w:usb3="00000000" w:csb0="00040001" w:csb1="00000000"/>
  </w:font>
  <w:font w:name="文鼎CS中黑">
    <w:altName w:val="宋体"/>
    <w:charset w:val="86"/>
    <w:family w:val="modern"/>
    <w:pitch w:val="default"/>
    <w:sig w:usb0="00000000" w:usb1="00000000" w:usb2="00000010" w:usb3="00000000" w:csb0="00040000" w:csb1="00000000"/>
  </w:font>
  <w:font w:name="Arial Unicode MS">
    <w:altName w:val="Malgun Gothic Semilight"/>
    <w:panose1 w:val="020B0604020202020204"/>
    <w:charset w:val="86"/>
    <w:family w:val="swiss"/>
    <w:pitch w:val="variable"/>
    <w:sig w:usb0="F7FFAEFF" w:usb1="F9DFFFFF" w:usb2="0000007F" w:usb3="00000000" w:csb0="003F01FF" w:csb1="00000000"/>
  </w:font>
  <w:font w:name="Microsoft YaHei UI">
    <w:panose1 w:val="020B0503020204020204"/>
    <w:charset w:val="86"/>
    <w:family w:val="swiss"/>
    <w:pitch w:val="variable"/>
    <w:sig w:usb0="80000287" w:usb1="2ACF3C50" w:usb2="00000016" w:usb3="00000000" w:csb0="0004001F" w:csb1="00000000"/>
  </w:font>
  <w:font w:name="Tms Rmn">
    <w:panose1 w:val="02020603040505020304"/>
    <w:charset w:val="00"/>
    <w:family w:val="roman"/>
    <w:notTrueType/>
    <w:pitch w:val="default"/>
    <w:sig w:usb0="00000000" w:usb1="00000000" w:usb2="00000000" w:usb3="00000000" w:csb0="00000001" w:csb1="00000000"/>
  </w:font>
  <w:font w:name="華康中楷體">
    <w:altName w:val="Microsoft JhengHei"/>
    <w:charset w:val="88"/>
    <w:family w:val="modern"/>
    <w:pitch w:val="default"/>
    <w:sig w:usb0="00000000" w:usb1="00000000" w:usb2="00000010" w:usb3="00000000" w:csb0="00100000" w:csb1="00000000"/>
  </w:font>
  <w:font w:name="文鼎CS中宋">
    <w:altName w:val="等线"/>
    <w:charset w:val="86"/>
    <w:family w:val="auto"/>
    <w:pitch w:val="default"/>
    <w:sig w:usb0="00000000" w:usb1="00000000" w:usb2="00000010" w:usb3="00000000" w:csb0="00040000" w:csb1="00000000"/>
  </w:font>
  <w:font w:name="PMingLiU">
    <w:panose1 w:val="02010601000101010101"/>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7" w:usb1="00000000" w:usb2="00000000" w:usb3="00000000" w:csb0="00000093" w:csb1="00000000"/>
  </w:font>
  <w:font w:name="Juice ITC">
    <w:panose1 w:val="04040403040A02020202"/>
    <w:charset w:val="00"/>
    <w:family w:val="decorative"/>
    <w:pitch w:val="variable"/>
    <w:sig w:usb0="00000003" w:usb1="00000000" w:usb2="00000000" w:usb3="00000000" w:csb0="00000001" w:csb1="00000000"/>
  </w:font>
  <w:font w:name="Times">
    <w:altName w:val="CG Times"/>
    <w:panose1 w:val="02020603050405020304"/>
    <w:charset w:val="00"/>
    <w:family w:val="roman"/>
    <w:pitch w:val="variable"/>
    <w:sig w:usb0="00000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embedRegular r:id="rId1" w:fontKey="{68B74E4E-4CD9-4BB9-BDAB-F828AF02AC86}"/>
  </w:font>
  <w:font w:name="Cambria Math">
    <w:panose1 w:val="02040503050406030204"/>
    <w:charset w:val="00"/>
    <w:family w:val="roman"/>
    <w:pitch w:val="variable"/>
    <w:sig w:usb0="E00006FF" w:usb1="420024FF" w:usb2="02000000" w:usb3="00000000" w:csb0="0000019F" w:csb1="00000000"/>
    <w:embedRegular r:id="rId2" w:fontKey="{0450D8C9-F220-415E-B3A8-9E01C86727B5}"/>
    <w:embedBold r:id="rId3" w:fontKey="{D7DC8571-F97D-4F3B-868E-BE4D2685EE24}"/>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A68D1" w14:textId="77777777" w:rsidR="00F76A63" w:rsidRDefault="00000000">
    <w:pPr>
      <w:framePr w:wrap="around" w:vAnchor="text" w:hAnchor="margin" w:xAlign="center" w:y="1"/>
    </w:pPr>
    <w:r>
      <w:fldChar w:fldCharType="begin"/>
    </w:r>
    <w:r>
      <w:instrText xml:space="preserve">PAGE  </w:instrText>
    </w:r>
    <w:r>
      <w:fldChar w:fldCharType="separate"/>
    </w:r>
    <w:r>
      <w:t>51</w:t>
    </w:r>
    <w:r>
      <w:fldChar w:fldCharType="end"/>
    </w:r>
  </w:p>
  <w:p w14:paraId="0B83CBFB" w14:textId="77777777" w:rsidR="00F76A63" w:rsidRDefault="00F76A63">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01D3" w14:textId="77777777" w:rsidR="00F76A63" w:rsidRDefault="00F76A63">
    <w:pPr>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763907"/>
    </w:sdtPr>
    <w:sdtContent>
      <w:p w14:paraId="190374C8" w14:textId="77777777" w:rsidR="00F76A63" w:rsidRDefault="00000000">
        <w:pPr>
          <w:pStyle w:val="aff6"/>
          <w:jc w:val="center"/>
        </w:pPr>
        <w:r>
          <w:fldChar w:fldCharType="begin"/>
        </w:r>
        <w:r>
          <w:instrText>PAGE   \* MERGEFORMAT</w:instrText>
        </w:r>
        <w:r>
          <w:fldChar w:fldCharType="separate"/>
        </w:r>
        <w:r>
          <w:rPr>
            <w:lang w:val="zh-CN"/>
          </w:rPr>
          <w:t>II</w:t>
        </w:r>
        <w:r>
          <w:fldChar w:fldCharType="end"/>
        </w:r>
      </w:p>
    </w:sdtContent>
  </w:sdt>
  <w:p w14:paraId="34A3CA24" w14:textId="77777777" w:rsidR="00F76A63" w:rsidRDefault="00F76A63">
    <w:pPr>
      <w:pStyle w:val="aff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FA52" w14:textId="77777777" w:rsidR="00F76A63" w:rsidRDefault="00000000">
    <w:pPr>
      <w:jc w:val="center"/>
      <w:rPr>
        <w:szCs w:val="21"/>
      </w:rPr>
    </w:pPr>
    <w:r>
      <w:rPr>
        <w:szCs w:val="21"/>
      </w:rPr>
      <w:fldChar w:fldCharType="begin"/>
    </w:r>
    <w:r>
      <w:rPr>
        <w:szCs w:val="21"/>
      </w:rPr>
      <w:instrText>PAGE   \* MERGEFORMAT</w:instrText>
    </w:r>
    <w:r>
      <w:rPr>
        <w:szCs w:val="21"/>
      </w:rPr>
      <w:fldChar w:fldCharType="separate"/>
    </w:r>
    <w:r>
      <w:rPr>
        <w:szCs w:val="21"/>
        <w:lang w:val="zh-CN"/>
      </w:rPr>
      <w:t>18</w:t>
    </w:r>
    <w:r>
      <w:rPr>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9AF0" w14:textId="77777777" w:rsidR="00F76A63" w:rsidRDefault="00000000">
    <w:pPr>
      <w:jc w:val="center"/>
      <w:rPr>
        <w:szCs w:val="21"/>
      </w:rPr>
    </w:pPr>
    <w:r>
      <w:rPr>
        <w:szCs w:val="21"/>
      </w:rPr>
      <w:fldChar w:fldCharType="begin"/>
    </w:r>
    <w:r>
      <w:rPr>
        <w:szCs w:val="21"/>
      </w:rPr>
      <w:instrText>PAGE   \* MERGEFORMAT</w:instrText>
    </w:r>
    <w:r>
      <w:rPr>
        <w:szCs w:val="21"/>
      </w:rPr>
      <w:fldChar w:fldCharType="separate"/>
    </w:r>
    <w:r>
      <w:rPr>
        <w:szCs w:val="21"/>
        <w:lang w:val="zh-CN"/>
      </w:rPr>
      <w:t>162</w:t>
    </w:r>
    <w:r>
      <w:rPr>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E129A" w14:textId="77777777" w:rsidR="005465DB" w:rsidRDefault="005465DB">
      <w:r>
        <w:separator/>
      </w:r>
    </w:p>
  </w:footnote>
  <w:footnote w:type="continuationSeparator" w:id="0">
    <w:p w14:paraId="1581541A" w14:textId="77777777" w:rsidR="005465DB" w:rsidRDefault="00546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C727D"/>
    <w:multiLevelType w:val="multilevel"/>
    <w:tmpl w:val="278C727D"/>
    <w:lvl w:ilvl="0">
      <w:start w:val="1"/>
      <w:numFmt w:val="decimal"/>
      <w:pStyle w:val="a"/>
      <w:lvlText w:val="%1"/>
      <w:lvlJc w:val="left"/>
      <w:pPr>
        <w:ind w:left="857" w:hanging="432"/>
      </w:pPr>
      <w:rPr>
        <w:rFonts w:hint="eastAsia"/>
      </w:rPr>
    </w:lvl>
    <w:lvl w:ilvl="1">
      <w:start w:val="1"/>
      <w:numFmt w:val="decimal"/>
      <w:pStyle w:val="a0"/>
      <w:lvlText w:val="%1.%2"/>
      <w:lvlJc w:val="left"/>
      <w:pPr>
        <w:ind w:left="0" w:firstLine="0"/>
      </w:pPr>
      <w:rPr>
        <w:rFonts w:hint="eastAsia"/>
      </w:rPr>
    </w:lvl>
    <w:lvl w:ilvl="2">
      <w:start w:val="1"/>
      <w:numFmt w:val="decimal"/>
      <w:pStyle w:val="a1"/>
      <w:lvlText w:val="%1.%2.%3"/>
      <w:lvlJc w:val="left"/>
      <w:pPr>
        <w:ind w:left="720" w:hanging="720"/>
      </w:pPr>
      <w:rPr>
        <w:rFonts w:hint="eastAsia"/>
      </w:rPr>
    </w:lvl>
    <w:lvl w:ilvl="3">
      <w:start w:val="1"/>
      <w:numFmt w:val="decimal"/>
      <w:pStyle w:val="a2"/>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1" w15:restartNumberingAfterBreak="0">
    <w:nsid w:val="2B5646C1"/>
    <w:multiLevelType w:val="multilevel"/>
    <w:tmpl w:val="2B5646C1"/>
    <w:lvl w:ilvl="0">
      <w:start w:val="1"/>
      <w:numFmt w:val="decimal"/>
      <w:pStyle w:val="zhang"/>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38E72424"/>
    <w:multiLevelType w:val="multilevel"/>
    <w:tmpl w:val="38E72424"/>
    <w:lvl w:ilvl="0">
      <w:start w:val="1"/>
      <w:numFmt w:val="decimal"/>
      <w:pStyle w:val="1135"/>
      <w:lvlText w:val="%1"/>
      <w:lvlJc w:val="left"/>
      <w:pPr>
        <w:ind w:left="857" w:hanging="432"/>
      </w:pPr>
      <w:rPr>
        <w:rFonts w:hint="eastAsia"/>
      </w:rPr>
    </w:lvl>
    <w:lvl w:ilvl="1">
      <w:start w:val="1"/>
      <w:numFmt w:val="decimal"/>
      <w:pStyle w:val="2TimesNewRoman050"/>
      <w:lvlText w:val="%1.%2"/>
      <w:lvlJc w:val="left"/>
      <w:pPr>
        <w:ind w:left="283" w:firstLine="0"/>
      </w:pPr>
      <w:rPr>
        <w:rFonts w:hint="eastAsia"/>
      </w:rPr>
    </w:lvl>
    <w:lvl w:ilvl="2">
      <w:start w:val="1"/>
      <w:numFmt w:val="decimal"/>
      <w:pStyle w:val="3TimesNewRoman"/>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3" w15:restartNumberingAfterBreak="0">
    <w:nsid w:val="6CA60319"/>
    <w:multiLevelType w:val="singleLevel"/>
    <w:tmpl w:val="6CA60319"/>
    <w:lvl w:ilvl="0">
      <w:start w:val="10"/>
      <w:numFmt w:val="decimal"/>
      <w:suff w:val="nothing"/>
      <w:lvlText w:val="%1、"/>
      <w:lvlJc w:val="left"/>
    </w:lvl>
  </w:abstractNum>
  <w:num w:numId="1" w16cid:durableId="1147091173">
    <w:abstractNumId w:val="0"/>
  </w:num>
  <w:num w:numId="2" w16cid:durableId="1230074276">
    <w:abstractNumId w:val="2"/>
  </w:num>
  <w:num w:numId="3" w16cid:durableId="2142259750">
    <w:abstractNumId w:val="1"/>
  </w:num>
  <w:num w:numId="4" w16cid:durableId="12995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noPunctuationKerning/>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NhNGEzZDNmYWEzYTMwOTIwNjQ2NjVmMzEzY2JhOTYifQ=="/>
  </w:docVars>
  <w:rsids>
    <w:rsidRoot w:val="00172A27"/>
    <w:rsid w:val="00000C7F"/>
    <w:rsid w:val="00000D52"/>
    <w:rsid w:val="0000103D"/>
    <w:rsid w:val="00001043"/>
    <w:rsid w:val="000018D0"/>
    <w:rsid w:val="00001CB4"/>
    <w:rsid w:val="00002261"/>
    <w:rsid w:val="00002E7D"/>
    <w:rsid w:val="000030A7"/>
    <w:rsid w:val="00004199"/>
    <w:rsid w:val="00005218"/>
    <w:rsid w:val="000060B3"/>
    <w:rsid w:val="0000614C"/>
    <w:rsid w:val="00007220"/>
    <w:rsid w:val="0000783F"/>
    <w:rsid w:val="00007AEA"/>
    <w:rsid w:val="00007BB7"/>
    <w:rsid w:val="0001102E"/>
    <w:rsid w:val="0001212B"/>
    <w:rsid w:val="00012212"/>
    <w:rsid w:val="0001336A"/>
    <w:rsid w:val="00013908"/>
    <w:rsid w:val="00013E4B"/>
    <w:rsid w:val="00014CD9"/>
    <w:rsid w:val="00014EC0"/>
    <w:rsid w:val="00016D53"/>
    <w:rsid w:val="00017472"/>
    <w:rsid w:val="000177CF"/>
    <w:rsid w:val="0001791C"/>
    <w:rsid w:val="00021AC0"/>
    <w:rsid w:val="00022C91"/>
    <w:rsid w:val="00022DE5"/>
    <w:rsid w:val="000231DA"/>
    <w:rsid w:val="000238F7"/>
    <w:rsid w:val="00024208"/>
    <w:rsid w:val="00024961"/>
    <w:rsid w:val="00024B68"/>
    <w:rsid w:val="00025009"/>
    <w:rsid w:val="00025DE3"/>
    <w:rsid w:val="0002612A"/>
    <w:rsid w:val="000310CE"/>
    <w:rsid w:val="00031C9F"/>
    <w:rsid w:val="000322B5"/>
    <w:rsid w:val="000323FA"/>
    <w:rsid w:val="000328F4"/>
    <w:rsid w:val="00032C1B"/>
    <w:rsid w:val="00032FC2"/>
    <w:rsid w:val="000333A3"/>
    <w:rsid w:val="00033F08"/>
    <w:rsid w:val="00034BB6"/>
    <w:rsid w:val="000365AD"/>
    <w:rsid w:val="00036B98"/>
    <w:rsid w:val="00036D4E"/>
    <w:rsid w:val="00036D55"/>
    <w:rsid w:val="00036EA2"/>
    <w:rsid w:val="000377DC"/>
    <w:rsid w:val="000407FA"/>
    <w:rsid w:val="00040BA3"/>
    <w:rsid w:val="00040CA3"/>
    <w:rsid w:val="000414F8"/>
    <w:rsid w:val="000415EE"/>
    <w:rsid w:val="00041F4D"/>
    <w:rsid w:val="00041F8C"/>
    <w:rsid w:val="0004230E"/>
    <w:rsid w:val="00043396"/>
    <w:rsid w:val="0004364B"/>
    <w:rsid w:val="000457C7"/>
    <w:rsid w:val="000462AC"/>
    <w:rsid w:val="00046C7D"/>
    <w:rsid w:val="00047756"/>
    <w:rsid w:val="000477AD"/>
    <w:rsid w:val="00047840"/>
    <w:rsid w:val="000508C5"/>
    <w:rsid w:val="000514F6"/>
    <w:rsid w:val="00051A8C"/>
    <w:rsid w:val="000531A9"/>
    <w:rsid w:val="00054578"/>
    <w:rsid w:val="00055A30"/>
    <w:rsid w:val="00055BBD"/>
    <w:rsid w:val="000565D4"/>
    <w:rsid w:val="00057868"/>
    <w:rsid w:val="000603DB"/>
    <w:rsid w:val="00060732"/>
    <w:rsid w:val="00060AFB"/>
    <w:rsid w:val="0006168D"/>
    <w:rsid w:val="00061B1F"/>
    <w:rsid w:val="00062AFE"/>
    <w:rsid w:val="00062DC1"/>
    <w:rsid w:val="00063423"/>
    <w:rsid w:val="0006392E"/>
    <w:rsid w:val="00064021"/>
    <w:rsid w:val="000658AA"/>
    <w:rsid w:val="00066354"/>
    <w:rsid w:val="0006644C"/>
    <w:rsid w:val="00066546"/>
    <w:rsid w:val="0006676A"/>
    <w:rsid w:val="00066849"/>
    <w:rsid w:val="000718A9"/>
    <w:rsid w:val="000721F1"/>
    <w:rsid w:val="00072761"/>
    <w:rsid w:val="00072769"/>
    <w:rsid w:val="00072908"/>
    <w:rsid w:val="0007301B"/>
    <w:rsid w:val="00073260"/>
    <w:rsid w:val="000733C4"/>
    <w:rsid w:val="00073449"/>
    <w:rsid w:val="00073A5A"/>
    <w:rsid w:val="00073F73"/>
    <w:rsid w:val="00074783"/>
    <w:rsid w:val="00075A6E"/>
    <w:rsid w:val="00076781"/>
    <w:rsid w:val="0007787B"/>
    <w:rsid w:val="0008007B"/>
    <w:rsid w:val="0008070B"/>
    <w:rsid w:val="00080DCC"/>
    <w:rsid w:val="000810AC"/>
    <w:rsid w:val="0008117C"/>
    <w:rsid w:val="00081A02"/>
    <w:rsid w:val="00081B32"/>
    <w:rsid w:val="00082231"/>
    <w:rsid w:val="0008490F"/>
    <w:rsid w:val="0008518F"/>
    <w:rsid w:val="00085198"/>
    <w:rsid w:val="00085F80"/>
    <w:rsid w:val="00086966"/>
    <w:rsid w:val="000875E8"/>
    <w:rsid w:val="000875F2"/>
    <w:rsid w:val="000904C8"/>
    <w:rsid w:val="00091567"/>
    <w:rsid w:val="000917FD"/>
    <w:rsid w:val="00092A8A"/>
    <w:rsid w:val="00092D38"/>
    <w:rsid w:val="00092EF7"/>
    <w:rsid w:val="00093694"/>
    <w:rsid w:val="0009377B"/>
    <w:rsid w:val="00093BE2"/>
    <w:rsid w:val="00094941"/>
    <w:rsid w:val="00096537"/>
    <w:rsid w:val="000965A7"/>
    <w:rsid w:val="00097459"/>
    <w:rsid w:val="000974C0"/>
    <w:rsid w:val="00097719"/>
    <w:rsid w:val="000A01A4"/>
    <w:rsid w:val="000A0B24"/>
    <w:rsid w:val="000A12EF"/>
    <w:rsid w:val="000A19EA"/>
    <w:rsid w:val="000A20C9"/>
    <w:rsid w:val="000A2722"/>
    <w:rsid w:val="000A2871"/>
    <w:rsid w:val="000A2EF7"/>
    <w:rsid w:val="000A3F01"/>
    <w:rsid w:val="000A41EF"/>
    <w:rsid w:val="000A495A"/>
    <w:rsid w:val="000A6A72"/>
    <w:rsid w:val="000A6D64"/>
    <w:rsid w:val="000A6E65"/>
    <w:rsid w:val="000A75F3"/>
    <w:rsid w:val="000A7CB7"/>
    <w:rsid w:val="000B012D"/>
    <w:rsid w:val="000B01AB"/>
    <w:rsid w:val="000B058F"/>
    <w:rsid w:val="000B0DF6"/>
    <w:rsid w:val="000B3B45"/>
    <w:rsid w:val="000B4467"/>
    <w:rsid w:val="000B4DB9"/>
    <w:rsid w:val="000B57CB"/>
    <w:rsid w:val="000B7117"/>
    <w:rsid w:val="000C09AC"/>
    <w:rsid w:val="000C1C58"/>
    <w:rsid w:val="000C1FE9"/>
    <w:rsid w:val="000C237C"/>
    <w:rsid w:val="000C335C"/>
    <w:rsid w:val="000C3856"/>
    <w:rsid w:val="000C39B0"/>
    <w:rsid w:val="000C45AD"/>
    <w:rsid w:val="000C4740"/>
    <w:rsid w:val="000C4789"/>
    <w:rsid w:val="000C4AF9"/>
    <w:rsid w:val="000C4FE1"/>
    <w:rsid w:val="000C5231"/>
    <w:rsid w:val="000C57D8"/>
    <w:rsid w:val="000C61FF"/>
    <w:rsid w:val="000C6C85"/>
    <w:rsid w:val="000C75E1"/>
    <w:rsid w:val="000C767F"/>
    <w:rsid w:val="000D0493"/>
    <w:rsid w:val="000D0CAE"/>
    <w:rsid w:val="000D19CB"/>
    <w:rsid w:val="000D1F67"/>
    <w:rsid w:val="000D2297"/>
    <w:rsid w:val="000D2D74"/>
    <w:rsid w:val="000D4AF7"/>
    <w:rsid w:val="000D52E1"/>
    <w:rsid w:val="000D5A44"/>
    <w:rsid w:val="000D6025"/>
    <w:rsid w:val="000D66A1"/>
    <w:rsid w:val="000D7102"/>
    <w:rsid w:val="000D7E28"/>
    <w:rsid w:val="000E0369"/>
    <w:rsid w:val="000E1473"/>
    <w:rsid w:val="000E18B9"/>
    <w:rsid w:val="000E217D"/>
    <w:rsid w:val="000E2534"/>
    <w:rsid w:val="000E2C27"/>
    <w:rsid w:val="000E3BCB"/>
    <w:rsid w:val="000E3ED2"/>
    <w:rsid w:val="000E4067"/>
    <w:rsid w:val="000E418A"/>
    <w:rsid w:val="000E4B3A"/>
    <w:rsid w:val="000E4C5A"/>
    <w:rsid w:val="000E6536"/>
    <w:rsid w:val="000E7C9D"/>
    <w:rsid w:val="000F1FE3"/>
    <w:rsid w:val="000F246C"/>
    <w:rsid w:val="000F2705"/>
    <w:rsid w:val="000F2FDA"/>
    <w:rsid w:val="000F321A"/>
    <w:rsid w:val="000F3611"/>
    <w:rsid w:val="000F43E4"/>
    <w:rsid w:val="000F44EB"/>
    <w:rsid w:val="000F5280"/>
    <w:rsid w:val="000F57C0"/>
    <w:rsid w:val="000F5EC9"/>
    <w:rsid w:val="000F6132"/>
    <w:rsid w:val="000F69CF"/>
    <w:rsid w:val="000F7131"/>
    <w:rsid w:val="000F7471"/>
    <w:rsid w:val="000F7EC6"/>
    <w:rsid w:val="0010014D"/>
    <w:rsid w:val="00100411"/>
    <w:rsid w:val="0010073C"/>
    <w:rsid w:val="00100C79"/>
    <w:rsid w:val="00100FD2"/>
    <w:rsid w:val="00101C3E"/>
    <w:rsid w:val="001020B8"/>
    <w:rsid w:val="00103016"/>
    <w:rsid w:val="00103153"/>
    <w:rsid w:val="00103D1F"/>
    <w:rsid w:val="001055D1"/>
    <w:rsid w:val="001067DC"/>
    <w:rsid w:val="00106A35"/>
    <w:rsid w:val="001076D2"/>
    <w:rsid w:val="0011041E"/>
    <w:rsid w:val="0011077F"/>
    <w:rsid w:val="00110911"/>
    <w:rsid w:val="00110B16"/>
    <w:rsid w:val="00111BD7"/>
    <w:rsid w:val="00112CA9"/>
    <w:rsid w:val="00112EF4"/>
    <w:rsid w:val="001147F6"/>
    <w:rsid w:val="00115067"/>
    <w:rsid w:val="0011625C"/>
    <w:rsid w:val="001169F8"/>
    <w:rsid w:val="001171D0"/>
    <w:rsid w:val="00117BD0"/>
    <w:rsid w:val="0012051C"/>
    <w:rsid w:val="00120B5C"/>
    <w:rsid w:val="00120E33"/>
    <w:rsid w:val="00121267"/>
    <w:rsid w:val="00121984"/>
    <w:rsid w:val="00121DE0"/>
    <w:rsid w:val="00121E05"/>
    <w:rsid w:val="00122316"/>
    <w:rsid w:val="00122CAA"/>
    <w:rsid w:val="00123773"/>
    <w:rsid w:val="00123EBD"/>
    <w:rsid w:val="00124746"/>
    <w:rsid w:val="00125167"/>
    <w:rsid w:val="0012525F"/>
    <w:rsid w:val="00125C47"/>
    <w:rsid w:val="00126008"/>
    <w:rsid w:val="001260E2"/>
    <w:rsid w:val="00126660"/>
    <w:rsid w:val="001268F8"/>
    <w:rsid w:val="001270F8"/>
    <w:rsid w:val="0012711B"/>
    <w:rsid w:val="00127128"/>
    <w:rsid w:val="00127159"/>
    <w:rsid w:val="00127BC9"/>
    <w:rsid w:val="001308A2"/>
    <w:rsid w:val="00131F42"/>
    <w:rsid w:val="00132E2D"/>
    <w:rsid w:val="001336E1"/>
    <w:rsid w:val="00133A2B"/>
    <w:rsid w:val="00133C84"/>
    <w:rsid w:val="00134902"/>
    <w:rsid w:val="00134A9F"/>
    <w:rsid w:val="00134E2D"/>
    <w:rsid w:val="001357EF"/>
    <w:rsid w:val="001357F1"/>
    <w:rsid w:val="00135955"/>
    <w:rsid w:val="00137D2D"/>
    <w:rsid w:val="00137F1A"/>
    <w:rsid w:val="00140296"/>
    <w:rsid w:val="00140F11"/>
    <w:rsid w:val="00140FA8"/>
    <w:rsid w:val="00141001"/>
    <w:rsid w:val="001411FB"/>
    <w:rsid w:val="001414C3"/>
    <w:rsid w:val="00141D0C"/>
    <w:rsid w:val="00142027"/>
    <w:rsid w:val="001424A9"/>
    <w:rsid w:val="00142E2F"/>
    <w:rsid w:val="00142FEB"/>
    <w:rsid w:val="0014359D"/>
    <w:rsid w:val="001438BA"/>
    <w:rsid w:val="00143A2D"/>
    <w:rsid w:val="00144597"/>
    <w:rsid w:val="001448BB"/>
    <w:rsid w:val="00145A41"/>
    <w:rsid w:val="00145F7B"/>
    <w:rsid w:val="00146A0A"/>
    <w:rsid w:val="00146A1A"/>
    <w:rsid w:val="00146DA3"/>
    <w:rsid w:val="001471C5"/>
    <w:rsid w:val="001476B8"/>
    <w:rsid w:val="001500B5"/>
    <w:rsid w:val="001500C5"/>
    <w:rsid w:val="0015060A"/>
    <w:rsid w:val="00150D9C"/>
    <w:rsid w:val="00151083"/>
    <w:rsid w:val="00151290"/>
    <w:rsid w:val="00151675"/>
    <w:rsid w:val="00152AB5"/>
    <w:rsid w:val="00152C25"/>
    <w:rsid w:val="00153928"/>
    <w:rsid w:val="00154232"/>
    <w:rsid w:val="00154F1B"/>
    <w:rsid w:val="001550AA"/>
    <w:rsid w:val="0015574C"/>
    <w:rsid w:val="001570E4"/>
    <w:rsid w:val="001572EE"/>
    <w:rsid w:val="00157435"/>
    <w:rsid w:val="001574AC"/>
    <w:rsid w:val="00157504"/>
    <w:rsid w:val="00160BF0"/>
    <w:rsid w:val="00161363"/>
    <w:rsid w:val="0016288F"/>
    <w:rsid w:val="00163B0F"/>
    <w:rsid w:val="00164003"/>
    <w:rsid w:val="00164461"/>
    <w:rsid w:val="001646E5"/>
    <w:rsid w:val="001653AF"/>
    <w:rsid w:val="001666E1"/>
    <w:rsid w:val="00166D0E"/>
    <w:rsid w:val="00166F20"/>
    <w:rsid w:val="00166FDF"/>
    <w:rsid w:val="00167917"/>
    <w:rsid w:val="001701CD"/>
    <w:rsid w:val="001706FB"/>
    <w:rsid w:val="001707BC"/>
    <w:rsid w:val="00171034"/>
    <w:rsid w:val="00172A27"/>
    <w:rsid w:val="00173CC6"/>
    <w:rsid w:val="00173DEC"/>
    <w:rsid w:val="00173FE7"/>
    <w:rsid w:val="0017467E"/>
    <w:rsid w:val="0017504D"/>
    <w:rsid w:val="001750E8"/>
    <w:rsid w:val="00175BC5"/>
    <w:rsid w:val="0017671A"/>
    <w:rsid w:val="0017734C"/>
    <w:rsid w:val="00177422"/>
    <w:rsid w:val="00177CFE"/>
    <w:rsid w:val="00180B92"/>
    <w:rsid w:val="00180C30"/>
    <w:rsid w:val="0018143C"/>
    <w:rsid w:val="00181FB2"/>
    <w:rsid w:val="00184590"/>
    <w:rsid w:val="00184721"/>
    <w:rsid w:val="00184EDB"/>
    <w:rsid w:val="00185134"/>
    <w:rsid w:val="00185473"/>
    <w:rsid w:val="00186311"/>
    <w:rsid w:val="00186DD3"/>
    <w:rsid w:val="001870A7"/>
    <w:rsid w:val="001870D1"/>
    <w:rsid w:val="001873CD"/>
    <w:rsid w:val="0018781E"/>
    <w:rsid w:val="00191215"/>
    <w:rsid w:val="001914FC"/>
    <w:rsid w:val="0019170E"/>
    <w:rsid w:val="00191796"/>
    <w:rsid w:val="0019262D"/>
    <w:rsid w:val="001927C5"/>
    <w:rsid w:val="00193344"/>
    <w:rsid w:val="00194659"/>
    <w:rsid w:val="00194A8C"/>
    <w:rsid w:val="00195FF9"/>
    <w:rsid w:val="00196670"/>
    <w:rsid w:val="00196ACA"/>
    <w:rsid w:val="00196B88"/>
    <w:rsid w:val="001974AA"/>
    <w:rsid w:val="00197819"/>
    <w:rsid w:val="001A088F"/>
    <w:rsid w:val="001A107C"/>
    <w:rsid w:val="001A1409"/>
    <w:rsid w:val="001A14EE"/>
    <w:rsid w:val="001A1584"/>
    <w:rsid w:val="001A1B35"/>
    <w:rsid w:val="001A249C"/>
    <w:rsid w:val="001A2F27"/>
    <w:rsid w:val="001A3F8B"/>
    <w:rsid w:val="001A48A2"/>
    <w:rsid w:val="001A59F4"/>
    <w:rsid w:val="001A601D"/>
    <w:rsid w:val="001A6E60"/>
    <w:rsid w:val="001A6F61"/>
    <w:rsid w:val="001B00E0"/>
    <w:rsid w:val="001B03D0"/>
    <w:rsid w:val="001B10FA"/>
    <w:rsid w:val="001B1D71"/>
    <w:rsid w:val="001B214D"/>
    <w:rsid w:val="001B244A"/>
    <w:rsid w:val="001B2BF6"/>
    <w:rsid w:val="001B2D5F"/>
    <w:rsid w:val="001B3C09"/>
    <w:rsid w:val="001B4174"/>
    <w:rsid w:val="001B442B"/>
    <w:rsid w:val="001B478B"/>
    <w:rsid w:val="001B50CC"/>
    <w:rsid w:val="001B50FA"/>
    <w:rsid w:val="001B5640"/>
    <w:rsid w:val="001B5B19"/>
    <w:rsid w:val="001B5EB4"/>
    <w:rsid w:val="001B6E62"/>
    <w:rsid w:val="001B72B8"/>
    <w:rsid w:val="001B755C"/>
    <w:rsid w:val="001B75A0"/>
    <w:rsid w:val="001B75D4"/>
    <w:rsid w:val="001C0653"/>
    <w:rsid w:val="001C0A53"/>
    <w:rsid w:val="001C1C97"/>
    <w:rsid w:val="001C2696"/>
    <w:rsid w:val="001C3239"/>
    <w:rsid w:val="001C331B"/>
    <w:rsid w:val="001C3ACB"/>
    <w:rsid w:val="001C400C"/>
    <w:rsid w:val="001C5FC4"/>
    <w:rsid w:val="001C6003"/>
    <w:rsid w:val="001C69B3"/>
    <w:rsid w:val="001D096B"/>
    <w:rsid w:val="001D0EB4"/>
    <w:rsid w:val="001D10EC"/>
    <w:rsid w:val="001D33AF"/>
    <w:rsid w:val="001D37E9"/>
    <w:rsid w:val="001D451F"/>
    <w:rsid w:val="001D48B2"/>
    <w:rsid w:val="001D5595"/>
    <w:rsid w:val="001D55DD"/>
    <w:rsid w:val="001D64BF"/>
    <w:rsid w:val="001D6876"/>
    <w:rsid w:val="001D6EB5"/>
    <w:rsid w:val="001D73D6"/>
    <w:rsid w:val="001D7874"/>
    <w:rsid w:val="001D7F22"/>
    <w:rsid w:val="001E156C"/>
    <w:rsid w:val="001E17B0"/>
    <w:rsid w:val="001E18A3"/>
    <w:rsid w:val="001E23AF"/>
    <w:rsid w:val="001E3295"/>
    <w:rsid w:val="001E3B0B"/>
    <w:rsid w:val="001E40E7"/>
    <w:rsid w:val="001E410C"/>
    <w:rsid w:val="001E44A9"/>
    <w:rsid w:val="001E464D"/>
    <w:rsid w:val="001E5B30"/>
    <w:rsid w:val="001F0694"/>
    <w:rsid w:val="001F0F17"/>
    <w:rsid w:val="001F1235"/>
    <w:rsid w:val="001F1420"/>
    <w:rsid w:val="001F1C00"/>
    <w:rsid w:val="001F24EA"/>
    <w:rsid w:val="001F32C0"/>
    <w:rsid w:val="001F3347"/>
    <w:rsid w:val="001F3D2B"/>
    <w:rsid w:val="001F4928"/>
    <w:rsid w:val="001F4A5B"/>
    <w:rsid w:val="001F4E13"/>
    <w:rsid w:val="001F511C"/>
    <w:rsid w:val="001F5CCB"/>
    <w:rsid w:val="001F69E4"/>
    <w:rsid w:val="001F6AE7"/>
    <w:rsid w:val="001F72E8"/>
    <w:rsid w:val="001F7376"/>
    <w:rsid w:val="00200287"/>
    <w:rsid w:val="002004B6"/>
    <w:rsid w:val="002008F0"/>
    <w:rsid w:val="00201E38"/>
    <w:rsid w:val="00204464"/>
    <w:rsid w:val="00204A1A"/>
    <w:rsid w:val="00204F64"/>
    <w:rsid w:val="00205451"/>
    <w:rsid w:val="00206155"/>
    <w:rsid w:val="00206B3A"/>
    <w:rsid w:val="00207122"/>
    <w:rsid w:val="00207D7A"/>
    <w:rsid w:val="002125B4"/>
    <w:rsid w:val="00212944"/>
    <w:rsid w:val="00213378"/>
    <w:rsid w:val="0021349F"/>
    <w:rsid w:val="0021356D"/>
    <w:rsid w:val="002149F6"/>
    <w:rsid w:val="002155B8"/>
    <w:rsid w:val="00215936"/>
    <w:rsid w:val="00215CCC"/>
    <w:rsid w:val="00215D85"/>
    <w:rsid w:val="00216B42"/>
    <w:rsid w:val="00216D22"/>
    <w:rsid w:val="00217267"/>
    <w:rsid w:val="00217AB4"/>
    <w:rsid w:val="00220721"/>
    <w:rsid w:val="00220C66"/>
    <w:rsid w:val="00220D95"/>
    <w:rsid w:val="00221103"/>
    <w:rsid w:val="0022113E"/>
    <w:rsid w:val="00221CF9"/>
    <w:rsid w:val="002231E0"/>
    <w:rsid w:val="00223D1E"/>
    <w:rsid w:val="00223D92"/>
    <w:rsid w:val="00224839"/>
    <w:rsid w:val="002249B2"/>
    <w:rsid w:val="002252E9"/>
    <w:rsid w:val="00225CA8"/>
    <w:rsid w:val="00225D45"/>
    <w:rsid w:val="00226334"/>
    <w:rsid w:val="00226574"/>
    <w:rsid w:val="002266CC"/>
    <w:rsid w:val="0022787B"/>
    <w:rsid w:val="002278EC"/>
    <w:rsid w:val="00230EF1"/>
    <w:rsid w:val="0023159E"/>
    <w:rsid w:val="0023210F"/>
    <w:rsid w:val="002322FB"/>
    <w:rsid w:val="0023280E"/>
    <w:rsid w:val="00232EEE"/>
    <w:rsid w:val="00232FAB"/>
    <w:rsid w:val="0023356B"/>
    <w:rsid w:val="00234525"/>
    <w:rsid w:val="00234A7A"/>
    <w:rsid w:val="00234B9A"/>
    <w:rsid w:val="00234E22"/>
    <w:rsid w:val="002363AB"/>
    <w:rsid w:val="002363F4"/>
    <w:rsid w:val="00237315"/>
    <w:rsid w:val="0023736F"/>
    <w:rsid w:val="002377D1"/>
    <w:rsid w:val="002378D3"/>
    <w:rsid w:val="00237C0E"/>
    <w:rsid w:val="00240623"/>
    <w:rsid w:val="00241E25"/>
    <w:rsid w:val="00242029"/>
    <w:rsid w:val="002423BA"/>
    <w:rsid w:val="0024244C"/>
    <w:rsid w:val="002434D2"/>
    <w:rsid w:val="00245462"/>
    <w:rsid w:val="00245BF4"/>
    <w:rsid w:val="0024681A"/>
    <w:rsid w:val="00247017"/>
    <w:rsid w:val="00247AD5"/>
    <w:rsid w:val="002506BC"/>
    <w:rsid w:val="0025079C"/>
    <w:rsid w:val="00250BF8"/>
    <w:rsid w:val="00250E8E"/>
    <w:rsid w:val="002511F2"/>
    <w:rsid w:val="002515E2"/>
    <w:rsid w:val="00251A3E"/>
    <w:rsid w:val="00252BE5"/>
    <w:rsid w:val="00253554"/>
    <w:rsid w:val="00254345"/>
    <w:rsid w:val="002547E4"/>
    <w:rsid w:val="00254F7C"/>
    <w:rsid w:val="0025582E"/>
    <w:rsid w:val="00256093"/>
    <w:rsid w:val="0025632C"/>
    <w:rsid w:val="0025668F"/>
    <w:rsid w:val="00256791"/>
    <w:rsid w:val="002579DC"/>
    <w:rsid w:val="00260626"/>
    <w:rsid w:val="00260B36"/>
    <w:rsid w:val="002613B4"/>
    <w:rsid w:val="00261ACF"/>
    <w:rsid w:val="00262402"/>
    <w:rsid w:val="00262529"/>
    <w:rsid w:val="002629F6"/>
    <w:rsid w:val="002638CF"/>
    <w:rsid w:val="0026402B"/>
    <w:rsid w:val="00264491"/>
    <w:rsid w:val="00264557"/>
    <w:rsid w:val="00264A47"/>
    <w:rsid w:val="00264FF9"/>
    <w:rsid w:val="00265A7E"/>
    <w:rsid w:val="00266960"/>
    <w:rsid w:val="00266C62"/>
    <w:rsid w:val="00266EF8"/>
    <w:rsid w:val="002702D3"/>
    <w:rsid w:val="00270F8D"/>
    <w:rsid w:val="00271537"/>
    <w:rsid w:val="00271C7B"/>
    <w:rsid w:val="002722ED"/>
    <w:rsid w:val="002728C2"/>
    <w:rsid w:val="00272B1B"/>
    <w:rsid w:val="00273EB3"/>
    <w:rsid w:val="00273F3E"/>
    <w:rsid w:val="002745C4"/>
    <w:rsid w:val="00274A7B"/>
    <w:rsid w:val="00274BE7"/>
    <w:rsid w:val="00275857"/>
    <w:rsid w:val="00275EBC"/>
    <w:rsid w:val="00275F91"/>
    <w:rsid w:val="0027652F"/>
    <w:rsid w:val="00276AFA"/>
    <w:rsid w:val="00276B43"/>
    <w:rsid w:val="00280201"/>
    <w:rsid w:val="002805AB"/>
    <w:rsid w:val="00280DFE"/>
    <w:rsid w:val="002811EE"/>
    <w:rsid w:val="0028120B"/>
    <w:rsid w:val="0028128E"/>
    <w:rsid w:val="00281629"/>
    <w:rsid w:val="002825D1"/>
    <w:rsid w:val="00282C2E"/>
    <w:rsid w:val="00283E67"/>
    <w:rsid w:val="00284204"/>
    <w:rsid w:val="00284661"/>
    <w:rsid w:val="0028578E"/>
    <w:rsid w:val="00285A7F"/>
    <w:rsid w:val="0028678A"/>
    <w:rsid w:val="00287323"/>
    <w:rsid w:val="0028774B"/>
    <w:rsid w:val="00290883"/>
    <w:rsid w:val="00290892"/>
    <w:rsid w:val="00290947"/>
    <w:rsid w:val="002909A5"/>
    <w:rsid w:val="002909B0"/>
    <w:rsid w:val="0029126B"/>
    <w:rsid w:val="00291773"/>
    <w:rsid w:val="00291E18"/>
    <w:rsid w:val="002939A5"/>
    <w:rsid w:val="00293AE9"/>
    <w:rsid w:val="00294142"/>
    <w:rsid w:val="00294382"/>
    <w:rsid w:val="0029462D"/>
    <w:rsid w:val="0029503F"/>
    <w:rsid w:val="00296B04"/>
    <w:rsid w:val="002A168C"/>
    <w:rsid w:val="002A1F3B"/>
    <w:rsid w:val="002A2700"/>
    <w:rsid w:val="002A39B3"/>
    <w:rsid w:val="002A3DC7"/>
    <w:rsid w:val="002A4120"/>
    <w:rsid w:val="002A51C7"/>
    <w:rsid w:val="002A57B7"/>
    <w:rsid w:val="002A70AA"/>
    <w:rsid w:val="002A7B34"/>
    <w:rsid w:val="002A7D6A"/>
    <w:rsid w:val="002B02E3"/>
    <w:rsid w:val="002B0BC3"/>
    <w:rsid w:val="002B0F59"/>
    <w:rsid w:val="002B22B2"/>
    <w:rsid w:val="002B49E2"/>
    <w:rsid w:val="002B4EAB"/>
    <w:rsid w:val="002B5207"/>
    <w:rsid w:val="002B5340"/>
    <w:rsid w:val="002B55BC"/>
    <w:rsid w:val="002B592A"/>
    <w:rsid w:val="002B5BC6"/>
    <w:rsid w:val="002B6BDE"/>
    <w:rsid w:val="002B7B00"/>
    <w:rsid w:val="002B7C44"/>
    <w:rsid w:val="002C024A"/>
    <w:rsid w:val="002C09F7"/>
    <w:rsid w:val="002C1973"/>
    <w:rsid w:val="002C2B17"/>
    <w:rsid w:val="002C35D1"/>
    <w:rsid w:val="002C3C5F"/>
    <w:rsid w:val="002C4035"/>
    <w:rsid w:val="002C4A1C"/>
    <w:rsid w:val="002C4EB0"/>
    <w:rsid w:val="002C5810"/>
    <w:rsid w:val="002C582D"/>
    <w:rsid w:val="002C5DFF"/>
    <w:rsid w:val="002C6D44"/>
    <w:rsid w:val="002C6DDC"/>
    <w:rsid w:val="002D2255"/>
    <w:rsid w:val="002D3DD0"/>
    <w:rsid w:val="002D41FF"/>
    <w:rsid w:val="002D43BF"/>
    <w:rsid w:val="002D5642"/>
    <w:rsid w:val="002D5A6C"/>
    <w:rsid w:val="002D72B1"/>
    <w:rsid w:val="002D77AC"/>
    <w:rsid w:val="002D7F6A"/>
    <w:rsid w:val="002E1F3A"/>
    <w:rsid w:val="002E298A"/>
    <w:rsid w:val="002E2B4A"/>
    <w:rsid w:val="002E32CE"/>
    <w:rsid w:val="002E3484"/>
    <w:rsid w:val="002E450D"/>
    <w:rsid w:val="002E5EDB"/>
    <w:rsid w:val="002E6C35"/>
    <w:rsid w:val="002E7A2A"/>
    <w:rsid w:val="002E7D35"/>
    <w:rsid w:val="002F023F"/>
    <w:rsid w:val="002F1A2B"/>
    <w:rsid w:val="002F1F90"/>
    <w:rsid w:val="002F2381"/>
    <w:rsid w:val="002F356E"/>
    <w:rsid w:val="002F49C8"/>
    <w:rsid w:val="002F5996"/>
    <w:rsid w:val="002F5DC5"/>
    <w:rsid w:val="002F635B"/>
    <w:rsid w:val="002F6B95"/>
    <w:rsid w:val="002F74DF"/>
    <w:rsid w:val="002F7F38"/>
    <w:rsid w:val="0030021C"/>
    <w:rsid w:val="00300A6D"/>
    <w:rsid w:val="003014F0"/>
    <w:rsid w:val="00301978"/>
    <w:rsid w:val="00301F12"/>
    <w:rsid w:val="0030205B"/>
    <w:rsid w:val="0030271C"/>
    <w:rsid w:val="00302931"/>
    <w:rsid w:val="00303113"/>
    <w:rsid w:val="0030332C"/>
    <w:rsid w:val="003044F9"/>
    <w:rsid w:val="003051C2"/>
    <w:rsid w:val="003053A0"/>
    <w:rsid w:val="00305A90"/>
    <w:rsid w:val="00305B7B"/>
    <w:rsid w:val="00306098"/>
    <w:rsid w:val="003065E6"/>
    <w:rsid w:val="00306D98"/>
    <w:rsid w:val="00310EDA"/>
    <w:rsid w:val="0031149E"/>
    <w:rsid w:val="00312023"/>
    <w:rsid w:val="00312296"/>
    <w:rsid w:val="00312646"/>
    <w:rsid w:val="00312D8D"/>
    <w:rsid w:val="0031315C"/>
    <w:rsid w:val="003139B6"/>
    <w:rsid w:val="00313FC2"/>
    <w:rsid w:val="00314F0E"/>
    <w:rsid w:val="00315213"/>
    <w:rsid w:val="00315A64"/>
    <w:rsid w:val="00315CA2"/>
    <w:rsid w:val="003165E2"/>
    <w:rsid w:val="0031682A"/>
    <w:rsid w:val="003169BD"/>
    <w:rsid w:val="00317AB9"/>
    <w:rsid w:val="00320641"/>
    <w:rsid w:val="0032074A"/>
    <w:rsid w:val="00320EE0"/>
    <w:rsid w:val="0032159B"/>
    <w:rsid w:val="00321D8E"/>
    <w:rsid w:val="0032217E"/>
    <w:rsid w:val="00322AA7"/>
    <w:rsid w:val="00323998"/>
    <w:rsid w:val="00323BA4"/>
    <w:rsid w:val="00324799"/>
    <w:rsid w:val="003255E1"/>
    <w:rsid w:val="00325928"/>
    <w:rsid w:val="00325930"/>
    <w:rsid w:val="0032673E"/>
    <w:rsid w:val="00326FC1"/>
    <w:rsid w:val="003273A1"/>
    <w:rsid w:val="003275B3"/>
    <w:rsid w:val="00331CB7"/>
    <w:rsid w:val="00331D76"/>
    <w:rsid w:val="00332863"/>
    <w:rsid w:val="00332DAA"/>
    <w:rsid w:val="00333D03"/>
    <w:rsid w:val="00333D67"/>
    <w:rsid w:val="0033483D"/>
    <w:rsid w:val="00334E13"/>
    <w:rsid w:val="00335525"/>
    <w:rsid w:val="00335BDA"/>
    <w:rsid w:val="0033684D"/>
    <w:rsid w:val="00336D1B"/>
    <w:rsid w:val="0033780F"/>
    <w:rsid w:val="00337B42"/>
    <w:rsid w:val="00340F8A"/>
    <w:rsid w:val="003412F5"/>
    <w:rsid w:val="00341B42"/>
    <w:rsid w:val="0034348F"/>
    <w:rsid w:val="00343E20"/>
    <w:rsid w:val="00344420"/>
    <w:rsid w:val="003457A4"/>
    <w:rsid w:val="00345E33"/>
    <w:rsid w:val="003461D5"/>
    <w:rsid w:val="0034701C"/>
    <w:rsid w:val="00347321"/>
    <w:rsid w:val="00347441"/>
    <w:rsid w:val="00347BEA"/>
    <w:rsid w:val="003502CE"/>
    <w:rsid w:val="00350723"/>
    <w:rsid w:val="003507F0"/>
    <w:rsid w:val="00350AE5"/>
    <w:rsid w:val="00350ED9"/>
    <w:rsid w:val="00350FCB"/>
    <w:rsid w:val="0035231F"/>
    <w:rsid w:val="003534A4"/>
    <w:rsid w:val="00354736"/>
    <w:rsid w:val="00355D0D"/>
    <w:rsid w:val="00356358"/>
    <w:rsid w:val="00356653"/>
    <w:rsid w:val="00356683"/>
    <w:rsid w:val="00356707"/>
    <w:rsid w:val="0035743F"/>
    <w:rsid w:val="00357BE2"/>
    <w:rsid w:val="00357F20"/>
    <w:rsid w:val="003603DD"/>
    <w:rsid w:val="00360EC8"/>
    <w:rsid w:val="00361017"/>
    <w:rsid w:val="0036170C"/>
    <w:rsid w:val="00362B1E"/>
    <w:rsid w:val="00363425"/>
    <w:rsid w:val="00364353"/>
    <w:rsid w:val="00364CE9"/>
    <w:rsid w:val="00364F14"/>
    <w:rsid w:val="00364F40"/>
    <w:rsid w:val="0036570B"/>
    <w:rsid w:val="00365923"/>
    <w:rsid w:val="00366423"/>
    <w:rsid w:val="00366900"/>
    <w:rsid w:val="00366E0F"/>
    <w:rsid w:val="00367CE2"/>
    <w:rsid w:val="00370A77"/>
    <w:rsid w:val="0037186F"/>
    <w:rsid w:val="00371C1C"/>
    <w:rsid w:val="003723DC"/>
    <w:rsid w:val="0037280F"/>
    <w:rsid w:val="003728D6"/>
    <w:rsid w:val="00373356"/>
    <w:rsid w:val="003736F8"/>
    <w:rsid w:val="003738E4"/>
    <w:rsid w:val="00373FB1"/>
    <w:rsid w:val="00374A1D"/>
    <w:rsid w:val="0037636B"/>
    <w:rsid w:val="003763CB"/>
    <w:rsid w:val="0037685E"/>
    <w:rsid w:val="00377085"/>
    <w:rsid w:val="00377A2B"/>
    <w:rsid w:val="00380806"/>
    <w:rsid w:val="003809A5"/>
    <w:rsid w:val="00381A72"/>
    <w:rsid w:val="0038253C"/>
    <w:rsid w:val="00382FB8"/>
    <w:rsid w:val="003838A5"/>
    <w:rsid w:val="00384676"/>
    <w:rsid w:val="003847FC"/>
    <w:rsid w:val="003848E2"/>
    <w:rsid w:val="00384AB2"/>
    <w:rsid w:val="0038594B"/>
    <w:rsid w:val="00385B7B"/>
    <w:rsid w:val="00385F9C"/>
    <w:rsid w:val="00386294"/>
    <w:rsid w:val="00386E9F"/>
    <w:rsid w:val="00386FD6"/>
    <w:rsid w:val="00387155"/>
    <w:rsid w:val="00387DC3"/>
    <w:rsid w:val="00390290"/>
    <w:rsid w:val="00390857"/>
    <w:rsid w:val="0039088C"/>
    <w:rsid w:val="00391389"/>
    <w:rsid w:val="00391DA0"/>
    <w:rsid w:val="00392462"/>
    <w:rsid w:val="003924CA"/>
    <w:rsid w:val="0039365A"/>
    <w:rsid w:val="00393718"/>
    <w:rsid w:val="00393A22"/>
    <w:rsid w:val="0039408D"/>
    <w:rsid w:val="003941E5"/>
    <w:rsid w:val="0039469C"/>
    <w:rsid w:val="0039474B"/>
    <w:rsid w:val="00394AAD"/>
    <w:rsid w:val="00394DD0"/>
    <w:rsid w:val="00395BB0"/>
    <w:rsid w:val="00396026"/>
    <w:rsid w:val="003962DC"/>
    <w:rsid w:val="0039709E"/>
    <w:rsid w:val="003974C4"/>
    <w:rsid w:val="003978D7"/>
    <w:rsid w:val="00397DD1"/>
    <w:rsid w:val="003A1483"/>
    <w:rsid w:val="003A1D3F"/>
    <w:rsid w:val="003A2030"/>
    <w:rsid w:val="003A229A"/>
    <w:rsid w:val="003A249C"/>
    <w:rsid w:val="003A2DEC"/>
    <w:rsid w:val="003A344E"/>
    <w:rsid w:val="003A3904"/>
    <w:rsid w:val="003A3B32"/>
    <w:rsid w:val="003A4BF3"/>
    <w:rsid w:val="003A6086"/>
    <w:rsid w:val="003A6227"/>
    <w:rsid w:val="003A6E22"/>
    <w:rsid w:val="003B0F34"/>
    <w:rsid w:val="003B2A7E"/>
    <w:rsid w:val="003B377F"/>
    <w:rsid w:val="003B3922"/>
    <w:rsid w:val="003B420D"/>
    <w:rsid w:val="003B5190"/>
    <w:rsid w:val="003B6564"/>
    <w:rsid w:val="003B66DC"/>
    <w:rsid w:val="003B6FED"/>
    <w:rsid w:val="003B7E50"/>
    <w:rsid w:val="003C00F9"/>
    <w:rsid w:val="003C1066"/>
    <w:rsid w:val="003C129F"/>
    <w:rsid w:val="003C1904"/>
    <w:rsid w:val="003C1D41"/>
    <w:rsid w:val="003C2949"/>
    <w:rsid w:val="003C2ADD"/>
    <w:rsid w:val="003C2DA7"/>
    <w:rsid w:val="003C3198"/>
    <w:rsid w:val="003C3F6E"/>
    <w:rsid w:val="003C4358"/>
    <w:rsid w:val="003C4A11"/>
    <w:rsid w:val="003C4C03"/>
    <w:rsid w:val="003C5388"/>
    <w:rsid w:val="003C5434"/>
    <w:rsid w:val="003C6C16"/>
    <w:rsid w:val="003C75DF"/>
    <w:rsid w:val="003D14BD"/>
    <w:rsid w:val="003D185B"/>
    <w:rsid w:val="003D2BB8"/>
    <w:rsid w:val="003D2C1F"/>
    <w:rsid w:val="003D2F32"/>
    <w:rsid w:val="003D3508"/>
    <w:rsid w:val="003D3670"/>
    <w:rsid w:val="003D3F6E"/>
    <w:rsid w:val="003D464E"/>
    <w:rsid w:val="003D4EFC"/>
    <w:rsid w:val="003D5A6B"/>
    <w:rsid w:val="003D5F9A"/>
    <w:rsid w:val="003D690B"/>
    <w:rsid w:val="003D6A24"/>
    <w:rsid w:val="003D6E9F"/>
    <w:rsid w:val="003D74A9"/>
    <w:rsid w:val="003D77BA"/>
    <w:rsid w:val="003D794D"/>
    <w:rsid w:val="003D7A49"/>
    <w:rsid w:val="003E013B"/>
    <w:rsid w:val="003E0197"/>
    <w:rsid w:val="003E249C"/>
    <w:rsid w:val="003E3058"/>
    <w:rsid w:val="003E3DE1"/>
    <w:rsid w:val="003E454B"/>
    <w:rsid w:val="003E4679"/>
    <w:rsid w:val="003E4B59"/>
    <w:rsid w:val="003E528E"/>
    <w:rsid w:val="003E6595"/>
    <w:rsid w:val="003E7000"/>
    <w:rsid w:val="003E712C"/>
    <w:rsid w:val="003E73FF"/>
    <w:rsid w:val="003E76A9"/>
    <w:rsid w:val="003E76CD"/>
    <w:rsid w:val="003F06DF"/>
    <w:rsid w:val="003F0809"/>
    <w:rsid w:val="003F0811"/>
    <w:rsid w:val="003F0B31"/>
    <w:rsid w:val="003F153B"/>
    <w:rsid w:val="003F241C"/>
    <w:rsid w:val="003F2BD0"/>
    <w:rsid w:val="003F3C8C"/>
    <w:rsid w:val="003F44B0"/>
    <w:rsid w:val="003F461F"/>
    <w:rsid w:val="003F5558"/>
    <w:rsid w:val="003F5C3A"/>
    <w:rsid w:val="003F66D6"/>
    <w:rsid w:val="003F68D2"/>
    <w:rsid w:val="003F6A8C"/>
    <w:rsid w:val="003F6B0F"/>
    <w:rsid w:val="003F6EAC"/>
    <w:rsid w:val="003F755C"/>
    <w:rsid w:val="003F75EC"/>
    <w:rsid w:val="004017F6"/>
    <w:rsid w:val="0040287C"/>
    <w:rsid w:val="00403615"/>
    <w:rsid w:val="004037B0"/>
    <w:rsid w:val="004041BB"/>
    <w:rsid w:val="004061A3"/>
    <w:rsid w:val="004061FC"/>
    <w:rsid w:val="00406F01"/>
    <w:rsid w:val="00407135"/>
    <w:rsid w:val="004075E6"/>
    <w:rsid w:val="00407623"/>
    <w:rsid w:val="0040782A"/>
    <w:rsid w:val="00407B01"/>
    <w:rsid w:val="00407B2D"/>
    <w:rsid w:val="004101BB"/>
    <w:rsid w:val="0041076A"/>
    <w:rsid w:val="00412929"/>
    <w:rsid w:val="00412E03"/>
    <w:rsid w:val="00412E4D"/>
    <w:rsid w:val="0041391A"/>
    <w:rsid w:val="004143CD"/>
    <w:rsid w:val="00415374"/>
    <w:rsid w:val="00416D50"/>
    <w:rsid w:val="00416FD5"/>
    <w:rsid w:val="004170B7"/>
    <w:rsid w:val="00417606"/>
    <w:rsid w:val="00417772"/>
    <w:rsid w:val="00417E12"/>
    <w:rsid w:val="00417F5D"/>
    <w:rsid w:val="00420E6A"/>
    <w:rsid w:val="0042123D"/>
    <w:rsid w:val="004224F3"/>
    <w:rsid w:val="004226B7"/>
    <w:rsid w:val="00422967"/>
    <w:rsid w:val="00422A57"/>
    <w:rsid w:val="00422ABC"/>
    <w:rsid w:val="00422D01"/>
    <w:rsid w:val="00422D6C"/>
    <w:rsid w:val="00422EDE"/>
    <w:rsid w:val="00422FB8"/>
    <w:rsid w:val="004230D2"/>
    <w:rsid w:val="004231BA"/>
    <w:rsid w:val="00423E24"/>
    <w:rsid w:val="0042413B"/>
    <w:rsid w:val="00424DCB"/>
    <w:rsid w:val="00425361"/>
    <w:rsid w:val="00425965"/>
    <w:rsid w:val="00425A9E"/>
    <w:rsid w:val="00426D6B"/>
    <w:rsid w:val="004276D9"/>
    <w:rsid w:val="004301CA"/>
    <w:rsid w:val="00430971"/>
    <w:rsid w:val="004314CE"/>
    <w:rsid w:val="00431A97"/>
    <w:rsid w:val="00431E6C"/>
    <w:rsid w:val="0043307B"/>
    <w:rsid w:val="00433664"/>
    <w:rsid w:val="00433733"/>
    <w:rsid w:val="00433CE7"/>
    <w:rsid w:val="00433D47"/>
    <w:rsid w:val="00434174"/>
    <w:rsid w:val="00434722"/>
    <w:rsid w:val="00434B10"/>
    <w:rsid w:val="00434D05"/>
    <w:rsid w:val="004350F4"/>
    <w:rsid w:val="00437A20"/>
    <w:rsid w:val="00437A81"/>
    <w:rsid w:val="00437E09"/>
    <w:rsid w:val="00440212"/>
    <w:rsid w:val="00440DEF"/>
    <w:rsid w:val="00441020"/>
    <w:rsid w:val="004410C2"/>
    <w:rsid w:val="0044173F"/>
    <w:rsid w:val="00441C06"/>
    <w:rsid w:val="00442115"/>
    <w:rsid w:val="00442ACB"/>
    <w:rsid w:val="0044503C"/>
    <w:rsid w:val="00445F98"/>
    <w:rsid w:val="00445FE9"/>
    <w:rsid w:val="0044688E"/>
    <w:rsid w:val="00447CEA"/>
    <w:rsid w:val="004502FA"/>
    <w:rsid w:val="00450750"/>
    <w:rsid w:val="0045158C"/>
    <w:rsid w:val="00451798"/>
    <w:rsid w:val="00451804"/>
    <w:rsid w:val="00452738"/>
    <w:rsid w:val="004542D8"/>
    <w:rsid w:val="00454AE6"/>
    <w:rsid w:val="00454BA5"/>
    <w:rsid w:val="004556D0"/>
    <w:rsid w:val="00456091"/>
    <w:rsid w:val="00456DDE"/>
    <w:rsid w:val="004572B1"/>
    <w:rsid w:val="00460486"/>
    <w:rsid w:val="00460626"/>
    <w:rsid w:val="00461451"/>
    <w:rsid w:val="004615EE"/>
    <w:rsid w:val="00461CA0"/>
    <w:rsid w:val="00461F01"/>
    <w:rsid w:val="00462076"/>
    <w:rsid w:val="0046219C"/>
    <w:rsid w:val="0046286B"/>
    <w:rsid w:val="00462C55"/>
    <w:rsid w:val="0046350B"/>
    <w:rsid w:val="00465CEA"/>
    <w:rsid w:val="00466321"/>
    <w:rsid w:val="00466606"/>
    <w:rsid w:val="00466812"/>
    <w:rsid w:val="004668D5"/>
    <w:rsid w:val="00466A19"/>
    <w:rsid w:val="0046704F"/>
    <w:rsid w:val="00467277"/>
    <w:rsid w:val="004679F4"/>
    <w:rsid w:val="00467B91"/>
    <w:rsid w:val="0047021E"/>
    <w:rsid w:val="00470B53"/>
    <w:rsid w:val="00470BCF"/>
    <w:rsid w:val="00471326"/>
    <w:rsid w:val="004713C3"/>
    <w:rsid w:val="004719EC"/>
    <w:rsid w:val="00471AD6"/>
    <w:rsid w:val="00471B0B"/>
    <w:rsid w:val="0047227B"/>
    <w:rsid w:val="004725BD"/>
    <w:rsid w:val="00474420"/>
    <w:rsid w:val="0047463C"/>
    <w:rsid w:val="00474C3B"/>
    <w:rsid w:val="0047546A"/>
    <w:rsid w:val="00475F0C"/>
    <w:rsid w:val="004774FC"/>
    <w:rsid w:val="0048025A"/>
    <w:rsid w:val="004809B0"/>
    <w:rsid w:val="00481A55"/>
    <w:rsid w:val="00482F8B"/>
    <w:rsid w:val="00483013"/>
    <w:rsid w:val="0048381B"/>
    <w:rsid w:val="00483ADC"/>
    <w:rsid w:val="00483EE3"/>
    <w:rsid w:val="00484B9B"/>
    <w:rsid w:val="004855F6"/>
    <w:rsid w:val="00485BBC"/>
    <w:rsid w:val="0048661E"/>
    <w:rsid w:val="0048662E"/>
    <w:rsid w:val="00486818"/>
    <w:rsid w:val="00486872"/>
    <w:rsid w:val="00486A32"/>
    <w:rsid w:val="00486E35"/>
    <w:rsid w:val="00490170"/>
    <w:rsid w:val="00491054"/>
    <w:rsid w:val="00491777"/>
    <w:rsid w:val="004917F5"/>
    <w:rsid w:val="00491B2B"/>
    <w:rsid w:val="00493021"/>
    <w:rsid w:val="00493A3D"/>
    <w:rsid w:val="00493B7C"/>
    <w:rsid w:val="004940F9"/>
    <w:rsid w:val="00494670"/>
    <w:rsid w:val="00495DF7"/>
    <w:rsid w:val="00495E61"/>
    <w:rsid w:val="00496F2D"/>
    <w:rsid w:val="004972E3"/>
    <w:rsid w:val="004976A1"/>
    <w:rsid w:val="004977F5"/>
    <w:rsid w:val="004979A0"/>
    <w:rsid w:val="004A077C"/>
    <w:rsid w:val="004A0C03"/>
    <w:rsid w:val="004A1005"/>
    <w:rsid w:val="004A1164"/>
    <w:rsid w:val="004A14F7"/>
    <w:rsid w:val="004A2E35"/>
    <w:rsid w:val="004A30D9"/>
    <w:rsid w:val="004A32EA"/>
    <w:rsid w:val="004A3823"/>
    <w:rsid w:val="004A4049"/>
    <w:rsid w:val="004A51B8"/>
    <w:rsid w:val="004A5336"/>
    <w:rsid w:val="004A5735"/>
    <w:rsid w:val="004B1A9F"/>
    <w:rsid w:val="004B22B9"/>
    <w:rsid w:val="004B2D41"/>
    <w:rsid w:val="004B3677"/>
    <w:rsid w:val="004B38B8"/>
    <w:rsid w:val="004B39C5"/>
    <w:rsid w:val="004B3E69"/>
    <w:rsid w:val="004B40C8"/>
    <w:rsid w:val="004B5B8A"/>
    <w:rsid w:val="004B6552"/>
    <w:rsid w:val="004B6DDE"/>
    <w:rsid w:val="004B6DEA"/>
    <w:rsid w:val="004B7271"/>
    <w:rsid w:val="004C0AC6"/>
    <w:rsid w:val="004C1641"/>
    <w:rsid w:val="004C16CD"/>
    <w:rsid w:val="004C18FD"/>
    <w:rsid w:val="004C1CF2"/>
    <w:rsid w:val="004C247A"/>
    <w:rsid w:val="004C2F65"/>
    <w:rsid w:val="004C32A4"/>
    <w:rsid w:val="004C3848"/>
    <w:rsid w:val="004C43E5"/>
    <w:rsid w:val="004C44C2"/>
    <w:rsid w:val="004C46B9"/>
    <w:rsid w:val="004C48F7"/>
    <w:rsid w:val="004C4AFE"/>
    <w:rsid w:val="004C5379"/>
    <w:rsid w:val="004C5886"/>
    <w:rsid w:val="004C6859"/>
    <w:rsid w:val="004C69B1"/>
    <w:rsid w:val="004C7066"/>
    <w:rsid w:val="004C747B"/>
    <w:rsid w:val="004C795C"/>
    <w:rsid w:val="004C7CEA"/>
    <w:rsid w:val="004C7D2A"/>
    <w:rsid w:val="004C7FC8"/>
    <w:rsid w:val="004D0503"/>
    <w:rsid w:val="004D0C6B"/>
    <w:rsid w:val="004D19F4"/>
    <w:rsid w:val="004D1B4E"/>
    <w:rsid w:val="004D1E22"/>
    <w:rsid w:val="004D2F25"/>
    <w:rsid w:val="004D4060"/>
    <w:rsid w:val="004D5182"/>
    <w:rsid w:val="004D56C2"/>
    <w:rsid w:val="004D604F"/>
    <w:rsid w:val="004D7CFF"/>
    <w:rsid w:val="004E0CD6"/>
    <w:rsid w:val="004E1322"/>
    <w:rsid w:val="004E1737"/>
    <w:rsid w:val="004E21D3"/>
    <w:rsid w:val="004E2947"/>
    <w:rsid w:val="004E37AE"/>
    <w:rsid w:val="004E44E0"/>
    <w:rsid w:val="004E6946"/>
    <w:rsid w:val="004E6C01"/>
    <w:rsid w:val="004E6FC1"/>
    <w:rsid w:val="004E72B0"/>
    <w:rsid w:val="004F0022"/>
    <w:rsid w:val="004F08AB"/>
    <w:rsid w:val="004F11EE"/>
    <w:rsid w:val="004F1382"/>
    <w:rsid w:val="004F1783"/>
    <w:rsid w:val="004F18E3"/>
    <w:rsid w:val="004F19FA"/>
    <w:rsid w:val="004F1AD8"/>
    <w:rsid w:val="004F215D"/>
    <w:rsid w:val="004F286C"/>
    <w:rsid w:val="004F31A2"/>
    <w:rsid w:val="004F4441"/>
    <w:rsid w:val="004F53D3"/>
    <w:rsid w:val="004F553B"/>
    <w:rsid w:val="004F6346"/>
    <w:rsid w:val="004F6BDC"/>
    <w:rsid w:val="004F6C7C"/>
    <w:rsid w:val="004F72A3"/>
    <w:rsid w:val="0050121F"/>
    <w:rsid w:val="005013EE"/>
    <w:rsid w:val="00501462"/>
    <w:rsid w:val="00502F6B"/>
    <w:rsid w:val="00503507"/>
    <w:rsid w:val="00503592"/>
    <w:rsid w:val="005039BD"/>
    <w:rsid w:val="005039CB"/>
    <w:rsid w:val="005041C2"/>
    <w:rsid w:val="0050558F"/>
    <w:rsid w:val="00505C33"/>
    <w:rsid w:val="00505D4D"/>
    <w:rsid w:val="00506286"/>
    <w:rsid w:val="00506504"/>
    <w:rsid w:val="00507359"/>
    <w:rsid w:val="00507AE1"/>
    <w:rsid w:val="00507E25"/>
    <w:rsid w:val="00510813"/>
    <w:rsid w:val="00510EB6"/>
    <w:rsid w:val="00511990"/>
    <w:rsid w:val="005119A2"/>
    <w:rsid w:val="00511DE0"/>
    <w:rsid w:val="0051202D"/>
    <w:rsid w:val="00512250"/>
    <w:rsid w:val="00512AAA"/>
    <w:rsid w:val="00512D5E"/>
    <w:rsid w:val="00512F5D"/>
    <w:rsid w:val="005130ED"/>
    <w:rsid w:val="00513CAF"/>
    <w:rsid w:val="00514256"/>
    <w:rsid w:val="00514870"/>
    <w:rsid w:val="00514B9B"/>
    <w:rsid w:val="00515149"/>
    <w:rsid w:val="00516C5E"/>
    <w:rsid w:val="00517F02"/>
    <w:rsid w:val="00517FC0"/>
    <w:rsid w:val="00520D89"/>
    <w:rsid w:val="00520DE3"/>
    <w:rsid w:val="0052172B"/>
    <w:rsid w:val="005226CC"/>
    <w:rsid w:val="00523DA1"/>
    <w:rsid w:val="0052414D"/>
    <w:rsid w:val="00524303"/>
    <w:rsid w:val="005258A2"/>
    <w:rsid w:val="0052646A"/>
    <w:rsid w:val="00526D42"/>
    <w:rsid w:val="00530162"/>
    <w:rsid w:val="00530F1A"/>
    <w:rsid w:val="00531FA8"/>
    <w:rsid w:val="00532372"/>
    <w:rsid w:val="005331C7"/>
    <w:rsid w:val="005331F6"/>
    <w:rsid w:val="005339A1"/>
    <w:rsid w:val="005345D8"/>
    <w:rsid w:val="00535892"/>
    <w:rsid w:val="00536287"/>
    <w:rsid w:val="00536ABA"/>
    <w:rsid w:val="005401AE"/>
    <w:rsid w:val="00540FE6"/>
    <w:rsid w:val="00541737"/>
    <w:rsid w:val="005418E4"/>
    <w:rsid w:val="00542221"/>
    <w:rsid w:val="00542E07"/>
    <w:rsid w:val="00543BE3"/>
    <w:rsid w:val="00543D37"/>
    <w:rsid w:val="0054465C"/>
    <w:rsid w:val="00545424"/>
    <w:rsid w:val="00545C2A"/>
    <w:rsid w:val="00545C9F"/>
    <w:rsid w:val="00545D25"/>
    <w:rsid w:val="005465DB"/>
    <w:rsid w:val="00546637"/>
    <w:rsid w:val="005468FB"/>
    <w:rsid w:val="00546F53"/>
    <w:rsid w:val="0055004B"/>
    <w:rsid w:val="00550939"/>
    <w:rsid w:val="005511F5"/>
    <w:rsid w:val="00551324"/>
    <w:rsid w:val="00551665"/>
    <w:rsid w:val="00551C2C"/>
    <w:rsid w:val="00551C9F"/>
    <w:rsid w:val="00551F54"/>
    <w:rsid w:val="00553D49"/>
    <w:rsid w:val="00553F4D"/>
    <w:rsid w:val="00554A7B"/>
    <w:rsid w:val="0055572C"/>
    <w:rsid w:val="005561A6"/>
    <w:rsid w:val="005566EE"/>
    <w:rsid w:val="00556C13"/>
    <w:rsid w:val="00557340"/>
    <w:rsid w:val="005602C4"/>
    <w:rsid w:val="00560595"/>
    <w:rsid w:val="0056106A"/>
    <w:rsid w:val="00561496"/>
    <w:rsid w:val="00561704"/>
    <w:rsid w:val="00561DEA"/>
    <w:rsid w:val="00561F26"/>
    <w:rsid w:val="00562825"/>
    <w:rsid w:val="005635D1"/>
    <w:rsid w:val="00564956"/>
    <w:rsid w:val="00564CE0"/>
    <w:rsid w:val="00565541"/>
    <w:rsid w:val="00565A56"/>
    <w:rsid w:val="0056637A"/>
    <w:rsid w:val="00567251"/>
    <w:rsid w:val="00567C16"/>
    <w:rsid w:val="00567FC1"/>
    <w:rsid w:val="005705DB"/>
    <w:rsid w:val="00570629"/>
    <w:rsid w:val="0057062C"/>
    <w:rsid w:val="00570A6E"/>
    <w:rsid w:val="00570EDF"/>
    <w:rsid w:val="0057203B"/>
    <w:rsid w:val="005720AE"/>
    <w:rsid w:val="00572551"/>
    <w:rsid w:val="00572743"/>
    <w:rsid w:val="00572DB0"/>
    <w:rsid w:val="005743CD"/>
    <w:rsid w:val="00574A5B"/>
    <w:rsid w:val="005750A9"/>
    <w:rsid w:val="0057541E"/>
    <w:rsid w:val="00576435"/>
    <w:rsid w:val="00576913"/>
    <w:rsid w:val="00576B01"/>
    <w:rsid w:val="005771DC"/>
    <w:rsid w:val="005800B4"/>
    <w:rsid w:val="005807BF"/>
    <w:rsid w:val="00581237"/>
    <w:rsid w:val="005823A5"/>
    <w:rsid w:val="0058375B"/>
    <w:rsid w:val="00584103"/>
    <w:rsid w:val="00584601"/>
    <w:rsid w:val="00584910"/>
    <w:rsid w:val="0058640F"/>
    <w:rsid w:val="00586746"/>
    <w:rsid w:val="0058706A"/>
    <w:rsid w:val="00587E1A"/>
    <w:rsid w:val="00591FE7"/>
    <w:rsid w:val="00592AC7"/>
    <w:rsid w:val="00593024"/>
    <w:rsid w:val="005931A7"/>
    <w:rsid w:val="00593653"/>
    <w:rsid w:val="00593C99"/>
    <w:rsid w:val="00594D77"/>
    <w:rsid w:val="0059500E"/>
    <w:rsid w:val="005950A1"/>
    <w:rsid w:val="0059516B"/>
    <w:rsid w:val="005958B4"/>
    <w:rsid w:val="0059645B"/>
    <w:rsid w:val="005969E4"/>
    <w:rsid w:val="00596B61"/>
    <w:rsid w:val="00597701"/>
    <w:rsid w:val="005A05A8"/>
    <w:rsid w:val="005A06B7"/>
    <w:rsid w:val="005A06DD"/>
    <w:rsid w:val="005A0ADC"/>
    <w:rsid w:val="005A1759"/>
    <w:rsid w:val="005A1F9F"/>
    <w:rsid w:val="005A5C9D"/>
    <w:rsid w:val="005A68A7"/>
    <w:rsid w:val="005A68F5"/>
    <w:rsid w:val="005A7839"/>
    <w:rsid w:val="005B01E3"/>
    <w:rsid w:val="005B03DB"/>
    <w:rsid w:val="005B1F2F"/>
    <w:rsid w:val="005B2D6E"/>
    <w:rsid w:val="005B3094"/>
    <w:rsid w:val="005B344F"/>
    <w:rsid w:val="005B5996"/>
    <w:rsid w:val="005B6EC8"/>
    <w:rsid w:val="005B7681"/>
    <w:rsid w:val="005B7DDA"/>
    <w:rsid w:val="005C0808"/>
    <w:rsid w:val="005C0BE8"/>
    <w:rsid w:val="005C0FBE"/>
    <w:rsid w:val="005C26AE"/>
    <w:rsid w:val="005C27BB"/>
    <w:rsid w:val="005C2A38"/>
    <w:rsid w:val="005C318A"/>
    <w:rsid w:val="005C3ADA"/>
    <w:rsid w:val="005C4549"/>
    <w:rsid w:val="005C47B1"/>
    <w:rsid w:val="005C4EB9"/>
    <w:rsid w:val="005C4F7E"/>
    <w:rsid w:val="005C56CD"/>
    <w:rsid w:val="005C6200"/>
    <w:rsid w:val="005C6D83"/>
    <w:rsid w:val="005C7C52"/>
    <w:rsid w:val="005D01DA"/>
    <w:rsid w:val="005D1691"/>
    <w:rsid w:val="005D36AB"/>
    <w:rsid w:val="005D592F"/>
    <w:rsid w:val="005D5A12"/>
    <w:rsid w:val="005D62AB"/>
    <w:rsid w:val="005D77BC"/>
    <w:rsid w:val="005D7CEA"/>
    <w:rsid w:val="005E048F"/>
    <w:rsid w:val="005E0521"/>
    <w:rsid w:val="005E12EB"/>
    <w:rsid w:val="005E20D7"/>
    <w:rsid w:val="005E3DAE"/>
    <w:rsid w:val="005E4DB1"/>
    <w:rsid w:val="005E4F3F"/>
    <w:rsid w:val="005E56E0"/>
    <w:rsid w:val="005E65B4"/>
    <w:rsid w:val="005E6DA8"/>
    <w:rsid w:val="005E762B"/>
    <w:rsid w:val="005E774A"/>
    <w:rsid w:val="005E7BD5"/>
    <w:rsid w:val="005E7F94"/>
    <w:rsid w:val="005F0C3E"/>
    <w:rsid w:val="005F1328"/>
    <w:rsid w:val="005F1B5C"/>
    <w:rsid w:val="005F1E9C"/>
    <w:rsid w:val="005F4184"/>
    <w:rsid w:val="005F4257"/>
    <w:rsid w:val="005F44D4"/>
    <w:rsid w:val="005F51E8"/>
    <w:rsid w:val="005F523D"/>
    <w:rsid w:val="005F67F9"/>
    <w:rsid w:val="005F769A"/>
    <w:rsid w:val="0060083D"/>
    <w:rsid w:val="00600B46"/>
    <w:rsid w:val="00601EA9"/>
    <w:rsid w:val="006020A1"/>
    <w:rsid w:val="0060226C"/>
    <w:rsid w:val="0060230E"/>
    <w:rsid w:val="006029B2"/>
    <w:rsid w:val="006032F5"/>
    <w:rsid w:val="006039D3"/>
    <w:rsid w:val="0060433A"/>
    <w:rsid w:val="00606897"/>
    <w:rsid w:val="00606EA7"/>
    <w:rsid w:val="00606F97"/>
    <w:rsid w:val="0060731F"/>
    <w:rsid w:val="00610621"/>
    <w:rsid w:val="00610EC2"/>
    <w:rsid w:val="00611733"/>
    <w:rsid w:val="006126F0"/>
    <w:rsid w:val="0061325E"/>
    <w:rsid w:val="0061523D"/>
    <w:rsid w:val="006165B4"/>
    <w:rsid w:val="006166CB"/>
    <w:rsid w:val="0061780F"/>
    <w:rsid w:val="00617CC3"/>
    <w:rsid w:val="0062093C"/>
    <w:rsid w:val="00621383"/>
    <w:rsid w:val="00622681"/>
    <w:rsid w:val="00622B3C"/>
    <w:rsid w:val="00622C37"/>
    <w:rsid w:val="00622FC5"/>
    <w:rsid w:val="00623121"/>
    <w:rsid w:val="00624005"/>
    <w:rsid w:val="00624E86"/>
    <w:rsid w:val="00624EBE"/>
    <w:rsid w:val="00625564"/>
    <w:rsid w:val="00625E40"/>
    <w:rsid w:val="00626106"/>
    <w:rsid w:val="00626139"/>
    <w:rsid w:val="00626381"/>
    <w:rsid w:val="00626BB5"/>
    <w:rsid w:val="00627007"/>
    <w:rsid w:val="006274B5"/>
    <w:rsid w:val="00627DF8"/>
    <w:rsid w:val="00630239"/>
    <w:rsid w:val="00630255"/>
    <w:rsid w:val="0063051D"/>
    <w:rsid w:val="00631074"/>
    <w:rsid w:val="00631E05"/>
    <w:rsid w:val="00633B53"/>
    <w:rsid w:val="00633BF5"/>
    <w:rsid w:val="00633F86"/>
    <w:rsid w:val="00634C96"/>
    <w:rsid w:val="0063634E"/>
    <w:rsid w:val="006363F3"/>
    <w:rsid w:val="006373CB"/>
    <w:rsid w:val="00637433"/>
    <w:rsid w:val="00637583"/>
    <w:rsid w:val="006377A6"/>
    <w:rsid w:val="00637A3D"/>
    <w:rsid w:val="00640A6A"/>
    <w:rsid w:val="00640F23"/>
    <w:rsid w:val="006411EF"/>
    <w:rsid w:val="00642188"/>
    <w:rsid w:val="00642C86"/>
    <w:rsid w:val="0064328C"/>
    <w:rsid w:val="0064390B"/>
    <w:rsid w:val="00645EBD"/>
    <w:rsid w:val="00646A4C"/>
    <w:rsid w:val="00650BB0"/>
    <w:rsid w:val="006512FC"/>
    <w:rsid w:val="00651E9F"/>
    <w:rsid w:val="0065246D"/>
    <w:rsid w:val="00652AB9"/>
    <w:rsid w:val="0065325E"/>
    <w:rsid w:val="00655033"/>
    <w:rsid w:val="00655618"/>
    <w:rsid w:val="00656143"/>
    <w:rsid w:val="006565CA"/>
    <w:rsid w:val="0066060B"/>
    <w:rsid w:val="00660DC1"/>
    <w:rsid w:val="00660DEE"/>
    <w:rsid w:val="00661288"/>
    <w:rsid w:val="00661952"/>
    <w:rsid w:val="00663358"/>
    <w:rsid w:val="00663B60"/>
    <w:rsid w:val="00664F8E"/>
    <w:rsid w:val="0066507C"/>
    <w:rsid w:val="00665170"/>
    <w:rsid w:val="006652E2"/>
    <w:rsid w:val="0066550D"/>
    <w:rsid w:val="006657C1"/>
    <w:rsid w:val="006667D5"/>
    <w:rsid w:val="00667D07"/>
    <w:rsid w:val="00667FD2"/>
    <w:rsid w:val="0067066A"/>
    <w:rsid w:val="00671004"/>
    <w:rsid w:val="00671F66"/>
    <w:rsid w:val="006728EC"/>
    <w:rsid w:val="00673319"/>
    <w:rsid w:val="00673F07"/>
    <w:rsid w:val="0067460F"/>
    <w:rsid w:val="006748B8"/>
    <w:rsid w:val="00675171"/>
    <w:rsid w:val="006760D2"/>
    <w:rsid w:val="006763ED"/>
    <w:rsid w:val="00676877"/>
    <w:rsid w:val="00676EBD"/>
    <w:rsid w:val="00676F12"/>
    <w:rsid w:val="006775C3"/>
    <w:rsid w:val="00681BC6"/>
    <w:rsid w:val="00681C79"/>
    <w:rsid w:val="00682132"/>
    <w:rsid w:val="006834A9"/>
    <w:rsid w:val="00684BFC"/>
    <w:rsid w:val="00684EFD"/>
    <w:rsid w:val="00685F39"/>
    <w:rsid w:val="00686626"/>
    <w:rsid w:val="00687904"/>
    <w:rsid w:val="00687C72"/>
    <w:rsid w:val="00687F51"/>
    <w:rsid w:val="00691F86"/>
    <w:rsid w:val="006924B7"/>
    <w:rsid w:val="0069290A"/>
    <w:rsid w:val="00692DD8"/>
    <w:rsid w:val="00693248"/>
    <w:rsid w:val="006941E7"/>
    <w:rsid w:val="00694543"/>
    <w:rsid w:val="00694F42"/>
    <w:rsid w:val="00695669"/>
    <w:rsid w:val="006958AC"/>
    <w:rsid w:val="00695ED5"/>
    <w:rsid w:val="0069600C"/>
    <w:rsid w:val="0069608B"/>
    <w:rsid w:val="006968CF"/>
    <w:rsid w:val="00696B8B"/>
    <w:rsid w:val="0069775A"/>
    <w:rsid w:val="00697813"/>
    <w:rsid w:val="006A065B"/>
    <w:rsid w:val="006A0DEA"/>
    <w:rsid w:val="006A122C"/>
    <w:rsid w:val="006A1477"/>
    <w:rsid w:val="006A190A"/>
    <w:rsid w:val="006A2392"/>
    <w:rsid w:val="006A3078"/>
    <w:rsid w:val="006A3626"/>
    <w:rsid w:val="006A3EE8"/>
    <w:rsid w:val="006A45DD"/>
    <w:rsid w:val="006A4F3E"/>
    <w:rsid w:val="006A533B"/>
    <w:rsid w:val="006A5940"/>
    <w:rsid w:val="006A72BF"/>
    <w:rsid w:val="006A7473"/>
    <w:rsid w:val="006A78EC"/>
    <w:rsid w:val="006A7D1C"/>
    <w:rsid w:val="006B03D2"/>
    <w:rsid w:val="006B03F2"/>
    <w:rsid w:val="006B0B2E"/>
    <w:rsid w:val="006B0DE5"/>
    <w:rsid w:val="006B14B4"/>
    <w:rsid w:val="006B1908"/>
    <w:rsid w:val="006B2B35"/>
    <w:rsid w:val="006B2DC7"/>
    <w:rsid w:val="006B37DC"/>
    <w:rsid w:val="006B3B22"/>
    <w:rsid w:val="006B3FE4"/>
    <w:rsid w:val="006B4461"/>
    <w:rsid w:val="006B4769"/>
    <w:rsid w:val="006B4934"/>
    <w:rsid w:val="006B4F68"/>
    <w:rsid w:val="006B5A64"/>
    <w:rsid w:val="006B61E2"/>
    <w:rsid w:val="006B64FE"/>
    <w:rsid w:val="006C033E"/>
    <w:rsid w:val="006C0488"/>
    <w:rsid w:val="006C0592"/>
    <w:rsid w:val="006C272E"/>
    <w:rsid w:val="006C2AD0"/>
    <w:rsid w:val="006C3E05"/>
    <w:rsid w:val="006C515B"/>
    <w:rsid w:val="006C525E"/>
    <w:rsid w:val="006C53FB"/>
    <w:rsid w:val="006C5479"/>
    <w:rsid w:val="006C5507"/>
    <w:rsid w:val="006C55C9"/>
    <w:rsid w:val="006C5E3F"/>
    <w:rsid w:val="006C612C"/>
    <w:rsid w:val="006C78EB"/>
    <w:rsid w:val="006C7D0C"/>
    <w:rsid w:val="006D0065"/>
    <w:rsid w:val="006D0B43"/>
    <w:rsid w:val="006D1302"/>
    <w:rsid w:val="006D13B5"/>
    <w:rsid w:val="006D1691"/>
    <w:rsid w:val="006D1E82"/>
    <w:rsid w:val="006D2A80"/>
    <w:rsid w:val="006D3223"/>
    <w:rsid w:val="006D38BD"/>
    <w:rsid w:val="006D3B3D"/>
    <w:rsid w:val="006D4E7F"/>
    <w:rsid w:val="006D5C57"/>
    <w:rsid w:val="006D639D"/>
    <w:rsid w:val="006D6AD4"/>
    <w:rsid w:val="006E0658"/>
    <w:rsid w:val="006E12FF"/>
    <w:rsid w:val="006E203F"/>
    <w:rsid w:val="006E4BED"/>
    <w:rsid w:val="006E4D01"/>
    <w:rsid w:val="006E607E"/>
    <w:rsid w:val="006E6280"/>
    <w:rsid w:val="006E6C4E"/>
    <w:rsid w:val="006E6C98"/>
    <w:rsid w:val="006E7AA2"/>
    <w:rsid w:val="006F037D"/>
    <w:rsid w:val="006F062F"/>
    <w:rsid w:val="006F129A"/>
    <w:rsid w:val="006F1AB2"/>
    <w:rsid w:val="006F2C7A"/>
    <w:rsid w:val="006F31F8"/>
    <w:rsid w:val="006F4CBB"/>
    <w:rsid w:val="006F4E9B"/>
    <w:rsid w:val="006F54AC"/>
    <w:rsid w:val="006F772F"/>
    <w:rsid w:val="006F7811"/>
    <w:rsid w:val="00702074"/>
    <w:rsid w:val="00702098"/>
    <w:rsid w:val="00702B67"/>
    <w:rsid w:val="00703112"/>
    <w:rsid w:val="007034E7"/>
    <w:rsid w:val="00703A32"/>
    <w:rsid w:val="00703B43"/>
    <w:rsid w:val="00704491"/>
    <w:rsid w:val="007048D2"/>
    <w:rsid w:val="00705726"/>
    <w:rsid w:val="00705754"/>
    <w:rsid w:val="007059D4"/>
    <w:rsid w:val="00705A63"/>
    <w:rsid w:val="007062D0"/>
    <w:rsid w:val="007062D6"/>
    <w:rsid w:val="00706C5D"/>
    <w:rsid w:val="00710170"/>
    <w:rsid w:val="00710DEB"/>
    <w:rsid w:val="00712E79"/>
    <w:rsid w:val="00713693"/>
    <w:rsid w:val="0071401B"/>
    <w:rsid w:val="0071423D"/>
    <w:rsid w:val="00714691"/>
    <w:rsid w:val="00714E17"/>
    <w:rsid w:val="00714F3A"/>
    <w:rsid w:val="00715956"/>
    <w:rsid w:val="007159D0"/>
    <w:rsid w:val="00716F2D"/>
    <w:rsid w:val="00720C0D"/>
    <w:rsid w:val="00720D29"/>
    <w:rsid w:val="00721B09"/>
    <w:rsid w:val="00721E6A"/>
    <w:rsid w:val="0072207F"/>
    <w:rsid w:val="007221EC"/>
    <w:rsid w:val="00723276"/>
    <w:rsid w:val="007237B3"/>
    <w:rsid w:val="00724429"/>
    <w:rsid w:val="00725C0E"/>
    <w:rsid w:val="00725DDC"/>
    <w:rsid w:val="00725DEF"/>
    <w:rsid w:val="00725EAB"/>
    <w:rsid w:val="007267F8"/>
    <w:rsid w:val="0072729E"/>
    <w:rsid w:val="00727522"/>
    <w:rsid w:val="00727B47"/>
    <w:rsid w:val="00727ECD"/>
    <w:rsid w:val="007303BF"/>
    <w:rsid w:val="00730BC7"/>
    <w:rsid w:val="0073104A"/>
    <w:rsid w:val="0073163D"/>
    <w:rsid w:val="0073218F"/>
    <w:rsid w:val="00732307"/>
    <w:rsid w:val="007328EE"/>
    <w:rsid w:val="00732922"/>
    <w:rsid w:val="00735173"/>
    <w:rsid w:val="00736ED0"/>
    <w:rsid w:val="0073714C"/>
    <w:rsid w:val="007373FB"/>
    <w:rsid w:val="00737B6C"/>
    <w:rsid w:val="00740546"/>
    <w:rsid w:val="00740D4C"/>
    <w:rsid w:val="00741D84"/>
    <w:rsid w:val="007435F8"/>
    <w:rsid w:val="00743916"/>
    <w:rsid w:val="00743AFF"/>
    <w:rsid w:val="007443FF"/>
    <w:rsid w:val="007454B9"/>
    <w:rsid w:val="00745F44"/>
    <w:rsid w:val="007460D0"/>
    <w:rsid w:val="00746F80"/>
    <w:rsid w:val="00747DCF"/>
    <w:rsid w:val="00747FD8"/>
    <w:rsid w:val="00750ECF"/>
    <w:rsid w:val="007511F0"/>
    <w:rsid w:val="0075162E"/>
    <w:rsid w:val="00752385"/>
    <w:rsid w:val="0075285C"/>
    <w:rsid w:val="00753713"/>
    <w:rsid w:val="00753787"/>
    <w:rsid w:val="00753E16"/>
    <w:rsid w:val="00754034"/>
    <w:rsid w:val="00754C34"/>
    <w:rsid w:val="00754C4F"/>
    <w:rsid w:val="007559AC"/>
    <w:rsid w:val="00755F4E"/>
    <w:rsid w:val="00755F74"/>
    <w:rsid w:val="00756301"/>
    <w:rsid w:val="00756556"/>
    <w:rsid w:val="007574E6"/>
    <w:rsid w:val="00757609"/>
    <w:rsid w:val="00761033"/>
    <w:rsid w:val="007618C4"/>
    <w:rsid w:val="007627B4"/>
    <w:rsid w:val="00762E6B"/>
    <w:rsid w:val="00763D6E"/>
    <w:rsid w:val="00765396"/>
    <w:rsid w:val="00765C66"/>
    <w:rsid w:val="007660E5"/>
    <w:rsid w:val="00766AED"/>
    <w:rsid w:val="00766E25"/>
    <w:rsid w:val="007671E7"/>
    <w:rsid w:val="00767980"/>
    <w:rsid w:val="00770A6E"/>
    <w:rsid w:val="00770B19"/>
    <w:rsid w:val="00770EE7"/>
    <w:rsid w:val="0077127C"/>
    <w:rsid w:val="00771926"/>
    <w:rsid w:val="007723B8"/>
    <w:rsid w:val="00772F4C"/>
    <w:rsid w:val="00772F85"/>
    <w:rsid w:val="00773C04"/>
    <w:rsid w:val="00774103"/>
    <w:rsid w:val="0077443E"/>
    <w:rsid w:val="0077463F"/>
    <w:rsid w:val="00774692"/>
    <w:rsid w:val="00774781"/>
    <w:rsid w:val="00774A31"/>
    <w:rsid w:val="0077553E"/>
    <w:rsid w:val="007757DC"/>
    <w:rsid w:val="00775B6C"/>
    <w:rsid w:val="007765C0"/>
    <w:rsid w:val="00776B1B"/>
    <w:rsid w:val="00781F06"/>
    <w:rsid w:val="0078242F"/>
    <w:rsid w:val="00782701"/>
    <w:rsid w:val="007836EA"/>
    <w:rsid w:val="00784CDA"/>
    <w:rsid w:val="007856AC"/>
    <w:rsid w:val="00786380"/>
    <w:rsid w:val="00790547"/>
    <w:rsid w:val="007906C4"/>
    <w:rsid w:val="007909F4"/>
    <w:rsid w:val="007910CD"/>
    <w:rsid w:val="00791125"/>
    <w:rsid w:val="0079119C"/>
    <w:rsid w:val="0079180F"/>
    <w:rsid w:val="00791A5A"/>
    <w:rsid w:val="007926FA"/>
    <w:rsid w:val="00792B84"/>
    <w:rsid w:val="00793120"/>
    <w:rsid w:val="00793783"/>
    <w:rsid w:val="007940EA"/>
    <w:rsid w:val="0079447C"/>
    <w:rsid w:val="00795753"/>
    <w:rsid w:val="007959E1"/>
    <w:rsid w:val="00795C86"/>
    <w:rsid w:val="007967E8"/>
    <w:rsid w:val="00796F6F"/>
    <w:rsid w:val="00797326"/>
    <w:rsid w:val="007A0694"/>
    <w:rsid w:val="007A0695"/>
    <w:rsid w:val="007A0D06"/>
    <w:rsid w:val="007A2170"/>
    <w:rsid w:val="007A22BF"/>
    <w:rsid w:val="007A3323"/>
    <w:rsid w:val="007A512C"/>
    <w:rsid w:val="007A559D"/>
    <w:rsid w:val="007A5C11"/>
    <w:rsid w:val="007A6740"/>
    <w:rsid w:val="007A68AE"/>
    <w:rsid w:val="007A7E19"/>
    <w:rsid w:val="007A7E50"/>
    <w:rsid w:val="007B0153"/>
    <w:rsid w:val="007B1116"/>
    <w:rsid w:val="007B1DFA"/>
    <w:rsid w:val="007B2100"/>
    <w:rsid w:val="007B2B8C"/>
    <w:rsid w:val="007B2BE5"/>
    <w:rsid w:val="007B3D56"/>
    <w:rsid w:val="007B575D"/>
    <w:rsid w:val="007B60CF"/>
    <w:rsid w:val="007B6C8B"/>
    <w:rsid w:val="007B6EEE"/>
    <w:rsid w:val="007B72B8"/>
    <w:rsid w:val="007B745F"/>
    <w:rsid w:val="007B7A58"/>
    <w:rsid w:val="007C046F"/>
    <w:rsid w:val="007C0732"/>
    <w:rsid w:val="007C09D8"/>
    <w:rsid w:val="007C0C6C"/>
    <w:rsid w:val="007C0DB7"/>
    <w:rsid w:val="007C1618"/>
    <w:rsid w:val="007C1B30"/>
    <w:rsid w:val="007C21B5"/>
    <w:rsid w:val="007C2DBB"/>
    <w:rsid w:val="007C3644"/>
    <w:rsid w:val="007C3A7F"/>
    <w:rsid w:val="007C3C79"/>
    <w:rsid w:val="007C61D5"/>
    <w:rsid w:val="007C6523"/>
    <w:rsid w:val="007D1DC7"/>
    <w:rsid w:val="007D2B2C"/>
    <w:rsid w:val="007D328C"/>
    <w:rsid w:val="007D34C7"/>
    <w:rsid w:val="007D48F9"/>
    <w:rsid w:val="007D544F"/>
    <w:rsid w:val="007D5F0D"/>
    <w:rsid w:val="007D62DD"/>
    <w:rsid w:val="007D6DD3"/>
    <w:rsid w:val="007D7466"/>
    <w:rsid w:val="007D7832"/>
    <w:rsid w:val="007E0BAB"/>
    <w:rsid w:val="007E0F81"/>
    <w:rsid w:val="007E235D"/>
    <w:rsid w:val="007E2E01"/>
    <w:rsid w:val="007E4BD2"/>
    <w:rsid w:val="007E4C70"/>
    <w:rsid w:val="007E555C"/>
    <w:rsid w:val="007E5855"/>
    <w:rsid w:val="007E68A6"/>
    <w:rsid w:val="007E6CE8"/>
    <w:rsid w:val="007E71AE"/>
    <w:rsid w:val="007F04CF"/>
    <w:rsid w:val="007F0C17"/>
    <w:rsid w:val="007F1B11"/>
    <w:rsid w:val="007F3075"/>
    <w:rsid w:val="007F3C76"/>
    <w:rsid w:val="007F409D"/>
    <w:rsid w:val="007F51F3"/>
    <w:rsid w:val="007F617D"/>
    <w:rsid w:val="007F6B8B"/>
    <w:rsid w:val="00800910"/>
    <w:rsid w:val="0080131D"/>
    <w:rsid w:val="00801393"/>
    <w:rsid w:val="00801419"/>
    <w:rsid w:val="0080197F"/>
    <w:rsid w:val="00802340"/>
    <w:rsid w:val="0080234D"/>
    <w:rsid w:val="00802F88"/>
    <w:rsid w:val="0080310B"/>
    <w:rsid w:val="00804375"/>
    <w:rsid w:val="0080456C"/>
    <w:rsid w:val="00804C20"/>
    <w:rsid w:val="00804C7A"/>
    <w:rsid w:val="00804E0D"/>
    <w:rsid w:val="00806421"/>
    <w:rsid w:val="00807C82"/>
    <w:rsid w:val="00811219"/>
    <w:rsid w:val="0081133F"/>
    <w:rsid w:val="0081183B"/>
    <w:rsid w:val="0081293E"/>
    <w:rsid w:val="00813858"/>
    <w:rsid w:val="0081387C"/>
    <w:rsid w:val="00813D39"/>
    <w:rsid w:val="00813F08"/>
    <w:rsid w:val="0081514D"/>
    <w:rsid w:val="00815465"/>
    <w:rsid w:val="00815537"/>
    <w:rsid w:val="008156FA"/>
    <w:rsid w:val="00815C57"/>
    <w:rsid w:val="00817354"/>
    <w:rsid w:val="0081780E"/>
    <w:rsid w:val="008179C0"/>
    <w:rsid w:val="00817E9A"/>
    <w:rsid w:val="00820217"/>
    <w:rsid w:val="00820737"/>
    <w:rsid w:val="00822A0D"/>
    <w:rsid w:val="00823D04"/>
    <w:rsid w:val="008247BE"/>
    <w:rsid w:val="00824853"/>
    <w:rsid w:val="00825CE5"/>
    <w:rsid w:val="0082609A"/>
    <w:rsid w:val="008262AC"/>
    <w:rsid w:val="00826751"/>
    <w:rsid w:val="00826D59"/>
    <w:rsid w:val="0082733A"/>
    <w:rsid w:val="00827A46"/>
    <w:rsid w:val="00827E47"/>
    <w:rsid w:val="008306BD"/>
    <w:rsid w:val="008313F9"/>
    <w:rsid w:val="00831837"/>
    <w:rsid w:val="00831A80"/>
    <w:rsid w:val="00831CD1"/>
    <w:rsid w:val="0083230B"/>
    <w:rsid w:val="008334FC"/>
    <w:rsid w:val="00833743"/>
    <w:rsid w:val="00833D9C"/>
    <w:rsid w:val="008340A4"/>
    <w:rsid w:val="0083419A"/>
    <w:rsid w:val="00834279"/>
    <w:rsid w:val="008345AB"/>
    <w:rsid w:val="00834A71"/>
    <w:rsid w:val="0083677F"/>
    <w:rsid w:val="00836D58"/>
    <w:rsid w:val="0083708C"/>
    <w:rsid w:val="00840EE6"/>
    <w:rsid w:val="008419C6"/>
    <w:rsid w:val="00842F88"/>
    <w:rsid w:val="0084382D"/>
    <w:rsid w:val="00843DE8"/>
    <w:rsid w:val="00843EC8"/>
    <w:rsid w:val="0084510E"/>
    <w:rsid w:val="00845B36"/>
    <w:rsid w:val="00847006"/>
    <w:rsid w:val="00847B6C"/>
    <w:rsid w:val="0085122A"/>
    <w:rsid w:val="00852CB9"/>
    <w:rsid w:val="008530C4"/>
    <w:rsid w:val="0085314C"/>
    <w:rsid w:val="00853CD7"/>
    <w:rsid w:val="008543C5"/>
    <w:rsid w:val="00854C0F"/>
    <w:rsid w:val="00854E86"/>
    <w:rsid w:val="00855982"/>
    <w:rsid w:val="00856857"/>
    <w:rsid w:val="0085795F"/>
    <w:rsid w:val="00860D9A"/>
    <w:rsid w:val="00861E9C"/>
    <w:rsid w:val="00862FF7"/>
    <w:rsid w:val="0086426A"/>
    <w:rsid w:val="00864D16"/>
    <w:rsid w:val="0086517E"/>
    <w:rsid w:val="00865974"/>
    <w:rsid w:val="00865F4C"/>
    <w:rsid w:val="008664AA"/>
    <w:rsid w:val="008676BB"/>
    <w:rsid w:val="00867B22"/>
    <w:rsid w:val="00867DB1"/>
    <w:rsid w:val="0087075F"/>
    <w:rsid w:val="008710C4"/>
    <w:rsid w:val="00871185"/>
    <w:rsid w:val="0087135F"/>
    <w:rsid w:val="00871B93"/>
    <w:rsid w:val="00872053"/>
    <w:rsid w:val="00872BF9"/>
    <w:rsid w:val="00872D94"/>
    <w:rsid w:val="00872E58"/>
    <w:rsid w:val="008731F5"/>
    <w:rsid w:val="008733F2"/>
    <w:rsid w:val="00873D08"/>
    <w:rsid w:val="00874230"/>
    <w:rsid w:val="00874371"/>
    <w:rsid w:val="00874512"/>
    <w:rsid w:val="008746E5"/>
    <w:rsid w:val="00874A1A"/>
    <w:rsid w:val="00875D97"/>
    <w:rsid w:val="00876EF6"/>
    <w:rsid w:val="00877731"/>
    <w:rsid w:val="008778AD"/>
    <w:rsid w:val="008801B1"/>
    <w:rsid w:val="00880364"/>
    <w:rsid w:val="00880DB2"/>
    <w:rsid w:val="008815C7"/>
    <w:rsid w:val="00881FD8"/>
    <w:rsid w:val="00882AD2"/>
    <w:rsid w:val="008839D0"/>
    <w:rsid w:val="00883BDF"/>
    <w:rsid w:val="0088405B"/>
    <w:rsid w:val="00885239"/>
    <w:rsid w:val="00885467"/>
    <w:rsid w:val="0088643C"/>
    <w:rsid w:val="00887021"/>
    <w:rsid w:val="00887369"/>
    <w:rsid w:val="00887654"/>
    <w:rsid w:val="008876FF"/>
    <w:rsid w:val="008877B3"/>
    <w:rsid w:val="00887C81"/>
    <w:rsid w:val="00887CFF"/>
    <w:rsid w:val="00890AF9"/>
    <w:rsid w:val="00891113"/>
    <w:rsid w:val="00891498"/>
    <w:rsid w:val="00891592"/>
    <w:rsid w:val="00891759"/>
    <w:rsid w:val="00891E9E"/>
    <w:rsid w:val="00892962"/>
    <w:rsid w:val="00892A01"/>
    <w:rsid w:val="00892A89"/>
    <w:rsid w:val="00893972"/>
    <w:rsid w:val="00894753"/>
    <w:rsid w:val="0089483D"/>
    <w:rsid w:val="00894ED7"/>
    <w:rsid w:val="00894FBE"/>
    <w:rsid w:val="00895221"/>
    <w:rsid w:val="008954AE"/>
    <w:rsid w:val="008956F4"/>
    <w:rsid w:val="00895802"/>
    <w:rsid w:val="00895C10"/>
    <w:rsid w:val="0089779A"/>
    <w:rsid w:val="00897829"/>
    <w:rsid w:val="008978B5"/>
    <w:rsid w:val="008A076E"/>
    <w:rsid w:val="008A0F16"/>
    <w:rsid w:val="008A1842"/>
    <w:rsid w:val="008A1E35"/>
    <w:rsid w:val="008A202F"/>
    <w:rsid w:val="008A235B"/>
    <w:rsid w:val="008A235E"/>
    <w:rsid w:val="008A296D"/>
    <w:rsid w:val="008A2AEC"/>
    <w:rsid w:val="008A2F68"/>
    <w:rsid w:val="008A398E"/>
    <w:rsid w:val="008A3ADA"/>
    <w:rsid w:val="008A3C0D"/>
    <w:rsid w:val="008A4BA0"/>
    <w:rsid w:val="008A543E"/>
    <w:rsid w:val="008A5CB3"/>
    <w:rsid w:val="008A5F08"/>
    <w:rsid w:val="008A6375"/>
    <w:rsid w:val="008A7133"/>
    <w:rsid w:val="008A735F"/>
    <w:rsid w:val="008A7BDC"/>
    <w:rsid w:val="008B0552"/>
    <w:rsid w:val="008B1672"/>
    <w:rsid w:val="008B4B67"/>
    <w:rsid w:val="008B4EC6"/>
    <w:rsid w:val="008B4FA6"/>
    <w:rsid w:val="008B5032"/>
    <w:rsid w:val="008B5282"/>
    <w:rsid w:val="008B57EB"/>
    <w:rsid w:val="008B5E9A"/>
    <w:rsid w:val="008B777D"/>
    <w:rsid w:val="008B7C17"/>
    <w:rsid w:val="008C0BCA"/>
    <w:rsid w:val="008C1765"/>
    <w:rsid w:val="008C1FD8"/>
    <w:rsid w:val="008C2687"/>
    <w:rsid w:val="008C285D"/>
    <w:rsid w:val="008C292E"/>
    <w:rsid w:val="008C2D01"/>
    <w:rsid w:val="008C354B"/>
    <w:rsid w:val="008C3907"/>
    <w:rsid w:val="008C40E6"/>
    <w:rsid w:val="008C4D4E"/>
    <w:rsid w:val="008C6EAA"/>
    <w:rsid w:val="008C7E39"/>
    <w:rsid w:val="008D0F7A"/>
    <w:rsid w:val="008D100A"/>
    <w:rsid w:val="008D2900"/>
    <w:rsid w:val="008D2ED8"/>
    <w:rsid w:val="008D2FF3"/>
    <w:rsid w:val="008D3B5E"/>
    <w:rsid w:val="008D43BA"/>
    <w:rsid w:val="008D4442"/>
    <w:rsid w:val="008D4814"/>
    <w:rsid w:val="008D4ADA"/>
    <w:rsid w:val="008D5458"/>
    <w:rsid w:val="008D5784"/>
    <w:rsid w:val="008D62AA"/>
    <w:rsid w:val="008D68E4"/>
    <w:rsid w:val="008D6AB7"/>
    <w:rsid w:val="008D6B78"/>
    <w:rsid w:val="008D75B3"/>
    <w:rsid w:val="008E0485"/>
    <w:rsid w:val="008E0506"/>
    <w:rsid w:val="008E0631"/>
    <w:rsid w:val="008E08BA"/>
    <w:rsid w:val="008E0CFF"/>
    <w:rsid w:val="008E0E64"/>
    <w:rsid w:val="008E0F7D"/>
    <w:rsid w:val="008E19E5"/>
    <w:rsid w:val="008E233D"/>
    <w:rsid w:val="008E3202"/>
    <w:rsid w:val="008E45A4"/>
    <w:rsid w:val="008E46F2"/>
    <w:rsid w:val="008E5450"/>
    <w:rsid w:val="008E56F5"/>
    <w:rsid w:val="008E5D6B"/>
    <w:rsid w:val="008E64A2"/>
    <w:rsid w:val="008E76F0"/>
    <w:rsid w:val="008E78DB"/>
    <w:rsid w:val="008E7BC7"/>
    <w:rsid w:val="008E7C98"/>
    <w:rsid w:val="008F15FE"/>
    <w:rsid w:val="008F18F6"/>
    <w:rsid w:val="008F1A01"/>
    <w:rsid w:val="008F2D29"/>
    <w:rsid w:val="008F2D95"/>
    <w:rsid w:val="008F39D8"/>
    <w:rsid w:val="008F3D80"/>
    <w:rsid w:val="008F45BE"/>
    <w:rsid w:val="008F4781"/>
    <w:rsid w:val="008F4F97"/>
    <w:rsid w:val="008F5187"/>
    <w:rsid w:val="008F53E1"/>
    <w:rsid w:val="008F60D8"/>
    <w:rsid w:val="008F6458"/>
    <w:rsid w:val="008F6C3D"/>
    <w:rsid w:val="00900705"/>
    <w:rsid w:val="00900BB6"/>
    <w:rsid w:val="0090168C"/>
    <w:rsid w:val="00902727"/>
    <w:rsid w:val="00902B45"/>
    <w:rsid w:val="0090312B"/>
    <w:rsid w:val="00904E0D"/>
    <w:rsid w:val="00905287"/>
    <w:rsid w:val="00905A9F"/>
    <w:rsid w:val="00906122"/>
    <w:rsid w:val="0090666A"/>
    <w:rsid w:val="00906C8B"/>
    <w:rsid w:val="0090713A"/>
    <w:rsid w:val="00907C30"/>
    <w:rsid w:val="00911F08"/>
    <w:rsid w:val="00912E70"/>
    <w:rsid w:val="00913CEF"/>
    <w:rsid w:val="00913EBB"/>
    <w:rsid w:val="00915197"/>
    <w:rsid w:val="00915899"/>
    <w:rsid w:val="0091594A"/>
    <w:rsid w:val="009161F3"/>
    <w:rsid w:val="0091640E"/>
    <w:rsid w:val="00916513"/>
    <w:rsid w:val="00916629"/>
    <w:rsid w:val="00916778"/>
    <w:rsid w:val="00916905"/>
    <w:rsid w:val="00916D18"/>
    <w:rsid w:val="00917216"/>
    <w:rsid w:val="0091736D"/>
    <w:rsid w:val="00917810"/>
    <w:rsid w:val="00917940"/>
    <w:rsid w:val="00920200"/>
    <w:rsid w:val="00920ABE"/>
    <w:rsid w:val="009210B7"/>
    <w:rsid w:val="009214FA"/>
    <w:rsid w:val="00921AAE"/>
    <w:rsid w:val="00922335"/>
    <w:rsid w:val="00922946"/>
    <w:rsid w:val="00922CF1"/>
    <w:rsid w:val="00924371"/>
    <w:rsid w:val="00924486"/>
    <w:rsid w:val="00924CB3"/>
    <w:rsid w:val="009262D7"/>
    <w:rsid w:val="00926508"/>
    <w:rsid w:val="00926712"/>
    <w:rsid w:val="009268FF"/>
    <w:rsid w:val="00926F09"/>
    <w:rsid w:val="0093037A"/>
    <w:rsid w:val="00930F4E"/>
    <w:rsid w:val="00930FD3"/>
    <w:rsid w:val="00931D14"/>
    <w:rsid w:val="00932280"/>
    <w:rsid w:val="0093258B"/>
    <w:rsid w:val="0093285D"/>
    <w:rsid w:val="00932DF5"/>
    <w:rsid w:val="00933362"/>
    <w:rsid w:val="0093376E"/>
    <w:rsid w:val="00934900"/>
    <w:rsid w:val="00934CB7"/>
    <w:rsid w:val="00935733"/>
    <w:rsid w:val="009362B8"/>
    <w:rsid w:val="00937F4F"/>
    <w:rsid w:val="0094065A"/>
    <w:rsid w:val="00940E75"/>
    <w:rsid w:val="0094154D"/>
    <w:rsid w:val="00942171"/>
    <w:rsid w:val="009421CC"/>
    <w:rsid w:val="009425B3"/>
    <w:rsid w:val="00942939"/>
    <w:rsid w:val="00943240"/>
    <w:rsid w:val="00943F88"/>
    <w:rsid w:val="00945561"/>
    <w:rsid w:val="00945A07"/>
    <w:rsid w:val="00945DD5"/>
    <w:rsid w:val="00946799"/>
    <w:rsid w:val="00946F54"/>
    <w:rsid w:val="00950735"/>
    <w:rsid w:val="00950EC0"/>
    <w:rsid w:val="0095141D"/>
    <w:rsid w:val="0095155F"/>
    <w:rsid w:val="00951572"/>
    <w:rsid w:val="00951885"/>
    <w:rsid w:val="00951A8B"/>
    <w:rsid w:val="00951F87"/>
    <w:rsid w:val="00952B31"/>
    <w:rsid w:val="00953E33"/>
    <w:rsid w:val="00954429"/>
    <w:rsid w:val="00954E68"/>
    <w:rsid w:val="00954FE8"/>
    <w:rsid w:val="009563CE"/>
    <w:rsid w:val="00956619"/>
    <w:rsid w:val="00956CF3"/>
    <w:rsid w:val="009601A5"/>
    <w:rsid w:val="009601B2"/>
    <w:rsid w:val="00960273"/>
    <w:rsid w:val="00960C66"/>
    <w:rsid w:val="00960FDD"/>
    <w:rsid w:val="00961138"/>
    <w:rsid w:val="00961564"/>
    <w:rsid w:val="00961853"/>
    <w:rsid w:val="00961BED"/>
    <w:rsid w:val="009626B1"/>
    <w:rsid w:val="009632FE"/>
    <w:rsid w:val="00963678"/>
    <w:rsid w:val="009637B7"/>
    <w:rsid w:val="00963EEF"/>
    <w:rsid w:val="00964897"/>
    <w:rsid w:val="00966411"/>
    <w:rsid w:val="00966E6C"/>
    <w:rsid w:val="00967998"/>
    <w:rsid w:val="0097066E"/>
    <w:rsid w:val="0097094D"/>
    <w:rsid w:val="009709DB"/>
    <w:rsid w:val="00970B87"/>
    <w:rsid w:val="00971127"/>
    <w:rsid w:val="009717AB"/>
    <w:rsid w:val="00972930"/>
    <w:rsid w:val="00972FE2"/>
    <w:rsid w:val="009736D6"/>
    <w:rsid w:val="009739AD"/>
    <w:rsid w:val="00973F0C"/>
    <w:rsid w:val="00975075"/>
    <w:rsid w:val="00975254"/>
    <w:rsid w:val="00975FA1"/>
    <w:rsid w:val="009760C2"/>
    <w:rsid w:val="00976328"/>
    <w:rsid w:val="0097680D"/>
    <w:rsid w:val="00977398"/>
    <w:rsid w:val="00980AD4"/>
    <w:rsid w:val="009816EF"/>
    <w:rsid w:val="00981805"/>
    <w:rsid w:val="00982438"/>
    <w:rsid w:val="00983884"/>
    <w:rsid w:val="00983910"/>
    <w:rsid w:val="00983FE7"/>
    <w:rsid w:val="00983FF1"/>
    <w:rsid w:val="0098404C"/>
    <w:rsid w:val="00985283"/>
    <w:rsid w:val="00986A12"/>
    <w:rsid w:val="00990023"/>
    <w:rsid w:val="0099029C"/>
    <w:rsid w:val="00992BE6"/>
    <w:rsid w:val="00992D73"/>
    <w:rsid w:val="009944D4"/>
    <w:rsid w:val="009955AC"/>
    <w:rsid w:val="00995992"/>
    <w:rsid w:val="009967FA"/>
    <w:rsid w:val="00997AE2"/>
    <w:rsid w:val="009A03E5"/>
    <w:rsid w:val="009A09EF"/>
    <w:rsid w:val="009A0F3B"/>
    <w:rsid w:val="009A1BB4"/>
    <w:rsid w:val="009A2628"/>
    <w:rsid w:val="009A28E3"/>
    <w:rsid w:val="009A3200"/>
    <w:rsid w:val="009A36DA"/>
    <w:rsid w:val="009A43B4"/>
    <w:rsid w:val="009A4987"/>
    <w:rsid w:val="009A4BBA"/>
    <w:rsid w:val="009A4E15"/>
    <w:rsid w:val="009A5087"/>
    <w:rsid w:val="009A5DC3"/>
    <w:rsid w:val="009A5E0E"/>
    <w:rsid w:val="009A6927"/>
    <w:rsid w:val="009B0897"/>
    <w:rsid w:val="009B0D5E"/>
    <w:rsid w:val="009B135C"/>
    <w:rsid w:val="009B22F5"/>
    <w:rsid w:val="009B26FC"/>
    <w:rsid w:val="009B309D"/>
    <w:rsid w:val="009B3207"/>
    <w:rsid w:val="009B34B9"/>
    <w:rsid w:val="009B37C2"/>
    <w:rsid w:val="009B498E"/>
    <w:rsid w:val="009B4E77"/>
    <w:rsid w:val="009B4F11"/>
    <w:rsid w:val="009B4F26"/>
    <w:rsid w:val="009B6193"/>
    <w:rsid w:val="009B666A"/>
    <w:rsid w:val="009B70D1"/>
    <w:rsid w:val="009B77CB"/>
    <w:rsid w:val="009B7BD9"/>
    <w:rsid w:val="009C0672"/>
    <w:rsid w:val="009C0D83"/>
    <w:rsid w:val="009C17BD"/>
    <w:rsid w:val="009C2617"/>
    <w:rsid w:val="009C3504"/>
    <w:rsid w:val="009C35B5"/>
    <w:rsid w:val="009C42D5"/>
    <w:rsid w:val="009C4B1D"/>
    <w:rsid w:val="009C4DEA"/>
    <w:rsid w:val="009C5CCE"/>
    <w:rsid w:val="009C5E0D"/>
    <w:rsid w:val="009C6287"/>
    <w:rsid w:val="009C649C"/>
    <w:rsid w:val="009C6C7E"/>
    <w:rsid w:val="009C74CA"/>
    <w:rsid w:val="009C7931"/>
    <w:rsid w:val="009C7B28"/>
    <w:rsid w:val="009C7B86"/>
    <w:rsid w:val="009C7DD5"/>
    <w:rsid w:val="009C7E1B"/>
    <w:rsid w:val="009D001F"/>
    <w:rsid w:val="009D08B7"/>
    <w:rsid w:val="009D17F6"/>
    <w:rsid w:val="009D18F2"/>
    <w:rsid w:val="009D338E"/>
    <w:rsid w:val="009D3C14"/>
    <w:rsid w:val="009D5B0D"/>
    <w:rsid w:val="009D6398"/>
    <w:rsid w:val="009D6CBC"/>
    <w:rsid w:val="009D75CA"/>
    <w:rsid w:val="009D75E8"/>
    <w:rsid w:val="009D7A95"/>
    <w:rsid w:val="009E09F1"/>
    <w:rsid w:val="009E227D"/>
    <w:rsid w:val="009E2397"/>
    <w:rsid w:val="009E24DE"/>
    <w:rsid w:val="009E2A7B"/>
    <w:rsid w:val="009E2A95"/>
    <w:rsid w:val="009E3459"/>
    <w:rsid w:val="009E35B5"/>
    <w:rsid w:val="009E3C86"/>
    <w:rsid w:val="009E4E17"/>
    <w:rsid w:val="009E4E99"/>
    <w:rsid w:val="009E4F30"/>
    <w:rsid w:val="009E5019"/>
    <w:rsid w:val="009E5207"/>
    <w:rsid w:val="009E5A84"/>
    <w:rsid w:val="009E6DE3"/>
    <w:rsid w:val="009E70D0"/>
    <w:rsid w:val="009E7724"/>
    <w:rsid w:val="009E77E0"/>
    <w:rsid w:val="009E7F6C"/>
    <w:rsid w:val="009F09C1"/>
    <w:rsid w:val="009F0E6C"/>
    <w:rsid w:val="009F1FC3"/>
    <w:rsid w:val="009F3332"/>
    <w:rsid w:val="009F35E5"/>
    <w:rsid w:val="009F3A20"/>
    <w:rsid w:val="009F41DA"/>
    <w:rsid w:val="009F44D3"/>
    <w:rsid w:val="009F523F"/>
    <w:rsid w:val="009F529C"/>
    <w:rsid w:val="009F6859"/>
    <w:rsid w:val="00A0012D"/>
    <w:rsid w:val="00A00DB6"/>
    <w:rsid w:val="00A016E4"/>
    <w:rsid w:val="00A02511"/>
    <w:rsid w:val="00A02B0D"/>
    <w:rsid w:val="00A031B8"/>
    <w:rsid w:val="00A034D4"/>
    <w:rsid w:val="00A038BF"/>
    <w:rsid w:val="00A048D4"/>
    <w:rsid w:val="00A04F1B"/>
    <w:rsid w:val="00A0501B"/>
    <w:rsid w:val="00A069C7"/>
    <w:rsid w:val="00A06DFF"/>
    <w:rsid w:val="00A075A6"/>
    <w:rsid w:val="00A07979"/>
    <w:rsid w:val="00A10673"/>
    <w:rsid w:val="00A107C2"/>
    <w:rsid w:val="00A1119E"/>
    <w:rsid w:val="00A11682"/>
    <w:rsid w:val="00A118E2"/>
    <w:rsid w:val="00A11BEA"/>
    <w:rsid w:val="00A12650"/>
    <w:rsid w:val="00A12E66"/>
    <w:rsid w:val="00A13A62"/>
    <w:rsid w:val="00A13B91"/>
    <w:rsid w:val="00A14613"/>
    <w:rsid w:val="00A14947"/>
    <w:rsid w:val="00A14BE1"/>
    <w:rsid w:val="00A15251"/>
    <w:rsid w:val="00A15689"/>
    <w:rsid w:val="00A15944"/>
    <w:rsid w:val="00A15D46"/>
    <w:rsid w:val="00A17034"/>
    <w:rsid w:val="00A17374"/>
    <w:rsid w:val="00A17C7B"/>
    <w:rsid w:val="00A2045C"/>
    <w:rsid w:val="00A20940"/>
    <w:rsid w:val="00A20AF8"/>
    <w:rsid w:val="00A2116F"/>
    <w:rsid w:val="00A21E70"/>
    <w:rsid w:val="00A22B2B"/>
    <w:rsid w:val="00A22F8E"/>
    <w:rsid w:val="00A23008"/>
    <w:rsid w:val="00A2304C"/>
    <w:rsid w:val="00A2351E"/>
    <w:rsid w:val="00A2385D"/>
    <w:rsid w:val="00A24B48"/>
    <w:rsid w:val="00A25A9B"/>
    <w:rsid w:val="00A267E7"/>
    <w:rsid w:val="00A27356"/>
    <w:rsid w:val="00A27382"/>
    <w:rsid w:val="00A30253"/>
    <w:rsid w:val="00A31168"/>
    <w:rsid w:val="00A31E33"/>
    <w:rsid w:val="00A322DC"/>
    <w:rsid w:val="00A32586"/>
    <w:rsid w:val="00A32A83"/>
    <w:rsid w:val="00A33154"/>
    <w:rsid w:val="00A33302"/>
    <w:rsid w:val="00A3334F"/>
    <w:rsid w:val="00A33423"/>
    <w:rsid w:val="00A342A5"/>
    <w:rsid w:val="00A368DB"/>
    <w:rsid w:val="00A40220"/>
    <w:rsid w:val="00A40591"/>
    <w:rsid w:val="00A416B9"/>
    <w:rsid w:val="00A423AA"/>
    <w:rsid w:val="00A42ECD"/>
    <w:rsid w:val="00A4332C"/>
    <w:rsid w:val="00A4487E"/>
    <w:rsid w:val="00A457E5"/>
    <w:rsid w:val="00A458A2"/>
    <w:rsid w:val="00A45FC8"/>
    <w:rsid w:val="00A46516"/>
    <w:rsid w:val="00A46F62"/>
    <w:rsid w:val="00A47256"/>
    <w:rsid w:val="00A4734D"/>
    <w:rsid w:val="00A479E8"/>
    <w:rsid w:val="00A47E4D"/>
    <w:rsid w:val="00A503ED"/>
    <w:rsid w:val="00A50B97"/>
    <w:rsid w:val="00A52A91"/>
    <w:rsid w:val="00A52F46"/>
    <w:rsid w:val="00A53AAE"/>
    <w:rsid w:val="00A53BD5"/>
    <w:rsid w:val="00A53EC6"/>
    <w:rsid w:val="00A5466C"/>
    <w:rsid w:val="00A546EB"/>
    <w:rsid w:val="00A547C6"/>
    <w:rsid w:val="00A55C0F"/>
    <w:rsid w:val="00A560FA"/>
    <w:rsid w:val="00A56888"/>
    <w:rsid w:val="00A57935"/>
    <w:rsid w:val="00A57AA0"/>
    <w:rsid w:val="00A57D8D"/>
    <w:rsid w:val="00A60489"/>
    <w:rsid w:val="00A61BF1"/>
    <w:rsid w:val="00A62F5B"/>
    <w:rsid w:val="00A633FB"/>
    <w:rsid w:val="00A634EC"/>
    <w:rsid w:val="00A64193"/>
    <w:rsid w:val="00A64999"/>
    <w:rsid w:val="00A64DE7"/>
    <w:rsid w:val="00A64EF8"/>
    <w:rsid w:val="00A658F2"/>
    <w:rsid w:val="00A65AE3"/>
    <w:rsid w:val="00A65D26"/>
    <w:rsid w:val="00A66DB4"/>
    <w:rsid w:val="00A66F95"/>
    <w:rsid w:val="00A66FFE"/>
    <w:rsid w:val="00A677F3"/>
    <w:rsid w:val="00A67897"/>
    <w:rsid w:val="00A67922"/>
    <w:rsid w:val="00A67C7A"/>
    <w:rsid w:val="00A67FE4"/>
    <w:rsid w:val="00A70175"/>
    <w:rsid w:val="00A721B7"/>
    <w:rsid w:val="00A73CD3"/>
    <w:rsid w:val="00A73E6B"/>
    <w:rsid w:val="00A747DA"/>
    <w:rsid w:val="00A7569C"/>
    <w:rsid w:val="00A75EB4"/>
    <w:rsid w:val="00A76646"/>
    <w:rsid w:val="00A76668"/>
    <w:rsid w:val="00A77C82"/>
    <w:rsid w:val="00A802BC"/>
    <w:rsid w:val="00A80B64"/>
    <w:rsid w:val="00A8179A"/>
    <w:rsid w:val="00A81883"/>
    <w:rsid w:val="00A81A2F"/>
    <w:rsid w:val="00A83717"/>
    <w:rsid w:val="00A83E6D"/>
    <w:rsid w:val="00A85846"/>
    <w:rsid w:val="00A85B7C"/>
    <w:rsid w:val="00A85F40"/>
    <w:rsid w:val="00A86285"/>
    <w:rsid w:val="00A8713F"/>
    <w:rsid w:val="00A87BA3"/>
    <w:rsid w:val="00A87C33"/>
    <w:rsid w:val="00A90624"/>
    <w:rsid w:val="00A90BA1"/>
    <w:rsid w:val="00A90CFC"/>
    <w:rsid w:val="00A91706"/>
    <w:rsid w:val="00A91CB3"/>
    <w:rsid w:val="00A932F5"/>
    <w:rsid w:val="00A9366C"/>
    <w:rsid w:val="00A939C5"/>
    <w:rsid w:val="00A94B40"/>
    <w:rsid w:val="00A956B1"/>
    <w:rsid w:val="00A96570"/>
    <w:rsid w:val="00A966FC"/>
    <w:rsid w:val="00A96959"/>
    <w:rsid w:val="00A9722A"/>
    <w:rsid w:val="00A97A9A"/>
    <w:rsid w:val="00AA006B"/>
    <w:rsid w:val="00AA0532"/>
    <w:rsid w:val="00AA0671"/>
    <w:rsid w:val="00AA08C6"/>
    <w:rsid w:val="00AA11B7"/>
    <w:rsid w:val="00AA15C4"/>
    <w:rsid w:val="00AA1B3B"/>
    <w:rsid w:val="00AA217A"/>
    <w:rsid w:val="00AA2256"/>
    <w:rsid w:val="00AA2531"/>
    <w:rsid w:val="00AA3462"/>
    <w:rsid w:val="00AA3BA2"/>
    <w:rsid w:val="00AA3DC9"/>
    <w:rsid w:val="00AA4129"/>
    <w:rsid w:val="00AA6316"/>
    <w:rsid w:val="00AA6735"/>
    <w:rsid w:val="00AA6BC5"/>
    <w:rsid w:val="00AA70DA"/>
    <w:rsid w:val="00AB05A7"/>
    <w:rsid w:val="00AB06B8"/>
    <w:rsid w:val="00AB099E"/>
    <w:rsid w:val="00AB1A42"/>
    <w:rsid w:val="00AB1E09"/>
    <w:rsid w:val="00AB29FC"/>
    <w:rsid w:val="00AB37C7"/>
    <w:rsid w:val="00AB3D6E"/>
    <w:rsid w:val="00AB4060"/>
    <w:rsid w:val="00AB440D"/>
    <w:rsid w:val="00AB5330"/>
    <w:rsid w:val="00AB5502"/>
    <w:rsid w:val="00AB5675"/>
    <w:rsid w:val="00AB5791"/>
    <w:rsid w:val="00AB5A5D"/>
    <w:rsid w:val="00AB66AD"/>
    <w:rsid w:val="00AB73D9"/>
    <w:rsid w:val="00AB7612"/>
    <w:rsid w:val="00AB7747"/>
    <w:rsid w:val="00AC0767"/>
    <w:rsid w:val="00AC14CE"/>
    <w:rsid w:val="00AC1FC2"/>
    <w:rsid w:val="00AC2204"/>
    <w:rsid w:val="00AC2436"/>
    <w:rsid w:val="00AC2950"/>
    <w:rsid w:val="00AC2A56"/>
    <w:rsid w:val="00AC3623"/>
    <w:rsid w:val="00AC400D"/>
    <w:rsid w:val="00AC40A1"/>
    <w:rsid w:val="00AC425A"/>
    <w:rsid w:val="00AC4B2A"/>
    <w:rsid w:val="00AC4BFA"/>
    <w:rsid w:val="00AC74AA"/>
    <w:rsid w:val="00AC769A"/>
    <w:rsid w:val="00AD0235"/>
    <w:rsid w:val="00AD03BC"/>
    <w:rsid w:val="00AD055E"/>
    <w:rsid w:val="00AD0CCC"/>
    <w:rsid w:val="00AD1DF4"/>
    <w:rsid w:val="00AD2F17"/>
    <w:rsid w:val="00AD3B2E"/>
    <w:rsid w:val="00AD47A7"/>
    <w:rsid w:val="00AD5E21"/>
    <w:rsid w:val="00AD619A"/>
    <w:rsid w:val="00AD630E"/>
    <w:rsid w:val="00AD66AE"/>
    <w:rsid w:val="00AD7141"/>
    <w:rsid w:val="00AD7325"/>
    <w:rsid w:val="00AE0B3E"/>
    <w:rsid w:val="00AE3977"/>
    <w:rsid w:val="00AE3D3F"/>
    <w:rsid w:val="00AE428D"/>
    <w:rsid w:val="00AE42CE"/>
    <w:rsid w:val="00AE44C2"/>
    <w:rsid w:val="00AE4877"/>
    <w:rsid w:val="00AE4C50"/>
    <w:rsid w:val="00AE5530"/>
    <w:rsid w:val="00AE5BB4"/>
    <w:rsid w:val="00AE5F57"/>
    <w:rsid w:val="00AE645D"/>
    <w:rsid w:val="00AE6C2D"/>
    <w:rsid w:val="00AE6F5E"/>
    <w:rsid w:val="00AE74C2"/>
    <w:rsid w:val="00AF04C5"/>
    <w:rsid w:val="00AF0A82"/>
    <w:rsid w:val="00AF0CBF"/>
    <w:rsid w:val="00AF1CC9"/>
    <w:rsid w:val="00AF257F"/>
    <w:rsid w:val="00AF33CF"/>
    <w:rsid w:val="00AF3F7E"/>
    <w:rsid w:val="00AF41DF"/>
    <w:rsid w:val="00AF4541"/>
    <w:rsid w:val="00AF4D50"/>
    <w:rsid w:val="00AF6179"/>
    <w:rsid w:val="00AF75ED"/>
    <w:rsid w:val="00AF7612"/>
    <w:rsid w:val="00B00DD9"/>
    <w:rsid w:val="00B013B0"/>
    <w:rsid w:val="00B0171D"/>
    <w:rsid w:val="00B01DA0"/>
    <w:rsid w:val="00B029FC"/>
    <w:rsid w:val="00B02ECC"/>
    <w:rsid w:val="00B0386D"/>
    <w:rsid w:val="00B0390B"/>
    <w:rsid w:val="00B03FEF"/>
    <w:rsid w:val="00B050C8"/>
    <w:rsid w:val="00B050EC"/>
    <w:rsid w:val="00B06628"/>
    <w:rsid w:val="00B06BDC"/>
    <w:rsid w:val="00B102DA"/>
    <w:rsid w:val="00B10795"/>
    <w:rsid w:val="00B10883"/>
    <w:rsid w:val="00B109CF"/>
    <w:rsid w:val="00B10AA0"/>
    <w:rsid w:val="00B11368"/>
    <w:rsid w:val="00B11F3E"/>
    <w:rsid w:val="00B1295A"/>
    <w:rsid w:val="00B13F87"/>
    <w:rsid w:val="00B14319"/>
    <w:rsid w:val="00B144E8"/>
    <w:rsid w:val="00B14D14"/>
    <w:rsid w:val="00B14E17"/>
    <w:rsid w:val="00B1502A"/>
    <w:rsid w:val="00B15971"/>
    <w:rsid w:val="00B168DB"/>
    <w:rsid w:val="00B16A18"/>
    <w:rsid w:val="00B174C2"/>
    <w:rsid w:val="00B17795"/>
    <w:rsid w:val="00B178DA"/>
    <w:rsid w:val="00B17A19"/>
    <w:rsid w:val="00B20A45"/>
    <w:rsid w:val="00B210C3"/>
    <w:rsid w:val="00B22C5C"/>
    <w:rsid w:val="00B23205"/>
    <w:rsid w:val="00B23C4D"/>
    <w:rsid w:val="00B24630"/>
    <w:rsid w:val="00B24AE4"/>
    <w:rsid w:val="00B24F30"/>
    <w:rsid w:val="00B25370"/>
    <w:rsid w:val="00B254D8"/>
    <w:rsid w:val="00B25ABF"/>
    <w:rsid w:val="00B25C74"/>
    <w:rsid w:val="00B25D45"/>
    <w:rsid w:val="00B26469"/>
    <w:rsid w:val="00B26A8B"/>
    <w:rsid w:val="00B27761"/>
    <w:rsid w:val="00B27762"/>
    <w:rsid w:val="00B31ABF"/>
    <w:rsid w:val="00B32139"/>
    <w:rsid w:val="00B32317"/>
    <w:rsid w:val="00B330F9"/>
    <w:rsid w:val="00B331E2"/>
    <w:rsid w:val="00B338CB"/>
    <w:rsid w:val="00B33BE3"/>
    <w:rsid w:val="00B344C8"/>
    <w:rsid w:val="00B349C9"/>
    <w:rsid w:val="00B34C18"/>
    <w:rsid w:val="00B35DA9"/>
    <w:rsid w:val="00B3702B"/>
    <w:rsid w:val="00B3723D"/>
    <w:rsid w:val="00B37E12"/>
    <w:rsid w:val="00B37F82"/>
    <w:rsid w:val="00B41BB8"/>
    <w:rsid w:val="00B41FBE"/>
    <w:rsid w:val="00B426FC"/>
    <w:rsid w:val="00B44463"/>
    <w:rsid w:val="00B447A3"/>
    <w:rsid w:val="00B44BD6"/>
    <w:rsid w:val="00B44EEE"/>
    <w:rsid w:val="00B4502B"/>
    <w:rsid w:val="00B45103"/>
    <w:rsid w:val="00B45840"/>
    <w:rsid w:val="00B45862"/>
    <w:rsid w:val="00B46FC7"/>
    <w:rsid w:val="00B479BE"/>
    <w:rsid w:val="00B50302"/>
    <w:rsid w:val="00B50F20"/>
    <w:rsid w:val="00B510E4"/>
    <w:rsid w:val="00B51E75"/>
    <w:rsid w:val="00B520A7"/>
    <w:rsid w:val="00B52843"/>
    <w:rsid w:val="00B52B7A"/>
    <w:rsid w:val="00B52F24"/>
    <w:rsid w:val="00B530BD"/>
    <w:rsid w:val="00B53B5D"/>
    <w:rsid w:val="00B55618"/>
    <w:rsid w:val="00B5732F"/>
    <w:rsid w:val="00B575AE"/>
    <w:rsid w:val="00B579F8"/>
    <w:rsid w:val="00B604EE"/>
    <w:rsid w:val="00B6055E"/>
    <w:rsid w:val="00B60CE3"/>
    <w:rsid w:val="00B61B1E"/>
    <w:rsid w:val="00B61C2B"/>
    <w:rsid w:val="00B61CBE"/>
    <w:rsid w:val="00B6292A"/>
    <w:rsid w:val="00B62F2C"/>
    <w:rsid w:val="00B6317D"/>
    <w:rsid w:val="00B63241"/>
    <w:rsid w:val="00B64AA5"/>
    <w:rsid w:val="00B64B43"/>
    <w:rsid w:val="00B6559E"/>
    <w:rsid w:val="00B6649F"/>
    <w:rsid w:val="00B66D42"/>
    <w:rsid w:val="00B70009"/>
    <w:rsid w:val="00B71CB2"/>
    <w:rsid w:val="00B71DD7"/>
    <w:rsid w:val="00B71E24"/>
    <w:rsid w:val="00B72019"/>
    <w:rsid w:val="00B7231B"/>
    <w:rsid w:val="00B73079"/>
    <w:rsid w:val="00B730C2"/>
    <w:rsid w:val="00B73420"/>
    <w:rsid w:val="00B73790"/>
    <w:rsid w:val="00B73B2D"/>
    <w:rsid w:val="00B74F95"/>
    <w:rsid w:val="00B755B2"/>
    <w:rsid w:val="00B76409"/>
    <w:rsid w:val="00B76821"/>
    <w:rsid w:val="00B76C80"/>
    <w:rsid w:val="00B7723F"/>
    <w:rsid w:val="00B77965"/>
    <w:rsid w:val="00B80534"/>
    <w:rsid w:val="00B805C8"/>
    <w:rsid w:val="00B80F96"/>
    <w:rsid w:val="00B81DF9"/>
    <w:rsid w:val="00B82410"/>
    <w:rsid w:val="00B826B9"/>
    <w:rsid w:val="00B827CC"/>
    <w:rsid w:val="00B82BA7"/>
    <w:rsid w:val="00B82C59"/>
    <w:rsid w:val="00B8317E"/>
    <w:rsid w:val="00B8433C"/>
    <w:rsid w:val="00B84D1D"/>
    <w:rsid w:val="00B84E5E"/>
    <w:rsid w:val="00B85A9E"/>
    <w:rsid w:val="00B85CD1"/>
    <w:rsid w:val="00B87491"/>
    <w:rsid w:val="00B87648"/>
    <w:rsid w:val="00B877F3"/>
    <w:rsid w:val="00B87C0A"/>
    <w:rsid w:val="00B90C82"/>
    <w:rsid w:val="00B9134F"/>
    <w:rsid w:val="00B914AD"/>
    <w:rsid w:val="00B9178D"/>
    <w:rsid w:val="00B919DF"/>
    <w:rsid w:val="00B91B0A"/>
    <w:rsid w:val="00B9223D"/>
    <w:rsid w:val="00B92CFC"/>
    <w:rsid w:val="00B92EB8"/>
    <w:rsid w:val="00B941A8"/>
    <w:rsid w:val="00B949D5"/>
    <w:rsid w:val="00B94D47"/>
    <w:rsid w:val="00B94FE9"/>
    <w:rsid w:val="00B9576E"/>
    <w:rsid w:val="00B95848"/>
    <w:rsid w:val="00B95EC7"/>
    <w:rsid w:val="00B95F71"/>
    <w:rsid w:val="00B97ACA"/>
    <w:rsid w:val="00B97B17"/>
    <w:rsid w:val="00BA0E37"/>
    <w:rsid w:val="00BA1EB4"/>
    <w:rsid w:val="00BA21CD"/>
    <w:rsid w:val="00BA29E9"/>
    <w:rsid w:val="00BA2DF9"/>
    <w:rsid w:val="00BA41BB"/>
    <w:rsid w:val="00BA5219"/>
    <w:rsid w:val="00BA5369"/>
    <w:rsid w:val="00BA598C"/>
    <w:rsid w:val="00BA7142"/>
    <w:rsid w:val="00BA71DA"/>
    <w:rsid w:val="00BB07C1"/>
    <w:rsid w:val="00BB1858"/>
    <w:rsid w:val="00BB1E6E"/>
    <w:rsid w:val="00BB2318"/>
    <w:rsid w:val="00BB237C"/>
    <w:rsid w:val="00BB26AA"/>
    <w:rsid w:val="00BB2DC5"/>
    <w:rsid w:val="00BB3163"/>
    <w:rsid w:val="00BB38D4"/>
    <w:rsid w:val="00BB41A3"/>
    <w:rsid w:val="00BB49F6"/>
    <w:rsid w:val="00BB5FA0"/>
    <w:rsid w:val="00BB60AF"/>
    <w:rsid w:val="00BB62C6"/>
    <w:rsid w:val="00BB6EE2"/>
    <w:rsid w:val="00BB78D7"/>
    <w:rsid w:val="00BB7B5D"/>
    <w:rsid w:val="00BC0736"/>
    <w:rsid w:val="00BC0C96"/>
    <w:rsid w:val="00BC1D2C"/>
    <w:rsid w:val="00BC1FF1"/>
    <w:rsid w:val="00BC2A56"/>
    <w:rsid w:val="00BC32DC"/>
    <w:rsid w:val="00BC35B6"/>
    <w:rsid w:val="00BC46A6"/>
    <w:rsid w:val="00BC4D7E"/>
    <w:rsid w:val="00BC5A9F"/>
    <w:rsid w:val="00BC5E79"/>
    <w:rsid w:val="00BC6024"/>
    <w:rsid w:val="00BC6CE1"/>
    <w:rsid w:val="00BD09F5"/>
    <w:rsid w:val="00BD1B51"/>
    <w:rsid w:val="00BD244E"/>
    <w:rsid w:val="00BD2EB5"/>
    <w:rsid w:val="00BD33C5"/>
    <w:rsid w:val="00BD4596"/>
    <w:rsid w:val="00BD47E4"/>
    <w:rsid w:val="00BD49DA"/>
    <w:rsid w:val="00BD4C84"/>
    <w:rsid w:val="00BD4ED7"/>
    <w:rsid w:val="00BD548F"/>
    <w:rsid w:val="00BD685C"/>
    <w:rsid w:val="00BD6A46"/>
    <w:rsid w:val="00BD7120"/>
    <w:rsid w:val="00BD7285"/>
    <w:rsid w:val="00BD75E7"/>
    <w:rsid w:val="00BD7FD2"/>
    <w:rsid w:val="00BE1405"/>
    <w:rsid w:val="00BE2AE8"/>
    <w:rsid w:val="00BE2D78"/>
    <w:rsid w:val="00BE3088"/>
    <w:rsid w:val="00BE312D"/>
    <w:rsid w:val="00BE3147"/>
    <w:rsid w:val="00BE31BE"/>
    <w:rsid w:val="00BE35E8"/>
    <w:rsid w:val="00BE362F"/>
    <w:rsid w:val="00BE3C68"/>
    <w:rsid w:val="00BE3DFB"/>
    <w:rsid w:val="00BE3F30"/>
    <w:rsid w:val="00BE4637"/>
    <w:rsid w:val="00BE56BD"/>
    <w:rsid w:val="00BE5A7A"/>
    <w:rsid w:val="00BE658B"/>
    <w:rsid w:val="00BE6D4F"/>
    <w:rsid w:val="00BE7CC7"/>
    <w:rsid w:val="00BF033E"/>
    <w:rsid w:val="00BF0D98"/>
    <w:rsid w:val="00BF1083"/>
    <w:rsid w:val="00BF16C7"/>
    <w:rsid w:val="00BF186E"/>
    <w:rsid w:val="00BF1C20"/>
    <w:rsid w:val="00BF2922"/>
    <w:rsid w:val="00BF48CA"/>
    <w:rsid w:val="00BF4A26"/>
    <w:rsid w:val="00BF4D29"/>
    <w:rsid w:val="00BF4F25"/>
    <w:rsid w:val="00BF5039"/>
    <w:rsid w:val="00BF5AE4"/>
    <w:rsid w:val="00BF5FAD"/>
    <w:rsid w:val="00BF614D"/>
    <w:rsid w:val="00BF68C2"/>
    <w:rsid w:val="00C00E93"/>
    <w:rsid w:val="00C00F1A"/>
    <w:rsid w:val="00C015FB"/>
    <w:rsid w:val="00C02979"/>
    <w:rsid w:val="00C030B6"/>
    <w:rsid w:val="00C032AA"/>
    <w:rsid w:val="00C03666"/>
    <w:rsid w:val="00C03CFB"/>
    <w:rsid w:val="00C04989"/>
    <w:rsid w:val="00C065EF"/>
    <w:rsid w:val="00C1037E"/>
    <w:rsid w:val="00C10578"/>
    <w:rsid w:val="00C11458"/>
    <w:rsid w:val="00C11939"/>
    <w:rsid w:val="00C11D89"/>
    <w:rsid w:val="00C11EC0"/>
    <w:rsid w:val="00C12911"/>
    <w:rsid w:val="00C12ABA"/>
    <w:rsid w:val="00C135BC"/>
    <w:rsid w:val="00C13AD4"/>
    <w:rsid w:val="00C14148"/>
    <w:rsid w:val="00C15C41"/>
    <w:rsid w:val="00C15C95"/>
    <w:rsid w:val="00C17A67"/>
    <w:rsid w:val="00C17B77"/>
    <w:rsid w:val="00C211F9"/>
    <w:rsid w:val="00C21773"/>
    <w:rsid w:val="00C22262"/>
    <w:rsid w:val="00C224EC"/>
    <w:rsid w:val="00C229CF"/>
    <w:rsid w:val="00C22BB9"/>
    <w:rsid w:val="00C22E52"/>
    <w:rsid w:val="00C23C64"/>
    <w:rsid w:val="00C25697"/>
    <w:rsid w:val="00C2596A"/>
    <w:rsid w:val="00C2599E"/>
    <w:rsid w:val="00C25D30"/>
    <w:rsid w:val="00C27537"/>
    <w:rsid w:val="00C27C4E"/>
    <w:rsid w:val="00C27EAC"/>
    <w:rsid w:val="00C30B9A"/>
    <w:rsid w:val="00C31626"/>
    <w:rsid w:val="00C31851"/>
    <w:rsid w:val="00C328FE"/>
    <w:rsid w:val="00C33507"/>
    <w:rsid w:val="00C33C53"/>
    <w:rsid w:val="00C34697"/>
    <w:rsid w:val="00C34A8E"/>
    <w:rsid w:val="00C3729F"/>
    <w:rsid w:val="00C401E5"/>
    <w:rsid w:val="00C409C4"/>
    <w:rsid w:val="00C41186"/>
    <w:rsid w:val="00C415BC"/>
    <w:rsid w:val="00C41F61"/>
    <w:rsid w:val="00C4409D"/>
    <w:rsid w:val="00C445C4"/>
    <w:rsid w:val="00C44E72"/>
    <w:rsid w:val="00C452DD"/>
    <w:rsid w:val="00C45313"/>
    <w:rsid w:val="00C45A06"/>
    <w:rsid w:val="00C45D6D"/>
    <w:rsid w:val="00C45E6C"/>
    <w:rsid w:val="00C47DED"/>
    <w:rsid w:val="00C47E5B"/>
    <w:rsid w:val="00C50321"/>
    <w:rsid w:val="00C520EC"/>
    <w:rsid w:val="00C528CB"/>
    <w:rsid w:val="00C53333"/>
    <w:rsid w:val="00C53AFA"/>
    <w:rsid w:val="00C54F44"/>
    <w:rsid w:val="00C55327"/>
    <w:rsid w:val="00C56007"/>
    <w:rsid w:val="00C566C8"/>
    <w:rsid w:val="00C56FBB"/>
    <w:rsid w:val="00C57730"/>
    <w:rsid w:val="00C6026E"/>
    <w:rsid w:val="00C60C76"/>
    <w:rsid w:val="00C617FF"/>
    <w:rsid w:val="00C61E4B"/>
    <w:rsid w:val="00C62A1C"/>
    <w:rsid w:val="00C63BF0"/>
    <w:rsid w:val="00C649F8"/>
    <w:rsid w:val="00C64BFF"/>
    <w:rsid w:val="00C650BB"/>
    <w:rsid w:val="00C6667B"/>
    <w:rsid w:val="00C66A11"/>
    <w:rsid w:val="00C66CD0"/>
    <w:rsid w:val="00C673E2"/>
    <w:rsid w:val="00C6750F"/>
    <w:rsid w:val="00C704E9"/>
    <w:rsid w:val="00C70874"/>
    <w:rsid w:val="00C71326"/>
    <w:rsid w:val="00C714C9"/>
    <w:rsid w:val="00C732D4"/>
    <w:rsid w:val="00C73CB4"/>
    <w:rsid w:val="00C73E14"/>
    <w:rsid w:val="00C74176"/>
    <w:rsid w:val="00C74623"/>
    <w:rsid w:val="00C74708"/>
    <w:rsid w:val="00C74761"/>
    <w:rsid w:val="00C760DC"/>
    <w:rsid w:val="00C763C9"/>
    <w:rsid w:val="00C76902"/>
    <w:rsid w:val="00C77887"/>
    <w:rsid w:val="00C80057"/>
    <w:rsid w:val="00C803D4"/>
    <w:rsid w:val="00C80A75"/>
    <w:rsid w:val="00C81E7A"/>
    <w:rsid w:val="00C8200B"/>
    <w:rsid w:val="00C82232"/>
    <w:rsid w:val="00C82460"/>
    <w:rsid w:val="00C82913"/>
    <w:rsid w:val="00C83856"/>
    <w:rsid w:val="00C83869"/>
    <w:rsid w:val="00C8395A"/>
    <w:rsid w:val="00C845B6"/>
    <w:rsid w:val="00C84A10"/>
    <w:rsid w:val="00C85108"/>
    <w:rsid w:val="00C86456"/>
    <w:rsid w:val="00C87727"/>
    <w:rsid w:val="00C90C5D"/>
    <w:rsid w:val="00C9131B"/>
    <w:rsid w:val="00C915FE"/>
    <w:rsid w:val="00C92EE4"/>
    <w:rsid w:val="00C9399D"/>
    <w:rsid w:val="00C93A0C"/>
    <w:rsid w:val="00C93B22"/>
    <w:rsid w:val="00C93C83"/>
    <w:rsid w:val="00C94086"/>
    <w:rsid w:val="00C944D4"/>
    <w:rsid w:val="00C94607"/>
    <w:rsid w:val="00C94814"/>
    <w:rsid w:val="00C94A6A"/>
    <w:rsid w:val="00C94C54"/>
    <w:rsid w:val="00C953E4"/>
    <w:rsid w:val="00C95AB0"/>
    <w:rsid w:val="00C96770"/>
    <w:rsid w:val="00C972B1"/>
    <w:rsid w:val="00CA03CF"/>
    <w:rsid w:val="00CA137B"/>
    <w:rsid w:val="00CA1D6A"/>
    <w:rsid w:val="00CA2B3A"/>
    <w:rsid w:val="00CA2CCE"/>
    <w:rsid w:val="00CA36EB"/>
    <w:rsid w:val="00CA43FD"/>
    <w:rsid w:val="00CA5079"/>
    <w:rsid w:val="00CA659B"/>
    <w:rsid w:val="00CA66E4"/>
    <w:rsid w:val="00CA7EF8"/>
    <w:rsid w:val="00CB01DE"/>
    <w:rsid w:val="00CB2213"/>
    <w:rsid w:val="00CB239B"/>
    <w:rsid w:val="00CB2412"/>
    <w:rsid w:val="00CB2F01"/>
    <w:rsid w:val="00CB36E8"/>
    <w:rsid w:val="00CB390C"/>
    <w:rsid w:val="00CB49E5"/>
    <w:rsid w:val="00CB5253"/>
    <w:rsid w:val="00CB66B0"/>
    <w:rsid w:val="00CB74A9"/>
    <w:rsid w:val="00CC0870"/>
    <w:rsid w:val="00CC1002"/>
    <w:rsid w:val="00CC1A59"/>
    <w:rsid w:val="00CC1BD7"/>
    <w:rsid w:val="00CC2ABC"/>
    <w:rsid w:val="00CC311B"/>
    <w:rsid w:val="00CC387A"/>
    <w:rsid w:val="00CC489B"/>
    <w:rsid w:val="00CC4F2D"/>
    <w:rsid w:val="00CC62D9"/>
    <w:rsid w:val="00CC7092"/>
    <w:rsid w:val="00CC7EC2"/>
    <w:rsid w:val="00CD0D11"/>
    <w:rsid w:val="00CD0F2A"/>
    <w:rsid w:val="00CD111D"/>
    <w:rsid w:val="00CD1506"/>
    <w:rsid w:val="00CD2BCD"/>
    <w:rsid w:val="00CD37E8"/>
    <w:rsid w:val="00CD3A4C"/>
    <w:rsid w:val="00CD56B3"/>
    <w:rsid w:val="00CD6EEF"/>
    <w:rsid w:val="00CD7D18"/>
    <w:rsid w:val="00CE0B98"/>
    <w:rsid w:val="00CE0FBE"/>
    <w:rsid w:val="00CE10E9"/>
    <w:rsid w:val="00CE134E"/>
    <w:rsid w:val="00CE2910"/>
    <w:rsid w:val="00CE3216"/>
    <w:rsid w:val="00CE3463"/>
    <w:rsid w:val="00CE3809"/>
    <w:rsid w:val="00CE40B9"/>
    <w:rsid w:val="00CE4160"/>
    <w:rsid w:val="00CE4390"/>
    <w:rsid w:val="00CE4BAA"/>
    <w:rsid w:val="00CE4D7F"/>
    <w:rsid w:val="00CE518C"/>
    <w:rsid w:val="00CE5393"/>
    <w:rsid w:val="00CE564B"/>
    <w:rsid w:val="00CE5730"/>
    <w:rsid w:val="00CE5B69"/>
    <w:rsid w:val="00CE67EE"/>
    <w:rsid w:val="00CE790E"/>
    <w:rsid w:val="00CF11E7"/>
    <w:rsid w:val="00CF13F4"/>
    <w:rsid w:val="00CF1748"/>
    <w:rsid w:val="00CF1E5B"/>
    <w:rsid w:val="00CF36BE"/>
    <w:rsid w:val="00CF486B"/>
    <w:rsid w:val="00CF5074"/>
    <w:rsid w:val="00CF50C3"/>
    <w:rsid w:val="00CF5906"/>
    <w:rsid w:val="00CF5C61"/>
    <w:rsid w:val="00CF6000"/>
    <w:rsid w:val="00CF60AD"/>
    <w:rsid w:val="00CF64DE"/>
    <w:rsid w:val="00CF6C93"/>
    <w:rsid w:val="00D00201"/>
    <w:rsid w:val="00D003F3"/>
    <w:rsid w:val="00D00B67"/>
    <w:rsid w:val="00D01D8B"/>
    <w:rsid w:val="00D02FE6"/>
    <w:rsid w:val="00D0364F"/>
    <w:rsid w:val="00D03D9B"/>
    <w:rsid w:val="00D0470B"/>
    <w:rsid w:val="00D057E6"/>
    <w:rsid w:val="00D0585E"/>
    <w:rsid w:val="00D066D4"/>
    <w:rsid w:val="00D06834"/>
    <w:rsid w:val="00D0683D"/>
    <w:rsid w:val="00D0765D"/>
    <w:rsid w:val="00D0766A"/>
    <w:rsid w:val="00D0767C"/>
    <w:rsid w:val="00D10096"/>
    <w:rsid w:val="00D11F3D"/>
    <w:rsid w:val="00D12249"/>
    <w:rsid w:val="00D127FE"/>
    <w:rsid w:val="00D12B87"/>
    <w:rsid w:val="00D1305B"/>
    <w:rsid w:val="00D1410A"/>
    <w:rsid w:val="00D14560"/>
    <w:rsid w:val="00D14FCE"/>
    <w:rsid w:val="00D1588E"/>
    <w:rsid w:val="00D15F35"/>
    <w:rsid w:val="00D161FF"/>
    <w:rsid w:val="00D168D9"/>
    <w:rsid w:val="00D16A54"/>
    <w:rsid w:val="00D16AF5"/>
    <w:rsid w:val="00D1752E"/>
    <w:rsid w:val="00D17C4B"/>
    <w:rsid w:val="00D20735"/>
    <w:rsid w:val="00D2109E"/>
    <w:rsid w:val="00D21196"/>
    <w:rsid w:val="00D211D0"/>
    <w:rsid w:val="00D21C0D"/>
    <w:rsid w:val="00D21F7D"/>
    <w:rsid w:val="00D221DD"/>
    <w:rsid w:val="00D22574"/>
    <w:rsid w:val="00D2258A"/>
    <w:rsid w:val="00D22AEB"/>
    <w:rsid w:val="00D23020"/>
    <w:rsid w:val="00D231E9"/>
    <w:rsid w:val="00D23226"/>
    <w:rsid w:val="00D23750"/>
    <w:rsid w:val="00D23977"/>
    <w:rsid w:val="00D24545"/>
    <w:rsid w:val="00D24EC0"/>
    <w:rsid w:val="00D25D7E"/>
    <w:rsid w:val="00D26CE1"/>
    <w:rsid w:val="00D271B0"/>
    <w:rsid w:val="00D3072C"/>
    <w:rsid w:val="00D308ED"/>
    <w:rsid w:val="00D317DB"/>
    <w:rsid w:val="00D32459"/>
    <w:rsid w:val="00D32591"/>
    <w:rsid w:val="00D3328C"/>
    <w:rsid w:val="00D340B4"/>
    <w:rsid w:val="00D34ED5"/>
    <w:rsid w:val="00D35333"/>
    <w:rsid w:val="00D369E4"/>
    <w:rsid w:val="00D36D86"/>
    <w:rsid w:val="00D40652"/>
    <w:rsid w:val="00D427CF"/>
    <w:rsid w:val="00D428AA"/>
    <w:rsid w:val="00D428E7"/>
    <w:rsid w:val="00D4313C"/>
    <w:rsid w:val="00D4340F"/>
    <w:rsid w:val="00D43628"/>
    <w:rsid w:val="00D43B30"/>
    <w:rsid w:val="00D4409A"/>
    <w:rsid w:val="00D44243"/>
    <w:rsid w:val="00D4456F"/>
    <w:rsid w:val="00D44CB2"/>
    <w:rsid w:val="00D452AC"/>
    <w:rsid w:val="00D452EA"/>
    <w:rsid w:val="00D45D83"/>
    <w:rsid w:val="00D4742E"/>
    <w:rsid w:val="00D50378"/>
    <w:rsid w:val="00D5094C"/>
    <w:rsid w:val="00D50A34"/>
    <w:rsid w:val="00D52371"/>
    <w:rsid w:val="00D536EF"/>
    <w:rsid w:val="00D53EFA"/>
    <w:rsid w:val="00D5435F"/>
    <w:rsid w:val="00D54B36"/>
    <w:rsid w:val="00D559E3"/>
    <w:rsid w:val="00D565A9"/>
    <w:rsid w:val="00D60CE5"/>
    <w:rsid w:val="00D60E13"/>
    <w:rsid w:val="00D620AC"/>
    <w:rsid w:val="00D62316"/>
    <w:rsid w:val="00D625E8"/>
    <w:rsid w:val="00D62961"/>
    <w:rsid w:val="00D62CB3"/>
    <w:rsid w:val="00D62D12"/>
    <w:rsid w:val="00D63074"/>
    <w:rsid w:val="00D630E5"/>
    <w:rsid w:val="00D637B3"/>
    <w:rsid w:val="00D64F46"/>
    <w:rsid w:val="00D651B2"/>
    <w:rsid w:val="00D65660"/>
    <w:rsid w:val="00D65CD8"/>
    <w:rsid w:val="00D65F96"/>
    <w:rsid w:val="00D66167"/>
    <w:rsid w:val="00D66309"/>
    <w:rsid w:val="00D663EA"/>
    <w:rsid w:val="00D6689D"/>
    <w:rsid w:val="00D66EF2"/>
    <w:rsid w:val="00D66F84"/>
    <w:rsid w:val="00D6701A"/>
    <w:rsid w:val="00D6743D"/>
    <w:rsid w:val="00D70253"/>
    <w:rsid w:val="00D707CD"/>
    <w:rsid w:val="00D71D81"/>
    <w:rsid w:val="00D720F2"/>
    <w:rsid w:val="00D731F1"/>
    <w:rsid w:val="00D736E5"/>
    <w:rsid w:val="00D73F21"/>
    <w:rsid w:val="00D742C1"/>
    <w:rsid w:val="00D74343"/>
    <w:rsid w:val="00D74FF8"/>
    <w:rsid w:val="00D75AF9"/>
    <w:rsid w:val="00D75D8B"/>
    <w:rsid w:val="00D761FD"/>
    <w:rsid w:val="00D77095"/>
    <w:rsid w:val="00D77BF5"/>
    <w:rsid w:val="00D81B88"/>
    <w:rsid w:val="00D824ED"/>
    <w:rsid w:val="00D83328"/>
    <w:rsid w:val="00D84CD7"/>
    <w:rsid w:val="00D857FE"/>
    <w:rsid w:val="00D85F03"/>
    <w:rsid w:val="00D8661E"/>
    <w:rsid w:val="00D86E2B"/>
    <w:rsid w:val="00D9009E"/>
    <w:rsid w:val="00D908F6"/>
    <w:rsid w:val="00D90ECD"/>
    <w:rsid w:val="00D91059"/>
    <w:rsid w:val="00D93992"/>
    <w:rsid w:val="00D93BB9"/>
    <w:rsid w:val="00D941FE"/>
    <w:rsid w:val="00D9499D"/>
    <w:rsid w:val="00D94A7C"/>
    <w:rsid w:val="00D94D0E"/>
    <w:rsid w:val="00D94E8F"/>
    <w:rsid w:val="00D94F85"/>
    <w:rsid w:val="00D95896"/>
    <w:rsid w:val="00D95D93"/>
    <w:rsid w:val="00D96039"/>
    <w:rsid w:val="00D9727E"/>
    <w:rsid w:val="00D9734C"/>
    <w:rsid w:val="00D97687"/>
    <w:rsid w:val="00DA0FB0"/>
    <w:rsid w:val="00DA23E5"/>
    <w:rsid w:val="00DA2B58"/>
    <w:rsid w:val="00DA377E"/>
    <w:rsid w:val="00DA4079"/>
    <w:rsid w:val="00DA4E95"/>
    <w:rsid w:val="00DA4ED4"/>
    <w:rsid w:val="00DA5F6F"/>
    <w:rsid w:val="00DB0113"/>
    <w:rsid w:val="00DB0799"/>
    <w:rsid w:val="00DB0A58"/>
    <w:rsid w:val="00DB0C87"/>
    <w:rsid w:val="00DB104F"/>
    <w:rsid w:val="00DB110D"/>
    <w:rsid w:val="00DB160C"/>
    <w:rsid w:val="00DB1680"/>
    <w:rsid w:val="00DB176A"/>
    <w:rsid w:val="00DB21ED"/>
    <w:rsid w:val="00DB25F5"/>
    <w:rsid w:val="00DB2694"/>
    <w:rsid w:val="00DB2983"/>
    <w:rsid w:val="00DB29D5"/>
    <w:rsid w:val="00DB2B75"/>
    <w:rsid w:val="00DB2E30"/>
    <w:rsid w:val="00DB3706"/>
    <w:rsid w:val="00DB5530"/>
    <w:rsid w:val="00DB5794"/>
    <w:rsid w:val="00DB5BC5"/>
    <w:rsid w:val="00DB6DA0"/>
    <w:rsid w:val="00DB7CFB"/>
    <w:rsid w:val="00DC0600"/>
    <w:rsid w:val="00DC0A77"/>
    <w:rsid w:val="00DC0E36"/>
    <w:rsid w:val="00DC1257"/>
    <w:rsid w:val="00DC1AF4"/>
    <w:rsid w:val="00DC1B38"/>
    <w:rsid w:val="00DC2A85"/>
    <w:rsid w:val="00DC3DC0"/>
    <w:rsid w:val="00DC48CF"/>
    <w:rsid w:val="00DC5B2B"/>
    <w:rsid w:val="00DC7171"/>
    <w:rsid w:val="00DD0679"/>
    <w:rsid w:val="00DD07FA"/>
    <w:rsid w:val="00DD0960"/>
    <w:rsid w:val="00DD0BCD"/>
    <w:rsid w:val="00DD0C0A"/>
    <w:rsid w:val="00DD0F64"/>
    <w:rsid w:val="00DD113F"/>
    <w:rsid w:val="00DD1C54"/>
    <w:rsid w:val="00DD1FA4"/>
    <w:rsid w:val="00DD223F"/>
    <w:rsid w:val="00DD2D07"/>
    <w:rsid w:val="00DD2E5D"/>
    <w:rsid w:val="00DD318D"/>
    <w:rsid w:val="00DD3AA1"/>
    <w:rsid w:val="00DD3DC4"/>
    <w:rsid w:val="00DD4820"/>
    <w:rsid w:val="00DD4AAD"/>
    <w:rsid w:val="00DD4B6C"/>
    <w:rsid w:val="00DE0BCE"/>
    <w:rsid w:val="00DE1F01"/>
    <w:rsid w:val="00DE22FE"/>
    <w:rsid w:val="00DE25D7"/>
    <w:rsid w:val="00DE33E1"/>
    <w:rsid w:val="00DE366A"/>
    <w:rsid w:val="00DE4400"/>
    <w:rsid w:val="00DE53C1"/>
    <w:rsid w:val="00DE543D"/>
    <w:rsid w:val="00DE56BF"/>
    <w:rsid w:val="00DE5FEE"/>
    <w:rsid w:val="00DE656C"/>
    <w:rsid w:val="00DE6C88"/>
    <w:rsid w:val="00DE6D05"/>
    <w:rsid w:val="00DE7AB8"/>
    <w:rsid w:val="00DE7BDC"/>
    <w:rsid w:val="00DE7EAE"/>
    <w:rsid w:val="00DF12AF"/>
    <w:rsid w:val="00DF1383"/>
    <w:rsid w:val="00DF145D"/>
    <w:rsid w:val="00DF2E12"/>
    <w:rsid w:val="00DF4A12"/>
    <w:rsid w:val="00DF514A"/>
    <w:rsid w:val="00DF5E2C"/>
    <w:rsid w:val="00DF6690"/>
    <w:rsid w:val="00DF6804"/>
    <w:rsid w:val="00DF6A13"/>
    <w:rsid w:val="00DF6E41"/>
    <w:rsid w:val="00DF7C32"/>
    <w:rsid w:val="00E00EA0"/>
    <w:rsid w:val="00E00ED3"/>
    <w:rsid w:val="00E01FF6"/>
    <w:rsid w:val="00E021B0"/>
    <w:rsid w:val="00E02C41"/>
    <w:rsid w:val="00E0358D"/>
    <w:rsid w:val="00E037AF"/>
    <w:rsid w:val="00E03862"/>
    <w:rsid w:val="00E04323"/>
    <w:rsid w:val="00E05065"/>
    <w:rsid w:val="00E05DE8"/>
    <w:rsid w:val="00E06F5B"/>
    <w:rsid w:val="00E070A2"/>
    <w:rsid w:val="00E10DCE"/>
    <w:rsid w:val="00E11541"/>
    <w:rsid w:val="00E11817"/>
    <w:rsid w:val="00E12254"/>
    <w:rsid w:val="00E12299"/>
    <w:rsid w:val="00E1284D"/>
    <w:rsid w:val="00E12EEE"/>
    <w:rsid w:val="00E148D2"/>
    <w:rsid w:val="00E15034"/>
    <w:rsid w:val="00E15250"/>
    <w:rsid w:val="00E1598B"/>
    <w:rsid w:val="00E15ADD"/>
    <w:rsid w:val="00E165B3"/>
    <w:rsid w:val="00E173C6"/>
    <w:rsid w:val="00E17E4A"/>
    <w:rsid w:val="00E2032E"/>
    <w:rsid w:val="00E20C05"/>
    <w:rsid w:val="00E215D7"/>
    <w:rsid w:val="00E21A66"/>
    <w:rsid w:val="00E21A75"/>
    <w:rsid w:val="00E21B37"/>
    <w:rsid w:val="00E250B8"/>
    <w:rsid w:val="00E2535E"/>
    <w:rsid w:val="00E258A4"/>
    <w:rsid w:val="00E2656A"/>
    <w:rsid w:val="00E27CA2"/>
    <w:rsid w:val="00E30646"/>
    <w:rsid w:val="00E3092F"/>
    <w:rsid w:val="00E30F78"/>
    <w:rsid w:val="00E3234B"/>
    <w:rsid w:val="00E3259D"/>
    <w:rsid w:val="00E34001"/>
    <w:rsid w:val="00E34DFF"/>
    <w:rsid w:val="00E35403"/>
    <w:rsid w:val="00E35D1D"/>
    <w:rsid w:val="00E36EDD"/>
    <w:rsid w:val="00E36FA4"/>
    <w:rsid w:val="00E37023"/>
    <w:rsid w:val="00E37AF7"/>
    <w:rsid w:val="00E37D4E"/>
    <w:rsid w:val="00E37E88"/>
    <w:rsid w:val="00E4020E"/>
    <w:rsid w:val="00E40B7A"/>
    <w:rsid w:val="00E412D0"/>
    <w:rsid w:val="00E41909"/>
    <w:rsid w:val="00E41985"/>
    <w:rsid w:val="00E42119"/>
    <w:rsid w:val="00E42168"/>
    <w:rsid w:val="00E42DE0"/>
    <w:rsid w:val="00E42ED0"/>
    <w:rsid w:val="00E435CF"/>
    <w:rsid w:val="00E4371B"/>
    <w:rsid w:val="00E439FB"/>
    <w:rsid w:val="00E448CD"/>
    <w:rsid w:val="00E45358"/>
    <w:rsid w:val="00E454E8"/>
    <w:rsid w:val="00E4552B"/>
    <w:rsid w:val="00E467A2"/>
    <w:rsid w:val="00E47AF8"/>
    <w:rsid w:val="00E50F11"/>
    <w:rsid w:val="00E51558"/>
    <w:rsid w:val="00E515FB"/>
    <w:rsid w:val="00E51909"/>
    <w:rsid w:val="00E51B76"/>
    <w:rsid w:val="00E531D0"/>
    <w:rsid w:val="00E544AF"/>
    <w:rsid w:val="00E54EF9"/>
    <w:rsid w:val="00E55100"/>
    <w:rsid w:val="00E56322"/>
    <w:rsid w:val="00E568DC"/>
    <w:rsid w:val="00E56924"/>
    <w:rsid w:val="00E56BA3"/>
    <w:rsid w:val="00E56C16"/>
    <w:rsid w:val="00E56CD3"/>
    <w:rsid w:val="00E56F35"/>
    <w:rsid w:val="00E57A99"/>
    <w:rsid w:val="00E57E01"/>
    <w:rsid w:val="00E603F1"/>
    <w:rsid w:val="00E60982"/>
    <w:rsid w:val="00E6132D"/>
    <w:rsid w:val="00E61634"/>
    <w:rsid w:val="00E62C62"/>
    <w:rsid w:val="00E62D02"/>
    <w:rsid w:val="00E62E3A"/>
    <w:rsid w:val="00E6355A"/>
    <w:rsid w:val="00E63826"/>
    <w:rsid w:val="00E64278"/>
    <w:rsid w:val="00E654C1"/>
    <w:rsid w:val="00E65D97"/>
    <w:rsid w:val="00E66B62"/>
    <w:rsid w:val="00E70527"/>
    <w:rsid w:val="00E70981"/>
    <w:rsid w:val="00E70CFB"/>
    <w:rsid w:val="00E70FB1"/>
    <w:rsid w:val="00E7233A"/>
    <w:rsid w:val="00E72785"/>
    <w:rsid w:val="00E72A5A"/>
    <w:rsid w:val="00E73354"/>
    <w:rsid w:val="00E74329"/>
    <w:rsid w:val="00E74402"/>
    <w:rsid w:val="00E74BA3"/>
    <w:rsid w:val="00E75563"/>
    <w:rsid w:val="00E76BF9"/>
    <w:rsid w:val="00E76EFE"/>
    <w:rsid w:val="00E77314"/>
    <w:rsid w:val="00E8282E"/>
    <w:rsid w:val="00E82B93"/>
    <w:rsid w:val="00E82C06"/>
    <w:rsid w:val="00E8352D"/>
    <w:rsid w:val="00E851B2"/>
    <w:rsid w:val="00E8658C"/>
    <w:rsid w:val="00E868BA"/>
    <w:rsid w:val="00E86D74"/>
    <w:rsid w:val="00E87019"/>
    <w:rsid w:val="00E8758A"/>
    <w:rsid w:val="00E90697"/>
    <w:rsid w:val="00E908E4"/>
    <w:rsid w:val="00E90EFA"/>
    <w:rsid w:val="00E9134E"/>
    <w:rsid w:val="00E91395"/>
    <w:rsid w:val="00E91F42"/>
    <w:rsid w:val="00E9242D"/>
    <w:rsid w:val="00E92532"/>
    <w:rsid w:val="00E94195"/>
    <w:rsid w:val="00E946E9"/>
    <w:rsid w:val="00E947FC"/>
    <w:rsid w:val="00E94F87"/>
    <w:rsid w:val="00E9649C"/>
    <w:rsid w:val="00EA1473"/>
    <w:rsid w:val="00EA16C5"/>
    <w:rsid w:val="00EA1A4F"/>
    <w:rsid w:val="00EA299B"/>
    <w:rsid w:val="00EA2BD0"/>
    <w:rsid w:val="00EA2DE4"/>
    <w:rsid w:val="00EA48E8"/>
    <w:rsid w:val="00EA5E8F"/>
    <w:rsid w:val="00EA6D8C"/>
    <w:rsid w:val="00EA6FCD"/>
    <w:rsid w:val="00EA763F"/>
    <w:rsid w:val="00EA7750"/>
    <w:rsid w:val="00EB05A8"/>
    <w:rsid w:val="00EB08CD"/>
    <w:rsid w:val="00EB0C84"/>
    <w:rsid w:val="00EB0F3B"/>
    <w:rsid w:val="00EB2056"/>
    <w:rsid w:val="00EB2458"/>
    <w:rsid w:val="00EB27B7"/>
    <w:rsid w:val="00EB2BEA"/>
    <w:rsid w:val="00EB34B8"/>
    <w:rsid w:val="00EB3D67"/>
    <w:rsid w:val="00EB3EA2"/>
    <w:rsid w:val="00EB43DA"/>
    <w:rsid w:val="00EB4418"/>
    <w:rsid w:val="00EB4ADE"/>
    <w:rsid w:val="00EB5255"/>
    <w:rsid w:val="00EB548A"/>
    <w:rsid w:val="00EB5C47"/>
    <w:rsid w:val="00EB60A1"/>
    <w:rsid w:val="00EB69A5"/>
    <w:rsid w:val="00EC0444"/>
    <w:rsid w:val="00EC22B5"/>
    <w:rsid w:val="00EC35C4"/>
    <w:rsid w:val="00EC3689"/>
    <w:rsid w:val="00EC3880"/>
    <w:rsid w:val="00EC4966"/>
    <w:rsid w:val="00EC4A4F"/>
    <w:rsid w:val="00EC4AFE"/>
    <w:rsid w:val="00EC51E5"/>
    <w:rsid w:val="00EC58B3"/>
    <w:rsid w:val="00EC64CE"/>
    <w:rsid w:val="00EC7800"/>
    <w:rsid w:val="00ED020A"/>
    <w:rsid w:val="00ED0639"/>
    <w:rsid w:val="00ED183F"/>
    <w:rsid w:val="00ED1D9E"/>
    <w:rsid w:val="00ED230C"/>
    <w:rsid w:val="00ED3F5F"/>
    <w:rsid w:val="00ED4434"/>
    <w:rsid w:val="00ED4E34"/>
    <w:rsid w:val="00ED5214"/>
    <w:rsid w:val="00ED54D4"/>
    <w:rsid w:val="00ED5C20"/>
    <w:rsid w:val="00ED7FEC"/>
    <w:rsid w:val="00EE1A25"/>
    <w:rsid w:val="00EE2FFF"/>
    <w:rsid w:val="00EE3AC6"/>
    <w:rsid w:val="00EE45A6"/>
    <w:rsid w:val="00EE54AD"/>
    <w:rsid w:val="00EE5A99"/>
    <w:rsid w:val="00EE719D"/>
    <w:rsid w:val="00EE750F"/>
    <w:rsid w:val="00EE7895"/>
    <w:rsid w:val="00EF0373"/>
    <w:rsid w:val="00EF0BC2"/>
    <w:rsid w:val="00EF2BF5"/>
    <w:rsid w:val="00EF2DA7"/>
    <w:rsid w:val="00EF4755"/>
    <w:rsid w:val="00EF4CBF"/>
    <w:rsid w:val="00EF50EB"/>
    <w:rsid w:val="00EF6418"/>
    <w:rsid w:val="00EF6517"/>
    <w:rsid w:val="00EF6684"/>
    <w:rsid w:val="00EF69F5"/>
    <w:rsid w:val="00EF6C11"/>
    <w:rsid w:val="00EF7135"/>
    <w:rsid w:val="00EF799F"/>
    <w:rsid w:val="00F00EA9"/>
    <w:rsid w:val="00F0117E"/>
    <w:rsid w:val="00F01355"/>
    <w:rsid w:val="00F01507"/>
    <w:rsid w:val="00F027DB"/>
    <w:rsid w:val="00F02AC1"/>
    <w:rsid w:val="00F02E58"/>
    <w:rsid w:val="00F039BC"/>
    <w:rsid w:val="00F03A23"/>
    <w:rsid w:val="00F05251"/>
    <w:rsid w:val="00F05FA7"/>
    <w:rsid w:val="00F06B7B"/>
    <w:rsid w:val="00F108B9"/>
    <w:rsid w:val="00F10D84"/>
    <w:rsid w:val="00F11832"/>
    <w:rsid w:val="00F11EB6"/>
    <w:rsid w:val="00F11EF6"/>
    <w:rsid w:val="00F1456E"/>
    <w:rsid w:val="00F14A7A"/>
    <w:rsid w:val="00F14ECD"/>
    <w:rsid w:val="00F15E10"/>
    <w:rsid w:val="00F21233"/>
    <w:rsid w:val="00F21238"/>
    <w:rsid w:val="00F2154C"/>
    <w:rsid w:val="00F21B35"/>
    <w:rsid w:val="00F22423"/>
    <w:rsid w:val="00F22985"/>
    <w:rsid w:val="00F22F71"/>
    <w:rsid w:val="00F23079"/>
    <w:rsid w:val="00F2467B"/>
    <w:rsid w:val="00F25510"/>
    <w:rsid w:val="00F25D67"/>
    <w:rsid w:val="00F26919"/>
    <w:rsid w:val="00F3082B"/>
    <w:rsid w:val="00F31BEE"/>
    <w:rsid w:val="00F31C31"/>
    <w:rsid w:val="00F31DA0"/>
    <w:rsid w:val="00F334D1"/>
    <w:rsid w:val="00F3383E"/>
    <w:rsid w:val="00F33F29"/>
    <w:rsid w:val="00F3435B"/>
    <w:rsid w:val="00F374F5"/>
    <w:rsid w:val="00F376F2"/>
    <w:rsid w:val="00F376FA"/>
    <w:rsid w:val="00F37F2F"/>
    <w:rsid w:val="00F40721"/>
    <w:rsid w:val="00F40CFB"/>
    <w:rsid w:val="00F41D28"/>
    <w:rsid w:val="00F41D32"/>
    <w:rsid w:val="00F41E37"/>
    <w:rsid w:val="00F4283C"/>
    <w:rsid w:val="00F42D1C"/>
    <w:rsid w:val="00F43B2E"/>
    <w:rsid w:val="00F4410C"/>
    <w:rsid w:val="00F444E4"/>
    <w:rsid w:val="00F4452A"/>
    <w:rsid w:val="00F465A7"/>
    <w:rsid w:val="00F46700"/>
    <w:rsid w:val="00F470D8"/>
    <w:rsid w:val="00F47711"/>
    <w:rsid w:val="00F47E1C"/>
    <w:rsid w:val="00F47FFC"/>
    <w:rsid w:val="00F50B7C"/>
    <w:rsid w:val="00F51E76"/>
    <w:rsid w:val="00F51FD1"/>
    <w:rsid w:val="00F51FF2"/>
    <w:rsid w:val="00F5223C"/>
    <w:rsid w:val="00F52369"/>
    <w:rsid w:val="00F52937"/>
    <w:rsid w:val="00F53585"/>
    <w:rsid w:val="00F5379B"/>
    <w:rsid w:val="00F538E6"/>
    <w:rsid w:val="00F550E6"/>
    <w:rsid w:val="00F56284"/>
    <w:rsid w:val="00F5676A"/>
    <w:rsid w:val="00F570B0"/>
    <w:rsid w:val="00F60340"/>
    <w:rsid w:val="00F60E14"/>
    <w:rsid w:val="00F65A8D"/>
    <w:rsid w:val="00F65AAC"/>
    <w:rsid w:val="00F6607B"/>
    <w:rsid w:val="00F66477"/>
    <w:rsid w:val="00F66A0D"/>
    <w:rsid w:val="00F67982"/>
    <w:rsid w:val="00F701E3"/>
    <w:rsid w:val="00F70924"/>
    <w:rsid w:val="00F719DF"/>
    <w:rsid w:val="00F71A8F"/>
    <w:rsid w:val="00F7295E"/>
    <w:rsid w:val="00F72B47"/>
    <w:rsid w:val="00F73386"/>
    <w:rsid w:val="00F73D4C"/>
    <w:rsid w:val="00F73ED6"/>
    <w:rsid w:val="00F74345"/>
    <w:rsid w:val="00F743E6"/>
    <w:rsid w:val="00F745AD"/>
    <w:rsid w:val="00F74992"/>
    <w:rsid w:val="00F74CB3"/>
    <w:rsid w:val="00F758C2"/>
    <w:rsid w:val="00F75EA1"/>
    <w:rsid w:val="00F76A63"/>
    <w:rsid w:val="00F7710B"/>
    <w:rsid w:val="00F800FB"/>
    <w:rsid w:val="00F80A0A"/>
    <w:rsid w:val="00F81307"/>
    <w:rsid w:val="00F81DE1"/>
    <w:rsid w:val="00F81DF1"/>
    <w:rsid w:val="00F82280"/>
    <w:rsid w:val="00F82659"/>
    <w:rsid w:val="00F82AB6"/>
    <w:rsid w:val="00F82B19"/>
    <w:rsid w:val="00F82E33"/>
    <w:rsid w:val="00F8316D"/>
    <w:rsid w:val="00F84780"/>
    <w:rsid w:val="00F84821"/>
    <w:rsid w:val="00F86D13"/>
    <w:rsid w:val="00F877B1"/>
    <w:rsid w:val="00F87FC8"/>
    <w:rsid w:val="00F900F7"/>
    <w:rsid w:val="00F907D7"/>
    <w:rsid w:val="00F915E1"/>
    <w:rsid w:val="00F916F5"/>
    <w:rsid w:val="00F9212D"/>
    <w:rsid w:val="00F923F4"/>
    <w:rsid w:val="00F9369B"/>
    <w:rsid w:val="00F94604"/>
    <w:rsid w:val="00F952B2"/>
    <w:rsid w:val="00F95E3B"/>
    <w:rsid w:val="00F96172"/>
    <w:rsid w:val="00F965DA"/>
    <w:rsid w:val="00F96733"/>
    <w:rsid w:val="00F970A2"/>
    <w:rsid w:val="00F9764C"/>
    <w:rsid w:val="00F976B7"/>
    <w:rsid w:val="00FA03C7"/>
    <w:rsid w:val="00FA0415"/>
    <w:rsid w:val="00FA08F2"/>
    <w:rsid w:val="00FA0A0E"/>
    <w:rsid w:val="00FA100B"/>
    <w:rsid w:val="00FA131C"/>
    <w:rsid w:val="00FA244F"/>
    <w:rsid w:val="00FA2702"/>
    <w:rsid w:val="00FA2734"/>
    <w:rsid w:val="00FA2B4B"/>
    <w:rsid w:val="00FA31A6"/>
    <w:rsid w:val="00FA3A37"/>
    <w:rsid w:val="00FA406A"/>
    <w:rsid w:val="00FA43CF"/>
    <w:rsid w:val="00FA49C2"/>
    <w:rsid w:val="00FA6201"/>
    <w:rsid w:val="00FA7348"/>
    <w:rsid w:val="00FA7483"/>
    <w:rsid w:val="00FA7A0C"/>
    <w:rsid w:val="00FA7C95"/>
    <w:rsid w:val="00FB0397"/>
    <w:rsid w:val="00FB04D8"/>
    <w:rsid w:val="00FB04DF"/>
    <w:rsid w:val="00FB08FE"/>
    <w:rsid w:val="00FB1556"/>
    <w:rsid w:val="00FB3840"/>
    <w:rsid w:val="00FB3C0C"/>
    <w:rsid w:val="00FB4865"/>
    <w:rsid w:val="00FB503A"/>
    <w:rsid w:val="00FB516C"/>
    <w:rsid w:val="00FB53B9"/>
    <w:rsid w:val="00FB5676"/>
    <w:rsid w:val="00FB679D"/>
    <w:rsid w:val="00FC072F"/>
    <w:rsid w:val="00FC1F07"/>
    <w:rsid w:val="00FC2102"/>
    <w:rsid w:val="00FC2F16"/>
    <w:rsid w:val="00FC3FB6"/>
    <w:rsid w:val="00FC4301"/>
    <w:rsid w:val="00FC5BD9"/>
    <w:rsid w:val="00FC6FB7"/>
    <w:rsid w:val="00FC773C"/>
    <w:rsid w:val="00FC7839"/>
    <w:rsid w:val="00FC7ED0"/>
    <w:rsid w:val="00FD0236"/>
    <w:rsid w:val="00FD0CE3"/>
    <w:rsid w:val="00FD0F7B"/>
    <w:rsid w:val="00FD18F4"/>
    <w:rsid w:val="00FD2459"/>
    <w:rsid w:val="00FD2878"/>
    <w:rsid w:val="00FD36F7"/>
    <w:rsid w:val="00FD3AF1"/>
    <w:rsid w:val="00FD3B9E"/>
    <w:rsid w:val="00FD54DB"/>
    <w:rsid w:val="00FD563F"/>
    <w:rsid w:val="00FD619F"/>
    <w:rsid w:val="00FD7D54"/>
    <w:rsid w:val="00FD7E11"/>
    <w:rsid w:val="00FD7E19"/>
    <w:rsid w:val="00FE070B"/>
    <w:rsid w:val="00FE1B64"/>
    <w:rsid w:val="00FE2B2A"/>
    <w:rsid w:val="00FE33D4"/>
    <w:rsid w:val="00FE43B0"/>
    <w:rsid w:val="00FE4939"/>
    <w:rsid w:val="00FE5696"/>
    <w:rsid w:val="00FE58A5"/>
    <w:rsid w:val="00FE5B3D"/>
    <w:rsid w:val="00FE5D73"/>
    <w:rsid w:val="00FE69D1"/>
    <w:rsid w:val="00FF01D8"/>
    <w:rsid w:val="00FF155D"/>
    <w:rsid w:val="00FF258A"/>
    <w:rsid w:val="00FF3A08"/>
    <w:rsid w:val="00FF402B"/>
    <w:rsid w:val="00FF4096"/>
    <w:rsid w:val="00FF4202"/>
    <w:rsid w:val="00FF583A"/>
    <w:rsid w:val="00FF5AE0"/>
    <w:rsid w:val="00FF5E78"/>
    <w:rsid w:val="00FF6088"/>
    <w:rsid w:val="00FF72D1"/>
    <w:rsid w:val="00FF7CF9"/>
    <w:rsid w:val="01290F7E"/>
    <w:rsid w:val="012C10D6"/>
    <w:rsid w:val="01411E2B"/>
    <w:rsid w:val="015D1E09"/>
    <w:rsid w:val="017240DE"/>
    <w:rsid w:val="026567C4"/>
    <w:rsid w:val="02697903"/>
    <w:rsid w:val="026A3B24"/>
    <w:rsid w:val="02B8315F"/>
    <w:rsid w:val="02F96569"/>
    <w:rsid w:val="03517017"/>
    <w:rsid w:val="03610EB1"/>
    <w:rsid w:val="03727EA3"/>
    <w:rsid w:val="03EA7B21"/>
    <w:rsid w:val="04163446"/>
    <w:rsid w:val="04205325"/>
    <w:rsid w:val="0422493D"/>
    <w:rsid w:val="04426519"/>
    <w:rsid w:val="04477AA3"/>
    <w:rsid w:val="044B5AAE"/>
    <w:rsid w:val="044E0033"/>
    <w:rsid w:val="04545A9A"/>
    <w:rsid w:val="048760F2"/>
    <w:rsid w:val="049016FD"/>
    <w:rsid w:val="050042D0"/>
    <w:rsid w:val="05230547"/>
    <w:rsid w:val="056335EC"/>
    <w:rsid w:val="05816FE5"/>
    <w:rsid w:val="05F83EAE"/>
    <w:rsid w:val="063127B9"/>
    <w:rsid w:val="063E7D85"/>
    <w:rsid w:val="06E53F0F"/>
    <w:rsid w:val="06E664DB"/>
    <w:rsid w:val="06EC048E"/>
    <w:rsid w:val="07293586"/>
    <w:rsid w:val="07295285"/>
    <w:rsid w:val="072B4B05"/>
    <w:rsid w:val="07311CE6"/>
    <w:rsid w:val="073704F4"/>
    <w:rsid w:val="07414C7E"/>
    <w:rsid w:val="07531A99"/>
    <w:rsid w:val="07636392"/>
    <w:rsid w:val="07770C56"/>
    <w:rsid w:val="078A4616"/>
    <w:rsid w:val="07DB47E0"/>
    <w:rsid w:val="080D3DCE"/>
    <w:rsid w:val="084D2F85"/>
    <w:rsid w:val="086D1E3D"/>
    <w:rsid w:val="08D03089"/>
    <w:rsid w:val="092217DD"/>
    <w:rsid w:val="093A7294"/>
    <w:rsid w:val="0947237F"/>
    <w:rsid w:val="094A68E9"/>
    <w:rsid w:val="0A074EFF"/>
    <w:rsid w:val="0A263993"/>
    <w:rsid w:val="0A2D3AC2"/>
    <w:rsid w:val="0A6842D0"/>
    <w:rsid w:val="0A7D37E0"/>
    <w:rsid w:val="0A825573"/>
    <w:rsid w:val="0AA755DF"/>
    <w:rsid w:val="0AAE33F6"/>
    <w:rsid w:val="0AC0235E"/>
    <w:rsid w:val="0AC2463D"/>
    <w:rsid w:val="0AD33E3F"/>
    <w:rsid w:val="0B08732D"/>
    <w:rsid w:val="0B120D44"/>
    <w:rsid w:val="0B242C42"/>
    <w:rsid w:val="0B3A71C5"/>
    <w:rsid w:val="0B6318D3"/>
    <w:rsid w:val="0BAA1044"/>
    <w:rsid w:val="0BD27BF6"/>
    <w:rsid w:val="0C01780F"/>
    <w:rsid w:val="0C045EC2"/>
    <w:rsid w:val="0C3B3C7D"/>
    <w:rsid w:val="0C6A7168"/>
    <w:rsid w:val="0C852478"/>
    <w:rsid w:val="0C9615C8"/>
    <w:rsid w:val="0C9A4318"/>
    <w:rsid w:val="0CAB2EAE"/>
    <w:rsid w:val="0CC872A8"/>
    <w:rsid w:val="0D1F3E2B"/>
    <w:rsid w:val="0D364C5B"/>
    <w:rsid w:val="0D42705A"/>
    <w:rsid w:val="0D621C7D"/>
    <w:rsid w:val="0D6A330B"/>
    <w:rsid w:val="0D725B91"/>
    <w:rsid w:val="0D7A4184"/>
    <w:rsid w:val="0D7B2EA8"/>
    <w:rsid w:val="0D897FED"/>
    <w:rsid w:val="0D915A82"/>
    <w:rsid w:val="0DA80DD8"/>
    <w:rsid w:val="0DF81C23"/>
    <w:rsid w:val="0E0903C3"/>
    <w:rsid w:val="0E413AD3"/>
    <w:rsid w:val="0E73034D"/>
    <w:rsid w:val="0E80283A"/>
    <w:rsid w:val="0EEE7DD3"/>
    <w:rsid w:val="0EFC1B2D"/>
    <w:rsid w:val="0F010D47"/>
    <w:rsid w:val="0F13775A"/>
    <w:rsid w:val="0F1513C1"/>
    <w:rsid w:val="0F1F2C3A"/>
    <w:rsid w:val="0F2D1DFB"/>
    <w:rsid w:val="0F564903"/>
    <w:rsid w:val="0F5F45FE"/>
    <w:rsid w:val="0F862FA7"/>
    <w:rsid w:val="0F9A112B"/>
    <w:rsid w:val="0FD03043"/>
    <w:rsid w:val="0FFE6303"/>
    <w:rsid w:val="1066222F"/>
    <w:rsid w:val="106D2F64"/>
    <w:rsid w:val="10B63710"/>
    <w:rsid w:val="10F10820"/>
    <w:rsid w:val="110E1B22"/>
    <w:rsid w:val="111C2F7A"/>
    <w:rsid w:val="113250C1"/>
    <w:rsid w:val="11435F91"/>
    <w:rsid w:val="11665CA1"/>
    <w:rsid w:val="11937C23"/>
    <w:rsid w:val="11C73FD2"/>
    <w:rsid w:val="11DA5AB3"/>
    <w:rsid w:val="120641F4"/>
    <w:rsid w:val="120F5B71"/>
    <w:rsid w:val="12CA3D79"/>
    <w:rsid w:val="13266498"/>
    <w:rsid w:val="137C23AC"/>
    <w:rsid w:val="13951726"/>
    <w:rsid w:val="139F7558"/>
    <w:rsid w:val="13BA052A"/>
    <w:rsid w:val="13CF7CEB"/>
    <w:rsid w:val="13F96E45"/>
    <w:rsid w:val="13FC3FFD"/>
    <w:rsid w:val="14396509"/>
    <w:rsid w:val="1461384E"/>
    <w:rsid w:val="147C0B04"/>
    <w:rsid w:val="14877683"/>
    <w:rsid w:val="149A59CD"/>
    <w:rsid w:val="14DD2C3C"/>
    <w:rsid w:val="15311B23"/>
    <w:rsid w:val="154317A4"/>
    <w:rsid w:val="154B789F"/>
    <w:rsid w:val="154D785D"/>
    <w:rsid w:val="15994E20"/>
    <w:rsid w:val="15C50665"/>
    <w:rsid w:val="15D638D6"/>
    <w:rsid w:val="16087E1D"/>
    <w:rsid w:val="164C2CF7"/>
    <w:rsid w:val="16544968"/>
    <w:rsid w:val="166E0EC0"/>
    <w:rsid w:val="16A42992"/>
    <w:rsid w:val="173D3EAD"/>
    <w:rsid w:val="17701D14"/>
    <w:rsid w:val="17735226"/>
    <w:rsid w:val="17FC00E0"/>
    <w:rsid w:val="17FD55BF"/>
    <w:rsid w:val="17FE54B8"/>
    <w:rsid w:val="18013B63"/>
    <w:rsid w:val="18020164"/>
    <w:rsid w:val="182A7068"/>
    <w:rsid w:val="18321614"/>
    <w:rsid w:val="1833718C"/>
    <w:rsid w:val="18600801"/>
    <w:rsid w:val="189F624C"/>
    <w:rsid w:val="18BC23B6"/>
    <w:rsid w:val="18C84B6A"/>
    <w:rsid w:val="18DA390A"/>
    <w:rsid w:val="197A7934"/>
    <w:rsid w:val="19CE0BFB"/>
    <w:rsid w:val="1A0A679E"/>
    <w:rsid w:val="1A1C66C0"/>
    <w:rsid w:val="1A42393B"/>
    <w:rsid w:val="1A6913F1"/>
    <w:rsid w:val="1A907DB2"/>
    <w:rsid w:val="1A9C249F"/>
    <w:rsid w:val="1AAD45DE"/>
    <w:rsid w:val="1AC94F5A"/>
    <w:rsid w:val="1AD046EC"/>
    <w:rsid w:val="1AD339E7"/>
    <w:rsid w:val="1AD72F78"/>
    <w:rsid w:val="1B046F80"/>
    <w:rsid w:val="1B1535EF"/>
    <w:rsid w:val="1B3267B5"/>
    <w:rsid w:val="1B40161D"/>
    <w:rsid w:val="1B430B6D"/>
    <w:rsid w:val="1B441859"/>
    <w:rsid w:val="1B6606B1"/>
    <w:rsid w:val="1B79633D"/>
    <w:rsid w:val="1B8723F7"/>
    <w:rsid w:val="1BB651C4"/>
    <w:rsid w:val="1BC75CA6"/>
    <w:rsid w:val="1C1918CE"/>
    <w:rsid w:val="1C3D60E3"/>
    <w:rsid w:val="1C5E7925"/>
    <w:rsid w:val="1C6D0EB1"/>
    <w:rsid w:val="1C795325"/>
    <w:rsid w:val="1CC57360"/>
    <w:rsid w:val="1CFD070F"/>
    <w:rsid w:val="1D0A1A08"/>
    <w:rsid w:val="1D5F6196"/>
    <w:rsid w:val="1D6132A5"/>
    <w:rsid w:val="1D8E56D5"/>
    <w:rsid w:val="1DD55435"/>
    <w:rsid w:val="1DE75F4B"/>
    <w:rsid w:val="1DF00D9B"/>
    <w:rsid w:val="1E6724F6"/>
    <w:rsid w:val="1E7A43DA"/>
    <w:rsid w:val="1F0D5208"/>
    <w:rsid w:val="1F2220E7"/>
    <w:rsid w:val="1F2C2D5F"/>
    <w:rsid w:val="1F396D0A"/>
    <w:rsid w:val="1F5C3FAB"/>
    <w:rsid w:val="1FA11899"/>
    <w:rsid w:val="1FE7539E"/>
    <w:rsid w:val="203A025B"/>
    <w:rsid w:val="20407DDC"/>
    <w:rsid w:val="2052653F"/>
    <w:rsid w:val="20671BE0"/>
    <w:rsid w:val="20963CB8"/>
    <w:rsid w:val="20A81A1B"/>
    <w:rsid w:val="20B07FB6"/>
    <w:rsid w:val="20B646FB"/>
    <w:rsid w:val="20CA2659"/>
    <w:rsid w:val="21105C5F"/>
    <w:rsid w:val="212B0B56"/>
    <w:rsid w:val="21321251"/>
    <w:rsid w:val="213B74B1"/>
    <w:rsid w:val="215A2310"/>
    <w:rsid w:val="216D06F2"/>
    <w:rsid w:val="21995E95"/>
    <w:rsid w:val="21AD41AE"/>
    <w:rsid w:val="21D06ED2"/>
    <w:rsid w:val="21DE318A"/>
    <w:rsid w:val="21EF5B80"/>
    <w:rsid w:val="22576990"/>
    <w:rsid w:val="226F345D"/>
    <w:rsid w:val="228376FE"/>
    <w:rsid w:val="229677D4"/>
    <w:rsid w:val="22CB0130"/>
    <w:rsid w:val="22F47480"/>
    <w:rsid w:val="22FE3711"/>
    <w:rsid w:val="23226498"/>
    <w:rsid w:val="23AC3027"/>
    <w:rsid w:val="23B4350B"/>
    <w:rsid w:val="23DE1C48"/>
    <w:rsid w:val="23DF414B"/>
    <w:rsid w:val="240210CD"/>
    <w:rsid w:val="242B740A"/>
    <w:rsid w:val="244C3E3F"/>
    <w:rsid w:val="24870F92"/>
    <w:rsid w:val="24B15883"/>
    <w:rsid w:val="24B47950"/>
    <w:rsid w:val="24BF09F7"/>
    <w:rsid w:val="252D53FE"/>
    <w:rsid w:val="25423C43"/>
    <w:rsid w:val="254C0545"/>
    <w:rsid w:val="25A31066"/>
    <w:rsid w:val="25EC2D81"/>
    <w:rsid w:val="26173D38"/>
    <w:rsid w:val="26633785"/>
    <w:rsid w:val="2673053B"/>
    <w:rsid w:val="26CB67C3"/>
    <w:rsid w:val="272D00C3"/>
    <w:rsid w:val="27383550"/>
    <w:rsid w:val="274E645E"/>
    <w:rsid w:val="277057A2"/>
    <w:rsid w:val="27EC4F9E"/>
    <w:rsid w:val="2869172C"/>
    <w:rsid w:val="28AF635F"/>
    <w:rsid w:val="28DB77FE"/>
    <w:rsid w:val="28F60481"/>
    <w:rsid w:val="29206EB8"/>
    <w:rsid w:val="293C4A88"/>
    <w:rsid w:val="29412E83"/>
    <w:rsid w:val="295221B8"/>
    <w:rsid w:val="29595666"/>
    <w:rsid w:val="29874881"/>
    <w:rsid w:val="29A875D7"/>
    <w:rsid w:val="29BF7AE2"/>
    <w:rsid w:val="29C851F4"/>
    <w:rsid w:val="29E325E0"/>
    <w:rsid w:val="29EC46A5"/>
    <w:rsid w:val="29F8372F"/>
    <w:rsid w:val="2A452503"/>
    <w:rsid w:val="2A7E3F8D"/>
    <w:rsid w:val="2B1A3661"/>
    <w:rsid w:val="2B1D2A3B"/>
    <w:rsid w:val="2B266E16"/>
    <w:rsid w:val="2B40750B"/>
    <w:rsid w:val="2B44035D"/>
    <w:rsid w:val="2B950E55"/>
    <w:rsid w:val="2BA93147"/>
    <w:rsid w:val="2BA936A8"/>
    <w:rsid w:val="2BB47FE6"/>
    <w:rsid w:val="2BCF4364"/>
    <w:rsid w:val="2C0F4050"/>
    <w:rsid w:val="2C315A5A"/>
    <w:rsid w:val="2C4B1C25"/>
    <w:rsid w:val="2C802E20"/>
    <w:rsid w:val="2CA70830"/>
    <w:rsid w:val="2CDB226B"/>
    <w:rsid w:val="2CFB7349"/>
    <w:rsid w:val="2D273314"/>
    <w:rsid w:val="2D3B6F66"/>
    <w:rsid w:val="2D5040B3"/>
    <w:rsid w:val="2D741AAD"/>
    <w:rsid w:val="2D990AC0"/>
    <w:rsid w:val="2D9E56F5"/>
    <w:rsid w:val="2DA855FF"/>
    <w:rsid w:val="2E06463C"/>
    <w:rsid w:val="2E300E13"/>
    <w:rsid w:val="2E392645"/>
    <w:rsid w:val="2E667F96"/>
    <w:rsid w:val="2E6D0927"/>
    <w:rsid w:val="2E782484"/>
    <w:rsid w:val="2E8226AB"/>
    <w:rsid w:val="2E9112EE"/>
    <w:rsid w:val="2E9372BE"/>
    <w:rsid w:val="2E976DAE"/>
    <w:rsid w:val="2EBD1780"/>
    <w:rsid w:val="2F0E2621"/>
    <w:rsid w:val="2F110144"/>
    <w:rsid w:val="2F13589D"/>
    <w:rsid w:val="2F1C5505"/>
    <w:rsid w:val="2F3A59CE"/>
    <w:rsid w:val="2F695D77"/>
    <w:rsid w:val="2FD065E6"/>
    <w:rsid w:val="2FD96870"/>
    <w:rsid w:val="2FF834E4"/>
    <w:rsid w:val="30030E4B"/>
    <w:rsid w:val="30177F4B"/>
    <w:rsid w:val="302146A1"/>
    <w:rsid w:val="3021733D"/>
    <w:rsid w:val="305468E9"/>
    <w:rsid w:val="30580BC9"/>
    <w:rsid w:val="3074390C"/>
    <w:rsid w:val="30A02958"/>
    <w:rsid w:val="30B8125D"/>
    <w:rsid w:val="30DD7B6B"/>
    <w:rsid w:val="30F1096D"/>
    <w:rsid w:val="311E2ED7"/>
    <w:rsid w:val="31265A5D"/>
    <w:rsid w:val="313E104B"/>
    <w:rsid w:val="314825E1"/>
    <w:rsid w:val="315619EE"/>
    <w:rsid w:val="315A40C3"/>
    <w:rsid w:val="315C449C"/>
    <w:rsid w:val="315F5C65"/>
    <w:rsid w:val="31670AD1"/>
    <w:rsid w:val="31707229"/>
    <w:rsid w:val="31864898"/>
    <w:rsid w:val="31B82709"/>
    <w:rsid w:val="31CD3B41"/>
    <w:rsid w:val="31D05482"/>
    <w:rsid w:val="31F2344A"/>
    <w:rsid w:val="322651DF"/>
    <w:rsid w:val="32400B34"/>
    <w:rsid w:val="32532259"/>
    <w:rsid w:val="32713A78"/>
    <w:rsid w:val="329E6876"/>
    <w:rsid w:val="32D4123E"/>
    <w:rsid w:val="32E21C8D"/>
    <w:rsid w:val="32ED3882"/>
    <w:rsid w:val="333015F2"/>
    <w:rsid w:val="333158B1"/>
    <w:rsid w:val="33397B13"/>
    <w:rsid w:val="334B6320"/>
    <w:rsid w:val="335339F6"/>
    <w:rsid w:val="336C1C34"/>
    <w:rsid w:val="33D934D4"/>
    <w:rsid w:val="33FE2F6A"/>
    <w:rsid w:val="340E07E5"/>
    <w:rsid w:val="341D6DB8"/>
    <w:rsid w:val="34235BF7"/>
    <w:rsid w:val="34B3397D"/>
    <w:rsid w:val="34E645EB"/>
    <w:rsid w:val="358C5FA8"/>
    <w:rsid w:val="35956011"/>
    <w:rsid w:val="35C15DF1"/>
    <w:rsid w:val="36074A7F"/>
    <w:rsid w:val="360A29A0"/>
    <w:rsid w:val="3639699D"/>
    <w:rsid w:val="364B1012"/>
    <w:rsid w:val="365C5588"/>
    <w:rsid w:val="36923549"/>
    <w:rsid w:val="36B75FBF"/>
    <w:rsid w:val="36BD0C45"/>
    <w:rsid w:val="36C01346"/>
    <w:rsid w:val="36D450CA"/>
    <w:rsid w:val="37425394"/>
    <w:rsid w:val="37682466"/>
    <w:rsid w:val="37721F02"/>
    <w:rsid w:val="37B06641"/>
    <w:rsid w:val="37E00298"/>
    <w:rsid w:val="37FE39FA"/>
    <w:rsid w:val="38037E49"/>
    <w:rsid w:val="384C2197"/>
    <w:rsid w:val="3860725C"/>
    <w:rsid w:val="388A34DF"/>
    <w:rsid w:val="38B302F9"/>
    <w:rsid w:val="38C5276A"/>
    <w:rsid w:val="38CC1D4A"/>
    <w:rsid w:val="38F12CD3"/>
    <w:rsid w:val="38F94775"/>
    <w:rsid w:val="390732FE"/>
    <w:rsid w:val="392971ED"/>
    <w:rsid w:val="39325651"/>
    <w:rsid w:val="39365100"/>
    <w:rsid w:val="39496B0D"/>
    <w:rsid w:val="397E6F3C"/>
    <w:rsid w:val="39837E38"/>
    <w:rsid w:val="39D867C0"/>
    <w:rsid w:val="3A33056F"/>
    <w:rsid w:val="3A397BC5"/>
    <w:rsid w:val="3A606BEE"/>
    <w:rsid w:val="3A746FA8"/>
    <w:rsid w:val="3A872856"/>
    <w:rsid w:val="3B0137F7"/>
    <w:rsid w:val="3B3763D1"/>
    <w:rsid w:val="3B3D3E34"/>
    <w:rsid w:val="3BCA7312"/>
    <w:rsid w:val="3C2F6E1E"/>
    <w:rsid w:val="3C496B9D"/>
    <w:rsid w:val="3C4F64BA"/>
    <w:rsid w:val="3C797AF3"/>
    <w:rsid w:val="3C8473A0"/>
    <w:rsid w:val="3C8524BC"/>
    <w:rsid w:val="3C854D9A"/>
    <w:rsid w:val="3CA574FC"/>
    <w:rsid w:val="3CC50F8A"/>
    <w:rsid w:val="3CDA245A"/>
    <w:rsid w:val="3CF576B7"/>
    <w:rsid w:val="3D1E06B7"/>
    <w:rsid w:val="3D6562C9"/>
    <w:rsid w:val="3D7D3B8B"/>
    <w:rsid w:val="3D7F55DD"/>
    <w:rsid w:val="3DFB2C73"/>
    <w:rsid w:val="3E35213F"/>
    <w:rsid w:val="3E3C7A7A"/>
    <w:rsid w:val="3E6807DB"/>
    <w:rsid w:val="3E78202C"/>
    <w:rsid w:val="3E88226F"/>
    <w:rsid w:val="3EBE570F"/>
    <w:rsid w:val="3EC36946"/>
    <w:rsid w:val="3EDA0523"/>
    <w:rsid w:val="3F607DBF"/>
    <w:rsid w:val="3F6B2C83"/>
    <w:rsid w:val="3F722404"/>
    <w:rsid w:val="3FF43934"/>
    <w:rsid w:val="40010CD5"/>
    <w:rsid w:val="40072338"/>
    <w:rsid w:val="40136A43"/>
    <w:rsid w:val="401C5365"/>
    <w:rsid w:val="406323E3"/>
    <w:rsid w:val="407A6407"/>
    <w:rsid w:val="40B84E9E"/>
    <w:rsid w:val="40E402C7"/>
    <w:rsid w:val="4100432A"/>
    <w:rsid w:val="419404BA"/>
    <w:rsid w:val="4200449D"/>
    <w:rsid w:val="42152BDB"/>
    <w:rsid w:val="421D2C5C"/>
    <w:rsid w:val="423A3BCC"/>
    <w:rsid w:val="4243581E"/>
    <w:rsid w:val="424E57D2"/>
    <w:rsid w:val="42B26C49"/>
    <w:rsid w:val="42BB7D6F"/>
    <w:rsid w:val="433A6FE6"/>
    <w:rsid w:val="43480868"/>
    <w:rsid w:val="434902B9"/>
    <w:rsid w:val="4350713C"/>
    <w:rsid w:val="435F5F63"/>
    <w:rsid w:val="436653E0"/>
    <w:rsid w:val="43AF701F"/>
    <w:rsid w:val="43C4431A"/>
    <w:rsid w:val="43C617C0"/>
    <w:rsid w:val="43CC2BFE"/>
    <w:rsid w:val="43DD0D8B"/>
    <w:rsid w:val="43EE2E53"/>
    <w:rsid w:val="44022AC4"/>
    <w:rsid w:val="44110684"/>
    <w:rsid w:val="44213B1D"/>
    <w:rsid w:val="445C0E0C"/>
    <w:rsid w:val="44817C72"/>
    <w:rsid w:val="44B951CC"/>
    <w:rsid w:val="44CD14E0"/>
    <w:rsid w:val="44E56DEC"/>
    <w:rsid w:val="44E64193"/>
    <w:rsid w:val="44F20B0B"/>
    <w:rsid w:val="450562E2"/>
    <w:rsid w:val="451B2B59"/>
    <w:rsid w:val="451B4AC6"/>
    <w:rsid w:val="452E5F4C"/>
    <w:rsid w:val="45612018"/>
    <w:rsid w:val="457E42D4"/>
    <w:rsid w:val="458946E9"/>
    <w:rsid w:val="4596420E"/>
    <w:rsid w:val="45A47C0E"/>
    <w:rsid w:val="45DE503A"/>
    <w:rsid w:val="45ED2A7F"/>
    <w:rsid w:val="46061A74"/>
    <w:rsid w:val="462211FB"/>
    <w:rsid w:val="46577FD6"/>
    <w:rsid w:val="465B00AE"/>
    <w:rsid w:val="46655AB3"/>
    <w:rsid w:val="46893028"/>
    <w:rsid w:val="46935CF7"/>
    <w:rsid w:val="46971F46"/>
    <w:rsid w:val="46D955A7"/>
    <w:rsid w:val="47133957"/>
    <w:rsid w:val="474F20E3"/>
    <w:rsid w:val="4787337A"/>
    <w:rsid w:val="47A07E0C"/>
    <w:rsid w:val="47FC1079"/>
    <w:rsid w:val="48651873"/>
    <w:rsid w:val="48671147"/>
    <w:rsid w:val="4870272E"/>
    <w:rsid w:val="48EF027E"/>
    <w:rsid w:val="48F33425"/>
    <w:rsid w:val="48FA5EC1"/>
    <w:rsid w:val="48FC3F85"/>
    <w:rsid w:val="48FE5CE3"/>
    <w:rsid w:val="49202979"/>
    <w:rsid w:val="494C0049"/>
    <w:rsid w:val="495378C0"/>
    <w:rsid w:val="49800082"/>
    <w:rsid w:val="49950C50"/>
    <w:rsid w:val="49DC7715"/>
    <w:rsid w:val="4A023139"/>
    <w:rsid w:val="4A146B43"/>
    <w:rsid w:val="4A6577E2"/>
    <w:rsid w:val="4A6D08C6"/>
    <w:rsid w:val="4A7B576F"/>
    <w:rsid w:val="4AB07D73"/>
    <w:rsid w:val="4AF561A9"/>
    <w:rsid w:val="4AF622C6"/>
    <w:rsid w:val="4B2F1206"/>
    <w:rsid w:val="4B33399D"/>
    <w:rsid w:val="4B977F95"/>
    <w:rsid w:val="4B98099B"/>
    <w:rsid w:val="4BCA4218"/>
    <w:rsid w:val="4BD73B3D"/>
    <w:rsid w:val="4BF83E68"/>
    <w:rsid w:val="4C154B32"/>
    <w:rsid w:val="4C183B62"/>
    <w:rsid w:val="4C2100B9"/>
    <w:rsid w:val="4C261319"/>
    <w:rsid w:val="4C4A0649"/>
    <w:rsid w:val="4C567E51"/>
    <w:rsid w:val="4C7E5ECA"/>
    <w:rsid w:val="4C876AA5"/>
    <w:rsid w:val="4C933CE2"/>
    <w:rsid w:val="4C9F5100"/>
    <w:rsid w:val="4CEA5CFA"/>
    <w:rsid w:val="4CEF13C6"/>
    <w:rsid w:val="4D0E00FB"/>
    <w:rsid w:val="4D176606"/>
    <w:rsid w:val="4D2A51B8"/>
    <w:rsid w:val="4D4D0294"/>
    <w:rsid w:val="4D810EFD"/>
    <w:rsid w:val="4D961A6E"/>
    <w:rsid w:val="4DBC1145"/>
    <w:rsid w:val="4DEC4FB0"/>
    <w:rsid w:val="4E0036EF"/>
    <w:rsid w:val="4E075D8A"/>
    <w:rsid w:val="4E140649"/>
    <w:rsid w:val="4E2B0201"/>
    <w:rsid w:val="4E3440DB"/>
    <w:rsid w:val="4E3A6D70"/>
    <w:rsid w:val="4E58445C"/>
    <w:rsid w:val="4E7B61E2"/>
    <w:rsid w:val="4E930FA3"/>
    <w:rsid w:val="4EC00FAD"/>
    <w:rsid w:val="4F22401A"/>
    <w:rsid w:val="4F9843DC"/>
    <w:rsid w:val="4FC62A8C"/>
    <w:rsid w:val="4FE20F0D"/>
    <w:rsid w:val="4FE51552"/>
    <w:rsid w:val="50161E53"/>
    <w:rsid w:val="50173D73"/>
    <w:rsid w:val="503857A3"/>
    <w:rsid w:val="50445253"/>
    <w:rsid w:val="50504C4B"/>
    <w:rsid w:val="50567811"/>
    <w:rsid w:val="505A2E38"/>
    <w:rsid w:val="506B379F"/>
    <w:rsid w:val="50884351"/>
    <w:rsid w:val="50901457"/>
    <w:rsid w:val="509C6E7C"/>
    <w:rsid w:val="50C11611"/>
    <w:rsid w:val="50C14393"/>
    <w:rsid w:val="50D27472"/>
    <w:rsid w:val="50F746EC"/>
    <w:rsid w:val="513B6B8E"/>
    <w:rsid w:val="513F3765"/>
    <w:rsid w:val="5162104E"/>
    <w:rsid w:val="51622F3B"/>
    <w:rsid w:val="516A79E7"/>
    <w:rsid w:val="51757812"/>
    <w:rsid w:val="51AC3367"/>
    <w:rsid w:val="51CC0AC9"/>
    <w:rsid w:val="528409A0"/>
    <w:rsid w:val="52DB4A51"/>
    <w:rsid w:val="52ED32BE"/>
    <w:rsid w:val="530D5AA0"/>
    <w:rsid w:val="53203500"/>
    <w:rsid w:val="53415703"/>
    <w:rsid w:val="53545E36"/>
    <w:rsid w:val="53A039CC"/>
    <w:rsid w:val="53A1236A"/>
    <w:rsid w:val="53A1505A"/>
    <w:rsid w:val="53A95CCF"/>
    <w:rsid w:val="53EC0B33"/>
    <w:rsid w:val="54063E08"/>
    <w:rsid w:val="541F2369"/>
    <w:rsid w:val="543437E8"/>
    <w:rsid w:val="5435537F"/>
    <w:rsid w:val="543F404F"/>
    <w:rsid w:val="546F63B0"/>
    <w:rsid w:val="54F73313"/>
    <w:rsid w:val="54F80955"/>
    <w:rsid w:val="555170A7"/>
    <w:rsid w:val="5558539B"/>
    <w:rsid w:val="5587536D"/>
    <w:rsid w:val="559B174B"/>
    <w:rsid w:val="55A418EA"/>
    <w:rsid w:val="55CE0CF4"/>
    <w:rsid w:val="55CF4016"/>
    <w:rsid w:val="56187F25"/>
    <w:rsid w:val="56406AC6"/>
    <w:rsid w:val="5642045E"/>
    <w:rsid w:val="566303E3"/>
    <w:rsid w:val="567B753E"/>
    <w:rsid w:val="56B22A9C"/>
    <w:rsid w:val="56B44282"/>
    <w:rsid w:val="56F44C5E"/>
    <w:rsid w:val="571E6CBB"/>
    <w:rsid w:val="57277BC6"/>
    <w:rsid w:val="575D550F"/>
    <w:rsid w:val="576B538C"/>
    <w:rsid w:val="578B3C16"/>
    <w:rsid w:val="57916637"/>
    <w:rsid w:val="57B72A76"/>
    <w:rsid w:val="57C3426C"/>
    <w:rsid w:val="57CE1F93"/>
    <w:rsid w:val="580A39DC"/>
    <w:rsid w:val="58810003"/>
    <w:rsid w:val="588743D1"/>
    <w:rsid w:val="5887701A"/>
    <w:rsid w:val="5897773D"/>
    <w:rsid w:val="58C671C5"/>
    <w:rsid w:val="58F9117B"/>
    <w:rsid w:val="58FD3A2D"/>
    <w:rsid w:val="58FE1654"/>
    <w:rsid w:val="590B63A6"/>
    <w:rsid w:val="5939298A"/>
    <w:rsid w:val="59735317"/>
    <w:rsid w:val="59A0573E"/>
    <w:rsid w:val="59AE48EF"/>
    <w:rsid w:val="59C0439F"/>
    <w:rsid w:val="59C42A12"/>
    <w:rsid w:val="59C6357A"/>
    <w:rsid w:val="59E20756"/>
    <w:rsid w:val="5A090A74"/>
    <w:rsid w:val="5A620AF5"/>
    <w:rsid w:val="5A6669C0"/>
    <w:rsid w:val="5A8524F4"/>
    <w:rsid w:val="5A8A1E59"/>
    <w:rsid w:val="5A8B5169"/>
    <w:rsid w:val="5AAF2780"/>
    <w:rsid w:val="5ABE2233"/>
    <w:rsid w:val="5AC166F6"/>
    <w:rsid w:val="5AFC7278"/>
    <w:rsid w:val="5BB643D9"/>
    <w:rsid w:val="5BC03DB8"/>
    <w:rsid w:val="5BDB7A2A"/>
    <w:rsid w:val="5BDF5D95"/>
    <w:rsid w:val="5BFE7528"/>
    <w:rsid w:val="5C0A3C9E"/>
    <w:rsid w:val="5C124875"/>
    <w:rsid w:val="5C2742D2"/>
    <w:rsid w:val="5C344F2A"/>
    <w:rsid w:val="5C381321"/>
    <w:rsid w:val="5CB5457D"/>
    <w:rsid w:val="5CF3349A"/>
    <w:rsid w:val="5CF51E07"/>
    <w:rsid w:val="5D3C3887"/>
    <w:rsid w:val="5D474E74"/>
    <w:rsid w:val="5D665D1E"/>
    <w:rsid w:val="5D944364"/>
    <w:rsid w:val="5D9E54A2"/>
    <w:rsid w:val="5DA8656C"/>
    <w:rsid w:val="5DB921A4"/>
    <w:rsid w:val="5E0E748F"/>
    <w:rsid w:val="5E2467F1"/>
    <w:rsid w:val="5E37333F"/>
    <w:rsid w:val="5EB27E87"/>
    <w:rsid w:val="5F1A2B43"/>
    <w:rsid w:val="5F294F51"/>
    <w:rsid w:val="5F4D51E9"/>
    <w:rsid w:val="5FB837BB"/>
    <w:rsid w:val="60095BCB"/>
    <w:rsid w:val="60553080"/>
    <w:rsid w:val="60CC405A"/>
    <w:rsid w:val="60E5173F"/>
    <w:rsid w:val="60EE7BD6"/>
    <w:rsid w:val="612C6632"/>
    <w:rsid w:val="61E215D8"/>
    <w:rsid w:val="61FF6FA9"/>
    <w:rsid w:val="62035B1C"/>
    <w:rsid w:val="62195750"/>
    <w:rsid w:val="621B3775"/>
    <w:rsid w:val="621B6C85"/>
    <w:rsid w:val="62364782"/>
    <w:rsid w:val="62386574"/>
    <w:rsid w:val="62724C2C"/>
    <w:rsid w:val="62921378"/>
    <w:rsid w:val="63486F0A"/>
    <w:rsid w:val="6394356A"/>
    <w:rsid w:val="639C0F5A"/>
    <w:rsid w:val="63A61A51"/>
    <w:rsid w:val="63C61B2C"/>
    <w:rsid w:val="63D40BE9"/>
    <w:rsid w:val="63FA64DC"/>
    <w:rsid w:val="640C5837"/>
    <w:rsid w:val="64102431"/>
    <w:rsid w:val="64334D4D"/>
    <w:rsid w:val="644D7933"/>
    <w:rsid w:val="64A5243A"/>
    <w:rsid w:val="64D54C84"/>
    <w:rsid w:val="64F20AB7"/>
    <w:rsid w:val="64F531DE"/>
    <w:rsid w:val="65105276"/>
    <w:rsid w:val="651B358E"/>
    <w:rsid w:val="65354F84"/>
    <w:rsid w:val="65373578"/>
    <w:rsid w:val="65A31582"/>
    <w:rsid w:val="65E2622D"/>
    <w:rsid w:val="65EE3BED"/>
    <w:rsid w:val="65EF13E7"/>
    <w:rsid w:val="65F7371A"/>
    <w:rsid w:val="66011E3A"/>
    <w:rsid w:val="66442705"/>
    <w:rsid w:val="665F7D70"/>
    <w:rsid w:val="66C550DF"/>
    <w:rsid w:val="66E5118A"/>
    <w:rsid w:val="670C5C69"/>
    <w:rsid w:val="671F124A"/>
    <w:rsid w:val="675E59B4"/>
    <w:rsid w:val="676A0181"/>
    <w:rsid w:val="67785FA5"/>
    <w:rsid w:val="677A33C6"/>
    <w:rsid w:val="67A2160A"/>
    <w:rsid w:val="67FC517C"/>
    <w:rsid w:val="67FE54AB"/>
    <w:rsid w:val="68194734"/>
    <w:rsid w:val="681F6961"/>
    <w:rsid w:val="68610A2F"/>
    <w:rsid w:val="68805514"/>
    <w:rsid w:val="6892543F"/>
    <w:rsid w:val="68BB30BE"/>
    <w:rsid w:val="68F52239"/>
    <w:rsid w:val="69316E2F"/>
    <w:rsid w:val="694E2071"/>
    <w:rsid w:val="69766163"/>
    <w:rsid w:val="6977022E"/>
    <w:rsid w:val="697A3B33"/>
    <w:rsid w:val="6989164B"/>
    <w:rsid w:val="699420A9"/>
    <w:rsid w:val="699658D9"/>
    <w:rsid w:val="69D44760"/>
    <w:rsid w:val="69D87306"/>
    <w:rsid w:val="69E87C33"/>
    <w:rsid w:val="69FE6FCF"/>
    <w:rsid w:val="6A520EC7"/>
    <w:rsid w:val="6A662AEC"/>
    <w:rsid w:val="6A6E5AE8"/>
    <w:rsid w:val="6A875FB8"/>
    <w:rsid w:val="6A984408"/>
    <w:rsid w:val="6A9D644E"/>
    <w:rsid w:val="6AD40E1E"/>
    <w:rsid w:val="6AE61F48"/>
    <w:rsid w:val="6AF87E20"/>
    <w:rsid w:val="6B00522B"/>
    <w:rsid w:val="6B322639"/>
    <w:rsid w:val="6B3A4C21"/>
    <w:rsid w:val="6B541EFF"/>
    <w:rsid w:val="6BD47F9B"/>
    <w:rsid w:val="6BE10C30"/>
    <w:rsid w:val="6BF44EAF"/>
    <w:rsid w:val="6C636C38"/>
    <w:rsid w:val="6C7E212E"/>
    <w:rsid w:val="6CDB7296"/>
    <w:rsid w:val="6CEF6A7F"/>
    <w:rsid w:val="6D6F26C8"/>
    <w:rsid w:val="6D910891"/>
    <w:rsid w:val="6DB34098"/>
    <w:rsid w:val="6DB545B6"/>
    <w:rsid w:val="6DE02FB4"/>
    <w:rsid w:val="6E3C2BCA"/>
    <w:rsid w:val="6E514CED"/>
    <w:rsid w:val="6EB563D5"/>
    <w:rsid w:val="6EC6731F"/>
    <w:rsid w:val="6ECD2046"/>
    <w:rsid w:val="6ED92677"/>
    <w:rsid w:val="6EE74C48"/>
    <w:rsid w:val="6EF70BC7"/>
    <w:rsid w:val="6EFF4294"/>
    <w:rsid w:val="6F225983"/>
    <w:rsid w:val="6F3525AD"/>
    <w:rsid w:val="6F4E793D"/>
    <w:rsid w:val="6FF10236"/>
    <w:rsid w:val="6FF1052C"/>
    <w:rsid w:val="6FF24EAB"/>
    <w:rsid w:val="6FFC5590"/>
    <w:rsid w:val="70220AB9"/>
    <w:rsid w:val="70231548"/>
    <w:rsid w:val="703E2017"/>
    <w:rsid w:val="70440540"/>
    <w:rsid w:val="70582D5F"/>
    <w:rsid w:val="70592330"/>
    <w:rsid w:val="706D1DD0"/>
    <w:rsid w:val="70856B87"/>
    <w:rsid w:val="70D527EE"/>
    <w:rsid w:val="70F27898"/>
    <w:rsid w:val="710A6289"/>
    <w:rsid w:val="71325EE7"/>
    <w:rsid w:val="714459A4"/>
    <w:rsid w:val="715173C6"/>
    <w:rsid w:val="715B5300"/>
    <w:rsid w:val="71D27F8A"/>
    <w:rsid w:val="72081729"/>
    <w:rsid w:val="720974B7"/>
    <w:rsid w:val="72542730"/>
    <w:rsid w:val="72553024"/>
    <w:rsid w:val="729E1413"/>
    <w:rsid w:val="72F7196B"/>
    <w:rsid w:val="7310020C"/>
    <w:rsid w:val="73122968"/>
    <w:rsid w:val="731F5D5E"/>
    <w:rsid w:val="733D14ED"/>
    <w:rsid w:val="736B748E"/>
    <w:rsid w:val="73C51AD5"/>
    <w:rsid w:val="741E793C"/>
    <w:rsid w:val="74523347"/>
    <w:rsid w:val="745E3944"/>
    <w:rsid w:val="74A14CE3"/>
    <w:rsid w:val="74D6631F"/>
    <w:rsid w:val="753E3620"/>
    <w:rsid w:val="75800247"/>
    <w:rsid w:val="75865845"/>
    <w:rsid w:val="7635099D"/>
    <w:rsid w:val="768B79F7"/>
    <w:rsid w:val="76D72DBD"/>
    <w:rsid w:val="76DB275C"/>
    <w:rsid w:val="76DB37DF"/>
    <w:rsid w:val="77762421"/>
    <w:rsid w:val="77B4166E"/>
    <w:rsid w:val="77B56B1F"/>
    <w:rsid w:val="77EB796E"/>
    <w:rsid w:val="780F09F4"/>
    <w:rsid w:val="782543F1"/>
    <w:rsid w:val="78571CEF"/>
    <w:rsid w:val="78A90480"/>
    <w:rsid w:val="795135CA"/>
    <w:rsid w:val="79717595"/>
    <w:rsid w:val="79A07915"/>
    <w:rsid w:val="79B44E0E"/>
    <w:rsid w:val="7A0D129F"/>
    <w:rsid w:val="7A203CF7"/>
    <w:rsid w:val="7A364017"/>
    <w:rsid w:val="7A3C3A9A"/>
    <w:rsid w:val="7A4153ED"/>
    <w:rsid w:val="7A8265E1"/>
    <w:rsid w:val="7AAF05A8"/>
    <w:rsid w:val="7B003069"/>
    <w:rsid w:val="7B2014A6"/>
    <w:rsid w:val="7B686D42"/>
    <w:rsid w:val="7B841746"/>
    <w:rsid w:val="7BB338E7"/>
    <w:rsid w:val="7BC02BF6"/>
    <w:rsid w:val="7BE37382"/>
    <w:rsid w:val="7C3438FA"/>
    <w:rsid w:val="7C6C5AC7"/>
    <w:rsid w:val="7C7E46D6"/>
    <w:rsid w:val="7C93788F"/>
    <w:rsid w:val="7CC6544B"/>
    <w:rsid w:val="7CCD4536"/>
    <w:rsid w:val="7CD82550"/>
    <w:rsid w:val="7D0239FF"/>
    <w:rsid w:val="7D1D1535"/>
    <w:rsid w:val="7D515947"/>
    <w:rsid w:val="7D5E40CD"/>
    <w:rsid w:val="7D70693E"/>
    <w:rsid w:val="7D7B6663"/>
    <w:rsid w:val="7DBE2529"/>
    <w:rsid w:val="7DCD56F2"/>
    <w:rsid w:val="7DD262DF"/>
    <w:rsid w:val="7E4354C8"/>
    <w:rsid w:val="7E686FC6"/>
    <w:rsid w:val="7E8F0F7F"/>
    <w:rsid w:val="7E9E36B3"/>
    <w:rsid w:val="7EAB43F7"/>
    <w:rsid w:val="7EBC28AD"/>
    <w:rsid w:val="7F001CE7"/>
    <w:rsid w:val="7F1C3D0F"/>
    <w:rsid w:val="7F307BD6"/>
    <w:rsid w:val="7F5A4613"/>
    <w:rsid w:val="7F914DED"/>
    <w:rsid w:val="7FE47E50"/>
    <w:rsid w:val="7FFD1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EE6132"/>
  <w15:docId w15:val="{FA005EF9-77D5-4FDF-B88A-E3847C3B9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qFormat="1"/>
    <w:lsdException w:name="heading 7" w:locked="1" w:qFormat="1"/>
    <w:lsdException w:name="heading 8" w:locked="1" w:uiPriority="9" w:qFormat="1"/>
    <w:lsdException w:name="heading 9" w:locked="1" w:uiPriority="9" w:qFormat="1"/>
    <w:lsdException w:name="index 1" w:locked="1" w:qFormat="1"/>
    <w:lsdException w:name="index 2" w:locked="1" w:qFormat="1"/>
    <w:lsdException w:name="index 3" w:locked="1" w:qFormat="1"/>
    <w:lsdException w:name="index 4" w:locked="1" w:qFormat="1"/>
    <w:lsdException w:name="index 5" w:locked="1"/>
    <w:lsdException w:name="index 6" w:locked="1" w:qFormat="1"/>
    <w:lsdException w:name="index 7" w:locked="1" w:qFormat="1"/>
    <w:lsdException w:name="index 8" w:locked="1" w:qFormat="1"/>
    <w:lsdException w:name="index 9" w:locked="1" w:qFormat="1"/>
    <w:lsdException w:name="toc 1" w:locked="1" w:uiPriority="39" w:qFormat="1"/>
    <w:lsdException w:name="toc 2" w:locked="1" w:uiPriority="39" w:qFormat="1"/>
    <w:lsdException w:name="toc 3" w:locked="1" w:uiPriority="39"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qFormat="1"/>
    <w:lsdException w:name="footnote text" w:locked="1" w:qFormat="1"/>
    <w:lsdException w:name="annotation text" w:uiPriority="99" w:qFormat="1"/>
    <w:lsdException w:name="header" w:uiPriority="99" w:qFormat="1"/>
    <w:lsdException w:name="footer" w:uiPriority="99" w:qFormat="1"/>
    <w:lsdException w:name="index heading" w:locked="1" w:qFormat="1"/>
    <w:lsdException w:name="caption" w:locked="1" w:qFormat="1"/>
    <w:lsdException w:name="table of figures" w:locked="1" w:qFormat="1"/>
    <w:lsdException w:name="envelope address" w:locked="1" w:qFormat="1"/>
    <w:lsdException w:name="envelope return" w:locked="1" w:qFormat="1"/>
    <w:lsdException w:name="footnote reference" w:locked="1" w:qFormat="1"/>
    <w:lsdException w:name="annotation reference" w:uiPriority="99" w:qFormat="1"/>
    <w:lsdException w:name="line number" w:locked="1" w:qFormat="1"/>
    <w:lsdException w:name="page number" w:locked="1" w:qFormat="1"/>
    <w:lsdException w:name="endnote reference" w:locked="1" w:qFormat="1"/>
    <w:lsdException w:name="endnote text" w:locked="1" w:qFormat="1"/>
    <w:lsdException w:name="table of authorities" w:locked="1" w:qFormat="1"/>
    <w:lsdException w:name="macro" w:locked="1" w:qFormat="1"/>
    <w:lsdException w:name="toa heading" w:locked="1" w:qFormat="1"/>
    <w:lsdException w:name="List" w:locked="1" w:qFormat="1"/>
    <w:lsdException w:name="List Bullet" w:locked="1" w:qFormat="1"/>
    <w:lsdException w:name="List Number" w:locked="1" w:qFormat="1"/>
    <w:lsdException w:name="List 2" w:locked="1" w:qFormat="1"/>
    <w:lsdException w:name="List 3" w:locked="1" w:qFormat="1"/>
    <w:lsdException w:name="List 4" w:locked="1" w:qFormat="1"/>
    <w:lsdException w:name="List 5" w:locked="1" w:qFormat="1"/>
    <w:lsdException w:name="List Bullet 2" w:locked="1" w:qFormat="1"/>
    <w:lsdException w:name="List Bullet 3" w:locked="1" w:qFormat="1"/>
    <w:lsdException w:name="List Bullet 4" w:locked="1" w:qFormat="1"/>
    <w:lsdException w:name="List Bullet 5" w:locked="1" w:qFormat="1"/>
    <w:lsdException w:name="List Number 2" w:locked="1" w:qFormat="1"/>
    <w:lsdException w:name="List Number 3" w:locked="1" w:qFormat="1"/>
    <w:lsdException w:name="List Number 4" w:locked="1" w:qFormat="1"/>
    <w:lsdException w:name="List Number 5" w:locked="1" w:qFormat="1"/>
    <w:lsdException w:name="Title" w:locked="1" w:qFormat="1"/>
    <w:lsdException w:name="Closing" w:locked="1" w:qFormat="1"/>
    <w:lsdException w:name="Signature" w:locked="1" w:qFormat="1"/>
    <w:lsdException w:name="Default Paragraph Font" w:semiHidden="1" w:uiPriority="1" w:unhideWhenUsed="1" w:qFormat="1"/>
    <w:lsdException w:name="Body Text" w:uiPriority="99" w:qFormat="1"/>
    <w:lsdException w:name="Body Text Indent" w:unhideWhenUsed="1" w:qFormat="1"/>
    <w:lsdException w:name="List Continue" w:locked="1" w:qFormat="1"/>
    <w:lsdException w:name="List Continue 2" w:locked="1" w:qFormat="1"/>
    <w:lsdException w:name="List Continue 3" w:locked="1" w:qFormat="1"/>
    <w:lsdException w:name="List Continue 4" w:locked="1" w:qFormat="1"/>
    <w:lsdException w:name="List Continue 5" w:locked="1" w:qFormat="1"/>
    <w:lsdException w:name="Message Header" w:locked="1" w:qFormat="1"/>
    <w:lsdException w:name="Subtitle" w:locked="1" w:qFormat="1"/>
    <w:lsdException w:name="Salutation" w:locked="1" w:qFormat="1"/>
    <w:lsdException w:name="Date" w:qFormat="1"/>
    <w:lsdException w:name="Body Text First Indent" w:locked="1" w:qFormat="1"/>
    <w:lsdException w:name="Body Text First Indent 2" w:locked="1" w:qFormat="1"/>
    <w:lsdException w:name="Note Heading" w:locked="1" w:qFormat="1"/>
    <w:lsdException w:name="Body Text 2" w:locked="1" w:qFormat="1"/>
    <w:lsdException w:name="Body Text 3" w:locked="1" w:qFormat="1"/>
    <w:lsdException w:name="Body Text Indent 2" w:locked="1" w:uiPriority="99" w:qFormat="1"/>
    <w:lsdException w:name="Body Text Indent 3" w:locked="1" w:qFormat="1"/>
    <w:lsdException w:name="Block Text" w:locked="1" w:qFormat="1"/>
    <w:lsdException w:name="Hyperlink" w:locked="1" w:uiPriority="99" w:qFormat="1"/>
    <w:lsdException w:name="FollowedHyperlink" w:locked="1" w:qFormat="1"/>
    <w:lsdException w:name="Strong" w:locked="1" w:qFormat="1"/>
    <w:lsdException w:name="Emphasis" w:locked="1" w:qFormat="1"/>
    <w:lsdException w:name="Document Map" w:locked="1" w:qFormat="1"/>
    <w:lsdException w:name="Plain Text" w:locked="1" w:uiPriority="99" w:qFormat="1"/>
    <w:lsdException w:name="E-mail Signature" w:locked="1" w:qFormat="1"/>
    <w:lsdException w:name="HTML Top of Form" w:semiHidden="1" w:uiPriority="99" w:unhideWhenUsed="1"/>
    <w:lsdException w:name="HTML Bottom of Form" w:semiHidden="1" w:uiPriority="99" w:unhideWhenUsed="1"/>
    <w:lsdException w:name="Normal (Web)" w:uiPriority="99" w:qFormat="1"/>
    <w:lsdException w:name="HTML Acronym" w:locked="1" w:qFormat="1"/>
    <w:lsdException w:name="HTML Address" w:locked="1" w:qFormat="1"/>
    <w:lsdException w:name="HTML Cite" w:locked="1" w:qFormat="1"/>
    <w:lsdException w:name="HTML Code" w:locked="1" w:qFormat="1"/>
    <w:lsdException w:name="HTML Definition" w:locked="1" w:qFormat="1"/>
    <w:lsdException w:name="HTML Keyboard" w:locked="1" w:qFormat="1"/>
    <w:lsdException w:name="HTML Preformatted" w:locked="1" w:qFormat="1"/>
    <w:lsdException w:name="HTML Sample" w:locked="1" w:qFormat="1"/>
    <w:lsdException w:name="HTML Typewriter" w:locked="1" w:qFormat="1"/>
    <w:lsdException w:name="HTML Variable" w:lock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semiHidden="1" w:unhideWhenUsed="1" w:qFormat="1"/>
    <w:lsdException w:name="Table Simple 2" w:locked="1" w:semiHidden="1" w:unhideWhenUsed="1" w:qFormat="1"/>
    <w:lsdException w:name="Table Simple 3" w:locked="1" w:semiHidden="1" w:unhideWhenUsed="1" w:qFormat="1"/>
    <w:lsdException w:name="Table Classic 1" w:locked="1" w:semiHidden="1" w:unhideWhenUsed="1" w:qFormat="1"/>
    <w:lsdException w:name="Table Classic 2" w:locked="1" w:semiHidden="1" w:unhideWhenUsed="1" w:qFormat="1"/>
    <w:lsdException w:name="Table Classic 3" w:locked="1" w:semiHidden="1" w:unhideWhenUsed="1" w:qFormat="1"/>
    <w:lsdException w:name="Table Classic 4" w:locked="1" w:semiHidden="1" w:unhideWhenUsed="1" w:qFormat="1"/>
    <w:lsdException w:name="Table Colorful 1" w:locked="1" w:semiHidden="1" w:unhideWhenUsed="1" w:qFormat="1"/>
    <w:lsdException w:name="Table Colorful 2" w:locked="1" w:semiHidden="1" w:unhideWhenUsed="1" w:qFormat="1"/>
    <w:lsdException w:name="Table Colorful 3" w:locked="1" w:semiHidden="1" w:unhideWhenUsed="1" w:qFormat="1"/>
    <w:lsdException w:name="Table Columns 1" w:locked="1" w:semiHidden="1" w:unhideWhenUsed="1" w:qFormat="1"/>
    <w:lsdException w:name="Table Columns 2" w:locked="1" w:semiHidden="1" w:unhideWhenUsed="1" w:qFormat="1"/>
    <w:lsdException w:name="Table Columns 3" w:locked="1" w:semiHidden="1" w:unhideWhenUsed="1" w:qFormat="1"/>
    <w:lsdException w:name="Table Columns 4" w:locked="1" w:semiHidden="1" w:unhideWhenUsed="1" w:qFormat="1"/>
    <w:lsdException w:name="Table Columns 5" w:locked="1" w:semiHidden="1" w:unhideWhenUsed="1" w:qFormat="1"/>
    <w:lsdException w:name="Table Grid 1" w:locked="1" w:semiHidden="1" w:unhideWhenUsed="1" w:qFormat="1"/>
    <w:lsdException w:name="Table Grid 2" w:locked="1" w:semiHidden="1" w:unhideWhenUsed="1" w:qFormat="1"/>
    <w:lsdException w:name="Table Grid 3" w:locked="1" w:semiHidden="1" w:unhideWhenUsed="1" w:qFormat="1"/>
    <w:lsdException w:name="Table Grid 4" w:locked="1" w:semiHidden="1" w:unhideWhenUsed="1" w:qFormat="1"/>
    <w:lsdException w:name="Table Grid 5" w:locked="1" w:semiHidden="1" w:unhideWhenUsed="1" w:qFormat="1"/>
    <w:lsdException w:name="Table Grid 6" w:locked="1" w:semiHidden="1" w:unhideWhenUsed="1" w:qFormat="1"/>
    <w:lsdException w:name="Table Grid 7" w:locked="1" w:semiHidden="1" w:unhideWhenUsed="1" w:qFormat="1"/>
    <w:lsdException w:name="Table Grid 8" w:locked="1" w:semiHidden="1" w:unhideWhenUsed="1" w:qFormat="1"/>
    <w:lsdException w:name="Table List 1" w:locked="1" w:semiHidden="1" w:unhideWhenUsed="1" w:qFormat="1"/>
    <w:lsdException w:name="Table List 2" w:locked="1" w:semiHidden="1" w:unhideWhenUsed="1" w:qFormat="1"/>
    <w:lsdException w:name="Table List 3" w:locked="1" w:semiHidden="1" w:unhideWhenUsed="1" w:qFormat="1"/>
    <w:lsdException w:name="Table List 4" w:locked="1" w:semiHidden="1" w:unhideWhenUsed="1" w:qFormat="1"/>
    <w:lsdException w:name="Table List 5" w:locked="1" w:semiHidden="1" w:unhideWhenUsed="1" w:qFormat="1"/>
    <w:lsdException w:name="Table List 6" w:locked="1" w:semiHidden="1" w:unhideWhenUsed="1" w:qFormat="1"/>
    <w:lsdException w:name="Table List 7" w:locked="1" w:semiHidden="1" w:unhideWhenUsed="1" w:qFormat="1"/>
    <w:lsdException w:name="Table List 8" w:locked="1" w:semiHidden="1" w:unhideWhenUsed="1" w:qFormat="1"/>
    <w:lsdException w:name="Table 3D effects 1" w:locked="1" w:semiHidden="1" w:unhideWhenUsed="1" w:qFormat="1"/>
    <w:lsdException w:name="Table 3D effects 2" w:locked="1" w:semiHidden="1" w:unhideWhenUsed="1" w:qFormat="1"/>
    <w:lsdException w:name="Table 3D effects 3" w:locked="1" w:semiHidden="1" w:unhideWhenUsed="1" w:qFormat="1"/>
    <w:lsdException w:name="Table Contemporary" w:locked="1" w:semiHidden="1" w:unhideWhenUsed="1" w:qFormat="1"/>
    <w:lsdException w:name="Table Elegant" w:locked="1" w:semiHidden="1" w:unhideWhenUsed="1" w:qFormat="1"/>
    <w:lsdException w:name="Table Professional" w:locked="1" w:semiHidden="1" w:unhideWhenUsed="1" w:qFormat="1"/>
    <w:lsdException w:name="Table Subtle 1" w:locked="1" w:semiHidden="1" w:unhideWhenUsed="1" w:qFormat="1"/>
    <w:lsdException w:name="Table Subtle 2" w:locked="1" w:semiHidden="1" w:unhideWhenUsed="1" w:qFormat="1"/>
    <w:lsdException w:name="Table Web 1" w:locked="1" w:semiHidden="1" w:unhideWhenUsed="1" w:qFormat="1"/>
    <w:lsdException w:name="Table Web 2" w:locked="1" w:semiHidden="1" w:unhideWhenUsed="1" w:qFormat="1"/>
    <w:lsdException w:name="Table Web 3" w:locked="1" w:semiHidden="1" w:unhideWhenUsed="1" w:qFormat="1"/>
    <w:lsdException w:name="Balloon Text" w:uiPriority="99" w:qFormat="1"/>
    <w:lsdException w:name="Table Grid" w:uiPriority="99" w:qFormat="1"/>
    <w:lsdException w:name="Table Theme" w:locked="1" w:semiHidden="1" w:unhideWhenUsed="1" w:qFormat="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97066E"/>
    <w:pPr>
      <w:widowControl w:val="0"/>
      <w:jc w:val="both"/>
    </w:pPr>
    <w:rPr>
      <w:kern w:val="2"/>
      <w:sz w:val="21"/>
      <w:szCs w:val="24"/>
    </w:rPr>
  </w:style>
  <w:style w:type="paragraph" w:styleId="1">
    <w:name w:val="heading 1"/>
    <w:basedOn w:val="a3"/>
    <w:next w:val="a3"/>
    <w:link w:val="10"/>
    <w:qFormat/>
    <w:locked/>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2">
    <w:name w:val="heading 2"/>
    <w:basedOn w:val="a3"/>
    <w:next w:val="a3"/>
    <w:link w:val="20"/>
    <w:unhideWhenUsed/>
    <w:qFormat/>
    <w:locked/>
    <w:pPr>
      <w:keepNext/>
      <w:keepLines/>
      <w:spacing w:before="260" w:after="260" w:line="416" w:lineRule="auto"/>
      <w:outlineLvl w:val="1"/>
    </w:pPr>
    <w:rPr>
      <w:rFonts w:ascii="Calibri Light" w:hAnsi="Calibri Light"/>
      <w:b/>
      <w:bCs/>
      <w:sz w:val="32"/>
      <w:szCs w:val="32"/>
    </w:rPr>
  </w:style>
  <w:style w:type="paragraph" w:styleId="3">
    <w:name w:val="heading 3"/>
    <w:basedOn w:val="a3"/>
    <w:next w:val="a3"/>
    <w:link w:val="30"/>
    <w:unhideWhenUsed/>
    <w:qFormat/>
    <w:locked/>
    <w:pPr>
      <w:keepNext/>
      <w:keepLines/>
      <w:spacing w:before="260" w:after="260" w:line="416" w:lineRule="auto"/>
      <w:outlineLvl w:val="2"/>
    </w:pPr>
    <w:rPr>
      <w:b/>
      <w:bCs/>
      <w:sz w:val="32"/>
      <w:szCs w:val="32"/>
    </w:rPr>
  </w:style>
  <w:style w:type="paragraph" w:styleId="4">
    <w:name w:val="heading 4"/>
    <w:basedOn w:val="a3"/>
    <w:next w:val="a3"/>
    <w:link w:val="40"/>
    <w:unhideWhenUsed/>
    <w:qFormat/>
    <w:locked/>
    <w:pPr>
      <w:keepNext/>
      <w:keepLines/>
      <w:spacing w:before="280" w:after="290" w:line="376" w:lineRule="auto"/>
      <w:outlineLvl w:val="3"/>
    </w:pPr>
    <w:rPr>
      <w:rFonts w:ascii="Calibri Light" w:hAnsi="Calibri Light"/>
      <w:b/>
      <w:bCs/>
      <w:sz w:val="28"/>
      <w:szCs w:val="28"/>
    </w:rPr>
  </w:style>
  <w:style w:type="paragraph" w:styleId="5">
    <w:name w:val="heading 5"/>
    <w:basedOn w:val="a3"/>
    <w:next w:val="a3"/>
    <w:link w:val="50"/>
    <w:unhideWhenUsed/>
    <w:qFormat/>
    <w:locked/>
    <w:pPr>
      <w:keepNext/>
      <w:keepLines/>
      <w:adjustRightInd w:val="0"/>
      <w:snapToGrid w:val="0"/>
      <w:spacing w:line="500" w:lineRule="exact"/>
      <w:outlineLvl w:val="4"/>
    </w:pPr>
    <w:rPr>
      <w:b/>
      <w:bCs/>
      <w:sz w:val="24"/>
      <w:szCs w:val="28"/>
    </w:rPr>
  </w:style>
  <w:style w:type="paragraph" w:styleId="6">
    <w:name w:val="heading 6"/>
    <w:basedOn w:val="a3"/>
    <w:next w:val="a3"/>
    <w:link w:val="60"/>
    <w:qFormat/>
    <w:locked/>
    <w:pPr>
      <w:keepNext/>
      <w:keepLines/>
      <w:adjustRightInd w:val="0"/>
      <w:snapToGrid w:val="0"/>
      <w:spacing w:before="240" w:after="64" w:line="320" w:lineRule="auto"/>
      <w:ind w:left="1152" w:hanging="432"/>
      <w:outlineLvl w:val="5"/>
    </w:pPr>
    <w:rPr>
      <w:rFonts w:ascii="Cambria" w:hAnsi="Cambria"/>
      <w:b/>
      <w:bCs/>
      <w:sz w:val="24"/>
    </w:rPr>
  </w:style>
  <w:style w:type="paragraph" w:styleId="7">
    <w:name w:val="heading 7"/>
    <w:basedOn w:val="a3"/>
    <w:next w:val="a3"/>
    <w:link w:val="70"/>
    <w:qFormat/>
    <w:locked/>
    <w:pPr>
      <w:keepNext/>
      <w:keepLines/>
      <w:adjustRightInd w:val="0"/>
      <w:snapToGrid w:val="0"/>
      <w:spacing w:before="240" w:after="64" w:line="320" w:lineRule="auto"/>
      <w:ind w:left="1296" w:hanging="288"/>
      <w:outlineLvl w:val="6"/>
    </w:pPr>
    <w:rPr>
      <w:b/>
      <w:bCs/>
      <w:sz w:val="24"/>
    </w:rPr>
  </w:style>
  <w:style w:type="paragraph" w:styleId="8">
    <w:name w:val="heading 8"/>
    <w:basedOn w:val="a3"/>
    <w:next w:val="a3"/>
    <w:link w:val="80"/>
    <w:uiPriority w:val="9"/>
    <w:qFormat/>
    <w:locked/>
    <w:pPr>
      <w:keepNext/>
      <w:keepLines/>
      <w:adjustRightInd w:val="0"/>
      <w:snapToGrid w:val="0"/>
      <w:spacing w:before="240" w:after="64" w:line="320" w:lineRule="auto"/>
      <w:ind w:left="1440" w:hanging="432"/>
      <w:outlineLvl w:val="7"/>
    </w:pPr>
    <w:rPr>
      <w:rFonts w:ascii="Cambria" w:hAnsi="Cambria"/>
      <w:sz w:val="24"/>
    </w:rPr>
  </w:style>
  <w:style w:type="paragraph" w:styleId="9">
    <w:name w:val="heading 9"/>
    <w:basedOn w:val="a3"/>
    <w:next w:val="a3"/>
    <w:link w:val="90"/>
    <w:uiPriority w:val="9"/>
    <w:qFormat/>
    <w:locked/>
    <w:pPr>
      <w:keepNext/>
      <w:keepLines/>
      <w:adjustRightInd w:val="0"/>
      <w:snapToGrid w:val="0"/>
      <w:spacing w:before="240" w:after="64" w:line="320" w:lineRule="auto"/>
      <w:ind w:left="1584" w:hanging="144"/>
      <w:outlineLvl w:val="8"/>
    </w:pPr>
    <w:rPr>
      <w:rFonts w:ascii="Cambria" w:hAnsi="Cambria"/>
      <w:szCs w:val="21"/>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1">
    <w:name w:val="List 3"/>
    <w:basedOn w:val="a3"/>
    <w:qFormat/>
    <w:locked/>
    <w:pPr>
      <w:adjustRightInd w:val="0"/>
      <w:snapToGrid w:val="0"/>
      <w:spacing w:before="60"/>
      <w:ind w:left="1260" w:hanging="420"/>
    </w:pPr>
    <w:rPr>
      <w:rFonts w:ascii="Arial" w:eastAsia="仿宋_GB2312" w:hAnsi="Arial"/>
      <w:kern w:val="0"/>
      <w:sz w:val="24"/>
      <w:szCs w:val="20"/>
    </w:rPr>
  </w:style>
  <w:style w:type="paragraph" w:styleId="TOC7">
    <w:name w:val="toc 7"/>
    <w:basedOn w:val="a3"/>
    <w:next w:val="a3"/>
    <w:qFormat/>
    <w:locked/>
    <w:pPr>
      <w:adjustRightInd w:val="0"/>
      <w:snapToGrid w:val="0"/>
      <w:ind w:left="1260"/>
      <w:jc w:val="left"/>
    </w:pPr>
    <w:rPr>
      <w:rFonts w:ascii="Calibri" w:hAnsi="Calibri" w:cs="Calibri"/>
      <w:sz w:val="18"/>
      <w:szCs w:val="18"/>
    </w:rPr>
  </w:style>
  <w:style w:type="paragraph" w:styleId="21">
    <w:name w:val="List Number 2"/>
    <w:basedOn w:val="a3"/>
    <w:qFormat/>
    <w:locked/>
    <w:pPr>
      <w:tabs>
        <w:tab w:val="left" w:pos="780"/>
      </w:tabs>
      <w:adjustRightInd w:val="0"/>
      <w:snapToGrid w:val="0"/>
      <w:spacing w:before="60"/>
      <w:ind w:left="780" w:hanging="360"/>
    </w:pPr>
    <w:rPr>
      <w:rFonts w:ascii="Arial" w:eastAsia="仿宋_GB2312" w:hAnsi="Arial"/>
      <w:kern w:val="0"/>
      <w:sz w:val="24"/>
      <w:szCs w:val="20"/>
    </w:rPr>
  </w:style>
  <w:style w:type="paragraph" w:styleId="a7">
    <w:name w:val="table of authorities"/>
    <w:basedOn w:val="a3"/>
    <w:next w:val="a3"/>
    <w:qFormat/>
    <w:locked/>
    <w:pPr>
      <w:adjustRightInd w:val="0"/>
      <w:snapToGrid w:val="0"/>
      <w:spacing w:line="300" w:lineRule="auto"/>
      <w:ind w:leftChars="200" w:left="420"/>
    </w:pPr>
    <w:rPr>
      <w:rFonts w:ascii="仿宋_GB2312" w:eastAsia="仿宋_GB2312"/>
      <w:sz w:val="28"/>
    </w:rPr>
  </w:style>
  <w:style w:type="paragraph" w:styleId="a8">
    <w:name w:val="Note Heading"/>
    <w:basedOn w:val="a3"/>
    <w:next w:val="a3"/>
    <w:link w:val="a9"/>
    <w:qFormat/>
    <w:locked/>
    <w:pPr>
      <w:adjustRightInd w:val="0"/>
      <w:snapToGrid w:val="0"/>
      <w:spacing w:before="60"/>
      <w:ind w:firstLine="482"/>
      <w:jc w:val="center"/>
    </w:pPr>
    <w:rPr>
      <w:kern w:val="0"/>
      <w:sz w:val="18"/>
    </w:rPr>
  </w:style>
  <w:style w:type="paragraph" w:styleId="41">
    <w:name w:val="List Bullet 4"/>
    <w:basedOn w:val="a3"/>
    <w:qFormat/>
    <w:locked/>
    <w:pPr>
      <w:tabs>
        <w:tab w:val="left" w:pos="1620"/>
      </w:tabs>
      <w:adjustRightInd w:val="0"/>
      <w:snapToGrid w:val="0"/>
      <w:spacing w:before="60"/>
      <w:ind w:leftChars="600" w:left="1620" w:hangingChars="200" w:hanging="360"/>
    </w:pPr>
    <w:rPr>
      <w:rFonts w:ascii="Arial" w:eastAsia="仿宋_GB2312" w:hAnsi="Arial"/>
      <w:kern w:val="0"/>
      <w:sz w:val="24"/>
      <w:szCs w:val="20"/>
    </w:rPr>
  </w:style>
  <w:style w:type="paragraph" w:styleId="aa">
    <w:name w:val="E-mail Signature"/>
    <w:basedOn w:val="a3"/>
    <w:link w:val="ab"/>
    <w:qFormat/>
    <w:locked/>
    <w:pPr>
      <w:adjustRightInd w:val="0"/>
      <w:snapToGrid w:val="0"/>
      <w:spacing w:before="60"/>
      <w:ind w:firstLine="482"/>
    </w:pPr>
    <w:rPr>
      <w:rFonts w:ascii="Arial" w:eastAsia="仿宋_GB2312" w:hAnsi="Arial"/>
      <w:kern w:val="0"/>
      <w:sz w:val="24"/>
      <w:szCs w:val="20"/>
    </w:rPr>
  </w:style>
  <w:style w:type="paragraph" w:styleId="ac">
    <w:name w:val="List Number"/>
    <w:basedOn w:val="a3"/>
    <w:qFormat/>
    <w:locked/>
    <w:pPr>
      <w:tabs>
        <w:tab w:val="left" w:pos="360"/>
      </w:tabs>
      <w:adjustRightInd w:val="0"/>
      <w:snapToGrid w:val="0"/>
      <w:spacing w:before="60"/>
      <w:ind w:left="360" w:hangingChars="200" w:hanging="360"/>
    </w:pPr>
    <w:rPr>
      <w:rFonts w:ascii="Arial" w:eastAsia="仿宋_GB2312" w:hAnsi="Arial"/>
      <w:kern w:val="0"/>
      <w:sz w:val="24"/>
      <w:szCs w:val="20"/>
    </w:rPr>
  </w:style>
  <w:style w:type="paragraph" w:styleId="ad">
    <w:name w:val="Normal Indent"/>
    <w:basedOn w:val="a3"/>
    <w:next w:val="a3"/>
    <w:link w:val="ae"/>
    <w:qFormat/>
    <w:locked/>
    <w:pPr>
      <w:adjustRightInd w:val="0"/>
      <w:snapToGrid w:val="0"/>
      <w:ind w:firstLineChars="200" w:firstLine="200"/>
    </w:pPr>
    <w:rPr>
      <w:kern w:val="0"/>
      <w:sz w:val="28"/>
    </w:rPr>
  </w:style>
  <w:style w:type="paragraph" w:styleId="af">
    <w:name w:val="caption"/>
    <w:basedOn w:val="a3"/>
    <w:next w:val="a3"/>
    <w:link w:val="af0"/>
    <w:qFormat/>
    <w:locked/>
    <w:pPr>
      <w:adjustRightInd w:val="0"/>
      <w:snapToGrid w:val="0"/>
    </w:pPr>
    <w:rPr>
      <w:rFonts w:ascii="Arial" w:eastAsia="黑体" w:hAnsi="Arial" w:cs="Arial"/>
      <w:sz w:val="20"/>
      <w:szCs w:val="20"/>
    </w:rPr>
  </w:style>
  <w:style w:type="paragraph" w:styleId="af1">
    <w:name w:val="List Bullet"/>
    <w:basedOn w:val="a3"/>
    <w:qFormat/>
    <w:locked/>
    <w:pPr>
      <w:tabs>
        <w:tab w:val="left" w:pos="360"/>
      </w:tabs>
      <w:adjustRightInd w:val="0"/>
      <w:snapToGrid w:val="0"/>
      <w:spacing w:before="60"/>
      <w:ind w:left="360" w:hangingChars="200" w:hanging="360"/>
    </w:pPr>
    <w:rPr>
      <w:rFonts w:ascii="Arial" w:eastAsia="仿宋_GB2312" w:hAnsi="Arial"/>
      <w:kern w:val="0"/>
      <w:sz w:val="24"/>
      <w:szCs w:val="20"/>
    </w:rPr>
  </w:style>
  <w:style w:type="paragraph" w:styleId="af2">
    <w:name w:val="envelope address"/>
    <w:basedOn w:val="a3"/>
    <w:qFormat/>
    <w:locked/>
    <w:pPr>
      <w:framePr w:w="7920" w:h="1980" w:hRule="exact" w:hSpace="180" w:wrap="around" w:hAnchor="page" w:xAlign="center" w:yAlign="bottom"/>
      <w:adjustRightInd w:val="0"/>
      <w:snapToGrid w:val="0"/>
      <w:spacing w:before="60"/>
      <w:ind w:left="2880" w:firstLine="482"/>
    </w:pPr>
    <w:rPr>
      <w:rFonts w:ascii="Arial" w:eastAsia="仿宋_GB2312" w:hAnsi="Arial" w:cs="Arial"/>
      <w:kern w:val="0"/>
      <w:sz w:val="24"/>
      <w:szCs w:val="20"/>
    </w:rPr>
  </w:style>
  <w:style w:type="paragraph" w:styleId="af3">
    <w:name w:val="Document Map"/>
    <w:basedOn w:val="a3"/>
    <w:link w:val="af4"/>
    <w:qFormat/>
    <w:locked/>
    <w:pPr>
      <w:shd w:val="clear" w:color="auto" w:fill="000080"/>
      <w:adjustRightInd w:val="0"/>
      <w:snapToGrid w:val="0"/>
    </w:pPr>
    <w:rPr>
      <w:kern w:val="0"/>
      <w:sz w:val="20"/>
      <w:szCs w:val="20"/>
    </w:rPr>
  </w:style>
  <w:style w:type="paragraph" w:styleId="af5">
    <w:name w:val="toa heading"/>
    <w:basedOn w:val="a3"/>
    <w:next w:val="a3"/>
    <w:qFormat/>
    <w:locked/>
    <w:pPr>
      <w:adjustRightInd w:val="0"/>
      <w:snapToGrid w:val="0"/>
      <w:spacing w:before="120"/>
    </w:pPr>
    <w:rPr>
      <w:rFonts w:ascii="Arial" w:hAnsi="Arial" w:cs="Arial"/>
      <w:sz w:val="24"/>
    </w:rPr>
  </w:style>
  <w:style w:type="paragraph" w:styleId="af6">
    <w:name w:val="annotation text"/>
    <w:basedOn w:val="a3"/>
    <w:link w:val="af7"/>
    <w:uiPriority w:val="99"/>
    <w:qFormat/>
    <w:pPr>
      <w:jc w:val="left"/>
    </w:pPr>
  </w:style>
  <w:style w:type="paragraph" w:styleId="af8">
    <w:name w:val="Salutation"/>
    <w:basedOn w:val="a3"/>
    <w:next w:val="a3"/>
    <w:link w:val="af9"/>
    <w:qFormat/>
    <w:locked/>
    <w:pPr>
      <w:adjustRightInd w:val="0"/>
      <w:snapToGrid w:val="0"/>
      <w:spacing w:before="60"/>
      <w:ind w:firstLine="482"/>
    </w:pPr>
    <w:rPr>
      <w:rFonts w:ascii="Arial" w:eastAsia="仿宋_GB2312" w:hAnsi="Arial"/>
      <w:kern w:val="0"/>
      <w:sz w:val="24"/>
      <w:szCs w:val="20"/>
    </w:rPr>
  </w:style>
  <w:style w:type="paragraph" w:styleId="32">
    <w:name w:val="Body Text 3"/>
    <w:basedOn w:val="a3"/>
    <w:link w:val="33"/>
    <w:qFormat/>
    <w:locked/>
    <w:pPr>
      <w:adjustRightInd w:val="0"/>
      <w:snapToGrid w:val="0"/>
    </w:pPr>
    <w:rPr>
      <w:rFonts w:ascii="宋体"/>
      <w:kern w:val="0"/>
      <w:sz w:val="20"/>
      <w:szCs w:val="20"/>
    </w:rPr>
  </w:style>
  <w:style w:type="paragraph" w:styleId="afa">
    <w:name w:val="Closing"/>
    <w:basedOn w:val="a3"/>
    <w:link w:val="afb"/>
    <w:qFormat/>
    <w:locked/>
    <w:pPr>
      <w:adjustRightInd w:val="0"/>
      <w:snapToGrid w:val="0"/>
      <w:spacing w:before="60"/>
      <w:ind w:left="4320" w:firstLine="482"/>
    </w:pPr>
    <w:rPr>
      <w:rFonts w:ascii="Arial" w:eastAsia="仿宋_GB2312" w:hAnsi="Arial"/>
      <w:kern w:val="0"/>
      <w:sz w:val="24"/>
      <w:szCs w:val="20"/>
    </w:rPr>
  </w:style>
  <w:style w:type="paragraph" w:styleId="34">
    <w:name w:val="List Bullet 3"/>
    <w:basedOn w:val="a3"/>
    <w:qFormat/>
    <w:locked/>
    <w:pPr>
      <w:tabs>
        <w:tab w:val="left" w:pos="1200"/>
      </w:tabs>
      <w:adjustRightInd w:val="0"/>
      <w:snapToGrid w:val="0"/>
      <w:spacing w:before="60"/>
      <w:ind w:left="1200" w:hanging="360"/>
    </w:pPr>
    <w:rPr>
      <w:rFonts w:ascii="Arial" w:eastAsia="仿宋_GB2312" w:hAnsi="Arial"/>
      <w:kern w:val="0"/>
      <w:sz w:val="24"/>
      <w:szCs w:val="20"/>
    </w:rPr>
  </w:style>
  <w:style w:type="paragraph" w:styleId="afc">
    <w:name w:val="Body Text"/>
    <w:basedOn w:val="a3"/>
    <w:link w:val="11"/>
    <w:uiPriority w:val="99"/>
    <w:qFormat/>
    <w:pPr>
      <w:spacing w:after="120"/>
    </w:pPr>
  </w:style>
  <w:style w:type="paragraph" w:styleId="afd">
    <w:name w:val="Body Text Indent"/>
    <w:basedOn w:val="a3"/>
    <w:link w:val="12"/>
    <w:unhideWhenUsed/>
    <w:qFormat/>
    <w:pPr>
      <w:adjustRightInd w:val="0"/>
      <w:snapToGrid w:val="0"/>
      <w:spacing w:after="120"/>
      <w:ind w:leftChars="200" w:left="420"/>
    </w:pPr>
    <w:rPr>
      <w:szCs w:val="20"/>
    </w:rPr>
  </w:style>
  <w:style w:type="paragraph" w:styleId="35">
    <w:name w:val="List Number 3"/>
    <w:basedOn w:val="a3"/>
    <w:qFormat/>
    <w:locked/>
    <w:pPr>
      <w:tabs>
        <w:tab w:val="left" w:pos="1200"/>
      </w:tabs>
      <w:adjustRightInd w:val="0"/>
      <w:snapToGrid w:val="0"/>
      <w:spacing w:before="60"/>
      <w:ind w:left="1200" w:hanging="360"/>
    </w:pPr>
    <w:rPr>
      <w:rFonts w:ascii="Arial" w:eastAsia="仿宋_GB2312" w:hAnsi="Arial"/>
      <w:kern w:val="0"/>
      <w:sz w:val="24"/>
      <w:szCs w:val="20"/>
    </w:rPr>
  </w:style>
  <w:style w:type="paragraph" w:styleId="22">
    <w:name w:val="List 2"/>
    <w:basedOn w:val="a3"/>
    <w:qFormat/>
    <w:locked/>
    <w:pPr>
      <w:adjustRightInd w:val="0"/>
      <w:snapToGrid w:val="0"/>
      <w:spacing w:before="60"/>
      <w:ind w:left="840" w:hanging="420"/>
    </w:pPr>
    <w:rPr>
      <w:rFonts w:ascii="Arial" w:eastAsia="仿宋_GB2312" w:hAnsi="Arial"/>
      <w:kern w:val="0"/>
      <w:sz w:val="24"/>
      <w:szCs w:val="20"/>
    </w:rPr>
  </w:style>
  <w:style w:type="paragraph" w:styleId="afe">
    <w:name w:val="List Continue"/>
    <w:basedOn w:val="a3"/>
    <w:qFormat/>
    <w:locked/>
    <w:pPr>
      <w:adjustRightInd w:val="0"/>
      <w:snapToGrid w:val="0"/>
      <w:spacing w:before="60" w:after="120"/>
      <w:ind w:left="420" w:firstLine="482"/>
    </w:pPr>
    <w:rPr>
      <w:rFonts w:ascii="Arial" w:eastAsia="仿宋_GB2312" w:hAnsi="Arial"/>
      <w:kern w:val="0"/>
      <w:sz w:val="24"/>
      <w:szCs w:val="20"/>
    </w:rPr>
  </w:style>
  <w:style w:type="paragraph" w:styleId="aff">
    <w:name w:val="Block Text"/>
    <w:basedOn w:val="a3"/>
    <w:qFormat/>
    <w:locked/>
    <w:pPr>
      <w:adjustRightInd w:val="0"/>
      <w:snapToGrid w:val="0"/>
      <w:spacing w:after="120"/>
      <w:ind w:leftChars="700" w:left="1440" w:rightChars="700" w:right="1440"/>
    </w:pPr>
  </w:style>
  <w:style w:type="paragraph" w:styleId="23">
    <w:name w:val="List Bullet 2"/>
    <w:basedOn w:val="a3"/>
    <w:qFormat/>
    <w:locked/>
    <w:pPr>
      <w:tabs>
        <w:tab w:val="left" w:pos="780"/>
      </w:tabs>
      <w:adjustRightInd w:val="0"/>
      <w:snapToGrid w:val="0"/>
      <w:spacing w:before="60"/>
      <w:ind w:leftChars="200" w:left="780" w:hangingChars="200" w:hanging="360"/>
    </w:pPr>
    <w:rPr>
      <w:rFonts w:ascii="Arial" w:eastAsia="仿宋_GB2312" w:hAnsi="Arial"/>
      <w:kern w:val="0"/>
      <w:sz w:val="24"/>
      <w:szCs w:val="20"/>
    </w:rPr>
  </w:style>
  <w:style w:type="paragraph" w:styleId="HTML">
    <w:name w:val="HTML Address"/>
    <w:basedOn w:val="a3"/>
    <w:link w:val="HTML0"/>
    <w:qFormat/>
    <w:locked/>
    <w:pPr>
      <w:adjustRightInd w:val="0"/>
      <w:snapToGrid w:val="0"/>
      <w:spacing w:before="60"/>
      <w:ind w:firstLine="482"/>
    </w:pPr>
    <w:rPr>
      <w:rFonts w:ascii="Arial" w:eastAsia="仿宋_GB2312" w:hAnsi="Arial"/>
      <w:i/>
      <w:iCs/>
      <w:kern w:val="0"/>
      <w:sz w:val="24"/>
      <w:szCs w:val="20"/>
    </w:rPr>
  </w:style>
  <w:style w:type="paragraph" w:styleId="42">
    <w:name w:val="index 4"/>
    <w:basedOn w:val="a3"/>
    <w:next w:val="a3"/>
    <w:qFormat/>
    <w:locked/>
    <w:pPr>
      <w:suppressAutoHyphens/>
      <w:adjustRightInd w:val="0"/>
      <w:snapToGrid w:val="0"/>
      <w:spacing w:line="300" w:lineRule="auto"/>
      <w:ind w:left="1260"/>
    </w:pPr>
    <w:rPr>
      <w:kern w:val="28"/>
      <w:sz w:val="24"/>
      <w:szCs w:val="20"/>
    </w:rPr>
  </w:style>
  <w:style w:type="paragraph" w:styleId="TOC5">
    <w:name w:val="toc 5"/>
    <w:basedOn w:val="a3"/>
    <w:next w:val="a3"/>
    <w:qFormat/>
    <w:locked/>
    <w:pPr>
      <w:adjustRightInd w:val="0"/>
      <w:snapToGrid w:val="0"/>
      <w:ind w:left="840"/>
      <w:jc w:val="left"/>
    </w:pPr>
    <w:rPr>
      <w:rFonts w:ascii="Calibri" w:hAnsi="Calibri" w:cs="Calibri"/>
      <w:sz w:val="18"/>
      <w:szCs w:val="18"/>
    </w:rPr>
  </w:style>
  <w:style w:type="paragraph" w:styleId="TOC3">
    <w:name w:val="toc 3"/>
    <w:basedOn w:val="a3"/>
    <w:next w:val="a3"/>
    <w:uiPriority w:val="39"/>
    <w:qFormat/>
    <w:locked/>
    <w:pPr>
      <w:adjustRightInd w:val="0"/>
      <w:snapToGrid w:val="0"/>
      <w:ind w:left="420"/>
      <w:jc w:val="left"/>
    </w:pPr>
    <w:rPr>
      <w:rFonts w:ascii="Calibri" w:hAnsi="Calibri" w:cs="Calibri"/>
      <w:i/>
      <w:iCs/>
      <w:sz w:val="20"/>
      <w:szCs w:val="20"/>
    </w:rPr>
  </w:style>
  <w:style w:type="paragraph" w:styleId="aff0">
    <w:name w:val="Plain Text"/>
    <w:basedOn w:val="a3"/>
    <w:link w:val="aff1"/>
    <w:uiPriority w:val="99"/>
    <w:qFormat/>
    <w:locked/>
    <w:pPr>
      <w:adjustRightInd w:val="0"/>
      <w:snapToGrid w:val="0"/>
    </w:pPr>
    <w:rPr>
      <w:rFonts w:ascii="宋体" w:hAnsi="Courier New"/>
      <w:kern w:val="0"/>
      <w:sz w:val="20"/>
      <w:szCs w:val="20"/>
    </w:rPr>
  </w:style>
  <w:style w:type="paragraph" w:styleId="51">
    <w:name w:val="List Bullet 5"/>
    <w:basedOn w:val="a3"/>
    <w:qFormat/>
    <w:locked/>
    <w:pPr>
      <w:tabs>
        <w:tab w:val="left" w:pos="2040"/>
      </w:tabs>
      <w:adjustRightInd w:val="0"/>
      <w:snapToGrid w:val="0"/>
      <w:spacing w:before="60"/>
      <w:ind w:left="2040" w:hanging="360"/>
    </w:pPr>
    <w:rPr>
      <w:rFonts w:ascii="Arial" w:eastAsia="仿宋_GB2312" w:hAnsi="Arial"/>
      <w:kern w:val="0"/>
      <w:sz w:val="24"/>
      <w:szCs w:val="20"/>
    </w:rPr>
  </w:style>
  <w:style w:type="paragraph" w:styleId="43">
    <w:name w:val="List Number 4"/>
    <w:basedOn w:val="a3"/>
    <w:qFormat/>
    <w:locked/>
    <w:pPr>
      <w:tabs>
        <w:tab w:val="left" w:pos="1620"/>
      </w:tabs>
      <w:adjustRightInd w:val="0"/>
      <w:snapToGrid w:val="0"/>
      <w:spacing w:before="60"/>
      <w:ind w:left="1620" w:hanging="360"/>
    </w:pPr>
    <w:rPr>
      <w:rFonts w:ascii="Arial" w:eastAsia="仿宋_GB2312" w:hAnsi="Arial"/>
      <w:kern w:val="0"/>
      <w:sz w:val="24"/>
      <w:szCs w:val="20"/>
    </w:rPr>
  </w:style>
  <w:style w:type="paragraph" w:styleId="TOC8">
    <w:name w:val="toc 8"/>
    <w:basedOn w:val="a3"/>
    <w:next w:val="a3"/>
    <w:qFormat/>
    <w:locked/>
    <w:pPr>
      <w:adjustRightInd w:val="0"/>
      <w:snapToGrid w:val="0"/>
      <w:ind w:left="1470"/>
      <w:jc w:val="left"/>
    </w:pPr>
    <w:rPr>
      <w:rFonts w:ascii="Calibri" w:hAnsi="Calibri" w:cs="Calibri"/>
      <w:sz w:val="18"/>
      <w:szCs w:val="18"/>
    </w:rPr>
  </w:style>
  <w:style w:type="paragraph" w:styleId="aff2">
    <w:name w:val="Date"/>
    <w:basedOn w:val="a3"/>
    <w:next w:val="a3"/>
    <w:link w:val="aff3"/>
    <w:qFormat/>
    <w:pPr>
      <w:adjustRightInd w:val="0"/>
      <w:snapToGrid w:val="0"/>
      <w:spacing w:beforeLines="50" w:before="156" w:line="312" w:lineRule="atLeast"/>
      <w:textAlignment w:val="baseline"/>
    </w:pPr>
    <w:rPr>
      <w:kern w:val="0"/>
      <w:sz w:val="20"/>
      <w:szCs w:val="20"/>
    </w:rPr>
  </w:style>
  <w:style w:type="paragraph" w:styleId="24">
    <w:name w:val="Body Text Indent 2"/>
    <w:basedOn w:val="a3"/>
    <w:link w:val="25"/>
    <w:uiPriority w:val="99"/>
    <w:qFormat/>
    <w:locked/>
    <w:pPr>
      <w:adjustRightInd w:val="0"/>
      <w:snapToGrid w:val="0"/>
      <w:spacing w:line="500" w:lineRule="exact"/>
      <w:ind w:firstLineChars="200" w:firstLine="480"/>
    </w:pPr>
    <w:rPr>
      <w:color w:val="000000"/>
      <w:kern w:val="0"/>
      <w:sz w:val="24"/>
      <w:szCs w:val="20"/>
    </w:rPr>
  </w:style>
  <w:style w:type="paragraph" w:styleId="52">
    <w:name w:val="List Continue 5"/>
    <w:basedOn w:val="a3"/>
    <w:qFormat/>
    <w:locked/>
    <w:pPr>
      <w:adjustRightInd w:val="0"/>
      <w:snapToGrid w:val="0"/>
      <w:spacing w:before="60" w:after="120"/>
      <w:ind w:left="2100" w:firstLine="482"/>
    </w:pPr>
    <w:rPr>
      <w:rFonts w:ascii="Arial" w:eastAsia="仿宋_GB2312" w:hAnsi="Arial"/>
      <w:kern w:val="0"/>
      <w:sz w:val="24"/>
      <w:szCs w:val="20"/>
    </w:rPr>
  </w:style>
  <w:style w:type="paragraph" w:styleId="aff4">
    <w:name w:val="Balloon Text"/>
    <w:basedOn w:val="a3"/>
    <w:link w:val="aff5"/>
    <w:uiPriority w:val="99"/>
    <w:qFormat/>
    <w:pPr>
      <w:adjustRightInd w:val="0"/>
      <w:snapToGrid w:val="0"/>
    </w:pPr>
    <w:rPr>
      <w:kern w:val="0"/>
      <w:sz w:val="18"/>
      <w:szCs w:val="18"/>
    </w:rPr>
  </w:style>
  <w:style w:type="paragraph" w:styleId="aff6">
    <w:name w:val="footer"/>
    <w:basedOn w:val="a3"/>
    <w:link w:val="aff7"/>
    <w:uiPriority w:val="99"/>
    <w:qFormat/>
    <w:pPr>
      <w:tabs>
        <w:tab w:val="center" w:pos="4153"/>
        <w:tab w:val="right" w:pos="8306"/>
      </w:tabs>
      <w:snapToGrid w:val="0"/>
      <w:jc w:val="left"/>
    </w:pPr>
    <w:rPr>
      <w:sz w:val="18"/>
      <w:szCs w:val="18"/>
    </w:rPr>
  </w:style>
  <w:style w:type="paragraph" w:styleId="aff8">
    <w:name w:val="envelope return"/>
    <w:basedOn w:val="a3"/>
    <w:qFormat/>
    <w:locked/>
    <w:pPr>
      <w:adjustRightInd w:val="0"/>
      <w:snapToGrid w:val="0"/>
      <w:spacing w:before="60"/>
      <w:ind w:firstLine="482"/>
    </w:pPr>
    <w:rPr>
      <w:rFonts w:ascii="Arial" w:eastAsia="仿宋_GB2312" w:hAnsi="Arial" w:cs="Arial"/>
      <w:kern w:val="0"/>
      <w:sz w:val="24"/>
      <w:szCs w:val="20"/>
    </w:rPr>
  </w:style>
  <w:style w:type="paragraph" w:styleId="aff9">
    <w:name w:val="header"/>
    <w:basedOn w:val="a3"/>
    <w:link w:val="affa"/>
    <w:uiPriority w:val="99"/>
    <w:qFormat/>
    <w:pPr>
      <w:pBdr>
        <w:bottom w:val="single" w:sz="6" w:space="1" w:color="auto"/>
      </w:pBdr>
      <w:tabs>
        <w:tab w:val="center" w:pos="4153"/>
        <w:tab w:val="right" w:pos="8306"/>
      </w:tabs>
      <w:snapToGrid w:val="0"/>
      <w:jc w:val="center"/>
    </w:pPr>
    <w:rPr>
      <w:sz w:val="18"/>
      <w:szCs w:val="18"/>
    </w:rPr>
  </w:style>
  <w:style w:type="paragraph" w:styleId="affb">
    <w:name w:val="Signature"/>
    <w:basedOn w:val="a3"/>
    <w:link w:val="affc"/>
    <w:qFormat/>
    <w:locked/>
    <w:pPr>
      <w:adjustRightInd w:val="0"/>
      <w:snapToGrid w:val="0"/>
      <w:spacing w:before="60"/>
      <w:ind w:left="4320" w:firstLine="482"/>
    </w:pPr>
    <w:rPr>
      <w:rFonts w:ascii="Arial" w:eastAsia="仿宋_GB2312" w:hAnsi="Arial"/>
      <w:kern w:val="0"/>
      <w:sz w:val="24"/>
      <w:szCs w:val="20"/>
    </w:rPr>
  </w:style>
  <w:style w:type="paragraph" w:styleId="TOC1">
    <w:name w:val="toc 1"/>
    <w:basedOn w:val="a3"/>
    <w:next w:val="a3"/>
    <w:link w:val="TOC10"/>
    <w:uiPriority w:val="39"/>
    <w:qFormat/>
    <w:locked/>
    <w:pPr>
      <w:adjustRightInd w:val="0"/>
      <w:snapToGrid w:val="0"/>
      <w:spacing w:before="120" w:after="120"/>
      <w:jc w:val="left"/>
    </w:pPr>
    <w:rPr>
      <w:rFonts w:ascii="Calibri" w:hAnsi="Calibri" w:cs="Calibri"/>
      <w:b/>
      <w:bCs/>
      <w:caps/>
      <w:kern w:val="0"/>
      <w:sz w:val="20"/>
      <w:szCs w:val="20"/>
    </w:rPr>
  </w:style>
  <w:style w:type="paragraph" w:styleId="44">
    <w:name w:val="List Continue 4"/>
    <w:basedOn w:val="a3"/>
    <w:qFormat/>
    <w:locked/>
    <w:pPr>
      <w:adjustRightInd w:val="0"/>
      <w:snapToGrid w:val="0"/>
      <w:spacing w:before="60" w:after="120"/>
      <w:ind w:left="1680" w:firstLine="482"/>
    </w:pPr>
    <w:rPr>
      <w:rFonts w:ascii="Arial" w:eastAsia="仿宋_GB2312" w:hAnsi="Arial"/>
      <w:kern w:val="0"/>
      <w:sz w:val="24"/>
      <w:szCs w:val="20"/>
    </w:rPr>
  </w:style>
  <w:style w:type="paragraph" w:styleId="TOC4">
    <w:name w:val="toc 4"/>
    <w:basedOn w:val="a3"/>
    <w:next w:val="a3"/>
    <w:qFormat/>
    <w:locked/>
    <w:pPr>
      <w:adjustRightInd w:val="0"/>
      <w:snapToGrid w:val="0"/>
      <w:ind w:left="630"/>
      <w:jc w:val="left"/>
    </w:pPr>
    <w:rPr>
      <w:rFonts w:ascii="Calibri" w:hAnsi="Calibri" w:cs="Calibri"/>
      <w:sz w:val="18"/>
      <w:szCs w:val="18"/>
    </w:rPr>
  </w:style>
  <w:style w:type="paragraph" w:styleId="affd">
    <w:name w:val="index heading"/>
    <w:basedOn w:val="a3"/>
    <w:next w:val="13"/>
    <w:qFormat/>
    <w:locked/>
    <w:pPr>
      <w:adjustRightInd w:val="0"/>
      <w:snapToGrid w:val="0"/>
    </w:pPr>
  </w:style>
  <w:style w:type="paragraph" w:styleId="13">
    <w:name w:val="index 1"/>
    <w:basedOn w:val="a3"/>
    <w:next w:val="a3"/>
    <w:qFormat/>
    <w:locked/>
    <w:pPr>
      <w:adjustRightInd w:val="0"/>
      <w:snapToGrid w:val="0"/>
      <w:spacing w:line="280" w:lineRule="exact"/>
      <w:ind w:left="240" w:hanging="240"/>
      <w:jc w:val="center"/>
    </w:pPr>
    <w:rPr>
      <w:sz w:val="18"/>
      <w:szCs w:val="18"/>
    </w:rPr>
  </w:style>
  <w:style w:type="paragraph" w:styleId="affe">
    <w:name w:val="Subtitle"/>
    <w:basedOn w:val="a3"/>
    <w:link w:val="afff"/>
    <w:qFormat/>
    <w:locked/>
    <w:pPr>
      <w:adjustRightInd w:val="0"/>
      <w:snapToGrid w:val="0"/>
      <w:spacing w:before="240" w:after="60" w:line="312" w:lineRule="auto"/>
      <w:ind w:firstLine="482"/>
      <w:jc w:val="center"/>
      <w:outlineLvl w:val="1"/>
    </w:pPr>
    <w:rPr>
      <w:rFonts w:ascii="Arial" w:eastAsia="仿宋_GB2312" w:hAnsi="Arial" w:cs="Arial"/>
      <w:b/>
      <w:bCs/>
      <w:kern w:val="28"/>
      <w:sz w:val="32"/>
      <w:szCs w:val="32"/>
    </w:rPr>
  </w:style>
  <w:style w:type="paragraph" w:styleId="53">
    <w:name w:val="List Number 5"/>
    <w:basedOn w:val="a3"/>
    <w:qFormat/>
    <w:locked/>
    <w:pPr>
      <w:tabs>
        <w:tab w:val="left" w:pos="420"/>
      </w:tabs>
      <w:adjustRightInd w:val="0"/>
      <w:snapToGrid w:val="0"/>
      <w:spacing w:before="60"/>
      <w:ind w:left="420" w:hanging="420"/>
    </w:pPr>
    <w:rPr>
      <w:rFonts w:ascii="Arial" w:eastAsia="仿宋_GB2312" w:hAnsi="Arial"/>
      <w:kern w:val="0"/>
      <w:sz w:val="24"/>
      <w:szCs w:val="20"/>
    </w:rPr>
  </w:style>
  <w:style w:type="paragraph" w:styleId="afff0">
    <w:name w:val="List"/>
    <w:basedOn w:val="a3"/>
    <w:qFormat/>
    <w:locked/>
    <w:pPr>
      <w:adjustRightInd w:val="0"/>
      <w:snapToGrid w:val="0"/>
      <w:spacing w:line="240" w:lineRule="exact"/>
      <w:jc w:val="center"/>
    </w:pPr>
    <w:rPr>
      <w:rFonts w:ascii="仿宋_GB2312" w:eastAsia="仿宋_GB2312"/>
      <w:szCs w:val="20"/>
    </w:rPr>
  </w:style>
  <w:style w:type="paragraph" w:styleId="afff1">
    <w:name w:val="footnote text"/>
    <w:basedOn w:val="a3"/>
    <w:link w:val="afff2"/>
    <w:qFormat/>
    <w:locked/>
    <w:pPr>
      <w:adjustRightInd w:val="0"/>
      <w:snapToGrid w:val="0"/>
      <w:spacing w:before="60"/>
      <w:ind w:firstLine="482"/>
      <w:jc w:val="left"/>
    </w:pPr>
    <w:rPr>
      <w:rFonts w:ascii="Arial" w:eastAsia="仿宋_GB2312" w:hAnsi="Arial"/>
      <w:kern w:val="0"/>
      <w:sz w:val="18"/>
      <w:szCs w:val="18"/>
    </w:rPr>
  </w:style>
  <w:style w:type="paragraph" w:styleId="TOC6">
    <w:name w:val="toc 6"/>
    <w:basedOn w:val="a3"/>
    <w:next w:val="a3"/>
    <w:qFormat/>
    <w:locked/>
    <w:pPr>
      <w:adjustRightInd w:val="0"/>
      <w:snapToGrid w:val="0"/>
      <w:ind w:left="1050"/>
      <w:jc w:val="left"/>
    </w:pPr>
    <w:rPr>
      <w:rFonts w:ascii="Calibri" w:hAnsi="Calibri" w:cs="Calibri"/>
      <w:sz w:val="18"/>
      <w:szCs w:val="18"/>
    </w:rPr>
  </w:style>
  <w:style w:type="paragraph" w:styleId="54">
    <w:name w:val="List 5"/>
    <w:basedOn w:val="a3"/>
    <w:qFormat/>
    <w:locked/>
    <w:pPr>
      <w:adjustRightInd w:val="0"/>
      <w:snapToGrid w:val="0"/>
      <w:spacing w:before="60"/>
      <w:ind w:left="2100" w:hanging="420"/>
    </w:pPr>
    <w:rPr>
      <w:rFonts w:ascii="Arial" w:eastAsia="仿宋_GB2312" w:hAnsi="Arial"/>
      <w:kern w:val="0"/>
      <w:sz w:val="24"/>
      <w:szCs w:val="20"/>
    </w:rPr>
  </w:style>
  <w:style w:type="paragraph" w:styleId="36">
    <w:name w:val="Body Text Indent 3"/>
    <w:basedOn w:val="a3"/>
    <w:link w:val="37"/>
    <w:qFormat/>
    <w:locked/>
    <w:pPr>
      <w:tabs>
        <w:tab w:val="left" w:pos="604"/>
      </w:tabs>
      <w:adjustRightInd w:val="0"/>
      <w:snapToGrid w:val="0"/>
      <w:spacing w:line="500" w:lineRule="exact"/>
      <w:ind w:firstLine="600"/>
    </w:pPr>
    <w:rPr>
      <w:kern w:val="0"/>
      <w:sz w:val="24"/>
    </w:rPr>
  </w:style>
  <w:style w:type="paragraph" w:styleId="afff3">
    <w:name w:val="table of figures"/>
    <w:basedOn w:val="a3"/>
    <w:next w:val="a3"/>
    <w:qFormat/>
    <w:locked/>
    <w:pPr>
      <w:adjustRightInd w:val="0"/>
      <w:snapToGrid w:val="0"/>
      <w:spacing w:beforeLines="100" w:before="100" w:line="500" w:lineRule="exact"/>
      <w:jc w:val="center"/>
    </w:pPr>
    <w:rPr>
      <w:rFonts w:ascii="仿宋_GB2312" w:eastAsia="仿宋_GB2312"/>
      <w:sz w:val="28"/>
    </w:rPr>
  </w:style>
  <w:style w:type="paragraph" w:styleId="TOC2">
    <w:name w:val="toc 2"/>
    <w:basedOn w:val="a3"/>
    <w:next w:val="a3"/>
    <w:uiPriority w:val="39"/>
    <w:qFormat/>
    <w:locked/>
    <w:pPr>
      <w:adjustRightInd w:val="0"/>
      <w:snapToGrid w:val="0"/>
      <w:ind w:left="210"/>
      <w:jc w:val="left"/>
    </w:pPr>
    <w:rPr>
      <w:rFonts w:ascii="Calibri" w:hAnsi="Calibri" w:cs="Calibri"/>
      <w:smallCaps/>
      <w:sz w:val="20"/>
      <w:szCs w:val="20"/>
    </w:rPr>
  </w:style>
  <w:style w:type="paragraph" w:styleId="TOC9">
    <w:name w:val="toc 9"/>
    <w:basedOn w:val="a3"/>
    <w:next w:val="a3"/>
    <w:qFormat/>
    <w:locked/>
    <w:pPr>
      <w:adjustRightInd w:val="0"/>
      <w:snapToGrid w:val="0"/>
      <w:ind w:left="1680"/>
      <w:jc w:val="left"/>
    </w:pPr>
    <w:rPr>
      <w:rFonts w:ascii="Calibri" w:hAnsi="Calibri" w:cs="Calibri"/>
      <w:sz w:val="18"/>
      <w:szCs w:val="18"/>
    </w:rPr>
  </w:style>
  <w:style w:type="paragraph" w:styleId="26">
    <w:name w:val="Body Text 2"/>
    <w:basedOn w:val="a3"/>
    <w:link w:val="27"/>
    <w:qFormat/>
    <w:locked/>
    <w:pPr>
      <w:adjustRightInd w:val="0"/>
      <w:snapToGrid w:val="0"/>
    </w:pPr>
    <w:rPr>
      <w:b/>
      <w:bCs/>
      <w:kern w:val="0"/>
      <w:sz w:val="24"/>
      <w:szCs w:val="20"/>
    </w:rPr>
  </w:style>
  <w:style w:type="paragraph" w:styleId="45">
    <w:name w:val="List 4"/>
    <w:basedOn w:val="a3"/>
    <w:qFormat/>
    <w:locked/>
    <w:pPr>
      <w:adjustRightInd w:val="0"/>
      <w:snapToGrid w:val="0"/>
      <w:spacing w:before="60"/>
      <w:ind w:left="1680" w:hanging="420"/>
    </w:pPr>
    <w:rPr>
      <w:rFonts w:ascii="Arial" w:eastAsia="仿宋_GB2312" w:hAnsi="Arial"/>
      <w:kern w:val="0"/>
      <w:sz w:val="24"/>
      <w:szCs w:val="20"/>
    </w:rPr>
  </w:style>
  <w:style w:type="paragraph" w:styleId="28">
    <w:name w:val="List Continue 2"/>
    <w:basedOn w:val="a3"/>
    <w:qFormat/>
    <w:locked/>
    <w:pPr>
      <w:adjustRightInd w:val="0"/>
      <w:snapToGrid w:val="0"/>
      <w:spacing w:before="60" w:after="120"/>
      <w:ind w:left="840" w:firstLine="482"/>
    </w:pPr>
    <w:rPr>
      <w:rFonts w:ascii="Arial" w:eastAsia="仿宋_GB2312" w:hAnsi="Arial"/>
      <w:kern w:val="0"/>
      <w:sz w:val="24"/>
      <w:szCs w:val="20"/>
    </w:rPr>
  </w:style>
  <w:style w:type="paragraph" w:styleId="afff4">
    <w:name w:val="Message Header"/>
    <w:basedOn w:val="a3"/>
    <w:link w:val="afff5"/>
    <w:qFormat/>
    <w:locked/>
    <w:pPr>
      <w:pBdr>
        <w:top w:val="single" w:sz="6" w:space="1" w:color="auto"/>
        <w:left w:val="single" w:sz="6" w:space="1" w:color="auto"/>
        <w:bottom w:val="single" w:sz="6" w:space="1" w:color="auto"/>
        <w:right w:val="single" w:sz="6" w:space="1" w:color="auto"/>
      </w:pBdr>
      <w:shd w:val="pct20" w:color="auto" w:fill="auto"/>
      <w:adjustRightInd w:val="0"/>
      <w:snapToGrid w:val="0"/>
      <w:spacing w:before="60"/>
      <w:ind w:left="1080" w:hanging="1080"/>
    </w:pPr>
    <w:rPr>
      <w:rFonts w:ascii="Arial" w:eastAsia="仿宋_GB2312" w:hAnsi="Arial" w:cs="Arial"/>
      <w:kern w:val="0"/>
      <w:sz w:val="24"/>
      <w:szCs w:val="20"/>
    </w:rPr>
  </w:style>
  <w:style w:type="paragraph" w:styleId="HTML1">
    <w:name w:val="HTML Preformatted"/>
    <w:basedOn w:val="a3"/>
    <w:link w:val="HTML2"/>
    <w:qFormat/>
    <w:locked/>
    <w:pPr>
      <w:adjustRightInd w:val="0"/>
      <w:snapToGrid w:val="0"/>
      <w:spacing w:before="60"/>
      <w:ind w:firstLine="482"/>
    </w:pPr>
    <w:rPr>
      <w:rFonts w:ascii="Courier New" w:eastAsia="仿宋_GB2312" w:hAnsi="Courier New" w:cs="Courier New"/>
      <w:kern w:val="0"/>
      <w:sz w:val="20"/>
      <w:szCs w:val="20"/>
    </w:rPr>
  </w:style>
  <w:style w:type="paragraph" w:styleId="afff6">
    <w:name w:val="Normal (Web)"/>
    <w:basedOn w:val="a3"/>
    <w:uiPriority w:val="99"/>
    <w:qFormat/>
    <w:pPr>
      <w:widowControl/>
      <w:adjustRightInd w:val="0"/>
      <w:snapToGrid w:val="0"/>
      <w:spacing w:before="100" w:beforeAutospacing="1" w:after="100" w:afterAutospacing="1"/>
      <w:jc w:val="left"/>
    </w:pPr>
    <w:rPr>
      <w:rFonts w:ascii="宋体" w:hAnsi="宋体" w:cs="宋体"/>
      <w:kern w:val="0"/>
      <w:sz w:val="24"/>
    </w:rPr>
  </w:style>
  <w:style w:type="paragraph" w:styleId="38">
    <w:name w:val="List Continue 3"/>
    <w:basedOn w:val="a3"/>
    <w:qFormat/>
    <w:locked/>
    <w:pPr>
      <w:adjustRightInd w:val="0"/>
      <w:snapToGrid w:val="0"/>
      <w:spacing w:before="60" w:after="120"/>
      <w:ind w:left="1260" w:firstLine="482"/>
    </w:pPr>
    <w:rPr>
      <w:rFonts w:ascii="Arial" w:eastAsia="仿宋_GB2312" w:hAnsi="Arial"/>
      <w:kern w:val="0"/>
      <w:sz w:val="24"/>
      <w:szCs w:val="20"/>
    </w:rPr>
  </w:style>
  <w:style w:type="paragraph" w:styleId="afff7">
    <w:name w:val="Title"/>
    <w:basedOn w:val="a3"/>
    <w:link w:val="afff8"/>
    <w:qFormat/>
    <w:locked/>
    <w:pPr>
      <w:adjustRightInd w:val="0"/>
      <w:snapToGrid w:val="0"/>
      <w:spacing w:before="240" w:after="60"/>
      <w:jc w:val="center"/>
      <w:outlineLvl w:val="0"/>
    </w:pPr>
    <w:rPr>
      <w:rFonts w:ascii="Arial" w:hAnsi="Arial" w:cs="Arial"/>
      <w:b/>
      <w:bCs/>
      <w:kern w:val="0"/>
      <w:sz w:val="32"/>
      <w:szCs w:val="32"/>
    </w:rPr>
  </w:style>
  <w:style w:type="paragraph" w:styleId="afff9">
    <w:name w:val="annotation subject"/>
    <w:basedOn w:val="af6"/>
    <w:next w:val="af6"/>
    <w:link w:val="afffa"/>
    <w:uiPriority w:val="99"/>
    <w:qFormat/>
    <w:rPr>
      <w:b/>
      <w:bCs/>
    </w:rPr>
  </w:style>
  <w:style w:type="paragraph" w:styleId="afffb">
    <w:name w:val="Body Text First Indent"/>
    <w:basedOn w:val="afc"/>
    <w:link w:val="afffc"/>
    <w:qFormat/>
    <w:locked/>
    <w:pPr>
      <w:adjustRightInd w:val="0"/>
      <w:snapToGrid w:val="0"/>
      <w:ind w:firstLineChars="100" w:firstLine="420"/>
    </w:pPr>
    <w:rPr>
      <w:kern w:val="0"/>
      <w:sz w:val="20"/>
      <w:szCs w:val="20"/>
    </w:rPr>
  </w:style>
  <w:style w:type="paragraph" w:styleId="29">
    <w:name w:val="Body Text First Indent 2"/>
    <w:basedOn w:val="afd"/>
    <w:next w:val="a3"/>
    <w:link w:val="2a"/>
    <w:qFormat/>
    <w:locked/>
    <w:pPr>
      <w:spacing w:before="60"/>
      <w:ind w:leftChars="0" w:left="0" w:firstLine="210"/>
    </w:pPr>
    <w:rPr>
      <w:kern w:val="0"/>
      <w:sz w:val="18"/>
      <w:szCs w:val="24"/>
    </w:rPr>
  </w:style>
  <w:style w:type="table" w:styleId="afffd">
    <w:name w:val="Table Grid"/>
    <w:basedOn w:val="a5"/>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e">
    <w:name w:val="Table Theme"/>
    <w:basedOn w:val="a5"/>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
    <w:name w:val="Table Elegant"/>
    <w:basedOn w:val="a5"/>
    <w:qFormat/>
    <w:locke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4">
    <w:name w:val="Table Classic 1"/>
    <w:basedOn w:val="a5"/>
    <w:qFormat/>
    <w:locked/>
    <w:pPr>
      <w:widowControl w:val="0"/>
      <w:adjustRightInd w:val="0"/>
      <w:jc w:val="center"/>
      <w:textAlignment w:val="baseline"/>
    </w:pPr>
    <w:rPr>
      <w:sz w:val="21"/>
    </w:rPr>
    <w:tblPr>
      <w:jc w:val="center"/>
      <w:tblBorders>
        <w:top w:val="single" w:sz="12" w:space="0" w:color="auto"/>
        <w:bottom w:val="single" w:sz="12" w:space="0" w:color="auto"/>
        <w:insideH w:val="single" w:sz="4" w:space="0" w:color="auto"/>
        <w:insideV w:val="single" w:sz="4" w:space="0" w:color="auto"/>
      </w:tblBorders>
    </w:tblPr>
    <w:trPr>
      <w:cantSplit/>
      <w:jc w:val="center"/>
    </w:trPr>
    <w:tcPr>
      <w:shd w:val="clear" w:color="auto" w:fill="auto"/>
      <w:vAlign w:val="center"/>
    </w:tcPr>
    <w:tblStylePr w:type="firstRow">
      <w:rPr>
        <w:rFonts w:ascii="Times New Roman" w:eastAsia="宋体" w:hAnsi="Times New Roman"/>
        <w:b/>
        <w:i w:val="0"/>
        <w:iCs/>
        <w:sz w:val="21"/>
      </w:rPr>
      <w:tblPr/>
      <w:trPr>
        <w:tblHeader/>
      </w:trPr>
      <w:tcPr>
        <w:tcBorders>
          <w:bottom w:val="single" w:sz="6" w:space="0" w:color="000000"/>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15">
    <w:name w:val="Table Simple 1"/>
    <w:basedOn w:val="a5"/>
    <w:qFormat/>
    <w:locked/>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55">
    <w:name w:val="Table Grid 5"/>
    <w:basedOn w:val="a5"/>
    <w:qFormat/>
    <w:locked/>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styleId="affff0">
    <w:name w:val="Strong"/>
    <w:qFormat/>
    <w:locked/>
    <w:rPr>
      <w:b/>
      <w:bCs/>
    </w:rPr>
  </w:style>
  <w:style w:type="character" w:styleId="affff1">
    <w:name w:val="page number"/>
    <w:basedOn w:val="a4"/>
    <w:qFormat/>
    <w:locked/>
  </w:style>
  <w:style w:type="character" w:styleId="affff2">
    <w:name w:val="FollowedHyperlink"/>
    <w:qFormat/>
    <w:locked/>
    <w:rPr>
      <w:color w:val="800080"/>
      <w:u w:val="single"/>
    </w:rPr>
  </w:style>
  <w:style w:type="character" w:styleId="affff3">
    <w:name w:val="Emphasis"/>
    <w:qFormat/>
    <w:locked/>
    <w:rPr>
      <w:color w:val="CC0033"/>
    </w:rPr>
  </w:style>
  <w:style w:type="character" w:styleId="affff4">
    <w:name w:val="Hyperlink"/>
    <w:uiPriority w:val="99"/>
    <w:qFormat/>
    <w:locked/>
    <w:rPr>
      <w:color w:val="0000FF"/>
      <w:u w:val="single"/>
    </w:rPr>
  </w:style>
  <w:style w:type="character" w:styleId="HTML3">
    <w:name w:val="HTML Code"/>
    <w:qFormat/>
    <w:locked/>
    <w:rPr>
      <w:rFonts w:ascii="黑体" w:eastAsia="黑体" w:hAnsi="Courier New" w:cs="Courier New"/>
      <w:sz w:val="24"/>
      <w:szCs w:val="24"/>
    </w:rPr>
  </w:style>
  <w:style w:type="character" w:styleId="affff5">
    <w:name w:val="annotation reference"/>
    <w:uiPriority w:val="99"/>
    <w:qFormat/>
    <w:rPr>
      <w:sz w:val="21"/>
      <w:szCs w:val="21"/>
    </w:rPr>
  </w:style>
  <w:style w:type="character" w:styleId="HTML4">
    <w:name w:val="HTML Keyboard"/>
    <w:qFormat/>
    <w:locked/>
    <w:rPr>
      <w:rFonts w:ascii="Courier New" w:hAnsi="Courier New" w:cs="Courier New"/>
      <w:sz w:val="20"/>
      <w:szCs w:val="20"/>
    </w:rPr>
  </w:style>
  <w:style w:type="paragraph" w:customStyle="1" w:styleId="Default">
    <w:name w:val="Default"/>
    <w:basedOn w:val="130"/>
    <w:qFormat/>
    <w:pPr>
      <w:autoSpaceDE w:val="0"/>
      <w:autoSpaceDN w:val="0"/>
      <w:adjustRightInd w:val="0"/>
    </w:pPr>
    <w:rPr>
      <w:rFonts w:ascii="宋体" w:cs="宋体"/>
      <w:color w:val="000000"/>
      <w:sz w:val="24"/>
      <w:szCs w:val="24"/>
      <w:lang w:eastAsia="zh-CN"/>
    </w:rPr>
  </w:style>
  <w:style w:type="paragraph" w:customStyle="1" w:styleId="130">
    <w:name w:val="正文文本 (13)"/>
    <w:basedOn w:val="a3"/>
    <w:qFormat/>
    <w:pPr>
      <w:shd w:val="clear" w:color="auto" w:fill="FFFFFF"/>
      <w:spacing w:line="494" w:lineRule="exact"/>
    </w:pPr>
    <w:rPr>
      <w:sz w:val="28"/>
      <w:szCs w:val="28"/>
      <w:lang w:eastAsia="en-US"/>
    </w:rPr>
  </w:style>
  <w:style w:type="character" w:customStyle="1" w:styleId="10">
    <w:name w:val="标题 1 字符"/>
    <w:link w:val="1"/>
    <w:qFormat/>
    <w:rPr>
      <w:rFonts w:eastAsia="黑体"/>
      <w:b/>
      <w:bCs/>
      <w:color w:val="000000"/>
      <w:kern w:val="44"/>
      <w:sz w:val="30"/>
      <w:szCs w:val="30"/>
    </w:rPr>
  </w:style>
  <w:style w:type="character" w:customStyle="1" w:styleId="20">
    <w:name w:val="标题 2 字符"/>
    <w:link w:val="2"/>
    <w:qFormat/>
    <w:rPr>
      <w:rFonts w:ascii="Calibri Light" w:hAnsi="Calibri Light"/>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Calibri Light" w:hAnsi="Calibri Light"/>
      <w:b/>
      <w:bCs/>
      <w:kern w:val="2"/>
      <w:sz w:val="28"/>
      <w:szCs w:val="28"/>
    </w:rPr>
  </w:style>
  <w:style w:type="character" w:customStyle="1" w:styleId="50">
    <w:name w:val="标题 5 字符"/>
    <w:link w:val="5"/>
    <w:qFormat/>
    <w:rPr>
      <w:b/>
      <w:bCs/>
      <w:kern w:val="2"/>
      <w:sz w:val="24"/>
      <w:szCs w:val="28"/>
    </w:rPr>
  </w:style>
  <w:style w:type="character" w:customStyle="1" w:styleId="60">
    <w:name w:val="标题 6 字符"/>
    <w:link w:val="6"/>
    <w:qFormat/>
    <w:rPr>
      <w:rFonts w:ascii="Cambria" w:hAnsi="Cambria"/>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uiPriority w:val="9"/>
    <w:qFormat/>
    <w:rPr>
      <w:rFonts w:ascii="Cambria" w:hAnsi="Cambria"/>
      <w:kern w:val="2"/>
      <w:sz w:val="24"/>
      <w:szCs w:val="24"/>
    </w:rPr>
  </w:style>
  <w:style w:type="character" w:customStyle="1" w:styleId="90">
    <w:name w:val="标题 9 字符"/>
    <w:link w:val="9"/>
    <w:uiPriority w:val="9"/>
    <w:qFormat/>
    <w:rPr>
      <w:rFonts w:ascii="Cambria" w:hAnsi="Cambria"/>
      <w:kern w:val="2"/>
      <w:sz w:val="21"/>
      <w:szCs w:val="21"/>
    </w:rPr>
  </w:style>
  <w:style w:type="paragraph" w:customStyle="1" w:styleId="affff6">
    <w:name w:val="！正文"/>
    <w:basedOn w:val="a3"/>
    <w:link w:val="Char"/>
    <w:qFormat/>
    <w:pPr>
      <w:adjustRightInd w:val="0"/>
      <w:snapToGrid w:val="0"/>
      <w:spacing w:line="360" w:lineRule="auto"/>
      <w:ind w:firstLineChars="200" w:firstLine="200"/>
    </w:pPr>
    <w:rPr>
      <w:sz w:val="24"/>
      <w:szCs w:val="22"/>
    </w:rPr>
  </w:style>
  <w:style w:type="character" w:customStyle="1" w:styleId="Char">
    <w:name w:val="！正文 Char"/>
    <w:link w:val="affff6"/>
    <w:qFormat/>
    <w:rPr>
      <w:kern w:val="2"/>
      <w:sz w:val="24"/>
      <w:szCs w:val="22"/>
    </w:rPr>
  </w:style>
  <w:style w:type="character" w:customStyle="1" w:styleId="af7">
    <w:name w:val="批注文字 字符"/>
    <w:link w:val="af6"/>
    <w:uiPriority w:val="99"/>
    <w:qFormat/>
    <w:rPr>
      <w:kern w:val="2"/>
      <w:sz w:val="21"/>
      <w:szCs w:val="24"/>
    </w:rPr>
  </w:style>
  <w:style w:type="character" w:customStyle="1" w:styleId="afffa">
    <w:name w:val="批注主题 字符"/>
    <w:link w:val="afff9"/>
    <w:uiPriority w:val="99"/>
    <w:qFormat/>
    <w:rPr>
      <w:b/>
      <w:bCs/>
      <w:kern w:val="2"/>
      <w:sz w:val="21"/>
      <w:szCs w:val="24"/>
    </w:rPr>
  </w:style>
  <w:style w:type="paragraph" w:customStyle="1" w:styleId="Char1CharCharCharCharChar">
    <w:name w:val="Char1 Char Char Char Char Char 字元 字元"/>
    <w:basedOn w:val="a3"/>
    <w:qFormat/>
    <w:rPr>
      <w:szCs w:val="21"/>
    </w:rPr>
  </w:style>
  <w:style w:type="character" w:customStyle="1" w:styleId="11">
    <w:name w:val="正文文本 字符1"/>
    <w:link w:val="afc"/>
    <w:uiPriority w:val="99"/>
    <w:qFormat/>
    <w:rPr>
      <w:kern w:val="2"/>
      <w:sz w:val="21"/>
      <w:szCs w:val="24"/>
    </w:rPr>
  </w:style>
  <w:style w:type="character" w:customStyle="1" w:styleId="affff7">
    <w:name w:val="正文文本 字符"/>
    <w:uiPriority w:val="99"/>
    <w:qFormat/>
    <w:rPr>
      <w:kern w:val="2"/>
      <w:sz w:val="21"/>
      <w:szCs w:val="24"/>
    </w:rPr>
  </w:style>
  <w:style w:type="paragraph" w:customStyle="1" w:styleId="LC-">
    <w:name w:val="LC-表格内文字"/>
    <w:basedOn w:val="a3"/>
    <w:qFormat/>
    <w:pPr>
      <w:widowControl/>
      <w:jc w:val="center"/>
    </w:pPr>
    <w:rPr>
      <w:bCs/>
      <w:color w:val="000000"/>
      <w:szCs w:val="20"/>
    </w:rPr>
  </w:style>
  <w:style w:type="character" w:customStyle="1" w:styleId="font71">
    <w:name w:val="font71"/>
    <w:basedOn w:val="a4"/>
    <w:qFormat/>
    <w:rPr>
      <w:rFonts w:ascii="Times New Roman" w:hAnsi="Times New Roman" w:cs="Times New Roman" w:hint="default"/>
      <w:b/>
      <w:color w:val="000000"/>
      <w:sz w:val="21"/>
      <w:szCs w:val="21"/>
      <w:u w:val="none"/>
    </w:rPr>
  </w:style>
  <w:style w:type="character" w:customStyle="1" w:styleId="font61">
    <w:name w:val="font61"/>
    <w:basedOn w:val="a4"/>
    <w:qFormat/>
    <w:rPr>
      <w:rFonts w:ascii="宋体" w:eastAsia="宋体" w:hAnsi="宋体" w:cs="宋体" w:hint="eastAsia"/>
      <w:b/>
      <w:color w:val="000000"/>
      <w:sz w:val="21"/>
      <w:szCs w:val="21"/>
      <w:u w:val="none"/>
    </w:rPr>
  </w:style>
  <w:style w:type="character" w:customStyle="1" w:styleId="affa">
    <w:name w:val="页眉 字符"/>
    <w:link w:val="aff9"/>
    <w:uiPriority w:val="99"/>
    <w:qFormat/>
    <w:rPr>
      <w:kern w:val="2"/>
      <w:sz w:val="18"/>
      <w:szCs w:val="18"/>
    </w:rPr>
  </w:style>
  <w:style w:type="character" w:customStyle="1" w:styleId="aff7">
    <w:name w:val="页脚 字符"/>
    <w:link w:val="aff6"/>
    <w:uiPriority w:val="99"/>
    <w:qFormat/>
    <w:rPr>
      <w:kern w:val="2"/>
      <w:sz w:val="18"/>
      <w:szCs w:val="18"/>
    </w:rPr>
  </w:style>
  <w:style w:type="character" w:customStyle="1" w:styleId="310">
    <w:name w:val="标题 3 字符1"/>
    <w:qFormat/>
    <w:rPr>
      <w:rFonts w:eastAsia="仿宋_GB2312"/>
      <w:b/>
      <w:bCs/>
      <w:sz w:val="28"/>
      <w:szCs w:val="32"/>
    </w:rPr>
  </w:style>
  <w:style w:type="character" w:customStyle="1" w:styleId="320">
    <w:name w:val="标题 3 字符2"/>
    <w:qFormat/>
    <w:rPr>
      <w:rFonts w:ascii="Times New Roman" w:eastAsia="仿宋_GB2312" w:hAnsi="Times New Roman"/>
      <w:b/>
      <w:bCs/>
      <w:sz w:val="28"/>
      <w:szCs w:val="32"/>
    </w:rPr>
  </w:style>
  <w:style w:type="character" w:customStyle="1" w:styleId="4Char">
    <w:name w:val="标题 4 Char"/>
    <w:qFormat/>
    <w:rPr>
      <w:rFonts w:ascii="Times New Roman" w:eastAsia="仿宋_GB2312" w:hAnsi="Times New Roman"/>
      <w:b/>
      <w:bCs/>
      <w:sz w:val="28"/>
      <w:szCs w:val="28"/>
    </w:rPr>
  </w:style>
  <w:style w:type="character" w:customStyle="1" w:styleId="210">
    <w:name w:val="标题 2 字符1"/>
    <w:uiPriority w:val="99"/>
    <w:qFormat/>
    <w:rPr>
      <w:rFonts w:ascii="Times New Roman" w:eastAsia="仿宋" w:hAnsi="Times New Roman" w:cs="宋体"/>
      <w:b/>
      <w:bCs/>
      <w:kern w:val="0"/>
      <w:sz w:val="24"/>
      <w:szCs w:val="32"/>
    </w:rPr>
  </w:style>
  <w:style w:type="character" w:customStyle="1" w:styleId="410">
    <w:name w:val="标题 4 字符1"/>
    <w:qFormat/>
    <w:rPr>
      <w:rFonts w:ascii="Times New Roman" w:eastAsia="仿宋" w:hAnsi="Times New Roman" w:cs="Times New Roman"/>
      <w:b/>
      <w:bCs/>
      <w:sz w:val="24"/>
      <w:szCs w:val="28"/>
    </w:rPr>
  </w:style>
  <w:style w:type="paragraph" w:customStyle="1" w:styleId="affff8">
    <w:name w:val="表格"/>
    <w:basedOn w:val="afc"/>
    <w:link w:val="Char0"/>
    <w:qFormat/>
    <w:pPr>
      <w:widowControl/>
      <w:tabs>
        <w:tab w:val="left" w:pos="1733"/>
      </w:tabs>
      <w:autoSpaceDE w:val="0"/>
      <w:autoSpaceDN w:val="0"/>
      <w:adjustRightInd w:val="0"/>
      <w:snapToGrid w:val="0"/>
      <w:spacing w:after="0"/>
      <w:jc w:val="center"/>
    </w:pPr>
    <w:rPr>
      <w:rFonts w:cs="宋体"/>
      <w:kern w:val="0"/>
      <w:szCs w:val="20"/>
    </w:rPr>
  </w:style>
  <w:style w:type="paragraph" w:styleId="affff9">
    <w:name w:val="No Spacing"/>
    <w:basedOn w:val="a3"/>
    <w:uiPriority w:val="1"/>
    <w:qFormat/>
    <w:pPr>
      <w:adjustRightInd w:val="0"/>
      <w:snapToGrid w:val="0"/>
      <w:spacing w:line="500" w:lineRule="exact"/>
      <w:jc w:val="center"/>
    </w:pPr>
    <w:rPr>
      <w:rFonts w:eastAsiaTheme="minorEastAsia"/>
    </w:rPr>
  </w:style>
  <w:style w:type="paragraph" w:customStyle="1" w:styleId="affffa">
    <w:name w:val="表头"/>
    <w:basedOn w:val="affffb"/>
    <w:next w:val="a3"/>
    <w:link w:val="affffc"/>
    <w:qFormat/>
    <w:pPr>
      <w:autoSpaceDE w:val="0"/>
      <w:autoSpaceDN w:val="0"/>
      <w:adjustRightInd w:val="0"/>
      <w:spacing w:after="0" w:line="500" w:lineRule="exact"/>
    </w:pPr>
    <w:rPr>
      <w:rFonts w:eastAsia="仿宋" w:cs="宋体"/>
      <w:sz w:val="24"/>
      <w:szCs w:val="22"/>
    </w:rPr>
  </w:style>
  <w:style w:type="paragraph" w:customStyle="1" w:styleId="affffb">
    <w:name w:val="图表"/>
    <w:basedOn w:val="1"/>
    <w:qFormat/>
    <w:pPr>
      <w:jc w:val="center"/>
    </w:pPr>
    <w:rPr>
      <w:szCs w:val="24"/>
    </w:rPr>
  </w:style>
  <w:style w:type="character" w:customStyle="1" w:styleId="affffc">
    <w:name w:val="表头 字符"/>
    <w:basedOn w:val="affff7"/>
    <w:link w:val="affffa"/>
    <w:qFormat/>
    <w:rPr>
      <w:rFonts w:eastAsia="仿宋" w:cs="宋体"/>
      <w:b/>
      <w:kern w:val="2"/>
      <w:sz w:val="24"/>
      <w:szCs w:val="22"/>
    </w:rPr>
  </w:style>
  <w:style w:type="paragraph" w:customStyle="1" w:styleId="affffd">
    <w:name w:val="表格内容"/>
    <w:basedOn w:val="a3"/>
    <w:link w:val="affffe"/>
    <w:qFormat/>
    <w:pPr>
      <w:autoSpaceDE w:val="0"/>
      <w:autoSpaceDN w:val="0"/>
      <w:adjustRightInd w:val="0"/>
      <w:snapToGrid w:val="0"/>
      <w:jc w:val="center"/>
    </w:pPr>
    <w:rPr>
      <w:rFonts w:eastAsiaTheme="minorEastAsia" w:cs="宋体"/>
      <w:kern w:val="0"/>
      <w:szCs w:val="22"/>
    </w:rPr>
  </w:style>
  <w:style w:type="character" w:customStyle="1" w:styleId="affffe">
    <w:name w:val="表格内容 字符"/>
    <w:basedOn w:val="a4"/>
    <w:link w:val="affffd"/>
    <w:qFormat/>
    <w:rPr>
      <w:rFonts w:eastAsiaTheme="minorEastAsia" w:cs="宋体"/>
      <w:sz w:val="21"/>
      <w:szCs w:val="22"/>
    </w:rPr>
  </w:style>
  <w:style w:type="paragraph" w:customStyle="1" w:styleId="afffff">
    <w:name w:val="报告正文"/>
    <w:basedOn w:val="a3"/>
    <w:link w:val="Char1"/>
    <w:qFormat/>
    <w:pPr>
      <w:adjustRightInd w:val="0"/>
      <w:snapToGrid w:val="0"/>
      <w:spacing w:line="500" w:lineRule="exact"/>
      <w:ind w:firstLineChars="200" w:firstLine="200"/>
    </w:pPr>
    <w:rPr>
      <w:rFonts w:eastAsiaTheme="minorEastAsia" w:cstheme="minorBidi"/>
      <w:sz w:val="24"/>
      <w:szCs w:val="22"/>
    </w:rPr>
  </w:style>
  <w:style w:type="character" w:customStyle="1" w:styleId="Char1">
    <w:name w:val="报告正文 Char1"/>
    <w:link w:val="afffff"/>
    <w:qFormat/>
    <w:rPr>
      <w:rFonts w:eastAsiaTheme="minorEastAsia" w:cstheme="minorBidi"/>
      <w:kern w:val="2"/>
      <w:sz w:val="24"/>
      <w:szCs w:val="22"/>
    </w:rPr>
  </w:style>
  <w:style w:type="character" w:customStyle="1" w:styleId="Char2">
    <w:name w:val="报告正文 Char"/>
    <w:basedOn w:val="a4"/>
    <w:qFormat/>
    <w:rPr>
      <w:rFonts w:ascii="Times New Roman" w:eastAsia="宋体" w:hAnsi="Times New Roman" w:cs="宋体"/>
      <w:bCs/>
      <w:sz w:val="24"/>
      <w:szCs w:val="24"/>
    </w:rPr>
  </w:style>
  <w:style w:type="paragraph" w:customStyle="1" w:styleId="afffff0">
    <w:name w:val="正文新"/>
    <w:basedOn w:val="a3"/>
    <w:link w:val="afffff1"/>
    <w:qFormat/>
    <w:pPr>
      <w:adjustRightInd w:val="0"/>
      <w:snapToGrid w:val="0"/>
      <w:spacing w:line="500" w:lineRule="exact"/>
      <w:ind w:firstLineChars="200" w:firstLine="200"/>
    </w:pPr>
    <w:rPr>
      <w:rFonts w:asciiTheme="minorHAnsi" w:eastAsiaTheme="minorEastAsia" w:hAnsiTheme="minorHAnsi" w:cstheme="minorBidi"/>
      <w:sz w:val="24"/>
      <w:szCs w:val="22"/>
    </w:rPr>
  </w:style>
  <w:style w:type="character" w:customStyle="1" w:styleId="afffff1">
    <w:name w:val="正文新 字符"/>
    <w:basedOn w:val="a4"/>
    <w:link w:val="afffff0"/>
    <w:qFormat/>
    <w:rPr>
      <w:rFonts w:asciiTheme="minorHAnsi" w:eastAsiaTheme="minorEastAsia" w:hAnsiTheme="minorHAnsi" w:cstheme="minorBidi"/>
      <w:kern w:val="2"/>
      <w:sz w:val="24"/>
      <w:szCs w:val="22"/>
    </w:rPr>
  </w:style>
  <w:style w:type="paragraph" w:customStyle="1" w:styleId="afffff2">
    <w:name w:val="表标题"/>
    <w:basedOn w:val="afffff3"/>
    <w:qFormat/>
    <w:pPr>
      <w:spacing w:before="0" w:line="500" w:lineRule="exact"/>
      <w:ind w:firstLineChars="0" w:firstLine="0"/>
      <w:contextualSpacing w:val="0"/>
    </w:pPr>
    <w:rPr>
      <w:bCs w:val="0"/>
      <w:sz w:val="24"/>
    </w:rPr>
  </w:style>
  <w:style w:type="paragraph" w:customStyle="1" w:styleId="afffff3">
    <w:name w:val="图表标题"/>
    <w:basedOn w:val="a3"/>
    <w:qFormat/>
    <w:pPr>
      <w:adjustRightInd w:val="0"/>
      <w:snapToGrid w:val="0"/>
      <w:spacing w:before="60" w:line="460" w:lineRule="exact"/>
      <w:ind w:firstLineChars="199" w:firstLine="199"/>
      <w:contextualSpacing/>
      <w:jc w:val="center"/>
    </w:pPr>
    <w:rPr>
      <w:b/>
      <w:bCs/>
      <w:szCs w:val="21"/>
      <w:shd w:val="clear" w:color="auto" w:fill="FFFFFF"/>
    </w:rPr>
  </w:style>
  <w:style w:type="paragraph" w:customStyle="1" w:styleId="16">
    <w:name w:val="1表格"/>
    <w:basedOn w:val="a3"/>
    <w:qFormat/>
    <w:pPr>
      <w:adjustRightInd w:val="0"/>
      <w:snapToGrid w:val="0"/>
      <w:jc w:val="center"/>
      <w:textAlignment w:val="baseline"/>
    </w:pPr>
    <w:rPr>
      <w:spacing w:val="4"/>
      <w:kern w:val="0"/>
      <w:szCs w:val="20"/>
    </w:rPr>
  </w:style>
  <w:style w:type="paragraph" w:customStyle="1" w:styleId="71">
    <w:name w:val="7表格(治)"/>
    <w:qFormat/>
    <w:pPr>
      <w:jc w:val="center"/>
    </w:pPr>
    <w:rPr>
      <w:sz w:val="21"/>
    </w:rPr>
  </w:style>
  <w:style w:type="paragraph" w:customStyle="1" w:styleId="61">
    <w:name w:val="6表(图)头(治)"/>
    <w:next w:val="a3"/>
    <w:qFormat/>
    <w:pPr>
      <w:widowControl w:val="0"/>
      <w:jc w:val="center"/>
    </w:pPr>
    <w:rPr>
      <w:b/>
      <w:sz w:val="24"/>
    </w:rPr>
  </w:style>
  <w:style w:type="paragraph" w:customStyle="1" w:styleId="56">
    <w:name w:val="5号表文"/>
    <w:qFormat/>
    <w:pPr>
      <w:jc w:val="center"/>
    </w:pPr>
    <w:rPr>
      <w:snapToGrid w:val="0"/>
      <w:sz w:val="21"/>
    </w:rPr>
  </w:style>
  <w:style w:type="paragraph" w:customStyle="1" w:styleId="57">
    <w:name w:val="5文章(治)"/>
    <w:basedOn w:val="a3"/>
    <w:qFormat/>
    <w:pPr>
      <w:adjustRightInd w:val="0"/>
      <w:snapToGrid w:val="0"/>
      <w:spacing w:line="500" w:lineRule="exact"/>
    </w:pPr>
    <w:rPr>
      <w:rFonts w:hint="eastAsia"/>
      <w:szCs w:val="28"/>
    </w:rPr>
  </w:style>
  <w:style w:type="paragraph" w:customStyle="1" w:styleId="17">
    <w:name w:val="标题1"/>
    <w:basedOn w:val="1"/>
    <w:link w:val="18"/>
    <w:qFormat/>
    <w:pPr>
      <w:keepLines/>
      <w:widowControl/>
      <w:tabs>
        <w:tab w:val="left" w:pos="720"/>
      </w:tabs>
      <w:overflowPunct/>
      <w:adjustRightInd w:val="0"/>
      <w:spacing w:before="0" w:after="0" w:line="500" w:lineRule="exact"/>
      <w:ind w:left="0" w:firstLine="0"/>
      <w:jc w:val="left"/>
    </w:pPr>
    <w:rPr>
      <w:rFonts w:ascii="Calibri Light" w:eastAsiaTheme="majorEastAsia" w:hAnsi="Calibri Light"/>
      <w:color w:val="auto"/>
      <w:sz w:val="28"/>
      <w:szCs w:val="24"/>
    </w:rPr>
  </w:style>
  <w:style w:type="character" w:customStyle="1" w:styleId="18">
    <w:name w:val="标题1 字符"/>
    <w:basedOn w:val="20"/>
    <w:link w:val="17"/>
    <w:qFormat/>
    <w:rPr>
      <w:rFonts w:ascii="Calibri Light" w:eastAsiaTheme="majorEastAsia" w:hAnsi="Calibri Light"/>
      <w:b/>
      <w:bCs/>
      <w:kern w:val="44"/>
      <w:sz w:val="28"/>
      <w:szCs w:val="24"/>
    </w:rPr>
  </w:style>
  <w:style w:type="paragraph" w:customStyle="1" w:styleId="39">
    <w:name w:val="标题3"/>
    <w:basedOn w:val="3"/>
    <w:link w:val="3a"/>
    <w:qFormat/>
    <w:pPr>
      <w:autoSpaceDE w:val="0"/>
      <w:autoSpaceDN w:val="0"/>
      <w:adjustRightInd w:val="0"/>
      <w:snapToGrid w:val="0"/>
      <w:spacing w:before="0" w:after="0" w:line="500" w:lineRule="exact"/>
      <w:jc w:val="left"/>
    </w:pPr>
    <w:rPr>
      <w:rFonts w:eastAsiaTheme="majorEastAsia" w:cstheme="minorBidi"/>
      <w:kern w:val="0"/>
      <w:sz w:val="24"/>
    </w:rPr>
  </w:style>
  <w:style w:type="character" w:customStyle="1" w:styleId="3a">
    <w:name w:val="标题3 字符"/>
    <w:basedOn w:val="a4"/>
    <w:link w:val="39"/>
    <w:qFormat/>
    <w:rPr>
      <w:rFonts w:eastAsiaTheme="majorEastAsia" w:cstheme="minorBidi"/>
      <w:b/>
      <w:bCs/>
      <w:sz w:val="24"/>
      <w:szCs w:val="32"/>
    </w:rPr>
  </w:style>
  <w:style w:type="paragraph" w:customStyle="1" w:styleId="46">
    <w:name w:val="标题4"/>
    <w:basedOn w:val="4"/>
    <w:link w:val="47"/>
    <w:qFormat/>
    <w:pPr>
      <w:widowControl/>
      <w:adjustRightInd w:val="0"/>
      <w:snapToGrid w:val="0"/>
      <w:spacing w:before="0" w:after="0" w:line="500" w:lineRule="atLeast"/>
      <w:jc w:val="left"/>
    </w:pPr>
    <w:rPr>
      <w:rFonts w:ascii="Times New Roman" w:eastAsiaTheme="majorEastAsia" w:hAnsi="Times New Roman"/>
      <w:b w:val="0"/>
      <w:bCs w:val="0"/>
      <w:sz w:val="24"/>
    </w:rPr>
  </w:style>
  <w:style w:type="character" w:customStyle="1" w:styleId="47">
    <w:name w:val="标题4 字符"/>
    <w:basedOn w:val="410"/>
    <w:link w:val="46"/>
    <w:qFormat/>
    <w:rPr>
      <w:rFonts w:ascii="Times New Roman" w:eastAsiaTheme="majorEastAsia" w:hAnsi="Times New Roman" w:cs="Times New Roman"/>
      <w:b w:val="0"/>
      <w:bCs w:val="0"/>
      <w:kern w:val="2"/>
      <w:sz w:val="24"/>
      <w:szCs w:val="28"/>
    </w:rPr>
  </w:style>
  <w:style w:type="paragraph" w:customStyle="1" w:styleId="62">
    <w:name w:val="样式6"/>
    <w:basedOn w:val="6"/>
    <w:link w:val="63"/>
    <w:qFormat/>
    <w:pPr>
      <w:spacing w:before="0" w:after="0" w:line="360" w:lineRule="auto"/>
      <w:ind w:left="0" w:firstLine="0"/>
    </w:pPr>
    <w:rPr>
      <w:rFonts w:ascii="Times New Roman" w:eastAsia="仿宋" w:hAnsi="Times New Roman" w:cstheme="majorBidi"/>
      <w:bCs w:val="0"/>
    </w:rPr>
  </w:style>
  <w:style w:type="character" w:customStyle="1" w:styleId="63">
    <w:name w:val="样式6 字符"/>
    <w:basedOn w:val="a4"/>
    <w:link w:val="62"/>
    <w:qFormat/>
    <w:rPr>
      <w:rFonts w:eastAsia="仿宋" w:cstheme="majorBidi"/>
      <w:b/>
      <w:kern w:val="2"/>
      <w:sz w:val="24"/>
      <w:szCs w:val="24"/>
    </w:rPr>
  </w:style>
  <w:style w:type="paragraph" w:customStyle="1" w:styleId="58">
    <w:name w:val="标题5"/>
    <w:basedOn w:val="5"/>
    <w:link w:val="59"/>
    <w:qFormat/>
    <w:pPr>
      <w:spacing w:line="360" w:lineRule="auto"/>
      <w:jc w:val="left"/>
    </w:pPr>
    <w:rPr>
      <w:rFonts w:eastAsiaTheme="majorEastAsia"/>
    </w:rPr>
  </w:style>
  <w:style w:type="character" w:customStyle="1" w:styleId="59">
    <w:name w:val="标题5 字符"/>
    <w:basedOn w:val="50"/>
    <w:link w:val="58"/>
    <w:qFormat/>
    <w:rPr>
      <w:rFonts w:eastAsiaTheme="majorEastAsia"/>
      <w:b/>
      <w:bCs/>
      <w:kern w:val="2"/>
      <w:sz w:val="24"/>
      <w:szCs w:val="28"/>
    </w:rPr>
  </w:style>
  <w:style w:type="paragraph" w:customStyle="1" w:styleId="2b">
    <w:name w:val="表格标题2"/>
    <w:basedOn w:val="a3"/>
    <w:next w:val="a3"/>
    <w:link w:val="2c"/>
    <w:qFormat/>
    <w:pPr>
      <w:adjustRightInd w:val="0"/>
      <w:snapToGrid w:val="0"/>
      <w:spacing w:line="500" w:lineRule="exact"/>
      <w:jc w:val="center"/>
    </w:pPr>
    <w:rPr>
      <w:rFonts w:cstheme="minorBidi"/>
      <w:b/>
      <w:sz w:val="24"/>
      <w:szCs w:val="21"/>
    </w:rPr>
  </w:style>
  <w:style w:type="character" w:customStyle="1" w:styleId="2c">
    <w:name w:val="表格标题2 字符"/>
    <w:basedOn w:val="a4"/>
    <w:link w:val="2b"/>
    <w:qFormat/>
    <w:rPr>
      <w:rFonts w:cstheme="minorBidi"/>
      <w:b/>
      <w:kern w:val="2"/>
      <w:sz w:val="24"/>
      <w:szCs w:val="21"/>
    </w:rPr>
  </w:style>
  <w:style w:type="character" w:customStyle="1" w:styleId="1CharChar">
    <w:name w:val="标题 1 Char Char"/>
    <w:qFormat/>
    <w:rPr>
      <w:rFonts w:eastAsia="黑体"/>
      <w:kern w:val="44"/>
      <w:sz w:val="30"/>
      <w:szCs w:val="44"/>
      <w:lang w:val="en-US" w:eastAsia="zh-CN" w:bidi="ar-SA"/>
    </w:rPr>
  </w:style>
  <w:style w:type="character" w:customStyle="1" w:styleId="unnamed2">
    <w:name w:val="unnamed2"/>
    <w:qFormat/>
  </w:style>
  <w:style w:type="character" w:customStyle="1" w:styleId="headline-content">
    <w:name w:val="headline-content"/>
    <w:qFormat/>
  </w:style>
  <w:style w:type="character" w:customStyle="1" w:styleId="111Char">
    <w:name w:val="条标题1.1.1 Char"/>
    <w:qFormat/>
    <w:rPr>
      <w:rFonts w:eastAsia="宋体"/>
      <w:b/>
      <w:bCs/>
      <w:kern w:val="2"/>
      <w:sz w:val="32"/>
      <w:szCs w:val="32"/>
      <w:lang w:val="en-US" w:eastAsia="zh-CN" w:bidi="ar-SA"/>
    </w:rPr>
  </w:style>
  <w:style w:type="character" w:customStyle="1" w:styleId="Char10">
    <w:name w:val="正文（首行缩进两字） Char1"/>
    <w:qFormat/>
    <w:rPr>
      <w:rFonts w:eastAsia="宋体"/>
      <w:kern w:val="2"/>
      <w:sz w:val="28"/>
      <w:szCs w:val="24"/>
      <w:lang w:val="en-US" w:eastAsia="zh-CN" w:bidi="ar-SA"/>
    </w:rPr>
  </w:style>
  <w:style w:type="character" w:customStyle="1" w:styleId="afff2">
    <w:name w:val="脚注文本 字符"/>
    <w:link w:val="afff1"/>
    <w:qFormat/>
    <w:rPr>
      <w:rFonts w:ascii="Arial" w:eastAsia="仿宋_GB2312" w:hAnsi="Arial"/>
      <w:sz w:val="18"/>
      <w:szCs w:val="18"/>
    </w:rPr>
  </w:style>
  <w:style w:type="character" w:customStyle="1" w:styleId="CharChar6">
    <w:name w:val="Char Char6"/>
    <w:semiHidden/>
    <w:qFormat/>
    <w:rPr>
      <w:rFonts w:eastAsia="宋体"/>
      <w:kern w:val="2"/>
      <w:sz w:val="21"/>
      <w:szCs w:val="24"/>
      <w:lang w:val="en-US" w:eastAsia="zh-CN" w:bidi="ar-SA"/>
    </w:rPr>
  </w:style>
  <w:style w:type="character" w:customStyle="1" w:styleId="ab">
    <w:name w:val="电子邮件签名 字符"/>
    <w:link w:val="aa"/>
    <w:qFormat/>
    <w:rPr>
      <w:rFonts w:ascii="Arial" w:eastAsia="仿宋_GB2312" w:hAnsi="Arial"/>
      <w:sz w:val="24"/>
    </w:rPr>
  </w:style>
  <w:style w:type="character" w:customStyle="1" w:styleId="Char3">
    <w:name w:val="标题三最终 Char"/>
    <w:link w:val="a1"/>
    <w:qFormat/>
    <w:rPr>
      <w:rFonts w:hAnsi="宋体"/>
      <w:b/>
      <w:bCs/>
      <w:sz w:val="28"/>
      <w:szCs w:val="28"/>
    </w:rPr>
  </w:style>
  <w:style w:type="paragraph" w:customStyle="1" w:styleId="a1">
    <w:name w:val="标题三最终"/>
    <w:basedOn w:val="a3"/>
    <w:link w:val="Char3"/>
    <w:qFormat/>
    <w:pPr>
      <w:keepNext/>
      <w:keepLines/>
      <w:numPr>
        <w:ilvl w:val="2"/>
        <w:numId w:val="1"/>
      </w:numPr>
      <w:adjustRightInd w:val="0"/>
      <w:snapToGrid w:val="0"/>
      <w:spacing w:beforeLines="50" w:before="50" w:line="500" w:lineRule="exact"/>
      <w:ind w:firstLine="0"/>
      <w:jc w:val="left"/>
      <w:outlineLvl w:val="2"/>
    </w:pPr>
    <w:rPr>
      <w:rFonts w:hAnsi="宋体"/>
      <w:b/>
      <w:bCs/>
      <w:kern w:val="0"/>
      <w:sz w:val="28"/>
      <w:szCs w:val="28"/>
    </w:rPr>
  </w:style>
  <w:style w:type="character" w:customStyle="1" w:styleId="title141">
    <w:name w:val="title141"/>
    <w:qFormat/>
    <w:rPr>
      <w:sz w:val="18"/>
      <w:szCs w:val="18"/>
      <w:u w:val="none"/>
    </w:rPr>
  </w:style>
  <w:style w:type="character" w:customStyle="1" w:styleId="black1">
    <w:name w:val="black1"/>
    <w:qFormat/>
    <w:rPr>
      <w:color w:val="333333"/>
    </w:rPr>
  </w:style>
  <w:style w:type="character" w:customStyle="1" w:styleId="haogao1">
    <w:name w:val="haogao1"/>
    <w:qFormat/>
  </w:style>
  <w:style w:type="character" w:customStyle="1" w:styleId="Char4">
    <w:name w:val="表头 Char"/>
    <w:qFormat/>
    <w:rPr>
      <w:rFonts w:hAnsi="宋体"/>
      <w:b/>
      <w:color w:val="0000FF"/>
      <w:kern w:val="2"/>
      <w:sz w:val="24"/>
      <w:szCs w:val="24"/>
    </w:rPr>
  </w:style>
  <w:style w:type="character" w:customStyle="1" w:styleId="Char5">
    <w:name w:val="式中： Char"/>
    <w:link w:val="afffff4"/>
    <w:qFormat/>
    <w:rPr>
      <w:sz w:val="24"/>
      <w:szCs w:val="28"/>
    </w:rPr>
  </w:style>
  <w:style w:type="paragraph" w:customStyle="1" w:styleId="afffff4">
    <w:name w:val="式中："/>
    <w:basedOn w:val="afffff5"/>
    <w:link w:val="Char5"/>
    <w:qFormat/>
    <w:pPr>
      <w:spacing w:line="440" w:lineRule="exact"/>
      <w:ind w:leftChars="500" w:left="500" w:firstLineChars="0" w:firstLine="0"/>
    </w:pPr>
    <w:rPr>
      <w:color w:val="auto"/>
    </w:rPr>
  </w:style>
  <w:style w:type="paragraph" w:customStyle="1" w:styleId="afffff5">
    <w:name w:val="文本"/>
    <w:basedOn w:val="a3"/>
    <w:link w:val="Char6"/>
    <w:qFormat/>
    <w:pPr>
      <w:adjustRightInd w:val="0"/>
      <w:snapToGrid w:val="0"/>
      <w:spacing w:line="480" w:lineRule="exact"/>
      <w:ind w:firstLineChars="200" w:firstLine="200"/>
      <w:jc w:val="left"/>
    </w:pPr>
    <w:rPr>
      <w:color w:val="000000"/>
      <w:kern w:val="0"/>
      <w:sz w:val="24"/>
      <w:szCs w:val="28"/>
    </w:rPr>
  </w:style>
  <w:style w:type="character" w:customStyle="1" w:styleId="td1">
    <w:name w:val="td1"/>
    <w:qFormat/>
    <w:rPr>
      <w:color w:val="000000"/>
      <w:sz w:val="21"/>
      <w:szCs w:val="21"/>
    </w:rPr>
  </w:style>
  <w:style w:type="character" w:customStyle="1" w:styleId="1Char">
    <w:name w:val="标题 1 Char"/>
    <w:qFormat/>
    <w:rPr>
      <w:b/>
      <w:bCs/>
      <w:kern w:val="44"/>
      <w:sz w:val="44"/>
      <w:szCs w:val="44"/>
    </w:rPr>
  </w:style>
  <w:style w:type="character" w:customStyle="1" w:styleId="Char11">
    <w:name w:val="普通文字 Char1"/>
    <w:qFormat/>
    <w:rPr>
      <w:rFonts w:ascii="宋体" w:eastAsia="宋体" w:hAnsi="Courier New"/>
      <w:kern w:val="2"/>
      <w:sz w:val="21"/>
      <w:szCs w:val="21"/>
      <w:lang w:val="en-US" w:eastAsia="zh-CN" w:bidi="ar-SA"/>
    </w:rPr>
  </w:style>
  <w:style w:type="character" w:customStyle="1" w:styleId="CharCharCharCharCharCharChar1">
    <w:name w:val="Char Char Char Char Char Char Char1"/>
    <w:link w:val="CharCharCharCharCharChar"/>
    <w:qFormat/>
    <w:locked/>
    <w:rPr>
      <w:rFonts w:ascii="宋体" w:hAnsi="宋体"/>
      <w:sz w:val="24"/>
      <w:szCs w:val="24"/>
    </w:rPr>
  </w:style>
  <w:style w:type="paragraph" w:customStyle="1" w:styleId="CharCharCharCharCharChar">
    <w:name w:val="Char Char Char Char Char Char"/>
    <w:basedOn w:val="a3"/>
    <w:link w:val="CharCharCharCharCharCharChar1"/>
    <w:qFormat/>
    <w:pPr>
      <w:adjustRightInd w:val="0"/>
      <w:snapToGrid w:val="0"/>
    </w:pPr>
    <w:rPr>
      <w:rFonts w:ascii="宋体" w:hAnsi="宋体"/>
      <w:kern w:val="0"/>
      <w:sz w:val="24"/>
    </w:rPr>
  </w:style>
  <w:style w:type="character" w:customStyle="1" w:styleId="3Char">
    <w:name w:val="标题 3 Char"/>
    <w:qFormat/>
    <w:rPr>
      <w:b/>
      <w:bCs/>
      <w:kern w:val="2"/>
      <w:sz w:val="32"/>
      <w:szCs w:val="32"/>
    </w:rPr>
  </w:style>
  <w:style w:type="character" w:customStyle="1" w:styleId="aff1">
    <w:name w:val="纯文本 字符"/>
    <w:link w:val="aff0"/>
    <w:uiPriority w:val="99"/>
    <w:qFormat/>
    <w:rPr>
      <w:rFonts w:ascii="宋体" w:hAnsi="Courier New"/>
    </w:rPr>
  </w:style>
  <w:style w:type="character" w:customStyle="1" w:styleId="infodetail1">
    <w:name w:val="infodetail1"/>
    <w:qFormat/>
    <w:rPr>
      <w:rFonts w:ascii="ˎ̥" w:hAnsi="ˎ̥" w:hint="default"/>
      <w:sz w:val="22"/>
      <w:szCs w:val="22"/>
    </w:rPr>
  </w:style>
  <w:style w:type="character" w:customStyle="1" w:styleId="3CharCharChar">
    <w:name w:val="标题 3 Char Char Char"/>
    <w:qFormat/>
    <w:rPr>
      <w:rFonts w:ascii="宋体" w:eastAsia="宋体"/>
      <w:b/>
      <w:bCs/>
    </w:rPr>
  </w:style>
  <w:style w:type="character" w:customStyle="1" w:styleId="td21">
    <w:name w:val="td21"/>
    <w:qFormat/>
    <w:rPr>
      <w:sz w:val="21"/>
      <w:szCs w:val="21"/>
      <w:u w:val="none"/>
    </w:rPr>
  </w:style>
  <w:style w:type="character" w:customStyle="1" w:styleId="Char12">
    <w:name w:val="纯文本 Char1"/>
    <w:qFormat/>
    <w:rPr>
      <w:rFonts w:ascii="宋体" w:hAnsi="Courier New" w:cs="Courier New"/>
      <w:kern w:val="2"/>
      <w:sz w:val="21"/>
      <w:szCs w:val="21"/>
    </w:rPr>
  </w:style>
  <w:style w:type="character" w:customStyle="1" w:styleId="CharChar">
    <w:name w:val="Char Char"/>
    <w:qFormat/>
    <w:locked/>
    <w:rPr>
      <w:rFonts w:ascii="仿宋_GB2312" w:eastAsia="仿宋_GB2312"/>
      <w:spacing w:val="-18"/>
      <w:kern w:val="2"/>
      <w:sz w:val="28"/>
      <w:szCs w:val="24"/>
      <w:lang w:val="en-US" w:eastAsia="zh-CN" w:bidi="ar-SA"/>
    </w:rPr>
  </w:style>
  <w:style w:type="character" w:customStyle="1" w:styleId="style61">
    <w:name w:val="style61"/>
    <w:qFormat/>
    <w:rPr>
      <w:sz w:val="45"/>
      <w:szCs w:val="45"/>
    </w:rPr>
  </w:style>
  <w:style w:type="character" w:customStyle="1" w:styleId="sect123Char">
    <w:name w:val="sect1.2.3 Char"/>
    <w:qFormat/>
  </w:style>
  <w:style w:type="character" w:customStyle="1" w:styleId="bChar">
    <w:name w:val="式样b Char"/>
    <w:qFormat/>
    <w:rPr>
      <w:rFonts w:eastAsia="黑体"/>
      <w:b/>
      <w:bCs/>
      <w:kern w:val="44"/>
      <w:sz w:val="44"/>
      <w:szCs w:val="44"/>
      <w:lang w:val="en-US" w:eastAsia="zh-CN" w:bidi="ar-SA"/>
    </w:rPr>
  </w:style>
  <w:style w:type="character" w:customStyle="1" w:styleId="HTML0">
    <w:name w:val="HTML 地址 字符"/>
    <w:link w:val="HTML"/>
    <w:qFormat/>
    <w:rPr>
      <w:rFonts w:ascii="Arial" w:eastAsia="仿宋_GB2312" w:hAnsi="Arial"/>
      <w:i/>
      <w:iCs/>
      <w:sz w:val="24"/>
    </w:rPr>
  </w:style>
  <w:style w:type="character" w:customStyle="1" w:styleId="CharChar0">
    <w:name w:val="报告书正文 Char Char"/>
    <w:link w:val="afffff6"/>
    <w:qFormat/>
    <w:rPr>
      <w:rFonts w:ascii="Arial" w:hAnsi="Arial"/>
      <w:sz w:val="24"/>
      <w:szCs w:val="24"/>
    </w:rPr>
  </w:style>
  <w:style w:type="paragraph" w:customStyle="1" w:styleId="afffff6">
    <w:name w:val="报告书正文"/>
    <w:basedOn w:val="a3"/>
    <w:link w:val="CharChar0"/>
    <w:qFormat/>
    <w:pPr>
      <w:adjustRightInd w:val="0"/>
      <w:snapToGrid w:val="0"/>
      <w:spacing w:line="500" w:lineRule="exact"/>
      <w:ind w:firstLine="425"/>
      <w:textAlignment w:val="baseline"/>
    </w:pPr>
    <w:rPr>
      <w:rFonts w:ascii="Arial" w:hAnsi="Arial"/>
      <w:kern w:val="0"/>
      <w:sz w:val="24"/>
    </w:rPr>
  </w:style>
  <w:style w:type="character" w:customStyle="1" w:styleId="btChar1">
    <w:name w:val="bt Char1"/>
    <w:qFormat/>
    <w:rPr>
      <w:rFonts w:ascii="宋体" w:eastAsia="宋体" w:hAnsi="宋体"/>
      <w:kern w:val="2"/>
      <w:sz w:val="24"/>
      <w:lang w:val="en-US" w:eastAsia="zh-CN" w:bidi="ar-SA"/>
    </w:rPr>
  </w:style>
  <w:style w:type="character" w:customStyle="1" w:styleId="Char7">
    <w:name w:val="谢正文 Char"/>
    <w:link w:val="afffff7"/>
    <w:qFormat/>
    <w:rPr>
      <w:rFonts w:eastAsia="楷体_GB2312"/>
      <w:spacing w:val="8"/>
      <w:sz w:val="28"/>
    </w:rPr>
  </w:style>
  <w:style w:type="paragraph" w:customStyle="1" w:styleId="afffff7">
    <w:name w:val="谢正文"/>
    <w:basedOn w:val="a3"/>
    <w:link w:val="Char7"/>
    <w:qFormat/>
    <w:pPr>
      <w:tabs>
        <w:tab w:val="left" w:pos="544"/>
      </w:tabs>
      <w:adjustRightInd w:val="0"/>
      <w:snapToGrid w:val="0"/>
      <w:spacing w:line="420" w:lineRule="exact"/>
      <w:ind w:firstLineChars="200" w:firstLine="200"/>
      <w:textAlignment w:val="center"/>
    </w:pPr>
    <w:rPr>
      <w:rFonts w:eastAsia="楷体_GB2312"/>
      <w:spacing w:val="8"/>
      <w:kern w:val="0"/>
      <w:sz w:val="28"/>
      <w:szCs w:val="20"/>
    </w:rPr>
  </w:style>
  <w:style w:type="character" w:customStyle="1" w:styleId="Char8">
    <w:name w:val="正文一 Char"/>
    <w:link w:val="afffff8"/>
    <w:qFormat/>
    <w:rPr>
      <w:rFonts w:ascii="宋体" w:hAnsi="宋体"/>
      <w:bCs/>
      <w:sz w:val="24"/>
      <w:szCs w:val="21"/>
      <w:lang w:val="zh-CN"/>
    </w:rPr>
  </w:style>
  <w:style w:type="paragraph" w:customStyle="1" w:styleId="afffff8">
    <w:name w:val="正文一"/>
    <w:basedOn w:val="a3"/>
    <w:link w:val="Char8"/>
    <w:qFormat/>
    <w:pPr>
      <w:adjustRightInd w:val="0"/>
      <w:snapToGrid w:val="0"/>
      <w:spacing w:line="500" w:lineRule="exact"/>
      <w:ind w:firstLineChars="200" w:firstLine="480"/>
      <w:jc w:val="left"/>
    </w:pPr>
    <w:rPr>
      <w:rFonts w:ascii="宋体" w:hAnsi="宋体"/>
      <w:bCs/>
      <w:kern w:val="0"/>
      <w:sz w:val="24"/>
      <w:szCs w:val="21"/>
      <w:lang w:val="zh-CN"/>
    </w:rPr>
  </w:style>
  <w:style w:type="character" w:customStyle="1" w:styleId="Char9">
    <w:name w:val="表格内容 Char"/>
    <w:qFormat/>
    <w:rPr>
      <w:rFonts w:ascii="Arial" w:eastAsia="仿宋_GB2312" w:hAnsi="Arial"/>
      <w:sz w:val="24"/>
      <w:lang w:val="en-US" w:eastAsia="zh-CN"/>
    </w:rPr>
  </w:style>
  <w:style w:type="character" w:customStyle="1" w:styleId="postbody1">
    <w:name w:val="postbody1"/>
    <w:qFormat/>
    <w:rPr>
      <w:sz w:val="21"/>
      <w:szCs w:val="21"/>
    </w:rPr>
  </w:style>
  <w:style w:type="character" w:customStyle="1" w:styleId="Chara">
    <w:name w:val="正文格式 Char"/>
    <w:link w:val="afffff9"/>
    <w:qFormat/>
    <w:rPr>
      <w:rFonts w:ascii="宋体" w:cs="宋体"/>
      <w:sz w:val="24"/>
      <w:szCs w:val="24"/>
    </w:rPr>
  </w:style>
  <w:style w:type="paragraph" w:customStyle="1" w:styleId="afffff9">
    <w:name w:val="正文格式"/>
    <w:basedOn w:val="a3"/>
    <w:link w:val="Chara"/>
    <w:qFormat/>
    <w:pPr>
      <w:adjustRightInd w:val="0"/>
      <w:snapToGrid w:val="0"/>
      <w:spacing w:line="500" w:lineRule="exact"/>
      <w:ind w:firstLine="482"/>
    </w:pPr>
    <w:rPr>
      <w:rFonts w:ascii="宋体" w:cs="宋体"/>
      <w:kern w:val="0"/>
      <w:sz w:val="24"/>
    </w:rPr>
  </w:style>
  <w:style w:type="character" w:customStyle="1" w:styleId="CharChar7">
    <w:name w:val="Char Char7"/>
    <w:qFormat/>
    <w:rPr>
      <w:rFonts w:ascii="Times New Roman" w:eastAsia="宋体" w:hAnsi="Times New Roman" w:cs="Times New Roman"/>
      <w:b/>
      <w:bCs/>
      <w:sz w:val="30"/>
      <w:szCs w:val="30"/>
    </w:rPr>
  </w:style>
  <w:style w:type="character" w:customStyle="1" w:styleId="hottext1">
    <w:name w:val="hottext1"/>
    <w:qFormat/>
    <w:rPr>
      <w:rFonts w:ascii="宋体" w:eastAsia="宋体" w:hAnsi="宋体"/>
      <w:strike/>
      <w:sz w:val="22"/>
      <w:u w:val="none"/>
    </w:rPr>
  </w:style>
  <w:style w:type="character" w:customStyle="1" w:styleId="btChar">
    <w:name w:val="bt Char"/>
    <w:qFormat/>
    <w:rPr>
      <w:rFonts w:ascii="宋体" w:eastAsia="宋体" w:hAnsi="宋体"/>
      <w:kern w:val="2"/>
      <w:sz w:val="24"/>
      <w:lang w:val="en-US" w:eastAsia="zh-CN" w:bidi="ar-SA"/>
    </w:rPr>
  </w:style>
  <w:style w:type="character" w:customStyle="1" w:styleId="font21">
    <w:name w:val="font21"/>
    <w:basedOn w:val="a4"/>
    <w:qFormat/>
    <w:rPr>
      <w:rFonts w:ascii="宋体" w:eastAsia="宋体" w:hAnsi="宋体" w:hint="eastAsia"/>
      <w:color w:val="000000"/>
      <w:sz w:val="24"/>
      <w:szCs w:val="24"/>
      <w:u w:val="none"/>
      <w:vertAlign w:val="superscript"/>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al11">
    <w:name w:val="al11"/>
    <w:qFormat/>
    <w:rPr>
      <w:color w:val="333333"/>
      <w:sz w:val="18"/>
      <w:szCs w:val="18"/>
    </w:rPr>
  </w:style>
  <w:style w:type="character" w:customStyle="1" w:styleId="unnamed3">
    <w:name w:val="unnamed3"/>
    <w:qFormat/>
  </w:style>
  <w:style w:type="character" w:customStyle="1" w:styleId="javascript1">
    <w:name w:val="javascript1"/>
    <w:qFormat/>
    <w:rPr>
      <w:rFonts w:ascii="Tahoma" w:hAnsi="Tahoma" w:cs="Tahoma" w:hint="default"/>
      <w:sz w:val="14"/>
      <w:szCs w:val="14"/>
    </w:rPr>
  </w:style>
  <w:style w:type="character" w:customStyle="1" w:styleId="px141">
    <w:name w:val="px141"/>
    <w:qFormat/>
    <w:rPr>
      <w:sz w:val="21"/>
      <w:szCs w:val="21"/>
    </w:rPr>
  </w:style>
  <w:style w:type="character" w:customStyle="1" w:styleId="css-text3">
    <w:name w:val="css-text3"/>
    <w:qFormat/>
  </w:style>
  <w:style w:type="character" w:customStyle="1" w:styleId="Charb">
    <w:name w:val="批注文字 Char"/>
    <w:qFormat/>
    <w:rPr>
      <w:rFonts w:eastAsia="宋体"/>
      <w:kern w:val="2"/>
      <w:sz w:val="21"/>
      <w:lang w:val="en-US" w:eastAsia="zh-CN" w:bidi="ar-SA"/>
    </w:rPr>
  </w:style>
  <w:style w:type="character" w:customStyle="1" w:styleId="CharChar1">
    <w:name w:val="表格文字 Char Char"/>
    <w:link w:val="afffffa"/>
    <w:qFormat/>
    <w:rPr>
      <w:rFonts w:ascii="仿宋_GB2312" w:eastAsia="仿宋_GB2312" w:hAnsi="Arial Black"/>
      <w:kern w:val="44"/>
      <w:sz w:val="24"/>
    </w:rPr>
  </w:style>
  <w:style w:type="paragraph" w:customStyle="1" w:styleId="afffffa">
    <w:name w:val="表格文字"/>
    <w:basedOn w:val="a3"/>
    <w:link w:val="CharChar1"/>
    <w:qFormat/>
    <w:pPr>
      <w:adjustRightInd w:val="0"/>
      <w:snapToGrid w:val="0"/>
      <w:jc w:val="center"/>
    </w:pPr>
    <w:rPr>
      <w:rFonts w:ascii="仿宋_GB2312" w:eastAsia="仿宋_GB2312" w:hAnsi="Arial Black"/>
      <w:kern w:val="44"/>
      <w:sz w:val="24"/>
      <w:szCs w:val="20"/>
    </w:rPr>
  </w:style>
  <w:style w:type="character" w:customStyle="1" w:styleId="Charc">
    <w:name w:val="兴武正文 Char"/>
    <w:link w:val="afffffb"/>
    <w:qFormat/>
    <w:rPr>
      <w:rFonts w:cs="宋体"/>
      <w:sz w:val="24"/>
    </w:rPr>
  </w:style>
  <w:style w:type="paragraph" w:customStyle="1" w:styleId="afffffb">
    <w:name w:val="兴武正文"/>
    <w:basedOn w:val="a3"/>
    <w:link w:val="Charc"/>
    <w:qFormat/>
    <w:pPr>
      <w:adjustRightInd w:val="0"/>
      <w:snapToGrid w:val="0"/>
      <w:spacing w:line="480" w:lineRule="exact"/>
      <w:ind w:firstLineChars="200" w:firstLine="200"/>
    </w:pPr>
    <w:rPr>
      <w:rFonts w:cs="宋体"/>
      <w:kern w:val="0"/>
      <w:sz w:val="24"/>
      <w:szCs w:val="20"/>
    </w:rPr>
  </w:style>
  <w:style w:type="character" w:customStyle="1" w:styleId="4Char1">
    <w:name w:val="正文缩进4 Char1"/>
    <w:qFormat/>
    <w:rPr>
      <w:rFonts w:eastAsia="宋体"/>
      <w:kern w:val="2"/>
      <w:sz w:val="21"/>
      <w:szCs w:val="24"/>
      <w:lang w:val="en-US" w:eastAsia="zh-CN" w:bidi="ar-SA"/>
    </w:rPr>
  </w:style>
  <w:style w:type="character" w:customStyle="1" w:styleId="lineh221">
    <w:name w:val="line_h221"/>
    <w:qFormat/>
  </w:style>
  <w:style w:type="character" w:customStyle="1" w:styleId="37">
    <w:name w:val="正文文本缩进 3 字符"/>
    <w:link w:val="36"/>
    <w:qFormat/>
    <w:rPr>
      <w:sz w:val="24"/>
      <w:szCs w:val="24"/>
    </w:rPr>
  </w:style>
  <w:style w:type="character" w:customStyle="1" w:styleId="f121">
    <w:name w:val="f121"/>
    <w:qFormat/>
    <w:rPr>
      <w:sz w:val="18"/>
      <w:szCs w:val="18"/>
      <w:u w:val="none"/>
    </w:rPr>
  </w:style>
  <w:style w:type="character" w:customStyle="1" w:styleId="affc">
    <w:name w:val="签名 字符"/>
    <w:link w:val="affb"/>
    <w:qFormat/>
    <w:rPr>
      <w:rFonts w:ascii="Arial" w:eastAsia="仿宋_GB2312" w:hAnsi="Arial"/>
      <w:sz w:val="24"/>
    </w:rPr>
  </w:style>
  <w:style w:type="character" w:customStyle="1" w:styleId="Char6">
    <w:name w:val="文本 Char"/>
    <w:link w:val="afffff5"/>
    <w:qFormat/>
    <w:rPr>
      <w:color w:val="000000"/>
      <w:sz w:val="24"/>
      <w:szCs w:val="28"/>
    </w:rPr>
  </w:style>
  <w:style w:type="character" w:customStyle="1" w:styleId="af4">
    <w:name w:val="文档结构图 字符"/>
    <w:link w:val="af3"/>
    <w:qFormat/>
    <w:rPr>
      <w:shd w:val="clear" w:color="auto" w:fill="000080"/>
    </w:rPr>
  </w:style>
  <w:style w:type="character" w:customStyle="1" w:styleId="px121">
    <w:name w:val="px121"/>
    <w:qFormat/>
  </w:style>
  <w:style w:type="character" w:customStyle="1" w:styleId="hg1">
    <w:name w:val="hg1"/>
    <w:qFormat/>
  </w:style>
  <w:style w:type="character" w:customStyle="1" w:styleId="text1">
    <w:name w:val="text1"/>
    <w:qFormat/>
    <w:rPr>
      <w:color w:val="000000"/>
      <w:sz w:val="20"/>
      <w:szCs w:val="20"/>
      <w:u w:val="none"/>
    </w:rPr>
  </w:style>
  <w:style w:type="character" w:customStyle="1" w:styleId="110">
    <w:name w:val="标题11"/>
    <w:qFormat/>
  </w:style>
  <w:style w:type="character" w:customStyle="1" w:styleId="keyword">
    <w:name w:val="keyword"/>
    <w:qFormat/>
  </w:style>
  <w:style w:type="character" w:customStyle="1" w:styleId="Chard">
    <w:name w:val="正文文本缩进 Char"/>
    <w:qFormat/>
    <w:rPr>
      <w:kern w:val="2"/>
      <w:sz w:val="21"/>
    </w:rPr>
  </w:style>
  <w:style w:type="character" w:customStyle="1" w:styleId="aff3">
    <w:name w:val="日期 字符"/>
    <w:link w:val="aff2"/>
    <w:qFormat/>
  </w:style>
  <w:style w:type="character" w:customStyle="1" w:styleId="Char0">
    <w:name w:val="表格 Char"/>
    <w:link w:val="affff8"/>
    <w:qFormat/>
    <w:rPr>
      <w:rFonts w:cs="宋体"/>
      <w:sz w:val="21"/>
    </w:rPr>
  </w:style>
  <w:style w:type="character" w:customStyle="1" w:styleId="spelle">
    <w:name w:val="spelle"/>
    <w:qFormat/>
  </w:style>
  <w:style w:type="character" w:customStyle="1" w:styleId="Chare">
    <w:name w:val="正文文字 Char"/>
    <w:link w:val="afffffc"/>
    <w:qFormat/>
    <w:rPr>
      <w:rFonts w:ascii="仿宋_GB2312" w:eastAsia="仿宋_GB2312" w:hAnsi="Arial Black" w:cs="仿宋_GB2312"/>
      <w:sz w:val="28"/>
      <w:szCs w:val="28"/>
    </w:rPr>
  </w:style>
  <w:style w:type="paragraph" w:customStyle="1" w:styleId="afffffc">
    <w:name w:val="正文文字"/>
    <w:basedOn w:val="a3"/>
    <w:link w:val="Chare"/>
    <w:qFormat/>
    <w:pPr>
      <w:adjustRightInd w:val="0"/>
      <w:snapToGrid w:val="0"/>
      <w:spacing w:line="500" w:lineRule="exact"/>
      <w:jc w:val="left"/>
      <w:textAlignment w:val="baseline"/>
    </w:pPr>
    <w:rPr>
      <w:rFonts w:ascii="仿宋_GB2312" w:eastAsia="仿宋_GB2312" w:hAnsi="Arial Black" w:cs="仿宋_GB2312"/>
      <w:kern w:val="0"/>
      <w:sz w:val="28"/>
      <w:szCs w:val="28"/>
    </w:rPr>
  </w:style>
  <w:style w:type="character" w:customStyle="1" w:styleId="1Char1">
    <w:name w:val="标题 1 Char1"/>
    <w:qFormat/>
    <w:rPr>
      <w:rFonts w:eastAsia="宋体"/>
      <w:b/>
      <w:bCs/>
      <w:kern w:val="44"/>
      <w:sz w:val="44"/>
      <w:szCs w:val="44"/>
      <w:lang w:val="en-US" w:eastAsia="zh-CN" w:bidi="ar-SA"/>
    </w:rPr>
  </w:style>
  <w:style w:type="character" w:customStyle="1" w:styleId="unnamed11">
    <w:name w:val="unnamed11"/>
    <w:qFormat/>
    <w:rPr>
      <w:b/>
      <w:bCs/>
      <w:color w:val="3366CC"/>
      <w:sz w:val="21"/>
      <w:szCs w:val="21"/>
    </w:rPr>
  </w:style>
  <w:style w:type="character" w:customStyle="1" w:styleId="2Char">
    <w:name w:val="标题 2 Char"/>
    <w:qFormat/>
    <w:rPr>
      <w:rFonts w:ascii="Cambria" w:eastAsia="宋体" w:hAnsi="Cambria" w:cs="Times New Roman"/>
      <w:b/>
      <w:bCs/>
      <w:kern w:val="2"/>
      <w:sz w:val="32"/>
      <w:szCs w:val="32"/>
    </w:rPr>
  </w:style>
  <w:style w:type="character" w:customStyle="1" w:styleId="2CharChar1">
    <w:name w:val="正文 首行缩进:  2 字符 Char Char1"/>
    <w:link w:val="2Char0"/>
    <w:semiHidden/>
    <w:qFormat/>
    <w:rPr>
      <w:rFonts w:cs="宋体"/>
      <w:kern w:val="44"/>
      <w:sz w:val="24"/>
    </w:rPr>
  </w:style>
  <w:style w:type="paragraph" w:customStyle="1" w:styleId="2Char0">
    <w:name w:val="正文 首行缩进:  2 字符 Char"/>
    <w:basedOn w:val="a3"/>
    <w:link w:val="2CharChar1"/>
    <w:semiHidden/>
    <w:qFormat/>
    <w:pPr>
      <w:adjustRightInd w:val="0"/>
      <w:snapToGrid w:val="0"/>
      <w:spacing w:line="520" w:lineRule="exact"/>
      <w:ind w:firstLineChars="200" w:firstLine="200"/>
    </w:pPr>
    <w:rPr>
      <w:rFonts w:cs="宋体"/>
      <w:kern w:val="44"/>
      <w:sz w:val="24"/>
      <w:szCs w:val="20"/>
    </w:rPr>
  </w:style>
  <w:style w:type="character" w:customStyle="1" w:styleId="style191">
    <w:name w:val="style191"/>
    <w:qFormat/>
    <w:rPr>
      <w:b/>
      <w:bCs/>
      <w:color w:val="FF0000"/>
    </w:rPr>
  </w:style>
  <w:style w:type="character" w:customStyle="1" w:styleId="Charf">
    <w:name w:val="表格标题博泵 Char"/>
    <w:link w:val="afffffd"/>
    <w:qFormat/>
    <w:rPr>
      <w:rFonts w:cs="宋体"/>
      <w:b/>
      <w:color w:val="000000"/>
    </w:rPr>
  </w:style>
  <w:style w:type="paragraph" w:customStyle="1" w:styleId="afffffd">
    <w:name w:val="表格标题博泵"/>
    <w:basedOn w:val="a3"/>
    <w:link w:val="Charf"/>
    <w:qFormat/>
    <w:pPr>
      <w:adjustRightInd w:val="0"/>
      <w:snapToGrid w:val="0"/>
      <w:jc w:val="center"/>
      <w:textAlignment w:val="baseline"/>
    </w:pPr>
    <w:rPr>
      <w:rFonts w:cs="宋体"/>
      <w:b/>
      <w:color w:val="000000"/>
      <w:kern w:val="0"/>
      <w:sz w:val="20"/>
      <w:szCs w:val="20"/>
    </w:rPr>
  </w:style>
  <w:style w:type="character" w:customStyle="1" w:styleId="CharCharCharCharCharCharCha">
    <w:name w:val="正文（首行缩进两字） Char Char Char Char Char Char Cha"/>
    <w:qFormat/>
    <w:rPr>
      <w:rFonts w:eastAsia="宋体"/>
      <w:kern w:val="2"/>
      <w:sz w:val="28"/>
      <w:szCs w:val="24"/>
      <w:lang w:val="en-US" w:eastAsia="zh-CN" w:bidi="ar-SA"/>
    </w:rPr>
  </w:style>
  <w:style w:type="character" w:customStyle="1" w:styleId="14p1">
    <w:name w:val="14p1"/>
    <w:qFormat/>
    <w:rPr>
      <w:sz w:val="21"/>
      <w:szCs w:val="21"/>
    </w:rPr>
  </w:style>
  <w:style w:type="character" w:customStyle="1" w:styleId="33">
    <w:name w:val="正文文本 3 字符"/>
    <w:link w:val="32"/>
    <w:qFormat/>
    <w:rPr>
      <w:rFonts w:ascii="宋体"/>
    </w:rPr>
  </w:style>
  <w:style w:type="character" w:customStyle="1" w:styleId="TOC10">
    <w:name w:val="TOC 1 字符"/>
    <w:link w:val="TOC1"/>
    <w:uiPriority w:val="39"/>
    <w:qFormat/>
    <w:rPr>
      <w:rFonts w:ascii="Calibri" w:hAnsi="Calibri" w:cs="Calibri"/>
      <w:b/>
      <w:bCs/>
      <w:caps/>
    </w:rPr>
  </w:style>
  <w:style w:type="character" w:customStyle="1" w:styleId="Charf0">
    <w:name w:val="正文四号 Char"/>
    <w:link w:val="afffffe"/>
    <w:qFormat/>
    <w:rPr>
      <w:sz w:val="28"/>
      <w:szCs w:val="48"/>
    </w:rPr>
  </w:style>
  <w:style w:type="paragraph" w:customStyle="1" w:styleId="afffffe">
    <w:name w:val="正文四号"/>
    <w:basedOn w:val="a3"/>
    <w:link w:val="Charf0"/>
    <w:qFormat/>
    <w:pPr>
      <w:adjustRightInd w:val="0"/>
      <w:snapToGrid w:val="0"/>
      <w:spacing w:line="500" w:lineRule="exact"/>
      <w:ind w:firstLineChars="200" w:firstLine="200"/>
    </w:pPr>
    <w:rPr>
      <w:kern w:val="0"/>
      <w:sz w:val="28"/>
      <w:szCs w:val="48"/>
    </w:rPr>
  </w:style>
  <w:style w:type="character" w:customStyle="1" w:styleId="Char13">
    <w:name w:val="表格文字 Char1"/>
    <w:qFormat/>
    <w:rPr>
      <w:rFonts w:ascii="宋体" w:eastAsia="仿宋_GB2312" w:hAnsi="宋体"/>
      <w:kern w:val="44"/>
      <w:sz w:val="24"/>
    </w:rPr>
  </w:style>
  <w:style w:type="character" w:customStyle="1" w:styleId="Charf1">
    <w:name w:val="正文文本 Char"/>
    <w:qFormat/>
    <w:rPr>
      <w:kern w:val="2"/>
      <w:sz w:val="21"/>
    </w:rPr>
  </w:style>
  <w:style w:type="character" w:customStyle="1" w:styleId="Charf2">
    <w:name w:val="公式 Char"/>
    <w:link w:val="affffff"/>
    <w:qFormat/>
    <w:rPr>
      <w:sz w:val="28"/>
    </w:rPr>
  </w:style>
  <w:style w:type="paragraph" w:customStyle="1" w:styleId="affffff">
    <w:name w:val="公式"/>
    <w:link w:val="Charf2"/>
    <w:qFormat/>
    <w:pPr>
      <w:tabs>
        <w:tab w:val="left" w:pos="1134"/>
      </w:tabs>
      <w:jc w:val="center"/>
    </w:pPr>
    <w:rPr>
      <w:sz w:val="28"/>
    </w:rPr>
  </w:style>
  <w:style w:type="character" w:customStyle="1" w:styleId="afff5">
    <w:name w:val="信息标题 字符"/>
    <w:link w:val="afff4"/>
    <w:qFormat/>
    <w:rPr>
      <w:rFonts w:ascii="Arial" w:eastAsia="仿宋_GB2312" w:hAnsi="Arial" w:cs="Arial"/>
      <w:sz w:val="24"/>
      <w:shd w:val="pct20" w:color="auto" w:fill="auto"/>
    </w:rPr>
  </w:style>
  <w:style w:type="character" w:customStyle="1" w:styleId="afff">
    <w:name w:val="副标题 字符"/>
    <w:link w:val="affe"/>
    <w:qFormat/>
    <w:rPr>
      <w:rFonts w:ascii="Arial" w:eastAsia="仿宋_GB2312" w:hAnsi="Arial" w:cs="Arial"/>
      <w:b/>
      <w:bCs/>
      <w:kern w:val="28"/>
      <w:sz w:val="32"/>
      <w:szCs w:val="32"/>
    </w:rPr>
  </w:style>
  <w:style w:type="character" w:customStyle="1" w:styleId="2a">
    <w:name w:val="正文文本首行缩进 2 字符"/>
    <w:link w:val="29"/>
    <w:qFormat/>
    <w:rPr>
      <w:sz w:val="18"/>
      <w:szCs w:val="24"/>
    </w:rPr>
  </w:style>
  <w:style w:type="character" w:customStyle="1" w:styleId="3Char0">
    <w:name w:val="标题3 Char"/>
    <w:qFormat/>
    <w:rPr>
      <w:rFonts w:eastAsia="黑体"/>
      <w:kern w:val="2"/>
      <w:sz w:val="24"/>
      <w:szCs w:val="24"/>
      <w:lang w:val="en-US" w:eastAsia="zh-CN"/>
    </w:rPr>
  </w:style>
  <w:style w:type="character" w:customStyle="1" w:styleId="line1">
    <w:name w:val="line1"/>
    <w:qFormat/>
  </w:style>
  <w:style w:type="character" w:customStyle="1" w:styleId="HTML2">
    <w:name w:val="HTML 预设格式 字符"/>
    <w:link w:val="HTML1"/>
    <w:qFormat/>
    <w:rPr>
      <w:rFonts w:ascii="Courier New" w:eastAsia="仿宋_GB2312" w:hAnsi="Courier New" w:cs="Courier New"/>
    </w:rPr>
  </w:style>
  <w:style w:type="character" w:customStyle="1" w:styleId="1Char0">
    <w:name w:val="表格1 Char"/>
    <w:link w:val="19"/>
    <w:qFormat/>
    <w:rPr>
      <w:rFonts w:ascii="宋体"/>
      <w:sz w:val="24"/>
    </w:rPr>
  </w:style>
  <w:style w:type="paragraph" w:customStyle="1" w:styleId="19">
    <w:name w:val="表格1"/>
    <w:basedOn w:val="a3"/>
    <w:next w:val="a3"/>
    <w:link w:val="1Char0"/>
    <w:qFormat/>
    <w:pPr>
      <w:adjustRightInd w:val="0"/>
      <w:snapToGrid w:val="0"/>
      <w:spacing w:line="500" w:lineRule="exact"/>
      <w:jc w:val="center"/>
    </w:pPr>
    <w:rPr>
      <w:rFonts w:ascii="宋体"/>
      <w:kern w:val="0"/>
      <w:sz w:val="24"/>
      <w:szCs w:val="20"/>
    </w:rPr>
  </w:style>
  <w:style w:type="character" w:customStyle="1" w:styleId="fontstyle01">
    <w:name w:val="fontstyle01"/>
    <w:qFormat/>
    <w:rPr>
      <w:rFonts w:ascii="Times-Roman" w:hAnsi="Times-Roman" w:hint="default"/>
      <w:color w:val="000000"/>
      <w:sz w:val="28"/>
      <w:szCs w:val="28"/>
    </w:rPr>
  </w:style>
  <w:style w:type="character" w:customStyle="1" w:styleId="head121">
    <w:name w:val="head121"/>
    <w:qFormat/>
    <w:rPr>
      <w:sz w:val="22"/>
      <w:szCs w:val="22"/>
    </w:rPr>
  </w:style>
  <w:style w:type="character" w:customStyle="1" w:styleId="grame">
    <w:name w:val="grame"/>
    <w:qFormat/>
  </w:style>
  <w:style w:type="character" w:customStyle="1" w:styleId="1Char2">
    <w:name w:val="博泵1 Char"/>
    <w:link w:val="1a"/>
    <w:qFormat/>
    <w:rPr>
      <w:rFonts w:hAnsi="宋体" w:cs="宋体"/>
      <w:color w:val="000000"/>
      <w:sz w:val="24"/>
    </w:rPr>
  </w:style>
  <w:style w:type="paragraph" w:customStyle="1" w:styleId="1a">
    <w:name w:val="博泵1"/>
    <w:basedOn w:val="a3"/>
    <w:link w:val="1Char2"/>
    <w:qFormat/>
    <w:pPr>
      <w:adjustRightInd w:val="0"/>
      <w:snapToGrid w:val="0"/>
      <w:spacing w:line="480" w:lineRule="exact"/>
      <w:ind w:firstLineChars="200" w:firstLine="200"/>
      <w:jc w:val="left"/>
      <w:textAlignment w:val="baseline"/>
    </w:pPr>
    <w:rPr>
      <w:rFonts w:hAnsi="宋体" w:cs="宋体"/>
      <w:color w:val="000000"/>
      <w:kern w:val="0"/>
      <w:sz w:val="24"/>
      <w:szCs w:val="20"/>
    </w:rPr>
  </w:style>
  <w:style w:type="character" w:customStyle="1" w:styleId="2d">
    <w:name w:val="正文缩进2"/>
    <w:qFormat/>
    <w:rPr>
      <w:rFonts w:ascii="仿宋_GB2312" w:eastAsia="仿宋_GB2312"/>
      <w:kern w:val="2"/>
      <w:sz w:val="28"/>
      <w:szCs w:val="24"/>
      <w:lang w:val="en-US" w:eastAsia="zh-CN" w:bidi="ar-SA"/>
    </w:rPr>
  </w:style>
  <w:style w:type="character" w:customStyle="1" w:styleId="26Char">
    <w:name w:val="样式 宋体 小四 行距: 固定值 26 磅 Char"/>
    <w:link w:val="260"/>
    <w:qFormat/>
    <w:rPr>
      <w:rFonts w:cs="宋体"/>
      <w:sz w:val="24"/>
      <w:szCs w:val="24"/>
    </w:rPr>
  </w:style>
  <w:style w:type="paragraph" w:customStyle="1" w:styleId="260">
    <w:name w:val="样式 宋体 小四 行距: 固定值 26 磅"/>
    <w:basedOn w:val="a3"/>
    <w:link w:val="26Char"/>
    <w:qFormat/>
    <w:pPr>
      <w:adjustRightInd w:val="0"/>
      <w:snapToGrid w:val="0"/>
      <w:spacing w:line="520" w:lineRule="exact"/>
      <w:ind w:firstLineChars="200" w:firstLine="480"/>
    </w:pPr>
    <w:rPr>
      <w:rFonts w:cs="宋体"/>
      <w:kern w:val="0"/>
      <w:sz w:val="24"/>
    </w:rPr>
  </w:style>
  <w:style w:type="character" w:customStyle="1" w:styleId="font01">
    <w:name w:val="font01"/>
    <w:qFormat/>
    <w:rPr>
      <w:rFonts w:ascii="宋体" w:eastAsia="宋体" w:hAnsi="宋体" w:hint="eastAsia"/>
      <w:color w:val="000000"/>
      <w:sz w:val="24"/>
      <w:szCs w:val="24"/>
      <w:u w:val="none"/>
    </w:rPr>
  </w:style>
  <w:style w:type="character" w:customStyle="1" w:styleId="slh15">
    <w:name w:val="s lh15"/>
    <w:qFormat/>
  </w:style>
  <w:style w:type="character" w:customStyle="1" w:styleId="16p">
    <w:name w:val="16p"/>
    <w:qFormat/>
  </w:style>
  <w:style w:type="character" w:customStyle="1" w:styleId="ae">
    <w:name w:val="正文缩进 字符"/>
    <w:link w:val="ad"/>
    <w:qFormat/>
    <w:rPr>
      <w:sz w:val="28"/>
      <w:szCs w:val="24"/>
    </w:rPr>
  </w:style>
  <w:style w:type="character" w:customStyle="1" w:styleId="25">
    <w:name w:val="正文文本缩进 2 字符"/>
    <w:link w:val="24"/>
    <w:uiPriority w:val="99"/>
    <w:qFormat/>
    <w:rPr>
      <w:color w:val="000000"/>
      <w:sz w:val="24"/>
    </w:rPr>
  </w:style>
  <w:style w:type="character" w:customStyle="1" w:styleId="headline-content2">
    <w:name w:val="headline-content2"/>
    <w:qFormat/>
  </w:style>
  <w:style w:type="character" w:customStyle="1" w:styleId="CharChar2">
    <w:name w:val="高表单 Char Char"/>
    <w:qFormat/>
    <w:rPr>
      <w:rFonts w:ascii="Arial" w:eastAsia="宋体" w:hAnsi="Arial"/>
      <w:kern w:val="2"/>
      <w:sz w:val="21"/>
      <w:szCs w:val="21"/>
      <w:lang w:val="en-US" w:eastAsia="zh-CN" w:bidi="ar-SA"/>
    </w:rPr>
  </w:style>
  <w:style w:type="character" w:customStyle="1" w:styleId="word21">
    <w:name w:val="word21"/>
    <w:qFormat/>
    <w:rPr>
      <w:b/>
      <w:bCs/>
      <w:color w:val="0040A6"/>
      <w:spacing w:val="315"/>
      <w:sz w:val="20"/>
      <w:szCs w:val="20"/>
    </w:rPr>
  </w:style>
  <w:style w:type="character" w:customStyle="1" w:styleId="apple-converted-space">
    <w:name w:val="apple-converted-space"/>
    <w:qFormat/>
  </w:style>
  <w:style w:type="character" w:customStyle="1" w:styleId="CharCCharCharCharCharChar">
    <w:name w:val="正文（首行缩进两字） Char C Char Char Char Char Char"/>
    <w:qFormat/>
    <w:rPr>
      <w:rFonts w:eastAsia="宋体"/>
      <w:kern w:val="2"/>
      <w:sz w:val="28"/>
      <w:szCs w:val="24"/>
      <w:lang w:val="en-US" w:eastAsia="zh-CN" w:bidi="ar-SA"/>
    </w:rPr>
  </w:style>
  <w:style w:type="character" w:customStyle="1" w:styleId="afffc">
    <w:name w:val="正文文本首行缩进 字符"/>
    <w:link w:val="afffb"/>
    <w:qFormat/>
  </w:style>
  <w:style w:type="character" w:customStyle="1" w:styleId="a9">
    <w:name w:val="注释标题 字符"/>
    <w:link w:val="a8"/>
    <w:qFormat/>
    <w:rPr>
      <w:sz w:val="18"/>
      <w:szCs w:val="24"/>
    </w:rPr>
  </w:style>
  <w:style w:type="character" w:customStyle="1" w:styleId="Charf3">
    <w:name w:val="金源 Char"/>
    <w:link w:val="affffff0"/>
    <w:qFormat/>
    <w:rPr>
      <w:rFonts w:cs="宋体"/>
      <w:sz w:val="24"/>
    </w:rPr>
  </w:style>
  <w:style w:type="paragraph" w:customStyle="1" w:styleId="affffff0">
    <w:name w:val="金源"/>
    <w:basedOn w:val="a3"/>
    <w:link w:val="Charf3"/>
    <w:qFormat/>
    <w:pPr>
      <w:adjustRightInd w:val="0"/>
      <w:snapToGrid w:val="0"/>
      <w:spacing w:line="480" w:lineRule="exact"/>
      <w:ind w:firstLineChars="200" w:firstLine="480"/>
      <w:jc w:val="left"/>
    </w:pPr>
    <w:rPr>
      <w:rFonts w:cs="宋体"/>
      <w:kern w:val="0"/>
      <w:sz w:val="24"/>
      <w:szCs w:val="20"/>
    </w:rPr>
  </w:style>
  <w:style w:type="character" w:customStyle="1" w:styleId="paragragh1">
    <w:name w:val="paragragh1"/>
    <w:qFormat/>
    <w:rPr>
      <w:color w:val="004040"/>
      <w:sz w:val="21"/>
      <w:szCs w:val="21"/>
    </w:rPr>
  </w:style>
  <w:style w:type="character" w:customStyle="1" w:styleId="apple-style-span">
    <w:name w:val="apple-style-span"/>
    <w:qFormat/>
  </w:style>
  <w:style w:type="character" w:customStyle="1" w:styleId="Char14">
    <w:name w:val="标题 Char1"/>
    <w:qFormat/>
    <w:rPr>
      <w:rFonts w:ascii="Arial" w:eastAsia="宋体" w:hAnsi="Arial" w:cs="Arial"/>
      <w:b/>
      <w:bCs/>
      <w:kern w:val="2"/>
      <w:sz w:val="32"/>
      <w:szCs w:val="32"/>
      <w:lang w:val="en-US" w:eastAsia="zh-CN" w:bidi="ar-SA"/>
    </w:rPr>
  </w:style>
  <w:style w:type="character" w:customStyle="1" w:styleId="fontstyle11">
    <w:name w:val="fontstyle11"/>
    <w:qFormat/>
    <w:rPr>
      <w:rFonts w:ascii="宋体" w:eastAsia="宋体" w:hAnsi="宋体" w:hint="eastAsia"/>
      <w:color w:val="000000"/>
      <w:sz w:val="28"/>
      <w:szCs w:val="28"/>
    </w:rPr>
  </w:style>
  <w:style w:type="character" w:customStyle="1" w:styleId="CharChar20">
    <w:name w:val="Char Char2"/>
    <w:qFormat/>
    <w:rPr>
      <w:rFonts w:ascii="Times New Roman" w:eastAsia="宋体" w:hAnsi="Times New Roman" w:cs="Times New Roman"/>
      <w:szCs w:val="24"/>
    </w:rPr>
  </w:style>
  <w:style w:type="character" w:customStyle="1" w:styleId="Charf4">
    <w:name w:val="正文文体 Char"/>
    <w:link w:val="affffff1"/>
    <w:qFormat/>
    <w:rPr>
      <w:sz w:val="28"/>
      <w:szCs w:val="28"/>
    </w:rPr>
  </w:style>
  <w:style w:type="paragraph" w:customStyle="1" w:styleId="affffff1">
    <w:name w:val="正文文体"/>
    <w:basedOn w:val="a3"/>
    <w:link w:val="Charf4"/>
    <w:qFormat/>
    <w:pPr>
      <w:adjustRightInd w:val="0"/>
      <w:snapToGrid w:val="0"/>
      <w:spacing w:line="500" w:lineRule="exact"/>
      <w:ind w:firstLineChars="200" w:firstLine="200"/>
    </w:pPr>
    <w:rPr>
      <w:kern w:val="0"/>
      <w:sz w:val="28"/>
      <w:szCs w:val="28"/>
    </w:rPr>
  </w:style>
  <w:style w:type="character" w:customStyle="1" w:styleId="Charf5">
    <w:name w:val="表格标题新 Char"/>
    <w:link w:val="affffff2"/>
    <w:qFormat/>
    <w:rPr>
      <w:rFonts w:ascii="宋体" w:eastAsia="仿宋_GB2312" w:hAnsi="宋体"/>
      <w:b/>
      <w:sz w:val="24"/>
      <w:szCs w:val="24"/>
    </w:rPr>
  </w:style>
  <w:style w:type="paragraph" w:customStyle="1" w:styleId="affffff2">
    <w:name w:val="表格标题新"/>
    <w:basedOn w:val="affffff3"/>
    <w:link w:val="Charf5"/>
    <w:qFormat/>
    <w:pPr>
      <w:spacing w:beforeLines="50" w:before="120" w:line="360" w:lineRule="auto"/>
      <w:ind w:firstLineChars="200" w:firstLine="482"/>
    </w:pPr>
    <w:rPr>
      <w:rFonts w:ascii="宋体" w:hAnsi="宋体"/>
      <w:b/>
    </w:rPr>
  </w:style>
  <w:style w:type="paragraph" w:customStyle="1" w:styleId="affffff3">
    <w:name w:val="表格内文字"/>
    <w:basedOn w:val="a3"/>
    <w:link w:val="Charf6"/>
    <w:qFormat/>
    <w:pPr>
      <w:tabs>
        <w:tab w:val="left" w:pos="0"/>
      </w:tabs>
      <w:adjustRightInd w:val="0"/>
      <w:snapToGrid w:val="0"/>
      <w:jc w:val="center"/>
    </w:pPr>
    <w:rPr>
      <w:rFonts w:eastAsia="仿宋_GB2312"/>
      <w:kern w:val="0"/>
      <w:sz w:val="24"/>
    </w:rPr>
  </w:style>
  <w:style w:type="character" w:customStyle="1" w:styleId="p41">
    <w:name w:val="p41"/>
    <w:qFormat/>
    <w:rPr>
      <w:rFonts w:ascii="宋体" w:eastAsia="宋体" w:hAnsi="宋体" w:hint="eastAsia"/>
      <w:sz w:val="21"/>
      <w:szCs w:val="21"/>
    </w:rPr>
  </w:style>
  <w:style w:type="character" w:customStyle="1" w:styleId="afff8">
    <w:name w:val="标题 字符"/>
    <w:link w:val="afff7"/>
    <w:qFormat/>
    <w:rPr>
      <w:rFonts w:ascii="Arial" w:hAnsi="Arial" w:cs="Arial"/>
      <w:b/>
      <w:bCs/>
      <w:sz w:val="32"/>
      <w:szCs w:val="32"/>
    </w:rPr>
  </w:style>
  <w:style w:type="character" w:customStyle="1" w:styleId="affffff4">
    <w:name w:val="正文文本缩进 字符"/>
    <w:qFormat/>
    <w:rPr>
      <w:kern w:val="2"/>
      <w:sz w:val="24"/>
    </w:rPr>
  </w:style>
  <w:style w:type="character" w:customStyle="1" w:styleId="afb">
    <w:name w:val="结束语 字符"/>
    <w:link w:val="afa"/>
    <w:qFormat/>
    <w:rPr>
      <w:rFonts w:ascii="Arial" w:eastAsia="仿宋_GB2312" w:hAnsi="Arial"/>
      <w:sz w:val="24"/>
    </w:rPr>
  </w:style>
  <w:style w:type="character" w:customStyle="1" w:styleId="Charf7">
    <w:name w:val="标题 Char"/>
    <w:qFormat/>
    <w:rPr>
      <w:rFonts w:ascii="Cambria" w:hAnsi="Cambria" w:cs="Times New Roman"/>
      <w:b/>
      <w:bCs/>
      <w:kern w:val="2"/>
      <w:sz w:val="32"/>
      <w:szCs w:val="32"/>
    </w:rPr>
  </w:style>
  <w:style w:type="character" w:customStyle="1" w:styleId="style291">
    <w:name w:val="style291"/>
    <w:qFormat/>
    <w:rPr>
      <w:rFonts w:ascii="文鼎CS中黑" w:eastAsia="文鼎CS中黑" w:hint="eastAsia"/>
    </w:rPr>
  </w:style>
  <w:style w:type="character" w:customStyle="1" w:styleId="style321">
    <w:name w:val="style321"/>
    <w:qFormat/>
    <w:rPr>
      <w:color w:val="636466"/>
      <w:sz w:val="18"/>
      <w:szCs w:val="18"/>
    </w:rPr>
  </w:style>
  <w:style w:type="character" w:customStyle="1" w:styleId="productallmaintext">
    <w:name w:val="product_all_main_text"/>
    <w:qFormat/>
  </w:style>
  <w:style w:type="character" w:customStyle="1" w:styleId="af9">
    <w:name w:val="称呼 字符"/>
    <w:link w:val="af8"/>
    <w:qFormat/>
    <w:rPr>
      <w:rFonts w:ascii="Arial" w:eastAsia="仿宋_GB2312" w:hAnsi="Arial"/>
      <w:sz w:val="24"/>
    </w:rPr>
  </w:style>
  <w:style w:type="character" w:customStyle="1" w:styleId="CharCharCharCharCharCharChar10">
    <w:name w:val="正文缩进 Char Char Char Char Char Char Char1"/>
    <w:qFormat/>
    <w:rPr>
      <w:rFonts w:ascii="仿宋_GB2312" w:eastAsia="仿宋_GB2312"/>
      <w:kern w:val="2"/>
      <w:sz w:val="28"/>
      <w:lang w:val="en-US" w:eastAsia="zh-CN"/>
    </w:rPr>
  </w:style>
  <w:style w:type="character" w:customStyle="1" w:styleId="fontzoom">
    <w:name w:val="fontzoom"/>
    <w:qFormat/>
  </w:style>
  <w:style w:type="character" w:customStyle="1" w:styleId="ttag">
    <w:name w:val="t_tag"/>
    <w:qFormat/>
  </w:style>
  <w:style w:type="character" w:customStyle="1" w:styleId="27">
    <w:name w:val="正文文本 2 字符"/>
    <w:link w:val="26"/>
    <w:qFormat/>
    <w:rPr>
      <w:b/>
      <w:bCs/>
      <w:sz w:val="24"/>
    </w:rPr>
  </w:style>
  <w:style w:type="character" w:customStyle="1" w:styleId="Charf8">
    <w:name w:val="参数解释 Char"/>
    <w:link w:val="affffff5"/>
    <w:qFormat/>
  </w:style>
  <w:style w:type="paragraph" w:customStyle="1" w:styleId="affffff5">
    <w:name w:val="参数解释"/>
    <w:basedOn w:val="affffff0"/>
    <w:link w:val="Charf8"/>
    <w:qFormat/>
    <w:pPr>
      <w:ind w:firstLineChars="531" w:firstLine="1274"/>
    </w:pPr>
    <w:rPr>
      <w:rFonts w:cs="Times New Roman"/>
      <w:sz w:val="20"/>
    </w:rPr>
  </w:style>
  <w:style w:type="character" w:customStyle="1" w:styleId="Charf9">
    <w:name w:val="表格文字 Char"/>
    <w:qFormat/>
    <w:rPr>
      <w:rFonts w:ascii="仿宋_GB2312" w:eastAsia="仿宋_GB2312" w:hAnsi="Arial Black"/>
      <w:kern w:val="44"/>
      <w:sz w:val="24"/>
    </w:rPr>
  </w:style>
  <w:style w:type="character" w:customStyle="1" w:styleId="aff5">
    <w:name w:val="批注框文本 字符"/>
    <w:link w:val="aff4"/>
    <w:uiPriority w:val="99"/>
    <w:qFormat/>
    <w:rPr>
      <w:sz w:val="18"/>
      <w:szCs w:val="18"/>
    </w:rPr>
  </w:style>
  <w:style w:type="character" w:customStyle="1" w:styleId="a11">
    <w:name w:val="a11"/>
    <w:qFormat/>
  </w:style>
  <w:style w:type="character" w:customStyle="1" w:styleId="indetail1">
    <w:name w:val="indetail1"/>
    <w:qFormat/>
    <w:rPr>
      <w:sz w:val="18"/>
      <w:szCs w:val="18"/>
      <w:bdr w:val="single" w:sz="6" w:space="0" w:color="E2E2E2"/>
    </w:rPr>
  </w:style>
  <w:style w:type="character" w:customStyle="1" w:styleId="Charfa">
    <w:name w:val="参加人员 Char"/>
    <w:link w:val="affffff6"/>
    <w:qFormat/>
    <w:rPr>
      <w:sz w:val="24"/>
    </w:rPr>
  </w:style>
  <w:style w:type="paragraph" w:customStyle="1" w:styleId="affffff6">
    <w:name w:val="参加人员"/>
    <w:basedOn w:val="a3"/>
    <w:link w:val="Charfa"/>
    <w:qFormat/>
    <w:pPr>
      <w:adjustRightInd w:val="0"/>
      <w:snapToGrid w:val="0"/>
      <w:spacing w:line="500" w:lineRule="exact"/>
    </w:pPr>
    <w:rPr>
      <w:kern w:val="0"/>
      <w:sz w:val="24"/>
      <w:szCs w:val="20"/>
    </w:rPr>
  </w:style>
  <w:style w:type="character" w:customStyle="1" w:styleId="affffff7">
    <w:name w:val="表内文字"/>
    <w:qFormat/>
    <w:rPr>
      <w:rFonts w:ascii="宋体" w:eastAsia="宋体" w:hAnsi="宋体"/>
      <w:sz w:val="21"/>
      <w:szCs w:val="21"/>
    </w:rPr>
  </w:style>
  <w:style w:type="character" w:customStyle="1" w:styleId="1Char3">
    <w:name w:val="样式1 Char"/>
    <w:link w:val="1b"/>
    <w:qFormat/>
    <w:rPr>
      <w:rFonts w:ascii="宋体"/>
    </w:rPr>
  </w:style>
  <w:style w:type="paragraph" w:customStyle="1" w:styleId="1b">
    <w:name w:val="样式1"/>
    <w:basedOn w:val="a3"/>
    <w:link w:val="1Char3"/>
    <w:qFormat/>
    <w:pPr>
      <w:adjustRightInd w:val="0"/>
      <w:snapToGrid w:val="0"/>
      <w:jc w:val="center"/>
    </w:pPr>
    <w:rPr>
      <w:rFonts w:ascii="宋体"/>
      <w:kern w:val="0"/>
      <w:sz w:val="20"/>
      <w:szCs w:val="20"/>
    </w:rPr>
  </w:style>
  <w:style w:type="character" w:customStyle="1" w:styleId="CharChar3">
    <w:name w:val="维度 Char Char"/>
    <w:link w:val="affffff8"/>
    <w:qFormat/>
    <w:rPr>
      <w:rFonts w:hAnsi="宋体"/>
      <w:color w:val="FF0000"/>
      <w:sz w:val="24"/>
      <w:szCs w:val="24"/>
    </w:rPr>
  </w:style>
  <w:style w:type="paragraph" w:customStyle="1" w:styleId="affffff8">
    <w:name w:val="维度"/>
    <w:basedOn w:val="a3"/>
    <w:link w:val="CharChar3"/>
    <w:qFormat/>
    <w:pPr>
      <w:topLinePunct/>
      <w:adjustRightInd w:val="0"/>
      <w:snapToGrid w:val="0"/>
      <w:spacing w:line="500" w:lineRule="exact"/>
      <w:ind w:firstLineChars="200" w:firstLine="480"/>
    </w:pPr>
    <w:rPr>
      <w:rFonts w:hAnsi="宋体"/>
      <w:color w:val="FF0000"/>
      <w:kern w:val="0"/>
      <w:sz w:val="24"/>
    </w:rPr>
  </w:style>
  <w:style w:type="character" w:customStyle="1" w:styleId="f14b1">
    <w:name w:val="f14b1"/>
    <w:qFormat/>
    <w:rPr>
      <w:b/>
      <w:bCs/>
      <w:sz w:val="21"/>
      <w:szCs w:val="21"/>
    </w:rPr>
  </w:style>
  <w:style w:type="character" w:customStyle="1" w:styleId="text">
    <w:name w:val="text"/>
    <w:qFormat/>
  </w:style>
  <w:style w:type="character" w:customStyle="1" w:styleId="1c">
    <w:name w:val="正文1"/>
    <w:qFormat/>
    <w:rPr>
      <w:rFonts w:ascii="宋体" w:eastAsia="宋体" w:hAnsi="宋体" w:hint="eastAsia"/>
      <w:color w:val="000000"/>
      <w:sz w:val="22"/>
      <w:szCs w:val="22"/>
    </w:rPr>
  </w:style>
  <w:style w:type="character" w:customStyle="1" w:styleId="Charfb">
    <w:name w:val="页脚 Char"/>
    <w:uiPriority w:val="99"/>
    <w:qFormat/>
    <w:rPr>
      <w:kern w:val="2"/>
      <w:sz w:val="18"/>
      <w:szCs w:val="18"/>
    </w:rPr>
  </w:style>
  <w:style w:type="character" w:customStyle="1" w:styleId="green121">
    <w:name w:val="green121"/>
    <w:qFormat/>
    <w:rPr>
      <w:rFonts w:ascii="ˎ̥" w:hAnsi="ˎ̥" w:hint="default"/>
      <w:color w:val="0A5D21"/>
      <w:sz w:val="18"/>
      <w:szCs w:val="18"/>
      <w:u w:val="none"/>
    </w:rPr>
  </w:style>
  <w:style w:type="character" w:customStyle="1" w:styleId="CharChar4">
    <w:name w:val="Char Char4"/>
    <w:qFormat/>
    <w:rPr>
      <w:sz w:val="18"/>
      <w:szCs w:val="18"/>
    </w:rPr>
  </w:style>
  <w:style w:type="character" w:customStyle="1" w:styleId="Charf6">
    <w:name w:val="表格内文字 Char"/>
    <w:link w:val="affffff3"/>
    <w:qFormat/>
    <w:rPr>
      <w:rFonts w:eastAsia="仿宋_GB2312"/>
      <w:sz w:val="24"/>
      <w:szCs w:val="24"/>
    </w:rPr>
  </w:style>
  <w:style w:type="character" w:customStyle="1" w:styleId="CharChar5">
    <w:name w:val="报告 Char Char"/>
    <w:link w:val="Charfc"/>
    <w:qFormat/>
    <w:rPr>
      <w:sz w:val="24"/>
      <w:szCs w:val="24"/>
    </w:rPr>
  </w:style>
  <w:style w:type="paragraph" w:customStyle="1" w:styleId="Charfc">
    <w:name w:val="报告 Char"/>
    <w:basedOn w:val="a3"/>
    <w:link w:val="CharChar5"/>
    <w:qFormat/>
    <w:pPr>
      <w:adjustRightInd w:val="0"/>
      <w:snapToGrid w:val="0"/>
      <w:spacing w:line="500" w:lineRule="exact"/>
      <w:ind w:firstLine="505"/>
      <w:textAlignment w:val="baseline"/>
    </w:pPr>
    <w:rPr>
      <w:kern w:val="0"/>
      <w:sz w:val="24"/>
    </w:rPr>
  </w:style>
  <w:style w:type="character" w:customStyle="1" w:styleId="f241">
    <w:name w:val="f241"/>
    <w:qFormat/>
    <w:rPr>
      <w:sz w:val="29"/>
      <w:szCs w:val="29"/>
    </w:rPr>
  </w:style>
  <w:style w:type="character" w:customStyle="1" w:styleId="wz-title11">
    <w:name w:val="wz-title11"/>
    <w:qFormat/>
    <w:rPr>
      <w:b/>
      <w:bCs/>
      <w:color w:val="2879B8"/>
      <w:sz w:val="20"/>
      <w:szCs w:val="20"/>
    </w:rPr>
  </w:style>
  <w:style w:type="character" w:customStyle="1" w:styleId="content1">
    <w:name w:val="content1"/>
    <w:qFormat/>
    <w:rPr>
      <w:sz w:val="20"/>
      <w:szCs w:val="20"/>
    </w:rPr>
  </w:style>
  <w:style w:type="character" w:customStyle="1" w:styleId="1d">
    <w:name w:val="结束语 字符1"/>
    <w:basedOn w:val="a4"/>
    <w:uiPriority w:val="99"/>
    <w:qFormat/>
    <w:rPr>
      <w:kern w:val="2"/>
      <w:sz w:val="21"/>
      <w:szCs w:val="24"/>
    </w:rPr>
  </w:style>
  <w:style w:type="character" w:customStyle="1" w:styleId="1e">
    <w:name w:val="页眉 字符1"/>
    <w:basedOn w:val="a4"/>
    <w:uiPriority w:val="99"/>
    <w:semiHidden/>
    <w:qFormat/>
    <w:rPr>
      <w:kern w:val="2"/>
      <w:sz w:val="18"/>
      <w:szCs w:val="18"/>
    </w:rPr>
  </w:style>
  <w:style w:type="character" w:customStyle="1" w:styleId="311">
    <w:name w:val="正文文本缩进 3 字符1"/>
    <w:basedOn w:val="a4"/>
    <w:uiPriority w:val="99"/>
    <w:qFormat/>
    <w:rPr>
      <w:kern w:val="2"/>
      <w:sz w:val="16"/>
      <w:szCs w:val="16"/>
    </w:rPr>
  </w:style>
  <w:style w:type="character" w:customStyle="1" w:styleId="211">
    <w:name w:val="正文文本 2 字符1"/>
    <w:basedOn w:val="a4"/>
    <w:uiPriority w:val="99"/>
    <w:qFormat/>
    <w:rPr>
      <w:kern w:val="2"/>
      <w:sz w:val="21"/>
      <w:szCs w:val="24"/>
    </w:rPr>
  </w:style>
  <w:style w:type="paragraph" w:customStyle="1" w:styleId="1f">
    <w:name w:val="1"/>
    <w:basedOn w:val="a3"/>
    <w:next w:val="aff0"/>
    <w:qFormat/>
    <w:pPr>
      <w:adjustRightInd w:val="0"/>
      <w:snapToGrid w:val="0"/>
    </w:pPr>
    <w:rPr>
      <w:rFonts w:ascii="宋体" w:hAnsi="Courier New" w:cs="Courier New"/>
      <w:szCs w:val="21"/>
    </w:rPr>
  </w:style>
  <w:style w:type="character" w:customStyle="1" w:styleId="1f0">
    <w:name w:val="签名 字符1"/>
    <w:basedOn w:val="a4"/>
    <w:uiPriority w:val="99"/>
    <w:qFormat/>
    <w:rPr>
      <w:kern w:val="2"/>
      <w:sz w:val="21"/>
      <w:szCs w:val="24"/>
    </w:rPr>
  </w:style>
  <w:style w:type="paragraph" w:customStyle="1" w:styleId="xl193">
    <w:name w:val="xl193"/>
    <w:basedOn w:val="a3"/>
    <w:qFormat/>
    <w:pPr>
      <w:widowControl/>
      <w:pBdr>
        <w:left w:val="single" w:sz="4" w:space="0" w:color="auto"/>
        <w:bottom w:val="single" w:sz="4" w:space="0" w:color="auto"/>
        <w:right w:val="single" w:sz="4" w:space="0" w:color="auto"/>
      </w:pBdr>
      <w:adjustRightInd w:val="0"/>
      <w:snapToGrid w:val="0"/>
      <w:spacing w:before="100" w:beforeAutospacing="1" w:after="100" w:afterAutospacing="1"/>
      <w:jc w:val="left"/>
    </w:pPr>
    <w:rPr>
      <w:rFonts w:ascii="Arial Unicode MS" w:hAnsi="Arial Unicode MS"/>
      <w:kern w:val="0"/>
      <w:sz w:val="16"/>
      <w:szCs w:val="16"/>
    </w:rPr>
  </w:style>
  <w:style w:type="character" w:customStyle="1" w:styleId="12">
    <w:name w:val="正文文本缩进 字符1"/>
    <w:basedOn w:val="a4"/>
    <w:link w:val="afd"/>
    <w:qFormat/>
    <w:rPr>
      <w:kern w:val="2"/>
      <w:sz w:val="21"/>
    </w:rPr>
  </w:style>
  <w:style w:type="character" w:customStyle="1" w:styleId="212">
    <w:name w:val="正文文本首行缩进 2 字符1"/>
    <w:basedOn w:val="12"/>
    <w:uiPriority w:val="99"/>
    <w:qFormat/>
    <w:rPr>
      <w:kern w:val="2"/>
      <w:sz w:val="21"/>
    </w:rPr>
  </w:style>
  <w:style w:type="character" w:customStyle="1" w:styleId="HTML10">
    <w:name w:val="HTML 预设格式 字符1"/>
    <w:basedOn w:val="a4"/>
    <w:uiPriority w:val="99"/>
    <w:qFormat/>
    <w:rPr>
      <w:rFonts w:ascii="Courier New" w:hAnsi="Courier New" w:cs="Courier New"/>
      <w:kern w:val="2"/>
    </w:rPr>
  </w:style>
  <w:style w:type="paragraph" w:customStyle="1" w:styleId="1f1">
    <w:name w:val="正文样式1"/>
    <w:basedOn w:val="a3"/>
    <w:qFormat/>
    <w:pPr>
      <w:adjustRightInd w:val="0"/>
      <w:snapToGrid w:val="0"/>
      <w:spacing w:line="500" w:lineRule="exact"/>
      <w:ind w:firstLineChars="200" w:firstLine="480"/>
      <w:textAlignment w:val="baseline"/>
    </w:pPr>
    <w:rPr>
      <w:rFonts w:ascii="Arial" w:hAnsi="Arial" w:cs="Arial"/>
      <w:kern w:val="0"/>
      <w:sz w:val="24"/>
      <w:szCs w:val="20"/>
    </w:rPr>
  </w:style>
  <w:style w:type="character" w:customStyle="1" w:styleId="1f2">
    <w:name w:val="批注文字 字符1"/>
    <w:basedOn w:val="a4"/>
    <w:uiPriority w:val="99"/>
    <w:qFormat/>
    <w:rPr>
      <w:rFonts w:ascii="Times New Roman" w:eastAsia="宋体" w:hAnsi="Times New Roman" w:cs="Times New Roman"/>
      <w:szCs w:val="20"/>
    </w:rPr>
  </w:style>
  <w:style w:type="character" w:customStyle="1" w:styleId="1f3">
    <w:name w:val="批注主题 字符1"/>
    <w:basedOn w:val="1f2"/>
    <w:uiPriority w:val="99"/>
    <w:semiHidden/>
    <w:qFormat/>
    <w:rPr>
      <w:rFonts w:ascii="Times New Roman" w:eastAsia="宋体" w:hAnsi="Times New Roman" w:cs="Times New Roman"/>
      <w:b/>
      <w:bCs/>
      <w:szCs w:val="20"/>
    </w:rPr>
  </w:style>
  <w:style w:type="character" w:customStyle="1" w:styleId="1f4">
    <w:name w:val="批注框文本 字符1"/>
    <w:basedOn w:val="a4"/>
    <w:uiPriority w:val="99"/>
    <w:semiHidden/>
    <w:qFormat/>
    <w:rPr>
      <w:kern w:val="2"/>
      <w:sz w:val="18"/>
      <w:szCs w:val="18"/>
    </w:rPr>
  </w:style>
  <w:style w:type="character" w:customStyle="1" w:styleId="1f5">
    <w:name w:val="正文文本首行缩进 字符1"/>
    <w:basedOn w:val="11"/>
    <w:uiPriority w:val="99"/>
    <w:qFormat/>
    <w:rPr>
      <w:kern w:val="2"/>
      <w:sz w:val="21"/>
      <w:szCs w:val="24"/>
    </w:rPr>
  </w:style>
  <w:style w:type="character" w:customStyle="1" w:styleId="312">
    <w:name w:val="正文文本 3 字符1"/>
    <w:basedOn w:val="a4"/>
    <w:uiPriority w:val="99"/>
    <w:qFormat/>
    <w:rPr>
      <w:kern w:val="2"/>
      <w:sz w:val="16"/>
      <w:szCs w:val="16"/>
    </w:rPr>
  </w:style>
  <w:style w:type="character" w:customStyle="1" w:styleId="1f6">
    <w:name w:val="副标题 字符1"/>
    <w:basedOn w:val="a4"/>
    <w:uiPriority w:val="11"/>
    <w:qFormat/>
    <w:rPr>
      <w:rFonts w:asciiTheme="minorHAnsi" w:eastAsiaTheme="minorEastAsia" w:hAnsiTheme="minorHAnsi" w:cstheme="minorBidi"/>
      <w:b/>
      <w:bCs/>
      <w:kern w:val="28"/>
      <w:sz w:val="32"/>
      <w:szCs w:val="32"/>
    </w:rPr>
  </w:style>
  <w:style w:type="paragraph" w:customStyle="1" w:styleId="xl102">
    <w:name w:val="xl102"/>
    <w:basedOn w:val="a3"/>
    <w:qFormat/>
    <w:pPr>
      <w:widowControl/>
      <w:pBdr>
        <w:left w:val="single" w:sz="4" w:space="0" w:color="auto"/>
        <w:bottom w:val="single" w:sz="12" w:space="0" w:color="auto"/>
        <w:right w:val="single" w:sz="12" w:space="0" w:color="auto"/>
      </w:pBdr>
      <w:adjustRightInd w:val="0"/>
      <w:snapToGrid w:val="0"/>
      <w:spacing w:before="100" w:beforeAutospacing="1" w:after="100" w:afterAutospacing="1"/>
      <w:jc w:val="center"/>
      <w:textAlignment w:val="center"/>
    </w:pPr>
    <w:rPr>
      <w:kern w:val="0"/>
      <w:sz w:val="12"/>
      <w:szCs w:val="12"/>
    </w:rPr>
  </w:style>
  <w:style w:type="character" w:customStyle="1" w:styleId="1f7">
    <w:name w:val="纯文本 字符1"/>
    <w:basedOn w:val="a4"/>
    <w:uiPriority w:val="99"/>
    <w:qFormat/>
    <w:rPr>
      <w:rFonts w:asciiTheme="minorEastAsia" w:eastAsiaTheme="minorEastAsia" w:hAnsi="Courier New" w:cs="Courier New"/>
      <w:kern w:val="2"/>
      <w:sz w:val="21"/>
      <w:szCs w:val="24"/>
    </w:rPr>
  </w:style>
  <w:style w:type="character" w:customStyle="1" w:styleId="1f8">
    <w:name w:val="注释标题 字符1"/>
    <w:basedOn w:val="a4"/>
    <w:uiPriority w:val="99"/>
    <w:qFormat/>
    <w:rPr>
      <w:kern w:val="2"/>
      <w:sz w:val="21"/>
      <w:szCs w:val="24"/>
    </w:rPr>
  </w:style>
  <w:style w:type="character" w:customStyle="1" w:styleId="1f9">
    <w:name w:val="页脚 字符1"/>
    <w:basedOn w:val="a4"/>
    <w:qFormat/>
    <w:rPr>
      <w:kern w:val="2"/>
      <w:sz w:val="18"/>
      <w:szCs w:val="18"/>
    </w:rPr>
  </w:style>
  <w:style w:type="character" w:customStyle="1" w:styleId="1fa">
    <w:name w:val="标题 字符1"/>
    <w:basedOn w:val="a4"/>
    <w:uiPriority w:val="10"/>
    <w:qFormat/>
    <w:rPr>
      <w:rFonts w:asciiTheme="majorHAnsi" w:eastAsiaTheme="majorEastAsia" w:hAnsiTheme="majorHAnsi" w:cstheme="majorBidi"/>
      <w:b/>
      <w:bCs/>
      <w:kern w:val="2"/>
      <w:sz w:val="32"/>
      <w:szCs w:val="32"/>
    </w:rPr>
  </w:style>
  <w:style w:type="character" w:customStyle="1" w:styleId="1fb">
    <w:name w:val="日期 字符1"/>
    <w:basedOn w:val="a4"/>
    <w:uiPriority w:val="99"/>
    <w:qFormat/>
    <w:rPr>
      <w:kern w:val="2"/>
      <w:sz w:val="21"/>
      <w:szCs w:val="24"/>
    </w:rPr>
  </w:style>
  <w:style w:type="character" w:customStyle="1" w:styleId="1fc">
    <w:name w:val="电子邮件签名 字符1"/>
    <w:basedOn w:val="a4"/>
    <w:uiPriority w:val="99"/>
    <w:qFormat/>
    <w:rPr>
      <w:kern w:val="2"/>
      <w:sz w:val="21"/>
      <w:szCs w:val="24"/>
    </w:rPr>
  </w:style>
  <w:style w:type="character" w:customStyle="1" w:styleId="HTML11">
    <w:name w:val="HTML 地址 字符1"/>
    <w:basedOn w:val="a4"/>
    <w:uiPriority w:val="99"/>
    <w:qFormat/>
    <w:rPr>
      <w:i/>
      <w:iCs/>
      <w:kern w:val="2"/>
      <w:sz w:val="21"/>
      <w:szCs w:val="24"/>
    </w:rPr>
  </w:style>
  <w:style w:type="character" w:customStyle="1" w:styleId="1fd">
    <w:name w:val="称呼 字符1"/>
    <w:basedOn w:val="a4"/>
    <w:uiPriority w:val="99"/>
    <w:qFormat/>
    <w:rPr>
      <w:kern w:val="2"/>
      <w:sz w:val="21"/>
      <w:szCs w:val="24"/>
    </w:rPr>
  </w:style>
  <w:style w:type="character" w:customStyle="1" w:styleId="1fe">
    <w:name w:val="脚注文本 字符1"/>
    <w:basedOn w:val="a4"/>
    <w:uiPriority w:val="99"/>
    <w:qFormat/>
    <w:rPr>
      <w:kern w:val="2"/>
      <w:sz w:val="18"/>
      <w:szCs w:val="18"/>
    </w:rPr>
  </w:style>
  <w:style w:type="character" w:customStyle="1" w:styleId="213">
    <w:name w:val="正文文本缩进 2 字符1"/>
    <w:basedOn w:val="a4"/>
    <w:uiPriority w:val="99"/>
    <w:qFormat/>
    <w:rPr>
      <w:kern w:val="2"/>
      <w:sz w:val="21"/>
      <w:szCs w:val="24"/>
    </w:rPr>
  </w:style>
  <w:style w:type="character" w:customStyle="1" w:styleId="1ff">
    <w:name w:val="文档结构图 字符1"/>
    <w:basedOn w:val="a4"/>
    <w:uiPriority w:val="99"/>
    <w:qFormat/>
    <w:rPr>
      <w:rFonts w:ascii="Microsoft YaHei UI" w:eastAsia="Microsoft YaHei UI"/>
      <w:kern w:val="2"/>
      <w:sz w:val="18"/>
      <w:szCs w:val="18"/>
    </w:rPr>
  </w:style>
  <w:style w:type="character" w:customStyle="1" w:styleId="1ff0">
    <w:name w:val="信息标题 字符1"/>
    <w:basedOn w:val="a4"/>
    <w:uiPriority w:val="99"/>
    <w:qFormat/>
    <w:rPr>
      <w:rFonts w:asciiTheme="majorHAnsi" w:eastAsiaTheme="majorEastAsia" w:hAnsiTheme="majorHAnsi" w:cstheme="majorBidi"/>
      <w:kern w:val="2"/>
      <w:sz w:val="24"/>
      <w:szCs w:val="24"/>
      <w:shd w:val="pct20" w:color="auto" w:fill="auto"/>
    </w:rPr>
  </w:style>
  <w:style w:type="paragraph" w:customStyle="1" w:styleId="xl134">
    <w:name w:val="xl134"/>
    <w:basedOn w:val="a3"/>
    <w:qFormat/>
    <w:pPr>
      <w:widowControl/>
      <w:adjustRightInd w:val="0"/>
      <w:snapToGrid w:val="0"/>
      <w:spacing w:before="100" w:beforeAutospacing="1" w:after="100" w:afterAutospacing="1"/>
      <w:jc w:val="left"/>
    </w:pPr>
    <w:rPr>
      <w:rFonts w:ascii="Arial Unicode MS" w:hAnsi="Arial Unicode MS"/>
      <w:kern w:val="0"/>
      <w:sz w:val="20"/>
      <w:szCs w:val="20"/>
    </w:rPr>
  </w:style>
  <w:style w:type="paragraph" w:customStyle="1" w:styleId="affffff9">
    <w:name w:val="小五表文"/>
    <w:qFormat/>
    <w:pPr>
      <w:jc w:val="center"/>
    </w:pPr>
    <w:rPr>
      <w:rFonts w:eastAsia="仿宋_GB2312"/>
      <w:sz w:val="18"/>
    </w:rPr>
  </w:style>
  <w:style w:type="paragraph" w:customStyle="1" w:styleId="xl53">
    <w:name w:val="xl53"/>
    <w:basedOn w:val="a3"/>
    <w:qFormat/>
    <w:pPr>
      <w:widowControl/>
      <w:pBdr>
        <w:top w:val="single" w:sz="12" w:space="0" w:color="auto"/>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a">
    <w:name w:val="样式a"/>
    <w:basedOn w:val="a3"/>
    <w:qFormat/>
    <w:pPr>
      <w:adjustRightInd w:val="0"/>
      <w:snapToGrid w:val="0"/>
      <w:spacing w:line="420" w:lineRule="exact"/>
      <w:ind w:firstLineChars="200" w:firstLine="200"/>
      <w:textAlignment w:val="baseline"/>
    </w:pPr>
    <w:rPr>
      <w:kern w:val="0"/>
      <w:sz w:val="24"/>
    </w:rPr>
  </w:style>
  <w:style w:type="paragraph" w:customStyle="1" w:styleId="CharCharCharChar2">
    <w:name w:val="Char Char Char Char2"/>
    <w:basedOn w:val="a3"/>
    <w:qFormat/>
    <w:pPr>
      <w:adjustRightInd w:val="0"/>
      <w:snapToGrid w:val="0"/>
    </w:pPr>
  </w:style>
  <w:style w:type="paragraph" w:customStyle="1" w:styleId="xl105">
    <w:name w:val="xl105"/>
    <w:basedOn w:val="a3"/>
    <w:qFormat/>
    <w:pPr>
      <w:widowControl/>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CharChar1Char1">
    <w:name w:val="Char Char1 Char1"/>
    <w:basedOn w:val="a3"/>
    <w:qFormat/>
    <w:pPr>
      <w:adjustRightInd w:val="0"/>
      <w:snapToGrid w:val="0"/>
    </w:pPr>
    <w:rPr>
      <w:sz w:val="24"/>
    </w:rPr>
  </w:style>
  <w:style w:type="paragraph" w:customStyle="1" w:styleId="affffffb">
    <w:name w:val="正文文字缩进"/>
    <w:basedOn w:val="a3"/>
    <w:qFormat/>
    <w:pPr>
      <w:autoSpaceDE w:val="0"/>
      <w:autoSpaceDN w:val="0"/>
      <w:adjustRightInd w:val="0"/>
      <w:snapToGrid w:val="0"/>
      <w:spacing w:line="500" w:lineRule="exact"/>
      <w:ind w:firstLine="540"/>
      <w:jc w:val="left"/>
      <w:textAlignment w:val="baseline"/>
    </w:pPr>
    <w:rPr>
      <w:rFonts w:ascii="宋体" w:cs="宋体"/>
      <w:kern w:val="0"/>
      <w:sz w:val="24"/>
    </w:rPr>
  </w:style>
  <w:style w:type="paragraph" w:customStyle="1" w:styleId="PlainTextChar1">
    <w:name w:val="Plain Text Char1"/>
    <w:basedOn w:val="a3"/>
    <w:next w:val="aff0"/>
    <w:qFormat/>
    <w:pPr>
      <w:tabs>
        <w:tab w:val="left" w:pos="1380"/>
      </w:tabs>
      <w:adjustRightInd w:val="0"/>
      <w:snapToGrid w:val="0"/>
      <w:ind w:firstLine="480"/>
    </w:pPr>
    <w:rPr>
      <w:rFonts w:ascii="宋体" w:hAnsi="Courier New" w:cs="Courier New"/>
      <w:szCs w:val="21"/>
    </w:rPr>
  </w:style>
  <w:style w:type="paragraph" w:customStyle="1" w:styleId="ParaCharCharChar1CharCharCharCharCharCharCharCharCharChar">
    <w:name w:val="默认段落字体 Para Char Char Char1 Char Char Char Char Char Char Char Char Char Char"/>
    <w:basedOn w:val="a3"/>
    <w:semiHidden/>
    <w:qFormat/>
    <w:pPr>
      <w:adjustRightInd w:val="0"/>
      <w:snapToGrid w:val="0"/>
    </w:pPr>
    <w:rPr>
      <w:sz w:val="28"/>
    </w:rPr>
  </w:style>
  <w:style w:type="paragraph" w:customStyle="1" w:styleId="wj12">
    <w:name w:val="wj12"/>
    <w:basedOn w:val="a3"/>
    <w:qFormat/>
    <w:pPr>
      <w:widowControl/>
      <w:adjustRightInd w:val="0"/>
      <w:snapToGrid w:val="0"/>
      <w:spacing w:before="100" w:beforeAutospacing="1" w:after="100" w:afterAutospacing="1"/>
      <w:jc w:val="left"/>
    </w:pPr>
    <w:rPr>
      <w:rFonts w:ascii="宋体" w:hAnsi="宋体" w:cs="宋体"/>
      <w:kern w:val="0"/>
      <w:sz w:val="18"/>
      <w:szCs w:val="18"/>
    </w:rPr>
  </w:style>
  <w:style w:type="paragraph" w:customStyle="1" w:styleId="1ff1">
    <w:name w:val="正文缩进1"/>
    <w:basedOn w:val="a3"/>
    <w:qFormat/>
    <w:pPr>
      <w:adjustRightInd w:val="0"/>
      <w:snapToGrid w:val="0"/>
      <w:ind w:firstLineChars="200" w:firstLine="420"/>
      <w:textAlignment w:val="baseline"/>
    </w:pPr>
    <w:rPr>
      <w:rFonts w:hAnsi="宋体" w:hint="eastAsia"/>
      <w:sz w:val="24"/>
      <w:szCs w:val="20"/>
    </w:rPr>
  </w:style>
  <w:style w:type="paragraph" w:customStyle="1" w:styleId="1135">
    <w:name w:val="样式 标题 1 + (中文) 宋体 小三 行距: 多倍行距 1.35 字行"/>
    <w:basedOn w:val="1"/>
    <w:qFormat/>
    <w:pPr>
      <w:keepLines/>
      <w:numPr>
        <w:numId w:val="2"/>
      </w:numPr>
      <w:tabs>
        <w:tab w:val="left" w:pos="503"/>
      </w:tabs>
      <w:overflowPunct/>
      <w:adjustRightInd w:val="0"/>
      <w:spacing w:before="0" w:after="0" w:line="360" w:lineRule="auto"/>
    </w:pPr>
    <w:rPr>
      <w:rFonts w:eastAsia="宋体"/>
      <w:color w:val="auto"/>
      <w:sz w:val="32"/>
      <w:szCs w:val="32"/>
    </w:rPr>
  </w:style>
  <w:style w:type="paragraph" w:customStyle="1" w:styleId="CharCharCharCharCharCharCharCharChar1CharCharCharCharCharChar">
    <w:name w:val="Char Char Char Char Char Char Char Char Char1 Char Char Char Char Char Char"/>
    <w:basedOn w:val="a3"/>
    <w:qFormat/>
    <w:pPr>
      <w:adjustRightInd w:val="0"/>
      <w:snapToGrid w:val="0"/>
    </w:pPr>
    <w:rPr>
      <w:rFonts w:ascii="仿宋_GB2312" w:eastAsia="仿宋_GB2312"/>
      <w:sz w:val="28"/>
      <w:szCs w:val="20"/>
    </w:rPr>
  </w:style>
  <w:style w:type="paragraph" w:customStyle="1" w:styleId="xl136">
    <w:name w:val="xl136"/>
    <w:basedOn w:val="a3"/>
    <w:qFormat/>
    <w:pPr>
      <w:widowControl/>
      <w:adjustRightInd w:val="0"/>
      <w:snapToGrid w:val="0"/>
      <w:spacing w:before="100" w:beforeAutospacing="1" w:after="100" w:afterAutospacing="1"/>
      <w:jc w:val="left"/>
    </w:pPr>
    <w:rPr>
      <w:rFonts w:ascii="Arial Unicode MS" w:hAnsi="Arial Unicode MS"/>
      <w:kern w:val="0"/>
      <w:sz w:val="12"/>
      <w:szCs w:val="12"/>
    </w:rPr>
  </w:style>
  <w:style w:type="paragraph" w:customStyle="1" w:styleId="dandan6-13CharCharChar">
    <w:name w:val="dandan6-13正文 Char Char Char"/>
    <w:basedOn w:val="a3"/>
    <w:next w:val="a3"/>
    <w:qFormat/>
    <w:pPr>
      <w:keepNext/>
      <w:keepLines/>
      <w:widowControl/>
      <w:adjustRightInd w:val="0"/>
      <w:snapToGrid w:val="0"/>
      <w:spacing w:before="40" w:after="40" w:line="500" w:lineRule="exact"/>
      <w:ind w:firstLineChars="200" w:firstLine="200"/>
      <w:textAlignment w:val="baseline"/>
    </w:pPr>
    <w:rPr>
      <w:rFonts w:cs="宋体"/>
      <w:kern w:val="0"/>
      <w:sz w:val="24"/>
      <w:szCs w:val="28"/>
    </w:rPr>
  </w:style>
  <w:style w:type="paragraph" w:customStyle="1" w:styleId="affffffc">
    <w:name w:val="目录标题"/>
    <w:basedOn w:val="a3"/>
    <w:qFormat/>
    <w:pPr>
      <w:tabs>
        <w:tab w:val="right" w:leader="dot" w:pos="8296"/>
      </w:tabs>
      <w:adjustRightInd w:val="0"/>
      <w:snapToGrid w:val="0"/>
      <w:spacing w:line="440" w:lineRule="exact"/>
      <w:ind w:firstLineChars="200" w:firstLine="482"/>
      <w:jc w:val="center"/>
    </w:pPr>
    <w:rPr>
      <w:rFonts w:ascii="宋体" w:hAnsi="宋体"/>
      <w:b/>
      <w:sz w:val="32"/>
      <w:szCs w:val="20"/>
    </w:rPr>
  </w:style>
  <w:style w:type="paragraph" w:customStyle="1" w:styleId="xl37">
    <w:name w:val="xl37"/>
    <w:basedOn w:val="a3"/>
    <w:qFormat/>
    <w:pPr>
      <w:widowControl/>
      <w:pBdr>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62">
    <w:name w:val="xl62"/>
    <w:basedOn w:val="a3"/>
    <w:qFormat/>
    <w:pPr>
      <w:widowControl/>
      <w:pBdr>
        <w:bottom w:val="single" w:sz="12" w:space="0" w:color="auto"/>
      </w:pBdr>
      <w:adjustRightInd w:val="0"/>
      <w:snapToGrid w:val="0"/>
      <w:spacing w:before="100" w:beforeAutospacing="1" w:after="100" w:afterAutospacing="1"/>
      <w:jc w:val="center"/>
      <w:textAlignment w:val="center"/>
    </w:pPr>
    <w:rPr>
      <w:kern w:val="0"/>
      <w:sz w:val="12"/>
      <w:szCs w:val="12"/>
    </w:rPr>
  </w:style>
  <w:style w:type="paragraph" w:customStyle="1" w:styleId="3b">
    <w:name w:val="条3"/>
    <w:basedOn w:val="a3"/>
    <w:next w:val="a3"/>
    <w:qFormat/>
    <w:pPr>
      <w:tabs>
        <w:tab w:val="left" w:pos="1440"/>
      </w:tabs>
      <w:adjustRightInd w:val="0"/>
      <w:snapToGrid w:val="0"/>
      <w:outlineLvl w:val="1"/>
    </w:pPr>
    <w:rPr>
      <w:rFonts w:ascii="黑体" w:eastAsia="黑体" w:hint="eastAsia"/>
      <w:kern w:val="21"/>
      <w:szCs w:val="20"/>
    </w:rPr>
  </w:style>
  <w:style w:type="paragraph" w:customStyle="1" w:styleId="xl139">
    <w:name w:val="xl139"/>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30">
    <w:name w:val="xl30"/>
    <w:basedOn w:val="a3"/>
    <w:qFormat/>
    <w:pPr>
      <w:widowControl/>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67">
    <w:name w:val="xl67"/>
    <w:basedOn w:val="a3"/>
    <w:qFormat/>
    <w:pPr>
      <w:widowControl/>
      <w:pBdr>
        <w:right w:val="single" w:sz="4" w:space="0" w:color="auto"/>
      </w:pBdr>
      <w:adjustRightInd w:val="0"/>
      <w:snapToGrid w:val="0"/>
      <w:spacing w:before="100" w:beforeAutospacing="1" w:after="100" w:afterAutospacing="1"/>
      <w:jc w:val="center"/>
    </w:pPr>
    <w:rPr>
      <w:rFonts w:ascii="Arial Unicode MS" w:hAnsi="Arial Unicode MS"/>
      <w:kern w:val="0"/>
      <w:sz w:val="16"/>
      <w:szCs w:val="16"/>
    </w:rPr>
  </w:style>
  <w:style w:type="paragraph" w:customStyle="1" w:styleId="PlainText1">
    <w:name w:val="Plain Text1"/>
    <w:basedOn w:val="a3"/>
    <w:qFormat/>
    <w:pPr>
      <w:autoSpaceDE w:val="0"/>
      <w:autoSpaceDN w:val="0"/>
      <w:adjustRightInd w:val="0"/>
      <w:snapToGrid w:val="0"/>
      <w:textAlignment w:val="baseline"/>
    </w:pPr>
    <w:rPr>
      <w:rFonts w:ascii="宋体" w:hAnsi="Tms Rmn"/>
      <w:kern w:val="0"/>
      <w:szCs w:val="20"/>
    </w:rPr>
  </w:style>
  <w:style w:type="paragraph" w:customStyle="1" w:styleId="xl143">
    <w:name w:val="xl143"/>
    <w:basedOn w:val="a3"/>
    <w:qFormat/>
    <w:pPr>
      <w:widowControl/>
      <w:pBdr>
        <w:top w:val="single" w:sz="8" w:space="0" w:color="auto"/>
        <w:left w:val="single" w:sz="4" w:space="0" w:color="auto"/>
        <w:bottom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CharCharCharCharCharCharCharCharCharCharCharCharCharCharCharCharCharCharChar">
    <w:name w:val="Char Char Char Char Char Char Char Char Char Char Char Char Char Char Char Char Char Char Char"/>
    <w:basedOn w:val="a3"/>
    <w:qFormat/>
    <w:pPr>
      <w:adjustRightInd w:val="0"/>
      <w:snapToGrid w:val="0"/>
    </w:pPr>
    <w:rPr>
      <w:sz w:val="24"/>
    </w:rPr>
  </w:style>
  <w:style w:type="paragraph" w:customStyle="1" w:styleId="CharChar5CharCharCharChar">
    <w:name w:val="Char Char5 Char Char Char Char"/>
    <w:basedOn w:val="a3"/>
    <w:qFormat/>
    <w:pPr>
      <w:adjustRightInd w:val="0"/>
      <w:snapToGrid w:val="0"/>
    </w:pPr>
  </w:style>
  <w:style w:type="paragraph" w:customStyle="1" w:styleId="affffffd">
    <w:name w:val="简单回函地址"/>
    <w:basedOn w:val="a3"/>
    <w:qFormat/>
    <w:pPr>
      <w:adjustRightInd w:val="0"/>
      <w:snapToGrid w:val="0"/>
    </w:pPr>
    <w:rPr>
      <w:sz w:val="24"/>
      <w:szCs w:val="20"/>
    </w:rPr>
  </w:style>
  <w:style w:type="paragraph" w:customStyle="1" w:styleId="Char20">
    <w:name w:val="Char2"/>
    <w:basedOn w:val="a3"/>
    <w:qFormat/>
    <w:pPr>
      <w:adjustRightInd w:val="0"/>
      <w:snapToGrid w:val="0"/>
    </w:pPr>
    <w:rPr>
      <w:sz w:val="24"/>
    </w:rPr>
  </w:style>
  <w:style w:type="paragraph" w:customStyle="1" w:styleId="gy">
    <w:name w:val="gy"/>
    <w:basedOn w:val="a3"/>
    <w:qFormat/>
    <w:pPr>
      <w:widowControl/>
      <w:adjustRightInd w:val="0"/>
      <w:snapToGrid w:val="0"/>
      <w:spacing w:before="100" w:beforeAutospacing="1" w:after="100" w:afterAutospacing="1" w:line="500" w:lineRule="exact"/>
      <w:ind w:left="150" w:right="150" w:firstLine="520"/>
      <w:jc w:val="left"/>
    </w:pPr>
    <w:rPr>
      <w:rFonts w:ascii="Arial Unicode MS" w:eastAsia="Arial Unicode MS" w:hAnsi="Arial Unicode MS" w:cs="Arial Unicode MS"/>
      <w:kern w:val="0"/>
      <w:sz w:val="18"/>
      <w:szCs w:val="18"/>
    </w:rPr>
  </w:style>
  <w:style w:type="paragraph" w:customStyle="1" w:styleId="affffffe">
    <w:name w:val="项目段落"/>
    <w:basedOn w:val="a3"/>
    <w:qFormat/>
    <w:pPr>
      <w:adjustRightInd w:val="0"/>
      <w:snapToGrid w:val="0"/>
      <w:spacing w:before="60" w:line="500" w:lineRule="exact"/>
      <w:ind w:left="476" w:firstLine="482"/>
    </w:pPr>
    <w:rPr>
      <w:rFonts w:ascii="Arial" w:eastAsia="仿宋_GB2312" w:hAnsi="Arial"/>
      <w:kern w:val="0"/>
      <w:sz w:val="24"/>
      <w:szCs w:val="20"/>
    </w:rPr>
  </w:style>
  <w:style w:type="paragraph" w:customStyle="1" w:styleId="afffffff">
    <w:name w:val="新表"/>
    <w:basedOn w:val="a3"/>
    <w:qFormat/>
    <w:pPr>
      <w:adjustRightInd w:val="0"/>
      <w:snapToGrid w:val="0"/>
      <w:spacing w:line="360" w:lineRule="exact"/>
    </w:pPr>
    <w:rPr>
      <w:rFonts w:eastAsia="仿宋_GB2312"/>
      <w:bCs/>
      <w:kern w:val="0"/>
      <w:sz w:val="24"/>
      <w:szCs w:val="20"/>
    </w:rPr>
  </w:style>
  <w:style w:type="paragraph" w:customStyle="1" w:styleId="y">
    <w:name w:val="y表格"/>
    <w:basedOn w:val="afc"/>
    <w:qFormat/>
    <w:pPr>
      <w:widowControl/>
      <w:adjustRightInd w:val="0"/>
      <w:snapToGrid w:val="0"/>
      <w:spacing w:after="0"/>
      <w:jc w:val="center"/>
      <w:textAlignment w:val="baseline"/>
    </w:pPr>
    <w:rPr>
      <w:rFonts w:ascii="宋体" w:hAnsi="宋体" w:hint="eastAsia"/>
      <w:kern w:val="0"/>
      <w:sz w:val="24"/>
      <w:szCs w:val="20"/>
    </w:rPr>
  </w:style>
  <w:style w:type="paragraph" w:customStyle="1" w:styleId="xl94">
    <w:name w:val="xl94"/>
    <w:basedOn w:val="a3"/>
    <w:qFormat/>
    <w:pPr>
      <w:widowControl/>
      <w:pBdr>
        <w:left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29">
    <w:name w:val="xl29"/>
    <w:basedOn w:val="a3"/>
    <w:qFormat/>
    <w:pPr>
      <w:widowControl/>
      <w:adjustRightInd w:val="0"/>
      <w:snapToGrid w:val="0"/>
      <w:spacing w:before="100" w:beforeAutospacing="1" w:after="100" w:afterAutospacing="1"/>
      <w:jc w:val="left"/>
      <w:textAlignment w:val="center"/>
    </w:pPr>
    <w:rPr>
      <w:kern w:val="0"/>
      <w:sz w:val="16"/>
      <w:szCs w:val="16"/>
    </w:rPr>
  </w:style>
  <w:style w:type="paragraph" w:customStyle="1" w:styleId="xl61">
    <w:name w:val="xl61"/>
    <w:basedOn w:val="a3"/>
    <w:qFormat/>
    <w:pPr>
      <w:widowControl/>
      <w:adjustRightInd w:val="0"/>
      <w:snapToGrid w:val="0"/>
      <w:spacing w:before="100" w:beforeAutospacing="1" w:after="100" w:afterAutospacing="1"/>
      <w:jc w:val="left"/>
    </w:pPr>
    <w:rPr>
      <w:rFonts w:ascii="Arial Unicode MS" w:hAnsi="Arial Unicode MS"/>
      <w:kern w:val="0"/>
      <w:sz w:val="12"/>
      <w:szCs w:val="12"/>
    </w:rPr>
  </w:style>
  <w:style w:type="paragraph" w:customStyle="1" w:styleId="style28">
    <w:name w:val="style28"/>
    <w:basedOn w:val="a3"/>
    <w:qFormat/>
    <w:pPr>
      <w:widowControl/>
      <w:adjustRightInd w:val="0"/>
      <w:snapToGrid w:val="0"/>
      <w:spacing w:before="100" w:beforeAutospacing="1" w:after="100" w:afterAutospacing="1"/>
      <w:jc w:val="left"/>
    </w:pPr>
    <w:rPr>
      <w:rFonts w:ascii="文鼎CS中黑" w:eastAsia="文鼎CS中黑" w:hAnsi="宋体" w:cs="宋体"/>
      <w:color w:val="636466"/>
      <w:kern w:val="0"/>
      <w:sz w:val="11"/>
      <w:szCs w:val="11"/>
    </w:rPr>
  </w:style>
  <w:style w:type="paragraph" w:customStyle="1" w:styleId="3TimesNewRoman">
    <w:name w:val="样式 标题 3 + (西文) Times New Roman (中文) 宋体 小四 加粗"/>
    <w:basedOn w:val="3"/>
    <w:qFormat/>
    <w:pPr>
      <w:numPr>
        <w:ilvl w:val="2"/>
        <w:numId w:val="2"/>
      </w:numPr>
      <w:tabs>
        <w:tab w:val="left" w:pos="1304"/>
      </w:tabs>
      <w:adjustRightInd w:val="0"/>
      <w:snapToGrid w:val="0"/>
      <w:spacing w:beforeLines="50" w:before="156" w:after="0" w:line="360" w:lineRule="auto"/>
      <w:jc w:val="left"/>
    </w:pPr>
    <w:rPr>
      <w:sz w:val="28"/>
      <w:szCs w:val="28"/>
    </w:rPr>
  </w:style>
  <w:style w:type="paragraph" w:customStyle="1" w:styleId="ParaCharCharCharChar">
    <w:name w:val="默认段落字体 Para Char Char Char Char"/>
    <w:basedOn w:val="a3"/>
    <w:qFormat/>
    <w:pPr>
      <w:adjustRightInd w:val="0"/>
      <w:snapToGrid w:val="0"/>
    </w:pPr>
    <w:rPr>
      <w:sz w:val="24"/>
    </w:rPr>
  </w:style>
  <w:style w:type="paragraph" w:customStyle="1" w:styleId="xl60">
    <w:name w:val="xl60"/>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177">
    <w:name w:val="xl177"/>
    <w:basedOn w:val="a3"/>
    <w:qFormat/>
    <w:pPr>
      <w:widowControl/>
      <w:pBdr>
        <w:left w:val="single" w:sz="4" w:space="0" w:color="auto"/>
      </w:pBdr>
      <w:adjustRightInd w:val="0"/>
      <w:snapToGrid w:val="0"/>
      <w:spacing w:before="100" w:beforeAutospacing="1" w:after="100" w:afterAutospacing="1"/>
      <w:jc w:val="center"/>
    </w:pPr>
    <w:rPr>
      <w:rFonts w:ascii="Arial Unicode MS" w:hAnsi="Arial Unicode MS"/>
      <w:kern w:val="0"/>
      <w:sz w:val="12"/>
      <w:szCs w:val="12"/>
    </w:rPr>
  </w:style>
  <w:style w:type="paragraph" w:customStyle="1" w:styleId="3c">
    <w:name w:val="样式3"/>
    <w:basedOn w:val="a3"/>
    <w:next w:val="a3"/>
    <w:qFormat/>
    <w:pPr>
      <w:adjustRightInd w:val="0"/>
      <w:snapToGrid w:val="0"/>
      <w:spacing w:line="600" w:lineRule="exact"/>
    </w:pPr>
    <w:rPr>
      <w:sz w:val="28"/>
      <w:szCs w:val="28"/>
    </w:rPr>
  </w:style>
  <w:style w:type="paragraph" w:customStyle="1" w:styleId="xl151">
    <w:name w:val="xl151"/>
    <w:basedOn w:val="a3"/>
    <w:qFormat/>
    <w:pPr>
      <w:widowControl/>
      <w:adjustRightInd w:val="0"/>
      <w:snapToGrid w:val="0"/>
      <w:spacing w:before="100" w:beforeAutospacing="1" w:after="100" w:afterAutospacing="1"/>
      <w:jc w:val="left"/>
    </w:pPr>
    <w:rPr>
      <w:kern w:val="0"/>
      <w:sz w:val="16"/>
      <w:szCs w:val="16"/>
    </w:rPr>
  </w:style>
  <w:style w:type="paragraph" w:customStyle="1" w:styleId="afffffff0">
    <w:name w:val="小四表格"/>
    <w:basedOn w:val="a3"/>
    <w:qFormat/>
    <w:pPr>
      <w:keepNext/>
      <w:autoSpaceDE w:val="0"/>
      <w:autoSpaceDN w:val="0"/>
      <w:adjustRightInd w:val="0"/>
      <w:snapToGrid w:val="0"/>
      <w:spacing w:line="480" w:lineRule="atLeast"/>
      <w:jc w:val="center"/>
    </w:pPr>
    <w:rPr>
      <w:color w:val="000000"/>
      <w:sz w:val="24"/>
      <w:szCs w:val="20"/>
    </w:rPr>
  </w:style>
  <w:style w:type="paragraph" w:customStyle="1" w:styleId="xl59">
    <w:name w:val="xl59"/>
    <w:basedOn w:val="a3"/>
    <w:qFormat/>
    <w:pPr>
      <w:widowControl/>
      <w:pBdr>
        <w:bottom w:val="single" w:sz="12" w:space="0" w:color="auto"/>
      </w:pBdr>
      <w:adjustRightInd w:val="0"/>
      <w:snapToGrid w:val="0"/>
      <w:spacing w:before="100" w:beforeAutospacing="1" w:after="100" w:afterAutospacing="1"/>
      <w:jc w:val="left"/>
      <w:textAlignment w:val="center"/>
    </w:pPr>
    <w:rPr>
      <w:kern w:val="0"/>
      <w:sz w:val="12"/>
      <w:szCs w:val="12"/>
    </w:rPr>
  </w:style>
  <w:style w:type="paragraph" w:customStyle="1" w:styleId="font10">
    <w:name w:val="font10"/>
    <w:basedOn w:val="a3"/>
    <w:qFormat/>
    <w:pPr>
      <w:widowControl/>
      <w:adjustRightInd w:val="0"/>
      <w:snapToGrid w:val="0"/>
      <w:spacing w:before="100" w:beforeAutospacing="1" w:after="100" w:afterAutospacing="1"/>
      <w:jc w:val="left"/>
    </w:pPr>
    <w:rPr>
      <w:rFonts w:ascii="宋体" w:hAnsi="宋体" w:hint="eastAsia"/>
      <w:kern w:val="0"/>
      <w:sz w:val="22"/>
      <w:szCs w:val="22"/>
    </w:rPr>
  </w:style>
  <w:style w:type="paragraph" w:customStyle="1" w:styleId="afffffff1">
    <w:name w:val="表蕊"/>
    <w:basedOn w:val="a3"/>
    <w:qFormat/>
    <w:pPr>
      <w:adjustRightInd w:val="0"/>
      <w:snapToGrid w:val="0"/>
      <w:spacing w:line="280" w:lineRule="atLeast"/>
      <w:jc w:val="left"/>
      <w:textAlignment w:val="baseline"/>
    </w:pPr>
    <w:rPr>
      <w:rFonts w:eastAsia="楷体_GB2312"/>
      <w:color w:val="000000"/>
      <w:spacing w:val="-10"/>
      <w:kern w:val="0"/>
      <w:szCs w:val="21"/>
    </w:rPr>
  </w:style>
  <w:style w:type="paragraph" w:customStyle="1" w:styleId="GB2312">
    <w:name w:val="样式 楷体_GB2312 居中"/>
    <w:basedOn w:val="a3"/>
    <w:qFormat/>
    <w:pPr>
      <w:adjustRightInd w:val="0"/>
      <w:snapToGrid w:val="0"/>
      <w:spacing w:line="500" w:lineRule="exact"/>
      <w:jc w:val="center"/>
    </w:pPr>
    <w:rPr>
      <w:rFonts w:ascii="楷体_GB2312" w:eastAsia="楷体_GB2312"/>
      <w:szCs w:val="20"/>
      <w:lang w:bidi="ar-OM"/>
    </w:rPr>
  </w:style>
  <w:style w:type="paragraph" w:customStyle="1" w:styleId="xl99">
    <w:name w:val="xl99"/>
    <w:basedOn w:val="a3"/>
    <w:qFormat/>
    <w:pPr>
      <w:widowControl/>
      <w:pBdr>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afffffff2">
    <w:name w:val="源程序"/>
    <w:qFormat/>
    <w:pPr>
      <w:widowControl w:val="0"/>
      <w:kinsoku w:val="0"/>
      <w:wordWrap w:val="0"/>
      <w:overflowPunct w:val="0"/>
      <w:autoSpaceDE w:val="0"/>
      <w:autoSpaceDN w:val="0"/>
      <w:adjustRightInd w:val="0"/>
      <w:ind w:left="482"/>
    </w:pPr>
    <w:rPr>
      <w:rFonts w:ascii="Courier New" w:eastAsia="仿宋_GB2312" w:hAnsi="Courier New"/>
      <w:snapToGrid w:val="0"/>
      <w:sz w:val="24"/>
    </w:rPr>
  </w:style>
  <w:style w:type="paragraph" w:customStyle="1" w:styleId="afffffff3">
    <w:name w:val="项目编号文字"/>
    <w:basedOn w:val="a3"/>
    <w:next w:val="ad"/>
    <w:qFormat/>
    <w:pPr>
      <w:adjustRightInd w:val="0"/>
      <w:snapToGrid w:val="0"/>
      <w:spacing w:before="120" w:after="120" w:line="500" w:lineRule="exact"/>
      <w:ind w:left="1077"/>
    </w:pPr>
    <w:rPr>
      <w:sz w:val="24"/>
      <w:szCs w:val="20"/>
    </w:rPr>
  </w:style>
  <w:style w:type="paragraph" w:customStyle="1" w:styleId="120">
    <w:name w:val="样式12"/>
    <w:basedOn w:val="4"/>
    <w:qFormat/>
    <w:pPr>
      <w:tabs>
        <w:tab w:val="left" w:pos="0"/>
        <w:tab w:val="left" w:pos="1247"/>
      </w:tabs>
      <w:adjustRightInd w:val="0"/>
      <w:snapToGrid w:val="0"/>
      <w:spacing w:line="312" w:lineRule="auto"/>
      <w:ind w:left="1134" w:hanging="1134"/>
    </w:pPr>
    <w:rPr>
      <w:rFonts w:ascii="宋体" w:hAnsi="宋体"/>
      <w:color w:val="000000"/>
      <w:sz w:val="24"/>
      <w:szCs w:val="24"/>
    </w:rPr>
  </w:style>
  <w:style w:type="paragraph" w:customStyle="1" w:styleId="font6">
    <w:name w:val="font6"/>
    <w:basedOn w:val="a3"/>
    <w:qFormat/>
    <w:pPr>
      <w:widowControl/>
      <w:adjustRightInd w:val="0"/>
      <w:snapToGrid w:val="0"/>
      <w:spacing w:before="100" w:beforeAutospacing="1" w:after="100" w:afterAutospacing="1"/>
      <w:jc w:val="left"/>
    </w:pPr>
    <w:rPr>
      <w:rFonts w:ascii="宋体" w:hAnsi="宋体" w:hint="eastAsia"/>
      <w:kern w:val="0"/>
      <w:sz w:val="16"/>
      <w:szCs w:val="16"/>
    </w:rPr>
  </w:style>
  <w:style w:type="paragraph" w:customStyle="1" w:styleId="font7">
    <w:name w:val="font7"/>
    <w:basedOn w:val="a3"/>
    <w:qFormat/>
    <w:pPr>
      <w:widowControl/>
      <w:adjustRightInd w:val="0"/>
      <w:snapToGrid w:val="0"/>
      <w:spacing w:before="100" w:beforeAutospacing="1" w:after="100" w:afterAutospacing="1"/>
      <w:jc w:val="left"/>
    </w:pPr>
    <w:rPr>
      <w:rFonts w:ascii="宋体" w:hAnsi="宋体" w:hint="eastAsia"/>
      <w:kern w:val="0"/>
      <w:sz w:val="12"/>
      <w:szCs w:val="12"/>
    </w:rPr>
  </w:style>
  <w:style w:type="paragraph" w:customStyle="1" w:styleId="CharChar8">
    <w:name w:val="批注框文本 Char Char"/>
    <w:basedOn w:val="a3"/>
    <w:qFormat/>
    <w:pPr>
      <w:adjustRightInd w:val="0"/>
      <w:snapToGrid w:val="0"/>
    </w:pPr>
    <w:rPr>
      <w:sz w:val="18"/>
      <w:szCs w:val="20"/>
    </w:rPr>
  </w:style>
  <w:style w:type="paragraph" w:customStyle="1" w:styleId="CharCharCharCharCharCharCharCharCharChar">
    <w:name w:val="Char Char Char Char Char Char Char Char Char Char"/>
    <w:basedOn w:val="a3"/>
    <w:qFormat/>
    <w:pPr>
      <w:adjustRightInd w:val="0"/>
      <w:snapToGrid w:val="0"/>
    </w:pPr>
    <w:rPr>
      <w:sz w:val="24"/>
    </w:rPr>
  </w:style>
  <w:style w:type="paragraph" w:customStyle="1" w:styleId="afffffff4">
    <w:name w:val="表号"/>
    <w:basedOn w:val="a3"/>
    <w:qFormat/>
    <w:pPr>
      <w:adjustRightInd w:val="0"/>
      <w:snapToGrid w:val="0"/>
    </w:pPr>
    <w:rPr>
      <w:szCs w:val="20"/>
    </w:rPr>
  </w:style>
  <w:style w:type="paragraph" w:customStyle="1" w:styleId="xl124">
    <w:name w:val="xl124"/>
    <w:basedOn w:val="a3"/>
    <w:qFormat/>
    <w:pPr>
      <w:widowControl/>
      <w:pBdr>
        <w:left w:val="single" w:sz="4" w:space="0" w:color="auto"/>
        <w:bottom w:val="single" w:sz="8"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a2">
    <w:name w:val="标题四最终"/>
    <w:basedOn w:val="a1"/>
    <w:qFormat/>
    <w:pPr>
      <w:numPr>
        <w:ilvl w:val="3"/>
      </w:numPr>
      <w:tabs>
        <w:tab w:val="left" w:pos="360"/>
        <w:tab w:val="left" w:pos="864"/>
        <w:tab w:val="left" w:pos="2040"/>
      </w:tabs>
      <w:spacing w:before="156"/>
      <w:ind w:leftChars="800" w:left="2040" w:hangingChars="200" w:hanging="360"/>
      <w:outlineLvl w:val="3"/>
    </w:pPr>
    <w:rPr>
      <w:rFonts w:hAnsi="Times New Roman"/>
    </w:rPr>
  </w:style>
  <w:style w:type="paragraph" w:styleId="afffffff5">
    <w:name w:val="List Paragraph"/>
    <w:basedOn w:val="a3"/>
    <w:uiPriority w:val="34"/>
    <w:qFormat/>
    <w:pPr>
      <w:adjustRightInd w:val="0"/>
      <w:snapToGrid w:val="0"/>
      <w:ind w:firstLineChars="200" w:firstLine="420"/>
    </w:pPr>
    <w:rPr>
      <w:rFonts w:ascii="Calibri" w:hAnsi="Calibri"/>
      <w:szCs w:val="22"/>
    </w:rPr>
  </w:style>
  <w:style w:type="paragraph" w:customStyle="1" w:styleId="CharCharCharCharCharCharCharCharCharCharCharCharCharCharCharChar">
    <w:name w:val="Char Char Char Char Char Char Char Char Char Char Char Char Char Char Char Char"/>
    <w:basedOn w:val="a3"/>
    <w:qFormat/>
    <w:pPr>
      <w:adjustRightInd w:val="0"/>
      <w:snapToGrid w:val="0"/>
    </w:pPr>
    <w:rPr>
      <w:sz w:val="24"/>
    </w:rPr>
  </w:style>
  <w:style w:type="paragraph" w:customStyle="1" w:styleId="xl169">
    <w:name w:val="xl169"/>
    <w:basedOn w:val="a3"/>
    <w:qFormat/>
    <w:pPr>
      <w:widowControl/>
      <w:pBdr>
        <w:right w:val="single" w:sz="4"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cd4">
    <w:name w:val="cd4"/>
    <w:basedOn w:val="a3"/>
    <w:qFormat/>
    <w:pPr>
      <w:tabs>
        <w:tab w:val="left" w:pos="2438"/>
      </w:tabs>
      <w:adjustRightInd w:val="0"/>
      <w:snapToGrid w:val="0"/>
      <w:spacing w:before="120" w:line="300" w:lineRule="auto"/>
      <w:ind w:left="1956" w:hanging="425"/>
    </w:pPr>
    <w:rPr>
      <w:sz w:val="24"/>
      <w:szCs w:val="20"/>
    </w:rPr>
  </w:style>
  <w:style w:type="paragraph" w:customStyle="1" w:styleId="xl128">
    <w:name w:val="xl128"/>
    <w:basedOn w:val="a3"/>
    <w:qFormat/>
    <w:pPr>
      <w:widowControl/>
      <w:pBdr>
        <w:bottom w:val="single" w:sz="8"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afffffff6">
    <w:name w:val="二级无标题条"/>
    <w:basedOn w:val="a3"/>
    <w:qFormat/>
    <w:pPr>
      <w:adjustRightInd w:val="0"/>
      <w:snapToGrid w:val="0"/>
    </w:pPr>
  </w:style>
  <w:style w:type="paragraph" w:customStyle="1" w:styleId="xl95">
    <w:name w:val="xl95"/>
    <w:basedOn w:val="a3"/>
    <w:qFormat/>
    <w:pPr>
      <w:widowControl/>
      <w:adjustRightInd w:val="0"/>
      <w:snapToGrid w:val="0"/>
      <w:spacing w:before="100" w:beforeAutospacing="1" w:after="100" w:afterAutospacing="1"/>
      <w:jc w:val="right"/>
    </w:pPr>
    <w:rPr>
      <w:rFonts w:ascii="Arial Unicode MS" w:hAnsi="Arial Unicode MS"/>
      <w:kern w:val="0"/>
      <w:sz w:val="12"/>
      <w:szCs w:val="12"/>
    </w:rPr>
  </w:style>
  <w:style w:type="paragraph" w:customStyle="1" w:styleId="xl38">
    <w:name w:val="xl38"/>
    <w:basedOn w:val="a3"/>
    <w:qFormat/>
    <w:pPr>
      <w:widowControl/>
      <w:pBdr>
        <w:top w:val="single" w:sz="12" w:space="0" w:color="auto"/>
        <w:left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2GB231278156173">
    <w:name w:val="样式 标题 2 + 楷体_GB2312 段前: 7.8 磅 段后: 15.6 磅 行距: 多倍行距 1.73 字行"/>
    <w:basedOn w:val="2"/>
    <w:qFormat/>
    <w:pPr>
      <w:adjustRightInd w:val="0"/>
      <w:snapToGrid w:val="0"/>
      <w:spacing w:before="156" w:after="312" w:line="415" w:lineRule="auto"/>
    </w:pPr>
    <w:rPr>
      <w:rFonts w:ascii="楷体_GB2312" w:eastAsia="黑体" w:hAnsi="Arial" w:cs="宋体"/>
      <w:b w:val="0"/>
      <w:sz w:val="28"/>
      <w:szCs w:val="20"/>
    </w:rPr>
  </w:style>
  <w:style w:type="paragraph" w:customStyle="1" w:styleId="xl119">
    <w:name w:val="xl119"/>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Char3CharCharChar">
    <w:name w:val="Char3 Char Char Char"/>
    <w:basedOn w:val="a3"/>
    <w:semiHidden/>
    <w:qFormat/>
    <w:pPr>
      <w:adjustRightInd w:val="0"/>
      <w:snapToGrid w:val="0"/>
    </w:pPr>
    <w:rPr>
      <w:sz w:val="28"/>
    </w:rPr>
  </w:style>
  <w:style w:type="paragraph" w:customStyle="1" w:styleId="1ff2">
    <w:name w:val="环评正文1"/>
    <w:basedOn w:val="a3"/>
    <w:qFormat/>
    <w:pPr>
      <w:adjustRightInd w:val="0"/>
      <w:snapToGrid w:val="0"/>
      <w:spacing w:line="500" w:lineRule="exact"/>
    </w:pPr>
    <w:rPr>
      <w:rFonts w:ascii="仿宋_GB2312" w:eastAsia="仿宋_GB2312"/>
      <w:color w:val="000000"/>
      <w:sz w:val="28"/>
      <w:szCs w:val="20"/>
    </w:rPr>
  </w:style>
  <w:style w:type="paragraph" w:customStyle="1" w:styleId="xl160">
    <w:name w:val="xl160"/>
    <w:basedOn w:val="a3"/>
    <w:qFormat/>
    <w:pPr>
      <w:widowControl/>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CharCharCharChar1">
    <w:name w:val="Char Char Char Char1"/>
    <w:basedOn w:val="a3"/>
    <w:semiHidden/>
    <w:qFormat/>
    <w:pPr>
      <w:adjustRightInd w:val="0"/>
      <w:snapToGrid w:val="0"/>
    </w:pPr>
    <w:rPr>
      <w:sz w:val="28"/>
    </w:rPr>
  </w:style>
  <w:style w:type="paragraph" w:customStyle="1" w:styleId="xl31">
    <w:name w:val="xl31"/>
    <w:basedOn w:val="a3"/>
    <w:qFormat/>
    <w:pPr>
      <w:widowControl/>
      <w:pBdr>
        <w:bottom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a0">
    <w:name w:val="标题二最终"/>
    <w:basedOn w:val="a3"/>
    <w:qFormat/>
    <w:pPr>
      <w:keepNext/>
      <w:keepLines/>
      <w:numPr>
        <w:ilvl w:val="1"/>
        <w:numId w:val="1"/>
      </w:numPr>
      <w:adjustRightInd w:val="0"/>
      <w:snapToGrid w:val="0"/>
      <w:spacing w:beforeLines="50" w:before="156" w:line="500" w:lineRule="exact"/>
      <w:outlineLvl w:val="1"/>
    </w:pPr>
    <w:rPr>
      <w:b/>
      <w:bCs/>
      <w:sz w:val="30"/>
      <w:szCs w:val="30"/>
    </w:rPr>
  </w:style>
  <w:style w:type="paragraph" w:customStyle="1" w:styleId="afffffff7">
    <w:name w:val="一级无标题条"/>
    <w:basedOn w:val="a3"/>
    <w:qFormat/>
    <w:pPr>
      <w:adjustRightInd w:val="0"/>
      <w:snapToGrid w:val="0"/>
      <w:ind w:left="-488"/>
    </w:pPr>
  </w:style>
  <w:style w:type="paragraph" w:customStyle="1" w:styleId="xl140">
    <w:name w:val="xl140"/>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04">
    <w:name w:val="xl104"/>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afffffff8">
    <w:name w:val="条文"/>
    <w:basedOn w:val="5"/>
    <w:next w:val="a3"/>
    <w:qFormat/>
    <w:pPr>
      <w:keepNext w:val="0"/>
      <w:keepLines w:val="0"/>
      <w:tabs>
        <w:tab w:val="left" w:pos="1320"/>
      </w:tabs>
      <w:spacing w:line="377" w:lineRule="auto"/>
      <w:ind w:left="1320" w:hanging="420"/>
      <w:jc w:val="left"/>
    </w:pPr>
    <w:rPr>
      <w:b w:val="0"/>
      <w:bCs w:val="0"/>
      <w:szCs w:val="20"/>
    </w:rPr>
  </w:style>
  <w:style w:type="paragraph" w:customStyle="1" w:styleId="91">
    <w:name w:val="样式9"/>
    <w:basedOn w:val="1"/>
    <w:qFormat/>
    <w:pPr>
      <w:keepLines/>
      <w:overflowPunct/>
      <w:adjustRightInd w:val="0"/>
      <w:spacing w:beforeLines="200" w:before="480" w:afterLines="200" w:after="480" w:line="520" w:lineRule="exact"/>
      <w:ind w:left="0" w:firstLine="0"/>
    </w:pPr>
    <w:rPr>
      <w:rFonts w:eastAsia="宋体"/>
      <w:color w:val="auto"/>
      <w:sz w:val="44"/>
      <w:szCs w:val="44"/>
    </w:rPr>
  </w:style>
  <w:style w:type="paragraph" w:customStyle="1" w:styleId="Char15">
    <w:name w:val="Char1"/>
    <w:basedOn w:val="a3"/>
    <w:qFormat/>
    <w:pPr>
      <w:adjustRightInd w:val="0"/>
      <w:snapToGrid w:val="0"/>
    </w:pPr>
    <w:rPr>
      <w:sz w:val="24"/>
    </w:rPr>
  </w:style>
  <w:style w:type="paragraph" w:customStyle="1" w:styleId="xl186">
    <w:name w:val="xl186"/>
    <w:basedOn w:val="a3"/>
    <w:qFormat/>
    <w:pPr>
      <w:widowControl/>
      <w:pBdr>
        <w:left w:val="single" w:sz="4" w:space="0" w:color="auto"/>
        <w:bottom w:val="single" w:sz="4" w:space="0" w:color="auto"/>
        <w:right w:val="single" w:sz="4"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131">
    <w:name w:val="xl131"/>
    <w:basedOn w:val="a3"/>
    <w:qFormat/>
    <w:pPr>
      <w:widowControl/>
      <w:pBdr>
        <w:left w:val="single" w:sz="4" w:space="0" w:color="auto"/>
        <w:right w:val="single" w:sz="8"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xl54">
    <w:name w:val="xl54"/>
    <w:basedOn w:val="a3"/>
    <w:qFormat/>
    <w:pPr>
      <w:widowControl/>
      <w:pBdr>
        <w:left w:val="single" w:sz="4" w:space="0" w:color="auto"/>
        <w:bottom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65">
    <w:name w:val="xl65"/>
    <w:basedOn w:val="a3"/>
    <w:qFormat/>
    <w:pPr>
      <w:widowControl/>
      <w:pBdr>
        <w:left w:val="single" w:sz="4"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50">
    <w:name w:val="xl50"/>
    <w:basedOn w:val="a3"/>
    <w:qFormat/>
    <w:pPr>
      <w:widowControl/>
      <w:pBdr>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27">
    <w:name w:val="xl127"/>
    <w:basedOn w:val="a3"/>
    <w:qFormat/>
    <w:pPr>
      <w:widowControl/>
      <w:pBdr>
        <w:top w:val="single" w:sz="8" w:space="0" w:color="auto"/>
        <w:bottom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f9">
    <w:name w:val="样式一"/>
    <w:basedOn w:val="a3"/>
    <w:qFormat/>
    <w:pPr>
      <w:adjustRightInd w:val="0"/>
      <w:snapToGrid w:val="0"/>
      <w:spacing w:beforeLines="50" w:before="50" w:afterLines="50" w:after="50" w:line="300" w:lineRule="auto"/>
    </w:pPr>
    <w:rPr>
      <w:rFonts w:eastAsia="黑体"/>
      <w:sz w:val="28"/>
    </w:rPr>
  </w:style>
  <w:style w:type="paragraph" w:customStyle="1" w:styleId="xl112">
    <w:name w:val="xl112"/>
    <w:basedOn w:val="a3"/>
    <w:qFormat/>
    <w:pPr>
      <w:widowControl/>
      <w:pBdr>
        <w:right w:val="single" w:sz="8"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87">
    <w:name w:val="xl87"/>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style12">
    <w:name w:val="style12"/>
    <w:basedOn w:val="a3"/>
    <w:qFormat/>
    <w:pPr>
      <w:widowControl/>
      <w:adjustRightInd w:val="0"/>
      <w:snapToGrid w:val="0"/>
      <w:spacing w:before="100" w:beforeAutospacing="1" w:after="100" w:afterAutospacing="1"/>
      <w:jc w:val="left"/>
    </w:pPr>
    <w:rPr>
      <w:rFonts w:ascii="Arial" w:hAnsi="Arial" w:cs="Arial"/>
      <w:color w:val="666666"/>
      <w:kern w:val="0"/>
      <w:sz w:val="18"/>
      <w:szCs w:val="18"/>
    </w:rPr>
  </w:style>
  <w:style w:type="paragraph" w:customStyle="1" w:styleId="3d">
    <w:name w:val="样式 标题 3 + 四号"/>
    <w:basedOn w:val="3"/>
    <w:qFormat/>
    <w:pPr>
      <w:keepNext w:val="0"/>
      <w:keepLines w:val="0"/>
      <w:adjustRightInd w:val="0"/>
      <w:snapToGrid w:val="0"/>
      <w:spacing w:before="0" w:after="0" w:line="360" w:lineRule="auto"/>
      <w:outlineLvl w:val="9"/>
    </w:pPr>
    <w:rPr>
      <w:b w:val="0"/>
      <w:bCs w:val="0"/>
      <w:sz w:val="21"/>
      <w:szCs w:val="21"/>
    </w:rPr>
  </w:style>
  <w:style w:type="paragraph" w:customStyle="1" w:styleId="xl35">
    <w:name w:val="xl35"/>
    <w:basedOn w:val="a3"/>
    <w:qFormat/>
    <w:pPr>
      <w:widowControl/>
      <w:pBdr>
        <w:left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57">
    <w:name w:val="xl57"/>
    <w:basedOn w:val="a3"/>
    <w:qFormat/>
    <w:pPr>
      <w:widowControl/>
      <w:adjustRightInd w:val="0"/>
      <w:snapToGrid w:val="0"/>
      <w:spacing w:before="100" w:beforeAutospacing="1" w:after="100" w:afterAutospacing="1"/>
      <w:jc w:val="left"/>
    </w:pPr>
    <w:rPr>
      <w:rFonts w:ascii="Arial Unicode MS" w:hAnsi="Arial Unicode MS"/>
      <w:kern w:val="0"/>
      <w:sz w:val="12"/>
      <w:szCs w:val="12"/>
    </w:rPr>
  </w:style>
  <w:style w:type="paragraph" w:customStyle="1" w:styleId="5Char">
    <w:name w:val="5 Char"/>
    <w:basedOn w:val="a3"/>
    <w:qFormat/>
    <w:pPr>
      <w:adjustRightInd w:val="0"/>
      <w:snapToGrid w:val="0"/>
    </w:pPr>
    <w:rPr>
      <w:sz w:val="24"/>
    </w:rPr>
  </w:style>
  <w:style w:type="paragraph" w:customStyle="1" w:styleId="CharCharCharChar">
    <w:name w:val="Char Char Char Char"/>
    <w:basedOn w:val="a3"/>
    <w:qFormat/>
    <w:pPr>
      <w:adjustRightInd w:val="0"/>
      <w:snapToGrid w:val="0"/>
    </w:pPr>
    <w:rPr>
      <w:sz w:val="24"/>
    </w:rPr>
  </w:style>
  <w:style w:type="paragraph" w:customStyle="1" w:styleId="5a">
    <w:name w:val="5"/>
    <w:basedOn w:val="a3"/>
    <w:next w:val="36"/>
    <w:qFormat/>
    <w:pPr>
      <w:adjustRightInd w:val="0"/>
      <w:snapToGrid w:val="0"/>
      <w:spacing w:line="312" w:lineRule="auto"/>
      <w:ind w:firstLineChars="200" w:firstLine="480"/>
    </w:pPr>
    <w:rPr>
      <w:rFonts w:ascii="仿宋_GB2312" w:eastAsia="仿宋_GB2312"/>
      <w:sz w:val="24"/>
    </w:rPr>
  </w:style>
  <w:style w:type="paragraph" w:customStyle="1" w:styleId="xl142">
    <w:name w:val="xl142"/>
    <w:basedOn w:val="a3"/>
    <w:qFormat/>
    <w:pPr>
      <w:widowControl/>
      <w:pBdr>
        <w:left w:val="single" w:sz="4" w:space="0" w:color="auto"/>
        <w:bottom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411">
    <w:name w:val="样式 标题 4 + 四号 段前: 1 行"/>
    <w:basedOn w:val="4"/>
    <w:qFormat/>
    <w:pPr>
      <w:widowControl/>
      <w:tabs>
        <w:tab w:val="left" w:pos="2160"/>
      </w:tabs>
      <w:spacing w:before="312" w:after="0" w:line="420" w:lineRule="exact"/>
      <w:ind w:left="560"/>
    </w:pPr>
    <w:rPr>
      <w:rFonts w:ascii="Arial" w:eastAsia="黑体" w:hAnsi="Arial"/>
      <w:b w:val="0"/>
      <w:bCs w:val="0"/>
      <w:kern w:val="0"/>
      <w:szCs w:val="20"/>
    </w:rPr>
  </w:style>
  <w:style w:type="paragraph" w:customStyle="1" w:styleId="afffffffa">
    <w:name w:val="条款"/>
    <w:basedOn w:val="a3"/>
    <w:qFormat/>
    <w:pPr>
      <w:adjustRightInd w:val="0"/>
      <w:snapToGrid w:val="0"/>
    </w:pPr>
    <w:rPr>
      <w:szCs w:val="20"/>
    </w:rPr>
  </w:style>
  <w:style w:type="paragraph" w:customStyle="1" w:styleId="a">
    <w:name w:val="标题一最终"/>
    <w:basedOn w:val="a3"/>
    <w:qFormat/>
    <w:pPr>
      <w:keepNext/>
      <w:keepLines/>
      <w:numPr>
        <w:numId w:val="1"/>
      </w:numPr>
      <w:adjustRightInd w:val="0"/>
      <w:snapToGrid w:val="0"/>
      <w:spacing w:line="500" w:lineRule="exact"/>
      <w:ind w:firstLine="0"/>
      <w:outlineLvl w:val="0"/>
    </w:pPr>
    <w:rPr>
      <w:rFonts w:hAnsi="宋体"/>
      <w:b/>
      <w:bCs/>
      <w:kern w:val="44"/>
      <w:sz w:val="32"/>
      <w:szCs w:val="32"/>
    </w:rPr>
  </w:style>
  <w:style w:type="paragraph" w:customStyle="1" w:styleId="afffffffb">
    <w:name w:val="框图"/>
    <w:basedOn w:val="a3"/>
    <w:qFormat/>
    <w:pPr>
      <w:adjustRightInd w:val="0"/>
      <w:snapToGrid w:val="0"/>
      <w:spacing w:line="27" w:lineRule="atLeast"/>
      <w:ind w:leftChars="-38" w:left="33" w:rightChars="-38" w:right="-80" w:hangingChars="54" w:hanging="113"/>
      <w:jc w:val="center"/>
    </w:pPr>
    <w:rPr>
      <w:rFonts w:ascii="宋体" w:hAnsi="宋体"/>
      <w:szCs w:val="21"/>
    </w:rPr>
  </w:style>
  <w:style w:type="paragraph" w:customStyle="1" w:styleId="CharChar1CharCharCharChar">
    <w:name w:val="Char Char1 Char Char Char Char"/>
    <w:basedOn w:val="a3"/>
    <w:qFormat/>
    <w:pPr>
      <w:adjustRightInd w:val="0"/>
      <w:snapToGrid w:val="0"/>
    </w:pPr>
    <w:rPr>
      <w:sz w:val="24"/>
    </w:rPr>
  </w:style>
  <w:style w:type="paragraph" w:customStyle="1" w:styleId="TOC11">
    <w:name w:val="TOC 标题1"/>
    <w:basedOn w:val="1"/>
    <w:next w:val="a3"/>
    <w:uiPriority w:val="39"/>
    <w:qFormat/>
    <w:pPr>
      <w:keepLines/>
      <w:widowControl/>
      <w:overflowPunct/>
      <w:adjustRightInd w:val="0"/>
      <w:spacing w:before="480" w:after="0" w:line="276" w:lineRule="auto"/>
      <w:ind w:left="0" w:firstLine="0"/>
      <w:jc w:val="left"/>
      <w:outlineLvl w:val="9"/>
    </w:pPr>
    <w:rPr>
      <w:rFonts w:ascii="Cambria" w:eastAsia="宋体" w:hAnsi="Cambria"/>
      <w:color w:val="365F91"/>
      <w:kern w:val="0"/>
      <w:sz w:val="28"/>
      <w:szCs w:val="28"/>
    </w:rPr>
  </w:style>
  <w:style w:type="paragraph" w:customStyle="1" w:styleId="214">
    <w:name w:val="正文文本缩进 21"/>
    <w:basedOn w:val="a3"/>
    <w:qFormat/>
    <w:pPr>
      <w:adjustRightInd w:val="0"/>
      <w:snapToGrid w:val="0"/>
      <w:spacing w:line="480" w:lineRule="atLeast"/>
      <w:ind w:firstLine="630"/>
      <w:textAlignment w:val="baseline"/>
    </w:pPr>
    <w:rPr>
      <w:rFonts w:ascii="宋体"/>
      <w:sz w:val="28"/>
      <w:szCs w:val="20"/>
    </w:rPr>
  </w:style>
  <w:style w:type="paragraph" w:customStyle="1" w:styleId="heading">
    <w:name w:val="heading"/>
    <w:basedOn w:val="a3"/>
    <w:next w:val="a3"/>
    <w:qFormat/>
    <w:pPr>
      <w:keepNext/>
      <w:keepLines/>
      <w:tabs>
        <w:tab w:val="left" w:pos="576"/>
      </w:tabs>
      <w:adjustRightInd w:val="0"/>
      <w:snapToGrid w:val="0"/>
      <w:spacing w:line="500" w:lineRule="exact"/>
      <w:ind w:left="576"/>
      <w:outlineLvl w:val="1"/>
    </w:pPr>
    <w:rPr>
      <w:rFonts w:ascii="宋体" w:hAnsi="Arial Black" w:cs="宋体"/>
      <w:sz w:val="24"/>
    </w:rPr>
  </w:style>
  <w:style w:type="paragraph" w:customStyle="1" w:styleId="p2">
    <w:name w:val="p2"/>
    <w:basedOn w:val="a3"/>
    <w:qFormat/>
    <w:pPr>
      <w:widowControl/>
      <w:autoSpaceDE w:val="0"/>
      <w:autoSpaceDN w:val="0"/>
      <w:adjustRightInd w:val="0"/>
      <w:snapToGrid w:val="0"/>
      <w:spacing w:line="540" w:lineRule="atLeast"/>
      <w:ind w:firstLine="596"/>
    </w:pPr>
    <w:rPr>
      <w:rFonts w:ascii="華康中楷體" w:eastAsia="華康中楷體" w:hint="eastAsia"/>
      <w:spacing w:val="20"/>
      <w:kern w:val="0"/>
      <w:sz w:val="28"/>
      <w:szCs w:val="28"/>
      <w:lang w:eastAsia="zh-TW"/>
    </w:rPr>
  </w:style>
  <w:style w:type="paragraph" w:customStyle="1" w:styleId="afffffffc">
    <w:name w:val="高表标"/>
    <w:basedOn w:val="a3"/>
    <w:qFormat/>
    <w:pPr>
      <w:adjustRightInd w:val="0"/>
      <w:snapToGrid w:val="0"/>
      <w:spacing w:line="300" w:lineRule="auto"/>
      <w:jc w:val="right"/>
    </w:pPr>
    <w:rPr>
      <w:rFonts w:ascii="Arial" w:eastAsia="黑体" w:hAnsi="Arial"/>
      <w:bCs/>
      <w:sz w:val="24"/>
    </w:rPr>
  </w:style>
  <w:style w:type="paragraph" w:customStyle="1" w:styleId="B">
    <w:name w:val="标题B"/>
    <w:basedOn w:val="a3"/>
    <w:qFormat/>
    <w:pPr>
      <w:adjustRightInd w:val="0"/>
      <w:snapToGrid w:val="0"/>
      <w:spacing w:beforeLines="50" w:before="50" w:afterLines="50" w:after="50" w:line="420" w:lineRule="exact"/>
    </w:pPr>
    <w:rPr>
      <w:rFonts w:eastAsia="黑体"/>
      <w:sz w:val="32"/>
    </w:rPr>
  </w:style>
  <w:style w:type="paragraph" w:customStyle="1" w:styleId="afffffffd">
    <w:name w:val="表题格式"/>
    <w:basedOn w:val="a3"/>
    <w:qFormat/>
    <w:pPr>
      <w:adjustRightInd w:val="0"/>
      <w:snapToGrid w:val="0"/>
      <w:spacing w:line="400" w:lineRule="exact"/>
    </w:pPr>
    <w:rPr>
      <w:rFonts w:eastAsia="仿宋_GB2312"/>
      <w:kern w:val="0"/>
      <w:sz w:val="24"/>
      <w:szCs w:val="20"/>
    </w:rPr>
  </w:style>
  <w:style w:type="paragraph" w:customStyle="1" w:styleId="xl126">
    <w:name w:val="xl126"/>
    <w:basedOn w:val="a3"/>
    <w:qFormat/>
    <w:pPr>
      <w:widowControl/>
      <w:pBdr>
        <w:left w:val="single" w:sz="4" w:space="0" w:color="auto"/>
        <w:bottom w:val="single" w:sz="8"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1ff3">
    <w:name w:val="公式样式1"/>
    <w:basedOn w:val="a3"/>
    <w:qFormat/>
    <w:pPr>
      <w:adjustRightInd w:val="0"/>
      <w:snapToGrid w:val="0"/>
      <w:spacing w:line="500" w:lineRule="exact"/>
      <w:ind w:firstLineChars="100" w:firstLine="235"/>
    </w:pPr>
    <w:rPr>
      <w:rFonts w:ascii="宋体" w:hAnsi="Arial Black"/>
      <w:szCs w:val="20"/>
    </w:rPr>
  </w:style>
  <w:style w:type="paragraph" w:customStyle="1" w:styleId="xl80">
    <w:name w:val="xl80"/>
    <w:basedOn w:val="a3"/>
    <w:qFormat/>
    <w:pPr>
      <w:widowControl/>
      <w:pBdr>
        <w:left w:val="single" w:sz="12" w:space="0" w:color="auto"/>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afffffffe">
    <w:name w:val="环正文"/>
    <w:basedOn w:val="a3"/>
    <w:qFormat/>
    <w:pPr>
      <w:widowControl/>
      <w:tabs>
        <w:tab w:val="left" w:pos="5094"/>
      </w:tabs>
      <w:adjustRightInd w:val="0"/>
      <w:snapToGrid w:val="0"/>
      <w:spacing w:line="500" w:lineRule="exact"/>
      <w:ind w:firstLineChars="200" w:firstLine="560"/>
      <w:textAlignment w:val="baseline"/>
    </w:pPr>
    <w:rPr>
      <w:color w:val="FF00FF"/>
      <w:sz w:val="28"/>
      <w:szCs w:val="28"/>
    </w:rPr>
  </w:style>
  <w:style w:type="paragraph" w:customStyle="1" w:styleId="xl82">
    <w:name w:val="xl82"/>
    <w:basedOn w:val="a3"/>
    <w:qFormat/>
    <w:pPr>
      <w:widowControl/>
      <w:pBdr>
        <w:left w:val="single" w:sz="12" w:space="0" w:color="auto"/>
        <w:bottom w:val="single" w:sz="12" w:space="0" w:color="auto"/>
      </w:pBdr>
      <w:adjustRightInd w:val="0"/>
      <w:snapToGrid w:val="0"/>
      <w:spacing w:before="100" w:beforeAutospacing="1" w:after="100" w:afterAutospacing="1"/>
      <w:jc w:val="right"/>
      <w:textAlignment w:val="center"/>
    </w:pPr>
    <w:rPr>
      <w:rFonts w:ascii="Arial Unicode MS" w:hAnsi="Arial Unicode MS"/>
      <w:kern w:val="0"/>
      <w:sz w:val="12"/>
      <w:szCs w:val="12"/>
    </w:rPr>
  </w:style>
  <w:style w:type="paragraph" w:customStyle="1" w:styleId="48">
    <w:name w:val="条4"/>
    <w:basedOn w:val="a3"/>
    <w:next w:val="a3"/>
    <w:qFormat/>
    <w:pPr>
      <w:tabs>
        <w:tab w:val="left" w:pos="992"/>
      </w:tabs>
      <w:adjustRightInd w:val="0"/>
      <w:snapToGrid w:val="0"/>
      <w:ind w:left="992" w:hanging="992"/>
      <w:outlineLvl w:val="1"/>
    </w:pPr>
    <w:rPr>
      <w:rFonts w:ascii="黑体" w:eastAsia="黑体" w:hint="eastAsia"/>
      <w:kern w:val="21"/>
      <w:szCs w:val="20"/>
    </w:rPr>
  </w:style>
  <w:style w:type="paragraph" w:customStyle="1" w:styleId="xl27">
    <w:name w:val="xl27"/>
    <w:basedOn w:val="a3"/>
    <w:qFormat/>
    <w:pPr>
      <w:widowControl/>
      <w:pBdr>
        <w:left w:val="single" w:sz="12" w:space="0" w:color="auto"/>
        <w:bottom w:val="single" w:sz="12"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215">
    <w:name w:val="正文21"/>
    <w:basedOn w:val="a3"/>
    <w:qFormat/>
    <w:pPr>
      <w:adjustRightInd w:val="0"/>
      <w:snapToGrid w:val="0"/>
      <w:spacing w:line="500" w:lineRule="exact"/>
      <w:ind w:firstLineChars="200" w:firstLine="480"/>
    </w:pPr>
    <w:rPr>
      <w:rFonts w:ascii="宋体" w:hAnsi="宋体"/>
      <w:sz w:val="24"/>
    </w:rPr>
  </w:style>
  <w:style w:type="paragraph" w:customStyle="1" w:styleId="affffffff">
    <w:name w:val="一级条标题"/>
    <w:basedOn w:val="1"/>
    <w:next w:val="a3"/>
    <w:qFormat/>
    <w:pPr>
      <w:keepNext w:val="0"/>
      <w:widowControl/>
      <w:tabs>
        <w:tab w:val="left" w:pos="360"/>
      </w:tabs>
      <w:overflowPunct/>
      <w:snapToGrid/>
      <w:spacing w:before="0" w:after="0" w:line="240" w:lineRule="auto"/>
      <w:ind w:left="0" w:firstLine="0"/>
      <w:outlineLvl w:val="2"/>
    </w:pPr>
    <w:rPr>
      <w:rFonts w:ascii="黑体" w:cs="黑体"/>
      <w:b w:val="0"/>
      <w:bCs w:val="0"/>
      <w:color w:val="auto"/>
      <w:kern w:val="0"/>
      <w:sz w:val="21"/>
      <w:szCs w:val="21"/>
    </w:rPr>
  </w:style>
  <w:style w:type="paragraph" w:customStyle="1" w:styleId="1ff4">
    <w:name w:val="表字1"/>
    <w:basedOn w:val="a3"/>
    <w:qFormat/>
    <w:pPr>
      <w:adjustRightInd w:val="0"/>
      <w:snapToGrid w:val="0"/>
      <w:spacing w:line="500" w:lineRule="exact"/>
      <w:jc w:val="center"/>
      <w:textAlignment w:val="baseline"/>
    </w:pPr>
    <w:rPr>
      <w:rFonts w:ascii="宋体"/>
      <w:kern w:val="0"/>
      <w:szCs w:val="20"/>
    </w:rPr>
  </w:style>
  <w:style w:type="paragraph" w:customStyle="1" w:styleId="xl144">
    <w:name w:val="xl144"/>
    <w:basedOn w:val="a3"/>
    <w:qFormat/>
    <w:pPr>
      <w:widowControl/>
      <w:pBdr>
        <w:left w:val="single" w:sz="4" w:space="0" w:color="auto"/>
        <w:bottom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71">
    <w:name w:val="xl171"/>
    <w:basedOn w:val="a3"/>
    <w:qFormat/>
    <w:pPr>
      <w:widowControl/>
      <w:pBdr>
        <w:bottom w:val="single" w:sz="12"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affffffff0">
    <w:name w:val="表格的文字"/>
    <w:basedOn w:val="a3"/>
    <w:qFormat/>
    <w:pPr>
      <w:adjustRightInd w:val="0"/>
      <w:snapToGrid w:val="0"/>
      <w:spacing w:line="300" w:lineRule="exact"/>
      <w:jc w:val="center"/>
    </w:pPr>
    <w:rPr>
      <w:rFonts w:ascii="仿宋_GB2312" w:eastAsia="仿宋_GB2312"/>
      <w:bCs/>
      <w:szCs w:val="20"/>
    </w:rPr>
  </w:style>
  <w:style w:type="paragraph" w:customStyle="1" w:styleId="affffffff1">
    <w:name w:val="宏福正文"/>
    <w:basedOn w:val="afc"/>
    <w:qFormat/>
    <w:pPr>
      <w:adjustRightInd w:val="0"/>
      <w:snapToGrid w:val="0"/>
      <w:spacing w:before="240" w:after="0" w:line="400" w:lineRule="atLeast"/>
      <w:ind w:firstLine="624"/>
      <w:jc w:val="center"/>
    </w:pPr>
    <w:rPr>
      <w:color w:val="000000"/>
      <w:spacing w:val="12"/>
      <w:kern w:val="28"/>
      <w:sz w:val="28"/>
      <w:szCs w:val="20"/>
    </w:rPr>
  </w:style>
  <w:style w:type="paragraph" w:customStyle="1" w:styleId="xl84">
    <w:name w:val="xl84"/>
    <w:basedOn w:val="a3"/>
    <w:qFormat/>
    <w:pPr>
      <w:widowControl/>
      <w:pBdr>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123">
    <w:name w:val="xl123"/>
    <w:basedOn w:val="a3"/>
    <w:qFormat/>
    <w:pPr>
      <w:widowControl/>
      <w:pBdr>
        <w:top w:val="single" w:sz="8"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85">
    <w:name w:val="xl85"/>
    <w:basedOn w:val="a3"/>
    <w:qFormat/>
    <w:pPr>
      <w:widowControl/>
      <w:pBdr>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58">
    <w:name w:val="xl58"/>
    <w:basedOn w:val="a3"/>
    <w:qFormat/>
    <w:pPr>
      <w:widowControl/>
      <w:adjustRightInd w:val="0"/>
      <w:snapToGrid w:val="0"/>
      <w:spacing w:before="100" w:beforeAutospacing="1" w:after="100" w:afterAutospacing="1"/>
      <w:jc w:val="left"/>
      <w:textAlignment w:val="center"/>
    </w:pPr>
    <w:rPr>
      <w:rFonts w:ascii="Arial Unicode MS" w:hAnsi="Arial Unicode MS"/>
      <w:kern w:val="0"/>
      <w:sz w:val="12"/>
      <w:szCs w:val="12"/>
    </w:rPr>
  </w:style>
  <w:style w:type="paragraph" w:customStyle="1" w:styleId="affffffff2">
    <w:name w:val="小表格"/>
    <w:basedOn w:val="a3"/>
    <w:qFormat/>
    <w:pPr>
      <w:autoSpaceDE w:val="0"/>
      <w:autoSpaceDN w:val="0"/>
      <w:adjustRightInd w:val="0"/>
      <w:snapToGrid w:val="0"/>
      <w:jc w:val="center"/>
    </w:pPr>
    <w:rPr>
      <w:rFonts w:ascii="仿宋_GB2312"/>
      <w:kern w:val="0"/>
      <w:szCs w:val="20"/>
    </w:rPr>
  </w:style>
  <w:style w:type="paragraph" w:customStyle="1" w:styleId="xl114">
    <w:name w:val="xl114"/>
    <w:basedOn w:val="a3"/>
    <w:qFormat/>
    <w:pPr>
      <w:widowControl/>
      <w:pBdr>
        <w:left w:val="single" w:sz="8"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154">
    <w:name w:val="xl154"/>
    <w:basedOn w:val="a3"/>
    <w:qFormat/>
    <w:pPr>
      <w:widowControl/>
      <w:pBdr>
        <w:left w:val="single" w:sz="12" w:space="0" w:color="auto"/>
        <w:bottom w:val="single" w:sz="8" w:space="0" w:color="auto"/>
      </w:pBdr>
      <w:adjustRightInd w:val="0"/>
      <w:snapToGrid w:val="0"/>
      <w:spacing w:before="100" w:beforeAutospacing="1" w:after="100" w:afterAutospacing="1"/>
      <w:jc w:val="center"/>
    </w:pPr>
    <w:rPr>
      <w:rFonts w:ascii="Arial Unicode MS" w:hAnsi="Arial Unicode MS"/>
      <w:kern w:val="0"/>
      <w:sz w:val="12"/>
      <w:szCs w:val="12"/>
    </w:rPr>
  </w:style>
  <w:style w:type="paragraph" w:customStyle="1" w:styleId="xl187">
    <w:name w:val="xl187"/>
    <w:basedOn w:val="a3"/>
    <w:qFormat/>
    <w:pPr>
      <w:widowControl/>
      <w:pBdr>
        <w:top w:val="single" w:sz="4" w:space="0" w:color="auto"/>
        <w:left w:val="single" w:sz="4" w:space="0" w:color="auto"/>
        <w:right w:val="single" w:sz="4" w:space="0" w:color="auto"/>
      </w:pBdr>
      <w:adjustRightInd w:val="0"/>
      <w:snapToGrid w:val="0"/>
      <w:spacing w:before="100" w:beforeAutospacing="1" w:after="100" w:afterAutospacing="1"/>
      <w:jc w:val="center"/>
      <w:textAlignment w:val="center"/>
    </w:pPr>
    <w:rPr>
      <w:kern w:val="0"/>
      <w:sz w:val="16"/>
      <w:szCs w:val="16"/>
    </w:rPr>
  </w:style>
  <w:style w:type="paragraph" w:customStyle="1" w:styleId="xl172">
    <w:name w:val="xl172"/>
    <w:basedOn w:val="a3"/>
    <w:qFormat/>
    <w:pPr>
      <w:widowControl/>
      <w:pBdr>
        <w:top w:val="single" w:sz="12" w:space="0" w:color="auto"/>
        <w:left w:val="single" w:sz="12"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xl182">
    <w:name w:val="xl182"/>
    <w:basedOn w:val="a3"/>
    <w:qFormat/>
    <w:pPr>
      <w:widowControl/>
      <w:pBdr>
        <w:top w:val="single" w:sz="4" w:space="0" w:color="auto"/>
        <w:left w:val="single" w:sz="4" w:space="0" w:color="auto"/>
        <w:right w:val="single" w:sz="4" w:space="0" w:color="auto"/>
      </w:pBdr>
      <w:adjustRightInd w:val="0"/>
      <w:snapToGrid w:val="0"/>
      <w:spacing w:before="100" w:beforeAutospacing="1" w:after="100" w:afterAutospacing="1"/>
      <w:jc w:val="center"/>
      <w:textAlignment w:val="center"/>
    </w:pPr>
    <w:rPr>
      <w:kern w:val="0"/>
      <w:sz w:val="16"/>
      <w:szCs w:val="16"/>
    </w:rPr>
  </w:style>
  <w:style w:type="paragraph" w:customStyle="1" w:styleId="pic-info">
    <w:name w:val="pic-info"/>
    <w:basedOn w:val="a3"/>
    <w:qFormat/>
    <w:pPr>
      <w:widowControl/>
      <w:adjustRightInd w:val="0"/>
      <w:snapToGrid w:val="0"/>
      <w:spacing w:before="100" w:beforeAutospacing="1" w:after="100" w:afterAutospacing="1"/>
      <w:jc w:val="left"/>
    </w:pPr>
    <w:rPr>
      <w:rFonts w:ascii="宋体" w:hAnsi="宋体" w:cs="宋体"/>
      <w:kern w:val="0"/>
      <w:sz w:val="24"/>
    </w:rPr>
  </w:style>
  <w:style w:type="paragraph" w:customStyle="1" w:styleId="1ff5">
    <w:name w:val="表中文字1"/>
    <w:qFormat/>
    <w:pPr>
      <w:widowControl w:val="0"/>
      <w:adjustRightInd w:val="0"/>
      <w:snapToGrid w:val="0"/>
      <w:spacing w:line="280" w:lineRule="exact"/>
      <w:jc w:val="center"/>
    </w:pPr>
    <w:rPr>
      <w:rFonts w:ascii="仿宋_GB2312" w:eastAsia="仿宋_GB2312"/>
      <w:kern w:val="2"/>
      <w:sz w:val="24"/>
      <w:szCs w:val="24"/>
    </w:rPr>
  </w:style>
  <w:style w:type="paragraph" w:customStyle="1" w:styleId="xl77">
    <w:name w:val="xl77"/>
    <w:basedOn w:val="a3"/>
    <w:qFormat/>
    <w:pPr>
      <w:widowControl/>
      <w:adjustRightInd w:val="0"/>
      <w:snapToGrid w:val="0"/>
      <w:spacing w:before="100" w:beforeAutospacing="1" w:after="100" w:afterAutospacing="1"/>
      <w:jc w:val="left"/>
    </w:pPr>
    <w:rPr>
      <w:rFonts w:ascii="Arial Unicode MS" w:hAnsi="Arial Unicode MS"/>
      <w:kern w:val="0"/>
      <w:sz w:val="12"/>
      <w:szCs w:val="12"/>
    </w:rPr>
  </w:style>
  <w:style w:type="paragraph" w:customStyle="1" w:styleId="012015">
    <w:name w:val="样式 正文01 + 首行缩进:  2 字符 段前: 0 磅 行距: 1.5 倍行距"/>
    <w:basedOn w:val="a3"/>
    <w:qFormat/>
    <w:pPr>
      <w:adjustRightInd w:val="0"/>
      <w:snapToGrid w:val="0"/>
      <w:spacing w:line="500" w:lineRule="exact"/>
      <w:ind w:firstLineChars="200" w:firstLine="480"/>
    </w:pPr>
    <w:rPr>
      <w:rFonts w:ascii="宋体" w:hAnsi="宋体"/>
      <w:kern w:val="0"/>
      <w:sz w:val="24"/>
    </w:rPr>
  </w:style>
  <w:style w:type="paragraph" w:customStyle="1" w:styleId="xl153">
    <w:name w:val="xl153"/>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73">
    <w:name w:val="xl173"/>
    <w:basedOn w:val="a3"/>
    <w:qFormat/>
    <w:pPr>
      <w:widowControl/>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affffffff3">
    <w:name w:val="五级无标题条"/>
    <w:basedOn w:val="a3"/>
    <w:qFormat/>
    <w:pPr>
      <w:adjustRightInd w:val="0"/>
      <w:snapToGrid w:val="0"/>
      <w:ind w:left="-288"/>
    </w:pPr>
  </w:style>
  <w:style w:type="paragraph" w:customStyle="1" w:styleId="WW-">
    <w:name w:val="WW-正文缩进"/>
    <w:basedOn w:val="a3"/>
    <w:qFormat/>
    <w:pPr>
      <w:suppressAutoHyphens/>
      <w:adjustRightInd w:val="0"/>
      <w:snapToGrid w:val="0"/>
      <w:ind w:firstLine="567"/>
    </w:pPr>
    <w:rPr>
      <w:rFonts w:ascii="Arial" w:hAnsi="Arial"/>
      <w:sz w:val="28"/>
      <w:szCs w:val="20"/>
      <w:lang w:eastAsia="ar-SA"/>
    </w:rPr>
  </w:style>
  <w:style w:type="paragraph" w:customStyle="1" w:styleId="xl156">
    <w:name w:val="xl156"/>
    <w:basedOn w:val="a3"/>
    <w:qFormat/>
    <w:pPr>
      <w:widowControl/>
      <w:pBdr>
        <w:left w:val="single" w:sz="4" w:space="0" w:color="auto"/>
        <w:right w:val="single" w:sz="4" w:space="0" w:color="auto"/>
      </w:pBdr>
      <w:adjustRightInd w:val="0"/>
      <w:snapToGrid w:val="0"/>
      <w:spacing w:before="100" w:beforeAutospacing="1" w:after="100" w:afterAutospacing="1"/>
      <w:jc w:val="left"/>
    </w:pPr>
    <w:rPr>
      <w:rFonts w:ascii="Arial Unicode MS" w:hAnsi="Arial Unicode MS"/>
      <w:kern w:val="0"/>
      <w:sz w:val="20"/>
      <w:szCs w:val="20"/>
    </w:rPr>
  </w:style>
  <w:style w:type="paragraph" w:customStyle="1" w:styleId="xl68">
    <w:name w:val="xl68"/>
    <w:basedOn w:val="a3"/>
    <w:qFormat/>
    <w:pPr>
      <w:widowControl/>
      <w:pBdr>
        <w:top w:val="single" w:sz="12" w:space="0" w:color="auto"/>
      </w:pBdr>
      <w:adjustRightInd w:val="0"/>
      <w:snapToGrid w:val="0"/>
      <w:spacing w:before="100" w:beforeAutospacing="1" w:after="100" w:afterAutospacing="1"/>
      <w:jc w:val="left"/>
    </w:pPr>
    <w:rPr>
      <w:rFonts w:ascii="Arial Unicode MS" w:hAnsi="Arial Unicode MS"/>
      <w:kern w:val="0"/>
      <w:sz w:val="12"/>
      <w:szCs w:val="12"/>
    </w:rPr>
  </w:style>
  <w:style w:type="paragraph" w:customStyle="1" w:styleId="CharCharChar">
    <w:name w:val="Char Char Char"/>
    <w:basedOn w:val="a3"/>
    <w:qFormat/>
    <w:pPr>
      <w:adjustRightInd w:val="0"/>
      <w:snapToGrid w:val="0"/>
    </w:pPr>
    <w:rPr>
      <w:sz w:val="24"/>
    </w:rPr>
  </w:style>
  <w:style w:type="paragraph" w:customStyle="1" w:styleId="2e">
    <w:name w:val="表格2"/>
    <w:basedOn w:val="affff8"/>
    <w:qFormat/>
    <w:pPr>
      <w:widowControl w:val="0"/>
      <w:tabs>
        <w:tab w:val="clear" w:pos="1733"/>
      </w:tabs>
      <w:autoSpaceDE/>
      <w:autoSpaceDN/>
      <w:snapToGrid/>
      <w:jc w:val="both"/>
      <w:outlineLvl w:val="0"/>
    </w:pPr>
    <w:rPr>
      <w:rFonts w:cs="Times New Roman"/>
      <w:kern w:val="2"/>
    </w:rPr>
  </w:style>
  <w:style w:type="paragraph" w:customStyle="1" w:styleId="affffffff4">
    <w:name w:val="封面正文"/>
    <w:qFormat/>
    <w:pPr>
      <w:jc w:val="both"/>
    </w:pPr>
  </w:style>
  <w:style w:type="paragraph" w:customStyle="1" w:styleId="xl152">
    <w:name w:val="xl152"/>
    <w:basedOn w:val="a3"/>
    <w:qFormat/>
    <w:pPr>
      <w:widowControl/>
      <w:adjustRightInd w:val="0"/>
      <w:snapToGrid w:val="0"/>
      <w:spacing w:before="100" w:beforeAutospacing="1" w:after="100" w:afterAutospacing="1"/>
      <w:jc w:val="left"/>
      <w:textAlignment w:val="center"/>
    </w:pPr>
    <w:rPr>
      <w:rFonts w:ascii="Arial Unicode MS" w:hAnsi="Arial Unicode MS"/>
      <w:kern w:val="0"/>
      <w:sz w:val="16"/>
      <w:szCs w:val="16"/>
    </w:rPr>
  </w:style>
  <w:style w:type="paragraph" w:customStyle="1" w:styleId="xl141">
    <w:name w:val="xl141"/>
    <w:basedOn w:val="a3"/>
    <w:qFormat/>
    <w:pPr>
      <w:widowControl/>
      <w:adjustRightInd w:val="0"/>
      <w:snapToGrid w:val="0"/>
      <w:spacing w:before="100" w:beforeAutospacing="1" w:after="100" w:afterAutospacing="1"/>
      <w:jc w:val="left"/>
    </w:pPr>
    <w:rPr>
      <w:rFonts w:ascii="Arial Unicode MS" w:hAnsi="Arial Unicode MS"/>
      <w:kern w:val="0"/>
      <w:sz w:val="16"/>
      <w:szCs w:val="16"/>
    </w:rPr>
  </w:style>
  <w:style w:type="paragraph" w:customStyle="1" w:styleId="affffffff5">
    <w:name w:val="样式"/>
    <w:basedOn w:val="a3"/>
    <w:next w:val="a3"/>
    <w:qFormat/>
    <w:pPr>
      <w:adjustRightInd w:val="0"/>
      <w:snapToGrid w:val="0"/>
      <w:ind w:firstLine="420"/>
    </w:pPr>
    <w:rPr>
      <w:rFonts w:ascii="宋体" w:hAnsi="Arial Black" w:cs="宋体"/>
      <w:sz w:val="24"/>
    </w:rPr>
  </w:style>
  <w:style w:type="paragraph" w:customStyle="1" w:styleId="CharCharCharCharCharCharChar">
    <w:name w:val="Char Char Char Char Char Char Char"/>
    <w:basedOn w:val="a3"/>
    <w:qFormat/>
    <w:pPr>
      <w:adjustRightInd w:val="0"/>
      <w:snapToGrid w:val="0"/>
    </w:pPr>
    <w:rPr>
      <w:sz w:val="24"/>
    </w:rPr>
  </w:style>
  <w:style w:type="paragraph" w:customStyle="1" w:styleId="affffffff6">
    <w:name w:val="表"/>
    <w:basedOn w:val="a3"/>
    <w:next w:val="afff0"/>
    <w:qFormat/>
    <w:pPr>
      <w:adjustRightInd w:val="0"/>
      <w:snapToGrid w:val="0"/>
      <w:jc w:val="center"/>
    </w:pPr>
    <w:rPr>
      <w:rFonts w:ascii="宋体" w:hAnsi="Arial Black"/>
      <w:kern w:val="21"/>
      <w:szCs w:val="20"/>
    </w:rPr>
  </w:style>
  <w:style w:type="paragraph" w:customStyle="1" w:styleId="font8">
    <w:name w:val="font8"/>
    <w:basedOn w:val="a3"/>
    <w:qFormat/>
    <w:pPr>
      <w:widowControl/>
      <w:adjustRightInd w:val="0"/>
      <w:snapToGrid w:val="0"/>
      <w:spacing w:before="100" w:beforeAutospacing="1" w:after="100" w:afterAutospacing="1"/>
      <w:jc w:val="left"/>
    </w:pPr>
    <w:rPr>
      <w:kern w:val="0"/>
      <w:sz w:val="12"/>
      <w:szCs w:val="12"/>
    </w:rPr>
  </w:style>
  <w:style w:type="paragraph" w:customStyle="1" w:styleId="1ff6">
    <w:name w:val="日期1"/>
    <w:basedOn w:val="a3"/>
    <w:next w:val="a3"/>
    <w:qFormat/>
    <w:pPr>
      <w:adjustRightInd w:val="0"/>
      <w:snapToGrid w:val="0"/>
      <w:textAlignment w:val="baseline"/>
    </w:pPr>
    <w:rPr>
      <w:szCs w:val="20"/>
    </w:rPr>
  </w:style>
  <w:style w:type="paragraph" w:customStyle="1" w:styleId="313">
    <w:name w:val="正文文本缩进 31"/>
    <w:basedOn w:val="a3"/>
    <w:qFormat/>
    <w:pPr>
      <w:adjustRightInd w:val="0"/>
      <w:snapToGrid w:val="0"/>
      <w:spacing w:line="480" w:lineRule="exact"/>
      <w:ind w:firstLine="525"/>
      <w:textAlignment w:val="baseline"/>
    </w:pPr>
    <w:rPr>
      <w:rFonts w:ascii="宋体"/>
      <w:sz w:val="28"/>
      <w:szCs w:val="20"/>
    </w:rPr>
  </w:style>
  <w:style w:type="paragraph" w:customStyle="1" w:styleId="affffffff7">
    <w:name w:val="表 格"/>
    <w:basedOn w:val="a3"/>
    <w:qFormat/>
    <w:pPr>
      <w:adjustRightInd w:val="0"/>
      <w:snapToGrid w:val="0"/>
      <w:jc w:val="center"/>
    </w:pPr>
    <w:rPr>
      <w:rFonts w:cs="宋体"/>
      <w:color w:val="000000"/>
      <w:kern w:val="0"/>
      <w:szCs w:val="20"/>
    </w:rPr>
  </w:style>
  <w:style w:type="paragraph" w:customStyle="1" w:styleId="131">
    <w:name w:val="样式13"/>
    <w:basedOn w:val="a3"/>
    <w:qFormat/>
    <w:pPr>
      <w:adjustRightInd w:val="0"/>
      <w:snapToGrid w:val="0"/>
      <w:spacing w:line="360" w:lineRule="exact"/>
      <w:jc w:val="center"/>
    </w:pPr>
    <w:rPr>
      <w:rFonts w:ascii="宋体" w:hAnsi="宋体"/>
      <w:sz w:val="24"/>
    </w:rPr>
  </w:style>
  <w:style w:type="paragraph" w:customStyle="1" w:styleId="xl88">
    <w:name w:val="xl88"/>
    <w:basedOn w:val="a3"/>
    <w:qFormat/>
    <w:pPr>
      <w:widowControl/>
      <w:pBdr>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ParaCharCharCharCharChar">
    <w:name w:val="默认段落字体 Para Char Char Char Char Char"/>
    <w:basedOn w:val="a3"/>
    <w:qFormat/>
    <w:pPr>
      <w:adjustRightInd w:val="0"/>
      <w:snapToGrid w:val="0"/>
      <w:ind w:firstLineChars="200" w:firstLine="200"/>
      <w:jc w:val="left"/>
    </w:pPr>
    <w:rPr>
      <w:sz w:val="28"/>
    </w:rPr>
  </w:style>
  <w:style w:type="paragraph" w:customStyle="1" w:styleId="CharCharCharCharCharCharCharCharChar1Char">
    <w:name w:val="Char Char Char Char Char Char Char Char Char1 Char"/>
    <w:basedOn w:val="a3"/>
    <w:qFormat/>
    <w:pPr>
      <w:adjustRightInd w:val="0"/>
      <w:snapToGrid w:val="0"/>
    </w:pPr>
    <w:rPr>
      <w:sz w:val="24"/>
    </w:rPr>
  </w:style>
  <w:style w:type="paragraph" w:customStyle="1" w:styleId="ParaChar">
    <w:name w:val="默认段落字体 Para Char"/>
    <w:basedOn w:val="a3"/>
    <w:qFormat/>
    <w:pPr>
      <w:adjustRightInd w:val="0"/>
      <w:snapToGrid w:val="0"/>
    </w:pPr>
    <w:rPr>
      <w:sz w:val="24"/>
    </w:rPr>
  </w:style>
  <w:style w:type="paragraph" w:customStyle="1" w:styleId="affffffff8">
    <w:name w:val="图文字"/>
    <w:basedOn w:val="a3"/>
    <w:qFormat/>
    <w:pPr>
      <w:adjustRightInd w:val="0"/>
      <w:snapToGrid w:val="0"/>
      <w:spacing w:line="400" w:lineRule="exact"/>
      <w:jc w:val="center"/>
    </w:pPr>
    <w:rPr>
      <w:rFonts w:ascii="宋体" w:hAnsi="宋体"/>
      <w:kern w:val="44"/>
      <w:sz w:val="24"/>
    </w:rPr>
  </w:style>
  <w:style w:type="paragraph" w:customStyle="1" w:styleId="affffffff9">
    <w:name w:val="环评正文"/>
    <w:basedOn w:val="a3"/>
    <w:qFormat/>
    <w:pPr>
      <w:adjustRightInd w:val="0"/>
      <w:snapToGrid w:val="0"/>
      <w:spacing w:line="500" w:lineRule="exact"/>
      <w:ind w:firstLineChars="200" w:firstLine="480"/>
    </w:pPr>
    <w:rPr>
      <w:sz w:val="24"/>
      <w:szCs w:val="20"/>
    </w:rPr>
  </w:style>
  <w:style w:type="paragraph" w:customStyle="1" w:styleId="2f">
    <w:name w:val="条2"/>
    <w:basedOn w:val="a3"/>
    <w:next w:val="a3"/>
    <w:qFormat/>
    <w:pPr>
      <w:tabs>
        <w:tab w:val="left" w:pos="1080"/>
      </w:tabs>
      <w:adjustRightInd w:val="0"/>
      <w:snapToGrid w:val="0"/>
      <w:outlineLvl w:val="1"/>
    </w:pPr>
    <w:rPr>
      <w:rFonts w:ascii="黑体" w:eastAsia="黑体" w:hint="eastAsia"/>
      <w:kern w:val="21"/>
      <w:szCs w:val="20"/>
    </w:rPr>
  </w:style>
  <w:style w:type="paragraph" w:customStyle="1" w:styleId="xl42">
    <w:name w:val="xl42"/>
    <w:basedOn w:val="a3"/>
    <w:qFormat/>
    <w:pPr>
      <w:widowControl/>
      <w:pBdr>
        <w:top w:val="single" w:sz="12" w:space="0" w:color="auto"/>
        <w:right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5b">
    <w:name w:val="条5"/>
    <w:basedOn w:val="a3"/>
    <w:next w:val="a3"/>
    <w:qFormat/>
    <w:pPr>
      <w:tabs>
        <w:tab w:val="left" w:pos="1134"/>
      </w:tabs>
      <w:adjustRightInd w:val="0"/>
      <w:snapToGrid w:val="0"/>
      <w:ind w:left="1134" w:hanging="1134"/>
      <w:outlineLvl w:val="1"/>
    </w:pPr>
    <w:rPr>
      <w:rFonts w:ascii="黑体" w:eastAsia="黑体" w:hint="eastAsia"/>
      <w:kern w:val="21"/>
      <w:szCs w:val="20"/>
    </w:rPr>
  </w:style>
  <w:style w:type="paragraph" w:customStyle="1" w:styleId="affffffffa">
    <w:name w:val="高表内"/>
    <w:basedOn w:val="aff0"/>
    <w:qFormat/>
    <w:pPr>
      <w:autoSpaceDE w:val="0"/>
      <w:jc w:val="center"/>
      <w:textAlignment w:val="baseline"/>
    </w:pPr>
    <w:rPr>
      <w:rFonts w:ascii="Arial" w:eastAsia="楷体_GB2312" w:hAnsi="Arial"/>
      <w:sz w:val="24"/>
      <w:szCs w:val="24"/>
    </w:rPr>
  </w:style>
  <w:style w:type="paragraph" w:customStyle="1" w:styleId="CharCharCharCharCharChar1CharCharCharChar">
    <w:name w:val="Char Char Char Char Char Char1 Char Char Char Char"/>
    <w:basedOn w:val="a3"/>
    <w:qFormat/>
    <w:pPr>
      <w:adjustRightInd w:val="0"/>
      <w:snapToGrid w:val="0"/>
    </w:pPr>
    <w:rPr>
      <w:sz w:val="24"/>
    </w:rPr>
  </w:style>
  <w:style w:type="paragraph" w:customStyle="1" w:styleId="font5">
    <w:name w:val="font5"/>
    <w:basedOn w:val="a3"/>
    <w:qFormat/>
    <w:pPr>
      <w:widowControl/>
      <w:adjustRightInd w:val="0"/>
      <w:snapToGrid w:val="0"/>
      <w:spacing w:before="100" w:beforeAutospacing="1" w:after="100" w:afterAutospacing="1"/>
      <w:jc w:val="left"/>
    </w:pPr>
    <w:rPr>
      <w:rFonts w:ascii="宋体" w:hAnsi="宋体" w:hint="eastAsia"/>
      <w:kern w:val="0"/>
      <w:sz w:val="18"/>
      <w:szCs w:val="18"/>
    </w:rPr>
  </w:style>
  <w:style w:type="paragraph" w:customStyle="1" w:styleId="xl129">
    <w:name w:val="xl129"/>
    <w:basedOn w:val="a3"/>
    <w:qFormat/>
    <w:pPr>
      <w:widowControl/>
      <w:pBdr>
        <w:right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ffb">
    <w:name w:val="段"/>
    <w:basedOn w:val="a3"/>
    <w:qFormat/>
    <w:pPr>
      <w:adjustRightInd w:val="0"/>
      <w:snapToGrid w:val="0"/>
      <w:ind w:firstLine="425"/>
    </w:pPr>
    <w:rPr>
      <w:rFonts w:ascii="宋体"/>
      <w:szCs w:val="20"/>
    </w:rPr>
  </w:style>
  <w:style w:type="paragraph" w:customStyle="1" w:styleId="1ff7">
    <w:name w:val="样式 标题 1 + 加粗"/>
    <w:basedOn w:val="1"/>
    <w:qFormat/>
    <w:pPr>
      <w:keepLines/>
      <w:overflowPunct/>
      <w:adjustRightInd w:val="0"/>
      <w:spacing w:before="0" w:after="0" w:line="360" w:lineRule="auto"/>
      <w:ind w:left="0" w:firstLine="0"/>
    </w:pPr>
    <w:rPr>
      <w:rFonts w:ascii="宋体" w:eastAsia="宋体" w:hAnsi="宋体"/>
      <w:color w:val="auto"/>
      <w:sz w:val="28"/>
      <w:szCs w:val="28"/>
    </w:rPr>
  </w:style>
  <w:style w:type="paragraph" w:customStyle="1" w:styleId="PlainText2">
    <w:name w:val="Plain Text2"/>
    <w:basedOn w:val="a3"/>
    <w:qFormat/>
    <w:pPr>
      <w:autoSpaceDE w:val="0"/>
      <w:autoSpaceDN w:val="0"/>
      <w:adjustRightInd w:val="0"/>
      <w:snapToGrid w:val="0"/>
      <w:textAlignment w:val="baseline"/>
    </w:pPr>
    <w:rPr>
      <w:rFonts w:ascii="宋体" w:hAnsi="Tms Rmn"/>
      <w:kern w:val="0"/>
      <w:szCs w:val="20"/>
    </w:rPr>
  </w:style>
  <w:style w:type="paragraph" w:customStyle="1" w:styleId="affffffffc">
    <w:name w:val="首行缩进"/>
    <w:basedOn w:val="a3"/>
    <w:qFormat/>
    <w:pPr>
      <w:adjustRightInd w:val="0"/>
      <w:snapToGrid w:val="0"/>
      <w:spacing w:line="500" w:lineRule="exact"/>
      <w:ind w:firstLineChars="200" w:firstLine="480"/>
    </w:pPr>
    <w:rPr>
      <w:sz w:val="24"/>
    </w:rPr>
  </w:style>
  <w:style w:type="paragraph" w:customStyle="1" w:styleId="xl188">
    <w:name w:val="xl188"/>
    <w:basedOn w:val="a3"/>
    <w:qFormat/>
    <w:pPr>
      <w:widowControl/>
      <w:adjustRightInd w:val="0"/>
      <w:snapToGrid w:val="0"/>
      <w:spacing w:before="100" w:beforeAutospacing="1" w:after="100" w:afterAutospacing="1"/>
      <w:jc w:val="left"/>
      <w:textAlignment w:val="center"/>
    </w:pPr>
    <w:rPr>
      <w:kern w:val="0"/>
      <w:sz w:val="12"/>
      <w:szCs w:val="12"/>
    </w:rPr>
  </w:style>
  <w:style w:type="paragraph" w:customStyle="1" w:styleId="2f0">
    <w:name w:val="纯文本2"/>
    <w:basedOn w:val="a3"/>
    <w:semiHidden/>
    <w:qFormat/>
    <w:pPr>
      <w:adjustRightInd w:val="0"/>
      <w:snapToGrid w:val="0"/>
      <w:textAlignment w:val="baseline"/>
    </w:pPr>
    <w:rPr>
      <w:rFonts w:ascii="宋体" w:hAnsi="Courier New"/>
      <w:szCs w:val="20"/>
    </w:rPr>
  </w:style>
  <w:style w:type="paragraph" w:customStyle="1" w:styleId="xl147">
    <w:name w:val="xl147"/>
    <w:basedOn w:val="a3"/>
    <w:qFormat/>
    <w:pPr>
      <w:widowControl/>
      <w:adjustRightInd w:val="0"/>
      <w:snapToGrid w:val="0"/>
      <w:spacing w:before="100" w:beforeAutospacing="1" w:after="100" w:afterAutospacing="1"/>
      <w:jc w:val="center"/>
    </w:pPr>
    <w:rPr>
      <w:rFonts w:ascii="Arial Unicode MS" w:hAnsi="Arial Unicode MS"/>
      <w:kern w:val="0"/>
    </w:rPr>
  </w:style>
  <w:style w:type="paragraph" w:customStyle="1" w:styleId="xl121">
    <w:name w:val="xl121"/>
    <w:basedOn w:val="a3"/>
    <w:qFormat/>
    <w:pPr>
      <w:widowControl/>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178">
    <w:name w:val="xl178"/>
    <w:basedOn w:val="a3"/>
    <w:qFormat/>
    <w:pPr>
      <w:widowControl/>
      <w:adjustRightInd w:val="0"/>
      <w:snapToGrid w:val="0"/>
      <w:spacing w:before="100" w:beforeAutospacing="1" w:after="100" w:afterAutospacing="1"/>
      <w:jc w:val="center"/>
    </w:pPr>
    <w:rPr>
      <w:rFonts w:ascii="Arial Unicode MS" w:hAnsi="Arial Unicode MS"/>
      <w:kern w:val="0"/>
      <w:sz w:val="12"/>
      <w:szCs w:val="12"/>
    </w:rPr>
  </w:style>
  <w:style w:type="paragraph" w:customStyle="1" w:styleId="xl44">
    <w:name w:val="xl44"/>
    <w:basedOn w:val="a3"/>
    <w:qFormat/>
    <w:pPr>
      <w:widowControl/>
      <w:pBdr>
        <w:right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style4">
    <w:name w:val="style4"/>
    <w:basedOn w:val="a3"/>
    <w:qFormat/>
    <w:pPr>
      <w:widowControl/>
      <w:adjustRightInd w:val="0"/>
      <w:snapToGrid w:val="0"/>
      <w:spacing w:before="100" w:beforeAutospacing="1" w:after="100" w:afterAutospacing="1"/>
      <w:jc w:val="left"/>
    </w:pPr>
    <w:rPr>
      <w:rFonts w:ascii="宋体" w:hAnsi="宋体" w:cs="宋体"/>
      <w:color w:val="636466"/>
      <w:kern w:val="0"/>
      <w:sz w:val="24"/>
    </w:rPr>
  </w:style>
  <w:style w:type="paragraph" w:customStyle="1" w:styleId="xl96">
    <w:name w:val="xl96"/>
    <w:basedOn w:val="a3"/>
    <w:qFormat/>
    <w:pPr>
      <w:widowControl/>
      <w:pBdr>
        <w:left w:val="single" w:sz="12" w:space="0" w:color="auto"/>
        <w:bottom w:val="single" w:sz="12" w:space="0" w:color="auto"/>
        <w:right w:val="single" w:sz="4" w:space="0" w:color="auto"/>
      </w:pBdr>
      <w:adjustRightInd w:val="0"/>
      <w:snapToGrid w:val="0"/>
      <w:spacing w:before="100" w:beforeAutospacing="1" w:after="100" w:afterAutospacing="1"/>
      <w:jc w:val="center"/>
    </w:pPr>
    <w:rPr>
      <w:rFonts w:ascii="Arial Unicode MS" w:hAnsi="Arial Unicode MS"/>
      <w:kern w:val="0"/>
      <w:sz w:val="12"/>
      <w:szCs w:val="12"/>
    </w:rPr>
  </w:style>
  <w:style w:type="paragraph" w:customStyle="1" w:styleId="affffffffd">
    <w:name w:val="前言、引言标题"/>
    <w:next w:val="a3"/>
    <w:qFormat/>
    <w:pPr>
      <w:shd w:val="clear" w:color="FFFFFF" w:fill="FFFFFF"/>
      <w:tabs>
        <w:tab w:val="left" w:pos="903"/>
      </w:tabs>
      <w:spacing w:before="640" w:after="560"/>
      <w:ind w:left="903" w:hanging="315"/>
      <w:jc w:val="center"/>
      <w:outlineLvl w:val="0"/>
    </w:pPr>
    <w:rPr>
      <w:rFonts w:ascii="黑体" w:eastAsia="黑体" w:cs="黑体"/>
      <w:sz w:val="32"/>
      <w:szCs w:val="32"/>
    </w:rPr>
  </w:style>
  <w:style w:type="paragraph" w:customStyle="1" w:styleId="xl179">
    <w:name w:val="xl179"/>
    <w:basedOn w:val="a3"/>
    <w:qFormat/>
    <w:pPr>
      <w:widowControl/>
      <w:pBdr>
        <w:top w:val="single" w:sz="4" w:space="0" w:color="auto"/>
        <w:left w:val="single" w:sz="4"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92">
    <w:name w:val="xl192"/>
    <w:basedOn w:val="a3"/>
    <w:qFormat/>
    <w:pPr>
      <w:widowControl/>
      <w:pBdr>
        <w:top w:val="single" w:sz="4" w:space="0" w:color="auto"/>
        <w:left w:val="single" w:sz="4"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100">
    <w:name w:val="小四宋居中1.0"/>
    <w:basedOn w:val="a3"/>
    <w:next w:val="a3"/>
    <w:qFormat/>
    <w:pPr>
      <w:adjustRightInd w:val="0"/>
      <w:snapToGrid w:val="0"/>
      <w:jc w:val="center"/>
    </w:pPr>
    <w:rPr>
      <w:rFonts w:ascii="仿宋_GB2312" w:eastAsia="仿宋_GB2312"/>
      <w:sz w:val="24"/>
      <w:szCs w:val="20"/>
    </w:rPr>
  </w:style>
  <w:style w:type="paragraph" w:customStyle="1" w:styleId="affffffffe">
    <w:name w:val="标准"/>
    <w:basedOn w:val="a3"/>
    <w:qFormat/>
    <w:pPr>
      <w:autoSpaceDE w:val="0"/>
      <w:autoSpaceDN w:val="0"/>
      <w:adjustRightInd w:val="0"/>
      <w:snapToGrid w:val="0"/>
      <w:spacing w:line="360" w:lineRule="atLeast"/>
      <w:jc w:val="left"/>
      <w:textAlignment w:val="bottom"/>
    </w:pPr>
    <w:rPr>
      <w:rFonts w:ascii="宋体"/>
      <w:color w:val="000000"/>
      <w:kern w:val="0"/>
      <w:sz w:val="24"/>
      <w:szCs w:val="20"/>
    </w:rPr>
  </w:style>
  <w:style w:type="paragraph" w:customStyle="1" w:styleId="xl23">
    <w:name w:val="xl23"/>
    <w:basedOn w:val="a3"/>
    <w:qFormat/>
    <w:pPr>
      <w:widowControl/>
      <w:pBdr>
        <w:top w:val="single" w:sz="12"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xl46">
    <w:name w:val="xl46"/>
    <w:basedOn w:val="a3"/>
    <w:qFormat/>
    <w:pPr>
      <w:widowControl/>
      <w:pBdr>
        <w:bottom w:val="single" w:sz="12" w:space="0" w:color="auto"/>
        <w:right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afffffffff">
    <w:name w:val="高段文"/>
    <w:basedOn w:val="a3"/>
    <w:qFormat/>
    <w:pPr>
      <w:adjustRightInd w:val="0"/>
      <w:snapToGrid w:val="0"/>
      <w:spacing w:line="300" w:lineRule="auto"/>
      <w:ind w:firstLineChars="200" w:firstLine="200"/>
    </w:pPr>
    <w:rPr>
      <w:rFonts w:ascii="Arial" w:eastAsia="楷体_GB2312" w:hAnsi="Arial"/>
      <w:sz w:val="28"/>
      <w:szCs w:val="28"/>
    </w:rPr>
  </w:style>
  <w:style w:type="paragraph" w:customStyle="1" w:styleId="xl107">
    <w:name w:val="xl107"/>
    <w:basedOn w:val="a3"/>
    <w:qFormat/>
    <w:pPr>
      <w:widowControl/>
      <w:pBdr>
        <w:bottom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fff0">
    <w:name w:val="图框"/>
    <w:basedOn w:val="a3"/>
    <w:qFormat/>
    <w:pPr>
      <w:adjustRightInd w:val="0"/>
      <w:snapToGrid w:val="0"/>
      <w:jc w:val="center"/>
    </w:pPr>
    <w:rPr>
      <w:szCs w:val="15"/>
    </w:rPr>
  </w:style>
  <w:style w:type="paragraph" w:customStyle="1" w:styleId="xl41">
    <w:name w:val="xl41"/>
    <w:basedOn w:val="a3"/>
    <w:qFormat/>
    <w:pPr>
      <w:widowControl/>
      <w:pBdr>
        <w:left w:val="single" w:sz="12" w:space="0" w:color="auto"/>
        <w:right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fff1">
    <w:name w:val="表文字"/>
    <w:basedOn w:val="afff6"/>
    <w:qFormat/>
    <w:pPr>
      <w:spacing w:before="0" w:beforeAutospacing="0" w:after="0" w:afterAutospacing="0"/>
      <w:jc w:val="center"/>
    </w:pPr>
    <w:rPr>
      <w:rFonts w:cs="Times New Roman"/>
      <w:sz w:val="21"/>
      <w:szCs w:val="21"/>
    </w:rPr>
  </w:style>
  <w:style w:type="paragraph" w:customStyle="1" w:styleId="afffffffff2">
    <w:name w:val="表序号"/>
    <w:basedOn w:val="5"/>
    <w:qFormat/>
    <w:pPr>
      <w:tabs>
        <w:tab w:val="left" w:pos="3093"/>
      </w:tabs>
      <w:spacing w:line="360" w:lineRule="auto"/>
      <w:ind w:left="3093" w:hanging="420"/>
      <w:jc w:val="center"/>
    </w:pPr>
    <w:rPr>
      <w:rFonts w:ascii="宋体" w:hAnsi="Arial"/>
      <w:bCs w:val="0"/>
      <w:szCs w:val="20"/>
    </w:rPr>
  </w:style>
  <w:style w:type="paragraph" w:customStyle="1" w:styleId="hp">
    <w:name w:val="hp正文"/>
    <w:basedOn w:val="a3"/>
    <w:qFormat/>
    <w:pPr>
      <w:adjustRightInd w:val="0"/>
      <w:snapToGrid w:val="0"/>
      <w:spacing w:line="500" w:lineRule="exact"/>
      <w:ind w:firstLineChars="200" w:firstLine="200"/>
      <w:jc w:val="left"/>
    </w:pPr>
    <w:rPr>
      <w:sz w:val="24"/>
    </w:rPr>
  </w:style>
  <w:style w:type="paragraph" w:customStyle="1" w:styleId="Char110">
    <w:name w:val="Char11"/>
    <w:basedOn w:val="a3"/>
    <w:qFormat/>
    <w:pPr>
      <w:adjustRightInd w:val="0"/>
      <w:snapToGrid w:val="0"/>
      <w:spacing w:line="500" w:lineRule="exact"/>
      <w:jc w:val="center"/>
    </w:pPr>
    <w:rPr>
      <w:rFonts w:ascii="宋体"/>
      <w:b/>
      <w:sz w:val="24"/>
    </w:rPr>
  </w:style>
  <w:style w:type="paragraph" w:customStyle="1" w:styleId="xl106">
    <w:name w:val="xl106"/>
    <w:basedOn w:val="a3"/>
    <w:qFormat/>
    <w:pPr>
      <w:widowControl/>
      <w:pBdr>
        <w:left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afffffffff3">
    <w:name w:val="图编号"/>
    <w:basedOn w:val="afffffa"/>
    <w:qFormat/>
    <w:pPr>
      <w:tabs>
        <w:tab w:val="left" w:pos="763"/>
        <w:tab w:val="left" w:pos="1440"/>
      </w:tabs>
      <w:adjustRightInd/>
      <w:snapToGrid/>
      <w:spacing w:before="300" w:after="300" w:line="360" w:lineRule="auto"/>
      <w:ind w:leftChars="400" w:left="400" w:hangingChars="200" w:hanging="200"/>
    </w:pPr>
    <w:rPr>
      <w:rFonts w:ascii="Times New Roman" w:eastAsia="宋体" w:hAnsi="Times New Roman"/>
      <w:kern w:val="2"/>
    </w:rPr>
  </w:style>
  <w:style w:type="paragraph" w:customStyle="1" w:styleId="B0">
    <w:name w:val="B"/>
    <w:basedOn w:val="afff0"/>
    <w:qFormat/>
    <w:pPr>
      <w:spacing w:beforeLines="20" w:before="20" w:afterLines="20" w:after="20" w:line="240" w:lineRule="auto"/>
    </w:pPr>
    <w:rPr>
      <w:rFonts w:ascii="Times New Roman" w:eastAsia="宋体"/>
      <w:b/>
      <w:szCs w:val="21"/>
    </w:rPr>
  </w:style>
  <w:style w:type="paragraph" w:customStyle="1" w:styleId="xl43">
    <w:name w:val="xl43"/>
    <w:basedOn w:val="a3"/>
    <w:qFormat/>
    <w:pPr>
      <w:widowControl/>
      <w:pBdr>
        <w:right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fff4">
    <w:name w:val="表居中（中文）"/>
    <w:basedOn w:val="a3"/>
    <w:qFormat/>
    <w:pPr>
      <w:adjustRightInd w:val="0"/>
      <w:snapToGrid w:val="0"/>
      <w:spacing w:line="380" w:lineRule="atLeast"/>
      <w:jc w:val="center"/>
      <w:textAlignment w:val="baseline"/>
    </w:pPr>
    <w:rPr>
      <w:rFonts w:eastAsia="楷体_GB2312"/>
      <w:kern w:val="0"/>
      <w:sz w:val="24"/>
    </w:rPr>
  </w:style>
  <w:style w:type="paragraph" w:customStyle="1" w:styleId="03">
    <w:name w:val="表格03"/>
    <w:basedOn w:val="a3"/>
    <w:qFormat/>
    <w:pPr>
      <w:adjustRightInd w:val="0"/>
      <w:snapToGrid w:val="0"/>
      <w:spacing w:line="400" w:lineRule="exact"/>
      <w:jc w:val="center"/>
    </w:pPr>
    <w:rPr>
      <w:color w:val="000000"/>
      <w:sz w:val="24"/>
      <w:szCs w:val="21"/>
    </w:rPr>
  </w:style>
  <w:style w:type="paragraph" w:customStyle="1" w:styleId="xl183">
    <w:name w:val="xl183"/>
    <w:basedOn w:val="a3"/>
    <w:qFormat/>
    <w:pPr>
      <w:widowControl/>
      <w:pBdr>
        <w:left w:val="single" w:sz="4"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fff5">
    <w:name w:val="表格标题"/>
    <w:basedOn w:val="a3"/>
    <w:qFormat/>
    <w:pPr>
      <w:adjustRightInd w:val="0"/>
      <w:snapToGrid w:val="0"/>
      <w:spacing w:before="120"/>
      <w:jc w:val="center"/>
    </w:pPr>
    <w:rPr>
      <w:rFonts w:eastAsia="文鼎CS中宋"/>
      <w:sz w:val="24"/>
      <w:szCs w:val="20"/>
    </w:rPr>
  </w:style>
  <w:style w:type="paragraph" w:customStyle="1" w:styleId="2f1">
    <w:name w:val="正文2"/>
    <w:qFormat/>
    <w:pPr>
      <w:widowControl w:val="0"/>
      <w:tabs>
        <w:tab w:val="left" w:pos="567"/>
      </w:tabs>
      <w:adjustRightInd w:val="0"/>
      <w:spacing w:line="360" w:lineRule="atLeast"/>
      <w:jc w:val="both"/>
      <w:textAlignment w:val="baseline"/>
    </w:pPr>
    <w:rPr>
      <w:rFonts w:eastAsia="PMingLiU" w:hAnsi="Courier"/>
      <w:sz w:val="24"/>
      <w:lang w:eastAsia="zh-TW"/>
    </w:rPr>
  </w:style>
  <w:style w:type="paragraph" w:customStyle="1" w:styleId="1ff8">
    <w:name w:val="表头1"/>
    <w:basedOn w:val="aff0"/>
    <w:link w:val="1Char4"/>
    <w:qFormat/>
    <w:pPr>
      <w:spacing w:before="240" w:after="60"/>
      <w:jc w:val="center"/>
    </w:pPr>
    <w:rPr>
      <w:rFonts w:cs="Courier New"/>
      <w:sz w:val="24"/>
    </w:rPr>
  </w:style>
  <w:style w:type="paragraph" w:customStyle="1" w:styleId="CharCharChar1">
    <w:name w:val="Char Char Char1"/>
    <w:basedOn w:val="a3"/>
    <w:qFormat/>
    <w:pPr>
      <w:adjustRightInd w:val="0"/>
      <w:snapToGrid w:val="0"/>
      <w:spacing w:line="240" w:lineRule="exact"/>
      <w:ind w:firstLineChars="200" w:firstLine="200"/>
    </w:pPr>
    <w:rPr>
      <w:sz w:val="28"/>
      <w:szCs w:val="28"/>
    </w:rPr>
  </w:style>
  <w:style w:type="paragraph" w:customStyle="1" w:styleId="xl164">
    <w:name w:val="xl164"/>
    <w:basedOn w:val="a3"/>
    <w:qFormat/>
    <w:pPr>
      <w:widowControl/>
      <w:pBdr>
        <w:left w:val="single" w:sz="12" w:space="0" w:color="auto"/>
        <w:bottom w:val="single" w:sz="12" w:space="0" w:color="auto"/>
      </w:pBdr>
      <w:adjustRightInd w:val="0"/>
      <w:snapToGrid w:val="0"/>
      <w:spacing w:before="100" w:beforeAutospacing="1" w:after="100" w:afterAutospacing="1"/>
      <w:jc w:val="center"/>
    </w:pPr>
    <w:rPr>
      <w:rFonts w:ascii="Arial Unicode MS" w:hAnsi="Arial Unicode MS"/>
      <w:kern w:val="0"/>
    </w:rPr>
  </w:style>
  <w:style w:type="paragraph" w:customStyle="1" w:styleId="afffffffff6">
    <w:name w:val="表格编号"/>
    <w:basedOn w:val="a3"/>
    <w:next w:val="a3"/>
    <w:qFormat/>
    <w:pPr>
      <w:adjustRightInd w:val="0"/>
      <w:snapToGrid w:val="0"/>
      <w:spacing w:before="300" w:after="200"/>
      <w:ind w:left="964" w:hanging="425"/>
      <w:jc w:val="center"/>
    </w:pPr>
    <w:rPr>
      <w:sz w:val="24"/>
      <w:szCs w:val="20"/>
    </w:rPr>
  </w:style>
  <w:style w:type="paragraph" w:customStyle="1" w:styleId="xl34">
    <w:name w:val="xl34"/>
    <w:basedOn w:val="a3"/>
    <w:qFormat/>
    <w:pPr>
      <w:widowControl/>
      <w:pBdr>
        <w:left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h">
    <w:name w:val="h"/>
    <w:basedOn w:val="a3"/>
    <w:qFormat/>
    <w:pPr>
      <w:adjustRightInd w:val="0"/>
      <w:snapToGrid w:val="0"/>
      <w:spacing w:before="60"/>
      <w:ind w:firstLine="482"/>
    </w:pPr>
    <w:rPr>
      <w:rFonts w:ascii="Arial" w:eastAsia="仿宋_GB2312" w:hAnsi="Arial"/>
      <w:kern w:val="0"/>
      <w:sz w:val="24"/>
      <w:szCs w:val="20"/>
    </w:rPr>
  </w:style>
  <w:style w:type="paragraph" w:customStyle="1" w:styleId="xl25">
    <w:name w:val="xl25"/>
    <w:basedOn w:val="a3"/>
    <w:qFormat/>
    <w:pPr>
      <w:widowControl/>
      <w:adjustRightInd w:val="0"/>
      <w:snapToGrid w:val="0"/>
      <w:spacing w:before="100" w:beforeAutospacing="1" w:after="100" w:afterAutospacing="1"/>
      <w:jc w:val="center"/>
    </w:pPr>
    <w:rPr>
      <w:rFonts w:ascii="宋体" w:hAnsi="宋体"/>
      <w:kern w:val="0"/>
      <w:szCs w:val="21"/>
    </w:rPr>
  </w:style>
  <w:style w:type="paragraph" w:customStyle="1" w:styleId="afffffffff7">
    <w:name w:val="新正文"/>
    <w:basedOn w:val="a3"/>
    <w:qFormat/>
    <w:pPr>
      <w:adjustRightInd w:val="0"/>
      <w:snapToGrid w:val="0"/>
      <w:spacing w:line="480" w:lineRule="exact"/>
      <w:ind w:firstLine="567"/>
    </w:pPr>
    <w:rPr>
      <w:rFonts w:ascii="仿宋_GB2312" w:eastAsia="仿宋_GB2312"/>
      <w:bCs/>
      <w:kern w:val="0"/>
      <w:sz w:val="28"/>
      <w:szCs w:val="20"/>
    </w:rPr>
  </w:style>
  <w:style w:type="paragraph" w:customStyle="1" w:styleId="xl118">
    <w:name w:val="xl118"/>
    <w:basedOn w:val="a3"/>
    <w:qFormat/>
    <w:pPr>
      <w:widowControl/>
      <w:pBdr>
        <w:left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CharCharCharCharCharCharCharCharChar1CharCharCharCharCharCharCharCharCharCharCharCharCharCharCharCharCharCharCharCharCharCharCharCharCharCharCharChar">
    <w:name w:val="Char Char Char Char Char Char Char Char Char1 Char Char Char Char Char Char Char Char Char Char Char Char Char Char Char Char Char Char Char Char Char Char Char Char Char Char Char Char"/>
    <w:basedOn w:val="1"/>
    <w:qFormat/>
    <w:pPr>
      <w:keepLines/>
      <w:overflowPunct/>
      <w:adjustRightInd w:val="0"/>
      <w:spacing w:before="240" w:after="240" w:line="348" w:lineRule="auto"/>
      <w:ind w:left="0" w:firstLine="0"/>
    </w:pPr>
    <w:rPr>
      <w:rFonts w:ascii="Tahoma" w:eastAsia="宋体" w:hAnsi="Tahoma"/>
      <w:bCs w:val="0"/>
      <w:color w:val="auto"/>
      <w:kern w:val="2"/>
      <w:sz w:val="24"/>
      <w:szCs w:val="20"/>
    </w:rPr>
  </w:style>
  <w:style w:type="paragraph" w:customStyle="1" w:styleId="2f2">
    <w:name w:val="样式 报告 + 首行缩进:  2 字符"/>
    <w:basedOn w:val="a3"/>
    <w:qFormat/>
    <w:pPr>
      <w:widowControl/>
      <w:overflowPunct w:val="0"/>
      <w:autoSpaceDE w:val="0"/>
      <w:autoSpaceDN w:val="0"/>
      <w:adjustRightInd w:val="0"/>
      <w:snapToGrid w:val="0"/>
      <w:spacing w:before="120" w:after="120" w:line="400" w:lineRule="atLeast"/>
      <w:ind w:firstLineChars="200" w:firstLine="480"/>
      <w:textAlignment w:val="baseline"/>
    </w:pPr>
    <w:rPr>
      <w:kern w:val="0"/>
      <w:sz w:val="24"/>
      <w:szCs w:val="20"/>
    </w:rPr>
  </w:style>
  <w:style w:type="paragraph" w:customStyle="1" w:styleId="01">
    <w:name w:val="正文01"/>
    <w:basedOn w:val="a3"/>
    <w:qFormat/>
    <w:pPr>
      <w:adjustRightInd w:val="0"/>
      <w:snapToGrid w:val="0"/>
      <w:spacing w:before="60" w:line="460" w:lineRule="exact"/>
      <w:ind w:firstLineChars="200" w:firstLine="200"/>
    </w:pPr>
    <w:rPr>
      <w:rFonts w:ascii="Arial" w:hAnsi="Arial"/>
      <w:kern w:val="0"/>
      <w:sz w:val="24"/>
    </w:rPr>
  </w:style>
  <w:style w:type="paragraph" w:customStyle="1" w:styleId="3111h3H3level3PIM3Level3HeadHeading3-ol1">
    <w:name w:val="样式 标题 3条标题1.1.1h3H3level_3PIM 3Level 3 HeadHeading 3 - ol...1"/>
    <w:basedOn w:val="3"/>
    <w:qFormat/>
    <w:pPr>
      <w:tabs>
        <w:tab w:val="left" w:pos="966"/>
        <w:tab w:val="left" w:pos="1020"/>
      </w:tabs>
      <w:adjustRightInd w:val="0"/>
      <w:snapToGrid w:val="0"/>
      <w:spacing w:beforeLines="50" w:before="50" w:afterLines="50" w:after="50" w:line="360" w:lineRule="auto"/>
      <w:ind w:left="1020" w:hanging="720"/>
      <w:jc w:val="left"/>
    </w:pPr>
    <w:rPr>
      <w:sz w:val="28"/>
    </w:rPr>
  </w:style>
  <w:style w:type="paragraph" w:customStyle="1" w:styleId="afffffffff8">
    <w:name w:val="a"/>
    <w:basedOn w:val="a3"/>
    <w:qFormat/>
    <w:pPr>
      <w:widowControl/>
      <w:adjustRightInd w:val="0"/>
      <w:snapToGrid w:val="0"/>
      <w:spacing w:before="100" w:beforeAutospacing="1" w:after="100" w:afterAutospacing="1"/>
      <w:jc w:val="left"/>
    </w:pPr>
    <w:rPr>
      <w:rFonts w:ascii="Arial Unicode MS" w:eastAsia="Arial Unicode MS" w:hAnsi="Arial Unicode MS" w:cs="Arial Unicode MS"/>
      <w:color w:val="000000"/>
      <w:kern w:val="0"/>
      <w:sz w:val="24"/>
    </w:rPr>
  </w:style>
  <w:style w:type="paragraph" w:customStyle="1" w:styleId="49">
    <w:name w:val="宏福4"/>
    <w:basedOn w:val="a3"/>
    <w:qFormat/>
    <w:pPr>
      <w:adjustRightInd w:val="0"/>
      <w:snapToGrid w:val="0"/>
      <w:spacing w:line="400" w:lineRule="atLeast"/>
      <w:ind w:firstLine="567"/>
      <w:jc w:val="left"/>
      <w:textAlignment w:val="baseline"/>
    </w:pPr>
    <w:rPr>
      <w:sz w:val="28"/>
      <w:szCs w:val="28"/>
    </w:rPr>
  </w:style>
  <w:style w:type="paragraph" w:customStyle="1" w:styleId="xl120">
    <w:name w:val="xl120"/>
    <w:basedOn w:val="a3"/>
    <w:qFormat/>
    <w:pPr>
      <w:widowControl/>
      <w:adjustRightInd w:val="0"/>
      <w:snapToGrid w:val="0"/>
      <w:spacing w:before="100" w:beforeAutospacing="1" w:after="100" w:afterAutospacing="1"/>
      <w:jc w:val="left"/>
      <w:textAlignment w:val="center"/>
    </w:pPr>
    <w:rPr>
      <w:rFonts w:ascii="Arial Unicode MS" w:hAnsi="Arial Unicode MS"/>
      <w:kern w:val="0"/>
      <w:sz w:val="12"/>
      <w:szCs w:val="12"/>
    </w:rPr>
  </w:style>
  <w:style w:type="paragraph" w:customStyle="1" w:styleId="2TimesNewRoman050">
    <w:name w:val="样式 样式 标题 2节 + (西文) Times New Roman (中文) 宋体 四号 段前: 0.5 行 段后: 0......"/>
    <w:basedOn w:val="a3"/>
    <w:qFormat/>
    <w:pPr>
      <w:keepNext/>
      <w:keepLines/>
      <w:numPr>
        <w:ilvl w:val="1"/>
        <w:numId w:val="2"/>
      </w:numPr>
      <w:tabs>
        <w:tab w:val="left" w:pos="0"/>
      </w:tabs>
      <w:adjustRightInd w:val="0"/>
      <w:snapToGrid w:val="0"/>
      <w:spacing w:beforeLines="50" w:before="156" w:line="500" w:lineRule="exact"/>
      <w:outlineLvl w:val="1"/>
    </w:pPr>
    <w:rPr>
      <w:b/>
      <w:bCs/>
      <w:sz w:val="30"/>
      <w:szCs w:val="30"/>
    </w:rPr>
  </w:style>
  <w:style w:type="paragraph" w:customStyle="1" w:styleId="afffffffff9">
    <w:name w:val="正文表标题"/>
    <w:next w:val="a3"/>
    <w:qFormat/>
    <w:pPr>
      <w:tabs>
        <w:tab w:val="left" w:pos="180"/>
      </w:tabs>
      <w:ind w:left="180" w:hanging="180"/>
      <w:jc w:val="center"/>
    </w:pPr>
    <w:rPr>
      <w:rFonts w:ascii="黑体" w:eastAsia="黑体"/>
      <w:sz w:val="21"/>
    </w:rPr>
  </w:style>
  <w:style w:type="paragraph" w:customStyle="1" w:styleId="xl86">
    <w:name w:val="xl86"/>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afffffffffa">
    <w:name w:val="封面标准文稿编辑信息"/>
    <w:qFormat/>
    <w:pPr>
      <w:spacing w:before="180" w:line="180" w:lineRule="exact"/>
      <w:jc w:val="center"/>
    </w:pPr>
    <w:rPr>
      <w:rFonts w:ascii="宋体"/>
      <w:sz w:val="21"/>
    </w:rPr>
  </w:style>
  <w:style w:type="paragraph" w:customStyle="1" w:styleId="afffffffffb">
    <w:name w:val="表名"/>
    <w:basedOn w:val="a3"/>
    <w:qFormat/>
    <w:pPr>
      <w:keepNext/>
      <w:adjustRightInd w:val="0"/>
      <w:snapToGrid w:val="0"/>
      <w:spacing w:beforeLines="50" w:before="156" w:line="400" w:lineRule="exact"/>
      <w:jc w:val="center"/>
    </w:pPr>
    <w:rPr>
      <w:rFonts w:ascii="Arial" w:eastAsia="黑体" w:hAnsi="Arial"/>
      <w:b/>
      <w:kern w:val="0"/>
      <w:sz w:val="24"/>
    </w:rPr>
  </w:style>
  <w:style w:type="paragraph" w:customStyle="1" w:styleId="xl69">
    <w:name w:val="xl69"/>
    <w:basedOn w:val="a3"/>
    <w:qFormat/>
    <w:pPr>
      <w:widowControl/>
      <w:pBdr>
        <w:bottom w:val="single" w:sz="12" w:space="0" w:color="auto"/>
      </w:pBdr>
      <w:adjustRightInd w:val="0"/>
      <w:snapToGrid w:val="0"/>
      <w:spacing w:before="100" w:beforeAutospacing="1" w:after="100" w:afterAutospacing="1"/>
      <w:jc w:val="left"/>
    </w:pPr>
    <w:rPr>
      <w:kern w:val="0"/>
      <w:sz w:val="12"/>
      <w:szCs w:val="12"/>
    </w:rPr>
  </w:style>
  <w:style w:type="paragraph" w:customStyle="1" w:styleId="xl165">
    <w:name w:val="xl165"/>
    <w:basedOn w:val="a3"/>
    <w:qFormat/>
    <w:pPr>
      <w:widowControl/>
      <w:pBdr>
        <w:top w:val="single" w:sz="12"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2Char1">
    <w:name w:val="2 Char"/>
    <w:basedOn w:val="a3"/>
    <w:next w:val="a3"/>
    <w:qFormat/>
    <w:pPr>
      <w:adjustRightInd w:val="0"/>
      <w:snapToGrid w:val="0"/>
      <w:spacing w:line="500" w:lineRule="exact"/>
      <w:ind w:firstLineChars="200" w:firstLine="200"/>
    </w:pPr>
    <w:rPr>
      <w:rFonts w:ascii="宋体" w:hAnsi="宋体" w:cs="宋体"/>
      <w:sz w:val="24"/>
      <w:szCs w:val="21"/>
    </w:rPr>
  </w:style>
  <w:style w:type="paragraph" w:customStyle="1" w:styleId="BodyText21">
    <w:name w:val="Body Text 21"/>
    <w:basedOn w:val="a3"/>
    <w:qFormat/>
    <w:pPr>
      <w:adjustRightInd w:val="0"/>
      <w:snapToGrid w:val="0"/>
      <w:textAlignment w:val="baseline"/>
    </w:pPr>
    <w:rPr>
      <w:color w:val="000000"/>
      <w:sz w:val="24"/>
      <w:szCs w:val="20"/>
    </w:rPr>
  </w:style>
  <w:style w:type="paragraph" w:customStyle="1" w:styleId="21051">
    <w:name w:val="样式 标题 2节 + 段前: 1 行 段后: 0.5 行1"/>
    <w:basedOn w:val="a3"/>
    <w:qFormat/>
    <w:pPr>
      <w:tabs>
        <w:tab w:val="left" w:pos="720"/>
      </w:tabs>
      <w:adjustRightInd w:val="0"/>
      <w:snapToGrid w:val="0"/>
    </w:pPr>
    <w:rPr>
      <w:szCs w:val="20"/>
    </w:rPr>
  </w:style>
  <w:style w:type="paragraph" w:customStyle="1" w:styleId="xl32">
    <w:name w:val="xl32"/>
    <w:basedOn w:val="a3"/>
    <w:qFormat/>
    <w:pPr>
      <w:widowControl/>
      <w:pBdr>
        <w:top w:val="single" w:sz="12" w:space="0" w:color="auto"/>
        <w:left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afffffffffc">
    <w:name w:val="正文小四 标准"/>
    <w:basedOn w:val="a3"/>
    <w:qFormat/>
    <w:pPr>
      <w:adjustRightInd w:val="0"/>
      <w:snapToGrid w:val="0"/>
      <w:spacing w:beforeLines="50" w:before="163" w:afterLines="50" w:after="163" w:line="500" w:lineRule="exact"/>
      <w:ind w:firstLineChars="200" w:firstLine="480"/>
    </w:pPr>
    <w:rPr>
      <w:sz w:val="24"/>
      <w:szCs w:val="20"/>
    </w:rPr>
  </w:style>
  <w:style w:type="paragraph" w:customStyle="1" w:styleId="xl45">
    <w:name w:val="xl45"/>
    <w:basedOn w:val="a3"/>
    <w:qFormat/>
    <w:pPr>
      <w:widowControl/>
      <w:pBdr>
        <w:bottom w:val="single" w:sz="12" w:space="0" w:color="auto"/>
        <w:right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5c">
    <w:name w:val="5级标题"/>
    <w:basedOn w:val="a3"/>
    <w:qFormat/>
    <w:pPr>
      <w:adjustRightInd w:val="0"/>
      <w:snapToGrid w:val="0"/>
      <w:spacing w:line="500" w:lineRule="exact"/>
      <w:jc w:val="left"/>
    </w:pPr>
    <w:rPr>
      <w:sz w:val="24"/>
      <w:szCs w:val="22"/>
    </w:rPr>
  </w:style>
  <w:style w:type="paragraph" w:customStyle="1" w:styleId="qilu">
    <w:name w:val="qilu"/>
    <w:basedOn w:val="a3"/>
    <w:qFormat/>
    <w:pPr>
      <w:autoSpaceDE w:val="0"/>
      <w:autoSpaceDN w:val="0"/>
      <w:adjustRightInd w:val="0"/>
      <w:snapToGrid w:val="0"/>
      <w:jc w:val="left"/>
      <w:textAlignment w:val="baseline"/>
    </w:pPr>
    <w:rPr>
      <w:rFonts w:ascii="宋体"/>
      <w:b/>
      <w:kern w:val="0"/>
      <w:sz w:val="28"/>
      <w:szCs w:val="20"/>
    </w:rPr>
  </w:style>
  <w:style w:type="paragraph" w:customStyle="1" w:styleId="word">
    <w:name w:val="word"/>
    <w:basedOn w:val="a3"/>
    <w:qFormat/>
    <w:pPr>
      <w:adjustRightInd w:val="0"/>
      <w:snapToGrid w:val="0"/>
      <w:spacing w:line="500" w:lineRule="exact"/>
      <w:ind w:firstLineChars="200" w:firstLine="480"/>
    </w:pPr>
    <w:rPr>
      <w:rFonts w:ascii="宋体" w:hAnsi="宋体"/>
      <w:color w:val="000000"/>
      <w:sz w:val="24"/>
    </w:rPr>
  </w:style>
  <w:style w:type="paragraph" w:customStyle="1" w:styleId="xl176">
    <w:name w:val="xl176"/>
    <w:basedOn w:val="a3"/>
    <w:qFormat/>
    <w:pPr>
      <w:widowControl/>
      <w:pBdr>
        <w:top w:val="single" w:sz="12" w:space="0" w:color="auto"/>
        <w:left w:val="single" w:sz="12"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xl89">
    <w:name w:val="xl89"/>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afffffffffd">
    <w:name w:val="小四表文左齐"/>
    <w:basedOn w:val="a3"/>
    <w:qFormat/>
    <w:pPr>
      <w:adjustRightInd w:val="0"/>
      <w:snapToGrid w:val="0"/>
      <w:jc w:val="center"/>
    </w:pPr>
    <w:rPr>
      <w:rFonts w:ascii="宋体" w:hAnsi="Arial Black"/>
      <w:szCs w:val="20"/>
    </w:rPr>
  </w:style>
  <w:style w:type="paragraph" w:customStyle="1" w:styleId="4TimesNewRoman">
    <w:name w:val="样式 标题 4 + (西文) Times New Roman (中文) 宋体 小四"/>
    <w:basedOn w:val="4"/>
    <w:qFormat/>
    <w:pPr>
      <w:tabs>
        <w:tab w:val="left" w:pos="1247"/>
      </w:tabs>
      <w:snapToGrid w:val="0"/>
      <w:spacing w:beforeLines="25" w:before="78" w:afterLines="25" w:after="78" w:line="480" w:lineRule="auto"/>
      <w:ind w:left="964" w:hanging="964"/>
    </w:pPr>
    <w:rPr>
      <w:rFonts w:ascii="楷体_GB2312" w:eastAsia="楷体_GB2312" w:hAnsi="Times New Roman"/>
      <w:b w:val="0"/>
      <w:bCs w:val="0"/>
      <w:sz w:val="24"/>
      <w:szCs w:val="24"/>
    </w:rPr>
  </w:style>
  <w:style w:type="paragraph" w:customStyle="1" w:styleId="IDCA-Head2ndLine">
    <w:name w:val="IDC A-Head (2nd Line)"/>
    <w:basedOn w:val="a3"/>
    <w:next w:val="a3"/>
    <w:qFormat/>
    <w:pPr>
      <w:widowControl/>
      <w:adjustRightInd w:val="0"/>
      <w:snapToGrid w:val="0"/>
      <w:jc w:val="center"/>
    </w:pPr>
    <w:rPr>
      <w:caps/>
      <w:kern w:val="0"/>
      <w:sz w:val="24"/>
      <w:szCs w:val="20"/>
    </w:rPr>
  </w:style>
  <w:style w:type="paragraph" w:customStyle="1" w:styleId="xl70">
    <w:name w:val="xl70"/>
    <w:basedOn w:val="a3"/>
    <w:qFormat/>
    <w:pPr>
      <w:widowControl/>
      <w:pBdr>
        <w:bottom w:val="single" w:sz="12" w:space="0" w:color="auto"/>
      </w:pBdr>
      <w:adjustRightInd w:val="0"/>
      <w:snapToGrid w:val="0"/>
      <w:spacing w:before="100" w:beforeAutospacing="1" w:after="100" w:afterAutospacing="1"/>
      <w:jc w:val="left"/>
      <w:textAlignment w:val="center"/>
    </w:pPr>
    <w:rPr>
      <w:rFonts w:ascii="Arial Unicode MS" w:hAnsi="Arial Unicode MS"/>
      <w:kern w:val="0"/>
      <w:sz w:val="12"/>
      <w:szCs w:val="12"/>
    </w:rPr>
  </w:style>
  <w:style w:type="paragraph" w:customStyle="1" w:styleId="111">
    <w:name w:val="样式11"/>
    <w:basedOn w:val="4"/>
    <w:qFormat/>
    <w:pPr>
      <w:tabs>
        <w:tab w:val="left" w:pos="0"/>
        <w:tab w:val="left" w:pos="1247"/>
      </w:tabs>
      <w:snapToGrid w:val="0"/>
      <w:spacing w:line="312" w:lineRule="auto"/>
      <w:ind w:left="3572" w:hanging="3572"/>
    </w:pPr>
    <w:rPr>
      <w:rFonts w:ascii="宋体" w:hAnsi="宋体"/>
      <w:color w:val="000000"/>
      <w:sz w:val="24"/>
      <w:szCs w:val="24"/>
    </w:rPr>
  </w:style>
  <w:style w:type="paragraph" w:customStyle="1" w:styleId="afffffffffe">
    <w:name w:val="图文框"/>
    <w:basedOn w:val="a3"/>
    <w:qFormat/>
    <w:pPr>
      <w:adjustRightInd w:val="0"/>
      <w:snapToGrid w:val="0"/>
      <w:ind w:right="-108"/>
      <w:jc w:val="center"/>
    </w:pPr>
    <w:rPr>
      <w:rFonts w:eastAsia="仿宋_GB2312"/>
      <w:color w:val="000000"/>
      <w:sz w:val="18"/>
      <w:szCs w:val="18"/>
    </w:rPr>
  </w:style>
  <w:style w:type="paragraph" w:customStyle="1" w:styleId="CharCharChar2Char">
    <w:name w:val="Char Char Char2 Char"/>
    <w:basedOn w:val="a3"/>
    <w:semiHidden/>
    <w:qFormat/>
    <w:pPr>
      <w:tabs>
        <w:tab w:val="left" w:pos="360"/>
      </w:tabs>
      <w:adjustRightInd w:val="0"/>
      <w:snapToGrid w:val="0"/>
    </w:pPr>
  </w:style>
  <w:style w:type="paragraph" w:customStyle="1" w:styleId="CharCharCharCharCharChar1">
    <w:name w:val="Char Char Char Char Char Char1"/>
    <w:basedOn w:val="a3"/>
    <w:qFormat/>
    <w:pPr>
      <w:adjustRightInd w:val="0"/>
      <w:snapToGrid w:val="0"/>
    </w:pPr>
    <w:rPr>
      <w:sz w:val="24"/>
    </w:rPr>
  </w:style>
  <w:style w:type="paragraph" w:customStyle="1" w:styleId="xl109">
    <w:name w:val="xl109"/>
    <w:basedOn w:val="a3"/>
    <w:qFormat/>
    <w:pPr>
      <w:widowControl/>
      <w:pBdr>
        <w:top w:val="single" w:sz="12" w:space="0" w:color="auto"/>
        <w:bottom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91">
    <w:name w:val="xl91"/>
    <w:basedOn w:val="a3"/>
    <w:qFormat/>
    <w:pPr>
      <w:widowControl/>
      <w:pBdr>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Style1">
    <w:name w:val="_Style 1"/>
    <w:basedOn w:val="a3"/>
    <w:next w:val="ad"/>
    <w:qFormat/>
    <w:pPr>
      <w:adjustRightInd w:val="0"/>
      <w:snapToGrid w:val="0"/>
      <w:spacing w:line="288" w:lineRule="auto"/>
      <w:ind w:firstLine="480"/>
      <w:textAlignment w:val="baseline"/>
    </w:pPr>
    <w:rPr>
      <w:rFonts w:ascii="宋体" w:hAnsi="宋体" w:cs="宋体"/>
      <w:sz w:val="24"/>
    </w:rPr>
  </w:style>
  <w:style w:type="paragraph" w:customStyle="1" w:styleId="affffffffff">
    <w:name w:val="注解"/>
    <w:qFormat/>
    <w:pPr>
      <w:widowControl w:val="0"/>
      <w:jc w:val="center"/>
    </w:pPr>
    <w:rPr>
      <w:rFonts w:ascii="宋体" w:hAnsi="Arial Black"/>
      <w:kern w:val="2"/>
      <w:sz w:val="18"/>
    </w:rPr>
  </w:style>
  <w:style w:type="paragraph" w:customStyle="1" w:styleId="xl125">
    <w:name w:val="xl125"/>
    <w:basedOn w:val="a3"/>
    <w:qFormat/>
    <w:pPr>
      <w:widowControl/>
      <w:adjustRightInd w:val="0"/>
      <w:snapToGrid w:val="0"/>
      <w:spacing w:before="100" w:beforeAutospacing="1" w:after="100" w:afterAutospacing="1"/>
      <w:jc w:val="left"/>
      <w:textAlignment w:val="center"/>
    </w:pPr>
    <w:rPr>
      <w:rFonts w:ascii="Arial Unicode MS" w:hAnsi="Arial Unicode MS"/>
      <w:kern w:val="0"/>
      <w:sz w:val="16"/>
      <w:szCs w:val="16"/>
    </w:rPr>
  </w:style>
  <w:style w:type="paragraph" w:customStyle="1" w:styleId="xl146">
    <w:name w:val="xl146"/>
    <w:basedOn w:val="a3"/>
    <w:qFormat/>
    <w:pPr>
      <w:widowControl/>
      <w:adjustRightInd w:val="0"/>
      <w:snapToGrid w:val="0"/>
      <w:spacing w:before="100" w:beforeAutospacing="1" w:after="100" w:afterAutospacing="1"/>
      <w:jc w:val="left"/>
    </w:pPr>
    <w:rPr>
      <w:rFonts w:ascii="Arial Unicode MS" w:hAnsi="Arial Unicode MS"/>
      <w:kern w:val="0"/>
      <w:sz w:val="16"/>
      <w:szCs w:val="16"/>
    </w:rPr>
  </w:style>
  <w:style w:type="paragraph" w:customStyle="1" w:styleId="affffffffff0">
    <w:name w:val="环表头"/>
    <w:basedOn w:val="a3"/>
    <w:qFormat/>
    <w:pPr>
      <w:widowControl/>
      <w:tabs>
        <w:tab w:val="left" w:pos="283"/>
        <w:tab w:val="left" w:pos="5094"/>
      </w:tabs>
      <w:adjustRightInd w:val="0"/>
      <w:snapToGrid w:val="0"/>
      <w:spacing w:line="500" w:lineRule="exact"/>
      <w:ind w:firstLineChars="200" w:firstLine="560"/>
      <w:jc w:val="left"/>
      <w:textAlignment w:val="baseline"/>
    </w:pPr>
    <w:rPr>
      <w:rFonts w:ascii="仿宋_GB2312" w:eastAsia="仿宋_GB2312" w:hAnsi="宋体"/>
      <w:bCs/>
      <w:kern w:val="24"/>
      <w:sz w:val="28"/>
      <w:szCs w:val="28"/>
    </w:rPr>
  </w:style>
  <w:style w:type="paragraph" w:customStyle="1" w:styleId="affffffffff1">
    <w:name w:val="基准页脚样式"/>
    <w:basedOn w:val="afc"/>
    <w:qFormat/>
    <w:pPr>
      <w:adjustRightInd w:val="0"/>
      <w:snapToGrid w:val="0"/>
      <w:spacing w:after="0" w:line="320" w:lineRule="exact"/>
      <w:jc w:val="center"/>
    </w:pPr>
    <w:rPr>
      <w:color w:val="000000"/>
      <w:szCs w:val="21"/>
    </w:rPr>
  </w:style>
  <w:style w:type="paragraph" w:customStyle="1" w:styleId="xl52">
    <w:name w:val="xl52"/>
    <w:basedOn w:val="a3"/>
    <w:qFormat/>
    <w:pPr>
      <w:widowControl/>
      <w:pBdr>
        <w:top w:val="single" w:sz="12" w:space="0" w:color="auto"/>
        <w:left w:val="single" w:sz="12" w:space="0" w:color="auto"/>
        <w:right w:val="single" w:sz="4"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Char30">
    <w:name w:val="Char3"/>
    <w:basedOn w:val="a3"/>
    <w:qFormat/>
    <w:pPr>
      <w:adjustRightInd w:val="0"/>
      <w:snapToGrid w:val="0"/>
      <w:spacing w:line="240" w:lineRule="exact"/>
      <w:ind w:firstLineChars="200" w:firstLine="200"/>
    </w:pPr>
    <w:rPr>
      <w:sz w:val="28"/>
      <w:szCs w:val="28"/>
    </w:rPr>
  </w:style>
  <w:style w:type="paragraph" w:customStyle="1" w:styleId="xl190">
    <w:name w:val="xl190"/>
    <w:basedOn w:val="a3"/>
    <w:qFormat/>
    <w:pPr>
      <w:widowControl/>
      <w:pBdr>
        <w:top w:val="single" w:sz="12" w:space="0" w:color="auto"/>
      </w:pBdr>
      <w:adjustRightInd w:val="0"/>
      <w:snapToGrid w:val="0"/>
      <w:spacing w:before="100" w:beforeAutospacing="1" w:after="100" w:afterAutospacing="1"/>
      <w:jc w:val="left"/>
      <w:textAlignment w:val="center"/>
    </w:pPr>
    <w:rPr>
      <w:rFonts w:ascii="Arial Unicode MS" w:hAnsi="Arial Unicode MS"/>
      <w:kern w:val="0"/>
      <w:sz w:val="12"/>
      <w:szCs w:val="12"/>
    </w:rPr>
  </w:style>
  <w:style w:type="paragraph" w:customStyle="1" w:styleId="xl48">
    <w:name w:val="xl48"/>
    <w:basedOn w:val="a3"/>
    <w:qFormat/>
    <w:pPr>
      <w:widowControl/>
      <w:pBdr>
        <w:left w:val="single" w:sz="12" w:space="0" w:color="auto"/>
        <w:bottom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74">
    <w:name w:val="xl74"/>
    <w:basedOn w:val="a3"/>
    <w:qFormat/>
    <w:pPr>
      <w:widowControl/>
      <w:pBdr>
        <w:bottom w:val="single" w:sz="12" w:space="0" w:color="auto"/>
      </w:pBdr>
      <w:adjustRightInd w:val="0"/>
      <w:snapToGrid w:val="0"/>
      <w:spacing w:before="100" w:beforeAutospacing="1" w:after="100" w:afterAutospacing="1"/>
      <w:jc w:val="left"/>
    </w:pPr>
    <w:rPr>
      <w:rFonts w:ascii="Arial Unicode MS" w:hAnsi="Arial Unicode MS"/>
      <w:kern w:val="0"/>
      <w:sz w:val="12"/>
      <w:szCs w:val="12"/>
    </w:rPr>
  </w:style>
  <w:style w:type="paragraph" w:customStyle="1" w:styleId="affffffffff2">
    <w:name w:val="样式 正文（首行缩进两字） + 宋体"/>
    <w:basedOn w:val="ad"/>
    <w:qFormat/>
    <w:pPr>
      <w:ind w:firstLineChars="0" w:firstLine="0"/>
    </w:pPr>
  </w:style>
  <w:style w:type="paragraph" w:customStyle="1" w:styleId="CharChar1Char">
    <w:name w:val="Char Char1 Char"/>
    <w:basedOn w:val="a3"/>
    <w:qFormat/>
    <w:pPr>
      <w:adjustRightInd w:val="0"/>
      <w:snapToGrid w:val="0"/>
    </w:pPr>
    <w:rPr>
      <w:sz w:val="24"/>
    </w:rPr>
  </w:style>
  <w:style w:type="paragraph" w:customStyle="1" w:styleId="affffffffff3">
    <w:name w:val="表中文字"/>
    <w:basedOn w:val="a3"/>
    <w:qFormat/>
    <w:pPr>
      <w:adjustRightInd w:val="0"/>
      <w:snapToGrid w:val="0"/>
    </w:pPr>
    <w:rPr>
      <w:szCs w:val="20"/>
    </w:rPr>
  </w:style>
  <w:style w:type="paragraph" w:customStyle="1" w:styleId="412">
    <w:name w:val="小4黑居中行1"/>
    <w:qFormat/>
    <w:pPr>
      <w:spacing w:line="360" w:lineRule="auto"/>
      <w:jc w:val="center"/>
    </w:pPr>
    <w:rPr>
      <w:kern w:val="2"/>
      <w:sz w:val="21"/>
    </w:rPr>
  </w:style>
  <w:style w:type="paragraph" w:customStyle="1" w:styleId="xl167">
    <w:name w:val="xl167"/>
    <w:basedOn w:val="a3"/>
    <w:qFormat/>
    <w:pPr>
      <w:widowControl/>
      <w:pBdr>
        <w:bottom w:val="single" w:sz="12"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xl83">
    <w:name w:val="xl83"/>
    <w:basedOn w:val="a3"/>
    <w:qFormat/>
    <w:pPr>
      <w:widowControl/>
      <w:pBdr>
        <w:top w:val="single" w:sz="12" w:space="0" w:color="auto"/>
        <w:left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40">
    <w:name w:val="xl40"/>
    <w:basedOn w:val="a3"/>
    <w:qFormat/>
    <w:pPr>
      <w:widowControl/>
      <w:pBdr>
        <w:top w:val="single" w:sz="12" w:space="0" w:color="auto"/>
        <w:right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ffff4">
    <w:name w:val="正文图标题"/>
    <w:next w:val="a3"/>
    <w:qFormat/>
    <w:pPr>
      <w:tabs>
        <w:tab w:val="left" w:pos="270"/>
      </w:tabs>
      <w:ind w:left="270" w:hanging="270"/>
      <w:jc w:val="center"/>
    </w:pPr>
    <w:rPr>
      <w:rFonts w:ascii="黑体" w:eastAsia="黑体"/>
      <w:sz w:val="21"/>
    </w:rPr>
  </w:style>
  <w:style w:type="paragraph" w:customStyle="1" w:styleId="xl132">
    <w:name w:val="xl132"/>
    <w:basedOn w:val="a3"/>
    <w:qFormat/>
    <w:pPr>
      <w:widowControl/>
      <w:pBdr>
        <w:top w:val="single" w:sz="12" w:space="0" w:color="auto"/>
        <w:left w:val="single" w:sz="4"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4a">
    <w:name w:val="样式4"/>
    <w:basedOn w:val="afc"/>
    <w:qFormat/>
    <w:pPr>
      <w:adjustRightInd w:val="0"/>
      <w:snapToGrid w:val="0"/>
      <w:spacing w:after="0" w:line="460" w:lineRule="exact"/>
      <w:ind w:rightChars="-50" w:right="-105"/>
      <w:jc w:val="center"/>
    </w:pPr>
    <w:rPr>
      <w:rFonts w:hAnsi="宋体"/>
      <w:color w:val="000000"/>
      <w:sz w:val="24"/>
    </w:rPr>
  </w:style>
  <w:style w:type="paragraph" w:customStyle="1" w:styleId="xl97">
    <w:name w:val="xl97"/>
    <w:basedOn w:val="a3"/>
    <w:qFormat/>
    <w:pPr>
      <w:widowControl/>
      <w:pBdr>
        <w:top w:val="single" w:sz="12" w:space="0" w:color="auto"/>
        <w:right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158">
    <w:name w:val="xl158"/>
    <w:basedOn w:val="a3"/>
    <w:qFormat/>
    <w:pPr>
      <w:widowControl/>
      <w:pBdr>
        <w:bottom w:val="single" w:sz="8" w:space="0" w:color="auto"/>
        <w:right w:val="single" w:sz="4"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76">
    <w:name w:val="xl76"/>
    <w:basedOn w:val="a3"/>
    <w:qFormat/>
    <w:pPr>
      <w:widowControl/>
      <w:adjustRightInd w:val="0"/>
      <w:snapToGrid w:val="0"/>
      <w:spacing w:before="100" w:beforeAutospacing="1" w:after="100" w:afterAutospacing="1"/>
      <w:jc w:val="left"/>
    </w:pPr>
    <w:rPr>
      <w:rFonts w:ascii="Arial Unicode MS" w:hAnsi="Arial Unicode MS"/>
      <w:kern w:val="0"/>
      <w:sz w:val="16"/>
      <w:szCs w:val="16"/>
    </w:rPr>
  </w:style>
  <w:style w:type="paragraph" w:customStyle="1" w:styleId="affffffffff5">
    <w:name w:val="页眉左"/>
    <w:basedOn w:val="aff9"/>
    <w:qFormat/>
    <w:pPr>
      <w:pBdr>
        <w:bottom w:val="none" w:sz="0" w:space="0" w:color="auto"/>
      </w:pBdr>
      <w:adjustRightInd w:val="0"/>
      <w:snapToGrid/>
      <w:spacing w:before="60" w:after="60" w:line="240" w:lineRule="atLeast"/>
      <w:jc w:val="left"/>
      <w:textAlignment w:val="baseline"/>
    </w:pPr>
    <w:rPr>
      <w:kern w:val="0"/>
      <w:sz w:val="22"/>
      <w:szCs w:val="20"/>
      <w:lang w:val="en-GB"/>
    </w:rPr>
  </w:style>
  <w:style w:type="paragraph" w:customStyle="1" w:styleId="xl98">
    <w:name w:val="xl98"/>
    <w:basedOn w:val="a3"/>
    <w:qFormat/>
    <w:pPr>
      <w:widowControl/>
      <w:pBdr>
        <w:right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font9">
    <w:name w:val="font9"/>
    <w:basedOn w:val="a3"/>
    <w:qFormat/>
    <w:pPr>
      <w:widowControl/>
      <w:adjustRightInd w:val="0"/>
      <w:snapToGrid w:val="0"/>
      <w:spacing w:before="100" w:beforeAutospacing="1" w:after="100" w:afterAutospacing="1"/>
      <w:jc w:val="left"/>
    </w:pPr>
    <w:rPr>
      <w:kern w:val="0"/>
      <w:sz w:val="24"/>
    </w:rPr>
  </w:style>
  <w:style w:type="paragraph" w:customStyle="1" w:styleId="xl22">
    <w:name w:val="xl22"/>
    <w:basedOn w:val="a3"/>
    <w:qFormat/>
    <w:pPr>
      <w:widowControl/>
      <w:pBdr>
        <w:bottom w:val="single" w:sz="12"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xl71">
    <w:name w:val="xl71"/>
    <w:basedOn w:val="a3"/>
    <w:qFormat/>
    <w:pPr>
      <w:widowControl/>
      <w:adjustRightInd w:val="0"/>
      <w:snapToGrid w:val="0"/>
      <w:spacing w:before="100" w:beforeAutospacing="1" w:after="100" w:afterAutospacing="1"/>
      <w:jc w:val="left"/>
    </w:pPr>
    <w:rPr>
      <w:rFonts w:ascii="Arial Unicode MS" w:hAnsi="Arial Unicode MS"/>
      <w:kern w:val="0"/>
      <w:sz w:val="16"/>
      <w:szCs w:val="16"/>
    </w:rPr>
  </w:style>
  <w:style w:type="paragraph" w:customStyle="1" w:styleId="4b">
    <w:name w:val="正文4"/>
    <w:basedOn w:val="a3"/>
    <w:qFormat/>
    <w:pPr>
      <w:adjustRightInd w:val="0"/>
      <w:snapToGrid w:val="0"/>
      <w:spacing w:line="440" w:lineRule="exact"/>
    </w:pPr>
    <w:rPr>
      <w:szCs w:val="20"/>
    </w:rPr>
  </w:style>
  <w:style w:type="paragraph" w:customStyle="1" w:styleId="64">
    <w:name w:val="6"/>
    <w:basedOn w:val="a3"/>
    <w:next w:val="26"/>
    <w:qFormat/>
    <w:pPr>
      <w:adjustRightInd w:val="0"/>
      <w:snapToGrid w:val="0"/>
      <w:spacing w:after="120" w:line="480" w:lineRule="auto"/>
    </w:pPr>
  </w:style>
  <w:style w:type="paragraph" w:customStyle="1" w:styleId="2f3">
    <w:name w:val="封面标准号2"/>
    <w:basedOn w:val="a3"/>
    <w:qFormat/>
    <w:pPr>
      <w:framePr w:w="9138" w:h="1244" w:hRule="exact" w:wrap="around" w:vAnchor="page" w:hAnchor="margin" w:y="2908" w:anchorLock="1"/>
      <w:kinsoku w:val="0"/>
      <w:overflowPunct w:val="0"/>
      <w:autoSpaceDE w:val="0"/>
      <w:autoSpaceDN w:val="0"/>
      <w:adjustRightInd w:val="0"/>
      <w:snapToGrid w:val="0"/>
      <w:spacing w:before="357" w:line="280" w:lineRule="exact"/>
      <w:jc w:val="right"/>
      <w:textAlignment w:val="center"/>
    </w:pPr>
    <w:rPr>
      <w:kern w:val="0"/>
      <w:sz w:val="28"/>
      <w:szCs w:val="20"/>
    </w:rPr>
  </w:style>
  <w:style w:type="paragraph" w:customStyle="1" w:styleId="affffffffff6">
    <w:name w:val="新正文样式"/>
    <w:basedOn w:val="a3"/>
    <w:qFormat/>
    <w:pPr>
      <w:tabs>
        <w:tab w:val="left" w:pos="567"/>
      </w:tabs>
      <w:adjustRightInd w:val="0"/>
      <w:snapToGrid w:val="0"/>
      <w:spacing w:line="500" w:lineRule="exact"/>
      <w:ind w:firstLine="567"/>
    </w:pPr>
    <w:rPr>
      <w:spacing w:val="20"/>
      <w:sz w:val="24"/>
    </w:rPr>
  </w:style>
  <w:style w:type="paragraph" w:customStyle="1" w:styleId="xl33">
    <w:name w:val="xl33"/>
    <w:basedOn w:val="a3"/>
    <w:qFormat/>
    <w:pPr>
      <w:widowControl/>
      <w:pBdr>
        <w:top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2f4">
    <w:name w:val="样式2"/>
    <w:basedOn w:val="1b"/>
    <w:qFormat/>
    <w:pPr>
      <w:spacing w:before="60" w:after="60"/>
    </w:pPr>
    <w:rPr>
      <w:b/>
    </w:rPr>
  </w:style>
  <w:style w:type="paragraph" w:customStyle="1" w:styleId="affffffffff7">
    <w:name w:val="表格正文"/>
    <w:basedOn w:val="ad"/>
    <w:qFormat/>
    <w:pPr>
      <w:ind w:firstLineChars="0" w:firstLine="0"/>
    </w:pPr>
    <w:rPr>
      <w:color w:val="000000"/>
      <w:spacing w:val="12"/>
      <w:sz w:val="24"/>
      <w:szCs w:val="20"/>
    </w:rPr>
  </w:style>
  <w:style w:type="paragraph" w:customStyle="1" w:styleId="xl28">
    <w:name w:val="xl28"/>
    <w:basedOn w:val="a3"/>
    <w:qFormat/>
    <w:pPr>
      <w:widowControl/>
      <w:pBdr>
        <w:left w:val="single" w:sz="4" w:space="0" w:color="auto"/>
        <w:bottom w:val="single" w:sz="4" w:space="0" w:color="auto"/>
        <w:right w:val="single" w:sz="4" w:space="0" w:color="auto"/>
      </w:pBdr>
      <w:adjustRightInd w:val="0"/>
      <w:snapToGrid w:val="0"/>
      <w:spacing w:before="100" w:beforeAutospacing="1" w:after="100" w:afterAutospacing="1"/>
      <w:jc w:val="center"/>
    </w:pPr>
    <w:rPr>
      <w:rFonts w:ascii="宋体" w:hAnsi="宋体" w:cs="宋体"/>
      <w:kern w:val="0"/>
      <w:szCs w:val="21"/>
    </w:rPr>
  </w:style>
  <w:style w:type="paragraph" w:customStyle="1" w:styleId="affffffffff8">
    <w:name w:val="注："/>
    <w:next w:val="a3"/>
    <w:qFormat/>
    <w:pPr>
      <w:widowControl w:val="0"/>
      <w:autoSpaceDE w:val="0"/>
      <w:autoSpaceDN w:val="0"/>
      <w:ind w:left="1134" w:hanging="567"/>
      <w:jc w:val="both"/>
    </w:pPr>
    <w:rPr>
      <w:rFonts w:ascii="宋体"/>
      <w:sz w:val="18"/>
    </w:rPr>
  </w:style>
  <w:style w:type="paragraph" w:customStyle="1" w:styleId="xl166">
    <w:name w:val="xl166"/>
    <w:basedOn w:val="a3"/>
    <w:qFormat/>
    <w:pPr>
      <w:widowControl/>
      <w:pBdr>
        <w:left w:val="single" w:sz="12" w:space="0" w:color="auto"/>
        <w:bottom w:val="single" w:sz="12"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affffffffff9">
    <w:name w:val="表前文字"/>
    <w:basedOn w:val="a3"/>
    <w:qFormat/>
    <w:pPr>
      <w:adjustRightInd w:val="0"/>
      <w:snapToGrid w:val="0"/>
      <w:jc w:val="center"/>
    </w:pPr>
    <w:rPr>
      <w:rFonts w:ascii="宋体" w:hAnsi="宋体"/>
      <w:sz w:val="24"/>
      <w:szCs w:val="21"/>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a3"/>
    <w:qFormat/>
    <w:pPr>
      <w:adjustRightInd w:val="0"/>
      <w:snapToGrid w:val="0"/>
    </w:pPr>
    <w:rPr>
      <w:szCs w:val="21"/>
    </w:rPr>
  </w:style>
  <w:style w:type="paragraph" w:customStyle="1" w:styleId="xl175">
    <w:name w:val="xl175"/>
    <w:basedOn w:val="a3"/>
    <w:qFormat/>
    <w:pPr>
      <w:widowControl/>
      <w:pBdr>
        <w:left w:val="single" w:sz="12" w:space="0" w:color="auto"/>
        <w:right w:val="single" w:sz="4"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xl113">
    <w:name w:val="xl113"/>
    <w:basedOn w:val="a3"/>
    <w:qFormat/>
    <w:pPr>
      <w:widowControl/>
      <w:pBdr>
        <w:top w:val="single" w:sz="8" w:space="0" w:color="auto"/>
        <w:bottom w:val="single" w:sz="12"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197">
    <w:name w:val="xl197"/>
    <w:basedOn w:val="a3"/>
    <w:qFormat/>
    <w:pPr>
      <w:widowControl/>
      <w:pBdr>
        <w:left w:val="single" w:sz="4" w:space="0" w:color="auto"/>
        <w:bottom w:val="single" w:sz="8" w:space="0" w:color="auto"/>
        <w:right w:val="single" w:sz="4" w:space="0" w:color="auto"/>
      </w:pBdr>
      <w:adjustRightInd w:val="0"/>
      <w:snapToGrid w:val="0"/>
      <w:spacing w:before="100" w:beforeAutospacing="1" w:after="100" w:afterAutospacing="1"/>
      <w:jc w:val="center"/>
    </w:pPr>
    <w:rPr>
      <w:rFonts w:ascii="Arial Unicode MS" w:hAnsi="Arial Unicode MS"/>
      <w:kern w:val="0"/>
    </w:rPr>
  </w:style>
  <w:style w:type="paragraph" w:customStyle="1" w:styleId="affffffffffa">
    <w:name w:val="图表文字"/>
    <w:basedOn w:val="a3"/>
    <w:qFormat/>
    <w:pPr>
      <w:adjustRightInd w:val="0"/>
      <w:snapToGrid w:val="0"/>
      <w:spacing w:line="360" w:lineRule="atLeast"/>
      <w:jc w:val="center"/>
    </w:pPr>
    <w:rPr>
      <w:rFonts w:ascii="宋体"/>
      <w:spacing w:val="16"/>
      <w:szCs w:val="20"/>
    </w:rPr>
  </w:style>
  <w:style w:type="paragraph" w:customStyle="1" w:styleId="affffffffffb">
    <w:name w:val="条题"/>
    <w:basedOn w:val="a3"/>
    <w:qFormat/>
    <w:pPr>
      <w:tabs>
        <w:tab w:val="left" w:pos="360"/>
      </w:tabs>
      <w:adjustRightInd w:val="0"/>
      <w:snapToGrid w:val="0"/>
      <w:spacing w:line="420" w:lineRule="exact"/>
      <w:ind w:firstLineChars="200" w:firstLine="560"/>
    </w:pPr>
    <w:rPr>
      <w:sz w:val="24"/>
      <w:szCs w:val="20"/>
    </w:rPr>
  </w:style>
  <w:style w:type="paragraph" w:customStyle="1" w:styleId="xl72">
    <w:name w:val="xl72"/>
    <w:basedOn w:val="a3"/>
    <w:qFormat/>
    <w:pPr>
      <w:widowControl/>
      <w:adjustRightInd w:val="0"/>
      <w:snapToGrid w:val="0"/>
      <w:spacing w:before="100" w:beforeAutospacing="1" w:after="100" w:afterAutospacing="1"/>
      <w:jc w:val="left"/>
    </w:pPr>
    <w:rPr>
      <w:rFonts w:ascii="Arial Unicode MS" w:hAnsi="Arial Unicode MS"/>
      <w:kern w:val="0"/>
      <w:sz w:val="12"/>
      <w:szCs w:val="12"/>
    </w:rPr>
  </w:style>
  <w:style w:type="paragraph" w:customStyle="1" w:styleId="xl133">
    <w:name w:val="xl133"/>
    <w:basedOn w:val="a3"/>
    <w:qFormat/>
    <w:pPr>
      <w:widowControl/>
      <w:pBdr>
        <w:right w:val="single" w:sz="4" w:space="0" w:color="auto"/>
      </w:pBdr>
      <w:adjustRightInd w:val="0"/>
      <w:snapToGrid w:val="0"/>
      <w:spacing w:before="100" w:beforeAutospacing="1" w:after="100" w:afterAutospacing="1"/>
      <w:jc w:val="center"/>
    </w:pPr>
    <w:rPr>
      <w:rFonts w:ascii="Arial Unicode MS" w:hAnsi="Arial Unicode MS"/>
      <w:kern w:val="0"/>
      <w:sz w:val="12"/>
      <w:szCs w:val="12"/>
    </w:rPr>
  </w:style>
  <w:style w:type="paragraph" w:customStyle="1" w:styleId="CharCharChar1Char1CharCharChar">
    <w:name w:val="Char Char Char1 Char1 Char Char Char"/>
    <w:basedOn w:val="a3"/>
    <w:qFormat/>
    <w:pPr>
      <w:adjustRightInd w:val="0"/>
      <w:snapToGrid w:val="0"/>
    </w:pPr>
  </w:style>
  <w:style w:type="paragraph" w:customStyle="1" w:styleId="xl161">
    <w:name w:val="xl161"/>
    <w:basedOn w:val="a3"/>
    <w:qFormat/>
    <w:pPr>
      <w:widowControl/>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affffffffffc">
    <w:name w:val="字元"/>
    <w:basedOn w:val="a3"/>
    <w:qFormat/>
    <w:pPr>
      <w:adjustRightInd w:val="0"/>
      <w:snapToGrid w:val="0"/>
    </w:pPr>
    <w:rPr>
      <w:sz w:val="24"/>
    </w:rPr>
  </w:style>
  <w:style w:type="paragraph" w:customStyle="1" w:styleId="affffffffffd">
    <w:name w:val="图注"/>
    <w:basedOn w:val="a3"/>
    <w:next w:val="a3"/>
    <w:qFormat/>
    <w:pPr>
      <w:adjustRightInd w:val="0"/>
      <w:snapToGrid w:val="0"/>
      <w:spacing w:before="120" w:line="320" w:lineRule="atLeast"/>
      <w:ind w:leftChars="-27" w:left="7" w:hangingChars="30" w:hanging="72"/>
      <w:jc w:val="center"/>
    </w:pPr>
    <w:rPr>
      <w:rFonts w:ascii="宋体" w:hAnsi="宋体"/>
      <w:bCs/>
      <w:color w:val="000000"/>
      <w:kern w:val="0"/>
      <w:sz w:val="24"/>
    </w:rPr>
  </w:style>
  <w:style w:type="paragraph" w:customStyle="1" w:styleId="xl149">
    <w:name w:val="xl149"/>
    <w:basedOn w:val="a3"/>
    <w:qFormat/>
    <w:pPr>
      <w:widowControl/>
      <w:pBdr>
        <w:bottom w:val="single" w:sz="8" w:space="0" w:color="auto"/>
        <w:right w:val="single" w:sz="4"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affffffffffe">
    <w:name w:val="缩进正文"/>
    <w:basedOn w:val="afd"/>
    <w:qFormat/>
    <w:pPr>
      <w:spacing w:after="0" w:line="420" w:lineRule="exact"/>
      <w:ind w:leftChars="0" w:left="0" w:firstLine="567"/>
    </w:pPr>
    <w:rPr>
      <w:rFonts w:ascii="宋体" w:hAnsi="Juice ITC"/>
      <w:sz w:val="28"/>
    </w:rPr>
  </w:style>
  <w:style w:type="paragraph" w:customStyle="1" w:styleId="2f5">
    <w:name w:val="样式 标题 2"/>
    <w:basedOn w:val="3"/>
    <w:qFormat/>
    <w:pPr>
      <w:tabs>
        <w:tab w:val="left" w:pos="0"/>
      </w:tabs>
      <w:adjustRightInd w:val="0"/>
      <w:snapToGrid w:val="0"/>
      <w:spacing w:before="0" w:after="0" w:line="360" w:lineRule="auto"/>
    </w:pPr>
    <w:rPr>
      <w:rFonts w:ascii="仿宋_GB2312" w:eastAsia="仿宋_GB2312" w:hAnsi="仿宋_GB2312"/>
      <w:b w:val="0"/>
      <w:bCs w:val="0"/>
      <w:kern w:val="21"/>
      <w:sz w:val="28"/>
      <w:szCs w:val="20"/>
    </w:rPr>
  </w:style>
  <w:style w:type="paragraph" w:customStyle="1" w:styleId="121">
    <w:name w:val="12点"/>
    <w:basedOn w:val="a3"/>
    <w:qFormat/>
    <w:pPr>
      <w:adjustRightInd w:val="0"/>
      <w:snapToGrid w:val="0"/>
      <w:spacing w:line="300" w:lineRule="auto"/>
      <w:ind w:firstLineChars="200" w:firstLine="560"/>
    </w:pPr>
    <w:rPr>
      <w:rFonts w:ascii="宋体" w:hAnsi="宋体"/>
      <w:sz w:val="28"/>
      <w:szCs w:val="28"/>
    </w:rPr>
  </w:style>
  <w:style w:type="paragraph" w:customStyle="1" w:styleId="150">
    <w:name w:val="样式 行距: 1.5 倍行距"/>
    <w:basedOn w:val="a3"/>
    <w:qFormat/>
    <w:pPr>
      <w:adjustRightInd w:val="0"/>
      <w:snapToGrid w:val="0"/>
      <w:spacing w:line="500" w:lineRule="exact"/>
      <w:ind w:firstLineChars="200" w:firstLine="480"/>
    </w:pPr>
    <w:rPr>
      <w:rFonts w:ascii="宋体" w:hAnsi="宋体"/>
      <w:color w:val="FF0000"/>
      <w:kern w:val="0"/>
      <w:sz w:val="24"/>
    </w:rPr>
  </w:style>
  <w:style w:type="paragraph" w:customStyle="1" w:styleId="xl49">
    <w:name w:val="xl49"/>
    <w:basedOn w:val="a3"/>
    <w:qFormat/>
    <w:pPr>
      <w:widowControl/>
      <w:pBdr>
        <w:left w:val="single" w:sz="4"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08">
    <w:name w:val="xl108"/>
    <w:basedOn w:val="a3"/>
    <w:qFormat/>
    <w:pPr>
      <w:widowControl/>
      <w:pBdr>
        <w:bottom w:val="single" w:sz="8"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zhang">
    <w:name w:val="zhang正文"/>
    <w:basedOn w:val="afd"/>
    <w:qFormat/>
    <w:pPr>
      <w:numPr>
        <w:numId w:val="3"/>
      </w:numPr>
      <w:tabs>
        <w:tab w:val="left" w:pos="432"/>
      </w:tabs>
      <w:autoSpaceDE w:val="0"/>
      <w:autoSpaceDN w:val="0"/>
      <w:spacing w:after="0" w:line="500" w:lineRule="exact"/>
      <w:ind w:leftChars="0" w:left="0" w:firstLine="539"/>
      <w:textAlignment w:val="baseline"/>
    </w:pPr>
    <w:rPr>
      <w:rFonts w:eastAsia="楷体_GB2312"/>
      <w:kern w:val="0"/>
      <w:sz w:val="28"/>
    </w:rPr>
  </w:style>
  <w:style w:type="paragraph" w:customStyle="1" w:styleId="xl63">
    <w:name w:val="xl63"/>
    <w:basedOn w:val="a3"/>
    <w:qFormat/>
    <w:pPr>
      <w:widowControl/>
      <w:adjustRightInd w:val="0"/>
      <w:snapToGrid w:val="0"/>
      <w:spacing w:before="100" w:beforeAutospacing="1" w:after="100" w:afterAutospacing="1"/>
      <w:jc w:val="center"/>
      <w:textAlignment w:val="center"/>
    </w:pPr>
    <w:rPr>
      <w:kern w:val="0"/>
      <w:sz w:val="12"/>
      <w:szCs w:val="12"/>
    </w:rPr>
  </w:style>
  <w:style w:type="paragraph" w:customStyle="1" w:styleId="afffffffffff">
    <w:name w:val="我的样式（正文）"/>
    <w:basedOn w:val="a3"/>
    <w:qFormat/>
    <w:pPr>
      <w:adjustRightInd w:val="0"/>
      <w:snapToGrid w:val="0"/>
      <w:spacing w:line="440" w:lineRule="exact"/>
    </w:pPr>
    <w:rPr>
      <w:rFonts w:ascii="宋体"/>
      <w:sz w:val="28"/>
      <w:szCs w:val="20"/>
    </w:rPr>
  </w:style>
  <w:style w:type="paragraph" w:customStyle="1" w:styleId="xl174">
    <w:name w:val="xl174"/>
    <w:basedOn w:val="a3"/>
    <w:qFormat/>
    <w:pPr>
      <w:widowControl/>
      <w:adjustRightInd w:val="0"/>
      <w:snapToGrid w:val="0"/>
      <w:spacing w:before="100" w:beforeAutospacing="1" w:after="100" w:afterAutospacing="1"/>
      <w:jc w:val="center"/>
    </w:pPr>
    <w:rPr>
      <w:rFonts w:ascii="Arial Unicode MS" w:hAnsi="Arial Unicode MS"/>
      <w:kern w:val="0"/>
      <w:sz w:val="16"/>
      <w:szCs w:val="16"/>
    </w:rPr>
  </w:style>
  <w:style w:type="paragraph" w:customStyle="1" w:styleId="xl51">
    <w:name w:val="xl51"/>
    <w:basedOn w:val="a3"/>
    <w:qFormat/>
    <w:pPr>
      <w:widowControl/>
      <w:pBdr>
        <w:left w:val="single" w:sz="4" w:space="0" w:color="auto"/>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head">
    <w:name w:val="head"/>
    <w:basedOn w:val="a3"/>
    <w:next w:val="a3"/>
    <w:qFormat/>
    <w:pPr>
      <w:keepNext/>
      <w:keepLines/>
      <w:adjustRightInd w:val="0"/>
      <w:snapToGrid w:val="0"/>
      <w:spacing w:before="260" w:after="260" w:line="312" w:lineRule="auto"/>
      <w:jc w:val="left"/>
      <w:outlineLvl w:val="2"/>
    </w:pPr>
    <w:rPr>
      <w:rFonts w:ascii="仿宋_GB2312" w:eastAsia="仿宋_GB2312"/>
      <w:sz w:val="28"/>
      <w:szCs w:val="20"/>
    </w:rPr>
  </w:style>
  <w:style w:type="paragraph" w:customStyle="1" w:styleId="xl39">
    <w:name w:val="xl39"/>
    <w:basedOn w:val="a3"/>
    <w:qFormat/>
    <w:pPr>
      <w:widowControl/>
      <w:pBdr>
        <w:bottom w:val="single" w:sz="12" w:space="0" w:color="auto"/>
      </w:pBdr>
      <w:adjustRightInd w:val="0"/>
      <w:snapToGrid w:val="0"/>
      <w:spacing w:before="100" w:beforeAutospacing="1" w:after="100" w:afterAutospacing="1"/>
      <w:jc w:val="left"/>
      <w:textAlignment w:val="center"/>
    </w:pPr>
    <w:rPr>
      <w:kern w:val="0"/>
      <w:sz w:val="16"/>
      <w:szCs w:val="16"/>
    </w:rPr>
  </w:style>
  <w:style w:type="paragraph" w:customStyle="1" w:styleId="xl130">
    <w:name w:val="xl130"/>
    <w:basedOn w:val="a3"/>
    <w:qFormat/>
    <w:pPr>
      <w:widowControl/>
      <w:pBdr>
        <w:left w:val="single" w:sz="4" w:space="0" w:color="auto"/>
        <w:right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fffff0">
    <w:name w:val="二级条标题"/>
    <w:basedOn w:val="affffffff"/>
    <w:next w:val="a3"/>
    <w:qFormat/>
    <w:pPr>
      <w:ind w:left="360" w:hanging="360"/>
      <w:outlineLvl w:val="3"/>
    </w:pPr>
  </w:style>
  <w:style w:type="paragraph" w:customStyle="1" w:styleId="ParaCharCharCharCharCharChar1CharCharCharCharCharCharChar">
    <w:name w:val="默认段落字体 Para Char Char Char Char Char Char1 Char Char Char Char Char Char Char"/>
    <w:basedOn w:val="a3"/>
    <w:qFormat/>
    <w:pPr>
      <w:adjustRightInd w:val="0"/>
      <w:snapToGrid w:val="0"/>
    </w:pPr>
    <w:rPr>
      <w:sz w:val="24"/>
    </w:rPr>
  </w:style>
  <w:style w:type="paragraph" w:customStyle="1" w:styleId="xl195">
    <w:name w:val="xl195"/>
    <w:basedOn w:val="a3"/>
    <w:qFormat/>
    <w:pPr>
      <w:widowControl/>
      <w:pBdr>
        <w:top w:val="single" w:sz="4" w:space="0" w:color="auto"/>
        <w:left w:val="single" w:sz="4" w:space="0" w:color="auto"/>
        <w:right w:val="single" w:sz="4" w:space="0" w:color="auto"/>
      </w:pBdr>
      <w:adjustRightInd w:val="0"/>
      <w:snapToGrid w:val="0"/>
      <w:spacing w:before="100" w:beforeAutospacing="1" w:after="100" w:afterAutospacing="1"/>
      <w:jc w:val="center"/>
    </w:pPr>
    <w:rPr>
      <w:rFonts w:ascii="Arial Unicode MS" w:hAnsi="Arial Unicode MS"/>
      <w:kern w:val="0"/>
    </w:rPr>
  </w:style>
  <w:style w:type="paragraph" w:customStyle="1" w:styleId="xl36">
    <w:name w:val="xl36"/>
    <w:basedOn w:val="a3"/>
    <w:qFormat/>
    <w:pPr>
      <w:widowControl/>
      <w:pBdr>
        <w:left w:val="single" w:sz="12" w:space="0" w:color="auto"/>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00">
    <w:name w:val="xl100"/>
    <w:basedOn w:val="a3"/>
    <w:qFormat/>
    <w:pPr>
      <w:widowControl/>
      <w:adjustRightInd w:val="0"/>
      <w:snapToGrid w:val="0"/>
      <w:spacing w:before="100" w:beforeAutospacing="1" w:after="100" w:afterAutospacing="1"/>
      <w:jc w:val="left"/>
    </w:pPr>
    <w:rPr>
      <w:rFonts w:ascii="Arial Unicode MS" w:hAnsi="Arial Unicode MS"/>
      <w:kern w:val="0"/>
      <w:sz w:val="12"/>
      <w:szCs w:val="12"/>
    </w:rPr>
  </w:style>
  <w:style w:type="paragraph" w:customStyle="1" w:styleId="xl55">
    <w:name w:val="xl55"/>
    <w:basedOn w:val="a3"/>
    <w:qFormat/>
    <w:pPr>
      <w:widowControl/>
      <w:pBdr>
        <w:bottom w:val="single" w:sz="12" w:space="0" w:color="auto"/>
      </w:pBdr>
      <w:adjustRightInd w:val="0"/>
      <w:snapToGrid w:val="0"/>
      <w:spacing w:before="100" w:beforeAutospacing="1" w:after="100" w:afterAutospacing="1"/>
      <w:jc w:val="left"/>
    </w:pPr>
    <w:rPr>
      <w:rFonts w:ascii="Arial Unicode MS" w:hAnsi="Arial Unicode MS"/>
      <w:kern w:val="0"/>
      <w:sz w:val="12"/>
      <w:szCs w:val="12"/>
    </w:rPr>
  </w:style>
  <w:style w:type="paragraph" w:customStyle="1" w:styleId="222">
    <w:name w:val="样式 样式 首行缩进:  2 字符 + 首行缩进:  2 字符2"/>
    <w:basedOn w:val="a3"/>
    <w:qFormat/>
    <w:pPr>
      <w:adjustRightInd w:val="0"/>
      <w:snapToGrid w:val="0"/>
      <w:spacing w:line="440" w:lineRule="exact"/>
      <w:ind w:firstLineChars="200" w:firstLine="584"/>
    </w:pPr>
    <w:rPr>
      <w:rFonts w:eastAsia="楷体_GB2312" w:cs="宋体"/>
      <w:spacing w:val="6"/>
      <w:kern w:val="0"/>
      <w:sz w:val="28"/>
      <w:szCs w:val="20"/>
    </w:rPr>
  </w:style>
  <w:style w:type="paragraph" w:customStyle="1" w:styleId="xl196">
    <w:name w:val="xl196"/>
    <w:basedOn w:val="a3"/>
    <w:qFormat/>
    <w:pPr>
      <w:widowControl/>
      <w:pBdr>
        <w:left w:val="single" w:sz="4" w:space="0" w:color="auto"/>
        <w:right w:val="single" w:sz="4" w:space="0" w:color="auto"/>
      </w:pBdr>
      <w:adjustRightInd w:val="0"/>
      <w:snapToGrid w:val="0"/>
      <w:spacing w:before="100" w:beforeAutospacing="1" w:after="100" w:afterAutospacing="1"/>
      <w:jc w:val="center"/>
    </w:pPr>
    <w:rPr>
      <w:rFonts w:ascii="Arial Unicode MS" w:hAnsi="Arial Unicode MS"/>
      <w:kern w:val="0"/>
    </w:rPr>
  </w:style>
  <w:style w:type="paragraph" w:customStyle="1" w:styleId="xl75">
    <w:name w:val="xl75"/>
    <w:basedOn w:val="a3"/>
    <w:qFormat/>
    <w:pPr>
      <w:widowControl/>
      <w:adjustRightInd w:val="0"/>
      <w:snapToGrid w:val="0"/>
      <w:spacing w:before="100" w:beforeAutospacing="1" w:after="100" w:afterAutospacing="1"/>
      <w:jc w:val="left"/>
    </w:pPr>
    <w:rPr>
      <w:kern w:val="0"/>
      <w:sz w:val="12"/>
      <w:szCs w:val="12"/>
    </w:rPr>
  </w:style>
  <w:style w:type="paragraph" w:customStyle="1" w:styleId="1ff9">
    <w:name w:val="编号1"/>
    <w:basedOn w:val="a3"/>
    <w:qFormat/>
    <w:pPr>
      <w:adjustRightInd w:val="0"/>
      <w:snapToGrid w:val="0"/>
      <w:spacing w:before="240" w:after="120" w:line="500" w:lineRule="exact"/>
    </w:pPr>
    <w:rPr>
      <w:rFonts w:ascii="黑体" w:eastAsia="黑体"/>
      <w:b/>
      <w:sz w:val="36"/>
      <w:szCs w:val="20"/>
    </w:rPr>
  </w:style>
  <w:style w:type="paragraph" w:customStyle="1" w:styleId="xl81">
    <w:name w:val="xl81"/>
    <w:basedOn w:val="a3"/>
    <w:qFormat/>
    <w:pPr>
      <w:widowControl/>
      <w:pBdr>
        <w:left w:val="single" w:sz="12" w:space="0" w:color="auto"/>
        <w:bottom w:val="single" w:sz="12" w:space="0" w:color="auto"/>
        <w:right w:val="single" w:sz="4" w:space="0" w:color="auto"/>
      </w:pBdr>
      <w:adjustRightInd w:val="0"/>
      <w:snapToGrid w:val="0"/>
      <w:spacing w:before="100" w:beforeAutospacing="1" w:after="100" w:afterAutospacing="1"/>
      <w:jc w:val="center"/>
    </w:pPr>
    <w:rPr>
      <w:rFonts w:ascii="Arial Unicode MS" w:hAnsi="Arial Unicode MS"/>
      <w:kern w:val="0"/>
      <w:sz w:val="12"/>
      <w:szCs w:val="12"/>
    </w:rPr>
  </w:style>
  <w:style w:type="paragraph" w:customStyle="1" w:styleId="xl168">
    <w:name w:val="xl168"/>
    <w:basedOn w:val="a3"/>
    <w:qFormat/>
    <w:pPr>
      <w:widowControl/>
      <w:pBdr>
        <w:bottom w:val="single" w:sz="12"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xl145">
    <w:name w:val="xl145"/>
    <w:basedOn w:val="a3"/>
    <w:qFormat/>
    <w:pPr>
      <w:widowControl/>
      <w:adjustRightInd w:val="0"/>
      <w:snapToGrid w:val="0"/>
      <w:spacing w:before="100" w:beforeAutospacing="1" w:after="100" w:afterAutospacing="1"/>
      <w:jc w:val="left"/>
    </w:pPr>
    <w:rPr>
      <w:rFonts w:ascii="Arial Unicode MS" w:hAnsi="Arial Unicode MS"/>
      <w:kern w:val="0"/>
      <w:sz w:val="16"/>
      <w:szCs w:val="16"/>
    </w:rPr>
  </w:style>
  <w:style w:type="paragraph" w:customStyle="1" w:styleId="140">
    <w:name w:val="样式14"/>
    <w:basedOn w:val="4"/>
    <w:qFormat/>
    <w:pPr>
      <w:tabs>
        <w:tab w:val="left" w:pos="0"/>
        <w:tab w:val="left" w:pos="1247"/>
      </w:tabs>
      <w:spacing w:line="312" w:lineRule="auto"/>
      <w:ind w:left="964" w:hanging="964"/>
    </w:pPr>
    <w:rPr>
      <w:rFonts w:ascii="仿宋_GB2312" w:hAnsi="仿宋_GB2312"/>
      <w:bCs w:val="0"/>
      <w:color w:val="000000"/>
      <w:sz w:val="24"/>
      <w:szCs w:val="24"/>
    </w:rPr>
  </w:style>
  <w:style w:type="paragraph" w:customStyle="1" w:styleId="81">
    <w:name w:val="样式8"/>
    <w:basedOn w:val="a3"/>
    <w:next w:val="a3"/>
    <w:qFormat/>
    <w:pPr>
      <w:adjustRightInd w:val="0"/>
      <w:snapToGrid w:val="0"/>
      <w:ind w:firstLine="420"/>
    </w:pPr>
    <w:rPr>
      <w:rFonts w:ascii="宋体" w:hAnsi="Arial Black" w:cs="宋体"/>
      <w:sz w:val="24"/>
    </w:rPr>
  </w:style>
  <w:style w:type="paragraph" w:customStyle="1" w:styleId="xl64">
    <w:name w:val="xl64"/>
    <w:basedOn w:val="a3"/>
    <w:qFormat/>
    <w:pPr>
      <w:widowControl/>
      <w:pBdr>
        <w:left w:val="single" w:sz="4" w:space="0" w:color="auto"/>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CharCharCharCharCharCharCharChar1CharCharCharChar">
    <w:name w:val="Char Char Char Char Char Char Char Char1 Char Char Char Char"/>
    <w:basedOn w:val="a3"/>
    <w:qFormat/>
    <w:pPr>
      <w:adjustRightInd w:val="0"/>
      <w:snapToGrid w:val="0"/>
    </w:pPr>
  </w:style>
  <w:style w:type="paragraph" w:customStyle="1" w:styleId="xl135">
    <w:name w:val="xl135"/>
    <w:basedOn w:val="a3"/>
    <w:qFormat/>
    <w:pPr>
      <w:widowControl/>
      <w:adjustRightInd w:val="0"/>
      <w:snapToGrid w:val="0"/>
      <w:spacing w:before="100" w:beforeAutospacing="1" w:after="100" w:afterAutospacing="1"/>
      <w:jc w:val="center"/>
    </w:pPr>
    <w:rPr>
      <w:rFonts w:ascii="Arial Unicode MS" w:hAnsi="Arial Unicode MS"/>
      <w:kern w:val="0"/>
      <w:sz w:val="16"/>
      <w:szCs w:val="16"/>
    </w:rPr>
  </w:style>
  <w:style w:type="paragraph" w:customStyle="1" w:styleId="Web1">
    <w:name w:val="普通 (Web)1"/>
    <w:basedOn w:val="a3"/>
    <w:qFormat/>
    <w:pPr>
      <w:widowControl/>
      <w:adjustRightInd w:val="0"/>
      <w:snapToGrid w:val="0"/>
      <w:spacing w:before="100" w:beforeAutospacing="1" w:after="100" w:afterAutospacing="1" w:line="400" w:lineRule="atLeast"/>
      <w:ind w:firstLine="480"/>
      <w:jc w:val="left"/>
    </w:pPr>
    <w:rPr>
      <w:rFonts w:ascii="Arial Unicode MS" w:eastAsia="Arial Unicode MS" w:hAnsi="Arial Unicode MS" w:cs="Arial Unicode MS"/>
      <w:kern w:val="0"/>
      <w:sz w:val="24"/>
    </w:rPr>
  </w:style>
  <w:style w:type="paragraph" w:customStyle="1" w:styleId="xl150">
    <w:name w:val="xl150"/>
    <w:basedOn w:val="a3"/>
    <w:qFormat/>
    <w:pPr>
      <w:widowControl/>
      <w:pBdr>
        <w:bottom w:val="single" w:sz="8"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198">
    <w:name w:val="xl198"/>
    <w:basedOn w:val="a3"/>
    <w:qFormat/>
    <w:pPr>
      <w:widowControl/>
      <w:pBdr>
        <w:bottom w:val="single" w:sz="8" w:space="0" w:color="auto"/>
      </w:pBdr>
      <w:adjustRightInd w:val="0"/>
      <w:snapToGrid w:val="0"/>
      <w:spacing w:before="100" w:beforeAutospacing="1" w:after="100" w:afterAutospacing="1"/>
      <w:jc w:val="center"/>
    </w:pPr>
    <w:rPr>
      <w:rFonts w:ascii="Arial Unicode MS" w:hAnsi="Arial Unicode MS"/>
      <w:kern w:val="0"/>
      <w:sz w:val="16"/>
      <w:szCs w:val="16"/>
    </w:rPr>
  </w:style>
  <w:style w:type="paragraph" w:customStyle="1" w:styleId="xl103">
    <w:name w:val="xl103"/>
    <w:basedOn w:val="a3"/>
    <w:qFormat/>
    <w:pPr>
      <w:widowControl/>
      <w:pBdr>
        <w:left w:val="single" w:sz="4" w:space="0" w:color="auto"/>
        <w:right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137">
    <w:name w:val="xl137"/>
    <w:basedOn w:val="a3"/>
    <w:qFormat/>
    <w:pPr>
      <w:widowControl/>
      <w:pBdr>
        <w:bottom w:val="single" w:sz="8" w:space="0" w:color="auto"/>
      </w:pBdr>
      <w:adjustRightInd w:val="0"/>
      <w:snapToGrid w:val="0"/>
      <w:spacing w:before="100" w:beforeAutospacing="1" w:after="100" w:afterAutospacing="1"/>
      <w:jc w:val="left"/>
    </w:pPr>
    <w:rPr>
      <w:rFonts w:ascii="Arial Unicode MS" w:hAnsi="Arial Unicode MS"/>
      <w:kern w:val="0"/>
      <w:sz w:val="12"/>
      <w:szCs w:val="12"/>
    </w:rPr>
  </w:style>
  <w:style w:type="paragraph" w:customStyle="1" w:styleId="afffffffffff1">
    <w:name w:val="五级条标题"/>
    <w:basedOn w:val="afffffffffff2"/>
    <w:next w:val="a3"/>
    <w:qFormat/>
    <w:pPr>
      <w:outlineLvl w:val="6"/>
    </w:pPr>
  </w:style>
  <w:style w:type="paragraph" w:customStyle="1" w:styleId="afffffffffff2">
    <w:name w:val="四级条标题"/>
    <w:basedOn w:val="afffffffffff3"/>
    <w:next w:val="a3"/>
    <w:qFormat/>
    <w:pPr>
      <w:outlineLvl w:val="5"/>
    </w:pPr>
  </w:style>
  <w:style w:type="paragraph" w:customStyle="1" w:styleId="afffffffffff3">
    <w:name w:val="三级条标题"/>
    <w:basedOn w:val="afffffffffff0"/>
    <w:next w:val="a3"/>
    <w:qFormat/>
    <w:pPr>
      <w:tabs>
        <w:tab w:val="clear" w:pos="360"/>
      </w:tabs>
      <w:outlineLvl w:val="4"/>
    </w:pPr>
  </w:style>
  <w:style w:type="paragraph" w:customStyle="1" w:styleId="afffffffffff4">
    <w:name w:val="环评正文字体"/>
    <w:basedOn w:val="a3"/>
    <w:qFormat/>
    <w:pPr>
      <w:adjustRightInd w:val="0"/>
      <w:snapToGrid w:val="0"/>
      <w:spacing w:line="500" w:lineRule="exact"/>
      <w:ind w:firstLineChars="200" w:firstLine="480"/>
    </w:pPr>
    <w:rPr>
      <w:sz w:val="24"/>
      <w:szCs w:val="20"/>
    </w:rPr>
  </w:style>
  <w:style w:type="paragraph" w:customStyle="1" w:styleId="xl92">
    <w:name w:val="xl92"/>
    <w:basedOn w:val="a3"/>
    <w:qFormat/>
    <w:pPr>
      <w:widowControl/>
      <w:pBdr>
        <w:top w:val="single" w:sz="12" w:space="0" w:color="auto"/>
        <w:left w:val="single" w:sz="12"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78">
    <w:name w:val="xl78"/>
    <w:basedOn w:val="a3"/>
    <w:qFormat/>
    <w:pPr>
      <w:widowControl/>
      <w:pBdr>
        <w:left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85">
    <w:name w:val="xl185"/>
    <w:basedOn w:val="a3"/>
    <w:qFormat/>
    <w:pPr>
      <w:widowControl/>
      <w:pBdr>
        <w:bottom w:val="single" w:sz="12"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xl138">
    <w:name w:val="xl138"/>
    <w:basedOn w:val="a3"/>
    <w:qFormat/>
    <w:pPr>
      <w:widowControl/>
      <w:pBdr>
        <w:left w:val="single" w:sz="4" w:space="0" w:color="auto"/>
        <w:bottom w:val="single" w:sz="8" w:space="0" w:color="auto"/>
      </w:pBdr>
      <w:adjustRightInd w:val="0"/>
      <w:snapToGrid w:val="0"/>
      <w:spacing w:before="100" w:beforeAutospacing="1" w:after="100" w:afterAutospacing="1"/>
      <w:jc w:val="center"/>
      <w:textAlignment w:val="center"/>
    </w:pPr>
    <w:rPr>
      <w:kern w:val="0"/>
      <w:sz w:val="12"/>
      <w:szCs w:val="12"/>
    </w:rPr>
  </w:style>
  <w:style w:type="paragraph" w:customStyle="1" w:styleId="xl117">
    <w:name w:val="xl117"/>
    <w:basedOn w:val="a3"/>
    <w:qFormat/>
    <w:pPr>
      <w:widowControl/>
      <w:pBdr>
        <w:left w:val="single" w:sz="8"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affff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ffff6">
    <w:name w:val="表题"/>
    <w:next w:val="a3"/>
    <w:qFormat/>
    <w:pPr>
      <w:spacing w:beforeLines="50" w:before="50" w:after="120" w:line="400" w:lineRule="exact"/>
      <w:jc w:val="center"/>
    </w:pPr>
    <w:rPr>
      <w:rFonts w:eastAsia="仿宋_GB2312"/>
      <w:b/>
      <w:sz w:val="28"/>
    </w:rPr>
  </w:style>
  <w:style w:type="paragraph" w:customStyle="1" w:styleId="Date1">
    <w:name w:val="Date1"/>
    <w:basedOn w:val="a3"/>
    <w:next w:val="a3"/>
    <w:qFormat/>
    <w:pPr>
      <w:adjustRightInd w:val="0"/>
      <w:snapToGrid w:val="0"/>
      <w:textAlignment w:val="baseline"/>
    </w:pPr>
    <w:rPr>
      <w:szCs w:val="20"/>
    </w:rPr>
  </w:style>
  <w:style w:type="paragraph" w:customStyle="1" w:styleId="cdb">
    <w:name w:val="cdb"/>
    <w:basedOn w:val="a3"/>
    <w:qFormat/>
    <w:pPr>
      <w:adjustRightInd w:val="0"/>
      <w:snapToGrid w:val="0"/>
      <w:spacing w:before="120"/>
      <w:ind w:left="851" w:firstLine="482"/>
    </w:pPr>
    <w:rPr>
      <w:szCs w:val="20"/>
    </w:rPr>
  </w:style>
  <w:style w:type="paragraph" w:customStyle="1" w:styleId="2ArialBlack">
    <w:name w:val="样式 标题 2节 + (符号) Arial Black 小四"/>
    <w:basedOn w:val="3"/>
    <w:qFormat/>
    <w:pPr>
      <w:tabs>
        <w:tab w:val="left" w:pos="0"/>
      </w:tabs>
      <w:adjustRightInd w:val="0"/>
      <w:snapToGrid w:val="0"/>
      <w:spacing w:before="0" w:after="0" w:line="360" w:lineRule="auto"/>
    </w:pPr>
    <w:rPr>
      <w:rFonts w:ascii="宋体" w:eastAsia="仿宋_GB2312" w:hAnsi="Arial Black"/>
      <w:b w:val="0"/>
      <w:bCs w:val="0"/>
      <w:kern w:val="21"/>
      <w:sz w:val="28"/>
      <w:szCs w:val="20"/>
    </w:rPr>
  </w:style>
  <w:style w:type="paragraph" w:customStyle="1" w:styleId="xl148">
    <w:name w:val="xl148"/>
    <w:basedOn w:val="a3"/>
    <w:qFormat/>
    <w:pPr>
      <w:widowControl/>
      <w:pBdr>
        <w:bottom w:val="single" w:sz="8"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afffffffffff7">
    <w:name w:val="表格（大）"/>
    <w:basedOn w:val="a3"/>
    <w:qFormat/>
    <w:pPr>
      <w:adjustRightInd w:val="0"/>
      <w:snapToGrid w:val="0"/>
      <w:spacing w:line="360" w:lineRule="exact"/>
      <w:jc w:val="center"/>
    </w:pPr>
  </w:style>
  <w:style w:type="paragraph" w:customStyle="1" w:styleId="101">
    <w:name w:val="样式10"/>
    <w:basedOn w:val="1"/>
    <w:qFormat/>
    <w:pPr>
      <w:keepLines/>
      <w:overflowPunct/>
      <w:adjustRightInd w:val="0"/>
      <w:spacing w:beforeLines="100" w:before="240" w:afterLines="100" w:after="240" w:line="520" w:lineRule="exact"/>
      <w:ind w:left="0" w:firstLine="0"/>
    </w:pPr>
    <w:rPr>
      <w:rFonts w:eastAsia="宋体"/>
      <w:color w:val="FF0000"/>
    </w:rPr>
  </w:style>
  <w:style w:type="paragraph" w:customStyle="1" w:styleId="xl56">
    <w:name w:val="xl56"/>
    <w:basedOn w:val="a3"/>
    <w:qFormat/>
    <w:pPr>
      <w:widowControl/>
      <w:pBdr>
        <w:bottom w:val="single" w:sz="12" w:space="0" w:color="auto"/>
      </w:pBdr>
      <w:adjustRightInd w:val="0"/>
      <w:snapToGrid w:val="0"/>
      <w:spacing w:before="100" w:beforeAutospacing="1" w:after="100" w:afterAutospacing="1"/>
      <w:jc w:val="left"/>
      <w:textAlignment w:val="center"/>
    </w:pPr>
    <w:rPr>
      <w:rFonts w:ascii="Arial Unicode MS" w:hAnsi="Arial Unicode MS"/>
      <w:kern w:val="0"/>
      <w:sz w:val="12"/>
      <w:szCs w:val="12"/>
    </w:rPr>
  </w:style>
  <w:style w:type="paragraph" w:customStyle="1" w:styleId="afffffffffff8">
    <w:name w:val="正文编号"/>
    <w:basedOn w:val="a3"/>
    <w:qFormat/>
    <w:pPr>
      <w:tabs>
        <w:tab w:val="left" w:pos="796"/>
      </w:tabs>
      <w:adjustRightInd w:val="0"/>
      <w:snapToGrid w:val="0"/>
      <w:spacing w:line="500" w:lineRule="exact"/>
      <w:ind w:left="796" w:hanging="720"/>
      <w:textAlignment w:val="baseline"/>
    </w:pPr>
    <w:rPr>
      <w:rFonts w:ascii="Arial" w:hAnsi="Arial"/>
      <w:kern w:val="0"/>
      <w:sz w:val="24"/>
      <w:szCs w:val="20"/>
    </w:rPr>
  </w:style>
  <w:style w:type="paragraph" w:customStyle="1" w:styleId="xl122">
    <w:name w:val="xl122"/>
    <w:basedOn w:val="a3"/>
    <w:qFormat/>
    <w:pPr>
      <w:widowControl/>
      <w:pBdr>
        <w:left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1ffa">
    <w:name w:val="条1"/>
    <w:basedOn w:val="a3"/>
    <w:next w:val="ad"/>
    <w:qFormat/>
    <w:pPr>
      <w:adjustRightInd w:val="0"/>
      <w:snapToGrid w:val="0"/>
      <w:outlineLvl w:val="1"/>
    </w:pPr>
    <w:rPr>
      <w:rFonts w:ascii="黑体" w:eastAsia="黑体"/>
      <w:kern w:val="21"/>
      <w:szCs w:val="20"/>
    </w:rPr>
  </w:style>
  <w:style w:type="paragraph" w:customStyle="1" w:styleId="y0">
    <w:name w:val="y表头"/>
    <w:basedOn w:val="afc"/>
    <w:qFormat/>
    <w:pPr>
      <w:tabs>
        <w:tab w:val="left" w:pos="900"/>
      </w:tabs>
      <w:adjustRightInd w:val="0"/>
      <w:snapToGrid w:val="0"/>
      <w:spacing w:after="0"/>
      <w:jc w:val="center"/>
      <w:textAlignment w:val="baseline"/>
    </w:pPr>
    <w:rPr>
      <w:rFonts w:ascii="宋体" w:eastAsia="楷体_GB2312" w:hAnsi="宋体" w:hint="eastAsia"/>
      <w:b/>
      <w:sz w:val="24"/>
      <w:szCs w:val="20"/>
    </w:rPr>
  </w:style>
  <w:style w:type="paragraph" w:customStyle="1" w:styleId="xl47">
    <w:name w:val="xl47"/>
    <w:basedOn w:val="a3"/>
    <w:qFormat/>
    <w:pPr>
      <w:widowControl/>
      <w:pBdr>
        <w:top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11">
    <w:name w:val="xl111"/>
    <w:basedOn w:val="a3"/>
    <w:qFormat/>
    <w:pPr>
      <w:widowControl/>
      <w:pBdr>
        <w:top w:val="single" w:sz="8"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xl170">
    <w:name w:val="xl170"/>
    <w:basedOn w:val="a3"/>
    <w:qFormat/>
    <w:pPr>
      <w:widowControl/>
      <w:pBdr>
        <w:left w:val="single" w:sz="4" w:space="0" w:color="auto"/>
        <w:bottom w:val="single" w:sz="12"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xl194">
    <w:name w:val="xl194"/>
    <w:basedOn w:val="a3"/>
    <w:qFormat/>
    <w:pPr>
      <w:widowControl/>
      <w:adjustRightInd w:val="0"/>
      <w:snapToGrid w:val="0"/>
      <w:spacing w:before="100" w:beforeAutospacing="1" w:after="100" w:afterAutospacing="1"/>
      <w:jc w:val="center"/>
    </w:pPr>
    <w:rPr>
      <w:kern w:val="0"/>
      <w:sz w:val="16"/>
      <w:szCs w:val="16"/>
    </w:rPr>
  </w:style>
  <w:style w:type="paragraph" w:customStyle="1" w:styleId="xl157">
    <w:name w:val="xl157"/>
    <w:basedOn w:val="a3"/>
    <w:qFormat/>
    <w:pPr>
      <w:widowControl/>
      <w:pBdr>
        <w:left w:val="single" w:sz="4" w:space="0" w:color="auto"/>
        <w:bottom w:val="single" w:sz="4" w:space="0" w:color="auto"/>
        <w:right w:val="single" w:sz="4" w:space="0" w:color="auto"/>
      </w:pBdr>
      <w:adjustRightInd w:val="0"/>
      <w:snapToGrid w:val="0"/>
      <w:spacing w:before="100" w:beforeAutospacing="1" w:after="100" w:afterAutospacing="1"/>
      <w:jc w:val="left"/>
    </w:pPr>
    <w:rPr>
      <w:rFonts w:ascii="Arial Unicode MS" w:hAnsi="Arial Unicode MS"/>
      <w:kern w:val="0"/>
      <w:sz w:val="20"/>
      <w:szCs w:val="20"/>
    </w:rPr>
  </w:style>
  <w:style w:type="paragraph" w:customStyle="1" w:styleId="font12">
    <w:name w:val="font12"/>
    <w:basedOn w:val="a3"/>
    <w:qFormat/>
    <w:pPr>
      <w:widowControl/>
      <w:adjustRightInd w:val="0"/>
      <w:snapToGrid w:val="0"/>
      <w:spacing w:before="100" w:beforeAutospacing="1" w:after="100" w:afterAutospacing="1"/>
      <w:jc w:val="left"/>
    </w:pPr>
    <w:rPr>
      <w:rFonts w:ascii="楷体_GB2312" w:eastAsia="楷体_GB2312" w:hAnsi="Arial Unicode MS" w:cs="Arial Unicode MS" w:hint="eastAsia"/>
      <w:kern w:val="0"/>
      <w:sz w:val="16"/>
      <w:szCs w:val="16"/>
    </w:rPr>
  </w:style>
  <w:style w:type="paragraph" w:customStyle="1" w:styleId="xl181">
    <w:name w:val="xl181"/>
    <w:basedOn w:val="a3"/>
    <w:qFormat/>
    <w:pPr>
      <w:widowControl/>
      <w:pBdr>
        <w:left w:val="single" w:sz="4" w:space="0" w:color="auto"/>
        <w:bottom w:val="single" w:sz="4"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ST201">
    <w:name w:val="ST20_1"/>
    <w:basedOn w:val="a3"/>
    <w:qFormat/>
    <w:pPr>
      <w:autoSpaceDE w:val="0"/>
      <w:autoSpaceDN w:val="0"/>
      <w:adjustRightInd w:val="0"/>
      <w:snapToGrid w:val="0"/>
      <w:spacing w:line="312" w:lineRule="atLeast"/>
      <w:jc w:val="center"/>
      <w:textAlignment w:val="baseline"/>
    </w:pPr>
    <w:rPr>
      <w:rFonts w:ascii="宋体" w:hAnsi="Tms Rmn"/>
      <w:kern w:val="0"/>
      <w:sz w:val="24"/>
      <w:szCs w:val="20"/>
    </w:rPr>
  </w:style>
  <w:style w:type="paragraph" w:customStyle="1" w:styleId="xl90">
    <w:name w:val="xl90"/>
    <w:basedOn w:val="a3"/>
    <w:qFormat/>
    <w:pPr>
      <w:widowControl/>
      <w:pBdr>
        <w:bottom w:val="single" w:sz="12"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afffffffffff9">
    <w:name w:val="表格名称"/>
    <w:basedOn w:val="a3"/>
    <w:qFormat/>
    <w:pPr>
      <w:keepLines/>
      <w:tabs>
        <w:tab w:val="left" w:pos="1123"/>
      </w:tabs>
      <w:adjustRightInd w:val="0"/>
      <w:snapToGrid w:val="0"/>
      <w:spacing w:beforeLines="20" w:before="48" w:afterLines="20" w:after="48" w:line="440" w:lineRule="exact"/>
      <w:ind w:firstLine="403"/>
    </w:pPr>
    <w:rPr>
      <w:rFonts w:eastAsia="黑体"/>
      <w:sz w:val="24"/>
      <w:szCs w:val="20"/>
    </w:rPr>
  </w:style>
  <w:style w:type="paragraph" w:customStyle="1" w:styleId="ParaCharCharCharCharCharCharChar">
    <w:name w:val="默认段落字体 Para Char Char Char Char Char Char Char"/>
    <w:basedOn w:val="a3"/>
    <w:qFormat/>
    <w:pPr>
      <w:adjustRightInd w:val="0"/>
      <w:snapToGrid w:val="0"/>
    </w:pPr>
    <w:rPr>
      <w:sz w:val="24"/>
    </w:rPr>
  </w:style>
  <w:style w:type="paragraph" w:customStyle="1" w:styleId="xl101">
    <w:name w:val="xl101"/>
    <w:basedOn w:val="a3"/>
    <w:qFormat/>
    <w:pPr>
      <w:widowControl/>
      <w:pBdr>
        <w:left w:val="single" w:sz="4" w:space="0" w:color="auto"/>
        <w:right w:val="single" w:sz="12"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yz">
    <w:name w:val="yz"/>
    <w:basedOn w:val="afc"/>
    <w:qFormat/>
    <w:pPr>
      <w:tabs>
        <w:tab w:val="left" w:pos="900"/>
      </w:tabs>
      <w:adjustRightInd w:val="0"/>
      <w:snapToGrid w:val="0"/>
      <w:spacing w:after="0"/>
      <w:ind w:firstLineChars="200" w:firstLine="200"/>
      <w:textAlignment w:val="baseline"/>
    </w:pPr>
    <w:rPr>
      <w:rFonts w:ascii="宋体" w:hAnsi="宋体" w:hint="eastAsia"/>
      <w:sz w:val="24"/>
      <w:szCs w:val="20"/>
    </w:rPr>
  </w:style>
  <w:style w:type="paragraph" w:customStyle="1" w:styleId="2f6">
    <w:name w:val="表格文字2"/>
    <w:basedOn w:val="a3"/>
    <w:qFormat/>
    <w:pPr>
      <w:tabs>
        <w:tab w:val="left" w:pos="277"/>
        <w:tab w:val="left" w:pos="600"/>
        <w:tab w:val="left" w:pos="780"/>
        <w:tab w:val="left" w:pos="2517"/>
      </w:tabs>
      <w:adjustRightInd w:val="0"/>
      <w:snapToGrid w:val="0"/>
      <w:spacing w:before="60"/>
      <w:jc w:val="center"/>
      <w:textAlignment w:val="baseline"/>
    </w:pPr>
    <w:rPr>
      <w:kern w:val="0"/>
      <w:szCs w:val="21"/>
    </w:rPr>
  </w:style>
  <w:style w:type="paragraph" w:customStyle="1" w:styleId="afffffffffffa">
    <w:name w:val="+正文"/>
    <w:basedOn w:val="a3"/>
    <w:qFormat/>
    <w:pPr>
      <w:adjustRightInd w:val="0"/>
      <w:snapToGrid w:val="0"/>
      <w:spacing w:line="500" w:lineRule="exact"/>
      <w:ind w:firstLineChars="200" w:firstLine="200"/>
    </w:pPr>
    <w:rPr>
      <w:sz w:val="28"/>
      <w:szCs w:val="28"/>
    </w:rPr>
  </w:style>
  <w:style w:type="paragraph" w:customStyle="1" w:styleId="xl110">
    <w:name w:val="xl110"/>
    <w:basedOn w:val="a3"/>
    <w:qFormat/>
    <w:pPr>
      <w:widowControl/>
      <w:pBdr>
        <w:top w:val="single" w:sz="12" w:space="0" w:color="auto"/>
        <w:bottom w:val="single" w:sz="8"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72">
    <w:name w:val="样式7"/>
    <w:basedOn w:val="a3"/>
    <w:next w:val="a3"/>
    <w:qFormat/>
    <w:pPr>
      <w:adjustRightInd w:val="0"/>
      <w:snapToGrid w:val="0"/>
      <w:spacing w:line="500" w:lineRule="exact"/>
      <w:ind w:firstLineChars="200" w:firstLine="480"/>
    </w:pPr>
    <w:rPr>
      <w:rFonts w:ascii="宋体" w:hAnsi="宋体" w:cs="宋体"/>
      <w:color w:val="000000"/>
      <w:sz w:val="24"/>
    </w:rPr>
  </w:style>
  <w:style w:type="paragraph" w:customStyle="1" w:styleId="xl189">
    <w:name w:val="xl189"/>
    <w:basedOn w:val="a3"/>
    <w:qFormat/>
    <w:pPr>
      <w:widowControl/>
      <w:pBdr>
        <w:bottom w:val="single" w:sz="12"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xl26">
    <w:name w:val="xl26"/>
    <w:basedOn w:val="a3"/>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jc w:val="left"/>
    </w:pPr>
    <w:rPr>
      <w:kern w:val="0"/>
      <w:sz w:val="24"/>
    </w:rPr>
  </w:style>
  <w:style w:type="paragraph" w:customStyle="1" w:styleId="3111H3BOD0Heading3-oldLevel3Head">
    <w:name w:val="样式 标题 3小标题小节标题条标题1.1.1H3BOD 0Heading 3 - oldLevel 3 Head..."/>
    <w:basedOn w:val="3"/>
    <w:qFormat/>
    <w:pPr>
      <w:tabs>
        <w:tab w:val="left" w:pos="1605"/>
      </w:tabs>
      <w:adjustRightInd w:val="0"/>
      <w:snapToGrid w:val="0"/>
      <w:spacing w:beforeLines="50" w:before="156" w:afterLines="50" w:after="156" w:line="300" w:lineRule="auto"/>
      <w:ind w:left="525"/>
    </w:pPr>
    <w:rPr>
      <w:rFonts w:ascii="黑体" w:eastAsia="黑体"/>
      <w:b w:val="0"/>
      <w:bCs w:val="0"/>
      <w:sz w:val="28"/>
      <w:szCs w:val="20"/>
    </w:rPr>
  </w:style>
  <w:style w:type="paragraph" w:customStyle="1" w:styleId="xl163">
    <w:name w:val="xl163"/>
    <w:basedOn w:val="a3"/>
    <w:qFormat/>
    <w:pPr>
      <w:widowControl/>
      <w:pBdr>
        <w:left w:val="single" w:sz="12"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5d">
    <w:name w:val="样式5"/>
    <w:basedOn w:val="afc"/>
    <w:qFormat/>
    <w:pPr>
      <w:adjustRightInd w:val="0"/>
      <w:snapToGrid w:val="0"/>
      <w:spacing w:after="0"/>
      <w:ind w:rightChars="-50" w:right="-105"/>
      <w:jc w:val="center"/>
    </w:pPr>
    <w:rPr>
      <w:rFonts w:ascii="宋体" w:cs="宋体"/>
      <w:szCs w:val="21"/>
    </w:rPr>
  </w:style>
  <w:style w:type="paragraph" w:customStyle="1" w:styleId="xl184">
    <w:name w:val="xl184"/>
    <w:basedOn w:val="a3"/>
    <w:qFormat/>
    <w:pPr>
      <w:widowControl/>
      <w:pBdr>
        <w:left w:val="single" w:sz="4" w:space="0" w:color="auto"/>
        <w:bottom w:val="single" w:sz="4"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Char100">
    <w:name w:val="Char10"/>
    <w:basedOn w:val="a3"/>
    <w:qFormat/>
    <w:pPr>
      <w:adjustRightInd w:val="0"/>
      <w:snapToGrid w:val="0"/>
      <w:ind w:left="-48"/>
    </w:pPr>
  </w:style>
  <w:style w:type="paragraph" w:customStyle="1" w:styleId="T">
    <w:name w:val="T表格"/>
    <w:qFormat/>
    <w:pPr>
      <w:spacing w:line="300" w:lineRule="exact"/>
      <w:jc w:val="center"/>
    </w:pPr>
    <w:rPr>
      <w:rFonts w:ascii="仿宋_GB2312" w:eastAsia="仿宋_GB2312"/>
      <w:kern w:val="2"/>
      <w:sz w:val="24"/>
    </w:rPr>
  </w:style>
  <w:style w:type="paragraph" w:customStyle="1" w:styleId="xl162">
    <w:name w:val="xl162"/>
    <w:basedOn w:val="a3"/>
    <w:qFormat/>
    <w:pPr>
      <w:widowControl/>
      <w:pBdr>
        <w:bottom w:val="single" w:sz="12" w:space="0" w:color="auto"/>
        <w:right w:val="single" w:sz="12" w:space="0" w:color="auto"/>
      </w:pBdr>
      <w:adjustRightInd w:val="0"/>
      <w:snapToGrid w:val="0"/>
      <w:spacing w:before="100" w:beforeAutospacing="1" w:after="100" w:afterAutospacing="1"/>
      <w:jc w:val="center"/>
      <w:textAlignment w:val="center"/>
    </w:pPr>
    <w:rPr>
      <w:rFonts w:ascii="Arial Unicode MS" w:hAnsi="Arial Unicode MS"/>
      <w:kern w:val="0"/>
    </w:rPr>
  </w:style>
  <w:style w:type="paragraph" w:customStyle="1" w:styleId="73">
    <w:name w:val="7"/>
    <w:basedOn w:val="a3"/>
    <w:next w:val="a3"/>
    <w:qFormat/>
    <w:pPr>
      <w:adjustRightInd w:val="0"/>
      <w:snapToGrid w:val="0"/>
      <w:spacing w:line="300" w:lineRule="auto"/>
    </w:pPr>
    <w:rPr>
      <w:rFonts w:ascii="仿宋_GB2312" w:eastAsia="仿宋_GB2312"/>
      <w:sz w:val="28"/>
      <w:szCs w:val="20"/>
    </w:rPr>
  </w:style>
  <w:style w:type="paragraph" w:customStyle="1" w:styleId="afffffffffffb">
    <w:name w:val="文本框"/>
    <w:basedOn w:val="a3"/>
    <w:qFormat/>
    <w:pPr>
      <w:adjustRightInd w:val="0"/>
      <w:snapToGrid w:val="0"/>
      <w:spacing w:line="300" w:lineRule="exact"/>
      <w:jc w:val="center"/>
    </w:pPr>
    <w:rPr>
      <w:sz w:val="24"/>
    </w:rPr>
  </w:style>
  <w:style w:type="paragraph" w:customStyle="1" w:styleId="CharCharChar11">
    <w:name w:val="Char Char Char11"/>
    <w:basedOn w:val="a3"/>
    <w:qFormat/>
    <w:pPr>
      <w:adjustRightInd w:val="0"/>
      <w:snapToGrid w:val="0"/>
    </w:pPr>
    <w:rPr>
      <w:sz w:val="24"/>
    </w:rPr>
  </w:style>
  <w:style w:type="paragraph" w:customStyle="1" w:styleId="p0">
    <w:name w:val="p0"/>
    <w:basedOn w:val="a3"/>
    <w:qFormat/>
    <w:pPr>
      <w:widowControl/>
      <w:adjustRightInd w:val="0"/>
      <w:snapToGrid w:val="0"/>
      <w:spacing w:before="100" w:beforeAutospacing="1" w:after="100" w:afterAutospacing="1"/>
      <w:jc w:val="left"/>
    </w:pPr>
    <w:rPr>
      <w:rFonts w:ascii="宋体" w:hAnsi="宋体" w:cs="宋体"/>
      <w:kern w:val="0"/>
      <w:sz w:val="24"/>
    </w:rPr>
  </w:style>
  <w:style w:type="paragraph" w:customStyle="1" w:styleId="099152">
    <w:name w:val="样式 首行缩进:  0.99 厘米 行距: 1.5 倍行距2"/>
    <w:basedOn w:val="a3"/>
    <w:qFormat/>
    <w:pPr>
      <w:adjustRightInd w:val="0"/>
      <w:snapToGrid w:val="0"/>
      <w:jc w:val="center"/>
    </w:pPr>
    <w:rPr>
      <w:rFonts w:ascii="宋体" w:hAnsi="宋体"/>
      <w:color w:val="FF0000"/>
      <w:szCs w:val="21"/>
    </w:rPr>
  </w:style>
  <w:style w:type="paragraph" w:customStyle="1" w:styleId="xl66">
    <w:name w:val="xl66"/>
    <w:basedOn w:val="a3"/>
    <w:qFormat/>
    <w:pPr>
      <w:widowControl/>
      <w:pBdr>
        <w:bottom w:val="single" w:sz="12"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afffffffffffc">
    <w:name w:val="中文报告书样式"/>
    <w:basedOn w:val="a3"/>
    <w:qFormat/>
    <w:pPr>
      <w:adjustRightInd w:val="0"/>
      <w:snapToGrid w:val="0"/>
      <w:spacing w:line="480" w:lineRule="atLeast"/>
      <w:ind w:firstLine="482"/>
      <w:textAlignment w:val="baseline"/>
    </w:pPr>
    <w:rPr>
      <w:kern w:val="24"/>
      <w:sz w:val="24"/>
      <w:szCs w:val="20"/>
    </w:rPr>
  </w:style>
  <w:style w:type="paragraph" w:customStyle="1" w:styleId="xl180">
    <w:name w:val="xl180"/>
    <w:basedOn w:val="a3"/>
    <w:qFormat/>
    <w:pPr>
      <w:widowControl/>
      <w:pBdr>
        <w:left w:val="single" w:sz="4"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font0">
    <w:name w:val="font0"/>
    <w:basedOn w:val="a3"/>
    <w:qFormat/>
    <w:pPr>
      <w:widowControl/>
      <w:adjustRightInd w:val="0"/>
      <w:snapToGrid w:val="0"/>
      <w:spacing w:before="100" w:beforeAutospacing="1" w:after="100" w:afterAutospacing="1"/>
      <w:jc w:val="left"/>
    </w:pPr>
    <w:rPr>
      <w:rFonts w:ascii="宋体" w:hAnsi="宋体" w:hint="eastAsia"/>
      <w:kern w:val="0"/>
    </w:rPr>
  </w:style>
  <w:style w:type="paragraph" w:customStyle="1" w:styleId="1CharChar0">
    <w:name w:val="目录 1 Char Char"/>
    <w:basedOn w:val="a3"/>
    <w:next w:val="a3"/>
    <w:qFormat/>
    <w:pPr>
      <w:widowControl/>
      <w:tabs>
        <w:tab w:val="left" w:leader="dot" w:pos="8010"/>
      </w:tabs>
      <w:adjustRightInd w:val="0"/>
      <w:snapToGrid w:val="0"/>
      <w:spacing w:line="300" w:lineRule="auto"/>
      <w:jc w:val="left"/>
      <w:textAlignment w:val="baseline"/>
    </w:pPr>
    <w:rPr>
      <w:rFonts w:ascii="黑体" w:eastAsia="黑体"/>
      <w:color w:val="000000"/>
      <w:kern w:val="0"/>
      <w:sz w:val="28"/>
      <w:szCs w:val="44"/>
      <w:u w:color="000000"/>
    </w:rPr>
  </w:style>
  <w:style w:type="paragraph" w:customStyle="1" w:styleId="xl73">
    <w:name w:val="xl73"/>
    <w:basedOn w:val="a3"/>
    <w:qFormat/>
    <w:pPr>
      <w:widowControl/>
      <w:adjustRightInd w:val="0"/>
      <w:snapToGrid w:val="0"/>
      <w:spacing w:before="100" w:beforeAutospacing="1" w:after="100" w:afterAutospacing="1"/>
      <w:jc w:val="left"/>
    </w:pPr>
    <w:rPr>
      <w:rFonts w:ascii="Arial Unicode MS" w:hAnsi="Arial Unicode MS"/>
      <w:kern w:val="0"/>
    </w:rPr>
  </w:style>
  <w:style w:type="paragraph" w:customStyle="1" w:styleId="afffffffffffd">
    <w:name w:val="封面"/>
    <w:basedOn w:val="a3"/>
    <w:qFormat/>
    <w:pPr>
      <w:adjustRightInd w:val="0"/>
      <w:snapToGrid w:val="0"/>
      <w:spacing w:before="60" w:line="500" w:lineRule="exact"/>
      <w:ind w:firstLine="482"/>
      <w:jc w:val="center"/>
      <w:textAlignment w:val="baseline"/>
    </w:pPr>
    <w:rPr>
      <w:rFonts w:ascii="Arial" w:eastAsia="仿宋_GB2312" w:hAnsi="Arial"/>
      <w:b/>
      <w:kern w:val="0"/>
      <w:sz w:val="30"/>
      <w:szCs w:val="20"/>
    </w:rPr>
  </w:style>
  <w:style w:type="paragraph" w:customStyle="1" w:styleId="xl159">
    <w:name w:val="xl159"/>
    <w:basedOn w:val="a3"/>
    <w:qFormat/>
    <w:pPr>
      <w:widowControl/>
      <w:pBdr>
        <w:right w:val="single" w:sz="4" w:space="0" w:color="auto"/>
      </w:pBdr>
      <w:adjustRightInd w:val="0"/>
      <w:snapToGrid w:val="0"/>
      <w:spacing w:before="100" w:beforeAutospacing="1" w:after="100" w:afterAutospacing="1"/>
      <w:jc w:val="left"/>
    </w:pPr>
    <w:rPr>
      <w:rFonts w:ascii="Arial Unicode MS" w:hAnsi="Arial Unicode MS"/>
      <w:kern w:val="0"/>
    </w:rPr>
  </w:style>
  <w:style w:type="paragraph" w:customStyle="1" w:styleId="xl24">
    <w:name w:val="xl24"/>
    <w:basedOn w:val="a3"/>
    <w:qFormat/>
    <w:pPr>
      <w:widowControl/>
      <w:adjustRightInd w:val="0"/>
      <w:snapToGrid w:val="0"/>
      <w:spacing w:before="100" w:beforeAutospacing="1" w:after="100" w:afterAutospacing="1"/>
      <w:jc w:val="center"/>
      <w:textAlignment w:val="center"/>
    </w:pPr>
    <w:rPr>
      <w:rFonts w:ascii="仿宋_GB2312" w:eastAsia="仿宋_GB2312" w:hAnsi="Arial Unicode MS" w:hint="eastAsia"/>
      <w:kern w:val="0"/>
      <w:sz w:val="20"/>
      <w:szCs w:val="20"/>
    </w:rPr>
  </w:style>
  <w:style w:type="paragraph" w:customStyle="1" w:styleId="font11">
    <w:name w:val="font11"/>
    <w:basedOn w:val="a3"/>
    <w:qFormat/>
    <w:pPr>
      <w:widowControl/>
      <w:adjustRightInd w:val="0"/>
      <w:snapToGrid w:val="0"/>
      <w:spacing w:before="100" w:beforeAutospacing="1" w:after="100" w:afterAutospacing="1"/>
      <w:jc w:val="left"/>
    </w:pPr>
    <w:rPr>
      <w:rFonts w:ascii="宋体" w:hAnsi="宋体" w:hint="eastAsia"/>
      <w:color w:val="000000"/>
      <w:kern w:val="0"/>
      <w:sz w:val="20"/>
      <w:szCs w:val="20"/>
    </w:rPr>
  </w:style>
  <w:style w:type="paragraph" w:customStyle="1" w:styleId="xl93">
    <w:name w:val="xl93"/>
    <w:basedOn w:val="a3"/>
    <w:qFormat/>
    <w:pPr>
      <w:widowControl/>
      <w:adjustRightInd w:val="0"/>
      <w:snapToGrid w:val="0"/>
      <w:spacing w:before="100" w:beforeAutospacing="1" w:after="100" w:afterAutospacing="1"/>
      <w:jc w:val="center"/>
      <w:textAlignment w:val="center"/>
    </w:pPr>
    <w:rPr>
      <w:rFonts w:ascii="Arial Unicode MS" w:hAnsi="Arial Unicode MS"/>
      <w:kern w:val="0"/>
      <w:sz w:val="12"/>
      <w:szCs w:val="12"/>
    </w:rPr>
  </w:style>
  <w:style w:type="paragraph" w:customStyle="1" w:styleId="413">
    <w:name w:val="样式 标题 4 + 行距: 多倍行距 1.3 字行"/>
    <w:basedOn w:val="4"/>
    <w:qFormat/>
    <w:pPr>
      <w:tabs>
        <w:tab w:val="left" w:pos="2240"/>
      </w:tabs>
      <w:snapToGrid w:val="0"/>
      <w:spacing w:beforeLines="20" w:before="20" w:afterLines="20" w:after="20" w:line="300" w:lineRule="auto"/>
      <w:ind w:left="2240" w:hanging="420"/>
    </w:pPr>
    <w:rPr>
      <w:rFonts w:ascii="仿宋_GB2312" w:eastAsia="仿宋_GB2312" w:hAnsi="Arial" w:cs="宋体"/>
      <w:b w:val="0"/>
    </w:rPr>
  </w:style>
  <w:style w:type="paragraph" w:customStyle="1" w:styleId="xl116">
    <w:name w:val="xl116"/>
    <w:basedOn w:val="a3"/>
    <w:qFormat/>
    <w:pPr>
      <w:widowControl/>
      <w:pBdr>
        <w:bottom w:val="single" w:sz="8" w:space="0" w:color="auto"/>
      </w:pBdr>
      <w:adjustRightInd w:val="0"/>
      <w:snapToGrid w:val="0"/>
      <w:spacing w:before="100" w:beforeAutospacing="1" w:after="100" w:afterAutospacing="1"/>
      <w:jc w:val="left"/>
    </w:pPr>
    <w:rPr>
      <w:rFonts w:ascii="Arial Unicode MS" w:hAnsi="Arial Unicode MS"/>
      <w:kern w:val="0"/>
      <w:sz w:val="16"/>
      <w:szCs w:val="16"/>
    </w:rPr>
  </w:style>
  <w:style w:type="paragraph" w:customStyle="1" w:styleId="xl155">
    <w:name w:val="xl155"/>
    <w:basedOn w:val="a3"/>
    <w:qFormat/>
    <w:pPr>
      <w:widowControl/>
      <w:pBdr>
        <w:top w:val="single" w:sz="4" w:space="0" w:color="auto"/>
        <w:left w:val="single" w:sz="4" w:space="0" w:color="auto"/>
        <w:right w:val="single" w:sz="4" w:space="0" w:color="auto"/>
      </w:pBdr>
      <w:adjustRightInd w:val="0"/>
      <w:snapToGrid w:val="0"/>
      <w:spacing w:before="100" w:beforeAutospacing="1" w:after="100" w:afterAutospacing="1"/>
      <w:jc w:val="left"/>
    </w:pPr>
    <w:rPr>
      <w:rFonts w:ascii="Arial Unicode MS" w:hAnsi="Arial Unicode MS"/>
      <w:kern w:val="0"/>
      <w:sz w:val="20"/>
      <w:szCs w:val="20"/>
    </w:rPr>
  </w:style>
  <w:style w:type="paragraph" w:customStyle="1" w:styleId="Style20">
    <w:name w:val="_Style 20"/>
    <w:basedOn w:val="a3"/>
    <w:next w:val="afd"/>
    <w:qFormat/>
    <w:pPr>
      <w:adjustRightInd w:val="0"/>
      <w:snapToGrid w:val="0"/>
      <w:spacing w:line="500" w:lineRule="exact"/>
      <w:ind w:firstLine="480"/>
    </w:pPr>
    <w:rPr>
      <w:sz w:val="24"/>
      <w:szCs w:val="20"/>
    </w:rPr>
  </w:style>
  <w:style w:type="paragraph" w:customStyle="1" w:styleId="3GB2312">
    <w:name w:val="样式 标题 3 + (中文) 仿宋_GB2312 四号"/>
    <w:basedOn w:val="3"/>
    <w:qFormat/>
    <w:pPr>
      <w:keepLines w:val="0"/>
      <w:tabs>
        <w:tab w:val="left" w:pos="1260"/>
      </w:tabs>
      <w:adjustRightInd w:val="0"/>
      <w:snapToGrid w:val="0"/>
      <w:spacing w:line="560" w:lineRule="exact"/>
    </w:pPr>
    <w:rPr>
      <w:rFonts w:eastAsia="仿宋_GB2312"/>
      <w:b w:val="0"/>
      <w:sz w:val="28"/>
      <w:lang w:val="zh-CN"/>
    </w:rPr>
  </w:style>
  <w:style w:type="paragraph" w:customStyle="1" w:styleId="xl191">
    <w:name w:val="xl191"/>
    <w:basedOn w:val="a3"/>
    <w:qFormat/>
    <w:pPr>
      <w:widowControl/>
      <w:pBdr>
        <w:left w:val="single" w:sz="4" w:space="0" w:color="auto"/>
        <w:bottom w:val="single" w:sz="4" w:space="0" w:color="auto"/>
        <w:right w:val="single" w:sz="4" w:space="0" w:color="auto"/>
      </w:pBdr>
      <w:adjustRightInd w:val="0"/>
      <w:snapToGrid w:val="0"/>
      <w:spacing w:before="100" w:beforeAutospacing="1" w:after="100" w:afterAutospacing="1"/>
      <w:jc w:val="center"/>
      <w:textAlignment w:val="center"/>
    </w:pPr>
    <w:rPr>
      <w:rFonts w:ascii="Arial Unicode MS" w:hAnsi="Arial Unicode MS"/>
      <w:kern w:val="0"/>
      <w:sz w:val="16"/>
      <w:szCs w:val="16"/>
    </w:rPr>
  </w:style>
  <w:style w:type="paragraph" w:customStyle="1" w:styleId="afffffffffffe">
    <w:name w:val="项目编号"/>
    <w:basedOn w:val="a3"/>
    <w:next w:val="a3"/>
    <w:qFormat/>
    <w:pPr>
      <w:tabs>
        <w:tab w:val="left" w:pos="360"/>
      </w:tabs>
      <w:adjustRightInd w:val="0"/>
      <w:snapToGrid w:val="0"/>
      <w:spacing w:before="120" w:after="120" w:line="500" w:lineRule="exact"/>
      <w:ind w:hangingChars="200" w:hanging="200"/>
    </w:pPr>
    <w:rPr>
      <w:sz w:val="24"/>
      <w:szCs w:val="20"/>
    </w:rPr>
  </w:style>
  <w:style w:type="paragraph" w:customStyle="1" w:styleId="112">
    <w:name w:val="正文缩进11"/>
    <w:basedOn w:val="a3"/>
    <w:qFormat/>
    <w:pPr>
      <w:adjustRightInd w:val="0"/>
      <w:snapToGrid w:val="0"/>
      <w:spacing w:beforeLines="50" w:before="50" w:afterLines="50" w:after="50"/>
      <w:ind w:firstLineChars="435" w:firstLine="435"/>
    </w:pPr>
    <w:rPr>
      <w:rFonts w:ascii="黑体" w:eastAsia="黑体"/>
      <w:sz w:val="24"/>
      <w:szCs w:val="20"/>
    </w:rPr>
  </w:style>
  <w:style w:type="paragraph" w:customStyle="1" w:styleId="xl79">
    <w:name w:val="xl79"/>
    <w:basedOn w:val="a3"/>
    <w:qFormat/>
    <w:pPr>
      <w:widowControl/>
      <w:pBdr>
        <w:bottom w:val="single" w:sz="12" w:space="0" w:color="auto"/>
      </w:pBdr>
      <w:adjustRightInd w:val="0"/>
      <w:snapToGrid w:val="0"/>
      <w:spacing w:before="100" w:beforeAutospacing="1" w:after="100" w:afterAutospacing="1"/>
      <w:jc w:val="left"/>
      <w:textAlignment w:val="center"/>
    </w:pPr>
    <w:rPr>
      <w:kern w:val="0"/>
      <w:sz w:val="12"/>
      <w:szCs w:val="12"/>
    </w:rPr>
  </w:style>
  <w:style w:type="paragraph" w:customStyle="1" w:styleId="Charfd">
    <w:name w:val="Char"/>
    <w:basedOn w:val="a3"/>
    <w:qFormat/>
    <w:pPr>
      <w:adjustRightInd w:val="0"/>
      <w:snapToGrid w:val="0"/>
    </w:pPr>
    <w:rPr>
      <w:sz w:val="24"/>
    </w:rPr>
  </w:style>
  <w:style w:type="table" w:customStyle="1" w:styleId="1ffb">
    <w:name w:val="表格样式1"/>
    <w:basedOn w:val="a5"/>
    <w:qFormat/>
    <w:pPr>
      <w:jc w:val="center"/>
    </w:pPr>
    <w:rPr>
      <w:sz w:val="21"/>
    </w:rPr>
    <w:tblPr>
      <w:tblBorders>
        <w:top w:val="single" w:sz="12" w:space="0" w:color="000000"/>
        <w:bottom w:val="single" w:sz="12" w:space="0" w:color="000000"/>
        <w:insideH w:val="single" w:sz="4" w:space="0" w:color="000000"/>
        <w:insideV w:val="single" w:sz="4" w:space="0" w:color="000000"/>
      </w:tblBorders>
    </w:tblPr>
    <w:tcPr>
      <w:vAlign w:val="center"/>
    </w:tcPr>
  </w:style>
  <w:style w:type="table" w:customStyle="1" w:styleId="1ffc">
    <w:name w:val="网格型1"/>
    <w:basedOn w:val="a5"/>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eti">
    <w:name w:val="yeti"/>
    <w:basedOn w:val="a5"/>
    <w:qFormat/>
    <w:pPr>
      <w:spacing w:line="360" w:lineRule="exact"/>
      <w:jc w:val="center"/>
    </w:pPr>
    <w:rPr>
      <w:sz w:val="21"/>
    </w:rPr>
    <w:tblPr>
      <w:tblBorders>
        <w:top w:val="single" w:sz="12" w:space="0" w:color="auto"/>
        <w:bottom w:val="single" w:sz="12" w:space="0" w:color="auto"/>
        <w:insideH w:val="single" w:sz="4" w:space="0" w:color="auto"/>
        <w:insideV w:val="single" w:sz="4" w:space="0" w:color="auto"/>
      </w:tblBorders>
    </w:tblPr>
    <w:tcPr>
      <w:vAlign w:val="center"/>
    </w:tcPr>
  </w:style>
  <w:style w:type="paragraph" w:customStyle="1" w:styleId="CharCharCharCharCharCharCharCharCharChar1CharChar">
    <w:name w:val="Char Char Char Char Char Char Char Char Char Char1 Char Char"/>
    <w:basedOn w:val="a3"/>
    <w:qFormat/>
    <w:pPr>
      <w:adjustRightInd w:val="0"/>
      <w:snapToGrid w:val="0"/>
      <w:spacing w:line="240" w:lineRule="exact"/>
      <w:ind w:firstLineChars="200" w:firstLine="200"/>
    </w:pPr>
    <w:rPr>
      <w:sz w:val="28"/>
      <w:szCs w:val="28"/>
    </w:rPr>
  </w:style>
  <w:style w:type="paragraph" w:customStyle="1" w:styleId="CharCharCharCharCharCharCharCharCharChar1CharChar4">
    <w:name w:val="Char Char Char Char Char Char Char Char Char Char1 Char Char4"/>
    <w:basedOn w:val="a3"/>
    <w:qFormat/>
    <w:pPr>
      <w:adjustRightInd w:val="0"/>
      <w:snapToGrid w:val="0"/>
      <w:spacing w:line="240" w:lineRule="exact"/>
      <w:ind w:firstLineChars="200" w:firstLine="200"/>
    </w:pPr>
    <w:rPr>
      <w:sz w:val="28"/>
      <w:szCs w:val="28"/>
    </w:rPr>
  </w:style>
  <w:style w:type="paragraph" w:customStyle="1" w:styleId="252">
    <w:name w:val="样式 样式 (西文) 宋体 四号 首行缩进:  2.5 字符 + 首行缩进:  2 字符"/>
    <w:basedOn w:val="a3"/>
    <w:qFormat/>
    <w:pPr>
      <w:adjustRightInd w:val="0"/>
      <w:snapToGrid w:val="0"/>
      <w:spacing w:line="500" w:lineRule="exact"/>
      <w:ind w:firstLineChars="200" w:firstLine="200"/>
    </w:pPr>
    <w:rPr>
      <w:rFonts w:ascii="宋体" w:hAnsi="宋体" w:cs="宋体"/>
      <w:sz w:val="28"/>
      <w:szCs w:val="20"/>
    </w:rPr>
  </w:style>
  <w:style w:type="paragraph" w:customStyle="1" w:styleId="CharCharCharCharCharCharCharCharCharChar1CharChar3">
    <w:name w:val="Char Char Char Char Char Char Char Char Char Char1 Char Char3"/>
    <w:basedOn w:val="a3"/>
    <w:qFormat/>
    <w:pPr>
      <w:adjustRightInd w:val="0"/>
      <w:snapToGrid w:val="0"/>
      <w:spacing w:line="240" w:lineRule="exact"/>
      <w:ind w:firstLineChars="200" w:firstLine="200"/>
    </w:pPr>
    <w:rPr>
      <w:sz w:val="28"/>
      <w:szCs w:val="28"/>
    </w:rPr>
  </w:style>
  <w:style w:type="paragraph" w:customStyle="1" w:styleId="CharCharCharCharCharCharCharCharCharChar1CharChar2">
    <w:name w:val="Char Char Char Char Char Char Char Char Char Char1 Char Char2"/>
    <w:basedOn w:val="a3"/>
    <w:qFormat/>
    <w:pPr>
      <w:adjustRightInd w:val="0"/>
      <w:snapToGrid w:val="0"/>
      <w:spacing w:line="240" w:lineRule="exact"/>
      <w:ind w:firstLineChars="200" w:firstLine="200"/>
    </w:pPr>
    <w:rPr>
      <w:sz w:val="28"/>
      <w:szCs w:val="28"/>
    </w:rPr>
  </w:style>
  <w:style w:type="paragraph" w:customStyle="1" w:styleId="1ffd">
    <w:name w:val="+列表1"/>
    <w:basedOn w:val="a3"/>
    <w:qFormat/>
    <w:pPr>
      <w:adjustRightInd w:val="0"/>
      <w:snapToGrid w:val="0"/>
      <w:jc w:val="center"/>
    </w:pPr>
    <w:rPr>
      <w:rFonts w:ascii="宋体"/>
      <w:kern w:val="0"/>
      <w:sz w:val="24"/>
      <w:szCs w:val="20"/>
    </w:rPr>
  </w:style>
  <w:style w:type="paragraph" w:customStyle="1" w:styleId="CharCharCharCharCharCharCharCharCharChar1CharChar1">
    <w:name w:val="Char Char Char Char Char Char Char Char Char Char1 Char Char1"/>
    <w:basedOn w:val="a3"/>
    <w:qFormat/>
    <w:pPr>
      <w:adjustRightInd w:val="0"/>
      <w:snapToGrid w:val="0"/>
      <w:spacing w:line="240" w:lineRule="exact"/>
      <w:ind w:firstLineChars="200" w:firstLine="200"/>
    </w:pPr>
    <w:rPr>
      <w:sz w:val="28"/>
      <w:szCs w:val="28"/>
    </w:rPr>
  </w:style>
  <w:style w:type="paragraph" w:customStyle="1" w:styleId="CharCharCharCharCharCharCharCharCharChar1CharChar6">
    <w:name w:val="Char Char Char Char Char Char Char Char Char Char1 Char Char6"/>
    <w:basedOn w:val="a3"/>
    <w:qFormat/>
    <w:pPr>
      <w:adjustRightInd w:val="0"/>
      <w:snapToGrid w:val="0"/>
      <w:spacing w:line="240" w:lineRule="exact"/>
      <w:ind w:firstLineChars="200" w:firstLine="200"/>
    </w:pPr>
    <w:rPr>
      <w:sz w:val="28"/>
      <w:szCs w:val="28"/>
    </w:rPr>
  </w:style>
  <w:style w:type="paragraph" w:customStyle="1" w:styleId="CharCharCharCharCharCharCharCharCharChar1CharChar5">
    <w:name w:val="Char Char Char Char Char Char Char Char Char Char1 Char Char5"/>
    <w:basedOn w:val="a3"/>
    <w:qFormat/>
    <w:pPr>
      <w:adjustRightInd w:val="0"/>
      <w:snapToGrid w:val="0"/>
      <w:spacing w:line="240" w:lineRule="exact"/>
      <w:ind w:firstLineChars="200" w:firstLine="200"/>
    </w:pPr>
    <w:rPr>
      <w:sz w:val="28"/>
      <w:szCs w:val="28"/>
    </w:rPr>
  </w:style>
  <w:style w:type="paragraph" w:customStyle="1" w:styleId="affffffffffff">
    <w:name w:val="表内正文居中"/>
    <w:link w:val="Charfe"/>
    <w:qFormat/>
    <w:pPr>
      <w:jc w:val="center"/>
    </w:pPr>
    <w:rPr>
      <w:rFonts w:cs="宋体"/>
      <w:snapToGrid w:val="0"/>
      <w:kern w:val="44"/>
      <w:sz w:val="21"/>
      <w:szCs w:val="21"/>
    </w:rPr>
  </w:style>
  <w:style w:type="character" w:customStyle="1" w:styleId="Charfe">
    <w:name w:val="表内正文居中 Char"/>
    <w:link w:val="affffffffffff"/>
    <w:qFormat/>
    <w:rPr>
      <w:rFonts w:cs="宋体"/>
      <w:snapToGrid w:val="0"/>
      <w:kern w:val="44"/>
      <w:sz w:val="21"/>
      <w:szCs w:val="21"/>
    </w:rPr>
  </w:style>
  <w:style w:type="paragraph" w:customStyle="1" w:styleId="1-1">
    <w:name w:val="1-1报告正文"/>
    <w:link w:val="1-1Char"/>
    <w:qFormat/>
    <w:pPr>
      <w:adjustRightInd w:val="0"/>
      <w:snapToGrid w:val="0"/>
      <w:spacing w:line="360" w:lineRule="auto"/>
      <w:ind w:firstLineChars="200" w:firstLine="480"/>
    </w:pPr>
    <w:rPr>
      <w:rFonts w:hAnsi="宋体" w:cs="宋体"/>
      <w:bCs/>
      <w:sz w:val="24"/>
      <w:szCs w:val="24"/>
    </w:rPr>
  </w:style>
  <w:style w:type="character" w:customStyle="1" w:styleId="1-1Char">
    <w:name w:val="1-1报告正文 Char"/>
    <w:link w:val="1-1"/>
    <w:qFormat/>
    <w:locked/>
    <w:rPr>
      <w:rFonts w:hAnsi="宋体" w:cs="宋体"/>
      <w:bCs/>
      <w:sz w:val="24"/>
      <w:szCs w:val="24"/>
    </w:rPr>
  </w:style>
  <w:style w:type="paragraph" w:customStyle="1" w:styleId="affffffffffff0">
    <w:name w:val="表格 首行文字"/>
    <w:link w:val="Charff"/>
    <w:qFormat/>
    <w:pPr>
      <w:jc w:val="center"/>
    </w:pPr>
    <w:rPr>
      <w:rFonts w:eastAsia="仿宋_GB2312" w:cs="Arial"/>
      <w:b/>
      <w:bCs/>
      <w:kern w:val="2"/>
      <w:sz w:val="21"/>
      <w:szCs w:val="21"/>
    </w:rPr>
  </w:style>
  <w:style w:type="character" w:customStyle="1" w:styleId="Charff">
    <w:name w:val="表格 首行文字 Char"/>
    <w:link w:val="affffffffffff0"/>
    <w:qFormat/>
    <w:rPr>
      <w:rFonts w:eastAsia="仿宋_GB2312" w:cs="Arial"/>
      <w:b/>
      <w:bCs/>
      <w:kern w:val="2"/>
      <w:sz w:val="21"/>
      <w:szCs w:val="21"/>
    </w:rPr>
  </w:style>
  <w:style w:type="paragraph" w:customStyle="1" w:styleId="affffffffffff1">
    <w:name w:val="表格 普通文字"/>
    <w:link w:val="Charff0"/>
    <w:qFormat/>
    <w:pPr>
      <w:jc w:val="center"/>
    </w:pPr>
    <w:rPr>
      <w:rFonts w:eastAsia="仿宋_GB2312" w:cs="Arial"/>
      <w:kern w:val="2"/>
      <w:sz w:val="21"/>
      <w:szCs w:val="21"/>
    </w:rPr>
  </w:style>
  <w:style w:type="character" w:customStyle="1" w:styleId="Charff0">
    <w:name w:val="表格 普通文字 Char"/>
    <w:link w:val="affffffffffff1"/>
    <w:qFormat/>
    <w:rPr>
      <w:rFonts w:eastAsia="仿宋_GB2312" w:cs="Arial"/>
      <w:kern w:val="2"/>
      <w:sz w:val="21"/>
      <w:szCs w:val="21"/>
    </w:rPr>
  </w:style>
  <w:style w:type="paragraph" w:customStyle="1" w:styleId="1ffe">
    <w:name w:val="修订1"/>
    <w:hidden/>
    <w:uiPriority w:val="99"/>
    <w:semiHidden/>
    <w:qFormat/>
    <w:rPr>
      <w:kern w:val="2"/>
      <w:sz w:val="21"/>
    </w:rPr>
  </w:style>
  <w:style w:type="paragraph" w:customStyle="1" w:styleId="TableParagraph">
    <w:name w:val="Table Paragraph"/>
    <w:basedOn w:val="a3"/>
    <w:uiPriority w:val="1"/>
    <w:qFormat/>
    <w:pPr>
      <w:adjustRightInd w:val="0"/>
      <w:snapToGrid w:val="0"/>
      <w:jc w:val="left"/>
    </w:pPr>
    <w:rPr>
      <w:rFonts w:ascii="Calibri" w:hAnsi="Calibri"/>
      <w:kern w:val="0"/>
      <w:sz w:val="22"/>
      <w:szCs w:val="22"/>
      <w:lang w:eastAsia="en-US"/>
    </w:rPr>
  </w:style>
  <w:style w:type="character" w:customStyle="1" w:styleId="af0">
    <w:name w:val="题注 字符"/>
    <w:link w:val="af"/>
    <w:qFormat/>
    <w:rPr>
      <w:rFonts w:ascii="Arial" w:eastAsia="黑体" w:hAnsi="Arial" w:cs="Arial"/>
      <w:kern w:val="2"/>
    </w:rPr>
  </w:style>
  <w:style w:type="paragraph" w:customStyle="1" w:styleId="affffffffffff2">
    <w:name w:val="文字表格"/>
    <w:basedOn w:val="a3"/>
    <w:uiPriority w:val="99"/>
    <w:qFormat/>
    <w:pPr>
      <w:autoSpaceDE w:val="0"/>
      <w:autoSpaceDN w:val="0"/>
      <w:adjustRightInd w:val="0"/>
      <w:snapToGrid w:val="0"/>
      <w:jc w:val="center"/>
    </w:pPr>
    <w:rPr>
      <w:rFonts w:cs="宋体"/>
      <w:snapToGrid w:val="0"/>
      <w:color w:val="000000"/>
      <w:kern w:val="0"/>
      <w:szCs w:val="21"/>
      <w:lang w:val="zh-CN"/>
    </w:rPr>
  </w:style>
  <w:style w:type="table" w:customStyle="1" w:styleId="113">
    <w:name w:val="表格样式11"/>
    <w:basedOn w:val="a5"/>
    <w:qFormat/>
    <w:pPr>
      <w:jc w:val="center"/>
    </w:pPr>
    <w:tblPr>
      <w:tblBorders>
        <w:top w:val="single" w:sz="12" w:space="0" w:color="auto"/>
        <w:bottom w:val="single" w:sz="12" w:space="0" w:color="auto"/>
        <w:insideH w:val="single" w:sz="6" w:space="0" w:color="auto"/>
        <w:insideV w:val="single" w:sz="6" w:space="0" w:color="auto"/>
      </w:tblBorders>
    </w:tblPr>
    <w:tcPr>
      <w:vAlign w:val="center"/>
    </w:tcPr>
    <w:tblStylePr w:type="firstRow">
      <w:pPr>
        <w:jc w:val="center"/>
      </w:pPr>
      <w:rPr>
        <w:rFonts w:ascii="Times New Roman" w:eastAsia="宋体" w:hAnsi="Times New Roman"/>
        <w:b/>
        <w:sz w:val="21"/>
      </w:rPr>
      <w:tblPr/>
      <w:tcPr>
        <w:tcBorders>
          <w:top w:val="single" w:sz="12" w:space="0" w:color="auto"/>
          <w:left w:val="nil"/>
          <w:bottom w:val="single" w:sz="4" w:space="0" w:color="auto"/>
          <w:right w:val="nil"/>
          <w:insideH w:val="nil"/>
          <w:insideV w:val="single" w:sz="4" w:space="0" w:color="auto"/>
          <w:tl2br w:val="nil"/>
          <w:tr2bl w:val="nil"/>
        </w:tcBorders>
      </w:tcPr>
    </w:tblStylePr>
  </w:style>
  <w:style w:type="paragraph" w:customStyle="1" w:styleId="affffffffffff3">
    <w:name w:val="a正文"/>
    <w:basedOn w:val="a3"/>
    <w:qFormat/>
    <w:pPr>
      <w:adjustRightInd w:val="0"/>
      <w:snapToGrid w:val="0"/>
      <w:spacing w:line="540" w:lineRule="exact"/>
      <w:ind w:firstLineChars="200" w:firstLine="200"/>
    </w:pPr>
    <w:rPr>
      <w:rFonts w:cs="宋体"/>
      <w:sz w:val="24"/>
      <w:szCs w:val="20"/>
    </w:rPr>
  </w:style>
  <w:style w:type="paragraph" w:customStyle="1" w:styleId="08XL">
    <w:name w:val="08图表XL"/>
    <w:next w:val="a3"/>
    <w:qFormat/>
    <w:pPr>
      <w:contextualSpacing/>
      <w:jc w:val="center"/>
    </w:pPr>
    <w:rPr>
      <w:sz w:val="21"/>
      <w:szCs w:val="21"/>
    </w:rPr>
  </w:style>
  <w:style w:type="paragraph" w:customStyle="1" w:styleId="affffffffffff4">
    <w:name w:val="表内容左"/>
    <w:basedOn w:val="affffffffffff5"/>
    <w:qFormat/>
    <w:pPr>
      <w:jc w:val="left"/>
      <w:textAlignment w:val="baseline"/>
    </w:pPr>
    <w:rPr>
      <w:szCs w:val="24"/>
    </w:rPr>
  </w:style>
  <w:style w:type="paragraph" w:customStyle="1" w:styleId="affffffffffff5">
    <w:name w:val="模板表内容"/>
    <w:qFormat/>
    <w:pPr>
      <w:widowControl w:val="0"/>
      <w:topLinePunct/>
      <w:adjustRightInd w:val="0"/>
      <w:snapToGrid w:val="0"/>
      <w:jc w:val="center"/>
    </w:pPr>
    <w:rPr>
      <w:bCs/>
      <w:sz w:val="21"/>
      <w:szCs w:val="21"/>
    </w:rPr>
  </w:style>
  <w:style w:type="paragraph" w:customStyle="1" w:styleId="affffffffffff6">
    <w:name w:val="模板表标题"/>
    <w:basedOn w:val="a3"/>
    <w:qFormat/>
    <w:pPr>
      <w:keepNext/>
      <w:adjustRightInd w:val="0"/>
      <w:snapToGrid w:val="0"/>
      <w:jc w:val="center"/>
      <w:outlineLvl w:val="7"/>
    </w:pPr>
    <w:rPr>
      <w:b/>
    </w:rPr>
  </w:style>
  <w:style w:type="table" w:customStyle="1" w:styleId="1110">
    <w:name w:val="表格样式111"/>
    <w:basedOn w:val="a5"/>
    <w:qFormat/>
    <w:pPr>
      <w:jc w:val="center"/>
    </w:pPr>
    <w:tblPr>
      <w:tblBorders>
        <w:top w:val="single" w:sz="12" w:space="0" w:color="auto"/>
        <w:bottom w:val="single" w:sz="12" w:space="0" w:color="auto"/>
        <w:insideH w:val="single" w:sz="6" w:space="0" w:color="auto"/>
        <w:insideV w:val="single" w:sz="6" w:space="0" w:color="auto"/>
      </w:tblBorders>
    </w:tblPr>
    <w:tcPr>
      <w:vAlign w:val="center"/>
    </w:tcPr>
    <w:tblStylePr w:type="firstRow">
      <w:pPr>
        <w:jc w:val="center"/>
      </w:pPr>
      <w:rPr>
        <w:rFonts w:ascii="Times New Roman" w:eastAsia="宋体" w:hAnsi="Times New Roman"/>
        <w:b/>
        <w:sz w:val="21"/>
      </w:rPr>
      <w:tblPr/>
      <w:tcPr>
        <w:tcBorders>
          <w:top w:val="single" w:sz="12" w:space="0" w:color="auto"/>
          <w:left w:val="nil"/>
          <w:bottom w:val="single" w:sz="4" w:space="0" w:color="auto"/>
          <w:right w:val="nil"/>
          <w:insideH w:val="nil"/>
          <w:insideV w:val="single" w:sz="4" w:space="0" w:color="auto"/>
          <w:tl2br w:val="nil"/>
          <w:tr2bl w:val="nil"/>
        </w:tcBorders>
      </w:tcPr>
    </w:tblStylePr>
  </w:style>
  <w:style w:type="paragraph" w:customStyle="1" w:styleId="2f7">
    <w:name w:val="模板2正文"/>
    <w:basedOn w:val="a3"/>
    <w:qFormat/>
    <w:pPr>
      <w:adjustRightInd w:val="0"/>
      <w:snapToGrid w:val="0"/>
      <w:spacing w:line="500" w:lineRule="exact"/>
      <w:ind w:firstLineChars="200" w:firstLine="480"/>
      <w:jc w:val="left"/>
    </w:pPr>
    <w:rPr>
      <w:sz w:val="24"/>
    </w:rPr>
  </w:style>
  <w:style w:type="character" w:customStyle="1" w:styleId="font31">
    <w:name w:val="font31"/>
    <w:qFormat/>
    <w:rPr>
      <w:rFonts w:ascii="宋体" w:eastAsia="宋体" w:hAnsi="宋体" w:cs="宋体" w:hint="eastAsia"/>
      <w:color w:val="000000"/>
      <w:sz w:val="22"/>
      <w:szCs w:val="22"/>
      <w:u w:val="none"/>
    </w:rPr>
  </w:style>
  <w:style w:type="character" w:customStyle="1" w:styleId="font51">
    <w:name w:val="font51"/>
    <w:basedOn w:val="a4"/>
    <w:qFormat/>
    <w:rPr>
      <w:rFonts w:ascii="Times New Roman" w:hAnsi="Times New Roman" w:cs="Times New Roman" w:hint="default"/>
      <w:color w:val="000000"/>
      <w:sz w:val="22"/>
      <w:szCs w:val="22"/>
      <w:u w:val="none"/>
    </w:rPr>
  </w:style>
  <w:style w:type="character" w:styleId="affffffffffff7">
    <w:name w:val="Placeholder Text"/>
    <w:uiPriority w:val="99"/>
    <w:semiHidden/>
    <w:qFormat/>
    <w:rPr>
      <w:color w:val="808080"/>
    </w:rPr>
  </w:style>
  <w:style w:type="paragraph" w:customStyle="1" w:styleId="-LC">
    <w:name w:val="表格标题-LC"/>
    <w:basedOn w:val="a3"/>
    <w:qFormat/>
    <w:pPr>
      <w:adjustRightInd w:val="0"/>
      <w:snapToGrid w:val="0"/>
      <w:jc w:val="center"/>
    </w:pPr>
    <w:rPr>
      <w:b/>
      <w:szCs w:val="20"/>
    </w:rPr>
  </w:style>
  <w:style w:type="character" w:customStyle="1" w:styleId="Charff1">
    <w:name w:val="表图题注 Char"/>
    <w:link w:val="affffffffffff8"/>
    <w:qFormat/>
    <w:rPr>
      <w:rFonts w:eastAsia="仿宋_GB2312"/>
      <w:b/>
      <w:sz w:val="24"/>
      <w:szCs w:val="24"/>
    </w:rPr>
  </w:style>
  <w:style w:type="paragraph" w:customStyle="1" w:styleId="affffffffffff8">
    <w:name w:val="表图题注"/>
    <w:basedOn w:val="a3"/>
    <w:link w:val="Charff1"/>
    <w:qFormat/>
    <w:pPr>
      <w:adjustRightInd w:val="0"/>
      <w:snapToGrid w:val="0"/>
      <w:spacing w:line="324" w:lineRule="auto"/>
      <w:jc w:val="center"/>
    </w:pPr>
    <w:rPr>
      <w:rFonts w:eastAsia="仿宋_GB2312"/>
      <w:b/>
      <w:kern w:val="0"/>
      <w:sz w:val="24"/>
    </w:rPr>
  </w:style>
  <w:style w:type="character" w:customStyle="1" w:styleId="4Char0">
    <w:name w:val="4正文 Char"/>
    <w:link w:val="4c"/>
    <w:qFormat/>
    <w:rPr>
      <w:sz w:val="24"/>
    </w:rPr>
  </w:style>
  <w:style w:type="paragraph" w:customStyle="1" w:styleId="4c">
    <w:name w:val="4正文"/>
    <w:basedOn w:val="afd"/>
    <w:link w:val="4Char0"/>
    <w:qFormat/>
    <w:pPr>
      <w:spacing w:after="0"/>
      <w:ind w:leftChars="0" w:left="0" w:firstLineChars="196" w:firstLine="200"/>
    </w:pPr>
    <w:rPr>
      <w:kern w:val="0"/>
      <w:sz w:val="24"/>
    </w:rPr>
  </w:style>
  <w:style w:type="character" w:customStyle="1" w:styleId="1fff">
    <w:name w:val="未处理的提及1"/>
    <w:uiPriority w:val="99"/>
    <w:semiHidden/>
    <w:unhideWhenUsed/>
    <w:qFormat/>
    <w:rPr>
      <w:color w:val="605E5C"/>
      <w:shd w:val="clear" w:color="auto" w:fill="E1DFDD"/>
    </w:rPr>
  </w:style>
  <w:style w:type="character" w:customStyle="1" w:styleId="CharCharCharChar0">
    <w:name w:val="表格文字 Char Char Char Char"/>
    <w:qFormat/>
    <w:rPr>
      <w:rFonts w:eastAsia="宋体"/>
      <w:szCs w:val="24"/>
    </w:rPr>
  </w:style>
  <w:style w:type="character" w:customStyle="1" w:styleId="affffffffffff9">
    <w:name w:val="表格的内容 字符"/>
    <w:link w:val="affffffffffffa"/>
    <w:qFormat/>
    <w:locked/>
    <w:rPr>
      <w:szCs w:val="21"/>
    </w:rPr>
  </w:style>
  <w:style w:type="paragraph" w:customStyle="1" w:styleId="affffffffffffa">
    <w:name w:val="表格的内容"/>
    <w:basedOn w:val="a3"/>
    <w:link w:val="affffffffffff9"/>
    <w:qFormat/>
    <w:pPr>
      <w:adjustRightInd w:val="0"/>
      <w:snapToGrid w:val="0"/>
      <w:jc w:val="center"/>
    </w:pPr>
    <w:rPr>
      <w:kern w:val="0"/>
      <w:sz w:val="20"/>
      <w:szCs w:val="21"/>
    </w:rPr>
  </w:style>
  <w:style w:type="character" w:customStyle="1" w:styleId="affffffffffffb">
    <w:name w:val="表格内容五号字 字符"/>
    <w:link w:val="affffffffffffc"/>
    <w:qFormat/>
    <w:locked/>
    <w:rPr>
      <w:rFonts w:ascii="宋体" w:hAnsi="宋体" w:cs="宋体"/>
      <w:szCs w:val="24"/>
    </w:rPr>
  </w:style>
  <w:style w:type="paragraph" w:customStyle="1" w:styleId="affffffffffffc">
    <w:name w:val="表格内容五号字"/>
    <w:basedOn w:val="a3"/>
    <w:link w:val="affffffffffffb"/>
    <w:qFormat/>
    <w:pPr>
      <w:widowControl/>
      <w:adjustRightInd w:val="0"/>
      <w:snapToGrid w:val="0"/>
      <w:jc w:val="center"/>
    </w:pPr>
    <w:rPr>
      <w:rFonts w:ascii="宋体" w:hAnsi="宋体" w:cs="宋体"/>
      <w:kern w:val="0"/>
      <w:sz w:val="20"/>
    </w:rPr>
  </w:style>
  <w:style w:type="paragraph" w:customStyle="1" w:styleId="GH">
    <w:name w:val="表格内容 GH"/>
    <w:basedOn w:val="a3"/>
    <w:qFormat/>
    <w:pPr>
      <w:adjustRightInd w:val="0"/>
      <w:snapToGrid w:val="0"/>
    </w:pPr>
    <w:rPr>
      <w:rFonts w:ascii="Times" w:hAnsi="Times"/>
      <w:szCs w:val="21"/>
    </w:rPr>
  </w:style>
  <w:style w:type="paragraph" w:customStyle="1" w:styleId="GH0">
    <w:name w:val="表格标题GH"/>
    <w:basedOn w:val="a3"/>
    <w:qFormat/>
    <w:pPr>
      <w:adjustRightInd w:val="0"/>
      <w:snapToGrid w:val="0"/>
      <w:spacing w:line="500" w:lineRule="exact"/>
      <w:jc w:val="center"/>
    </w:pPr>
    <w:rPr>
      <w:b/>
      <w:kern w:val="0"/>
      <w:sz w:val="24"/>
      <w:szCs w:val="21"/>
    </w:rPr>
  </w:style>
  <w:style w:type="character" w:customStyle="1" w:styleId="1Char4">
    <w:name w:val="表头1 Char"/>
    <w:link w:val="1ff8"/>
    <w:qFormat/>
    <w:rPr>
      <w:rFonts w:ascii="宋体" w:hAnsi="Courier New" w:cs="Courier New"/>
      <w:sz w:val="24"/>
    </w:rPr>
  </w:style>
  <w:style w:type="paragraph" w:customStyle="1" w:styleId="affffffffffffd">
    <w:name w:val="图、表标题"/>
    <w:basedOn w:val="a3"/>
    <w:link w:val="affffffffffffe"/>
    <w:qFormat/>
    <w:pPr>
      <w:adjustRightInd w:val="0"/>
      <w:snapToGrid w:val="0"/>
      <w:spacing w:line="500" w:lineRule="exact"/>
      <w:jc w:val="center"/>
    </w:pPr>
    <w:rPr>
      <w:b/>
      <w:sz w:val="24"/>
      <w:szCs w:val="22"/>
    </w:rPr>
  </w:style>
  <w:style w:type="paragraph" w:customStyle="1" w:styleId="afffffffffffff">
    <w:name w:val="图表内容"/>
    <w:basedOn w:val="a3"/>
    <w:link w:val="afffffffffffff0"/>
    <w:qFormat/>
    <w:pPr>
      <w:autoSpaceDE w:val="0"/>
      <w:autoSpaceDN w:val="0"/>
      <w:adjustRightInd w:val="0"/>
      <w:snapToGrid w:val="0"/>
      <w:jc w:val="center"/>
    </w:pPr>
    <w:rPr>
      <w:szCs w:val="22"/>
      <w:lang w:val="zh-CN"/>
    </w:rPr>
  </w:style>
  <w:style w:type="character" w:customStyle="1" w:styleId="affffffffffffe">
    <w:name w:val="图、表标题 字符"/>
    <w:link w:val="affffffffffffd"/>
    <w:qFormat/>
    <w:rPr>
      <w:b/>
      <w:kern w:val="2"/>
      <w:sz w:val="24"/>
      <w:szCs w:val="22"/>
    </w:rPr>
  </w:style>
  <w:style w:type="character" w:customStyle="1" w:styleId="afffffffffffff0">
    <w:name w:val="图表内容 字符"/>
    <w:link w:val="afffffffffffff"/>
    <w:qFormat/>
    <w:rPr>
      <w:kern w:val="2"/>
      <w:sz w:val="21"/>
      <w:szCs w:val="22"/>
      <w:lang w:val="zh-CN"/>
    </w:rPr>
  </w:style>
  <w:style w:type="paragraph" w:customStyle="1" w:styleId="4d">
    <w:name w:val="标题 4级"/>
    <w:link w:val="4Char2"/>
    <w:qFormat/>
    <w:pPr>
      <w:adjustRightInd w:val="0"/>
      <w:snapToGrid w:val="0"/>
      <w:spacing w:line="500" w:lineRule="exact"/>
      <w:outlineLvl w:val="3"/>
    </w:pPr>
    <w:rPr>
      <w:b/>
      <w:kern w:val="2"/>
      <w:sz w:val="24"/>
      <w:szCs w:val="24"/>
    </w:rPr>
  </w:style>
  <w:style w:type="character" w:customStyle="1" w:styleId="4Char2">
    <w:name w:val="标题 4级 Char"/>
    <w:link w:val="4d"/>
    <w:qFormat/>
    <w:rPr>
      <w:b/>
      <w:kern w:val="2"/>
      <w:sz w:val="24"/>
      <w:szCs w:val="24"/>
    </w:rPr>
  </w:style>
  <w:style w:type="character" w:customStyle="1" w:styleId="font41">
    <w:name w:val="font41"/>
    <w:qFormat/>
    <w:rPr>
      <w:rFonts w:ascii="Times New Roman" w:hAnsi="Times New Roman" w:cs="Times New Roman" w:hint="default"/>
      <w:color w:val="000000"/>
      <w:sz w:val="20"/>
      <w:szCs w:val="20"/>
      <w:u w:val="none"/>
    </w:rPr>
  </w:style>
  <w:style w:type="character" w:customStyle="1" w:styleId="font81">
    <w:name w:val="font81"/>
    <w:basedOn w:val="a4"/>
    <w:qFormat/>
    <w:rPr>
      <w:rFonts w:ascii="宋体" w:eastAsia="宋体" w:hAnsi="宋体" w:cs="宋体"/>
      <w:color w:val="000000"/>
      <w:sz w:val="20"/>
      <w:szCs w:val="20"/>
      <w:u w:val="none"/>
    </w:rPr>
  </w:style>
  <w:style w:type="table" w:customStyle="1" w:styleId="122">
    <w:name w:val="表格样式12"/>
    <w:basedOn w:val="a5"/>
    <w:qFormat/>
    <w:pPr>
      <w:jc w:val="center"/>
    </w:pPr>
    <w:tblPr>
      <w:tblBorders>
        <w:top w:val="single" w:sz="12" w:space="0" w:color="auto"/>
        <w:bottom w:val="single" w:sz="12" w:space="0" w:color="auto"/>
        <w:insideH w:val="single" w:sz="6" w:space="0" w:color="auto"/>
        <w:insideV w:val="single" w:sz="6" w:space="0" w:color="auto"/>
      </w:tblBorders>
    </w:tblPr>
    <w:tcPr>
      <w:vAlign w:val="center"/>
    </w:tcPr>
    <w:tblStylePr w:type="firstRow">
      <w:pPr>
        <w:jc w:val="center"/>
      </w:pPr>
      <w:rPr>
        <w:rFonts w:ascii="Times New Roman" w:eastAsia="宋体" w:hAnsi="Times New Roman"/>
        <w:b/>
        <w:sz w:val="21"/>
      </w:rPr>
      <w:tblPr/>
      <w:tcPr>
        <w:tcBorders>
          <w:top w:val="single" w:sz="12" w:space="0" w:color="auto"/>
          <w:left w:val="nil"/>
          <w:bottom w:val="single" w:sz="4" w:space="0" w:color="auto"/>
          <w:right w:val="nil"/>
          <w:insideH w:val="nil"/>
          <w:insideV w:val="single" w:sz="4" w:space="0" w:color="auto"/>
          <w:tl2br w:val="nil"/>
          <w:tr2bl w:val="nil"/>
        </w:tcBorders>
      </w:tcPr>
    </w:tblStylePr>
  </w:style>
  <w:style w:type="table" w:customStyle="1" w:styleId="132">
    <w:name w:val="表格样式13"/>
    <w:basedOn w:val="a5"/>
    <w:qFormat/>
    <w:pPr>
      <w:jc w:val="center"/>
    </w:pPr>
    <w:tblPr>
      <w:tblBorders>
        <w:top w:val="single" w:sz="12" w:space="0" w:color="auto"/>
        <w:bottom w:val="single" w:sz="12" w:space="0" w:color="auto"/>
        <w:insideH w:val="single" w:sz="6" w:space="0" w:color="auto"/>
        <w:insideV w:val="single" w:sz="6" w:space="0" w:color="auto"/>
      </w:tblBorders>
    </w:tblPr>
    <w:tcPr>
      <w:vAlign w:val="center"/>
    </w:tcPr>
    <w:tblStylePr w:type="firstRow">
      <w:pPr>
        <w:jc w:val="center"/>
      </w:pPr>
      <w:rPr>
        <w:rFonts w:ascii="Times New Roman" w:eastAsia="宋体" w:hAnsi="Times New Roman"/>
        <w:b/>
        <w:sz w:val="21"/>
      </w:rPr>
      <w:tblPr/>
      <w:tcPr>
        <w:tcBorders>
          <w:top w:val="single" w:sz="12" w:space="0" w:color="auto"/>
          <w:left w:val="nil"/>
          <w:bottom w:val="single" w:sz="4" w:space="0" w:color="auto"/>
          <w:right w:val="nil"/>
          <w:insideH w:val="nil"/>
          <w:insideV w:val="single" w:sz="4" w:space="0" w:color="auto"/>
          <w:tl2br w:val="nil"/>
          <w:tr2bl w:val="nil"/>
        </w:tcBorders>
      </w:tcPr>
    </w:tblStylePr>
  </w:style>
  <w:style w:type="table" w:customStyle="1" w:styleId="2f8">
    <w:name w:val="网格型2"/>
    <w:basedOn w:val="a5"/>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3"/>
    <w:qFormat/>
    <w:pPr>
      <w:widowControl/>
      <w:adjustRightInd w:val="0"/>
      <w:snapToGrid w:val="0"/>
      <w:spacing w:before="100" w:beforeAutospacing="1" w:after="100" w:afterAutospacing="1"/>
      <w:jc w:val="left"/>
    </w:pPr>
    <w:rPr>
      <w:rFonts w:ascii="宋体" w:hAnsi="宋体" w:cs="宋体"/>
      <w:kern w:val="0"/>
      <w:sz w:val="24"/>
    </w:rPr>
  </w:style>
  <w:style w:type="paragraph" w:customStyle="1" w:styleId="afffffffffffff1">
    <w:name w:val="!正文"/>
    <w:basedOn w:val="a3"/>
    <w:qFormat/>
    <w:pPr>
      <w:widowControl/>
      <w:adjustRightInd w:val="0"/>
      <w:snapToGrid w:val="0"/>
      <w:spacing w:line="500" w:lineRule="exact"/>
    </w:pPr>
    <w:rPr>
      <w:sz w:val="24"/>
    </w:rPr>
  </w:style>
  <w:style w:type="paragraph" w:customStyle="1" w:styleId="0">
    <w:name w:val="0表格格式"/>
    <w:basedOn w:val="a3"/>
    <w:qFormat/>
    <w:pPr>
      <w:widowControl/>
      <w:adjustRightInd w:val="0"/>
      <w:snapToGrid w:val="0"/>
      <w:jc w:val="center"/>
    </w:pPr>
    <w:rPr>
      <w:kern w:val="0"/>
      <w:szCs w:val="21"/>
    </w:rPr>
  </w:style>
  <w:style w:type="table" w:customStyle="1" w:styleId="3e">
    <w:name w:val="网格型3"/>
    <w:basedOn w:val="a5"/>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2">
    <w:name w:val="网格"/>
    <w:basedOn w:val="a3"/>
    <w:link w:val="afffffffffffff3"/>
    <w:qFormat/>
    <w:pPr>
      <w:adjustRightInd w:val="0"/>
      <w:snapToGrid w:val="0"/>
      <w:spacing w:line="500" w:lineRule="exact"/>
      <w:jc w:val="center"/>
    </w:pPr>
    <w:rPr>
      <w:kern w:val="0"/>
      <w:sz w:val="24"/>
    </w:rPr>
  </w:style>
  <w:style w:type="character" w:customStyle="1" w:styleId="afffffffffffff3">
    <w:name w:val="网格 字符"/>
    <w:basedOn w:val="a4"/>
    <w:link w:val="afffffffffffff2"/>
    <w:qFormat/>
    <w:rPr>
      <w:sz w:val="24"/>
      <w:szCs w:val="24"/>
    </w:rPr>
  </w:style>
  <w:style w:type="paragraph" w:customStyle="1" w:styleId="1-">
    <w:name w:val="1-正文"/>
    <w:basedOn w:val="a3"/>
    <w:qFormat/>
    <w:pPr>
      <w:spacing w:line="360" w:lineRule="auto"/>
      <w:ind w:firstLineChars="200" w:firstLine="480"/>
      <w:jc w:val="left"/>
    </w:pPr>
    <w:rPr>
      <w:rFonts w:ascii="宋体" w:hAnsi="宋体" w:cs="宋体"/>
      <w:sz w:val="24"/>
    </w:rPr>
  </w:style>
  <w:style w:type="paragraph" w:customStyle="1" w:styleId="afffffffffffff4">
    <w:name w:val="环评表头"/>
    <w:basedOn w:val="affffa"/>
    <w:qFormat/>
    <w:pPr>
      <w:widowControl/>
      <w:adjustRightInd/>
      <w:snapToGrid/>
      <w:ind w:firstLine="0"/>
    </w:pPr>
    <w:rPr>
      <w:rFonts w:eastAsia="宋体"/>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00">
    <w:name w:val="0图表标题"/>
    <w:basedOn w:val="a3"/>
    <w:next w:val="a3"/>
    <w:uiPriority w:val="99"/>
    <w:qFormat/>
    <w:pPr>
      <w:adjustRightInd w:val="0"/>
      <w:snapToGrid w:val="0"/>
      <w:spacing w:line="360" w:lineRule="auto"/>
      <w:jc w:val="center"/>
    </w:pPr>
    <w:rPr>
      <w:b/>
      <w:sz w:val="24"/>
      <w:szCs w:val="22"/>
    </w:rPr>
  </w:style>
  <w:style w:type="character" w:customStyle="1" w:styleId="font91">
    <w:name w:val="font91"/>
    <w:basedOn w:val="a4"/>
    <w:qFormat/>
    <w:rPr>
      <w:rFonts w:ascii="Times New Roman" w:hAnsi="Times New Roman" w:cs="Times New Roman" w:hint="default"/>
      <w:b/>
      <w:bCs/>
      <w:color w:val="auto"/>
      <w:sz w:val="18"/>
      <w:szCs w:val="18"/>
      <w:u w:val="none"/>
    </w:rPr>
  </w:style>
  <w:style w:type="character" w:customStyle="1" w:styleId="font101">
    <w:name w:val="font101"/>
    <w:basedOn w:val="a4"/>
    <w:qFormat/>
    <w:rPr>
      <w:rFonts w:ascii="Times New Roman" w:hAnsi="Times New Roman" w:cs="Times New Roman" w:hint="default"/>
      <w:b/>
      <w:bCs/>
      <w:color w:val="auto"/>
      <w:sz w:val="18"/>
      <w:szCs w:val="18"/>
      <w:u w:val="none"/>
    </w:rPr>
  </w:style>
  <w:style w:type="character" w:customStyle="1" w:styleId="font111">
    <w:name w:val="font111"/>
    <w:basedOn w:val="a4"/>
    <w:qFormat/>
    <w:rPr>
      <w:rFonts w:ascii="宋体" w:eastAsia="宋体" w:hAnsi="宋体" w:cs="宋体" w:hint="eastAsia"/>
      <w:b/>
      <w:bCs/>
      <w:color w:val="auto"/>
      <w:sz w:val="18"/>
      <w:szCs w:val="18"/>
      <w:u w:val="none"/>
    </w:rPr>
  </w:style>
  <w:style w:type="paragraph" w:customStyle="1" w:styleId="afffffffffffff5">
    <w:name w:val="表内容"/>
    <w:next w:val="afffffffffffff6"/>
    <w:qFormat/>
    <w:pPr>
      <w:widowControl w:val="0"/>
      <w:topLinePunct/>
      <w:adjustRightInd w:val="0"/>
      <w:snapToGrid w:val="0"/>
      <w:jc w:val="center"/>
    </w:pPr>
    <w:rPr>
      <w:sz w:val="21"/>
      <w:szCs w:val="21"/>
    </w:rPr>
  </w:style>
  <w:style w:type="paragraph" w:customStyle="1" w:styleId="afffffffffffff6">
    <w:name w:val="模板正文"/>
    <w:basedOn w:val="a3"/>
    <w:qFormat/>
    <w:pPr>
      <w:ind w:firstLine="480"/>
    </w:pPr>
    <w:rPr>
      <w:color w:val="000000" w:themeColor="text1"/>
    </w:rPr>
  </w:style>
  <w:style w:type="character" w:customStyle="1" w:styleId="font131">
    <w:name w:val="font131"/>
    <w:basedOn w:val="a4"/>
    <w:qFormat/>
    <w:rPr>
      <w:rFonts w:ascii="宋体" w:eastAsia="宋体" w:hAnsi="宋体" w:cs="宋体" w:hint="eastAsia"/>
      <w:color w:val="FF66FF"/>
      <w:sz w:val="22"/>
      <w:szCs w:val="22"/>
      <w:u w:val="none"/>
    </w:rPr>
  </w:style>
  <w:style w:type="character" w:customStyle="1" w:styleId="font141">
    <w:name w:val="font141"/>
    <w:basedOn w:val="a4"/>
    <w:qFormat/>
    <w:rPr>
      <w:rFonts w:ascii="Times New Roman" w:hAnsi="Times New Roman" w:cs="Times New Roman" w:hint="default"/>
      <w:color w:val="FF66FF"/>
      <w:sz w:val="22"/>
      <w:szCs w:val="22"/>
      <w:u w:val="none"/>
    </w:rPr>
  </w:style>
  <w:style w:type="character" w:customStyle="1" w:styleId="font121">
    <w:name w:val="font121"/>
    <w:basedOn w:val="a4"/>
    <w:qFormat/>
    <w:rPr>
      <w:rFonts w:ascii="宋体" w:eastAsia="宋体" w:hAnsi="宋体" w:cs="宋体" w:hint="eastAsia"/>
      <w:color w:val="000000"/>
      <w:sz w:val="22"/>
      <w:szCs w:val="22"/>
      <w:u w:val="none"/>
    </w:rPr>
  </w:style>
  <w:style w:type="character" w:customStyle="1" w:styleId="font151">
    <w:name w:val="font151"/>
    <w:basedOn w:val="a4"/>
    <w:qFormat/>
    <w:rPr>
      <w:rFonts w:ascii="宋体" w:eastAsia="宋体" w:hAnsi="宋体" w:cs="宋体" w:hint="eastAsia"/>
      <w:color w:val="000000"/>
      <w:sz w:val="22"/>
      <w:szCs w:val="22"/>
      <w:u w:val="none"/>
    </w:rPr>
  </w:style>
  <w:style w:type="paragraph" w:customStyle="1" w:styleId="2f9">
    <w:name w:val="正文 首行缩进:  2 字符"/>
    <w:basedOn w:val="a3"/>
    <w:uiPriority w:val="99"/>
    <w:qFormat/>
    <w:pPr>
      <w:ind w:firstLineChars="200" w:firstLine="579"/>
    </w:pPr>
    <w:rPr>
      <w:rFonts w:eastAsia="等线" w:cs="宋体"/>
      <w:szCs w:val="20"/>
    </w:rPr>
  </w:style>
  <w:style w:type="paragraph" w:customStyle="1" w:styleId="afffffffffffff7">
    <w:name w:val="表内表"/>
    <w:basedOn w:val="a3"/>
    <w:qFormat/>
    <w:pPr>
      <w:spacing w:line="240" w:lineRule="atLeast"/>
      <w:jc w:val="center"/>
    </w:pPr>
    <w:rPr>
      <w:rFonts w:ascii="等线" w:eastAsia="等线" w:hAnsi="等线"/>
      <w:bCs/>
      <w:szCs w:val="21"/>
      <w:lang w:val="zh-CN"/>
    </w:rPr>
  </w:style>
  <w:style w:type="paragraph" w:customStyle="1" w:styleId="2fa">
    <w:name w:val="修订2"/>
    <w:hidden/>
    <w:uiPriority w:val="99"/>
    <w:semiHidden/>
    <w:qFormat/>
    <w:rPr>
      <w:kern w:val="2"/>
      <w:sz w:val="21"/>
      <w:szCs w:val="24"/>
    </w:rPr>
  </w:style>
  <w:style w:type="character" w:customStyle="1" w:styleId="NormalCharacter">
    <w:name w:val="NormalCharacter"/>
    <w:qFormat/>
  </w:style>
  <w:style w:type="character" w:customStyle="1" w:styleId="font171">
    <w:name w:val="font171"/>
    <w:basedOn w:val="a4"/>
    <w:qFormat/>
    <w:rPr>
      <w:rFonts w:ascii="宋体" w:eastAsia="宋体" w:hAnsi="宋体" w:cs="宋体" w:hint="eastAsia"/>
      <w:b/>
      <w:bCs/>
      <w:color w:val="000000"/>
      <w:sz w:val="21"/>
      <w:szCs w:val="21"/>
      <w:u w:val="none"/>
    </w:rPr>
  </w:style>
  <w:style w:type="character" w:customStyle="1" w:styleId="font161">
    <w:name w:val="font161"/>
    <w:basedOn w:val="a4"/>
    <w:qFormat/>
    <w:rPr>
      <w:rFonts w:ascii="Times New Roman" w:hAnsi="Times New Roman" w:cs="Times New Roman" w:hint="default"/>
      <w:color w:val="000000"/>
      <w:sz w:val="22"/>
      <w:szCs w:val="22"/>
      <w:u w:val="none"/>
    </w:rPr>
  </w:style>
  <w:style w:type="paragraph" w:customStyle="1" w:styleId="3f">
    <w:name w:val="修订3"/>
    <w:hidden/>
    <w:uiPriority w:val="99"/>
    <w:unhideWhenUsed/>
    <w:qFormat/>
    <w:rPr>
      <w:kern w:val="2"/>
      <w:sz w:val="21"/>
      <w:szCs w:val="24"/>
    </w:rPr>
  </w:style>
  <w:style w:type="paragraph" w:customStyle="1" w:styleId="4e">
    <w:name w:val="修订4"/>
    <w:hidden/>
    <w:uiPriority w:val="99"/>
    <w:unhideWhenUsed/>
    <w:qFormat/>
    <w:rPr>
      <w:kern w:val="2"/>
      <w:sz w:val="21"/>
      <w:szCs w:val="24"/>
    </w:rPr>
  </w:style>
  <w:style w:type="paragraph" w:customStyle="1" w:styleId="LC-0">
    <w:name w:val="LC-正文"/>
    <w:basedOn w:val="a3"/>
    <w:qFormat/>
    <w:pPr>
      <w:widowControl/>
      <w:spacing w:line="500" w:lineRule="exact"/>
      <w:ind w:firstLineChars="200" w:firstLine="200"/>
      <w:jc w:val="left"/>
    </w:pPr>
    <w:rPr>
      <w:color w:val="000000"/>
      <w:sz w:val="24"/>
      <w:szCs w:val="28"/>
    </w:rPr>
  </w:style>
  <w:style w:type="paragraph" w:customStyle="1" w:styleId="A-z">
    <w:name w:val="A-z正文"/>
    <w:basedOn w:val="a3"/>
    <w:qFormat/>
    <w:pPr>
      <w:spacing w:line="360" w:lineRule="auto"/>
      <w:ind w:firstLineChars="200" w:firstLine="200"/>
    </w:pPr>
    <w:rPr>
      <w:kern w:val="0"/>
      <w:sz w:val="24"/>
    </w:rPr>
  </w:style>
  <w:style w:type="paragraph" w:customStyle="1" w:styleId="A-">
    <w:name w:val="A-表格文字"/>
    <w:basedOn w:val="a3"/>
    <w:next w:val="a3"/>
    <w:qFormat/>
    <w:pPr>
      <w:autoSpaceDE w:val="0"/>
      <w:autoSpaceDN w:val="0"/>
      <w:adjustRightInd w:val="0"/>
      <w:jc w:val="center"/>
      <w:textAlignment w:val="center"/>
    </w:pPr>
    <w:rPr>
      <w:kern w:val="0"/>
      <w:sz w:val="20"/>
      <w:szCs w:val="20"/>
    </w:rPr>
  </w:style>
  <w:style w:type="paragraph" w:customStyle="1" w:styleId="37-">
    <w:name w:val="37-表内"/>
    <w:basedOn w:val="a3"/>
    <w:qFormat/>
    <w:pPr>
      <w:jc w:val="center"/>
    </w:pPr>
    <w:rPr>
      <w:kern w:val="0"/>
      <w:szCs w:val="21"/>
    </w:rPr>
  </w:style>
  <w:style w:type="paragraph" w:customStyle="1" w:styleId="TableText">
    <w:name w:val="Table Text"/>
    <w:basedOn w:val="a3"/>
    <w:semiHidden/>
    <w:qFormat/>
    <w:pPr>
      <w:widowControl/>
      <w:kinsoku w:val="0"/>
      <w:autoSpaceDE w:val="0"/>
      <w:autoSpaceDN w:val="0"/>
      <w:adjustRightInd w:val="0"/>
      <w:snapToGrid w:val="0"/>
      <w:jc w:val="left"/>
      <w:textAlignment w:val="baseline"/>
    </w:pPr>
    <w:rPr>
      <w:rFonts w:ascii="宋体" w:hAnsi="宋体" w:cs="宋体"/>
      <w:color w:val="000000"/>
      <w:kern w:val="0"/>
      <w:sz w:val="24"/>
    </w:rPr>
  </w:style>
  <w:style w:type="paragraph" w:customStyle="1" w:styleId="afffffffffffff8">
    <w:name w:val="表格首行字体"/>
    <w:basedOn w:val="a3"/>
    <w:qFormat/>
    <w:pPr>
      <w:jc w:val="center"/>
    </w:pPr>
    <w:rPr>
      <w:b/>
      <w:szCs w:val="21"/>
    </w:rPr>
  </w:style>
  <w:style w:type="paragraph" w:customStyle="1" w:styleId="5e">
    <w:name w:val="修订5"/>
    <w:hidden/>
    <w:uiPriority w:val="99"/>
    <w:unhideWhenUsed/>
    <w:qFormat/>
    <w:rPr>
      <w:kern w:val="2"/>
      <w:sz w:val="21"/>
      <w:szCs w:val="24"/>
    </w:rPr>
  </w:style>
  <w:style w:type="character" w:customStyle="1" w:styleId="lqq">
    <w:name w:val="lqq表格文字 字符"/>
    <w:link w:val="lqq0"/>
    <w:qFormat/>
    <w:rPr>
      <w:kern w:val="44"/>
      <w:sz w:val="21"/>
      <w:szCs w:val="22"/>
    </w:rPr>
  </w:style>
  <w:style w:type="paragraph" w:customStyle="1" w:styleId="lqq0">
    <w:name w:val="lqq表格文字"/>
    <w:basedOn w:val="a3"/>
    <w:link w:val="lqq"/>
    <w:qFormat/>
    <w:pPr>
      <w:widowControl/>
      <w:adjustRightInd w:val="0"/>
      <w:snapToGrid w:val="0"/>
      <w:jc w:val="center"/>
    </w:pPr>
    <w:rPr>
      <w:kern w:val="44"/>
      <w:szCs w:val="22"/>
    </w:rPr>
  </w:style>
  <w:style w:type="paragraph" w:customStyle="1" w:styleId="lqq1">
    <w:name w:val="lqq正文"/>
    <w:basedOn w:val="a3"/>
    <w:link w:val="lqq2"/>
    <w:qFormat/>
    <w:pPr>
      <w:widowControl/>
      <w:adjustRightInd w:val="0"/>
      <w:snapToGrid w:val="0"/>
      <w:spacing w:line="500" w:lineRule="exact"/>
      <w:ind w:firstLineChars="200" w:firstLine="200"/>
    </w:pPr>
    <w:rPr>
      <w:sz w:val="24"/>
    </w:rPr>
  </w:style>
  <w:style w:type="character" w:customStyle="1" w:styleId="lqq2">
    <w:name w:val="lqq正文 字符"/>
    <w:link w:val="lqq1"/>
    <w:qFormat/>
    <w:rPr>
      <w:kern w:val="2"/>
      <w:sz w:val="24"/>
      <w:szCs w:val="24"/>
    </w:rPr>
  </w:style>
  <w:style w:type="paragraph" w:customStyle="1" w:styleId="65">
    <w:name w:val="修订6"/>
    <w:hidden/>
    <w:uiPriority w:val="99"/>
    <w:unhideWhenUsed/>
    <w:qFormat/>
    <w:rPr>
      <w:kern w:val="2"/>
      <w:sz w:val="21"/>
      <w:szCs w:val="24"/>
    </w:rPr>
  </w:style>
  <w:style w:type="character" w:customStyle="1" w:styleId="151">
    <w:name w:val="15"/>
    <w:basedOn w:val="a4"/>
    <w:qFormat/>
    <w:rPr>
      <w:rFonts w:ascii="Times New Roman" w:hAnsi="Times New Roman" w:cs="Times New Roman" w:hint="default"/>
      <w:sz w:val="21"/>
      <w:szCs w:val="21"/>
    </w:rPr>
  </w:style>
  <w:style w:type="paragraph" w:customStyle="1" w:styleId="74">
    <w:name w:val="修订7"/>
    <w:hidden/>
    <w:uiPriority w:val="99"/>
    <w:unhideWhenUsed/>
    <w:qFormat/>
    <w:rPr>
      <w:kern w:val="2"/>
      <w:sz w:val="21"/>
      <w:szCs w:val="24"/>
    </w:rPr>
  </w:style>
  <w:style w:type="paragraph" w:customStyle="1" w:styleId="lyw">
    <w:name w:val="lyw正文"/>
    <w:basedOn w:val="a3"/>
    <w:link w:val="lyw0"/>
    <w:autoRedefine/>
    <w:qFormat/>
    <w:pPr>
      <w:widowControl/>
      <w:adjustRightInd w:val="0"/>
      <w:snapToGrid w:val="0"/>
      <w:spacing w:line="500" w:lineRule="exact"/>
      <w:ind w:firstLineChars="200" w:firstLine="480"/>
      <w:textAlignment w:val="baseline"/>
    </w:pPr>
    <w:rPr>
      <w:rFonts w:asciiTheme="minorHAnsi" w:hAnsiTheme="minorHAnsi" w:cstheme="minorHAnsi"/>
      <w:bCs/>
      <w:color w:val="000000" w:themeColor="text1"/>
      <w:sz w:val="24"/>
    </w:rPr>
  </w:style>
  <w:style w:type="character" w:customStyle="1" w:styleId="lyw0">
    <w:name w:val="lyw正文 字符"/>
    <w:basedOn w:val="a4"/>
    <w:link w:val="lyw"/>
    <w:autoRedefine/>
    <w:qFormat/>
    <w:rPr>
      <w:rFonts w:asciiTheme="minorHAnsi" w:hAnsiTheme="minorHAnsi" w:cstheme="minorHAnsi"/>
      <w:bCs/>
      <w:color w:val="000000" w:themeColor="text1"/>
      <w:kern w:val="2"/>
      <w:sz w:val="24"/>
      <w:szCs w:val="24"/>
    </w:rPr>
  </w:style>
  <w:style w:type="paragraph" w:customStyle="1" w:styleId="000">
    <w:name w:val="00表格内文字"/>
    <w:basedOn w:val="a3"/>
    <w:qFormat/>
    <w:pPr>
      <w:jc w:val="center"/>
    </w:pPr>
    <w:rPr>
      <w:bCs/>
      <w:kern w:val="28"/>
      <w:szCs w:val="21"/>
    </w:rPr>
  </w:style>
  <w:style w:type="paragraph" w:customStyle="1" w:styleId="001">
    <w:name w:val="00表格内标题"/>
    <w:basedOn w:val="000"/>
    <w:qFormat/>
    <w:rPr>
      <w:b/>
    </w:rPr>
  </w:style>
  <w:style w:type="paragraph" w:customStyle="1" w:styleId="00-YO">
    <w:name w:val="00表格或图标题-YO"/>
    <w:basedOn w:val="a3"/>
    <w:qFormat/>
    <w:pPr>
      <w:widowControl/>
      <w:spacing w:line="500" w:lineRule="exact"/>
      <w:jc w:val="center"/>
    </w:pPr>
    <w:rPr>
      <w:b/>
      <w:kern w:val="0"/>
      <w:sz w:val="24"/>
    </w:rPr>
  </w:style>
  <w:style w:type="paragraph" w:customStyle="1" w:styleId="00-YO0">
    <w:name w:val="00表格内标题-YO"/>
    <w:basedOn w:val="a3"/>
    <w:qFormat/>
    <w:pPr>
      <w:jc w:val="center"/>
    </w:pPr>
    <w:rPr>
      <w:b/>
      <w:bCs/>
      <w:kern w:val="28"/>
      <w:szCs w:val="21"/>
    </w:rPr>
  </w:style>
  <w:style w:type="paragraph" w:customStyle="1" w:styleId="00-YO1">
    <w:name w:val="00表格内文字-YO"/>
    <w:basedOn w:val="a3"/>
    <w:qFormat/>
    <w:pPr>
      <w:widowControl/>
      <w:jc w:val="center"/>
    </w:pPr>
    <w:rPr>
      <w:rFonts w:ascii="宋体" w:hAnsi="宋体" w:cs="宋体"/>
      <w:bCs/>
      <w:kern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image" Target="media/image76.jpeg"/><Relationship Id="rId16" Type="http://schemas.openxmlformats.org/officeDocument/2006/relationships/image" Target="media/image3.jpeg"/><Relationship Id="rId11" Type="http://schemas.openxmlformats.org/officeDocument/2006/relationships/footer" Target="footer3.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png"/><Relationship Id="rId5" Type="http://schemas.openxmlformats.org/officeDocument/2006/relationships/settings" Target="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jpe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80" Type="http://schemas.openxmlformats.org/officeDocument/2006/relationships/image" Target="media/image67.jpeg"/><Relationship Id="rId85" Type="http://schemas.openxmlformats.org/officeDocument/2006/relationships/image" Target="media/image72.png"/><Relationship Id="rId12" Type="http://schemas.openxmlformats.org/officeDocument/2006/relationships/footer" Target="footer4.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png"/><Relationship Id="rId20" Type="http://schemas.openxmlformats.org/officeDocument/2006/relationships/image" Target="media/image7.jpeg"/><Relationship Id="rId41" Type="http://schemas.openxmlformats.org/officeDocument/2006/relationships/image" Target="media/image28.png"/><Relationship Id="rId54" Type="http://schemas.openxmlformats.org/officeDocument/2006/relationships/image" Target="media/image41.jpeg"/><Relationship Id="rId62" Type="http://schemas.openxmlformats.org/officeDocument/2006/relationships/image" Target="media/image49.png"/><Relationship Id="rId70" Type="http://schemas.openxmlformats.org/officeDocument/2006/relationships/image" Target="media/image57.jpe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image" Target="media/image44.jpeg"/><Relationship Id="rId10" Type="http://schemas.openxmlformats.org/officeDocument/2006/relationships/footer" Target="footer2.xml"/><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jpeg"/><Relationship Id="rId81" Type="http://schemas.openxmlformats.org/officeDocument/2006/relationships/image" Target="media/image68.png"/><Relationship Id="rId86" Type="http://schemas.openxmlformats.org/officeDocument/2006/relationships/image" Target="media/image73.jpeg"/><Relationship Id="rId94" Type="http://schemas.openxmlformats.org/officeDocument/2006/relationships/image" Target="media/image81.jpeg"/><Relationship Id="rId99" Type="http://schemas.openxmlformats.org/officeDocument/2006/relationships/footer" Target="footer5.xml"/><Relationship Id="rId10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hyperlink" Target="http://news.bjx.com.cn/zt.asp?topic=%ce%a3%cf%d5%b7%cf%ce%ef" TargetMode="External"/><Relationship Id="rId18" Type="http://schemas.openxmlformats.org/officeDocument/2006/relationships/image" Target="media/image5.jpe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jpeg"/><Relationship Id="rId97" Type="http://schemas.openxmlformats.org/officeDocument/2006/relationships/image" Target="media/image84.png"/><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jpeg"/><Relationship Id="rId45" Type="http://schemas.openxmlformats.org/officeDocument/2006/relationships/image" Target="media/image32.png"/><Relationship Id="rId66" Type="http://schemas.openxmlformats.org/officeDocument/2006/relationships/image" Target="media/image53.jpeg"/><Relationship Id="rId87" Type="http://schemas.openxmlformats.org/officeDocument/2006/relationships/image" Target="media/image74.jpeg"/><Relationship Id="rId61" Type="http://schemas.openxmlformats.org/officeDocument/2006/relationships/image" Target="media/image48.jpeg"/><Relationship Id="rId82" Type="http://schemas.openxmlformats.org/officeDocument/2006/relationships/image" Target="media/image69.jpeg"/><Relationship Id="rId19" Type="http://schemas.openxmlformats.org/officeDocument/2006/relationships/image" Target="media/image6.jpeg"/><Relationship Id="rId14" Type="http://schemas.openxmlformats.org/officeDocument/2006/relationships/image" Target="media/image1.jpeg"/><Relationship Id="rId30" Type="http://schemas.openxmlformats.org/officeDocument/2006/relationships/image" Target="media/image17.jpe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9.jpeg"/><Relationship Id="rId93" Type="http://schemas.openxmlformats.org/officeDocument/2006/relationships/image" Target="media/image80.jpeg"/><Relationship Id="rId98" Type="http://schemas.openxmlformats.org/officeDocument/2006/relationships/image" Target="media/image85.jpeg"/><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15bbcb63-6c13-4654-96e3-87ddd12df67c</errorID>
      <errorWord>三区三线</errorWord>
      <group>L1_Political</group>
      <groupName>政治性问题</groupName>
      <ability>L2_Keyword</ability>
      <abilityName>固定表述</abilityName>
      <candidateList>
        <item>“三区三线”</item>
      </candidateList>
      <explain>注意检查当前固定表述标点是否使用规范。</explain>
      <paraID>15AE81D9</paraID>
      <start>31</start>
      <end>35</end>
      <status>ignored</status>
      <modifiedWord/>
      <trackRevisions>false</trackRevisions>
    </reviewItem>
    <reviewItem>
      <errorID>6b2f0a95-777c-4e9a-9ab2-f744c0392633</errorID>
      <errorWord>证</errorWord>
      <group>L1_Word</group>
      <groupName>字词问题</groupName>
      <ability>L2_Typo</ability>
      <abilityName>字词错误</abilityName>
      <candidateList>
        <item>证明</item>
      </candidateList>
      <explain/>
      <paraID>31D7F795</paraID>
      <start>6</start>
      <end>7</end>
      <status>ignored</status>
      <modifiedWord/>
      <trackRevisions>false</trackRevisions>
    </reviewItem>
    <reviewItem>
      <errorID>1e7805ac-84a9-44f7-bc22-4db6aad4e113</errorID>
      <errorWord>17 百</errorWord>
      <group>L1_Knowledge</group>
      <groupName>知识性问题</groupName>
      <ability>L2_Knowledge</ability>
      <abilityName>其他知识</abilityName>
      <candidateList>
        <item>1700</item>
      </candidateList>
      <explain/>
      <paraID>27C364EA</paraID>
      <start>2</start>
      <end>6</end>
      <status>ignored</status>
      <modifiedWord/>
      <trackRevisions>false</trackRevisions>
    </reviewItem>
    <reviewItem>
      <errorID>b416779a-59e1-411d-bb2c-58c5b3d1f94a</errorID>
      <errorWord>“</errorWord>
      <group>L1_Punc</group>
      <groupName>标点问题</groupName>
      <ability>L2_Punc</ability>
      <abilityName>标点符号检查</abilityName>
      <candidateList/>
      <explain/>
      <paraID>767A75A2</paraID>
      <start>17</start>
      <end>18</end>
      <status>ignored</status>
      <modifiedWord/>
      <trackRevisions>false</trackRevisions>
    </reviewItem>
    <reviewItem>
      <errorID>6ffde31f-e279-4443-aa90-2ef389b3275c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30071F89</paraID>
      <start>0</start>
      <end>2</end>
      <status>ignored</status>
      <modifiedWord/>
      <trackRevisions>false</trackRevisions>
    </reviewItem>
    <reviewItem>
      <errorID>53348b4f-9c68-4895-9756-00eb5d704fe8</errorID>
      <errorWord>[2023]25号</errorWord>
      <group>L1_Knowledge</group>
      <groupName>知识性问题</groupName>
      <ability>L2_Knowledge</ability>
      <abilityName>其他知识</abilityName>
      <candidateList>
        <item>〔2023〕25号</item>
      </candidateList>
      <explain>发文字号格式错误。</explain>
      <paraID> 3F97CC7</paraID>
      <start>13</start>
      <end>22</end>
      <status>ignored</status>
      <modifiedWord/>
      <trackRevisions>false</trackRevisions>
    </reviewItem>
    <reviewItem>
      <errorID>15289fc5-0f33-4684-a9b1-4f18bb7d7524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15349345</paraID>
      <start>0</start>
      <end>2</end>
      <status>ignored</status>
      <modifiedWord/>
      <trackRevisions>false</trackRevisions>
    </reviewItem>
    <reviewItem>
      <errorID>9fd26250-f66e-4b29-9f90-c2b081351c83</errorID>
      <errorWord>[2021]86号</errorWord>
      <group>L1_Knowledge</group>
      <groupName>知识性问题</groupName>
      <ability>L2_Knowledge</ability>
      <abilityName>其他知识</abilityName>
      <candidateList>
        <item>〔2021〕86号</item>
      </candidateList>
      <explain>发文字号格式错误。</explain>
      <paraID> 434B75E</paraID>
      <start>14</start>
      <end>23</end>
      <status>ignored</status>
      <modifiedWord/>
      <trackRevisions>false</trackRevisions>
    </reviewItem>
    <reviewItem>
      <errorID>5ec69a06-8680-4efd-a052-a26e774d7a6a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756B4080</paraID>
      <start>0</start>
      <end>2</end>
      <status>ignored</status>
      <modifiedWord/>
      <trackRevisions>false</trackRevisions>
    </reviewItem>
    <reviewItem>
      <errorID>2b1a702d-68c2-4653-8e75-82554160318e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756B4080</paraID>
      <start>23</start>
      <end>24</end>
      <status>ignored</status>
      <modifiedWord/>
      <trackRevisions>false</trackRevisions>
    </reviewItem>
    <reviewItem>
      <errorID>b92b8e18-2203-475d-ab7e-ae5c3f2cb07e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5AF6CE96</paraID>
      <start>35</start>
      <end>36</end>
      <status>ignored</status>
      <modifiedWord/>
      <trackRevisions>false</trackRevisions>
    </reviewItem>
    <reviewItem>
      <errorID>98cd459d-275b-424d-8712-a9d6a12f0c24</errorID>
      <errorWord>[2019]38号</errorWord>
      <group>L1_Knowledge</group>
      <groupName>知识性问题</groupName>
      <ability>L2_Knowledge</ability>
      <abilityName>其他知识</abilityName>
      <candidateList>
        <item>〔2019〕38号</item>
      </candidateList>
      <explain>发文字号格式错误。</explain>
      <paraID>5AF6CE96</paraID>
      <start>51</start>
      <end>60</end>
      <status>ignored</status>
      <modifiedWord/>
      <trackRevisions>false</trackRevisions>
    </reviewItem>
    <reviewItem>
      <errorID>de863dd7-1aab-4613-a7ea-43e8b9169424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49603772</paraID>
      <start>0</start>
      <end>2</end>
      <status>ignored</status>
      <modifiedWord/>
      <trackRevisions>false</trackRevisions>
    </reviewItem>
    <reviewItem>
      <errorID>c21e68f6-c486-4bee-8cd5-4a95f76a3e24</errorID>
      <errorWord>《句容下蜀高新技术产业园开发建设规划》（2021—2035年）</errorWord>
      <group>L1_Knowledge</group>
      <groupName>知识性问题</groupName>
      <ability>L2_Knowledge</ability>
      <abilityName>其他知识</abilityName>
      <candidateList>
        <item>《句容下蜀高新技术产业园开发建设规划（2021—2035年）》</item>
      </candidateList>
      <explain>疑似政策文件、法律法规名称等书写不规范，请注意检查。</explain>
      <paraID>49603772</paraID>
      <start>7</start>
      <end>38</end>
      <status>modified</status>
      <modifiedWord>《句容下蜀高新技术产业园开发建设规划（2021—2035年）》</modifiedWord>
      <trackRevisions>false</trackRevisions>
    </reviewItem>
    <reviewItem>
      <errorID>b503c7bb-d44e-4d49-bf16-b7059a97443c</errorID>
      <errorWord>[2021]4号</errorWord>
      <group>L1_Knowledge</group>
      <groupName>知识性问题</groupName>
      <ability>L2_Knowledge</ability>
      <abilityName>其他知识</abilityName>
      <candidateList>
        <item>〔2021〕4号</item>
      </candidateList>
      <explain>发文字号格式错误。</explain>
      <paraID>1223ED7B</paraID>
      <start>13</start>
      <end>21</end>
      <status>ignored</status>
      <modifiedWord/>
      <trackRevisions>false</trackRevisions>
    </reviewItem>
    <reviewItem>
      <errorID>0e207d76-a14d-4dd8-84a7-a256a7408731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43274E53</paraID>
      <start>0</start>
      <end>2</end>
      <status>ignored</status>
      <modifiedWord/>
      <trackRevisions>false</trackRevisions>
    </reviewItem>
    <reviewItem>
      <errorID>24802057-d6e1-4f2c-aaeb-15c841bd54f6</errorID>
      <errorWord>[2024]50号</errorWord>
      <group>L1_Knowledge</group>
      <groupName>知识性问题</groupName>
      <ability>L2_Knowledge</ability>
      <abilityName>其他知识</abilityName>
      <candidateList>
        <item>〔2024〕50号</item>
      </candidateList>
      <explain>发文字号格式错误。</explain>
      <paraID>231B16EC</paraID>
      <start>50</start>
      <end>59</end>
      <status>ignored</status>
      <modifiedWord/>
      <trackRevisions>false</trackRevisions>
    </reviewItem>
    <reviewItem>
      <errorID>d646a01d-0b83-4732-9a80-92282a70d205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6ED52EC6</paraID>
      <start>0</start>
      <end>2</end>
      <status>ignored</status>
      <modifiedWord/>
      <trackRevisions>false</trackRevisions>
    </reviewItem>
    <reviewItem>
      <errorID>758d9468-5702-4fee-bee5-3d03c653ddf5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566B2A9</paraID>
      <start>0</start>
      <end>2</end>
      <status>ignored</status>
      <modifiedWord/>
      <trackRevisions>false</trackRevisions>
    </reviewItem>
    <reviewItem>
      <errorID>9ceffed1-494b-4276-8ee3-9c0c9757ad4c</errorID>
      <errorWord>[2021]86号</errorWord>
      <group>L1_Knowledge</group>
      <groupName>知识性问题</groupName>
      <ability>L2_Knowledge</ability>
      <abilityName>其他知识</abilityName>
      <candidateList>
        <item>〔2021〕86号</item>
      </candidateList>
      <explain>发文字号格式错误。</explain>
      <paraID>79055728</paraID>
      <start>100</start>
      <end>109</end>
      <status>ignored</status>
      <modifiedWord/>
      <trackRevisions>false</trackRevisions>
    </reviewItem>
    <reviewItem>
      <errorID>ab92367b-82a1-44ab-aab6-b06168d2e5f8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5CED8DD2</paraID>
      <start>0</start>
      <end>2</end>
      <status>unmodified</status>
      <modifiedWord/>
      <trackRevisions>false</trackRevisions>
    </reviewItem>
    <reviewItem>
      <errorID>2694ff46-882c-4806-bbc5-93f9b013f976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247DC9EE</paraID>
      <start>0</start>
      <end>2</end>
      <status>unmodified</status>
      <modifiedWord/>
      <trackRevisions>false</trackRevisions>
    </reviewItem>
    <reviewItem>
      <errorID>b482dbca-cd86-4eb7-9b7e-dc96faf4a5e2</errorID>
      <errorWord>《句容下蜀高新技术产业园开发建设规划》（2021—2035年）</errorWord>
      <group>L1_Knowledge</group>
      <groupName>知识性问题</groupName>
      <ability>L2_Knowledge</ability>
      <abilityName>其他知识</abilityName>
      <candidateList>
        <item>《句容下蜀高新技术产业园开发建设规划（2021—2035年）》</item>
      </candidateList>
      <explain>疑似政策文件、法律法规名称等书写不规范，请注意检查。</explain>
      <paraID>247DC9EE</paraID>
      <start>3</start>
      <end>34</end>
      <status>modified</status>
      <modifiedWord>《句容下蜀高新技术产业园开发建设规划（2021—2035年）》</modifiedWord>
      <trackRevisions>false</trackRevisions>
    </reviewItem>
    <reviewItem>
      <errorID>105b8816-5945-440b-8d64-652e22ad8a4c</errorID>
      <errorWord>以重点</errorWord>
      <group>L1_Word</group>
      <groupName>字词问题</groupName>
      <ability>L2_Typo</ability>
      <abilityName>字词错误</abilityName>
      <candidateList>
        <item>重点</item>
      </candidateList>
      <explain/>
      <paraID>5FD2E933</paraID>
      <start>0</start>
      <end>3</end>
      <status>unmodified</status>
      <modifiedWord/>
      <trackRevisions>false</trackRevisions>
    </reviewItem>
    <reviewItem>
      <errorID>40664dd9-7816-44a3-8091-90c356006495</errorID>
      <errorWord>项目为</errorWord>
      <group>L1_Word</group>
      <groupName>字词问题</groupName>
      <ability>L2_Typo</ability>
      <abilityName>字词错误</abilityName>
      <candidateList>
        <item>项目</item>
      </candidateList>
      <explain>〈名〉事物分成的门类：服务～｜体育～｜建设～。</explain>
      <paraID>29B73AC2</paraID>
      <start>13</start>
      <end>16</end>
      <status>unmodified</status>
      <modifiedWord/>
      <trackRevisions>false</trackRevisions>
    </reviewItem>
    <reviewItem>
      <errorID>aa0d6468-334a-438d-8ada-ce6849387ef3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7555DCF8</paraID>
      <start>0</start>
      <end>2</end>
      <status>unmodified</status>
      <modifiedWord/>
      <trackRevisions>false</trackRevisions>
    </reviewItem>
    <reviewItem>
      <errorID>cede88ae-e4bc-4628-a2f5-4606efc01bc8</errorID>
      <errorWord>&lt;</errorWord>
      <group>L1_Format</group>
      <groupName>格式问题</groupName>
      <ability>L2_HalfPunc</ability>
      <abilityName>全半角检查</abilityName>
      <candidateList>
        <item>〈</item>
      </candidateList>
      <explain>文本全半角错误。</explain>
      <paraID>7A0B14A5</paraID>
      <start>54</start>
      <end>55</end>
      <status>unmodified</status>
      <modifiedWord/>
      <trackRevisions>false</trackRevisions>
    </reviewItem>
    <reviewItem>
      <errorID>84f66496-937f-4a14-96ed-6b863ee31388</errorID>
      <errorWord>&gt;</errorWord>
      <group>L1_Format</group>
      <groupName>格式问题</groupName>
      <ability>L2_HalfPunc</ability>
      <abilityName>全半角检查</abilityName>
      <candidateList>
        <item>〉</item>
      </candidateList>
      <explain>文本全半角错误。</explain>
      <paraID>7A0B14A5</paraID>
      <start>80</start>
      <end>81</end>
      <status>unmodified</status>
      <modifiedWord/>
      <trackRevisions>false</trackRevisions>
    </reviewItem>
    <reviewItem>
      <errorID>6defc554-d813-4fe3-b322-df92078f7ed3</errorID>
      <errorWord>[2024]50号</errorWord>
      <group>L1_Knowledge</group>
      <groupName>知识性问题</groupName>
      <ability>L2_Knowledge</ability>
      <abilityName>其他知识</abilityName>
      <candidateList>
        <item>〔2024〕50号</item>
      </candidateList>
      <explain>发文字号格式错误。</explain>
      <paraID>7A0B14A5</paraID>
      <start>91</start>
      <end>100</end>
      <status>unmodified</status>
      <modifiedWord/>
      <trackRevisions>false</trackRevisions>
    </reviewItem>
    <reviewItem>
      <errorID>b72dcd03-08df-4613-9505-b591c1fc943a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4A360F49</paraID>
      <start>0</start>
      <end>2</end>
      <status>unmodified</status>
      <modifiedWord/>
      <trackRevisions>false</trackRevisions>
    </reviewItem>
    <reviewItem>
      <errorID>1c5b46b9-27ac-46bb-9a63-2ab25a4c31f2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5D4BC63A</paraID>
      <start>0</start>
      <end>2</end>
      <status>unmodified</status>
      <modifiedWord/>
      <trackRevisions>false</trackRevisions>
    </reviewItem>
    <reviewItem>
      <errorID>04d5584f-e7ed-43c3-bb79-530265d45179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2B47290E</paraID>
      <start>0</start>
      <end>2</end>
      <status>unmodified</status>
      <modifiedWord/>
      <trackRevisions>false</trackRevisions>
    </reviewItem>
    <reviewItem>
      <errorID>6727a789-5868-4472-8095-21328bde559f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7A55E86B</paraID>
      <start>0</start>
      <end>2</end>
      <status>unmodified</status>
      <modifiedWord/>
      <trackRevisions>false</trackRevisions>
    </reviewItem>
    <reviewItem>
      <errorID>00032abf-38f5-4a17-9c3f-448ac6b02030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58506ED1</paraID>
      <start>0</start>
      <end>2</end>
      <status>unmodified</status>
      <modifiedWord/>
      <trackRevisions>false</trackRevisions>
    </reviewItem>
    <reviewItem>
      <errorID>4e13e9b7-dd6d-4075-8e3d-267380bf6099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20E31E22</paraID>
      <start>0</start>
      <end>2</end>
      <status>unmodified</status>
      <modifiedWord/>
      <trackRevisions>false</trackRevisions>
    </reviewItem>
    <reviewItem>
      <errorID>eebbf7b9-42bf-488a-8caf-3e168afef5e3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13DE25C7</paraID>
      <start>0</start>
      <end>2</end>
      <status>unmodified</status>
      <modifiedWord/>
      <trackRevisions>false</trackRevisions>
    </reviewItem>
    <reviewItem>
      <errorID>d6ac0b2d-b164-4b65-b2ae-b84deb1a0e5f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60ABB546</paraID>
      <start>0</start>
      <end>2</end>
      <status>unmodified</status>
      <modifiedWord/>
      <trackRevisions>false</trackRevisions>
    </reviewItem>
    <reviewItem>
      <errorID>9a321ce6-2a57-4330-8a81-5e75433636c1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979E410</paraID>
      <start>0</start>
      <end>2</end>
      <status>unmodified</status>
      <modifiedWord/>
      <trackRevisions>false</trackRevisions>
    </reviewItem>
    <reviewItem>
      <errorID>055c7b8d-4fc7-4209-b810-90a5865f9fc5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447ED179</paraID>
      <start>0</start>
      <end>2</end>
      <status>unmodified</status>
      <modifiedWord/>
      <trackRevisions>false</trackRevisions>
    </reviewItem>
    <reviewItem>
      <errorID>311e5d52-1f17-4fa3-92cf-e422a6f068af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E9FF87D</paraID>
      <start>0</start>
      <end>2</end>
      <status>unmodified</status>
      <modifiedWord/>
      <trackRevisions>false</trackRevisions>
    </reviewItem>
    <reviewItem>
      <errorID>3334418a-4e9d-4c12-8fa4-0ab370fe4ba6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39C0F7F4</paraID>
      <start>0</start>
      <end>2</end>
      <status>unmodified</status>
      <modifiedWord/>
      <trackRevisions>false</trackRevisions>
    </reviewItem>
    <reviewItem>
      <errorID>403b2d81-e686-4205-86c3-fb5d5a89f887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7AA71D6F</paraID>
      <start>30</start>
      <end>31</end>
      <status>unmodified</status>
      <modifiedWord/>
      <trackRevisions>false</trackRevisions>
    </reviewItem>
    <reviewItem>
      <errorID>d8a4ad7b-fcf8-4944-a70b-e0bff8d68fdf</errorID>
      <errorWord>区区</errorWord>
      <group>L1_Word</group>
      <groupName>字词问题</groupName>
      <ability>L2_Typo</ability>
      <abilityName>字词错误</abilityName>
      <candidateList>
        <item>区</item>
      </candidateList>
      <explain>（區）qū❶区别；划分：～分。❷地区；区域：山～｜市～｜解放～｜工业～｜风景～。❸〈名〉行政区划单位，如自治区、市辖区、县辖区等。</explain>
      <paraID>19F353B1</paraID>
      <start>118</start>
      <end>120</end>
      <status>unmodified</status>
      <modifiedWord/>
      <trackRevisions>false</trackRevisions>
    </reviewItem>
    <reviewItem>
      <errorID>1f7024f1-1035-4c7b-aac1-58f57ba8383e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53C982A2</paraID>
      <start>0</start>
      <end>2</end>
      <status>unmodified</status>
      <modifiedWord/>
      <trackRevisions>false</trackRevisions>
    </reviewItem>
    <reviewItem>
      <errorID>fbd66151-34fb-429b-bc15-27926e0b4044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74A55166</paraID>
      <start>0</start>
      <end>2</end>
      <status>unmodified</status>
      <modifiedWord/>
      <trackRevisions>false</trackRevisions>
    </reviewItem>
    <reviewItem>
      <errorID>4422d11f-22a6-40c0-83ed-20dab89b4b7e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2D24F1F</paraID>
      <start>0</start>
      <end>2</end>
      <status>unmodified</status>
      <modifiedWord/>
      <trackRevisions>false</trackRevisions>
    </reviewItem>
    <reviewItem>
      <errorID>398b704c-bca2-44aa-a26d-4e9b87c2687f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46723A6F</paraID>
      <start>0</start>
      <end>2</end>
      <status>unmodified</status>
      <modifiedWord/>
      <trackRevisions>false</trackRevisions>
    </reviewItem>
    <reviewItem>
      <errorID>ea15ac44-a302-4b84-ba0c-d85132f611c2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52370185</paraID>
      <start>0</start>
      <end>2</end>
      <status>unmodified</status>
      <modifiedWord/>
      <trackRevisions>false</trackRevisions>
    </reviewItem>
    <reviewItem>
      <errorID>d356d364-0315-4b4a-881c-539e824f9bfb</errorID>
      <errorWord>1、</errorWord>
      <group>L1_Format</group>
      <groupName>格式问题</groupName>
      <ability>L2_Ordinal</ability>
      <abilityName>序号格式</abilityName>
      <candidateList>
        <item>1.</item>
      </candidateList>
      <explain>当前序号格式不规范，建议修改为规范格式[1.]。</explain>
      <paraID>1D1E6307</paraID>
      <start>0</start>
      <end>2</end>
      <status>unmodified</status>
      <modifiedWord/>
      <trackRevisions>false</trackRevisions>
    </reviewItem>
    <reviewItem>
      <errorID>e3092d9a-3d8e-400b-bdaf-bc76bb3a6115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7CE57867</paraID>
      <start>0</start>
      <end>2</end>
      <status>unmodified</status>
      <modifiedWord/>
      <trackRevisions>false</trackRevisions>
    </reviewItem>
    <reviewItem>
      <errorID>e2a2e5a5-e36b-416e-98da-b18e2abe12bf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16680412</paraID>
      <start>0</start>
      <end>2</end>
      <status>unmodified</status>
      <modifiedWord/>
      <trackRevisions>false</trackRevisions>
    </reviewItem>
    <reviewItem>
      <errorID>8f136c90-da55-4ae3-94a1-3457ed7d5463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36D738FB</paraID>
      <start>0</start>
      <end>2</end>
      <status>unmodified</status>
      <modifiedWord/>
      <trackRevisions>false</trackRevisions>
    </reviewItem>
    <reviewItem>
      <errorID>5e39b7c2-12a9-47d6-90d0-a70c6a67c6c4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79B1BDF0</paraID>
      <start>0</start>
      <end>2</end>
      <status>unmodified</status>
      <modifiedWord/>
      <trackRevisions>false</trackRevisions>
    </reviewItem>
    <reviewItem>
      <errorID>b8ce81e0-43ff-40fd-a335-1030b684a294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32D08857</paraID>
      <start>0</start>
      <end>2</end>
      <status>unmodified</status>
      <modifiedWord/>
      <trackRevisions>false</trackRevisions>
    </reviewItem>
    <reviewItem>
      <errorID>ebf8c62b-5145-46ab-b21b-e58e3383e989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50B37AB</paraID>
      <start>0</start>
      <end>2</end>
      <status>unmodified</status>
      <modifiedWord/>
      <trackRevisions>false</trackRevisions>
    </reviewItem>
    <reviewItem>
      <errorID>09f23209-622f-44f5-bf1c-a8853b8e5616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1A63483B</paraID>
      <start>0</start>
      <end>2</end>
      <status>unmodified</status>
      <modifiedWord/>
      <trackRevisions>false</trackRevisions>
    </reviewItem>
    <reviewItem>
      <errorID>1a6f405f-3590-4dff-95f7-c22a55cdf460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6DD6C03E</paraID>
      <start>0</start>
      <end>2</end>
      <status>unmodified</status>
      <modifiedWord/>
      <trackRevisions>false</trackRevisions>
    </reviewItem>
    <reviewItem>
      <errorID>aab48ee7-635d-4ae0-8d82-9239c7427243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629A0F4B</paraID>
      <start>0</start>
      <end>2</end>
      <status>unmodified</status>
      <modifiedWord/>
      <trackRevisions>false</trackRevisions>
    </reviewItem>
    <reviewItem>
      <errorID>72e98721-0fb6-40e1-8e71-53e74d8bdefa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AA26C7F</paraID>
      <start>0</start>
      <end>2</end>
      <status>unmodified</status>
      <modifiedWord/>
      <trackRevisions>false</trackRevisions>
    </reviewItem>
    <reviewItem>
      <errorID>a09fdff2-e9af-41b6-bc9e-9b34a225e358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1428FDD6</paraID>
      <start>0</start>
      <end>2</end>
      <status>modified</status>
      <modifiedWord>2.</modifiedWord>
      <trackRevisions>false</trackRevisions>
    </reviewItem>
    <reviewItem>
      <errorID>a4d7b5d7-1bde-4463-8e7c-c7e9bb85bd79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39EA8FA</paraID>
      <start>0</start>
      <end>2</end>
      <status>unmodified</status>
      <modifiedWord/>
      <trackRevisions>false</trackRevisions>
    </reviewItem>
    <reviewItem>
      <errorID>ff1fb8a5-c74f-4331-a76c-7da6525d7fe5</errorID>
      <errorWord>内内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712F7F17</paraID>
      <start>36</start>
      <end>37</end>
      <status>modified</status>
      <modifiedWord>内</modifiedWord>
      <trackRevisions>false</trackRevisions>
    </reviewItem>
    <reviewItem>
      <errorID>117eb02f-b653-4f73-94fe-022ab5c6f944</errorID>
      <errorWord>内内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18B84922</paraID>
      <start>19</start>
      <end>21</end>
      <status>unmodified</status>
      <modifiedWord/>
      <trackRevisions>false</trackRevisions>
    </reviewItem>
    <reviewItem>
      <errorID>ca02a2c9-3d45-4826-928c-67854c028c0f</errorID>
      <errorWord>内内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3DB2FF1D</paraID>
      <start>35</start>
      <end>36</end>
      <status>modified</status>
      <modifiedWord>内</modifiedWord>
      <trackRevisions>false</trackRevisions>
    </reviewItem>
    <reviewItem>
      <errorID>3ac7c4e0-b5f5-4677-ae3b-827d5ea42848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53636C96</paraID>
      <start>0</start>
      <end>2</end>
      <status>unmodified</status>
      <modifiedWord/>
      <trackRevisions>false</trackRevisions>
    </reviewItem>
    <reviewItem>
      <errorID>d4c9049c-2117-4dbe-97a9-e77bfbb3889c</errorID>
      <errorWord>[2018]74号</errorWord>
      <group>L1_Knowledge</group>
      <groupName>知识性问题</groupName>
      <ability>L2_Knowledge</ability>
      <abilityName>其他知识</abilityName>
      <candidateList>
        <item>〔2018〕74号</item>
      </candidateList>
      <explain>发文字号格式错误。</explain>
      <paraID>28499CB2</paraID>
      <start>22</start>
      <end>31</end>
      <status>unmodified</status>
      <modifiedWord/>
      <trackRevisions>false</trackRevisions>
    </reviewItem>
    <reviewItem>
      <errorID>ea754837-86bb-484b-918f-88b58704c4c0</errorID>
      <errorWord>[2020]1号</errorWord>
      <group>L1_Knowledge</group>
      <groupName>知识性问题</groupName>
      <ability>L2_Knowledge</ability>
      <abilityName>其他知识</abilityName>
      <candidateList>
        <item>〔2020〕1号</item>
      </candidateList>
      <explain>发文字号格式错误。</explain>
      <paraID>28499CB2</paraID>
      <start>52</start>
      <end>60</end>
      <status>unmodified</status>
      <modifiedWord/>
      <trackRevisions>false</trackRevisions>
    </reviewItem>
    <reviewItem>
      <errorID>9750df15-78bb-4edd-88bc-b6a24aca31ad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73732BFE</paraID>
      <start>0</start>
      <end>2</end>
      <status>unmodified</status>
      <modifiedWord/>
      <trackRevisions>false</trackRevisions>
    </reviewItem>
    <reviewItem>
      <errorID>4622daf9-419f-4597-b14c-76aaf8693543</errorID>
      <errorWord>(</errorWord>
      <group>L1_Format</group>
      <groupName>格式问题</groupName>
      <ability>L2_HalfPunc</ability>
      <abilityName>全半角检查</abilityName>
      <candidateList>
        <item>（</item>
      </candidateList>
      <explain>文本全半角错误。</explain>
      <paraID>246BAB35</paraID>
      <start>35</start>
      <end>36</end>
      <status>unmodified</status>
      <modifiedWord/>
      <trackRevisions>false</trackRevisions>
    </reviewItem>
    <reviewItem>
      <errorID>ccadfeaa-7bb6-4233-844a-b5881628d096</errorID>
      <errorWord>5)、</errorWord>
      <group>L1_Punc</group>
      <groupName>标点问题</groupName>
      <ability>L2_Punc</ability>
      <abilityName>标点符号检查</abilityName>
      <candidateList>
        <item>5)</item>
      </candidateList>
      <explain>根据国标GB/T 15834-2011《标点符号用法》中的4.5.3.3节，带括号的汉字数字或阿拉伯数字表次序时，后面通常不加顿号。如“（一）指导思想”“（二）行动指南”。</explain>
      <paraID>246BAB35</paraID>
      <start>40</start>
      <end>43</end>
      <status>unmodified</status>
      <modifiedWord/>
      <trackRevisions>false</trackRevisions>
    </reviewItem>
    <reviewItem>
      <errorID>567d4ac7-1e70-4d01-979b-964e35fec714</errorID>
      <errorWord>(</errorWord>
      <group>L1_Format</group>
      <groupName>格式问题</groupName>
      <ability>L2_HalfPunc</ability>
      <abilityName>全半角检查</abilityName>
      <candidateList>
        <item>（</item>
      </candidateList>
      <explain>文本全半角错误。</explain>
      <paraID>246BAB35</paraID>
      <start>49</start>
      <end>50</end>
      <status>unmodified</status>
      <modifiedWord/>
      <trackRevisions>false</trackRevisions>
    </reviewItem>
    <reviewItem>
      <errorID>77f3f90a-d28c-4845-bb62-83bd1909daa1</errorID>
      <errorWord>)</errorWord>
      <group>L1_Format</group>
      <groupName>格式问题</groupName>
      <ability>L2_HalfPunc</ability>
      <abilityName>全半角检查</abilityName>
      <candidateList>
        <item>）</item>
      </candidateList>
      <explain>文本全半角错误。</explain>
      <paraID>246BAB35</paraID>
      <start>54</start>
      <end>55</end>
      <status>unmodified</status>
      <modifiedWord/>
      <trackRevisions>false</trackRevisions>
    </reviewItem>
    <reviewItem>
      <errorID>da88648a-da44-422d-89fd-a976a3bc7867</errorID>
      <errorWord>(</errorWord>
      <group>L1_Format</group>
      <groupName>格式问题</groupName>
      <ability>L2_HalfPunc</ability>
      <abilityName>全半角检查</abilityName>
      <candidateList>
        <item>（</item>
      </candidateList>
      <explain>文本全半角错误。</explain>
      <paraID>246BAB35</paraID>
      <start>152</start>
      <end>153</end>
      <status>unmodified</status>
      <modifiedWord/>
      <trackRevisions>false</trackRevisions>
    </reviewItem>
    <reviewItem>
      <errorID>16be4225-7623-4671-9094-9f7518cb2838</errorID>
      <errorWord>)</errorWord>
      <group>L1_Format</group>
      <groupName>格式问题</groupName>
      <ability>L2_HalfPunc</ability>
      <abilityName>全半角检查</abilityName>
      <candidateList>
        <item>）</item>
      </candidateList>
      <explain>文本全半角错误。</explain>
      <paraID>246BAB35</paraID>
      <start>164</start>
      <end>165</end>
      <status>unmodified</status>
      <modifiedWord/>
      <trackRevisions>false</trackRevisions>
    </reviewItem>
    <reviewItem>
      <errorID>a556ff80-6795-4406-8d80-529e64b097c3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1898381C</paraID>
      <start>0</start>
      <end>2</end>
      <status>unmodified</status>
      <modifiedWord/>
      <trackRevisions>false</trackRevisions>
    </reviewItem>
    <reviewItem>
      <errorID>e3bed7c3-9bee-405a-a9b6-2511766a4eb6</errorID>
      <errorWord>上线</errorWord>
      <group>L1_Word</group>
      <groupName>字词问题</groupName>
      <ability>L2_Typo</ability>
      <abilityName>字词错误</abilityName>
      <candidateList>
        <item>上限</item>
      </candidateList>
      <explain/>
      <paraID>22AD3F86</paraID>
      <start>61</start>
      <end>63</end>
      <status>unmodified</status>
      <modifiedWord/>
      <trackRevisions>false</trackRevisions>
    </reviewItem>
    <reviewItem>
      <errorID>19fc3ff1-544e-483b-8746-09992124350b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6B6AB7BE</paraID>
      <start>0</start>
      <end>2</end>
      <status>unmodified</status>
      <modifiedWord/>
      <trackRevisions>false</trackRevisions>
    </reviewItem>
    <reviewItem>
      <errorID>b7bacc40-9de1-4219-b1ec-f651654ba84b</errorID>
      <errorWord>法律、法规</errorWord>
      <group>L1_Word</group>
      <groupName>字词问题</groupName>
      <ability>L2_Typo</ability>
      <abilityName>字词错误</abilityName>
      <candidateList>
        <item>法律法规</item>
      </candidateList>
      <explain/>
      <paraID>610C3543</paraID>
      <start>18</start>
      <end>23</end>
      <status>unmodified</status>
      <modifiedWord/>
      <trackRevisions>false</trackRevisions>
    </reviewItem>
    <reviewItem>
      <errorID>4db5a218-5763-4768-8554-cad3cbfbd0be</errorID>
      <errorWord>&lt;</errorWord>
      <group>L1_Format</group>
      <groupName>格式问题</groupName>
      <ability>L2_HalfPunc</ability>
      <abilityName>全半角检查</abilityName>
      <candidateList>
        <item>〈</item>
      </candidateList>
      <explain>文本全半角错误。</explain>
      <paraID>7642580A</paraID>
      <start>30</start>
      <end>31</end>
      <status>unmodified</status>
      <modifiedWord/>
      <trackRevisions>false</trackRevisions>
    </reviewItem>
    <reviewItem>
      <errorID>b60fb607-c4c4-4ea0-8022-2304d6f713c3</errorID>
      <errorWord>&gt;</errorWord>
      <group>L1_Format</group>
      <groupName>格式问题</groupName>
      <ability>L2_HalfPunc</ability>
      <abilityName>全半角检查</abilityName>
      <candidateList>
        <item>〉</item>
      </candidateList>
      <explain>文本全半角错误。</explain>
      <paraID>7642580A</paraID>
      <start>55</start>
      <end>56</end>
      <status>unmodified</status>
      <modifiedWord/>
      <trackRevisions>false</trackRevisions>
    </reviewItem>
    <reviewItem>
      <errorID>cba336b3-b632-4af8-9215-c5e7e5283e1a</errorID>
      <errorWord>&lt;</errorWord>
      <group>L1_Format</group>
      <groupName>格式问题</groupName>
      <ability>L2_HalfPunc</ability>
      <abilityName>全半角检查</abilityName>
      <candidateList>
        <item>〈</item>
      </candidateList>
      <explain>文本全半角错误。</explain>
      <paraID>397BA7FC</paraID>
      <start>8</start>
      <end>9</end>
      <status>unmodified</status>
      <modifiedWord/>
      <trackRevisions>false</trackRevisions>
    </reviewItem>
    <reviewItem>
      <errorID>6882b22f-53f9-424c-85b0-36d92dc8121e</errorID>
      <errorWord>&gt;</errorWord>
      <group>L1_Format</group>
      <groupName>格式问题</groupName>
      <ability>L2_HalfPunc</ability>
      <abilityName>全半角检查</abilityName>
      <candidateList>
        <item>〉</item>
      </candidateList>
      <explain>文本全半角错误。</explain>
      <paraID>397BA7FC</paraID>
      <start>33</start>
      <end>34</end>
      <status>unmodified</status>
      <modifiedWord/>
      <trackRevisions>false</trackRevisions>
    </reviewItem>
    <reviewItem>
      <errorID>13f4ca8d-b785-4502-857d-5ad6183457a6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5EA95A8</paraID>
      <start>35</start>
      <end>36</end>
      <status>unmodified</status>
      <modifiedWord/>
      <trackRevisions>false</trackRevisions>
    </reviewItem>
    <reviewItem>
      <errorID>0367cfe3-9468-412d-b0c0-3244dd767ce1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5EA95A8</paraID>
      <start>60</start>
      <end>61</end>
      <status>unmodified</status>
      <modifiedWord/>
      <trackRevisions>false</trackRevisions>
    </reviewItem>
    <reviewItem>
      <errorID>00ed5dc2-23a7-456e-b19e-55bb146afa58</errorID>
      <errorWord>》</errorWord>
      <group>L1_Word</group>
      <groupName>字词问题</groupName>
      <ability>L2_Typo</ability>
      <abilityName>字词错误</abilityName>
      <candidateList>
        <item>》和</item>
      </candidateList>
      <explain/>
      <paraID>458396C6</paraID>
      <start>71</start>
      <end>72</end>
      <status>unmodified</status>
      <modifiedWord/>
      <trackRevisions>false</trackRevisions>
    </reviewItem>
    <reviewItem>
      <errorID>abeae701-c29d-4ca1-bc23-98fa398df902</errorID>
      <errorWord>其它</errorWord>
      <group>L1_Word</group>
      <groupName>字词问题</groupName>
      <ability>L2_Alias</ability>
      <abilityName>也作/曾用词</abilityName>
      <candidateList>
        <item>其他</item>
      </candidateList>
      <explain>词汇[其它]为不规范表述或旧称，其规范书面表述为[其他]。</explain>
      <paraID>5F85B3B5</paraID>
      <start>52</start>
      <end>54</end>
      <status>unmodified</status>
      <modifiedWord/>
      <trackRevisions>false</trackRevisions>
    </reviewItem>
    <reviewItem>
      <errorID>009134b8-edeb-401b-82a7-cf28f0d44c50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39B6613E</paraID>
      <start>0</start>
      <end>2</end>
      <status>unmodified</status>
      <modifiedWord/>
      <trackRevisions>false</trackRevisions>
    </reviewItem>
    <reviewItem>
      <errorID>6fa562d7-3555-4243-bb0e-4280a56a5dd0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9048E9D</paraID>
      <start>0</start>
      <end>2</end>
      <status>unmodified</status>
      <modifiedWord/>
      <trackRevisions>false</trackRevisions>
    </reviewItem>
    <reviewItem>
      <errorID>3085be7e-837c-4bc1-b6ed-ab63ea962f2e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EDFC74C</paraID>
      <start>0</start>
      <end>2</end>
      <status>unmodified</status>
      <modifiedWord/>
      <trackRevisions>false</trackRevisions>
    </reviewItem>
    <reviewItem>
      <errorID>cc90b5a2-172e-4cb1-882f-6d918534b723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39ED732B</paraID>
      <start>0</start>
      <end>2</end>
      <status>unmodified</status>
      <modifiedWord/>
      <trackRevisions>false</trackRevisions>
    </reviewItem>
    <reviewItem>
      <errorID>21c4e284-8aa8-482b-9dbb-66178ea1743b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65681A2D</paraID>
      <start>0</start>
      <end>2</end>
      <status>unmodified</status>
      <modifiedWord/>
      <trackRevisions>false</trackRevisions>
    </reviewItem>
    <reviewItem>
      <errorID>31026db0-0f10-4a96-945e-bfe82ade900a</errorID>
      <errorWord>[2020]1号</errorWord>
      <group>L1_Knowledge</group>
      <groupName>知识性问题</groupName>
      <ability>L2_Knowledge</ability>
      <abilityName>其他知识</abilityName>
      <candidateList>
        <item>〔2020〕1号</item>
      </candidateList>
      <explain>发文字号格式错误。</explain>
      <paraID>65C11D37</paraID>
      <start>39</start>
      <end>47</end>
      <status>unmodified</status>
      <modifiedWord/>
      <trackRevisions>false</trackRevisions>
    </reviewItem>
    <reviewItem>
      <errorID>8a49f254-5262-4ed5-b439-58d2340b6733</errorID>
      <errorWord>内内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16EE5816</paraID>
      <start>19</start>
      <end>20</end>
      <status>modified</status>
      <modifiedWord>内</modifiedWord>
      <trackRevisions>false</trackRevisions>
    </reviewItem>
    <reviewItem>
      <errorID>5981ba01-8593-4cf8-88cb-70b0e06df0fe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6CF418D</paraID>
      <start>0</start>
      <end>2</end>
      <status>unmodified</status>
      <modifiedWord/>
      <trackRevisions>false</trackRevisions>
    </reviewItem>
    <reviewItem>
      <errorID>e48c1641-d817-42fb-b75b-7cbba95e6cb7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58126DCD</paraID>
      <start>0</start>
      <end>2</end>
      <status>unmodified</status>
      <modifiedWord/>
      <trackRevisions>false</trackRevisions>
    </reviewItem>
    <reviewItem>
      <errorID>c6c98a32-09b1-45c3-b2cc-a24d2c3f8a12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560B386C</paraID>
      <start>0</start>
      <end>2</end>
      <status>unmodified</status>
      <modifiedWord/>
      <trackRevisions>false</trackRevisions>
    </reviewItem>
    <reviewItem>
      <errorID>2db170b2-dd41-4d4e-8fe8-a488efa1e334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2B89A5DF</paraID>
      <start>0</start>
      <end>2</end>
      <status>unmodified</status>
      <modifiedWord/>
      <trackRevisions>false</trackRevisions>
    </reviewItem>
    <reviewItem>
      <errorID>92c2f831-3811-46f1-9a33-9c6d40ebb49b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5AAD218B</paraID>
      <start>0</start>
      <end>2</end>
      <status>unmodified</status>
      <modifiedWord/>
      <trackRevisions>false</trackRevisions>
    </reviewItem>
    <reviewItem>
      <errorID>77f15eba-22f5-4f91-a5d8-690ef3135491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3EECC0EA</paraID>
      <start>0</start>
      <end>2</end>
      <status>unmodified</status>
      <modifiedWord/>
      <trackRevisions>false</trackRevisions>
    </reviewItem>
    <reviewItem>
      <errorID>752fcda7-b0ed-4005-a487-88ac958fe8ae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1BB1AEAC</paraID>
      <start>0</start>
      <end>2</end>
      <status>unmodified</status>
      <modifiedWord/>
      <trackRevisions>false</trackRevisions>
    </reviewItem>
    <reviewItem>
      <errorID>7d11f9c2-bc69-473b-9471-1988c8aa4dc6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1BB1AEAC</paraID>
      <start>46</start>
      <end>47</end>
      <status>unmodified</status>
      <modifiedWord/>
      <trackRevisions>false</trackRevisions>
    </reviewItem>
    <reviewItem>
      <errorID>74e6922d-e14b-406e-a5c8-b8391a9578ce</errorID>
      <errorWord>》</errorWord>
      <group>L1_Word</group>
      <groupName>字词问题</groupName>
      <ability>L2_Typo</ability>
      <abilityName>字词错误</abilityName>
      <candidateList>
        <item>》和</item>
      </candidateList>
      <explain/>
      <paraID>1BB1AEAC</paraID>
      <start>53</start>
      <end>54</end>
      <status>unmodified</status>
      <modifiedWord/>
      <trackRevisions>false</trackRevisions>
    </reviewItem>
    <reviewItem>
      <errorID>bfaa3f2d-adfd-42c8-b424-8fa845f53813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1BB1AEAC</paraID>
      <start>71</start>
      <end>72</end>
      <status>unmodified</status>
      <modifiedWord/>
      <trackRevisions>false</trackRevisions>
    </reviewItem>
    <reviewItem>
      <errorID>0c3944c2-46a6-45a2-85c5-ad1453af1b9a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A86B1E9</paraID>
      <start>0</start>
      <end>2</end>
      <status>unmodified</status>
      <modifiedWord/>
      <trackRevisions>false</trackRevisions>
    </reviewItem>
    <reviewItem>
      <errorID>d667bbe7-1bad-470b-a8d1-83c2e5237a97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699297C8</paraID>
      <start>0</start>
      <end>2</end>
      <status>unmodified</status>
      <modifiedWord/>
      <trackRevisions>false</trackRevisions>
    </reviewItem>
    <reviewItem>
      <errorID>910446ee-d60d-41c3-a4ca-de1523452be8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37D5D44F</paraID>
      <start>0</start>
      <end>2</end>
      <status>unmodified</status>
      <modifiedWord/>
      <trackRevisions>false</trackRevisions>
    </reviewItem>
    <reviewItem>
      <errorID>096c8f08-3a07-4452-8040-0634d7023480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23D9F8EF</paraID>
      <start>0</start>
      <end>2</end>
      <status>unmodified</status>
      <modifiedWord/>
      <trackRevisions>false</trackRevisions>
    </reviewItem>
    <reviewItem>
      <errorID>305a4449-6b55-4dc5-8619-d69133d7e0b9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7C2FAD61</paraID>
      <start>0</start>
      <end>2</end>
      <status>unmodified</status>
      <modifiedWord/>
      <trackRevisions>false</trackRevisions>
    </reviewItem>
    <reviewItem>
      <errorID>1ab7d4a9-f03f-41cf-98c1-d907c0ab6d8b</errorID>
      <errorWord>[2024]273号</errorWord>
      <group>L1_Knowledge</group>
      <groupName>知识性问题</groupName>
      <ability>L2_Knowledge</ability>
      <abilityName>其他知识</abilityName>
      <candidateList>
        <item>〔2024〕273号</item>
      </candidateList>
      <explain>发文字号格式错误。</explain>
      <paraID>59C856C4</paraID>
      <start>143</start>
      <end>153</end>
      <status>unmodified</status>
      <modifiedWord/>
      <trackRevisions>false</trackRevisions>
    </reviewItem>
    <reviewItem>
      <errorID>0f0a0f84-1a75-49cc-8f49-679d28c314c6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59C856C4</paraID>
      <start>175</start>
      <end>178</end>
      <status>unmodified</status>
      <modifiedWord/>
      <trackRevisions>false</trackRevisions>
    </reviewItem>
    <reviewItem>
      <errorID>1f4fc752-f599-42dc-a0fc-d1d22e43c400</errorID>
      <errorWord>[2025]70号</errorWord>
      <group>L1_Knowledge</group>
      <groupName>知识性问题</groupName>
      <ability>L2_Knowledge</ability>
      <abilityName>其他知识</abilityName>
      <candidateList>
        <item>〔2025〕70号</item>
      </candidateList>
      <explain>发文字号格式错误。</explain>
      <paraID>59C856C4</paraID>
      <start>239</start>
      <end>248</end>
      <status>unmodified</status>
      <modifiedWord/>
      <trackRevisions>false</trackRevisions>
    </reviewItem>
    <reviewItem>
      <errorID>881c97fc-6601-489d-b475-b87abfd52fb7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5090110B</paraID>
      <start>0</start>
      <end>2</end>
      <status>unmodified</status>
      <modifiedWord/>
      <trackRevisions>false</trackRevisions>
    </reviewItem>
    <reviewItem>
      <errorID>400ee5f3-c7ca-46b9-bcd1-94cb4ea3005a</errorID>
      <errorWord>[2019]36号</errorWord>
      <group>L1_Knowledge</group>
      <groupName>知识性问题</groupName>
      <ability>L2_Knowledge</ability>
      <abilityName>其他知识</abilityName>
      <candidateList>
        <item>〔2019〕36号</item>
      </candidateList>
      <explain>发文字号格式错误。</explain>
      <paraID>5090110B</paraID>
      <start>35</start>
      <end>44</end>
      <status>unmodified</status>
      <modifiedWord/>
      <trackRevisions>false</trackRevisions>
    </reviewItem>
    <reviewItem>
      <errorID>c4d35054-9cdf-46a9-b9a8-9b52b26e8dc9</errorID>
      <errorWord>[2019]36号</errorWord>
      <group>L1_Knowledge</group>
      <groupName>知识性问题</groupName>
      <ability>L2_Knowledge</ability>
      <abilityName>其他知识</abilityName>
      <candidateList>
        <item>〔2019〕36号</item>
      </candidateList>
      <explain>发文字号格式错误。</explain>
      <paraID>41EAAF3C</paraID>
      <start>36</start>
      <end>45</end>
      <status>unmodified</status>
      <modifiedWord/>
      <trackRevisions>false</trackRevisions>
    </reviewItem>
    <reviewItem>
      <errorID>2993c158-d47c-45b0-a4d9-6fded0a7da1a</errorID>
      <errorWord>[2019]36号</errorWord>
      <group>L1_Knowledge</group>
      <groupName>知识性问题</groupName>
      <ability>L2_Knowledge</ability>
      <abilityName>其他知识</abilityName>
      <candidateList>
        <item>〔2019〕36号</item>
      </candidateList>
      <explain>发文字号格式错误。</explain>
      <paraID>41EAAF3C</paraID>
      <start>72</start>
      <end>81</end>
      <status>unmodified</status>
      <modifiedWord/>
      <trackRevisions>false</trackRevisions>
    </reviewItem>
    <reviewItem>
      <errorID>cc7d8ce1-d1b0-4968-9ae0-0a01e18bb09e</errorID>
      <errorWord>[2019]36号</errorWord>
      <group>L1_Knowledge</group>
      <groupName>知识性问题</groupName>
      <ability>L2_Knowledge</ability>
      <abilityName>其他知识</abilityName>
      <candidateList>
        <item>〔2019〕36号</item>
      </candidateList>
      <explain>发文字号格式错误。</explain>
      <paraID>63515B46</paraID>
      <start>10</start>
      <end>19</end>
      <status>unmodified</status>
      <modifiedWord/>
      <trackRevisions>false</trackRevisions>
    </reviewItem>
    <reviewItem>
      <errorID>3a0e7d7f-e4b2-4ba3-9f0b-e16ca74ae701</errorID>
      <errorWord>II</errorWord>
      <group>L1_Knowledge</group>
      <groupName>知识性问题</groupName>
      <ability>L2_Knowledge</ability>
      <abilityName>其他知识</abilityName>
      <candidateList>
        <item>Ⅱ</item>
      </candidateList>
      <explain/>
      <paraID>3737E8D7</paraID>
      <start>90</start>
      <end>91</end>
      <status>modified</status>
      <modifiedWord>Ⅱ</modifiedWord>
      <trackRevisions>false</trackRevisions>
    </reviewItem>
    <reviewItem>
      <errorID>09536072-e8db-4852-9ea9-fdc6d3149168</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3D397A36</paraID>
      <start>49</start>
      <end>51</end>
      <status>unmodified</status>
      <modifiedWord/>
      <trackRevisions>false</trackRevisions>
    </reviewItem>
    <reviewItem>
      <errorID>4bd23568-a96a-4b7c-8ae0-967812ba0593</errorID>
      <errorWord>胜</errorWord>
      <group>L1_Word</group>
      <groupName>字词问题</groupName>
      <ability>L2_Typo</ability>
      <abilityName>字词错误</abilityName>
      <candidateList>
        <item>胜区</item>
      </candidateList>
      <explain/>
      <paraID>  199415</paraID>
      <start>70</start>
      <end>71</end>
      <status>unmodified</status>
      <modifiedWord/>
      <trackRevisions>false</trackRevisions>
    </reviewItem>
    <reviewItem>
      <errorID>63fa3b9c-7584-4419-a7d0-32a495688023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5BE47AE1</paraID>
      <start>0</start>
      <end>2</end>
      <status>unmodified</status>
      <modifiedWord/>
      <trackRevisions>false</trackRevisions>
    </reviewItem>
    <reviewItem>
      <errorID>4540310c-7c7c-4e88-856f-655433c8e6c3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2413662</paraID>
      <start>0</start>
      <end>2</end>
      <status>unmodified</status>
      <modifiedWord/>
      <trackRevisions>false</trackRevisions>
    </reviewItem>
    <reviewItem>
      <errorID>7b9fa150-09db-42a9-9553-3a3dbf39809d</errorID>
      <errorWord>[2021]45号</errorWord>
      <group>L1_Knowledge</group>
      <groupName>知识性问题</groupName>
      <ability>L2_Knowledge</ability>
      <abilityName>其他知识</abilityName>
      <candidateList>
        <item>〔2021〕45号</item>
      </candidateList>
      <explain>发文字号格式错误。</explain>
      <paraID> 2413662</paraID>
      <start>37</start>
      <end>46</end>
      <status>unmodified</status>
      <modifiedWord/>
      <trackRevisions>false</trackRevisions>
    </reviewItem>
    <reviewItem>
      <errorID>81f8e8dd-3042-45f4-ab36-f65a98e1f64b</errorID>
      <errorWord>(</errorWord>
      <group>L1_Format</group>
      <groupName>格式问题</groupName>
      <ability>L2_HalfPunc</ability>
      <abilityName>全半角检查</abilityName>
      <candidateList>
        <item>（</item>
      </candidateList>
      <explain>文本全半角错误。</explain>
      <paraID> 2413662</paraID>
      <start>62</start>
      <end>63</end>
      <status>unmodified</status>
      <modifiedWord/>
      <trackRevisions>false</trackRevisions>
    </reviewItem>
    <reviewItem>
      <errorID>1482d645-7ff2-40ac-ad5f-33db4bba77d5</errorID>
      <errorWord>)</errorWord>
      <group>L1_Format</group>
      <groupName>格式问题</groupName>
      <ability>L2_HalfPunc</ability>
      <abilityName>全半角检查</abilityName>
      <candidateList>
        <item>）</item>
      </candidateList>
      <explain>文本全半角错误。</explain>
      <paraID> 2413662</paraID>
      <start>69</start>
      <end>70</end>
      <status>unmodified</status>
      <modifiedWord/>
      <trackRevisions>false</trackRevisions>
    </reviewItem>
    <reviewItem>
      <errorID>5de0b64d-20d4-4034-93e2-879190490d7e</errorID>
      <errorWord>[2021]45号</errorWord>
      <group>L1_Knowledge</group>
      <groupName>知识性问题</groupName>
      <ability>L2_Knowledge</ability>
      <abilityName>其他知识</abilityName>
      <candidateList>
        <item>〔2021〕45号</item>
      </candidateList>
      <explain>发文字号格式错误。</explain>
      <paraID>1ACFEE7F</paraID>
      <start>4</start>
      <end>13</end>
      <status>unmodified</status>
      <modifiedWord/>
      <trackRevisions>false</trackRevisions>
    </reviewItem>
    <reviewItem>
      <errorID>bad52b51-39ef-4e50-a602-519aa49dcea2</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1ACFEE7F</paraID>
      <start>38</start>
      <end>39</end>
      <status>unmodified</status>
      <modifiedWord/>
      <trackRevisions>false</trackRevisions>
    </reviewItem>
    <reviewItem>
      <errorID>d2699475-607b-4298-8a82-3fc33f967b46</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1ACFEE7F</paraID>
      <start>41</start>
      <end>42</end>
      <status>unmodified</status>
      <modifiedWord/>
      <trackRevisions>false</trackRevisions>
    </reviewItem>
    <reviewItem>
      <errorID>943cbe28-290a-4c7d-b895-5185f2886ec7</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1ACFEE7F</paraID>
      <start>240</start>
      <end>241</end>
      <status>unmodified</status>
      <modifiedWord/>
      <trackRevisions>false</trackRevisions>
    </reviewItem>
    <reviewItem>
      <errorID>747dce3c-8567-4e3b-a227-a73b3a83a6ca</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1ACFEE7F</paraID>
      <start>243</start>
      <end>244</end>
      <status>unmodified</status>
      <modifiedWord/>
      <trackRevisions>false</trackRevisions>
    </reviewItem>
    <reviewItem>
      <errorID>b8b943c1-2511-46f1-8f7e-4b6ad1bb4aa6</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1ACFEE7F</paraID>
      <start>282</start>
      <end>283</end>
      <status>unmodified</status>
      <modifiedWord/>
      <trackRevisions>false</trackRevisions>
    </reviewItem>
    <reviewItem>
      <errorID>fd54849a-a09c-4df2-aa76-fe2c8da1c9ad</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1ACFEE7F</paraID>
      <start>285</start>
      <end>286</end>
      <status>unmodified</status>
      <modifiedWord/>
      <trackRevisions>false</trackRevisions>
    </reviewItem>
    <reviewItem>
      <errorID>f47beb8b-ce76-4a07-aa09-ebebaf8ed4b7</errorID>
      <errorWord>(</errorWord>
      <group>L1_Format</group>
      <groupName>格式问题</groupName>
      <ability>L2_HalfPunc</ability>
      <abilityName>全半角检查</abilityName>
      <candidateList>
        <item>（</item>
      </candidateList>
      <explain>文本全半角错误。</explain>
      <paraID>35FD4E03</paraID>
      <start>55</start>
      <end>56</end>
      <status>unmodified</status>
      <modifiedWord/>
      <trackRevisions>false</trackRevisions>
    </reviewItem>
    <reviewItem>
      <errorID>4fe5b675-2352-4c04-a435-e6cc432e72dc</errorID>
      <errorWord>)</errorWord>
      <group>L1_Format</group>
      <groupName>格式问题</groupName>
      <ability>L2_HalfPunc</ability>
      <abilityName>全半角检查</abilityName>
      <candidateList>
        <item>）</item>
      </candidateList>
      <explain>文本全半角错误。</explain>
      <paraID>35FD4E03</paraID>
      <start>62</start>
      <end>63</end>
      <status>unmodified</status>
      <modifiedWord/>
      <trackRevisions>false</trackRevisions>
    </reviewItem>
    <reviewItem>
      <errorID>da18f358-551e-4f1e-abd3-7a6b9e6a3264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51A6ABB2</paraID>
      <start>0</start>
      <end>2</end>
      <status>unmodified</status>
      <modifiedWord/>
      <trackRevisions>false</trackRevisions>
    </reviewItem>
    <reviewItem>
      <errorID>f7407ebe-8f17-408a-a0ae-be8796c8f096</errorID>
      <errorWord>[2021]837号</errorWord>
      <group>L1_Knowledge</group>
      <groupName>知识性问题</groupName>
      <ability>L2_Knowledge</ability>
      <abilityName>其他知识</abilityName>
      <candidateList>
        <item>〔2021〕837号</item>
      </candidateList>
      <explain>发文字号格式错误。</explain>
      <paraID>51A6ABB2</paraID>
      <start>46</start>
      <end>56</end>
      <status>unmodified</status>
      <modifiedWord/>
      <trackRevisions>false</trackRevisions>
    </reviewItem>
    <reviewItem>
      <errorID>8c9f0071-3ae3-49d5-b06a-4a910b681bf8</errorID>
      <errorWord>[2021]837号</errorWord>
      <group>L1_Knowledge</group>
      <groupName>知识性问题</groupName>
      <ability>L2_Knowledge</ability>
      <abilityName>其他知识</abilityName>
      <candidateList>
        <item>〔2021〕837号</item>
      </candidateList>
      <explain>发文字号格式错误。</explain>
      <paraID> 215A701</paraID>
      <start>8</start>
      <end>18</end>
      <status>unmodified</status>
      <modifiedWord/>
      <trackRevisions>false</trackRevisions>
    </reviewItem>
    <reviewItem>
      <errorID>d05b3845-5ddd-47ee-9892-f70bc5612bcb</errorID>
      <errorWord>达</errorWord>
      <group>L1_Word</group>
      <groupName>字词问题</groupName>
      <ability>L2_Typo</ability>
      <abilityName>字词错误</abilityName>
      <candidateList>
        <item>达到</item>
      </candidateList>
      <explain>〈动〉到（多指抽象事物或程度）：达得到｜达不到｜目的没有～｜～国际水平。</explain>
      <paraID> 215A701</paraID>
      <start>102</start>
      <end>103</end>
      <status>unmodified</status>
      <modifiedWord/>
      <trackRevisions>false</trackRevisions>
    </reviewItem>
    <reviewItem>
      <errorID>7e9a9580-07e2-4ef5-a606-4966486b0185</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215A701</paraID>
      <start>124</start>
      <end>125</end>
      <status>unmodified</status>
      <modifiedWord/>
      <trackRevisions>false</trackRevisions>
    </reviewItem>
    <reviewItem>
      <errorID>37ad5001-f865-40af-9afc-465b6342e332</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215A701</paraID>
      <start>127</start>
      <end>128</end>
      <status>unmodified</status>
      <modifiedWord/>
      <trackRevisions>false</trackRevisions>
    </reviewItem>
    <reviewItem>
      <errorID>7802c293-7d63-41c3-a42f-79cd30d3b3f4</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215A701</paraID>
      <start>212</start>
      <end>213</end>
      <status>unmodified</status>
      <modifiedWord/>
      <trackRevisions>false</trackRevisions>
    </reviewItem>
    <reviewItem>
      <errorID>4015fe1e-fe5f-45dd-98b9-78de00634af8</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215A701</paraID>
      <start>215</start>
      <end>216</end>
      <status>unmodified</status>
      <modifiedWord/>
      <trackRevisions>false</trackRevisions>
    </reviewItem>
    <reviewItem>
      <errorID>7d8f4fc6-9390-4dfc-9b41-32ea85b60a86</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215A701</paraID>
      <start>340</start>
      <end>341</end>
      <status>unmodified</status>
      <modifiedWord/>
      <trackRevisions>false</trackRevisions>
    </reviewItem>
    <reviewItem>
      <errorID>88ceb4fb-1b18-4d1f-9747-8c2414c64e0f</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215A701</paraID>
      <start>343</start>
      <end>344</end>
      <status>unmodified</status>
      <modifiedWord/>
      <trackRevisions>false</trackRevisions>
    </reviewItem>
    <reviewItem>
      <errorID>d991ac58-aa37-46df-9d0a-f6c4476dc9cc</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215A701</paraID>
      <start>351</start>
      <end>352</end>
      <status>unmodified</status>
      <modifiedWord/>
      <trackRevisions>false</trackRevisions>
    </reviewItem>
    <reviewItem>
      <errorID>4a9324f1-fbd8-4922-af21-f65cc220f3be</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 215A701</paraID>
      <start>354</start>
      <end>355</end>
      <status>unmodified</status>
      <modifiedWord/>
      <trackRevisions>false</trackRevisions>
    </reviewItem>
    <reviewItem>
      <errorID>2f8e90ca-6344-4b5c-b9d0-3b03296135c9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11C301FA</paraID>
      <start>0</start>
      <end>2</end>
      <status>unmodified</status>
      <modifiedWord/>
      <trackRevisions>false</trackRevisions>
    </reviewItem>
    <reviewItem>
      <errorID>81990ae2-9986-4b23-ac4b-e679947125e0</errorID>
      <errorWord>[2022]83号</errorWord>
      <group>L1_Knowledge</group>
      <groupName>知识性问题</groupName>
      <ability>L2_Knowledge</ability>
      <abilityName>其他知识</abilityName>
      <candidateList>
        <item>〔2022〕83号</item>
      </candidateList>
      <explain>发文字号格式错误。</explain>
      <paraID>11C301FA</paraID>
      <start>32</start>
      <end>41</end>
      <status>unmodified</status>
      <modifiedWord/>
      <trackRevisions>false</trackRevisions>
    </reviewItem>
    <reviewItem>
      <errorID>b15f38bf-0f7b-4f8d-95b1-2ee38490c393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659D98D6</paraID>
      <start>0</start>
      <end>2</end>
      <status>unmodified</status>
      <modifiedWord/>
      <trackRevisions>false</trackRevisions>
    </reviewItem>
    <reviewItem>
      <errorID>451fd4ca-a4b9-45e3-92df-d8fc1dc0b0aa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7CB957</paraID>
      <start>0</start>
      <end>2</end>
      <status>unmodified</status>
      <modifiedWord/>
      <trackRevisions>false</trackRevisions>
    </reviewItem>
    <reviewItem>
      <errorID>e4ecc5e3-4883-44bd-8e95-d14ac1dff48f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4BDEE9D7</paraID>
      <start>0</start>
      <end>2</end>
      <status>unmodified</status>
      <modifiedWord/>
      <trackRevisions>false</trackRevisions>
    </reviewItem>
    <reviewItem>
      <errorID>f634da35-021e-4aee-a9ad-325caace34f4</errorID>
      <errorWord>共用设施</errorWord>
      <group>L1_Word</group>
      <groupName>字词问题</groupName>
      <ability>L2_Typo</ability>
      <abilityName>字词错误</abilityName>
      <candidateList>
        <item>公用设施</item>
      </candidateList>
      <explain/>
      <paraID>4D68E2C3</paraID>
      <start>66</start>
      <end>70</end>
      <status>unmodified</status>
      <modifiedWord/>
      <trackRevisions>false</trackRevisions>
    </reviewItem>
    <reviewItem>
      <errorID>2d9a6444-7555-4d3f-b803-75665d33c6ab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4BD03346</paraID>
      <start>0</start>
      <end>2</end>
      <status>unmodified</status>
      <modifiedWord/>
      <trackRevisions>false</trackRevisions>
    </reviewItem>
    <reviewItem>
      <errorID>cf2bac9c-5bdc-4aae-86fa-cf383beaf99d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D4BD581</paraID>
      <start>0</start>
      <end>2</end>
      <status>unmodified</status>
      <modifiedWord/>
      <trackRevisions>false</trackRevisions>
    </reviewItem>
    <reviewItem>
      <errorID>bb034080-9db5-48a9-b08e-906934628029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4BDD536E</paraID>
      <start>0</start>
      <end>2</end>
      <status>unmodified</status>
      <modifiedWord/>
      <trackRevisions>false</trackRevisions>
    </reviewItem>
    <reviewItem>
      <errorID>94a91b7b-c920-441b-a6d9-5703f92496f5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4D68E30</paraID>
      <start>0</start>
      <end>2</end>
      <status>unmodified</status>
      <modifiedWord/>
      <trackRevisions>false</trackRevisions>
    </reviewItem>
    <reviewItem>
      <errorID>a9f33e86-6bef-49ff-a4c2-8feb8a74fdc2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36197824</paraID>
      <start>0</start>
      <end>2</end>
      <status>unmodified</status>
      <modifiedWord/>
      <trackRevisions>false</trackRevisions>
    </reviewItem>
    <reviewItem>
      <errorID>7c21edcb-2922-4bcd-8f3c-949aa617bf75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A22D978</paraID>
      <start>0</start>
      <end>2</end>
      <status>unmodified</status>
      <modifiedWord/>
      <trackRevisions>false</trackRevisions>
    </reviewItem>
    <reviewItem>
      <errorID>d1c68cc9-02b2-43b0-ac58-50de5ba31ded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75FD82A5</paraID>
      <start>0</start>
      <end>2</end>
      <status>unmodified</status>
      <modifiedWord/>
      <trackRevisions>false</trackRevisions>
    </reviewItem>
    <reviewItem>
      <errorID>6bd826a5-21f7-40a9-a178-5cfbc832d12b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1989DAAC</paraID>
      <start>0</start>
      <end>2</end>
      <status>unmodified</status>
      <modifiedWord/>
      <trackRevisions>false</trackRevisions>
    </reviewItem>
    <reviewItem>
      <errorID>1888ea26-3ad8-4b52-9ae0-95947afcf678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5896AD28</paraID>
      <start>0</start>
      <end>2</end>
      <status>unmodified</status>
      <modifiedWord/>
      <trackRevisions>false</trackRevisions>
    </reviewItem>
    <reviewItem>
      <errorID>85470f35-3d30-4803-910e-6adc1330ac21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3FFDCAA6</paraID>
      <start>0</start>
      <end>2</end>
      <status>unmodified</status>
      <modifiedWord/>
      <trackRevisions>false</trackRevisions>
    </reviewItem>
    <reviewItem>
      <errorID>3eda7297-ab4b-4c90-ab7d-78f7d04ee726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230816B7</paraID>
      <start>0</start>
      <end>2</end>
      <status>unmodified</status>
      <modifiedWord/>
      <trackRevisions>false</trackRevisions>
    </reviewItem>
    <reviewItem>
      <errorID>25f3068c-92d5-4025-abde-2764f06e49cc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85C22C1</paraID>
      <start>0</start>
      <end>2</end>
      <status>unmodified</status>
      <modifiedWord/>
      <trackRevisions>false</trackRevisions>
    </reviewItem>
    <reviewItem>
      <errorID>fda3d22a-82fa-45f6-9099-07599ccaec66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51AE0966</paraID>
      <start>0</start>
      <end>2</end>
      <status>unmodified</status>
      <modifiedWord/>
      <trackRevisions>false</trackRevisions>
    </reviewItem>
    <reviewItem>
      <errorID>eeb656c0-d5a9-41a9-be22-5134e5ffd1f9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18F8D684</paraID>
      <start>0</start>
      <end>2</end>
      <status>unmodified</status>
      <modifiedWord/>
      <trackRevisions>false</trackRevisions>
    </reviewItem>
    <reviewItem>
      <errorID>46fe97dd-0baf-4d9f-83ea-3b58a240c04e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1D4A36E2</paraID>
      <start>0</start>
      <end>2</end>
      <status>unmodified</status>
      <modifiedWord/>
      <trackRevisions>false</trackRevisions>
    </reviewItem>
    <reviewItem>
      <errorID>e847ea6a-0c3d-49d3-b4e0-92bda0c45367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7305A3DA</paraID>
      <start>0</start>
      <end>2</end>
      <status>unmodified</status>
      <modifiedWord/>
      <trackRevisions>false</trackRevisions>
    </reviewItem>
    <reviewItem>
      <errorID>88c094bf-b39a-426d-a6b1-a5b84991cd6a</errorID>
      <errorWord>法律、法规</errorWord>
      <group>L1_Word</group>
      <groupName>字词问题</groupName>
      <ability>L2_Typo</ability>
      <abilityName>字词错误</abilityName>
      <candidateList>
        <item>法律法规</item>
      </candidateList>
      <explain/>
      <paraID>5674C4D6</paraID>
      <start>70</start>
      <end>75</end>
      <status>unmodified</status>
      <modifiedWord/>
      <trackRevisions>false</trackRevisions>
    </reviewItem>
    <reviewItem>
      <errorID>6c6bd16c-47d5-4d66-a02e-1a57a87829c6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3856A863</paraID>
      <start>0</start>
      <end>2</end>
      <status>unmodified</status>
      <modifiedWord/>
      <trackRevisions>false</trackRevisions>
    </reviewItem>
    <reviewItem>
      <errorID>729817f7-a048-43d4-9279-f43044c514d5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6F86B3C1</paraID>
      <start>0</start>
      <end>2</end>
      <status>unmodified</status>
      <modifiedWord/>
      <trackRevisions>false</trackRevisions>
    </reviewItem>
    <reviewItem>
      <errorID>0edd429c-2a43-47e8-91f6-fe42d44b0b0d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1DAAF27E</paraID>
      <start>0</start>
      <end>2</end>
      <status>unmodified</status>
      <modifiedWord/>
      <trackRevisions>false</trackRevisions>
    </reviewItem>
    <reviewItem>
      <errorID>b312dce2-8c87-4506-a475-d5549d80a8bf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77115720</paraID>
      <start>0</start>
      <end>2</end>
      <status>unmodified</status>
      <modifiedWord/>
      <trackRevisions>false</trackRevisions>
    </reviewItem>
    <reviewItem>
      <errorID>a3a88e45-9c12-408e-b4d6-8038e6069503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6F485FC8</paraID>
      <start>0</start>
      <end>2</end>
      <status>unmodified</status>
      <modifiedWord/>
      <trackRevisions>false</trackRevisions>
    </reviewItem>
    <reviewItem>
      <errorID>1676d830-4465-42a8-b8b1-68b25c2638f3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468F70EB</paraID>
      <start>0</start>
      <end>2</end>
      <status>unmodified</status>
      <modifiedWord/>
      <trackRevisions>false</trackRevisions>
    </reviewItem>
    <reviewItem>
      <errorID>bd45bc99-4ee3-4564-a851-7c367068a5c9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7EBCB8E</paraID>
      <start>0</start>
      <end>2</end>
      <status>unmodified</status>
      <modifiedWord/>
      <trackRevisions>false</trackRevisions>
    </reviewItem>
    <reviewItem>
      <errorID>2acd2f48-9579-4870-910d-0d13e28cfbe8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7BECB470</paraID>
      <start>0</start>
      <end>2</end>
      <status>unmodified</status>
      <modifiedWord/>
      <trackRevisions>false</trackRevisions>
    </reviewItem>
    <reviewItem>
      <errorID>dc34e223-bdf4-44a6-980f-04cafbe595d2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42D3332F</paraID>
      <start>0</start>
      <end>2</end>
      <status>unmodified</status>
      <modifiedWord/>
      <trackRevisions>false</trackRevisions>
    </reviewItem>
    <reviewItem>
      <errorID>7c5f6175-f3d0-46c8-9345-89888dbff6ca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47BA5163</paraID>
      <start>0</start>
      <end>2</end>
      <status>unmodified</status>
      <modifiedWord/>
      <trackRevisions>false</trackRevisions>
    </reviewItem>
    <reviewItem>
      <errorID>345c04d9-850f-4c84-89b9-c794f7d3ef3e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51D12BA4</paraID>
      <start>0</start>
      <end>2</end>
      <status>unmodified</status>
      <modifiedWord/>
      <trackRevisions>false</trackRevisions>
    </reviewItem>
    <reviewItem>
      <errorID>9eb078bd-8961-40f5-b32a-001365083dc7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608402E6</paraID>
      <start>0</start>
      <end>2</end>
      <status>unmodified</status>
      <modifiedWord/>
      <trackRevisions>false</trackRevisions>
    </reviewItem>
    <reviewItem>
      <errorID>2d7e1e5e-f64d-4541-822e-b66e607a8d3b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437026F8</paraID>
      <start>0</start>
      <end>2</end>
      <status>unmodified</status>
      <modifiedWord/>
      <trackRevisions>false</trackRevisions>
    </reviewItem>
    <reviewItem>
      <errorID>24ccf174-5f0e-4a51-bdc5-e8879ba2bb6d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E36A732</paraID>
      <start>0</start>
      <end>2</end>
      <status>unmodified</status>
      <modifiedWord/>
      <trackRevisions>false</trackRevisions>
    </reviewItem>
    <reviewItem>
      <errorID>d3c4b090-5847-4a3b-af81-06a73543e013</errorID>
      <errorWord>除臭系统</errorWord>
      <group>L1_Knowledge</group>
      <groupName>知识性问题</groupName>
      <ability>L2_Term</ability>
      <abilityName>专业术语</abilityName>
      <candidateList>
        <item>除冰系统</item>
      </candidateList>
      <explain/>
      <paraID>17C67C8C</paraID>
      <start>55</start>
      <end>59</end>
      <status>unmodified</status>
      <modifiedWord/>
      <trackRevisions>false</trackRevisions>
    </reviewItem>
    <reviewItem>
      <errorID>ffe42d26-7a29-4d60-ab02-ff6e40029841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32E7AEEE</paraID>
      <start>0</start>
      <end>2</end>
      <status>unmodified</status>
      <modifiedWord/>
      <trackRevisions>false</trackRevisions>
    </reviewItem>
    <reviewItem>
      <errorID>613abc3f-02f9-4fdf-b1b1-5319573c1684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7D2EBC9F</paraID>
      <start>0</start>
      <end>2</end>
      <status>unmodified</status>
      <modifiedWord/>
      <trackRevisions>false</trackRevisions>
    </reviewItem>
    <reviewItem>
      <errorID>4d1c8df8-8374-4a64-82d7-e70dad955277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50709A4</paraID>
      <start>0</start>
      <end>2</end>
      <status>unmodified</status>
      <modifiedWord/>
      <trackRevisions>false</trackRevisions>
    </reviewItem>
    <reviewItem>
      <errorID>b4d9a0c4-2b2f-4946-9ff9-74ccad65f0ca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7A097F03</paraID>
      <start>0</start>
      <end>2</end>
      <status>unmodified</status>
      <modifiedWord/>
      <trackRevisions>false</trackRevisions>
    </reviewItem>
    <reviewItem>
      <errorID>1ba70fff-779e-4c4f-bc71-8aabb3fd0d91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595A9D42</paraID>
      <start>0</start>
      <end>2</end>
      <status>unmodified</status>
      <modifiedWord/>
      <trackRevisions>false</trackRevisions>
    </reviewItem>
    <reviewItem>
      <errorID>389b9ea0-9692-4383-a0d7-fd29f00f8079</errorID>
      <errorWord>，</errorWord>
      <group>L1_Word</group>
      <groupName>字词问题</groupName>
      <ability>L2_Typo</ability>
      <abilityName>字词错误</abilityName>
      <candidateList>
        <item>，使</item>
      </candidateList>
      <explain/>
      <paraID>3DA50CCA</paraID>
      <start>12</start>
      <end>13</end>
      <status>unmodified</status>
      <modifiedWord/>
      <trackRevisions>false</trackRevisions>
    </reviewItem>
    <reviewItem>
      <errorID>3a4f0959-d2f5-4668-a15d-cb8470372048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7A602D48</paraID>
      <start>0</start>
      <end>2</end>
      <status>unmodified</status>
      <modifiedWord/>
      <trackRevisions>false</trackRevisions>
    </reviewItem>
    <reviewItem>
      <errorID>1c72cd67-2323-4e98-9a72-d07ad1e0c46a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56B6126C</paraID>
      <start>0</start>
      <end>2</end>
      <status>unmodified</status>
      <modifiedWord/>
      <trackRevisions>false</trackRevisions>
    </reviewItem>
    <reviewItem>
      <errorID>2edfb7c6-bad5-4342-8404-5242c0828e4d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21EDAF66</paraID>
      <start>0</start>
      <end>2</end>
      <status>unmodified</status>
      <modifiedWord/>
      <trackRevisions>false</trackRevisions>
    </reviewItem>
    <reviewItem>
      <errorID>95058822-cbb6-4fa2-9cf9-e57dbffb8a17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20557AD3</paraID>
      <start>0</start>
      <end>2</end>
      <status>unmodified</status>
      <modifiedWord/>
      <trackRevisions>false</trackRevisions>
    </reviewItem>
    <reviewItem>
      <errorID>5593458e-48af-4d9c-b0fd-b6f3f2b5ae4e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A55C28D</paraID>
      <start>0</start>
      <end>2</end>
      <status>unmodified</status>
      <modifiedWord/>
      <trackRevisions>false</trackRevisions>
    </reviewItem>
    <reviewItem>
      <errorID>2e78f6ae-412b-4852-85f6-34c7ae536710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17156328</paraID>
      <start>0</start>
      <end>2</end>
      <status>unmodified</status>
      <modifiedWord/>
      <trackRevisions>false</trackRevisions>
    </reviewItem>
    <reviewItem>
      <errorID>1d89ea7f-bdfc-43cd-bb34-40866205de60</errorID>
      <errorWord>(</errorWord>
      <group>L1_Format</group>
      <groupName>格式问题</groupName>
      <ability>L2_HalfPunc</ability>
      <abilityName>全半角检查</abilityName>
      <candidateList>
        <item>（</item>
      </candidateList>
      <explain>文本全半角错误。</explain>
      <paraID>13379EB7</paraID>
      <start>40</start>
      <end>41</end>
      <status>unmodified</status>
      <modifiedWord/>
      <trackRevisions>false</trackRevisions>
    </reviewItem>
    <reviewItem>
      <errorID>2dc9dc5f-5ca7-46f6-b3ce-c5a46aaf548a</errorID>
      <errorWord>)</errorWord>
      <group>L1_Format</group>
      <groupName>格式问题</groupName>
      <ability>L2_HalfPunc</ability>
      <abilityName>全半角检查</abilityName>
      <candidateList>
        <item>）</item>
      </candidateList>
      <explain>文本全半角错误。</explain>
      <paraID>13379EB7</paraID>
      <start>43</start>
      <end>44</end>
      <status>unmodified</status>
      <modifiedWord/>
      <trackRevisions>false</trackRevisions>
    </reviewItem>
    <reviewItem>
      <errorID>3dc96273-d349-4681-a14b-409bc95990d5</errorID>
      <errorWord>粘</errorWord>
      <group>L1_Word</group>
      <groupName>字词问题</groupName>
      <ability>L2_Typo</ability>
      <abilityName>字词错误</abilityName>
      <candidateList>
        <item>黏</item>
      </candidateList>
      <explain>存在发音相同字词的误用。</explain>
      <paraID>401490B8</paraID>
      <start>55</start>
      <end>56</end>
      <status>unmodified</status>
      <modifiedWord/>
      <trackRevisions>false</trackRevisions>
    </reviewItem>
    <reviewItem>
      <errorID>1337bb58-761d-4583-9ba4-31978054d432</errorID>
      <errorWord>密封仓</errorWord>
      <group>L1_Word</group>
      <groupName>字词问题</groupName>
      <ability>L2_Typo</ability>
      <abilityName>字词错误</abilityName>
      <candidateList>
        <item>密封舱</item>
      </candidateList>
      <explain/>
      <paraID>7000C453</paraID>
      <start>1</start>
      <end>4</end>
      <status>unmodified</status>
      <modifiedWord/>
      <trackRevisions>false</trackRevisions>
    </reviewItem>
    <reviewItem>
      <errorID>337fb9f0-f5d6-4e4b-8fe2-805356cdcd33</errorID>
      <errorWord>其它</errorWord>
      <group>L1_Word</group>
      <groupName>字词问题</groupName>
      <ability>L2_Alias</ability>
      <abilityName>也作/曾用词</abilityName>
      <candidateList>
        <item>其他</item>
      </candidateList>
      <explain>词汇[其它]为不规范表述或旧称，其规范书面表述为[其他]。</explain>
      <paraID>7355161F</paraID>
      <start>36</start>
      <end>38</end>
      <status>unmodified</status>
      <modifiedWord/>
      <trackRevisions>false</trackRevisions>
    </reviewItem>
    <reviewItem>
      <errorID>e37588da-4dc0-48da-bef9-844cc33cb63d</errorID>
      <errorWord>~</errorWord>
      <group>L1_Format</group>
      <groupName>格式问题</groupName>
      <ability>L2_HalfPunc</ability>
      <abilityName>全半角检查</abilityName>
      <candidateList>
        <item>～</item>
      </candidateList>
      <explain>文本全半角错误。</explain>
      <paraID> 832C3B3</paraID>
      <start>16</start>
      <end>17</end>
      <status>unmodified</status>
      <modifiedWord/>
      <trackRevisions>false</trackRevisions>
    </reviewItem>
    <reviewItem>
      <errorID>ed0b5b9a-4a7e-4a8c-acee-0d6e3c0e9d17</errorID>
      <errorWord>按照</errorWord>
      <group>L1_Word</group>
      <groupName>字词问题</groupName>
      <ability>L2_Typo</ability>
      <abilityName>字词错误</abilityName>
      <candidateList>
        <item>按</item>
      </candidateList>
      <explain>（案）àn❶〈书〉考查；核对：有原文可～。❷（编者、作者等）加按语：编者～。</explain>
      <paraID> 832C3B3</paraID>
      <start>30</start>
      <end>32</end>
      <status>unmodified</status>
      <modifiedWord/>
      <trackRevisions>false</trackRevisions>
    </reviewItem>
    <reviewItem>
      <errorID>9d435e64-328a-49ec-9088-97a3ab8aa97c</errorID>
      <errorWord>~</errorWord>
      <group>L1_Format</group>
      <groupName>格式问题</groupName>
      <ability>L2_HalfPunc</ability>
      <abilityName>全半角检查</abilityName>
      <candidateList>
        <item>～</item>
      </candidateList>
      <explain>文本全半角错误。</explain>
      <paraID> 832C3B3</paraID>
      <start>33</start>
      <end>34</end>
      <status>unmodified</status>
      <modifiedWord/>
      <trackRevisions>false</trackRevisions>
    </reviewItem>
    <reviewItem>
      <errorID>ac186254-9b3b-42bb-9d0a-e6d240fb9951</errorID>
      <errorWord>~</errorWord>
      <group>L1_Format</group>
      <groupName>格式问题</groupName>
      <ability>L2_HalfPunc</ability>
      <abilityName>全半角检查</abilityName>
      <candidateList>
        <item>～</item>
      </candidateList>
      <explain>文本全半角错误。</explain>
      <paraID>1E8A508B</paraID>
      <start>17</start>
      <end>18</end>
      <status>unmodified</status>
      <modifiedWord/>
      <trackRevisions>false</trackRevisions>
    </reviewItem>
    <reviewItem>
      <errorID>590addf3-5aac-4747-9732-9c6931c39f64</errorID>
      <errorWord>~</errorWord>
      <group>L1_Format</group>
      <groupName>格式问题</groupName>
      <ability>L2_HalfPunc</ability>
      <abilityName>全半角检查</abilityName>
      <candidateList>
        <item>～</item>
      </candidateList>
      <explain>文本全半角错误。</explain>
      <paraID>1E8A508B</paraID>
      <start>32</start>
      <end>33</end>
      <status>unmodified</status>
      <modifiedWord/>
      <trackRevisions>false</trackRevisions>
    </reviewItem>
    <reviewItem>
      <errorID>b1dfa350-a6da-48cf-8812-ba9c4bd692b3</errorID>
      <errorWord>~</errorWord>
      <group>L1_Format</group>
      <groupName>格式问题</groupName>
      <ability>L2_HalfPunc</ability>
      <abilityName>全半角检查</abilityName>
      <candidateList>
        <item>～</item>
      </candidateList>
      <explain>文本全半角错误。</explain>
      <paraID>3B40A5E9</paraID>
      <start>25</start>
      <end>26</end>
      <status>unmodified</status>
      <modifiedWord/>
      <trackRevisions>false</trackRevisions>
    </reviewItem>
    <reviewItem>
      <errorID>d27e1110-dad7-4e86-aaa8-65f42aa43a1d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48D8012E</paraID>
      <start>0</start>
      <end>2</end>
      <status>unmodified</status>
      <modifiedWord/>
      <trackRevisions>false</trackRevisions>
    </reviewItem>
    <reviewItem>
      <errorID>65c06ebc-12d3-4abe-9e1d-4fd38fae924c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21B20A9E</paraID>
      <start>0</start>
      <end>2</end>
      <status>unmodified</status>
      <modifiedWord/>
      <trackRevisions>false</trackRevisions>
    </reviewItem>
    <reviewItem>
      <errorID>09c783a6-e7dc-45a3-a040-56952c5d26a9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464E1F1F</paraID>
      <start>0</start>
      <end>2</end>
      <status>unmodified</status>
      <modifiedWord/>
      <trackRevisions>false</trackRevisions>
    </reviewItem>
    <reviewItem>
      <errorID>4faf44c5-85a2-4017-ac6b-dc4bcd3cb624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3E0CCC4B</paraID>
      <start>0</start>
      <end>2</end>
      <status>unmodified</status>
      <modifiedWord/>
      <trackRevisions>false</trackRevisions>
    </reviewItem>
    <reviewItem>
      <errorID>38964e26-3e48-475f-8e2c-7f84269e980d</errorID>
      <errorWord>(</errorWord>
      <group>L1_Format</group>
      <groupName>格式问题</groupName>
      <ability>L2_HalfPunc</ability>
      <abilityName>全半角检查</abilityName>
      <candidateList>
        <item>（</item>
      </candidateList>
      <explain>文本全半角错误。</explain>
      <paraID> C061F88</paraID>
      <start>23</start>
      <end>24</end>
      <status>unmodified</status>
      <modifiedWord/>
      <trackRevisions>false</trackRevisions>
    </reviewItem>
    <reviewItem>
      <errorID>5b91d5d4-0c49-4dcc-acd5-9b9e0b2f8583</errorID>
      <errorWord>)</errorWord>
      <group>L1_Format</group>
      <groupName>格式问题</groupName>
      <ability>L2_HalfPunc</ability>
      <abilityName>全半角检查</abilityName>
      <candidateList>
        <item>）</item>
      </candidateList>
      <explain>文本全半角错误。</explain>
      <paraID> C061F88</paraID>
      <start>26</start>
      <end>27</end>
      <status>unmodified</status>
      <modifiedWord/>
      <trackRevisions>false</trackRevisions>
    </reviewItem>
    <reviewItem>
      <errorID>dd4d19ca-ba8b-4b68-846a-4a5ece40edeb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4D872B7C</paraID>
      <start>0</start>
      <end>2</end>
      <status>unmodified</status>
      <modifiedWord/>
      <trackRevisions>false</trackRevisions>
    </reviewItem>
    <reviewItem>
      <errorID>035408ce-c210-454f-9bea-a9bad82bc2bd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559C0365</paraID>
      <start>0</start>
      <end>2</end>
      <status>unmodified</status>
      <modifiedWord/>
      <trackRevisions>false</trackRevisions>
    </reviewItem>
    <reviewItem>
      <errorID>507f03cb-5c3c-4117-9afa-5df7d4e294a8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5D3B213E</paraID>
      <start>0</start>
      <end>2</end>
      <status>unmodified</status>
      <modifiedWord/>
      <trackRevisions>false</trackRevisions>
    </reviewItem>
    <reviewItem>
      <errorID>e53fde79-7d52-4963-8ce7-42c75f02e9f6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40772269</paraID>
      <start>0</start>
      <end>2</end>
      <status>unmodified</status>
      <modifiedWord/>
      <trackRevisions>false</trackRevisions>
    </reviewItem>
    <reviewItem>
      <errorID>509d1ea2-d5ea-4e3a-94b8-2e8f4f380236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356FFCA6</paraID>
      <start>0</start>
      <end>2</end>
      <status>unmodified</status>
      <modifiedWord/>
      <trackRevisions>false</trackRevisions>
    </reviewItem>
    <reviewItem>
      <errorID>c6fabe7a-ffe5-4285-a3a5-75b29059fd58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1EEEBDCB</paraID>
      <start>0</start>
      <end>2</end>
      <status>unmodified</status>
      <modifiedWord/>
      <trackRevisions>false</trackRevisions>
    </reviewItem>
    <reviewItem>
      <errorID>b6151da9-03ac-485a-ad9d-cee5d338c724</errorID>
      <errorWord>并应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30E45530</paraID>
      <start>44</start>
      <end>46</end>
      <status>unmodified</status>
      <modifiedWord/>
      <trackRevisions>false</trackRevisions>
    </reviewItem>
    <reviewItem>
      <errorID>e8589320-0a5b-445b-95ac-f220df175b9d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65081ACC</paraID>
      <start>0</start>
      <end>2</end>
      <status>unmodified</status>
      <modifiedWord/>
      <trackRevisions>false</trackRevisions>
    </reviewItem>
    <reviewItem>
      <errorID>48176e8d-a05e-41c8-9928-3b502e6c3700</errorID>
      <errorWord>配伍系统</errorWord>
      <group>L1_Knowledge</group>
      <groupName>知识性问题</groupName>
      <ability>L2_Term</ability>
      <abilityName>专业术语</abilityName>
      <candidateList>
        <item>配电系统</item>
      </candidateList>
      <explain/>
      <paraID>7B333808</paraID>
      <start>11</start>
      <end>15</end>
      <status>unmodified</status>
      <modifiedWord/>
      <trackRevisions>false</trackRevisions>
    </reviewItem>
    <reviewItem>
      <errorID>e6d56872-3d6c-4a40-913a-8e21c4896b63</errorID>
      <errorWord>最为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  B014BE</paraID>
      <start>51</start>
      <end>53</end>
      <status>modified</status>
      <modifiedWord>作为</modifiedWord>
      <trackRevisions>false</trackRevisions>
    </reviewItem>
    <reviewItem>
      <errorID>2ffac0d2-9bb9-41fe-a019-17f2eab5c2df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44825DE</paraID>
      <start>0</start>
      <end>2</end>
      <status>unmodified</status>
      <modifiedWord/>
      <trackRevisions>false</trackRevisions>
    </reviewItem>
    <reviewItem>
      <errorID>9fab483c-1a40-49be-9827-d512f22ec727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2C8234A2</paraID>
      <start>0</start>
      <end>2</end>
      <status>unmodified</status>
      <modifiedWord/>
      <trackRevisions>false</trackRevisions>
    </reviewItem>
    <reviewItem>
      <errorID>b72b7539-66f3-4849-8e52-bc007ec0c6b5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1A29EB4B</paraID>
      <start>0</start>
      <end>2</end>
      <status>unmodified</status>
      <modifiedWord/>
      <trackRevisions>false</trackRevisions>
    </reviewItem>
    <reviewItem>
      <errorID>d2818c31-82ec-447c-85bf-efab3babb0ed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553457D0</paraID>
      <start>0</start>
      <end>2</end>
      <status>unmodified</status>
      <modifiedWord/>
      <trackRevisions>false</trackRevisions>
    </reviewItem>
    <reviewItem>
      <errorID>feccd751-22bb-4216-86ac-a4ff85070567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5419AFE9</paraID>
      <start>0</start>
      <end>2</end>
      <status>unmodified</status>
      <modifiedWord/>
      <trackRevisions>false</trackRevisions>
    </reviewItem>
    <reviewItem>
      <errorID>dd801c73-7781-4589-a140-9af1cbd5a793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787E6651</paraID>
      <start>0</start>
      <end>2</end>
      <status>unmodified</status>
      <modifiedWord/>
      <trackRevisions>false</trackRevisions>
    </reviewItem>
    <reviewItem>
      <errorID>ef67960c-9cde-4cf5-b388-7a9a9c982e1b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2428281D</paraID>
      <start>0</start>
      <end>2</end>
      <status>unmodified</status>
      <modifiedWord/>
      <trackRevisions>false</trackRevisions>
    </reviewItem>
    <reviewItem>
      <errorID>ceedda6b-1b96-4323-b982-61dd348f526a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23F1C247</paraID>
      <start>0</start>
      <end>2</end>
      <status>unmodified</status>
      <modifiedWord/>
      <trackRevisions>false</trackRevisions>
    </reviewItem>
    <reviewItem>
      <errorID>a165d89e-f229-4e04-ba50-d038bc7624a3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1CD6B7EA</paraID>
      <start>0</start>
      <end>2</end>
      <status>unmodified</status>
      <modifiedWord/>
      <trackRevisions>false</trackRevisions>
    </reviewItem>
    <reviewItem>
      <errorID>594d6201-4d65-47e1-9009-10ae8421e7b9</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37304007</paraID>
      <start>32</start>
      <end>39</end>
      <status>unmodified</status>
      <modifiedWord/>
      <trackRevisions>false</trackRevisions>
    </reviewItem>
    <reviewItem>
      <errorID>36e961a8-66a9-471b-b11c-3802d0bb04e9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2A416124</paraID>
      <start>0</start>
      <end>2</end>
      <status>unmodified</status>
      <modifiedWord/>
      <trackRevisions>false</trackRevisions>
    </reviewItem>
    <reviewItem>
      <errorID>80c248fd-ec68-4bfd-8ac2-f7bac511306f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48D77EFA</paraID>
      <start>0</start>
      <end>3</end>
      <status>unmodified</status>
      <modifiedWord/>
      <trackRevisions>false</trackRevisions>
    </reviewItem>
    <reviewItem>
      <errorID>bbaf3912-ec28-4b16-a015-5e133118100c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3EC1178E</paraID>
      <start>0</start>
      <end>2</end>
      <status>unmodified</status>
      <modifiedWord/>
      <trackRevisions>false</trackRevisions>
    </reviewItem>
    <reviewItem>
      <errorID>074681c6-0f04-4595-b099-1721a7b317c5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10B17430</paraID>
      <start>0</start>
      <end>2</end>
      <status>unmodified</status>
      <modifiedWord/>
      <trackRevisions>false</trackRevisions>
    </reviewItem>
    <reviewItem>
      <errorID>f6929ff0-0930-455b-81d3-874847373473</errorID>
      <errorWord>提出的</errorWord>
      <group>L1_Word</group>
      <groupName>字词问题</groupName>
      <ability>L2_Typo</ability>
      <abilityName>字词错误</abilityName>
      <candidateList>
        <item>提出</item>
      </candidateList>
      <explain/>
      <paraID>10B17430</paraID>
      <start>139</start>
      <end>142</end>
      <status>unmodified</status>
      <modifiedWord/>
      <trackRevisions>false</trackRevisions>
    </reviewItem>
    <reviewItem>
      <errorID>c7b235c3-4cb8-4e7e-b926-fc6e75472ff1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2C30180</paraID>
      <start>0</start>
      <end>2</end>
      <status>unmodified</status>
      <modifiedWord/>
      <trackRevisions>false</trackRevisions>
    </reviewItem>
    <reviewItem>
      <errorID>4fd20185-1c59-44b4-b8a7-92008fa1e6d7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E1D377C</paraID>
      <start>0</start>
      <end>2</end>
      <status>unmodified</status>
      <modifiedWord/>
      <trackRevisions>false</trackRevisions>
    </reviewItem>
    <reviewItem>
      <errorID>db890d4c-fefd-4f66-a034-8e05c2815206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5EB74C9</paraID>
      <start>0</start>
      <end>2</end>
      <status>unmodified</status>
      <modifiedWord/>
      <trackRevisions>false</trackRevisions>
    </reviewItem>
    <reviewItem>
      <errorID>12799dd9-6197-4d5e-967c-7adcf87287bc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34EC05C8</paraID>
      <start>0</start>
      <end>2</end>
      <status>unmodified</status>
      <modifiedWord/>
      <trackRevisions>false</trackRevisions>
    </reviewItem>
    <reviewItem>
      <errorID>4e031a21-373b-45a2-8e0d-d83317de7e6c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5DA69D6D</paraID>
      <start>0</start>
      <end>2</end>
      <status>unmodified</status>
      <modifiedWord/>
      <trackRevisions>false</trackRevisions>
    </reviewItem>
    <reviewItem>
      <errorID>9b864d6e-f09d-4579-999b-e674a827c705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5BF23B48</paraID>
      <start>0</start>
      <end>2</end>
      <status>unmodified</status>
      <modifiedWord/>
      <trackRevisions>false</trackRevisions>
    </reviewItem>
    <reviewItem>
      <errorID>72be76fc-b7f4-4027-a733-7d339b1397e8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76D92D71</paraID>
      <start>0</start>
      <end>2</end>
      <status>unmodified</status>
      <modifiedWord/>
      <trackRevisions>false</trackRevisions>
    </reviewItem>
    <reviewItem>
      <errorID>4be04e12-ed86-4815-96d6-db76d123d999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4B144A9</paraID>
      <start>0</start>
      <end>2</end>
      <status>unmodified</status>
      <modifiedWord/>
      <trackRevisions>false</trackRevisions>
    </reviewItem>
    <reviewItem>
      <errorID>2b874e27-a1df-488a-a999-4308460230d4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1FA3BD92</paraID>
      <start>0</start>
      <end>2</end>
      <status>unmodified</status>
      <modifiedWord/>
      <trackRevisions>false</trackRevisions>
    </reviewItem>
    <reviewItem>
      <errorID>7b6e15fc-4767-4637-9446-a8e93e04ad28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67AC4A07</paraID>
      <start>0</start>
      <end>2</end>
      <status>unmodified</status>
      <modifiedWord/>
      <trackRevisions>false</trackRevisions>
    </reviewItem>
    <reviewItem>
      <errorID>5d7a434f-4434-4101-8144-18fe5ddb01b0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57A0CD07</paraID>
      <start>0</start>
      <end>2</end>
      <status>unmodified</status>
      <modifiedWord/>
      <trackRevisions>false</trackRevisions>
    </reviewItem>
    <reviewItem>
      <errorID>1f2d6bf7-5ff3-41ab-875b-a448f4d5ede5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4EE66141</paraID>
      <start>0</start>
      <end>3</end>
      <status>unmodified</status>
      <modifiedWord/>
      <trackRevisions>false</trackRevisions>
    </reviewItem>
    <reviewItem>
      <errorID>3b2eecc0-a7ec-4317-9b56-f0b24c3af9c3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772DE10A</paraID>
      <start>0</start>
      <end>3</end>
      <status>unmodified</status>
      <modifiedWord/>
      <trackRevisions>false</trackRevisions>
    </reviewItem>
    <reviewItem>
      <errorID>d2b98c87-ea4f-4b56-9f75-cbf0230d705e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361F2216</paraID>
      <start>0</start>
      <end>3</end>
      <status>unmodified</status>
      <modifiedWord/>
      <trackRevisions>false</trackRevisions>
    </reviewItem>
    <reviewItem>
      <errorID>ef1ae36d-7004-41f6-b60e-79c875506d0a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53FE2530</paraID>
      <start>25</start>
      <end>28</end>
      <status>unmodified</status>
      <modifiedWord/>
      <trackRevisions>false</trackRevisions>
    </reviewItem>
    <reviewItem>
      <errorID>130715e1-d14e-446a-9b43-f76bace51b52</errorID>
      <errorWord>泵力输送</errorWord>
      <group>L1_Knowledge</group>
      <groupName>知识性问题</groupName>
      <ability>L2_Term</ability>
      <abilityName>专业术语</abilityName>
      <candidateList>
        <item>气力输送</item>
      </candidateList>
      <explain/>
      <paraID>5A329D47</paraID>
      <start>43</start>
      <end>47</end>
      <status>unmodified</status>
      <modifiedWord/>
      <trackRevisions>false</trackRevisions>
    </reviewItem>
    <reviewItem>
      <errorID>a91a7e24-1228-4356-b453-ec3beb54e692</errorID>
      <errorWord>施</errorWord>
      <group>L1_Word</group>
      <groupName>字词问题</groupName>
      <ability>L2_Typo</ability>
      <abilityName>字词错误</abilityName>
      <candidateList>
        <item>施具</item>
      </candidateList>
      <explain/>
      <paraID>78F83289</paraID>
      <start>8</start>
      <end>9</end>
      <status>unmodified</status>
      <modifiedWord/>
      <trackRevisions>false</trackRevisions>
    </reviewItem>
    <reviewItem>
      <errorID>ae154b8a-0b38-4b5f-9ef5-1a8e77f0835d</errorID>
      <errorWord>施</errorWord>
      <group>L1_Word</group>
      <groupName>字词问题</groupName>
      <ability>L2_Typo</ability>
      <abilityName>字词错误</abilityName>
      <candidateList>
        <item>施具</item>
      </candidateList>
      <explain/>
      <paraID>68D8139C</paraID>
      <start>57</start>
      <end>58</end>
      <status>unmodified</status>
      <modifiedWord/>
      <trackRevisions>false</trackRevisions>
    </reviewItem>
    <reviewItem>
      <errorID>90b93a5c-fde5-4c16-8f72-7f1b1072017f</errorID>
      <errorWord>固态</errorWord>
      <group>L1_Word</group>
      <groupName>字词问题</groupName>
      <ability>L2_Typo</ability>
      <abilityName>字词错误</abilityName>
      <candidateList>
        <item>固体</item>
      </candidateList>
      <explain/>
      <paraID>43F46217</paraID>
      <start>53</start>
      <end>55</end>
      <status>unmodified</status>
      <modifiedWord/>
      <trackRevisions>false</trackRevisions>
    </reviewItem>
    <reviewItem>
      <errorID>8ecafe1f-9ded-4370-bbbf-c71048c56ba2</errorID>
      <errorWord>固态</errorWord>
      <group>L1_Word</group>
      <groupName>字词问题</groupName>
      <ability>L2_Typo</ability>
      <abilityName>字词错误</abilityName>
      <candidateList>
        <item>固体</item>
      </candidateList>
      <explain/>
      <paraID>43F46217</paraID>
      <start>64</start>
      <end>66</end>
      <status>unmodified</status>
      <modifiedWord/>
      <trackRevisions>false</trackRevisions>
    </reviewItem>
    <reviewItem>
      <errorID>5c0b500d-5247-4269-b282-97aba60e827b</errorID>
      <errorWord>法律、法规</errorWord>
      <group>L1_Word</group>
      <groupName>字词问题</groupName>
      <ability>L2_Typo</ability>
      <abilityName>字词错误</abilityName>
      <candidateList>
        <item>法律法规</item>
      </candidateList>
      <explain/>
      <paraID>5CF1FE8E</paraID>
      <start>30</start>
      <end>35</end>
      <status>unmodified</status>
      <modifiedWord/>
      <trackRevisions>false</trackRevisions>
    </reviewItem>
    <reviewItem>
      <errorID>2b2bccf5-d93d-41a4-ac0e-5ca7c537a1c8</errorID>
      <errorWord>法律、法规</errorWord>
      <group>L1_Word</group>
      <groupName>字词问题</groupName>
      <ability>L2_Typo</ability>
      <abilityName>字词错误</abilityName>
      <candidateList>
        <item>法律法规</item>
      </candidateList>
      <explain/>
      <paraID>6415BAE0</paraID>
      <start>2</start>
      <end>7</end>
      <status>unmodified</status>
      <modifiedWord/>
      <trackRevisions>false</trackRevisions>
    </reviewItem>
    <reviewItem>
      <errorID>0677e933-38c0-49f0-b52d-9918f97f7663</errorID>
      <errorWord>的</errorWord>
      <group>L1_Word</group>
      <groupName>字词问题</groupName>
      <ability>L2_Typo</ability>
      <abilityName>字词错误</abilityName>
      <candidateList>
        <item>的标</item>
      </candidateList>
      <explain/>
      <paraID> 4829D3F</paraID>
      <start>8</start>
      <end>9</end>
      <status>unmodified</status>
      <modifiedWord/>
      <trackRevisions>false</trackRevisions>
    </reviewItem>
    <reviewItem>
      <errorID>25762e7d-8cb6-42a4-bb25-f4188f86e8b0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1042188B</paraID>
      <start>0</start>
      <end>2</end>
      <status>unmodified</status>
      <modifiedWord/>
      <trackRevisions>false</trackRevisions>
    </reviewItem>
    <reviewItem>
      <errorID>f9ced3b1-2bc5-4c7b-ba21-485d763d098b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52B450E8</paraID>
      <start>0</start>
      <end>2</end>
      <status>unmodified</status>
      <modifiedWord/>
      <trackRevisions>false</trackRevisions>
    </reviewItem>
    <reviewItem>
      <errorID>084fb623-9fcc-4363-8c4d-cf5780ac2351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6A90A7E6</paraID>
      <start>0</start>
      <end>2</end>
      <status>unmodified</status>
      <modifiedWord/>
      <trackRevisions>false</trackRevisions>
    </reviewItem>
    <reviewItem>
      <errorID>148528ad-1a16-4a65-bb24-8b5421e6bcb4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4A8617AB</paraID>
      <start>0</start>
      <end>2</end>
      <status>unmodified</status>
      <modifiedWord/>
      <trackRevisions>false</trackRevisions>
    </reviewItem>
    <reviewItem>
      <errorID>0f55988b-f2ef-4870-b04b-4d93352435e2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1546D14B</paraID>
      <start>0</start>
      <end>2</end>
      <status>unmodified</status>
      <modifiedWord/>
      <trackRevisions>false</trackRevisions>
    </reviewItem>
    <reviewItem>
      <errorID>f7101976-ef08-4f27-a5f9-d23a16d6a956</errorID>
      <errorWord>法律和法规</errorWord>
      <group>L1_Word</group>
      <groupName>字词问题</groupName>
      <ability>L2_Typo</ability>
      <abilityName>字词错误</abilityName>
      <candidateList>
        <item>法律法规</item>
      </candidateList>
      <explain/>
      <paraID>57E15697</paraID>
      <start>59</start>
      <end>64</end>
      <status>unmodified</status>
      <modifiedWord/>
      <trackRevisions>false</trackRevisions>
    </reviewItem>
    <reviewItem>
      <errorID>1e652f06-d0de-403c-a4da-3586149ad034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2DF4B6BF</paraID>
      <start>0</start>
      <end>2</end>
      <status>unmodified</status>
      <modifiedWord/>
      <trackRevisions>false</trackRevisions>
    </reviewItem>
    <reviewItem>
      <errorID>0ab496a7-0319-4ad4-8663-1d4ed62783d5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20137F07</paraID>
      <start>0</start>
      <end>2</end>
      <status>unmodified</status>
      <modifiedWord/>
      <trackRevisions>false</trackRevisions>
    </reviewItem>
    <reviewItem>
      <errorID>8c969c50-6640-451f-8c84-b8a7a7041f80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26FCE784</paraID>
      <start>0</start>
      <end>2</end>
      <status>unmodified</status>
      <modifiedWord/>
      <trackRevisions>false</trackRevisions>
    </reviewItem>
    <reviewItem>
      <errorID>10047a9d-a93b-473c-be91-6004e5eb6154</errorID>
      <errorWord>签订合同的</errorWord>
      <group>L1_Word</group>
      <groupName>字词问题</groupName>
      <ability>L2_Typo</ability>
      <abilityName>字词错误</abilityName>
      <candidateList>
        <item>签订合同</item>
      </candidateList>
      <explain/>
      <paraID>26FCE784</paraID>
      <start>16</start>
      <end>21</end>
      <status>unmodified</status>
      <modifiedWord/>
      <trackRevisions>false</trackRevisions>
    </reviewItem>
    <reviewItem>
      <errorID>b5a0eed1-71d4-4fda-bce7-3d098d91b47d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4F4A80BA</paraID>
      <start>0</start>
      <end>2</end>
      <status>unmodified</status>
      <modifiedWord/>
      <trackRevisions>false</trackRevisions>
    </reviewItem>
    <reviewItem>
      <errorID>add6b176-81f0-482b-9a95-ccfa8ad70750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78394E3C</paraID>
      <start>0</start>
      <end>2</end>
      <status>unmodified</status>
      <modifiedWord/>
      <trackRevisions>false</trackRevisions>
    </reviewItem>
    <reviewItem>
      <errorID>bcb939fe-bd1b-4aae-99a3-e9128e1e2794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497B5EDD</paraID>
      <start>0</start>
      <end>2</end>
      <status>unmodified</status>
      <modifiedWord/>
      <trackRevisions>false</trackRevisions>
    </reviewItem>
    <reviewItem>
      <errorID>ffe447bb-fedc-43e4-9d77-505996934682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1CF322EC</paraID>
      <start>0</start>
      <end>2</end>
      <status>unmodified</status>
      <modifiedWord/>
      <trackRevisions>false</trackRevisions>
    </reviewItem>
    <reviewItem>
      <errorID>d33df8f0-629b-4dcc-ae50-3282c3b19b64</errorID>
      <errorWord>不</errorWord>
      <group>L1_Word</group>
      <groupName>字词问题</groupName>
      <ability>L2_Typo</ability>
      <abilityName>字词错误</abilityName>
      <candidateList>
        <item>不会</item>
      </candidateList>
      <explain/>
      <paraID>1CF322EC</paraID>
      <start>57</start>
      <end>58</end>
      <status>unmodified</status>
      <modifiedWord/>
      <trackRevisions>false</trackRevisions>
    </reviewItem>
    <reviewItem>
      <errorID>7f1eb4c7-cd5f-4fbd-96cf-6fedb4c1d3fd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368F7B05</paraID>
      <start>0</start>
      <end>2</end>
      <status>unmodified</status>
      <modifiedWord/>
      <trackRevisions>false</trackRevisions>
    </reviewItem>
    <reviewItem>
      <errorID>8ec02c0b-873e-4acc-9d74-25b45312c41c</errorID>
      <errorWord>签订合同的</errorWord>
      <group>L1_Word</group>
      <groupName>字词问题</groupName>
      <ability>L2_Typo</ability>
      <abilityName>字词错误</abilityName>
      <candidateList>
        <item>签订合同</item>
      </candidateList>
      <explain/>
      <paraID>35CF1F61</paraID>
      <start>41</start>
      <end>46</end>
      <status>unmodified</status>
      <modifiedWord/>
      <trackRevisions>false</trackRevisions>
    </reviewItem>
    <reviewItem>
      <errorID>d321c819-b6ec-4d5b-9e5f-75b77335c4b8</errorID>
      <errorWord>退回到</errorWord>
      <group>L1_Word</group>
      <groupName>字词问题</groupName>
      <ability>L2_Typo</ability>
      <abilityName>字词错误</abilityName>
      <candidateList>
        <item>退回</item>
      </candidateList>
      <explain/>
      <paraID>2A1EFA0D</paraID>
      <start>42</start>
      <end>45</end>
      <status>unmodified</status>
      <modifiedWord/>
      <trackRevisions>false</trackRevisions>
    </reviewItem>
    <reviewItem>
      <errorID>5f0e2399-b764-492b-b814-863841e34917</errorID>
      <errorWord>管理的</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39E4FC42</paraID>
      <start>34</start>
      <end>37</end>
      <status>unmodified</status>
      <modifiedWord/>
      <trackRevisions>false</trackRevisions>
    </reviewItem>
    <reviewItem>
      <errorID>cbacd045-85dd-4366-a921-b4cd9c1c6a96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45A64DAC</paraID>
      <start>0</start>
      <end>2</end>
      <status>unmodified</status>
      <modifiedWord/>
      <trackRevisions>false</trackRevisions>
    </reviewItem>
    <reviewItem>
      <errorID>44f468be-b04c-4f2a-828e-4db1f5bc6326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6DD74A84</paraID>
      <start>0</start>
      <end>2</end>
      <status>unmodified</status>
      <modifiedWord/>
      <trackRevisions>false</trackRevisions>
    </reviewItem>
    <reviewItem>
      <errorID>53804601-fa5b-4058-8232-1eed22375a79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107B965C</paraID>
      <start>0</start>
      <end>2</end>
      <status>unmodified</status>
      <modifiedWord/>
      <trackRevisions>false</trackRevisions>
    </reviewItem>
    <reviewItem>
      <errorID>d5cb7a6a-89df-4d29-b123-2bd8855f73e8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7134C609</paraID>
      <start>0</start>
      <end>2</end>
      <status>unmodified</status>
      <modifiedWord/>
      <trackRevisions>false</trackRevisions>
    </reviewItem>
    <reviewItem>
      <errorID>3e356f85-19c3-4e3a-9b94-c4a7987743bd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109E3BC9</paraID>
      <start>0</start>
      <end>2</end>
      <status>unmodified</status>
      <modifiedWord/>
      <trackRevisions>false</trackRevisions>
    </reviewItem>
    <reviewItem>
      <errorID>65b15c82-cb8c-4046-b5b9-2b061c5e17ae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3B6330EE</paraID>
      <start>0</start>
      <end>2</end>
      <status>unmodified</status>
      <modifiedWord/>
      <trackRevisions>false</trackRevisions>
    </reviewItem>
    <reviewItem>
      <errorID>5adcc279-2180-41a9-9c49-1e3cbb3dfa83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6758F918</paraID>
      <start>0</start>
      <end>2</end>
      <status>unmodified</status>
      <modifiedWord/>
      <trackRevisions>false</trackRevisions>
    </reviewItem>
    <reviewItem>
      <errorID>a8e71737-8e0f-4da5-b118-af2396a8e88b</errorID>
      <errorWord>采用车辆</errorWord>
      <group>L1_Knowledge</group>
      <groupName>知识性问题</groupName>
      <ability>L2_Term</ability>
      <abilityName>专业术语</abilityName>
      <candidateList>
        <item>商用车辆</item>
      </candidateList>
      <explain/>
      <paraID>789CFC25</paraID>
      <start>6</start>
      <end>10</end>
      <status>unmodified</status>
      <modifiedWord/>
      <trackRevisions>false</trackRevisions>
    </reviewItem>
    <reviewItem>
      <errorID>60d6d6ff-f61c-4ae9-a66c-91ddadb2e155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10886668</paraID>
      <start>0</start>
      <end>2</end>
      <status>unmodified</status>
      <modifiedWord/>
      <trackRevisions>false</trackRevisions>
    </reviewItem>
    <reviewItem>
      <errorID>f23a6bc9-b7da-428b-bb65-9ce8f13885e6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5BCD596E</paraID>
      <start>0</start>
      <end>2</end>
      <status>unmodified</status>
      <modifiedWord/>
      <trackRevisions>false</trackRevisions>
    </reviewItem>
    <reviewItem>
      <errorID>415b8e19-4a21-4536-93e0-dacae48cadad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6FECACE5</paraID>
      <start>0</start>
      <end>2</end>
      <status>unmodified</status>
      <modifiedWord/>
      <trackRevisions>false</trackRevisions>
    </reviewItem>
    <reviewItem>
      <errorID>a2b0ab49-471c-4d34-8e3e-3becae43f7cc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65B1C885</paraID>
      <start>0</start>
      <end>2</end>
      <status>unmodified</status>
      <modifiedWord/>
      <trackRevisions>false</trackRevisions>
    </reviewItem>
    <reviewItem>
      <errorID>e9d77858-aece-499f-bbff-a565e7fbc697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706695EB</paraID>
      <start>0</start>
      <end>2</end>
      <status>unmodified</status>
      <modifiedWord/>
      <trackRevisions>false</trackRevisions>
    </reviewItem>
    <reviewItem>
      <errorID>89f81769-e63d-4f3d-9c3b-2d55eee4d48b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2A923F06</paraID>
      <start>0</start>
      <end>2</end>
      <status>unmodified</status>
      <modifiedWord/>
      <trackRevisions>false</trackRevisions>
    </reviewItem>
    <reviewItem>
      <errorID>016cd185-93d6-4699-a53b-7df17b70125f</errorID>
      <errorWord>-</errorWord>
      <group>L1_Format</group>
      <groupName>格式问题</groupName>
      <ability>L2_HalfPunc</ability>
      <abilityName>全半角检查</abilityName>
      <candidateList>
        <item>－</item>
      </candidateList>
      <explain>文本全半角错误。</explain>
      <paraID>2A923F06</paraID>
      <start>44</start>
      <end>45</end>
      <status>unmodified</status>
      <modifiedWord/>
      <trackRevisions>false</trackRevisions>
    </reviewItem>
    <reviewItem>
      <errorID>51e60b8b-02e5-431b-a2c8-773a48020f9d</errorID>
      <errorWord>过渡</errorWord>
      <group>L1_Word</group>
      <groupName>字词问题</groupName>
      <ability>L2_Typo</ability>
      <abilityName>字词错误</abilityName>
      <candidateList>
        <item>过度</item>
      </candidateList>
      <explain>〈形〉超过适当的限度：～疲劳｜～兴奋｜悲伤～。</explain>
      <paraID>4A1D58D8</paraID>
      <start>52</start>
      <end>54</end>
      <status>modified</status>
      <modifiedWord>过度</modifiedWord>
      <trackRevisions>false</trackRevisions>
    </reviewItem>
    <reviewItem>
      <errorID>fba97d9e-ac7e-4501-a50e-6bf4afbedcee</errorID>
      <errorWord>标准中</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2960BFE8</paraID>
      <start>34</start>
      <end>37</end>
      <status>unmodified</status>
      <modifiedWord/>
      <trackRevisions>false</trackRevisions>
    </reviewItem>
    <reviewItem>
      <errorID>93db304a-b028-457d-b137-095cf354d66d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35E368FD</paraID>
      <start>0</start>
      <end>2</end>
      <status>unmodified</status>
      <modifiedWord/>
      <trackRevisions>false</trackRevisions>
    </reviewItem>
    <reviewItem>
      <errorID>57fab3de-aaa2-470c-b74e-87625eabc417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703F8620</paraID>
      <start>0</start>
      <end>2</end>
      <status>unmodified</status>
      <modifiedWord/>
      <trackRevisions>false</trackRevisions>
    </reviewItem>
    <reviewItem>
      <errorID>6da1f6de-e638-4dec-8fdb-23d16dd50cb9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5009801F</paraID>
      <start>0</start>
      <end>2</end>
      <status>unmodified</status>
      <modifiedWord/>
      <trackRevisions>false</trackRevisions>
    </reviewItem>
    <reviewItem>
      <errorID>606460ed-96f1-404a-a976-1944fd5b58a9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6C2E0194</paraID>
      <start>0</start>
      <end>2</end>
      <status>unmodified</status>
      <modifiedWord/>
      <trackRevisions>false</trackRevisions>
    </reviewItem>
    <reviewItem>
      <errorID>893dd708-0e93-4004-b183-1c8c077d096f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3BFF8E6A</paraID>
      <start>0</start>
      <end>2</end>
      <status>unmodified</status>
      <modifiedWord/>
      <trackRevisions>false</trackRevisions>
    </reviewItem>
    <reviewItem>
      <errorID>ebe2dedd-53f9-423c-8d88-724453a208d4</errorID>
      <errorWord>通讯畅通</errorWord>
      <group>L1_Word</group>
      <groupName>字词问题</groupName>
      <ability>L2_Typo</ability>
      <abilityName>字词错误</abilityName>
      <candidateList>
        <item>通信畅通</item>
      </candidateList>
      <explain/>
      <paraID>77CE82C8</paraID>
      <start>135</start>
      <end>139</end>
      <status>unmodified</status>
      <modifiedWord/>
      <trackRevisions>false</trackRevisions>
    </reviewItem>
    <reviewItem>
      <errorID>98345533-0d44-43a9-b0dd-75107b1b598b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30A1E8B2</paraID>
      <start>0</start>
      <end>2</end>
      <status>unmodified</status>
      <modifiedWord/>
      <trackRevisions>false</trackRevisions>
    </reviewItem>
    <reviewItem>
      <errorID>9f01316c-85b0-4eb3-83a5-535b991adf66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4E68B4F4</paraID>
      <start>0</start>
      <end>2</end>
      <status>unmodified</status>
      <modifiedWord/>
      <trackRevisions>false</trackRevisions>
    </reviewItem>
    <reviewItem>
      <errorID>30f6a107-a435-4399-af7f-1dba57836ae4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21F2C8A3</paraID>
      <start>0</start>
      <end>2</end>
      <status>unmodified</status>
      <modifiedWord/>
      <trackRevisions>false</trackRevisions>
    </reviewItem>
    <reviewItem>
      <errorID>92e729ae-c617-445e-81fb-ccf76679f12c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7A07E071</paraID>
      <start>0</start>
      <end>2</end>
      <status>unmodified</status>
      <modifiedWord/>
      <trackRevisions>false</trackRevisions>
    </reviewItem>
    <reviewItem>
      <errorID>a45425e0-f80d-4251-862d-291df22066ea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463DBE1D</paraID>
      <start>0</start>
      <end>2</end>
      <status>unmodified</status>
      <modifiedWord/>
      <trackRevisions>false</trackRevisions>
    </reviewItem>
    <reviewItem>
      <errorID>7809dd41-3c62-41cb-8165-75468d7c42f3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49B33B39</paraID>
      <start>0</start>
      <end>2</end>
      <status>unmodified</status>
      <modifiedWord/>
      <trackRevisions>false</trackRevisions>
    </reviewItem>
    <reviewItem>
      <errorID>466951d4-2a10-4646-acf1-ab3ad1b7885c</errorID>
      <errorWord>程</errorWord>
      <group>L1_Word</group>
      <groupName>字词问题</groupName>
      <ability>L2_Typo</ability>
      <abilityName>字词错误</abilityName>
      <candidateList>
        <item>程中</item>
      </candidateList>
      <explain/>
      <paraID>5D4ECD56</paraID>
      <start>13</start>
      <end>14</end>
      <status>unmodified</status>
      <modifiedWord/>
      <trackRevisions>false</trackRevisions>
    </reviewItem>
    <reviewItem>
      <errorID>003b8666-dff7-4b3e-bd84-0618bcf80201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D64F976</paraID>
      <start>0</start>
      <end>2</end>
      <status>unmodified</status>
      <modifiedWord/>
      <trackRevisions>false</trackRevisions>
    </reviewItem>
    <reviewItem>
      <errorID>49aff419-9692-4e47-bac3-341d3853271c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4FA2A778</paraID>
      <start>0</start>
      <end>2</end>
      <status>unmodified</status>
      <modifiedWord/>
      <trackRevisions>false</trackRevisions>
    </reviewItem>
    <reviewItem>
      <errorID>f7fbb87e-1673-4c8e-857f-6571f1c641f5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6BDEC405</paraID>
      <start>0</start>
      <end>2</end>
      <status>unmodified</status>
      <modifiedWord/>
      <trackRevisions>false</trackRevisions>
    </reviewItem>
    <reviewItem>
      <errorID>341fba88-a577-4357-91b5-f316d9e763ac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41485E3A</paraID>
      <start>0</start>
      <end>2</end>
      <status>unmodified</status>
      <modifiedWord/>
      <trackRevisions>false</trackRevisions>
    </reviewItem>
    <reviewItem>
      <errorID>51689581-4832-4514-bf70-8ee0d37926e8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1053A29A</paraID>
      <start>0</start>
      <end>2</end>
      <status>unmodified</status>
      <modifiedWord/>
      <trackRevisions>false</trackRevisions>
    </reviewItem>
    <reviewItem>
      <errorID>67bdc293-6d3b-4ff4-8b28-73f9df285838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FFAE1D6</paraID>
      <start>0</start>
      <end>2</end>
      <status>unmodified</status>
      <modifiedWord/>
      <trackRevisions>false</trackRevisions>
    </reviewItem>
    <reviewItem>
      <errorID>b568f2c3-f402-448b-97ca-b5e5974f7490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5D27D38</paraID>
      <start>0</start>
      <end>2</end>
      <status>unmodified</status>
      <modifiedWord/>
      <trackRevisions>false</trackRevisions>
    </reviewItem>
    <reviewItem>
      <errorID>955ad5d1-7a22-45bf-9032-52b26576f48c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795F2848</paraID>
      <start>0</start>
      <end>2</end>
      <status>unmodified</status>
      <modifiedWord/>
      <trackRevisions>false</trackRevisions>
    </reviewItem>
    <reviewItem>
      <errorID>91e4f4f6-0b23-4061-afa3-e7bc28c294a9</errorID>
      <errorWord>(</errorWord>
      <group>L1_Format</group>
      <groupName>格式问题</groupName>
      <ability>L2_HalfPunc</ability>
      <abilityName>全半角检查</abilityName>
      <candidateList>
        <item>（</item>
      </candidateList>
      <explain>文本全半角错误。</explain>
      <paraID>52994625</paraID>
      <start>23</start>
      <end>24</end>
      <status>unmodified</status>
      <modifiedWord/>
      <trackRevisions>false</trackRevisions>
    </reviewItem>
    <reviewItem>
      <errorID>d7cc94ad-036d-4b73-9c37-a68a6f42b4e3</errorID>
      <errorWord>)</errorWord>
      <group>L1_Format</group>
      <groupName>格式问题</groupName>
      <ability>L2_HalfPunc</ability>
      <abilityName>全半角检查</abilityName>
      <candidateList>
        <item>）</item>
      </candidateList>
      <explain>文本全半角错误。</explain>
      <paraID>52994625</paraID>
      <start>26</start>
      <end>27</end>
      <status>unmodified</status>
      <modifiedWord/>
      <trackRevisions>false</trackRevisions>
    </reviewItem>
    <reviewItem>
      <errorID>dff09173-af06-487a-a4f7-5d6d110642ce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CADF3E</paraID>
      <start>0</start>
      <end>2</end>
      <status>unmodified</status>
      <modifiedWord/>
      <trackRevisions>false</trackRevisions>
    </reviewItem>
    <reviewItem>
      <errorID>262f3873-259c-41be-9669-a46da4ebc6cf</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5BEC3007</paraID>
      <start>48</start>
      <end>50</end>
      <status>unmodified</status>
      <modifiedWord/>
      <trackRevisions>false</trackRevisions>
    </reviewItem>
    <reviewItem>
      <errorID>1d2405af-5a46-4800-bed3-54a809a32b22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EFB6106</paraID>
      <start>0</start>
      <end>2</end>
      <status>unmodified</status>
      <modifiedWord/>
      <trackRevisions>false</trackRevisions>
    </reviewItem>
    <reviewItem>
      <errorID>bdcfcdaf-88ba-4070-9d0f-9963fb86f98e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5CC5ECE8</paraID>
      <start>0</start>
      <end>2</end>
      <status>unmodified</status>
      <modifiedWord/>
      <trackRevisions>false</trackRevisions>
    </reviewItem>
    <reviewItem>
      <errorID>96a918cb-8fd1-436a-b343-124f8c9656b1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301E764B</paraID>
      <start>0</start>
      <end>2</end>
      <status>unmodified</status>
      <modifiedWord/>
      <trackRevisions>false</trackRevisions>
    </reviewItem>
    <reviewItem>
      <errorID>6d94f6fc-93fe-4cb3-abd8-0abfdcc321b0</errorID>
      <errorWord>噪音</errorWord>
      <group>L1_Word</group>
      <groupName>字词问题</groupName>
      <ability>L2_Alias</ability>
      <abilityName>也作/曾用词</abilityName>
      <candidateList>
        <item>噪声</item>
      </candidateList>
      <explain>词汇[噪音]为不规范表述或旧称，其规范书面表述为[噪声]。</explain>
      <paraID>54983F59</paraID>
      <start>30</start>
      <end>32</end>
      <status>unmodified</status>
      <modifiedWord/>
      <trackRevisions>false</trackRevisions>
    </reviewItem>
    <reviewItem>
      <errorID>3711bc61-1b0a-43e5-b8e6-6415478c4fd8</errorID>
      <errorWord>程</errorWord>
      <group>L1_Word</group>
      <groupName>字词问题</groupName>
      <ability>L2_Typo</ability>
      <abilityName>字词错误</abilityName>
      <candidateList>
        <item>程中</item>
      </candidateList>
      <explain/>
      <paraID>6FC31E08</paraID>
      <start>10</start>
      <end>11</end>
      <status>unmodified</status>
      <modifiedWord/>
      <trackRevisions>false</trackRevisions>
    </reviewItem>
    <reviewItem>
      <errorID>8f90cdba-37b2-4f4f-90fa-e61b0464206c</errorID>
      <errorWord>,</errorWord>
      <group>L1_Format</group>
      <groupName>格式问题</groupName>
      <ability>L2_HalfPunc</ability>
      <abilityName>全半角检查</abilityName>
      <candidateList>
        <item>，</item>
      </candidateList>
      <explain>文本全半角错误。</explain>
      <paraID> 3C82D82</paraID>
      <start>20</start>
      <end>21</end>
      <status>unmodified</status>
      <modifiedWord/>
      <trackRevisions>false</trackRevisions>
    </reviewItem>
    <reviewItem>
      <errorID>af06e5b6-dfaf-4891-9c6e-6fb1c83bd5dd</errorID>
      <errorWord>能实现能实现</errorWord>
      <group>L1_Word</group>
      <groupName>字词问题</groupName>
      <ability>L2_Typo</ability>
      <abilityName>字词错误</abilityName>
      <candidateList>
        <item>能实现</item>
      </candidateList>
      <explain/>
      <paraID>7E9913B8</paraID>
      <start>31</start>
      <end>37</end>
      <status>unmodified</status>
      <modifiedWord/>
      <trackRevisions>false</trackRevisions>
    </reviewItem>
    <reviewItem>
      <errorID>879c4d2d-bd04-4f3c-8888-bdf38699cf24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4498C873</paraID>
      <start>97</start>
      <end>100</end>
      <status>unmodified</status>
      <modifiedWord/>
      <trackRevisions>false</trackRevisions>
    </reviewItem>
    <reviewItem>
      <errorID>826c112a-0403-4f61-9065-0950acfe2eef</errorID>
      <errorWord>按照按</errorWord>
      <group>L1_Word</group>
      <groupName>字词问题</groupName>
      <ability>L2_Typo</ability>
      <abilityName>字词错误</abilityName>
      <candidateList>
        <item>按照</item>
      </candidateList>
      <explain>〈介〉根据；依照：～法规办理｜～预定的计划执行。</explain>
      <paraID>14E189A1</paraID>
      <start>21</start>
      <end>24</end>
      <status>unmodified</status>
      <modifiedWord/>
      <trackRevisions>false</trackRevisions>
    </reviewItem>
    <reviewItem>
      <errorID>32b50ced-c0a7-429e-9fb3-f0826bffd51a</errorID>
      <errorWord>标准中</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6124ED7C</paraID>
      <start>23</start>
      <end>26</end>
      <status>unmodified</status>
      <modifiedWord/>
      <trackRevisions>false</trackRevisions>
    </reviewItem>
    <reviewItem>
      <errorID>3b6b84a8-c44c-4aa3-b838-2d432ce0d191</errorID>
      <errorWord>在线监测装置</errorWord>
      <group>L1_Knowledge</group>
      <groupName>知识性问题</groupName>
      <ability>L2_Term</ability>
      <abilityName>专业术语</abilityName>
      <candidateList>
        <item>在线检测装置</item>
      </candidateList>
      <explain/>
      <paraID>4B642E45</paraID>
      <start>74</start>
      <end>80</end>
      <status>unmodified</status>
      <modifiedWord/>
      <trackRevisions>false</trackRevisions>
    </reviewItem>
    <reviewItem>
      <errorID>410bc185-d38c-462d-b95d-9afcce26d7ad</errorID>
      <errorWord>&lt;</errorWord>
      <group>L1_Format</group>
      <groupName>格式问题</groupName>
      <ability>L2_HalfPunc</ability>
      <abilityName>全半角检查</abilityName>
      <candidateList>
        <item>〈</item>
      </candidateList>
      <explain>文本全半角错误。</explain>
      <paraID>6CA8B022</paraID>
      <start>22</start>
      <end>23</end>
      <status>unmodified</status>
      <modifiedWord/>
      <trackRevisions>false</trackRevisions>
    </reviewItem>
    <reviewItem>
      <errorID>898ff817-beff-4a10-a457-d35260e7f1f1</errorID>
      <errorWord>&gt;的通知》</errorWord>
      <group>L1_Punc</group>
      <groupName>标点问题</groupName>
      <ability>L2_Punc</ability>
      <abilityName>标点符号检查</abilityName>
      <candidateList>
        <item>〉的通知》</item>
      </candidateList>
      <explain/>
      <paraID>6CA8B022</paraID>
      <start>41</start>
      <end>46</end>
      <status>unmodified</status>
      <modifiedWord/>
      <trackRevisions>false</trackRevisions>
    </reviewItem>
    <reviewItem>
      <errorID>9e825029-e88c-474f-b474-2b62af5e5a61</errorID>
      <errorWord>两类</errorWord>
      <group>L1_Knowledge</group>
      <groupName>知识性问题</groupName>
      <ability>L2_Knowledge</ability>
      <abilityName>其他知识</abilityName>
      <candidateList>
        <item>两种</item>
      </candidateList>
      <explain/>
      <paraID> 1730879</paraID>
      <start>66</start>
      <end>68</end>
      <status>unmodified</status>
      <modifiedWord/>
      <trackRevisions>false</trackRevisions>
    </reviewItem>
    <reviewItem>
      <errorID>951bc636-985e-421f-90f2-394ef5f670e6</errorID>
      <errorWord>III级</errorWord>
      <group>L1_Knowledge</group>
      <groupName>知识性问题</groupName>
      <ability>L2_Knowledge</ability>
      <abilityName>其他知识</abilityName>
      <candidateList>
        <item>Ⅲ级</item>
      </candidateList>
      <explain/>
      <paraID> 1730879</paraID>
      <start>189</start>
      <end>191</end>
      <status>modified</status>
      <modifiedWord>Ⅲ级</modifiedWord>
      <trackRevisions>false</trackRevisions>
    </reviewItem>
    <reviewItem>
      <errorID>9a5ed461-5937-44ef-95ce-fd1c420403ee</errorID>
      <errorWord>[2019]108号</errorWord>
      <group>L1_Knowledge</group>
      <groupName>知识性问题</groupName>
      <ability>L2_Knowledge</ability>
      <abilityName>其他知识</abilityName>
      <candidateList>
        <item>〔2019〕108号</item>
      </candidateList>
      <explain>发文字号格式错误。</explain>
      <paraID> B79E9E1</paraID>
      <start>103</start>
      <end>113</end>
      <status>unmodified</status>
      <modifiedWord/>
      <trackRevisions>false</trackRevisions>
    </reviewItem>
    <reviewItem>
      <errorID>c0f0a56a-74e6-4e08-b84b-ef1044c25e6c</errorID>
      <errorWord>[2020]99号</errorWord>
      <group>L1_Knowledge</group>
      <groupName>知识性问题</groupName>
      <ability>L2_Knowledge</ability>
      <abilityName>其他知识</abilityName>
      <candidateList>
        <item>〔2020〕99号</item>
      </candidateList>
      <explain>发文字号格式错误。</explain>
      <paraID>5F0E25F1</paraID>
      <start>80</start>
      <end>89</end>
      <status>unmodified</status>
      <modifiedWord/>
      <trackRevisions>false</trackRevisions>
    </reviewItem>
    <reviewItem>
      <errorID>c617079b-1f1d-4c41-9aec-0c04c0fc0607</errorID>
      <errorWord>[2022]38号</errorWord>
      <group>L1_Knowledge</group>
      <groupName>知识性问题</groupName>
      <ability>L2_Knowledge</ability>
      <abilityName>其他知识</abilityName>
      <candidateList>
        <item>〔2022〕38号</item>
      </candidateList>
      <explain>发文字号格式错误。</explain>
      <paraID>3CD27A26</paraID>
      <start>149</start>
      <end>158</end>
      <status>unmodified</status>
      <modifiedWord/>
      <trackRevisions>false</trackRevisions>
    </reviewItem>
    <reviewItem>
      <errorID>1c9457fc-cb17-46d2-a0f6-83b38354e9f8</errorID>
      <errorWord>[2023]2号</errorWord>
      <group>L1_Knowledge</group>
      <groupName>知识性问题</groupName>
      <ability>L2_Knowledge</ability>
      <abilityName>其他知识</abilityName>
      <candidateList>
        <item>〔2023〕2号</item>
      </candidateList>
      <explain>发文字号格式错误。</explain>
      <paraID>71A4D759</paraID>
      <start>143</start>
      <end>151</end>
      <status>unmodified</status>
      <modifiedWord/>
      <trackRevisions>false</trackRevisions>
    </reviewItem>
    <reviewItem>
      <errorID>6da7d0e9-a75a-4c2f-a3ee-61614f629cb4</errorID>
      <errorWord>[2024]64号</errorWord>
      <group>L1_Knowledge</group>
      <groupName>知识性问题</groupName>
      <ability>L2_Knowledge</ability>
      <abilityName>其他知识</abilityName>
      <candidateList>
        <item>〔2024〕64号</item>
      </candidateList>
      <explain>发文字号格式错误。</explain>
      <paraID>5BE65F7A</paraID>
      <start>118</start>
      <end>127</end>
      <status>unmodified</status>
      <modifiedWord/>
      <trackRevisions>false</trackRevisions>
    </reviewItem>
    <reviewItem>
      <errorID>5f2c2da1-ff8a-4c15-adac-68b1dba658d7</errorID>
      <errorWord>[2026]1号</errorWord>
      <group>L1_Knowledge</group>
      <groupName>知识性问题</groupName>
      <ability>L2_Knowledge</ability>
      <abilityName>其他知识</abilityName>
      <candidateList>
        <item>〔2026〕1号</item>
      </candidateList>
      <explain>发文字号格式错误。</explain>
      <paraID>2FE9A5C3</paraID>
      <start>172</start>
      <end>180</end>
      <status>unmodified</status>
      <modifiedWord/>
      <trackRevisions>false</trackRevisions>
    </reviewItem>
    <reviewItem>
      <errorID>9032045b-74ce-4431-a4f4-0f1d7c29e176</errorID>
      <errorWord>一二线</errorWord>
      <group>L1_Punc</group>
      <groupName>标点问题</groupName>
      <ability>L2_Punc</ability>
      <abilityName>标点符号检查</abilityName>
      <candidateList>
        <item>一、二线</item>
      </candidateList>
      <explain/>
      <paraID>3188E688</paraID>
      <start>13</start>
      <end>16</end>
      <status>unmodified</status>
      <modifiedWord/>
      <trackRevisions>false</trackRevisions>
    </reviewItem>
    <reviewItem>
      <errorID>63ab7961-73ea-4410-ad9b-51b100b7669a</errorID>
      <errorWord>[2024]733号</errorWord>
      <group>L1_Knowledge</group>
      <groupName>知识性问题</groupName>
      <ability>L2_Knowledge</ability>
      <abilityName>其他知识</abilityName>
      <candidateList>
        <item>〔2024〕733号</item>
      </candidateList>
      <explain>发文字号格式错误。</explain>
      <paraID>75F2FF05</paraID>
      <start>75</start>
      <end>85</end>
      <status>unmodified</status>
      <modifiedWord/>
      <trackRevisions>false</trackRevisions>
    </reviewItem>
    <reviewItem>
      <errorID>8c79770c-8589-47c0-81d1-ff21fe65d3cb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B46A3E0</paraID>
      <start>0</start>
      <end>2</end>
      <status>unmodified</status>
      <modifiedWord/>
      <trackRevisions>false</trackRevisions>
    </reviewItem>
    <reviewItem>
      <errorID>988c1380-c898-4ca7-9115-d96e9961eaa0</errorID>
      <errorWord>[2024]733号</errorWord>
      <group>L1_Knowledge</group>
      <groupName>知识性问题</groupName>
      <ability>L2_Knowledge</ability>
      <abilityName>其他知识</abilityName>
      <candidateList>
        <item>〔2024〕733号</item>
      </candidateList>
      <explain>发文字号格式错误。</explain>
      <paraID>76237466</paraID>
      <start>66</start>
      <end>76</end>
      <status>unmodified</status>
      <modifiedWord/>
      <trackRevisions>false</trackRevisions>
    </reviewItem>
    <reviewItem>
      <errorID>d4fb946e-163d-46b0-9c38-a74d917b014a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49357041</paraID>
      <start>0</start>
      <end>2</end>
      <status>unmodified</status>
      <modifiedWord/>
      <trackRevisions>false</trackRevisions>
    </reviewItem>
    <reviewItem>
      <errorID>02a721c7-baca-4bce-8c20-d7e9fd14dd97</errorID>
      <errorWord>[2022]83号</errorWord>
      <group>L1_Knowledge</group>
      <groupName>知识性问题</groupName>
      <ability>L2_Knowledge</ability>
      <abilityName>其他知识</abilityName>
      <candidateList>
        <item>〔2022〕83号</item>
      </candidateList>
      <explain>发文字号格式错误。</explain>
      <paraID>2220498D</paraID>
      <start>130</start>
      <end>139</end>
      <status>unmodified</status>
      <modifiedWord/>
      <trackRevisions>false</trackRevisions>
    </reviewItem>
    <reviewItem>
      <errorID>17ca817c-f55d-497f-8b86-e38f3f054f95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4BB27B31</paraID>
      <start>0</start>
      <end>2</end>
      <status>unmodified</status>
      <modifiedWord/>
      <trackRevisions>false</trackRevisions>
    </reviewItem>
    <reviewItem>
      <errorID>aa55bae3-dbeb-49c5-9659-81e9117fa9cf</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192CDFE5</paraID>
      <start>31</start>
      <end>33</end>
      <status>unmodified</status>
      <modifiedWord/>
      <trackRevisions>false</trackRevisions>
    </reviewItem>
    <reviewItem>
      <errorID>b8d317e7-347c-4477-ae52-e5befe4211ff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3B85DEBC</paraID>
      <start>0</start>
      <end>2</end>
      <status>unmodified</status>
      <modifiedWord/>
      <trackRevisions>false</trackRevisions>
    </reviewItem>
    <reviewItem>
      <errorID>4ff4fdb4-dcd0-43e9-a880-3ab5d2603896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D77BC83</paraID>
      <start>0</start>
      <end>2</end>
      <status>unmodified</status>
      <modifiedWord/>
      <trackRevisions>false</trackRevisions>
    </reviewItem>
    <reviewItem>
      <errorID>65902599-1272-4338-8410-e5f94ddd445b</errorID>
      <errorWord>详</errorWord>
      <group>L1_Word</group>
      <groupName>字词问题</groupName>
      <ability>L2_Typo</ability>
      <abilityName>字词错误</abilityName>
      <candidateList>
        <item>详见</item>
      </candidateList>
      <explain/>
      <paraID>1962F1C9</paraID>
      <start>17</start>
      <end>19</end>
      <status>modified</status>
      <modifiedWord>详见</modifiedWord>
      <trackRevisions>false</trackRevisions>
    </reviewItem>
    <reviewItem>
      <errorID>0dcc29fd-4da4-4e7d-be1c-b11c11ea1af5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4BDD89D0</paraID>
      <start>0</start>
      <end>2</end>
      <status>unmodified</status>
      <modifiedWord/>
      <trackRevisions>false</trackRevisions>
    </reviewItem>
    <reviewItem>
      <errorID>faf39f6c-92f5-43e3-a3c3-073d77314b15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50978B67</paraID>
      <start>0</start>
      <end>2</end>
      <status>unmodified</status>
      <modifiedWord/>
      <trackRevisions>false</trackRevisions>
    </reviewItem>
    <reviewItem>
      <errorID>ea15dba9-0e9e-4c5b-9ac9-ba644af70c63</errorID>
      <errorWord>、</errorWord>
      <group>L1_Word</group>
      <groupName>字词问题</groupName>
      <ability>L2_Typo</ability>
      <abilityName>字词错误</abilityName>
      <candidateList>
        <item>、以</item>
      </candidateList>
      <explain/>
      <paraID>60CBC123</paraID>
      <start>62</start>
      <end>63</end>
      <status>unmodified</status>
      <modifiedWord/>
      <trackRevisions>false</trackRevisions>
    </reviewItem>
    <reviewItem>
      <errorID>1bcee949-61e9-4ac4-aaaf-e55fe5d46e34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6AF23981</paraID>
      <start>0</start>
      <end>2</end>
      <status>unmodified</status>
      <modifiedWord/>
      <trackRevisions>false</trackRevisions>
    </reviewItem>
    <reviewItem>
      <errorID>e56a2da1-b3db-41b3-bf4a-dd8683641bcb</errorID>
      <errorWord>（</errorWord>
      <group>L1_Format</group>
      <groupName>格式问题</groupName>
      <ability>L2_HalfPunc</ability>
      <abilityName>全半角检查</abilityName>
      <candidateList>
        <item>(</item>
      </candidateList>
      <explain>文本全半角错误。</explain>
      <paraID> 1DB3B18</paraID>
      <start>0</start>
      <end>1</end>
      <status>unmodified</status>
      <modifiedWord/>
      <trackRevisions>false</trackRevisions>
    </reviewItem>
    <reviewItem>
      <errorID>14ad6bd7-4d7a-470c-9c2d-3531e80ea40a</errorID>
      <errorWord>（</errorWord>
      <group>L1_Format</group>
      <groupName>格式问题</groupName>
      <ability>L2_HalfPunc</ability>
      <abilityName>全半角检查</abilityName>
      <candidateList>
        <item>(</item>
      </candidateList>
      <explain>文本全半角错误。</explain>
      <paraID>5276A9A9</paraID>
      <start>0</start>
      <end>1</end>
      <status>unmodified</status>
      <modifiedWord/>
      <trackRevisions>false</trackRevisions>
    </reviewItem>
    <reviewItem>
      <errorID>7e735ee8-266f-4d0c-ac5e-980b57b0630a</errorID>
      <errorWord>）</errorWord>
      <group>L1_Format</group>
      <groupName>格式问题</groupName>
      <ability>L2_HalfPunc</ability>
      <abilityName>全半角检查</abilityName>
      <candidateList>
        <item>)</item>
      </candidateList>
      <explain>文本全半角错误。</explain>
      <paraID>5276A9A9</paraID>
      <start>20</start>
      <end>21</end>
      <status>unmodified</status>
      <modifiedWord/>
      <trackRevisions>false</trackRevisions>
    </reviewItem>
    <reviewItem>
      <errorID>bce4ff7f-8e9a-4589-a562-35ef1bff9430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1AE5FFC0</paraID>
      <start>0</start>
      <end>2</end>
      <status>unmodified</status>
      <modifiedWord/>
      <trackRevisions>false</trackRevisions>
    </reviewItem>
    <reviewItem>
      <errorID>eadcd89a-01e2-46f9-aac5-8dc9a3a1980d</errorID>
      <errorWord>(</errorWord>
      <group>L1_Format</group>
      <groupName>格式问题</groupName>
      <ability>L2_HalfPunc</ability>
      <abilityName>全半角检查</abilityName>
      <candidateList>
        <item>（</item>
      </candidateList>
      <explain>文本全半角错误。</explain>
      <paraID> EDA2392</paraID>
      <start>1</start>
      <end>2</end>
      <status>unmodified</status>
      <modifiedWord/>
      <trackRevisions>false</trackRevisions>
    </reviewItem>
    <reviewItem>
      <errorID>f63a139c-95a4-4fa2-b626-f313d87670aa</errorID>
      <errorWord>)</errorWord>
      <group>L1_Format</group>
      <groupName>格式问题</groupName>
      <ability>L2_HalfPunc</ability>
      <abilityName>全半角检查</abilityName>
      <candidateList>
        <item>）</item>
      </candidateList>
      <explain>文本全半角错误。</explain>
      <paraID> EDA2392</paraID>
      <start>4</start>
      <end>5</end>
      <status>unmodified</status>
      <modifiedWord/>
      <trackRevisions>false</trackRevisions>
    </reviewItem>
    <reviewItem>
      <errorID>3a7a1b9f-a1c6-40a9-bac8-e42186c455af</errorID>
      <errorWord>(</errorWord>
      <group>L1_Format</group>
      <groupName>格式问题</groupName>
      <ability>L2_HalfPunc</ability>
      <abilityName>全半角检查</abilityName>
      <candidateList>
        <item>（</item>
      </candidateList>
      <explain>文本全半角错误。</explain>
      <paraID>49AEC535</paraID>
      <start>1</start>
      <end>2</end>
      <status>unmodified</status>
      <modifiedWord/>
      <trackRevisions>false</trackRevisions>
    </reviewItem>
    <reviewItem>
      <errorID>b5e7d9b6-de76-478a-9b19-93c25c7a9c84</errorID>
      <errorWord>)</errorWord>
      <group>L1_Format</group>
      <groupName>格式问题</groupName>
      <ability>L2_HalfPunc</ability>
      <abilityName>全半角检查</abilityName>
      <candidateList>
        <item>）</item>
      </candidateList>
      <explain>文本全半角错误。</explain>
      <paraID>49AEC535</paraID>
      <start>4</start>
      <end>5</end>
      <status>unmodified</status>
      <modifiedWord/>
      <trackRevisions>false</trackRevisions>
    </reviewItem>
    <reviewItem>
      <errorID>7e6d5ae0-6ade-416e-a7bd-828c348ca859</errorID>
      <errorWord>(</errorWord>
      <group>L1_Format</group>
      <groupName>格式问题</groupName>
      <ability>L2_HalfPunc</ability>
      <abilityName>全半角检查</abilityName>
      <candidateList>
        <item>（</item>
      </candidateList>
      <explain>文本全半角错误。</explain>
      <paraID>3A53DE3B</paraID>
      <start>1</start>
      <end>2</end>
      <status>unmodified</status>
      <modifiedWord/>
      <trackRevisions>false</trackRevisions>
    </reviewItem>
    <reviewItem>
      <errorID>db83f41a-17c6-44b1-aeba-d46fa401c4ec</errorID>
      <errorWord>)</errorWord>
      <group>L1_Format</group>
      <groupName>格式问题</groupName>
      <ability>L2_HalfPunc</ability>
      <abilityName>全半角检查</abilityName>
      <candidateList>
        <item>）</item>
      </candidateList>
      <explain>文本全半角错误。</explain>
      <paraID>3A53DE3B</paraID>
      <start>4</start>
      <end>5</end>
      <status>unmodified</status>
      <modifiedWord/>
      <trackRevisions>false</trackRevisions>
    </reviewItem>
    <reviewItem>
      <errorID>2f8855b6-ca87-42fa-b972-2e5f3e888a26</errorID>
      <errorWord>(</errorWord>
      <group>L1_Format</group>
      <groupName>格式问题</groupName>
      <ability>L2_HalfPunc</ability>
      <abilityName>全半角检查</abilityName>
      <candidateList>
        <item>（</item>
      </candidateList>
      <explain>文本全半角错误。</explain>
      <paraID>4598A3CD</paraID>
      <start>1</start>
      <end>2</end>
      <status>unmodified</status>
      <modifiedWord/>
      <trackRevisions>false</trackRevisions>
    </reviewItem>
    <reviewItem>
      <errorID>3434f57a-9462-4e14-ac61-487a4625ab7e</errorID>
      <errorWord>)</errorWord>
      <group>L1_Format</group>
      <groupName>格式问题</groupName>
      <ability>L2_HalfPunc</ability>
      <abilityName>全半角检查</abilityName>
      <candidateList>
        <item>）</item>
      </candidateList>
      <explain>文本全半角错误。</explain>
      <paraID>4598A3CD</paraID>
      <start>4</start>
      <end>5</end>
      <status>unmodified</status>
      <modifiedWord/>
      <trackRevisions>false</trackRevisions>
    </reviewItem>
    <reviewItem>
      <errorID>18f4fbb2-5090-4653-98b1-8a249488320c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689DC265</paraID>
      <start>0</start>
      <end>2</end>
      <status>unmodified</status>
      <modifiedWord/>
      <trackRevisions>false</trackRevisions>
    </reviewItem>
    <reviewItem>
      <errorID>df545833-b958-4b7e-86f4-f8b1cf64b0d9</errorID>
      <errorWord>（</errorWord>
      <group>L1_Format</group>
      <groupName>格式问题</groupName>
      <ability>L2_HalfPunc</ability>
      <abilityName>全半角检查</abilityName>
      <candidateList>
        <item>(</item>
      </candidateList>
      <explain>文本全半角错误。</explain>
      <paraID>   2E85A</paraID>
      <start>3</start>
      <end>4</end>
      <status>unmodified</status>
      <modifiedWord/>
      <trackRevisions>false</trackRevisions>
    </reviewItem>
    <reviewItem>
      <errorID>e468ddbd-20c0-40f7-b392-76e63d2ec77e</errorID>
      <errorWord>）</errorWord>
      <group>L1_Format</group>
      <groupName>格式问题</groupName>
      <ability>L2_HalfPunc</ability>
      <abilityName>全半角检查</abilityName>
      <candidateList>
        <item>)</item>
      </candidateList>
      <explain>文本全半角错误。</explain>
      <paraID>   2E85A</paraID>
      <start>5</start>
      <end>6</end>
      <status>unmodified</status>
      <modifiedWord/>
      <trackRevisions>false</trackRevisions>
    </reviewItem>
    <reviewItem>
      <errorID>5439674a-fe7e-4937-8d28-43c2ef887576</errorID>
      <errorWord>：&gt;</errorWord>
      <group>L1_Punc</group>
      <groupName>标点问题</groupName>
      <ability>L2_Punc</ability>
      <abilityName>标点符号检查</abilityName>
      <candidateList>
        <item>：</item>
      </candidateList>
      <explain/>
      <paraID> 67FDB72</paraID>
      <start>4</start>
      <end>6</end>
      <status>unmodified</status>
      <modifiedWord/>
      <trackRevisions>false</trackRevisions>
    </reviewItem>
    <reviewItem>
      <errorID>cb7c933c-1800-48a4-b926-60c78ced4206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7D2FA2D5</paraID>
      <start>0</start>
      <end>2</end>
      <status>unmodified</status>
      <modifiedWord/>
      <trackRevisions>false</trackRevisions>
    </reviewItem>
    <reviewItem>
      <errorID>c03d7041-062e-4c49-acc8-c4c2611ca521</errorID>
      <errorWord>：</errorWord>
      <group>L1_Format</group>
      <groupName>格式问题</groupName>
      <ability>L2_HalfPunc</ability>
      <abilityName>全半角检查</abilityName>
      <candidateList>
        <item>:</item>
      </candidateList>
      <explain>文本全半角错误。</explain>
      <paraID>2786C283</paraID>
      <start>63</start>
      <end>64</end>
      <status>unmodified</status>
      <modifiedWord/>
      <trackRevisions>false</trackRevisions>
    </reviewItem>
    <reviewItem>
      <errorID>ba2c70c2-0f86-450e-ba36-6db41134f90c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37269AD1</paraID>
      <start>0</start>
      <end>2</end>
      <status>unmodified</status>
      <modifiedWord/>
      <trackRevisions>false</trackRevisions>
    </reviewItem>
    <reviewItem>
      <errorID>78d661f9-4324-47f3-9f25-2b1defabbbd6</errorID>
      <errorWord>，</errorWord>
      <group>L1_Format</group>
      <groupName>格式问题</groupName>
      <ability>L2_HalfPunc</ability>
      <abilityName>全半角检查</abilityName>
      <candidateList>
        <item>, </item>
      </candidateList>
      <explain>文本全半角错误。</explain>
      <paraID>6F5C3655</paraID>
      <start>2</start>
      <end>3</end>
      <status>unmodified</status>
      <modifiedWord/>
      <trackRevisions>false</trackRevisions>
    </reviewItem>
    <reviewItem>
      <errorID>1bca35bf-ed78-4fb7-87f2-919e20aea9e6</errorID>
      <errorWord>，</errorWord>
      <group>L1_Format</group>
      <groupName>格式问题</groupName>
      <ability>L2_HalfPunc</ability>
      <abilityName>全半角检查</abilityName>
      <candidateList>
        <item>, </item>
      </candidateList>
      <explain>文本全半角错误。</explain>
      <paraID>6F5C3655</paraID>
      <start>5</start>
      <end>6</end>
      <status>unmodified</status>
      <modifiedWord/>
      <trackRevisions>false</trackRevisions>
    </reviewItem>
    <reviewItem>
      <errorID>81f4123c-9f12-4728-b481-d806b58a3ed4</errorID>
      <errorWord>，</errorWord>
      <group>L1_Format</group>
      <groupName>格式问题</groupName>
      <ability>L2_HalfPunc</ability>
      <abilityName>全半角检查</abilityName>
      <candidateList>
        <item>, </item>
      </candidateList>
      <explain>文本全半角错误。</explain>
      <paraID>6F5C3655</paraID>
      <start>8</start>
      <end>9</end>
      <status>unmodified</status>
      <modifiedWord/>
      <trackRevisions>false</trackRevisions>
    </reviewItem>
    <reviewItem>
      <errorID>b5b351c2-6f4b-40b8-a527-bb1de4a8c847</errorID>
      <errorWord>，</errorWord>
      <group>L1_Format</group>
      <groupName>格式问题</groupName>
      <ability>L2_HalfPunc</ability>
      <abilityName>全半角检查</abilityName>
      <candidateList>
        <item>, </item>
      </candidateList>
      <explain>文本全半角错误。</explain>
      <paraID>6F5C3655</paraID>
      <start>11</start>
      <end>12</end>
      <status>unmodified</status>
      <modifiedWord/>
      <trackRevisions>false</trackRevisions>
    </reviewItem>
    <reviewItem>
      <errorID>2a57ce9f-0d59-46e3-a130-6242c9df9956</errorID>
      <errorWord>，</errorWord>
      <group>L1_Format</group>
      <groupName>格式问题</groupName>
      <ability>L2_HalfPunc</ability>
      <abilityName>全半角检查</abilityName>
      <candidateList>
        <item>, </item>
      </candidateList>
      <explain>文本全半角错误。</explain>
      <paraID>6F5C3655</paraID>
      <start>13</start>
      <end>14</end>
      <status>unmodified</status>
      <modifiedWord/>
      <trackRevisions>false</trackRevisions>
    </reviewItem>
    <reviewItem>
      <errorID>9de30d88-3c5f-48da-aab0-88aed6a528f5</errorID>
      <errorWord>，</errorWord>
      <group>L1_Format</group>
      <groupName>格式问题</groupName>
      <ability>L2_HalfPunc</ability>
      <abilityName>全半角检查</abilityName>
      <candidateList>
        <item>, </item>
      </candidateList>
      <explain>文本全半角错误。</explain>
      <paraID>6F5C3655</paraID>
      <start>16</start>
      <end>17</end>
      <status>unmodified</status>
      <modifiedWord/>
      <trackRevisions>false</trackRevisions>
    </reviewItem>
    <reviewItem>
      <errorID>cbbbad11-9e61-4fc0-a0ca-a87aa6e6be45</errorID>
      <errorWord>，</errorWord>
      <group>L1_Format</group>
      <groupName>格式问题</groupName>
      <ability>L2_HalfPunc</ability>
      <abilityName>全半角检查</abilityName>
      <candidateList>
        <item>, </item>
      </candidateList>
      <explain>文本全半角错误。</explain>
      <paraID>6F5C3655</paraID>
      <start>19</start>
      <end>20</end>
      <status>unmodified</status>
      <modifiedWord/>
      <trackRevisions>false</trackRevisions>
    </reviewItem>
    <reviewItem>
      <errorID>b24642f2-67ed-4452-afc8-2bfac9d84a19</errorID>
      <errorWord>，</errorWord>
      <group>L1_Format</group>
      <groupName>格式问题</groupName>
      <ability>L2_HalfPunc</ability>
      <abilityName>全半角检查</abilityName>
      <candidateList>
        <item>, </item>
      </candidateList>
      <explain>文本全半角错误。</explain>
      <paraID>6F5C3655</paraID>
      <start>22</start>
      <end>23</end>
      <status>unmodified</status>
      <modifiedWord/>
      <trackRevisions>false</trackRevisions>
    </reviewItem>
    <reviewItem>
      <errorID>25047f7e-e793-4fea-8c1b-08ec990ad163</errorID>
      <errorWord>，</errorWord>
      <group>L1_Format</group>
      <groupName>格式问题</groupName>
      <ability>L2_HalfPunc</ability>
      <abilityName>全半角检查</abilityName>
      <candidateList>
        <item>, </item>
      </candidateList>
      <explain>文本全半角错误。</explain>
      <paraID>6F5C3655</paraID>
      <start>25</start>
      <end>26</end>
      <status>unmodified</status>
      <modifiedWord/>
      <trackRevisions>false</trackRevisions>
    </reviewItem>
    <reviewItem>
      <errorID>9849d135-a338-47f9-a5b0-20d82ea7d5a9</errorID>
      <errorWord>，</errorWord>
      <group>L1_Format</group>
      <groupName>格式问题</groupName>
      <ability>L2_HalfPunc</ability>
      <abilityName>全半角检查</abilityName>
      <candidateList>
        <item>, </item>
      </candidateList>
      <explain>文本全半角错误。</explain>
      <paraID>6F5C3655</paraID>
      <start>28</start>
      <end>29</end>
      <status>unmodified</status>
      <modifiedWord/>
      <trackRevisions>false</trackRevisions>
    </reviewItem>
    <reviewItem>
      <errorID>72ea458d-9a9c-44d9-a7b3-8d9423cce0a2</errorID>
      <errorWord>，</errorWord>
      <group>L1_Format</group>
      <groupName>格式问题</groupName>
      <ability>L2_HalfPunc</ability>
      <abilityName>全半角检查</abilityName>
      <candidateList>
        <item>, </item>
      </candidateList>
      <explain>文本全半角错误。</explain>
      <paraID>6F5C3655</paraID>
      <start>31</start>
      <end>32</end>
      <status>unmodified</status>
      <modifiedWord/>
      <trackRevisions>false</trackRevisions>
    </reviewItem>
    <reviewItem>
      <errorID>38f244cd-e5de-4594-b0f7-6b0acef9b5e9</errorID>
      <errorWord>，</errorWord>
      <group>L1_Format</group>
      <groupName>格式问题</groupName>
      <ability>L2_HalfPunc</ability>
      <abilityName>全半角检查</abilityName>
      <candidateList>
        <item>, </item>
      </candidateList>
      <explain>文本全半角错误。</explain>
      <paraID>5CAD0BE7</paraID>
      <start>2</start>
      <end>3</end>
      <status>unmodified</status>
      <modifiedWord/>
      <trackRevisions>false</trackRevisions>
    </reviewItem>
    <reviewItem>
      <errorID>b7c99a21-28a2-4f6b-9360-2b32fae1b48b</errorID>
      <errorWord>，</errorWord>
      <group>L1_Format</group>
      <groupName>格式问题</groupName>
      <ability>L2_HalfPunc</ability>
      <abilityName>全半角检查</abilityName>
      <candidateList>
        <item>, </item>
      </candidateList>
      <explain>文本全半角错误。</explain>
      <paraID>5CAD0BE7</paraID>
      <start>5</start>
      <end>6</end>
      <status>unmodified</status>
      <modifiedWord/>
      <trackRevisions>false</trackRevisions>
    </reviewItem>
    <reviewItem>
      <errorID>96cc0bfc-76e9-4623-a48d-ad2596ae2452</errorID>
      <errorWord>，</errorWord>
      <group>L1_Format</group>
      <groupName>格式问题</groupName>
      <ability>L2_HalfPunc</ability>
      <abilityName>全半角检查</abilityName>
      <candidateList>
        <item>, </item>
      </candidateList>
      <explain>文本全半角错误。</explain>
      <paraID>5CAD0BE7</paraID>
      <start>8</start>
      <end>9</end>
      <status>unmodified</status>
      <modifiedWord/>
      <trackRevisions>false</trackRevisions>
    </reviewItem>
    <reviewItem>
      <errorID>048bd13c-7b3c-4f32-8543-d107d2230e1e</errorID>
      <errorWord>，</errorWord>
      <group>L1_Format</group>
      <groupName>格式问题</groupName>
      <ability>L2_HalfPunc</ability>
      <abilityName>全半角检查</abilityName>
      <candidateList>
        <item>, </item>
      </candidateList>
      <explain>文本全半角错误。</explain>
      <paraID>5CAD0BE7</paraID>
      <start>11</start>
      <end>12</end>
      <status>unmodified</status>
      <modifiedWord/>
      <trackRevisions>false</trackRevisions>
    </reviewItem>
    <reviewItem>
      <errorID>c0a18e95-0a04-44a8-89ba-daf6c9b91838</errorID>
      <errorWord>，</errorWord>
      <group>L1_Format</group>
      <groupName>格式问题</groupName>
      <ability>L2_HalfPunc</ability>
      <abilityName>全半角检查</abilityName>
      <candidateList>
        <item>, </item>
      </candidateList>
      <explain>文本全半角错误。</explain>
      <paraID>5CAD0BE7</paraID>
      <start>14</start>
      <end>15</end>
      <status>unmodified</status>
      <modifiedWord/>
      <trackRevisions>false</trackRevisions>
    </reviewItem>
    <reviewItem>
      <errorID>37c859d0-5c54-4e84-8549-347fd2a7f073</errorID>
      <errorWord>，</errorWord>
      <group>L1_Format</group>
      <groupName>格式问题</groupName>
      <ability>L2_HalfPunc</ability>
      <abilityName>全半角检查</abilityName>
      <candidateList>
        <item>, </item>
      </candidateList>
      <explain>文本全半角错误。</explain>
      <paraID>5CAD0BE7</paraID>
      <start>17</start>
      <end>18</end>
      <status>unmodified</status>
      <modifiedWord/>
      <trackRevisions>false</trackRevisions>
    </reviewItem>
    <reviewItem>
      <errorID>3c757259-26c6-479e-b34b-e4a347519b46</errorID>
      <errorWord>，</errorWord>
      <group>L1_Format</group>
      <groupName>格式问题</groupName>
      <ability>L2_HalfPunc</ability>
      <abilityName>全半角检查</abilityName>
      <candidateList>
        <item>, </item>
      </candidateList>
      <explain>文本全半角错误。</explain>
      <paraID>5CAD0BE7</paraID>
      <start>19</start>
      <end>20</end>
      <status>unmodified</status>
      <modifiedWord/>
      <trackRevisions>false</trackRevisions>
    </reviewItem>
    <reviewItem>
      <errorID>553367f4-e98a-42d3-98e1-b005b0b052de</errorID>
      <errorWord>量少</errorWord>
      <group>L1_Word</group>
      <groupName>字词问题</groupName>
      <ability>L2_Typo</ability>
      <abilityName>字词错误</abilityName>
      <candidateList>
        <item>减少</item>
      </candidateList>
      <explain>〈动〉减去一部分：～人员｜～麻烦｜工作中的缺点～了。</explain>
      <paraID>53D4C8DB</paraID>
      <start>137</start>
      <end>139</end>
      <status>modified</status>
      <modifiedWord>减少</modifiedWord>
      <trackRevisions>false</trackRevisions>
    </reviewItem>
    <reviewItem>
      <errorID>69508499-272b-479a-b4e9-a45a1fbb53a7</errorID>
      <errorWord>-</errorWord>
      <group>L1_Format</group>
      <groupName>格式问题</groupName>
      <ability>L2_HalfPunc</ability>
      <abilityName>全半角检查</abilityName>
      <candidateList>
        <item>－</item>
      </candidateList>
      <explain>文本全半角错误。</explain>
      <paraID>65C26B39</paraID>
      <start>42</start>
      <end>43</end>
      <status>unmodified</status>
      <modifiedWord/>
      <trackRevisions>false</trackRevisions>
    </reviewItem>
    <reviewItem>
      <errorID>784a137e-2961-402d-8aba-a3bbb0cd6b6c</errorID>
      <errorWord>三座</errorWord>
      <group>L1_Knowledge</group>
      <groupName>知识性问题</groupName>
      <ability>L2_Knowledge</ability>
      <abilityName>其他知识</abilityName>
      <candidateList>
        <item>三家</item>
      </candidateList>
      <explain/>
      <paraID>108EEEE3</paraID>
      <start>18</start>
      <end>20</end>
      <status>unmodified</status>
      <modifiedWord/>
      <trackRevisions>false</trackRevisions>
    </reviewItem>
    <reviewItem>
      <errorID>6c8b4992-ec81-45f5-b695-483156020bd1</errorID>
      <errorWord>(</errorWord>
      <group>L1_Format</group>
      <groupName>格式问题</groupName>
      <ability>L2_HalfPunc</ability>
      <abilityName>全半角检查</abilityName>
      <candidateList>
        <item>（</item>
      </candidateList>
      <explain>文本全半角错误。</explain>
      <paraID> 1E8EC31</paraID>
      <start>40</start>
      <end>41</end>
      <status>unmodified</status>
      <modifiedWord/>
      <trackRevisions>false</trackRevisions>
    </reviewItem>
    <reviewItem>
      <errorID>a0251eff-02e6-438e-bc73-bcd5c8aca67b</errorID>
      <errorWord>)</errorWord>
      <group>L1_Format</group>
      <groupName>格式问题</groupName>
      <ability>L2_HalfPunc</ability>
      <abilityName>全半角检查</abilityName>
      <candidateList>
        <item>）</item>
      </candidateList>
      <explain>文本全半角错误。</explain>
      <paraID> 1E8EC31</paraID>
      <start>42</start>
      <end>43</end>
      <status>unmodified</status>
      <modifiedWord/>
      <trackRevisions>false</trackRevisions>
    </reviewItem>
    <reviewItem>
      <errorID>a3ea710d-8c67-47c8-8a6e-803666d5210b</errorID>
      <errorWord>(</errorWord>
      <group>L1_Format</group>
      <groupName>格式问题</groupName>
      <ability>L2_HalfPunc</ability>
      <abilityName>全半角检查</abilityName>
      <candidateList>
        <item>（</item>
      </candidateList>
      <explain>文本全半角错误。</explain>
      <paraID> 1E8EC31</paraID>
      <start>44</start>
      <end>45</end>
      <status>unmodified</status>
      <modifiedWord/>
      <trackRevisions>false</trackRevisions>
    </reviewItem>
    <reviewItem>
      <errorID>46aaa311-e185-48ee-8c5c-fe3da886d6da</errorID>
      <errorWord>)</errorWord>
      <group>L1_Format</group>
      <groupName>格式问题</groupName>
      <ability>L2_HalfPunc</ability>
      <abilityName>全半角检查</abilityName>
      <candidateList>
        <item>）</item>
      </candidateList>
      <explain>文本全半角错误。</explain>
      <paraID> 1E8EC31</paraID>
      <start>46</start>
      <end>47</end>
      <status>unmodified</status>
      <modifiedWord/>
      <trackRevisions>false</trackRevisions>
    </reviewItem>
    <reviewItem>
      <errorID>a84f2d8d-84cf-4ce9-a048-d355703307c1</errorID>
      <errorWord>（</errorWord>
      <group>L1_Format</group>
      <groupName>格式问题</groupName>
      <ability>L2_HalfPunc</ability>
      <abilityName>全半角检查</abilityName>
      <candidateList>
        <item>(</item>
      </candidateList>
      <explain>文本全半角错误。</explain>
      <paraID>5FB9C374</paraID>
      <start>1</start>
      <end>2</end>
      <status>unmodified</status>
      <modifiedWord/>
      <trackRevisions>false</trackRevisions>
    </reviewItem>
    <reviewItem>
      <errorID>bd1299f3-2ae3-401a-bd0f-95dd2733e84c</errorID>
      <errorWord>）</errorWord>
      <group>L1_Format</group>
      <groupName>格式问题</groupName>
      <ability>L2_HalfPunc</ability>
      <abilityName>全半角检查</abilityName>
      <candidateList>
        <item>)</item>
      </candidateList>
      <explain>文本全半角错误。</explain>
      <paraID>5FB9C374</paraID>
      <start>3</start>
      <end>4</end>
      <status>unmodified</status>
      <modifiedWord/>
      <trackRevisions>false</trackRevisions>
    </reviewItem>
    <reviewItem>
      <errorID>4642c186-cd28-44aa-8638-51f75b73f730</errorID>
      <errorWord>（</errorWord>
      <group>L1_Format</group>
      <groupName>格式问题</groupName>
      <ability>L2_HalfPunc</ability>
      <abilityName>全半角检查</abilityName>
      <candidateList>
        <item>(</item>
      </candidateList>
      <explain>文本全半角错误。</explain>
      <paraID>3FC36D33</paraID>
      <start>1</start>
      <end>2</end>
      <status>unmodified</status>
      <modifiedWord/>
      <trackRevisions>false</trackRevisions>
    </reviewItem>
    <reviewItem>
      <errorID>66a1d081-07d7-49ae-9f0c-084736c3136d</errorID>
      <errorWord>）</errorWord>
      <group>L1_Format</group>
      <groupName>格式问题</groupName>
      <ability>L2_HalfPunc</ability>
      <abilityName>全半角检查</abilityName>
      <candidateList>
        <item>)</item>
      </candidateList>
      <explain>文本全半角错误。</explain>
      <paraID>3FC36D33</paraID>
      <start>3</start>
      <end>4</end>
      <status>unmodified</status>
      <modifiedWord/>
      <trackRevisions>false</trackRevisions>
    </reviewItem>
    <reviewItem>
      <errorID>72b1ccb0-f7e3-4781-9a67-2f78e4b06d55</errorID>
      <errorWord>材</errorWord>
      <group>L1_Word</group>
      <groupName>字词问题</groupName>
      <ability>L2_Typo</ability>
      <abilityName>字词错误</abilityName>
      <candidateList>
        <item>材料</item>
      </candidateList>
      <explain>〈名〉❶可以直接造成成品的东西，如建筑用的砖瓦、纺织用的棉纱等：建筑～｜做一套衣服，这点～不够。❷提供著作内容的事物：他打算写一部小说，正在搜集～。❸可供参考的事实：人事～。❹比喻适于做某种事情的人才：我五音不全，不是唱歌的～。</explain>
      <paraID>70500FCC</paraID>
      <start>19</start>
      <end>20</end>
      <status>unmodified</status>
      <modifiedWord/>
      <trackRevisions>false</trackRevisions>
    </reviewItem>
    <reviewItem>
      <errorID>b63cf104-c67f-458a-b42e-bd71170ef393</errorID>
      <errorWord>(</errorWord>
      <group>L1_Format</group>
      <groupName>格式问题</groupName>
      <ability>L2_HalfPunc</ability>
      <abilityName>全半角检查</abilityName>
      <candidateList>
        <item>（</item>
      </candidateList>
      <explain>文本全半角错误。</explain>
      <paraID>63FADFF7</paraID>
      <start>3</start>
      <end>4</end>
      <status>unmodified</status>
      <modifiedWord/>
      <trackRevisions>false</trackRevisions>
    </reviewItem>
    <reviewItem>
      <errorID>a7a0d69d-695d-4d81-9c52-92b668e267f6</errorID>
      <errorWord>)</errorWord>
      <group>L1_Format</group>
      <groupName>格式问题</groupName>
      <ability>L2_HalfPunc</ability>
      <abilityName>全半角检查</abilityName>
      <candidateList>
        <item>）</item>
      </candidateList>
      <explain>文本全半角错误。</explain>
      <paraID>63FADFF7</paraID>
      <start>13</start>
      <end>14</end>
      <status>unmodified</status>
      <modifiedWord/>
      <trackRevisions>false</trackRevisions>
    </reviewItem>
    <reviewItem>
      <errorID>d88c6bd0-74e7-4401-bea6-4d8a85fcf956</errorID>
      <errorWord>(</errorWord>
      <group>L1_Format</group>
      <groupName>格式问题</groupName>
      <ability>L2_HalfPunc</ability>
      <abilityName>全半角检查</abilityName>
      <candidateList>
        <item>（</item>
      </candidateList>
      <explain>文本全半角错误。</explain>
      <paraID>2A6EFB78</paraID>
      <start>3</start>
      <end>4</end>
      <status>unmodified</status>
      <modifiedWord/>
      <trackRevisions>false</trackRevisions>
    </reviewItem>
    <reviewItem>
      <errorID>8569e73c-005d-4e1a-8edf-3d851f812e27</errorID>
      <errorWord>)</errorWord>
      <group>L1_Format</group>
      <groupName>格式问题</groupName>
      <ability>L2_HalfPunc</ability>
      <abilityName>全半角检查</abilityName>
      <candidateList>
        <item>）</item>
      </candidateList>
      <explain>文本全半角错误。</explain>
      <paraID>2A6EFB78</paraID>
      <start>13</start>
      <end>14</end>
      <status>unmodified</status>
      <modifiedWord/>
      <trackRevisions>false</trackRevisions>
    </reviewItem>
    <reviewItem>
      <errorID>00e758f8-ec48-4dc3-9ae3-b71fc9eab4ce</errorID>
      <errorWord>固定效率</errorWord>
      <group>L1_Knowledge</group>
      <groupName>知识性问题</groupName>
      <ability>L2_Term</ability>
      <abilityName>专业术语</abilityName>
      <candidateList>
        <item>固定费率</item>
      </candidateList>
      <explain/>
      <paraID>381130F9</paraID>
      <start>45</start>
      <end>49</end>
      <status>unmodified</status>
      <modifiedWord/>
      <trackRevisions>false</trackRevisions>
    </reviewItem>
    <reviewItem>
      <errorID>b0afb3ff-e3bc-4a80-8800-107852c623fe</errorID>
      <errorWord>硫元</errorWord>
      <group>L1_Word</group>
      <groupName>字词问题</groupName>
      <ability>L2_Typo</ability>
      <abilityName>字词错误</abilityName>
      <candidateList>
        <item>硫</item>
      </candidateList>
      <explain/>
      <paraID>32509063</paraID>
      <start>2</start>
      <end>4</end>
      <status>unmodified</status>
      <modifiedWord/>
      <trackRevisions>false</trackRevisions>
    </reviewItem>
    <reviewItem>
      <errorID>1cac5f60-e0ee-4fd4-a876-3d27d0f8c35f</errorID>
      <errorWord>固定效率</errorWord>
      <group>L1_Knowledge</group>
      <groupName>知识性问题</groupName>
      <ability>L2_Term</ability>
      <abilityName>专业术语</abilityName>
      <candidateList>
        <item>固定费率</item>
      </candidateList>
      <explain/>
      <paraID>32509063</paraID>
      <start>44</start>
      <end>48</end>
      <status>unmodified</status>
      <modifiedWord/>
      <trackRevisions>false</trackRevisions>
    </reviewItem>
    <reviewItem>
      <errorID>2d1a02ae-2ae2-4758-b0e5-680a5a3e33ec</errorID>
      <errorWord>源</errorWord>
      <group>L1_Word</group>
      <groupName>字词问题</groupName>
      <ability>L2_Typo</ability>
      <abilityName>字词错误</abilityName>
      <candidateList>
        <item>源于</item>
      </candidateList>
      <explain/>
      <paraID>266A731A</paraID>
      <start>14</start>
      <end>15</end>
      <status>unmodified</status>
      <modifiedWord/>
      <trackRevisions>false</trackRevisions>
    </reviewItem>
    <reviewItem>
      <errorID>5f8c6b50-6841-48e9-9478-cff88360cd20</errorID>
      <errorWord>96%～99％</errorWord>
      <group>L1_Knowledge</group>
      <groupName>知识性问题</groupName>
      <ability>L2_Knowledge</ability>
      <abilityName>其他知识</abilityName>
      <candidateList>
        <item>96%～99%</item>
      </candidateList>
      <explain>1. “96%～99％”中的单位“%”仅出现在后一个数字上，容易引起歧义；根据《现代汉语标点符号数字用法规范手册》，数字表示范围两边需要使用统一的格式。2. 根据标点国标 4.13 中的规则，数字、时间或地域连接符应使用（视觉上更长的）“—”或“～”。</explain>
      <paraID>266A731A</paraID>
      <start>33</start>
      <end>40</end>
      <status>unmodified</status>
      <modifiedWord/>
      <trackRevisions>false</trackRevisions>
    </reviewItem>
    <reviewItem>
      <errorID>b3775980-7767-4a88-b55d-ed0b58dee21f</errorID>
      <errorWord>源</errorWord>
      <group>L1_Word</group>
      <groupName>字词问题</groupName>
      <ability>L2_Typo</ability>
      <abilityName>字词错误</abilityName>
      <candidateList>
        <item>源于</item>
      </candidateList>
      <explain/>
      <paraID>2C328521</paraID>
      <start>17</start>
      <end>18</end>
      <status>unmodified</status>
      <modifiedWord/>
      <trackRevisions>false</trackRevisions>
    </reviewItem>
    <reviewItem>
      <errorID>33a280e6-2061-4a8f-b848-1eeb4e290cf6</errorID>
      <errorWord>源</errorWord>
      <group>L1_Word</group>
      <groupName>字词问题</groupName>
      <ability>L2_Typo</ability>
      <abilityName>字词错误</abilityName>
      <candidateList>
        <item>源于</item>
      </candidateList>
      <explain/>
      <paraID> 32F871D</paraID>
      <start>25</start>
      <end>26</end>
      <status>unmodified</status>
      <modifiedWord/>
      <trackRevisions>false</trackRevisions>
    </reviewItem>
    <reviewItem>
      <errorID>fa695792-cf03-4f83-9185-62be931b0694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10118965</paraID>
      <start>0</start>
      <end>3</end>
      <status>unmodified</status>
      <modifiedWord/>
      <trackRevisions>false</trackRevisions>
    </reviewItem>
    <reviewItem>
      <errorID>6b1017c7-30df-49bf-b40f-4ed2865b0f7f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7D7003F4</paraID>
      <start>0</start>
      <end>3</end>
      <status>unmodified</status>
      <modifiedWord/>
      <trackRevisions>false</trackRevisions>
    </reviewItem>
    <reviewItem>
      <errorID>95b9fa48-ae92-4c0c-8087-d8230623c1a2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640685CD</paraID>
      <start>0</start>
      <end>3</end>
      <status>unmodified</status>
      <modifiedWord/>
      <trackRevisions>false</trackRevisions>
    </reviewItem>
    <reviewItem>
      <errorID>2913534b-fd35-4343-a3b6-7a32e2f63fb0</errorID>
      <errorWord>侧</errorWord>
      <group>L1_Word</group>
      <groupName>字词问题</groupName>
      <ability>L2_Typo</ability>
      <abilityName>字词错误</abilityName>
      <candidateList>
        <item>侧面</item>
      </candidateList>
      <explain/>
      <paraID>55E50402</paraID>
      <start>37</start>
      <end>38</end>
      <status>unmodified</status>
      <modifiedWord/>
      <trackRevisions>false</trackRevisions>
    </reviewItem>
    <reviewItem>
      <errorID>9f20cdc9-36f6-4553-8522-9542dd1341a2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4DD79DA3</paraID>
      <start>0</start>
      <end>3</end>
      <status>unmodified</status>
      <modifiedWord/>
      <trackRevisions>false</trackRevisions>
    </reviewItem>
    <reviewItem>
      <errorID>86899cc6-a8f9-4523-9b93-f592bd83454f</errorID>
      <errorWord>、以及</errorWord>
      <group>L1_Punc</group>
      <groupName>标点问题</groupName>
      <ability>L2_Punc</ability>
      <abilityName>标点符号检查</abilityName>
      <candidateList>
        <item>，以及</item>
      </candidateList>
      <explain>连接词前后不宜使用顿号，建议使用逗号。</explain>
      <paraID>7549F577</paraID>
      <start>11</start>
      <end>14</end>
      <status>unmodified</status>
      <modifiedWord/>
      <trackRevisions>false</trackRevisions>
    </reviewItem>
    <reviewItem>
      <errorID>b9440b10-ec27-4e03-bf00-fd6f4288312b</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60E02253</paraID>
      <start>111</start>
      <end>113</end>
      <status>unmodified</status>
      <modifiedWord/>
      <trackRevisions>false</trackRevisions>
    </reviewItem>
    <reviewItem>
      <errorID>4c16c842-e00a-47e6-8dcd-2849cbdd388a</errorID>
      <errorWord>达</errorWord>
      <group>L1_Word</group>
      <groupName>字词问题</groupName>
      <ability>L2_Typo</ability>
      <abilityName>字词错误</abilityName>
      <candidateList>
        <item>达到</item>
      </candidateList>
      <explain>〈动〉到（多指抽象事物或程度）：达得到｜达不到｜目的没有～｜～国际水平。</explain>
      <paraID>60E02253</paraID>
      <start>179</start>
      <end>180</end>
      <status>unmodified</status>
      <modifiedWord/>
      <trackRevisions>false</trackRevisions>
    </reviewItem>
    <reviewItem>
      <errorID>1f473378-3c54-4411-b1c3-d867fec05972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1191A26C</paraID>
      <start>0</start>
      <end>3</end>
      <status>unmodified</status>
      <modifiedWord/>
      <trackRevisions>false</trackRevisions>
    </reviewItem>
    <reviewItem>
      <errorID>7122c0e4-ee1f-4626-834d-7e14d250bc6b</errorID>
      <errorWord>配料站</errorWord>
      <group>L1_Word</group>
      <groupName>字词问题</groupName>
      <ability>L2_Typo</ability>
      <abilityName>字词错误</abilityName>
      <candidateList>
        <item>配料</item>
      </candidateList>
      <explain/>
      <paraID>763BDD50</paraID>
      <start>113</start>
      <end>116</end>
      <status>unmodified</status>
      <modifiedWord/>
      <trackRevisions>false</trackRevisions>
    </reviewItem>
    <reviewItem>
      <errorID>7949437b-dd18-40fe-9e7e-3573e8efb2b2</errorID>
      <errorWord>计量称</errorWord>
      <group>L1_Word</group>
      <groupName>字词问题</groupName>
      <ability>L2_Typo</ability>
      <abilityName>字词错误</abilityName>
      <candidateList>
        <item>计量秤</item>
      </candidateList>
      <explain/>
      <paraID>763BDD50</paraID>
      <start>125</start>
      <end>128</end>
      <status>unmodified</status>
      <modifiedWord/>
      <trackRevisions>false</trackRevisions>
    </reviewItem>
    <reviewItem>
      <errorID>04a83eb6-2c08-4aeb-a51b-ba0194aea386</errorID>
      <errorWord>（</errorWord>
      <group>L1_Format</group>
      <groupName>格式问题</groupName>
      <ability>L2_HalfPunc</ability>
      <abilityName>全半角检查</abilityName>
      <candidateList>
        <item>(</item>
      </candidateList>
      <explain>文本全半角错误。</explain>
      <paraID>1CC4AD93</paraID>
      <start>0</start>
      <end>1</end>
      <status>unmodified</status>
      <modifiedWord/>
      <trackRevisions>false</trackRevisions>
    </reviewItem>
    <reviewItem>
      <errorID>cfec5edf-274f-4c67-9214-6bc23d4fb573</errorID>
      <errorWord>）</errorWord>
      <group>L1_Format</group>
      <groupName>格式问题</groupName>
      <ability>L2_HalfPunc</ability>
      <abilityName>全半角检查</abilityName>
      <candidateList>
        <item>)</item>
      </candidateList>
      <explain>文本全半角错误。</explain>
      <paraID>1CC4AD93</paraID>
      <start>6</start>
      <end>7</end>
      <status>unmodified</status>
      <modifiedWord/>
      <trackRevisions>false</trackRevisions>
    </reviewItem>
    <reviewItem>
      <errorID>9e2a9c24-b588-44db-8166-7d1552a79efa</errorID>
      <errorWord>（</errorWord>
      <group>L1_Format</group>
      <groupName>格式问题</groupName>
      <ability>L2_HalfPunc</ability>
      <abilityName>全半角检查</abilityName>
      <candidateList>
        <item>(</item>
      </candidateList>
      <explain>文本全半角错误。</explain>
      <paraID>214EBE75</paraID>
      <start>0</start>
      <end>1</end>
      <status>unmodified</status>
      <modifiedWord/>
      <trackRevisions>false</trackRevisions>
    </reviewItem>
    <reviewItem>
      <errorID>3056e889-2b1b-41a9-9ec8-13e50ebceced</errorID>
      <errorWord>）</errorWord>
      <group>L1_Format</group>
      <groupName>格式问题</groupName>
      <ability>L2_HalfPunc</ability>
      <abilityName>全半角检查</abilityName>
      <candidateList>
        <item>)</item>
      </candidateList>
      <explain>文本全半角错误。</explain>
      <paraID>214EBE75</paraID>
      <start>7</start>
      <end>8</end>
      <status>unmodified</status>
      <modifiedWord/>
      <trackRevisions>false</trackRevisions>
    </reviewItem>
    <reviewItem>
      <errorID>7d42b1f4-85e8-427f-ab76-3c8fe4208b10</errorID>
      <errorWord>（</errorWord>
      <group>L1_Format</group>
      <groupName>格式问题</groupName>
      <ability>L2_HalfPunc</ability>
      <abilityName>全半角检查</abilityName>
      <candidateList>
        <item>(</item>
      </candidateList>
      <explain>文本全半角错误。</explain>
      <paraID>  2DE7A6</paraID>
      <start>0</start>
      <end>1</end>
      <status>unmodified</status>
      <modifiedWord/>
      <trackRevisions>false</trackRevisions>
    </reviewItem>
    <reviewItem>
      <errorID>1036746b-b907-4c43-ac35-8c5e53302e7f</errorID>
      <errorWord>）</errorWord>
      <group>L1_Format</group>
      <groupName>格式问题</groupName>
      <ability>L2_HalfPunc</ability>
      <abilityName>全半角检查</abilityName>
      <candidateList>
        <item>)</item>
      </candidateList>
      <explain>文本全半角错误。</explain>
      <paraID>  2DE7A6</paraID>
      <start>6</start>
      <end>7</end>
      <status>unmodified</status>
      <modifiedWord/>
      <trackRevisions>false</trackRevisions>
    </reviewItem>
    <reviewItem>
      <errorID>efe560a0-e744-4399-9287-8fddb2fc2e76</errorID>
      <errorWord>产品治理</errorWord>
      <group>L1_Word</group>
      <groupName>字词问题</groupName>
      <ability>L2_Typo</ability>
      <abilityName>字词错误</abilityName>
      <candidateList>
        <item>产品质量</item>
      </candidateList>
      <explain/>
      <paraID>3794364A</paraID>
      <start>130</start>
      <end>134</end>
      <status>unmodified</status>
      <modifiedWord/>
      <trackRevisions>false</trackRevisions>
    </reviewItem>
    <reviewItem>
      <errorID>2c0bb1c4-573c-496f-b4bd-0a75e83f54e2</errorID>
      <errorWord>）</errorWord>
      <group>L1_Word</group>
      <groupName>字词问题</groupName>
      <ability>L2_Typo</ability>
      <abilityName>字词错误</abilityName>
      <candidateList>
        <item>）第</item>
      </candidateList>
      <explain/>
      <paraID>55FFABAF</paraID>
      <start>34</start>
      <end>35</end>
      <status>unmodified</status>
      <modifiedWord/>
      <trackRevisions>false</trackRevisions>
    </reviewItem>
    <reviewItem>
      <errorID>815eb070-525a-404d-963c-d1c1179750f2</errorID>
      <errorWord>烟气污染物</errorWord>
      <group>L1_Knowledge</group>
      <groupName>知识性问题</groupName>
      <ability>L2_Term</ability>
      <abilityName>专业术语</abilityName>
      <candidateList>
        <item>空气污染物</item>
      </candidateList>
      <explain/>
      <paraID>68DAD52F</paraID>
      <start>23</start>
      <end>28</end>
      <status>unmodified</status>
      <modifiedWord/>
      <trackRevisions>false</trackRevisions>
    </reviewItem>
    <reviewItem>
      <errorID>1a1f5b3b-ac92-4df1-8f67-ebe9addef642</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37D77FB1</paraID>
      <start>0</start>
      <end>3</end>
      <status>unmodified</status>
      <modifiedWord/>
      <trackRevisions>false</trackRevisions>
    </reviewItem>
    <reviewItem>
      <errorID>9320c742-1e1b-4f64-85e3-9d733616405c</errorID>
      <errorWord>堆积高度</errorWord>
      <group>L1_Knowledge</group>
      <groupName>知识性问题</groupName>
      <ability>L2_Term</ability>
      <abilityName>专业术语</abilityName>
      <candidateList>
        <item>堆芯高度</item>
      </candidateList>
      <explain/>
      <paraID>5A645340</paraID>
      <start>2</start>
      <end>6</end>
      <status>unmodified</status>
      <modifiedWord/>
      <trackRevisions>false</trackRevisions>
    </reviewItem>
    <reviewItem>
      <errorID>4e521347-a712-4b71-bb86-e4264430ca43</errorID>
      <errorWord>原料磨</errorWord>
      <group>L1_Word</group>
      <groupName>字词问题</groupName>
      <ability>L2_Typo</ability>
      <abilityName>字词错误</abilityName>
      <candidateList>
        <item>原料库</item>
      </candidateList>
      <explain/>
      <paraID>62F45C0D</paraID>
      <start>22</start>
      <end>25</end>
      <status>unmodified</status>
      <modifiedWord/>
      <trackRevisions>false</trackRevisions>
    </reviewItem>
    <reviewItem>
      <errorID>603a9715-7169-4110-90f1-eb0b199f511f</errorID>
      <errorWord>、</errorWord>
      <group>L1_Punc</group>
      <groupName>标点问题</groupName>
      <ability>L2_Punc</ability>
      <abilityName>标点符号检查</abilityName>
      <candidateList>
        <item>.</item>
      </candidateList>
      <explain/>
      <paraID>49862BB0</paraID>
      <start>1</start>
      <end>2</end>
      <status>unmodified</status>
      <modifiedWord/>
      <trackRevisions>false</trackRevisions>
    </reviewItem>
    <reviewItem>
      <errorID>80b3e11c-2a91-42d4-9585-a9a562013b64</errorID>
      <errorWord>、</errorWord>
      <group>L1_Punc</group>
      <groupName>标点问题</groupName>
      <ability>L2_Punc</ability>
      <abilityName>标点符号检查</abilityName>
      <candidateList>
        <item>.</item>
      </candidateList>
      <explain/>
      <paraID>3B46D9C0</paraID>
      <start>1</start>
      <end>2</end>
      <status>unmodified</status>
      <modifiedWord/>
      <trackRevisions>false</trackRevisions>
    </reviewItem>
    <reviewItem>
      <errorID>36064443-95cd-41a6-8546-780ddd72f10f</errorID>
      <errorWord>、</errorWord>
      <group>L1_Punc</group>
      <groupName>标点问题</groupName>
      <ability>L2_Punc</ability>
      <abilityName>标点符号检查</abilityName>
      <candidateList>
        <item>.</item>
      </candidateList>
      <explain/>
      <paraID>281C7A49</paraID>
      <start>1</start>
      <end>2</end>
      <status>unmodified</status>
      <modifiedWord/>
      <trackRevisions>false</trackRevisions>
    </reviewItem>
    <reviewItem>
      <errorID>c860d6e6-a514-4e80-a976-77aea145a09a</errorID>
      <errorWord>、</errorWord>
      <group>L1_Punc</group>
      <groupName>标点问题</groupName>
      <ability>L2_Punc</ability>
      <abilityName>标点符号检查</abilityName>
      <candidateList>
        <item>.</item>
      </candidateList>
      <explain/>
      <paraID> 2D00220</paraID>
      <start>1</start>
      <end>2</end>
      <status>unmodified</status>
      <modifiedWord/>
      <trackRevisions>false</trackRevisions>
    </reviewItem>
    <reviewItem>
      <errorID>addec502-50c0-4d4e-ba90-39fdce619211</errorID>
      <errorWord>、</errorWord>
      <group>L1_Punc</group>
      <groupName>标点问题</groupName>
      <ability>L2_Punc</ability>
      <abilityName>标点符号检查</abilityName>
      <candidateList>
        <item>.</item>
      </candidateList>
      <explain/>
      <paraID>  EE49F7</paraID>
      <start>1</start>
      <end>2</end>
      <status>unmodified</status>
      <modifiedWord/>
      <trackRevisions>false</trackRevisions>
    </reviewItem>
    <reviewItem>
      <errorID>73fd120c-f41a-48a8-8e8e-7cb849e7e5dc</errorID>
      <errorWord>泵力输送</errorWord>
      <group>L1_Knowledge</group>
      <groupName>知识性问题</groupName>
      <ability>L2_Term</ability>
      <abilityName>专业术语</abilityName>
      <candidateList>
        <item>气力输送</item>
      </candidateList>
      <explain/>
      <paraID>  EE49F7</paraID>
      <start>81</start>
      <end>85</end>
      <status>unmodified</status>
      <modifiedWord/>
      <trackRevisions>false</trackRevisions>
    </reviewItem>
    <reviewItem>
      <errorID>ae0996bf-6213-4481-8eab-cb6354c60965</errorID>
      <errorWord>、</errorWord>
      <group>L1_Punc</group>
      <groupName>标点问题</groupName>
      <ability>L2_Punc</ability>
      <abilityName>标点符号检查</abilityName>
      <candidateList>
        <item>.</item>
      </candidateList>
      <explain/>
      <paraID>50982F05</paraID>
      <start>1</start>
      <end>2</end>
      <status>unmodified</status>
      <modifiedWord/>
      <trackRevisions>false</trackRevisions>
    </reviewItem>
    <reviewItem>
      <errorID>78f63099-a671-4cac-aed8-c0019a6c20b0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3C1D4037</paraID>
      <start>0</start>
      <end>2</end>
      <status>unmodified</status>
      <modifiedWord/>
      <trackRevisions>false</trackRevisions>
    </reviewItem>
    <reviewItem>
      <errorID>6d8baf8a-7a76-4b08-8402-ea0c7629adab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6C18065F</paraID>
      <start>0</start>
      <end>2</end>
      <status>unmodified</status>
      <modifiedWord/>
      <trackRevisions>false</trackRevisions>
    </reviewItem>
    <reviewItem>
      <errorID>58069582-5a7d-488d-b55c-cedfb9fd2868</errorID>
      <errorWord>计</errorWord>
      <group>L1_Word</group>
      <groupName>字词问题</groupName>
      <ability>L2_Typo</ability>
      <abilityName>字词错误</abilityName>
      <candidateList>
        <item>计算</item>
      </candidateList>
      <explain/>
      <paraID>4147BB9D</paraID>
      <start>70</start>
      <end>71</end>
      <status>unmodified</status>
      <modifiedWord/>
      <trackRevisions>false</trackRevisions>
    </reviewItem>
    <reviewItem>
      <errorID>30a4991d-42ed-4210-9ca3-8e52292d79b3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4866E7</paraID>
      <start>0</start>
      <end>2</end>
      <status>unmodified</status>
      <modifiedWord/>
      <trackRevisions>false</trackRevisions>
    </reviewItem>
    <reviewItem>
      <errorID>4484dbfb-b7a9-4335-b337-4ad87318c478</errorID>
      <errorWord>来自于</errorWord>
      <group>L1_Grammar</group>
      <groupName>语法问题</groupName>
      <ability>L2_Grammar</ability>
      <abilityName>语法错误</abilityName>
      <candidateList>
        <item>来自</item>
      </candidateList>
      <explain/>
      <paraID>13258E8B</paraID>
      <start>34</start>
      <end>37</end>
      <status>unmodified</status>
      <modifiedWord/>
      <trackRevisions>false</trackRevisions>
    </reviewItem>
    <reviewItem>
      <errorID>ba2ad692-d908-4251-bd93-763b1e96fbae</errorID>
      <errorWord>~</errorWord>
      <group>L1_Format</group>
      <groupName>格式问题</groupName>
      <ability>L2_HalfPunc</ability>
      <abilityName>全半角检查</abilityName>
      <candidateList>
        <item>～</item>
      </candidateList>
      <explain>文本全半角错误。</explain>
      <paraID>43311299</paraID>
      <start>62</start>
      <end>63</end>
      <status>unmodified</status>
      <modifiedWord/>
      <trackRevisions>false</trackRevisions>
    </reviewItem>
    <reviewItem>
      <errorID>f2bb3537-d362-4ca1-bc6b-ab2a1849c7c4</errorID>
      <errorWord>[2019]108号</errorWord>
      <group>L1_Knowledge</group>
      <groupName>知识性问题</groupName>
      <ability>L2_Knowledge</ability>
      <abilityName>其他知识</abilityName>
      <candidateList>
        <item>〔2019〕108号</item>
      </candidateList>
      <explain>发文字号格式错误。</explain>
      <paraID>10C2AA39</paraID>
      <start>229</start>
      <end>239</end>
      <status>unmodified</status>
      <modifiedWord/>
      <trackRevisions>false</trackRevisions>
    </reviewItem>
    <reviewItem>
      <errorID>1c5dd5af-0892-4a37-a8be-3ec4365fd8b9</errorID>
      <errorWord>(</errorWord>
      <group>L1_Format</group>
      <groupName>格式问题</groupName>
      <ability>L2_HalfPunc</ability>
      <abilityName>全半角检查</abilityName>
      <candidateList>
        <item>（</item>
      </candidateList>
      <explain>文本全半角错误。</explain>
      <paraID>10C2AA39</paraID>
      <start>288</start>
      <end>289</end>
      <status>unmodified</status>
      <modifiedWord/>
      <trackRevisions>false</trackRevisions>
    </reviewItem>
    <reviewItem>
      <errorID>d4531dfb-550f-4fd5-9b47-73739c74238f</errorID>
      <errorWord>)</errorWord>
      <group>L1_Format</group>
      <groupName>格式问题</groupName>
      <ability>L2_HalfPunc</ability>
      <abilityName>全半角检查</abilityName>
      <candidateList>
        <item>）</item>
      </candidateList>
      <explain>文本全半角错误。</explain>
      <paraID>10C2AA39</paraID>
      <start>294</start>
      <end>295</end>
      <status>unmodified</status>
      <modifiedWord/>
      <trackRevisions>false</trackRevisions>
    </reviewItem>
    <reviewItem>
      <errorID>5a704df5-5b39-458a-91d8-97d4027119af</errorID>
      <errorWord>[2020]99号</errorWord>
      <group>L1_Knowledge</group>
      <groupName>知识性问题</groupName>
      <ability>L2_Knowledge</ability>
      <abilityName>其他知识</abilityName>
      <candidateList>
        <item>〔2020〕99号</item>
      </candidateList>
      <explain>发文字号格式错误。</explain>
      <paraID>170910D2</paraID>
      <start>50</start>
      <end>59</end>
      <status>unmodified</status>
      <modifiedWord/>
      <trackRevisions>false</trackRevisions>
    </reviewItem>
    <reviewItem>
      <errorID>bd02d948-9090-4d89-9fdb-7e546fb0cabd</errorID>
      <errorWord>[2022]38号</errorWord>
      <group>L1_Knowledge</group>
      <groupName>知识性问题</groupName>
      <ability>L2_Knowledge</ability>
      <abilityName>其他知识</abilityName>
      <candidateList>
        <item>〔2022〕38号</item>
      </candidateList>
      <explain>发文字号格式错误。</explain>
      <paraID>170910D2</paraID>
      <start>154</start>
      <end>163</end>
      <status>unmodified</status>
      <modifiedWord/>
      <trackRevisions>false</trackRevisions>
    </reviewItem>
    <reviewItem>
      <errorID>56b4b1f3-b70d-44ec-80c5-741f158c0a59</errorID>
      <errorWord>[2023]2号</errorWord>
      <group>L1_Knowledge</group>
      <groupName>知识性问题</groupName>
      <ability>L2_Knowledge</ability>
      <abilityName>其他知识</abilityName>
      <candidateList>
        <item>〔2023〕2号</item>
      </candidateList>
      <explain>发文字号格式错误。</explain>
      <paraID>170910D2</paraID>
      <start>284</start>
      <end>292</end>
      <status>unmodified</status>
      <modifiedWord/>
      <trackRevisions>false</trackRevisions>
    </reviewItem>
    <reviewItem>
      <errorID>180d83b8-75d0-419d-a3bb-1b81e464d599</errorID>
      <errorWord>[2024]64号</errorWord>
      <group>L1_Knowledge</group>
      <groupName>知识性问题</groupName>
      <ability>L2_Knowledge</ability>
      <abilityName>其他知识</abilityName>
      <candidateList>
        <item>〔2024〕64号</item>
      </candidateList>
      <explain>发文字号格式错误。</explain>
      <paraID>51D70009</paraID>
      <start>126</start>
      <end>135</end>
      <status>unmodified</status>
      <modifiedWord/>
      <trackRevisions>false</trackRevisions>
    </reviewItem>
    <reviewItem>
      <errorID>9a54d40e-0b85-42b7-a34a-c28db8036323</errorID>
      <errorWord>[2024]64号</errorWord>
      <group>L1_Knowledge</group>
      <groupName>知识性问题</groupName>
      <ability>L2_Knowledge</ability>
      <abilityName>其他知识</abilityName>
      <candidateList>
        <item>〔2024〕64号</item>
      </candidateList>
      <explain>发文字号格式错误。</explain>
      <paraID>51D70009</paraID>
      <start>207</start>
      <end>216</end>
      <status>unmodified</status>
      <modifiedWord/>
      <trackRevisions>false</trackRevisions>
    </reviewItem>
    <reviewItem>
      <errorID>9568d926-d534-4e92-962d-c181de9626eb</errorID>
      <errorWord>[1993]094号</errorWord>
      <group>L1_Knowledge</group>
      <groupName>知识性问题</groupName>
      <ability>L2_Knowledge</ability>
      <abilityName>其他知识</abilityName>
      <candidateList>
        <item>〔1993〕94号</item>
      </candidateList>
      <explain>发文字号格式错误。</explain>
      <paraID>500B8CAD</paraID>
      <start>2</start>
      <end>12</end>
      <status>unmodified</status>
      <modifiedWord/>
      <trackRevisions>false</trackRevisions>
    </reviewItem>
    <reviewItem>
      <errorID>74e6d8ef-fe9b-483a-afc6-f9a7036aec6e</errorID>
      <errorWord>[2000]5号</errorWord>
      <group>L1_Knowledge</group>
      <groupName>知识性问题</groupName>
      <ability>L2_Knowledge</ability>
      <abilityName>其他知识</abilityName>
      <candidateList>
        <item>〔2000〕5号</item>
      </candidateList>
      <explain>发文字号格式错误。</explain>
      <paraID>6620B411</paraID>
      <start>3</start>
      <end>11</end>
      <status>unmodified</status>
      <modifiedWord/>
      <trackRevisions>false</trackRevisions>
    </reviewItem>
    <reviewItem>
      <errorID>8d74becc-733c-454a-a7bb-4ebfe922238a</errorID>
      <errorWord>[2005]6号</errorWord>
      <group>L1_Knowledge</group>
      <groupName>知识性问题</groupName>
      <ability>L2_Knowledge</ability>
      <abilityName>其他知识</abilityName>
      <candidateList>
        <item>〔2005〕6号</item>
      </candidateList>
      <explain>发文字号格式错误。</explain>
      <paraID>4158743D</paraID>
      <start>3</start>
      <end>11</end>
      <status>unmodified</status>
      <modifiedWord/>
      <trackRevisions>false</trackRevisions>
    </reviewItem>
    <reviewItem>
      <errorID>4a3926ce-b7cf-417f-8fa5-918f4415de01</errorID>
      <errorWord>[2015]38号</errorWord>
      <group>L1_Knowledge</group>
      <groupName>知识性问题</groupName>
      <ability>L2_Knowledge</ability>
      <abilityName>其他知识</abilityName>
      <candidateList>
        <item>〔2015〕38号</item>
      </candidateList>
      <explain>发文字号格式错误。</explain>
      <paraID> B461866</paraID>
      <start>3</start>
      <end>12</end>
      <status>unmodified</status>
      <modifiedWord/>
      <trackRevisions>false</trackRevisions>
    </reviewItem>
    <reviewItem>
      <errorID>702b5a0a-2ce6-44fc-8f19-6ec70c6f22b7</errorID>
      <errorWord>[2015]162号</errorWord>
      <group>L1_Knowledge</group>
      <groupName>知识性问题</groupName>
      <ability>L2_Knowledge</ability>
      <abilityName>其他知识</abilityName>
      <candidateList>
        <item>〔2015〕162号</item>
      </candidateList>
      <explain>发文字号格式错误。</explain>
      <paraID>1B22B3A2</paraID>
      <start>3</start>
      <end>13</end>
      <status>unmodified</status>
      <modifiedWord/>
      <trackRevisions>false</trackRevisions>
    </reviewItem>
    <reviewItem>
      <errorID>dba45e37-901e-4828-b925-0aa4a46d40b3</errorID>
      <errorWord>[2009]149号</errorWord>
      <group>L1_Knowledge</group>
      <groupName>知识性问题</groupName>
      <ability>L2_Knowledge</ability>
      <abilityName>其他知识</abilityName>
      <candidateList>
        <item>〔2009〕149号</item>
      </candidateList>
      <explain>发文字号格式错误。</explain>
      <paraID>50B5D41C</paraID>
      <start>3</start>
      <end>13</end>
      <status>unmodified</status>
      <modifiedWord/>
      <trackRevisions>false</trackRevisions>
    </reviewItem>
    <reviewItem>
      <errorID>0e900478-bf55-4e39-accc-cda79ede0d15</errorID>
      <errorWord>[2011]18号</errorWord>
      <group>L1_Knowledge</group>
      <groupName>知识性问题</groupName>
      <ability>L2_Knowledge</ability>
      <abilityName>其他知识</abilityName>
      <candidateList>
        <item>〔2011〕18号</item>
      </candidateList>
      <explain>发文字号格式错误。</explain>
      <paraID>6A97078B</paraID>
      <start>10</start>
      <end>19</end>
      <status>unmodified</status>
      <modifiedWord/>
      <trackRevisions>false</trackRevisions>
    </reviewItem>
    <reviewItem>
      <errorID>0860de10-30cd-43a0-923a-8ef16465485c</errorID>
      <errorWord>[2017]3号</errorWord>
      <group>L1_Knowledge</group>
      <groupName>知识性问题</groupName>
      <ability>L2_Knowledge</ability>
      <abilityName>其他知识</abilityName>
      <candidateList>
        <item>〔2017〕3号</item>
      </candidateList>
      <explain>发文字号格式错误。</explain>
      <paraID>3F094360</paraID>
      <start>10</start>
      <end>18</end>
      <status>unmodified</status>
      <modifiedWord/>
      <trackRevisions>false</trackRevisions>
    </reviewItem>
    <reviewItem>
      <errorID>12f805fb-591b-4cc6-80e6-73775760dd92</errorID>
      <errorWord>[2015]74号</errorWord>
      <group>L1_Knowledge</group>
      <groupName>知识性问题</groupName>
      <ability>L2_Knowledge</ability>
      <abilityName>其他知识</abilityName>
      <candidateList>
        <item>〔2015〕74号</item>
      </candidateList>
      <explain>发文字号格式错误。</explain>
      <paraID>32FC3716</paraID>
      <start>3</start>
      <end>12</end>
      <status>unmodified</status>
      <modifiedWord/>
      <trackRevisions>false</trackRevisions>
    </reviewItem>
    <reviewItem>
      <errorID>60e76cfd-d878-47af-86e2-a72d732f2e73</errorID>
      <errorWord>[2015]227号</errorWord>
      <group>L1_Knowledge</group>
      <groupName>知识性问题</groupName>
      <ability>L2_Knowledge</ability>
      <abilityName>其他知识</abilityName>
      <candidateList>
        <item>〔2015〕227号</item>
      </candidateList>
      <explain>发文字号格式错误。</explain>
      <paraID>10DA1658</paraID>
      <start>3</start>
      <end>13</end>
      <status>unmodified</status>
      <modifiedWord/>
      <trackRevisions>false</trackRevisions>
    </reviewItem>
    <reviewItem>
      <errorID>cdca0b94-f265-4033-9bd8-3c1c5509b34e</errorID>
      <errorWord>[2013]48号</errorWord>
      <group>L1_Knowledge</group>
      <groupName>知识性问题</groupName>
      <ability>L2_Knowledge</ability>
      <abilityName>其他知识</abilityName>
      <candidateList>
        <item>〔2013〕48号</item>
      </candidateList>
      <explain>发文字号格式错误。</explain>
      <paraID>75422F4B</paraID>
      <start>3</start>
      <end>12</end>
      <status>unmodified</status>
      <modifiedWord/>
      <trackRevisions>false</trackRevisions>
    </reviewItem>
    <reviewItem>
      <errorID>0dc0b2cf-ced9-42ff-9ff1-363d17bead2a</errorID>
      <errorWord>[2013]211号</errorWord>
      <group>L1_Knowledge</group>
      <groupName>知识性问题</groupName>
      <ability>L2_Knowledge</ability>
      <abilityName>其他知识</abilityName>
      <candidateList>
        <item>〔2013〕211号</item>
      </candidateList>
      <explain>发文字号格式错误。</explain>
      <paraID> 71D376E</paraID>
      <start>3</start>
      <end>13</end>
      <status>unmodified</status>
      <modifiedWord/>
      <trackRevisions>false</trackRevisions>
    </reviewItem>
    <reviewItem>
      <errorID>4de1c862-8ebd-4780-873d-87f3b325f3e2</errorID>
      <errorWord>[2019]108号</errorWord>
      <group>L1_Knowledge</group>
      <groupName>知识性问题</groupName>
      <ability>L2_Knowledge</ability>
      <abilityName>其他知识</abilityName>
      <candidateList>
        <item>〔2019〕108号</item>
      </candidateList>
      <explain>发文字号格式错误。</explain>
      <paraID>5937BEDF</paraID>
      <start>3</start>
      <end>13</end>
      <status>unmodified</status>
      <modifiedWord/>
      <trackRevisions>false</trackRevisions>
    </reviewItem>
    <reviewItem>
      <errorID>8562e12d-5cf3-4717-9164-68ba5aff295f</errorID>
      <errorWord>[2020]99号</errorWord>
      <group>L1_Knowledge</group>
      <groupName>知识性问题</groupName>
      <ability>L2_Knowledge</ability>
      <abilityName>其他知识</abilityName>
      <candidateList>
        <item>〔2020〕99号</item>
      </candidateList>
      <explain>发文字号格式错误。</explain>
      <paraID>452E9ED0</paraID>
      <start>3</start>
      <end>12</end>
      <status>unmodified</status>
      <modifiedWord/>
      <trackRevisions>false</trackRevisions>
    </reviewItem>
    <reviewItem>
      <errorID>f30637e3-32c2-48bb-92c0-3bc7dda72579</errorID>
      <errorWord>[2022]38号</errorWord>
      <group>L1_Knowledge</group>
      <groupName>知识性问题</groupName>
      <ability>L2_Knowledge</ability>
      <abilityName>其他知识</abilityName>
      <candidateList>
        <item>〔2022〕38号</item>
      </candidateList>
      <explain>发文字号格式错误。</explain>
      <paraID>70CC6470</paraID>
      <start>4</start>
      <end>13</end>
      <status>unmodified</status>
      <modifiedWord/>
      <trackRevisions>false</trackRevisions>
    </reviewItem>
    <reviewItem>
      <errorID>484173a3-071f-4d8f-8a66-2b003abe3b70</errorID>
      <errorWord>[2023]2号</errorWord>
      <group>L1_Knowledge</group>
      <groupName>知识性问题</groupName>
      <ability>L2_Knowledge</ability>
      <abilityName>其他知识</abilityName>
      <candidateList>
        <item>〔2023〕2号</item>
      </candidateList>
      <explain>发文字号格式错误。</explain>
      <paraID>57B0E160</paraID>
      <start>4</start>
      <end>12</end>
      <status>unmodified</status>
      <modifiedWord/>
      <trackRevisions>false</trackRevisions>
    </reviewItem>
    <reviewItem>
      <errorID>f06df644-1e5c-40c5-9fd6-87388ecb480a</errorID>
      <errorWord>[2024]5号</errorWord>
      <group>L1_Knowledge</group>
      <groupName>知识性问题</groupName>
      <ability>L2_Knowledge</ability>
      <abilityName>其他知识</abilityName>
      <candidateList>
        <item>〔2024〕5号</item>
      </candidateList>
      <explain>发文字号格式错误。</explain>
      <paraID>52C50FD9</paraID>
      <start>4</start>
      <end>12</end>
      <status>unmodified</status>
      <modifiedWord/>
      <trackRevisions>false</trackRevisions>
    </reviewItem>
    <reviewItem>
      <errorID>9bc5c364-617e-4677-b6fe-4cc60f16933a</errorID>
      <errorWord>[2024]64号</errorWord>
      <group>L1_Knowledge</group>
      <groupName>知识性问题</groupName>
      <ability>L2_Knowledge</ability>
      <abilityName>其他知识</abilityName>
      <candidateList>
        <item>〔2024〕64号</item>
      </candidateList>
      <explain>发文字号格式错误。</explain>
      <paraID>63ED84DA</paraID>
      <start>3</start>
      <end>12</end>
      <status>unmodified</status>
      <modifiedWord/>
      <trackRevisions>false</trackRevisions>
    </reviewItem>
    <reviewItem>
      <errorID>e9078825-5a31-4498-b869-bb74b8a846cc</errorID>
      <errorWord>[2026]1号</errorWord>
      <group>L1_Knowledge</group>
      <groupName>知识性问题</groupName>
      <ability>L2_Knowledge</ability>
      <abilityName>其他知识</abilityName>
      <candidateList>
        <item>〔2026〕1号</item>
      </candidateList>
      <explain>发文字号格式错误。</explain>
      <paraID>69C9C60C</paraID>
      <start>4</start>
      <end>12</end>
      <status>unmodified</status>
      <modifiedWord/>
      <trackRevisions>false</trackRevisions>
    </reviewItem>
    <reviewItem>
      <errorID>cb8b23cc-4e9f-400c-8e36-ee566aa5d9ae</errorID>
      <errorWord>【2022】22号</errorWord>
      <group>L1_Knowledge</group>
      <groupName>知识性问题</groupName>
      <ability>L2_Knowledge</ability>
      <abilityName>其他知识</abilityName>
      <candidateList>
        <item>〔2022〕22号</item>
      </candidateList>
      <explain>发文字号格式错误。</explain>
      <paraID>6BAF3FCC</paraID>
      <start>50</start>
      <end>59</end>
      <status>unmodified</status>
      <modifiedWord/>
      <trackRevisions>false</trackRevisions>
    </reviewItem>
    <reviewItem>
      <errorID>f67465fb-df7a-4171-b6e4-a68474dfea33</errorID>
      <errorWord>【2022】22号</errorWord>
      <group>L1_Knowledge</group>
      <groupName>知识性问题</groupName>
      <ability>L2_Knowledge</ability>
      <abilityName>其他知识</abilityName>
      <candidateList>
        <item>〔2022〕22号</item>
      </candidateList>
      <explain>发文字号格式错误。</explain>
      <paraID>23DEF668</paraID>
      <start>22</start>
      <end>31</end>
      <status>unmodified</status>
      <modifiedWord/>
      <trackRevisions>false</trackRevisions>
    </reviewItem>
    <reviewItem>
      <errorID>97ae5955-eff5-47f4-83c8-61e966de7af9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2F72471E</paraID>
      <start>0</start>
      <end>2</end>
      <status>unmodified</status>
      <modifiedWord/>
      <trackRevisions>false</trackRevisions>
    </reviewItem>
    <reviewItem>
      <errorID>d5e34f98-427c-49c2-8ef7-e6bb91d650d1</errorID>
      <errorWord>二台</errorWord>
      <group>L1_Word</group>
      <groupName>字词问题</groupName>
      <ability>L2_Typo</ability>
      <abilityName>字词错误</abilityName>
      <candidateList>
        <item>两台</item>
      </candidateList>
      <explain/>
      <paraID>412F8457</paraID>
      <start>55</start>
      <end>57</end>
      <status>modified</status>
      <modifiedWord>两台</modifiedWord>
      <trackRevisions>false</trackRevisions>
    </reviewItem>
    <reviewItem>
      <errorID>fc288007-e958-4b84-9414-33323298a1ed</errorID>
      <errorWord>~</errorWord>
      <group>L1_Format</group>
      <groupName>格式问题</groupName>
      <ability>L2_HalfPunc</ability>
      <abilityName>全半角检查</abilityName>
      <candidateList>
        <item>～</item>
      </candidateList>
      <explain>文本全半角错误。</explain>
      <paraID>4C39EAC5</paraID>
      <start>3</start>
      <end>4</end>
      <status>unmodified</status>
      <modifiedWord/>
      <trackRevisions>false</trackRevisions>
    </reviewItem>
    <reviewItem>
      <errorID>c43a4e99-030e-4f80-aa65-dadb15864795</errorID>
      <errorWord>补汽</errorWord>
      <group>L1_Word</group>
      <groupName>字词问题</groupName>
      <ability>L2_Typo</ability>
      <abilityName>字词错误</abilityName>
      <candidateList>
        <item>补气</item>
      </candidateList>
      <explain>存在发音相同字词的误用。</explain>
      <paraID>48CA126D</paraID>
      <start>0</start>
      <end>2</end>
      <status>unmodified</status>
      <modifiedWord/>
      <trackRevisions>false</trackRevisions>
    </reviewItem>
    <reviewItem>
      <errorID>52923f31-db13-4110-9fc1-a2ab0def3705</errorID>
      <errorWord>~</errorWord>
      <group>L1_Format</group>
      <groupName>格式问题</groupName>
      <ability>L2_HalfPunc</ability>
      <abilityName>全半角检查</abilityName>
      <candidateList>
        <item>～</item>
      </candidateList>
      <explain>文本全半角错误。</explain>
      <paraID>5FD77F66</paraID>
      <start>3</start>
      <end>4</end>
      <status>unmodified</status>
      <modifiedWord/>
      <trackRevisions>false</trackRevisions>
    </reviewItem>
    <reviewItem>
      <errorID>5d938a59-5ea7-432b-8f6c-52c4072224cf</errorID>
      <errorWord>震动筛</errorWord>
      <group>L1_Word</group>
      <groupName>字词问题</groupName>
      <ability>L2_Typo</ability>
      <abilityName>字词错误</abilityName>
      <candidateList>
        <item>振动筛</item>
      </candidateList>
      <explain>存在发音相同字词的误用。</explain>
      <paraID>788C52A6</paraID>
      <start>2</start>
      <end>5</end>
      <status>unmodified</status>
      <modifiedWord/>
      <trackRevisions>false</trackRevisions>
    </reviewItem>
    <reviewItem>
      <errorID>899d5a1f-47a8-4b1e-8b6f-9180f030ed80</errorID>
      <errorWord>~</errorWord>
      <group>L1_Format</group>
      <groupName>格式问题</groupName>
      <ability>L2_HalfPunc</ability>
      <abilityName>全半角检查</abilityName>
      <candidateList>
        <item>～</item>
      </candidateList>
      <explain>文本全半角错误。</explain>
      <paraID>77C36245</paraID>
      <start>3</start>
      <end>4</end>
      <status>unmodified</status>
      <modifiedWord/>
      <trackRevisions>false</trackRevisions>
    </reviewItem>
    <reviewItem>
      <errorID>9f46b52a-ee01-440a-9425-5bbab4b2f774</errorID>
      <errorWord>~</errorWord>
      <group>L1_Format</group>
      <groupName>格式问题</groupName>
      <ability>L2_HalfPunc</ability>
      <abilityName>全半角检查</abilityName>
      <candidateList>
        <item>～</item>
      </candidateList>
      <explain>文本全半角错误。</explain>
      <paraID>6B25E5FF</paraID>
      <start>3</start>
      <end>4</end>
      <status>unmodified</status>
      <modifiedWord/>
      <trackRevisions>false</trackRevisions>
    </reviewItem>
    <reviewItem>
      <errorID>e7eb9856-11df-4b18-9a7e-8497118bb3b7</errorID>
      <errorWord>补汽</errorWord>
      <group>L1_Word</group>
      <groupName>字词问题</groupName>
      <ability>L2_Typo</ability>
      <abilityName>字词错误</abilityName>
      <candidateList>
        <item>补气</item>
      </candidateList>
      <explain>存在发音相同字词的误用。</explain>
      <paraID>45FBA6E4</paraID>
      <start>0</start>
      <end>2</end>
      <status>unmodified</status>
      <modifiedWord/>
      <trackRevisions>false</trackRevisions>
    </reviewItem>
    <reviewItem>
      <errorID>7fe7efdb-d7f8-4961-b251-94d2d07a67f5</errorID>
      <errorWord>圈流</errorWord>
      <group>L1_Knowledge</group>
      <groupName>知识性问题</groupName>
      <ability>L2_Knowledge</ability>
      <abilityName>其他知识</abilityName>
      <candidateList>
        <item>支流</item>
      </candidateList>
      <explain/>
      <paraID> 1BA10D4</paraID>
      <start>48</start>
      <end>50</end>
      <status>unmodified</status>
      <modifiedWord/>
      <trackRevisions>false</trackRevisions>
    </reviewItem>
    <reviewItem>
      <errorID>5499bb39-9a16-463c-9f6c-65a2dfb3b968</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1BA10D4</paraID>
      <start>162</start>
      <end>163</end>
      <status>unmodified</status>
      <modifiedWord/>
      <trackRevisions>false</trackRevisions>
    </reviewItem>
    <reviewItem>
      <errorID>33dda693-498d-4e3c-bbf7-57a4027975ff</errorID>
      <errorWord>中</errorWord>
      <group>L1_Word</group>
      <groupName>字词问题</groupName>
      <ability>L2_Typo</ability>
      <abilityName>字词错误</abilityName>
      <candidateList>
        <item>中第</item>
      </candidateList>
      <explain/>
      <paraID>441C3F4D</paraID>
      <start>143</start>
      <end>144</end>
      <status>unmodified</status>
      <modifiedWord/>
      <trackRevisions>false</trackRevisions>
    </reviewItem>
    <reviewItem>
      <errorID>80674a8b-11f8-4deb-a239-c845e9c50fb1</errorID>
      <errorWord>型型</errorWord>
      <group>L1_Word</group>
      <groupName>字词问题</groupName>
      <ability>L2_Typo</ability>
      <abilityName>字词错误</abilityName>
      <candidateList>
        <item>型</item>
      </candidateList>
      <explain/>
      <paraID>196E40C5</paraID>
      <start>225</start>
      <end>227</end>
      <status>unmodified</status>
      <modifiedWord/>
      <trackRevisions>false</trackRevisions>
    </reviewItem>
    <reviewItem>
      <errorID>d803a17b-7f69-41b2-ad99-99db0743efba</errorID>
      <errorWord>II</errorWord>
      <group>L1_Knowledge</group>
      <groupName>知识性问题</groupName>
      <ability>L2_Knowledge</ability>
      <abilityName>其他知识</abilityName>
      <candidateList>
        <item>Ⅱ</item>
      </candidateList>
      <explain/>
      <paraID>35B797D7</paraID>
      <start>59</start>
      <end>61</end>
      <status>unmodified</status>
      <modifiedWord/>
      <trackRevisions>false</trackRevisions>
    </reviewItem>
    <reviewItem>
      <errorID>6361ff86-18d1-4eba-af59-7f19d59681fb</errorID>
      <errorWord>（</errorWord>
      <group>L1_Format</group>
      <groupName>格式问题</groupName>
      <ability>L2_HalfPunc</ability>
      <abilityName>全半角检查</abilityName>
      <candidateList>
        <item>(</item>
      </candidateList>
      <explain>文本全半角错误。</explain>
      <paraID>3E1E49CD</paraID>
      <start>0</start>
      <end>1</end>
      <status>unmodified</status>
      <modifiedWord/>
      <trackRevisions>false</trackRevisions>
    </reviewItem>
    <reviewItem>
      <errorID>c444beca-eb87-4f10-9bd1-13b10c1c9325</errorID>
      <errorWord>）</errorWord>
      <group>L1_Format</group>
      <groupName>格式问题</groupName>
      <ability>L2_HalfPunc</ability>
      <abilityName>全半角检查</abilityName>
      <candidateList>
        <item>)</item>
      </candidateList>
      <explain>文本全半角错误。</explain>
      <paraID>3E1E49CD</paraID>
      <start>5</start>
      <end>6</end>
      <status>unmodified</status>
      <modifiedWord/>
      <trackRevisions>false</trackRevisions>
    </reviewItem>
    <reviewItem>
      <errorID>cc4a12f1-6665-403c-b01a-cedaa6bc31f7</errorID>
      <errorWord>（</errorWord>
      <group>L1_Format</group>
      <groupName>格式问题</groupName>
      <ability>L2_HalfPunc</ability>
      <abilityName>全半角检查</abilityName>
      <candidateList>
        <item>(</item>
      </candidateList>
      <explain>文本全半角错误。</explain>
      <paraID> 421C9AB</paraID>
      <start>0</start>
      <end>1</end>
      <status>unmodified</status>
      <modifiedWord/>
      <trackRevisions>false</trackRevisions>
    </reviewItem>
    <reviewItem>
      <errorID>57a28c9d-ef27-4bf2-b26a-b33d6fd7789d</errorID>
      <errorWord>）</errorWord>
      <group>L1_Format</group>
      <groupName>格式问题</groupName>
      <ability>L2_HalfPunc</ability>
      <abilityName>全半角检查</abilityName>
      <candidateList>
        <item>)</item>
      </candidateList>
      <explain>文本全半角错误。</explain>
      <paraID> 421C9AB</paraID>
      <start>5</start>
      <end>6</end>
      <status>unmodified</status>
      <modifiedWord/>
      <trackRevisions>false</trackRevisions>
    </reviewItem>
    <reviewItem>
      <errorID>0a2c2400-419f-431d-9e28-25098a0b2461</errorID>
      <errorWord>（</errorWord>
      <group>L1_Format</group>
      <groupName>格式问题</groupName>
      <ability>L2_HalfPunc</ability>
      <abilityName>全半角检查</abilityName>
      <candidateList>
        <item>(</item>
      </candidateList>
      <explain>文本全半角错误。</explain>
      <paraID>7DD54B8B</paraID>
      <start>0</start>
      <end>1</end>
      <status>unmodified</status>
      <modifiedWord/>
      <trackRevisions>false</trackRevisions>
    </reviewItem>
    <reviewItem>
      <errorID>9b669692-c1fa-45d0-aa9d-be8d98cf6c5d</errorID>
      <errorWord>）</errorWord>
      <group>L1_Format</group>
      <groupName>格式问题</groupName>
      <ability>L2_HalfPunc</ability>
      <abilityName>全半角检查</abilityName>
      <candidateList>
        <item>)</item>
      </candidateList>
      <explain>文本全半角错误。</explain>
      <paraID>7DD54B8B</paraID>
      <start>5</start>
      <end>6</end>
      <status>unmodified</status>
      <modifiedWord/>
      <trackRevisions>false</trackRevisions>
    </reviewItem>
    <reviewItem>
      <errorID>cc71d89f-3f6d-46cc-b188-32e7e138be09</errorID>
      <errorWord>（</errorWord>
      <group>L1_Format</group>
      <groupName>格式问题</groupName>
      <ability>L2_HalfPunc</ability>
      <abilityName>全半角检查</abilityName>
      <candidateList>
        <item>(</item>
      </candidateList>
      <explain>文本全半角错误。</explain>
      <paraID>6FE50EE6</paraID>
      <start>0</start>
      <end>1</end>
      <status>unmodified</status>
      <modifiedWord/>
      <trackRevisions>false</trackRevisions>
    </reviewItem>
    <reviewItem>
      <errorID>ca568129-3f7a-4c4f-9ce4-b6198c57ceb0</errorID>
      <errorWord>）</errorWord>
      <group>L1_Format</group>
      <groupName>格式问题</groupName>
      <ability>L2_HalfPunc</ability>
      <abilityName>全半角检查</abilityName>
      <candidateList>
        <item>)</item>
      </candidateList>
      <explain>文本全半角错误。</explain>
      <paraID>6FE50EE6</paraID>
      <start>5</start>
      <end>6</end>
      <status>unmodified</status>
      <modifiedWord/>
      <trackRevisions>false</trackRevisions>
    </reviewItem>
    <reviewItem>
      <errorID>031e7668-f854-4fa6-962f-d4875771107d</errorID>
      <errorWord>~</errorWord>
      <group>L1_Format</group>
      <groupName>格式问题</groupName>
      <ability>L2_HalfPunc</ability>
      <abilityName>全半角检查</abilityName>
      <candidateList>
        <item>～</item>
      </candidateList>
      <explain>文本全半角错误。</explain>
      <paraID>45760192</paraID>
      <start>183</start>
      <end>184</end>
      <status>unmodified</status>
      <modifiedWord/>
      <trackRevisions>false</trackRevisions>
    </reviewItem>
    <reviewItem>
      <errorID>51537ed6-6610-4171-a272-608c94895524</errorID>
      <errorWord>（</errorWord>
      <group>L1_Format</group>
      <groupName>格式问题</groupName>
      <ability>L2_HalfPunc</ability>
      <abilityName>全半角检查</abilityName>
      <candidateList>
        <item>(</item>
      </candidateList>
      <explain>文本全半角错误。</explain>
      <paraID>42BC9707</paraID>
      <start>0</start>
      <end>1</end>
      <status>unmodified</status>
      <modifiedWord/>
      <trackRevisions>false</trackRevisions>
    </reviewItem>
    <reviewItem>
      <errorID>1df7f9cf-f3f0-472b-a6be-43b152345b34</errorID>
      <errorWord>）</errorWord>
      <group>L1_Format</group>
      <groupName>格式问题</groupName>
      <ability>L2_HalfPunc</ability>
      <abilityName>全半角检查</abilityName>
      <candidateList>
        <item>)</item>
      </candidateList>
      <explain>文本全半角错误。</explain>
      <paraID>42BC9707</paraID>
      <start>6</start>
      <end>7</end>
      <status>unmodified</status>
      <modifiedWord/>
      <trackRevisions>false</trackRevisions>
    </reviewItem>
    <reviewItem>
      <errorID>de7a2654-9f1b-4f8b-8c8c-97e73ed278ae</errorID>
      <errorWord>（</errorWord>
      <group>L1_Format</group>
      <groupName>格式问题</groupName>
      <ability>L2_HalfPunc</ability>
      <abilityName>全半角检查</abilityName>
      <candidateList>
        <item>(</item>
      </candidateList>
      <explain>文本全半角错误。</explain>
      <paraID>3F4B95CE</paraID>
      <start>0</start>
      <end>1</end>
      <status>unmodified</status>
      <modifiedWord/>
      <trackRevisions>false</trackRevisions>
    </reviewItem>
    <reviewItem>
      <errorID>2256dbad-6de6-4b86-9e48-351a9d4cdc6f</errorID>
      <errorWord>）</errorWord>
      <group>L1_Format</group>
      <groupName>格式问题</groupName>
      <ability>L2_HalfPunc</ability>
      <abilityName>全半角检查</abilityName>
      <candidateList>
        <item>)</item>
      </candidateList>
      <explain>文本全半角错误。</explain>
      <paraID>3F4B95CE</paraID>
      <start>6</start>
      <end>7</end>
      <status>unmodified</status>
      <modifiedWord/>
      <trackRevisions>false</trackRevisions>
    </reviewItem>
    <reviewItem>
      <errorID>5820e5de-73dd-4cbc-91cd-db0e415dd839</errorID>
      <errorWord>(</errorWord>
      <group>L1_Format</group>
      <groupName>格式问题</groupName>
      <ability>L2_HalfPunc</ability>
      <abilityName>全半角检查</abilityName>
      <candidateList>
        <item>（</item>
      </candidateList>
      <explain>文本全半角错误。</explain>
      <paraID>28EDE231</paraID>
      <start>144</start>
      <end>145</end>
      <status>unmodified</status>
      <modifiedWord/>
      <trackRevisions>false</trackRevisions>
    </reviewItem>
    <reviewItem>
      <errorID>f2b18e6f-e46a-41b5-9f72-ca456441f78c</errorID>
      <errorWord>)</errorWord>
      <group>L1_Format</group>
      <groupName>格式问题</groupName>
      <ability>L2_HalfPunc</ability>
      <abilityName>全半角检查</abilityName>
      <candidateList>
        <item>）</item>
      </candidateList>
      <explain>文本全半角错误。</explain>
      <paraID>28EDE231</paraID>
      <start>157</start>
      <end>158</end>
      <status>unmodified</status>
      <modifiedWord/>
      <trackRevisions>false</trackRevisions>
    </reviewItem>
    <reviewItem>
      <errorID>81e38db7-7e72-47f8-bfb6-7017f71d8b60</errorID>
      <errorWord>检测点</errorWord>
      <group>L1_Word</group>
      <groupName>字词问题</groupName>
      <ability>L2_Typo</ability>
      <abilityName>字词错误</abilityName>
      <candidateList>
        <item>监测点</item>
      </candidateList>
      <explain/>
      <paraID>4452FA66</paraID>
      <start>0</start>
      <end>3</end>
      <status>unmodified</status>
      <modifiedWord/>
      <trackRevisions>false</trackRevisions>
    </reviewItem>
    <reviewItem>
      <errorID>62b30399-9fc4-4b50-aa27-10656bc3bf39</errorID>
      <errorWord>)</errorWord>
      <group>L1_Format</group>
      <groupName>格式问题</groupName>
      <ability>L2_HalfPunc</ability>
      <abilityName>全半角检查</abilityName>
      <candidateList>
        <item>）</item>
      </candidateList>
      <explain>文本全半角错误。</explain>
      <paraID>6DF663A1</paraID>
      <start>9</start>
      <end>10</end>
      <status>unmodified</status>
      <modifiedWord/>
      <trackRevisions>false</trackRevisions>
    </reviewItem>
    <reviewItem>
      <errorID>17d19cdd-299c-448f-b775-6cadf907834d</errorID>
      <errorWord>)</errorWord>
      <group>L1_Format</group>
      <groupName>格式问题</groupName>
      <ability>L2_HalfPunc</ability>
      <abilityName>全半角检查</abilityName>
      <candidateList>
        <item>）</item>
      </candidateList>
      <explain>文本全半角错误。</explain>
      <paraID>2059075C</paraID>
      <start>9</start>
      <end>10</end>
      <status>unmodified</status>
      <modifiedWord/>
      <trackRevisions>false</trackRevisions>
    </reviewItem>
    <reviewItem>
      <errorID>a79ad67a-bdb3-43d6-bfeb-dbf53989c8a2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8E59869</paraID>
      <start>0</start>
      <end>2</end>
      <status>unmodified</status>
      <modifiedWord/>
      <trackRevisions>false</trackRevisions>
    </reviewItem>
    <reviewItem>
      <errorID>150b2e2a-61c6-4dc9-bef3-54eb4932cf72</errorID>
      <errorWord>一二线</errorWord>
      <group>L1_Punc</group>
      <groupName>标点问题</groupName>
      <ability>L2_Punc</ability>
      <abilityName>标点符号检查</abilityName>
      <candidateList>
        <item>一、二线</item>
      </candidateList>
      <explain/>
      <paraID>49CCB6D4</paraID>
      <start>3</start>
      <end>6</end>
      <status>unmodified</status>
      <modifiedWord/>
      <trackRevisions>false</trackRevisions>
    </reviewItem>
    <reviewItem>
      <errorID>15d8c7ff-e4e4-4077-814b-cce2762fbad2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7A1216A8</paraID>
      <start>0</start>
      <end>2</end>
      <status>unmodified</status>
      <modifiedWord/>
      <trackRevisions>false</trackRevisions>
    </reviewItem>
    <reviewItem>
      <errorID>0263d2f5-8cd5-402a-b2b9-b6d6b92fa054</errorID>
      <errorWord>:</errorWord>
      <group>L1_Format</group>
      <groupName>格式问题</groupName>
      <ability>L2_HalfPunc</ability>
      <abilityName>全半角检查</abilityName>
      <candidateList>
        <item>：</item>
      </candidateList>
      <explain>文本全半角错误。</explain>
      <paraID> CBF10DC</paraID>
      <start>2</start>
      <end>3</end>
      <status>unmodified</status>
      <modifiedWord/>
      <trackRevisions>false</trackRevisions>
    </reviewItem>
    <reviewItem>
      <errorID>bbca8faf-a7da-48d5-946f-6eb3c4f5808d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CBF10DC</paraID>
      <start>8</start>
      <end>9</end>
      <status>unmodified</status>
      <modifiedWord/>
      <trackRevisions>false</trackRevisions>
    </reviewItem>
    <reviewItem>
      <errorID>346dbc07-8da3-44ee-861c-29ff00ef3747</errorID>
      <errorWord>~</errorWord>
      <group>L1_Format</group>
      <groupName>格式问题</groupName>
      <ability>L2_HalfPunc</ability>
      <abilityName>全半角检查</abilityName>
      <candidateList>
        <item>～</item>
      </candidateList>
      <explain>文本全半角错误。</explain>
      <paraID> CBF10DC</paraID>
      <start>21</start>
      <end>22</end>
      <status>unmodified</status>
      <modifiedWord/>
      <trackRevisions>false</trackRevisions>
    </reviewItem>
    <reviewItem>
      <errorID>1c0d22f1-eb9a-4703-a156-4d4c04798550</errorID>
      <errorWord>:</errorWord>
      <group>L1_Format</group>
      <groupName>格式问题</groupName>
      <ability>L2_HalfPunc</ability>
      <abilityName>全半角检查</abilityName>
      <candidateList>
        <item>：</item>
      </candidateList>
      <explain>文本全半角错误。</explain>
      <paraID>5C75A9E4</paraID>
      <start>2</start>
      <end>3</end>
      <status>unmodified</status>
      <modifiedWord/>
      <trackRevisions>false</trackRevisions>
    </reviewItem>
    <reviewItem>
      <errorID>bc742f6d-78dd-4579-ac55-a94624d85fdc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5C75A9E4</paraID>
      <start>8</start>
      <end>9</end>
      <status>unmodified</status>
      <modifiedWord/>
      <trackRevisions>false</trackRevisions>
    </reviewItem>
    <reviewItem>
      <errorID>fa8eb806-e723-478c-a577-00422e98d823</errorID>
      <errorWord>~</errorWord>
      <group>L1_Format</group>
      <groupName>格式问题</groupName>
      <ability>L2_HalfPunc</ability>
      <abilityName>全半角检查</abilityName>
      <candidateList>
        <item>～</item>
      </candidateList>
      <explain>文本全半角错误。</explain>
      <paraID>5C75A9E4</paraID>
      <start>21</start>
      <end>22</end>
      <status>unmodified</status>
      <modifiedWord/>
      <trackRevisions>false</trackRevisions>
    </reviewItem>
    <reviewItem>
      <errorID>611d8ee5-ecdd-4804-8bec-47f5ff1cfde1</errorID>
      <errorWord>,</errorWord>
      <group>L1_Format</group>
      <groupName>格式问题</groupName>
      <ability>L2_HalfPunc</ability>
      <abilityName>全半角检查</abilityName>
      <candidateList>
        <item>，</item>
      </candidateList>
      <explain>文本全半角错误。</explain>
      <paraID>3BA961F7</paraID>
      <start>11</start>
      <end>12</end>
      <status>unmodified</status>
      <modifiedWord/>
      <trackRevisions>false</trackRevisions>
    </reviewItem>
    <reviewItem>
      <errorID>c4aefa74-11fe-450b-9342-c60d71558fd0</errorID>
      <errorWord>KW</errorWord>
      <group>L1_Word</group>
      <groupName>字词问题</groupName>
      <ability>L2_Typo</ability>
      <abilityName>字词错误</abilityName>
      <candidateList>
        <item>kW</item>
      </candidateList>
      <explain/>
      <paraID>3BA961F7</paraID>
      <start>28</start>
      <end>30</end>
      <status>unmodified</status>
      <modifiedWord/>
      <trackRevisions>false</trackRevisions>
    </reviewItem>
    <reviewItem>
      <errorID>2c0a327a-5d8c-4b05-a2b4-b9a3bcf7ad0d</errorID>
      <errorWord>:</errorWord>
      <group>L1_Format</group>
      <groupName>格式问题</groupName>
      <ability>L2_HalfPunc</ability>
      <abilityName>全半角检查</abilityName>
      <candidateList>
        <item>：</item>
      </candidateList>
      <explain>文本全半角错误。</explain>
      <paraID>31B7295D</paraID>
      <start>2</start>
      <end>3</end>
      <status>unmodified</status>
      <modifiedWord/>
      <trackRevisions>false</trackRevisions>
    </reviewItem>
    <reviewItem>
      <errorID>9626b35b-4a41-46ab-99e3-1508c68698fa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31B7295D</paraID>
      <start>8</start>
      <end>9</end>
      <status>unmodified</status>
      <modifiedWord/>
      <trackRevisions>false</trackRevisions>
    </reviewItem>
    <reviewItem>
      <errorID>9e599dab-c889-4338-b278-576d6eeb4f93</errorID>
      <errorWord>~</errorWord>
      <group>L1_Format</group>
      <groupName>格式问题</groupName>
      <ability>L2_HalfPunc</ability>
      <abilityName>全半角检查</abilityName>
      <candidateList>
        <item>～</item>
      </candidateList>
      <explain>文本全半角错误。</explain>
      <paraID>31B7295D</paraID>
      <start>21</start>
      <end>22</end>
      <status>unmodified</status>
      <modifiedWord/>
      <trackRevisions>false</trackRevisions>
    </reviewItem>
    <reviewItem>
      <errorID>094990e5-74f7-45f0-8e67-1167cb7d38d1</errorID>
      <errorWord>:</errorWord>
      <group>L1_Format</group>
      <groupName>格式问题</groupName>
      <ability>L2_HalfPunc</ability>
      <abilityName>全半角检查</abilityName>
      <candidateList>
        <item>：</item>
      </candidateList>
      <explain>文本全半角错误。</explain>
      <paraID>5915F906</paraID>
      <start>2</start>
      <end>3</end>
      <status>unmodified</status>
      <modifiedWord/>
      <trackRevisions>false</trackRevisions>
    </reviewItem>
    <reviewItem>
      <errorID>51e61b31-bb13-44ab-9ee0-c72dedf675d4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5915F906</paraID>
      <start>8</start>
      <end>9</end>
      <status>unmodified</status>
      <modifiedWord/>
      <trackRevisions>false</trackRevisions>
    </reviewItem>
    <reviewItem>
      <errorID>55b1e894-2330-4ec0-829c-24a11beeb274</errorID>
      <errorWord>~</errorWord>
      <group>L1_Format</group>
      <groupName>格式问题</groupName>
      <ability>L2_HalfPunc</ability>
      <abilityName>全半角检查</abilityName>
      <candidateList>
        <item>～</item>
      </candidateList>
      <explain>文本全半角错误。</explain>
      <paraID>5915F906</paraID>
      <start>21</start>
      <end>22</end>
      <status>unmodified</status>
      <modifiedWord/>
      <trackRevisions>false</trackRevisions>
    </reviewItem>
    <reviewItem>
      <errorID>5fa191ab-7ef7-44cc-b56a-969ce7a6343b</errorID>
      <errorWord>,</errorWord>
      <group>L1_Format</group>
      <groupName>格式问题</groupName>
      <ability>L2_HalfPunc</ability>
      <abilityName>全半角检查</abilityName>
      <candidateList>
        <item>，</item>
      </candidateList>
      <explain>文本全半角错误。</explain>
      <paraID> 3449E53</paraID>
      <start>11</start>
      <end>12</end>
      <status>unmodified</status>
      <modifiedWord/>
      <trackRevisions>false</trackRevisions>
    </reviewItem>
    <reviewItem>
      <errorID>021509b1-73e8-4132-831d-ab49f91c9197</errorID>
      <errorWord>KW</errorWord>
      <group>L1_Word</group>
      <groupName>字词问题</groupName>
      <ability>L2_Typo</ability>
      <abilityName>字词错误</abilityName>
      <candidateList>
        <item>kW</item>
      </candidateList>
      <explain/>
      <paraID> 3449E53</paraID>
      <start>28</start>
      <end>30</end>
      <status>unmodified</status>
      <modifiedWord/>
      <trackRevisions>false</trackRevisions>
    </reviewItem>
    <reviewItem>
      <errorID>fbf02105-6c63-4de1-ba36-e3c172c166f9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72AF2C8F</paraID>
      <start>33</start>
      <end>34</end>
      <status>unmodified</status>
      <modifiedWord/>
      <trackRevisions>false</trackRevisions>
    </reviewItem>
    <reviewItem>
      <errorID>6ce01aaf-97e5-49b4-a777-86a1117fbb9e</errorID>
      <errorWord>：~</errorWord>
      <group>L1_Punc</group>
      <groupName>标点问题</groupName>
      <ability>L2_Punc</ability>
      <abilityName>标点符号检查</abilityName>
      <candidateList>
        <item>：</item>
      </candidateList>
      <explain/>
      <paraID>64D6DF8D</paraID>
      <start>2</start>
      <end>4</end>
      <status>unmodified</status>
      <modifiedWord/>
      <trackRevisions>false</trackRevisions>
    </reviewItem>
    <reviewItem>
      <errorID>90b5ad33-fb05-4537-a886-0c3a636fd97b</errorID>
      <errorWord>~</errorWord>
      <group>L1_Format</group>
      <groupName>格式问题</groupName>
      <ability>L2_HalfPunc</ability>
      <abilityName>全半角检查</abilityName>
      <candidateList>
        <item>～</item>
      </candidateList>
      <explain>文本全半角错误。</explain>
      <paraID>40C01B5C</paraID>
      <start>24</start>
      <end>25</end>
      <status>unmodified</status>
      <modifiedWord/>
      <trackRevisions>false</trackRevisions>
    </reviewItem>
    <reviewItem>
      <errorID>6599a9bc-91ff-452a-98bd-6ae6e3771589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40C01B5C</paraID>
      <start>37</start>
      <end>38</end>
      <status>unmodified</status>
      <modifiedWord/>
      <trackRevisions>false</trackRevisions>
    </reviewItem>
    <reviewItem>
      <errorID>6a474db1-fe42-4274-bec5-349392748930</errorID>
      <errorWord>：~</errorWord>
      <group>L1_Punc</group>
      <groupName>标点问题</groupName>
      <ability>L2_Punc</ability>
      <abilityName>标点符号检查</abilityName>
      <candidateList>
        <item>：</item>
      </candidateList>
      <explain/>
      <paraID>44A198C1</paraID>
      <start>2</start>
      <end>4</end>
      <status>unmodified</status>
      <modifiedWord/>
      <trackRevisions>false</trackRevisions>
    </reviewItem>
    <reviewItem>
      <errorID>5579aa2f-90cf-43c5-a533-855fbd763908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2307A487</paraID>
      <start>17</start>
      <end>18</end>
      <status>unmodified</status>
      <modifiedWord/>
      <trackRevisions>false</trackRevisions>
    </reviewItem>
    <reviewItem>
      <errorID>aa96a65f-792f-41f6-9b86-e3e074bce2c8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3C5E13AA</paraID>
      <start>6</start>
      <end>7</end>
      <status>unmodified</status>
      <modifiedWord/>
      <trackRevisions>false</trackRevisions>
    </reviewItem>
    <reviewItem>
      <errorID>cd1bb286-9073-4652-aaef-38ff79582214</errorID>
      <errorWord>：~</errorWord>
      <group>L1_Punc</group>
      <groupName>标点问题</groupName>
      <ability>L2_Punc</ability>
      <abilityName>标点符号检查</abilityName>
      <candidateList>
        <item>：</item>
      </candidateList>
      <explain/>
      <paraID>5F41A918</paraID>
      <start>2</start>
      <end>4</end>
      <status>unmodified</status>
      <modifiedWord/>
      <trackRevisions>false</trackRevisions>
    </reviewItem>
    <reviewItem>
      <errorID>cfb26d9d-fccb-4d60-a41c-f1013694d03b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7027BE59</paraID>
      <start>33</start>
      <end>34</end>
      <status>unmodified</status>
      <modifiedWord/>
      <trackRevisions>false</trackRevisions>
    </reviewItem>
    <reviewItem>
      <errorID>293ce1e4-d0d9-4b33-a663-f652e9e9ad27</errorID>
      <errorWord>：~</errorWord>
      <group>L1_Punc</group>
      <groupName>标点问题</groupName>
      <ability>L2_Punc</ability>
      <abilityName>标点符号检查</abilityName>
      <candidateList>
        <item>：</item>
      </candidateList>
      <explain/>
      <paraID> CB50FDA</paraID>
      <start>2</start>
      <end>4</end>
      <status>unmodified</status>
      <modifiedWord/>
      <trackRevisions>false</trackRevisions>
    </reviewItem>
    <reviewItem>
      <errorID>99ed894a-7c73-4be7-b5c4-0561fa6c8121</errorID>
      <errorWord>~</errorWord>
      <group>L1_Format</group>
      <groupName>格式问题</groupName>
      <ability>L2_HalfPunc</ability>
      <abilityName>全半角检查</abilityName>
      <candidateList>
        <item>～</item>
      </candidateList>
      <explain>文本全半角错误。</explain>
      <paraID>380952EE</paraID>
      <start>24</start>
      <end>25</end>
      <status>unmodified</status>
      <modifiedWord/>
      <trackRevisions>false</trackRevisions>
    </reviewItem>
    <reviewItem>
      <errorID>0f96f331-366d-4839-895f-654fcac6003b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380952EE</paraID>
      <start>37</start>
      <end>38</end>
      <status>unmodified</status>
      <modifiedWord/>
      <trackRevisions>false</trackRevisions>
    </reviewItem>
    <reviewItem>
      <errorID>75afded4-6acd-4b9d-89d3-bce7800584ef</errorID>
      <errorWord>：~</errorWord>
      <group>L1_Punc</group>
      <groupName>标点问题</groupName>
      <ability>L2_Punc</ability>
      <abilityName>标点符号检查</abilityName>
      <candidateList>
        <item>：</item>
      </candidateList>
      <explain/>
      <paraID>45A5A5FB</paraID>
      <start>2</start>
      <end>4</end>
      <status>unmodified</status>
      <modifiedWord/>
      <trackRevisions>false</trackRevisions>
    </reviewItem>
    <reviewItem>
      <errorID>bc7ddaf5-270c-4ce4-a28c-f2dce3ca2d62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637CD5D5</paraID>
      <start>19</start>
      <end>20</end>
      <status>unmodified</status>
      <modifiedWord/>
      <trackRevisions>false</trackRevisions>
    </reviewItem>
    <reviewItem>
      <errorID>6dcdcbe0-8c34-4dc6-98d2-2e3cfc46c0c3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6E3E34C8</paraID>
      <start>6</start>
      <end>7</end>
      <status>unmodified</status>
      <modifiedWord/>
      <trackRevisions>false</trackRevisions>
    </reviewItem>
    <reviewItem>
      <errorID>3db63218-17d2-4a4e-a7ef-658fe3f4fad1</errorID>
      <errorWord>高品味</errorWord>
      <group>L1_Word</group>
      <groupName>字词问题</groupName>
      <ability>L2_Typo</ability>
      <abilityName>字词错误</abilityName>
      <candidateList>
        <item>高品位</item>
      </candidateList>
      <explain/>
      <paraID>2726BC8B</paraID>
      <start>0</start>
      <end>3</end>
      <status>unmodified</status>
      <modifiedWord/>
      <trackRevisions>false</trackRevisions>
    </reviewItem>
    <reviewItem>
      <errorID>9463b834-c0be-437f-90a0-d67a6518cf0d</errorID>
      <errorWord>减震</errorWord>
      <group>L1_Word</group>
      <groupName>字词问题</groupName>
      <ability>L2_Typo</ability>
      <abilityName>字词错误</abilityName>
      <candidateList>
        <item>减振</item>
      </candidateList>
      <explain>存在发音相同字词的误用。</explain>
      <paraID>6739AD3A</paraID>
      <start>23</start>
      <end>25</end>
      <status>unmodified</status>
      <modifiedWord/>
      <trackRevisions>false</trackRevisions>
    </reviewItem>
    <reviewItem>
      <errorID>ce698b6a-1107-4657-b332-117af60ff298</errorID>
      <errorWord>减震</errorWord>
      <group>L1_Word</group>
      <groupName>字词问题</groupName>
      <ability>L2_Typo</ability>
      <abilityName>字词错误</abilityName>
      <candidateList>
        <item>减振</item>
      </candidateList>
      <explain>存在发音相同字词的误用。</explain>
      <paraID>2AB766C2</paraID>
      <start>23</start>
      <end>25</end>
      <status>unmodified</status>
      <modifiedWord/>
      <trackRevisions>false</trackRevisions>
    </reviewItem>
    <reviewItem>
      <errorID>b4a57491-8f5d-4068-b995-c8e85beb63a8</errorID>
      <errorWord>，</errorWord>
      <group>L1_Format</group>
      <groupName>格式问题</groupName>
      <ability>L2_HalfPunc</ability>
      <abilityName>全半角检查</abilityName>
      <candidateList>
        <item>,</item>
      </candidateList>
      <explain>文本全半角错误。</explain>
      <paraID>36A0CF59</paraID>
      <start>11</start>
      <end>12</end>
      <status>unmodified</status>
      <modifiedWord/>
      <trackRevisions>false</trackRevisions>
    </reviewItem>
    <reviewItem>
      <errorID>e44c3fae-6602-4830-a676-b06845737c8c</errorID>
      <errorWord>建</errorWord>
      <group>L1_Word</group>
      <groupName>字词问题</groupName>
      <ability>L2_Typo</ability>
      <abilityName>字词错误</abilityName>
      <candidateList>
        <item>建成</item>
      </candidateList>
      <explain/>
      <paraID>7D9E9704</paraID>
      <start>5</start>
      <end>7</end>
      <status>modified</status>
      <modifiedWord>建成</modifiedWord>
      <trackRevisions>false</trackRevisions>
    </reviewItem>
    <reviewItem>
      <errorID>bcab7c67-9da7-4d17-a6ed-c7002e6546e1</errorID>
      <errorWord>kw</errorWord>
      <group>L1_Word</group>
      <groupName>字词问题</groupName>
      <ability>L2_Typo</ability>
      <abilityName>字词错误</abilityName>
      <candidateList>
        <item>kW</item>
      </candidateList>
      <explain/>
      <paraID>661C82DA</paraID>
      <start>5</start>
      <end>7</end>
      <status>modified</status>
      <modifiedWord>kW</modifiedWord>
      <trackRevisions>false</trackRevisions>
    </reviewItem>
    <reviewItem>
      <errorID>da6d2d95-d96e-492d-8d99-11bc635420ed</errorID>
      <errorWord>kw</errorWord>
      <group>L1_Word</group>
      <groupName>字词问题</groupName>
      <ability>L2_Typo</ability>
      <abilityName>字词错误</abilityName>
      <candidateList>
        <item>kW</item>
      </candidateList>
      <explain/>
      <paraID>4157DA92</paraID>
      <start>5</start>
      <end>7</end>
      <status>modified</status>
      <modifiedWord>kW</modifiedWord>
      <trackRevisions>false</trackRevisions>
    </reviewItem>
    <reviewItem>
      <errorID>3a53291d-8218-4a15-b107-ccd30db21a10</errorID>
      <errorWord>建</errorWord>
      <group>L1_Word</group>
      <groupName>字词问题</groupName>
      <ability>L2_Typo</ability>
      <abilityName>字词错误</abilityName>
      <candidateList>
        <item>建成</item>
      </candidateList>
      <explain/>
      <paraID>126A5048</paraID>
      <start>5</start>
      <end>7</end>
      <status>modified</status>
      <modifiedWord>建成</modifiedWord>
      <trackRevisions>false</trackRevisions>
    </reviewItem>
    <reviewItem>
      <errorID>0fa49509-e078-4b57-b161-821a17bcf495</errorID>
      <errorWord>（</errorWord>
      <group>L1_Punc</group>
      <groupName>标点问题</groupName>
      <ability>L2_Punc</ability>
      <abilityName>标点符号检查</abilityName>
      <candidateList/>
      <explain>同一形式括号套用。</explain>
      <paraID>711B9F71</paraID>
      <start>52</start>
      <end>53</end>
      <status>unmodified</status>
      <modifiedWord/>
      <trackRevisions>false</trackRevisions>
    </reviewItem>
    <reviewItem>
      <errorID>2388c276-e6d6-4171-813a-7414c652d546</errorID>
      <errorWord>）</errorWord>
      <group>L1_Punc</group>
      <groupName>标点问题</groupName>
      <ability>L2_Punc</ability>
      <abilityName>标点符号检查</abilityName>
      <candidateList/>
      <explain>同一形式括号套用。</explain>
      <paraID>711B9F71</paraID>
      <start>58</start>
      <end>59</end>
      <status>unmodified</status>
      <modifiedWord/>
      <trackRevisions>false</trackRevisions>
    </reviewItem>
    <reviewItem>
      <errorID>c0afb14d-9e59-4e79-9cc9-b3458e3d0619</errorID>
      <errorWord>一二线</errorWord>
      <group>L1_Punc</group>
      <groupName>标点问题</groupName>
      <ability>L2_Punc</ability>
      <abilityName>标点符号检查</abilityName>
      <candidateList>
        <item>一、二线</item>
      </candidateList>
      <explain/>
      <paraID>15F0916C</paraID>
      <start>3</start>
      <end>6</end>
      <status>unmodified</status>
      <modifiedWord/>
      <trackRevisions>false</trackRevisions>
    </reviewItem>
    <reviewItem>
      <errorID>8ea70ac6-9b2a-41a2-a099-e594839ff469</errorID>
      <errorWord>及颗粒物</errorWord>
      <group>L1_Knowledge</group>
      <groupName>知识性问题</groupName>
      <ability>L2_Term</ability>
      <abilityName>专业术语</abilityName>
      <candidateList>
        <item>细颗粒物</item>
      </candidateList>
      <explain/>
      <paraID>6A5490C6</paraID>
      <start>44</start>
      <end>48</end>
      <status>unmodified</status>
      <modifiedWord/>
      <trackRevisions>false</trackRevisions>
    </reviewItem>
    <reviewItem>
      <errorID>81d43822-90ea-4d87-b235-656e4ddb29a3</errorID>
      <errorWord>溶渣</errorWord>
      <group>L1_Word</group>
      <groupName>字词问题</groupName>
      <ability>L2_Typo</ability>
      <abilityName>字词错误</abilityName>
      <candidateList>
        <item>熔渣</item>
      </candidateList>
      <explain/>
      <paraID>302D9F57</paraID>
      <start>0</start>
      <end>2</end>
      <status>unmodified</status>
      <modifiedWord/>
      <trackRevisions>false</trackRevisions>
    </reviewItem>
    <reviewItem>
      <errorID>0e515bab-938f-4985-909d-7bc85de62523</errorID>
      <errorWord>溶渣</errorWord>
      <group>L1_Word</group>
      <groupName>字词问题</groupName>
      <ability>L2_Typo</ability>
      <abilityName>字词错误</abilityName>
      <candidateList>
        <item>熔渣</item>
      </candidateList>
      <explain/>
      <paraID>22D5C3C7</paraID>
      <start>0</start>
      <end>2</end>
      <status>unmodified</status>
      <modifiedWord/>
      <trackRevisions>false</trackRevisions>
    </reviewItem>
    <reviewItem>
      <errorID>5f234ef4-2eb1-4efd-9ef5-590abedfb7b1</errorID>
      <errorWord>溶渣</errorWord>
      <group>L1_Word</group>
      <groupName>字词问题</groupName>
      <ability>L2_Typo</ability>
      <abilityName>字词错误</abilityName>
      <candidateList>
        <item>熔渣</item>
      </candidateList>
      <explain/>
      <paraID> E0E4C31</paraID>
      <start>0</start>
      <end>2</end>
      <status>unmodified</status>
      <modifiedWord/>
      <trackRevisions>false</trackRevisions>
    </reviewItem>
    <reviewItem>
      <errorID>a2c99af1-fa47-4647-8182-0bab2cc5164e</errorID>
      <errorWord>溶渣</errorWord>
      <group>L1_Word</group>
      <groupName>字词问题</groupName>
      <ability>L2_Typo</ability>
      <abilityName>字词错误</abilityName>
      <candidateList>
        <item>熔渣</item>
      </candidateList>
      <explain/>
      <paraID>44A3DE4B</paraID>
      <start>5</start>
      <end>7</end>
      <status>unmodified</status>
      <modifiedWord/>
      <trackRevisions>false</trackRevisions>
    </reviewItem>
    <reviewItem>
      <errorID>d838bcf3-8482-4de4-b193-010fc080d3bc</errorID>
      <errorWord>板换</errorWord>
      <group>L1_Word</group>
      <groupName>字词问题</groupName>
      <ability>L2_Typo</ability>
      <abilityName>字词错误</abilityName>
      <candidateList>
        <item>更换</item>
      </candidateList>
      <explain>〈动〉变换；替换：～位置｜～衣裳｜～值班人员｜展览馆里的展品不断～。</explain>
      <paraID> 2B377AF</paraID>
      <start>3</start>
      <end>5</end>
      <status>unmodified</status>
      <modifiedWord/>
      <trackRevisions>false</trackRevisions>
    </reviewItem>
    <reviewItem>
      <errorID>5fdb6dfd-c373-4abf-8b20-470aa1274ac9</errorID>
      <errorWord>（</errorWord>
      <group>L1_Punc</group>
      <groupName>标点问题</groupName>
      <ability>L2_Punc</ability>
      <abilityName>标点符号检查</abilityName>
      <candidateList/>
      <explain/>
      <paraID>3A87F7C0</paraID>
      <start>5</start>
      <end>6</end>
      <status>unmodified</status>
      <modifiedWord/>
      <trackRevisions>false</trackRevisions>
    </reviewItem>
    <reviewItem>
      <errorID>541ba5c9-bc76-4281-b687-9c0c77eda681</errorID>
      <errorWord>（</errorWord>
      <group>L1_Punc</group>
      <groupName>标点问题</groupName>
      <ability>L2_Punc</ability>
      <abilityName>标点符号检查</abilityName>
      <candidateList/>
      <explain/>
      <paraID>15D6D97D</paraID>
      <start>5</start>
      <end>6</end>
      <status>unmodified</status>
      <modifiedWord/>
      <trackRevisions>false</trackRevisions>
    </reviewItem>
    <reviewItem>
      <errorID>da000f2d-73db-4551-b376-692df6328cd1</errorID>
      <errorWord>（</errorWord>
      <group>L1_Punc</group>
      <groupName>标点问题</groupName>
      <ability>L2_Punc</ability>
      <abilityName>标点符号检查</abilityName>
      <candidateList/>
      <explain/>
      <paraID>6E64D8D4</paraID>
      <start>5</start>
      <end>6</end>
      <status>unmodified</status>
      <modifiedWord/>
      <trackRevisions>false</trackRevisions>
    </reviewItem>
    <reviewItem>
      <errorID>fb3c80c4-6b0a-424d-afea-4dc70f3e40a5</errorID>
      <errorWord>骤冷</errorWord>
      <group>L1_Word</group>
      <groupName>字词问题</groupName>
      <ability>L2_Typo</ability>
      <abilityName>字词错误</abilityName>
      <candidateList>
        <item>制冷</item>
      </candidateList>
      <explain/>
      <paraID>566379E6</paraID>
      <start>0</start>
      <end>2</end>
      <status>unmodified</status>
      <modifiedWord/>
      <trackRevisions>false</trackRevisions>
    </reviewItem>
    <reviewItem>
      <errorID>87f3fffd-fe57-45fe-8254-37c01d2c0e1f</errorID>
      <errorWord>振打</errorWord>
      <group>L1_Word</group>
      <groupName>字词问题</groupName>
      <ability>L2_Typo</ability>
      <abilityName>字词错误</abilityName>
      <candidateList>
        <item>振捣</item>
      </candidateList>
      <explain/>
      <paraID>65EDFB0A</paraID>
      <start>2</start>
      <end>4</end>
      <status>unmodified</status>
      <modifiedWord/>
      <trackRevisions>false</trackRevisions>
    </reviewItem>
    <reviewItem>
      <errorID>d1aa8d58-585c-4910-b556-e8f590316b49</errorID>
      <errorWord>骤冷</errorWord>
      <group>L1_Word</group>
      <groupName>字词问题</groupName>
      <ability>L2_Typo</ability>
      <abilityName>字词错误</abilityName>
      <candidateList>
        <item>制冷</item>
      </candidateList>
      <explain/>
      <paraID> 39258C5</paraID>
      <start>0</start>
      <end>2</end>
      <status>unmodified</status>
      <modifiedWord/>
      <trackRevisions>false</trackRevisions>
    </reviewItem>
    <reviewItem>
      <errorID>e5f3d652-9ccc-4882-8b21-a404d70015cd</errorID>
      <errorWord>振打</errorWord>
      <group>L1_Word</group>
      <groupName>字词问题</groupName>
      <ability>L2_Typo</ability>
      <abilityName>字词错误</abilityName>
      <candidateList>
        <item>振捣</item>
      </candidateList>
      <explain/>
      <paraID>3F8DBB33</paraID>
      <start>2</start>
      <end>4</end>
      <status>unmodified</status>
      <modifiedWord/>
      <trackRevisions>false</trackRevisions>
    </reviewItem>
    <reviewItem>
      <errorID>88b913e7-806b-4221-8f77-fb00482344d6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11C6D4D5</paraID>
      <start>0</start>
      <end>2</end>
      <status>unmodified</status>
      <modifiedWord/>
      <trackRevisions>false</trackRevisions>
    </reviewItem>
    <reviewItem>
      <errorID>c81f4ca2-d01e-4421-ab59-ab848846d553</errorID>
      <errorWord>称</errorWord>
      <group>L1_Word</group>
      <groupName>字词问题</groupName>
      <ability>L2_Typo</ability>
      <abilityName>字词错误</abilityName>
      <candidateList>
        <item>秤</item>
      </candidateList>
      <explain>存在发音相同字词的误用。</explain>
      <paraID>74395336</paraID>
      <start>52</start>
      <end>53</end>
      <status>unmodified</status>
      <modifiedWord/>
      <trackRevisions>false</trackRevisions>
    </reviewItem>
    <reviewItem>
      <errorID>df86da5e-fa60-4cc8-a0a8-74ed05f40523</errorID>
      <errorWord>外挂</errorWord>
      <group>L1_Sensitive</group>
      <groupName>敏感问题</groupName>
      <ability>L2_Prohibited</ability>
      <abilityName>违禁内容</abilityName>
      <candidateList/>
      <explain>【违禁内容】句中涉及国家法律明令禁止的违禁内容，请注意甄别。</explain>
      <paraID>563A4004</paraID>
      <start>14</start>
      <end>16</end>
      <status>unmodified</status>
      <modifiedWord/>
      <trackRevisions>false</trackRevisions>
    </reviewItem>
    <reviewItem>
      <errorID>2087975f-8dd2-4079-85b0-9c6d11c0c231</errorID>
      <errorWord>外挂</errorWord>
      <group>L1_Sensitive</group>
      <groupName>敏感问题</groupName>
      <ability>L2_Prohibited</ability>
      <abilityName>违禁内容</abilityName>
      <candidateList/>
      <explain>【违禁内容】句中涉及国家法律明令禁止的违禁内容，请注意甄别。</explain>
      <paraID>638D802E</paraID>
      <start>30</start>
      <end>32</end>
      <status>unmodified</status>
      <modifiedWord/>
      <trackRevisions>false</trackRevisions>
    </reviewItem>
    <reviewItem>
      <errorID>79df5efd-93c7-49f2-a089-5e5c73ba4989</errorID>
      <errorWord>外挂</errorWord>
      <group>L1_Sensitive</group>
      <groupName>敏感问题</groupName>
      <ability>L2_Prohibited</ability>
      <abilityName>违禁内容</abilityName>
      <candidateList/>
      <explain>【违禁内容】句中涉及国家法律明令禁止的违禁内容，请注意甄别。</explain>
      <paraID>638D802E</paraID>
      <start>36</start>
      <end>38</end>
      <status>unmodified</status>
      <modifiedWord/>
      <trackRevisions>false</trackRevisions>
    </reviewItem>
    <reviewItem>
      <errorID>79dea2bd-f82f-42ba-abdb-6c2676ec8fcd</errorID>
      <errorWord>称</errorWord>
      <group>L1_Word</group>
      <groupName>字词问题</groupName>
      <ability>L2_Typo</ability>
      <abilityName>字词错误</abilityName>
      <candidateList>
        <item>秤</item>
      </candidateList>
      <explain>存在发音相同字词的误用。</explain>
      <paraID>1F1B7DD8</paraID>
      <start>52</start>
      <end>53</end>
      <status>unmodified</status>
      <modifiedWord/>
      <trackRevisions>false</trackRevisions>
    </reviewItem>
    <reviewItem>
      <errorID>a447e046-c37c-4291-8dbe-2086b558ca33</errorID>
      <errorWord>的</errorWord>
      <group>L1_Word</group>
      <groupName>字词问题</groupName>
      <ability>L2_Typo</ability>
      <abilityName>字词错误</abilityName>
      <candidateList>
        <item>的是</item>
      </candidateList>
      <explain/>
      <paraID>560FA96E</paraID>
      <start>5</start>
      <end>6</end>
      <status>unmodified</status>
      <modifiedWord/>
      <trackRevisions>false</trackRevisions>
    </reviewItem>
    <reviewItem>
      <errorID>af69b7cc-8a62-4289-8bf3-bbb78402420a</errorID>
      <errorWord>磅称</errorWord>
      <group>L1_Word</group>
      <groupName>字词问题</groupName>
      <ability>L2_Typo</ability>
      <abilityName>字词错误</abilityName>
      <candidateList>
        <item>磅秤</item>
      </candidateList>
      <explain>存在发音相同字词的误用。</explain>
      <paraID>6112A5B0</paraID>
      <start>103</start>
      <end>105</end>
      <status>unmodified</status>
      <modifiedWord/>
      <trackRevisions>false</trackRevisions>
    </reviewItem>
    <reviewItem>
      <errorID>3efc59d2-ec4f-4fdc-80ae-225a85c59bbe</errorID>
      <errorWord>外逸</errorWord>
      <group>L1_Word</group>
      <groupName>字词问题</groupName>
      <ability>L2_Typo</ability>
      <abilityName>字词错误</abilityName>
      <candidateList>
        <item>外溢</item>
      </candidateList>
      <explain/>
      <paraID> B7A8CBC</paraID>
      <start>137</start>
      <end>139</end>
      <status>unmodified</status>
      <modifiedWord/>
      <trackRevisions>false</trackRevisions>
    </reviewItem>
    <reviewItem>
      <errorID>f720a226-6f9f-402c-a4e0-787f5269b615</errorID>
      <errorWord>料</errorWord>
      <group>L1_Word</group>
      <groupName>字词问题</groupName>
      <ability>L2_Typo</ability>
      <abilityName>字词错误</abilityName>
      <candidateList>
        <item>料进</item>
      </candidateList>
      <explain/>
      <paraID>476EA751</paraID>
      <start>3</start>
      <end>4</end>
      <status>unmodified</status>
      <modifiedWord/>
      <trackRevisions>false</trackRevisions>
    </reviewItem>
    <reviewItem>
      <errorID>600c6346-0e05-409f-ac07-c78ad98851a2</errorID>
      <errorWord>成</errorWord>
      <group>L1_Word</group>
      <groupName>字词问题</groupName>
      <ability>L2_Typo</ability>
      <abilityName>字词错误</abilityName>
      <candidateList>
        <item>呈</item>
      </candidateList>
      <explain>存在发音相同字词的误用。</explain>
      <paraID>476EA751</paraID>
      <start>125</start>
      <end>126</end>
      <status>unmodified</status>
      <modifiedWord/>
      <trackRevisions>false</trackRevisions>
    </reviewItem>
    <reviewItem>
      <errorID>a8e517d8-2226-49fe-a23d-5d9c2dbbeafa</errorID>
      <errorWord>品格</errorWord>
      <group>L1_Word</group>
      <groupName>字词问题</groupName>
      <ability>L2_Typo</ability>
      <abilityName>字词错误</abilityName>
      <candidateList>
        <item>晶格</item>
      </candidateList>
      <explain/>
      <paraID>476EA751</paraID>
      <start>161</start>
      <end>163</end>
      <status>unmodified</status>
      <modifiedWord/>
      <trackRevisions>false</trackRevisions>
    </reviewItem>
    <reviewItem>
      <errorID>091d7a1b-da54-4eec-bd5e-a93f113adedc</errorID>
      <errorWord>烧成</errorWord>
      <group>L1_Word</group>
      <groupName>字词问题</groupName>
      <ability>L2_Typo</ability>
      <abilityName>字词错误</abilityName>
      <candidateList>
        <item>烧制</item>
      </candidateList>
      <explain/>
      <paraID>476EA751</paraID>
      <start>227</start>
      <end>229</end>
      <status>unmodified</status>
      <modifiedWord/>
      <trackRevisions>false</trackRevisions>
    </reviewItem>
    <reviewItem>
      <errorID>1b1fa15c-c8df-41e8-aa1a-5434bc1977bf</errorID>
      <errorWord>一二线</errorWord>
      <group>L1_Punc</group>
      <groupName>标点问题</groupName>
      <ability>L2_Punc</ability>
      <abilityName>标点符号检查</abilityName>
      <candidateList>
        <item>一、二线</item>
      </candidateList>
      <explain/>
      <paraID>7B15A3FE</paraID>
      <start>3</start>
      <end>6</end>
      <status>unmodified</status>
      <modifiedWord/>
      <trackRevisions>false</trackRevisions>
    </reviewItem>
    <reviewItem>
      <errorID>b6cca02b-3ab2-40d9-93e7-88ab5bdadb5c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84131C0</paraID>
      <start>0</start>
      <end>2</end>
      <status>unmodified</status>
      <modifiedWord/>
      <trackRevisions>false</trackRevisions>
    </reviewItem>
    <reviewItem>
      <errorID>4b0fbc56-3b41-4848-b7d3-e3f1d9810f75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78CD6233</paraID>
      <start>0</start>
      <end>2</end>
      <status>unmodified</status>
      <modifiedWord/>
      <trackRevisions>false</trackRevisions>
    </reviewItem>
    <reviewItem>
      <errorID>cd0a859f-472b-413b-afaf-a1c5dfd4de8f</errorID>
      <errorWord>蒸气冷凝水</errorWord>
      <group>L1_Knowledge</group>
      <groupName>知识性问题</groupName>
      <ability>L2_Term</ability>
      <abilityName>专业术语</abilityName>
      <candidateList>
        <item>蒸汽冷凝水</item>
      </candidateList>
      <explain/>
      <paraID>72B463FF</paraID>
      <start>1</start>
      <end>6</end>
      <status>unmodified</status>
      <modifiedWord/>
      <trackRevisions>false</trackRevisions>
    </reviewItem>
    <reviewItem>
      <errorID>a622730f-1ec6-45d8-9adb-10f2618d62a2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15443198</paraID>
      <start>0</start>
      <end>2</end>
      <status>unmodified</status>
      <modifiedWord/>
      <trackRevisions>false</trackRevisions>
    </reviewItem>
    <reviewItem>
      <errorID>6efb3862-c220-4288-8650-7a09bbda02a8</errorID>
      <errorWord>一二线</errorWord>
      <group>L1_Punc</group>
      <groupName>标点问题</groupName>
      <ability>L2_Punc</ability>
      <abilityName>标点符号检查</abilityName>
      <candidateList>
        <item>一、二线</item>
      </candidateList>
      <explain/>
      <paraID>6924DE6F</paraID>
      <start>3</start>
      <end>6</end>
      <status>unmodified</status>
      <modifiedWord/>
      <trackRevisions>false</trackRevisions>
    </reviewItem>
    <reviewItem>
      <errorID>e20e9284-2ea1-4c52-87a5-46c1e30a08a3</errorID>
      <errorWord>[2026]1号</errorWord>
      <group>L1_Knowledge</group>
      <groupName>知识性问题</groupName>
      <ability>L2_Knowledge</ability>
      <abilityName>其他知识</abilityName>
      <candidateList>
        <item>〔2026〕1号</item>
      </candidateList>
      <explain>发文字号格式错误。</explain>
      <paraID>65723C0C</paraID>
      <start>60</start>
      <end>68</end>
      <status>unmodified</status>
      <modifiedWord/>
      <trackRevisions>false</trackRevisions>
    </reviewItem>
    <reviewItem>
      <errorID>8ef34846-82ef-4ecb-8c1d-bb77ed0d4856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2408A9F</paraID>
      <start>0</start>
      <end>2</end>
      <status>unmodified</status>
      <modifiedWord/>
      <trackRevisions>false</trackRevisions>
    </reviewItem>
    <reviewItem>
      <errorID>26ab17b2-6aaa-4a5b-b337-a832154d4083</errorID>
      <errorWord>&lt;</errorWord>
      <group>L1_Format</group>
      <groupName>格式问题</groupName>
      <ability>L2_HalfPunc</ability>
      <abilityName>全半角检查</abilityName>
      <candidateList>
        <item>〈</item>
      </candidateList>
      <explain>文本全半角错误。</explain>
      <paraID>435AC109</paraID>
      <start>7</start>
      <end>8</end>
      <status>unmodified</status>
      <modifiedWord/>
      <trackRevisions>false</trackRevisions>
    </reviewItem>
    <reviewItem>
      <errorID>0ffcc5d2-5565-4b60-8441-f2f85745883a</errorID>
      <errorWord>&gt;的通知》</errorWord>
      <group>L1_Punc</group>
      <groupName>标点问题</groupName>
      <ability>L2_Punc</ability>
      <abilityName>标点符号检查</abilityName>
      <candidateList>
        <item>〉的通知》</item>
      </candidateList>
      <explain/>
      <paraID>435AC109</paraID>
      <start>26</start>
      <end>31</end>
      <status>unmodified</status>
      <modifiedWord/>
      <trackRevisions>false</trackRevisions>
    </reviewItem>
    <reviewItem>
      <errorID>9908a948-269b-45a3-a9b3-64b2218be120</errorID>
      <errorWord>(</errorWord>
      <group>L1_Punc</group>
      <groupName>标点问题</groupName>
      <ability>L2_Punc</ability>
      <abilityName>标点符号检查</abilityName>
      <candidateList/>
      <explain/>
      <paraID>435AC109</paraID>
      <start>31</start>
      <end>32</end>
      <status>unmodified</status>
      <modifiedWord/>
      <trackRevisions>false</trackRevisions>
    </reviewItem>
    <reviewItem>
      <errorID>29174695-ffd3-4d89-8fc0-7608787c141f</errorID>
      <errorWord>(</errorWord>
      <group>L1_Format</group>
      <groupName>格式问题</groupName>
      <ability>L2_HalfPunc</ability>
      <abilityName>全半角检查</abilityName>
      <candidateList>
        <item>（</item>
      </candidateList>
      <explain>文本全半角错误。</explain>
      <paraID>435AC109</paraID>
      <start>37</start>
      <end>38</end>
      <status>unmodified</status>
      <modifiedWord/>
      <trackRevisions>false</trackRevisions>
    </reviewItem>
    <reviewItem>
      <errorID>17861002-7337-45af-b552-c024bd504c28</errorID>
      <errorWord>)</errorWord>
      <group>L1_Format</group>
      <groupName>格式问题</groupName>
      <ability>L2_HalfPunc</ability>
      <abilityName>全半角检查</abilityName>
      <candidateList>
        <item>）</item>
      </candidateList>
      <explain>文本全半角错误。</explain>
      <paraID>435AC109</paraID>
      <start>46</start>
      <end>47</end>
      <status>unmodified</status>
      <modifiedWord/>
      <trackRevisions>false</trackRevisions>
    </reviewItem>
    <reviewItem>
      <errorID>0c760635-1fce-4240-b202-f7a689c1cb1e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6A56AD30</paraID>
      <start>95</start>
      <end>96</end>
      <status>unmodified</status>
      <modifiedWord/>
      <trackRevisions>false</trackRevisions>
    </reviewItem>
    <reviewItem>
      <errorID>adb65f73-fd84-43d0-bf75-d2023b1ba302</errorID>
      <errorWord>全威</errorWord>
      <group>L1_Word</group>
      <groupName>字词问题</groupName>
      <ability>L2_Typo</ability>
      <abilityName>字词错误</abilityName>
      <candidateList>
        <item>权威</item>
      </candidateList>
      <explain/>
      <paraID>6A56AD30</paraID>
      <start>128</start>
      <end>130</end>
      <status>unmodified</status>
      <modifiedWord/>
      <trackRevisions>false</trackRevisions>
    </reviewItem>
    <reviewItem>
      <errorID>236e2a30-dc9c-4597-aa33-3b2e23fcd5d0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AE532CA</paraID>
      <start>10</start>
      <end>11</end>
      <status>unmodified</status>
      <modifiedWord/>
      <trackRevisions>false</trackRevisions>
    </reviewItem>
    <reviewItem>
      <errorID>065064a3-bb2b-4fce-933c-a063e8379c34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7981EBDA</paraID>
      <start>10</start>
      <end>11</end>
      <status>unmodified</status>
      <modifiedWord/>
      <trackRevisions>false</trackRevisions>
    </reviewItem>
    <reviewItem>
      <errorID>9832d511-7778-415e-a271-0d96a5294185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7FBFB9F2</paraID>
      <start>24</start>
      <end>25</end>
      <status>unmodified</status>
      <modifiedWord/>
      <trackRevisions>false</trackRevisions>
    </reviewItem>
    <reviewItem>
      <errorID>b1c65085-6b9e-4bae-b9d6-51b8b5918d29</errorID>
      <errorWord>》</errorWord>
      <group>L1_Punc</group>
      <groupName>标点问题</groupName>
      <ability>L2_Punc</ability>
      <abilityName>标点符号检查</abilityName>
      <candidateList/>
      <explain/>
      <paraID>6A5A9348</paraID>
      <start>95</start>
      <end>96</end>
      <status>unmodified</status>
      <modifiedWord/>
      <trackRevisions>false</trackRevisions>
    </reviewItem>
    <reviewItem>
      <errorID>27708248-14f4-4654-8e88-2ea0dd13f49b</errorID>
      <errorWord>其它</errorWord>
      <group>L1_Word</group>
      <groupName>字词问题</groupName>
      <ability>L2_Alias</ability>
      <abilityName>也作/曾用词</abilityName>
      <candidateList>
        <item>其他</item>
      </candidateList>
      <explain>词汇[其它]为不规范表述或旧称，其规范书面表述为[其他]。</explain>
      <paraID>6A5A9348</paraID>
      <start>181</start>
      <end>183</end>
      <status>unmodified</status>
      <modifiedWord/>
      <trackRevisions>false</trackRevisions>
    </reviewItem>
    <reviewItem>
      <errorID>d34dadf5-bc3e-4af0-ad23-b18c4eb1fac5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2FD1212D</paraID>
      <start>0</start>
      <end>2</end>
      <status>unmodified</status>
      <modifiedWord/>
      <trackRevisions>false</trackRevisions>
    </reviewItem>
    <reviewItem>
      <errorID>1d7c328a-beb6-4917-bdb1-e2dcfa6f0bd6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691AB68F</paraID>
      <start>0</start>
      <end>2</end>
      <status>unmodified</status>
      <modifiedWord/>
      <trackRevisions>false</trackRevisions>
    </reviewItem>
    <reviewItem>
      <errorID>443d93a0-f7b8-45cd-a17d-a8113f4deca2</errorID>
      <errorWord>&gt;</errorWord>
      <group>L1_Format</group>
      <groupName>格式问题</groupName>
      <ability>L2_HalfPunc</ability>
      <abilityName>全半角检查</abilityName>
      <candidateList>
        <item>〉</item>
      </candidateList>
      <explain>文本全半角错误。</explain>
      <paraID>40DA8AF4</paraID>
      <start>183</start>
      <end>184</end>
      <status>unmodified</status>
      <modifiedWord/>
      <trackRevisions>false</trackRevisions>
    </reviewItem>
    <reviewItem>
      <errorID>34524a32-9e2d-47e4-9167-6a8792fb23e2</errorID>
      <errorWord>&gt;</errorWord>
      <group>L1_Format</group>
      <groupName>格式问题</groupName>
      <ability>L2_HalfPunc</ability>
      <abilityName>全半角检查</abilityName>
      <candidateList>
        <item>〉</item>
      </candidateList>
      <explain>文本全半角错误。</explain>
      <paraID>40DA8AF4</paraID>
      <start>196</start>
      <end>197</end>
      <status>unmodified</status>
      <modifiedWord/>
      <trackRevisions>false</trackRevisions>
    </reviewItem>
    <reviewItem>
      <errorID>ade998ad-c934-46ae-acd9-176db794fa0b</errorID>
      <errorWord>&gt;</errorWord>
      <group>L1_Format</group>
      <groupName>格式问题</groupName>
      <ability>L2_HalfPunc</ability>
      <abilityName>全半角检查</abilityName>
      <candidateList>
        <item>〉</item>
      </candidateList>
      <explain>文本全半角错误。</explain>
      <paraID>40DA8AF4</paraID>
      <start>211</start>
      <end>212</end>
      <status>unmodified</status>
      <modifiedWord/>
      <trackRevisions>false</trackRevisions>
    </reviewItem>
    <reviewItem>
      <errorID>16724ec1-ef73-4776-8eac-eedcbaea8fc2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9BA2AB0</paraID>
      <start>0</start>
      <end>2</end>
      <status>unmodified</status>
      <modifiedWord/>
      <trackRevisions>false</trackRevisions>
    </reviewItem>
    <reviewItem>
      <errorID>469e735e-cc87-4fe2-a59a-1c6194a98eb6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2CE950BA</paraID>
      <start>0</start>
      <end>2</end>
      <status>unmodified</status>
      <modifiedWord/>
      <trackRevisions>false</trackRevisions>
    </reviewItem>
    <reviewItem>
      <errorID>6039bd93-208b-4ab2-9942-cbb1f5de312d</errorID>
      <errorWord>(</errorWord>
      <group>L1_Format</group>
      <groupName>格式问题</groupName>
      <ability>L2_HalfPunc</ability>
      <abilityName>全半角检查</abilityName>
      <candidateList>
        <item>（</item>
      </candidateList>
      <explain>文本全半角错误。</explain>
      <paraID> DCAC464</paraID>
      <start>57</start>
      <end>58</end>
      <status>unmodified</status>
      <modifiedWord/>
      <trackRevisions>false</trackRevisions>
    </reviewItem>
    <reviewItem>
      <errorID>310d40b1-d3fb-4f2c-8654-da6a5b216a4c</errorID>
      <errorWord>)(</errorWord>
      <group>L1_Format</group>
      <groupName>格式问题</groupName>
      <ability>L2_HalfPunc</ability>
      <abilityName>全半角检查</abilityName>
      <candidateList>
        <item>）（</item>
      </candidateList>
      <explain>文本全半角错误。</explain>
      <paraID> DCAC464</paraID>
      <start>63</start>
      <end>65</end>
      <status>unmodified</status>
      <modifiedWord/>
      <trackRevisions>false</trackRevisions>
    </reviewItem>
    <reviewItem>
      <errorID>7f5b7d39-5201-4801-a3f9-f9901f9c0341</errorID>
      <errorWord>)</errorWord>
      <group>L1_Format</group>
      <groupName>格式问题</groupName>
      <ability>L2_HalfPunc</ability>
      <abilityName>全半角检查</abilityName>
      <candidateList>
        <item>）</item>
      </candidateList>
      <explain>文本全半角错误。</explain>
      <paraID> DCAC464</paraID>
      <start>67</start>
      <end>68</end>
      <status>unmodified</status>
      <modifiedWord/>
      <trackRevisions>false</trackRevisions>
    </reviewItem>
    <reviewItem>
      <errorID>6c2513f7-dc86-4a97-aac9-5d81a36bc3bf</errorID>
      <errorWord>"</errorWord>
      <group>L1_Format</group>
      <groupName>格式问题</groupName>
      <ability>L2_HalfPunc</ability>
      <abilityName>全半角检查</abilityName>
      <candidateList>
        <item>“</item>
      </candidateList>
      <explain>文本全半角错误。</explain>
      <paraID>1C8D5D0C</paraID>
      <start>6</start>
      <end>7</end>
      <status>unmodified</status>
      <modifiedWord/>
      <trackRevisions>false</trackRevisions>
    </reviewItem>
    <reviewItem>
      <errorID>81656290-c257-44a3-bc31-f46e42c8a274</errorID>
      <errorWord>"</errorWord>
      <group>L1_Format</group>
      <groupName>格式问题</groupName>
      <ability>L2_HalfPunc</ability>
      <abilityName>全半角检查</abilityName>
      <candidateList>
        <item>”</item>
      </candidateList>
      <explain>文本全半角错误。</explain>
      <paraID>1C8D5D0C</paraID>
      <start>8</start>
      <end>9</end>
      <status>unmodified</status>
      <modifiedWord/>
      <trackRevisions>false</trackRevisions>
    </reviewItem>
    <reviewItem>
      <errorID>f3539376-b0e7-427c-ab54-c0d361ff22ab</errorID>
      <errorWord>(</errorWord>
      <group>L1_Format</group>
      <groupName>格式问题</groupName>
      <ability>L2_HalfPunc</ability>
      <abilityName>全半角检查</abilityName>
      <candidateList>
        <item>（</item>
      </candidateList>
      <explain>文本全半角错误。</explain>
      <paraID>1BA256ED</paraID>
      <start>7</start>
      <end>8</end>
      <status>unmodified</status>
      <modifiedWord/>
      <trackRevisions>false</trackRevisions>
    </reviewItem>
    <reviewItem>
      <errorID>8d449155-6e50-4871-aa41-764f756506ba</errorID>
      <errorWord>)</errorWord>
      <group>L1_Format</group>
      <groupName>格式问题</groupName>
      <ability>L2_HalfPunc</ability>
      <abilityName>全半角检查</abilityName>
      <candidateList>
        <item>）</item>
      </candidateList>
      <explain>文本全半角错误。</explain>
      <paraID>1BA256ED</paraID>
      <start>9</start>
      <end>10</end>
      <status>unmodified</status>
      <modifiedWord/>
      <trackRevisions>false</trackRevisions>
    </reviewItem>
    <reviewItem>
      <errorID>f02d558a-da1b-4a21-a1bd-e87ca262b059</errorID>
      <errorWord>(</errorWord>
      <group>L1_Format</group>
      <groupName>格式问题</groupName>
      <ability>L2_HalfPunc</ability>
      <abilityName>全半角检查</abilityName>
      <candidateList>
        <item>（</item>
      </candidateList>
      <explain>文本全半角错误。</explain>
      <paraID>3FE12137</paraID>
      <start>7</start>
      <end>8</end>
      <status>unmodified</status>
      <modifiedWord/>
      <trackRevisions>false</trackRevisions>
    </reviewItem>
    <reviewItem>
      <errorID>13e93c5b-9d20-4a7f-a993-b51757f1e084</errorID>
      <errorWord>)</errorWord>
      <group>L1_Format</group>
      <groupName>格式问题</groupName>
      <ability>L2_HalfPunc</ability>
      <abilityName>全半角检查</abilityName>
      <candidateList>
        <item>）</item>
      </candidateList>
      <explain>文本全半角错误。</explain>
      <paraID>3FE12137</paraID>
      <start>9</start>
      <end>10</end>
      <status>unmodified</status>
      <modifiedWord/>
      <trackRevisions>false</trackRevisions>
    </reviewItem>
    <reviewItem>
      <errorID>a083c711-72f1-4712-abb9-0b701a997c0d</errorID>
      <errorWord>II</errorWord>
      <group>L1_Knowledge</group>
      <groupName>知识性问题</groupName>
      <ability>L2_Knowledge</ability>
      <abilityName>其他知识</abilityName>
      <candidateList>
        <item>Ⅱ</item>
      </candidateList>
      <explain/>
      <paraID> A5AD3EC</paraID>
      <start>0</start>
      <end>2</end>
      <status>unmodified</status>
      <modifiedWord/>
      <trackRevisions>false</trackRevisions>
    </reviewItem>
    <reviewItem>
      <errorID>e3858ff6-8ecf-4a4e-9a6e-d950db33a8ea</errorID>
      <errorWord>制标</errorWord>
      <group>L1_Word</group>
      <groupName>字词问题</groupName>
      <ability>L2_Typo</ability>
      <abilityName>字词错误</abilityName>
      <candidateList>
        <item>指标</item>
      </candidateList>
      <explain>存在发音相同字词的误用。</explain>
      <paraID>783BF788</paraID>
      <start>0</start>
      <end>2</end>
      <status>unmodified</status>
      <modifiedWord/>
      <trackRevisions>false</trackRevisions>
    </reviewItem>
    <reviewItem>
      <errorID>2ba6bad8-ad92-418a-982f-6a81d3fe7de1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5C90E714</paraID>
      <start>0</start>
      <end>2</end>
      <status>unmodified</status>
      <modifiedWord/>
      <trackRevisions>false</trackRevisions>
    </reviewItem>
    <reviewItem>
      <errorID>d6420234-5feb-4d95-95b5-4e9261dd3e4b</errorID>
      <errorWord>II</errorWord>
      <group>L1_Knowledge</group>
      <groupName>知识性问题</groupName>
      <ability>L2_Knowledge</ability>
      <abilityName>其他知识</abilityName>
      <candidateList>
        <item>Ⅱ</item>
      </candidateList>
      <explain/>
      <paraID>3DFDE3CD</paraID>
      <start>80</start>
      <end>82</end>
      <status>unmodified</status>
      <modifiedWord/>
      <trackRevisions>false</trackRevisions>
    </reviewItem>
    <reviewItem>
      <errorID>7244c0a7-07bd-44d8-b4d1-88b0838b604d</errorID>
      <errorWord>（</errorWord>
      <group>L1_Word</group>
      <groupName>字词问题</groupName>
      <ability>L2_Typo</ability>
      <abilityName>字词错误</abilityName>
      <candidateList>
        <item>（以</item>
      </candidateList>
      <explain/>
      <paraID>3DFDE3CD</paraID>
      <start>165</start>
      <end>166</end>
      <status>unmodified</status>
      <modifiedWord/>
      <trackRevisions>false</trackRevisions>
    </reviewItem>
    <reviewItem>
      <errorID>eca387c4-3359-4f73-aac8-cd1105ba35f2</errorID>
      <errorWord>小</errorWord>
      <group>L1_Word</group>
      <groupName>字词问题</groupName>
      <ability>L2_Typo</ability>
      <abilityName>字词错误</abilityName>
      <candidateList>
        <item>小于</item>
      </candidateList>
      <explain/>
      <paraID>5018FAC6</paraID>
      <start>65</start>
      <end>66</end>
      <status>unmodified</status>
      <modifiedWord/>
      <trackRevisions>false</trackRevisions>
    </reviewItem>
    <reviewItem>
      <errorID>6d9333f7-0921-44c8-a98f-fa61201ec32b</errorID>
      <errorWord>(</errorWord>
      <group>L1_Format</group>
      <groupName>格式问题</groupName>
      <ability>L2_HalfPunc</ability>
      <abilityName>全半角检查</abilityName>
      <candidateList>
        <item>（</item>
      </candidateList>
      <explain>文本全半角错误。</explain>
      <paraID>2DBE6C83</paraID>
      <start>4</start>
      <end>5</end>
      <status>unmodified</status>
      <modifiedWord/>
      <trackRevisions>false</trackRevisions>
    </reviewItem>
    <reviewItem>
      <errorID>faf08ef7-c3f7-4db1-8dff-4c7d4b09c241</errorID>
      <errorWord>)</errorWord>
      <group>L1_Format</group>
      <groupName>格式问题</groupName>
      <ability>L2_HalfPunc</ability>
      <abilityName>全半角检查</abilityName>
      <candidateList>
        <item>）</item>
      </candidateList>
      <explain>文本全半角错误。</explain>
      <paraID>2DBE6C83</paraID>
      <start>10</start>
      <end>11</end>
      <status>unmodified</status>
      <modifiedWord/>
      <trackRevisions>false</trackRevisions>
    </reviewItem>
    <reviewItem>
      <errorID>6af8ed07-acf3-4088-9ffa-434e23ae8b87</errorID>
      <errorWord>II</errorWord>
      <group>L1_Knowledge</group>
      <groupName>知识性问题</groupName>
      <ability>L2_Knowledge</ability>
      <abilityName>其他知识</abilityName>
      <candidateList>
        <item>Ⅱ</item>
      </candidateList>
      <explain/>
      <paraID>59FFA3BE</paraID>
      <start>0</start>
      <end>1</end>
      <status>modified</status>
      <modifiedWord>Ⅱ</modifiedWord>
      <trackRevisions>false</trackRevisions>
    </reviewItem>
    <reviewItem>
      <errorID>8876e9b5-adc8-4445-a503-f47e627136f3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4C9E6F1A</paraID>
      <start>0</start>
      <end>2</end>
      <status>unmodified</status>
      <modifiedWord/>
      <trackRevisions>false</trackRevisions>
    </reviewItem>
    <reviewItem>
      <errorID>5662042a-ba6b-48ed-8853-31b8125c0f1f</errorID>
      <errorWord>（</errorWord>
      <group>L1_Format</group>
      <groupName>格式问题</groupName>
      <ability>L2_HalfPunc</ability>
      <abilityName>全半角检查</abilityName>
      <candidateList>
        <item>(</item>
      </candidateList>
      <explain>文本全半角错误。</explain>
      <paraID>7FD62050</paraID>
      <start>2</start>
      <end>3</end>
      <status>unmodified</status>
      <modifiedWord/>
      <trackRevisions>false</trackRevisions>
    </reviewItem>
    <reviewItem>
      <errorID>a80b7bd3-b1f7-47bf-88ac-f2f6006cd0c0</errorID>
      <errorWord>）</errorWord>
      <group>L1_Format</group>
      <groupName>格式问题</groupName>
      <ability>L2_HalfPunc</ability>
      <abilityName>全半角检查</abilityName>
      <candidateList>
        <item>)</item>
      </candidateList>
      <explain>文本全半角错误。</explain>
      <paraID>7FD62050</paraID>
      <start>4</start>
      <end>5</end>
      <status>unmodified</status>
      <modifiedWord/>
      <trackRevisions>false</trackRevisions>
    </reviewItem>
    <reviewItem>
      <errorID>d5db984c-15f3-4af4-83e1-4dab2823ce1c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62A0BD68</paraID>
      <start>0</start>
      <end>2</end>
      <status>unmodified</status>
      <modifiedWord/>
      <trackRevisions>false</trackRevisions>
    </reviewItem>
    <reviewItem>
      <errorID>53d6c8c9-4394-48e3-b1a5-f63389300839</errorID>
      <errorWord>（</errorWord>
      <group>L1_Format</group>
      <groupName>格式问题</groupName>
      <ability>L2_HalfPunc</ability>
      <abilityName>全半角检查</abilityName>
      <candidateList>
        <item>(</item>
      </candidateList>
      <explain>文本全半角错误。</explain>
      <paraID> C316748</paraID>
      <start>4</start>
      <end>5</end>
      <status>unmodified</status>
      <modifiedWord/>
      <trackRevisions>false</trackRevisions>
    </reviewItem>
    <reviewItem>
      <errorID>748d13b3-110d-46b4-960b-527763c2e7bb</errorID>
      <errorWord>）</errorWord>
      <group>L1_Format</group>
      <groupName>格式问题</groupName>
      <ability>L2_HalfPunc</ability>
      <abilityName>全半角检查</abilityName>
      <candidateList>
        <item>)</item>
      </candidateList>
      <explain>文本全半角错误。</explain>
      <paraID> C316748</paraID>
      <start>6</start>
      <end>7</end>
      <status>unmodified</status>
      <modifiedWord/>
      <trackRevisions>false</trackRevisions>
    </reviewItem>
    <reviewItem>
      <errorID>70fe5b36-7bf7-4eb5-87d1-64eedab40b05</errorID>
      <errorWord>（</errorWord>
      <group>L1_Format</group>
      <groupName>格式问题</groupName>
      <ability>L2_HalfPunc</ability>
      <abilityName>全半角检查</abilityName>
      <candidateList>
        <item>(</item>
      </candidateList>
      <explain>文本全半角错误。</explain>
      <paraID>5E53ECE7</paraID>
      <start>4</start>
      <end>5</end>
      <status>unmodified</status>
      <modifiedWord/>
      <trackRevisions>false</trackRevisions>
    </reviewItem>
    <reviewItem>
      <errorID>dbbdb246-0c04-4e3a-b25b-a62cf6f02eab</errorID>
      <errorWord>）</errorWord>
      <group>L1_Format</group>
      <groupName>格式问题</groupName>
      <ability>L2_HalfPunc</ability>
      <abilityName>全半角检查</abilityName>
      <candidateList>
        <item>)</item>
      </candidateList>
      <explain>文本全半角错误。</explain>
      <paraID>5E53ECE7</paraID>
      <start>6</start>
      <end>7</end>
      <status>unmodified</status>
      <modifiedWord/>
      <trackRevisions>false</trackRevisions>
    </reviewItem>
    <reviewItem>
      <errorID>1251a5c4-f931-4da9-92e2-ad881cc6e7da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4D133252</paraID>
      <start>0</start>
      <end>2</end>
      <status>unmodified</status>
      <modifiedWord/>
      <trackRevisions>false</trackRevisions>
    </reviewItem>
    <reviewItem>
      <errorID>696c0a88-ac14-420d-8889-79b62ecd4722</errorID>
      <errorWord>[2000]120号</errorWord>
      <group>L1_Knowledge</group>
      <groupName>知识性问题</groupName>
      <ability>L2_Knowledge</ability>
      <abilityName>其他知识</abilityName>
      <candidateList>
        <item>〔2000〕120号</item>
      </candidateList>
      <explain>发文字号格式错误。</explain>
      <paraID>6AD128F1</paraID>
      <start>30</start>
      <end>40</end>
      <status>unmodified</status>
      <modifiedWord/>
      <trackRevisions>false</trackRevisions>
    </reviewItem>
    <reviewItem>
      <errorID>ac44beab-505c-4568-8840-51ff58c77bd5</errorID>
      <errorWord>[2010]61号</errorWord>
      <group>L1_Knowledge</group>
      <groupName>知识性问题</groupName>
      <ability>L2_Knowledge</ability>
      <abilityName>其他知识</abilityName>
      <candidateList>
        <item>〔2010〕61号</item>
      </candidateList>
      <explain>发文字号格式错误。</explain>
      <paraID>6AD128F1</paraID>
      <start>57</start>
      <end>66</end>
      <status>unmodified</status>
      <modifiedWord/>
      <trackRevisions>false</trackRevisions>
    </reviewItem>
    <reviewItem>
      <errorID>bd08ae40-6803-4003-8fe8-28a1482c8bf1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5494010D</paraID>
      <start>0</start>
      <end>2</end>
      <status>unmodified</status>
      <modifiedWord/>
      <trackRevisions>false</trackRevisions>
    </reviewItem>
    <reviewItem>
      <errorID>b756d82d-7674-46ee-975d-d8ca9abbe293</errorID>
      <errorWord>其它</errorWord>
      <group>L1_Word</group>
      <groupName>字词问题</groupName>
      <ability>L2_Alias</ability>
      <abilityName>也作/曾用词</abilityName>
      <candidateList>
        <item>其他</item>
      </candidateList>
      <explain>词汇[其它]为不规范表述或旧称，其规范书面表述为[其他]。</explain>
      <paraID>4CF93254</paraID>
      <start>40</start>
      <end>42</end>
      <status>unmodified</status>
      <modifiedWord/>
      <trackRevisions>false</trackRevisions>
    </reviewItem>
    <reviewItem>
      <errorID>a5f8f8fa-89fb-49a1-b2de-0c6093b0aa9a</errorID>
      <errorWord>一二线</errorWord>
      <group>L1_Punc</group>
      <groupName>标点问题</groupName>
      <ability>L2_Punc</ability>
      <abilityName>标点符号检查</abilityName>
      <candidateList>
        <item>一、二线</item>
      </candidateList>
      <explain/>
      <paraID>513D9A71</paraID>
      <start>16</start>
      <end>19</end>
      <status>unmodified</status>
      <modifiedWord/>
      <trackRevisions>false</trackRevisions>
    </reviewItem>
    <reviewItem>
      <errorID>66a00c7d-3892-4df3-9478-c7bf58387bc4</errorID>
      <errorWord>[2026]1号</errorWord>
      <group>L1_Knowledge</group>
      <groupName>知识性问题</groupName>
      <ability>L2_Knowledge</ability>
      <abilityName>其他知识</abilityName>
      <candidateList>
        <item>〔2026〕1号</item>
      </candidateList>
      <explain>发文字号格式错误。</explain>
      <paraID>513D9A71</paraID>
      <start>128</start>
      <end>136</end>
      <status>unmodified</status>
      <modifiedWord/>
      <trackRevisions>false</trackRevisions>
    </reviewItem>
    <reviewItem>
      <errorID>a82d754f-b9c6-4257-bca5-eb8bc639b532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435ACE39</paraID>
      <start>0</start>
      <end>2</end>
      <status>unmodified</status>
      <modifiedWord/>
      <trackRevisions>false</trackRevisions>
    </reviewItem>
    <reviewItem>
      <errorID>a327b3cd-dad3-44e2-8ad0-53c0a049f92e</errorID>
      <errorWord>护措</errorWord>
      <group>L1_Word</group>
      <groupName>字词问题</groupName>
      <ability>L2_Typo</ability>
      <abilityName>字词错误</abilityName>
      <candidateList>
        <item>举措</item>
      </candidateList>
      <explain>存在发音相近字词的误用。</explain>
      <paraID>7F9CF078</paraID>
      <start>0</start>
      <end>2</end>
      <status>unmodified</status>
      <modifiedWord/>
      <trackRevisions>false</trackRevisions>
    </reviewItem>
    <reviewItem>
      <errorID>2280fb33-9b68-4fe9-8d9e-b173f1fc29b7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2CC480F0</paraID>
      <start>0</start>
      <end>2</end>
      <status>unmodified</status>
      <modifiedWord/>
      <trackRevisions>false</trackRevisions>
    </reviewItem>
    <reviewItem>
      <errorID>20ec1a7a-ba59-4786-b6c5-8137a8695fa8</errorID>
      <errorWord>棚布</errorWord>
      <group>L1_Word</group>
      <groupName>字词问题</groupName>
      <ability>L2_Typo</ability>
      <abilityName>字词错误</abilityName>
      <candidateList>
        <item>篷布</item>
      </candidateList>
      <explain>存在发音相同字词的误用。</explain>
      <paraID>3FFB5A77</paraID>
      <start>44</start>
      <end>46</end>
      <status>unmodified</status>
      <modifiedWord/>
      <trackRevisions>false</trackRevisions>
    </reviewItem>
    <reviewItem>
      <errorID>03f746cb-9764-4312-bc13-a0bc8131868f</errorID>
      <errorWord>）</errorWord>
      <group>L1_Word</group>
      <groupName>字词问题</groupName>
      <ability>L2_Typo</ability>
      <abilityName>字词错误</abilityName>
      <candidateList>
        <item>）对</item>
      </candidateList>
      <explain/>
      <paraID>74573F9A</paraID>
      <start>2</start>
      <end>3</end>
      <status>unmodified</status>
      <modifiedWord/>
      <trackRevisions>false</trackRevisions>
    </reviewItem>
    <reviewItem>
      <errorID>ac052355-632b-41b1-b8d4-02f4ec25ded5</errorID>
      <errorWord>外挂</errorWord>
      <group>L1_Sensitive</group>
      <groupName>敏感问题</groupName>
      <ability>L2_Prohibited</ability>
      <abilityName>违禁内容</abilityName>
      <candidateList/>
      <explain>【违禁内容】句中涉及国家法律明令禁止的违禁内容，请注意甄别。</explain>
      <paraID>10BF9174</paraID>
      <start>21</start>
      <end>23</end>
      <status>unmodified</status>
      <modifiedWord/>
      <trackRevisions>false</trackRevisions>
    </reviewItem>
    <reviewItem>
      <errorID>b5bdee4d-6f9a-474c-87de-a3d988b74a14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675B5F1C</paraID>
      <start>0</start>
      <end>2</end>
      <status>unmodified</status>
      <modifiedWord/>
      <trackRevisions>false</trackRevisions>
    </reviewItem>
    <reviewItem>
      <errorID>cdefe7c2-005c-4821-a71a-dab4f4130cba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5FBA56DC</paraID>
      <start>0</start>
      <end>2</end>
      <status>unmodified</status>
      <modifiedWord/>
      <trackRevisions>false</trackRevisions>
    </reviewItem>
    <reviewItem>
      <errorID>5a785fbb-6645-41ec-b653-c4f7dba64d43</errorID>
      <errorWord>隔震</errorWord>
      <group>L1_Word</group>
      <groupName>字词问题</groupName>
      <ability>L2_Typo</ability>
      <abilityName>字词错误</abilityName>
      <candidateList>
        <item>隔振</item>
      </candidateList>
      <explain>存在发音相同字词的误用。</explain>
      <paraID>64B11BCC</paraID>
      <start>24</start>
      <end>26</end>
      <status>unmodified</status>
      <modifiedWord/>
      <trackRevisions>false</trackRevisions>
    </reviewItem>
    <reviewItem>
      <errorID>6ff81f6e-26f9-4f1f-8f4e-ed8a3b877c6c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7984406A</paraID>
      <start>0</start>
      <end>2</end>
      <status>unmodified</status>
      <modifiedWord/>
      <trackRevisions>false</trackRevisions>
    </reviewItem>
    <reviewItem>
      <errorID>d6062d4e-c4ec-4128-b808-0b47f096b0aa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20FE38B3</paraID>
      <start>0</start>
      <end>2</end>
      <status>unmodified</status>
      <modifiedWord/>
      <trackRevisions>false</trackRevisions>
    </reviewItem>
    <reviewItem>
      <errorID>c0b73317-bd9f-48bd-b67b-d4050e95ec56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36F85986</paraID>
      <start>0</start>
      <end>2</end>
      <status>unmodified</status>
      <modifiedWord/>
      <trackRevisions>false</trackRevisions>
    </reviewItem>
    <reviewItem>
      <errorID>5b9afa55-205f-40d4-ac32-b0f6a6864163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444069ED</paraID>
      <start>0</start>
      <end>2</end>
      <status>unmodified</status>
      <modifiedWord/>
      <trackRevisions>false</trackRevisions>
    </reviewItem>
    <reviewItem>
      <errorID>c3117a94-fdae-4145-9620-506eb48e6f9c</errorID>
      <errorWord>良好地</errorWord>
      <group>L1_Word</group>
      <groupName>字词问题</groupName>
      <ability>L2_Typo</ability>
      <abilityName>字词错误</abilityName>
      <candidateList>
        <item>良好</item>
      </candidateList>
      <explain/>
      <paraID>52568B8B</paraID>
      <start>44</start>
      <end>47</end>
      <status>unmodified</status>
      <modifiedWord/>
      <trackRevisions>false</trackRevisions>
    </reviewItem>
    <reviewItem>
      <errorID>75de28db-267f-4701-aec8-be366d6e7605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53C4D059</paraID>
      <start>0</start>
      <end>2</end>
      <status>unmodified</status>
      <modifiedWord/>
      <trackRevisions>false</trackRevisions>
    </reviewItem>
    <reviewItem>
      <errorID>4fe3732b-4b99-4c35-b2a3-a689b76bfe9b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42776BF7</paraID>
      <start>0</start>
      <end>2</end>
      <status>unmodified</status>
      <modifiedWord/>
      <trackRevisions>false</trackRevisions>
    </reviewItem>
    <reviewItem>
      <errorID>6f31845b-06bf-40a1-b79d-7f040c2a8a3b</errorID>
      <errorWord>轻点</errorWord>
      <group>L1_Word</group>
      <groupName>字词问题</groupName>
      <ability>L2_Typo</ability>
      <abilityName>字词错误</abilityName>
      <candidateList>
        <item>轻</item>
      </candidateList>
      <explain/>
      <paraID>12EF71C8</paraID>
      <start>167</start>
      <end>169</end>
      <status>unmodified</status>
      <modifiedWord/>
      <trackRevisions>false</trackRevisions>
    </reviewItem>
    <reviewItem>
      <errorID>0240feba-4614-4634-ab02-327323811030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43F70E78</paraID>
      <start>32</start>
      <end>33</end>
      <status>unmodified</status>
      <modifiedWord/>
      <trackRevisions>false</trackRevisions>
    </reviewItem>
    <reviewItem>
      <errorID>3a1c8650-6b2e-4474-94a8-144dbc093eb5</errorID>
      <errorWord>设</errorWord>
      <group>L1_Word</group>
      <groupName>字词问题</groupName>
      <ability>L2_Typo</ability>
      <abilityName>字词错误</abilityName>
      <candidateList>
        <item>设立</item>
      </candidateList>
      <explain/>
      <paraID>6B7D3581</paraID>
      <start>33</start>
      <end>34</end>
      <status>unmodified</status>
      <modifiedWord/>
      <trackRevisions>false</trackRevisions>
    </reviewItem>
    <reviewItem>
      <errorID>014fa860-9537-4a68-8170-6df51377c7e5</errorID>
      <errorWord>(</errorWord>
      <group>L1_Format</group>
      <groupName>格式问题</groupName>
      <ability>L2_HalfPunc</ability>
      <abilityName>全半角检查</abilityName>
      <candidateList>
        <item>（</item>
      </candidateList>
      <explain>文本全半角错误。</explain>
      <paraID>3D7A74C3</paraID>
      <start>47</start>
      <end>48</end>
      <status>unmodified</status>
      <modifiedWord/>
      <trackRevisions>false</trackRevisions>
    </reviewItem>
    <reviewItem>
      <errorID>4dc082d7-b717-47e9-b451-d106ad3bac8b</errorID>
      <errorWord>)</errorWord>
      <group>L1_Format</group>
      <groupName>格式问题</groupName>
      <ability>L2_HalfPunc</ability>
      <abilityName>全半角检查</abilityName>
      <candidateList>
        <item>）</item>
      </candidateList>
      <explain>文本全半角错误。</explain>
      <paraID>3D7A74C3</paraID>
      <start>60</start>
      <end>61</end>
      <status>unmodified</status>
      <modifiedWord/>
      <trackRevisions>false</trackRevisions>
    </reviewItem>
    <reviewItem>
      <errorID>a8e54f25-8a56-4d14-a6b8-6479bcfef001</errorID>
      <errorWord>，</errorWord>
      <group>L1_Word</group>
      <groupName>字词问题</groupName>
      <ability>L2_Typo</ability>
      <abilityName>字词错误</abilityName>
      <candidateList>
        <item>，在</item>
      </candidateList>
      <explain/>
      <paraID>3D7A74C3</paraID>
      <start>109</start>
      <end>110</end>
      <status>unmodified</status>
      <modifiedWord/>
      <trackRevisions>false</trackRevisions>
    </reviewItem>
    <reviewItem>
      <errorID>f4e98fa7-3736-4aec-ba20-ed137296f2e8</errorID>
      <errorWord>其中</errorWord>
      <group>L1_Word</group>
      <groupName>字词问题</groupName>
      <ability>L2_Typo</ability>
      <abilityName>字词错误</abilityName>
      <candidateList>
        <item>其</item>
      </candidateList>
      <explain>词缀：极～｜尤～｜如～。</explain>
      <paraID>1DDE2573</paraID>
      <start>116</start>
      <end>118</end>
      <status>unmodified</status>
      <modifiedWord/>
      <trackRevisions>false</trackRevisions>
    </reviewItem>
    <reviewItem>
      <errorID>d433fc71-ad7a-4e62-b45a-2bcb7dea5908</errorID>
      <errorWord>中</errorWord>
      <group>L1_Word</group>
      <groupName>字词问题</groupName>
      <ability>L2_Typo</ability>
      <abilityName>字词错误</abilityName>
      <candidateList>
        <item>中的</item>
      </candidateList>
      <explain>〈动〉射中靶心，比喻点明要害：一语～。</explain>
      <paraID>1DDE2573</paraID>
      <start>140</start>
      <end>141</end>
      <status>unmodified</status>
      <modifiedWord/>
      <trackRevisions>false</trackRevisions>
    </reviewItem>
    <reviewItem>
      <errorID>f5d9a202-a2b5-45b8-b3bb-28aa932ee93f</errorID>
      <errorWord>能</errorWord>
      <group>L1_Word</group>
      <groupName>字词问题</groupName>
      <ability>L2_Typo</ability>
      <abilityName>字词错误</abilityName>
      <candidateList>
        <item>能在</item>
      </candidateList>
      <explain/>
      <paraID>6499ED47</paraID>
      <start>112</start>
      <end>113</end>
      <status>unmodified</status>
      <modifiedWord/>
      <trackRevisions>false</trackRevisions>
    </reviewItem>
    <reviewItem>
      <errorID>c3a79666-7a42-4297-83dd-190d090cafc2</errorID>
      <errorWord>：</errorWord>
      <group>L1_Format</group>
      <groupName>格式问题</groupName>
      <ability>L2_HalfPunc</ability>
      <abilityName>全半角检查</abilityName>
      <candidateList>
        <item>:</item>
      </candidateList>
      <explain>文本全半角错误。</explain>
      <paraID>22357327</paraID>
      <start>66</start>
      <end>67</end>
      <status>unmodified</status>
      <modifiedWord/>
      <trackRevisions>false</trackRevisions>
    </reviewItem>
    <reviewItem>
      <errorID>ad695b22-2162-4d69-b36e-de54eb529944</errorID>
      <errorWord>类降</errorWord>
      <group>L1_Word</group>
      <groupName>字词问题</groupName>
      <ability>L2_Typo</ability>
      <abilityName>字词错误</abilityName>
      <candidateList>
        <item>累积</item>
      </candidateList>
      <explain>〈动〉层层增加；积聚：～资料｜～财富｜前八个月完成的工程量～起来，已达到全年任务的90％。</explain>
      <paraID> 2B73FD8</paraID>
      <start>231</start>
      <end>233</end>
      <status>unmodified</status>
      <modifiedWord/>
      <trackRevisions>false</trackRevisions>
    </reviewItem>
    <reviewItem>
      <errorID>53282fdb-3def-49f3-befc-f1cefae24bf8</errorID>
      <errorWord>英类</errorWord>
      <group>L1_Word</group>
      <groupName>字词问题</groupName>
      <ability>L2_Typo</ability>
      <abilityName>字词错误</abilityName>
      <candidateList>
        <item>英</item>
      </candidateList>
      <explain/>
      <paraID>4B18E6EF</paraID>
      <start>187</start>
      <end>189</end>
      <status>unmodified</status>
      <modifiedWord/>
      <trackRevisions>false</trackRevisions>
    </reviewItem>
    <reviewItem>
      <errorID>a3d677d1-e6c6-488c-9659-afe12ba7824b</errorID>
      <errorWord>英类</errorWord>
      <group>L1_Word</group>
      <groupName>字词问题</groupName>
      <ability>L2_Typo</ability>
      <abilityName>字词错误</abilityName>
      <candidateList>
        <item>英</item>
      </candidateList>
      <explain/>
      <paraID>4B18E6EF</paraID>
      <start>353</start>
      <end>355</end>
      <status>unmodified</status>
      <modifiedWord/>
      <trackRevisions>false</trackRevisions>
    </reviewItem>
    <reviewItem>
      <errorID>c390f09f-a542-4807-9c8b-57ebb6a0fd3e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32B28C56</paraID>
      <start>0</start>
      <end>2</end>
      <status>unmodified</status>
      <modifiedWord/>
      <trackRevisions>false</trackRevisions>
    </reviewItem>
    <reviewItem>
      <errorID>fd981810-6ec5-4683-8332-2c81cdbadc0b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56D8C542</paraID>
      <start>0</start>
      <end>2</end>
      <status>unmodified</status>
      <modifiedWord/>
      <trackRevisions>false</trackRevisions>
    </reviewItem>
    <reviewItem>
      <errorID>f0039f01-45f2-4471-9e2e-fca2a4bbf258</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6068A880</paraID>
      <start>60</start>
      <end>61</end>
      <status>unmodified</status>
      <modifiedWord/>
      <trackRevisions>false</trackRevisions>
    </reviewItem>
    <reviewItem>
      <errorID>b0e02904-5e48-4269-b1d1-e5b4ac5bf105</errorID>
      <errorWord>》</errorWord>
      <group>L1_Punc</group>
      <groupName>标点问题</groupName>
      <ability>L2_Punc</ability>
      <abilityName>标点符号检查</abilityName>
      <candidateList/>
      <explain/>
      <paraID>72A67FC5</paraID>
      <start>57</start>
      <end>58</end>
      <status>unmodified</status>
      <modifiedWord/>
      <trackRevisions>false</trackRevisions>
    </reviewItem>
    <reviewItem>
      <errorID>b7cbed24-11cf-4f01-abde-25abd3f049f3</errorID>
      <errorWord>；</errorWord>
      <group>L1_Word</group>
      <groupName>字词问题</groupName>
      <ability>L2_Typo</ability>
      <abilityName>字词错误</abilityName>
      <candidateList>
        <item>；在</item>
      </candidateList>
      <explain/>
      <paraID> CF9A148</paraID>
      <start>55</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804E0617-B4A3-4089-991A-78A451017E18}">
  <ds:schemaRefs>
    <ds:schemaRef ds:uri="http://schemas.openxmlformats.org/officeDocument/2006/bibliography"/>
  </ds:schemaRefs>
</ds:datastoreItem>
</file>

<file path=customXml/itemProps2.xml><?xml version="1.0" encoding="utf-8"?>
<ds:datastoreItem xmlns:ds="http://schemas.openxmlformats.org/officeDocument/2006/customXml" ds:itemID="{05D31ABD-FD84-4A1A-A0DB-62EC52E3C9E7}">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233</Pages>
  <Words>76984</Words>
  <Characters>113938</Characters>
  <Application>Microsoft Office Word</Application>
  <DocSecurity>0</DocSecurity>
  <Lines>16276</Lines>
  <Paragraphs>17356</Paragraphs>
  <ScaleCrop>false</ScaleCrop>
  <Company>微软中国</Company>
  <LinksUpToDate>false</LinksUpToDate>
  <CharactersWithSpaces>173566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l w</cp:lastModifiedBy>
  <cp:revision>5</cp:revision>
  <cp:lastPrinted>2020-12-29T02:43:00Z</cp:lastPrinted>
  <dcterms:created xsi:type="dcterms:W3CDTF">2026-08-04T01:37:00Z</dcterms:created>
  <dcterms:modified xsi:type="dcterms:W3CDTF">2026-08-04T01:42:00Z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64673ACD5B744FF1B17291913EE305D3_13</vt:lpwstr>
  </property>
  <property fmtid="{D5CDD505-2E9C-101B-9397-08002B2CF9AE}" pid="4" name="KSOTemplateDocerSaveRecord">
    <vt:lpwstr>eyJoZGlkIjoiZWNhNGEzZDNmYWEzYTMwOTIwNjQ2NjVmMzEzY2JhOTYiLCJ1c2VySWQiOiIxODQ2MjQ5NjQ0In0=</vt:lpwstr>
  </property>
</Properties>
</file>